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B7FC2" w14:textId="77777777" w:rsidR="006D0F7E" w:rsidRDefault="006D0F7E" w:rsidP="002C4D6A">
      <w:pPr>
        <w:tabs>
          <w:tab w:val="left" w:pos="567"/>
        </w:tabs>
        <w:spacing w:after="0" w:line="240" w:lineRule="auto"/>
        <w:jc w:val="center"/>
        <w:rPr>
          <w:b/>
          <w:szCs w:val="20"/>
          <w:lang w:val="es-CR"/>
        </w:rPr>
      </w:pPr>
    </w:p>
    <w:p w14:paraId="18DAFC55" w14:textId="77777777" w:rsidR="006D0F7E" w:rsidRDefault="006D0F7E" w:rsidP="002C4D6A">
      <w:pPr>
        <w:tabs>
          <w:tab w:val="left" w:pos="567"/>
        </w:tabs>
        <w:spacing w:after="0" w:line="240" w:lineRule="auto"/>
        <w:jc w:val="center"/>
        <w:rPr>
          <w:b/>
          <w:szCs w:val="20"/>
          <w:lang w:val="es-CR"/>
        </w:rPr>
      </w:pPr>
    </w:p>
    <w:p w14:paraId="6F2D52A2" w14:textId="77777777" w:rsidR="006D0F7E" w:rsidRDefault="006D0F7E" w:rsidP="002C4D6A">
      <w:pPr>
        <w:tabs>
          <w:tab w:val="left" w:pos="567"/>
        </w:tabs>
        <w:spacing w:after="0" w:line="240" w:lineRule="auto"/>
        <w:jc w:val="center"/>
        <w:rPr>
          <w:b/>
          <w:szCs w:val="20"/>
          <w:lang w:val="es-CR"/>
        </w:rPr>
      </w:pPr>
    </w:p>
    <w:p w14:paraId="2422F3F3" w14:textId="240F0486" w:rsidR="002C4D6A" w:rsidRDefault="002C4D6A" w:rsidP="002C4D6A">
      <w:pPr>
        <w:tabs>
          <w:tab w:val="left" w:pos="567"/>
        </w:tabs>
        <w:spacing w:after="0" w:line="240" w:lineRule="auto"/>
        <w:jc w:val="center"/>
        <w:rPr>
          <w:b/>
          <w:szCs w:val="20"/>
          <w:lang w:val="es-CR"/>
        </w:rPr>
      </w:pPr>
      <w:r>
        <w:rPr>
          <w:b/>
          <w:szCs w:val="20"/>
          <w:lang w:val="es-CR"/>
        </w:rPr>
        <w:t>RESOLUCIÓN DE LA PRESIDENTA DE LA</w:t>
      </w:r>
    </w:p>
    <w:p w14:paraId="6BF579E1" w14:textId="77777777" w:rsidR="002C4D6A" w:rsidRDefault="002C4D6A" w:rsidP="002C4D6A">
      <w:pPr>
        <w:tabs>
          <w:tab w:val="left" w:pos="567"/>
        </w:tabs>
        <w:spacing w:after="0" w:line="240" w:lineRule="auto"/>
        <w:jc w:val="center"/>
        <w:rPr>
          <w:b/>
          <w:szCs w:val="20"/>
          <w:lang w:val="es-CR"/>
        </w:rPr>
      </w:pPr>
      <w:r>
        <w:rPr>
          <w:b/>
          <w:szCs w:val="20"/>
          <w:lang w:val="es-CR"/>
        </w:rPr>
        <w:t>CORTE INTERAMERICANA DE DERECHOS HUMANOS</w:t>
      </w:r>
    </w:p>
    <w:p w14:paraId="4351AD51" w14:textId="77777777" w:rsidR="002C4D6A" w:rsidRDefault="002C4D6A" w:rsidP="002C4D6A">
      <w:pPr>
        <w:tabs>
          <w:tab w:val="left" w:pos="567"/>
        </w:tabs>
        <w:spacing w:after="0" w:line="240" w:lineRule="auto"/>
        <w:jc w:val="center"/>
        <w:rPr>
          <w:b/>
          <w:szCs w:val="20"/>
          <w:lang w:val="es-CR"/>
        </w:rPr>
      </w:pPr>
    </w:p>
    <w:p w14:paraId="2F72CA94" w14:textId="338B3E19" w:rsidR="002C4D6A" w:rsidRDefault="005B5FED" w:rsidP="002C4D6A">
      <w:pPr>
        <w:tabs>
          <w:tab w:val="left" w:pos="567"/>
        </w:tabs>
        <w:spacing w:after="0" w:line="240" w:lineRule="auto"/>
        <w:jc w:val="center"/>
        <w:rPr>
          <w:b/>
          <w:szCs w:val="20"/>
          <w:lang w:val="es-CR"/>
        </w:rPr>
      </w:pPr>
      <w:r>
        <w:rPr>
          <w:b/>
          <w:szCs w:val="20"/>
          <w:lang w:val="es-CR"/>
        </w:rPr>
        <w:t xml:space="preserve">DE </w:t>
      </w:r>
      <w:r w:rsidR="009870DB">
        <w:rPr>
          <w:b/>
          <w:szCs w:val="20"/>
          <w:lang w:val="es-CR"/>
        </w:rPr>
        <w:t>10</w:t>
      </w:r>
      <w:r w:rsidR="00F85FCC">
        <w:rPr>
          <w:b/>
          <w:szCs w:val="20"/>
          <w:lang w:val="es-CR"/>
        </w:rPr>
        <w:t xml:space="preserve"> DE FEBRERO</w:t>
      </w:r>
      <w:r>
        <w:rPr>
          <w:b/>
          <w:szCs w:val="20"/>
          <w:lang w:val="es-CR"/>
        </w:rPr>
        <w:t xml:space="preserve"> DE 2020</w:t>
      </w:r>
    </w:p>
    <w:p w14:paraId="61D2548C" w14:textId="77777777" w:rsidR="002C4D6A" w:rsidRDefault="002C4D6A" w:rsidP="002C4D6A">
      <w:pPr>
        <w:tabs>
          <w:tab w:val="left" w:pos="567"/>
        </w:tabs>
        <w:spacing w:after="0" w:line="240" w:lineRule="auto"/>
        <w:jc w:val="center"/>
        <w:rPr>
          <w:b/>
          <w:szCs w:val="20"/>
          <w:lang w:val="es-CR"/>
        </w:rPr>
      </w:pPr>
    </w:p>
    <w:p w14:paraId="5D027552" w14:textId="77777777" w:rsidR="002C4D6A" w:rsidRDefault="002C4D6A" w:rsidP="002C4D6A">
      <w:pPr>
        <w:tabs>
          <w:tab w:val="left" w:pos="567"/>
        </w:tabs>
        <w:spacing w:after="0" w:line="240" w:lineRule="auto"/>
        <w:jc w:val="center"/>
        <w:rPr>
          <w:szCs w:val="20"/>
          <w:lang w:val="es-CR"/>
        </w:rPr>
      </w:pPr>
      <w:r>
        <w:rPr>
          <w:b/>
          <w:szCs w:val="20"/>
          <w:lang w:val="es-CR"/>
        </w:rPr>
        <w:t xml:space="preserve">CASO </w:t>
      </w:r>
      <w:r w:rsidR="00E14C3D">
        <w:rPr>
          <w:b/>
          <w:szCs w:val="20"/>
          <w:lang w:val="es-CR"/>
        </w:rPr>
        <w:t>ACOSTA MARTÍNEZ</w:t>
      </w:r>
      <w:r>
        <w:rPr>
          <w:b/>
          <w:szCs w:val="20"/>
          <w:lang w:val="es-CR"/>
        </w:rPr>
        <w:t xml:space="preserve"> VS. </w:t>
      </w:r>
      <w:r w:rsidR="00E14C3D">
        <w:rPr>
          <w:b/>
          <w:szCs w:val="20"/>
          <w:lang w:val="es-CR"/>
        </w:rPr>
        <w:t>ARGENTINA</w:t>
      </w:r>
    </w:p>
    <w:p w14:paraId="425BAB4C" w14:textId="77777777" w:rsidR="002C4D6A" w:rsidRDefault="002C4D6A" w:rsidP="002C4D6A">
      <w:pPr>
        <w:tabs>
          <w:tab w:val="left" w:pos="567"/>
        </w:tabs>
        <w:spacing w:after="0" w:line="240" w:lineRule="auto"/>
        <w:rPr>
          <w:szCs w:val="20"/>
          <w:lang w:val="es-CR"/>
        </w:rPr>
      </w:pPr>
    </w:p>
    <w:p w14:paraId="51C75AA6" w14:textId="77777777" w:rsidR="002C4D6A" w:rsidRDefault="002C4D6A" w:rsidP="002C4D6A">
      <w:pPr>
        <w:tabs>
          <w:tab w:val="left" w:pos="567"/>
        </w:tabs>
        <w:spacing w:after="0" w:line="240" w:lineRule="auto"/>
        <w:rPr>
          <w:b/>
          <w:szCs w:val="20"/>
          <w:lang w:val="es-CR"/>
        </w:rPr>
      </w:pPr>
      <w:r>
        <w:rPr>
          <w:b/>
          <w:szCs w:val="20"/>
          <w:lang w:val="es-CR"/>
        </w:rPr>
        <w:t>VISTO:</w:t>
      </w:r>
    </w:p>
    <w:p w14:paraId="67ED7C8D" w14:textId="77777777" w:rsidR="002C4D6A" w:rsidRDefault="002C4D6A" w:rsidP="002C4D6A">
      <w:pPr>
        <w:tabs>
          <w:tab w:val="left" w:pos="567"/>
        </w:tabs>
        <w:spacing w:after="0" w:line="240" w:lineRule="auto"/>
        <w:rPr>
          <w:b/>
          <w:szCs w:val="20"/>
          <w:lang w:val="es-CR"/>
        </w:rPr>
      </w:pPr>
    </w:p>
    <w:p w14:paraId="1CD01CCB" w14:textId="77777777" w:rsidR="002C4D6A" w:rsidRDefault="002C4D6A" w:rsidP="002C4D6A">
      <w:pPr>
        <w:widowControl w:val="0"/>
        <w:numPr>
          <w:ilvl w:val="0"/>
          <w:numId w:val="1"/>
        </w:numPr>
        <w:tabs>
          <w:tab w:val="left" w:pos="567"/>
        </w:tabs>
        <w:autoSpaceDE w:val="0"/>
        <w:autoSpaceDN w:val="0"/>
        <w:adjustRightInd w:val="0"/>
        <w:spacing w:after="0" w:line="240" w:lineRule="auto"/>
        <w:ind w:left="0" w:right="22" w:firstLine="0"/>
        <w:jc w:val="both"/>
        <w:rPr>
          <w:lang w:val="es-CR"/>
        </w:rPr>
      </w:pPr>
      <w:bookmarkStart w:id="0" w:name="_Ref393297742"/>
      <w:bookmarkStart w:id="1" w:name="_Ref352676460"/>
      <w:r>
        <w:rPr>
          <w:lang w:val="es-CR"/>
        </w:rPr>
        <w:t>El escrito de sometimiento del caso y el Informe de Fondo de la Comisión Interamericana de Derechos Humanos (en adelante “la Comisión Interamericana” o “la Comisión”)</w:t>
      </w:r>
      <w:bookmarkEnd w:id="0"/>
      <w:r>
        <w:rPr>
          <w:lang w:val="es-CR"/>
        </w:rPr>
        <w:t xml:space="preserve">; </w:t>
      </w:r>
      <w:bookmarkStart w:id="2" w:name="_Ref351983508"/>
      <w:bookmarkStart w:id="3" w:name="_Ref393297751"/>
      <w:bookmarkEnd w:id="1"/>
      <w:r>
        <w:rPr>
          <w:lang w:val="es-CR"/>
        </w:rPr>
        <w:t xml:space="preserve">el escrito de solicitudes, argumentos y pruebas (en adelante, el “escrito de solicitudes y argumentos”) de los representantes de las presuntas víctimas (en adelante “los representantes”); </w:t>
      </w:r>
      <w:bookmarkStart w:id="4" w:name="_Ref352676532"/>
      <w:bookmarkEnd w:id="2"/>
      <w:bookmarkEnd w:id="3"/>
      <w:r>
        <w:rPr>
          <w:lang w:val="es-CR"/>
        </w:rPr>
        <w:t>el escrito de contestación al sometimiento del caso y al escrito de solicitudes y argumentos</w:t>
      </w:r>
      <w:r>
        <w:rPr>
          <w:color w:val="FF0000"/>
          <w:lang w:val="es-CR"/>
        </w:rPr>
        <w:t xml:space="preserve"> </w:t>
      </w:r>
      <w:r>
        <w:rPr>
          <w:lang w:val="es-CR"/>
        </w:rPr>
        <w:t xml:space="preserve">(en adelante “escrito de contestación”) del Estado </w:t>
      </w:r>
      <w:bookmarkEnd w:id="4"/>
      <w:r w:rsidR="00E14C3D">
        <w:t>de Argentina</w:t>
      </w:r>
      <w:r>
        <w:rPr>
          <w:b/>
          <w:lang w:val="es-CR"/>
        </w:rPr>
        <w:t xml:space="preserve"> </w:t>
      </w:r>
      <w:r>
        <w:t>(en adelante “</w:t>
      </w:r>
      <w:r w:rsidR="00E14C3D" w:rsidRPr="00E14C3D">
        <w:rPr>
          <w:lang w:val="es-CR"/>
        </w:rPr>
        <w:t>Argentina</w:t>
      </w:r>
      <w:r w:rsidR="00E14C3D">
        <w:t>” o “el Estado”)</w:t>
      </w:r>
      <w:r>
        <w:t>.</w:t>
      </w:r>
    </w:p>
    <w:p w14:paraId="76ED5CFA" w14:textId="77777777" w:rsidR="002C4D6A" w:rsidRDefault="002C4D6A" w:rsidP="002C4D6A">
      <w:pPr>
        <w:rPr>
          <w:lang w:val="es-CR"/>
        </w:rPr>
      </w:pPr>
    </w:p>
    <w:p w14:paraId="0B14DCBB" w14:textId="41AD2622" w:rsidR="002C4D6A" w:rsidRPr="005B5FED" w:rsidRDefault="002C4D6A" w:rsidP="00377332">
      <w:pPr>
        <w:widowControl w:val="0"/>
        <w:numPr>
          <w:ilvl w:val="0"/>
          <w:numId w:val="1"/>
        </w:numPr>
        <w:tabs>
          <w:tab w:val="left" w:pos="567"/>
        </w:tabs>
        <w:autoSpaceDE w:val="0"/>
        <w:autoSpaceDN w:val="0"/>
        <w:adjustRightInd w:val="0"/>
        <w:spacing w:after="0" w:line="240" w:lineRule="auto"/>
        <w:ind w:left="0" w:right="22" w:firstLine="0"/>
        <w:jc w:val="both"/>
        <w:rPr>
          <w:b/>
          <w:lang w:val="es-CR"/>
        </w:rPr>
      </w:pPr>
      <w:bookmarkStart w:id="5" w:name="_Ref393297780"/>
      <w:bookmarkStart w:id="6" w:name="_Ref393920719"/>
      <w:r w:rsidRPr="00E14C3D">
        <w:rPr>
          <w:lang w:val="es-CR"/>
        </w:rPr>
        <w:t xml:space="preserve">Las listas definitivas de declarantes presentadas por los </w:t>
      </w:r>
      <w:r w:rsidRPr="008871B0">
        <w:rPr>
          <w:lang w:val="es-CR"/>
        </w:rPr>
        <w:t>repres</w:t>
      </w:r>
      <w:r w:rsidR="00E14C3D" w:rsidRPr="008871B0">
        <w:rPr>
          <w:lang w:val="es-CR"/>
        </w:rPr>
        <w:t>entantes y</w:t>
      </w:r>
      <w:r w:rsidRPr="008871B0">
        <w:rPr>
          <w:lang w:val="es-CR"/>
        </w:rPr>
        <w:t xml:space="preserve"> la Comisión</w:t>
      </w:r>
      <w:r w:rsidRPr="00E14C3D">
        <w:rPr>
          <w:lang w:val="es-CR"/>
        </w:rPr>
        <w:t xml:space="preserve">; </w:t>
      </w:r>
      <w:bookmarkEnd w:id="5"/>
      <w:bookmarkEnd w:id="6"/>
    </w:p>
    <w:p w14:paraId="5C5D5443" w14:textId="77777777" w:rsidR="005B5FED" w:rsidRDefault="005B5FED" w:rsidP="005B5FED">
      <w:pPr>
        <w:pStyle w:val="Prrafodelista"/>
        <w:rPr>
          <w:b/>
          <w:lang w:val="es-CR"/>
        </w:rPr>
      </w:pPr>
    </w:p>
    <w:p w14:paraId="2A9CCC7B" w14:textId="256D1E8A" w:rsidR="005B5FED" w:rsidRPr="00E14C3D" w:rsidRDefault="005B5FED" w:rsidP="00377332">
      <w:pPr>
        <w:widowControl w:val="0"/>
        <w:numPr>
          <w:ilvl w:val="0"/>
          <w:numId w:val="1"/>
        </w:numPr>
        <w:tabs>
          <w:tab w:val="left" w:pos="567"/>
        </w:tabs>
        <w:autoSpaceDE w:val="0"/>
        <w:autoSpaceDN w:val="0"/>
        <w:adjustRightInd w:val="0"/>
        <w:spacing w:after="0" w:line="240" w:lineRule="auto"/>
        <w:ind w:left="0" w:right="22" w:firstLine="0"/>
        <w:jc w:val="both"/>
        <w:rPr>
          <w:b/>
          <w:lang w:val="es-CR"/>
        </w:rPr>
      </w:pPr>
      <w:r>
        <w:rPr>
          <w:lang w:val="es-CR"/>
        </w:rPr>
        <w:t>La comunicación del 24 de enero de 2020 de la Comisión en donde indica que no tiene observaciones a las listas definitivas de declarantes. Ni los representantes ni el Estado presentaron observaciones a estas listas.</w:t>
      </w:r>
    </w:p>
    <w:p w14:paraId="3A64B9CA" w14:textId="77777777" w:rsidR="00E14C3D" w:rsidRPr="00E14C3D" w:rsidRDefault="00E14C3D" w:rsidP="00E14C3D">
      <w:pPr>
        <w:widowControl w:val="0"/>
        <w:tabs>
          <w:tab w:val="left" w:pos="567"/>
        </w:tabs>
        <w:autoSpaceDE w:val="0"/>
        <w:autoSpaceDN w:val="0"/>
        <w:adjustRightInd w:val="0"/>
        <w:spacing w:after="0" w:line="240" w:lineRule="auto"/>
        <w:ind w:right="22"/>
        <w:jc w:val="both"/>
        <w:rPr>
          <w:b/>
          <w:lang w:val="es-CR"/>
        </w:rPr>
      </w:pPr>
    </w:p>
    <w:p w14:paraId="45385BA4" w14:textId="3F7D8314" w:rsidR="002C4D6A" w:rsidRDefault="002C4D6A" w:rsidP="002C4D6A">
      <w:pPr>
        <w:widowControl w:val="0"/>
        <w:numPr>
          <w:ilvl w:val="0"/>
          <w:numId w:val="1"/>
        </w:numPr>
        <w:tabs>
          <w:tab w:val="left" w:pos="567"/>
        </w:tabs>
        <w:autoSpaceDE w:val="0"/>
        <w:autoSpaceDN w:val="0"/>
        <w:adjustRightInd w:val="0"/>
        <w:spacing w:after="0" w:line="240" w:lineRule="auto"/>
        <w:ind w:left="0" w:right="22" w:firstLine="0"/>
        <w:jc w:val="both"/>
        <w:rPr>
          <w:b/>
          <w:lang w:val="es-CR"/>
        </w:rPr>
      </w:pPr>
      <w:r w:rsidRPr="006F25F3">
        <w:t xml:space="preserve">La </w:t>
      </w:r>
      <w:r w:rsidR="00E14C3D" w:rsidRPr="006F25F3">
        <w:t>comunicación  de 2</w:t>
      </w:r>
      <w:r w:rsidR="006F25F3" w:rsidRPr="006F25F3">
        <w:t>2</w:t>
      </w:r>
      <w:r w:rsidR="00E14C3D" w:rsidRPr="006F25F3">
        <w:t xml:space="preserve"> de enero de 2020</w:t>
      </w:r>
      <w:r w:rsidRPr="006F25F3">
        <w:t xml:space="preserve"> sobre el Fondo de Asistencia Legal de Víctimas</w:t>
      </w:r>
      <w:r>
        <w:rPr>
          <w:rStyle w:val="Refdenotaalpie"/>
          <w:szCs w:val="20"/>
        </w:rPr>
        <w:footnoteReference w:id="1"/>
      </w:r>
      <w:r>
        <w:t>.</w:t>
      </w:r>
      <w:r>
        <w:rPr>
          <w:rFonts w:cs="Times New Roman"/>
          <w:lang w:eastAsia="es-CR"/>
        </w:rPr>
        <w:t xml:space="preserve"> </w:t>
      </w:r>
    </w:p>
    <w:p w14:paraId="5DFEB5CD" w14:textId="0A986C79" w:rsidR="002C4D6A" w:rsidRDefault="002C4D6A" w:rsidP="002C4D6A">
      <w:pPr>
        <w:tabs>
          <w:tab w:val="left" w:pos="567"/>
        </w:tabs>
        <w:rPr>
          <w:lang w:val="es-CR"/>
        </w:rPr>
      </w:pPr>
    </w:p>
    <w:p w14:paraId="0F916CCA" w14:textId="77777777" w:rsidR="002C4D6A" w:rsidRDefault="002C4D6A" w:rsidP="002C4D6A">
      <w:pPr>
        <w:tabs>
          <w:tab w:val="left" w:pos="567"/>
        </w:tabs>
        <w:spacing w:after="0" w:line="240" w:lineRule="auto"/>
        <w:rPr>
          <w:b/>
          <w:szCs w:val="20"/>
          <w:lang w:val="es-CR"/>
        </w:rPr>
      </w:pPr>
      <w:r>
        <w:rPr>
          <w:b/>
          <w:szCs w:val="20"/>
          <w:lang w:val="es-CR"/>
        </w:rPr>
        <w:t>CONSIDERANDO QUE:</w:t>
      </w:r>
    </w:p>
    <w:p w14:paraId="590749C3" w14:textId="77777777" w:rsidR="002C4D6A" w:rsidRDefault="002C4D6A" w:rsidP="002C4D6A">
      <w:pPr>
        <w:tabs>
          <w:tab w:val="left" w:pos="567"/>
          <w:tab w:val="left" w:pos="720"/>
          <w:tab w:val="left" w:pos="810"/>
        </w:tabs>
        <w:spacing w:after="0" w:line="240" w:lineRule="auto"/>
        <w:jc w:val="both"/>
        <w:rPr>
          <w:szCs w:val="20"/>
          <w:lang w:val="es-CR"/>
        </w:rPr>
      </w:pPr>
    </w:p>
    <w:p w14:paraId="07A5A984" w14:textId="77777777" w:rsidR="002C4D6A" w:rsidRDefault="002C4D6A" w:rsidP="002C4D6A">
      <w:pPr>
        <w:widowControl w:val="0"/>
        <w:numPr>
          <w:ilvl w:val="0"/>
          <w:numId w:val="2"/>
        </w:numPr>
        <w:tabs>
          <w:tab w:val="left" w:pos="567"/>
          <w:tab w:val="left" w:pos="810"/>
        </w:tabs>
        <w:autoSpaceDE w:val="0"/>
        <w:autoSpaceDN w:val="0"/>
        <w:adjustRightInd w:val="0"/>
        <w:spacing w:after="0" w:line="240" w:lineRule="auto"/>
        <w:ind w:left="0" w:right="22" w:firstLine="0"/>
        <w:jc w:val="both"/>
        <w:rPr>
          <w:lang w:val="es-CR"/>
        </w:rPr>
      </w:pPr>
      <w:r>
        <w:rPr>
          <w:lang w:val="es-CR"/>
        </w:rPr>
        <w:t>El ofrecimiento y la admisión de la prueba, así como la citación de presuntas víctimas, testigos y peritos se encuentran regulados en los artículos 35.1.f, 40.2.c, 41.1.c, 46, 47, 48, 50, 52.3 y 57 del Reglamento de la Corte Interamericana de Derechos Humanos (en adelante, “la Corte Interamericana”, “la Corte” o “el Tribunal”).</w:t>
      </w:r>
    </w:p>
    <w:p w14:paraId="7964E11A" w14:textId="77777777" w:rsidR="002C4D6A" w:rsidRDefault="002C4D6A" w:rsidP="002C4D6A">
      <w:pPr>
        <w:tabs>
          <w:tab w:val="left" w:pos="567"/>
          <w:tab w:val="left" w:pos="810"/>
        </w:tabs>
        <w:rPr>
          <w:lang w:val="es-CR"/>
        </w:rPr>
      </w:pPr>
    </w:p>
    <w:p w14:paraId="2E1C8C78" w14:textId="77777777" w:rsidR="002C4D6A" w:rsidRPr="00E14C3D" w:rsidRDefault="00E14C3D" w:rsidP="002C4D6A">
      <w:pPr>
        <w:widowControl w:val="0"/>
        <w:numPr>
          <w:ilvl w:val="0"/>
          <w:numId w:val="2"/>
        </w:numPr>
        <w:tabs>
          <w:tab w:val="left" w:pos="567"/>
          <w:tab w:val="left" w:pos="810"/>
        </w:tabs>
        <w:autoSpaceDE w:val="0"/>
        <w:autoSpaceDN w:val="0"/>
        <w:adjustRightInd w:val="0"/>
        <w:spacing w:after="0" w:line="240" w:lineRule="auto"/>
        <w:ind w:left="0" w:right="22" w:firstLine="0"/>
        <w:jc w:val="both"/>
        <w:rPr>
          <w:rFonts w:eastAsia="Times New Roman"/>
          <w:lang w:val="es-CL"/>
        </w:rPr>
      </w:pPr>
      <w:r>
        <w:t>La Comisión ofreció como prueba una declaración pericial</w:t>
      </w:r>
      <w:r w:rsidR="002C4D6A">
        <w:t xml:space="preserve">. Los representantes </w:t>
      </w:r>
      <w:r>
        <w:t xml:space="preserve">ofrecieron las declaraciones de dos </w:t>
      </w:r>
      <w:r w:rsidR="002C4D6A">
        <w:t>presuntas víctimas,</w:t>
      </w:r>
      <w:r>
        <w:rPr>
          <w:b/>
          <w:lang w:val="es-CR"/>
        </w:rPr>
        <w:t xml:space="preserve"> </w:t>
      </w:r>
      <w:r w:rsidRPr="00E14C3D">
        <w:rPr>
          <w:lang w:val="es-CR"/>
        </w:rPr>
        <w:t>siete</w:t>
      </w:r>
      <w:r>
        <w:rPr>
          <w:b/>
          <w:lang w:val="es-CR"/>
        </w:rPr>
        <w:t xml:space="preserve"> </w:t>
      </w:r>
      <w:r w:rsidR="002C4D6A">
        <w:t>testigo</w:t>
      </w:r>
      <w:r>
        <w:t>s</w:t>
      </w:r>
      <w:r w:rsidR="002C4D6A">
        <w:t xml:space="preserve"> y</w:t>
      </w:r>
      <w:r>
        <w:t xml:space="preserve"> dos</w:t>
      </w:r>
      <w:r w:rsidR="002C4D6A">
        <w:rPr>
          <w:b/>
          <w:lang w:val="es-CR"/>
        </w:rPr>
        <w:t xml:space="preserve"> </w:t>
      </w:r>
      <w:r w:rsidR="002C4D6A">
        <w:t xml:space="preserve">peritajes. El Estado </w:t>
      </w:r>
      <w:r>
        <w:t>no ofreció declarantes</w:t>
      </w:r>
      <w:r w:rsidR="002C4D6A">
        <w:t xml:space="preserve">. </w:t>
      </w:r>
      <w:r w:rsidR="002C4D6A">
        <w:rPr>
          <w:rFonts w:eastAsia="Times New Roman"/>
          <w:lang w:val="es-CL"/>
        </w:rPr>
        <w:t xml:space="preserve">La Corte garantizó a las partes el derecho de defensa respecto de los ofrecimientos probatorios oportunamente realizados. </w:t>
      </w:r>
      <w:r w:rsidRPr="00E14C3D">
        <w:rPr>
          <w:lang w:val="es-CR"/>
        </w:rPr>
        <w:t>No se presentaron recusaciones ni objeciones a la prueba ofrecida.</w:t>
      </w:r>
    </w:p>
    <w:p w14:paraId="1845B256" w14:textId="77777777" w:rsidR="002C4D6A" w:rsidRDefault="002C4D6A" w:rsidP="002C4D6A">
      <w:pPr>
        <w:tabs>
          <w:tab w:val="left" w:pos="567"/>
          <w:tab w:val="left" w:pos="810"/>
        </w:tabs>
        <w:rPr>
          <w:lang w:val="es-CR"/>
        </w:rPr>
      </w:pPr>
    </w:p>
    <w:p w14:paraId="44D73F72" w14:textId="77777777" w:rsidR="002C4D6A" w:rsidRDefault="002C4D6A" w:rsidP="002C4D6A">
      <w:pPr>
        <w:widowControl w:val="0"/>
        <w:numPr>
          <w:ilvl w:val="0"/>
          <w:numId w:val="2"/>
        </w:numPr>
        <w:tabs>
          <w:tab w:val="left" w:pos="567"/>
          <w:tab w:val="left" w:pos="810"/>
        </w:tabs>
        <w:autoSpaceDE w:val="0"/>
        <w:autoSpaceDN w:val="0"/>
        <w:adjustRightInd w:val="0"/>
        <w:spacing w:after="0" w:line="240" w:lineRule="auto"/>
        <w:ind w:left="0" w:right="22" w:firstLine="0"/>
        <w:jc w:val="both"/>
        <w:rPr>
          <w:lang w:val="es-CR"/>
        </w:rPr>
      </w:pPr>
      <w:r>
        <w:rPr>
          <w:lang w:val="es-CR"/>
        </w:rPr>
        <w:t xml:space="preserve">En cuanto a las declaraciones de </w:t>
      </w:r>
      <w:r w:rsidRPr="007663A7">
        <w:rPr>
          <w:lang w:val="es-CR"/>
        </w:rPr>
        <w:t>presuntas víctimas, testigos y peritos</w:t>
      </w:r>
      <w:r>
        <w:rPr>
          <w:lang w:val="es-CR"/>
        </w:rPr>
        <w:t xml:space="preserve"> ofrecidas, </w:t>
      </w:r>
      <w:r>
        <w:rPr>
          <w:lang w:val="es-CR"/>
        </w:rPr>
        <w:lastRenderedPageBreak/>
        <w:t xml:space="preserve">esta </w:t>
      </w:r>
      <w:r>
        <w:t>Presidencia</w:t>
      </w:r>
      <w:r>
        <w:rPr>
          <w:lang w:val="es-CR"/>
        </w:rPr>
        <w:t xml:space="preserve"> considera conveniente recabarlas, a efectos de que el Tribunal pueda apreciar su valor en la debida oportunidad procesal, dentro del contexto del acervo probatorio existente y según las reglas de la s</w:t>
      </w:r>
      <w:r w:rsidR="00354330">
        <w:rPr>
          <w:lang w:val="es-CR"/>
        </w:rPr>
        <w:t xml:space="preserve">ana crítica. Por consiguiente, </w:t>
      </w:r>
      <w:r>
        <w:rPr>
          <w:lang w:val="es-CR"/>
        </w:rPr>
        <w:t>l</w:t>
      </w:r>
      <w:r w:rsidR="00354330">
        <w:rPr>
          <w:lang w:val="es-CR"/>
        </w:rPr>
        <w:t>a Presidenta</w:t>
      </w:r>
      <w:r>
        <w:rPr>
          <w:lang w:val="es-CR"/>
        </w:rPr>
        <w:t xml:space="preserve"> admite la declaración de las presuntas víctimas </w:t>
      </w:r>
      <w:r w:rsidR="005E3630">
        <w:rPr>
          <w:lang w:val="es-CR"/>
        </w:rPr>
        <w:t xml:space="preserve">Ángel Acosta Martínez y Blanca Rosa Martínez, de los testigos Bárbara Mac </w:t>
      </w:r>
      <w:proofErr w:type="spellStart"/>
      <w:r w:rsidR="005E3630">
        <w:rPr>
          <w:lang w:val="es-CR"/>
        </w:rPr>
        <w:t>Guire</w:t>
      </w:r>
      <w:proofErr w:type="spellEnd"/>
      <w:r w:rsidR="005E3630">
        <w:rPr>
          <w:lang w:val="es-CR"/>
        </w:rPr>
        <w:t xml:space="preserve">, Andrés Alberto Fresco, Verónica Andrea </w:t>
      </w:r>
      <w:proofErr w:type="spellStart"/>
      <w:r w:rsidR="005E3630">
        <w:rPr>
          <w:lang w:val="es-CR"/>
        </w:rPr>
        <w:t>Brotzman</w:t>
      </w:r>
      <w:proofErr w:type="spellEnd"/>
      <w:r w:rsidR="005E3630">
        <w:rPr>
          <w:lang w:val="es-CR"/>
        </w:rPr>
        <w:t>, Lucía D. Molina, Mary Sandra Chagas Techera, Fernando Ramírez Abella y Néstor Diego Martínez Gutiérrez</w:t>
      </w:r>
      <w:r>
        <w:rPr>
          <w:b/>
          <w:lang w:val="es-CR"/>
        </w:rPr>
        <w:t xml:space="preserve"> </w:t>
      </w:r>
      <w:r>
        <w:rPr>
          <w:lang w:val="es-CR"/>
        </w:rPr>
        <w:t>y</w:t>
      </w:r>
      <w:r>
        <w:rPr>
          <w:b/>
          <w:lang w:val="es-CR"/>
        </w:rPr>
        <w:t xml:space="preserve"> </w:t>
      </w:r>
      <w:r>
        <w:rPr>
          <w:lang w:val="es-CR"/>
        </w:rPr>
        <w:t>de los peritos</w:t>
      </w:r>
      <w:r w:rsidR="005E3630">
        <w:rPr>
          <w:lang w:val="es-CR"/>
        </w:rPr>
        <w:t xml:space="preserve"> Juan Pablo </w:t>
      </w:r>
      <w:proofErr w:type="spellStart"/>
      <w:r w:rsidR="005E3630">
        <w:rPr>
          <w:lang w:val="es-CR"/>
        </w:rPr>
        <w:t>Gomara</w:t>
      </w:r>
      <w:proofErr w:type="spellEnd"/>
      <w:r w:rsidR="005E3630">
        <w:rPr>
          <w:lang w:val="es-CR"/>
        </w:rPr>
        <w:t>,</w:t>
      </w:r>
      <w:r>
        <w:rPr>
          <w:lang w:val="es-CR"/>
        </w:rPr>
        <w:t xml:space="preserve"> </w:t>
      </w:r>
      <w:r w:rsidR="005E3630">
        <w:rPr>
          <w:lang w:val="es-CR"/>
        </w:rPr>
        <w:t>Alejandro Frigerio y Víctor Manuel Rodríguez Gonzáles</w:t>
      </w:r>
      <w:r>
        <w:rPr>
          <w:b/>
          <w:lang w:val="es-CR"/>
        </w:rPr>
        <w:t xml:space="preserve"> </w:t>
      </w:r>
      <w:r>
        <w:rPr>
          <w:lang w:val="es-CR"/>
        </w:rPr>
        <w:t xml:space="preserve">según el objeto y modalidad determinados en la parte resolutiva de esta decisión. </w:t>
      </w:r>
    </w:p>
    <w:p w14:paraId="10A9C6B8" w14:textId="77777777" w:rsidR="002C4D6A" w:rsidRDefault="002C4D6A" w:rsidP="002C4D6A">
      <w:pPr>
        <w:tabs>
          <w:tab w:val="left" w:pos="567"/>
        </w:tabs>
        <w:rPr>
          <w:lang w:val="es-CR"/>
        </w:rPr>
      </w:pPr>
    </w:p>
    <w:p w14:paraId="5C392D33" w14:textId="29234579" w:rsidR="002C4D6A" w:rsidRDefault="002C4D6A" w:rsidP="002C4D6A">
      <w:pPr>
        <w:widowControl w:val="0"/>
        <w:numPr>
          <w:ilvl w:val="0"/>
          <w:numId w:val="2"/>
        </w:numPr>
        <w:tabs>
          <w:tab w:val="left" w:pos="567"/>
          <w:tab w:val="left" w:pos="810"/>
        </w:tabs>
        <w:autoSpaceDE w:val="0"/>
        <w:autoSpaceDN w:val="0"/>
        <w:adjustRightInd w:val="0"/>
        <w:spacing w:after="0" w:line="240" w:lineRule="auto"/>
        <w:ind w:left="0" w:right="22" w:firstLine="0"/>
        <w:jc w:val="both"/>
        <w:rPr>
          <w:lang w:val="es-CR"/>
        </w:rPr>
      </w:pPr>
      <w:r>
        <w:rPr>
          <w:lang w:val="es-CR"/>
        </w:rPr>
        <w:t xml:space="preserve"> </w:t>
      </w:r>
      <w:r w:rsidR="00E27054">
        <w:rPr>
          <w:lang w:val="es-CR"/>
        </w:rPr>
        <w:t xml:space="preserve">A continuación, </w:t>
      </w:r>
      <w:r>
        <w:rPr>
          <w:lang w:val="es-CR"/>
        </w:rPr>
        <w:t>l</w:t>
      </w:r>
      <w:r w:rsidR="00E27054">
        <w:rPr>
          <w:lang w:val="es-CR"/>
        </w:rPr>
        <w:t>a Presidenta</w:t>
      </w:r>
      <w:r>
        <w:rPr>
          <w:lang w:val="es-CR"/>
        </w:rPr>
        <w:t xml:space="preserve"> examinará en forma particular: a) la prueba pericial ofrecida por la Comisión; </w:t>
      </w:r>
      <w:r w:rsidR="00144B6F">
        <w:rPr>
          <w:lang w:val="es-CR"/>
        </w:rPr>
        <w:t>b</w:t>
      </w:r>
      <w:r>
        <w:rPr>
          <w:lang w:val="es-CR"/>
        </w:rPr>
        <w:t xml:space="preserve">) </w:t>
      </w:r>
      <w:r w:rsidRPr="005E3630">
        <w:t>la aplicación del Fondo de Asistencia Legal de Víctimas ante la Corte</w:t>
      </w:r>
      <w:r>
        <w:t xml:space="preserve"> (en adelante, “el Fondo de Asistencia” o “el Fondo”)</w:t>
      </w:r>
      <w:r>
        <w:rPr>
          <w:lang w:val="es-CR"/>
        </w:rPr>
        <w:t xml:space="preserve">. </w:t>
      </w:r>
    </w:p>
    <w:p w14:paraId="1887EBC0" w14:textId="77777777" w:rsidR="002C4D6A" w:rsidRDefault="002C4D6A" w:rsidP="002C4D6A">
      <w:pPr>
        <w:tabs>
          <w:tab w:val="left" w:pos="567"/>
        </w:tabs>
        <w:rPr>
          <w:lang w:val="es-CR"/>
        </w:rPr>
      </w:pPr>
    </w:p>
    <w:p w14:paraId="316BDFA5" w14:textId="77777777" w:rsidR="002C4D6A" w:rsidRDefault="002C4D6A" w:rsidP="002C4D6A">
      <w:pPr>
        <w:widowControl w:val="0"/>
        <w:numPr>
          <w:ilvl w:val="0"/>
          <w:numId w:val="3"/>
        </w:numPr>
        <w:tabs>
          <w:tab w:val="left" w:pos="567"/>
        </w:tabs>
        <w:autoSpaceDE w:val="0"/>
        <w:autoSpaceDN w:val="0"/>
        <w:adjustRightInd w:val="0"/>
        <w:spacing w:after="0" w:line="240" w:lineRule="auto"/>
        <w:ind w:right="10" w:hanging="513"/>
        <w:jc w:val="both"/>
        <w:rPr>
          <w:b/>
          <w:bCs/>
          <w:i/>
          <w:iCs/>
          <w:lang w:val="es-CR"/>
        </w:rPr>
      </w:pPr>
      <w:r>
        <w:rPr>
          <w:b/>
          <w:bCs/>
          <w:i/>
          <w:iCs/>
          <w:lang w:val="es-CR"/>
        </w:rPr>
        <w:t xml:space="preserve">La prueba pericial ofrecida por la Comisión Interamericana </w:t>
      </w:r>
    </w:p>
    <w:p w14:paraId="126F8DF1" w14:textId="77777777" w:rsidR="002C4D6A" w:rsidRDefault="002C4D6A" w:rsidP="002C4D6A">
      <w:pPr>
        <w:tabs>
          <w:tab w:val="left" w:pos="567"/>
        </w:tabs>
        <w:ind w:left="1080" w:right="10"/>
        <w:rPr>
          <w:b/>
          <w:bCs/>
          <w:i/>
          <w:iCs/>
          <w:lang w:val="es-CR"/>
        </w:rPr>
      </w:pPr>
    </w:p>
    <w:p w14:paraId="5CA51796" w14:textId="77777777" w:rsidR="002C4D6A" w:rsidRDefault="002C4D6A" w:rsidP="002C4D6A">
      <w:pPr>
        <w:widowControl w:val="0"/>
        <w:numPr>
          <w:ilvl w:val="0"/>
          <w:numId w:val="2"/>
        </w:numPr>
        <w:tabs>
          <w:tab w:val="left" w:pos="567"/>
          <w:tab w:val="left" w:pos="810"/>
        </w:tabs>
        <w:autoSpaceDE w:val="0"/>
        <w:autoSpaceDN w:val="0"/>
        <w:adjustRightInd w:val="0"/>
        <w:spacing w:after="0" w:line="240" w:lineRule="auto"/>
        <w:ind w:left="0" w:right="22" w:firstLine="0"/>
        <w:jc w:val="both"/>
      </w:pPr>
      <w:r>
        <w:t>La Comisión ofreció como prueba p</w:t>
      </w:r>
      <w:r w:rsidR="003C4E38">
        <w:t xml:space="preserve">ericial los dictámenes del señor Juan Pablo </w:t>
      </w:r>
      <w:proofErr w:type="spellStart"/>
      <w:r w:rsidR="003C4E38">
        <w:t>Gomara</w:t>
      </w:r>
      <w:proofErr w:type="spellEnd"/>
      <w:r>
        <w:t>, para declarar sobre</w:t>
      </w:r>
      <w:r w:rsidR="003C4E38">
        <w:rPr>
          <w:b/>
          <w:lang w:val="es-CR"/>
        </w:rPr>
        <w:t xml:space="preserve"> </w:t>
      </w:r>
      <w:r w:rsidR="003C4E38" w:rsidRPr="003C4E38">
        <w:rPr>
          <w:lang w:val="es-CR"/>
        </w:rPr>
        <w:t>las obligaciones internacionales</w:t>
      </w:r>
      <w:r w:rsidR="003C4E38">
        <w:t xml:space="preserve"> de los Estados en el marco del otorgamiento de facultades de detención a cuerpos de seguridad, cuando no exista orden de autoridad competente ni flagrancia</w:t>
      </w:r>
      <w:r>
        <w:t>.  Al respecto, la Comisión consideró que los peritajes ofrecidos podrán aportar elementos de análisis sobre aspectos de orden público interamericano, en los términos d</w:t>
      </w:r>
      <w:r>
        <w:rPr>
          <w:rFonts w:eastAsia="Times New Roman"/>
          <w:lang w:val="es-CL"/>
        </w:rPr>
        <w:t xml:space="preserve">el artículo 31.5 f) del Reglamento, refiriéndose a que el presente caso permitiría a la Corte </w:t>
      </w:r>
      <w:r w:rsidR="00407E1D">
        <w:rPr>
          <w:rFonts w:eastAsia="Times New Roman"/>
          <w:lang w:val="es-CL"/>
        </w:rPr>
        <w:t>“profundizar su jurisprudencia sobre los requisitos y condiciones en las cuales las personas pueden ser detenidas por agentes policiales cuando no exista una orden judicial ni flagrancia</w:t>
      </w:r>
      <w:r w:rsidR="003A50CB">
        <w:rPr>
          <w:rFonts w:eastAsia="Times New Roman"/>
          <w:lang w:val="es-CL"/>
        </w:rPr>
        <w:t>”</w:t>
      </w:r>
      <w:r w:rsidR="00407E1D">
        <w:rPr>
          <w:rFonts w:eastAsia="Times New Roman"/>
          <w:lang w:val="es-CL"/>
        </w:rPr>
        <w:t xml:space="preserve">, así como </w:t>
      </w:r>
      <w:r>
        <w:rPr>
          <w:rFonts w:eastAsia="Times New Roman"/>
          <w:lang w:val="es-CL"/>
        </w:rPr>
        <w:t>“</w:t>
      </w:r>
      <w:r w:rsidR="00407E1D">
        <w:rPr>
          <w:rFonts w:eastAsia="Times New Roman"/>
          <w:lang w:val="es-CL"/>
        </w:rPr>
        <w:t>el desarrollo de la jurisprudencia interamericana en materia de derechos de las personas afrodescendientes</w:t>
      </w:r>
      <w:r>
        <w:rPr>
          <w:rFonts w:eastAsia="Times New Roman"/>
          <w:lang w:val="es-CL"/>
        </w:rPr>
        <w:t>”</w:t>
      </w:r>
      <w:r>
        <w:rPr>
          <w:rFonts w:cs="Times New Roman"/>
          <w:lang w:val="es-CR" w:eastAsia="es-CR"/>
        </w:rPr>
        <w:t xml:space="preserve">. </w:t>
      </w:r>
      <w:r w:rsidR="00407E1D">
        <w:t>Específicamente</w:t>
      </w:r>
      <w:r>
        <w:rPr>
          <w:rFonts w:cs="Times New Roman"/>
          <w:lang w:val="es-CR" w:eastAsia="es-CR"/>
        </w:rPr>
        <w:t>, la Comisión señaló que la Corte podría analizar</w:t>
      </w:r>
      <w:r w:rsidR="00407E1D">
        <w:rPr>
          <w:rFonts w:cs="Times New Roman"/>
          <w:lang w:val="es-CR" w:eastAsia="es-CR"/>
        </w:rPr>
        <w:t xml:space="preserve"> la</w:t>
      </w:r>
      <w:r>
        <w:rPr>
          <w:rFonts w:cs="Times New Roman"/>
          <w:lang w:val="es-CR" w:eastAsia="es-CR"/>
        </w:rPr>
        <w:t xml:space="preserve"> </w:t>
      </w:r>
      <w:r w:rsidR="00407E1D">
        <w:rPr>
          <w:rFonts w:cs="Times New Roman"/>
          <w:lang w:val="es-CR" w:eastAsia="es-CR"/>
        </w:rPr>
        <w:t>“privación de la libertad basada en perfil racial y podrá fortalecer su jurisprudencia respecto a garantías procesales y sustantivas que deben revestir las detenciones, así como respecto de la obligación del Estado de salvaguardar la integridad física y vida de las personas que se encuentren bajo su custodia</w:t>
      </w:r>
      <w:r>
        <w:rPr>
          <w:rFonts w:cs="Times New Roman"/>
          <w:lang w:val="es-CR" w:eastAsia="es-CR"/>
        </w:rPr>
        <w:t xml:space="preserve">”. </w:t>
      </w:r>
    </w:p>
    <w:p w14:paraId="4486C8CF" w14:textId="77777777" w:rsidR="002C4D6A" w:rsidRDefault="002C4D6A" w:rsidP="002C4D6A">
      <w:pPr>
        <w:tabs>
          <w:tab w:val="left" w:pos="567"/>
          <w:tab w:val="left" w:pos="810"/>
        </w:tabs>
      </w:pPr>
    </w:p>
    <w:p w14:paraId="01D27596" w14:textId="77777777" w:rsidR="002C4D6A" w:rsidRDefault="00C4081A" w:rsidP="002C4D6A">
      <w:pPr>
        <w:widowControl w:val="0"/>
        <w:numPr>
          <w:ilvl w:val="0"/>
          <w:numId w:val="2"/>
        </w:numPr>
        <w:tabs>
          <w:tab w:val="left" w:pos="567"/>
          <w:tab w:val="left" w:pos="810"/>
        </w:tabs>
        <w:autoSpaceDE w:val="0"/>
        <w:autoSpaceDN w:val="0"/>
        <w:adjustRightInd w:val="0"/>
        <w:spacing w:after="0" w:line="240" w:lineRule="auto"/>
        <w:ind w:left="0" w:right="22" w:firstLine="0"/>
        <w:jc w:val="both"/>
      </w:pPr>
      <w:r>
        <w:t>El Estado no presentó ninguna observación a la designación de este perito</w:t>
      </w:r>
      <w:r w:rsidR="002C4D6A">
        <w:rPr>
          <w:lang w:val="es-CR"/>
        </w:rPr>
        <w:t>.</w:t>
      </w:r>
    </w:p>
    <w:p w14:paraId="01F59A71" w14:textId="77777777" w:rsidR="002C4D6A" w:rsidRDefault="002C4D6A" w:rsidP="002C4D6A"/>
    <w:p w14:paraId="46329534" w14:textId="77777777" w:rsidR="002C4D6A" w:rsidRDefault="00204434" w:rsidP="002C4D6A">
      <w:pPr>
        <w:widowControl w:val="0"/>
        <w:numPr>
          <w:ilvl w:val="0"/>
          <w:numId w:val="2"/>
        </w:numPr>
        <w:tabs>
          <w:tab w:val="left" w:pos="567"/>
          <w:tab w:val="left" w:pos="720"/>
          <w:tab w:val="left" w:pos="810"/>
        </w:tabs>
        <w:autoSpaceDE w:val="0"/>
        <w:autoSpaceDN w:val="0"/>
        <w:adjustRightInd w:val="0"/>
        <w:spacing w:after="0" w:line="240" w:lineRule="auto"/>
        <w:ind w:left="0" w:right="22" w:firstLine="0"/>
        <w:jc w:val="both"/>
        <w:rPr>
          <w:lang w:val="es-CR"/>
        </w:rPr>
      </w:pPr>
      <w:r>
        <w:t>La Presidenta</w:t>
      </w:r>
      <w:r w:rsidR="002C4D6A">
        <w:t xml:space="preserve"> recuerda que, de acuerdo con lo establecido en el artículo 35.1.f) del Reglamento, la “eventual designación de peritos” podrá ser efectuada por la Comisión Interamericana “cuando se afecte de manera relevante el orden público interamericano de los derechos humanos”, cuyo fundamento y objeto tienen que ser adecuadamente sustentados</w:t>
      </w:r>
      <w:r w:rsidR="002C4D6A">
        <w:rPr>
          <w:rStyle w:val="Refdenotaalpie"/>
          <w:szCs w:val="20"/>
        </w:rPr>
        <w:footnoteReference w:id="2"/>
      </w:r>
      <w:r w:rsidR="002C4D6A">
        <w:t>. El sentido de esta disposición hace de la designación de peritos por parte de la Comisión un hecho excepcional, sujeto a ese requisito, que no se cumple por el solo hecho de que la prueba que se procura producir tenga relación con una alegada violación de derechos humanos</w:t>
      </w:r>
      <w:r w:rsidR="002C4D6A">
        <w:rPr>
          <w:rStyle w:val="Refdenotaalpie"/>
          <w:szCs w:val="20"/>
        </w:rPr>
        <w:footnoteReference w:id="3"/>
      </w:r>
      <w:r w:rsidR="002C4D6A">
        <w:t xml:space="preserve">. </w:t>
      </w:r>
    </w:p>
    <w:p w14:paraId="1D92C68D" w14:textId="77777777" w:rsidR="002C4D6A" w:rsidRDefault="002C4D6A" w:rsidP="002C4D6A"/>
    <w:p w14:paraId="22D7D92E" w14:textId="77777777" w:rsidR="002C4D6A" w:rsidRPr="00F167AF" w:rsidRDefault="002C4D6A" w:rsidP="002C4D6A">
      <w:pPr>
        <w:widowControl w:val="0"/>
        <w:numPr>
          <w:ilvl w:val="0"/>
          <w:numId w:val="2"/>
        </w:numPr>
        <w:tabs>
          <w:tab w:val="left" w:pos="567"/>
          <w:tab w:val="left" w:pos="720"/>
          <w:tab w:val="left" w:pos="810"/>
        </w:tabs>
        <w:autoSpaceDE w:val="0"/>
        <w:autoSpaceDN w:val="0"/>
        <w:adjustRightInd w:val="0"/>
        <w:spacing w:after="0" w:line="240" w:lineRule="auto"/>
        <w:ind w:left="0" w:right="22" w:firstLine="0"/>
        <w:jc w:val="both"/>
        <w:rPr>
          <w:lang w:val="es-CR"/>
        </w:rPr>
      </w:pPr>
      <w:r>
        <w:t xml:space="preserve">Por otro lado, </w:t>
      </w:r>
      <w:r w:rsidR="00C4081A">
        <w:rPr>
          <w:lang w:val="es-CR"/>
        </w:rPr>
        <w:t>el objeto del peritaje ofrecido</w:t>
      </w:r>
      <w:r>
        <w:rPr>
          <w:lang w:val="es-CR"/>
        </w:rPr>
        <w:t xml:space="preserve"> por la Comisión </w:t>
      </w:r>
      <w:r w:rsidR="00C4081A" w:rsidRPr="00C4081A">
        <w:rPr>
          <w:lang w:val="es-CR"/>
        </w:rPr>
        <w:t>resulta relevante</w:t>
      </w:r>
      <w:r>
        <w:rPr>
          <w:lang w:val="es-CR"/>
        </w:rPr>
        <w:t xml:space="preserve"> para el orden público interamericano, debido a que implican un análisis de estándares internacionales relativos a </w:t>
      </w:r>
      <w:r w:rsidR="00C4081A">
        <w:rPr>
          <w:lang w:val="es-CR"/>
        </w:rPr>
        <w:t>las garantías procesales y sustantivas que deben revestir las detenciones policiales</w:t>
      </w:r>
      <w:r>
        <w:rPr>
          <w:lang w:val="es-CR"/>
        </w:rPr>
        <w:t xml:space="preserve">. En ese sentido, el objeto </w:t>
      </w:r>
      <w:r w:rsidR="00C4081A">
        <w:rPr>
          <w:lang w:val="es-CR"/>
        </w:rPr>
        <w:t>del peritaje</w:t>
      </w:r>
      <w:r>
        <w:rPr>
          <w:lang w:val="es-CR"/>
        </w:rPr>
        <w:t xml:space="preserve"> </w:t>
      </w:r>
      <w:r w:rsidR="00C4081A" w:rsidRPr="00C4081A">
        <w:rPr>
          <w:lang w:val="es-CR"/>
        </w:rPr>
        <w:t>trasciende</w:t>
      </w:r>
      <w:r>
        <w:rPr>
          <w:lang w:val="es-CR"/>
        </w:rPr>
        <w:t xml:space="preserve"> los intereses específicos de las partes en el proceso y </w:t>
      </w:r>
      <w:r w:rsidR="00C4081A" w:rsidRPr="00C4081A">
        <w:rPr>
          <w:lang w:val="es-CR"/>
        </w:rPr>
        <w:t>puede</w:t>
      </w:r>
      <w:r w:rsidRPr="00C4081A">
        <w:rPr>
          <w:lang w:val="es-CR"/>
        </w:rPr>
        <w:t>, eventualmente,</w:t>
      </w:r>
      <w:r>
        <w:rPr>
          <w:lang w:val="es-CR"/>
        </w:rPr>
        <w:t xml:space="preserve"> tener impacto sobre situaciones que se presentan en otros Estados Parte en la Convención</w:t>
      </w:r>
      <w:r>
        <w:rPr>
          <w:rStyle w:val="Refdenotaalpie"/>
          <w:szCs w:val="20"/>
          <w:lang w:val="es-CR"/>
        </w:rPr>
        <w:footnoteReference w:id="4"/>
      </w:r>
      <w:r w:rsidR="00204434">
        <w:rPr>
          <w:lang w:val="es-CR"/>
        </w:rPr>
        <w:t xml:space="preserve">. En consecuencia, </w:t>
      </w:r>
      <w:r>
        <w:rPr>
          <w:lang w:val="es-CR"/>
        </w:rPr>
        <w:t>l</w:t>
      </w:r>
      <w:r w:rsidR="00204434">
        <w:rPr>
          <w:lang w:val="es-CR"/>
        </w:rPr>
        <w:t>a Presidenta</w:t>
      </w:r>
      <w:r>
        <w:rPr>
          <w:lang w:val="es-CR"/>
        </w:rPr>
        <w:t xml:space="preserve"> estima pertinente </w:t>
      </w:r>
      <w:r w:rsidRPr="00C4081A">
        <w:rPr>
          <w:lang w:val="es-CR"/>
        </w:rPr>
        <w:t>admitir</w:t>
      </w:r>
      <w:r>
        <w:rPr>
          <w:lang w:val="es-CR"/>
        </w:rPr>
        <w:t xml:space="preserve"> </w:t>
      </w:r>
      <w:r w:rsidR="00C4081A">
        <w:rPr>
          <w:lang w:val="es-CR"/>
        </w:rPr>
        <w:t>el dictamen pericial ofrecido por la Comisión</w:t>
      </w:r>
      <w:r>
        <w:rPr>
          <w:lang w:val="es-CR"/>
        </w:rPr>
        <w:t xml:space="preserve">, </w:t>
      </w:r>
      <w:r w:rsidRPr="00C4081A">
        <w:rPr>
          <w:lang w:val="es-CR"/>
        </w:rPr>
        <w:t>según el objeto y modalidad determinados en la parte resolutiva de la presente decisión</w:t>
      </w:r>
      <w:r>
        <w:rPr>
          <w:lang w:val="es-CR"/>
        </w:rPr>
        <w:t xml:space="preserve">. </w:t>
      </w:r>
    </w:p>
    <w:p w14:paraId="6866AA10" w14:textId="492CE9F4" w:rsidR="002C4D6A" w:rsidRDefault="002C4D6A" w:rsidP="002C4D6A"/>
    <w:p w14:paraId="4E1B8A59" w14:textId="1B69BBDA" w:rsidR="002C4D6A" w:rsidRPr="00144B6F" w:rsidRDefault="002C4D6A" w:rsidP="00D85FEE">
      <w:pPr>
        <w:pStyle w:val="Prrafodelista"/>
        <w:widowControl w:val="0"/>
        <w:numPr>
          <w:ilvl w:val="0"/>
          <w:numId w:val="3"/>
        </w:numPr>
        <w:tabs>
          <w:tab w:val="left" w:pos="567"/>
        </w:tabs>
        <w:autoSpaceDE w:val="0"/>
        <w:autoSpaceDN w:val="0"/>
        <w:adjustRightInd w:val="0"/>
        <w:spacing w:after="0" w:line="240" w:lineRule="auto"/>
        <w:ind w:right="22"/>
        <w:jc w:val="both"/>
      </w:pPr>
      <w:r w:rsidRPr="00144B6F">
        <w:rPr>
          <w:b/>
          <w:i/>
          <w:u w:val="single"/>
        </w:rPr>
        <w:t xml:space="preserve">Aplicación </w:t>
      </w:r>
      <w:r w:rsidRPr="00144B6F">
        <w:rPr>
          <w:b/>
          <w:i/>
          <w:u w:val="single"/>
          <w:lang w:val="es-CR"/>
        </w:rPr>
        <w:t>del</w:t>
      </w:r>
      <w:r w:rsidRPr="00144B6F">
        <w:rPr>
          <w:b/>
          <w:i/>
          <w:u w:val="single"/>
        </w:rPr>
        <w:t xml:space="preserve"> Fondo de Asistenci</w:t>
      </w:r>
      <w:bookmarkStart w:id="7" w:name="_Ref326590102"/>
      <w:r w:rsidR="00144B6F">
        <w:rPr>
          <w:b/>
          <w:i/>
          <w:u w:val="single"/>
        </w:rPr>
        <w:t>a Legal de Víctimas ante la Corte</w:t>
      </w:r>
    </w:p>
    <w:p w14:paraId="425850F8" w14:textId="77777777" w:rsidR="00144B6F" w:rsidRDefault="00144B6F" w:rsidP="00144B6F">
      <w:pPr>
        <w:widowControl w:val="0"/>
        <w:tabs>
          <w:tab w:val="left" w:pos="567"/>
        </w:tabs>
        <w:autoSpaceDE w:val="0"/>
        <w:autoSpaceDN w:val="0"/>
        <w:adjustRightInd w:val="0"/>
        <w:spacing w:after="0" w:line="240" w:lineRule="auto"/>
        <w:ind w:left="360" w:right="22"/>
        <w:jc w:val="both"/>
      </w:pPr>
    </w:p>
    <w:bookmarkEnd w:id="7"/>
    <w:p w14:paraId="11974CB4" w14:textId="575A152A" w:rsidR="002C4D6A" w:rsidRDefault="002C4D6A" w:rsidP="002C4D6A">
      <w:pPr>
        <w:widowControl w:val="0"/>
        <w:numPr>
          <w:ilvl w:val="0"/>
          <w:numId w:val="2"/>
        </w:numPr>
        <w:tabs>
          <w:tab w:val="left" w:pos="567"/>
          <w:tab w:val="left" w:pos="720"/>
          <w:tab w:val="left" w:pos="810"/>
        </w:tabs>
        <w:autoSpaceDE w:val="0"/>
        <w:autoSpaceDN w:val="0"/>
        <w:adjustRightInd w:val="0"/>
        <w:spacing w:after="0" w:line="240" w:lineRule="auto"/>
        <w:ind w:left="0" w:right="22" w:firstLine="0"/>
        <w:jc w:val="both"/>
        <w:rPr>
          <w:lang w:val="es-CR"/>
        </w:rPr>
      </w:pPr>
      <w:r>
        <w:rPr>
          <w:lang w:val="es-CR"/>
        </w:rPr>
        <w:t xml:space="preserve">En </w:t>
      </w:r>
      <w:r w:rsidR="00144B6F">
        <w:rPr>
          <w:lang w:val="es-CR"/>
        </w:rPr>
        <w:t>comunicación de 22</w:t>
      </w:r>
      <w:r w:rsidR="002E0A02">
        <w:rPr>
          <w:lang w:val="es-CR"/>
        </w:rPr>
        <w:t xml:space="preserve"> de enero de 2020</w:t>
      </w:r>
      <w:r>
        <w:rPr>
          <w:lang w:val="es-CR"/>
        </w:rPr>
        <w:t xml:space="preserve">, se resolvió declarar procedente la solicitud </w:t>
      </w:r>
      <w:r>
        <w:t>realizada</w:t>
      </w:r>
      <w:r>
        <w:rPr>
          <w:lang w:val="es-CR"/>
        </w:rPr>
        <w:t xml:space="preserve"> por las presuntas víctimas, a través de sus representantes, para acogerse al Fondo de Asistencia Legal de Víctimas de la Corte Interamericana. En dicha </w:t>
      </w:r>
      <w:r w:rsidR="002E0A02">
        <w:rPr>
          <w:lang w:val="es-CR"/>
        </w:rPr>
        <w:t>comunicación</w:t>
      </w:r>
      <w:r>
        <w:rPr>
          <w:lang w:val="es-CR"/>
        </w:rPr>
        <w:t xml:space="preserve"> se resolvió que se otorgaría la asistencia económica necesaria para la presentación de </w:t>
      </w:r>
      <w:r w:rsidR="00C56588">
        <w:rPr>
          <w:lang w:val="es-CR"/>
        </w:rPr>
        <w:t>dos declaraciones</w:t>
      </w:r>
      <w:r>
        <w:rPr>
          <w:lang w:val="es-CR"/>
        </w:rPr>
        <w:t>, ya sea en audiencia o por afidávit</w:t>
      </w:r>
      <w:r>
        <w:rPr>
          <w:rStyle w:val="Refdenotaalpie"/>
          <w:szCs w:val="20"/>
          <w:lang w:val="es-CR"/>
        </w:rPr>
        <w:footnoteReference w:id="5"/>
      </w:r>
      <w:r w:rsidR="00C56588">
        <w:rPr>
          <w:lang w:val="es-CR"/>
        </w:rPr>
        <w:t xml:space="preserve"> y para la participación de un representante legal a la audiencia pública</w:t>
      </w:r>
      <w:r>
        <w:t xml:space="preserve">. </w:t>
      </w:r>
      <w:bookmarkStart w:id="8" w:name="_Ref326591155"/>
      <w:r>
        <w:t>Corresponde seguidamente precisar el destino y objeto específicos de dicha asistencia.</w:t>
      </w:r>
    </w:p>
    <w:p w14:paraId="74665D18" w14:textId="77777777" w:rsidR="00C56588" w:rsidRDefault="00C56588" w:rsidP="002C4D6A">
      <w:pPr>
        <w:tabs>
          <w:tab w:val="left" w:pos="567"/>
          <w:tab w:val="left" w:pos="720"/>
          <w:tab w:val="left" w:pos="810"/>
        </w:tabs>
        <w:rPr>
          <w:lang w:val="es-CR"/>
        </w:rPr>
      </w:pPr>
    </w:p>
    <w:p w14:paraId="160E5B68" w14:textId="47BD5D0B" w:rsidR="002C4D6A" w:rsidRDefault="00C56588" w:rsidP="002C4D6A">
      <w:pPr>
        <w:widowControl w:val="0"/>
        <w:numPr>
          <w:ilvl w:val="0"/>
          <w:numId w:val="2"/>
        </w:numPr>
        <w:tabs>
          <w:tab w:val="left" w:pos="567"/>
          <w:tab w:val="left" w:pos="720"/>
          <w:tab w:val="left" w:pos="810"/>
        </w:tabs>
        <w:autoSpaceDE w:val="0"/>
        <w:autoSpaceDN w:val="0"/>
        <w:adjustRightInd w:val="0"/>
        <w:spacing w:after="0" w:line="240" w:lineRule="auto"/>
        <w:ind w:left="0" w:right="22" w:firstLine="0"/>
        <w:jc w:val="both"/>
        <w:rPr>
          <w:lang w:val="es-CR"/>
        </w:rPr>
      </w:pPr>
      <w:r>
        <w:t>La Presidenta</w:t>
      </w:r>
      <w:r w:rsidR="002C4D6A">
        <w:t xml:space="preserve"> dispone que la asistencia económica estará asignada para cubrir los gastos de viaje y estadía necesari</w:t>
      </w:r>
      <w:r>
        <w:t>os para que la presunta ví</w:t>
      </w:r>
      <w:r w:rsidR="00FB26E2">
        <w:t>ctima</w:t>
      </w:r>
      <w:r w:rsidR="00144B6F">
        <w:t>,</w:t>
      </w:r>
      <w:r w:rsidR="00FB26E2">
        <w:t xml:space="preserve"> </w:t>
      </w:r>
      <w:r w:rsidR="00FB26E2" w:rsidRPr="00144B6F">
        <w:rPr>
          <w:b/>
        </w:rPr>
        <w:t>Ángel Acosta Martínez</w:t>
      </w:r>
      <w:r w:rsidR="00FB26E2">
        <w:t xml:space="preserve">, y </w:t>
      </w:r>
      <w:r>
        <w:t>uno de los representantes legales de la víctima</w:t>
      </w:r>
      <w:r w:rsidR="002C4D6A">
        <w:t xml:space="preserve"> comparezcan ante el Tribunal a rendir declaraciones en la audiencia pública por celebrarse en el presente caso. Adicionalmente, los gastos razonables de formalización y envío del afidávit</w:t>
      </w:r>
      <w:r w:rsidR="002C4D6A">
        <w:rPr>
          <w:i/>
        </w:rPr>
        <w:t xml:space="preserve"> </w:t>
      </w:r>
      <w:r w:rsidR="002C4D6A">
        <w:t xml:space="preserve">de </w:t>
      </w:r>
      <w:r>
        <w:rPr>
          <w:lang w:val="es-CR"/>
        </w:rPr>
        <w:t xml:space="preserve">la </w:t>
      </w:r>
      <w:r w:rsidR="002C4D6A">
        <w:t xml:space="preserve">declaración de </w:t>
      </w:r>
      <w:r>
        <w:t xml:space="preserve">la </w:t>
      </w:r>
      <w:r w:rsidR="002C4D6A">
        <w:t xml:space="preserve">presunta víctima </w:t>
      </w:r>
      <w:r w:rsidR="00FB26E2">
        <w:t>Blanca</w:t>
      </w:r>
      <w:r>
        <w:t xml:space="preserve"> Rosa Martínez </w:t>
      </w:r>
      <w:r w:rsidR="002C4D6A">
        <w:t xml:space="preserve">podrá ser cubierta con recursos del referido Fondo de Asistencia. Los representantes deberán </w:t>
      </w:r>
      <w:r w:rsidR="002C4D6A" w:rsidRPr="00FB26E2">
        <w:t xml:space="preserve">comunicar a la Corte el nombre del </w:t>
      </w:r>
      <w:r w:rsidRPr="00FB26E2">
        <w:t>representante legal cuyos gastos de traslado y estadía</w:t>
      </w:r>
      <w:r w:rsidR="002C4D6A" w:rsidRPr="00FB26E2">
        <w:rPr>
          <w:i/>
        </w:rPr>
        <w:t xml:space="preserve"> </w:t>
      </w:r>
      <w:r w:rsidR="002C4D6A" w:rsidRPr="00FB26E2">
        <w:t>será</w:t>
      </w:r>
      <w:r w:rsidRPr="00FB26E2">
        <w:t>n</w:t>
      </w:r>
      <w:r w:rsidR="002C4D6A" w:rsidRPr="00FB26E2">
        <w:t xml:space="preserve"> cubierto</w:t>
      </w:r>
      <w:r w:rsidRPr="00FB26E2">
        <w:t>s</w:t>
      </w:r>
      <w:r w:rsidR="002C4D6A" w:rsidRPr="00FB26E2">
        <w:t xml:space="preserve"> por el Fondo</w:t>
      </w:r>
      <w:r w:rsidR="002C4D6A">
        <w:t xml:space="preserve"> y remitir la cotización del costo de la formalización de la declaración jurada en el país de residencia </w:t>
      </w:r>
      <w:r>
        <w:t>de la declarante</w:t>
      </w:r>
      <w:r w:rsidR="002C4D6A">
        <w:t xml:space="preserve"> y de su envío, en el plazo establecido en la parte resolutiva de esta decisión. </w:t>
      </w:r>
      <w:bookmarkEnd w:id="8"/>
    </w:p>
    <w:p w14:paraId="3FD557A8" w14:textId="77777777" w:rsidR="002C4D6A" w:rsidRDefault="002C4D6A" w:rsidP="002C4D6A">
      <w:pPr>
        <w:tabs>
          <w:tab w:val="left" w:pos="567"/>
          <w:tab w:val="left" w:pos="720"/>
          <w:tab w:val="left" w:pos="810"/>
        </w:tabs>
        <w:rPr>
          <w:lang w:val="es-CR"/>
        </w:rPr>
      </w:pPr>
    </w:p>
    <w:p w14:paraId="7690AEAE" w14:textId="77777777" w:rsidR="002C4D6A" w:rsidRDefault="002C4D6A" w:rsidP="002C4D6A">
      <w:pPr>
        <w:widowControl w:val="0"/>
        <w:numPr>
          <w:ilvl w:val="0"/>
          <w:numId w:val="2"/>
        </w:numPr>
        <w:tabs>
          <w:tab w:val="left" w:pos="567"/>
          <w:tab w:val="left" w:pos="720"/>
          <w:tab w:val="left" w:pos="810"/>
        </w:tabs>
        <w:autoSpaceDE w:val="0"/>
        <w:autoSpaceDN w:val="0"/>
        <w:adjustRightInd w:val="0"/>
        <w:spacing w:after="0" w:line="240" w:lineRule="auto"/>
        <w:ind w:left="0" w:right="22" w:firstLine="0"/>
        <w:jc w:val="both"/>
        <w:rPr>
          <w:lang w:val="es-CR"/>
        </w:rPr>
      </w:pPr>
      <w:r>
        <w:rPr>
          <w:lang w:val="es-CR"/>
        </w:rPr>
        <w:t xml:space="preserve">El Tribunal realizará las gestiones pertinentes y necesarias para cubrir los costos de traslado, alojamiento y manutención de dichos </w:t>
      </w:r>
      <w:r>
        <w:t xml:space="preserve">comparecientes en la audiencia pública con recursos provenientes del Fondo de Asistencia. </w:t>
      </w:r>
      <w:bookmarkStart w:id="9" w:name="_Ref326591026"/>
    </w:p>
    <w:bookmarkEnd w:id="9"/>
    <w:p w14:paraId="7E4F0357" w14:textId="4EEC8BED" w:rsidR="002C4D6A" w:rsidRDefault="002C4D6A" w:rsidP="002C4D6A">
      <w:pPr>
        <w:tabs>
          <w:tab w:val="left" w:pos="567"/>
        </w:tabs>
        <w:spacing w:after="0" w:line="240" w:lineRule="auto"/>
        <w:rPr>
          <w:szCs w:val="20"/>
          <w:lang w:val="es-CR"/>
        </w:rPr>
      </w:pPr>
    </w:p>
    <w:p w14:paraId="38400F80" w14:textId="77777777" w:rsidR="002C4D6A" w:rsidRDefault="002C4D6A" w:rsidP="002C4D6A">
      <w:pPr>
        <w:tabs>
          <w:tab w:val="left" w:pos="567"/>
        </w:tabs>
        <w:spacing w:after="0" w:line="240" w:lineRule="auto"/>
        <w:rPr>
          <w:szCs w:val="20"/>
          <w:lang w:val="es-CR"/>
        </w:rPr>
      </w:pPr>
    </w:p>
    <w:p w14:paraId="0C9F74C0" w14:textId="77777777" w:rsidR="002C4D6A" w:rsidRDefault="002C4D6A" w:rsidP="002C4D6A">
      <w:pPr>
        <w:tabs>
          <w:tab w:val="left" w:pos="567"/>
        </w:tabs>
        <w:spacing w:after="0" w:line="240" w:lineRule="auto"/>
        <w:jc w:val="both"/>
        <w:rPr>
          <w:rFonts w:cs="Verdana"/>
          <w:b/>
          <w:bCs/>
          <w:szCs w:val="20"/>
          <w:lang w:val="es-CR"/>
        </w:rPr>
      </w:pPr>
      <w:r>
        <w:rPr>
          <w:rFonts w:cs="Verdana"/>
          <w:b/>
          <w:bCs/>
          <w:szCs w:val="20"/>
          <w:lang w:val="es-CR"/>
        </w:rPr>
        <w:t>POR TANTO:</w:t>
      </w:r>
    </w:p>
    <w:p w14:paraId="5C4E95A8" w14:textId="77777777" w:rsidR="002C4D6A" w:rsidRDefault="002C4D6A" w:rsidP="002C4D6A">
      <w:pPr>
        <w:tabs>
          <w:tab w:val="left" w:pos="567"/>
        </w:tabs>
        <w:spacing w:after="0" w:line="240" w:lineRule="auto"/>
        <w:jc w:val="both"/>
        <w:rPr>
          <w:rFonts w:cs="Verdana"/>
          <w:b/>
          <w:bCs/>
          <w:szCs w:val="20"/>
          <w:lang w:val="es-CR"/>
        </w:rPr>
      </w:pPr>
    </w:p>
    <w:p w14:paraId="4DD038CE" w14:textId="77777777" w:rsidR="002C4D6A" w:rsidRDefault="002C4D6A" w:rsidP="002C4D6A">
      <w:pPr>
        <w:tabs>
          <w:tab w:val="left" w:pos="567"/>
        </w:tabs>
        <w:spacing w:after="0" w:line="240" w:lineRule="auto"/>
        <w:jc w:val="both"/>
        <w:rPr>
          <w:rFonts w:cs="Verdana"/>
          <w:b/>
          <w:bCs/>
          <w:szCs w:val="20"/>
          <w:lang w:val="es-CR"/>
        </w:rPr>
      </w:pPr>
    </w:p>
    <w:p w14:paraId="48200A75" w14:textId="77777777" w:rsidR="002C4D6A" w:rsidRDefault="00354330" w:rsidP="002C4D6A">
      <w:pPr>
        <w:tabs>
          <w:tab w:val="left" w:pos="567"/>
        </w:tabs>
        <w:spacing w:after="0" w:line="240" w:lineRule="auto"/>
        <w:jc w:val="both"/>
        <w:rPr>
          <w:rFonts w:cs="Verdana"/>
          <w:b/>
          <w:bCs/>
          <w:szCs w:val="20"/>
          <w:lang w:val="es-CR"/>
        </w:rPr>
      </w:pPr>
      <w:r>
        <w:rPr>
          <w:rFonts w:cs="Verdana"/>
          <w:b/>
          <w:bCs/>
          <w:szCs w:val="20"/>
          <w:lang w:val="es-CR"/>
        </w:rPr>
        <w:t>LA PRESIDENTA</w:t>
      </w:r>
      <w:r w:rsidR="002C4D6A">
        <w:rPr>
          <w:rFonts w:cs="Verdana"/>
          <w:b/>
          <w:bCs/>
          <w:szCs w:val="20"/>
          <w:lang w:val="es-CR"/>
        </w:rPr>
        <w:t xml:space="preserve"> DE LA CORTE INTERAMERICANA DE DERECHOS HUMANOS, </w:t>
      </w:r>
    </w:p>
    <w:p w14:paraId="103DF942" w14:textId="77777777" w:rsidR="002C4D6A" w:rsidRDefault="002C4D6A" w:rsidP="002C4D6A">
      <w:pPr>
        <w:tabs>
          <w:tab w:val="left" w:pos="567"/>
        </w:tabs>
        <w:spacing w:after="0" w:line="240" w:lineRule="auto"/>
        <w:jc w:val="both"/>
        <w:rPr>
          <w:rFonts w:cs="Verdana"/>
          <w:b/>
          <w:bCs/>
          <w:szCs w:val="20"/>
          <w:lang w:val="es-CR"/>
        </w:rPr>
      </w:pPr>
    </w:p>
    <w:p w14:paraId="349008C8" w14:textId="77777777" w:rsidR="002C4D6A" w:rsidRDefault="002C4D6A" w:rsidP="002C4D6A">
      <w:pPr>
        <w:tabs>
          <w:tab w:val="left" w:pos="567"/>
        </w:tabs>
        <w:spacing w:after="0" w:line="240" w:lineRule="auto"/>
        <w:jc w:val="both"/>
        <w:rPr>
          <w:rFonts w:cs="Verdana"/>
          <w:b/>
          <w:bCs/>
          <w:szCs w:val="20"/>
          <w:lang w:val="es-CR"/>
        </w:rPr>
      </w:pPr>
    </w:p>
    <w:p w14:paraId="14ADB627" w14:textId="77777777" w:rsidR="002C4D6A" w:rsidRDefault="002C4D6A" w:rsidP="002C4D6A">
      <w:pPr>
        <w:tabs>
          <w:tab w:val="left" w:pos="567"/>
        </w:tabs>
        <w:spacing w:after="0" w:line="240" w:lineRule="auto"/>
        <w:jc w:val="both"/>
        <w:rPr>
          <w:rFonts w:cs="Verdana"/>
          <w:szCs w:val="20"/>
          <w:lang w:val="es-CR"/>
        </w:rPr>
      </w:pPr>
      <w:r>
        <w:rPr>
          <w:rFonts w:cs="Verdana"/>
          <w:szCs w:val="20"/>
          <w:lang w:val="es-CR"/>
        </w:rPr>
        <w:t xml:space="preserve">de conformidad con los artículos 24.1 y 25.2 del Estatuto de la Corte y con los artículos 4, 15.1, 26.1, 31.2, 35.1, 40.2, 41.1, 45, 46 a 48, 50 a 56 y 60 del Reglamento, </w:t>
      </w:r>
    </w:p>
    <w:p w14:paraId="6731B34F" w14:textId="77777777" w:rsidR="002C4D6A" w:rsidRDefault="002C4D6A" w:rsidP="002C4D6A">
      <w:pPr>
        <w:tabs>
          <w:tab w:val="left" w:pos="567"/>
        </w:tabs>
        <w:spacing w:after="0" w:line="240" w:lineRule="auto"/>
        <w:jc w:val="both"/>
        <w:rPr>
          <w:rFonts w:cs="Verdana"/>
          <w:szCs w:val="20"/>
          <w:lang w:val="es-CR"/>
        </w:rPr>
      </w:pPr>
      <w:r>
        <w:rPr>
          <w:rFonts w:cs="Verdana"/>
          <w:szCs w:val="20"/>
          <w:lang w:val="es-CR"/>
        </w:rPr>
        <w:lastRenderedPageBreak/>
        <w:t xml:space="preserve"> </w:t>
      </w:r>
    </w:p>
    <w:p w14:paraId="78B8BFED" w14:textId="77777777" w:rsidR="002C4D6A" w:rsidRDefault="002C4D6A" w:rsidP="002C4D6A">
      <w:pPr>
        <w:tabs>
          <w:tab w:val="left" w:pos="567"/>
        </w:tabs>
        <w:spacing w:after="0" w:line="240" w:lineRule="auto"/>
        <w:jc w:val="both"/>
        <w:rPr>
          <w:rFonts w:cs="Verdana"/>
          <w:szCs w:val="20"/>
          <w:lang w:val="es-CR"/>
        </w:rPr>
      </w:pPr>
    </w:p>
    <w:p w14:paraId="62A7EC52" w14:textId="77777777" w:rsidR="002C4D6A" w:rsidRDefault="002C4D6A" w:rsidP="002C4D6A">
      <w:pPr>
        <w:tabs>
          <w:tab w:val="left" w:pos="567"/>
        </w:tabs>
        <w:spacing w:after="0" w:line="240" w:lineRule="auto"/>
        <w:jc w:val="both"/>
        <w:rPr>
          <w:rFonts w:cs="Verdana"/>
          <w:b/>
          <w:bCs/>
          <w:szCs w:val="20"/>
          <w:lang w:val="es-CR"/>
        </w:rPr>
      </w:pPr>
      <w:r>
        <w:rPr>
          <w:rFonts w:cs="Verdana"/>
          <w:b/>
          <w:bCs/>
          <w:szCs w:val="20"/>
          <w:lang w:val="es-CR"/>
        </w:rPr>
        <w:t>RESUELVE:</w:t>
      </w:r>
    </w:p>
    <w:p w14:paraId="5F21DE21" w14:textId="77777777" w:rsidR="002C4D6A" w:rsidRDefault="002C4D6A" w:rsidP="002C4D6A">
      <w:pPr>
        <w:tabs>
          <w:tab w:val="left" w:pos="567"/>
        </w:tabs>
        <w:spacing w:after="0" w:line="240" w:lineRule="auto"/>
        <w:jc w:val="both"/>
        <w:rPr>
          <w:rFonts w:cs="Verdana"/>
          <w:b/>
          <w:bCs/>
          <w:szCs w:val="20"/>
          <w:lang w:val="es-CR"/>
        </w:rPr>
      </w:pPr>
    </w:p>
    <w:p w14:paraId="315377BF" w14:textId="4A9075E9" w:rsidR="002C4D6A" w:rsidRDefault="002C4D6A" w:rsidP="002C4D6A">
      <w:pPr>
        <w:numPr>
          <w:ilvl w:val="3"/>
          <w:numId w:val="5"/>
        </w:numPr>
        <w:tabs>
          <w:tab w:val="left" w:pos="567"/>
        </w:tabs>
        <w:spacing w:after="0" w:line="240" w:lineRule="auto"/>
        <w:ind w:left="0" w:firstLine="0"/>
        <w:jc w:val="both"/>
        <w:rPr>
          <w:rFonts w:eastAsia="MS Mincho" w:cs="Times"/>
          <w:szCs w:val="20"/>
          <w:lang w:val="es-CR"/>
        </w:rPr>
      </w:pPr>
      <w:bookmarkStart w:id="10" w:name="_Ref230577466"/>
      <w:r>
        <w:rPr>
          <w:rFonts w:cs="Verdana"/>
          <w:color w:val="000000"/>
          <w:szCs w:val="20"/>
          <w:lang w:val="es-CR" w:eastAsia="es-ES"/>
        </w:rPr>
        <w:t>Convocar</w:t>
      </w:r>
      <w:r>
        <w:rPr>
          <w:rFonts w:eastAsia="MS Mincho" w:cs="Times"/>
          <w:szCs w:val="20"/>
          <w:lang w:val="es-CR"/>
        </w:rPr>
        <w:t xml:space="preserve"> al Estado, a los representantes y a la Comisión Interamericana a una audiencia </w:t>
      </w:r>
      <w:r w:rsidR="00144B6F">
        <w:rPr>
          <w:rFonts w:cs="Verdana"/>
          <w:szCs w:val="20"/>
          <w:lang w:val="es-CR"/>
        </w:rPr>
        <w:t xml:space="preserve">que se celebrará el </w:t>
      </w:r>
      <w:r w:rsidR="009870DB">
        <w:rPr>
          <w:rFonts w:cs="Verdana"/>
          <w:szCs w:val="20"/>
          <w:lang w:val="es-CR"/>
        </w:rPr>
        <w:t>martes 10</w:t>
      </w:r>
      <w:r w:rsidR="00144B6F">
        <w:rPr>
          <w:rFonts w:cs="Verdana"/>
          <w:szCs w:val="20"/>
          <w:lang w:val="es-CR"/>
        </w:rPr>
        <w:t xml:space="preserve"> de marzo</w:t>
      </w:r>
      <w:r>
        <w:rPr>
          <w:rFonts w:cs="Verdana"/>
          <w:szCs w:val="20"/>
          <w:lang w:val="es-CR"/>
        </w:rPr>
        <w:t xml:space="preserve">, a partir de las </w:t>
      </w:r>
      <w:r w:rsidR="009870DB">
        <w:rPr>
          <w:szCs w:val="20"/>
          <w:lang w:val="es-CR"/>
        </w:rPr>
        <w:t>09:00 horas</w:t>
      </w:r>
      <w:r>
        <w:rPr>
          <w:rFonts w:cs="Verdana"/>
          <w:szCs w:val="20"/>
          <w:lang w:val="es-CR"/>
        </w:rPr>
        <w:t xml:space="preserve">, </w:t>
      </w:r>
      <w:r w:rsidR="00FB26E2" w:rsidRPr="00FB26E2">
        <w:rPr>
          <w:rFonts w:cs="Verdana"/>
          <w:szCs w:val="20"/>
          <w:lang w:val="es-CR"/>
        </w:rPr>
        <w:t>durante el 134°</w:t>
      </w:r>
      <w:r w:rsidRPr="00FB26E2">
        <w:rPr>
          <w:rFonts w:cs="Verdana"/>
          <w:szCs w:val="20"/>
          <w:lang w:val="es-CR"/>
        </w:rPr>
        <w:t xml:space="preserve"> Período Ordinario de Sesiones, </w:t>
      </w:r>
      <w:r w:rsidRPr="00FB26E2">
        <w:rPr>
          <w:szCs w:val="20"/>
        </w:rPr>
        <w:t>que se llevará a cabo en la sede de la Corte en San José de Costa Rica</w:t>
      </w:r>
      <w:r>
        <w:rPr>
          <w:rFonts w:cs="Verdana"/>
          <w:szCs w:val="20"/>
          <w:lang w:val="es-CR"/>
        </w:rPr>
        <w:t xml:space="preserve"> </w:t>
      </w:r>
      <w:r>
        <w:rPr>
          <w:rFonts w:eastAsia="MS Mincho" w:cs="Times"/>
          <w:szCs w:val="20"/>
          <w:lang w:val="es-CR"/>
        </w:rPr>
        <w:t xml:space="preserve">para recibir sus alegatos y observaciones finales orales sobre </w:t>
      </w:r>
      <w:r w:rsidR="00FB26E2" w:rsidRPr="00FB26E2">
        <w:rPr>
          <w:rFonts w:eastAsia="MS Mincho" w:cs="Times"/>
          <w:szCs w:val="20"/>
          <w:lang w:val="es-CR"/>
        </w:rPr>
        <w:t>el</w:t>
      </w:r>
      <w:r w:rsidRPr="00FB26E2">
        <w:rPr>
          <w:rFonts w:eastAsia="MS Mincho" w:cs="Times"/>
          <w:szCs w:val="20"/>
          <w:lang w:val="es-CR"/>
        </w:rPr>
        <w:t xml:space="preserve"> fondo, reparaciones y costas</w:t>
      </w:r>
      <w:r>
        <w:rPr>
          <w:rFonts w:eastAsia="MS Mincho" w:cs="Times"/>
          <w:szCs w:val="20"/>
          <w:lang w:val="es-CR"/>
        </w:rPr>
        <w:t xml:space="preserve">, así como las declaraciones </w:t>
      </w:r>
      <w:bookmarkEnd w:id="10"/>
      <w:r>
        <w:rPr>
          <w:rFonts w:eastAsia="MS Mincho" w:cs="Times"/>
          <w:szCs w:val="20"/>
          <w:lang w:val="es-CR"/>
        </w:rPr>
        <w:t xml:space="preserve">de las siguientes personas:   </w:t>
      </w:r>
    </w:p>
    <w:p w14:paraId="6A25B978" w14:textId="77777777" w:rsidR="002C4D6A" w:rsidRDefault="002C4D6A" w:rsidP="002C4D6A">
      <w:pPr>
        <w:tabs>
          <w:tab w:val="left" w:pos="567"/>
          <w:tab w:val="left" w:pos="851"/>
        </w:tabs>
        <w:autoSpaceDE w:val="0"/>
        <w:autoSpaceDN w:val="0"/>
        <w:adjustRightInd w:val="0"/>
        <w:spacing w:after="0" w:line="240" w:lineRule="auto"/>
        <w:ind w:left="851"/>
        <w:jc w:val="both"/>
        <w:rPr>
          <w:rFonts w:cs="Verdana"/>
          <w:szCs w:val="20"/>
          <w:lang w:val="es-CR"/>
        </w:rPr>
      </w:pPr>
    </w:p>
    <w:p w14:paraId="44491DB0" w14:textId="463E3CA2" w:rsidR="002C4D6A" w:rsidRDefault="00144B6F" w:rsidP="002C4D6A">
      <w:pPr>
        <w:numPr>
          <w:ilvl w:val="0"/>
          <w:numId w:val="6"/>
        </w:numPr>
        <w:tabs>
          <w:tab w:val="left" w:pos="567"/>
        </w:tabs>
        <w:spacing w:after="0" w:line="240" w:lineRule="auto"/>
        <w:ind w:left="567"/>
        <w:jc w:val="both"/>
        <w:rPr>
          <w:rFonts w:cs="Verdana"/>
          <w:b/>
          <w:bCs/>
          <w:i/>
          <w:iCs/>
          <w:szCs w:val="20"/>
          <w:lang w:val="es-CR"/>
        </w:rPr>
      </w:pPr>
      <w:r>
        <w:rPr>
          <w:rFonts w:cs="Verdana"/>
          <w:bCs/>
          <w:i/>
          <w:iCs/>
          <w:szCs w:val="20"/>
          <w:lang w:val="es-CR"/>
        </w:rPr>
        <w:t>Declarante</w:t>
      </w:r>
      <w:r w:rsidR="00E6270D">
        <w:rPr>
          <w:rFonts w:cs="Verdana"/>
          <w:bCs/>
          <w:i/>
          <w:iCs/>
          <w:szCs w:val="20"/>
          <w:lang w:val="es-CR"/>
        </w:rPr>
        <w:t>s</w:t>
      </w:r>
    </w:p>
    <w:p w14:paraId="4404D4C2" w14:textId="77777777" w:rsidR="002C4D6A" w:rsidRDefault="002C4D6A" w:rsidP="002C4D6A">
      <w:pPr>
        <w:tabs>
          <w:tab w:val="left" w:pos="567"/>
        </w:tabs>
        <w:spacing w:after="0" w:line="240" w:lineRule="auto"/>
        <w:ind w:left="720"/>
        <w:jc w:val="both"/>
        <w:rPr>
          <w:rFonts w:cs="Verdana"/>
          <w:i/>
          <w:iCs/>
          <w:szCs w:val="20"/>
          <w:lang w:val="es-CR"/>
        </w:rPr>
      </w:pPr>
    </w:p>
    <w:p w14:paraId="2D7DC770" w14:textId="77777777" w:rsidR="00E6270D" w:rsidRDefault="0034283A" w:rsidP="00E6270D">
      <w:pPr>
        <w:pStyle w:val="Prrafodelista"/>
        <w:numPr>
          <w:ilvl w:val="1"/>
          <w:numId w:val="8"/>
        </w:numPr>
        <w:tabs>
          <w:tab w:val="left" w:pos="567"/>
          <w:tab w:val="left" w:pos="1134"/>
        </w:tabs>
        <w:autoSpaceDE w:val="0"/>
        <w:autoSpaceDN w:val="0"/>
        <w:adjustRightInd w:val="0"/>
        <w:spacing w:after="0" w:line="240" w:lineRule="auto"/>
        <w:jc w:val="both"/>
        <w:rPr>
          <w:rFonts w:cs="Verdana"/>
          <w:szCs w:val="20"/>
          <w:lang w:val="es-ES"/>
        </w:rPr>
      </w:pPr>
      <w:r w:rsidRPr="00E6270D">
        <w:rPr>
          <w:b/>
          <w:szCs w:val="20"/>
          <w:lang w:val="es-CR"/>
        </w:rPr>
        <w:t>Ángel Acosta Martínez</w:t>
      </w:r>
      <w:r w:rsidRPr="00E6270D">
        <w:rPr>
          <w:szCs w:val="20"/>
          <w:lang w:val="es-CR"/>
        </w:rPr>
        <w:t>, víctima directa y hermano de José Delfín Acosta Martínez</w:t>
      </w:r>
      <w:r w:rsidR="002C4D6A" w:rsidRPr="00E6270D">
        <w:rPr>
          <w:rFonts w:cs="Verdana"/>
          <w:bCs/>
          <w:szCs w:val="20"/>
          <w:lang w:val="es-ES"/>
        </w:rPr>
        <w:t>, quien</w:t>
      </w:r>
      <w:r w:rsidRPr="00E6270D">
        <w:rPr>
          <w:rFonts w:cs="Verdana"/>
          <w:szCs w:val="20"/>
          <w:lang w:val="es-ES"/>
        </w:rPr>
        <w:t xml:space="preserve"> declarará sobre i) las condiciones de vida propias, de su hermano y de su madre, previo a los hechos, ii) los motivos de su migración, junto con su hermano, a Argentina, iii) su activismo y las</w:t>
      </w:r>
      <w:r w:rsidR="009759A3" w:rsidRPr="00E6270D">
        <w:rPr>
          <w:rFonts w:cs="Verdana"/>
          <w:szCs w:val="20"/>
          <w:lang w:val="es-ES"/>
        </w:rPr>
        <w:t xml:space="preserve"> presuntas</w:t>
      </w:r>
      <w:r w:rsidRPr="00E6270D">
        <w:rPr>
          <w:rFonts w:cs="Verdana"/>
          <w:szCs w:val="20"/>
          <w:lang w:val="es-ES"/>
        </w:rPr>
        <w:t xml:space="preserve"> persecuciones de las cuales fue objeto junto con su h</w:t>
      </w:r>
      <w:r w:rsidR="009759A3" w:rsidRPr="00E6270D">
        <w:rPr>
          <w:rFonts w:cs="Verdana"/>
          <w:szCs w:val="20"/>
          <w:lang w:val="es-ES"/>
        </w:rPr>
        <w:t>ermano en razón de este</w:t>
      </w:r>
      <w:r w:rsidRPr="00E6270D">
        <w:rPr>
          <w:rFonts w:cs="Verdana"/>
          <w:szCs w:val="20"/>
          <w:lang w:val="es-ES"/>
        </w:rPr>
        <w:t xml:space="preserve"> a</w:t>
      </w:r>
      <w:r w:rsidR="002B1954" w:rsidRPr="00E6270D">
        <w:rPr>
          <w:rFonts w:cs="Verdana"/>
          <w:szCs w:val="20"/>
          <w:lang w:val="es-ES"/>
        </w:rPr>
        <w:t xml:space="preserve">ctivismo, iv) los hechos sucedidos en la Comisaría 5° cuando le informan de la muerte de su hermano, v) los hechos relativos al reconocimiento del cuerpo de su hermano en la morgue judicial, vi) los hechos posteriores a este reconocimiento, incluyendo el </w:t>
      </w:r>
      <w:r w:rsidR="009759A3" w:rsidRPr="00E6270D">
        <w:rPr>
          <w:rFonts w:cs="Verdana"/>
          <w:szCs w:val="20"/>
          <w:lang w:val="es-ES"/>
        </w:rPr>
        <w:t xml:space="preserve">presunto </w:t>
      </w:r>
      <w:r w:rsidR="002B1954" w:rsidRPr="00E6270D">
        <w:rPr>
          <w:rFonts w:cs="Verdana"/>
          <w:szCs w:val="20"/>
          <w:lang w:val="es-ES"/>
        </w:rPr>
        <w:t>allanamiento del apartamento que compartía con su hermano así como las amenazas de las cuales fue objeto posteriormente a los hechos, vii) su búsqueda de justicia a partir de los hechos, viii) los efectos que estos hechos tuvieron en su proyecto de vida y viii) posibles medidas de reparación.</w:t>
      </w:r>
    </w:p>
    <w:p w14:paraId="7E211BEF" w14:textId="4366431F" w:rsidR="00E6270D" w:rsidRPr="00E6270D" w:rsidRDefault="00E6270D" w:rsidP="00E6270D">
      <w:pPr>
        <w:pStyle w:val="Prrafodelista"/>
        <w:numPr>
          <w:ilvl w:val="1"/>
          <w:numId w:val="8"/>
        </w:numPr>
        <w:tabs>
          <w:tab w:val="left" w:pos="567"/>
          <w:tab w:val="left" w:pos="1134"/>
        </w:tabs>
        <w:autoSpaceDE w:val="0"/>
        <w:autoSpaceDN w:val="0"/>
        <w:adjustRightInd w:val="0"/>
        <w:spacing w:after="0" w:line="240" w:lineRule="auto"/>
        <w:jc w:val="both"/>
        <w:rPr>
          <w:rFonts w:cs="Verdana"/>
          <w:szCs w:val="20"/>
          <w:lang w:val="es-ES"/>
        </w:rPr>
      </w:pPr>
      <w:r w:rsidRPr="00E6270D">
        <w:rPr>
          <w:rFonts w:cs="Verdana"/>
          <w:b/>
          <w:szCs w:val="20"/>
          <w:lang w:val="es-ES"/>
        </w:rPr>
        <w:t>Andrés Alberto Fresco</w:t>
      </w:r>
      <w:r w:rsidRPr="00E6270D">
        <w:rPr>
          <w:rFonts w:cs="Verdana"/>
          <w:szCs w:val="20"/>
          <w:lang w:val="es-ES"/>
        </w:rPr>
        <w:t>, testigo, quien declarará sobre i) las circunstancias de la detención de José Delfín Acosta Martínez, ii) el estado de salud de la víctima al momento de ser detenido, iii) los hechos posteriores a la detención, incluyendo el traslado en ambulancia d</w:t>
      </w:r>
      <w:r w:rsidR="006C6A15">
        <w:rPr>
          <w:rFonts w:cs="Verdana"/>
          <w:szCs w:val="20"/>
          <w:lang w:val="es-ES"/>
        </w:rPr>
        <w:t>e la víctima desde la comisaría, iv) las amenazas que recibió posteriormente.</w:t>
      </w:r>
    </w:p>
    <w:p w14:paraId="1EEF24C9" w14:textId="4529CDC9" w:rsidR="002C4D6A" w:rsidRDefault="002C4D6A" w:rsidP="006C6A15">
      <w:pPr>
        <w:tabs>
          <w:tab w:val="left" w:pos="567"/>
          <w:tab w:val="left" w:pos="1134"/>
        </w:tabs>
        <w:autoSpaceDE w:val="0"/>
        <w:autoSpaceDN w:val="0"/>
        <w:adjustRightInd w:val="0"/>
        <w:spacing w:after="0" w:line="240" w:lineRule="auto"/>
        <w:jc w:val="both"/>
        <w:rPr>
          <w:rFonts w:cs="Verdana"/>
          <w:szCs w:val="20"/>
          <w:lang w:val="es-ES"/>
        </w:rPr>
      </w:pPr>
    </w:p>
    <w:p w14:paraId="5762E2BF" w14:textId="77777777" w:rsidR="002C4D6A" w:rsidRDefault="002C4D6A" w:rsidP="002C4D6A">
      <w:pPr>
        <w:tabs>
          <w:tab w:val="left" w:pos="567"/>
          <w:tab w:val="left" w:pos="1134"/>
        </w:tabs>
        <w:autoSpaceDE w:val="0"/>
        <w:autoSpaceDN w:val="0"/>
        <w:adjustRightInd w:val="0"/>
        <w:spacing w:after="0" w:line="240" w:lineRule="auto"/>
        <w:jc w:val="both"/>
        <w:rPr>
          <w:rFonts w:cs="Verdana"/>
          <w:szCs w:val="20"/>
          <w:lang w:val="es-ES"/>
        </w:rPr>
      </w:pPr>
    </w:p>
    <w:p w14:paraId="07A1AE47" w14:textId="19A53BBD" w:rsidR="002C4D6A" w:rsidRDefault="00184B43" w:rsidP="002C4D6A">
      <w:pPr>
        <w:numPr>
          <w:ilvl w:val="0"/>
          <w:numId w:val="6"/>
        </w:numPr>
        <w:tabs>
          <w:tab w:val="left" w:pos="567"/>
          <w:tab w:val="left" w:pos="1134"/>
        </w:tabs>
        <w:spacing w:after="0" w:line="240" w:lineRule="auto"/>
        <w:ind w:left="567"/>
        <w:jc w:val="both"/>
        <w:rPr>
          <w:rFonts w:cs="Verdana"/>
          <w:bCs/>
          <w:i/>
          <w:iCs/>
          <w:szCs w:val="20"/>
          <w:lang w:val="es-CR"/>
        </w:rPr>
      </w:pPr>
      <w:r>
        <w:rPr>
          <w:rFonts w:cs="Verdana"/>
          <w:bCs/>
          <w:i/>
          <w:iCs/>
          <w:szCs w:val="20"/>
          <w:lang w:val="es-CR"/>
        </w:rPr>
        <w:t>Perito propuesto por la Comisión</w:t>
      </w:r>
    </w:p>
    <w:p w14:paraId="60A79B0E" w14:textId="77777777" w:rsidR="002C4D6A" w:rsidRDefault="002C4D6A" w:rsidP="002C4D6A">
      <w:pPr>
        <w:tabs>
          <w:tab w:val="left" w:pos="567"/>
          <w:tab w:val="left" w:pos="1134"/>
        </w:tabs>
        <w:autoSpaceDE w:val="0"/>
        <w:autoSpaceDN w:val="0"/>
        <w:adjustRightInd w:val="0"/>
        <w:spacing w:after="0" w:line="240" w:lineRule="auto"/>
        <w:jc w:val="both"/>
        <w:rPr>
          <w:rFonts w:cs="Verdana"/>
          <w:szCs w:val="20"/>
          <w:lang w:val="es-ES"/>
        </w:rPr>
      </w:pPr>
    </w:p>
    <w:p w14:paraId="7DE2B348" w14:textId="34C55C0D" w:rsidR="002C4D6A" w:rsidRPr="00416C07" w:rsidRDefault="00416C07" w:rsidP="002C4D6A">
      <w:pPr>
        <w:tabs>
          <w:tab w:val="left" w:pos="567"/>
          <w:tab w:val="left" w:pos="1134"/>
        </w:tabs>
        <w:autoSpaceDE w:val="0"/>
        <w:autoSpaceDN w:val="0"/>
        <w:adjustRightInd w:val="0"/>
        <w:spacing w:after="0" w:line="240" w:lineRule="auto"/>
        <w:ind w:left="567"/>
        <w:jc w:val="both"/>
        <w:rPr>
          <w:rFonts w:cs="Verdana"/>
          <w:szCs w:val="20"/>
          <w:lang w:val="es-CR"/>
        </w:rPr>
      </w:pPr>
      <w:r w:rsidRPr="00184B43">
        <w:rPr>
          <w:b/>
          <w:szCs w:val="20"/>
          <w:lang w:val="es-CR"/>
        </w:rPr>
        <w:t xml:space="preserve">Juan Pablo </w:t>
      </w:r>
      <w:proofErr w:type="spellStart"/>
      <w:r w:rsidRPr="00184B43">
        <w:rPr>
          <w:b/>
          <w:szCs w:val="20"/>
          <w:lang w:val="es-CR"/>
        </w:rPr>
        <w:t>Gomara</w:t>
      </w:r>
      <w:proofErr w:type="spellEnd"/>
      <w:r>
        <w:rPr>
          <w:szCs w:val="20"/>
          <w:lang w:val="es-CR"/>
        </w:rPr>
        <w:t xml:space="preserve">, quien declarará sobre i) las obligaciones internacionales de los Estados en el marco del otorgamiento de facultades de detención a cuerpos de seguridad, cuando no exista orden de autoridad </w:t>
      </w:r>
      <w:r w:rsidR="005D7EBE">
        <w:rPr>
          <w:szCs w:val="20"/>
          <w:lang w:val="es-CR"/>
        </w:rPr>
        <w:t>competente ni flagrancia, ii) los riesgos del otorgamiento amplio de facultades en esta materia, iii) patrones de discriminación y uso excesivo de la fuerza. Relacionados con detenciones por perfil racial y iv) la manera en que la vigencia de prácticas y políticas discriminatorias pueden incidir en el incumplimiento del deber de investigar con la debía diligencia.</w:t>
      </w:r>
    </w:p>
    <w:p w14:paraId="7D04BCD3" w14:textId="77777777" w:rsidR="002C4D6A" w:rsidRDefault="002C4D6A" w:rsidP="002C4D6A">
      <w:pPr>
        <w:tabs>
          <w:tab w:val="left" w:pos="567"/>
          <w:tab w:val="left" w:pos="1134"/>
        </w:tabs>
        <w:autoSpaceDE w:val="0"/>
        <w:autoSpaceDN w:val="0"/>
        <w:adjustRightInd w:val="0"/>
        <w:spacing w:after="0" w:line="240" w:lineRule="auto"/>
        <w:ind w:left="567"/>
        <w:jc w:val="both"/>
        <w:rPr>
          <w:rFonts w:cs="Verdana"/>
          <w:szCs w:val="20"/>
          <w:lang w:val="es-ES"/>
        </w:rPr>
      </w:pPr>
    </w:p>
    <w:p w14:paraId="39CCEB9B" w14:textId="77777777" w:rsidR="002C4D6A" w:rsidRDefault="002C4D6A" w:rsidP="002C4D6A">
      <w:pPr>
        <w:tabs>
          <w:tab w:val="left" w:pos="567"/>
        </w:tabs>
        <w:spacing w:after="0" w:line="240" w:lineRule="auto"/>
        <w:jc w:val="both"/>
        <w:rPr>
          <w:szCs w:val="20"/>
          <w:lang w:val="es-CR"/>
        </w:rPr>
      </w:pPr>
    </w:p>
    <w:p w14:paraId="05776404" w14:textId="48CC246A" w:rsidR="002C4D6A" w:rsidRDefault="00184B43" w:rsidP="002C4D6A">
      <w:pPr>
        <w:numPr>
          <w:ilvl w:val="0"/>
          <w:numId w:val="7"/>
        </w:numPr>
        <w:tabs>
          <w:tab w:val="left" w:pos="567"/>
        </w:tabs>
        <w:spacing w:after="0" w:line="240" w:lineRule="auto"/>
        <w:jc w:val="both"/>
        <w:rPr>
          <w:szCs w:val="20"/>
          <w:lang w:val="es-CR"/>
        </w:rPr>
      </w:pPr>
      <w:r>
        <w:rPr>
          <w:szCs w:val="20"/>
          <w:lang w:val="es-CR"/>
        </w:rPr>
        <w:t>Requerir al perito convocado</w:t>
      </w:r>
      <w:r w:rsidR="002C4D6A">
        <w:rPr>
          <w:szCs w:val="20"/>
          <w:lang w:val="es-CR"/>
        </w:rPr>
        <w:t xml:space="preserve"> a declarar en audiencia que, </w:t>
      </w:r>
      <w:r w:rsidR="002C4D6A" w:rsidRPr="005D7EBE">
        <w:rPr>
          <w:szCs w:val="20"/>
        </w:rPr>
        <w:t>de considerarlo conveniente</w:t>
      </w:r>
      <w:r w:rsidR="002C4D6A">
        <w:rPr>
          <w:szCs w:val="20"/>
        </w:rPr>
        <w:t xml:space="preserve">, </w:t>
      </w:r>
      <w:r>
        <w:rPr>
          <w:szCs w:val="20"/>
          <w:lang w:val="es-CR"/>
        </w:rPr>
        <w:t>aporte una versión escrita de su peritaje</w:t>
      </w:r>
      <w:r w:rsidR="002C4D6A">
        <w:rPr>
          <w:szCs w:val="20"/>
          <w:lang w:val="es-CR"/>
        </w:rPr>
        <w:t xml:space="preserve"> </w:t>
      </w:r>
      <w:r w:rsidR="002C4D6A">
        <w:rPr>
          <w:rFonts w:eastAsia="MS Mincho" w:cs="Times"/>
          <w:szCs w:val="20"/>
          <w:lang w:val="es-CR"/>
        </w:rPr>
        <w:t xml:space="preserve">a más tardar el </w:t>
      </w:r>
      <w:r w:rsidR="009870DB">
        <w:rPr>
          <w:szCs w:val="20"/>
          <w:lang w:val="es-CR"/>
        </w:rPr>
        <w:t>4</w:t>
      </w:r>
      <w:r w:rsidR="00F9785B">
        <w:rPr>
          <w:szCs w:val="20"/>
          <w:lang w:val="es-CR"/>
        </w:rPr>
        <w:t xml:space="preserve"> de marzo</w:t>
      </w:r>
      <w:r w:rsidR="005D7EBE">
        <w:rPr>
          <w:szCs w:val="20"/>
          <w:lang w:val="es-CR"/>
        </w:rPr>
        <w:t xml:space="preserve"> del 2020.</w:t>
      </w:r>
    </w:p>
    <w:p w14:paraId="5044A49A" w14:textId="77777777" w:rsidR="002C4D6A" w:rsidRDefault="002C4D6A" w:rsidP="002C4D6A">
      <w:pPr>
        <w:tabs>
          <w:tab w:val="left" w:pos="567"/>
        </w:tabs>
        <w:spacing w:after="0" w:line="240" w:lineRule="auto"/>
        <w:jc w:val="both"/>
        <w:rPr>
          <w:szCs w:val="20"/>
          <w:lang w:val="es-CR"/>
        </w:rPr>
      </w:pPr>
    </w:p>
    <w:p w14:paraId="746B75CB" w14:textId="77777777" w:rsidR="002C4D6A" w:rsidRDefault="002C4D6A" w:rsidP="002C4D6A">
      <w:pPr>
        <w:numPr>
          <w:ilvl w:val="0"/>
          <w:numId w:val="7"/>
        </w:numPr>
        <w:tabs>
          <w:tab w:val="left" w:pos="567"/>
        </w:tabs>
        <w:spacing w:after="0" w:line="240" w:lineRule="auto"/>
        <w:jc w:val="both"/>
        <w:rPr>
          <w:szCs w:val="20"/>
          <w:lang w:val="es-CR"/>
        </w:rPr>
      </w:pPr>
      <w:r>
        <w:rPr>
          <w:rFonts w:cs="Verdana"/>
          <w:color w:val="000000"/>
          <w:szCs w:val="20"/>
          <w:lang w:val="es-CR" w:eastAsia="es-ES"/>
        </w:rPr>
        <w:t xml:space="preserve">Requerir al Estado que facilite la salida y entrada de su territorio de los declarantes, si residen o se encuentran en él, quienes han sido citados en la presente Resolución a rendir declaración en la referida audiencia pública, de conformidad con lo dispuesto en el artículo 26.1 del Reglamento de la Corte. </w:t>
      </w:r>
    </w:p>
    <w:p w14:paraId="5992E262" w14:textId="77777777" w:rsidR="002C4D6A" w:rsidRDefault="002C4D6A" w:rsidP="002C4D6A">
      <w:pPr>
        <w:tabs>
          <w:tab w:val="left" w:pos="567"/>
        </w:tabs>
        <w:spacing w:after="0" w:line="240" w:lineRule="auto"/>
        <w:jc w:val="both"/>
        <w:rPr>
          <w:rFonts w:cs="Verdana"/>
          <w:color w:val="000000"/>
          <w:szCs w:val="20"/>
          <w:lang w:val="es-CR" w:eastAsia="es-ES"/>
        </w:rPr>
      </w:pPr>
    </w:p>
    <w:p w14:paraId="7303AA55" w14:textId="77777777" w:rsidR="002C4D6A" w:rsidRDefault="002C4D6A" w:rsidP="002C4D6A">
      <w:pPr>
        <w:tabs>
          <w:tab w:val="left" w:pos="567"/>
        </w:tabs>
        <w:spacing w:after="0" w:line="240" w:lineRule="auto"/>
        <w:jc w:val="both"/>
        <w:rPr>
          <w:szCs w:val="20"/>
          <w:lang w:val="es-CR"/>
        </w:rPr>
      </w:pPr>
    </w:p>
    <w:p w14:paraId="6EAA6BD2" w14:textId="77777777" w:rsidR="002C4D6A" w:rsidRDefault="002C4D6A" w:rsidP="002C4D6A">
      <w:pPr>
        <w:numPr>
          <w:ilvl w:val="0"/>
          <w:numId w:val="7"/>
        </w:numPr>
        <w:tabs>
          <w:tab w:val="left" w:pos="567"/>
        </w:tabs>
        <w:spacing w:after="0" w:line="240" w:lineRule="auto"/>
        <w:jc w:val="both"/>
        <w:rPr>
          <w:szCs w:val="20"/>
          <w:lang w:val="es-CR"/>
        </w:rPr>
      </w:pPr>
      <w:r>
        <w:rPr>
          <w:szCs w:val="20"/>
          <w:lang w:val="es-CR"/>
        </w:rPr>
        <w:t>Requerir, de conformidad con el principio de economía procesal y de la facultad que le otorga el artículo 50.1 del Reglamento de la Corte, que las siguientes personas presten su declaración ante fedatario público:</w:t>
      </w:r>
    </w:p>
    <w:p w14:paraId="1AF75BB1" w14:textId="77777777" w:rsidR="002C4D6A" w:rsidRDefault="002C4D6A" w:rsidP="002C4D6A">
      <w:pPr>
        <w:tabs>
          <w:tab w:val="left" w:pos="567"/>
          <w:tab w:val="left" w:pos="851"/>
        </w:tabs>
        <w:autoSpaceDE w:val="0"/>
        <w:autoSpaceDN w:val="0"/>
        <w:adjustRightInd w:val="0"/>
        <w:spacing w:after="0" w:line="240" w:lineRule="auto"/>
        <w:jc w:val="both"/>
        <w:rPr>
          <w:rFonts w:cs="Verdana"/>
          <w:szCs w:val="20"/>
          <w:lang w:val="es-ES"/>
        </w:rPr>
      </w:pPr>
    </w:p>
    <w:p w14:paraId="1E854748" w14:textId="1879D6B7" w:rsidR="002C4D6A" w:rsidRDefault="00FD7F5F" w:rsidP="002C4D6A">
      <w:pPr>
        <w:numPr>
          <w:ilvl w:val="0"/>
          <w:numId w:val="8"/>
        </w:numPr>
        <w:tabs>
          <w:tab w:val="left" w:pos="567"/>
        </w:tabs>
        <w:spacing w:after="0" w:line="240" w:lineRule="auto"/>
        <w:jc w:val="both"/>
        <w:rPr>
          <w:rFonts w:cs="Verdana"/>
          <w:bCs/>
          <w:i/>
          <w:iCs/>
          <w:szCs w:val="20"/>
          <w:lang w:val="es-CR"/>
        </w:rPr>
      </w:pPr>
      <w:r>
        <w:rPr>
          <w:rFonts w:cs="Verdana"/>
          <w:bCs/>
          <w:i/>
          <w:iCs/>
          <w:szCs w:val="20"/>
          <w:lang w:val="es-CR"/>
        </w:rPr>
        <w:t>Presunta víctima (propuesta</w:t>
      </w:r>
      <w:r w:rsidR="002C4D6A">
        <w:rPr>
          <w:rFonts w:cs="Verdana"/>
          <w:bCs/>
          <w:i/>
          <w:iCs/>
          <w:szCs w:val="20"/>
          <w:lang w:val="es-CR"/>
        </w:rPr>
        <w:t xml:space="preserve"> por los representantes)</w:t>
      </w:r>
    </w:p>
    <w:p w14:paraId="7A0C4E8C" w14:textId="77777777" w:rsidR="002C4D6A" w:rsidRDefault="002C4D6A" w:rsidP="002C4D6A">
      <w:pPr>
        <w:tabs>
          <w:tab w:val="left" w:pos="567"/>
        </w:tabs>
        <w:spacing w:after="0" w:line="240" w:lineRule="auto"/>
        <w:ind w:left="720"/>
        <w:jc w:val="both"/>
        <w:rPr>
          <w:rFonts w:cs="Verdana"/>
          <w:b/>
          <w:bCs/>
          <w:i/>
          <w:iCs/>
          <w:szCs w:val="20"/>
          <w:lang w:val="es-CR"/>
        </w:rPr>
      </w:pPr>
    </w:p>
    <w:p w14:paraId="452E564F" w14:textId="77777777" w:rsidR="002C4D6A" w:rsidRDefault="00ED4CB8" w:rsidP="002C4D6A">
      <w:pPr>
        <w:widowControl w:val="0"/>
        <w:numPr>
          <w:ilvl w:val="0"/>
          <w:numId w:val="9"/>
        </w:numPr>
        <w:tabs>
          <w:tab w:val="left" w:pos="567"/>
          <w:tab w:val="left" w:pos="1134"/>
        </w:tabs>
        <w:autoSpaceDE w:val="0"/>
        <w:autoSpaceDN w:val="0"/>
        <w:adjustRightInd w:val="0"/>
        <w:spacing w:after="0" w:line="240" w:lineRule="auto"/>
        <w:ind w:left="709" w:right="22" w:firstLine="0"/>
        <w:jc w:val="both"/>
        <w:rPr>
          <w:szCs w:val="20"/>
          <w:lang w:val="es-CR"/>
        </w:rPr>
      </w:pPr>
      <w:r w:rsidRPr="00FD7F5F">
        <w:rPr>
          <w:b/>
          <w:szCs w:val="20"/>
          <w:lang w:val="es-CR"/>
        </w:rPr>
        <w:t>Blanca Rosa Martínez</w:t>
      </w:r>
      <w:r w:rsidR="002C4D6A">
        <w:rPr>
          <w:szCs w:val="20"/>
          <w:lang w:val="es-ES"/>
        </w:rPr>
        <w:t xml:space="preserve">, quien declarará </w:t>
      </w:r>
      <w:r w:rsidR="002C4D6A">
        <w:rPr>
          <w:szCs w:val="20"/>
          <w:lang w:val="es-CR"/>
        </w:rPr>
        <w:t>sobre</w:t>
      </w:r>
      <w:r>
        <w:rPr>
          <w:szCs w:val="20"/>
          <w:lang w:val="es-CR"/>
        </w:rPr>
        <w:t xml:space="preserve"> </w:t>
      </w:r>
      <w:r>
        <w:rPr>
          <w:rFonts w:cs="Verdana"/>
          <w:szCs w:val="20"/>
          <w:lang w:val="es-ES"/>
        </w:rPr>
        <w:t>i) las condiciones de vida propias y de sus hijos, previo a los hechos, ii) su búsqueda de justicia a partir de los hechos, iii) los efectos que estos hechos tuvieron en su salud física y mental y iv)</w:t>
      </w:r>
      <w:r w:rsidR="009C22E5">
        <w:rPr>
          <w:rFonts w:cs="Verdana"/>
          <w:szCs w:val="20"/>
          <w:lang w:val="es-ES"/>
        </w:rPr>
        <w:t xml:space="preserve"> posibles medidas de reparación</w:t>
      </w:r>
      <w:r w:rsidR="002C4D6A">
        <w:rPr>
          <w:szCs w:val="20"/>
          <w:lang w:val="es-CR"/>
        </w:rPr>
        <w:t>.</w:t>
      </w:r>
    </w:p>
    <w:p w14:paraId="1DB1DB82" w14:textId="77777777" w:rsidR="002C4D6A" w:rsidRDefault="002C4D6A" w:rsidP="002C4D6A">
      <w:pPr>
        <w:tabs>
          <w:tab w:val="left" w:pos="567"/>
          <w:tab w:val="left" w:pos="851"/>
        </w:tabs>
        <w:autoSpaceDE w:val="0"/>
        <w:autoSpaceDN w:val="0"/>
        <w:adjustRightInd w:val="0"/>
        <w:spacing w:after="0" w:line="240" w:lineRule="auto"/>
        <w:jc w:val="both"/>
        <w:rPr>
          <w:rFonts w:cs="Verdana"/>
          <w:szCs w:val="20"/>
          <w:lang w:val="es-CR"/>
        </w:rPr>
      </w:pPr>
    </w:p>
    <w:p w14:paraId="4B3ED6A7" w14:textId="77777777" w:rsidR="002C4D6A" w:rsidRDefault="002C4D6A" w:rsidP="002C4D6A">
      <w:pPr>
        <w:tabs>
          <w:tab w:val="left" w:pos="567"/>
          <w:tab w:val="left" w:pos="851"/>
        </w:tabs>
        <w:autoSpaceDE w:val="0"/>
        <w:autoSpaceDN w:val="0"/>
        <w:adjustRightInd w:val="0"/>
        <w:spacing w:after="0" w:line="240" w:lineRule="auto"/>
        <w:jc w:val="both"/>
        <w:rPr>
          <w:rFonts w:cs="Verdana"/>
          <w:szCs w:val="20"/>
          <w:lang w:val="es-CR"/>
        </w:rPr>
      </w:pPr>
    </w:p>
    <w:p w14:paraId="44BDA8FF" w14:textId="152EF5B6" w:rsidR="002C4D6A" w:rsidRDefault="002C4D6A" w:rsidP="002C4D6A">
      <w:pPr>
        <w:numPr>
          <w:ilvl w:val="0"/>
          <w:numId w:val="8"/>
        </w:numPr>
        <w:tabs>
          <w:tab w:val="left" w:pos="567"/>
        </w:tabs>
        <w:spacing w:after="0" w:line="240" w:lineRule="auto"/>
        <w:jc w:val="both"/>
        <w:rPr>
          <w:rFonts w:cs="Verdana"/>
          <w:bCs/>
          <w:i/>
          <w:iCs/>
          <w:szCs w:val="20"/>
          <w:lang w:val="es-CR"/>
        </w:rPr>
      </w:pPr>
      <w:r>
        <w:rPr>
          <w:rFonts w:cs="Verdana"/>
          <w:bCs/>
          <w:i/>
          <w:iCs/>
          <w:szCs w:val="20"/>
          <w:lang w:val="es-CR"/>
        </w:rPr>
        <w:t>Testigo</w:t>
      </w:r>
      <w:r w:rsidR="00ED4CB8">
        <w:rPr>
          <w:rFonts w:cs="Verdana"/>
          <w:bCs/>
          <w:i/>
          <w:iCs/>
          <w:szCs w:val="20"/>
          <w:lang w:val="es-CR"/>
        </w:rPr>
        <w:t>s (propuesto</w:t>
      </w:r>
      <w:r w:rsidR="00FD7F5F">
        <w:rPr>
          <w:rFonts w:cs="Verdana"/>
          <w:bCs/>
          <w:i/>
          <w:iCs/>
          <w:szCs w:val="20"/>
          <w:lang w:val="es-CR"/>
        </w:rPr>
        <w:t>s</w:t>
      </w:r>
      <w:r w:rsidR="00ED4CB8">
        <w:rPr>
          <w:rFonts w:cs="Verdana"/>
          <w:bCs/>
          <w:i/>
          <w:iCs/>
          <w:szCs w:val="20"/>
          <w:lang w:val="es-CR"/>
        </w:rPr>
        <w:t xml:space="preserve"> por los representantes</w:t>
      </w:r>
      <w:r>
        <w:rPr>
          <w:rFonts w:cs="Verdana"/>
          <w:bCs/>
          <w:i/>
          <w:iCs/>
          <w:szCs w:val="20"/>
          <w:lang w:val="es-CR"/>
        </w:rPr>
        <w:t>)</w:t>
      </w:r>
    </w:p>
    <w:p w14:paraId="3B0920CB" w14:textId="08C23550" w:rsidR="002C4D6A" w:rsidRDefault="002C4D6A" w:rsidP="002C4D6A">
      <w:pPr>
        <w:tabs>
          <w:tab w:val="left" w:pos="567"/>
        </w:tabs>
        <w:spacing w:after="0" w:line="240" w:lineRule="auto"/>
        <w:ind w:left="720"/>
        <w:jc w:val="both"/>
        <w:rPr>
          <w:rFonts w:cs="Verdana"/>
          <w:b/>
          <w:bCs/>
          <w:i/>
          <w:iCs/>
          <w:szCs w:val="20"/>
          <w:lang w:val="es-CR"/>
        </w:rPr>
      </w:pPr>
    </w:p>
    <w:p w14:paraId="1AFC6A2B" w14:textId="67EAC8C4" w:rsidR="00F9785B" w:rsidRDefault="00184B43" w:rsidP="00F9785B">
      <w:pPr>
        <w:pStyle w:val="Prrafodelista"/>
        <w:numPr>
          <w:ilvl w:val="3"/>
          <w:numId w:val="8"/>
        </w:numPr>
        <w:tabs>
          <w:tab w:val="left" w:pos="567"/>
          <w:tab w:val="left" w:pos="1134"/>
        </w:tabs>
        <w:autoSpaceDE w:val="0"/>
        <w:autoSpaceDN w:val="0"/>
        <w:adjustRightInd w:val="0"/>
        <w:spacing w:after="0" w:line="240" w:lineRule="auto"/>
        <w:ind w:left="1040"/>
        <w:jc w:val="both"/>
        <w:rPr>
          <w:rFonts w:cs="Verdana"/>
          <w:szCs w:val="20"/>
          <w:lang w:val="es-ES"/>
        </w:rPr>
      </w:pPr>
      <w:r w:rsidRPr="00F9785B">
        <w:rPr>
          <w:rFonts w:cs="Verdana"/>
          <w:b/>
          <w:szCs w:val="20"/>
          <w:lang w:val="es-ES"/>
        </w:rPr>
        <w:t xml:space="preserve">Verónica Andrea </w:t>
      </w:r>
      <w:proofErr w:type="spellStart"/>
      <w:r w:rsidRPr="00F9785B">
        <w:rPr>
          <w:rFonts w:cs="Verdana"/>
          <w:b/>
          <w:szCs w:val="20"/>
          <w:lang w:val="es-ES"/>
        </w:rPr>
        <w:t>Brotzman</w:t>
      </w:r>
      <w:proofErr w:type="spellEnd"/>
      <w:r w:rsidRPr="00F9785B">
        <w:rPr>
          <w:rFonts w:cs="Verdana"/>
          <w:szCs w:val="20"/>
          <w:lang w:val="es-ES"/>
        </w:rPr>
        <w:t>, testigo, quien declarará sobre i) las circunstancias de la detención de José Delfín Acosta Martínez, ii) el estado de salud de la víctima al momento de ser detenido, iii) los hechos posteriores a la detención, incluyendo el traslado en amb</w:t>
      </w:r>
      <w:r w:rsidR="00F9785B">
        <w:rPr>
          <w:rFonts w:cs="Verdana"/>
          <w:szCs w:val="20"/>
          <w:lang w:val="es-ES"/>
        </w:rPr>
        <w:t>ulancia de la víctima desde la C</w:t>
      </w:r>
      <w:r w:rsidRPr="00F9785B">
        <w:rPr>
          <w:rFonts w:cs="Verdana"/>
          <w:szCs w:val="20"/>
          <w:lang w:val="es-ES"/>
        </w:rPr>
        <w:t>omisaría.</w:t>
      </w:r>
    </w:p>
    <w:p w14:paraId="04E5876D" w14:textId="77777777" w:rsidR="00F9785B" w:rsidRDefault="00184B43" w:rsidP="00F9785B">
      <w:pPr>
        <w:pStyle w:val="Prrafodelista"/>
        <w:numPr>
          <w:ilvl w:val="3"/>
          <w:numId w:val="8"/>
        </w:numPr>
        <w:tabs>
          <w:tab w:val="left" w:pos="567"/>
          <w:tab w:val="left" w:pos="1134"/>
        </w:tabs>
        <w:autoSpaceDE w:val="0"/>
        <w:autoSpaceDN w:val="0"/>
        <w:adjustRightInd w:val="0"/>
        <w:spacing w:after="0" w:line="240" w:lineRule="auto"/>
        <w:ind w:left="1040"/>
        <w:jc w:val="both"/>
        <w:rPr>
          <w:rFonts w:cs="Verdana"/>
          <w:szCs w:val="20"/>
          <w:lang w:val="es-ES"/>
        </w:rPr>
      </w:pPr>
      <w:r w:rsidRPr="00F9785B">
        <w:rPr>
          <w:rFonts w:cs="Verdana"/>
          <w:b/>
          <w:szCs w:val="20"/>
          <w:lang w:val="es-ES"/>
        </w:rPr>
        <w:t xml:space="preserve">Barbara Mac </w:t>
      </w:r>
      <w:proofErr w:type="spellStart"/>
      <w:r w:rsidRPr="00F9785B">
        <w:rPr>
          <w:rFonts w:cs="Verdana"/>
          <w:b/>
          <w:szCs w:val="20"/>
          <w:lang w:val="es-ES"/>
        </w:rPr>
        <w:t>Guire</w:t>
      </w:r>
      <w:proofErr w:type="spellEnd"/>
      <w:r w:rsidRPr="00F9785B">
        <w:rPr>
          <w:rFonts w:cs="Verdana"/>
          <w:szCs w:val="20"/>
          <w:lang w:val="es-ES"/>
        </w:rPr>
        <w:t>, testigo, quien declarará sobre i) las circunstancias de la detención de José Delfín Acosta Martínez, ii) el estado de salud de la víctima al momento de ser detenido, iii) los hechos posteriores a la detención, incluyendo el traslado en ambulancia d</w:t>
      </w:r>
      <w:r w:rsidR="00F9785B" w:rsidRPr="00F9785B">
        <w:rPr>
          <w:rFonts w:cs="Verdana"/>
          <w:szCs w:val="20"/>
          <w:lang w:val="es-ES"/>
        </w:rPr>
        <w:t>e la víctima desde la comisaría.</w:t>
      </w:r>
    </w:p>
    <w:p w14:paraId="5652AD16" w14:textId="77777777" w:rsidR="00F9785B" w:rsidRPr="00F9785B" w:rsidRDefault="009C22E5" w:rsidP="00F9785B">
      <w:pPr>
        <w:pStyle w:val="Prrafodelista"/>
        <w:numPr>
          <w:ilvl w:val="3"/>
          <w:numId w:val="8"/>
        </w:numPr>
        <w:tabs>
          <w:tab w:val="left" w:pos="567"/>
          <w:tab w:val="left" w:pos="1134"/>
        </w:tabs>
        <w:autoSpaceDE w:val="0"/>
        <w:autoSpaceDN w:val="0"/>
        <w:adjustRightInd w:val="0"/>
        <w:spacing w:after="0" w:line="240" w:lineRule="auto"/>
        <w:ind w:left="1040"/>
        <w:jc w:val="both"/>
        <w:rPr>
          <w:rFonts w:cs="Verdana"/>
          <w:szCs w:val="20"/>
          <w:lang w:val="es-ES"/>
        </w:rPr>
      </w:pPr>
      <w:r w:rsidRPr="00F9785B">
        <w:rPr>
          <w:b/>
          <w:szCs w:val="20"/>
          <w:lang w:val="es-CR"/>
        </w:rPr>
        <w:t>Lucía</w:t>
      </w:r>
      <w:r w:rsidRPr="00F9785B">
        <w:rPr>
          <w:rFonts w:cs="Verdana"/>
          <w:b/>
          <w:bCs/>
          <w:szCs w:val="20"/>
          <w:lang w:val="es-CR"/>
        </w:rPr>
        <w:t xml:space="preserve"> D. Molina</w:t>
      </w:r>
      <w:r w:rsidR="002C4D6A" w:rsidRPr="00F9785B">
        <w:rPr>
          <w:rFonts w:cs="Verdana"/>
          <w:bCs/>
          <w:szCs w:val="20"/>
          <w:lang w:val="es-CR"/>
        </w:rPr>
        <w:t>, quien declarará sobre</w:t>
      </w:r>
      <w:r w:rsidRPr="00F9785B">
        <w:rPr>
          <w:b/>
          <w:szCs w:val="20"/>
          <w:lang w:val="es-CR"/>
        </w:rPr>
        <w:t xml:space="preserve"> </w:t>
      </w:r>
      <w:r w:rsidRPr="00F9785B">
        <w:rPr>
          <w:szCs w:val="20"/>
          <w:lang w:val="es-CR"/>
        </w:rPr>
        <w:t xml:space="preserve">i) las acciones </w:t>
      </w:r>
      <w:r w:rsidR="00214A05" w:rsidRPr="00F9785B">
        <w:rPr>
          <w:szCs w:val="20"/>
          <w:lang w:val="es-CR"/>
        </w:rPr>
        <w:t>a favor</w:t>
      </w:r>
      <w:r w:rsidRPr="00F9785B">
        <w:rPr>
          <w:szCs w:val="20"/>
          <w:lang w:val="es-CR"/>
        </w:rPr>
        <w:t xml:space="preserve"> de la búsqueda de justicia, emprendidas por las presuntas víctimas a raíz de la muerte de José Delfín Acosta Martínez</w:t>
      </w:r>
      <w:r w:rsidRPr="00F9785B">
        <w:rPr>
          <w:rFonts w:cs="Verdana"/>
          <w:bCs/>
          <w:szCs w:val="20"/>
          <w:lang w:val="es-CR"/>
        </w:rPr>
        <w:t xml:space="preserve">, ii) </w:t>
      </w:r>
      <w:r w:rsidR="00214A05" w:rsidRPr="00F9785B">
        <w:rPr>
          <w:rFonts w:cs="Verdana"/>
          <w:bCs/>
          <w:szCs w:val="20"/>
          <w:lang w:val="es-CR"/>
        </w:rPr>
        <w:t>los obstáculos afrontados durante el proceso.</w:t>
      </w:r>
    </w:p>
    <w:p w14:paraId="04398FC0" w14:textId="77777777" w:rsidR="00F9785B" w:rsidRPr="00F9785B" w:rsidRDefault="00214A05" w:rsidP="00F9785B">
      <w:pPr>
        <w:pStyle w:val="Prrafodelista"/>
        <w:numPr>
          <w:ilvl w:val="3"/>
          <w:numId w:val="8"/>
        </w:numPr>
        <w:tabs>
          <w:tab w:val="left" w:pos="567"/>
          <w:tab w:val="left" w:pos="1134"/>
        </w:tabs>
        <w:autoSpaceDE w:val="0"/>
        <w:autoSpaceDN w:val="0"/>
        <w:adjustRightInd w:val="0"/>
        <w:spacing w:after="0" w:line="240" w:lineRule="auto"/>
        <w:ind w:left="1040"/>
        <w:jc w:val="both"/>
        <w:rPr>
          <w:rFonts w:cs="Verdana"/>
          <w:szCs w:val="20"/>
          <w:lang w:val="es-ES"/>
        </w:rPr>
      </w:pPr>
      <w:r w:rsidRPr="00F9785B">
        <w:rPr>
          <w:rFonts w:cs="Verdana"/>
          <w:b/>
          <w:szCs w:val="20"/>
          <w:lang w:val="es-ES"/>
        </w:rPr>
        <w:t>Sandra Chagas</w:t>
      </w:r>
      <w:r w:rsidRPr="00F9785B">
        <w:rPr>
          <w:rFonts w:cs="Verdana"/>
          <w:szCs w:val="20"/>
          <w:lang w:val="es-ES"/>
        </w:rPr>
        <w:t xml:space="preserve">, quien declarará sobre </w:t>
      </w:r>
      <w:r w:rsidRPr="00F9785B">
        <w:rPr>
          <w:szCs w:val="20"/>
          <w:lang w:val="es-CR"/>
        </w:rPr>
        <w:t>i) las acciones a favor de la búsqueda de justicia, emprendidas por las presuntas víctimas a raíz de la muerte de José Delfín Acosta Martínez, ii) el impacto de los hechos en los allegados de las presuntas víctimas, iii) los obstáculos afrontados durante el proceso de búsqueda de justicia.</w:t>
      </w:r>
    </w:p>
    <w:p w14:paraId="430BB1CD" w14:textId="77777777" w:rsidR="00F9785B" w:rsidRPr="00F9785B" w:rsidRDefault="00214A05" w:rsidP="00F9785B">
      <w:pPr>
        <w:pStyle w:val="Prrafodelista"/>
        <w:numPr>
          <w:ilvl w:val="3"/>
          <w:numId w:val="8"/>
        </w:numPr>
        <w:tabs>
          <w:tab w:val="left" w:pos="567"/>
          <w:tab w:val="left" w:pos="1134"/>
        </w:tabs>
        <w:autoSpaceDE w:val="0"/>
        <w:autoSpaceDN w:val="0"/>
        <w:adjustRightInd w:val="0"/>
        <w:spacing w:after="0" w:line="240" w:lineRule="auto"/>
        <w:ind w:left="1040"/>
        <w:jc w:val="both"/>
        <w:rPr>
          <w:rFonts w:cs="Verdana"/>
          <w:szCs w:val="20"/>
          <w:lang w:val="es-ES"/>
        </w:rPr>
      </w:pPr>
      <w:r w:rsidRPr="00F9785B">
        <w:rPr>
          <w:b/>
          <w:szCs w:val="20"/>
          <w:lang w:val="es-CR"/>
        </w:rPr>
        <w:t>Néstor Diego Martínez Gutiérrez</w:t>
      </w:r>
      <w:r w:rsidRPr="00F9785B">
        <w:rPr>
          <w:szCs w:val="20"/>
          <w:lang w:val="es-CR"/>
        </w:rPr>
        <w:t>, quien declarará sobre i) el activismo</w:t>
      </w:r>
      <w:r w:rsidR="001843EB" w:rsidRPr="00F9785B">
        <w:rPr>
          <w:szCs w:val="20"/>
          <w:lang w:val="es-CR"/>
        </w:rPr>
        <w:t xml:space="preserve"> y la promoción cultural</w:t>
      </w:r>
      <w:r w:rsidRPr="00F9785B">
        <w:rPr>
          <w:szCs w:val="20"/>
          <w:lang w:val="es-CR"/>
        </w:rPr>
        <w:t xml:space="preserve"> de los hermanos Acosta Martínez, ii) la lucha de Ángel Acosta Martínez en la búsqueda de verdad y justicia para su hermano, iii) los obstáculos encontrados en el proceso, iv) la </w:t>
      </w:r>
      <w:r w:rsidR="009759A3" w:rsidRPr="00F9785B">
        <w:rPr>
          <w:szCs w:val="20"/>
          <w:lang w:val="es-CR"/>
        </w:rPr>
        <w:t xml:space="preserve">presunta </w:t>
      </w:r>
      <w:r w:rsidRPr="00F9785B">
        <w:rPr>
          <w:szCs w:val="20"/>
          <w:lang w:val="es-CR"/>
        </w:rPr>
        <w:t xml:space="preserve">persecución sufrida por los </w:t>
      </w:r>
      <w:r w:rsidR="001843EB" w:rsidRPr="00F9785B">
        <w:rPr>
          <w:szCs w:val="20"/>
          <w:lang w:val="es-CR"/>
        </w:rPr>
        <w:t xml:space="preserve">familiares luego de la muerte de José Delfín Acosta Martínez, v) la </w:t>
      </w:r>
      <w:r w:rsidR="009759A3" w:rsidRPr="00F9785B">
        <w:rPr>
          <w:szCs w:val="20"/>
          <w:lang w:val="es-CR"/>
        </w:rPr>
        <w:t xml:space="preserve">presunta </w:t>
      </w:r>
      <w:r w:rsidR="001843EB" w:rsidRPr="00F9785B">
        <w:rPr>
          <w:szCs w:val="20"/>
          <w:lang w:val="es-CR"/>
        </w:rPr>
        <w:t>persecución racista por parte del Estado Argentino contra los afrodescendientes.</w:t>
      </w:r>
    </w:p>
    <w:p w14:paraId="1797C243" w14:textId="404F736B" w:rsidR="001843EB" w:rsidRPr="00F9785B" w:rsidRDefault="001843EB" w:rsidP="00F9785B">
      <w:pPr>
        <w:pStyle w:val="Prrafodelista"/>
        <w:numPr>
          <w:ilvl w:val="3"/>
          <w:numId w:val="8"/>
        </w:numPr>
        <w:tabs>
          <w:tab w:val="left" w:pos="567"/>
          <w:tab w:val="left" w:pos="1134"/>
        </w:tabs>
        <w:autoSpaceDE w:val="0"/>
        <w:autoSpaceDN w:val="0"/>
        <w:adjustRightInd w:val="0"/>
        <w:spacing w:after="0" w:line="240" w:lineRule="auto"/>
        <w:ind w:left="1040"/>
        <w:jc w:val="both"/>
        <w:rPr>
          <w:rFonts w:cs="Verdana"/>
          <w:szCs w:val="20"/>
          <w:lang w:val="es-ES"/>
        </w:rPr>
      </w:pPr>
      <w:r w:rsidRPr="00F9785B">
        <w:rPr>
          <w:b/>
          <w:szCs w:val="20"/>
          <w:lang w:val="es-CR"/>
        </w:rPr>
        <w:t>Fernando Ramírez Abella</w:t>
      </w:r>
      <w:r w:rsidRPr="00F9785B">
        <w:rPr>
          <w:szCs w:val="20"/>
          <w:lang w:val="es-CR"/>
        </w:rPr>
        <w:t>, quien declarará sobre i) el activismo y la promoción cultural de los hermanos Acosta Martínez, ii) la lucha de Ángel Acosta Martínez en la búsqueda de verdad y justicia para su hermano.</w:t>
      </w:r>
    </w:p>
    <w:p w14:paraId="0F31920F" w14:textId="77777777" w:rsidR="00F9785B" w:rsidRDefault="00F9785B" w:rsidP="00F9785B">
      <w:pPr>
        <w:tabs>
          <w:tab w:val="left" w:pos="567"/>
          <w:tab w:val="left" w:pos="1134"/>
        </w:tabs>
        <w:spacing w:after="0" w:line="240" w:lineRule="auto"/>
        <w:jc w:val="both"/>
        <w:rPr>
          <w:szCs w:val="20"/>
          <w:lang w:val="es-CR"/>
        </w:rPr>
      </w:pPr>
    </w:p>
    <w:p w14:paraId="0BCC7328" w14:textId="0EFDE1CA" w:rsidR="00184B43" w:rsidRPr="00F9785B" w:rsidRDefault="00184B43" w:rsidP="00F9785B">
      <w:pPr>
        <w:pStyle w:val="Prrafodelista"/>
        <w:numPr>
          <w:ilvl w:val="0"/>
          <w:numId w:val="8"/>
        </w:numPr>
        <w:tabs>
          <w:tab w:val="left" w:pos="567"/>
          <w:tab w:val="left" w:pos="1134"/>
        </w:tabs>
        <w:spacing w:after="0" w:line="240" w:lineRule="auto"/>
        <w:jc w:val="both"/>
        <w:rPr>
          <w:rFonts w:cs="Verdana"/>
          <w:b/>
          <w:bCs/>
          <w:i/>
          <w:iCs/>
          <w:szCs w:val="20"/>
          <w:lang w:val="es-CR"/>
        </w:rPr>
      </w:pPr>
      <w:r w:rsidRPr="00F9785B">
        <w:rPr>
          <w:rFonts w:cs="Verdana"/>
          <w:i/>
          <w:iCs/>
          <w:szCs w:val="20"/>
          <w:lang w:val="es-CR"/>
        </w:rPr>
        <w:t>Peritos propuestos por los Representantes</w:t>
      </w:r>
    </w:p>
    <w:p w14:paraId="3D6A7363" w14:textId="77777777" w:rsidR="00184B43" w:rsidRDefault="00184B43" w:rsidP="00184B43">
      <w:pPr>
        <w:tabs>
          <w:tab w:val="left" w:pos="567"/>
          <w:tab w:val="left" w:pos="1134"/>
        </w:tabs>
        <w:autoSpaceDE w:val="0"/>
        <w:autoSpaceDN w:val="0"/>
        <w:adjustRightInd w:val="0"/>
        <w:spacing w:after="0" w:line="240" w:lineRule="auto"/>
        <w:ind w:left="567"/>
        <w:jc w:val="both"/>
        <w:rPr>
          <w:rFonts w:cs="Verdana"/>
          <w:szCs w:val="20"/>
          <w:lang w:val="es-ES"/>
        </w:rPr>
      </w:pPr>
    </w:p>
    <w:p w14:paraId="52807EA8" w14:textId="77777777" w:rsidR="00F9785B" w:rsidRPr="00F9785B" w:rsidRDefault="00184B43" w:rsidP="00F9785B">
      <w:pPr>
        <w:pStyle w:val="Prrafodelista"/>
        <w:numPr>
          <w:ilvl w:val="3"/>
          <w:numId w:val="8"/>
        </w:numPr>
        <w:tabs>
          <w:tab w:val="left" w:pos="567"/>
          <w:tab w:val="left" w:pos="1134"/>
        </w:tabs>
        <w:autoSpaceDE w:val="0"/>
        <w:autoSpaceDN w:val="0"/>
        <w:adjustRightInd w:val="0"/>
        <w:spacing w:after="0" w:line="240" w:lineRule="auto"/>
        <w:ind w:left="1040"/>
        <w:jc w:val="both"/>
        <w:rPr>
          <w:rFonts w:cs="Verdana"/>
          <w:szCs w:val="20"/>
          <w:lang w:val="es-ES"/>
        </w:rPr>
      </w:pPr>
      <w:r w:rsidRPr="00F9785B">
        <w:rPr>
          <w:b/>
          <w:szCs w:val="20"/>
          <w:lang w:val="es-CR"/>
        </w:rPr>
        <w:t xml:space="preserve">Alejandro </w:t>
      </w:r>
      <w:proofErr w:type="spellStart"/>
      <w:r w:rsidRPr="00F9785B">
        <w:rPr>
          <w:b/>
          <w:szCs w:val="20"/>
          <w:lang w:val="es-CR"/>
        </w:rPr>
        <w:t>Fri</w:t>
      </w:r>
      <w:r w:rsidRPr="00F9785B">
        <w:rPr>
          <w:rFonts w:cs="Verdana"/>
          <w:b/>
          <w:szCs w:val="20"/>
          <w:lang w:val="es-AR"/>
        </w:rPr>
        <w:t>gerio</w:t>
      </w:r>
      <w:proofErr w:type="spellEnd"/>
      <w:r w:rsidRPr="00F9785B">
        <w:rPr>
          <w:rFonts w:cs="Verdana"/>
          <w:szCs w:val="20"/>
          <w:lang w:val="es-AR"/>
        </w:rPr>
        <w:t>, perito especializado en estudios afroamericanos quien declarará sobre el presunto contexto de discriminación racial en Argentina, en particular al momento de los hechos.</w:t>
      </w:r>
    </w:p>
    <w:p w14:paraId="1515A96F" w14:textId="4B5AD1F9" w:rsidR="00184B43" w:rsidRPr="00F9785B" w:rsidRDefault="00184B43" w:rsidP="00F9785B">
      <w:pPr>
        <w:pStyle w:val="Prrafodelista"/>
        <w:numPr>
          <w:ilvl w:val="3"/>
          <w:numId w:val="8"/>
        </w:numPr>
        <w:tabs>
          <w:tab w:val="left" w:pos="567"/>
          <w:tab w:val="left" w:pos="1134"/>
        </w:tabs>
        <w:autoSpaceDE w:val="0"/>
        <w:autoSpaceDN w:val="0"/>
        <w:adjustRightInd w:val="0"/>
        <w:spacing w:after="0" w:line="240" w:lineRule="auto"/>
        <w:ind w:left="1040"/>
        <w:jc w:val="both"/>
        <w:rPr>
          <w:rFonts w:cs="Verdana"/>
          <w:szCs w:val="20"/>
          <w:lang w:val="es-ES"/>
        </w:rPr>
      </w:pPr>
      <w:r w:rsidRPr="00F9785B">
        <w:rPr>
          <w:rFonts w:cs="Verdana"/>
          <w:b/>
          <w:szCs w:val="20"/>
          <w:lang w:val="es-ES"/>
        </w:rPr>
        <w:t>Víctor Manuel Rodríguez González</w:t>
      </w:r>
      <w:r w:rsidRPr="00F9785B">
        <w:rPr>
          <w:rFonts w:cs="Verdana"/>
          <w:szCs w:val="20"/>
          <w:lang w:val="es-ES"/>
        </w:rPr>
        <w:t>, perito experto en salud mental, quien declarará sobre las posibles formas de reparación simbólica de acuerdo con la afectación suf</w:t>
      </w:r>
      <w:r w:rsidR="00F9785B">
        <w:rPr>
          <w:rFonts w:cs="Verdana"/>
          <w:szCs w:val="20"/>
          <w:lang w:val="es-ES"/>
        </w:rPr>
        <w:t>rida por los hechos denunciados.</w:t>
      </w:r>
    </w:p>
    <w:p w14:paraId="2999C94E" w14:textId="77777777" w:rsidR="00184B43" w:rsidRDefault="00184B43" w:rsidP="00214A05">
      <w:pPr>
        <w:widowControl w:val="0"/>
        <w:tabs>
          <w:tab w:val="left" w:pos="567"/>
          <w:tab w:val="left" w:pos="1134"/>
        </w:tabs>
        <w:autoSpaceDE w:val="0"/>
        <w:autoSpaceDN w:val="0"/>
        <w:adjustRightInd w:val="0"/>
        <w:spacing w:after="0" w:line="240" w:lineRule="auto"/>
        <w:ind w:left="709" w:right="22"/>
        <w:jc w:val="both"/>
        <w:rPr>
          <w:szCs w:val="20"/>
          <w:lang w:val="es-CR"/>
        </w:rPr>
      </w:pPr>
    </w:p>
    <w:p w14:paraId="340438B7" w14:textId="77777777" w:rsidR="002C4D6A" w:rsidRDefault="002C4D6A" w:rsidP="002C4D6A">
      <w:pPr>
        <w:widowControl w:val="0"/>
        <w:tabs>
          <w:tab w:val="left" w:pos="567"/>
          <w:tab w:val="left" w:pos="1134"/>
        </w:tabs>
        <w:autoSpaceDE w:val="0"/>
        <w:autoSpaceDN w:val="0"/>
        <w:adjustRightInd w:val="0"/>
        <w:spacing w:after="0" w:line="240" w:lineRule="auto"/>
        <w:ind w:right="22"/>
        <w:jc w:val="both"/>
        <w:rPr>
          <w:rFonts w:cs="Verdana"/>
          <w:i/>
          <w:szCs w:val="20"/>
          <w:lang w:val="es-ES_tradnl"/>
        </w:rPr>
      </w:pPr>
    </w:p>
    <w:p w14:paraId="1A8A40CA" w14:textId="44E44C7D" w:rsidR="009F1C98" w:rsidRPr="009F1C98" w:rsidRDefault="002C4D6A" w:rsidP="009F1C98">
      <w:pPr>
        <w:numPr>
          <w:ilvl w:val="0"/>
          <w:numId w:val="7"/>
        </w:numPr>
        <w:tabs>
          <w:tab w:val="left" w:pos="567"/>
        </w:tabs>
        <w:spacing w:after="0" w:line="240" w:lineRule="auto"/>
        <w:jc w:val="both"/>
        <w:rPr>
          <w:rFonts w:eastAsia="MS Mincho" w:cs="Times"/>
          <w:szCs w:val="20"/>
          <w:lang w:val="es-CR"/>
        </w:rPr>
      </w:pPr>
      <w:bookmarkStart w:id="11" w:name="_Ref393464381"/>
      <w:r>
        <w:rPr>
          <w:rFonts w:eastAsia="MS Mincho" w:cs="Times"/>
          <w:szCs w:val="20"/>
          <w:lang w:val="es-CR"/>
        </w:rPr>
        <w:lastRenderedPageBreak/>
        <w:t xml:space="preserve"> </w:t>
      </w:r>
      <w:r>
        <w:rPr>
          <w:rFonts w:cs="Verdana"/>
          <w:color w:val="000000"/>
          <w:szCs w:val="20"/>
          <w:lang w:val="es-CR" w:eastAsia="es-ES"/>
        </w:rPr>
        <w:t xml:space="preserve">Requerir a </w:t>
      </w:r>
      <w:r w:rsidR="001843EB" w:rsidRPr="001843EB">
        <w:rPr>
          <w:rFonts w:cs="Verdana"/>
          <w:color w:val="000000"/>
          <w:szCs w:val="20"/>
          <w:lang w:val="es-CR" w:eastAsia="es-ES"/>
        </w:rPr>
        <w:t>la Comisión Interamericana y</w:t>
      </w:r>
      <w:r w:rsidRPr="001843EB">
        <w:rPr>
          <w:rFonts w:cs="Verdana"/>
          <w:color w:val="000000"/>
          <w:szCs w:val="20"/>
          <w:lang w:val="es-CR" w:eastAsia="es-ES"/>
        </w:rPr>
        <w:t xml:space="preserve"> a </w:t>
      </w:r>
      <w:r w:rsidRPr="001843EB">
        <w:rPr>
          <w:color w:val="000000"/>
          <w:szCs w:val="20"/>
          <w:lang w:val="es-CR" w:eastAsia="es-ES"/>
        </w:rPr>
        <w:t xml:space="preserve">los </w:t>
      </w:r>
      <w:r w:rsidRPr="001843EB">
        <w:rPr>
          <w:rFonts w:cs="Verdana"/>
          <w:color w:val="000000"/>
          <w:szCs w:val="20"/>
          <w:lang w:val="es-CR" w:eastAsia="es-ES"/>
        </w:rPr>
        <w:t xml:space="preserve">representantes </w:t>
      </w:r>
      <w:r>
        <w:rPr>
          <w:rFonts w:cs="Verdana"/>
          <w:color w:val="000000"/>
          <w:szCs w:val="20"/>
          <w:lang w:val="es-CR" w:eastAsia="es-ES"/>
        </w:rPr>
        <w:t xml:space="preserve">que notifiquen la presente Resolución a las personas que han sido convocadas a rendir declaración, respectivamente según fueron por ellos propuestas, de conformidad con lo dispuesto en los artículos 50.2 y 50.4 del Reglamento. </w:t>
      </w:r>
    </w:p>
    <w:p w14:paraId="05573FB7" w14:textId="77777777" w:rsidR="009F1C98" w:rsidRPr="009F1C98" w:rsidRDefault="009F1C98" w:rsidP="009F1C98">
      <w:pPr>
        <w:tabs>
          <w:tab w:val="left" w:pos="567"/>
        </w:tabs>
        <w:spacing w:after="0" w:line="240" w:lineRule="auto"/>
        <w:jc w:val="both"/>
        <w:rPr>
          <w:rFonts w:eastAsia="MS Mincho" w:cs="Times"/>
          <w:szCs w:val="20"/>
          <w:lang w:val="es-CR"/>
        </w:rPr>
      </w:pPr>
    </w:p>
    <w:p w14:paraId="1AB45D1E" w14:textId="75ABD57C" w:rsidR="002C4D6A" w:rsidRPr="009F1C98" w:rsidRDefault="002C4D6A" w:rsidP="009F1C98">
      <w:pPr>
        <w:numPr>
          <w:ilvl w:val="0"/>
          <w:numId w:val="7"/>
        </w:numPr>
        <w:tabs>
          <w:tab w:val="left" w:pos="567"/>
        </w:tabs>
        <w:spacing w:after="0" w:line="240" w:lineRule="auto"/>
        <w:jc w:val="both"/>
        <w:rPr>
          <w:rFonts w:eastAsia="MS Mincho" w:cs="Times"/>
          <w:szCs w:val="20"/>
          <w:lang w:val="es-CR"/>
        </w:rPr>
      </w:pPr>
      <w:r w:rsidRPr="009F1C98">
        <w:rPr>
          <w:rFonts w:eastAsia="MS Mincho" w:cs="Times"/>
          <w:szCs w:val="20"/>
          <w:lang w:val="es-CR"/>
        </w:rPr>
        <w:t xml:space="preserve">Requerir a </w:t>
      </w:r>
      <w:r w:rsidRPr="009F1C98">
        <w:rPr>
          <w:rFonts w:eastAsia="MS Mincho" w:cs="Times"/>
          <w:color w:val="000000"/>
          <w:szCs w:val="20"/>
          <w:lang w:val="es-CR" w:eastAsia="es-ES"/>
        </w:rPr>
        <w:t xml:space="preserve">los representantes, </w:t>
      </w:r>
      <w:r w:rsidRPr="009F1C98">
        <w:rPr>
          <w:rFonts w:eastAsia="MS Mincho" w:cs="Times"/>
          <w:szCs w:val="20"/>
          <w:lang w:val="es-CR"/>
        </w:rPr>
        <w:t xml:space="preserve">al Estado y a la Comisión que remitan, </w:t>
      </w:r>
      <w:r w:rsidRPr="009F1C98">
        <w:rPr>
          <w:szCs w:val="20"/>
          <w:lang w:val="es-CR"/>
        </w:rPr>
        <w:t>en los términos del artículo 50.5 del Reglamento y</w:t>
      </w:r>
      <w:r w:rsidRPr="009F1C98">
        <w:rPr>
          <w:rFonts w:eastAsia="MS Mincho" w:cs="Times"/>
          <w:szCs w:val="20"/>
          <w:lang w:val="es-CR"/>
        </w:rPr>
        <w:t xml:space="preserve"> de considerarlo pertinente, en lo que les corresponda y en el plazo</w:t>
      </w:r>
      <w:r w:rsidRPr="009F1C98">
        <w:rPr>
          <w:rFonts w:eastAsia="MS Mincho" w:cs="Verdana"/>
          <w:szCs w:val="20"/>
          <w:lang w:val="es-CR"/>
        </w:rPr>
        <w:t xml:space="preserve"> improrrogable que vence el </w:t>
      </w:r>
      <w:r w:rsidR="009870DB">
        <w:rPr>
          <w:szCs w:val="20"/>
          <w:lang w:val="es-CR"/>
        </w:rPr>
        <w:t>18</w:t>
      </w:r>
      <w:r w:rsidR="00FD7F5F" w:rsidRPr="00FD7F5F">
        <w:rPr>
          <w:szCs w:val="20"/>
          <w:lang w:val="es-CR"/>
        </w:rPr>
        <w:t xml:space="preserve"> de febrero de 2020</w:t>
      </w:r>
      <w:r w:rsidRPr="009F1C98">
        <w:rPr>
          <w:rFonts w:eastAsia="MS Mincho" w:cs="Verdana"/>
          <w:szCs w:val="20"/>
          <w:lang w:val="es-CR"/>
        </w:rPr>
        <w:t xml:space="preserve">, las preguntas que estimen pertinentes formular a través de la Corte Interamericana a </w:t>
      </w:r>
      <w:r w:rsidRPr="00FD7F5F">
        <w:rPr>
          <w:rFonts w:eastAsia="MS Mincho" w:cs="Verdana"/>
          <w:szCs w:val="20"/>
          <w:lang w:val="es-CR"/>
        </w:rPr>
        <w:t>las presuntas víctimas, los testigos y los peritos</w:t>
      </w:r>
      <w:r w:rsidRPr="009F1C98">
        <w:rPr>
          <w:rFonts w:eastAsia="MS Mincho" w:cs="Verdana"/>
          <w:szCs w:val="20"/>
          <w:lang w:val="es-CR"/>
        </w:rPr>
        <w:t xml:space="preserve"> </w:t>
      </w:r>
      <w:r w:rsidRPr="009F1C98">
        <w:rPr>
          <w:rFonts w:eastAsia="MS Mincho" w:cs="Times"/>
          <w:szCs w:val="20"/>
          <w:lang w:val="es-CR"/>
        </w:rPr>
        <w:t>indicad</w:t>
      </w:r>
      <w:r w:rsidR="001843EB" w:rsidRPr="009F1C98">
        <w:rPr>
          <w:rFonts w:eastAsia="MS Mincho" w:cs="Times"/>
          <w:szCs w:val="20"/>
          <w:lang w:val="es-CR"/>
        </w:rPr>
        <w:t>os en el punto resolutivo cuarto</w:t>
      </w:r>
      <w:r w:rsidRPr="009F1C98">
        <w:rPr>
          <w:rFonts w:eastAsia="MS Mincho" w:cs="Times"/>
          <w:szCs w:val="20"/>
          <w:lang w:val="es-CR"/>
        </w:rPr>
        <w:t xml:space="preserve"> de esta Resolución.</w:t>
      </w:r>
      <w:r w:rsidRPr="009F1C98">
        <w:rPr>
          <w:szCs w:val="20"/>
          <w:lang w:val="es-CR"/>
        </w:rPr>
        <w:t xml:space="preserve"> </w:t>
      </w:r>
      <w:bookmarkEnd w:id="11"/>
    </w:p>
    <w:p w14:paraId="14650FC2" w14:textId="77777777" w:rsidR="002C4D6A" w:rsidRDefault="002C4D6A" w:rsidP="002C4D6A">
      <w:pPr>
        <w:tabs>
          <w:tab w:val="left" w:pos="567"/>
        </w:tabs>
        <w:spacing w:after="0" w:line="240" w:lineRule="auto"/>
        <w:jc w:val="both"/>
        <w:rPr>
          <w:rFonts w:eastAsia="MS Mincho" w:cs="Times"/>
          <w:szCs w:val="20"/>
          <w:lang w:val="es-CR"/>
        </w:rPr>
      </w:pPr>
    </w:p>
    <w:p w14:paraId="041A4060" w14:textId="426E64FF" w:rsidR="002C4D6A" w:rsidRDefault="002C4D6A" w:rsidP="002C4D6A">
      <w:pPr>
        <w:numPr>
          <w:ilvl w:val="0"/>
          <w:numId w:val="7"/>
        </w:numPr>
        <w:tabs>
          <w:tab w:val="left" w:pos="567"/>
        </w:tabs>
        <w:spacing w:after="0" w:line="240" w:lineRule="auto"/>
        <w:jc w:val="both"/>
        <w:rPr>
          <w:rFonts w:eastAsia="MS Mincho" w:cs="Times"/>
          <w:szCs w:val="20"/>
          <w:lang w:val="es-CR"/>
        </w:rPr>
      </w:pPr>
      <w:r>
        <w:rPr>
          <w:rFonts w:cs="Verdana"/>
          <w:color w:val="000000"/>
          <w:szCs w:val="20"/>
          <w:lang w:val="es-CR" w:eastAsia="es-ES"/>
        </w:rPr>
        <w:t xml:space="preserve">Requerir a los representantes que comuniquen y </w:t>
      </w:r>
      <w:r>
        <w:rPr>
          <w:szCs w:val="20"/>
          <w:lang w:val="es-CR"/>
        </w:rPr>
        <w:t xml:space="preserve">remitan </w:t>
      </w:r>
      <w:r>
        <w:rPr>
          <w:rFonts w:cs="Verdana"/>
          <w:color w:val="000000"/>
          <w:szCs w:val="20"/>
          <w:lang w:val="es-CR" w:eastAsia="es-ES"/>
        </w:rPr>
        <w:t xml:space="preserve">a la Corte, a más tardar el </w:t>
      </w:r>
      <w:r w:rsidR="009870DB">
        <w:rPr>
          <w:szCs w:val="20"/>
          <w:lang w:val="es-CR"/>
        </w:rPr>
        <w:t>18</w:t>
      </w:r>
      <w:r w:rsidR="00FD7F5F" w:rsidRPr="00FD7F5F">
        <w:rPr>
          <w:szCs w:val="20"/>
          <w:lang w:val="es-CR"/>
        </w:rPr>
        <w:t xml:space="preserve"> de febrero de 2020</w:t>
      </w:r>
      <w:r>
        <w:rPr>
          <w:rFonts w:cs="Verdana"/>
          <w:color w:val="000000"/>
          <w:szCs w:val="20"/>
          <w:lang w:val="es-CR" w:eastAsia="es-ES"/>
        </w:rPr>
        <w:t xml:space="preserve">, </w:t>
      </w:r>
      <w:r w:rsidRPr="009E0613">
        <w:rPr>
          <w:szCs w:val="20"/>
          <w:lang w:val="es-CR"/>
        </w:rPr>
        <w:t xml:space="preserve">el nombre del </w:t>
      </w:r>
      <w:r w:rsidR="009E0613" w:rsidRPr="009E0613">
        <w:rPr>
          <w:szCs w:val="20"/>
          <w:lang w:val="es-CR"/>
        </w:rPr>
        <w:t>representante cuyos gastos de traslado y estadía</w:t>
      </w:r>
      <w:r w:rsidRPr="009E0613">
        <w:rPr>
          <w:szCs w:val="20"/>
          <w:lang w:val="es-CR"/>
        </w:rPr>
        <w:t xml:space="preserve"> sería</w:t>
      </w:r>
      <w:r w:rsidR="009E0613" w:rsidRPr="009E0613">
        <w:rPr>
          <w:szCs w:val="20"/>
          <w:lang w:val="es-CR"/>
        </w:rPr>
        <w:t>n</w:t>
      </w:r>
      <w:r w:rsidRPr="009E0613">
        <w:rPr>
          <w:szCs w:val="20"/>
          <w:lang w:val="es-CR"/>
        </w:rPr>
        <w:t xml:space="preserve"> </w:t>
      </w:r>
      <w:r w:rsidR="009E0613" w:rsidRPr="009E0613">
        <w:rPr>
          <w:szCs w:val="20"/>
          <w:lang w:val="es-CR"/>
        </w:rPr>
        <w:t>cubiertos</w:t>
      </w:r>
      <w:r w:rsidRPr="009E0613">
        <w:rPr>
          <w:szCs w:val="20"/>
          <w:lang w:val="es-CR"/>
        </w:rPr>
        <w:t xml:space="preserve"> por el Fondo de Asistencia</w:t>
      </w:r>
      <w:r>
        <w:rPr>
          <w:szCs w:val="20"/>
          <w:lang w:val="es-CR"/>
        </w:rPr>
        <w:t xml:space="preserve"> y una cotización del costo de la formalización de la </w:t>
      </w:r>
      <w:r w:rsidR="009E0613">
        <w:rPr>
          <w:szCs w:val="20"/>
          <w:lang w:val="es-CR"/>
        </w:rPr>
        <w:t>declaración jurada</w:t>
      </w:r>
      <w:r>
        <w:rPr>
          <w:szCs w:val="20"/>
          <w:lang w:val="es-CR"/>
        </w:rPr>
        <w:t xml:space="preserve"> en el país de residencia </w:t>
      </w:r>
      <w:r w:rsidR="009E0613">
        <w:rPr>
          <w:szCs w:val="20"/>
          <w:lang w:val="es-CR"/>
        </w:rPr>
        <w:t>de la señora Blanca Rosa Martínez</w:t>
      </w:r>
      <w:r>
        <w:rPr>
          <w:szCs w:val="20"/>
          <w:lang w:val="es-CR"/>
        </w:rPr>
        <w:t xml:space="preserve"> y de su respectivo envío, de conformidad con lo establecido en el párrafo considerativo </w:t>
      </w:r>
      <w:r w:rsidR="001843EB" w:rsidRPr="001843EB">
        <w:rPr>
          <w:szCs w:val="20"/>
          <w:lang w:val="es-CR"/>
        </w:rPr>
        <w:t>décimo</w:t>
      </w:r>
      <w:r>
        <w:rPr>
          <w:szCs w:val="20"/>
          <w:lang w:val="es-CR"/>
        </w:rPr>
        <w:t xml:space="preserve"> de la presente Resolución. </w:t>
      </w:r>
    </w:p>
    <w:p w14:paraId="7E244D81" w14:textId="77777777" w:rsidR="002C4D6A" w:rsidRDefault="002C4D6A" w:rsidP="002C4D6A">
      <w:pPr>
        <w:tabs>
          <w:tab w:val="left" w:pos="567"/>
        </w:tabs>
        <w:spacing w:after="0" w:line="240" w:lineRule="auto"/>
        <w:jc w:val="both"/>
        <w:rPr>
          <w:rFonts w:eastAsia="MS Mincho" w:cs="Times"/>
          <w:szCs w:val="20"/>
          <w:lang w:val="es-CR"/>
        </w:rPr>
      </w:pPr>
    </w:p>
    <w:p w14:paraId="51BE5BA0" w14:textId="76EE727A" w:rsidR="002C4D6A" w:rsidRDefault="002C4D6A" w:rsidP="002C4D6A">
      <w:pPr>
        <w:numPr>
          <w:ilvl w:val="0"/>
          <w:numId w:val="7"/>
        </w:numPr>
        <w:tabs>
          <w:tab w:val="left" w:pos="567"/>
        </w:tabs>
        <w:spacing w:after="0" w:line="240" w:lineRule="auto"/>
        <w:jc w:val="both"/>
        <w:rPr>
          <w:rFonts w:eastAsia="MS Mincho" w:cs="Times"/>
          <w:szCs w:val="20"/>
          <w:lang w:val="es-CR"/>
        </w:rPr>
      </w:pPr>
      <w:r>
        <w:rPr>
          <w:rFonts w:eastAsia="MS Mincho" w:cs="Times"/>
          <w:szCs w:val="20"/>
          <w:lang w:val="es-CR"/>
        </w:rPr>
        <w:t xml:space="preserve">Requerir a </w:t>
      </w:r>
      <w:r w:rsidR="001843EB" w:rsidRPr="009E0613">
        <w:rPr>
          <w:rFonts w:eastAsia="MS Mincho" w:cs="Times"/>
          <w:szCs w:val="20"/>
          <w:lang w:val="es-CR"/>
        </w:rPr>
        <w:t>los representante</w:t>
      </w:r>
      <w:r w:rsidR="001843EB" w:rsidRPr="00DE26CE">
        <w:rPr>
          <w:rFonts w:eastAsia="MS Mincho" w:cs="Times"/>
          <w:szCs w:val="20"/>
          <w:lang w:val="es-CR"/>
        </w:rPr>
        <w:t>s</w:t>
      </w:r>
      <w:r w:rsidR="00DE26CE" w:rsidRPr="00DE26CE">
        <w:rPr>
          <w:rFonts w:eastAsia="MS Mincho" w:cs="Times"/>
          <w:szCs w:val="20"/>
          <w:lang w:val="es-CR"/>
        </w:rPr>
        <w:t xml:space="preserve"> </w:t>
      </w:r>
      <w:r>
        <w:rPr>
          <w:rFonts w:eastAsia="MS Mincho" w:cs="Times"/>
          <w:szCs w:val="20"/>
          <w:lang w:val="es-CR"/>
        </w:rPr>
        <w:t xml:space="preserve">que coordinen y realicen las diligencias necesarias para que, una vez recibidas las preguntas </w:t>
      </w:r>
      <w:r w:rsidR="00354330">
        <w:rPr>
          <w:rFonts w:eastAsia="MS Mincho" w:cs="Times"/>
          <w:szCs w:val="20"/>
          <w:lang w:val="es-CR"/>
        </w:rPr>
        <w:t>de la contraparte y de la Comisión</w:t>
      </w:r>
      <w:r w:rsidR="001843EB">
        <w:rPr>
          <w:rFonts w:eastAsia="MS Mincho" w:cs="Times"/>
          <w:szCs w:val="20"/>
          <w:lang w:val="es-CR"/>
        </w:rPr>
        <w:t xml:space="preserve">, que </w:t>
      </w:r>
      <w:r w:rsidR="00354330">
        <w:rPr>
          <w:rFonts w:eastAsia="MS Mincho" w:cs="Times"/>
          <w:szCs w:val="20"/>
          <w:lang w:val="es-CR"/>
        </w:rPr>
        <w:t>los declarantes</w:t>
      </w:r>
      <w:r>
        <w:rPr>
          <w:rFonts w:eastAsia="MS Mincho" w:cs="Verdana"/>
          <w:szCs w:val="20"/>
          <w:lang w:val="es-CR"/>
        </w:rPr>
        <w:t xml:space="preserve"> </w:t>
      </w:r>
      <w:r w:rsidR="00354330">
        <w:rPr>
          <w:rFonts w:eastAsia="MS Mincho" w:cs="Times"/>
          <w:szCs w:val="20"/>
          <w:lang w:val="es-CR"/>
        </w:rPr>
        <w:t>incluyan las respuestas en sus</w:t>
      </w:r>
      <w:r>
        <w:rPr>
          <w:rFonts w:eastAsia="MS Mincho" w:cs="Times"/>
          <w:szCs w:val="20"/>
          <w:lang w:val="es-CR"/>
        </w:rPr>
        <w:t xml:space="preserve"> respectivas declaraciones que rendirán ante fedatario público, </w:t>
      </w:r>
      <w:r w:rsidR="00354330">
        <w:rPr>
          <w:szCs w:val="20"/>
          <w:lang w:val="es-CR"/>
        </w:rPr>
        <w:t>salvo que la Presidenta</w:t>
      </w:r>
      <w:r>
        <w:rPr>
          <w:szCs w:val="20"/>
          <w:lang w:val="es-CR"/>
        </w:rPr>
        <w:t xml:space="preserve"> disponga lo contrario cuando la Secretaría de la Corte las transmita</w:t>
      </w:r>
      <w:r>
        <w:rPr>
          <w:rFonts w:eastAsia="MS Mincho" w:cs="Times"/>
          <w:szCs w:val="20"/>
          <w:lang w:val="es-CR"/>
        </w:rPr>
        <w:t xml:space="preserve">. Las declaraciones y los dictámenes requeridos deberán ser presentados al Tribunal a más tardar el </w:t>
      </w:r>
      <w:r w:rsidR="009870DB">
        <w:rPr>
          <w:szCs w:val="20"/>
          <w:lang w:val="es-CR"/>
        </w:rPr>
        <w:t>4</w:t>
      </w:r>
      <w:r w:rsidR="00DE26CE">
        <w:rPr>
          <w:szCs w:val="20"/>
          <w:lang w:val="es-CR"/>
        </w:rPr>
        <w:t xml:space="preserve"> de marzo de 2020</w:t>
      </w:r>
      <w:r>
        <w:rPr>
          <w:rFonts w:eastAsia="MS Mincho" w:cs="Times"/>
          <w:szCs w:val="20"/>
          <w:lang w:val="es-CR"/>
        </w:rPr>
        <w:t>.</w:t>
      </w:r>
    </w:p>
    <w:p w14:paraId="0ECDFC71" w14:textId="77777777" w:rsidR="002C4D6A" w:rsidRDefault="002C4D6A" w:rsidP="002C4D6A">
      <w:pPr>
        <w:rPr>
          <w:rFonts w:eastAsia="MS Mincho" w:cs="Times"/>
          <w:lang w:val="es-CR"/>
        </w:rPr>
      </w:pPr>
    </w:p>
    <w:p w14:paraId="0F5A436F" w14:textId="77777777" w:rsidR="002C4D6A" w:rsidRDefault="002C4D6A" w:rsidP="002C4D6A">
      <w:pPr>
        <w:numPr>
          <w:ilvl w:val="0"/>
          <w:numId w:val="7"/>
        </w:numPr>
        <w:tabs>
          <w:tab w:val="left" w:pos="567"/>
        </w:tabs>
        <w:spacing w:after="0" w:line="240" w:lineRule="auto"/>
        <w:jc w:val="both"/>
        <w:rPr>
          <w:rFonts w:eastAsia="MS Mincho" w:cs="Times"/>
          <w:szCs w:val="20"/>
          <w:lang w:val="es-CR"/>
        </w:rPr>
      </w:pPr>
      <w:r>
        <w:rPr>
          <w:rFonts w:eastAsia="MS Mincho" w:cs="Times"/>
          <w:szCs w:val="20"/>
          <w:lang w:val="es-CR"/>
        </w:rPr>
        <w:t xml:space="preserve">Disponer </w:t>
      </w:r>
      <w:r>
        <w:rPr>
          <w:szCs w:val="20"/>
          <w:lang w:val="es-CR"/>
        </w:rPr>
        <w:t xml:space="preserve">conforme al artículo 50.6 del Reglamento </w:t>
      </w:r>
      <w:r>
        <w:rPr>
          <w:rFonts w:eastAsia="MS Mincho" w:cs="Times"/>
          <w:szCs w:val="20"/>
          <w:lang w:val="es-CR"/>
        </w:rPr>
        <w:t xml:space="preserve">que, una vez recibidas las declaraciones y peritajes, la Secretaría de la Corte Interamericana las transmita al Estado, a los </w:t>
      </w:r>
      <w:r>
        <w:rPr>
          <w:rFonts w:eastAsia="MS Mincho" w:cs="Times"/>
          <w:color w:val="000000"/>
          <w:szCs w:val="20"/>
          <w:lang w:val="es-CR" w:eastAsia="es-ES"/>
        </w:rPr>
        <w:t>representantes</w:t>
      </w:r>
      <w:r>
        <w:rPr>
          <w:rFonts w:eastAsia="MS Mincho" w:cs="Times"/>
          <w:szCs w:val="20"/>
          <w:lang w:val="es-CR"/>
        </w:rPr>
        <w:t xml:space="preserve"> y a la Comisión. para que, si lo estiman pertinente</w:t>
      </w:r>
      <w:r>
        <w:rPr>
          <w:rFonts w:eastAsia="MS Mincho" w:cs="Times"/>
          <w:szCs w:val="20"/>
          <w:lang w:val="es-ES_tradnl"/>
        </w:rPr>
        <w:t xml:space="preserve"> y en cuanto les corresponda</w:t>
      </w:r>
      <w:r>
        <w:rPr>
          <w:rFonts w:eastAsia="MS Mincho" w:cs="Times"/>
          <w:szCs w:val="20"/>
          <w:lang w:val="es-CR"/>
        </w:rPr>
        <w:t xml:space="preserve">, presenten sus observaciones a más tardar </w:t>
      </w:r>
      <w:r>
        <w:rPr>
          <w:rFonts w:eastAsia="MS Mincho" w:cs="Times"/>
          <w:szCs w:val="20"/>
          <w:lang w:val="es-ES_tradnl"/>
        </w:rPr>
        <w:t>con sus alegatos u observaciones finales escritos, respectivamente.</w:t>
      </w:r>
    </w:p>
    <w:p w14:paraId="14D9BEA3" w14:textId="77777777" w:rsidR="002C4D6A" w:rsidRDefault="002C4D6A" w:rsidP="002C4D6A"/>
    <w:p w14:paraId="0073275F" w14:textId="77777777" w:rsidR="002C4D6A" w:rsidRDefault="002C4D6A" w:rsidP="002C4D6A">
      <w:pPr>
        <w:numPr>
          <w:ilvl w:val="0"/>
          <w:numId w:val="7"/>
        </w:numPr>
        <w:tabs>
          <w:tab w:val="left" w:pos="567"/>
        </w:tabs>
        <w:spacing w:after="0" w:line="240" w:lineRule="auto"/>
        <w:jc w:val="both"/>
        <w:rPr>
          <w:rFonts w:eastAsia="MS Mincho" w:cs="Times"/>
          <w:szCs w:val="20"/>
          <w:lang w:val="es-CR"/>
        </w:rPr>
      </w:pPr>
      <w:r>
        <w:rPr>
          <w:szCs w:val="20"/>
        </w:rPr>
        <w:t xml:space="preserve">Informar a </w:t>
      </w:r>
      <w:r w:rsidR="009545C5" w:rsidRPr="00B616F0">
        <w:rPr>
          <w:szCs w:val="20"/>
        </w:rPr>
        <w:t>la Comisión y</w:t>
      </w:r>
      <w:r w:rsidRPr="00B616F0">
        <w:rPr>
          <w:szCs w:val="20"/>
        </w:rPr>
        <w:t xml:space="preserve"> a los representantes</w:t>
      </w:r>
      <w:r w:rsidRPr="009E0613">
        <w:rPr>
          <w:szCs w:val="20"/>
        </w:rPr>
        <w:t xml:space="preserve"> </w:t>
      </w:r>
      <w:r>
        <w:rPr>
          <w:szCs w:val="20"/>
        </w:rPr>
        <w:t>que deben cubrir los gastos que ocasione la aportación o rendición de la prueba propuesta por ellos, de conformidad con lo dispuesto en el artículo 60 del Reglamento, sin perjuicio de lo que resulte pertinente en aplicación del Fondo de Asistencia Legal de Víctimas en el presente caso.</w:t>
      </w:r>
    </w:p>
    <w:p w14:paraId="5CBA04CF" w14:textId="77777777" w:rsidR="002C4D6A" w:rsidRDefault="002C4D6A" w:rsidP="002C4D6A">
      <w:pPr>
        <w:rPr>
          <w:color w:val="000000"/>
          <w:lang w:val="es-CR" w:eastAsia="es-ES"/>
        </w:rPr>
      </w:pPr>
    </w:p>
    <w:p w14:paraId="675753DD" w14:textId="77777777" w:rsidR="002C4D6A" w:rsidRDefault="002C4D6A" w:rsidP="002C4D6A">
      <w:pPr>
        <w:numPr>
          <w:ilvl w:val="0"/>
          <w:numId w:val="7"/>
        </w:numPr>
        <w:tabs>
          <w:tab w:val="left" w:pos="567"/>
        </w:tabs>
        <w:spacing w:after="0" w:line="240" w:lineRule="auto"/>
        <w:jc w:val="both"/>
        <w:rPr>
          <w:rFonts w:eastAsia="MS Mincho" w:cs="Times"/>
          <w:szCs w:val="20"/>
          <w:lang w:val="es-CR"/>
        </w:rPr>
      </w:pPr>
      <w:r>
        <w:rPr>
          <w:rFonts w:cs="Verdana"/>
          <w:color w:val="000000"/>
          <w:szCs w:val="20"/>
          <w:lang w:val="es-CR" w:eastAsia="es-ES"/>
        </w:rPr>
        <w:t xml:space="preserve">Requerir a </w:t>
      </w:r>
      <w:r w:rsidRPr="009545C5">
        <w:rPr>
          <w:rFonts w:cs="Verdana"/>
          <w:color w:val="000000"/>
          <w:szCs w:val="20"/>
          <w:lang w:val="es-CR" w:eastAsia="es-ES"/>
        </w:rPr>
        <w:t xml:space="preserve">la Comisión y a </w:t>
      </w:r>
      <w:r w:rsidRPr="009545C5">
        <w:rPr>
          <w:color w:val="000000"/>
          <w:szCs w:val="20"/>
          <w:lang w:val="es-CR" w:eastAsia="es-ES"/>
        </w:rPr>
        <w:t xml:space="preserve">los </w:t>
      </w:r>
      <w:r w:rsidRPr="009545C5">
        <w:rPr>
          <w:rFonts w:cs="Verdana"/>
          <w:color w:val="000000"/>
          <w:szCs w:val="20"/>
          <w:lang w:val="es-CR" w:eastAsia="es-ES"/>
        </w:rPr>
        <w:t>representantes</w:t>
      </w:r>
      <w:r>
        <w:rPr>
          <w:rFonts w:cs="Verdana"/>
          <w:color w:val="000000"/>
          <w:szCs w:val="20"/>
          <w:lang w:val="es-CR" w:eastAsia="es-ES"/>
        </w:rPr>
        <w:t xml:space="preserve">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14:paraId="1C392259" w14:textId="77777777" w:rsidR="002C4D6A" w:rsidRDefault="002C4D6A" w:rsidP="002C4D6A">
      <w:pPr>
        <w:rPr>
          <w:color w:val="000000"/>
          <w:lang w:val="es-CR" w:eastAsia="es-ES"/>
        </w:rPr>
      </w:pPr>
    </w:p>
    <w:p w14:paraId="56E77ABC" w14:textId="77777777" w:rsidR="002C4D6A" w:rsidRDefault="002C4D6A" w:rsidP="002C4D6A">
      <w:pPr>
        <w:numPr>
          <w:ilvl w:val="0"/>
          <w:numId w:val="7"/>
        </w:numPr>
        <w:tabs>
          <w:tab w:val="left" w:pos="567"/>
        </w:tabs>
        <w:spacing w:after="0" w:line="240" w:lineRule="auto"/>
        <w:jc w:val="both"/>
        <w:rPr>
          <w:rFonts w:eastAsia="MS Mincho" w:cs="Times"/>
          <w:szCs w:val="20"/>
          <w:lang w:val="es-CR"/>
        </w:rPr>
      </w:pPr>
      <w:r>
        <w:rPr>
          <w:rFonts w:cs="Verdana"/>
          <w:color w:val="000000"/>
          <w:szCs w:val="20"/>
          <w:lang w:val="es-CR" w:eastAsia="es-ES"/>
        </w:rPr>
        <w:t xml:space="preserve">Informar a </w:t>
      </w:r>
      <w:r>
        <w:rPr>
          <w:color w:val="000000"/>
          <w:szCs w:val="20"/>
          <w:lang w:val="es-CR" w:eastAsia="es-ES"/>
        </w:rPr>
        <w:t xml:space="preserve">los </w:t>
      </w:r>
      <w:r>
        <w:rPr>
          <w:rFonts w:eastAsia="MS Mincho" w:cs="Times"/>
          <w:color w:val="000000"/>
          <w:szCs w:val="20"/>
          <w:lang w:val="es-CR" w:eastAsia="es-ES"/>
        </w:rPr>
        <w:t>representantes</w:t>
      </w:r>
      <w:r>
        <w:rPr>
          <w:color w:val="000000"/>
          <w:szCs w:val="20"/>
          <w:lang w:val="es-CR" w:eastAsia="es-ES"/>
        </w:rPr>
        <w:t xml:space="preserve">, </w:t>
      </w:r>
      <w:r>
        <w:rPr>
          <w:rFonts w:cs="Verdana"/>
          <w:color w:val="000000"/>
          <w:szCs w:val="20"/>
          <w:lang w:val="es-CR" w:eastAsia="es-ES"/>
        </w:rPr>
        <w:t xml:space="preserve">al Estado y a la Comisión Interamericana que, luego de las declaraciones rendidas en la audiencia pública, podrán presentar ante el Tribunal sus alegatos finales orales y observaciones finales orales, respectivamente, sobre </w:t>
      </w:r>
      <w:r w:rsidR="009545C5" w:rsidRPr="009545C5">
        <w:rPr>
          <w:rFonts w:cs="Verdana"/>
          <w:color w:val="000000"/>
          <w:szCs w:val="20"/>
          <w:lang w:val="es-CR" w:eastAsia="es-ES"/>
        </w:rPr>
        <w:t xml:space="preserve">el </w:t>
      </w:r>
      <w:r w:rsidRPr="009545C5">
        <w:rPr>
          <w:rFonts w:cs="Verdana"/>
          <w:color w:val="000000"/>
          <w:szCs w:val="20"/>
          <w:lang w:val="es-CR" w:eastAsia="es-ES"/>
        </w:rPr>
        <w:t>fondo</w:t>
      </w:r>
      <w:r w:rsidR="009545C5">
        <w:rPr>
          <w:rFonts w:cs="Verdana"/>
          <w:color w:val="000000"/>
          <w:szCs w:val="20"/>
          <w:lang w:val="es-CR" w:eastAsia="es-ES"/>
        </w:rPr>
        <w:t xml:space="preserve">, eventuales </w:t>
      </w:r>
      <w:r>
        <w:rPr>
          <w:rFonts w:cs="Verdana"/>
          <w:color w:val="000000"/>
          <w:szCs w:val="20"/>
          <w:lang w:val="es-CR" w:eastAsia="es-ES"/>
        </w:rPr>
        <w:t xml:space="preserve">reparaciones y costas en el presente caso. </w:t>
      </w:r>
    </w:p>
    <w:p w14:paraId="095C664D" w14:textId="77777777" w:rsidR="002C4D6A" w:rsidRDefault="002C4D6A" w:rsidP="002C4D6A">
      <w:pPr>
        <w:rPr>
          <w:color w:val="000000"/>
          <w:lang w:val="es-CR" w:eastAsia="es-ES"/>
        </w:rPr>
      </w:pPr>
    </w:p>
    <w:p w14:paraId="38CD4FF2" w14:textId="77777777" w:rsidR="002C4D6A" w:rsidRDefault="002C4D6A" w:rsidP="002C4D6A">
      <w:pPr>
        <w:numPr>
          <w:ilvl w:val="0"/>
          <w:numId w:val="7"/>
        </w:numPr>
        <w:tabs>
          <w:tab w:val="left" w:pos="567"/>
        </w:tabs>
        <w:spacing w:after="0" w:line="240" w:lineRule="auto"/>
        <w:jc w:val="both"/>
        <w:rPr>
          <w:rFonts w:eastAsia="MS Mincho" w:cs="Times"/>
          <w:szCs w:val="20"/>
          <w:lang w:val="es-CR"/>
        </w:rPr>
      </w:pPr>
      <w:r>
        <w:rPr>
          <w:rFonts w:cs="Verdana"/>
          <w:color w:val="000000"/>
          <w:szCs w:val="20"/>
          <w:lang w:val="es-CR" w:eastAsia="es-ES"/>
        </w:rPr>
        <w:lastRenderedPageBreak/>
        <w:t xml:space="preserve">Disponer que la Secretaría de la Corte, de conformidad con lo dispuesto en el artículo 55.3 del Reglamento, indique a la Comisión Interamericana, a los </w:t>
      </w:r>
      <w:r>
        <w:rPr>
          <w:rFonts w:eastAsia="MS Mincho" w:cs="Times"/>
          <w:color w:val="000000"/>
          <w:szCs w:val="20"/>
          <w:lang w:val="es-CR" w:eastAsia="es-ES"/>
        </w:rPr>
        <w:t>representantes</w:t>
      </w:r>
      <w:r>
        <w:rPr>
          <w:rFonts w:cs="Verdana"/>
          <w:color w:val="000000"/>
          <w:szCs w:val="20"/>
          <w:lang w:val="es-CR" w:eastAsia="es-ES"/>
        </w:rPr>
        <w:t xml:space="preserve"> y al Estado el enlace donde se encontrará disponible la grabación de la audiencia pública, a la brevedad posible luego de la celebración de la referida audiencia. </w:t>
      </w:r>
    </w:p>
    <w:p w14:paraId="3780C4B1" w14:textId="77777777" w:rsidR="002C4D6A" w:rsidRDefault="002C4D6A" w:rsidP="002C4D6A">
      <w:pPr>
        <w:rPr>
          <w:color w:val="000000"/>
          <w:lang w:val="es-CR" w:eastAsia="es-ES"/>
        </w:rPr>
      </w:pPr>
    </w:p>
    <w:p w14:paraId="6206829B" w14:textId="622C67CE" w:rsidR="002C4D6A" w:rsidRDefault="002C4D6A" w:rsidP="002C4D6A">
      <w:pPr>
        <w:numPr>
          <w:ilvl w:val="0"/>
          <w:numId w:val="7"/>
        </w:numPr>
        <w:tabs>
          <w:tab w:val="left" w:pos="567"/>
        </w:tabs>
        <w:spacing w:after="0" w:line="240" w:lineRule="auto"/>
        <w:jc w:val="both"/>
        <w:rPr>
          <w:rFonts w:eastAsia="MS Mincho" w:cs="Times"/>
          <w:szCs w:val="20"/>
          <w:lang w:val="es-CR"/>
        </w:rPr>
      </w:pPr>
      <w:r>
        <w:rPr>
          <w:rFonts w:cs="Verdana"/>
          <w:color w:val="000000"/>
          <w:szCs w:val="20"/>
          <w:lang w:val="es-CR" w:eastAsia="es-ES"/>
        </w:rPr>
        <w:t xml:space="preserve">Informar a </w:t>
      </w:r>
      <w:r>
        <w:rPr>
          <w:color w:val="000000"/>
          <w:szCs w:val="20"/>
          <w:lang w:val="es-CR" w:eastAsia="es-ES"/>
        </w:rPr>
        <w:t xml:space="preserve">los </w:t>
      </w:r>
      <w:r>
        <w:rPr>
          <w:rFonts w:eastAsia="MS Mincho" w:cs="Times"/>
          <w:color w:val="000000"/>
          <w:szCs w:val="20"/>
          <w:lang w:val="es-CR" w:eastAsia="es-ES"/>
        </w:rPr>
        <w:t>representantes</w:t>
      </w:r>
      <w:r>
        <w:rPr>
          <w:color w:val="000000"/>
          <w:szCs w:val="20"/>
          <w:lang w:val="es-CR" w:eastAsia="es-ES"/>
        </w:rPr>
        <w:t xml:space="preserve">, </w:t>
      </w:r>
      <w:r>
        <w:rPr>
          <w:rFonts w:cs="Verdana"/>
          <w:color w:val="000000"/>
          <w:szCs w:val="20"/>
          <w:lang w:val="es-CR" w:eastAsia="es-ES"/>
        </w:rPr>
        <w:t>al Estado y a la Comisión Interamericana que, en los términos d</w:t>
      </w:r>
      <w:r>
        <w:rPr>
          <w:color w:val="000000"/>
          <w:szCs w:val="20"/>
          <w:lang w:val="es-CR" w:eastAsia="es-ES"/>
        </w:rPr>
        <w:t>el artículo 56 del Reglamento,</w:t>
      </w:r>
      <w:r>
        <w:rPr>
          <w:rFonts w:cs="Verdana"/>
          <w:color w:val="000000"/>
          <w:szCs w:val="20"/>
          <w:lang w:val="es-CR" w:eastAsia="es-ES"/>
        </w:rPr>
        <w:t xml:space="preserve"> cuentan con un plazo </w:t>
      </w:r>
      <w:r w:rsidR="009870DB">
        <w:rPr>
          <w:rFonts w:cs="Verdana"/>
          <w:color w:val="000000"/>
          <w:szCs w:val="20"/>
          <w:lang w:val="es-CR" w:eastAsia="es-ES"/>
        </w:rPr>
        <w:t>hasta el 14</w:t>
      </w:r>
      <w:r w:rsidR="009177F7">
        <w:rPr>
          <w:rFonts w:cs="Verdana"/>
          <w:color w:val="000000"/>
          <w:szCs w:val="20"/>
          <w:lang w:val="es-CR" w:eastAsia="es-ES"/>
        </w:rPr>
        <w:t xml:space="preserve"> de abril de 2020</w:t>
      </w:r>
      <w:r>
        <w:rPr>
          <w:b/>
          <w:szCs w:val="20"/>
          <w:lang w:val="es-CR"/>
        </w:rPr>
        <w:t xml:space="preserve"> </w:t>
      </w:r>
      <w:r>
        <w:rPr>
          <w:rFonts w:cs="Verdana"/>
          <w:color w:val="000000"/>
          <w:szCs w:val="20"/>
          <w:lang w:val="es-CR" w:eastAsia="es-ES"/>
        </w:rPr>
        <w:t xml:space="preserve">para presentar sus alegatos finales escritos y observaciones finales escritas, respectivamente, en relación con </w:t>
      </w:r>
      <w:r w:rsidR="009545C5" w:rsidRPr="009545C5">
        <w:rPr>
          <w:rFonts w:cs="Verdana"/>
          <w:color w:val="000000"/>
          <w:szCs w:val="20"/>
          <w:lang w:val="es-CR" w:eastAsia="es-ES"/>
        </w:rPr>
        <w:t>el</w:t>
      </w:r>
      <w:r w:rsidRPr="009545C5">
        <w:rPr>
          <w:rFonts w:cs="Verdana"/>
          <w:color w:val="000000"/>
          <w:szCs w:val="20"/>
          <w:lang w:val="es-CR" w:eastAsia="es-ES"/>
        </w:rPr>
        <w:t xml:space="preserve"> fondo</w:t>
      </w:r>
      <w:r>
        <w:rPr>
          <w:rFonts w:cs="Verdana"/>
          <w:color w:val="000000"/>
          <w:szCs w:val="20"/>
          <w:lang w:val="es-CR" w:eastAsia="es-ES"/>
        </w:rPr>
        <w:t xml:space="preserve">, </w:t>
      </w:r>
      <w:r w:rsidR="009545C5">
        <w:rPr>
          <w:rFonts w:cs="Verdana"/>
          <w:color w:val="000000"/>
          <w:szCs w:val="20"/>
          <w:lang w:val="es-CR" w:eastAsia="es-ES"/>
        </w:rPr>
        <w:t xml:space="preserve">las eventuales </w:t>
      </w:r>
      <w:r>
        <w:rPr>
          <w:rFonts w:cs="Verdana"/>
          <w:color w:val="000000"/>
          <w:szCs w:val="20"/>
          <w:lang w:val="es-CR" w:eastAsia="es-ES"/>
        </w:rPr>
        <w:t xml:space="preserve">reparaciones y costas en el presente caso. Este plazo es improrrogable e independiente de la puesta a disposición de las partes de la grabación de la audiencia pública. </w:t>
      </w:r>
    </w:p>
    <w:p w14:paraId="2ECD5903" w14:textId="77777777" w:rsidR="002C4D6A" w:rsidRDefault="002C4D6A" w:rsidP="002C4D6A">
      <w:pPr>
        <w:tabs>
          <w:tab w:val="left" w:pos="567"/>
        </w:tabs>
        <w:spacing w:after="0" w:line="240" w:lineRule="auto"/>
        <w:jc w:val="both"/>
        <w:rPr>
          <w:rFonts w:eastAsia="MS Mincho" w:cs="Times"/>
          <w:szCs w:val="20"/>
          <w:lang w:val="es-CR"/>
        </w:rPr>
      </w:pPr>
    </w:p>
    <w:p w14:paraId="29F4F0DC" w14:textId="69D38685" w:rsidR="002C4D6A" w:rsidRDefault="002C4D6A" w:rsidP="002C4D6A">
      <w:pPr>
        <w:numPr>
          <w:ilvl w:val="0"/>
          <w:numId w:val="7"/>
        </w:numPr>
        <w:tabs>
          <w:tab w:val="left" w:pos="567"/>
        </w:tabs>
        <w:spacing w:after="0" w:line="240" w:lineRule="auto"/>
        <w:jc w:val="both"/>
        <w:rPr>
          <w:rFonts w:eastAsia="MS Mincho" w:cs="Times"/>
          <w:szCs w:val="20"/>
          <w:lang w:val="es-CR"/>
        </w:rPr>
      </w:pPr>
      <w:r w:rsidRPr="009545C5">
        <w:rPr>
          <w:szCs w:val="20"/>
        </w:rPr>
        <w:t xml:space="preserve">Declarar procedente la aplicación del Fondo de Asistencia Legal de Víctimas de la Corte Interamericana en los términos dispuestos en los párrafos considerativos </w:t>
      </w:r>
      <w:r w:rsidR="009545C5" w:rsidRPr="009545C5">
        <w:rPr>
          <w:szCs w:val="20"/>
          <w:lang w:val="es-CR"/>
        </w:rPr>
        <w:t xml:space="preserve">nueve </w:t>
      </w:r>
      <w:r w:rsidRPr="009545C5">
        <w:rPr>
          <w:szCs w:val="20"/>
        </w:rPr>
        <w:t xml:space="preserve">a </w:t>
      </w:r>
      <w:r w:rsidR="009545C5" w:rsidRPr="009545C5">
        <w:rPr>
          <w:szCs w:val="20"/>
          <w:lang w:val="es-CR"/>
        </w:rPr>
        <w:t>once</w:t>
      </w:r>
      <w:r w:rsidRPr="009545C5">
        <w:rPr>
          <w:szCs w:val="20"/>
        </w:rPr>
        <w:t xml:space="preserve"> de esta Resolución.</w:t>
      </w:r>
    </w:p>
    <w:p w14:paraId="72DC86DD" w14:textId="475717F9" w:rsidR="009177F7" w:rsidRPr="009177F7" w:rsidRDefault="009177F7" w:rsidP="009177F7">
      <w:pPr>
        <w:tabs>
          <w:tab w:val="left" w:pos="567"/>
        </w:tabs>
        <w:spacing w:after="0" w:line="240" w:lineRule="auto"/>
        <w:jc w:val="both"/>
        <w:rPr>
          <w:rFonts w:eastAsia="MS Mincho" w:cs="Times"/>
          <w:szCs w:val="20"/>
          <w:lang w:val="es-CR"/>
        </w:rPr>
      </w:pPr>
    </w:p>
    <w:p w14:paraId="34C8DFBF" w14:textId="77777777" w:rsidR="002C4D6A" w:rsidRPr="009545C5" w:rsidRDefault="002C4D6A" w:rsidP="002C4D6A">
      <w:pPr>
        <w:numPr>
          <w:ilvl w:val="0"/>
          <w:numId w:val="7"/>
        </w:numPr>
        <w:tabs>
          <w:tab w:val="left" w:pos="567"/>
        </w:tabs>
        <w:spacing w:after="0" w:line="240" w:lineRule="auto"/>
        <w:jc w:val="both"/>
        <w:rPr>
          <w:rFonts w:eastAsia="MS Mincho" w:cs="Times"/>
          <w:szCs w:val="20"/>
          <w:lang w:val="es-CR"/>
        </w:rPr>
      </w:pPr>
      <w:r w:rsidRPr="009545C5">
        <w:rPr>
          <w:szCs w:val="20"/>
        </w:rPr>
        <w:t>Disponer, de conformidad con el artículo 4 del Reglamento de la Corte sobre el Funcionamiento del Fondo de Asistencia Legal de Víctimas, que la Secretaría del Tribunal abra un expediente de gastos, donde se documentará cada una de las erogaciones que se realicen con el Fondo de Asistencia Legal de Víctimas.</w:t>
      </w:r>
    </w:p>
    <w:p w14:paraId="193C623A" w14:textId="77777777" w:rsidR="002C4D6A" w:rsidRDefault="002C4D6A" w:rsidP="002C4D6A">
      <w:pPr>
        <w:rPr>
          <w:color w:val="000000"/>
          <w:lang w:val="es-CR" w:eastAsia="es-ES"/>
        </w:rPr>
      </w:pPr>
    </w:p>
    <w:p w14:paraId="3C911B9E" w14:textId="77777777" w:rsidR="002C4D6A" w:rsidRDefault="002C4D6A" w:rsidP="002C4D6A">
      <w:pPr>
        <w:numPr>
          <w:ilvl w:val="0"/>
          <w:numId w:val="7"/>
        </w:numPr>
        <w:tabs>
          <w:tab w:val="left" w:pos="567"/>
        </w:tabs>
        <w:spacing w:after="0" w:line="240" w:lineRule="auto"/>
        <w:jc w:val="both"/>
        <w:rPr>
          <w:rFonts w:eastAsia="MS Mincho" w:cs="Times"/>
          <w:szCs w:val="20"/>
          <w:lang w:val="es-CR"/>
        </w:rPr>
      </w:pPr>
      <w:r>
        <w:rPr>
          <w:rFonts w:cs="Verdana"/>
          <w:color w:val="000000"/>
          <w:szCs w:val="20"/>
          <w:lang w:val="es-CR" w:eastAsia="es-ES"/>
        </w:rPr>
        <w:t xml:space="preserve">Disponer que la Secretaría de la Corte Interamericana notifique la presente Resolución a la Comisión Interamericana, a los </w:t>
      </w:r>
      <w:r>
        <w:rPr>
          <w:rFonts w:eastAsia="MS Mincho" w:cs="Times"/>
          <w:color w:val="000000"/>
          <w:szCs w:val="20"/>
          <w:lang w:val="es-CR" w:eastAsia="es-ES"/>
        </w:rPr>
        <w:t xml:space="preserve">representantes </w:t>
      </w:r>
      <w:r>
        <w:rPr>
          <w:rFonts w:cs="Verdana"/>
          <w:color w:val="000000"/>
          <w:szCs w:val="20"/>
          <w:lang w:val="es-CR" w:eastAsia="es-ES"/>
        </w:rPr>
        <w:t xml:space="preserve">y al Estado. </w:t>
      </w:r>
    </w:p>
    <w:p w14:paraId="25DD605B" w14:textId="77777777" w:rsidR="002C4D6A" w:rsidRDefault="002C4D6A" w:rsidP="002C4D6A">
      <w:pPr>
        <w:tabs>
          <w:tab w:val="left" w:pos="567"/>
        </w:tabs>
        <w:spacing w:after="0" w:line="240" w:lineRule="auto"/>
        <w:jc w:val="both"/>
        <w:rPr>
          <w:szCs w:val="20"/>
        </w:rPr>
      </w:pPr>
    </w:p>
    <w:p w14:paraId="38C64260" w14:textId="77777777" w:rsidR="002C4D6A" w:rsidRDefault="002C4D6A" w:rsidP="002C4D6A">
      <w:pPr>
        <w:tabs>
          <w:tab w:val="left" w:pos="567"/>
        </w:tabs>
        <w:spacing w:after="0" w:line="240" w:lineRule="auto"/>
        <w:jc w:val="both"/>
        <w:rPr>
          <w:szCs w:val="20"/>
        </w:rPr>
      </w:pPr>
    </w:p>
    <w:p w14:paraId="28ED2302" w14:textId="77777777" w:rsidR="002C4D6A" w:rsidRDefault="002C4D6A" w:rsidP="002C4D6A">
      <w:pPr>
        <w:tabs>
          <w:tab w:val="left" w:pos="567"/>
        </w:tabs>
        <w:spacing w:after="0" w:line="240" w:lineRule="auto"/>
        <w:jc w:val="both"/>
        <w:rPr>
          <w:szCs w:val="20"/>
        </w:rPr>
      </w:pPr>
    </w:p>
    <w:p w14:paraId="2C64DE2B" w14:textId="77777777" w:rsidR="002C4D6A" w:rsidRDefault="002C4D6A" w:rsidP="002C4D6A">
      <w:pPr>
        <w:tabs>
          <w:tab w:val="left" w:pos="567"/>
        </w:tabs>
        <w:spacing w:after="0" w:line="240" w:lineRule="auto"/>
        <w:jc w:val="both"/>
        <w:rPr>
          <w:szCs w:val="20"/>
        </w:rPr>
      </w:pPr>
    </w:p>
    <w:p w14:paraId="34ABD450" w14:textId="6B708B05" w:rsidR="002C4D6A" w:rsidRDefault="002C4D6A" w:rsidP="002C4D6A">
      <w:pPr>
        <w:tabs>
          <w:tab w:val="left" w:pos="567"/>
        </w:tabs>
        <w:spacing w:after="0" w:line="240" w:lineRule="auto"/>
        <w:jc w:val="both"/>
        <w:rPr>
          <w:rFonts w:cs="Verdana"/>
          <w:bCs/>
          <w:szCs w:val="20"/>
          <w:lang w:val="es-ES"/>
        </w:rPr>
      </w:pPr>
      <w:r>
        <w:rPr>
          <w:rFonts w:cs="Verdana"/>
          <w:bCs/>
          <w:szCs w:val="20"/>
          <w:lang w:val="es-ES"/>
        </w:rPr>
        <w:t>Resolución de</w:t>
      </w:r>
      <w:r w:rsidR="00354330">
        <w:rPr>
          <w:rFonts w:cs="Verdana"/>
          <w:bCs/>
          <w:szCs w:val="20"/>
          <w:lang w:val="es-ES"/>
        </w:rPr>
        <w:t xml:space="preserve"> </w:t>
      </w:r>
      <w:r>
        <w:rPr>
          <w:rFonts w:cs="Verdana"/>
          <w:bCs/>
          <w:szCs w:val="20"/>
          <w:lang w:val="es-ES"/>
        </w:rPr>
        <w:t>l</w:t>
      </w:r>
      <w:r w:rsidR="00354330">
        <w:rPr>
          <w:rFonts w:cs="Verdana"/>
          <w:bCs/>
          <w:szCs w:val="20"/>
          <w:lang w:val="es-ES"/>
        </w:rPr>
        <w:t xml:space="preserve">a </w:t>
      </w:r>
      <w:proofErr w:type="gramStart"/>
      <w:r w:rsidR="00354330">
        <w:rPr>
          <w:rFonts w:cs="Verdana"/>
          <w:bCs/>
          <w:szCs w:val="20"/>
          <w:lang w:val="es-ES"/>
        </w:rPr>
        <w:t>Presidenta</w:t>
      </w:r>
      <w:proofErr w:type="gramEnd"/>
      <w:r>
        <w:rPr>
          <w:rFonts w:cs="Verdana"/>
          <w:bCs/>
          <w:szCs w:val="20"/>
          <w:lang w:val="es-ES"/>
        </w:rPr>
        <w:t xml:space="preserve"> de la Corte Interamericana de Derechos Humanos. Caso </w:t>
      </w:r>
      <w:r w:rsidR="009545C5" w:rsidRPr="009545C5">
        <w:rPr>
          <w:szCs w:val="20"/>
          <w:lang w:val="es-CR"/>
        </w:rPr>
        <w:t xml:space="preserve">Acosta Martínez </w:t>
      </w:r>
      <w:r w:rsidRPr="009545C5">
        <w:rPr>
          <w:rFonts w:cs="Verdana"/>
          <w:bCs/>
          <w:szCs w:val="20"/>
          <w:lang w:val="es-ES"/>
        </w:rPr>
        <w:t xml:space="preserve">Vs. </w:t>
      </w:r>
      <w:r w:rsidR="009545C5" w:rsidRPr="009545C5">
        <w:rPr>
          <w:szCs w:val="20"/>
          <w:lang w:val="es-CR"/>
        </w:rPr>
        <w:t>Argentina</w:t>
      </w:r>
      <w:r>
        <w:rPr>
          <w:rFonts w:cs="Verdana"/>
          <w:bCs/>
          <w:szCs w:val="20"/>
          <w:lang w:val="es-ES"/>
        </w:rPr>
        <w:t>.</w:t>
      </w:r>
    </w:p>
    <w:p w14:paraId="3EFCDFD9" w14:textId="4729054B" w:rsidR="002C4D6A" w:rsidRDefault="002C4D6A" w:rsidP="002C4D6A">
      <w:pPr>
        <w:tabs>
          <w:tab w:val="left" w:pos="567"/>
        </w:tabs>
        <w:spacing w:after="0" w:line="240" w:lineRule="auto"/>
        <w:jc w:val="both"/>
        <w:rPr>
          <w:rFonts w:cs="Verdana"/>
          <w:bCs/>
          <w:szCs w:val="20"/>
          <w:lang w:val="es-ES"/>
        </w:rPr>
      </w:pPr>
    </w:p>
    <w:p w14:paraId="47C3B627" w14:textId="092BA13E" w:rsidR="006D0F7E" w:rsidRDefault="006D0F7E" w:rsidP="002C4D6A">
      <w:pPr>
        <w:tabs>
          <w:tab w:val="left" w:pos="567"/>
        </w:tabs>
        <w:spacing w:after="0" w:line="240" w:lineRule="auto"/>
        <w:jc w:val="both"/>
        <w:rPr>
          <w:rFonts w:cs="Verdana"/>
          <w:bCs/>
          <w:szCs w:val="20"/>
          <w:lang w:val="es-ES"/>
        </w:rPr>
      </w:pPr>
    </w:p>
    <w:p w14:paraId="5637D1D1" w14:textId="6910F95F" w:rsidR="006D0F7E" w:rsidRDefault="006D0F7E" w:rsidP="002C4D6A">
      <w:pPr>
        <w:tabs>
          <w:tab w:val="left" w:pos="567"/>
        </w:tabs>
        <w:spacing w:after="0" w:line="240" w:lineRule="auto"/>
        <w:jc w:val="both"/>
        <w:rPr>
          <w:rFonts w:cs="Verdana"/>
          <w:bCs/>
          <w:szCs w:val="20"/>
          <w:lang w:val="es-ES"/>
        </w:rPr>
      </w:pPr>
    </w:p>
    <w:p w14:paraId="5F8F7589" w14:textId="394CF29B" w:rsidR="006D0F7E" w:rsidRDefault="006D0F7E" w:rsidP="006D0F7E">
      <w:pPr>
        <w:tabs>
          <w:tab w:val="left" w:pos="567"/>
        </w:tabs>
        <w:spacing w:after="0" w:line="240" w:lineRule="auto"/>
        <w:ind w:left="6372"/>
        <w:jc w:val="center"/>
        <w:rPr>
          <w:rFonts w:cs="Verdana"/>
          <w:bCs/>
          <w:szCs w:val="20"/>
          <w:lang w:val="es-ES"/>
        </w:rPr>
      </w:pPr>
      <w:r>
        <w:rPr>
          <w:rFonts w:cs="Verdana"/>
          <w:bCs/>
          <w:szCs w:val="20"/>
          <w:lang w:val="es-ES"/>
        </w:rPr>
        <w:t>Elizabeth Odio Benito</w:t>
      </w:r>
    </w:p>
    <w:p w14:paraId="1D9CF485" w14:textId="3C0B5EE9" w:rsidR="006D0F7E" w:rsidRDefault="006D0F7E" w:rsidP="006D0F7E">
      <w:pPr>
        <w:tabs>
          <w:tab w:val="left" w:pos="567"/>
        </w:tabs>
        <w:spacing w:after="0" w:line="240" w:lineRule="auto"/>
        <w:ind w:left="6372"/>
        <w:jc w:val="center"/>
        <w:rPr>
          <w:rFonts w:cs="Verdana"/>
          <w:bCs/>
          <w:szCs w:val="20"/>
          <w:lang w:val="es-ES"/>
        </w:rPr>
      </w:pPr>
      <w:r>
        <w:rPr>
          <w:rFonts w:cs="Verdana"/>
          <w:bCs/>
          <w:szCs w:val="20"/>
          <w:lang w:val="es-ES"/>
        </w:rPr>
        <w:t>Presidenta</w:t>
      </w:r>
    </w:p>
    <w:p w14:paraId="261A691C" w14:textId="098E649B" w:rsidR="006D0F7E" w:rsidRDefault="006D0F7E" w:rsidP="006D0F7E">
      <w:pPr>
        <w:spacing w:after="0"/>
        <w:ind w:left="360"/>
        <w:rPr>
          <w:szCs w:val="20"/>
          <w:lang w:val="es-CR"/>
        </w:rPr>
      </w:pPr>
    </w:p>
    <w:p w14:paraId="5E3F2552" w14:textId="52BDE641" w:rsidR="006D0F7E" w:rsidRDefault="006D0F7E" w:rsidP="006D0F7E">
      <w:pPr>
        <w:spacing w:after="0"/>
        <w:ind w:left="360"/>
        <w:rPr>
          <w:szCs w:val="20"/>
          <w:lang w:val="es-CR"/>
        </w:rPr>
      </w:pPr>
    </w:p>
    <w:p w14:paraId="3787A5F0" w14:textId="77777777" w:rsidR="006D0F7E" w:rsidRDefault="006D0F7E" w:rsidP="006D0F7E">
      <w:pPr>
        <w:spacing w:after="0"/>
        <w:ind w:left="360"/>
        <w:rPr>
          <w:szCs w:val="20"/>
          <w:lang w:val="es-CR"/>
        </w:rPr>
      </w:pPr>
    </w:p>
    <w:p w14:paraId="69F5B849" w14:textId="77777777" w:rsidR="006D0F7E" w:rsidRDefault="006D0F7E" w:rsidP="006D0F7E">
      <w:pPr>
        <w:spacing w:after="0"/>
        <w:ind w:left="360"/>
        <w:rPr>
          <w:szCs w:val="20"/>
          <w:lang w:val="es-CR"/>
        </w:rPr>
      </w:pPr>
      <w:r>
        <w:rPr>
          <w:szCs w:val="20"/>
          <w:lang w:val="es-CR"/>
        </w:rPr>
        <w:t xml:space="preserve">Pablo Saavedra Alessandri </w:t>
      </w:r>
    </w:p>
    <w:p w14:paraId="5E804995" w14:textId="0BBCF786" w:rsidR="006D0F7E" w:rsidRDefault="006D0F7E" w:rsidP="006D0F7E">
      <w:pPr>
        <w:spacing w:after="0"/>
        <w:ind w:left="360"/>
        <w:rPr>
          <w:szCs w:val="20"/>
          <w:lang w:val="es-CR"/>
        </w:rPr>
      </w:pPr>
      <w:r>
        <w:rPr>
          <w:szCs w:val="20"/>
          <w:lang w:val="es-CR"/>
        </w:rPr>
        <w:t xml:space="preserve">           Secretario </w:t>
      </w:r>
    </w:p>
    <w:p w14:paraId="7A93C360" w14:textId="56A7528D" w:rsidR="006D0F7E" w:rsidRDefault="006D0F7E" w:rsidP="006D0F7E">
      <w:pPr>
        <w:spacing w:after="0"/>
        <w:ind w:left="360"/>
        <w:rPr>
          <w:szCs w:val="20"/>
          <w:lang w:val="es-CR"/>
        </w:rPr>
      </w:pPr>
    </w:p>
    <w:p w14:paraId="11BB2972" w14:textId="5792399F" w:rsidR="006D0F7E" w:rsidRDefault="006D0F7E" w:rsidP="006D0F7E">
      <w:pPr>
        <w:spacing w:after="0"/>
        <w:ind w:left="360"/>
        <w:rPr>
          <w:szCs w:val="20"/>
          <w:lang w:val="es-CR"/>
        </w:rPr>
      </w:pPr>
    </w:p>
    <w:p w14:paraId="5431BFB9" w14:textId="35DBEB5F" w:rsidR="006D0F7E" w:rsidRDefault="006D0F7E" w:rsidP="006D0F7E">
      <w:pPr>
        <w:spacing w:after="0"/>
        <w:ind w:left="360"/>
        <w:rPr>
          <w:szCs w:val="20"/>
          <w:lang w:val="es-CR"/>
        </w:rPr>
      </w:pPr>
      <w:r>
        <w:rPr>
          <w:szCs w:val="20"/>
          <w:lang w:val="es-CR"/>
        </w:rPr>
        <w:t xml:space="preserve">Comuníquese y ejecútese, </w:t>
      </w:r>
    </w:p>
    <w:p w14:paraId="1394F6B9" w14:textId="70B6A092" w:rsidR="006D0F7E" w:rsidRDefault="001B67A6" w:rsidP="001B67A6">
      <w:pPr>
        <w:tabs>
          <w:tab w:val="left" w:pos="7028"/>
        </w:tabs>
        <w:spacing w:after="0"/>
        <w:ind w:left="360"/>
        <w:rPr>
          <w:szCs w:val="20"/>
          <w:lang w:val="es-CR"/>
        </w:rPr>
      </w:pPr>
      <w:r>
        <w:rPr>
          <w:szCs w:val="20"/>
          <w:lang w:val="es-CR"/>
        </w:rPr>
        <w:tab/>
      </w:r>
    </w:p>
    <w:p w14:paraId="03DA4FC0" w14:textId="77777777" w:rsidR="001B67A6" w:rsidRDefault="001B67A6" w:rsidP="001B67A6">
      <w:pPr>
        <w:tabs>
          <w:tab w:val="left" w:pos="7028"/>
        </w:tabs>
        <w:spacing w:after="0"/>
        <w:ind w:left="360"/>
        <w:rPr>
          <w:szCs w:val="20"/>
          <w:lang w:val="es-CR"/>
        </w:rPr>
      </w:pPr>
    </w:p>
    <w:p w14:paraId="3935E097" w14:textId="77777777" w:rsidR="001B67A6" w:rsidRDefault="001B67A6" w:rsidP="001B67A6">
      <w:pPr>
        <w:tabs>
          <w:tab w:val="left" w:pos="567"/>
        </w:tabs>
        <w:spacing w:after="0" w:line="240" w:lineRule="auto"/>
        <w:ind w:left="6372"/>
        <w:jc w:val="center"/>
        <w:rPr>
          <w:rFonts w:cs="Verdana"/>
          <w:bCs/>
          <w:szCs w:val="20"/>
          <w:lang w:val="es-ES"/>
        </w:rPr>
      </w:pPr>
      <w:r>
        <w:rPr>
          <w:rFonts w:cs="Verdana"/>
          <w:bCs/>
          <w:szCs w:val="20"/>
          <w:lang w:val="es-ES"/>
        </w:rPr>
        <w:t>Elizabeth Odio Benito</w:t>
      </w:r>
    </w:p>
    <w:p w14:paraId="443D7594" w14:textId="1FB97DE0" w:rsidR="001B67A6" w:rsidRDefault="001B67A6" w:rsidP="001B67A6">
      <w:pPr>
        <w:tabs>
          <w:tab w:val="left" w:pos="567"/>
        </w:tabs>
        <w:spacing w:after="0" w:line="240" w:lineRule="auto"/>
        <w:ind w:left="6372"/>
        <w:jc w:val="center"/>
        <w:rPr>
          <w:rFonts w:cs="Verdana"/>
          <w:bCs/>
          <w:szCs w:val="20"/>
          <w:lang w:val="es-ES"/>
        </w:rPr>
      </w:pPr>
      <w:r>
        <w:rPr>
          <w:rFonts w:cs="Verdana"/>
          <w:bCs/>
          <w:szCs w:val="20"/>
          <w:lang w:val="es-ES"/>
        </w:rPr>
        <w:t>President</w:t>
      </w:r>
      <w:r w:rsidR="00B5648C">
        <w:rPr>
          <w:rFonts w:cs="Verdana"/>
          <w:bCs/>
          <w:szCs w:val="20"/>
          <w:lang w:val="es-ES"/>
        </w:rPr>
        <w:t>a</w:t>
      </w:r>
    </w:p>
    <w:p w14:paraId="66FCC5D3" w14:textId="77777777" w:rsidR="001B67A6" w:rsidRDefault="001B67A6" w:rsidP="001B67A6">
      <w:pPr>
        <w:spacing w:after="0"/>
        <w:ind w:left="360"/>
        <w:rPr>
          <w:szCs w:val="20"/>
          <w:lang w:val="es-CR"/>
        </w:rPr>
      </w:pPr>
    </w:p>
    <w:p w14:paraId="7B743D51" w14:textId="77777777" w:rsidR="001B67A6" w:rsidRDefault="001B67A6" w:rsidP="001B67A6">
      <w:pPr>
        <w:spacing w:after="0"/>
        <w:ind w:left="360"/>
        <w:rPr>
          <w:szCs w:val="20"/>
          <w:lang w:val="es-CR"/>
        </w:rPr>
      </w:pPr>
      <w:r>
        <w:rPr>
          <w:szCs w:val="20"/>
          <w:lang w:val="es-CR"/>
        </w:rPr>
        <w:t xml:space="preserve">Pablo Saavedra Alessandri </w:t>
      </w:r>
    </w:p>
    <w:p w14:paraId="35615519" w14:textId="77777777" w:rsidR="001B67A6" w:rsidRDefault="001B67A6" w:rsidP="001B67A6">
      <w:pPr>
        <w:spacing w:after="0"/>
        <w:ind w:left="360"/>
        <w:rPr>
          <w:szCs w:val="20"/>
          <w:lang w:val="es-CR"/>
        </w:rPr>
      </w:pPr>
      <w:r>
        <w:rPr>
          <w:szCs w:val="20"/>
          <w:lang w:val="es-CR"/>
        </w:rPr>
        <w:t xml:space="preserve">           Secretario </w:t>
      </w:r>
      <w:bookmarkStart w:id="12" w:name="_GoBack"/>
      <w:bookmarkEnd w:id="12"/>
    </w:p>
    <w:sectPr w:rsidR="001B67A6" w:rsidSect="006D0F7E">
      <w:foot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64EF1" w14:textId="77777777" w:rsidR="00B26C82" w:rsidRDefault="00B26C82" w:rsidP="002C4D6A">
      <w:pPr>
        <w:spacing w:after="0" w:line="240" w:lineRule="auto"/>
      </w:pPr>
      <w:r>
        <w:separator/>
      </w:r>
    </w:p>
  </w:endnote>
  <w:endnote w:type="continuationSeparator" w:id="0">
    <w:p w14:paraId="6750C4DF" w14:textId="77777777" w:rsidR="00B26C82" w:rsidRDefault="00B26C82" w:rsidP="002C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259815"/>
      <w:docPartObj>
        <w:docPartGallery w:val="Page Numbers (Bottom of Page)"/>
        <w:docPartUnique/>
      </w:docPartObj>
    </w:sdtPr>
    <w:sdtEndPr/>
    <w:sdtContent>
      <w:p w14:paraId="3450DE6E" w14:textId="2B7BD0C9" w:rsidR="003269BB" w:rsidRDefault="003269BB">
        <w:pPr>
          <w:pStyle w:val="Piedepgina"/>
          <w:jc w:val="center"/>
        </w:pPr>
        <w:r>
          <w:fldChar w:fldCharType="begin"/>
        </w:r>
        <w:r>
          <w:instrText>PAGE   \* MERGEFORMAT</w:instrText>
        </w:r>
        <w:r>
          <w:fldChar w:fldCharType="separate"/>
        </w:r>
        <w:r w:rsidR="009870DB" w:rsidRPr="009870DB">
          <w:rPr>
            <w:noProof/>
            <w:lang w:val="es-ES"/>
          </w:rPr>
          <w:t>7</w:t>
        </w:r>
        <w:r>
          <w:fldChar w:fldCharType="end"/>
        </w:r>
      </w:p>
    </w:sdtContent>
  </w:sdt>
  <w:p w14:paraId="259828D2" w14:textId="77777777" w:rsidR="003269BB" w:rsidRDefault="003269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E6CA3" w14:textId="77777777" w:rsidR="00B26C82" w:rsidRDefault="00B26C82" w:rsidP="002C4D6A">
      <w:pPr>
        <w:spacing w:after="0" w:line="240" w:lineRule="auto"/>
      </w:pPr>
      <w:r>
        <w:separator/>
      </w:r>
    </w:p>
  </w:footnote>
  <w:footnote w:type="continuationSeparator" w:id="0">
    <w:p w14:paraId="216866EF" w14:textId="77777777" w:rsidR="00B26C82" w:rsidRDefault="00B26C82" w:rsidP="002C4D6A">
      <w:pPr>
        <w:spacing w:after="0" w:line="240" w:lineRule="auto"/>
      </w:pPr>
      <w:r>
        <w:continuationSeparator/>
      </w:r>
    </w:p>
  </w:footnote>
  <w:footnote w:id="1">
    <w:p w14:paraId="4805EE09" w14:textId="358A02C1" w:rsidR="002C4D6A" w:rsidRDefault="002C4D6A" w:rsidP="002C4D6A">
      <w:pPr>
        <w:pStyle w:val="Textonotapie"/>
        <w:spacing w:before="0" w:after="0" w:line="276" w:lineRule="auto"/>
        <w:rPr>
          <w:rFonts w:cs="Verdana"/>
        </w:rPr>
      </w:pPr>
      <w:r>
        <w:rPr>
          <w:rStyle w:val="Refdenotaalpie"/>
        </w:rPr>
        <w:footnoteRef/>
      </w:r>
      <w:r>
        <w:t xml:space="preserve"> </w:t>
      </w:r>
      <w:r>
        <w:tab/>
      </w:r>
      <w:r w:rsidR="007B6FF4">
        <w:t>Escrito</w:t>
      </w:r>
      <w:r w:rsidR="008871B0">
        <w:t xml:space="preserve"> q</w:t>
      </w:r>
      <w:r w:rsidR="006F25F3">
        <w:t>ue se encuentra en el folio 238</w:t>
      </w:r>
      <w:r w:rsidR="008871B0">
        <w:t xml:space="preserve"> del expediente.</w:t>
      </w:r>
      <w:r w:rsidR="007B6FF4">
        <w:t xml:space="preserve"> </w:t>
      </w:r>
      <w:r>
        <w:t xml:space="preserve"> Los representantes de las presuntas víctimas en el presente caso son</w:t>
      </w:r>
      <w:r w:rsidR="008871B0">
        <w:t xml:space="preserve"> el señor</w:t>
      </w:r>
      <w:r w:rsidR="008871B0">
        <w:rPr>
          <w:b/>
          <w:lang w:val="es-CR"/>
        </w:rPr>
        <w:t xml:space="preserve"> </w:t>
      </w:r>
      <w:r w:rsidR="008871B0">
        <w:rPr>
          <w:lang w:val="es-CR"/>
        </w:rPr>
        <w:t>Ángel Aco</w:t>
      </w:r>
      <w:r w:rsidR="003C4E38">
        <w:rPr>
          <w:lang w:val="es-CR"/>
        </w:rPr>
        <w:t>sta Martí</w:t>
      </w:r>
      <w:r w:rsidR="008871B0">
        <w:rPr>
          <w:lang w:val="es-CR"/>
        </w:rPr>
        <w:t>nez, el Centro de I</w:t>
      </w:r>
      <w:r w:rsidR="003C4E38">
        <w:rPr>
          <w:lang w:val="es-CR"/>
        </w:rPr>
        <w:t>nvestigaciones Sociales y Asesorías Legales Populares (CISALP) y la Asociación El Trapito</w:t>
      </w:r>
      <w:r>
        <w:rPr>
          <w:lang w:val="es-CR"/>
        </w:rPr>
        <w:t>.</w:t>
      </w:r>
    </w:p>
  </w:footnote>
  <w:footnote w:id="2">
    <w:p w14:paraId="2689BC24" w14:textId="77777777" w:rsidR="002C4D6A" w:rsidRDefault="002C4D6A" w:rsidP="002C4D6A">
      <w:pPr>
        <w:pStyle w:val="Textonotapie"/>
        <w:spacing w:before="0" w:after="0" w:line="276" w:lineRule="auto"/>
        <w:rPr>
          <w:rFonts w:cs="Times New Roman"/>
          <w:lang w:val="es-CR"/>
        </w:rPr>
      </w:pPr>
      <w:r>
        <w:rPr>
          <w:rStyle w:val="Refdenotaalpie"/>
        </w:rPr>
        <w:footnoteRef/>
      </w:r>
      <w:r>
        <w:t xml:space="preserve"> </w:t>
      </w:r>
      <w:r>
        <w:tab/>
      </w:r>
      <w:r>
        <w:rPr>
          <w:i/>
        </w:rPr>
        <w:t xml:space="preserve">Cfr. Caso Pedro Miguel Vera </w:t>
      </w:r>
      <w:proofErr w:type="spellStart"/>
      <w:r>
        <w:rPr>
          <w:i/>
        </w:rPr>
        <w:t>Vera</w:t>
      </w:r>
      <w:proofErr w:type="spellEnd"/>
      <w:r>
        <w:rPr>
          <w:i/>
        </w:rPr>
        <w:t xml:space="preserve"> y otros Vs. Ecuador</w:t>
      </w:r>
      <w:r>
        <w:t xml:space="preserve">. Resolución del Presidente de la Corte de 23 de diciembre de 2010, Considerando 9, y </w:t>
      </w:r>
      <w:r>
        <w:rPr>
          <w:rStyle w:val="Textoennegrita"/>
          <w:b w:val="0"/>
          <w:i/>
          <w:color w:val="000000"/>
          <w:shd w:val="clear" w:color="auto" w:fill="FFFFFF"/>
        </w:rPr>
        <w:t xml:space="preserve">Caso </w:t>
      </w:r>
      <w:proofErr w:type="spellStart"/>
      <w:r>
        <w:rPr>
          <w:rStyle w:val="Textoennegrita"/>
          <w:b w:val="0"/>
          <w:i/>
          <w:color w:val="000000"/>
          <w:shd w:val="clear" w:color="auto" w:fill="FFFFFF"/>
        </w:rPr>
        <w:t>Omeara</w:t>
      </w:r>
      <w:proofErr w:type="spellEnd"/>
      <w:r>
        <w:rPr>
          <w:rStyle w:val="Textoennegrita"/>
          <w:b w:val="0"/>
          <w:i/>
          <w:color w:val="000000"/>
          <w:shd w:val="clear" w:color="auto" w:fill="FFFFFF"/>
        </w:rPr>
        <w:t xml:space="preserve"> Carrascal y otros Vs. Colombia</w:t>
      </w:r>
      <w:r>
        <w:rPr>
          <w:rStyle w:val="Textoennegrita"/>
          <w:b w:val="0"/>
          <w:color w:val="000000"/>
          <w:shd w:val="clear" w:color="auto" w:fill="FFFFFF"/>
        </w:rPr>
        <w:t>. Convocatoria de audiencia. Resolución del Presidente de la Corte Interamericana de Derechos Humanos de 21 de abril de 2017, Considerando 10.</w:t>
      </w:r>
    </w:p>
  </w:footnote>
  <w:footnote w:id="3">
    <w:p w14:paraId="0D038800" w14:textId="77777777" w:rsidR="002C4D6A" w:rsidRDefault="002C4D6A" w:rsidP="002C4D6A">
      <w:pPr>
        <w:pStyle w:val="Textonotapie"/>
        <w:spacing w:before="0" w:after="0" w:line="276" w:lineRule="auto"/>
        <w:rPr>
          <w:lang w:val="es-CR"/>
        </w:rPr>
      </w:pPr>
      <w:r>
        <w:rPr>
          <w:rStyle w:val="Refdenotaalpie"/>
        </w:rPr>
        <w:footnoteRef/>
      </w:r>
      <w:r>
        <w:t xml:space="preserve"> </w:t>
      </w:r>
      <w:r>
        <w:rPr>
          <w:lang w:val="es-CR"/>
        </w:rPr>
        <w:tab/>
      </w:r>
      <w:r>
        <w:rPr>
          <w:i/>
        </w:rPr>
        <w:t>Cfr. Caso Herrera Espinoza y otros Vs. Ecuador</w:t>
      </w:r>
      <w:r>
        <w:t xml:space="preserve">. Resolución del Presidente de la Corte de 10 de diciembre de 2015, Considerando 19, y </w:t>
      </w:r>
      <w:r>
        <w:rPr>
          <w:rStyle w:val="Textoennegrita"/>
          <w:b w:val="0"/>
          <w:i/>
          <w:color w:val="000000"/>
          <w:shd w:val="clear" w:color="auto" w:fill="FFFFFF"/>
        </w:rPr>
        <w:t xml:space="preserve">Caso </w:t>
      </w:r>
      <w:proofErr w:type="spellStart"/>
      <w:r>
        <w:rPr>
          <w:rStyle w:val="Textoennegrita"/>
          <w:b w:val="0"/>
          <w:i/>
          <w:color w:val="000000"/>
          <w:shd w:val="clear" w:color="auto" w:fill="FFFFFF"/>
        </w:rPr>
        <w:t>Omeara</w:t>
      </w:r>
      <w:proofErr w:type="spellEnd"/>
      <w:r>
        <w:rPr>
          <w:rStyle w:val="Textoennegrita"/>
          <w:b w:val="0"/>
          <w:i/>
          <w:color w:val="000000"/>
          <w:shd w:val="clear" w:color="auto" w:fill="FFFFFF"/>
        </w:rPr>
        <w:t xml:space="preserve"> Carrascal y otros Vs. Colombia</w:t>
      </w:r>
      <w:r>
        <w:rPr>
          <w:rStyle w:val="Textoennegrita"/>
          <w:b w:val="0"/>
          <w:color w:val="000000"/>
          <w:shd w:val="clear" w:color="auto" w:fill="FFFFFF"/>
        </w:rPr>
        <w:t xml:space="preserve">, </w:t>
      </w:r>
      <w:r>
        <w:rPr>
          <w:rStyle w:val="Textoennegrita"/>
          <w:b w:val="0"/>
          <w:i/>
          <w:color w:val="000000"/>
          <w:shd w:val="clear" w:color="auto" w:fill="FFFFFF"/>
        </w:rPr>
        <w:t>supra</w:t>
      </w:r>
      <w:r>
        <w:rPr>
          <w:rStyle w:val="Textoennegrita"/>
          <w:b w:val="0"/>
          <w:color w:val="000000"/>
          <w:shd w:val="clear" w:color="auto" w:fill="FFFFFF"/>
        </w:rPr>
        <w:t>, Considerando 10.</w:t>
      </w:r>
    </w:p>
  </w:footnote>
  <w:footnote w:id="4">
    <w:p w14:paraId="5B851016" w14:textId="77777777" w:rsidR="002C4D6A" w:rsidRDefault="002C4D6A" w:rsidP="002C4D6A">
      <w:pPr>
        <w:pStyle w:val="Textonotapie"/>
        <w:spacing w:before="0" w:after="0" w:line="276" w:lineRule="auto"/>
        <w:rPr>
          <w:lang w:val="es-CR"/>
        </w:rPr>
      </w:pPr>
      <w:r>
        <w:rPr>
          <w:rStyle w:val="Refdenotaalpie"/>
        </w:rPr>
        <w:footnoteRef/>
      </w:r>
      <w:r>
        <w:t xml:space="preserve"> </w:t>
      </w:r>
      <w:r>
        <w:tab/>
      </w:r>
      <w:r>
        <w:rPr>
          <w:i/>
        </w:rPr>
        <w:t>Cfr. Caso Pacheco Teruel y otros Vs. Honduras</w:t>
      </w:r>
      <w:r>
        <w:t xml:space="preserve">. Resolución del Presidente de 27 de enero de 2012. Considerando 9, y </w:t>
      </w:r>
      <w:r>
        <w:rPr>
          <w:rStyle w:val="Textoennegrita"/>
          <w:b w:val="0"/>
          <w:i/>
          <w:color w:val="000000"/>
          <w:shd w:val="clear" w:color="auto" w:fill="FFFFFF"/>
        </w:rPr>
        <w:t xml:space="preserve">Caso </w:t>
      </w:r>
      <w:proofErr w:type="spellStart"/>
      <w:r>
        <w:rPr>
          <w:rStyle w:val="Textoennegrita"/>
          <w:b w:val="0"/>
          <w:i/>
          <w:color w:val="000000"/>
          <w:shd w:val="clear" w:color="auto" w:fill="FFFFFF"/>
        </w:rPr>
        <w:t>Omeara</w:t>
      </w:r>
      <w:proofErr w:type="spellEnd"/>
      <w:r>
        <w:rPr>
          <w:rStyle w:val="Textoennegrita"/>
          <w:b w:val="0"/>
          <w:i/>
          <w:color w:val="000000"/>
          <w:shd w:val="clear" w:color="auto" w:fill="FFFFFF"/>
        </w:rPr>
        <w:t xml:space="preserve"> Carrascal y otros Vs. Colombia</w:t>
      </w:r>
      <w:r>
        <w:rPr>
          <w:rStyle w:val="Textoennegrita"/>
          <w:b w:val="0"/>
          <w:color w:val="000000"/>
          <w:shd w:val="clear" w:color="auto" w:fill="FFFFFF"/>
        </w:rPr>
        <w:t xml:space="preserve">, </w:t>
      </w:r>
      <w:r>
        <w:rPr>
          <w:rStyle w:val="Textoennegrita"/>
          <w:b w:val="0"/>
          <w:i/>
          <w:color w:val="000000"/>
          <w:shd w:val="clear" w:color="auto" w:fill="FFFFFF"/>
        </w:rPr>
        <w:t>supra</w:t>
      </w:r>
      <w:r>
        <w:rPr>
          <w:rStyle w:val="Textoennegrita"/>
          <w:b w:val="0"/>
          <w:color w:val="000000"/>
          <w:shd w:val="clear" w:color="auto" w:fill="FFFFFF"/>
        </w:rPr>
        <w:t>, Considerando 11.</w:t>
      </w:r>
    </w:p>
  </w:footnote>
  <w:footnote w:id="5">
    <w:p w14:paraId="1AC6FCA7" w14:textId="50E72952" w:rsidR="002C4D6A" w:rsidRDefault="002C4D6A" w:rsidP="002C4D6A">
      <w:pPr>
        <w:pStyle w:val="Textonotapie"/>
        <w:spacing w:before="0" w:after="0" w:line="276" w:lineRule="auto"/>
        <w:rPr>
          <w:lang w:val="es-CR"/>
        </w:rPr>
      </w:pPr>
      <w:r>
        <w:rPr>
          <w:rStyle w:val="Refdenotaalpie"/>
        </w:rPr>
        <w:footnoteRef/>
      </w:r>
      <w:r>
        <w:t xml:space="preserve"> </w:t>
      </w:r>
      <w:r>
        <w:rPr>
          <w:lang w:val="es-CR"/>
        </w:rPr>
        <w:tab/>
      </w:r>
      <w:r>
        <w:rPr>
          <w:i/>
          <w:lang w:val="es-CR"/>
        </w:rPr>
        <w:t xml:space="preserve">Cfr. </w:t>
      </w:r>
      <w:r w:rsidR="00144B6F" w:rsidRPr="005B5FED">
        <w:rPr>
          <w:lang w:val="es-CR"/>
        </w:rPr>
        <w:t>Comunicación del 22</w:t>
      </w:r>
      <w:r w:rsidR="005B5FED" w:rsidRPr="005B5FED">
        <w:rPr>
          <w:lang w:val="es-CR"/>
        </w:rPr>
        <w:t xml:space="preserve"> de enero del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BFF"/>
    <w:multiLevelType w:val="hybridMultilevel"/>
    <w:tmpl w:val="1C80CF6E"/>
    <w:lvl w:ilvl="0" w:tplc="04090015">
      <w:start w:val="1"/>
      <w:numFmt w:val="upperLetter"/>
      <w:lvlText w:val="%1."/>
      <w:lvlJc w:val="left"/>
      <w:pPr>
        <w:ind w:left="720" w:hanging="360"/>
      </w:p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4AC25A3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283FE2"/>
    <w:multiLevelType w:val="hybridMultilevel"/>
    <w:tmpl w:val="EE665104"/>
    <w:lvl w:ilvl="0" w:tplc="140A000F">
      <w:start w:val="1"/>
      <w:numFmt w:val="decimal"/>
      <w:lvlText w:val="%1."/>
      <w:lvlJc w:val="left"/>
      <w:pPr>
        <w:ind w:left="1429" w:hanging="360"/>
      </w:pPr>
    </w:lvl>
    <w:lvl w:ilvl="1" w:tplc="140A0019">
      <w:start w:val="1"/>
      <w:numFmt w:val="lowerLetter"/>
      <w:lvlText w:val="%2."/>
      <w:lvlJc w:val="left"/>
      <w:pPr>
        <w:ind w:left="2149" w:hanging="360"/>
      </w:pPr>
    </w:lvl>
    <w:lvl w:ilvl="2" w:tplc="140A001B">
      <w:start w:val="1"/>
      <w:numFmt w:val="lowerRoman"/>
      <w:lvlText w:val="%3."/>
      <w:lvlJc w:val="right"/>
      <w:pPr>
        <w:ind w:left="2869" w:hanging="180"/>
      </w:pPr>
    </w:lvl>
    <w:lvl w:ilvl="3" w:tplc="140A000F">
      <w:start w:val="1"/>
      <w:numFmt w:val="decimal"/>
      <w:lvlText w:val="%4."/>
      <w:lvlJc w:val="left"/>
      <w:pPr>
        <w:ind w:left="3589" w:hanging="360"/>
      </w:pPr>
    </w:lvl>
    <w:lvl w:ilvl="4" w:tplc="140A0019">
      <w:start w:val="1"/>
      <w:numFmt w:val="lowerLetter"/>
      <w:lvlText w:val="%5."/>
      <w:lvlJc w:val="left"/>
      <w:pPr>
        <w:ind w:left="4309" w:hanging="360"/>
      </w:pPr>
    </w:lvl>
    <w:lvl w:ilvl="5" w:tplc="140A001B">
      <w:start w:val="1"/>
      <w:numFmt w:val="lowerRoman"/>
      <w:lvlText w:val="%6."/>
      <w:lvlJc w:val="right"/>
      <w:pPr>
        <w:ind w:left="5029" w:hanging="180"/>
      </w:pPr>
    </w:lvl>
    <w:lvl w:ilvl="6" w:tplc="140A000F">
      <w:start w:val="1"/>
      <w:numFmt w:val="decimal"/>
      <w:lvlText w:val="%7."/>
      <w:lvlJc w:val="left"/>
      <w:pPr>
        <w:ind w:left="5749" w:hanging="360"/>
      </w:pPr>
    </w:lvl>
    <w:lvl w:ilvl="7" w:tplc="140A0019">
      <w:start w:val="1"/>
      <w:numFmt w:val="lowerLetter"/>
      <w:lvlText w:val="%8."/>
      <w:lvlJc w:val="left"/>
      <w:pPr>
        <w:ind w:left="6469" w:hanging="360"/>
      </w:pPr>
    </w:lvl>
    <w:lvl w:ilvl="8" w:tplc="140A001B">
      <w:start w:val="1"/>
      <w:numFmt w:val="lowerRoman"/>
      <w:lvlText w:val="%9."/>
      <w:lvlJc w:val="right"/>
      <w:pPr>
        <w:ind w:left="7189" w:hanging="180"/>
      </w:pPr>
    </w:lvl>
  </w:abstractNum>
  <w:abstractNum w:abstractNumId="2" w15:restartNumberingAfterBreak="0">
    <w:nsid w:val="2A780770"/>
    <w:multiLevelType w:val="hybridMultilevel"/>
    <w:tmpl w:val="3DC8A7FE"/>
    <w:lvl w:ilvl="0" w:tplc="67E07D4A">
      <w:start w:val="1"/>
      <w:numFmt w:val="decimal"/>
      <w:lvlText w:val="%1."/>
      <w:lvlJc w:val="left"/>
      <w:pPr>
        <w:ind w:left="1800" w:hanging="720"/>
      </w:pPr>
      <w:rPr>
        <w:b w:val="0"/>
        <w:i w:val="0"/>
        <w:color w:val="auto"/>
      </w:rPr>
    </w:lvl>
    <w:lvl w:ilvl="1" w:tplc="7C2C13CE">
      <w:start w:val="1"/>
      <w:numFmt w:val="lowerRoman"/>
      <w:lvlText w:val="%2."/>
      <w:lvlJc w:val="left"/>
      <w:pPr>
        <w:ind w:left="1800" w:hanging="720"/>
      </w:pPr>
    </w:lvl>
    <w:lvl w:ilvl="2" w:tplc="841219D4">
      <w:start w:val="1"/>
      <w:numFmt w:val="upp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C754BB"/>
    <w:multiLevelType w:val="hybridMultilevel"/>
    <w:tmpl w:val="D090AC0C"/>
    <w:lvl w:ilvl="0" w:tplc="04090015">
      <w:start w:val="1"/>
      <w:numFmt w:val="upperLetter"/>
      <w:lvlText w:val="%1."/>
      <w:lvlJc w:val="left"/>
      <w:pPr>
        <w:ind w:left="720" w:hanging="360"/>
      </w:p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7633564"/>
    <w:multiLevelType w:val="hybridMultilevel"/>
    <w:tmpl w:val="B8F66A6E"/>
    <w:lvl w:ilvl="0" w:tplc="54D4D9A8">
      <w:start w:val="500"/>
      <w:numFmt w:val="upperRoman"/>
      <w:lvlText w:val="%1."/>
      <w:lvlJc w:val="left"/>
      <w:pPr>
        <w:ind w:left="108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62C97D24"/>
    <w:multiLevelType w:val="hybridMultilevel"/>
    <w:tmpl w:val="C0FAAC86"/>
    <w:lvl w:ilvl="0" w:tplc="3F2CF080">
      <w:start w:val="1"/>
      <w:numFmt w:val="decimal"/>
      <w:lvlText w:val="%1."/>
      <w:lvlJc w:val="left"/>
      <w:pPr>
        <w:ind w:left="1080" w:hanging="720"/>
      </w:pPr>
      <w:rPr>
        <w:b w:val="0"/>
      </w:rPr>
    </w:lvl>
    <w:lvl w:ilvl="1" w:tplc="B08C5A98">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2D67737"/>
    <w:multiLevelType w:val="hybridMultilevel"/>
    <w:tmpl w:val="AC36151A"/>
    <w:lvl w:ilvl="0" w:tplc="C3A882F0">
      <w:start w:val="1"/>
      <w:numFmt w:val="upperLetter"/>
      <w:lvlText w:val="%1."/>
      <w:lvlJc w:val="left"/>
      <w:pPr>
        <w:ind w:left="930" w:hanging="360"/>
      </w:pPr>
      <w:rPr>
        <w:b w:val="0"/>
      </w:rPr>
    </w:lvl>
    <w:lvl w:ilvl="1" w:tplc="140A0019">
      <w:start w:val="1"/>
      <w:numFmt w:val="lowerLetter"/>
      <w:lvlText w:val="%2."/>
      <w:lvlJc w:val="left"/>
      <w:pPr>
        <w:ind w:left="1650" w:hanging="360"/>
      </w:pPr>
    </w:lvl>
    <w:lvl w:ilvl="2" w:tplc="140A001B">
      <w:start w:val="1"/>
      <w:numFmt w:val="lowerRoman"/>
      <w:lvlText w:val="%3."/>
      <w:lvlJc w:val="right"/>
      <w:pPr>
        <w:ind w:left="2370" w:hanging="180"/>
      </w:pPr>
    </w:lvl>
    <w:lvl w:ilvl="3" w:tplc="140A000F">
      <w:start w:val="1"/>
      <w:numFmt w:val="decimal"/>
      <w:lvlText w:val="%4."/>
      <w:lvlJc w:val="left"/>
      <w:pPr>
        <w:ind w:left="3090" w:hanging="360"/>
      </w:pPr>
    </w:lvl>
    <w:lvl w:ilvl="4" w:tplc="140A0019">
      <w:start w:val="1"/>
      <w:numFmt w:val="lowerLetter"/>
      <w:lvlText w:val="%5."/>
      <w:lvlJc w:val="left"/>
      <w:pPr>
        <w:ind w:left="3810" w:hanging="360"/>
      </w:pPr>
    </w:lvl>
    <w:lvl w:ilvl="5" w:tplc="140A001B">
      <w:start w:val="1"/>
      <w:numFmt w:val="lowerRoman"/>
      <w:lvlText w:val="%6."/>
      <w:lvlJc w:val="right"/>
      <w:pPr>
        <w:ind w:left="4530" w:hanging="180"/>
      </w:pPr>
    </w:lvl>
    <w:lvl w:ilvl="6" w:tplc="140A000F">
      <w:start w:val="1"/>
      <w:numFmt w:val="decimal"/>
      <w:lvlText w:val="%7."/>
      <w:lvlJc w:val="left"/>
      <w:pPr>
        <w:ind w:left="5250" w:hanging="360"/>
      </w:pPr>
    </w:lvl>
    <w:lvl w:ilvl="7" w:tplc="140A0019">
      <w:start w:val="1"/>
      <w:numFmt w:val="lowerLetter"/>
      <w:lvlText w:val="%8."/>
      <w:lvlJc w:val="left"/>
      <w:pPr>
        <w:ind w:left="5970" w:hanging="360"/>
      </w:pPr>
    </w:lvl>
    <w:lvl w:ilvl="8" w:tplc="140A001B">
      <w:start w:val="1"/>
      <w:numFmt w:val="lowerRoman"/>
      <w:lvlText w:val="%9."/>
      <w:lvlJc w:val="right"/>
      <w:pPr>
        <w:ind w:left="6690" w:hanging="180"/>
      </w:pPr>
    </w:lvl>
  </w:abstractNum>
  <w:abstractNum w:abstractNumId="7" w15:restartNumberingAfterBreak="0">
    <w:nsid w:val="644167C5"/>
    <w:multiLevelType w:val="hybridMultilevel"/>
    <w:tmpl w:val="56E2A2AE"/>
    <w:lvl w:ilvl="0" w:tplc="0FD0E226">
      <w:start w:val="2"/>
      <w:numFmt w:val="decimal"/>
      <w:lvlText w:val="%1."/>
      <w:lvlJc w:val="left"/>
      <w:pPr>
        <w:tabs>
          <w:tab w:val="num" w:pos="3600"/>
        </w:tabs>
        <w:ind w:left="0" w:firstLine="0"/>
      </w:pPr>
      <w:rPr>
        <w:rFonts w:ascii="Verdana" w:hAnsi="Verdana" w:cs="Times New Roman" w:hint="default"/>
        <w:b w:val="0"/>
        <w:i w:val="0"/>
        <w:sz w:val="20"/>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8" w15:restartNumberingAfterBreak="0">
    <w:nsid w:val="701E7730"/>
    <w:multiLevelType w:val="hybridMultilevel"/>
    <w:tmpl w:val="44EC8F8A"/>
    <w:lvl w:ilvl="0" w:tplc="687274CC">
      <w:start w:val="1"/>
      <w:numFmt w:val="upperLetter"/>
      <w:lvlText w:val="%1."/>
      <w:lvlJc w:val="left"/>
      <w:pPr>
        <w:ind w:left="1080" w:hanging="720"/>
      </w:pPr>
      <w:rPr>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D6A"/>
    <w:rsid w:val="00073961"/>
    <w:rsid w:val="00144B6F"/>
    <w:rsid w:val="00176181"/>
    <w:rsid w:val="001843EB"/>
    <w:rsid w:val="00184B43"/>
    <w:rsid w:val="001B67A6"/>
    <w:rsid w:val="001C3DB4"/>
    <w:rsid w:val="00204434"/>
    <w:rsid w:val="00211AF9"/>
    <w:rsid w:val="00214A05"/>
    <w:rsid w:val="002B1954"/>
    <w:rsid w:val="002B3F26"/>
    <w:rsid w:val="002B7B7B"/>
    <w:rsid w:val="002C4D6A"/>
    <w:rsid w:val="002E0A02"/>
    <w:rsid w:val="00310236"/>
    <w:rsid w:val="003269BB"/>
    <w:rsid w:val="0034283A"/>
    <w:rsid w:val="00354330"/>
    <w:rsid w:val="003A50CB"/>
    <w:rsid w:val="003C4E38"/>
    <w:rsid w:val="003C5862"/>
    <w:rsid w:val="00407E1D"/>
    <w:rsid w:val="00410279"/>
    <w:rsid w:val="00416C07"/>
    <w:rsid w:val="00423C10"/>
    <w:rsid w:val="005B5FED"/>
    <w:rsid w:val="005D7EBE"/>
    <w:rsid w:val="005E3630"/>
    <w:rsid w:val="005F2061"/>
    <w:rsid w:val="006C6A15"/>
    <w:rsid w:val="006D0F7E"/>
    <w:rsid w:val="006F1B53"/>
    <w:rsid w:val="006F25F3"/>
    <w:rsid w:val="00720D4F"/>
    <w:rsid w:val="007663A7"/>
    <w:rsid w:val="007B6FF4"/>
    <w:rsid w:val="00883B7C"/>
    <w:rsid w:val="008871B0"/>
    <w:rsid w:val="009177F7"/>
    <w:rsid w:val="009545C5"/>
    <w:rsid w:val="00964489"/>
    <w:rsid w:val="009759A3"/>
    <w:rsid w:val="00981187"/>
    <w:rsid w:val="009870DB"/>
    <w:rsid w:val="009C22E5"/>
    <w:rsid w:val="009E0613"/>
    <w:rsid w:val="009F1C98"/>
    <w:rsid w:val="00A038DC"/>
    <w:rsid w:val="00B26C82"/>
    <w:rsid w:val="00B5648C"/>
    <w:rsid w:val="00B616F0"/>
    <w:rsid w:val="00B8184A"/>
    <w:rsid w:val="00BA1E3F"/>
    <w:rsid w:val="00BB344A"/>
    <w:rsid w:val="00C21CB6"/>
    <w:rsid w:val="00C4081A"/>
    <w:rsid w:val="00C56588"/>
    <w:rsid w:val="00C954F5"/>
    <w:rsid w:val="00D72E79"/>
    <w:rsid w:val="00DE26CE"/>
    <w:rsid w:val="00E14C3D"/>
    <w:rsid w:val="00E27054"/>
    <w:rsid w:val="00E419EC"/>
    <w:rsid w:val="00E6270D"/>
    <w:rsid w:val="00E82AA5"/>
    <w:rsid w:val="00EA3C3D"/>
    <w:rsid w:val="00ED4CB8"/>
    <w:rsid w:val="00F167AF"/>
    <w:rsid w:val="00F43D97"/>
    <w:rsid w:val="00F85FCC"/>
    <w:rsid w:val="00F9785B"/>
    <w:rsid w:val="00FB26E2"/>
    <w:rsid w:val="00FD7F5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F337"/>
  <w15:chartTrackingRefBased/>
  <w15:docId w15:val="{C9D4E60E-9430-4943-8B5F-0C9B2E26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D6A"/>
    <w:pPr>
      <w:spacing w:after="200" w:line="276" w:lineRule="auto"/>
    </w:pPr>
    <w:rPr>
      <w:rFonts w:ascii="Verdana" w:eastAsia="Calibri" w:hAnsi="Verdana" w:cs="Calibri"/>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1">
    <w:name w:val="Texto nota pie Car1"/>
    <w:aliases w:val="FA Fu Car1,Footnote Text Char Char Char Char Char Car,Footnote Text Char Char Char Char Car,Footnote reference Car,Footnote Text Char Char Char Car,FA Fu Car Car1,FA Fu Car Car Car,Footnote Text Cha Car,FA Fußnotentext Car,Ca Car"/>
    <w:link w:val="Textonotapie"/>
    <w:semiHidden/>
    <w:locked/>
    <w:rsid w:val="002C4D6A"/>
    <w:rPr>
      <w:rFonts w:ascii="Verdana" w:hAnsi="Verdana"/>
      <w:sz w:val="16"/>
      <w:szCs w:val="16"/>
      <w:lang w:val="es-ES_tradnl" w:eastAsia="es-ES"/>
    </w:rPr>
  </w:style>
  <w:style w:type="paragraph" w:styleId="Textonotapie">
    <w:name w:val="footnote text"/>
    <w:aliases w:val="FA Fu,Footnote Text Char Char Char Char Char,Footnote Text Char Char Char Char,Footnote reference,Footnote Text Char Char Char,FA Fu Car,FA Fu Car Car,Footnote Text Cha,FA Fußnotentext,FA Fuﬂnotentext,FA Fu?notentext,Ca"/>
    <w:basedOn w:val="Normal"/>
    <w:link w:val="TextonotapieCar1"/>
    <w:autoRedefine/>
    <w:semiHidden/>
    <w:unhideWhenUsed/>
    <w:qFormat/>
    <w:rsid w:val="002C4D6A"/>
    <w:pPr>
      <w:spacing w:before="120" w:after="120" w:line="240" w:lineRule="auto"/>
      <w:jc w:val="both"/>
    </w:pPr>
    <w:rPr>
      <w:rFonts w:eastAsiaTheme="minorHAnsi" w:cstheme="minorBidi"/>
      <w:sz w:val="16"/>
      <w:szCs w:val="16"/>
      <w:lang w:val="es-ES_tradnl" w:eastAsia="es-ES"/>
    </w:rPr>
  </w:style>
  <w:style w:type="character" w:customStyle="1" w:styleId="TextonotapieCar">
    <w:name w:val="Texto nota pie Car"/>
    <w:basedOn w:val="Fuentedeprrafopredeter"/>
    <w:uiPriority w:val="99"/>
    <w:semiHidden/>
    <w:rsid w:val="002C4D6A"/>
    <w:rPr>
      <w:rFonts w:ascii="Verdana" w:eastAsia="Calibri" w:hAnsi="Verdana" w:cs="Calibri"/>
      <w:sz w:val="20"/>
      <w:szCs w:val="20"/>
      <w:lang w:val="es-MX"/>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link w:val="4GChar"/>
    <w:uiPriority w:val="99"/>
    <w:unhideWhenUsed/>
    <w:qFormat/>
    <w:rsid w:val="002C4D6A"/>
    <w:rPr>
      <w:rFonts w:ascii="Verdana" w:hAnsi="Verdana" w:cs="Verdana"/>
      <w:sz w:val="16"/>
      <w:szCs w:val="16"/>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2C4D6A"/>
    <w:pPr>
      <w:spacing w:after="0" w:line="240" w:lineRule="auto"/>
      <w:jc w:val="both"/>
    </w:pPr>
    <w:rPr>
      <w:rFonts w:eastAsiaTheme="minorHAnsi" w:cs="Verdana"/>
      <w:sz w:val="16"/>
      <w:szCs w:val="16"/>
      <w:vertAlign w:val="superscript"/>
      <w:lang w:val="es-CR"/>
    </w:rPr>
  </w:style>
  <w:style w:type="character" w:styleId="Textoennegrita">
    <w:name w:val="Strong"/>
    <w:basedOn w:val="Fuentedeprrafopredeter"/>
    <w:uiPriority w:val="22"/>
    <w:qFormat/>
    <w:rsid w:val="002C4D6A"/>
    <w:rPr>
      <w:b/>
      <w:bCs/>
    </w:rPr>
  </w:style>
  <w:style w:type="paragraph" w:styleId="Prrafodelista">
    <w:name w:val="List Paragraph"/>
    <w:basedOn w:val="Normal"/>
    <w:uiPriority w:val="34"/>
    <w:qFormat/>
    <w:rsid w:val="00E14C3D"/>
    <w:pPr>
      <w:ind w:left="720"/>
      <w:contextualSpacing/>
    </w:pPr>
  </w:style>
  <w:style w:type="paragraph" w:styleId="Textodeglobo">
    <w:name w:val="Balloon Text"/>
    <w:basedOn w:val="Normal"/>
    <w:link w:val="TextodegloboCar"/>
    <w:uiPriority w:val="99"/>
    <w:semiHidden/>
    <w:unhideWhenUsed/>
    <w:rsid w:val="009545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C5"/>
    <w:rPr>
      <w:rFonts w:ascii="Segoe UI" w:eastAsia="Calibri" w:hAnsi="Segoe UI" w:cs="Segoe UI"/>
      <w:sz w:val="18"/>
      <w:szCs w:val="18"/>
      <w:lang w:val="es-MX"/>
    </w:rPr>
  </w:style>
  <w:style w:type="character" w:styleId="Refdecomentario">
    <w:name w:val="annotation reference"/>
    <w:basedOn w:val="Fuentedeprrafopredeter"/>
    <w:uiPriority w:val="99"/>
    <w:semiHidden/>
    <w:unhideWhenUsed/>
    <w:rsid w:val="003A50CB"/>
    <w:rPr>
      <w:sz w:val="16"/>
      <w:szCs w:val="16"/>
    </w:rPr>
  </w:style>
  <w:style w:type="paragraph" w:styleId="Textocomentario">
    <w:name w:val="annotation text"/>
    <w:basedOn w:val="Normal"/>
    <w:link w:val="TextocomentarioCar"/>
    <w:uiPriority w:val="99"/>
    <w:semiHidden/>
    <w:unhideWhenUsed/>
    <w:rsid w:val="003A50CB"/>
    <w:pPr>
      <w:spacing w:line="240" w:lineRule="auto"/>
    </w:pPr>
    <w:rPr>
      <w:szCs w:val="20"/>
    </w:rPr>
  </w:style>
  <w:style w:type="character" w:customStyle="1" w:styleId="TextocomentarioCar">
    <w:name w:val="Texto comentario Car"/>
    <w:basedOn w:val="Fuentedeprrafopredeter"/>
    <w:link w:val="Textocomentario"/>
    <w:uiPriority w:val="99"/>
    <w:semiHidden/>
    <w:rsid w:val="003A50CB"/>
    <w:rPr>
      <w:rFonts w:ascii="Verdana" w:eastAsia="Calibri" w:hAnsi="Verdana" w:cs="Calibri"/>
      <w:sz w:val="20"/>
      <w:szCs w:val="20"/>
      <w:lang w:val="es-MX"/>
    </w:rPr>
  </w:style>
  <w:style w:type="paragraph" w:styleId="Asuntodelcomentario">
    <w:name w:val="annotation subject"/>
    <w:basedOn w:val="Textocomentario"/>
    <w:next w:val="Textocomentario"/>
    <w:link w:val="AsuntodelcomentarioCar"/>
    <w:uiPriority w:val="99"/>
    <w:semiHidden/>
    <w:unhideWhenUsed/>
    <w:rsid w:val="003A50CB"/>
    <w:rPr>
      <w:b/>
      <w:bCs/>
    </w:rPr>
  </w:style>
  <w:style w:type="character" w:customStyle="1" w:styleId="AsuntodelcomentarioCar">
    <w:name w:val="Asunto del comentario Car"/>
    <w:basedOn w:val="TextocomentarioCar"/>
    <w:link w:val="Asuntodelcomentario"/>
    <w:uiPriority w:val="99"/>
    <w:semiHidden/>
    <w:rsid w:val="003A50CB"/>
    <w:rPr>
      <w:rFonts w:ascii="Verdana" w:eastAsia="Calibri" w:hAnsi="Verdana" w:cs="Calibri"/>
      <w:b/>
      <w:bCs/>
      <w:sz w:val="20"/>
      <w:szCs w:val="20"/>
      <w:lang w:val="es-MX"/>
    </w:rPr>
  </w:style>
  <w:style w:type="paragraph" w:styleId="Encabezado">
    <w:name w:val="header"/>
    <w:basedOn w:val="Normal"/>
    <w:link w:val="EncabezadoCar"/>
    <w:uiPriority w:val="99"/>
    <w:unhideWhenUsed/>
    <w:rsid w:val="003269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69BB"/>
    <w:rPr>
      <w:rFonts w:ascii="Verdana" w:eastAsia="Calibri" w:hAnsi="Verdana" w:cs="Calibri"/>
      <w:sz w:val="20"/>
      <w:lang w:val="es-MX"/>
    </w:rPr>
  </w:style>
  <w:style w:type="paragraph" w:styleId="Piedepgina">
    <w:name w:val="footer"/>
    <w:basedOn w:val="Normal"/>
    <w:link w:val="PiedepginaCar"/>
    <w:uiPriority w:val="99"/>
    <w:unhideWhenUsed/>
    <w:rsid w:val="003269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69BB"/>
    <w:rPr>
      <w:rFonts w:ascii="Verdana" w:eastAsia="Calibri" w:hAnsi="Verdana" w:cs="Calibri"/>
      <w:sz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6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1AF52-51F2-426E-8A5A-B0B30C6E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2814</Words>
  <Characters>15478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Mabel Fernandez</cp:lastModifiedBy>
  <cp:revision>2</cp:revision>
  <cp:lastPrinted>2020-02-11T19:08:00Z</cp:lastPrinted>
  <dcterms:created xsi:type="dcterms:W3CDTF">2020-02-11T19:08:00Z</dcterms:created>
  <dcterms:modified xsi:type="dcterms:W3CDTF">2020-02-11T19:08:00Z</dcterms:modified>
</cp:coreProperties>
</file>