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84B29" w14:textId="58234E3A" w:rsidR="0005341B" w:rsidRPr="0005341B" w:rsidRDefault="004D3AAA" w:rsidP="00C45F58">
      <w:pPr>
        <w:tabs>
          <w:tab w:val="left" w:pos="567"/>
        </w:tabs>
        <w:spacing w:before="120" w:after="0" w:line="240" w:lineRule="auto"/>
        <w:ind w:left="0"/>
        <w:rPr>
          <w:rFonts w:ascii="Verdana" w:eastAsia="MS Mincho" w:hAnsi="Verdana"/>
          <w:b/>
          <w:sz w:val="24"/>
          <w:lang w:val="es-CR"/>
        </w:rPr>
      </w:pPr>
      <w:r>
        <w:rPr>
          <w:rFonts w:ascii="Verdana" w:eastAsia="MS Mincho" w:hAnsi="Verdana"/>
          <w:b/>
          <w:sz w:val="24"/>
          <w:lang w:val="es-CR"/>
        </w:rPr>
        <w:t xml:space="preserve">   </w:t>
      </w:r>
      <w:bookmarkStart w:id="0" w:name="_GoBack"/>
      <w:bookmarkEnd w:id="0"/>
    </w:p>
    <w:p w14:paraId="1E17588B" w14:textId="77777777" w:rsidR="00C45F58" w:rsidRDefault="00C45F58" w:rsidP="00C45F58">
      <w:pPr>
        <w:tabs>
          <w:tab w:val="left" w:pos="567"/>
        </w:tabs>
        <w:spacing w:before="100" w:beforeAutospacing="1" w:after="0" w:line="240" w:lineRule="auto"/>
        <w:ind w:left="720"/>
        <w:contextualSpacing/>
        <w:jc w:val="center"/>
        <w:rPr>
          <w:rFonts w:ascii="Verdana" w:eastAsia="Calibri" w:hAnsi="Verdana" w:cs="Times"/>
          <w:b/>
          <w:sz w:val="20"/>
          <w:szCs w:val="20"/>
          <w:lang w:val="es-CR" w:eastAsia="es-ES"/>
        </w:rPr>
      </w:pPr>
    </w:p>
    <w:p w14:paraId="3E7CD09C" w14:textId="77777777" w:rsidR="00C45F58" w:rsidRDefault="00C45F58" w:rsidP="00C45F58">
      <w:pPr>
        <w:tabs>
          <w:tab w:val="left" w:pos="567"/>
        </w:tabs>
        <w:spacing w:before="100" w:beforeAutospacing="1" w:after="0" w:line="240" w:lineRule="auto"/>
        <w:ind w:left="720"/>
        <w:contextualSpacing/>
        <w:jc w:val="center"/>
        <w:rPr>
          <w:rFonts w:ascii="Verdana" w:eastAsia="Calibri" w:hAnsi="Verdana" w:cs="Times"/>
          <w:b/>
          <w:sz w:val="20"/>
          <w:szCs w:val="20"/>
          <w:lang w:val="es-CR" w:eastAsia="es-ES"/>
        </w:rPr>
      </w:pPr>
    </w:p>
    <w:p w14:paraId="555BCDBB" w14:textId="77777777" w:rsidR="00C45F58" w:rsidRDefault="00C45F58" w:rsidP="00C45F58">
      <w:pPr>
        <w:tabs>
          <w:tab w:val="left" w:pos="567"/>
        </w:tabs>
        <w:spacing w:before="100" w:beforeAutospacing="1" w:after="0" w:line="240" w:lineRule="auto"/>
        <w:ind w:left="720"/>
        <w:contextualSpacing/>
        <w:jc w:val="center"/>
        <w:rPr>
          <w:rFonts w:ascii="Verdana" w:eastAsia="Calibri" w:hAnsi="Verdana" w:cs="Times"/>
          <w:b/>
          <w:sz w:val="20"/>
          <w:szCs w:val="20"/>
          <w:lang w:val="es-CR" w:eastAsia="es-ES"/>
        </w:rPr>
      </w:pPr>
    </w:p>
    <w:p w14:paraId="3DF06FB3" w14:textId="77777777" w:rsidR="00C45F58" w:rsidRDefault="00C45F58" w:rsidP="00C45F58">
      <w:pPr>
        <w:tabs>
          <w:tab w:val="left" w:pos="567"/>
        </w:tabs>
        <w:spacing w:before="100" w:beforeAutospacing="1" w:after="0" w:line="240" w:lineRule="auto"/>
        <w:ind w:left="720"/>
        <w:contextualSpacing/>
        <w:jc w:val="center"/>
        <w:rPr>
          <w:rFonts w:ascii="Verdana" w:eastAsia="Calibri" w:hAnsi="Verdana" w:cs="Times"/>
          <w:b/>
          <w:sz w:val="20"/>
          <w:szCs w:val="20"/>
          <w:lang w:val="es-CR" w:eastAsia="es-ES"/>
        </w:rPr>
      </w:pPr>
    </w:p>
    <w:p w14:paraId="48184B2A" w14:textId="77777777" w:rsidR="0005341B" w:rsidRPr="0005341B" w:rsidRDefault="0005341B" w:rsidP="00C45F58">
      <w:pPr>
        <w:tabs>
          <w:tab w:val="left" w:pos="567"/>
        </w:tabs>
        <w:spacing w:before="840" w:after="0" w:line="240" w:lineRule="auto"/>
        <w:ind w:left="720"/>
        <w:contextualSpacing/>
        <w:jc w:val="center"/>
        <w:rPr>
          <w:rFonts w:ascii="Verdana" w:eastAsia="Calibri" w:hAnsi="Verdana" w:cs="Times"/>
          <w:b/>
          <w:sz w:val="20"/>
          <w:szCs w:val="20"/>
          <w:lang w:val="es-CR" w:eastAsia="es-ES"/>
        </w:rPr>
      </w:pPr>
      <w:r w:rsidRPr="0005341B">
        <w:rPr>
          <w:rFonts w:ascii="Verdana" w:eastAsia="Calibri" w:hAnsi="Verdana" w:cs="Times"/>
          <w:b/>
          <w:sz w:val="20"/>
          <w:szCs w:val="20"/>
          <w:lang w:val="es-CR" w:eastAsia="es-ES"/>
        </w:rPr>
        <w:t>RESOLUCIÓN DEL PRESIDENTE EN EJERCICIO DE LA</w:t>
      </w:r>
    </w:p>
    <w:p w14:paraId="48184B2B" w14:textId="77777777" w:rsidR="0005341B" w:rsidRPr="0005341B" w:rsidRDefault="0005341B" w:rsidP="00A579A1">
      <w:pPr>
        <w:tabs>
          <w:tab w:val="left" w:pos="567"/>
        </w:tabs>
        <w:spacing w:after="0" w:line="240" w:lineRule="auto"/>
        <w:ind w:left="720"/>
        <w:contextualSpacing/>
        <w:jc w:val="center"/>
        <w:rPr>
          <w:rFonts w:ascii="Verdana" w:eastAsia="Calibri" w:hAnsi="Verdana" w:cs="Times"/>
          <w:b/>
          <w:sz w:val="20"/>
          <w:szCs w:val="20"/>
          <w:lang w:val="es-CR" w:eastAsia="es-ES"/>
        </w:rPr>
      </w:pPr>
      <w:r w:rsidRPr="0005341B">
        <w:rPr>
          <w:rFonts w:ascii="Verdana" w:eastAsia="Calibri" w:hAnsi="Verdana" w:cs="Times"/>
          <w:b/>
          <w:sz w:val="20"/>
          <w:szCs w:val="20"/>
          <w:lang w:val="es-CR" w:eastAsia="es-ES"/>
        </w:rPr>
        <w:t>CORTE INTERAMERICANA DE DERECHOS HUMANOS</w:t>
      </w:r>
      <w:r w:rsidRPr="0005341B">
        <w:rPr>
          <w:rFonts w:ascii="Verdana" w:eastAsia="Calibri" w:hAnsi="Verdana" w:cs="Verdana"/>
          <w:b/>
          <w:sz w:val="20"/>
          <w:szCs w:val="20"/>
          <w:vertAlign w:val="superscript"/>
          <w:lang w:val="es-CR" w:eastAsia="es-ES"/>
        </w:rPr>
        <w:footnoteReference w:customMarkFollows="1" w:id="1"/>
        <w:sym w:font="Symbol" w:char="F02A"/>
      </w:r>
    </w:p>
    <w:p w14:paraId="48184B2C" w14:textId="77777777" w:rsidR="0005341B" w:rsidRPr="0005341B" w:rsidRDefault="0005341B" w:rsidP="00A579A1">
      <w:pPr>
        <w:tabs>
          <w:tab w:val="left" w:pos="567"/>
        </w:tabs>
        <w:spacing w:after="0" w:line="240" w:lineRule="auto"/>
        <w:ind w:left="720"/>
        <w:contextualSpacing/>
        <w:jc w:val="center"/>
        <w:rPr>
          <w:rFonts w:ascii="Verdana" w:eastAsia="Calibri" w:hAnsi="Verdana" w:cs="Times"/>
          <w:b/>
          <w:sz w:val="20"/>
          <w:szCs w:val="20"/>
          <w:lang w:val="es-CR" w:eastAsia="es-ES"/>
        </w:rPr>
      </w:pPr>
      <w:r w:rsidRPr="0005341B">
        <w:rPr>
          <w:rFonts w:ascii="Verdana" w:eastAsia="Calibri" w:hAnsi="Verdana" w:cs="Times"/>
          <w:b/>
          <w:sz w:val="20"/>
          <w:szCs w:val="20"/>
          <w:lang w:val="es-CR" w:eastAsia="es-ES"/>
        </w:rPr>
        <w:t>DE 23 DE MARZO DE 2018</w:t>
      </w:r>
    </w:p>
    <w:p w14:paraId="48184B2D" w14:textId="77777777" w:rsidR="0005341B" w:rsidRPr="0005341B" w:rsidRDefault="0005341B" w:rsidP="00A579A1">
      <w:pPr>
        <w:tabs>
          <w:tab w:val="left" w:pos="567"/>
        </w:tabs>
        <w:spacing w:after="0" w:line="240" w:lineRule="auto"/>
        <w:ind w:left="720"/>
        <w:contextualSpacing/>
        <w:jc w:val="center"/>
        <w:rPr>
          <w:rFonts w:ascii="Verdana" w:eastAsia="Calibri" w:hAnsi="Verdana" w:cs="Times"/>
          <w:b/>
          <w:sz w:val="20"/>
          <w:szCs w:val="20"/>
          <w:lang w:val="es-CR" w:eastAsia="es-ES"/>
        </w:rPr>
      </w:pPr>
      <w:r w:rsidRPr="0005341B">
        <w:rPr>
          <w:rFonts w:ascii="Verdana" w:eastAsia="Calibri" w:hAnsi="Verdana" w:cs="Times"/>
          <w:b/>
          <w:sz w:val="20"/>
          <w:szCs w:val="20"/>
          <w:lang w:val="es-CR" w:eastAsia="es-ES"/>
        </w:rPr>
        <w:t xml:space="preserve">CASO ALVARADO ESPINOZA Y OTROS </w:t>
      </w:r>
      <w:r w:rsidRPr="0005341B">
        <w:rPr>
          <w:rFonts w:ascii="Verdana" w:eastAsia="Calibri" w:hAnsi="Verdana" w:cs="Times"/>
          <w:b/>
          <w:i/>
          <w:sz w:val="20"/>
          <w:szCs w:val="20"/>
          <w:lang w:val="es-CR" w:eastAsia="es-ES"/>
        </w:rPr>
        <w:t>VS.</w:t>
      </w:r>
      <w:r w:rsidRPr="0005341B">
        <w:rPr>
          <w:rFonts w:ascii="Verdana" w:eastAsia="Calibri" w:hAnsi="Verdana" w:cs="Times"/>
          <w:b/>
          <w:sz w:val="20"/>
          <w:szCs w:val="20"/>
          <w:lang w:val="es-CR" w:eastAsia="es-ES"/>
        </w:rPr>
        <w:t xml:space="preserve"> MEXICO</w:t>
      </w:r>
    </w:p>
    <w:p w14:paraId="48184B2E" w14:textId="77777777" w:rsidR="0005341B" w:rsidRPr="0005341B" w:rsidRDefault="0005341B" w:rsidP="00A579A1">
      <w:pPr>
        <w:tabs>
          <w:tab w:val="left" w:pos="567"/>
        </w:tabs>
        <w:spacing w:after="0" w:line="240" w:lineRule="auto"/>
        <w:ind w:left="720"/>
        <w:contextualSpacing/>
        <w:jc w:val="center"/>
        <w:rPr>
          <w:rFonts w:ascii="Verdana" w:eastAsia="Calibri" w:hAnsi="Verdana" w:cs="Times"/>
          <w:b/>
          <w:sz w:val="20"/>
          <w:szCs w:val="20"/>
          <w:lang w:val="es-CR" w:eastAsia="es-ES"/>
        </w:rPr>
      </w:pPr>
      <w:r w:rsidRPr="0005341B">
        <w:rPr>
          <w:rFonts w:ascii="Verdana" w:eastAsia="Calibri" w:hAnsi="Verdana" w:cs="Times"/>
          <w:b/>
          <w:sz w:val="20"/>
          <w:szCs w:val="20"/>
          <w:lang w:val="es-CR" w:eastAsia="es-ES"/>
        </w:rPr>
        <w:t>CONVOCATORIA A AUDIENCIA</w:t>
      </w:r>
      <w:r w:rsidRPr="0005341B">
        <w:rPr>
          <w:rFonts w:ascii="Verdana" w:eastAsia="Calibri" w:hAnsi="Verdana" w:cstheme="minorHAnsi"/>
          <w:b/>
          <w:sz w:val="20"/>
          <w:szCs w:val="20"/>
          <w:lang w:val="es-CR" w:eastAsia="es-ES"/>
        </w:rPr>
        <w:t>.</w:t>
      </w:r>
    </w:p>
    <w:p w14:paraId="48184B30" w14:textId="77777777" w:rsidR="0005341B" w:rsidRPr="0005341B" w:rsidRDefault="0005341B" w:rsidP="00A579A1">
      <w:pPr>
        <w:tabs>
          <w:tab w:val="left" w:pos="567"/>
        </w:tabs>
        <w:spacing w:after="0" w:line="240" w:lineRule="auto"/>
        <w:ind w:left="0"/>
        <w:rPr>
          <w:rFonts w:ascii="Verdana" w:eastAsia="MS Mincho" w:hAnsi="Verdana"/>
          <w:sz w:val="20"/>
          <w:szCs w:val="20"/>
          <w:lang w:val="es-CR"/>
        </w:rPr>
      </w:pPr>
    </w:p>
    <w:p w14:paraId="48184B31" w14:textId="77777777" w:rsidR="0005341B" w:rsidRPr="0005341B" w:rsidRDefault="0005341B" w:rsidP="00A579A1">
      <w:pPr>
        <w:tabs>
          <w:tab w:val="left" w:pos="567"/>
        </w:tabs>
        <w:spacing w:after="0" w:line="240" w:lineRule="auto"/>
        <w:ind w:left="567"/>
        <w:contextualSpacing/>
        <w:rPr>
          <w:rFonts w:ascii="Verdana" w:eastAsia="Calibri" w:hAnsi="Verdana" w:cs="Times"/>
          <w:b/>
          <w:sz w:val="20"/>
          <w:szCs w:val="20"/>
          <w:lang w:val="es-CR" w:eastAsia="es-ES"/>
        </w:rPr>
      </w:pPr>
      <w:r w:rsidRPr="0005341B">
        <w:rPr>
          <w:rFonts w:ascii="Verdana" w:eastAsia="Calibri" w:hAnsi="Verdana" w:cs="Times"/>
          <w:b/>
          <w:sz w:val="20"/>
          <w:szCs w:val="20"/>
          <w:lang w:val="es-CR" w:eastAsia="es-ES"/>
        </w:rPr>
        <w:t>VISTO:</w:t>
      </w:r>
    </w:p>
    <w:p w14:paraId="48184B32" w14:textId="77777777" w:rsidR="0005341B" w:rsidRPr="0005341B" w:rsidRDefault="0005341B" w:rsidP="00A579A1">
      <w:pPr>
        <w:tabs>
          <w:tab w:val="left" w:pos="567"/>
        </w:tabs>
        <w:spacing w:after="0" w:line="240" w:lineRule="auto"/>
        <w:ind w:left="0"/>
        <w:rPr>
          <w:rFonts w:ascii="Verdana" w:eastAsia="MS Mincho" w:hAnsi="Verdana"/>
          <w:b/>
          <w:sz w:val="20"/>
          <w:szCs w:val="20"/>
          <w:lang w:val="es-CR"/>
        </w:rPr>
      </w:pPr>
    </w:p>
    <w:p w14:paraId="48184B33" w14:textId="2881F79B" w:rsidR="0005341B" w:rsidRPr="0005341B" w:rsidRDefault="0005341B" w:rsidP="003D1327">
      <w:pPr>
        <w:widowControl w:val="0"/>
        <w:numPr>
          <w:ilvl w:val="0"/>
          <w:numId w:val="1"/>
        </w:numPr>
        <w:tabs>
          <w:tab w:val="left" w:pos="540"/>
        </w:tabs>
        <w:autoSpaceDE w:val="0"/>
        <w:autoSpaceDN w:val="0"/>
        <w:adjustRightInd w:val="0"/>
        <w:spacing w:after="0" w:line="240" w:lineRule="auto"/>
        <w:ind w:left="0" w:firstLine="0"/>
        <w:contextualSpacing/>
        <w:rPr>
          <w:rFonts w:ascii="Verdana" w:eastAsia="Calibri" w:hAnsi="Verdana" w:cs="Times"/>
          <w:sz w:val="20"/>
          <w:szCs w:val="20"/>
          <w:lang w:val="es-CR" w:eastAsia="es-ES"/>
        </w:rPr>
      </w:pPr>
      <w:bookmarkStart w:id="1" w:name="_Ref393297742"/>
      <w:bookmarkStart w:id="2" w:name="_Ref352676460"/>
      <w:r w:rsidRPr="0005341B">
        <w:rPr>
          <w:rFonts w:ascii="Verdana" w:eastAsia="Calibri" w:hAnsi="Verdana" w:cs="Times"/>
          <w:sz w:val="20"/>
          <w:szCs w:val="20"/>
          <w:lang w:val="es-CR" w:eastAsia="es-ES"/>
        </w:rPr>
        <w:t xml:space="preserve">El escrito de sometimiento del </w:t>
      </w:r>
      <w:r w:rsidRPr="0005341B">
        <w:rPr>
          <w:rFonts w:ascii="Verdana" w:eastAsia="Calibri" w:hAnsi="Verdana" w:cstheme="minorHAnsi"/>
          <w:sz w:val="20"/>
          <w:szCs w:val="20"/>
          <w:lang w:val="es-CR" w:eastAsia="es-ES"/>
        </w:rPr>
        <w:t xml:space="preserve">Caso Alvarado Espinoza y Otros </w:t>
      </w:r>
      <w:r w:rsidRPr="0005341B">
        <w:rPr>
          <w:rFonts w:ascii="Verdana" w:eastAsia="Calibri" w:hAnsi="Verdana" w:cstheme="minorHAnsi"/>
          <w:i/>
          <w:sz w:val="20"/>
          <w:szCs w:val="20"/>
          <w:lang w:val="es-CR" w:eastAsia="es-ES"/>
        </w:rPr>
        <w:t>Vs</w:t>
      </w:r>
      <w:r w:rsidRPr="0005341B">
        <w:rPr>
          <w:rFonts w:ascii="Verdana" w:eastAsia="Calibri" w:hAnsi="Verdana" w:cstheme="minorHAnsi"/>
          <w:sz w:val="20"/>
          <w:szCs w:val="20"/>
          <w:lang w:val="es-CR" w:eastAsia="es-ES"/>
        </w:rPr>
        <w:t>. México</w:t>
      </w:r>
      <w:r w:rsidRPr="0005341B">
        <w:rPr>
          <w:rFonts w:ascii="Verdana" w:eastAsia="Calibri" w:hAnsi="Verdana" w:cs="Times"/>
          <w:sz w:val="20"/>
          <w:szCs w:val="20"/>
          <w:lang w:val="es-CR" w:eastAsia="es-ES"/>
        </w:rPr>
        <w:t xml:space="preserve"> y el Informe de Fondo de la Comisión Interamericana de Derechos Humanos (en adelante “la Comisión Interamericana” o “la Comisión”)</w:t>
      </w:r>
      <w:bookmarkEnd w:id="1"/>
      <w:r w:rsidRPr="0005341B">
        <w:rPr>
          <w:rFonts w:ascii="Verdana" w:eastAsia="Calibri" w:hAnsi="Verdana" w:cs="Times"/>
          <w:sz w:val="20"/>
          <w:szCs w:val="20"/>
          <w:lang w:val="es-CR" w:eastAsia="es-ES"/>
        </w:rPr>
        <w:t xml:space="preserve">; </w:t>
      </w:r>
      <w:bookmarkStart w:id="3" w:name="_Ref393297751"/>
      <w:bookmarkStart w:id="4" w:name="_Ref351983508"/>
      <w:bookmarkEnd w:id="2"/>
      <w:r w:rsidRPr="0005341B">
        <w:rPr>
          <w:rFonts w:ascii="Verdana" w:eastAsia="Calibri" w:hAnsi="Verdana" w:cs="Times"/>
          <w:sz w:val="20"/>
          <w:szCs w:val="20"/>
          <w:lang w:val="es-CR" w:eastAsia="es-ES"/>
        </w:rPr>
        <w:t xml:space="preserve">el escrito de solicitudes, argumentos y pruebas (en adelante, el “escrito de solicitudes y argumentos”) de las representantes de las presuntas víctimas (en adelante “las representantes”); y </w:t>
      </w:r>
      <w:bookmarkStart w:id="5" w:name="_Ref352676532"/>
      <w:bookmarkEnd w:id="3"/>
      <w:bookmarkEnd w:id="4"/>
      <w:r w:rsidRPr="0005341B">
        <w:rPr>
          <w:rFonts w:ascii="Verdana" w:eastAsia="Calibri" w:hAnsi="Verdana" w:cs="Times"/>
          <w:sz w:val="20"/>
          <w:szCs w:val="20"/>
          <w:lang w:val="es-CR" w:eastAsia="es-ES"/>
        </w:rPr>
        <w:t xml:space="preserve">el escrito de contestación al sometimiento del caso y al escrito de solicitudes y argumentos (en adelante “escrito de contestación”) del Estado </w:t>
      </w:r>
      <w:bookmarkEnd w:id="5"/>
      <w:r w:rsidRPr="0005341B">
        <w:rPr>
          <w:rFonts w:ascii="Verdana" w:eastAsia="Calibri" w:hAnsi="Verdana" w:cs="Times"/>
          <w:sz w:val="20"/>
          <w:szCs w:val="20"/>
          <w:lang w:val="es-ES_tradnl" w:eastAsia="es-ES"/>
        </w:rPr>
        <w:t>de los Estados Unidos Mexicanos</w:t>
      </w:r>
      <w:r w:rsidRPr="0005341B">
        <w:rPr>
          <w:rFonts w:ascii="Verdana" w:eastAsia="Calibri" w:hAnsi="Verdana" w:cs="Times"/>
          <w:b/>
          <w:sz w:val="20"/>
          <w:szCs w:val="20"/>
          <w:lang w:val="es-CR" w:eastAsia="es-ES"/>
        </w:rPr>
        <w:t xml:space="preserve"> </w:t>
      </w:r>
      <w:r w:rsidRPr="0005341B">
        <w:rPr>
          <w:rFonts w:ascii="Verdana" w:eastAsia="Calibri" w:hAnsi="Verdana" w:cs="Times"/>
          <w:sz w:val="20"/>
          <w:szCs w:val="20"/>
          <w:lang w:val="es-ES_tradnl" w:eastAsia="es-ES"/>
        </w:rPr>
        <w:t>(en adelante “México” o “el Estado”), así como los escritos de observaciones al reconocimiento parcial de responsabilidad realizado por el Estado, presentados por la Comisión y las representantes</w:t>
      </w:r>
      <w:bookmarkStart w:id="6" w:name="_Ref393297780"/>
      <w:bookmarkStart w:id="7" w:name="_Ref393920719"/>
      <w:r w:rsidRPr="0005341B">
        <w:rPr>
          <w:rFonts w:ascii="Verdana" w:eastAsia="Calibri" w:hAnsi="Verdana" w:cstheme="minorHAnsi"/>
          <w:sz w:val="20"/>
          <w:szCs w:val="20"/>
          <w:lang w:val="es-ES_tradnl" w:eastAsia="es-ES"/>
        </w:rPr>
        <w:t>;</w:t>
      </w:r>
    </w:p>
    <w:p w14:paraId="48184B34" w14:textId="77777777" w:rsidR="0005341B" w:rsidRPr="0005341B" w:rsidRDefault="0005341B" w:rsidP="00A579A1">
      <w:pPr>
        <w:widowControl w:val="0"/>
        <w:tabs>
          <w:tab w:val="left" w:pos="567"/>
        </w:tabs>
        <w:autoSpaceDE w:val="0"/>
        <w:autoSpaceDN w:val="0"/>
        <w:adjustRightInd w:val="0"/>
        <w:spacing w:after="0" w:line="240" w:lineRule="auto"/>
        <w:ind w:left="0"/>
        <w:rPr>
          <w:rFonts w:ascii="Verdana" w:eastAsia="Calibri" w:hAnsi="Verdana" w:cstheme="minorHAnsi"/>
          <w:sz w:val="20"/>
          <w:szCs w:val="20"/>
          <w:lang w:val="es-CR" w:eastAsia="es-ES"/>
        </w:rPr>
      </w:pPr>
    </w:p>
    <w:p w14:paraId="48184B35" w14:textId="77777777" w:rsidR="0005341B" w:rsidRPr="0005341B" w:rsidRDefault="0005341B" w:rsidP="003D1327">
      <w:pPr>
        <w:widowControl w:val="0"/>
        <w:numPr>
          <w:ilvl w:val="0"/>
          <w:numId w:val="1"/>
        </w:numPr>
        <w:tabs>
          <w:tab w:val="left" w:pos="540"/>
        </w:tabs>
        <w:autoSpaceDE w:val="0"/>
        <w:autoSpaceDN w:val="0"/>
        <w:adjustRightInd w:val="0"/>
        <w:spacing w:after="0" w:line="240" w:lineRule="auto"/>
        <w:ind w:left="0" w:firstLine="0"/>
        <w:contextualSpacing/>
        <w:rPr>
          <w:rFonts w:ascii="Verdana" w:eastAsia="Calibri" w:hAnsi="Verdana" w:cstheme="minorHAnsi"/>
          <w:sz w:val="20"/>
          <w:szCs w:val="20"/>
          <w:lang w:val="es-CR" w:eastAsia="es-ES"/>
        </w:rPr>
      </w:pPr>
      <w:r w:rsidRPr="0005341B">
        <w:rPr>
          <w:rFonts w:ascii="Verdana" w:eastAsia="Calibri" w:hAnsi="Verdana" w:cstheme="minorHAnsi"/>
          <w:sz w:val="20"/>
          <w:szCs w:val="20"/>
          <w:lang w:val="es-CR" w:eastAsia="es-ES"/>
        </w:rPr>
        <w:t>Lo dispuesto en los artículos 35.1.f, 40.2.c, 41.1.c, 46, 47, 48, 49, 50, 52.3 y 57 del Reglamento de la Corte Interamericana de Derechos Humanos (en adelante, “la Corte Interamericana”, “la Corte” o “el Tribunal”);</w:t>
      </w:r>
    </w:p>
    <w:p w14:paraId="48184B36" w14:textId="77777777" w:rsidR="0005341B" w:rsidRPr="0005341B" w:rsidRDefault="0005341B" w:rsidP="00A579A1">
      <w:pPr>
        <w:widowControl w:val="0"/>
        <w:tabs>
          <w:tab w:val="left" w:pos="567"/>
          <w:tab w:val="left" w:pos="7740"/>
        </w:tabs>
        <w:autoSpaceDE w:val="0"/>
        <w:autoSpaceDN w:val="0"/>
        <w:adjustRightInd w:val="0"/>
        <w:spacing w:after="0" w:line="240" w:lineRule="auto"/>
        <w:ind w:left="0"/>
        <w:rPr>
          <w:rFonts w:ascii="Verdana" w:eastAsia="Calibri" w:hAnsi="Verdana" w:cs="Times"/>
          <w:sz w:val="20"/>
          <w:szCs w:val="20"/>
          <w:lang w:val="es-CR" w:eastAsia="es-ES"/>
        </w:rPr>
      </w:pPr>
    </w:p>
    <w:p w14:paraId="48184B37" w14:textId="38B31731" w:rsidR="0005341B" w:rsidRPr="0005341B" w:rsidRDefault="0005341B" w:rsidP="003D1327">
      <w:pPr>
        <w:widowControl w:val="0"/>
        <w:numPr>
          <w:ilvl w:val="0"/>
          <w:numId w:val="1"/>
        </w:numPr>
        <w:tabs>
          <w:tab w:val="left" w:pos="540"/>
          <w:tab w:val="left" w:pos="7740"/>
        </w:tabs>
        <w:autoSpaceDE w:val="0"/>
        <w:autoSpaceDN w:val="0"/>
        <w:adjustRightInd w:val="0"/>
        <w:spacing w:after="0" w:line="240" w:lineRule="auto"/>
        <w:ind w:left="0" w:firstLine="0"/>
        <w:contextualSpacing/>
        <w:rPr>
          <w:rFonts w:ascii="Verdana" w:eastAsia="Calibri" w:hAnsi="Verdana" w:cstheme="minorHAnsi"/>
          <w:sz w:val="20"/>
          <w:szCs w:val="20"/>
          <w:lang w:val="es-CR" w:eastAsia="es-ES"/>
        </w:rPr>
      </w:pPr>
      <w:r w:rsidRPr="0005341B">
        <w:rPr>
          <w:rFonts w:ascii="Verdana" w:eastAsia="Calibri" w:hAnsi="Verdana" w:cs="Times"/>
          <w:sz w:val="20"/>
          <w:szCs w:val="20"/>
          <w:lang w:val="es-CR" w:eastAsia="es-ES"/>
        </w:rPr>
        <w:t>Las listas definitivas de declarantes presentadas por las representantes el 15 de enero de 2018</w:t>
      </w:r>
      <w:r w:rsidR="00677498">
        <w:rPr>
          <w:rFonts w:ascii="Verdana" w:eastAsia="Calibri" w:hAnsi="Verdana" w:cs="Times"/>
          <w:sz w:val="20"/>
          <w:szCs w:val="20"/>
          <w:lang w:val="es-CR" w:eastAsia="es-ES"/>
        </w:rPr>
        <w:t>,</w:t>
      </w:r>
      <w:r w:rsidRPr="0005341B">
        <w:rPr>
          <w:rFonts w:ascii="Verdana" w:eastAsia="Calibri" w:hAnsi="Verdana" w:cs="Times"/>
          <w:sz w:val="20"/>
          <w:szCs w:val="20"/>
          <w:lang w:val="es-CR" w:eastAsia="es-ES"/>
        </w:rPr>
        <w:t>por la Comisión el 12 de enero de 2018 y por el Estado el 15 de enero de 2018</w:t>
      </w:r>
      <w:r w:rsidRPr="0005341B">
        <w:rPr>
          <w:rFonts w:ascii="Verdana" w:eastAsia="Calibri" w:hAnsi="Verdana" w:cstheme="minorHAnsi"/>
          <w:sz w:val="20"/>
          <w:szCs w:val="20"/>
          <w:lang w:val="es-CR" w:eastAsia="es-ES"/>
        </w:rPr>
        <w:t>, así como</w:t>
      </w:r>
      <w:r w:rsidRPr="0005341B">
        <w:rPr>
          <w:rFonts w:ascii="Verdana" w:eastAsia="Calibri" w:hAnsi="Verdana" w:cs="Times"/>
          <w:sz w:val="20"/>
          <w:szCs w:val="20"/>
          <w:lang w:val="es-CR" w:eastAsia="es-ES"/>
        </w:rPr>
        <w:t xml:space="preserve"> las correspondientes observaciones del Estado y </w:t>
      </w:r>
      <w:r w:rsidRPr="0005341B">
        <w:rPr>
          <w:rFonts w:ascii="Verdana" w:eastAsia="Calibri" w:hAnsi="Verdana" w:cstheme="minorHAnsi"/>
          <w:sz w:val="20"/>
          <w:szCs w:val="20"/>
          <w:lang w:val="es-CR" w:eastAsia="es-ES"/>
        </w:rPr>
        <w:t xml:space="preserve">de </w:t>
      </w:r>
      <w:r w:rsidRPr="0005341B">
        <w:rPr>
          <w:rFonts w:ascii="Verdana" w:eastAsia="Calibri" w:hAnsi="Verdana" w:cs="Times"/>
          <w:sz w:val="20"/>
          <w:szCs w:val="20"/>
          <w:lang w:val="es-CR" w:eastAsia="es-ES"/>
        </w:rPr>
        <w:t>las representantes a dichas listas</w:t>
      </w:r>
      <w:bookmarkEnd w:id="6"/>
      <w:bookmarkEnd w:id="7"/>
      <w:r w:rsidRPr="0005341B">
        <w:rPr>
          <w:rFonts w:ascii="Verdana" w:eastAsia="Calibri" w:hAnsi="Verdana" w:cstheme="minorHAnsi"/>
          <w:sz w:val="20"/>
          <w:szCs w:val="20"/>
          <w:lang w:val="es-CR" w:eastAsia="es-ES"/>
        </w:rPr>
        <w:t xml:space="preserve"> y el señalamiento de la </w:t>
      </w:r>
      <w:r w:rsidRPr="0005341B">
        <w:rPr>
          <w:rFonts w:ascii="Verdana" w:eastAsia="Calibri" w:hAnsi="Verdana" w:cs="Times"/>
          <w:sz w:val="20"/>
          <w:szCs w:val="20"/>
          <w:lang w:val="es-CR" w:eastAsia="es-ES"/>
        </w:rPr>
        <w:t>Comisión</w:t>
      </w:r>
      <w:r w:rsidRPr="0005341B">
        <w:rPr>
          <w:rFonts w:ascii="Verdana" w:eastAsia="Calibri" w:hAnsi="Verdana" w:cstheme="minorHAnsi"/>
          <w:sz w:val="20"/>
          <w:szCs w:val="20"/>
          <w:lang w:val="es-CR" w:eastAsia="es-ES"/>
        </w:rPr>
        <w:t xml:space="preserve"> en cuanto a</w:t>
      </w:r>
      <w:r w:rsidRPr="0005341B">
        <w:rPr>
          <w:rFonts w:ascii="Verdana" w:eastAsia="Calibri" w:hAnsi="Verdana" w:cs="Times"/>
          <w:sz w:val="20"/>
          <w:szCs w:val="20"/>
          <w:lang w:val="es-CR" w:eastAsia="es-ES"/>
        </w:rPr>
        <w:t xml:space="preserve"> que “no tiene observaciones” a las listas de referencia</w:t>
      </w:r>
      <w:r w:rsidRPr="0005341B">
        <w:rPr>
          <w:rFonts w:ascii="Verdana" w:eastAsia="Calibri" w:hAnsi="Verdana" w:cstheme="minorHAnsi"/>
          <w:sz w:val="20"/>
          <w:szCs w:val="20"/>
          <w:lang w:val="es-CR" w:eastAsia="es-ES"/>
        </w:rPr>
        <w:t xml:space="preserve">; </w:t>
      </w:r>
    </w:p>
    <w:p w14:paraId="48184B38" w14:textId="77777777" w:rsidR="0005341B" w:rsidRPr="0005341B" w:rsidRDefault="0005341B" w:rsidP="00A579A1">
      <w:pPr>
        <w:widowControl w:val="0"/>
        <w:tabs>
          <w:tab w:val="left" w:pos="567"/>
          <w:tab w:val="left" w:pos="7740"/>
        </w:tabs>
        <w:autoSpaceDE w:val="0"/>
        <w:autoSpaceDN w:val="0"/>
        <w:adjustRightInd w:val="0"/>
        <w:spacing w:after="0" w:line="240" w:lineRule="auto"/>
        <w:ind w:left="0"/>
        <w:rPr>
          <w:rFonts w:ascii="Verdana" w:eastAsia="Calibri" w:hAnsi="Verdana" w:cstheme="minorHAnsi"/>
          <w:sz w:val="20"/>
          <w:szCs w:val="20"/>
          <w:lang w:val="es-CR" w:eastAsia="es-ES"/>
        </w:rPr>
      </w:pPr>
    </w:p>
    <w:p w14:paraId="48184B39" w14:textId="7F68FE19" w:rsidR="0005341B" w:rsidRPr="0005341B" w:rsidRDefault="0005341B" w:rsidP="003D1327">
      <w:pPr>
        <w:widowControl w:val="0"/>
        <w:numPr>
          <w:ilvl w:val="0"/>
          <w:numId w:val="1"/>
        </w:numPr>
        <w:tabs>
          <w:tab w:val="left" w:pos="540"/>
          <w:tab w:val="left" w:pos="7740"/>
        </w:tabs>
        <w:autoSpaceDE w:val="0"/>
        <w:autoSpaceDN w:val="0"/>
        <w:adjustRightInd w:val="0"/>
        <w:spacing w:after="0" w:line="240" w:lineRule="auto"/>
        <w:ind w:left="0" w:firstLine="0"/>
        <w:contextualSpacing/>
        <w:rPr>
          <w:rFonts w:ascii="Verdana" w:eastAsia="Calibri" w:hAnsi="Verdana" w:cstheme="minorHAnsi"/>
          <w:sz w:val="20"/>
          <w:szCs w:val="20"/>
          <w:lang w:val="es-CR" w:eastAsia="es-ES"/>
        </w:rPr>
      </w:pPr>
      <w:r w:rsidRPr="0005341B">
        <w:rPr>
          <w:rFonts w:ascii="Verdana" w:eastAsia="Calibri" w:hAnsi="Verdana" w:cstheme="minorHAnsi"/>
          <w:sz w:val="20"/>
          <w:szCs w:val="20"/>
          <w:lang w:val="es-ES_tradnl" w:eastAsia="es-ES"/>
        </w:rPr>
        <w:t xml:space="preserve">Los ofrecimientos, como pruebas, por parte de la Comisión, de </w:t>
      </w:r>
      <w:r w:rsidRPr="0005341B">
        <w:rPr>
          <w:rFonts w:ascii="Verdana" w:eastAsia="Calibri" w:hAnsi="Verdana" w:cs="Times"/>
          <w:sz w:val="20"/>
          <w:szCs w:val="20"/>
          <w:lang w:val="es-ES_tradnl" w:eastAsia="es-ES"/>
        </w:rPr>
        <w:t>un</w:t>
      </w:r>
      <w:r w:rsidRPr="0005341B">
        <w:rPr>
          <w:rFonts w:ascii="Verdana" w:eastAsia="Calibri" w:hAnsi="Verdana" w:cs="Times"/>
          <w:b/>
          <w:sz w:val="20"/>
          <w:szCs w:val="20"/>
          <w:lang w:val="es-CR" w:eastAsia="es-ES"/>
        </w:rPr>
        <w:t xml:space="preserve"> </w:t>
      </w:r>
      <w:r w:rsidRPr="0005341B">
        <w:rPr>
          <w:rFonts w:ascii="Verdana" w:eastAsia="Calibri" w:hAnsi="Verdana" w:cs="Times"/>
          <w:sz w:val="20"/>
          <w:szCs w:val="20"/>
          <w:lang w:val="es-CR" w:eastAsia="es-ES"/>
        </w:rPr>
        <w:t>dictamen</w:t>
      </w:r>
      <w:r w:rsidRPr="0005341B">
        <w:rPr>
          <w:rFonts w:ascii="Verdana" w:eastAsia="Calibri" w:hAnsi="Verdana" w:cs="Times"/>
          <w:b/>
          <w:sz w:val="20"/>
          <w:szCs w:val="20"/>
          <w:lang w:val="es-CR" w:eastAsia="es-ES"/>
        </w:rPr>
        <w:t xml:space="preserve"> </w:t>
      </w:r>
      <w:r w:rsidRPr="0005341B">
        <w:rPr>
          <w:rFonts w:ascii="Verdana" w:eastAsia="Calibri" w:hAnsi="Verdana" w:cs="Times"/>
          <w:sz w:val="20"/>
          <w:szCs w:val="20"/>
          <w:lang w:val="es-ES_tradnl" w:eastAsia="es-ES"/>
        </w:rPr>
        <w:t>pericial</w:t>
      </w:r>
      <w:r w:rsidRPr="0005341B">
        <w:rPr>
          <w:rFonts w:ascii="Verdana" w:eastAsia="Calibri" w:hAnsi="Verdana" w:cstheme="minorHAnsi"/>
          <w:sz w:val="20"/>
          <w:szCs w:val="20"/>
          <w:lang w:val="es-ES_tradnl" w:eastAsia="es-ES"/>
        </w:rPr>
        <w:t xml:space="preserve">; por las representantes, de dieciséis declaraciones testimoniales y de </w:t>
      </w:r>
      <w:r w:rsidRPr="0005341B">
        <w:rPr>
          <w:rFonts w:ascii="Verdana" w:eastAsia="Calibri" w:hAnsi="Verdana" w:cs="Times"/>
          <w:sz w:val="20"/>
          <w:szCs w:val="20"/>
          <w:lang w:val="es-CR" w:eastAsia="es-ES"/>
        </w:rPr>
        <w:t>cinco</w:t>
      </w:r>
      <w:r w:rsidRPr="0005341B">
        <w:rPr>
          <w:rFonts w:ascii="Verdana" w:eastAsia="Calibri" w:hAnsi="Verdana" w:cs="Times"/>
          <w:b/>
          <w:sz w:val="20"/>
          <w:szCs w:val="20"/>
          <w:lang w:val="es-CR" w:eastAsia="es-ES"/>
        </w:rPr>
        <w:t xml:space="preserve"> </w:t>
      </w:r>
      <w:r w:rsidRPr="0005341B">
        <w:rPr>
          <w:rFonts w:ascii="Verdana" w:eastAsia="Calibri" w:hAnsi="Verdana" w:cs="Times"/>
          <w:sz w:val="20"/>
          <w:szCs w:val="20"/>
          <w:lang w:val="es-CR" w:eastAsia="es-ES"/>
        </w:rPr>
        <w:t>dictámenes</w:t>
      </w:r>
      <w:r w:rsidRPr="0005341B">
        <w:rPr>
          <w:rFonts w:ascii="Verdana" w:eastAsia="Calibri" w:hAnsi="Verdana" w:cs="Times"/>
          <w:b/>
          <w:sz w:val="20"/>
          <w:szCs w:val="20"/>
          <w:lang w:val="es-CR" w:eastAsia="es-ES"/>
        </w:rPr>
        <w:t xml:space="preserve"> </w:t>
      </w:r>
      <w:r w:rsidRPr="0005341B">
        <w:rPr>
          <w:rFonts w:ascii="Verdana" w:eastAsia="Calibri" w:hAnsi="Verdana" w:cs="Times"/>
          <w:sz w:val="20"/>
          <w:szCs w:val="20"/>
          <w:lang w:val="es-ES_tradnl" w:eastAsia="es-ES"/>
        </w:rPr>
        <w:t>periciales</w:t>
      </w:r>
      <w:r w:rsidRPr="0005341B">
        <w:rPr>
          <w:rFonts w:ascii="Verdana" w:eastAsia="Calibri" w:hAnsi="Verdana" w:cstheme="minorHAnsi"/>
          <w:sz w:val="20"/>
          <w:szCs w:val="20"/>
          <w:lang w:val="es-ES_tradnl" w:eastAsia="es-ES"/>
        </w:rPr>
        <w:t xml:space="preserve">; y por el Estado, de un dictamen pericial y de </w:t>
      </w:r>
      <w:r w:rsidRPr="0005341B">
        <w:rPr>
          <w:rFonts w:ascii="Verdana" w:eastAsia="Calibri" w:hAnsi="Verdana" w:cstheme="minorHAnsi"/>
          <w:sz w:val="20"/>
          <w:szCs w:val="20"/>
          <w:lang w:val="es-CR" w:eastAsia="es-ES"/>
        </w:rPr>
        <w:t>nueve</w:t>
      </w:r>
      <w:r w:rsidRPr="0005341B">
        <w:rPr>
          <w:rFonts w:ascii="Verdana" w:eastAsia="Calibri" w:hAnsi="Verdana" w:cstheme="minorHAnsi"/>
          <w:b/>
          <w:sz w:val="20"/>
          <w:szCs w:val="20"/>
          <w:lang w:val="es-CR" w:eastAsia="es-ES"/>
        </w:rPr>
        <w:t xml:space="preserve"> </w:t>
      </w:r>
      <w:r w:rsidRPr="0005341B">
        <w:rPr>
          <w:rFonts w:ascii="Verdana" w:eastAsia="Calibri" w:hAnsi="Verdana" w:cstheme="minorHAnsi"/>
          <w:sz w:val="20"/>
          <w:szCs w:val="20"/>
          <w:lang w:val="es-ES_tradnl" w:eastAsia="es-ES"/>
        </w:rPr>
        <w:t>declaraciones testimoniales</w:t>
      </w:r>
      <w:r w:rsidRPr="0005341B">
        <w:rPr>
          <w:rFonts w:ascii="Verdana" w:eastAsia="Calibri" w:hAnsi="Verdana" w:cstheme="minorHAnsi"/>
          <w:sz w:val="20"/>
          <w:szCs w:val="20"/>
          <w:vertAlign w:val="superscript"/>
          <w:lang w:val="es-ES_tradnl" w:eastAsia="es-ES"/>
        </w:rPr>
        <w:footnoteReference w:id="2"/>
      </w:r>
      <w:r w:rsidRPr="0005341B">
        <w:rPr>
          <w:rFonts w:ascii="Verdana" w:eastAsia="Calibri" w:hAnsi="Verdana" w:cstheme="minorHAnsi"/>
          <w:sz w:val="20"/>
          <w:szCs w:val="20"/>
          <w:lang w:val="es-ES_tradnl" w:eastAsia="es-ES"/>
        </w:rPr>
        <w:t xml:space="preserve">; </w:t>
      </w:r>
    </w:p>
    <w:p w14:paraId="48184B3A" w14:textId="77777777" w:rsidR="0005341B" w:rsidRPr="0005341B" w:rsidRDefault="0005341B" w:rsidP="00A579A1">
      <w:pPr>
        <w:spacing w:after="0" w:line="240" w:lineRule="auto"/>
        <w:ind w:left="0"/>
        <w:contextualSpacing/>
        <w:rPr>
          <w:rFonts w:ascii="Verdana" w:eastAsia="Calibri" w:hAnsi="Verdana" w:cstheme="minorHAnsi"/>
          <w:sz w:val="20"/>
          <w:szCs w:val="20"/>
          <w:lang w:val="es-CR" w:eastAsia="es-ES"/>
        </w:rPr>
      </w:pPr>
    </w:p>
    <w:p w14:paraId="48184B3B" w14:textId="405B0D21" w:rsidR="0005341B" w:rsidRPr="0005341B" w:rsidRDefault="0005341B" w:rsidP="003D1327">
      <w:pPr>
        <w:widowControl w:val="0"/>
        <w:numPr>
          <w:ilvl w:val="0"/>
          <w:numId w:val="1"/>
        </w:numPr>
        <w:tabs>
          <w:tab w:val="left" w:pos="540"/>
          <w:tab w:val="left" w:pos="810"/>
        </w:tabs>
        <w:autoSpaceDE w:val="0"/>
        <w:autoSpaceDN w:val="0"/>
        <w:adjustRightInd w:val="0"/>
        <w:spacing w:after="0" w:line="240" w:lineRule="auto"/>
        <w:ind w:left="0" w:firstLine="0"/>
        <w:contextualSpacing/>
        <w:rPr>
          <w:rFonts w:ascii="Verdana" w:eastAsia="Times New Roman" w:hAnsi="Verdana" w:cstheme="minorHAnsi"/>
          <w:sz w:val="20"/>
          <w:szCs w:val="20"/>
          <w:lang w:eastAsia="es-ES"/>
        </w:rPr>
      </w:pPr>
      <w:r w:rsidRPr="0005341B">
        <w:rPr>
          <w:rFonts w:ascii="Verdana" w:eastAsia="Calibri" w:hAnsi="Verdana" w:cstheme="minorHAnsi"/>
          <w:sz w:val="20"/>
          <w:szCs w:val="20"/>
          <w:lang w:val="es-ES_tradnl" w:eastAsia="es-ES"/>
        </w:rPr>
        <w:t>La solicitud de las representantes de sustitución de uno de los peritos propuestos</w:t>
      </w:r>
      <w:r w:rsidRPr="0005341B">
        <w:rPr>
          <w:rFonts w:ascii="Verdana" w:eastAsia="Calibri" w:hAnsi="Verdana" w:cstheme="minorHAnsi"/>
          <w:sz w:val="20"/>
          <w:szCs w:val="20"/>
          <w:vertAlign w:val="superscript"/>
          <w:lang w:val="es-ES_tradnl" w:eastAsia="es-ES"/>
        </w:rPr>
        <w:footnoteReference w:id="3"/>
      </w:r>
      <w:r w:rsidRPr="0005341B">
        <w:rPr>
          <w:rFonts w:ascii="Verdana" w:eastAsia="Calibri" w:hAnsi="Verdana" w:cstheme="minorHAnsi"/>
          <w:sz w:val="20"/>
          <w:szCs w:val="20"/>
          <w:lang w:val="es-ES_tradnl" w:eastAsia="es-ES"/>
        </w:rPr>
        <w:t>;</w:t>
      </w:r>
    </w:p>
    <w:p w14:paraId="48184B3C" w14:textId="77777777" w:rsidR="0005341B" w:rsidRPr="0005341B" w:rsidRDefault="0005341B" w:rsidP="00A579A1">
      <w:pPr>
        <w:widowControl w:val="0"/>
        <w:tabs>
          <w:tab w:val="left" w:pos="567"/>
          <w:tab w:val="left" w:pos="810"/>
        </w:tabs>
        <w:autoSpaceDE w:val="0"/>
        <w:autoSpaceDN w:val="0"/>
        <w:adjustRightInd w:val="0"/>
        <w:spacing w:after="0" w:line="276" w:lineRule="auto"/>
        <w:ind w:left="0"/>
        <w:rPr>
          <w:rFonts w:ascii="Verdana" w:eastAsia="MS Mincho" w:hAnsi="Verdana"/>
          <w:sz w:val="20"/>
          <w:szCs w:val="20"/>
        </w:rPr>
      </w:pPr>
    </w:p>
    <w:p w14:paraId="48184B3D" w14:textId="504FFACA" w:rsidR="0005341B" w:rsidRPr="0005341B" w:rsidRDefault="0005341B" w:rsidP="003D1327">
      <w:pPr>
        <w:widowControl w:val="0"/>
        <w:numPr>
          <w:ilvl w:val="0"/>
          <w:numId w:val="1"/>
        </w:numPr>
        <w:tabs>
          <w:tab w:val="left" w:pos="540"/>
          <w:tab w:val="left" w:pos="810"/>
        </w:tabs>
        <w:autoSpaceDE w:val="0"/>
        <w:autoSpaceDN w:val="0"/>
        <w:adjustRightInd w:val="0"/>
        <w:spacing w:after="0" w:line="240" w:lineRule="auto"/>
        <w:ind w:left="0" w:firstLine="0"/>
        <w:contextualSpacing/>
        <w:rPr>
          <w:rFonts w:ascii="Verdana" w:eastAsia="Times New Roman" w:hAnsi="Verdana" w:cstheme="minorHAnsi"/>
          <w:sz w:val="20"/>
          <w:szCs w:val="20"/>
          <w:lang w:eastAsia="es-ES"/>
        </w:rPr>
      </w:pPr>
      <w:r w:rsidRPr="0005341B">
        <w:rPr>
          <w:rFonts w:ascii="Verdana" w:eastAsia="Calibri" w:hAnsi="Verdana" w:cs="Times"/>
          <w:sz w:val="20"/>
          <w:szCs w:val="20"/>
          <w:lang w:val="es-CR" w:eastAsia="es-ES"/>
        </w:rPr>
        <w:t xml:space="preserve">La </w:t>
      </w:r>
      <w:r w:rsidRPr="0005341B">
        <w:rPr>
          <w:rFonts w:ascii="Verdana" w:eastAsia="Calibri" w:hAnsi="Verdana" w:cstheme="minorHAnsi"/>
          <w:sz w:val="20"/>
          <w:szCs w:val="20"/>
          <w:lang w:val="es-CR" w:eastAsia="es-ES"/>
        </w:rPr>
        <w:t>recusación, por parte de las</w:t>
      </w:r>
      <w:r w:rsidRPr="0005341B">
        <w:rPr>
          <w:rFonts w:ascii="Verdana" w:eastAsia="Calibri" w:hAnsi="Verdana" w:cstheme="minorHAnsi"/>
          <w:b/>
          <w:sz w:val="20"/>
          <w:szCs w:val="20"/>
          <w:lang w:val="es-CR" w:eastAsia="es-ES"/>
        </w:rPr>
        <w:t xml:space="preserve"> </w:t>
      </w:r>
      <w:r w:rsidRPr="0005341B">
        <w:rPr>
          <w:rFonts w:ascii="Verdana" w:eastAsia="Calibri" w:hAnsi="Verdana" w:cstheme="minorHAnsi"/>
          <w:sz w:val="20"/>
          <w:szCs w:val="20"/>
          <w:lang w:val="es-CR" w:eastAsia="es-ES"/>
        </w:rPr>
        <w:t>representantes</w:t>
      </w:r>
      <w:r w:rsidRPr="0005341B">
        <w:rPr>
          <w:rFonts w:ascii="Verdana" w:eastAsia="Calibri" w:hAnsi="Verdana" w:cstheme="minorHAnsi"/>
          <w:b/>
          <w:sz w:val="20"/>
          <w:szCs w:val="20"/>
          <w:lang w:val="es-CR" w:eastAsia="es-ES"/>
        </w:rPr>
        <w:t xml:space="preserve"> </w:t>
      </w:r>
      <w:r w:rsidRPr="0005341B">
        <w:rPr>
          <w:rFonts w:ascii="Verdana" w:eastAsia="Times New Roman" w:hAnsi="Verdana" w:cstheme="minorHAnsi"/>
          <w:sz w:val="20"/>
          <w:szCs w:val="20"/>
          <w:lang w:eastAsia="es-ES"/>
        </w:rPr>
        <w:t>del</w:t>
      </w:r>
      <w:r w:rsidRPr="0005341B">
        <w:rPr>
          <w:rFonts w:ascii="Verdana" w:eastAsia="Calibri" w:hAnsi="Verdana" w:cs="Times"/>
          <w:sz w:val="20"/>
          <w:szCs w:val="20"/>
          <w:lang w:eastAsia="es-ES"/>
        </w:rPr>
        <w:t xml:space="preserve"> perito ofrecido por el Estado, el señor Carlos Rodríguez Ulloa</w:t>
      </w:r>
      <w:r w:rsidRPr="0005341B">
        <w:rPr>
          <w:rFonts w:ascii="Verdana" w:eastAsia="Times New Roman" w:hAnsi="Verdana" w:cstheme="minorHAnsi"/>
          <w:sz w:val="20"/>
          <w:szCs w:val="20"/>
          <w:lang w:eastAsia="es-ES"/>
        </w:rPr>
        <w:t xml:space="preserve">; y las observaciones del Estado respecto de </w:t>
      </w:r>
      <w:r w:rsidRPr="0005341B">
        <w:rPr>
          <w:rFonts w:ascii="Verdana" w:eastAsia="Calibri" w:hAnsi="Verdana" w:cstheme="minorHAnsi"/>
          <w:sz w:val="20"/>
          <w:szCs w:val="20"/>
          <w:lang w:val="es-CR" w:eastAsia="es-ES"/>
        </w:rPr>
        <w:t>cinco declaraciones y dos dictámenes periciales ofrecidos por las representantes</w:t>
      </w:r>
      <w:r w:rsidRPr="0005341B">
        <w:rPr>
          <w:rFonts w:ascii="Verdana" w:eastAsia="Times New Roman" w:hAnsi="Verdana" w:cstheme="minorHAnsi"/>
          <w:sz w:val="20"/>
          <w:szCs w:val="20"/>
          <w:lang w:val="es-ES_tradnl" w:eastAsia="es-ES"/>
        </w:rPr>
        <w:t>, así como su</w:t>
      </w:r>
      <w:r w:rsidRPr="0005341B">
        <w:rPr>
          <w:rFonts w:ascii="Verdana" w:eastAsia="Calibri" w:hAnsi="Verdana" w:cs="Times"/>
          <w:sz w:val="20"/>
          <w:szCs w:val="20"/>
          <w:lang w:val="es-ES_tradnl" w:eastAsia="es-ES"/>
        </w:rPr>
        <w:t xml:space="preserve"> objeción respecto a la sustitución de un perito propuesto por dichos representantes</w:t>
      </w:r>
      <w:r w:rsidRPr="0005341B">
        <w:rPr>
          <w:rFonts w:ascii="Verdana" w:eastAsia="Times New Roman" w:hAnsi="Verdana" w:cstheme="minorHAnsi"/>
          <w:sz w:val="20"/>
          <w:szCs w:val="20"/>
          <w:lang w:val="es-ES_tradnl" w:eastAsia="es-ES"/>
        </w:rPr>
        <w:t>;</w:t>
      </w:r>
      <w:r w:rsidRPr="0005341B">
        <w:rPr>
          <w:rFonts w:ascii="Verdana" w:eastAsia="Calibri" w:hAnsi="Verdana" w:cstheme="minorHAnsi"/>
          <w:sz w:val="20"/>
          <w:szCs w:val="20"/>
          <w:lang w:val="es-CR" w:eastAsia="es-ES"/>
        </w:rPr>
        <w:t xml:space="preserve"> </w:t>
      </w:r>
      <w:r w:rsidRPr="0005341B">
        <w:rPr>
          <w:rFonts w:ascii="Verdana" w:eastAsia="Times New Roman" w:hAnsi="Verdana" w:cstheme="minorHAnsi"/>
          <w:sz w:val="20"/>
          <w:szCs w:val="20"/>
          <w:lang w:val="es-ES_tradnl" w:eastAsia="es-ES"/>
        </w:rPr>
        <w:t xml:space="preserve"> </w:t>
      </w:r>
    </w:p>
    <w:p w14:paraId="48184B3E" w14:textId="77777777" w:rsidR="0005341B" w:rsidRPr="0005341B" w:rsidRDefault="0005341B" w:rsidP="00A579A1">
      <w:pPr>
        <w:widowControl w:val="0"/>
        <w:tabs>
          <w:tab w:val="left" w:pos="567"/>
          <w:tab w:val="left" w:pos="810"/>
        </w:tabs>
        <w:autoSpaceDE w:val="0"/>
        <w:autoSpaceDN w:val="0"/>
        <w:adjustRightInd w:val="0"/>
        <w:spacing w:after="0" w:line="240" w:lineRule="auto"/>
        <w:ind w:left="0"/>
        <w:rPr>
          <w:rFonts w:ascii="Verdana" w:eastAsia="Times New Roman" w:hAnsi="Verdana" w:cstheme="minorHAnsi"/>
          <w:sz w:val="20"/>
          <w:szCs w:val="20"/>
        </w:rPr>
      </w:pPr>
    </w:p>
    <w:p w14:paraId="48184B3F" w14:textId="7BB2E174" w:rsidR="0005341B" w:rsidRPr="0005341B" w:rsidRDefault="0005341B" w:rsidP="003D1327">
      <w:pPr>
        <w:widowControl w:val="0"/>
        <w:numPr>
          <w:ilvl w:val="0"/>
          <w:numId w:val="1"/>
        </w:numPr>
        <w:tabs>
          <w:tab w:val="left" w:pos="720"/>
          <w:tab w:val="left" w:pos="810"/>
        </w:tabs>
        <w:autoSpaceDE w:val="0"/>
        <w:autoSpaceDN w:val="0"/>
        <w:adjustRightInd w:val="0"/>
        <w:spacing w:after="0" w:line="240" w:lineRule="auto"/>
        <w:ind w:left="0" w:firstLine="0"/>
        <w:contextualSpacing/>
        <w:rPr>
          <w:rFonts w:ascii="Verdana" w:eastAsia="Calibri" w:hAnsi="Verdana" w:cs="Times"/>
          <w:sz w:val="20"/>
          <w:szCs w:val="20"/>
          <w:lang w:eastAsia="es-ES"/>
        </w:rPr>
      </w:pPr>
      <w:r w:rsidRPr="0005341B">
        <w:rPr>
          <w:rFonts w:ascii="Verdana" w:eastAsia="Times New Roman" w:hAnsi="Verdana" w:cstheme="minorHAnsi"/>
          <w:sz w:val="20"/>
          <w:szCs w:val="20"/>
          <w:lang w:val="es-ES_tradnl" w:eastAsia="es-ES"/>
        </w:rPr>
        <w:lastRenderedPageBreak/>
        <w:t xml:space="preserve">La solicitud de la Comisión </w:t>
      </w:r>
      <w:r w:rsidRPr="0005341B">
        <w:rPr>
          <w:rFonts w:ascii="Verdana" w:eastAsia="Calibri" w:hAnsi="Verdana" w:cs="Times"/>
          <w:sz w:val="20"/>
          <w:szCs w:val="20"/>
          <w:lang w:val="es-ES_tradnl" w:eastAsia="es-ES"/>
        </w:rPr>
        <w:t>de formular preguntas a tres peritos propuestos por las representantes</w:t>
      </w:r>
      <w:r w:rsidRPr="0005341B">
        <w:rPr>
          <w:rFonts w:ascii="Verdana" w:eastAsia="Times New Roman" w:hAnsi="Verdana" w:cstheme="minorHAnsi"/>
          <w:sz w:val="20"/>
          <w:szCs w:val="20"/>
          <w:lang w:val="es-ES_tradnl" w:eastAsia="es-ES"/>
        </w:rPr>
        <w:t xml:space="preserve"> y la circunstancia de que no realizó observaciones a las listas definitivas de las partes;</w:t>
      </w:r>
      <w:r w:rsidRPr="0005341B">
        <w:rPr>
          <w:rFonts w:ascii="Verdana" w:eastAsia="Calibri" w:hAnsi="Verdana" w:cs="Times"/>
          <w:sz w:val="20"/>
          <w:szCs w:val="20"/>
          <w:lang w:val="es-ES_tradnl" w:eastAsia="es-ES"/>
        </w:rPr>
        <w:t xml:space="preserve"> </w:t>
      </w:r>
    </w:p>
    <w:p w14:paraId="48184B41" w14:textId="51CA7780" w:rsidR="0005341B" w:rsidRPr="0005341B" w:rsidRDefault="0005341B" w:rsidP="003D1327">
      <w:pPr>
        <w:numPr>
          <w:ilvl w:val="0"/>
          <w:numId w:val="1"/>
        </w:numPr>
        <w:tabs>
          <w:tab w:val="left" w:pos="720"/>
        </w:tabs>
        <w:spacing w:after="0" w:line="240" w:lineRule="auto"/>
        <w:ind w:left="0" w:firstLine="0"/>
        <w:contextualSpacing/>
        <w:rPr>
          <w:rFonts w:ascii="Verdana" w:eastAsia="Calibri" w:hAnsi="Verdana" w:cs="Times"/>
          <w:sz w:val="20"/>
          <w:szCs w:val="20"/>
          <w:lang w:val="es-ES_tradnl" w:eastAsia="es-ES"/>
        </w:rPr>
      </w:pPr>
      <w:r w:rsidRPr="0005341B">
        <w:rPr>
          <w:rFonts w:ascii="Verdana" w:eastAsia="Calibri" w:hAnsi="Verdana" w:cs="Times"/>
          <w:sz w:val="20"/>
          <w:szCs w:val="20"/>
          <w:lang w:val="es-CR" w:eastAsia="es-ES"/>
        </w:rPr>
        <w:t>La comunicación del Estado de 22 de enero de 2018, en la que solicitó a la Corte la remoción de dos de los declarantes propuestos en su lista definitiva de 15 de enero de 2018</w:t>
      </w:r>
      <w:r w:rsidRPr="0005341B">
        <w:rPr>
          <w:rFonts w:ascii="Verdana" w:eastAsia="Calibri" w:hAnsi="Verdana" w:cstheme="minorHAnsi"/>
          <w:sz w:val="20"/>
          <w:szCs w:val="20"/>
          <w:lang w:val="es-CR" w:eastAsia="es-ES"/>
        </w:rPr>
        <w:t>;</w:t>
      </w:r>
      <w:r w:rsidRPr="0005341B">
        <w:rPr>
          <w:rFonts w:ascii="Verdana" w:eastAsia="Calibri" w:hAnsi="Verdana" w:cs="Times"/>
          <w:sz w:val="20"/>
          <w:szCs w:val="20"/>
          <w:lang w:val="es-CR" w:eastAsia="es-ES"/>
        </w:rPr>
        <w:t xml:space="preserve"> </w:t>
      </w:r>
    </w:p>
    <w:p w14:paraId="48184B42" w14:textId="77777777" w:rsidR="0005341B" w:rsidRPr="0005341B" w:rsidRDefault="0005341B" w:rsidP="00A579A1">
      <w:pPr>
        <w:widowControl w:val="0"/>
        <w:tabs>
          <w:tab w:val="left" w:pos="567"/>
          <w:tab w:val="left" w:pos="7740"/>
        </w:tabs>
        <w:autoSpaceDE w:val="0"/>
        <w:autoSpaceDN w:val="0"/>
        <w:adjustRightInd w:val="0"/>
        <w:spacing w:after="0" w:line="240" w:lineRule="auto"/>
        <w:ind w:left="0"/>
        <w:rPr>
          <w:rFonts w:ascii="Verdana" w:eastAsia="Calibri" w:hAnsi="Verdana" w:cs="Times"/>
          <w:sz w:val="20"/>
          <w:szCs w:val="20"/>
          <w:lang w:val="es-CR" w:eastAsia="es-ES"/>
        </w:rPr>
      </w:pPr>
    </w:p>
    <w:p w14:paraId="48184B43" w14:textId="02CF6D98" w:rsidR="0005341B" w:rsidRPr="0005341B" w:rsidRDefault="0005341B" w:rsidP="003D1327">
      <w:pPr>
        <w:numPr>
          <w:ilvl w:val="0"/>
          <w:numId w:val="1"/>
        </w:numPr>
        <w:tabs>
          <w:tab w:val="left" w:pos="720"/>
        </w:tabs>
        <w:spacing w:after="0" w:line="240" w:lineRule="auto"/>
        <w:ind w:left="0" w:firstLine="0"/>
        <w:contextualSpacing/>
        <w:rPr>
          <w:rFonts w:ascii="Verdana" w:eastAsia="Calibri" w:hAnsi="Verdana" w:cs="Times"/>
          <w:b/>
          <w:sz w:val="20"/>
          <w:szCs w:val="20"/>
          <w:lang w:val="es-ES_tradnl" w:eastAsia="es-ES"/>
        </w:rPr>
      </w:pPr>
      <w:r w:rsidRPr="0005341B">
        <w:rPr>
          <w:rFonts w:ascii="Verdana" w:eastAsia="Calibri" w:hAnsi="Verdana" w:cs="Times"/>
          <w:sz w:val="20"/>
          <w:szCs w:val="20"/>
          <w:lang w:val="es-ES_tradnl" w:eastAsia="es-ES"/>
        </w:rPr>
        <w:t xml:space="preserve">La Resolución del entonces Presidente de la Corte Interamericana de Derechos Humanos de 14 de diciembre de 2017 sobre el Fondo de Asistencia Legal de Víctimas, mediante la cual declaró procedente la solicitud de las presuntas víctimas de acogerse </w:t>
      </w:r>
      <w:r w:rsidRPr="0005341B">
        <w:rPr>
          <w:rFonts w:ascii="Verdana" w:eastAsia="Calibri" w:hAnsi="Verdana" w:cstheme="minorHAnsi"/>
          <w:sz w:val="20"/>
          <w:szCs w:val="20"/>
          <w:lang w:val="es-ES_tradnl" w:eastAsia="es-ES"/>
        </w:rPr>
        <w:t>a este último</w:t>
      </w:r>
      <w:r w:rsidRPr="0005341B">
        <w:rPr>
          <w:rFonts w:ascii="Verdana" w:eastAsia="Calibri" w:hAnsi="Verdana" w:cs="Times"/>
          <w:sz w:val="20"/>
          <w:szCs w:val="20"/>
          <w:vertAlign w:val="superscript"/>
          <w:lang w:val="es-ES_tradnl" w:eastAsia="es-ES"/>
        </w:rPr>
        <w:footnoteReference w:id="4"/>
      </w:r>
      <w:r w:rsidRPr="0005341B">
        <w:rPr>
          <w:rFonts w:ascii="Verdana" w:eastAsia="Calibri" w:hAnsi="Verdana" w:cstheme="minorHAnsi"/>
          <w:sz w:val="20"/>
          <w:szCs w:val="20"/>
          <w:lang w:val="es-ES_tradnl" w:eastAsia="es-CR"/>
        </w:rPr>
        <w:t>, y</w:t>
      </w:r>
    </w:p>
    <w:p w14:paraId="48184B44" w14:textId="77777777" w:rsidR="0005341B" w:rsidRPr="0005341B" w:rsidRDefault="0005341B" w:rsidP="00A579A1">
      <w:pPr>
        <w:widowControl w:val="0"/>
        <w:tabs>
          <w:tab w:val="left" w:pos="567"/>
        </w:tabs>
        <w:autoSpaceDE w:val="0"/>
        <w:autoSpaceDN w:val="0"/>
        <w:adjustRightInd w:val="0"/>
        <w:spacing w:after="0" w:line="240" w:lineRule="auto"/>
        <w:ind w:left="0"/>
        <w:contextualSpacing/>
        <w:rPr>
          <w:rFonts w:ascii="Verdana" w:eastAsia="Calibri" w:hAnsi="Verdana" w:cs="Times"/>
          <w:b/>
          <w:sz w:val="20"/>
          <w:szCs w:val="20"/>
          <w:lang w:val="es-CR" w:eastAsia="es-ES"/>
        </w:rPr>
      </w:pPr>
    </w:p>
    <w:p w14:paraId="48184B45" w14:textId="592E5172" w:rsidR="0005341B" w:rsidRPr="0005341B" w:rsidRDefault="0005341B" w:rsidP="003D1327">
      <w:pPr>
        <w:widowControl w:val="0"/>
        <w:numPr>
          <w:ilvl w:val="0"/>
          <w:numId w:val="1"/>
        </w:numPr>
        <w:tabs>
          <w:tab w:val="left" w:pos="720"/>
        </w:tabs>
        <w:autoSpaceDE w:val="0"/>
        <w:autoSpaceDN w:val="0"/>
        <w:adjustRightInd w:val="0"/>
        <w:spacing w:after="0" w:line="240" w:lineRule="auto"/>
        <w:ind w:left="0" w:firstLine="0"/>
        <w:contextualSpacing/>
        <w:rPr>
          <w:rFonts w:ascii="Verdana" w:eastAsia="Calibri" w:hAnsi="Verdana" w:cs="Times"/>
          <w:b/>
          <w:sz w:val="20"/>
          <w:szCs w:val="20"/>
          <w:lang w:val="es-CR" w:eastAsia="es-ES"/>
        </w:rPr>
      </w:pPr>
      <w:r w:rsidRPr="0005341B">
        <w:rPr>
          <w:rFonts w:ascii="Verdana" w:eastAsia="Calibri" w:hAnsi="Verdana" w:cs="Times"/>
          <w:sz w:val="20"/>
          <w:szCs w:val="20"/>
          <w:lang w:val="es-CR" w:eastAsia="es-ES"/>
        </w:rPr>
        <w:t xml:space="preserve">El escrito de 23 de febrero de 2018, mediante el cual el señor Carlos Rodríguez Ulloa, perito propuesto por el Estado, remitió sus observaciones a la recusación presentada en su contra por las representantes. </w:t>
      </w:r>
    </w:p>
    <w:p w14:paraId="48184B46" w14:textId="77777777" w:rsidR="0005341B" w:rsidRPr="0005341B" w:rsidRDefault="0005341B" w:rsidP="00A579A1">
      <w:pPr>
        <w:widowControl w:val="0"/>
        <w:tabs>
          <w:tab w:val="left" w:pos="567"/>
        </w:tabs>
        <w:autoSpaceDE w:val="0"/>
        <w:autoSpaceDN w:val="0"/>
        <w:adjustRightInd w:val="0"/>
        <w:spacing w:after="0" w:line="240" w:lineRule="auto"/>
        <w:ind w:left="0"/>
        <w:rPr>
          <w:rFonts w:ascii="Verdana" w:eastAsia="MS Mincho" w:hAnsi="Verdana"/>
          <w:sz w:val="20"/>
          <w:szCs w:val="20"/>
          <w:lang w:val="es-CR"/>
        </w:rPr>
      </w:pPr>
    </w:p>
    <w:p w14:paraId="48184B47" w14:textId="77777777" w:rsidR="0005341B" w:rsidRPr="0005341B" w:rsidRDefault="0005341B" w:rsidP="00A579A1">
      <w:pPr>
        <w:tabs>
          <w:tab w:val="left" w:pos="567"/>
        </w:tabs>
        <w:spacing w:after="0" w:line="276" w:lineRule="auto"/>
        <w:ind w:left="567"/>
        <w:rPr>
          <w:rFonts w:ascii="Verdana" w:eastAsia="MS Mincho" w:hAnsi="Verdana"/>
          <w:b/>
          <w:sz w:val="20"/>
          <w:szCs w:val="20"/>
          <w:lang w:val="es-CR"/>
        </w:rPr>
      </w:pPr>
      <w:r w:rsidRPr="0005341B">
        <w:rPr>
          <w:rFonts w:ascii="Verdana" w:eastAsia="MS Mincho" w:hAnsi="Verdana"/>
          <w:b/>
          <w:sz w:val="20"/>
          <w:szCs w:val="20"/>
          <w:lang w:val="es-CR"/>
        </w:rPr>
        <w:t>CONSIDERANDO QUE:</w:t>
      </w:r>
    </w:p>
    <w:p w14:paraId="48184B48" w14:textId="77777777" w:rsidR="0005341B" w:rsidRPr="0005341B" w:rsidRDefault="0005341B" w:rsidP="00A579A1">
      <w:pPr>
        <w:spacing w:after="0" w:line="240" w:lineRule="auto"/>
        <w:ind w:left="0"/>
        <w:contextualSpacing/>
        <w:rPr>
          <w:rFonts w:ascii="Verdana" w:eastAsia="Calibri" w:hAnsi="Verdana" w:cs="Times"/>
          <w:sz w:val="20"/>
          <w:szCs w:val="20"/>
          <w:lang w:val="es-CR" w:eastAsia="es-ES"/>
        </w:rPr>
      </w:pPr>
    </w:p>
    <w:p w14:paraId="48184B49" w14:textId="77777777" w:rsidR="0005341B" w:rsidRPr="0005341B" w:rsidRDefault="0005341B" w:rsidP="00A579A1">
      <w:pPr>
        <w:numPr>
          <w:ilvl w:val="0"/>
          <w:numId w:val="2"/>
        </w:numPr>
        <w:spacing w:after="0" w:line="240" w:lineRule="auto"/>
        <w:ind w:left="1210"/>
        <w:contextualSpacing/>
        <w:rPr>
          <w:rFonts w:ascii="Verdana" w:eastAsia="Calibri" w:hAnsi="Verdana" w:cstheme="minorHAnsi"/>
          <w:i/>
          <w:sz w:val="20"/>
          <w:szCs w:val="20"/>
          <w:lang w:val="es-CR" w:eastAsia="es-ES"/>
        </w:rPr>
      </w:pPr>
      <w:r w:rsidRPr="0005341B">
        <w:rPr>
          <w:rFonts w:ascii="Verdana" w:eastAsia="Calibri" w:hAnsi="Verdana" w:cstheme="minorHAnsi"/>
          <w:b/>
          <w:i/>
          <w:sz w:val="20"/>
          <w:szCs w:val="20"/>
          <w:lang w:val="es-CR" w:eastAsia="es-ES"/>
        </w:rPr>
        <w:t>En cuanto a reiteración y desistimiento de declaraciones ofrecidas</w:t>
      </w:r>
      <w:r w:rsidR="00A579A1">
        <w:rPr>
          <w:rFonts w:ascii="Verdana" w:eastAsia="Calibri" w:hAnsi="Verdana" w:cstheme="minorHAnsi"/>
          <w:b/>
          <w:i/>
          <w:sz w:val="20"/>
          <w:szCs w:val="20"/>
          <w:lang w:val="es-CR" w:eastAsia="es-ES"/>
        </w:rPr>
        <w:t>,</w:t>
      </w:r>
    </w:p>
    <w:p w14:paraId="48184B4A" w14:textId="77777777" w:rsidR="0005341B" w:rsidRPr="0005341B" w:rsidRDefault="0005341B" w:rsidP="00A579A1">
      <w:pPr>
        <w:widowControl w:val="0"/>
        <w:tabs>
          <w:tab w:val="left" w:pos="567"/>
          <w:tab w:val="left" w:pos="810"/>
        </w:tabs>
        <w:autoSpaceDE w:val="0"/>
        <w:autoSpaceDN w:val="0"/>
        <w:adjustRightInd w:val="0"/>
        <w:spacing w:after="0" w:line="240" w:lineRule="auto"/>
        <w:ind w:left="720"/>
        <w:contextualSpacing/>
        <w:rPr>
          <w:rFonts w:ascii="Verdana" w:eastAsia="Calibri" w:hAnsi="Verdana" w:cstheme="minorHAnsi"/>
          <w:sz w:val="20"/>
          <w:szCs w:val="20"/>
          <w:lang w:val="es-ES_tradnl" w:eastAsia="es-ES"/>
        </w:rPr>
      </w:pPr>
    </w:p>
    <w:p w14:paraId="48184B4B" w14:textId="0A00DD11" w:rsidR="0005341B" w:rsidRPr="0005341B" w:rsidRDefault="0005341B" w:rsidP="003D1327">
      <w:pPr>
        <w:widowControl w:val="0"/>
        <w:numPr>
          <w:ilvl w:val="0"/>
          <w:numId w:val="1"/>
        </w:numPr>
        <w:tabs>
          <w:tab w:val="left" w:pos="720"/>
        </w:tabs>
        <w:autoSpaceDE w:val="0"/>
        <w:autoSpaceDN w:val="0"/>
        <w:adjustRightInd w:val="0"/>
        <w:spacing w:after="0" w:line="240" w:lineRule="auto"/>
        <w:ind w:left="0" w:firstLine="0"/>
        <w:contextualSpacing/>
        <w:rPr>
          <w:rFonts w:ascii="Verdana" w:eastAsia="Calibri" w:hAnsi="Verdana" w:cstheme="minorHAnsi"/>
          <w:sz w:val="20"/>
          <w:szCs w:val="20"/>
          <w:lang w:val="es-ES_tradnl" w:eastAsia="es-ES"/>
        </w:rPr>
      </w:pPr>
      <w:r w:rsidRPr="0005341B">
        <w:rPr>
          <w:rFonts w:ascii="Verdana" w:eastAsia="Calibri" w:hAnsi="Verdana" w:cstheme="minorHAnsi"/>
          <w:sz w:val="20"/>
          <w:szCs w:val="20"/>
          <w:lang w:val="es-CR" w:eastAsia="es-ES"/>
        </w:rPr>
        <w:t>El Estado</w:t>
      </w:r>
      <w:r w:rsidRPr="0005341B">
        <w:rPr>
          <w:rFonts w:ascii="Verdana" w:eastAsia="Calibri" w:hAnsi="Verdana" w:cstheme="minorHAnsi"/>
          <w:sz w:val="20"/>
          <w:szCs w:val="20"/>
          <w:lang w:val="es-ES_tradnl" w:eastAsia="es-ES"/>
        </w:rPr>
        <w:t xml:space="preserve"> no reiteró</w:t>
      </w:r>
      <w:r w:rsidRPr="0005341B">
        <w:rPr>
          <w:rFonts w:ascii="Verdana" w:eastAsia="Calibri" w:hAnsi="Verdana" w:cs="Times"/>
          <w:sz w:val="20"/>
          <w:szCs w:val="20"/>
          <w:lang w:val="es-ES_tradnl" w:eastAsia="es-ES"/>
        </w:rPr>
        <w:t xml:space="preserve">, en su lista definitiva de declarantes, el ofrecimiento de la declaración testimonial a cargo de la señora Damaris Baglietto Hernández </w:t>
      </w:r>
      <w:r w:rsidRPr="0005341B">
        <w:rPr>
          <w:rFonts w:ascii="Verdana" w:eastAsia="Calibri" w:hAnsi="Verdana" w:cstheme="minorHAnsi"/>
          <w:sz w:val="20"/>
          <w:szCs w:val="20"/>
          <w:lang w:val="es-ES_tradnl" w:eastAsia="es-ES"/>
        </w:rPr>
        <w:t>y además, en su</w:t>
      </w:r>
      <w:r w:rsidRPr="0005341B">
        <w:rPr>
          <w:rFonts w:ascii="Verdana" w:eastAsia="Calibri" w:hAnsi="Verdana" w:cs="Times"/>
          <w:sz w:val="20"/>
          <w:szCs w:val="20"/>
          <w:lang w:val="es-ES_tradnl" w:eastAsia="es-ES"/>
        </w:rPr>
        <w:t xml:space="preserve"> escrito de 22 de enero de 2018, </w:t>
      </w:r>
      <w:r w:rsidRPr="0005341B">
        <w:rPr>
          <w:rFonts w:ascii="Verdana" w:eastAsia="Calibri" w:hAnsi="Verdana" w:cstheme="minorHAnsi"/>
          <w:sz w:val="20"/>
          <w:szCs w:val="20"/>
          <w:lang w:val="es-ES_tradnl" w:eastAsia="es-ES"/>
        </w:rPr>
        <w:t>se</w:t>
      </w:r>
      <w:r w:rsidRPr="0005341B">
        <w:rPr>
          <w:rFonts w:ascii="Verdana" w:eastAsia="Calibri" w:hAnsi="Verdana" w:cs="Times"/>
          <w:sz w:val="20"/>
          <w:szCs w:val="20"/>
          <w:lang w:val="es-ES_tradnl" w:eastAsia="es-ES"/>
        </w:rPr>
        <w:t xml:space="preserve"> desistió de las declaraciones testimoniales </w:t>
      </w:r>
      <w:r w:rsidRPr="0005341B">
        <w:rPr>
          <w:rFonts w:ascii="Verdana" w:eastAsia="Calibri" w:hAnsi="Verdana" w:cstheme="minorHAnsi"/>
          <w:sz w:val="20"/>
          <w:szCs w:val="20"/>
          <w:lang w:val="es-ES_tradnl" w:eastAsia="es-ES"/>
        </w:rPr>
        <w:t xml:space="preserve">de </w:t>
      </w:r>
      <w:r w:rsidRPr="0005341B">
        <w:rPr>
          <w:rFonts w:ascii="Verdana" w:eastAsia="Calibri" w:hAnsi="Verdana" w:cs="Times"/>
          <w:sz w:val="20"/>
          <w:szCs w:val="20"/>
          <w:lang w:val="es-ES_tradnl" w:eastAsia="es-ES"/>
        </w:rPr>
        <w:t>Emiliano López Pedraza y Avelina Morales Guzmán</w:t>
      </w:r>
      <w:r w:rsidRPr="0005341B">
        <w:rPr>
          <w:rFonts w:ascii="Verdana" w:eastAsia="Calibri" w:hAnsi="Verdana" w:cstheme="minorHAnsi"/>
          <w:sz w:val="20"/>
          <w:szCs w:val="20"/>
          <w:lang w:val="es-ES_tradnl" w:eastAsia="es-ES"/>
        </w:rPr>
        <w:t>;</w:t>
      </w:r>
      <w:r w:rsidRPr="0005341B">
        <w:rPr>
          <w:rFonts w:ascii="Verdana" w:eastAsia="Calibri" w:hAnsi="Verdana" w:cstheme="minorHAnsi"/>
          <w:sz w:val="20"/>
          <w:szCs w:val="20"/>
          <w:lang w:val="es-CR" w:eastAsia="es-ES"/>
        </w:rPr>
        <w:t xml:space="preserve"> </w:t>
      </w:r>
    </w:p>
    <w:p w14:paraId="48184B4C" w14:textId="77777777" w:rsidR="0005341B" w:rsidRPr="0005341B" w:rsidRDefault="0005341B" w:rsidP="00A579A1">
      <w:pPr>
        <w:widowControl w:val="0"/>
        <w:tabs>
          <w:tab w:val="left" w:pos="567"/>
          <w:tab w:val="left" w:pos="810"/>
        </w:tabs>
        <w:autoSpaceDE w:val="0"/>
        <w:autoSpaceDN w:val="0"/>
        <w:adjustRightInd w:val="0"/>
        <w:spacing w:after="0" w:line="240" w:lineRule="auto"/>
        <w:ind w:left="0"/>
        <w:rPr>
          <w:rFonts w:ascii="Verdana" w:eastAsia="MS Mincho" w:hAnsi="Verdana" w:cstheme="minorHAnsi"/>
          <w:sz w:val="20"/>
          <w:szCs w:val="20"/>
          <w:lang w:val="es-MX"/>
        </w:rPr>
      </w:pPr>
    </w:p>
    <w:p w14:paraId="48184B4D" w14:textId="77777777" w:rsidR="0005341B" w:rsidRPr="0005341B" w:rsidRDefault="0005341B" w:rsidP="00A579A1">
      <w:pPr>
        <w:numPr>
          <w:ilvl w:val="0"/>
          <w:numId w:val="2"/>
        </w:numPr>
        <w:spacing w:after="0" w:line="240" w:lineRule="auto"/>
        <w:ind w:left="1210"/>
        <w:contextualSpacing/>
        <w:rPr>
          <w:rFonts w:ascii="Verdana" w:eastAsia="Calibri" w:hAnsi="Verdana" w:cs="Times"/>
          <w:b/>
          <w:i/>
          <w:sz w:val="20"/>
          <w:szCs w:val="20"/>
          <w:lang w:val="es-CR" w:eastAsia="es-ES"/>
        </w:rPr>
      </w:pPr>
      <w:r w:rsidRPr="0005341B">
        <w:rPr>
          <w:rFonts w:ascii="Verdana" w:eastAsia="Calibri" w:hAnsi="Verdana" w:cs="Times"/>
          <w:b/>
          <w:i/>
          <w:sz w:val="20"/>
          <w:szCs w:val="20"/>
          <w:lang w:val="es-CR" w:eastAsia="es-ES"/>
        </w:rPr>
        <w:t xml:space="preserve">En </w:t>
      </w:r>
      <w:r w:rsidRPr="0005341B">
        <w:rPr>
          <w:rFonts w:ascii="Verdana" w:eastAsia="Calibri" w:hAnsi="Verdana" w:cstheme="minorHAnsi"/>
          <w:b/>
          <w:i/>
          <w:sz w:val="20"/>
          <w:szCs w:val="20"/>
          <w:lang w:val="es-CR" w:eastAsia="es-ES"/>
        </w:rPr>
        <w:t>lo referente a admisibilidad de las declaraciones testimoniales ofrecidas por las representantes</w:t>
      </w:r>
      <w:r w:rsidR="00A579A1">
        <w:rPr>
          <w:rFonts w:ascii="Verdana" w:eastAsia="Calibri" w:hAnsi="Verdana" w:cstheme="minorHAnsi"/>
          <w:b/>
          <w:i/>
          <w:sz w:val="20"/>
          <w:szCs w:val="20"/>
          <w:lang w:val="es-CR" w:eastAsia="es-ES"/>
        </w:rPr>
        <w:t>,</w:t>
      </w:r>
    </w:p>
    <w:p w14:paraId="48184B4E" w14:textId="77777777" w:rsidR="0005341B" w:rsidRPr="0005341B" w:rsidRDefault="0005341B" w:rsidP="00A579A1">
      <w:pPr>
        <w:widowControl w:val="0"/>
        <w:tabs>
          <w:tab w:val="left" w:pos="567"/>
          <w:tab w:val="left" w:pos="810"/>
        </w:tabs>
        <w:autoSpaceDE w:val="0"/>
        <w:autoSpaceDN w:val="0"/>
        <w:adjustRightInd w:val="0"/>
        <w:spacing w:after="0" w:line="240" w:lineRule="auto"/>
        <w:ind w:left="0"/>
        <w:rPr>
          <w:rFonts w:ascii="Verdana" w:eastAsia="MS Mincho" w:hAnsi="Verdana"/>
          <w:sz w:val="20"/>
          <w:szCs w:val="20"/>
          <w:lang w:val="es-MX"/>
        </w:rPr>
      </w:pPr>
    </w:p>
    <w:p w14:paraId="48184B4F" w14:textId="43F4C005" w:rsidR="0005341B" w:rsidRPr="0005341B" w:rsidRDefault="0005341B" w:rsidP="003D1327">
      <w:pPr>
        <w:numPr>
          <w:ilvl w:val="0"/>
          <w:numId w:val="1"/>
        </w:numPr>
        <w:tabs>
          <w:tab w:val="left" w:pos="720"/>
        </w:tabs>
        <w:spacing w:after="0" w:line="240" w:lineRule="auto"/>
        <w:ind w:left="0" w:firstLine="0"/>
        <w:contextualSpacing/>
        <w:rPr>
          <w:rFonts w:ascii="Verdana" w:eastAsia="Calibri" w:hAnsi="Verdana" w:cs="Times"/>
          <w:i/>
          <w:sz w:val="20"/>
          <w:szCs w:val="20"/>
          <w:lang w:val="es-CR" w:eastAsia="es-ES"/>
        </w:rPr>
      </w:pPr>
      <w:r w:rsidRPr="0005341B">
        <w:rPr>
          <w:rFonts w:ascii="Verdana" w:eastAsia="Calibri" w:hAnsi="Verdana" w:cstheme="minorHAnsi"/>
          <w:sz w:val="20"/>
          <w:szCs w:val="20"/>
          <w:lang w:val="es-CR" w:eastAsia="es-ES"/>
        </w:rPr>
        <w:t xml:space="preserve">El Estado presentó observaciones acerca de </w:t>
      </w:r>
      <w:r w:rsidRPr="0005341B">
        <w:rPr>
          <w:rFonts w:ascii="Verdana" w:eastAsia="Calibri" w:hAnsi="Verdana" w:cstheme="minorHAnsi"/>
          <w:i/>
          <w:sz w:val="20"/>
          <w:szCs w:val="20"/>
          <w:lang w:val="es-CR" w:eastAsia="es-ES"/>
        </w:rPr>
        <w:t xml:space="preserve">la admisibilidad de las declaraciones testimoniales de </w:t>
      </w:r>
      <w:r w:rsidRPr="0005341B">
        <w:rPr>
          <w:rFonts w:ascii="Verdana" w:eastAsia="Calibri" w:hAnsi="Verdana" w:cs="Times"/>
          <w:sz w:val="20"/>
          <w:szCs w:val="20"/>
          <w:lang w:val="es-CR" w:eastAsia="es-ES"/>
        </w:rPr>
        <w:t xml:space="preserve">Luz Estela Castro Rodríguez; Martín Solís Bustamante; Siria Solís Solís; Joaquín Solorio Urrutia, y Salomón Baltazar Samayoa </w:t>
      </w:r>
      <w:r w:rsidRPr="0005341B">
        <w:rPr>
          <w:rFonts w:ascii="Verdana" w:eastAsia="Calibri" w:hAnsi="Verdana" w:cstheme="minorHAnsi"/>
          <w:sz w:val="20"/>
          <w:szCs w:val="20"/>
          <w:lang w:val="es-CR" w:eastAsia="es-ES"/>
        </w:rPr>
        <w:t>ofrecidas por las representantes;</w:t>
      </w:r>
    </w:p>
    <w:p w14:paraId="48184B50" w14:textId="77777777" w:rsidR="0005341B" w:rsidRPr="0005341B" w:rsidRDefault="0005341B" w:rsidP="00A579A1">
      <w:pPr>
        <w:spacing w:after="0" w:line="240" w:lineRule="auto"/>
        <w:ind w:left="0"/>
        <w:contextualSpacing/>
        <w:rPr>
          <w:rFonts w:ascii="Verdana" w:eastAsia="Calibri" w:hAnsi="Verdana" w:cs="Times"/>
          <w:i/>
          <w:sz w:val="20"/>
          <w:szCs w:val="20"/>
          <w:lang w:val="es-CR" w:eastAsia="es-ES"/>
        </w:rPr>
      </w:pPr>
    </w:p>
    <w:p w14:paraId="48184B51" w14:textId="77777777" w:rsidR="0005341B" w:rsidRPr="0005341B" w:rsidRDefault="0005341B" w:rsidP="00A579A1">
      <w:pPr>
        <w:numPr>
          <w:ilvl w:val="2"/>
          <w:numId w:val="1"/>
        </w:numPr>
        <w:spacing w:after="0" w:line="240" w:lineRule="auto"/>
        <w:ind w:left="1314"/>
        <w:contextualSpacing/>
        <w:rPr>
          <w:rFonts w:ascii="Verdana" w:eastAsia="Calibri" w:hAnsi="Verdana" w:cs="Times"/>
          <w:i/>
          <w:sz w:val="20"/>
          <w:szCs w:val="20"/>
          <w:lang w:val="es-CR" w:eastAsia="es-ES"/>
        </w:rPr>
      </w:pPr>
      <w:r w:rsidRPr="0005341B">
        <w:rPr>
          <w:rFonts w:ascii="Verdana" w:eastAsia="Calibri" w:hAnsi="Verdana" w:cstheme="minorHAnsi"/>
          <w:i/>
          <w:sz w:val="20"/>
          <w:szCs w:val="20"/>
          <w:lang w:val="es-CR" w:eastAsia="es-ES"/>
        </w:rPr>
        <w:t>En lo pertinente</w:t>
      </w:r>
      <w:r w:rsidRPr="0005341B">
        <w:rPr>
          <w:rFonts w:ascii="Verdana" w:eastAsia="Calibri" w:hAnsi="Verdana" w:cs="Times"/>
          <w:i/>
          <w:sz w:val="20"/>
          <w:szCs w:val="20"/>
          <w:lang w:val="es-CR" w:eastAsia="es-ES"/>
        </w:rPr>
        <w:t xml:space="preserve"> al testimonio de la señora Luz Estela Castro Rodríguez</w:t>
      </w:r>
      <w:r w:rsidRPr="0005341B">
        <w:rPr>
          <w:rFonts w:ascii="Verdana" w:eastAsia="Calibri" w:hAnsi="Verdana" w:cstheme="minorHAnsi"/>
          <w:i/>
          <w:sz w:val="20"/>
          <w:szCs w:val="20"/>
          <w:lang w:val="es-CR" w:eastAsia="es-ES"/>
        </w:rPr>
        <w:t>,</w:t>
      </w:r>
    </w:p>
    <w:p w14:paraId="48184B52" w14:textId="77777777" w:rsidR="0005341B" w:rsidRPr="0005341B" w:rsidRDefault="0005341B" w:rsidP="00A579A1">
      <w:pPr>
        <w:spacing w:after="0" w:line="240" w:lineRule="auto"/>
        <w:ind w:left="1440"/>
        <w:contextualSpacing/>
        <w:rPr>
          <w:rFonts w:ascii="Verdana" w:eastAsia="Calibri" w:hAnsi="Verdana" w:cs="Times"/>
          <w:i/>
          <w:sz w:val="20"/>
          <w:szCs w:val="20"/>
          <w:lang w:val="es-CR" w:eastAsia="es-ES"/>
        </w:rPr>
      </w:pPr>
    </w:p>
    <w:p w14:paraId="48184B53" w14:textId="383B5DD1" w:rsidR="0005341B" w:rsidRPr="0005341B" w:rsidRDefault="0005341B" w:rsidP="003D1327">
      <w:pPr>
        <w:widowControl w:val="0"/>
        <w:numPr>
          <w:ilvl w:val="0"/>
          <w:numId w:val="1"/>
        </w:numPr>
        <w:tabs>
          <w:tab w:val="left" w:pos="720"/>
        </w:tabs>
        <w:autoSpaceDE w:val="0"/>
        <w:autoSpaceDN w:val="0"/>
        <w:adjustRightInd w:val="0"/>
        <w:spacing w:after="0" w:line="240" w:lineRule="auto"/>
        <w:ind w:left="0" w:firstLine="0"/>
        <w:contextualSpacing/>
        <w:rPr>
          <w:rFonts w:ascii="Verdana" w:eastAsia="Calibri" w:hAnsi="Verdana" w:cs="Times"/>
          <w:sz w:val="20"/>
          <w:szCs w:val="20"/>
          <w:lang w:val="es-CR" w:eastAsia="es-ES"/>
        </w:rPr>
      </w:pPr>
      <w:r w:rsidRPr="0005341B">
        <w:rPr>
          <w:rFonts w:ascii="Verdana" w:eastAsia="Calibri" w:hAnsi="Verdana" w:cs="Times"/>
          <w:sz w:val="20"/>
          <w:szCs w:val="20"/>
          <w:lang w:val="es-CR" w:eastAsia="es-ES"/>
        </w:rPr>
        <w:t>Respecto de la señora Luz Estela Castro Rodríguez, las representantes manifestaron que su declaración testimonial tendría por objeto referirse “a las distintas gestiones para la búsqueda de justicia, la protección de las familias así como de la obstrucción de elementos militares para garantizar la verdad y justicia en el caso”</w:t>
      </w:r>
      <w:r w:rsidRPr="0005341B">
        <w:rPr>
          <w:rFonts w:ascii="Verdana" w:eastAsia="Calibri" w:hAnsi="Verdana" w:cstheme="minorHAnsi"/>
          <w:sz w:val="20"/>
          <w:szCs w:val="20"/>
          <w:lang w:val="es-CR" w:eastAsia="es-ES"/>
        </w:rPr>
        <w:t>;</w:t>
      </w:r>
    </w:p>
    <w:p w14:paraId="48184B54" w14:textId="77777777" w:rsidR="0005341B" w:rsidRPr="0005341B" w:rsidRDefault="0005341B" w:rsidP="00A579A1">
      <w:pPr>
        <w:autoSpaceDE w:val="0"/>
        <w:autoSpaceDN w:val="0"/>
        <w:adjustRightInd w:val="0"/>
        <w:spacing w:after="0" w:line="240" w:lineRule="auto"/>
        <w:ind w:left="0"/>
        <w:contextualSpacing/>
        <w:rPr>
          <w:rFonts w:ascii="Verdana" w:eastAsia="Calibri" w:hAnsi="Verdana" w:cs="Times"/>
          <w:b/>
          <w:i/>
          <w:sz w:val="20"/>
          <w:szCs w:val="20"/>
          <w:lang w:val="es-CR" w:eastAsia="es-ES"/>
        </w:rPr>
      </w:pPr>
    </w:p>
    <w:p w14:paraId="48184B55" w14:textId="29FAA29E" w:rsidR="0005341B" w:rsidRPr="0005341B" w:rsidRDefault="0005341B" w:rsidP="003D1327">
      <w:pPr>
        <w:numPr>
          <w:ilvl w:val="0"/>
          <w:numId w:val="1"/>
        </w:numPr>
        <w:tabs>
          <w:tab w:val="left" w:pos="720"/>
        </w:tabs>
        <w:autoSpaceDE w:val="0"/>
        <w:autoSpaceDN w:val="0"/>
        <w:adjustRightInd w:val="0"/>
        <w:spacing w:after="0" w:line="240" w:lineRule="auto"/>
        <w:ind w:left="0" w:firstLine="0"/>
        <w:contextualSpacing/>
        <w:rPr>
          <w:rFonts w:ascii="Verdana" w:eastAsia="Calibri" w:hAnsi="Verdana" w:cs="Times"/>
          <w:b/>
          <w:i/>
          <w:sz w:val="20"/>
          <w:szCs w:val="20"/>
          <w:lang w:val="es-CR" w:eastAsia="es-ES"/>
        </w:rPr>
      </w:pPr>
      <w:r w:rsidRPr="0005341B">
        <w:rPr>
          <w:rFonts w:ascii="Verdana" w:eastAsia="Calibri" w:hAnsi="Verdana" w:cs="Times"/>
          <w:sz w:val="20"/>
          <w:szCs w:val="20"/>
          <w:lang w:val="es-CR" w:eastAsia="es-ES"/>
        </w:rPr>
        <w:t>Por su parte, el Estado consideró “</w:t>
      </w:r>
      <w:r w:rsidRPr="0005341B">
        <w:rPr>
          <w:rFonts w:ascii="Verdana" w:eastAsia="Calibri" w:hAnsi="Verdana" w:cs="Times"/>
          <w:sz w:val="20"/>
          <w:szCs w:val="20"/>
          <w:lang w:val="es-ES_tradnl" w:eastAsia="es-ES"/>
        </w:rPr>
        <w:t>que la designación de […] Luz Estela [Castro Rodríguez] como testigo sería impropia y carecería de valor probatorio, en virtud de que […] su testimonio se encontraría sesgado por juicios de valor que adquirió como representante de las víctimas”</w:t>
      </w:r>
      <w:r w:rsidRPr="0005341B">
        <w:rPr>
          <w:rFonts w:ascii="Verdana" w:eastAsia="Calibri" w:hAnsi="Verdana" w:cstheme="minorHAnsi"/>
          <w:sz w:val="20"/>
          <w:szCs w:val="20"/>
          <w:lang w:val="es-ES_tradnl" w:eastAsia="es-ES"/>
        </w:rPr>
        <w:t>, alegando</w:t>
      </w:r>
      <w:r w:rsidRPr="0005341B">
        <w:rPr>
          <w:rFonts w:ascii="Verdana" w:eastAsia="Calibri" w:hAnsi="Verdana" w:cs="Times"/>
          <w:sz w:val="20"/>
          <w:szCs w:val="20"/>
          <w:lang w:val="es-ES_tradnl" w:eastAsia="es-ES"/>
        </w:rPr>
        <w:t xml:space="preserve"> que dicha prueba testimonial “perdería objetividad y relevancia como valor probatorio, en razón de que en gran parte del procedimiento seguido ante el Sistema Interamericano, la entonces representante de las víctimas, impulsó acciones de acuerdo con los intereses de los hoy peticionarios, de modo que, su calidad de testigo se subsumiría a su calidad de representante, y consecuentemente no aportaría un criterio objetivo sin juicios de valor sobre los hechos bajo análisis”</w:t>
      </w:r>
      <w:r w:rsidRPr="0005341B">
        <w:rPr>
          <w:rFonts w:ascii="Verdana" w:eastAsia="Calibri" w:hAnsi="Verdana" w:cstheme="minorHAnsi"/>
          <w:sz w:val="20"/>
          <w:szCs w:val="20"/>
          <w:lang w:val="es-ES_tradnl" w:eastAsia="es-ES"/>
        </w:rPr>
        <w:t>, por todo lo cual</w:t>
      </w:r>
      <w:r w:rsidR="00942DA5">
        <w:rPr>
          <w:rFonts w:ascii="Verdana" w:eastAsia="Calibri" w:hAnsi="Verdana" w:cstheme="minorHAnsi"/>
          <w:sz w:val="20"/>
          <w:szCs w:val="20"/>
          <w:lang w:val="es-ES_tradnl" w:eastAsia="es-ES"/>
        </w:rPr>
        <w:t>,</w:t>
      </w:r>
      <w:r w:rsidRPr="0005341B">
        <w:rPr>
          <w:rFonts w:ascii="Verdana" w:eastAsia="Calibri" w:hAnsi="Verdana" w:cs="Times"/>
          <w:sz w:val="20"/>
          <w:szCs w:val="20"/>
          <w:lang w:val="es-ES_tradnl" w:eastAsia="es-ES"/>
        </w:rPr>
        <w:t xml:space="preserve"> </w:t>
      </w:r>
      <w:r w:rsidR="00942DA5">
        <w:rPr>
          <w:rFonts w:ascii="Verdana" w:eastAsia="Calibri" w:hAnsi="Verdana" w:cs="Times"/>
          <w:sz w:val="20"/>
          <w:szCs w:val="20"/>
          <w:lang w:val="es-ES_tradnl" w:eastAsia="es-ES"/>
        </w:rPr>
        <w:t>f</w:t>
      </w:r>
      <w:r w:rsidRPr="0005341B">
        <w:rPr>
          <w:rFonts w:ascii="Verdana" w:eastAsia="Calibri" w:hAnsi="Verdana" w:cs="Times"/>
          <w:sz w:val="20"/>
          <w:szCs w:val="20"/>
          <w:lang w:val="es-ES_tradnl" w:eastAsia="es-ES"/>
        </w:rPr>
        <w:t>inalmente, solicitó al Tribunal que “desestime e inadmita [dicha declaración] testimonial”</w:t>
      </w:r>
      <w:r w:rsidRPr="0005341B">
        <w:rPr>
          <w:rFonts w:ascii="Verdana" w:eastAsia="Calibri" w:hAnsi="Verdana" w:cstheme="minorHAnsi"/>
          <w:sz w:val="20"/>
          <w:szCs w:val="20"/>
          <w:lang w:val="es-ES_tradnl" w:eastAsia="es-ES"/>
        </w:rPr>
        <w:t>;</w:t>
      </w:r>
    </w:p>
    <w:p w14:paraId="48184B56" w14:textId="77777777" w:rsidR="0005341B" w:rsidRPr="0005341B" w:rsidRDefault="0005341B" w:rsidP="00A579A1">
      <w:pPr>
        <w:autoSpaceDE w:val="0"/>
        <w:autoSpaceDN w:val="0"/>
        <w:adjustRightInd w:val="0"/>
        <w:spacing w:after="0" w:line="240" w:lineRule="auto"/>
        <w:ind w:left="0"/>
        <w:contextualSpacing/>
        <w:rPr>
          <w:rFonts w:ascii="Verdana" w:eastAsia="Calibri" w:hAnsi="Verdana" w:cs="Times"/>
          <w:b/>
          <w:i/>
          <w:sz w:val="20"/>
          <w:szCs w:val="20"/>
          <w:lang w:val="es-CR" w:eastAsia="es-ES"/>
        </w:rPr>
      </w:pPr>
    </w:p>
    <w:p w14:paraId="48184B57" w14:textId="7F71D82E" w:rsidR="0005341B" w:rsidRPr="0005341B" w:rsidRDefault="0005341B" w:rsidP="003D1327">
      <w:pPr>
        <w:numPr>
          <w:ilvl w:val="0"/>
          <w:numId w:val="1"/>
        </w:numPr>
        <w:tabs>
          <w:tab w:val="left" w:pos="720"/>
        </w:tabs>
        <w:autoSpaceDE w:val="0"/>
        <w:autoSpaceDN w:val="0"/>
        <w:adjustRightInd w:val="0"/>
        <w:spacing w:after="0" w:line="240" w:lineRule="auto"/>
        <w:ind w:left="0" w:firstLine="0"/>
        <w:contextualSpacing/>
        <w:rPr>
          <w:rFonts w:ascii="Verdana" w:eastAsia="Calibri" w:hAnsi="Verdana" w:cs="Times"/>
          <w:b/>
          <w:i/>
          <w:sz w:val="20"/>
          <w:szCs w:val="20"/>
          <w:lang w:val="es-CR" w:eastAsia="es-ES"/>
        </w:rPr>
      </w:pPr>
      <w:r w:rsidRPr="0005341B">
        <w:rPr>
          <w:rFonts w:ascii="Verdana" w:eastAsia="Calibri" w:hAnsi="Verdana" w:cstheme="minorHAnsi"/>
          <w:sz w:val="20"/>
          <w:szCs w:val="20"/>
          <w:lang w:val="es-CR" w:eastAsia="es-ES"/>
        </w:rPr>
        <w:t>Sobre este particular, se debe tener</w:t>
      </w:r>
      <w:r w:rsidRPr="0005341B">
        <w:rPr>
          <w:rFonts w:ascii="Verdana" w:eastAsia="Calibri" w:hAnsi="Verdana" w:cstheme="minorHAnsi"/>
          <w:sz w:val="20"/>
          <w:szCs w:val="20"/>
          <w:lang w:val="es-ES_tradnl" w:eastAsia="es-ES"/>
        </w:rPr>
        <w:t xml:space="preserve"> presente, por una parte,</w:t>
      </w:r>
      <w:r w:rsidRPr="0005341B">
        <w:rPr>
          <w:rFonts w:ascii="Verdana" w:eastAsia="Calibri" w:hAnsi="Verdana" w:cs="Times"/>
          <w:sz w:val="20"/>
          <w:szCs w:val="20"/>
          <w:lang w:val="es-ES_tradnl" w:eastAsia="es-ES"/>
        </w:rPr>
        <w:t xml:space="preserve"> que, “en anteriores oportunidades </w:t>
      </w:r>
      <w:r w:rsidRPr="0005341B">
        <w:rPr>
          <w:rFonts w:ascii="Verdana" w:eastAsia="Calibri" w:hAnsi="Verdana" w:cs="Times"/>
          <w:sz w:val="20"/>
          <w:szCs w:val="20"/>
          <w:lang w:val="es-CR" w:eastAsia="es-ES"/>
        </w:rPr>
        <w:t xml:space="preserve">la Corte ha considerado que la participación de una persona en el trámite de un caso </w:t>
      </w:r>
      <w:r w:rsidRPr="0005341B">
        <w:rPr>
          <w:rFonts w:ascii="Verdana" w:eastAsia="Calibri" w:hAnsi="Verdana" w:cs="Times"/>
          <w:sz w:val="20"/>
          <w:szCs w:val="20"/>
          <w:lang w:val="es-CR" w:eastAsia="es-ES"/>
        </w:rPr>
        <w:lastRenderedPageBreak/>
        <w:t>como representante de la Comisión, de las presuntas víctimas o del Estado es impropio a la calidad de testigo en el proceso en razón de la incompatibilidad con respecto a su previa intervención en éste”</w:t>
      </w:r>
      <w:r w:rsidRPr="0005341B">
        <w:rPr>
          <w:rFonts w:ascii="Verdana" w:eastAsia="Calibri" w:hAnsi="Verdana" w:cs="Times"/>
          <w:sz w:val="20"/>
          <w:szCs w:val="20"/>
          <w:vertAlign w:val="superscript"/>
          <w:lang w:val="es-ES_tradnl" w:eastAsia="es-ES"/>
        </w:rPr>
        <w:footnoteReference w:id="5"/>
      </w:r>
      <w:r w:rsidRPr="0005341B">
        <w:rPr>
          <w:rFonts w:ascii="Verdana" w:eastAsia="Calibri" w:hAnsi="Verdana" w:cstheme="minorHAnsi"/>
          <w:sz w:val="20"/>
          <w:szCs w:val="20"/>
          <w:lang w:val="es-CR" w:eastAsia="es-ES"/>
        </w:rPr>
        <w:t xml:space="preserve"> y por la otra parte, </w:t>
      </w:r>
      <w:r w:rsidRPr="0005341B">
        <w:rPr>
          <w:rFonts w:ascii="Verdana" w:eastAsia="Calibri" w:hAnsi="Verdana" w:cstheme="minorHAnsi"/>
          <w:sz w:val="20"/>
          <w:szCs w:val="20"/>
          <w:lang w:val="es-ES_tradnl" w:eastAsia="es-ES"/>
        </w:rPr>
        <w:t>que,</w:t>
      </w:r>
      <w:r w:rsidRPr="0005341B">
        <w:rPr>
          <w:rFonts w:ascii="Verdana" w:eastAsia="Calibri" w:hAnsi="Verdana" w:cs="Times"/>
          <w:sz w:val="20"/>
          <w:szCs w:val="20"/>
          <w:lang w:val="es-ES_tradnl" w:eastAsia="es-ES"/>
        </w:rPr>
        <w:t xml:space="preserve"> durante el trámite del presente caso en el procedimiento substanciado ante la Comisión, la señora </w:t>
      </w:r>
      <w:r w:rsidRPr="0005341B">
        <w:rPr>
          <w:rFonts w:ascii="Verdana" w:eastAsia="Calibri" w:hAnsi="Verdana" w:cs="Times"/>
          <w:sz w:val="20"/>
          <w:szCs w:val="20"/>
          <w:lang w:val="es-CR" w:eastAsia="es-ES"/>
        </w:rPr>
        <w:t xml:space="preserve">Luz Estela Castro Rodríguez participó como representante de los peticionarios a nombre del Centro de Derechos Humanos de las Mujeres (CEDEHM), signando, </w:t>
      </w:r>
      <w:r w:rsidRPr="0005341B">
        <w:rPr>
          <w:rFonts w:ascii="Verdana" w:eastAsia="Calibri" w:hAnsi="Verdana" w:cs="Times"/>
          <w:i/>
          <w:sz w:val="20"/>
          <w:szCs w:val="20"/>
          <w:lang w:val="es-CR" w:eastAsia="es-ES"/>
        </w:rPr>
        <w:t>inter alia</w:t>
      </w:r>
      <w:r w:rsidRPr="0005341B">
        <w:rPr>
          <w:rFonts w:ascii="Verdana" w:eastAsia="Calibri" w:hAnsi="Verdana" w:cs="Times"/>
          <w:sz w:val="20"/>
          <w:szCs w:val="20"/>
          <w:lang w:val="es-CR" w:eastAsia="es-ES"/>
        </w:rPr>
        <w:t xml:space="preserve">, el escrito inicial de denuncia del caso </w:t>
      </w:r>
      <w:r w:rsidRPr="0005341B">
        <w:rPr>
          <w:rFonts w:ascii="Verdana" w:eastAsia="Calibri" w:hAnsi="Verdana" w:cs="Times"/>
          <w:i/>
          <w:sz w:val="20"/>
          <w:szCs w:val="20"/>
          <w:lang w:val="es-ES_tradnl" w:eastAsia="es-ES"/>
        </w:rPr>
        <w:t xml:space="preserve">sub judice </w:t>
      </w:r>
      <w:r w:rsidRPr="0005341B">
        <w:rPr>
          <w:rFonts w:ascii="Verdana" w:eastAsia="Calibri" w:hAnsi="Verdana" w:cs="Times"/>
          <w:sz w:val="20"/>
          <w:szCs w:val="20"/>
          <w:lang w:val="es-ES_tradnl" w:eastAsia="es-ES"/>
        </w:rPr>
        <w:t>de 26 de junio de 2011 ante la Comisión</w:t>
      </w:r>
      <w:r w:rsidRPr="0005341B">
        <w:rPr>
          <w:rFonts w:ascii="Verdana" w:eastAsia="Calibri" w:hAnsi="Verdana" w:cstheme="minorHAnsi"/>
          <w:sz w:val="20"/>
          <w:szCs w:val="20"/>
          <w:lang w:val="es-ES_tradnl" w:eastAsia="es-ES"/>
        </w:rPr>
        <w:t>, y, finalmente,</w:t>
      </w:r>
      <w:r w:rsidRPr="0005341B">
        <w:rPr>
          <w:rFonts w:ascii="Verdana" w:eastAsia="Calibri" w:hAnsi="Verdana" w:cs="Times"/>
          <w:sz w:val="20"/>
          <w:szCs w:val="20"/>
          <w:lang w:val="es-ES_tradnl" w:eastAsia="es-ES"/>
        </w:rPr>
        <w:t xml:space="preserve"> que el CEDEHM tiene el carácter de representante común de las presuntas víctimas en el presente caso en conocimiento de este Tribunal, en conjunto con el Centro de Derechos Humanos Paso del Norte, A. C. (CDHPN) y la Comisión de Solidaridad y Defensa de los Derechos Humanos, A. C. (COSYDDHAC)</w:t>
      </w:r>
      <w:r w:rsidRPr="0005341B">
        <w:rPr>
          <w:rFonts w:ascii="Verdana" w:eastAsia="Calibri" w:hAnsi="Verdana" w:cstheme="minorHAnsi"/>
          <w:sz w:val="20"/>
          <w:szCs w:val="20"/>
          <w:lang w:val="es-ES_tradnl" w:eastAsia="es-ES"/>
        </w:rPr>
        <w:t>;</w:t>
      </w:r>
    </w:p>
    <w:p w14:paraId="48184B58" w14:textId="77777777" w:rsidR="0005341B" w:rsidRPr="0005341B" w:rsidRDefault="0005341B" w:rsidP="00A579A1">
      <w:pPr>
        <w:spacing w:after="0" w:line="240" w:lineRule="auto"/>
        <w:ind w:left="0"/>
        <w:contextualSpacing/>
        <w:rPr>
          <w:rFonts w:ascii="Verdana" w:eastAsia="Calibri" w:hAnsi="Verdana" w:cs="Times"/>
          <w:b/>
          <w:i/>
          <w:sz w:val="20"/>
          <w:szCs w:val="20"/>
          <w:lang w:val="es-CR" w:eastAsia="es-ES"/>
        </w:rPr>
      </w:pPr>
    </w:p>
    <w:p w14:paraId="48184B59" w14:textId="77777777" w:rsidR="0005341B" w:rsidRPr="0005341B" w:rsidRDefault="0005341B" w:rsidP="00A579A1">
      <w:pPr>
        <w:spacing w:after="0" w:line="240" w:lineRule="auto"/>
        <w:ind w:left="1134"/>
        <w:contextualSpacing/>
        <w:rPr>
          <w:rFonts w:ascii="Verdana" w:eastAsia="Calibri" w:hAnsi="Verdana" w:cs="Times"/>
          <w:b/>
          <w:i/>
          <w:sz w:val="20"/>
          <w:szCs w:val="20"/>
          <w:lang w:val="es-CR" w:eastAsia="es-ES"/>
        </w:rPr>
      </w:pPr>
      <w:r w:rsidRPr="0005341B">
        <w:rPr>
          <w:rFonts w:ascii="Verdana" w:eastAsia="Calibri" w:hAnsi="Verdana" w:cstheme="minorHAnsi"/>
          <w:sz w:val="20"/>
          <w:szCs w:val="20"/>
          <w:lang w:val="es-CR" w:eastAsia="es-ES"/>
        </w:rPr>
        <w:t>ii.</w:t>
      </w:r>
      <w:r w:rsidRPr="0005341B">
        <w:rPr>
          <w:rFonts w:ascii="Verdana" w:eastAsia="Calibri" w:hAnsi="Verdana" w:cstheme="minorHAnsi"/>
          <w:b/>
          <w:i/>
          <w:sz w:val="20"/>
          <w:szCs w:val="20"/>
          <w:lang w:val="es-CR" w:eastAsia="es-ES"/>
        </w:rPr>
        <w:t xml:space="preserve"> </w:t>
      </w:r>
      <w:r w:rsidRPr="0005341B">
        <w:rPr>
          <w:rFonts w:ascii="Verdana" w:eastAsia="Calibri" w:hAnsi="Verdana" w:cstheme="minorHAnsi"/>
          <w:i/>
          <w:sz w:val="20"/>
          <w:szCs w:val="20"/>
          <w:lang w:val="es-CR" w:eastAsia="es-ES"/>
        </w:rPr>
        <w:t>En lo atingente</w:t>
      </w:r>
      <w:r w:rsidRPr="0005341B">
        <w:rPr>
          <w:rFonts w:ascii="Verdana" w:eastAsia="Calibri" w:hAnsi="Verdana" w:cs="Times"/>
          <w:i/>
          <w:sz w:val="20"/>
          <w:szCs w:val="20"/>
          <w:lang w:val="es-CR" w:eastAsia="es-ES"/>
        </w:rPr>
        <w:t xml:space="preserve"> al testimonio de Martín Solís Bustamante, Joaquín Solorio Urrutia y Siria Solís Solís</w:t>
      </w:r>
      <w:r w:rsidRPr="0005341B">
        <w:rPr>
          <w:rFonts w:ascii="Verdana" w:eastAsia="Calibri" w:hAnsi="Verdana" w:cstheme="minorHAnsi"/>
          <w:i/>
          <w:sz w:val="20"/>
          <w:szCs w:val="20"/>
          <w:lang w:val="es-CR" w:eastAsia="es-ES"/>
        </w:rPr>
        <w:t>,</w:t>
      </w:r>
    </w:p>
    <w:p w14:paraId="48184B5A" w14:textId="77777777" w:rsidR="0005341B" w:rsidRPr="0005341B" w:rsidRDefault="0005341B" w:rsidP="00A579A1">
      <w:pPr>
        <w:autoSpaceDE w:val="0"/>
        <w:autoSpaceDN w:val="0"/>
        <w:adjustRightInd w:val="0"/>
        <w:spacing w:after="0" w:line="240" w:lineRule="auto"/>
        <w:ind w:left="0"/>
        <w:contextualSpacing/>
        <w:rPr>
          <w:rFonts w:ascii="Verdana" w:eastAsia="Calibri" w:hAnsi="Verdana" w:cs="Times"/>
          <w:b/>
          <w:i/>
          <w:sz w:val="20"/>
          <w:szCs w:val="20"/>
          <w:lang w:val="es-CR" w:eastAsia="es-ES"/>
        </w:rPr>
      </w:pPr>
    </w:p>
    <w:p w14:paraId="48184B5B" w14:textId="3D7F395A" w:rsidR="0005341B" w:rsidRPr="0005341B" w:rsidRDefault="0005341B" w:rsidP="003D1327">
      <w:pPr>
        <w:numPr>
          <w:ilvl w:val="0"/>
          <w:numId w:val="1"/>
        </w:numPr>
        <w:tabs>
          <w:tab w:val="left" w:pos="720"/>
        </w:tabs>
        <w:autoSpaceDE w:val="0"/>
        <w:autoSpaceDN w:val="0"/>
        <w:adjustRightInd w:val="0"/>
        <w:spacing w:after="0" w:line="240" w:lineRule="auto"/>
        <w:ind w:left="0" w:firstLine="0"/>
        <w:contextualSpacing/>
        <w:rPr>
          <w:rFonts w:ascii="Verdana" w:eastAsia="Calibri" w:hAnsi="Verdana" w:cs="Times"/>
          <w:b/>
          <w:i/>
          <w:sz w:val="20"/>
          <w:szCs w:val="20"/>
          <w:lang w:val="es-CR" w:eastAsia="es-ES"/>
        </w:rPr>
      </w:pPr>
      <w:r w:rsidRPr="0005341B">
        <w:rPr>
          <w:rFonts w:ascii="Verdana" w:eastAsia="Calibri" w:hAnsi="Verdana" w:cs="Times"/>
          <w:sz w:val="20"/>
          <w:szCs w:val="20"/>
          <w:lang w:val="es-CR" w:eastAsia="es-ES"/>
        </w:rPr>
        <w:t>Con relación a las declaraciones de Martín Solís Bustamante, Joaquín Solorio Urrutia y Siria Solís Solís, las representantes señalaron que sus testimonios versarán</w:t>
      </w:r>
      <w:r w:rsidRPr="0005341B">
        <w:rPr>
          <w:rFonts w:ascii="Verdana" w:eastAsia="Calibri" w:hAnsi="Verdana" w:cs="Times"/>
          <w:sz w:val="20"/>
          <w:szCs w:val="20"/>
          <w:lang w:val="es-MX" w:eastAsia="es-ES"/>
        </w:rPr>
        <w:t xml:space="preserve"> sobre “la presencia del ejército en el norte del Estado de Chihuahua y, en particular, en el Ejido Benito Juárez, en el municipio de Buenaventura</w:t>
      </w:r>
      <w:r w:rsidRPr="0005341B">
        <w:rPr>
          <w:rFonts w:ascii="Verdana" w:eastAsia="Calibri" w:hAnsi="Verdana" w:cstheme="minorHAnsi"/>
          <w:sz w:val="20"/>
          <w:szCs w:val="20"/>
          <w:lang w:val="es-MX" w:eastAsia="es-ES"/>
        </w:rPr>
        <w:t xml:space="preserve"> y que, asimismo</w:t>
      </w:r>
      <w:r w:rsidRPr="0005341B">
        <w:rPr>
          <w:rFonts w:ascii="Verdana" w:eastAsia="Calibri" w:hAnsi="Verdana" w:cs="Times"/>
          <w:sz w:val="20"/>
          <w:szCs w:val="20"/>
          <w:lang w:val="es-MX" w:eastAsia="es-ES"/>
        </w:rPr>
        <w:t>, declararán sobre las violaciones de derechos humanos cometidas por el ejército en ese Ejido y en el per</w:t>
      </w:r>
      <w:r w:rsidR="00791B85">
        <w:rPr>
          <w:rFonts w:ascii="Verdana" w:eastAsia="Calibri" w:hAnsi="Verdana" w:cs="Times"/>
          <w:sz w:val="20"/>
          <w:szCs w:val="20"/>
          <w:lang w:val="es-MX" w:eastAsia="es-ES"/>
        </w:rPr>
        <w:t>í</w:t>
      </w:r>
      <w:r w:rsidRPr="0005341B">
        <w:rPr>
          <w:rFonts w:ascii="Verdana" w:eastAsia="Calibri" w:hAnsi="Verdana" w:cs="Times"/>
          <w:sz w:val="20"/>
          <w:szCs w:val="20"/>
          <w:lang w:val="es-MX" w:eastAsia="es-ES"/>
        </w:rPr>
        <w:t>odo en que se cometió la detención y posterior desaparición de Nitza Paola, Rocío Irene y José Ángel Alvarado”</w:t>
      </w:r>
      <w:r w:rsidRPr="0005341B">
        <w:rPr>
          <w:rFonts w:ascii="Verdana" w:eastAsia="Calibri" w:hAnsi="Verdana" w:cstheme="minorHAnsi"/>
          <w:sz w:val="20"/>
          <w:szCs w:val="20"/>
          <w:lang w:val="es-MX" w:eastAsia="es-ES"/>
        </w:rPr>
        <w:t>;</w:t>
      </w:r>
    </w:p>
    <w:p w14:paraId="48184B5C" w14:textId="77777777" w:rsidR="0005341B" w:rsidRPr="0005341B" w:rsidRDefault="0005341B" w:rsidP="00A579A1">
      <w:pPr>
        <w:spacing w:after="0" w:line="240" w:lineRule="auto"/>
        <w:ind w:left="0"/>
        <w:contextualSpacing/>
        <w:rPr>
          <w:rFonts w:ascii="Verdana" w:eastAsia="Calibri" w:hAnsi="Verdana" w:cs="Times"/>
          <w:sz w:val="20"/>
          <w:szCs w:val="20"/>
          <w:lang w:val="es-CR" w:eastAsia="es-ES"/>
        </w:rPr>
      </w:pPr>
    </w:p>
    <w:p w14:paraId="48184B5D" w14:textId="453E676D" w:rsidR="0005341B" w:rsidRPr="0005341B" w:rsidRDefault="0005341B" w:rsidP="00471AEC">
      <w:pPr>
        <w:numPr>
          <w:ilvl w:val="0"/>
          <w:numId w:val="1"/>
        </w:numPr>
        <w:spacing w:after="0" w:line="240" w:lineRule="auto"/>
        <w:ind w:left="0" w:firstLine="0"/>
        <w:contextualSpacing/>
        <w:rPr>
          <w:rFonts w:ascii="Verdana" w:eastAsia="Calibri" w:hAnsi="Verdana" w:cs="Times"/>
          <w:b/>
          <w:i/>
          <w:sz w:val="20"/>
          <w:szCs w:val="20"/>
          <w:lang w:val="es-CR" w:eastAsia="es-ES"/>
        </w:rPr>
      </w:pPr>
      <w:r w:rsidRPr="0005341B">
        <w:rPr>
          <w:rFonts w:ascii="Verdana" w:eastAsia="Calibri" w:hAnsi="Verdana" w:cs="Times"/>
          <w:sz w:val="20"/>
          <w:szCs w:val="20"/>
          <w:lang w:val="es-CR" w:eastAsia="es-ES"/>
        </w:rPr>
        <w:t>El Estado objetó dichos ofrecimientos manifestando que “</w:t>
      </w:r>
      <w:r w:rsidRPr="0005341B">
        <w:rPr>
          <w:rFonts w:ascii="Verdana" w:eastAsia="Calibri" w:hAnsi="Verdana" w:cs="Times"/>
          <w:sz w:val="20"/>
          <w:szCs w:val="20"/>
          <w:lang w:val="es-ES_tradnl" w:eastAsia="es-ES"/>
        </w:rPr>
        <w:t>Martín Solís Bustamante, Siria Solís Solís y Joaquín Solorio Urrutia carecen de relación directa con la base fáctica que originó el presente caso</w:t>
      </w:r>
      <w:r w:rsidRPr="0005341B">
        <w:rPr>
          <w:rFonts w:ascii="Verdana" w:eastAsia="Calibri" w:hAnsi="Verdana" w:cstheme="minorHAnsi"/>
          <w:sz w:val="20"/>
          <w:szCs w:val="20"/>
          <w:lang w:val="es-ES_tradnl" w:eastAsia="es-ES"/>
        </w:rPr>
        <w:t>, [</w:t>
      </w:r>
      <w:r w:rsidRPr="0005341B">
        <w:rPr>
          <w:rFonts w:ascii="Verdana" w:eastAsia="Calibri" w:hAnsi="Verdana" w:cs="Times"/>
          <w:sz w:val="20"/>
          <w:szCs w:val="20"/>
          <w:lang w:val="es-ES_tradnl" w:eastAsia="es-ES"/>
        </w:rPr>
        <w:t>dado que] los propuestos testigos no presenciaron ni tuvieron injerencia en los hechos del caso, de manera directa o indirecta”</w:t>
      </w:r>
      <w:r w:rsidRPr="0005341B">
        <w:rPr>
          <w:rFonts w:ascii="Verdana" w:eastAsia="Calibri" w:hAnsi="Verdana" w:cstheme="minorHAnsi"/>
          <w:sz w:val="20"/>
          <w:szCs w:val="20"/>
          <w:lang w:val="es-ES_tradnl" w:eastAsia="es-ES"/>
        </w:rPr>
        <w:t>, agregando</w:t>
      </w:r>
      <w:r w:rsidRPr="0005341B">
        <w:rPr>
          <w:rFonts w:ascii="Verdana" w:eastAsia="Calibri" w:hAnsi="Verdana" w:cs="Times"/>
          <w:sz w:val="20"/>
          <w:szCs w:val="20"/>
          <w:lang w:val="es-ES_tradnl" w:eastAsia="es-ES"/>
        </w:rPr>
        <w:t xml:space="preserve"> que “[s]i bien el objeto de su propuesta de testimonio versa sobre las presuntas violaciones de derechos humanos cometidas por el Ejército en ese Ejido y en el período en que se cometió la detención y posterior desaparición de las presuntas víctimas, ese probable testimonio únicamente podría fungir como una contextualización –</w:t>
      </w:r>
      <w:r w:rsidRPr="0005341B">
        <w:rPr>
          <w:rFonts w:ascii="Verdana" w:eastAsia="Calibri" w:hAnsi="Verdana" w:cs="Times"/>
          <w:i/>
          <w:sz w:val="20"/>
          <w:szCs w:val="20"/>
          <w:lang w:val="es-ES_tradnl" w:eastAsia="es-ES"/>
        </w:rPr>
        <w:t>lato sensu</w:t>
      </w:r>
      <w:r w:rsidRPr="0005341B">
        <w:rPr>
          <w:rFonts w:ascii="Verdana" w:eastAsia="Calibri" w:hAnsi="Verdana" w:cs="Times"/>
          <w:sz w:val="20"/>
          <w:szCs w:val="20"/>
          <w:lang w:val="es-ES_tradnl" w:eastAsia="es-ES"/>
        </w:rPr>
        <w:t xml:space="preserve">- de las circunstancias del presente caso, sin que necesariamente tenga relación directa con el objeto del litigio”, por lo que consideró irrelevante para el análisis de los hechos </w:t>
      </w:r>
      <w:r w:rsidRPr="0005341B">
        <w:rPr>
          <w:rFonts w:ascii="Verdana" w:eastAsia="Calibri" w:hAnsi="Verdana" w:cs="Times"/>
          <w:i/>
          <w:sz w:val="20"/>
          <w:szCs w:val="20"/>
          <w:lang w:val="es-ES_tradnl" w:eastAsia="es-ES"/>
        </w:rPr>
        <w:t>sub judice</w:t>
      </w:r>
      <w:r w:rsidRPr="0005341B">
        <w:rPr>
          <w:rFonts w:ascii="Verdana" w:eastAsia="Calibri" w:hAnsi="Verdana" w:cs="Times"/>
          <w:sz w:val="20"/>
          <w:szCs w:val="20"/>
          <w:lang w:val="es-ES_tradnl" w:eastAsia="es-ES"/>
        </w:rPr>
        <w:t xml:space="preserve"> el desahogo de dicha</w:t>
      </w:r>
      <w:r w:rsidR="00791B85">
        <w:rPr>
          <w:rFonts w:ascii="Verdana" w:eastAsia="Calibri" w:hAnsi="Verdana" w:cs="Times"/>
          <w:sz w:val="20"/>
          <w:szCs w:val="20"/>
          <w:lang w:val="es-ES_tradnl" w:eastAsia="es-ES"/>
        </w:rPr>
        <w:t>s</w:t>
      </w:r>
      <w:r w:rsidRPr="0005341B">
        <w:rPr>
          <w:rFonts w:ascii="Verdana" w:eastAsia="Calibri" w:hAnsi="Verdana" w:cs="Times"/>
          <w:sz w:val="20"/>
          <w:szCs w:val="20"/>
          <w:lang w:val="es-ES_tradnl" w:eastAsia="es-ES"/>
        </w:rPr>
        <w:t xml:space="preserve"> declaraciones</w:t>
      </w:r>
      <w:r w:rsidRPr="0005341B">
        <w:rPr>
          <w:rFonts w:ascii="Verdana" w:eastAsia="Calibri" w:hAnsi="Verdana" w:cstheme="minorHAnsi"/>
          <w:sz w:val="20"/>
          <w:szCs w:val="20"/>
          <w:lang w:val="es-ES_tradnl" w:eastAsia="es-ES"/>
        </w:rPr>
        <w:t>, por lo que, en</w:t>
      </w:r>
      <w:r w:rsidRPr="0005341B">
        <w:rPr>
          <w:rFonts w:ascii="Verdana" w:eastAsia="Calibri" w:hAnsi="Verdana" w:cs="Times"/>
          <w:sz w:val="20"/>
          <w:szCs w:val="20"/>
          <w:lang w:val="es-ES_tradnl" w:eastAsia="es-ES"/>
        </w:rPr>
        <w:t xml:space="preserve"> este sentido, el argumentó que “el objeto de su declaración es abordada por otros testigos que sí han tenido conocimiento directo de los hecho[s] y por los peritos propuestos por la representación de las víctimas, por lo cual sería ociosa su admisión”, </w:t>
      </w:r>
      <w:r w:rsidRPr="0005341B">
        <w:rPr>
          <w:rFonts w:ascii="Verdana" w:eastAsia="Calibri" w:hAnsi="Verdana" w:cstheme="minorHAnsi"/>
          <w:sz w:val="20"/>
          <w:szCs w:val="20"/>
          <w:lang w:val="es-ES_tradnl" w:eastAsia="es-ES"/>
        </w:rPr>
        <w:t>solicitando al Tribunal,</w:t>
      </w:r>
      <w:r w:rsidRPr="0005341B">
        <w:rPr>
          <w:rFonts w:ascii="Verdana" w:eastAsia="Calibri" w:hAnsi="Verdana" w:cs="Times"/>
          <w:sz w:val="20"/>
          <w:szCs w:val="20"/>
          <w:lang w:val="es-ES_tradnl" w:eastAsia="es-ES"/>
        </w:rPr>
        <w:t xml:space="preserve"> en consecuencia, que declare inadmisibles dichos testimonios</w:t>
      </w:r>
      <w:r w:rsidRPr="0005341B">
        <w:rPr>
          <w:rFonts w:ascii="Verdana" w:eastAsia="Calibri" w:hAnsi="Verdana" w:cstheme="minorHAnsi"/>
          <w:sz w:val="20"/>
          <w:szCs w:val="20"/>
          <w:lang w:val="es-ES_tradnl" w:eastAsia="es-ES"/>
        </w:rPr>
        <w:t>;</w:t>
      </w:r>
    </w:p>
    <w:p w14:paraId="48184B5E" w14:textId="77777777" w:rsidR="0005341B" w:rsidRPr="0005341B" w:rsidRDefault="0005341B" w:rsidP="00471AEC">
      <w:pPr>
        <w:spacing w:after="0" w:line="240" w:lineRule="auto"/>
        <w:ind w:left="0"/>
        <w:contextualSpacing/>
        <w:rPr>
          <w:rFonts w:ascii="Verdana" w:eastAsia="Calibri" w:hAnsi="Verdana" w:cs="Times"/>
          <w:b/>
          <w:i/>
          <w:sz w:val="20"/>
          <w:szCs w:val="20"/>
          <w:lang w:val="es-CR" w:eastAsia="es-ES"/>
        </w:rPr>
      </w:pPr>
    </w:p>
    <w:p w14:paraId="48184B5F" w14:textId="77777777" w:rsidR="0005341B" w:rsidRPr="0005341B" w:rsidRDefault="0005341B" w:rsidP="00471AEC">
      <w:pPr>
        <w:numPr>
          <w:ilvl w:val="0"/>
          <w:numId w:val="1"/>
        </w:numPr>
        <w:spacing w:after="0" w:line="240" w:lineRule="auto"/>
        <w:ind w:left="0" w:firstLine="0"/>
        <w:contextualSpacing/>
        <w:rPr>
          <w:rFonts w:ascii="Verdana" w:eastAsia="Calibri" w:hAnsi="Verdana" w:cs="Times"/>
          <w:b/>
          <w:i/>
          <w:sz w:val="20"/>
          <w:szCs w:val="20"/>
          <w:lang w:val="es-CR" w:eastAsia="es-ES"/>
        </w:rPr>
      </w:pPr>
      <w:r w:rsidRPr="0005341B">
        <w:rPr>
          <w:rFonts w:ascii="Verdana" w:eastAsia="Calibri" w:hAnsi="Verdana" w:cstheme="minorHAnsi"/>
          <w:sz w:val="20"/>
          <w:szCs w:val="20"/>
          <w:lang w:val="es-CR" w:eastAsia="es-ES"/>
        </w:rPr>
        <w:t>En</w:t>
      </w:r>
      <w:r w:rsidRPr="0005341B">
        <w:rPr>
          <w:rFonts w:ascii="Verdana" w:eastAsia="Calibri" w:hAnsi="Verdana" w:cs="Times"/>
          <w:sz w:val="20"/>
          <w:szCs w:val="20"/>
          <w:lang w:val="es-CR" w:eastAsia="es-ES"/>
        </w:rPr>
        <w:t xml:space="preserve"> el acervo probatorio recaudado hasta el momento, </w:t>
      </w:r>
      <w:r w:rsidRPr="0005341B">
        <w:rPr>
          <w:rFonts w:ascii="Verdana" w:eastAsia="Calibri" w:hAnsi="Verdana" w:cstheme="minorHAnsi"/>
          <w:sz w:val="20"/>
          <w:szCs w:val="20"/>
          <w:lang w:val="es-CR" w:eastAsia="es-ES"/>
        </w:rPr>
        <w:t xml:space="preserve">no constan </w:t>
      </w:r>
      <w:r w:rsidRPr="0005341B">
        <w:rPr>
          <w:rFonts w:ascii="Verdana" w:eastAsia="Calibri" w:hAnsi="Verdana" w:cstheme="minorHAnsi"/>
          <w:sz w:val="20"/>
          <w:szCs w:val="20"/>
          <w:lang w:val="es-MX" w:eastAsia="es-ES"/>
        </w:rPr>
        <w:t>las vinculaciones de</w:t>
      </w:r>
      <w:r w:rsidRPr="0005341B">
        <w:rPr>
          <w:rFonts w:ascii="Verdana" w:eastAsia="Calibri" w:hAnsi="Verdana" w:cs="Times"/>
          <w:sz w:val="20"/>
          <w:szCs w:val="20"/>
          <w:lang w:val="es-MX" w:eastAsia="es-ES"/>
        </w:rPr>
        <w:t xml:space="preserve"> </w:t>
      </w:r>
      <w:r w:rsidRPr="0005341B">
        <w:rPr>
          <w:rFonts w:ascii="Verdana" w:eastAsia="Calibri" w:hAnsi="Verdana" w:cs="Times"/>
          <w:sz w:val="20"/>
          <w:szCs w:val="20"/>
          <w:lang w:val="es-CR" w:eastAsia="es-ES"/>
        </w:rPr>
        <w:t>Martín Solís Bustamante, Joaquín Solorio Urrutia y Siria Solís Solís</w:t>
      </w:r>
      <w:r w:rsidRPr="0005341B">
        <w:rPr>
          <w:rFonts w:ascii="Verdana" w:eastAsia="Calibri" w:hAnsi="Verdana" w:cstheme="minorHAnsi"/>
          <w:sz w:val="20"/>
          <w:szCs w:val="20"/>
          <w:lang w:val="es-MX" w:eastAsia="es-ES"/>
        </w:rPr>
        <w:t xml:space="preserve">, </w:t>
      </w:r>
      <w:r w:rsidRPr="0005341B">
        <w:rPr>
          <w:rFonts w:ascii="Verdana" w:eastAsia="Calibri" w:hAnsi="Verdana" w:cs="Times"/>
          <w:sz w:val="20"/>
          <w:szCs w:val="20"/>
          <w:lang w:val="es-MX" w:eastAsia="es-ES"/>
        </w:rPr>
        <w:t>con los hechos específicos del presente caso</w:t>
      </w:r>
      <w:r w:rsidRPr="0005341B">
        <w:rPr>
          <w:rFonts w:ascii="Verdana" w:eastAsia="Calibri" w:hAnsi="Verdana" w:cstheme="minorHAnsi"/>
          <w:sz w:val="20"/>
          <w:szCs w:val="20"/>
          <w:lang w:val="es-MX" w:eastAsia="es-ES"/>
        </w:rPr>
        <w:t>, como tampoco de</w:t>
      </w:r>
      <w:r w:rsidRPr="0005341B">
        <w:rPr>
          <w:rFonts w:ascii="Verdana" w:eastAsia="Calibri" w:hAnsi="Verdana" w:cs="Times"/>
          <w:sz w:val="20"/>
          <w:szCs w:val="20"/>
          <w:lang w:val="es-MX" w:eastAsia="es-ES"/>
        </w:rPr>
        <w:t xml:space="preserve"> las razones por las tendrían conocimiento sobre los hechos </w:t>
      </w:r>
      <w:r w:rsidRPr="0005341B">
        <w:rPr>
          <w:rFonts w:ascii="Verdana" w:eastAsia="Calibri" w:hAnsi="Verdana" w:cs="Times"/>
          <w:i/>
          <w:sz w:val="20"/>
          <w:szCs w:val="20"/>
          <w:lang w:val="es-MX" w:eastAsia="es-ES"/>
        </w:rPr>
        <w:t xml:space="preserve">sub judice </w:t>
      </w:r>
      <w:r w:rsidRPr="0005341B">
        <w:rPr>
          <w:rFonts w:ascii="Verdana" w:eastAsia="Calibri" w:hAnsi="Verdana" w:cs="Times"/>
          <w:sz w:val="20"/>
          <w:szCs w:val="20"/>
          <w:lang w:val="es-MX" w:eastAsia="es-ES"/>
        </w:rPr>
        <w:t>o sobre el contexto fáctico en que hipotéticamente tuvieron lugar y su relación con el objeto común de sus eventuales declaraciones</w:t>
      </w:r>
      <w:r w:rsidRPr="0005341B">
        <w:rPr>
          <w:rFonts w:ascii="Verdana" w:eastAsia="Calibri" w:hAnsi="Verdana" w:cstheme="minorHAnsi"/>
          <w:sz w:val="20"/>
          <w:szCs w:val="20"/>
          <w:lang w:val="es-MX" w:eastAsia="es-ES"/>
        </w:rPr>
        <w:t>;</w:t>
      </w:r>
    </w:p>
    <w:p w14:paraId="48184B60" w14:textId="77777777" w:rsidR="0005341B" w:rsidRPr="0005341B" w:rsidRDefault="0005341B" w:rsidP="00A579A1">
      <w:pPr>
        <w:spacing w:after="0" w:line="240" w:lineRule="auto"/>
        <w:ind w:left="0"/>
        <w:contextualSpacing/>
        <w:rPr>
          <w:rFonts w:ascii="Verdana" w:eastAsia="Calibri" w:hAnsi="Verdana" w:cs="Times"/>
          <w:b/>
          <w:i/>
          <w:sz w:val="20"/>
          <w:szCs w:val="20"/>
          <w:lang w:val="es-CR" w:eastAsia="es-ES"/>
        </w:rPr>
      </w:pPr>
    </w:p>
    <w:p w14:paraId="48184B61" w14:textId="77777777" w:rsidR="0005341B" w:rsidRPr="0005341B" w:rsidRDefault="0005341B" w:rsidP="00A579A1">
      <w:pPr>
        <w:spacing w:after="0" w:line="276" w:lineRule="auto"/>
        <w:ind w:left="1134"/>
        <w:rPr>
          <w:rFonts w:ascii="Verdana" w:eastAsia="MS Mincho" w:hAnsi="Verdana"/>
          <w:i/>
          <w:sz w:val="20"/>
          <w:szCs w:val="20"/>
          <w:lang w:val="es-CR"/>
        </w:rPr>
      </w:pPr>
      <w:r w:rsidRPr="0005341B">
        <w:rPr>
          <w:rFonts w:ascii="Verdana" w:eastAsia="MS Mincho" w:hAnsi="Verdana" w:cstheme="minorHAnsi"/>
          <w:i/>
          <w:sz w:val="20"/>
          <w:szCs w:val="20"/>
          <w:lang w:val="es-CR"/>
        </w:rPr>
        <w:t>iii. En lo referido</w:t>
      </w:r>
      <w:r w:rsidRPr="0005341B">
        <w:rPr>
          <w:rFonts w:ascii="Verdana" w:eastAsia="MS Mincho" w:hAnsi="Verdana"/>
          <w:i/>
          <w:sz w:val="20"/>
          <w:szCs w:val="20"/>
          <w:lang w:val="es-CR"/>
        </w:rPr>
        <w:t xml:space="preserve"> al testimonio del señor Salomón Baltazar Samayoa</w:t>
      </w:r>
      <w:r w:rsidRPr="0005341B">
        <w:rPr>
          <w:rFonts w:ascii="Verdana" w:eastAsia="MS Mincho" w:hAnsi="Verdana" w:cstheme="minorHAnsi"/>
          <w:i/>
          <w:sz w:val="20"/>
          <w:szCs w:val="20"/>
          <w:lang w:val="es-CR"/>
        </w:rPr>
        <w:t>,</w:t>
      </w:r>
      <w:r w:rsidRPr="0005341B">
        <w:rPr>
          <w:rFonts w:ascii="Verdana" w:eastAsia="MS Mincho" w:hAnsi="Verdana"/>
          <w:i/>
          <w:sz w:val="20"/>
          <w:szCs w:val="20"/>
          <w:lang w:val="es-CR"/>
        </w:rPr>
        <w:t xml:space="preserve"> </w:t>
      </w:r>
    </w:p>
    <w:p w14:paraId="48184B62" w14:textId="77777777" w:rsidR="0005341B" w:rsidRPr="0005341B" w:rsidRDefault="0005341B" w:rsidP="00A579A1">
      <w:pPr>
        <w:spacing w:after="0" w:line="276" w:lineRule="auto"/>
        <w:ind w:left="1134"/>
        <w:rPr>
          <w:rFonts w:ascii="Verdana" w:eastAsia="MS Mincho" w:hAnsi="Verdana"/>
          <w:i/>
          <w:sz w:val="20"/>
          <w:szCs w:val="20"/>
          <w:lang w:val="es-CR"/>
        </w:rPr>
      </w:pPr>
    </w:p>
    <w:p w14:paraId="48184B63" w14:textId="69A7B54C" w:rsidR="0005341B" w:rsidRPr="0005341B" w:rsidRDefault="0005341B" w:rsidP="00471AEC">
      <w:pPr>
        <w:numPr>
          <w:ilvl w:val="0"/>
          <w:numId w:val="1"/>
        </w:numPr>
        <w:autoSpaceDE w:val="0"/>
        <w:autoSpaceDN w:val="0"/>
        <w:adjustRightInd w:val="0"/>
        <w:spacing w:after="0" w:line="240" w:lineRule="auto"/>
        <w:ind w:left="0" w:firstLine="0"/>
        <w:contextualSpacing/>
        <w:rPr>
          <w:rFonts w:ascii="Verdana" w:eastAsia="Calibri" w:hAnsi="Verdana" w:cs="Times"/>
          <w:sz w:val="20"/>
          <w:szCs w:val="20"/>
          <w:lang w:val="es-ES_tradnl" w:eastAsia="es-ES"/>
        </w:rPr>
      </w:pPr>
      <w:r w:rsidRPr="0005341B">
        <w:rPr>
          <w:rFonts w:ascii="Verdana" w:eastAsia="Calibri" w:hAnsi="Verdana" w:cs="Times"/>
          <w:sz w:val="20"/>
          <w:szCs w:val="20"/>
          <w:lang w:val="es-ES_tradnl" w:eastAsia="es-ES"/>
        </w:rPr>
        <w:t xml:space="preserve">En relación con Salvador Baltazar Samayoa, quien fungió como titular de la Unidad Especializada de Búsqueda de Personas Desaparecidas de la Procuraduría General de la República al momento de los hechos, las representantes señalaron que su declaración tiene como objeto </w:t>
      </w:r>
      <w:r w:rsidRPr="0005341B">
        <w:rPr>
          <w:rFonts w:ascii="Verdana" w:eastAsia="Calibri" w:hAnsi="Verdana" w:cs="Times"/>
          <w:sz w:val="20"/>
          <w:szCs w:val="20"/>
          <w:lang w:val="es-ES_tradnl" w:eastAsia="es-ES"/>
        </w:rPr>
        <w:lastRenderedPageBreak/>
        <w:t>referirse “a las diligencias realizadas en la investigación avanzada por la PGR, así como los distintos obstáculos para garantizar la ubicación del paradero de las víctimas y la sanción de los responsables</w:t>
      </w:r>
      <w:r w:rsidRPr="0005341B">
        <w:rPr>
          <w:rFonts w:ascii="Verdana" w:eastAsia="Calibri" w:hAnsi="Verdana" w:cstheme="minorHAnsi"/>
          <w:sz w:val="20"/>
          <w:szCs w:val="20"/>
          <w:lang w:val="es-ES_tradnl" w:eastAsia="es-ES"/>
        </w:rPr>
        <w:t xml:space="preserve"> y que también</w:t>
      </w:r>
      <w:r w:rsidRPr="0005341B">
        <w:rPr>
          <w:rFonts w:ascii="Verdana" w:eastAsia="Calibri" w:hAnsi="Verdana" w:cs="Times"/>
          <w:sz w:val="20"/>
          <w:szCs w:val="20"/>
          <w:lang w:val="es-ES_tradnl" w:eastAsia="es-ES"/>
        </w:rPr>
        <w:t xml:space="preserve"> hablará sobre las diligencias que prueban que había presencia militar en la zona y que una de las principales líneas de investigación era la participación de militares en la desaparición de las víctimas”</w:t>
      </w:r>
      <w:r w:rsidRPr="0005341B">
        <w:rPr>
          <w:rFonts w:ascii="Verdana" w:eastAsia="Calibri" w:hAnsi="Verdana" w:cstheme="minorHAnsi"/>
          <w:sz w:val="20"/>
          <w:szCs w:val="20"/>
          <w:lang w:val="es-ES_tradnl" w:eastAsia="es-ES"/>
        </w:rPr>
        <w:t>;</w:t>
      </w:r>
    </w:p>
    <w:p w14:paraId="48184B64" w14:textId="77777777" w:rsidR="0005341B" w:rsidRPr="0005341B" w:rsidRDefault="0005341B" w:rsidP="00471AEC">
      <w:pPr>
        <w:autoSpaceDE w:val="0"/>
        <w:autoSpaceDN w:val="0"/>
        <w:adjustRightInd w:val="0"/>
        <w:spacing w:after="0" w:line="240" w:lineRule="auto"/>
        <w:ind w:left="0"/>
        <w:contextualSpacing/>
        <w:rPr>
          <w:rFonts w:ascii="Verdana" w:eastAsia="Calibri" w:hAnsi="Verdana" w:cs="Times"/>
          <w:sz w:val="20"/>
          <w:szCs w:val="20"/>
          <w:lang w:val="es-ES_tradnl" w:eastAsia="es-ES"/>
        </w:rPr>
      </w:pPr>
    </w:p>
    <w:p w14:paraId="48184B65" w14:textId="148D1088" w:rsidR="0005341B" w:rsidRPr="0005341B" w:rsidRDefault="0005341B" w:rsidP="003D1327">
      <w:pPr>
        <w:numPr>
          <w:ilvl w:val="0"/>
          <w:numId w:val="1"/>
        </w:numPr>
        <w:tabs>
          <w:tab w:val="left" w:pos="720"/>
        </w:tabs>
        <w:autoSpaceDE w:val="0"/>
        <w:autoSpaceDN w:val="0"/>
        <w:adjustRightInd w:val="0"/>
        <w:spacing w:after="0" w:line="240" w:lineRule="auto"/>
        <w:ind w:left="0" w:firstLine="0"/>
        <w:contextualSpacing/>
        <w:rPr>
          <w:rFonts w:ascii="Verdana" w:eastAsia="Calibri" w:hAnsi="Verdana" w:cs="Times"/>
          <w:sz w:val="20"/>
          <w:szCs w:val="20"/>
          <w:lang w:val="es-ES_tradnl" w:eastAsia="es-ES"/>
        </w:rPr>
      </w:pPr>
      <w:r w:rsidRPr="0005341B">
        <w:rPr>
          <w:rFonts w:ascii="Verdana" w:eastAsia="Calibri" w:hAnsi="Verdana" w:cstheme="minorHAnsi"/>
          <w:sz w:val="20"/>
          <w:szCs w:val="20"/>
          <w:lang w:val="es-CR" w:eastAsia="es-ES"/>
        </w:rPr>
        <w:t>El</w:t>
      </w:r>
      <w:r w:rsidRPr="0005341B">
        <w:rPr>
          <w:rFonts w:ascii="Verdana" w:eastAsia="Calibri" w:hAnsi="Verdana" w:cs="Times"/>
          <w:sz w:val="20"/>
          <w:szCs w:val="20"/>
          <w:lang w:val="es-CR" w:eastAsia="es-ES"/>
        </w:rPr>
        <w:t xml:space="preserve"> Estado formuló objeciones a dicha declaración señalando que</w:t>
      </w:r>
      <w:r w:rsidRPr="0005341B">
        <w:rPr>
          <w:rFonts w:ascii="Verdana" w:eastAsia="Calibri" w:hAnsi="Verdana" w:cs="Times"/>
          <w:sz w:val="20"/>
          <w:szCs w:val="20"/>
          <w:lang w:val="es-ES_tradnl" w:eastAsia="es-ES"/>
        </w:rPr>
        <w:t xml:space="preserve"> la misma, en cuanto se refiere “a la presencia militar y la existencia de una línea de investigación sobre la presunta participación militar en los hechos”, versa sobre hechos que no resultan controvertidos en el presente caso, </w:t>
      </w:r>
      <w:r w:rsidRPr="0005341B">
        <w:rPr>
          <w:rFonts w:ascii="Verdana" w:eastAsia="Calibri" w:hAnsi="Verdana" w:cstheme="minorHAnsi"/>
          <w:sz w:val="20"/>
          <w:szCs w:val="20"/>
          <w:lang w:val="es-ES_tradnl" w:eastAsia="es-ES"/>
        </w:rPr>
        <w:t>teniendo</w:t>
      </w:r>
      <w:r w:rsidRPr="0005341B">
        <w:rPr>
          <w:rFonts w:ascii="Verdana" w:eastAsia="Calibri" w:hAnsi="Verdana" w:cs="Times"/>
          <w:sz w:val="20"/>
          <w:szCs w:val="20"/>
          <w:lang w:val="es-ES_tradnl" w:eastAsia="es-ES"/>
        </w:rPr>
        <w:t xml:space="preserve"> el objeto de “reforzar aspectos ya tratados por las partes” y, por tanto, el desahogo de dicho testimonio adolece de falta de pertinencia y resulta contrario “al principio de economía procesal”</w:t>
      </w:r>
      <w:r w:rsidRPr="0005341B">
        <w:rPr>
          <w:rFonts w:ascii="Verdana" w:eastAsia="Calibri" w:hAnsi="Verdana" w:cstheme="minorHAnsi"/>
          <w:sz w:val="20"/>
          <w:szCs w:val="20"/>
          <w:lang w:val="es-ES_tradnl" w:eastAsia="es-ES"/>
        </w:rPr>
        <w:t xml:space="preserve">, destacando </w:t>
      </w:r>
      <w:r w:rsidRPr="0005341B">
        <w:rPr>
          <w:rFonts w:ascii="Verdana" w:eastAsia="Calibri" w:hAnsi="Verdana" w:cs="Times"/>
          <w:sz w:val="20"/>
          <w:szCs w:val="20"/>
          <w:lang w:val="es-ES_tradnl" w:eastAsia="es-ES"/>
        </w:rPr>
        <w:t xml:space="preserve"> particularmente que, en su concepto, el contenido de la declaración del testigo propuesto por las representantes implícitamente conlleva, por parte del declarante, a una valoración de los mismos, ya que su objeto no se limita únicamente a “relatar las diligencias practicadas, sino [también a] la interpretación que se le dio a dichas diligencias y demás elementos probatorios en su conjunto en aras de formar una línea de investigación sobre presunta presencia militar” que eventualmente prejuzgaría sobre la responsabilidad estatal reclamada del Estado en el presente caso</w:t>
      </w:r>
      <w:r w:rsidRPr="0005341B">
        <w:rPr>
          <w:rFonts w:ascii="Verdana" w:eastAsia="Calibri" w:hAnsi="Verdana" w:cstheme="minorHAnsi"/>
          <w:sz w:val="20"/>
          <w:szCs w:val="20"/>
          <w:lang w:val="es-ES_tradnl" w:eastAsia="es-ES"/>
        </w:rPr>
        <w:t>, motivos por los que</w:t>
      </w:r>
      <w:r w:rsidRPr="0005341B">
        <w:rPr>
          <w:rFonts w:ascii="Verdana" w:eastAsia="Calibri" w:hAnsi="Verdana" w:cs="Times"/>
          <w:sz w:val="20"/>
          <w:szCs w:val="20"/>
          <w:lang w:val="es-ES_tradnl" w:eastAsia="es-ES"/>
        </w:rPr>
        <w:t xml:space="preserve"> solicitó a la Corte “declarar inadmisible el testimonio de Salomón Baltazar Samayoa o en su caso</w:t>
      </w:r>
      <w:r w:rsidRPr="0005341B">
        <w:rPr>
          <w:rFonts w:ascii="Verdana" w:eastAsia="Calibri" w:hAnsi="Verdana" w:cstheme="minorHAnsi"/>
          <w:sz w:val="20"/>
          <w:szCs w:val="20"/>
          <w:lang w:val="es-ES_tradnl" w:eastAsia="es-ES"/>
        </w:rPr>
        <w:t>,</w:t>
      </w:r>
      <w:r w:rsidRPr="0005341B">
        <w:rPr>
          <w:rFonts w:ascii="Verdana" w:eastAsia="Calibri" w:hAnsi="Verdana" w:cs="Times"/>
          <w:sz w:val="20"/>
          <w:szCs w:val="20"/>
          <w:lang w:val="es-ES_tradnl" w:eastAsia="es-ES"/>
        </w:rPr>
        <w:t xml:space="preserve"> únicamente solicitar su</w:t>
      </w:r>
      <w:r w:rsidR="00A579A1">
        <w:rPr>
          <w:rFonts w:ascii="Verdana" w:eastAsia="Calibri" w:hAnsi="Verdana" w:cs="Times"/>
          <w:sz w:val="20"/>
          <w:szCs w:val="20"/>
          <w:lang w:val="es-ES_tradnl" w:eastAsia="es-ES"/>
        </w:rPr>
        <w:t xml:space="preserve"> presentación de forma escrita”;</w:t>
      </w:r>
    </w:p>
    <w:p w14:paraId="48184B66" w14:textId="77777777" w:rsidR="0005341B" w:rsidRPr="0005341B" w:rsidRDefault="0005341B" w:rsidP="00471AEC">
      <w:pPr>
        <w:autoSpaceDE w:val="0"/>
        <w:autoSpaceDN w:val="0"/>
        <w:adjustRightInd w:val="0"/>
        <w:spacing w:after="0" w:line="240" w:lineRule="auto"/>
        <w:ind w:left="0"/>
        <w:rPr>
          <w:rFonts w:ascii="Verdana" w:eastAsia="MS Mincho" w:hAnsi="Verdana"/>
          <w:sz w:val="20"/>
          <w:szCs w:val="20"/>
          <w:lang w:val="es-MX"/>
        </w:rPr>
      </w:pPr>
    </w:p>
    <w:p w14:paraId="48184B67" w14:textId="77777777" w:rsidR="0005341B" w:rsidRPr="0005341B" w:rsidRDefault="0005341B" w:rsidP="00471AEC">
      <w:pPr>
        <w:numPr>
          <w:ilvl w:val="0"/>
          <w:numId w:val="1"/>
        </w:numPr>
        <w:spacing w:after="0" w:line="240" w:lineRule="auto"/>
        <w:ind w:left="0" w:firstLine="0"/>
        <w:contextualSpacing/>
        <w:rPr>
          <w:rFonts w:ascii="Verdana" w:eastAsia="Calibri" w:hAnsi="Verdana" w:cs="Times"/>
          <w:b/>
          <w:i/>
          <w:sz w:val="20"/>
          <w:szCs w:val="20"/>
          <w:lang w:val="es-CR" w:eastAsia="es-ES"/>
        </w:rPr>
      </w:pPr>
      <w:r w:rsidRPr="0005341B">
        <w:rPr>
          <w:rFonts w:ascii="Verdana" w:eastAsia="Calibri" w:hAnsi="Verdana" w:cstheme="minorHAnsi"/>
          <w:iCs/>
          <w:sz w:val="20"/>
          <w:szCs w:val="20"/>
          <w:u w:val="single"/>
          <w:lang w:val="es-ES_tradnl" w:eastAsia="es-ES"/>
        </w:rPr>
        <w:t>P</w:t>
      </w:r>
      <w:r w:rsidRPr="0005341B">
        <w:rPr>
          <w:rFonts w:ascii="Verdana" w:eastAsia="Calibri" w:hAnsi="Verdana" w:cstheme="minorHAnsi"/>
          <w:iCs/>
          <w:sz w:val="20"/>
          <w:szCs w:val="20"/>
          <w:lang w:val="es-ES_tradnl" w:eastAsia="es-ES"/>
        </w:rPr>
        <w:t>or</w:t>
      </w:r>
      <w:r w:rsidRPr="0005341B">
        <w:rPr>
          <w:rFonts w:ascii="Verdana" w:eastAsia="Calibri" w:hAnsi="Verdana" w:cs="Times"/>
          <w:sz w:val="20"/>
          <w:szCs w:val="20"/>
          <w:lang w:val="es-ES_tradnl" w:eastAsia="es-ES"/>
        </w:rPr>
        <w:t xml:space="preserve"> la naturaleza de las funciones que el señor </w:t>
      </w:r>
      <w:r w:rsidRPr="0005341B">
        <w:rPr>
          <w:rFonts w:ascii="Verdana" w:eastAsia="Calibri" w:hAnsi="Verdana" w:cs="Times"/>
          <w:sz w:val="20"/>
          <w:szCs w:val="20"/>
          <w:lang w:val="es-CR" w:eastAsia="es-ES"/>
        </w:rPr>
        <w:t>Salomón Baltazar Samayoa desempeñó</w:t>
      </w:r>
      <w:r w:rsidRPr="0005341B">
        <w:rPr>
          <w:rFonts w:ascii="Verdana" w:eastAsia="Calibri" w:hAnsi="Verdana" w:cs="Times"/>
          <w:sz w:val="20"/>
          <w:szCs w:val="20"/>
          <w:lang w:val="es-ES_tradnl" w:eastAsia="es-ES"/>
        </w:rPr>
        <w:t xml:space="preserve"> como titular de la Unidad Especializada de Búsqueda de Personas Desaparecidas, dependiente de la Procuraduría General de la República, referente a las investigaciones realizadas a nivel interno sobre la desaparición de las víctimas en la controversia </w:t>
      </w:r>
      <w:r w:rsidRPr="0005341B">
        <w:rPr>
          <w:rFonts w:ascii="Verdana" w:eastAsia="Calibri" w:hAnsi="Verdana" w:cs="Times"/>
          <w:i/>
          <w:sz w:val="20"/>
          <w:szCs w:val="20"/>
          <w:lang w:val="es-ES_tradnl" w:eastAsia="es-ES"/>
        </w:rPr>
        <w:t xml:space="preserve">sub judice, </w:t>
      </w:r>
      <w:r w:rsidRPr="0005341B">
        <w:rPr>
          <w:rFonts w:ascii="Verdana" w:eastAsia="Calibri" w:hAnsi="Verdana" w:cs="Times"/>
          <w:sz w:val="20"/>
          <w:szCs w:val="20"/>
          <w:lang w:val="es-ES_tradnl" w:eastAsia="es-ES"/>
        </w:rPr>
        <w:t xml:space="preserve">su declaración testimonial eventualmente </w:t>
      </w:r>
      <w:r w:rsidRPr="0005341B">
        <w:rPr>
          <w:rFonts w:ascii="Verdana" w:eastAsia="Calibri" w:hAnsi="Verdana" w:cstheme="minorHAnsi"/>
          <w:iCs/>
          <w:sz w:val="20"/>
          <w:szCs w:val="20"/>
          <w:lang w:val="es-ES_tradnl" w:eastAsia="es-ES"/>
        </w:rPr>
        <w:t>podría</w:t>
      </w:r>
      <w:r w:rsidRPr="0005341B">
        <w:rPr>
          <w:rFonts w:ascii="Verdana" w:eastAsia="Calibri" w:hAnsi="Verdana" w:cs="Times"/>
          <w:sz w:val="20"/>
          <w:szCs w:val="20"/>
          <w:lang w:val="es-ES_tradnl" w:eastAsia="es-ES"/>
        </w:rPr>
        <w:t xml:space="preserve"> aportar información que </w:t>
      </w:r>
      <w:r w:rsidRPr="0005341B">
        <w:rPr>
          <w:rFonts w:ascii="Verdana" w:eastAsia="Calibri" w:hAnsi="Verdana" w:cstheme="minorHAnsi"/>
          <w:iCs/>
          <w:sz w:val="20"/>
          <w:szCs w:val="20"/>
          <w:lang w:val="es-ES_tradnl" w:eastAsia="es-ES"/>
        </w:rPr>
        <w:t>resulte</w:t>
      </w:r>
      <w:r w:rsidRPr="0005341B">
        <w:rPr>
          <w:rFonts w:ascii="Verdana" w:eastAsia="Calibri" w:hAnsi="Verdana" w:cs="Times"/>
          <w:sz w:val="20"/>
          <w:szCs w:val="20"/>
          <w:lang w:val="es-ES_tradnl" w:eastAsia="es-ES"/>
        </w:rPr>
        <w:t xml:space="preserve"> relevante para abundar sobre las posiciones de las partes, más allá de la existencia de una línea</w:t>
      </w:r>
      <w:r w:rsidR="00A579A1">
        <w:rPr>
          <w:rFonts w:ascii="Verdana" w:eastAsia="Calibri" w:hAnsi="Verdana" w:cs="Times"/>
          <w:sz w:val="20"/>
          <w:szCs w:val="20"/>
          <w:lang w:val="es-ES_tradnl" w:eastAsia="es-ES"/>
        </w:rPr>
        <w:t xml:space="preserve"> de investigación en particular;</w:t>
      </w:r>
      <w:r w:rsidRPr="0005341B">
        <w:rPr>
          <w:rFonts w:ascii="Verdana" w:eastAsia="Calibri" w:hAnsi="Verdana" w:cs="Times"/>
          <w:sz w:val="20"/>
          <w:szCs w:val="20"/>
          <w:lang w:val="es-ES_tradnl" w:eastAsia="es-ES"/>
        </w:rPr>
        <w:t xml:space="preserve"> </w:t>
      </w:r>
    </w:p>
    <w:p w14:paraId="48184B68" w14:textId="77777777" w:rsidR="0005341B" w:rsidRPr="0005341B" w:rsidRDefault="0005341B" w:rsidP="00A579A1">
      <w:pPr>
        <w:spacing w:after="0" w:line="240" w:lineRule="auto"/>
        <w:ind w:left="0"/>
        <w:contextualSpacing/>
        <w:rPr>
          <w:rFonts w:ascii="Verdana" w:eastAsia="Calibri" w:hAnsi="Verdana" w:cs="Times"/>
          <w:b/>
          <w:i/>
          <w:sz w:val="20"/>
          <w:szCs w:val="20"/>
          <w:lang w:val="es-CR" w:eastAsia="es-ES"/>
        </w:rPr>
      </w:pPr>
    </w:p>
    <w:p w14:paraId="48184B69" w14:textId="77777777" w:rsidR="0005341B" w:rsidRPr="0005341B" w:rsidRDefault="0005341B" w:rsidP="00A579A1">
      <w:pPr>
        <w:numPr>
          <w:ilvl w:val="0"/>
          <w:numId w:val="2"/>
        </w:numPr>
        <w:spacing w:after="0" w:line="240" w:lineRule="auto"/>
        <w:ind w:left="1210"/>
        <w:contextualSpacing/>
        <w:rPr>
          <w:rFonts w:ascii="Verdana" w:eastAsia="Calibri" w:hAnsi="Verdana" w:cs="Times"/>
          <w:b/>
          <w:i/>
          <w:sz w:val="20"/>
          <w:szCs w:val="20"/>
          <w:lang w:val="es-CR" w:eastAsia="es-ES"/>
        </w:rPr>
      </w:pPr>
      <w:r w:rsidRPr="0005341B">
        <w:rPr>
          <w:rFonts w:ascii="Verdana" w:eastAsia="Calibri" w:hAnsi="Verdana" w:cstheme="minorHAnsi"/>
          <w:b/>
          <w:i/>
          <w:sz w:val="20"/>
          <w:szCs w:val="20"/>
          <w:lang w:val="es-CR" w:eastAsia="es-ES"/>
        </w:rPr>
        <w:t>En lo que atañe a las</w:t>
      </w:r>
      <w:r w:rsidRPr="0005341B">
        <w:rPr>
          <w:rFonts w:ascii="Verdana" w:eastAsia="Calibri" w:hAnsi="Verdana" w:cs="Times"/>
          <w:b/>
          <w:i/>
          <w:sz w:val="20"/>
          <w:szCs w:val="20"/>
          <w:lang w:val="es-CR" w:eastAsia="es-ES"/>
        </w:rPr>
        <w:t xml:space="preserve"> objeciones del Estado sobre la alegada “duplicidad” de dos peritajes propuestos por las representantes</w:t>
      </w:r>
      <w:r w:rsidR="00A579A1">
        <w:rPr>
          <w:rFonts w:ascii="Verdana" w:eastAsia="Calibri" w:hAnsi="Verdana" w:cs="Times"/>
          <w:b/>
          <w:i/>
          <w:sz w:val="20"/>
          <w:szCs w:val="20"/>
          <w:lang w:val="es-CR" w:eastAsia="es-ES"/>
        </w:rPr>
        <w:t>,</w:t>
      </w:r>
    </w:p>
    <w:p w14:paraId="48184B6A" w14:textId="77777777" w:rsidR="0005341B" w:rsidRPr="0005341B" w:rsidRDefault="0005341B" w:rsidP="00A579A1">
      <w:pPr>
        <w:spacing w:after="0" w:line="240" w:lineRule="auto"/>
        <w:ind w:left="0"/>
        <w:contextualSpacing/>
        <w:rPr>
          <w:rFonts w:ascii="Verdana" w:eastAsia="Calibri" w:hAnsi="Verdana" w:cs="Times"/>
          <w:b/>
          <w:i/>
          <w:sz w:val="20"/>
          <w:szCs w:val="20"/>
          <w:lang w:val="es-CR" w:eastAsia="es-ES"/>
        </w:rPr>
      </w:pPr>
    </w:p>
    <w:p w14:paraId="48184B6B" w14:textId="0CACB892" w:rsidR="0005341B" w:rsidRPr="0005341B" w:rsidRDefault="0005341B" w:rsidP="003D1327">
      <w:pPr>
        <w:numPr>
          <w:ilvl w:val="0"/>
          <w:numId w:val="1"/>
        </w:numPr>
        <w:tabs>
          <w:tab w:val="left" w:pos="720"/>
        </w:tabs>
        <w:spacing w:after="0" w:line="240" w:lineRule="auto"/>
        <w:ind w:left="0" w:firstLine="0"/>
        <w:contextualSpacing/>
        <w:rPr>
          <w:rFonts w:ascii="Verdana" w:eastAsia="Calibri" w:hAnsi="Verdana" w:cs="Times"/>
          <w:b/>
          <w:i/>
          <w:sz w:val="20"/>
          <w:szCs w:val="20"/>
          <w:lang w:val="es-CR" w:eastAsia="es-ES"/>
        </w:rPr>
      </w:pPr>
      <w:r w:rsidRPr="0005341B">
        <w:rPr>
          <w:rFonts w:ascii="Verdana" w:eastAsia="Calibri" w:hAnsi="Verdana" w:cs="Times"/>
          <w:sz w:val="20"/>
          <w:szCs w:val="20"/>
          <w:lang w:val="es-ES_tradnl" w:eastAsia="es-ES"/>
        </w:rPr>
        <w:t xml:space="preserve">Las representantes propusieron, </w:t>
      </w:r>
      <w:r w:rsidRPr="0005341B">
        <w:rPr>
          <w:rFonts w:ascii="Verdana" w:eastAsia="Calibri" w:hAnsi="Verdana" w:cs="Times"/>
          <w:i/>
          <w:sz w:val="20"/>
          <w:szCs w:val="20"/>
          <w:lang w:val="es-ES_tradnl" w:eastAsia="es-ES"/>
        </w:rPr>
        <w:t>inter alia</w:t>
      </w:r>
      <w:r w:rsidRPr="0005341B">
        <w:rPr>
          <w:rFonts w:ascii="Verdana" w:eastAsia="Calibri" w:hAnsi="Verdana" w:cs="Times"/>
          <w:sz w:val="20"/>
          <w:szCs w:val="20"/>
          <w:lang w:val="es-ES_tradnl" w:eastAsia="es-ES"/>
        </w:rPr>
        <w:t>, los peritajes del señor Salvador Salazar Gutiérrez</w:t>
      </w:r>
      <w:r w:rsidRPr="0005341B">
        <w:rPr>
          <w:rFonts w:ascii="Verdana" w:eastAsia="Calibri" w:hAnsi="Verdana" w:cs="Verdana"/>
          <w:sz w:val="20"/>
          <w:szCs w:val="20"/>
          <w:vertAlign w:val="superscript"/>
          <w:lang w:val="es-ES_tradnl" w:eastAsia="es-ES"/>
        </w:rPr>
        <w:footnoteReference w:id="6"/>
      </w:r>
      <w:r w:rsidRPr="0005341B">
        <w:rPr>
          <w:rFonts w:ascii="Verdana" w:eastAsia="Calibri" w:hAnsi="Verdana" w:cs="Times"/>
          <w:sz w:val="20"/>
          <w:szCs w:val="20"/>
          <w:lang w:val="es-ES_tradnl" w:eastAsia="es-ES"/>
        </w:rPr>
        <w:t>, y el rendido conjuntamente por las señoras Carolina Robledo Silvestre, Aída Hernández Castillo, Erika Liliana López López y May-Ek Querales Mendoza, del Grupo de Investigaciones en Antropología Social y Forense</w:t>
      </w:r>
      <w:r w:rsidRPr="0005341B">
        <w:rPr>
          <w:rFonts w:ascii="Verdana" w:eastAsia="Calibri" w:hAnsi="Verdana" w:cs="Verdana"/>
          <w:sz w:val="20"/>
          <w:szCs w:val="20"/>
          <w:vertAlign w:val="superscript"/>
          <w:lang w:val="es-ES_tradnl" w:eastAsia="es-ES"/>
        </w:rPr>
        <w:footnoteReference w:id="7"/>
      </w:r>
      <w:r w:rsidRPr="0005341B">
        <w:rPr>
          <w:rFonts w:ascii="Verdana" w:eastAsia="Calibri" w:hAnsi="Verdana" w:cstheme="minorHAnsi"/>
          <w:sz w:val="20"/>
          <w:szCs w:val="20"/>
          <w:lang w:val="es-MX" w:eastAsia="es-ES"/>
        </w:rPr>
        <w:t xml:space="preserve">, respecto de </w:t>
      </w:r>
      <w:r w:rsidR="003D1327" w:rsidRPr="0005341B">
        <w:rPr>
          <w:rFonts w:ascii="Verdana" w:eastAsia="Calibri" w:hAnsi="Verdana" w:cstheme="minorHAnsi"/>
          <w:sz w:val="20"/>
          <w:szCs w:val="20"/>
          <w:lang w:val="es-MX" w:eastAsia="es-ES"/>
        </w:rPr>
        <w:t>los</w:t>
      </w:r>
      <w:r w:rsidRPr="0005341B">
        <w:rPr>
          <w:rFonts w:ascii="Verdana" w:eastAsia="Calibri" w:hAnsi="Verdana" w:cstheme="minorHAnsi"/>
          <w:sz w:val="20"/>
          <w:szCs w:val="20"/>
          <w:lang w:val="es-MX" w:eastAsia="es-ES"/>
        </w:rPr>
        <w:t xml:space="preserve"> cuales</w:t>
      </w:r>
      <w:r w:rsidRPr="0005341B">
        <w:rPr>
          <w:rFonts w:ascii="Verdana" w:eastAsia="Calibri" w:hAnsi="Verdana" w:cs="Times"/>
          <w:sz w:val="20"/>
          <w:szCs w:val="20"/>
          <w:lang w:val="es-ES_tradnl" w:eastAsia="es-ES"/>
        </w:rPr>
        <w:t xml:space="preserve"> El Estado presentó observaciones sobre la “duplicidad” en el objeto de estos peritajes</w:t>
      </w:r>
      <w:r w:rsidRPr="0005341B">
        <w:rPr>
          <w:rFonts w:ascii="Verdana" w:eastAsia="Calibri" w:hAnsi="Verdana" w:cstheme="minorHAnsi"/>
          <w:sz w:val="20"/>
          <w:szCs w:val="20"/>
          <w:lang w:val="es-MX" w:eastAsia="es-ES"/>
        </w:rPr>
        <w:t>, alegando</w:t>
      </w:r>
      <w:r w:rsidRPr="0005341B">
        <w:rPr>
          <w:rFonts w:ascii="Verdana" w:eastAsia="Calibri" w:hAnsi="Verdana" w:cs="Times"/>
          <w:sz w:val="20"/>
          <w:szCs w:val="20"/>
          <w:lang w:val="es-ES_tradnl" w:eastAsia="es-ES"/>
        </w:rPr>
        <w:t xml:space="preserve"> que “son de gran similitud y serían utilizados para el mismo fin</w:t>
      </w:r>
      <w:r w:rsidRPr="0005341B">
        <w:rPr>
          <w:rFonts w:ascii="Verdana" w:eastAsia="Calibri" w:hAnsi="Verdana" w:cstheme="minorHAnsi"/>
          <w:sz w:val="20"/>
          <w:szCs w:val="20"/>
          <w:lang w:val="es-ES_tradnl" w:eastAsia="es-ES"/>
        </w:rPr>
        <w:t>”</w:t>
      </w:r>
      <w:r w:rsidRPr="0005341B">
        <w:rPr>
          <w:rFonts w:ascii="Verdana" w:eastAsia="Calibri" w:hAnsi="Verdana" w:cs="Times"/>
          <w:sz w:val="20"/>
          <w:szCs w:val="20"/>
          <w:lang w:val="es-ES_tradnl" w:eastAsia="es-ES"/>
        </w:rPr>
        <w:t xml:space="preserve"> que “el objeto  </w:t>
      </w:r>
      <w:r w:rsidRPr="0005341B">
        <w:rPr>
          <w:rFonts w:ascii="Verdana" w:eastAsia="Calibri" w:hAnsi="Verdana" w:cs="Times"/>
          <w:sz w:val="20"/>
          <w:szCs w:val="20"/>
          <w:lang w:val="es-MX" w:eastAsia="es-ES"/>
        </w:rPr>
        <w:t>de dichos peritajes es un tema del cual, tanto el Estado como los [r]epresentantes de las [v]íctimas, ya han presentado suficiente evidencia escrita que puede dar prueba de los hechos que se pretende demostrar a través de los dos peritajes citados”</w:t>
      </w:r>
      <w:r w:rsidRPr="0005341B">
        <w:rPr>
          <w:rFonts w:ascii="Verdana" w:eastAsia="Calibri" w:hAnsi="Verdana" w:cstheme="minorHAnsi"/>
          <w:sz w:val="20"/>
          <w:szCs w:val="20"/>
          <w:lang w:val="es-ES_tradnl" w:eastAsia="es-ES"/>
        </w:rPr>
        <w:t>,</w:t>
      </w:r>
      <w:r w:rsidRPr="0005341B">
        <w:rPr>
          <w:rFonts w:ascii="Verdana" w:eastAsia="Calibri" w:hAnsi="Verdana" w:cs="Times"/>
          <w:sz w:val="20"/>
          <w:szCs w:val="20"/>
          <w:lang w:val="es-ES_tradnl" w:eastAsia="es-ES"/>
        </w:rPr>
        <w:t xml:space="preserve"> por lo que solicitó a la Corte, con base en el principio de economía procesal, “desechar uno de los peritajes ofrecidos, para evitar la superabundancia de la prueba en el presente caso”</w:t>
      </w:r>
      <w:r w:rsidRPr="0005341B">
        <w:rPr>
          <w:rFonts w:ascii="Verdana" w:eastAsia="Calibri" w:hAnsi="Verdana" w:cstheme="minorHAnsi"/>
          <w:sz w:val="20"/>
          <w:szCs w:val="20"/>
          <w:lang w:val="es-ES_tradnl" w:eastAsia="es-ES"/>
        </w:rPr>
        <w:t>;</w:t>
      </w:r>
    </w:p>
    <w:p w14:paraId="48184B6C" w14:textId="77777777" w:rsidR="0005341B" w:rsidRPr="0005341B" w:rsidRDefault="0005341B" w:rsidP="00A579A1">
      <w:pPr>
        <w:spacing w:after="0" w:line="240" w:lineRule="auto"/>
        <w:ind w:left="0"/>
        <w:contextualSpacing/>
        <w:rPr>
          <w:rFonts w:ascii="Verdana" w:eastAsia="Calibri" w:hAnsi="Verdana" w:cs="Times"/>
          <w:sz w:val="20"/>
          <w:szCs w:val="20"/>
          <w:lang w:val="es-MX" w:eastAsia="es-ES"/>
        </w:rPr>
      </w:pPr>
    </w:p>
    <w:p w14:paraId="48184B6D" w14:textId="3A2AB5F9" w:rsidR="0005341B" w:rsidRPr="0005341B" w:rsidRDefault="0005341B" w:rsidP="003D1327">
      <w:pPr>
        <w:numPr>
          <w:ilvl w:val="0"/>
          <w:numId w:val="1"/>
        </w:numPr>
        <w:spacing w:after="0" w:line="240" w:lineRule="auto"/>
        <w:ind w:left="0" w:firstLine="0"/>
        <w:contextualSpacing/>
        <w:rPr>
          <w:rFonts w:ascii="Verdana" w:eastAsia="Calibri" w:hAnsi="Verdana" w:cs="Times"/>
          <w:b/>
          <w:i/>
          <w:sz w:val="20"/>
          <w:szCs w:val="20"/>
          <w:lang w:val="es-CR" w:eastAsia="es-ES"/>
        </w:rPr>
      </w:pPr>
      <w:r w:rsidRPr="0005341B">
        <w:rPr>
          <w:rFonts w:ascii="Verdana" w:eastAsia="Calibri" w:hAnsi="Verdana" w:cstheme="minorHAnsi"/>
          <w:sz w:val="20"/>
          <w:szCs w:val="20"/>
          <w:lang w:val="es-ES_tradnl" w:eastAsia="es-ES"/>
        </w:rPr>
        <w:t>Como</w:t>
      </w:r>
      <w:r w:rsidR="00745207">
        <w:rPr>
          <w:rFonts w:ascii="Verdana" w:eastAsia="Calibri" w:hAnsi="Verdana" w:cs="Times"/>
          <w:sz w:val="20"/>
          <w:szCs w:val="20"/>
          <w:lang w:val="es-ES_tradnl" w:eastAsia="es-ES"/>
        </w:rPr>
        <w:t xml:space="preserve"> </w:t>
      </w:r>
      <w:r w:rsidR="005D7290">
        <w:rPr>
          <w:rFonts w:ascii="Verdana" w:eastAsia="Calibri" w:hAnsi="Verdana" w:cs="Times"/>
          <w:sz w:val="20"/>
          <w:szCs w:val="20"/>
          <w:lang w:val="es-ES_tradnl" w:eastAsia="es-ES"/>
        </w:rPr>
        <w:t xml:space="preserve">se </w:t>
      </w:r>
      <w:r w:rsidRPr="0005341B">
        <w:rPr>
          <w:rFonts w:ascii="Verdana" w:eastAsia="Calibri" w:hAnsi="Verdana" w:cs="Times"/>
          <w:sz w:val="20"/>
          <w:szCs w:val="20"/>
          <w:lang w:val="es-ES_tradnl" w:eastAsia="es-ES"/>
        </w:rPr>
        <w:t>ha señalado en casos precedentes</w:t>
      </w:r>
      <w:r w:rsidRPr="0005341B">
        <w:rPr>
          <w:rFonts w:ascii="Verdana" w:eastAsia="Calibri" w:hAnsi="Verdana" w:cs="Verdana"/>
          <w:sz w:val="20"/>
          <w:szCs w:val="20"/>
          <w:vertAlign w:val="superscript"/>
          <w:lang w:val="es-ES_tradnl" w:eastAsia="es-ES"/>
        </w:rPr>
        <w:footnoteReference w:id="8"/>
      </w:r>
      <w:r w:rsidRPr="0005341B">
        <w:rPr>
          <w:rFonts w:ascii="Verdana" w:eastAsia="Calibri" w:hAnsi="Verdana" w:cs="Times"/>
          <w:sz w:val="20"/>
          <w:szCs w:val="20"/>
          <w:lang w:val="es-ES_tradnl" w:eastAsia="es-ES"/>
        </w:rPr>
        <w:t>, la cantidad de peritos propuestos por las representantes no afecta, por sí sola, la admisibilidad de dichas probanzas y no puede ser interpretado como un acto en detrimento de los principios del contradictorio e igualdad procesal</w:t>
      </w:r>
      <w:r w:rsidRPr="0005341B">
        <w:rPr>
          <w:rFonts w:ascii="Verdana" w:eastAsia="Calibri" w:hAnsi="Verdana" w:cs="Verdana"/>
          <w:sz w:val="20"/>
          <w:szCs w:val="20"/>
          <w:vertAlign w:val="superscript"/>
          <w:lang w:val="es-ES_tradnl" w:eastAsia="es-ES"/>
        </w:rPr>
        <w:footnoteReference w:id="9"/>
      </w:r>
      <w:r w:rsidRPr="0005341B">
        <w:rPr>
          <w:rFonts w:ascii="Verdana" w:eastAsia="Calibri" w:hAnsi="Verdana" w:cstheme="minorHAnsi"/>
          <w:sz w:val="20"/>
          <w:szCs w:val="20"/>
          <w:lang w:val="es-ES_tradnl" w:eastAsia="es-ES"/>
        </w:rPr>
        <w:t>;</w:t>
      </w:r>
    </w:p>
    <w:p w14:paraId="48184B6E" w14:textId="77777777" w:rsidR="0005341B" w:rsidRPr="0005341B" w:rsidRDefault="0005341B" w:rsidP="00A579A1">
      <w:pPr>
        <w:spacing w:after="0" w:line="240" w:lineRule="auto"/>
        <w:ind w:left="0"/>
        <w:contextualSpacing/>
        <w:rPr>
          <w:rFonts w:ascii="Verdana" w:eastAsia="Calibri" w:hAnsi="Verdana" w:cs="Times"/>
          <w:b/>
          <w:i/>
          <w:sz w:val="20"/>
          <w:szCs w:val="20"/>
          <w:lang w:val="es-CR" w:eastAsia="es-ES"/>
        </w:rPr>
      </w:pPr>
    </w:p>
    <w:p w14:paraId="48184B6F" w14:textId="77777777" w:rsidR="0005341B" w:rsidRPr="0005341B" w:rsidRDefault="0005341B" w:rsidP="00A579A1">
      <w:pPr>
        <w:numPr>
          <w:ilvl w:val="0"/>
          <w:numId w:val="2"/>
        </w:numPr>
        <w:spacing w:after="0" w:line="240" w:lineRule="auto"/>
        <w:ind w:left="1210"/>
        <w:contextualSpacing/>
        <w:rPr>
          <w:rFonts w:ascii="Verdana" w:eastAsia="Calibri" w:hAnsi="Verdana" w:cs="Times"/>
          <w:b/>
          <w:i/>
          <w:sz w:val="20"/>
          <w:szCs w:val="20"/>
          <w:lang w:val="es-CR" w:eastAsia="es-ES"/>
        </w:rPr>
      </w:pPr>
      <w:r w:rsidRPr="0005341B">
        <w:rPr>
          <w:rFonts w:ascii="Verdana" w:eastAsia="Calibri" w:hAnsi="Verdana" w:cstheme="minorHAnsi"/>
          <w:b/>
          <w:i/>
          <w:sz w:val="20"/>
          <w:szCs w:val="20"/>
          <w:lang w:val="es-CR" w:eastAsia="es-ES"/>
        </w:rPr>
        <w:t>En</w:t>
      </w:r>
      <w:r w:rsidRPr="0005341B">
        <w:rPr>
          <w:rFonts w:ascii="Verdana" w:eastAsia="Calibri" w:hAnsi="Verdana" w:cs="Times"/>
          <w:b/>
          <w:i/>
          <w:sz w:val="20"/>
          <w:szCs w:val="20"/>
          <w:lang w:val="es-CR" w:eastAsia="es-ES"/>
        </w:rPr>
        <w:t xml:space="preserve"> lo que </w:t>
      </w:r>
      <w:r w:rsidRPr="0005341B">
        <w:rPr>
          <w:rFonts w:ascii="Verdana" w:eastAsia="Calibri" w:hAnsi="Verdana" w:cstheme="minorHAnsi"/>
          <w:b/>
          <w:i/>
          <w:sz w:val="20"/>
          <w:szCs w:val="20"/>
          <w:lang w:val="es-CR" w:eastAsia="es-ES"/>
        </w:rPr>
        <w:t>dice relación a</w:t>
      </w:r>
      <w:r w:rsidRPr="0005341B">
        <w:rPr>
          <w:rFonts w:ascii="Verdana" w:eastAsia="Calibri" w:hAnsi="Verdana" w:cs="Times"/>
          <w:b/>
          <w:i/>
          <w:sz w:val="20"/>
          <w:szCs w:val="20"/>
          <w:lang w:val="es-CR" w:eastAsia="es-ES"/>
        </w:rPr>
        <w:t xml:space="preserve"> la sustitución de un perito propuesto por las representantes</w:t>
      </w:r>
      <w:r w:rsidR="00A579A1">
        <w:rPr>
          <w:rFonts w:ascii="Verdana" w:eastAsia="Calibri" w:hAnsi="Verdana" w:cs="Times"/>
          <w:b/>
          <w:i/>
          <w:sz w:val="20"/>
          <w:szCs w:val="20"/>
          <w:lang w:val="es-CR" w:eastAsia="es-ES"/>
        </w:rPr>
        <w:t>,</w:t>
      </w:r>
    </w:p>
    <w:p w14:paraId="48184B70" w14:textId="77777777" w:rsidR="0005341B" w:rsidRPr="0005341B" w:rsidRDefault="0005341B" w:rsidP="00A579A1">
      <w:pPr>
        <w:spacing w:after="0" w:line="240" w:lineRule="auto"/>
        <w:ind w:left="0"/>
        <w:contextualSpacing/>
        <w:rPr>
          <w:rFonts w:ascii="Verdana" w:eastAsia="Calibri" w:hAnsi="Verdana" w:cs="Times"/>
          <w:sz w:val="20"/>
          <w:szCs w:val="20"/>
          <w:lang w:val="es-MX" w:eastAsia="es-ES"/>
        </w:rPr>
      </w:pPr>
    </w:p>
    <w:p w14:paraId="48184B71" w14:textId="15BE85F7" w:rsidR="0005341B" w:rsidRPr="0005341B" w:rsidRDefault="0005341B" w:rsidP="00471AEC">
      <w:pPr>
        <w:numPr>
          <w:ilvl w:val="0"/>
          <w:numId w:val="1"/>
        </w:numPr>
        <w:spacing w:after="0" w:line="240" w:lineRule="auto"/>
        <w:ind w:left="0" w:firstLine="0"/>
        <w:contextualSpacing/>
        <w:rPr>
          <w:rFonts w:ascii="Verdana" w:eastAsia="Calibri" w:hAnsi="Verdana" w:cs="Times"/>
          <w:sz w:val="20"/>
          <w:szCs w:val="20"/>
          <w:lang w:val="es-ES_tradnl" w:eastAsia="es-ES"/>
        </w:rPr>
      </w:pPr>
      <w:r w:rsidRPr="0005341B">
        <w:rPr>
          <w:rFonts w:ascii="Verdana" w:eastAsia="Calibri" w:hAnsi="Verdana" w:cs="Times"/>
          <w:sz w:val="20"/>
          <w:szCs w:val="20"/>
          <w:lang w:val="es-ES_tradnl" w:eastAsia="es-ES"/>
        </w:rPr>
        <w:t>Las representantes solicitaron, en su lista definitiva de declarantes, la sustitución del perito Alejandro Madrazo Lajous, inicialmente propuesto en su escrito de solicitudes y argumentos, por el señor Javier Treviño Rangel, argumentando que el señor Madrazo les había comunicado recientemente “su imposibilidad por realizar este peritaje”</w:t>
      </w:r>
      <w:r w:rsidRPr="0005341B">
        <w:rPr>
          <w:rFonts w:ascii="Verdana" w:eastAsia="Calibri" w:hAnsi="Verdana" w:cstheme="minorHAnsi"/>
          <w:sz w:val="20"/>
          <w:szCs w:val="20"/>
          <w:lang w:val="es-ES_tradnl" w:eastAsia="es-ES"/>
        </w:rPr>
        <w:t>, razón por la que</w:t>
      </w:r>
      <w:r w:rsidRPr="0005341B">
        <w:rPr>
          <w:rFonts w:ascii="Verdana" w:eastAsia="Calibri" w:hAnsi="Verdana" w:cs="Times"/>
          <w:sz w:val="20"/>
          <w:szCs w:val="20"/>
          <w:lang w:val="es-ES_tradnl" w:eastAsia="es-ES"/>
        </w:rPr>
        <w:t xml:space="preserve"> ofrecieron el referido dictamen pericial con el propósito de que declarara sobre: “las políticas de seguridad ciudadana en México, que sean profesionales, respetuosas de derechos humanos y eficaces para el combate de la delincuencia organizada</w:t>
      </w:r>
      <w:r w:rsidRPr="0005341B">
        <w:rPr>
          <w:rFonts w:ascii="Verdana" w:eastAsia="Calibri" w:hAnsi="Verdana" w:cstheme="minorHAnsi"/>
          <w:sz w:val="20"/>
          <w:szCs w:val="20"/>
          <w:lang w:val="es-ES_tradnl" w:eastAsia="es-ES"/>
        </w:rPr>
        <w:t>”;</w:t>
      </w:r>
    </w:p>
    <w:p w14:paraId="48184B72" w14:textId="77777777" w:rsidR="0005341B" w:rsidRPr="0005341B" w:rsidRDefault="0005341B" w:rsidP="00471AEC">
      <w:pPr>
        <w:spacing w:after="0" w:line="240" w:lineRule="auto"/>
        <w:ind w:left="0"/>
        <w:contextualSpacing/>
        <w:rPr>
          <w:rFonts w:ascii="Verdana" w:eastAsia="Calibri" w:hAnsi="Verdana" w:cs="Times"/>
          <w:b/>
          <w:i/>
          <w:sz w:val="20"/>
          <w:szCs w:val="20"/>
          <w:lang w:val="es-CR" w:eastAsia="es-ES"/>
        </w:rPr>
      </w:pPr>
    </w:p>
    <w:p w14:paraId="48184B73" w14:textId="08C4E64C" w:rsidR="0005341B" w:rsidRPr="0005341B" w:rsidRDefault="0005341B" w:rsidP="00471AEC">
      <w:pPr>
        <w:numPr>
          <w:ilvl w:val="0"/>
          <w:numId w:val="1"/>
        </w:numPr>
        <w:spacing w:after="0" w:line="240" w:lineRule="auto"/>
        <w:ind w:left="0" w:firstLine="0"/>
        <w:contextualSpacing/>
        <w:rPr>
          <w:rFonts w:ascii="Verdana" w:eastAsia="Calibri" w:hAnsi="Verdana" w:cs="Times"/>
          <w:sz w:val="20"/>
          <w:szCs w:val="20"/>
          <w:lang w:val="es-ES_tradnl" w:eastAsia="es-ES"/>
        </w:rPr>
      </w:pPr>
      <w:r w:rsidRPr="0005341B">
        <w:rPr>
          <w:rFonts w:ascii="Verdana" w:eastAsia="Calibri" w:hAnsi="Verdana" w:cs="Times"/>
          <w:sz w:val="20"/>
          <w:szCs w:val="20"/>
          <w:lang w:val="es-ES_tradnl" w:eastAsia="es-ES"/>
        </w:rPr>
        <w:t>El Estado formuló objeción respecto de la solicitud de sustitución de este perito inicialmente propuesto por las representantes</w:t>
      </w:r>
      <w:r w:rsidRPr="0005341B">
        <w:rPr>
          <w:rFonts w:ascii="Verdana" w:eastAsia="Calibri" w:hAnsi="Verdana" w:cstheme="minorHAnsi"/>
          <w:sz w:val="20"/>
          <w:szCs w:val="20"/>
          <w:lang w:val="es-ES_tradnl" w:eastAsia="es-ES"/>
        </w:rPr>
        <w:t>, señalando, por una parte,</w:t>
      </w:r>
      <w:r w:rsidRPr="0005341B">
        <w:rPr>
          <w:rFonts w:ascii="Verdana" w:eastAsia="Calibri" w:hAnsi="Verdana" w:cs="Times"/>
          <w:sz w:val="20"/>
          <w:szCs w:val="20"/>
          <w:lang w:val="es-ES_tradnl" w:eastAsia="es-ES"/>
        </w:rPr>
        <w:t xml:space="preserve"> que, de conformidad con el artículo 49 del Reglamento de la Corte, “[el Tribunal] ha establecido que […] un perito podrá ser sustituido excepcionalmente y frente a una solicitud fundada, además de que la contraparte tenga oportunidad para pronunciarse al respecto, y siempre que se haya individualizado al sustituto y se respete el objeto del peritaje originalmente ofrecido”</w:t>
      </w:r>
      <w:r w:rsidRPr="0005341B">
        <w:rPr>
          <w:rFonts w:ascii="Verdana" w:eastAsia="Calibri" w:hAnsi="Verdana" w:cstheme="minorHAnsi"/>
          <w:sz w:val="20"/>
          <w:szCs w:val="20"/>
          <w:lang w:val="es-ES_tradnl" w:eastAsia="es-ES"/>
        </w:rPr>
        <w:t>,</w:t>
      </w:r>
      <w:r w:rsidRPr="0005341B">
        <w:rPr>
          <w:rFonts w:ascii="Verdana" w:eastAsia="Calibri" w:hAnsi="Verdana" w:cs="Times"/>
          <w:sz w:val="20"/>
          <w:szCs w:val="20"/>
          <w:lang w:val="es-ES_tradnl" w:eastAsia="es-ES"/>
        </w:rPr>
        <w:t xml:space="preserve"> que</w:t>
      </w:r>
      <w:r w:rsidRPr="0005341B">
        <w:rPr>
          <w:rFonts w:ascii="Verdana" w:eastAsia="Calibri" w:hAnsi="Verdana" w:cstheme="minorHAnsi"/>
          <w:sz w:val="20"/>
          <w:szCs w:val="20"/>
          <w:lang w:val="es-ES_tradnl" w:eastAsia="es-ES"/>
        </w:rPr>
        <w:t>, por otra parte ,</w:t>
      </w:r>
      <w:r w:rsidRPr="0005341B">
        <w:rPr>
          <w:rFonts w:ascii="Verdana" w:eastAsia="Calibri" w:hAnsi="Verdana" w:cs="Times"/>
          <w:sz w:val="20"/>
          <w:szCs w:val="20"/>
          <w:lang w:val="es-ES_tradnl" w:eastAsia="es-ES"/>
        </w:rPr>
        <w:t>el Tribunal “ha admitido diversas sustituciones que cumplan con los requisitos previamente mencionados</w:t>
      </w:r>
      <w:r w:rsidRPr="0005341B">
        <w:rPr>
          <w:rFonts w:ascii="Verdana" w:eastAsia="Calibri" w:hAnsi="Verdana" w:cstheme="minorHAnsi"/>
          <w:sz w:val="20"/>
          <w:szCs w:val="20"/>
          <w:lang w:val="es-ES_tradnl" w:eastAsia="es-ES"/>
        </w:rPr>
        <w:t>”, considerando “</w:t>
      </w:r>
      <w:r w:rsidRPr="0005341B">
        <w:rPr>
          <w:rFonts w:ascii="Verdana" w:eastAsia="Calibri" w:hAnsi="Verdana" w:cs="Times"/>
          <w:sz w:val="20"/>
          <w:szCs w:val="20"/>
          <w:lang w:val="es-ES_tradnl" w:eastAsia="es-ES"/>
        </w:rPr>
        <w:t xml:space="preserve">que se cumple con el requisito de solicitud fundada, con simplemente remitir una nota firmada por el perito originalmente ofrecido, en la cual exponga las razones de su imposibilidad para rendir el peritaje” </w:t>
      </w:r>
      <w:r w:rsidRPr="0005341B">
        <w:rPr>
          <w:rFonts w:ascii="Verdana" w:eastAsia="Calibri" w:hAnsi="Verdana" w:cstheme="minorHAnsi"/>
          <w:sz w:val="20"/>
          <w:szCs w:val="20"/>
          <w:lang w:val="es-ES_tradnl" w:eastAsia="es-ES"/>
        </w:rPr>
        <w:t>y que, finalmente</w:t>
      </w:r>
      <w:r w:rsidR="00E13C95">
        <w:rPr>
          <w:rFonts w:ascii="Verdana" w:eastAsia="Calibri" w:hAnsi="Verdana" w:cstheme="minorHAnsi"/>
          <w:sz w:val="20"/>
          <w:szCs w:val="20"/>
          <w:lang w:val="es-ES_tradnl" w:eastAsia="es-ES"/>
        </w:rPr>
        <w:t xml:space="preserve"> </w:t>
      </w:r>
      <w:r w:rsidRPr="0005341B">
        <w:rPr>
          <w:rFonts w:ascii="Verdana" w:eastAsia="Calibri" w:hAnsi="Verdana" w:cs="Times"/>
          <w:sz w:val="20"/>
          <w:szCs w:val="20"/>
          <w:lang w:val="es-ES_tradnl" w:eastAsia="es-ES"/>
        </w:rPr>
        <w:t>en su concepto, si bien las representantes cumplieron con individualizar al nuevo perito y respetar su objeto previamente ofrecido, no presentaron una solicitud fundada sobre la sustitución de la persona a cargo del mismo</w:t>
      </w:r>
      <w:r w:rsidRPr="0005341B">
        <w:rPr>
          <w:rFonts w:ascii="Verdana" w:eastAsia="Calibri" w:hAnsi="Verdana" w:cstheme="minorHAnsi"/>
          <w:sz w:val="20"/>
          <w:szCs w:val="20"/>
          <w:lang w:val="es-ES_tradnl" w:eastAsia="es-ES"/>
        </w:rPr>
        <w:t>;</w:t>
      </w:r>
    </w:p>
    <w:p w14:paraId="48184B74" w14:textId="77777777" w:rsidR="0005341B" w:rsidRPr="0005341B" w:rsidRDefault="0005341B" w:rsidP="00471AEC">
      <w:pPr>
        <w:spacing w:after="0" w:line="240" w:lineRule="auto"/>
        <w:ind w:left="0"/>
        <w:contextualSpacing/>
        <w:rPr>
          <w:rFonts w:ascii="Verdana" w:eastAsia="Calibri" w:hAnsi="Verdana" w:cs="Times"/>
          <w:sz w:val="20"/>
          <w:szCs w:val="20"/>
          <w:lang w:val="es-MX" w:eastAsia="es-ES"/>
        </w:rPr>
      </w:pPr>
    </w:p>
    <w:p w14:paraId="48184B75" w14:textId="77777777" w:rsidR="0005341B" w:rsidRPr="0005341B" w:rsidRDefault="0005341B" w:rsidP="00471AEC">
      <w:pPr>
        <w:numPr>
          <w:ilvl w:val="0"/>
          <w:numId w:val="1"/>
        </w:numPr>
        <w:spacing w:after="0" w:line="240" w:lineRule="auto"/>
        <w:ind w:left="0" w:firstLine="0"/>
        <w:contextualSpacing/>
        <w:rPr>
          <w:rFonts w:ascii="Verdana" w:eastAsia="Calibri" w:hAnsi="Verdana" w:cstheme="minorHAnsi"/>
          <w:sz w:val="20"/>
          <w:szCs w:val="20"/>
          <w:lang w:val="es-ES" w:eastAsia="es-ES"/>
        </w:rPr>
      </w:pPr>
      <w:r w:rsidRPr="0005341B">
        <w:rPr>
          <w:rFonts w:ascii="Verdana" w:eastAsia="Calibri" w:hAnsi="Verdana" w:cstheme="minorHAnsi"/>
          <w:sz w:val="20"/>
          <w:szCs w:val="20"/>
          <w:lang w:val="es-MX" w:eastAsia="es-ES"/>
        </w:rPr>
        <w:t>E</w:t>
      </w:r>
      <w:r w:rsidRPr="0005341B">
        <w:rPr>
          <w:rFonts w:ascii="Verdana" w:eastAsia="Calibri" w:hAnsi="Verdana" w:cstheme="minorHAnsi"/>
          <w:sz w:val="20"/>
          <w:szCs w:val="20"/>
          <w:lang w:val="es-ES" w:eastAsia="es-ES"/>
        </w:rPr>
        <w:t>l</w:t>
      </w:r>
      <w:r w:rsidRPr="0005341B">
        <w:rPr>
          <w:rFonts w:ascii="Verdana" w:eastAsia="Calibri" w:hAnsi="Verdana" w:cs="Times"/>
          <w:sz w:val="20"/>
          <w:szCs w:val="20"/>
          <w:lang w:val="es-ES" w:eastAsia="es-ES"/>
        </w:rPr>
        <w:t xml:space="preserve"> momento procesal oportuno para la presentación de prueba pericial, por parte de las representantes, es en el escrito de solicitudes y argumentos, por lo que </w:t>
      </w:r>
      <w:r w:rsidRPr="0005341B">
        <w:rPr>
          <w:rFonts w:ascii="Verdana" w:eastAsia="Calibri" w:hAnsi="Verdana" w:cs="Times"/>
          <w:sz w:val="20"/>
          <w:szCs w:val="20"/>
          <w:lang w:val="es-CR" w:eastAsia="es-ES"/>
        </w:rPr>
        <w:t xml:space="preserve">la presentación de listas definitivas de declarantes no constituye una nueva oportunidad procesal para </w:t>
      </w:r>
      <w:bookmarkStart w:id="8" w:name="_Ref284242521"/>
      <w:r w:rsidRPr="0005341B">
        <w:rPr>
          <w:rFonts w:ascii="Verdana" w:eastAsia="Calibri" w:hAnsi="Verdana" w:cs="Times"/>
          <w:sz w:val="20"/>
          <w:szCs w:val="20"/>
          <w:lang w:val="es-CR" w:eastAsia="es-ES"/>
        </w:rPr>
        <w:t>proponer probanzas por las partes en el procedimiento ante la Corte</w:t>
      </w:r>
      <w:bookmarkEnd w:id="8"/>
      <w:r w:rsidRPr="0005341B">
        <w:rPr>
          <w:rFonts w:ascii="Verdana" w:eastAsia="Calibri" w:hAnsi="Verdana" w:cs="Times"/>
          <w:sz w:val="20"/>
          <w:szCs w:val="20"/>
          <w:lang w:val="es-CR" w:eastAsia="es-ES"/>
        </w:rPr>
        <w:t>, salvo las excepciones establecidas en el artículo 57.2 del Reglamento, esto es: fuerza mayor, impedimento grave o hechos supervinientes, previamente oído el parecer de todas las partes intervinientes en el proceso</w:t>
      </w:r>
      <w:r w:rsidRPr="0005341B">
        <w:rPr>
          <w:rFonts w:ascii="Verdana" w:eastAsia="Calibri" w:hAnsi="Verdana" w:cs="Times"/>
          <w:sz w:val="20"/>
          <w:szCs w:val="20"/>
          <w:vertAlign w:val="superscript"/>
          <w:lang w:val="en-US" w:eastAsia="es-ES"/>
        </w:rPr>
        <w:footnoteReference w:id="10"/>
      </w:r>
      <w:r w:rsidRPr="0005341B">
        <w:rPr>
          <w:rFonts w:ascii="Verdana" w:eastAsia="Calibri" w:hAnsi="Verdana" w:cstheme="minorHAnsi"/>
          <w:sz w:val="20"/>
          <w:szCs w:val="20"/>
          <w:lang w:val="es-CR" w:eastAsia="es-ES"/>
        </w:rPr>
        <w:t>;</w:t>
      </w:r>
    </w:p>
    <w:p w14:paraId="48184B76" w14:textId="77777777" w:rsidR="0005341B" w:rsidRPr="0005341B" w:rsidRDefault="0005341B" w:rsidP="00471AEC">
      <w:pPr>
        <w:spacing w:after="0" w:line="240" w:lineRule="auto"/>
        <w:ind w:left="0"/>
        <w:contextualSpacing/>
        <w:rPr>
          <w:rFonts w:ascii="Verdana" w:eastAsia="Calibri" w:hAnsi="Verdana" w:cstheme="minorHAnsi"/>
          <w:sz w:val="20"/>
          <w:szCs w:val="20"/>
          <w:lang w:val="es-CR" w:eastAsia="es-ES"/>
        </w:rPr>
      </w:pPr>
    </w:p>
    <w:p w14:paraId="48184B77" w14:textId="611333AB" w:rsidR="0005341B" w:rsidRPr="0005341B" w:rsidRDefault="002B04D7" w:rsidP="00471AEC">
      <w:pPr>
        <w:numPr>
          <w:ilvl w:val="0"/>
          <w:numId w:val="1"/>
        </w:numPr>
        <w:spacing w:after="0" w:line="240" w:lineRule="auto"/>
        <w:ind w:left="0" w:firstLine="0"/>
        <w:contextualSpacing/>
        <w:rPr>
          <w:rFonts w:ascii="Verdana" w:eastAsia="Calibri" w:hAnsi="Verdana" w:cs="Times"/>
          <w:sz w:val="20"/>
          <w:szCs w:val="20"/>
          <w:lang w:val="es-ES" w:eastAsia="es-ES"/>
        </w:rPr>
      </w:pPr>
      <w:r>
        <w:rPr>
          <w:rFonts w:ascii="Verdana" w:eastAsia="Calibri" w:hAnsi="Verdana" w:cstheme="minorHAnsi"/>
          <w:sz w:val="20"/>
          <w:szCs w:val="20"/>
          <w:lang w:val="es-CR" w:eastAsia="es-ES"/>
        </w:rPr>
        <w:t>L</w:t>
      </w:r>
      <w:r w:rsidR="0005341B" w:rsidRPr="0005341B">
        <w:rPr>
          <w:rFonts w:ascii="Verdana" w:eastAsia="Calibri" w:hAnsi="Verdana" w:cs="Times"/>
          <w:sz w:val="20"/>
          <w:szCs w:val="20"/>
          <w:lang w:val="es-ES_tradnl" w:eastAsia="es-ES"/>
        </w:rPr>
        <w:t>a parte que ofrece una prueba debe asegurar que su presentación cumpla con los requisitos reglamentarios</w:t>
      </w:r>
      <w:r w:rsidR="0005341B" w:rsidRPr="0005341B">
        <w:rPr>
          <w:rFonts w:ascii="Verdana" w:eastAsia="Calibri" w:hAnsi="Verdana" w:cs="Verdana"/>
          <w:sz w:val="20"/>
          <w:szCs w:val="20"/>
          <w:vertAlign w:val="superscript"/>
          <w:lang w:val="es-ES_tradnl" w:eastAsia="es-ES"/>
        </w:rPr>
        <w:footnoteReference w:id="11"/>
      </w:r>
      <w:r w:rsidR="0005341B" w:rsidRPr="0005341B">
        <w:rPr>
          <w:rFonts w:ascii="Verdana" w:eastAsia="Calibri" w:hAnsi="Verdana" w:cstheme="minorHAnsi"/>
          <w:sz w:val="20"/>
          <w:szCs w:val="20"/>
          <w:lang w:val="es-ES_tradnl" w:eastAsia="es-ES"/>
        </w:rPr>
        <w:t>;</w:t>
      </w:r>
    </w:p>
    <w:p w14:paraId="48184B78" w14:textId="77777777" w:rsidR="0005341B" w:rsidRPr="0005341B" w:rsidRDefault="0005341B" w:rsidP="00A579A1">
      <w:pPr>
        <w:spacing w:after="0" w:line="240" w:lineRule="auto"/>
        <w:ind w:left="0"/>
        <w:contextualSpacing/>
        <w:rPr>
          <w:rFonts w:ascii="Verdana" w:eastAsia="Calibri" w:hAnsi="Verdana" w:cs="Times"/>
          <w:sz w:val="20"/>
          <w:szCs w:val="20"/>
          <w:lang w:val="es-ES" w:eastAsia="es-ES"/>
        </w:rPr>
      </w:pPr>
    </w:p>
    <w:p w14:paraId="48184B79" w14:textId="77777777" w:rsidR="0005341B" w:rsidRPr="0005341B" w:rsidRDefault="0005341B" w:rsidP="00A579A1">
      <w:pPr>
        <w:widowControl w:val="0"/>
        <w:numPr>
          <w:ilvl w:val="0"/>
          <w:numId w:val="2"/>
        </w:numPr>
        <w:tabs>
          <w:tab w:val="left" w:pos="567"/>
          <w:tab w:val="left" w:pos="720"/>
          <w:tab w:val="left" w:pos="810"/>
        </w:tabs>
        <w:autoSpaceDE w:val="0"/>
        <w:autoSpaceDN w:val="0"/>
        <w:adjustRightInd w:val="0"/>
        <w:spacing w:after="0" w:line="240" w:lineRule="auto"/>
        <w:ind w:left="1210"/>
        <w:contextualSpacing/>
        <w:rPr>
          <w:rFonts w:ascii="Verdana" w:eastAsia="Calibri" w:hAnsi="Verdana" w:cs="Times"/>
          <w:sz w:val="20"/>
          <w:szCs w:val="20"/>
          <w:lang w:val="es-CR" w:eastAsia="es-ES"/>
        </w:rPr>
      </w:pPr>
      <w:r w:rsidRPr="0005341B">
        <w:rPr>
          <w:rFonts w:ascii="Verdana" w:eastAsia="Calibri" w:hAnsi="Verdana" w:cstheme="minorHAnsi"/>
          <w:b/>
          <w:i/>
          <w:sz w:val="20"/>
          <w:szCs w:val="20"/>
          <w:lang w:val="es-CR" w:eastAsia="es-ES"/>
        </w:rPr>
        <w:t>En</w:t>
      </w:r>
      <w:r w:rsidRPr="0005341B">
        <w:rPr>
          <w:rFonts w:ascii="Verdana" w:eastAsia="Calibri" w:hAnsi="Verdana" w:cs="Times"/>
          <w:b/>
          <w:i/>
          <w:sz w:val="20"/>
          <w:szCs w:val="20"/>
          <w:lang w:val="es-CR" w:eastAsia="es-ES"/>
        </w:rPr>
        <w:t xml:space="preserve"> lo </w:t>
      </w:r>
      <w:r w:rsidRPr="0005341B">
        <w:rPr>
          <w:rFonts w:ascii="Verdana" w:eastAsia="Calibri" w:hAnsi="Verdana" w:cstheme="minorHAnsi"/>
          <w:b/>
          <w:i/>
          <w:sz w:val="20"/>
          <w:szCs w:val="20"/>
          <w:lang w:val="es-CR" w:eastAsia="es-ES"/>
        </w:rPr>
        <w:t>pertinente a la</w:t>
      </w:r>
      <w:r w:rsidRPr="0005341B">
        <w:rPr>
          <w:rFonts w:ascii="Verdana" w:eastAsia="Calibri" w:hAnsi="Verdana" w:cs="Times"/>
          <w:b/>
          <w:i/>
          <w:sz w:val="20"/>
          <w:szCs w:val="20"/>
          <w:lang w:val="es-CR" w:eastAsia="es-ES"/>
        </w:rPr>
        <w:t xml:space="preserve"> recusación formulada por las representantes respecto del perito Carlos Rodríguez Ulloa</w:t>
      </w:r>
      <w:r w:rsidR="00A579A1">
        <w:rPr>
          <w:rFonts w:ascii="Verdana" w:eastAsia="Calibri" w:hAnsi="Verdana" w:cs="Times"/>
          <w:b/>
          <w:i/>
          <w:sz w:val="20"/>
          <w:szCs w:val="20"/>
          <w:lang w:val="es-CR" w:eastAsia="es-ES"/>
        </w:rPr>
        <w:t>,</w:t>
      </w:r>
      <w:r w:rsidRPr="0005341B">
        <w:rPr>
          <w:rFonts w:ascii="Verdana" w:eastAsia="Calibri" w:hAnsi="Verdana" w:cs="Times"/>
          <w:b/>
          <w:i/>
          <w:sz w:val="20"/>
          <w:szCs w:val="20"/>
          <w:lang w:val="es-CR" w:eastAsia="es-ES"/>
        </w:rPr>
        <w:t xml:space="preserve"> </w:t>
      </w:r>
    </w:p>
    <w:p w14:paraId="48184B7A" w14:textId="77777777" w:rsidR="0005341B" w:rsidRPr="0005341B" w:rsidRDefault="0005341B" w:rsidP="00A579A1">
      <w:pPr>
        <w:widowControl w:val="0"/>
        <w:tabs>
          <w:tab w:val="left" w:pos="567"/>
          <w:tab w:val="left" w:pos="720"/>
          <w:tab w:val="left" w:pos="810"/>
        </w:tabs>
        <w:autoSpaceDE w:val="0"/>
        <w:autoSpaceDN w:val="0"/>
        <w:adjustRightInd w:val="0"/>
        <w:spacing w:after="0" w:line="240" w:lineRule="auto"/>
        <w:ind w:left="0"/>
        <w:contextualSpacing/>
        <w:rPr>
          <w:rFonts w:ascii="Verdana" w:eastAsia="Calibri" w:hAnsi="Verdana" w:cs="Times"/>
          <w:sz w:val="20"/>
          <w:szCs w:val="20"/>
          <w:lang w:val="es-CR" w:eastAsia="es-ES"/>
        </w:rPr>
      </w:pPr>
    </w:p>
    <w:p w14:paraId="48184B7B" w14:textId="7C621BA4" w:rsidR="0005341B" w:rsidRPr="0005341B" w:rsidRDefault="0005341B" w:rsidP="006E7242">
      <w:pPr>
        <w:numPr>
          <w:ilvl w:val="0"/>
          <w:numId w:val="1"/>
        </w:numPr>
        <w:spacing w:after="0" w:line="240" w:lineRule="auto"/>
        <w:ind w:left="0" w:firstLine="0"/>
        <w:contextualSpacing/>
        <w:rPr>
          <w:rFonts w:ascii="Verdana" w:eastAsia="Calibri" w:hAnsi="Verdana" w:cs="Times"/>
          <w:sz w:val="20"/>
          <w:szCs w:val="20"/>
          <w:lang w:val="es-CR" w:eastAsia="es-ES"/>
        </w:rPr>
      </w:pPr>
      <w:r w:rsidRPr="0005341B">
        <w:rPr>
          <w:rFonts w:ascii="Verdana" w:eastAsia="Calibri" w:hAnsi="Verdana" w:cs="Times"/>
          <w:sz w:val="20"/>
          <w:szCs w:val="20"/>
          <w:lang w:val="es-ES_tradnl" w:eastAsia="es-ES"/>
        </w:rPr>
        <w:t xml:space="preserve">El Estado ofreció el dictamen pericial del señor Carlos Rodríguez Ulloa, el cual versaría sobre  “[el] contexto de la delincuencia organizada en el [E]stado de Chihuahua, en la época de los </w:t>
      </w:r>
      <w:r w:rsidRPr="0005341B">
        <w:rPr>
          <w:rFonts w:ascii="Verdana" w:eastAsia="Calibri" w:hAnsi="Verdana" w:cs="Times"/>
          <w:sz w:val="20"/>
          <w:szCs w:val="20"/>
          <w:lang w:val="es-ES_tradnl" w:eastAsia="es-ES"/>
        </w:rPr>
        <w:lastRenderedPageBreak/>
        <w:t>hechos del presente caso</w:t>
      </w:r>
      <w:r w:rsidRPr="0005341B">
        <w:rPr>
          <w:rFonts w:ascii="Verdana" w:eastAsia="Calibri" w:hAnsi="Verdana" w:cstheme="minorHAnsi"/>
          <w:sz w:val="20"/>
          <w:szCs w:val="20"/>
          <w:lang w:val="es-ES_tradnl" w:eastAsia="es-ES"/>
        </w:rPr>
        <w:t>” y expondría “</w:t>
      </w:r>
      <w:r w:rsidRPr="0005341B">
        <w:rPr>
          <w:rFonts w:ascii="Verdana" w:eastAsia="Calibri" w:hAnsi="Verdana" w:cs="Times"/>
          <w:sz w:val="20"/>
          <w:szCs w:val="20"/>
          <w:lang w:val="es-ES_tradnl" w:eastAsia="es-ES"/>
        </w:rPr>
        <w:t>su análisis respecto de las acciones que dichos grupos han desarrollado para afectar a la población en general y evadirse de la acción de la justicia, haciendo especial énfasis en la utilización de uniformes apócrifos”</w:t>
      </w:r>
      <w:r w:rsidRPr="0005341B">
        <w:rPr>
          <w:rFonts w:ascii="Verdana" w:eastAsia="Calibri" w:hAnsi="Verdana" w:cstheme="minorHAnsi"/>
          <w:sz w:val="20"/>
          <w:szCs w:val="20"/>
          <w:lang w:val="es-ES_tradnl" w:eastAsia="es-ES"/>
        </w:rPr>
        <w:t>;</w:t>
      </w:r>
    </w:p>
    <w:p w14:paraId="48184B7C" w14:textId="77777777" w:rsidR="0005341B" w:rsidRPr="0005341B" w:rsidRDefault="0005341B" w:rsidP="006E7242">
      <w:pPr>
        <w:spacing w:after="0" w:line="240" w:lineRule="auto"/>
        <w:ind w:left="0"/>
        <w:rPr>
          <w:rFonts w:ascii="Verdana" w:eastAsia="MS Mincho" w:hAnsi="Verdana"/>
          <w:sz w:val="20"/>
          <w:szCs w:val="20"/>
          <w:lang w:val="es-CR"/>
        </w:rPr>
      </w:pPr>
    </w:p>
    <w:p w14:paraId="48184B7D" w14:textId="09BFCC92" w:rsidR="0005341B" w:rsidRPr="0005341B" w:rsidRDefault="0005341B" w:rsidP="006E7242">
      <w:pPr>
        <w:numPr>
          <w:ilvl w:val="0"/>
          <w:numId w:val="1"/>
        </w:numPr>
        <w:spacing w:after="0" w:line="240" w:lineRule="auto"/>
        <w:ind w:left="0" w:firstLine="0"/>
        <w:contextualSpacing/>
        <w:rPr>
          <w:rFonts w:ascii="Verdana" w:eastAsia="Calibri" w:hAnsi="Verdana" w:cs="Times"/>
          <w:sz w:val="20"/>
          <w:szCs w:val="20"/>
          <w:lang w:val="es-ES_tradnl" w:eastAsia="es-ES"/>
        </w:rPr>
      </w:pPr>
      <w:r w:rsidRPr="0005341B">
        <w:rPr>
          <w:rFonts w:ascii="Verdana" w:eastAsia="Calibri" w:hAnsi="Verdana" w:cs="Times"/>
          <w:sz w:val="20"/>
          <w:szCs w:val="20"/>
          <w:lang w:val="es-CR" w:eastAsia="es-ES"/>
        </w:rPr>
        <w:t>Las representantes, en su escrito de 8 de febrero de 2018, formularon recusación en contra del señor Rodríguez Ulloa con fundamento en el artículo 48.1 c) del Reglamento, alegando que de su hoja de vida se desprende que dicho experto “laboró en la Secretaría de Gobernación entre los años 2009 y 2014 [desempeñando] […] tres actividades […] en esa instancia gubernamental”</w:t>
      </w:r>
      <w:r w:rsidR="00825A74">
        <w:rPr>
          <w:rFonts w:ascii="Verdana" w:eastAsia="Calibri" w:hAnsi="Verdana" w:cs="Times"/>
          <w:sz w:val="20"/>
          <w:szCs w:val="20"/>
          <w:lang w:val="es-CR" w:eastAsia="es-ES"/>
        </w:rPr>
        <w:t>. A</w:t>
      </w:r>
      <w:r w:rsidRPr="0005341B">
        <w:rPr>
          <w:rFonts w:ascii="Verdana" w:eastAsia="Calibri" w:hAnsi="Verdana" w:cstheme="minorHAnsi"/>
          <w:sz w:val="20"/>
          <w:szCs w:val="20"/>
          <w:lang w:val="es-CR" w:eastAsia="es-ES"/>
        </w:rPr>
        <w:t>ñadie</w:t>
      </w:r>
      <w:r w:rsidR="00825A74">
        <w:rPr>
          <w:rFonts w:ascii="Verdana" w:eastAsia="Calibri" w:hAnsi="Verdana" w:cstheme="minorHAnsi"/>
          <w:sz w:val="20"/>
          <w:szCs w:val="20"/>
          <w:lang w:val="es-CR" w:eastAsia="es-ES"/>
        </w:rPr>
        <w:t>ron</w:t>
      </w:r>
      <w:r w:rsidRPr="0005341B">
        <w:rPr>
          <w:rFonts w:ascii="Verdana" w:eastAsia="Calibri" w:hAnsi="Verdana" w:cs="Times"/>
          <w:sz w:val="20"/>
          <w:szCs w:val="20"/>
          <w:lang w:val="es-CR" w:eastAsia="es-ES"/>
        </w:rPr>
        <w:t xml:space="preserve">, como fundamento de su recusación, que “tanto las víctimas como sus representantes h[an] sostenido una serie de </w:t>
      </w:r>
      <w:r w:rsidRPr="0005341B">
        <w:rPr>
          <w:rFonts w:ascii="Verdana" w:eastAsia="Calibri" w:hAnsi="Verdana" w:cs="Times"/>
          <w:sz w:val="20"/>
          <w:szCs w:val="20"/>
          <w:lang w:val="es-ES_tradnl" w:eastAsia="es-ES"/>
        </w:rPr>
        <w:t>reuniones, intercambios y comunicaciones diversas con distintos funcionarios y funcionarias de la Secretaría de Gobernación con el fin de implementar las medidas provisionales adoptadas por e[l] Tribunal a partir del 26 de mayo de 2010 [en donde] la Secretaría de Gobernación fungió como responsable de la coordinación de las mismas para efectos de las medidas de protección adoptadas”</w:t>
      </w:r>
      <w:r w:rsidRPr="0005341B">
        <w:rPr>
          <w:rFonts w:ascii="Verdana" w:eastAsia="Calibri" w:hAnsi="Verdana" w:cstheme="minorHAnsi"/>
          <w:sz w:val="20"/>
          <w:szCs w:val="20"/>
          <w:lang w:val="es-ES_tradnl" w:eastAsia="es-ES"/>
        </w:rPr>
        <w:t>, por lo que en tal</w:t>
      </w:r>
      <w:r w:rsidRPr="0005341B">
        <w:rPr>
          <w:rFonts w:ascii="Verdana" w:eastAsia="Calibri" w:hAnsi="Verdana" w:cs="Times"/>
          <w:sz w:val="20"/>
          <w:szCs w:val="20"/>
          <w:lang w:val="es-ES_tradnl" w:eastAsia="es-ES"/>
        </w:rPr>
        <w:t xml:space="preserve"> sentido, las representantes consideraron “que [la] vinculación laboral [del</w:t>
      </w:r>
      <w:r w:rsidRPr="0005341B">
        <w:rPr>
          <w:rFonts w:ascii="Verdana" w:eastAsia="Calibri" w:hAnsi="Verdana" w:cs="Times"/>
          <w:sz w:val="20"/>
          <w:szCs w:val="20"/>
          <w:lang w:val="es-CR" w:eastAsia="es-ES"/>
        </w:rPr>
        <w:t xml:space="preserve"> señor Rodríguez Ulloa</w:t>
      </w:r>
      <w:r w:rsidRPr="0005341B">
        <w:rPr>
          <w:rFonts w:ascii="Verdana" w:eastAsia="Calibri" w:hAnsi="Verdana" w:cs="Times"/>
          <w:sz w:val="20"/>
          <w:szCs w:val="20"/>
          <w:lang w:val="es-ES_tradnl" w:eastAsia="es-ES"/>
        </w:rPr>
        <w:t xml:space="preserve">] con la principal dependencia con que se ha entendido este caso desde un inicio, justifica un requerimiento de información aclaratoria sobre las labores que […] realizó durante el período en que laboró en la Secretaría de Gobernación” en virtud de que dicho lapso de tiempo “se encuadra dentro del marco fáctico de la mayoría de las violaciones de derechos humanos denunciadas en el presente caso </w:t>
      </w:r>
      <w:r w:rsidRPr="0005341B">
        <w:rPr>
          <w:rFonts w:ascii="Verdana" w:eastAsia="Calibri" w:hAnsi="Verdana" w:cstheme="minorHAnsi"/>
          <w:sz w:val="20"/>
          <w:szCs w:val="20"/>
          <w:lang w:val="es-ES_tradnl" w:eastAsia="es-ES"/>
        </w:rPr>
        <w:t>[…]”;</w:t>
      </w:r>
    </w:p>
    <w:p w14:paraId="48184B7E" w14:textId="77777777" w:rsidR="0005341B" w:rsidRPr="0005341B" w:rsidRDefault="0005341B" w:rsidP="006E7242">
      <w:pPr>
        <w:spacing w:after="0" w:line="240" w:lineRule="auto"/>
        <w:ind w:left="0"/>
        <w:contextualSpacing/>
        <w:rPr>
          <w:rFonts w:ascii="Verdana" w:eastAsia="Calibri" w:hAnsi="Verdana" w:cs="Times"/>
          <w:sz w:val="20"/>
          <w:szCs w:val="20"/>
          <w:lang w:val="es-ES_tradnl" w:eastAsia="es-ES"/>
        </w:rPr>
      </w:pPr>
    </w:p>
    <w:p w14:paraId="48184B7F" w14:textId="3FC0EEC7" w:rsidR="0005341B" w:rsidRPr="0005341B" w:rsidRDefault="0005341B" w:rsidP="006E7242">
      <w:pPr>
        <w:numPr>
          <w:ilvl w:val="0"/>
          <w:numId w:val="1"/>
        </w:numPr>
        <w:spacing w:after="0" w:line="240" w:lineRule="auto"/>
        <w:ind w:left="0" w:firstLine="0"/>
        <w:contextualSpacing/>
        <w:rPr>
          <w:rFonts w:ascii="Verdana" w:eastAsia="Calibri" w:hAnsi="Verdana" w:cs="Times"/>
          <w:sz w:val="20"/>
          <w:szCs w:val="20"/>
          <w:lang w:val="es-ES_tradnl" w:eastAsia="es-ES"/>
        </w:rPr>
      </w:pPr>
      <w:r w:rsidRPr="0005341B">
        <w:rPr>
          <w:rFonts w:ascii="Verdana" w:eastAsia="Calibri" w:hAnsi="Verdana" w:cstheme="minorHAnsi"/>
          <w:sz w:val="20"/>
          <w:szCs w:val="20"/>
          <w:lang w:val="es-CR" w:eastAsia="es-ES"/>
        </w:rPr>
        <w:t>Respondiendo al traslado de la recusación, el</w:t>
      </w:r>
      <w:r w:rsidRPr="0005341B">
        <w:rPr>
          <w:rFonts w:ascii="Verdana" w:eastAsia="Calibri" w:hAnsi="Verdana" w:cs="Times"/>
          <w:sz w:val="20"/>
          <w:szCs w:val="20"/>
          <w:lang w:val="es-CR" w:eastAsia="es-ES"/>
        </w:rPr>
        <w:t xml:space="preserve"> señor Rodríguez Ulloa manifestó que “en [sus] 17 años de desempeño profesional [se ha] centrado en un desarrollo académico y sistemático especializado en los temas de seguridad [con base en] los principios de objetividad, independencia, probidad e imparcialidad propios del mundo académico […]”</w:t>
      </w:r>
      <w:r w:rsidRPr="0005341B">
        <w:rPr>
          <w:rFonts w:ascii="Verdana" w:eastAsia="Calibri" w:hAnsi="Verdana" w:cstheme="minorHAnsi"/>
          <w:sz w:val="20"/>
          <w:szCs w:val="20"/>
          <w:lang w:val="es-CR" w:eastAsia="es-ES"/>
        </w:rPr>
        <w:t>, afirmando</w:t>
      </w:r>
      <w:r w:rsidRPr="0005341B">
        <w:rPr>
          <w:rFonts w:ascii="Verdana" w:eastAsia="Calibri" w:hAnsi="Verdana" w:cs="Times"/>
          <w:sz w:val="20"/>
          <w:szCs w:val="20"/>
          <w:lang w:val="es-CR" w:eastAsia="es-ES"/>
        </w:rPr>
        <w:t xml:space="preserve"> que “el período [en] que trabaj[ó] en [la] Escuela de Inteligencia para la Seguridad Nacional [ESISEN], órgano desconcentrado de la Secretaría de Gobernación, correspondi[ó] a una parte de [su] desempeño profesional que [le] permitió orientar el bagaje académico hacia un sector de la administración pública especializado, con fuerte arraigo civil y guiado por los principios de legalidad, objetividad y libertad de pensamiento que corresponden a una sólida institución de educación y capacitación”</w:t>
      </w:r>
      <w:r w:rsidRPr="0005341B">
        <w:rPr>
          <w:rFonts w:ascii="Verdana" w:eastAsia="Calibri" w:hAnsi="Verdana" w:cstheme="minorHAnsi"/>
          <w:sz w:val="20"/>
          <w:szCs w:val="20"/>
          <w:lang w:val="es-CR" w:eastAsia="es-ES"/>
        </w:rPr>
        <w:t>, sosteniendo, además,</w:t>
      </w:r>
      <w:r w:rsidRPr="0005341B">
        <w:rPr>
          <w:rFonts w:ascii="Verdana" w:eastAsia="Calibri" w:hAnsi="Verdana" w:cs="Times"/>
          <w:sz w:val="20"/>
          <w:szCs w:val="20"/>
          <w:lang w:val="es-CR" w:eastAsia="es-ES"/>
        </w:rPr>
        <w:t xml:space="preserve"> que “en este período (2009-2014) y debido a [su] experiencia académica profesional relacionada con temas de seguridad se [l]e h[izo] la invitación a incorporar[se] en calidad de académico</w:t>
      </w:r>
      <w:r w:rsidRPr="0005341B">
        <w:rPr>
          <w:rFonts w:ascii="Verdana" w:eastAsia="Calibri" w:hAnsi="Verdana" w:cs="Times"/>
          <w:b/>
          <w:sz w:val="20"/>
          <w:szCs w:val="20"/>
          <w:u w:val="single"/>
          <w:lang w:val="es-CR" w:eastAsia="es-ES"/>
        </w:rPr>
        <w:t xml:space="preserve"> </w:t>
      </w:r>
      <w:r w:rsidRPr="0005341B">
        <w:rPr>
          <w:rFonts w:ascii="Verdana" w:eastAsia="Calibri" w:hAnsi="Verdana" w:cs="Times"/>
          <w:sz w:val="20"/>
          <w:szCs w:val="20"/>
          <w:lang w:val="es-CR" w:eastAsia="es-ES"/>
        </w:rPr>
        <w:t>al proyecto de la […] ESISEN del Centro de Investigación y Seguridad Nacional (CISEN) como un órgano desconcentrado de la Secretaría de Gobernación” y que, durante el período de referencia, “particip[ó] como académico en la construcción y consolidación de la [ESISEN] para la profesionalización del personal civil de la Secretaría [de Gobernación], colabor[ó] en la sistematización de la información académica en las materias de análisis, prospectiva y escenarios; así como [en] la impartición de diversos cursos y talleres relacionados con distintas temáticas de seguridad”</w:t>
      </w:r>
      <w:r w:rsidRPr="0005341B">
        <w:rPr>
          <w:rFonts w:ascii="Verdana" w:eastAsia="Calibri" w:hAnsi="Verdana" w:cs="Verdana"/>
          <w:sz w:val="20"/>
          <w:szCs w:val="20"/>
          <w:vertAlign w:val="superscript"/>
          <w:lang w:val="es-CR" w:eastAsia="es-ES"/>
        </w:rPr>
        <w:footnoteReference w:id="12"/>
      </w:r>
      <w:r w:rsidRPr="0005341B">
        <w:rPr>
          <w:rFonts w:ascii="Verdana" w:eastAsia="Calibri" w:hAnsi="Verdana" w:cstheme="minorHAnsi"/>
          <w:sz w:val="20"/>
          <w:szCs w:val="20"/>
          <w:lang w:val="es-CR" w:eastAsia="es-ES"/>
        </w:rPr>
        <w:t>;</w:t>
      </w:r>
    </w:p>
    <w:p w14:paraId="48184B80" w14:textId="77777777" w:rsidR="0005341B" w:rsidRPr="0005341B" w:rsidRDefault="0005341B" w:rsidP="006E7242">
      <w:pPr>
        <w:spacing w:after="0" w:line="276" w:lineRule="auto"/>
        <w:ind w:left="0"/>
        <w:rPr>
          <w:rFonts w:ascii="Verdana" w:eastAsia="Calibri" w:hAnsi="Verdana" w:cstheme="minorHAnsi"/>
          <w:sz w:val="20"/>
          <w:szCs w:val="20"/>
          <w:lang w:val="es-CR" w:eastAsia="es-ES"/>
        </w:rPr>
      </w:pPr>
    </w:p>
    <w:p w14:paraId="48184B81" w14:textId="77777777" w:rsidR="0005341B" w:rsidRPr="0005341B" w:rsidRDefault="0005341B" w:rsidP="006E7242">
      <w:pPr>
        <w:numPr>
          <w:ilvl w:val="0"/>
          <w:numId w:val="1"/>
        </w:numPr>
        <w:spacing w:after="0" w:line="240" w:lineRule="auto"/>
        <w:ind w:left="0" w:firstLine="0"/>
        <w:contextualSpacing/>
        <w:rPr>
          <w:rFonts w:ascii="Verdana" w:eastAsia="Calibri" w:hAnsi="Verdana" w:cs="Times"/>
          <w:sz w:val="20"/>
          <w:szCs w:val="20"/>
          <w:lang w:val="es-ES_tradnl" w:eastAsia="es-ES"/>
        </w:rPr>
      </w:pPr>
      <w:r w:rsidRPr="0005341B">
        <w:rPr>
          <w:rFonts w:ascii="Verdana" w:eastAsia="Calibri" w:hAnsi="Verdana" w:cstheme="minorHAnsi"/>
          <w:sz w:val="20"/>
          <w:szCs w:val="20"/>
          <w:lang w:val="es-ES_tradnl" w:eastAsia="es-ES"/>
        </w:rPr>
        <w:t>E</w:t>
      </w:r>
      <w:r w:rsidRPr="0005341B">
        <w:rPr>
          <w:rFonts w:ascii="Verdana" w:eastAsia="Calibri" w:hAnsi="Verdana" w:cstheme="minorHAnsi"/>
          <w:sz w:val="20"/>
          <w:szCs w:val="20"/>
          <w:lang w:val="es-CR" w:eastAsia="es-ES"/>
        </w:rPr>
        <w:t>l</w:t>
      </w:r>
      <w:r w:rsidRPr="0005341B">
        <w:rPr>
          <w:rFonts w:ascii="Verdana" w:eastAsia="Calibri" w:hAnsi="Verdana" w:cs="Times"/>
          <w:sz w:val="20"/>
          <w:szCs w:val="20"/>
          <w:lang w:val="es-CR" w:eastAsia="es-ES"/>
        </w:rPr>
        <w:t xml:space="preserve"> desempeño de una actividad relacionada con una dependencia que ejerce una función pública no constituye automáticamente una causal de impedimento para ser propuesto como experto pericial</w:t>
      </w:r>
      <w:r w:rsidRPr="0005341B">
        <w:rPr>
          <w:rFonts w:ascii="Verdana" w:eastAsia="Calibri" w:hAnsi="Verdana" w:cs="Times"/>
          <w:sz w:val="20"/>
          <w:szCs w:val="20"/>
          <w:vertAlign w:val="superscript"/>
          <w:lang w:val="es-ES_tradnl" w:eastAsia="es-ES"/>
        </w:rPr>
        <w:footnoteReference w:id="13"/>
      </w:r>
      <w:r w:rsidRPr="0005341B">
        <w:rPr>
          <w:rFonts w:ascii="Verdana" w:eastAsia="Calibri" w:hAnsi="Verdana" w:cstheme="minorHAnsi"/>
          <w:sz w:val="20"/>
          <w:szCs w:val="20"/>
          <w:lang w:val="es-CR" w:eastAsia="es-ES"/>
        </w:rPr>
        <w:t>;</w:t>
      </w:r>
    </w:p>
    <w:p w14:paraId="48184B82" w14:textId="77777777" w:rsidR="0005341B" w:rsidRPr="0005341B" w:rsidRDefault="0005341B" w:rsidP="00A579A1">
      <w:pPr>
        <w:spacing w:after="0" w:line="276" w:lineRule="auto"/>
        <w:ind w:left="0"/>
        <w:rPr>
          <w:rFonts w:ascii="Verdana" w:eastAsia="MS Mincho" w:hAnsi="Verdana"/>
          <w:sz w:val="20"/>
          <w:szCs w:val="20"/>
          <w:lang w:val="es-MX"/>
        </w:rPr>
      </w:pPr>
    </w:p>
    <w:p w14:paraId="48184B83" w14:textId="2C44AEE7" w:rsidR="0005341B" w:rsidRPr="0005341B" w:rsidRDefault="0005341B" w:rsidP="006E7242">
      <w:pPr>
        <w:numPr>
          <w:ilvl w:val="0"/>
          <w:numId w:val="1"/>
        </w:numPr>
        <w:spacing w:after="0" w:line="240" w:lineRule="auto"/>
        <w:ind w:left="0" w:firstLine="0"/>
        <w:contextualSpacing/>
        <w:rPr>
          <w:rFonts w:ascii="Verdana" w:eastAsia="Calibri" w:hAnsi="Verdana" w:cs="Times"/>
          <w:sz w:val="20"/>
          <w:szCs w:val="20"/>
          <w:lang w:val="es-ES_tradnl" w:eastAsia="es-ES"/>
        </w:rPr>
      </w:pPr>
      <w:r w:rsidRPr="0005341B">
        <w:rPr>
          <w:rFonts w:ascii="Verdana" w:eastAsia="Calibri" w:hAnsi="Verdana" w:cstheme="minorHAnsi"/>
          <w:sz w:val="20"/>
          <w:szCs w:val="20"/>
          <w:lang w:val="es-ES_tradnl" w:eastAsia="es-ES"/>
        </w:rPr>
        <w:lastRenderedPageBreak/>
        <w:t>E</w:t>
      </w:r>
      <w:r w:rsidRPr="0005341B">
        <w:rPr>
          <w:rFonts w:ascii="Verdana" w:eastAsia="Calibri" w:hAnsi="Verdana" w:cstheme="minorHAnsi"/>
          <w:sz w:val="20"/>
          <w:szCs w:val="20"/>
          <w:lang w:val="es-CR" w:eastAsia="es-ES"/>
        </w:rPr>
        <w:t>l</w:t>
      </w:r>
      <w:r w:rsidRPr="0005341B">
        <w:rPr>
          <w:rFonts w:ascii="Verdana" w:eastAsia="Calibri" w:hAnsi="Verdana" w:cs="Times"/>
          <w:sz w:val="20"/>
          <w:szCs w:val="20"/>
          <w:lang w:val="es-CR" w:eastAsia="es-ES"/>
        </w:rPr>
        <w:t xml:space="preserve"> señor Carlos Rodr</w:t>
      </w:r>
      <w:r w:rsidRPr="0005341B">
        <w:rPr>
          <w:rFonts w:ascii="Verdana" w:eastAsia="Calibri" w:hAnsi="Verdana" w:cs="Times"/>
          <w:sz w:val="20"/>
          <w:szCs w:val="20"/>
          <w:lang w:val="es-ES_tradnl" w:eastAsia="es-ES"/>
        </w:rPr>
        <w:t>íguez Ulloa sos</w:t>
      </w:r>
      <w:r w:rsidRPr="0005341B">
        <w:rPr>
          <w:rFonts w:ascii="Verdana" w:eastAsia="Calibri" w:hAnsi="Verdana" w:cs="Times"/>
          <w:sz w:val="20"/>
          <w:szCs w:val="20"/>
          <w:lang w:val="es-CR" w:eastAsia="es-ES"/>
        </w:rPr>
        <w:t>tuvo una vinculación personal de naturaleza docente y académica con una dependencia centralizada del Estado proponente entre los años 2009 y 2014, ejerciendo labores tales como: i) Profesor investigador en la Escuela de Inteligencia para la Seguridad Nacional (ESISEN); ii) Investigador responsable de la materia de Prospectiva y Escenarios y compilador de Lecturas Básicas de Inteligencia sobre Prospectiva y Escenarios, e iii) Impartición del taller “Prospectiva y Construcción de Escenarios”, para la Secretaría de Inteligencia Estratégica del Estado (SIEE) de Guatemala, en la ciudad de Guatemala, en septiembre de 2013</w:t>
      </w:r>
      <w:r w:rsidRPr="0005341B">
        <w:rPr>
          <w:rFonts w:ascii="Verdana" w:eastAsia="Calibri" w:hAnsi="Verdana" w:cstheme="minorHAnsi"/>
          <w:sz w:val="20"/>
          <w:szCs w:val="20"/>
          <w:lang w:val="es-CR" w:eastAsia="es-ES"/>
        </w:rPr>
        <w:t>;</w:t>
      </w:r>
    </w:p>
    <w:p w14:paraId="48184B84" w14:textId="77777777" w:rsidR="0005341B" w:rsidRPr="0005341B" w:rsidRDefault="0005341B" w:rsidP="006E7242">
      <w:pPr>
        <w:spacing w:after="0" w:line="276" w:lineRule="auto"/>
        <w:ind w:left="0"/>
        <w:rPr>
          <w:rFonts w:ascii="Verdana" w:eastAsia="MS Mincho" w:hAnsi="Verdana"/>
          <w:sz w:val="20"/>
          <w:szCs w:val="20"/>
          <w:lang w:val="es-ES_tradnl"/>
        </w:rPr>
      </w:pPr>
    </w:p>
    <w:p w14:paraId="48184B85" w14:textId="77777777" w:rsidR="0005341B" w:rsidRPr="0005341B" w:rsidRDefault="0005341B" w:rsidP="006E7242">
      <w:pPr>
        <w:numPr>
          <w:ilvl w:val="0"/>
          <w:numId w:val="1"/>
        </w:numPr>
        <w:spacing w:after="0" w:line="240" w:lineRule="auto"/>
        <w:ind w:left="0" w:firstLine="0"/>
        <w:contextualSpacing/>
        <w:rPr>
          <w:rFonts w:ascii="Verdana" w:eastAsia="Calibri" w:hAnsi="Verdana" w:cstheme="minorHAnsi"/>
          <w:sz w:val="20"/>
          <w:szCs w:val="20"/>
          <w:lang w:val="es-CR" w:eastAsia="es-ES"/>
        </w:rPr>
      </w:pPr>
      <w:r w:rsidRPr="0005341B">
        <w:rPr>
          <w:rFonts w:ascii="Verdana" w:eastAsia="Calibri" w:hAnsi="Verdana" w:cs="Times"/>
          <w:sz w:val="20"/>
          <w:szCs w:val="20"/>
          <w:lang w:val="es-CR" w:eastAsia="es-ES"/>
        </w:rPr>
        <w:t xml:space="preserve">De acuerdo con </w:t>
      </w:r>
      <w:r w:rsidRPr="0005341B">
        <w:rPr>
          <w:rFonts w:ascii="Verdana" w:eastAsia="Calibri" w:hAnsi="Verdana" w:cstheme="minorHAnsi"/>
          <w:sz w:val="20"/>
          <w:szCs w:val="20"/>
          <w:lang w:val="es-CR" w:eastAsia="es-ES"/>
        </w:rPr>
        <w:t>lo</w:t>
      </w:r>
      <w:r w:rsidRPr="0005341B">
        <w:rPr>
          <w:rFonts w:ascii="Verdana" w:eastAsia="Calibri" w:hAnsi="Verdana" w:cs="Times"/>
          <w:sz w:val="20"/>
          <w:szCs w:val="20"/>
          <w:lang w:val="es-CR" w:eastAsia="es-ES"/>
        </w:rPr>
        <w:t xml:space="preserve"> que</w:t>
      </w:r>
      <w:r w:rsidRPr="0005341B">
        <w:rPr>
          <w:rFonts w:ascii="Verdana" w:eastAsia="Calibri" w:hAnsi="Verdana" w:cstheme="minorHAnsi"/>
          <w:sz w:val="20"/>
          <w:szCs w:val="20"/>
          <w:lang w:val="es-CR" w:eastAsia="es-ES"/>
        </w:rPr>
        <w:t xml:space="preserve"> consta en autos,</w:t>
      </w:r>
      <w:r w:rsidRPr="0005341B">
        <w:rPr>
          <w:rFonts w:ascii="Verdana" w:eastAsia="Calibri" w:hAnsi="Verdana" w:cs="Times"/>
          <w:sz w:val="20"/>
          <w:szCs w:val="20"/>
          <w:lang w:val="es-CR" w:eastAsia="es-ES"/>
        </w:rPr>
        <w:t xml:space="preserve"> el perito recusado no tuvo un vínculo directo de subordinación laboral y/o funcional con el Estado proponente durante el período señalado por las representantes que pusiera en duda su objetividad</w:t>
      </w:r>
      <w:r w:rsidRPr="0005341B">
        <w:rPr>
          <w:rFonts w:ascii="Verdana" w:eastAsia="Calibri" w:hAnsi="Verdana" w:cstheme="minorHAnsi"/>
          <w:sz w:val="20"/>
          <w:szCs w:val="20"/>
          <w:lang w:val="es-CR" w:eastAsia="es-ES"/>
        </w:rPr>
        <w:t>,</w:t>
      </w:r>
      <w:r w:rsidRPr="0005341B">
        <w:rPr>
          <w:rFonts w:ascii="Verdana" w:eastAsia="Calibri" w:hAnsi="Verdana" w:cs="Times"/>
          <w:sz w:val="20"/>
          <w:szCs w:val="20"/>
          <w:lang w:val="es-CR" w:eastAsia="es-ES"/>
        </w:rPr>
        <w:t xml:space="preserve"> no participó en gestión alguna realizada a nivel interno con relación al presente caso</w:t>
      </w:r>
      <w:r w:rsidRPr="0005341B">
        <w:rPr>
          <w:rFonts w:ascii="Verdana" w:eastAsia="Calibri" w:hAnsi="Verdana" w:cstheme="minorHAnsi"/>
          <w:sz w:val="20"/>
          <w:szCs w:val="20"/>
          <w:lang w:val="es-CR" w:eastAsia="es-ES"/>
        </w:rPr>
        <w:t xml:space="preserve"> y, en la actualidad, no ocupa un cargo público o lleva a cabo funciones estatales;</w:t>
      </w:r>
    </w:p>
    <w:p w14:paraId="48184B86" w14:textId="77777777" w:rsidR="0005341B" w:rsidRPr="0005341B" w:rsidRDefault="0005341B" w:rsidP="006E7242">
      <w:pPr>
        <w:spacing w:after="0" w:line="240" w:lineRule="auto"/>
        <w:ind w:left="0"/>
        <w:contextualSpacing/>
        <w:rPr>
          <w:rFonts w:ascii="Verdana" w:eastAsia="Calibri" w:hAnsi="Verdana" w:cstheme="minorHAnsi"/>
          <w:sz w:val="20"/>
          <w:szCs w:val="20"/>
          <w:lang w:val="es-CR" w:eastAsia="es-ES"/>
        </w:rPr>
      </w:pPr>
    </w:p>
    <w:p w14:paraId="48184B87" w14:textId="77777777" w:rsidR="0005341B" w:rsidRPr="0005341B" w:rsidRDefault="0005341B" w:rsidP="006E7242">
      <w:pPr>
        <w:numPr>
          <w:ilvl w:val="0"/>
          <w:numId w:val="1"/>
        </w:numPr>
        <w:spacing w:after="0" w:line="240" w:lineRule="auto"/>
        <w:ind w:left="0" w:firstLine="0"/>
        <w:contextualSpacing/>
        <w:rPr>
          <w:rFonts w:ascii="Verdana" w:eastAsia="Calibri" w:hAnsi="Verdana" w:cs="Times"/>
          <w:sz w:val="20"/>
          <w:szCs w:val="20"/>
          <w:lang w:val="es-CR" w:eastAsia="es-ES"/>
        </w:rPr>
      </w:pPr>
      <w:r w:rsidRPr="0005341B">
        <w:rPr>
          <w:rFonts w:ascii="Verdana" w:eastAsia="Calibri" w:hAnsi="Verdana" w:cstheme="minorHAnsi"/>
          <w:sz w:val="20"/>
          <w:szCs w:val="20"/>
          <w:lang w:val="es-CR" w:eastAsia="es-ES"/>
        </w:rPr>
        <w:t>La</w:t>
      </w:r>
      <w:r w:rsidRPr="0005341B">
        <w:rPr>
          <w:rFonts w:ascii="Verdana" w:eastAsia="Calibri" w:hAnsi="Verdana" w:cs="Times"/>
          <w:sz w:val="20"/>
          <w:szCs w:val="20"/>
          <w:lang w:val="es-CR" w:eastAsia="es-ES"/>
        </w:rPr>
        <w:t xml:space="preserve"> Corte </w:t>
      </w:r>
      <w:r w:rsidRPr="0005341B">
        <w:rPr>
          <w:rFonts w:ascii="Verdana" w:eastAsia="Calibri" w:hAnsi="Verdana" w:cstheme="minorHAnsi"/>
          <w:sz w:val="20"/>
          <w:szCs w:val="20"/>
          <w:lang w:val="es-CR" w:eastAsia="es-ES"/>
        </w:rPr>
        <w:t xml:space="preserve">ha señalado, </w:t>
      </w:r>
      <w:r w:rsidRPr="0005341B">
        <w:rPr>
          <w:rFonts w:ascii="Verdana" w:eastAsia="Calibri" w:hAnsi="Verdana" w:cs="Times"/>
          <w:sz w:val="20"/>
          <w:szCs w:val="20"/>
          <w:lang w:val="es-CR" w:eastAsia="es-ES"/>
        </w:rPr>
        <w:t xml:space="preserve">en casos anteriores, que la sola existencia de una </w:t>
      </w:r>
      <w:r w:rsidRPr="0005341B">
        <w:rPr>
          <w:rFonts w:ascii="Verdana" w:eastAsia="Calibri" w:hAnsi="Verdana" w:cstheme="minorHAnsi"/>
          <w:sz w:val="20"/>
          <w:szCs w:val="20"/>
          <w:lang w:val="es-CR" w:eastAsia="es-ES"/>
        </w:rPr>
        <w:t>vinculación</w:t>
      </w:r>
      <w:r w:rsidRPr="0005341B">
        <w:rPr>
          <w:rFonts w:ascii="Verdana" w:eastAsia="Calibri" w:hAnsi="Verdana" w:cs="Times"/>
          <w:sz w:val="20"/>
          <w:szCs w:val="20"/>
          <w:lang w:val="es-CR" w:eastAsia="es-ES"/>
        </w:rPr>
        <w:t xml:space="preserve"> en el pasado entre el Estado y el perito propuesto por éste no es, por sí sola, razón suficiente para determinar que la objetividad e imparcialidad del experto pericial se vean afectadas</w:t>
      </w:r>
      <w:r w:rsidRPr="0005341B">
        <w:rPr>
          <w:rFonts w:ascii="Verdana" w:eastAsia="Calibri" w:hAnsi="Verdana" w:cs="Times"/>
          <w:sz w:val="20"/>
          <w:szCs w:val="20"/>
          <w:vertAlign w:val="superscript"/>
          <w:lang w:val="es-ES_tradnl" w:eastAsia="es-ES"/>
        </w:rPr>
        <w:footnoteReference w:id="14"/>
      </w:r>
      <w:r w:rsidRPr="0005341B">
        <w:rPr>
          <w:rFonts w:ascii="Verdana" w:eastAsia="Calibri" w:hAnsi="Verdana" w:cs="Times"/>
          <w:sz w:val="20"/>
          <w:szCs w:val="20"/>
          <w:lang w:val="es-CR" w:eastAsia="es-ES"/>
        </w:rPr>
        <w:t xml:space="preserve">, máxime cuando el perfil de dichas actividades se </w:t>
      </w:r>
      <w:r w:rsidRPr="0005341B">
        <w:rPr>
          <w:rFonts w:ascii="Verdana" w:eastAsia="Calibri" w:hAnsi="Verdana" w:cstheme="minorHAnsi"/>
          <w:sz w:val="20"/>
          <w:szCs w:val="20"/>
          <w:lang w:val="es-CR" w:eastAsia="es-ES"/>
        </w:rPr>
        <w:t>relaciona</w:t>
      </w:r>
      <w:r w:rsidRPr="0005341B">
        <w:rPr>
          <w:rFonts w:ascii="Verdana" w:eastAsia="Calibri" w:hAnsi="Verdana" w:cs="Times"/>
          <w:sz w:val="20"/>
          <w:szCs w:val="20"/>
          <w:lang w:val="es-CR" w:eastAsia="es-ES"/>
        </w:rPr>
        <w:t xml:space="preserve"> estrictamente con labores concernientes a la docencia, investigación o implementación de metodologías académicas</w:t>
      </w:r>
      <w:r w:rsidRPr="0005341B">
        <w:rPr>
          <w:rFonts w:ascii="Verdana" w:eastAsia="Calibri" w:hAnsi="Verdana" w:cstheme="minorHAnsi"/>
          <w:sz w:val="20"/>
          <w:szCs w:val="20"/>
          <w:lang w:val="es-CR" w:eastAsia="es-ES"/>
        </w:rPr>
        <w:t>;</w:t>
      </w:r>
    </w:p>
    <w:p w14:paraId="48184B88" w14:textId="77777777" w:rsidR="0005341B" w:rsidRPr="0005341B" w:rsidRDefault="0005341B" w:rsidP="006E7242">
      <w:pPr>
        <w:spacing w:after="0" w:line="276" w:lineRule="auto"/>
        <w:ind w:left="0"/>
        <w:rPr>
          <w:rFonts w:ascii="Verdana" w:eastAsia="MS Mincho" w:hAnsi="Verdana"/>
          <w:sz w:val="20"/>
          <w:szCs w:val="20"/>
          <w:lang w:val="es-CR"/>
        </w:rPr>
      </w:pPr>
    </w:p>
    <w:p w14:paraId="48184B89" w14:textId="77777777" w:rsidR="0005341B" w:rsidRPr="0005341B" w:rsidRDefault="0005341B" w:rsidP="006E7242">
      <w:pPr>
        <w:numPr>
          <w:ilvl w:val="0"/>
          <w:numId w:val="1"/>
        </w:numPr>
        <w:spacing w:after="0" w:line="240" w:lineRule="auto"/>
        <w:ind w:left="0" w:firstLine="0"/>
        <w:contextualSpacing/>
        <w:rPr>
          <w:rFonts w:ascii="Verdana" w:eastAsia="Calibri" w:hAnsi="Verdana" w:cs="Times"/>
          <w:b/>
          <w:i/>
          <w:sz w:val="20"/>
          <w:szCs w:val="20"/>
          <w:lang w:val="es-CR" w:eastAsia="es-ES"/>
        </w:rPr>
      </w:pPr>
      <w:r w:rsidRPr="0005341B">
        <w:rPr>
          <w:rFonts w:ascii="Verdana" w:eastAsia="Calibri" w:hAnsi="Verdana" w:cs="Times"/>
          <w:sz w:val="20"/>
          <w:szCs w:val="20"/>
          <w:lang w:val="es-CR" w:eastAsia="es-ES"/>
        </w:rPr>
        <w:t>No se desprende que las actividades realizadas por el perito recusado en la Secretaría de Gobernación se encuentren relacionadas con el presente asunto, ni que tenga actualmente una relación de subordinación con la parte proponente o bien, que hubiese intervenido en algún sentido en la causa planteada, ya fuera a nivel interno o en el trámite del caso ante el Sistema Interamericano, con una capacidad jurídicamente relevante que afecte la imparcialidad y objetividad exigidas para su pronunciamiento pericial</w:t>
      </w:r>
      <w:r w:rsidRPr="0005341B">
        <w:rPr>
          <w:rFonts w:ascii="Verdana" w:eastAsia="Calibri" w:hAnsi="Verdana" w:cstheme="minorHAnsi"/>
          <w:sz w:val="20"/>
          <w:szCs w:val="20"/>
          <w:lang w:val="es-CR" w:eastAsia="es-ES"/>
        </w:rPr>
        <w:t>;</w:t>
      </w:r>
    </w:p>
    <w:p w14:paraId="48184B8A" w14:textId="77777777" w:rsidR="0005341B" w:rsidRPr="0005341B" w:rsidRDefault="0005341B" w:rsidP="00A579A1">
      <w:pPr>
        <w:spacing w:line="240" w:lineRule="auto"/>
        <w:ind w:left="720"/>
        <w:contextualSpacing/>
        <w:rPr>
          <w:rFonts w:ascii="Verdana" w:eastAsia="Calibri" w:hAnsi="Verdana" w:cs="Times"/>
          <w:b/>
          <w:i/>
          <w:sz w:val="20"/>
          <w:szCs w:val="20"/>
          <w:lang w:val="es-CR" w:eastAsia="es-ES"/>
        </w:rPr>
      </w:pPr>
    </w:p>
    <w:p w14:paraId="48184B8B" w14:textId="77777777" w:rsidR="0005341B" w:rsidRPr="0005341B" w:rsidRDefault="0005341B" w:rsidP="00A579A1">
      <w:pPr>
        <w:numPr>
          <w:ilvl w:val="0"/>
          <w:numId w:val="2"/>
        </w:numPr>
        <w:spacing w:after="0" w:line="240" w:lineRule="auto"/>
        <w:ind w:left="927"/>
        <w:contextualSpacing/>
        <w:rPr>
          <w:rFonts w:ascii="Verdana" w:eastAsia="Calibri" w:hAnsi="Verdana" w:cs="Times"/>
          <w:b/>
          <w:i/>
          <w:sz w:val="20"/>
          <w:szCs w:val="20"/>
          <w:lang w:val="es-CR" w:eastAsia="es-ES"/>
        </w:rPr>
      </w:pPr>
      <w:r w:rsidRPr="0005341B">
        <w:rPr>
          <w:rFonts w:ascii="Verdana" w:eastAsia="Calibri" w:hAnsi="Verdana" w:cstheme="minorHAnsi"/>
          <w:b/>
          <w:i/>
          <w:sz w:val="20"/>
          <w:szCs w:val="20"/>
          <w:lang w:val="es-ES_tradnl" w:eastAsia="es-ES"/>
        </w:rPr>
        <w:t>En lo concerniente a la</w:t>
      </w:r>
      <w:r w:rsidRPr="0005341B">
        <w:rPr>
          <w:rFonts w:ascii="Verdana" w:eastAsia="Calibri" w:hAnsi="Verdana" w:cs="Times"/>
          <w:b/>
          <w:i/>
          <w:sz w:val="20"/>
          <w:szCs w:val="20"/>
          <w:lang w:val="es-ES_tradnl" w:eastAsia="es-ES"/>
        </w:rPr>
        <w:t xml:space="preserve"> admisibilidad de la prueba pericial ofrecida por la Comisión</w:t>
      </w:r>
      <w:r w:rsidR="00A579A1">
        <w:rPr>
          <w:rFonts w:ascii="Verdana" w:eastAsia="Calibri" w:hAnsi="Verdana" w:cs="Times"/>
          <w:b/>
          <w:i/>
          <w:sz w:val="20"/>
          <w:szCs w:val="20"/>
          <w:lang w:val="es-ES_tradnl" w:eastAsia="es-ES"/>
        </w:rPr>
        <w:t>,</w:t>
      </w:r>
    </w:p>
    <w:p w14:paraId="48184B8C" w14:textId="77777777" w:rsidR="0005341B" w:rsidRPr="0005341B" w:rsidRDefault="0005341B" w:rsidP="00A579A1">
      <w:pPr>
        <w:spacing w:after="0" w:line="240" w:lineRule="auto"/>
        <w:ind w:left="360"/>
        <w:contextualSpacing/>
        <w:rPr>
          <w:rFonts w:ascii="Verdana" w:eastAsia="Calibri" w:hAnsi="Verdana" w:cs="Times"/>
          <w:b/>
          <w:i/>
          <w:sz w:val="20"/>
          <w:szCs w:val="20"/>
          <w:lang w:val="es-CR" w:eastAsia="es-ES"/>
        </w:rPr>
      </w:pPr>
    </w:p>
    <w:p w14:paraId="48184B8D" w14:textId="5CF777C6" w:rsidR="0005341B" w:rsidRPr="0005341B" w:rsidRDefault="0005341B" w:rsidP="006E7242">
      <w:pPr>
        <w:widowControl w:val="0"/>
        <w:numPr>
          <w:ilvl w:val="0"/>
          <w:numId w:val="1"/>
        </w:numPr>
        <w:tabs>
          <w:tab w:val="left" w:pos="567"/>
          <w:tab w:val="left" w:pos="810"/>
        </w:tabs>
        <w:autoSpaceDE w:val="0"/>
        <w:autoSpaceDN w:val="0"/>
        <w:adjustRightInd w:val="0"/>
        <w:spacing w:after="0" w:line="240" w:lineRule="auto"/>
        <w:ind w:left="0" w:firstLine="0"/>
        <w:contextualSpacing/>
        <w:rPr>
          <w:rFonts w:ascii="Verdana" w:eastAsia="Calibri" w:hAnsi="Verdana" w:cs="Times"/>
          <w:sz w:val="20"/>
          <w:szCs w:val="20"/>
          <w:lang w:eastAsia="es-ES"/>
        </w:rPr>
      </w:pPr>
      <w:r w:rsidRPr="0005341B">
        <w:rPr>
          <w:rFonts w:ascii="Verdana" w:eastAsia="Calibri" w:hAnsi="Verdana" w:cs="Times"/>
          <w:sz w:val="20"/>
          <w:szCs w:val="20"/>
          <w:lang w:val="es-ES_tradnl" w:eastAsia="es-ES"/>
        </w:rPr>
        <w:t>La Comisión ofreció como prueba pericial</w:t>
      </w:r>
      <w:r w:rsidRPr="0005341B">
        <w:rPr>
          <w:rFonts w:ascii="Verdana" w:eastAsia="Calibri" w:hAnsi="Verdana" w:cstheme="minorHAnsi"/>
          <w:sz w:val="20"/>
          <w:szCs w:val="20"/>
          <w:lang w:val="es-ES_tradnl" w:eastAsia="es-ES"/>
        </w:rPr>
        <w:t>,</w:t>
      </w:r>
      <w:r w:rsidRPr="0005341B">
        <w:rPr>
          <w:rFonts w:ascii="Verdana" w:eastAsia="Calibri" w:hAnsi="Verdana" w:cs="Times"/>
          <w:sz w:val="20"/>
          <w:szCs w:val="20"/>
          <w:lang w:val="es-ES_tradnl" w:eastAsia="es-ES"/>
        </w:rPr>
        <w:t xml:space="preserve"> el dictamen del señor </w:t>
      </w:r>
      <w:r w:rsidRPr="0005341B">
        <w:rPr>
          <w:rFonts w:ascii="Verdana" w:eastAsia="Calibri" w:hAnsi="Verdana" w:cs="Times"/>
          <w:sz w:val="20"/>
          <w:szCs w:val="20"/>
          <w:lang w:val="es-CR" w:eastAsia="es-ES"/>
        </w:rPr>
        <w:t xml:space="preserve">Federico Andreu Guzmán, con el objeto de referirse a </w:t>
      </w:r>
      <w:r w:rsidRPr="0005341B">
        <w:rPr>
          <w:rFonts w:ascii="Verdana" w:eastAsia="Calibri" w:hAnsi="Verdana" w:cs="Times"/>
          <w:sz w:val="20"/>
          <w:szCs w:val="20"/>
          <w:lang w:val="es-ES_tradnl" w:eastAsia="es-ES"/>
        </w:rPr>
        <w:t>“los límites y salvaguardas que imponen las obligaciones internacionales de los Estados en el contexto de la lucha contra la delincuencia organizada, incluida la relacionada con el narcotráfico</w:t>
      </w:r>
      <w:r w:rsidRPr="0005341B">
        <w:rPr>
          <w:rFonts w:ascii="Verdana" w:eastAsia="Calibri" w:hAnsi="Verdana" w:cstheme="minorHAnsi"/>
          <w:sz w:val="20"/>
          <w:szCs w:val="20"/>
          <w:lang w:val="es-ES_tradnl" w:eastAsia="es-ES"/>
        </w:rPr>
        <w:t>, por lo que se referiría</w:t>
      </w:r>
      <w:r w:rsidRPr="0005341B">
        <w:rPr>
          <w:rFonts w:ascii="Verdana" w:eastAsia="Calibri" w:hAnsi="Verdana" w:cs="Times"/>
          <w:sz w:val="20"/>
          <w:szCs w:val="20"/>
          <w:lang w:val="es-ES_tradnl" w:eastAsia="es-ES"/>
        </w:rPr>
        <w:t xml:space="preserve"> a los riesgos e implicaciones de la asignación de funciones de orden público a la institución militar</w:t>
      </w:r>
      <w:r w:rsidRPr="0005341B">
        <w:rPr>
          <w:rFonts w:ascii="Verdana" w:eastAsia="Calibri" w:hAnsi="Verdana" w:cstheme="minorHAnsi"/>
          <w:sz w:val="20"/>
          <w:szCs w:val="20"/>
          <w:lang w:val="es-ES_tradnl" w:eastAsia="es-ES"/>
        </w:rPr>
        <w:t>, al contexto, en</w:t>
      </w:r>
      <w:r w:rsidRPr="0005341B">
        <w:rPr>
          <w:rFonts w:ascii="Verdana" w:eastAsia="Calibri" w:hAnsi="Verdana" w:cs="Times"/>
          <w:sz w:val="20"/>
          <w:szCs w:val="20"/>
          <w:lang w:val="es-ES_tradnl" w:eastAsia="es-ES"/>
        </w:rPr>
        <w:t xml:space="preserve"> ese marco, de la desaparición forzada en México vigente al momento en que tuvieron inicio de ejecución los hechos y que persiste a la actualidad</w:t>
      </w:r>
      <w:r w:rsidRPr="0005341B">
        <w:rPr>
          <w:rFonts w:ascii="Verdana" w:eastAsia="Calibri" w:hAnsi="Verdana" w:cstheme="minorHAnsi"/>
          <w:sz w:val="20"/>
          <w:szCs w:val="20"/>
          <w:lang w:val="es-ES_tradnl" w:eastAsia="es-ES"/>
        </w:rPr>
        <w:t>, incluyendo</w:t>
      </w:r>
      <w:r w:rsidRPr="0005341B">
        <w:rPr>
          <w:rFonts w:ascii="Verdana" w:eastAsia="Calibri" w:hAnsi="Verdana" w:cs="Times"/>
          <w:sz w:val="20"/>
          <w:szCs w:val="20"/>
          <w:lang w:val="es-ES_tradnl" w:eastAsia="es-ES"/>
        </w:rPr>
        <w:t xml:space="preserve"> la respuesta investigativa del Estado mexicano y los factores que conducen a la impunidad de este tipo de actos</w:t>
      </w:r>
      <w:r w:rsidRPr="0005341B">
        <w:rPr>
          <w:rFonts w:ascii="Verdana" w:eastAsia="Calibri" w:hAnsi="Verdana" w:cstheme="minorHAnsi"/>
          <w:sz w:val="20"/>
          <w:szCs w:val="20"/>
          <w:lang w:val="es-ES_tradnl" w:eastAsia="es-ES"/>
        </w:rPr>
        <w:t xml:space="preserve"> y, asimismo,</w:t>
      </w:r>
      <w:r w:rsidRPr="0005341B">
        <w:rPr>
          <w:rFonts w:ascii="Verdana" w:eastAsia="Calibri" w:hAnsi="Verdana" w:cs="Times"/>
          <w:sz w:val="20"/>
          <w:szCs w:val="20"/>
          <w:lang w:val="es-ES_tradnl" w:eastAsia="es-ES"/>
        </w:rPr>
        <w:t xml:space="preserve"> tanto a los hechos como a las investigaciones seguidas en el caso concreto</w:t>
      </w:r>
      <w:r w:rsidRPr="0005341B">
        <w:rPr>
          <w:rFonts w:ascii="Verdana" w:eastAsia="Calibri" w:hAnsi="Verdana" w:cstheme="minorHAnsi"/>
          <w:sz w:val="20"/>
          <w:szCs w:val="20"/>
          <w:lang w:val="es-ES_tradnl" w:eastAsia="es-ES"/>
        </w:rPr>
        <w:t>”</w:t>
      </w:r>
      <w:r w:rsidRPr="0005341B">
        <w:rPr>
          <w:rFonts w:ascii="Verdana" w:eastAsia="Calibri" w:hAnsi="Verdana" w:cstheme="minorHAnsi"/>
          <w:sz w:val="20"/>
          <w:szCs w:val="20"/>
          <w:lang w:val="es-CR" w:eastAsia="es-ES"/>
        </w:rPr>
        <w:t>;</w:t>
      </w:r>
      <w:r w:rsidRPr="0005341B">
        <w:rPr>
          <w:rFonts w:ascii="Verdana" w:eastAsia="Calibri" w:hAnsi="Verdana" w:cs="Times"/>
          <w:sz w:val="20"/>
          <w:szCs w:val="20"/>
          <w:lang w:val="es-ES_tradnl" w:eastAsia="es-ES"/>
        </w:rPr>
        <w:t xml:space="preserve"> </w:t>
      </w:r>
    </w:p>
    <w:p w14:paraId="48184B8E" w14:textId="77777777" w:rsidR="0005341B" w:rsidRPr="0005341B" w:rsidRDefault="0005341B" w:rsidP="006E7242">
      <w:pPr>
        <w:widowControl w:val="0"/>
        <w:tabs>
          <w:tab w:val="left" w:pos="567"/>
          <w:tab w:val="left" w:pos="810"/>
        </w:tabs>
        <w:autoSpaceDE w:val="0"/>
        <w:autoSpaceDN w:val="0"/>
        <w:adjustRightInd w:val="0"/>
        <w:spacing w:after="0" w:line="240" w:lineRule="auto"/>
        <w:ind w:left="0"/>
        <w:rPr>
          <w:rFonts w:ascii="Verdana" w:eastAsia="MS Mincho" w:hAnsi="Verdana"/>
          <w:sz w:val="20"/>
          <w:szCs w:val="20"/>
        </w:rPr>
      </w:pPr>
    </w:p>
    <w:p w14:paraId="48184B8F" w14:textId="7C89E846" w:rsidR="0005341B" w:rsidRPr="0005341B" w:rsidRDefault="0005341B" w:rsidP="006E7242">
      <w:pPr>
        <w:widowControl w:val="0"/>
        <w:numPr>
          <w:ilvl w:val="0"/>
          <w:numId w:val="1"/>
        </w:numPr>
        <w:tabs>
          <w:tab w:val="left" w:pos="567"/>
          <w:tab w:val="left" w:pos="810"/>
        </w:tabs>
        <w:autoSpaceDE w:val="0"/>
        <w:autoSpaceDN w:val="0"/>
        <w:adjustRightInd w:val="0"/>
        <w:spacing w:after="0" w:line="240" w:lineRule="auto"/>
        <w:ind w:left="0" w:firstLine="0"/>
        <w:contextualSpacing/>
        <w:rPr>
          <w:rFonts w:ascii="Verdana" w:eastAsia="Calibri" w:hAnsi="Verdana" w:cs="Times"/>
          <w:sz w:val="20"/>
          <w:szCs w:val="20"/>
          <w:lang w:eastAsia="es-ES"/>
        </w:rPr>
      </w:pPr>
      <w:r w:rsidRPr="0005341B">
        <w:rPr>
          <w:rFonts w:ascii="Verdana" w:eastAsia="Calibri" w:hAnsi="Verdana" w:cstheme="minorHAnsi"/>
          <w:sz w:val="20"/>
          <w:szCs w:val="20"/>
          <w:lang w:val="es-ES_tradnl" w:eastAsia="es-ES"/>
        </w:rPr>
        <w:t>La</w:t>
      </w:r>
      <w:r w:rsidRPr="0005341B">
        <w:rPr>
          <w:rFonts w:ascii="Verdana" w:eastAsia="Calibri" w:hAnsi="Verdana" w:cs="Times"/>
          <w:sz w:val="20"/>
          <w:szCs w:val="20"/>
          <w:lang w:val="es-ES_tradnl" w:eastAsia="es-ES"/>
        </w:rPr>
        <w:t xml:space="preserve"> Comisión consideró que el peritaje ofrecido podrá aportar elementos de análisis sobre aspectos de orden público interamericano, en los términos d</w:t>
      </w:r>
      <w:r w:rsidRPr="0005341B">
        <w:rPr>
          <w:rFonts w:ascii="Verdana" w:eastAsia="Calibri" w:hAnsi="Verdana" w:cs="Times"/>
          <w:sz w:val="20"/>
          <w:szCs w:val="20"/>
          <w:lang w:eastAsia="es-ES"/>
        </w:rPr>
        <w:t xml:space="preserve">el artículo 35.1 f) del Reglamento, </w:t>
      </w:r>
      <w:r w:rsidRPr="0005341B">
        <w:rPr>
          <w:rFonts w:ascii="Verdana" w:eastAsia="Times New Roman" w:hAnsi="Verdana" w:cstheme="minorHAnsi"/>
          <w:sz w:val="20"/>
          <w:szCs w:val="20"/>
          <w:lang w:eastAsia="es-ES"/>
        </w:rPr>
        <w:t>indicando</w:t>
      </w:r>
      <w:r w:rsidRPr="0005341B">
        <w:rPr>
          <w:rFonts w:ascii="Verdana" w:eastAsia="Calibri" w:hAnsi="Verdana" w:cs="Times"/>
          <w:sz w:val="20"/>
          <w:szCs w:val="20"/>
          <w:lang w:eastAsia="es-ES"/>
        </w:rPr>
        <w:t xml:space="preserve"> que el presente caso “constituye el primero en cuanto a la desaparición forzada en el contexto de la lucha contra el narcotráfico en México y cuya relevancia […] obedece a que se trata de una problemática actual que ha venido en aumento en los últimos años y que ha merecido pronunciamientos, recomendaciones y expresiones de profunda preocupación por parte de la Comisión y de múltiples organismos internacionales y mandatos especiales en el ámbito de Naciones Unidas</w:t>
      </w:r>
      <w:r w:rsidRPr="0005341B">
        <w:rPr>
          <w:rFonts w:ascii="Verdana" w:eastAsia="Times New Roman" w:hAnsi="Verdana" w:cstheme="minorHAnsi"/>
          <w:sz w:val="20"/>
          <w:szCs w:val="20"/>
          <w:lang w:eastAsia="es-ES"/>
        </w:rPr>
        <w:t>”, señalando, igualmente,</w:t>
      </w:r>
      <w:r w:rsidRPr="0005341B">
        <w:rPr>
          <w:rFonts w:ascii="Verdana" w:eastAsia="Calibri" w:hAnsi="Verdana" w:cs="Times"/>
          <w:sz w:val="20"/>
          <w:szCs w:val="20"/>
          <w:lang w:eastAsia="es-ES"/>
        </w:rPr>
        <w:t xml:space="preserve"> que el presente caso permitiría a la Corte pronunciarse sobre “</w:t>
      </w:r>
      <w:r w:rsidRPr="0005341B">
        <w:rPr>
          <w:rFonts w:ascii="Verdana" w:eastAsia="Calibri" w:hAnsi="Verdana" w:cs="Times"/>
          <w:sz w:val="20"/>
          <w:szCs w:val="20"/>
          <w:lang w:val="es-CR" w:eastAsia="es-ES"/>
        </w:rPr>
        <w:t>otras violaciones conexas derivadas de las amenazas y hostigamientos que sufren los núcleos familiares de las víctimas desaparecidas</w:t>
      </w:r>
      <w:r w:rsidRPr="0005341B">
        <w:rPr>
          <w:rFonts w:ascii="Verdana" w:eastAsia="Times New Roman" w:hAnsi="Verdana" w:cstheme="minorHAnsi"/>
          <w:sz w:val="20"/>
          <w:szCs w:val="20"/>
          <w:lang w:eastAsia="es-ES"/>
        </w:rPr>
        <w:t>”</w:t>
      </w:r>
      <w:r w:rsidRPr="0005341B">
        <w:rPr>
          <w:rFonts w:ascii="Verdana" w:eastAsia="Times New Roman" w:hAnsi="Verdana" w:cstheme="minorHAnsi"/>
          <w:sz w:val="20"/>
          <w:szCs w:val="20"/>
          <w:lang w:val="es-CR" w:eastAsia="es-ES"/>
        </w:rPr>
        <w:t>;</w:t>
      </w:r>
    </w:p>
    <w:p w14:paraId="48184B90" w14:textId="77777777" w:rsidR="0005341B" w:rsidRPr="0005341B" w:rsidRDefault="0005341B" w:rsidP="00A579A1">
      <w:pPr>
        <w:widowControl w:val="0"/>
        <w:tabs>
          <w:tab w:val="left" w:pos="567"/>
          <w:tab w:val="left" w:pos="810"/>
        </w:tabs>
        <w:autoSpaceDE w:val="0"/>
        <w:autoSpaceDN w:val="0"/>
        <w:adjustRightInd w:val="0"/>
        <w:spacing w:after="0" w:line="240" w:lineRule="auto"/>
        <w:ind w:left="53"/>
        <w:rPr>
          <w:rFonts w:ascii="Verdana" w:eastAsia="Calibri" w:hAnsi="Verdana" w:cstheme="minorHAnsi"/>
          <w:sz w:val="20"/>
          <w:szCs w:val="20"/>
          <w:lang w:val="es-MX"/>
        </w:rPr>
      </w:pPr>
    </w:p>
    <w:p w14:paraId="48184B91" w14:textId="77777777" w:rsidR="0005341B" w:rsidRPr="0005341B" w:rsidRDefault="0005341B" w:rsidP="003D1327">
      <w:pPr>
        <w:widowControl w:val="0"/>
        <w:numPr>
          <w:ilvl w:val="0"/>
          <w:numId w:val="1"/>
        </w:numPr>
        <w:tabs>
          <w:tab w:val="left" w:pos="567"/>
          <w:tab w:val="left" w:pos="720"/>
          <w:tab w:val="left" w:pos="810"/>
        </w:tabs>
        <w:autoSpaceDE w:val="0"/>
        <w:autoSpaceDN w:val="0"/>
        <w:adjustRightInd w:val="0"/>
        <w:spacing w:after="0" w:line="240" w:lineRule="auto"/>
        <w:ind w:left="0" w:firstLine="0"/>
        <w:contextualSpacing/>
        <w:rPr>
          <w:rFonts w:ascii="Verdana" w:eastAsia="Calibri" w:hAnsi="Verdana" w:cstheme="minorHAnsi"/>
          <w:b/>
          <w:i/>
          <w:sz w:val="20"/>
          <w:szCs w:val="20"/>
          <w:lang w:val="es-CR" w:eastAsia="es-ES"/>
        </w:rPr>
      </w:pPr>
      <w:r w:rsidRPr="0005341B">
        <w:rPr>
          <w:rFonts w:ascii="Verdana" w:eastAsia="Calibri" w:hAnsi="Verdana" w:cstheme="minorHAnsi"/>
          <w:sz w:val="20"/>
          <w:szCs w:val="20"/>
          <w:lang w:val="es-ES_tradnl" w:eastAsia="es-ES"/>
        </w:rPr>
        <w:t>Ni el Estado ni las representantes</w:t>
      </w:r>
      <w:r w:rsidRPr="0005341B">
        <w:rPr>
          <w:rFonts w:ascii="Verdana" w:eastAsia="Calibri" w:hAnsi="Verdana" w:cstheme="minorHAnsi"/>
          <w:sz w:val="20"/>
          <w:szCs w:val="20"/>
          <w:vertAlign w:val="superscript"/>
          <w:lang w:val="es-ES_tradnl" w:eastAsia="es-ES"/>
        </w:rPr>
        <w:footnoteReference w:id="15"/>
      </w:r>
      <w:r w:rsidRPr="0005341B">
        <w:rPr>
          <w:rFonts w:ascii="Verdana" w:eastAsia="Calibri" w:hAnsi="Verdana" w:cstheme="minorHAnsi"/>
          <w:sz w:val="20"/>
          <w:szCs w:val="20"/>
          <w:lang w:val="es-ES_tradnl" w:eastAsia="es-ES"/>
        </w:rPr>
        <w:t xml:space="preserve"> objetaron el ofrecimiento de dicha prueba pericial;</w:t>
      </w:r>
    </w:p>
    <w:p w14:paraId="48184B92" w14:textId="77777777" w:rsidR="0005341B" w:rsidRPr="0005341B" w:rsidRDefault="0005341B" w:rsidP="00A579A1">
      <w:pPr>
        <w:spacing w:after="0" w:line="240" w:lineRule="auto"/>
        <w:ind w:left="0"/>
        <w:contextualSpacing/>
        <w:rPr>
          <w:rFonts w:ascii="Verdana" w:eastAsia="Calibri" w:hAnsi="Verdana" w:cstheme="minorHAnsi"/>
          <w:b/>
          <w:i/>
          <w:sz w:val="20"/>
          <w:szCs w:val="20"/>
          <w:lang w:val="es-CR" w:eastAsia="es-ES"/>
        </w:rPr>
      </w:pPr>
    </w:p>
    <w:p w14:paraId="48184B93" w14:textId="77777777" w:rsidR="0005341B" w:rsidRPr="0005341B" w:rsidRDefault="0005341B" w:rsidP="00A579A1">
      <w:pPr>
        <w:numPr>
          <w:ilvl w:val="0"/>
          <w:numId w:val="2"/>
        </w:numPr>
        <w:spacing w:after="0" w:line="240" w:lineRule="auto"/>
        <w:ind w:left="927"/>
        <w:contextualSpacing/>
        <w:rPr>
          <w:rFonts w:ascii="Verdana" w:eastAsia="Calibri" w:hAnsi="Verdana" w:cs="Times"/>
          <w:b/>
          <w:i/>
          <w:sz w:val="20"/>
          <w:szCs w:val="20"/>
          <w:lang w:val="es-CR" w:eastAsia="es-ES"/>
        </w:rPr>
      </w:pPr>
      <w:r w:rsidRPr="0005341B">
        <w:rPr>
          <w:rFonts w:ascii="Verdana" w:eastAsia="Calibri" w:hAnsi="Verdana" w:cstheme="minorHAnsi"/>
          <w:b/>
          <w:i/>
          <w:sz w:val="20"/>
          <w:szCs w:val="20"/>
          <w:lang w:val="es-ES_tradnl" w:eastAsia="es-ES"/>
        </w:rPr>
        <w:t>En lo correspondiente a la</w:t>
      </w:r>
      <w:r w:rsidRPr="0005341B">
        <w:rPr>
          <w:rFonts w:ascii="Verdana" w:eastAsia="Calibri" w:hAnsi="Verdana" w:cs="Times"/>
          <w:b/>
          <w:i/>
          <w:sz w:val="20"/>
          <w:szCs w:val="20"/>
          <w:lang w:val="es-ES_tradnl" w:eastAsia="es-ES"/>
        </w:rPr>
        <w:t xml:space="preserve"> solicitud de la Comisión de formular preguntas a tres peritos ofrecidos por las representantes</w:t>
      </w:r>
      <w:r w:rsidR="00A579A1">
        <w:rPr>
          <w:rFonts w:ascii="Verdana" w:eastAsia="Calibri" w:hAnsi="Verdana" w:cs="Times"/>
          <w:b/>
          <w:i/>
          <w:sz w:val="20"/>
          <w:szCs w:val="20"/>
          <w:lang w:val="es-ES_tradnl" w:eastAsia="es-ES"/>
        </w:rPr>
        <w:t>,</w:t>
      </w:r>
    </w:p>
    <w:p w14:paraId="48184B94" w14:textId="77777777" w:rsidR="0005341B" w:rsidRPr="0005341B" w:rsidRDefault="0005341B" w:rsidP="00A579A1">
      <w:pPr>
        <w:widowControl w:val="0"/>
        <w:tabs>
          <w:tab w:val="left" w:pos="567"/>
          <w:tab w:val="left" w:pos="810"/>
        </w:tabs>
        <w:autoSpaceDE w:val="0"/>
        <w:autoSpaceDN w:val="0"/>
        <w:adjustRightInd w:val="0"/>
        <w:spacing w:after="0" w:line="240" w:lineRule="auto"/>
        <w:ind w:left="0"/>
        <w:rPr>
          <w:rFonts w:ascii="Verdana" w:eastAsia="MS Mincho" w:hAnsi="Verdana"/>
          <w:b/>
          <w:i/>
          <w:sz w:val="20"/>
          <w:szCs w:val="20"/>
          <w:lang w:val="es-ES_tradnl"/>
        </w:rPr>
      </w:pPr>
    </w:p>
    <w:p w14:paraId="48184B95" w14:textId="2BC48F54" w:rsidR="0005341B" w:rsidRPr="0005341B" w:rsidRDefault="0005341B" w:rsidP="006E7242">
      <w:pPr>
        <w:widowControl w:val="0"/>
        <w:numPr>
          <w:ilvl w:val="0"/>
          <w:numId w:val="1"/>
        </w:numPr>
        <w:tabs>
          <w:tab w:val="left" w:pos="567"/>
          <w:tab w:val="left" w:pos="810"/>
        </w:tabs>
        <w:autoSpaceDE w:val="0"/>
        <w:autoSpaceDN w:val="0"/>
        <w:adjustRightInd w:val="0"/>
        <w:spacing w:after="0" w:line="240" w:lineRule="auto"/>
        <w:ind w:left="0" w:firstLine="0"/>
        <w:contextualSpacing/>
        <w:rPr>
          <w:rFonts w:ascii="Verdana" w:eastAsia="Calibri" w:hAnsi="Verdana" w:cs="Times"/>
          <w:sz w:val="20"/>
          <w:szCs w:val="20"/>
          <w:lang w:val="es-ES_tradnl" w:eastAsia="es-ES"/>
        </w:rPr>
      </w:pPr>
      <w:r w:rsidRPr="0005341B">
        <w:rPr>
          <w:rFonts w:ascii="Verdana" w:eastAsia="Calibri" w:hAnsi="Verdana" w:cs="Times"/>
          <w:sz w:val="20"/>
          <w:szCs w:val="20"/>
          <w:lang w:val="es-ES_tradnl" w:eastAsia="es-ES"/>
        </w:rPr>
        <w:t>La Comisión solicitó a la Corte la oportunidad verbal o escrita de formular preguntas a tres de los peritajes ofrecidos por las representantes, cuyas declaraciones consideró que se relacionan tanto con el orden público interamericano como con la materia sobre la cual versa el peritaje ofrecido por la Comisión</w:t>
      </w:r>
      <w:r w:rsidRPr="0005341B">
        <w:rPr>
          <w:rFonts w:ascii="Verdana" w:eastAsia="Calibri" w:hAnsi="Verdana" w:cstheme="minorHAnsi"/>
          <w:sz w:val="20"/>
          <w:szCs w:val="20"/>
          <w:lang w:val="es-ES_tradnl" w:eastAsia="es-ES"/>
        </w:rPr>
        <w:t>, resaltando</w:t>
      </w:r>
      <w:r w:rsidRPr="0005341B">
        <w:rPr>
          <w:rFonts w:ascii="Verdana" w:eastAsia="Calibri" w:hAnsi="Verdana" w:cs="Times"/>
          <w:sz w:val="20"/>
          <w:szCs w:val="20"/>
          <w:lang w:val="es-ES_tradnl" w:eastAsia="es-ES"/>
        </w:rPr>
        <w:t xml:space="preserve"> que las pruebas periciales a cargo de: i) la señora Gabriella Citroni; ii) el señor  Javier Treviño Rangel; y, iii) el rendido conjuntamente por las señoras Carolina Robledo Silvestre, Aída Hernández Castillo, Erika Liliana López López y May-Ek Querales Mendoza, del Grupo de Investigaciones en Antropología Social y Forense (GIASF), guardan relación directa con el objeto del peritaje de Federico Andreu Guzmán, propuesto por la Comisión, “en la mayoría de los componentes de los objetos de los mismos, pues están destinados a abordar el contexto de desapariciones forzadas y militarización vigente al momento de los hechos, así como la lucha contra la delincuencia organizada y las políticas de seguridad ciudadana, </w:t>
      </w:r>
      <w:r w:rsidR="00246984">
        <w:rPr>
          <w:rFonts w:ascii="Verdana" w:eastAsia="Calibri" w:hAnsi="Verdana" w:cs="Times"/>
          <w:sz w:val="20"/>
          <w:szCs w:val="20"/>
          <w:lang w:val="es-ES_tradnl" w:eastAsia="es-ES"/>
        </w:rPr>
        <w:t>[y]</w:t>
      </w:r>
      <w:r w:rsidR="00246984" w:rsidRPr="0005341B">
        <w:rPr>
          <w:rFonts w:ascii="Verdana" w:eastAsia="Calibri" w:hAnsi="Verdana" w:cs="Times"/>
          <w:sz w:val="20"/>
          <w:szCs w:val="20"/>
          <w:lang w:val="es-ES_tradnl" w:eastAsia="es-ES"/>
        </w:rPr>
        <w:t xml:space="preserve"> </w:t>
      </w:r>
      <w:r w:rsidRPr="0005341B">
        <w:rPr>
          <w:rFonts w:ascii="Verdana" w:eastAsia="Calibri" w:hAnsi="Verdana" w:cs="Times"/>
          <w:sz w:val="20"/>
          <w:szCs w:val="20"/>
          <w:lang w:val="es-ES_tradnl" w:eastAsia="es-ES"/>
        </w:rPr>
        <w:t>las respuestas investigativas del Estado mexicano en el caso concreto”</w:t>
      </w:r>
      <w:r w:rsidRPr="0005341B">
        <w:rPr>
          <w:rFonts w:ascii="Verdana" w:eastAsia="Calibri" w:hAnsi="Verdana" w:cstheme="minorHAnsi"/>
          <w:sz w:val="20"/>
          <w:szCs w:val="20"/>
          <w:lang w:val="es-ES_tradnl" w:eastAsia="es-ES"/>
        </w:rPr>
        <w:t>, por lo que</w:t>
      </w:r>
      <w:r w:rsidRPr="0005341B">
        <w:rPr>
          <w:rFonts w:ascii="Verdana" w:eastAsia="Calibri" w:hAnsi="Verdana" w:cs="Times"/>
          <w:sz w:val="20"/>
          <w:szCs w:val="20"/>
          <w:lang w:val="es-ES_tradnl" w:eastAsia="es-ES"/>
        </w:rPr>
        <w:t xml:space="preserve"> basó su solicitud en “la importancia de permitir que las declaraciones periciales que se relacionan entre sí ofrezcan una variedad de perspectivas –distintas o complementarias- sobre los temas que pretenden desarrollar, a fin de enriquecer los elementos de información con los cuales contará el Tribunal al momento de decidir el presente caso”;</w:t>
      </w:r>
    </w:p>
    <w:p w14:paraId="48184B96" w14:textId="77777777" w:rsidR="0005341B" w:rsidRPr="0005341B" w:rsidRDefault="0005341B" w:rsidP="006E7242">
      <w:pPr>
        <w:widowControl w:val="0"/>
        <w:tabs>
          <w:tab w:val="left" w:pos="567"/>
          <w:tab w:val="left" w:pos="810"/>
        </w:tabs>
        <w:autoSpaceDE w:val="0"/>
        <w:autoSpaceDN w:val="0"/>
        <w:adjustRightInd w:val="0"/>
        <w:spacing w:after="0" w:line="240" w:lineRule="auto"/>
        <w:ind w:left="0"/>
        <w:contextualSpacing/>
        <w:rPr>
          <w:rFonts w:ascii="Verdana" w:eastAsia="Calibri" w:hAnsi="Verdana" w:cs="Times"/>
          <w:sz w:val="20"/>
          <w:szCs w:val="20"/>
          <w:lang w:val="es-CR" w:eastAsia="es-ES"/>
        </w:rPr>
      </w:pPr>
    </w:p>
    <w:p w14:paraId="48184B97" w14:textId="77777777" w:rsidR="0005341B" w:rsidRPr="0005341B" w:rsidRDefault="0005341B" w:rsidP="006E7242">
      <w:pPr>
        <w:widowControl w:val="0"/>
        <w:numPr>
          <w:ilvl w:val="0"/>
          <w:numId w:val="1"/>
        </w:numPr>
        <w:tabs>
          <w:tab w:val="left" w:pos="567"/>
          <w:tab w:val="left" w:pos="810"/>
        </w:tabs>
        <w:autoSpaceDE w:val="0"/>
        <w:autoSpaceDN w:val="0"/>
        <w:adjustRightInd w:val="0"/>
        <w:spacing w:after="0" w:line="240" w:lineRule="auto"/>
        <w:ind w:left="0" w:firstLine="0"/>
        <w:contextualSpacing/>
        <w:rPr>
          <w:rFonts w:ascii="Verdana" w:eastAsia="Calibri" w:hAnsi="Verdana" w:cs="Times"/>
          <w:sz w:val="20"/>
          <w:szCs w:val="20"/>
          <w:lang w:val="es-CR" w:eastAsia="es-ES"/>
        </w:rPr>
      </w:pPr>
      <w:r w:rsidRPr="0005341B">
        <w:rPr>
          <w:rFonts w:ascii="Verdana" w:eastAsia="Calibri" w:hAnsi="Verdana" w:cstheme="minorHAnsi"/>
          <w:sz w:val="20"/>
          <w:szCs w:val="20"/>
          <w:lang w:val="es-ES_tradnl" w:eastAsia="es-ES"/>
        </w:rPr>
        <w:t>El</w:t>
      </w:r>
      <w:r w:rsidRPr="0005341B">
        <w:rPr>
          <w:rFonts w:ascii="Verdana" w:eastAsia="Calibri" w:hAnsi="Verdana" w:cs="Times"/>
          <w:sz w:val="20"/>
          <w:szCs w:val="20"/>
          <w:lang w:val="es-ES_tradnl" w:eastAsia="es-ES"/>
        </w:rPr>
        <w:t xml:space="preserve"> objeto del dictamen pericial a cargo de la señora Gabriella Citroni</w:t>
      </w:r>
      <w:r w:rsidRPr="0005341B">
        <w:rPr>
          <w:rFonts w:ascii="Verdana" w:eastAsia="Calibri" w:hAnsi="Verdana" w:cs="Times"/>
          <w:sz w:val="20"/>
          <w:szCs w:val="20"/>
          <w:vertAlign w:val="superscript"/>
          <w:lang w:val="es-ES_tradnl" w:eastAsia="es-ES"/>
        </w:rPr>
        <w:footnoteReference w:id="16"/>
      </w:r>
      <w:r w:rsidRPr="0005341B">
        <w:rPr>
          <w:rFonts w:ascii="Verdana" w:eastAsia="Calibri" w:hAnsi="Verdana" w:cs="Times"/>
          <w:sz w:val="20"/>
          <w:szCs w:val="20"/>
          <w:lang w:val="es-ES_tradnl" w:eastAsia="es-ES"/>
        </w:rPr>
        <w:t xml:space="preserve">, ofrecido por las representantes, se encuentra relacionado con el peritaje ofrecido por la Comisión y </w:t>
      </w:r>
      <w:r w:rsidRPr="0005341B">
        <w:rPr>
          <w:rFonts w:ascii="Verdana" w:eastAsia="Calibri" w:hAnsi="Verdana" w:cs="Times"/>
          <w:sz w:val="20"/>
          <w:szCs w:val="20"/>
          <w:lang w:val="es-CR" w:eastAsia="es-ES"/>
        </w:rPr>
        <w:t xml:space="preserve">concierne a temas relevantes al orden público interamericano </w:t>
      </w:r>
      <w:r w:rsidRPr="0005341B">
        <w:rPr>
          <w:rFonts w:ascii="Verdana" w:eastAsia="Calibri" w:hAnsi="Verdana" w:cs="Times"/>
          <w:sz w:val="20"/>
          <w:szCs w:val="20"/>
          <w:lang w:val="es-ES_tradnl" w:eastAsia="es-ES"/>
        </w:rPr>
        <w:t>de los derechos humanos;</w:t>
      </w:r>
    </w:p>
    <w:p w14:paraId="48184B98" w14:textId="77777777" w:rsidR="0005341B" w:rsidRPr="0005341B" w:rsidRDefault="0005341B" w:rsidP="006E7242">
      <w:pPr>
        <w:widowControl w:val="0"/>
        <w:tabs>
          <w:tab w:val="left" w:pos="567"/>
          <w:tab w:val="left" w:pos="810"/>
        </w:tabs>
        <w:autoSpaceDE w:val="0"/>
        <w:autoSpaceDN w:val="0"/>
        <w:adjustRightInd w:val="0"/>
        <w:spacing w:after="0" w:line="240" w:lineRule="auto"/>
        <w:ind w:left="0"/>
        <w:contextualSpacing/>
        <w:rPr>
          <w:rFonts w:ascii="Verdana" w:eastAsia="Calibri" w:hAnsi="Verdana" w:cs="Times"/>
          <w:sz w:val="20"/>
          <w:szCs w:val="20"/>
          <w:lang w:val="es-CR" w:eastAsia="es-ES"/>
        </w:rPr>
      </w:pPr>
    </w:p>
    <w:p w14:paraId="48184B99" w14:textId="77777777" w:rsidR="0005341B" w:rsidRPr="0005341B" w:rsidRDefault="0005341B" w:rsidP="006E7242">
      <w:pPr>
        <w:numPr>
          <w:ilvl w:val="0"/>
          <w:numId w:val="1"/>
        </w:numPr>
        <w:spacing w:after="0" w:line="240" w:lineRule="auto"/>
        <w:ind w:left="0" w:firstLine="0"/>
        <w:contextualSpacing/>
        <w:rPr>
          <w:rFonts w:ascii="Verdana" w:eastAsia="Calibri" w:hAnsi="Verdana" w:cs="Times"/>
          <w:sz w:val="20"/>
          <w:szCs w:val="20"/>
          <w:lang w:val="es-ES_tradnl" w:eastAsia="es-ES"/>
        </w:rPr>
      </w:pPr>
      <w:r w:rsidRPr="0005341B">
        <w:rPr>
          <w:rFonts w:ascii="Verdana" w:eastAsia="Calibri" w:hAnsi="Verdana" w:cs="Times"/>
          <w:sz w:val="20"/>
          <w:szCs w:val="20"/>
          <w:lang w:val="es-ES_tradnl" w:eastAsia="es-ES"/>
        </w:rPr>
        <w:t>Con respecto al dictamen pericial propuesto por las representantes para ser rendido conjuntamente por las señoras Carolina Robledo Silvestre, Aída Hernández Castillo, Erika Liliana López López y May-Ek Querales Mendoza, del Grupo de Investigaciones en Antropología Social y Forense (GIASF)</w:t>
      </w:r>
      <w:r w:rsidRPr="0005341B">
        <w:rPr>
          <w:rFonts w:ascii="Verdana" w:eastAsia="Calibri" w:hAnsi="Verdana" w:cs="Verdana"/>
          <w:sz w:val="20"/>
          <w:szCs w:val="20"/>
          <w:vertAlign w:val="superscript"/>
          <w:lang w:val="es-ES_tradnl" w:eastAsia="es-ES"/>
        </w:rPr>
        <w:footnoteReference w:id="17"/>
      </w:r>
      <w:r w:rsidRPr="0005341B">
        <w:rPr>
          <w:rFonts w:ascii="Verdana" w:eastAsia="Calibri" w:hAnsi="Verdana" w:cs="Times"/>
          <w:sz w:val="20"/>
          <w:szCs w:val="20"/>
          <w:lang w:val="es-ES_tradnl" w:eastAsia="es-ES"/>
        </w:rPr>
        <w:t xml:space="preserve">, </w:t>
      </w:r>
      <w:r w:rsidRPr="0005341B">
        <w:rPr>
          <w:rFonts w:ascii="Verdana" w:eastAsia="Calibri" w:hAnsi="Verdana" w:cstheme="minorHAnsi"/>
          <w:sz w:val="20"/>
          <w:szCs w:val="20"/>
          <w:lang w:val="es-ES_tradnl" w:eastAsia="es-ES"/>
        </w:rPr>
        <w:t>se</w:t>
      </w:r>
      <w:r w:rsidRPr="0005341B">
        <w:rPr>
          <w:rFonts w:ascii="Verdana" w:eastAsia="Calibri" w:hAnsi="Verdana" w:cs="Times"/>
          <w:sz w:val="20"/>
          <w:szCs w:val="20"/>
          <w:lang w:val="es-ES_tradnl" w:eastAsia="es-ES"/>
        </w:rPr>
        <w:t xml:space="preserve"> constata que el objeto de </w:t>
      </w:r>
      <w:r w:rsidRPr="0005341B">
        <w:rPr>
          <w:rFonts w:ascii="Verdana" w:eastAsia="Calibri" w:hAnsi="Verdana" w:cstheme="minorHAnsi"/>
          <w:sz w:val="20"/>
          <w:szCs w:val="20"/>
          <w:lang w:val="es-ES_tradnl" w:eastAsia="es-ES"/>
        </w:rPr>
        <w:t>dicho</w:t>
      </w:r>
      <w:r w:rsidRPr="0005341B">
        <w:rPr>
          <w:rFonts w:ascii="Verdana" w:eastAsia="Calibri" w:hAnsi="Verdana" w:cs="Times"/>
          <w:sz w:val="20"/>
          <w:szCs w:val="20"/>
          <w:lang w:val="es-ES_tradnl" w:eastAsia="es-ES"/>
        </w:rPr>
        <w:t xml:space="preserve"> peritaje se refiere a aspectos concretos y específicos del Estado de Chihuahua, respecto de los cuales la Comisión no ha fundamentado por qué considera que transcienden el presente caso así como los intereses de las partes en este litigio, o por qué podrían tener un impacto en otros Estados de la región</w:t>
      </w:r>
      <w:r w:rsidRPr="0005341B">
        <w:rPr>
          <w:rFonts w:ascii="Verdana" w:eastAsia="Calibri" w:hAnsi="Verdana" w:cs="Verdana"/>
          <w:sz w:val="20"/>
          <w:szCs w:val="20"/>
          <w:vertAlign w:val="superscript"/>
          <w:lang w:val="es-ES_tradnl" w:eastAsia="es-ES"/>
        </w:rPr>
        <w:footnoteReference w:id="18"/>
      </w:r>
      <w:r w:rsidRPr="0005341B">
        <w:rPr>
          <w:rFonts w:ascii="Verdana" w:eastAsia="Calibri" w:hAnsi="Verdana" w:cstheme="minorHAnsi"/>
          <w:sz w:val="20"/>
          <w:szCs w:val="20"/>
          <w:lang w:val="es-ES_tradnl" w:eastAsia="es-ES"/>
        </w:rPr>
        <w:t>;</w:t>
      </w:r>
    </w:p>
    <w:p w14:paraId="48184B9A" w14:textId="77777777" w:rsidR="0005341B" w:rsidRPr="0005341B" w:rsidRDefault="0005341B" w:rsidP="006E7242">
      <w:pPr>
        <w:spacing w:after="0" w:line="240" w:lineRule="auto"/>
        <w:ind w:left="0"/>
        <w:contextualSpacing/>
        <w:rPr>
          <w:rFonts w:ascii="Verdana" w:eastAsia="Calibri" w:hAnsi="Verdana" w:cs="Times"/>
          <w:sz w:val="20"/>
          <w:szCs w:val="20"/>
          <w:lang w:val="es-ES_tradnl" w:eastAsia="es-ES"/>
        </w:rPr>
      </w:pPr>
    </w:p>
    <w:p w14:paraId="48184B9B" w14:textId="77777777" w:rsidR="0005341B" w:rsidRPr="0005341B" w:rsidRDefault="0005341B" w:rsidP="006E7242">
      <w:pPr>
        <w:numPr>
          <w:ilvl w:val="0"/>
          <w:numId w:val="1"/>
        </w:numPr>
        <w:spacing w:after="0" w:line="240" w:lineRule="auto"/>
        <w:ind w:left="0" w:firstLine="0"/>
        <w:contextualSpacing/>
        <w:rPr>
          <w:rFonts w:ascii="Verdana" w:eastAsia="Calibri" w:hAnsi="Verdana" w:cs="Times"/>
          <w:sz w:val="20"/>
          <w:szCs w:val="20"/>
          <w:lang w:val="es-ES_tradnl" w:eastAsia="es-ES"/>
        </w:rPr>
      </w:pPr>
      <w:r w:rsidRPr="0005341B">
        <w:rPr>
          <w:rFonts w:ascii="Verdana" w:eastAsia="Calibri" w:hAnsi="Verdana" w:cstheme="minorHAnsi"/>
          <w:sz w:val="20"/>
          <w:szCs w:val="20"/>
          <w:lang w:val="es-ES_tradnl" w:eastAsia="es-ES"/>
        </w:rPr>
        <w:t>Con</w:t>
      </w:r>
      <w:r w:rsidRPr="0005341B">
        <w:rPr>
          <w:rFonts w:ascii="Verdana" w:eastAsia="Calibri" w:hAnsi="Verdana" w:cs="Times"/>
          <w:sz w:val="20"/>
          <w:szCs w:val="20"/>
          <w:lang w:val="es-ES_tradnl" w:eastAsia="es-ES"/>
        </w:rPr>
        <w:t xml:space="preserve"> relación al peritaje a cargo del señor Javier Treviño Rangel, no</w:t>
      </w:r>
      <w:r w:rsidRPr="0005341B">
        <w:rPr>
          <w:rFonts w:ascii="Verdana" w:eastAsia="Calibri" w:hAnsi="Verdana" w:cstheme="minorHAnsi"/>
          <w:sz w:val="20"/>
          <w:szCs w:val="20"/>
          <w:lang w:val="es-ES_tradnl" w:eastAsia="es-ES"/>
        </w:rPr>
        <w:t xml:space="preserve"> se</w:t>
      </w:r>
      <w:r w:rsidRPr="0005341B">
        <w:rPr>
          <w:rFonts w:ascii="Verdana" w:eastAsia="Calibri" w:hAnsi="Verdana" w:cs="Times"/>
          <w:sz w:val="20"/>
          <w:szCs w:val="20"/>
          <w:lang w:val="es-ES_tradnl" w:eastAsia="es-ES"/>
        </w:rPr>
        <w:t xml:space="preserve"> estima necesario pronunciarse sobre la solicitud de la Comisión para formular interrogatorio al referido perito en vista de la improcedencia de la solicitud de las representantes para sustituir el peritaje inicialmente ofrecido</w:t>
      </w:r>
      <w:r w:rsidRPr="0005341B">
        <w:rPr>
          <w:rFonts w:ascii="Verdana" w:eastAsia="Calibri" w:hAnsi="Verdana" w:cstheme="minorHAnsi"/>
          <w:sz w:val="20"/>
          <w:szCs w:val="20"/>
          <w:lang w:val="es-ES_tradnl" w:eastAsia="es-ES"/>
        </w:rPr>
        <w:t>; y</w:t>
      </w:r>
    </w:p>
    <w:p w14:paraId="48184B9C" w14:textId="77777777" w:rsidR="0005341B" w:rsidRPr="0005341B" w:rsidRDefault="0005341B" w:rsidP="00A579A1">
      <w:pPr>
        <w:spacing w:after="0" w:line="240" w:lineRule="auto"/>
        <w:ind w:left="0"/>
        <w:contextualSpacing/>
        <w:rPr>
          <w:rFonts w:ascii="Verdana" w:eastAsia="Calibri" w:hAnsi="Verdana" w:cs="Times"/>
          <w:sz w:val="20"/>
          <w:szCs w:val="20"/>
          <w:lang w:val="es-ES_tradnl" w:eastAsia="es-ES"/>
        </w:rPr>
      </w:pPr>
    </w:p>
    <w:p w14:paraId="48184B9D" w14:textId="77777777" w:rsidR="0005341B" w:rsidRPr="0005341B" w:rsidRDefault="0005341B" w:rsidP="00A579A1">
      <w:pPr>
        <w:numPr>
          <w:ilvl w:val="0"/>
          <w:numId w:val="2"/>
        </w:numPr>
        <w:spacing w:after="0" w:line="240" w:lineRule="auto"/>
        <w:ind w:left="1210"/>
        <w:contextualSpacing/>
        <w:rPr>
          <w:rFonts w:ascii="Verdana" w:eastAsia="Calibri" w:hAnsi="Verdana" w:cs="Times"/>
          <w:b/>
          <w:i/>
          <w:sz w:val="20"/>
          <w:szCs w:val="20"/>
          <w:lang w:val="es-ES_tradnl" w:eastAsia="es-ES"/>
        </w:rPr>
      </w:pPr>
      <w:r w:rsidRPr="0005341B">
        <w:rPr>
          <w:rFonts w:ascii="Verdana" w:eastAsia="Calibri" w:hAnsi="Verdana" w:cstheme="minorHAnsi"/>
          <w:b/>
          <w:i/>
          <w:sz w:val="20"/>
          <w:szCs w:val="20"/>
          <w:lang w:val="es-ES_tradnl" w:eastAsia="es-ES"/>
        </w:rPr>
        <w:t>En lo vinculado a la aplicación</w:t>
      </w:r>
      <w:r w:rsidRPr="0005341B">
        <w:rPr>
          <w:rFonts w:ascii="Verdana" w:eastAsia="Calibri" w:hAnsi="Verdana" w:cs="Times"/>
          <w:b/>
          <w:i/>
          <w:sz w:val="20"/>
          <w:szCs w:val="20"/>
          <w:lang w:val="es-ES_tradnl" w:eastAsia="es-ES"/>
        </w:rPr>
        <w:t xml:space="preserve"> del Fondo de Asistencia Legal de Víctimas ante la Corte</w:t>
      </w:r>
      <w:r w:rsidR="00A579A1">
        <w:rPr>
          <w:rFonts w:ascii="Verdana" w:eastAsia="Calibri" w:hAnsi="Verdana" w:cs="Times"/>
          <w:b/>
          <w:i/>
          <w:sz w:val="20"/>
          <w:szCs w:val="20"/>
          <w:lang w:val="es-ES_tradnl" w:eastAsia="es-ES"/>
        </w:rPr>
        <w:t>,</w:t>
      </w:r>
    </w:p>
    <w:p w14:paraId="48184B9E" w14:textId="77777777" w:rsidR="0005341B" w:rsidRPr="0005341B" w:rsidRDefault="0005341B" w:rsidP="00A579A1">
      <w:pPr>
        <w:spacing w:after="0" w:line="240" w:lineRule="auto"/>
        <w:ind w:left="0"/>
        <w:contextualSpacing/>
        <w:rPr>
          <w:rFonts w:ascii="Verdana" w:eastAsia="Calibri" w:hAnsi="Verdana" w:cs="Times"/>
          <w:sz w:val="20"/>
          <w:szCs w:val="20"/>
          <w:lang w:val="es-CR" w:eastAsia="es-ES"/>
        </w:rPr>
      </w:pPr>
    </w:p>
    <w:p w14:paraId="48184B9F" w14:textId="3CAEECC8" w:rsidR="0005341B" w:rsidRPr="0005341B" w:rsidRDefault="0005341B" w:rsidP="003D1327">
      <w:pPr>
        <w:numPr>
          <w:ilvl w:val="0"/>
          <w:numId w:val="1"/>
        </w:numPr>
        <w:spacing w:after="0" w:line="240" w:lineRule="auto"/>
        <w:ind w:left="0" w:firstLine="0"/>
        <w:contextualSpacing/>
        <w:rPr>
          <w:rFonts w:ascii="Verdana" w:eastAsia="Calibri" w:hAnsi="Verdana" w:cs="Times"/>
          <w:sz w:val="20"/>
          <w:szCs w:val="20"/>
          <w:lang w:val="es-ES_tradnl" w:eastAsia="es-ES"/>
        </w:rPr>
      </w:pPr>
      <w:r w:rsidRPr="0005341B">
        <w:rPr>
          <w:rFonts w:ascii="Verdana" w:eastAsia="Calibri" w:hAnsi="Verdana" w:cs="Times"/>
          <w:sz w:val="20"/>
          <w:szCs w:val="20"/>
          <w:lang w:val="es-CR" w:eastAsia="es-ES"/>
        </w:rPr>
        <w:t xml:space="preserve">Mediante Resolución adoptada por la entonces Presidencia el </w:t>
      </w:r>
      <w:r w:rsidRPr="0005341B">
        <w:rPr>
          <w:rFonts w:ascii="Verdana" w:eastAsia="Calibri" w:hAnsi="Verdana" w:cs="Times"/>
          <w:sz w:val="20"/>
          <w:szCs w:val="20"/>
          <w:lang w:val="es-ES_tradnl" w:eastAsia="es-ES"/>
        </w:rPr>
        <w:t>14 de diciembre de 2017 (</w:t>
      </w:r>
      <w:r w:rsidRPr="0005341B">
        <w:rPr>
          <w:rFonts w:ascii="Verdana" w:eastAsia="Calibri" w:hAnsi="Verdana" w:cs="Times"/>
          <w:i/>
          <w:sz w:val="20"/>
          <w:szCs w:val="20"/>
          <w:lang w:val="es-ES_tradnl" w:eastAsia="es-ES"/>
        </w:rPr>
        <w:t xml:space="preserve">supra </w:t>
      </w:r>
      <w:r w:rsidRPr="0005341B">
        <w:rPr>
          <w:rFonts w:ascii="Verdana" w:eastAsia="Calibri" w:hAnsi="Verdana" w:cs="Times"/>
          <w:sz w:val="20"/>
          <w:szCs w:val="20"/>
          <w:lang w:val="es-ES_tradnl" w:eastAsia="es-ES"/>
        </w:rPr>
        <w:t>Visto 9)</w:t>
      </w:r>
      <w:r w:rsidRPr="0005341B">
        <w:rPr>
          <w:rFonts w:ascii="Verdana" w:eastAsia="Calibri" w:hAnsi="Verdana" w:cs="Times"/>
          <w:sz w:val="20"/>
          <w:szCs w:val="20"/>
          <w:lang w:val="es-CR" w:eastAsia="es-ES"/>
        </w:rPr>
        <w:t xml:space="preserve">, se resolvió declarar procedente la solicitud </w:t>
      </w:r>
      <w:r w:rsidRPr="0005341B">
        <w:rPr>
          <w:rFonts w:ascii="Verdana" w:eastAsia="Calibri" w:hAnsi="Verdana" w:cs="Times"/>
          <w:sz w:val="20"/>
          <w:szCs w:val="20"/>
          <w:lang w:val="es-ES_tradnl" w:eastAsia="es-ES"/>
        </w:rPr>
        <w:t>realizada</w:t>
      </w:r>
      <w:r w:rsidRPr="0005341B">
        <w:rPr>
          <w:rFonts w:ascii="Verdana" w:eastAsia="Calibri" w:hAnsi="Verdana" w:cs="Times"/>
          <w:sz w:val="20"/>
          <w:szCs w:val="20"/>
          <w:lang w:val="es-CR" w:eastAsia="es-ES"/>
        </w:rPr>
        <w:t xml:space="preserve"> por las presuntas víctimas, a través de sus representantes, para acogerse al Fondo de Asistencia Legal de Víctimas de la Corte Interamericana, de modo que se otorgaría la asistencia económica necesaria para la presentación de</w:t>
      </w:r>
      <w:r w:rsidRPr="0005341B">
        <w:rPr>
          <w:rFonts w:ascii="Verdana" w:eastAsia="Calibri" w:hAnsi="Verdana" w:cs="Times"/>
          <w:b/>
          <w:sz w:val="20"/>
          <w:szCs w:val="20"/>
          <w:lang w:val="es-CR" w:eastAsia="es-ES"/>
        </w:rPr>
        <w:t xml:space="preserve"> </w:t>
      </w:r>
      <w:r w:rsidRPr="0005341B">
        <w:rPr>
          <w:rFonts w:ascii="Verdana" w:eastAsia="Calibri" w:hAnsi="Verdana" w:cs="Times"/>
          <w:sz w:val="20"/>
          <w:szCs w:val="20"/>
          <w:lang w:val="es-CR" w:eastAsia="es-ES"/>
        </w:rPr>
        <w:t>un máximo de cinco declaraciones, ya sea en audiencia o por affidávit</w:t>
      </w:r>
      <w:r w:rsidR="00E6780A">
        <w:rPr>
          <w:rFonts w:ascii="Verdana" w:eastAsia="Calibri" w:hAnsi="Verdana" w:cs="Times"/>
          <w:sz w:val="20"/>
          <w:szCs w:val="20"/>
          <w:lang w:val="es-CR" w:eastAsia="es-ES"/>
        </w:rPr>
        <w:t>,</w:t>
      </w:r>
      <w:bookmarkStart w:id="9" w:name="_Ref326591155"/>
      <w:r w:rsidRPr="0005341B">
        <w:rPr>
          <w:rFonts w:ascii="Verdana" w:eastAsia="Calibri" w:hAnsi="Verdana" w:cstheme="minorHAnsi"/>
          <w:sz w:val="20"/>
          <w:szCs w:val="20"/>
          <w:lang w:val="es-CR" w:eastAsia="es-ES"/>
        </w:rPr>
        <w:t xml:space="preserve"> </w:t>
      </w:r>
      <w:r w:rsidRPr="0005341B">
        <w:rPr>
          <w:rFonts w:ascii="Verdana" w:eastAsia="Calibri" w:hAnsi="Verdana" w:cstheme="minorHAnsi"/>
          <w:sz w:val="20"/>
          <w:szCs w:val="20"/>
          <w:lang w:val="es-ES_tradnl" w:eastAsia="es-ES"/>
        </w:rPr>
        <w:t>correspondiendo, por ende, en este ocasión,</w:t>
      </w:r>
      <w:r w:rsidRPr="0005341B">
        <w:rPr>
          <w:rFonts w:ascii="Verdana" w:eastAsia="Calibri" w:hAnsi="Verdana" w:cs="Times"/>
          <w:sz w:val="20"/>
          <w:szCs w:val="20"/>
          <w:lang w:val="es-ES_tradnl" w:eastAsia="es-ES"/>
        </w:rPr>
        <w:t xml:space="preserve"> precisar el destino y objeto específicos de dicha asistencia.</w:t>
      </w:r>
    </w:p>
    <w:bookmarkEnd w:id="9"/>
    <w:p w14:paraId="48184BA0" w14:textId="77777777" w:rsidR="0005341B" w:rsidRPr="0005341B" w:rsidRDefault="0005341B" w:rsidP="00A579A1">
      <w:pPr>
        <w:tabs>
          <w:tab w:val="left" w:pos="567"/>
        </w:tabs>
        <w:spacing w:after="0" w:line="240" w:lineRule="auto"/>
        <w:ind w:left="0"/>
        <w:rPr>
          <w:rFonts w:ascii="Verdana" w:eastAsia="MS Mincho" w:hAnsi="Verdana"/>
          <w:sz w:val="20"/>
          <w:szCs w:val="20"/>
          <w:lang w:val="es-CR"/>
        </w:rPr>
      </w:pPr>
    </w:p>
    <w:p w14:paraId="48184BA1" w14:textId="77777777" w:rsidR="0005341B" w:rsidRPr="0005341B" w:rsidRDefault="0005341B" w:rsidP="00A579A1">
      <w:pPr>
        <w:tabs>
          <w:tab w:val="left" w:pos="567"/>
        </w:tabs>
        <w:spacing w:after="0" w:line="240" w:lineRule="auto"/>
        <w:ind w:left="567"/>
        <w:contextualSpacing/>
        <w:rPr>
          <w:rFonts w:ascii="Verdana" w:eastAsia="Calibri" w:hAnsi="Verdana" w:cs="Times"/>
          <w:b/>
          <w:sz w:val="20"/>
          <w:szCs w:val="20"/>
          <w:lang w:val="es-CR" w:eastAsia="es-ES"/>
        </w:rPr>
      </w:pPr>
      <w:r w:rsidRPr="0005341B">
        <w:rPr>
          <w:rFonts w:ascii="Verdana" w:eastAsia="Calibri" w:hAnsi="Verdana" w:cs="Times"/>
          <w:b/>
          <w:sz w:val="20"/>
          <w:szCs w:val="20"/>
          <w:lang w:val="es-CR" w:eastAsia="es-ES"/>
        </w:rPr>
        <w:t>POR TANTO:</w:t>
      </w:r>
    </w:p>
    <w:p w14:paraId="48184BA2" w14:textId="77777777" w:rsidR="0005341B" w:rsidRPr="0005341B" w:rsidRDefault="0005341B" w:rsidP="00A579A1">
      <w:pPr>
        <w:tabs>
          <w:tab w:val="left" w:pos="567"/>
        </w:tabs>
        <w:spacing w:after="0" w:line="240" w:lineRule="auto"/>
        <w:ind w:left="0"/>
        <w:rPr>
          <w:rFonts w:ascii="Verdana" w:eastAsia="MS Mincho" w:hAnsi="Verdana"/>
          <w:b/>
          <w:sz w:val="20"/>
          <w:szCs w:val="20"/>
          <w:lang w:val="es-CR"/>
        </w:rPr>
      </w:pPr>
    </w:p>
    <w:p w14:paraId="48184BA3" w14:textId="77777777" w:rsidR="0005341B" w:rsidRPr="0005341B" w:rsidRDefault="0005341B" w:rsidP="00A579A1">
      <w:pPr>
        <w:tabs>
          <w:tab w:val="left" w:pos="567"/>
        </w:tabs>
        <w:spacing w:after="0" w:line="276" w:lineRule="auto"/>
        <w:ind w:left="0"/>
        <w:rPr>
          <w:rFonts w:ascii="Verdana" w:eastAsia="MS Mincho" w:hAnsi="Verdana"/>
          <w:b/>
          <w:sz w:val="20"/>
          <w:szCs w:val="20"/>
          <w:lang w:val="es-CR"/>
        </w:rPr>
      </w:pPr>
      <w:r w:rsidRPr="0005341B">
        <w:rPr>
          <w:rFonts w:ascii="Verdana" w:eastAsia="MS Mincho" w:hAnsi="Verdana"/>
          <w:b/>
          <w:sz w:val="20"/>
          <w:szCs w:val="20"/>
          <w:lang w:val="es-CR"/>
        </w:rPr>
        <w:t xml:space="preserve">EL PRESIDENTE EN EJERCICIO DE LA CORTE INTERAMERICANA DE DERECHOS HUMANOS, </w:t>
      </w:r>
    </w:p>
    <w:p w14:paraId="48184BA4" w14:textId="77777777" w:rsidR="0005341B" w:rsidRPr="0005341B" w:rsidRDefault="0005341B" w:rsidP="00A579A1">
      <w:pPr>
        <w:tabs>
          <w:tab w:val="left" w:pos="567"/>
        </w:tabs>
        <w:spacing w:after="0" w:line="240" w:lineRule="auto"/>
        <w:ind w:left="0"/>
        <w:rPr>
          <w:rFonts w:ascii="Verdana" w:eastAsia="MS Mincho" w:hAnsi="Verdana"/>
          <w:b/>
          <w:sz w:val="20"/>
          <w:szCs w:val="20"/>
          <w:lang w:val="es-CR"/>
        </w:rPr>
      </w:pPr>
    </w:p>
    <w:p w14:paraId="48184BA5" w14:textId="77777777" w:rsidR="0005341B" w:rsidRPr="0005341B" w:rsidRDefault="0005341B" w:rsidP="00A579A1">
      <w:pPr>
        <w:tabs>
          <w:tab w:val="left" w:pos="567"/>
        </w:tabs>
        <w:spacing w:after="0" w:line="276" w:lineRule="auto"/>
        <w:ind w:left="0"/>
        <w:rPr>
          <w:rFonts w:ascii="Verdana" w:eastAsia="MS Mincho" w:hAnsi="Verdana"/>
          <w:sz w:val="20"/>
          <w:szCs w:val="20"/>
          <w:lang w:val="es-CR"/>
        </w:rPr>
      </w:pPr>
      <w:r w:rsidRPr="0005341B">
        <w:rPr>
          <w:rFonts w:ascii="Verdana" w:eastAsia="MS Mincho" w:hAnsi="Verdana"/>
          <w:sz w:val="20"/>
          <w:szCs w:val="20"/>
          <w:lang w:val="es-CR"/>
        </w:rPr>
        <w:t xml:space="preserve">de conformidad con los artículos 24.1 y 25.2 del Estatuto de la Corte y con los artículos 4, 15.1, 26.1, 31.2, 35.1, 40.2, 41.1, 45 a 48, 50 a 56 y 60 del Reglamento, </w:t>
      </w:r>
    </w:p>
    <w:p w14:paraId="48184BA6" w14:textId="77777777" w:rsidR="0005341B" w:rsidRPr="0005341B" w:rsidRDefault="0005341B" w:rsidP="00A579A1">
      <w:pPr>
        <w:tabs>
          <w:tab w:val="left" w:pos="567"/>
        </w:tabs>
        <w:spacing w:after="0" w:line="240" w:lineRule="auto"/>
        <w:ind w:left="53"/>
        <w:rPr>
          <w:rFonts w:ascii="Verdana" w:eastAsia="MS Mincho" w:hAnsi="Verdana"/>
          <w:sz w:val="20"/>
          <w:szCs w:val="20"/>
          <w:lang w:val="es-CR"/>
        </w:rPr>
      </w:pPr>
    </w:p>
    <w:p w14:paraId="48184BA7" w14:textId="77777777" w:rsidR="0005341B" w:rsidRPr="0005341B" w:rsidRDefault="0005341B" w:rsidP="00A579A1">
      <w:pPr>
        <w:tabs>
          <w:tab w:val="left" w:pos="567"/>
        </w:tabs>
        <w:spacing w:after="0" w:line="240" w:lineRule="auto"/>
        <w:ind w:left="567"/>
        <w:contextualSpacing/>
        <w:rPr>
          <w:rFonts w:ascii="Verdana" w:eastAsia="Calibri" w:hAnsi="Verdana" w:cs="Times"/>
          <w:b/>
          <w:sz w:val="20"/>
          <w:szCs w:val="20"/>
          <w:lang w:val="es-CR" w:eastAsia="es-ES"/>
        </w:rPr>
      </w:pPr>
      <w:r w:rsidRPr="0005341B">
        <w:rPr>
          <w:rFonts w:ascii="Verdana" w:eastAsia="Calibri" w:hAnsi="Verdana" w:cs="Times"/>
          <w:b/>
          <w:sz w:val="20"/>
          <w:szCs w:val="20"/>
          <w:lang w:val="es-CR" w:eastAsia="es-ES"/>
        </w:rPr>
        <w:t>RESUELVE:</w:t>
      </w:r>
    </w:p>
    <w:p w14:paraId="48184BA8" w14:textId="77777777" w:rsidR="0005341B" w:rsidRPr="0005341B" w:rsidRDefault="0005341B" w:rsidP="00A579A1">
      <w:pPr>
        <w:tabs>
          <w:tab w:val="left" w:pos="567"/>
        </w:tabs>
        <w:spacing w:after="0" w:line="240" w:lineRule="auto"/>
        <w:ind w:left="0"/>
        <w:rPr>
          <w:rFonts w:ascii="Verdana" w:eastAsia="Calibri" w:hAnsi="Verdana" w:cstheme="minorHAnsi"/>
          <w:b/>
          <w:bCs/>
          <w:sz w:val="20"/>
          <w:szCs w:val="20"/>
          <w:lang w:val="es-CR"/>
        </w:rPr>
      </w:pPr>
    </w:p>
    <w:p w14:paraId="48184BA9" w14:textId="77777777" w:rsidR="0005341B" w:rsidRPr="0005341B" w:rsidRDefault="0005341B" w:rsidP="006E7242">
      <w:pPr>
        <w:widowControl w:val="0"/>
        <w:numPr>
          <w:ilvl w:val="3"/>
          <w:numId w:val="1"/>
        </w:numPr>
        <w:tabs>
          <w:tab w:val="left" w:pos="567"/>
          <w:tab w:val="left" w:pos="810"/>
        </w:tabs>
        <w:autoSpaceDE w:val="0"/>
        <w:autoSpaceDN w:val="0"/>
        <w:adjustRightInd w:val="0"/>
        <w:spacing w:after="0" w:line="240" w:lineRule="auto"/>
        <w:ind w:left="0" w:firstLine="0"/>
        <w:contextualSpacing/>
        <w:rPr>
          <w:rFonts w:ascii="Verdana" w:eastAsia="Times New Roman" w:hAnsi="Verdana" w:cstheme="minorHAnsi"/>
          <w:sz w:val="20"/>
          <w:szCs w:val="20"/>
          <w:lang w:eastAsia="es-ES"/>
        </w:rPr>
      </w:pPr>
      <w:r w:rsidRPr="0005341B">
        <w:rPr>
          <w:rFonts w:ascii="Verdana" w:eastAsia="Calibri" w:hAnsi="Verdana" w:cstheme="minorHAnsi"/>
          <w:sz w:val="20"/>
          <w:szCs w:val="20"/>
          <w:lang w:val="es-ES_tradnl" w:eastAsia="es-ES"/>
        </w:rPr>
        <w:t>A</w:t>
      </w:r>
      <w:r w:rsidRPr="0005341B">
        <w:rPr>
          <w:rFonts w:ascii="Verdana" w:hAnsi="Verdana" w:cstheme="minorHAnsi"/>
          <w:sz w:val="20"/>
          <w:szCs w:val="20"/>
          <w:lang w:val="es-CR" w:eastAsia="es-ES"/>
        </w:rPr>
        <w:t xml:space="preserve">dmitir las declaraciones no objetadas de: A) María de Jesús Alvarado Espinoza, Jaime Alvarado Herrera, Obdulia Espinoza Beltrán, José Herrera Fabela, </w:t>
      </w:r>
      <w:r w:rsidRPr="0005341B">
        <w:rPr>
          <w:rFonts w:ascii="Verdana" w:hAnsi="Verdana" w:cstheme="minorHAnsi"/>
          <w:sz w:val="20"/>
          <w:szCs w:val="20"/>
          <w:lang w:val="es-CR"/>
        </w:rPr>
        <w:t xml:space="preserve">Rafael Alan Alvarado Reyes, Adrián Alvarado Reyes, </w:t>
      </w:r>
      <w:r w:rsidRPr="0005341B">
        <w:rPr>
          <w:rFonts w:ascii="Verdana" w:hAnsi="Verdana" w:cstheme="minorHAnsi"/>
          <w:sz w:val="20"/>
          <w:szCs w:val="20"/>
          <w:lang w:val="es-CR" w:eastAsia="es-ES"/>
        </w:rPr>
        <w:t xml:space="preserve">Sandra Luz Rueda Quezada, </w:t>
      </w:r>
      <w:r w:rsidRPr="0005341B">
        <w:rPr>
          <w:rFonts w:ascii="Verdana" w:hAnsi="Verdana" w:cstheme="minorHAnsi"/>
          <w:sz w:val="20"/>
          <w:szCs w:val="20"/>
          <w:lang w:val="es-CR"/>
        </w:rPr>
        <w:t xml:space="preserve">Rosa Olivia Alvarado Herrera, </w:t>
      </w:r>
      <w:r w:rsidRPr="0005341B">
        <w:rPr>
          <w:rFonts w:ascii="Verdana" w:hAnsi="Verdana" w:cstheme="minorHAnsi"/>
          <w:sz w:val="20"/>
          <w:szCs w:val="20"/>
          <w:lang w:val="es-CR" w:eastAsia="es-ES"/>
        </w:rPr>
        <w:t>Nitza Sitlaly Alvarado Espinoza, Mitzy Paola Alvarado Espinoza y Deisy Alvarado Espinoza, propuestas por las representantes; B) los dictámenes periciales de</w:t>
      </w:r>
      <w:r w:rsidRPr="0005341B">
        <w:rPr>
          <w:rFonts w:ascii="Verdana" w:eastAsia="Calibri" w:hAnsi="Verdana" w:cstheme="minorHAnsi"/>
          <w:sz w:val="20"/>
          <w:szCs w:val="20"/>
          <w:lang w:val="es-CR" w:eastAsia="es-ES"/>
        </w:rPr>
        <w:t xml:space="preserve"> Carlos Martín Beristáin y Gabriella Citroni, propuestos por las representantes; y, C) las declaraciones de </w:t>
      </w:r>
      <w:r w:rsidRPr="0005341B">
        <w:rPr>
          <w:rFonts w:ascii="Verdana" w:hAnsi="Verdana" w:cstheme="minorHAnsi"/>
          <w:sz w:val="20"/>
          <w:szCs w:val="20"/>
          <w:lang w:val="es-CR"/>
        </w:rPr>
        <w:t xml:space="preserve">Aarón Enríquez Duarte, </w:t>
      </w:r>
      <w:r w:rsidRPr="0005341B">
        <w:rPr>
          <w:rFonts w:ascii="Verdana" w:eastAsia="Calibri" w:hAnsi="Verdana" w:cstheme="minorHAnsi"/>
          <w:sz w:val="20"/>
          <w:szCs w:val="20"/>
          <w:lang w:val="es-CR" w:eastAsia="es-ES"/>
        </w:rPr>
        <w:t>Víctor Cruz Martínez, Mariana Colín</w:t>
      </w:r>
      <w:r w:rsidRPr="0005341B">
        <w:rPr>
          <w:rFonts w:ascii="Verdana" w:hAnsi="Verdana" w:cstheme="minorHAnsi"/>
          <w:sz w:val="20"/>
          <w:szCs w:val="20"/>
          <w:lang w:val="es-CR"/>
        </w:rPr>
        <w:t xml:space="preserve"> Ayala, </w:t>
      </w:r>
      <w:r w:rsidRPr="0005341B">
        <w:rPr>
          <w:rFonts w:ascii="Verdana" w:eastAsia="Calibri" w:hAnsi="Verdana" w:cstheme="minorHAnsi"/>
          <w:sz w:val="20"/>
          <w:szCs w:val="20"/>
          <w:lang w:val="es-CR" w:eastAsia="es-ES"/>
        </w:rPr>
        <w:t xml:space="preserve">José Emilio Serrano Santiago, </w:t>
      </w:r>
      <w:r w:rsidRPr="0005341B">
        <w:rPr>
          <w:rFonts w:ascii="Verdana" w:hAnsi="Verdana" w:cstheme="minorHAnsi"/>
          <w:sz w:val="20"/>
          <w:szCs w:val="20"/>
          <w:lang w:val="es-CR"/>
        </w:rPr>
        <w:t>Efraín Arzola Herrejón,</w:t>
      </w:r>
      <w:r w:rsidRPr="0005341B">
        <w:rPr>
          <w:rFonts w:ascii="Verdana" w:eastAsia="Calibri" w:hAnsi="Verdana" w:cstheme="minorHAnsi"/>
          <w:sz w:val="20"/>
          <w:szCs w:val="20"/>
          <w:lang w:val="es-CR" w:eastAsia="es-ES"/>
        </w:rPr>
        <w:t xml:space="preserve"> Oscar Arias Ocampo, </w:t>
      </w:r>
      <w:r w:rsidRPr="0005341B">
        <w:rPr>
          <w:rFonts w:ascii="Verdana" w:hAnsi="Verdana" w:cstheme="minorHAnsi"/>
          <w:sz w:val="20"/>
          <w:szCs w:val="20"/>
          <w:lang w:val="es-CR"/>
        </w:rPr>
        <w:t>Marín Adrián Lasso Carbajal, Ramón Iván Sotomayor Siller y A</w:t>
      </w:r>
      <w:r w:rsidRPr="0005341B">
        <w:rPr>
          <w:rFonts w:ascii="Verdana" w:eastAsia="Calibri" w:hAnsi="Verdana" w:cstheme="minorHAnsi"/>
          <w:sz w:val="20"/>
          <w:szCs w:val="20"/>
          <w:lang w:val="es-CR" w:eastAsia="es-ES"/>
        </w:rPr>
        <w:t xml:space="preserve">rgene Blázquez Morales, ofrecidas por el Estado. </w:t>
      </w:r>
    </w:p>
    <w:p w14:paraId="48184BAA" w14:textId="77777777" w:rsidR="0005341B" w:rsidRPr="0005341B" w:rsidRDefault="0005341B" w:rsidP="006E7242">
      <w:pPr>
        <w:widowControl w:val="0"/>
        <w:tabs>
          <w:tab w:val="left" w:pos="567"/>
          <w:tab w:val="left" w:pos="810"/>
        </w:tabs>
        <w:autoSpaceDE w:val="0"/>
        <w:autoSpaceDN w:val="0"/>
        <w:adjustRightInd w:val="0"/>
        <w:spacing w:after="0" w:line="240" w:lineRule="auto"/>
        <w:ind w:left="0"/>
        <w:contextualSpacing/>
        <w:rPr>
          <w:rFonts w:ascii="Verdana" w:eastAsia="Times New Roman" w:hAnsi="Verdana" w:cstheme="minorHAnsi"/>
          <w:sz w:val="20"/>
          <w:szCs w:val="20"/>
          <w:lang w:eastAsia="es-ES"/>
        </w:rPr>
      </w:pPr>
    </w:p>
    <w:p w14:paraId="48184BAB" w14:textId="1DBE9996" w:rsidR="0005341B" w:rsidRPr="0005341B" w:rsidRDefault="0005341B" w:rsidP="006E7242">
      <w:pPr>
        <w:widowControl w:val="0"/>
        <w:numPr>
          <w:ilvl w:val="3"/>
          <w:numId w:val="1"/>
        </w:numPr>
        <w:tabs>
          <w:tab w:val="left" w:pos="567"/>
          <w:tab w:val="left" w:pos="810"/>
        </w:tabs>
        <w:autoSpaceDE w:val="0"/>
        <w:autoSpaceDN w:val="0"/>
        <w:adjustRightInd w:val="0"/>
        <w:spacing w:after="0" w:line="240" w:lineRule="auto"/>
        <w:ind w:left="0" w:firstLine="0"/>
        <w:contextualSpacing/>
        <w:rPr>
          <w:rFonts w:ascii="Verdana" w:eastAsia="Times New Roman" w:hAnsi="Verdana" w:cstheme="minorHAnsi"/>
          <w:sz w:val="20"/>
          <w:szCs w:val="20"/>
          <w:lang w:eastAsia="es-ES"/>
        </w:rPr>
      </w:pPr>
      <w:r w:rsidRPr="0005341B">
        <w:rPr>
          <w:rFonts w:ascii="Verdana" w:eastAsia="Calibri" w:hAnsi="Verdana" w:cstheme="minorHAnsi"/>
          <w:sz w:val="20"/>
          <w:szCs w:val="20"/>
          <w:lang w:val="es-CR" w:eastAsia="es-ES"/>
        </w:rPr>
        <w:t xml:space="preserve">Tener </w:t>
      </w:r>
      <w:r w:rsidRPr="0005341B">
        <w:rPr>
          <w:rFonts w:ascii="Verdana" w:eastAsia="Calibri" w:hAnsi="Verdana" w:cstheme="minorHAnsi"/>
          <w:sz w:val="20"/>
          <w:szCs w:val="20"/>
          <w:lang w:val="es-ES_tradnl" w:eastAsia="es-ES"/>
        </w:rPr>
        <w:t>por desistido el ofrecimiento del testimonio de la señora Damaris Baglietto Hernández</w:t>
      </w:r>
      <w:r w:rsidRPr="0005341B">
        <w:rPr>
          <w:rFonts w:ascii="Verdana" w:eastAsia="Calibri" w:hAnsi="Verdana" w:cs="Times"/>
          <w:sz w:val="20"/>
          <w:szCs w:val="20"/>
          <w:vertAlign w:val="superscript"/>
          <w:lang w:val="es-ES_tradnl" w:eastAsia="es-ES"/>
        </w:rPr>
        <w:footnoteReference w:id="19"/>
      </w:r>
      <w:r w:rsidRPr="0005341B">
        <w:rPr>
          <w:rFonts w:ascii="Verdana" w:eastAsia="Calibri" w:hAnsi="Verdana" w:cstheme="minorHAnsi"/>
          <w:sz w:val="20"/>
          <w:szCs w:val="20"/>
          <w:lang w:val="es-ES_tradnl" w:eastAsia="es-ES"/>
        </w:rPr>
        <w:t>, y declaraciones testimoniales del Emiliano López Pedraza y Avelina Morales Guzmán, en mérito de lo señalado en el considerando nú</w:t>
      </w:r>
      <w:r w:rsidR="00A579A1">
        <w:rPr>
          <w:rFonts w:ascii="Verdana" w:eastAsia="Calibri" w:hAnsi="Verdana" w:cstheme="minorHAnsi"/>
          <w:sz w:val="20"/>
          <w:szCs w:val="20"/>
          <w:lang w:val="es-ES_tradnl" w:eastAsia="es-ES"/>
        </w:rPr>
        <w:t xml:space="preserve">mero </w:t>
      </w:r>
      <w:r w:rsidR="00E6780A">
        <w:rPr>
          <w:rFonts w:ascii="Verdana" w:eastAsia="Calibri" w:hAnsi="Verdana" w:cstheme="minorHAnsi"/>
          <w:sz w:val="20"/>
          <w:szCs w:val="20"/>
          <w:lang w:val="es-ES_tradnl" w:eastAsia="es-ES"/>
        </w:rPr>
        <w:t>11</w:t>
      </w:r>
      <w:r w:rsidR="00A579A1">
        <w:rPr>
          <w:rFonts w:ascii="Verdana" w:eastAsia="Calibri" w:hAnsi="Verdana" w:cstheme="minorHAnsi"/>
          <w:sz w:val="20"/>
          <w:szCs w:val="20"/>
          <w:lang w:val="es-ES_tradnl" w:eastAsia="es-ES"/>
        </w:rPr>
        <w:t>.</w:t>
      </w:r>
    </w:p>
    <w:p w14:paraId="48184BAC" w14:textId="77777777" w:rsidR="0005341B" w:rsidRPr="0005341B" w:rsidRDefault="0005341B" w:rsidP="006E7242">
      <w:pPr>
        <w:tabs>
          <w:tab w:val="left" w:pos="567"/>
        </w:tabs>
        <w:spacing w:after="0" w:line="240" w:lineRule="auto"/>
        <w:ind w:left="0"/>
        <w:rPr>
          <w:rFonts w:ascii="Verdana" w:eastAsia="Calibri" w:hAnsi="Verdana" w:cstheme="minorHAnsi"/>
          <w:b/>
          <w:bCs/>
          <w:sz w:val="20"/>
          <w:szCs w:val="20"/>
          <w:lang w:val="es-CR"/>
        </w:rPr>
      </w:pPr>
    </w:p>
    <w:p w14:paraId="48184BAD" w14:textId="77777777" w:rsidR="0005341B" w:rsidRPr="0005341B" w:rsidRDefault="0005341B" w:rsidP="006E7242">
      <w:pPr>
        <w:numPr>
          <w:ilvl w:val="3"/>
          <w:numId w:val="1"/>
        </w:numPr>
        <w:tabs>
          <w:tab w:val="left" w:pos="567"/>
        </w:tabs>
        <w:spacing w:after="0" w:line="240" w:lineRule="auto"/>
        <w:ind w:left="0" w:firstLine="0"/>
        <w:contextualSpacing/>
        <w:rPr>
          <w:rFonts w:ascii="Verdana" w:eastAsia="Calibri" w:hAnsi="Verdana" w:cstheme="minorHAnsi"/>
          <w:sz w:val="20"/>
          <w:szCs w:val="20"/>
          <w:lang w:val="es-ES_tradnl" w:eastAsia="es-ES"/>
        </w:rPr>
      </w:pPr>
      <w:r w:rsidRPr="0005341B">
        <w:rPr>
          <w:rFonts w:ascii="Verdana" w:eastAsia="Calibri" w:hAnsi="Verdana" w:cstheme="minorHAnsi"/>
          <w:sz w:val="20"/>
          <w:szCs w:val="20"/>
          <w:lang w:val="es-ES_tradnl" w:eastAsia="es-ES"/>
        </w:rPr>
        <w:t>No admitir la declaración de la señora Luz Estela Castro Rodríguez, en razón de lo expuesto en los considerando</w:t>
      </w:r>
      <w:r w:rsidR="00424980">
        <w:rPr>
          <w:rFonts w:ascii="Verdana" w:eastAsia="Calibri" w:hAnsi="Verdana" w:cstheme="minorHAnsi"/>
          <w:sz w:val="20"/>
          <w:szCs w:val="20"/>
          <w:lang w:val="es-ES_tradnl" w:eastAsia="es-ES"/>
        </w:rPr>
        <w:t>s</w:t>
      </w:r>
      <w:r w:rsidR="00E6780A">
        <w:rPr>
          <w:rFonts w:ascii="Verdana" w:eastAsia="Calibri" w:hAnsi="Verdana" w:cstheme="minorHAnsi"/>
          <w:sz w:val="20"/>
          <w:szCs w:val="20"/>
          <w:lang w:val="es-ES_tradnl" w:eastAsia="es-ES"/>
        </w:rPr>
        <w:t xml:space="preserve"> números </w:t>
      </w:r>
      <w:r w:rsidRPr="0005341B">
        <w:rPr>
          <w:rFonts w:ascii="Verdana" w:eastAsia="Calibri" w:hAnsi="Verdana" w:cstheme="minorHAnsi"/>
          <w:sz w:val="20"/>
          <w:szCs w:val="20"/>
          <w:lang w:val="es-ES_tradnl" w:eastAsia="es-ES"/>
        </w:rPr>
        <w:t>13 a 15 de la presente Resolución.</w:t>
      </w:r>
    </w:p>
    <w:p w14:paraId="48184BAE" w14:textId="77777777" w:rsidR="0005341B" w:rsidRPr="0005341B" w:rsidRDefault="0005341B" w:rsidP="006E7242">
      <w:pPr>
        <w:tabs>
          <w:tab w:val="left" w:pos="567"/>
        </w:tabs>
        <w:spacing w:after="0" w:line="240" w:lineRule="auto"/>
        <w:ind w:left="0"/>
        <w:contextualSpacing/>
        <w:rPr>
          <w:rFonts w:ascii="Verdana" w:eastAsia="Calibri" w:hAnsi="Verdana" w:cstheme="minorHAnsi"/>
          <w:sz w:val="20"/>
          <w:szCs w:val="20"/>
          <w:lang w:val="es-ES_tradnl" w:eastAsia="es-ES"/>
        </w:rPr>
      </w:pPr>
    </w:p>
    <w:p w14:paraId="48184BAF" w14:textId="77777777" w:rsidR="0005341B" w:rsidRPr="0005341B" w:rsidRDefault="0005341B" w:rsidP="006E7242">
      <w:pPr>
        <w:numPr>
          <w:ilvl w:val="3"/>
          <w:numId w:val="1"/>
        </w:numPr>
        <w:tabs>
          <w:tab w:val="left" w:pos="567"/>
        </w:tabs>
        <w:spacing w:after="0" w:line="240" w:lineRule="auto"/>
        <w:ind w:left="0" w:firstLine="0"/>
        <w:contextualSpacing/>
        <w:rPr>
          <w:rFonts w:ascii="Verdana" w:eastAsia="Calibri" w:hAnsi="Verdana" w:cstheme="minorHAnsi"/>
          <w:sz w:val="20"/>
          <w:szCs w:val="20"/>
          <w:lang w:val="es-ES_tradnl" w:eastAsia="es-ES"/>
        </w:rPr>
      </w:pPr>
      <w:r w:rsidRPr="0005341B">
        <w:rPr>
          <w:rFonts w:ascii="Verdana" w:eastAsia="Calibri" w:hAnsi="Verdana" w:cstheme="minorHAnsi"/>
          <w:sz w:val="20"/>
          <w:szCs w:val="20"/>
          <w:lang w:val="es-ES_tradnl" w:eastAsia="es-ES"/>
        </w:rPr>
        <w:t xml:space="preserve">No admitir las declaraciones de </w:t>
      </w:r>
      <w:r w:rsidRPr="0005341B">
        <w:rPr>
          <w:rFonts w:ascii="Verdana" w:eastAsia="Calibri" w:hAnsi="Verdana" w:cstheme="minorHAnsi"/>
          <w:sz w:val="20"/>
          <w:szCs w:val="20"/>
          <w:lang w:val="es-CR" w:eastAsia="es-ES"/>
        </w:rPr>
        <w:t>Martín Solís Bustamante, Joaquín Solorio Urrutia y Siria Solís Solís</w:t>
      </w:r>
      <w:r w:rsidRPr="0005341B">
        <w:rPr>
          <w:rFonts w:ascii="Verdana" w:eastAsia="Calibri" w:hAnsi="Verdana" w:cstheme="minorHAnsi"/>
          <w:sz w:val="20"/>
          <w:szCs w:val="20"/>
          <w:lang w:val="es-ES_tradnl" w:eastAsia="es-ES"/>
        </w:rPr>
        <w:t>, por los motivos indicados en los considerandos 16 a 18 de la presente Resolución.</w:t>
      </w:r>
    </w:p>
    <w:p w14:paraId="48184BB0" w14:textId="77777777" w:rsidR="0005341B" w:rsidRPr="0005341B" w:rsidRDefault="0005341B" w:rsidP="00A579A1">
      <w:pPr>
        <w:spacing w:line="240" w:lineRule="auto"/>
        <w:ind w:left="720"/>
        <w:contextualSpacing/>
        <w:rPr>
          <w:rFonts w:ascii="Verdana" w:eastAsia="Calibri" w:hAnsi="Verdana" w:cstheme="minorHAnsi"/>
          <w:sz w:val="20"/>
          <w:szCs w:val="20"/>
          <w:lang w:val="es-ES_tradnl" w:eastAsia="es-ES"/>
        </w:rPr>
      </w:pPr>
    </w:p>
    <w:p w14:paraId="48184BB1" w14:textId="77777777" w:rsidR="0005341B" w:rsidRPr="0005341B" w:rsidRDefault="0005341B" w:rsidP="003D1327">
      <w:pPr>
        <w:numPr>
          <w:ilvl w:val="3"/>
          <w:numId w:val="1"/>
        </w:numPr>
        <w:tabs>
          <w:tab w:val="left" w:pos="567"/>
        </w:tabs>
        <w:spacing w:after="0" w:line="240" w:lineRule="auto"/>
        <w:ind w:left="0" w:firstLine="0"/>
        <w:contextualSpacing/>
        <w:rPr>
          <w:rFonts w:ascii="Verdana" w:eastAsia="Calibri" w:hAnsi="Verdana" w:cstheme="minorHAnsi"/>
          <w:sz w:val="20"/>
          <w:szCs w:val="20"/>
          <w:lang w:val="es-ES_tradnl" w:eastAsia="es-ES"/>
        </w:rPr>
      </w:pPr>
      <w:r w:rsidRPr="0005341B">
        <w:rPr>
          <w:rFonts w:ascii="Verdana" w:eastAsia="Calibri" w:hAnsi="Verdana" w:cstheme="minorHAnsi"/>
          <w:sz w:val="20"/>
          <w:szCs w:val="20"/>
          <w:lang w:val="es-ES_tradnl" w:eastAsia="es-ES"/>
        </w:rPr>
        <w:t>Recabar el testimonio de Salvador Baltazar Samayoa, atendido lo expuesto en los considerandos 19 a 21 de la presente Resolución.</w:t>
      </w:r>
    </w:p>
    <w:p w14:paraId="48184BB2" w14:textId="77777777" w:rsidR="0005341B" w:rsidRPr="0005341B" w:rsidRDefault="0005341B" w:rsidP="00A579A1">
      <w:pPr>
        <w:spacing w:line="240" w:lineRule="auto"/>
        <w:ind w:left="720"/>
        <w:contextualSpacing/>
        <w:rPr>
          <w:rFonts w:ascii="Verdana" w:eastAsia="Calibri" w:hAnsi="Verdana" w:cstheme="minorHAnsi"/>
          <w:sz w:val="20"/>
          <w:szCs w:val="20"/>
          <w:lang w:val="es-ES_tradnl" w:eastAsia="es-ES"/>
        </w:rPr>
      </w:pPr>
    </w:p>
    <w:p w14:paraId="48184BB3" w14:textId="77777777" w:rsidR="0005341B" w:rsidRPr="0005341B" w:rsidRDefault="0005341B" w:rsidP="003D1327">
      <w:pPr>
        <w:numPr>
          <w:ilvl w:val="3"/>
          <w:numId w:val="1"/>
        </w:numPr>
        <w:tabs>
          <w:tab w:val="left" w:pos="567"/>
        </w:tabs>
        <w:spacing w:after="0" w:line="240" w:lineRule="auto"/>
        <w:ind w:left="0" w:firstLine="0"/>
        <w:contextualSpacing/>
        <w:rPr>
          <w:rFonts w:ascii="Verdana" w:eastAsia="Calibri" w:hAnsi="Verdana" w:cstheme="minorHAnsi"/>
          <w:sz w:val="20"/>
          <w:szCs w:val="20"/>
          <w:lang w:val="es-ES_tradnl" w:eastAsia="es-ES"/>
        </w:rPr>
      </w:pPr>
      <w:r w:rsidRPr="0005341B">
        <w:rPr>
          <w:rFonts w:ascii="Verdana" w:eastAsia="Calibri" w:hAnsi="Verdana" w:cstheme="minorHAnsi"/>
          <w:sz w:val="20"/>
          <w:szCs w:val="20"/>
          <w:lang w:val="es-MX" w:eastAsia="es-ES"/>
        </w:rPr>
        <w:t xml:space="preserve">Recibir los dictámenes del </w:t>
      </w:r>
      <w:r w:rsidRPr="0005341B">
        <w:rPr>
          <w:rFonts w:ascii="Verdana" w:eastAsia="Calibri" w:hAnsi="Verdana" w:cstheme="minorHAnsi"/>
          <w:sz w:val="20"/>
          <w:szCs w:val="20"/>
          <w:lang w:val="es-ES_tradnl" w:eastAsia="es-ES"/>
        </w:rPr>
        <w:t>señor Salvador Salazar Gutiérrez</w:t>
      </w:r>
      <w:r w:rsidRPr="0005341B">
        <w:rPr>
          <w:rFonts w:ascii="Verdana" w:eastAsia="Calibri" w:hAnsi="Verdana" w:cstheme="minorHAnsi"/>
          <w:sz w:val="20"/>
          <w:szCs w:val="20"/>
          <w:vertAlign w:val="superscript"/>
          <w:lang w:val="es-ES_tradnl" w:eastAsia="es-ES"/>
        </w:rPr>
        <w:footnoteReference w:id="20"/>
      </w:r>
      <w:r w:rsidRPr="0005341B">
        <w:rPr>
          <w:rFonts w:ascii="Verdana" w:eastAsia="Calibri" w:hAnsi="Verdana" w:cstheme="minorHAnsi"/>
          <w:sz w:val="20"/>
          <w:szCs w:val="20"/>
          <w:lang w:val="es-ES_tradnl" w:eastAsia="es-ES"/>
        </w:rPr>
        <w:t xml:space="preserve">, y el rendido conjuntamente por </w:t>
      </w:r>
      <w:r w:rsidRPr="0005341B">
        <w:rPr>
          <w:rFonts w:ascii="Verdana" w:eastAsia="Calibri" w:hAnsi="Verdana" w:cstheme="minorHAnsi"/>
          <w:sz w:val="20"/>
          <w:szCs w:val="20"/>
          <w:lang w:val="es-MX" w:eastAsia="es-ES"/>
        </w:rPr>
        <w:t xml:space="preserve">las señoras Carolina Robledo Silvestre, Aída Hernández Castillo, Erika Liliana López López y May-Ek </w:t>
      </w:r>
      <w:r w:rsidRPr="0005341B">
        <w:rPr>
          <w:rFonts w:ascii="Verdana" w:eastAsia="Calibri" w:hAnsi="Verdana" w:cstheme="minorHAnsi"/>
          <w:sz w:val="20"/>
          <w:szCs w:val="20"/>
          <w:lang w:val="es-MX" w:eastAsia="es-ES"/>
        </w:rPr>
        <w:lastRenderedPageBreak/>
        <w:t>Querales Mendoza,</w:t>
      </w:r>
      <w:r w:rsidRPr="0005341B">
        <w:rPr>
          <w:rFonts w:ascii="Verdana" w:eastAsia="Calibri" w:hAnsi="Verdana" w:cstheme="minorHAnsi"/>
          <w:sz w:val="20"/>
          <w:szCs w:val="20"/>
          <w:lang w:val="es-ES_tradnl" w:eastAsia="es-ES"/>
        </w:rPr>
        <w:t xml:space="preserve"> d</w:t>
      </w:r>
      <w:r w:rsidRPr="0005341B">
        <w:rPr>
          <w:rFonts w:ascii="Verdana" w:eastAsia="Calibri" w:hAnsi="Verdana" w:cstheme="minorHAnsi"/>
          <w:sz w:val="20"/>
          <w:szCs w:val="20"/>
          <w:lang w:val="es-MX" w:eastAsia="es-ES"/>
        </w:rPr>
        <w:t>el Grupo de Investigaciones en Antropología Social y Forense</w:t>
      </w:r>
      <w:r w:rsidRPr="0005341B">
        <w:rPr>
          <w:rFonts w:ascii="Verdana" w:eastAsia="Calibri" w:hAnsi="Verdana" w:cstheme="minorHAnsi"/>
          <w:sz w:val="20"/>
          <w:szCs w:val="20"/>
          <w:lang w:val="es-ES_tradnl" w:eastAsia="es-ES"/>
        </w:rPr>
        <w:t>, de acuerdo a lo afirmado en los considerandos 22 y 23 de la presente Resolución.</w:t>
      </w:r>
    </w:p>
    <w:p w14:paraId="48184BB4" w14:textId="77777777" w:rsidR="0005341B" w:rsidRPr="0005341B" w:rsidRDefault="0005341B" w:rsidP="00A579A1">
      <w:pPr>
        <w:spacing w:line="240" w:lineRule="auto"/>
        <w:ind w:left="720"/>
        <w:contextualSpacing/>
        <w:rPr>
          <w:rFonts w:ascii="Verdana" w:eastAsia="Calibri" w:hAnsi="Verdana" w:cstheme="minorHAnsi"/>
          <w:sz w:val="20"/>
          <w:szCs w:val="20"/>
          <w:lang w:val="es-ES_tradnl" w:eastAsia="es-ES"/>
        </w:rPr>
      </w:pPr>
    </w:p>
    <w:p w14:paraId="48184BB5" w14:textId="77777777"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heme="minorHAnsi"/>
          <w:sz w:val="20"/>
          <w:szCs w:val="20"/>
          <w:lang w:val="es-ES_tradnl" w:eastAsia="es-ES"/>
        </w:rPr>
      </w:pPr>
      <w:r w:rsidRPr="0005341B">
        <w:rPr>
          <w:rFonts w:ascii="Verdana" w:eastAsia="Calibri" w:hAnsi="Verdana" w:cstheme="minorHAnsi"/>
          <w:sz w:val="20"/>
          <w:szCs w:val="20"/>
          <w:lang w:val="es-ES" w:eastAsia="es-ES"/>
        </w:rPr>
        <w:t>No aceptar la sustitución</w:t>
      </w:r>
      <w:r w:rsidRPr="0005341B">
        <w:rPr>
          <w:rFonts w:ascii="Verdana" w:eastAsia="Calibri" w:hAnsi="Verdana" w:cstheme="minorHAnsi"/>
          <w:sz w:val="20"/>
          <w:szCs w:val="20"/>
          <w:lang w:val="es-ES_tradnl" w:eastAsia="es-ES"/>
        </w:rPr>
        <w:t xml:space="preserve"> del perito Alejandro Madrazo Lajous por el señor Javier Treviño Rangel</w:t>
      </w:r>
      <w:r w:rsidRPr="0005341B">
        <w:rPr>
          <w:rFonts w:ascii="Verdana" w:eastAsia="Calibri" w:hAnsi="Verdana" w:cstheme="minorHAnsi"/>
          <w:sz w:val="20"/>
          <w:szCs w:val="20"/>
          <w:lang w:val="es-ES" w:eastAsia="es-ES"/>
        </w:rPr>
        <w:t>, según lo expuesto en los considerandos 24 a 27 de la presente Resolución.</w:t>
      </w:r>
    </w:p>
    <w:p w14:paraId="48184BB6" w14:textId="77777777" w:rsidR="0005341B" w:rsidRPr="0005341B" w:rsidRDefault="0005341B" w:rsidP="00EB1051">
      <w:pPr>
        <w:spacing w:line="240" w:lineRule="auto"/>
        <w:ind w:left="0"/>
        <w:contextualSpacing/>
        <w:rPr>
          <w:rFonts w:ascii="Verdana" w:eastAsia="Calibri" w:hAnsi="Verdana" w:cstheme="minorHAnsi"/>
          <w:sz w:val="20"/>
          <w:szCs w:val="20"/>
          <w:lang w:val="es-ES_tradnl" w:eastAsia="es-ES"/>
        </w:rPr>
      </w:pPr>
    </w:p>
    <w:p w14:paraId="48184BB7" w14:textId="77777777"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heme="minorHAnsi"/>
          <w:sz w:val="20"/>
          <w:szCs w:val="20"/>
          <w:lang w:val="es-ES_tradnl" w:eastAsia="es-ES"/>
        </w:rPr>
      </w:pPr>
      <w:r w:rsidRPr="0005341B">
        <w:rPr>
          <w:rFonts w:ascii="Verdana" w:eastAsia="Calibri" w:hAnsi="Verdana" w:cstheme="minorHAnsi"/>
          <w:sz w:val="20"/>
          <w:szCs w:val="20"/>
          <w:lang w:val="es-ES_tradnl" w:eastAsia="es-ES"/>
        </w:rPr>
        <w:t xml:space="preserve">Admitir el peritaje </w:t>
      </w:r>
      <w:r w:rsidRPr="0005341B">
        <w:rPr>
          <w:rFonts w:ascii="Verdana" w:eastAsia="Calibri" w:hAnsi="Verdana" w:cstheme="minorHAnsi"/>
          <w:sz w:val="20"/>
          <w:szCs w:val="20"/>
          <w:lang w:val="es-CR" w:eastAsia="es-ES"/>
        </w:rPr>
        <w:t>del señor Carlos Rodríguez</w:t>
      </w:r>
      <w:r w:rsidRPr="0005341B">
        <w:rPr>
          <w:rFonts w:ascii="Verdana" w:eastAsia="Calibri" w:hAnsi="Verdana" w:cstheme="minorHAnsi"/>
          <w:b/>
          <w:i/>
          <w:sz w:val="20"/>
          <w:szCs w:val="20"/>
          <w:lang w:val="es-CR" w:eastAsia="es-ES"/>
        </w:rPr>
        <w:t xml:space="preserve"> </w:t>
      </w:r>
      <w:r w:rsidRPr="0005341B">
        <w:rPr>
          <w:rFonts w:ascii="Verdana" w:eastAsia="Calibri" w:hAnsi="Verdana" w:cstheme="minorHAnsi"/>
          <w:sz w:val="20"/>
          <w:szCs w:val="20"/>
          <w:lang w:val="es-CR" w:eastAsia="es-ES"/>
        </w:rPr>
        <w:t>Ulloa, conforme a lo reseñado en los considerandos</w:t>
      </w:r>
      <w:r w:rsidRPr="0005341B">
        <w:rPr>
          <w:rFonts w:ascii="Verdana" w:eastAsia="Calibri" w:hAnsi="Verdana" w:cstheme="minorHAnsi"/>
          <w:sz w:val="20"/>
          <w:szCs w:val="20"/>
          <w:lang w:val="es-ES_tradnl" w:eastAsia="es-ES"/>
        </w:rPr>
        <w:t xml:space="preserve"> 28 a 35 de la presente Resolución.</w:t>
      </w:r>
    </w:p>
    <w:p w14:paraId="48184BB8" w14:textId="77777777" w:rsidR="0005341B" w:rsidRPr="0005341B" w:rsidRDefault="0005341B" w:rsidP="00EB1051">
      <w:pPr>
        <w:spacing w:line="240" w:lineRule="auto"/>
        <w:ind w:left="0"/>
        <w:contextualSpacing/>
        <w:rPr>
          <w:rFonts w:ascii="Verdana" w:eastAsia="Calibri" w:hAnsi="Verdana" w:cstheme="minorHAnsi"/>
          <w:sz w:val="20"/>
          <w:szCs w:val="20"/>
          <w:lang w:val="es-CR" w:eastAsia="es-ES"/>
        </w:rPr>
      </w:pPr>
    </w:p>
    <w:p w14:paraId="48184BB9" w14:textId="77777777"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heme="minorHAnsi"/>
          <w:sz w:val="20"/>
          <w:szCs w:val="20"/>
          <w:lang w:val="es-ES_tradnl" w:eastAsia="es-ES"/>
        </w:rPr>
      </w:pPr>
      <w:r w:rsidRPr="0005341B">
        <w:rPr>
          <w:rFonts w:ascii="Verdana" w:eastAsia="Calibri" w:hAnsi="Verdana" w:cstheme="minorHAnsi"/>
          <w:sz w:val="20"/>
          <w:szCs w:val="20"/>
          <w:lang w:val="es-CR" w:eastAsia="es-ES"/>
        </w:rPr>
        <w:t>Admitir el dictamen del perito Federico Andreu Guzmán,</w:t>
      </w:r>
      <w:r w:rsidRPr="0005341B">
        <w:rPr>
          <w:rFonts w:ascii="Verdana" w:eastAsia="Calibri" w:hAnsi="Verdana" w:cstheme="minorHAnsi"/>
          <w:sz w:val="20"/>
          <w:szCs w:val="20"/>
          <w:lang w:val="es-ES_tradnl" w:eastAsia="es-ES"/>
        </w:rPr>
        <w:t xml:space="preserve"> referido en los considerandos 36 a 38 de la presente Resolución. </w:t>
      </w:r>
    </w:p>
    <w:p w14:paraId="48184BBA" w14:textId="77777777" w:rsidR="0005341B" w:rsidRPr="0005341B" w:rsidRDefault="0005341B" w:rsidP="00EB1051">
      <w:pPr>
        <w:spacing w:line="240" w:lineRule="auto"/>
        <w:ind w:left="0"/>
        <w:contextualSpacing/>
        <w:rPr>
          <w:rFonts w:ascii="Verdana" w:eastAsia="Calibri" w:hAnsi="Verdana" w:cstheme="minorHAnsi"/>
          <w:sz w:val="20"/>
          <w:szCs w:val="20"/>
          <w:lang w:val="es-ES_tradnl" w:eastAsia="es-ES"/>
        </w:rPr>
      </w:pPr>
    </w:p>
    <w:p w14:paraId="48184BBB" w14:textId="77777777"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heme="minorHAnsi"/>
          <w:sz w:val="20"/>
          <w:szCs w:val="20"/>
          <w:lang w:val="es-ES_tradnl" w:eastAsia="es-ES"/>
        </w:rPr>
      </w:pPr>
      <w:r w:rsidRPr="0005341B">
        <w:rPr>
          <w:rFonts w:ascii="Verdana" w:eastAsia="Calibri" w:hAnsi="Verdana" w:cstheme="minorHAnsi"/>
          <w:sz w:val="20"/>
          <w:szCs w:val="20"/>
          <w:lang w:val="es-ES_tradnl" w:eastAsia="es-ES"/>
        </w:rPr>
        <w:t xml:space="preserve">Permitir que la Comisión formule preguntas a la perita señora Gabriella Citroni. No aceptar que la Comisión formule preguntas relacionadas con el peritaje conjunto de las señoras Carolina Robledo Silvestre, Aída Hernández Castillo, Erika Liliana López López y May-Ek Querales Mendoza, del Grupo de Investigaciones en Antropología Social y Forense (GIASF) y no pronunciarse respecto de la solicitud de formular preguntas al perito Javier Treviño Rangel, todo ello según lo expuesto en los considerando 39 a 42 de la presente Resolución. </w:t>
      </w:r>
    </w:p>
    <w:p w14:paraId="48184BBC" w14:textId="77777777" w:rsidR="0005341B" w:rsidRPr="0005341B" w:rsidRDefault="0005341B" w:rsidP="00A579A1">
      <w:pPr>
        <w:spacing w:line="240" w:lineRule="auto"/>
        <w:ind w:left="720"/>
        <w:contextualSpacing/>
        <w:rPr>
          <w:rFonts w:ascii="Verdana" w:eastAsia="Calibri" w:hAnsi="Verdana" w:cstheme="minorHAnsi"/>
          <w:sz w:val="20"/>
          <w:szCs w:val="20"/>
          <w:lang w:val="es-ES_tradnl" w:eastAsia="es-ES"/>
        </w:rPr>
      </w:pPr>
    </w:p>
    <w:p w14:paraId="48184BBD" w14:textId="77777777" w:rsidR="0005341B" w:rsidRPr="0005341B" w:rsidRDefault="0005341B" w:rsidP="00EB1051">
      <w:pPr>
        <w:numPr>
          <w:ilvl w:val="3"/>
          <w:numId w:val="1"/>
        </w:numPr>
        <w:tabs>
          <w:tab w:val="left" w:pos="540"/>
        </w:tabs>
        <w:spacing w:after="0" w:line="240" w:lineRule="auto"/>
        <w:ind w:left="0" w:firstLine="0"/>
        <w:contextualSpacing/>
        <w:rPr>
          <w:rFonts w:ascii="Verdana" w:eastAsia="Calibri" w:hAnsi="Verdana" w:cstheme="minorHAnsi"/>
          <w:sz w:val="20"/>
          <w:szCs w:val="20"/>
          <w:lang w:val="es-ES_tradnl" w:eastAsia="es-ES"/>
        </w:rPr>
      </w:pPr>
      <w:r w:rsidRPr="0005341B">
        <w:rPr>
          <w:rFonts w:ascii="Verdana" w:eastAsia="Calibri" w:hAnsi="Verdana" w:cstheme="minorHAnsi"/>
          <w:sz w:val="20"/>
          <w:szCs w:val="20"/>
          <w:lang w:val="es-ES_tradnl" w:eastAsia="es-ES"/>
        </w:rPr>
        <w:t>Declarar procedente la aplicación del Fondo de Asistencia Legal de Víctimas de la Corte Interamericana, en los términos dispuestos en el párrafo considerativo 43 de esta Resolución.</w:t>
      </w:r>
    </w:p>
    <w:p w14:paraId="48184BBE" w14:textId="77777777" w:rsidR="0005341B" w:rsidRPr="0005341B" w:rsidRDefault="0005341B" w:rsidP="00EB1051">
      <w:pPr>
        <w:tabs>
          <w:tab w:val="left" w:pos="540"/>
        </w:tabs>
        <w:spacing w:line="240" w:lineRule="auto"/>
        <w:ind w:left="0"/>
        <w:contextualSpacing/>
        <w:rPr>
          <w:rFonts w:ascii="Verdana" w:eastAsia="Calibri" w:hAnsi="Verdana" w:cstheme="minorHAnsi"/>
          <w:sz w:val="20"/>
          <w:szCs w:val="20"/>
          <w:lang w:val="es-ES_tradnl" w:eastAsia="es-ES"/>
        </w:rPr>
      </w:pPr>
    </w:p>
    <w:p w14:paraId="48184BBF" w14:textId="77777777" w:rsidR="0005341B" w:rsidRPr="0005341B" w:rsidRDefault="0005341B" w:rsidP="00EB1051">
      <w:pPr>
        <w:numPr>
          <w:ilvl w:val="3"/>
          <w:numId w:val="1"/>
        </w:numPr>
        <w:tabs>
          <w:tab w:val="left" w:pos="540"/>
        </w:tabs>
        <w:spacing w:after="0" w:line="240" w:lineRule="auto"/>
        <w:ind w:left="0" w:firstLine="0"/>
        <w:contextualSpacing/>
        <w:rPr>
          <w:rFonts w:ascii="Verdana" w:eastAsia="Calibri" w:hAnsi="Verdana" w:cstheme="minorHAnsi"/>
          <w:sz w:val="20"/>
          <w:szCs w:val="20"/>
          <w:lang w:val="es-ES_tradnl" w:eastAsia="es-ES"/>
        </w:rPr>
      </w:pPr>
      <w:r w:rsidRPr="0005341B">
        <w:rPr>
          <w:rFonts w:ascii="Verdana" w:eastAsia="Calibri" w:hAnsi="Verdana" w:cstheme="minorHAnsi"/>
          <w:sz w:val="20"/>
          <w:szCs w:val="20"/>
          <w:lang w:val="es-ES_tradnl" w:eastAsia="es-ES"/>
        </w:rPr>
        <w:t xml:space="preserve">Disponer que la asistencia económica indicada en el considerando 43 de esta Resolución, estará asignada para cubrir los gastos de viaje y estadía necesarios para que los testigos María de Jesús Alvarado Espinoza y Jaime Alvarado Herrera, y el perito Salvador Salazar Gutiérrez, comparezcan ante el Tribunal a rendir sus respectivas declaraciones en la audiencia pública por celebrarse en el presente caso, así como, adicionalmente, para los gastos razonables de formalización y envío del affidávit de </w:t>
      </w:r>
      <w:r w:rsidRPr="0005341B">
        <w:rPr>
          <w:rFonts w:ascii="Verdana" w:eastAsia="Calibri" w:hAnsi="Verdana" w:cstheme="minorHAnsi"/>
          <w:sz w:val="20"/>
          <w:szCs w:val="20"/>
          <w:lang w:val="es-CR" w:eastAsia="es-ES"/>
        </w:rPr>
        <w:t>dos</w:t>
      </w:r>
      <w:r w:rsidRPr="0005341B">
        <w:rPr>
          <w:rFonts w:ascii="Verdana" w:eastAsia="Calibri" w:hAnsi="Verdana" w:cstheme="minorHAnsi"/>
          <w:b/>
          <w:sz w:val="20"/>
          <w:szCs w:val="20"/>
          <w:lang w:val="es-CR" w:eastAsia="es-ES"/>
        </w:rPr>
        <w:t xml:space="preserve"> </w:t>
      </w:r>
      <w:r w:rsidRPr="0005341B">
        <w:rPr>
          <w:rFonts w:ascii="Verdana" w:eastAsia="Calibri" w:hAnsi="Verdana" w:cstheme="minorHAnsi"/>
          <w:sz w:val="20"/>
          <w:szCs w:val="20"/>
          <w:lang w:val="es-CR" w:eastAsia="es-ES"/>
        </w:rPr>
        <w:t xml:space="preserve">(2) </w:t>
      </w:r>
      <w:r w:rsidRPr="0005341B">
        <w:rPr>
          <w:rFonts w:ascii="Verdana" w:eastAsia="Calibri" w:hAnsi="Verdana" w:cstheme="minorHAnsi"/>
          <w:sz w:val="20"/>
          <w:szCs w:val="20"/>
          <w:lang w:val="es-ES_tradnl" w:eastAsia="es-ES"/>
        </w:rPr>
        <w:t xml:space="preserve">declarantes propuestos por las representantes, según lo determinen éstas, podrán ser cubiertos con recursos del referido Fondo de Asistencia, debiendo las representantes comunicar a la Corte el nombre de los correspondientes declarantes y remitir la cotización del costo de la formalización de la declaración jurada en el país de residencia de cada uno de ellos y de su envío, en el plazo establecido. </w:t>
      </w:r>
      <w:bookmarkStart w:id="10" w:name="_Ref326591026"/>
    </w:p>
    <w:p w14:paraId="48184BC0" w14:textId="77777777" w:rsidR="0005341B" w:rsidRPr="0005341B" w:rsidRDefault="0005341B" w:rsidP="00A579A1">
      <w:pPr>
        <w:spacing w:line="240" w:lineRule="auto"/>
        <w:ind w:left="720"/>
        <w:contextualSpacing/>
        <w:rPr>
          <w:rFonts w:ascii="Verdana" w:eastAsia="Calibri" w:hAnsi="Verdana" w:cstheme="minorHAnsi"/>
          <w:sz w:val="20"/>
          <w:szCs w:val="20"/>
          <w:lang w:val="es-ES_tradnl" w:eastAsia="es-ES"/>
        </w:rPr>
      </w:pPr>
    </w:p>
    <w:p w14:paraId="48184BC1" w14:textId="77777777"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heme="minorHAnsi"/>
          <w:sz w:val="20"/>
          <w:szCs w:val="20"/>
          <w:lang w:val="es-ES_tradnl" w:eastAsia="es-ES"/>
        </w:rPr>
      </w:pPr>
      <w:r w:rsidRPr="0005341B">
        <w:rPr>
          <w:rFonts w:ascii="Verdana" w:eastAsia="Calibri" w:hAnsi="Verdana" w:cstheme="minorHAnsi"/>
          <w:sz w:val="20"/>
          <w:szCs w:val="20"/>
          <w:lang w:val="es-ES_tradnl" w:eastAsia="es-ES"/>
        </w:rPr>
        <w:t>Disponer la apertura de un expediente de gastos, a cargo de la Secretaría del Tribunal, a los fines de llevar la contabilidad y en el cual se documentará cada una de las erogaciones que se realice en relación con el referido Fondo e informar al Estado acerca de las erogaciones realizadas en aplicación del Fondo de Asistencia Legal, para que presente sus observaciones, si así lo desea, dentro del plazo que se establezca al efecto.</w:t>
      </w:r>
      <w:bookmarkEnd w:id="10"/>
      <w:r w:rsidRPr="0005341B">
        <w:rPr>
          <w:rFonts w:ascii="Verdana" w:eastAsia="Calibri" w:hAnsi="Verdana" w:cstheme="minorHAnsi"/>
          <w:sz w:val="20"/>
          <w:szCs w:val="20"/>
          <w:lang w:val="es-ES_tradnl" w:eastAsia="es-ES"/>
        </w:rPr>
        <w:t xml:space="preserve"> </w:t>
      </w:r>
      <w:bookmarkStart w:id="11" w:name="_Ref230577466"/>
    </w:p>
    <w:p w14:paraId="48184BC2" w14:textId="77777777" w:rsidR="0005341B" w:rsidRPr="0005341B" w:rsidRDefault="0005341B" w:rsidP="00EB1051">
      <w:pPr>
        <w:spacing w:line="240" w:lineRule="auto"/>
        <w:ind w:left="0"/>
        <w:contextualSpacing/>
        <w:rPr>
          <w:rFonts w:ascii="Verdana" w:eastAsia="Calibri" w:hAnsi="Verdana" w:cs="Times"/>
          <w:sz w:val="20"/>
          <w:szCs w:val="20"/>
          <w:lang w:val="es-CR" w:eastAsia="es-ES"/>
        </w:rPr>
      </w:pPr>
    </w:p>
    <w:p w14:paraId="48184BC3" w14:textId="77777777"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imes"/>
          <w:sz w:val="20"/>
          <w:szCs w:val="20"/>
          <w:lang w:val="es-ES_tradnl" w:eastAsia="es-ES"/>
        </w:rPr>
      </w:pPr>
      <w:r w:rsidRPr="0005341B">
        <w:rPr>
          <w:rFonts w:ascii="Verdana" w:eastAsia="Calibri" w:hAnsi="Verdana" w:cs="Times"/>
          <w:sz w:val="20"/>
          <w:szCs w:val="20"/>
          <w:lang w:val="es-CR" w:eastAsia="es-ES"/>
        </w:rPr>
        <w:t xml:space="preserve">Convocar al Estado, a las representantes y a la Comisión Interamericana a una audiencia pública que se celebrará los días 26 y 27 de abril de 2018, a partir de las 9:00 horas del día 26, durante el 123 Período Ordinario de Sesiones, </w:t>
      </w:r>
      <w:r w:rsidRPr="0005341B">
        <w:rPr>
          <w:rFonts w:ascii="Verdana" w:eastAsia="Calibri" w:hAnsi="Verdana" w:cs="Times"/>
          <w:sz w:val="20"/>
          <w:szCs w:val="20"/>
          <w:lang w:val="es-ES_tradnl" w:eastAsia="es-ES"/>
        </w:rPr>
        <w:t>la cual se llevará a cabo en la sede de la Corte en San José de Costa Rica</w:t>
      </w:r>
      <w:r w:rsidRPr="0005341B">
        <w:rPr>
          <w:rFonts w:ascii="Verdana" w:eastAsia="Calibri" w:hAnsi="Verdana" w:cs="Times"/>
          <w:sz w:val="20"/>
          <w:szCs w:val="20"/>
          <w:lang w:val="es-CR" w:eastAsia="es-ES"/>
        </w:rPr>
        <w:t xml:space="preserve">, para recibir sus alegatos y observaciones finales orales sobre el fondo, y eventuales reparaciones y costas, así como las declaraciones </w:t>
      </w:r>
      <w:bookmarkEnd w:id="11"/>
      <w:r w:rsidRPr="0005341B">
        <w:rPr>
          <w:rFonts w:ascii="Verdana" w:eastAsia="Calibri" w:hAnsi="Verdana" w:cs="Times"/>
          <w:sz w:val="20"/>
          <w:szCs w:val="20"/>
          <w:lang w:val="es-CR" w:eastAsia="es-ES"/>
        </w:rPr>
        <w:t xml:space="preserve">de las siguientes personas:   </w:t>
      </w:r>
    </w:p>
    <w:p w14:paraId="48184BC4" w14:textId="77777777" w:rsidR="0005341B" w:rsidRPr="0005341B" w:rsidRDefault="0005341B" w:rsidP="00A579A1">
      <w:pPr>
        <w:spacing w:line="240" w:lineRule="auto"/>
        <w:ind w:left="720"/>
        <w:contextualSpacing/>
        <w:rPr>
          <w:rFonts w:ascii="Verdana" w:eastAsia="Calibri" w:hAnsi="Verdana" w:cs="Times"/>
          <w:i/>
          <w:sz w:val="20"/>
          <w:szCs w:val="20"/>
          <w:lang w:val="es-CR" w:eastAsia="es-ES"/>
        </w:rPr>
      </w:pPr>
    </w:p>
    <w:p w14:paraId="48184BC5" w14:textId="77777777" w:rsidR="0005341B" w:rsidRPr="0005341B" w:rsidRDefault="0005341B" w:rsidP="00A579A1">
      <w:pPr>
        <w:numPr>
          <w:ilvl w:val="1"/>
          <w:numId w:val="2"/>
        </w:numPr>
        <w:tabs>
          <w:tab w:val="left" w:pos="567"/>
        </w:tabs>
        <w:spacing w:after="0" w:line="240" w:lineRule="auto"/>
        <w:ind w:left="1494"/>
        <w:contextualSpacing/>
        <w:rPr>
          <w:rFonts w:ascii="Verdana" w:eastAsia="Calibri" w:hAnsi="Verdana" w:cs="Times"/>
          <w:sz w:val="20"/>
          <w:szCs w:val="20"/>
          <w:lang w:val="es-ES_tradnl" w:eastAsia="es-ES"/>
        </w:rPr>
      </w:pPr>
      <w:r w:rsidRPr="0005341B">
        <w:rPr>
          <w:rFonts w:ascii="Verdana" w:eastAsia="Calibri" w:hAnsi="Verdana" w:cs="Times"/>
          <w:i/>
          <w:sz w:val="20"/>
          <w:szCs w:val="20"/>
          <w:lang w:val="es-CR" w:eastAsia="es-ES"/>
        </w:rPr>
        <w:t>Declarantes como presuntas víctimas (propuestos por las representantes)</w:t>
      </w:r>
    </w:p>
    <w:p w14:paraId="48184BC6" w14:textId="77777777" w:rsidR="0005341B" w:rsidRPr="0005341B" w:rsidRDefault="0005341B" w:rsidP="00A579A1">
      <w:pPr>
        <w:tabs>
          <w:tab w:val="left" w:pos="567"/>
        </w:tabs>
        <w:spacing w:after="0" w:line="240" w:lineRule="auto"/>
        <w:ind w:left="0"/>
        <w:rPr>
          <w:rFonts w:ascii="Verdana" w:eastAsia="MS Mincho" w:hAnsi="Verdana"/>
          <w:i/>
          <w:sz w:val="20"/>
          <w:szCs w:val="20"/>
          <w:lang w:val="es-CR"/>
        </w:rPr>
      </w:pPr>
    </w:p>
    <w:p w14:paraId="48184BC7" w14:textId="4BDBD2BB" w:rsidR="0005341B" w:rsidRPr="0005341B" w:rsidRDefault="0005341B" w:rsidP="00A579A1">
      <w:pPr>
        <w:numPr>
          <w:ilvl w:val="8"/>
          <w:numId w:val="3"/>
        </w:numPr>
        <w:tabs>
          <w:tab w:val="left" w:pos="567"/>
          <w:tab w:val="left" w:pos="1134"/>
        </w:tabs>
        <w:autoSpaceDE w:val="0"/>
        <w:autoSpaceDN w:val="0"/>
        <w:adjustRightInd w:val="0"/>
        <w:spacing w:after="0" w:line="240" w:lineRule="auto"/>
        <w:ind w:left="850"/>
        <w:contextualSpacing/>
        <w:rPr>
          <w:rFonts w:ascii="Verdana" w:eastAsia="Calibri" w:hAnsi="Verdana" w:cstheme="minorHAnsi"/>
          <w:b/>
          <w:sz w:val="20"/>
          <w:szCs w:val="20"/>
          <w:lang w:val="es-CR" w:eastAsia="es-ES"/>
        </w:rPr>
      </w:pPr>
      <w:r w:rsidRPr="0005341B">
        <w:rPr>
          <w:rFonts w:ascii="Verdana" w:eastAsia="Calibri" w:hAnsi="Verdana" w:cs="Times"/>
          <w:i/>
          <w:sz w:val="20"/>
          <w:szCs w:val="20"/>
          <w:lang w:val="es-ES_tradnl" w:eastAsia="es-ES"/>
        </w:rPr>
        <w:t>María de Jesús Alvarado Espinoza (hermana de Nitza Paola Alvarado Espinoza)</w:t>
      </w:r>
      <w:r w:rsidRPr="0005341B">
        <w:rPr>
          <w:rFonts w:ascii="Verdana" w:eastAsia="Calibri" w:hAnsi="Verdana" w:cs="Times"/>
          <w:sz w:val="20"/>
          <w:szCs w:val="20"/>
          <w:lang w:val="es-CR" w:eastAsia="es-ES"/>
        </w:rPr>
        <w:t>,</w:t>
      </w:r>
      <w:r w:rsidRPr="0005341B">
        <w:rPr>
          <w:rFonts w:ascii="Verdana" w:eastAsia="Calibri" w:hAnsi="Verdana" w:cs="Times"/>
          <w:sz w:val="20"/>
          <w:szCs w:val="20"/>
          <w:lang w:val="es-ES" w:eastAsia="es-ES"/>
        </w:rPr>
        <w:t xml:space="preserve"> quien declarará sobre: </w:t>
      </w:r>
      <w:r w:rsidRPr="0005341B">
        <w:rPr>
          <w:rFonts w:ascii="Verdana" w:eastAsia="Calibri" w:hAnsi="Verdana" w:cstheme="minorHAnsi"/>
          <w:sz w:val="20"/>
          <w:szCs w:val="20"/>
          <w:lang w:val="es-CR" w:eastAsia="es-ES"/>
        </w:rPr>
        <w:t>A</w:t>
      </w:r>
      <w:r w:rsidRPr="0005341B">
        <w:rPr>
          <w:rFonts w:ascii="Verdana" w:eastAsia="Calibri" w:hAnsi="Verdana" w:cs="Times"/>
          <w:sz w:val="20"/>
          <w:szCs w:val="20"/>
          <w:lang w:val="es-CR" w:eastAsia="es-ES"/>
        </w:rPr>
        <w:t xml:space="preserve">) los hechos que le constan relacionados con el caso; </w:t>
      </w:r>
      <w:r w:rsidRPr="0005341B">
        <w:rPr>
          <w:rFonts w:ascii="Verdana" w:eastAsia="Calibri" w:hAnsi="Verdana" w:cstheme="minorHAnsi"/>
          <w:sz w:val="20"/>
          <w:szCs w:val="20"/>
          <w:lang w:val="es-CR" w:eastAsia="es-ES"/>
        </w:rPr>
        <w:t xml:space="preserve">B) </w:t>
      </w:r>
      <w:r w:rsidRPr="0005341B">
        <w:rPr>
          <w:rFonts w:ascii="Verdana" w:eastAsia="Calibri" w:hAnsi="Verdana" w:cstheme="minorHAnsi"/>
          <w:sz w:val="20"/>
          <w:szCs w:val="20"/>
          <w:lang w:val="es-ES_tradnl" w:eastAsia="es-ES"/>
        </w:rPr>
        <w:t xml:space="preserve">las consecuencias que las alegadas violaciones de derechos humanos han tenido para su vida privada y familiar en el presente caso; C) </w:t>
      </w:r>
      <w:r w:rsidRPr="0005341B">
        <w:rPr>
          <w:rFonts w:ascii="Verdana" w:eastAsia="Calibri" w:hAnsi="Verdana" w:cstheme="minorHAnsi"/>
          <w:sz w:val="20"/>
          <w:szCs w:val="20"/>
          <w:lang w:val="es-MX" w:eastAsia="es-ES"/>
        </w:rPr>
        <w:t>las acciones de búsqueda de sus familiares</w:t>
      </w:r>
      <w:r w:rsidR="006144DA">
        <w:rPr>
          <w:rFonts w:ascii="Verdana" w:eastAsia="Calibri" w:hAnsi="Verdana" w:cstheme="minorHAnsi"/>
          <w:sz w:val="20"/>
          <w:szCs w:val="20"/>
          <w:lang w:val="es-MX" w:eastAsia="es-ES"/>
        </w:rPr>
        <w:t>;</w:t>
      </w:r>
      <w:r w:rsidRPr="0005341B">
        <w:rPr>
          <w:rFonts w:ascii="Verdana" w:eastAsia="Calibri" w:hAnsi="Verdana" w:cstheme="minorHAnsi"/>
          <w:sz w:val="20"/>
          <w:szCs w:val="20"/>
          <w:lang w:val="es-MX" w:eastAsia="es-ES"/>
        </w:rPr>
        <w:t xml:space="preserve"> D) la exigencia de justicia</w:t>
      </w:r>
      <w:r w:rsidR="006144DA">
        <w:rPr>
          <w:rFonts w:ascii="Verdana" w:eastAsia="Calibri" w:hAnsi="Verdana" w:cstheme="minorHAnsi"/>
          <w:sz w:val="20"/>
          <w:szCs w:val="20"/>
          <w:lang w:val="es-MX" w:eastAsia="es-ES"/>
        </w:rPr>
        <w:t>,</w:t>
      </w:r>
      <w:r w:rsidRPr="0005341B">
        <w:rPr>
          <w:rFonts w:ascii="Verdana" w:eastAsia="Calibri" w:hAnsi="Verdana" w:cstheme="minorHAnsi"/>
          <w:sz w:val="20"/>
          <w:szCs w:val="20"/>
          <w:lang w:val="es-MX" w:eastAsia="es-ES"/>
        </w:rPr>
        <w:t xml:space="preserve"> y E) los alegados actos de hostigamiento, amenazas y violencia en contra de su núcleo familiar.</w:t>
      </w:r>
    </w:p>
    <w:p w14:paraId="48184BC8" w14:textId="77777777" w:rsidR="0005341B" w:rsidRPr="0005341B" w:rsidRDefault="0005341B" w:rsidP="00A579A1">
      <w:pPr>
        <w:tabs>
          <w:tab w:val="left" w:pos="567"/>
          <w:tab w:val="left" w:pos="1134"/>
        </w:tabs>
        <w:autoSpaceDE w:val="0"/>
        <w:autoSpaceDN w:val="0"/>
        <w:adjustRightInd w:val="0"/>
        <w:spacing w:after="0" w:line="240" w:lineRule="auto"/>
        <w:ind w:left="850"/>
        <w:contextualSpacing/>
        <w:rPr>
          <w:rFonts w:ascii="Verdana" w:eastAsia="Calibri" w:hAnsi="Verdana" w:cs="Times"/>
          <w:b/>
          <w:sz w:val="20"/>
          <w:szCs w:val="20"/>
          <w:lang w:val="es-CR" w:eastAsia="es-ES"/>
        </w:rPr>
      </w:pPr>
    </w:p>
    <w:p w14:paraId="48184BC9" w14:textId="7F25BED5" w:rsidR="0005341B" w:rsidRPr="0005341B" w:rsidRDefault="0005341B" w:rsidP="00A579A1">
      <w:pPr>
        <w:numPr>
          <w:ilvl w:val="8"/>
          <w:numId w:val="3"/>
        </w:numPr>
        <w:tabs>
          <w:tab w:val="left" w:pos="567"/>
          <w:tab w:val="left" w:pos="1134"/>
        </w:tabs>
        <w:autoSpaceDE w:val="0"/>
        <w:autoSpaceDN w:val="0"/>
        <w:adjustRightInd w:val="0"/>
        <w:spacing w:after="0" w:line="240" w:lineRule="auto"/>
        <w:ind w:left="850"/>
        <w:contextualSpacing/>
        <w:rPr>
          <w:rFonts w:ascii="Verdana" w:eastAsia="Calibri" w:hAnsi="Verdana" w:cs="Times"/>
          <w:sz w:val="20"/>
          <w:szCs w:val="20"/>
          <w:lang w:val="es-ES" w:eastAsia="es-ES"/>
        </w:rPr>
      </w:pPr>
      <w:r w:rsidRPr="0005341B">
        <w:rPr>
          <w:rFonts w:ascii="Verdana" w:eastAsia="Calibri" w:hAnsi="Verdana" w:cs="Times"/>
          <w:i/>
          <w:sz w:val="20"/>
          <w:szCs w:val="20"/>
          <w:lang w:val="es-CR" w:eastAsia="es-ES"/>
        </w:rPr>
        <w:t>Jaime Alvarado Herrera (hermano de José Angel Alvarado Herrera)</w:t>
      </w:r>
      <w:r w:rsidRPr="0005341B">
        <w:rPr>
          <w:rFonts w:ascii="Verdana" w:eastAsia="Calibri" w:hAnsi="Verdana" w:cstheme="minorHAnsi"/>
          <w:sz w:val="20"/>
          <w:szCs w:val="20"/>
          <w:lang w:val="es-CR" w:eastAsia="es-ES"/>
        </w:rPr>
        <w:t>, quien declarará sobre: A) los hechos que le constan relacionados con el caso; B</w:t>
      </w:r>
      <w:r w:rsidRPr="0005341B">
        <w:rPr>
          <w:rFonts w:ascii="Verdana" w:eastAsia="Calibri" w:hAnsi="Verdana" w:cs="Times"/>
          <w:sz w:val="20"/>
          <w:szCs w:val="20"/>
          <w:lang w:val="es-CR" w:eastAsia="es-ES"/>
        </w:rPr>
        <w:t xml:space="preserve">) </w:t>
      </w:r>
      <w:r w:rsidRPr="0005341B">
        <w:rPr>
          <w:rFonts w:ascii="Verdana" w:eastAsia="Calibri" w:hAnsi="Verdana" w:cs="Times"/>
          <w:sz w:val="20"/>
          <w:szCs w:val="20"/>
          <w:lang w:val="es-MX" w:eastAsia="es-ES"/>
        </w:rPr>
        <w:t>las consecuencias que las alegadas violaciones de derechos humanos han tenido para su vida privada y familiar en el presente caso</w:t>
      </w:r>
      <w:r w:rsidRPr="0005341B">
        <w:rPr>
          <w:rFonts w:ascii="Verdana" w:eastAsia="Calibri" w:hAnsi="Verdana" w:cstheme="minorHAnsi"/>
          <w:sz w:val="20"/>
          <w:szCs w:val="20"/>
          <w:lang w:val="es-MX" w:eastAsia="es-ES"/>
        </w:rPr>
        <w:t>, C)</w:t>
      </w:r>
      <w:r w:rsidRPr="0005341B">
        <w:rPr>
          <w:rFonts w:ascii="Verdana" w:eastAsia="Calibri" w:hAnsi="Verdana" w:cs="Times"/>
          <w:sz w:val="20"/>
          <w:szCs w:val="20"/>
          <w:lang w:val="es-ES_tradnl" w:eastAsia="es-ES"/>
        </w:rPr>
        <w:t xml:space="preserve"> las acciones de búsqueda de sus familiares</w:t>
      </w:r>
      <w:r w:rsidR="006144DA">
        <w:rPr>
          <w:rFonts w:ascii="Verdana" w:eastAsia="Calibri" w:hAnsi="Verdana" w:cs="Times"/>
          <w:sz w:val="20"/>
          <w:szCs w:val="20"/>
          <w:lang w:val="es-ES_tradnl" w:eastAsia="es-ES"/>
        </w:rPr>
        <w:t>;</w:t>
      </w:r>
      <w:r w:rsidRPr="0005341B">
        <w:rPr>
          <w:rFonts w:ascii="Verdana" w:eastAsia="Calibri" w:hAnsi="Verdana" w:cs="Times"/>
          <w:sz w:val="20"/>
          <w:szCs w:val="20"/>
          <w:lang w:val="es-ES_tradnl" w:eastAsia="es-ES"/>
        </w:rPr>
        <w:t xml:space="preserve"> </w:t>
      </w:r>
      <w:r w:rsidRPr="0005341B">
        <w:rPr>
          <w:rFonts w:ascii="Verdana" w:eastAsia="Calibri" w:hAnsi="Verdana" w:cstheme="minorHAnsi"/>
          <w:sz w:val="20"/>
          <w:szCs w:val="20"/>
          <w:lang w:val="es-MX" w:eastAsia="es-ES"/>
        </w:rPr>
        <w:t xml:space="preserve">D) </w:t>
      </w:r>
      <w:r w:rsidRPr="0005341B">
        <w:rPr>
          <w:rFonts w:ascii="Verdana" w:eastAsia="Calibri" w:hAnsi="Verdana" w:cs="Times"/>
          <w:sz w:val="20"/>
          <w:szCs w:val="20"/>
          <w:lang w:val="es-ES_tradnl" w:eastAsia="es-ES"/>
        </w:rPr>
        <w:t>la exigencia de justicia</w:t>
      </w:r>
      <w:r w:rsidR="006144DA">
        <w:rPr>
          <w:rFonts w:ascii="Verdana" w:eastAsia="Calibri" w:hAnsi="Verdana" w:cs="Times"/>
          <w:sz w:val="20"/>
          <w:szCs w:val="20"/>
          <w:lang w:val="es-ES_tradnl" w:eastAsia="es-ES"/>
        </w:rPr>
        <w:t>,</w:t>
      </w:r>
      <w:r w:rsidRPr="0005341B">
        <w:rPr>
          <w:rFonts w:ascii="Verdana" w:eastAsia="Calibri" w:hAnsi="Verdana" w:cs="Times"/>
          <w:sz w:val="20"/>
          <w:szCs w:val="20"/>
          <w:lang w:val="es-ES_tradnl" w:eastAsia="es-ES"/>
        </w:rPr>
        <w:t xml:space="preserve"> y </w:t>
      </w:r>
      <w:r w:rsidRPr="0005341B">
        <w:rPr>
          <w:rFonts w:ascii="Verdana" w:eastAsia="Calibri" w:hAnsi="Verdana" w:cstheme="minorHAnsi"/>
          <w:sz w:val="20"/>
          <w:szCs w:val="20"/>
          <w:lang w:val="es-MX" w:eastAsia="es-ES"/>
        </w:rPr>
        <w:t xml:space="preserve">E) </w:t>
      </w:r>
      <w:r w:rsidRPr="0005341B">
        <w:rPr>
          <w:rFonts w:ascii="Verdana" w:eastAsia="Calibri" w:hAnsi="Verdana" w:cs="Times"/>
          <w:sz w:val="20"/>
          <w:szCs w:val="20"/>
          <w:lang w:val="es-ES_tradnl" w:eastAsia="es-ES"/>
        </w:rPr>
        <w:t xml:space="preserve">los alegados actos de hostigamiento, amenazas y violencia en contra de su </w:t>
      </w:r>
      <w:r w:rsidRPr="0005341B">
        <w:rPr>
          <w:rFonts w:ascii="Verdana" w:eastAsia="Calibri" w:hAnsi="Verdana" w:cstheme="minorHAnsi"/>
          <w:sz w:val="20"/>
          <w:szCs w:val="20"/>
          <w:lang w:val="es-MX" w:eastAsia="es-ES"/>
        </w:rPr>
        <w:t>núcleo</w:t>
      </w:r>
      <w:r w:rsidRPr="0005341B">
        <w:rPr>
          <w:rFonts w:ascii="Verdana" w:eastAsia="Calibri" w:hAnsi="Verdana" w:cs="Times"/>
          <w:sz w:val="20"/>
          <w:szCs w:val="20"/>
          <w:lang w:val="es-MX" w:eastAsia="es-ES"/>
        </w:rPr>
        <w:t xml:space="preserve"> familiar por la exigencia de verdad y justicia en el presente caso.</w:t>
      </w:r>
    </w:p>
    <w:p w14:paraId="48184BCA" w14:textId="77777777" w:rsidR="0005341B" w:rsidRPr="0005341B" w:rsidRDefault="0005341B" w:rsidP="00A579A1">
      <w:pPr>
        <w:tabs>
          <w:tab w:val="left" w:pos="567"/>
          <w:tab w:val="left" w:pos="1134"/>
        </w:tabs>
        <w:autoSpaceDE w:val="0"/>
        <w:autoSpaceDN w:val="0"/>
        <w:adjustRightInd w:val="0"/>
        <w:spacing w:after="0" w:line="240" w:lineRule="auto"/>
        <w:ind w:left="0"/>
        <w:contextualSpacing/>
        <w:rPr>
          <w:rFonts w:ascii="Verdana" w:eastAsia="Calibri" w:hAnsi="Verdana" w:cs="Times"/>
          <w:b/>
          <w:sz w:val="20"/>
          <w:szCs w:val="20"/>
          <w:lang w:val="es-ES" w:eastAsia="es-ES"/>
        </w:rPr>
      </w:pPr>
    </w:p>
    <w:p w14:paraId="48184BCB" w14:textId="77777777" w:rsidR="0005341B" w:rsidRPr="0005341B" w:rsidRDefault="0005341B" w:rsidP="00A579A1">
      <w:pPr>
        <w:numPr>
          <w:ilvl w:val="1"/>
          <w:numId w:val="2"/>
        </w:numPr>
        <w:tabs>
          <w:tab w:val="left" w:pos="567"/>
          <w:tab w:val="left" w:pos="1134"/>
        </w:tabs>
        <w:autoSpaceDE w:val="0"/>
        <w:autoSpaceDN w:val="0"/>
        <w:adjustRightInd w:val="0"/>
        <w:spacing w:after="0" w:line="240" w:lineRule="auto"/>
        <w:ind w:left="1494"/>
        <w:contextualSpacing/>
        <w:rPr>
          <w:rFonts w:ascii="Verdana" w:eastAsia="Calibri" w:hAnsi="Verdana" w:cs="Times"/>
          <w:i/>
          <w:sz w:val="20"/>
          <w:szCs w:val="20"/>
          <w:lang w:val="es-ES" w:eastAsia="es-ES"/>
        </w:rPr>
      </w:pPr>
      <w:r w:rsidRPr="0005341B">
        <w:rPr>
          <w:rFonts w:ascii="Verdana" w:eastAsia="Calibri" w:hAnsi="Verdana" w:cs="Times"/>
          <w:i/>
          <w:sz w:val="20"/>
          <w:szCs w:val="20"/>
          <w:lang w:val="es-ES" w:eastAsia="es-ES"/>
        </w:rPr>
        <w:t>Testigo (propuesta por el Estado)</w:t>
      </w:r>
    </w:p>
    <w:p w14:paraId="48184BCC" w14:textId="77777777" w:rsidR="0005341B" w:rsidRPr="0005341B" w:rsidRDefault="0005341B" w:rsidP="00A579A1">
      <w:pPr>
        <w:tabs>
          <w:tab w:val="left" w:pos="567"/>
          <w:tab w:val="left" w:pos="1134"/>
        </w:tabs>
        <w:autoSpaceDE w:val="0"/>
        <w:autoSpaceDN w:val="0"/>
        <w:adjustRightInd w:val="0"/>
        <w:spacing w:after="0" w:line="276" w:lineRule="auto"/>
        <w:ind w:left="0"/>
        <w:rPr>
          <w:rFonts w:ascii="Verdana" w:eastAsia="MS Mincho" w:hAnsi="Verdana"/>
          <w:i/>
          <w:sz w:val="20"/>
          <w:szCs w:val="20"/>
          <w:lang w:val="es-ES"/>
        </w:rPr>
      </w:pPr>
    </w:p>
    <w:p w14:paraId="48184BCD" w14:textId="569E9B7E" w:rsidR="0005341B" w:rsidRPr="0005341B" w:rsidRDefault="0005341B" w:rsidP="00A579A1">
      <w:pPr>
        <w:numPr>
          <w:ilvl w:val="0"/>
          <w:numId w:val="4"/>
        </w:numPr>
        <w:tabs>
          <w:tab w:val="left" w:pos="1170"/>
        </w:tabs>
        <w:autoSpaceDE w:val="0"/>
        <w:autoSpaceDN w:val="0"/>
        <w:adjustRightInd w:val="0"/>
        <w:spacing w:after="0" w:line="240" w:lineRule="auto"/>
        <w:ind w:left="1210"/>
        <w:contextualSpacing/>
        <w:rPr>
          <w:rFonts w:ascii="Verdana" w:eastAsia="Calibri" w:hAnsi="Verdana" w:cs="Times"/>
          <w:i/>
          <w:sz w:val="20"/>
          <w:szCs w:val="20"/>
          <w:lang w:val="es-ES" w:eastAsia="es-ES"/>
        </w:rPr>
      </w:pPr>
      <w:r w:rsidRPr="0005341B">
        <w:rPr>
          <w:rFonts w:ascii="Verdana" w:eastAsia="Calibri" w:hAnsi="Verdana" w:cs="Times"/>
          <w:i/>
          <w:sz w:val="20"/>
          <w:szCs w:val="20"/>
          <w:lang w:val="es-ES" w:eastAsia="es-ES"/>
        </w:rPr>
        <w:t>Mariana Colín Ayala (</w:t>
      </w:r>
      <w:r w:rsidRPr="0005341B">
        <w:rPr>
          <w:rFonts w:ascii="Verdana" w:eastAsia="Calibri" w:hAnsi="Verdana" w:cs="Times"/>
          <w:i/>
          <w:sz w:val="20"/>
          <w:szCs w:val="20"/>
          <w:lang w:val="es-ES_tradnl" w:eastAsia="es-ES"/>
        </w:rPr>
        <w:t>Agente del Ministerio Público a cargo de la averiguación previa en conocimiento de los hechos del caso</w:t>
      </w:r>
      <w:r w:rsidRPr="0005341B">
        <w:rPr>
          <w:rFonts w:ascii="Verdana" w:eastAsia="Calibri" w:hAnsi="Verdana" w:cs="Times"/>
          <w:i/>
          <w:sz w:val="20"/>
          <w:szCs w:val="20"/>
          <w:lang w:val="es-ES" w:eastAsia="es-ES"/>
        </w:rPr>
        <w:t>)</w:t>
      </w:r>
      <w:r w:rsidRPr="0005341B">
        <w:rPr>
          <w:rFonts w:ascii="Verdana" w:eastAsia="Calibri" w:hAnsi="Verdana" w:cs="Times"/>
          <w:sz w:val="20"/>
          <w:szCs w:val="20"/>
          <w:lang w:val="es-ES" w:eastAsia="es-ES"/>
        </w:rPr>
        <w:t xml:space="preserve">, quien declarará sobre </w:t>
      </w:r>
      <w:r w:rsidRPr="0005341B">
        <w:rPr>
          <w:rFonts w:ascii="Verdana" w:eastAsia="Calibri" w:hAnsi="Verdana" w:cs="Times"/>
          <w:sz w:val="20"/>
          <w:szCs w:val="20"/>
          <w:lang w:val="es-ES_tradnl" w:eastAsia="es-ES"/>
        </w:rPr>
        <w:t>el estado que guarda la averiguación previa que actualmente se encuentra en desarrollo a nivel interno</w:t>
      </w:r>
      <w:r w:rsidRPr="0005341B">
        <w:rPr>
          <w:rFonts w:ascii="Verdana" w:eastAsia="Calibri" w:hAnsi="Verdana" w:cs="Times"/>
          <w:i/>
          <w:sz w:val="20"/>
          <w:szCs w:val="20"/>
          <w:lang w:val="es-ES" w:eastAsia="es-ES"/>
        </w:rPr>
        <w:t xml:space="preserve"> </w:t>
      </w:r>
      <w:r w:rsidRPr="0005341B">
        <w:rPr>
          <w:rFonts w:ascii="Verdana" w:eastAsia="Calibri" w:hAnsi="Verdana" w:cs="Times"/>
          <w:sz w:val="20"/>
          <w:szCs w:val="20"/>
          <w:lang w:val="es-ES_tradnl" w:eastAsia="es-ES"/>
        </w:rPr>
        <w:t>con relación a los hechos del presente caso, y que se encuentra a cargo de la Subprocuraduría de Derechos Humanos, Prevención del Delito y Servicios a la Comunidad de la Procuraduría General de la República</w:t>
      </w:r>
      <w:r w:rsidRPr="0005341B">
        <w:rPr>
          <w:rFonts w:ascii="Verdana" w:eastAsia="Calibri" w:hAnsi="Verdana" w:cstheme="minorHAnsi"/>
          <w:sz w:val="20"/>
          <w:szCs w:val="20"/>
          <w:lang w:val="es-ES_tradnl" w:eastAsia="es-ES"/>
        </w:rPr>
        <w:t>, pudiendo la</w:t>
      </w:r>
      <w:r w:rsidRPr="0005341B">
        <w:rPr>
          <w:rFonts w:ascii="Verdana" w:eastAsia="Calibri" w:hAnsi="Verdana" w:cs="Times"/>
          <w:sz w:val="20"/>
          <w:szCs w:val="20"/>
          <w:lang w:val="es-ES_tradnl" w:eastAsia="es-ES"/>
        </w:rPr>
        <w:t xml:space="preserve"> declarante podrá referirse al estado que guardan las tres líneas de investigación seguidas en la averiguación previa, así como sobre las diligencias pendientes de realizar. </w:t>
      </w:r>
    </w:p>
    <w:p w14:paraId="48184BCE" w14:textId="77777777" w:rsidR="0005341B" w:rsidRPr="0005341B" w:rsidRDefault="0005341B" w:rsidP="00A579A1">
      <w:pPr>
        <w:tabs>
          <w:tab w:val="left" w:pos="567"/>
          <w:tab w:val="left" w:pos="1134"/>
        </w:tabs>
        <w:autoSpaceDE w:val="0"/>
        <w:autoSpaceDN w:val="0"/>
        <w:adjustRightInd w:val="0"/>
        <w:spacing w:after="0" w:line="240" w:lineRule="auto"/>
        <w:ind w:left="0"/>
        <w:rPr>
          <w:rFonts w:ascii="Verdana" w:eastAsia="MS Mincho" w:hAnsi="Verdana"/>
          <w:sz w:val="20"/>
          <w:szCs w:val="20"/>
          <w:lang w:val="es-ES"/>
        </w:rPr>
      </w:pPr>
    </w:p>
    <w:p w14:paraId="48184BCF" w14:textId="77777777" w:rsidR="0005341B" w:rsidRPr="0005341B" w:rsidRDefault="0005341B" w:rsidP="00A579A1">
      <w:pPr>
        <w:numPr>
          <w:ilvl w:val="1"/>
          <w:numId w:val="3"/>
        </w:numPr>
        <w:tabs>
          <w:tab w:val="left" w:pos="567"/>
          <w:tab w:val="left" w:pos="1134"/>
        </w:tabs>
        <w:autoSpaceDE w:val="0"/>
        <w:autoSpaceDN w:val="0"/>
        <w:adjustRightInd w:val="0"/>
        <w:spacing w:after="0" w:line="240" w:lineRule="auto"/>
        <w:ind w:left="1494"/>
        <w:contextualSpacing/>
        <w:rPr>
          <w:rFonts w:ascii="Verdana" w:eastAsia="Calibri" w:hAnsi="Verdana" w:cs="Times"/>
          <w:b/>
          <w:i/>
          <w:sz w:val="20"/>
          <w:szCs w:val="20"/>
          <w:lang w:val="es-CR" w:eastAsia="es-ES"/>
        </w:rPr>
      </w:pPr>
      <w:r w:rsidRPr="0005341B">
        <w:rPr>
          <w:rFonts w:ascii="Verdana" w:eastAsia="Calibri" w:hAnsi="Verdana" w:cs="Times"/>
          <w:i/>
          <w:sz w:val="20"/>
          <w:szCs w:val="20"/>
          <w:lang w:val="es-CR" w:eastAsia="es-ES"/>
        </w:rPr>
        <w:t xml:space="preserve">Perito (propuesto por las representantes) </w:t>
      </w:r>
    </w:p>
    <w:p w14:paraId="48184BD0" w14:textId="77777777" w:rsidR="0005341B" w:rsidRPr="0005341B" w:rsidRDefault="0005341B" w:rsidP="00A579A1">
      <w:pPr>
        <w:tabs>
          <w:tab w:val="left" w:pos="567"/>
          <w:tab w:val="left" w:pos="1134"/>
        </w:tabs>
        <w:autoSpaceDE w:val="0"/>
        <w:autoSpaceDN w:val="0"/>
        <w:adjustRightInd w:val="0"/>
        <w:spacing w:after="0" w:line="240" w:lineRule="auto"/>
        <w:ind w:left="0"/>
        <w:rPr>
          <w:rFonts w:ascii="Verdana" w:eastAsia="MS Mincho" w:hAnsi="Verdana"/>
          <w:sz w:val="20"/>
          <w:szCs w:val="20"/>
          <w:lang w:val="es-ES"/>
        </w:rPr>
      </w:pPr>
    </w:p>
    <w:p w14:paraId="48184BD1" w14:textId="4C089CB4" w:rsidR="0005341B" w:rsidRPr="0005341B" w:rsidRDefault="0005341B" w:rsidP="00A579A1">
      <w:pPr>
        <w:numPr>
          <w:ilvl w:val="0"/>
          <w:numId w:val="6"/>
        </w:numPr>
        <w:tabs>
          <w:tab w:val="left" w:pos="540"/>
          <w:tab w:val="left" w:pos="1170"/>
        </w:tabs>
        <w:autoSpaceDE w:val="0"/>
        <w:autoSpaceDN w:val="0"/>
        <w:adjustRightInd w:val="0"/>
        <w:spacing w:after="0" w:line="240" w:lineRule="auto"/>
        <w:contextualSpacing/>
        <w:rPr>
          <w:rFonts w:ascii="Verdana" w:eastAsia="Calibri" w:hAnsi="Verdana" w:cs="Times"/>
          <w:sz w:val="20"/>
          <w:szCs w:val="20"/>
          <w:lang w:val="es-ES_tradnl" w:eastAsia="es-ES"/>
        </w:rPr>
      </w:pPr>
      <w:r w:rsidRPr="0005341B">
        <w:rPr>
          <w:rFonts w:ascii="Verdana" w:eastAsia="Calibri" w:hAnsi="Verdana" w:cs="Times"/>
          <w:i/>
          <w:sz w:val="20"/>
          <w:szCs w:val="20"/>
          <w:lang w:val="es-ES_tradnl" w:eastAsia="es-ES"/>
        </w:rPr>
        <w:t>Salvador Salazar Gutiérrez (sociólogo)</w:t>
      </w:r>
      <w:r w:rsidRPr="0005341B">
        <w:rPr>
          <w:rFonts w:ascii="Verdana" w:eastAsia="Calibri" w:hAnsi="Verdana" w:cs="Times"/>
          <w:i/>
          <w:sz w:val="20"/>
          <w:szCs w:val="20"/>
          <w:lang w:val="es-AR" w:eastAsia="es-ES"/>
        </w:rPr>
        <w:t xml:space="preserve">, </w:t>
      </w:r>
      <w:r w:rsidRPr="0005341B">
        <w:rPr>
          <w:rFonts w:ascii="Verdana" w:eastAsia="Calibri" w:hAnsi="Verdana" w:cs="Times"/>
          <w:sz w:val="20"/>
          <w:szCs w:val="20"/>
          <w:lang w:val="es-AR" w:eastAsia="es-ES"/>
        </w:rPr>
        <w:t xml:space="preserve">quien declarara sobre: </w:t>
      </w:r>
      <w:r w:rsidRPr="0005341B">
        <w:rPr>
          <w:rFonts w:ascii="Verdana" w:eastAsia="Calibri" w:hAnsi="Verdana" w:cstheme="minorHAnsi"/>
          <w:sz w:val="20"/>
          <w:szCs w:val="20"/>
          <w:lang w:val="es-AR" w:eastAsia="es-ES"/>
        </w:rPr>
        <w:t>A</w:t>
      </w:r>
      <w:r w:rsidRPr="0005341B">
        <w:rPr>
          <w:rFonts w:ascii="Verdana" w:eastAsia="Calibri" w:hAnsi="Verdana" w:cs="Times"/>
          <w:sz w:val="20"/>
          <w:szCs w:val="20"/>
          <w:lang w:val="es-AR" w:eastAsia="es-ES"/>
        </w:rPr>
        <w:t>)</w:t>
      </w:r>
      <w:r w:rsidRPr="0005341B">
        <w:rPr>
          <w:rFonts w:ascii="Verdana" w:eastAsia="Calibri" w:hAnsi="Verdana" w:cs="Times"/>
          <w:b/>
          <w:sz w:val="20"/>
          <w:szCs w:val="20"/>
          <w:lang w:val="es-CR" w:eastAsia="es-ES"/>
        </w:rPr>
        <w:t xml:space="preserve"> </w:t>
      </w:r>
      <w:r w:rsidRPr="0005341B">
        <w:rPr>
          <w:rFonts w:ascii="Verdana" w:eastAsia="Calibri" w:hAnsi="Verdana" w:cs="Times"/>
          <w:sz w:val="20"/>
          <w:szCs w:val="20"/>
          <w:lang w:val="es-ES_tradnl" w:eastAsia="es-ES"/>
        </w:rPr>
        <w:t xml:space="preserve">el contexto sociológico relacionado con el Operativo Conjunto Chihuahua, y </w:t>
      </w:r>
      <w:r w:rsidRPr="0005341B">
        <w:rPr>
          <w:rFonts w:ascii="Verdana" w:eastAsia="Calibri" w:hAnsi="Verdana" w:cstheme="minorHAnsi"/>
          <w:sz w:val="20"/>
          <w:szCs w:val="20"/>
          <w:lang w:val="es-ES_tradnl" w:eastAsia="es-ES"/>
        </w:rPr>
        <w:t>B</w:t>
      </w:r>
      <w:r w:rsidRPr="0005341B">
        <w:rPr>
          <w:rFonts w:ascii="Verdana" w:eastAsia="Calibri" w:hAnsi="Verdana" w:cs="Times"/>
          <w:sz w:val="20"/>
          <w:szCs w:val="20"/>
          <w:lang w:val="es-ES_tradnl" w:eastAsia="es-ES"/>
        </w:rPr>
        <w:t>) las características particulares de las eventuales formas de violencia que tuvieron lugar en el momento de la alegada desaparición forzada de las presuntas víctimas, especialmente en la región en donde acontecieron los hechos.</w:t>
      </w:r>
    </w:p>
    <w:p w14:paraId="48184BD2" w14:textId="77777777" w:rsidR="0005341B" w:rsidRPr="0005341B" w:rsidRDefault="0005341B" w:rsidP="00A579A1">
      <w:pPr>
        <w:tabs>
          <w:tab w:val="left" w:pos="567"/>
          <w:tab w:val="left" w:pos="1134"/>
        </w:tabs>
        <w:autoSpaceDE w:val="0"/>
        <w:autoSpaceDN w:val="0"/>
        <w:adjustRightInd w:val="0"/>
        <w:spacing w:after="0" w:line="240" w:lineRule="auto"/>
        <w:ind w:left="0"/>
        <w:rPr>
          <w:rFonts w:ascii="Verdana" w:eastAsia="MS Mincho" w:hAnsi="Verdana"/>
          <w:sz w:val="20"/>
          <w:szCs w:val="20"/>
          <w:lang w:val="es-ES"/>
        </w:rPr>
      </w:pPr>
    </w:p>
    <w:p w14:paraId="48184BD3" w14:textId="77777777" w:rsidR="0005341B" w:rsidRPr="0005341B" w:rsidRDefault="0005341B" w:rsidP="00A579A1">
      <w:pPr>
        <w:numPr>
          <w:ilvl w:val="1"/>
          <w:numId w:val="3"/>
        </w:numPr>
        <w:tabs>
          <w:tab w:val="left" w:pos="567"/>
          <w:tab w:val="left" w:pos="1134"/>
        </w:tabs>
        <w:autoSpaceDE w:val="0"/>
        <w:autoSpaceDN w:val="0"/>
        <w:adjustRightInd w:val="0"/>
        <w:spacing w:after="0" w:line="240" w:lineRule="auto"/>
        <w:ind w:left="1494"/>
        <w:contextualSpacing/>
        <w:rPr>
          <w:rFonts w:ascii="Verdana" w:eastAsia="Calibri" w:hAnsi="Verdana" w:cs="Times"/>
          <w:i/>
          <w:sz w:val="20"/>
          <w:szCs w:val="20"/>
          <w:lang w:val="es-ES" w:eastAsia="es-ES"/>
        </w:rPr>
      </w:pPr>
      <w:r w:rsidRPr="0005341B">
        <w:rPr>
          <w:rFonts w:ascii="Verdana" w:eastAsia="Calibri" w:hAnsi="Verdana" w:cs="Times"/>
          <w:i/>
          <w:sz w:val="20"/>
          <w:szCs w:val="20"/>
          <w:lang w:val="es-ES" w:eastAsia="es-ES"/>
        </w:rPr>
        <w:t>Perito (propuesto por la Comisión)</w:t>
      </w:r>
    </w:p>
    <w:p w14:paraId="48184BD4" w14:textId="77777777" w:rsidR="0005341B" w:rsidRPr="0005341B" w:rsidRDefault="0005341B" w:rsidP="00A579A1">
      <w:pPr>
        <w:tabs>
          <w:tab w:val="left" w:pos="567"/>
          <w:tab w:val="left" w:pos="1134"/>
        </w:tabs>
        <w:autoSpaceDE w:val="0"/>
        <w:autoSpaceDN w:val="0"/>
        <w:adjustRightInd w:val="0"/>
        <w:spacing w:after="0" w:line="240" w:lineRule="auto"/>
        <w:ind w:left="0"/>
        <w:rPr>
          <w:rFonts w:ascii="Verdana" w:eastAsia="MS Mincho" w:hAnsi="Verdana"/>
          <w:sz w:val="20"/>
          <w:szCs w:val="20"/>
          <w:lang w:val="es-ES"/>
        </w:rPr>
      </w:pPr>
    </w:p>
    <w:p w14:paraId="48184BD5" w14:textId="3F1CE48F" w:rsidR="0005341B" w:rsidRPr="0005341B" w:rsidRDefault="0005341B" w:rsidP="00A579A1">
      <w:pPr>
        <w:numPr>
          <w:ilvl w:val="0"/>
          <w:numId w:val="5"/>
        </w:numPr>
        <w:tabs>
          <w:tab w:val="left" w:pos="540"/>
          <w:tab w:val="left" w:pos="567"/>
          <w:tab w:val="left" w:pos="1260"/>
        </w:tabs>
        <w:autoSpaceDE w:val="0"/>
        <w:autoSpaceDN w:val="0"/>
        <w:adjustRightInd w:val="0"/>
        <w:spacing w:after="0" w:line="240" w:lineRule="auto"/>
        <w:ind w:left="1210"/>
        <w:contextualSpacing/>
        <w:rPr>
          <w:rFonts w:ascii="Verdana" w:eastAsia="Calibri" w:hAnsi="Verdana" w:cs="Times"/>
          <w:sz w:val="20"/>
          <w:szCs w:val="20"/>
          <w:lang w:val="es-CR" w:eastAsia="es-ES"/>
        </w:rPr>
      </w:pPr>
      <w:r w:rsidRPr="0005341B">
        <w:rPr>
          <w:rFonts w:ascii="Verdana" w:eastAsia="Calibri" w:hAnsi="Verdana" w:cs="Times"/>
          <w:i/>
          <w:sz w:val="20"/>
          <w:szCs w:val="20"/>
          <w:lang w:val="es-CR" w:eastAsia="es-ES"/>
        </w:rPr>
        <w:t>Federico Andreu Guzmán (abogado)</w:t>
      </w:r>
      <w:r w:rsidRPr="0005341B">
        <w:rPr>
          <w:rFonts w:ascii="Verdana" w:eastAsia="Calibri" w:hAnsi="Verdana" w:cs="Times"/>
          <w:sz w:val="20"/>
          <w:szCs w:val="20"/>
          <w:lang w:val="es-CR" w:eastAsia="es-ES"/>
        </w:rPr>
        <w:t xml:space="preserve">, </w:t>
      </w:r>
      <w:r w:rsidRPr="0005341B">
        <w:rPr>
          <w:rFonts w:ascii="Verdana" w:eastAsia="Calibri" w:hAnsi="Verdana" w:cs="Times"/>
          <w:sz w:val="20"/>
          <w:szCs w:val="20"/>
          <w:lang w:val="es-ES_tradnl" w:eastAsia="es-ES"/>
        </w:rPr>
        <w:t>quien declarará sobre</w:t>
      </w:r>
      <w:r w:rsidR="006144DA">
        <w:rPr>
          <w:rFonts w:ascii="Verdana" w:eastAsia="Calibri" w:hAnsi="Verdana" w:cs="Times"/>
          <w:sz w:val="20"/>
          <w:szCs w:val="20"/>
          <w:lang w:val="es-ES_tradnl" w:eastAsia="es-ES"/>
        </w:rPr>
        <w:t>:</w:t>
      </w:r>
      <w:r w:rsidRPr="0005341B">
        <w:rPr>
          <w:rFonts w:ascii="Verdana" w:eastAsia="Calibri" w:hAnsi="Verdana" w:cstheme="minorHAnsi"/>
          <w:sz w:val="20"/>
          <w:szCs w:val="20"/>
          <w:lang w:val="es-ES_tradnl" w:eastAsia="es-ES"/>
        </w:rPr>
        <w:t xml:space="preserve"> A)</w:t>
      </w:r>
      <w:r w:rsidRPr="0005341B">
        <w:rPr>
          <w:rFonts w:ascii="Verdana" w:eastAsia="Calibri" w:hAnsi="Verdana" w:cs="Times"/>
          <w:sz w:val="20"/>
          <w:szCs w:val="20"/>
          <w:lang w:val="es-ES_tradnl" w:eastAsia="es-ES"/>
        </w:rPr>
        <w:t xml:space="preserve"> los límites y salvaguardas que imponen las obligaciones internacionales de los Estados en el contexto de la lucha contra la delincuencia organizada, incluida la relacionada con el narcotráfico</w:t>
      </w:r>
      <w:r w:rsidR="006144DA">
        <w:rPr>
          <w:rFonts w:ascii="Verdana" w:eastAsia="Calibri" w:hAnsi="Verdana" w:cstheme="minorHAnsi"/>
          <w:sz w:val="20"/>
          <w:szCs w:val="20"/>
          <w:lang w:val="es-ES_tradnl" w:eastAsia="es-ES"/>
        </w:rPr>
        <w:t xml:space="preserve">; </w:t>
      </w:r>
      <w:r w:rsidRPr="0005341B">
        <w:rPr>
          <w:rFonts w:ascii="Verdana" w:eastAsia="Calibri" w:hAnsi="Verdana" w:cstheme="minorHAnsi"/>
          <w:sz w:val="20"/>
          <w:szCs w:val="20"/>
          <w:lang w:val="es-ES_tradnl" w:eastAsia="es-ES"/>
        </w:rPr>
        <w:t>B)</w:t>
      </w:r>
      <w:r w:rsidRPr="0005341B">
        <w:rPr>
          <w:rFonts w:ascii="Verdana" w:eastAsia="Calibri" w:hAnsi="Verdana" w:cs="Times"/>
          <w:sz w:val="20"/>
          <w:szCs w:val="20"/>
          <w:lang w:val="es-ES_tradnl" w:eastAsia="es-ES"/>
        </w:rPr>
        <w:t xml:space="preserve"> los riesgos e implicaciones de la asignación de funciones de orden público a la institución militar y su regulación comparada en la región tanto al momento de los hechos y en la actualidad</w:t>
      </w:r>
      <w:r w:rsidR="006144DA">
        <w:rPr>
          <w:rFonts w:ascii="Verdana" w:eastAsia="Calibri" w:hAnsi="Verdana" w:cstheme="minorHAnsi"/>
          <w:sz w:val="20"/>
          <w:szCs w:val="20"/>
          <w:lang w:val="es-ES_tradnl" w:eastAsia="es-ES"/>
        </w:rPr>
        <w:t>;</w:t>
      </w:r>
      <w:r w:rsidRPr="0005341B">
        <w:rPr>
          <w:rFonts w:ascii="Verdana" w:eastAsia="Calibri" w:hAnsi="Verdana" w:cstheme="minorHAnsi"/>
          <w:sz w:val="20"/>
          <w:szCs w:val="20"/>
          <w:lang w:val="es-ES_tradnl" w:eastAsia="es-ES"/>
        </w:rPr>
        <w:t xml:space="preserve"> C)</w:t>
      </w:r>
      <w:r w:rsidRPr="0005341B">
        <w:rPr>
          <w:rFonts w:ascii="Verdana" w:eastAsia="Calibri" w:hAnsi="Verdana" w:cs="Times"/>
          <w:sz w:val="20"/>
          <w:szCs w:val="20"/>
          <w:lang w:val="es-ES_tradnl" w:eastAsia="es-ES"/>
        </w:rPr>
        <w:t xml:space="preserve"> el contexto de la desaparición forzada en México vigente al momento en que tuvieron inicio de ejecución los hechos y que persiste en la actualidad</w:t>
      </w:r>
      <w:r w:rsidRPr="0005341B">
        <w:rPr>
          <w:rFonts w:ascii="Verdana" w:eastAsia="Calibri" w:hAnsi="Verdana" w:cstheme="minorHAnsi"/>
          <w:sz w:val="20"/>
          <w:szCs w:val="20"/>
          <w:lang w:val="es-ES_tradnl" w:eastAsia="es-ES"/>
        </w:rPr>
        <w:t xml:space="preserve"> y</w:t>
      </w:r>
      <w:r w:rsidRPr="0005341B">
        <w:rPr>
          <w:rFonts w:ascii="Verdana" w:eastAsia="Calibri" w:hAnsi="Verdana" w:cs="Times"/>
          <w:sz w:val="20"/>
          <w:szCs w:val="20"/>
          <w:lang w:val="es-ES_tradnl" w:eastAsia="es-ES"/>
        </w:rPr>
        <w:t xml:space="preserve"> la respuesta investigativa del Estado mexicano</w:t>
      </w:r>
      <w:r w:rsidR="006144DA">
        <w:rPr>
          <w:rFonts w:ascii="Verdana" w:eastAsia="Calibri" w:hAnsi="Verdana" w:cs="Times"/>
          <w:sz w:val="20"/>
          <w:szCs w:val="20"/>
          <w:lang w:val="es-ES_tradnl" w:eastAsia="es-ES"/>
        </w:rPr>
        <w:t>,</w:t>
      </w:r>
      <w:r w:rsidRPr="0005341B">
        <w:rPr>
          <w:rFonts w:ascii="Verdana" w:eastAsia="Calibri" w:hAnsi="Verdana" w:cs="Times"/>
          <w:sz w:val="20"/>
          <w:szCs w:val="20"/>
          <w:lang w:val="es-ES_tradnl" w:eastAsia="es-ES"/>
        </w:rPr>
        <w:t xml:space="preserve"> y </w:t>
      </w:r>
      <w:r w:rsidRPr="0005341B">
        <w:rPr>
          <w:rFonts w:ascii="Verdana" w:eastAsia="Calibri" w:hAnsi="Verdana" w:cstheme="minorHAnsi"/>
          <w:sz w:val="20"/>
          <w:szCs w:val="20"/>
          <w:lang w:val="es-ES_tradnl" w:eastAsia="es-ES"/>
        </w:rPr>
        <w:t xml:space="preserve">D) </w:t>
      </w:r>
      <w:r w:rsidRPr="0005341B">
        <w:rPr>
          <w:rFonts w:ascii="Verdana" w:eastAsia="Calibri" w:hAnsi="Verdana" w:cs="Times"/>
          <w:sz w:val="20"/>
          <w:szCs w:val="20"/>
          <w:lang w:val="es-ES_tradnl" w:eastAsia="es-ES"/>
        </w:rPr>
        <w:t>los factores que conducen a la impunidad de este tipo de actos</w:t>
      </w:r>
      <w:r w:rsidRPr="0005341B">
        <w:rPr>
          <w:rFonts w:ascii="Verdana" w:eastAsia="Calibri" w:hAnsi="Verdana" w:cstheme="minorHAnsi"/>
          <w:sz w:val="20"/>
          <w:szCs w:val="20"/>
          <w:lang w:val="es-ES_tradnl" w:eastAsia="es-ES"/>
        </w:rPr>
        <w:t>, pudiendo</w:t>
      </w:r>
      <w:r w:rsidRPr="0005341B">
        <w:rPr>
          <w:rFonts w:ascii="Verdana" w:eastAsia="Calibri" w:hAnsi="Verdana" w:cs="Times"/>
          <w:sz w:val="20"/>
          <w:szCs w:val="20"/>
          <w:lang w:val="es-ES_tradnl" w:eastAsia="es-ES"/>
        </w:rPr>
        <w:t xml:space="preserve"> referirse tanto a los hechos como a las investigaciones seguidas en el caso concreto.</w:t>
      </w:r>
    </w:p>
    <w:p w14:paraId="48184BD6" w14:textId="77777777" w:rsidR="0005341B" w:rsidRPr="0005341B" w:rsidRDefault="0005341B" w:rsidP="00A579A1">
      <w:pPr>
        <w:tabs>
          <w:tab w:val="left" w:pos="567"/>
        </w:tabs>
        <w:spacing w:after="0" w:line="240" w:lineRule="auto"/>
        <w:ind w:left="0"/>
        <w:rPr>
          <w:rFonts w:ascii="Verdana" w:eastAsia="MS Mincho" w:hAnsi="Verdana"/>
          <w:sz w:val="20"/>
          <w:szCs w:val="20"/>
          <w:lang w:val="es-CR"/>
        </w:rPr>
      </w:pPr>
    </w:p>
    <w:p w14:paraId="48184BD7" w14:textId="77777777"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imes"/>
          <w:sz w:val="20"/>
          <w:szCs w:val="20"/>
          <w:lang w:val="es-CR" w:eastAsia="es-ES"/>
        </w:rPr>
      </w:pPr>
      <w:r w:rsidRPr="0005341B">
        <w:rPr>
          <w:rFonts w:ascii="Verdana" w:eastAsia="Calibri" w:hAnsi="Verdana" w:cstheme="minorHAnsi"/>
          <w:sz w:val="20"/>
          <w:szCs w:val="20"/>
          <w:lang w:val="es-CR" w:eastAsia="es-ES"/>
        </w:rPr>
        <w:t>Permitir</w:t>
      </w:r>
      <w:r w:rsidRPr="0005341B">
        <w:rPr>
          <w:rFonts w:ascii="Verdana" w:eastAsia="Calibri" w:hAnsi="Verdana" w:cs="Times"/>
          <w:sz w:val="20"/>
          <w:szCs w:val="20"/>
          <w:lang w:val="es-CR" w:eastAsia="es-ES"/>
        </w:rPr>
        <w:t xml:space="preserve"> a los peritos convocados a declarar en audiencia que, </w:t>
      </w:r>
      <w:r w:rsidRPr="0005341B">
        <w:rPr>
          <w:rFonts w:ascii="Verdana" w:eastAsia="Calibri" w:hAnsi="Verdana" w:cs="Times"/>
          <w:sz w:val="20"/>
          <w:szCs w:val="20"/>
          <w:lang w:val="es-ES_tradnl" w:eastAsia="es-ES"/>
        </w:rPr>
        <w:t xml:space="preserve">de considerarlo conveniente, </w:t>
      </w:r>
      <w:r w:rsidRPr="0005341B">
        <w:rPr>
          <w:rFonts w:ascii="Verdana" w:eastAsia="Calibri" w:hAnsi="Verdana" w:cs="Times"/>
          <w:sz w:val="20"/>
          <w:szCs w:val="20"/>
          <w:lang w:val="es-CR" w:eastAsia="es-ES"/>
        </w:rPr>
        <w:t xml:space="preserve">aporten una versión escrita de sus peritajes a más tardar el 23 de abril de 2018. </w:t>
      </w:r>
    </w:p>
    <w:p w14:paraId="48184BD8" w14:textId="77777777" w:rsidR="0005341B" w:rsidRPr="0005341B" w:rsidRDefault="0005341B" w:rsidP="00EB1051">
      <w:pPr>
        <w:tabs>
          <w:tab w:val="left" w:pos="567"/>
        </w:tabs>
        <w:spacing w:after="0" w:line="240" w:lineRule="auto"/>
        <w:ind w:left="0"/>
        <w:rPr>
          <w:rFonts w:ascii="Verdana" w:eastAsia="MS Mincho" w:hAnsi="Verdana"/>
          <w:sz w:val="20"/>
          <w:szCs w:val="20"/>
          <w:lang w:val="es-CR"/>
        </w:rPr>
      </w:pPr>
    </w:p>
    <w:p w14:paraId="48184BD9" w14:textId="77777777"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imes"/>
          <w:sz w:val="20"/>
          <w:szCs w:val="20"/>
          <w:lang w:val="es-CR" w:eastAsia="es-ES"/>
        </w:rPr>
      </w:pPr>
      <w:r w:rsidRPr="0005341B">
        <w:rPr>
          <w:rFonts w:ascii="Verdana" w:eastAsia="Calibri" w:hAnsi="Verdana" w:cs="Times"/>
          <w:sz w:val="20"/>
          <w:szCs w:val="20"/>
          <w:lang w:val="es-CR" w:eastAsia="es-ES"/>
        </w:rPr>
        <w:t xml:space="preserve">Requerir al Estado que facilite la salida y entrada de su territorio de los declarantes, si residen o se encuentran en él, quienes han sido citados en la presente Resolución a rendir declaración en la referida audiencia pública, de conformidad con lo dispuesto en el artículo 26.1 del Reglamento de la Corte. </w:t>
      </w:r>
    </w:p>
    <w:p w14:paraId="48184BDA" w14:textId="77777777" w:rsidR="0005341B" w:rsidRPr="0005341B" w:rsidRDefault="0005341B" w:rsidP="00EB1051">
      <w:pPr>
        <w:spacing w:line="240" w:lineRule="auto"/>
        <w:ind w:left="0"/>
        <w:contextualSpacing/>
        <w:rPr>
          <w:rFonts w:ascii="Verdana" w:eastAsia="Calibri" w:hAnsi="Verdana" w:cs="Times"/>
          <w:sz w:val="20"/>
          <w:szCs w:val="20"/>
          <w:lang w:val="es-CR" w:eastAsia="es-ES"/>
        </w:rPr>
      </w:pPr>
    </w:p>
    <w:p w14:paraId="48184BDB" w14:textId="77777777"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imes"/>
          <w:sz w:val="20"/>
          <w:szCs w:val="20"/>
          <w:lang w:val="es-CR" w:eastAsia="es-ES"/>
        </w:rPr>
      </w:pPr>
      <w:r w:rsidRPr="0005341B">
        <w:rPr>
          <w:rFonts w:ascii="Verdana" w:eastAsia="Calibri" w:hAnsi="Verdana" w:cstheme="minorHAnsi"/>
          <w:sz w:val="20"/>
          <w:szCs w:val="20"/>
          <w:lang w:val="es-CR" w:eastAsia="es-ES"/>
        </w:rPr>
        <w:t>Disponer</w:t>
      </w:r>
      <w:r w:rsidRPr="0005341B">
        <w:rPr>
          <w:rFonts w:ascii="Verdana" w:eastAsia="Calibri" w:hAnsi="Verdana" w:cs="Times"/>
          <w:sz w:val="20"/>
          <w:szCs w:val="20"/>
          <w:lang w:val="es-CR" w:eastAsia="es-ES"/>
        </w:rPr>
        <w:t>, de conformidad con el principio de economía procesal y la facultad que le otorga el artículo 50.1 del Reglamento de la Corte, que las siguientes personas presten su declaración ante fedatario público (affidávit):</w:t>
      </w:r>
    </w:p>
    <w:p w14:paraId="48184BDC" w14:textId="77777777" w:rsidR="0005341B" w:rsidRPr="0005341B" w:rsidRDefault="0005341B" w:rsidP="00A579A1">
      <w:pPr>
        <w:tabs>
          <w:tab w:val="left" w:pos="567"/>
          <w:tab w:val="left" w:pos="851"/>
        </w:tabs>
        <w:autoSpaceDE w:val="0"/>
        <w:autoSpaceDN w:val="0"/>
        <w:adjustRightInd w:val="0"/>
        <w:spacing w:after="0" w:line="240" w:lineRule="auto"/>
        <w:ind w:left="0"/>
        <w:rPr>
          <w:rFonts w:ascii="Verdana" w:eastAsia="MS Mincho" w:hAnsi="Verdana"/>
          <w:sz w:val="20"/>
          <w:szCs w:val="20"/>
          <w:lang w:val="es-ES"/>
        </w:rPr>
      </w:pPr>
    </w:p>
    <w:p w14:paraId="48184BDD" w14:textId="77777777" w:rsidR="0005341B" w:rsidRPr="0005341B" w:rsidRDefault="0005341B" w:rsidP="00A579A1">
      <w:pPr>
        <w:numPr>
          <w:ilvl w:val="0"/>
          <w:numId w:val="8"/>
        </w:numPr>
        <w:tabs>
          <w:tab w:val="left" w:pos="567"/>
        </w:tabs>
        <w:spacing w:after="0" w:line="240" w:lineRule="auto"/>
        <w:ind w:left="1494"/>
        <w:contextualSpacing/>
        <w:rPr>
          <w:rFonts w:ascii="Verdana" w:eastAsia="Calibri" w:hAnsi="Verdana" w:cs="Times"/>
          <w:i/>
          <w:sz w:val="20"/>
          <w:szCs w:val="20"/>
          <w:lang w:val="es-CR" w:eastAsia="es-ES"/>
        </w:rPr>
      </w:pPr>
      <w:r w:rsidRPr="0005341B">
        <w:rPr>
          <w:rFonts w:ascii="Verdana" w:eastAsia="Calibri" w:hAnsi="Verdana" w:cs="Times"/>
          <w:i/>
          <w:sz w:val="20"/>
          <w:szCs w:val="20"/>
          <w:lang w:val="es-CR" w:eastAsia="es-ES"/>
        </w:rPr>
        <w:t>Declarantes (propuestos por las representantes)</w:t>
      </w:r>
    </w:p>
    <w:p w14:paraId="48184BDE" w14:textId="77777777" w:rsidR="0005341B" w:rsidRPr="0005341B" w:rsidRDefault="0005341B" w:rsidP="00A579A1">
      <w:pPr>
        <w:widowControl w:val="0"/>
        <w:tabs>
          <w:tab w:val="left" w:pos="567"/>
          <w:tab w:val="left" w:pos="1134"/>
        </w:tabs>
        <w:autoSpaceDE w:val="0"/>
        <w:autoSpaceDN w:val="0"/>
        <w:adjustRightInd w:val="0"/>
        <w:spacing w:after="0" w:line="240" w:lineRule="auto"/>
        <w:ind w:left="0"/>
        <w:rPr>
          <w:rFonts w:ascii="Verdana" w:eastAsia="MS Mincho" w:hAnsi="Verdana"/>
          <w:b/>
          <w:i/>
          <w:sz w:val="20"/>
          <w:szCs w:val="20"/>
          <w:lang w:val="es-CR"/>
        </w:rPr>
      </w:pPr>
    </w:p>
    <w:p w14:paraId="48184BDF" w14:textId="16494DAA" w:rsidR="0005341B" w:rsidRPr="0005341B" w:rsidRDefault="0005341B" w:rsidP="00A579A1">
      <w:pPr>
        <w:widowControl w:val="0"/>
        <w:numPr>
          <w:ilvl w:val="0"/>
          <w:numId w:val="7"/>
        </w:numPr>
        <w:tabs>
          <w:tab w:val="left" w:pos="540"/>
          <w:tab w:val="left" w:pos="1440"/>
        </w:tabs>
        <w:spacing w:after="200" w:line="240" w:lineRule="auto"/>
        <w:ind w:left="1210"/>
        <w:contextualSpacing/>
        <w:rPr>
          <w:rFonts w:ascii="Verdana" w:eastAsia="Calibri" w:hAnsi="Verdana" w:cs="Times"/>
          <w:sz w:val="20"/>
          <w:szCs w:val="20"/>
          <w:lang w:val="es-MX" w:eastAsia="es-ES"/>
        </w:rPr>
      </w:pPr>
      <w:r w:rsidRPr="0005341B">
        <w:rPr>
          <w:rFonts w:ascii="Verdana" w:eastAsia="Calibri" w:hAnsi="Verdana" w:cs="Times"/>
          <w:i/>
          <w:sz w:val="20"/>
          <w:szCs w:val="20"/>
          <w:lang w:val="es-CR" w:eastAsia="es-ES"/>
        </w:rPr>
        <w:t>Obdulia</w:t>
      </w:r>
      <w:r w:rsidRPr="0005341B">
        <w:rPr>
          <w:rFonts w:ascii="Verdana" w:eastAsia="Calibri" w:hAnsi="Verdana" w:cs="Times"/>
          <w:i/>
          <w:sz w:val="20"/>
          <w:szCs w:val="20"/>
          <w:lang w:val="es-ES" w:eastAsia="es-ES"/>
        </w:rPr>
        <w:t xml:space="preserve"> Espinoza Beltrán (esposa de José Angel Alvarado Herrera), José Herrera Fabela, Rafael Alan Alvarado Reyes (hermano de Rocío Irene Alvarado Reyes) </w:t>
      </w:r>
      <w:r w:rsidRPr="0005341B">
        <w:rPr>
          <w:rFonts w:ascii="Verdana" w:eastAsia="Calibri" w:hAnsi="Verdana" w:cs="Times"/>
          <w:sz w:val="20"/>
          <w:szCs w:val="20"/>
          <w:lang w:val="es-ES" w:eastAsia="es-ES"/>
        </w:rPr>
        <w:t>y</w:t>
      </w:r>
      <w:r w:rsidRPr="0005341B">
        <w:rPr>
          <w:rFonts w:ascii="Verdana" w:eastAsia="Calibri" w:hAnsi="Verdana" w:cs="Times"/>
          <w:i/>
          <w:sz w:val="20"/>
          <w:szCs w:val="20"/>
          <w:lang w:val="es-ES" w:eastAsia="es-ES"/>
        </w:rPr>
        <w:t xml:space="preserve"> Adrián Alvarado Reyes (hermano de Rocío Irene Alvarado Reyes),</w:t>
      </w:r>
      <w:r w:rsidRPr="0005341B">
        <w:rPr>
          <w:rFonts w:ascii="Verdana" w:eastAsia="Calibri" w:hAnsi="Verdana" w:cs="Times"/>
          <w:sz w:val="20"/>
          <w:szCs w:val="20"/>
          <w:lang w:val="es-ES" w:eastAsia="es-ES"/>
        </w:rPr>
        <w:t xml:space="preserve"> quienes declararan sobre</w:t>
      </w:r>
      <w:r w:rsidRPr="0005341B">
        <w:rPr>
          <w:rFonts w:ascii="Verdana" w:eastAsia="Calibri" w:hAnsi="Verdana" w:cs="Times"/>
          <w:sz w:val="20"/>
          <w:szCs w:val="20"/>
          <w:lang w:val="es-ES_tradnl" w:eastAsia="es-ES"/>
        </w:rPr>
        <w:t xml:space="preserve"> sobre: </w:t>
      </w:r>
      <w:r w:rsidRPr="0005341B">
        <w:rPr>
          <w:rFonts w:ascii="Verdana" w:eastAsia="Calibri" w:hAnsi="Verdana" w:cstheme="minorHAnsi"/>
          <w:sz w:val="20"/>
          <w:szCs w:val="20"/>
          <w:lang w:val="es-MX" w:eastAsia="es-ES"/>
        </w:rPr>
        <w:t>A</w:t>
      </w:r>
      <w:r w:rsidRPr="0005341B">
        <w:rPr>
          <w:rFonts w:ascii="Verdana" w:eastAsia="Calibri" w:hAnsi="Verdana" w:cs="Times"/>
          <w:sz w:val="20"/>
          <w:szCs w:val="20"/>
          <w:lang w:val="es-MX" w:eastAsia="es-ES"/>
        </w:rPr>
        <w:t xml:space="preserve">) </w:t>
      </w:r>
      <w:r w:rsidRPr="0005341B">
        <w:rPr>
          <w:rFonts w:ascii="Verdana" w:eastAsia="Calibri" w:hAnsi="Verdana" w:cs="Times"/>
          <w:sz w:val="20"/>
          <w:szCs w:val="20"/>
          <w:lang w:val="es-ES_tradnl" w:eastAsia="es-ES"/>
        </w:rPr>
        <w:t xml:space="preserve">los hechos del caso, incluidos los relativos a la presencia militar en el Ejido Benito Juárez (Chihuahua), antes y después de la detención y posterior desaparición de Nitza Paola Alvarado Reyes, Rocío Irene Alvarado Reyes y José Ángel Alvarado Herrera; </w:t>
      </w:r>
      <w:r w:rsidRPr="0005341B">
        <w:rPr>
          <w:rFonts w:ascii="Verdana" w:eastAsia="Calibri" w:hAnsi="Verdana" w:cstheme="minorHAnsi"/>
          <w:sz w:val="20"/>
          <w:szCs w:val="20"/>
          <w:lang w:val="es-ES_tradnl" w:eastAsia="es-ES"/>
        </w:rPr>
        <w:t>B</w:t>
      </w:r>
      <w:r w:rsidRPr="0005341B">
        <w:rPr>
          <w:rFonts w:ascii="Verdana" w:eastAsia="Calibri" w:hAnsi="Verdana" w:cs="Times"/>
          <w:sz w:val="20"/>
          <w:szCs w:val="20"/>
          <w:lang w:val="es-ES_tradnl" w:eastAsia="es-ES"/>
        </w:rPr>
        <w:t xml:space="preserve">) las acciones de búsqueda de sus familiares, la exigencia de justicia y los alegados actos de hostigamiento, amenazas y violencia en su contra por la exigencia de verdad y justicia en el presente caso; </w:t>
      </w:r>
      <w:r w:rsidRPr="0005341B">
        <w:rPr>
          <w:rFonts w:ascii="Verdana" w:eastAsia="Calibri" w:hAnsi="Verdana" w:cstheme="minorHAnsi"/>
          <w:sz w:val="20"/>
          <w:szCs w:val="20"/>
          <w:lang w:val="es-ES_tradnl" w:eastAsia="es-ES"/>
        </w:rPr>
        <w:t>C</w:t>
      </w:r>
      <w:r w:rsidRPr="0005341B">
        <w:rPr>
          <w:rFonts w:ascii="Verdana" w:eastAsia="Calibri" w:hAnsi="Verdana" w:cs="Times"/>
          <w:sz w:val="20"/>
          <w:szCs w:val="20"/>
          <w:lang w:val="es-ES_tradnl" w:eastAsia="es-ES"/>
        </w:rPr>
        <w:t xml:space="preserve">) el impacto que estos hechos tuvieron en sus vidas personales y de sus familiares, y </w:t>
      </w:r>
      <w:r w:rsidRPr="0005341B">
        <w:rPr>
          <w:rFonts w:ascii="Verdana" w:eastAsia="Calibri" w:hAnsi="Verdana" w:cstheme="minorHAnsi"/>
          <w:sz w:val="20"/>
          <w:szCs w:val="20"/>
          <w:lang w:val="es-ES_tradnl" w:eastAsia="es-ES"/>
        </w:rPr>
        <w:t>D</w:t>
      </w:r>
      <w:r w:rsidRPr="0005341B">
        <w:rPr>
          <w:rFonts w:ascii="Verdana" w:eastAsia="Calibri" w:hAnsi="Verdana" w:cs="Times"/>
          <w:sz w:val="20"/>
          <w:szCs w:val="20"/>
          <w:lang w:val="es-ES_tradnl" w:eastAsia="es-ES"/>
        </w:rPr>
        <w:t xml:space="preserve">) las solicitudes de reparación por las violaciones a sus derechos humanos alegadas.  </w:t>
      </w:r>
    </w:p>
    <w:p w14:paraId="48184BE0" w14:textId="77777777" w:rsidR="0005341B" w:rsidRPr="0005341B" w:rsidRDefault="0005341B" w:rsidP="00A579A1">
      <w:pPr>
        <w:widowControl w:val="0"/>
        <w:tabs>
          <w:tab w:val="left" w:pos="540"/>
          <w:tab w:val="left" w:pos="1440"/>
        </w:tabs>
        <w:spacing w:line="240" w:lineRule="auto"/>
        <w:ind w:left="0"/>
        <w:contextualSpacing/>
        <w:rPr>
          <w:rFonts w:ascii="Verdana" w:eastAsia="Calibri" w:hAnsi="Verdana" w:cs="Times"/>
          <w:sz w:val="20"/>
          <w:szCs w:val="20"/>
          <w:lang w:val="es-MX" w:eastAsia="es-ES"/>
        </w:rPr>
      </w:pPr>
    </w:p>
    <w:p w14:paraId="48184BE1" w14:textId="32A54435" w:rsidR="0005341B" w:rsidRPr="0005341B" w:rsidRDefault="0005341B" w:rsidP="00A579A1">
      <w:pPr>
        <w:widowControl w:val="0"/>
        <w:numPr>
          <w:ilvl w:val="0"/>
          <w:numId w:val="7"/>
        </w:numPr>
        <w:tabs>
          <w:tab w:val="left" w:pos="540"/>
          <w:tab w:val="left" w:pos="1440"/>
        </w:tabs>
        <w:spacing w:after="200" w:line="240" w:lineRule="auto"/>
        <w:ind w:left="1210"/>
        <w:contextualSpacing/>
        <w:rPr>
          <w:rFonts w:ascii="Verdana" w:eastAsia="Calibri" w:hAnsi="Verdana" w:cs="Times"/>
          <w:sz w:val="20"/>
          <w:szCs w:val="20"/>
          <w:lang w:val="es-MX" w:eastAsia="es-ES"/>
        </w:rPr>
      </w:pPr>
      <w:r w:rsidRPr="0005341B">
        <w:rPr>
          <w:rFonts w:ascii="Verdana" w:eastAsia="Calibri" w:hAnsi="Verdana" w:cs="Times"/>
          <w:i/>
          <w:sz w:val="20"/>
          <w:szCs w:val="20"/>
          <w:lang w:val="es-CR" w:eastAsia="es-ES"/>
        </w:rPr>
        <w:t xml:space="preserve">Sandra Luz Rueda Quezada (cuñada de Jose </w:t>
      </w:r>
      <w:r w:rsidR="00E64313" w:rsidRPr="0005341B">
        <w:rPr>
          <w:rFonts w:ascii="Verdana" w:eastAsia="Calibri" w:hAnsi="Verdana" w:cs="Times"/>
          <w:i/>
          <w:sz w:val="20"/>
          <w:szCs w:val="20"/>
          <w:lang w:val="es-CR" w:eastAsia="es-ES"/>
        </w:rPr>
        <w:t>Ángel</w:t>
      </w:r>
      <w:r w:rsidRPr="0005341B">
        <w:rPr>
          <w:rFonts w:ascii="Verdana" w:eastAsia="Calibri" w:hAnsi="Verdana" w:cs="Times"/>
          <w:i/>
          <w:sz w:val="20"/>
          <w:szCs w:val="20"/>
          <w:lang w:val="es-CR" w:eastAsia="es-ES"/>
        </w:rPr>
        <w:t xml:space="preserve"> Alvarado Herrera), Rosa Olivia Alvarado Herrera (hermana de Jose </w:t>
      </w:r>
      <w:r w:rsidR="00E64313" w:rsidRPr="0005341B">
        <w:rPr>
          <w:rFonts w:ascii="Verdana" w:eastAsia="Calibri" w:hAnsi="Verdana" w:cs="Times"/>
          <w:i/>
          <w:sz w:val="20"/>
          <w:szCs w:val="20"/>
          <w:lang w:val="es-CR" w:eastAsia="es-ES"/>
        </w:rPr>
        <w:t>Ángel</w:t>
      </w:r>
      <w:r w:rsidRPr="0005341B">
        <w:rPr>
          <w:rFonts w:ascii="Verdana" w:eastAsia="Calibri" w:hAnsi="Verdana" w:cs="Times"/>
          <w:i/>
          <w:sz w:val="20"/>
          <w:szCs w:val="20"/>
          <w:lang w:val="es-CR" w:eastAsia="es-ES"/>
        </w:rPr>
        <w:t xml:space="preserve"> Alvarado Herrera), Nitza Sitlaly Alvarado Espinoza (hija de Nitza Paola Alvarado Espinoza), Mitzy Paola Alvarado Espinoza (hija de Nitza Paola Alvarado Espinoza)</w:t>
      </w:r>
      <w:r w:rsidR="00E64313">
        <w:rPr>
          <w:rFonts w:ascii="Verdana" w:eastAsia="Calibri" w:hAnsi="Verdana" w:cs="Times"/>
          <w:i/>
          <w:sz w:val="20"/>
          <w:szCs w:val="20"/>
          <w:lang w:val="es-ES_tradnl" w:eastAsia="es-ES"/>
        </w:rPr>
        <w:t xml:space="preserve"> </w:t>
      </w:r>
      <w:r w:rsidRPr="0005341B">
        <w:rPr>
          <w:rFonts w:ascii="Verdana" w:eastAsia="Calibri" w:hAnsi="Verdana" w:cs="Times"/>
          <w:i/>
          <w:sz w:val="20"/>
          <w:szCs w:val="20"/>
          <w:lang w:val="es-CR" w:eastAsia="es-ES"/>
        </w:rPr>
        <w:t>y Deisy Alvarado Espinoza (hija de Nitza Paola Alvarado Espinoza)</w:t>
      </w:r>
      <w:r w:rsidRPr="0005341B">
        <w:rPr>
          <w:rFonts w:ascii="Verdana" w:eastAsia="Calibri" w:hAnsi="Verdana" w:cs="Times"/>
          <w:sz w:val="20"/>
          <w:szCs w:val="20"/>
          <w:lang w:val="es-CR" w:eastAsia="es-ES"/>
        </w:rPr>
        <w:t>, quienes</w:t>
      </w:r>
      <w:r w:rsidRPr="0005341B">
        <w:rPr>
          <w:rFonts w:ascii="Verdana" w:eastAsia="Calibri" w:hAnsi="Verdana" w:cs="Times"/>
          <w:i/>
          <w:sz w:val="20"/>
          <w:szCs w:val="20"/>
          <w:lang w:val="es-CR" w:eastAsia="es-ES"/>
        </w:rPr>
        <w:t xml:space="preserve"> </w:t>
      </w:r>
      <w:r w:rsidRPr="0005341B">
        <w:rPr>
          <w:rFonts w:ascii="Verdana" w:eastAsia="Calibri" w:hAnsi="Verdana" w:cs="Times"/>
          <w:sz w:val="20"/>
          <w:szCs w:val="20"/>
          <w:lang w:val="es-CR" w:eastAsia="es-ES"/>
        </w:rPr>
        <w:t>declararan</w:t>
      </w:r>
      <w:r w:rsidRPr="0005341B">
        <w:rPr>
          <w:rFonts w:ascii="Verdana" w:eastAsia="Calibri" w:hAnsi="Verdana" w:cs="Times"/>
          <w:i/>
          <w:sz w:val="20"/>
          <w:szCs w:val="20"/>
          <w:lang w:val="es-CR" w:eastAsia="es-ES"/>
        </w:rPr>
        <w:t xml:space="preserve"> </w:t>
      </w:r>
      <w:r w:rsidRPr="0005341B">
        <w:rPr>
          <w:rFonts w:ascii="Verdana" w:eastAsia="Calibri" w:hAnsi="Verdana" w:cs="Times"/>
          <w:sz w:val="20"/>
          <w:szCs w:val="20"/>
          <w:lang w:val="es-CR" w:eastAsia="es-ES"/>
        </w:rPr>
        <w:t xml:space="preserve">sobre: </w:t>
      </w:r>
      <w:r w:rsidRPr="0005341B">
        <w:rPr>
          <w:rFonts w:ascii="Verdana" w:eastAsia="Calibri" w:hAnsi="Verdana" w:cstheme="minorHAnsi"/>
          <w:sz w:val="20"/>
          <w:szCs w:val="20"/>
          <w:lang w:val="es-CR" w:eastAsia="es-ES"/>
        </w:rPr>
        <w:t>A</w:t>
      </w:r>
      <w:r w:rsidRPr="0005341B">
        <w:rPr>
          <w:rFonts w:ascii="Verdana" w:eastAsia="Calibri" w:hAnsi="Verdana" w:cs="Times"/>
          <w:sz w:val="20"/>
          <w:szCs w:val="20"/>
          <w:lang w:val="es-CR" w:eastAsia="es-ES"/>
        </w:rPr>
        <w:t xml:space="preserve">) </w:t>
      </w:r>
      <w:r w:rsidRPr="0005341B">
        <w:rPr>
          <w:rFonts w:ascii="Verdana" w:eastAsia="Calibri" w:hAnsi="Verdana" w:cs="Times"/>
          <w:sz w:val="20"/>
          <w:szCs w:val="20"/>
          <w:lang w:val="es-ES_tradnl" w:eastAsia="es-ES"/>
        </w:rPr>
        <w:t xml:space="preserve">los hechos que les consten del caso concreto, y </w:t>
      </w:r>
      <w:r w:rsidRPr="0005341B">
        <w:rPr>
          <w:rFonts w:ascii="Verdana" w:eastAsia="Calibri" w:hAnsi="Verdana" w:cstheme="minorHAnsi"/>
          <w:sz w:val="20"/>
          <w:szCs w:val="20"/>
          <w:lang w:val="es-ES_tradnl" w:eastAsia="es-ES"/>
        </w:rPr>
        <w:t>B</w:t>
      </w:r>
      <w:r w:rsidRPr="0005341B">
        <w:rPr>
          <w:rFonts w:ascii="Verdana" w:eastAsia="Calibri" w:hAnsi="Verdana" w:cs="Times"/>
          <w:sz w:val="20"/>
          <w:szCs w:val="20"/>
          <w:lang w:val="es-ES_tradnl" w:eastAsia="es-ES"/>
        </w:rPr>
        <w:t xml:space="preserve">) el impacto de estos hechos en sus vidas personales y de sus familiares. </w:t>
      </w:r>
    </w:p>
    <w:p w14:paraId="48184BE2" w14:textId="77777777" w:rsidR="0005341B" w:rsidRPr="0005341B" w:rsidRDefault="0005341B" w:rsidP="00A579A1">
      <w:pPr>
        <w:widowControl w:val="0"/>
        <w:tabs>
          <w:tab w:val="left" w:pos="540"/>
          <w:tab w:val="left" w:pos="1440"/>
        </w:tabs>
        <w:spacing w:line="240" w:lineRule="auto"/>
        <w:ind w:left="0"/>
        <w:contextualSpacing/>
        <w:rPr>
          <w:rFonts w:ascii="Verdana" w:eastAsia="Calibri" w:hAnsi="Verdana" w:cs="Times"/>
          <w:i/>
          <w:sz w:val="20"/>
          <w:szCs w:val="20"/>
          <w:lang w:val="es-CR" w:eastAsia="es-ES"/>
        </w:rPr>
      </w:pPr>
    </w:p>
    <w:p w14:paraId="48184BE3" w14:textId="77777777" w:rsidR="0005341B" w:rsidRPr="0005341B" w:rsidRDefault="0005341B" w:rsidP="00A579A1">
      <w:pPr>
        <w:widowControl w:val="0"/>
        <w:numPr>
          <w:ilvl w:val="0"/>
          <w:numId w:val="8"/>
        </w:numPr>
        <w:tabs>
          <w:tab w:val="left" w:pos="90"/>
          <w:tab w:val="left" w:pos="1440"/>
        </w:tabs>
        <w:spacing w:after="200" w:line="240" w:lineRule="auto"/>
        <w:ind w:left="1494"/>
        <w:contextualSpacing/>
        <w:rPr>
          <w:rFonts w:ascii="Verdana" w:eastAsia="Calibri" w:hAnsi="Verdana" w:cs="Times"/>
          <w:i/>
          <w:sz w:val="20"/>
          <w:szCs w:val="20"/>
          <w:lang w:val="es-CR" w:eastAsia="es-ES"/>
        </w:rPr>
      </w:pPr>
      <w:r w:rsidRPr="0005341B">
        <w:rPr>
          <w:rFonts w:ascii="Verdana" w:eastAsia="Calibri" w:hAnsi="Verdana" w:cs="Times"/>
          <w:i/>
          <w:sz w:val="20"/>
          <w:szCs w:val="20"/>
          <w:lang w:val="es-CR" w:eastAsia="es-ES"/>
        </w:rPr>
        <w:t>Testigo (propuesto por las representantes)</w:t>
      </w:r>
    </w:p>
    <w:p w14:paraId="48184BE4" w14:textId="77777777" w:rsidR="0005341B" w:rsidRPr="0005341B" w:rsidRDefault="0005341B" w:rsidP="00A579A1">
      <w:pPr>
        <w:widowControl w:val="0"/>
        <w:tabs>
          <w:tab w:val="left" w:pos="540"/>
          <w:tab w:val="left" w:pos="1440"/>
        </w:tabs>
        <w:spacing w:line="240" w:lineRule="auto"/>
        <w:ind w:left="0"/>
        <w:contextualSpacing/>
        <w:rPr>
          <w:rFonts w:ascii="Verdana" w:eastAsia="Calibri" w:hAnsi="Verdana" w:cs="Times"/>
          <w:sz w:val="20"/>
          <w:szCs w:val="20"/>
          <w:lang w:val="es-MX" w:eastAsia="es-ES"/>
        </w:rPr>
      </w:pPr>
    </w:p>
    <w:p w14:paraId="48184BE5" w14:textId="0EC67095" w:rsidR="0005341B" w:rsidRPr="0005341B" w:rsidRDefault="0005341B" w:rsidP="00A579A1">
      <w:pPr>
        <w:widowControl w:val="0"/>
        <w:numPr>
          <w:ilvl w:val="2"/>
          <w:numId w:val="8"/>
        </w:numPr>
        <w:tabs>
          <w:tab w:val="left" w:pos="540"/>
          <w:tab w:val="left" w:pos="1440"/>
        </w:tabs>
        <w:spacing w:after="200" w:line="240" w:lineRule="auto"/>
        <w:ind w:left="1030"/>
        <w:contextualSpacing/>
        <w:rPr>
          <w:rFonts w:ascii="Verdana" w:eastAsia="Calibri" w:hAnsi="Verdana" w:cs="Times"/>
          <w:sz w:val="20"/>
          <w:szCs w:val="20"/>
          <w:lang w:val="es-ES_tradnl" w:eastAsia="es-ES"/>
        </w:rPr>
      </w:pPr>
      <w:r w:rsidRPr="0005341B">
        <w:rPr>
          <w:rFonts w:ascii="Verdana" w:eastAsia="Calibri" w:hAnsi="Verdana" w:cs="Times"/>
          <w:i/>
          <w:sz w:val="20"/>
          <w:szCs w:val="20"/>
          <w:lang w:val="es-CR" w:eastAsia="es-ES"/>
        </w:rPr>
        <w:t>Salomón Baltazar Samayoa (</w:t>
      </w:r>
      <w:r w:rsidRPr="0005341B">
        <w:rPr>
          <w:rFonts w:ascii="Verdana" w:eastAsia="Calibri" w:hAnsi="Verdana" w:cs="Times"/>
          <w:i/>
          <w:sz w:val="20"/>
          <w:szCs w:val="20"/>
          <w:lang w:val="es-ES_tradnl" w:eastAsia="es-ES"/>
        </w:rPr>
        <w:t>fungió como Titular de la Unidad Especializada de Búsqueda de Personas Desaparecidas de la Procuraduría General de la República al momento de los hechos</w:t>
      </w:r>
      <w:r w:rsidRPr="0005341B">
        <w:rPr>
          <w:rFonts w:ascii="Verdana" w:eastAsia="Calibri" w:hAnsi="Verdana" w:cs="Times"/>
          <w:i/>
          <w:sz w:val="20"/>
          <w:szCs w:val="20"/>
          <w:lang w:val="es-CR" w:eastAsia="es-ES"/>
        </w:rPr>
        <w:t>)</w:t>
      </w:r>
      <w:r w:rsidRPr="0005341B">
        <w:rPr>
          <w:rFonts w:ascii="Verdana" w:eastAsia="Calibri" w:hAnsi="Verdana" w:cs="Times"/>
          <w:sz w:val="20"/>
          <w:szCs w:val="20"/>
          <w:lang w:val="es-CR" w:eastAsia="es-ES"/>
        </w:rPr>
        <w:t xml:space="preserve">, quien declarará sobre: </w:t>
      </w:r>
      <w:r w:rsidRPr="0005341B">
        <w:rPr>
          <w:rFonts w:ascii="Verdana" w:eastAsia="Calibri" w:hAnsi="Verdana" w:cstheme="minorHAnsi"/>
          <w:sz w:val="20"/>
          <w:szCs w:val="20"/>
          <w:lang w:val="es-CR" w:eastAsia="es-ES"/>
        </w:rPr>
        <w:t>A</w:t>
      </w:r>
      <w:r w:rsidRPr="0005341B">
        <w:rPr>
          <w:rFonts w:ascii="Verdana" w:eastAsia="Calibri" w:hAnsi="Verdana" w:cs="Times"/>
          <w:sz w:val="20"/>
          <w:szCs w:val="20"/>
          <w:lang w:val="es-CR" w:eastAsia="es-ES"/>
        </w:rPr>
        <w:t xml:space="preserve">) </w:t>
      </w:r>
      <w:r w:rsidRPr="0005341B">
        <w:rPr>
          <w:rFonts w:ascii="Verdana" w:eastAsia="Calibri" w:hAnsi="Verdana" w:cs="Times"/>
          <w:sz w:val="20"/>
          <w:szCs w:val="20"/>
          <w:lang w:val="es-ES_tradnl" w:eastAsia="es-ES"/>
        </w:rPr>
        <w:t xml:space="preserve">las diligencias realizadas en la investigación avanzada por la </w:t>
      </w:r>
      <w:r w:rsidRPr="0005341B">
        <w:rPr>
          <w:rFonts w:ascii="Verdana" w:eastAsia="Calibri" w:hAnsi="Verdana" w:cs="Times"/>
          <w:sz w:val="20"/>
          <w:szCs w:val="20"/>
          <w:lang w:val="es-MX" w:eastAsia="es-ES"/>
        </w:rPr>
        <w:t>Procuraduría General de la República</w:t>
      </w:r>
      <w:r w:rsidRPr="0005341B">
        <w:rPr>
          <w:rFonts w:ascii="Verdana" w:eastAsia="Calibri" w:hAnsi="Verdana" w:cs="Times"/>
          <w:sz w:val="20"/>
          <w:szCs w:val="20"/>
          <w:lang w:val="es-ES_tradnl" w:eastAsia="es-ES"/>
        </w:rPr>
        <w:t xml:space="preserve"> sobre la desaparición de las presuntas víctimas en el presente caso</w:t>
      </w:r>
      <w:r w:rsidR="00DF4076">
        <w:rPr>
          <w:rFonts w:ascii="Verdana" w:eastAsia="Calibri" w:hAnsi="Verdana" w:cs="Times"/>
          <w:sz w:val="20"/>
          <w:szCs w:val="20"/>
          <w:lang w:val="es-ES_tradnl" w:eastAsia="es-ES"/>
        </w:rPr>
        <w:t>;</w:t>
      </w:r>
      <w:r w:rsidRPr="0005341B">
        <w:rPr>
          <w:rFonts w:ascii="Verdana" w:eastAsia="Calibri" w:hAnsi="Verdana" w:cs="Times"/>
          <w:sz w:val="20"/>
          <w:szCs w:val="20"/>
          <w:lang w:val="es-ES_tradnl" w:eastAsia="es-ES"/>
        </w:rPr>
        <w:t xml:space="preserve"> </w:t>
      </w:r>
      <w:r w:rsidRPr="0005341B">
        <w:rPr>
          <w:rFonts w:ascii="Verdana" w:eastAsia="Calibri" w:hAnsi="Verdana" w:cstheme="minorHAnsi"/>
          <w:sz w:val="20"/>
          <w:szCs w:val="20"/>
          <w:lang w:val="es-ES_tradnl" w:eastAsia="es-ES"/>
        </w:rPr>
        <w:t>B</w:t>
      </w:r>
      <w:r w:rsidRPr="0005341B">
        <w:rPr>
          <w:rFonts w:ascii="Verdana" w:eastAsia="Calibri" w:hAnsi="Verdana" w:cs="Times"/>
          <w:sz w:val="20"/>
          <w:szCs w:val="20"/>
          <w:lang w:val="es-ES_tradnl" w:eastAsia="es-ES"/>
        </w:rPr>
        <w:t xml:space="preserve">) los eventuales obstáculos que el declarante advirtió en la investigación referida para garantizar el paradero de las presuntas víctimas y la sanción de los responsables, y </w:t>
      </w:r>
      <w:r w:rsidRPr="0005341B">
        <w:rPr>
          <w:rFonts w:ascii="Verdana" w:eastAsia="Calibri" w:hAnsi="Verdana" w:cstheme="minorHAnsi"/>
          <w:sz w:val="20"/>
          <w:szCs w:val="20"/>
          <w:lang w:val="es-ES_tradnl" w:eastAsia="es-ES"/>
        </w:rPr>
        <w:t>C</w:t>
      </w:r>
      <w:r w:rsidRPr="0005341B">
        <w:rPr>
          <w:rFonts w:ascii="Verdana" w:eastAsia="Calibri" w:hAnsi="Verdana" w:cs="Times"/>
          <w:sz w:val="20"/>
          <w:szCs w:val="20"/>
          <w:lang w:val="es-ES_tradnl" w:eastAsia="es-ES"/>
        </w:rPr>
        <w:t xml:space="preserve">) las diligencias relacionadas con la presencia militar en la zona en donde ocurrieron los hechos y lo relativo a que una de las principales líneas de investigación era la participación de militares en la desaparición de las presuntas víctimas. </w:t>
      </w:r>
    </w:p>
    <w:p w14:paraId="48184BE6" w14:textId="77777777" w:rsidR="0005341B" w:rsidRPr="0005341B" w:rsidRDefault="0005341B" w:rsidP="00A579A1">
      <w:pPr>
        <w:widowControl w:val="0"/>
        <w:tabs>
          <w:tab w:val="left" w:pos="540"/>
          <w:tab w:val="left" w:pos="1440"/>
        </w:tabs>
        <w:spacing w:line="240" w:lineRule="auto"/>
        <w:ind w:left="0"/>
        <w:contextualSpacing/>
        <w:rPr>
          <w:rFonts w:ascii="Verdana" w:eastAsia="Calibri" w:hAnsi="Verdana" w:cs="Times"/>
          <w:sz w:val="20"/>
          <w:szCs w:val="20"/>
          <w:lang w:val="es-MX" w:eastAsia="es-ES"/>
        </w:rPr>
      </w:pPr>
    </w:p>
    <w:p w14:paraId="48184BE7" w14:textId="77777777" w:rsidR="0005341B" w:rsidRPr="0005341B" w:rsidRDefault="0005341B" w:rsidP="00A579A1">
      <w:pPr>
        <w:numPr>
          <w:ilvl w:val="0"/>
          <w:numId w:val="8"/>
        </w:numPr>
        <w:tabs>
          <w:tab w:val="left" w:pos="567"/>
        </w:tabs>
        <w:spacing w:after="0" w:line="240" w:lineRule="auto"/>
        <w:ind w:left="1494"/>
        <w:contextualSpacing/>
        <w:rPr>
          <w:rFonts w:ascii="Verdana" w:eastAsia="Calibri" w:hAnsi="Verdana" w:cs="Times"/>
          <w:i/>
          <w:sz w:val="20"/>
          <w:szCs w:val="20"/>
          <w:lang w:val="es-CR" w:eastAsia="es-ES"/>
        </w:rPr>
      </w:pPr>
      <w:r w:rsidRPr="0005341B">
        <w:rPr>
          <w:rFonts w:ascii="Verdana" w:eastAsia="Calibri" w:hAnsi="Verdana" w:cs="Times"/>
          <w:i/>
          <w:sz w:val="20"/>
          <w:szCs w:val="20"/>
          <w:lang w:val="es-CR" w:eastAsia="es-ES"/>
        </w:rPr>
        <w:t>Testigos (propuestos por</w:t>
      </w:r>
      <w:r w:rsidRPr="0005341B">
        <w:rPr>
          <w:rFonts w:ascii="Verdana" w:eastAsia="Calibri" w:hAnsi="Verdana" w:cs="Times"/>
          <w:sz w:val="20"/>
          <w:szCs w:val="20"/>
          <w:lang w:val="es-CR" w:eastAsia="es-ES"/>
        </w:rPr>
        <w:t xml:space="preserve"> </w:t>
      </w:r>
      <w:r w:rsidRPr="0005341B">
        <w:rPr>
          <w:rFonts w:ascii="Verdana" w:eastAsia="Calibri" w:hAnsi="Verdana" w:cs="Times"/>
          <w:i/>
          <w:sz w:val="20"/>
          <w:szCs w:val="20"/>
          <w:lang w:val="es-CR" w:eastAsia="es-ES"/>
        </w:rPr>
        <w:t>el</w:t>
      </w:r>
      <w:r w:rsidRPr="0005341B">
        <w:rPr>
          <w:rFonts w:ascii="Verdana" w:eastAsia="Calibri" w:hAnsi="Verdana" w:cs="Times"/>
          <w:sz w:val="20"/>
          <w:szCs w:val="20"/>
          <w:lang w:val="es-CR" w:eastAsia="es-ES"/>
        </w:rPr>
        <w:t xml:space="preserve"> </w:t>
      </w:r>
      <w:r w:rsidRPr="0005341B">
        <w:rPr>
          <w:rFonts w:ascii="Verdana" w:eastAsia="Calibri" w:hAnsi="Verdana" w:cs="Times"/>
          <w:i/>
          <w:sz w:val="20"/>
          <w:szCs w:val="20"/>
          <w:lang w:val="es-CR" w:eastAsia="es-ES"/>
        </w:rPr>
        <w:t>Estado)</w:t>
      </w:r>
    </w:p>
    <w:p w14:paraId="48184BE8" w14:textId="77777777" w:rsidR="0005341B" w:rsidRPr="0005341B" w:rsidRDefault="0005341B" w:rsidP="00A579A1">
      <w:pPr>
        <w:tabs>
          <w:tab w:val="left" w:pos="567"/>
        </w:tabs>
        <w:spacing w:after="0" w:line="240" w:lineRule="auto"/>
        <w:ind w:left="0"/>
        <w:contextualSpacing/>
        <w:rPr>
          <w:rFonts w:ascii="Verdana" w:eastAsia="Calibri" w:hAnsi="Verdana" w:cs="Times"/>
          <w:i/>
          <w:sz w:val="20"/>
          <w:szCs w:val="20"/>
          <w:lang w:val="es-CR" w:eastAsia="es-ES"/>
        </w:rPr>
      </w:pPr>
    </w:p>
    <w:p w14:paraId="48184BE9" w14:textId="1E48ECA6" w:rsidR="0005341B" w:rsidRPr="0005341B" w:rsidRDefault="0005341B" w:rsidP="00A579A1">
      <w:pPr>
        <w:widowControl w:val="0"/>
        <w:numPr>
          <w:ilvl w:val="0"/>
          <w:numId w:val="9"/>
        </w:numPr>
        <w:tabs>
          <w:tab w:val="left" w:pos="540"/>
        </w:tabs>
        <w:spacing w:after="200" w:line="240" w:lineRule="auto"/>
        <w:ind w:left="1210"/>
        <w:contextualSpacing/>
        <w:rPr>
          <w:rFonts w:ascii="Verdana" w:eastAsia="Calibri" w:hAnsi="Verdana" w:cs="Times"/>
          <w:sz w:val="20"/>
          <w:szCs w:val="20"/>
          <w:lang w:val="es-ES_tradnl" w:eastAsia="es-ES"/>
        </w:rPr>
      </w:pPr>
      <w:r w:rsidRPr="0005341B">
        <w:rPr>
          <w:rFonts w:ascii="Verdana" w:eastAsia="Calibri" w:hAnsi="Verdana" w:cs="Times"/>
          <w:i/>
          <w:sz w:val="20"/>
          <w:szCs w:val="20"/>
          <w:lang w:val="es-CR" w:eastAsia="es-ES"/>
        </w:rPr>
        <w:t>Aarón Enríquez Duarte (</w:t>
      </w:r>
      <w:r w:rsidRPr="0005341B">
        <w:rPr>
          <w:rFonts w:ascii="Verdana" w:eastAsia="Calibri" w:hAnsi="Verdana" w:cs="Times"/>
          <w:i/>
          <w:sz w:val="20"/>
          <w:szCs w:val="20"/>
          <w:lang w:val="es-ES_tradnl" w:eastAsia="es-ES"/>
        </w:rPr>
        <w:t>se desempeñaba como Auxiliar del Ministerio Público, de la Fiscalía General del Estado de Chihuahua</w:t>
      </w:r>
      <w:r w:rsidRPr="0005341B">
        <w:rPr>
          <w:rFonts w:ascii="Verdana" w:eastAsia="Calibri" w:hAnsi="Verdana" w:cs="Times"/>
          <w:i/>
          <w:sz w:val="20"/>
          <w:szCs w:val="20"/>
          <w:lang w:val="es-CR" w:eastAsia="es-ES"/>
        </w:rPr>
        <w:t xml:space="preserve"> a</w:t>
      </w:r>
      <w:r w:rsidRPr="0005341B">
        <w:rPr>
          <w:rFonts w:ascii="Verdana" w:eastAsia="Calibri" w:hAnsi="Verdana" w:cs="Times"/>
          <w:i/>
          <w:sz w:val="20"/>
          <w:szCs w:val="20"/>
          <w:lang w:val="es-ES_tradnl" w:eastAsia="es-ES"/>
        </w:rPr>
        <w:t>l momento de los hechos</w:t>
      </w:r>
      <w:r w:rsidRPr="0005341B">
        <w:rPr>
          <w:rFonts w:ascii="Verdana" w:eastAsia="Calibri" w:hAnsi="Verdana" w:cs="Times"/>
          <w:i/>
          <w:sz w:val="20"/>
          <w:szCs w:val="20"/>
          <w:lang w:val="es-CR" w:eastAsia="es-ES"/>
        </w:rPr>
        <w:t>)</w:t>
      </w:r>
      <w:r w:rsidRPr="0005341B">
        <w:rPr>
          <w:rFonts w:ascii="Verdana" w:eastAsia="Calibri" w:hAnsi="Verdana" w:cs="Times"/>
          <w:sz w:val="20"/>
          <w:szCs w:val="20"/>
          <w:lang w:val="es-CR" w:eastAsia="es-ES"/>
        </w:rPr>
        <w:t>, quien declarará sobre</w:t>
      </w:r>
      <w:r w:rsidRPr="0005341B">
        <w:rPr>
          <w:rFonts w:ascii="Verdana" w:eastAsia="Calibri" w:hAnsi="Verdana" w:cstheme="minorHAnsi"/>
          <w:bCs/>
          <w:sz w:val="20"/>
          <w:szCs w:val="20"/>
          <w:lang w:val="es-CR" w:eastAsia="es-ES"/>
        </w:rPr>
        <w:t xml:space="preserve"> </w:t>
      </w:r>
      <w:r w:rsidRPr="0005341B">
        <w:rPr>
          <w:rFonts w:ascii="Verdana" w:eastAsia="Calibri" w:hAnsi="Verdana" w:cs="Times"/>
          <w:sz w:val="20"/>
          <w:szCs w:val="20"/>
          <w:lang w:val="es-ES_tradnl" w:eastAsia="es-ES"/>
        </w:rPr>
        <w:t>el contacto que tuvo con los familiares de las personas desaparecidas en el presente caso y la información que le remitió a las mismas.</w:t>
      </w:r>
    </w:p>
    <w:p w14:paraId="48184BEA" w14:textId="77777777" w:rsidR="0005341B" w:rsidRPr="0005341B" w:rsidRDefault="0005341B" w:rsidP="00A579A1">
      <w:pPr>
        <w:widowControl w:val="0"/>
        <w:tabs>
          <w:tab w:val="left" w:pos="540"/>
        </w:tabs>
        <w:spacing w:line="240" w:lineRule="auto"/>
        <w:ind w:left="1210"/>
        <w:contextualSpacing/>
        <w:rPr>
          <w:rFonts w:ascii="Verdana" w:eastAsia="Calibri" w:hAnsi="Verdana" w:cs="Times"/>
          <w:sz w:val="20"/>
          <w:szCs w:val="20"/>
          <w:lang w:val="es-ES_tradnl" w:eastAsia="es-ES"/>
        </w:rPr>
      </w:pPr>
    </w:p>
    <w:p w14:paraId="48184BEB" w14:textId="2DBF1442" w:rsidR="0005341B" w:rsidRPr="0005341B" w:rsidRDefault="0005341B" w:rsidP="00A579A1">
      <w:pPr>
        <w:widowControl w:val="0"/>
        <w:numPr>
          <w:ilvl w:val="0"/>
          <w:numId w:val="9"/>
        </w:numPr>
        <w:tabs>
          <w:tab w:val="left" w:pos="540"/>
        </w:tabs>
        <w:spacing w:after="200" w:line="240" w:lineRule="auto"/>
        <w:ind w:left="1210"/>
        <w:contextualSpacing/>
        <w:rPr>
          <w:rFonts w:ascii="Verdana" w:eastAsia="Calibri" w:hAnsi="Verdana" w:cs="Times"/>
          <w:sz w:val="20"/>
          <w:szCs w:val="20"/>
          <w:lang w:val="es-ES_tradnl" w:eastAsia="es-ES"/>
        </w:rPr>
      </w:pPr>
      <w:r w:rsidRPr="0005341B">
        <w:rPr>
          <w:rFonts w:ascii="Verdana" w:eastAsia="Calibri" w:hAnsi="Verdana" w:cs="Times"/>
          <w:i/>
          <w:sz w:val="20"/>
          <w:szCs w:val="20"/>
          <w:lang w:val="es-CR" w:eastAsia="es-ES"/>
        </w:rPr>
        <w:t>Víctor Cruz Martínez</w:t>
      </w:r>
      <w:r w:rsidRPr="0005341B">
        <w:rPr>
          <w:rFonts w:ascii="Verdana" w:eastAsia="Calibri" w:hAnsi="Verdana" w:cs="Times"/>
          <w:sz w:val="20"/>
          <w:szCs w:val="20"/>
          <w:lang w:val="es-CR" w:eastAsia="es-ES"/>
        </w:rPr>
        <w:t>, (</w:t>
      </w:r>
      <w:r w:rsidRPr="0005341B">
        <w:rPr>
          <w:rFonts w:ascii="Verdana" w:eastAsia="Calibri" w:hAnsi="Verdana" w:cs="Times"/>
          <w:i/>
          <w:sz w:val="20"/>
          <w:szCs w:val="20"/>
          <w:lang w:val="es-ES_tradnl" w:eastAsia="es-ES"/>
        </w:rPr>
        <w:t>agente del Ministerio Público que tuvo a su cargo la averiguación previa del caso durante el período de 2013 a 2015</w:t>
      </w:r>
      <w:r w:rsidRPr="0005341B">
        <w:rPr>
          <w:rFonts w:ascii="Verdana" w:eastAsia="Calibri" w:hAnsi="Verdana" w:cs="Times"/>
          <w:sz w:val="20"/>
          <w:szCs w:val="20"/>
          <w:lang w:val="es-CR" w:eastAsia="es-ES"/>
        </w:rPr>
        <w:t xml:space="preserve">), quien declarará </w:t>
      </w:r>
      <w:r w:rsidRPr="0005341B">
        <w:rPr>
          <w:rFonts w:ascii="Verdana" w:eastAsia="Calibri" w:hAnsi="Verdana" w:cs="Times"/>
          <w:sz w:val="20"/>
          <w:szCs w:val="20"/>
          <w:lang w:val="es-ES_tradnl" w:eastAsia="es-ES"/>
        </w:rPr>
        <w:t>sobre:</w:t>
      </w:r>
      <w:r w:rsidRPr="0005341B">
        <w:rPr>
          <w:rFonts w:ascii="Verdana" w:eastAsia="Calibri" w:hAnsi="Verdana" w:cstheme="minorHAnsi"/>
          <w:bCs/>
          <w:sz w:val="20"/>
          <w:szCs w:val="20"/>
          <w:lang w:val="es-ES_tradnl" w:eastAsia="es-ES"/>
        </w:rPr>
        <w:t xml:space="preserve"> A</w:t>
      </w:r>
      <w:r w:rsidRPr="0005341B">
        <w:rPr>
          <w:rFonts w:ascii="Verdana" w:eastAsia="Calibri" w:hAnsi="Verdana" w:cs="Times"/>
          <w:sz w:val="20"/>
          <w:szCs w:val="20"/>
          <w:lang w:val="es-ES_tradnl" w:eastAsia="es-ES"/>
        </w:rPr>
        <w:t xml:space="preserve">) el ejercicio de la acción penal llevado a cabo por la </w:t>
      </w:r>
      <w:r w:rsidRPr="0005341B">
        <w:rPr>
          <w:rFonts w:ascii="Verdana" w:eastAsia="Calibri" w:hAnsi="Verdana" w:cs="Times"/>
          <w:sz w:val="20"/>
          <w:szCs w:val="20"/>
          <w:lang w:val="es-CR" w:eastAsia="es-ES"/>
        </w:rPr>
        <w:t xml:space="preserve">Procuraduría General de la República </w:t>
      </w:r>
      <w:r w:rsidRPr="0005341B">
        <w:rPr>
          <w:rFonts w:ascii="Verdana" w:eastAsia="Calibri" w:hAnsi="Verdana" w:cs="Times"/>
          <w:sz w:val="20"/>
          <w:szCs w:val="20"/>
          <w:lang w:val="es-ES_tradnl" w:eastAsia="es-ES"/>
        </w:rPr>
        <w:t xml:space="preserve">respecto de los hechos del presente caso, y </w:t>
      </w:r>
      <w:r w:rsidRPr="0005341B">
        <w:rPr>
          <w:rFonts w:ascii="Verdana" w:eastAsia="Calibri" w:hAnsi="Verdana" w:cstheme="minorHAnsi"/>
          <w:bCs/>
          <w:sz w:val="20"/>
          <w:szCs w:val="20"/>
          <w:lang w:val="es-ES_tradnl" w:eastAsia="es-ES"/>
        </w:rPr>
        <w:t>B</w:t>
      </w:r>
      <w:r w:rsidRPr="0005341B">
        <w:rPr>
          <w:rFonts w:ascii="Verdana" w:eastAsia="Calibri" w:hAnsi="Verdana" w:cs="Times"/>
          <w:sz w:val="20"/>
          <w:szCs w:val="20"/>
          <w:lang w:val="es-ES_tradnl" w:eastAsia="es-ES"/>
        </w:rPr>
        <w:t>) los resultados obtenidos a la luz del material probatorio con el que se contaba al momento de los mismos.</w:t>
      </w:r>
    </w:p>
    <w:p w14:paraId="48184BEC" w14:textId="77777777" w:rsidR="0005341B" w:rsidRPr="0005341B" w:rsidRDefault="0005341B" w:rsidP="00A579A1">
      <w:pPr>
        <w:spacing w:line="240" w:lineRule="auto"/>
        <w:ind w:left="720"/>
        <w:contextualSpacing/>
        <w:rPr>
          <w:rFonts w:ascii="Verdana" w:eastAsia="Calibri" w:hAnsi="Verdana" w:cs="Times"/>
          <w:sz w:val="20"/>
          <w:szCs w:val="20"/>
          <w:lang w:val="es-CR" w:eastAsia="es-ES"/>
        </w:rPr>
      </w:pPr>
    </w:p>
    <w:p w14:paraId="48184BED" w14:textId="1E077213" w:rsidR="0005341B" w:rsidRPr="0005341B" w:rsidRDefault="0005341B" w:rsidP="00A579A1">
      <w:pPr>
        <w:widowControl w:val="0"/>
        <w:numPr>
          <w:ilvl w:val="0"/>
          <w:numId w:val="9"/>
        </w:numPr>
        <w:tabs>
          <w:tab w:val="left" w:pos="540"/>
        </w:tabs>
        <w:spacing w:after="200" w:line="240" w:lineRule="auto"/>
        <w:ind w:left="1210"/>
        <w:contextualSpacing/>
        <w:rPr>
          <w:rFonts w:ascii="Verdana" w:eastAsia="Calibri" w:hAnsi="Verdana" w:cs="Times"/>
          <w:sz w:val="20"/>
          <w:szCs w:val="20"/>
          <w:lang w:val="es-ES_tradnl" w:eastAsia="es-ES"/>
        </w:rPr>
      </w:pPr>
      <w:r w:rsidRPr="0005341B">
        <w:rPr>
          <w:rFonts w:ascii="Verdana" w:eastAsia="Calibri" w:hAnsi="Verdana" w:cs="Times"/>
          <w:sz w:val="20"/>
          <w:szCs w:val="20"/>
          <w:lang w:val="es-CR" w:eastAsia="es-ES"/>
        </w:rPr>
        <w:t>José Emilio Serrano Santiago (</w:t>
      </w:r>
      <w:r w:rsidRPr="0005341B">
        <w:rPr>
          <w:rFonts w:ascii="Verdana" w:eastAsia="Calibri" w:hAnsi="Verdana" w:cs="Times"/>
          <w:i/>
          <w:sz w:val="20"/>
          <w:szCs w:val="20"/>
          <w:lang w:val="es-CR" w:eastAsia="es-ES"/>
        </w:rPr>
        <w:t xml:space="preserve">funcionario del </w:t>
      </w:r>
      <w:r w:rsidRPr="0005341B">
        <w:rPr>
          <w:rFonts w:ascii="Verdana" w:eastAsia="Calibri" w:hAnsi="Verdana" w:cs="Times"/>
          <w:i/>
          <w:sz w:val="20"/>
          <w:szCs w:val="20"/>
          <w:lang w:val="es-ES_tradnl" w:eastAsia="es-ES"/>
        </w:rPr>
        <w:t>Centro Nacional de Planeación, Análisis e Información para el Combate a la Delincuencia,</w:t>
      </w:r>
      <w:r w:rsidRPr="0005341B">
        <w:rPr>
          <w:rFonts w:ascii="Verdana" w:eastAsia="Calibri" w:hAnsi="Verdana" w:cs="Times"/>
          <w:i/>
          <w:sz w:val="20"/>
          <w:szCs w:val="20"/>
          <w:lang w:val="es-CR" w:eastAsia="es-ES"/>
        </w:rPr>
        <w:t xml:space="preserve"> CENAPI)</w:t>
      </w:r>
      <w:r w:rsidRPr="0005341B">
        <w:rPr>
          <w:rFonts w:ascii="Verdana" w:eastAsia="Calibri" w:hAnsi="Verdana" w:cs="Times"/>
          <w:sz w:val="20"/>
          <w:szCs w:val="20"/>
          <w:lang w:val="es-CR" w:eastAsia="es-ES"/>
        </w:rPr>
        <w:t>, quien declarará sobre</w:t>
      </w:r>
      <w:r w:rsidRPr="0005341B">
        <w:rPr>
          <w:rFonts w:ascii="Verdana" w:eastAsia="Calibri" w:hAnsi="Verdana" w:cstheme="minorHAnsi"/>
          <w:bCs/>
          <w:sz w:val="20"/>
          <w:szCs w:val="20"/>
          <w:lang w:val="es-CR" w:eastAsia="es-ES"/>
        </w:rPr>
        <w:t xml:space="preserve"> </w:t>
      </w:r>
      <w:r w:rsidRPr="0005341B">
        <w:rPr>
          <w:rFonts w:ascii="Verdana" w:eastAsia="Calibri" w:hAnsi="Verdana" w:cs="Times"/>
          <w:sz w:val="20"/>
          <w:szCs w:val="20"/>
          <w:lang w:val="es-CR" w:eastAsia="es-ES"/>
        </w:rPr>
        <w:t xml:space="preserve">la </w:t>
      </w:r>
      <w:r w:rsidRPr="0005341B">
        <w:rPr>
          <w:rFonts w:ascii="Verdana" w:eastAsia="Calibri" w:hAnsi="Verdana" w:cs="Times"/>
          <w:sz w:val="20"/>
          <w:szCs w:val="20"/>
          <w:lang w:val="es-ES_tradnl" w:eastAsia="es-ES"/>
        </w:rPr>
        <w:t>labor desempeñada por el Centro Nacional de Planeación, Análisis e Información para el Combate a la Delincuencia (CENAPI), respecto del análisis del contexto de delincuencia en el Estado de Chihuahua, en la época de los hechos del presente caso.</w:t>
      </w:r>
    </w:p>
    <w:p w14:paraId="48184BEE" w14:textId="77777777" w:rsidR="0005341B" w:rsidRPr="0005341B" w:rsidRDefault="0005341B" w:rsidP="00A579A1">
      <w:pPr>
        <w:spacing w:line="240" w:lineRule="auto"/>
        <w:ind w:left="720"/>
        <w:contextualSpacing/>
        <w:rPr>
          <w:rFonts w:ascii="Verdana" w:eastAsia="Calibri" w:hAnsi="Verdana" w:cs="Times"/>
          <w:i/>
          <w:sz w:val="20"/>
          <w:szCs w:val="20"/>
          <w:lang w:val="es-CR" w:eastAsia="es-ES"/>
        </w:rPr>
      </w:pPr>
    </w:p>
    <w:p w14:paraId="48184BEF" w14:textId="40ADAE8D" w:rsidR="0005341B" w:rsidRPr="0005341B" w:rsidRDefault="0005341B" w:rsidP="00A579A1">
      <w:pPr>
        <w:widowControl w:val="0"/>
        <w:numPr>
          <w:ilvl w:val="0"/>
          <w:numId w:val="9"/>
        </w:numPr>
        <w:tabs>
          <w:tab w:val="left" w:pos="540"/>
        </w:tabs>
        <w:spacing w:after="200" w:line="240" w:lineRule="auto"/>
        <w:ind w:left="1210"/>
        <w:contextualSpacing/>
        <w:rPr>
          <w:rFonts w:ascii="Verdana" w:eastAsia="Calibri" w:hAnsi="Verdana" w:cs="Times"/>
          <w:sz w:val="20"/>
          <w:szCs w:val="20"/>
          <w:lang w:val="es-ES_tradnl" w:eastAsia="es-ES"/>
        </w:rPr>
      </w:pPr>
      <w:r w:rsidRPr="0005341B">
        <w:rPr>
          <w:rFonts w:ascii="Verdana" w:eastAsia="Calibri" w:hAnsi="Verdana" w:cs="Times"/>
          <w:i/>
          <w:sz w:val="20"/>
          <w:szCs w:val="20"/>
          <w:lang w:val="es-CR" w:eastAsia="es-ES"/>
        </w:rPr>
        <w:t xml:space="preserve">Efraín Arzola Herrejón (funcionario del Centro Nacional de Planeación, Análisis e </w:t>
      </w:r>
      <w:r w:rsidRPr="0005341B">
        <w:rPr>
          <w:rFonts w:ascii="Verdana" w:eastAsia="Calibri" w:hAnsi="Verdana" w:cs="Times"/>
          <w:i/>
          <w:sz w:val="20"/>
          <w:szCs w:val="20"/>
          <w:lang w:val="es-CR" w:eastAsia="es-ES"/>
        </w:rPr>
        <w:lastRenderedPageBreak/>
        <w:t>Información para el Combate a la Delincuencia, CENAPI)</w:t>
      </w:r>
      <w:r w:rsidRPr="0005341B">
        <w:rPr>
          <w:rFonts w:ascii="Verdana" w:eastAsia="Calibri" w:hAnsi="Verdana" w:cs="Times"/>
          <w:sz w:val="20"/>
          <w:szCs w:val="20"/>
          <w:lang w:val="es-CR" w:eastAsia="es-ES"/>
        </w:rPr>
        <w:t>, quien declarará sobre:</w:t>
      </w:r>
      <w:r w:rsidRPr="0005341B">
        <w:rPr>
          <w:rFonts w:ascii="Verdana" w:eastAsia="Calibri" w:hAnsi="Verdana" w:cstheme="minorHAnsi"/>
          <w:bCs/>
          <w:iCs/>
          <w:sz w:val="20"/>
          <w:szCs w:val="20"/>
          <w:lang w:val="es-CR" w:eastAsia="es-ES"/>
        </w:rPr>
        <w:t xml:space="preserve"> A</w:t>
      </w:r>
      <w:r w:rsidRPr="0005341B">
        <w:rPr>
          <w:rFonts w:ascii="Verdana" w:eastAsia="Calibri" w:hAnsi="Verdana" w:cs="Times"/>
          <w:sz w:val="20"/>
          <w:szCs w:val="20"/>
          <w:lang w:val="es-CR" w:eastAsia="es-ES"/>
        </w:rPr>
        <w:t xml:space="preserve">) la labor desempeñada por el </w:t>
      </w:r>
      <w:r w:rsidRPr="0005341B">
        <w:rPr>
          <w:rFonts w:ascii="Verdana" w:eastAsia="Calibri" w:hAnsi="Verdana" w:cs="Times"/>
          <w:sz w:val="20"/>
          <w:szCs w:val="20"/>
          <w:lang w:val="es-MX" w:eastAsia="es-ES"/>
        </w:rPr>
        <w:t>Centro Nacional de Planeación, Análisis e Información para el Combate a la Delincuencia (CENAPI),</w:t>
      </w:r>
      <w:r w:rsidR="00DF4076">
        <w:rPr>
          <w:rFonts w:ascii="Verdana" w:eastAsia="Calibri" w:hAnsi="Verdana" w:cs="Times"/>
          <w:sz w:val="20"/>
          <w:szCs w:val="20"/>
          <w:lang w:val="es-MX" w:eastAsia="es-ES"/>
        </w:rPr>
        <w:t xml:space="preserve"> y</w:t>
      </w:r>
      <w:r w:rsidRPr="0005341B">
        <w:rPr>
          <w:rFonts w:ascii="Verdana" w:eastAsia="Calibri" w:hAnsi="Verdana" w:cs="Times"/>
          <w:sz w:val="20"/>
          <w:szCs w:val="20"/>
          <w:lang w:val="es-MX" w:eastAsia="es-ES"/>
        </w:rPr>
        <w:t xml:space="preserve"> </w:t>
      </w:r>
      <w:r w:rsidRPr="0005341B">
        <w:rPr>
          <w:rFonts w:ascii="Verdana" w:eastAsia="Calibri" w:hAnsi="Verdana" w:cs="Times"/>
          <w:sz w:val="20"/>
          <w:szCs w:val="20"/>
          <w:lang w:val="es-CR" w:eastAsia="es-ES"/>
        </w:rPr>
        <w:t>respecto de la metodología</w:t>
      </w:r>
      <w:r w:rsidR="00DF4076">
        <w:rPr>
          <w:rFonts w:ascii="Verdana" w:eastAsia="Calibri" w:hAnsi="Verdana" w:cs="Times"/>
          <w:sz w:val="20"/>
          <w:szCs w:val="20"/>
          <w:lang w:val="es-CR" w:eastAsia="es-ES"/>
        </w:rPr>
        <w:t xml:space="preserve"> empleada en la investigación del caso concreto a nivel interno</w:t>
      </w:r>
      <w:r w:rsidRPr="0005341B">
        <w:rPr>
          <w:rFonts w:ascii="Verdana" w:eastAsia="Calibri" w:hAnsi="Verdana" w:cs="Times"/>
          <w:sz w:val="20"/>
          <w:szCs w:val="20"/>
          <w:lang w:val="es-CR" w:eastAsia="es-ES"/>
        </w:rPr>
        <w:t xml:space="preserve">, y </w:t>
      </w:r>
      <w:r w:rsidRPr="0005341B">
        <w:rPr>
          <w:rFonts w:ascii="Verdana" w:eastAsia="Calibri" w:hAnsi="Verdana" w:cstheme="minorHAnsi"/>
          <w:bCs/>
          <w:iCs/>
          <w:sz w:val="20"/>
          <w:szCs w:val="20"/>
          <w:lang w:val="es-CR" w:eastAsia="es-ES"/>
        </w:rPr>
        <w:t>B</w:t>
      </w:r>
      <w:r w:rsidRPr="0005341B">
        <w:rPr>
          <w:rFonts w:ascii="Verdana" w:eastAsia="Calibri" w:hAnsi="Verdana" w:cs="Times"/>
          <w:sz w:val="20"/>
          <w:szCs w:val="20"/>
          <w:lang w:val="es-CR" w:eastAsia="es-ES"/>
        </w:rPr>
        <w:t>) los resultados que se obtuvieron de las redes de vínculos basados en los documentos de la Averiguación Previa que actualmente se sigue respecto de los hechos del presente caso, y que se encuentra a cargo de la Subprocuraduría de Derechos Humanos, Prevención del Delito y Servicios a la Comunidad de la Procuraduría General de la República.</w:t>
      </w:r>
    </w:p>
    <w:p w14:paraId="48184BF0" w14:textId="77777777" w:rsidR="0005341B" w:rsidRPr="0005341B" w:rsidRDefault="0005341B" w:rsidP="00A579A1">
      <w:pPr>
        <w:spacing w:line="240" w:lineRule="auto"/>
        <w:ind w:left="720"/>
        <w:contextualSpacing/>
        <w:rPr>
          <w:rFonts w:ascii="Verdana" w:eastAsia="Calibri" w:hAnsi="Verdana" w:cs="Times"/>
          <w:i/>
          <w:sz w:val="20"/>
          <w:szCs w:val="20"/>
          <w:lang w:val="es-CR" w:eastAsia="es-ES"/>
        </w:rPr>
      </w:pPr>
    </w:p>
    <w:p w14:paraId="48184BF1" w14:textId="3C4D01E3" w:rsidR="0005341B" w:rsidRPr="0005341B" w:rsidRDefault="0005341B" w:rsidP="00A579A1">
      <w:pPr>
        <w:widowControl w:val="0"/>
        <w:numPr>
          <w:ilvl w:val="0"/>
          <w:numId w:val="9"/>
        </w:numPr>
        <w:tabs>
          <w:tab w:val="left" w:pos="540"/>
        </w:tabs>
        <w:spacing w:after="200" w:line="240" w:lineRule="auto"/>
        <w:ind w:left="1210"/>
        <w:contextualSpacing/>
        <w:rPr>
          <w:rFonts w:ascii="Verdana" w:eastAsia="Calibri" w:hAnsi="Verdana" w:cs="Times"/>
          <w:sz w:val="20"/>
          <w:szCs w:val="20"/>
          <w:lang w:val="es-ES_tradnl" w:eastAsia="es-ES"/>
        </w:rPr>
      </w:pPr>
      <w:r w:rsidRPr="0005341B">
        <w:rPr>
          <w:rFonts w:ascii="Verdana" w:eastAsia="Calibri" w:hAnsi="Verdana" w:cs="Times"/>
          <w:i/>
          <w:sz w:val="20"/>
          <w:szCs w:val="20"/>
          <w:lang w:val="es-CR" w:eastAsia="es-ES"/>
        </w:rPr>
        <w:t>Oscar Arias Ocampo (se desempeñaba como Policía Ministerial de Nuevo Casas Grandes al momento de los hechos)</w:t>
      </w:r>
      <w:r w:rsidRPr="0005341B">
        <w:rPr>
          <w:rFonts w:ascii="Verdana" w:eastAsia="Calibri" w:hAnsi="Verdana" w:cs="Times"/>
          <w:sz w:val="20"/>
          <w:szCs w:val="20"/>
          <w:lang w:val="es-CR" w:eastAsia="es-ES"/>
        </w:rPr>
        <w:t>, quien declarará sobre</w:t>
      </w:r>
      <w:r w:rsidRPr="0005341B">
        <w:rPr>
          <w:rFonts w:ascii="Verdana" w:eastAsia="Calibri" w:hAnsi="Verdana" w:cstheme="minorHAnsi"/>
          <w:bCs/>
          <w:iCs/>
          <w:sz w:val="20"/>
          <w:szCs w:val="20"/>
          <w:lang w:val="es-CR" w:eastAsia="es-ES"/>
        </w:rPr>
        <w:t xml:space="preserve"> </w:t>
      </w:r>
      <w:r w:rsidRPr="0005341B">
        <w:rPr>
          <w:rFonts w:ascii="Verdana" w:eastAsia="Calibri" w:hAnsi="Verdana" w:cs="Times"/>
          <w:sz w:val="20"/>
          <w:szCs w:val="20"/>
          <w:lang w:val="es-CR" w:eastAsia="es-ES"/>
        </w:rPr>
        <w:t xml:space="preserve">el aseguramiento y puesta a disposición del vehículo </w:t>
      </w:r>
      <w:r w:rsidR="00405E15">
        <w:rPr>
          <w:rFonts w:ascii="Verdana" w:eastAsia="Calibri" w:hAnsi="Verdana" w:cs="Times"/>
          <w:sz w:val="20"/>
          <w:szCs w:val="20"/>
          <w:lang w:val="es-CR" w:eastAsia="es-ES"/>
        </w:rPr>
        <w:t xml:space="preserve">marca </w:t>
      </w:r>
      <w:r w:rsidRPr="0005341B">
        <w:rPr>
          <w:rFonts w:ascii="Verdana" w:eastAsia="Calibri" w:hAnsi="Verdana" w:cs="Times"/>
          <w:sz w:val="20"/>
          <w:szCs w:val="20"/>
          <w:lang w:val="es-CR" w:eastAsia="es-ES"/>
        </w:rPr>
        <w:t>General Motors tipo Pick Up, modelo 2001, color azul turquesa, con placas de circulación ZTR 9367, del Estado de Chihuahua, relacionado con los hechos del presente caso.</w:t>
      </w:r>
    </w:p>
    <w:p w14:paraId="48184BF2" w14:textId="77777777" w:rsidR="0005341B" w:rsidRPr="0005341B" w:rsidRDefault="0005341B" w:rsidP="00A579A1">
      <w:pPr>
        <w:spacing w:line="240" w:lineRule="auto"/>
        <w:ind w:left="720"/>
        <w:contextualSpacing/>
        <w:rPr>
          <w:rFonts w:ascii="Verdana" w:eastAsia="Calibri" w:hAnsi="Verdana" w:cs="Times"/>
          <w:i/>
          <w:sz w:val="20"/>
          <w:szCs w:val="20"/>
          <w:lang w:val="es-CR" w:eastAsia="es-ES"/>
        </w:rPr>
      </w:pPr>
    </w:p>
    <w:p w14:paraId="48184BF3" w14:textId="3044FB54" w:rsidR="0005341B" w:rsidRPr="0005341B" w:rsidRDefault="0005341B" w:rsidP="00A579A1">
      <w:pPr>
        <w:widowControl w:val="0"/>
        <w:numPr>
          <w:ilvl w:val="0"/>
          <w:numId w:val="9"/>
        </w:numPr>
        <w:tabs>
          <w:tab w:val="left" w:pos="540"/>
        </w:tabs>
        <w:spacing w:after="200" w:line="240" w:lineRule="auto"/>
        <w:ind w:left="1210"/>
        <w:contextualSpacing/>
        <w:rPr>
          <w:rFonts w:ascii="Verdana" w:eastAsia="Calibri" w:hAnsi="Verdana" w:cs="Times"/>
          <w:sz w:val="20"/>
          <w:szCs w:val="20"/>
          <w:lang w:val="es-ES_tradnl" w:eastAsia="es-ES"/>
        </w:rPr>
      </w:pPr>
      <w:r w:rsidRPr="0005341B">
        <w:rPr>
          <w:rFonts w:ascii="Verdana" w:eastAsia="Calibri" w:hAnsi="Verdana" w:cs="Times"/>
          <w:i/>
          <w:sz w:val="20"/>
          <w:szCs w:val="20"/>
          <w:lang w:val="es-CR" w:eastAsia="es-ES"/>
        </w:rPr>
        <w:t>Marín Adrián Lasso Carbajal (se desempeñaba como Policía Seccional de Puerto Palomas, Chihuahua al momento de los hechos)</w:t>
      </w:r>
      <w:r w:rsidRPr="0005341B">
        <w:rPr>
          <w:rFonts w:ascii="Verdana" w:eastAsia="Calibri" w:hAnsi="Verdana" w:cs="Times"/>
          <w:sz w:val="20"/>
          <w:szCs w:val="20"/>
          <w:lang w:val="es-CR" w:eastAsia="es-ES"/>
        </w:rPr>
        <w:t>, quien declarará sobre:</w:t>
      </w:r>
      <w:r w:rsidRPr="0005341B">
        <w:rPr>
          <w:rFonts w:ascii="Verdana" w:eastAsia="Calibri" w:hAnsi="Verdana" w:cstheme="minorHAnsi"/>
          <w:bCs/>
          <w:iCs/>
          <w:sz w:val="20"/>
          <w:szCs w:val="20"/>
          <w:lang w:val="es-CR" w:eastAsia="es-ES"/>
        </w:rPr>
        <w:t xml:space="preserve"> A</w:t>
      </w:r>
      <w:r w:rsidRPr="0005341B">
        <w:rPr>
          <w:rFonts w:ascii="Verdana" w:eastAsia="Calibri" w:hAnsi="Verdana" w:cs="Times"/>
          <w:sz w:val="20"/>
          <w:szCs w:val="20"/>
          <w:lang w:val="es-CR" w:eastAsia="es-ES"/>
        </w:rPr>
        <w:t xml:space="preserve">) las fechas en las que el personal militar se instaló en el Ejido Benito Juárez (Chihuahua) y su salida del mismo, y </w:t>
      </w:r>
      <w:r w:rsidRPr="0005341B">
        <w:rPr>
          <w:rFonts w:ascii="Verdana" w:eastAsia="Calibri" w:hAnsi="Verdana" w:cstheme="minorHAnsi"/>
          <w:bCs/>
          <w:iCs/>
          <w:sz w:val="20"/>
          <w:szCs w:val="20"/>
          <w:lang w:val="es-CR" w:eastAsia="es-ES"/>
        </w:rPr>
        <w:t>B</w:t>
      </w:r>
      <w:r w:rsidRPr="0005341B">
        <w:rPr>
          <w:rFonts w:ascii="Verdana" w:eastAsia="Calibri" w:hAnsi="Verdana" w:cs="Times"/>
          <w:sz w:val="20"/>
          <w:szCs w:val="20"/>
          <w:lang w:val="es-CR" w:eastAsia="es-ES"/>
        </w:rPr>
        <w:t>) las versiones de los pobladores de dicha localidad respecto de los motivos de la desaparición de Nitza Paola Alvarado Espinoza, José Ángel Alvarado Herrera y Rocío Irene Alvarado Reyes.</w:t>
      </w:r>
    </w:p>
    <w:p w14:paraId="48184BF4" w14:textId="77777777" w:rsidR="0005341B" w:rsidRPr="0005341B" w:rsidRDefault="0005341B" w:rsidP="00A579A1">
      <w:pPr>
        <w:spacing w:line="240" w:lineRule="auto"/>
        <w:ind w:left="720"/>
        <w:contextualSpacing/>
        <w:rPr>
          <w:rFonts w:ascii="Verdana" w:eastAsia="Calibri" w:hAnsi="Verdana" w:cs="Times"/>
          <w:i/>
          <w:sz w:val="20"/>
          <w:szCs w:val="20"/>
          <w:lang w:val="es-CR" w:eastAsia="es-ES"/>
        </w:rPr>
      </w:pPr>
    </w:p>
    <w:p w14:paraId="48184BF5" w14:textId="5C4AB65A" w:rsidR="0005341B" w:rsidRPr="0005341B" w:rsidRDefault="0005341B" w:rsidP="00A579A1">
      <w:pPr>
        <w:widowControl w:val="0"/>
        <w:numPr>
          <w:ilvl w:val="0"/>
          <w:numId w:val="9"/>
        </w:numPr>
        <w:tabs>
          <w:tab w:val="left" w:pos="540"/>
        </w:tabs>
        <w:spacing w:after="200" w:line="240" w:lineRule="auto"/>
        <w:ind w:left="1210"/>
        <w:contextualSpacing/>
        <w:rPr>
          <w:rFonts w:ascii="Verdana" w:eastAsia="Calibri" w:hAnsi="Verdana" w:cs="Times"/>
          <w:sz w:val="20"/>
          <w:szCs w:val="20"/>
          <w:lang w:val="es-ES_tradnl" w:eastAsia="es-ES"/>
        </w:rPr>
      </w:pPr>
      <w:r w:rsidRPr="0005341B">
        <w:rPr>
          <w:rFonts w:ascii="Verdana" w:eastAsia="Calibri" w:hAnsi="Verdana" w:cs="Times"/>
          <w:i/>
          <w:sz w:val="20"/>
          <w:szCs w:val="20"/>
          <w:lang w:val="es-CR" w:eastAsia="es-ES"/>
        </w:rPr>
        <w:t>Ramón Iván Sotomayor Siller (se desempeñaba como Ministerio Público Federal en la Procuraduría General de la República al momento de los hechos)</w:t>
      </w:r>
      <w:r w:rsidRPr="0005341B">
        <w:rPr>
          <w:rFonts w:ascii="Verdana" w:eastAsia="Calibri" w:hAnsi="Verdana" w:cs="Times"/>
          <w:sz w:val="20"/>
          <w:szCs w:val="20"/>
          <w:lang w:val="es-CR" w:eastAsia="es-ES"/>
        </w:rPr>
        <w:t>, quien declarará sobre</w:t>
      </w:r>
      <w:r w:rsidRPr="0005341B">
        <w:rPr>
          <w:rFonts w:ascii="Verdana" w:eastAsia="Calibri" w:hAnsi="Verdana" w:cstheme="minorHAnsi"/>
          <w:bCs/>
          <w:iCs/>
          <w:sz w:val="20"/>
          <w:szCs w:val="20"/>
          <w:lang w:val="es-CR" w:eastAsia="es-ES"/>
        </w:rPr>
        <w:t xml:space="preserve"> </w:t>
      </w:r>
      <w:r w:rsidRPr="0005341B">
        <w:rPr>
          <w:rFonts w:ascii="Verdana" w:eastAsia="Calibri" w:hAnsi="Verdana" w:cs="Times"/>
          <w:sz w:val="20"/>
          <w:szCs w:val="20"/>
          <w:lang w:val="es-CR" w:eastAsia="es-ES"/>
        </w:rPr>
        <w:t>el contacto que tuvo con el supuesto Comandante Meza y las gestiones que realizó a raíz del mismo.</w:t>
      </w:r>
    </w:p>
    <w:p w14:paraId="48184BF6" w14:textId="77777777" w:rsidR="0005341B" w:rsidRPr="0005341B" w:rsidRDefault="0005341B" w:rsidP="00A579A1">
      <w:pPr>
        <w:spacing w:line="240" w:lineRule="auto"/>
        <w:ind w:left="720"/>
        <w:contextualSpacing/>
        <w:rPr>
          <w:rFonts w:ascii="Verdana" w:eastAsia="Calibri" w:hAnsi="Verdana" w:cs="Times"/>
          <w:i/>
          <w:sz w:val="20"/>
          <w:szCs w:val="20"/>
          <w:lang w:val="es-CR" w:eastAsia="es-ES"/>
        </w:rPr>
      </w:pPr>
    </w:p>
    <w:p w14:paraId="48184BF7" w14:textId="34C648A4" w:rsidR="0005341B" w:rsidRPr="0005341B" w:rsidRDefault="0005341B" w:rsidP="00A579A1">
      <w:pPr>
        <w:widowControl w:val="0"/>
        <w:numPr>
          <w:ilvl w:val="0"/>
          <w:numId w:val="9"/>
        </w:numPr>
        <w:tabs>
          <w:tab w:val="left" w:pos="540"/>
        </w:tabs>
        <w:spacing w:after="200" w:line="240" w:lineRule="auto"/>
        <w:ind w:left="1210"/>
        <w:contextualSpacing/>
        <w:rPr>
          <w:rFonts w:ascii="Verdana" w:eastAsia="Calibri" w:hAnsi="Verdana" w:cs="Times"/>
          <w:sz w:val="20"/>
          <w:szCs w:val="20"/>
          <w:lang w:val="es-ES_tradnl" w:eastAsia="es-ES"/>
        </w:rPr>
      </w:pPr>
      <w:r w:rsidRPr="0005341B">
        <w:rPr>
          <w:rFonts w:ascii="Verdana" w:eastAsia="Calibri" w:hAnsi="Verdana" w:cs="Times"/>
          <w:i/>
          <w:sz w:val="20"/>
          <w:szCs w:val="20"/>
          <w:lang w:val="es-CR" w:eastAsia="es-ES"/>
        </w:rPr>
        <w:t>Argene Blázquez Morales</w:t>
      </w:r>
      <w:r w:rsidRPr="0005341B">
        <w:rPr>
          <w:rFonts w:ascii="Verdana" w:eastAsia="Calibri" w:hAnsi="Verdana" w:cs="Times"/>
          <w:sz w:val="20"/>
          <w:szCs w:val="20"/>
          <w:lang w:val="es-CR" w:eastAsia="es-ES"/>
        </w:rPr>
        <w:t xml:space="preserve"> (</w:t>
      </w:r>
      <w:r w:rsidRPr="0005341B">
        <w:rPr>
          <w:rFonts w:ascii="Verdana" w:eastAsia="Calibri" w:hAnsi="Verdana" w:cs="Times"/>
          <w:i/>
          <w:sz w:val="20"/>
          <w:szCs w:val="20"/>
          <w:lang w:val="es-ES_tradnl" w:eastAsia="es-ES"/>
        </w:rPr>
        <w:t>se desempeñaba como Encargada de Política Criminal en la Delegación de la PGR en Chihuahua al momento de los hechos</w:t>
      </w:r>
      <w:r w:rsidRPr="0005341B">
        <w:rPr>
          <w:rFonts w:ascii="Verdana" w:eastAsia="Calibri" w:hAnsi="Verdana" w:cs="Times"/>
          <w:sz w:val="20"/>
          <w:szCs w:val="20"/>
          <w:lang w:val="es-CR" w:eastAsia="es-ES"/>
        </w:rPr>
        <w:t>), quien declarará sobre</w:t>
      </w:r>
      <w:r w:rsidRPr="0005341B">
        <w:rPr>
          <w:rFonts w:ascii="Verdana" w:eastAsia="Calibri" w:hAnsi="Verdana" w:cstheme="minorHAnsi"/>
          <w:sz w:val="20"/>
          <w:szCs w:val="20"/>
          <w:lang w:val="es-CR" w:eastAsia="es-ES"/>
        </w:rPr>
        <w:t xml:space="preserve"> </w:t>
      </w:r>
      <w:r w:rsidRPr="0005341B">
        <w:rPr>
          <w:rFonts w:ascii="Verdana" w:eastAsia="Calibri" w:hAnsi="Verdana" w:cs="Times"/>
          <w:sz w:val="20"/>
          <w:szCs w:val="20"/>
          <w:lang w:val="es-CR" w:eastAsia="es-ES"/>
        </w:rPr>
        <w:t>la conversación que sostuvo con el supuesto Comandante Meza y las gestiones que realizó a raíz de la misma.</w:t>
      </w:r>
    </w:p>
    <w:p w14:paraId="48184BF8" w14:textId="77777777" w:rsidR="0005341B" w:rsidRPr="0005341B" w:rsidRDefault="0005341B" w:rsidP="00A579A1">
      <w:pPr>
        <w:widowControl w:val="0"/>
        <w:tabs>
          <w:tab w:val="left" w:pos="567"/>
          <w:tab w:val="left" w:pos="1134"/>
        </w:tabs>
        <w:autoSpaceDE w:val="0"/>
        <w:autoSpaceDN w:val="0"/>
        <w:adjustRightInd w:val="0"/>
        <w:spacing w:after="0" w:line="240" w:lineRule="auto"/>
        <w:ind w:left="-360"/>
        <w:contextualSpacing/>
        <w:rPr>
          <w:rFonts w:ascii="Verdana" w:eastAsia="Calibri" w:hAnsi="Verdana" w:cs="Times"/>
          <w:sz w:val="20"/>
          <w:szCs w:val="20"/>
          <w:lang w:val="es-CR" w:eastAsia="es-ES"/>
        </w:rPr>
      </w:pPr>
    </w:p>
    <w:p w14:paraId="48184BF9" w14:textId="77777777" w:rsidR="0005341B" w:rsidRPr="0005341B" w:rsidRDefault="0005341B" w:rsidP="00A579A1">
      <w:pPr>
        <w:numPr>
          <w:ilvl w:val="0"/>
          <w:numId w:val="8"/>
        </w:numPr>
        <w:tabs>
          <w:tab w:val="left" w:pos="567"/>
        </w:tabs>
        <w:spacing w:after="0" w:line="240" w:lineRule="auto"/>
        <w:ind w:left="1494"/>
        <w:contextualSpacing/>
        <w:rPr>
          <w:rFonts w:ascii="Verdana" w:eastAsia="Calibri" w:hAnsi="Verdana" w:cs="Times"/>
          <w:i/>
          <w:sz w:val="20"/>
          <w:szCs w:val="20"/>
          <w:lang w:val="es-CR" w:eastAsia="es-ES"/>
        </w:rPr>
      </w:pPr>
      <w:r w:rsidRPr="0005341B">
        <w:rPr>
          <w:rFonts w:ascii="Verdana" w:eastAsia="Calibri" w:hAnsi="Verdana" w:cs="Times"/>
          <w:i/>
          <w:sz w:val="20"/>
          <w:szCs w:val="20"/>
          <w:lang w:val="es-CR" w:eastAsia="es-ES"/>
        </w:rPr>
        <w:t>Peritos (propuestos por las representantes)</w:t>
      </w:r>
    </w:p>
    <w:p w14:paraId="48184BFA" w14:textId="77777777" w:rsidR="0005341B" w:rsidRPr="0005341B" w:rsidRDefault="0005341B" w:rsidP="00A579A1">
      <w:pPr>
        <w:tabs>
          <w:tab w:val="left" w:pos="567"/>
        </w:tabs>
        <w:spacing w:after="0" w:line="240" w:lineRule="auto"/>
        <w:ind w:left="0"/>
        <w:rPr>
          <w:rFonts w:ascii="Verdana" w:eastAsia="MS Mincho" w:hAnsi="Verdana"/>
          <w:b/>
          <w:i/>
          <w:sz w:val="20"/>
          <w:szCs w:val="20"/>
          <w:lang w:val="es-CR"/>
        </w:rPr>
      </w:pPr>
    </w:p>
    <w:p w14:paraId="48184BFB" w14:textId="036ADBC6" w:rsidR="0005341B" w:rsidRPr="0005341B" w:rsidRDefault="0005341B" w:rsidP="00A579A1">
      <w:pPr>
        <w:widowControl w:val="0"/>
        <w:numPr>
          <w:ilvl w:val="0"/>
          <w:numId w:val="10"/>
        </w:numPr>
        <w:tabs>
          <w:tab w:val="left" w:pos="567"/>
        </w:tabs>
        <w:autoSpaceDE w:val="0"/>
        <w:autoSpaceDN w:val="0"/>
        <w:adjustRightInd w:val="0"/>
        <w:spacing w:after="0" w:line="240" w:lineRule="auto"/>
        <w:ind w:left="1210"/>
        <w:contextualSpacing/>
        <w:rPr>
          <w:rFonts w:ascii="Verdana" w:eastAsia="Calibri" w:hAnsi="Verdana" w:cs="Times"/>
          <w:sz w:val="20"/>
          <w:szCs w:val="20"/>
          <w:lang w:val="es-ES_tradnl" w:eastAsia="es-ES"/>
        </w:rPr>
      </w:pPr>
      <w:r w:rsidRPr="0005341B">
        <w:rPr>
          <w:rFonts w:ascii="Verdana" w:eastAsia="Calibri" w:hAnsi="Verdana" w:cs="Times"/>
          <w:i/>
          <w:sz w:val="20"/>
          <w:szCs w:val="20"/>
          <w:lang w:val="es-CR" w:eastAsia="es-ES"/>
        </w:rPr>
        <w:t>Carlos Martín Beristáin (médico y doctor en psicología)</w:t>
      </w:r>
      <w:r w:rsidRPr="0005341B">
        <w:rPr>
          <w:rFonts w:ascii="Verdana" w:eastAsia="Calibri" w:hAnsi="Verdana" w:cs="Times"/>
          <w:sz w:val="20"/>
          <w:szCs w:val="20"/>
          <w:lang w:val="es-ES_tradnl" w:eastAsia="es-ES"/>
        </w:rPr>
        <w:t>, quien rendirá dictamen psicosocial sobre</w:t>
      </w:r>
      <w:r w:rsidRPr="0005341B">
        <w:rPr>
          <w:rFonts w:ascii="Verdana" w:eastAsia="Calibri" w:hAnsi="Verdana" w:cstheme="minorHAnsi"/>
          <w:sz w:val="20"/>
          <w:szCs w:val="20"/>
          <w:lang w:val="es-ES_tradnl" w:eastAsia="es-ES"/>
        </w:rPr>
        <w:t xml:space="preserve"> </w:t>
      </w:r>
      <w:r w:rsidRPr="0005341B">
        <w:rPr>
          <w:rFonts w:ascii="Verdana" w:eastAsia="Calibri" w:hAnsi="Verdana" w:cs="Times"/>
          <w:sz w:val="20"/>
          <w:szCs w:val="20"/>
          <w:lang w:val="es-ES_tradnl" w:eastAsia="es-ES"/>
        </w:rPr>
        <w:t>el impacto en la familia y sobre las propuestas para abordar esta situación en casos similares.</w:t>
      </w:r>
    </w:p>
    <w:p w14:paraId="48184BFC" w14:textId="77777777" w:rsidR="0005341B" w:rsidRPr="0005341B" w:rsidRDefault="0005341B" w:rsidP="00A579A1">
      <w:pPr>
        <w:widowControl w:val="0"/>
        <w:tabs>
          <w:tab w:val="left" w:pos="567"/>
        </w:tabs>
        <w:autoSpaceDE w:val="0"/>
        <w:autoSpaceDN w:val="0"/>
        <w:adjustRightInd w:val="0"/>
        <w:spacing w:after="0" w:line="240" w:lineRule="auto"/>
        <w:ind w:left="850"/>
        <w:contextualSpacing/>
        <w:rPr>
          <w:rFonts w:ascii="Verdana" w:eastAsia="Calibri" w:hAnsi="Verdana" w:cs="Times"/>
          <w:sz w:val="20"/>
          <w:szCs w:val="20"/>
          <w:lang w:val="es-ES_tradnl" w:eastAsia="es-ES"/>
        </w:rPr>
      </w:pPr>
    </w:p>
    <w:p w14:paraId="48184BFD" w14:textId="2AA7F1EF" w:rsidR="0005341B" w:rsidRPr="0005341B" w:rsidRDefault="0005341B" w:rsidP="00A579A1">
      <w:pPr>
        <w:widowControl w:val="0"/>
        <w:numPr>
          <w:ilvl w:val="0"/>
          <w:numId w:val="10"/>
        </w:numPr>
        <w:tabs>
          <w:tab w:val="left" w:pos="567"/>
        </w:tabs>
        <w:autoSpaceDE w:val="0"/>
        <w:autoSpaceDN w:val="0"/>
        <w:adjustRightInd w:val="0"/>
        <w:spacing w:after="0" w:line="240" w:lineRule="auto"/>
        <w:ind w:left="1210"/>
        <w:contextualSpacing/>
        <w:rPr>
          <w:rFonts w:ascii="Verdana" w:eastAsia="Calibri" w:hAnsi="Verdana" w:cs="Times"/>
          <w:sz w:val="20"/>
          <w:szCs w:val="20"/>
          <w:lang w:val="es-ES_tradnl" w:eastAsia="es-ES"/>
        </w:rPr>
      </w:pPr>
      <w:r w:rsidRPr="0005341B">
        <w:rPr>
          <w:rFonts w:ascii="Verdana" w:eastAsia="Calibri" w:hAnsi="Verdana" w:cs="Times"/>
          <w:i/>
          <w:sz w:val="20"/>
          <w:szCs w:val="20"/>
          <w:lang w:val="es-CR" w:eastAsia="es-ES"/>
        </w:rPr>
        <w:t>Gabriella Citroni (especialista en Derecho Internacional)</w:t>
      </w:r>
      <w:r w:rsidRPr="0005341B">
        <w:rPr>
          <w:rFonts w:ascii="Verdana" w:eastAsia="Calibri" w:hAnsi="Verdana" w:cs="Times"/>
          <w:sz w:val="20"/>
          <w:szCs w:val="20"/>
          <w:lang w:val="es-CR" w:eastAsia="es-ES"/>
        </w:rPr>
        <w:t>, quien declarará sobre</w:t>
      </w:r>
      <w:r w:rsidRPr="0005341B">
        <w:rPr>
          <w:rFonts w:ascii="Verdana" w:eastAsia="Calibri" w:hAnsi="Verdana" w:cstheme="minorHAnsi"/>
          <w:sz w:val="20"/>
          <w:szCs w:val="20"/>
          <w:lang w:val="es-CR" w:eastAsia="es-ES"/>
        </w:rPr>
        <w:t xml:space="preserve"> </w:t>
      </w:r>
      <w:r w:rsidRPr="0005341B">
        <w:rPr>
          <w:rFonts w:ascii="Verdana" w:eastAsia="Calibri" w:hAnsi="Verdana" w:cs="Times"/>
          <w:sz w:val="20"/>
          <w:szCs w:val="20"/>
          <w:lang w:val="es-CR" w:eastAsia="es-ES"/>
        </w:rPr>
        <w:t>las políticas adecuadas para la prevención, atención, sanción y erradicación de la desaparición forzada de personas en México.</w:t>
      </w:r>
    </w:p>
    <w:p w14:paraId="48184BFE" w14:textId="77777777" w:rsidR="0005341B" w:rsidRPr="0005341B" w:rsidRDefault="0005341B" w:rsidP="00A579A1">
      <w:pPr>
        <w:widowControl w:val="0"/>
        <w:tabs>
          <w:tab w:val="left" w:pos="567"/>
        </w:tabs>
        <w:autoSpaceDE w:val="0"/>
        <w:autoSpaceDN w:val="0"/>
        <w:adjustRightInd w:val="0"/>
        <w:spacing w:after="0" w:line="240" w:lineRule="auto"/>
        <w:ind w:left="850"/>
        <w:contextualSpacing/>
        <w:rPr>
          <w:rFonts w:ascii="Verdana" w:eastAsia="Calibri" w:hAnsi="Verdana" w:cs="Times"/>
          <w:sz w:val="20"/>
          <w:szCs w:val="20"/>
          <w:lang w:val="es-ES_tradnl" w:eastAsia="es-ES"/>
        </w:rPr>
      </w:pPr>
    </w:p>
    <w:p w14:paraId="48184BFF" w14:textId="523C19AF" w:rsidR="0005341B" w:rsidRPr="0005341B" w:rsidRDefault="0005341B" w:rsidP="00A579A1">
      <w:pPr>
        <w:widowControl w:val="0"/>
        <w:numPr>
          <w:ilvl w:val="0"/>
          <w:numId w:val="10"/>
        </w:numPr>
        <w:tabs>
          <w:tab w:val="left" w:pos="567"/>
        </w:tabs>
        <w:autoSpaceDE w:val="0"/>
        <w:autoSpaceDN w:val="0"/>
        <w:adjustRightInd w:val="0"/>
        <w:spacing w:after="0" w:line="240" w:lineRule="auto"/>
        <w:ind w:left="1210"/>
        <w:contextualSpacing/>
        <w:rPr>
          <w:rFonts w:ascii="Verdana" w:eastAsia="Calibri" w:hAnsi="Verdana" w:cs="Times"/>
          <w:sz w:val="20"/>
          <w:szCs w:val="20"/>
          <w:lang w:val="es-ES_tradnl" w:eastAsia="es-ES"/>
        </w:rPr>
      </w:pPr>
      <w:r w:rsidRPr="0005341B">
        <w:rPr>
          <w:rFonts w:ascii="Verdana" w:eastAsia="Calibri" w:hAnsi="Verdana" w:cs="Times"/>
          <w:i/>
          <w:sz w:val="20"/>
          <w:szCs w:val="20"/>
          <w:lang w:val="es-CR" w:eastAsia="es-ES"/>
        </w:rPr>
        <w:t>Carolina Robledo Silvestre (Doctora en Sociología), Aída Hernández Castillo (Doctora en Antropología Social), Erika Liliana López López (Doctora en Ciencias Políticas y Sociales con orientación en sociología), y May-ek Querales Mendoza (</w:t>
      </w:r>
      <w:r w:rsidRPr="0005341B">
        <w:rPr>
          <w:rFonts w:ascii="Verdana" w:eastAsia="Calibri" w:hAnsi="Verdana" w:cs="Times"/>
          <w:i/>
          <w:sz w:val="20"/>
          <w:szCs w:val="20"/>
          <w:lang w:val="es-ES_tradnl" w:eastAsia="es-ES"/>
        </w:rPr>
        <w:t>Maestra en Antropología Social</w:t>
      </w:r>
      <w:r w:rsidRPr="0005341B">
        <w:rPr>
          <w:rFonts w:ascii="Verdana" w:eastAsia="Calibri" w:hAnsi="Verdana" w:cs="Times"/>
          <w:i/>
          <w:sz w:val="20"/>
          <w:szCs w:val="20"/>
          <w:lang w:val="es-CR" w:eastAsia="es-ES"/>
        </w:rPr>
        <w:t>)</w:t>
      </w:r>
      <w:r w:rsidRPr="0005341B">
        <w:rPr>
          <w:rFonts w:ascii="Verdana" w:eastAsia="Calibri" w:hAnsi="Verdana" w:cs="Times"/>
          <w:sz w:val="20"/>
          <w:szCs w:val="20"/>
          <w:lang w:val="es-CR" w:eastAsia="es-ES"/>
        </w:rPr>
        <w:t>,</w:t>
      </w:r>
      <w:r w:rsidRPr="0005341B">
        <w:rPr>
          <w:rFonts w:ascii="Verdana" w:eastAsia="Calibri" w:hAnsi="Verdana" w:cs="Times"/>
          <w:i/>
          <w:sz w:val="20"/>
          <w:szCs w:val="20"/>
          <w:lang w:val="es-CR" w:eastAsia="es-ES"/>
        </w:rPr>
        <w:t xml:space="preserve"> integrantes del </w:t>
      </w:r>
      <w:r w:rsidRPr="0005341B">
        <w:rPr>
          <w:rFonts w:ascii="Verdana" w:eastAsia="Calibri" w:hAnsi="Verdana" w:cs="Times"/>
          <w:i/>
          <w:sz w:val="20"/>
          <w:szCs w:val="20"/>
          <w:lang w:val="es-ES_tradnl" w:eastAsia="es-ES"/>
        </w:rPr>
        <w:t>Grupo de Investigaciones en Antropología Social y Forense</w:t>
      </w:r>
      <w:r w:rsidRPr="0005341B">
        <w:rPr>
          <w:rFonts w:ascii="Verdana" w:eastAsia="Calibri" w:hAnsi="Verdana" w:cs="Times"/>
          <w:i/>
          <w:sz w:val="20"/>
          <w:szCs w:val="20"/>
          <w:lang w:val="es-CR" w:eastAsia="es-ES"/>
        </w:rPr>
        <w:t xml:space="preserve"> (GIASF)</w:t>
      </w:r>
      <w:r w:rsidRPr="0005341B">
        <w:rPr>
          <w:rFonts w:ascii="Verdana" w:eastAsia="Calibri" w:hAnsi="Verdana" w:cs="Times"/>
          <w:sz w:val="20"/>
          <w:szCs w:val="20"/>
          <w:lang w:val="es-CR" w:eastAsia="es-ES"/>
        </w:rPr>
        <w:t>, quienes declararán conjuntamente sobre</w:t>
      </w:r>
      <w:r w:rsidRPr="0005341B">
        <w:rPr>
          <w:rFonts w:ascii="Verdana" w:eastAsia="Calibri" w:hAnsi="Verdana" w:cstheme="minorHAnsi"/>
          <w:sz w:val="20"/>
          <w:szCs w:val="20"/>
          <w:lang w:val="es-CR" w:eastAsia="es-ES"/>
        </w:rPr>
        <w:t xml:space="preserve"> </w:t>
      </w:r>
      <w:r w:rsidRPr="0005341B">
        <w:rPr>
          <w:rFonts w:ascii="Verdana" w:eastAsia="Calibri" w:hAnsi="Verdana" w:cs="Times"/>
          <w:sz w:val="20"/>
          <w:szCs w:val="20"/>
          <w:lang w:val="es-CR" w:eastAsia="es-ES"/>
        </w:rPr>
        <w:t xml:space="preserve">el </w:t>
      </w:r>
      <w:r w:rsidRPr="0005341B">
        <w:rPr>
          <w:rFonts w:ascii="Verdana" w:eastAsia="Calibri" w:hAnsi="Verdana" w:cs="Times"/>
          <w:sz w:val="20"/>
          <w:szCs w:val="20"/>
          <w:lang w:val="es-ES_tradnl" w:eastAsia="es-ES"/>
        </w:rPr>
        <w:t>contexto de militarización y graves violaciones de derechos humanos presuntamente cometidas por el Ejército mexicano en el marco del Operativo Conjunto Chihuahua, especialmente en el norte del Estado de Chihuahua</w:t>
      </w:r>
      <w:r w:rsidRPr="0005341B">
        <w:rPr>
          <w:rFonts w:ascii="Verdana" w:eastAsia="Calibri" w:hAnsi="Verdana" w:cs="Times"/>
          <w:sz w:val="20"/>
          <w:szCs w:val="20"/>
          <w:lang w:val="es-CR" w:eastAsia="es-ES"/>
        </w:rPr>
        <w:t xml:space="preserve">. </w:t>
      </w:r>
    </w:p>
    <w:p w14:paraId="48184C00" w14:textId="77777777" w:rsidR="0005341B" w:rsidRPr="0005341B" w:rsidRDefault="0005341B" w:rsidP="00A579A1">
      <w:pPr>
        <w:widowControl w:val="0"/>
        <w:tabs>
          <w:tab w:val="left" w:pos="567"/>
          <w:tab w:val="left" w:pos="1134"/>
        </w:tabs>
        <w:autoSpaceDE w:val="0"/>
        <w:autoSpaceDN w:val="0"/>
        <w:adjustRightInd w:val="0"/>
        <w:spacing w:after="0" w:line="240" w:lineRule="auto"/>
        <w:ind w:left="0"/>
        <w:rPr>
          <w:rFonts w:ascii="Verdana" w:eastAsia="MS Mincho" w:hAnsi="Verdana"/>
          <w:sz w:val="20"/>
          <w:szCs w:val="20"/>
          <w:lang w:val="es-ES_tradnl"/>
        </w:rPr>
      </w:pPr>
    </w:p>
    <w:p w14:paraId="48184C01" w14:textId="77777777" w:rsidR="0005341B" w:rsidRPr="0005341B" w:rsidRDefault="0005341B" w:rsidP="00A579A1">
      <w:pPr>
        <w:numPr>
          <w:ilvl w:val="0"/>
          <w:numId w:val="8"/>
        </w:numPr>
        <w:spacing w:after="200" w:line="240" w:lineRule="auto"/>
        <w:ind w:left="1494"/>
        <w:contextualSpacing/>
        <w:rPr>
          <w:rFonts w:ascii="Verdana" w:eastAsia="Calibri" w:hAnsi="Verdana" w:cs="Times"/>
          <w:sz w:val="20"/>
          <w:szCs w:val="20"/>
          <w:lang w:val="es-ES_tradnl" w:eastAsia="es-ES"/>
        </w:rPr>
      </w:pPr>
      <w:r w:rsidRPr="0005341B">
        <w:rPr>
          <w:rFonts w:ascii="Verdana" w:eastAsia="Calibri" w:hAnsi="Verdana" w:cs="Times"/>
          <w:i/>
          <w:sz w:val="20"/>
          <w:szCs w:val="20"/>
          <w:lang w:val="es-ES_tradnl" w:eastAsia="es-ES"/>
        </w:rPr>
        <w:t>Perito (propuesto por el Estado)</w:t>
      </w:r>
    </w:p>
    <w:p w14:paraId="48184C02" w14:textId="77777777" w:rsidR="0005341B" w:rsidRPr="0005341B" w:rsidRDefault="0005341B" w:rsidP="00A579A1">
      <w:pPr>
        <w:widowControl w:val="0"/>
        <w:tabs>
          <w:tab w:val="left" w:pos="567"/>
          <w:tab w:val="left" w:pos="1134"/>
        </w:tabs>
        <w:autoSpaceDE w:val="0"/>
        <w:autoSpaceDN w:val="0"/>
        <w:adjustRightInd w:val="0"/>
        <w:spacing w:after="0" w:line="240" w:lineRule="auto"/>
        <w:ind w:left="-349"/>
        <w:rPr>
          <w:rFonts w:ascii="Verdana" w:eastAsia="MS Mincho" w:hAnsi="Verdana"/>
          <w:i/>
          <w:sz w:val="20"/>
          <w:szCs w:val="20"/>
          <w:lang w:val="es-ES_tradnl"/>
        </w:rPr>
      </w:pPr>
    </w:p>
    <w:p w14:paraId="48184C03" w14:textId="2705133D" w:rsidR="0005341B" w:rsidRPr="0005341B" w:rsidRDefault="0005341B" w:rsidP="00A579A1">
      <w:pPr>
        <w:widowControl w:val="0"/>
        <w:numPr>
          <w:ilvl w:val="0"/>
          <w:numId w:val="11"/>
        </w:numPr>
        <w:tabs>
          <w:tab w:val="left" w:pos="567"/>
          <w:tab w:val="left" w:pos="1440"/>
        </w:tabs>
        <w:autoSpaceDE w:val="0"/>
        <w:autoSpaceDN w:val="0"/>
        <w:adjustRightInd w:val="0"/>
        <w:spacing w:after="0" w:line="240" w:lineRule="auto"/>
        <w:ind w:left="1210"/>
        <w:contextualSpacing/>
        <w:rPr>
          <w:rFonts w:ascii="Verdana" w:eastAsia="Calibri" w:hAnsi="Verdana" w:cs="Times"/>
          <w:i/>
          <w:sz w:val="20"/>
          <w:szCs w:val="20"/>
          <w:lang w:val="es-ES_tradnl" w:eastAsia="es-ES"/>
        </w:rPr>
      </w:pPr>
      <w:r w:rsidRPr="0005341B">
        <w:rPr>
          <w:rFonts w:ascii="Verdana" w:eastAsia="Calibri" w:hAnsi="Verdana" w:cs="Times"/>
          <w:i/>
          <w:sz w:val="20"/>
          <w:szCs w:val="20"/>
          <w:lang w:val="es-CR" w:eastAsia="es-ES"/>
        </w:rPr>
        <w:lastRenderedPageBreak/>
        <w:t>Carlos Rodríguez Ulloa (maestro en Ciencia Política y especialista en seguridad)</w:t>
      </w:r>
      <w:r w:rsidRPr="0005341B">
        <w:rPr>
          <w:rFonts w:ascii="Verdana" w:eastAsia="Calibri" w:hAnsi="Verdana" w:cs="Times"/>
          <w:sz w:val="20"/>
          <w:szCs w:val="20"/>
          <w:lang w:val="es-CR" w:eastAsia="es-ES"/>
        </w:rPr>
        <w:t xml:space="preserve">, </w:t>
      </w:r>
      <w:r w:rsidRPr="0005341B">
        <w:rPr>
          <w:rFonts w:ascii="Verdana" w:eastAsia="Calibri" w:hAnsi="Verdana" w:cs="Times"/>
          <w:sz w:val="20"/>
          <w:szCs w:val="20"/>
          <w:lang w:val="es-ES" w:eastAsia="es-ES"/>
        </w:rPr>
        <w:t xml:space="preserve">quien </w:t>
      </w:r>
      <w:r w:rsidRPr="0005341B">
        <w:rPr>
          <w:rFonts w:ascii="Verdana" w:eastAsia="Calibri" w:hAnsi="Verdana" w:cs="Times"/>
          <w:sz w:val="20"/>
          <w:szCs w:val="20"/>
          <w:lang w:val="es-ES_tradnl" w:eastAsia="es-ES"/>
        </w:rPr>
        <w:t>declarará sobre</w:t>
      </w:r>
      <w:r w:rsidRPr="0005341B">
        <w:rPr>
          <w:rFonts w:ascii="Verdana" w:eastAsia="Calibri" w:hAnsi="Verdana" w:cstheme="minorHAnsi"/>
          <w:sz w:val="20"/>
          <w:szCs w:val="20"/>
          <w:lang w:val="es-ES_tradnl" w:eastAsia="es-ES"/>
        </w:rPr>
        <w:t xml:space="preserve"> </w:t>
      </w:r>
      <w:r w:rsidRPr="0005341B">
        <w:rPr>
          <w:rFonts w:ascii="Verdana" w:eastAsia="Calibri" w:hAnsi="Verdana" w:cs="Times"/>
          <w:sz w:val="20"/>
          <w:szCs w:val="20"/>
          <w:lang w:val="es-ES_tradnl" w:eastAsia="es-ES"/>
        </w:rPr>
        <w:t xml:space="preserve">el contexto de la delincuencia organizada en el Estado de Chihuahua, en la época de los hechos del presente caso. Asimismo, desarrollará su análisis respecto de las acciones que dichos grupos han desarrollado para afectar a la población en general y evadirse de la acción de la justicia, haciendo especial énfasis en la utilización, por parte de </w:t>
      </w:r>
      <w:r w:rsidR="003421F9">
        <w:rPr>
          <w:rFonts w:ascii="Verdana" w:eastAsia="Calibri" w:hAnsi="Verdana" w:cs="Times"/>
          <w:sz w:val="20"/>
          <w:szCs w:val="20"/>
          <w:lang w:val="es-ES_tradnl" w:eastAsia="es-ES"/>
        </w:rPr>
        <w:t>aquéllos</w:t>
      </w:r>
      <w:r w:rsidRPr="0005341B">
        <w:rPr>
          <w:rFonts w:ascii="Verdana" w:eastAsia="Calibri" w:hAnsi="Verdana" w:cs="Times"/>
          <w:sz w:val="20"/>
          <w:szCs w:val="20"/>
          <w:lang w:val="es-ES_tradnl" w:eastAsia="es-ES"/>
        </w:rPr>
        <w:t xml:space="preserve">, de uniformes apócrifos de las </w:t>
      </w:r>
      <w:r w:rsidRPr="0005341B">
        <w:rPr>
          <w:rFonts w:ascii="Verdana" w:eastAsia="Calibri" w:hAnsi="Verdana" w:cstheme="minorHAnsi"/>
          <w:sz w:val="20"/>
          <w:szCs w:val="20"/>
          <w:lang w:val="es-ES_tradnl" w:eastAsia="es-ES"/>
        </w:rPr>
        <w:t>corporaciones</w:t>
      </w:r>
      <w:r w:rsidRPr="0005341B">
        <w:rPr>
          <w:rFonts w:ascii="Verdana" w:eastAsia="Calibri" w:hAnsi="Verdana" w:cs="Times"/>
          <w:sz w:val="20"/>
          <w:szCs w:val="20"/>
          <w:lang w:val="es-ES_tradnl" w:eastAsia="es-ES"/>
        </w:rPr>
        <w:t xml:space="preserve"> de seguridad.</w:t>
      </w:r>
    </w:p>
    <w:p w14:paraId="48184C04" w14:textId="77777777" w:rsidR="0005341B" w:rsidRPr="0005341B" w:rsidRDefault="0005341B" w:rsidP="00A579A1">
      <w:pPr>
        <w:widowControl w:val="0"/>
        <w:tabs>
          <w:tab w:val="left" w:pos="567"/>
          <w:tab w:val="left" w:pos="1134"/>
        </w:tabs>
        <w:autoSpaceDE w:val="0"/>
        <w:autoSpaceDN w:val="0"/>
        <w:adjustRightInd w:val="0"/>
        <w:spacing w:after="0" w:line="240" w:lineRule="auto"/>
        <w:ind w:left="0"/>
        <w:rPr>
          <w:rFonts w:ascii="Verdana" w:eastAsia="MS Mincho" w:hAnsi="Verdana"/>
          <w:i/>
          <w:sz w:val="20"/>
          <w:szCs w:val="20"/>
          <w:lang w:val="es-ES_tradnl"/>
        </w:rPr>
      </w:pPr>
    </w:p>
    <w:p w14:paraId="48184C05" w14:textId="77777777"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imes"/>
          <w:sz w:val="20"/>
          <w:szCs w:val="20"/>
          <w:lang w:val="es-CR" w:eastAsia="es-ES"/>
        </w:rPr>
      </w:pPr>
      <w:bookmarkStart w:id="12" w:name="_Ref393464381"/>
      <w:r w:rsidRPr="0005341B">
        <w:rPr>
          <w:rFonts w:ascii="Verdana" w:eastAsia="Calibri" w:hAnsi="Verdana" w:cstheme="minorHAnsi"/>
          <w:sz w:val="20"/>
          <w:szCs w:val="20"/>
          <w:lang w:val="es-CR" w:eastAsia="es-ES"/>
        </w:rPr>
        <w:t>Instruir</w:t>
      </w:r>
      <w:r w:rsidRPr="0005341B">
        <w:rPr>
          <w:rFonts w:ascii="Verdana" w:eastAsia="Calibri" w:hAnsi="Verdana" w:cs="Times"/>
          <w:sz w:val="20"/>
          <w:szCs w:val="20"/>
          <w:lang w:val="es-CR" w:eastAsia="es-ES"/>
        </w:rPr>
        <w:t xml:space="preserve"> a la Comisión Interamericana, a las representantes y al Estado que notifiquen la presente Resolución a las personas que han sido convocadas a rendir declaración, respectivamente según fueron por ellos propuestas, de conformidad con lo dispuesto en los artículos 50.2 y 50.4 del Reglamento. </w:t>
      </w:r>
    </w:p>
    <w:p w14:paraId="48184C06" w14:textId="77777777" w:rsidR="0005341B" w:rsidRPr="0005341B" w:rsidRDefault="00EB1051" w:rsidP="003D1327">
      <w:pPr>
        <w:tabs>
          <w:tab w:val="left" w:pos="1384"/>
        </w:tabs>
        <w:spacing w:after="0" w:line="240" w:lineRule="auto"/>
        <w:ind w:left="0"/>
        <w:contextualSpacing/>
        <w:rPr>
          <w:rFonts w:ascii="Verdana" w:eastAsia="Calibri" w:hAnsi="Verdana" w:cs="Times"/>
          <w:sz w:val="20"/>
          <w:szCs w:val="20"/>
          <w:lang w:val="es-CR" w:eastAsia="es-ES"/>
        </w:rPr>
      </w:pPr>
      <w:r>
        <w:rPr>
          <w:rFonts w:ascii="Verdana" w:eastAsia="Calibri" w:hAnsi="Verdana" w:cs="Times"/>
          <w:sz w:val="20"/>
          <w:szCs w:val="20"/>
          <w:lang w:val="es-CR" w:eastAsia="es-ES"/>
        </w:rPr>
        <w:tab/>
      </w:r>
    </w:p>
    <w:p w14:paraId="48184C07" w14:textId="433A1443"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imes"/>
          <w:sz w:val="20"/>
          <w:szCs w:val="20"/>
          <w:lang w:val="es-CR" w:eastAsia="es-ES"/>
        </w:rPr>
      </w:pPr>
      <w:r w:rsidRPr="0005341B">
        <w:rPr>
          <w:rFonts w:ascii="Verdana" w:eastAsia="Calibri" w:hAnsi="Verdana" w:cs="Times"/>
          <w:sz w:val="20"/>
          <w:szCs w:val="20"/>
          <w:lang w:val="es-CR" w:eastAsia="es-ES"/>
        </w:rPr>
        <w:t xml:space="preserve">Requerir a las representantes, al Estado y a la Comisión que remitan, en los términos del artículo 50.5 del Reglamento y de considerarlo pertinente, en lo que les corresponda y en el plazo improrrogable que vence el 3 de abril de 2018 las preguntas que estimen pertinentes formular a través de la Corte Interamericana a los declarantes y los peritos indicados en </w:t>
      </w:r>
      <w:r w:rsidRPr="0005341B">
        <w:rPr>
          <w:rFonts w:ascii="Verdana" w:eastAsia="Calibri" w:hAnsi="Verdana" w:cstheme="minorHAnsi"/>
          <w:sz w:val="20"/>
          <w:szCs w:val="20"/>
          <w:lang w:val="es-CR" w:eastAsia="es-ES"/>
        </w:rPr>
        <w:t xml:space="preserve">el Resolutivo </w:t>
      </w:r>
      <w:r w:rsidR="005D7290" w:rsidRPr="003D1327">
        <w:rPr>
          <w:rFonts w:ascii="Verdana" w:eastAsia="Calibri" w:hAnsi="Verdana" w:cstheme="minorHAnsi"/>
          <w:sz w:val="20"/>
          <w:szCs w:val="20"/>
          <w:lang w:val="es-CR" w:eastAsia="es-ES"/>
        </w:rPr>
        <w:t>17</w:t>
      </w:r>
      <w:r w:rsidRPr="0005341B">
        <w:rPr>
          <w:rFonts w:ascii="Verdana" w:eastAsia="Calibri" w:hAnsi="Verdana" w:cs="Times"/>
          <w:sz w:val="20"/>
          <w:szCs w:val="20"/>
          <w:lang w:val="es-CR" w:eastAsia="es-ES"/>
        </w:rPr>
        <w:t xml:space="preserve"> de esta Resolución. </w:t>
      </w:r>
      <w:bookmarkEnd w:id="12"/>
    </w:p>
    <w:p w14:paraId="48184C08" w14:textId="77777777" w:rsidR="0005341B" w:rsidRPr="0005341B" w:rsidRDefault="0005341B" w:rsidP="00A579A1">
      <w:pPr>
        <w:spacing w:line="240" w:lineRule="auto"/>
        <w:ind w:left="720"/>
        <w:contextualSpacing/>
        <w:rPr>
          <w:rFonts w:ascii="Verdana" w:eastAsia="Calibri" w:hAnsi="Verdana" w:cs="Times"/>
          <w:sz w:val="20"/>
          <w:szCs w:val="20"/>
          <w:lang w:val="es-CR" w:eastAsia="es-ES"/>
        </w:rPr>
      </w:pPr>
    </w:p>
    <w:p w14:paraId="48184C09" w14:textId="5AC4B4B1"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imes"/>
          <w:sz w:val="20"/>
          <w:szCs w:val="20"/>
          <w:lang w:val="es-CR" w:eastAsia="es-ES"/>
        </w:rPr>
      </w:pPr>
      <w:r w:rsidRPr="0005341B">
        <w:rPr>
          <w:rFonts w:ascii="Verdana" w:eastAsia="Calibri" w:hAnsi="Verdana" w:cstheme="minorHAnsi"/>
          <w:sz w:val="20"/>
          <w:szCs w:val="20"/>
          <w:lang w:val="es-CR" w:eastAsia="es-ES"/>
        </w:rPr>
        <w:t>Disponer que</w:t>
      </w:r>
      <w:r w:rsidRPr="0005341B">
        <w:rPr>
          <w:rFonts w:ascii="Verdana" w:eastAsia="Calibri" w:hAnsi="Verdana" w:cs="Times"/>
          <w:sz w:val="20"/>
          <w:szCs w:val="20"/>
          <w:lang w:val="es-CR" w:eastAsia="es-ES"/>
        </w:rPr>
        <w:t xml:space="preserve"> las representantes comuniquen y remitan a la Corte, a más tardar el </w:t>
      </w:r>
      <w:r w:rsidR="003D1327">
        <w:rPr>
          <w:rFonts w:ascii="Verdana" w:eastAsia="Calibri" w:hAnsi="Verdana" w:cs="Times"/>
          <w:sz w:val="20"/>
          <w:szCs w:val="20"/>
          <w:lang w:val="es-CR" w:eastAsia="es-ES"/>
        </w:rPr>
        <w:t>3</w:t>
      </w:r>
      <w:r w:rsidRPr="0005341B">
        <w:rPr>
          <w:rFonts w:ascii="Verdana" w:eastAsia="Calibri" w:hAnsi="Verdana" w:cs="Times"/>
          <w:sz w:val="20"/>
          <w:szCs w:val="20"/>
          <w:lang w:val="es-CR" w:eastAsia="es-ES"/>
        </w:rPr>
        <w:t xml:space="preserve"> de abril de 2018, el nombre de los declarantes cuyas declaraciones juradas</w:t>
      </w:r>
      <w:r w:rsidRPr="0005341B">
        <w:rPr>
          <w:rFonts w:ascii="Verdana" w:eastAsia="Calibri" w:hAnsi="Verdana" w:cs="Times"/>
          <w:i/>
          <w:sz w:val="20"/>
          <w:szCs w:val="20"/>
          <w:lang w:val="es-CR" w:eastAsia="es-ES"/>
        </w:rPr>
        <w:t xml:space="preserve"> </w:t>
      </w:r>
      <w:r w:rsidRPr="0005341B">
        <w:rPr>
          <w:rFonts w:ascii="Verdana" w:eastAsia="Calibri" w:hAnsi="Verdana" w:cs="Times"/>
          <w:sz w:val="20"/>
          <w:szCs w:val="20"/>
          <w:lang w:val="es-CR" w:eastAsia="es-ES"/>
        </w:rPr>
        <w:t xml:space="preserve">serían cubiertas por el Fondo de Asistencia y una cotización del costo de la formalización de la misma en el país de residencia del declarante y de su respectivo envío, de conformidad con lo establecido en el </w:t>
      </w:r>
      <w:r w:rsidRPr="0005341B">
        <w:rPr>
          <w:rFonts w:ascii="Verdana" w:eastAsia="Calibri" w:hAnsi="Verdana" w:cstheme="minorHAnsi"/>
          <w:sz w:val="20"/>
          <w:szCs w:val="20"/>
          <w:lang w:val="es-CR" w:eastAsia="es-ES"/>
        </w:rPr>
        <w:t xml:space="preserve">considerando 43 y en el Resolutivo </w:t>
      </w:r>
      <w:r w:rsidRPr="00460C32">
        <w:rPr>
          <w:rFonts w:ascii="Verdana" w:eastAsia="Calibri" w:hAnsi="Verdana" w:cstheme="minorHAnsi"/>
          <w:sz w:val="20"/>
          <w:szCs w:val="20"/>
          <w:lang w:val="es-CR" w:eastAsia="es-ES"/>
        </w:rPr>
        <w:t>1</w:t>
      </w:r>
      <w:r w:rsidR="00460C32" w:rsidRPr="003D1327">
        <w:rPr>
          <w:rFonts w:ascii="Verdana" w:eastAsia="Calibri" w:hAnsi="Verdana" w:cstheme="minorHAnsi"/>
          <w:sz w:val="20"/>
          <w:szCs w:val="20"/>
          <w:lang w:val="es-CR" w:eastAsia="es-ES"/>
        </w:rPr>
        <w:t>2</w:t>
      </w:r>
      <w:r w:rsidRPr="0005341B">
        <w:rPr>
          <w:rFonts w:ascii="Verdana" w:eastAsia="Calibri" w:hAnsi="Verdana" w:cs="Times"/>
          <w:sz w:val="20"/>
          <w:szCs w:val="20"/>
          <w:lang w:val="es-CR" w:eastAsia="es-ES"/>
        </w:rPr>
        <w:t xml:space="preserve"> de la presente Resolución. </w:t>
      </w:r>
    </w:p>
    <w:p w14:paraId="48184C0A" w14:textId="77777777" w:rsidR="0005341B" w:rsidRPr="0005341B" w:rsidRDefault="0005341B" w:rsidP="00EB1051">
      <w:pPr>
        <w:spacing w:line="240" w:lineRule="auto"/>
        <w:ind w:left="0"/>
        <w:contextualSpacing/>
        <w:rPr>
          <w:rFonts w:ascii="Verdana" w:eastAsia="Calibri" w:hAnsi="Verdana" w:cs="Times"/>
          <w:sz w:val="20"/>
          <w:szCs w:val="20"/>
          <w:lang w:val="es-CR" w:eastAsia="es-ES"/>
        </w:rPr>
      </w:pPr>
    </w:p>
    <w:p w14:paraId="48184C0B" w14:textId="77777777"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imes"/>
          <w:sz w:val="20"/>
          <w:szCs w:val="20"/>
          <w:lang w:val="es-CR" w:eastAsia="es-ES"/>
        </w:rPr>
      </w:pPr>
      <w:r w:rsidRPr="0005341B">
        <w:rPr>
          <w:rFonts w:ascii="Verdana" w:eastAsia="Calibri" w:hAnsi="Verdana" w:cstheme="minorHAnsi"/>
          <w:sz w:val="20"/>
          <w:szCs w:val="20"/>
          <w:lang w:val="es-CR" w:eastAsia="es-ES"/>
        </w:rPr>
        <w:t>Ordenar</w:t>
      </w:r>
      <w:r w:rsidRPr="0005341B">
        <w:rPr>
          <w:rFonts w:ascii="Verdana" w:eastAsia="Calibri" w:hAnsi="Verdana" w:cs="Times"/>
          <w:sz w:val="20"/>
          <w:szCs w:val="20"/>
          <w:lang w:val="es-CR" w:eastAsia="es-ES"/>
        </w:rPr>
        <w:t xml:space="preserve"> a las representantes y al Estado que coordinen y realicen las diligencias necesarias para que, una vez recibidas las preguntas, según corresponda, los testigos y los peritos incluyan las respuestas en las respectivas declaraciones y dictámenes que rendirán ante fedatario público, salvo que esta Presidencia disponga lo contrario cuando la Secretaría de la Corte las transmita</w:t>
      </w:r>
      <w:r w:rsidRPr="0005341B">
        <w:rPr>
          <w:rFonts w:ascii="Verdana" w:eastAsia="Calibri" w:hAnsi="Verdana" w:cstheme="minorHAnsi"/>
          <w:sz w:val="20"/>
          <w:szCs w:val="20"/>
          <w:lang w:val="es-CR" w:eastAsia="es-ES"/>
        </w:rPr>
        <w:t>, debiendo, tales</w:t>
      </w:r>
      <w:r w:rsidRPr="0005341B">
        <w:rPr>
          <w:rFonts w:ascii="Verdana" w:eastAsia="Calibri" w:hAnsi="Verdana" w:cs="Times"/>
          <w:sz w:val="20"/>
          <w:szCs w:val="20"/>
          <w:lang w:val="es-CR" w:eastAsia="es-ES"/>
        </w:rPr>
        <w:t xml:space="preserve"> declaraciones y dictámenes ser presentados al Tribunal a más tardar el 19 de abril de 2018.</w:t>
      </w:r>
    </w:p>
    <w:p w14:paraId="48184C0C" w14:textId="77777777" w:rsidR="0005341B" w:rsidRPr="0005341B" w:rsidRDefault="0005341B" w:rsidP="00EB1051">
      <w:pPr>
        <w:spacing w:line="240" w:lineRule="auto"/>
        <w:ind w:left="0"/>
        <w:contextualSpacing/>
        <w:rPr>
          <w:rFonts w:ascii="Verdana" w:eastAsia="Calibri" w:hAnsi="Verdana" w:cs="Times"/>
          <w:sz w:val="20"/>
          <w:szCs w:val="20"/>
          <w:lang w:val="es-CR" w:eastAsia="es-ES"/>
        </w:rPr>
      </w:pPr>
    </w:p>
    <w:p w14:paraId="48184C0D" w14:textId="77777777"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imes"/>
          <w:sz w:val="20"/>
          <w:szCs w:val="20"/>
          <w:lang w:val="es-CR" w:eastAsia="es-ES"/>
        </w:rPr>
      </w:pPr>
      <w:r w:rsidRPr="0005341B">
        <w:rPr>
          <w:rFonts w:ascii="Verdana" w:eastAsia="Calibri" w:hAnsi="Verdana" w:cstheme="minorHAnsi"/>
          <w:sz w:val="20"/>
          <w:szCs w:val="20"/>
          <w:lang w:val="es-CR" w:eastAsia="es-ES"/>
        </w:rPr>
        <w:t>Mandatar  la Secretaría de la Corte,</w:t>
      </w:r>
      <w:r w:rsidRPr="0005341B">
        <w:rPr>
          <w:rFonts w:ascii="Verdana" w:eastAsia="Calibri" w:hAnsi="Verdana" w:cs="Times"/>
          <w:sz w:val="20"/>
          <w:szCs w:val="20"/>
          <w:lang w:val="es-CR" w:eastAsia="es-ES"/>
        </w:rPr>
        <w:t xml:space="preserve"> conforme al artículo 50.6 del Reglamento que, una vez recibidas las declaraciones y peritajes, las transmita al Estado, a las representantes y a la Comisión, para que, si lo estiman pertinente</w:t>
      </w:r>
      <w:r w:rsidRPr="0005341B">
        <w:rPr>
          <w:rFonts w:ascii="Verdana" w:eastAsia="Calibri" w:hAnsi="Verdana" w:cs="Times"/>
          <w:sz w:val="20"/>
          <w:szCs w:val="20"/>
          <w:lang w:val="es-ES_tradnl" w:eastAsia="es-ES"/>
        </w:rPr>
        <w:t xml:space="preserve"> y en cuanto les corresponda</w:t>
      </w:r>
      <w:r w:rsidRPr="0005341B">
        <w:rPr>
          <w:rFonts w:ascii="Verdana" w:eastAsia="Calibri" w:hAnsi="Verdana" w:cs="Times"/>
          <w:sz w:val="20"/>
          <w:szCs w:val="20"/>
          <w:lang w:val="es-CR" w:eastAsia="es-ES"/>
        </w:rPr>
        <w:t xml:space="preserve">, presenten sus observaciones a más tardar </w:t>
      </w:r>
      <w:r w:rsidRPr="0005341B">
        <w:rPr>
          <w:rFonts w:ascii="Verdana" w:eastAsia="Calibri" w:hAnsi="Verdana" w:cs="Times"/>
          <w:sz w:val="20"/>
          <w:szCs w:val="20"/>
          <w:lang w:val="es-ES_tradnl" w:eastAsia="es-ES"/>
        </w:rPr>
        <w:t>con sus alegatos u observaciones finales escritos, respectivamente.</w:t>
      </w:r>
    </w:p>
    <w:p w14:paraId="48184C0E" w14:textId="77777777" w:rsidR="0005341B" w:rsidRPr="0005341B" w:rsidRDefault="0005341B" w:rsidP="00A579A1">
      <w:pPr>
        <w:spacing w:line="240" w:lineRule="auto"/>
        <w:ind w:left="720"/>
        <w:contextualSpacing/>
        <w:rPr>
          <w:rFonts w:ascii="Verdana" w:eastAsia="Calibri" w:hAnsi="Verdana" w:cs="Times"/>
          <w:sz w:val="20"/>
          <w:szCs w:val="20"/>
          <w:lang w:val="es-ES_tradnl" w:eastAsia="es-ES"/>
        </w:rPr>
      </w:pPr>
    </w:p>
    <w:p w14:paraId="48184C0F" w14:textId="77777777"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imes"/>
          <w:sz w:val="20"/>
          <w:szCs w:val="20"/>
          <w:lang w:val="es-CR" w:eastAsia="es-ES"/>
        </w:rPr>
      </w:pPr>
      <w:r w:rsidRPr="0005341B">
        <w:rPr>
          <w:rFonts w:ascii="Verdana" w:eastAsia="Calibri" w:hAnsi="Verdana" w:cs="Times"/>
          <w:sz w:val="20"/>
          <w:szCs w:val="20"/>
          <w:lang w:val="es-ES_tradnl" w:eastAsia="es-ES"/>
        </w:rPr>
        <w:t>Informar a la Comisión, a las representantes y al Estado que deben cubrir los gastos que ocasione la aportación o rendición de la prueba propuesta por ellos, de conformidad con lo dispuesto en el artículo 60 del Reglamento</w:t>
      </w:r>
      <w:r w:rsidRPr="0005341B">
        <w:rPr>
          <w:rFonts w:ascii="Verdana" w:eastAsia="Calibri" w:hAnsi="Verdana" w:cstheme="minorHAnsi"/>
          <w:sz w:val="20"/>
          <w:szCs w:val="20"/>
          <w:lang w:val="es-ES_tradnl" w:eastAsia="es-ES"/>
        </w:rPr>
        <w:t xml:space="preserve"> y</w:t>
      </w:r>
      <w:r w:rsidRPr="0005341B">
        <w:rPr>
          <w:rFonts w:ascii="Verdana" w:eastAsia="Calibri" w:hAnsi="Verdana" w:cs="Times"/>
          <w:sz w:val="20"/>
          <w:szCs w:val="20"/>
          <w:lang w:val="es-ES_tradnl" w:eastAsia="es-ES"/>
        </w:rPr>
        <w:t xml:space="preserve"> de lo que resulte pertinente en aplicación del Fondo de Asistencia Legal de Víctimas en el presente caso.</w:t>
      </w:r>
    </w:p>
    <w:p w14:paraId="48184C10" w14:textId="77777777" w:rsidR="0005341B" w:rsidRPr="0005341B" w:rsidRDefault="0005341B" w:rsidP="00EB1051">
      <w:pPr>
        <w:spacing w:line="240" w:lineRule="auto"/>
        <w:ind w:left="0"/>
        <w:contextualSpacing/>
        <w:rPr>
          <w:rFonts w:ascii="Verdana" w:eastAsia="Calibri" w:hAnsi="Verdana" w:cs="Times"/>
          <w:sz w:val="20"/>
          <w:szCs w:val="20"/>
          <w:lang w:val="es-CR" w:eastAsia="es-ES"/>
        </w:rPr>
      </w:pPr>
    </w:p>
    <w:p w14:paraId="48184C11" w14:textId="77777777"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imes"/>
          <w:sz w:val="20"/>
          <w:szCs w:val="20"/>
          <w:lang w:val="es-CR" w:eastAsia="es-ES"/>
        </w:rPr>
      </w:pPr>
      <w:r w:rsidRPr="0005341B">
        <w:rPr>
          <w:rFonts w:ascii="Verdana" w:eastAsia="Calibri" w:hAnsi="Verdana" w:cstheme="minorHAnsi"/>
          <w:sz w:val="20"/>
          <w:szCs w:val="20"/>
          <w:lang w:val="es-CR" w:eastAsia="es-ES"/>
        </w:rPr>
        <w:t>Decretar que</w:t>
      </w:r>
      <w:r w:rsidRPr="0005341B">
        <w:rPr>
          <w:rFonts w:ascii="Verdana" w:eastAsia="Calibri" w:hAnsi="Verdana" w:cs="Times"/>
          <w:sz w:val="20"/>
          <w:szCs w:val="20"/>
          <w:lang w:val="es-CR" w:eastAsia="es-ES"/>
        </w:rPr>
        <w:t xml:space="preserve"> la Comisión, </w:t>
      </w:r>
      <w:r w:rsidRPr="0005341B">
        <w:rPr>
          <w:rFonts w:ascii="Verdana" w:eastAsia="Calibri" w:hAnsi="Verdana" w:cstheme="minorHAnsi"/>
          <w:sz w:val="20"/>
          <w:szCs w:val="20"/>
          <w:lang w:val="es-CR" w:eastAsia="es-ES"/>
        </w:rPr>
        <w:t>el</w:t>
      </w:r>
      <w:r w:rsidRPr="0005341B">
        <w:rPr>
          <w:rFonts w:ascii="Verdana" w:eastAsia="Calibri" w:hAnsi="Verdana" w:cs="Times"/>
          <w:sz w:val="20"/>
          <w:szCs w:val="20"/>
          <w:lang w:val="es-CR" w:eastAsia="es-ES"/>
        </w:rPr>
        <w:t xml:space="preserve"> Estado y las representantes </w:t>
      </w:r>
      <w:r w:rsidRPr="0005341B">
        <w:rPr>
          <w:rFonts w:ascii="Verdana" w:eastAsia="Calibri" w:hAnsi="Verdana" w:cstheme="minorHAnsi"/>
          <w:sz w:val="20"/>
          <w:szCs w:val="20"/>
          <w:lang w:val="es-CR" w:eastAsia="es-ES"/>
        </w:rPr>
        <w:t>deberán informar</w:t>
      </w:r>
      <w:r w:rsidRPr="0005341B">
        <w:rPr>
          <w:rFonts w:ascii="Verdana" w:eastAsia="Calibri" w:hAnsi="Verdana" w:cs="Times"/>
          <w:sz w:val="20"/>
          <w:szCs w:val="20"/>
          <w:lang w:val="es-CR" w:eastAsia="es-ES"/>
        </w:rPr>
        <w:t xml:space="preserve">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14:paraId="48184C12" w14:textId="77777777" w:rsidR="0005341B" w:rsidRPr="0005341B" w:rsidRDefault="0005341B" w:rsidP="00A579A1">
      <w:pPr>
        <w:tabs>
          <w:tab w:val="left" w:pos="567"/>
        </w:tabs>
        <w:spacing w:after="0" w:line="276" w:lineRule="auto"/>
        <w:ind w:left="0"/>
        <w:rPr>
          <w:rFonts w:ascii="Verdana" w:eastAsia="MS Mincho" w:hAnsi="Verdana"/>
          <w:sz w:val="20"/>
          <w:szCs w:val="20"/>
          <w:lang w:val="es-CR"/>
        </w:rPr>
      </w:pPr>
    </w:p>
    <w:p w14:paraId="48184C13" w14:textId="77777777" w:rsidR="0005341B" w:rsidRPr="0005341B" w:rsidRDefault="0005341B" w:rsidP="003D1327">
      <w:pPr>
        <w:numPr>
          <w:ilvl w:val="3"/>
          <w:numId w:val="1"/>
        </w:numPr>
        <w:tabs>
          <w:tab w:val="left" w:pos="567"/>
        </w:tabs>
        <w:spacing w:after="0" w:line="240" w:lineRule="auto"/>
        <w:ind w:left="0" w:firstLine="0"/>
        <w:contextualSpacing/>
        <w:rPr>
          <w:rFonts w:ascii="Verdana" w:eastAsia="Calibri" w:hAnsi="Verdana" w:cs="Times"/>
          <w:sz w:val="20"/>
          <w:szCs w:val="20"/>
          <w:lang w:val="es-CR" w:eastAsia="es-ES"/>
        </w:rPr>
      </w:pPr>
      <w:r w:rsidRPr="0005341B">
        <w:rPr>
          <w:rFonts w:ascii="Verdana" w:eastAsia="Calibri" w:hAnsi="Verdana" w:cs="Times"/>
          <w:sz w:val="20"/>
          <w:szCs w:val="20"/>
          <w:lang w:val="es-CR" w:eastAsia="es-ES"/>
        </w:rPr>
        <w:t xml:space="preserve">Disponer que la Secretaría de la Corte, de conformidad con lo dispuesto en el artículo 55.3 del Reglamento, indique a la Comisión Interamericana, a las representantes y al Estado el enlace donde se encontrará disponible la grabación de la audiencia pública, a la brevedad posible luego de la celebración de la referida audiencia. </w:t>
      </w:r>
    </w:p>
    <w:p w14:paraId="48184C14" w14:textId="77777777" w:rsidR="0005341B" w:rsidRPr="0005341B" w:rsidRDefault="0005341B" w:rsidP="00A579A1">
      <w:pPr>
        <w:spacing w:line="240" w:lineRule="auto"/>
        <w:ind w:left="720"/>
        <w:contextualSpacing/>
        <w:rPr>
          <w:rFonts w:ascii="Verdana" w:eastAsia="Calibri" w:hAnsi="Verdana" w:cs="Times"/>
          <w:sz w:val="20"/>
          <w:szCs w:val="20"/>
          <w:lang w:val="es-CR" w:eastAsia="es-ES"/>
        </w:rPr>
      </w:pPr>
    </w:p>
    <w:p w14:paraId="48184C15" w14:textId="77777777" w:rsidR="0005341B" w:rsidRPr="0005341B" w:rsidRDefault="0005341B" w:rsidP="00EB1051">
      <w:pPr>
        <w:numPr>
          <w:ilvl w:val="3"/>
          <w:numId w:val="1"/>
        </w:numPr>
        <w:tabs>
          <w:tab w:val="left" w:pos="567"/>
        </w:tabs>
        <w:spacing w:after="0" w:line="240" w:lineRule="auto"/>
        <w:ind w:left="0" w:firstLine="0"/>
        <w:contextualSpacing/>
        <w:rPr>
          <w:rFonts w:ascii="Verdana" w:eastAsia="Calibri" w:hAnsi="Verdana" w:cs="Times"/>
          <w:sz w:val="20"/>
          <w:szCs w:val="20"/>
          <w:lang w:val="es-CR" w:eastAsia="es-ES"/>
        </w:rPr>
      </w:pPr>
      <w:r w:rsidRPr="0005341B">
        <w:rPr>
          <w:rFonts w:ascii="Verdana" w:eastAsia="Calibri" w:hAnsi="Verdana" w:cs="Times"/>
          <w:sz w:val="20"/>
          <w:szCs w:val="20"/>
          <w:lang w:val="es-CR" w:eastAsia="es-ES"/>
        </w:rPr>
        <w:t>Informar a las representantes, al Estado y a la Comisión Interamericana que, en los términos del artículo 56 del Reglamento, cuentan con un plazo hasta el 28 de mayo de 2018 para presentar sus alegatos finales escritos y observaciones finales escritas, respectivamente, en relación con el fondo y eventuales reparaciones y costas en el presente caso</w:t>
      </w:r>
      <w:r w:rsidRPr="0005341B">
        <w:rPr>
          <w:rFonts w:ascii="Verdana" w:eastAsia="Calibri" w:hAnsi="Verdana" w:cstheme="minorHAnsi"/>
          <w:sz w:val="20"/>
          <w:szCs w:val="20"/>
          <w:lang w:val="es-CR" w:eastAsia="es-ES"/>
        </w:rPr>
        <w:t xml:space="preserve"> y que dicho</w:t>
      </w:r>
      <w:r w:rsidRPr="0005341B">
        <w:rPr>
          <w:rFonts w:ascii="Verdana" w:eastAsia="Calibri" w:hAnsi="Verdana" w:cs="Times"/>
          <w:sz w:val="20"/>
          <w:szCs w:val="20"/>
          <w:lang w:val="es-CR" w:eastAsia="es-ES"/>
        </w:rPr>
        <w:t xml:space="preserve"> plazo es improrrogable e independiente de la puesta a disposición de las partes de la grabación de la audiencia pública. </w:t>
      </w:r>
    </w:p>
    <w:p w14:paraId="48184C16" w14:textId="77777777" w:rsidR="0005341B" w:rsidRPr="0005341B" w:rsidRDefault="0005341B" w:rsidP="00EB1051">
      <w:pPr>
        <w:spacing w:line="240" w:lineRule="auto"/>
        <w:ind w:left="0"/>
        <w:contextualSpacing/>
        <w:rPr>
          <w:rFonts w:ascii="Verdana" w:eastAsia="Calibri" w:hAnsi="Verdana" w:cs="Times"/>
          <w:sz w:val="20"/>
          <w:szCs w:val="20"/>
          <w:lang w:val="es-CR" w:eastAsia="es-ES"/>
        </w:rPr>
      </w:pPr>
    </w:p>
    <w:p w14:paraId="5DA4B366" w14:textId="0821E716" w:rsidR="00C45F58" w:rsidRDefault="0005341B" w:rsidP="00C45F58">
      <w:pPr>
        <w:numPr>
          <w:ilvl w:val="3"/>
          <w:numId w:val="1"/>
        </w:numPr>
        <w:tabs>
          <w:tab w:val="left" w:pos="567"/>
        </w:tabs>
        <w:spacing w:after="0" w:line="240" w:lineRule="auto"/>
        <w:ind w:left="0" w:firstLine="0"/>
        <w:contextualSpacing/>
        <w:rPr>
          <w:rFonts w:ascii="Verdana" w:eastAsia="Calibri" w:hAnsi="Verdana" w:cs="Times"/>
          <w:sz w:val="20"/>
          <w:szCs w:val="20"/>
          <w:lang w:val="es-CR" w:eastAsia="es-ES"/>
        </w:rPr>
      </w:pPr>
      <w:r w:rsidRPr="0005341B">
        <w:rPr>
          <w:rFonts w:ascii="Verdana" w:eastAsia="Calibri" w:hAnsi="Verdana" w:cstheme="minorHAnsi"/>
          <w:sz w:val="20"/>
          <w:szCs w:val="20"/>
          <w:lang w:val="es-CR" w:eastAsia="es-ES"/>
        </w:rPr>
        <w:t xml:space="preserve">Ordenar a la Secretaría </w:t>
      </w:r>
      <w:r w:rsidRPr="0005341B">
        <w:rPr>
          <w:rFonts w:ascii="Verdana" w:eastAsia="Calibri" w:hAnsi="Verdana" w:cs="Times"/>
          <w:sz w:val="20"/>
          <w:szCs w:val="20"/>
          <w:lang w:val="es-CR" w:eastAsia="es-ES"/>
        </w:rPr>
        <w:t xml:space="preserve">de la Corte Interamericana que notifique la presente Resolución a la Comisión Interamericana, a las representantes y al Estado. </w:t>
      </w:r>
    </w:p>
    <w:p w14:paraId="5001844C" w14:textId="3AE382B1" w:rsidR="00C45F58" w:rsidRDefault="00C45F58" w:rsidP="00C45F58">
      <w:pPr>
        <w:pStyle w:val="ListParagraph"/>
        <w:rPr>
          <w:rFonts w:ascii="Verdana" w:eastAsia="Calibri" w:hAnsi="Verdana" w:cs="Times"/>
          <w:sz w:val="20"/>
          <w:szCs w:val="20"/>
          <w:lang w:val="pt-BR" w:eastAsia="es-ES"/>
        </w:rPr>
      </w:pPr>
    </w:p>
    <w:p w14:paraId="380DC948" w14:textId="3232A48E" w:rsidR="00C45F58" w:rsidRDefault="00C45F58" w:rsidP="00C45F58">
      <w:pPr>
        <w:pStyle w:val="ListParagraph"/>
        <w:rPr>
          <w:rFonts w:ascii="Verdana" w:eastAsia="Calibri" w:hAnsi="Verdana" w:cs="Times"/>
          <w:sz w:val="20"/>
          <w:szCs w:val="20"/>
          <w:lang w:val="pt-BR" w:eastAsia="es-ES"/>
        </w:rPr>
      </w:pPr>
    </w:p>
    <w:p w14:paraId="03EF9A17" w14:textId="77777777" w:rsidR="00C45F58" w:rsidRDefault="00C45F58" w:rsidP="00C45F58">
      <w:pPr>
        <w:pStyle w:val="ListParagraph"/>
        <w:rPr>
          <w:rFonts w:ascii="Verdana" w:eastAsia="Calibri" w:hAnsi="Verdana" w:cs="Times"/>
          <w:sz w:val="20"/>
          <w:szCs w:val="20"/>
          <w:lang w:val="pt-BR" w:eastAsia="es-ES"/>
        </w:rPr>
      </w:pPr>
    </w:p>
    <w:p w14:paraId="19F70A0C" w14:textId="4215AA29" w:rsidR="00C45F58" w:rsidRDefault="00C45F58" w:rsidP="00C45F58">
      <w:pPr>
        <w:pStyle w:val="ListParagraph"/>
        <w:rPr>
          <w:rFonts w:ascii="Verdana" w:eastAsia="Calibri" w:hAnsi="Verdana" w:cs="Times"/>
          <w:sz w:val="20"/>
          <w:szCs w:val="20"/>
          <w:lang w:val="pt-BR" w:eastAsia="es-ES"/>
        </w:rPr>
      </w:pPr>
    </w:p>
    <w:p w14:paraId="7A311CD5" w14:textId="15EDDD24" w:rsidR="00C45F58" w:rsidRDefault="00C45F58" w:rsidP="00C45F58">
      <w:pPr>
        <w:tabs>
          <w:tab w:val="left" w:pos="567"/>
        </w:tabs>
        <w:spacing w:after="0" w:line="240" w:lineRule="auto"/>
        <w:ind w:left="0"/>
        <w:contextualSpacing/>
        <w:rPr>
          <w:rFonts w:ascii="Verdana" w:eastAsia="Calibri" w:hAnsi="Verdana" w:cs="Times"/>
          <w:sz w:val="20"/>
          <w:szCs w:val="20"/>
          <w:lang w:val="es-CR" w:eastAsia="es-ES"/>
        </w:rPr>
      </w:pPr>
      <w:r>
        <w:rPr>
          <w:rFonts w:ascii="Verdana" w:eastAsia="Calibri" w:hAnsi="Verdana" w:cs="Times"/>
          <w:sz w:val="20"/>
          <w:szCs w:val="20"/>
          <w:lang w:val="pt-BR" w:eastAsia="es-ES"/>
        </w:rPr>
        <w:t xml:space="preserve">  </w:t>
      </w:r>
      <w:r w:rsidR="0005341B" w:rsidRPr="00C45F58">
        <w:rPr>
          <w:rFonts w:ascii="Verdana" w:eastAsia="Calibri" w:hAnsi="Verdana" w:cs="Times"/>
          <w:sz w:val="20"/>
          <w:szCs w:val="20"/>
          <w:lang w:val="pt-BR" w:eastAsia="es-ES"/>
        </w:rPr>
        <w:t>Eduardo Vio Grossi</w:t>
      </w:r>
    </w:p>
    <w:p w14:paraId="48184C1F" w14:textId="492C0021" w:rsidR="00DB2CA7" w:rsidRPr="00C45F58" w:rsidRDefault="0005341B" w:rsidP="00C45F58">
      <w:pPr>
        <w:tabs>
          <w:tab w:val="left" w:pos="567"/>
        </w:tabs>
        <w:spacing w:after="0" w:line="240" w:lineRule="auto"/>
        <w:ind w:left="0"/>
        <w:contextualSpacing/>
        <w:rPr>
          <w:rFonts w:ascii="Verdana" w:eastAsia="Calibri" w:hAnsi="Verdana" w:cs="Times"/>
          <w:sz w:val="20"/>
          <w:szCs w:val="20"/>
          <w:lang w:val="es-CR" w:eastAsia="es-ES"/>
        </w:rPr>
      </w:pPr>
      <w:r w:rsidRPr="0005341B">
        <w:rPr>
          <w:rFonts w:ascii="Verdana" w:eastAsia="Calibri" w:hAnsi="Verdana" w:cs="Times"/>
          <w:sz w:val="20"/>
          <w:szCs w:val="20"/>
          <w:lang w:val="pt-BR" w:eastAsia="es-ES"/>
        </w:rPr>
        <w:t>Presidente en ejercicio</w:t>
      </w:r>
    </w:p>
    <w:p w14:paraId="48184C20" w14:textId="63DA12EF" w:rsidR="00DB2CA7" w:rsidRDefault="00DB2CA7" w:rsidP="00DB2CA7">
      <w:pPr>
        <w:tabs>
          <w:tab w:val="left" w:pos="567"/>
        </w:tabs>
        <w:spacing w:after="0" w:line="240" w:lineRule="auto"/>
        <w:ind w:left="0"/>
        <w:contextualSpacing/>
        <w:rPr>
          <w:rFonts w:ascii="Verdana" w:eastAsia="Calibri" w:hAnsi="Verdana" w:cs="Times"/>
          <w:sz w:val="20"/>
          <w:szCs w:val="20"/>
          <w:lang w:val="pt-BR" w:eastAsia="es-ES"/>
        </w:rPr>
      </w:pPr>
    </w:p>
    <w:p w14:paraId="48184C21" w14:textId="17AAF39D" w:rsidR="00DB2CA7" w:rsidRDefault="00DB2CA7" w:rsidP="00DB2CA7">
      <w:pPr>
        <w:tabs>
          <w:tab w:val="left" w:pos="567"/>
        </w:tabs>
        <w:spacing w:after="0" w:line="240" w:lineRule="auto"/>
        <w:ind w:left="0"/>
        <w:contextualSpacing/>
        <w:rPr>
          <w:rFonts w:ascii="Verdana" w:eastAsia="Calibri" w:hAnsi="Verdana" w:cs="Times"/>
          <w:sz w:val="20"/>
          <w:szCs w:val="20"/>
          <w:lang w:val="pt-BR" w:eastAsia="es-ES"/>
        </w:rPr>
      </w:pPr>
    </w:p>
    <w:p w14:paraId="48184C22" w14:textId="0A105B63" w:rsidR="00DB2CA7" w:rsidRDefault="00DB2CA7" w:rsidP="00DB2CA7">
      <w:pPr>
        <w:tabs>
          <w:tab w:val="left" w:pos="567"/>
        </w:tabs>
        <w:spacing w:after="0" w:line="240" w:lineRule="auto"/>
        <w:ind w:left="0"/>
        <w:contextualSpacing/>
        <w:rPr>
          <w:rFonts w:ascii="Verdana" w:eastAsia="Calibri" w:hAnsi="Verdana" w:cs="Times"/>
          <w:sz w:val="20"/>
          <w:szCs w:val="20"/>
          <w:lang w:val="pt-BR" w:eastAsia="es-ES"/>
        </w:rPr>
      </w:pPr>
    </w:p>
    <w:p w14:paraId="7AE7A38C" w14:textId="209E3D04" w:rsidR="00C45F58" w:rsidRDefault="00C45F58" w:rsidP="00C45F58">
      <w:pPr>
        <w:tabs>
          <w:tab w:val="left" w:pos="567"/>
        </w:tabs>
        <w:spacing w:after="0" w:line="240" w:lineRule="auto"/>
        <w:ind w:left="7080"/>
        <w:contextualSpacing/>
        <w:jc w:val="center"/>
        <w:rPr>
          <w:rFonts w:ascii="Verdana" w:eastAsia="Calibri" w:hAnsi="Verdana" w:cs="Times"/>
          <w:sz w:val="20"/>
          <w:szCs w:val="20"/>
          <w:lang w:val="pt-BR" w:eastAsia="es-ES"/>
        </w:rPr>
      </w:pPr>
    </w:p>
    <w:p w14:paraId="48184C24" w14:textId="3BDBE38A" w:rsidR="0005341B" w:rsidRPr="00DB2CA7" w:rsidRDefault="00C45F58" w:rsidP="00C45F58">
      <w:pPr>
        <w:tabs>
          <w:tab w:val="left" w:pos="567"/>
        </w:tabs>
        <w:spacing w:after="0" w:line="240" w:lineRule="auto"/>
        <w:ind w:left="7080"/>
        <w:contextualSpacing/>
        <w:jc w:val="center"/>
        <w:rPr>
          <w:rFonts w:ascii="Verdana" w:eastAsia="Calibri" w:hAnsi="Verdana" w:cs="Times"/>
          <w:sz w:val="20"/>
          <w:szCs w:val="20"/>
          <w:lang w:val="pt-BR" w:eastAsia="es-ES"/>
        </w:rPr>
      </w:pPr>
      <w:r>
        <w:rPr>
          <w:rFonts w:ascii="Verdana" w:eastAsia="Calibri" w:hAnsi="Verdana" w:cs="Times"/>
          <w:sz w:val="20"/>
          <w:szCs w:val="20"/>
          <w:lang w:val="es-ES" w:eastAsia="es-ES"/>
        </w:rPr>
        <w:t>Emilia Segares Rodríguez</w:t>
      </w:r>
    </w:p>
    <w:p w14:paraId="48184C25" w14:textId="767BC355" w:rsidR="00DB2CA7" w:rsidRDefault="00C45F58" w:rsidP="00C45F58">
      <w:pPr>
        <w:tabs>
          <w:tab w:val="left" w:pos="567"/>
          <w:tab w:val="left" w:pos="2835"/>
        </w:tabs>
        <w:spacing w:after="0" w:line="240" w:lineRule="auto"/>
        <w:ind w:left="7724"/>
        <w:contextualSpacing/>
        <w:jc w:val="center"/>
        <w:rPr>
          <w:rFonts w:ascii="Verdana" w:eastAsia="Calibri" w:hAnsi="Verdana" w:cs="Times"/>
          <w:sz w:val="20"/>
          <w:szCs w:val="20"/>
          <w:lang w:val="es-ES" w:eastAsia="es-ES"/>
        </w:rPr>
      </w:pPr>
      <w:r>
        <w:rPr>
          <w:rFonts w:ascii="Verdana" w:eastAsia="Calibri" w:hAnsi="Verdana" w:cs="Times"/>
          <w:sz w:val="20"/>
          <w:szCs w:val="20"/>
          <w:lang w:val="es-ES" w:eastAsia="es-ES"/>
        </w:rPr>
        <w:t>Secretaria Adjunta</w:t>
      </w:r>
    </w:p>
    <w:p w14:paraId="48184C26" w14:textId="77777777" w:rsidR="00DB2CA7" w:rsidRDefault="00DB2CA7" w:rsidP="00DB2CA7">
      <w:pPr>
        <w:tabs>
          <w:tab w:val="left" w:pos="567"/>
          <w:tab w:val="left" w:pos="2835"/>
        </w:tabs>
        <w:spacing w:after="0" w:line="240" w:lineRule="auto"/>
        <w:ind w:left="644"/>
        <w:contextualSpacing/>
        <w:jc w:val="right"/>
        <w:rPr>
          <w:rFonts w:ascii="Verdana" w:eastAsia="Calibri" w:hAnsi="Verdana" w:cs="Times"/>
          <w:sz w:val="20"/>
          <w:szCs w:val="20"/>
          <w:lang w:val="es-ES" w:eastAsia="es-ES"/>
        </w:rPr>
      </w:pPr>
    </w:p>
    <w:p w14:paraId="48184C27" w14:textId="77777777" w:rsidR="00DB2CA7" w:rsidRDefault="00DB2CA7" w:rsidP="00DB2CA7">
      <w:pPr>
        <w:tabs>
          <w:tab w:val="left" w:pos="567"/>
          <w:tab w:val="left" w:pos="2835"/>
        </w:tabs>
        <w:spacing w:after="0" w:line="240" w:lineRule="auto"/>
        <w:ind w:left="644"/>
        <w:contextualSpacing/>
        <w:jc w:val="right"/>
        <w:rPr>
          <w:rFonts w:ascii="Verdana" w:eastAsia="Calibri" w:hAnsi="Verdana" w:cs="Times"/>
          <w:sz w:val="20"/>
          <w:szCs w:val="20"/>
          <w:lang w:val="es-ES" w:eastAsia="es-ES"/>
        </w:rPr>
      </w:pPr>
    </w:p>
    <w:p w14:paraId="48184C28" w14:textId="77777777" w:rsidR="00DB2CA7" w:rsidRDefault="00DB2CA7" w:rsidP="00DB2CA7">
      <w:pPr>
        <w:tabs>
          <w:tab w:val="left" w:pos="567"/>
          <w:tab w:val="left" w:pos="2835"/>
        </w:tabs>
        <w:spacing w:after="0" w:line="240" w:lineRule="auto"/>
        <w:ind w:left="644"/>
        <w:contextualSpacing/>
        <w:jc w:val="right"/>
        <w:rPr>
          <w:rFonts w:ascii="Verdana" w:eastAsia="Calibri" w:hAnsi="Verdana" w:cs="Times"/>
          <w:sz w:val="20"/>
          <w:szCs w:val="20"/>
          <w:lang w:val="es-ES" w:eastAsia="es-ES"/>
        </w:rPr>
      </w:pPr>
    </w:p>
    <w:p w14:paraId="48184C29" w14:textId="77777777" w:rsidR="00DB2CA7" w:rsidRDefault="00DB2CA7" w:rsidP="00DB2CA7">
      <w:pPr>
        <w:tabs>
          <w:tab w:val="left" w:pos="567"/>
          <w:tab w:val="left" w:pos="2835"/>
        </w:tabs>
        <w:spacing w:after="0" w:line="240" w:lineRule="auto"/>
        <w:ind w:left="644"/>
        <w:contextualSpacing/>
        <w:jc w:val="right"/>
        <w:rPr>
          <w:rFonts w:ascii="Verdana" w:eastAsia="Calibri" w:hAnsi="Verdana" w:cs="Times"/>
          <w:sz w:val="20"/>
          <w:szCs w:val="20"/>
          <w:lang w:val="es-ES" w:eastAsia="es-ES"/>
        </w:rPr>
      </w:pPr>
    </w:p>
    <w:p w14:paraId="48184C2A" w14:textId="6F37B3C0" w:rsidR="00DB2CA7" w:rsidRDefault="0005341B" w:rsidP="00DB2CA7">
      <w:pPr>
        <w:tabs>
          <w:tab w:val="left" w:pos="567"/>
          <w:tab w:val="left" w:pos="2835"/>
        </w:tabs>
        <w:spacing w:after="0" w:line="240" w:lineRule="auto"/>
        <w:ind w:left="644"/>
        <w:contextualSpacing/>
        <w:jc w:val="center"/>
        <w:rPr>
          <w:rFonts w:ascii="Verdana" w:eastAsia="Calibri" w:hAnsi="Verdana" w:cs="Times"/>
          <w:sz w:val="20"/>
          <w:szCs w:val="20"/>
          <w:lang w:val="es-ES" w:eastAsia="es-ES"/>
        </w:rPr>
      </w:pPr>
      <w:r w:rsidRPr="0005341B">
        <w:rPr>
          <w:rFonts w:ascii="Verdana" w:eastAsia="Calibri" w:hAnsi="Verdana" w:cs="Times"/>
          <w:sz w:val="20"/>
          <w:szCs w:val="20"/>
          <w:lang w:val="es-ES_tradnl" w:eastAsia="es-ES"/>
        </w:rPr>
        <w:t>Comuníquese y ejecútese,</w:t>
      </w:r>
    </w:p>
    <w:p w14:paraId="48184C2B" w14:textId="77777777" w:rsidR="00DB2CA7" w:rsidRDefault="00DB2CA7" w:rsidP="00DB2CA7">
      <w:pPr>
        <w:tabs>
          <w:tab w:val="left" w:pos="567"/>
          <w:tab w:val="left" w:pos="2835"/>
        </w:tabs>
        <w:spacing w:after="0" w:line="240" w:lineRule="auto"/>
        <w:ind w:left="644"/>
        <w:contextualSpacing/>
        <w:jc w:val="center"/>
        <w:rPr>
          <w:rFonts w:ascii="Verdana" w:eastAsia="Calibri" w:hAnsi="Verdana" w:cs="Times"/>
          <w:sz w:val="20"/>
          <w:szCs w:val="20"/>
          <w:lang w:val="es-ES" w:eastAsia="es-ES"/>
        </w:rPr>
      </w:pPr>
    </w:p>
    <w:p w14:paraId="48184C2C" w14:textId="77777777" w:rsidR="00DB2CA7" w:rsidRDefault="00DB2CA7" w:rsidP="00DB2CA7">
      <w:pPr>
        <w:tabs>
          <w:tab w:val="left" w:pos="567"/>
          <w:tab w:val="left" w:pos="2835"/>
        </w:tabs>
        <w:spacing w:after="0" w:line="240" w:lineRule="auto"/>
        <w:ind w:left="644"/>
        <w:contextualSpacing/>
        <w:jc w:val="center"/>
        <w:rPr>
          <w:rFonts w:ascii="Verdana" w:eastAsia="Calibri" w:hAnsi="Verdana" w:cs="Times"/>
          <w:sz w:val="20"/>
          <w:szCs w:val="20"/>
          <w:lang w:val="es-ES" w:eastAsia="es-ES"/>
        </w:rPr>
      </w:pPr>
    </w:p>
    <w:p w14:paraId="48184C2D" w14:textId="453C7A29" w:rsidR="00DB2CA7" w:rsidRDefault="00DB2CA7" w:rsidP="00DB2CA7">
      <w:pPr>
        <w:tabs>
          <w:tab w:val="left" w:pos="567"/>
          <w:tab w:val="left" w:pos="2835"/>
        </w:tabs>
        <w:spacing w:after="0" w:line="240" w:lineRule="auto"/>
        <w:ind w:left="644"/>
        <w:contextualSpacing/>
        <w:jc w:val="center"/>
        <w:rPr>
          <w:rFonts w:ascii="Verdana" w:eastAsia="Calibri" w:hAnsi="Verdana" w:cs="Times"/>
          <w:sz w:val="20"/>
          <w:szCs w:val="20"/>
          <w:lang w:val="es-ES" w:eastAsia="es-ES"/>
        </w:rPr>
      </w:pPr>
    </w:p>
    <w:p w14:paraId="35492FD9" w14:textId="77777777" w:rsidR="00C45F58" w:rsidRDefault="00C45F58" w:rsidP="00DB2CA7">
      <w:pPr>
        <w:tabs>
          <w:tab w:val="left" w:pos="567"/>
          <w:tab w:val="left" w:pos="2835"/>
        </w:tabs>
        <w:spacing w:after="0" w:line="240" w:lineRule="auto"/>
        <w:ind w:left="644"/>
        <w:contextualSpacing/>
        <w:jc w:val="center"/>
        <w:rPr>
          <w:rFonts w:ascii="Verdana" w:eastAsia="Calibri" w:hAnsi="Verdana" w:cs="Times"/>
          <w:sz w:val="20"/>
          <w:szCs w:val="20"/>
          <w:lang w:val="es-ES" w:eastAsia="es-ES"/>
        </w:rPr>
      </w:pPr>
    </w:p>
    <w:p w14:paraId="48184C2E" w14:textId="77777777" w:rsidR="00DB2CA7" w:rsidRDefault="00DB2CA7" w:rsidP="00DB2CA7">
      <w:pPr>
        <w:tabs>
          <w:tab w:val="left" w:pos="567"/>
          <w:tab w:val="left" w:pos="2835"/>
        </w:tabs>
        <w:spacing w:after="0" w:line="240" w:lineRule="auto"/>
        <w:ind w:left="644"/>
        <w:contextualSpacing/>
        <w:jc w:val="center"/>
        <w:rPr>
          <w:rFonts w:ascii="Verdana" w:eastAsia="Calibri" w:hAnsi="Verdana" w:cs="Times"/>
          <w:sz w:val="20"/>
          <w:szCs w:val="20"/>
          <w:lang w:val="es-ES" w:eastAsia="es-ES"/>
        </w:rPr>
      </w:pPr>
    </w:p>
    <w:p w14:paraId="48184C2F" w14:textId="61496560" w:rsidR="0005341B" w:rsidRPr="00DB2CA7" w:rsidRDefault="00C45F58" w:rsidP="00DB2CA7">
      <w:pPr>
        <w:tabs>
          <w:tab w:val="left" w:pos="567"/>
          <w:tab w:val="left" w:pos="2835"/>
        </w:tabs>
        <w:spacing w:after="0" w:line="240" w:lineRule="auto"/>
        <w:ind w:left="644"/>
        <w:contextualSpacing/>
        <w:rPr>
          <w:rFonts w:ascii="Verdana" w:eastAsia="Calibri" w:hAnsi="Verdana" w:cs="Times"/>
          <w:sz w:val="20"/>
          <w:szCs w:val="20"/>
          <w:lang w:val="es-ES" w:eastAsia="es-ES"/>
        </w:rPr>
      </w:pPr>
      <w:r>
        <w:rPr>
          <w:rFonts w:ascii="Verdana" w:eastAsia="Calibri" w:hAnsi="Verdana" w:cs="Times"/>
          <w:sz w:val="20"/>
          <w:szCs w:val="20"/>
          <w:lang w:val="pt-BR" w:eastAsia="es-ES"/>
        </w:rPr>
        <w:t xml:space="preserve">  </w:t>
      </w:r>
      <w:r w:rsidR="0005341B" w:rsidRPr="0005341B">
        <w:rPr>
          <w:rFonts w:ascii="Verdana" w:eastAsia="Calibri" w:hAnsi="Verdana" w:cs="Times"/>
          <w:sz w:val="20"/>
          <w:szCs w:val="20"/>
          <w:lang w:val="pt-BR" w:eastAsia="es-ES"/>
        </w:rPr>
        <w:t xml:space="preserve">Eduardo Vio Grossi </w:t>
      </w:r>
    </w:p>
    <w:p w14:paraId="48184C30" w14:textId="77777777" w:rsidR="00DB2CA7" w:rsidRDefault="0005341B" w:rsidP="00DB2CA7">
      <w:pPr>
        <w:tabs>
          <w:tab w:val="left" w:pos="567"/>
        </w:tabs>
        <w:spacing w:after="0" w:line="240" w:lineRule="auto"/>
        <w:ind w:left="644"/>
        <w:contextualSpacing/>
        <w:rPr>
          <w:rFonts w:ascii="Verdana" w:eastAsia="Calibri" w:hAnsi="Verdana" w:cs="Times"/>
          <w:sz w:val="20"/>
          <w:szCs w:val="20"/>
          <w:lang w:val="pt-BR" w:eastAsia="es-ES"/>
        </w:rPr>
      </w:pPr>
      <w:r w:rsidRPr="0005341B">
        <w:rPr>
          <w:rFonts w:ascii="Verdana" w:eastAsia="Calibri" w:hAnsi="Verdana" w:cs="Times"/>
          <w:sz w:val="20"/>
          <w:szCs w:val="20"/>
          <w:lang w:val="pt-BR" w:eastAsia="es-ES"/>
        </w:rPr>
        <w:t>Presidente en ejercicio</w:t>
      </w:r>
    </w:p>
    <w:p w14:paraId="48184C31" w14:textId="77777777" w:rsidR="00DB2CA7" w:rsidRDefault="00DB2CA7" w:rsidP="00DB2CA7">
      <w:pPr>
        <w:tabs>
          <w:tab w:val="left" w:pos="567"/>
        </w:tabs>
        <w:spacing w:after="0" w:line="240" w:lineRule="auto"/>
        <w:ind w:left="644"/>
        <w:contextualSpacing/>
        <w:rPr>
          <w:rFonts w:ascii="Verdana" w:eastAsia="Calibri" w:hAnsi="Verdana" w:cs="Times"/>
          <w:sz w:val="20"/>
          <w:szCs w:val="20"/>
          <w:lang w:val="pt-BR" w:eastAsia="es-ES"/>
        </w:rPr>
      </w:pPr>
    </w:p>
    <w:p w14:paraId="48184C32" w14:textId="14507F7E" w:rsidR="00DB2CA7" w:rsidRDefault="00DB2CA7" w:rsidP="00DB2CA7">
      <w:pPr>
        <w:tabs>
          <w:tab w:val="left" w:pos="567"/>
        </w:tabs>
        <w:spacing w:after="0" w:line="240" w:lineRule="auto"/>
        <w:ind w:left="644"/>
        <w:contextualSpacing/>
        <w:rPr>
          <w:rFonts w:ascii="Verdana" w:eastAsia="Calibri" w:hAnsi="Verdana" w:cs="Times"/>
          <w:sz w:val="20"/>
          <w:szCs w:val="20"/>
          <w:lang w:val="pt-BR" w:eastAsia="es-ES"/>
        </w:rPr>
      </w:pPr>
    </w:p>
    <w:p w14:paraId="48184C33" w14:textId="5D03A6FA" w:rsidR="00DB2CA7" w:rsidRDefault="00DB2CA7" w:rsidP="00DB2CA7">
      <w:pPr>
        <w:tabs>
          <w:tab w:val="left" w:pos="567"/>
        </w:tabs>
        <w:spacing w:after="0" w:line="240" w:lineRule="auto"/>
        <w:ind w:left="644"/>
        <w:contextualSpacing/>
        <w:rPr>
          <w:rFonts w:ascii="Verdana" w:eastAsia="Calibri" w:hAnsi="Verdana" w:cs="Times"/>
          <w:sz w:val="20"/>
          <w:szCs w:val="20"/>
          <w:lang w:val="pt-BR" w:eastAsia="es-ES"/>
        </w:rPr>
      </w:pPr>
    </w:p>
    <w:p w14:paraId="48184C34" w14:textId="77777777" w:rsidR="00DB2CA7" w:rsidRDefault="00DB2CA7" w:rsidP="00DB2CA7">
      <w:pPr>
        <w:tabs>
          <w:tab w:val="left" w:pos="567"/>
        </w:tabs>
        <w:spacing w:after="0" w:line="240" w:lineRule="auto"/>
        <w:ind w:left="644"/>
        <w:contextualSpacing/>
        <w:rPr>
          <w:rFonts w:ascii="Verdana" w:eastAsia="Calibri" w:hAnsi="Verdana" w:cs="Times"/>
          <w:sz w:val="20"/>
          <w:szCs w:val="20"/>
          <w:lang w:val="pt-BR" w:eastAsia="es-ES"/>
        </w:rPr>
      </w:pPr>
    </w:p>
    <w:p w14:paraId="48184C35" w14:textId="0D70A0DF" w:rsidR="0005341B" w:rsidRPr="00DB2CA7" w:rsidRDefault="00C45F58" w:rsidP="00C45F58">
      <w:pPr>
        <w:tabs>
          <w:tab w:val="left" w:pos="567"/>
        </w:tabs>
        <w:spacing w:after="0" w:line="240" w:lineRule="auto"/>
        <w:ind w:left="6372"/>
        <w:contextualSpacing/>
        <w:jc w:val="center"/>
        <w:rPr>
          <w:rFonts w:ascii="Verdana" w:eastAsia="Calibri" w:hAnsi="Verdana" w:cs="Times"/>
          <w:sz w:val="20"/>
          <w:szCs w:val="20"/>
          <w:lang w:val="pt-BR" w:eastAsia="es-ES"/>
        </w:rPr>
      </w:pPr>
      <w:r>
        <w:rPr>
          <w:rFonts w:ascii="Verdana" w:eastAsia="Calibri" w:hAnsi="Verdana" w:cs="Times"/>
          <w:sz w:val="20"/>
          <w:szCs w:val="20"/>
          <w:lang w:val="es-ES_tradnl" w:eastAsia="es-ES"/>
        </w:rPr>
        <w:t>Emilia Segares Rodríguez</w:t>
      </w:r>
    </w:p>
    <w:p w14:paraId="48184C36" w14:textId="01CBC43C" w:rsidR="0005341B" w:rsidRPr="0005341B" w:rsidRDefault="00C45F58" w:rsidP="00C45F58">
      <w:pPr>
        <w:tabs>
          <w:tab w:val="left" w:pos="567"/>
        </w:tabs>
        <w:spacing w:after="0" w:line="240" w:lineRule="auto"/>
        <w:ind w:left="6372"/>
        <w:contextualSpacing/>
        <w:jc w:val="center"/>
        <w:rPr>
          <w:rFonts w:ascii="Verdana" w:eastAsia="Calibri" w:hAnsi="Verdana" w:cs="Times"/>
          <w:sz w:val="20"/>
          <w:szCs w:val="20"/>
          <w:lang w:val="es-ES_tradnl" w:eastAsia="es-ES"/>
        </w:rPr>
      </w:pPr>
      <w:r>
        <w:rPr>
          <w:rFonts w:ascii="Verdana" w:eastAsia="Calibri" w:hAnsi="Verdana" w:cs="Times"/>
          <w:sz w:val="20"/>
          <w:szCs w:val="20"/>
          <w:lang w:val="es-ES_tradnl" w:eastAsia="es-ES"/>
        </w:rPr>
        <w:t xml:space="preserve">Secretaria </w:t>
      </w:r>
      <w:proofErr w:type="spellStart"/>
      <w:r>
        <w:rPr>
          <w:rFonts w:ascii="Verdana" w:eastAsia="Calibri" w:hAnsi="Verdana" w:cs="Times"/>
          <w:sz w:val="20"/>
          <w:szCs w:val="20"/>
          <w:lang w:val="es-ES_tradnl" w:eastAsia="es-ES"/>
        </w:rPr>
        <w:t>Adjuna</w:t>
      </w:r>
      <w:proofErr w:type="spellEnd"/>
    </w:p>
    <w:p w14:paraId="48184C37" w14:textId="77777777" w:rsidR="0005341B" w:rsidRPr="0005341B" w:rsidRDefault="0005341B" w:rsidP="00A579A1">
      <w:pPr>
        <w:tabs>
          <w:tab w:val="left" w:pos="567"/>
        </w:tabs>
        <w:spacing w:after="0" w:line="240" w:lineRule="auto"/>
        <w:ind w:left="0"/>
        <w:rPr>
          <w:rFonts w:ascii="Verdana" w:eastAsia="MS Mincho" w:hAnsi="Verdana"/>
          <w:sz w:val="20"/>
          <w:szCs w:val="20"/>
          <w:lang w:val="es-CR"/>
        </w:rPr>
      </w:pPr>
    </w:p>
    <w:p w14:paraId="48184C38" w14:textId="77777777" w:rsidR="0005341B" w:rsidRPr="0005341B" w:rsidRDefault="0005341B" w:rsidP="00A579A1">
      <w:pPr>
        <w:tabs>
          <w:tab w:val="left" w:pos="567"/>
          <w:tab w:val="left" w:pos="9065"/>
        </w:tabs>
        <w:spacing w:after="0" w:line="240" w:lineRule="auto"/>
        <w:ind w:left="0"/>
        <w:rPr>
          <w:rFonts w:ascii="Verdana" w:eastAsia="MS Mincho" w:hAnsi="Verdana"/>
          <w:sz w:val="20"/>
          <w:szCs w:val="20"/>
          <w:lang w:val="es-CR"/>
        </w:rPr>
      </w:pPr>
    </w:p>
    <w:p w14:paraId="48184C39" w14:textId="77777777" w:rsidR="0005341B" w:rsidRPr="0005341B" w:rsidRDefault="0005341B" w:rsidP="00A579A1">
      <w:pPr>
        <w:spacing w:after="200" w:line="276" w:lineRule="auto"/>
        <w:ind w:left="0"/>
        <w:rPr>
          <w:rFonts w:ascii="Verdana" w:eastAsia="MS Mincho" w:hAnsi="Verdana" w:cstheme="minorHAnsi"/>
          <w:sz w:val="20"/>
          <w:szCs w:val="20"/>
          <w:lang w:val="es-MX"/>
        </w:rPr>
      </w:pPr>
    </w:p>
    <w:p w14:paraId="48184C3A" w14:textId="77777777" w:rsidR="0005341B" w:rsidRPr="0005341B" w:rsidRDefault="0005341B" w:rsidP="00C45F58">
      <w:pPr>
        <w:spacing w:before="120" w:after="200" w:line="276" w:lineRule="auto"/>
        <w:ind w:left="0"/>
        <w:rPr>
          <w:rFonts w:ascii="Verdana" w:eastAsia="MS Mincho" w:hAnsi="Verdana"/>
          <w:sz w:val="20"/>
          <w:szCs w:val="20"/>
          <w:lang w:val="es-MX"/>
        </w:rPr>
      </w:pPr>
    </w:p>
    <w:p w14:paraId="48184C3B" w14:textId="77777777" w:rsidR="00A317F9" w:rsidRDefault="00A317F9" w:rsidP="00A579A1"/>
    <w:sectPr w:rsidR="00A317F9" w:rsidSect="00C45F58">
      <w:headerReference w:type="default" r:id="rId12"/>
      <w:footerReference w:type="first" r:id="rId13"/>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9432F" w14:textId="77777777" w:rsidR="003524A8" w:rsidRDefault="003524A8" w:rsidP="0005341B">
      <w:pPr>
        <w:spacing w:after="0" w:line="240" w:lineRule="auto"/>
      </w:pPr>
      <w:r>
        <w:separator/>
      </w:r>
    </w:p>
  </w:endnote>
  <w:endnote w:type="continuationSeparator" w:id="0">
    <w:p w14:paraId="6BC21FE7" w14:textId="77777777" w:rsidR="003524A8" w:rsidRDefault="003524A8" w:rsidP="0005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84C44" w14:textId="77777777" w:rsidR="00C45F58" w:rsidRDefault="00C45F58" w:rsidP="00C45F58">
    <w:pPr>
      <w:pStyle w:val="Footer"/>
    </w:pPr>
  </w:p>
  <w:p w14:paraId="48184C45" w14:textId="77777777" w:rsidR="00C45F58" w:rsidRDefault="00C45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78277" w14:textId="77777777" w:rsidR="003524A8" w:rsidRDefault="003524A8" w:rsidP="0005341B">
      <w:pPr>
        <w:spacing w:after="0" w:line="240" w:lineRule="auto"/>
      </w:pPr>
      <w:r>
        <w:separator/>
      </w:r>
    </w:p>
  </w:footnote>
  <w:footnote w:type="continuationSeparator" w:id="0">
    <w:p w14:paraId="461D4FA9" w14:textId="77777777" w:rsidR="003524A8" w:rsidRDefault="003524A8" w:rsidP="0005341B">
      <w:pPr>
        <w:spacing w:after="0" w:line="240" w:lineRule="auto"/>
      </w:pPr>
      <w:r>
        <w:continuationSeparator/>
      </w:r>
    </w:p>
  </w:footnote>
  <w:footnote w:id="1">
    <w:p w14:paraId="48184C46" w14:textId="77777777" w:rsidR="00C45F58" w:rsidRPr="005978D3" w:rsidRDefault="00C45F58" w:rsidP="0005341B">
      <w:pPr>
        <w:pStyle w:val="FootnoteText"/>
        <w:tabs>
          <w:tab w:val="left" w:pos="720"/>
        </w:tabs>
        <w:jc w:val="both"/>
        <w:rPr>
          <w:rFonts w:ascii="Verdana" w:hAnsi="Verdana"/>
          <w:sz w:val="16"/>
          <w:szCs w:val="16"/>
        </w:rPr>
      </w:pPr>
      <w:r w:rsidRPr="007B1E0C">
        <w:rPr>
          <w:rStyle w:val="FootnoteReference"/>
        </w:rPr>
        <w:sym w:font="Symbol" w:char="F02A"/>
      </w:r>
      <w:r>
        <w:t xml:space="preserve"> </w:t>
      </w:r>
      <w:r>
        <w:tab/>
      </w:r>
      <w:r w:rsidRPr="005978D3">
        <w:rPr>
          <w:rFonts w:ascii="Verdana" w:hAnsi="Verdana"/>
          <w:sz w:val="16"/>
          <w:szCs w:val="16"/>
        </w:rPr>
        <w:t>El Presidente de la Corte, Juez Eduardo Ferrer Mac-Gregor Poisot, de nacionalidad mexicana, no participa en el conocimiento de la presente resolución, de conformidad con lo dispuesto en el artículo 19.1 del Reglamento de la Corte. Por tal motivo, de acuerdo con los artículos 4.2 y 5 del Reglamento de este Tribunal, el Juez Eduardo Vio Grossi, Vicepresidente de la Corte, asume la Presidencia en ejercicio respecto del presente caso.</w:t>
      </w:r>
    </w:p>
  </w:footnote>
  <w:footnote w:id="2">
    <w:p w14:paraId="48184C47" w14:textId="2E6911BC" w:rsidR="00C45F58" w:rsidRPr="004803F7" w:rsidRDefault="00C45F58" w:rsidP="0005341B">
      <w:pPr>
        <w:pStyle w:val="FootnoteText"/>
        <w:jc w:val="both"/>
        <w:rPr>
          <w:rFonts w:ascii="Verdana" w:hAnsi="Verdana"/>
          <w:sz w:val="16"/>
          <w:szCs w:val="16"/>
        </w:rPr>
      </w:pPr>
      <w:r w:rsidRPr="004803F7">
        <w:rPr>
          <w:rStyle w:val="FootnoteReference"/>
        </w:rPr>
        <w:footnoteRef/>
      </w:r>
      <w:r w:rsidRPr="004803F7">
        <w:rPr>
          <w:rFonts w:ascii="Verdana" w:hAnsi="Verdana"/>
          <w:sz w:val="16"/>
          <w:szCs w:val="16"/>
        </w:rPr>
        <w:t xml:space="preserve"> </w:t>
      </w:r>
      <w:r w:rsidRPr="004803F7">
        <w:rPr>
          <w:rFonts w:ascii="Verdana" w:hAnsi="Verdana"/>
          <w:sz w:val="16"/>
          <w:szCs w:val="16"/>
        </w:rPr>
        <w:tab/>
        <w:t>Inicialmente, en su escrito de contestación, el Estado ofreció doce declaraciones testimoniales y un dictamen pericial</w:t>
      </w:r>
      <w:r>
        <w:rPr>
          <w:rFonts w:ascii="Verdana" w:hAnsi="Verdana"/>
          <w:sz w:val="16"/>
          <w:szCs w:val="16"/>
        </w:rPr>
        <w:t>. Posteriormente, e</w:t>
      </w:r>
      <w:r w:rsidRPr="004803F7">
        <w:rPr>
          <w:rFonts w:ascii="Verdana" w:hAnsi="Verdana"/>
          <w:sz w:val="16"/>
          <w:szCs w:val="16"/>
        </w:rPr>
        <w:t xml:space="preserve">n su </w:t>
      </w:r>
      <w:r>
        <w:rPr>
          <w:rFonts w:ascii="Verdana" w:hAnsi="Verdana"/>
          <w:sz w:val="16"/>
          <w:szCs w:val="16"/>
        </w:rPr>
        <w:t>l</w:t>
      </w:r>
      <w:r w:rsidRPr="004803F7">
        <w:rPr>
          <w:rFonts w:ascii="Verdana" w:hAnsi="Verdana"/>
          <w:sz w:val="16"/>
          <w:szCs w:val="16"/>
        </w:rPr>
        <w:t xml:space="preserve">ista </w:t>
      </w:r>
      <w:r>
        <w:rPr>
          <w:rFonts w:ascii="Verdana" w:hAnsi="Verdana"/>
          <w:sz w:val="16"/>
          <w:szCs w:val="16"/>
        </w:rPr>
        <w:t>d</w:t>
      </w:r>
      <w:r w:rsidRPr="004803F7">
        <w:rPr>
          <w:rFonts w:ascii="Verdana" w:hAnsi="Verdana"/>
          <w:sz w:val="16"/>
          <w:szCs w:val="16"/>
        </w:rPr>
        <w:t>efinitiva</w:t>
      </w:r>
      <w:r>
        <w:rPr>
          <w:rFonts w:ascii="Verdana" w:hAnsi="Verdana"/>
          <w:sz w:val="16"/>
          <w:szCs w:val="16"/>
        </w:rPr>
        <w:t xml:space="preserve"> de declarantes</w:t>
      </w:r>
      <w:r w:rsidRPr="004803F7">
        <w:rPr>
          <w:rFonts w:ascii="Verdana" w:hAnsi="Verdana"/>
          <w:sz w:val="16"/>
          <w:szCs w:val="16"/>
        </w:rPr>
        <w:t xml:space="preserve">, ofreció solo </w:t>
      </w:r>
      <w:r>
        <w:rPr>
          <w:rFonts w:ascii="Verdana" w:hAnsi="Verdana"/>
          <w:sz w:val="16"/>
          <w:szCs w:val="16"/>
        </w:rPr>
        <w:t>once</w:t>
      </w:r>
      <w:r w:rsidRPr="004803F7">
        <w:rPr>
          <w:rFonts w:ascii="Verdana" w:hAnsi="Verdana"/>
          <w:sz w:val="16"/>
          <w:szCs w:val="16"/>
        </w:rPr>
        <w:t xml:space="preserve"> </w:t>
      </w:r>
      <w:r>
        <w:rPr>
          <w:rFonts w:ascii="Verdana" w:hAnsi="Verdana"/>
          <w:sz w:val="16"/>
          <w:szCs w:val="16"/>
        </w:rPr>
        <w:t>declaraciones testimoniales</w:t>
      </w:r>
      <w:r w:rsidRPr="004803F7">
        <w:rPr>
          <w:rFonts w:ascii="Verdana" w:hAnsi="Verdana"/>
          <w:sz w:val="16"/>
          <w:szCs w:val="16"/>
        </w:rPr>
        <w:t xml:space="preserve"> y </w:t>
      </w:r>
      <w:r>
        <w:rPr>
          <w:rFonts w:ascii="Verdana" w:hAnsi="Verdana"/>
          <w:sz w:val="16"/>
          <w:szCs w:val="16"/>
        </w:rPr>
        <w:t>un dictamen</w:t>
      </w:r>
      <w:r w:rsidRPr="004803F7">
        <w:rPr>
          <w:rFonts w:ascii="Verdana" w:hAnsi="Verdana"/>
          <w:sz w:val="16"/>
          <w:szCs w:val="16"/>
        </w:rPr>
        <w:t xml:space="preserve"> peri</w:t>
      </w:r>
      <w:r>
        <w:rPr>
          <w:rFonts w:ascii="Verdana" w:hAnsi="Verdana"/>
          <w:sz w:val="16"/>
          <w:szCs w:val="16"/>
        </w:rPr>
        <w:t>cial</w:t>
      </w:r>
      <w:r w:rsidRPr="004803F7">
        <w:rPr>
          <w:rFonts w:ascii="Verdana" w:hAnsi="Verdana"/>
          <w:sz w:val="16"/>
          <w:szCs w:val="16"/>
        </w:rPr>
        <w:t xml:space="preserve">, </w:t>
      </w:r>
      <w:r>
        <w:rPr>
          <w:rFonts w:ascii="Verdana" w:hAnsi="Verdana"/>
          <w:sz w:val="16"/>
          <w:szCs w:val="16"/>
        </w:rPr>
        <w:t>debido a</w:t>
      </w:r>
      <w:r w:rsidRPr="004803F7">
        <w:rPr>
          <w:rFonts w:ascii="Verdana" w:hAnsi="Verdana"/>
          <w:sz w:val="16"/>
          <w:szCs w:val="16"/>
        </w:rPr>
        <w:t xml:space="preserve"> que </w:t>
      </w:r>
      <w:r>
        <w:rPr>
          <w:rFonts w:ascii="Verdana" w:hAnsi="Verdana"/>
          <w:sz w:val="16"/>
          <w:szCs w:val="16"/>
        </w:rPr>
        <w:t>omitió ofrecer la declaración de</w:t>
      </w:r>
      <w:r w:rsidRPr="004803F7">
        <w:rPr>
          <w:rFonts w:ascii="Verdana" w:hAnsi="Verdana"/>
          <w:sz w:val="16"/>
          <w:szCs w:val="16"/>
        </w:rPr>
        <w:t xml:space="preserve"> </w:t>
      </w:r>
      <w:r w:rsidRPr="003A1883">
        <w:rPr>
          <w:rFonts w:ascii="Verdana" w:hAnsi="Verdana"/>
          <w:sz w:val="16"/>
          <w:szCs w:val="16"/>
        </w:rPr>
        <w:t>Damaris Baglietto Hernández</w:t>
      </w:r>
      <w:r w:rsidRPr="004803F7">
        <w:rPr>
          <w:rFonts w:ascii="Verdana" w:hAnsi="Verdana"/>
          <w:sz w:val="16"/>
          <w:szCs w:val="16"/>
        </w:rPr>
        <w:t>. Final</w:t>
      </w:r>
      <w:r>
        <w:rPr>
          <w:rFonts w:ascii="Verdana" w:hAnsi="Verdana"/>
          <w:sz w:val="16"/>
          <w:szCs w:val="16"/>
        </w:rPr>
        <w:t xml:space="preserve">mente, mediante escrito de 22 de enero de </w:t>
      </w:r>
      <w:r w:rsidRPr="004803F7">
        <w:rPr>
          <w:rFonts w:ascii="Verdana" w:hAnsi="Verdana"/>
          <w:sz w:val="16"/>
          <w:szCs w:val="16"/>
        </w:rPr>
        <w:t>2018,  desistió de</w:t>
      </w:r>
      <w:r>
        <w:rPr>
          <w:rFonts w:ascii="Verdana" w:hAnsi="Verdana"/>
          <w:sz w:val="16"/>
          <w:szCs w:val="16"/>
        </w:rPr>
        <w:t xml:space="preserve"> las declaraciones testimoniales de </w:t>
      </w:r>
      <w:r w:rsidRPr="004803F7">
        <w:rPr>
          <w:rFonts w:ascii="Verdana" w:hAnsi="Verdana"/>
          <w:sz w:val="16"/>
          <w:szCs w:val="16"/>
        </w:rPr>
        <w:t>Emiliano López Pedraza y Avelina Morales Guzmán</w:t>
      </w:r>
      <w:r>
        <w:rPr>
          <w:rFonts w:ascii="Verdana" w:hAnsi="Verdana"/>
          <w:sz w:val="16"/>
          <w:szCs w:val="16"/>
        </w:rPr>
        <w:t xml:space="preserve">. </w:t>
      </w:r>
    </w:p>
  </w:footnote>
  <w:footnote w:id="3">
    <w:p w14:paraId="48184C48" w14:textId="11D2DF57" w:rsidR="00C45F58" w:rsidRPr="00CB7368" w:rsidRDefault="00C45F58" w:rsidP="0005341B">
      <w:pPr>
        <w:pStyle w:val="FootnoteText"/>
        <w:jc w:val="both"/>
      </w:pPr>
      <w:r>
        <w:rPr>
          <w:rStyle w:val="FootnoteReference"/>
        </w:rPr>
        <w:footnoteRef/>
      </w:r>
      <w:r>
        <w:t xml:space="preserve"> </w:t>
      </w:r>
      <w:r>
        <w:tab/>
      </w:r>
      <w:r w:rsidRPr="00CB7368">
        <w:rPr>
          <w:rFonts w:ascii="Verdana" w:hAnsi="Verdana"/>
          <w:sz w:val="16"/>
          <w:szCs w:val="16"/>
        </w:rPr>
        <w:t>En su lista definitiva de declarantes, l</w:t>
      </w:r>
      <w:r>
        <w:rPr>
          <w:rFonts w:ascii="Verdana" w:hAnsi="Verdana"/>
          <w:sz w:val="16"/>
          <w:szCs w:val="16"/>
        </w:rPr>
        <w:t>a</w:t>
      </w:r>
      <w:r w:rsidRPr="00CB7368">
        <w:rPr>
          <w:rFonts w:ascii="Verdana" w:hAnsi="Verdana"/>
          <w:sz w:val="16"/>
          <w:szCs w:val="16"/>
        </w:rPr>
        <w:t xml:space="preserve">s representantes </w:t>
      </w:r>
      <w:r>
        <w:rPr>
          <w:rFonts w:ascii="Verdana" w:hAnsi="Verdana"/>
          <w:sz w:val="16"/>
          <w:szCs w:val="16"/>
        </w:rPr>
        <w:t>solicitaron la sustitución de</w:t>
      </w:r>
      <w:r w:rsidRPr="00CB7368">
        <w:rPr>
          <w:rFonts w:ascii="Verdana" w:hAnsi="Verdana"/>
          <w:sz w:val="16"/>
          <w:szCs w:val="16"/>
        </w:rPr>
        <w:t>l perito Alejandro Madrazo Lajous, ofrecido en su escrito de solicitudes y argumentos, por el perito Javier Treviño Rangel.</w:t>
      </w:r>
    </w:p>
  </w:footnote>
  <w:footnote w:id="4">
    <w:p w14:paraId="48184C49" w14:textId="77777777" w:rsidR="00C45F58" w:rsidRPr="003714AD" w:rsidRDefault="00C45F58" w:rsidP="0005341B">
      <w:pPr>
        <w:pStyle w:val="FootnoteText"/>
        <w:jc w:val="both"/>
        <w:rPr>
          <w:rFonts w:cs="Verdana"/>
        </w:rPr>
      </w:pPr>
      <w:r w:rsidRPr="00FD5CE7">
        <w:rPr>
          <w:rStyle w:val="FootnoteReference"/>
        </w:rPr>
        <w:footnoteRef/>
      </w:r>
      <w:r w:rsidRPr="005978D3">
        <w:rPr>
          <w:rFonts w:ascii="Verdana" w:hAnsi="Verdana"/>
          <w:sz w:val="16"/>
          <w:szCs w:val="16"/>
        </w:rPr>
        <w:t xml:space="preserve"> </w:t>
      </w:r>
      <w:r w:rsidRPr="005978D3">
        <w:rPr>
          <w:rFonts w:ascii="Verdana" w:hAnsi="Verdana"/>
          <w:sz w:val="16"/>
          <w:szCs w:val="16"/>
        </w:rPr>
        <w:tab/>
      </w:r>
      <w:r w:rsidRPr="005978D3">
        <w:rPr>
          <w:rFonts w:ascii="Verdana" w:hAnsi="Verdana"/>
          <w:i/>
          <w:sz w:val="16"/>
          <w:szCs w:val="16"/>
          <w:lang w:val="es-ES_tradnl"/>
        </w:rPr>
        <w:t xml:space="preserve">Cfr. </w:t>
      </w:r>
      <w:r w:rsidRPr="005978D3">
        <w:rPr>
          <w:rFonts w:ascii="Verdana" w:hAnsi="Verdana"/>
          <w:sz w:val="16"/>
          <w:szCs w:val="16"/>
          <w:lang w:val="es-ES_tradnl"/>
        </w:rPr>
        <w:t xml:space="preserve">Resolución del Presidente de la Corte Interamericana de 14 de diciembre de 2017, disponible en: </w:t>
      </w:r>
      <w:hyperlink r:id="rId1" w:history="1">
        <w:r w:rsidRPr="005978D3">
          <w:rPr>
            <w:rStyle w:val="Hyperlink"/>
            <w:rFonts w:ascii="Verdana" w:hAnsi="Verdana"/>
            <w:sz w:val="16"/>
            <w:szCs w:val="16"/>
            <w:lang w:val="es-ES_tradnl"/>
          </w:rPr>
          <w:t>http://www.corteidh.or.cr/docs/asuntos/alvaradoes_fv_17.pdf</w:t>
        </w:r>
      </w:hyperlink>
      <w:r>
        <w:rPr>
          <w:lang w:val="es-ES_tradnl"/>
        </w:rPr>
        <w:t xml:space="preserve"> </w:t>
      </w:r>
    </w:p>
  </w:footnote>
  <w:footnote w:id="5">
    <w:p w14:paraId="48184C4A" w14:textId="77777777" w:rsidR="00C45F58" w:rsidRPr="005978D3" w:rsidRDefault="00C45F58" w:rsidP="0005341B">
      <w:pPr>
        <w:pStyle w:val="FootnoteText"/>
        <w:jc w:val="both"/>
        <w:rPr>
          <w:rFonts w:ascii="Verdana" w:hAnsi="Verdana"/>
          <w:sz w:val="16"/>
          <w:szCs w:val="16"/>
          <w:lang w:val="es-CR"/>
        </w:rPr>
      </w:pPr>
      <w:r w:rsidRPr="005978D3">
        <w:rPr>
          <w:rStyle w:val="FootnoteReference"/>
          <w:lang w:val="es-CR"/>
        </w:rPr>
        <w:footnoteRef/>
      </w:r>
      <w:r w:rsidRPr="005978D3">
        <w:rPr>
          <w:rFonts w:ascii="Verdana" w:hAnsi="Verdana"/>
          <w:sz w:val="16"/>
          <w:szCs w:val="16"/>
          <w:lang w:val="es-CR"/>
        </w:rPr>
        <w:t xml:space="preserve"> </w:t>
      </w:r>
      <w:r>
        <w:rPr>
          <w:rFonts w:ascii="Verdana" w:hAnsi="Verdana"/>
          <w:sz w:val="16"/>
          <w:szCs w:val="16"/>
          <w:lang w:val="es-CR"/>
        </w:rPr>
        <w:tab/>
      </w:r>
      <w:r w:rsidRPr="005978D3">
        <w:rPr>
          <w:rFonts w:ascii="Verdana" w:hAnsi="Verdana"/>
          <w:i/>
          <w:sz w:val="16"/>
          <w:szCs w:val="16"/>
          <w:lang w:val="es-CR"/>
        </w:rPr>
        <w:t>Cfr. Caso La Cantuta Vs. Perú</w:t>
      </w:r>
      <w:r w:rsidRPr="005978D3">
        <w:rPr>
          <w:rFonts w:ascii="Verdana" w:hAnsi="Verdana"/>
          <w:sz w:val="16"/>
          <w:szCs w:val="16"/>
          <w:lang w:val="es-CR"/>
        </w:rPr>
        <w:t xml:space="preserve">, </w:t>
      </w:r>
      <w:r w:rsidRPr="005978D3">
        <w:rPr>
          <w:rFonts w:ascii="Verdana" w:hAnsi="Verdana"/>
          <w:bCs/>
          <w:sz w:val="16"/>
          <w:szCs w:val="16"/>
          <w:lang w:val="es-CR"/>
        </w:rPr>
        <w:t>Resolución del Presidente de la Corte Interamericana de Derechos Humanos de 17 de agosto</w:t>
      </w:r>
      <w:r w:rsidRPr="005978D3">
        <w:rPr>
          <w:rFonts w:ascii="Verdana" w:hAnsi="Verdana"/>
          <w:bCs/>
          <w:sz w:val="16"/>
          <w:szCs w:val="16"/>
          <w:lang w:val="es-ES_tradnl"/>
        </w:rPr>
        <w:t xml:space="preserve"> de 2006, </w:t>
      </w:r>
      <w:r>
        <w:rPr>
          <w:rFonts w:ascii="Verdana" w:hAnsi="Verdana"/>
          <w:bCs/>
          <w:sz w:val="16"/>
          <w:szCs w:val="16"/>
          <w:lang w:val="es-ES_tradnl"/>
        </w:rPr>
        <w:t>C</w:t>
      </w:r>
      <w:r w:rsidRPr="005978D3">
        <w:rPr>
          <w:rFonts w:ascii="Verdana" w:hAnsi="Verdana"/>
          <w:sz w:val="16"/>
          <w:szCs w:val="16"/>
          <w:lang w:val="es-CR"/>
        </w:rPr>
        <w:t>onsiderando 15</w:t>
      </w:r>
      <w:r>
        <w:rPr>
          <w:rFonts w:ascii="Verdana" w:hAnsi="Verdana"/>
          <w:sz w:val="16"/>
          <w:szCs w:val="16"/>
          <w:lang w:val="es-CR"/>
        </w:rPr>
        <w:t xml:space="preserve">; </w:t>
      </w:r>
      <w:r w:rsidRPr="00700F34">
        <w:rPr>
          <w:rFonts w:ascii="Verdana" w:hAnsi="Verdana"/>
          <w:i/>
          <w:sz w:val="16"/>
          <w:szCs w:val="16"/>
          <w:lang w:val="es-CR"/>
        </w:rPr>
        <w:t>García Prieto y otros Vs. El Salvador.</w:t>
      </w:r>
      <w:r w:rsidRPr="00B61177">
        <w:rPr>
          <w:rFonts w:ascii="Verdana" w:hAnsi="Verdana"/>
          <w:sz w:val="16"/>
          <w:szCs w:val="16"/>
          <w:lang w:val="es-CR"/>
        </w:rPr>
        <w:t xml:space="preserve"> Resolución del Presidente de la Corte Interamericana de Derechos Humanos de 14 de diciembre de 2006, Considerandos</w:t>
      </w:r>
      <w:r>
        <w:rPr>
          <w:rFonts w:ascii="Verdana" w:hAnsi="Verdana"/>
          <w:sz w:val="16"/>
          <w:szCs w:val="16"/>
          <w:lang w:val="es-CR"/>
        </w:rPr>
        <w:t xml:space="preserve"> décimo octavo y décimo noveno, y </w:t>
      </w:r>
      <w:r w:rsidRPr="00700F34">
        <w:rPr>
          <w:rFonts w:ascii="Verdana" w:hAnsi="Verdana"/>
          <w:i/>
          <w:sz w:val="16"/>
          <w:szCs w:val="16"/>
          <w:lang w:val="es-CR"/>
        </w:rPr>
        <w:t>Caso Pueblos Indígenas Kuna de Madungandí y Emberá de Bayano y sus miembros Vs. Panamá.</w:t>
      </w:r>
      <w:r w:rsidRPr="00B61177">
        <w:rPr>
          <w:rFonts w:ascii="Verdana" w:hAnsi="Verdana"/>
          <w:sz w:val="16"/>
          <w:szCs w:val="16"/>
          <w:lang w:val="es-CR"/>
        </w:rPr>
        <w:t xml:space="preserve"> Convocatoria de audiencia. Resolución del Presidente de la Corte Interamericana de Derechos Humanos de 3 de marzo de 2014</w:t>
      </w:r>
      <w:r>
        <w:rPr>
          <w:rFonts w:ascii="Verdana" w:hAnsi="Verdana"/>
          <w:sz w:val="16"/>
          <w:szCs w:val="16"/>
          <w:lang w:val="es-CR"/>
        </w:rPr>
        <w:t xml:space="preserve">, Considerando 20. </w:t>
      </w:r>
    </w:p>
  </w:footnote>
  <w:footnote w:id="6">
    <w:p w14:paraId="48184C4B" w14:textId="61CED882" w:rsidR="00C45F58" w:rsidRPr="00E679E8" w:rsidRDefault="00C45F58" w:rsidP="0005341B">
      <w:pPr>
        <w:pStyle w:val="FootnoteText"/>
        <w:jc w:val="both"/>
        <w:rPr>
          <w:rFonts w:ascii="Verdana" w:hAnsi="Verdana"/>
          <w:sz w:val="16"/>
          <w:szCs w:val="16"/>
        </w:rPr>
      </w:pPr>
      <w:r w:rsidRPr="00E415A4">
        <w:rPr>
          <w:rStyle w:val="FootnoteReference"/>
        </w:rPr>
        <w:footnoteRef/>
      </w:r>
      <w:r w:rsidRPr="00E679E8">
        <w:rPr>
          <w:rFonts w:ascii="Verdana" w:hAnsi="Verdana"/>
          <w:sz w:val="16"/>
          <w:szCs w:val="16"/>
        </w:rPr>
        <w:t xml:space="preserve"> </w:t>
      </w:r>
      <w:r w:rsidRPr="00E679E8">
        <w:rPr>
          <w:rFonts w:ascii="Verdana" w:hAnsi="Verdana"/>
          <w:sz w:val="16"/>
          <w:szCs w:val="16"/>
        </w:rPr>
        <w:tab/>
        <w:t>El objeto del peritaje a cargo del señor Salvador Salazar Gutiérrez versará</w:t>
      </w:r>
      <w:r w:rsidRPr="00E415A4">
        <w:rPr>
          <w:rFonts w:ascii="Verdana" w:hAnsi="Verdana"/>
          <w:sz w:val="16"/>
          <w:szCs w:val="16"/>
        </w:rPr>
        <w:t xml:space="preserve"> </w:t>
      </w:r>
      <w:r w:rsidRPr="00E679E8">
        <w:rPr>
          <w:rFonts w:ascii="Verdana" w:hAnsi="Verdana"/>
          <w:sz w:val="16"/>
          <w:szCs w:val="16"/>
        </w:rPr>
        <w:t>“sobre el contexto del Operativo Conjunto Chihuahua y la particularidad de las violencias vividas al momento de los hechos del presente caso, especialmente en la región donde se cometi</w:t>
      </w:r>
      <w:r w:rsidRPr="00E415A4">
        <w:rPr>
          <w:rFonts w:ascii="Verdana" w:hAnsi="Verdana"/>
          <w:sz w:val="16"/>
          <w:szCs w:val="16"/>
        </w:rPr>
        <w:t>eron los hechos violatorios”.</w:t>
      </w:r>
    </w:p>
  </w:footnote>
  <w:footnote w:id="7">
    <w:p w14:paraId="48184C4C" w14:textId="5754CD24" w:rsidR="00C45F58" w:rsidRPr="00E415A4" w:rsidRDefault="00C45F58" w:rsidP="0005341B">
      <w:pPr>
        <w:pStyle w:val="FootnoteText"/>
        <w:jc w:val="both"/>
      </w:pPr>
      <w:r w:rsidRPr="00E415A4">
        <w:rPr>
          <w:rStyle w:val="FootnoteReference"/>
        </w:rPr>
        <w:footnoteRef/>
      </w:r>
      <w:r w:rsidRPr="00E679E8">
        <w:rPr>
          <w:rFonts w:ascii="Verdana" w:hAnsi="Verdana"/>
          <w:sz w:val="16"/>
          <w:szCs w:val="16"/>
        </w:rPr>
        <w:t xml:space="preserve"> </w:t>
      </w:r>
      <w:r w:rsidRPr="00E679E8">
        <w:rPr>
          <w:rFonts w:ascii="Verdana" w:hAnsi="Verdana"/>
          <w:sz w:val="16"/>
          <w:szCs w:val="16"/>
        </w:rPr>
        <w:tab/>
        <w:t>Por su parte, el peritaje conjunto de referencia se pronunciará “[sobre el] contexto de militarización y graves violaciones de derechos humanos cometidas por el ejército en el marco del Operativo Conjunto Chihuahua, especialmente en el norte del estado de Chihuahua”.</w:t>
      </w:r>
    </w:p>
  </w:footnote>
  <w:footnote w:id="8">
    <w:p w14:paraId="48184C4D" w14:textId="6B4EB6B7" w:rsidR="00C45F58" w:rsidRPr="005978D3" w:rsidRDefault="00C45F58" w:rsidP="0005341B">
      <w:pPr>
        <w:pStyle w:val="FootnoteText"/>
        <w:jc w:val="both"/>
        <w:rPr>
          <w:rFonts w:ascii="Verdana" w:hAnsi="Verdana"/>
          <w:sz w:val="16"/>
          <w:szCs w:val="16"/>
        </w:rPr>
      </w:pPr>
      <w:r w:rsidRPr="002B5CC8">
        <w:rPr>
          <w:rStyle w:val="FootnoteReference"/>
        </w:rPr>
        <w:footnoteRef/>
      </w:r>
      <w:r w:rsidRPr="005978D3">
        <w:rPr>
          <w:rFonts w:ascii="Verdana" w:hAnsi="Verdana"/>
          <w:sz w:val="16"/>
          <w:szCs w:val="16"/>
        </w:rPr>
        <w:t xml:space="preserve"> </w:t>
      </w:r>
      <w:r>
        <w:rPr>
          <w:rFonts w:ascii="Verdana" w:hAnsi="Verdana"/>
          <w:sz w:val="16"/>
          <w:szCs w:val="16"/>
        </w:rPr>
        <w:tab/>
      </w:r>
      <w:r w:rsidRPr="002B5CC8">
        <w:rPr>
          <w:rFonts w:ascii="Verdana" w:hAnsi="Verdana"/>
          <w:i/>
          <w:sz w:val="16"/>
          <w:szCs w:val="16"/>
        </w:rPr>
        <w:t>Cfr</w:t>
      </w:r>
      <w:r w:rsidRPr="002B5CC8">
        <w:rPr>
          <w:rFonts w:ascii="Verdana" w:hAnsi="Verdana"/>
          <w:sz w:val="16"/>
          <w:szCs w:val="16"/>
        </w:rPr>
        <w:t xml:space="preserve">. </w:t>
      </w:r>
      <w:r w:rsidRPr="005978D3">
        <w:rPr>
          <w:rFonts w:ascii="Verdana" w:hAnsi="Verdana"/>
          <w:i/>
          <w:sz w:val="16"/>
          <w:szCs w:val="16"/>
        </w:rPr>
        <w:t>Caso González y otras (“Campo Algodonero”) Vs. México.</w:t>
      </w:r>
      <w:r w:rsidRPr="005978D3">
        <w:rPr>
          <w:rFonts w:ascii="Verdana" w:hAnsi="Verdana"/>
          <w:sz w:val="16"/>
          <w:szCs w:val="16"/>
        </w:rPr>
        <w:t xml:space="preserve"> Resolución de la Presidenta de la Corte Interamericana de Derechos Humanos de 18 de marzo de 2009, Considerando 67; </w:t>
      </w:r>
      <w:r w:rsidRPr="005978D3">
        <w:rPr>
          <w:rFonts w:ascii="Verdana" w:hAnsi="Verdana"/>
          <w:i/>
          <w:sz w:val="16"/>
          <w:szCs w:val="16"/>
        </w:rPr>
        <w:t>Caso Néstor José y Luis Uzcátegui y otros Vs. Venezuela</w:t>
      </w:r>
      <w:r w:rsidRPr="005978D3">
        <w:rPr>
          <w:rFonts w:ascii="Verdana" w:hAnsi="Verdana"/>
          <w:sz w:val="16"/>
          <w:szCs w:val="16"/>
        </w:rPr>
        <w:t>. Resolución de la Presidenta de la Corte Interamericana de Derechos Humanos de 3 de noviembre de 2011,</w:t>
      </w:r>
      <w:r w:rsidRPr="002B5CC8">
        <w:rPr>
          <w:rFonts w:ascii="Verdana" w:hAnsi="Verdana"/>
          <w:sz w:val="16"/>
          <w:szCs w:val="16"/>
        </w:rPr>
        <w:t xml:space="preserve"> </w:t>
      </w:r>
      <w:r>
        <w:rPr>
          <w:rFonts w:ascii="Verdana" w:hAnsi="Verdana"/>
          <w:sz w:val="16"/>
          <w:szCs w:val="16"/>
        </w:rPr>
        <w:t>C</w:t>
      </w:r>
      <w:r w:rsidRPr="002B5CC8">
        <w:rPr>
          <w:rFonts w:ascii="Verdana" w:hAnsi="Verdana"/>
          <w:sz w:val="16"/>
          <w:szCs w:val="16"/>
        </w:rPr>
        <w:t xml:space="preserve">onsiderando 6, y </w:t>
      </w:r>
      <w:r w:rsidRPr="002B5CC8">
        <w:rPr>
          <w:rFonts w:ascii="Verdana" w:hAnsi="Verdana"/>
          <w:i/>
          <w:sz w:val="16"/>
          <w:szCs w:val="16"/>
        </w:rPr>
        <w:t>Caso López Soto y otros Vs. Venezuela</w:t>
      </w:r>
      <w:r w:rsidRPr="002B5CC8">
        <w:rPr>
          <w:rFonts w:ascii="Verdana" w:hAnsi="Verdana"/>
          <w:sz w:val="16"/>
          <w:szCs w:val="16"/>
        </w:rPr>
        <w:t xml:space="preserve">. Resolución del Presidente en ejercicio de la Corte Interamericana de Derechos Humanos de 13 de diciembre de 2017, Considerando 26. </w:t>
      </w:r>
    </w:p>
  </w:footnote>
  <w:footnote w:id="9">
    <w:p w14:paraId="48184C4F" w14:textId="45C4861D" w:rsidR="00C45F58" w:rsidRPr="009F400C" w:rsidRDefault="00C45F58" w:rsidP="0005341B">
      <w:pPr>
        <w:pStyle w:val="FootnoteText"/>
        <w:jc w:val="both"/>
      </w:pPr>
      <w:r w:rsidRPr="009F400C">
        <w:rPr>
          <w:rStyle w:val="FootnoteReference"/>
        </w:rPr>
        <w:footnoteRef/>
      </w:r>
      <w:r w:rsidRPr="009F400C">
        <w:rPr>
          <w:rFonts w:ascii="Verdana" w:hAnsi="Verdana"/>
          <w:sz w:val="16"/>
          <w:szCs w:val="16"/>
        </w:rPr>
        <w:t xml:space="preserve"> </w:t>
      </w:r>
      <w:r>
        <w:rPr>
          <w:rFonts w:ascii="Verdana" w:hAnsi="Verdana"/>
          <w:sz w:val="16"/>
          <w:szCs w:val="16"/>
        </w:rPr>
        <w:tab/>
      </w:r>
      <w:r w:rsidRPr="005978D3">
        <w:rPr>
          <w:rFonts w:ascii="Verdana" w:hAnsi="Verdana"/>
          <w:i/>
          <w:sz w:val="16"/>
          <w:szCs w:val="16"/>
        </w:rPr>
        <w:t>Cfr</w:t>
      </w:r>
      <w:r w:rsidRPr="005978D3">
        <w:rPr>
          <w:rFonts w:ascii="Verdana" w:hAnsi="Verdana"/>
          <w:sz w:val="16"/>
          <w:szCs w:val="16"/>
        </w:rPr>
        <w:t xml:space="preserve">. </w:t>
      </w:r>
      <w:r w:rsidRPr="005978D3">
        <w:rPr>
          <w:rFonts w:ascii="Verdana" w:hAnsi="Verdana"/>
          <w:i/>
          <w:sz w:val="16"/>
          <w:szCs w:val="16"/>
        </w:rPr>
        <w:t>Caso Tide Méndez y otros Vs. República Dominicana</w:t>
      </w:r>
      <w:r w:rsidRPr="005978D3">
        <w:rPr>
          <w:rFonts w:ascii="Verdana" w:hAnsi="Verdana"/>
          <w:sz w:val="16"/>
          <w:szCs w:val="16"/>
        </w:rPr>
        <w:t xml:space="preserve">. Resolución del Presidente en ejercicio de la Corte Interamericana de Derechos Humanos de 6 de septiembre de 2013, Considerando 47, y </w:t>
      </w:r>
      <w:r w:rsidRPr="002B5CC8">
        <w:rPr>
          <w:rFonts w:ascii="Verdana" w:hAnsi="Verdana"/>
          <w:i/>
          <w:sz w:val="16"/>
          <w:szCs w:val="16"/>
        </w:rPr>
        <w:t>Caso López Soto y otros Vs. Venezuela</w:t>
      </w:r>
      <w:r w:rsidRPr="002B5CC8">
        <w:rPr>
          <w:rFonts w:ascii="Verdana" w:hAnsi="Verdana"/>
          <w:sz w:val="16"/>
          <w:szCs w:val="16"/>
        </w:rPr>
        <w:t xml:space="preserve">. Resolución del Presidente en ejercicio de la Corte Interamericana de Derechos Humanos, </w:t>
      </w:r>
      <w:r w:rsidRPr="002B5CC8">
        <w:rPr>
          <w:rFonts w:ascii="Verdana" w:hAnsi="Verdana"/>
          <w:i/>
          <w:sz w:val="16"/>
          <w:szCs w:val="16"/>
        </w:rPr>
        <w:t xml:space="preserve">supra, </w:t>
      </w:r>
      <w:r w:rsidRPr="002B5CC8">
        <w:rPr>
          <w:rFonts w:ascii="Verdana" w:hAnsi="Verdana"/>
          <w:sz w:val="16"/>
          <w:szCs w:val="16"/>
        </w:rPr>
        <w:t>Considerando 26.</w:t>
      </w:r>
      <w:r w:rsidRPr="0021355E">
        <w:rPr>
          <w:rFonts w:ascii="Verdana" w:hAnsi="Verdana"/>
          <w:sz w:val="16"/>
          <w:szCs w:val="16"/>
        </w:rPr>
        <w:t xml:space="preserve"> </w:t>
      </w:r>
    </w:p>
  </w:footnote>
  <w:footnote w:id="10">
    <w:p w14:paraId="48184C50" w14:textId="77777777" w:rsidR="00C45F58" w:rsidRPr="000E0453" w:rsidRDefault="00C45F58" w:rsidP="0005341B">
      <w:pPr>
        <w:pStyle w:val="FootnoteText"/>
        <w:jc w:val="both"/>
        <w:rPr>
          <w:sz w:val="16"/>
          <w:szCs w:val="16"/>
          <w:lang w:val="es-CR"/>
        </w:rPr>
      </w:pPr>
      <w:r w:rsidRPr="000E0453">
        <w:rPr>
          <w:rStyle w:val="FootnoteReference"/>
        </w:rPr>
        <w:footnoteRef/>
      </w:r>
      <w:r w:rsidRPr="000E0453">
        <w:rPr>
          <w:sz w:val="16"/>
          <w:szCs w:val="16"/>
          <w:lang w:val="es-CR"/>
        </w:rPr>
        <w:t xml:space="preserve"> </w:t>
      </w:r>
      <w:r w:rsidRPr="000E0453">
        <w:rPr>
          <w:sz w:val="16"/>
          <w:szCs w:val="16"/>
          <w:lang w:val="es-CR"/>
        </w:rPr>
        <w:tab/>
      </w:r>
      <w:r w:rsidRPr="00B56E80">
        <w:rPr>
          <w:rFonts w:ascii="Verdana" w:hAnsi="Verdana"/>
          <w:i/>
          <w:iCs/>
          <w:sz w:val="16"/>
          <w:szCs w:val="16"/>
          <w:lang w:val="es-CR"/>
        </w:rPr>
        <w:t xml:space="preserve">Cfr. </w:t>
      </w:r>
      <w:r w:rsidRPr="005978D3">
        <w:rPr>
          <w:rFonts w:ascii="Verdana" w:hAnsi="Verdana"/>
          <w:i/>
          <w:iCs/>
          <w:sz w:val="16"/>
          <w:szCs w:val="16"/>
          <w:lang w:val="es-CR"/>
        </w:rPr>
        <w:t xml:space="preserve">Caso de la “Masacre de la Rochela” Vs. Colombia. </w:t>
      </w:r>
      <w:r w:rsidRPr="005978D3">
        <w:rPr>
          <w:rFonts w:ascii="Verdana" w:hAnsi="Verdana"/>
          <w:sz w:val="16"/>
          <w:szCs w:val="16"/>
          <w:lang w:val="es-CR"/>
        </w:rPr>
        <w:t>Resolución del Presidente de la Corte de 22 de septiembre de</w:t>
      </w:r>
      <w:r w:rsidRPr="002B5CC8">
        <w:rPr>
          <w:rFonts w:ascii="Verdana" w:hAnsi="Verdana"/>
          <w:sz w:val="16"/>
          <w:szCs w:val="16"/>
          <w:lang w:val="es-CR"/>
        </w:rPr>
        <w:t xml:space="preserve"> 2006, Considerandos </w:t>
      </w:r>
      <w:r>
        <w:rPr>
          <w:rFonts w:ascii="Verdana" w:hAnsi="Verdana"/>
          <w:sz w:val="16"/>
          <w:szCs w:val="16"/>
          <w:lang w:val="es-CR"/>
        </w:rPr>
        <w:t>20</w:t>
      </w:r>
      <w:r w:rsidRPr="002B5CC8">
        <w:rPr>
          <w:rFonts w:ascii="Verdana" w:hAnsi="Verdana"/>
          <w:sz w:val="16"/>
          <w:szCs w:val="16"/>
          <w:lang w:val="es-CR"/>
        </w:rPr>
        <w:t xml:space="preserve"> a</w:t>
      </w:r>
      <w:r w:rsidRPr="005978D3">
        <w:rPr>
          <w:rFonts w:ascii="Verdana" w:hAnsi="Verdana"/>
          <w:sz w:val="16"/>
          <w:szCs w:val="16"/>
          <w:lang w:val="es-CR"/>
        </w:rPr>
        <w:t xml:space="preserve"> </w:t>
      </w:r>
      <w:r>
        <w:rPr>
          <w:rFonts w:ascii="Verdana" w:hAnsi="Verdana"/>
          <w:sz w:val="16"/>
          <w:szCs w:val="16"/>
          <w:lang w:val="es-CR"/>
        </w:rPr>
        <w:t>24</w:t>
      </w:r>
      <w:r w:rsidRPr="005978D3">
        <w:rPr>
          <w:rFonts w:ascii="Verdana" w:hAnsi="Verdana"/>
          <w:sz w:val="16"/>
          <w:szCs w:val="16"/>
          <w:lang w:val="es-CR"/>
        </w:rPr>
        <w:t xml:space="preserve">; </w:t>
      </w:r>
      <w:r w:rsidRPr="002B5CC8">
        <w:rPr>
          <w:rFonts w:ascii="Verdana" w:hAnsi="Verdana"/>
          <w:i/>
          <w:iCs/>
          <w:sz w:val="16"/>
          <w:szCs w:val="16"/>
          <w:lang w:val="es-CR"/>
        </w:rPr>
        <w:t>Caso Anzualdo Castro Vs. Perú</w:t>
      </w:r>
      <w:r w:rsidRPr="002B5CC8">
        <w:rPr>
          <w:rFonts w:ascii="Verdana" w:hAnsi="Verdana"/>
          <w:sz w:val="16"/>
          <w:szCs w:val="16"/>
          <w:lang w:val="es-CR"/>
        </w:rPr>
        <w:t>. Resolución de la Presidenta de la Corte Interamericana de Derechos Humanos de 26 de febrero de 2009, Considerando</w:t>
      </w:r>
      <w:r>
        <w:rPr>
          <w:rFonts w:ascii="Verdana" w:hAnsi="Verdana"/>
          <w:sz w:val="16"/>
          <w:szCs w:val="16"/>
          <w:lang w:val="es-CR"/>
        </w:rPr>
        <w:t xml:space="preserve"> 14</w:t>
      </w:r>
      <w:r w:rsidRPr="002B5CC8">
        <w:rPr>
          <w:rFonts w:ascii="Verdana" w:hAnsi="Verdana"/>
          <w:sz w:val="16"/>
          <w:szCs w:val="16"/>
          <w:lang w:val="es-CR"/>
        </w:rPr>
        <w:t xml:space="preserve">, y </w:t>
      </w:r>
      <w:r w:rsidRPr="002B5CC8">
        <w:rPr>
          <w:rFonts w:ascii="Verdana" w:hAnsi="Verdana"/>
          <w:i/>
          <w:iCs/>
          <w:sz w:val="16"/>
          <w:szCs w:val="16"/>
          <w:lang w:val="es-CR"/>
        </w:rPr>
        <w:t>Caso Barbani Duarte y otros Vs. Uruguay</w:t>
      </w:r>
      <w:r w:rsidRPr="002B5CC8">
        <w:rPr>
          <w:rFonts w:ascii="Verdana" w:hAnsi="Verdana"/>
          <w:sz w:val="16"/>
          <w:szCs w:val="16"/>
          <w:lang w:val="es-CR"/>
        </w:rPr>
        <w:t xml:space="preserve">. Resolución del Presidente de la Corte de 31 de enero de 2011, Considerando </w:t>
      </w:r>
      <w:r>
        <w:rPr>
          <w:rFonts w:ascii="Verdana" w:hAnsi="Verdana"/>
          <w:sz w:val="16"/>
          <w:szCs w:val="16"/>
          <w:lang w:val="es-CR"/>
        </w:rPr>
        <w:t>22</w:t>
      </w:r>
      <w:r w:rsidRPr="002B5CC8">
        <w:rPr>
          <w:rFonts w:ascii="Verdana" w:hAnsi="Verdana"/>
          <w:sz w:val="16"/>
          <w:szCs w:val="16"/>
          <w:lang w:val="es-CR"/>
        </w:rPr>
        <w:t>.</w:t>
      </w:r>
    </w:p>
  </w:footnote>
  <w:footnote w:id="11">
    <w:p w14:paraId="48184C51" w14:textId="77777777" w:rsidR="00C45F58" w:rsidRPr="005978D3" w:rsidRDefault="00C45F58" w:rsidP="0005341B">
      <w:pPr>
        <w:pStyle w:val="FootnoteText"/>
        <w:jc w:val="both"/>
        <w:rPr>
          <w:rFonts w:ascii="Verdana" w:hAnsi="Verdana"/>
          <w:sz w:val="16"/>
          <w:szCs w:val="16"/>
          <w:lang w:val="es-ES_tradnl"/>
        </w:rPr>
      </w:pPr>
      <w:r w:rsidRPr="002B5CC8">
        <w:rPr>
          <w:rStyle w:val="FootnoteReference"/>
        </w:rPr>
        <w:footnoteRef/>
      </w:r>
      <w:r w:rsidRPr="005978D3">
        <w:rPr>
          <w:rFonts w:ascii="Verdana" w:hAnsi="Verdana"/>
          <w:sz w:val="16"/>
          <w:szCs w:val="16"/>
        </w:rPr>
        <w:t xml:space="preserve"> </w:t>
      </w:r>
      <w:r w:rsidRPr="005978D3">
        <w:rPr>
          <w:rFonts w:ascii="Verdana" w:hAnsi="Verdana"/>
          <w:sz w:val="16"/>
          <w:szCs w:val="16"/>
        </w:rPr>
        <w:tab/>
      </w:r>
      <w:r w:rsidRPr="005978D3">
        <w:rPr>
          <w:rFonts w:ascii="Verdana" w:hAnsi="Verdana"/>
          <w:i/>
          <w:sz w:val="16"/>
          <w:szCs w:val="16"/>
        </w:rPr>
        <w:t>Cfr.</w:t>
      </w:r>
      <w:r w:rsidRPr="005978D3">
        <w:rPr>
          <w:rFonts w:ascii="Verdana" w:hAnsi="Verdana"/>
          <w:sz w:val="16"/>
          <w:szCs w:val="16"/>
        </w:rPr>
        <w:t xml:space="preserve"> </w:t>
      </w:r>
      <w:r w:rsidRPr="005978D3">
        <w:rPr>
          <w:rFonts w:ascii="Verdana" w:hAnsi="Verdana"/>
          <w:i/>
          <w:sz w:val="16"/>
          <w:szCs w:val="16"/>
          <w:lang w:val="es-ES_tradnl"/>
        </w:rPr>
        <w:t>Caso del Pueblo Indígena Kichwa de Sarayaku</w:t>
      </w:r>
      <w:r>
        <w:rPr>
          <w:rFonts w:ascii="Verdana" w:hAnsi="Verdana"/>
          <w:i/>
          <w:sz w:val="16"/>
          <w:szCs w:val="16"/>
          <w:lang w:val="es-ES_tradnl"/>
        </w:rPr>
        <w:t xml:space="preserve"> </w:t>
      </w:r>
      <w:r w:rsidRPr="005978D3">
        <w:rPr>
          <w:rFonts w:ascii="Verdana" w:hAnsi="Verdana"/>
          <w:sz w:val="16"/>
          <w:szCs w:val="16"/>
          <w:lang w:val="es-ES_tradnl"/>
        </w:rPr>
        <w:t>Vs. Ecuador</w:t>
      </w:r>
      <w:r>
        <w:rPr>
          <w:rFonts w:ascii="Verdana" w:hAnsi="Verdana"/>
          <w:sz w:val="16"/>
          <w:szCs w:val="16"/>
          <w:lang w:val="es-ES_tradnl"/>
        </w:rPr>
        <w:t xml:space="preserve">. </w:t>
      </w:r>
      <w:r w:rsidRPr="00546826">
        <w:rPr>
          <w:rFonts w:ascii="Verdana" w:hAnsi="Verdana"/>
          <w:sz w:val="16"/>
          <w:szCs w:val="16"/>
          <w:lang w:val="es-ES_tradnl"/>
        </w:rPr>
        <w:t xml:space="preserve">Resolución del Presidente de la Corte Interamericana de Derechos Humanos de 17 de junio de 2011, </w:t>
      </w:r>
      <w:r>
        <w:rPr>
          <w:rFonts w:ascii="Verdana" w:hAnsi="Verdana"/>
          <w:sz w:val="16"/>
          <w:szCs w:val="16"/>
          <w:lang w:val="es-ES_tradnl"/>
        </w:rPr>
        <w:t>Considerandos 16 y 17;</w:t>
      </w:r>
      <w:r w:rsidRPr="00546826">
        <w:rPr>
          <w:rFonts w:ascii="Verdana" w:hAnsi="Verdana"/>
          <w:sz w:val="16"/>
          <w:szCs w:val="16"/>
          <w:lang w:val="es-ES_tradnl"/>
        </w:rPr>
        <w:t xml:space="preserve"> </w:t>
      </w:r>
      <w:r w:rsidRPr="00546826">
        <w:rPr>
          <w:rFonts w:ascii="Verdana" w:hAnsi="Verdana"/>
          <w:i/>
          <w:sz w:val="16"/>
          <w:szCs w:val="16"/>
          <w:lang w:val="es-ES_tradnl"/>
        </w:rPr>
        <w:t xml:space="preserve">Caso IV Vs. Bolivia. </w:t>
      </w:r>
      <w:r w:rsidRPr="00546826">
        <w:rPr>
          <w:rFonts w:ascii="Verdana" w:hAnsi="Verdana"/>
          <w:sz w:val="16"/>
          <w:szCs w:val="16"/>
          <w:lang w:val="es-ES_tradnl"/>
        </w:rPr>
        <w:t>Resolución del Presidente de la Corte Interamericana de Derechos Humanos de 29 de marzo d</w:t>
      </w:r>
      <w:r>
        <w:rPr>
          <w:rFonts w:ascii="Verdana" w:hAnsi="Verdana"/>
          <w:sz w:val="16"/>
          <w:szCs w:val="16"/>
          <w:lang w:val="es-ES_tradnl"/>
        </w:rPr>
        <w:t>e 2016, C</w:t>
      </w:r>
      <w:r w:rsidRPr="00546826">
        <w:rPr>
          <w:rFonts w:ascii="Verdana" w:hAnsi="Verdana"/>
          <w:sz w:val="16"/>
          <w:szCs w:val="16"/>
          <w:lang w:val="es-ES_tradnl"/>
        </w:rPr>
        <w:t>onsiderando 18</w:t>
      </w:r>
      <w:r>
        <w:rPr>
          <w:rFonts w:ascii="Verdana" w:hAnsi="Verdana"/>
          <w:sz w:val="16"/>
          <w:szCs w:val="16"/>
          <w:lang w:val="es-ES_tradnl"/>
        </w:rPr>
        <w:t xml:space="preserve">, y </w:t>
      </w:r>
      <w:r w:rsidRPr="005978D3">
        <w:rPr>
          <w:rFonts w:ascii="Verdana" w:hAnsi="Verdana"/>
          <w:i/>
          <w:iCs/>
          <w:sz w:val="16"/>
          <w:szCs w:val="16"/>
          <w:lang w:val="es-CR"/>
        </w:rPr>
        <w:t xml:space="preserve">Caso </w:t>
      </w:r>
      <w:r w:rsidRPr="005978D3">
        <w:rPr>
          <w:rFonts w:ascii="Verdana" w:hAnsi="Verdana"/>
          <w:i/>
          <w:iCs/>
          <w:sz w:val="16"/>
          <w:szCs w:val="16"/>
        </w:rPr>
        <w:t>Cosme Rosa Genoveva y otros (Favela Nova Brasilia) Vs. Brasil</w:t>
      </w:r>
      <w:r w:rsidRPr="005978D3">
        <w:rPr>
          <w:rFonts w:ascii="Verdana" w:hAnsi="Verdana"/>
          <w:i/>
          <w:iCs/>
          <w:sz w:val="16"/>
          <w:szCs w:val="16"/>
          <w:lang w:val="es-CR"/>
        </w:rPr>
        <w:t xml:space="preserve">. </w:t>
      </w:r>
      <w:r w:rsidRPr="005978D3">
        <w:rPr>
          <w:rFonts w:ascii="Verdana" w:hAnsi="Verdana"/>
          <w:sz w:val="16"/>
          <w:szCs w:val="16"/>
          <w:lang w:val="es-CR"/>
        </w:rPr>
        <w:t>Resolución del Presidente de la Corte de 4 de agosto de 2016, Considerando 54</w:t>
      </w:r>
      <w:r>
        <w:rPr>
          <w:rFonts w:ascii="Verdana" w:hAnsi="Verdana"/>
          <w:sz w:val="16"/>
          <w:szCs w:val="16"/>
          <w:lang w:val="es-CR"/>
        </w:rPr>
        <w:t>.</w:t>
      </w:r>
    </w:p>
  </w:footnote>
  <w:footnote w:id="12">
    <w:p w14:paraId="48184C52" w14:textId="786A8CA5" w:rsidR="00C45F58" w:rsidRPr="00700F34" w:rsidRDefault="00C45F58" w:rsidP="0005341B">
      <w:pPr>
        <w:pStyle w:val="FootnoteText"/>
        <w:jc w:val="both"/>
        <w:rPr>
          <w:lang w:val="es-ES_tradnl"/>
        </w:rPr>
      </w:pPr>
      <w:r>
        <w:rPr>
          <w:rStyle w:val="FootnoteReference"/>
        </w:rPr>
        <w:footnoteRef/>
      </w:r>
      <w:r>
        <w:t xml:space="preserve"> </w:t>
      </w:r>
      <w:r>
        <w:tab/>
      </w:r>
      <w:r w:rsidRPr="00700F34">
        <w:rPr>
          <w:rFonts w:ascii="Verdana" w:hAnsi="Verdana"/>
          <w:sz w:val="16"/>
          <w:szCs w:val="16"/>
        </w:rPr>
        <w:t>Con relación a lo anterior, el perito ofrecido agregó que “las funciones que d</w:t>
      </w:r>
      <w:r>
        <w:rPr>
          <w:rFonts w:ascii="Verdana" w:hAnsi="Verdana"/>
          <w:sz w:val="16"/>
          <w:szCs w:val="16"/>
        </w:rPr>
        <w:t xml:space="preserve">esarroll[ó] en la ESISEN fueron </w:t>
      </w:r>
      <w:r w:rsidRPr="00700F34">
        <w:rPr>
          <w:rFonts w:ascii="Verdana" w:hAnsi="Verdana"/>
          <w:sz w:val="16"/>
          <w:szCs w:val="16"/>
        </w:rPr>
        <w:t>estrictamente académicas, y no se relacionan ni orgánica ni sustantivamente con aquéllas que desarrolla la Subsecretaría de Derechos Humanos de la Secretaría de Gobernación”, y que las mismas “se apartan ampliamentemente de aquéllas que lleva a cabo dicha [S]ubsecretaría”. Finalmente, señaló que “nunca tuv[o] algún tipo de participación en las tareas relacionadas con el caso”, y tampoco “[ha] tenido ninguna relación directa o cercanía personal con funcionario alguno que haya tenido a su cargo el caso en comento […] o bien, con algún funcionario ministerial que haya tenido injerencia en las líneas de investigación del caso en concreto”.</w:t>
      </w:r>
    </w:p>
  </w:footnote>
  <w:footnote w:id="13">
    <w:p w14:paraId="48184C53" w14:textId="77777777" w:rsidR="00C45F58" w:rsidRPr="00C626EA" w:rsidRDefault="00C45F58" w:rsidP="0005341B">
      <w:pPr>
        <w:pStyle w:val="FootnoteText"/>
        <w:jc w:val="both"/>
        <w:rPr>
          <w:rFonts w:ascii="Verdana" w:hAnsi="Verdana"/>
          <w:sz w:val="16"/>
          <w:szCs w:val="16"/>
          <w:lang w:val="es-CR"/>
        </w:rPr>
      </w:pPr>
      <w:r w:rsidRPr="00FD59E0">
        <w:rPr>
          <w:rStyle w:val="FootnoteReference"/>
        </w:rPr>
        <w:footnoteRef/>
      </w:r>
      <w:r w:rsidRPr="00C626EA">
        <w:rPr>
          <w:rFonts w:ascii="Verdana" w:hAnsi="Verdana"/>
          <w:sz w:val="16"/>
          <w:szCs w:val="16"/>
          <w:lang w:val="es-CR"/>
        </w:rPr>
        <w:t xml:space="preserve"> </w:t>
      </w:r>
      <w:r w:rsidRPr="00C626EA">
        <w:rPr>
          <w:rFonts w:ascii="Verdana" w:hAnsi="Verdana"/>
          <w:sz w:val="16"/>
          <w:szCs w:val="16"/>
          <w:lang w:val="es-CR"/>
        </w:rPr>
        <w:tab/>
      </w:r>
      <w:r>
        <w:rPr>
          <w:rFonts w:ascii="Verdana" w:hAnsi="Verdana"/>
          <w:i/>
          <w:sz w:val="16"/>
          <w:szCs w:val="16"/>
          <w:lang w:val="es-CR"/>
        </w:rPr>
        <w:t xml:space="preserve">Cfr. </w:t>
      </w:r>
      <w:r w:rsidRPr="00C626EA">
        <w:rPr>
          <w:rFonts w:ascii="Verdana" w:hAnsi="Verdana"/>
          <w:i/>
          <w:iCs/>
          <w:sz w:val="16"/>
          <w:szCs w:val="16"/>
          <w:lang w:val="es-CR"/>
        </w:rPr>
        <w:t>Caso Tide Méndez Vs. República Dominicana.</w:t>
      </w:r>
      <w:r w:rsidRPr="00C626EA">
        <w:rPr>
          <w:rFonts w:ascii="Verdana" w:hAnsi="Verdana"/>
          <w:sz w:val="16"/>
          <w:szCs w:val="16"/>
          <w:lang w:val="es-CR"/>
        </w:rPr>
        <w:t xml:space="preserve"> Resolución del Presidente  de la Corte de 6 de septiembre de 2013, Considerando 20. </w:t>
      </w:r>
    </w:p>
  </w:footnote>
  <w:footnote w:id="14">
    <w:p w14:paraId="48184C54" w14:textId="2AA29F10" w:rsidR="00C45F58" w:rsidRPr="004531F4" w:rsidRDefault="00C45F58" w:rsidP="0005341B">
      <w:pPr>
        <w:pStyle w:val="FootnoteText"/>
        <w:jc w:val="both"/>
      </w:pPr>
      <w:r>
        <w:rPr>
          <w:rStyle w:val="FootnoteReference"/>
        </w:rPr>
        <w:footnoteRef/>
      </w:r>
      <w:r>
        <w:t xml:space="preserve"> </w:t>
      </w:r>
      <w:r>
        <w:tab/>
      </w:r>
      <w:r w:rsidRPr="00390031">
        <w:rPr>
          <w:rFonts w:ascii="Verdana" w:hAnsi="Verdana"/>
          <w:i/>
          <w:sz w:val="16"/>
          <w:szCs w:val="16"/>
          <w:lang w:val="es-CR"/>
        </w:rPr>
        <w:t>Cfr. Caso Rodríguez Vera y otros Vs. Colombia</w:t>
      </w:r>
      <w:r w:rsidRPr="00390031">
        <w:rPr>
          <w:rFonts w:ascii="Verdana" w:hAnsi="Verdana"/>
          <w:sz w:val="16"/>
          <w:szCs w:val="16"/>
          <w:lang w:val="es-CR"/>
        </w:rPr>
        <w:t>. Resolución del Presidente de la Corte Interamericana de Derechos Humanos de 16 de octubre de 2013</w:t>
      </w:r>
      <w:r>
        <w:rPr>
          <w:rFonts w:ascii="Verdana" w:hAnsi="Verdana"/>
          <w:sz w:val="16"/>
          <w:szCs w:val="16"/>
          <w:lang w:val="es-CR"/>
        </w:rPr>
        <w:t>,</w:t>
      </w:r>
      <w:r w:rsidRPr="00390031">
        <w:rPr>
          <w:rFonts w:ascii="Verdana" w:hAnsi="Verdana"/>
          <w:sz w:val="16"/>
          <w:szCs w:val="16"/>
          <w:lang w:val="es-CR"/>
        </w:rPr>
        <w:t xml:space="preserve"> Considerando 57.</w:t>
      </w:r>
    </w:p>
  </w:footnote>
  <w:footnote w:id="15">
    <w:p w14:paraId="48184C55" w14:textId="6E063BA2" w:rsidR="00C45F58" w:rsidRPr="00115655" w:rsidRDefault="00C45F58" w:rsidP="0005341B">
      <w:pPr>
        <w:pStyle w:val="FootnoteText"/>
        <w:jc w:val="both"/>
        <w:rPr>
          <w:lang w:val="es-CR"/>
        </w:rPr>
      </w:pPr>
      <w:r>
        <w:rPr>
          <w:rStyle w:val="FootnoteReference"/>
        </w:rPr>
        <w:footnoteRef/>
      </w:r>
      <w:r>
        <w:t xml:space="preserve"> </w:t>
      </w:r>
      <w:r>
        <w:rPr>
          <w:lang w:val="es-CR"/>
        </w:rPr>
        <w:tab/>
      </w:r>
      <w:r>
        <w:rPr>
          <w:rFonts w:ascii="Verdana" w:eastAsia="Calibri" w:hAnsi="Verdana" w:cs="Times New Roman"/>
          <w:sz w:val="16"/>
          <w:lang w:val="es-CR" w:eastAsia="es-CR"/>
        </w:rPr>
        <w:t>S</w:t>
      </w:r>
      <w:r w:rsidRPr="00115655">
        <w:rPr>
          <w:rFonts w:ascii="Verdana" w:eastAsia="Calibri" w:hAnsi="Verdana" w:cs="Times New Roman"/>
          <w:sz w:val="16"/>
          <w:lang w:val="es-CR" w:eastAsia="es-CR"/>
        </w:rPr>
        <w:t xml:space="preserve">obre la relevancia del peritaje ofrecido en los términos del </w:t>
      </w:r>
      <w:r w:rsidRPr="00115655">
        <w:rPr>
          <w:rFonts w:ascii="Verdana" w:eastAsia="Times New Roman" w:hAnsi="Verdana" w:cs="Verdana"/>
          <w:sz w:val="16"/>
          <w:lang w:val="es-CL"/>
        </w:rPr>
        <w:t>artículo 35.1 f) del Reglamento</w:t>
      </w:r>
      <w:r w:rsidRPr="00115655">
        <w:rPr>
          <w:rFonts w:ascii="Verdana" w:eastAsia="Calibri" w:hAnsi="Verdana" w:cs="Times New Roman"/>
          <w:sz w:val="16"/>
          <w:lang w:val="es-CR" w:eastAsia="es-CR"/>
        </w:rPr>
        <w:t>, l</w:t>
      </w:r>
      <w:r>
        <w:rPr>
          <w:rFonts w:ascii="Verdana" w:eastAsia="Calibri" w:hAnsi="Verdana" w:cs="Times New Roman"/>
          <w:sz w:val="16"/>
          <w:lang w:val="es-CR" w:eastAsia="es-CR"/>
        </w:rPr>
        <w:t>a</w:t>
      </w:r>
      <w:r w:rsidRPr="00115655">
        <w:rPr>
          <w:rFonts w:ascii="Verdana" w:eastAsia="Calibri" w:hAnsi="Verdana" w:cs="Times New Roman"/>
          <w:sz w:val="16"/>
          <w:lang w:val="es-CR" w:eastAsia="es-CR"/>
        </w:rPr>
        <w:t>s representantes manifestaron en sus observaciones</w:t>
      </w:r>
      <w:r w:rsidRPr="00115655">
        <w:rPr>
          <w:rFonts w:ascii="Verdana" w:eastAsia="Calibri" w:hAnsi="Verdana" w:cs="Verdana"/>
          <w:sz w:val="16"/>
        </w:rPr>
        <w:t xml:space="preserve"> que “los temas que abordará Federico Andreu no sólo impactarán en la situación en México sino en contextos similares a los que se enfrentan diversos países del continente</w:t>
      </w:r>
      <w:r>
        <w:rPr>
          <w:rFonts w:ascii="Verdana" w:eastAsia="Calibri" w:hAnsi="Verdana" w:cs="Verdana"/>
          <w:sz w:val="16"/>
        </w:rPr>
        <w:t xml:space="preserve"> [por lo que]</w:t>
      </w:r>
      <w:r w:rsidRPr="00115655">
        <w:rPr>
          <w:rFonts w:ascii="Verdana" w:eastAsia="Calibri" w:hAnsi="Verdana" w:cs="Verdana"/>
          <w:sz w:val="16"/>
        </w:rPr>
        <w:t xml:space="preserve"> se suma a la solicitud realizada por ese órgano de protección interamericano a fin de que la Honorable Corte admita la prueba propuesta y convoque al experto a la audiencia pública sobre el caso”.</w:t>
      </w:r>
      <w:r w:rsidRPr="00115655">
        <w:rPr>
          <w:sz w:val="16"/>
        </w:rPr>
        <w:t xml:space="preserve"> </w:t>
      </w:r>
      <w:r w:rsidRPr="00115655">
        <w:rPr>
          <w:rFonts w:ascii="Verdana" w:eastAsia="Calibri" w:hAnsi="Verdana" w:cs="Verdana"/>
          <w:sz w:val="16"/>
        </w:rPr>
        <w:t>Finalmente, señalaron que dicho peritaje “dará luces sobre cuestiones relacionadas con el fondo del caso y las reparaciones del mismo”.</w:t>
      </w:r>
    </w:p>
  </w:footnote>
  <w:footnote w:id="16">
    <w:p w14:paraId="48184C56" w14:textId="29D7C4C6" w:rsidR="00C45F58" w:rsidRPr="00F42A0D" w:rsidRDefault="00C45F58" w:rsidP="0005341B">
      <w:pPr>
        <w:pStyle w:val="FootnoteText"/>
        <w:rPr>
          <w:rFonts w:ascii="Verdana" w:hAnsi="Verdana"/>
          <w:sz w:val="16"/>
          <w:szCs w:val="16"/>
        </w:rPr>
      </w:pPr>
      <w:r w:rsidRPr="002B5CC8">
        <w:rPr>
          <w:rStyle w:val="FootnoteReference"/>
        </w:rPr>
        <w:footnoteRef/>
      </w:r>
      <w:r w:rsidRPr="00F42A0D">
        <w:rPr>
          <w:rFonts w:ascii="Verdana" w:hAnsi="Verdana"/>
          <w:sz w:val="16"/>
          <w:szCs w:val="16"/>
        </w:rPr>
        <w:t xml:space="preserve"> </w:t>
      </w:r>
      <w:r w:rsidRPr="00F42A0D">
        <w:rPr>
          <w:rFonts w:ascii="Verdana" w:hAnsi="Verdana"/>
          <w:sz w:val="16"/>
          <w:szCs w:val="16"/>
        </w:rPr>
        <w:tab/>
        <w:t>El peritaje a cargo de la señora Gabriella Citroni se pronunciará “sobre  las políticas adecuadas para la prevención, atención, sanción y erradicación de la desaparición forzada de personas en México”.</w:t>
      </w:r>
    </w:p>
  </w:footnote>
  <w:footnote w:id="17">
    <w:p w14:paraId="48184C57" w14:textId="55A49C3F" w:rsidR="00C45F58" w:rsidRPr="00886F15" w:rsidRDefault="00C45F58" w:rsidP="0005341B">
      <w:pPr>
        <w:pStyle w:val="FootnoteText"/>
        <w:jc w:val="both"/>
        <w:rPr>
          <w:rFonts w:ascii="Verdana" w:hAnsi="Verdana"/>
          <w:sz w:val="16"/>
          <w:szCs w:val="16"/>
        </w:rPr>
      </w:pPr>
      <w:r w:rsidRPr="002B5CC8">
        <w:rPr>
          <w:rStyle w:val="FootnoteReference"/>
        </w:rPr>
        <w:footnoteRef/>
      </w:r>
      <w:r w:rsidRPr="005978D3">
        <w:rPr>
          <w:rFonts w:ascii="Verdana" w:hAnsi="Verdana"/>
          <w:sz w:val="16"/>
          <w:szCs w:val="16"/>
        </w:rPr>
        <w:t xml:space="preserve"> </w:t>
      </w:r>
      <w:r w:rsidRPr="005978D3">
        <w:rPr>
          <w:rFonts w:ascii="Verdana" w:hAnsi="Verdana"/>
          <w:sz w:val="16"/>
          <w:szCs w:val="16"/>
        </w:rPr>
        <w:tab/>
      </w:r>
      <w:r>
        <w:rPr>
          <w:rFonts w:ascii="Verdana" w:hAnsi="Verdana"/>
          <w:i/>
          <w:sz w:val="16"/>
          <w:szCs w:val="16"/>
        </w:rPr>
        <w:t>Cfr. supra</w:t>
      </w:r>
      <w:r>
        <w:rPr>
          <w:rFonts w:ascii="Verdana" w:hAnsi="Verdana"/>
          <w:sz w:val="16"/>
          <w:szCs w:val="16"/>
        </w:rPr>
        <w:t>, párrafo 22.</w:t>
      </w:r>
    </w:p>
  </w:footnote>
  <w:footnote w:id="18">
    <w:p w14:paraId="48184C58" w14:textId="77777777" w:rsidR="00C45F58" w:rsidRPr="005978D3" w:rsidRDefault="00C45F58" w:rsidP="0005341B">
      <w:pPr>
        <w:pStyle w:val="FootnoteText"/>
        <w:jc w:val="both"/>
        <w:rPr>
          <w:rFonts w:ascii="Verdana" w:hAnsi="Verdana"/>
          <w:sz w:val="16"/>
          <w:szCs w:val="16"/>
        </w:rPr>
      </w:pPr>
      <w:r w:rsidRPr="002B5CC8">
        <w:rPr>
          <w:rStyle w:val="FootnoteReference"/>
        </w:rPr>
        <w:footnoteRef/>
      </w:r>
      <w:r w:rsidRPr="005978D3">
        <w:rPr>
          <w:rFonts w:ascii="Verdana" w:hAnsi="Verdana"/>
          <w:sz w:val="16"/>
          <w:szCs w:val="16"/>
        </w:rPr>
        <w:t xml:space="preserve"> </w:t>
      </w:r>
      <w:r w:rsidRPr="005978D3">
        <w:rPr>
          <w:rFonts w:ascii="Verdana" w:hAnsi="Verdana"/>
          <w:sz w:val="16"/>
          <w:szCs w:val="16"/>
        </w:rPr>
        <w:tab/>
      </w:r>
      <w:r w:rsidRPr="005978D3">
        <w:rPr>
          <w:rFonts w:ascii="Verdana" w:hAnsi="Verdana"/>
          <w:i/>
          <w:sz w:val="16"/>
          <w:szCs w:val="16"/>
        </w:rPr>
        <w:t>Cfr</w:t>
      </w:r>
      <w:r w:rsidRPr="005978D3">
        <w:rPr>
          <w:rFonts w:ascii="Verdana" w:hAnsi="Verdana"/>
          <w:sz w:val="16"/>
          <w:szCs w:val="16"/>
        </w:rPr>
        <w:t xml:space="preserve">. </w:t>
      </w:r>
      <w:r w:rsidRPr="005978D3">
        <w:rPr>
          <w:rFonts w:ascii="Verdana" w:hAnsi="Verdana"/>
          <w:i/>
          <w:sz w:val="16"/>
          <w:szCs w:val="16"/>
        </w:rPr>
        <w:t>Caso Torres y otros Vs. Argentina</w:t>
      </w:r>
      <w:r w:rsidRPr="005978D3">
        <w:rPr>
          <w:rFonts w:ascii="Verdana" w:hAnsi="Verdana"/>
          <w:sz w:val="16"/>
          <w:szCs w:val="16"/>
        </w:rPr>
        <w:t>. Resolución del Presidente de la Corte Interamericana de Derechos Humanos de 29 de abril de 2011, Considerando 12</w:t>
      </w:r>
      <w:r>
        <w:rPr>
          <w:rFonts w:ascii="Verdana" w:hAnsi="Verdana"/>
          <w:sz w:val="16"/>
          <w:szCs w:val="16"/>
        </w:rPr>
        <w:t>, y</w:t>
      </w:r>
      <w:r w:rsidRPr="005978D3">
        <w:rPr>
          <w:rFonts w:ascii="Verdana" w:hAnsi="Verdana"/>
          <w:sz w:val="16"/>
          <w:szCs w:val="16"/>
        </w:rPr>
        <w:t xml:space="preserve"> </w:t>
      </w:r>
      <w:r w:rsidRPr="005978D3">
        <w:rPr>
          <w:rFonts w:ascii="Verdana" w:hAnsi="Verdana"/>
          <w:i/>
          <w:sz w:val="16"/>
          <w:szCs w:val="16"/>
        </w:rPr>
        <w:t>Caso Néstor José y Luis Uzcátegui y otros vs. Venezuela.</w:t>
      </w:r>
      <w:r w:rsidRPr="005978D3">
        <w:rPr>
          <w:rFonts w:ascii="Verdana" w:hAnsi="Verdana"/>
          <w:sz w:val="16"/>
          <w:szCs w:val="16"/>
        </w:rPr>
        <w:t xml:space="preserve"> </w:t>
      </w:r>
      <w:r w:rsidRPr="00973D09">
        <w:rPr>
          <w:rFonts w:ascii="Verdana" w:hAnsi="Verdana"/>
          <w:sz w:val="16"/>
          <w:szCs w:val="16"/>
        </w:rPr>
        <w:t>Resolución del Presidente de la Corte Intera</w:t>
      </w:r>
      <w:r>
        <w:rPr>
          <w:rFonts w:ascii="Verdana" w:hAnsi="Verdana"/>
          <w:sz w:val="16"/>
          <w:szCs w:val="16"/>
        </w:rPr>
        <w:t>mericana de Derechos Humanos de</w:t>
      </w:r>
      <w:r w:rsidRPr="00973D09">
        <w:rPr>
          <w:rFonts w:ascii="Verdana" w:hAnsi="Verdana"/>
          <w:sz w:val="16"/>
          <w:szCs w:val="16"/>
        </w:rPr>
        <w:t xml:space="preserve"> </w:t>
      </w:r>
      <w:r>
        <w:rPr>
          <w:rFonts w:ascii="Verdana" w:hAnsi="Verdana"/>
          <w:sz w:val="16"/>
          <w:szCs w:val="16"/>
        </w:rPr>
        <w:t>3</w:t>
      </w:r>
      <w:r w:rsidRPr="00973D09">
        <w:rPr>
          <w:rFonts w:ascii="Verdana" w:hAnsi="Verdana"/>
          <w:sz w:val="16"/>
          <w:szCs w:val="16"/>
        </w:rPr>
        <w:t xml:space="preserve"> de </w:t>
      </w:r>
      <w:r>
        <w:rPr>
          <w:rFonts w:ascii="Verdana" w:hAnsi="Verdana"/>
          <w:sz w:val="16"/>
          <w:szCs w:val="16"/>
        </w:rPr>
        <w:t xml:space="preserve">noviembre </w:t>
      </w:r>
      <w:r w:rsidRPr="00973D09">
        <w:rPr>
          <w:rFonts w:ascii="Verdana" w:hAnsi="Verdana"/>
          <w:sz w:val="16"/>
          <w:szCs w:val="16"/>
        </w:rPr>
        <w:t xml:space="preserve">de 2011, Considerando </w:t>
      </w:r>
      <w:r>
        <w:rPr>
          <w:rFonts w:ascii="Verdana" w:hAnsi="Verdana"/>
          <w:sz w:val="16"/>
          <w:szCs w:val="16"/>
        </w:rPr>
        <w:t>26, entre otros.</w:t>
      </w:r>
    </w:p>
  </w:footnote>
  <w:footnote w:id="19">
    <w:p w14:paraId="48184C59" w14:textId="77777777" w:rsidR="00C45F58" w:rsidRDefault="00C45F58" w:rsidP="003D1327">
      <w:pPr>
        <w:spacing w:after="0" w:line="240" w:lineRule="auto"/>
        <w:ind w:left="0"/>
        <w:rPr>
          <w:sz w:val="16"/>
          <w:szCs w:val="16"/>
          <w:lang w:val="es-CR"/>
        </w:rPr>
      </w:pPr>
      <w:r>
        <w:rPr>
          <w:rStyle w:val="FootnoteReference"/>
        </w:rPr>
        <w:footnoteRef/>
      </w:r>
      <w:r>
        <w:t xml:space="preserve"> </w:t>
      </w:r>
      <w:r>
        <w:tab/>
      </w:r>
      <w:r w:rsidRPr="003B18A3">
        <w:rPr>
          <w:rFonts w:ascii="Verdana" w:hAnsi="Verdana"/>
          <w:i/>
          <w:sz w:val="16"/>
          <w:szCs w:val="16"/>
          <w:lang w:val="es-CR"/>
        </w:rPr>
        <w:t>Cfr. Caso García Prieto y otro Vs. El Salvador</w:t>
      </w:r>
      <w:r w:rsidRPr="003B18A3">
        <w:rPr>
          <w:rFonts w:ascii="Verdana" w:hAnsi="Verdana"/>
          <w:sz w:val="16"/>
          <w:szCs w:val="16"/>
          <w:lang w:val="es-CR"/>
        </w:rPr>
        <w:t>, Resolución</w:t>
      </w:r>
      <w:r>
        <w:rPr>
          <w:rFonts w:ascii="Verdana" w:hAnsi="Verdana"/>
          <w:sz w:val="16"/>
          <w:szCs w:val="16"/>
          <w:lang w:val="es-CR"/>
        </w:rPr>
        <w:t xml:space="preserve">la </w:t>
      </w:r>
      <w:r w:rsidRPr="003B18A3">
        <w:rPr>
          <w:rFonts w:ascii="Verdana" w:hAnsi="Verdana"/>
          <w:sz w:val="16"/>
          <w:szCs w:val="16"/>
          <w:lang w:val="es-CR"/>
        </w:rPr>
        <w:t xml:space="preserve"> del Presidente de la Corte Interamericana de Derechos Humanos de 14 de diciembre de 2006, Considerando 21; Caso </w:t>
      </w:r>
      <w:r w:rsidRPr="003B18A3">
        <w:rPr>
          <w:rFonts w:ascii="Verdana" w:hAnsi="Verdana"/>
          <w:i/>
          <w:sz w:val="16"/>
          <w:szCs w:val="16"/>
          <w:lang w:val="es-CR"/>
        </w:rPr>
        <w:t>Reverón Trujillo Vs. Venezuela</w:t>
      </w:r>
      <w:r w:rsidRPr="003B18A3">
        <w:rPr>
          <w:rFonts w:ascii="Verdana" w:hAnsi="Verdana"/>
          <w:sz w:val="16"/>
          <w:szCs w:val="16"/>
          <w:lang w:val="es-CR"/>
        </w:rPr>
        <w:t>, Resolución de la Presidenta de la Corte Interamericana de Derechos Humanos de 24 de septiembr</w:t>
      </w:r>
      <w:r w:rsidRPr="00DB238D">
        <w:rPr>
          <w:rFonts w:ascii="Verdana" w:hAnsi="Verdana"/>
          <w:sz w:val="16"/>
          <w:szCs w:val="16"/>
          <w:lang w:val="es-CR"/>
        </w:rPr>
        <w:t>e de 2008, Considerando 13</w:t>
      </w:r>
      <w:r>
        <w:rPr>
          <w:rFonts w:ascii="Verdana" w:hAnsi="Verdana"/>
          <w:sz w:val="16"/>
          <w:szCs w:val="16"/>
          <w:lang w:val="es-CR"/>
        </w:rPr>
        <w:t xml:space="preserve">; </w:t>
      </w:r>
      <w:r w:rsidRPr="003B18A3">
        <w:rPr>
          <w:rFonts w:ascii="Verdana" w:hAnsi="Verdana"/>
          <w:sz w:val="16"/>
          <w:szCs w:val="16"/>
          <w:lang w:val="es-CR"/>
        </w:rPr>
        <w:t xml:space="preserve"> Caso </w:t>
      </w:r>
      <w:r w:rsidRPr="003B18A3">
        <w:rPr>
          <w:rFonts w:ascii="Verdana" w:hAnsi="Verdana"/>
          <w:i/>
          <w:sz w:val="16"/>
          <w:szCs w:val="16"/>
          <w:lang w:val="es-CR"/>
        </w:rPr>
        <w:t>González y otras (“Campo Algodonero”) Vs. México</w:t>
      </w:r>
      <w:r w:rsidRPr="003B18A3">
        <w:rPr>
          <w:rFonts w:ascii="Verdana" w:hAnsi="Verdana"/>
          <w:sz w:val="16"/>
          <w:szCs w:val="16"/>
          <w:lang w:val="es-CR"/>
        </w:rPr>
        <w:t xml:space="preserve">, </w:t>
      </w:r>
      <w:r w:rsidRPr="003B18A3">
        <w:rPr>
          <w:rFonts w:ascii="Verdana" w:hAnsi="Verdana"/>
          <w:sz w:val="16"/>
          <w:szCs w:val="16"/>
        </w:rPr>
        <w:t>Resolución de la Presidenta de la Corte Interamericana de Derechos Humanos de 18 de marzo de 2009</w:t>
      </w:r>
      <w:r w:rsidRPr="003B18A3">
        <w:rPr>
          <w:rFonts w:ascii="Verdana" w:hAnsi="Verdana"/>
          <w:sz w:val="16"/>
          <w:szCs w:val="16"/>
          <w:lang w:val="es-CR"/>
        </w:rPr>
        <w:t>, Considerando 12</w:t>
      </w:r>
      <w:r>
        <w:rPr>
          <w:rFonts w:ascii="Verdana" w:hAnsi="Verdana"/>
          <w:sz w:val="16"/>
          <w:szCs w:val="16"/>
          <w:lang w:val="es-CR"/>
        </w:rPr>
        <w:t xml:space="preserve">; </w:t>
      </w:r>
      <w:r w:rsidRPr="00472195">
        <w:rPr>
          <w:rFonts w:ascii="Verdana" w:hAnsi="Verdana"/>
          <w:sz w:val="16"/>
          <w:szCs w:val="16"/>
          <w:lang w:val="es-CR"/>
        </w:rPr>
        <w:t xml:space="preserve">Caso </w:t>
      </w:r>
      <w:r w:rsidRPr="00472195">
        <w:rPr>
          <w:rFonts w:ascii="Verdana" w:hAnsi="Verdana"/>
          <w:i/>
          <w:sz w:val="16"/>
          <w:szCs w:val="16"/>
          <w:lang w:val="es-CR"/>
        </w:rPr>
        <w:t>Rodríguez Vera y otros Vs. Colombia</w:t>
      </w:r>
      <w:r w:rsidRPr="00472195">
        <w:rPr>
          <w:rFonts w:ascii="Verdana" w:hAnsi="Verdana"/>
          <w:sz w:val="16"/>
          <w:szCs w:val="16"/>
          <w:lang w:val="es-CR"/>
        </w:rPr>
        <w:t xml:space="preserve">, Resolución del Presidente de la Corte Interamericana de Derechos Humanos de 16 de octubre de 2013, y Caso </w:t>
      </w:r>
      <w:r w:rsidRPr="00472195">
        <w:rPr>
          <w:rFonts w:ascii="Verdana" w:hAnsi="Verdana"/>
          <w:i/>
          <w:sz w:val="16"/>
          <w:szCs w:val="16"/>
          <w:lang w:val="es-CR"/>
        </w:rPr>
        <w:t>Quintana Coello vs Ecuador</w:t>
      </w:r>
      <w:r w:rsidRPr="00472195">
        <w:rPr>
          <w:rFonts w:ascii="Verdana" w:hAnsi="Verdana"/>
          <w:sz w:val="16"/>
          <w:szCs w:val="16"/>
          <w:lang w:val="es-CR"/>
        </w:rPr>
        <w:t xml:space="preserve">. </w:t>
      </w:r>
      <w:r w:rsidRPr="00472195">
        <w:rPr>
          <w:rFonts w:ascii="Verdana" w:hAnsi="Verdana"/>
          <w:sz w:val="16"/>
          <w:szCs w:val="16"/>
        </w:rPr>
        <w:t>Resolución del Presidente de la Corte Interamericana de Derechos Humanos de 20 de di</w:t>
      </w:r>
      <w:r>
        <w:rPr>
          <w:rFonts w:ascii="Verdana" w:hAnsi="Verdana"/>
          <w:sz w:val="16"/>
          <w:szCs w:val="16"/>
        </w:rPr>
        <w:t>ciembre de 2012, Considerando 8</w:t>
      </w:r>
      <w:r w:rsidRPr="003B18A3">
        <w:rPr>
          <w:rFonts w:ascii="Verdana" w:hAnsi="Verdana"/>
          <w:sz w:val="16"/>
          <w:szCs w:val="16"/>
          <w:lang w:val="es-CR"/>
        </w:rPr>
        <w:t>.</w:t>
      </w:r>
    </w:p>
  </w:footnote>
  <w:footnote w:id="20">
    <w:p w14:paraId="48184C5A" w14:textId="77777777" w:rsidR="00C45F58" w:rsidRPr="00E679E8" w:rsidRDefault="00C45F58" w:rsidP="005D7290">
      <w:pPr>
        <w:pStyle w:val="FootnoteText"/>
        <w:jc w:val="both"/>
        <w:rPr>
          <w:rFonts w:ascii="Verdana" w:hAnsi="Verdana"/>
          <w:sz w:val="16"/>
          <w:szCs w:val="16"/>
        </w:rPr>
      </w:pPr>
      <w:r w:rsidRPr="00E415A4">
        <w:rPr>
          <w:rStyle w:val="FootnoteReference"/>
        </w:rPr>
        <w:footnoteRef/>
      </w:r>
      <w:r w:rsidRPr="00E679E8">
        <w:rPr>
          <w:rFonts w:ascii="Verdana" w:hAnsi="Verdana"/>
          <w:sz w:val="16"/>
          <w:szCs w:val="16"/>
        </w:rPr>
        <w:t xml:space="preserve"> </w:t>
      </w:r>
      <w:r w:rsidRPr="00E679E8">
        <w:rPr>
          <w:rFonts w:ascii="Verdana" w:hAnsi="Verdana"/>
          <w:sz w:val="16"/>
          <w:szCs w:val="16"/>
        </w:rPr>
        <w:tab/>
        <w:t>El objeto del peritaje a cargo del señor Salvador Salazar Gutiérrez versará</w:t>
      </w:r>
      <w:r w:rsidRPr="00E415A4">
        <w:rPr>
          <w:rFonts w:ascii="Verdana" w:hAnsi="Verdana"/>
          <w:sz w:val="16"/>
          <w:szCs w:val="16"/>
        </w:rPr>
        <w:t xml:space="preserve"> </w:t>
      </w:r>
      <w:r w:rsidRPr="00E679E8">
        <w:rPr>
          <w:rFonts w:ascii="Verdana" w:hAnsi="Verdana"/>
          <w:sz w:val="16"/>
          <w:szCs w:val="16"/>
        </w:rPr>
        <w:t>“sobre el contexto del Operativo Conjunto Chihuahua y la particularidad de las violencias vividas al momento de los hechos del presente caso, especialmente en la región donde se cometi</w:t>
      </w:r>
      <w:r w:rsidRPr="00E415A4">
        <w:rPr>
          <w:rFonts w:ascii="Verdana" w:hAnsi="Verdana"/>
          <w:sz w:val="16"/>
          <w:szCs w:val="16"/>
        </w:rPr>
        <w:t>eron los hechos violatorios”</w:t>
      </w:r>
      <w:r w:rsidRPr="00E679E8">
        <w:rPr>
          <w:rFonts w:ascii="Verdana" w:hAnsi="Verdana"/>
          <w:sz w:val="16"/>
          <w:szCs w:val="16"/>
        </w:rPr>
        <w:t xml:space="preserve"> (expediente de fondo, f. 826)</w:t>
      </w:r>
      <w:r w:rsidRPr="00E415A4">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041829"/>
      <w:docPartObj>
        <w:docPartGallery w:val="Page Numbers (Top of Page)"/>
        <w:docPartUnique/>
      </w:docPartObj>
    </w:sdtPr>
    <w:sdtEndPr>
      <w:rPr>
        <w:rFonts w:ascii="Verdana" w:hAnsi="Verdana"/>
        <w:sz w:val="20"/>
        <w:szCs w:val="20"/>
      </w:rPr>
    </w:sdtEndPr>
    <w:sdtContent>
      <w:p w14:paraId="48184C40" w14:textId="77777777" w:rsidR="00C45F58" w:rsidRPr="00700F34" w:rsidRDefault="00C45F58">
        <w:pPr>
          <w:pStyle w:val="Header"/>
          <w:jc w:val="center"/>
          <w:rPr>
            <w:rFonts w:ascii="Verdana" w:hAnsi="Verdana"/>
            <w:sz w:val="20"/>
            <w:szCs w:val="20"/>
          </w:rPr>
        </w:pPr>
        <w:r w:rsidRPr="00700F34">
          <w:rPr>
            <w:rFonts w:ascii="Verdana" w:hAnsi="Verdana"/>
            <w:sz w:val="20"/>
            <w:szCs w:val="20"/>
          </w:rPr>
          <w:fldChar w:fldCharType="begin"/>
        </w:r>
        <w:r w:rsidRPr="00700F34">
          <w:rPr>
            <w:rFonts w:ascii="Verdana" w:hAnsi="Verdana"/>
            <w:sz w:val="20"/>
            <w:szCs w:val="20"/>
          </w:rPr>
          <w:instrText>PAGE   \* MERGEFORMAT</w:instrText>
        </w:r>
        <w:r w:rsidRPr="00700F34">
          <w:rPr>
            <w:rFonts w:ascii="Verdana" w:hAnsi="Verdana"/>
            <w:sz w:val="20"/>
            <w:szCs w:val="20"/>
          </w:rPr>
          <w:fldChar w:fldCharType="separate"/>
        </w:r>
        <w:r w:rsidR="004D3AAA" w:rsidRPr="004D3AAA">
          <w:rPr>
            <w:rFonts w:ascii="Verdana" w:hAnsi="Verdana"/>
            <w:noProof/>
            <w:sz w:val="20"/>
            <w:szCs w:val="20"/>
            <w:lang w:val="es-ES"/>
          </w:rPr>
          <w:t>15</w:t>
        </w:r>
        <w:r w:rsidRPr="00700F34">
          <w:rPr>
            <w:rFonts w:ascii="Verdana" w:hAnsi="Verdana"/>
            <w:sz w:val="20"/>
            <w:szCs w:val="20"/>
          </w:rPr>
          <w:fldChar w:fldCharType="end"/>
        </w:r>
      </w:p>
    </w:sdtContent>
  </w:sdt>
  <w:p w14:paraId="48184C41" w14:textId="77777777" w:rsidR="00C45F58" w:rsidRDefault="00C45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0C9"/>
    <w:multiLevelType w:val="hybridMultilevel"/>
    <w:tmpl w:val="7E842C9E"/>
    <w:lvl w:ilvl="0" w:tplc="C4988B24">
      <w:start w:val="1"/>
      <w:numFmt w:val="lowerLetter"/>
      <w:lvlText w:val="%1."/>
      <w:lvlJc w:val="left"/>
      <w:pPr>
        <w:ind w:left="1854" w:hanging="360"/>
      </w:pPr>
      <w:rPr>
        <w:rFonts w:hint="default"/>
      </w:rPr>
    </w:lvl>
    <w:lvl w:ilvl="1" w:tplc="340A0019" w:tentative="1">
      <w:start w:val="1"/>
      <w:numFmt w:val="lowerLetter"/>
      <w:lvlText w:val="%2."/>
      <w:lvlJc w:val="left"/>
      <w:pPr>
        <w:ind w:left="2574" w:hanging="360"/>
      </w:pPr>
    </w:lvl>
    <w:lvl w:ilvl="2" w:tplc="340A001B">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1">
    <w:nsid w:val="1D6F639B"/>
    <w:multiLevelType w:val="hybridMultilevel"/>
    <w:tmpl w:val="30F8FA60"/>
    <w:lvl w:ilvl="0" w:tplc="340A001B">
      <w:start w:val="1"/>
      <w:numFmt w:val="lowerRoman"/>
      <w:lvlText w:val="%1."/>
      <w:lvlJc w:val="right"/>
      <w:pPr>
        <w:ind w:left="720" w:hanging="360"/>
      </w:pPr>
    </w:lvl>
    <w:lvl w:ilvl="1" w:tplc="F0F45C68">
      <w:start w:val="3"/>
      <w:numFmt w:val="lowerLetter"/>
      <w:lvlText w:val="%2."/>
      <w:lvlJc w:val="left"/>
      <w:pPr>
        <w:ind w:left="1440" w:hanging="360"/>
      </w:pPr>
      <w:rPr>
        <w:rFonts w:hint="default"/>
        <w:b w:val="0"/>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CAF83BE8">
      <w:start w:val="1"/>
      <w:numFmt w:val="lowerRoman"/>
      <w:lvlText w:val="%9."/>
      <w:lvlJc w:val="right"/>
      <w:pPr>
        <w:ind w:left="6480" w:hanging="180"/>
      </w:pPr>
      <w:rPr>
        <w:b w:val="0"/>
      </w:rPr>
    </w:lvl>
  </w:abstractNum>
  <w:abstractNum w:abstractNumId="2">
    <w:nsid w:val="3B061F30"/>
    <w:multiLevelType w:val="hybridMultilevel"/>
    <w:tmpl w:val="743CAE98"/>
    <w:lvl w:ilvl="0" w:tplc="340A001B">
      <w:start w:val="1"/>
      <w:numFmt w:val="lowerRoman"/>
      <w:lvlText w:val="%1."/>
      <w:lvlJc w:val="right"/>
      <w:pPr>
        <w:ind w:left="1570" w:hanging="360"/>
      </w:pPr>
    </w:lvl>
    <w:lvl w:ilvl="1" w:tplc="340A0019" w:tentative="1">
      <w:start w:val="1"/>
      <w:numFmt w:val="lowerLetter"/>
      <w:lvlText w:val="%2."/>
      <w:lvlJc w:val="left"/>
      <w:pPr>
        <w:ind w:left="2290" w:hanging="360"/>
      </w:pPr>
    </w:lvl>
    <w:lvl w:ilvl="2" w:tplc="340A001B" w:tentative="1">
      <w:start w:val="1"/>
      <w:numFmt w:val="lowerRoman"/>
      <w:lvlText w:val="%3."/>
      <w:lvlJc w:val="right"/>
      <w:pPr>
        <w:ind w:left="3010" w:hanging="180"/>
      </w:pPr>
    </w:lvl>
    <w:lvl w:ilvl="3" w:tplc="340A000F" w:tentative="1">
      <w:start w:val="1"/>
      <w:numFmt w:val="decimal"/>
      <w:lvlText w:val="%4."/>
      <w:lvlJc w:val="left"/>
      <w:pPr>
        <w:ind w:left="3730" w:hanging="360"/>
      </w:pPr>
    </w:lvl>
    <w:lvl w:ilvl="4" w:tplc="340A0019" w:tentative="1">
      <w:start w:val="1"/>
      <w:numFmt w:val="lowerLetter"/>
      <w:lvlText w:val="%5."/>
      <w:lvlJc w:val="left"/>
      <w:pPr>
        <w:ind w:left="4450" w:hanging="360"/>
      </w:pPr>
    </w:lvl>
    <w:lvl w:ilvl="5" w:tplc="340A001B" w:tentative="1">
      <w:start w:val="1"/>
      <w:numFmt w:val="lowerRoman"/>
      <w:lvlText w:val="%6."/>
      <w:lvlJc w:val="right"/>
      <w:pPr>
        <w:ind w:left="5170" w:hanging="180"/>
      </w:pPr>
    </w:lvl>
    <w:lvl w:ilvl="6" w:tplc="340A000F" w:tentative="1">
      <w:start w:val="1"/>
      <w:numFmt w:val="decimal"/>
      <w:lvlText w:val="%7."/>
      <w:lvlJc w:val="left"/>
      <w:pPr>
        <w:ind w:left="5890" w:hanging="360"/>
      </w:pPr>
    </w:lvl>
    <w:lvl w:ilvl="7" w:tplc="340A0019" w:tentative="1">
      <w:start w:val="1"/>
      <w:numFmt w:val="lowerLetter"/>
      <w:lvlText w:val="%8."/>
      <w:lvlJc w:val="left"/>
      <w:pPr>
        <w:ind w:left="6610" w:hanging="360"/>
      </w:pPr>
    </w:lvl>
    <w:lvl w:ilvl="8" w:tplc="340A001B" w:tentative="1">
      <w:start w:val="1"/>
      <w:numFmt w:val="lowerRoman"/>
      <w:lvlText w:val="%9."/>
      <w:lvlJc w:val="right"/>
      <w:pPr>
        <w:ind w:left="7330" w:hanging="180"/>
      </w:pPr>
    </w:lvl>
  </w:abstractNum>
  <w:abstractNum w:abstractNumId="3">
    <w:nsid w:val="3B8C3432"/>
    <w:multiLevelType w:val="hybridMultilevel"/>
    <w:tmpl w:val="49BAF35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DB92972"/>
    <w:multiLevelType w:val="hybridMultilevel"/>
    <w:tmpl w:val="6F04502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81D3FEC"/>
    <w:multiLevelType w:val="hybridMultilevel"/>
    <w:tmpl w:val="022CBFCA"/>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4EB2360F"/>
    <w:multiLevelType w:val="hybridMultilevel"/>
    <w:tmpl w:val="39F61A74"/>
    <w:lvl w:ilvl="0" w:tplc="340A001B">
      <w:start w:val="1"/>
      <w:numFmt w:val="lowerRoman"/>
      <w:lvlText w:val="%1."/>
      <w:lvlJc w:val="right"/>
      <w:pPr>
        <w:ind w:left="2574" w:hanging="360"/>
      </w:pPr>
    </w:lvl>
    <w:lvl w:ilvl="1" w:tplc="340A0019" w:tentative="1">
      <w:start w:val="1"/>
      <w:numFmt w:val="lowerLetter"/>
      <w:lvlText w:val="%2."/>
      <w:lvlJc w:val="left"/>
      <w:pPr>
        <w:ind w:left="3294" w:hanging="360"/>
      </w:pPr>
    </w:lvl>
    <w:lvl w:ilvl="2" w:tplc="340A001B" w:tentative="1">
      <w:start w:val="1"/>
      <w:numFmt w:val="lowerRoman"/>
      <w:lvlText w:val="%3."/>
      <w:lvlJc w:val="right"/>
      <w:pPr>
        <w:ind w:left="4014" w:hanging="180"/>
      </w:pPr>
    </w:lvl>
    <w:lvl w:ilvl="3" w:tplc="340A000F" w:tentative="1">
      <w:start w:val="1"/>
      <w:numFmt w:val="decimal"/>
      <w:lvlText w:val="%4."/>
      <w:lvlJc w:val="left"/>
      <w:pPr>
        <w:ind w:left="4734" w:hanging="360"/>
      </w:pPr>
    </w:lvl>
    <w:lvl w:ilvl="4" w:tplc="340A0019" w:tentative="1">
      <w:start w:val="1"/>
      <w:numFmt w:val="lowerLetter"/>
      <w:lvlText w:val="%5."/>
      <w:lvlJc w:val="left"/>
      <w:pPr>
        <w:ind w:left="5454" w:hanging="360"/>
      </w:pPr>
    </w:lvl>
    <w:lvl w:ilvl="5" w:tplc="340A001B" w:tentative="1">
      <w:start w:val="1"/>
      <w:numFmt w:val="lowerRoman"/>
      <w:lvlText w:val="%6."/>
      <w:lvlJc w:val="right"/>
      <w:pPr>
        <w:ind w:left="6174" w:hanging="180"/>
      </w:pPr>
    </w:lvl>
    <w:lvl w:ilvl="6" w:tplc="340A000F" w:tentative="1">
      <w:start w:val="1"/>
      <w:numFmt w:val="decimal"/>
      <w:lvlText w:val="%7."/>
      <w:lvlJc w:val="left"/>
      <w:pPr>
        <w:ind w:left="6894" w:hanging="360"/>
      </w:pPr>
    </w:lvl>
    <w:lvl w:ilvl="7" w:tplc="340A0019" w:tentative="1">
      <w:start w:val="1"/>
      <w:numFmt w:val="lowerLetter"/>
      <w:lvlText w:val="%8."/>
      <w:lvlJc w:val="left"/>
      <w:pPr>
        <w:ind w:left="7614" w:hanging="360"/>
      </w:pPr>
    </w:lvl>
    <w:lvl w:ilvl="8" w:tplc="340A001B" w:tentative="1">
      <w:start w:val="1"/>
      <w:numFmt w:val="lowerRoman"/>
      <w:lvlText w:val="%9."/>
      <w:lvlJc w:val="right"/>
      <w:pPr>
        <w:ind w:left="8334" w:hanging="180"/>
      </w:pPr>
    </w:lvl>
  </w:abstractNum>
  <w:abstractNum w:abstractNumId="7">
    <w:nsid w:val="62120BAE"/>
    <w:multiLevelType w:val="hybridMultilevel"/>
    <w:tmpl w:val="A5961AB0"/>
    <w:lvl w:ilvl="0" w:tplc="340A001B">
      <w:start w:val="1"/>
      <w:numFmt w:val="lowerRoman"/>
      <w:lvlText w:val="%1."/>
      <w:lvlJc w:val="right"/>
      <w:pPr>
        <w:ind w:left="1210" w:hanging="360"/>
      </w:pPr>
    </w:lvl>
    <w:lvl w:ilvl="1" w:tplc="340A0019" w:tentative="1">
      <w:start w:val="1"/>
      <w:numFmt w:val="lowerLetter"/>
      <w:lvlText w:val="%2."/>
      <w:lvlJc w:val="left"/>
      <w:pPr>
        <w:ind w:left="1930" w:hanging="360"/>
      </w:pPr>
    </w:lvl>
    <w:lvl w:ilvl="2" w:tplc="340A001B" w:tentative="1">
      <w:start w:val="1"/>
      <w:numFmt w:val="lowerRoman"/>
      <w:lvlText w:val="%3."/>
      <w:lvlJc w:val="right"/>
      <w:pPr>
        <w:ind w:left="2650" w:hanging="180"/>
      </w:pPr>
    </w:lvl>
    <w:lvl w:ilvl="3" w:tplc="340A000F" w:tentative="1">
      <w:start w:val="1"/>
      <w:numFmt w:val="decimal"/>
      <w:lvlText w:val="%4."/>
      <w:lvlJc w:val="left"/>
      <w:pPr>
        <w:ind w:left="3370" w:hanging="360"/>
      </w:pPr>
    </w:lvl>
    <w:lvl w:ilvl="4" w:tplc="340A0019" w:tentative="1">
      <w:start w:val="1"/>
      <w:numFmt w:val="lowerLetter"/>
      <w:lvlText w:val="%5."/>
      <w:lvlJc w:val="left"/>
      <w:pPr>
        <w:ind w:left="4090" w:hanging="360"/>
      </w:pPr>
    </w:lvl>
    <w:lvl w:ilvl="5" w:tplc="340A001B" w:tentative="1">
      <w:start w:val="1"/>
      <w:numFmt w:val="lowerRoman"/>
      <w:lvlText w:val="%6."/>
      <w:lvlJc w:val="right"/>
      <w:pPr>
        <w:ind w:left="4810" w:hanging="180"/>
      </w:pPr>
    </w:lvl>
    <w:lvl w:ilvl="6" w:tplc="340A000F" w:tentative="1">
      <w:start w:val="1"/>
      <w:numFmt w:val="decimal"/>
      <w:lvlText w:val="%7."/>
      <w:lvlJc w:val="left"/>
      <w:pPr>
        <w:ind w:left="5530" w:hanging="360"/>
      </w:pPr>
    </w:lvl>
    <w:lvl w:ilvl="7" w:tplc="340A0019" w:tentative="1">
      <w:start w:val="1"/>
      <w:numFmt w:val="lowerLetter"/>
      <w:lvlText w:val="%8."/>
      <w:lvlJc w:val="left"/>
      <w:pPr>
        <w:ind w:left="6250" w:hanging="360"/>
      </w:pPr>
    </w:lvl>
    <w:lvl w:ilvl="8" w:tplc="340A001B" w:tentative="1">
      <w:start w:val="1"/>
      <w:numFmt w:val="lowerRoman"/>
      <w:lvlText w:val="%9."/>
      <w:lvlJc w:val="right"/>
      <w:pPr>
        <w:ind w:left="6970" w:hanging="180"/>
      </w:pPr>
    </w:lvl>
  </w:abstractNum>
  <w:abstractNum w:abstractNumId="8">
    <w:nsid w:val="68FB32E7"/>
    <w:multiLevelType w:val="hybridMultilevel"/>
    <w:tmpl w:val="739C854A"/>
    <w:lvl w:ilvl="0" w:tplc="0A62AB60">
      <w:start w:val="1"/>
      <w:numFmt w:val="lowerRoman"/>
      <w:lvlText w:val="%1."/>
      <w:lvlJc w:val="left"/>
      <w:pPr>
        <w:ind w:left="1854" w:hanging="360"/>
      </w:pPr>
      <w:rPr>
        <w:rFonts w:ascii="Verdana" w:eastAsia="Calibri" w:hAnsi="Verdana" w:cstheme="minorHAnsi"/>
      </w:rPr>
    </w:lvl>
    <w:lvl w:ilvl="1" w:tplc="340A0019" w:tentative="1">
      <w:start w:val="1"/>
      <w:numFmt w:val="lowerLetter"/>
      <w:lvlText w:val="%2."/>
      <w:lvlJc w:val="left"/>
      <w:pPr>
        <w:ind w:left="2574" w:hanging="360"/>
      </w:pPr>
    </w:lvl>
    <w:lvl w:ilvl="2" w:tplc="340A001B">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9">
    <w:nsid w:val="7012384E"/>
    <w:multiLevelType w:val="hybridMultilevel"/>
    <w:tmpl w:val="78BC496E"/>
    <w:lvl w:ilvl="0" w:tplc="8612E690">
      <w:start w:val="1"/>
      <w:numFmt w:val="decimal"/>
      <w:lvlText w:val="%1."/>
      <w:lvlJc w:val="left"/>
      <w:pPr>
        <w:ind w:left="644" w:hanging="360"/>
      </w:pPr>
      <w:rPr>
        <w:b w:val="0"/>
        <w:i w:val="0"/>
        <w:color w:val="auto"/>
      </w:rPr>
    </w:lvl>
    <w:lvl w:ilvl="1" w:tplc="340A0017">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D073C9C"/>
    <w:multiLevelType w:val="hybridMultilevel"/>
    <w:tmpl w:val="6742B312"/>
    <w:lvl w:ilvl="0" w:tplc="00F61D6E">
      <w:start w:val="1"/>
      <w:numFmt w:val="upperLetter"/>
      <w:lvlText w:val="%1."/>
      <w:lvlJc w:val="left"/>
      <w:pPr>
        <w:ind w:left="720" w:hanging="36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4"/>
  </w:num>
  <w:num w:numId="5">
    <w:abstractNumId w:val="5"/>
  </w:num>
  <w:num w:numId="6">
    <w:abstractNumId w:val="7"/>
  </w:num>
  <w:num w:numId="7">
    <w:abstractNumId w:val="8"/>
  </w:num>
  <w:num w:numId="8">
    <w:abstractNumId w:val="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CL"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1B"/>
    <w:rsid w:val="00036294"/>
    <w:rsid w:val="00041B51"/>
    <w:rsid w:val="00043462"/>
    <w:rsid w:val="0005341B"/>
    <w:rsid w:val="0009274A"/>
    <w:rsid w:val="000C268E"/>
    <w:rsid w:val="00105F16"/>
    <w:rsid w:val="00195430"/>
    <w:rsid w:val="00246984"/>
    <w:rsid w:val="002B04D7"/>
    <w:rsid w:val="003421F9"/>
    <w:rsid w:val="003524A8"/>
    <w:rsid w:val="00397769"/>
    <w:rsid w:val="003D1327"/>
    <w:rsid w:val="00405E15"/>
    <w:rsid w:val="00424980"/>
    <w:rsid w:val="004279A6"/>
    <w:rsid w:val="00435670"/>
    <w:rsid w:val="00460C32"/>
    <w:rsid w:val="00471AEC"/>
    <w:rsid w:val="004D3AAA"/>
    <w:rsid w:val="005031E8"/>
    <w:rsid w:val="00521632"/>
    <w:rsid w:val="005476A8"/>
    <w:rsid w:val="005D7290"/>
    <w:rsid w:val="006144DA"/>
    <w:rsid w:val="00677498"/>
    <w:rsid w:val="006E7242"/>
    <w:rsid w:val="006E7399"/>
    <w:rsid w:val="00745207"/>
    <w:rsid w:val="00791B85"/>
    <w:rsid w:val="007D4C71"/>
    <w:rsid w:val="00825A74"/>
    <w:rsid w:val="008E36EA"/>
    <w:rsid w:val="00900057"/>
    <w:rsid w:val="00942DA5"/>
    <w:rsid w:val="00A317F9"/>
    <w:rsid w:val="00A579A1"/>
    <w:rsid w:val="00B0583D"/>
    <w:rsid w:val="00B5205E"/>
    <w:rsid w:val="00B60CEA"/>
    <w:rsid w:val="00B63508"/>
    <w:rsid w:val="00C45F58"/>
    <w:rsid w:val="00C50889"/>
    <w:rsid w:val="00C822FA"/>
    <w:rsid w:val="00C825A1"/>
    <w:rsid w:val="00CC6F7C"/>
    <w:rsid w:val="00CD54FC"/>
    <w:rsid w:val="00D577EE"/>
    <w:rsid w:val="00D6305E"/>
    <w:rsid w:val="00D92AE3"/>
    <w:rsid w:val="00DB2CA7"/>
    <w:rsid w:val="00DD085A"/>
    <w:rsid w:val="00DF4076"/>
    <w:rsid w:val="00E13C95"/>
    <w:rsid w:val="00E64313"/>
    <w:rsid w:val="00E6780A"/>
    <w:rsid w:val="00EB1051"/>
    <w:rsid w:val="00EE0DE2"/>
    <w:rsid w:val="00F952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00" w:lineRule="auto"/>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41B"/>
    <w:pPr>
      <w:tabs>
        <w:tab w:val="center" w:pos="4419"/>
        <w:tab w:val="right" w:pos="8838"/>
      </w:tabs>
      <w:spacing w:after="0" w:line="240" w:lineRule="auto"/>
    </w:pPr>
  </w:style>
  <w:style w:type="character" w:customStyle="1" w:styleId="HeaderChar">
    <w:name w:val="Header Char"/>
    <w:basedOn w:val="DefaultParagraphFont"/>
    <w:link w:val="Header"/>
    <w:uiPriority w:val="99"/>
    <w:rsid w:val="0005341B"/>
    <w:rPr>
      <w:lang w:val="es-CL"/>
    </w:rPr>
  </w:style>
  <w:style w:type="paragraph" w:styleId="Footer">
    <w:name w:val="footer"/>
    <w:basedOn w:val="Normal"/>
    <w:link w:val="FooterChar"/>
    <w:uiPriority w:val="99"/>
    <w:unhideWhenUsed/>
    <w:rsid w:val="0005341B"/>
    <w:pPr>
      <w:tabs>
        <w:tab w:val="center" w:pos="4419"/>
        <w:tab w:val="right" w:pos="8838"/>
      </w:tabs>
      <w:spacing w:after="0" w:line="240" w:lineRule="auto"/>
    </w:pPr>
  </w:style>
  <w:style w:type="character" w:customStyle="1" w:styleId="FooterChar">
    <w:name w:val="Footer Char"/>
    <w:basedOn w:val="DefaultParagraphFont"/>
    <w:link w:val="Footer"/>
    <w:uiPriority w:val="99"/>
    <w:rsid w:val="0005341B"/>
    <w:rPr>
      <w:lang w:val="es-CL"/>
    </w:rPr>
  </w:style>
  <w:style w:type="paragraph" w:styleId="FootnoteText">
    <w:name w:val="footnote text"/>
    <w:aliases w:val="FA Fu,Footnote Text Char Char Char Char Char,Footnote Text Char Char Char Char,Footnote reference,Footnote Text Char Char Char,Footnote Text Cha,FA Fuﬂnotentext,Footnote Text Char Char,FA Fu?notentext,FA Fußnotentext,Ca"/>
    <w:basedOn w:val="Normal"/>
    <w:link w:val="FootnoteTextChar"/>
    <w:uiPriority w:val="99"/>
    <w:unhideWhenUsed/>
    <w:qFormat/>
    <w:rsid w:val="0005341B"/>
    <w:pPr>
      <w:spacing w:after="0" w:line="240" w:lineRule="auto"/>
      <w:ind w:left="0"/>
      <w:jc w:val="left"/>
    </w:pPr>
    <w:rPr>
      <w:rFonts w:eastAsia="MS Mincho"/>
      <w:sz w:val="20"/>
      <w:szCs w:val="20"/>
      <w:lang w:val="es-MX"/>
    </w:rPr>
  </w:style>
  <w:style w:type="character" w:customStyle="1" w:styleId="TextonotapieCar">
    <w:name w:val="Texto nota pie Car"/>
    <w:basedOn w:val="DefaultParagraphFont"/>
    <w:uiPriority w:val="99"/>
    <w:semiHidden/>
    <w:rsid w:val="0005341B"/>
    <w:rPr>
      <w:sz w:val="20"/>
      <w:szCs w:val="20"/>
      <w:lang w:val="es-CL"/>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ﬂnotentext Char,Footnote Text Char Char Char1"/>
    <w:basedOn w:val="DefaultParagraphFont"/>
    <w:link w:val="FootnoteText"/>
    <w:uiPriority w:val="99"/>
    <w:rsid w:val="0005341B"/>
    <w:rPr>
      <w:rFonts w:eastAsia="MS Mincho"/>
      <w:sz w:val="20"/>
      <w:szCs w:val="20"/>
      <w:lang w:val="es-MX"/>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qFormat/>
    <w:rsid w:val="0005341B"/>
    <w:rPr>
      <w:rFonts w:ascii="Verdana" w:hAnsi="Verdana" w:cs="Verdana"/>
      <w:sz w:val="16"/>
      <w:szCs w:val="16"/>
      <w:vertAlign w:val="superscript"/>
    </w:rPr>
  </w:style>
  <w:style w:type="character" w:styleId="Hyperlink">
    <w:name w:val="Hyperlink"/>
    <w:uiPriority w:val="99"/>
    <w:unhideWhenUsed/>
    <w:rsid w:val="0005341B"/>
    <w:rPr>
      <w:color w:val="0000FF"/>
      <w:u w:val="single"/>
    </w:rPr>
  </w:style>
  <w:style w:type="paragraph" w:styleId="BalloonText">
    <w:name w:val="Balloon Text"/>
    <w:basedOn w:val="Normal"/>
    <w:link w:val="BalloonTextChar"/>
    <w:uiPriority w:val="99"/>
    <w:semiHidden/>
    <w:unhideWhenUsed/>
    <w:rsid w:val="0067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98"/>
    <w:rPr>
      <w:rFonts w:ascii="Tahoma" w:hAnsi="Tahoma" w:cs="Tahoma"/>
      <w:sz w:val="16"/>
      <w:szCs w:val="16"/>
      <w:lang w:val="es-CL"/>
    </w:rPr>
  </w:style>
  <w:style w:type="paragraph" w:styleId="ListParagraph">
    <w:name w:val="List Paragraph"/>
    <w:basedOn w:val="Normal"/>
    <w:uiPriority w:val="34"/>
    <w:qFormat/>
    <w:rsid w:val="00C45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00" w:lineRule="auto"/>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41B"/>
    <w:pPr>
      <w:tabs>
        <w:tab w:val="center" w:pos="4419"/>
        <w:tab w:val="right" w:pos="8838"/>
      </w:tabs>
      <w:spacing w:after="0" w:line="240" w:lineRule="auto"/>
    </w:pPr>
  </w:style>
  <w:style w:type="character" w:customStyle="1" w:styleId="HeaderChar">
    <w:name w:val="Header Char"/>
    <w:basedOn w:val="DefaultParagraphFont"/>
    <w:link w:val="Header"/>
    <w:uiPriority w:val="99"/>
    <w:rsid w:val="0005341B"/>
    <w:rPr>
      <w:lang w:val="es-CL"/>
    </w:rPr>
  </w:style>
  <w:style w:type="paragraph" w:styleId="Footer">
    <w:name w:val="footer"/>
    <w:basedOn w:val="Normal"/>
    <w:link w:val="FooterChar"/>
    <w:uiPriority w:val="99"/>
    <w:unhideWhenUsed/>
    <w:rsid w:val="0005341B"/>
    <w:pPr>
      <w:tabs>
        <w:tab w:val="center" w:pos="4419"/>
        <w:tab w:val="right" w:pos="8838"/>
      </w:tabs>
      <w:spacing w:after="0" w:line="240" w:lineRule="auto"/>
    </w:pPr>
  </w:style>
  <w:style w:type="character" w:customStyle="1" w:styleId="FooterChar">
    <w:name w:val="Footer Char"/>
    <w:basedOn w:val="DefaultParagraphFont"/>
    <w:link w:val="Footer"/>
    <w:uiPriority w:val="99"/>
    <w:rsid w:val="0005341B"/>
    <w:rPr>
      <w:lang w:val="es-CL"/>
    </w:rPr>
  </w:style>
  <w:style w:type="paragraph" w:styleId="FootnoteText">
    <w:name w:val="footnote text"/>
    <w:aliases w:val="FA Fu,Footnote Text Char Char Char Char Char,Footnote Text Char Char Char Char,Footnote reference,Footnote Text Char Char Char,Footnote Text Cha,FA Fuﬂnotentext,Footnote Text Char Char,FA Fu?notentext,FA Fußnotentext,Ca"/>
    <w:basedOn w:val="Normal"/>
    <w:link w:val="FootnoteTextChar"/>
    <w:uiPriority w:val="99"/>
    <w:unhideWhenUsed/>
    <w:qFormat/>
    <w:rsid w:val="0005341B"/>
    <w:pPr>
      <w:spacing w:after="0" w:line="240" w:lineRule="auto"/>
      <w:ind w:left="0"/>
      <w:jc w:val="left"/>
    </w:pPr>
    <w:rPr>
      <w:rFonts w:eastAsia="MS Mincho"/>
      <w:sz w:val="20"/>
      <w:szCs w:val="20"/>
      <w:lang w:val="es-MX"/>
    </w:rPr>
  </w:style>
  <w:style w:type="character" w:customStyle="1" w:styleId="TextonotapieCar">
    <w:name w:val="Texto nota pie Car"/>
    <w:basedOn w:val="DefaultParagraphFont"/>
    <w:uiPriority w:val="99"/>
    <w:semiHidden/>
    <w:rsid w:val="0005341B"/>
    <w:rPr>
      <w:sz w:val="20"/>
      <w:szCs w:val="20"/>
      <w:lang w:val="es-CL"/>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ﬂnotentext Char,Footnote Text Char Char Char1"/>
    <w:basedOn w:val="DefaultParagraphFont"/>
    <w:link w:val="FootnoteText"/>
    <w:uiPriority w:val="99"/>
    <w:rsid w:val="0005341B"/>
    <w:rPr>
      <w:rFonts w:eastAsia="MS Mincho"/>
      <w:sz w:val="20"/>
      <w:szCs w:val="20"/>
      <w:lang w:val="es-MX"/>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qFormat/>
    <w:rsid w:val="0005341B"/>
    <w:rPr>
      <w:rFonts w:ascii="Verdana" w:hAnsi="Verdana" w:cs="Verdana"/>
      <w:sz w:val="16"/>
      <w:szCs w:val="16"/>
      <w:vertAlign w:val="superscript"/>
    </w:rPr>
  </w:style>
  <w:style w:type="character" w:styleId="Hyperlink">
    <w:name w:val="Hyperlink"/>
    <w:uiPriority w:val="99"/>
    <w:unhideWhenUsed/>
    <w:rsid w:val="0005341B"/>
    <w:rPr>
      <w:color w:val="0000FF"/>
      <w:u w:val="single"/>
    </w:rPr>
  </w:style>
  <w:style w:type="paragraph" w:styleId="BalloonText">
    <w:name w:val="Balloon Text"/>
    <w:basedOn w:val="Normal"/>
    <w:link w:val="BalloonTextChar"/>
    <w:uiPriority w:val="99"/>
    <w:semiHidden/>
    <w:unhideWhenUsed/>
    <w:rsid w:val="0067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98"/>
    <w:rPr>
      <w:rFonts w:ascii="Tahoma" w:hAnsi="Tahoma" w:cs="Tahoma"/>
      <w:sz w:val="16"/>
      <w:szCs w:val="16"/>
      <w:lang w:val="es-CL"/>
    </w:rPr>
  </w:style>
  <w:style w:type="paragraph" w:styleId="ListParagraph">
    <w:name w:val="List Paragraph"/>
    <w:basedOn w:val="Normal"/>
    <w:uiPriority w:val="34"/>
    <w:qFormat/>
    <w:rsid w:val="00C45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asuntos/alvaradoes_fv_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2174-1677-4E41-ADF2-DA9D69832092}">
  <ds:schemaRefs>
    <ds:schemaRef ds:uri="http://schemas.microsoft.com/office/2006/metadata/properties"/>
  </ds:schemaRefs>
</ds:datastoreItem>
</file>

<file path=customXml/itemProps2.xml><?xml version="1.0" encoding="utf-8"?>
<ds:datastoreItem xmlns:ds="http://schemas.openxmlformats.org/officeDocument/2006/customXml" ds:itemID="{5BF863B0-B34C-44ED-B1CF-11584CB4D41B}">
  <ds:schemaRefs>
    <ds:schemaRef ds:uri="http://schemas.microsoft.com/sharepoint/v3/contenttype/forms"/>
  </ds:schemaRefs>
</ds:datastoreItem>
</file>

<file path=customXml/itemProps3.xml><?xml version="1.0" encoding="utf-8"?>
<ds:datastoreItem xmlns:ds="http://schemas.openxmlformats.org/officeDocument/2006/customXml" ds:itemID="{BDCFC77F-0F60-4368-ADB3-3A46CF6A7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2533B4-E989-4EBD-8C3C-0AD5B381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7091</Words>
  <Characters>39005</Characters>
  <Application>Microsoft Office Word</Application>
  <DocSecurity>0</DocSecurity>
  <Lines>325</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2018-03-23T22:58:00Z</cp:lastPrinted>
  <dcterms:created xsi:type="dcterms:W3CDTF">2018-03-23T22:59:00Z</dcterms:created>
  <dcterms:modified xsi:type="dcterms:W3CDTF">2018-03-23T22:59:00Z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