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F07F" w14:textId="54FC8C4F" w:rsidR="006D583D" w:rsidRDefault="00F3065E" w:rsidP="0001341D">
      <w:pPr>
        <w:tabs>
          <w:tab w:val="left" w:pos="567"/>
        </w:tabs>
        <w:spacing w:after="0" w:line="240" w:lineRule="auto"/>
        <w:ind w:left="1440" w:hanging="1440"/>
        <w:jc w:val="center"/>
        <w:rPr>
          <w:rFonts w:ascii="Verdana" w:eastAsia="Calibri" w:hAnsi="Verdana" w:cs="Calibri"/>
          <w:b/>
          <w:sz w:val="20"/>
          <w:szCs w:val="20"/>
          <w:lang w:val="es-CR"/>
        </w:rPr>
      </w:pPr>
      <w:r>
        <w:rPr>
          <w:rFonts w:ascii="Verdana" w:eastAsia="Calibri" w:hAnsi="Verdana" w:cs="Calibri"/>
          <w:b/>
          <w:sz w:val="20"/>
          <w:szCs w:val="20"/>
          <w:lang w:val="es-CR"/>
        </w:rPr>
        <w:t xml:space="preserve">    </w:t>
      </w:r>
      <w:bookmarkStart w:id="0" w:name="_GoBack"/>
      <w:bookmarkEnd w:id="0"/>
    </w:p>
    <w:p w14:paraId="68B0187E" w14:textId="77777777" w:rsidR="006D583D" w:rsidRDefault="006D583D" w:rsidP="0001341D">
      <w:pPr>
        <w:tabs>
          <w:tab w:val="left" w:pos="567"/>
        </w:tabs>
        <w:spacing w:after="0" w:line="240" w:lineRule="auto"/>
        <w:ind w:left="1440" w:hanging="1440"/>
        <w:jc w:val="center"/>
        <w:rPr>
          <w:rFonts w:ascii="Verdana" w:eastAsia="Calibri" w:hAnsi="Verdana" w:cs="Calibri"/>
          <w:b/>
          <w:sz w:val="20"/>
          <w:szCs w:val="20"/>
          <w:lang w:val="es-CR"/>
        </w:rPr>
      </w:pPr>
    </w:p>
    <w:p w14:paraId="46A88A3E" w14:textId="77777777" w:rsidR="006D583D" w:rsidRDefault="006D583D" w:rsidP="0001341D">
      <w:pPr>
        <w:tabs>
          <w:tab w:val="left" w:pos="567"/>
        </w:tabs>
        <w:spacing w:after="0" w:line="240" w:lineRule="auto"/>
        <w:ind w:left="1440" w:hanging="1440"/>
        <w:jc w:val="center"/>
        <w:rPr>
          <w:rFonts w:ascii="Verdana" w:eastAsia="Calibri" w:hAnsi="Verdana" w:cs="Calibri"/>
          <w:b/>
          <w:sz w:val="20"/>
          <w:szCs w:val="20"/>
          <w:lang w:val="es-CR"/>
        </w:rPr>
      </w:pPr>
    </w:p>
    <w:p w14:paraId="4ACC38A6" w14:textId="77777777" w:rsidR="006D583D" w:rsidRDefault="006D583D" w:rsidP="0001341D">
      <w:pPr>
        <w:tabs>
          <w:tab w:val="left" w:pos="567"/>
        </w:tabs>
        <w:spacing w:after="0" w:line="240" w:lineRule="auto"/>
        <w:ind w:left="1440" w:hanging="1440"/>
        <w:jc w:val="center"/>
        <w:rPr>
          <w:rFonts w:ascii="Verdana" w:eastAsia="Calibri" w:hAnsi="Verdana" w:cs="Calibri"/>
          <w:b/>
          <w:sz w:val="20"/>
          <w:szCs w:val="20"/>
          <w:lang w:val="es-CR"/>
        </w:rPr>
      </w:pPr>
    </w:p>
    <w:p w14:paraId="17A62720" w14:textId="77777777" w:rsidR="006D583D" w:rsidRDefault="006D583D" w:rsidP="0001341D">
      <w:pPr>
        <w:tabs>
          <w:tab w:val="left" w:pos="567"/>
        </w:tabs>
        <w:spacing w:after="0" w:line="240" w:lineRule="auto"/>
        <w:ind w:left="1440" w:hanging="1440"/>
        <w:jc w:val="center"/>
        <w:rPr>
          <w:rFonts w:ascii="Verdana" w:eastAsia="Calibri" w:hAnsi="Verdana" w:cs="Calibri"/>
          <w:b/>
          <w:sz w:val="20"/>
          <w:szCs w:val="20"/>
          <w:lang w:val="es-CR"/>
        </w:rPr>
      </w:pPr>
    </w:p>
    <w:p w14:paraId="5C37C2E7" w14:textId="77777777" w:rsidR="006D583D" w:rsidRDefault="006D583D" w:rsidP="0001341D">
      <w:pPr>
        <w:tabs>
          <w:tab w:val="left" w:pos="567"/>
        </w:tabs>
        <w:spacing w:after="0" w:line="240" w:lineRule="auto"/>
        <w:ind w:left="1440" w:hanging="1440"/>
        <w:jc w:val="center"/>
        <w:rPr>
          <w:rFonts w:ascii="Verdana" w:eastAsia="Calibri" w:hAnsi="Verdana" w:cs="Calibri"/>
          <w:b/>
          <w:sz w:val="20"/>
          <w:szCs w:val="20"/>
          <w:lang w:val="es-CR"/>
        </w:rPr>
      </w:pPr>
    </w:p>
    <w:p w14:paraId="4864C723" w14:textId="1924C04C" w:rsidR="00AE2198" w:rsidRPr="00AE2198" w:rsidRDefault="00AE2198" w:rsidP="0001341D">
      <w:pPr>
        <w:tabs>
          <w:tab w:val="left" w:pos="567"/>
        </w:tabs>
        <w:spacing w:after="0" w:line="240" w:lineRule="auto"/>
        <w:ind w:left="1440" w:hanging="1440"/>
        <w:jc w:val="center"/>
        <w:rPr>
          <w:rFonts w:ascii="Verdana" w:eastAsia="Calibri" w:hAnsi="Verdana" w:cs="Calibri"/>
          <w:b/>
          <w:sz w:val="20"/>
          <w:szCs w:val="20"/>
          <w:lang w:val="es-CR"/>
        </w:rPr>
      </w:pPr>
      <w:r w:rsidRPr="00AE2198">
        <w:rPr>
          <w:rFonts w:ascii="Verdana" w:eastAsia="Calibri" w:hAnsi="Verdana" w:cs="Calibri"/>
          <w:b/>
          <w:sz w:val="20"/>
          <w:szCs w:val="20"/>
          <w:lang w:val="es-CR"/>
        </w:rPr>
        <w:t>RESOLUCIÓN DE LA</w:t>
      </w:r>
    </w:p>
    <w:p w14:paraId="4864C724" w14:textId="77777777" w:rsidR="00AE2198" w:rsidRPr="00AE2198" w:rsidRDefault="00AE2198" w:rsidP="00AE2198">
      <w:pPr>
        <w:tabs>
          <w:tab w:val="left" w:pos="567"/>
        </w:tabs>
        <w:spacing w:after="0" w:line="240" w:lineRule="auto"/>
        <w:jc w:val="center"/>
        <w:rPr>
          <w:rFonts w:ascii="Verdana" w:eastAsia="Calibri" w:hAnsi="Verdana" w:cs="Calibri"/>
          <w:b/>
          <w:sz w:val="20"/>
          <w:szCs w:val="20"/>
          <w:lang w:val="es-CR"/>
        </w:rPr>
      </w:pPr>
      <w:r w:rsidRPr="00AE2198">
        <w:rPr>
          <w:rFonts w:ascii="Verdana" w:eastAsia="Calibri" w:hAnsi="Verdana" w:cs="Calibri"/>
          <w:b/>
          <w:sz w:val="20"/>
          <w:szCs w:val="20"/>
          <w:lang w:val="es-CR"/>
        </w:rPr>
        <w:t>CORTE INTERAMERICANA DE DERECHOS HUMANOS</w:t>
      </w:r>
      <w:r w:rsidR="007B1E0C" w:rsidRPr="007B1E0C">
        <w:rPr>
          <w:rStyle w:val="FootnoteReference"/>
          <w:rFonts w:eastAsia="Calibri"/>
          <w:b/>
          <w:lang w:val="es-CR"/>
        </w:rPr>
        <w:footnoteReference w:customMarkFollows="1" w:id="1"/>
        <w:sym w:font="Symbol" w:char="F02A"/>
      </w:r>
    </w:p>
    <w:p w14:paraId="4864C725" w14:textId="77777777" w:rsidR="00AE2198" w:rsidRPr="00AE2198" w:rsidRDefault="00AE2198" w:rsidP="00AE2198">
      <w:pPr>
        <w:tabs>
          <w:tab w:val="left" w:pos="567"/>
        </w:tabs>
        <w:spacing w:after="0" w:line="240" w:lineRule="auto"/>
        <w:jc w:val="center"/>
        <w:rPr>
          <w:rFonts w:ascii="Verdana" w:eastAsia="Calibri" w:hAnsi="Verdana" w:cs="Calibri"/>
          <w:b/>
          <w:sz w:val="20"/>
          <w:szCs w:val="20"/>
          <w:lang w:val="es-CR"/>
        </w:rPr>
      </w:pPr>
    </w:p>
    <w:p w14:paraId="4864C726" w14:textId="62288CFA" w:rsidR="00AE2198" w:rsidRDefault="00AE2198" w:rsidP="00AE2198">
      <w:pPr>
        <w:tabs>
          <w:tab w:val="left" w:pos="567"/>
        </w:tabs>
        <w:spacing w:after="0" w:line="240" w:lineRule="auto"/>
        <w:jc w:val="center"/>
        <w:rPr>
          <w:rFonts w:ascii="Verdana" w:eastAsia="Calibri" w:hAnsi="Verdana" w:cs="Calibri"/>
          <w:b/>
          <w:sz w:val="20"/>
          <w:szCs w:val="20"/>
          <w:lang w:val="es-CR"/>
        </w:rPr>
      </w:pPr>
      <w:r w:rsidRPr="00AE2198">
        <w:rPr>
          <w:rFonts w:ascii="Verdana" w:eastAsia="Calibri" w:hAnsi="Verdana" w:cs="Calibri"/>
          <w:b/>
          <w:sz w:val="20"/>
          <w:szCs w:val="20"/>
          <w:lang w:val="es-CR"/>
        </w:rPr>
        <w:t xml:space="preserve">DE </w:t>
      </w:r>
      <w:r w:rsidR="00506510">
        <w:rPr>
          <w:rFonts w:ascii="Verdana" w:eastAsia="Calibri" w:hAnsi="Verdana" w:cs="Calibri"/>
          <w:b/>
          <w:sz w:val="20"/>
          <w:szCs w:val="20"/>
          <w:lang w:val="es-CR"/>
        </w:rPr>
        <w:t>23</w:t>
      </w:r>
      <w:r w:rsidR="006072DB">
        <w:rPr>
          <w:rFonts w:ascii="Verdana" w:eastAsia="Calibri" w:hAnsi="Verdana" w:cs="Calibri"/>
          <w:b/>
          <w:sz w:val="20"/>
          <w:szCs w:val="20"/>
          <w:lang w:val="es-CR"/>
        </w:rPr>
        <w:t xml:space="preserve"> </w:t>
      </w:r>
      <w:r>
        <w:rPr>
          <w:rFonts w:ascii="Verdana" w:eastAsia="Calibri" w:hAnsi="Verdana" w:cs="Calibri"/>
          <w:b/>
          <w:sz w:val="20"/>
          <w:szCs w:val="20"/>
          <w:lang w:val="es-CR"/>
        </w:rPr>
        <w:t xml:space="preserve">DE </w:t>
      </w:r>
      <w:r w:rsidR="00E62003">
        <w:rPr>
          <w:rFonts w:ascii="Verdana" w:eastAsia="Calibri" w:hAnsi="Verdana" w:cs="Calibri"/>
          <w:b/>
          <w:sz w:val="20"/>
          <w:szCs w:val="20"/>
          <w:lang w:val="es-CR"/>
        </w:rPr>
        <w:t xml:space="preserve">ABRIL </w:t>
      </w:r>
      <w:r>
        <w:rPr>
          <w:rFonts w:ascii="Verdana" w:eastAsia="Calibri" w:hAnsi="Verdana" w:cs="Calibri"/>
          <w:b/>
          <w:sz w:val="20"/>
          <w:szCs w:val="20"/>
          <w:lang w:val="es-CR"/>
        </w:rPr>
        <w:t>DE 2018</w:t>
      </w:r>
    </w:p>
    <w:p w14:paraId="48B5477C" w14:textId="77777777" w:rsidR="00506510" w:rsidRDefault="00506510" w:rsidP="00AE2198">
      <w:pPr>
        <w:tabs>
          <w:tab w:val="left" w:pos="567"/>
        </w:tabs>
        <w:spacing w:after="0" w:line="240" w:lineRule="auto"/>
        <w:jc w:val="center"/>
        <w:rPr>
          <w:rFonts w:ascii="Verdana" w:eastAsia="Calibri" w:hAnsi="Verdana" w:cs="Calibri"/>
          <w:b/>
          <w:sz w:val="20"/>
          <w:szCs w:val="20"/>
          <w:lang w:val="es-CR"/>
        </w:rPr>
      </w:pPr>
    </w:p>
    <w:p w14:paraId="6D8432C4" w14:textId="21B8CB21" w:rsidR="00506510" w:rsidRPr="00AE2198" w:rsidRDefault="00506510" w:rsidP="00AE2198">
      <w:pPr>
        <w:tabs>
          <w:tab w:val="left" w:pos="567"/>
        </w:tabs>
        <w:spacing w:after="0" w:line="240" w:lineRule="auto"/>
        <w:jc w:val="center"/>
        <w:rPr>
          <w:rFonts w:ascii="Verdana" w:eastAsia="Calibri" w:hAnsi="Verdana" w:cs="Calibri"/>
          <w:b/>
          <w:sz w:val="20"/>
          <w:szCs w:val="20"/>
          <w:lang w:val="es-CR"/>
        </w:rPr>
      </w:pPr>
      <w:r>
        <w:rPr>
          <w:rFonts w:ascii="Verdana" w:eastAsia="Calibri" w:hAnsi="Verdana" w:cs="Calibri"/>
          <w:b/>
          <w:sz w:val="20"/>
          <w:szCs w:val="20"/>
          <w:lang w:val="es-CR"/>
        </w:rPr>
        <w:t>RECONSIDERACIÓN DE CONVOCATORIA</w:t>
      </w:r>
    </w:p>
    <w:p w14:paraId="4864C728" w14:textId="77777777" w:rsidR="00A62719" w:rsidRDefault="00A62719" w:rsidP="00506510">
      <w:pPr>
        <w:tabs>
          <w:tab w:val="left" w:pos="567"/>
        </w:tabs>
        <w:spacing w:after="0" w:line="240" w:lineRule="auto"/>
        <w:rPr>
          <w:rFonts w:ascii="Verdana" w:eastAsia="Calibri" w:hAnsi="Verdana" w:cs="Calibri"/>
          <w:b/>
          <w:sz w:val="20"/>
          <w:szCs w:val="20"/>
          <w:lang w:val="es-CR"/>
        </w:rPr>
      </w:pPr>
    </w:p>
    <w:p w14:paraId="4864C729" w14:textId="77777777" w:rsidR="00AE2198" w:rsidRDefault="00AE2198" w:rsidP="00AE2198">
      <w:pPr>
        <w:tabs>
          <w:tab w:val="left" w:pos="567"/>
        </w:tabs>
        <w:spacing w:after="0" w:line="240" w:lineRule="auto"/>
        <w:jc w:val="center"/>
        <w:rPr>
          <w:rFonts w:ascii="Verdana" w:eastAsia="Calibri" w:hAnsi="Verdana" w:cs="Calibri"/>
          <w:b/>
          <w:sz w:val="20"/>
          <w:szCs w:val="20"/>
          <w:lang w:val="es-CR"/>
        </w:rPr>
      </w:pPr>
      <w:r w:rsidRPr="00AE2198">
        <w:rPr>
          <w:rFonts w:ascii="Verdana" w:eastAsia="Calibri" w:hAnsi="Verdana" w:cs="Calibri"/>
          <w:b/>
          <w:sz w:val="20"/>
          <w:szCs w:val="20"/>
          <w:lang w:val="es-CR"/>
        </w:rPr>
        <w:t xml:space="preserve">CASO </w:t>
      </w:r>
      <w:r>
        <w:rPr>
          <w:rFonts w:ascii="Verdana" w:eastAsia="Calibri" w:hAnsi="Verdana" w:cs="Calibri"/>
          <w:b/>
          <w:sz w:val="20"/>
          <w:szCs w:val="20"/>
          <w:lang w:val="es-CR"/>
        </w:rPr>
        <w:t>ALVARADO ESPINOZA</w:t>
      </w:r>
      <w:r w:rsidR="00031093">
        <w:rPr>
          <w:rFonts w:ascii="Verdana" w:eastAsia="Calibri" w:hAnsi="Verdana" w:cs="Calibri"/>
          <w:b/>
          <w:sz w:val="20"/>
          <w:szCs w:val="20"/>
          <w:lang w:val="es-CR"/>
        </w:rPr>
        <w:t xml:space="preserve"> Y OTROS</w:t>
      </w:r>
      <w:r>
        <w:rPr>
          <w:rFonts w:ascii="Verdana" w:eastAsia="Calibri" w:hAnsi="Verdana" w:cs="Calibri"/>
          <w:b/>
          <w:sz w:val="20"/>
          <w:szCs w:val="20"/>
          <w:lang w:val="es-CR"/>
        </w:rPr>
        <w:t xml:space="preserve"> </w:t>
      </w:r>
      <w:r w:rsidRPr="00E679E8">
        <w:rPr>
          <w:rFonts w:ascii="Verdana" w:eastAsia="Calibri" w:hAnsi="Verdana" w:cs="Calibri"/>
          <w:b/>
          <w:i/>
          <w:sz w:val="20"/>
          <w:szCs w:val="20"/>
          <w:lang w:val="es-CR"/>
        </w:rPr>
        <w:t>VS.</w:t>
      </w:r>
      <w:r>
        <w:rPr>
          <w:rFonts w:ascii="Verdana" w:eastAsia="Calibri" w:hAnsi="Verdana" w:cs="Calibri"/>
          <w:b/>
          <w:sz w:val="20"/>
          <w:szCs w:val="20"/>
          <w:lang w:val="es-CR"/>
        </w:rPr>
        <w:t xml:space="preserve"> MEXICO</w:t>
      </w:r>
    </w:p>
    <w:p w14:paraId="4864C72C" w14:textId="77777777" w:rsidR="00A62719" w:rsidRDefault="00A62719" w:rsidP="00A62719">
      <w:pPr>
        <w:tabs>
          <w:tab w:val="left" w:pos="567"/>
        </w:tabs>
        <w:spacing w:after="0" w:line="240" w:lineRule="auto"/>
        <w:jc w:val="center"/>
        <w:rPr>
          <w:rFonts w:ascii="Verdana" w:eastAsia="Calibri" w:hAnsi="Verdana" w:cs="Calibri"/>
          <w:b/>
          <w:sz w:val="20"/>
          <w:szCs w:val="20"/>
          <w:lang w:val="es-CR"/>
        </w:rPr>
      </w:pPr>
    </w:p>
    <w:p w14:paraId="4864C72D" w14:textId="77777777" w:rsidR="00A62719" w:rsidRPr="00AE2198" w:rsidRDefault="00A62719" w:rsidP="00AE2198">
      <w:pPr>
        <w:tabs>
          <w:tab w:val="left" w:pos="567"/>
        </w:tabs>
        <w:spacing w:after="0" w:line="240" w:lineRule="auto"/>
        <w:rPr>
          <w:rFonts w:ascii="Verdana" w:eastAsia="Calibri" w:hAnsi="Verdana" w:cs="Calibri"/>
          <w:sz w:val="20"/>
          <w:szCs w:val="20"/>
          <w:lang w:val="es-CR"/>
        </w:rPr>
      </w:pPr>
    </w:p>
    <w:p w14:paraId="4864C72E" w14:textId="77777777" w:rsidR="00AE2198" w:rsidRPr="00AE2198" w:rsidRDefault="00AE2198" w:rsidP="00AE2198">
      <w:pPr>
        <w:tabs>
          <w:tab w:val="left" w:pos="567"/>
        </w:tabs>
        <w:spacing w:after="0" w:line="240" w:lineRule="auto"/>
        <w:rPr>
          <w:rFonts w:ascii="Verdana" w:eastAsia="Calibri" w:hAnsi="Verdana" w:cs="Calibri"/>
          <w:b/>
          <w:sz w:val="20"/>
          <w:szCs w:val="20"/>
          <w:lang w:val="es-CR"/>
        </w:rPr>
      </w:pPr>
      <w:r w:rsidRPr="00AE2198">
        <w:rPr>
          <w:rFonts w:ascii="Verdana" w:eastAsia="Calibri" w:hAnsi="Verdana" w:cs="Calibri"/>
          <w:b/>
          <w:sz w:val="20"/>
          <w:szCs w:val="20"/>
          <w:lang w:val="es-CR"/>
        </w:rPr>
        <w:t>VISTO:</w:t>
      </w:r>
    </w:p>
    <w:p w14:paraId="4864C72F" w14:textId="77777777" w:rsidR="00AE2198" w:rsidRPr="00AE2198" w:rsidRDefault="00AE2198" w:rsidP="00AE2198">
      <w:pPr>
        <w:tabs>
          <w:tab w:val="left" w:pos="567"/>
        </w:tabs>
        <w:spacing w:after="0" w:line="240" w:lineRule="auto"/>
        <w:rPr>
          <w:rFonts w:ascii="Verdana" w:eastAsia="Calibri" w:hAnsi="Verdana" w:cs="Calibri"/>
          <w:b/>
          <w:sz w:val="20"/>
          <w:szCs w:val="20"/>
          <w:lang w:val="es-CR"/>
        </w:rPr>
      </w:pPr>
    </w:p>
    <w:p w14:paraId="6689E886" w14:textId="362BB815" w:rsidR="00E62003" w:rsidRPr="007B7C38" w:rsidRDefault="00E62003" w:rsidP="007B7C38">
      <w:pPr>
        <w:pStyle w:val="ListParagraph"/>
        <w:widowControl w:val="0"/>
        <w:numPr>
          <w:ilvl w:val="0"/>
          <w:numId w:val="1"/>
        </w:numPr>
        <w:tabs>
          <w:tab w:val="left" w:pos="567"/>
        </w:tabs>
        <w:autoSpaceDE w:val="0"/>
        <w:autoSpaceDN w:val="0"/>
        <w:adjustRightInd w:val="0"/>
        <w:spacing w:after="0"/>
        <w:ind w:left="0" w:right="22" w:firstLine="0"/>
        <w:contextualSpacing w:val="0"/>
        <w:rPr>
          <w:lang w:val="es-CR"/>
        </w:rPr>
      </w:pPr>
      <w:bookmarkStart w:id="1" w:name="_Ref393297742"/>
      <w:bookmarkStart w:id="2" w:name="_Ref352676460"/>
      <w:r w:rsidRPr="007B7C38">
        <w:rPr>
          <w:rFonts w:cs="Verdana"/>
          <w:szCs w:val="20"/>
          <w:lang w:val="es-MX"/>
        </w:rPr>
        <w:t xml:space="preserve">La Resolución del Presidente en </w:t>
      </w:r>
      <w:r w:rsidR="007B7C38" w:rsidRPr="007B7C38">
        <w:rPr>
          <w:rFonts w:cs="Verdana"/>
          <w:szCs w:val="20"/>
          <w:lang w:val="es-MX"/>
        </w:rPr>
        <w:t>E</w:t>
      </w:r>
      <w:r w:rsidRPr="007B7C38">
        <w:rPr>
          <w:rFonts w:cs="Verdana"/>
          <w:szCs w:val="20"/>
          <w:lang w:val="es-MX"/>
        </w:rPr>
        <w:t xml:space="preserve">jercicio de la Corte </w:t>
      </w:r>
      <w:r w:rsidR="007B7C38" w:rsidRPr="007B7C38">
        <w:rPr>
          <w:lang w:val="es-MX"/>
        </w:rPr>
        <w:t xml:space="preserve">Interamericana de Derechos Humanos </w:t>
      </w:r>
      <w:r w:rsidRPr="007B7C38">
        <w:rPr>
          <w:rFonts w:cs="Verdana"/>
          <w:szCs w:val="20"/>
          <w:lang w:val="es-MX"/>
        </w:rPr>
        <w:t>(en adelante “</w:t>
      </w:r>
      <w:r w:rsidR="007B7C38" w:rsidRPr="007B7C38">
        <w:rPr>
          <w:rFonts w:cs="Verdana"/>
          <w:szCs w:val="20"/>
          <w:lang w:val="es-MX"/>
        </w:rPr>
        <w:t>la Corte</w:t>
      </w:r>
      <w:r w:rsidRPr="007B7C38">
        <w:rPr>
          <w:rFonts w:cs="Verdana"/>
          <w:szCs w:val="20"/>
          <w:lang w:val="es-MX"/>
        </w:rPr>
        <w:t>”</w:t>
      </w:r>
      <w:r w:rsidR="004C6E18">
        <w:rPr>
          <w:rFonts w:cs="Verdana"/>
          <w:szCs w:val="20"/>
          <w:lang w:val="es-MX"/>
        </w:rPr>
        <w:t xml:space="preserve"> o “el Tribunal”</w:t>
      </w:r>
      <w:r w:rsidRPr="007B7C38">
        <w:rPr>
          <w:rFonts w:cs="Verdana"/>
          <w:szCs w:val="20"/>
          <w:lang w:val="es-MX"/>
        </w:rPr>
        <w:t>) de 23 de marzo de 2018</w:t>
      </w:r>
      <w:r w:rsidR="00266089">
        <w:rPr>
          <w:rStyle w:val="FootnoteReference"/>
          <w:lang w:val="es-MX"/>
        </w:rPr>
        <w:footnoteReference w:id="2"/>
      </w:r>
      <w:r w:rsidR="007B7C38" w:rsidRPr="007B7C38">
        <w:rPr>
          <w:rFonts w:cs="Verdana"/>
          <w:szCs w:val="20"/>
          <w:lang w:val="es-MX"/>
        </w:rPr>
        <w:t xml:space="preserve"> </w:t>
      </w:r>
      <w:r w:rsidR="007B7C38" w:rsidRPr="007B7C38">
        <w:rPr>
          <w:lang w:val="es-MX"/>
        </w:rPr>
        <w:t>(en adelante “la Resolución del Presidente”)</w:t>
      </w:r>
      <w:r w:rsidRPr="007B7C38">
        <w:rPr>
          <w:rFonts w:cs="Verdana"/>
          <w:szCs w:val="20"/>
          <w:lang w:val="es-MX"/>
        </w:rPr>
        <w:t xml:space="preserve">, </w:t>
      </w:r>
      <w:r w:rsidR="007B7C38" w:rsidRPr="007B7C38">
        <w:rPr>
          <w:lang w:val="es-MX"/>
        </w:rPr>
        <w:t xml:space="preserve">mediante la cual, </w:t>
      </w:r>
      <w:r w:rsidR="007B7C38" w:rsidRPr="007B7C38">
        <w:rPr>
          <w:i/>
          <w:lang w:val="es-MX"/>
        </w:rPr>
        <w:t>inter alia</w:t>
      </w:r>
      <w:r w:rsidR="007B7C38" w:rsidRPr="007B7C38">
        <w:rPr>
          <w:lang w:val="es-MX"/>
        </w:rPr>
        <w:t xml:space="preserve">, ordenó la recepción de diversas declaraciones </w:t>
      </w:r>
      <w:r w:rsidR="00796276">
        <w:rPr>
          <w:lang w:val="es-MX"/>
        </w:rPr>
        <w:t>de presuntas víctimas</w:t>
      </w:r>
      <w:r w:rsidR="007B7C38" w:rsidRPr="007B7C38">
        <w:rPr>
          <w:lang w:val="es-MX"/>
        </w:rPr>
        <w:t xml:space="preserve">, testigos, y peritos </w:t>
      </w:r>
      <w:r w:rsidR="0061686D">
        <w:rPr>
          <w:lang w:val="es-MX"/>
        </w:rPr>
        <w:t xml:space="preserve">en audiencia y </w:t>
      </w:r>
      <w:r w:rsidR="00330245">
        <w:rPr>
          <w:lang w:val="es-MX"/>
        </w:rPr>
        <w:t xml:space="preserve">a través de </w:t>
      </w:r>
      <w:r w:rsidR="007B7C38" w:rsidRPr="007B7C38">
        <w:rPr>
          <w:lang w:val="es-MX"/>
        </w:rPr>
        <w:t>affidávit, rechazó las declaraciones de algunos testigos y peritos</w:t>
      </w:r>
      <w:r w:rsidR="00FB0271">
        <w:rPr>
          <w:lang w:val="es-MX"/>
        </w:rPr>
        <w:t>,</w:t>
      </w:r>
      <w:r w:rsidR="007B7C38" w:rsidRPr="007B7C38">
        <w:rPr>
          <w:lang w:val="es-MX"/>
        </w:rPr>
        <w:t xml:space="preserve"> </w:t>
      </w:r>
      <w:r w:rsidR="00FB0271">
        <w:rPr>
          <w:lang w:val="es-MX"/>
        </w:rPr>
        <w:t xml:space="preserve">y </w:t>
      </w:r>
      <w:r w:rsidR="007B7C38" w:rsidRPr="007B7C38">
        <w:rPr>
          <w:lang w:val="es-MX"/>
        </w:rPr>
        <w:t>convocó a los Estados Unidos Mexicanos (en adelante “el Estado” o “México”</w:t>
      </w:r>
      <w:r w:rsidR="00E9345E">
        <w:rPr>
          <w:lang w:val="es-MX"/>
        </w:rPr>
        <w:t>)</w:t>
      </w:r>
      <w:r w:rsidR="007B7C38" w:rsidRPr="007B7C38">
        <w:rPr>
          <w:lang w:val="es-MX"/>
        </w:rPr>
        <w:t xml:space="preserve">, a los intervinientes comunes representantes de los peticionarios y a la Comisión Interamericana de Derechos Humanos (en adelante “la Comisión Interamericana” o “la Comisión”) a una audiencia pública que se celebrará durante el 123º Período Ordinario de Sesiones en la sede del Tribunal en San José, Costa Rica, el </w:t>
      </w:r>
      <w:r w:rsidR="00266089">
        <w:rPr>
          <w:lang w:val="es-MX"/>
        </w:rPr>
        <w:t>26 y 27</w:t>
      </w:r>
      <w:r w:rsidR="007B7C38" w:rsidRPr="007B7C38">
        <w:rPr>
          <w:lang w:val="es-MX"/>
        </w:rPr>
        <w:t xml:space="preserve"> de </w:t>
      </w:r>
      <w:r w:rsidR="00266089">
        <w:rPr>
          <w:lang w:val="es-MX"/>
        </w:rPr>
        <w:t xml:space="preserve">abril </w:t>
      </w:r>
      <w:r w:rsidR="007B7C38" w:rsidRPr="007B7C38">
        <w:rPr>
          <w:lang w:val="es-MX"/>
        </w:rPr>
        <w:t>de 201</w:t>
      </w:r>
      <w:r w:rsidR="00266089">
        <w:rPr>
          <w:lang w:val="es-MX"/>
        </w:rPr>
        <w:t>8</w:t>
      </w:r>
      <w:r w:rsidR="007B7C38" w:rsidRPr="007B7C38">
        <w:rPr>
          <w:lang w:val="es-MX"/>
        </w:rPr>
        <w:t>, a partir de las 9:00 horas</w:t>
      </w:r>
      <w:r w:rsidR="00266089">
        <w:rPr>
          <w:lang w:val="es-MX"/>
        </w:rPr>
        <w:t xml:space="preserve"> del día 26</w:t>
      </w:r>
      <w:r w:rsidR="007B7C38" w:rsidRPr="007B7C38">
        <w:rPr>
          <w:lang w:val="es-MX"/>
        </w:rPr>
        <w:t>, para recibir sus alegatos y observaciones finales orales, respectivamente, sobre el fondo y eventuales reparaciones y costas en el presente caso.</w:t>
      </w:r>
    </w:p>
    <w:p w14:paraId="32F5A5CC" w14:textId="77777777" w:rsidR="001461AA" w:rsidRPr="001461AA" w:rsidRDefault="001461AA" w:rsidP="001461AA">
      <w:pPr>
        <w:pStyle w:val="ListParagraph"/>
        <w:rPr>
          <w:rFonts w:cs="Verdana"/>
          <w:szCs w:val="20"/>
        </w:rPr>
      </w:pPr>
    </w:p>
    <w:p w14:paraId="514A4081" w14:textId="2E6D06E6" w:rsidR="001461AA" w:rsidRPr="001461AA" w:rsidRDefault="001461AA" w:rsidP="001461AA">
      <w:pPr>
        <w:pStyle w:val="ListParagraph"/>
        <w:widowControl w:val="0"/>
        <w:numPr>
          <w:ilvl w:val="0"/>
          <w:numId w:val="1"/>
        </w:numPr>
        <w:tabs>
          <w:tab w:val="left" w:pos="567"/>
        </w:tabs>
        <w:autoSpaceDE w:val="0"/>
        <w:autoSpaceDN w:val="0"/>
        <w:adjustRightInd w:val="0"/>
        <w:spacing w:after="0"/>
        <w:ind w:left="0" w:right="22" w:firstLine="0"/>
        <w:contextualSpacing w:val="0"/>
        <w:rPr>
          <w:lang w:val="es-CR"/>
        </w:rPr>
      </w:pPr>
      <w:r>
        <w:rPr>
          <w:rFonts w:cs="Verdana"/>
          <w:szCs w:val="20"/>
        </w:rPr>
        <w:t xml:space="preserve">El </w:t>
      </w:r>
      <w:r w:rsidRPr="00AE2198">
        <w:rPr>
          <w:rFonts w:cs="Verdana"/>
          <w:szCs w:val="20"/>
          <w:lang w:val="es-CR"/>
        </w:rPr>
        <w:t xml:space="preserve">escrito de </w:t>
      </w:r>
      <w:r>
        <w:rPr>
          <w:rFonts w:cs="Verdana"/>
          <w:szCs w:val="20"/>
          <w:lang w:val="es-CR"/>
        </w:rPr>
        <w:t xml:space="preserve">27 de marzo de 2018 de las representantes, a través del </w:t>
      </w:r>
      <w:r w:rsidR="00EF716E">
        <w:rPr>
          <w:rFonts w:cs="Verdana"/>
          <w:szCs w:val="20"/>
          <w:lang w:val="es-CR"/>
        </w:rPr>
        <w:t xml:space="preserve">cual </w:t>
      </w:r>
      <w:r>
        <w:rPr>
          <w:rFonts w:cs="Verdana"/>
          <w:szCs w:val="20"/>
          <w:lang w:val="es-CR"/>
        </w:rPr>
        <w:t>solicitaron la reconsideración</w:t>
      </w:r>
      <w:r w:rsidR="00FB0271">
        <w:rPr>
          <w:rFonts w:cs="Verdana"/>
          <w:szCs w:val="20"/>
          <w:lang w:val="es-CR"/>
        </w:rPr>
        <w:t xml:space="preserve"> sobre la admisión del testimonio de Luz Estela Castro Rodríguez, el desahogo de la declaración de Salomón Baltazar Samayoa</w:t>
      </w:r>
      <w:r w:rsidR="00796276">
        <w:rPr>
          <w:rFonts w:cs="Verdana"/>
          <w:szCs w:val="20"/>
          <w:lang w:val="es-CR"/>
        </w:rPr>
        <w:t xml:space="preserve"> en la audiencia pública, </w:t>
      </w:r>
      <w:r w:rsidR="00DF4C3E">
        <w:rPr>
          <w:rFonts w:cs="Verdana"/>
          <w:szCs w:val="20"/>
          <w:lang w:val="es-CR"/>
        </w:rPr>
        <w:t>la rectificación del nombre de</w:t>
      </w:r>
      <w:r w:rsidR="002C0325">
        <w:rPr>
          <w:rFonts w:cs="Verdana"/>
          <w:szCs w:val="20"/>
          <w:lang w:val="es-CR"/>
        </w:rPr>
        <w:t>l testigo</w:t>
      </w:r>
      <w:r w:rsidR="00DF4C3E">
        <w:rPr>
          <w:rFonts w:cs="Verdana"/>
          <w:szCs w:val="20"/>
          <w:lang w:val="es-CR"/>
        </w:rPr>
        <w:t xml:space="preserve"> José Ángel </w:t>
      </w:r>
      <w:r w:rsidR="002C0325">
        <w:rPr>
          <w:rFonts w:cs="Verdana"/>
          <w:szCs w:val="20"/>
          <w:lang w:val="es-CR"/>
        </w:rPr>
        <w:t>Alvarado</w:t>
      </w:r>
      <w:r w:rsidR="00DF4C3E">
        <w:rPr>
          <w:rFonts w:cs="Verdana"/>
          <w:szCs w:val="20"/>
          <w:lang w:val="es-CR"/>
        </w:rPr>
        <w:t xml:space="preserve"> Fabela </w:t>
      </w:r>
      <w:r w:rsidR="00796276">
        <w:rPr>
          <w:rFonts w:cs="Verdana"/>
          <w:szCs w:val="20"/>
          <w:lang w:val="es-CR"/>
        </w:rPr>
        <w:t xml:space="preserve">y </w:t>
      </w:r>
      <w:r w:rsidR="00FB0271">
        <w:rPr>
          <w:rFonts w:cs="Verdana"/>
          <w:szCs w:val="20"/>
          <w:lang w:val="es-CR"/>
        </w:rPr>
        <w:t xml:space="preserve">la sustitución del perito Alejandro Madrazo </w:t>
      </w:r>
      <w:proofErr w:type="spellStart"/>
      <w:r w:rsidR="00FB0271">
        <w:rPr>
          <w:rFonts w:cs="Verdana"/>
          <w:szCs w:val="20"/>
          <w:lang w:val="es-CR"/>
        </w:rPr>
        <w:t>Lajous</w:t>
      </w:r>
      <w:proofErr w:type="spellEnd"/>
      <w:r w:rsidR="00796276">
        <w:rPr>
          <w:rFonts w:cs="Verdana"/>
          <w:szCs w:val="20"/>
          <w:lang w:val="es-CR"/>
        </w:rPr>
        <w:t>.</w:t>
      </w:r>
    </w:p>
    <w:p w14:paraId="289971B4" w14:textId="77777777" w:rsidR="001461AA" w:rsidRPr="001461AA" w:rsidRDefault="001461AA" w:rsidP="0001341D">
      <w:pPr>
        <w:pStyle w:val="ListParagraph"/>
        <w:rPr>
          <w:rFonts w:cs="Verdana"/>
          <w:szCs w:val="20"/>
          <w:lang w:val="es-CR"/>
        </w:rPr>
      </w:pPr>
    </w:p>
    <w:p w14:paraId="1A7D53C6" w14:textId="6C0F5AB9" w:rsidR="001461AA" w:rsidRPr="0001341D" w:rsidRDefault="00AE2198" w:rsidP="005978D3">
      <w:pPr>
        <w:pStyle w:val="ListParagraph"/>
        <w:widowControl w:val="0"/>
        <w:numPr>
          <w:ilvl w:val="0"/>
          <w:numId w:val="1"/>
        </w:numPr>
        <w:tabs>
          <w:tab w:val="left" w:pos="567"/>
        </w:tabs>
        <w:autoSpaceDE w:val="0"/>
        <w:autoSpaceDN w:val="0"/>
        <w:adjustRightInd w:val="0"/>
        <w:spacing w:after="0"/>
        <w:ind w:left="0" w:right="22" w:firstLine="0"/>
        <w:contextualSpacing w:val="0"/>
        <w:rPr>
          <w:lang w:val="es-CR"/>
        </w:rPr>
      </w:pPr>
      <w:r w:rsidRPr="00AE2198">
        <w:rPr>
          <w:rFonts w:cs="Verdana"/>
          <w:szCs w:val="20"/>
          <w:lang w:val="es-CR"/>
        </w:rPr>
        <w:t xml:space="preserve">El escrito de </w:t>
      </w:r>
      <w:r w:rsidR="000562CD">
        <w:rPr>
          <w:rFonts w:cs="Verdana"/>
          <w:szCs w:val="20"/>
          <w:lang w:val="es-CR"/>
        </w:rPr>
        <w:t xml:space="preserve">28 de marzo de 2018, mediante el cual </w:t>
      </w:r>
      <w:bookmarkStart w:id="3" w:name="_Ref352676532"/>
      <w:bookmarkEnd w:id="1"/>
      <w:bookmarkEnd w:id="2"/>
      <w:r w:rsidRPr="00AE2198">
        <w:rPr>
          <w:rFonts w:cs="Verdana"/>
          <w:szCs w:val="20"/>
          <w:lang w:val="es-CR"/>
        </w:rPr>
        <w:t xml:space="preserve">el Estado </w:t>
      </w:r>
      <w:bookmarkStart w:id="4" w:name="_Ref393297780"/>
      <w:bookmarkStart w:id="5" w:name="_Ref393920719"/>
      <w:bookmarkEnd w:id="3"/>
      <w:r w:rsidR="000562CD">
        <w:rPr>
          <w:rFonts w:cs="Verdana"/>
          <w:szCs w:val="20"/>
        </w:rPr>
        <w:t xml:space="preserve">solicitó la reconsideración de la referida resolución </w:t>
      </w:r>
      <w:r w:rsidR="001461AA">
        <w:rPr>
          <w:rFonts w:cs="Verdana"/>
          <w:szCs w:val="20"/>
        </w:rPr>
        <w:t>en torno a la modalidad del desahogo</w:t>
      </w:r>
      <w:r w:rsidR="00887315">
        <w:rPr>
          <w:rFonts w:cs="Verdana"/>
          <w:szCs w:val="20"/>
        </w:rPr>
        <w:t xml:space="preserve"> de</w:t>
      </w:r>
      <w:r w:rsidR="001461AA">
        <w:rPr>
          <w:rFonts w:cs="Verdana"/>
          <w:szCs w:val="20"/>
        </w:rPr>
        <w:t xml:space="preserve"> su pericial propuesta a cargo de Carlos Rodríguez Ulloa a efecto que la misma tuviese lugar en audiencia pública. </w:t>
      </w:r>
    </w:p>
    <w:p w14:paraId="119C2996" w14:textId="77777777" w:rsidR="005978D3" w:rsidRDefault="005978D3" w:rsidP="005978D3">
      <w:pPr>
        <w:pStyle w:val="ListParagraph"/>
        <w:widowControl w:val="0"/>
        <w:tabs>
          <w:tab w:val="left" w:pos="567"/>
        </w:tabs>
        <w:autoSpaceDE w:val="0"/>
        <w:autoSpaceDN w:val="0"/>
        <w:adjustRightInd w:val="0"/>
        <w:spacing w:after="0"/>
        <w:ind w:left="0" w:right="22"/>
        <w:contextualSpacing w:val="0"/>
        <w:rPr>
          <w:lang w:val="es-CR"/>
        </w:rPr>
      </w:pPr>
    </w:p>
    <w:p w14:paraId="6A3C00E1" w14:textId="25D8F36F" w:rsidR="00887315" w:rsidRPr="0001341D" w:rsidRDefault="00887315" w:rsidP="00E679E8">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lang w:val="es-CR"/>
        </w:rPr>
      </w:pPr>
      <w:r>
        <w:t xml:space="preserve">Las comunicaciones de la Secretaría del Tribunal de 2 de abril de 2018, mediante las cuales, siguiendo instrucciones del Presidente de la Corte, otorgó plazo a la Comisión, las representantes y al Estado hasta el 4 de abril de 2018 para que presentaran las observaciones que estimaren pertinentes a las solicitudes de reconsideración </w:t>
      </w:r>
      <w:r w:rsidR="00BF5823">
        <w:t>referidas</w:t>
      </w:r>
      <w:r>
        <w:t>.</w:t>
      </w:r>
    </w:p>
    <w:p w14:paraId="50084206" w14:textId="77777777" w:rsidR="00887315" w:rsidRPr="0001341D" w:rsidRDefault="00887315" w:rsidP="0001341D">
      <w:pPr>
        <w:pStyle w:val="ListParagraph"/>
        <w:widowControl w:val="0"/>
        <w:tabs>
          <w:tab w:val="left" w:pos="567"/>
          <w:tab w:val="left" w:pos="7740"/>
        </w:tabs>
        <w:autoSpaceDE w:val="0"/>
        <w:autoSpaceDN w:val="0"/>
        <w:adjustRightInd w:val="0"/>
        <w:spacing w:after="0"/>
        <w:ind w:left="0" w:right="22"/>
        <w:contextualSpacing w:val="0"/>
        <w:rPr>
          <w:lang w:val="es-CR"/>
        </w:rPr>
      </w:pPr>
    </w:p>
    <w:p w14:paraId="4864C736" w14:textId="70658552" w:rsidR="00C04CCF" w:rsidRPr="00E679E8" w:rsidRDefault="00887315" w:rsidP="00E679E8">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lang w:val="es-CR"/>
        </w:rPr>
      </w:pPr>
      <w:r>
        <w:t xml:space="preserve">Los escritos de </w:t>
      </w:r>
      <w:r w:rsidR="006C74E8">
        <w:t>4</w:t>
      </w:r>
      <w:r>
        <w:t xml:space="preserve"> de </w:t>
      </w:r>
      <w:r w:rsidR="006C74E8">
        <w:t>abril de 2018</w:t>
      </w:r>
      <w:r>
        <w:t xml:space="preserve">, mediante los cuales </w:t>
      </w:r>
      <w:r w:rsidR="006C74E8">
        <w:t>la Comisió</w:t>
      </w:r>
      <w:r w:rsidR="00DB0F35">
        <w:t xml:space="preserve">n, </w:t>
      </w:r>
      <w:r w:rsidR="006C74E8">
        <w:t>las representantes</w:t>
      </w:r>
      <w:r w:rsidR="00DB0F35">
        <w:t xml:space="preserve"> y e</w:t>
      </w:r>
      <w:r w:rsidR="00506510">
        <w:t xml:space="preserve">l Estado </w:t>
      </w:r>
      <w:r>
        <w:t xml:space="preserve">presentaron sus </w:t>
      </w:r>
      <w:r w:rsidR="006C74E8">
        <w:t xml:space="preserve">respectivas </w:t>
      </w:r>
      <w:r>
        <w:t xml:space="preserve">observaciones a </w:t>
      </w:r>
      <w:r w:rsidR="006C74E8">
        <w:t xml:space="preserve">dichas </w:t>
      </w:r>
      <w:r>
        <w:t>solicitud</w:t>
      </w:r>
      <w:r w:rsidR="006C74E8">
        <w:t>es de reconsideración</w:t>
      </w:r>
      <w:bookmarkEnd w:id="4"/>
      <w:bookmarkEnd w:id="5"/>
      <w:r w:rsidR="00D967B5" w:rsidRPr="00E679E8">
        <w:rPr>
          <w:szCs w:val="20"/>
          <w:lang w:val="es-CR"/>
        </w:rPr>
        <w:t xml:space="preserve">. </w:t>
      </w:r>
    </w:p>
    <w:p w14:paraId="4864C739" w14:textId="77777777" w:rsidR="00AE2198" w:rsidRPr="00AE2198" w:rsidRDefault="00AE2198" w:rsidP="00AE2198">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lang w:val="es-CR"/>
        </w:rPr>
      </w:pPr>
    </w:p>
    <w:p w14:paraId="4864C73A" w14:textId="77777777" w:rsidR="00AE2198" w:rsidRPr="00AE2198" w:rsidRDefault="00AE2198" w:rsidP="00AE2198">
      <w:pPr>
        <w:tabs>
          <w:tab w:val="left" w:pos="567"/>
        </w:tabs>
        <w:spacing w:after="0" w:line="240" w:lineRule="auto"/>
        <w:rPr>
          <w:rFonts w:ascii="Verdana" w:eastAsia="Calibri" w:hAnsi="Verdana" w:cs="Calibri"/>
          <w:b/>
          <w:sz w:val="20"/>
          <w:szCs w:val="20"/>
          <w:lang w:val="es-CR"/>
        </w:rPr>
      </w:pPr>
      <w:r w:rsidRPr="00AE2198">
        <w:rPr>
          <w:rFonts w:ascii="Verdana" w:eastAsia="Calibri" w:hAnsi="Verdana" w:cs="Calibri"/>
          <w:b/>
          <w:sz w:val="20"/>
          <w:szCs w:val="20"/>
          <w:lang w:val="es-CR"/>
        </w:rPr>
        <w:t>CONSIDERANDO QUE:</w:t>
      </w:r>
    </w:p>
    <w:p w14:paraId="4864C73B" w14:textId="77777777" w:rsidR="00AE2198" w:rsidRPr="00AE2198" w:rsidRDefault="00AE2198" w:rsidP="00AE2198">
      <w:pPr>
        <w:tabs>
          <w:tab w:val="left" w:pos="567"/>
          <w:tab w:val="left" w:pos="720"/>
          <w:tab w:val="left" w:pos="810"/>
        </w:tabs>
        <w:spacing w:after="0" w:line="240" w:lineRule="auto"/>
        <w:jc w:val="both"/>
        <w:rPr>
          <w:rFonts w:ascii="Verdana" w:eastAsia="Calibri" w:hAnsi="Verdana" w:cs="Calibri"/>
          <w:sz w:val="20"/>
          <w:szCs w:val="20"/>
          <w:lang w:val="es-CR"/>
        </w:rPr>
      </w:pPr>
    </w:p>
    <w:p w14:paraId="525AEBFC" w14:textId="55090C08" w:rsidR="00577687" w:rsidRDefault="00577687" w:rsidP="00EF6EED">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577687">
        <w:rPr>
          <w:rFonts w:ascii="Verdana" w:eastAsia="Calibri" w:hAnsi="Verdana" w:cs="Verdana"/>
          <w:sz w:val="20"/>
          <w:szCs w:val="20"/>
          <w:lang w:val="es-CR"/>
        </w:rPr>
        <w:t>Las decisiones del Presidente, que no sean de mero trámite, son recurribles ante la Corte Interamericana de Derechos Humanos</w:t>
      </w:r>
      <w:r w:rsidR="00506510">
        <w:rPr>
          <w:rFonts w:ascii="Verdana" w:eastAsia="Calibri" w:hAnsi="Verdana" w:cs="Verdana"/>
          <w:sz w:val="20"/>
          <w:szCs w:val="20"/>
          <w:lang w:val="es-CR"/>
        </w:rPr>
        <w:t>,</w:t>
      </w:r>
      <w:r w:rsidRPr="00577687">
        <w:rPr>
          <w:rFonts w:ascii="Verdana" w:eastAsia="Calibri" w:hAnsi="Verdana" w:cs="Verdana"/>
          <w:sz w:val="20"/>
          <w:szCs w:val="20"/>
          <w:lang w:val="es-CR"/>
        </w:rPr>
        <w:t xml:space="preserve"> en los términos del artículo 31.2 del Reglamento de este Tribunal (en adelante “el Reglamento”).</w:t>
      </w:r>
    </w:p>
    <w:p w14:paraId="686C6DDC" w14:textId="051BF858" w:rsidR="00577687" w:rsidRDefault="00577687" w:rsidP="0001341D">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r w:rsidRPr="00577687">
        <w:rPr>
          <w:rFonts w:ascii="Verdana" w:eastAsia="Calibri" w:hAnsi="Verdana" w:cs="Verdana"/>
          <w:sz w:val="20"/>
          <w:szCs w:val="20"/>
          <w:lang w:val="es-CR"/>
        </w:rPr>
        <w:t xml:space="preserve"> </w:t>
      </w:r>
    </w:p>
    <w:p w14:paraId="4864C73C" w14:textId="571F787B" w:rsidR="00AE2198" w:rsidRDefault="00AE2198" w:rsidP="00EF6EED">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AE2198">
        <w:rPr>
          <w:rFonts w:ascii="Verdana" w:eastAsia="Calibri" w:hAnsi="Verdana" w:cs="Verdana"/>
          <w:sz w:val="20"/>
          <w:szCs w:val="20"/>
          <w:lang w:val="es-CR"/>
        </w:rPr>
        <w:t>El ofrecimiento y la admisión de la prueba, así como la citación de presuntas víctimas, testigos y peritos se encuentran regulados en los artículos 35.1.f, 40.2.c, 41.1.c, 46, 47, 48, 50, 52.3</w:t>
      </w:r>
      <w:r w:rsidR="00EF716E">
        <w:rPr>
          <w:rFonts w:ascii="Verdana" w:eastAsia="Calibri" w:hAnsi="Verdana" w:cs="Verdana"/>
          <w:sz w:val="20"/>
          <w:szCs w:val="20"/>
          <w:lang w:val="es-CR"/>
        </w:rPr>
        <w:t xml:space="preserve">, </w:t>
      </w:r>
      <w:r w:rsidRPr="00AE2198">
        <w:rPr>
          <w:rFonts w:ascii="Verdana" w:eastAsia="Calibri" w:hAnsi="Verdana" w:cs="Verdana"/>
          <w:sz w:val="20"/>
          <w:szCs w:val="20"/>
          <w:lang w:val="es-CR"/>
        </w:rPr>
        <w:t xml:space="preserve">57 </w:t>
      </w:r>
      <w:r w:rsidR="00EF716E">
        <w:rPr>
          <w:rFonts w:ascii="Verdana" w:eastAsia="Calibri" w:hAnsi="Verdana" w:cs="Verdana"/>
          <w:sz w:val="20"/>
          <w:szCs w:val="20"/>
          <w:lang w:val="es-CR"/>
        </w:rPr>
        <w:t xml:space="preserve">y 58 </w:t>
      </w:r>
      <w:r w:rsidRPr="00AE2198">
        <w:rPr>
          <w:rFonts w:ascii="Verdana" w:eastAsia="Calibri" w:hAnsi="Verdana" w:cs="Verdana"/>
          <w:sz w:val="20"/>
          <w:szCs w:val="20"/>
          <w:lang w:val="es-CR"/>
        </w:rPr>
        <w:t>del Reglamento.</w:t>
      </w:r>
    </w:p>
    <w:p w14:paraId="5FC62895" w14:textId="77777777" w:rsidR="00577687" w:rsidRDefault="00577687" w:rsidP="0001341D">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p>
    <w:p w14:paraId="2E54976C" w14:textId="6D5DDDE6" w:rsidR="00744E64" w:rsidRPr="0001341D" w:rsidRDefault="00744E64" w:rsidP="005978D3">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01341D">
        <w:rPr>
          <w:rFonts w:ascii="Verdana" w:hAnsi="Verdana"/>
          <w:sz w:val="20"/>
          <w:szCs w:val="20"/>
        </w:rPr>
        <w:t xml:space="preserve">El Tribunal tiene amplias facultades en cuanto a la admisión y a la modalidad de recepción de la prueba, de conformidad con los artículos 46, 49 </w:t>
      </w:r>
      <w:r w:rsidR="000F20A1" w:rsidRPr="000F20A1">
        <w:rPr>
          <w:rFonts w:ascii="Verdana" w:hAnsi="Verdana"/>
          <w:sz w:val="20"/>
          <w:szCs w:val="20"/>
        </w:rPr>
        <w:t>y 50 del Reglamento</w:t>
      </w:r>
      <w:r w:rsidRPr="0001341D">
        <w:rPr>
          <w:rFonts w:ascii="Verdana" w:hAnsi="Verdana"/>
          <w:sz w:val="20"/>
          <w:szCs w:val="20"/>
        </w:rPr>
        <w:t>.</w:t>
      </w:r>
    </w:p>
    <w:p w14:paraId="281DD4F5" w14:textId="77777777" w:rsidR="001A6306" w:rsidRPr="0001341D" w:rsidRDefault="001A6306" w:rsidP="0001341D">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lang w:val="es-CL"/>
        </w:rPr>
      </w:pPr>
    </w:p>
    <w:p w14:paraId="7E41DCE0" w14:textId="64E841D0" w:rsidR="00744E64" w:rsidRPr="00E9345E" w:rsidRDefault="008274C5" w:rsidP="0001341D">
      <w:pPr>
        <w:pStyle w:val="ListParagraph"/>
        <w:numPr>
          <w:ilvl w:val="0"/>
          <w:numId w:val="53"/>
        </w:numPr>
        <w:rPr>
          <w:rFonts w:cs="Verdana"/>
          <w:szCs w:val="20"/>
        </w:rPr>
      </w:pPr>
      <w:proofErr w:type="spellStart"/>
      <w:r>
        <w:rPr>
          <w:rFonts w:cs="Verdana"/>
          <w:b/>
          <w:i/>
          <w:szCs w:val="20"/>
        </w:rPr>
        <w:t>Repecto</w:t>
      </w:r>
      <w:proofErr w:type="spellEnd"/>
      <w:r>
        <w:rPr>
          <w:rFonts w:cs="Verdana"/>
          <w:b/>
          <w:i/>
          <w:szCs w:val="20"/>
        </w:rPr>
        <w:t xml:space="preserve"> de la</w:t>
      </w:r>
      <w:r w:rsidR="001A6306">
        <w:rPr>
          <w:rFonts w:cs="Verdana"/>
          <w:b/>
          <w:i/>
          <w:szCs w:val="20"/>
        </w:rPr>
        <w:t xml:space="preserve"> declaración de Luz Estela Castro Rodríguez.</w:t>
      </w:r>
    </w:p>
    <w:p w14:paraId="4641D8AB" w14:textId="77777777" w:rsidR="00E9345E" w:rsidRDefault="00E9345E" w:rsidP="00E9345E">
      <w:pPr>
        <w:pStyle w:val="ListParagraph"/>
        <w:ind w:left="1080"/>
        <w:rPr>
          <w:rFonts w:cs="Verdana"/>
          <w:szCs w:val="20"/>
        </w:rPr>
      </w:pPr>
    </w:p>
    <w:p w14:paraId="0A9E7D4B" w14:textId="01B88BF0" w:rsidR="001A6306" w:rsidRPr="0001341D" w:rsidRDefault="00DF4C3E" w:rsidP="0001341D">
      <w:pPr>
        <w:widowControl w:val="0"/>
        <w:numPr>
          <w:ilvl w:val="0"/>
          <w:numId w:val="2"/>
        </w:numPr>
        <w:tabs>
          <w:tab w:val="left" w:pos="0"/>
          <w:tab w:val="left" w:pos="567"/>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1A3B85">
        <w:rPr>
          <w:rFonts w:ascii="Verdana" w:eastAsia="Calibri" w:hAnsi="Verdana" w:cs="Verdana"/>
          <w:sz w:val="20"/>
          <w:szCs w:val="20"/>
        </w:rPr>
        <w:t xml:space="preserve">Las </w:t>
      </w:r>
      <w:r w:rsidRPr="0001341D">
        <w:rPr>
          <w:rFonts w:ascii="Verdana" w:eastAsia="Calibri" w:hAnsi="Verdana" w:cs="Verdana"/>
          <w:b/>
          <w:i/>
          <w:sz w:val="20"/>
          <w:szCs w:val="20"/>
        </w:rPr>
        <w:t>representantes</w:t>
      </w:r>
      <w:r w:rsidRPr="001A3B85">
        <w:rPr>
          <w:rFonts w:ascii="Verdana" w:eastAsia="Calibri" w:hAnsi="Verdana" w:cs="Verdana"/>
          <w:sz w:val="20"/>
          <w:szCs w:val="20"/>
        </w:rPr>
        <w:t xml:space="preserve"> solicitaron la reconsideración parcial de la Resolución del Presidente</w:t>
      </w:r>
      <w:r w:rsidR="001A3B85" w:rsidRPr="001A3B85">
        <w:rPr>
          <w:rFonts w:ascii="Verdana" w:eastAsia="Calibri" w:hAnsi="Verdana" w:cs="Verdana"/>
          <w:sz w:val="20"/>
          <w:szCs w:val="20"/>
        </w:rPr>
        <w:t xml:space="preserve"> con respecto al </w:t>
      </w:r>
      <w:proofErr w:type="spellStart"/>
      <w:r w:rsidR="001A3B85" w:rsidRPr="001A3B85">
        <w:rPr>
          <w:rFonts w:ascii="Verdana" w:eastAsia="Calibri" w:hAnsi="Verdana" w:cs="Verdana"/>
          <w:sz w:val="20"/>
          <w:szCs w:val="20"/>
        </w:rPr>
        <w:t>desechamiento</w:t>
      </w:r>
      <w:proofErr w:type="spellEnd"/>
      <w:r w:rsidR="001A3B85" w:rsidRPr="001A3B85">
        <w:rPr>
          <w:rFonts w:ascii="Verdana" w:eastAsia="Calibri" w:hAnsi="Verdana" w:cs="Verdana"/>
          <w:sz w:val="20"/>
          <w:szCs w:val="20"/>
        </w:rPr>
        <w:t xml:space="preserve"> de la testimonial de Luz Estela Castro Rodríguez alegando que </w:t>
      </w:r>
      <w:r w:rsidR="00AA497D">
        <w:rPr>
          <w:rFonts w:ascii="Verdana" w:eastAsia="Calibri" w:hAnsi="Verdana" w:cs="Verdana"/>
          <w:sz w:val="20"/>
          <w:szCs w:val="20"/>
        </w:rPr>
        <w:t>“</w:t>
      </w:r>
      <w:r w:rsidR="001A3B85" w:rsidRPr="0001341D">
        <w:rPr>
          <w:rFonts w:ascii="Verdana" w:hAnsi="Verdana" w:cs="Arial"/>
          <w:color w:val="222222"/>
          <w:sz w:val="20"/>
          <w:szCs w:val="20"/>
          <w:shd w:val="clear" w:color="auto" w:fill="FFFFFF"/>
        </w:rPr>
        <w:t xml:space="preserve">[su] </w:t>
      </w:r>
      <w:r w:rsidR="001A3B85" w:rsidRPr="001A3B85">
        <w:rPr>
          <w:rFonts w:ascii="Verdana" w:eastAsia="Calibri" w:hAnsi="Verdana" w:cs="Verdana"/>
          <w:sz w:val="20"/>
          <w:szCs w:val="20"/>
        </w:rPr>
        <w:t xml:space="preserve">declaración es trascendental </w:t>
      </w:r>
      <w:r w:rsidR="001A3B85" w:rsidRPr="0001341D">
        <w:rPr>
          <w:rFonts w:ascii="Verdana" w:hAnsi="Verdana" w:cs="Arial"/>
          <w:color w:val="222222"/>
          <w:sz w:val="20"/>
          <w:szCs w:val="20"/>
          <w:shd w:val="clear" w:color="auto" w:fill="FFFFFF"/>
        </w:rPr>
        <w:t xml:space="preserve">[para] </w:t>
      </w:r>
      <w:r w:rsidR="001A3B85" w:rsidRPr="001A3B85">
        <w:rPr>
          <w:rFonts w:ascii="Verdana" w:eastAsia="Calibri" w:hAnsi="Verdana" w:cs="Verdana"/>
          <w:sz w:val="20"/>
          <w:szCs w:val="20"/>
        </w:rPr>
        <w:t xml:space="preserve">dar cuenta de hechos vinculados al proceso de búsqueda de los tres familiares Alvarado </w:t>
      </w:r>
      <w:r w:rsidR="001A3B85" w:rsidRPr="0001341D">
        <w:rPr>
          <w:rFonts w:ascii="Verdana" w:hAnsi="Verdana" w:cs="Arial"/>
          <w:color w:val="222222"/>
          <w:sz w:val="20"/>
          <w:szCs w:val="20"/>
          <w:shd w:val="clear" w:color="auto" w:fill="FFFFFF"/>
        </w:rPr>
        <w:t xml:space="preserve">[sic] </w:t>
      </w:r>
      <w:r w:rsidR="001A3B85" w:rsidRPr="001A3B85">
        <w:rPr>
          <w:rFonts w:ascii="Verdana" w:eastAsia="Calibri" w:hAnsi="Verdana" w:cs="Verdana"/>
          <w:sz w:val="20"/>
          <w:szCs w:val="20"/>
        </w:rPr>
        <w:t xml:space="preserve">en los cuales resulta indubitable el involucramiento del ejército mexicano </w:t>
      </w:r>
      <w:r w:rsidR="001A3B85" w:rsidRPr="0001341D">
        <w:rPr>
          <w:rFonts w:ascii="Verdana" w:hAnsi="Verdana" w:cs="Arial"/>
          <w:color w:val="222222"/>
          <w:sz w:val="20"/>
          <w:szCs w:val="20"/>
          <w:shd w:val="clear" w:color="auto" w:fill="FFFFFF"/>
        </w:rPr>
        <w:t>[…]</w:t>
      </w:r>
      <w:r w:rsidR="008274C5">
        <w:rPr>
          <w:rFonts w:ascii="Verdana" w:eastAsia="Calibri" w:hAnsi="Verdana" w:cs="Verdana"/>
          <w:sz w:val="20"/>
          <w:szCs w:val="20"/>
        </w:rPr>
        <w:t xml:space="preserve"> </w:t>
      </w:r>
      <w:r w:rsidR="001A3B85" w:rsidRPr="001A3B85">
        <w:rPr>
          <w:rFonts w:ascii="Verdana" w:eastAsia="Calibri" w:hAnsi="Verdana" w:cs="Verdana"/>
          <w:sz w:val="20"/>
          <w:szCs w:val="20"/>
        </w:rPr>
        <w:t xml:space="preserve">En tal sentido, </w:t>
      </w:r>
      <w:proofErr w:type="spellStart"/>
      <w:r w:rsidR="001A3B85" w:rsidRPr="001A3B85">
        <w:rPr>
          <w:rFonts w:ascii="Verdana" w:eastAsia="Calibri" w:hAnsi="Verdana" w:cs="Verdana"/>
          <w:sz w:val="20"/>
          <w:szCs w:val="20"/>
        </w:rPr>
        <w:t>disenti</w:t>
      </w:r>
      <w:r w:rsidR="008274C5">
        <w:rPr>
          <w:rFonts w:ascii="Verdana" w:eastAsia="Calibri" w:hAnsi="Verdana" w:cs="Verdana"/>
          <w:sz w:val="20"/>
          <w:szCs w:val="20"/>
        </w:rPr>
        <w:t>eron</w:t>
      </w:r>
      <w:proofErr w:type="spellEnd"/>
      <w:r w:rsidR="001A3B85" w:rsidRPr="001A3B85">
        <w:rPr>
          <w:rFonts w:ascii="Verdana" w:eastAsia="Calibri" w:hAnsi="Verdana" w:cs="Verdana"/>
          <w:sz w:val="20"/>
          <w:szCs w:val="20"/>
        </w:rPr>
        <w:t xml:space="preserve"> de la subjetividad alegada por el Estado en tanto los hechos presenciados por la declarante propuesta son objetivos, fueron presenciados por otras personas declarantes y, por tanto, no están sujetas a interpretación</w:t>
      </w:r>
      <w:r w:rsidR="00AA497D">
        <w:rPr>
          <w:rFonts w:ascii="Verdana" w:eastAsia="Calibri" w:hAnsi="Verdana" w:cs="Verdana"/>
          <w:sz w:val="20"/>
          <w:szCs w:val="20"/>
        </w:rPr>
        <w:t>”</w:t>
      </w:r>
      <w:r w:rsidR="001A3B85" w:rsidRPr="001A3B85">
        <w:rPr>
          <w:rFonts w:ascii="Verdana" w:eastAsia="Calibri" w:hAnsi="Verdana" w:cs="Verdana"/>
          <w:sz w:val="20"/>
          <w:szCs w:val="20"/>
        </w:rPr>
        <w:t>.</w:t>
      </w:r>
    </w:p>
    <w:p w14:paraId="517FFE86" w14:textId="7D396A94" w:rsidR="001A3B85" w:rsidRPr="0001341D" w:rsidRDefault="00DF4C3E" w:rsidP="0001341D">
      <w:pPr>
        <w:widowControl w:val="0"/>
        <w:tabs>
          <w:tab w:val="left" w:pos="0"/>
          <w:tab w:val="left" w:pos="567"/>
        </w:tabs>
        <w:autoSpaceDE w:val="0"/>
        <w:autoSpaceDN w:val="0"/>
        <w:adjustRightInd w:val="0"/>
        <w:spacing w:after="0" w:line="240" w:lineRule="auto"/>
        <w:ind w:right="22"/>
        <w:jc w:val="both"/>
        <w:rPr>
          <w:rFonts w:ascii="Verdana" w:eastAsia="Times New Roman" w:hAnsi="Verdana" w:cs="Verdana"/>
          <w:sz w:val="20"/>
          <w:szCs w:val="20"/>
          <w:lang w:val="es-CL"/>
        </w:rPr>
      </w:pPr>
      <w:r w:rsidRPr="001A3B85">
        <w:rPr>
          <w:rFonts w:ascii="Verdana" w:eastAsia="Calibri" w:hAnsi="Verdana" w:cs="Verdana"/>
          <w:sz w:val="20"/>
          <w:szCs w:val="20"/>
        </w:rPr>
        <w:t xml:space="preserve"> </w:t>
      </w:r>
    </w:p>
    <w:p w14:paraId="5866D8DD" w14:textId="6721E632" w:rsidR="001A3B85" w:rsidRPr="0001341D" w:rsidRDefault="001A6306" w:rsidP="0001341D">
      <w:pPr>
        <w:widowControl w:val="0"/>
        <w:numPr>
          <w:ilvl w:val="0"/>
          <w:numId w:val="2"/>
        </w:numPr>
        <w:tabs>
          <w:tab w:val="left" w:pos="0"/>
          <w:tab w:val="left" w:pos="567"/>
        </w:tabs>
        <w:autoSpaceDE w:val="0"/>
        <w:autoSpaceDN w:val="0"/>
        <w:adjustRightInd w:val="0"/>
        <w:spacing w:after="0" w:line="240" w:lineRule="auto"/>
        <w:ind w:left="0" w:right="22" w:firstLine="0"/>
        <w:jc w:val="both"/>
        <w:rPr>
          <w:rFonts w:cs="Verdana"/>
          <w:szCs w:val="20"/>
        </w:rPr>
      </w:pPr>
      <w:r>
        <w:rPr>
          <w:rFonts w:ascii="Verdana" w:eastAsia="Calibri" w:hAnsi="Verdana" w:cs="Verdana"/>
          <w:sz w:val="20"/>
          <w:szCs w:val="20"/>
        </w:rPr>
        <w:t xml:space="preserve">La </w:t>
      </w:r>
      <w:r w:rsidRPr="0001341D">
        <w:rPr>
          <w:rFonts w:ascii="Verdana" w:eastAsia="Calibri" w:hAnsi="Verdana" w:cs="Verdana"/>
          <w:b/>
          <w:i/>
          <w:sz w:val="20"/>
          <w:szCs w:val="20"/>
        </w:rPr>
        <w:t>Comisión</w:t>
      </w:r>
      <w:r>
        <w:rPr>
          <w:rFonts w:ascii="Verdana" w:eastAsia="Calibri" w:hAnsi="Verdana" w:cs="Verdana"/>
          <w:sz w:val="20"/>
          <w:szCs w:val="20"/>
        </w:rPr>
        <w:t xml:space="preserve"> señaló en sus observaciones que </w:t>
      </w:r>
      <w:r w:rsidR="00AA497D">
        <w:rPr>
          <w:rFonts w:ascii="Verdana" w:eastAsia="Calibri" w:hAnsi="Verdana" w:cs="Verdana"/>
          <w:sz w:val="20"/>
          <w:szCs w:val="20"/>
        </w:rPr>
        <w:t>“</w:t>
      </w:r>
      <w:r w:rsidR="00EB0269" w:rsidRPr="004220F5">
        <w:rPr>
          <w:rFonts w:ascii="Verdana" w:hAnsi="Verdana" w:cs="Arial"/>
          <w:color w:val="222222"/>
          <w:sz w:val="20"/>
          <w:szCs w:val="20"/>
          <w:shd w:val="clear" w:color="auto" w:fill="FFFFFF"/>
        </w:rPr>
        <w:t>[…]</w:t>
      </w:r>
      <w:r w:rsidR="00AA497D">
        <w:rPr>
          <w:rFonts w:ascii="Verdana" w:hAnsi="Verdana" w:cs="Arial"/>
          <w:color w:val="222222"/>
          <w:sz w:val="20"/>
          <w:szCs w:val="20"/>
          <w:shd w:val="clear" w:color="auto" w:fill="FFFFFF"/>
        </w:rPr>
        <w:t xml:space="preserve"> Luz Estela Castro Rodríguez </w:t>
      </w:r>
      <w:r w:rsidR="00322108">
        <w:rPr>
          <w:rFonts w:ascii="Verdana" w:hAnsi="Verdana" w:cs="Arial"/>
          <w:color w:val="222222"/>
          <w:sz w:val="20"/>
          <w:szCs w:val="20"/>
          <w:shd w:val="clear" w:color="auto" w:fill="FFFFFF"/>
        </w:rPr>
        <w:t xml:space="preserve">fue propuesta como testigo, por lo que no resultan aplicables las causales de recusación de peritos previstas en el artículo 48 del Reglamento”. </w:t>
      </w:r>
      <w:proofErr w:type="spellStart"/>
      <w:r w:rsidR="00322108">
        <w:rPr>
          <w:rFonts w:ascii="Verdana" w:hAnsi="Verdana" w:cs="Arial"/>
          <w:color w:val="222222"/>
          <w:sz w:val="20"/>
          <w:szCs w:val="20"/>
          <w:shd w:val="clear" w:color="auto" w:fill="FFFFFF"/>
        </w:rPr>
        <w:t>As</w:t>
      </w:r>
      <w:r w:rsidR="00CA1CBD">
        <w:rPr>
          <w:rFonts w:ascii="Verdana" w:hAnsi="Verdana" w:cs="Arial"/>
          <w:color w:val="222222"/>
          <w:sz w:val="20"/>
          <w:szCs w:val="20"/>
          <w:shd w:val="clear" w:color="auto" w:fill="FFFFFF"/>
        </w:rPr>
        <w:t>ímismo</w:t>
      </w:r>
      <w:proofErr w:type="spellEnd"/>
      <w:r w:rsidR="00CA1CBD">
        <w:rPr>
          <w:rFonts w:ascii="Verdana" w:hAnsi="Verdana" w:cs="Arial"/>
          <w:color w:val="222222"/>
          <w:sz w:val="20"/>
          <w:szCs w:val="20"/>
          <w:shd w:val="clear" w:color="auto" w:fill="FFFFFF"/>
        </w:rPr>
        <w:t xml:space="preserve">, expresó que “en la práctica </w:t>
      </w:r>
      <w:r w:rsidR="00A161A4" w:rsidRPr="004220F5">
        <w:rPr>
          <w:rFonts w:ascii="Verdana" w:hAnsi="Verdana" w:cs="Arial"/>
          <w:color w:val="222222"/>
          <w:sz w:val="20"/>
          <w:szCs w:val="20"/>
          <w:shd w:val="clear" w:color="auto" w:fill="FFFFFF"/>
        </w:rPr>
        <w:t>[…]</w:t>
      </w:r>
      <w:r w:rsidR="00A161A4">
        <w:rPr>
          <w:rFonts w:ascii="Verdana" w:hAnsi="Verdana" w:cs="Arial"/>
          <w:color w:val="222222"/>
          <w:sz w:val="20"/>
          <w:szCs w:val="20"/>
          <w:shd w:val="clear" w:color="auto" w:fill="FFFFFF"/>
        </w:rPr>
        <w:t xml:space="preserve"> personas que actúan como peticionarios en el tr</w:t>
      </w:r>
      <w:r w:rsidR="00E8645F">
        <w:rPr>
          <w:rFonts w:ascii="Verdana" w:hAnsi="Verdana" w:cs="Arial"/>
          <w:color w:val="222222"/>
          <w:sz w:val="20"/>
          <w:szCs w:val="20"/>
          <w:shd w:val="clear" w:color="auto" w:fill="FFFFFF"/>
        </w:rPr>
        <w:t>á</w:t>
      </w:r>
      <w:r w:rsidR="00A161A4">
        <w:rPr>
          <w:rFonts w:ascii="Verdana" w:hAnsi="Verdana" w:cs="Arial"/>
          <w:color w:val="222222"/>
          <w:sz w:val="20"/>
          <w:szCs w:val="20"/>
          <w:shd w:val="clear" w:color="auto" w:fill="FFFFFF"/>
        </w:rPr>
        <w:t>mite de un caso les consten hechos del caso que representan y que sean testigos de los</w:t>
      </w:r>
      <w:r w:rsidR="00047D87">
        <w:rPr>
          <w:rFonts w:ascii="Verdana" w:hAnsi="Verdana" w:cs="Arial"/>
          <w:color w:val="222222"/>
          <w:sz w:val="20"/>
          <w:szCs w:val="20"/>
          <w:shd w:val="clear" w:color="auto" w:fill="FFFFFF"/>
        </w:rPr>
        <w:t xml:space="preserve"> hechos. Por lo anterior, estimó</w:t>
      </w:r>
      <w:r w:rsidR="00A161A4">
        <w:rPr>
          <w:rFonts w:ascii="Verdana" w:hAnsi="Verdana" w:cs="Arial"/>
          <w:color w:val="222222"/>
          <w:sz w:val="20"/>
          <w:szCs w:val="20"/>
          <w:shd w:val="clear" w:color="auto" w:fill="FFFFFF"/>
        </w:rPr>
        <w:t xml:space="preserve"> que la calidad de testigo ante la Corte no resulta necesariamente incompatible con la de peticionario de un caso, en la medida en la que al testigo no le es exigible el deber de imparcialidad pro</w:t>
      </w:r>
      <w:r w:rsidR="00E9345E">
        <w:rPr>
          <w:rFonts w:ascii="Verdana" w:hAnsi="Verdana" w:cs="Arial"/>
          <w:color w:val="222222"/>
          <w:sz w:val="20"/>
          <w:szCs w:val="20"/>
          <w:shd w:val="clear" w:color="auto" w:fill="FFFFFF"/>
        </w:rPr>
        <w:t>p</w:t>
      </w:r>
      <w:r w:rsidR="00A161A4">
        <w:rPr>
          <w:rFonts w:ascii="Verdana" w:hAnsi="Verdana" w:cs="Arial"/>
          <w:color w:val="222222"/>
          <w:sz w:val="20"/>
          <w:szCs w:val="20"/>
          <w:shd w:val="clear" w:color="auto" w:fill="FFFFFF"/>
        </w:rPr>
        <w:t>io de los peritos, sino se refiere a los hechos y circunstan</w:t>
      </w:r>
      <w:r w:rsidR="0098305D">
        <w:rPr>
          <w:rFonts w:ascii="Verdana" w:hAnsi="Verdana" w:cs="Arial"/>
          <w:color w:val="222222"/>
          <w:sz w:val="20"/>
          <w:szCs w:val="20"/>
          <w:shd w:val="clear" w:color="auto" w:fill="FFFFFF"/>
        </w:rPr>
        <w:t>cias que le consten en relació</w:t>
      </w:r>
      <w:r w:rsidR="00A161A4">
        <w:rPr>
          <w:rFonts w:ascii="Verdana" w:hAnsi="Verdana" w:cs="Arial"/>
          <w:color w:val="222222"/>
          <w:sz w:val="20"/>
          <w:szCs w:val="20"/>
          <w:shd w:val="clear" w:color="auto" w:fill="FFFFFF"/>
        </w:rPr>
        <w:t>n co</w:t>
      </w:r>
      <w:r w:rsidR="00506510">
        <w:rPr>
          <w:rFonts w:ascii="Verdana" w:hAnsi="Verdana" w:cs="Arial"/>
          <w:color w:val="222222"/>
          <w:sz w:val="20"/>
          <w:szCs w:val="20"/>
          <w:shd w:val="clear" w:color="auto" w:fill="FFFFFF"/>
        </w:rPr>
        <w:t>n el objeto de su declaración”</w:t>
      </w:r>
      <w:r w:rsidR="00A161A4">
        <w:rPr>
          <w:rFonts w:ascii="Verdana" w:hAnsi="Verdana" w:cs="Arial"/>
          <w:color w:val="222222"/>
          <w:sz w:val="20"/>
          <w:szCs w:val="20"/>
          <w:shd w:val="clear" w:color="auto" w:fill="FFFFFF"/>
        </w:rPr>
        <w:t>.</w:t>
      </w:r>
    </w:p>
    <w:p w14:paraId="2CE0402B" w14:textId="77777777" w:rsidR="00A161A4" w:rsidRDefault="00A161A4" w:rsidP="0001341D">
      <w:pPr>
        <w:widowControl w:val="0"/>
        <w:tabs>
          <w:tab w:val="left" w:pos="0"/>
          <w:tab w:val="left" w:pos="567"/>
        </w:tabs>
        <w:autoSpaceDE w:val="0"/>
        <w:autoSpaceDN w:val="0"/>
        <w:adjustRightInd w:val="0"/>
        <w:spacing w:after="0" w:line="240" w:lineRule="auto"/>
        <w:ind w:right="22"/>
        <w:jc w:val="both"/>
        <w:rPr>
          <w:rFonts w:cs="Verdana"/>
          <w:szCs w:val="20"/>
        </w:rPr>
      </w:pPr>
    </w:p>
    <w:p w14:paraId="7C9A8CE5" w14:textId="586F55C5" w:rsidR="001A3B85" w:rsidRPr="0001341D" w:rsidRDefault="00E8645F" w:rsidP="0001341D">
      <w:pPr>
        <w:widowControl w:val="0"/>
        <w:numPr>
          <w:ilvl w:val="0"/>
          <w:numId w:val="2"/>
        </w:numPr>
        <w:tabs>
          <w:tab w:val="left" w:pos="567"/>
          <w:tab w:val="left" w:pos="851"/>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Pr>
          <w:rFonts w:ascii="Verdana" w:eastAsia="Times New Roman" w:hAnsi="Verdana" w:cs="Verdana"/>
          <w:sz w:val="20"/>
          <w:szCs w:val="20"/>
          <w:lang w:val="es-CL"/>
        </w:rPr>
        <w:t>Po</w:t>
      </w:r>
      <w:r w:rsidR="00601561">
        <w:rPr>
          <w:rFonts w:ascii="Verdana" w:eastAsia="Times New Roman" w:hAnsi="Verdana" w:cs="Verdana"/>
          <w:sz w:val="20"/>
          <w:szCs w:val="20"/>
          <w:lang w:val="es-CL"/>
        </w:rPr>
        <w:t>r</w:t>
      </w:r>
      <w:r>
        <w:rPr>
          <w:rFonts w:ascii="Verdana" w:eastAsia="Times New Roman" w:hAnsi="Verdana" w:cs="Verdana"/>
          <w:sz w:val="20"/>
          <w:szCs w:val="20"/>
          <w:lang w:val="es-CL"/>
        </w:rPr>
        <w:t xml:space="preserve"> su parte, el </w:t>
      </w:r>
      <w:r>
        <w:rPr>
          <w:rFonts w:ascii="Verdana" w:eastAsia="Times New Roman" w:hAnsi="Verdana" w:cs="Verdana"/>
          <w:b/>
          <w:i/>
          <w:sz w:val="20"/>
          <w:szCs w:val="20"/>
          <w:lang w:val="es-CL"/>
        </w:rPr>
        <w:t xml:space="preserve">Estado </w:t>
      </w:r>
      <w:r>
        <w:rPr>
          <w:rFonts w:ascii="Verdana" w:eastAsia="Times New Roman" w:hAnsi="Verdana" w:cs="Verdana"/>
          <w:sz w:val="20"/>
          <w:szCs w:val="20"/>
          <w:lang w:val="es-CL"/>
        </w:rPr>
        <w:t xml:space="preserve">manifestó que </w:t>
      </w:r>
      <w:r w:rsidR="00601561">
        <w:rPr>
          <w:rFonts w:ascii="Verdana" w:eastAsia="Times New Roman" w:hAnsi="Verdana" w:cs="Verdana"/>
          <w:sz w:val="20"/>
          <w:szCs w:val="20"/>
          <w:lang w:val="es-CL"/>
        </w:rPr>
        <w:t xml:space="preserve">“el testimonio de </w:t>
      </w:r>
      <w:r w:rsidR="00601561" w:rsidRPr="004220F5">
        <w:rPr>
          <w:rFonts w:ascii="Verdana" w:hAnsi="Verdana" w:cs="Arial"/>
          <w:color w:val="222222"/>
          <w:sz w:val="20"/>
          <w:szCs w:val="20"/>
          <w:shd w:val="clear" w:color="auto" w:fill="FFFFFF"/>
        </w:rPr>
        <w:t>[</w:t>
      </w:r>
      <w:r w:rsidR="00601561">
        <w:rPr>
          <w:rFonts w:ascii="Verdana" w:eastAsia="Times New Roman" w:hAnsi="Verdana" w:cs="Verdana"/>
          <w:sz w:val="20"/>
          <w:szCs w:val="20"/>
          <w:lang w:val="es-CL"/>
        </w:rPr>
        <w:t>Luz Estela</w:t>
      </w:r>
      <w:r w:rsidR="00601561" w:rsidRPr="004220F5">
        <w:rPr>
          <w:rFonts w:ascii="Verdana" w:hAnsi="Verdana" w:cs="Arial"/>
          <w:color w:val="222222"/>
          <w:sz w:val="20"/>
          <w:szCs w:val="20"/>
          <w:shd w:val="clear" w:color="auto" w:fill="FFFFFF"/>
        </w:rPr>
        <w:t>]</w:t>
      </w:r>
      <w:r w:rsidR="00601561">
        <w:rPr>
          <w:rFonts w:ascii="Verdana" w:hAnsi="Verdana" w:cs="Arial"/>
          <w:color w:val="222222"/>
          <w:sz w:val="20"/>
          <w:szCs w:val="20"/>
          <w:shd w:val="clear" w:color="auto" w:fill="FFFFFF"/>
        </w:rPr>
        <w:t xml:space="preserve"> </w:t>
      </w:r>
      <w:r w:rsidR="00601561">
        <w:rPr>
          <w:rFonts w:ascii="Verdana" w:eastAsia="Times New Roman" w:hAnsi="Verdana" w:cs="Verdana"/>
          <w:sz w:val="20"/>
          <w:szCs w:val="20"/>
          <w:lang w:val="es-CL"/>
        </w:rPr>
        <w:t>Castro Rodríguez</w:t>
      </w:r>
      <w:r w:rsidR="0098305D">
        <w:rPr>
          <w:rFonts w:ascii="Verdana" w:eastAsia="Times New Roman" w:hAnsi="Verdana" w:cs="Verdana"/>
          <w:sz w:val="20"/>
          <w:szCs w:val="20"/>
          <w:lang w:val="es-CL"/>
        </w:rPr>
        <w:t xml:space="preserve"> carece de valor probatorio, toda vez que está sesgado por juicios de valor adquiridos durante su larga etapa como representante legal de las presuntas víctimas”. </w:t>
      </w:r>
      <w:r w:rsidR="00CD3A9B">
        <w:rPr>
          <w:rFonts w:ascii="Verdana" w:eastAsia="Times New Roman" w:hAnsi="Verdana" w:cs="Verdana"/>
          <w:sz w:val="20"/>
          <w:szCs w:val="20"/>
          <w:lang w:val="es-CL"/>
        </w:rPr>
        <w:t>En este sentido</w:t>
      </w:r>
      <w:r w:rsidR="0098305D">
        <w:rPr>
          <w:rFonts w:ascii="Verdana" w:eastAsia="Times New Roman" w:hAnsi="Verdana" w:cs="Verdana"/>
          <w:sz w:val="20"/>
          <w:szCs w:val="20"/>
          <w:lang w:val="es-CL"/>
        </w:rPr>
        <w:t xml:space="preserve">, solicitó </w:t>
      </w:r>
      <w:r w:rsidR="0098305D">
        <w:rPr>
          <w:rFonts w:ascii="Verdana" w:hAnsi="Verdana" w:cs="Arial"/>
          <w:color w:val="222222"/>
          <w:sz w:val="20"/>
          <w:szCs w:val="20"/>
          <w:shd w:val="clear" w:color="auto" w:fill="FFFFFF"/>
        </w:rPr>
        <w:t xml:space="preserve">a la Corte </w:t>
      </w:r>
      <w:r w:rsidR="0098305D">
        <w:rPr>
          <w:rFonts w:ascii="Verdana" w:eastAsia="Times New Roman" w:hAnsi="Verdana" w:cs="Verdana"/>
          <w:sz w:val="20"/>
          <w:szCs w:val="20"/>
          <w:lang w:val="es-CL"/>
        </w:rPr>
        <w:t>que</w:t>
      </w:r>
      <w:r w:rsidR="00601561">
        <w:rPr>
          <w:rFonts w:ascii="Verdana" w:eastAsia="Times New Roman" w:hAnsi="Verdana" w:cs="Verdana"/>
          <w:sz w:val="20"/>
          <w:szCs w:val="20"/>
          <w:lang w:val="es-CL"/>
        </w:rPr>
        <w:t xml:space="preserve"> </w:t>
      </w:r>
      <w:r w:rsidR="0098305D">
        <w:rPr>
          <w:rFonts w:ascii="Verdana" w:eastAsia="Times New Roman" w:hAnsi="Verdana" w:cs="Verdana"/>
          <w:sz w:val="20"/>
          <w:szCs w:val="20"/>
          <w:lang w:val="es-CL"/>
        </w:rPr>
        <w:t>“</w:t>
      </w:r>
      <w:proofErr w:type="spellStart"/>
      <w:r w:rsidR="0098305D">
        <w:rPr>
          <w:rFonts w:ascii="Verdana" w:eastAsia="Times New Roman" w:hAnsi="Verdana" w:cs="Verdana"/>
          <w:sz w:val="20"/>
          <w:szCs w:val="20"/>
          <w:lang w:val="es-CL"/>
        </w:rPr>
        <w:t>confirm</w:t>
      </w:r>
      <w:proofErr w:type="spellEnd"/>
      <w:r w:rsidR="0098305D" w:rsidRPr="00EC2A81">
        <w:rPr>
          <w:rFonts w:ascii="Verdana" w:hAnsi="Verdana" w:cs="Arial"/>
          <w:color w:val="222222"/>
          <w:sz w:val="20"/>
          <w:szCs w:val="20"/>
          <w:shd w:val="clear" w:color="auto" w:fill="FFFFFF"/>
        </w:rPr>
        <w:t>[</w:t>
      </w:r>
      <w:r w:rsidR="0098305D">
        <w:rPr>
          <w:rFonts w:ascii="Verdana" w:hAnsi="Verdana" w:cs="Arial"/>
          <w:color w:val="222222"/>
          <w:sz w:val="20"/>
          <w:szCs w:val="20"/>
          <w:shd w:val="clear" w:color="auto" w:fill="FFFFFF"/>
        </w:rPr>
        <w:t>e</w:t>
      </w:r>
      <w:r w:rsidR="0098305D" w:rsidRPr="00EC2A81">
        <w:rPr>
          <w:rFonts w:ascii="Verdana" w:hAnsi="Verdana" w:cs="Arial"/>
          <w:color w:val="222222"/>
          <w:sz w:val="20"/>
          <w:szCs w:val="20"/>
          <w:shd w:val="clear" w:color="auto" w:fill="FFFFFF"/>
        </w:rPr>
        <w:t>]</w:t>
      </w:r>
      <w:r w:rsidR="0098305D">
        <w:rPr>
          <w:rFonts w:ascii="Verdana" w:hAnsi="Verdana" w:cs="Arial"/>
          <w:color w:val="222222"/>
          <w:sz w:val="20"/>
          <w:szCs w:val="20"/>
          <w:shd w:val="clear" w:color="auto" w:fill="FFFFFF"/>
        </w:rPr>
        <w:t xml:space="preserve"> su decisión de desestimar [dicho</w:t>
      </w:r>
      <w:r w:rsidR="0098305D" w:rsidRPr="00EC2A81">
        <w:rPr>
          <w:rFonts w:ascii="Verdana" w:hAnsi="Verdana" w:cs="Arial"/>
          <w:color w:val="222222"/>
          <w:sz w:val="20"/>
          <w:szCs w:val="20"/>
          <w:shd w:val="clear" w:color="auto" w:fill="FFFFFF"/>
        </w:rPr>
        <w:t>]</w:t>
      </w:r>
      <w:r w:rsidR="0098305D">
        <w:rPr>
          <w:rFonts w:ascii="Verdana" w:hAnsi="Verdana" w:cs="Arial"/>
          <w:color w:val="222222"/>
          <w:sz w:val="20"/>
          <w:szCs w:val="20"/>
          <w:shd w:val="clear" w:color="auto" w:fill="FFFFFF"/>
        </w:rPr>
        <w:t xml:space="preserve"> testimonio </w:t>
      </w:r>
      <w:r w:rsidR="0098305D" w:rsidRPr="00EC2A81">
        <w:rPr>
          <w:rFonts w:ascii="Verdana" w:hAnsi="Verdana" w:cs="Arial"/>
          <w:color w:val="222222"/>
          <w:sz w:val="20"/>
          <w:szCs w:val="20"/>
          <w:shd w:val="clear" w:color="auto" w:fill="FFFFFF"/>
        </w:rPr>
        <w:t>[…]</w:t>
      </w:r>
      <w:r w:rsidR="0098305D">
        <w:rPr>
          <w:rFonts w:ascii="Verdana" w:hAnsi="Verdana" w:cs="Arial"/>
          <w:color w:val="222222"/>
          <w:sz w:val="20"/>
          <w:szCs w:val="20"/>
          <w:shd w:val="clear" w:color="auto" w:fill="FFFFFF"/>
        </w:rPr>
        <w:t xml:space="preserve"> en </w:t>
      </w:r>
      <w:r w:rsidR="00CD3A9B">
        <w:rPr>
          <w:rFonts w:ascii="Verdana" w:hAnsi="Verdana" w:cs="Arial"/>
          <w:color w:val="222222"/>
          <w:sz w:val="20"/>
          <w:szCs w:val="20"/>
          <w:shd w:val="clear" w:color="auto" w:fill="FFFFFF"/>
        </w:rPr>
        <w:t xml:space="preserve">virtud de la labor desempeñada </w:t>
      </w:r>
      <w:r w:rsidR="00D602CB">
        <w:rPr>
          <w:rFonts w:ascii="Verdana" w:hAnsi="Verdana" w:cs="Arial"/>
          <w:color w:val="222222"/>
          <w:sz w:val="20"/>
          <w:szCs w:val="20"/>
          <w:shd w:val="clear" w:color="auto" w:fill="FFFFFF"/>
        </w:rPr>
        <w:t>[por la declarante propuesta</w:t>
      </w:r>
      <w:r w:rsidR="00D602CB" w:rsidRPr="00EC2A81">
        <w:rPr>
          <w:rFonts w:ascii="Verdana" w:hAnsi="Verdana" w:cs="Arial"/>
          <w:color w:val="222222"/>
          <w:sz w:val="20"/>
          <w:szCs w:val="20"/>
          <w:shd w:val="clear" w:color="auto" w:fill="FFFFFF"/>
        </w:rPr>
        <w:t>]</w:t>
      </w:r>
      <w:r w:rsidR="00D602CB">
        <w:rPr>
          <w:rFonts w:ascii="Verdana" w:hAnsi="Verdana" w:cs="Arial"/>
          <w:color w:val="222222"/>
          <w:sz w:val="20"/>
          <w:szCs w:val="20"/>
          <w:shd w:val="clear" w:color="auto" w:fill="FFFFFF"/>
        </w:rPr>
        <w:t xml:space="preserve"> </w:t>
      </w:r>
      <w:r w:rsidR="0098305D">
        <w:rPr>
          <w:rFonts w:ascii="Verdana" w:hAnsi="Verdana" w:cs="Arial"/>
          <w:color w:val="222222"/>
          <w:sz w:val="20"/>
          <w:szCs w:val="20"/>
          <w:shd w:val="clear" w:color="auto" w:fill="FFFFFF"/>
        </w:rPr>
        <w:t>como representante de las víctimas</w:t>
      </w:r>
      <w:r w:rsidR="0098305D" w:rsidRPr="00CD3A9B">
        <w:rPr>
          <w:rFonts w:ascii="Verdana" w:hAnsi="Verdana" w:cs="Arial"/>
          <w:color w:val="222222"/>
          <w:sz w:val="20"/>
          <w:szCs w:val="20"/>
          <w:shd w:val="clear" w:color="auto" w:fill="FFFFFF"/>
        </w:rPr>
        <w:t>”</w:t>
      </w:r>
      <w:r w:rsidR="0098305D" w:rsidRPr="00845BAD">
        <w:rPr>
          <w:rFonts w:ascii="Verdana" w:hAnsi="Verdana" w:cs="Arial"/>
          <w:color w:val="222222"/>
          <w:sz w:val="20"/>
          <w:szCs w:val="20"/>
          <w:shd w:val="clear" w:color="auto" w:fill="FFFFFF"/>
        </w:rPr>
        <w:t>.</w:t>
      </w:r>
      <w:r w:rsidRPr="00845BAD">
        <w:rPr>
          <w:rFonts w:ascii="Verdana" w:eastAsia="Times New Roman" w:hAnsi="Verdana" w:cs="Verdana"/>
          <w:b/>
          <w:i/>
          <w:sz w:val="20"/>
          <w:szCs w:val="20"/>
          <w:lang w:val="es-CL"/>
        </w:rPr>
        <w:t xml:space="preserve"> </w:t>
      </w:r>
    </w:p>
    <w:p w14:paraId="420FFCD1" w14:textId="77777777" w:rsidR="00986A88" w:rsidRDefault="00986A88" w:rsidP="0001341D">
      <w:pPr>
        <w:widowControl w:val="0"/>
        <w:tabs>
          <w:tab w:val="left" w:pos="567"/>
          <w:tab w:val="left" w:pos="851"/>
        </w:tabs>
        <w:autoSpaceDE w:val="0"/>
        <w:autoSpaceDN w:val="0"/>
        <w:adjustRightInd w:val="0"/>
        <w:spacing w:after="0" w:line="240" w:lineRule="auto"/>
        <w:ind w:right="22"/>
        <w:jc w:val="both"/>
        <w:rPr>
          <w:rFonts w:ascii="Verdana" w:eastAsia="Times New Roman" w:hAnsi="Verdana" w:cs="Verdana"/>
          <w:sz w:val="20"/>
          <w:szCs w:val="20"/>
          <w:lang w:val="es-CL"/>
        </w:rPr>
      </w:pPr>
    </w:p>
    <w:p w14:paraId="4C2EE027" w14:textId="6E7F8C6F" w:rsidR="00735D2A" w:rsidRPr="0001341D" w:rsidRDefault="00735D2A" w:rsidP="0001341D">
      <w:pPr>
        <w:widowControl w:val="0"/>
        <w:numPr>
          <w:ilvl w:val="0"/>
          <w:numId w:val="2"/>
        </w:numPr>
        <w:tabs>
          <w:tab w:val="left" w:pos="567"/>
          <w:tab w:val="left" w:pos="851"/>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1B7AAB">
        <w:rPr>
          <w:rFonts w:ascii="Verdana" w:eastAsia="Times New Roman" w:hAnsi="Verdana" w:cs="Verdana"/>
          <w:sz w:val="20"/>
          <w:szCs w:val="20"/>
          <w:lang w:val="es-CL"/>
        </w:rPr>
        <w:t xml:space="preserve">En vista de lo anterior, </w:t>
      </w:r>
      <w:r w:rsidRPr="0001341D">
        <w:rPr>
          <w:rFonts w:ascii="Verdana" w:eastAsia="Times New Roman" w:hAnsi="Verdana" w:cs="Verdana"/>
          <w:b/>
          <w:i/>
          <w:sz w:val="20"/>
          <w:szCs w:val="20"/>
          <w:lang w:val="es-CL"/>
        </w:rPr>
        <w:t>la Corte</w:t>
      </w:r>
      <w:r w:rsidRPr="001B7AAB">
        <w:rPr>
          <w:rFonts w:ascii="Verdana" w:eastAsia="Times New Roman" w:hAnsi="Verdana" w:cs="Verdana"/>
          <w:sz w:val="20"/>
          <w:szCs w:val="20"/>
          <w:lang w:val="es-CL"/>
        </w:rPr>
        <w:t xml:space="preserve"> reitera </w:t>
      </w:r>
      <w:r w:rsidR="00C84C1F" w:rsidRPr="001B7AAB">
        <w:rPr>
          <w:rFonts w:ascii="Verdana" w:eastAsia="Times New Roman" w:hAnsi="Verdana" w:cs="Verdana"/>
          <w:sz w:val="20"/>
          <w:szCs w:val="20"/>
          <w:lang w:val="es-CL"/>
        </w:rPr>
        <w:t xml:space="preserve">las </w:t>
      </w:r>
      <w:r w:rsidRPr="001B7AAB">
        <w:rPr>
          <w:rFonts w:ascii="Verdana" w:eastAsia="Times New Roman" w:hAnsi="Verdana" w:cs="Verdana"/>
          <w:sz w:val="20"/>
          <w:szCs w:val="20"/>
          <w:lang w:val="es-CL"/>
        </w:rPr>
        <w:t xml:space="preserve">consideraciones vertidas </w:t>
      </w:r>
      <w:r w:rsidR="00C84C1F" w:rsidRPr="001B7AAB">
        <w:rPr>
          <w:rFonts w:ascii="Verdana" w:eastAsia="Times New Roman" w:hAnsi="Verdana" w:cs="Verdana"/>
          <w:sz w:val="20"/>
          <w:szCs w:val="20"/>
          <w:lang w:val="es-CL"/>
        </w:rPr>
        <w:t xml:space="preserve">por el Presidente </w:t>
      </w:r>
      <w:r w:rsidR="008274C5">
        <w:rPr>
          <w:rFonts w:ascii="Verdana" w:eastAsia="Times New Roman" w:hAnsi="Verdana" w:cs="Verdana"/>
          <w:sz w:val="20"/>
          <w:szCs w:val="20"/>
          <w:lang w:val="es-CL"/>
        </w:rPr>
        <w:t xml:space="preserve">en ejercicio </w:t>
      </w:r>
      <w:r w:rsidR="006B2704">
        <w:rPr>
          <w:rFonts w:ascii="Verdana" w:eastAsia="Times New Roman" w:hAnsi="Verdana" w:cs="Verdana"/>
          <w:sz w:val="20"/>
          <w:szCs w:val="20"/>
          <w:lang w:val="es-CL"/>
        </w:rPr>
        <w:t>en la R</w:t>
      </w:r>
      <w:r w:rsidRPr="001B7AAB">
        <w:rPr>
          <w:rFonts w:ascii="Verdana" w:eastAsia="Times New Roman" w:hAnsi="Verdana" w:cs="Verdana"/>
          <w:sz w:val="20"/>
          <w:szCs w:val="20"/>
          <w:lang w:val="es-CL"/>
        </w:rPr>
        <w:t xml:space="preserve">esolución </w:t>
      </w:r>
      <w:r w:rsidR="00F143EC" w:rsidRPr="001B7AAB">
        <w:rPr>
          <w:rFonts w:ascii="Verdana" w:eastAsia="Times New Roman" w:hAnsi="Verdana" w:cs="Verdana"/>
          <w:sz w:val="20"/>
          <w:szCs w:val="20"/>
          <w:lang w:val="es-CL"/>
        </w:rPr>
        <w:t>recurrida sobre la admisión del testimonio de Luz Estela Castro Rodríguez, en tanto advierte que la misma participó en el trámite del presente caso ante el Sistema Interamericano en su carácter de representante de los peticionarios</w:t>
      </w:r>
      <w:r w:rsidR="00E47A6F" w:rsidRPr="001B7AAB">
        <w:rPr>
          <w:rFonts w:ascii="Verdana" w:eastAsia="Times New Roman" w:hAnsi="Verdana" w:cs="Verdana"/>
          <w:sz w:val="20"/>
          <w:szCs w:val="20"/>
          <w:lang w:val="es-CL"/>
        </w:rPr>
        <w:t xml:space="preserve"> a nombre del Centro de Derechos Humanos de las Mujeres (CEDEHM), firmando el escrito de denuncia ante la Comisión el 26 de junio de 2011. </w:t>
      </w:r>
      <w:r w:rsidR="00F64EEA" w:rsidRPr="001B7AAB">
        <w:rPr>
          <w:rFonts w:ascii="Verdana" w:eastAsia="Times New Roman" w:hAnsi="Verdana" w:cs="Verdana"/>
          <w:sz w:val="20"/>
          <w:szCs w:val="20"/>
          <w:lang w:val="es-CL"/>
        </w:rPr>
        <w:t>E</w:t>
      </w:r>
      <w:r w:rsidR="00E47A6F" w:rsidRPr="001B7AAB">
        <w:rPr>
          <w:rFonts w:ascii="Verdana" w:eastAsia="Times New Roman" w:hAnsi="Verdana" w:cs="Verdana"/>
          <w:sz w:val="20"/>
          <w:szCs w:val="20"/>
          <w:lang w:val="es-CL"/>
        </w:rPr>
        <w:t xml:space="preserve">n este sentido, </w:t>
      </w:r>
      <w:r w:rsidR="00E47A6F" w:rsidRPr="001B7AAB">
        <w:rPr>
          <w:rFonts w:ascii="Verdana" w:eastAsia="Times New Roman" w:hAnsi="Verdana" w:cs="Verdana"/>
          <w:sz w:val="20"/>
          <w:szCs w:val="20"/>
          <w:lang w:val="es-CL"/>
        </w:rPr>
        <w:lastRenderedPageBreak/>
        <w:t xml:space="preserve">el Pleno de la Corte </w:t>
      </w:r>
      <w:r w:rsidR="00F64EEA" w:rsidRPr="001B7AAB">
        <w:rPr>
          <w:rFonts w:ascii="Verdana" w:eastAsia="Times New Roman" w:hAnsi="Verdana" w:cs="Verdana"/>
          <w:sz w:val="20"/>
          <w:szCs w:val="20"/>
          <w:lang w:val="es-CL"/>
        </w:rPr>
        <w:t>considera</w:t>
      </w:r>
      <w:r w:rsidR="00E47A6F" w:rsidRPr="001B7AAB">
        <w:rPr>
          <w:rFonts w:ascii="Verdana" w:eastAsia="Times New Roman" w:hAnsi="Verdana" w:cs="Verdana"/>
          <w:sz w:val="20"/>
          <w:szCs w:val="20"/>
          <w:lang w:val="es-CL"/>
        </w:rPr>
        <w:t>, como lo ha hecho en ocasiones anteriores</w:t>
      </w:r>
      <w:r w:rsidR="00047D87" w:rsidRPr="001B7AAB">
        <w:rPr>
          <w:rStyle w:val="FootnoteReference"/>
          <w:rFonts w:eastAsia="Times New Roman"/>
          <w:lang w:val="es-CL"/>
        </w:rPr>
        <w:footnoteReference w:id="3"/>
      </w:r>
      <w:r w:rsidR="00E47A6F" w:rsidRPr="001B7AAB">
        <w:rPr>
          <w:rFonts w:ascii="Verdana" w:eastAsia="Times New Roman" w:hAnsi="Verdana" w:cs="Verdana"/>
          <w:sz w:val="20"/>
          <w:szCs w:val="20"/>
          <w:lang w:val="es-CL"/>
        </w:rPr>
        <w:t xml:space="preserve">, que </w:t>
      </w:r>
      <w:r w:rsidR="00E47A6F" w:rsidRPr="0001341D">
        <w:rPr>
          <w:rFonts w:ascii="Verdana" w:eastAsia="Times New Roman" w:hAnsi="Verdana" w:cs="Verdana"/>
          <w:sz w:val="20"/>
          <w:szCs w:val="20"/>
          <w:lang w:val="es-CL"/>
        </w:rPr>
        <w:t>la participación de una persona en el trámite de un caso</w:t>
      </w:r>
      <w:r w:rsidR="00F64EEA" w:rsidRPr="0001341D">
        <w:rPr>
          <w:rFonts w:ascii="Verdana" w:eastAsia="Times New Roman" w:hAnsi="Verdana" w:cs="Verdana"/>
          <w:sz w:val="20"/>
          <w:szCs w:val="20"/>
          <w:lang w:val="es-CL"/>
        </w:rPr>
        <w:t xml:space="preserve"> como representante de la Comisión, de las presuntas víctimas o del Estado resulta incompatible con la calidad de testigo propuesta por alguna de las partes en virtud de su previa intervención en el asunto, como se advierte en</w:t>
      </w:r>
      <w:r w:rsidR="00D602CB">
        <w:rPr>
          <w:rFonts w:ascii="Verdana" w:eastAsia="Times New Roman" w:hAnsi="Verdana" w:cs="Verdana"/>
          <w:sz w:val="20"/>
          <w:szCs w:val="20"/>
          <w:lang w:val="es-CL"/>
        </w:rPr>
        <w:t xml:space="preserve"> el</w:t>
      </w:r>
      <w:r w:rsidR="00F64EEA" w:rsidRPr="0001341D">
        <w:rPr>
          <w:rFonts w:ascii="Verdana" w:eastAsia="Times New Roman" w:hAnsi="Verdana" w:cs="Verdana"/>
          <w:sz w:val="20"/>
          <w:szCs w:val="20"/>
          <w:lang w:val="es-CL"/>
        </w:rPr>
        <w:t xml:space="preserve"> caso concreto. En consecuencia, el </w:t>
      </w:r>
      <w:r w:rsidR="003C1716" w:rsidRPr="0001341D">
        <w:rPr>
          <w:rFonts w:ascii="Verdana" w:eastAsia="Times New Roman" w:hAnsi="Verdana" w:cs="Verdana"/>
          <w:sz w:val="20"/>
          <w:szCs w:val="20"/>
          <w:lang w:val="es-CL"/>
        </w:rPr>
        <w:t>T</w:t>
      </w:r>
      <w:r w:rsidR="00F64EEA" w:rsidRPr="0001341D">
        <w:rPr>
          <w:rFonts w:ascii="Verdana" w:eastAsia="Times New Roman" w:hAnsi="Verdana" w:cs="Verdana"/>
          <w:sz w:val="20"/>
          <w:szCs w:val="20"/>
          <w:lang w:val="es-CL"/>
        </w:rPr>
        <w:t xml:space="preserve">ribunal </w:t>
      </w:r>
      <w:r w:rsidR="003C1716" w:rsidRPr="0001341D">
        <w:rPr>
          <w:rFonts w:ascii="Verdana" w:eastAsia="Times New Roman" w:hAnsi="Verdana" w:cs="Verdana"/>
          <w:sz w:val="20"/>
          <w:szCs w:val="20"/>
          <w:lang w:val="es-CL"/>
        </w:rPr>
        <w:t xml:space="preserve">decide confirmar </w:t>
      </w:r>
      <w:r w:rsidR="00F64EEA" w:rsidRPr="0001341D">
        <w:rPr>
          <w:rFonts w:ascii="Verdana" w:eastAsia="Times New Roman" w:hAnsi="Verdana" w:cs="Verdana"/>
          <w:sz w:val="20"/>
          <w:szCs w:val="20"/>
          <w:lang w:val="es-CL"/>
        </w:rPr>
        <w:t>la decisión del Presidente de no recibir dicho testimonio y desestimar la solicitud de reconsideración presentada por</w:t>
      </w:r>
      <w:r w:rsidR="00845BAD" w:rsidRPr="0001341D">
        <w:rPr>
          <w:rFonts w:ascii="Verdana" w:eastAsia="Times New Roman" w:hAnsi="Verdana" w:cs="Verdana"/>
          <w:sz w:val="20"/>
          <w:szCs w:val="20"/>
          <w:lang w:val="es-CL"/>
        </w:rPr>
        <w:t xml:space="preserve"> la representa</w:t>
      </w:r>
      <w:r w:rsidR="003C1716" w:rsidRPr="0001341D">
        <w:rPr>
          <w:rFonts w:ascii="Verdana" w:eastAsia="Times New Roman" w:hAnsi="Verdana" w:cs="Verdana"/>
          <w:sz w:val="20"/>
          <w:szCs w:val="20"/>
          <w:lang w:val="es-CL"/>
        </w:rPr>
        <w:t>ción conjunta de las presuntas víctimas</w:t>
      </w:r>
      <w:r w:rsidR="00845BAD" w:rsidRPr="0001341D">
        <w:rPr>
          <w:rFonts w:ascii="Verdana" w:eastAsia="Times New Roman" w:hAnsi="Verdana" w:cs="Verdana"/>
          <w:sz w:val="20"/>
          <w:szCs w:val="20"/>
          <w:lang w:val="es-CL"/>
        </w:rPr>
        <w:t xml:space="preserve"> sobre este particular</w:t>
      </w:r>
      <w:r w:rsidR="003C1716" w:rsidRPr="0001341D">
        <w:rPr>
          <w:rStyle w:val="FootnoteReference"/>
          <w:rFonts w:eastAsia="Times New Roman"/>
          <w:lang w:val="es-CL"/>
        </w:rPr>
        <w:footnoteReference w:id="4"/>
      </w:r>
      <w:r w:rsidR="003C1716" w:rsidRPr="0001341D">
        <w:rPr>
          <w:rFonts w:ascii="Verdana" w:eastAsia="Times New Roman" w:hAnsi="Verdana" w:cs="Verdana"/>
          <w:sz w:val="20"/>
          <w:szCs w:val="20"/>
          <w:lang w:val="es-CL"/>
        </w:rPr>
        <w:t>.</w:t>
      </w:r>
    </w:p>
    <w:p w14:paraId="615D0C29" w14:textId="77777777" w:rsidR="001A3B85" w:rsidRDefault="001A3B85" w:rsidP="0001341D">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lang w:val="es-CL"/>
        </w:rPr>
      </w:pPr>
    </w:p>
    <w:p w14:paraId="575E8EB9" w14:textId="00647AA8" w:rsidR="00845BAD" w:rsidRPr="0001341D" w:rsidRDefault="008274C5" w:rsidP="0001341D">
      <w:pPr>
        <w:pStyle w:val="ListParagraph"/>
        <w:widowControl w:val="0"/>
        <w:numPr>
          <w:ilvl w:val="0"/>
          <w:numId w:val="53"/>
        </w:numPr>
        <w:tabs>
          <w:tab w:val="left" w:pos="567"/>
          <w:tab w:val="left" w:pos="810"/>
        </w:tabs>
        <w:autoSpaceDE w:val="0"/>
        <w:autoSpaceDN w:val="0"/>
        <w:adjustRightInd w:val="0"/>
        <w:spacing w:after="0"/>
        <w:ind w:right="22"/>
        <w:rPr>
          <w:rFonts w:eastAsia="Times New Roman" w:cs="Verdana"/>
          <w:b/>
          <w:i/>
          <w:szCs w:val="20"/>
          <w:lang w:val="es-CL"/>
        </w:rPr>
      </w:pPr>
      <w:r>
        <w:rPr>
          <w:rFonts w:eastAsia="Times New Roman" w:cs="Verdana"/>
          <w:b/>
          <w:i/>
          <w:szCs w:val="20"/>
          <w:lang w:val="es-CL"/>
        </w:rPr>
        <w:t xml:space="preserve">Respecto de </w:t>
      </w:r>
      <w:r w:rsidR="00845BAD">
        <w:rPr>
          <w:rFonts w:eastAsia="Times New Roman" w:cs="Verdana"/>
          <w:b/>
          <w:i/>
          <w:szCs w:val="20"/>
          <w:lang w:val="es-CL"/>
        </w:rPr>
        <w:t>la solicitud de desahogo del testimonio de Salomón Baltazar Samayoa en audiencia pública.</w:t>
      </w:r>
    </w:p>
    <w:p w14:paraId="75C9BCD8" w14:textId="77777777" w:rsidR="00845BAD" w:rsidRPr="0001341D" w:rsidRDefault="00845BAD" w:rsidP="0001341D">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lang w:val="es-CL"/>
        </w:rPr>
      </w:pPr>
    </w:p>
    <w:p w14:paraId="532FB8CA" w14:textId="5052811E" w:rsidR="005A4533" w:rsidRDefault="00845BAD" w:rsidP="0001341D">
      <w:pPr>
        <w:widowControl w:val="0"/>
        <w:numPr>
          <w:ilvl w:val="0"/>
          <w:numId w:val="2"/>
        </w:numPr>
        <w:tabs>
          <w:tab w:val="left" w:pos="0"/>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1E5DC3">
        <w:rPr>
          <w:rFonts w:ascii="Verdana" w:eastAsia="Calibri" w:hAnsi="Verdana" w:cs="Verdana"/>
          <w:sz w:val="20"/>
          <w:szCs w:val="20"/>
          <w:lang w:val="es-CR"/>
        </w:rPr>
        <w:t>Asimismo, l</w:t>
      </w:r>
      <w:r w:rsidR="00114920" w:rsidRPr="001E5DC3">
        <w:rPr>
          <w:rFonts w:ascii="Verdana" w:eastAsia="Calibri" w:hAnsi="Verdana" w:cs="Verdana"/>
          <w:sz w:val="20"/>
          <w:szCs w:val="20"/>
          <w:lang w:val="es-CR"/>
        </w:rPr>
        <w:t>a</w:t>
      </w:r>
      <w:r w:rsidR="00B471CD" w:rsidRPr="001E5DC3">
        <w:rPr>
          <w:rFonts w:ascii="Verdana" w:eastAsia="Calibri" w:hAnsi="Verdana" w:cs="Verdana"/>
          <w:sz w:val="20"/>
          <w:szCs w:val="20"/>
          <w:lang w:val="es-CR"/>
        </w:rPr>
        <w:t>s</w:t>
      </w:r>
      <w:r w:rsidR="00B471CD" w:rsidRPr="001E5DC3">
        <w:rPr>
          <w:rFonts w:ascii="Verdana" w:eastAsia="Calibri" w:hAnsi="Verdana" w:cs="Verdana"/>
          <w:b/>
          <w:sz w:val="20"/>
          <w:szCs w:val="20"/>
          <w:lang w:val="es-CR"/>
        </w:rPr>
        <w:t xml:space="preserve"> </w:t>
      </w:r>
      <w:r w:rsidR="00B471CD" w:rsidRPr="0001341D">
        <w:rPr>
          <w:rFonts w:ascii="Verdana" w:eastAsia="Calibri" w:hAnsi="Verdana" w:cs="Verdana"/>
          <w:b/>
          <w:i/>
          <w:sz w:val="20"/>
          <w:szCs w:val="20"/>
          <w:lang w:val="es-CR"/>
        </w:rPr>
        <w:t>representantes</w:t>
      </w:r>
      <w:r w:rsidR="00B471CD" w:rsidRPr="001E5DC3">
        <w:rPr>
          <w:rFonts w:ascii="Verdana" w:eastAsia="Calibri" w:hAnsi="Verdana" w:cs="Verdana"/>
          <w:b/>
          <w:sz w:val="20"/>
          <w:szCs w:val="20"/>
          <w:lang w:val="es-CR"/>
        </w:rPr>
        <w:t xml:space="preserve"> </w:t>
      </w:r>
      <w:r w:rsidRPr="001E5DC3">
        <w:rPr>
          <w:rFonts w:ascii="Verdana" w:eastAsia="Times New Roman" w:hAnsi="Verdana" w:cs="Verdana"/>
          <w:sz w:val="20"/>
          <w:szCs w:val="20"/>
          <w:lang w:val="es-CL"/>
        </w:rPr>
        <w:t xml:space="preserve">solicitaron la reconsideración de la Resolución del Presidente en cuanto se refiere </w:t>
      </w:r>
      <w:r w:rsidR="00887806" w:rsidRPr="001E5DC3">
        <w:rPr>
          <w:rFonts w:ascii="Verdana" w:eastAsia="Times New Roman" w:hAnsi="Verdana" w:cs="Verdana"/>
          <w:sz w:val="20"/>
          <w:szCs w:val="20"/>
          <w:lang w:val="es-CL"/>
        </w:rPr>
        <w:t>al desahogo de la testimonial de Salomón Baltazar Samayoa</w:t>
      </w:r>
      <w:r w:rsidR="005A4533">
        <w:rPr>
          <w:rFonts w:ascii="Verdana" w:eastAsia="Times New Roman" w:hAnsi="Verdana" w:cs="Verdana"/>
          <w:sz w:val="20"/>
          <w:szCs w:val="20"/>
          <w:lang w:val="es-CL"/>
        </w:rPr>
        <w:t>, a</w:t>
      </w:r>
      <w:r w:rsidR="00887806" w:rsidRPr="001E5DC3">
        <w:rPr>
          <w:rFonts w:ascii="Verdana" w:eastAsia="Times New Roman" w:hAnsi="Verdana" w:cs="Verdana"/>
          <w:sz w:val="20"/>
          <w:szCs w:val="20"/>
          <w:lang w:val="es-CL"/>
        </w:rPr>
        <w:t xml:space="preserve"> efecto de que dicho declarante comparezca a la audiencia pública a celebrarse sobre el caso. </w:t>
      </w:r>
      <w:r w:rsidR="001E5DC3" w:rsidRPr="001E5DC3">
        <w:rPr>
          <w:rFonts w:ascii="Verdana" w:eastAsia="Times New Roman" w:hAnsi="Verdana" w:cs="Verdana"/>
          <w:sz w:val="20"/>
          <w:szCs w:val="20"/>
          <w:lang w:val="es-CL"/>
        </w:rPr>
        <w:t xml:space="preserve">Por tanto, consideraron que </w:t>
      </w:r>
      <w:r w:rsidR="001E5DC3">
        <w:rPr>
          <w:rFonts w:ascii="Verdana" w:eastAsia="Times New Roman" w:hAnsi="Verdana" w:cs="Verdana"/>
          <w:sz w:val="20"/>
          <w:szCs w:val="20"/>
          <w:lang w:val="es-CL"/>
        </w:rPr>
        <w:t>“la</w:t>
      </w:r>
      <w:r w:rsidR="00887806" w:rsidRPr="001E5DC3">
        <w:rPr>
          <w:rFonts w:ascii="Verdana" w:eastAsia="Times New Roman" w:hAnsi="Verdana" w:cs="Verdana"/>
          <w:sz w:val="20"/>
          <w:szCs w:val="20"/>
          <w:lang w:val="es-CL"/>
        </w:rPr>
        <w:t xml:space="preserve"> inmediación en el desahogo de esta prueba garantizará un mayor equilibrio procesal y la igualdad de armas en tanto </w:t>
      </w:r>
      <w:r w:rsidR="001E5DC3" w:rsidRPr="00EC2A81">
        <w:rPr>
          <w:rFonts w:ascii="Verdana" w:hAnsi="Verdana" w:cs="Arial"/>
          <w:color w:val="222222"/>
          <w:sz w:val="20"/>
          <w:szCs w:val="20"/>
          <w:shd w:val="clear" w:color="auto" w:fill="FFFFFF"/>
        </w:rPr>
        <w:t>[</w:t>
      </w:r>
      <w:r w:rsidR="001E5DC3">
        <w:rPr>
          <w:rFonts w:ascii="Verdana" w:hAnsi="Verdana" w:cs="Arial"/>
          <w:color w:val="222222"/>
          <w:sz w:val="20"/>
          <w:szCs w:val="20"/>
          <w:shd w:val="clear" w:color="auto" w:fill="FFFFFF"/>
        </w:rPr>
        <w:t>…</w:t>
      </w:r>
      <w:r w:rsidR="001E5DC3" w:rsidRPr="00EC2A81">
        <w:rPr>
          <w:rFonts w:ascii="Verdana" w:hAnsi="Verdana" w:cs="Arial"/>
          <w:color w:val="222222"/>
          <w:sz w:val="20"/>
          <w:szCs w:val="20"/>
          <w:shd w:val="clear" w:color="auto" w:fill="FFFFFF"/>
        </w:rPr>
        <w:t>]</w:t>
      </w:r>
      <w:r w:rsidR="00D602CB">
        <w:rPr>
          <w:rFonts w:ascii="Verdana" w:hAnsi="Verdana" w:cs="Arial"/>
          <w:color w:val="222222"/>
          <w:sz w:val="20"/>
          <w:szCs w:val="20"/>
          <w:shd w:val="clear" w:color="auto" w:fill="FFFFFF"/>
        </w:rPr>
        <w:t xml:space="preserve"> [la</w:t>
      </w:r>
      <w:r w:rsidR="00D602CB" w:rsidRPr="00EC2A81">
        <w:rPr>
          <w:rFonts w:ascii="Verdana" w:hAnsi="Verdana" w:cs="Arial"/>
          <w:color w:val="222222"/>
          <w:sz w:val="20"/>
          <w:szCs w:val="20"/>
          <w:shd w:val="clear" w:color="auto" w:fill="FFFFFF"/>
        </w:rPr>
        <w:t>]</w:t>
      </w:r>
      <w:r w:rsidR="001E5DC3">
        <w:rPr>
          <w:rFonts w:ascii="Verdana" w:hAnsi="Verdana" w:cs="Arial"/>
          <w:color w:val="222222"/>
          <w:sz w:val="20"/>
          <w:szCs w:val="20"/>
          <w:shd w:val="clear" w:color="auto" w:fill="FFFFFF"/>
        </w:rPr>
        <w:t xml:space="preserve"> </w:t>
      </w:r>
      <w:r w:rsidR="00887806" w:rsidRPr="001E5DC3">
        <w:rPr>
          <w:rFonts w:ascii="Verdana" w:eastAsia="Times New Roman" w:hAnsi="Verdana" w:cs="Verdana"/>
          <w:sz w:val="20"/>
          <w:szCs w:val="20"/>
          <w:lang w:val="es-CL"/>
        </w:rPr>
        <w:t>Corte tendrá la posibilidad de contrastar, de manera directa, los testimonios de dos funcionarios (en su momento) a cargo de la investigación relacionada con la búsqueda del paradero de las tres víctimas y con la identificación y sanción de los responsables</w:t>
      </w:r>
      <w:r w:rsidR="001E5DC3">
        <w:rPr>
          <w:rFonts w:ascii="Verdana" w:eastAsia="Times New Roman" w:hAnsi="Verdana" w:cs="Verdana"/>
          <w:sz w:val="20"/>
          <w:szCs w:val="20"/>
          <w:lang w:val="es-CL"/>
        </w:rPr>
        <w:t>”</w:t>
      </w:r>
      <w:r w:rsidR="00887806" w:rsidRPr="001E5DC3">
        <w:rPr>
          <w:rFonts w:ascii="Verdana" w:eastAsia="Times New Roman" w:hAnsi="Verdana" w:cs="Verdana"/>
          <w:sz w:val="20"/>
          <w:szCs w:val="20"/>
          <w:lang w:val="es-CL"/>
        </w:rPr>
        <w:t>.</w:t>
      </w:r>
    </w:p>
    <w:p w14:paraId="4BFE0071" w14:textId="68D0F4D2" w:rsidR="00887806" w:rsidRPr="001E5DC3" w:rsidRDefault="00887806" w:rsidP="0001341D">
      <w:pPr>
        <w:widowControl w:val="0"/>
        <w:tabs>
          <w:tab w:val="left" w:pos="0"/>
          <w:tab w:val="left" w:pos="567"/>
        </w:tabs>
        <w:autoSpaceDE w:val="0"/>
        <w:autoSpaceDN w:val="0"/>
        <w:adjustRightInd w:val="0"/>
        <w:spacing w:after="0" w:line="240" w:lineRule="auto"/>
        <w:ind w:right="22"/>
        <w:jc w:val="both"/>
        <w:rPr>
          <w:rFonts w:ascii="Verdana" w:eastAsia="Times New Roman" w:hAnsi="Verdana" w:cs="Verdana"/>
          <w:sz w:val="20"/>
          <w:szCs w:val="20"/>
          <w:lang w:val="es-CL"/>
        </w:rPr>
      </w:pPr>
      <w:r w:rsidRPr="001E5DC3">
        <w:rPr>
          <w:rFonts w:ascii="Verdana" w:eastAsia="Times New Roman" w:hAnsi="Verdana" w:cs="Verdana"/>
          <w:sz w:val="20"/>
          <w:szCs w:val="20"/>
          <w:lang w:val="es-CL"/>
        </w:rPr>
        <w:t xml:space="preserve">  </w:t>
      </w:r>
    </w:p>
    <w:p w14:paraId="61B46DB4" w14:textId="6795F4AF" w:rsidR="00887806" w:rsidRPr="001B7AAB" w:rsidRDefault="001B7AAB" w:rsidP="0001341D">
      <w:pPr>
        <w:widowControl w:val="0"/>
        <w:numPr>
          <w:ilvl w:val="0"/>
          <w:numId w:val="2"/>
        </w:numPr>
        <w:tabs>
          <w:tab w:val="left" w:pos="567"/>
          <w:tab w:val="left" w:pos="851"/>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Pr>
          <w:rFonts w:ascii="Verdana" w:eastAsia="Times New Roman" w:hAnsi="Verdana" w:cs="Verdana"/>
          <w:sz w:val="20"/>
          <w:szCs w:val="20"/>
          <w:lang w:val="es-CL"/>
        </w:rPr>
        <w:t xml:space="preserve">Por su parte, el </w:t>
      </w:r>
      <w:r>
        <w:rPr>
          <w:rFonts w:ascii="Verdana" w:eastAsia="Times New Roman" w:hAnsi="Verdana" w:cs="Verdana"/>
          <w:b/>
          <w:i/>
          <w:sz w:val="20"/>
          <w:szCs w:val="20"/>
          <w:lang w:val="es-CL"/>
        </w:rPr>
        <w:t xml:space="preserve">Estado </w:t>
      </w:r>
      <w:r>
        <w:rPr>
          <w:rFonts w:ascii="Verdana" w:eastAsia="Times New Roman" w:hAnsi="Verdana" w:cs="Verdana"/>
          <w:sz w:val="20"/>
          <w:szCs w:val="20"/>
          <w:lang w:val="es-CL"/>
        </w:rPr>
        <w:t>consideró que “</w:t>
      </w:r>
      <w:r w:rsidRPr="0001341D">
        <w:rPr>
          <w:rFonts w:ascii="Verdana" w:eastAsia="Times New Roman" w:hAnsi="Verdana" w:cs="Verdana"/>
          <w:sz w:val="20"/>
          <w:szCs w:val="20"/>
          <w:lang w:val="es-CL"/>
        </w:rPr>
        <w:t xml:space="preserve">dicha petición debe ser desestimada debido a dos razones: i) la representación no ha probado la necesidad de la comparecencia del mismo, y ii) de hacerlo, la decisión de la Corte </w:t>
      </w:r>
      <w:r w:rsidR="008274C5">
        <w:rPr>
          <w:rFonts w:ascii="Verdana" w:eastAsia="Times New Roman" w:hAnsi="Verdana" w:cs="Verdana"/>
          <w:sz w:val="20"/>
          <w:szCs w:val="20"/>
          <w:lang w:val="es-CL"/>
        </w:rPr>
        <w:t xml:space="preserve">[…] </w:t>
      </w:r>
      <w:r w:rsidRPr="0001341D">
        <w:rPr>
          <w:rFonts w:ascii="Verdana" w:eastAsia="Times New Roman" w:hAnsi="Verdana" w:cs="Verdana"/>
          <w:sz w:val="20"/>
          <w:szCs w:val="20"/>
          <w:lang w:val="es-CL"/>
        </w:rPr>
        <w:t>iría en prejuicio de la igualdad de armas entre las partes</w:t>
      </w:r>
      <w:r>
        <w:rPr>
          <w:rFonts w:ascii="Verdana" w:eastAsia="Times New Roman" w:hAnsi="Verdana" w:cs="Verdana"/>
          <w:sz w:val="20"/>
          <w:szCs w:val="20"/>
          <w:lang w:val="es-CL"/>
        </w:rPr>
        <w:t>”</w:t>
      </w:r>
      <w:r w:rsidRPr="0001341D">
        <w:rPr>
          <w:rFonts w:ascii="Verdana" w:eastAsia="Times New Roman" w:hAnsi="Verdana" w:cs="Verdana"/>
          <w:sz w:val="20"/>
          <w:szCs w:val="20"/>
          <w:lang w:val="es-CL"/>
        </w:rPr>
        <w:t>.</w:t>
      </w:r>
      <w:r>
        <w:rPr>
          <w:rFonts w:ascii="Verdana" w:eastAsia="Times New Roman" w:hAnsi="Verdana" w:cs="Verdana"/>
          <w:sz w:val="20"/>
          <w:szCs w:val="20"/>
          <w:lang w:val="es-CL"/>
        </w:rPr>
        <w:t xml:space="preserve"> Expresó que </w:t>
      </w:r>
      <w:r w:rsidR="00222FAC">
        <w:rPr>
          <w:rFonts w:ascii="Verdana" w:eastAsia="Times New Roman" w:hAnsi="Verdana" w:cs="Verdana"/>
          <w:sz w:val="20"/>
          <w:szCs w:val="20"/>
          <w:lang w:val="es-CL"/>
        </w:rPr>
        <w:t>“</w:t>
      </w:r>
      <w:r w:rsidRPr="001B7AAB">
        <w:rPr>
          <w:rFonts w:ascii="Verdana" w:eastAsia="Times New Roman" w:hAnsi="Verdana" w:cs="Verdana"/>
          <w:sz w:val="20"/>
          <w:szCs w:val="20"/>
          <w:lang w:val="es-CL"/>
        </w:rPr>
        <w:t>la representación de las víctimas tiene la oportunidad de presentar lo que a su derecho crea conveniente mediante la declaración e</w:t>
      </w:r>
      <w:r w:rsidR="00222FAC">
        <w:rPr>
          <w:rFonts w:ascii="Verdana" w:eastAsia="Times New Roman" w:hAnsi="Verdana" w:cs="Verdana"/>
          <w:sz w:val="20"/>
          <w:szCs w:val="20"/>
          <w:lang w:val="es-CL"/>
        </w:rPr>
        <w:t xml:space="preserve">scrita de </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 xml:space="preserve"> </w:t>
      </w:r>
      <w:r w:rsidRPr="001B7AAB">
        <w:rPr>
          <w:rFonts w:ascii="Verdana" w:eastAsia="Times New Roman" w:hAnsi="Verdana" w:cs="Verdana"/>
          <w:sz w:val="20"/>
          <w:szCs w:val="20"/>
          <w:lang w:val="es-CL"/>
        </w:rPr>
        <w:t>Salomón Baltazar</w:t>
      </w:r>
      <w:r w:rsidR="00222FAC">
        <w:rPr>
          <w:rFonts w:ascii="Verdana" w:eastAsia="Times New Roman" w:hAnsi="Verdana" w:cs="Verdana"/>
          <w:sz w:val="20"/>
          <w:szCs w:val="20"/>
          <w:lang w:val="es-CL"/>
        </w:rPr>
        <w:t xml:space="preserve"> </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Samayoa</w:t>
      </w:r>
      <w:r w:rsidR="00222FAC" w:rsidRPr="00EC2A81">
        <w:rPr>
          <w:rFonts w:ascii="Verdana" w:hAnsi="Verdana" w:cs="Arial"/>
          <w:color w:val="222222"/>
          <w:sz w:val="20"/>
          <w:szCs w:val="20"/>
          <w:shd w:val="clear" w:color="auto" w:fill="FFFFFF"/>
        </w:rPr>
        <w:t>]</w:t>
      </w:r>
      <w:r w:rsidRPr="001B7AAB">
        <w:rPr>
          <w:rFonts w:ascii="Verdana" w:eastAsia="Times New Roman" w:hAnsi="Verdana" w:cs="Verdana"/>
          <w:sz w:val="20"/>
          <w:szCs w:val="20"/>
          <w:lang w:val="es-CL"/>
        </w:rPr>
        <w:t xml:space="preserve">, debido a que podrá hacer llegar su declaración por escrito, sin que </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se</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 xml:space="preserve"> </w:t>
      </w:r>
      <w:r w:rsidRPr="001B7AAB">
        <w:rPr>
          <w:rFonts w:ascii="Verdana" w:eastAsia="Times New Roman" w:hAnsi="Verdana" w:cs="Verdana"/>
          <w:sz w:val="20"/>
          <w:szCs w:val="20"/>
          <w:lang w:val="es-CL"/>
        </w:rPr>
        <w:t>haya</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n</w:t>
      </w:r>
      <w:r w:rsidR="00222FAC" w:rsidRPr="00EC2A81">
        <w:rPr>
          <w:rFonts w:ascii="Verdana" w:hAnsi="Verdana" w:cs="Arial"/>
          <w:color w:val="222222"/>
          <w:sz w:val="20"/>
          <w:szCs w:val="20"/>
          <w:shd w:val="clear" w:color="auto" w:fill="FFFFFF"/>
        </w:rPr>
        <w:t>]</w:t>
      </w:r>
      <w:r w:rsidR="00222FAC">
        <w:rPr>
          <w:rFonts w:ascii="Verdana" w:hAnsi="Verdana" w:cs="Arial"/>
          <w:color w:val="222222"/>
          <w:sz w:val="20"/>
          <w:szCs w:val="20"/>
          <w:shd w:val="clear" w:color="auto" w:fill="FFFFFF"/>
        </w:rPr>
        <w:t xml:space="preserve"> </w:t>
      </w:r>
      <w:r w:rsidRPr="001B7AAB">
        <w:rPr>
          <w:rFonts w:ascii="Verdana" w:eastAsia="Times New Roman" w:hAnsi="Verdana" w:cs="Verdana"/>
          <w:sz w:val="20"/>
          <w:szCs w:val="20"/>
          <w:lang w:val="es-CL"/>
        </w:rPr>
        <w:t xml:space="preserve"> aportado argumentos sobre la necesidad de que se presente de forma oral</w:t>
      </w:r>
      <w:r w:rsidR="00222FAC">
        <w:rPr>
          <w:rFonts w:ascii="Verdana" w:eastAsia="Times New Roman" w:hAnsi="Verdana" w:cs="Verdana"/>
          <w:sz w:val="20"/>
          <w:szCs w:val="20"/>
          <w:lang w:val="es-CL"/>
        </w:rPr>
        <w:t>”</w:t>
      </w:r>
      <w:r w:rsidRPr="001B7AAB">
        <w:rPr>
          <w:rFonts w:ascii="Verdana" w:eastAsia="Times New Roman" w:hAnsi="Verdana" w:cs="Verdana"/>
          <w:sz w:val="20"/>
          <w:szCs w:val="20"/>
          <w:lang w:val="es-CL"/>
        </w:rPr>
        <w:t>.</w:t>
      </w:r>
      <w:r w:rsidR="00986A88">
        <w:rPr>
          <w:rFonts w:ascii="Verdana" w:eastAsia="Times New Roman" w:hAnsi="Verdana" w:cs="Verdana"/>
          <w:sz w:val="20"/>
          <w:szCs w:val="20"/>
          <w:lang w:val="es-CL"/>
        </w:rPr>
        <w:t xml:space="preserve"> </w:t>
      </w:r>
    </w:p>
    <w:p w14:paraId="58EEFF04" w14:textId="77777777" w:rsidR="00C679C0" w:rsidRPr="00C679C0" w:rsidRDefault="00C679C0" w:rsidP="00C679C0">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lang w:val="es-CL"/>
        </w:rPr>
      </w:pPr>
    </w:p>
    <w:p w14:paraId="355CB3A5" w14:textId="7C97A72A" w:rsidR="00D44A0F" w:rsidRPr="0001341D" w:rsidRDefault="00986A88" w:rsidP="005978D3">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Pr>
          <w:rFonts w:ascii="Verdana" w:eastAsia="Times New Roman" w:hAnsi="Verdana" w:cs="Verdana"/>
          <w:sz w:val="20"/>
          <w:szCs w:val="20"/>
        </w:rPr>
        <w:t>Con relación a este aspecto de la solicitud de reconsideración, l</w:t>
      </w:r>
      <w:r w:rsidR="00C679C0" w:rsidRPr="00C679C0">
        <w:rPr>
          <w:rFonts w:ascii="Verdana" w:eastAsia="Times New Roman" w:hAnsi="Verdana" w:cs="Verdana"/>
          <w:sz w:val="20"/>
          <w:szCs w:val="20"/>
        </w:rPr>
        <w:t xml:space="preserve">a </w:t>
      </w:r>
      <w:r w:rsidR="00C679C0" w:rsidRPr="0001341D">
        <w:rPr>
          <w:rFonts w:ascii="Verdana" w:eastAsia="Times New Roman" w:hAnsi="Verdana" w:cs="Verdana"/>
          <w:b/>
          <w:i/>
          <w:sz w:val="20"/>
          <w:szCs w:val="20"/>
        </w:rPr>
        <w:t>Comisión</w:t>
      </w:r>
      <w:r w:rsidR="00C679C0" w:rsidRPr="00C679C0">
        <w:rPr>
          <w:rFonts w:ascii="Verdana" w:eastAsia="Times New Roman" w:hAnsi="Verdana" w:cs="Verdana"/>
          <w:sz w:val="20"/>
          <w:szCs w:val="20"/>
        </w:rPr>
        <w:t xml:space="preserve"> </w:t>
      </w:r>
      <w:r>
        <w:rPr>
          <w:rFonts w:ascii="Verdana" w:eastAsia="Times New Roman" w:hAnsi="Verdana" w:cs="Verdana"/>
          <w:sz w:val="20"/>
          <w:szCs w:val="20"/>
        </w:rPr>
        <w:t xml:space="preserve">expresó en sus </w:t>
      </w:r>
      <w:r w:rsidR="00C679C0" w:rsidRPr="00C679C0">
        <w:rPr>
          <w:rFonts w:ascii="Verdana" w:eastAsia="Times New Roman" w:hAnsi="Verdana" w:cs="Verdana"/>
          <w:sz w:val="20"/>
          <w:szCs w:val="20"/>
        </w:rPr>
        <w:t xml:space="preserve">observaciones </w:t>
      </w:r>
      <w:r w:rsidR="003C4E50">
        <w:rPr>
          <w:rFonts w:ascii="Verdana" w:eastAsia="Times New Roman" w:hAnsi="Verdana" w:cs="Verdana"/>
          <w:sz w:val="20"/>
          <w:szCs w:val="20"/>
        </w:rPr>
        <w:t xml:space="preserve">que no se opone a </w:t>
      </w:r>
      <w:proofErr w:type="spellStart"/>
      <w:r w:rsidR="003C4E50">
        <w:rPr>
          <w:rFonts w:ascii="Verdana" w:eastAsia="Times New Roman" w:hAnsi="Verdana" w:cs="Verdana"/>
          <w:sz w:val="20"/>
          <w:szCs w:val="20"/>
        </w:rPr>
        <w:t>ta</w:t>
      </w:r>
      <w:proofErr w:type="spellEnd"/>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l</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w:t>
      </w:r>
      <w:proofErr w:type="spellStart"/>
      <w:r w:rsidR="003C4E50">
        <w:rPr>
          <w:rFonts w:ascii="Verdana" w:hAnsi="Verdana" w:cs="Arial"/>
          <w:color w:val="222222"/>
          <w:sz w:val="20"/>
          <w:szCs w:val="20"/>
          <w:shd w:val="clear" w:color="auto" w:fill="FFFFFF"/>
        </w:rPr>
        <w:t>solicitu</w:t>
      </w:r>
      <w:proofErr w:type="spellEnd"/>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d</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en tanto que la inmediación y oralidad de la prueba contribuye positivamente al desarrollo de la audiencia ante la Corte </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y</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la recepción de </w:t>
      </w:r>
      <w:proofErr w:type="spellStart"/>
      <w:r w:rsidR="003C4E50">
        <w:rPr>
          <w:rFonts w:ascii="Verdana" w:hAnsi="Verdana" w:cs="Arial"/>
          <w:color w:val="222222"/>
          <w:sz w:val="20"/>
          <w:szCs w:val="20"/>
          <w:shd w:val="clear" w:color="auto" w:fill="FFFFFF"/>
        </w:rPr>
        <w:t>ta</w:t>
      </w:r>
      <w:proofErr w:type="spellEnd"/>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l</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w:t>
      </w:r>
      <w:proofErr w:type="spellStart"/>
      <w:r w:rsidR="003C4E50">
        <w:rPr>
          <w:rFonts w:ascii="Verdana" w:hAnsi="Verdana" w:cs="Arial"/>
          <w:color w:val="222222"/>
          <w:sz w:val="20"/>
          <w:szCs w:val="20"/>
          <w:shd w:val="clear" w:color="auto" w:fill="FFFFFF"/>
        </w:rPr>
        <w:t>declaració</w:t>
      </w:r>
      <w:proofErr w:type="spellEnd"/>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n</w:t>
      </w:r>
      <w:r w:rsidR="003C4E50" w:rsidRPr="00EC2A81">
        <w:rPr>
          <w:rFonts w:ascii="Verdana" w:hAnsi="Verdana" w:cs="Arial"/>
          <w:color w:val="222222"/>
          <w:sz w:val="20"/>
          <w:szCs w:val="20"/>
          <w:shd w:val="clear" w:color="auto" w:fill="FFFFFF"/>
        </w:rPr>
        <w:t>]</w:t>
      </w:r>
      <w:r w:rsidR="003C4E50">
        <w:rPr>
          <w:rFonts w:ascii="Verdana" w:hAnsi="Verdana" w:cs="Arial"/>
          <w:color w:val="222222"/>
          <w:sz w:val="20"/>
          <w:szCs w:val="20"/>
          <w:shd w:val="clear" w:color="auto" w:fill="FFFFFF"/>
        </w:rPr>
        <w:t xml:space="preserve"> </w:t>
      </w:r>
      <w:r w:rsidR="00D44A0F">
        <w:rPr>
          <w:rFonts w:ascii="Verdana" w:hAnsi="Verdana" w:cs="Arial"/>
          <w:color w:val="222222"/>
          <w:sz w:val="20"/>
          <w:szCs w:val="20"/>
          <w:shd w:val="clear" w:color="auto" w:fill="FFFFFF"/>
        </w:rPr>
        <w:t xml:space="preserve">no resultaría incompatible con los tiempos dispuestos </w:t>
      </w:r>
      <w:r w:rsidR="00D44A0F" w:rsidRPr="00EC2A81">
        <w:rPr>
          <w:rFonts w:ascii="Verdana" w:hAnsi="Verdana" w:cs="Arial"/>
          <w:color w:val="222222"/>
          <w:sz w:val="20"/>
          <w:szCs w:val="20"/>
          <w:shd w:val="clear" w:color="auto" w:fill="FFFFFF"/>
        </w:rPr>
        <w:t>[</w:t>
      </w:r>
      <w:r w:rsidR="00D44A0F">
        <w:rPr>
          <w:rFonts w:ascii="Verdana" w:hAnsi="Verdana" w:cs="Arial"/>
          <w:color w:val="222222"/>
          <w:sz w:val="20"/>
          <w:szCs w:val="20"/>
          <w:shd w:val="clear" w:color="auto" w:fill="FFFFFF"/>
        </w:rPr>
        <w:t>…</w:t>
      </w:r>
      <w:r w:rsidR="00D44A0F" w:rsidRPr="00EC2A81">
        <w:rPr>
          <w:rFonts w:ascii="Verdana" w:hAnsi="Verdana" w:cs="Arial"/>
          <w:color w:val="222222"/>
          <w:sz w:val="20"/>
          <w:szCs w:val="20"/>
          <w:shd w:val="clear" w:color="auto" w:fill="FFFFFF"/>
        </w:rPr>
        <w:t>]</w:t>
      </w:r>
      <w:r w:rsidR="00D44A0F">
        <w:rPr>
          <w:rFonts w:ascii="Verdana" w:hAnsi="Verdana" w:cs="Arial"/>
          <w:color w:val="222222"/>
          <w:sz w:val="20"/>
          <w:szCs w:val="20"/>
          <w:shd w:val="clear" w:color="auto" w:fill="FFFFFF"/>
        </w:rPr>
        <w:t xml:space="preserve"> llevar a cabo la audiencia pública”</w:t>
      </w:r>
      <w:r w:rsidR="00506510">
        <w:rPr>
          <w:rFonts w:ascii="Verdana" w:eastAsia="Times New Roman" w:hAnsi="Verdana" w:cs="Verdana"/>
          <w:sz w:val="20"/>
          <w:szCs w:val="20"/>
        </w:rPr>
        <w:t>.</w:t>
      </w:r>
    </w:p>
    <w:p w14:paraId="3B51F146" w14:textId="77777777" w:rsidR="00226217" w:rsidRPr="0001341D" w:rsidRDefault="00226217" w:rsidP="0001341D">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lang w:val="es-CL"/>
        </w:rPr>
      </w:pPr>
    </w:p>
    <w:p w14:paraId="7EF19003" w14:textId="310EC129" w:rsidR="001500CE" w:rsidRDefault="00D44A0F" w:rsidP="0001341D">
      <w:pPr>
        <w:pStyle w:val="ListParagraph"/>
        <w:numPr>
          <w:ilvl w:val="0"/>
          <w:numId w:val="2"/>
        </w:numPr>
        <w:spacing w:after="0"/>
        <w:ind w:left="0" w:firstLine="0"/>
        <w:rPr>
          <w:lang w:val="es-CR"/>
        </w:rPr>
      </w:pPr>
      <w:r w:rsidRPr="00434013">
        <w:rPr>
          <w:rFonts w:eastAsia="Times New Roman" w:cs="Verdana"/>
          <w:szCs w:val="20"/>
        </w:rPr>
        <w:t xml:space="preserve">En vista de lo anterior, </w:t>
      </w:r>
      <w:r w:rsidRPr="0001341D">
        <w:rPr>
          <w:rFonts w:eastAsia="Times New Roman" w:cs="Verdana"/>
          <w:b/>
          <w:i/>
          <w:szCs w:val="20"/>
        </w:rPr>
        <w:t>la Corte</w:t>
      </w:r>
      <w:r w:rsidRPr="00434013">
        <w:rPr>
          <w:rFonts w:eastAsia="Times New Roman" w:cs="Verdana"/>
          <w:szCs w:val="20"/>
        </w:rPr>
        <w:t xml:space="preserve"> reitera </w:t>
      </w:r>
      <w:r w:rsidR="00D225CD" w:rsidRPr="008274C5">
        <w:rPr>
          <w:szCs w:val="20"/>
        </w:rPr>
        <w:t xml:space="preserve">que en los casos sometidos a su conocimiento es necesario asegurar </w:t>
      </w:r>
      <w:r w:rsidR="00D225CD" w:rsidRPr="00FC2B4A">
        <w:rPr>
          <w:szCs w:val="20"/>
        </w:rPr>
        <w:t>el conocimiento de la verdad y la más amplia presentación de hechos y argumentos por las</w:t>
      </w:r>
      <w:r w:rsidR="00D225CD" w:rsidRPr="00E80619">
        <w:rPr>
          <w:szCs w:val="20"/>
        </w:rPr>
        <w:t xml:space="preserve"> partes, en todo lo que sea pertinente para la solución de las cuestiones controvertidas, garantizando a éstas el derecho a la defensa de sus respectivas posiciones</w:t>
      </w:r>
      <w:r w:rsidRPr="00143776">
        <w:rPr>
          <w:rFonts w:eastAsia="Times New Roman" w:cs="Verdana"/>
          <w:szCs w:val="20"/>
        </w:rPr>
        <w:t xml:space="preserve">. </w:t>
      </w:r>
      <w:r w:rsidR="00D225CD" w:rsidRPr="0001341D">
        <w:rPr>
          <w:szCs w:val="20"/>
        </w:rPr>
        <w:t>Por lo tanto, en atención al principio de economía procesal, es preciso recibir mediante declaración rendida ante fedatario público (affidávit) el mayor número posible de testimonios y dictámenes</w:t>
      </w:r>
      <w:r w:rsidR="00D225CD" w:rsidRPr="0001341D">
        <w:rPr>
          <w:rStyle w:val="FootnoteReference"/>
          <w:sz w:val="20"/>
          <w:szCs w:val="20"/>
        </w:rPr>
        <w:footnoteReference w:id="5"/>
      </w:r>
      <w:r w:rsidR="00D225CD" w:rsidRPr="008274C5">
        <w:rPr>
          <w:szCs w:val="20"/>
        </w:rPr>
        <w:t xml:space="preserve">. </w:t>
      </w:r>
      <w:r w:rsidR="00C679C0" w:rsidRPr="008274C5">
        <w:rPr>
          <w:rFonts w:eastAsia="Times New Roman" w:cs="Verdana"/>
          <w:szCs w:val="20"/>
        </w:rPr>
        <w:t xml:space="preserve"> </w:t>
      </w:r>
    </w:p>
    <w:p w14:paraId="142ECF0F" w14:textId="77777777" w:rsidR="001500CE" w:rsidRDefault="001500CE" w:rsidP="0001341D">
      <w:pPr>
        <w:pStyle w:val="ListParagraph"/>
        <w:spacing w:after="0"/>
        <w:ind w:left="0"/>
        <w:rPr>
          <w:lang w:val="es-CR"/>
        </w:rPr>
      </w:pPr>
    </w:p>
    <w:p w14:paraId="67059450" w14:textId="1574C13F" w:rsidR="001500CE" w:rsidRDefault="001500CE" w:rsidP="001500CE">
      <w:pPr>
        <w:widowControl w:val="0"/>
        <w:numPr>
          <w:ilvl w:val="0"/>
          <w:numId w:val="2"/>
        </w:numPr>
        <w:tabs>
          <w:tab w:val="left" w:pos="567"/>
          <w:tab w:val="left" w:pos="851"/>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01341D">
        <w:rPr>
          <w:rFonts w:ascii="Verdana" w:hAnsi="Verdana"/>
          <w:sz w:val="20"/>
          <w:szCs w:val="20"/>
        </w:rPr>
        <w:t>En est</w:t>
      </w:r>
      <w:r w:rsidR="00EE548E" w:rsidRPr="0001341D">
        <w:rPr>
          <w:rFonts w:ascii="Verdana" w:hAnsi="Verdana"/>
          <w:sz w:val="20"/>
          <w:szCs w:val="20"/>
        </w:rPr>
        <w:t>e sentido</w:t>
      </w:r>
      <w:r w:rsidR="008F5C65" w:rsidRPr="0001341D">
        <w:rPr>
          <w:rFonts w:ascii="Verdana" w:hAnsi="Verdana"/>
          <w:sz w:val="20"/>
          <w:szCs w:val="20"/>
        </w:rPr>
        <w:t xml:space="preserve">, </w:t>
      </w:r>
      <w:r w:rsidR="0086077C" w:rsidRPr="0001341D">
        <w:rPr>
          <w:rFonts w:ascii="Verdana" w:hAnsi="Verdana"/>
          <w:sz w:val="20"/>
          <w:szCs w:val="20"/>
        </w:rPr>
        <w:t xml:space="preserve">la Corte </w:t>
      </w:r>
      <w:r w:rsidR="00EE548E" w:rsidRPr="0001341D">
        <w:rPr>
          <w:rFonts w:ascii="Verdana" w:hAnsi="Verdana"/>
          <w:sz w:val="20"/>
          <w:szCs w:val="20"/>
        </w:rPr>
        <w:t xml:space="preserve">reitera las consideraciones del Presidente </w:t>
      </w:r>
      <w:r w:rsidR="008274C5">
        <w:rPr>
          <w:rFonts w:ascii="Verdana" w:hAnsi="Verdana"/>
          <w:sz w:val="20"/>
          <w:szCs w:val="20"/>
        </w:rPr>
        <w:t xml:space="preserve">en ejercicio </w:t>
      </w:r>
      <w:r w:rsidR="00EE548E" w:rsidRPr="0001341D">
        <w:rPr>
          <w:rFonts w:ascii="Verdana" w:hAnsi="Verdana"/>
          <w:sz w:val="20"/>
          <w:szCs w:val="20"/>
        </w:rPr>
        <w:t xml:space="preserve">vertidas en la Resolución recurrida en cuanto a la pertinencia de </w:t>
      </w:r>
      <w:r w:rsidR="00EE548E" w:rsidRPr="0001341D">
        <w:rPr>
          <w:rFonts w:ascii="Verdana" w:hAnsi="Verdana" w:cs="Arial"/>
          <w:sz w:val="20"/>
          <w:szCs w:val="20"/>
        </w:rPr>
        <w:t xml:space="preserve">recabar dicha prueba testimonial </w:t>
      </w:r>
      <w:r w:rsidR="00EE548E" w:rsidRPr="0001341D">
        <w:rPr>
          <w:rFonts w:ascii="Verdana" w:hAnsi="Verdana" w:cs="Arial"/>
          <w:sz w:val="20"/>
          <w:szCs w:val="20"/>
          <w:lang w:val="es-CR"/>
        </w:rPr>
        <w:t>por affidávit</w:t>
      </w:r>
      <w:r w:rsidR="00EE548E" w:rsidRPr="0001341D">
        <w:rPr>
          <w:rFonts w:ascii="Verdana" w:hAnsi="Verdana" w:cs="Arial"/>
          <w:sz w:val="20"/>
          <w:szCs w:val="20"/>
        </w:rPr>
        <w:t>,</w:t>
      </w:r>
      <w:r w:rsidR="008274C5">
        <w:rPr>
          <w:rFonts w:ascii="Verdana" w:hAnsi="Verdana" w:cs="Arial"/>
          <w:sz w:val="20"/>
          <w:szCs w:val="20"/>
        </w:rPr>
        <w:t xml:space="preserve"> </w:t>
      </w:r>
      <w:r w:rsidR="00EE548E" w:rsidRPr="0001341D">
        <w:rPr>
          <w:rFonts w:ascii="Verdana" w:hAnsi="Verdana" w:cs="Arial"/>
          <w:sz w:val="20"/>
          <w:szCs w:val="20"/>
        </w:rPr>
        <w:t xml:space="preserve">sin que ello resulte en detrimento </w:t>
      </w:r>
      <w:r>
        <w:rPr>
          <w:rFonts w:ascii="Verdana" w:hAnsi="Verdana" w:cs="Arial"/>
          <w:sz w:val="20"/>
          <w:szCs w:val="20"/>
        </w:rPr>
        <w:t xml:space="preserve">a los principios del contradictorio </w:t>
      </w:r>
      <w:r w:rsidR="00D85CC4">
        <w:rPr>
          <w:rFonts w:ascii="Verdana" w:hAnsi="Verdana" w:cs="Arial"/>
          <w:sz w:val="20"/>
          <w:szCs w:val="20"/>
        </w:rPr>
        <w:t xml:space="preserve">procesal </w:t>
      </w:r>
      <w:r>
        <w:rPr>
          <w:rFonts w:ascii="Verdana" w:hAnsi="Verdana" w:cs="Arial"/>
          <w:sz w:val="20"/>
          <w:szCs w:val="20"/>
        </w:rPr>
        <w:t xml:space="preserve">y </w:t>
      </w:r>
      <w:r w:rsidR="00EE548E" w:rsidRPr="0001341D">
        <w:rPr>
          <w:rFonts w:ascii="Verdana" w:hAnsi="Verdana" w:cs="Arial"/>
          <w:sz w:val="20"/>
          <w:szCs w:val="20"/>
        </w:rPr>
        <w:t xml:space="preserve">para efectos de que en </w:t>
      </w:r>
      <w:r w:rsidR="001C5C83" w:rsidRPr="0001341D">
        <w:rPr>
          <w:rFonts w:ascii="Verdana" w:hAnsi="Verdana" w:cs="Arial"/>
          <w:sz w:val="20"/>
          <w:szCs w:val="20"/>
        </w:rPr>
        <w:t>la</w:t>
      </w:r>
      <w:r w:rsidR="00EE548E" w:rsidRPr="0001341D">
        <w:rPr>
          <w:rFonts w:ascii="Verdana" w:hAnsi="Verdana" w:cs="Arial"/>
          <w:sz w:val="20"/>
          <w:szCs w:val="20"/>
        </w:rPr>
        <w:t xml:space="preserve"> debida oportunidad el Tribunal aprecie su valor dentro del contexto del acervo probatorio existente y según las reglas de la sana crítica</w:t>
      </w:r>
      <w:r w:rsidR="00EE548E" w:rsidRPr="0001341D">
        <w:rPr>
          <w:rFonts w:ascii="Verdana" w:hAnsi="Verdana"/>
          <w:sz w:val="20"/>
          <w:szCs w:val="20"/>
        </w:rPr>
        <w:t xml:space="preserve">. </w:t>
      </w:r>
      <w:r w:rsidR="001C5C83">
        <w:rPr>
          <w:rFonts w:ascii="Verdana" w:hAnsi="Verdana"/>
          <w:sz w:val="20"/>
          <w:szCs w:val="20"/>
        </w:rPr>
        <w:t>Por</w:t>
      </w:r>
      <w:r w:rsidR="00EE548E" w:rsidRPr="0001341D">
        <w:rPr>
          <w:rFonts w:ascii="Verdana" w:hAnsi="Verdana"/>
          <w:sz w:val="20"/>
          <w:szCs w:val="20"/>
        </w:rPr>
        <w:t xml:space="preserve"> consecuencia, resuelve </w:t>
      </w:r>
      <w:r w:rsidR="001C5C83">
        <w:rPr>
          <w:rFonts w:ascii="Verdana" w:hAnsi="Verdana"/>
          <w:sz w:val="20"/>
          <w:szCs w:val="20"/>
        </w:rPr>
        <w:t xml:space="preserve">confirmar la Resolución del Presidente para que el testimonio referido sea desahogado </w:t>
      </w:r>
      <w:r w:rsidR="00107B6B">
        <w:rPr>
          <w:rFonts w:ascii="Verdana" w:hAnsi="Verdana"/>
          <w:sz w:val="20"/>
          <w:szCs w:val="20"/>
        </w:rPr>
        <w:t>en la modalidad señalada</w:t>
      </w:r>
      <w:r w:rsidR="001C5C83">
        <w:rPr>
          <w:rFonts w:ascii="Verdana" w:hAnsi="Verdana"/>
          <w:sz w:val="20"/>
          <w:szCs w:val="20"/>
        </w:rPr>
        <w:t xml:space="preserve">, y </w:t>
      </w:r>
      <w:r w:rsidR="00EE548E" w:rsidRPr="0001341D">
        <w:rPr>
          <w:rFonts w:ascii="Verdana" w:hAnsi="Verdana"/>
          <w:sz w:val="20"/>
          <w:szCs w:val="20"/>
        </w:rPr>
        <w:t xml:space="preserve">desestimar la solicitud de reconsideración realizada por las representantes </w:t>
      </w:r>
      <w:r w:rsidR="001C5C83">
        <w:rPr>
          <w:rFonts w:ascii="Verdana" w:eastAsia="Times New Roman" w:hAnsi="Verdana" w:cs="Verdana"/>
          <w:sz w:val="20"/>
          <w:szCs w:val="20"/>
          <w:lang w:val="es-CL"/>
        </w:rPr>
        <w:t>en cuanto a este punto específico</w:t>
      </w:r>
      <w:r w:rsidRPr="00EC2A81">
        <w:rPr>
          <w:rStyle w:val="FootnoteReference"/>
          <w:rFonts w:eastAsia="Times New Roman"/>
          <w:lang w:val="es-CL"/>
        </w:rPr>
        <w:footnoteReference w:id="6"/>
      </w:r>
      <w:r w:rsidRPr="00EC2A81">
        <w:rPr>
          <w:rFonts w:ascii="Verdana" w:eastAsia="Times New Roman" w:hAnsi="Verdana" w:cs="Verdana"/>
          <w:sz w:val="20"/>
          <w:szCs w:val="20"/>
          <w:lang w:val="es-CL"/>
        </w:rPr>
        <w:t>.</w:t>
      </w:r>
    </w:p>
    <w:p w14:paraId="3448C19C" w14:textId="77777777" w:rsidR="00107B6B" w:rsidRDefault="00107B6B" w:rsidP="0001341D">
      <w:pPr>
        <w:widowControl w:val="0"/>
        <w:tabs>
          <w:tab w:val="left" w:pos="567"/>
          <w:tab w:val="left" w:pos="851"/>
        </w:tabs>
        <w:autoSpaceDE w:val="0"/>
        <w:autoSpaceDN w:val="0"/>
        <w:adjustRightInd w:val="0"/>
        <w:spacing w:after="0" w:line="240" w:lineRule="auto"/>
        <w:ind w:right="22"/>
        <w:jc w:val="both"/>
        <w:rPr>
          <w:rFonts w:ascii="Verdana" w:eastAsia="Times New Roman" w:hAnsi="Verdana" w:cs="Verdana"/>
          <w:sz w:val="20"/>
          <w:szCs w:val="20"/>
          <w:lang w:val="es-CL"/>
        </w:rPr>
      </w:pPr>
    </w:p>
    <w:p w14:paraId="16AFE2B6" w14:textId="448CAB22" w:rsidR="00D85CC4" w:rsidRDefault="008274C5" w:rsidP="0001341D">
      <w:pPr>
        <w:pStyle w:val="ListParagraph"/>
        <w:widowControl w:val="0"/>
        <w:numPr>
          <w:ilvl w:val="0"/>
          <w:numId w:val="53"/>
        </w:numPr>
        <w:tabs>
          <w:tab w:val="left" w:pos="567"/>
          <w:tab w:val="left" w:pos="851"/>
        </w:tabs>
        <w:autoSpaceDE w:val="0"/>
        <w:autoSpaceDN w:val="0"/>
        <w:adjustRightInd w:val="0"/>
        <w:spacing w:after="0"/>
        <w:ind w:right="22"/>
        <w:rPr>
          <w:rFonts w:eastAsia="Times New Roman" w:cs="Verdana"/>
          <w:b/>
          <w:i/>
          <w:szCs w:val="20"/>
          <w:lang w:val="es-CL"/>
        </w:rPr>
      </w:pPr>
      <w:r>
        <w:rPr>
          <w:rFonts w:eastAsia="Times New Roman" w:cs="Verdana"/>
          <w:b/>
          <w:i/>
          <w:szCs w:val="20"/>
          <w:lang w:val="es-CL"/>
        </w:rPr>
        <w:t>Respecto de la</w:t>
      </w:r>
      <w:r w:rsidR="00D85CC4">
        <w:rPr>
          <w:rFonts w:eastAsia="Times New Roman" w:cs="Verdana"/>
          <w:b/>
          <w:i/>
          <w:szCs w:val="20"/>
          <w:lang w:val="es-CL"/>
        </w:rPr>
        <w:t xml:space="preserve"> rectificación del nombre de uno de los declarantes. </w:t>
      </w:r>
    </w:p>
    <w:p w14:paraId="71C9F2B1" w14:textId="77777777" w:rsidR="00D85CC4" w:rsidRPr="0001341D" w:rsidRDefault="00D85CC4" w:rsidP="0001341D">
      <w:pPr>
        <w:pStyle w:val="ListParagraph"/>
        <w:widowControl w:val="0"/>
        <w:tabs>
          <w:tab w:val="left" w:pos="567"/>
          <w:tab w:val="left" w:pos="851"/>
        </w:tabs>
        <w:autoSpaceDE w:val="0"/>
        <w:autoSpaceDN w:val="0"/>
        <w:adjustRightInd w:val="0"/>
        <w:spacing w:after="0"/>
        <w:ind w:left="1080" w:right="22"/>
        <w:rPr>
          <w:rFonts w:eastAsia="Times New Roman" w:cs="Verdana"/>
          <w:b/>
          <w:i/>
          <w:szCs w:val="20"/>
          <w:lang w:val="es-CL"/>
        </w:rPr>
      </w:pPr>
    </w:p>
    <w:p w14:paraId="369F53F6" w14:textId="7F30D36E" w:rsidR="00624E06" w:rsidRPr="00506510" w:rsidRDefault="00D85CC4" w:rsidP="0001341D">
      <w:pPr>
        <w:widowControl w:val="0"/>
        <w:numPr>
          <w:ilvl w:val="0"/>
          <w:numId w:val="2"/>
        </w:numPr>
        <w:tabs>
          <w:tab w:val="left" w:pos="567"/>
          <w:tab w:val="left" w:pos="851"/>
        </w:tabs>
        <w:autoSpaceDE w:val="0"/>
        <w:autoSpaceDN w:val="0"/>
        <w:adjustRightInd w:val="0"/>
        <w:spacing w:after="0" w:line="240" w:lineRule="auto"/>
        <w:ind w:left="0" w:right="22" w:firstLine="0"/>
        <w:jc w:val="both"/>
        <w:rPr>
          <w:rFonts w:eastAsia="Times New Roman" w:cs="Verdana"/>
          <w:szCs w:val="20"/>
          <w:lang w:val="es-CL"/>
        </w:rPr>
      </w:pPr>
      <w:r w:rsidRPr="00506510">
        <w:rPr>
          <w:rFonts w:ascii="Verdana" w:eastAsia="Times New Roman" w:hAnsi="Verdana" w:cs="Verdana"/>
          <w:sz w:val="20"/>
          <w:szCs w:val="20"/>
          <w:lang w:val="es-CL"/>
        </w:rPr>
        <w:t xml:space="preserve">Las </w:t>
      </w:r>
      <w:r w:rsidRPr="00506510">
        <w:rPr>
          <w:rFonts w:ascii="Verdana" w:eastAsia="Times New Roman" w:hAnsi="Verdana" w:cs="Verdana"/>
          <w:b/>
          <w:i/>
          <w:sz w:val="20"/>
          <w:szCs w:val="20"/>
          <w:lang w:val="es-CL"/>
        </w:rPr>
        <w:t>representantes</w:t>
      </w:r>
      <w:r w:rsidRPr="00506510">
        <w:rPr>
          <w:rFonts w:ascii="Verdana" w:eastAsia="Times New Roman" w:hAnsi="Verdana" w:cs="Verdana"/>
          <w:sz w:val="20"/>
          <w:szCs w:val="20"/>
          <w:lang w:val="es-CL"/>
        </w:rPr>
        <w:t xml:space="preserve"> solicitaron la aclaración del nombre de uno de los declarantes </w:t>
      </w:r>
      <w:r w:rsidR="009A599E" w:rsidRPr="00506510">
        <w:rPr>
          <w:rFonts w:ascii="Verdana" w:eastAsia="Times New Roman" w:hAnsi="Verdana" w:cs="Verdana"/>
          <w:sz w:val="20"/>
          <w:szCs w:val="20"/>
          <w:lang w:val="es-CL"/>
        </w:rPr>
        <w:t>ofrecidos en su lista definitiva</w:t>
      </w:r>
      <w:r w:rsidR="00DC215A" w:rsidRPr="00506510">
        <w:rPr>
          <w:rFonts w:ascii="Verdana" w:eastAsia="Times New Roman" w:hAnsi="Verdana" w:cs="Verdana"/>
          <w:sz w:val="20"/>
          <w:szCs w:val="20"/>
          <w:lang w:val="es-CL"/>
        </w:rPr>
        <w:t>,</w:t>
      </w:r>
      <w:r w:rsidR="009A599E" w:rsidRPr="00506510">
        <w:rPr>
          <w:rFonts w:ascii="Verdana" w:eastAsia="Times New Roman" w:hAnsi="Verdana" w:cs="Verdana"/>
          <w:sz w:val="20"/>
          <w:szCs w:val="20"/>
          <w:lang w:val="es-CL"/>
        </w:rPr>
        <w:t xml:space="preserve"> </w:t>
      </w:r>
      <w:r w:rsidRPr="00506510">
        <w:rPr>
          <w:rFonts w:ascii="Verdana" w:eastAsia="Times New Roman" w:hAnsi="Verdana" w:cs="Verdana"/>
          <w:sz w:val="20"/>
          <w:szCs w:val="20"/>
          <w:lang w:val="es-CL"/>
        </w:rPr>
        <w:t xml:space="preserve">señalados </w:t>
      </w:r>
      <w:r w:rsidR="009A599E" w:rsidRPr="00506510">
        <w:rPr>
          <w:rFonts w:ascii="Verdana" w:eastAsia="Times New Roman" w:hAnsi="Verdana" w:cs="Verdana"/>
          <w:sz w:val="20"/>
          <w:szCs w:val="20"/>
          <w:lang w:val="es-CL"/>
        </w:rPr>
        <w:t xml:space="preserve">en </w:t>
      </w:r>
      <w:r w:rsidRPr="00506510">
        <w:rPr>
          <w:rFonts w:ascii="Verdana" w:eastAsia="Times New Roman" w:hAnsi="Verdana" w:cs="Verdana"/>
          <w:sz w:val="20"/>
          <w:szCs w:val="20"/>
          <w:lang w:val="es-CL"/>
        </w:rPr>
        <w:t>la Resolución del Presidente para rendir su testimonio mediante affidávit</w:t>
      </w:r>
      <w:r>
        <w:rPr>
          <w:rStyle w:val="FootnoteReference"/>
          <w:rFonts w:eastAsia="Times New Roman"/>
          <w:lang w:val="es-CL"/>
        </w:rPr>
        <w:footnoteReference w:id="7"/>
      </w:r>
      <w:r w:rsidR="009A599E" w:rsidRPr="00506510">
        <w:rPr>
          <w:rFonts w:ascii="Verdana" w:eastAsia="Times New Roman" w:hAnsi="Verdana" w:cs="Verdana"/>
          <w:sz w:val="20"/>
          <w:szCs w:val="20"/>
          <w:lang w:val="es-CL"/>
        </w:rPr>
        <w:t>. Como motivación de su solicitud, señalaron que “por un error involuntario</w:t>
      </w:r>
      <w:r w:rsidR="009A599E" w:rsidRPr="009A599E">
        <w:t xml:space="preserve"> </w:t>
      </w:r>
      <w:r w:rsidR="009A599E" w:rsidRPr="00506510">
        <w:rPr>
          <w:rFonts w:ascii="Verdana" w:hAnsi="Verdana" w:cs="Arial"/>
          <w:color w:val="222222"/>
          <w:sz w:val="20"/>
          <w:szCs w:val="20"/>
          <w:shd w:val="clear" w:color="auto" w:fill="FFFFFF"/>
        </w:rPr>
        <w:t xml:space="preserve">[…] </w:t>
      </w:r>
      <w:r w:rsidR="009A599E" w:rsidRPr="00506510">
        <w:rPr>
          <w:rFonts w:ascii="Verdana" w:eastAsia="Times New Roman" w:hAnsi="Verdana" w:cs="Verdana"/>
          <w:sz w:val="20"/>
          <w:szCs w:val="20"/>
          <w:lang w:val="es-CL"/>
        </w:rPr>
        <w:t xml:space="preserve">esta representación incluyó el nombre </w:t>
      </w:r>
      <w:r w:rsidR="009A599E" w:rsidRPr="00506510">
        <w:rPr>
          <w:rFonts w:ascii="Verdana" w:hAnsi="Verdana" w:cs="Arial"/>
          <w:color w:val="222222"/>
          <w:sz w:val="20"/>
          <w:szCs w:val="20"/>
          <w:shd w:val="clear" w:color="auto" w:fill="FFFFFF"/>
        </w:rPr>
        <w:t>[de José Herrera Fabela]</w:t>
      </w:r>
      <w:r w:rsidR="009A599E" w:rsidRPr="00506510">
        <w:rPr>
          <w:rFonts w:ascii="Verdana" w:eastAsia="Times New Roman" w:hAnsi="Verdana" w:cs="Verdana"/>
          <w:sz w:val="20"/>
          <w:szCs w:val="20"/>
          <w:lang w:val="es-CL"/>
        </w:rPr>
        <w:t xml:space="preserve">, cuando el nombre correcto es José Ángel Alvarado Fabela, padre de José Ángel Alvarado Herrera y beneficiario de las medidas provisionales del presente caso”. </w:t>
      </w:r>
    </w:p>
    <w:p w14:paraId="17A7F519" w14:textId="77777777" w:rsidR="00506510" w:rsidRPr="00506510" w:rsidRDefault="00506510" w:rsidP="00506510">
      <w:pPr>
        <w:widowControl w:val="0"/>
        <w:tabs>
          <w:tab w:val="left" w:pos="567"/>
          <w:tab w:val="left" w:pos="851"/>
        </w:tabs>
        <w:autoSpaceDE w:val="0"/>
        <w:autoSpaceDN w:val="0"/>
        <w:adjustRightInd w:val="0"/>
        <w:spacing w:after="0" w:line="240" w:lineRule="auto"/>
        <w:ind w:right="22"/>
        <w:jc w:val="both"/>
        <w:rPr>
          <w:rFonts w:eastAsia="Times New Roman" w:cs="Verdana"/>
          <w:szCs w:val="20"/>
          <w:lang w:val="es-CL"/>
        </w:rPr>
      </w:pPr>
    </w:p>
    <w:p w14:paraId="6BD4115D" w14:textId="77777777" w:rsidR="00624E06" w:rsidRDefault="009A599E" w:rsidP="0001341D">
      <w:pPr>
        <w:pStyle w:val="ListParagraph"/>
        <w:numPr>
          <w:ilvl w:val="0"/>
          <w:numId w:val="2"/>
        </w:numPr>
        <w:ind w:left="0" w:firstLine="0"/>
        <w:rPr>
          <w:rFonts w:cs="Arial"/>
          <w:szCs w:val="20"/>
        </w:rPr>
      </w:pPr>
      <w:r w:rsidRPr="00434013">
        <w:rPr>
          <w:rFonts w:cs="Arial"/>
          <w:szCs w:val="20"/>
        </w:rPr>
        <w:t xml:space="preserve">La </w:t>
      </w:r>
      <w:r w:rsidRPr="0001341D">
        <w:rPr>
          <w:rFonts w:cs="Arial"/>
          <w:b/>
          <w:i/>
          <w:szCs w:val="20"/>
        </w:rPr>
        <w:t>Comisión</w:t>
      </w:r>
      <w:r w:rsidRPr="00434013">
        <w:rPr>
          <w:rFonts w:cs="Arial"/>
          <w:szCs w:val="20"/>
        </w:rPr>
        <w:t xml:space="preserve"> y el </w:t>
      </w:r>
      <w:r w:rsidRPr="0001341D">
        <w:rPr>
          <w:rFonts w:cs="Arial"/>
          <w:b/>
          <w:i/>
          <w:szCs w:val="20"/>
        </w:rPr>
        <w:t>Estado</w:t>
      </w:r>
      <w:r w:rsidRPr="00434013">
        <w:rPr>
          <w:rFonts w:cs="Arial"/>
          <w:szCs w:val="20"/>
        </w:rPr>
        <w:t xml:space="preserve"> no realizaron observaciones respecto de la solicitud de las representantes sobre este particular.</w:t>
      </w:r>
    </w:p>
    <w:p w14:paraId="5A5C007C" w14:textId="77777777" w:rsidR="00624E06" w:rsidRPr="00434013" w:rsidRDefault="00624E06" w:rsidP="0001341D">
      <w:pPr>
        <w:pStyle w:val="ListParagraph"/>
        <w:ind w:left="0"/>
        <w:rPr>
          <w:rFonts w:cs="Arial"/>
          <w:szCs w:val="20"/>
        </w:rPr>
      </w:pPr>
    </w:p>
    <w:p w14:paraId="186CD646" w14:textId="1B6EFB5D" w:rsidR="00107B6B" w:rsidRDefault="00127AC4" w:rsidP="0001341D">
      <w:pPr>
        <w:pStyle w:val="ListParagraph"/>
        <w:numPr>
          <w:ilvl w:val="0"/>
          <w:numId w:val="2"/>
        </w:numPr>
        <w:ind w:left="0" w:firstLine="0"/>
        <w:rPr>
          <w:lang w:val="es-MX"/>
        </w:rPr>
      </w:pPr>
      <w:r w:rsidRPr="00434013">
        <w:rPr>
          <w:lang w:val="es-MX"/>
        </w:rPr>
        <w:t>Al respecto</w:t>
      </w:r>
      <w:r w:rsidRPr="008274C5">
        <w:rPr>
          <w:lang w:val="es-MX"/>
        </w:rPr>
        <w:t xml:space="preserve">, </w:t>
      </w:r>
      <w:r w:rsidRPr="0001341D">
        <w:rPr>
          <w:b/>
          <w:i/>
          <w:lang w:val="es-MX"/>
        </w:rPr>
        <w:t>la Corte</w:t>
      </w:r>
      <w:r w:rsidRPr="008274C5">
        <w:rPr>
          <w:lang w:val="es-MX"/>
        </w:rPr>
        <w:t xml:space="preserve"> considera que </w:t>
      </w:r>
      <w:r>
        <w:rPr>
          <w:lang w:val="es-MX"/>
        </w:rPr>
        <w:t xml:space="preserve">siendo </w:t>
      </w:r>
      <w:r w:rsidR="005127EE" w:rsidRPr="00434013">
        <w:rPr>
          <w:lang w:val="es-MX"/>
        </w:rPr>
        <w:t xml:space="preserve">que </w:t>
      </w:r>
      <w:r>
        <w:rPr>
          <w:lang w:val="es-MX"/>
        </w:rPr>
        <w:t>dicha probanza fue ofrecida</w:t>
      </w:r>
      <w:r w:rsidRPr="00434013">
        <w:rPr>
          <w:lang w:val="es-MX"/>
        </w:rPr>
        <w:t xml:space="preserve"> en </w:t>
      </w:r>
      <w:r w:rsidRPr="008274C5">
        <w:rPr>
          <w:lang w:val="es-MX"/>
        </w:rPr>
        <w:t>la debida oport</w:t>
      </w:r>
      <w:r w:rsidR="00624E06">
        <w:rPr>
          <w:lang w:val="es-MX"/>
        </w:rPr>
        <w:t>unidad procesal, que</w:t>
      </w:r>
      <w:r w:rsidRPr="00434013">
        <w:rPr>
          <w:lang w:val="es-MX"/>
        </w:rPr>
        <w:t xml:space="preserve"> </w:t>
      </w:r>
      <w:r w:rsidR="005127EE" w:rsidRPr="008274C5">
        <w:rPr>
          <w:lang w:val="es-MX"/>
        </w:rPr>
        <w:t xml:space="preserve">las </w:t>
      </w:r>
      <w:r w:rsidRPr="008274C5">
        <w:rPr>
          <w:lang w:val="es-MX"/>
        </w:rPr>
        <w:t xml:space="preserve">representantes han remitido la documental que </w:t>
      </w:r>
      <w:r>
        <w:rPr>
          <w:lang w:val="es-MX"/>
        </w:rPr>
        <w:t>individualiza correctamente a dicho declarante</w:t>
      </w:r>
      <w:r w:rsidR="00BE6EA0">
        <w:rPr>
          <w:lang w:val="es-MX"/>
        </w:rPr>
        <w:t>,</w:t>
      </w:r>
      <w:r>
        <w:rPr>
          <w:lang w:val="es-MX"/>
        </w:rPr>
        <w:t xml:space="preserve"> </w:t>
      </w:r>
      <w:r w:rsidRPr="00434013">
        <w:rPr>
          <w:lang w:val="es-MX"/>
        </w:rPr>
        <w:t xml:space="preserve">y </w:t>
      </w:r>
      <w:r w:rsidR="00624E06">
        <w:rPr>
          <w:lang w:val="es-MX"/>
        </w:rPr>
        <w:t xml:space="preserve">toda vez </w:t>
      </w:r>
      <w:r w:rsidRPr="00434013">
        <w:rPr>
          <w:lang w:val="es-MX"/>
        </w:rPr>
        <w:t xml:space="preserve">que en </w:t>
      </w:r>
      <w:r>
        <w:rPr>
          <w:lang w:val="es-MX"/>
        </w:rPr>
        <w:t xml:space="preserve">su </w:t>
      </w:r>
      <w:r w:rsidR="00BE6EA0">
        <w:rPr>
          <w:lang w:val="es-MX"/>
        </w:rPr>
        <w:t>petición</w:t>
      </w:r>
      <w:r w:rsidRPr="00434013">
        <w:rPr>
          <w:lang w:val="es-MX"/>
        </w:rPr>
        <w:t xml:space="preserve"> de reconsideración no se advierte un cambio del objeto de su declaración, estima conducente </w:t>
      </w:r>
      <w:r w:rsidRPr="008274C5">
        <w:rPr>
          <w:lang w:val="es-MX"/>
        </w:rPr>
        <w:t xml:space="preserve">dicha solicitud y, por tanto, modifica el punto resolutivo 17, inciso a), numeral i, </w:t>
      </w:r>
      <w:r w:rsidR="008274C5">
        <w:rPr>
          <w:lang w:val="es-MX"/>
        </w:rPr>
        <w:t>con el</w:t>
      </w:r>
      <w:r w:rsidR="006C62F6">
        <w:rPr>
          <w:lang w:val="es-MX"/>
        </w:rPr>
        <w:t xml:space="preserve"> único </w:t>
      </w:r>
      <w:r w:rsidRPr="00434013">
        <w:rPr>
          <w:lang w:val="es-MX"/>
        </w:rPr>
        <w:t xml:space="preserve">efecto de rectificar el nombre del testigo </w:t>
      </w:r>
      <w:r w:rsidRPr="008274C5">
        <w:rPr>
          <w:lang w:val="es-MX"/>
        </w:rPr>
        <w:t xml:space="preserve">“Jose Herrera Fabela” por el de </w:t>
      </w:r>
      <w:r>
        <w:rPr>
          <w:lang w:val="es-MX"/>
        </w:rPr>
        <w:t>“José Ángel Alvarado Fabela”</w:t>
      </w:r>
      <w:r w:rsidR="00624E06">
        <w:rPr>
          <w:lang w:val="es-MX"/>
        </w:rPr>
        <w:t xml:space="preserve">. </w:t>
      </w:r>
    </w:p>
    <w:p w14:paraId="330A59F8" w14:textId="77777777" w:rsidR="00BE6EA0" w:rsidRDefault="00BE6EA0" w:rsidP="0001341D">
      <w:pPr>
        <w:pStyle w:val="ListParagraph"/>
        <w:ind w:left="0"/>
        <w:rPr>
          <w:lang w:val="es-MX"/>
        </w:rPr>
      </w:pPr>
    </w:p>
    <w:p w14:paraId="2F2A3BB6" w14:textId="2AB7F45A" w:rsidR="00BE6EA0" w:rsidRDefault="008274C5" w:rsidP="0001341D">
      <w:pPr>
        <w:pStyle w:val="ListParagraph"/>
        <w:numPr>
          <w:ilvl w:val="0"/>
          <w:numId w:val="53"/>
        </w:numPr>
        <w:rPr>
          <w:b/>
          <w:i/>
          <w:lang w:val="es-MX"/>
        </w:rPr>
      </w:pPr>
      <w:r>
        <w:rPr>
          <w:b/>
          <w:i/>
          <w:lang w:val="es-MX"/>
        </w:rPr>
        <w:t>Respecto de</w:t>
      </w:r>
      <w:r w:rsidR="00BE6EA0" w:rsidRPr="0001341D">
        <w:rPr>
          <w:b/>
          <w:i/>
          <w:lang w:val="es-MX"/>
        </w:rPr>
        <w:t xml:space="preserve"> la sustitución del perito Alejandro Madrazo </w:t>
      </w:r>
      <w:proofErr w:type="spellStart"/>
      <w:r w:rsidR="00BE6EA0" w:rsidRPr="0001341D">
        <w:rPr>
          <w:b/>
          <w:i/>
          <w:lang w:val="es-MX"/>
        </w:rPr>
        <w:t>Lajous</w:t>
      </w:r>
      <w:proofErr w:type="spellEnd"/>
    </w:p>
    <w:p w14:paraId="58C9CA44" w14:textId="77777777" w:rsidR="006072DB" w:rsidRPr="0001341D" w:rsidRDefault="006072DB" w:rsidP="0001341D">
      <w:pPr>
        <w:pStyle w:val="ListParagraph"/>
        <w:ind w:left="1080"/>
        <w:rPr>
          <w:b/>
          <w:i/>
          <w:lang w:val="es-MX"/>
        </w:rPr>
      </w:pPr>
    </w:p>
    <w:p w14:paraId="279FC254" w14:textId="3DF90FEF" w:rsidR="007B2BA8" w:rsidRDefault="001565A5" w:rsidP="0001341D">
      <w:pPr>
        <w:pStyle w:val="ListParagraph"/>
        <w:numPr>
          <w:ilvl w:val="0"/>
          <w:numId w:val="2"/>
        </w:numPr>
        <w:ind w:left="0" w:firstLine="0"/>
        <w:rPr>
          <w:szCs w:val="20"/>
          <w:lang w:val="es-MX"/>
        </w:rPr>
      </w:pPr>
      <w:r w:rsidRPr="00714A9B">
        <w:rPr>
          <w:szCs w:val="20"/>
          <w:lang w:val="es-MX"/>
        </w:rPr>
        <w:t xml:space="preserve">Las </w:t>
      </w:r>
      <w:r w:rsidRPr="00714A9B">
        <w:rPr>
          <w:b/>
          <w:i/>
          <w:szCs w:val="20"/>
          <w:lang w:val="es-MX"/>
        </w:rPr>
        <w:t xml:space="preserve">representantes </w:t>
      </w:r>
      <w:r w:rsidRPr="00714A9B">
        <w:rPr>
          <w:szCs w:val="20"/>
          <w:lang w:val="es-MX"/>
        </w:rPr>
        <w:t xml:space="preserve">solicitaron a la Corte la reconsideración de la Resolución del Presidente en lo relativo a desestimar la solicitud de sustitución del perito Alejandro Madrazo </w:t>
      </w:r>
      <w:proofErr w:type="spellStart"/>
      <w:r w:rsidRPr="00714A9B">
        <w:rPr>
          <w:szCs w:val="20"/>
          <w:lang w:val="es-MX"/>
        </w:rPr>
        <w:t>Lajous</w:t>
      </w:r>
      <w:proofErr w:type="spellEnd"/>
      <w:r w:rsidRPr="00714A9B">
        <w:rPr>
          <w:szCs w:val="20"/>
          <w:lang w:val="es-MX"/>
        </w:rPr>
        <w:t>, por el señor Javier Treviño Rangel.</w:t>
      </w:r>
      <w:r w:rsidR="00D6385C" w:rsidRPr="00714A9B">
        <w:rPr>
          <w:szCs w:val="20"/>
          <w:lang w:val="es-MX"/>
        </w:rPr>
        <w:t xml:space="preserve"> Argumentaron que </w:t>
      </w:r>
      <w:r w:rsidR="008274C5">
        <w:rPr>
          <w:szCs w:val="20"/>
          <w:lang w:val="es-MX"/>
        </w:rPr>
        <w:t>ésta “</w:t>
      </w:r>
      <w:r w:rsidR="00714A9B" w:rsidRPr="00714A9B">
        <w:rPr>
          <w:szCs w:val="20"/>
          <w:lang w:val="es-MX"/>
        </w:rPr>
        <w:t xml:space="preserve">carece de mayor sustento respecto del cual el impedimento </w:t>
      </w:r>
      <w:r w:rsidR="00DC215A">
        <w:rPr>
          <w:szCs w:val="20"/>
          <w:lang w:val="es-MX"/>
        </w:rPr>
        <w:t xml:space="preserve">del </w:t>
      </w:r>
      <w:r w:rsidR="00714A9B" w:rsidRPr="00714A9B">
        <w:rPr>
          <w:rFonts w:cs="Arial"/>
          <w:color w:val="222222"/>
          <w:szCs w:val="20"/>
          <w:shd w:val="clear" w:color="auto" w:fill="FFFFFF"/>
        </w:rPr>
        <w:t xml:space="preserve">[señor] </w:t>
      </w:r>
      <w:r w:rsidR="00714A9B" w:rsidRPr="00714A9B">
        <w:rPr>
          <w:szCs w:val="20"/>
          <w:lang w:val="es-MX"/>
        </w:rPr>
        <w:t xml:space="preserve">Madrazo </w:t>
      </w:r>
      <w:proofErr w:type="spellStart"/>
      <w:r w:rsidR="00714A9B" w:rsidRPr="00714A9B">
        <w:rPr>
          <w:szCs w:val="20"/>
          <w:lang w:val="es-MX"/>
        </w:rPr>
        <w:t>Lajous</w:t>
      </w:r>
      <w:proofErr w:type="spellEnd"/>
      <w:r w:rsidR="00714A9B" w:rsidRPr="00714A9B">
        <w:rPr>
          <w:szCs w:val="20"/>
          <w:lang w:val="es-MX"/>
        </w:rPr>
        <w:t xml:space="preserve"> no podría considerarse dentro de las causales previstas en el artículo 57.2 del reglamento vigente</w:t>
      </w:r>
      <w:r w:rsidR="00714A9B">
        <w:rPr>
          <w:szCs w:val="20"/>
          <w:lang w:val="es-MX"/>
        </w:rPr>
        <w:t>”</w:t>
      </w:r>
      <w:r w:rsidR="00714A9B" w:rsidRPr="00714A9B">
        <w:rPr>
          <w:szCs w:val="20"/>
          <w:lang w:val="es-MX"/>
        </w:rPr>
        <w:t>. Alegaron que e</w:t>
      </w:r>
      <w:r w:rsidR="00714A9B">
        <w:rPr>
          <w:szCs w:val="20"/>
          <w:lang w:val="es-MX"/>
        </w:rPr>
        <w:t>l</w:t>
      </w:r>
      <w:r w:rsidR="00714A9B" w:rsidRPr="00714A9B">
        <w:rPr>
          <w:szCs w:val="20"/>
          <w:lang w:val="es-MX"/>
        </w:rPr>
        <w:t xml:space="preserve"> referido perito “</w:t>
      </w:r>
      <w:r w:rsidR="00714A9B" w:rsidRPr="00714A9B">
        <w:rPr>
          <w:rFonts w:cs="Arial"/>
          <w:color w:val="222222"/>
          <w:szCs w:val="20"/>
          <w:shd w:val="clear" w:color="auto" w:fill="FFFFFF"/>
        </w:rPr>
        <w:t xml:space="preserve">[les] </w:t>
      </w:r>
      <w:r w:rsidR="00714A9B" w:rsidRPr="00434013">
        <w:rPr>
          <w:szCs w:val="20"/>
          <w:lang w:val="es-MX"/>
        </w:rPr>
        <w:t>hizo saber de la reciente imposibilidad de presentar su peritaje en virtud de cuestiones académicas surgidas los me</w:t>
      </w:r>
      <w:r w:rsidR="00714A9B" w:rsidRPr="008274C5">
        <w:rPr>
          <w:szCs w:val="20"/>
          <w:lang w:val="es-MX"/>
        </w:rPr>
        <w:t>ses anteriores a la convocatoria de la audiencia. Esa imposibilidad material dificulta seriamente la obtención de un peritaje escrito que también es trascendental para el presente caso, y que se relaciona con políticas de seguridad que pueden afectar a otros países de la región. Asimismo</w:t>
      </w:r>
      <w:r w:rsidR="00714A9B" w:rsidRPr="00714A9B">
        <w:rPr>
          <w:szCs w:val="20"/>
          <w:lang w:val="es-MX"/>
        </w:rPr>
        <w:t xml:space="preserve"> </w:t>
      </w:r>
      <w:r w:rsidR="00714A9B" w:rsidRPr="00714A9B">
        <w:rPr>
          <w:rFonts w:cs="Arial"/>
          <w:color w:val="222222"/>
          <w:szCs w:val="20"/>
          <w:shd w:val="clear" w:color="auto" w:fill="FFFFFF"/>
        </w:rPr>
        <w:t xml:space="preserve">[…] </w:t>
      </w:r>
      <w:r w:rsidR="00714A9B" w:rsidRPr="00434013">
        <w:rPr>
          <w:szCs w:val="20"/>
          <w:lang w:val="es-MX"/>
        </w:rPr>
        <w:t>la propuesta del objeto del peritaje se mantuvo intacta entre lo que expondría uno y otro experto</w:t>
      </w:r>
      <w:r w:rsidR="00714A9B" w:rsidRPr="00714A9B">
        <w:rPr>
          <w:szCs w:val="20"/>
          <w:lang w:val="es-MX"/>
        </w:rPr>
        <w:t>”</w:t>
      </w:r>
      <w:r w:rsidR="00714A9B" w:rsidRPr="00434013">
        <w:rPr>
          <w:szCs w:val="20"/>
          <w:lang w:val="es-MX"/>
        </w:rPr>
        <w:t>.</w:t>
      </w:r>
      <w:r w:rsidR="00714A9B">
        <w:rPr>
          <w:szCs w:val="20"/>
          <w:lang w:val="es-MX"/>
        </w:rPr>
        <w:t xml:space="preserve"> </w:t>
      </w:r>
      <w:r w:rsidR="00FC2B4A">
        <w:rPr>
          <w:szCs w:val="20"/>
          <w:lang w:val="es-MX"/>
        </w:rPr>
        <w:t>A</w:t>
      </w:r>
      <w:r w:rsidR="00714A9B">
        <w:rPr>
          <w:szCs w:val="20"/>
          <w:lang w:val="es-MX"/>
        </w:rPr>
        <w:t>ñadieron que “</w:t>
      </w:r>
      <w:r w:rsidR="00714A9B" w:rsidRPr="00714A9B">
        <w:rPr>
          <w:szCs w:val="20"/>
          <w:lang w:val="es-MX"/>
        </w:rPr>
        <w:t xml:space="preserve">existe una razón adicional por </w:t>
      </w:r>
      <w:r w:rsidR="00DC215A">
        <w:rPr>
          <w:rFonts w:cs="Arial"/>
          <w:color w:val="222222"/>
          <w:szCs w:val="20"/>
          <w:shd w:val="clear" w:color="auto" w:fill="FFFFFF"/>
        </w:rPr>
        <w:t>[la</w:t>
      </w:r>
      <w:r w:rsidR="00DC215A" w:rsidRPr="00EC2A81">
        <w:rPr>
          <w:rFonts w:cs="Arial"/>
          <w:color w:val="222222"/>
          <w:szCs w:val="20"/>
          <w:shd w:val="clear" w:color="auto" w:fill="FFFFFF"/>
        </w:rPr>
        <w:t>]</w:t>
      </w:r>
      <w:r w:rsidR="00714A9B" w:rsidRPr="00714A9B">
        <w:rPr>
          <w:szCs w:val="20"/>
          <w:lang w:val="es-MX"/>
        </w:rPr>
        <w:t xml:space="preserve"> cual se hace necesaria la aclaración del Pleno respecto de este peritaje</w:t>
      </w:r>
      <w:r w:rsidR="00714A9B">
        <w:rPr>
          <w:szCs w:val="20"/>
          <w:lang w:val="es-MX"/>
        </w:rPr>
        <w:t xml:space="preserve"> </w:t>
      </w:r>
      <w:r w:rsidR="00714A9B" w:rsidRPr="00EC2A81">
        <w:rPr>
          <w:rFonts w:cs="Arial"/>
          <w:color w:val="222222"/>
          <w:szCs w:val="20"/>
          <w:shd w:val="clear" w:color="auto" w:fill="FFFFFF"/>
        </w:rPr>
        <w:t>[</w:t>
      </w:r>
      <w:r w:rsidR="00714A9B">
        <w:rPr>
          <w:rFonts w:cs="Arial"/>
          <w:color w:val="222222"/>
          <w:szCs w:val="20"/>
          <w:shd w:val="clear" w:color="auto" w:fill="FFFFFF"/>
        </w:rPr>
        <w:t>ya que</w:t>
      </w:r>
      <w:r w:rsidR="00714A9B" w:rsidRPr="00EC2A81">
        <w:rPr>
          <w:rFonts w:cs="Arial"/>
          <w:color w:val="222222"/>
          <w:szCs w:val="20"/>
          <w:shd w:val="clear" w:color="auto" w:fill="FFFFFF"/>
        </w:rPr>
        <w:t>]</w:t>
      </w:r>
      <w:r w:rsidR="00714A9B">
        <w:rPr>
          <w:rFonts w:cs="Arial"/>
          <w:color w:val="222222"/>
          <w:szCs w:val="20"/>
          <w:shd w:val="clear" w:color="auto" w:fill="FFFFFF"/>
        </w:rPr>
        <w:t xml:space="preserve"> </w:t>
      </w:r>
      <w:r w:rsidR="00714A9B" w:rsidRPr="00714A9B">
        <w:rPr>
          <w:szCs w:val="20"/>
          <w:lang w:val="es-MX"/>
        </w:rPr>
        <w:t xml:space="preserve">la resolución </w:t>
      </w:r>
      <w:r w:rsidR="00714A9B" w:rsidRPr="00EC2A81">
        <w:rPr>
          <w:rFonts w:cs="Arial"/>
          <w:color w:val="222222"/>
          <w:szCs w:val="20"/>
          <w:shd w:val="clear" w:color="auto" w:fill="FFFFFF"/>
        </w:rPr>
        <w:lastRenderedPageBreak/>
        <w:t>[</w:t>
      </w:r>
      <w:r w:rsidR="00714A9B">
        <w:rPr>
          <w:rFonts w:cs="Arial"/>
          <w:color w:val="222222"/>
          <w:szCs w:val="20"/>
          <w:shd w:val="clear" w:color="auto" w:fill="FFFFFF"/>
        </w:rPr>
        <w:t>del Presidente</w:t>
      </w:r>
      <w:r w:rsidR="00714A9B" w:rsidRPr="00EC2A81">
        <w:rPr>
          <w:rFonts w:cs="Arial"/>
          <w:color w:val="222222"/>
          <w:szCs w:val="20"/>
          <w:shd w:val="clear" w:color="auto" w:fill="FFFFFF"/>
        </w:rPr>
        <w:t>]</w:t>
      </w:r>
      <w:r w:rsidR="00714A9B" w:rsidRPr="00714A9B">
        <w:rPr>
          <w:szCs w:val="20"/>
          <w:lang w:val="es-MX"/>
        </w:rPr>
        <w:t xml:space="preserve"> </w:t>
      </w:r>
      <w:r w:rsidR="00714A9B" w:rsidRPr="00EC2A81">
        <w:rPr>
          <w:rFonts w:cs="Arial"/>
          <w:color w:val="222222"/>
          <w:szCs w:val="20"/>
          <w:shd w:val="clear" w:color="auto" w:fill="FFFFFF"/>
        </w:rPr>
        <w:t>[</w:t>
      </w:r>
      <w:r w:rsidR="00714A9B">
        <w:rPr>
          <w:rFonts w:cs="Arial"/>
          <w:color w:val="222222"/>
          <w:szCs w:val="20"/>
          <w:shd w:val="clear" w:color="auto" w:fill="FFFFFF"/>
        </w:rPr>
        <w:t>…</w:t>
      </w:r>
      <w:r w:rsidR="00714A9B" w:rsidRPr="00EC2A81">
        <w:rPr>
          <w:rFonts w:cs="Arial"/>
          <w:color w:val="222222"/>
          <w:szCs w:val="20"/>
          <w:shd w:val="clear" w:color="auto" w:fill="FFFFFF"/>
        </w:rPr>
        <w:t>]</w:t>
      </w:r>
      <w:r w:rsidR="00714A9B">
        <w:rPr>
          <w:rFonts w:cs="Arial"/>
          <w:color w:val="222222"/>
          <w:szCs w:val="20"/>
          <w:shd w:val="clear" w:color="auto" w:fill="FFFFFF"/>
        </w:rPr>
        <w:t xml:space="preserve"> </w:t>
      </w:r>
      <w:r w:rsidR="00714A9B" w:rsidRPr="00714A9B">
        <w:rPr>
          <w:szCs w:val="20"/>
          <w:lang w:val="es-MX"/>
        </w:rPr>
        <w:t>se pronuncia sobre la improcedencia de la sustitución del peritaje, mas no sobre la forma de desahogarlo (modalidad) ni sobre el objeto del mismo, dejando en indefensión a esta parte por la incertidumbre jurídica derivada de la falta de definición sobre el desahogo de esta prueba</w:t>
      </w:r>
      <w:r w:rsidR="00714A9B">
        <w:rPr>
          <w:szCs w:val="20"/>
          <w:lang w:val="es-MX"/>
        </w:rPr>
        <w:t>”.</w:t>
      </w:r>
      <w:r w:rsidR="00CF5F79">
        <w:rPr>
          <w:szCs w:val="20"/>
          <w:lang w:val="es-MX"/>
        </w:rPr>
        <w:t xml:space="preserve"> </w:t>
      </w:r>
      <w:r w:rsidR="00714A9B">
        <w:rPr>
          <w:szCs w:val="20"/>
          <w:lang w:val="es-MX"/>
        </w:rPr>
        <w:t xml:space="preserve">Por último, las </w:t>
      </w:r>
      <w:r w:rsidR="00714A9B" w:rsidRPr="0001341D">
        <w:rPr>
          <w:szCs w:val="20"/>
          <w:lang w:val="es-MX"/>
        </w:rPr>
        <w:t>representantes</w:t>
      </w:r>
      <w:r w:rsidR="00CF5F79" w:rsidRPr="00FC2B4A">
        <w:rPr>
          <w:szCs w:val="20"/>
          <w:lang w:val="es-MX"/>
        </w:rPr>
        <w:t xml:space="preserve"> </w:t>
      </w:r>
      <w:r w:rsidR="00CF5F79" w:rsidRPr="0001341D">
        <w:rPr>
          <w:szCs w:val="20"/>
          <w:lang w:val="es-MX"/>
        </w:rPr>
        <w:t xml:space="preserve">solicitaron que en dado caso de que “el Pleno </w:t>
      </w:r>
      <w:proofErr w:type="gramStart"/>
      <w:r w:rsidR="00CF5F79" w:rsidRPr="0001341D">
        <w:rPr>
          <w:szCs w:val="20"/>
          <w:lang w:val="es-MX"/>
        </w:rPr>
        <w:t>confirma</w:t>
      </w:r>
      <w:r w:rsidR="00CF5F79" w:rsidRPr="00EC2A81">
        <w:rPr>
          <w:rFonts w:cs="Arial"/>
          <w:color w:val="222222"/>
          <w:szCs w:val="20"/>
          <w:shd w:val="clear" w:color="auto" w:fill="FFFFFF"/>
        </w:rPr>
        <w:t>[</w:t>
      </w:r>
      <w:proofErr w:type="spellStart"/>
      <w:proofErr w:type="gramEnd"/>
      <w:r w:rsidR="00CF5F79">
        <w:rPr>
          <w:rFonts w:cs="Arial"/>
          <w:color w:val="222222"/>
          <w:szCs w:val="20"/>
          <w:shd w:val="clear" w:color="auto" w:fill="FFFFFF"/>
        </w:rPr>
        <w:t>ra</w:t>
      </w:r>
      <w:proofErr w:type="spellEnd"/>
      <w:r w:rsidR="00CF5F79" w:rsidRPr="00EC2A81">
        <w:rPr>
          <w:rFonts w:cs="Arial"/>
          <w:color w:val="222222"/>
          <w:szCs w:val="20"/>
          <w:shd w:val="clear" w:color="auto" w:fill="FFFFFF"/>
        </w:rPr>
        <w:t xml:space="preserve">] </w:t>
      </w:r>
      <w:r w:rsidR="00CF5F79" w:rsidRPr="0001341D">
        <w:rPr>
          <w:szCs w:val="20"/>
          <w:lang w:val="es-MX"/>
        </w:rPr>
        <w:t xml:space="preserve">la decisión del Presidente de desestimar la sustitución del perito ofrecido, dada la trascendencia del mismo </w:t>
      </w:r>
      <w:r w:rsidR="00CF5F79" w:rsidRPr="00EC2A81">
        <w:rPr>
          <w:rFonts w:cs="Arial"/>
          <w:color w:val="222222"/>
          <w:szCs w:val="20"/>
          <w:shd w:val="clear" w:color="auto" w:fill="FFFFFF"/>
        </w:rPr>
        <w:t>[</w:t>
      </w:r>
      <w:r w:rsidR="00CF5F79">
        <w:rPr>
          <w:rFonts w:cs="Arial"/>
          <w:color w:val="222222"/>
          <w:szCs w:val="20"/>
          <w:shd w:val="clear" w:color="auto" w:fill="FFFFFF"/>
        </w:rPr>
        <w:t>…</w:t>
      </w:r>
      <w:r w:rsidR="00CF5F79" w:rsidRPr="00EC2A81">
        <w:rPr>
          <w:rFonts w:cs="Arial"/>
          <w:color w:val="222222"/>
          <w:szCs w:val="20"/>
          <w:shd w:val="clear" w:color="auto" w:fill="FFFFFF"/>
        </w:rPr>
        <w:t>]</w:t>
      </w:r>
      <w:r w:rsidR="00CF5F79" w:rsidRPr="0001341D">
        <w:rPr>
          <w:szCs w:val="20"/>
          <w:lang w:val="es-MX"/>
        </w:rPr>
        <w:t xml:space="preserve"> solicitamos valore la pertinencia de convoca a audiencia al </w:t>
      </w:r>
      <w:r w:rsidR="00CF5F79" w:rsidRPr="00EC2A81">
        <w:rPr>
          <w:rFonts w:cs="Arial"/>
          <w:color w:val="222222"/>
          <w:szCs w:val="20"/>
          <w:shd w:val="clear" w:color="auto" w:fill="FFFFFF"/>
        </w:rPr>
        <w:t>[</w:t>
      </w:r>
      <w:r w:rsidR="00CF5F79">
        <w:rPr>
          <w:rFonts w:cs="Arial"/>
          <w:color w:val="222222"/>
          <w:szCs w:val="20"/>
          <w:shd w:val="clear" w:color="auto" w:fill="FFFFFF"/>
        </w:rPr>
        <w:t>señor</w:t>
      </w:r>
      <w:r w:rsidR="00CF5F79" w:rsidRPr="00EC2A81">
        <w:rPr>
          <w:rFonts w:cs="Arial"/>
          <w:color w:val="222222"/>
          <w:szCs w:val="20"/>
          <w:shd w:val="clear" w:color="auto" w:fill="FFFFFF"/>
        </w:rPr>
        <w:t xml:space="preserve">] </w:t>
      </w:r>
      <w:r w:rsidR="00CF5F79" w:rsidRPr="0001341D">
        <w:rPr>
          <w:szCs w:val="20"/>
          <w:lang w:val="es-MX"/>
        </w:rPr>
        <w:t xml:space="preserve">Alejandro Madrazo </w:t>
      </w:r>
      <w:proofErr w:type="spellStart"/>
      <w:r w:rsidR="00CF5F79" w:rsidRPr="0001341D">
        <w:rPr>
          <w:szCs w:val="20"/>
          <w:lang w:val="es-MX"/>
        </w:rPr>
        <w:t>Lajous</w:t>
      </w:r>
      <w:proofErr w:type="spellEnd"/>
      <w:r w:rsidR="00CF5F79" w:rsidRPr="0001341D">
        <w:rPr>
          <w:szCs w:val="20"/>
          <w:lang w:val="es-MX"/>
        </w:rPr>
        <w:t xml:space="preserve"> a fin de que explique con detalle, </w:t>
      </w:r>
      <w:r w:rsidR="00CF5F79" w:rsidRPr="0001341D">
        <w:rPr>
          <w:i/>
          <w:szCs w:val="20"/>
          <w:lang w:val="es-MX"/>
        </w:rPr>
        <w:t xml:space="preserve">inter </w:t>
      </w:r>
      <w:proofErr w:type="spellStart"/>
      <w:r w:rsidR="00CF5F79" w:rsidRPr="0001341D">
        <w:rPr>
          <w:i/>
          <w:szCs w:val="20"/>
          <w:lang w:val="es-MX"/>
        </w:rPr>
        <w:t>alia</w:t>
      </w:r>
      <w:proofErr w:type="spellEnd"/>
      <w:r w:rsidR="00CF5F79" w:rsidRPr="0001341D">
        <w:rPr>
          <w:szCs w:val="20"/>
          <w:lang w:val="es-MX"/>
        </w:rPr>
        <w:t>, las implicaciones de la seguridad militarizada en el país y los efectos de la recientemente aprobada Ley de Seguridad Interior</w:t>
      </w:r>
      <w:r w:rsidR="00CF5F79">
        <w:rPr>
          <w:szCs w:val="20"/>
          <w:lang w:val="es-MX"/>
        </w:rPr>
        <w:t>”</w:t>
      </w:r>
      <w:r w:rsidR="00CF5F79" w:rsidRPr="0001341D">
        <w:rPr>
          <w:szCs w:val="20"/>
          <w:lang w:val="es-MX"/>
        </w:rPr>
        <w:t>.</w:t>
      </w:r>
    </w:p>
    <w:p w14:paraId="1B5A8CC9" w14:textId="77777777" w:rsidR="007B2BA8" w:rsidRDefault="007B2BA8" w:rsidP="0001341D">
      <w:pPr>
        <w:pStyle w:val="ListParagraph"/>
        <w:ind w:left="0"/>
        <w:rPr>
          <w:szCs w:val="20"/>
          <w:lang w:val="es-MX"/>
        </w:rPr>
      </w:pPr>
    </w:p>
    <w:p w14:paraId="0712EBA9" w14:textId="6A5A9090" w:rsidR="009C5813" w:rsidRDefault="007B2BA8" w:rsidP="0001341D">
      <w:pPr>
        <w:pStyle w:val="ListParagraph"/>
        <w:numPr>
          <w:ilvl w:val="0"/>
          <w:numId w:val="2"/>
        </w:numPr>
        <w:ind w:left="0" w:firstLine="0"/>
      </w:pPr>
      <w:r>
        <w:rPr>
          <w:szCs w:val="20"/>
          <w:lang w:val="es-MX"/>
        </w:rPr>
        <w:t xml:space="preserve">Por su parte, el </w:t>
      </w:r>
      <w:r>
        <w:rPr>
          <w:b/>
          <w:i/>
          <w:szCs w:val="20"/>
          <w:lang w:val="es-MX"/>
        </w:rPr>
        <w:t xml:space="preserve">Estado </w:t>
      </w:r>
      <w:r>
        <w:t xml:space="preserve">manifestó en sus observaciones </w:t>
      </w:r>
      <w:r w:rsidR="00FC2B4A">
        <w:t xml:space="preserve">los requisitos del artículo </w:t>
      </w:r>
      <w:r w:rsidR="00AB242C" w:rsidRPr="00AB242C">
        <w:t>49 del Reglamento de la Corte</w:t>
      </w:r>
      <w:r w:rsidR="00FC2B4A">
        <w:t xml:space="preserve"> para la</w:t>
      </w:r>
      <w:r w:rsidR="00506510">
        <w:t xml:space="preserve"> procedencia de una sustitución</w:t>
      </w:r>
      <w:r w:rsidR="00AB242C">
        <w:t xml:space="preserve">. Observó </w:t>
      </w:r>
      <w:r w:rsidR="0098768F">
        <w:t>“</w:t>
      </w:r>
      <w:r w:rsidR="00AB242C">
        <w:t xml:space="preserve">que </w:t>
      </w:r>
      <w:r w:rsidR="0098768F">
        <w:t xml:space="preserve">las representantes solicitaron la sustitución del perito Alejandro Madrazo </w:t>
      </w:r>
      <w:proofErr w:type="spellStart"/>
      <w:r w:rsidR="0098768F">
        <w:t>Lajous</w:t>
      </w:r>
      <w:proofErr w:type="spellEnd"/>
      <w:r w:rsidR="0098768F">
        <w:t xml:space="preserve"> por el señor Javier Treviño Rangel, manifestando únicamente que el señor Madrazo </w:t>
      </w:r>
      <w:proofErr w:type="spellStart"/>
      <w:r w:rsidR="0098768F">
        <w:t>Lajous</w:t>
      </w:r>
      <w:proofErr w:type="spellEnd"/>
      <w:r w:rsidR="0098768F">
        <w:t xml:space="preserve"> les había comunicado su imposibilidad de realizar el peritaje </w:t>
      </w:r>
      <w:r w:rsidR="0098768F" w:rsidRPr="00FC2B4A">
        <w:rPr>
          <w:rFonts w:cs="Arial"/>
          <w:color w:val="222222"/>
          <w:szCs w:val="20"/>
          <w:shd w:val="clear" w:color="auto" w:fill="FFFFFF"/>
        </w:rPr>
        <w:t xml:space="preserve">[y] </w:t>
      </w:r>
      <w:r w:rsidR="0098768F">
        <w:t xml:space="preserve">si bien las representantes habrían individualizado al perito sustituto y respetado el objeto de su intervención, en ningún momento remitieron una explicación fundada de las razones por las cuales el señor Madrazo </w:t>
      </w:r>
      <w:proofErr w:type="spellStart"/>
      <w:r w:rsidR="0098768F">
        <w:t>Lajous</w:t>
      </w:r>
      <w:proofErr w:type="spellEnd"/>
      <w:r w:rsidR="0098768F">
        <w:t xml:space="preserve"> no podría rendir su peritaje</w:t>
      </w:r>
      <w:r w:rsidR="008013C9">
        <w:t>”.</w:t>
      </w:r>
      <w:r w:rsidR="0098768F">
        <w:t xml:space="preserve"> </w:t>
      </w:r>
      <w:r w:rsidR="006C62F6">
        <w:t>Sobre este particular, el Estado añadió que “</w:t>
      </w:r>
      <w:r w:rsidR="006C62F6" w:rsidRPr="006C62F6">
        <w:t xml:space="preserve">el momento procesal oportuno para remitir una explicación fundada de las razones para solicitar la sustitución de un peritaje, es al momento de solicitar dicha sustitución y no, una vez que la Corte ya ha </w:t>
      </w:r>
      <w:r w:rsidR="006C62F6">
        <w:t xml:space="preserve">decidido </w:t>
      </w:r>
      <w:proofErr w:type="gramStart"/>
      <w:r w:rsidR="006C62F6">
        <w:t>negar</w:t>
      </w:r>
      <w:r w:rsidR="006C62F6" w:rsidRPr="00FC2B4A">
        <w:rPr>
          <w:rFonts w:cs="Arial"/>
          <w:color w:val="222222"/>
          <w:szCs w:val="20"/>
          <w:shd w:val="clear" w:color="auto" w:fill="FFFFFF"/>
        </w:rPr>
        <w:t>[</w:t>
      </w:r>
      <w:proofErr w:type="gramEnd"/>
      <w:r w:rsidR="006C62F6" w:rsidRPr="00FC2B4A">
        <w:rPr>
          <w:rFonts w:cs="Arial"/>
          <w:color w:val="222222"/>
          <w:szCs w:val="20"/>
          <w:shd w:val="clear" w:color="auto" w:fill="FFFFFF"/>
        </w:rPr>
        <w:t>la]</w:t>
      </w:r>
      <w:r w:rsidR="006C62F6">
        <w:t xml:space="preserve">”. Adicionalmente, el Estado alegó que en la solicitud de sustitución además </w:t>
      </w:r>
      <w:r w:rsidR="008973AE">
        <w:t xml:space="preserve">“las representantes solicitan </w:t>
      </w:r>
      <w:r w:rsidR="008973AE" w:rsidRPr="00FC2B4A">
        <w:rPr>
          <w:rFonts w:cs="Arial"/>
          <w:color w:val="222222"/>
          <w:szCs w:val="20"/>
          <w:shd w:val="clear" w:color="auto" w:fill="FFFFFF"/>
        </w:rPr>
        <w:t xml:space="preserve">[…] </w:t>
      </w:r>
      <w:r w:rsidR="008973AE">
        <w:t xml:space="preserve">que en caso de que el Pleno </w:t>
      </w:r>
      <w:proofErr w:type="spellStart"/>
      <w:r w:rsidR="008973AE">
        <w:t>confirm</w:t>
      </w:r>
      <w:proofErr w:type="spellEnd"/>
      <w:r w:rsidR="008973AE">
        <w:t xml:space="preserve">[e] la decisión del Presidente de desestimar la sustitución del perito ofrecido, se convoque a audiencia al señor Madrazo </w:t>
      </w:r>
      <w:proofErr w:type="spellStart"/>
      <w:r w:rsidR="008973AE">
        <w:t>Lajous</w:t>
      </w:r>
      <w:proofErr w:type="spellEnd"/>
      <w:r w:rsidR="008973AE">
        <w:t xml:space="preserve"> a fin de que explique con detalle, inter alía, las implicaciones de la seguridad militarizada en el país y los efectos de la recientemente aprobada Ley de Seguridad Interior”, lo cual implica la modificación </w:t>
      </w:r>
      <w:r w:rsidR="0024020C">
        <w:t>d</w:t>
      </w:r>
      <w:r w:rsidR="008973AE">
        <w:t xml:space="preserve">el objeto del peritaje propuesto inicialmente </w:t>
      </w:r>
      <w:r w:rsidR="008973AE" w:rsidRPr="00FC2B4A">
        <w:rPr>
          <w:rFonts w:cs="Arial"/>
          <w:color w:val="222222"/>
          <w:szCs w:val="20"/>
          <w:shd w:val="clear" w:color="auto" w:fill="FFFFFF"/>
        </w:rPr>
        <w:t xml:space="preserve">[siendo que] </w:t>
      </w:r>
      <w:r w:rsidR="008973AE">
        <w:t xml:space="preserve">el momento procesal oportuno para definir el objeto de los peritajes es el </w:t>
      </w:r>
      <w:r w:rsidR="008973AE" w:rsidRPr="00FC2B4A">
        <w:rPr>
          <w:rFonts w:cs="Arial"/>
          <w:color w:val="222222"/>
          <w:szCs w:val="20"/>
          <w:shd w:val="clear" w:color="auto" w:fill="FFFFFF"/>
        </w:rPr>
        <w:t>[ESAP]</w:t>
      </w:r>
      <w:r w:rsidR="008973AE">
        <w:t xml:space="preserve">, por lo que las representantes están incumpliendo dicha disposición de manera notoria”. </w:t>
      </w:r>
    </w:p>
    <w:p w14:paraId="20DA7AA5" w14:textId="77777777" w:rsidR="009C5813" w:rsidRDefault="009C5813" w:rsidP="0001341D">
      <w:pPr>
        <w:pStyle w:val="ListParagraph"/>
        <w:ind w:left="0"/>
      </w:pPr>
    </w:p>
    <w:p w14:paraId="789FBD2B" w14:textId="77777777" w:rsidR="009C5813" w:rsidRDefault="00CF5F79" w:rsidP="0001341D">
      <w:pPr>
        <w:pStyle w:val="ListParagraph"/>
        <w:numPr>
          <w:ilvl w:val="0"/>
          <w:numId w:val="2"/>
        </w:numPr>
        <w:ind w:left="0" w:firstLine="0"/>
        <w:rPr>
          <w:szCs w:val="20"/>
          <w:lang w:val="es-MX"/>
        </w:rPr>
      </w:pPr>
      <w:r>
        <w:rPr>
          <w:szCs w:val="20"/>
          <w:lang w:val="es-MX"/>
        </w:rPr>
        <w:t xml:space="preserve">La </w:t>
      </w:r>
      <w:r>
        <w:rPr>
          <w:b/>
          <w:i/>
          <w:szCs w:val="20"/>
          <w:lang w:val="es-MX"/>
        </w:rPr>
        <w:t xml:space="preserve">Comisión </w:t>
      </w:r>
      <w:r>
        <w:rPr>
          <w:szCs w:val="20"/>
          <w:lang w:val="es-MX"/>
        </w:rPr>
        <w:t>no tuvo observaciones respecto de</w:t>
      </w:r>
      <w:r w:rsidR="00922FCB">
        <w:rPr>
          <w:szCs w:val="20"/>
          <w:lang w:val="es-MX"/>
        </w:rPr>
        <w:t xml:space="preserve"> este punto</w:t>
      </w:r>
      <w:r>
        <w:rPr>
          <w:szCs w:val="20"/>
          <w:lang w:val="es-MX"/>
        </w:rPr>
        <w:t>.</w:t>
      </w:r>
    </w:p>
    <w:p w14:paraId="77286E2A" w14:textId="77777777" w:rsidR="009C5813" w:rsidRPr="00434013" w:rsidRDefault="009C5813" w:rsidP="0001341D">
      <w:pPr>
        <w:pStyle w:val="ListParagraph"/>
        <w:rPr>
          <w:szCs w:val="20"/>
          <w:lang w:val="es-MX"/>
        </w:rPr>
      </w:pPr>
    </w:p>
    <w:p w14:paraId="4A62DADB" w14:textId="3D10EE82" w:rsidR="00B45161" w:rsidRDefault="0001341D" w:rsidP="0001341D">
      <w:pPr>
        <w:pStyle w:val="ListParagraph"/>
        <w:numPr>
          <w:ilvl w:val="0"/>
          <w:numId w:val="2"/>
        </w:numPr>
        <w:ind w:left="0" w:firstLine="0"/>
        <w:rPr>
          <w:lang w:val="es-ES"/>
        </w:rPr>
      </w:pPr>
      <w:r>
        <w:rPr>
          <w:b/>
          <w:i/>
          <w:lang w:val="es-ES"/>
        </w:rPr>
        <w:t>La Corte</w:t>
      </w:r>
      <w:r w:rsidR="00B45161" w:rsidRPr="00B45161">
        <w:rPr>
          <w:lang w:val="es-ES"/>
        </w:rPr>
        <w:t xml:space="preserve"> reitera las consideraciones de la Resolución del Presidente en cuanto a que el momento procesal oportuno para la presentación de prueba pericial, por parte de las representantes, es en el escrito de solicitudes y argumentos</w:t>
      </w:r>
      <w:r w:rsidR="00B45161" w:rsidRPr="00B45161">
        <w:rPr>
          <w:lang w:val="es-MX"/>
        </w:rPr>
        <w:t xml:space="preserve">, </w:t>
      </w:r>
      <w:r w:rsidR="00B45161" w:rsidRPr="00B45161">
        <w:rPr>
          <w:lang w:val="es-ES"/>
        </w:rPr>
        <w:t xml:space="preserve">por lo que </w:t>
      </w:r>
      <w:r w:rsidR="00B45161" w:rsidRPr="00B45161">
        <w:rPr>
          <w:lang w:val="es-CR"/>
        </w:rPr>
        <w:t>la presentación de listas definitivas de declarantes no constituye una nueva oportunidad procesal para proponer probanzas por las partes en el procedimiento ante la Corte, salvo las excepciones establecidas en el artículo 57.2 del Reglamento, esto es: fuerza mayor, impedimento grave o hechos supervinientes, previamente oído el parecer de todas las partes intervinientes en el proceso</w:t>
      </w:r>
      <w:r w:rsidR="00B45161">
        <w:rPr>
          <w:rStyle w:val="FootnoteReference"/>
          <w:lang w:val="es-CR"/>
        </w:rPr>
        <w:footnoteReference w:id="8"/>
      </w:r>
      <w:r w:rsidR="00B45161" w:rsidRPr="00B45161">
        <w:rPr>
          <w:lang w:val="es-CR"/>
        </w:rPr>
        <w:t xml:space="preserve">. </w:t>
      </w:r>
    </w:p>
    <w:p w14:paraId="35EB6944" w14:textId="77777777" w:rsidR="00B45161" w:rsidRPr="00B45161" w:rsidRDefault="00B45161" w:rsidP="0001341D">
      <w:pPr>
        <w:pStyle w:val="ListParagraph"/>
        <w:rPr>
          <w:lang w:val="es-ES"/>
        </w:rPr>
      </w:pPr>
    </w:p>
    <w:p w14:paraId="368228E0" w14:textId="12793431" w:rsidR="00DC2285" w:rsidRPr="0001341D" w:rsidRDefault="00DC2285" w:rsidP="00B45161">
      <w:pPr>
        <w:pStyle w:val="ListParagraph"/>
        <w:numPr>
          <w:ilvl w:val="0"/>
          <w:numId w:val="2"/>
        </w:numPr>
        <w:ind w:left="0" w:firstLine="0"/>
        <w:rPr>
          <w:lang w:val="es-CR"/>
        </w:rPr>
      </w:pPr>
      <w:r w:rsidRPr="0001341D">
        <w:rPr>
          <w:lang w:val="es-MX"/>
        </w:rPr>
        <w:t>L</w:t>
      </w:r>
      <w:r w:rsidR="00B45161" w:rsidRPr="0001341D">
        <w:rPr>
          <w:lang w:val="es-ES"/>
        </w:rPr>
        <w:t>a Corte</w:t>
      </w:r>
      <w:r w:rsidR="00B45161">
        <w:rPr>
          <w:lang w:val="es-ES"/>
        </w:rPr>
        <w:t xml:space="preserve"> observa que las representantes ofrecieron en su escrito de </w:t>
      </w:r>
      <w:r w:rsidR="006B2704">
        <w:rPr>
          <w:lang w:val="es-ES"/>
        </w:rPr>
        <w:t xml:space="preserve">Solicitudes, </w:t>
      </w:r>
      <w:r w:rsidR="00E9345E">
        <w:rPr>
          <w:lang w:val="es-ES"/>
        </w:rPr>
        <w:t>Argumentos y Pruebas la pericia</w:t>
      </w:r>
      <w:r w:rsidR="006B2704">
        <w:rPr>
          <w:lang w:val="es-ES"/>
        </w:rPr>
        <w:t xml:space="preserve"> a cargo del señor Alejandro Madrazo </w:t>
      </w:r>
      <w:proofErr w:type="spellStart"/>
      <w:r w:rsidR="006B2704">
        <w:rPr>
          <w:lang w:val="es-ES"/>
        </w:rPr>
        <w:t>Lajous</w:t>
      </w:r>
      <w:proofErr w:type="spellEnd"/>
      <w:r w:rsidR="006B2704">
        <w:rPr>
          <w:lang w:val="es-ES"/>
        </w:rPr>
        <w:t>,</w:t>
      </w:r>
      <w:r w:rsidR="0024020C">
        <w:rPr>
          <w:lang w:val="es-ES"/>
        </w:rPr>
        <w:t xml:space="preserve"> y </w:t>
      </w:r>
      <w:r w:rsidR="006B2704">
        <w:rPr>
          <w:lang w:val="es-ES"/>
        </w:rPr>
        <w:t>también advierte que la representación, en su lista definitiva</w:t>
      </w:r>
      <w:r>
        <w:rPr>
          <w:lang w:val="es-ES"/>
        </w:rPr>
        <w:t>,</w:t>
      </w:r>
      <w:r w:rsidR="006B2704">
        <w:rPr>
          <w:lang w:val="es-ES"/>
        </w:rPr>
        <w:t xml:space="preserve"> solicitó la sustitución de dicho perito por el señor Javier Treviño Rangel sin proporcionar </w:t>
      </w:r>
      <w:r w:rsidR="00B45161" w:rsidRPr="00FB2708">
        <w:rPr>
          <w:lang w:val="es-ES"/>
        </w:rPr>
        <w:t xml:space="preserve">un motivo suficiente fundado en la exigencia de excepcionalidad del Reglamento para conceder </w:t>
      </w:r>
      <w:r>
        <w:rPr>
          <w:lang w:val="es-ES"/>
        </w:rPr>
        <w:t xml:space="preserve">el </w:t>
      </w:r>
      <w:r w:rsidRPr="00FB2708">
        <w:rPr>
          <w:lang w:val="es-ES"/>
        </w:rPr>
        <w:t>reemplazo</w:t>
      </w:r>
      <w:r w:rsidR="00B45161" w:rsidRPr="00FB2708">
        <w:rPr>
          <w:lang w:val="es-ES"/>
        </w:rPr>
        <w:t xml:space="preserve"> </w:t>
      </w:r>
      <w:r>
        <w:rPr>
          <w:lang w:val="es-ES"/>
        </w:rPr>
        <w:t>solicitado.</w:t>
      </w:r>
      <w:r w:rsidR="00251497">
        <w:rPr>
          <w:lang w:val="es-ES"/>
        </w:rPr>
        <w:t xml:space="preserve"> En consecuencia, el Tribunal resuelve confirmar </w:t>
      </w:r>
      <w:r w:rsidR="00251497">
        <w:rPr>
          <w:rFonts w:eastAsia="MS Mincho" w:cstheme="minorBidi"/>
          <w:szCs w:val="20"/>
          <w:lang w:val="es-MX" w:eastAsia="en-US"/>
        </w:rPr>
        <w:t xml:space="preserve">el punto resolutivo 7 de </w:t>
      </w:r>
      <w:r w:rsidR="00251497">
        <w:rPr>
          <w:szCs w:val="20"/>
        </w:rPr>
        <w:t>la Resolución del Presidente</w:t>
      </w:r>
      <w:r w:rsidR="00FC2B4A">
        <w:rPr>
          <w:szCs w:val="20"/>
        </w:rPr>
        <w:t xml:space="preserve"> en ejercicio</w:t>
      </w:r>
      <w:r w:rsidR="00251497">
        <w:rPr>
          <w:szCs w:val="20"/>
        </w:rPr>
        <w:t xml:space="preserve">, y desestimar la </w:t>
      </w:r>
      <w:r w:rsidR="00251497" w:rsidRPr="00EC2A81">
        <w:rPr>
          <w:rFonts w:eastAsia="MS Mincho" w:cstheme="minorBidi"/>
          <w:szCs w:val="20"/>
          <w:lang w:val="es-MX" w:eastAsia="en-US"/>
        </w:rPr>
        <w:t xml:space="preserve">solicitud de </w:t>
      </w:r>
      <w:r w:rsidR="00251497">
        <w:rPr>
          <w:rFonts w:eastAsia="MS Mincho" w:cstheme="minorBidi"/>
          <w:szCs w:val="20"/>
          <w:lang w:val="es-MX" w:eastAsia="en-US"/>
        </w:rPr>
        <w:t xml:space="preserve">sustitución de dicho perito por el señor Javier Treviño Rangel, realizada por las representantes en su escrito de </w:t>
      </w:r>
      <w:r w:rsidR="00251497" w:rsidRPr="00EC2A81">
        <w:rPr>
          <w:rFonts w:eastAsia="MS Mincho" w:cstheme="minorBidi"/>
          <w:szCs w:val="20"/>
          <w:lang w:val="es-MX" w:eastAsia="en-US"/>
        </w:rPr>
        <w:t>reconsideración</w:t>
      </w:r>
      <w:r w:rsidR="00251497">
        <w:rPr>
          <w:rFonts w:eastAsia="MS Mincho" w:cstheme="minorBidi"/>
          <w:szCs w:val="20"/>
          <w:lang w:val="es-MX" w:eastAsia="en-US"/>
        </w:rPr>
        <w:t>.</w:t>
      </w:r>
    </w:p>
    <w:p w14:paraId="16B922C1" w14:textId="77777777" w:rsidR="00DC2285" w:rsidRPr="00DC2285" w:rsidRDefault="00DC2285" w:rsidP="0001341D">
      <w:pPr>
        <w:pStyle w:val="ListParagraph"/>
        <w:rPr>
          <w:lang w:val="es-ES"/>
        </w:rPr>
      </w:pPr>
    </w:p>
    <w:p w14:paraId="781F4287" w14:textId="5A49F51D" w:rsidR="00035864" w:rsidRPr="00EC2A81" w:rsidRDefault="00DC2285" w:rsidP="00035864">
      <w:pPr>
        <w:pStyle w:val="ListParagraph"/>
        <w:numPr>
          <w:ilvl w:val="0"/>
          <w:numId w:val="2"/>
        </w:numPr>
        <w:ind w:left="0" w:firstLine="0"/>
        <w:rPr>
          <w:szCs w:val="20"/>
          <w:lang w:val="es-MX"/>
        </w:rPr>
      </w:pPr>
      <w:r w:rsidRPr="006235FF">
        <w:rPr>
          <w:lang w:val="es-ES"/>
        </w:rPr>
        <w:t>No obstante l</w:t>
      </w:r>
      <w:proofErr w:type="spellStart"/>
      <w:r w:rsidR="00922FCB">
        <w:t>o</w:t>
      </w:r>
      <w:proofErr w:type="spellEnd"/>
      <w:r w:rsidR="00922FCB">
        <w:t xml:space="preserve"> anterior, la Corte recuerda que en ejercicio de su función contenciosa tiene amplias facultades para recibir prueba que estime necesaria o pertinente</w:t>
      </w:r>
      <w:r>
        <w:rPr>
          <w:rStyle w:val="FootnoteReference"/>
        </w:rPr>
        <w:footnoteReference w:id="9"/>
      </w:r>
      <w:r w:rsidR="00922FCB">
        <w:t>.</w:t>
      </w:r>
      <w:r w:rsidR="006235FF">
        <w:t xml:space="preserve"> En </w:t>
      </w:r>
      <w:r w:rsidR="00035864">
        <w:t>tal tenor</w:t>
      </w:r>
      <w:r w:rsidR="006235FF">
        <w:t>, la Corte considera</w:t>
      </w:r>
      <w:r w:rsidR="00251497">
        <w:t xml:space="preserve"> que </w:t>
      </w:r>
      <w:r w:rsidR="00D0564E">
        <w:t xml:space="preserve">el pronunciamiento </w:t>
      </w:r>
      <w:r w:rsidR="00251497">
        <w:t xml:space="preserve">pericial a cargo del señor Alejandro Madrazo </w:t>
      </w:r>
      <w:proofErr w:type="spellStart"/>
      <w:r w:rsidR="00251497">
        <w:t>Lajous</w:t>
      </w:r>
      <w:proofErr w:type="spellEnd"/>
      <w:r w:rsidR="00251497">
        <w:t>, según su objeto inicialmente señalado por las representantes en su escrito de Solicitudes y Argumentos y reiterado en su lista definitiva de declarantes</w:t>
      </w:r>
      <w:r w:rsidR="00AF5414">
        <w:rPr>
          <w:rStyle w:val="FootnoteReference"/>
        </w:rPr>
        <w:footnoteReference w:id="10"/>
      </w:r>
      <w:r w:rsidR="00251497">
        <w:t xml:space="preserve">, resulta relevante y se encuentra relacionado con los hechos </w:t>
      </w:r>
      <w:r w:rsidR="00251497">
        <w:rPr>
          <w:i/>
        </w:rPr>
        <w:t>sub examine</w:t>
      </w:r>
      <w:r w:rsidR="00C31D3D">
        <w:rPr>
          <w:i/>
        </w:rPr>
        <w:t xml:space="preserve"> </w:t>
      </w:r>
      <w:r w:rsidR="0024020C">
        <w:t>del presente caso</w:t>
      </w:r>
      <w:r w:rsidR="00BB1706">
        <w:t xml:space="preserve">, y en consecuencia </w:t>
      </w:r>
      <w:r w:rsidR="00E32A2C">
        <w:t xml:space="preserve">dispone que </w:t>
      </w:r>
      <w:r w:rsidR="0024020C">
        <w:t>dicha</w:t>
      </w:r>
      <w:r w:rsidR="00FC2B4A" w:rsidRPr="00FC2B4A">
        <w:t xml:space="preserve"> </w:t>
      </w:r>
      <w:r w:rsidR="00FC2B4A">
        <w:t xml:space="preserve">pericial, de acuerdo con el objeto inicialmente propuesto, </w:t>
      </w:r>
      <w:r w:rsidR="00E32A2C">
        <w:t>sea recibida mediante a</w:t>
      </w:r>
      <w:r w:rsidR="00C31D3D">
        <w:t>f</w:t>
      </w:r>
      <w:r w:rsidR="00E32A2C">
        <w:t>fidávit</w:t>
      </w:r>
      <w:r w:rsidR="00C31D3D">
        <w:t xml:space="preserve">, en el plazo señalado en el punto resolutivo </w:t>
      </w:r>
      <w:r w:rsidR="0059647C">
        <w:t xml:space="preserve">4 </w:t>
      </w:r>
      <w:r w:rsidR="00C31D3D">
        <w:rPr>
          <w:i/>
        </w:rPr>
        <w:t>infra</w:t>
      </w:r>
      <w:r w:rsidR="00FC2B4A">
        <w:t xml:space="preserve">. </w:t>
      </w:r>
    </w:p>
    <w:p w14:paraId="1A6DF39B" w14:textId="77777777" w:rsidR="00C31D3D" w:rsidRDefault="00C31D3D" w:rsidP="0001341D">
      <w:pPr>
        <w:pStyle w:val="ListParagraph"/>
      </w:pPr>
    </w:p>
    <w:p w14:paraId="62FE2FCC" w14:textId="624D4774" w:rsidR="002C3268" w:rsidRPr="0001341D" w:rsidRDefault="00E32A2C" w:rsidP="0001341D">
      <w:pPr>
        <w:pStyle w:val="ListParagraph"/>
        <w:numPr>
          <w:ilvl w:val="0"/>
          <w:numId w:val="2"/>
        </w:numPr>
        <w:ind w:left="0" w:firstLine="0"/>
        <w:rPr>
          <w:szCs w:val="20"/>
          <w:lang w:val="es-MX"/>
        </w:rPr>
      </w:pPr>
      <w:r>
        <w:t xml:space="preserve">En tal virtud, se </w:t>
      </w:r>
      <w:r w:rsidR="00035864">
        <w:t>advi</w:t>
      </w:r>
      <w:r w:rsidR="00FC2B4A">
        <w:t>rtió</w:t>
      </w:r>
      <w:r w:rsidR="00035864">
        <w:t xml:space="preserve"> </w:t>
      </w:r>
      <w:r>
        <w:t xml:space="preserve">necesario fijar </w:t>
      </w:r>
      <w:r w:rsidR="00035864">
        <w:t xml:space="preserve">un nuevo plazo </w:t>
      </w:r>
      <w:r>
        <w:t xml:space="preserve">para que el Estado </w:t>
      </w:r>
      <w:r w:rsidR="00035864">
        <w:t xml:space="preserve">remita </w:t>
      </w:r>
      <w:r>
        <w:t xml:space="preserve">a la Corte </w:t>
      </w:r>
      <w:r w:rsidR="00C31D3D">
        <w:t>las preguntas que estime pertinentes</w:t>
      </w:r>
      <w:r>
        <w:t xml:space="preserve">, según se indica en la parte resolutiva </w:t>
      </w:r>
      <w:r w:rsidR="0059647C">
        <w:t xml:space="preserve">5 </w:t>
      </w:r>
      <w:r w:rsidR="004F3B07">
        <w:rPr>
          <w:i/>
        </w:rPr>
        <w:t xml:space="preserve">infra </w:t>
      </w:r>
      <w:r>
        <w:t>de la presente decisión</w:t>
      </w:r>
      <w:r w:rsidR="00C31D3D">
        <w:t xml:space="preserve">. </w:t>
      </w:r>
    </w:p>
    <w:p w14:paraId="3F8BEFA1" w14:textId="77777777" w:rsidR="00FC2B4A" w:rsidRPr="00434013" w:rsidRDefault="00FC2B4A" w:rsidP="0001341D">
      <w:pPr>
        <w:pStyle w:val="ListParagraph"/>
        <w:ind w:left="0"/>
        <w:rPr>
          <w:szCs w:val="20"/>
          <w:lang w:val="es-MX"/>
        </w:rPr>
      </w:pPr>
    </w:p>
    <w:p w14:paraId="752D395A" w14:textId="29B69DF3" w:rsidR="002C3268" w:rsidRDefault="00FC2B4A" w:rsidP="0001341D">
      <w:pPr>
        <w:pStyle w:val="ListParagraph"/>
        <w:numPr>
          <w:ilvl w:val="0"/>
          <w:numId w:val="53"/>
        </w:numPr>
        <w:rPr>
          <w:b/>
          <w:i/>
          <w:szCs w:val="20"/>
          <w:lang w:val="es-MX"/>
        </w:rPr>
      </w:pPr>
      <w:r>
        <w:rPr>
          <w:b/>
          <w:i/>
          <w:szCs w:val="20"/>
          <w:lang w:val="es-MX"/>
        </w:rPr>
        <w:t>Respecto del</w:t>
      </w:r>
      <w:r w:rsidR="00883216">
        <w:rPr>
          <w:b/>
          <w:i/>
          <w:szCs w:val="20"/>
          <w:lang w:val="es-MX"/>
        </w:rPr>
        <w:t xml:space="preserve"> perito Carlos Rodríguez Ulloa.</w:t>
      </w:r>
    </w:p>
    <w:p w14:paraId="2B35A9A2" w14:textId="77777777" w:rsidR="00883216" w:rsidRPr="0001341D" w:rsidRDefault="00883216" w:rsidP="0001341D">
      <w:pPr>
        <w:pStyle w:val="ListParagraph"/>
        <w:ind w:left="1080"/>
        <w:rPr>
          <w:b/>
          <w:i/>
          <w:szCs w:val="20"/>
          <w:lang w:val="es-MX"/>
        </w:rPr>
      </w:pPr>
    </w:p>
    <w:p w14:paraId="65D00649" w14:textId="5C921554" w:rsidR="002C3268" w:rsidRPr="0001341D" w:rsidRDefault="006072DB" w:rsidP="0001341D">
      <w:pPr>
        <w:pStyle w:val="ListParagraph"/>
        <w:numPr>
          <w:ilvl w:val="0"/>
          <w:numId w:val="2"/>
        </w:numPr>
        <w:ind w:left="0" w:firstLine="0"/>
        <w:rPr>
          <w:szCs w:val="20"/>
        </w:rPr>
      </w:pPr>
      <w:r>
        <w:rPr>
          <w:szCs w:val="20"/>
        </w:rPr>
        <w:t xml:space="preserve">El </w:t>
      </w:r>
      <w:r>
        <w:rPr>
          <w:b/>
          <w:i/>
          <w:szCs w:val="20"/>
        </w:rPr>
        <w:t xml:space="preserve">Estado </w:t>
      </w:r>
      <w:r w:rsidR="009F4FA0" w:rsidRPr="0001341D">
        <w:rPr>
          <w:szCs w:val="20"/>
        </w:rPr>
        <w:t>solicitó a la Corte la</w:t>
      </w:r>
      <w:r w:rsidR="009F4FA0">
        <w:rPr>
          <w:b/>
          <w:szCs w:val="20"/>
        </w:rPr>
        <w:t xml:space="preserve"> </w:t>
      </w:r>
      <w:r w:rsidR="009F4FA0" w:rsidRPr="0001341D">
        <w:rPr>
          <w:szCs w:val="20"/>
        </w:rPr>
        <w:t>reconsideración de</w:t>
      </w:r>
      <w:r w:rsidR="009F4FA0">
        <w:rPr>
          <w:szCs w:val="20"/>
        </w:rPr>
        <w:t xml:space="preserve"> la Resolución del Presidente en cuanto se refiere a la </w:t>
      </w:r>
      <w:r w:rsidR="009F4FA0">
        <w:rPr>
          <w:szCs w:val="20"/>
          <w:lang w:val="es-MX"/>
        </w:rPr>
        <w:t>modalidad de desahogo del peritaje a cargo del señor Carlos Rodríguez Ulloa, a efecto de que el mismo realice su pronunciamiento pericial en la audiencia pública del caso</w:t>
      </w:r>
      <w:r w:rsidR="00FC2B4A">
        <w:rPr>
          <w:szCs w:val="20"/>
          <w:lang w:val="es-MX"/>
        </w:rPr>
        <w:t xml:space="preserve"> como había sido solicitado por el Estado</w:t>
      </w:r>
      <w:r w:rsidR="009F4FA0">
        <w:rPr>
          <w:szCs w:val="20"/>
          <w:lang w:val="es-MX"/>
        </w:rPr>
        <w:t xml:space="preserve"> </w:t>
      </w:r>
      <w:r w:rsidR="00E80619">
        <w:rPr>
          <w:szCs w:val="20"/>
          <w:lang w:val="es-MX"/>
        </w:rPr>
        <w:t>y siendo que las contrapartes cuentan con mayores declarantes</w:t>
      </w:r>
      <w:r w:rsidR="009F4FA0">
        <w:rPr>
          <w:szCs w:val="20"/>
          <w:lang w:val="es-MX"/>
        </w:rPr>
        <w:t xml:space="preserve">. </w:t>
      </w:r>
      <w:r w:rsidR="00E80619">
        <w:rPr>
          <w:szCs w:val="20"/>
          <w:lang w:val="es-MX"/>
        </w:rPr>
        <w:t>Arg</w:t>
      </w:r>
      <w:r w:rsidR="00FC2B4A">
        <w:rPr>
          <w:szCs w:val="20"/>
          <w:lang w:val="es-MX"/>
        </w:rPr>
        <w:t>umentaron</w:t>
      </w:r>
      <w:r w:rsidR="009F4FA0">
        <w:rPr>
          <w:szCs w:val="20"/>
          <w:lang w:val="es-MX"/>
        </w:rPr>
        <w:t xml:space="preserve"> “</w:t>
      </w:r>
      <w:r w:rsidR="00EB13FC">
        <w:rPr>
          <w:szCs w:val="20"/>
          <w:lang w:val="es-MX"/>
        </w:rPr>
        <w:t xml:space="preserve">que </w:t>
      </w:r>
      <w:r w:rsidR="009F4FA0">
        <w:rPr>
          <w:szCs w:val="20"/>
          <w:lang w:val="es-MX"/>
        </w:rPr>
        <w:t xml:space="preserve">apela al principio de igualdad procesal, con miras a que el perito Rodríguez Ulloa tenga la misma oportunidad </w:t>
      </w:r>
      <w:r w:rsidR="009F4FA0" w:rsidRPr="00EC2A81">
        <w:rPr>
          <w:rFonts w:cs="Arial"/>
          <w:color w:val="222222"/>
          <w:szCs w:val="20"/>
          <w:shd w:val="clear" w:color="auto" w:fill="FFFFFF"/>
        </w:rPr>
        <w:t>[</w:t>
      </w:r>
      <w:r w:rsidR="009F4FA0">
        <w:rPr>
          <w:rFonts w:cs="Arial"/>
          <w:color w:val="222222"/>
          <w:szCs w:val="20"/>
          <w:shd w:val="clear" w:color="auto" w:fill="FFFFFF"/>
        </w:rPr>
        <w:t>que los peritos ofrecidos por las representantes y la Comisión</w:t>
      </w:r>
      <w:r w:rsidR="009F4FA0" w:rsidRPr="00EC2A81">
        <w:rPr>
          <w:rFonts w:cs="Arial"/>
          <w:color w:val="222222"/>
          <w:szCs w:val="20"/>
          <w:shd w:val="clear" w:color="auto" w:fill="FFFFFF"/>
        </w:rPr>
        <w:t>]</w:t>
      </w:r>
      <w:r w:rsidR="009F4FA0">
        <w:rPr>
          <w:rFonts w:cs="Arial"/>
          <w:color w:val="222222"/>
          <w:szCs w:val="20"/>
          <w:shd w:val="clear" w:color="auto" w:fill="FFFFFF"/>
        </w:rPr>
        <w:t xml:space="preserve"> de ser escuchado e interrogado por las partes durante la audiencia </w:t>
      </w:r>
      <w:r w:rsidR="00EB13FC" w:rsidRPr="00EC2A81">
        <w:rPr>
          <w:rFonts w:cs="Arial"/>
          <w:color w:val="222222"/>
          <w:szCs w:val="20"/>
          <w:shd w:val="clear" w:color="auto" w:fill="FFFFFF"/>
        </w:rPr>
        <w:t>[</w:t>
      </w:r>
      <w:r w:rsidR="00EB13FC">
        <w:rPr>
          <w:rFonts w:cs="Arial"/>
          <w:color w:val="222222"/>
          <w:szCs w:val="20"/>
          <w:shd w:val="clear" w:color="auto" w:fill="FFFFFF"/>
        </w:rPr>
        <w:t>…</w:t>
      </w:r>
      <w:r w:rsidR="00EB13FC" w:rsidRPr="00EC2A81">
        <w:rPr>
          <w:rFonts w:cs="Arial"/>
          <w:color w:val="222222"/>
          <w:szCs w:val="20"/>
          <w:shd w:val="clear" w:color="auto" w:fill="FFFFFF"/>
        </w:rPr>
        <w:t>]</w:t>
      </w:r>
      <w:r w:rsidR="00EB13FC">
        <w:rPr>
          <w:rFonts w:cs="Arial"/>
          <w:color w:val="222222"/>
          <w:szCs w:val="20"/>
          <w:shd w:val="clear" w:color="auto" w:fill="FFFFFF"/>
        </w:rPr>
        <w:t xml:space="preserve"> </w:t>
      </w:r>
      <w:r w:rsidR="00EB13FC" w:rsidRPr="00EC2A81">
        <w:rPr>
          <w:rFonts w:cs="Arial"/>
          <w:color w:val="222222"/>
          <w:szCs w:val="20"/>
          <w:shd w:val="clear" w:color="auto" w:fill="FFFFFF"/>
        </w:rPr>
        <w:t>[</w:t>
      </w:r>
      <w:r w:rsidR="00EB13FC">
        <w:rPr>
          <w:rFonts w:cs="Arial"/>
          <w:color w:val="222222"/>
          <w:szCs w:val="20"/>
          <w:shd w:val="clear" w:color="auto" w:fill="FFFFFF"/>
        </w:rPr>
        <w:t>considerando</w:t>
      </w:r>
      <w:r w:rsidR="00EB13FC" w:rsidRPr="00EC2A81">
        <w:rPr>
          <w:rFonts w:cs="Arial"/>
          <w:color w:val="222222"/>
          <w:szCs w:val="20"/>
          <w:shd w:val="clear" w:color="auto" w:fill="FFFFFF"/>
        </w:rPr>
        <w:t>]</w:t>
      </w:r>
      <w:r w:rsidR="00EB13FC">
        <w:rPr>
          <w:rFonts w:cs="Arial"/>
          <w:color w:val="222222"/>
          <w:szCs w:val="20"/>
          <w:shd w:val="clear" w:color="auto" w:fill="FFFFFF"/>
        </w:rPr>
        <w:t xml:space="preserve"> que la oportunidad para que el señor </w:t>
      </w:r>
      <w:r w:rsidR="00EB13FC" w:rsidRPr="00EC2A81">
        <w:rPr>
          <w:rFonts w:cs="Arial"/>
          <w:color w:val="222222"/>
          <w:szCs w:val="20"/>
          <w:shd w:val="clear" w:color="auto" w:fill="FFFFFF"/>
        </w:rPr>
        <w:t>[</w:t>
      </w:r>
      <w:r w:rsidR="00EB13FC">
        <w:rPr>
          <w:rFonts w:cs="Arial"/>
          <w:color w:val="222222"/>
          <w:szCs w:val="20"/>
          <w:shd w:val="clear" w:color="auto" w:fill="FFFFFF"/>
        </w:rPr>
        <w:t>Carlos</w:t>
      </w:r>
      <w:r w:rsidR="00EB13FC" w:rsidRPr="00EC2A81">
        <w:rPr>
          <w:rFonts w:cs="Arial"/>
          <w:color w:val="222222"/>
          <w:szCs w:val="20"/>
          <w:shd w:val="clear" w:color="auto" w:fill="FFFFFF"/>
        </w:rPr>
        <w:t>]</w:t>
      </w:r>
      <w:r w:rsidR="00EB13FC">
        <w:rPr>
          <w:rFonts w:cs="Arial"/>
          <w:color w:val="222222"/>
          <w:szCs w:val="20"/>
          <w:shd w:val="clear" w:color="auto" w:fill="FFFFFF"/>
        </w:rPr>
        <w:t xml:space="preserve"> Rodríguez Ulloa sea escuchado durante la audiencia </w:t>
      </w:r>
      <w:r w:rsidR="00EB13FC" w:rsidRPr="00EC2A81">
        <w:rPr>
          <w:rFonts w:cs="Arial"/>
          <w:color w:val="222222"/>
          <w:szCs w:val="20"/>
          <w:shd w:val="clear" w:color="auto" w:fill="FFFFFF"/>
        </w:rPr>
        <w:t>[</w:t>
      </w:r>
      <w:r w:rsidR="00EB13FC">
        <w:rPr>
          <w:rFonts w:cs="Arial"/>
          <w:color w:val="222222"/>
          <w:szCs w:val="20"/>
          <w:shd w:val="clear" w:color="auto" w:fill="FFFFFF"/>
        </w:rPr>
        <w:t>…</w:t>
      </w:r>
      <w:r w:rsidR="00EB13FC" w:rsidRPr="00EC2A81">
        <w:rPr>
          <w:rFonts w:cs="Arial"/>
          <w:color w:val="222222"/>
          <w:szCs w:val="20"/>
          <w:shd w:val="clear" w:color="auto" w:fill="FFFFFF"/>
        </w:rPr>
        <w:t>]</w:t>
      </w:r>
      <w:r w:rsidR="00EB13FC">
        <w:rPr>
          <w:rFonts w:cs="Arial"/>
          <w:color w:val="222222"/>
          <w:szCs w:val="20"/>
          <w:shd w:val="clear" w:color="auto" w:fill="FFFFFF"/>
        </w:rPr>
        <w:t xml:space="preserve"> dará una apreciación directa a los jueces y jueza de la </w:t>
      </w:r>
      <w:r w:rsidR="00EB13FC" w:rsidRPr="00EC2A81">
        <w:rPr>
          <w:rFonts w:cs="Arial"/>
          <w:color w:val="222222"/>
          <w:szCs w:val="20"/>
          <w:shd w:val="clear" w:color="auto" w:fill="FFFFFF"/>
        </w:rPr>
        <w:t>[</w:t>
      </w:r>
      <w:r w:rsidR="00EB13FC">
        <w:rPr>
          <w:rFonts w:cs="Arial"/>
          <w:color w:val="222222"/>
          <w:szCs w:val="20"/>
          <w:shd w:val="clear" w:color="auto" w:fill="FFFFFF"/>
        </w:rPr>
        <w:t>Corte</w:t>
      </w:r>
      <w:r w:rsidR="00EB13FC" w:rsidRPr="00EC2A81">
        <w:rPr>
          <w:rFonts w:cs="Arial"/>
          <w:color w:val="222222"/>
          <w:szCs w:val="20"/>
          <w:shd w:val="clear" w:color="auto" w:fill="FFFFFF"/>
        </w:rPr>
        <w:t>]</w:t>
      </w:r>
      <w:r w:rsidR="00EB13FC">
        <w:rPr>
          <w:rFonts w:cs="Arial"/>
          <w:color w:val="222222"/>
          <w:szCs w:val="20"/>
          <w:shd w:val="clear" w:color="auto" w:fill="FFFFFF"/>
        </w:rPr>
        <w:t xml:space="preserve"> sobre el contexto de violencia en Chihuahua en la época de los hechos”</w:t>
      </w:r>
      <w:r w:rsidR="009F4FA0">
        <w:rPr>
          <w:rFonts w:cs="Arial"/>
          <w:color w:val="222222"/>
          <w:szCs w:val="20"/>
          <w:shd w:val="clear" w:color="auto" w:fill="FFFFFF"/>
        </w:rPr>
        <w:t>.</w:t>
      </w:r>
    </w:p>
    <w:p w14:paraId="67D25AC4" w14:textId="77777777" w:rsidR="00652495" w:rsidRPr="00434013" w:rsidRDefault="00652495" w:rsidP="0001341D">
      <w:pPr>
        <w:pStyle w:val="ListParagraph"/>
        <w:ind w:left="0"/>
        <w:rPr>
          <w:szCs w:val="20"/>
        </w:rPr>
      </w:pPr>
    </w:p>
    <w:p w14:paraId="145452EB" w14:textId="6F9B65AA" w:rsidR="00E41D73" w:rsidRPr="00E41D73" w:rsidRDefault="00401B2E" w:rsidP="0001341D">
      <w:pPr>
        <w:pStyle w:val="ListParagraph"/>
        <w:numPr>
          <w:ilvl w:val="0"/>
          <w:numId w:val="2"/>
        </w:numPr>
        <w:ind w:left="0" w:firstLine="0"/>
        <w:rPr>
          <w:rFonts w:cs="Arial"/>
          <w:color w:val="222222"/>
          <w:szCs w:val="20"/>
          <w:shd w:val="clear" w:color="auto" w:fill="FFFFFF"/>
        </w:rPr>
      </w:pPr>
      <w:r w:rsidRPr="00E41D73">
        <w:rPr>
          <w:szCs w:val="20"/>
        </w:rPr>
        <w:t xml:space="preserve">Al respecto, las </w:t>
      </w:r>
      <w:r w:rsidRPr="0001341D">
        <w:rPr>
          <w:b/>
          <w:i/>
          <w:szCs w:val="20"/>
        </w:rPr>
        <w:t>representantes</w:t>
      </w:r>
      <w:r w:rsidRPr="00E41D73">
        <w:rPr>
          <w:b/>
          <w:i/>
          <w:szCs w:val="20"/>
        </w:rPr>
        <w:t xml:space="preserve"> </w:t>
      </w:r>
      <w:r w:rsidRPr="00E41D73">
        <w:rPr>
          <w:szCs w:val="20"/>
        </w:rPr>
        <w:t xml:space="preserve">señalaron en sus observaciones </w:t>
      </w:r>
      <w:r w:rsidR="00FC2B4A">
        <w:rPr>
          <w:szCs w:val="20"/>
        </w:rPr>
        <w:t>que</w:t>
      </w:r>
      <w:r w:rsidR="001A5F9C" w:rsidRPr="00E41D73">
        <w:rPr>
          <w:rFonts w:cs="Arial"/>
          <w:color w:val="222222"/>
          <w:szCs w:val="20"/>
          <w:shd w:val="clear" w:color="auto" w:fill="FFFFFF"/>
        </w:rPr>
        <w:t xml:space="preserve"> </w:t>
      </w:r>
      <w:r w:rsidR="00FC2B4A">
        <w:rPr>
          <w:rFonts w:cs="Arial"/>
          <w:color w:val="222222"/>
          <w:szCs w:val="20"/>
          <w:shd w:val="clear" w:color="auto" w:fill="FFFFFF"/>
        </w:rPr>
        <w:t>“</w:t>
      </w:r>
      <w:r w:rsidR="00E41D73" w:rsidRPr="00E41D73">
        <w:rPr>
          <w:rFonts w:cs="Arial"/>
          <w:color w:val="222222"/>
          <w:szCs w:val="20"/>
          <w:shd w:val="clear" w:color="auto" w:fill="FFFFFF"/>
        </w:rPr>
        <w:t>el Estado tuvo la oportunidad procesal para [proponer] un listado de nombres que obedeciera a la priorización de sus declarantes”. Agregaron que “el Estado pudo […] aclarar […] que la solicitud del desahogo de la prueba [</w:t>
      </w:r>
      <w:r w:rsidR="00E41D73">
        <w:rPr>
          <w:rFonts w:cs="Arial"/>
          <w:color w:val="222222"/>
          <w:szCs w:val="20"/>
          <w:shd w:val="clear" w:color="auto" w:fill="FFFFFF"/>
        </w:rPr>
        <w:t>pericial</w:t>
      </w:r>
      <w:r w:rsidR="00E41D73" w:rsidRPr="00E41D73">
        <w:rPr>
          <w:rFonts w:cs="Arial"/>
          <w:color w:val="222222"/>
          <w:szCs w:val="20"/>
          <w:shd w:val="clear" w:color="auto" w:fill="FFFFFF"/>
        </w:rPr>
        <w:t>] no sólo debería ser en audiencia pública, sino que ésta tendría prioridad por sobre las demás enunciadas en su [</w:t>
      </w:r>
      <w:r w:rsidR="00E41D73">
        <w:rPr>
          <w:rFonts w:cs="Arial"/>
          <w:color w:val="222222"/>
          <w:szCs w:val="20"/>
          <w:shd w:val="clear" w:color="auto" w:fill="FFFFFF"/>
        </w:rPr>
        <w:t>lista definitiva</w:t>
      </w:r>
      <w:r w:rsidR="00E41D73" w:rsidRPr="00E41D73">
        <w:rPr>
          <w:rFonts w:cs="Arial"/>
          <w:color w:val="222222"/>
          <w:szCs w:val="20"/>
          <w:shd w:val="clear" w:color="auto" w:fill="FFFFFF"/>
        </w:rPr>
        <w:t>], lo cual no hizo</w:t>
      </w:r>
      <w:r w:rsidR="00E41D73">
        <w:rPr>
          <w:rFonts w:cs="Arial"/>
          <w:color w:val="222222"/>
          <w:szCs w:val="20"/>
          <w:shd w:val="clear" w:color="auto" w:fill="FFFFFF"/>
        </w:rPr>
        <w:t>”</w:t>
      </w:r>
      <w:r w:rsidR="00E41D73" w:rsidRPr="00E41D73">
        <w:rPr>
          <w:rFonts w:cs="Arial"/>
          <w:color w:val="222222"/>
          <w:szCs w:val="20"/>
          <w:shd w:val="clear" w:color="auto" w:fill="FFFFFF"/>
        </w:rPr>
        <w:t xml:space="preserve">. </w:t>
      </w:r>
      <w:r w:rsidR="00E41D73">
        <w:rPr>
          <w:rFonts w:cs="Arial"/>
          <w:color w:val="222222"/>
          <w:szCs w:val="20"/>
          <w:shd w:val="clear" w:color="auto" w:fill="FFFFFF"/>
        </w:rPr>
        <w:t>Finalmente, consideraron que “</w:t>
      </w:r>
      <w:r w:rsidR="00E41D73" w:rsidRPr="00E41D73">
        <w:rPr>
          <w:rFonts w:cs="Arial"/>
          <w:color w:val="222222"/>
          <w:szCs w:val="20"/>
          <w:shd w:val="clear" w:color="auto" w:fill="FFFFFF"/>
        </w:rPr>
        <w:t>someter a consideración del Pleno una propuesta que no fue clarificada en el momento procesal oportuno, pone en desprotección a las demás partes en el proceso y afecta decisivamente el adecuado equilibrio entre la justicia</w:t>
      </w:r>
      <w:r w:rsidR="00E41D73">
        <w:rPr>
          <w:rFonts w:cs="Arial"/>
          <w:color w:val="222222"/>
          <w:szCs w:val="20"/>
          <w:shd w:val="clear" w:color="auto" w:fill="FFFFFF"/>
        </w:rPr>
        <w:t>”</w:t>
      </w:r>
      <w:r w:rsidR="00E41D73" w:rsidRPr="00E41D73">
        <w:rPr>
          <w:rFonts w:cs="Arial"/>
          <w:color w:val="222222"/>
          <w:szCs w:val="20"/>
          <w:shd w:val="clear" w:color="auto" w:fill="FFFFFF"/>
        </w:rPr>
        <w:t xml:space="preserve">.  </w:t>
      </w:r>
    </w:p>
    <w:p w14:paraId="7A2EA959" w14:textId="77777777" w:rsidR="00E41D73" w:rsidRPr="0001341D" w:rsidRDefault="00E41D73" w:rsidP="0001341D">
      <w:pPr>
        <w:pStyle w:val="ListParagraph"/>
        <w:rPr>
          <w:szCs w:val="20"/>
          <w:lang w:val="es-MX"/>
        </w:rPr>
      </w:pPr>
    </w:p>
    <w:p w14:paraId="2E26DFFC" w14:textId="37981EAC" w:rsidR="005E28E2" w:rsidRPr="0001341D" w:rsidRDefault="00E80619" w:rsidP="0001341D">
      <w:pPr>
        <w:pStyle w:val="ListParagraph"/>
        <w:numPr>
          <w:ilvl w:val="0"/>
          <w:numId w:val="2"/>
        </w:numPr>
        <w:ind w:left="0" w:firstLine="0"/>
        <w:rPr>
          <w:szCs w:val="20"/>
          <w:lang w:val="es-MX"/>
        </w:rPr>
      </w:pPr>
      <w:r>
        <w:rPr>
          <w:szCs w:val="20"/>
          <w:lang w:val="es-MX"/>
        </w:rPr>
        <w:t>L</w:t>
      </w:r>
      <w:r w:rsidR="005E28E2">
        <w:rPr>
          <w:szCs w:val="20"/>
          <w:lang w:val="es-MX"/>
        </w:rPr>
        <w:t xml:space="preserve">a </w:t>
      </w:r>
      <w:r w:rsidR="005E28E2">
        <w:rPr>
          <w:b/>
          <w:i/>
          <w:szCs w:val="20"/>
          <w:lang w:val="es-MX"/>
        </w:rPr>
        <w:t xml:space="preserve">Comisión </w:t>
      </w:r>
      <w:r w:rsidR="005E28E2">
        <w:rPr>
          <w:szCs w:val="20"/>
          <w:lang w:val="es-MX"/>
        </w:rPr>
        <w:t>reiteró sus consideraciones en cuanto a que no se opone a la misma, “en tanto que la inmediación y la oralidad de la prueba contribuye positivamente al desarrollo de</w:t>
      </w:r>
      <w:r w:rsidR="00BB1706">
        <w:rPr>
          <w:szCs w:val="20"/>
          <w:lang w:val="es-MX"/>
        </w:rPr>
        <w:t xml:space="preserve"> </w:t>
      </w:r>
      <w:r w:rsidR="005E28E2">
        <w:rPr>
          <w:szCs w:val="20"/>
          <w:lang w:val="es-MX"/>
        </w:rPr>
        <w:t xml:space="preserve">la audiencia ante la Corte </w:t>
      </w:r>
      <w:r w:rsidR="005E28E2" w:rsidRPr="00E41D73">
        <w:rPr>
          <w:rFonts w:cs="Arial"/>
          <w:color w:val="222222"/>
          <w:szCs w:val="20"/>
          <w:shd w:val="clear" w:color="auto" w:fill="FFFFFF"/>
        </w:rPr>
        <w:t>[…]</w:t>
      </w:r>
      <w:r>
        <w:rPr>
          <w:rFonts w:cs="Arial"/>
          <w:color w:val="222222"/>
          <w:szCs w:val="20"/>
          <w:shd w:val="clear" w:color="auto" w:fill="FFFFFF"/>
        </w:rPr>
        <w:t>”</w:t>
      </w:r>
      <w:r w:rsidR="00726F4A">
        <w:rPr>
          <w:rFonts w:cs="Arial"/>
          <w:color w:val="222222"/>
          <w:szCs w:val="20"/>
          <w:shd w:val="clear" w:color="auto" w:fill="FFFFFF"/>
        </w:rPr>
        <w:t>.</w:t>
      </w:r>
    </w:p>
    <w:p w14:paraId="246B9CDE" w14:textId="77777777" w:rsidR="005E28E2" w:rsidRDefault="005E28E2" w:rsidP="0001341D">
      <w:pPr>
        <w:pStyle w:val="ListParagraph"/>
      </w:pPr>
    </w:p>
    <w:p w14:paraId="14163489" w14:textId="2DBDFAF4" w:rsidR="007B2BA8" w:rsidRPr="0001341D" w:rsidRDefault="007B2BA8" w:rsidP="0001341D">
      <w:pPr>
        <w:pStyle w:val="ListParagraph"/>
        <w:numPr>
          <w:ilvl w:val="0"/>
          <w:numId w:val="2"/>
        </w:numPr>
        <w:ind w:left="0" w:firstLine="0"/>
        <w:rPr>
          <w:szCs w:val="20"/>
          <w:lang w:val="es-MX"/>
        </w:rPr>
      </w:pPr>
      <w:r>
        <w:t>Al respecto</w:t>
      </w:r>
      <w:r w:rsidRPr="0001341D">
        <w:rPr>
          <w:b/>
          <w:i/>
        </w:rPr>
        <w:t xml:space="preserve">, la </w:t>
      </w:r>
      <w:r w:rsidR="00D9582D" w:rsidRPr="0001341D">
        <w:rPr>
          <w:b/>
          <w:i/>
        </w:rPr>
        <w:t>Corte</w:t>
      </w:r>
      <w:r w:rsidR="00D9582D">
        <w:t xml:space="preserve"> </w:t>
      </w:r>
      <w:r w:rsidR="00F0401D">
        <w:t xml:space="preserve">observa </w:t>
      </w:r>
      <w:r w:rsidR="00D9582D">
        <w:t>que</w:t>
      </w:r>
      <w:r w:rsidR="00E80619">
        <w:t>,</w:t>
      </w:r>
      <w:r w:rsidR="00D9582D">
        <w:t xml:space="preserve"> </w:t>
      </w:r>
      <w:r w:rsidR="00F0401D">
        <w:t>con base al principio de igualdad de armas, el Tribunal considera razonable acceder a la solicitud del Estado</w:t>
      </w:r>
      <w:r w:rsidR="00E80619">
        <w:t xml:space="preserve"> en esta ocasión</w:t>
      </w:r>
      <w:r w:rsidR="00F0401D">
        <w:t>,</w:t>
      </w:r>
      <w:r w:rsidR="00E80619">
        <w:t xml:space="preserve"> y por tanto </w:t>
      </w:r>
      <w:r w:rsidR="00F0401D">
        <w:t xml:space="preserve">modificar el punto resolutivo 17, inciso e), numeral i, y convocar al perito Carlos Rodríguez Ulloa a rendir su declaración en la audiencia pública </w:t>
      </w:r>
      <w:r w:rsidR="00D84260">
        <w:t>a celebrarse sobre e</w:t>
      </w:r>
      <w:r w:rsidR="00F0401D">
        <w:t>l caso</w:t>
      </w:r>
      <w:r w:rsidR="00D84260">
        <w:t>.</w:t>
      </w:r>
    </w:p>
    <w:p w14:paraId="4864C79E" w14:textId="77777777" w:rsidR="00AE2198" w:rsidRPr="005F671E" w:rsidRDefault="00AE2198" w:rsidP="00AE2198">
      <w:pPr>
        <w:tabs>
          <w:tab w:val="left" w:pos="567"/>
        </w:tabs>
        <w:spacing w:after="0" w:line="240" w:lineRule="auto"/>
        <w:rPr>
          <w:rFonts w:ascii="Verdana" w:eastAsia="Calibri" w:hAnsi="Verdana" w:cs="Calibri"/>
          <w:sz w:val="20"/>
          <w:szCs w:val="20"/>
          <w:highlight w:val="yellow"/>
          <w:lang w:val="es-CR"/>
        </w:rPr>
      </w:pPr>
    </w:p>
    <w:p w14:paraId="4864C7A0" w14:textId="77777777" w:rsidR="00AE2198" w:rsidRPr="00B34618" w:rsidRDefault="00AE2198" w:rsidP="00AE2198">
      <w:pPr>
        <w:tabs>
          <w:tab w:val="left" w:pos="567"/>
        </w:tabs>
        <w:spacing w:after="0" w:line="240" w:lineRule="auto"/>
        <w:jc w:val="both"/>
        <w:rPr>
          <w:rFonts w:ascii="Verdana" w:eastAsia="Calibri" w:hAnsi="Verdana" w:cs="Verdana"/>
          <w:b/>
          <w:bCs/>
          <w:sz w:val="20"/>
          <w:szCs w:val="20"/>
          <w:lang w:val="es-CR"/>
        </w:rPr>
      </w:pPr>
      <w:r w:rsidRPr="00B34618">
        <w:rPr>
          <w:rFonts w:ascii="Verdana" w:eastAsia="Calibri" w:hAnsi="Verdana" w:cs="Verdana"/>
          <w:b/>
          <w:bCs/>
          <w:sz w:val="20"/>
          <w:szCs w:val="20"/>
          <w:lang w:val="es-CR"/>
        </w:rPr>
        <w:t>POR TANTO:</w:t>
      </w:r>
    </w:p>
    <w:p w14:paraId="4864C7A2" w14:textId="77777777" w:rsidR="00AE2198" w:rsidRPr="00B34618" w:rsidRDefault="00AE2198" w:rsidP="00AE2198">
      <w:pPr>
        <w:tabs>
          <w:tab w:val="left" w:pos="567"/>
        </w:tabs>
        <w:spacing w:after="0" w:line="240" w:lineRule="auto"/>
        <w:jc w:val="both"/>
        <w:rPr>
          <w:rFonts w:ascii="Verdana" w:eastAsia="Calibri" w:hAnsi="Verdana" w:cs="Verdana"/>
          <w:b/>
          <w:bCs/>
          <w:sz w:val="20"/>
          <w:szCs w:val="20"/>
          <w:lang w:val="es-CR"/>
        </w:rPr>
      </w:pPr>
    </w:p>
    <w:p w14:paraId="4864C7A3" w14:textId="4FC02D71" w:rsidR="00AE2198" w:rsidRPr="00B34618" w:rsidRDefault="00AE2198" w:rsidP="00AE2198">
      <w:pPr>
        <w:tabs>
          <w:tab w:val="left" w:pos="567"/>
        </w:tabs>
        <w:spacing w:after="0" w:line="240" w:lineRule="auto"/>
        <w:jc w:val="both"/>
        <w:rPr>
          <w:rFonts w:ascii="Verdana" w:eastAsia="Calibri" w:hAnsi="Verdana" w:cs="Verdana"/>
          <w:b/>
          <w:bCs/>
          <w:sz w:val="20"/>
          <w:szCs w:val="20"/>
          <w:lang w:val="es-CR"/>
        </w:rPr>
      </w:pPr>
      <w:r w:rsidRPr="00B34618">
        <w:rPr>
          <w:rFonts w:ascii="Verdana" w:eastAsia="Calibri" w:hAnsi="Verdana" w:cs="Verdana"/>
          <w:b/>
          <w:bCs/>
          <w:sz w:val="20"/>
          <w:szCs w:val="20"/>
          <w:lang w:val="es-CR"/>
        </w:rPr>
        <w:t xml:space="preserve">LA CORTE INTERAMERICANA DE DERECHOS HUMANOS, </w:t>
      </w:r>
    </w:p>
    <w:p w14:paraId="4864C7A5" w14:textId="77777777" w:rsidR="00AE2198" w:rsidRPr="00B34618" w:rsidRDefault="00AE2198" w:rsidP="00AE2198">
      <w:pPr>
        <w:tabs>
          <w:tab w:val="left" w:pos="567"/>
        </w:tabs>
        <w:spacing w:after="0" w:line="240" w:lineRule="auto"/>
        <w:jc w:val="both"/>
        <w:rPr>
          <w:rFonts w:ascii="Verdana" w:eastAsia="Calibri" w:hAnsi="Verdana" w:cs="Verdana"/>
          <w:b/>
          <w:bCs/>
          <w:sz w:val="20"/>
          <w:szCs w:val="20"/>
          <w:lang w:val="es-CR"/>
        </w:rPr>
      </w:pPr>
    </w:p>
    <w:p w14:paraId="1D7136F2" w14:textId="4741A52E" w:rsidR="00226217" w:rsidRPr="0001341D" w:rsidRDefault="00226217" w:rsidP="00AE2198">
      <w:pPr>
        <w:tabs>
          <w:tab w:val="left" w:pos="567"/>
        </w:tabs>
        <w:spacing w:after="0" w:line="240" w:lineRule="auto"/>
        <w:jc w:val="both"/>
        <w:rPr>
          <w:rFonts w:ascii="Verdana" w:hAnsi="Verdana"/>
          <w:sz w:val="20"/>
          <w:szCs w:val="20"/>
        </w:rPr>
      </w:pPr>
      <w:proofErr w:type="gramStart"/>
      <w:r w:rsidRPr="0001341D">
        <w:rPr>
          <w:rFonts w:ascii="Verdana" w:hAnsi="Verdana"/>
          <w:sz w:val="20"/>
          <w:szCs w:val="20"/>
        </w:rPr>
        <w:t>de</w:t>
      </w:r>
      <w:proofErr w:type="gramEnd"/>
      <w:r w:rsidRPr="0001341D">
        <w:rPr>
          <w:rFonts w:ascii="Verdana" w:hAnsi="Verdana"/>
          <w:sz w:val="20"/>
          <w:szCs w:val="20"/>
        </w:rPr>
        <w:t xml:space="preserve"> conformidad con el artículo 25.2 del Estatuto de la Corte y con los artículos 31.2, </w:t>
      </w:r>
      <w:r w:rsidR="00B845F0">
        <w:rPr>
          <w:rFonts w:ascii="Verdana" w:hAnsi="Verdana"/>
          <w:sz w:val="20"/>
          <w:szCs w:val="20"/>
        </w:rPr>
        <w:t xml:space="preserve">49 </w:t>
      </w:r>
      <w:r w:rsidRPr="0001341D">
        <w:rPr>
          <w:rFonts w:ascii="Verdana" w:hAnsi="Verdana"/>
          <w:sz w:val="20"/>
          <w:szCs w:val="20"/>
        </w:rPr>
        <w:t>y 50 del Reglamento,</w:t>
      </w:r>
    </w:p>
    <w:p w14:paraId="4864C7A8" w14:textId="49CB8276" w:rsidR="00AE2198" w:rsidRPr="00B34618" w:rsidRDefault="00AE2198" w:rsidP="00AE2198">
      <w:pPr>
        <w:tabs>
          <w:tab w:val="left" w:pos="567"/>
        </w:tabs>
        <w:spacing w:after="0" w:line="240" w:lineRule="auto"/>
        <w:jc w:val="both"/>
        <w:rPr>
          <w:rFonts w:ascii="Verdana" w:eastAsia="Calibri" w:hAnsi="Verdana" w:cs="Verdana"/>
          <w:sz w:val="20"/>
          <w:szCs w:val="20"/>
          <w:lang w:val="es-CR"/>
        </w:rPr>
      </w:pPr>
      <w:r w:rsidRPr="00B34618">
        <w:rPr>
          <w:rFonts w:ascii="Verdana" w:eastAsia="Calibri" w:hAnsi="Verdana" w:cs="Verdana"/>
          <w:sz w:val="20"/>
          <w:szCs w:val="20"/>
          <w:lang w:val="es-CR"/>
        </w:rPr>
        <w:t xml:space="preserve"> </w:t>
      </w:r>
    </w:p>
    <w:p w14:paraId="377FE091" w14:textId="00950EB8" w:rsidR="00E80619" w:rsidRDefault="00AE2198" w:rsidP="00AE2198">
      <w:pPr>
        <w:tabs>
          <w:tab w:val="left" w:pos="567"/>
        </w:tabs>
        <w:spacing w:after="0" w:line="240" w:lineRule="auto"/>
        <w:jc w:val="both"/>
        <w:rPr>
          <w:rFonts w:ascii="Verdana" w:eastAsia="Calibri" w:hAnsi="Verdana" w:cs="Verdana"/>
          <w:b/>
          <w:bCs/>
          <w:sz w:val="20"/>
          <w:szCs w:val="20"/>
          <w:lang w:val="es-CR"/>
        </w:rPr>
      </w:pPr>
      <w:r w:rsidRPr="00B34618">
        <w:rPr>
          <w:rFonts w:ascii="Verdana" w:eastAsia="Calibri" w:hAnsi="Verdana" w:cs="Verdana"/>
          <w:b/>
          <w:bCs/>
          <w:sz w:val="20"/>
          <w:szCs w:val="20"/>
          <w:lang w:val="es-CR"/>
        </w:rPr>
        <w:t>RESUELVE</w:t>
      </w:r>
      <w:r w:rsidR="00E80619">
        <w:rPr>
          <w:rFonts w:ascii="Verdana" w:eastAsia="Calibri" w:hAnsi="Verdana" w:cs="Verdana"/>
          <w:b/>
          <w:bCs/>
          <w:sz w:val="20"/>
          <w:szCs w:val="20"/>
          <w:lang w:val="es-CR"/>
        </w:rPr>
        <w:t>:</w:t>
      </w:r>
    </w:p>
    <w:p w14:paraId="335B4A0B" w14:textId="77777777" w:rsidR="00E80619" w:rsidRDefault="00E80619" w:rsidP="00AE2198">
      <w:pPr>
        <w:tabs>
          <w:tab w:val="left" w:pos="567"/>
        </w:tabs>
        <w:spacing w:after="0" w:line="240" w:lineRule="auto"/>
        <w:jc w:val="both"/>
        <w:rPr>
          <w:rFonts w:ascii="Verdana" w:eastAsia="Calibri" w:hAnsi="Verdana" w:cs="Verdana"/>
          <w:b/>
          <w:bCs/>
          <w:sz w:val="20"/>
          <w:szCs w:val="20"/>
          <w:lang w:val="es-CR"/>
        </w:rPr>
      </w:pPr>
    </w:p>
    <w:p w14:paraId="4864C7A9" w14:textId="3A0422B7" w:rsidR="00AE2198" w:rsidRPr="00B34618" w:rsidRDefault="00E80619" w:rsidP="00AE2198">
      <w:pPr>
        <w:tabs>
          <w:tab w:val="left" w:pos="567"/>
        </w:tabs>
        <w:spacing w:after="0" w:line="240" w:lineRule="auto"/>
        <w:jc w:val="both"/>
        <w:rPr>
          <w:rFonts w:ascii="Verdana" w:eastAsia="Calibri" w:hAnsi="Verdana" w:cs="Verdana"/>
          <w:b/>
          <w:bCs/>
          <w:sz w:val="20"/>
          <w:szCs w:val="20"/>
          <w:lang w:val="es-CR"/>
        </w:rPr>
      </w:pPr>
      <w:proofErr w:type="gramStart"/>
      <w:r>
        <w:rPr>
          <w:rFonts w:ascii="Verdana" w:eastAsia="Calibri" w:hAnsi="Verdana" w:cs="Verdana"/>
          <w:b/>
          <w:bCs/>
          <w:sz w:val="20"/>
          <w:szCs w:val="20"/>
          <w:lang w:val="es-CR"/>
        </w:rPr>
        <w:t>por</w:t>
      </w:r>
      <w:proofErr w:type="gramEnd"/>
      <w:r>
        <w:rPr>
          <w:rFonts w:ascii="Verdana" w:eastAsia="Calibri" w:hAnsi="Verdana" w:cs="Verdana"/>
          <w:b/>
          <w:bCs/>
          <w:sz w:val="20"/>
          <w:szCs w:val="20"/>
          <w:lang w:val="es-CR"/>
        </w:rPr>
        <w:t xml:space="preserve"> unanimidad,</w:t>
      </w:r>
    </w:p>
    <w:p w14:paraId="33F882DF" w14:textId="77777777" w:rsidR="00B13622" w:rsidRPr="00AE2198" w:rsidRDefault="00B13622" w:rsidP="00B13622">
      <w:pPr>
        <w:tabs>
          <w:tab w:val="left" w:pos="567"/>
        </w:tabs>
        <w:spacing w:after="0" w:line="240" w:lineRule="auto"/>
        <w:jc w:val="both"/>
        <w:rPr>
          <w:rFonts w:ascii="Verdana" w:eastAsia="Calibri" w:hAnsi="Verdana" w:cs="Verdana"/>
          <w:b/>
          <w:bCs/>
          <w:sz w:val="20"/>
          <w:szCs w:val="20"/>
          <w:lang w:val="es-CR"/>
        </w:rPr>
      </w:pPr>
    </w:p>
    <w:p w14:paraId="60615326" w14:textId="489347DB" w:rsidR="00883216" w:rsidRPr="00883216" w:rsidRDefault="00B13622" w:rsidP="0001341D">
      <w:pPr>
        <w:numPr>
          <w:ilvl w:val="3"/>
          <w:numId w:val="6"/>
        </w:numPr>
        <w:tabs>
          <w:tab w:val="left" w:pos="567"/>
        </w:tabs>
        <w:spacing w:after="0" w:line="240" w:lineRule="auto"/>
        <w:ind w:left="0" w:firstLine="0"/>
        <w:jc w:val="both"/>
        <w:rPr>
          <w:rFonts w:ascii="Verdana" w:hAnsi="Verdana" w:cs="Times"/>
          <w:sz w:val="20"/>
          <w:szCs w:val="20"/>
          <w:lang w:val="es-CR"/>
        </w:rPr>
      </w:pPr>
      <w:bookmarkStart w:id="6" w:name="_Ref230577466"/>
      <w:r w:rsidRPr="00883216">
        <w:rPr>
          <w:rFonts w:ascii="Verdana" w:eastAsia="Calibri" w:hAnsi="Verdana" w:cs="Verdana"/>
          <w:color w:val="000000"/>
          <w:sz w:val="20"/>
          <w:szCs w:val="20"/>
          <w:lang w:val="es-CR" w:eastAsia="es-ES"/>
        </w:rPr>
        <w:t>Con</w:t>
      </w:r>
      <w:r w:rsidR="00883216" w:rsidRPr="00883216">
        <w:rPr>
          <w:rFonts w:ascii="Verdana" w:eastAsia="Calibri" w:hAnsi="Verdana" w:cs="Verdana"/>
          <w:color w:val="000000"/>
          <w:sz w:val="20"/>
          <w:szCs w:val="20"/>
          <w:lang w:val="es-CR" w:eastAsia="es-ES"/>
        </w:rPr>
        <w:t xml:space="preserve">firmar el punto resolutivo 3 de la Resolución del Presidente </w:t>
      </w:r>
      <w:r w:rsidR="00E80619">
        <w:rPr>
          <w:rFonts w:ascii="Verdana" w:eastAsia="Calibri" w:hAnsi="Verdana" w:cs="Verdana"/>
          <w:color w:val="000000"/>
          <w:sz w:val="20"/>
          <w:szCs w:val="20"/>
          <w:lang w:val="es-CR" w:eastAsia="es-ES"/>
        </w:rPr>
        <w:t xml:space="preserve">en  ejercicio </w:t>
      </w:r>
      <w:r w:rsidR="00883216" w:rsidRPr="00883216">
        <w:rPr>
          <w:rFonts w:ascii="Verdana" w:eastAsia="Calibri" w:hAnsi="Verdana" w:cs="Verdana"/>
          <w:color w:val="000000"/>
          <w:sz w:val="20"/>
          <w:szCs w:val="20"/>
          <w:lang w:val="es-CR" w:eastAsia="es-ES"/>
        </w:rPr>
        <w:t xml:space="preserve">de 23 de marzo de 2018, y declarar improcedente la solicitud de las representantes </w:t>
      </w:r>
      <w:r w:rsidR="00976600">
        <w:rPr>
          <w:rFonts w:ascii="Verdana" w:eastAsia="Calibri" w:hAnsi="Verdana" w:cs="Verdana"/>
          <w:color w:val="000000"/>
          <w:sz w:val="20"/>
          <w:szCs w:val="20"/>
          <w:lang w:val="es-CR" w:eastAsia="es-ES"/>
        </w:rPr>
        <w:t>para</w:t>
      </w:r>
      <w:r w:rsidR="00883216" w:rsidRPr="00883216">
        <w:rPr>
          <w:rFonts w:ascii="Verdana" w:eastAsia="Calibri" w:hAnsi="Verdana" w:cs="Verdana"/>
          <w:color w:val="000000"/>
          <w:sz w:val="20"/>
          <w:szCs w:val="20"/>
          <w:lang w:val="es-CR" w:eastAsia="es-ES"/>
        </w:rPr>
        <w:t xml:space="preserve"> admitir la declaración testimonial a cargo de Luz Estela Castro Rodríguez, y que la misma tuviera lugar en la audiencia pública del caso, en atención a los considerandos 4 a 7 de la presente determinación.</w:t>
      </w:r>
    </w:p>
    <w:p w14:paraId="10BFB33F" w14:textId="77777777" w:rsidR="00883216" w:rsidRPr="0001341D" w:rsidRDefault="00883216" w:rsidP="0001341D">
      <w:pPr>
        <w:tabs>
          <w:tab w:val="left" w:pos="567"/>
        </w:tabs>
        <w:spacing w:after="0" w:line="240" w:lineRule="auto"/>
        <w:ind w:left="1440"/>
        <w:jc w:val="both"/>
        <w:rPr>
          <w:rFonts w:ascii="Verdana" w:hAnsi="Verdana" w:cs="Times"/>
          <w:sz w:val="20"/>
          <w:szCs w:val="20"/>
          <w:lang w:val="es-CR"/>
        </w:rPr>
      </w:pPr>
    </w:p>
    <w:p w14:paraId="686A4343" w14:textId="7336EC4F" w:rsidR="0008397A" w:rsidRPr="0001341D" w:rsidRDefault="00883216" w:rsidP="0001341D">
      <w:pPr>
        <w:numPr>
          <w:ilvl w:val="3"/>
          <w:numId w:val="6"/>
        </w:numPr>
        <w:tabs>
          <w:tab w:val="left" w:pos="567"/>
        </w:tabs>
        <w:spacing w:after="0" w:line="240" w:lineRule="auto"/>
        <w:ind w:left="0" w:firstLine="0"/>
        <w:jc w:val="both"/>
        <w:rPr>
          <w:rFonts w:ascii="Verdana" w:hAnsi="Verdana" w:cs="Times"/>
          <w:sz w:val="20"/>
          <w:szCs w:val="20"/>
          <w:lang w:val="es-CR"/>
        </w:rPr>
      </w:pPr>
      <w:r>
        <w:rPr>
          <w:rFonts w:ascii="Verdana" w:eastAsia="Calibri" w:hAnsi="Verdana" w:cs="Verdana"/>
          <w:color w:val="000000"/>
          <w:sz w:val="20"/>
          <w:szCs w:val="20"/>
          <w:lang w:val="es-CR" w:eastAsia="es-ES"/>
        </w:rPr>
        <w:t>Confirmar el punto resolutivo 17, inciso b),</w:t>
      </w:r>
      <w:r w:rsidR="0008397A">
        <w:rPr>
          <w:rFonts w:ascii="Verdana" w:eastAsia="Calibri" w:hAnsi="Verdana" w:cs="Verdana"/>
          <w:color w:val="000000"/>
          <w:sz w:val="20"/>
          <w:szCs w:val="20"/>
          <w:lang w:val="es-CR" w:eastAsia="es-ES"/>
        </w:rPr>
        <w:t xml:space="preserve"> </w:t>
      </w:r>
      <w:r>
        <w:rPr>
          <w:rFonts w:ascii="Verdana" w:eastAsia="Calibri" w:hAnsi="Verdana" w:cs="Verdana"/>
          <w:color w:val="000000"/>
          <w:sz w:val="20"/>
          <w:szCs w:val="20"/>
          <w:lang w:val="es-CR" w:eastAsia="es-ES"/>
        </w:rPr>
        <w:t xml:space="preserve">numeral i, de la Resolución del Presidente </w:t>
      </w:r>
      <w:r>
        <w:rPr>
          <w:rFonts w:ascii="Verdana" w:eastAsia="Calibri" w:hAnsi="Verdana" w:cs="Verdana"/>
          <w:i/>
          <w:color w:val="000000"/>
          <w:sz w:val="20"/>
          <w:szCs w:val="20"/>
          <w:lang w:val="es-CR" w:eastAsia="es-ES"/>
        </w:rPr>
        <w:t>supra,</w:t>
      </w:r>
      <w:r>
        <w:rPr>
          <w:rFonts w:ascii="Verdana" w:eastAsia="Calibri" w:hAnsi="Verdana" w:cs="Verdana"/>
          <w:color w:val="000000"/>
          <w:sz w:val="20"/>
          <w:szCs w:val="20"/>
          <w:lang w:val="es-CR" w:eastAsia="es-ES"/>
        </w:rPr>
        <w:t xml:space="preserve"> y declarar improcedente la solicitud </w:t>
      </w:r>
      <w:r w:rsidR="0008397A">
        <w:rPr>
          <w:rFonts w:ascii="Verdana" w:eastAsia="Calibri" w:hAnsi="Verdana" w:cs="Verdana"/>
          <w:color w:val="000000"/>
          <w:sz w:val="20"/>
          <w:szCs w:val="20"/>
          <w:lang w:val="es-CR" w:eastAsia="es-ES"/>
        </w:rPr>
        <w:t>de las representantes para convocar a audiencia al señor Salomón Baltazar Samayoa, por las consideraciones vertidas en los párrafos 8 a 12 de la presente decisión.</w:t>
      </w:r>
    </w:p>
    <w:p w14:paraId="4D9ABC9B" w14:textId="77777777" w:rsidR="0001341D" w:rsidRPr="0001341D" w:rsidRDefault="0001341D" w:rsidP="0001341D">
      <w:pPr>
        <w:tabs>
          <w:tab w:val="left" w:pos="567"/>
        </w:tabs>
        <w:spacing w:after="0" w:line="240" w:lineRule="auto"/>
        <w:jc w:val="both"/>
        <w:rPr>
          <w:rFonts w:ascii="Verdana" w:eastAsia="Calibri" w:hAnsi="Verdana" w:cs="Calibri"/>
          <w:sz w:val="20"/>
          <w:szCs w:val="20"/>
        </w:rPr>
      </w:pPr>
    </w:p>
    <w:p w14:paraId="4864C7F7" w14:textId="39CAE2C6" w:rsidR="00AE2198" w:rsidRPr="0001341D" w:rsidRDefault="0008397A" w:rsidP="0001341D">
      <w:pPr>
        <w:numPr>
          <w:ilvl w:val="3"/>
          <w:numId w:val="6"/>
        </w:numPr>
        <w:tabs>
          <w:tab w:val="left" w:pos="567"/>
        </w:tabs>
        <w:spacing w:after="0" w:line="240" w:lineRule="auto"/>
        <w:ind w:left="0" w:firstLine="0"/>
        <w:jc w:val="both"/>
        <w:rPr>
          <w:rFonts w:ascii="Verdana" w:eastAsia="Calibri" w:hAnsi="Verdana" w:cs="Calibri"/>
          <w:sz w:val="20"/>
          <w:szCs w:val="20"/>
        </w:rPr>
      </w:pPr>
      <w:r>
        <w:rPr>
          <w:rFonts w:ascii="Verdana" w:eastAsia="Calibri" w:hAnsi="Verdana" w:cs="Verdana"/>
          <w:color w:val="000000"/>
          <w:sz w:val="20"/>
          <w:szCs w:val="20"/>
          <w:lang w:val="es-CR" w:eastAsia="es-ES"/>
        </w:rPr>
        <w:t xml:space="preserve">Modificar, en lo pertinente, el resolutivo </w:t>
      </w:r>
      <w:bookmarkEnd w:id="6"/>
      <w:r>
        <w:rPr>
          <w:rFonts w:ascii="Verdana" w:eastAsia="Calibri" w:hAnsi="Verdana" w:cs="Verdana"/>
          <w:color w:val="000000"/>
          <w:sz w:val="20"/>
          <w:szCs w:val="20"/>
          <w:lang w:val="es-CR" w:eastAsia="es-ES"/>
        </w:rPr>
        <w:t xml:space="preserve">17, inciso a), numeral i, de la Resolución del Presidente </w:t>
      </w:r>
      <w:r>
        <w:rPr>
          <w:rFonts w:ascii="Verdana" w:eastAsia="Calibri" w:hAnsi="Verdana" w:cs="Verdana"/>
          <w:i/>
          <w:color w:val="000000"/>
          <w:sz w:val="20"/>
          <w:szCs w:val="20"/>
          <w:lang w:val="es-CR" w:eastAsia="es-ES"/>
        </w:rPr>
        <w:t>supra,</w:t>
      </w:r>
      <w:r>
        <w:rPr>
          <w:rFonts w:ascii="Verdana" w:eastAsia="Calibri" w:hAnsi="Verdana" w:cs="Verdana"/>
          <w:color w:val="000000"/>
          <w:sz w:val="20"/>
          <w:szCs w:val="20"/>
          <w:lang w:val="es-CR" w:eastAsia="es-ES"/>
        </w:rPr>
        <w:t xml:space="preserve"> para efecto de consignar el nombre correcto del declarante José Ángel Alvarado Fabela, y remover la inscripción que lo refiere como “José Herrera Fabela”, en atención a los considerandos 13 a 15 de la presente resolución.</w:t>
      </w:r>
    </w:p>
    <w:p w14:paraId="3B889085" w14:textId="77777777" w:rsidR="006A1CE1" w:rsidRDefault="006A1CE1">
      <w:pPr>
        <w:tabs>
          <w:tab w:val="left" w:pos="567"/>
        </w:tabs>
        <w:spacing w:after="0" w:line="240" w:lineRule="auto"/>
        <w:jc w:val="both"/>
        <w:rPr>
          <w:rFonts w:ascii="Verdana" w:eastAsia="Calibri" w:hAnsi="Verdana" w:cs="Verdana"/>
          <w:color w:val="000000"/>
          <w:sz w:val="20"/>
          <w:szCs w:val="20"/>
          <w:lang w:val="es-CR" w:eastAsia="es-ES"/>
        </w:rPr>
      </w:pPr>
    </w:p>
    <w:p w14:paraId="0944B6D1" w14:textId="2AA1A981" w:rsidR="00C26D30" w:rsidRPr="00434013" w:rsidRDefault="006A1CE1" w:rsidP="0001341D">
      <w:pPr>
        <w:pStyle w:val="ListParagraph"/>
        <w:numPr>
          <w:ilvl w:val="3"/>
          <w:numId w:val="6"/>
        </w:numPr>
        <w:tabs>
          <w:tab w:val="left" w:pos="567"/>
        </w:tabs>
        <w:spacing w:after="0"/>
        <w:ind w:left="0" w:firstLine="0"/>
        <w:rPr>
          <w:rFonts w:cs="Calibri"/>
          <w:szCs w:val="20"/>
        </w:rPr>
      </w:pPr>
      <w:r w:rsidRPr="00434013">
        <w:rPr>
          <w:rFonts w:cs="Calibri"/>
          <w:szCs w:val="20"/>
        </w:rPr>
        <w:t xml:space="preserve">Modificar, en lo </w:t>
      </w:r>
      <w:r w:rsidR="00976600">
        <w:rPr>
          <w:rFonts w:cs="Calibri"/>
          <w:szCs w:val="20"/>
        </w:rPr>
        <w:t>consecu</w:t>
      </w:r>
      <w:r w:rsidRPr="00434013">
        <w:rPr>
          <w:rFonts w:cs="Calibri"/>
          <w:szCs w:val="20"/>
        </w:rPr>
        <w:t xml:space="preserve">ente, el punto resolutivo </w:t>
      </w:r>
      <w:r w:rsidR="00C26D30" w:rsidRPr="008274C5">
        <w:rPr>
          <w:rFonts w:cs="Calibri"/>
          <w:szCs w:val="20"/>
        </w:rPr>
        <w:t xml:space="preserve">7 de la Resolución del Presidente </w:t>
      </w:r>
      <w:r w:rsidR="00C26D30" w:rsidRPr="008274C5">
        <w:rPr>
          <w:rFonts w:cs="Calibri"/>
          <w:i/>
          <w:szCs w:val="20"/>
        </w:rPr>
        <w:t xml:space="preserve">supra, </w:t>
      </w:r>
      <w:r w:rsidR="00E64936" w:rsidRPr="0001341D">
        <w:rPr>
          <w:rFonts w:cs="Calibri"/>
          <w:szCs w:val="20"/>
        </w:rPr>
        <w:t>en</w:t>
      </w:r>
      <w:r w:rsidR="00E64936">
        <w:rPr>
          <w:rFonts w:cs="Calibri"/>
          <w:i/>
          <w:szCs w:val="20"/>
        </w:rPr>
        <w:t xml:space="preserve"> </w:t>
      </w:r>
      <w:r w:rsidR="00E64936">
        <w:rPr>
          <w:rFonts w:cs="Calibri"/>
          <w:szCs w:val="20"/>
        </w:rPr>
        <w:t xml:space="preserve">atención a los considerandos 16 a 21 de la presente determinación, </w:t>
      </w:r>
      <w:r w:rsidR="00C26D30" w:rsidRPr="00434013">
        <w:rPr>
          <w:rFonts w:cs="Calibri"/>
          <w:szCs w:val="20"/>
        </w:rPr>
        <w:t xml:space="preserve">y admitir el peritaje </w:t>
      </w:r>
      <w:r w:rsidR="00C26D30" w:rsidRPr="008274C5">
        <w:rPr>
          <w:rFonts w:cs="Calibri"/>
          <w:szCs w:val="20"/>
        </w:rPr>
        <w:t xml:space="preserve">a cargo del señor Alejandro Madrazo </w:t>
      </w:r>
      <w:proofErr w:type="spellStart"/>
      <w:r w:rsidR="00C26D30" w:rsidRPr="008274C5">
        <w:rPr>
          <w:rFonts w:cs="Calibri"/>
          <w:szCs w:val="20"/>
        </w:rPr>
        <w:t>Lajous</w:t>
      </w:r>
      <w:proofErr w:type="spellEnd"/>
      <w:r w:rsidR="00C26D30" w:rsidRPr="008274C5">
        <w:rPr>
          <w:rFonts w:cs="Calibri"/>
          <w:szCs w:val="20"/>
        </w:rPr>
        <w:t xml:space="preserve">, el cual versará </w:t>
      </w:r>
      <w:r w:rsidR="00C26D30" w:rsidRPr="0001341D">
        <w:rPr>
          <w:i/>
          <w:szCs w:val="20"/>
        </w:rPr>
        <w:t>“sobre las políticas de seguridad ciudadana en México, que sean profesionales, respetuosas de derechos humanos y eficaces para el combate de la delincuencia organizada”.</w:t>
      </w:r>
      <w:r w:rsidR="00C26D30">
        <w:rPr>
          <w:szCs w:val="20"/>
        </w:rPr>
        <w:t xml:space="preserve"> Dicho peritaje deberá remitirse por escrito al Tribunal a más tardar el 19 de abril de 2018.</w:t>
      </w:r>
    </w:p>
    <w:p w14:paraId="4DC17CBF" w14:textId="77777777" w:rsidR="00C26D30" w:rsidRPr="008274C5" w:rsidRDefault="00C26D30" w:rsidP="0001341D">
      <w:pPr>
        <w:pStyle w:val="ListParagraph"/>
        <w:rPr>
          <w:rFonts w:cs="Calibri"/>
          <w:szCs w:val="20"/>
        </w:rPr>
      </w:pPr>
    </w:p>
    <w:p w14:paraId="011D04AE" w14:textId="02238EF2" w:rsidR="006A1CE1" w:rsidRPr="0001341D" w:rsidRDefault="00C26D30" w:rsidP="0001341D">
      <w:pPr>
        <w:pStyle w:val="ListParagraph"/>
        <w:numPr>
          <w:ilvl w:val="3"/>
          <w:numId w:val="6"/>
        </w:numPr>
        <w:tabs>
          <w:tab w:val="left" w:pos="567"/>
        </w:tabs>
        <w:spacing w:after="0"/>
        <w:ind w:left="0" w:firstLine="0"/>
        <w:rPr>
          <w:rFonts w:cs="Calibri"/>
          <w:szCs w:val="20"/>
        </w:rPr>
      </w:pPr>
      <w:r>
        <w:rPr>
          <w:rFonts w:cs="Calibri"/>
          <w:szCs w:val="20"/>
        </w:rPr>
        <w:t xml:space="preserve">Otorgar una prórroga al Estado para que, en atención a lo estipulado en el resolutivo 4 de la presente decisión, remita a más tardar el 9 de abril de 2018 las preguntas que estime convenientes realizar al perito </w:t>
      </w:r>
      <w:r w:rsidR="00976600">
        <w:rPr>
          <w:rFonts w:cs="Calibri"/>
          <w:szCs w:val="20"/>
        </w:rPr>
        <w:t>de referencia</w:t>
      </w:r>
      <w:r>
        <w:rPr>
          <w:rFonts w:cs="Calibri"/>
          <w:szCs w:val="20"/>
        </w:rPr>
        <w:t xml:space="preserve">. </w:t>
      </w:r>
      <w:r w:rsidRPr="00434013">
        <w:rPr>
          <w:rFonts w:cs="Calibri"/>
          <w:szCs w:val="20"/>
        </w:rPr>
        <w:t xml:space="preserve"> </w:t>
      </w:r>
    </w:p>
    <w:p w14:paraId="74F5C7B0" w14:textId="77777777" w:rsidR="0008397A" w:rsidRDefault="0008397A">
      <w:pPr>
        <w:tabs>
          <w:tab w:val="left" w:pos="567"/>
        </w:tabs>
        <w:spacing w:after="0" w:line="240" w:lineRule="auto"/>
        <w:jc w:val="both"/>
        <w:rPr>
          <w:rFonts w:ascii="Verdana" w:eastAsia="Calibri" w:hAnsi="Verdana" w:cs="Verdana"/>
          <w:color w:val="000000"/>
          <w:sz w:val="20"/>
          <w:szCs w:val="20"/>
          <w:lang w:val="es-CR" w:eastAsia="es-ES"/>
        </w:rPr>
      </w:pPr>
    </w:p>
    <w:p w14:paraId="741E1219" w14:textId="5FC78F55" w:rsidR="00BE7D74" w:rsidRDefault="0008397A" w:rsidP="0001341D">
      <w:pPr>
        <w:pStyle w:val="ListParagraph"/>
        <w:numPr>
          <w:ilvl w:val="3"/>
          <w:numId w:val="6"/>
        </w:numPr>
        <w:tabs>
          <w:tab w:val="left" w:pos="567"/>
        </w:tabs>
        <w:spacing w:after="0"/>
        <w:ind w:left="0" w:firstLine="0"/>
        <w:rPr>
          <w:rFonts w:cs="Calibri"/>
          <w:szCs w:val="20"/>
        </w:rPr>
      </w:pPr>
      <w:r>
        <w:rPr>
          <w:rFonts w:cs="Calibri"/>
          <w:szCs w:val="20"/>
        </w:rPr>
        <w:t xml:space="preserve">Modificar, en lo </w:t>
      </w:r>
      <w:r w:rsidR="000565C1">
        <w:rPr>
          <w:rFonts w:cs="Calibri"/>
          <w:szCs w:val="20"/>
        </w:rPr>
        <w:t>conducente</w:t>
      </w:r>
      <w:r>
        <w:rPr>
          <w:rFonts w:cs="Calibri"/>
          <w:szCs w:val="20"/>
        </w:rPr>
        <w:t xml:space="preserve">, </w:t>
      </w:r>
      <w:r w:rsidR="000565C1">
        <w:rPr>
          <w:rFonts w:cs="Calibri"/>
          <w:szCs w:val="20"/>
        </w:rPr>
        <w:t xml:space="preserve">el punto resolutivo 17, inciso e), numeral i, de </w:t>
      </w:r>
      <w:r>
        <w:rPr>
          <w:rFonts w:cs="Calibri"/>
          <w:szCs w:val="20"/>
        </w:rPr>
        <w:t xml:space="preserve">la Resolución del Presidente </w:t>
      </w:r>
      <w:r>
        <w:rPr>
          <w:rFonts w:cs="Calibri"/>
          <w:i/>
          <w:szCs w:val="20"/>
        </w:rPr>
        <w:t xml:space="preserve">supra, </w:t>
      </w:r>
      <w:r w:rsidR="000565C1">
        <w:rPr>
          <w:rFonts w:cs="Calibri"/>
          <w:szCs w:val="20"/>
        </w:rPr>
        <w:t>y convocar a la au</w:t>
      </w:r>
      <w:r w:rsidR="00C26D30">
        <w:rPr>
          <w:rFonts w:cs="Calibri"/>
          <w:szCs w:val="20"/>
        </w:rPr>
        <w:t>di</w:t>
      </w:r>
      <w:r w:rsidR="000565C1">
        <w:rPr>
          <w:rFonts w:cs="Calibri"/>
          <w:szCs w:val="20"/>
        </w:rPr>
        <w:t xml:space="preserve">encia pública del caso al perito Carlos Rodríguez Ulloa, de conformidad con lo </w:t>
      </w:r>
      <w:r w:rsidR="00143776">
        <w:rPr>
          <w:rFonts w:cs="Calibri"/>
          <w:szCs w:val="20"/>
        </w:rPr>
        <w:t>dispuesto</w:t>
      </w:r>
      <w:r w:rsidR="000565C1">
        <w:rPr>
          <w:rFonts w:cs="Calibri"/>
          <w:szCs w:val="20"/>
        </w:rPr>
        <w:t xml:space="preserve"> en los párrafos considerativos 23 a 26 de la presente determinación. </w:t>
      </w:r>
    </w:p>
    <w:p w14:paraId="40A9373A" w14:textId="77777777" w:rsidR="00BE7D74" w:rsidRDefault="00BE7D74" w:rsidP="00AE2198">
      <w:pPr>
        <w:tabs>
          <w:tab w:val="left" w:pos="567"/>
        </w:tabs>
        <w:spacing w:after="0" w:line="240" w:lineRule="auto"/>
        <w:jc w:val="both"/>
        <w:rPr>
          <w:rFonts w:ascii="Verdana" w:eastAsia="Calibri" w:hAnsi="Verdana" w:cs="Calibri"/>
          <w:sz w:val="20"/>
          <w:szCs w:val="20"/>
        </w:rPr>
      </w:pPr>
    </w:p>
    <w:p w14:paraId="33DEF3F5" w14:textId="77777777" w:rsidR="00C26D30" w:rsidRDefault="00C26D30" w:rsidP="00AE2198">
      <w:pPr>
        <w:tabs>
          <w:tab w:val="left" w:pos="567"/>
        </w:tabs>
        <w:spacing w:after="0" w:line="240" w:lineRule="auto"/>
        <w:jc w:val="both"/>
        <w:rPr>
          <w:rFonts w:ascii="Verdana" w:eastAsia="Calibri" w:hAnsi="Verdana" w:cs="Calibri"/>
          <w:sz w:val="20"/>
          <w:szCs w:val="20"/>
        </w:rPr>
      </w:pPr>
    </w:p>
    <w:p w14:paraId="15FDAF77"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4041200D"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7843DFE9"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485534F5"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07DD8688"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587EB59E"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100A60AB"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792B33AB"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7FCBCBC5" w14:textId="77777777" w:rsidR="00E575D3" w:rsidRDefault="00E575D3" w:rsidP="00AE2198">
      <w:pPr>
        <w:tabs>
          <w:tab w:val="left" w:pos="567"/>
        </w:tabs>
        <w:spacing w:after="0" w:line="240" w:lineRule="auto"/>
        <w:jc w:val="both"/>
        <w:rPr>
          <w:rFonts w:ascii="Verdana" w:eastAsia="Calibri" w:hAnsi="Verdana" w:cs="Calibri"/>
          <w:sz w:val="20"/>
          <w:szCs w:val="20"/>
        </w:rPr>
      </w:pPr>
    </w:p>
    <w:p w14:paraId="4864C7FB" w14:textId="12C4136A" w:rsidR="00AE2198" w:rsidRPr="002B5CC8" w:rsidRDefault="00E575D3" w:rsidP="00AE2198">
      <w:pPr>
        <w:tabs>
          <w:tab w:val="left" w:pos="567"/>
        </w:tabs>
        <w:spacing w:after="0" w:line="240" w:lineRule="auto"/>
        <w:jc w:val="both"/>
        <w:rPr>
          <w:rFonts w:ascii="Verdana" w:eastAsia="Calibri" w:hAnsi="Verdana" w:cs="Verdana"/>
          <w:bCs/>
          <w:sz w:val="20"/>
          <w:szCs w:val="20"/>
          <w:lang w:val="es-ES"/>
        </w:rPr>
      </w:pPr>
      <w:r>
        <w:rPr>
          <w:rFonts w:ascii="Verdana" w:eastAsia="Calibri" w:hAnsi="Verdana" w:cs="Verdana"/>
          <w:bCs/>
          <w:sz w:val="20"/>
          <w:szCs w:val="20"/>
          <w:lang w:val="es-ES"/>
        </w:rPr>
        <w:t xml:space="preserve">Corte IDH. </w:t>
      </w:r>
      <w:r w:rsidRPr="00AE2198">
        <w:rPr>
          <w:rFonts w:ascii="Verdana" w:eastAsia="Calibri" w:hAnsi="Verdana" w:cs="Verdana"/>
          <w:bCs/>
          <w:sz w:val="20"/>
          <w:szCs w:val="20"/>
          <w:lang w:val="es-ES"/>
        </w:rPr>
        <w:t xml:space="preserve">Caso </w:t>
      </w:r>
      <w:r w:rsidRPr="005978D3">
        <w:rPr>
          <w:rFonts w:ascii="Verdana" w:eastAsia="Calibri" w:hAnsi="Verdana" w:cs="Calibri"/>
          <w:sz w:val="20"/>
          <w:lang w:val="es-CR"/>
        </w:rPr>
        <w:t xml:space="preserve">Alvarado Espinoza y otros </w:t>
      </w:r>
      <w:r w:rsidRPr="00E575D3">
        <w:rPr>
          <w:rFonts w:ascii="Verdana" w:eastAsia="Calibri" w:hAnsi="Verdana" w:cs="Verdana"/>
          <w:bCs/>
          <w:sz w:val="20"/>
          <w:szCs w:val="20"/>
          <w:lang w:val="es-ES"/>
        </w:rPr>
        <w:t>Vs.</w:t>
      </w:r>
      <w:r w:rsidRPr="002B5CC8">
        <w:rPr>
          <w:rFonts w:ascii="Verdana" w:eastAsia="Calibri" w:hAnsi="Verdana" w:cs="Verdana"/>
          <w:bCs/>
          <w:sz w:val="20"/>
          <w:szCs w:val="20"/>
          <w:lang w:val="es-ES"/>
        </w:rPr>
        <w:t xml:space="preserve"> </w:t>
      </w:r>
      <w:r w:rsidRPr="005978D3">
        <w:rPr>
          <w:rFonts w:ascii="Verdana" w:eastAsia="Calibri" w:hAnsi="Verdana" w:cs="Calibri"/>
          <w:sz w:val="20"/>
          <w:lang w:val="es-CR"/>
        </w:rPr>
        <w:t>México</w:t>
      </w:r>
      <w:r w:rsidRPr="002B5CC8">
        <w:rPr>
          <w:rFonts w:ascii="Verdana" w:eastAsia="Calibri" w:hAnsi="Verdana" w:cs="Verdana"/>
          <w:bCs/>
          <w:sz w:val="20"/>
          <w:szCs w:val="20"/>
          <w:lang w:val="es-ES"/>
        </w:rPr>
        <w:t>.</w:t>
      </w:r>
      <w:r>
        <w:rPr>
          <w:rFonts w:ascii="Verdana" w:eastAsia="Calibri" w:hAnsi="Verdana" w:cs="Verdana"/>
          <w:bCs/>
          <w:sz w:val="20"/>
          <w:szCs w:val="20"/>
          <w:lang w:val="es-ES"/>
        </w:rPr>
        <w:t xml:space="preserve"> </w:t>
      </w:r>
      <w:r w:rsidR="00AE2198" w:rsidRPr="00AE2198">
        <w:rPr>
          <w:rFonts w:ascii="Verdana" w:eastAsia="Calibri" w:hAnsi="Verdana" w:cs="Verdana"/>
          <w:bCs/>
          <w:sz w:val="20"/>
          <w:szCs w:val="20"/>
          <w:lang w:val="es-ES"/>
        </w:rPr>
        <w:t>Resolución de la Corte Int</w:t>
      </w:r>
      <w:r>
        <w:rPr>
          <w:rFonts w:ascii="Verdana" w:eastAsia="Calibri" w:hAnsi="Verdana" w:cs="Verdana"/>
          <w:bCs/>
          <w:sz w:val="20"/>
          <w:szCs w:val="20"/>
          <w:lang w:val="es-ES"/>
        </w:rPr>
        <w:t>eramericana de Derechos Humanos de 23 de abril de 2018.</w:t>
      </w:r>
      <w:r w:rsidR="00AE2198" w:rsidRPr="00AE2198">
        <w:rPr>
          <w:rFonts w:ascii="Verdana" w:eastAsia="Calibri" w:hAnsi="Verdana" w:cs="Verdana"/>
          <w:bCs/>
          <w:sz w:val="20"/>
          <w:szCs w:val="20"/>
          <w:lang w:val="es-ES"/>
        </w:rPr>
        <w:t xml:space="preserve"> </w:t>
      </w:r>
    </w:p>
    <w:p w14:paraId="4864C7FC" w14:textId="77777777" w:rsidR="00AE2198" w:rsidRPr="00AE2198" w:rsidRDefault="00AE2198" w:rsidP="00AE2198">
      <w:pPr>
        <w:tabs>
          <w:tab w:val="left" w:pos="567"/>
        </w:tabs>
        <w:spacing w:after="0" w:line="240" w:lineRule="auto"/>
        <w:jc w:val="both"/>
        <w:rPr>
          <w:rFonts w:ascii="Verdana" w:eastAsia="Calibri" w:hAnsi="Verdana" w:cs="Verdana"/>
          <w:bCs/>
          <w:sz w:val="20"/>
          <w:szCs w:val="20"/>
          <w:lang w:val="es-ES"/>
        </w:rPr>
      </w:pPr>
    </w:p>
    <w:p w14:paraId="4864C7FF" w14:textId="77777777" w:rsidR="00AE2198" w:rsidRPr="00AE2198" w:rsidRDefault="00AE2198" w:rsidP="00AE2198">
      <w:pPr>
        <w:tabs>
          <w:tab w:val="left" w:pos="567"/>
          <w:tab w:val="left" w:pos="6663"/>
        </w:tabs>
        <w:spacing w:after="0" w:line="240" w:lineRule="auto"/>
        <w:jc w:val="both"/>
        <w:rPr>
          <w:rFonts w:ascii="Verdana" w:eastAsia="Calibri" w:hAnsi="Verdana" w:cs="Calibri"/>
          <w:sz w:val="20"/>
          <w:szCs w:val="20"/>
        </w:rPr>
      </w:pPr>
    </w:p>
    <w:p w14:paraId="4864C800" w14:textId="77777777" w:rsidR="00AE2198" w:rsidRDefault="00AE2198" w:rsidP="00AE2198">
      <w:pPr>
        <w:tabs>
          <w:tab w:val="left" w:pos="567"/>
          <w:tab w:val="left" w:pos="6663"/>
        </w:tabs>
        <w:spacing w:after="0" w:line="240" w:lineRule="auto"/>
        <w:jc w:val="both"/>
        <w:rPr>
          <w:rFonts w:ascii="Verdana" w:eastAsia="Calibri" w:hAnsi="Verdana" w:cs="Calibri"/>
          <w:sz w:val="20"/>
          <w:szCs w:val="20"/>
        </w:rPr>
      </w:pPr>
    </w:p>
    <w:p w14:paraId="53F9D5A0" w14:textId="77777777" w:rsidR="00E20791" w:rsidRDefault="00E20791" w:rsidP="00AE2198">
      <w:pPr>
        <w:tabs>
          <w:tab w:val="left" w:pos="567"/>
          <w:tab w:val="left" w:pos="6663"/>
        </w:tabs>
        <w:spacing w:after="0" w:line="240" w:lineRule="auto"/>
        <w:jc w:val="both"/>
        <w:rPr>
          <w:rFonts w:ascii="Verdana" w:eastAsia="Calibri" w:hAnsi="Verdana" w:cs="Calibri"/>
          <w:sz w:val="20"/>
          <w:szCs w:val="20"/>
        </w:rPr>
      </w:pPr>
    </w:p>
    <w:p w14:paraId="72380F48" w14:textId="77777777" w:rsidR="00F6286B" w:rsidRPr="00AE2198" w:rsidRDefault="00F6286B" w:rsidP="00AE2198">
      <w:pPr>
        <w:tabs>
          <w:tab w:val="left" w:pos="567"/>
          <w:tab w:val="left" w:pos="6663"/>
        </w:tabs>
        <w:spacing w:after="0" w:line="240" w:lineRule="auto"/>
        <w:jc w:val="both"/>
        <w:rPr>
          <w:rFonts w:ascii="Verdana" w:eastAsia="Calibri" w:hAnsi="Verdana" w:cs="Calibri"/>
          <w:sz w:val="20"/>
          <w:szCs w:val="20"/>
        </w:rPr>
      </w:pPr>
    </w:p>
    <w:p w14:paraId="4864C801" w14:textId="11F8F14F" w:rsidR="00AE2198" w:rsidRPr="00506510" w:rsidRDefault="00A62719" w:rsidP="0001341D">
      <w:pPr>
        <w:tabs>
          <w:tab w:val="left" w:pos="567"/>
        </w:tabs>
        <w:spacing w:after="0" w:line="240" w:lineRule="auto"/>
        <w:jc w:val="center"/>
        <w:rPr>
          <w:rFonts w:ascii="Verdana" w:eastAsia="Calibri" w:hAnsi="Verdana" w:cs="Calibri"/>
          <w:sz w:val="20"/>
          <w:szCs w:val="20"/>
          <w:lang w:val="es-ES"/>
        </w:rPr>
      </w:pPr>
      <w:r w:rsidRPr="00506510">
        <w:rPr>
          <w:rFonts w:ascii="Verdana" w:eastAsia="Calibri" w:hAnsi="Verdana" w:cs="Calibri"/>
          <w:sz w:val="20"/>
          <w:szCs w:val="20"/>
          <w:lang w:val="es-ES"/>
        </w:rPr>
        <w:t>Eduardo Vio Grossi</w:t>
      </w:r>
    </w:p>
    <w:p w14:paraId="4864C802" w14:textId="57F9D09D" w:rsidR="00AE2198" w:rsidRPr="00506510" w:rsidRDefault="00AE2198" w:rsidP="0001341D">
      <w:pPr>
        <w:tabs>
          <w:tab w:val="left" w:pos="567"/>
        </w:tabs>
        <w:spacing w:after="0" w:line="240" w:lineRule="auto"/>
        <w:jc w:val="center"/>
        <w:rPr>
          <w:rFonts w:ascii="Verdana" w:eastAsia="Calibri" w:hAnsi="Verdana" w:cs="Calibri"/>
          <w:sz w:val="20"/>
          <w:szCs w:val="20"/>
          <w:lang w:val="es-ES"/>
        </w:rPr>
      </w:pPr>
      <w:r w:rsidRPr="00506510">
        <w:rPr>
          <w:rFonts w:ascii="Verdana" w:eastAsia="Calibri" w:hAnsi="Verdana" w:cs="Calibri"/>
          <w:sz w:val="20"/>
          <w:szCs w:val="20"/>
          <w:lang w:val="es-ES"/>
        </w:rPr>
        <w:t>Presidente</w:t>
      </w:r>
      <w:r w:rsidR="00E575D3">
        <w:rPr>
          <w:rFonts w:ascii="Verdana" w:eastAsia="Calibri" w:hAnsi="Verdana" w:cs="Calibri"/>
          <w:sz w:val="20"/>
          <w:szCs w:val="20"/>
          <w:lang w:val="es-ES"/>
        </w:rPr>
        <w:t xml:space="preserve"> en E</w:t>
      </w:r>
      <w:r w:rsidR="00A62719" w:rsidRPr="00506510">
        <w:rPr>
          <w:rFonts w:ascii="Verdana" w:eastAsia="Calibri" w:hAnsi="Verdana" w:cs="Calibri"/>
          <w:sz w:val="20"/>
          <w:szCs w:val="20"/>
          <w:lang w:val="es-ES"/>
        </w:rPr>
        <w:t>jercicio</w:t>
      </w:r>
    </w:p>
    <w:p w14:paraId="164E1634" w14:textId="77777777" w:rsidR="006A1CE1" w:rsidRPr="00506510" w:rsidRDefault="006A1CE1" w:rsidP="0001341D">
      <w:pPr>
        <w:tabs>
          <w:tab w:val="left" w:pos="567"/>
        </w:tabs>
        <w:spacing w:after="0" w:line="240" w:lineRule="auto"/>
        <w:jc w:val="center"/>
        <w:rPr>
          <w:rFonts w:ascii="Verdana" w:eastAsia="Calibri" w:hAnsi="Verdana" w:cs="Calibri"/>
          <w:sz w:val="20"/>
          <w:szCs w:val="20"/>
          <w:lang w:val="es-ES"/>
        </w:rPr>
      </w:pPr>
    </w:p>
    <w:p w14:paraId="4CB68CB3" w14:textId="77777777" w:rsidR="006A1CE1" w:rsidRPr="00506510" w:rsidRDefault="006A1CE1" w:rsidP="0001341D">
      <w:pPr>
        <w:tabs>
          <w:tab w:val="left" w:pos="567"/>
        </w:tabs>
        <w:spacing w:after="0" w:line="240" w:lineRule="auto"/>
        <w:jc w:val="center"/>
        <w:rPr>
          <w:rFonts w:ascii="Verdana" w:eastAsia="Calibri" w:hAnsi="Verdana" w:cs="Calibri"/>
          <w:sz w:val="20"/>
          <w:szCs w:val="20"/>
          <w:lang w:val="es-ES"/>
        </w:rPr>
      </w:pPr>
    </w:p>
    <w:p w14:paraId="124097A1" w14:textId="77777777" w:rsidR="006A1CE1" w:rsidRPr="00506510" w:rsidRDefault="006A1CE1" w:rsidP="0001341D">
      <w:pPr>
        <w:tabs>
          <w:tab w:val="left" w:pos="567"/>
        </w:tabs>
        <w:spacing w:after="0" w:line="240" w:lineRule="auto"/>
        <w:rPr>
          <w:rFonts w:ascii="Verdana" w:eastAsia="Calibri" w:hAnsi="Verdana" w:cs="Calibri"/>
          <w:sz w:val="20"/>
          <w:szCs w:val="20"/>
          <w:lang w:val="es-ES"/>
        </w:rPr>
      </w:pPr>
    </w:p>
    <w:p w14:paraId="567CF83E" w14:textId="060012D8" w:rsidR="00C26D30" w:rsidRPr="00506510" w:rsidRDefault="00C26D30" w:rsidP="0001341D">
      <w:pPr>
        <w:tabs>
          <w:tab w:val="left" w:pos="567"/>
          <w:tab w:val="left" w:pos="2835"/>
        </w:tabs>
        <w:spacing w:after="0" w:line="240" w:lineRule="auto"/>
        <w:ind w:right="-7"/>
        <w:rPr>
          <w:rFonts w:ascii="Verdana" w:eastAsia="Calibri" w:hAnsi="Verdana" w:cs="Calibri"/>
          <w:sz w:val="20"/>
          <w:szCs w:val="20"/>
          <w:lang w:val="pt-BR"/>
        </w:rPr>
      </w:pPr>
      <w:r w:rsidRPr="00506510">
        <w:rPr>
          <w:rFonts w:ascii="Verdana" w:eastAsia="Calibri" w:hAnsi="Verdana" w:cs="Calibri"/>
          <w:sz w:val="20"/>
          <w:szCs w:val="20"/>
          <w:lang w:val="pt-BR"/>
        </w:rPr>
        <w:t>Roberto F. Caldas</w:t>
      </w:r>
      <w:r w:rsidR="00E575D3" w:rsidRPr="00E575D3">
        <w:rPr>
          <w:rFonts w:ascii="Verdana" w:eastAsia="Calibri" w:hAnsi="Verdana" w:cs="Calibri"/>
          <w:sz w:val="20"/>
          <w:szCs w:val="20"/>
          <w:lang w:val="es-ES"/>
        </w:rPr>
        <w:t xml:space="preserve"> </w:t>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t xml:space="preserve">      Elizabeth Odio Benito</w:t>
      </w:r>
    </w:p>
    <w:p w14:paraId="6F611129" w14:textId="77777777" w:rsidR="00C26D30" w:rsidRPr="00506510" w:rsidRDefault="00C26D30" w:rsidP="0001341D">
      <w:pPr>
        <w:tabs>
          <w:tab w:val="left" w:pos="567"/>
          <w:tab w:val="left" w:pos="2835"/>
        </w:tabs>
        <w:spacing w:after="0" w:line="240" w:lineRule="auto"/>
        <w:ind w:right="-7"/>
        <w:rPr>
          <w:rFonts w:ascii="Verdana" w:eastAsia="Calibri" w:hAnsi="Verdana" w:cs="Calibri"/>
          <w:sz w:val="20"/>
          <w:szCs w:val="20"/>
          <w:lang w:val="pt-BR"/>
        </w:rPr>
      </w:pPr>
    </w:p>
    <w:p w14:paraId="79DC388B" w14:textId="77777777" w:rsidR="00C26D30" w:rsidRPr="00506510" w:rsidRDefault="00C26D30" w:rsidP="0001341D">
      <w:pPr>
        <w:tabs>
          <w:tab w:val="left" w:pos="567"/>
          <w:tab w:val="left" w:pos="2835"/>
        </w:tabs>
        <w:spacing w:after="0" w:line="240" w:lineRule="auto"/>
        <w:ind w:right="-7"/>
        <w:rPr>
          <w:rFonts w:ascii="Verdana" w:eastAsia="Calibri" w:hAnsi="Verdana" w:cs="Calibri"/>
          <w:sz w:val="20"/>
          <w:szCs w:val="20"/>
          <w:lang w:val="pt-BR"/>
        </w:rPr>
      </w:pPr>
    </w:p>
    <w:p w14:paraId="10722702" w14:textId="77777777" w:rsidR="00C26D30" w:rsidRPr="00506510" w:rsidRDefault="00C26D30" w:rsidP="0001341D">
      <w:pPr>
        <w:tabs>
          <w:tab w:val="left" w:pos="567"/>
          <w:tab w:val="left" w:pos="2835"/>
        </w:tabs>
        <w:spacing w:after="0" w:line="240" w:lineRule="auto"/>
        <w:ind w:right="-7"/>
        <w:rPr>
          <w:rFonts w:ascii="Verdana" w:eastAsia="Calibri" w:hAnsi="Verdana" w:cs="Calibri"/>
          <w:sz w:val="20"/>
          <w:szCs w:val="20"/>
          <w:lang w:val="pt-BR"/>
        </w:rPr>
      </w:pPr>
    </w:p>
    <w:p w14:paraId="064F2A9B" w14:textId="77777777" w:rsidR="00C26D30" w:rsidRPr="00506510" w:rsidRDefault="00C26D30" w:rsidP="0001341D">
      <w:pPr>
        <w:tabs>
          <w:tab w:val="left" w:pos="567"/>
          <w:tab w:val="left" w:pos="2835"/>
        </w:tabs>
        <w:spacing w:after="0" w:line="240" w:lineRule="auto"/>
        <w:ind w:right="-7"/>
        <w:rPr>
          <w:rFonts w:ascii="Verdana" w:eastAsia="Calibri" w:hAnsi="Verdana" w:cs="Calibri"/>
          <w:sz w:val="20"/>
          <w:szCs w:val="20"/>
          <w:lang w:val="pt-BR"/>
        </w:rPr>
      </w:pPr>
    </w:p>
    <w:p w14:paraId="3A2709C4" w14:textId="5D515915" w:rsidR="00E575D3" w:rsidRPr="00AE2198" w:rsidRDefault="00C26D30" w:rsidP="00E575D3">
      <w:pPr>
        <w:tabs>
          <w:tab w:val="left" w:pos="567"/>
          <w:tab w:val="left" w:pos="2835"/>
        </w:tabs>
        <w:spacing w:after="0" w:line="240" w:lineRule="auto"/>
        <w:ind w:right="-7"/>
        <w:rPr>
          <w:rFonts w:ascii="Verdana" w:eastAsia="Calibri" w:hAnsi="Verdana" w:cs="Calibri"/>
          <w:sz w:val="20"/>
          <w:szCs w:val="20"/>
          <w:lang w:val="es-ES"/>
        </w:rPr>
      </w:pPr>
      <w:r>
        <w:rPr>
          <w:rFonts w:ascii="Verdana" w:eastAsia="Calibri" w:hAnsi="Verdana" w:cs="Calibri"/>
          <w:sz w:val="20"/>
          <w:szCs w:val="20"/>
          <w:lang w:val="es-ES"/>
        </w:rPr>
        <w:t>Eugenio Raúl Zaffaroni</w:t>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r>
      <w:r w:rsidR="00E575D3">
        <w:rPr>
          <w:rFonts w:ascii="Verdana" w:eastAsia="Calibri" w:hAnsi="Verdana" w:cs="Calibri"/>
          <w:sz w:val="20"/>
          <w:szCs w:val="20"/>
          <w:lang w:val="es-ES"/>
        </w:rPr>
        <w:tab/>
        <w:t>L. Patricio Pazmiño Freire</w:t>
      </w:r>
    </w:p>
    <w:p w14:paraId="62465D49" w14:textId="4FE52D4C" w:rsidR="00C26D30" w:rsidRDefault="00C26D30" w:rsidP="0001341D">
      <w:pPr>
        <w:tabs>
          <w:tab w:val="left" w:pos="567"/>
          <w:tab w:val="left" w:pos="2835"/>
        </w:tabs>
        <w:spacing w:after="0" w:line="240" w:lineRule="auto"/>
        <w:ind w:right="-7"/>
        <w:rPr>
          <w:rFonts w:ascii="Verdana" w:eastAsia="Calibri" w:hAnsi="Verdana" w:cs="Calibri"/>
          <w:sz w:val="20"/>
          <w:szCs w:val="20"/>
          <w:lang w:val="es-ES"/>
        </w:rPr>
      </w:pPr>
    </w:p>
    <w:p w14:paraId="7BCAE943" w14:textId="77777777" w:rsidR="00C26D30" w:rsidRDefault="00C26D30" w:rsidP="0001341D">
      <w:pPr>
        <w:tabs>
          <w:tab w:val="left" w:pos="567"/>
          <w:tab w:val="left" w:pos="2835"/>
        </w:tabs>
        <w:spacing w:after="0" w:line="240" w:lineRule="auto"/>
        <w:ind w:right="-7"/>
        <w:rPr>
          <w:rFonts w:ascii="Verdana" w:eastAsia="Calibri" w:hAnsi="Verdana" w:cs="Calibri"/>
          <w:sz w:val="20"/>
          <w:szCs w:val="20"/>
          <w:lang w:val="es-ES"/>
        </w:rPr>
      </w:pPr>
    </w:p>
    <w:p w14:paraId="4864C806" w14:textId="77777777" w:rsidR="00AE2198" w:rsidRPr="00AE2198" w:rsidRDefault="00AE2198" w:rsidP="00AE2198">
      <w:pPr>
        <w:tabs>
          <w:tab w:val="left" w:pos="567"/>
          <w:tab w:val="left" w:pos="2835"/>
        </w:tabs>
        <w:spacing w:after="0" w:line="240" w:lineRule="auto"/>
        <w:ind w:right="6003"/>
        <w:rPr>
          <w:rFonts w:ascii="Verdana" w:eastAsia="Calibri" w:hAnsi="Verdana" w:cs="Calibri"/>
          <w:sz w:val="20"/>
          <w:szCs w:val="20"/>
          <w:lang w:val="es-ES"/>
        </w:rPr>
      </w:pPr>
    </w:p>
    <w:p w14:paraId="4864C807" w14:textId="77777777" w:rsidR="00AE2198" w:rsidRPr="00AE2198" w:rsidRDefault="00AE2198" w:rsidP="00E575D3">
      <w:pPr>
        <w:tabs>
          <w:tab w:val="left" w:pos="567"/>
        </w:tabs>
        <w:spacing w:after="0" w:line="240" w:lineRule="auto"/>
        <w:ind w:right="-25"/>
        <w:jc w:val="center"/>
        <w:rPr>
          <w:rFonts w:ascii="Verdana" w:eastAsia="Calibri" w:hAnsi="Verdana" w:cs="Calibri"/>
          <w:sz w:val="20"/>
          <w:szCs w:val="20"/>
          <w:lang w:val="es-ES"/>
        </w:rPr>
      </w:pPr>
      <w:r w:rsidRPr="00AE2198">
        <w:rPr>
          <w:rFonts w:ascii="Verdana" w:eastAsia="Calibri" w:hAnsi="Verdana" w:cs="Calibri"/>
          <w:sz w:val="20"/>
          <w:szCs w:val="20"/>
          <w:lang w:val="es-ES"/>
        </w:rPr>
        <w:t>Pablo Saavedra Alessandri</w:t>
      </w:r>
    </w:p>
    <w:p w14:paraId="4864C808" w14:textId="77777777" w:rsidR="00AE2198" w:rsidRPr="00AE2198" w:rsidRDefault="00AE2198" w:rsidP="00E575D3">
      <w:pPr>
        <w:tabs>
          <w:tab w:val="left" w:pos="567"/>
        </w:tabs>
        <w:spacing w:after="0" w:line="240" w:lineRule="auto"/>
        <w:ind w:right="-25"/>
        <w:jc w:val="center"/>
        <w:rPr>
          <w:rFonts w:ascii="Verdana" w:eastAsia="Calibri" w:hAnsi="Verdana" w:cs="Calibri"/>
          <w:sz w:val="20"/>
          <w:szCs w:val="20"/>
          <w:lang w:val="es-ES"/>
        </w:rPr>
      </w:pPr>
      <w:r w:rsidRPr="00AE2198">
        <w:rPr>
          <w:rFonts w:ascii="Verdana" w:eastAsia="Calibri" w:hAnsi="Verdana" w:cs="Calibri"/>
          <w:sz w:val="20"/>
          <w:szCs w:val="20"/>
          <w:lang w:val="es-ES"/>
        </w:rPr>
        <w:t>Secretario</w:t>
      </w:r>
    </w:p>
    <w:p w14:paraId="4864C809" w14:textId="522284B8" w:rsidR="00AE2198" w:rsidRPr="00AE2198" w:rsidRDefault="00AE2198" w:rsidP="00AE2198">
      <w:pPr>
        <w:tabs>
          <w:tab w:val="left" w:pos="567"/>
        </w:tabs>
        <w:spacing w:after="0" w:line="240" w:lineRule="auto"/>
        <w:jc w:val="both"/>
        <w:rPr>
          <w:rFonts w:ascii="Verdana" w:eastAsia="Calibri" w:hAnsi="Verdana" w:cs="Calibri"/>
          <w:sz w:val="20"/>
          <w:szCs w:val="20"/>
        </w:rPr>
      </w:pPr>
    </w:p>
    <w:p w14:paraId="4864C80A" w14:textId="77777777" w:rsidR="00AE2198" w:rsidRPr="00AE2198" w:rsidRDefault="00AE2198" w:rsidP="00AE2198">
      <w:pPr>
        <w:tabs>
          <w:tab w:val="left" w:pos="567"/>
        </w:tabs>
        <w:spacing w:after="0" w:line="240" w:lineRule="auto"/>
        <w:jc w:val="both"/>
        <w:rPr>
          <w:rFonts w:ascii="Verdana" w:eastAsia="Calibri" w:hAnsi="Verdana" w:cs="Calibri"/>
          <w:sz w:val="20"/>
          <w:szCs w:val="20"/>
        </w:rPr>
      </w:pPr>
    </w:p>
    <w:p w14:paraId="4864C80B" w14:textId="77777777" w:rsidR="00AE2198" w:rsidRPr="00AE2198" w:rsidRDefault="00AE2198" w:rsidP="00AE2198">
      <w:pPr>
        <w:tabs>
          <w:tab w:val="left" w:pos="567"/>
        </w:tabs>
        <w:spacing w:after="0" w:line="240" w:lineRule="auto"/>
        <w:jc w:val="both"/>
        <w:rPr>
          <w:rFonts w:ascii="Verdana" w:eastAsia="Calibri" w:hAnsi="Verdana" w:cs="Calibri"/>
          <w:sz w:val="20"/>
          <w:szCs w:val="20"/>
        </w:rPr>
      </w:pPr>
    </w:p>
    <w:p w14:paraId="4864C80C" w14:textId="77777777" w:rsidR="00AE2198" w:rsidRPr="00AE2198" w:rsidRDefault="00AE2198" w:rsidP="00AE2198">
      <w:pPr>
        <w:tabs>
          <w:tab w:val="left" w:pos="567"/>
        </w:tabs>
        <w:spacing w:after="0" w:line="240" w:lineRule="auto"/>
        <w:jc w:val="both"/>
        <w:rPr>
          <w:rFonts w:ascii="Verdana" w:eastAsia="Calibri" w:hAnsi="Verdana" w:cs="Calibri"/>
          <w:noProof/>
          <w:sz w:val="20"/>
          <w:szCs w:val="20"/>
          <w:lang w:val="es-CR" w:eastAsia="es-CR"/>
        </w:rPr>
      </w:pPr>
      <w:r w:rsidRPr="00AE2198">
        <w:rPr>
          <w:rFonts w:ascii="Verdana" w:eastAsia="Calibri" w:hAnsi="Verdana" w:cs="Calibri"/>
          <w:sz w:val="20"/>
          <w:szCs w:val="20"/>
        </w:rPr>
        <w:t>Comuníquese y ejecútese,</w:t>
      </w:r>
      <w:r w:rsidRPr="00AE2198">
        <w:rPr>
          <w:rFonts w:ascii="Verdana" w:eastAsia="Calibri" w:hAnsi="Verdana" w:cs="Calibri"/>
          <w:noProof/>
          <w:sz w:val="20"/>
          <w:szCs w:val="20"/>
          <w:lang w:val="es-CR" w:eastAsia="es-CR"/>
        </w:rPr>
        <w:t xml:space="preserve"> </w:t>
      </w:r>
    </w:p>
    <w:p w14:paraId="4864C80E" w14:textId="77777777" w:rsidR="00AE2198" w:rsidRPr="00AE2198" w:rsidRDefault="00AE2198" w:rsidP="00AE2198">
      <w:pPr>
        <w:tabs>
          <w:tab w:val="left" w:pos="567"/>
        </w:tabs>
        <w:spacing w:after="0" w:line="240" w:lineRule="auto"/>
        <w:jc w:val="both"/>
        <w:rPr>
          <w:rFonts w:ascii="Verdana" w:eastAsia="Calibri" w:hAnsi="Verdana" w:cs="Calibri"/>
          <w:sz w:val="20"/>
          <w:szCs w:val="20"/>
        </w:rPr>
      </w:pPr>
    </w:p>
    <w:p w14:paraId="4864C810" w14:textId="77777777" w:rsidR="00AE2198" w:rsidRPr="00506510" w:rsidRDefault="00AE2198" w:rsidP="00AE2198">
      <w:pPr>
        <w:tabs>
          <w:tab w:val="left" w:pos="567"/>
        </w:tabs>
        <w:spacing w:after="0" w:line="240" w:lineRule="auto"/>
        <w:ind w:left="4536"/>
        <w:jc w:val="center"/>
        <w:rPr>
          <w:rFonts w:ascii="Verdana" w:eastAsia="Calibri" w:hAnsi="Verdana" w:cs="Calibri"/>
          <w:sz w:val="20"/>
          <w:szCs w:val="20"/>
          <w:lang w:val="es-CR"/>
        </w:rPr>
      </w:pPr>
    </w:p>
    <w:p w14:paraId="4864C811" w14:textId="77777777" w:rsidR="00AE2198" w:rsidRPr="00506510" w:rsidRDefault="00AE2198" w:rsidP="00AE2198">
      <w:pPr>
        <w:tabs>
          <w:tab w:val="left" w:pos="567"/>
        </w:tabs>
        <w:spacing w:after="0" w:line="240" w:lineRule="auto"/>
        <w:ind w:left="4536"/>
        <w:jc w:val="center"/>
        <w:rPr>
          <w:rFonts w:ascii="Verdana" w:eastAsia="Calibri" w:hAnsi="Verdana" w:cs="Calibri"/>
          <w:sz w:val="20"/>
          <w:szCs w:val="20"/>
          <w:lang w:val="es-CR"/>
        </w:rPr>
      </w:pPr>
    </w:p>
    <w:p w14:paraId="5506F55F" w14:textId="5EB28DE4" w:rsidR="00AD5E4A" w:rsidRPr="00506510" w:rsidRDefault="00E575D3" w:rsidP="00AD5E4A">
      <w:pPr>
        <w:tabs>
          <w:tab w:val="left" w:pos="567"/>
        </w:tabs>
        <w:spacing w:after="0" w:line="240" w:lineRule="auto"/>
        <w:ind w:left="4536"/>
        <w:jc w:val="center"/>
        <w:rPr>
          <w:rFonts w:ascii="Verdana" w:eastAsia="Calibri" w:hAnsi="Verdana" w:cs="Calibri"/>
          <w:sz w:val="20"/>
          <w:szCs w:val="20"/>
          <w:lang w:val="es-CR"/>
        </w:rPr>
      </w:pPr>
      <w:r>
        <w:rPr>
          <w:rFonts w:ascii="Verdana" w:eastAsia="Calibri" w:hAnsi="Verdana" w:cs="Calibri"/>
          <w:sz w:val="20"/>
          <w:szCs w:val="20"/>
          <w:lang w:val="es-CR"/>
        </w:rPr>
        <w:tab/>
      </w:r>
      <w:r>
        <w:rPr>
          <w:rFonts w:ascii="Verdana" w:eastAsia="Calibri" w:hAnsi="Verdana" w:cs="Calibri"/>
          <w:sz w:val="20"/>
          <w:szCs w:val="20"/>
          <w:lang w:val="es-CR"/>
        </w:rPr>
        <w:tab/>
      </w:r>
      <w:r>
        <w:rPr>
          <w:rFonts w:ascii="Verdana" w:eastAsia="Calibri" w:hAnsi="Verdana" w:cs="Calibri"/>
          <w:sz w:val="20"/>
          <w:szCs w:val="20"/>
          <w:lang w:val="es-CR"/>
        </w:rPr>
        <w:tab/>
      </w:r>
      <w:r w:rsidR="00AD5E4A" w:rsidRPr="00506510">
        <w:rPr>
          <w:rFonts w:ascii="Verdana" w:eastAsia="Calibri" w:hAnsi="Verdana" w:cs="Calibri"/>
          <w:sz w:val="20"/>
          <w:szCs w:val="20"/>
          <w:lang w:val="es-CR"/>
        </w:rPr>
        <w:t xml:space="preserve">Eduardo Vio Grossi </w:t>
      </w:r>
    </w:p>
    <w:p w14:paraId="07002704" w14:textId="2BDBD34E" w:rsidR="00AD5E4A" w:rsidRPr="00506510" w:rsidRDefault="00E575D3" w:rsidP="00AD5E4A">
      <w:pPr>
        <w:tabs>
          <w:tab w:val="left" w:pos="567"/>
        </w:tabs>
        <w:spacing w:after="0" w:line="240" w:lineRule="auto"/>
        <w:ind w:left="4536"/>
        <w:jc w:val="center"/>
        <w:rPr>
          <w:rFonts w:ascii="Verdana" w:eastAsia="Calibri" w:hAnsi="Verdana" w:cs="Calibri"/>
          <w:sz w:val="20"/>
          <w:szCs w:val="20"/>
          <w:lang w:val="es-CR"/>
        </w:rPr>
      </w:pPr>
      <w:r>
        <w:rPr>
          <w:rFonts w:ascii="Verdana" w:eastAsia="Calibri" w:hAnsi="Verdana" w:cs="Calibri"/>
          <w:sz w:val="20"/>
          <w:szCs w:val="20"/>
          <w:lang w:val="es-CR"/>
        </w:rPr>
        <w:tab/>
      </w:r>
      <w:r>
        <w:rPr>
          <w:rFonts w:ascii="Verdana" w:eastAsia="Calibri" w:hAnsi="Verdana" w:cs="Calibri"/>
          <w:sz w:val="20"/>
          <w:szCs w:val="20"/>
          <w:lang w:val="es-CR"/>
        </w:rPr>
        <w:tab/>
      </w:r>
      <w:r>
        <w:rPr>
          <w:rFonts w:ascii="Verdana" w:eastAsia="Calibri" w:hAnsi="Verdana" w:cs="Calibri"/>
          <w:sz w:val="20"/>
          <w:szCs w:val="20"/>
          <w:lang w:val="es-CR"/>
        </w:rPr>
        <w:tab/>
        <w:t>Presidente en E</w:t>
      </w:r>
      <w:r w:rsidR="00AD5E4A" w:rsidRPr="00506510">
        <w:rPr>
          <w:rFonts w:ascii="Verdana" w:eastAsia="Calibri" w:hAnsi="Verdana" w:cs="Calibri"/>
          <w:sz w:val="20"/>
          <w:szCs w:val="20"/>
          <w:lang w:val="es-CR"/>
        </w:rPr>
        <w:t>jercicio</w:t>
      </w:r>
    </w:p>
    <w:p w14:paraId="4864C813" w14:textId="6E3F86B5" w:rsidR="00AE2198" w:rsidRPr="00AE2198" w:rsidRDefault="00AE2198" w:rsidP="00AE2198">
      <w:pPr>
        <w:tabs>
          <w:tab w:val="left" w:pos="567"/>
        </w:tabs>
        <w:spacing w:after="0" w:line="240" w:lineRule="auto"/>
        <w:ind w:left="4536"/>
        <w:jc w:val="center"/>
        <w:rPr>
          <w:rFonts w:ascii="Verdana" w:eastAsia="Calibri" w:hAnsi="Verdana" w:cs="Calibri"/>
          <w:sz w:val="20"/>
          <w:szCs w:val="20"/>
        </w:rPr>
      </w:pPr>
    </w:p>
    <w:p w14:paraId="4864C816" w14:textId="77777777" w:rsidR="00AE2198" w:rsidRPr="00AE2198" w:rsidRDefault="00AE2198" w:rsidP="00AE2198">
      <w:pPr>
        <w:tabs>
          <w:tab w:val="left" w:pos="567"/>
        </w:tabs>
        <w:spacing w:after="0" w:line="240" w:lineRule="auto"/>
        <w:ind w:right="6003"/>
        <w:rPr>
          <w:rFonts w:ascii="Verdana" w:eastAsia="Calibri" w:hAnsi="Verdana" w:cs="Calibri"/>
          <w:sz w:val="20"/>
          <w:szCs w:val="20"/>
        </w:rPr>
      </w:pPr>
    </w:p>
    <w:p w14:paraId="4864C818" w14:textId="77777777" w:rsidR="00AE2198" w:rsidRPr="00AE2198" w:rsidRDefault="00AE2198" w:rsidP="00AE2198">
      <w:pPr>
        <w:tabs>
          <w:tab w:val="left" w:pos="567"/>
        </w:tabs>
        <w:spacing w:after="0" w:line="240" w:lineRule="auto"/>
        <w:ind w:right="6003"/>
        <w:rPr>
          <w:rFonts w:ascii="Verdana" w:eastAsia="Calibri" w:hAnsi="Verdana" w:cs="Calibri"/>
          <w:sz w:val="20"/>
          <w:szCs w:val="20"/>
        </w:rPr>
      </w:pPr>
    </w:p>
    <w:p w14:paraId="4864C819" w14:textId="77777777" w:rsidR="00AE2198" w:rsidRPr="00AE2198" w:rsidRDefault="00AE2198" w:rsidP="00AE2198">
      <w:pPr>
        <w:tabs>
          <w:tab w:val="left" w:pos="567"/>
        </w:tabs>
        <w:spacing w:after="0" w:line="240" w:lineRule="auto"/>
        <w:ind w:right="6003"/>
        <w:rPr>
          <w:rFonts w:ascii="Verdana" w:eastAsia="Calibri" w:hAnsi="Verdana" w:cs="Calibri"/>
          <w:sz w:val="20"/>
          <w:szCs w:val="20"/>
        </w:rPr>
      </w:pPr>
    </w:p>
    <w:p w14:paraId="4864C81A" w14:textId="77777777" w:rsidR="00AE2198" w:rsidRPr="00AE2198" w:rsidRDefault="00AE2198" w:rsidP="00AE2198">
      <w:pPr>
        <w:tabs>
          <w:tab w:val="left" w:pos="567"/>
        </w:tabs>
        <w:spacing w:after="0" w:line="240" w:lineRule="auto"/>
        <w:ind w:right="6003"/>
        <w:rPr>
          <w:rFonts w:ascii="Verdana" w:eastAsia="Calibri" w:hAnsi="Verdana" w:cs="Calibri"/>
          <w:sz w:val="20"/>
          <w:szCs w:val="20"/>
        </w:rPr>
      </w:pPr>
      <w:r w:rsidRPr="00AE2198">
        <w:rPr>
          <w:rFonts w:ascii="Verdana" w:eastAsia="Calibri" w:hAnsi="Verdana" w:cs="Calibri"/>
          <w:sz w:val="20"/>
          <w:szCs w:val="20"/>
        </w:rPr>
        <w:t>Pablo Saavedra Alessandri</w:t>
      </w:r>
    </w:p>
    <w:p w14:paraId="4864C81B" w14:textId="77777777" w:rsidR="00AE2198" w:rsidRPr="00AE2198" w:rsidRDefault="00AE2198" w:rsidP="00AE2198">
      <w:pPr>
        <w:tabs>
          <w:tab w:val="left" w:pos="567"/>
        </w:tabs>
        <w:spacing w:after="0" w:line="240" w:lineRule="auto"/>
        <w:ind w:right="6003"/>
        <w:jc w:val="center"/>
        <w:rPr>
          <w:rFonts w:ascii="Verdana" w:eastAsia="Calibri" w:hAnsi="Verdana" w:cs="Calibri"/>
          <w:sz w:val="20"/>
          <w:szCs w:val="20"/>
        </w:rPr>
      </w:pPr>
      <w:r w:rsidRPr="00AE2198">
        <w:rPr>
          <w:rFonts w:ascii="Verdana" w:eastAsia="Calibri" w:hAnsi="Verdana" w:cs="Calibri"/>
          <w:sz w:val="20"/>
          <w:szCs w:val="20"/>
        </w:rPr>
        <w:t>Secretario</w:t>
      </w:r>
    </w:p>
    <w:p w14:paraId="4864C81C" w14:textId="77777777" w:rsidR="00AE2198" w:rsidRPr="00AE2198" w:rsidRDefault="00AE2198" w:rsidP="00AE2198">
      <w:pPr>
        <w:tabs>
          <w:tab w:val="left" w:pos="567"/>
        </w:tabs>
        <w:spacing w:after="0" w:line="240" w:lineRule="auto"/>
        <w:ind w:right="6003"/>
        <w:jc w:val="center"/>
        <w:rPr>
          <w:rFonts w:ascii="Verdana" w:eastAsia="Calibri" w:hAnsi="Verdana" w:cs="Calibri"/>
          <w:sz w:val="20"/>
          <w:lang w:val="es-CR"/>
        </w:rPr>
      </w:pPr>
    </w:p>
    <w:p w14:paraId="4864C81D" w14:textId="77777777" w:rsidR="00AE2198" w:rsidRPr="00AE2198" w:rsidRDefault="00AE2198" w:rsidP="00AE2198">
      <w:pPr>
        <w:tabs>
          <w:tab w:val="left" w:pos="567"/>
          <w:tab w:val="left" w:pos="9065"/>
        </w:tabs>
        <w:spacing w:after="0" w:line="240" w:lineRule="auto"/>
        <w:ind w:left="-142" w:right="-7"/>
        <w:jc w:val="both"/>
        <w:rPr>
          <w:rFonts w:ascii="Verdana" w:eastAsia="Calibri" w:hAnsi="Verdana" w:cs="Calibri"/>
          <w:color w:val="FF0000"/>
          <w:sz w:val="20"/>
          <w:szCs w:val="20"/>
          <w:lang w:val="es-CR"/>
        </w:rPr>
      </w:pPr>
    </w:p>
    <w:p w14:paraId="4864C81F" w14:textId="77777777" w:rsidR="009F2BC7" w:rsidRDefault="009F2BC7"/>
    <w:sectPr w:rsidR="009F2BC7" w:rsidSect="00D94C5C">
      <w:headerReference w:type="default" r:id="rId12"/>
      <w:footerReference w:type="default" r:id="rId13"/>
      <w:headerReference w:type="first" r:id="rId14"/>
      <w:pgSz w:w="12240" w:h="15840"/>
      <w:pgMar w:top="1418" w:right="1531" w:bottom="1418"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A2F7" w14:textId="77777777" w:rsidR="000D582E" w:rsidRDefault="000D582E" w:rsidP="00AE2198">
      <w:pPr>
        <w:spacing w:after="0" w:line="240" w:lineRule="auto"/>
      </w:pPr>
      <w:r>
        <w:separator/>
      </w:r>
    </w:p>
  </w:endnote>
  <w:endnote w:type="continuationSeparator" w:id="0">
    <w:p w14:paraId="64C4B185" w14:textId="77777777" w:rsidR="000D582E" w:rsidRDefault="000D582E" w:rsidP="00AE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C831" w14:textId="77777777" w:rsidR="00E80619" w:rsidRDefault="00E80619" w:rsidP="00D9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9CF4A" w14:textId="77777777" w:rsidR="000D582E" w:rsidRDefault="000D582E" w:rsidP="00AE2198">
      <w:pPr>
        <w:spacing w:after="0" w:line="240" w:lineRule="auto"/>
      </w:pPr>
      <w:r>
        <w:separator/>
      </w:r>
    </w:p>
  </w:footnote>
  <w:footnote w:type="continuationSeparator" w:id="0">
    <w:p w14:paraId="36C9CCB0" w14:textId="77777777" w:rsidR="000D582E" w:rsidRDefault="000D582E" w:rsidP="00AE2198">
      <w:pPr>
        <w:spacing w:after="0" w:line="240" w:lineRule="auto"/>
      </w:pPr>
      <w:r>
        <w:continuationSeparator/>
      </w:r>
    </w:p>
  </w:footnote>
  <w:footnote w:id="1">
    <w:p w14:paraId="4864C833" w14:textId="77777777" w:rsidR="00E80619" w:rsidRPr="00047D87" w:rsidRDefault="00E80619" w:rsidP="00047D87">
      <w:pPr>
        <w:pStyle w:val="FootnoteText"/>
        <w:tabs>
          <w:tab w:val="left" w:pos="720"/>
        </w:tabs>
        <w:jc w:val="both"/>
        <w:rPr>
          <w:rFonts w:ascii="Verdana" w:hAnsi="Verdana"/>
          <w:sz w:val="16"/>
          <w:szCs w:val="16"/>
        </w:rPr>
      </w:pPr>
      <w:r w:rsidRPr="00047D87">
        <w:rPr>
          <w:rStyle w:val="FootnoteReference"/>
        </w:rPr>
        <w:sym w:font="Symbol" w:char="F02A"/>
      </w:r>
      <w:r w:rsidRPr="0001341D">
        <w:rPr>
          <w:rFonts w:ascii="Verdana" w:hAnsi="Verdana"/>
          <w:sz w:val="16"/>
          <w:szCs w:val="16"/>
        </w:rPr>
        <w:t xml:space="preserve"> </w:t>
      </w:r>
      <w:r w:rsidRPr="0001341D">
        <w:rPr>
          <w:rFonts w:ascii="Verdana" w:hAnsi="Verdana"/>
          <w:sz w:val="16"/>
          <w:szCs w:val="16"/>
        </w:rPr>
        <w:tab/>
      </w:r>
      <w:r w:rsidRPr="00047D87">
        <w:rPr>
          <w:rFonts w:ascii="Verdana" w:hAnsi="Verdana"/>
          <w:sz w:val="16"/>
          <w:szCs w:val="16"/>
        </w:rPr>
        <w:t>El Presidente de la Corte, Juez Eduardo Ferrer Mac-Gregor Poisot, de nacionalidad mexicana, no participa en el conocimiento de la presente resolución, de conformidad con lo dispuesto en el artículo 19.1 del Reglamento de la Corte. Por tal motivo, de acuerdo con los artículos 4.2 y 5 del Reglamento de este Tribunal, el Juez Eduardo Vio Grossi, Vicepresidente de la Corte, asume la Presidencia en ejercicio respecto del presente caso.</w:t>
      </w:r>
    </w:p>
  </w:footnote>
  <w:footnote w:id="2">
    <w:p w14:paraId="625A6C8F" w14:textId="54B0EB7F" w:rsidR="00E80619" w:rsidRPr="0001341D" w:rsidRDefault="00E80619" w:rsidP="0001341D">
      <w:pPr>
        <w:pStyle w:val="FootnoteText"/>
        <w:jc w:val="both"/>
        <w:rPr>
          <w:rFonts w:ascii="Verdana" w:hAnsi="Verdana"/>
          <w:sz w:val="16"/>
          <w:szCs w:val="16"/>
        </w:rPr>
      </w:pPr>
      <w:r w:rsidRPr="00047D87">
        <w:rPr>
          <w:rStyle w:val="FootnoteReference"/>
        </w:rPr>
        <w:footnoteRef/>
      </w:r>
      <w:r w:rsidRPr="0001341D">
        <w:rPr>
          <w:rFonts w:ascii="Verdana" w:hAnsi="Verdana"/>
          <w:sz w:val="16"/>
          <w:szCs w:val="16"/>
        </w:rPr>
        <w:t xml:space="preserve"> </w:t>
      </w:r>
      <w:r w:rsidRPr="0001341D">
        <w:rPr>
          <w:rFonts w:ascii="Verdana" w:hAnsi="Verdana"/>
          <w:sz w:val="16"/>
          <w:szCs w:val="16"/>
        </w:rPr>
        <w:tab/>
      </w:r>
      <w:r w:rsidRPr="00047D87">
        <w:rPr>
          <w:rFonts w:ascii="Verdana" w:hAnsi="Verdana"/>
          <w:i/>
          <w:sz w:val="16"/>
          <w:szCs w:val="16"/>
          <w:lang w:val="es-ES_tradnl"/>
        </w:rPr>
        <w:t xml:space="preserve">Cfr. </w:t>
      </w:r>
      <w:r w:rsidRPr="00845BAD">
        <w:rPr>
          <w:rFonts w:ascii="Verdana" w:hAnsi="Verdana"/>
          <w:sz w:val="16"/>
          <w:szCs w:val="16"/>
          <w:lang w:val="es-ES_tradnl"/>
        </w:rPr>
        <w:t xml:space="preserve">Resolución del Presidente en ejercicio de la Corte Interamericana de 23 de marzo de 2018. Resolutivo 14. </w:t>
      </w:r>
      <w:r w:rsidRPr="001E5DC3">
        <w:rPr>
          <w:rFonts w:ascii="Verdana" w:hAnsi="Verdana"/>
          <w:sz w:val="16"/>
          <w:szCs w:val="16"/>
          <w:lang w:val="es-ES_tradnl"/>
        </w:rPr>
        <w:t>D</w:t>
      </w:r>
      <w:r w:rsidRPr="00047D87">
        <w:rPr>
          <w:rFonts w:ascii="Verdana" w:hAnsi="Verdana"/>
          <w:sz w:val="16"/>
          <w:szCs w:val="16"/>
          <w:lang w:val="es-ES_tradnl"/>
        </w:rPr>
        <w:t xml:space="preserve">isponible en: </w:t>
      </w:r>
      <w:hyperlink r:id="rId1" w:history="1">
        <w:r w:rsidRPr="0001341D">
          <w:rPr>
            <w:rStyle w:val="Hyperlink"/>
            <w:rFonts w:ascii="Verdana" w:hAnsi="Verdana"/>
            <w:sz w:val="16"/>
            <w:szCs w:val="16"/>
          </w:rPr>
          <w:t>http://www.corteidh.or.cr/docs/asuntos/alvarado_23_03_18.pdf</w:t>
        </w:r>
      </w:hyperlink>
      <w:r w:rsidRPr="00047D87">
        <w:rPr>
          <w:rFonts w:ascii="Verdana" w:hAnsi="Verdana"/>
          <w:sz w:val="16"/>
          <w:szCs w:val="16"/>
        </w:rPr>
        <w:t xml:space="preserve"> </w:t>
      </w:r>
    </w:p>
  </w:footnote>
  <w:footnote w:id="3">
    <w:p w14:paraId="76481826" w14:textId="6BC4EF51" w:rsidR="00E80619" w:rsidRPr="0001341D" w:rsidRDefault="00E80619" w:rsidP="0001341D">
      <w:pPr>
        <w:pStyle w:val="FootnoteText"/>
        <w:jc w:val="both"/>
        <w:rPr>
          <w:rFonts w:ascii="Verdana" w:hAnsi="Verdana"/>
          <w:sz w:val="16"/>
          <w:szCs w:val="16"/>
        </w:rPr>
      </w:pPr>
      <w:r w:rsidRPr="00047D87">
        <w:rPr>
          <w:rStyle w:val="FootnoteReference"/>
        </w:rPr>
        <w:footnoteRef/>
      </w:r>
      <w:r w:rsidRPr="0001341D">
        <w:rPr>
          <w:rFonts w:ascii="Verdana" w:hAnsi="Verdana"/>
          <w:sz w:val="16"/>
          <w:szCs w:val="16"/>
        </w:rPr>
        <w:t xml:space="preserve"> </w:t>
      </w:r>
      <w:r w:rsidRPr="0001341D">
        <w:rPr>
          <w:rFonts w:ascii="Verdana" w:hAnsi="Verdana"/>
          <w:sz w:val="16"/>
          <w:szCs w:val="16"/>
        </w:rPr>
        <w:tab/>
      </w:r>
      <w:r>
        <w:rPr>
          <w:rFonts w:ascii="Verdana" w:hAnsi="Verdana"/>
          <w:i/>
          <w:sz w:val="16"/>
          <w:szCs w:val="16"/>
          <w:lang w:val="es-CR"/>
        </w:rPr>
        <w:t>Cfr. Caso La Cantuta Vs. Perú</w:t>
      </w:r>
      <w:r>
        <w:rPr>
          <w:rFonts w:ascii="Verdana" w:hAnsi="Verdana"/>
          <w:sz w:val="16"/>
          <w:szCs w:val="16"/>
          <w:lang w:val="es-CR"/>
        </w:rPr>
        <w:t xml:space="preserve">, </w:t>
      </w:r>
      <w:r>
        <w:rPr>
          <w:rFonts w:ascii="Verdana" w:hAnsi="Verdana"/>
          <w:bCs/>
          <w:sz w:val="16"/>
          <w:szCs w:val="16"/>
          <w:lang w:val="es-CR"/>
        </w:rPr>
        <w:t>Resolución del Presidente de la Corte Interamericana de Derechos Humanos de 17 de agosto</w:t>
      </w:r>
      <w:r>
        <w:rPr>
          <w:rFonts w:ascii="Verdana" w:hAnsi="Verdana"/>
          <w:bCs/>
          <w:sz w:val="16"/>
          <w:szCs w:val="16"/>
          <w:lang w:val="es-ES_tradnl"/>
        </w:rPr>
        <w:t xml:space="preserve"> de 2006, C</w:t>
      </w:r>
      <w:proofErr w:type="spellStart"/>
      <w:r>
        <w:rPr>
          <w:rFonts w:ascii="Verdana" w:hAnsi="Verdana"/>
          <w:sz w:val="16"/>
          <w:szCs w:val="16"/>
          <w:lang w:val="es-CR"/>
        </w:rPr>
        <w:t>onsiderando</w:t>
      </w:r>
      <w:proofErr w:type="spellEnd"/>
      <w:r>
        <w:rPr>
          <w:rFonts w:ascii="Verdana" w:hAnsi="Verdana"/>
          <w:sz w:val="16"/>
          <w:szCs w:val="16"/>
          <w:lang w:val="es-CR"/>
        </w:rPr>
        <w:t xml:space="preserve"> 15; </w:t>
      </w:r>
      <w:r>
        <w:rPr>
          <w:rFonts w:ascii="Verdana" w:hAnsi="Verdana"/>
          <w:i/>
          <w:sz w:val="16"/>
          <w:szCs w:val="16"/>
          <w:lang w:val="es-CR"/>
        </w:rPr>
        <w:t>García Prieto y otros Vs. El Salvador.</w:t>
      </w:r>
      <w:r>
        <w:rPr>
          <w:rFonts w:ascii="Verdana" w:hAnsi="Verdana"/>
          <w:sz w:val="16"/>
          <w:szCs w:val="16"/>
          <w:lang w:val="es-CR"/>
        </w:rPr>
        <w:t xml:space="preserve"> Resolución del Presidente de la Corte Interamericana de Derechos Humanos de 14 de diciembre de 2006, Considerandos 18 y 19, y </w:t>
      </w:r>
      <w:r>
        <w:rPr>
          <w:rFonts w:ascii="Verdana" w:hAnsi="Verdana"/>
          <w:i/>
          <w:sz w:val="16"/>
          <w:szCs w:val="16"/>
          <w:lang w:val="es-CR"/>
        </w:rPr>
        <w:t xml:space="preserve">Caso Pueblos Indígenas Kuna de </w:t>
      </w:r>
      <w:proofErr w:type="spellStart"/>
      <w:r>
        <w:rPr>
          <w:rFonts w:ascii="Verdana" w:hAnsi="Verdana"/>
          <w:i/>
          <w:sz w:val="16"/>
          <w:szCs w:val="16"/>
          <w:lang w:val="es-CR"/>
        </w:rPr>
        <w:t>Madungandí</w:t>
      </w:r>
      <w:proofErr w:type="spellEnd"/>
      <w:r>
        <w:rPr>
          <w:rFonts w:ascii="Verdana" w:hAnsi="Verdana"/>
          <w:i/>
          <w:sz w:val="16"/>
          <w:szCs w:val="16"/>
          <w:lang w:val="es-CR"/>
        </w:rPr>
        <w:t xml:space="preserve"> y </w:t>
      </w:r>
      <w:proofErr w:type="spellStart"/>
      <w:r>
        <w:rPr>
          <w:rFonts w:ascii="Verdana" w:hAnsi="Verdana"/>
          <w:i/>
          <w:sz w:val="16"/>
          <w:szCs w:val="16"/>
          <w:lang w:val="es-CR"/>
        </w:rPr>
        <w:t>Emberá</w:t>
      </w:r>
      <w:proofErr w:type="spellEnd"/>
      <w:r>
        <w:rPr>
          <w:rFonts w:ascii="Verdana" w:hAnsi="Verdana"/>
          <w:i/>
          <w:sz w:val="16"/>
          <w:szCs w:val="16"/>
          <w:lang w:val="es-CR"/>
        </w:rPr>
        <w:t xml:space="preserve"> de Bayano y sus miembros Vs. Panamá.</w:t>
      </w:r>
      <w:r>
        <w:rPr>
          <w:rFonts w:ascii="Verdana" w:hAnsi="Verdana"/>
          <w:sz w:val="16"/>
          <w:szCs w:val="16"/>
          <w:lang w:val="es-CR"/>
        </w:rPr>
        <w:t xml:space="preserve"> Resolución del Presidente de la Corte Interamericana de Derechos Humanos de 3 de marzo de 2014, Considerando 20. </w:t>
      </w:r>
      <w:r>
        <w:rPr>
          <w:rFonts w:ascii="Verdana" w:hAnsi="Verdana"/>
          <w:i/>
          <w:sz w:val="16"/>
          <w:szCs w:val="16"/>
        </w:rPr>
        <w:t xml:space="preserve"> </w:t>
      </w:r>
    </w:p>
  </w:footnote>
  <w:footnote w:id="4">
    <w:p w14:paraId="5982C0E0" w14:textId="17608895" w:rsidR="00E80619" w:rsidRPr="0001341D" w:rsidRDefault="00E80619" w:rsidP="0001341D">
      <w:pPr>
        <w:pStyle w:val="FootnoteText"/>
        <w:jc w:val="both"/>
        <w:rPr>
          <w:rFonts w:ascii="Verdana" w:hAnsi="Verdana"/>
          <w:sz w:val="16"/>
          <w:szCs w:val="16"/>
        </w:rPr>
      </w:pPr>
      <w:r w:rsidRPr="00047D87">
        <w:rPr>
          <w:rStyle w:val="FootnoteReference"/>
        </w:rPr>
        <w:footnoteRef/>
      </w:r>
      <w:r w:rsidRPr="0001341D">
        <w:rPr>
          <w:rFonts w:ascii="Verdana" w:hAnsi="Verdana"/>
          <w:sz w:val="16"/>
          <w:szCs w:val="16"/>
        </w:rPr>
        <w:t xml:space="preserve"> </w:t>
      </w:r>
      <w:r w:rsidRPr="0001341D">
        <w:rPr>
          <w:rFonts w:ascii="Verdana" w:hAnsi="Verdana"/>
          <w:sz w:val="16"/>
          <w:szCs w:val="16"/>
        </w:rPr>
        <w:tab/>
      </w:r>
      <w:r w:rsidRPr="0001341D">
        <w:rPr>
          <w:rFonts w:ascii="Verdana" w:hAnsi="Verdana"/>
          <w:i/>
          <w:sz w:val="16"/>
          <w:szCs w:val="16"/>
        </w:rPr>
        <w:t>Cfr.</w:t>
      </w:r>
      <w:r>
        <w:rPr>
          <w:rFonts w:ascii="Verdana" w:hAnsi="Verdana"/>
          <w:sz w:val="16"/>
          <w:szCs w:val="16"/>
        </w:rPr>
        <w:t xml:space="preserve"> </w:t>
      </w:r>
      <w:r w:rsidRPr="00047D87">
        <w:rPr>
          <w:rFonts w:ascii="Verdana" w:hAnsi="Verdana"/>
          <w:i/>
          <w:sz w:val="16"/>
          <w:szCs w:val="16"/>
          <w:lang w:val="es-CR"/>
        </w:rPr>
        <w:t xml:space="preserve">Caso </w:t>
      </w:r>
      <w:r w:rsidRPr="00CD3A9B">
        <w:rPr>
          <w:rFonts w:ascii="Verdana" w:hAnsi="Verdana"/>
          <w:i/>
          <w:sz w:val="16"/>
          <w:szCs w:val="16"/>
          <w:lang w:val="es-CR"/>
        </w:rPr>
        <w:t>Alvarado Espinoza y otros Vs. M</w:t>
      </w:r>
      <w:r w:rsidRPr="00845BAD">
        <w:rPr>
          <w:rFonts w:ascii="Verdana" w:hAnsi="Verdana"/>
          <w:i/>
          <w:sz w:val="16"/>
          <w:szCs w:val="16"/>
          <w:lang w:val="es-CR"/>
        </w:rPr>
        <w:t>éxico</w:t>
      </w:r>
      <w:r>
        <w:rPr>
          <w:rFonts w:ascii="Verdana" w:hAnsi="Verdana"/>
          <w:sz w:val="16"/>
          <w:szCs w:val="16"/>
          <w:lang w:val="es-CR"/>
        </w:rPr>
        <w:t>,</w:t>
      </w:r>
      <w:r w:rsidRPr="00845BAD">
        <w:rPr>
          <w:rFonts w:ascii="Verdana" w:hAnsi="Verdana"/>
          <w:sz w:val="16"/>
          <w:szCs w:val="16"/>
          <w:lang w:val="es-CR"/>
        </w:rPr>
        <w:t xml:space="preserve"> </w:t>
      </w:r>
      <w:r w:rsidRPr="00845BAD">
        <w:rPr>
          <w:rFonts w:ascii="Verdana" w:hAnsi="Verdana"/>
          <w:sz w:val="16"/>
          <w:szCs w:val="16"/>
          <w:lang w:val="es-ES_tradnl"/>
        </w:rPr>
        <w:t xml:space="preserve">Resolución del Presidente en ejercicio, </w:t>
      </w:r>
      <w:r w:rsidRPr="00845BAD">
        <w:rPr>
          <w:rFonts w:ascii="Verdana" w:hAnsi="Verdana"/>
          <w:i/>
          <w:sz w:val="16"/>
          <w:szCs w:val="16"/>
          <w:lang w:val="es-ES_tradnl"/>
        </w:rPr>
        <w:t xml:space="preserve">supra, </w:t>
      </w:r>
      <w:r w:rsidRPr="00845BAD">
        <w:rPr>
          <w:rFonts w:ascii="Verdana" w:hAnsi="Verdana"/>
          <w:sz w:val="16"/>
          <w:szCs w:val="16"/>
          <w:lang w:val="es-ES_tradnl"/>
        </w:rPr>
        <w:t>Resolutivo 3.</w:t>
      </w:r>
    </w:p>
  </w:footnote>
  <w:footnote w:id="5">
    <w:p w14:paraId="7FC98DA9" w14:textId="44531145" w:rsidR="00E80619" w:rsidRPr="00D3412D" w:rsidRDefault="00E80619" w:rsidP="0001341D">
      <w:pPr>
        <w:pStyle w:val="FootnoteText"/>
        <w:jc w:val="both"/>
        <w:rPr>
          <w:i/>
        </w:rPr>
      </w:pPr>
      <w:r>
        <w:rPr>
          <w:rStyle w:val="FootnoteReference"/>
        </w:rPr>
        <w:footnoteRef/>
      </w:r>
      <w:r>
        <w:t xml:space="preserve"> </w:t>
      </w:r>
      <w:r>
        <w:tab/>
      </w:r>
      <w:r w:rsidRPr="00D3412D">
        <w:rPr>
          <w:rFonts w:ascii="Verdana" w:hAnsi="Verdana"/>
          <w:i/>
          <w:sz w:val="16"/>
          <w:szCs w:val="16"/>
        </w:rPr>
        <w:t>Cfr.</w:t>
      </w:r>
      <w:r>
        <w:rPr>
          <w:rFonts w:ascii="Verdana" w:hAnsi="Verdana"/>
          <w:i/>
        </w:rPr>
        <w:t xml:space="preserve"> </w:t>
      </w:r>
      <w:r w:rsidRPr="00EC2A81">
        <w:rPr>
          <w:rFonts w:ascii="Verdana" w:hAnsi="Verdana"/>
          <w:i/>
          <w:sz w:val="16"/>
          <w:szCs w:val="16"/>
        </w:rPr>
        <w:t>Cfr.</w:t>
      </w:r>
      <w:r>
        <w:rPr>
          <w:rFonts w:ascii="Verdana" w:hAnsi="Verdana"/>
          <w:i/>
          <w:sz w:val="16"/>
          <w:szCs w:val="16"/>
        </w:rPr>
        <w:t xml:space="preserve"> Caso Blanco Romero y otros Vs. Venezuela, </w:t>
      </w:r>
      <w:r w:rsidRPr="00CD3A9B">
        <w:rPr>
          <w:rFonts w:ascii="Verdana" w:hAnsi="Verdana"/>
          <w:sz w:val="16"/>
          <w:szCs w:val="16"/>
          <w:lang w:val="es-CR"/>
        </w:rPr>
        <w:t xml:space="preserve">Resolución del Presidente de la Corte Interamericana de Derechos Humanos de </w:t>
      </w:r>
      <w:r>
        <w:rPr>
          <w:rFonts w:ascii="Verdana" w:hAnsi="Verdana"/>
          <w:sz w:val="16"/>
          <w:szCs w:val="16"/>
          <w:lang w:val="es-CR"/>
        </w:rPr>
        <w:t xml:space="preserve">25 </w:t>
      </w:r>
      <w:r w:rsidRPr="00CD3A9B">
        <w:rPr>
          <w:rFonts w:ascii="Verdana" w:hAnsi="Verdana"/>
          <w:sz w:val="16"/>
          <w:szCs w:val="16"/>
          <w:lang w:val="es-CR"/>
        </w:rPr>
        <w:t xml:space="preserve">de </w:t>
      </w:r>
      <w:r>
        <w:rPr>
          <w:rFonts w:ascii="Verdana" w:hAnsi="Verdana"/>
          <w:sz w:val="16"/>
          <w:szCs w:val="16"/>
          <w:lang w:val="es-CR"/>
        </w:rPr>
        <w:t xml:space="preserve">mayo de 2005, Considerandos 11 y 12, y </w:t>
      </w:r>
      <w:r w:rsidRPr="00047D87">
        <w:rPr>
          <w:rFonts w:ascii="Verdana" w:hAnsi="Verdana"/>
          <w:i/>
          <w:sz w:val="16"/>
          <w:szCs w:val="16"/>
          <w:lang w:val="es-CR"/>
        </w:rPr>
        <w:t xml:space="preserve">Caso </w:t>
      </w:r>
      <w:r>
        <w:rPr>
          <w:rFonts w:ascii="Verdana" w:hAnsi="Verdana"/>
          <w:i/>
          <w:sz w:val="16"/>
          <w:szCs w:val="16"/>
          <w:lang w:val="es-CR"/>
        </w:rPr>
        <w:t xml:space="preserve">Claude Reyes </w:t>
      </w:r>
      <w:r w:rsidRPr="00047D87">
        <w:rPr>
          <w:rFonts w:ascii="Verdana" w:hAnsi="Verdana"/>
          <w:i/>
          <w:sz w:val="16"/>
          <w:szCs w:val="16"/>
          <w:lang w:val="es-CR"/>
        </w:rPr>
        <w:t xml:space="preserve">y otros Vs. </w:t>
      </w:r>
      <w:r>
        <w:rPr>
          <w:rFonts w:ascii="Verdana" w:hAnsi="Verdana"/>
          <w:i/>
          <w:sz w:val="16"/>
          <w:szCs w:val="16"/>
          <w:lang w:val="es-CR"/>
        </w:rPr>
        <w:t xml:space="preserve">Chile, </w:t>
      </w:r>
      <w:r w:rsidRPr="00CD3A9B">
        <w:rPr>
          <w:rFonts w:ascii="Verdana" w:hAnsi="Verdana"/>
          <w:sz w:val="16"/>
          <w:szCs w:val="16"/>
          <w:lang w:val="es-CR"/>
        </w:rPr>
        <w:t xml:space="preserve">Resolución del Presidente de la Corte Interamericana de Derechos Humanos de </w:t>
      </w:r>
      <w:r>
        <w:rPr>
          <w:rFonts w:ascii="Verdana" w:hAnsi="Verdana"/>
          <w:sz w:val="16"/>
          <w:szCs w:val="16"/>
          <w:lang w:val="es-CR"/>
        </w:rPr>
        <w:t>7</w:t>
      </w:r>
      <w:r w:rsidRPr="00CD3A9B">
        <w:rPr>
          <w:rFonts w:ascii="Verdana" w:hAnsi="Verdana"/>
          <w:sz w:val="16"/>
          <w:szCs w:val="16"/>
          <w:lang w:val="es-CR"/>
        </w:rPr>
        <w:t xml:space="preserve"> de </w:t>
      </w:r>
      <w:r>
        <w:rPr>
          <w:rFonts w:ascii="Verdana" w:hAnsi="Verdana"/>
          <w:sz w:val="16"/>
          <w:szCs w:val="16"/>
          <w:lang w:val="es-CR"/>
        </w:rPr>
        <w:t>febrero de 2006, Considerandos 8 y 9.</w:t>
      </w:r>
    </w:p>
  </w:footnote>
  <w:footnote w:id="6">
    <w:p w14:paraId="5C17ABFC" w14:textId="56C29016" w:rsidR="00E80619" w:rsidRPr="00EC2A81" w:rsidRDefault="00E80619" w:rsidP="001500CE">
      <w:pPr>
        <w:pStyle w:val="FootnoteText"/>
        <w:jc w:val="both"/>
        <w:rPr>
          <w:rFonts w:ascii="Verdana" w:hAnsi="Verdana"/>
          <w:sz w:val="16"/>
          <w:szCs w:val="16"/>
        </w:rPr>
      </w:pPr>
      <w:r w:rsidRPr="00047D87">
        <w:rPr>
          <w:rStyle w:val="FootnoteReference"/>
        </w:rPr>
        <w:footnoteRef/>
      </w:r>
      <w:r w:rsidRPr="00EC2A81">
        <w:rPr>
          <w:rFonts w:ascii="Verdana" w:hAnsi="Verdana"/>
          <w:sz w:val="16"/>
          <w:szCs w:val="16"/>
        </w:rPr>
        <w:t xml:space="preserve"> </w:t>
      </w:r>
      <w:r w:rsidRPr="00EC2A81">
        <w:rPr>
          <w:rFonts w:ascii="Verdana" w:hAnsi="Verdana"/>
          <w:sz w:val="16"/>
          <w:szCs w:val="16"/>
        </w:rPr>
        <w:tab/>
      </w:r>
      <w:r w:rsidRPr="00EC2A81">
        <w:rPr>
          <w:rFonts w:ascii="Verdana" w:hAnsi="Verdana"/>
          <w:i/>
          <w:sz w:val="16"/>
          <w:szCs w:val="16"/>
        </w:rPr>
        <w:t>Cfr.</w:t>
      </w:r>
      <w:r>
        <w:rPr>
          <w:rFonts w:ascii="Verdana" w:hAnsi="Verdana"/>
          <w:sz w:val="16"/>
          <w:szCs w:val="16"/>
        </w:rPr>
        <w:t xml:space="preserve"> </w:t>
      </w:r>
      <w:r w:rsidRPr="00047D87">
        <w:rPr>
          <w:rFonts w:ascii="Verdana" w:hAnsi="Verdana"/>
          <w:i/>
          <w:sz w:val="16"/>
          <w:szCs w:val="16"/>
          <w:lang w:val="es-CR"/>
        </w:rPr>
        <w:t xml:space="preserve">Caso </w:t>
      </w:r>
      <w:r w:rsidRPr="00CD3A9B">
        <w:rPr>
          <w:rFonts w:ascii="Verdana" w:hAnsi="Verdana"/>
          <w:i/>
          <w:sz w:val="16"/>
          <w:szCs w:val="16"/>
          <w:lang w:val="es-CR"/>
        </w:rPr>
        <w:t>Alvarado Espinoza y otros Vs. M</w:t>
      </w:r>
      <w:r w:rsidRPr="00845BAD">
        <w:rPr>
          <w:rFonts w:ascii="Verdana" w:hAnsi="Verdana"/>
          <w:i/>
          <w:sz w:val="16"/>
          <w:szCs w:val="16"/>
          <w:lang w:val="es-CR"/>
        </w:rPr>
        <w:t>éxico</w:t>
      </w:r>
      <w:r>
        <w:rPr>
          <w:rFonts w:ascii="Verdana" w:hAnsi="Verdana"/>
          <w:sz w:val="16"/>
          <w:szCs w:val="16"/>
          <w:lang w:val="es-CR"/>
        </w:rPr>
        <w:t>,</w:t>
      </w:r>
      <w:r w:rsidRPr="00845BAD">
        <w:rPr>
          <w:rFonts w:ascii="Verdana" w:hAnsi="Verdana"/>
          <w:sz w:val="16"/>
          <w:szCs w:val="16"/>
          <w:lang w:val="es-CR"/>
        </w:rPr>
        <w:t xml:space="preserve"> </w:t>
      </w:r>
      <w:r w:rsidRPr="00845BAD">
        <w:rPr>
          <w:rFonts w:ascii="Verdana" w:hAnsi="Verdana"/>
          <w:sz w:val="16"/>
          <w:szCs w:val="16"/>
          <w:lang w:val="es-ES_tradnl"/>
        </w:rPr>
        <w:t xml:space="preserve">Resolución del Presidente en ejercicio, </w:t>
      </w:r>
      <w:r w:rsidRPr="00845BAD">
        <w:rPr>
          <w:rFonts w:ascii="Verdana" w:hAnsi="Verdana"/>
          <w:i/>
          <w:sz w:val="16"/>
          <w:szCs w:val="16"/>
          <w:lang w:val="es-ES_tradnl"/>
        </w:rPr>
        <w:t xml:space="preserve">supra, </w:t>
      </w:r>
      <w:r>
        <w:rPr>
          <w:rFonts w:ascii="Verdana" w:hAnsi="Verdana"/>
          <w:sz w:val="16"/>
          <w:szCs w:val="16"/>
          <w:lang w:val="es-ES_tradnl"/>
        </w:rPr>
        <w:t>Resolutivo 17, literal b, numeral i</w:t>
      </w:r>
      <w:r w:rsidRPr="00845BAD">
        <w:rPr>
          <w:rFonts w:ascii="Verdana" w:hAnsi="Verdana"/>
          <w:sz w:val="16"/>
          <w:szCs w:val="16"/>
          <w:lang w:val="es-ES_tradnl"/>
        </w:rPr>
        <w:t>.</w:t>
      </w:r>
    </w:p>
  </w:footnote>
  <w:footnote w:id="7">
    <w:p w14:paraId="6F2BA6F2" w14:textId="67BACC78" w:rsidR="00E80619" w:rsidRPr="00EC2A81" w:rsidRDefault="00E80619" w:rsidP="004A4886">
      <w:pPr>
        <w:pStyle w:val="FootnoteText"/>
        <w:jc w:val="both"/>
        <w:rPr>
          <w:rFonts w:ascii="Verdana" w:hAnsi="Verdana"/>
          <w:sz w:val="16"/>
          <w:szCs w:val="16"/>
        </w:rPr>
      </w:pPr>
      <w:r>
        <w:rPr>
          <w:rStyle w:val="FootnoteReference"/>
        </w:rPr>
        <w:footnoteRef/>
      </w:r>
      <w:r>
        <w:t xml:space="preserve"> </w:t>
      </w:r>
      <w:r>
        <w:tab/>
      </w:r>
      <w:r w:rsidRPr="00EC2A81">
        <w:rPr>
          <w:rFonts w:ascii="Verdana" w:hAnsi="Verdana"/>
          <w:i/>
          <w:sz w:val="16"/>
          <w:szCs w:val="16"/>
        </w:rPr>
        <w:t>Cfr.</w:t>
      </w:r>
      <w:r>
        <w:rPr>
          <w:rFonts w:ascii="Verdana" w:hAnsi="Verdana"/>
          <w:sz w:val="16"/>
          <w:szCs w:val="16"/>
        </w:rPr>
        <w:t xml:space="preserve"> </w:t>
      </w:r>
      <w:r w:rsidRPr="00047D87">
        <w:rPr>
          <w:rFonts w:ascii="Verdana" w:hAnsi="Verdana"/>
          <w:i/>
          <w:sz w:val="16"/>
          <w:szCs w:val="16"/>
          <w:lang w:val="es-CR"/>
        </w:rPr>
        <w:t xml:space="preserve">Caso </w:t>
      </w:r>
      <w:r w:rsidRPr="00CD3A9B">
        <w:rPr>
          <w:rFonts w:ascii="Verdana" w:hAnsi="Verdana"/>
          <w:i/>
          <w:sz w:val="16"/>
          <w:szCs w:val="16"/>
          <w:lang w:val="es-CR"/>
        </w:rPr>
        <w:t>Alvarado Espinoza y otros Vs. M</w:t>
      </w:r>
      <w:r w:rsidRPr="00845BAD">
        <w:rPr>
          <w:rFonts w:ascii="Verdana" w:hAnsi="Verdana"/>
          <w:i/>
          <w:sz w:val="16"/>
          <w:szCs w:val="16"/>
          <w:lang w:val="es-CR"/>
        </w:rPr>
        <w:t>éxico</w:t>
      </w:r>
      <w:r>
        <w:rPr>
          <w:rFonts w:ascii="Verdana" w:hAnsi="Verdana"/>
          <w:sz w:val="16"/>
          <w:szCs w:val="16"/>
          <w:lang w:val="es-CR"/>
        </w:rPr>
        <w:t>,</w:t>
      </w:r>
      <w:r w:rsidRPr="00845BAD">
        <w:rPr>
          <w:rFonts w:ascii="Verdana" w:hAnsi="Verdana"/>
          <w:sz w:val="16"/>
          <w:szCs w:val="16"/>
          <w:lang w:val="es-CR"/>
        </w:rPr>
        <w:t xml:space="preserve"> </w:t>
      </w:r>
      <w:r w:rsidRPr="00845BAD">
        <w:rPr>
          <w:rFonts w:ascii="Verdana" w:hAnsi="Verdana"/>
          <w:sz w:val="16"/>
          <w:szCs w:val="16"/>
          <w:lang w:val="es-ES_tradnl"/>
        </w:rPr>
        <w:t xml:space="preserve">Resolución del Presidente en ejercicio, </w:t>
      </w:r>
      <w:r w:rsidRPr="00845BAD">
        <w:rPr>
          <w:rFonts w:ascii="Verdana" w:hAnsi="Verdana"/>
          <w:i/>
          <w:sz w:val="16"/>
          <w:szCs w:val="16"/>
          <w:lang w:val="es-ES_tradnl"/>
        </w:rPr>
        <w:t xml:space="preserve">supra, </w:t>
      </w:r>
      <w:r>
        <w:rPr>
          <w:rFonts w:ascii="Verdana" w:hAnsi="Verdana"/>
          <w:sz w:val="16"/>
          <w:szCs w:val="16"/>
          <w:lang w:val="es-ES_tradnl"/>
        </w:rPr>
        <w:t>Resolutivo 17, literal a, numeral i</w:t>
      </w:r>
      <w:r w:rsidRPr="00845BAD">
        <w:rPr>
          <w:rFonts w:ascii="Verdana" w:hAnsi="Verdana"/>
          <w:sz w:val="16"/>
          <w:szCs w:val="16"/>
          <w:lang w:val="es-ES_tradnl"/>
        </w:rPr>
        <w:t>.</w:t>
      </w:r>
    </w:p>
    <w:p w14:paraId="5343BC73" w14:textId="15EDB0C0" w:rsidR="00E80619" w:rsidRDefault="00E80619">
      <w:pPr>
        <w:pStyle w:val="FootnoteText"/>
      </w:pPr>
    </w:p>
  </w:footnote>
  <w:footnote w:id="8">
    <w:p w14:paraId="7C4F04DF" w14:textId="3BC99D58" w:rsidR="00E80619" w:rsidRDefault="00E80619" w:rsidP="0001341D">
      <w:pPr>
        <w:pStyle w:val="FootnoteText"/>
        <w:jc w:val="both"/>
      </w:pPr>
      <w:r>
        <w:rPr>
          <w:rStyle w:val="FootnoteReference"/>
        </w:rPr>
        <w:footnoteRef/>
      </w:r>
      <w:r>
        <w:t xml:space="preserve"> </w:t>
      </w:r>
      <w:r>
        <w:tab/>
      </w:r>
      <w:r w:rsidRPr="00EC2A81">
        <w:rPr>
          <w:rFonts w:ascii="Verdana" w:hAnsi="Verdana"/>
          <w:i/>
          <w:sz w:val="16"/>
          <w:szCs w:val="16"/>
        </w:rPr>
        <w:t>Cfr.</w:t>
      </w:r>
      <w:r>
        <w:rPr>
          <w:rFonts w:ascii="Verdana" w:hAnsi="Verdana"/>
          <w:sz w:val="16"/>
          <w:szCs w:val="16"/>
        </w:rPr>
        <w:t xml:space="preserve"> </w:t>
      </w:r>
      <w:r w:rsidRPr="00047D87">
        <w:rPr>
          <w:rFonts w:ascii="Verdana" w:hAnsi="Verdana"/>
          <w:i/>
          <w:sz w:val="16"/>
          <w:szCs w:val="16"/>
          <w:lang w:val="es-CR"/>
        </w:rPr>
        <w:t xml:space="preserve">Caso </w:t>
      </w:r>
      <w:r w:rsidRPr="00CD3A9B">
        <w:rPr>
          <w:rFonts w:ascii="Verdana" w:hAnsi="Verdana"/>
          <w:i/>
          <w:sz w:val="16"/>
          <w:szCs w:val="16"/>
          <w:lang w:val="es-CR"/>
        </w:rPr>
        <w:t>Alvarado Espinoza y otros Vs. M</w:t>
      </w:r>
      <w:r w:rsidRPr="00845BAD">
        <w:rPr>
          <w:rFonts w:ascii="Verdana" w:hAnsi="Verdana"/>
          <w:i/>
          <w:sz w:val="16"/>
          <w:szCs w:val="16"/>
          <w:lang w:val="es-CR"/>
        </w:rPr>
        <w:t>éxico</w:t>
      </w:r>
      <w:r>
        <w:rPr>
          <w:rFonts w:ascii="Verdana" w:hAnsi="Verdana"/>
          <w:sz w:val="16"/>
          <w:szCs w:val="16"/>
          <w:lang w:val="es-CR"/>
        </w:rPr>
        <w:t>,</w:t>
      </w:r>
      <w:r w:rsidRPr="00845BAD">
        <w:rPr>
          <w:rFonts w:ascii="Verdana" w:hAnsi="Verdana"/>
          <w:sz w:val="16"/>
          <w:szCs w:val="16"/>
          <w:lang w:val="es-CR"/>
        </w:rPr>
        <w:t xml:space="preserve"> </w:t>
      </w:r>
      <w:r w:rsidRPr="00845BAD">
        <w:rPr>
          <w:rFonts w:ascii="Verdana" w:hAnsi="Verdana"/>
          <w:sz w:val="16"/>
          <w:szCs w:val="16"/>
          <w:lang w:val="es-ES_tradnl"/>
        </w:rPr>
        <w:t xml:space="preserve">Resolución del Presidente en ejercicio, </w:t>
      </w:r>
      <w:r w:rsidRPr="00845BAD">
        <w:rPr>
          <w:rFonts w:ascii="Verdana" w:hAnsi="Verdana"/>
          <w:i/>
          <w:sz w:val="16"/>
          <w:szCs w:val="16"/>
          <w:lang w:val="es-ES_tradnl"/>
        </w:rPr>
        <w:t xml:space="preserve">supra, </w:t>
      </w:r>
      <w:r>
        <w:rPr>
          <w:rFonts w:ascii="Verdana" w:hAnsi="Verdana"/>
          <w:sz w:val="16"/>
          <w:szCs w:val="16"/>
          <w:lang w:val="es-ES_tradnl"/>
        </w:rPr>
        <w:t>Considerando 26</w:t>
      </w:r>
      <w:r w:rsidRPr="00845BAD">
        <w:rPr>
          <w:rFonts w:ascii="Verdana" w:hAnsi="Verdana"/>
          <w:sz w:val="16"/>
          <w:szCs w:val="16"/>
          <w:lang w:val="es-ES_tradnl"/>
        </w:rPr>
        <w:t>.</w:t>
      </w:r>
    </w:p>
  </w:footnote>
  <w:footnote w:id="9">
    <w:p w14:paraId="0D8AC553" w14:textId="10DFB202" w:rsidR="00E80619" w:rsidRPr="0001341D" w:rsidRDefault="00E80619" w:rsidP="0001341D">
      <w:pPr>
        <w:pStyle w:val="FootnoteText"/>
        <w:jc w:val="both"/>
        <w:rPr>
          <w:rFonts w:ascii="Verdana" w:hAnsi="Verdana"/>
          <w:i/>
        </w:rPr>
      </w:pPr>
      <w:r w:rsidRPr="00343271">
        <w:rPr>
          <w:rStyle w:val="FootnoteReference"/>
        </w:rPr>
        <w:footnoteRef/>
      </w:r>
      <w:r w:rsidRPr="0001341D">
        <w:rPr>
          <w:rFonts w:ascii="Verdana" w:hAnsi="Verdana"/>
        </w:rPr>
        <w:t xml:space="preserve"> </w:t>
      </w:r>
      <w:r w:rsidRPr="0001341D">
        <w:rPr>
          <w:rFonts w:ascii="Verdana" w:hAnsi="Verdana"/>
        </w:rPr>
        <w:tab/>
      </w:r>
      <w:r w:rsidRPr="0001341D">
        <w:rPr>
          <w:rFonts w:ascii="Verdana" w:hAnsi="Verdana"/>
          <w:i/>
          <w:sz w:val="16"/>
          <w:szCs w:val="16"/>
        </w:rPr>
        <w:t>Cfr</w:t>
      </w:r>
      <w:r w:rsidRPr="00343271">
        <w:rPr>
          <w:rFonts w:ascii="Verdana" w:hAnsi="Verdana"/>
          <w:i/>
          <w:sz w:val="16"/>
          <w:szCs w:val="16"/>
        </w:rPr>
        <w:t xml:space="preserve">. </w:t>
      </w:r>
      <w:r w:rsidRPr="0001341D">
        <w:rPr>
          <w:rFonts w:ascii="Verdana" w:hAnsi="Verdana"/>
          <w:i/>
          <w:sz w:val="16"/>
          <w:szCs w:val="16"/>
        </w:rPr>
        <w:t xml:space="preserve">Caso Gomes </w:t>
      </w:r>
      <w:proofErr w:type="spellStart"/>
      <w:r w:rsidRPr="0001341D">
        <w:rPr>
          <w:rFonts w:ascii="Verdana" w:hAnsi="Verdana"/>
          <w:i/>
          <w:sz w:val="16"/>
          <w:szCs w:val="16"/>
        </w:rPr>
        <w:t>Lund</w:t>
      </w:r>
      <w:proofErr w:type="spellEnd"/>
      <w:r w:rsidRPr="0001341D">
        <w:rPr>
          <w:rFonts w:ascii="Verdana" w:hAnsi="Verdana"/>
          <w:i/>
          <w:sz w:val="16"/>
          <w:szCs w:val="16"/>
        </w:rPr>
        <w:t xml:space="preserve"> y otros Vs. Brasil</w:t>
      </w:r>
      <w:r w:rsidRPr="0001341D">
        <w:rPr>
          <w:rFonts w:ascii="Verdana" w:hAnsi="Verdana"/>
          <w:sz w:val="16"/>
          <w:szCs w:val="16"/>
        </w:rPr>
        <w:t xml:space="preserve">, Resolución del Presidente de la Corte Interamericana de Derechos Humanos de 30 de marzo de 2010, Considerando 16, y </w:t>
      </w:r>
      <w:r w:rsidRPr="00343271">
        <w:rPr>
          <w:rFonts w:ascii="Verdana" w:hAnsi="Verdana"/>
          <w:i/>
          <w:sz w:val="16"/>
          <w:szCs w:val="16"/>
        </w:rPr>
        <w:t xml:space="preserve">Caso </w:t>
      </w:r>
      <w:proofErr w:type="spellStart"/>
      <w:r w:rsidRPr="00343271">
        <w:rPr>
          <w:rFonts w:ascii="Verdana" w:hAnsi="Verdana"/>
          <w:i/>
          <w:sz w:val="16"/>
          <w:szCs w:val="16"/>
        </w:rPr>
        <w:t>Amhrein</w:t>
      </w:r>
      <w:proofErr w:type="spellEnd"/>
      <w:r w:rsidRPr="00343271">
        <w:rPr>
          <w:rFonts w:ascii="Verdana" w:hAnsi="Verdana"/>
          <w:i/>
          <w:sz w:val="16"/>
          <w:szCs w:val="16"/>
        </w:rPr>
        <w:t xml:space="preserve"> y otros Vs. Costa Rica, </w:t>
      </w:r>
      <w:r w:rsidRPr="0001341D">
        <w:rPr>
          <w:rFonts w:ascii="Verdana" w:hAnsi="Verdana"/>
          <w:sz w:val="16"/>
          <w:szCs w:val="16"/>
        </w:rPr>
        <w:t xml:space="preserve">Resolución del Presidente de la Corte Interamericana de Derechos Humanos de </w:t>
      </w:r>
      <w:r>
        <w:rPr>
          <w:rFonts w:ascii="Verdana" w:hAnsi="Verdana"/>
          <w:sz w:val="16"/>
          <w:szCs w:val="16"/>
        </w:rPr>
        <w:t xml:space="preserve">12 </w:t>
      </w:r>
      <w:r w:rsidRPr="0001341D">
        <w:rPr>
          <w:rFonts w:ascii="Verdana" w:hAnsi="Verdana"/>
          <w:sz w:val="16"/>
          <w:szCs w:val="16"/>
        </w:rPr>
        <w:t xml:space="preserve">de </w:t>
      </w:r>
      <w:r>
        <w:rPr>
          <w:rFonts w:ascii="Verdana" w:hAnsi="Verdana"/>
          <w:sz w:val="16"/>
          <w:szCs w:val="16"/>
        </w:rPr>
        <w:t xml:space="preserve">julio </w:t>
      </w:r>
      <w:r w:rsidRPr="0001341D">
        <w:rPr>
          <w:rFonts w:ascii="Verdana" w:hAnsi="Verdana"/>
          <w:sz w:val="16"/>
          <w:szCs w:val="16"/>
        </w:rPr>
        <w:t>de 201</w:t>
      </w:r>
      <w:r>
        <w:rPr>
          <w:rFonts w:ascii="Verdana" w:hAnsi="Verdana"/>
          <w:sz w:val="16"/>
          <w:szCs w:val="16"/>
        </w:rPr>
        <w:t>7</w:t>
      </w:r>
      <w:r w:rsidRPr="0001341D">
        <w:rPr>
          <w:rFonts w:ascii="Verdana" w:hAnsi="Verdana"/>
          <w:sz w:val="16"/>
          <w:szCs w:val="16"/>
        </w:rPr>
        <w:t>, Considerando 25.</w:t>
      </w:r>
      <w:r w:rsidRPr="0001341D">
        <w:rPr>
          <w:rFonts w:ascii="Verdana" w:hAnsi="Verdana"/>
          <w:i/>
        </w:rPr>
        <w:t xml:space="preserve"> </w:t>
      </w:r>
    </w:p>
  </w:footnote>
  <w:footnote w:id="10">
    <w:p w14:paraId="17E72FE8" w14:textId="047C0A93" w:rsidR="00E80619" w:rsidRPr="0001341D" w:rsidRDefault="00E80619" w:rsidP="0001341D">
      <w:pPr>
        <w:pStyle w:val="FootnoteText"/>
        <w:jc w:val="both"/>
        <w:rPr>
          <w:rFonts w:ascii="Verdana" w:hAnsi="Verdana"/>
          <w:sz w:val="16"/>
          <w:szCs w:val="16"/>
        </w:rPr>
      </w:pPr>
      <w:r>
        <w:rPr>
          <w:rStyle w:val="FootnoteReference"/>
        </w:rPr>
        <w:footnoteRef/>
      </w:r>
      <w:r>
        <w:t xml:space="preserve"> </w:t>
      </w:r>
      <w:r>
        <w:tab/>
      </w:r>
      <w:r w:rsidRPr="0001341D">
        <w:rPr>
          <w:rFonts w:ascii="Verdana" w:hAnsi="Verdana"/>
          <w:sz w:val="16"/>
          <w:szCs w:val="16"/>
        </w:rPr>
        <w:t>A saber:</w:t>
      </w:r>
      <w:r>
        <w:rPr>
          <w:rFonts w:ascii="Verdana" w:hAnsi="Verdana"/>
          <w:sz w:val="16"/>
          <w:szCs w:val="16"/>
        </w:rPr>
        <w:t xml:space="preserve"> “Sobre las políticas de seguridad ciudadana en México, que sean profesionales, respetuosas de derechos humanos y eficaces para el combate de la delincuencia organizada”.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41829"/>
      <w:docPartObj>
        <w:docPartGallery w:val="Page Numbers (Top of Page)"/>
        <w:docPartUnique/>
      </w:docPartObj>
    </w:sdtPr>
    <w:sdtEndPr>
      <w:rPr>
        <w:rFonts w:ascii="Verdana" w:hAnsi="Verdana"/>
        <w:sz w:val="20"/>
        <w:szCs w:val="20"/>
      </w:rPr>
    </w:sdtEndPr>
    <w:sdtContent>
      <w:p w14:paraId="75150F55" w14:textId="6F1C327F" w:rsidR="00E80619" w:rsidRPr="00700F34" w:rsidRDefault="00E80619">
        <w:pPr>
          <w:pStyle w:val="Header"/>
          <w:jc w:val="center"/>
          <w:rPr>
            <w:rFonts w:ascii="Verdana" w:hAnsi="Verdana"/>
            <w:sz w:val="20"/>
            <w:szCs w:val="20"/>
          </w:rPr>
        </w:pPr>
        <w:r w:rsidRPr="00700F34">
          <w:rPr>
            <w:rFonts w:ascii="Verdana" w:hAnsi="Verdana"/>
            <w:sz w:val="20"/>
            <w:szCs w:val="20"/>
          </w:rPr>
          <w:fldChar w:fldCharType="begin"/>
        </w:r>
        <w:r w:rsidRPr="00700F34">
          <w:rPr>
            <w:rFonts w:ascii="Verdana" w:hAnsi="Verdana"/>
            <w:sz w:val="20"/>
            <w:szCs w:val="20"/>
          </w:rPr>
          <w:instrText>PAGE   \* MERGEFORMAT</w:instrText>
        </w:r>
        <w:r w:rsidRPr="00700F34">
          <w:rPr>
            <w:rFonts w:ascii="Verdana" w:hAnsi="Verdana"/>
            <w:sz w:val="20"/>
            <w:szCs w:val="20"/>
          </w:rPr>
          <w:fldChar w:fldCharType="separate"/>
        </w:r>
        <w:r w:rsidR="00EC6EC4" w:rsidRPr="00EC6EC4">
          <w:rPr>
            <w:rFonts w:ascii="Verdana" w:hAnsi="Verdana"/>
            <w:noProof/>
            <w:sz w:val="20"/>
            <w:szCs w:val="20"/>
            <w:lang w:val="es-ES"/>
          </w:rPr>
          <w:t>8</w:t>
        </w:r>
        <w:r w:rsidRPr="00700F34">
          <w:rPr>
            <w:rFonts w:ascii="Verdana" w:hAnsi="Verdana"/>
            <w:sz w:val="20"/>
            <w:szCs w:val="20"/>
          </w:rPr>
          <w:fldChar w:fldCharType="end"/>
        </w:r>
      </w:p>
    </w:sdtContent>
  </w:sdt>
  <w:p w14:paraId="411D8138" w14:textId="77777777" w:rsidR="00E80619" w:rsidRDefault="00E8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C118" w14:textId="521AD538" w:rsidR="00E80619" w:rsidRDefault="00E80619">
    <w:pPr>
      <w:pStyle w:val="Header"/>
      <w:jc w:val="center"/>
    </w:pPr>
  </w:p>
  <w:p w14:paraId="77182B83" w14:textId="77777777" w:rsidR="00E80619" w:rsidRDefault="00E80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AA"/>
    <w:multiLevelType w:val="hybridMultilevel"/>
    <w:tmpl w:val="908A803A"/>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1BFF"/>
    <w:multiLevelType w:val="hybridMultilevel"/>
    <w:tmpl w:val="07C46D78"/>
    <w:lvl w:ilvl="0" w:tplc="18DAB24A">
      <w:start w:val="1"/>
      <w:numFmt w:val="upperLetter"/>
      <w:lvlText w:val="%1."/>
      <w:lvlJc w:val="left"/>
      <w:pPr>
        <w:ind w:left="540" w:hanging="360"/>
      </w:pPr>
      <w:rPr>
        <w:rFonts w:hint="default"/>
        <w:b w:val="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0BC11BA">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111A7B"/>
    <w:multiLevelType w:val="hybridMultilevel"/>
    <w:tmpl w:val="12C6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708B1"/>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1099"/>
    <w:multiLevelType w:val="hybridMultilevel"/>
    <w:tmpl w:val="B0205CB4"/>
    <w:lvl w:ilvl="0" w:tplc="C530582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827"/>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6543D"/>
    <w:multiLevelType w:val="hybridMultilevel"/>
    <w:tmpl w:val="FCDC1718"/>
    <w:lvl w:ilvl="0" w:tplc="0409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0D0520A4"/>
    <w:multiLevelType w:val="hybridMultilevel"/>
    <w:tmpl w:val="53E4A6A6"/>
    <w:lvl w:ilvl="0" w:tplc="E054AF3E">
      <w:start w:val="1"/>
      <w:numFmt w:val="decimal"/>
      <w:lvlText w:val="%1."/>
      <w:lvlJc w:val="left"/>
      <w:pPr>
        <w:ind w:left="1647" w:hanging="360"/>
      </w:pPr>
      <w:rPr>
        <w:rFonts w:hint="default"/>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0D3E31D4"/>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9">
    <w:nsid w:val="146C29A4"/>
    <w:multiLevelType w:val="hybridMultilevel"/>
    <w:tmpl w:val="6CC4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231E5"/>
    <w:multiLevelType w:val="hybridMultilevel"/>
    <w:tmpl w:val="80A24EA6"/>
    <w:lvl w:ilvl="0" w:tplc="9ED4DD6E">
      <w:start w:val="1"/>
      <w:numFmt w:val="upperLetter"/>
      <w:lvlText w:val="%1."/>
      <w:lvlJc w:val="left"/>
      <w:pPr>
        <w:ind w:left="1080" w:hanging="360"/>
      </w:pPr>
      <w:rPr>
        <w:rFonts w:hint="default"/>
        <w:b/>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77E68D4"/>
    <w:multiLevelType w:val="hybridMultilevel"/>
    <w:tmpl w:val="1534E03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83FE2"/>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3">
    <w:nsid w:val="26912F80"/>
    <w:multiLevelType w:val="hybridMultilevel"/>
    <w:tmpl w:val="1896B0B2"/>
    <w:lvl w:ilvl="0" w:tplc="67E07D4A">
      <w:start w:val="1"/>
      <w:numFmt w:val="decimal"/>
      <w:lvlText w:val="%1."/>
      <w:lvlJc w:val="left"/>
      <w:pPr>
        <w:ind w:left="180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80770"/>
    <w:multiLevelType w:val="hybridMultilevel"/>
    <w:tmpl w:val="6B4A64D8"/>
    <w:lvl w:ilvl="0" w:tplc="67E07D4A">
      <w:start w:val="1"/>
      <w:numFmt w:val="decimal"/>
      <w:lvlText w:val="%1."/>
      <w:lvlJc w:val="left"/>
      <w:pPr>
        <w:ind w:left="72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0201A9"/>
    <w:multiLevelType w:val="hybridMultilevel"/>
    <w:tmpl w:val="B8C0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40FCE"/>
    <w:multiLevelType w:val="hybridMultilevel"/>
    <w:tmpl w:val="1070F1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3EE7C6E"/>
    <w:multiLevelType w:val="hybridMultilevel"/>
    <w:tmpl w:val="1FBE0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E65A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8404A"/>
    <w:multiLevelType w:val="hybridMultilevel"/>
    <w:tmpl w:val="5C0EDC20"/>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3B0036D6"/>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E2EE7"/>
    <w:multiLevelType w:val="hybridMultilevel"/>
    <w:tmpl w:val="BA3ACA80"/>
    <w:lvl w:ilvl="0" w:tplc="669E168E">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F6E24E5"/>
    <w:multiLevelType w:val="hybridMultilevel"/>
    <w:tmpl w:val="4AE6ECA6"/>
    <w:lvl w:ilvl="0" w:tplc="67E07D4A">
      <w:start w:val="1"/>
      <w:numFmt w:val="decimal"/>
      <w:lvlText w:val="%1."/>
      <w:lvlJc w:val="left"/>
      <w:pPr>
        <w:ind w:left="1440" w:hanging="72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9F25F6"/>
    <w:multiLevelType w:val="hybridMultilevel"/>
    <w:tmpl w:val="6BFC01F0"/>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61258"/>
    <w:multiLevelType w:val="hybridMultilevel"/>
    <w:tmpl w:val="A21C8774"/>
    <w:lvl w:ilvl="0" w:tplc="B9F22EF4">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2C1457"/>
    <w:multiLevelType w:val="hybridMultilevel"/>
    <w:tmpl w:val="F80468FC"/>
    <w:lvl w:ilvl="0" w:tplc="11C40E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D93127"/>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28">
    <w:nsid w:val="494B77C7"/>
    <w:multiLevelType w:val="hybridMultilevel"/>
    <w:tmpl w:val="DFEE395A"/>
    <w:lvl w:ilvl="0" w:tplc="D2F6B0DE">
      <w:start w:val="1"/>
      <w:numFmt w:val="decimal"/>
      <w:lvlText w:val="%1."/>
      <w:lvlJc w:val="left"/>
      <w:pPr>
        <w:ind w:left="12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D72941"/>
    <w:multiLevelType w:val="hybridMultilevel"/>
    <w:tmpl w:val="B6C66644"/>
    <w:lvl w:ilvl="0" w:tplc="D2F6B0DE">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B7199"/>
    <w:multiLevelType w:val="hybridMultilevel"/>
    <w:tmpl w:val="A9E65432"/>
    <w:lvl w:ilvl="0" w:tplc="3F2CF08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1654D"/>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32">
    <w:nsid w:val="53B765B9"/>
    <w:multiLevelType w:val="hybridMultilevel"/>
    <w:tmpl w:val="C8EA599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B774F"/>
    <w:multiLevelType w:val="hybridMultilevel"/>
    <w:tmpl w:val="BE0A3138"/>
    <w:lvl w:ilvl="0" w:tplc="D2F6B0DE">
      <w:start w:val="1"/>
      <w:numFmt w:val="decimal"/>
      <w:lvlText w:val="%1."/>
      <w:lvlJc w:val="left"/>
      <w:pPr>
        <w:ind w:left="90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34">
    <w:nsid w:val="55EE4247"/>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77CAA"/>
    <w:multiLevelType w:val="hybridMultilevel"/>
    <w:tmpl w:val="09987668"/>
    <w:lvl w:ilvl="0" w:tplc="D2F6B0DE">
      <w:start w:val="1"/>
      <w:numFmt w:val="decimal"/>
      <w:lvlText w:val="%1."/>
      <w:lvlJc w:val="left"/>
      <w:pPr>
        <w:ind w:left="900" w:hanging="360"/>
      </w:pPr>
      <w:rPr>
        <w:i w:val="0"/>
      </w:rPr>
    </w:lvl>
    <w:lvl w:ilvl="1" w:tplc="140A0019">
      <w:start w:val="1"/>
      <w:numFmt w:val="lowerLetter"/>
      <w:lvlText w:val="%2."/>
      <w:lvlJc w:val="left"/>
      <w:pPr>
        <w:ind w:left="1710" w:hanging="360"/>
      </w:pPr>
    </w:lvl>
    <w:lvl w:ilvl="2" w:tplc="140A001B" w:tentative="1">
      <w:start w:val="1"/>
      <w:numFmt w:val="lowerRoman"/>
      <w:lvlText w:val="%3."/>
      <w:lvlJc w:val="right"/>
      <w:pPr>
        <w:ind w:left="2430" w:hanging="180"/>
      </w:pPr>
    </w:lvl>
    <w:lvl w:ilvl="3" w:tplc="140A000F" w:tentative="1">
      <w:start w:val="1"/>
      <w:numFmt w:val="decimal"/>
      <w:lvlText w:val="%4."/>
      <w:lvlJc w:val="left"/>
      <w:pPr>
        <w:ind w:left="3150" w:hanging="360"/>
      </w:pPr>
    </w:lvl>
    <w:lvl w:ilvl="4" w:tplc="140A0019" w:tentative="1">
      <w:start w:val="1"/>
      <w:numFmt w:val="lowerLetter"/>
      <w:lvlText w:val="%5."/>
      <w:lvlJc w:val="left"/>
      <w:pPr>
        <w:ind w:left="3870" w:hanging="360"/>
      </w:pPr>
    </w:lvl>
    <w:lvl w:ilvl="5" w:tplc="140A001B" w:tentative="1">
      <w:start w:val="1"/>
      <w:numFmt w:val="lowerRoman"/>
      <w:lvlText w:val="%6."/>
      <w:lvlJc w:val="right"/>
      <w:pPr>
        <w:ind w:left="4590" w:hanging="180"/>
      </w:pPr>
    </w:lvl>
    <w:lvl w:ilvl="6" w:tplc="140A000F" w:tentative="1">
      <w:start w:val="1"/>
      <w:numFmt w:val="decimal"/>
      <w:lvlText w:val="%7."/>
      <w:lvlJc w:val="left"/>
      <w:pPr>
        <w:ind w:left="5310" w:hanging="360"/>
      </w:pPr>
    </w:lvl>
    <w:lvl w:ilvl="7" w:tplc="140A0019" w:tentative="1">
      <w:start w:val="1"/>
      <w:numFmt w:val="lowerLetter"/>
      <w:lvlText w:val="%8."/>
      <w:lvlJc w:val="left"/>
      <w:pPr>
        <w:ind w:left="6030" w:hanging="360"/>
      </w:pPr>
    </w:lvl>
    <w:lvl w:ilvl="8" w:tplc="140A001B" w:tentative="1">
      <w:start w:val="1"/>
      <w:numFmt w:val="lowerRoman"/>
      <w:lvlText w:val="%9."/>
      <w:lvlJc w:val="right"/>
      <w:pPr>
        <w:ind w:left="6750" w:hanging="180"/>
      </w:pPr>
    </w:lvl>
  </w:abstractNum>
  <w:abstractNum w:abstractNumId="36">
    <w:nsid w:val="57633564"/>
    <w:multiLevelType w:val="hybridMultilevel"/>
    <w:tmpl w:val="B8F66A6E"/>
    <w:lvl w:ilvl="0" w:tplc="54D4D9A8">
      <w:start w:val="500"/>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5BD66B3E"/>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DE73A4E"/>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F4717"/>
    <w:multiLevelType w:val="hybridMultilevel"/>
    <w:tmpl w:val="8640C0AC"/>
    <w:lvl w:ilvl="0" w:tplc="4A90016E">
      <w:start w:val="1"/>
      <w:numFmt w:val="upperLetter"/>
      <w:lvlText w:val="%1."/>
      <w:lvlJc w:val="left"/>
      <w:pPr>
        <w:ind w:left="540" w:hanging="360"/>
      </w:pPr>
      <w:rPr>
        <w:rFonts w:ascii="Verdana" w:eastAsia="Calibri" w:hAnsi="Verdana"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1">
    <w:nsid w:val="62C97D24"/>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67737"/>
    <w:multiLevelType w:val="hybridMultilevel"/>
    <w:tmpl w:val="AC36151A"/>
    <w:lvl w:ilvl="0" w:tplc="C3A882F0">
      <w:start w:val="1"/>
      <w:numFmt w:val="upperLetter"/>
      <w:lvlText w:val="%1."/>
      <w:lvlJc w:val="left"/>
      <w:pPr>
        <w:ind w:left="540" w:hanging="360"/>
      </w:pPr>
      <w:rPr>
        <w:rFonts w:hint="default"/>
        <w:b w:val="0"/>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43">
    <w:nsid w:val="644167C5"/>
    <w:multiLevelType w:val="hybridMultilevel"/>
    <w:tmpl w:val="1EF63622"/>
    <w:lvl w:ilvl="0" w:tplc="0FD0E226">
      <w:start w:val="1"/>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4">
    <w:nsid w:val="6A7B3CFA"/>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7F2581"/>
    <w:multiLevelType w:val="hybridMultilevel"/>
    <w:tmpl w:val="237A4242"/>
    <w:lvl w:ilvl="0" w:tplc="959A9AEE">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6D0E7F1C"/>
    <w:multiLevelType w:val="hybridMultilevel"/>
    <w:tmpl w:val="67E8B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01E7730"/>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0D732E5"/>
    <w:multiLevelType w:val="hybridMultilevel"/>
    <w:tmpl w:val="4BFC569A"/>
    <w:lvl w:ilvl="0" w:tplc="D2F6B0DE">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8F1ABC"/>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D631B8C"/>
    <w:multiLevelType w:val="hybridMultilevel"/>
    <w:tmpl w:val="628879BC"/>
    <w:lvl w:ilvl="0" w:tplc="B2D8960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2322FE"/>
    <w:multiLevelType w:val="hybridMultilevel"/>
    <w:tmpl w:val="69D46D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1"/>
  </w:num>
  <w:num w:numId="2">
    <w:abstractNumId w:val="14"/>
  </w:num>
  <w:num w:numId="3">
    <w:abstractNumId w:val="47"/>
  </w:num>
  <w:num w:numId="4">
    <w:abstractNumId w:val="15"/>
  </w:num>
  <w:num w:numId="5">
    <w:abstractNumId w:val="43"/>
  </w:num>
  <w:num w:numId="6">
    <w:abstractNumId w:val="1"/>
  </w:num>
  <w:num w:numId="7">
    <w:abstractNumId w:val="42"/>
  </w:num>
  <w:num w:numId="8">
    <w:abstractNumId w:val="12"/>
  </w:num>
  <w:num w:numId="9">
    <w:abstractNumId w:val="36"/>
  </w:num>
  <w:num w:numId="10">
    <w:abstractNumId w:val="41"/>
  </w:num>
  <w:num w:numId="11">
    <w:abstractNumId w:val="40"/>
  </w:num>
  <w:num w:numId="12">
    <w:abstractNumId w:val="0"/>
  </w:num>
  <w:num w:numId="13">
    <w:abstractNumId w:val="20"/>
  </w:num>
  <w:num w:numId="14">
    <w:abstractNumId w:val="24"/>
  </w:num>
  <w:num w:numId="15">
    <w:abstractNumId w:val="3"/>
  </w:num>
  <w:num w:numId="16">
    <w:abstractNumId w:val="32"/>
  </w:num>
  <w:num w:numId="17">
    <w:abstractNumId w:val="50"/>
  </w:num>
  <w:num w:numId="18">
    <w:abstractNumId w:val="17"/>
  </w:num>
  <w:num w:numId="19">
    <w:abstractNumId w:val="51"/>
  </w:num>
  <w:num w:numId="20">
    <w:abstractNumId w:val="46"/>
  </w:num>
  <w:num w:numId="21">
    <w:abstractNumId w:val="26"/>
  </w:num>
  <w:num w:numId="22">
    <w:abstractNumId w:val="6"/>
  </w:num>
  <w:num w:numId="23">
    <w:abstractNumId w:val="45"/>
  </w:num>
  <w:num w:numId="24">
    <w:abstractNumId w:val="22"/>
  </w:num>
  <w:num w:numId="25">
    <w:abstractNumId w:val="21"/>
  </w:num>
  <w:num w:numId="26">
    <w:abstractNumId w:val="44"/>
  </w:num>
  <w:num w:numId="27">
    <w:abstractNumId w:val="49"/>
  </w:num>
  <w:num w:numId="28">
    <w:abstractNumId w:val="37"/>
  </w:num>
  <w:num w:numId="29">
    <w:abstractNumId w:val="13"/>
  </w:num>
  <w:num w:numId="30">
    <w:abstractNumId w:val="25"/>
  </w:num>
  <w:num w:numId="31">
    <w:abstractNumId w:val="5"/>
  </w:num>
  <w:num w:numId="32">
    <w:abstractNumId w:val="19"/>
  </w:num>
  <w:num w:numId="33">
    <w:abstractNumId w:val="38"/>
  </w:num>
  <w:num w:numId="34">
    <w:abstractNumId w:val="2"/>
  </w:num>
  <w:num w:numId="35">
    <w:abstractNumId w:val="4"/>
  </w:num>
  <w:num w:numId="36">
    <w:abstractNumId w:val="23"/>
  </w:num>
  <w:num w:numId="37">
    <w:abstractNumId w:val="18"/>
  </w:num>
  <w:num w:numId="38">
    <w:abstractNumId w:val="11"/>
  </w:num>
  <w:num w:numId="39">
    <w:abstractNumId w:val="7"/>
  </w:num>
  <w:num w:numId="40">
    <w:abstractNumId w:val="9"/>
  </w:num>
  <w:num w:numId="41">
    <w:abstractNumId w:val="30"/>
  </w:num>
  <w:num w:numId="42">
    <w:abstractNumId w:val="16"/>
  </w:num>
  <w:num w:numId="43">
    <w:abstractNumId w:val="39"/>
  </w:num>
  <w:num w:numId="44">
    <w:abstractNumId w:val="48"/>
  </w:num>
  <w:num w:numId="45">
    <w:abstractNumId w:val="33"/>
  </w:num>
  <w:num w:numId="46">
    <w:abstractNumId w:val="29"/>
  </w:num>
  <w:num w:numId="47">
    <w:abstractNumId w:val="28"/>
  </w:num>
  <w:num w:numId="48">
    <w:abstractNumId w:val="34"/>
  </w:num>
  <w:num w:numId="49">
    <w:abstractNumId w:val="31"/>
  </w:num>
  <w:num w:numId="50">
    <w:abstractNumId w:val="35"/>
  </w:num>
  <w:num w:numId="51">
    <w:abstractNumId w:val="27"/>
  </w:num>
  <w:num w:numId="52">
    <w:abstractNumId w:val="8"/>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98"/>
    <w:rsid w:val="00000938"/>
    <w:rsid w:val="0000164D"/>
    <w:rsid w:val="0000170F"/>
    <w:rsid w:val="00002C70"/>
    <w:rsid w:val="00004782"/>
    <w:rsid w:val="00005505"/>
    <w:rsid w:val="00005F57"/>
    <w:rsid w:val="00012CC5"/>
    <w:rsid w:val="0001341D"/>
    <w:rsid w:val="00015D46"/>
    <w:rsid w:val="0002064E"/>
    <w:rsid w:val="0003034E"/>
    <w:rsid w:val="00031093"/>
    <w:rsid w:val="00031AE6"/>
    <w:rsid w:val="0003222A"/>
    <w:rsid w:val="00034AC7"/>
    <w:rsid w:val="00035864"/>
    <w:rsid w:val="00035CD4"/>
    <w:rsid w:val="0004248A"/>
    <w:rsid w:val="000449FE"/>
    <w:rsid w:val="00047D87"/>
    <w:rsid w:val="00051B29"/>
    <w:rsid w:val="000562CD"/>
    <w:rsid w:val="000565C1"/>
    <w:rsid w:val="00056809"/>
    <w:rsid w:val="00056B16"/>
    <w:rsid w:val="00072960"/>
    <w:rsid w:val="00073DC9"/>
    <w:rsid w:val="00077C0A"/>
    <w:rsid w:val="0008397A"/>
    <w:rsid w:val="000858A0"/>
    <w:rsid w:val="000A13D6"/>
    <w:rsid w:val="000A19C6"/>
    <w:rsid w:val="000B0ED0"/>
    <w:rsid w:val="000B3CED"/>
    <w:rsid w:val="000B5C2A"/>
    <w:rsid w:val="000C3D28"/>
    <w:rsid w:val="000C4439"/>
    <w:rsid w:val="000C5A47"/>
    <w:rsid w:val="000C7488"/>
    <w:rsid w:val="000D15D3"/>
    <w:rsid w:val="000D258E"/>
    <w:rsid w:val="000D582E"/>
    <w:rsid w:val="000D5A71"/>
    <w:rsid w:val="000E394C"/>
    <w:rsid w:val="000F20A1"/>
    <w:rsid w:val="000F38D8"/>
    <w:rsid w:val="000F5D86"/>
    <w:rsid w:val="000F748A"/>
    <w:rsid w:val="001012DF"/>
    <w:rsid w:val="00104DEF"/>
    <w:rsid w:val="00105683"/>
    <w:rsid w:val="00107B6B"/>
    <w:rsid w:val="00110E36"/>
    <w:rsid w:val="00114920"/>
    <w:rsid w:val="00115655"/>
    <w:rsid w:val="001213E3"/>
    <w:rsid w:val="00125F13"/>
    <w:rsid w:val="001260A7"/>
    <w:rsid w:val="00126BCD"/>
    <w:rsid w:val="00127AC4"/>
    <w:rsid w:val="0013270C"/>
    <w:rsid w:val="00135B08"/>
    <w:rsid w:val="00136061"/>
    <w:rsid w:val="001373EA"/>
    <w:rsid w:val="00141038"/>
    <w:rsid w:val="0014245A"/>
    <w:rsid w:val="0014374D"/>
    <w:rsid w:val="00143776"/>
    <w:rsid w:val="0014515C"/>
    <w:rsid w:val="001453B7"/>
    <w:rsid w:val="001461AA"/>
    <w:rsid w:val="001500CE"/>
    <w:rsid w:val="00151562"/>
    <w:rsid w:val="00153601"/>
    <w:rsid w:val="00156224"/>
    <w:rsid w:val="001565A5"/>
    <w:rsid w:val="0015744C"/>
    <w:rsid w:val="00160482"/>
    <w:rsid w:val="001616C1"/>
    <w:rsid w:val="001645E8"/>
    <w:rsid w:val="00165B73"/>
    <w:rsid w:val="001671A0"/>
    <w:rsid w:val="00173E71"/>
    <w:rsid w:val="001743F0"/>
    <w:rsid w:val="00174D3D"/>
    <w:rsid w:val="0018088F"/>
    <w:rsid w:val="001829DB"/>
    <w:rsid w:val="0018768B"/>
    <w:rsid w:val="00190152"/>
    <w:rsid w:val="00195F4D"/>
    <w:rsid w:val="001A3B85"/>
    <w:rsid w:val="001A5F9C"/>
    <w:rsid w:val="001A6306"/>
    <w:rsid w:val="001B6B57"/>
    <w:rsid w:val="001B6C20"/>
    <w:rsid w:val="001B713A"/>
    <w:rsid w:val="001B7AAB"/>
    <w:rsid w:val="001C3590"/>
    <w:rsid w:val="001C5C83"/>
    <w:rsid w:val="001D1782"/>
    <w:rsid w:val="001D53D6"/>
    <w:rsid w:val="001E3BF6"/>
    <w:rsid w:val="001E554A"/>
    <w:rsid w:val="001E5DC3"/>
    <w:rsid w:val="001E73AA"/>
    <w:rsid w:val="001F610D"/>
    <w:rsid w:val="001F70B8"/>
    <w:rsid w:val="00210537"/>
    <w:rsid w:val="002114B2"/>
    <w:rsid w:val="0021355E"/>
    <w:rsid w:val="00214CB4"/>
    <w:rsid w:val="0022223E"/>
    <w:rsid w:val="00222FAC"/>
    <w:rsid w:val="00226217"/>
    <w:rsid w:val="002263BF"/>
    <w:rsid w:val="00231417"/>
    <w:rsid w:val="002317AF"/>
    <w:rsid w:val="00236A58"/>
    <w:rsid w:val="00237BED"/>
    <w:rsid w:val="0024020C"/>
    <w:rsid w:val="002404EC"/>
    <w:rsid w:val="002422B1"/>
    <w:rsid w:val="0024346A"/>
    <w:rsid w:val="00246252"/>
    <w:rsid w:val="002467F2"/>
    <w:rsid w:val="00251497"/>
    <w:rsid w:val="00251C15"/>
    <w:rsid w:val="00253938"/>
    <w:rsid w:val="00253C87"/>
    <w:rsid w:val="00256A79"/>
    <w:rsid w:val="00261405"/>
    <w:rsid w:val="00262A52"/>
    <w:rsid w:val="002639BD"/>
    <w:rsid w:val="00264905"/>
    <w:rsid w:val="00266089"/>
    <w:rsid w:val="00270E70"/>
    <w:rsid w:val="00272FB4"/>
    <w:rsid w:val="0027358A"/>
    <w:rsid w:val="00273622"/>
    <w:rsid w:val="002737B2"/>
    <w:rsid w:val="00274988"/>
    <w:rsid w:val="00275A98"/>
    <w:rsid w:val="00277BEF"/>
    <w:rsid w:val="00282984"/>
    <w:rsid w:val="00284344"/>
    <w:rsid w:val="00285C0C"/>
    <w:rsid w:val="00294D51"/>
    <w:rsid w:val="0029534F"/>
    <w:rsid w:val="002A0A2F"/>
    <w:rsid w:val="002A55D3"/>
    <w:rsid w:val="002A7A96"/>
    <w:rsid w:val="002B31E4"/>
    <w:rsid w:val="002B5CC8"/>
    <w:rsid w:val="002C0325"/>
    <w:rsid w:val="002C0E2D"/>
    <w:rsid w:val="002C3268"/>
    <w:rsid w:val="002C34A8"/>
    <w:rsid w:val="002C3FE5"/>
    <w:rsid w:val="002C6D52"/>
    <w:rsid w:val="002D2B3C"/>
    <w:rsid w:val="002D3BA8"/>
    <w:rsid w:val="002D5290"/>
    <w:rsid w:val="002D578F"/>
    <w:rsid w:val="002D687C"/>
    <w:rsid w:val="002D7DD3"/>
    <w:rsid w:val="002E070D"/>
    <w:rsid w:val="002E0BFB"/>
    <w:rsid w:val="002E117A"/>
    <w:rsid w:val="002E53F3"/>
    <w:rsid w:val="002E7DAE"/>
    <w:rsid w:val="002E7FBA"/>
    <w:rsid w:val="002F07BA"/>
    <w:rsid w:val="002F2589"/>
    <w:rsid w:val="002F4A09"/>
    <w:rsid w:val="002F531C"/>
    <w:rsid w:val="00306F3D"/>
    <w:rsid w:val="00311C26"/>
    <w:rsid w:val="003137F5"/>
    <w:rsid w:val="00316FCE"/>
    <w:rsid w:val="00317C9E"/>
    <w:rsid w:val="00321B48"/>
    <w:rsid w:val="00322108"/>
    <w:rsid w:val="003246CB"/>
    <w:rsid w:val="00330245"/>
    <w:rsid w:val="00332ED8"/>
    <w:rsid w:val="00335E27"/>
    <w:rsid w:val="00337648"/>
    <w:rsid w:val="0034198D"/>
    <w:rsid w:val="00343271"/>
    <w:rsid w:val="003455A0"/>
    <w:rsid w:val="003474E1"/>
    <w:rsid w:val="00347D47"/>
    <w:rsid w:val="00353956"/>
    <w:rsid w:val="00355C24"/>
    <w:rsid w:val="00357B16"/>
    <w:rsid w:val="00363BED"/>
    <w:rsid w:val="00374D0C"/>
    <w:rsid w:val="0037563F"/>
    <w:rsid w:val="00375AAC"/>
    <w:rsid w:val="00381DAC"/>
    <w:rsid w:val="003879C4"/>
    <w:rsid w:val="00392D77"/>
    <w:rsid w:val="00397ABB"/>
    <w:rsid w:val="003A0562"/>
    <w:rsid w:val="003A0675"/>
    <w:rsid w:val="003A1883"/>
    <w:rsid w:val="003A738F"/>
    <w:rsid w:val="003B55AF"/>
    <w:rsid w:val="003B7893"/>
    <w:rsid w:val="003C1716"/>
    <w:rsid w:val="003C3432"/>
    <w:rsid w:val="003C4E50"/>
    <w:rsid w:val="003C52C3"/>
    <w:rsid w:val="003C5EE2"/>
    <w:rsid w:val="003C708B"/>
    <w:rsid w:val="003D2E89"/>
    <w:rsid w:val="003D2F7D"/>
    <w:rsid w:val="003D5C5B"/>
    <w:rsid w:val="003E3738"/>
    <w:rsid w:val="003E5A8C"/>
    <w:rsid w:val="003E603F"/>
    <w:rsid w:val="003E6590"/>
    <w:rsid w:val="003F2630"/>
    <w:rsid w:val="003F2B6E"/>
    <w:rsid w:val="00401ABF"/>
    <w:rsid w:val="00401B2E"/>
    <w:rsid w:val="0041038D"/>
    <w:rsid w:val="004137C7"/>
    <w:rsid w:val="00414C4A"/>
    <w:rsid w:val="00417C28"/>
    <w:rsid w:val="004300E4"/>
    <w:rsid w:val="00433369"/>
    <w:rsid w:val="00433BF9"/>
    <w:rsid w:val="00434013"/>
    <w:rsid w:val="00434E34"/>
    <w:rsid w:val="00435D5C"/>
    <w:rsid w:val="004478AC"/>
    <w:rsid w:val="00453D71"/>
    <w:rsid w:val="004650BE"/>
    <w:rsid w:val="00470E5E"/>
    <w:rsid w:val="004757B3"/>
    <w:rsid w:val="00476772"/>
    <w:rsid w:val="004803F7"/>
    <w:rsid w:val="004813CB"/>
    <w:rsid w:val="00482630"/>
    <w:rsid w:val="004831F5"/>
    <w:rsid w:val="00485FC4"/>
    <w:rsid w:val="00487A31"/>
    <w:rsid w:val="00491E35"/>
    <w:rsid w:val="004947B7"/>
    <w:rsid w:val="004949DA"/>
    <w:rsid w:val="004961E7"/>
    <w:rsid w:val="004A3618"/>
    <w:rsid w:val="004A377E"/>
    <w:rsid w:val="004A4886"/>
    <w:rsid w:val="004A57D2"/>
    <w:rsid w:val="004B0CAC"/>
    <w:rsid w:val="004B2F0E"/>
    <w:rsid w:val="004B6573"/>
    <w:rsid w:val="004B6CFD"/>
    <w:rsid w:val="004B7838"/>
    <w:rsid w:val="004C3DB0"/>
    <w:rsid w:val="004C6E18"/>
    <w:rsid w:val="004C7C99"/>
    <w:rsid w:val="004D30B4"/>
    <w:rsid w:val="004F079C"/>
    <w:rsid w:val="004F20A9"/>
    <w:rsid w:val="004F3B07"/>
    <w:rsid w:val="004F4487"/>
    <w:rsid w:val="004F516C"/>
    <w:rsid w:val="00501F8C"/>
    <w:rsid w:val="00506510"/>
    <w:rsid w:val="005127EE"/>
    <w:rsid w:val="005150ED"/>
    <w:rsid w:val="00517EE2"/>
    <w:rsid w:val="00520C57"/>
    <w:rsid w:val="00524DA8"/>
    <w:rsid w:val="00524EE5"/>
    <w:rsid w:val="00526244"/>
    <w:rsid w:val="0054054B"/>
    <w:rsid w:val="00545C30"/>
    <w:rsid w:val="00546826"/>
    <w:rsid w:val="0055520B"/>
    <w:rsid w:val="005560A9"/>
    <w:rsid w:val="005606F7"/>
    <w:rsid w:val="00563334"/>
    <w:rsid w:val="00565203"/>
    <w:rsid w:val="005661ED"/>
    <w:rsid w:val="00566E61"/>
    <w:rsid w:val="00573B02"/>
    <w:rsid w:val="005741B0"/>
    <w:rsid w:val="005745F7"/>
    <w:rsid w:val="00574BE5"/>
    <w:rsid w:val="0057511F"/>
    <w:rsid w:val="00576DD0"/>
    <w:rsid w:val="00577687"/>
    <w:rsid w:val="00580103"/>
    <w:rsid w:val="00581FB6"/>
    <w:rsid w:val="005937E6"/>
    <w:rsid w:val="0059612B"/>
    <w:rsid w:val="0059647C"/>
    <w:rsid w:val="005978D3"/>
    <w:rsid w:val="005A42F4"/>
    <w:rsid w:val="005A4533"/>
    <w:rsid w:val="005B2637"/>
    <w:rsid w:val="005B27D3"/>
    <w:rsid w:val="005C523A"/>
    <w:rsid w:val="005C5B5E"/>
    <w:rsid w:val="005D245F"/>
    <w:rsid w:val="005D3571"/>
    <w:rsid w:val="005D3FB6"/>
    <w:rsid w:val="005D4871"/>
    <w:rsid w:val="005D7925"/>
    <w:rsid w:val="005E28E2"/>
    <w:rsid w:val="005E66B4"/>
    <w:rsid w:val="005F1C6D"/>
    <w:rsid w:val="005F2C57"/>
    <w:rsid w:val="005F671E"/>
    <w:rsid w:val="00601561"/>
    <w:rsid w:val="006033B4"/>
    <w:rsid w:val="006059CB"/>
    <w:rsid w:val="006067B0"/>
    <w:rsid w:val="00606B31"/>
    <w:rsid w:val="00607034"/>
    <w:rsid w:val="006072DB"/>
    <w:rsid w:val="0061686D"/>
    <w:rsid w:val="00621C30"/>
    <w:rsid w:val="00622923"/>
    <w:rsid w:val="006235FF"/>
    <w:rsid w:val="00624E06"/>
    <w:rsid w:val="0062538A"/>
    <w:rsid w:val="0062714E"/>
    <w:rsid w:val="00634CA1"/>
    <w:rsid w:val="006350F8"/>
    <w:rsid w:val="00641B4C"/>
    <w:rsid w:val="00652495"/>
    <w:rsid w:val="00654015"/>
    <w:rsid w:val="00656C01"/>
    <w:rsid w:val="006578C0"/>
    <w:rsid w:val="00657C11"/>
    <w:rsid w:val="00661993"/>
    <w:rsid w:val="00663979"/>
    <w:rsid w:val="00664D05"/>
    <w:rsid w:val="00667F99"/>
    <w:rsid w:val="00673E84"/>
    <w:rsid w:val="00675422"/>
    <w:rsid w:val="00677C73"/>
    <w:rsid w:val="00682825"/>
    <w:rsid w:val="006858EF"/>
    <w:rsid w:val="00693A27"/>
    <w:rsid w:val="00694381"/>
    <w:rsid w:val="00696F95"/>
    <w:rsid w:val="006A1CE1"/>
    <w:rsid w:val="006A5645"/>
    <w:rsid w:val="006A5B5D"/>
    <w:rsid w:val="006A79A4"/>
    <w:rsid w:val="006B2704"/>
    <w:rsid w:val="006B4A24"/>
    <w:rsid w:val="006B78FB"/>
    <w:rsid w:val="006C4017"/>
    <w:rsid w:val="006C62F6"/>
    <w:rsid w:val="006C6D1B"/>
    <w:rsid w:val="006C74E8"/>
    <w:rsid w:val="006C7D40"/>
    <w:rsid w:val="006D3B49"/>
    <w:rsid w:val="006D461B"/>
    <w:rsid w:val="006D583D"/>
    <w:rsid w:val="006E3D28"/>
    <w:rsid w:val="006E6854"/>
    <w:rsid w:val="006F1441"/>
    <w:rsid w:val="00700F34"/>
    <w:rsid w:val="007010CC"/>
    <w:rsid w:val="007011A9"/>
    <w:rsid w:val="00714A9B"/>
    <w:rsid w:val="00724376"/>
    <w:rsid w:val="00724FE7"/>
    <w:rsid w:val="00726F4A"/>
    <w:rsid w:val="0073362C"/>
    <w:rsid w:val="00735D2A"/>
    <w:rsid w:val="007435C2"/>
    <w:rsid w:val="00744E64"/>
    <w:rsid w:val="007516C5"/>
    <w:rsid w:val="0075444F"/>
    <w:rsid w:val="00760548"/>
    <w:rsid w:val="0076179F"/>
    <w:rsid w:val="0077116B"/>
    <w:rsid w:val="007819E6"/>
    <w:rsid w:val="00785B46"/>
    <w:rsid w:val="00791AC0"/>
    <w:rsid w:val="00796276"/>
    <w:rsid w:val="00797CF7"/>
    <w:rsid w:val="007A06F7"/>
    <w:rsid w:val="007A2552"/>
    <w:rsid w:val="007A4998"/>
    <w:rsid w:val="007A71FA"/>
    <w:rsid w:val="007B152A"/>
    <w:rsid w:val="007B1E0C"/>
    <w:rsid w:val="007B2031"/>
    <w:rsid w:val="007B2BA8"/>
    <w:rsid w:val="007B7C38"/>
    <w:rsid w:val="007C10C2"/>
    <w:rsid w:val="007C6415"/>
    <w:rsid w:val="007C74D2"/>
    <w:rsid w:val="007D3366"/>
    <w:rsid w:val="007D3C62"/>
    <w:rsid w:val="007D6720"/>
    <w:rsid w:val="007D71CB"/>
    <w:rsid w:val="007E0483"/>
    <w:rsid w:val="007E2F26"/>
    <w:rsid w:val="007F2670"/>
    <w:rsid w:val="007F6A57"/>
    <w:rsid w:val="008013C9"/>
    <w:rsid w:val="00806349"/>
    <w:rsid w:val="00806739"/>
    <w:rsid w:val="00822B5F"/>
    <w:rsid w:val="008230D1"/>
    <w:rsid w:val="00823BA2"/>
    <w:rsid w:val="00826A2D"/>
    <w:rsid w:val="008274C5"/>
    <w:rsid w:val="00831318"/>
    <w:rsid w:val="008357ED"/>
    <w:rsid w:val="00837D65"/>
    <w:rsid w:val="00837EBC"/>
    <w:rsid w:val="00841D5C"/>
    <w:rsid w:val="0084593F"/>
    <w:rsid w:val="00845BAD"/>
    <w:rsid w:val="00846758"/>
    <w:rsid w:val="00850838"/>
    <w:rsid w:val="00851062"/>
    <w:rsid w:val="0086077C"/>
    <w:rsid w:val="0086168B"/>
    <w:rsid w:val="00863A63"/>
    <w:rsid w:val="0086455E"/>
    <w:rsid w:val="008710B0"/>
    <w:rsid w:val="00873FCA"/>
    <w:rsid w:val="00874132"/>
    <w:rsid w:val="00883216"/>
    <w:rsid w:val="00886F15"/>
    <w:rsid w:val="00887315"/>
    <w:rsid w:val="00887806"/>
    <w:rsid w:val="00890350"/>
    <w:rsid w:val="008937B5"/>
    <w:rsid w:val="008973AE"/>
    <w:rsid w:val="008A3D49"/>
    <w:rsid w:val="008C68C6"/>
    <w:rsid w:val="008C7515"/>
    <w:rsid w:val="008C7B10"/>
    <w:rsid w:val="008D4516"/>
    <w:rsid w:val="008D6E5A"/>
    <w:rsid w:val="008E3CEE"/>
    <w:rsid w:val="008E506C"/>
    <w:rsid w:val="008E5097"/>
    <w:rsid w:val="008E5B2E"/>
    <w:rsid w:val="008E6559"/>
    <w:rsid w:val="008E70C3"/>
    <w:rsid w:val="008F3A79"/>
    <w:rsid w:val="008F419E"/>
    <w:rsid w:val="008F5C65"/>
    <w:rsid w:val="008F6489"/>
    <w:rsid w:val="00903D27"/>
    <w:rsid w:val="00904C65"/>
    <w:rsid w:val="00910923"/>
    <w:rsid w:val="009112D4"/>
    <w:rsid w:val="009159C3"/>
    <w:rsid w:val="00920F6E"/>
    <w:rsid w:val="00921EC8"/>
    <w:rsid w:val="00922AD0"/>
    <w:rsid w:val="00922FCB"/>
    <w:rsid w:val="0092343E"/>
    <w:rsid w:val="00923C31"/>
    <w:rsid w:val="00926DD4"/>
    <w:rsid w:val="009527F7"/>
    <w:rsid w:val="0095431F"/>
    <w:rsid w:val="009602F0"/>
    <w:rsid w:val="00973B3C"/>
    <w:rsid w:val="00973D09"/>
    <w:rsid w:val="009759DA"/>
    <w:rsid w:val="00975F1F"/>
    <w:rsid w:val="00976187"/>
    <w:rsid w:val="00976600"/>
    <w:rsid w:val="00976FD1"/>
    <w:rsid w:val="0098077C"/>
    <w:rsid w:val="009811AB"/>
    <w:rsid w:val="00981E82"/>
    <w:rsid w:val="0098305D"/>
    <w:rsid w:val="00983F26"/>
    <w:rsid w:val="009848A4"/>
    <w:rsid w:val="00986A45"/>
    <w:rsid w:val="00986A88"/>
    <w:rsid w:val="0098768F"/>
    <w:rsid w:val="00990208"/>
    <w:rsid w:val="00994F00"/>
    <w:rsid w:val="00995772"/>
    <w:rsid w:val="009A599E"/>
    <w:rsid w:val="009A6748"/>
    <w:rsid w:val="009B0289"/>
    <w:rsid w:val="009B2503"/>
    <w:rsid w:val="009B478A"/>
    <w:rsid w:val="009B4E8E"/>
    <w:rsid w:val="009B68FC"/>
    <w:rsid w:val="009C008E"/>
    <w:rsid w:val="009C5813"/>
    <w:rsid w:val="009C670F"/>
    <w:rsid w:val="009D24F8"/>
    <w:rsid w:val="009E1C4F"/>
    <w:rsid w:val="009E3074"/>
    <w:rsid w:val="009E4459"/>
    <w:rsid w:val="009E499B"/>
    <w:rsid w:val="009E6A65"/>
    <w:rsid w:val="009F1B01"/>
    <w:rsid w:val="009F2BC7"/>
    <w:rsid w:val="009F4B30"/>
    <w:rsid w:val="009F4BEF"/>
    <w:rsid w:val="009F4FA0"/>
    <w:rsid w:val="009F5429"/>
    <w:rsid w:val="00A03819"/>
    <w:rsid w:val="00A046F4"/>
    <w:rsid w:val="00A04E53"/>
    <w:rsid w:val="00A10C8C"/>
    <w:rsid w:val="00A12494"/>
    <w:rsid w:val="00A13232"/>
    <w:rsid w:val="00A161A4"/>
    <w:rsid w:val="00A22F66"/>
    <w:rsid w:val="00A247A7"/>
    <w:rsid w:val="00A247C8"/>
    <w:rsid w:val="00A46649"/>
    <w:rsid w:val="00A47434"/>
    <w:rsid w:val="00A509C7"/>
    <w:rsid w:val="00A5397A"/>
    <w:rsid w:val="00A54345"/>
    <w:rsid w:val="00A55A6A"/>
    <w:rsid w:val="00A62719"/>
    <w:rsid w:val="00A63212"/>
    <w:rsid w:val="00A654C7"/>
    <w:rsid w:val="00A65768"/>
    <w:rsid w:val="00A67F52"/>
    <w:rsid w:val="00A71083"/>
    <w:rsid w:val="00A73737"/>
    <w:rsid w:val="00A74C3F"/>
    <w:rsid w:val="00A75DA9"/>
    <w:rsid w:val="00A77A08"/>
    <w:rsid w:val="00A77A40"/>
    <w:rsid w:val="00A87A12"/>
    <w:rsid w:val="00A91113"/>
    <w:rsid w:val="00A91630"/>
    <w:rsid w:val="00A94E4B"/>
    <w:rsid w:val="00AA497D"/>
    <w:rsid w:val="00AA6506"/>
    <w:rsid w:val="00AA7B02"/>
    <w:rsid w:val="00AB242C"/>
    <w:rsid w:val="00AB35A6"/>
    <w:rsid w:val="00AB4100"/>
    <w:rsid w:val="00AC4D1B"/>
    <w:rsid w:val="00AD5071"/>
    <w:rsid w:val="00AD5E4A"/>
    <w:rsid w:val="00AD685E"/>
    <w:rsid w:val="00AE2198"/>
    <w:rsid w:val="00AE4037"/>
    <w:rsid w:val="00AE4750"/>
    <w:rsid w:val="00AE6BDA"/>
    <w:rsid w:val="00AE77A5"/>
    <w:rsid w:val="00AF503B"/>
    <w:rsid w:val="00AF5414"/>
    <w:rsid w:val="00B00A99"/>
    <w:rsid w:val="00B00C56"/>
    <w:rsid w:val="00B01064"/>
    <w:rsid w:val="00B040BE"/>
    <w:rsid w:val="00B10276"/>
    <w:rsid w:val="00B13622"/>
    <w:rsid w:val="00B148A4"/>
    <w:rsid w:val="00B15728"/>
    <w:rsid w:val="00B22076"/>
    <w:rsid w:val="00B24868"/>
    <w:rsid w:val="00B24FFE"/>
    <w:rsid w:val="00B2767D"/>
    <w:rsid w:val="00B34618"/>
    <w:rsid w:val="00B34E2F"/>
    <w:rsid w:val="00B36BCB"/>
    <w:rsid w:val="00B407D5"/>
    <w:rsid w:val="00B4421A"/>
    <w:rsid w:val="00B45161"/>
    <w:rsid w:val="00B46900"/>
    <w:rsid w:val="00B471CD"/>
    <w:rsid w:val="00B528EB"/>
    <w:rsid w:val="00B567A3"/>
    <w:rsid w:val="00B60D75"/>
    <w:rsid w:val="00B61177"/>
    <w:rsid w:val="00B63C56"/>
    <w:rsid w:val="00B67879"/>
    <w:rsid w:val="00B707D3"/>
    <w:rsid w:val="00B8114B"/>
    <w:rsid w:val="00B81E7F"/>
    <w:rsid w:val="00B82D7F"/>
    <w:rsid w:val="00B845F0"/>
    <w:rsid w:val="00B86683"/>
    <w:rsid w:val="00B86D38"/>
    <w:rsid w:val="00B90102"/>
    <w:rsid w:val="00B91A48"/>
    <w:rsid w:val="00B9300B"/>
    <w:rsid w:val="00B95A5B"/>
    <w:rsid w:val="00BA17CC"/>
    <w:rsid w:val="00BA1FD8"/>
    <w:rsid w:val="00BA4F7F"/>
    <w:rsid w:val="00BA5D03"/>
    <w:rsid w:val="00BB1706"/>
    <w:rsid w:val="00BB393D"/>
    <w:rsid w:val="00BB3C14"/>
    <w:rsid w:val="00BB59BD"/>
    <w:rsid w:val="00BB78B9"/>
    <w:rsid w:val="00BD2BBC"/>
    <w:rsid w:val="00BD375A"/>
    <w:rsid w:val="00BD47BB"/>
    <w:rsid w:val="00BE0908"/>
    <w:rsid w:val="00BE1021"/>
    <w:rsid w:val="00BE66CD"/>
    <w:rsid w:val="00BE6EA0"/>
    <w:rsid w:val="00BE7D74"/>
    <w:rsid w:val="00BF28C9"/>
    <w:rsid w:val="00BF5823"/>
    <w:rsid w:val="00BF6707"/>
    <w:rsid w:val="00C016A9"/>
    <w:rsid w:val="00C04CCF"/>
    <w:rsid w:val="00C04CDE"/>
    <w:rsid w:val="00C05D41"/>
    <w:rsid w:val="00C07D6C"/>
    <w:rsid w:val="00C12F0F"/>
    <w:rsid w:val="00C2554B"/>
    <w:rsid w:val="00C26D30"/>
    <w:rsid w:val="00C303F2"/>
    <w:rsid w:val="00C31D3D"/>
    <w:rsid w:val="00C323D1"/>
    <w:rsid w:val="00C33B95"/>
    <w:rsid w:val="00C4129A"/>
    <w:rsid w:val="00C654B8"/>
    <w:rsid w:val="00C679C0"/>
    <w:rsid w:val="00C703CF"/>
    <w:rsid w:val="00C76D6B"/>
    <w:rsid w:val="00C76E2C"/>
    <w:rsid w:val="00C776E5"/>
    <w:rsid w:val="00C807F7"/>
    <w:rsid w:val="00C81DD2"/>
    <w:rsid w:val="00C835A1"/>
    <w:rsid w:val="00C84C1F"/>
    <w:rsid w:val="00C859AB"/>
    <w:rsid w:val="00C8682F"/>
    <w:rsid w:val="00C86EC0"/>
    <w:rsid w:val="00C86F25"/>
    <w:rsid w:val="00C87DEC"/>
    <w:rsid w:val="00C913CD"/>
    <w:rsid w:val="00CA022A"/>
    <w:rsid w:val="00CA1CBD"/>
    <w:rsid w:val="00CA319B"/>
    <w:rsid w:val="00CA3B3E"/>
    <w:rsid w:val="00CA70FE"/>
    <w:rsid w:val="00CB1479"/>
    <w:rsid w:val="00CB7368"/>
    <w:rsid w:val="00CB7E41"/>
    <w:rsid w:val="00CC053E"/>
    <w:rsid w:val="00CC1B0B"/>
    <w:rsid w:val="00CC3093"/>
    <w:rsid w:val="00CD0B5E"/>
    <w:rsid w:val="00CD3614"/>
    <w:rsid w:val="00CD3A9B"/>
    <w:rsid w:val="00CD559C"/>
    <w:rsid w:val="00CD5AB2"/>
    <w:rsid w:val="00CF5D42"/>
    <w:rsid w:val="00CF5F79"/>
    <w:rsid w:val="00CF69AB"/>
    <w:rsid w:val="00D00484"/>
    <w:rsid w:val="00D00BDE"/>
    <w:rsid w:val="00D040A0"/>
    <w:rsid w:val="00D0564E"/>
    <w:rsid w:val="00D06D5E"/>
    <w:rsid w:val="00D104DF"/>
    <w:rsid w:val="00D13EAD"/>
    <w:rsid w:val="00D2081F"/>
    <w:rsid w:val="00D225CD"/>
    <w:rsid w:val="00D24F5E"/>
    <w:rsid w:val="00D2672E"/>
    <w:rsid w:val="00D27851"/>
    <w:rsid w:val="00D329E1"/>
    <w:rsid w:val="00D359FE"/>
    <w:rsid w:val="00D4057B"/>
    <w:rsid w:val="00D4065D"/>
    <w:rsid w:val="00D440AF"/>
    <w:rsid w:val="00D44A0F"/>
    <w:rsid w:val="00D465B4"/>
    <w:rsid w:val="00D50FDA"/>
    <w:rsid w:val="00D51E74"/>
    <w:rsid w:val="00D602CB"/>
    <w:rsid w:val="00D61D48"/>
    <w:rsid w:val="00D6385C"/>
    <w:rsid w:val="00D67539"/>
    <w:rsid w:val="00D711B1"/>
    <w:rsid w:val="00D74C47"/>
    <w:rsid w:val="00D750D1"/>
    <w:rsid w:val="00D76D0F"/>
    <w:rsid w:val="00D828CF"/>
    <w:rsid w:val="00D84260"/>
    <w:rsid w:val="00D85CC4"/>
    <w:rsid w:val="00D92440"/>
    <w:rsid w:val="00D94940"/>
    <w:rsid w:val="00D94C5C"/>
    <w:rsid w:val="00D9582D"/>
    <w:rsid w:val="00D967B5"/>
    <w:rsid w:val="00DA325F"/>
    <w:rsid w:val="00DB0246"/>
    <w:rsid w:val="00DB0F35"/>
    <w:rsid w:val="00DB238D"/>
    <w:rsid w:val="00DB24D0"/>
    <w:rsid w:val="00DC215A"/>
    <w:rsid w:val="00DC2285"/>
    <w:rsid w:val="00DC4268"/>
    <w:rsid w:val="00DC64F3"/>
    <w:rsid w:val="00DD068A"/>
    <w:rsid w:val="00DE0794"/>
    <w:rsid w:val="00DE2A95"/>
    <w:rsid w:val="00DE5260"/>
    <w:rsid w:val="00DE7467"/>
    <w:rsid w:val="00DF2B27"/>
    <w:rsid w:val="00DF4C3E"/>
    <w:rsid w:val="00DF4FA2"/>
    <w:rsid w:val="00DF5863"/>
    <w:rsid w:val="00DF68BE"/>
    <w:rsid w:val="00E012B8"/>
    <w:rsid w:val="00E0148A"/>
    <w:rsid w:val="00E03C7E"/>
    <w:rsid w:val="00E05D07"/>
    <w:rsid w:val="00E0655B"/>
    <w:rsid w:val="00E15E8F"/>
    <w:rsid w:val="00E1673C"/>
    <w:rsid w:val="00E17137"/>
    <w:rsid w:val="00E20791"/>
    <w:rsid w:val="00E245B2"/>
    <w:rsid w:val="00E32A2C"/>
    <w:rsid w:val="00E33133"/>
    <w:rsid w:val="00E34FA6"/>
    <w:rsid w:val="00E3611A"/>
    <w:rsid w:val="00E415A4"/>
    <w:rsid w:val="00E41D73"/>
    <w:rsid w:val="00E42039"/>
    <w:rsid w:val="00E43681"/>
    <w:rsid w:val="00E47A6F"/>
    <w:rsid w:val="00E51442"/>
    <w:rsid w:val="00E575D3"/>
    <w:rsid w:val="00E62003"/>
    <w:rsid w:val="00E64936"/>
    <w:rsid w:val="00E66A11"/>
    <w:rsid w:val="00E679E8"/>
    <w:rsid w:val="00E8026F"/>
    <w:rsid w:val="00E80619"/>
    <w:rsid w:val="00E859B6"/>
    <w:rsid w:val="00E860E9"/>
    <w:rsid w:val="00E8645F"/>
    <w:rsid w:val="00E9026B"/>
    <w:rsid w:val="00E924C7"/>
    <w:rsid w:val="00E92D1E"/>
    <w:rsid w:val="00E9345E"/>
    <w:rsid w:val="00E96D49"/>
    <w:rsid w:val="00EA2754"/>
    <w:rsid w:val="00EB0269"/>
    <w:rsid w:val="00EB13FC"/>
    <w:rsid w:val="00EB738F"/>
    <w:rsid w:val="00EC0B7C"/>
    <w:rsid w:val="00EC0E30"/>
    <w:rsid w:val="00EC178C"/>
    <w:rsid w:val="00EC4D04"/>
    <w:rsid w:val="00EC6EC4"/>
    <w:rsid w:val="00ED021B"/>
    <w:rsid w:val="00ED1E42"/>
    <w:rsid w:val="00ED5B37"/>
    <w:rsid w:val="00ED6063"/>
    <w:rsid w:val="00EE3392"/>
    <w:rsid w:val="00EE3A08"/>
    <w:rsid w:val="00EE548E"/>
    <w:rsid w:val="00EE565E"/>
    <w:rsid w:val="00EE5792"/>
    <w:rsid w:val="00EE65D5"/>
    <w:rsid w:val="00EE7202"/>
    <w:rsid w:val="00EF03A5"/>
    <w:rsid w:val="00EF100D"/>
    <w:rsid w:val="00EF1A31"/>
    <w:rsid w:val="00EF22C8"/>
    <w:rsid w:val="00EF41E1"/>
    <w:rsid w:val="00EF5A88"/>
    <w:rsid w:val="00EF6EED"/>
    <w:rsid w:val="00EF716E"/>
    <w:rsid w:val="00F0401D"/>
    <w:rsid w:val="00F07430"/>
    <w:rsid w:val="00F07B5C"/>
    <w:rsid w:val="00F12651"/>
    <w:rsid w:val="00F143EC"/>
    <w:rsid w:val="00F160D3"/>
    <w:rsid w:val="00F21B5F"/>
    <w:rsid w:val="00F24717"/>
    <w:rsid w:val="00F24D16"/>
    <w:rsid w:val="00F27023"/>
    <w:rsid w:val="00F3065E"/>
    <w:rsid w:val="00F34D24"/>
    <w:rsid w:val="00F35644"/>
    <w:rsid w:val="00F365C8"/>
    <w:rsid w:val="00F42F0D"/>
    <w:rsid w:val="00F50069"/>
    <w:rsid w:val="00F50A76"/>
    <w:rsid w:val="00F5238A"/>
    <w:rsid w:val="00F53A6E"/>
    <w:rsid w:val="00F611C4"/>
    <w:rsid w:val="00F6286B"/>
    <w:rsid w:val="00F64535"/>
    <w:rsid w:val="00F64EEA"/>
    <w:rsid w:val="00F652D2"/>
    <w:rsid w:val="00F653D1"/>
    <w:rsid w:val="00F70F34"/>
    <w:rsid w:val="00F74345"/>
    <w:rsid w:val="00F80518"/>
    <w:rsid w:val="00F817DD"/>
    <w:rsid w:val="00F82061"/>
    <w:rsid w:val="00F82200"/>
    <w:rsid w:val="00F835ED"/>
    <w:rsid w:val="00F83DA6"/>
    <w:rsid w:val="00F87993"/>
    <w:rsid w:val="00F87FC7"/>
    <w:rsid w:val="00F91710"/>
    <w:rsid w:val="00F966AD"/>
    <w:rsid w:val="00F97072"/>
    <w:rsid w:val="00FA1A36"/>
    <w:rsid w:val="00FB0271"/>
    <w:rsid w:val="00FB07C4"/>
    <w:rsid w:val="00FB2708"/>
    <w:rsid w:val="00FB3CD7"/>
    <w:rsid w:val="00FB7AF3"/>
    <w:rsid w:val="00FC1456"/>
    <w:rsid w:val="00FC2608"/>
    <w:rsid w:val="00FC2B4A"/>
    <w:rsid w:val="00FC3494"/>
    <w:rsid w:val="00FC74A2"/>
    <w:rsid w:val="00FD5CE7"/>
    <w:rsid w:val="00FE7930"/>
    <w:rsid w:val="00FF1CBB"/>
    <w:rsid w:val="00FF2948"/>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unhideWhenUsed/>
    <w:qFormat/>
    <w:rsid w:val="00AE2198"/>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rsid w:val="00AE2198"/>
    <w:rPr>
      <w:sz w:val="20"/>
      <w:szCs w:val="20"/>
      <w:lang w:val="es-MX"/>
    </w:rPr>
  </w:style>
  <w:style w:type="paragraph" w:styleId="Header">
    <w:name w:val="header"/>
    <w:basedOn w:val="Normal"/>
    <w:link w:val="HeaderChar"/>
    <w:uiPriority w:val="99"/>
    <w:unhideWhenUsed/>
    <w:rsid w:val="00AE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98"/>
    <w:rPr>
      <w:lang w:val="es-MX"/>
    </w:rPr>
  </w:style>
  <w:style w:type="paragraph" w:styleId="Footer">
    <w:name w:val="footer"/>
    <w:basedOn w:val="Normal"/>
    <w:link w:val="FooterChar"/>
    <w:uiPriority w:val="99"/>
    <w:unhideWhenUsed/>
    <w:rsid w:val="00AE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98"/>
    <w:rPr>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AE2198"/>
    <w:rPr>
      <w:rFonts w:ascii="Verdana" w:hAnsi="Verdana" w:cs="Verdana"/>
      <w:sz w:val="16"/>
      <w:szCs w:val="16"/>
      <w:vertAlign w:val="superscript"/>
    </w:rPr>
  </w:style>
  <w:style w:type="character" w:styleId="Strong">
    <w:name w:val="Strong"/>
    <w:uiPriority w:val="22"/>
    <w:qFormat/>
    <w:rsid w:val="00AE2198"/>
    <w:rPr>
      <w:b/>
      <w:bCs/>
    </w:rPr>
  </w:style>
  <w:style w:type="character" w:styleId="Hyperlink">
    <w:name w:val="Hyperlink"/>
    <w:uiPriority w:val="99"/>
    <w:unhideWhenUsed/>
    <w:rsid w:val="007B1E0C"/>
    <w:rPr>
      <w:color w:val="0000FF"/>
      <w:u w:val="single"/>
    </w:rPr>
  </w:style>
  <w:style w:type="character" w:styleId="FollowedHyperlink">
    <w:name w:val="FollowedHyperlink"/>
    <w:basedOn w:val="DefaultParagraphFont"/>
    <w:uiPriority w:val="99"/>
    <w:semiHidden/>
    <w:unhideWhenUsed/>
    <w:rsid w:val="00031093"/>
    <w:rPr>
      <w:color w:val="800080" w:themeColor="followedHyperlink"/>
      <w:u w:val="single"/>
    </w:rPr>
  </w:style>
  <w:style w:type="paragraph" w:styleId="ListParagraph">
    <w:name w:val="List Paragraph"/>
    <w:aliases w:val="Footnote,List Paragraph2,List Paragraph1,Lista vistosa - Énfasis 11"/>
    <w:basedOn w:val="Normal"/>
    <w:link w:val="ListParagraphChar"/>
    <w:uiPriority w:val="99"/>
    <w:qFormat/>
    <w:rsid w:val="00D967B5"/>
    <w:pPr>
      <w:spacing w:after="120" w:line="240" w:lineRule="auto"/>
      <w:ind w:left="720"/>
      <w:contextualSpacing/>
      <w:jc w:val="both"/>
    </w:pPr>
    <w:rPr>
      <w:rFonts w:ascii="Verdana" w:eastAsia="Calibri" w:hAnsi="Verdana" w:cs="Times"/>
      <w:sz w:val="20"/>
      <w:szCs w:val="24"/>
      <w:lang w:val="es-ES_tradnl" w:eastAsia="es-ES"/>
    </w:rPr>
  </w:style>
  <w:style w:type="character" w:customStyle="1" w:styleId="ListParagraphChar">
    <w:name w:val="List Paragraph Char"/>
    <w:aliases w:val="Footnote Char,List Paragraph2 Char,List Paragraph1 Char,Lista vistosa - Énfasis 11 Char"/>
    <w:link w:val="ListParagraph"/>
    <w:uiPriority w:val="99"/>
    <w:locked/>
    <w:rsid w:val="00C913CD"/>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3C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32"/>
    <w:rPr>
      <w:rFonts w:ascii="Tahoma" w:hAnsi="Tahoma" w:cs="Tahoma"/>
      <w:sz w:val="16"/>
      <w:szCs w:val="16"/>
      <w:lang w:val="es-MX"/>
    </w:rPr>
  </w:style>
  <w:style w:type="character" w:styleId="CommentReference">
    <w:name w:val="annotation reference"/>
    <w:basedOn w:val="DefaultParagraphFont"/>
    <w:uiPriority w:val="99"/>
    <w:semiHidden/>
    <w:unhideWhenUsed/>
    <w:rsid w:val="003C3432"/>
    <w:rPr>
      <w:sz w:val="16"/>
      <w:szCs w:val="16"/>
    </w:rPr>
  </w:style>
  <w:style w:type="paragraph" w:styleId="CommentText">
    <w:name w:val="annotation text"/>
    <w:basedOn w:val="Normal"/>
    <w:link w:val="CommentTextChar"/>
    <w:uiPriority w:val="99"/>
    <w:semiHidden/>
    <w:unhideWhenUsed/>
    <w:rsid w:val="003C3432"/>
    <w:pPr>
      <w:spacing w:line="240" w:lineRule="auto"/>
    </w:pPr>
    <w:rPr>
      <w:sz w:val="20"/>
      <w:szCs w:val="20"/>
    </w:rPr>
  </w:style>
  <w:style w:type="character" w:customStyle="1" w:styleId="CommentTextChar">
    <w:name w:val="Comment Text Char"/>
    <w:basedOn w:val="DefaultParagraphFont"/>
    <w:link w:val="CommentText"/>
    <w:uiPriority w:val="99"/>
    <w:semiHidden/>
    <w:rsid w:val="003C3432"/>
    <w:rPr>
      <w:sz w:val="20"/>
      <w:szCs w:val="20"/>
      <w:lang w:val="es-MX"/>
    </w:rPr>
  </w:style>
  <w:style w:type="paragraph" w:styleId="CommentSubject">
    <w:name w:val="annotation subject"/>
    <w:basedOn w:val="CommentText"/>
    <w:next w:val="CommentText"/>
    <w:link w:val="CommentSubjectChar"/>
    <w:uiPriority w:val="99"/>
    <w:semiHidden/>
    <w:unhideWhenUsed/>
    <w:rsid w:val="003C3432"/>
    <w:rPr>
      <w:b/>
      <w:bCs/>
    </w:rPr>
  </w:style>
  <w:style w:type="character" w:customStyle="1" w:styleId="CommentSubjectChar">
    <w:name w:val="Comment Subject Char"/>
    <w:basedOn w:val="CommentTextChar"/>
    <w:link w:val="CommentSubject"/>
    <w:uiPriority w:val="99"/>
    <w:semiHidden/>
    <w:rsid w:val="003C3432"/>
    <w:rPr>
      <w:b/>
      <w:bCs/>
      <w:sz w:val="20"/>
      <w:szCs w:val="20"/>
      <w:lang w:val="es-MX"/>
    </w:rPr>
  </w:style>
  <w:style w:type="paragraph" w:styleId="Revision">
    <w:name w:val="Revision"/>
    <w:hidden/>
    <w:uiPriority w:val="99"/>
    <w:semiHidden/>
    <w:rsid w:val="00FD5CE7"/>
    <w:pPr>
      <w:spacing w:after="0" w:line="240" w:lineRule="auto"/>
    </w:pPr>
    <w:rPr>
      <w:lang w:val="es-MX"/>
    </w:rPr>
  </w:style>
  <w:style w:type="table" w:styleId="TableGrid">
    <w:name w:val="Table Grid"/>
    <w:basedOn w:val="TableNormal"/>
    <w:uiPriority w:val="59"/>
    <w:rsid w:val="00E6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31C"/>
    <w:rPr>
      <w:color w:val="808080"/>
    </w:rPr>
  </w:style>
  <w:style w:type="paragraph" w:styleId="BodyText2">
    <w:name w:val="Body Text 2"/>
    <w:basedOn w:val="Normal"/>
    <w:link w:val="BodyText2Char"/>
    <w:uiPriority w:val="99"/>
    <w:semiHidden/>
    <w:unhideWhenUsed/>
    <w:rsid w:val="008710B0"/>
    <w:pPr>
      <w:spacing w:after="120" w:line="480" w:lineRule="auto"/>
    </w:pPr>
  </w:style>
  <w:style w:type="character" w:customStyle="1" w:styleId="BodyText2Char">
    <w:name w:val="Body Text 2 Char"/>
    <w:basedOn w:val="DefaultParagraphFont"/>
    <w:link w:val="BodyText2"/>
    <w:uiPriority w:val="99"/>
    <w:semiHidden/>
    <w:rsid w:val="008710B0"/>
    <w:rPr>
      <w:lang w:val="es-MX"/>
    </w:rPr>
  </w:style>
  <w:style w:type="character" w:styleId="SubtleEmphasis">
    <w:name w:val="Subtle Emphasis"/>
    <w:uiPriority w:val="19"/>
    <w:qFormat/>
    <w:rsid w:val="00ED021B"/>
    <w:rPr>
      <w:rFonts w:ascii="Verdana" w:hAnsi="Verdana"/>
      <w:i/>
      <w:iCs/>
      <w:color w:val="808080"/>
      <w:sz w:val="20"/>
      <w:u w:val="single"/>
    </w:rPr>
  </w:style>
  <w:style w:type="paragraph" w:styleId="BodyText3">
    <w:name w:val="Body Text 3"/>
    <w:basedOn w:val="Normal"/>
    <w:link w:val="BodyText3Char"/>
    <w:uiPriority w:val="99"/>
    <w:rsid w:val="00B148A4"/>
    <w:pPr>
      <w:spacing w:after="120" w:line="240" w:lineRule="auto"/>
    </w:pPr>
    <w:rPr>
      <w:rFonts w:ascii="Times" w:eastAsia="Times New Roman" w:hAnsi="Times" w:cs="Times New Roman"/>
      <w:sz w:val="16"/>
      <w:szCs w:val="16"/>
      <w:lang w:val="es-ES_tradnl"/>
    </w:rPr>
  </w:style>
  <w:style w:type="character" w:customStyle="1" w:styleId="BodyText3Char">
    <w:name w:val="Body Text 3 Char"/>
    <w:basedOn w:val="DefaultParagraphFont"/>
    <w:link w:val="BodyText3"/>
    <w:uiPriority w:val="99"/>
    <w:rsid w:val="00B148A4"/>
    <w:rPr>
      <w:rFonts w:ascii="Times" w:eastAsia="Times New Roman" w:hAnsi="Times" w:cs="Times New Roman"/>
      <w:sz w:val="16"/>
      <w:szCs w:val="16"/>
      <w:lang w:val="es-ES_tradnl"/>
    </w:rPr>
  </w:style>
  <w:style w:type="paragraph" w:styleId="EndnoteText">
    <w:name w:val="endnote text"/>
    <w:basedOn w:val="Normal"/>
    <w:link w:val="EndnoteTextChar"/>
    <w:uiPriority w:val="99"/>
    <w:semiHidden/>
    <w:unhideWhenUsed/>
    <w:rsid w:val="00F82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200"/>
    <w:rPr>
      <w:sz w:val="20"/>
      <w:szCs w:val="20"/>
      <w:lang w:val="es-MX"/>
    </w:rPr>
  </w:style>
  <w:style w:type="character" w:styleId="EndnoteReference">
    <w:name w:val="endnote reference"/>
    <w:basedOn w:val="DefaultParagraphFont"/>
    <w:uiPriority w:val="99"/>
    <w:semiHidden/>
    <w:unhideWhenUsed/>
    <w:rsid w:val="00F82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unhideWhenUsed/>
    <w:qFormat/>
    <w:rsid w:val="00AE2198"/>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rsid w:val="00AE2198"/>
    <w:rPr>
      <w:sz w:val="20"/>
      <w:szCs w:val="20"/>
      <w:lang w:val="es-MX"/>
    </w:rPr>
  </w:style>
  <w:style w:type="paragraph" w:styleId="Header">
    <w:name w:val="header"/>
    <w:basedOn w:val="Normal"/>
    <w:link w:val="HeaderChar"/>
    <w:uiPriority w:val="99"/>
    <w:unhideWhenUsed/>
    <w:rsid w:val="00AE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98"/>
    <w:rPr>
      <w:lang w:val="es-MX"/>
    </w:rPr>
  </w:style>
  <w:style w:type="paragraph" w:styleId="Footer">
    <w:name w:val="footer"/>
    <w:basedOn w:val="Normal"/>
    <w:link w:val="FooterChar"/>
    <w:uiPriority w:val="99"/>
    <w:unhideWhenUsed/>
    <w:rsid w:val="00AE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98"/>
    <w:rPr>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AE2198"/>
    <w:rPr>
      <w:rFonts w:ascii="Verdana" w:hAnsi="Verdana" w:cs="Verdana"/>
      <w:sz w:val="16"/>
      <w:szCs w:val="16"/>
      <w:vertAlign w:val="superscript"/>
    </w:rPr>
  </w:style>
  <w:style w:type="character" w:styleId="Strong">
    <w:name w:val="Strong"/>
    <w:uiPriority w:val="22"/>
    <w:qFormat/>
    <w:rsid w:val="00AE2198"/>
    <w:rPr>
      <w:b/>
      <w:bCs/>
    </w:rPr>
  </w:style>
  <w:style w:type="character" w:styleId="Hyperlink">
    <w:name w:val="Hyperlink"/>
    <w:uiPriority w:val="99"/>
    <w:unhideWhenUsed/>
    <w:rsid w:val="007B1E0C"/>
    <w:rPr>
      <w:color w:val="0000FF"/>
      <w:u w:val="single"/>
    </w:rPr>
  </w:style>
  <w:style w:type="character" w:styleId="FollowedHyperlink">
    <w:name w:val="FollowedHyperlink"/>
    <w:basedOn w:val="DefaultParagraphFont"/>
    <w:uiPriority w:val="99"/>
    <w:semiHidden/>
    <w:unhideWhenUsed/>
    <w:rsid w:val="00031093"/>
    <w:rPr>
      <w:color w:val="800080" w:themeColor="followedHyperlink"/>
      <w:u w:val="single"/>
    </w:rPr>
  </w:style>
  <w:style w:type="paragraph" w:styleId="ListParagraph">
    <w:name w:val="List Paragraph"/>
    <w:aliases w:val="Footnote,List Paragraph2,List Paragraph1,Lista vistosa - Énfasis 11"/>
    <w:basedOn w:val="Normal"/>
    <w:link w:val="ListParagraphChar"/>
    <w:uiPriority w:val="99"/>
    <w:qFormat/>
    <w:rsid w:val="00D967B5"/>
    <w:pPr>
      <w:spacing w:after="120" w:line="240" w:lineRule="auto"/>
      <w:ind w:left="720"/>
      <w:contextualSpacing/>
      <w:jc w:val="both"/>
    </w:pPr>
    <w:rPr>
      <w:rFonts w:ascii="Verdana" w:eastAsia="Calibri" w:hAnsi="Verdana" w:cs="Times"/>
      <w:sz w:val="20"/>
      <w:szCs w:val="24"/>
      <w:lang w:val="es-ES_tradnl" w:eastAsia="es-ES"/>
    </w:rPr>
  </w:style>
  <w:style w:type="character" w:customStyle="1" w:styleId="ListParagraphChar">
    <w:name w:val="List Paragraph Char"/>
    <w:aliases w:val="Footnote Char,List Paragraph2 Char,List Paragraph1 Char,Lista vistosa - Énfasis 11 Char"/>
    <w:link w:val="ListParagraph"/>
    <w:uiPriority w:val="99"/>
    <w:locked/>
    <w:rsid w:val="00C913CD"/>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3C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32"/>
    <w:rPr>
      <w:rFonts w:ascii="Tahoma" w:hAnsi="Tahoma" w:cs="Tahoma"/>
      <w:sz w:val="16"/>
      <w:szCs w:val="16"/>
      <w:lang w:val="es-MX"/>
    </w:rPr>
  </w:style>
  <w:style w:type="character" w:styleId="CommentReference">
    <w:name w:val="annotation reference"/>
    <w:basedOn w:val="DefaultParagraphFont"/>
    <w:uiPriority w:val="99"/>
    <w:semiHidden/>
    <w:unhideWhenUsed/>
    <w:rsid w:val="003C3432"/>
    <w:rPr>
      <w:sz w:val="16"/>
      <w:szCs w:val="16"/>
    </w:rPr>
  </w:style>
  <w:style w:type="paragraph" w:styleId="CommentText">
    <w:name w:val="annotation text"/>
    <w:basedOn w:val="Normal"/>
    <w:link w:val="CommentTextChar"/>
    <w:uiPriority w:val="99"/>
    <w:semiHidden/>
    <w:unhideWhenUsed/>
    <w:rsid w:val="003C3432"/>
    <w:pPr>
      <w:spacing w:line="240" w:lineRule="auto"/>
    </w:pPr>
    <w:rPr>
      <w:sz w:val="20"/>
      <w:szCs w:val="20"/>
    </w:rPr>
  </w:style>
  <w:style w:type="character" w:customStyle="1" w:styleId="CommentTextChar">
    <w:name w:val="Comment Text Char"/>
    <w:basedOn w:val="DefaultParagraphFont"/>
    <w:link w:val="CommentText"/>
    <w:uiPriority w:val="99"/>
    <w:semiHidden/>
    <w:rsid w:val="003C3432"/>
    <w:rPr>
      <w:sz w:val="20"/>
      <w:szCs w:val="20"/>
      <w:lang w:val="es-MX"/>
    </w:rPr>
  </w:style>
  <w:style w:type="paragraph" w:styleId="CommentSubject">
    <w:name w:val="annotation subject"/>
    <w:basedOn w:val="CommentText"/>
    <w:next w:val="CommentText"/>
    <w:link w:val="CommentSubjectChar"/>
    <w:uiPriority w:val="99"/>
    <w:semiHidden/>
    <w:unhideWhenUsed/>
    <w:rsid w:val="003C3432"/>
    <w:rPr>
      <w:b/>
      <w:bCs/>
    </w:rPr>
  </w:style>
  <w:style w:type="character" w:customStyle="1" w:styleId="CommentSubjectChar">
    <w:name w:val="Comment Subject Char"/>
    <w:basedOn w:val="CommentTextChar"/>
    <w:link w:val="CommentSubject"/>
    <w:uiPriority w:val="99"/>
    <w:semiHidden/>
    <w:rsid w:val="003C3432"/>
    <w:rPr>
      <w:b/>
      <w:bCs/>
      <w:sz w:val="20"/>
      <w:szCs w:val="20"/>
      <w:lang w:val="es-MX"/>
    </w:rPr>
  </w:style>
  <w:style w:type="paragraph" w:styleId="Revision">
    <w:name w:val="Revision"/>
    <w:hidden/>
    <w:uiPriority w:val="99"/>
    <w:semiHidden/>
    <w:rsid w:val="00FD5CE7"/>
    <w:pPr>
      <w:spacing w:after="0" w:line="240" w:lineRule="auto"/>
    </w:pPr>
    <w:rPr>
      <w:lang w:val="es-MX"/>
    </w:rPr>
  </w:style>
  <w:style w:type="table" w:styleId="TableGrid">
    <w:name w:val="Table Grid"/>
    <w:basedOn w:val="TableNormal"/>
    <w:uiPriority w:val="59"/>
    <w:rsid w:val="00E6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31C"/>
    <w:rPr>
      <w:color w:val="808080"/>
    </w:rPr>
  </w:style>
  <w:style w:type="paragraph" w:styleId="BodyText2">
    <w:name w:val="Body Text 2"/>
    <w:basedOn w:val="Normal"/>
    <w:link w:val="BodyText2Char"/>
    <w:uiPriority w:val="99"/>
    <w:semiHidden/>
    <w:unhideWhenUsed/>
    <w:rsid w:val="008710B0"/>
    <w:pPr>
      <w:spacing w:after="120" w:line="480" w:lineRule="auto"/>
    </w:pPr>
  </w:style>
  <w:style w:type="character" w:customStyle="1" w:styleId="BodyText2Char">
    <w:name w:val="Body Text 2 Char"/>
    <w:basedOn w:val="DefaultParagraphFont"/>
    <w:link w:val="BodyText2"/>
    <w:uiPriority w:val="99"/>
    <w:semiHidden/>
    <w:rsid w:val="008710B0"/>
    <w:rPr>
      <w:lang w:val="es-MX"/>
    </w:rPr>
  </w:style>
  <w:style w:type="character" w:styleId="SubtleEmphasis">
    <w:name w:val="Subtle Emphasis"/>
    <w:uiPriority w:val="19"/>
    <w:qFormat/>
    <w:rsid w:val="00ED021B"/>
    <w:rPr>
      <w:rFonts w:ascii="Verdana" w:hAnsi="Verdana"/>
      <w:i/>
      <w:iCs/>
      <w:color w:val="808080"/>
      <w:sz w:val="20"/>
      <w:u w:val="single"/>
    </w:rPr>
  </w:style>
  <w:style w:type="paragraph" w:styleId="BodyText3">
    <w:name w:val="Body Text 3"/>
    <w:basedOn w:val="Normal"/>
    <w:link w:val="BodyText3Char"/>
    <w:uiPriority w:val="99"/>
    <w:rsid w:val="00B148A4"/>
    <w:pPr>
      <w:spacing w:after="120" w:line="240" w:lineRule="auto"/>
    </w:pPr>
    <w:rPr>
      <w:rFonts w:ascii="Times" w:eastAsia="Times New Roman" w:hAnsi="Times" w:cs="Times New Roman"/>
      <w:sz w:val="16"/>
      <w:szCs w:val="16"/>
      <w:lang w:val="es-ES_tradnl"/>
    </w:rPr>
  </w:style>
  <w:style w:type="character" w:customStyle="1" w:styleId="BodyText3Char">
    <w:name w:val="Body Text 3 Char"/>
    <w:basedOn w:val="DefaultParagraphFont"/>
    <w:link w:val="BodyText3"/>
    <w:uiPriority w:val="99"/>
    <w:rsid w:val="00B148A4"/>
    <w:rPr>
      <w:rFonts w:ascii="Times" w:eastAsia="Times New Roman" w:hAnsi="Times" w:cs="Times New Roman"/>
      <w:sz w:val="16"/>
      <w:szCs w:val="16"/>
      <w:lang w:val="es-ES_tradnl"/>
    </w:rPr>
  </w:style>
  <w:style w:type="paragraph" w:styleId="EndnoteText">
    <w:name w:val="endnote text"/>
    <w:basedOn w:val="Normal"/>
    <w:link w:val="EndnoteTextChar"/>
    <w:uiPriority w:val="99"/>
    <w:semiHidden/>
    <w:unhideWhenUsed/>
    <w:rsid w:val="00F82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200"/>
    <w:rPr>
      <w:sz w:val="20"/>
      <w:szCs w:val="20"/>
      <w:lang w:val="es-MX"/>
    </w:rPr>
  </w:style>
  <w:style w:type="character" w:styleId="EndnoteReference">
    <w:name w:val="endnote reference"/>
    <w:basedOn w:val="DefaultParagraphFont"/>
    <w:uiPriority w:val="99"/>
    <w:semiHidden/>
    <w:unhideWhenUsed/>
    <w:rsid w:val="00F82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3301">
      <w:bodyDiv w:val="1"/>
      <w:marLeft w:val="0"/>
      <w:marRight w:val="0"/>
      <w:marTop w:val="0"/>
      <w:marBottom w:val="0"/>
      <w:divBdr>
        <w:top w:val="none" w:sz="0" w:space="0" w:color="auto"/>
        <w:left w:val="none" w:sz="0" w:space="0" w:color="auto"/>
        <w:bottom w:val="none" w:sz="0" w:space="0" w:color="auto"/>
        <w:right w:val="none" w:sz="0" w:space="0" w:color="auto"/>
      </w:divBdr>
    </w:div>
    <w:div w:id="1221012457">
      <w:bodyDiv w:val="1"/>
      <w:marLeft w:val="0"/>
      <w:marRight w:val="0"/>
      <w:marTop w:val="0"/>
      <w:marBottom w:val="0"/>
      <w:divBdr>
        <w:top w:val="none" w:sz="0" w:space="0" w:color="auto"/>
        <w:left w:val="none" w:sz="0" w:space="0" w:color="auto"/>
        <w:bottom w:val="none" w:sz="0" w:space="0" w:color="auto"/>
        <w:right w:val="none" w:sz="0" w:space="0" w:color="auto"/>
      </w:divBdr>
    </w:div>
    <w:div w:id="1361126057">
      <w:bodyDiv w:val="1"/>
      <w:marLeft w:val="0"/>
      <w:marRight w:val="0"/>
      <w:marTop w:val="0"/>
      <w:marBottom w:val="0"/>
      <w:divBdr>
        <w:top w:val="none" w:sz="0" w:space="0" w:color="auto"/>
        <w:left w:val="none" w:sz="0" w:space="0" w:color="auto"/>
        <w:bottom w:val="none" w:sz="0" w:space="0" w:color="auto"/>
        <w:right w:val="none" w:sz="0" w:space="0" w:color="auto"/>
      </w:divBdr>
    </w:div>
    <w:div w:id="20199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alvarado_23_03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D4A8-B74C-4780-96F8-B0A29E3E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C44495-3AE3-4137-9065-B70CD46EC844}">
  <ds:schemaRefs>
    <ds:schemaRef ds:uri="http://schemas.microsoft.com/sharepoint/v3/contenttype/forms"/>
  </ds:schemaRefs>
</ds:datastoreItem>
</file>

<file path=customXml/itemProps3.xml><?xml version="1.0" encoding="utf-8"?>
<ds:datastoreItem xmlns:ds="http://schemas.openxmlformats.org/officeDocument/2006/customXml" ds:itemID="{EFEF9A22-33A9-4647-80A3-7A846B325A63}">
  <ds:schemaRefs>
    <ds:schemaRef ds:uri="http://schemas.microsoft.com/office/2006/metadata/properties"/>
  </ds:schemaRefs>
</ds:datastoreItem>
</file>

<file path=customXml/itemProps4.xml><?xml version="1.0" encoding="utf-8"?>
<ds:datastoreItem xmlns:ds="http://schemas.openxmlformats.org/officeDocument/2006/customXml" ds:itemID="{25F0961B-1085-42F0-A57D-6A84AE0A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17940</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2018-04-23T23:37:00Z</cp:lastPrinted>
  <dcterms:created xsi:type="dcterms:W3CDTF">2018-04-23T23:37:00Z</dcterms:created>
  <dcterms:modified xsi:type="dcterms:W3CDTF">2018-04-23T23:37:00Z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