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12DC1" w14:textId="77777777" w:rsidR="00A64897" w:rsidRPr="00522D51" w:rsidRDefault="00A64897" w:rsidP="00311716">
      <w:pPr>
        <w:spacing w:line="360" w:lineRule="auto"/>
        <w:jc w:val="center"/>
        <w:rPr>
          <w:rFonts w:ascii="Verdana" w:hAnsi="Verdana"/>
          <w:sz w:val="18"/>
          <w:lang w:val="es-MX"/>
        </w:rPr>
      </w:pPr>
      <w:bookmarkStart w:id="0" w:name="_GoBack"/>
      <w:bookmarkEnd w:id="0"/>
    </w:p>
    <w:p w14:paraId="5BEB5D0F" w14:textId="77777777" w:rsidR="00A64897" w:rsidRDefault="00A64897" w:rsidP="00311716">
      <w:pPr>
        <w:spacing w:line="360" w:lineRule="auto"/>
        <w:jc w:val="center"/>
        <w:rPr>
          <w:rFonts w:ascii="Verdana" w:hAnsi="Verdana"/>
          <w:b/>
          <w:sz w:val="20"/>
          <w:lang w:val="es-MX"/>
        </w:rPr>
      </w:pPr>
    </w:p>
    <w:p w14:paraId="0370B803" w14:textId="77777777" w:rsidR="00A64897" w:rsidRDefault="00A64897" w:rsidP="00311716">
      <w:pPr>
        <w:spacing w:line="360" w:lineRule="auto"/>
        <w:jc w:val="center"/>
        <w:rPr>
          <w:rFonts w:ascii="Verdana" w:hAnsi="Verdana"/>
          <w:b/>
          <w:sz w:val="20"/>
          <w:lang w:val="es-MX"/>
        </w:rPr>
      </w:pPr>
    </w:p>
    <w:p w14:paraId="164FF115" w14:textId="77777777" w:rsidR="00A64897" w:rsidRDefault="00A64897" w:rsidP="00311716">
      <w:pPr>
        <w:spacing w:line="360" w:lineRule="auto"/>
        <w:jc w:val="center"/>
        <w:rPr>
          <w:rFonts w:ascii="Verdana" w:hAnsi="Verdana"/>
          <w:b/>
          <w:sz w:val="20"/>
          <w:lang w:val="es-MX"/>
        </w:rPr>
      </w:pPr>
    </w:p>
    <w:p w14:paraId="7BBF73E9" w14:textId="77777777" w:rsidR="00FA0765" w:rsidRPr="000F1E4F" w:rsidRDefault="00FA0765" w:rsidP="00311716">
      <w:pPr>
        <w:spacing w:line="360" w:lineRule="auto"/>
        <w:jc w:val="center"/>
        <w:rPr>
          <w:rFonts w:ascii="Verdana" w:hAnsi="Verdana"/>
          <w:b/>
          <w:sz w:val="20"/>
          <w:lang w:val="es-MX"/>
        </w:rPr>
      </w:pPr>
      <w:r w:rsidRPr="000F1E4F">
        <w:rPr>
          <w:rFonts w:ascii="Verdana" w:hAnsi="Verdana"/>
          <w:b/>
          <w:sz w:val="20"/>
          <w:lang w:val="es-MX"/>
        </w:rPr>
        <w:t>RESOLUCIÓN DE LA</w:t>
      </w:r>
    </w:p>
    <w:p w14:paraId="7ACEBE48" w14:textId="5E111D34" w:rsidR="0017363E" w:rsidRDefault="00FA0765" w:rsidP="0017363E">
      <w:pPr>
        <w:spacing w:line="360" w:lineRule="auto"/>
        <w:jc w:val="center"/>
        <w:rPr>
          <w:rFonts w:eastAsia="Calibri"/>
          <w:lang w:eastAsia="es-CR"/>
        </w:rPr>
      </w:pPr>
      <w:r w:rsidRPr="00B71CCB">
        <w:rPr>
          <w:rFonts w:ascii="Verdana" w:hAnsi="Verdana"/>
          <w:b/>
          <w:sz w:val="20"/>
          <w:lang w:val="es-MX"/>
        </w:rPr>
        <w:t xml:space="preserve">CORTE </w:t>
      </w:r>
      <w:r w:rsidRPr="0017363E">
        <w:rPr>
          <w:rFonts w:ascii="Verdana" w:hAnsi="Verdana"/>
          <w:b/>
          <w:sz w:val="20"/>
          <w:lang w:val="es-MX"/>
        </w:rPr>
        <w:t>INTERAMERICANA</w:t>
      </w:r>
      <w:r w:rsidRPr="00B71CCB">
        <w:rPr>
          <w:rFonts w:ascii="Verdana" w:hAnsi="Verdana"/>
          <w:b/>
          <w:sz w:val="20"/>
          <w:lang w:val="es-MX"/>
        </w:rPr>
        <w:t xml:space="preserve"> DE DERECHOS HUMANOS</w:t>
      </w:r>
      <w:r w:rsidR="00760C72" w:rsidRPr="00826239">
        <w:rPr>
          <w:rStyle w:val="Refdenotaalpie"/>
          <w:rFonts w:ascii="Verdana" w:hAnsi="Verdana"/>
          <w:b/>
          <w:smallCaps/>
          <w:sz w:val="20"/>
          <w:lang w:val="es-CO"/>
        </w:rPr>
        <w:footnoteReference w:customMarkFollows="1" w:id="2"/>
        <w:sym w:font="Symbol" w:char="F02A"/>
      </w:r>
      <w:r w:rsidR="0017363E">
        <w:rPr>
          <w:rFonts w:eastAsia="Calibri"/>
          <w:lang w:eastAsia="es-CR"/>
        </w:rPr>
        <w:t xml:space="preserve"> </w:t>
      </w:r>
    </w:p>
    <w:p w14:paraId="6866CE1C" w14:textId="77777777" w:rsidR="005763C1" w:rsidRDefault="005763C1" w:rsidP="0017363E">
      <w:pPr>
        <w:spacing w:line="360" w:lineRule="auto"/>
        <w:jc w:val="center"/>
        <w:rPr>
          <w:rFonts w:eastAsia="Calibri"/>
          <w:lang w:eastAsia="es-CR"/>
        </w:rPr>
      </w:pPr>
    </w:p>
    <w:p w14:paraId="4AFDEF0C" w14:textId="27BA60BA" w:rsidR="0065520B" w:rsidRDefault="00966E85" w:rsidP="00C1325B">
      <w:pPr>
        <w:spacing w:before="60" w:line="360" w:lineRule="auto"/>
        <w:jc w:val="center"/>
        <w:rPr>
          <w:rFonts w:ascii="Verdana" w:hAnsi="Verdana"/>
          <w:b/>
          <w:smallCaps/>
          <w:sz w:val="20"/>
        </w:rPr>
      </w:pPr>
      <w:r>
        <w:rPr>
          <w:rFonts w:ascii="Verdana" w:hAnsi="Verdana"/>
          <w:b/>
          <w:smallCaps/>
          <w:sz w:val="20"/>
        </w:rPr>
        <w:t xml:space="preserve">DE </w:t>
      </w:r>
      <w:r w:rsidR="00503EE6">
        <w:rPr>
          <w:rFonts w:ascii="Verdana" w:hAnsi="Verdana"/>
          <w:b/>
          <w:smallCaps/>
          <w:sz w:val="20"/>
        </w:rPr>
        <w:t>7</w:t>
      </w:r>
      <w:r w:rsidR="00B82CB7" w:rsidRPr="00AB04CC">
        <w:rPr>
          <w:rFonts w:ascii="Verdana" w:hAnsi="Verdana"/>
          <w:b/>
          <w:smallCaps/>
          <w:sz w:val="20"/>
        </w:rPr>
        <w:t xml:space="preserve"> </w:t>
      </w:r>
      <w:r w:rsidR="0065520B" w:rsidRPr="00AB04CC">
        <w:rPr>
          <w:rFonts w:ascii="Verdana" w:hAnsi="Verdana"/>
          <w:b/>
          <w:smallCaps/>
          <w:sz w:val="20"/>
        </w:rPr>
        <w:t>DE</w:t>
      </w:r>
      <w:r w:rsidR="00AF1972" w:rsidRPr="00AB04CC">
        <w:rPr>
          <w:rFonts w:ascii="Verdana" w:hAnsi="Verdana"/>
          <w:b/>
          <w:smallCaps/>
          <w:sz w:val="20"/>
        </w:rPr>
        <w:t xml:space="preserve"> </w:t>
      </w:r>
      <w:r w:rsidR="00311716">
        <w:rPr>
          <w:rFonts w:ascii="Verdana" w:hAnsi="Verdana"/>
          <w:b/>
          <w:smallCaps/>
          <w:sz w:val="20"/>
        </w:rPr>
        <w:t xml:space="preserve">OCTUBRE </w:t>
      </w:r>
      <w:r w:rsidR="00AF1972" w:rsidRPr="00AB04CC">
        <w:rPr>
          <w:rFonts w:ascii="Verdana" w:hAnsi="Verdana"/>
          <w:b/>
          <w:smallCaps/>
          <w:sz w:val="20"/>
        </w:rPr>
        <w:t xml:space="preserve">DE </w:t>
      </w:r>
      <w:r w:rsidR="0065520B" w:rsidRPr="00AB04CC">
        <w:rPr>
          <w:rFonts w:ascii="Verdana" w:hAnsi="Verdana"/>
          <w:b/>
          <w:smallCaps/>
          <w:sz w:val="20"/>
        </w:rPr>
        <w:t>201</w:t>
      </w:r>
      <w:r>
        <w:rPr>
          <w:rFonts w:ascii="Verdana" w:hAnsi="Verdana"/>
          <w:b/>
          <w:smallCaps/>
          <w:sz w:val="20"/>
        </w:rPr>
        <w:t>9</w:t>
      </w:r>
    </w:p>
    <w:p w14:paraId="0AC88843" w14:textId="77777777" w:rsidR="005763C1" w:rsidRPr="00F10321" w:rsidRDefault="005763C1" w:rsidP="00C1325B">
      <w:pPr>
        <w:spacing w:before="60" w:line="360" w:lineRule="auto"/>
        <w:jc w:val="center"/>
        <w:rPr>
          <w:rFonts w:ascii="Verdana" w:hAnsi="Verdana"/>
          <w:b/>
          <w:smallCaps/>
          <w:sz w:val="20"/>
        </w:rPr>
      </w:pPr>
    </w:p>
    <w:p w14:paraId="4A203134" w14:textId="77777777" w:rsidR="0065520B" w:rsidRPr="00F10321" w:rsidRDefault="00F40386" w:rsidP="00C1325B">
      <w:pPr>
        <w:spacing w:after="120" w:line="360" w:lineRule="auto"/>
        <w:jc w:val="center"/>
        <w:rPr>
          <w:rFonts w:ascii="Verdana" w:hAnsi="Verdana"/>
          <w:b/>
          <w:smallCaps/>
          <w:sz w:val="20"/>
          <w:szCs w:val="20"/>
        </w:rPr>
      </w:pPr>
      <w:r>
        <w:rPr>
          <w:rFonts w:ascii="Verdana" w:hAnsi="Verdana"/>
          <w:b/>
          <w:smallCaps/>
          <w:sz w:val="20"/>
          <w:szCs w:val="20"/>
        </w:rPr>
        <w:t xml:space="preserve">REINTEGRO AL </w:t>
      </w:r>
      <w:r w:rsidR="0065520B" w:rsidRPr="00F10321">
        <w:rPr>
          <w:rFonts w:ascii="Verdana" w:hAnsi="Verdana"/>
          <w:b/>
          <w:smallCaps/>
          <w:sz w:val="20"/>
          <w:szCs w:val="20"/>
        </w:rPr>
        <w:t>FONDO DE ASISTENCIA LEGAL DE VÍCTIMAS</w:t>
      </w:r>
      <w:r w:rsidR="00966E85">
        <w:rPr>
          <w:rFonts w:ascii="Verdana" w:hAnsi="Verdana"/>
          <w:b/>
          <w:smallCaps/>
          <w:sz w:val="20"/>
          <w:szCs w:val="20"/>
        </w:rPr>
        <w:t xml:space="preserve"> </w:t>
      </w:r>
    </w:p>
    <w:p w14:paraId="500C80F0" w14:textId="77777777" w:rsidR="0065520B" w:rsidRPr="00142A27" w:rsidRDefault="00966E85" w:rsidP="00C1325B">
      <w:pPr>
        <w:spacing w:before="60" w:line="360" w:lineRule="auto"/>
        <w:jc w:val="center"/>
        <w:rPr>
          <w:rFonts w:ascii="Verdana" w:hAnsi="Verdana"/>
          <w:b/>
          <w:sz w:val="20"/>
          <w:szCs w:val="20"/>
        </w:rPr>
      </w:pPr>
      <w:r w:rsidRPr="00966E85">
        <w:rPr>
          <w:rFonts w:ascii="Verdana" w:hAnsi="Verdana"/>
          <w:b/>
          <w:sz w:val="20"/>
          <w:szCs w:val="20"/>
        </w:rPr>
        <w:t xml:space="preserve">CASO </w:t>
      </w:r>
      <w:r w:rsidR="00311716">
        <w:rPr>
          <w:rFonts w:ascii="Verdana" w:hAnsi="Verdana"/>
          <w:b/>
          <w:sz w:val="20"/>
          <w:szCs w:val="20"/>
        </w:rPr>
        <w:t>ALVARADO ESPINOZA</w:t>
      </w:r>
      <w:r w:rsidRPr="00966E85">
        <w:rPr>
          <w:rFonts w:ascii="Verdana" w:hAnsi="Verdana"/>
          <w:b/>
          <w:sz w:val="20"/>
          <w:szCs w:val="20"/>
        </w:rPr>
        <w:t xml:space="preserve"> Y OTROS VS. </w:t>
      </w:r>
      <w:r w:rsidR="00311716">
        <w:rPr>
          <w:rFonts w:ascii="Verdana" w:hAnsi="Verdana"/>
          <w:b/>
          <w:sz w:val="20"/>
          <w:szCs w:val="20"/>
        </w:rPr>
        <w:t>MÉXICO</w:t>
      </w:r>
    </w:p>
    <w:p w14:paraId="0ABB6A5B" w14:textId="77777777" w:rsidR="00C1325B" w:rsidRPr="00066893" w:rsidRDefault="00C1325B" w:rsidP="00D1436E">
      <w:pPr>
        <w:jc w:val="both"/>
        <w:rPr>
          <w:rFonts w:ascii="Verdana" w:hAnsi="Verdana"/>
          <w:sz w:val="20"/>
          <w:szCs w:val="20"/>
        </w:rPr>
      </w:pPr>
    </w:p>
    <w:p w14:paraId="52EBDF80" w14:textId="77777777" w:rsidR="0065520B" w:rsidRPr="00162C69" w:rsidRDefault="00162C69" w:rsidP="0066130C">
      <w:pPr>
        <w:spacing w:after="200"/>
        <w:rPr>
          <w:rFonts w:ascii="Verdana" w:hAnsi="Verdana"/>
          <w:b/>
          <w:sz w:val="20"/>
        </w:rPr>
      </w:pPr>
      <w:r>
        <w:rPr>
          <w:rFonts w:ascii="Verdana" w:hAnsi="Verdana"/>
          <w:b/>
          <w:sz w:val="20"/>
        </w:rPr>
        <w:t>VISTO:</w:t>
      </w:r>
    </w:p>
    <w:p w14:paraId="3DEA256A" w14:textId="7F8B1F8B" w:rsidR="007A1810" w:rsidRPr="007A658C" w:rsidRDefault="00EE4992" w:rsidP="00A64897">
      <w:pPr>
        <w:pStyle w:val="Listavistosa-nfasis11"/>
        <w:numPr>
          <w:ilvl w:val="0"/>
          <w:numId w:val="14"/>
        </w:numPr>
        <w:spacing w:after="200"/>
        <w:ind w:left="0" w:firstLine="0"/>
        <w:contextualSpacing/>
        <w:jc w:val="both"/>
        <w:rPr>
          <w:rFonts w:ascii="Verdana" w:eastAsia="Calibri" w:hAnsi="Verdana"/>
          <w:sz w:val="20"/>
          <w:szCs w:val="20"/>
          <w:lang w:eastAsia="en-US"/>
        </w:rPr>
      </w:pPr>
      <w:bookmarkStart w:id="1" w:name="_Ref536711835"/>
      <w:r w:rsidRPr="00DA67F6">
        <w:rPr>
          <w:rFonts w:ascii="Verdana" w:eastAsia="Calibri" w:hAnsi="Verdana"/>
          <w:sz w:val="20"/>
          <w:szCs w:val="20"/>
          <w:lang w:eastAsia="en-US"/>
        </w:rPr>
        <w:t>La Sentencia de</w:t>
      </w:r>
      <w:r w:rsidR="00FE1438" w:rsidRPr="00DA67F6">
        <w:rPr>
          <w:rFonts w:ascii="Verdana" w:eastAsia="Calibri" w:hAnsi="Verdana"/>
          <w:sz w:val="20"/>
          <w:szCs w:val="20"/>
          <w:lang w:eastAsia="en-US"/>
        </w:rPr>
        <w:t xml:space="preserve"> fondo, reparaciones y costas dictada por la Corte Interamericana de Derechos Humanos (en adelante “la Corte”, “la Corte Intera</w:t>
      </w:r>
      <w:r w:rsidRPr="00DA67F6">
        <w:rPr>
          <w:rFonts w:ascii="Verdana" w:eastAsia="Calibri" w:hAnsi="Verdana"/>
          <w:sz w:val="20"/>
          <w:szCs w:val="20"/>
          <w:lang w:eastAsia="en-US"/>
        </w:rPr>
        <w:t xml:space="preserve">mericana” o “el Tribunal”) el </w:t>
      </w:r>
      <w:r w:rsidR="00311716">
        <w:rPr>
          <w:rFonts w:ascii="Verdana" w:eastAsia="Calibri" w:hAnsi="Verdana"/>
          <w:sz w:val="20"/>
          <w:szCs w:val="20"/>
          <w:lang w:eastAsia="en-US"/>
        </w:rPr>
        <w:t>28</w:t>
      </w:r>
      <w:r w:rsidRPr="00DA67F6">
        <w:rPr>
          <w:rFonts w:ascii="Verdana" w:eastAsia="Calibri" w:hAnsi="Verdana"/>
          <w:sz w:val="20"/>
          <w:szCs w:val="20"/>
          <w:lang w:eastAsia="en-US"/>
        </w:rPr>
        <w:t xml:space="preserve"> de </w:t>
      </w:r>
      <w:r w:rsidR="00311716">
        <w:rPr>
          <w:rFonts w:ascii="Verdana" w:eastAsia="Calibri" w:hAnsi="Verdana"/>
          <w:sz w:val="20"/>
          <w:szCs w:val="20"/>
          <w:lang w:eastAsia="en-US"/>
        </w:rPr>
        <w:t>noviembre</w:t>
      </w:r>
      <w:r w:rsidR="00311716" w:rsidRPr="00DA67F6">
        <w:rPr>
          <w:rFonts w:ascii="Verdana" w:eastAsia="Calibri" w:hAnsi="Verdana"/>
          <w:sz w:val="20"/>
          <w:szCs w:val="20"/>
          <w:lang w:eastAsia="en-US"/>
        </w:rPr>
        <w:t xml:space="preserve"> </w:t>
      </w:r>
      <w:r w:rsidRPr="00DA67F6">
        <w:rPr>
          <w:rFonts w:ascii="Verdana" w:eastAsia="Calibri" w:hAnsi="Verdana"/>
          <w:sz w:val="20"/>
          <w:szCs w:val="20"/>
          <w:lang w:eastAsia="en-US"/>
        </w:rPr>
        <w:t>de 2018</w:t>
      </w:r>
      <w:r w:rsidR="00FE1438" w:rsidRPr="00FE1438">
        <w:rPr>
          <w:rFonts w:ascii="Verdana" w:eastAsia="Calibri" w:hAnsi="Verdana"/>
          <w:sz w:val="20"/>
          <w:szCs w:val="20"/>
          <w:vertAlign w:val="superscript"/>
          <w:lang w:eastAsia="en-US"/>
        </w:rPr>
        <w:footnoteReference w:id="3"/>
      </w:r>
      <w:r w:rsidR="00FE1438" w:rsidRPr="00DA67F6">
        <w:rPr>
          <w:rFonts w:ascii="Verdana" w:eastAsia="Calibri" w:hAnsi="Verdana"/>
          <w:sz w:val="20"/>
          <w:szCs w:val="20"/>
          <w:lang w:eastAsia="en-US"/>
        </w:rPr>
        <w:t xml:space="preserve">. </w:t>
      </w:r>
      <w:r w:rsidR="00311716">
        <w:rPr>
          <w:rFonts w:ascii="Verdana" w:eastAsia="Calibri" w:hAnsi="Verdana"/>
          <w:sz w:val="20"/>
          <w:szCs w:val="20"/>
          <w:lang w:eastAsia="en-US"/>
        </w:rPr>
        <w:t>La</w:t>
      </w:r>
      <w:r w:rsidR="00FE1438" w:rsidRPr="00DA67F6">
        <w:rPr>
          <w:rFonts w:ascii="Verdana" w:eastAsia="Calibri" w:hAnsi="Verdana"/>
          <w:sz w:val="20"/>
          <w:szCs w:val="20"/>
          <w:lang w:eastAsia="en-US"/>
        </w:rPr>
        <w:t xml:space="preserve"> Corte declaró </w:t>
      </w:r>
      <w:bookmarkEnd w:id="1"/>
      <w:r w:rsidR="00311716" w:rsidRPr="00311716">
        <w:rPr>
          <w:rFonts w:ascii="Verdana" w:eastAsia="Calibri" w:hAnsi="Verdana"/>
          <w:sz w:val="20"/>
          <w:szCs w:val="20"/>
          <w:lang w:eastAsia="en-US"/>
        </w:rPr>
        <w:t>la responsabi</w:t>
      </w:r>
      <w:r w:rsidR="002A11F3">
        <w:rPr>
          <w:rFonts w:ascii="Verdana" w:eastAsia="Calibri" w:hAnsi="Verdana"/>
          <w:sz w:val="20"/>
          <w:szCs w:val="20"/>
          <w:lang w:eastAsia="en-US"/>
        </w:rPr>
        <w:t xml:space="preserve">lidad internacional de </w:t>
      </w:r>
      <w:r w:rsidR="002A11F3" w:rsidRPr="00874DE9">
        <w:rPr>
          <w:rFonts w:ascii="Verdana" w:eastAsia="Calibri" w:hAnsi="Verdana"/>
          <w:sz w:val="20"/>
          <w:szCs w:val="20"/>
          <w:lang w:eastAsia="en-US"/>
        </w:rPr>
        <w:t>los Estados Unidos Mexicanos (en adelante “el Estado” o “el Estado Mexicano” o “México”)</w:t>
      </w:r>
      <w:r w:rsidR="00311716" w:rsidRPr="00311716">
        <w:rPr>
          <w:rFonts w:ascii="Verdana" w:eastAsia="Calibri" w:hAnsi="Verdana"/>
          <w:sz w:val="20"/>
          <w:szCs w:val="20"/>
          <w:lang w:eastAsia="en-US"/>
        </w:rPr>
        <w:t xml:space="preserve"> por la desaparición forzada de </w:t>
      </w:r>
      <w:proofErr w:type="spellStart"/>
      <w:r w:rsidR="00311716" w:rsidRPr="00311716">
        <w:rPr>
          <w:rFonts w:ascii="Verdana" w:eastAsia="Calibri" w:hAnsi="Verdana"/>
          <w:sz w:val="20"/>
          <w:szCs w:val="20"/>
          <w:lang w:eastAsia="en-US"/>
        </w:rPr>
        <w:t>Nitza</w:t>
      </w:r>
      <w:proofErr w:type="spellEnd"/>
      <w:r w:rsidR="00311716" w:rsidRPr="00311716">
        <w:rPr>
          <w:rFonts w:ascii="Verdana" w:eastAsia="Calibri" w:hAnsi="Verdana"/>
          <w:sz w:val="20"/>
          <w:szCs w:val="20"/>
          <w:lang w:eastAsia="en-US"/>
        </w:rPr>
        <w:t xml:space="preserve"> Paola Alvarado Espi</w:t>
      </w:r>
      <w:r w:rsidR="00E32B4B">
        <w:rPr>
          <w:rFonts w:ascii="Verdana" w:eastAsia="Calibri" w:hAnsi="Verdana"/>
          <w:sz w:val="20"/>
          <w:szCs w:val="20"/>
          <w:lang w:eastAsia="en-US"/>
        </w:rPr>
        <w:t>noza, José Ángel Alvarado y Rocí</w:t>
      </w:r>
      <w:r w:rsidR="00311716" w:rsidRPr="00311716">
        <w:rPr>
          <w:rFonts w:ascii="Verdana" w:eastAsia="Calibri" w:hAnsi="Verdana"/>
          <w:sz w:val="20"/>
          <w:szCs w:val="20"/>
          <w:lang w:eastAsia="en-US"/>
        </w:rPr>
        <w:t>o Irene Alvarado Reyes, en el contexto de la implementación del Operativo Conjunto Chihuahua y la lucha contra el crimen organizado en México con la participación de las fuerzas armadas en</w:t>
      </w:r>
      <w:r w:rsidR="007A658C">
        <w:rPr>
          <w:rFonts w:ascii="Verdana" w:eastAsia="Calibri" w:hAnsi="Verdana"/>
          <w:sz w:val="20"/>
          <w:szCs w:val="20"/>
          <w:lang w:eastAsia="en-US"/>
        </w:rPr>
        <w:t xml:space="preserve"> labores de seguridad ciudadana, así como por </w:t>
      </w:r>
      <w:r w:rsidR="00311716" w:rsidRPr="007A658C">
        <w:rPr>
          <w:rFonts w:ascii="Verdana" w:eastAsia="Calibri" w:hAnsi="Verdana"/>
          <w:sz w:val="20"/>
          <w:szCs w:val="20"/>
          <w:lang w:eastAsia="en-US"/>
        </w:rPr>
        <w:t xml:space="preserve">la falta de investigación efectiva e impunidad en el caso, </w:t>
      </w:r>
      <w:r w:rsidR="007A658C">
        <w:rPr>
          <w:rFonts w:ascii="Verdana" w:eastAsia="Calibri" w:hAnsi="Verdana"/>
          <w:sz w:val="20"/>
          <w:szCs w:val="20"/>
          <w:lang w:eastAsia="en-US"/>
        </w:rPr>
        <w:t>lo cual violó</w:t>
      </w:r>
      <w:r w:rsidR="00311716" w:rsidRPr="007A658C">
        <w:rPr>
          <w:rFonts w:ascii="Verdana" w:eastAsia="Calibri" w:hAnsi="Verdana"/>
          <w:sz w:val="20"/>
          <w:szCs w:val="20"/>
          <w:lang w:eastAsia="en-US"/>
        </w:rPr>
        <w:t xml:space="preserve"> los derechos a las garantías judiciales y protección judicial, </w:t>
      </w:r>
      <w:r w:rsidR="00E32B4B">
        <w:rPr>
          <w:rFonts w:ascii="Verdana" w:eastAsia="Calibri" w:hAnsi="Verdana"/>
          <w:sz w:val="20"/>
          <w:szCs w:val="20"/>
          <w:lang w:eastAsia="en-US"/>
        </w:rPr>
        <w:t>y</w:t>
      </w:r>
      <w:r w:rsidR="00311716" w:rsidRPr="007A658C">
        <w:rPr>
          <w:rFonts w:ascii="Verdana" w:eastAsia="Calibri" w:hAnsi="Verdana"/>
          <w:sz w:val="20"/>
          <w:szCs w:val="20"/>
          <w:lang w:eastAsia="en-US"/>
        </w:rPr>
        <w:t xml:space="preserve"> la adopción de medidas internas. Respecto de las distintas afectaciones a los familiares con motivo de la desaparición, las amenazas y el desplazamiento forzado, se declaró la vulneración a sus derechos a la integridad personal, de circulación y de residencia, y a la protección a la familia. Asimismo, se declaró el incumplimiento en relación con las Medidas Provisionales adoptadas en el Asunto Alvarado Reyes respecto </w:t>
      </w:r>
      <w:r w:rsidR="00E32B4B">
        <w:rPr>
          <w:rFonts w:ascii="Verdana" w:eastAsia="Calibri" w:hAnsi="Verdana"/>
          <w:sz w:val="20"/>
          <w:szCs w:val="20"/>
          <w:lang w:eastAsia="en-US"/>
        </w:rPr>
        <w:t xml:space="preserve">de </w:t>
      </w:r>
      <w:r w:rsidR="00311716" w:rsidRPr="007A658C">
        <w:rPr>
          <w:rFonts w:ascii="Verdana" w:eastAsia="Calibri" w:hAnsi="Verdana"/>
          <w:sz w:val="20"/>
          <w:szCs w:val="20"/>
          <w:lang w:eastAsia="en-US"/>
        </w:rPr>
        <w:t>México, ordenadas desde el año 2010.</w:t>
      </w:r>
      <w:bookmarkStart w:id="2" w:name="_Ref504383791"/>
      <w:r w:rsidR="00EE17E1">
        <w:rPr>
          <w:rFonts w:ascii="Verdana" w:eastAsia="Calibri" w:hAnsi="Verdana"/>
          <w:sz w:val="20"/>
          <w:szCs w:val="20"/>
          <w:lang w:eastAsia="en-US"/>
        </w:rPr>
        <w:t xml:space="preserve"> En la Sentencia la Corte ordenó al Estado determinadas medidas de reparación, así como el </w:t>
      </w:r>
      <w:r w:rsidR="00EE17E1">
        <w:rPr>
          <w:rFonts w:ascii="Verdana" w:hAnsi="Verdana"/>
          <w:sz w:val="20"/>
          <w:szCs w:val="20"/>
        </w:rPr>
        <w:t xml:space="preserve">reintegro al Fondo de Asistencia Legal de Víctimas de la Corte (en adelante el “Fondo de Asistencia”). </w:t>
      </w:r>
    </w:p>
    <w:p w14:paraId="5AAA2D45" w14:textId="670F8418" w:rsidR="0065520B" w:rsidRDefault="00D261EA" w:rsidP="0066130C">
      <w:pPr>
        <w:spacing w:after="200"/>
        <w:jc w:val="both"/>
        <w:rPr>
          <w:rFonts w:ascii="Verdana" w:hAnsi="Verdana"/>
          <w:sz w:val="20"/>
          <w:szCs w:val="20"/>
        </w:rPr>
      </w:pPr>
      <w:r>
        <w:rPr>
          <w:rFonts w:ascii="Verdana" w:hAnsi="Verdana"/>
          <w:sz w:val="20"/>
          <w:szCs w:val="20"/>
        </w:rPr>
        <w:t>2</w:t>
      </w:r>
      <w:r w:rsidR="007A1810">
        <w:rPr>
          <w:rFonts w:ascii="Verdana" w:hAnsi="Verdana"/>
          <w:sz w:val="20"/>
          <w:szCs w:val="20"/>
        </w:rPr>
        <w:t>.</w:t>
      </w:r>
      <w:r w:rsidR="007A1810">
        <w:rPr>
          <w:rFonts w:ascii="Verdana" w:hAnsi="Verdana"/>
          <w:sz w:val="20"/>
          <w:szCs w:val="20"/>
        </w:rPr>
        <w:tab/>
      </w:r>
      <w:r w:rsidR="00CA0BD3">
        <w:rPr>
          <w:rFonts w:ascii="Verdana" w:hAnsi="Verdana"/>
          <w:sz w:val="20"/>
          <w:szCs w:val="20"/>
        </w:rPr>
        <w:t>La</w:t>
      </w:r>
      <w:r w:rsidR="00730A69">
        <w:rPr>
          <w:rFonts w:ascii="Verdana" w:hAnsi="Verdana"/>
          <w:sz w:val="20"/>
          <w:szCs w:val="20"/>
        </w:rPr>
        <w:t>s</w:t>
      </w:r>
      <w:r w:rsidR="00CA0BD3">
        <w:rPr>
          <w:rFonts w:ascii="Verdana" w:hAnsi="Verdana"/>
          <w:sz w:val="20"/>
          <w:szCs w:val="20"/>
        </w:rPr>
        <w:t xml:space="preserve"> transferencia</w:t>
      </w:r>
      <w:r w:rsidR="00730A69">
        <w:rPr>
          <w:rFonts w:ascii="Verdana" w:hAnsi="Verdana"/>
          <w:sz w:val="20"/>
          <w:szCs w:val="20"/>
        </w:rPr>
        <w:t>s</w:t>
      </w:r>
      <w:r w:rsidR="00CA0BD3">
        <w:rPr>
          <w:rFonts w:ascii="Verdana" w:hAnsi="Verdana"/>
          <w:sz w:val="20"/>
          <w:szCs w:val="20"/>
        </w:rPr>
        <w:t xml:space="preserve"> electrónica</w:t>
      </w:r>
      <w:r w:rsidR="00730A69">
        <w:rPr>
          <w:rFonts w:ascii="Verdana" w:hAnsi="Verdana"/>
          <w:sz w:val="20"/>
          <w:szCs w:val="20"/>
        </w:rPr>
        <w:t>s</w:t>
      </w:r>
      <w:r w:rsidR="00CA0BD3">
        <w:rPr>
          <w:rFonts w:ascii="Verdana" w:hAnsi="Verdana"/>
          <w:sz w:val="20"/>
          <w:szCs w:val="20"/>
        </w:rPr>
        <w:t xml:space="preserve"> </w:t>
      </w:r>
      <w:r w:rsidR="00B17B0F">
        <w:rPr>
          <w:rFonts w:ascii="Verdana" w:hAnsi="Verdana"/>
          <w:sz w:val="20"/>
          <w:szCs w:val="20"/>
        </w:rPr>
        <w:t>recibid</w:t>
      </w:r>
      <w:r w:rsidR="00CA0BD3">
        <w:rPr>
          <w:rFonts w:ascii="Verdana" w:hAnsi="Verdana"/>
          <w:sz w:val="20"/>
          <w:szCs w:val="20"/>
        </w:rPr>
        <w:t>a</w:t>
      </w:r>
      <w:r w:rsidR="00730A69">
        <w:rPr>
          <w:rFonts w:ascii="Verdana" w:hAnsi="Verdana"/>
          <w:sz w:val="20"/>
          <w:szCs w:val="20"/>
        </w:rPr>
        <w:t>s</w:t>
      </w:r>
      <w:r w:rsidR="00B17B0F">
        <w:rPr>
          <w:rFonts w:ascii="Verdana" w:hAnsi="Verdana"/>
          <w:sz w:val="20"/>
          <w:szCs w:val="20"/>
        </w:rPr>
        <w:t xml:space="preserve"> </w:t>
      </w:r>
      <w:r w:rsidR="00827013">
        <w:rPr>
          <w:rFonts w:ascii="Verdana" w:hAnsi="Verdana"/>
          <w:sz w:val="20"/>
          <w:szCs w:val="20"/>
        </w:rPr>
        <w:t>los días 28 de febrero y 4 de junio de 2019</w:t>
      </w:r>
      <w:r w:rsidR="004E0553" w:rsidRPr="00730A69">
        <w:rPr>
          <w:rFonts w:ascii="Verdana" w:hAnsi="Verdana"/>
          <w:sz w:val="20"/>
          <w:szCs w:val="20"/>
        </w:rPr>
        <w:t>,</w:t>
      </w:r>
      <w:r w:rsidR="00B17B0F" w:rsidRPr="00A75F01">
        <w:rPr>
          <w:rFonts w:ascii="Verdana" w:hAnsi="Verdana"/>
          <w:sz w:val="20"/>
          <w:szCs w:val="20"/>
        </w:rPr>
        <w:t xml:space="preserve"> </w:t>
      </w:r>
      <w:r w:rsidR="00A55184">
        <w:rPr>
          <w:rFonts w:ascii="Verdana" w:hAnsi="Verdana"/>
          <w:sz w:val="20"/>
          <w:szCs w:val="20"/>
        </w:rPr>
        <w:t xml:space="preserve">mediante </w:t>
      </w:r>
      <w:r w:rsidR="00CA0BD3">
        <w:rPr>
          <w:rFonts w:ascii="Verdana" w:hAnsi="Verdana"/>
          <w:sz w:val="20"/>
          <w:szCs w:val="20"/>
        </w:rPr>
        <w:t>la</w:t>
      </w:r>
      <w:r w:rsidR="006B64BE">
        <w:rPr>
          <w:rFonts w:ascii="Verdana" w:hAnsi="Verdana"/>
          <w:sz w:val="20"/>
          <w:szCs w:val="20"/>
        </w:rPr>
        <w:t>s</w:t>
      </w:r>
      <w:r w:rsidR="00CA0BD3">
        <w:rPr>
          <w:rFonts w:ascii="Verdana" w:hAnsi="Verdana"/>
          <w:sz w:val="20"/>
          <w:szCs w:val="20"/>
        </w:rPr>
        <w:t xml:space="preserve"> </w:t>
      </w:r>
      <w:r w:rsidR="00A55184">
        <w:rPr>
          <w:rFonts w:ascii="Verdana" w:hAnsi="Verdana"/>
          <w:sz w:val="20"/>
          <w:szCs w:val="20"/>
        </w:rPr>
        <w:t>cual</w:t>
      </w:r>
      <w:r w:rsidR="006B64BE">
        <w:rPr>
          <w:rFonts w:ascii="Verdana" w:hAnsi="Verdana"/>
          <w:sz w:val="20"/>
          <w:szCs w:val="20"/>
        </w:rPr>
        <w:t>es</w:t>
      </w:r>
      <w:r w:rsidR="00A55184">
        <w:rPr>
          <w:rFonts w:ascii="Verdana" w:hAnsi="Verdana"/>
          <w:sz w:val="20"/>
          <w:szCs w:val="20"/>
        </w:rPr>
        <w:t xml:space="preserve"> </w:t>
      </w:r>
      <w:r w:rsidR="00827013">
        <w:rPr>
          <w:rFonts w:ascii="Verdana" w:hAnsi="Verdana"/>
          <w:sz w:val="20"/>
          <w:szCs w:val="20"/>
        </w:rPr>
        <w:t>México</w:t>
      </w:r>
      <w:r w:rsidR="00A55184">
        <w:rPr>
          <w:rFonts w:ascii="Verdana" w:hAnsi="Verdana"/>
          <w:sz w:val="20"/>
          <w:szCs w:val="20"/>
        </w:rPr>
        <w:t xml:space="preserve"> </w:t>
      </w:r>
      <w:r w:rsidR="00CA0BD3">
        <w:rPr>
          <w:rFonts w:ascii="Verdana" w:hAnsi="Verdana"/>
          <w:sz w:val="20"/>
          <w:szCs w:val="20"/>
        </w:rPr>
        <w:t>realizó un</w:t>
      </w:r>
      <w:r w:rsidR="00296450" w:rsidRPr="00A55184">
        <w:rPr>
          <w:rFonts w:ascii="Verdana" w:hAnsi="Verdana"/>
          <w:sz w:val="20"/>
          <w:szCs w:val="20"/>
        </w:rPr>
        <w:t xml:space="preserve"> </w:t>
      </w:r>
      <w:r w:rsidR="00296450">
        <w:rPr>
          <w:rFonts w:ascii="Verdana" w:hAnsi="Verdana"/>
          <w:sz w:val="20"/>
          <w:szCs w:val="20"/>
        </w:rPr>
        <w:t xml:space="preserve">reintegro </w:t>
      </w:r>
      <w:r w:rsidR="00CA0BD3">
        <w:rPr>
          <w:rFonts w:ascii="Verdana" w:hAnsi="Verdana"/>
          <w:sz w:val="20"/>
          <w:szCs w:val="20"/>
        </w:rPr>
        <w:t xml:space="preserve">al </w:t>
      </w:r>
      <w:r w:rsidR="00B17B0F">
        <w:rPr>
          <w:rFonts w:ascii="Verdana" w:hAnsi="Verdana"/>
          <w:sz w:val="20"/>
          <w:szCs w:val="20"/>
        </w:rPr>
        <w:t>Fondo de Asistencia</w:t>
      </w:r>
      <w:r w:rsidR="009A2BF8">
        <w:rPr>
          <w:rFonts w:ascii="Verdana" w:hAnsi="Verdana"/>
          <w:sz w:val="20"/>
          <w:szCs w:val="20"/>
        </w:rPr>
        <w:t xml:space="preserve"> Legal de</w:t>
      </w:r>
      <w:r w:rsidR="00827013">
        <w:rPr>
          <w:rFonts w:ascii="Verdana" w:hAnsi="Verdana"/>
          <w:sz w:val="20"/>
          <w:szCs w:val="20"/>
        </w:rPr>
        <w:t xml:space="preserve"> Víctimas</w:t>
      </w:r>
      <w:r w:rsidR="00A759DE">
        <w:rPr>
          <w:rStyle w:val="Refdenotaalpie"/>
          <w:rFonts w:ascii="Verdana" w:hAnsi="Verdana"/>
          <w:sz w:val="20"/>
          <w:szCs w:val="20"/>
        </w:rPr>
        <w:footnoteReference w:id="4"/>
      </w:r>
      <w:r w:rsidR="00296450">
        <w:rPr>
          <w:rFonts w:ascii="Verdana" w:hAnsi="Verdana"/>
          <w:sz w:val="20"/>
          <w:szCs w:val="20"/>
        </w:rPr>
        <w:t>.</w:t>
      </w:r>
      <w:bookmarkEnd w:id="2"/>
    </w:p>
    <w:p w14:paraId="024800A6" w14:textId="3D09295B" w:rsidR="00A759DE" w:rsidRDefault="00A759DE" w:rsidP="0066130C">
      <w:pPr>
        <w:spacing w:after="200"/>
        <w:jc w:val="both"/>
        <w:rPr>
          <w:rFonts w:ascii="Verdana" w:hAnsi="Verdana"/>
          <w:sz w:val="20"/>
          <w:szCs w:val="20"/>
        </w:rPr>
      </w:pPr>
      <w:r>
        <w:rPr>
          <w:rFonts w:ascii="Verdana" w:hAnsi="Verdana"/>
          <w:sz w:val="20"/>
          <w:szCs w:val="20"/>
        </w:rPr>
        <w:lastRenderedPageBreak/>
        <w:t>3.</w:t>
      </w:r>
      <w:r>
        <w:rPr>
          <w:rFonts w:ascii="Verdana" w:hAnsi="Verdana"/>
          <w:sz w:val="20"/>
          <w:szCs w:val="20"/>
        </w:rPr>
        <w:tab/>
        <w:t xml:space="preserve">La nota de </w:t>
      </w:r>
      <w:r w:rsidR="009A2BF8">
        <w:rPr>
          <w:rFonts w:ascii="Verdana" w:hAnsi="Verdana"/>
          <w:sz w:val="20"/>
          <w:szCs w:val="20"/>
        </w:rPr>
        <w:t xml:space="preserve">la </w:t>
      </w:r>
      <w:r>
        <w:rPr>
          <w:rFonts w:ascii="Verdana" w:hAnsi="Verdana"/>
          <w:sz w:val="20"/>
          <w:szCs w:val="20"/>
        </w:rPr>
        <w:t>Secretaría</w:t>
      </w:r>
      <w:r w:rsidR="009A2BF8">
        <w:rPr>
          <w:rFonts w:ascii="Verdana" w:hAnsi="Verdana"/>
          <w:sz w:val="20"/>
          <w:szCs w:val="20"/>
        </w:rPr>
        <w:t xml:space="preserve"> de la Corte</w:t>
      </w:r>
      <w:r>
        <w:rPr>
          <w:rFonts w:ascii="Verdana" w:hAnsi="Verdana"/>
          <w:sz w:val="20"/>
          <w:szCs w:val="20"/>
        </w:rPr>
        <w:t xml:space="preserve"> de 3 de septiembre de 2019, mediante la cual se remitió al Estado los recibos de</w:t>
      </w:r>
      <w:r w:rsidR="00E32B4B">
        <w:rPr>
          <w:rFonts w:ascii="Verdana" w:hAnsi="Verdana"/>
          <w:sz w:val="20"/>
          <w:szCs w:val="20"/>
        </w:rPr>
        <w:t xml:space="preserve"> </w:t>
      </w:r>
      <w:r>
        <w:rPr>
          <w:rFonts w:ascii="Verdana" w:hAnsi="Verdana"/>
          <w:sz w:val="20"/>
          <w:szCs w:val="20"/>
        </w:rPr>
        <w:t>l</w:t>
      </w:r>
      <w:r w:rsidR="00E32B4B">
        <w:rPr>
          <w:rFonts w:ascii="Verdana" w:hAnsi="Verdana"/>
          <w:sz w:val="20"/>
          <w:szCs w:val="20"/>
        </w:rPr>
        <w:t>os</w:t>
      </w:r>
      <w:r>
        <w:rPr>
          <w:rFonts w:ascii="Verdana" w:hAnsi="Verdana"/>
          <w:sz w:val="20"/>
          <w:szCs w:val="20"/>
        </w:rPr>
        <w:t xml:space="preserve"> pago</w:t>
      </w:r>
      <w:r w:rsidR="00E32B4B">
        <w:rPr>
          <w:rFonts w:ascii="Verdana" w:hAnsi="Verdana"/>
          <w:sz w:val="20"/>
          <w:szCs w:val="20"/>
        </w:rPr>
        <w:t>s</w:t>
      </w:r>
      <w:r>
        <w:rPr>
          <w:rFonts w:ascii="Verdana" w:hAnsi="Verdana"/>
          <w:sz w:val="20"/>
          <w:szCs w:val="20"/>
        </w:rPr>
        <w:t xml:space="preserve"> por el reintegro efectuado al Fondo de Asistencia y por concepto de intereses moratorios. </w:t>
      </w:r>
    </w:p>
    <w:p w14:paraId="4D97A122" w14:textId="77777777" w:rsidR="0065520B" w:rsidRPr="00F10321" w:rsidRDefault="0065520B" w:rsidP="0066130C">
      <w:pPr>
        <w:tabs>
          <w:tab w:val="left" w:pos="680"/>
        </w:tabs>
        <w:spacing w:after="200"/>
        <w:jc w:val="both"/>
        <w:rPr>
          <w:rFonts w:ascii="Verdana" w:hAnsi="Verdana"/>
          <w:sz w:val="20"/>
        </w:rPr>
      </w:pPr>
      <w:r w:rsidRPr="00F10321">
        <w:rPr>
          <w:rFonts w:ascii="Verdana" w:hAnsi="Verdana"/>
          <w:b/>
          <w:sz w:val="20"/>
        </w:rPr>
        <w:t>CONSIDERANDO QUE:</w:t>
      </w:r>
    </w:p>
    <w:p w14:paraId="4D0D72DD" w14:textId="759D44D9" w:rsidR="0065520B" w:rsidRPr="00E72394" w:rsidRDefault="00FF7C60" w:rsidP="00E72394">
      <w:pPr>
        <w:numPr>
          <w:ilvl w:val="0"/>
          <w:numId w:val="9"/>
        </w:numPr>
        <w:spacing w:after="200"/>
        <w:ind w:left="0" w:firstLine="0"/>
        <w:jc w:val="both"/>
        <w:rPr>
          <w:rFonts w:ascii="Verdana" w:hAnsi="Verdana"/>
          <w:sz w:val="20"/>
          <w:szCs w:val="20"/>
        </w:rPr>
      </w:pPr>
      <w:bookmarkStart w:id="3" w:name="_Ref536717730"/>
      <w:r w:rsidRPr="004F4966">
        <w:rPr>
          <w:rFonts w:ascii="Verdana" w:hAnsi="Verdana"/>
          <w:sz w:val="20"/>
          <w:szCs w:val="20"/>
        </w:rPr>
        <w:t>En el ejercicio de su funció</w:t>
      </w:r>
      <w:r w:rsidR="0065520B" w:rsidRPr="004F4966">
        <w:rPr>
          <w:rFonts w:ascii="Verdana" w:hAnsi="Verdana"/>
          <w:sz w:val="20"/>
          <w:szCs w:val="20"/>
        </w:rPr>
        <w:t>n jurisdiccional</w:t>
      </w:r>
      <w:r w:rsidRPr="004F4966">
        <w:rPr>
          <w:rFonts w:ascii="Verdana" w:hAnsi="Verdana"/>
          <w:sz w:val="20"/>
          <w:szCs w:val="20"/>
        </w:rPr>
        <w:t xml:space="preserve"> </w:t>
      </w:r>
      <w:r w:rsidR="00B2680C">
        <w:rPr>
          <w:rFonts w:ascii="Verdana" w:hAnsi="Verdana"/>
          <w:sz w:val="20"/>
          <w:szCs w:val="20"/>
        </w:rPr>
        <w:t xml:space="preserve">de </w:t>
      </w:r>
      <w:r w:rsidR="0065520B" w:rsidRPr="004F4966">
        <w:rPr>
          <w:rFonts w:ascii="Verdana" w:hAnsi="Verdana"/>
          <w:sz w:val="20"/>
          <w:szCs w:val="20"/>
        </w:rPr>
        <w:t>supervisar el cumplimiento de sus decisiones</w:t>
      </w:r>
      <w:r w:rsidRPr="004F4966">
        <w:rPr>
          <w:rStyle w:val="Refdenotaalpie"/>
          <w:rFonts w:ascii="Verdana" w:hAnsi="Verdana"/>
          <w:sz w:val="20"/>
          <w:szCs w:val="20"/>
        </w:rPr>
        <w:footnoteReference w:id="5"/>
      </w:r>
      <w:r w:rsidRPr="004F4966">
        <w:rPr>
          <w:rFonts w:ascii="Verdana" w:hAnsi="Verdana"/>
          <w:sz w:val="20"/>
          <w:szCs w:val="20"/>
        </w:rPr>
        <w:t xml:space="preserve">, corresponde a la Corte verificar el cumplimiento por parte del Estado de la obligación de reintegrar al Fondo de Asistencia Legal de Víctimas la </w:t>
      </w:r>
      <w:r w:rsidR="004F4966" w:rsidRPr="004F4966">
        <w:rPr>
          <w:rFonts w:ascii="Verdana" w:hAnsi="Verdana"/>
          <w:sz w:val="20"/>
          <w:szCs w:val="20"/>
        </w:rPr>
        <w:t xml:space="preserve">cantidad ordenada en la Sentencia </w:t>
      </w:r>
      <w:r w:rsidR="004F4966">
        <w:rPr>
          <w:rFonts w:ascii="Verdana" w:hAnsi="Verdana"/>
          <w:sz w:val="20"/>
          <w:szCs w:val="20"/>
        </w:rPr>
        <w:t>emitida en e</w:t>
      </w:r>
      <w:r w:rsidR="004F4966" w:rsidRPr="004F4966">
        <w:rPr>
          <w:rFonts w:ascii="Verdana" w:hAnsi="Verdana"/>
          <w:sz w:val="20"/>
          <w:szCs w:val="20"/>
        </w:rPr>
        <w:t>l presente caso.</w:t>
      </w:r>
      <w:bookmarkEnd w:id="3"/>
      <w:r w:rsidR="00E72394">
        <w:rPr>
          <w:rFonts w:ascii="Verdana" w:hAnsi="Verdana"/>
          <w:sz w:val="20"/>
          <w:szCs w:val="20"/>
        </w:rPr>
        <w:t xml:space="preserve"> </w:t>
      </w:r>
      <w:r w:rsidR="007A658C" w:rsidRPr="007A658C">
        <w:rPr>
          <w:rFonts w:ascii="Verdana" w:hAnsi="Verdana"/>
          <w:sz w:val="20"/>
          <w:szCs w:val="20"/>
        </w:rPr>
        <w:t xml:space="preserve">En </w:t>
      </w:r>
      <w:r w:rsidR="00E32B4B">
        <w:rPr>
          <w:rFonts w:ascii="Verdana" w:hAnsi="Verdana"/>
          <w:sz w:val="20"/>
          <w:szCs w:val="20"/>
        </w:rPr>
        <w:t>esta</w:t>
      </w:r>
      <w:r w:rsidR="007A658C" w:rsidRPr="007A658C">
        <w:rPr>
          <w:rFonts w:ascii="Verdana" w:hAnsi="Verdana"/>
          <w:sz w:val="20"/>
          <w:szCs w:val="20"/>
        </w:rPr>
        <w:t xml:space="preserve"> resolución la Corte únicamente se pronunciará sobre el reintegro al referido Fondo</w:t>
      </w:r>
      <w:r w:rsidR="007A658C">
        <w:rPr>
          <w:rFonts w:ascii="Verdana" w:hAnsi="Verdana"/>
          <w:sz w:val="20"/>
          <w:szCs w:val="20"/>
        </w:rPr>
        <w:t xml:space="preserve">. </w:t>
      </w:r>
      <w:r w:rsidR="00E72394">
        <w:rPr>
          <w:rFonts w:ascii="Verdana" w:hAnsi="Verdana"/>
          <w:sz w:val="20"/>
          <w:szCs w:val="20"/>
        </w:rPr>
        <w:t>La información presentada por las partes con respecto a la implementación de las otras medidas será evaluada en otra resolución.</w:t>
      </w:r>
    </w:p>
    <w:p w14:paraId="17FC5623" w14:textId="5797FA89" w:rsidR="00707546" w:rsidRPr="004A0CD9" w:rsidRDefault="0065520B" w:rsidP="0066130C">
      <w:pPr>
        <w:numPr>
          <w:ilvl w:val="0"/>
          <w:numId w:val="9"/>
        </w:numPr>
        <w:spacing w:after="200"/>
        <w:ind w:left="0" w:firstLine="0"/>
        <w:jc w:val="both"/>
        <w:rPr>
          <w:rFonts w:ascii="Verdana" w:hAnsi="Verdana" w:cs="Verdana"/>
          <w:sz w:val="20"/>
          <w:szCs w:val="20"/>
        </w:rPr>
      </w:pPr>
      <w:r w:rsidRPr="004A0CD9">
        <w:rPr>
          <w:rFonts w:ascii="Verdana" w:hAnsi="Verdana"/>
          <w:sz w:val="20"/>
          <w:szCs w:val="20"/>
        </w:rPr>
        <w:t>En razón de las violaciones declaradas en la Sentencia (</w:t>
      </w:r>
      <w:r w:rsidRPr="004A0CD9">
        <w:rPr>
          <w:rFonts w:ascii="Verdana" w:hAnsi="Verdana"/>
          <w:i/>
          <w:sz w:val="20"/>
          <w:szCs w:val="20"/>
        </w:rPr>
        <w:t>supra</w:t>
      </w:r>
      <w:r w:rsidRPr="004A0CD9">
        <w:rPr>
          <w:rFonts w:ascii="Verdana" w:hAnsi="Verdana"/>
          <w:sz w:val="20"/>
          <w:szCs w:val="20"/>
        </w:rPr>
        <w:t xml:space="preserve"> Visto</w:t>
      </w:r>
      <w:r w:rsidR="00A75F01" w:rsidRPr="004A0CD9">
        <w:rPr>
          <w:rFonts w:ascii="Verdana" w:hAnsi="Verdana"/>
          <w:sz w:val="20"/>
          <w:szCs w:val="20"/>
        </w:rPr>
        <w:t xml:space="preserve"> </w:t>
      </w:r>
      <w:r w:rsidR="000C163F" w:rsidRPr="004A0CD9">
        <w:rPr>
          <w:rFonts w:ascii="Verdana" w:hAnsi="Verdana"/>
          <w:sz w:val="20"/>
          <w:szCs w:val="20"/>
        </w:rPr>
        <w:fldChar w:fldCharType="begin"/>
      </w:r>
      <w:r w:rsidR="000C163F" w:rsidRPr="004A0CD9">
        <w:rPr>
          <w:rFonts w:ascii="Verdana" w:hAnsi="Verdana"/>
          <w:sz w:val="20"/>
          <w:szCs w:val="20"/>
        </w:rPr>
        <w:instrText xml:space="preserve"> REF _Ref536711835 \r \h </w:instrText>
      </w:r>
      <w:r w:rsidR="004A0CD9" w:rsidRPr="004A0CD9">
        <w:rPr>
          <w:rFonts w:ascii="Verdana" w:hAnsi="Verdana"/>
          <w:sz w:val="20"/>
          <w:szCs w:val="20"/>
        </w:rPr>
        <w:instrText xml:space="preserve"> \* MERGEFORMAT </w:instrText>
      </w:r>
      <w:r w:rsidR="000C163F" w:rsidRPr="004A0CD9">
        <w:rPr>
          <w:rFonts w:ascii="Verdana" w:hAnsi="Verdana"/>
          <w:sz w:val="20"/>
          <w:szCs w:val="20"/>
        </w:rPr>
      </w:r>
      <w:r w:rsidR="000C163F" w:rsidRPr="004A0CD9">
        <w:rPr>
          <w:rFonts w:ascii="Verdana" w:hAnsi="Verdana"/>
          <w:sz w:val="20"/>
          <w:szCs w:val="20"/>
        </w:rPr>
        <w:fldChar w:fldCharType="separate"/>
      </w:r>
      <w:r w:rsidR="00002266">
        <w:rPr>
          <w:rFonts w:ascii="Verdana" w:hAnsi="Verdana"/>
          <w:sz w:val="20"/>
          <w:szCs w:val="20"/>
        </w:rPr>
        <w:t>1</w:t>
      </w:r>
      <w:r w:rsidR="000C163F" w:rsidRPr="004A0CD9">
        <w:rPr>
          <w:rFonts w:ascii="Verdana" w:hAnsi="Verdana"/>
          <w:sz w:val="20"/>
          <w:szCs w:val="20"/>
        </w:rPr>
        <w:fldChar w:fldCharType="end"/>
      </w:r>
      <w:r w:rsidRPr="004A0CD9">
        <w:rPr>
          <w:rFonts w:ascii="Verdana" w:hAnsi="Verdana"/>
          <w:sz w:val="20"/>
          <w:szCs w:val="20"/>
        </w:rPr>
        <w:t>) y en atención a lo establecido en el artículo 5 del Reglamento del Fondo de Asistencia</w:t>
      </w:r>
      <w:r w:rsidRPr="004A0CD9">
        <w:rPr>
          <w:rStyle w:val="Refdenotaalpie"/>
          <w:rFonts w:ascii="Verdana" w:hAnsi="Verdana"/>
          <w:sz w:val="20"/>
          <w:szCs w:val="20"/>
        </w:rPr>
        <w:footnoteReference w:id="6"/>
      </w:r>
      <w:r w:rsidRPr="004A0CD9">
        <w:rPr>
          <w:rFonts w:ascii="Verdana" w:hAnsi="Verdana"/>
          <w:sz w:val="20"/>
          <w:szCs w:val="20"/>
        </w:rPr>
        <w:t xml:space="preserve">, </w:t>
      </w:r>
      <w:r w:rsidR="002A4D28" w:rsidRPr="004A0CD9">
        <w:rPr>
          <w:rFonts w:ascii="Verdana" w:hAnsi="Verdana"/>
          <w:sz w:val="20"/>
          <w:szCs w:val="20"/>
        </w:rPr>
        <w:t>en el párrafo</w:t>
      </w:r>
      <w:r w:rsidR="00AD283A" w:rsidRPr="004A0CD9">
        <w:rPr>
          <w:rFonts w:ascii="Verdana" w:hAnsi="Verdana"/>
          <w:sz w:val="20"/>
          <w:szCs w:val="20"/>
        </w:rPr>
        <w:t xml:space="preserve"> </w:t>
      </w:r>
      <w:r w:rsidR="006B5E2E">
        <w:rPr>
          <w:rFonts w:ascii="Verdana" w:hAnsi="Verdana"/>
          <w:sz w:val="20"/>
          <w:szCs w:val="20"/>
        </w:rPr>
        <w:t>363</w:t>
      </w:r>
      <w:r w:rsidR="002A4D28" w:rsidRPr="004A0CD9">
        <w:rPr>
          <w:rFonts w:ascii="Verdana" w:hAnsi="Verdana"/>
          <w:sz w:val="20"/>
          <w:szCs w:val="20"/>
        </w:rPr>
        <w:t xml:space="preserve"> y en el punto</w:t>
      </w:r>
      <w:r w:rsidR="00DA0E34" w:rsidRPr="004A0CD9">
        <w:rPr>
          <w:rFonts w:ascii="Verdana" w:hAnsi="Verdana"/>
          <w:sz w:val="20"/>
          <w:szCs w:val="20"/>
        </w:rPr>
        <w:t xml:space="preserve"> </w:t>
      </w:r>
      <w:r w:rsidR="00E32B4B">
        <w:rPr>
          <w:rFonts w:ascii="Verdana" w:hAnsi="Verdana"/>
          <w:sz w:val="20"/>
          <w:szCs w:val="20"/>
        </w:rPr>
        <w:t>resolutivo</w:t>
      </w:r>
      <w:r w:rsidR="00AD283A" w:rsidRPr="004A0CD9">
        <w:rPr>
          <w:rFonts w:ascii="Verdana" w:hAnsi="Verdana"/>
          <w:sz w:val="20"/>
          <w:szCs w:val="20"/>
        </w:rPr>
        <w:t xml:space="preserve"> </w:t>
      </w:r>
      <w:r w:rsidR="006B5E2E">
        <w:rPr>
          <w:rFonts w:ascii="Verdana" w:hAnsi="Verdana"/>
          <w:sz w:val="20"/>
          <w:szCs w:val="20"/>
        </w:rPr>
        <w:t>vigésimo primero</w:t>
      </w:r>
      <w:r w:rsidR="002A4D28" w:rsidRPr="004A0CD9">
        <w:rPr>
          <w:rFonts w:ascii="Verdana" w:hAnsi="Verdana"/>
          <w:sz w:val="20"/>
          <w:szCs w:val="20"/>
        </w:rPr>
        <w:t xml:space="preserve"> </w:t>
      </w:r>
      <w:r w:rsidR="00D021FE" w:rsidRPr="004A0CD9">
        <w:rPr>
          <w:rFonts w:ascii="Verdana" w:hAnsi="Verdana"/>
          <w:sz w:val="20"/>
          <w:szCs w:val="20"/>
        </w:rPr>
        <w:t xml:space="preserve">del </w:t>
      </w:r>
      <w:r w:rsidR="002A4D28" w:rsidRPr="004A0CD9">
        <w:rPr>
          <w:rFonts w:ascii="Verdana" w:hAnsi="Verdana"/>
          <w:sz w:val="20"/>
          <w:szCs w:val="20"/>
        </w:rPr>
        <w:t xml:space="preserve">Fallo, </w:t>
      </w:r>
      <w:r w:rsidRPr="004A0CD9">
        <w:rPr>
          <w:rFonts w:ascii="Verdana" w:hAnsi="Verdana"/>
          <w:sz w:val="20"/>
          <w:szCs w:val="20"/>
        </w:rPr>
        <w:t xml:space="preserve">la Corte </w:t>
      </w:r>
      <w:r w:rsidR="00CA0BD3" w:rsidRPr="004A0CD9">
        <w:rPr>
          <w:rFonts w:ascii="Verdana" w:hAnsi="Verdana"/>
          <w:sz w:val="20"/>
          <w:szCs w:val="20"/>
        </w:rPr>
        <w:t xml:space="preserve">dispuso </w:t>
      </w:r>
      <w:r w:rsidR="00066893" w:rsidRPr="004A0CD9">
        <w:rPr>
          <w:rFonts w:ascii="Verdana" w:hAnsi="Verdana"/>
          <w:sz w:val="20"/>
          <w:szCs w:val="20"/>
        </w:rPr>
        <w:t>“</w:t>
      </w:r>
      <w:r w:rsidR="006B5E2E" w:rsidRPr="006B5E2E">
        <w:rPr>
          <w:rFonts w:ascii="Verdana" w:hAnsi="Verdana"/>
          <w:bCs/>
          <w:sz w:val="20"/>
          <w:szCs w:val="20"/>
        </w:rPr>
        <w:t>el reintegro a dicho Fondo de la cantidad de USD</w:t>
      </w:r>
      <w:r w:rsidR="00E32B4B">
        <w:rPr>
          <w:rFonts w:ascii="Verdana" w:hAnsi="Verdana"/>
          <w:bCs/>
          <w:sz w:val="20"/>
          <w:szCs w:val="20"/>
        </w:rPr>
        <w:t xml:space="preserve"> </w:t>
      </w:r>
      <w:r w:rsidR="006B5E2E" w:rsidRPr="006B5E2E">
        <w:rPr>
          <w:rFonts w:ascii="Verdana" w:hAnsi="Verdana"/>
          <w:bCs/>
          <w:sz w:val="20"/>
          <w:szCs w:val="20"/>
        </w:rPr>
        <w:t>$5,574.73 (cinco mil quinientos setenta y cuatro punto setenta y tres dólares de los Estados Unidos de América) por</w:t>
      </w:r>
      <w:r w:rsidR="006B5E2E">
        <w:rPr>
          <w:rFonts w:ascii="Verdana" w:hAnsi="Verdana"/>
          <w:bCs/>
          <w:sz w:val="20"/>
          <w:szCs w:val="20"/>
        </w:rPr>
        <w:t xml:space="preserve"> </w:t>
      </w:r>
      <w:r w:rsidR="006B5E2E" w:rsidRPr="006B5E2E">
        <w:rPr>
          <w:rFonts w:ascii="Verdana" w:hAnsi="Verdana"/>
          <w:bCs/>
          <w:sz w:val="20"/>
          <w:szCs w:val="20"/>
        </w:rPr>
        <w:t>concepto de los gastos necesarios realizados para la comparecencia de los declarantes en la audiencia pública del presente caso</w:t>
      </w:r>
      <w:r w:rsidR="00BB5B08" w:rsidRPr="004A0CD9">
        <w:rPr>
          <w:rFonts w:ascii="Verdana" w:hAnsi="Verdana" w:cs="Verdana"/>
          <w:sz w:val="20"/>
          <w:szCs w:val="20"/>
        </w:rPr>
        <w:t>”</w:t>
      </w:r>
      <w:r w:rsidR="00DF2221" w:rsidRPr="004A0CD9">
        <w:rPr>
          <w:rFonts w:ascii="Verdana" w:hAnsi="Verdana" w:cs="Verdana"/>
          <w:sz w:val="20"/>
          <w:szCs w:val="20"/>
        </w:rPr>
        <w:t xml:space="preserve">. </w:t>
      </w:r>
      <w:r w:rsidR="00707546" w:rsidRPr="004A0CD9">
        <w:rPr>
          <w:rFonts w:ascii="Verdana" w:hAnsi="Verdana" w:cs="Verdana"/>
          <w:sz w:val="20"/>
          <w:szCs w:val="20"/>
        </w:rPr>
        <w:t xml:space="preserve">La Corte dispuso que dicha cantidad </w:t>
      </w:r>
      <w:r w:rsidR="00A55184" w:rsidRPr="004A0CD9">
        <w:rPr>
          <w:rFonts w:ascii="Verdana" w:hAnsi="Verdana" w:cs="Verdana"/>
          <w:sz w:val="20"/>
          <w:szCs w:val="20"/>
        </w:rPr>
        <w:t xml:space="preserve">debía </w:t>
      </w:r>
      <w:r w:rsidR="00707546" w:rsidRPr="004A0CD9">
        <w:rPr>
          <w:rFonts w:ascii="Verdana" w:hAnsi="Verdana" w:cs="Verdana"/>
          <w:sz w:val="20"/>
          <w:szCs w:val="20"/>
        </w:rPr>
        <w:t xml:space="preserve">ser reintegrada en el plazo de </w:t>
      </w:r>
      <w:r w:rsidR="006B5E2E">
        <w:rPr>
          <w:rFonts w:ascii="Verdana" w:hAnsi="Verdana" w:cs="Verdana"/>
          <w:sz w:val="20"/>
          <w:szCs w:val="20"/>
        </w:rPr>
        <w:t>noventa días</w:t>
      </w:r>
      <w:r w:rsidR="00707546" w:rsidRPr="004A0CD9">
        <w:rPr>
          <w:rFonts w:ascii="Verdana" w:hAnsi="Verdana" w:cs="Verdana"/>
          <w:sz w:val="20"/>
          <w:szCs w:val="20"/>
        </w:rPr>
        <w:t>, contado</w:t>
      </w:r>
      <w:r w:rsidR="004A0CD9">
        <w:rPr>
          <w:rFonts w:ascii="Verdana" w:hAnsi="Verdana" w:cs="Verdana"/>
          <w:sz w:val="20"/>
          <w:szCs w:val="20"/>
        </w:rPr>
        <w:t>s</w:t>
      </w:r>
      <w:r w:rsidR="00707546" w:rsidRPr="004A0CD9">
        <w:rPr>
          <w:rFonts w:ascii="Verdana" w:hAnsi="Verdana" w:cs="Verdana"/>
          <w:sz w:val="20"/>
          <w:szCs w:val="20"/>
        </w:rPr>
        <w:t xml:space="preserve"> a partir de la notificación del Fallo</w:t>
      </w:r>
      <w:r w:rsidR="000E5B55" w:rsidRPr="004A0CD9">
        <w:rPr>
          <w:rFonts w:ascii="Verdana" w:hAnsi="Verdana" w:cs="Verdana"/>
          <w:sz w:val="20"/>
          <w:szCs w:val="20"/>
        </w:rPr>
        <w:t>, plazo que vencía el</w:t>
      </w:r>
      <w:r w:rsidR="00707546" w:rsidRPr="004A0CD9">
        <w:rPr>
          <w:rFonts w:ascii="Verdana" w:hAnsi="Verdana" w:cs="Verdana"/>
          <w:sz w:val="20"/>
          <w:szCs w:val="20"/>
        </w:rPr>
        <w:t xml:space="preserve"> </w:t>
      </w:r>
      <w:r w:rsidR="007A1810" w:rsidRPr="004A0CD9">
        <w:rPr>
          <w:rFonts w:ascii="Verdana" w:hAnsi="Verdana" w:cs="Verdana"/>
          <w:sz w:val="20"/>
          <w:szCs w:val="20"/>
        </w:rPr>
        <w:t>2</w:t>
      </w:r>
      <w:r w:rsidR="00C918B8">
        <w:rPr>
          <w:rFonts w:ascii="Verdana" w:hAnsi="Verdana" w:cs="Verdana"/>
          <w:sz w:val="20"/>
          <w:szCs w:val="20"/>
        </w:rPr>
        <w:t>1</w:t>
      </w:r>
      <w:r w:rsidR="007A1810" w:rsidRPr="004A0CD9">
        <w:rPr>
          <w:rFonts w:ascii="Verdana" w:hAnsi="Verdana" w:cs="Verdana"/>
          <w:sz w:val="20"/>
          <w:szCs w:val="20"/>
        </w:rPr>
        <w:t xml:space="preserve"> de </w:t>
      </w:r>
      <w:r w:rsidR="006B5E2E">
        <w:rPr>
          <w:rFonts w:ascii="Verdana" w:hAnsi="Verdana" w:cs="Verdana"/>
          <w:sz w:val="20"/>
          <w:szCs w:val="20"/>
        </w:rPr>
        <w:t>marzo</w:t>
      </w:r>
      <w:r w:rsidR="007A1810" w:rsidRPr="004A0CD9">
        <w:rPr>
          <w:rFonts w:ascii="Verdana" w:hAnsi="Verdana" w:cs="Verdana"/>
          <w:sz w:val="20"/>
          <w:szCs w:val="20"/>
        </w:rPr>
        <w:t xml:space="preserve"> de 2019.</w:t>
      </w:r>
    </w:p>
    <w:p w14:paraId="46814BFD" w14:textId="12ED8B87" w:rsidR="00252DD4" w:rsidRDefault="003801B5" w:rsidP="00252DD4">
      <w:pPr>
        <w:numPr>
          <w:ilvl w:val="0"/>
          <w:numId w:val="9"/>
        </w:numPr>
        <w:spacing w:after="200"/>
        <w:ind w:left="0" w:firstLine="0"/>
        <w:jc w:val="both"/>
        <w:rPr>
          <w:rFonts w:ascii="Verdana" w:hAnsi="Verdana" w:cs="Verdana"/>
          <w:sz w:val="20"/>
          <w:szCs w:val="20"/>
        </w:rPr>
      </w:pPr>
      <w:bookmarkStart w:id="4" w:name="_Ref536720100"/>
      <w:r w:rsidRPr="00EE1F07">
        <w:rPr>
          <w:rFonts w:ascii="Verdana" w:hAnsi="Verdana" w:cs="Verdana"/>
          <w:sz w:val="20"/>
          <w:szCs w:val="20"/>
        </w:rPr>
        <w:t>El Tribuna</w:t>
      </w:r>
      <w:r w:rsidR="008B781F" w:rsidRPr="00EE1F07">
        <w:rPr>
          <w:rFonts w:ascii="Verdana" w:hAnsi="Verdana" w:cs="Verdana"/>
          <w:sz w:val="20"/>
          <w:szCs w:val="20"/>
        </w:rPr>
        <w:t>l ha constatado que</w:t>
      </w:r>
      <w:r w:rsidR="007E7081" w:rsidRPr="00EE1F07">
        <w:rPr>
          <w:rFonts w:ascii="Verdana" w:hAnsi="Verdana" w:cs="Verdana"/>
          <w:sz w:val="20"/>
          <w:szCs w:val="20"/>
        </w:rPr>
        <w:t xml:space="preserve">, mediante </w:t>
      </w:r>
      <w:r w:rsidR="00800660" w:rsidRPr="00EE1F07">
        <w:rPr>
          <w:rFonts w:ascii="Verdana" w:hAnsi="Verdana" w:cs="Verdana"/>
          <w:sz w:val="20"/>
          <w:szCs w:val="20"/>
        </w:rPr>
        <w:t>transferencia</w:t>
      </w:r>
      <w:r w:rsidR="008F4923">
        <w:rPr>
          <w:rFonts w:ascii="Verdana" w:hAnsi="Verdana" w:cs="Verdana"/>
          <w:sz w:val="20"/>
          <w:szCs w:val="20"/>
        </w:rPr>
        <w:t>s</w:t>
      </w:r>
      <w:r w:rsidR="007E7081" w:rsidRPr="00EE1F07">
        <w:rPr>
          <w:rFonts w:ascii="Verdana" w:hAnsi="Verdana" w:cs="Verdana"/>
          <w:sz w:val="20"/>
          <w:szCs w:val="20"/>
        </w:rPr>
        <w:t xml:space="preserve"> realizad</w:t>
      </w:r>
      <w:r w:rsidR="00800660" w:rsidRPr="00EE1F07">
        <w:rPr>
          <w:rFonts w:ascii="Verdana" w:hAnsi="Verdana" w:cs="Verdana"/>
          <w:sz w:val="20"/>
          <w:szCs w:val="20"/>
        </w:rPr>
        <w:t>a</w:t>
      </w:r>
      <w:r w:rsidR="008F4923">
        <w:rPr>
          <w:rFonts w:ascii="Verdana" w:hAnsi="Verdana" w:cs="Verdana"/>
          <w:sz w:val="20"/>
          <w:szCs w:val="20"/>
        </w:rPr>
        <w:t>s</w:t>
      </w:r>
      <w:r w:rsidR="007E7081" w:rsidRPr="00EE1F07">
        <w:rPr>
          <w:rFonts w:ascii="Verdana" w:hAnsi="Verdana" w:cs="Verdana"/>
          <w:sz w:val="20"/>
          <w:szCs w:val="20"/>
        </w:rPr>
        <w:t xml:space="preserve"> </w:t>
      </w:r>
      <w:r w:rsidR="008F4923">
        <w:rPr>
          <w:rFonts w:ascii="Verdana" w:hAnsi="Verdana" w:cs="Verdana"/>
          <w:sz w:val="20"/>
          <w:szCs w:val="20"/>
        </w:rPr>
        <w:t>los días</w:t>
      </w:r>
      <w:r w:rsidR="00107D81">
        <w:rPr>
          <w:rFonts w:ascii="Verdana" w:hAnsi="Verdana" w:cs="Verdana"/>
          <w:sz w:val="20"/>
          <w:szCs w:val="20"/>
        </w:rPr>
        <w:t xml:space="preserve"> </w:t>
      </w:r>
      <w:r w:rsidR="00252DD4">
        <w:rPr>
          <w:rFonts w:ascii="Verdana" w:hAnsi="Verdana" w:cs="Verdana"/>
          <w:sz w:val="20"/>
          <w:szCs w:val="20"/>
        </w:rPr>
        <w:t>28</w:t>
      </w:r>
      <w:r w:rsidR="00107D81">
        <w:rPr>
          <w:rFonts w:ascii="Verdana" w:hAnsi="Verdana" w:cs="Verdana"/>
          <w:sz w:val="20"/>
          <w:szCs w:val="20"/>
        </w:rPr>
        <w:t xml:space="preserve"> de </w:t>
      </w:r>
      <w:r w:rsidR="00252DD4">
        <w:rPr>
          <w:rFonts w:ascii="Verdana" w:hAnsi="Verdana" w:cs="Verdana"/>
          <w:sz w:val="20"/>
          <w:szCs w:val="20"/>
        </w:rPr>
        <w:t>febrero</w:t>
      </w:r>
      <w:r w:rsidR="00107D81">
        <w:rPr>
          <w:rFonts w:ascii="Verdana" w:hAnsi="Verdana" w:cs="Verdana"/>
          <w:sz w:val="20"/>
          <w:szCs w:val="20"/>
        </w:rPr>
        <w:t xml:space="preserve"> </w:t>
      </w:r>
      <w:r w:rsidR="008F4923">
        <w:rPr>
          <w:rFonts w:ascii="Verdana" w:hAnsi="Verdana" w:cs="Verdana"/>
          <w:sz w:val="20"/>
          <w:szCs w:val="20"/>
        </w:rPr>
        <w:t>y 4 de junio de 2019</w:t>
      </w:r>
      <w:r w:rsidR="007E7081" w:rsidRPr="00EE1F07">
        <w:rPr>
          <w:rFonts w:ascii="Verdana" w:hAnsi="Verdana" w:cs="Verdana"/>
          <w:sz w:val="20"/>
          <w:szCs w:val="20"/>
        </w:rPr>
        <w:t>,</w:t>
      </w:r>
      <w:r w:rsidR="008B781F" w:rsidRPr="00EE1F07">
        <w:rPr>
          <w:rFonts w:ascii="Verdana" w:hAnsi="Verdana" w:cs="Verdana"/>
          <w:sz w:val="20"/>
          <w:szCs w:val="20"/>
        </w:rPr>
        <w:t xml:space="preserve"> </w:t>
      </w:r>
      <w:r w:rsidR="00A73C47" w:rsidRPr="00EE1F07">
        <w:rPr>
          <w:rFonts w:ascii="Verdana" w:hAnsi="Verdana" w:cs="Verdana"/>
          <w:sz w:val="20"/>
          <w:szCs w:val="20"/>
        </w:rPr>
        <w:t xml:space="preserve">el </w:t>
      </w:r>
      <w:r w:rsidR="008B781F" w:rsidRPr="00EE1F07">
        <w:rPr>
          <w:rFonts w:ascii="Verdana" w:hAnsi="Verdana" w:cs="Verdana"/>
          <w:sz w:val="20"/>
          <w:szCs w:val="20"/>
        </w:rPr>
        <w:t xml:space="preserve">Estado </w:t>
      </w:r>
      <w:r w:rsidR="00252DD4">
        <w:rPr>
          <w:rFonts w:ascii="Verdana" w:hAnsi="Verdana" w:cs="Verdana"/>
          <w:sz w:val="20"/>
          <w:szCs w:val="20"/>
        </w:rPr>
        <w:t>reintegró</w:t>
      </w:r>
      <w:r w:rsidR="008B781F" w:rsidRPr="00EE1F07">
        <w:rPr>
          <w:rFonts w:ascii="Verdana" w:hAnsi="Verdana" w:cs="Verdana"/>
          <w:sz w:val="20"/>
          <w:szCs w:val="20"/>
        </w:rPr>
        <w:t xml:space="preserve"> al</w:t>
      </w:r>
      <w:r w:rsidR="00A73C47" w:rsidRPr="00EE1F07">
        <w:rPr>
          <w:rFonts w:ascii="Verdana" w:hAnsi="Verdana" w:cs="Verdana"/>
          <w:sz w:val="20"/>
          <w:szCs w:val="20"/>
        </w:rPr>
        <w:t xml:space="preserve"> Fondo de Asistencia </w:t>
      </w:r>
      <w:r w:rsidR="00252DD4">
        <w:rPr>
          <w:rFonts w:ascii="Verdana" w:hAnsi="Verdana" w:cs="Verdana"/>
          <w:sz w:val="20"/>
          <w:szCs w:val="20"/>
        </w:rPr>
        <w:t xml:space="preserve">la suma </w:t>
      </w:r>
      <w:r w:rsidR="00D45EF9">
        <w:rPr>
          <w:rFonts w:ascii="Verdana" w:hAnsi="Verdana" w:cs="Verdana"/>
          <w:sz w:val="20"/>
          <w:szCs w:val="20"/>
        </w:rPr>
        <w:t xml:space="preserve">total </w:t>
      </w:r>
      <w:r w:rsidR="00252DD4">
        <w:rPr>
          <w:rFonts w:ascii="Verdana" w:hAnsi="Verdana" w:cs="Verdana"/>
          <w:sz w:val="20"/>
          <w:szCs w:val="20"/>
        </w:rPr>
        <w:t xml:space="preserve">de </w:t>
      </w:r>
      <w:r w:rsidR="00162C69">
        <w:rPr>
          <w:rFonts w:ascii="Verdana" w:hAnsi="Verdana" w:cs="Verdana"/>
          <w:sz w:val="20"/>
          <w:szCs w:val="20"/>
        </w:rPr>
        <w:t>USD</w:t>
      </w:r>
      <w:r w:rsidR="007A75B1">
        <w:rPr>
          <w:rFonts w:ascii="Verdana" w:hAnsi="Verdana" w:cs="Verdana"/>
          <w:sz w:val="20"/>
          <w:szCs w:val="20"/>
        </w:rPr>
        <w:t xml:space="preserve"> </w:t>
      </w:r>
      <w:r w:rsidR="007A75B1" w:rsidRPr="006B5E2E">
        <w:rPr>
          <w:rFonts w:ascii="Verdana" w:hAnsi="Verdana"/>
          <w:bCs/>
          <w:sz w:val="20"/>
          <w:szCs w:val="20"/>
        </w:rPr>
        <w:t>$5,</w:t>
      </w:r>
      <w:r w:rsidR="007A75B1">
        <w:rPr>
          <w:rFonts w:ascii="Verdana" w:hAnsi="Verdana"/>
          <w:bCs/>
          <w:sz w:val="20"/>
          <w:szCs w:val="20"/>
        </w:rPr>
        <w:t>611.72</w:t>
      </w:r>
      <w:r w:rsidR="007A75B1" w:rsidRPr="006B5E2E">
        <w:rPr>
          <w:rFonts w:ascii="Verdana" w:hAnsi="Verdana"/>
          <w:bCs/>
          <w:sz w:val="20"/>
          <w:szCs w:val="20"/>
        </w:rPr>
        <w:t xml:space="preserve"> (cinco </w:t>
      </w:r>
      <w:proofErr w:type="gramStart"/>
      <w:r w:rsidR="007A75B1" w:rsidRPr="006B5E2E">
        <w:rPr>
          <w:rFonts w:ascii="Verdana" w:hAnsi="Verdana"/>
          <w:bCs/>
          <w:sz w:val="20"/>
          <w:szCs w:val="20"/>
        </w:rPr>
        <w:t xml:space="preserve">mil </w:t>
      </w:r>
      <w:r w:rsidR="007A75B1">
        <w:rPr>
          <w:rFonts w:ascii="Verdana" w:hAnsi="Verdana"/>
          <w:bCs/>
          <w:sz w:val="20"/>
          <w:szCs w:val="20"/>
        </w:rPr>
        <w:t>seiscientos</w:t>
      </w:r>
      <w:r w:rsidR="007A75B1" w:rsidRPr="006B5E2E">
        <w:rPr>
          <w:rFonts w:ascii="Verdana" w:hAnsi="Verdana"/>
          <w:bCs/>
          <w:sz w:val="20"/>
          <w:szCs w:val="20"/>
        </w:rPr>
        <w:t xml:space="preserve"> </w:t>
      </w:r>
      <w:r w:rsidR="007A75B1">
        <w:rPr>
          <w:rFonts w:ascii="Verdana" w:hAnsi="Verdana"/>
          <w:bCs/>
          <w:sz w:val="20"/>
          <w:szCs w:val="20"/>
        </w:rPr>
        <w:t>once</w:t>
      </w:r>
      <w:r w:rsidR="007A75B1" w:rsidRPr="006B5E2E">
        <w:rPr>
          <w:rFonts w:ascii="Verdana" w:hAnsi="Verdana"/>
          <w:bCs/>
          <w:sz w:val="20"/>
          <w:szCs w:val="20"/>
        </w:rPr>
        <w:t xml:space="preserve"> punto</w:t>
      </w:r>
      <w:proofErr w:type="gramEnd"/>
      <w:r w:rsidR="007A75B1" w:rsidRPr="006B5E2E">
        <w:rPr>
          <w:rFonts w:ascii="Verdana" w:hAnsi="Verdana"/>
          <w:bCs/>
          <w:sz w:val="20"/>
          <w:szCs w:val="20"/>
        </w:rPr>
        <w:t xml:space="preserve"> setenta y </w:t>
      </w:r>
      <w:r w:rsidR="007A75B1">
        <w:rPr>
          <w:rFonts w:ascii="Verdana" w:hAnsi="Verdana"/>
          <w:bCs/>
          <w:sz w:val="20"/>
          <w:szCs w:val="20"/>
        </w:rPr>
        <w:t>dos</w:t>
      </w:r>
      <w:r w:rsidR="007A75B1" w:rsidRPr="006B5E2E">
        <w:rPr>
          <w:rFonts w:ascii="Verdana" w:hAnsi="Verdana"/>
          <w:bCs/>
          <w:sz w:val="20"/>
          <w:szCs w:val="20"/>
        </w:rPr>
        <w:t xml:space="preserve"> dólares de los Estados Unidos de América</w:t>
      </w:r>
      <w:r w:rsidR="00162C69">
        <w:rPr>
          <w:rFonts w:ascii="Verdana" w:hAnsi="Verdana"/>
          <w:bCs/>
          <w:sz w:val="20"/>
          <w:szCs w:val="20"/>
        </w:rPr>
        <w:t>)</w:t>
      </w:r>
      <w:r w:rsidR="00D45EF9">
        <w:rPr>
          <w:rFonts w:ascii="Verdana" w:hAnsi="Verdana"/>
          <w:bCs/>
          <w:sz w:val="20"/>
          <w:szCs w:val="20"/>
        </w:rPr>
        <w:t xml:space="preserve">, monto que incluye la </w:t>
      </w:r>
      <w:r w:rsidR="004F2685">
        <w:rPr>
          <w:rFonts w:ascii="Verdana" w:hAnsi="Verdana"/>
          <w:bCs/>
          <w:sz w:val="20"/>
          <w:szCs w:val="20"/>
        </w:rPr>
        <w:t>cantidad</w:t>
      </w:r>
      <w:r w:rsidR="00F27A75">
        <w:rPr>
          <w:rFonts w:ascii="Verdana" w:hAnsi="Verdana"/>
          <w:bCs/>
          <w:sz w:val="20"/>
          <w:szCs w:val="20"/>
        </w:rPr>
        <w:t xml:space="preserve"> dispuest</w:t>
      </w:r>
      <w:r w:rsidR="004F2685">
        <w:rPr>
          <w:rFonts w:ascii="Verdana" w:hAnsi="Verdana"/>
          <w:bCs/>
          <w:sz w:val="20"/>
          <w:szCs w:val="20"/>
        </w:rPr>
        <w:t>a</w:t>
      </w:r>
      <w:r w:rsidR="00F27A75">
        <w:rPr>
          <w:rFonts w:ascii="Verdana" w:hAnsi="Verdana"/>
          <w:bCs/>
          <w:sz w:val="20"/>
          <w:szCs w:val="20"/>
        </w:rPr>
        <w:t xml:space="preserve"> en el párrafo 363 de la Sentencia,</w:t>
      </w:r>
      <w:r w:rsidR="00D45EF9">
        <w:rPr>
          <w:rFonts w:ascii="Verdana" w:hAnsi="Verdana"/>
          <w:bCs/>
          <w:sz w:val="20"/>
          <w:szCs w:val="20"/>
        </w:rPr>
        <w:t xml:space="preserve"> </w:t>
      </w:r>
      <w:r w:rsidR="00524382">
        <w:rPr>
          <w:rFonts w:ascii="Verdana" w:hAnsi="Verdana"/>
          <w:bCs/>
          <w:sz w:val="20"/>
          <w:szCs w:val="20"/>
        </w:rPr>
        <w:t>más los intereses por concepto de mora</w:t>
      </w:r>
      <w:r w:rsidR="007D3FBE" w:rsidRPr="00EE1F07">
        <w:rPr>
          <w:rFonts w:ascii="Verdana" w:hAnsi="Verdana" w:cs="Verdana"/>
          <w:sz w:val="20"/>
          <w:szCs w:val="20"/>
        </w:rPr>
        <w:t xml:space="preserve">. </w:t>
      </w:r>
    </w:p>
    <w:bookmarkEnd w:id="4"/>
    <w:p w14:paraId="694D097E" w14:textId="0B920E7E" w:rsidR="00DA67F6" w:rsidRPr="00F344F0" w:rsidRDefault="0065520B" w:rsidP="00F344F0">
      <w:pPr>
        <w:numPr>
          <w:ilvl w:val="0"/>
          <w:numId w:val="9"/>
        </w:numPr>
        <w:spacing w:after="200"/>
        <w:ind w:left="0" w:firstLine="0"/>
        <w:jc w:val="both"/>
        <w:rPr>
          <w:rFonts w:ascii="Verdana" w:hAnsi="Verdana" w:cs="Verdana"/>
          <w:sz w:val="20"/>
          <w:szCs w:val="20"/>
        </w:rPr>
      </w:pPr>
      <w:r w:rsidRPr="00EE1F07">
        <w:rPr>
          <w:rFonts w:ascii="Verdana" w:hAnsi="Verdana"/>
          <w:sz w:val="20"/>
          <w:szCs w:val="20"/>
        </w:rPr>
        <w:t>El Tribunal recuerda que</w:t>
      </w:r>
      <w:r w:rsidR="00DC2794" w:rsidRPr="00EE1F07">
        <w:rPr>
          <w:rFonts w:ascii="Verdana" w:hAnsi="Verdana"/>
          <w:sz w:val="20"/>
          <w:szCs w:val="20"/>
        </w:rPr>
        <w:t xml:space="preserve"> la cr</w:t>
      </w:r>
      <w:r w:rsidR="005C081E" w:rsidRPr="00EE1F07">
        <w:rPr>
          <w:rFonts w:ascii="Verdana" w:hAnsi="Verdana"/>
          <w:sz w:val="20"/>
          <w:szCs w:val="20"/>
        </w:rPr>
        <w:t>eación del Fondo de Asistencia L</w:t>
      </w:r>
      <w:r w:rsidR="00DC2794" w:rsidRPr="00EE1F07">
        <w:rPr>
          <w:rFonts w:ascii="Verdana" w:hAnsi="Verdana"/>
          <w:sz w:val="20"/>
          <w:szCs w:val="20"/>
        </w:rPr>
        <w:t xml:space="preserve">egal del Sistema Interamericano </w:t>
      </w:r>
      <w:r w:rsidR="000418EE" w:rsidRPr="00EE1F07">
        <w:rPr>
          <w:rFonts w:ascii="Verdana" w:hAnsi="Verdana"/>
          <w:sz w:val="20"/>
          <w:szCs w:val="20"/>
        </w:rPr>
        <w:t xml:space="preserve">fue </w:t>
      </w:r>
      <w:r w:rsidR="00DC2794" w:rsidRPr="00EE1F07">
        <w:rPr>
          <w:rFonts w:ascii="Verdana" w:hAnsi="Verdana"/>
          <w:sz w:val="20"/>
          <w:szCs w:val="20"/>
        </w:rPr>
        <w:t>aprobada en el 2008 por la Asamblea General de la OEA</w:t>
      </w:r>
      <w:r w:rsidR="00DC2794" w:rsidRPr="00011A45">
        <w:rPr>
          <w:rStyle w:val="Refdenotaalpie"/>
          <w:rFonts w:ascii="Verdana" w:hAnsi="Verdana"/>
          <w:sz w:val="20"/>
          <w:szCs w:val="20"/>
        </w:rPr>
        <w:footnoteReference w:id="7"/>
      </w:r>
      <w:r w:rsidR="00DC2794" w:rsidRPr="00EE1F07">
        <w:rPr>
          <w:rFonts w:ascii="Verdana" w:hAnsi="Verdana"/>
          <w:sz w:val="20"/>
          <w:szCs w:val="20"/>
        </w:rPr>
        <w:t xml:space="preserve">, </w:t>
      </w:r>
      <w:r w:rsidR="00336F0F" w:rsidRPr="00EE1F07">
        <w:rPr>
          <w:rFonts w:ascii="Verdana" w:hAnsi="Verdana"/>
          <w:sz w:val="20"/>
          <w:szCs w:val="20"/>
        </w:rPr>
        <w:t>y se aprobó que tuviera dos cuentas separadas: una para la Comisión Interamericana y otra para la Corte</w:t>
      </w:r>
      <w:r w:rsidR="00AB48F8" w:rsidRPr="00EE1F07">
        <w:rPr>
          <w:rFonts w:ascii="Verdana" w:hAnsi="Verdana"/>
          <w:sz w:val="20"/>
          <w:szCs w:val="20"/>
        </w:rPr>
        <w:t xml:space="preserve"> Interamericana</w:t>
      </w:r>
      <w:r w:rsidR="00AB48F8" w:rsidRPr="00011A45">
        <w:rPr>
          <w:rStyle w:val="Refdenotaalpie"/>
          <w:rFonts w:ascii="Verdana" w:hAnsi="Verdana"/>
          <w:sz w:val="20"/>
          <w:szCs w:val="20"/>
        </w:rPr>
        <w:footnoteReference w:id="8"/>
      </w:r>
      <w:r w:rsidR="00336F0F" w:rsidRPr="00EE1F07">
        <w:rPr>
          <w:rFonts w:ascii="Verdana" w:hAnsi="Verdana"/>
          <w:sz w:val="20"/>
          <w:szCs w:val="20"/>
        </w:rPr>
        <w:t>.</w:t>
      </w:r>
      <w:r w:rsidRPr="00EE1F07">
        <w:rPr>
          <w:rFonts w:ascii="Verdana" w:hAnsi="Verdana"/>
          <w:sz w:val="20"/>
          <w:szCs w:val="20"/>
        </w:rPr>
        <w:t xml:space="preserve"> </w:t>
      </w:r>
      <w:r w:rsidR="00AB48F8" w:rsidRPr="00EE1F07">
        <w:rPr>
          <w:rFonts w:ascii="Verdana" w:hAnsi="Verdana"/>
          <w:sz w:val="20"/>
          <w:szCs w:val="20"/>
        </w:rPr>
        <w:t>E</w:t>
      </w:r>
      <w:r w:rsidR="00613A26" w:rsidRPr="00EE1F07">
        <w:rPr>
          <w:rFonts w:ascii="Verdana" w:hAnsi="Verdana"/>
          <w:sz w:val="20"/>
          <w:szCs w:val="20"/>
        </w:rPr>
        <w:t xml:space="preserve">n lo que respecta </w:t>
      </w:r>
      <w:r w:rsidR="00B82DF7" w:rsidRPr="00EE1F07">
        <w:rPr>
          <w:rFonts w:ascii="Verdana" w:hAnsi="Verdana"/>
          <w:sz w:val="20"/>
          <w:szCs w:val="20"/>
        </w:rPr>
        <w:t xml:space="preserve">al financiamiento del Fondo de Asistencia de la Corte, </w:t>
      </w:r>
      <w:r w:rsidR="005C081E" w:rsidRPr="00EE1F07">
        <w:rPr>
          <w:rFonts w:ascii="Verdana" w:hAnsi="Verdana"/>
          <w:sz w:val="20"/>
          <w:szCs w:val="20"/>
        </w:rPr>
        <w:t xml:space="preserve">el Tribunal recuerda </w:t>
      </w:r>
      <w:proofErr w:type="gramStart"/>
      <w:r w:rsidR="005C081E" w:rsidRPr="00EE1F07">
        <w:rPr>
          <w:rFonts w:ascii="Verdana" w:hAnsi="Verdana"/>
          <w:sz w:val="20"/>
          <w:szCs w:val="20"/>
        </w:rPr>
        <w:t>que</w:t>
      </w:r>
      <w:proofErr w:type="gramEnd"/>
      <w:r w:rsidR="005C081E" w:rsidRPr="00EE1F07">
        <w:rPr>
          <w:rFonts w:ascii="Verdana" w:hAnsi="Verdana"/>
          <w:sz w:val="20"/>
          <w:szCs w:val="20"/>
        </w:rPr>
        <w:t xml:space="preserve"> </w:t>
      </w:r>
      <w:r w:rsidR="00613A26" w:rsidRPr="00EE1F07">
        <w:rPr>
          <w:rFonts w:ascii="Verdana" w:hAnsi="Verdana"/>
          <w:sz w:val="20"/>
          <w:szCs w:val="20"/>
        </w:rPr>
        <w:t xml:space="preserve">desde su funcionamiento a partir del 2010, este ha dependido </w:t>
      </w:r>
      <w:r w:rsidR="0031129C" w:rsidRPr="00EE1F07">
        <w:rPr>
          <w:rFonts w:ascii="Verdana" w:hAnsi="Verdana"/>
          <w:sz w:val="20"/>
          <w:szCs w:val="20"/>
        </w:rPr>
        <w:t xml:space="preserve">de </w:t>
      </w:r>
      <w:r w:rsidR="005C081E" w:rsidRPr="00EE1F07">
        <w:rPr>
          <w:rFonts w:ascii="Verdana" w:hAnsi="Verdana"/>
          <w:sz w:val="20"/>
          <w:szCs w:val="20"/>
        </w:rPr>
        <w:t xml:space="preserve">los </w:t>
      </w:r>
      <w:r w:rsidRPr="00EE1F07">
        <w:rPr>
          <w:rFonts w:ascii="Verdana" w:hAnsi="Verdana" w:cs="Verdana"/>
          <w:sz w:val="20"/>
          <w:szCs w:val="20"/>
        </w:rPr>
        <w:t xml:space="preserve">aportes </w:t>
      </w:r>
      <w:r w:rsidR="005C081E" w:rsidRPr="00EE1F07">
        <w:rPr>
          <w:rFonts w:ascii="Verdana" w:hAnsi="Verdana" w:cs="Verdana"/>
          <w:sz w:val="20"/>
          <w:szCs w:val="20"/>
        </w:rPr>
        <w:t xml:space="preserve">de capital </w:t>
      </w:r>
      <w:r w:rsidRPr="00EE1F07">
        <w:rPr>
          <w:rFonts w:ascii="Verdana" w:hAnsi="Verdana" w:cs="Verdana"/>
          <w:sz w:val="20"/>
          <w:szCs w:val="20"/>
        </w:rPr>
        <w:t>voluntarios de fuentes cooperantes</w:t>
      </w:r>
      <w:r w:rsidR="00613A26" w:rsidRPr="00EE1F07">
        <w:rPr>
          <w:rFonts w:ascii="Verdana" w:hAnsi="Verdana" w:cs="Verdana"/>
          <w:sz w:val="20"/>
          <w:szCs w:val="20"/>
        </w:rPr>
        <w:t xml:space="preserve"> y de</w:t>
      </w:r>
      <w:r w:rsidR="001C3239" w:rsidRPr="00EE1F07">
        <w:rPr>
          <w:rFonts w:ascii="Verdana" w:hAnsi="Verdana" w:cs="Verdana"/>
          <w:sz w:val="20"/>
          <w:szCs w:val="20"/>
        </w:rPr>
        <w:t>l aporte de</w:t>
      </w:r>
      <w:r w:rsidR="00613A26" w:rsidRPr="00EE1F07">
        <w:rPr>
          <w:rFonts w:ascii="Verdana" w:hAnsi="Verdana" w:cs="Verdana"/>
          <w:sz w:val="20"/>
          <w:szCs w:val="20"/>
        </w:rPr>
        <w:t xml:space="preserve"> un Estado miembro de la OEA</w:t>
      </w:r>
      <w:r w:rsidR="005C081E" w:rsidRPr="00011A45">
        <w:rPr>
          <w:rStyle w:val="Refdenotaalpie"/>
          <w:rFonts w:ascii="Verdana" w:hAnsi="Verdana" w:cs="Verdana"/>
          <w:sz w:val="20"/>
          <w:szCs w:val="20"/>
        </w:rPr>
        <w:footnoteReference w:id="9"/>
      </w:r>
      <w:r w:rsidRPr="00EE1F07">
        <w:rPr>
          <w:rFonts w:ascii="Verdana" w:hAnsi="Verdana" w:cs="Verdana"/>
          <w:sz w:val="20"/>
          <w:szCs w:val="20"/>
        </w:rPr>
        <w:t xml:space="preserve">, </w:t>
      </w:r>
      <w:r w:rsidR="00613A26" w:rsidRPr="00EE1F07">
        <w:rPr>
          <w:rFonts w:ascii="Verdana" w:hAnsi="Verdana" w:cs="Verdana"/>
          <w:sz w:val="20"/>
          <w:szCs w:val="20"/>
        </w:rPr>
        <w:t xml:space="preserve">así como de los reintegros que realicen los Estados responsables, </w:t>
      </w:r>
      <w:r w:rsidRPr="00EE1F07">
        <w:rPr>
          <w:rFonts w:ascii="Verdana" w:hAnsi="Verdana" w:cs="Verdana"/>
          <w:sz w:val="20"/>
          <w:szCs w:val="20"/>
        </w:rPr>
        <w:t xml:space="preserve">razón por la cual </w:t>
      </w:r>
      <w:r w:rsidRPr="00EE1F07">
        <w:rPr>
          <w:rFonts w:ascii="Verdana" w:hAnsi="Verdana" w:cs="Verdana"/>
          <w:sz w:val="20"/>
          <w:szCs w:val="20"/>
        </w:rPr>
        <w:lastRenderedPageBreak/>
        <w:t xml:space="preserve">los recursos </w:t>
      </w:r>
      <w:r w:rsidRPr="00EE1F07">
        <w:rPr>
          <w:rFonts w:ascii="Verdana" w:hAnsi="Verdana" w:cs="Verdana"/>
          <w:bCs/>
          <w:sz w:val="20"/>
          <w:szCs w:val="20"/>
        </w:rPr>
        <w:t xml:space="preserve">disponibles en el mismo son limitados. Es por ello que el </w:t>
      </w:r>
      <w:r w:rsidRPr="00EE1F07">
        <w:rPr>
          <w:rFonts w:ascii="Verdana" w:hAnsi="Verdana"/>
          <w:sz w:val="20"/>
          <w:szCs w:val="20"/>
        </w:rPr>
        <w:t>Tribunal</w:t>
      </w:r>
      <w:r w:rsidRPr="00EE1F07">
        <w:rPr>
          <w:rFonts w:ascii="Verdana" w:hAnsi="Verdana" w:cs="Verdana"/>
          <w:bCs/>
          <w:sz w:val="20"/>
          <w:szCs w:val="20"/>
        </w:rPr>
        <w:t xml:space="preserve"> </w:t>
      </w:r>
      <w:r w:rsidRPr="00EE1F07">
        <w:rPr>
          <w:rFonts w:ascii="Verdana" w:hAnsi="Verdana"/>
          <w:sz w:val="20"/>
          <w:szCs w:val="20"/>
        </w:rPr>
        <w:t>resalta la voluntad de cumplimiento de sus obligaciones internacion</w:t>
      </w:r>
      <w:r w:rsidR="007A75B1">
        <w:rPr>
          <w:rFonts w:ascii="Verdana" w:hAnsi="Verdana"/>
          <w:sz w:val="20"/>
          <w:szCs w:val="20"/>
        </w:rPr>
        <w:t xml:space="preserve">ales demostrada por </w:t>
      </w:r>
      <w:r w:rsidR="004140DB">
        <w:rPr>
          <w:rFonts w:ascii="Verdana" w:hAnsi="Verdana"/>
          <w:sz w:val="20"/>
          <w:szCs w:val="20"/>
        </w:rPr>
        <w:t>México</w:t>
      </w:r>
      <w:r w:rsidRPr="00EE1F07">
        <w:rPr>
          <w:rFonts w:ascii="Verdana" w:hAnsi="Verdana"/>
          <w:sz w:val="20"/>
          <w:szCs w:val="20"/>
        </w:rPr>
        <w:t xml:space="preserve"> al reintegrar los </w:t>
      </w:r>
      <w:r w:rsidR="00613A26" w:rsidRPr="00EE1F07">
        <w:rPr>
          <w:rFonts w:ascii="Verdana" w:hAnsi="Verdana"/>
          <w:sz w:val="20"/>
          <w:szCs w:val="20"/>
        </w:rPr>
        <w:t>recursos</w:t>
      </w:r>
      <w:r w:rsidRPr="00EE1F07">
        <w:rPr>
          <w:rFonts w:ascii="Verdana" w:hAnsi="Verdana"/>
          <w:sz w:val="20"/>
          <w:szCs w:val="20"/>
        </w:rPr>
        <w:t xml:space="preserve"> al</w:t>
      </w:r>
      <w:r w:rsidR="00B82DF7" w:rsidRPr="00EE1F07">
        <w:rPr>
          <w:rFonts w:ascii="Verdana" w:hAnsi="Verdana"/>
          <w:sz w:val="20"/>
          <w:szCs w:val="20"/>
        </w:rPr>
        <w:t xml:space="preserve"> referido</w:t>
      </w:r>
      <w:r w:rsidRPr="00EE1F07">
        <w:rPr>
          <w:rFonts w:ascii="Verdana" w:hAnsi="Verdana"/>
          <w:sz w:val="20"/>
          <w:szCs w:val="20"/>
        </w:rPr>
        <w:t xml:space="preserve"> Fondo de Asistencia. El reintegro realizado por </w:t>
      </w:r>
      <w:r w:rsidR="004140DB">
        <w:rPr>
          <w:rFonts w:ascii="Verdana" w:hAnsi="Verdana"/>
          <w:sz w:val="20"/>
          <w:szCs w:val="20"/>
        </w:rPr>
        <w:t>el Estado</w:t>
      </w:r>
      <w:r w:rsidR="006632DC">
        <w:rPr>
          <w:rFonts w:ascii="Verdana" w:hAnsi="Verdana"/>
          <w:sz w:val="20"/>
          <w:szCs w:val="20"/>
        </w:rPr>
        <w:t xml:space="preserve"> </w:t>
      </w:r>
      <w:r w:rsidRPr="00EE1F07">
        <w:rPr>
          <w:rFonts w:ascii="Verdana" w:hAnsi="Verdana"/>
          <w:sz w:val="20"/>
          <w:szCs w:val="20"/>
        </w:rPr>
        <w:t>contribuirá a la sostenibilidad de dicho Fondo, el cual está dirigido a brindar asistencia económica a las presuntas víctimas que carecen de recursos económicos suficientes para sufragar los gastos del litigio ante la Corte Interamericana, garantizando su acceso a la justicia en términos igualitarios.</w:t>
      </w:r>
    </w:p>
    <w:p w14:paraId="3356AA2E" w14:textId="77777777" w:rsidR="00A64897" w:rsidRDefault="00A64897" w:rsidP="0066130C">
      <w:pPr>
        <w:spacing w:after="200"/>
        <w:ind w:right="366"/>
        <w:jc w:val="both"/>
        <w:rPr>
          <w:rFonts w:ascii="Verdana" w:hAnsi="Verdana"/>
          <w:b/>
          <w:sz w:val="20"/>
          <w:szCs w:val="20"/>
        </w:rPr>
      </w:pPr>
    </w:p>
    <w:p w14:paraId="4B7205C8" w14:textId="77777777" w:rsidR="0065520B" w:rsidRPr="00F10321" w:rsidRDefault="0065520B" w:rsidP="0066130C">
      <w:pPr>
        <w:spacing w:after="200"/>
        <w:ind w:right="366"/>
        <w:jc w:val="both"/>
        <w:rPr>
          <w:rFonts w:ascii="Verdana" w:hAnsi="Verdana"/>
          <w:b/>
          <w:sz w:val="20"/>
          <w:szCs w:val="20"/>
        </w:rPr>
      </w:pPr>
      <w:r w:rsidRPr="00F10321">
        <w:rPr>
          <w:rFonts w:ascii="Verdana" w:hAnsi="Verdana"/>
          <w:b/>
          <w:sz w:val="20"/>
          <w:szCs w:val="20"/>
        </w:rPr>
        <w:t>POR TANTO:</w:t>
      </w:r>
    </w:p>
    <w:p w14:paraId="7054AFC8" w14:textId="77777777" w:rsidR="0065520B" w:rsidRPr="00F10321" w:rsidRDefault="0065520B" w:rsidP="0066130C">
      <w:pPr>
        <w:spacing w:after="200"/>
        <w:ind w:right="366"/>
        <w:jc w:val="both"/>
        <w:rPr>
          <w:rFonts w:ascii="Verdana" w:hAnsi="Verdana"/>
          <w:sz w:val="20"/>
          <w:szCs w:val="20"/>
        </w:rPr>
      </w:pPr>
      <w:r w:rsidRPr="00F10321">
        <w:rPr>
          <w:rFonts w:ascii="Verdana" w:hAnsi="Verdana"/>
          <w:b/>
          <w:sz w:val="20"/>
          <w:szCs w:val="20"/>
        </w:rPr>
        <w:t>LA CORTE INTERAMERICANA DE DERECHOS HUMANOS,</w:t>
      </w:r>
    </w:p>
    <w:p w14:paraId="7BE87B99" w14:textId="77777777" w:rsidR="0065520B" w:rsidRPr="00F344F0" w:rsidRDefault="0065520B" w:rsidP="00F344F0">
      <w:pPr>
        <w:spacing w:after="200"/>
        <w:jc w:val="both"/>
        <w:rPr>
          <w:rFonts w:ascii="Verdana" w:hAnsi="Verdana" w:cs="Verdana"/>
          <w:sz w:val="20"/>
        </w:rPr>
      </w:pPr>
      <w:r w:rsidRPr="00F10321">
        <w:rPr>
          <w:rFonts w:ascii="Verdana" w:hAnsi="Verdana"/>
          <w:sz w:val="20"/>
        </w:rPr>
        <w:t xml:space="preserve">de conformidad con los artículos 67 y 68 de la Convención Americana, 25.1 y 25.2 del Estatuto de la Corte, 69 del Reglamento del Tribunal, así como con los artículos 1, 4 y 5 del Reglamento del Fondo de Asistencia Legal de Víctimas, </w:t>
      </w:r>
    </w:p>
    <w:p w14:paraId="20DA84A9" w14:textId="77777777" w:rsidR="0065520B" w:rsidRPr="00F10321" w:rsidRDefault="0065520B" w:rsidP="0066130C">
      <w:pPr>
        <w:spacing w:after="200"/>
        <w:ind w:right="366"/>
        <w:jc w:val="both"/>
        <w:rPr>
          <w:rFonts w:ascii="Verdana" w:hAnsi="Verdana"/>
          <w:b/>
          <w:caps/>
          <w:sz w:val="20"/>
          <w:szCs w:val="20"/>
        </w:rPr>
      </w:pPr>
      <w:r w:rsidRPr="00F10321">
        <w:rPr>
          <w:rFonts w:ascii="Verdana" w:hAnsi="Verdana"/>
          <w:b/>
          <w:caps/>
          <w:sz w:val="20"/>
          <w:szCs w:val="20"/>
        </w:rPr>
        <w:t>Resuelve:</w:t>
      </w:r>
    </w:p>
    <w:p w14:paraId="7A200668" w14:textId="0EE461D5" w:rsidR="0065520B" w:rsidRDefault="003119FE" w:rsidP="0066130C">
      <w:pPr>
        <w:numPr>
          <w:ilvl w:val="0"/>
          <w:numId w:val="1"/>
        </w:numPr>
        <w:spacing w:after="200"/>
        <w:ind w:left="0" w:firstLine="0"/>
        <w:jc w:val="both"/>
        <w:rPr>
          <w:rFonts w:ascii="Verdana" w:hAnsi="Verdana"/>
          <w:sz w:val="20"/>
          <w:szCs w:val="20"/>
        </w:rPr>
      </w:pPr>
      <w:bookmarkStart w:id="5" w:name="_Ref504383433"/>
      <w:r w:rsidRPr="00B82CB7">
        <w:rPr>
          <w:rFonts w:ascii="Verdana" w:hAnsi="Verdana"/>
          <w:sz w:val="20"/>
        </w:rPr>
        <w:t>Declarar q</w:t>
      </w:r>
      <w:r w:rsidR="0065520B" w:rsidRPr="00B82CB7">
        <w:rPr>
          <w:rFonts w:ascii="Verdana" w:hAnsi="Verdana"/>
          <w:sz w:val="20"/>
        </w:rPr>
        <w:t xml:space="preserve">ue </w:t>
      </w:r>
      <w:r w:rsidR="00F344F0">
        <w:rPr>
          <w:rFonts w:ascii="Verdana" w:hAnsi="Verdana"/>
          <w:sz w:val="20"/>
        </w:rPr>
        <w:t>los Estados Unidos Mexicanos han</w:t>
      </w:r>
      <w:r w:rsidR="00707915" w:rsidRPr="00B82CB7">
        <w:rPr>
          <w:rFonts w:ascii="Verdana" w:hAnsi="Verdana" w:cs="Verdana"/>
          <w:sz w:val="20"/>
          <w:szCs w:val="20"/>
        </w:rPr>
        <w:t xml:space="preserve"> cumplido con </w:t>
      </w:r>
      <w:r w:rsidR="00707915" w:rsidRPr="00D54C91">
        <w:rPr>
          <w:rFonts w:ascii="Verdana" w:hAnsi="Verdana" w:cs="Verdana"/>
          <w:sz w:val="20"/>
          <w:szCs w:val="20"/>
        </w:rPr>
        <w:t>reintegr</w:t>
      </w:r>
      <w:r w:rsidR="00707915" w:rsidRPr="005B7714">
        <w:rPr>
          <w:rFonts w:ascii="Verdana" w:hAnsi="Verdana" w:cs="Verdana"/>
          <w:sz w:val="20"/>
          <w:szCs w:val="20"/>
        </w:rPr>
        <w:t xml:space="preserve">ar al Fondo de Asistencia Legal de Víctimas </w:t>
      </w:r>
      <w:r w:rsidR="00707915" w:rsidRPr="002177A8">
        <w:rPr>
          <w:rFonts w:ascii="Verdana" w:hAnsi="Verdana" w:cs="Verdana"/>
          <w:sz w:val="20"/>
          <w:szCs w:val="20"/>
        </w:rPr>
        <w:t>de la Corte Interamericana</w:t>
      </w:r>
      <w:r w:rsidR="00D021FE" w:rsidRPr="005763C1">
        <w:rPr>
          <w:rFonts w:ascii="Verdana" w:hAnsi="Verdana" w:cs="Verdana"/>
          <w:sz w:val="20"/>
          <w:szCs w:val="20"/>
        </w:rPr>
        <w:t xml:space="preserve"> de Derechos Humanos</w:t>
      </w:r>
      <w:r w:rsidR="00707915" w:rsidRPr="005763C1">
        <w:rPr>
          <w:rFonts w:ascii="Verdana" w:hAnsi="Verdana" w:cs="Verdana"/>
          <w:sz w:val="20"/>
          <w:szCs w:val="20"/>
        </w:rPr>
        <w:t xml:space="preserve"> la ca</w:t>
      </w:r>
      <w:r w:rsidR="00C92E60" w:rsidRPr="005763C1">
        <w:rPr>
          <w:rFonts w:ascii="Verdana" w:hAnsi="Verdana" w:cs="Verdana"/>
          <w:sz w:val="20"/>
          <w:szCs w:val="20"/>
        </w:rPr>
        <w:t xml:space="preserve">ntidad dispuesta en el párrafo </w:t>
      </w:r>
      <w:r w:rsidR="00F344F0">
        <w:rPr>
          <w:rFonts w:ascii="Verdana" w:hAnsi="Verdana" w:cs="Verdana"/>
          <w:sz w:val="20"/>
          <w:szCs w:val="20"/>
        </w:rPr>
        <w:t>363</w:t>
      </w:r>
      <w:r w:rsidR="00707915" w:rsidRPr="005763C1">
        <w:rPr>
          <w:rFonts w:ascii="Verdana" w:hAnsi="Verdana" w:cs="Verdana"/>
          <w:sz w:val="20"/>
          <w:szCs w:val="20"/>
        </w:rPr>
        <w:t xml:space="preserve"> y</w:t>
      </w:r>
      <w:r w:rsidR="0065520B" w:rsidRPr="005763C1">
        <w:rPr>
          <w:rFonts w:ascii="Verdana" w:hAnsi="Verdana"/>
          <w:sz w:val="20"/>
          <w:szCs w:val="20"/>
        </w:rPr>
        <w:t xml:space="preserve"> punto </w:t>
      </w:r>
      <w:r w:rsidR="007A75B1">
        <w:rPr>
          <w:rFonts w:ascii="Verdana" w:hAnsi="Verdana"/>
          <w:sz w:val="20"/>
          <w:szCs w:val="20"/>
        </w:rPr>
        <w:t>resolutivo</w:t>
      </w:r>
      <w:r w:rsidR="00321A6E" w:rsidRPr="005763C1">
        <w:rPr>
          <w:rFonts w:ascii="Verdana" w:hAnsi="Verdana"/>
          <w:sz w:val="20"/>
          <w:szCs w:val="20"/>
        </w:rPr>
        <w:t xml:space="preserve"> </w:t>
      </w:r>
      <w:r w:rsidR="00F344F0">
        <w:rPr>
          <w:rFonts w:ascii="Verdana" w:hAnsi="Verdana"/>
          <w:sz w:val="20"/>
          <w:szCs w:val="20"/>
        </w:rPr>
        <w:t>vigésimo primero</w:t>
      </w:r>
      <w:r w:rsidR="003B3976" w:rsidRPr="005763C1">
        <w:rPr>
          <w:rFonts w:ascii="Verdana" w:hAnsi="Verdana"/>
          <w:sz w:val="20"/>
          <w:szCs w:val="20"/>
        </w:rPr>
        <w:t xml:space="preserve"> </w:t>
      </w:r>
      <w:r w:rsidR="0065520B" w:rsidRPr="005763C1">
        <w:rPr>
          <w:rFonts w:ascii="Verdana" w:hAnsi="Verdana"/>
          <w:sz w:val="20"/>
          <w:szCs w:val="20"/>
        </w:rPr>
        <w:t>de la Sent</w:t>
      </w:r>
      <w:r w:rsidR="003B3976" w:rsidRPr="005763C1">
        <w:rPr>
          <w:rFonts w:ascii="Verdana" w:hAnsi="Verdana"/>
          <w:sz w:val="20"/>
          <w:szCs w:val="20"/>
        </w:rPr>
        <w:t>encia de</w:t>
      </w:r>
      <w:r w:rsidR="005C0F77" w:rsidRPr="005763C1">
        <w:rPr>
          <w:rFonts w:ascii="Verdana" w:hAnsi="Verdana"/>
          <w:sz w:val="20"/>
          <w:szCs w:val="20"/>
        </w:rPr>
        <w:t xml:space="preserve"> </w:t>
      </w:r>
      <w:r w:rsidR="0065520B" w:rsidRPr="005763C1">
        <w:rPr>
          <w:rFonts w:ascii="Verdana" w:hAnsi="Verdana"/>
          <w:sz w:val="20"/>
          <w:szCs w:val="20"/>
        </w:rPr>
        <w:t>fondo, re</w:t>
      </w:r>
      <w:r w:rsidR="00300969" w:rsidRPr="005763C1">
        <w:rPr>
          <w:rFonts w:ascii="Verdana" w:hAnsi="Verdana"/>
          <w:sz w:val="20"/>
          <w:szCs w:val="20"/>
        </w:rPr>
        <w:t xml:space="preserve">paraciones y costas emitida el </w:t>
      </w:r>
      <w:r w:rsidR="00F344F0">
        <w:rPr>
          <w:rFonts w:ascii="Verdana" w:hAnsi="Verdana"/>
          <w:sz w:val="20"/>
          <w:szCs w:val="20"/>
        </w:rPr>
        <w:t>28</w:t>
      </w:r>
      <w:r w:rsidR="00FE21C8">
        <w:rPr>
          <w:rFonts w:ascii="Verdana" w:hAnsi="Verdana"/>
          <w:sz w:val="20"/>
          <w:szCs w:val="20"/>
        </w:rPr>
        <w:t xml:space="preserve"> de </w:t>
      </w:r>
      <w:r w:rsidR="00F344F0">
        <w:rPr>
          <w:rFonts w:ascii="Verdana" w:hAnsi="Verdana"/>
          <w:sz w:val="20"/>
          <w:szCs w:val="20"/>
        </w:rPr>
        <w:t>noviembre</w:t>
      </w:r>
      <w:r w:rsidR="00FE21C8">
        <w:rPr>
          <w:rFonts w:ascii="Verdana" w:hAnsi="Verdana"/>
          <w:sz w:val="20"/>
          <w:szCs w:val="20"/>
        </w:rPr>
        <w:t xml:space="preserve"> de 2018</w:t>
      </w:r>
      <w:r w:rsidR="00664E56" w:rsidRPr="005763C1">
        <w:rPr>
          <w:rFonts w:ascii="Verdana" w:hAnsi="Verdana"/>
          <w:sz w:val="20"/>
          <w:szCs w:val="20"/>
        </w:rPr>
        <w:t xml:space="preserve">, de conformidad con lo indicado en el Considerando </w:t>
      </w:r>
      <w:r w:rsidR="00B37020">
        <w:rPr>
          <w:rFonts w:ascii="Verdana" w:hAnsi="Verdana"/>
          <w:sz w:val="20"/>
          <w:szCs w:val="20"/>
        </w:rPr>
        <w:fldChar w:fldCharType="begin"/>
      </w:r>
      <w:r w:rsidR="00B37020">
        <w:rPr>
          <w:rFonts w:ascii="Verdana" w:hAnsi="Verdana"/>
          <w:sz w:val="20"/>
          <w:szCs w:val="20"/>
        </w:rPr>
        <w:instrText xml:space="preserve"> REF _Ref536720100 \r \h </w:instrText>
      </w:r>
      <w:r w:rsidR="00B37020">
        <w:rPr>
          <w:rFonts w:ascii="Verdana" w:hAnsi="Verdana"/>
          <w:sz w:val="20"/>
          <w:szCs w:val="20"/>
        </w:rPr>
      </w:r>
      <w:r w:rsidR="00B37020">
        <w:rPr>
          <w:rFonts w:ascii="Verdana" w:hAnsi="Verdana"/>
          <w:sz w:val="20"/>
          <w:szCs w:val="20"/>
        </w:rPr>
        <w:fldChar w:fldCharType="separate"/>
      </w:r>
      <w:r w:rsidR="00002266">
        <w:rPr>
          <w:rFonts w:ascii="Verdana" w:hAnsi="Verdana"/>
          <w:sz w:val="20"/>
          <w:szCs w:val="20"/>
        </w:rPr>
        <w:t>3</w:t>
      </w:r>
      <w:r w:rsidR="00B37020">
        <w:rPr>
          <w:rFonts w:ascii="Verdana" w:hAnsi="Verdana"/>
          <w:sz w:val="20"/>
          <w:szCs w:val="20"/>
        </w:rPr>
        <w:fldChar w:fldCharType="end"/>
      </w:r>
      <w:r w:rsidR="00664E56" w:rsidRPr="005763C1">
        <w:rPr>
          <w:rFonts w:ascii="Verdana" w:hAnsi="Verdana"/>
          <w:sz w:val="20"/>
          <w:szCs w:val="20"/>
        </w:rPr>
        <w:t xml:space="preserve"> de la presente Resolución</w:t>
      </w:r>
      <w:r w:rsidR="00FE79A2" w:rsidRPr="005763C1">
        <w:rPr>
          <w:rFonts w:ascii="Verdana" w:hAnsi="Verdana"/>
          <w:sz w:val="20"/>
          <w:szCs w:val="20"/>
        </w:rPr>
        <w:t>.</w:t>
      </w:r>
      <w:bookmarkEnd w:id="5"/>
    </w:p>
    <w:p w14:paraId="4F4A75FE" w14:textId="5BF14603" w:rsidR="004F2685" w:rsidRPr="005763C1" w:rsidRDefault="004F2685" w:rsidP="0066130C">
      <w:pPr>
        <w:numPr>
          <w:ilvl w:val="0"/>
          <w:numId w:val="1"/>
        </w:numPr>
        <w:spacing w:after="200"/>
        <w:ind w:left="0" w:firstLine="0"/>
        <w:jc w:val="both"/>
        <w:rPr>
          <w:rFonts w:ascii="Verdana" w:hAnsi="Verdana"/>
          <w:sz w:val="20"/>
          <w:szCs w:val="20"/>
        </w:rPr>
      </w:pPr>
      <w:r>
        <w:rPr>
          <w:rFonts w:ascii="Verdana" w:hAnsi="Verdana"/>
          <w:sz w:val="20"/>
          <w:szCs w:val="20"/>
        </w:rPr>
        <w:t xml:space="preserve">Mantener abierto </w:t>
      </w:r>
      <w:r w:rsidRPr="004F2685">
        <w:rPr>
          <w:rFonts w:ascii="Verdana" w:hAnsi="Verdana"/>
          <w:sz w:val="20"/>
          <w:szCs w:val="20"/>
        </w:rPr>
        <w:t>el procedimiento de supervisión de cumplimiento de las medidas de reparación ordenadas en los puntos resolutivos</w:t>
      </w:r>
      <w:r>
        <w:rPr>
          <w:rFonts w:ascii="Verdana" w:hAnsi="Verdana"/>
          <w:sz w:val="20"/>
          <w:szCs w:val="20"/>
        </w:rPr>
        <w:t xml:space="preserve"> décimo a vigésimo de la Sentencia, </w:t>
      </w:r>
      <w:r w:rsidRPr="004F2685">
        <w:rPr>
          <w:rFonts w:ascii="Verdana" w:hAnsi="Verdana"/>
          <w:sz w:val="20"/>
          <w:szCs w:val="20"/>
        </w:rPr>
        <w:t>de conformidad con lo indicado en el Considerando 1 de la presente Resolución</w:t>
      </w:r>
      <w:r>
        <w:rPr>
          <w:rFonts w:ascii="Verdana" w:hAnsi="Verdana"/>
          <w:sz w:val="20"/>
          <w:szCs w:val="20"/>
        </w:rPr>
        <w:t xml:space="preserve">. </w:t>
      </w:r>
    </w:p>
    <w:p w14:paraId="39A2BAC5" w14:textId="77777777" w:rsidR="001C627E" w:rsidRDefault="009E094C" w:rsidP="0066130C">
      <w:pPr>
        <w:numPr>
          <w:ilvl w:val="0"/>
          <w:numId w:val="1"/>
        </w:numPr>
        <w:spacing w:after="200"/>
        <w:ind w:left="0" w:firstLine="0"/>
        <w:jc w:val="both"/>
        <w:rPr>
          <w:rFonts w:ascii="Verdana" w:hAnsi="Verdana"/>
          <w:sz w:val="20"/>
          <w:szCs w:val="20"/>
        </w:rPr>
      </w:pPr>
      <w:r w:rsidRPr="007D3DA8">
        <w:rPr>
          <w:rFonts w:ascii="Verdana" w:hAnsi="Verdana"/>
          <w:sz w:val="20"/>
          <w:szCs w:val="20"/>
        </w:rPr>
        <w:t>Disponer q</w:t>
      </w:r>
      <w:r w:rsidR="0065520B" w:rsidRPr="007D3DA8">
        <w:rPr>
          <w:rFonts w:ascii="Verdana" w:hAnsi="Verdana"/>
          <w:sz w:val="20"/>
          <w:szCs w:val="20"/>
        </w:rPr>
        <w:t>ue</w:t>
      </w:r>
      <w:r w:rsidR="0065520B" w:rsidRPr="0099633E">
        <w:rPr>
          <w:rFonts w:ascii="Verdana" w:hAnsi="Verdana"/>
          <w:sz w:val="20"/>
          <w:szCs w:val="20"/>
        </w:rPr>
        <w:t xml:space="preserve"> la </w:t>
      </w:r>
      <w:r w:rsidR="0065520B" w:rsidRPr="0099633E">
        <w:rPr>
          <w:rFonts w:ascii="Verdana" w:hAnsi="Verdana" w:cs="Verdana"/>
          <w:sz w:val="20"/>
          <w:szCs w:val="20"/>
        </w:rPr>
        <w:t xml:space="preserve">Secretaría de la Corte Interamericana </w:t>
      </w:r>
      <w:r w:rsidR="0065520B" w:rsidRPr="0099633E">
        <w:rPr>
          <w:rFonts w:ascii="Verdana" w:hAnsi="Verdana" w:cs="TTE3F96A70t00"/>
          <w:sz w:val="20"/>
        </w:rPr>
        <w:t>de Derechos Humanos</w:t>
      </w:r>
      <w:r w:rsidR="0065520B" w:rsidRPr="0099633E">
        <w:rPr>
          <w:rFonts w:ascii="Verdana" w:hAnsi="Verdana" w:cs="Verdana"/>
          <w:sz w:val="20"/>
          <w:szCs w:val="20"/>
        </w:rPr>
        <w:t xml:space="preserve"> notifique la presente Resolución </w:t>
      </w:r>
      <w:r w:rsidR="00524382">
        <w:rPr>
          <w:rFonts w:ascii="Verdana" w:hAnsi="Verdana" w:cs="Verdana"/>
          <w:sz w:val="20"/>
          <w:szCs w:val="20"/>
        </w:rPr>
        <w:t xml:space="preserve">a </w:t>
      </w:r>
      <w:r w:rsidR="00524382">
        <w:rPr>
          <w:rFonts w:ascii="Verdana" w:hAnsi="Verdana"/>
          <w:sz w:val="20"/>
        </w:rPr>
        <w:t>los Estados Unidos Mexicanos</w:t>
      </w:r>
      <w:r w:rsidR="007D3DA8">
        <w:rPr>
          <w:rFonts w:ascii="Verdana" w:hAnsi="Verdana" w:cs="Verdana"/>
          <w:sz w:val="20"/>
          <w:szCs w:val="20"/>
        </w:rPr>
        <w:t>,</w:t>
      </w:r>
      <w:r w:rsidR="00CA2E20">
        <w:rPr>
          <w:rFonts w:ascii="Verdana" w:hAnsi="Verdana" w:cs="Verdana"/>
          <w:sz w:val="20"/>
          <w:szCs w:val="20"/>
        </w:rPr>
        <w:t xml:space="preserve"> a</w:t>
      </w:r>
      <w:r w:rsidR="007D3DA8">
        <w:rPr>
          <w:rFonts w:ascii="Verdana" w:hAnsi="Verdana" w:cs="Verdana"/>
          <w:sz w:val="20"/>
          <w:szCs w:val="20"/>
        </w:rPr>
        <w:t xml:space="preserve"> </w:t>
      </w:r>
      <w:r w:rsidR="0065520B" w:rsidRPr="0099633E">
        <w:rPr>
          <w:rFonts w:ascii="Verdana" w:hAnsi="Verdana" w:cs="Verdana"/>
          <w:sz w:val="20"/>
          <w:szCs w:val="20"/>
        </w:rPr>
        <w:t>los representantes de la</w:t>
      </w:r>
      <w:r w:rsidR="00F07FA5">
        <w:rPr>
          <w:rFonts w:ascii="Verdana" w:hAnsi="Verdana" w:cs="Verdana"/>
          <w:sz w:val="20"/>
          <w:szCs w:val="20"/>
        </w:rPr>
        <w:t>s</w:t>
      </w:r>
      <w:r w:rsidR="0065520B" w:rsidRPr="0099633E">
        <w:rPr>
          <w:rFonts w:ascii="Verdana" w:hAnsi="Verdana" w:cs="Verdana"/>
          <w:sz w:val="20"/>
          <w:szCs w:val="20"/>
        </w:rPr>
        <w:t xml:space="preserve"> víctima</w:t>
      </w:r>
      <w:r w:rsidR="00F07FA5">
        <w:rPr>
          <w:rFonts w:ascii="Verdana" w:hAnsi="Verdana" w:cs="Verdana"/>
          <w:sz w:val="20"/>
          <w:szCs w:val="20"/>
        </w:rPr>
        <w:t>s</w:t>
      </w:r>
      <w:r w:rsidR="0065520B" w:rsidRPr="0099633E">
        <w:rPr>
          <w:rFonts w:ascii="Verdana" w:hAnsi="Verdana" w:cs="Verdana"/>
          <w:sz w:val="20"/>
          <w:szCs w:val="20"/>
        </w:rPr>
        <w:t xml:space="preserve"> y </w:t>
      </w:r>
      <w:r w:rsidR="00CA2E20">
        <w:rPr>
          <w:rFonts w:ascii="Verdana" w:hAnsi="Verdana" w:cs="Verdana"/>
          <w:sz w:val="20"/>
          <w:szCs w:val="20"/>
        </w:rPr>
        <w:t xml:space="preserve">a </w:t>
      </w:r>
      <w:r w:rsidR="007D3DA8" w:rsidRPr="0099633E">
        <w:rPr>
          <w:rFonts w:ascii="Verdana" w:hAnsi="Verdana" w:cs="Verdana"/>
          <w:sz w:val="20"/>
          <w:szCs w:val="20"/>
        </w:rPr>
        <w:t>la Comisión Intera</w:t>
      </w:r>
      <w:r w:rsidR="007D3DA8">
        <w:rPr>
          <w:rFonts w:ascii="Verdana" w:hAnsi="Verdana" w:cs="Verdana"/>
          <w:sz w:val="20"/>
          <w:szCs w:val="20"/>
        </w:rPr>
        <w:t>mericana de Derechos Humanos</w:t>
      </w:r>
      <w:r w:rsidR="0065520B" w:rsidRPr="0099633E">
        <w:rPr>
          <w:rFonts w:ascii="Verdana" w:hAnsi="Verdana"/>
          <w:sz w:val="20"/>
          <w:szCs w:val="20"/>
        </w:rPr>
        <w:t>.</w:t>
      </w:r>
    </w:p>
    <w:p w14:paraId="32E3DC20" w14:textId="48DFBB8B" w:rsidR="008B4A3D" w:rsidRDefault="008B4A3D">
      <w:pPr>
        <w:rPr>
          <w:rFonts w:ascii="Verdana" w:hAnsi="Verdana"/>
          <w:sz w:val="20"/>
          <w:szCs w:val="20"/>
        </w:rPr>
      </w:pPr>
      <w:r>
        <w:rPr>
          <w:rFonts w:ascii="Verdana" w:hAnsi="Verdana"/>
          <w:sz w:val="20"/>
          <w:szCs w:val="20"/>
        </w:rPr>
        <w:br w:type="page"/>
      </w:r>
    </w:p>
    <w:p w14:paraId="4A2AA2F4" w14:textId="77777777" w:rsidR="00A830DE" w:rsidRDefault="00A830DE" w:rsidP="0066130C">
      <w:pPr>
        <w:spacing w:after="200"/>
        <w:jc w:val="both"/>
        <w:rPr>
          <w:rFonts w:ascii="Verdana" w:hAnsi="Verdana"/>
          <w:sz w:val="20"/>
          <w:szCs w:val="20"/>
        </w:rPr>
      </w:pPr>
    </w:p>
    <w:p w14:paraId="7BB682D4" w14:textId="77777777" w:rsidR="008B4A3D" w:rsidRPr="00F95CA9" w:rsidRDefault="008B4A3D" w:rsidP="008B4A3D">
      <w:pPr>
        <w:jc w:val="both"/>
        <w:rPr>
          <w:rFonts w:ascii="Verdana" w:hAnsi="Verdana" w:cs="Courier New"/>
          <w:noProof/>
          <w:sz w:val="20"/>
          <w:lang w:val="pt-BR"/>
        </w:rPr>
      </w:pPr>
      <w:r w:rsidRPr="00E558C4">
        <w:rPr>
          <w:rFonts w:ascii="Verdana" w:hAnsi="Verdana" w:cs="Courier New"/>
          <w:noProof/>
          <w:sz w:val="20"/>
          <w:lang w:val="pt-BR"/>
        </w:rPr>
        <w:t xml:space="preserve">Corte IDH. </w:t>
      </w:r>
      <w:r w:rsidRPr="00E558C4">
        <w:rPr>
          <w:rFonts w:ascii="Verdana" w:hAnsi="Verdana" w:cs="Courier New"/>
          <w:i/>
          <w:noProof/>
          <w:sz w:val="20"/>
          <w:lang w:val="pt-BR"/>
        </w:rPr>
        <w:t xml:space="preserve">Caso </w:t>
      </w:r>
      <w:r>
        <w:rPr>
          <w:rFonts w:ascii="Verdana" w:hAnsi="Verdana" w:cs="Courier New"/>
          <w:i/>
          <w:noProof/>
          <w:sz w:val="20"/>
          <w:lang w:val="pt-BR"/>
        </w:rPr>
        <w:t>Alvarado Espinoza y otros Vs. México.</w:t>
      </w:r>
      <w:r w:rsidRPr="00E558C4">
        <w:rPr>
          <w:rFonts w:ascii="Verdana" w:hAnsi="Verdana" w:cs="Courier New"/>
          <w:noProof/>
          <w:sz w:val="20"/>
          <w:lang w:val="pt-BR"/>
        </w:rPr>
        <w:t xml:space="preserve"> </w:t>
      </w:r>
      <w:r w:rsidRPr="00430C27">
        <w:rPr>
          <w:rFonts w:ascii="Verdana" w:hAnsi="Verdana" w:cs="Courier New"/>
          <w:i/>
          <w:noProof/>
          <w:sz w:val="20"/>
          <w:lang w:val="pt-BR"/>
        </w:rPr>
        <w:t>Reintegro al Fondo de Asistencia Legal de Víctimas</w:t>
      </w:r>
      <w:r>
        <w:rPr>
          <w:rFonts w:ascii="Verdana" w:hAnsi="Verdana" w:cs="Courier New"/>
          <w:noProof/>
          <w:sz w:val="20"/>
          <w:lang w:val="pt-BR"/>
        </w:rPr>
        <w:t>. Resolución de la Corte Interamericana de Derechos Humanos de 7 de octubre de 2019.</w:t>
      </w:r>
    </w:p>
    <w:p w14:paraId="23C60716" w14:textId="77777777" w:rsidR="008B4A3D" w:rsidRDefault="008B4A3D" w:rsidP="008B4A3D">
      <w:pPr>
        <w:jc w:val="both"/>
        <w:rPr>
          <w:lang w:val="pt-BR"/>
        </w:rPr>
      </w:pPr>
    </w:p>
    <w:p w14:paraId="7F0AAB6F" w14:textId="77777777" w:rsidR="008B4A3D" w:rsidRPr="00E558C4" w:rsidRDefault="008B4A3D" w:rsidP="008B4A3D">
      <w:pPr>
        <w:jc w:val="center"/>
        <w:rPr>
          <w:rFonts w:ascii="Verdana" w:hAnsi="Verdana"/>
          <w:sz w:val="20"/>
          <w:lang w:val="pt-BR"/>
        </w:rPr>
      </w:pPr>
    </w:p>
    <w:p w14:paraId="575FB65C" w14:textId="77777777" w:rsidR="008B4A3D" w:rsidRDefault="008B4A3D" w:rsidP="008B4A3D">
      <w:pPr>
        <w:spacing w:line="360" w:lineRule="auto"/>
        <w:jc w:val="center"/>
        <w:rPr>
          <w:rFonts w:ascii="Verdana" w:hAnsi="Verdana"/>
          <w:b/>
          <w:sz w:val="20"/>
          <w:lang w:val="es-MX"/>
        </w:rPr>
      </w:pPr>
    </w:p>
    <w:p w14:paraId="0DE3DD23" w14:textId="77777777" w:rsidR="008B4A3D" w:rsidRPr="00E558C4" w:rsidRDefault="008B4A3D" w:rsidP="008B4A3D">
      <w:pPr>
        <w:jc w:val="center"/>
        <w:rPr>
          <w:rFonts w:ascii="Verdana" w:hAnsi="Verdana"/>
          <w:sz w:val="20"/>
          <w:lang w:val="pt-BR"/>
        </w:rPr>
      </w:pPr>
    </w:p>
    <w:p w14:paraId="79A748E6" w14:textId="77777777" w:rsidR="008B4A3D" w:rsidRPr="00847B73" w:rsidRDefault="008B4A3D" w:rsidP="008B4A3D">
      <w:pPr>
        <w:rPr>
          <w:rFonts w:ascii="Verdana" w:hAnsi="Verdana"/>
          <w:sz w:val="20"/>
          <w:lang w:val="es-ES"/>
        </w:rPr>
      </w:pPr>
    </w:p>
    <w:p w14:paraId="21A4A0CF" w14:textId="77777777" w:rsidR="008B4A3D" w:rsidRDefault="008B4A3D" w:rsidP="008B4A3D">
      <w:pPr>
        <w:jc w:val="center"/>
        <w:rPr>
          <w:rFonts w:ascii="Verdana" w:hAnsi="Verdana"/>
          <w:sz w:val="20"/>
          <w:lang w:val="pt-BR"/>
        </w:rPr>
      </w:pPr>
      <w:r w:rsidRPr="00847B73">
        <w:rPr>
          <w:rFonts w:ascii="Verdana" w:hAnsi="Verdana"/>
          <w:sz w:val="20"/>
          <w:lang w:val="pt-BR"/>
        </w:rPr>
        <w:t xml:space="preserve">Eduardo </w:t>
      </w:r>
      <w:proofErr w:type="spellStart"/>
      <w:r w:rsidRPr="00847B73">
        <w:rPr>
          <w:rFonts w:ascii="Verdana" w:hAnsi="Verdana"/>
          <w:sz w:val="20"/>
          <w:lang w:val="pt-BR"/>
        </w:rPr>
        <w:t>Vio</w:t>
      </w:r>
      <w:proofErr w:type="spellEnd"/>
      <w:r w:rsidRPr="00847B73">
        <w:rPr>
          <w:rFonts w:ascii="Verdana" w:hAnsi="Verdana"/>
          <w:sz w:val="20"/>
          <w:lang w:val="pt-BR"/>
        </w:rPr>
        <w:t xml:space="preserve"> Grossi</w:t>
      </w:r>
      <w:r w:rsidRPr="00847B73">
        <w:rPr>
          <w:rFonts w:ascii="Verdana" w:hAnsi="Verdana"/>
          <w:sz w:val="20"/>
          <w:lang w:val="pt-BR"/>
        </w:rPr>
        <w:tab/>
      </w:r>
    </w:p>
    <w:p w14:paraId="43B9E56A" w14:textId="77777777" w:rsidR="008B4A3D" w:rsidRPr="00847B73" w:rsidRDefault="008B4A3D" w:rsidP="008B4A3D">
      <w:pPr>
        <w:jc w:val="center"/>
        <w:rPr>
          <w:rFonts w:ascii="Verdana" w:hAnsi="Verdana"/>
          <w:sz w:val="20"/>
          <w:lang w:val="pt-BR"/>
        </w:rPr>
      </w:pPr>
      <w:r w:rsidRPr="00847B73">
        <w:rPr>
          <w:rFonts w:ascii="Verdana" w:hAnsi="Verdana"/>
          <w:sz w:val="20"/>
          <w:lang w:val="pt-BR"/>
        </w:rPr>
        <w:t>Presidente</w:t>
      </w:r>
      <w:r>
        <w:rPr>
          <w:rFonts w:ascii="Verdana" w:hAnsi="Verdana"/>
          <w:sz w:val="20"/>
          <w:lang w:val="pt-BR"/>
        </w:rPr>
        <w:t xml:space="preserve"> </w:t>
      </w:r>
      <w:proofErr w:type="spellStart"/>
      <w:r>
        <w:rPr>
          <w:rFonts w:ascii="Verdana" w:hAnsi="Verdana"/>
          <w:sz w:val="20"/>
          <w:lang w:val="pt-BR"/>
        </w:rPr>
        <w:t>en</w:t>
      </w:r>
      <w:proofErr w:type="spellEnd"/>
      <w:r>
        <w:rPr>
          <w:rFonts w:ascii="Verdana" w:hAnsi="Verdana"/>
          <w:sz w:val="20"/>
          <w:lang w:val="pt-BR"/>
        </w:rPr>
        <w:t xml:space="preserve"> </w:t>
      </w:r>
      <w:proofErr w:type="spellStart"/>
      <w:r>
        <w:rPr>
          <w:rFonts w:ascii="Verdana" w:hAnsi="Verdana"/>
          <w:sz w:val="20"/>
          <w:lang w:val="pt-BR"/>
        </w:rPr>
        <w:t>ejercicio</w:t>
      </w:r>
      <w:proofErr w:type="spellEnd"/>
    </w:p>
    <w:p w14:paraId="4DA2E089" w14:textId="77777777" w:rsidR="008B4A3D" w:rsidRPr="00847B73" w:rsidRDefault="008B4A3D" w:rsidP="008B4A3D">
      <w:pPr>
        <w:jc w:val="both"/>
        <w:rPr>
          <w:rFonts w:ascii="Verdana" w:hAnsi="Verdana"/>
          <w:sz w:val="20"/>
          <w:lang w:val="pt-BR"/>
        </w:rPr>
      </w:pPr>
    </w:p>
    <w:p w14:paraId="7C8CB71D" w14:textId="77777777" w:rsidR="008B4A3D" w:rsidRPr="00847B73" w:rsidRDefault="008B4A3D" w:rsidP="008B4A3D">
      <w:pPr>
        <w:jc w:val="both"/>
        <w:rPr>
          <w:rFonts w:ascii="Verdana" w:hAnsi="Verdana"/>
          <w:sz w:val="20"/>
          <w:lang w:val="pt-BR"/>
        </w:rPr>
      </w:pPr>
    </w:p>
    <w:p w14:paraId="3D59E173" w14:textId="77777777" w:rsidR="008B4A3D" w:rsidRPr="00847B73" w:rsidRDefault="008B4A3D" w:rsidP="008B4A3D">
      <w:pPr>
        <w:jc w:val="both"/>
        <w:rPr>
          <w:rFonts w:ascii="Verdana" w:hAnsi="Verdana"/>
          <w:sz w:val="20"/>
          <w:lang w:val="pt-BR"/>
        </w:rPr>
      </w:pPr>
    </w:p>
    <w:p w14:paraId="3C2AD3D1" w14:textId="77777777" w:rsidR="008B4A3D" w:rsidRDefault="008B4A3D" w:rsidP="008B4A3D">
      <w:pPr>
        <w:jc w:val="both"/>
        <w:rPr>
          <w:rFonts w:ascii="Verdana" w:hAnsi="Verdana"/>
          <w:sz w:val="20"/>
          <w:lang w:val="pt-BR"/>
        </w:rPr>
      </w:pPr>
    </w:p>
    <w:p w14:paraId="520CC700" w14:textId="77777777" w:rsidR="008B4A3D" w:rsidRPr="00847B73" w:rsidRDefault="008B4A3D" w:rsidP="008B4A3D">
      <w:pPr>
        <w:jc w:val="both"/>
        <w:rPr>
          <w:rFonts w:ascii="Verdana" w:hAnsi="Verdana"/>
          <w:sz w:val="20"/>
          <w:lang w:val="pt-BR"/>
        </w:rPr>
      </w:pPr>
    </w:p>
    <w:p w14:paraId="4F3B2F2E" w14:textId="77777777" w:rsidR="008B4A3D" w:rsidRDefault="008B4A3D" w:rsidP="008B4A3D">
      <w:pPr>
        <w:rPr>
          <w:rFonts w:ascii="Verdana" w:hAnsi="Verdana"/>
          <w:sz w:val="20"/>
          <w:lang w:val="pt-BR"/>
        </w:rPr>
      </w:pPr>
      <w:r w:rsidRPr="00847B73">
        <w:rPr>
          <w:rFonts w:ascii="Verdana" w:hAnsi="Verdana"/>
          <w:sz w:val="20"/>
          <w:lang w:val="pt-BR"/>
        </w:rPr>
        <w:t>H</w:t>
      </w:r>
      <w:r>
        <w:rPr>
          <w:rFonts w:ascii="Verdana" w:hAnsi="Verdana"/>
          <w:sz w:val="20"/>
          <w:lang w:val="pt-BR"/>
        </w:rPr>
        <w:t xml:space="preserve">umberto </w:t>
      </w:r>
      <w:proofErr w:type="spellStart"/>
      <w:r>
        <w:rPr>
          <w:rFonts w:ascii="Verdana" w:hAnsi="Verdana"/>
          <w:sz w:val="20"/>
          <w:lang w:val="pt-BR"/>
        </w:rPr>
        <w:t>Antonio</w:t>
      </w:r>
      <w:proofErr w:type="spellEnd"/>
      <w:r>
        <w:rPr>
          <w:rFonts w:ascii="Verdana" w:hAnsi="Verdana"/>
          <w:sz w:val="20"/>
          <w:lang w:val="pt-BR"/>
        </w:rPr>
        <w:t xml:space="preserve"> </w:t>
      </w:r>
      <w:proofErr w:type="spellStart"/>
      <w:r>
        <w:rPr>
          <w:rFonts w:ascii="Verdana" w:hAnsi="Verdana"/>
          <w:sz w:val="20"/>
          <w:lang w:val="pt-BR"/>
        </w:rPr>
        <w:t>Sierra</w:t>
      </w:r>
      <w:proofErr w:type="spellEnd"/>
      <w:r>
        <w:rPr>
          <w:rFonts w:ascii="Verdana" w:hAnsi="Verdana"/>
          <w:sz w:val="20"/>
          <w:lang w:val="pt-BR"/>
        </w:rPr>
        <w:t xml:space="preserve"> Porto</w:t>
      </w:r>
      <w:r w:rsidRPr="00AF2BBF">
        <w:rPr>
          <w:rFonts w:ascii="Verdana" w:hAnsi="Verdana"/>
          <w:sz w:val="20"/>
          <w:lang w:val="pt-BR"/>
        </w:rPr>
        <w:t xml:space="preserve">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Elizabeth </w:t>
      </w:r>
      <w:proofErr w:type="spellStart"/>
      <w:r>
        <w:rPr>
          <w:rFonts w:ascii="Verdana" w:hAnsi="Verdana"/>
          <w:sz w:val="20"/>
          <w:lang w:val="pt-BR"/>
        </w:rPr>
        <w:t>Odio</w:t>
      </w:r>
      <w:proofErr w:type="spellEnd"/>
      <w:r>
        <w:rPr>
          <w:rFonts w:ascii="Verdana" w:hAnsi="Verdana"/>
          <w:sz w:val="20"/>
          <w:lang w:val="pt-BR"/>
        </w:rPr>
        <w:t xml:space="preserve"> Benito</w:t>
      </w:r>
      <w:r w:rsidRPr="00847B73">
        <w:rPr>
          <w:rFonts w:ascii="Verdana" w:hAnsi="Verdana"/>
          <w:sz w:val="20"/>
          <w:lang w:val="pt-BR"/>
        </w:rPr>
        <w:tab/>
      </w:r>
    </w:p>
    <w:p w14:paraId="2C8DCBEF" w14:textId="77777777" w:rsidR="008B4A3D" w:rsidRDefault="008B4A3D" w:rsidP="008B4A3D">
      <w:pPr>
        <w:rPr>
          <w:rFonts w:ascii="Verdana" w:hAnsi="Verdana"/>
          <w:sz w:val="20"/>
          <w:lang w:val="pt-BR"/>
        </w:rPr>
      </w:pPr>
    </w:p>
    <w:p w14:paraId="56D54998" w14:textId="77777777" w:rsidR="008B4A3D" w:rsidRDefault="008B4A3D" w:rsidP="008B4A3D">
      <w:pPr>
        <w:rPr>
          <w:rFonts w:ascii="Verdana" w:hAnsi="Verdana"/>
          <w:sz w:val="20"/>
          <w:lang w:val="pt-BR"/>
        </w:rPr>
      </w:pPr>
    </w:p>
    <w:p w14:paraId="4F7527C8" w14:textId="77777777" w:rsidR="008B4A3D" w:rsidRDefault="008B4A3D" w:rsidP="008B4A3D">
      <w:pPr>
        <w:rPr>
          <w:rFonts w:ascii="Verdana" w:hAnsi="Verdana"/>
          <w:sz w:val="20"/>
          <w:lang w:val="pt-BR"/>
        </w:rPr>
      </w:pPr>
    </w:p>
    <w:p w14:paraId="5C83FC25" w14:textId="77777777" w:rsidR="008B4A3D" w:rsidRPr="00847B73" w:rsidRDefault="008B4A3D" w:rsidP="008B4A3D">
      <w:pPr>
        <w:rPr>
          <w:rFonts w:ascii="Verdana" w:hAnsi="Verdana"/>
          <w:sz w:val="20"/>
          <w:lang w:val="pt-BR"/>
        </w:rPr>
      </w:pPr>
    </w:p>
    <w:p w14:paraId="4E6D0523" w14:textId="77777777" w:rsidR="008B4A3D" w:rsidRPr="00847B73" w:rsidRDefault="008B4A3D" w:rsidP="008B4A3D">
      <w:pPr>
        <w:jc w:val="both"/>
        <w:rPr>
          <w:rFonts w:ascii="Verdana" w:hAnsi="Verdana"/>
          <w:sz w:val="20"/>
          <w:lang w:val="pt-BR"/>
        </w:rPr>
      </w:pPr>
      <w:r>
        <w:rPr>
          <w:rFonts w:ascii="Verdana" w:hAnsi="Verdana"/>
          <w:sz w:val="20"/>
          <w:lang w:val="pt-BR"/>
        </w:rPr>
        <w:tab/>
      </w:r>
      <w:r>
        <w:rPr>
          <w:rFonts w:ascii="Verdana" w:hAnsi="Verdana"/>
          <w:sz w:val="20"/>
          <w:lang w:val="pt-BR"/>
        </w:rPr>
        <w:tab/>
      </w:r>
      <w:r>
        <w:rPr>
          <w:rFonts w:ascii="Verdana" w:hAnsi="Verdana"/>
          <w:sz w:val="20"/>
          <w:lang w:val="pt-BR"/>
        </w:rPr>
        <w:tab/>
      </w:r>
    </w:p>
    <w:p w14:paraId="476AE68E" w14:textId="77777777" w:rsidR="008B4A3D" w:rsidRPr="00847B73" w:rsidRDefault="008B4A3D" w:rsidP="008B4A3D">
      <w:pPr>
        <w:rPr>
          <w:rFonts w:ascii="Verdana" w:hAnsi="Verdana"/>
          <w:sz w:val="20"/>
          <w:lang w:val="pt-BR"/>
        </w:rPr>
      </w:pPr>
      <w:r w:rsidRPr="00847B73">
        <w:rPr>
          <w:rFonts w:ascii="Verdana" w:hAnsi="Verdana"/>
          <w:sz w:val="20"/>
          <w:lang w:val="pt-BR"/>
        </w:rPr>
        <w:t xml:space="preserve">Eugenio </w:t>
      </w:r>
      <w:proofErr w:type="spellStart"/>
      <w:r w:rsidRPr="00847B73">
        <w:rPr>
          <w:rFonts w:ascii="Verdana" w:hAnsi="Verdana"/>
          <w:sz w:val="20"/>
          <w:lang w:val="pt-BR"/>
        </w:rPr>
        <w:t>Raúl</w:t>
      </w:r>
      <w:proofErr w:type="spellEnd"/>
      <w:r w:rsidRPr="00847B73">
        <w:rPr>
          <w:rFonts w:ascii="Verdana" w:hAnsi="Verdana"/>
          <w:sz w:val="20"/>
          <w:lang w:val="pt-BR"/>
        </w:rPr>
        <w:t xml:space="preserve"> </w:t>
      </w:r>
      <w:proofErr w:type="spellStart"/>
      <w:r w:rsidRPr="00847B73">
        <w:rPr>
          <w:rFonts w:ascii="Verdana" w:hAnsi="Verdana"/>
          <w:sz w:val="20"/>
          <w:lang w:val="pt-BR"/>
        </w:rPr>
        <w:t>Zaffaroni</w:t>
      </w:r>
      <w:proofErr w:type="spellEnd"/>
      <w:r w:rsidRPr="00847B73">
        <w:rPr>
          <w:rFonts w:ascii="Verdana" w:hAnsi="Verdana"/>
          <w:sz w:val="20"/>
          <w:lang w:val="pt-BR"/>
        </w:rPr>
        <w:t xml:space="preserve">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proofErr w:type="gramStart"/>
      <w:r>
        <w:rPr>
          <w:rFonts w:ascii="Verdana" w:hAnsi="Verdana"/>
          <w:sz w:val="20"/>
          <w:lang w:val="pt-BR"/>
        </w:rPr>
        <w:tab/>
        <w:t xml:space="preserve">  </w:t>
      </w:r>
      <w:r w:rsidRPr="00847B73">
        <w:rPr>
          <w:rFonts w:ascii="Verdana" w:hAnsi="Verdana"/>
          <w:sz w:val="20"/>
          <w:lang w:val="pt-BR"/>
        </w:rPr>
        <w:t>L.</w:t>
      </w:r>
      <w:proofErr w:type="gramEnd"/>
      <w:r w:rsidRPr="00847B73">
        <w:rPr>
          <w:rFonts w:ascii="Verdana" w:hAnsi="Verdana"/>
          <w:sz w:val="20"/>
          <w:lang w:val="pt-BR"/>
        </w:rPr>
        <w:t xml:space="preserve"> </w:t>
      </w:r>
      <w:proofErr w:type="spellStart"/>
      <w:r w:rsidRPr="00847B73">
        <w:rPr>
          <w:rFonts w:ascii="Verdana" w:hAnsi="Verdana"/>
          <w:sz w:val="20"/>
          <w:lang w:val="pt-BR"/>
        </w:rPr>
        <w:t>Patricio</w:t>
      </w:r>
      <w:proofErr w:type="spellEnd"/>
      <w:r w:rsidRPr="00847B73">
        <w:rPr>
          <w:rFonts w:ascii="Verdana" w:hAnsi="Verdana"/>
          <w:sz w:val="20"/>
          <w:lang w:val="pt-BR"/>
        </w:rPr>
        <w:t xml:space="preserve"> </w:t>
      </w:r>
      <w:proofErr w:type="spellStart"/>
      <w:r w:rsidRPr="00847B73">
        <w:rPr>
          <w:rFonts w:ascii="Verdana" w:hAnsi="Verdana"/>
          <w:sz w:val="20"/>
          <w:lang w:val="pt-BR"/>
        </w:rPr>
        <w:t>Pazmiño</w:t>
      </w:r>
      <w:proofErr w:type="spellEnd"/>
      <w:r w:rsidRPr="00847B73">
        <w:rPr>
          <w:rFonts w:ascii="Verdana" w:hAnsi="Verdana"/>
          <w:sz w:val="20"/>
          <w:lang w:val="pt-BR"/>
        </w:rPr>
        <w:t xml:space="preserve"> Freire</w:t>
      </w:r>
    </w:p>
    <w:p w14:paraId="6B1BC36E" w14:textId="77777777" w:rsidR="008B4A3D" w:rsidRPr="00847B73" w:rsidRDefault="008B4A3D" w:rsidP="008B4A3D">
      <w:pPr>
        <w:rPr>
          <w:rFonts w:ascii="Verdana" w:hAnsi="Verdana"/>
          <w:sz w:val="20"/>
          <w:lang w:val="pt-BR"/>
        </w:rPr>
      </w:pPr>
    </w:p>
    <w:p w14:paraId="232537BE" w14:textId="77777777" w:rsidR="008B4A3D" w:rsidRDefault="008B4A3D" w:rsidP="008B4A3D">
      <w:pPr>
        <w:rPr>
          <w:rFonts w:ascii="Verdana" w:hAnsi="Verdana"/>
          <w:sz w:val="20"/>
          <w:lang w:val="pt-BR"/>
        </w:rPr>
      </w:pPr>
    </w:p>
    <w:p w14:paraId="65D83356" w14:textId="77777777" w:rsidR="008B4A3D" w:rsidRPr="00847B73" w:rsidRDefault="008B4A3D" w:rsidP="008B4A3D">
      <w:pPr>
        <w:jc w:val="center"/>
        <w:rPr>
          <w:rFonts w:ascii="Verdana" w:hAnsi="Verdana"/>
          <w:sz w:val="20"/>
          <w:lang w:val="pt-BR"/>
        </w:rPr>
      </w:pPr>
    </w:p>
    <w:p w14:paraId="323656BD" w14:textId="77777777" w:rsidR="008B4A3D" w:rsidRPr="00847B73" w:rsidRDefault="008B4A3D" w:rsidP="008B4A3D">
      <w:pPr>
        <w:jc w:val="center"/>
        <w:rPr>
          <w:rFonts w:ascii="Verdana" w:hAnsi="Verdana"/>
          <w:sz w:val="20"/>
          <w:lang w:val="pt-BR"/>
        </w:rPr>
      </w:pPr>
    </w:p>
    <w:p w14:paraId="69AA6B19" w14:textId="77777777" w:rsidR="008B4A3D" w:rsidRPr="00847B73" w:rsidRDefault="008B4A3D" w:rsidP="008B4A3D">
      <w:pPr>
        <w:jc w:val="center"/>
        <w:rPr>
          <w:rFonts w:ascii="Verdana" w:hAnsi="Verdana"/>
          <w:sz w:val="20"/>
          <w:lang w:val="pt-BR"/>
        </w:rPr>
      </w:pPr>
    </w:p>
    <w:p w14:paraId="49DB8123" w14:textId="77777777" w:rsidR="008B4A3D" w:rsidRPr="00847B73" w:rsidRDefault="008B4A3D" w:rsidP="008B4A3D">
      <w:pPr>
        <w:jc w:val="center"/>
        <w:rPr>
          <w:rFonts w:ascii="Verdana" w:hAnsi="Verdana"/>
          <w:sz w:val="20"/>
        </w:rPr>
      </w:pPr>
      <w:r w:rsidRPr="00847B73">
        <w:rPr>
          <w:rFonts w:ascii="Verdana" w:hAnsi="Verdana"/>
          <w:sz w:val="20"/>
        </w:rPr>
        <w:t>Ricardo C. Pérez Manrique</w:t>
      </w:r>
    </w:p>
    <w:p w14:paraId="04F5FA81" w14:textId="77777777" w:rsidR="008B4A3D" w:rsidRPr="00847B73" w:rsidRDefault="008B4A3D" w:rsidP="008B4A3D">
      <w:pPr>
        <w:jc w:val="both"/>
        <w:rPr>
          <w:rFonts w:ascii="Verdana" w:hAnsi="Verdana"/>
          <w:sz w:val="20"/>
        </w:rPr>
      </w:pPr>
    </w:p>
    <w:p w14:paraId="6B97D1B8" w14:textId="77777777" w:rsidR="008B4A3D" w:rsidRDefault="008B4A3D" w:rsidP="008B4A3D">
      <w:pPr>
        <w:jc w:val="both"/>
        <w:rPr>
          <w:rFonts w:ascii="Verdana" w:hAnsi="Verdana"/>
          <w:sz w:val="20"/>
          <w:lang w:val="pt-BR"/>
        </w:rPr>
      </w:pPr>
    </w:p>
    <w:p w14:paraId="3A557C27" w14:textId="77777777" w:rsidR="008B4A3D" w:rsidRDefault="008B4A3D" w:rsidP="008B4A3D">
      <w:pPr>
        <w:jc w:val="both"/>
        <w:rPr>
          <w:rFonts w:ascii="Verdana" w:hAnsi="Verdana"/>
          <w:sz w:val="20"/>
          <w:lang w:val="pt-BR"/>
        </w:rPr>
      </w:pPr>
    </w:p>
    <w:p w14:paraId="7C88A4D4" w14:textId="77777777" w:rsidR="008B4A3D" w:rsidRPr="00847B73" w:rsidRDefault="008B4A3D" w:rsidP="008B4A3D">
      <w:pPr>
        <w:jc w:val="both"/>
        <w:rPr>
          <w:rFonts w:ascii="Verdana" w:hAnsi="Verdana"/>
          <w:sz w:val="20"/>
          <w:lang w:val="pt-BR"/>
        </w:rPr>
      </w:pPr>
    </w:p>
    <w:p w14:paraId="21284FDB" w14:textId="77777777" w:rsidR="008B4A3D" w:rsidRPr="00847B73" w:rsidRDefault="008B4A3D" w:rsidP="008B4A3D">
      <w:pPr>
        <w:jc w:val="both"/>
        <w:rPr>
          <w:rFonts w:ascii="Verdana" w:hAnsi="Verdana"/>
          <w:sz w:val="20"/>
          <w:lang w:val="pt-BR"/>
        </w:rPr>
      </w:pPr>
    </w:p>
    <w:p w14:paraId="228C3B55" w14:textId="77777777" w:rsidR="008B4A3D" w:rsidRPr="00847B73" w:rsidRDefault="008B4A3D" w:rsidP="008B4A3D">
      <w:pPr>
        <w:jc w:val="center"/>
        <w:rPr>
          <w:rFonts w:ascii="Verdana" w:hAnsi="Verdana"/>
          <w:sz w:val="20"/>
          <w:lang w:val="pt-BR"/>
        </w:rPr>
      </w:pPr>
      <w:r w:rsidRPr="00847B73">
        <w:rPr>
          <w:rFonts w:ascii="Verdana" w:hAnsi="Verdana"/>
          <w:sz w:val="20"/>
          <w:lang w:val="pt-BR"/>
        </w:rPr>
        <w:t xml:space="preserve">Pablo Saavedra </w:t>
      </w:r>
      <w:proofErr w:type="spellStart"/>
      <w:r w:rsidRPr="00847B73">
        <w:rPr>
          <w:rFonts w:ascii="Verdana" w:hAnsi="Verdana"/>
          <w:sz w:val="20"/>
          <w:lang w:val="pt-BR"/>
        </w:rPr>
        <w:t>Alessandri</w:t>
      </w:r>
      <w:proofErr w:type="spellEnd"/>
    </w:p>
    <w:p w14:paraId="78CCFD3F" w14:textId="77777777" w:rsidR="008B4A3D" w:rsidRPr="00847B73" w:rsidRDefault="008B4A3D" w:rsidP="008B4A3D">
      <w:pPr>
        <w:jc w:val="center"/>
        <w:rPr>
          <w:rFonts w:ascii="Verdana" w:hAnsi="Verdana"/>
          <w:sz w:val="20"/>
          <w:lang w:val="pt-BR"/>
        </w:rPr>
      </w:pPr>
      <w:r w:rsidRPr="00847B73">
        <w:rPr>
          <w:rFonts w:ascii="Verdana" w:hAnsi="Verdana"/>
          <w:sz w:val="20"/>
          <w:lang w:val="pt-BR"/>
        </w:rPr>
        <w:t>Secretario</w:t>
      </w:r>
    </w:p>
    <w:p w14:paraId="6B1C6421" w14:textId="77777777" w:rsidR="008B4A3D" w:rsidRPr="00847B73" w:rsidRDefault="008B4A3D" w:rsidP="008B4A3D">
      <w:pPr>
        <w:rPr>
          <w:rFonts w:ascii="Verdana" w:hAnsi="Verdana"/>
          <w:sz w:val="20"/>
          <w:lang w:val="pt-BR"/>
        </w:rPr>
      </w:pPr>
    </w:p>
    <w:p w14:paraId="3B3A24C6" w14:textId="77777777" w:rsidR="008B4A3D" w:rsidRPr="00847B73" w:rsidRDefault="008B4A3D" w:rsidP="008B4A3D">
      <w:pPr>
        <w:pStyle w:val="Textonotapie"/>
        <w:rPr>
          <w:rFonts w:ascii="Verdana" w:hAnsi="Verdana"/>
          <w:lang w:val="pt-BR"/>
        </w:rPr>
      </w:pPr>
    </w:p>
    <w:p w14:paraId="40A1913A" w14:textId="77777777" w:rsidR="008B4A3D" w:rsidRPr="00847B73" w:rsidRDefault="008B4A3D" w:rsidP="008B4A3D">
      <w:pPr>
        <w:jc w:val="both"/>
        <w:rPr>
          <w:rFonts w:ascii="Verdana" w:hAnsi="Verdana"/>
          <w:sz w:val="20"/>
          <w:lang w:val="pt-BR"/>
        </w:rPr>
      </w:pPr>
      <w:proofErr w:type="spellStart"/>
      <w:r w:rsidRPr="00847B73">
        <w:rPr>
          <w:rFonts w:ascii="Verdana" w:hAnsi="Verdana"/>
          <w:sz w:val="20"/>
          <w:lang w:val="pt-BR"/>
        </w:rPr>
        <w:t>Comuníquese</w:t>
      </w:r>
      <w:proofErr w:type="spellEnd"/>
      <w:r w:rsidRPr="00847B73">
        <w:rPr>
          <w:rFonts w:ascii="Verdana" w:hAnsi="Verdana"/>
          <w:sz w:val="20"/>
          <w:lang w:val="pt-BR"/>
        </w:rPr>
        <w:t xml:space="preserve"> y </w:t>
      </w:r>
      <w:proofErr w:type="spellStart"/>
      <w:r w:rsidRPr="00847B73">
        <w:rPr>
          <w:rFonts w:ascii="Verdana" w:hAnsi="Verdana"/>
          <w:sz w:val="20"/>
          <w:lang w:val="pt-BR"/>
        </w:rPr>
        <w:t>ejecútese</w:t>
      </w:r>
      <w:proofErr w:type="spellEnd"/>
      <w:r w:rsidRPr="00847B73">
        <w:rPr>
          <w:rFonts w:ascii="Verdana" w:hAnsi="Verdana"/>
          <w:sz w:val="20"/>
          <w:lang w:val="pt-BR"/>
        </w:rPr>
        <w:t>,</w:t>
      </w:r>
    </w:p>
    <w:p w14:paraId="114D3AFC" w14:textId="77777777" w:rsidR="008B4A3D" w:rsidRPr="00847B73" w:rsidRDefault="008B4A3D" w:rsidP="008B4A3D">
      <w:pPr>
        <w:jc w:val="both"/>
        <w:rPr>
          <w:rFonts w:ascii="Verdana" w:hAnsi="Verdana"/>
          <w:sz w:val="20"/>
          <w:lang w:val="pt-BR"/>
        </w:rPr>
      </w:pPr>
    </w:p>
    <w:p w14:paraId="5ADC9203" w14:textId="77777777" w:rsidR="008B4A3D" w:rsidRPr="00847B73" w:rsidRDefault="008B4A3D" w:rsidP="008B4A3D">
      <w:pPr>
        <w:jc w:val="both"/>
        <w:rPr>
          <w:rFonts w:ascii="Verdana" w:hAnsi="Verdana"/>
          <w:sz w:val="20"/>
          <w:lang w:val="pt-BR"/>
        </w:rPr>
      </w:pPr>
    </w:p>
    <w:p w14:paraId="5ADA6D55" w14:textId="77777777" w:rsidR="008B4A3D" w:rsidRPr="00847B73" w:rsidRDefault="008B4A3D" w:rsidP="008B4A3D">
      <w:pPr>
        <w:jc w:val="both"/>
        <w:rPr>
          <w:rFonts w:ascii="Verdana" w:hAnsi="Verdana"/>
          <w:sz w:val="20"/>
          <w:lang w:val="pt-BR"/>
        </w:rPr>
      </w:pPr>
    </w:p>
    <w:p w14:paraId="08A13378" w14:textId="77777777" w:rsidR="008B4A3D" w:rsidRDefault="008B4A3D" w:rsidP="008B4A3D">
      <w:pPr>
        <w:jc w:val="both"/>
        <w:rPr>
          <w:rFonts w:ascii="Verdana" w:hAnsi="Verdana"/>
          <w:sz w:val="20"/>
          <w:lang w:val="pt-BR"/>
        </w:rPr>
      </w:pPr>
    </w:p>
    <w:p w14:paraId="2B40310D" w14:textId="77777777" w:rsidR="008B4A3D" w:rsidRPr="00847B73" w:rsidRDefault="008B4A3D" w:rsidP="008B4A3D">
      <w:pPr>
        <w:rPr>
          <w:rFonts w:ascii="Verdana" w:hAnsi="Verdana"/>
          <w:sz w:val="20"/>
          <w:lang w:val="es-ES"/>
        </w:rPr>
      </w:pPr>
    </w:p>
    <w:p w14:paraId="58A68AE0" w14:textId="77777777" w:rsidR="008B4A3D" w:rsidRDefault="008B4A3D" w:rsidP="008B4A3D">
      <w:pPr>
        <w:ind w:left="4956" w:firstLine="708"/>
        <w:jc w:val="center"/>
        <w:rPr>
          <w:rFonts w:ascii="Verdana" w:hAnsi="Verdana"/>
          <w:sz w:val="20"/>
          <w:lang w:val="pt-BR"/>
        </w:rPr>
      </w:pPr>
      <w:r w:rsidRPr="00847B73">
        <w:rPr>
          <w:rFonts w:ascii="Verdana" w:hAnsi="Verdana"/>
          <w:sz w:val="20"/>
          <w:lang w:val="pt-BR"/>
        </w:rPr>
        <w:t xml:space="preserve">Eduardo </w:t>
      </w:r>
      <w:proofErr w:type="spellStart"/>
      <w:r w:rsidRPr="00847B73">
        <w:rPr>
          <w:rFonts w:ascii="Verdana" w:hAnsi="Verdana"/>
          <w:sz w:val="20"/>
          <w:lang w:val="pt-BR"/>
        </w:rPr>
        <w:t>Vio</w:t>
      </w:r>
      <w:proofErr w:type="spellEnd"/>
      <w:r w:rsidRPr="00847B73">
        <w:rPr>
          <w:rFonts w:ascii="Verdana" w:hAnsi="Verdana"/>
          <w:sz w:val="20"/>
          <w:lang w:val="pt-BR"/>
        </w:rPr>
        <w:t xml:space="preserve"> Grossi</w:t>
      </w:r>
      <w:r w:rsidRPr="00847B73">
        <w:rPr>
          <w:rFonts w:ascii="Verdana" w:hAnsi="Verdana"/>
          <w:sz w:val="20"/>
          <w:lang w:val="pt-BR"/>
        </w:rPr>
        <w:tab/>
      </w:r>
    </w:p>
    <w:p w14:paraId="082A9456" w14:textId="77777777" w:rsidR="008B4A3D" w:rsidRPr="00847B73" w:rsidRDefault="008B4A3D" w:rsidP="008B4A3D">
      <w:pPr>
        <w:ind w:left="4956" w:firstLine="708"/>
        <w:jc w:val="center"/>
        <w:rPr>
          <w:rFonts w:ascii="Verdana" w:hAnsi="Verdana"/>
          <w:sz w:val="20"/>
          <w:lang w:val="pt-BR"/>
        </w:rPr>
      </w:pPr>
      <w:r w:rsidRPr="00847B73">
        <w:rPr>
          <w:rFonts w:ascii="Verdana" w:hAnsi="Verdana"/>
          <w:sz w:val="20"/>
          <w:lang w:val="pt-BR"/>
        </w:rPr>
        <w:t>Presidente</w:t>
      </w:r>
      <w:r>
        <w:rPr>
          <w:rFonts w:ascii="Verdana" w:hAnsi="Verdana"/>
          <w:sz w:val="20"/>
          <w:lang w:val="pt-BR"/>
        </w:rPr>
        <w:t xml:space="preserve"> </w:t>
      </w:r>
      <w:proofErr w:type="spellStart"/>
      <w:r>
        <w:rPr>
          <w:rFonts w:ascii="Verdana" w:hAnsi="Verdana"/>
          <w:sz w:val="20"/>
          <w:lang w:val="pt-BR"/>
        </w:rPr>
        <w:t>en</w:t>
      </w:r>
      <w:proofErr w:type="spellEnd"/>
      <w:r>
        <w:rPr>
          <w:rFonts w:ascii="Verdana" w:hAnsi="Verdana"/>
          <w:sz w:val="20"/>
          <w:lang w:val="pt-BR"/>
        </w:rPr>
        <w:t xml:space="preserve"> </w:t>
      </w:r>
      <w:proofErr w:type="spellStart"/>
      <w:r>
        <w:rPr>
          <w:rFonts w:ascii="Verdana" w:hAnsi="Verdana"/>
          <w:sz w:val="20"/>
          <w:lang w:val="pt-BR"/>
        </w:rPr>
        <w:t>ejercicio</w:t>
      </w:r>
      <w:proofErr w:type="spellEnd"/>
    </w:p>
    <w:p w14:paraId="64895C5D" w14:textId="77777777" w:rsidR="008B4A3D" w:rsidRPr="00847B73" w:rsidRDefault="008B4A3D" w:rsidP="008B4A3D">
      <w:pPr>
        <w:jc w:val="both"/>
        <w:rPr>
          <w:rFonts w:ascii="Verdana" w:hAnsi="Verdana"/>
          <w:sz w:val="20"/>
          <w:lang w:val="pt-BR"/>
        </w:rPr>
      </w:pPr>
    </w:p>
    <w:p w14:paraId="04A953AD" w14:textId="77777777" w:rsidR="008B4A3D" w:rsidRDefault="008B4A3D" w:rsidP="008B4A3D">
      <w:pPr>
        <w:jc w:val="both"/>
        <w:rPr>
          <w:rFonts w:ascii="Verdana" w:hAnsi="Verdana"/>
          <w:sz w:val="20"/>
          <w:lang w:val="pt-BR"/>
        </w:rPr>
      </w:pPr>
    </w:p>
    <w:p w14:paraId="6EFBB8EF" w14:textId="77777777" w:rsidR="008B4A3D" w:rsidRPr="00847B73" w:rsidRDefault="008B4A3D" w:rsidP="008B4A3D">
      <w:pPr>
        <w:jc w:val="both"/>
        <w:rPr>
          <w:rFonts w:ascii="Verdana" w:hAnsi="Verdana"/>
          <w:sz w:val="20"/>
          <w:lang w:val="pt-BR"/>
        </w:rPr>
      </w:pPr>
    </w:p>
    <w:p w14:paraId="49F2A5A8" w14:textId="77777777" w:rsidR="008B4A3D" w:rsidRPr="00847B73" w:rsidRDefault="008B4A3D" w:rsidP="008B4A3D">
      <w:pPr>
        <w:jc w:val="both"/>
        <w:rPr>
          <w:rFonts w:ascii="Verdana" w:hAnsi="Verdana"/>
          <w:sz w:val="20"/>
          <w:lang w:val="es-ES"/>
        </w:rPr>
      </w:pPr>
      <w:r w:rsidRPr="00847B73">
        <w:rPr>
          <w:rFonts w:ascii="Verdana" w:hAnsi="Verdana"/>
          <w:sz w:val="20"/>
          <w:lang w:val="es-ES"/>
        </w:rPr>
        <w:t>Pablo Saavedra Alessandri</w:t>
      </w:r>
    </w:p>
    <w:p w14:paraId="62816694" w14:textId="60BA5437" w:rsidR="001C627E" w:rsidRPr="008B4A3D" w:rsidRDefault="008B4A3D" w:rsidP="008B4A3D">
      <w:pPr>
        <w:rPr>
          <w:rFonts w:ascii="Verdana" w:hAnsi="Verdana"/>
          <w:sz w:val="20"/>
        </w:rPr>
      </w:pPr>
      <w:r w:rsidRPr="00847B73">
        <w:rPr>
          <w:rFonts w:ascii="Verdana" w:hAnsi="Verdana"/>
          <w:sz w:val="20"/>
          <w:lang w:val="es-ES"/>
        </w:rPr>
        <w:tab/>
      </w:r>
      <w:r w:rsidRPr="00847B73">
        <w:rPr>
          <w:rFonts w:ascii="Verdana" w:hAnsi="Verdana"/>
          <w:sz w:val="20"/>
        </w:rPr>
        <w:t>Secretario</w:t>
      </w:r>
    </w:p>
    <w:sectPr w:rsidR="001C627E" w:rsidRPr="008B4A3D" w:rsidSect="00F2263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FA8D3" w14:textId="77777777" w:rsidR="005C5392" w:rsidRDefault="005C5392" w:rsidP="0065520B">
      <w:r>
        <w:separator/>
      </w:r>
    </w:p>
  </w:endnote>
  <w:endnote w:type="continuationSeparator" w:id="0">
    <w:p w14:paraId="09D9C7A0" w14:textId="77777777" w:rsidR="005C5392" w:rsidRDefault="005C5392" w:rsidP="0065520B">
      <w:r>
        <w:continuationSeparator/>
      </w:r>
    </w:p>
  </w:endnote>
  <w:endnote w:type="continuationNotice" w:id="1">
    <w:p w14:paraId="64974E6D" w14:textId="77777777" w:rsidR="005C5392" w:rsidRDefault="005C5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TE3F96A7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EEA8D" w14:textId="77777777" w:rsidR="005C5392" w:rsidRDefault="005C5392" w:rsidP="0065520B">
      <w:r>
        <w:separator/>
      </w:r>
    </w:p>
  </w:footnote>
  <w:footnote w:type="continuationSeparator" w:id="0">
    <w:p w14:paraId="26319276" w14:textId="77777777" w:rsidR="005C5392" w:rsidRDefault="005C5392" w:rsidP="0065520B">
      <w:r>
        <w:continuationSeparator/>
      </w:r>
    </w:p>
  </w:footnote>
  <w:footnote w:type="continuationNotice" w:id="1">
    <w:p w14:paraId="00AF20BB" w14:textId="77777777" w:rsidR="005C5392" w:rsidRDefault="005C5392"/>
  </w:footnote>
  <w:footnote w:id="2">
    <w:p w14:paraId="519A3A04" w14:textId="6A772E97" w:rsidR="00760C72" w:rsidRPr="00D10C7F" w:rsidRDefault="00760C72" w:rsidP="00760C72">
      <w:pPr>
        <w:pStyle w:val="Textonotapie"/>
        <w:jc w:val="both"/>
        <w:rPr>
          <w:rFonts w:ascii="Verdana" w:hAnsi="Verdana" w:cs="Verdana"/>
          <w:sz w:val="16"/>
          <w:szCs w:val="16"/>
          <w:lang w:val="es-CO"/>
        </w:rPr>
      </w:pPr>
      <w:r w:rsidRPr="00D10C7F">
        <w:rPr>
          <w:rFonts w:ascii="Verdana" w:hAnsi="Verdana"/>
          <w:sz w:val="16"/>
          <w:szCs w:val="16"/>
          <w:vertAlign w:val="superscript"/>
          <w:lang w:val="es-CR"/>
        </w:rPr>
        <w:t>*</w:t>
      </w:r>
      <w:r w:rsidRPr="00D10C7F">
        <w:rPr>
          <w:rFonts w:ascii="Verdana" w:hAnsi="Verdana"/>
          <w:sz w:val="16"/>
          <w:szCs w:val="16"/>
          <w:lang w:val="es-CR"/>
        </w:rPr>
        <w:tab/>
      </w:r>
      <w:r w:rsidRPr="00D10C7F">
        <w:rPr>
          <w:rFonts w:ascii="Verdana" w:hAnsi="Verdana"/>
          <w:sz w:val="16"/>
          <w:szCs w:val="16"/>
        </w:rPr>
        <w:t>El Juez Eduardo Ferrer Mac-</w:t>
      </w:r>
      <w:proofErr w:type="spellStart"/>
      <w:r w:rsidRPr="00D10C7F">
        <w:rPr>
          <w:rFonts w:ascii="Verdana" w:hAnsi="Verdana"/>
          <w:sz w:val="16"/>
          <w:szCs w:val="16"/>
        </w:rPr>
        <w:t>Gregor</w:t>
      </w:r>
      <w:proofErr w:type="spellEnd"/>
      <w:r w:rsidRPr="00D10C7F">
        <w:rPr>
          <w:rFonts w:ascii="Verdana" w:hAnsi="Verdana"/>
          <w:sz w:val="16"/>
          <w:szCs w:val="16"/>
        </w:rPr>
        <w:t xml:space="preserve"> </w:t>
      </w:r>
      <w:proofErr w:type="spellStart"/>
      <w:r w:rsidRPr="00D10C7F">
        <w:rPr>
          <w:rFonts w:ascii="Verdana" w:hAnsi="Verdana"/>
          <w:sz w:val="16"/>
          <w:szCs w:val="16"/>
        </w:rPr>
        <w:t>Poisot</w:t>
      </w:r>
      <w:proofErr w:type="spellEnd"/>
      <w:r w:rsidRPr="00D10C7F">
        <w:rPr>
          <w:rFonts w:ascii="Verdana" w:hAnsi="Verdana"/>
          <w:sz w:val="16"/>
          <w:szCs w:val="16"/>
        </w:rPr>
        <w:t>, de nacionalidad mexicana</w:t>
      </w:r>
      <w:r w:rsidRPr="00D10C7F">
        <w:rPr>
          <w:rFonts w:ascii="Verdana" w:hAnsi="Verdana" w:cs="Verdana"/>
          <w:sz w:val="16"/>
          <w:szCs w:val="16"/>
          <w:lang w:val="es-CO"/>
        </w:rPr>
        <w:t xml:space="preserve">, </w:t>
      </w:r>
      <w:r w:rsidRPr="00D10C7F">
        <w:rPr>
          <w:rFonts w:ascii="Verdana" w:hAnsi="Verdana"/>
          <w:sz w:val="16"/>
          <w:szCs w:val="16"/>
          <w:lang w:val="es-CR"/>
        </w:rPr>
        <w:t>no participó en la deliberación y firma de la Sentencia del presente caso, ni en el conocimiento y deliberación de la presente Resolución, de conformidad</w:t>
      </w:r>
      <w:r w:rsidR="00273CB8">
        <w:rPr>
          <w:rFonts w:ascii="Verdana" w:hAnsi="Verdana"/>
          <w:sz w:val="16"/>
          <w:szCs w:val="16"/>
          <w:lang w:val="es-CR"/>
        </w:rPr>
        <w:t xml:space="preserve"> con lo dispuesto en los</w:t>
      </w:r>
      <w:r w:rsidRPr="00D10C7F">
        <w:rPr>
          <w:rFonts w:ascii="Verdana" w:hAnsi="Verdana"/>
          <w:sz w:val="16"/>
          <w:szCs w:val="16"/>
          <w:lang w:val="es-CR"/>
        </w:rPr>
        <w:t xml:space="preserve"> </w:t>
      </w:r>
      <w:r w:rsidRPr="00D10C7F">
        <w:rPr>
          <w:rFonts w:ascii="Verdana" w:hAnsi="Verdana" w:cs="Verdana"/>
          <w:sz w:val="16"/>
          <w:szCs w:val="16"/>
          <w:lang w:val="es-CO"/>
        </w:rPr>
        <w:t>artículos 19.2 del Estatuto y 19.1 del Reglamento de la Corte.</w:t>
      </w:r>
    </w:p>
  </w:footnote>
  <w:footnote w:id="3">
    <w:p w14:paraId="1949390C" w14:textId="77777777" w:rsidR="006B64BE" w:rsidRPr="00EE4992" w:rsidRDefault="006B64BE" w:rsidP="00FE1438">
      <w:pPr>
        <w:pStyle w:val="Textonotapie"/>
        <w:jc w:val="both"/>
        <w:rPr>
          <w:rFonts w:ascii="Verdana" w:hAnsi="Verdana"/>
          <w:sz w:val="16"/>
          <w:szCs w:val="16"/>
          <w:lang w:val="es-CR"/>
        </w:rPr>
      </w:pPr>
      <w:r w:rsidRPr="00EE4992">
        <w:rPr>
          <w:rStyle w:val="Refdenotaalpie"/>
          <w:rFonts w:ascii="Verdana" w:hAnsi="Verdana"/>
          <w:sz w:val="16"/>
          <w:szCs w:val="16"/>
        </w:rPr>
        <w:footnoteRef/>
      </w:r>
      <w:r w:rsidRPr="00EE4992">
        <w:rPr>
          <w:rFonts w:ascii="Verdana" w:hAnsi="Verdana"/>
          <w:sz w:val="16"/>
          <w:szCs w:val="16"/>
          <w:lang w:val="es-CR"/>
        </w:rPr>
        <w:t xml:space="preserve"> </w:t>
      </w:r>
      <w:r w:rsidRPr="00EE4992">
        <w:rPr>
          <w:rFonts w:ascii="Verdana" w:hAnsi="Verdana"/>
          <w:sz w:val="16"/>
          <w:szCs w:val="16"/>
          <w:lang w:val="es-CR"/>
        </w:rPr>
        <w:tab/>
      </w:r>
      <w:r w:rsidRPr="00EE4992">
        <w:rPr>
          <w:rFonts w:ascii="Verdana" w:hAnsi="Verdana"/>
          <w:i/>
          <w:sz w:val="16"/>
          <w:szCs w:val="16"/>
          <w:lang w:val="es-CR"/>
        </w:rPr>
        <w:t xml:space="preserve">Cfr. </w:t>
      </w:r>
      <w:r w:rsidR="00EE4992" w:rsidRPr="00EE4992">
        <w:rPr>
          <w:rStyle w:val="Textoennegrita"/>
          <w:rFonts w:ascii="Verdana" w:hAnsi="Verdana"/>
          <w:b w:val="0"/>
          <w:i/>
          <w:color w:val="000000"/>
          <w:sz w:val="16"/>
          <w:szCs w:val="16"/>
          <w:shd w:val="clear" w:color="auto" w:fill="FFFFFF"/>
        </w:rPr>
        <w:t xml:space="preserve">Caso </w:t>
      </w:r>
      <w:r w:rsidR="00D261EA">
        <w:rPr>
          <w:rStyle w:val="Textoennegrita"/>
          <w:rFonts w:ascii="Verdana" w:hAnsi="Verdana"/>
          <w:b w:val="0"/>
          <w:i/>
          <w:color w:val="000000"/>
          <w:sz w:val="16"/>
          <w:szCs w:val="16"/>
          <w:shd w:val="clear" w:color="auto" w:fill="FFFFFF"/>
          <w:lang w:val="es-CR"/>
        </w:rPr>
        <w:t>Alvarado Espinoza y otros</w:t>
      </w:r>
      <w:r w:rsidR="00EE4992" w:rsidRPr="00EE4992">
        <w:rPr>
          <w:rStyle w:val="Textoennegrita"/>
          <w:rFonts w:ascii="Verdana" w:hAnsi="Verdana"/>
          <w:b w:val="0"/>
          <w:i/>
          <w:color w:val="000000"/>
          <w:sz w:val="16"/>
          <w:szCs w:val="16"/>
          <w:shd w:val="clear" w:color="auto" w:fill="FFFFFF"/>
        </w:rPr>
        <w:t xml:space="preserve"> Vs. </w:t>
      </w:r>
      <w:r w:rsidR="00D261EA">
        <w:rPr>
          <w:rStyle w:val="Textoennegrita"/>
          <w:rFonts w:ascii="Verdana" w:hAnsi="Verdana"/>
          <w:b w:val="0"/>
          <w:i/>
          <w:color w:val="000000"/>
          <w:sz w:val="16"/>
          <w:szCs w:val="16"/>
          <w:shd w:val="clear" w:color="auto" w:fill="FFFFFF"/>
          <w:lang w:val="es-CR"/>
        </w:rPr>
        <w:t>México</w:t>
      </w:r>
      <w:r w:rsidR="00EE4992" w:rsidRPr="00EE4992">
        <w:rPr>
          <w:rStyle w:val="Textoennegrita"/>
          <w:rFonts w:ascii="Verdana" w:hAnsi="Verdana"/>
          <w:b w:val="0"/>
          <w:i/>
          <w:color w:val="000000"/>
          <w:sz w:val="16"/>
          <w:szCs w:val="16"/>
          <w:shd w:val="clear" w:color="auto" w:fill="FFFFFF"/>
        </w:rPr>
        <w:t xml:space="preserve">. </w:t>
      </w:r>
      <w:r w:rsidR="00EE4992" w:rsidRPr="00EE4992">
        <w:rPr>
          <w:rStyle w:val="Textoennegrita"/>
          <w:rFonts w:ascii="Verdana" w:hAnsi="Verdana"/>
          <w:b w:val="0"/>
          <w:i/>
          <w:color w:val="000000"/>
          <w:sz w:val="16"/>
          <w:szCs w:val="16"/>
          <w:shd w:val="clear" w:color="auto" w:fill="FFFFFF"/>
        </w:rPr>
        <w:t>Fondo, Reparaciones y Costas</w:t>
      </w:r>
      <w:r w:rsidR="00EE4992" w:rsidRPr="00EE4992">
        <w:rPr>
          <w:rStyle w:val="Textoennegrita"/>
          <w:rFonts w:ascii="Verdana" w:hAnsi="Verdana"/>
          <w:b w:val="0"/>
          <w:color w:val="000000"/>
          <w:sz w:val="16"/>
          <w:szCs w:val="16"/>
          <w:shd w:val="clear" w:color="auto" w:fill="FFFFFF"/>
        </w:rPr>
        <w:t xml:space="preserve">. Sentencia de </w:t>
      </w:r>
      <w:r w:rsidR="00D261EA">
        <w:rPr>
          <w:rStyle w:val="Textoennegrita"/>
          <w:rFonts w:ascii="Verdana" w:hAnsi="Verdana"/>
          <w:b w:val="0"/>
          <w:color w:val="000000"/>
          <w:sz w:val="16"/>
          <w:szCs w:val="16"/>
          <w:shd w:val="clear" w:color="auto" w:fill="FFFFFF"/>
          <w:lang w:val="es-CR"/>
        </w:rPr>
        <w:t>28</w:t>
      </w:r>
      <w:r w:rsidR="00EE4992" w:rsidRPr="00EE4992">
        <w:rPr>
          <w:rStyle w:val="Textoennegrita"/>
          <w:rFonts w:ascii="Verdana" w:hAnsi="Verdana"/>
          <w:b w:val="0"/>
          <w:color w:val="000000"/>
          <w:sz w:val="16"/>
          <w:szCs w:val="16"/>
          <w:shd w:val="clear" w:color="auto" w:fill="FFFFFF"/>
        </w:rPr>
        <w:t xml:space="preserve"> de </w:t>
      </w:r>
      <w:r w:rsidR="00D261EA">
        <w:rPr>
          <w:rStyle w:val="Textoennegrita"/>
          <w:rFonts w:ascii="Verdana" w:hAnsi="Verdana"/>
          <w:b w:val="0"/>
          <w:color w:val="000000"/>
          <w:sz w:val="16"/>
          <w:szCs w:val="16"/>
          <w:shd w:val="clear" w:color="auto" w:fill="FFFFFF"/>
          <w:lang w:val="es-CR"/>
        </w:rPr>
        <w:t>noviembre</w:t>
      </w:r>
      <w:r w:rsidR="00EE4992" w:rsidRPr="00EE4992">
        <w:rPr>
          <w:rStyle w:val="Textoennegrita"/>
          <w:rFonts w:ascii="Verdana" w:hAnsi="Verdana"/>
          <w:b w:val="0"/>
          <w:color w:val="000000"/>
          <w:sz w:val="16"/>
          <w:szCs w:val="16"/>
          <w:shd w:val="clear" w:color="auto" w:fill="FFFFFF"/>
        </w:rPr>
        <w:t xml:space="preserve"> de 2018. Serie C No. </w:t>
      </w:r>
      <w:r w:rsidR="00D261EA">
        <w:rPr>
          <w:rStyle w:val="Textoennegrita"/>
          <w:rFonts w:ascii="Verdana" w:hAnsi="Verdana"/>
          <w:b w:val="0"/>
          <w:color w:val="000000"/>
          <w:sz w:val="16"/>
          <w:szCs w:val="16"/>
          <w:shd w:val="clear" w:color="auto" w:fill="FFFFFF"/>
          <w:lang w:val="es-CR"/>
        </w:rPr>
        <w:t>370</w:t>
      </w:r>
      <w:r w:rsidR="00EE4992" w:rsidRPr="00EE4992">
        <w:rPr>
          <w:rStyle w:val="Textoennegrita"/>
          <w:rFonts w:ascii="Verdana" w:hAnsi="Verdana"/>
          <w:b w:val="0"/>
          <w:color w:val="000000"/>
          <w:sz w:val="16"/>
          <w:szCs w:val="16"/>
          <w:shd w:val="clear" w:color="auto" w:fill="FFFFFF"/>
        </w:rPr>
        <w:t>.</w:t>
      </w:r>
      <w:r w:rsidRPr="00EE4992">
        <w:rPr>
          <w:rFonts w:ascii="Verdana" w:hAnsi="Verdana"/>
          <w:b/>
          <w:sz w:val="16"/>
          <w:szCs w:val="16"/>
          <w:lang w:val="es-CR"/>
        </w:rPr>
        <w:t xml:space="preserve"> </w:t>
      </w:r>
      <w:r w:rsidRPr="00EE4992">
        <w:rPr>
          <w:rFonts w:ascii="Verdana" w:hAnsi="Verdana"/>
          <w:sz w:val="16"/>
          <w:szCs w:val="16"/>
          <w:lang w:val="es-CR"/>
        </w:rPr>
        <w:t xml:space="preserve">El texto íntegro de la Sentencia se encuentra disponible en: </w:t>
      </w:r>
      <w:hyperlink r:id="rId1" w:history="1">
        <w:r w:rsidR="00D261EA" w:rsidRPr="00D261EA">
          <w:rPr>
            <w:rStyle w:val="Hipervnculo"/>
            <w:rFonts w:ascii="Verdana" w:hAnsi="Verdana"/>
            <w:sz w:val="16"/>
            <w:szCs w:val="16"/>
            <w:lang w:val="es-CR"/>
          </w:rPr>
          <w:t>http://www.corteidh.or.cr/docs/casos/articulos/seriec_370_esp.pdf</w:t>
        </w:r>
      </w:hyperlink>
      <w:r w:rsidRPr="00EE4992">
        <w:rPr>
          <w:rFonts w:ascii="Verdana" w:hAnsi="Verdana"/>
          <w:sz w:val="16"/>
          <w:szCs w:val="16"/>
          <w:lang w:val="es-CR"/>
        </w:rPr>
        <w:t xml:space="preserve">. La Sentencia fue notificada al Estado el </w:t>
      </w:r>
      <w:r w:rsidR="00D261EA">
        <w:rPr>
          <w:rFonts w:ascii="Verdana" w:hAnsi="Verdana"/>
          <w:sz w:val="16"/>
          <w:szCs w:val="16"/>
          <w:lang w:val="es-CR"/>
        </w:rPr>
        <w:t>20</w:t>
      </w:r>
      <w:r w:rsidR="00DA67F6">
        <w:rPr>
          <w:rFonts w:ascii="Verdana" w:hAnsi="Verdana"/>
          <w:sz w:val="16"/>
          <w:szCs w:val="16"/>
          <w:lang w:val="es-CR"/>
        </w:rPr>
        <w:t xml:space="preserve"> de </w:t>
      </w:r>
      <w:r w:rsidR="00D261EA">
        <w:rPr>
          <w:rFonts w:ascii="Verdana" w:hAnsi="Verdana"/>
          <w:sz w:val="16"/>
          <w:szCs w:val="16"/>
          <w:lang w:val="es-CR"/>
        </w:rPr>
        <w:t>diciembre</w:t>
      </w:r>
      <w:r w:rsidR="00DA67F6">
        <w:rPr>
          <w:rFonts w:ascii="Verdana" w:hAnsi="Verdana"/>
          <w:sz w:val="16"/>
          <w:szCs w:val="16"/>
          <w:lang w:val="es-CR"/>
        </w:rPr>
        <w:t xml:space="preserve"> de 2018. </w:t>
      </w:r>
    </w:p>
  </w:footnote>
  <w:footnote w:id="4">
    <w:p w14:paraId="4987BF2D" w14:textId="677A2BEE" w:rsidR="00A759DE" w:rsidRPr="00A759DE" w:rsidRDefault="00A759DE">
      <w:pPr>
        <w:pStyle w:val="Textonotapie"/>
        <w:rPr>
          <w:rFonts w:ascii="Verdana" w:hAnsi="Verdana"/>
          <w:sz w:val="16"/>
          <w:szCs w:val="16"/>
          <w:lang w:val="es-AR"/>
        </w:rPr>
      </w:pPr>
      <w:r w:rsidRPr="00A759DE">
        <w:rPr>
          <w:rStyle w:val="Refdenotaalpie"/>
          <w:rFonts w:ascii="Verdana" w:hAnsi="Verdana"/>
          <w:sz w:val="16"/>
          <w:szCs w:val="16"/>
        </w:rPr>
        <w:footnoteRef/>
      </w:r>
      <w:r w:rsidRPr="00A759DE">
        <w:rPr>
          <w:rFonts w:ascii="Verdana" w:hAnsi="Verdana"/>
          <w:sz w:val="16"/>
          <w:szCs w:val="16"/>
        </w:rPr>
        <w:t xml:space="preserve"> </w:t>
      </w:r>
      <w:r w:rsidRPr="00A759DE">
        <w:rPr>
          <w:rFonts w:ascii="Verdana" w:hAnsi="Verdana"/>
          <w:sz w:val="16"/>
          <w:szCs w:val="16"/>
          <w:lang w:val="es-AR"/>
        </w:rPr>
        <w:tab/>
        <w:t xml:space="preserve">El 28 de febrero el Estado realizó una transferencia por un monto de USD 5.429,40. El 4 de junio realizó una transferencia por un monto de USD 182,32. </w:t>
      </w:r>
    </w:p>
  </w:footnote>
  <w:footnote w:id="5">
    <w:p w14:paraId="291E4FD0" w14:textId="77777777" w:rsidR="006B64BE" w:rsidRPr="00EE4992" w:rsidRDefault="006B64BE" w:rsidP="00FF7C60">
      <w:pPr>
        <w:pStyle w:val="Textonotapie"/>
        <w:jc w:val="both"/>
        <w:rPr>
          <w:rFonts w:ascii="Verdana" w:hAnsi="Verdana"/>
          <w:sz w:val="16"/>
          <w:szCs w:val="16"/>
        </w:rPr>
      </w:pPr>
      <w:r w:rsidRPr="00EE4992">
        <w:rPr>
          <w:rStyle w:val="Refdenotaalpie"/>
          <w:rFonts w:ascii="Verdana" w:hAnsi="Verdana"/>
          <w:sz w:val="16"/>
          <w:szCs w:val="16"/>
        </w:rPr>
        <w:footnoteRef/>
      </w:r>
      <w:r w:rsidRPr="00EE4992">
        <w:rPr>
          <w:rFonts w:ascii="Verdana" w:hAnsi="Verdana"/>
          <w:sz w:val="16"/>
          <w:szCs w:val="16"/>
        </w:rPr>
        <w:t xml:space="preserve"> </w:t>
      </w:r>
      <w:r w:rsidRPr="00EE4992">
        <w:rPr>
          <w:rFonts w:ascii="Verdana" w:hAnsi="Verdana"/>
          <w:sz w:val="16"/>
          <w:szCs w:val="16"/>
        </w:rPr>
        <w:tab/>
      </w:r>
      <w:r w:rsidRPr="00EE4992">
        <w:rPr>
          <w:rFonts w:ascii="Verdana" w:hAnsi="Verdana"/>
          <w:sz w:val="16"/>
          <w:szCs w:val="16"/>
        </w:rPr>
        <w:t>Facultad que además se desprende de lo dispuesto en los artículos 33, 62.1, 62.3 y 65 de la Convención Americana y 30 de su Estatuto y se encuentra regulada en el artículo 69 de su Reglamento.</w:t>
      </w:r>
    </w:p>
  </w:footnote>
  <w:footnote w:id="6">
    <w:p w14:paraId="0AE898DC" w14:textId="77777777" w:rsidR="006B64BE" w:rsidRPr="00EE4992" w:rsidRDefault="006B64BE" w:rsidP="008B781F">
      <w:pPr>
        <w:pStyle w:val="Textonotapie"/>
        <w:jc w:val="both"/>
        <w:rPr>
          <w:rFonts w:ascii="Verdana" w:hAnsi="Verdana"/>
          <w:sz w:val="16"/>
          <w:szCs w:val="16"/>
        </w:rPr>
      </w:pPr>
      <w:r w:rsidRPr="00EE4992">
        <w:rPr>
          <w:rStyle w:val="Refdenotaalpie"/>
          <w:rFonts w:ascii="Verdana" w:hAnsi="Verdana"/>
          <w:sz w:val="16"/>
          <w:szCs w:val="16"/>
        </w:rPr>
        <w:footnoteRef/>
      </w:r>
      <w:r w:rsidRPr="00EE4992">
        <w:rPr>
          <w:rFonts w:ascii="Verdana" w:hAnsi="Verdana"/>
          <w:sz w:val="16"/>
          <w:szCs w:val="16"/>
        </w:rPr>
        <w:t xml:space="preserve"> </w:t>
      </w:r>
      <w:r w:rsidRPr="00EE4992">
        <w:rPr>
          <w:rFonts w:ascii="Verdana" w:hAnsi="Verdana"/>
          <w:sz w:val="16"/>
          <w:szCs w:val="16"/>
        </w:rPr>
        <w:tab/>
      </w:r>
      <w:r w:rsidRPr="00EE4992">
        <w:rPr>
          <w:rFonts w:ascii="Verdana" w:hAnsi="Verdana"/>
          <w:sz w:val="16"/>
          <w:szCs w:val="16"/>
        </w:rPr>
        <w:t xml:space="preserve">Reglamento de la Corte Interamericana de Derechos Humanos sobre el Funcionamiento del Fondo de Asistencia Legal de Víctimas, aprobado por el Tribunal el 4 de febrero de 2010, y en vigor a partir del 1 de junio de 2010. Disponible en: </w:t>
      </w:r>
      <w:hyperlink r:id="rId2" w:history="1">
        <w:r w:rsidRPr="00EE4992">
          <w:rPr>
            <w:rStyle w:val="Hipervnculo"/>
            <w:rFonts w:ascii="Verdana" w:hAnsi="Verdana"/>
            <w:sz w:val="16"/>
            <w:szCs w:val="16"/>
          </w:rPr>
          <w:t>http://www.corteidh.or.cr/docs/regla_victimas/victimas_esp.pdf</w:t>
        </w:r>
      </w:hyperlink>
      <w:r w:rsidRPr="00EE4992">
        <w:rPr>
          <w:rFonts w:ascii="Verdana" w:hAnsi="Verdana"/>
          <w:sz w:val="16"/>
          <w:szCs w:val="16"/>
        </w:rPr>
        <w:t xml:space="preserve">. </w:t>
      </w:r>
    </w:p>
  </w:footnote>
  <w:footnote w:id="7">
    <w:p w14:paraId="183CEF8A" w14:textId="77777777" w:rsidR="006B64BE" w:rsidRPr="00EE4992" w:rsidRDefault="006B64BE" w:rsidP="00DC2794">
      <w:pPr>
        <w:pStyle w:val="Textonotapie"/>
        <w:jc w:val="both"/>
        <w:rPr>
          <w:rFonts w:ascii="Verdana" w:hAnsi="Verdana"/>
          <w:sz w:val="16"/>
          <w:szCs w:val="16"/>
        </w:rPr>
      </w:pPr>
      <w:r w:rsidRPr="00EE4992">
        <w:rPr>
          <w:rStyle w:val="Refdenotaalpie"/>
          <w:rFonts w:ascii="Verdana" w:hAnsi="Verdana"/>
          <w:sz w:val="16"/>
          <w:szCs w:val="16"/>
        </w:rPr>
        <w:footnoteRef/>
      </w:r>
      <w:r w:rsidRPr="00EE4992">
        <w:rPr>
          <w:rFonts w:ascii="Verdana" w:hAnsi="Verdana"/>
          <w:sz w:val="16"/>
          <w:szCs w:val="16"/>
        </w:rPr>
        <w:t xml:space="preserve"> </w:t>
      </w:r>
      <w:r w:rsidRPr="00EE4992">
        <w:rPr>
          <w:rFonts w:ascii="Verdana" w:hAnsi="Verdana"/>
          <w:sz w:val="16"/>
          <w:szCs w:val="16"/>
        </w:rPr>
        <w:tab/>
      </w:r>
      <w:r w:rsidRPr="00EE4992">
        <w:rPr>
          <w:rFonts w:ascii="Verdana" w:hAnsi="Verdana"/>
          <w:sz w:val="16"/>
          <w:szCs w:val="16"/>
        </w:rPr>
        <w:t>Con el “objeto [de] facilitar acceso al sistema interamericano de derechos humanos a aquellas personas que actualmente no tienen los recursos necesarios para llevar su caso al sistema”. AG/RES. 2426 (XXXVIII-O/08) Resolución adoptada por la Asamblea General de la OEA durante la celebración del XXXVIII Período Ordinario de Sesiones de la OEA, en la cuarta sesión plenaria, celebrada el 3 de junio de 2008, “Creación del Fondo de Asistencia Legal del Sistema Interamericano de Derechos Humanos”, párrafo dispositivo 2.</w:t>
      </w:r>
      <w:r w:rsidRPr="00EE4992">
        <w:rPr>
          <w:rFonts w:ascii="Verdana" w:hAnsi="Verdana"/>
          <w:sz w:val="16"/>
          <w:szCs w:val="16"/>
          <w:lang w:val="es-ES"/>
        </w:rPr>
        <w:t>a</w:t>
      </w:r>
      <w:r w:rsidRPr="00EE4992">
        <w:rPr>
          <w:rFonts w:ascii="Verdana" w:hAnsi="Verdana"/>
          <w:sz w:val="16"/>
          <w:szCs w:val="16"/>
        </w:rPr>
        <w:t>.</w:t>
      </w:r>
    </w:p>
  </w:footnote>
  <w:footnote w:id="8">
    <w:p w14:paraId="74BE3CC6" w14:textId="77777777" w:rsidR="006B64BE" w:rsidRPr="00EE4992" w:rsidRDefault="006B64BE" w:rsidP="00AB48F8">
      <w:pPr>
        <w:pStyle w:val="Textonotapie"/>
        <w:jc w:val="both"/>
        <w:rPr>
          <w:rFonts w:ascii="Verdana" w:hAnsi="Verdana"/>
          <w:sz w:val="16"/>
          <w:szCs w:val="16"/>
        </w:rPr>
      </w:pPr>
      <w:r w:rsidRPr="00EE4992">
        <w:rPr>
          <w:rStyle w:val="Refdenotaalpie"/>
          <w:rFonts w:ascii="Verdana" w:hAnsi="Verdana"/>
          <w:sz w:val="16"/>
          <w:szCs w:val="16"/>
        </w:rPr>
        <w:footnoteRef/>
      </w:r>
      <w:r w:rsidRPr="00EE4992">
        <w:rPr>
          <w:rFonts w:ascii="Verdana" w:hAnsi="Verdana"/>
          <w:sz w:val="16"/>
          <w:szCs w:val="16"/>
        </w:rPr>
        <w:t xml:space="preserve"> </w:t>
      </w:r>
      <w:r w:rsidRPr="00EE4992">
        <w:rPr>
          <w:rFonts w:ascii="Verdana" w:hAnsi="Verdana"/>
          <w:sz w:val="16"/>
          <w:szCs w:val="16"/>
        </w:rPr>
        <w:tab/>
      </w:r>
      <w:r w:rsidRPr="00EE4992">
        <w:rPr>
          <w:rFonts w:ascii="Verdana" w:hAnsi="Verdana"/>
          <w:sz w:val="16"/>
          <w:szCs w:val="16"/>
        </w:rPr>
        <w:t xml:space="preserve">El artículo 2.1 del Reglamento del Fondo de Asistencia Legal de Víctimas del Sistema Interamericano, estipuló que éste se financia por medio de los “[a]portes de capital voluntarios de los Estados miembros de la OEA, de los Estados Observadores Permanentes, y de otros Estados y donantes que deseen colaborar”. CP/RES. 963 (1728/09), Resolución adoptada el 11 de noviembre de 2009 por el Consejo Permanente de la OEA, “Reglamento para el Funcionamiento del Fondo de Asistencia Legal del Sistema Interamericano de Derechos Humanos”, artículo 2.1. </w:t>
      </w:r>
    </w:p>
  </w:footnote>
  <w:footnote w:id="9">
    <w:p w14:paraId="412E683F" w14:textId="68CFEB23" w:rsidR="006B64BE" w:rsidRPr="00EE4992" w:rsidRDefault="006B64BE" w:rsidP="00B82DF7">
      <w:pPr>
        <w:pStyle w:val="Textonotapie"/>
        <w:jc w:val="both"/>
        <w:rPr>
          <w:rFonts w:ascii="Verdana" w:hAnsi="Verdana"/>
          <w:sz w:val="16"/>
          <w:szCs w:val="16"/>
          <w:lang w:val="es-CR"/>
        </w:rPr>
      </w:pPr>
      <w:r w:rsidRPr="00EE4992">
        <w:rPr>
          <w:rStyle w:val="Refdenotaalpie"/>
          <w:rFonts w:ascii="Verdana" w:hAnsi="Verdana"/>
          <w:sz w:val="16"/>
          <w:szCs w:val="16"/>
        </w:rPr>
        <w:footnoteRef/>
      </w:r>
      <w:r w:rsidRPr="00EE4992">
        <w:rPr>
          <w:rFonts w:ascii="Verdana" w:hAnsi="Verdana"/>
          <w:sz w:val="16"/>
          <w:szCs w:val="16"/>
        </w:rPr>
        <w:t xml:space="preserve"> </w:t>
      </w:r>
      <w:r w:rsidRPr="00EE4992">
        <w:rPr>
          <w:rFonts w:ascii="Verdana" w:hAnsi="Verdana"/>
          <w:sz w:val="16"/>
          <w:szCs w:val="16"/>
        </w:rPr>
        <w:tab/>
      </w:r>
      <w:r w:rsidRPr="00EE4992">
        <w:rPr>
          <w:rFonts w:ascii="Verdana" w:hAnsi="Verdana"/>
          <w:sz w:val="16"/>
          <w:szCs w:val="16"/>
        </w:rPr>
        <w:t xml:space="preserve">El Fondo de Asistencia Legal de Víctimas de la Corte Interamericana no cuenta con recursos del presupuesto ordinario de la OEA. Hasta la fecha los fondos </w:t>
      </w:r>
      <w:r w:rsidRPr="00EE4992">
        <w:rPr>
          <w:rFonts w:ascii="Verdana" w:hAnsi="Verdana"/>
          <w:sz w:val="16"/>
          <w:szCs w:val="16"/>
          <w:lang w:val="es-CR"/>
        </w:rPr>
        <w:t>han provenido</w:t>
      </w:r>
      <w:r w:rsidRPr="00EE4992">
        <w:rPr>
          <w:rFonts w:ascii="Verdana" w:hAnsi="Verdana"/>
          <w:sz w:val="16"/>
          <w:szCs w:val="16"/>
        </w:rPr>
        <w:t xml:space="preserve"> de proyectos de cooperación firmados por el Tribunal con Noruega y Dinamarca, y del aporte voluntario realizado por Colombia. Al respecto ver: Informe Anual de la Corte Interamericana de Derechos Humanos de 201</w:t>
      </w:r>
      <w:r w:rsidR="007A75B1">
        <w:rPr>
          <w:rFonts w:ascii="Verdana" w:hAnsi="Verdana"/>
          <w:sz w:val="16"/>
          <w:szCs w:val="16"/>
          <w:lang w:val="es-CR"/>
        </w:rPr>
        <w:t>8</w:t>
      </w:r>
      <w:r w:rsidRPr="00EE4992">
        <w:rPr>
          <w:rFonts w:ascii="Verdana" w:hAnsi="Verdana"/>
          <w:sz w:val="16"/>
          <w:szCs w:val="16"/>
        </w:rPr>
        <w:t>, págs.</w:t>
      </w:r>
      <w:r w:rsidR="007A75B1">
        <w:rPr>
          <w:rFonts w:ascii="Verdana" w:hAnsi="Verdana"/>
          <w:sz w:val="16"/>
          <w:szCs w:val="16"/>
          <w:lang w:val="es-CR"/>
        </w:rPr>
        <w:t xml:space="preserve"> 158</w:t>
      </w:r>
      <w:r w:rsidRPr="00EE4992">
        <w:rPr>
          <w:rFonts w:ascii="Verdana" w:hAnsi="Verdana"/>
          <w:sz w:val="16"/>
          <w:szCs w:val="16"/>
        </w:rPr>
        <w:t xml:space="preserve"> </w:t>
      </w:r>
      <w:r w:rsidR="007A75B1">
        <w:rPr>
          <w:rFonts w:ascii="Verdana" w:hAnsi="Verdana"/>
          <w:sz w:val="16"/>
          <w:szCs w:val="16"/>
          <w:lang w:val="es-CR"/>
        </w:rPr>
        <w:t>a 170</w:t>
      </w:r>
      <w:r w:rsidRPr="00EE4992">
        <w:rPr>
          <w:rFonts w:ascii="Verdana" w:hAnsi="Verdana"/>
          <w:sz w:val="16"/>
          <w:szCs w:val="16"/>
        </w:rPr>
        <w:t>, disponible en:</w:t>
      </w:r>
      <w:r w:rsidRPr="00EE4992">
        <w:rPr>
          <w:rFonts w:ascii="Verdana" w:hAnsi="Verdana"/>
          <w:sz w:val="16"/>
          <w:szCs w:val="16"/>
          <w:lang w:val="es-CR"/>
        </w:rPr>
        <w:t xml:space="preserve"> </w:t>
      </w:r>
      <w:hyperlink r:id="rId3" w:history="1">
        <w:r w:rsidR="007A75B1" w:rsidRPr="00105A33">
          <w:rPr>
            <w:rStyle w:val="Hipervnculo"/>
            <w:rFonts w:ascii="Verdana" w:hAnsi="Verdana"/>
            <w:sz w:val="16"/>
            <w:szCs w:val="16"/>
            <w:lang w:val="es-CR"/>
          </w:rPr>
          <w:t>http://www.corteidh.or.cr/tablas/informe2018/espanol.pdf</w:t>
        </w:r>
      </w:hyperlink>
      <w:r w:rsidRPr="00EE4992">
        <w:rPr>
          <w:rFonts w:ascii="Verdana" w:hAnsi="Verdana"/>
          <w:sz w:val="16"/>
          <w:szCs w:val="16"/>
          <w:lang w:val="es-C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21D84" w14:textId="77777777" w:rsidR="006B64BE" w:rsidRPr="00A75F01" w:rsidRDefault="00A75F01">
    <w:pPr>
      <w:pStyle w:val="Encabezado"/>
      <w:jc w:val="center"/>
      <w:rPr>
        <w:rFonts w:ascii="Verdana" w:hAnsi="Verdana"/>
        <w:noProof/>
        <w:sz w:val="20"/>
        <w:szCs w:val="20"/>
        <w:lang w:val="es-CR"/>
      </w:rPr>
    </w:pPr>
    <w:r>
      <w:rPr>
        <w:rFonts w:ascii="Verdana" w:hAnsi="Verdana"/>
        <w:sz w:val="20"/>
        <w:szCs w:val="20"/>
        <w:lang w:val="es-CR"/>
      </w:rPr>
      <w:t>-</w:t>
    </w:r>
    <w:r w:rsidR="006B64BE" w:rsidRPr="00A75F01">
      <w:rPr>
        <w:rFonts w:ascii="Verdana" w:hAnsi="Verdana"/>
        <w:sz w:val="20"/>
        <w:szCs w:val="20"/>
      </w:rPr>
      <w:fldChar w:fldCharType="begin"/>
    </w:r>
    <w:r w:rsidR="006B64BE" w:rsidRPr="00A75F01">
      <w:rPr>
        <w:rFonts w:ascii="Verdana" w:hAnsi="Verdana"/>
        <w:sz w:val="20"/>
        <w:szCs w:val="20"/>
      </w:rPr>
      <w:instrText xml:space="preserve"> PAGE   \* MERGEFORMAT </w:instrText>
    </w:r>
    <w:r w:rsidR="006B64BE" w:rsidRPr="00A75F01">
      <w:rPr>
        <w:rFonts w:ascii="Verdana" w:hAnsi="Verdana"/>
        <w:sz w:val="20"/>
        <w:szCs w:val="20"/>
      </w:rPr>
      <w:fldChar w:fldCharType="separate"/>
    </w:r>
    <w:r w:rsidR="008B4A3D">
      <w:rPr>
        <w:rFonts w:ascii="Verdana" w:hAnsi="Verdana"/>
        <w:noProof/>
        <w:sz w:val="20"/>
        <w:szCs w:val="20"/>
      </w:rPr>
      <w:t>2</w:t>
    </w:r>
    <w:r w:rsidR="006B64BE" w:rsidRPr="00A75F01">
      <w:rPr>
        <w:rFonts w:ascii="Verdana" w:hAnsi="Verdana"/>
        <w:noProof/>
        <w:sz w:val="20"/>
        <w:szCs w:val="20"/>
      </w:rPr>
      <w:fldChar w:fldCharType="end"/>
    </w:r>
    <w:r>
      <w:rPr>
        <w:rFonts w:ascii="Verdana" w:hAnsi="Verdana"/>
        <w:noProof/>
        <w:sz w:val="20"/>
        <w:szCs w:val="20"/>
        <w:lang w:val="es-CR"/>
      </w:rPr>
      <w:t>-</w:t>
    </w:r>
  </w:p>
  <w:p w14:paraId="4B13289E" w14:textId="77777777" w:rsidR="006B64BE" w:rsidRDefault="006B64BE" w:rsidP="00A830DE">
    <w:pPr>
      <w:pStyle w:val="Encabezado"/>
    </w:pPr>
  </w:p>
  <w:p w14:paraId="390A232B" w14:textId="77777777" w:rsidR="006B64BE" w:rsidRDefault="006B64B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93B0" w14:textId="25882E4C" w:rsidR="006B64BE" w:rsidRPr="00E10995" w:rsidRDefault="006B64BE" w:rsidP="00AF1972">
    <w:pPr>
      <w:pStyle w:val="Encabezado"/>
      <w:jc w:val="right"/>
      <w:rPr>
        <w:rFonts w:ascii="Verdana" w:hAnsi="Verdana"/>
        <w:b/>
        <w:i/>
        <w:sz w:val="20"/>
        <w:szCs w:val="20"/>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98A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B2048"/>
    <w:multiLevelType w:val="hybridMultilevel"/>
    <w:tmpl w:val="749ACE7C"/>
    <w:lvl w:ilvl="0" w:tplc="4F1AEC80">
      <w:start w:val="1"/>
      <w:numFmt w:val="decimal"/>
      <w:lvlText w:val="%1."/>
      <w:lvlJc w:val="left"/>
      <w:pPr>
        <w:ind w:left="1065" w:hanging="705"/>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63970B8"/>
    <w:multiLevelType w:val="hybridMultilevel"/>
    <w:tmpl w:val="28A0F28A"/>
    <w:lvl w:ilvl="0" w:tplc="71F64FA2">
      <w:start w:val="1"/>
      <w:numFmt w:val="decimal"/>
      <w:lvlText w:val="%1."/>
      <w:lvlJc w:val="left"/>
      <w:pPr>
        <w:ind w:left="720" w:hanging="360"/>
      </w:pPr>
      <w:rPr>
        <w:rFonts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7336EF5"/>
    <w:multiLevelType w:val="hybridMultilevel"/>
    <w:tmpl w:val="2FB6C44E"/>
    <w:lvl w:ilvl="0" w:tplc="6A744E00">
      <w:start w:val="1"/>
      <w:numFmt w:val="decimal"/>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0ACB3B95"/>
    <w:multiLevelType w:val="hybridMultilevel"/>
    <w:tmpl w:val="0AF4994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188F68DD"/>
    <w:multiLevelType w:val="hybridMultilevel"/>
    <w:tmpl w:val="5EBE15E0"/>
    <w:lvl w:ilvl="0" w:tplc="924E4690">
      <w:start w:val="1"/>
      <w:numFmt w:val="decimal"/>
      <w:lvlText w:val="%1."/>
      <w:lvlJc w:val="left"/>
      <w:pPr>
        <w:ind w:left="144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185F3C"/>
    <w:multiLevelType w:val="hybridMultilevel"/>
    <w:tmpl w:val="C12A0F32"/>
    <w:lvl w:ilvl="0" w:tplc="71F64FA2">
      <w:start w:val="1"/>
      <w:numFmt w:val="decimal"/>
      <w:lvlText w:val="%1."/>
      <w:lvlJc w:val="left"/>
      <w:pPr>
        <w:ind w:left="720" w:hanging="360"/>
      </w:pPr>
      <w:rPr>
        <w:rFonts w:hint="default"/>
        <w:b w:val="0"/>
        <w:color w:val="auto"/>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76E55E3"/>
    <w:multiLevelType w:val="hybridMultilevel"/>
    <w:tmpl w:val="09985A76"/>
    <w:lvl w:ilvl="0" w:tplc="68420E5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FF03B4F"/>
    <w:multiLevelType w:val="hybridMultilevel"/>
    <w:tmpl w:val="D372765C"/>
    <w:lvl w:ilvl="0" w:tplc="71F64FA2">
      <w:start w:val="1"/>
      <w:numFmt w:val="decimal"/>
      <w:lvlText w:val="%1."/>
      <w:lvlJc w:val="left"/>
      <w:pPr>
        <w:ind w:left="720" w:hanging="360"/>
      </w:pPr>
      <w:rPr>
        <w:rFonts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2563C3E"/>
    <w:multiLevelType w:val="hybridMultilevel"/>
    <w:tmpl w:val="AA6435CC"/>
    <w:lvl w:ilvl="0" w:tplc="71F64FA2">
      <w:start w:val="1"/>
      <w:numFmt w:val="decimal"/>
      <w:lvlText w:val="%1."/>
      <w:lvlJc w:val="left"/>
      <w:pPr>
        <w:ind w:left="720" w:hanging="360"/>
      </w:pPr>
      <w:rPr>
        <w:rFonts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8A1355E"/>
    <w:multiLevelType w:val="hybridMultilevel"/>
    <w:tmpl w:val="E3B403A0"/>
    <w:lvl w:ilvl="0" w:tplc="8D2669C8">
      <w:start w:val="1"/>
      <w:numFmt w:val="decimal"/>
      <w:lvlText w:val="%1."/>
      <w:lvlJc w:val="left"/>
      <w:pPr>
        <w:ind w:left="360" w:hanging="360"/>
      </w:pPr>
      <w:rPr>
        <w:rFonts w:ascii="Verdana" w:eastAsia="Calibri" w:hAnsi="Verdana" w:cs="Verdana" w:hint="default"/>
        <w:b/>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450C2DCB"/>
    <w:multiLevelType w:val="hybridMultilevel"/>
    <w:tmpl w:val="A1FA60C2"/>
    <w:lvl w:ilvl="0" w:tplc="B3C4F042">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78455DB"/>
    <w:multiLevelType w:val="hybridMultilevel"/>
    <w:tmpl w:val="DB1EB88E"/>
    <w:lvl w:ilvl="0" w:tplc="71F64FA2">
      <w:start w:val="1"/>
      <w:numFmt w:val="decimal"/>
      <w:lvlText w:val="%1."/>
      <w:lvlJc w:val="left"/>
      <w:pPr>
        <w:ind w:left="720" w:hanging="360"/>
      </w:pPr>
      <w:rPr>
        <w:rFonts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7C047983"/>
    <w:multiLevelType w:val="hybridMultilevel"/>
    <w:tmpl w:val="0EB45F0A"/>
    <w:lvl w:ilvl="0" w:tplc="8F3EC32E">
      <w:start w:val="1"/>
      <w:numFmt w:val="decimal"/>
      <w:lvlText w:val="%1."/>
      <w:lvlJc w:val="left"/>
      <w:pPr>
        <w:ind w:left="720" w:hanging="360"/>
      </w:pPr>
      <w:rPr>
        <w:rFonts w:ascii="Verdana" w:hAnsi="Verdana"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7"/>
  </w:num>
  <w:num w:numId="5">
    <w:abstractNumId w:val="0"/>
  </w:num>
  <w:num w:numId="6">
    <w:abstractNumId w:val="13"/>
  </w:num>
  <w:num w:numId="7">
    <w:abstractNumId w:val="1"/>
  </w:num>
  <w:num w:numId="8">
    <w:abstractNumId w:val="9"/>
  </w:num>
  <w:num w:numId="9">
    <w:abstractNumId w:val="6"/>
  </w:num>
  <w:num w:numId="10">
    <w:abstractNumId w:val="11"/>
  </w:num>
  <w:num w:numId="11">
    <w:abstractNumId w:val="2"/>
  </w:num>
  <w:num w:numId="12">
    <w:abstractNumId w:val="12"/>
  </w:num>
  <w:num w:numId="13">
    <w:abstractNumId w:va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CR" w:vendorID="64" w:dllVersion="6" w:nlCheck="1" w:checkStyle="1"/>
  <w:activeWritingStyle w:appName="MSWord" w:lang="es-AR" w:vendorID="64" w:dllVersion="6" w:nlCheck="1" w:checkStyle="1"/>
  <w:activeWritingStyle w:appName="MSWord" w:lang="es-MX" w:vendorID="64" w:dllVersion="6" w:nlCheck="1" w:checkStyle="1"/>
  <w:activeWritingStyle w:appName="MSWord" w:lang="es-MX" w:vendorID="64" w:dllVersion="4096" w:nlCheck="1" w:checkStyle="0"/>
  <w:activeWritingStyle w:appName="MSWord" w:lang="es-CR"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AR" w:vendorID="64" w:dllVersion="4096"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20B"/>
    <w:rsid w:val="00002266"/>
    <w:rsid w:val="00002792"/>
    <w:rsid w:val="00006348"/>
    <w:rsid w:val="00007302"/>
    <w:rsid w:val="00007EEB"/>
    <w:rsid w:val="00011A45"/>
    <w:rsid w:val="0001586D"/>
    <w:rsid w:val="0003198B"/>
    <w:rsid w:val="000411F3"/>
    <w:rsid w:val="000418EE"/>
    <w:rsid w:val="00053E2A"/>
    <w:rsid w:val="00055C2E"/>
    <w:rsid w:val="00057DDD"/>
    <w:rsid w:val="000629DF"/>
    <w:rsid w:val="00066893"/>
    <w:rsid w:val="00070050"/>
    <w:rsid w:val="000741B4"/>
    <w:rsid w:val="000817ED"/>
    <w:rsid w:val="00087CE8"/>
    <w:rsid w:val="000906E9"/>
    <w:rsid w:val="000A08E5"/>
    <w:rsid w:val="000B2984"/>
    <w:rsid w:val="000C163F"/>
    <w:rsid w:val="000C3688"/>
    <w:rsid w:val="000D3AB1"/>
    <w:rsid w:val="000E07DA"/>
    <w:rsid w:val="000E39CA"/>
    <w:rsid w:val="000E5B55"/>
    <w:rsid w:val="000E6152"/>
    <w:rsid w:val="000F614E"/>
    <w:rsid w:val="0010107F"/>
    <w:rsid w:val="00101760"/>
    <w:rsid w:val="00107D81"/>
    <w:rsid w:val="001264D4"/>
    <w:rsid w:val="0013292A"/>
    <w:rsid w:val="001362A5"/>
    <w:rsid w:val="00137D31"/>
    <w:rsid w:val="00140C83"/>
    <w:rsid w:val="00142A27"/>
    <w:rsid w:val="001457B1"/>
    <w:rsid w:val="00154AEB"/>
    <w:rsid w:val="0016151F"/>
    <w:rsid w:val="00162C69"/>
    <w:rsid w:val="00165540"/>
    <w:rsid w:val="00165749"/>
    <w:rsid w:val="00171A49"/>
    <w:rsid w:val="0017363E"/>
    <w:rsid w:val="001819E8"/>
    <w:rsid w:val="001822FD"/>
    <w:rsid w:val="001832EF"/>
    <w:rsid w:val="00197C19"/>
    <w:rsid w:val="001A2269"/>
    <w:rsid w:val="001A254F"/>
    <w:rsid w:val="001B0B1E"/>
    <w:rsid w:val="001B394E"/>
    <w:rsid w:val="001C3239"/>
    <w:rsid w:val="001C541C"/>
    <w:rsid w:val="001C5EC6"/>
    <w:rsid w:val="001C627E"/>
    <w:rsid w:val="001D5AB1"/>
    <w:rsid w:val="001D73F5"/>
    <w:rsid w:val="001E1D26"/>
    <w:rsid w:val="001E4D18"/>
    <w:rsid w:val="001E5A40"/>
    <w:rsid w:val="001E6645"/>
    <w:rsid w:val="001F18A9"/>
    <w:rsid w:val="00204BF2"/>
    <w:rsid w:val="00210C83"/>
    <w:rsid w:val="0021622B"/>
    <w:rsid w:val="002177A8"/>
    <w:rsid w:val="00221351"/>
    <w:rsid w:val="002253CD"/>
    <w:rsid w:val="00230E6E"/>
    <w:rsid w:val="0024162C"/>
    <w:rsid w:val="002436F9"/>
    <w:rsid w:val="00244418"/>
    <w:rsid w:val="00252DD4"/>
    <w:rsid w:val="00263548"/>
    <w:rsid w:val="00273CB8"/>
    <w:rsid w:val="002810E0"/>
    <w:rsid w:val="002860E3"/>
    <w:rsid w:val="00296450"/>
    <w:rsid w:val="002A11F3"/>
    <w:rsid w:val="002A4BCC"/>
    <w:rsid w:val="002A4D28"/>
    <w:rsid w:val="002B1627"/>
    <w:rsid w:val="002B4F4B"/>
    <w:rsid w:val="002C220C"/>
    <w:rsid w:val="002D260D"/>
    <w:rsid w:val="002D5646"/>
    <w:rsid w:val="002D69F1"/>
    <w:rsid w:val="002E7D03"/>
    <w:rsid w:val="002F5BC5"/>
    <w:rsid w:val="00300969"/>
    <w:rsid w:val="0031129C"/>
    <w:rsid w:val="00311716"/>
    <w:rsid w:val="003119FE"/>
    <w:rsid w:val="0032020D"/>
    <w:rsid w:val="00320837"/>
    <w:rsid w:val="0032195B"/>
    <w:rsid w:val="00321A6E"/>
    <w:rsid w:val="00333A55"/>
    <w:rsid w:val="00336F0F"/>
    <w:rsid w:val="00337D3B"/>
    <w:rsid w:val="00343CDF"/>
    <w:rsid w:val="0034609B"/>
    <w:rsid w:val="003468F3"/>
    <w:rsid w:val="0035777D"/>
    <w:rsid w:val="00371076"/>
    <w:rsid w:val="003712B9"/>
    <w:rsid w:val="00372925"/>
    <w:rsid w:val="00372E06"/>
    <w:rsid w:val="003801B5"/>
    <w:rsid w:val="003805C1"/>
    <w:rsid w:val="00381BA1"/>
    <w:rsid w:val="003836FD"/>
    <w:rsid w:val="00386274"/>
    <w:rsid w:val="00394007"/>
    <w:rsid w:val="003A2E33"/>
    <w:rsid w:val="003B3976"/>
    <w:rsid w:val="003C101C"/>
    <w:rsid w:val="003C7197"/>
    <w:rsid w:val="003D073C"/>
    <w:rsid w:val="003D22BE"/>
    <w:rsid w:val="003D3C2B"/>
    <w:rsid w:val="003D5F4E"/>
    <w:rsid w:val="003E2962"/>
    <w:rsid w:val="003E4D6A"/>
    <w:rsid w:val="003F5319"/>
    <w:rsid w:val="003F7FE7"/>
    <w:rsid w:val="0041118D"/>
    <w:rsid w:val="00411882"/>
    <w:rsid w:val="004140DB"/>
    <w:rsid w:val="00423BFC"/>
    <w:rsid w:val="004249DE"/>
    <w:rsid w:val="00424A36"/>
    <w:rsid w:val="004256F4"/>
    <w:rsid w:val="00426818"/>
    <w:rsid w:val="0043434E"/>
    <w:rsid w:val="00434B40"/>
    <w:rsid w:val="00443034"/>
    <w:rsid w:val="00444BEC"/>
    <w:rsid w:val="004517BE"/>
    <w:rsid w:val="0045463F"/>
    <w:rsid w:val="00455DE8"/>
    <w:rsid w:val="00460732"/>
    <w:rsid w:val="00464D96"/>
    <w:rsid w:val="004722E5"/>
    <w:rsid w:val="004853A8"/>
    <w:rsid w:val="004A0CD9"/>
    <w:rsid w:val="004A4094"/>
    <w:rsid w:val="004A5BD4"/>
    <w:rsid w:val="004B4002"/>
    <w:rsid w:val="004C6EF8"/>
    <w:rsid w:val="004D6B6D"/>
    <w:rsid w:val="004E0553"/>
    <w:rsid w:val="004E42C7"/>
    <w:rsid w:val="004E493A"/>
    <w:rsid w:val="004F2685"/>
    <w:rsid w:val="004F4966"/>
    <w:rsid w:val="00503E62"/>
    <w:rsid w:val="00503EE6"/>
    <w:rsid w:val="005067D4"/>
    <w:rsid w:val="005160B4"/>
    <w:rsid w:val="00522D51"/>
    <w:rsid w:val="00524382"/>
    <w:rsid w:val="00526DE4"/>
    <w:rsid w:val="005313ED"/>
    <w:rsid w:val="005317EC"/>
    <w:rsid w:val="005328C3"/>
    <w:rsid w:val="00545C89"/>
    <w:rsid w:val="005734F9"/>
    <w:rsid w:val="00575E62"/>
    <w:rsid w:val="005763C1"/>
    <w:rsid w:val="0058109C"/>
    <w:rsid w:val="005849E0"/>
    <w:rsid w:val="00585226"/>
    <w:rsid w:val="00585E45"/>
    <w:rsid w:val="00595FF1"/>
    <w:rsid w:val="00596AE5"/>
    <w:rsid w:val="005A1859"/>
    <w:rsid w:val="005A2690"/>
    <w:rsid w:val="005A29A1"/>
    <w:rsid w:val="005A5FA7"/>
    <w:rsid w:val="005B0583"/>
    <w:rsid w:val="005B0B51"/>
    <w:rsid w:val="005B7714"/>
    <w:rsid w:val="005C081E"/>
    <w:rsid w:val="005C0F77"/>
    <w:rsid w:val="005C13DA"/>
    <w:rsid w:val="005C31BF"/>
    <w:rsid w:val="005C4BB8"/>
    <w:rsid w:val="005C5211"/>
    <w:rsid w:val="005C5392"/>
    <w:rsid w:val="005C75B8"/>
    <w:rsid w:val="005C7717"/>
    <w:rsid w:val="005D4406"/>
    <w:rsid w:val="005E48EC"/>
    <w:rsid w:val="005E5FB5"/>
    <w:rsid w:val="005F7C45"/>
    <w:rsid w:val="00605625"/>
    <w:rsid w:val="006060F7"/>
    <w:rsid w:val="006073EB"/>
    <w:rsid w:val="00612864"/>
    <w:rsid w:val="00613522"/>
    <w:rsid w:val="00613A26"/>
    <w:rsid w:val="0061533F"/>
    <w:rsid w:val="006168A8"/>
    <w:rsid w:val="0063510A"/>
    <w:rsid w:val="006417D7"/>
    <w:rsid w:val="00642D02"/>
    <w:rsid w:val="0064526F"/>
    <w:rsid w:val="00645E23"/>
    <w:rsid w:val="0065520B"/>
    <w:rsid w:val="00660348"/>
    <w:rsid w:val="0066130C"/>
    <w:rsid w:val="006624B7"/>
    <w:rsid w:val="006632DC"/>
    <w:rsid w:val="00664E56"/>
    <w:rsid w:val="00667C8F"/>
    <w:rsid w:val="00673DCD"/>
    <w:rsid w:val="006740B6"/>
    <w:rsid w:val="006777FB"/>
    <w:rsid w:val="00677935"/>
    <w:rsid w:val="006830A4"/>
    <w:rsid w:val="00692823"/>
    <w:rsid w:val="006979BA"/>
    <w:rsid w:val="006A40CD"/>
    <w:rsid w:val="006A53AF"/>
    <w:rsid w:val="006B5E2E"/>
    <w:rsid w:val="006B64BE"/>
    <w:rsid w:val="006B7911"/>
    <w:rsid w:val="006D1801"/>
    <w:rsid w:val="006D27C0"/>
    <w:rsid w:val="00701B76"/>
    <w:rsid w:val="00707546"/>
    <w:rsid w:val="00707915"/>
    <w:rsid w:val="00711E3E"/>
    <w:rsid w:val="00727C03"/>
    <w:rsid w:val="0073073D"/>
    <w:rsid w:val="00730A69"/>
    <w:rsid w:val="007547B9"/>
    <w:rsid w:val="00760C72"/>
    <w:rsid w:val="00762573"/>
    <w:rsid w:val="0077039E"/>
    <w:rsid w:val="00770894"/>
    <w:rsid w:val="0077307A"/>
    <w:rsid w:val="007762CE"/>
    <w:rsid w:val="00776847"/>
    <w:rsid w:val="00792F4F"/>
    <w:rsid w:val="007A1810"/>
    <w:rsid w:val="007A255C"/>
    <w:rsid w:val="007A658C"/>
    <w:rsid w:val="007A75B1"/>
    <w:rsid w:val="007C0C51"/>
    <w:rsid w:val="007D1F4E"/>
    <w:rsid w:val="007D3DA8"/>
    <w:rsid w:val="007D3FBE"/>
    <w:rsid w:val="007E7081"/>
    <w:rsid w:val="007E75FF"/>
    <w:rsid w:val="007E7CBD"/>
    <w:rsid w:val="007F0685"/>
    <w:rsid w:val="00800660"/>
    <w:rsid w:val="00800889"/>
    <w:rsid w:val="008020D2"/>
    <w:rsid w:val="00811596"/>
    <w:rsid w:val="00812937"/>
    <w:rsid w:val="00813E35"/>
    <w:rsid w:val="008160C1"/>
    <w:rsid w:val="0081674C"/>
    <w:rsid w:val="00827013"/>
    <w:rsid w:val="008350FF"/>
    <w:rsid w:val="00843FEA"/>
    <w:rsid w:val="00853EA8"/>
    <w:rsid w:val="008548C9"/>
    <w:rsid w:val="00857CD3"/>
    <w:rsid w:val="00861269"/>
    <w:rsid w:val="00863B8D"/>
    <w:rsid w:val="0087767F"/>
    <w:rsid w:val="00880B7E"/>
    <w:rsid w:val="008836DC"/>
    <w:rsid w:val="008972DD"/>
    <w:rsid w:val="008A61D8"/>
    <w:rsid w:val="008B4A3D"/>
    <w:rsid w:val="008B781F"/>
    <w:rsid w:val="008C2E56"/>
    <w:rsid w:val="008E54C6"/>
    <w:rsid w:val="008F01C7"/>
    <w:rsid w:val="008F4923"/>
    <w:rsid w:val="008F76C9"/>
    <w:rsid w:val="009067B5"/>
    <w:rsid w:val="00907279"/>
    <w:rsid w:val="00912502"/>
    <w:rsid w:val="009178F6"/>
    <w:rsid w:val="0092020F"/>
    <w:rsid w:val="00932472"/>
    <w:rsid w:val="009366A1"/>
    <w:rsid w:val="00942872"/>
    <w:rsid w:val="00947347"/>
    <w:rsid w:val="0095299F"/>
    <w:rsid w:val="00962D21"/>
    <w:rsid w:val="00966E85"/>
    <w:rsid w:val="009710A4"/>
    <w:rsid w:val="00972493"/>
    <w:rsid w:val="0098019B"/>
    <w:rsid w:val="00982815"/>
    <w:rsid w:val="00985F14"/>
    <w:rsid w:val="009860D1"/>
    <w:rsid w:val="00990623"/>
    <w:rsid w:val="00992A26"/>
    <w:rsid w:val="009A1B4E"/>
    <w:rsid w:val="009A2BF8"/>
    <w:rsid w:val="009A2EB3"/>
    <w:rsid w:val="009A5C02"/>
    <w:rsid w:val="009B4516"/>
    <w:rsid w:val="009D0265"/>
    <w:rsid w:val="009D1286"/>
    <w:rsid w:val="009E0617"/>
    <w:rsid w:val="009E094C"/>
    <w:rsid w:val="009F28E5"/>
    <w:rsid w:val="00A019B7"/>
    <w:rsid w:val="00A13E9F"/>
    <w:rsid w:val="00A430C6"/>
    <w:rsid w:val="00A4492E"/>
    <w:rsid w:val="00A53D07"/>
    <w:rsid w:val="00A54AA4"/>
    <w:rsid w:val="00A55184"/>
    <w:rsid w:val="00A60E7D"/>
    <w:rsid w:val="00A64897"/>
    <w:rsid w:val="00A64F67"/>
    <w:rsid w:val="00A66378"/>
    <w:rsid w:val="00A73C47"/>
    <w:rsid w:val="00A759DE"/>
    <w:rsid w:val="00A75F01"/>
    <w:rsid w:val="00A830DE"/>
    <w:rsid w:val="00A83818"/>
    <w:rsid w:val="00A85A67"/>
    <w:rsid w:val="00AA5A58"/>
    <w:rsid w:val="00AA78DB"/>
    <w:rsid w:val="00AB04CC"/>
    <w:rsid w:val="00AB48F8"/>
    <w:rsid w:val="00AC0007"/>
    <w:rsid w:val="00AD283A"/>
    <w:rsid w:val="00AE1402"/>
    <w:rsid w:val="00AE2FE1"/>
    <w:rsid w:val="00AF1972"/>
    <w:rsid w:val="00B12113"/>
    <w:rsid w:val="00B129ED"/>
    <w:rsid w:val="00B172B8"/>
    <w:rsid w:val="00B17B0F"/>
    <w:rsid w:val="00B17B64"/>
    <w:rsid w:val="00B228F7"/>
    <w:rsid w:val="00B2680C"/>
    <w:rsid w:val="00B37020"/>
    <w:rsid w:val="00B416F8"/>
    <w:rsid w:val="00B451D0"/>
    <w:rsid w:val="00B462BF"/>
    <w:rsid w:val="00B6160D"/>
    <w:rsid w:val="00B61CA0"/>
    <w:rsid w:val="00B6380A"/>
    <w:rsid w:val="00B6584A"/>
    <w:rsid w:val="00B6682A"/>
    <w:rsid w:val="00B7367C"/>
    <w:rsid w:val="00B74D01"/>
    <w:rsid w:val="00B817EE"/>
    <w:rsid w:val="00B82CB7"/>
    <w:rsid w:val="00B82DF7"/>
    <w:rsid w:val="00B866DE"/>
    <w:rsid w:val="00B96979"/>
    <w:rsid w:val="00BA4549"/>
    <w:rsid w:val="00BB5B08"/>
    <w:rsid w:val="00BB7CE5"/>
    <w:rsid w:val="00BC2119"/>
    <w:rsid w:val="00BC5816"/>
    <w:rsid w:val="00BD357A"/>
    <w:rsid w:val="00BD358F"/>
    <w:rsid w:val="00BE0057"/>
    <w:rsid w:val="00BE0DAF"/>
    <w:rsid w:val="00BE219D"/>
    <w:rsid w:val="00BF2A3D"/>
    <w:rsid w:val="00C01A61"/>
    <w:rsid w:val="00C11B7F"/>
    <w:rsid w:val="00C122F0"/>
    <w:rsid w:val="00C12CC4"/>
    <w:rsid w:val="00C1325B"/>
    <w:rsid w:val="00C14EA7"/>
    <w:rsid w:val="00C23C3B"/>
    <w:rsid w:val="00C305B3"/>
    <w:rsid w:val="00C31E3E"/>
    <w:rsid w:val="00C3585B"/>
    <w:rsid w:val="00C506D3"/>
    <w:rsid w:val="00C50B6D"/>
    <w:rsid w:val="00C520B4"/>
    <w:rsid w:val="00C61044"/>
    <w:rsid w:val="00C63C15"/>
    <w:rsid w:val="00C63F76"/>
    <w:rsid w:val="00C83A92"/>
    <w:rsid w:val="00C91262"/>
    <w:rsid w:val="00C918B8"/>
    <w:rsid w:val="00C92E60"/>
    <w:rsid w:val="00CA0BD3"/>
    <w:rsid w:val="00CA2E20"/>
    <w:rsid w:val="00CA462B"/>
    <w:rsid w:val="00CA4D9C"/>
    <w:rsid w:val="00CB63AE"/>
    <w:rsid w:val="00CD23D6"/>
    <w:rsid w:val="00CD3346"/>
    <w:rsid w:val="00CE061B"/>
    <w:rsid w:val="00CE2356"/>
    <w:rsid w:val="00CF3059"/>
    <w:rsid w:val="00CF45D6"/>
    <w:rsid w:val="00D0007E"/>
    <w:rsid w:val="00D01395"/>
    <w:rsid w:val="00D021FE"/>
    <w:rsid w:val="00D11644"/>
    <w:rsid w:val="00D1436E"/>
    <w:rsid w:val="00D230DE"/>
    <w:rsid w:val="00D258F8"/>
    <w:rsid w:val="00D261EA"/>
    <w:rsid w:val="00D27DC0"/>
    <w:rsid w:val="00D32431"/>
    <w:rsid w:val="00D3273D"/>
    <w:rsid w:val="00D4075C"/>
    <w:rsid w:val="00D44BEB"/>
    <w:rsid w:val="00D45EF9"/>
    <w:rsid w:val="00D54C91"/>
    <w:rsid w:val="00D56D1B"/>
    <w:rsid w:val="00D63CAC"/>
    <w:rsid w:val="00D72282"/>
    <w:rsid w:val="00D72E47"/>
    <w:rsid w:val="00D73C6E"/>
    <w:rsid w:val="00D76D85"/>
    <w:rsid w:val="00D8206B"/>
    <w:rsid w:val="00D9762B"/>
    <w:rsid w:val="00DA0E34"/>
    <w:rsid w:val="00DA578A"/>
    <w:rsid w:val="00DA67F6"/>
    <w:rsid w:val="00DB7F9B"/>
    <w:rsid w:val="00DC2794"/>
    <w:rsid w:val="00DC36D5"/>
    <w:rsid w:val="00DE2FC4"/>
    <w:rsid w:val="00DF2221"/>
    <w:rsid w:val="00E02976"/>
    <w:rsid w:val="00E10995"/>
    <w:rsid w:val="00E10ADA"/>
    <w:rsid w:val="00E10E93"/>
    <w:rsid w:val="00E12DCD"/>
    <w:rsid w:val="00E30F64"/>
    <w:rsid w:val="00E32B4B"/>
    <w:rsid w:val="00E420FE"/>
    <w:rsid w:val="00E53F65"/>
    <w:rsid w:val="00E55372"/>
    <w:rsid w:val="00E555D6"/>
    <w:rsid w:val="00E56C67"/>
    <w:rsid w:val="00E645CB"/>
    <w:rsid w:val="00E667CA"/>
    <w:rsid w:val="00E70B00"/>
    <w:rsid w:val="00E72394"/>
    <w:rsid w:val="00E80EB7"/>
    <w:rsid w:val="00E80F70"/>
    <w:rsid w:val="00E960E6"/>
    <w:rsid w:val="00EA075E"/>
    <w:rsid w:val="00EA29A0"/>
    <w:rsid w:val="00EC18B3"/>
    <w:rsid w:val="00EC7035"/>
    <w:rsid w:val="00EC7EC2"/>
    <w:rsid w:val="00ED329E"/>
    <w:rsid w:val="00ED533E"/>
    <w:rsid w:val="00ED6058"/>
    <w:rsid w:val="00ED6F8F"/>
    <w:rsid w:val="00EE17E1"/>
    <w:rsid w:val="00EE1F07"/>
    <w:rsid w:val="00EE3E14"/>
    <w:rsid w:val="00EE4992"/>
    <w:rsid w:val="00F002C0"/>
    <w:rsid w:val="00F07FA5"/>
    <w:rsid w:val="00F22631"/>
    <w:rsid w:val="00F2351E"/>
    <w:rsid w:val="00F25AE1"/>
    <w:rsid w:val="00F27A75"/>
    <w:rsid w:val="00F344F0"/>
    <w:rsid w:val="00F37FE3"/>
    <w:rsid w:val="00F40386"/>
    <w:rsid w:val="00F47208"/>
    <w:rsid w:val="00F52E19"/>
    <w:rsid w:val="00F54D3E"/>
    <w:rsid w:val="00F56DD4"/>
    <w:rsid w:val="00F60CAE"/>
    <w:rsid w:val="00F66FEB"/>
    <w:rsid w:val="00F8532B"/>
    <w:rsid w:val="00F93576"/>
    <w:rsid w:val="00F97D92"/>
    <w:rsid w:val="00FA0765"/>
    <w:rsid w:val="00FA1146"/>
    <w:rsid w:val="00FA4BDB"/>
    <w:rsid w:val="00FA5EB5"/>
    <w:rsid w:val="00FB76F5"/>
    <w:rsid w:val="00FC2130"/>
    <w:rsid w:val="00FC5BBF"/>
    <w:rsid w:val="00FD34C0"/>
    <w:rsid w:val="00FD365D"/>
    <w:rsid w:val="00FE1438"/>
    <w:rsid w:val="00FE14AC"/>
    <w:rsid w:val="00FE21C8"/>
    <w:rsid w:val="00FE77CA"/>
    <w:rsid w:val="00FE79A2"/>
    <w:rsid w:val="00FF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FFD062-A4AF-403B-B568-2D573A5E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5C02"/>
    <w:rPr>
      <w:rFonts w:ascii="Times New Roman" w:eastAsia="Times New Roman" w:hAnsi="Times New Roman"/>
      <w:sz w:val="24"/>
      <w:szCs w:val="24"/>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65520B"/>
    <w:pPr>
      <w:jc w:val="center"/>
    </w:pPr>
    <w:rPr>
      <w:rFonts w:ascii="Verdana" w:hAnsi="Verdana"/>
      <w:b/>
      <w:smallCaps/>
      <w:sz w:val="20"/>
      <w:lang w:val="x-none"/>
    </w:rPr>
  </w:style>
  <w:style w:type="character" w:customStyle="1" w:styleId="TtuloCar">
    <w:name w:val="Título Car"/>
    <w:link w:val="Ttulo"/>
    <w:uiPriority w:val="10"/>
    <w:rsid w:val="0065520B"/>
    <w:rPr>
      <w:rFonts w:ascii="Verdana" w:eastAsia="Times New Roman" w:hAnsi="Verdana" w:cs="Times New Roman"/>
      <w:b/>
      <w:smallCaps/>
      <w:sz w:val="20"/>
      <w:szCs w:val="24"/>
      <w:lang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TextonotapieCar1"/>
    <w:qFormat/>
    <w:rsid w:val="0065520B"/>
    <w:rPr>
      <w:lang w:val="x-none"/>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notentext Car"/>
    <w:link w:val="Textonotapie"/>
    <w:qFormat/>
    <w:rsid w:val="0065520B"/>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referencia nota al pie,BVI fnr,f,4_G,16 Point,Superscript 6 Point,Footnote Reference Char3,Footnote Reference Char1 Char,Footnote Reference Char Char Char"/>
    <w:link w:val="4GChar"/>
    <w:uiPriority w:val="99"/>
    <w:qFormat/>
    <w:rsid w:val="0065520B"/>
    <w:rPr>
      <w:vertAlign w:val="superscript"/>
    </w:rPr>
  </w:style>
  <w:style w:type="paragraph" w:styleId="Encabezado">
    <w:name w:val="header"/>
    <w:basedOn w:val="Normal"/>
    <w:link w:val="EncabezadoCar"/>
    <w:uiPriority w:val="99"/>
    <w:unhideWhenUsed/>
    <w:rsid w:val="0065520B"/>
    <w:pPr>
      <w:tabs>
        <w:tab w:val="center" w:pos="4419"/>
        <w:tab w:val="right" w:pos="8838"/>
      </w:tabs>
    </w:pPr>
    <w:rPr>
      <w:lang w:val="x-none"/>
    </w:rPr>
  </w:style>
  <w:style w:type="character" w:customStyle="1" w:styleId="EncabezadoCar">
    <w:name w:val="Encabezado Car"/>
    <w:link w:val="Encabezado"/>
    <w:uiPriority w:val="99"/>
    <w:rsid w:val="0065520B"/>
    <w:rPr>
      <w:rFonts w:ascii="Times New Roman" w:eastAsia="Times New Roman" w:hAnsi="Times New Roman" w:cs="Times New Roman"/>
      <w:sz w:val="24"/>
      <w:szCs w:val="24"/>
      <w:lang w:eastAsia="es-ES"/>
    </w:rPr>
  </w:style>
  <w:style w:type="character" w:styleId="Textoennegrita">
    <w:name w:val="Strong"/>
    <w:uiPriority w:val="22"/>
    <w:qFormat/>
    <w:rsid w:val="00B172B8"/>
    <w:rPr>
      <w:b/>
      <w:bCs/>
    </w:rPr>
  </w:style>
  <w:style w:type="paragraph" w:customStyle="1" w:styleId="Cuadrculaclara-nfasis31">
    <w:name w:val="Cuadrícula clara - Énfasis 31"/>
    <w:basedOn w:val="Normal"/>
    <w:uiPriority w:val="34"/>
    <w:qFormat/>
    <w:rsid w:val="00FC5BBF"/>
    <w:pPr>
      <w:spacing w:after="200" w:line="276" w:lineRule="auto"/>
      <w:ind w:left="720"/>
      <w:contextualSpacing/>
    </w:pPr>
    <w:rPr>
      <w:rFonts w:ascii="Calibri" w:eastAsia="Calibri" w:hAnsi="Calibri"/>
      <w:sz w:val="22"/>
      <w:szCs w:val="22"/>
      <w:lang w:eastAsia="en-US"/>
    </w:rPr>
  </w:style>
  <w:style w:type="character" w:styleId="Hipervnculo">
    <w:name w:val="Hyperlink"/>
    <w:uiPriority w:val="99"/>
    <w:unhideWhenUsed/>
    <w:rsid w:val="00DE2FC4"/>
    <w:rPr>
      <w:color w:val="0000FF"/>
      <w:u w:val="single"/>
    </w:rPr>
  </w:style>
  <w:style w:type="paragraph" w:styleId="Textodeglobo">
    <w:name w:val="Balloon Text"/>
    <w:basedOn w:val="Normal"/>
    <w:link w:val="TextodegloboCar"/>
    <w:uiPriority w:val="99"/>
    <w:semiHidden/>
    <w:unhideWhenUsed/>
    <w:rsid w:val="00F40386"/>
    <w:rPr>
      <w:rFonts w:ascii="Tahoma" w:hAnsi="Tahoma"/>
      <w:sz w:val="16"/>
      <w:szCs w:val="16"/>
    </w:rPr>
  </w:style>
  <w:style w:type="character" w:customStyle="1" w:styleId="TextodegloboCar">
    <w:name w:val="Texto de globo Car"/>
    <w:link w:val="Textodeglobo"/>
    <w:uiPriority w:val="99"/>
    <w:semiHidden/>
    <w:rsid w:val="00F40386"/>
    <w:rPr>
      <w:rFonts w:ascii="Tahoma" w:eastAsia="Times New Roman" w:hAnsi="Tahoma" w:cs="Tahoma"/>
      <w:sz w:val="16"/>
      <w:szCs w:val="16"/>
      <w:lang w:val="es-CR" w:eastAsia="es-ES"/>
    </w:rPr>
  </w:style>
  <w:style w:type="character" w:styleId="Refdecomentario">
    <w:name w:val="annotation reference"/>
    <w:uiPriority w:val="99"/>
    <w:semiHidden/>
    <w:unhideWhenUsed/>
    <w:rsid w:val="00F40386"/>
    <w:rPr>
      <w:sz w:val="16"/>
      <w:szCs w:val="16"/>
    </w:rPr>
  </w:style>
  <w:style w:type="paragraph" w:styleId="Textocomentario">
    <w:name w:val="annotation text"/>
    <w:basedOn w:val="Normal"/>
    <w:link w:val="TextocomentarioCar"/>
    <w:uiPriority w:val="99"/>
    <w:semiHidden/>
    <w:unhideWhenUsed/>
    <w:rsid w:val="00F40386"/>
    <w:rPr>
      <w:sz w:val="20"/>
      <w:szCs w:val="20"/>
    </w:rPr>
  </w:style>
  <w:style w:type="character" w:customStyle="1" w:styleId="TextocomentarioCar">
    <w:name w:val="Texto comentario Car"/>
    <w:link w:val="Textocomentario"/>
    <w:uiPriority w:val="99"/>
    <w:semiHidden/>
    <w:rsid w:val="00F40386"/>
    <w:rPr>
      <w:rFonts w:ascii="Times New Roman" w:eastAsia="Times New Roman" w:hAnsi="Times New Roman"/>
      <w:lang w:val="es-CR" w:eastAsia="es-ES"/>
    </w:rPr>
  </w:style>
  <w:style w:type="paragraph" w:styleId="Asuntodelcomentario">
    <w:name w:val="annotation subject"/>
    <w:basedOn w:val="Textocomentario"/>
    <w:next w:val="Textocomentario"/>
    <w:link w:val="AsuntodelcomentarioCar"/>
    <w:uiPriority w:val="99"/>
    <w:semiHidden/>
    <w:unhideWhenUsed/>
    <w:rsid w:val="00F40386"/>
    <w:rPr>
      <w:b/>
      <w:bCs/>
    </w:rPr>
  </w:style>
  <w:style w:type="character" w:customStyle="1" w:styleId="AsuntodelcomentarioCar">
    <w:name w:val="Asunto del comentario Car"/>
    <w:link w:val="Asuntodelcomentario"/>
    <w:uiPriority w:val="99"/>
    <w:semiHidden/>
    <w:rsid w:val="00F40386"/>
    <w:rPr>
      <w:rFonts w:ascii="Times New Roman" w:eastAsia="Times New Roman" w:hAnsi="Times New Roman"/>
      <w:b/>
      <w:bCs/>
      <w:lang w:val="es-CR" w:eastAsia="es-ES"/>
    </w:rPr>
  </w:style>
  <w:style w:type="character" w:customStyle="1" w:styleId="apple-converted-space">
    <w:name w:val="apple-converted-space"/>
    <w:basedOn w:val="Fuentedeprrafopredeter"/>
    <w:rsid w:val="00CE061B"/>
  </w:style>
  <w:style w:type="paragraph" w:styleId="Piedepgina">
    <w:name w:val="footer"/>
    <w:basedOn w:val="Normal"/>
    <w:link w:val="PiedepginaCar"/>
    <w:uiPriority w:val="99"/>
    <w:unhideWhenUsed/>
    <w:rsid w:val="00066893"/>
    <w:pPr>
      <w:tabs>
        <w:tab w:val="center" w:pos="4419"/>
        <w:tab w:val="right" w:pos="8838"/>
      </w:tabs>
    </w:pPr>
    <w:rPr>
      <w:lang w:val="x-none"/>
    </w:rPr>
  </w:style>
  <w:style w:type="character" w:customStyle="1" w:styleId="PiedepginaCar">
    <w:name w:val="Pie de página Car"/>
    <w:link w:val="Piedepgina"/>
    <w:uiPriority w:val="99"/>
    <w:rsid w:val="00066893"/>
    <w:rPr>
      <w:rFonts w:ascii="Times New Roman" w:eastAsia="Times New Roman" w:hAnsi="Times New Roman"/>
      <w:sz w:val="24"/>
      <w:szCs w:val="24"/>
      <w:lang w:eastAsia="es-ES"/>
    </w:rPr>
  </w:style>
  <w:style w:type="character" w:styleId="Nmerodelnea">
    <w:name w:val="line number"/>
    <w:uiPriority w:val="99"/>
    <w:semiHidden/>
    <w:unhideWhenUsed/>
    <w:rsid w:val="00066893"/>
  </w:style>
  <w:style w:type="character" w:styleId="Hipervnculovisitado">
    <w:name w:val="FollowedHyperlink"/>
    <w:uiPriority w:val="99"/>
    <w:semiHidden/>
    <w:unhideWhenUsed/>
    <w:rsid w:val="00BA4549"/>
    <w:rPr>
      <w:color w:val="800080"/>
      <w:u w:val="single"/>
    </w:rPr>
  </w:style>
  <w:style w:type="paragraph" w:customStyle="1" w:styleId="Default">
    <w:name w:val="Default"/>
    <w:rsid w:val="00055C2E"/>
    <w:pPr>
      <w:autoSpaceDE w:val="0"/>
      <w:autoSpaceDN w:val="0"/>
      <w:adjustRightInd w:val="0"/>
    </w:pPr>
    <w:rPr>
      <w:rFonts w:ascii="Verdana" w:hAnsi="Verdana" w:cs="Verdana"/>
      <w:color w:val="000000"/>
      <w:sz w:val="24"/>
      <w:szCs w:val="24"/>
      <w:lang w:val="es-CR" w:eastAsia="es-CR"/>
    </w:rPr>
  </w:style>
  <w:style w:type="paragraph" w:customStyle="1" w:styleId="Listavistosa-nfasis11">
    <w:name w:val="Lista vistosa - Énfasis 11"/>
    <w:basedOn w:val="Normal"/>
    <w:uiPriority w:val="34"/>
    <w:qFormat/>
    <w:rsid w:val="00FE1438"/>
    <w:pPr>
      <w:ind w:left="720"/>
    </w:pPr>
  </w:style>
  <w:style w:type="paragraph" w:styleId="Prrafodelista">
    <w:name w:val="List Paragraph"/>
    <w:basedOn w:val="Normal"/>
    <w:uiPriority w:val="34"/>
    <w:qFormat/>
    <w:rsid w:val="00A759DE"/>
    <w:pPr>
      <w:ind w:left="720"/>
      <w:contextualSpacing/>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60C72"/>
    <w:pPr>
      <w:jc w:val="both"/>
    </w:pPr>
    <w:rPr>
      <w:rFonts w:ascii="Calibri" w:eastAsia="Calibri" w:hAnsi="Calibri"/>
      <w:sz w:val="20"/>
      <w:szCs w:val="20"/>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18446">
      <w:bodyDiv w:val="1"/>
      <w:marLeft w:val="0"/>
      <w:marRight w:val="0"/>
      <w:marTop w:val="0"/>
      <w:marBottom w:val="0"/>
      <w:divBdr>
        <w:top w:val="none" w:sz="0" w:space="0" w:color="auto"/>
        <w:left w:val="none" w:sz="0" w:space="0" w:color="auto"/>
        <w:bottom w:val="none" w:sz="0" w:space="0" w:color="auto"/>
        <w:right w:val="none" w:sz="0" w:space="0" w:color="auto"/>
      </w:divBdr>
    </w:div>
    <w:div w:id="592126604">
      <w:bodyDiv w:val="1"/>
      <w:marLeft w:val="0"/>
      <w:marRight w:val="0"/>
      <w:marTop w:val="0"/>
      <w:marBottom w:val="0"/>
      <w:divBdr>
        <w:top w:val="none" w:sz="0" w:space="0" w:color="auto"/>
        <w:left w:val="none" w:sz="0" w:space="0" w:color="auto"/>
        <w:bottom w:val="none" w:sz="0" w:space="0" w:color="auto"/>
        <w:right w:val="none" w:sz="0" w:space="0" w:color="auto"/>
      </w:divBdr>
    </w:div>
    <w:div w:id="762803090">
      <w:bodyDiv w:val="1"/>
      <w:marLeft w:val="0"/>
      <w:marRight w:val="0"/>
      <w:marTop w:val="0"/>
      <w:marBottom w:val="0"/>
      <w:divBdr>
        <w:top w:val="none" w:sz="0" w:space="0" w:color="auto"/>
        <w:left w:val="none" w:sz="0" w:space="0" w:color="auto"/>
        <w:bottom w:val="none" w:sz="0" w:space="0" w:color="auto"/>
        <w:right w:val="none" w:sz="0" w:space="0" w:color="auto"/>
      </w:divBdr>
    </w:div>
    <w:div w:id="876310589">
      <w:bodyDiv w:val="1"/>
      <w:marLeft w:val="0"/>
      <w:marRight w:val="0"/>
      <w:marTop w:val="0"/>
      <w:marBottom w:val="0"/>
      <w:divBdr>
        <w:top w:val="none" w:sz="0" w:space="0" w:color="auto"/>
        <w:left w:val="none" w:sz="0" w:space="0" w:color="auto"/>
        <w:bottom w:val="none" w:sz="0" w:space="0" w:color="auto"/>
        <w:right w:val="none" w:sz="0" w:space="0" w:color="auto"/>
      </w:divBdr>
    </w:div>
    <w:div w:id="1202471784">
      <w:bodyDiv w:val="1"/>
      <w:marLeft w:val="0"/>
      <w:marRight w:val="0"/>
      <w:marTop w:val="0"/>
      <w:marBottom w:val="0"/>
      <w:divBdr>
        <w:top w:val="none" w:sz="0" w:space="0" w:color="auto"/>
        <w:left w:val="none" w:sz="0" w:space="0" w:color="auto"/>
        <w:bottom w:val="none" w:sz="0" w:space="0" w:color="auto"/>
        <w:right w:val="none" w:sz="0" w:space="0" w:color="auto"/>
      </w:divBdr>
    </w:div>
    <w:div w:id="1277248300">
      <w:bodyDiv w:val="1"/>
      <w:marLeft w:val="0"/>
      <w:marRight w:val="0"/>
      <w:marTop w:val="0"/>
      <w:marBottom w:val="0"/>
      <w:divBdr>
        <w:top w:val="none" w:sz="0" w:space="0" w:color="auto"/>
        <w:left w:val="none" w:sz="0" w:space="0" w:color="auto"/>
        <w:bottom w:val="none" w:sz="0" w:space="0" w:color="auto"/>
        <w:right w:val="none" w:sz="0" w:space="0" w:color="auto"/>
      </w:divBdr>
    </w:div>
    <w:div w:id="1627852072">
      <w:bodyDiv w:val="1"/>
      <w:marLeft w:val="0"/>
      <w:marRight w:val="0"/>
      <w:marTop w:val="0"/>
      <w:marBottom w:val="0"/>
      <w:divBdr>
        <w:top w:val="none" w:sz="0" w:space="0" w:color="auto"/>
        <w:left w:val="none" w:sz="0" w:space="0" w:color="auto"/>
        <w:bottom w:val="none" w:sz="0" w:space="0" w:color="auto"/>
        <w:right w:val="none" w:sz="0" w:space="0" w:color="auto"/>
      </w:divBdr>
    </w:div>
    <w:div w:id="1686051991">
      <w:bodyDiv w:val="1"/>
      <w:marLeft w:val="0"/>
      <w:marRight w:val="0"/>
      <w:marTop w:val="0"/>
      <w:marBottom w:val="0"/>
      <w:divBdr>
        <w:top w:val="none" w:sz="0" w:space="0" w:color="auto"/>
        <w:left w:val="none" w:sz="0" w:space="0" w:color="auto"/>
        <w:bottom w:val="none" w:sz="0" w:space="0" w:color="auto"/>
        <w:right w:val="none" w:sz="0" w:space="0" w:color="auto"/>
      </w:divBdr>
    </w:div>
    <w:div w:id="1728409170">
      <w:bodyDiv w:val="1"/>
      <w:marLeft w:val="0"/>
      <w:marRight w:val="0"/>
      <w:marTop w:val="0"/>
      <w:marBottom w:val="0"/>
      <w:divBdr>
        <w:top w:val="none" w:sz="0" w:space="0" w:color="auto"/>
        <w:left w:val="none" w:sz="0" w:space="0" w:color="auto"/>
        <w:bottom w:val="none" w:sz="0" w:space="0" w:color="auto"/>
        <w:right w:val="none" w:sz="0" w:space="0" w:color="auto"/>
      </w:divBdr>
      <w:divsChild>
        <w:div w:id="498883788">
          <w:marLeft w:val="0"/>
          <w:marRight w:val="0"/>
          <w:marTop w:val="0"/>
          <w:marBottom w:val="0"/>
          <w:divBdr>
            <w:top w:val="none" w:sz="0" w:space="0" w:color="auto"/>
            <w:left w:val="none" w:sz="0" w:space="0" w:color="auto"/>
            <w:bottom w:val="none" w:sz="0" w:space="0" w:color="auto"/>
            <w:right w:val="none" w:sz="0" w:space="0" w:color="auto"/>
          </w:divBdr>
          <w:divsChild>
            <w:div w:id="17437110">
              <w:marLeft w:val="0"/>
              <w:marRight w:val="0"/>
              <w:marTop w:val="0"/>
              <w:marBottom w:val="0"/>
              <w:divBdr>
                <w:top w:val="none" w:sz="0" w:space="0" w:color="auto"/>
                <w:left w:val="none" w:sz="0" w:space="0" w:color="auto"/>
                <w:bottom w:val="none" w:sz="0" w:space="0" w:color="auto"/>
                <w:right w:val="none" w:sz="0" w:space="0" w:color="auto"/>
              </w:divBdr>
              <w:divsChild>
                <w:div w:id="1898710620">
                  <w:marLeft w:val="0"/>
                  <w:marRight w:val="0"/>
                  <w:marTop w:val="0"/>
                  <w:marBottom w:val="0"/>
                  <w:divBdr>
                    <w:top w:val="none" w:sz="0" w:space="0" w:color="auto"/>
                    <w:left w:val="none" w:sz="0" w:space="0" w:color="auto"/>
                    <w:bottom w:val="none" w:sz="0" w:space="0" w:color="auto"/>
                    <w:right w:val="none" w:sz="0" w:space="0" w:color="auto"/>
                  </w:divBdr>
                </w:div>
              </w:divsChild>
            </w:div>
            <w:div w:id="275674021">
              <w:marLeft w:val="-15"/>
              <w:marRight w:val="0"/>
              <w:marTop w:val="0"/>
              <w:marBottom w:val="0"/>
              <w:divBdr>
                <w:top w:val="none" w:sz="0" w:space="0" w:color="auto"/>
                <w:left w:val="none" w:sz="0" w:space="0" w:color="auto"/>
                <w:bottom w:val="none" w:sz="0" w:space="0" w:color="auto"/>
                <w:right w:val="none" w:sz="0" w:space="0" w:color="auto"/>
              </w:divBdr>
            </w:div>
            <w:div w:id="461968983">
              <w:marLeft w:val="0"/>
              <w:marRight w:val="0"/>
              <w:marTop w:val="0"/>
              <w:marBottom w:val="0"/>
              <w:divBdr>
                <w:top w:val="none" w:sz="0" w:space="0" w:color="auto"/>
                <w:left w:val="none" w:sz="0" w:space="0" w:color="auto"/>
                <w:bottom w:val="none" w:sz="0" w:space="0" w:color="auto"/>
                <w:right w:val="none" w:sz="0" w:space="0" w:color="auto"/>
              </w:divBdr>
            </w:div>
            <w:div w:id="564485780">
              <w:marLeft w:val="75"/>
              <w:marRight w:val="0"/>
              <w:marTop w:val="0"/>
              <w:marBottom w:val="0"/>
              <w:divBdr>
                <w:top w:val="none" w:sz="0" w:space="0" w:color="auto"/>
                <w:left w:val="none" w:sz="0" w:space="0" w:color="auto"/>
                <w:bottom w:val="none" w:sz="0" w:space="0" w:color="auto"/>
                <w:right w:val="none" w:sz="0" w:space="0" w:color="auto"/>
              </w:divBdr>
            </w:div>
          </w:divsChild>
        </w:div>
        <w:div w:id="607741875">
          <w:marLeft w:val="0"/>
          <w:marRight w:val="225"/>
          <w:marTop w:val="75"/>
          <w:marBottom w:val="0"/>
          <w:divBdr>
            <w:top w:val="none" w:sz="0" w:space="0" w:color="auto"/>
            <w:left w:val="none" w:sz="0" w:space="0" w:color="auto"/>
            <w:bottom w:val="none" w:sz="0" w:space="0" w:color="auto"/>
            <w:right w:val="none" w:sz="0" w:space="0" w:color="auto"/>
          </w:divBdr>
          <w:divsChild>
            <w:div w:id="149444351">
              <w:marLeft w:val="0"/>
              <w:marRight w:val="0"/>
              <w:marTop w:val="0"/>
              <w:marBottom w:val="0"/>
              <w:divBdr>
                <w:top w:val="none" w:sz="0" w:space="0" w:color="auto"/>
                <w:left w:val="none" w:sz="0" w:space="0" w:color="auto"/>
                <w:bottom w:val="none" w:sz="0" w:space="0" w:color="auto"/>
                <w:right w:val="none" w:sz="0" w:space="0" w:color="auto"/>
              </w:divBdr>
              <w:divsChild>
                <w:div w:id="1153451350">
                  <w:marLeft w:val="0"/>
                  <w:marRight w:val="0"/>
                  <w:marTop w:val="0"/>
                  <w:marBottom w:val="0"/>
                  <w:divBdr>
                    <w:top w:val="none" w:sz="0" w:space="0" w:color="auto"/>
                    <w:left w:val="none" w:sz="0" w:space="0" w:color="auto"/>
                    <w:bottom w:val="none" w:sz="0" w:space="0" w:color="auto"/>
                    <w:right w:val="none" w:sz="0" w:space="0" w:color="auto"/>
                  </w:divBdr>
                  <w:divsChild>
                    <w:div w:id="1684629736">
                      <w:marLeft w:val="0"/>
                      <w:marRight w:val="0"/>
                      <w:marTop w:val="0"/>
                      <w:marBottom w:val="0"/>
                      <w:divBdr>
                        <w:top w:val="none" w:sz="0" w:space="0" w:color="auto"/>
                        <w:left w:val="none" w:sz="0" w:space="0" w:color="auto"/>
                        <w:bottom w:val="none" w:sz="0" w:space="0" w:color="auto"/>
                        <w:right w:val="none" w:sz="0" w:space="0" w:color="auto"/>
                      </w:divBdr>
                      <w:divsChild>
                        <w:div w:id="198974344">
                          <w:marLeft w:val="0"/>
                          <w:marRight w:val="0"/>
                          <w:marTop w:val="0"/>
                          <w:marBottom w:val="0"/>
                          <w:divBdr>
                            <w:top w:val="none" w:sz="0" w:space="0" w:color="auto"/>
                            <w:left w:val="none" w:sz="0" w:space="0" w:color="auto"/>
                            <w:bottom w:val="none" w:sz="0" w:space="0" w:color="auto"/>
                            <w:right w:val="none" w:sz="0" w:space="0" w:color="auto"/>
                          </w:divBdr>
                        </w:div>
                        <w:div w:id="237398020">
                          <w:marLeft w:val="0"/>
                          <w:marRight w:val="0"/>
                          <w:marTop w:val="0"/>
                          <w:marBottom w:val="0"/>
                          <w:divBdr>
                            <w:top w:val="none" w:sz="0" w:space="0" w:color="auto"/>
                            <w:left w:val="none" w:sz="0" w:space="0" w:color="auto"/>
                            <w:bottom w:val="none" w:sz="0" w:space="0" w:color="auto"/>
                            <w:right w:val="none" w:sz="0" w:space="0" w:color="auto"/>
                          </w:divBdr>
                        </w:div>
                        <w:div w:id="473568266">
                          <w:marLeft w:val="0"/>
                          <w:marRight w:val="0"/>
                          <w:marTop w:val="0"/>
                          <w:marBottom w:val="0"/>
                          <w:divBdr>
                            <w:top w:val="none" w:sz="0" w:space="0" w:color="auto"/>
                            <w:left w:val="none" w:sz="0" w:space="0" w:color="auto"/>
                            <w:bottom w:val="none" w:sz="0" w:space="0" w:color="auto"/>
                            <w:right w:val="none" w:sz="0" w:space="0" w:color="auto"/>
                          </w:divBdr>
                        </w:div>
                        <w:div w:id="897713426">
                          <w:marLeft w:val="0"/>
                          <w:marRight w:val="0"/>
                          <w:marTop w:val="0"/>
                          <w:marBottom w:val="0"/>
                          <w:divBdr>
                            <w:top w:val="none" w:sz="0" w:space="0" w:color="auto"/>
                            <w:left w:val="none" w:sz="0" w:space="0" w:color="auto"/>
                            <w:bottom w:val="none" w:sz="0" w:space="0" w:color="auto"/>
                            <w:right w:val="none" w:sz="0" w:space="0" w:color="auto"/>
                          </w:divBdr>
                        </w:div>
                        <w:div w:id="970137882">
                          <w:marLeft w:val="0"/>
                          <w:marRight w:val="0"/>
                          <w:marTop w:val="0"/>
                          <w:marBottom w:val="0"/>
                          <w:divBdr>
                            <w:top w:val="none" w:sz="0" w:space="0" w:color="auto"/>
                            <w:left w:val="none" w:sz="0" w:space="0" w:color="auto"/>
                            <w:bottom w:val="none" w:sz="0" w:space="0" w:color="auto"/>
                            <w:right w:val="none" w:sz="0" w:space="0" w:color="auto"/>
                          </w:divBdr>
                        </w:div>
                        <w:div w:id="1040324428">
                          <w:marLeft w:val="0"/>
                          <w:marRight w:val="0"/>
                          <w:marTop w:val="0"/>
                          <w:marBottom w:val="0"/>
                          <w:divBdr>
                            <w:top w:val="none" w:sz="0" w:space="0" w:color="auto"/>
                            <w:left w:val="none" w:sz="0" w:space="0" w:color="auto"/>
                            <w:bottom w:val="none" w:sz="0" w:space="0" w:color="auto"/>
                            <w:right w:val="none" w:sz="0" w:space="0" w:color="auto"/>
                          </w:divBdr>
                        </w:div>
                        <w:div w:id="1405569531">
                          <w:marLeft w:val="0"/>
                          <w:marRight w:val="0"/>
                          <w:marTop w:val="0"/>
                          <w:marBottom w:val="0"/>
                          <w:divBdr>
                            <w:top w:val="none" w:sz="0" w:space="0" w:color="auto"/>
                            <w:left w:val="none" w:sz="0" w:space="0" w:color="auto"/>
                            <w:bottom w:val="none" w:sz="0" w:space="0" w:color="auto"/>
                            <w:right w:val="none" w:sz="0" w:space="0" w:color="auto"/>
                          </w:divBdr>
                        </w:div>
                        <w:div w:id="1637030576">
                          <w:marLeft w:val="0"/>
                          <w:marRight w:val="0"/>
                          <w:marTop w:val="0"/>
                          <w:marBottom w:val="0"/>
                          <w:divBdr>
                            <w:top w:val="none" w:sz="0" w:space="0" w:color="auto"/>
                            <w:left w:val="none" w:sz="0" w:space="0" w:color="auto"/>
                            <w:bottom w:val="none" w:sz="0" w:space="0" w:color="auto"/>
                            <w:right w:val="none" w:sz="0" w:space="0" w:color="auto"/>
                          </w:divBdr>
                        </w:div>
                        <w:div w:id="1750273448">
                          <w:marLeft w:val="0"/>
                          <w:marRight w:val="0"/>
                          <w:marTop w:val="0"/>
                          <w:marBottom w:val="0"/>
                          <w:divBdr>
                            <w:top w:val="none" w:sz="0" w:space="0" w:color="auto"/>
                            <w:left w:val="none" w:sz="0" w:space="0" w:color="auto"/>
                            <w:bottom w:val="none" w:sz="0" w:space="0" w:color="auto"/>
                            <w:right w:val="none" w:sz="0" w:space="0" w:color="auto"/>
                          </w:divBdr>
                        </w:div>
                        <w:div w:id="1884050408">
                          <w:marLeft w:val="0"/>
                          <w:marRight w:val="0"/>
                          <w:marTop w:val="0"/>
                          <w:marBottom w:val="0"/>
                          <w:divBdr>
                            <w:top w:val="none" w:sz="0" w:space="0" w:color="auto"/>
                            <w:left w:val="none" w:sz="0" w:space="0" w:color="auto"/>
                            <w:bottom w:val="none" w:sz="0" w:space="0" w:color="auto"/>
                            <w:right w:val="none" w:sz="0" w:space="0" w:color="auto"/>
                          </w:divBdr>
                        </w:div>
                        <w:div w:id="1989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tablas/informe2018/espanol.pdf" TargetMode="External"/><Relationship Id="rId2" Type="http://schemas.openxmlformats.org/officeDocument/2006/relationships/hyperlink" Target="http://www.corteidh.or.cr/docs/regla_victimas/victimas_esp.pdf" TargetMode="External"/><Relationship Id="rId1" Type="http://schemas.openxmlformats.org/officeDocument/2006/relationships/hyperlink" Target="http://www.corteidh.or.cr/docs/casos/articulos/seriec_370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068E1-9AFE-45B1-A468-8663E2F6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5676</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6695</CharactersWithSpaces>
  <SharedDoc>false</SharedDoc>
  <HLinks>
    <vt:vector size="18" baseType="variant">
      <vt:variant>
        <vt:i4>4915286</vt:i4>
      </vt:variant>
      <vt:variant>
        <vt:i4>6</vt:i4>
      </vt:variant>
      <vt:variant>
        <vt:i4>0</vt:i4>
      </vt:variant>
      <vt:variant>
        <vt:i4>5</vt:i4>
      </vt:variant>
      <vt:variant>
        <vt:lpwstr>http://www.corteidh.or.cr/tablas/informe2017/espanol.pdf</vt:lpwstr>
      </vt:variant>
      <vt:variant>
        <vt:lpwstr/>
      </vt:variant>
      <vt:variant>
        <vt:i4>7405695</vt:i4>
      </vt:variant>
      <vt:variant>
        <vt:i4>3</vt:i4>
      </vt:variant>
      <vt:variant>
        <vt:i4>0</vt:i4>
      </vt:variant>
      <vt:variant>
        <vt:i4>5</vt:i4>
      </vt:variant>
      <vt:variant>
        <vt:lpwstr>http://www.corteidh.or.cr/docs/regla_victimas/victimas_esp.pdf</vt:lpwstr>
      </vt:variant>
      <vt:variant>
        <vt:lpwstr/>
      </vt:variant>
      <vt:variant>
        <vt:i4>5701719</vt:i4>
      </vt:variant>
      <vt:variant>
        <vt:i4>0</vt:i4>
      </vt:variant>
      <vt:variant>
        <vt:i4>0</vt:i4>
      </vt:variant>
      <vt:variant>
        <vt:i4>5</vt:i4>
      </vt:variant>
      <vt:variant>
        <vt:lpwstr>http://www.corteidh.or.cr/docs/casos/articulos/seriec_370_esp.pdf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Hannia Sanchez</cp:lastModifiedBy>
  <cp:revision>4</cp:revision>
  <cp:lastPrinted>2019-10-30T22:27:00Z</cp:lastPrinted>
  <dcterms:created xsi:type="dcterms:W3CDTF">2019-10-30T22:27:00Z</dcterms:created>
  <dcterms:modified xsi:type="dcterms:W3CDTF">2019-10-30T22:32:00Z</dcterms:modified>
</cp:coreProperties>
</file>