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91193" w14:textId="247E9EDB" w:rsidR="00E77B4C" w:rsidRPr="006A1FEA" w:rsidRDefault="00A755F2" w:rsidP="00B92A27">
      <w:pPr>
        <w:tabs>
          <w:tab w:val="left" w:pos="567"/>
        </w:tabs>
        <w:jc w:val="center"/>
        <w:rPr>
          <w:rFonts w:eastAsia="Calibri" w:cs="Times New Roman"/>
          <w:b/>
          <w:szCs w:val="24"/>
          <w:lang w:val="es-ES"/>
        </w:rPr>
      </w:pPr>
      <w:bookmarkStart w:id="0" w:name="_GoBack"/>
      <w:bookmarkEnd w:id="0"/>
      <w:r>
        <w:rPr>
          <w:rFonts w:eastAsia="Calibri" w:cs="Times New Roman"/>
          <w:b/>
          <w:szCs w:val="24"/>
          <w:lang w:val="es-ES"/>
        </w:rPr>
        <w:t xml:space="preserve">   </w:t>
      </w:r>
    </w:p>
    <w:p w14:paraId="5933FFB4" w14:textId="77777777" w:rsidR="00E77B4C" w:rsidRPr="006A1FEA" w:rsidRDefault="00E77B4C" w:rsidP="00B92A27">
      <w:pPr>
        <w:tabs>
          <w:tab w:val="left" w:pos="567"/>
        </w:tabs>
        <w:jc w:val="center"/>
        <w:rPr>
          <w:rFonts w:eastAsia="Calibri" w:cs="Times New Roman"/>
          <w:b/>
          <w:szCs w:val="24"/>
          <w:lang w:val="es-ES"/>
        </w:rPr>
      </w:pPr>
    </w:p>
    <w:p w14:paraId="3AE58B49" w14:textId="77777777" w:rsidR="00E77B4C" w:rsidRPr="006A1FEA" w:rsidRDefault="00E77B4C" w:rsidP="00B92A27">
      <w:pPr>
        <w:tabs>
          <w:tab w:val="left" w:pos="567"/>
        </w:tabs>
        <w:jc w:val="center"/>
        <w:rPr>
          <w:rFonts w:eastAsia="Calibri" w:cs="Times New Roman"/>
          <w:b/>
          <w:szCs w:val="24"/>
          <w:lang w:val="es-ES"/>
        </w:rPr>
      </w:pPr>
    </w:p>
    <w:p w14:paraId="131D42C5" w14:textId="77777777" w:rsidR="00E77B4C" w:rsidRPr="006A1FEA" w:rsidRDefault="00E77B4C" w:rsidP="00B92A27">
      <w:pPr>
        <w:tabs>
          <w:tab w:val="left" w:pos="567"/>
        </w:tabs>
        <w:jc w:val="center"/>
        <w:rPr>
          <w:rFonts w:eastAsia="Calibri" w:cs="Times New Roman"/>
          <w:b/>
          <w:szCs w:val="24"/>
          <w:lang w:val="es-ES"/>
        </w:rPr>
      </w:pPr>
    </w:p>
    <w:p w14:paraId="64972B79" w14:textId="77777777" w:rsidR="00E77B4C" w:rsidRPr="006A1FEA" w:rsidRDefault="00E77B4C" w:rsidP="00B92A27">
      <w:pPr>
        <w:tabs>
          <w:tab w:val="left" w:pos="567"/>
        </w:tabs>
        <w:jc w:val="center"/>
        <w:rPr>
          <w:rFonts w:eastAsia="Calibri" w:cs="Times New Roman"/>
          <w:b/>
          <w:szCs w:val="24"/>
          <w:lang w:val="es-ES"/>
        </w:rPr>
      </w:pPr>
    </w:p>
    <w:p w14:paraId="166BABBC" w14:textId="77777777" w:rsidR="00E77B4C" w:rsidRPr="006A1FEA" w:rsidRDefault="00E77B4C" w:rsidP="00B92A27">
      <w:pPr>
        <w:tabs>
          <w:tab w:val="left" w:pos="567"/>
        </w:tabs>
        <w:jc w:val="center"/>
        <w:rPr>
          <w:rFonts w:eastAsia="Calibri" w:cs="Times New Roman"/>
          <w:b/>
          <w:szCs w:val="24"/>
          <w:lang w:val="es-ES"/>
        </w:rPr>
      </w:pPr>
    </w:p>
    <w:p w14:paraId="3BA7F88E" w14:textId="77777777" w:rsidR="00E77B4C" w:rsidRPr="006A1FEA" w:rsidRDefault="00E77B4C" w:rsidP="00B92A27">
      <w:pPr>
        <w:tabs>
          <w:tab w:val="left" w:pos="567"/>
        </w:tabs>
        <w:jc w:val="center"/>
        <w:rPr>
          <w:rFonts w:eastAsia="Calibri" w:cs="Times New Roman"/>
          <w:b/>
          <w:szCs w:val="24"/>
          <w:lang w:val="es-ES"/>
        </w:rPr>
      </w:pPr>
    </w:p>
    <w:p w14:paraId="35F72E56" w14:textId="77777777" w:rsidR="00E77B4C" w:rsidRPr="006A1FEA" w:rsidRDefault="00E77B4C" w:rsidP="00B92A27">
      <w:pPr>
        <w:tabs>
          <w:tab w:val="left" w:pos="567"/>
        </w:tabs>
        <w:jc w:val="center"/>
        <w:rPr>
          <w:rFonts w:eastAsia="Calibri" w:cs="Times New Roman"/>
          <w:b/>
          <w:szCs w:val="24"/>
          <w:lang w:val="es-ES"/>
        </w:rPr>
      </w:pPr>
    </w:p>
    <w:p w14:paraId="66B96F68" w14:textId="77777777" w:rsidR="00E77B4C" w:rsidRPr="006A1FEA" w:rsidRDefault="00E77B4C" w:rsidP="00B92A27">
      <w:pPr>
        <w:tabs>
          <w:tab w:val="left" w:pos="567"/>
        </w:tabs>
        <w:jc w:val="center"/>
        <w:rPr>
          <w:rFonts w:eastAsia="Calibri" w:cs="Times New Roman"/>
          <w:b/>
          <w:szCs w:val="24"/>
          <w:lang w:val="es-ES"/>
        </w:rPr>
      </w:pPr>
    </w:p>
    <w:p w14:paraId="119724B9" w14:textId="77777777" w:rsidR="00B92A27" w:rsidRPr="006A1FEA" w:rsidRDefault="00B92A27" w:rsidP="00B92A27">
      <w:pPr>
        <w:tabs>
          <w:tab w:val="left" w:pos="567"/>
        </w:tabs>
        <w:jc w:val="center"/>
        <w:rPr>
          <w:rFonts w:eastAsia="Calibri" w:cs="Times New Roman"/>
          <w:b/>
          <w:szCs w:val="24"/>
          <w:lang w:val="es-ES"/>
        </w:rPr>
      </w:pPr>
      <w:r w:rsidRPr="006A1FEA">
        <w:rPr>
          <w:rFonts w:eastAsia="Calibri" w:cs="Times New Roman"/>
          <w:b/>
          <w:szCs w:val="24"/>
          <w:lang w:val="es-ES"/>
        </w:rPr>
        <w:t xml:space="preserve">RESOLUCIÓN DEL PRESIDENTE DE LA </w:t>
      </w:r>
    </w:p>
    <w:p w14:paraId="3B5F7CC3" w14:textId="23D64417" w:rsidR="00B92A27" w:rsidRPr="006A1FEA" w:rsidRDefault="00B92A27" w:rsidP="00B92A27">
      <w:pPr>
        <w:tabs>
          <w:tab w:val="left" w:pos="567"/>
        </w:tabs>
        <w:jc w:val="center"/>
        <w:rPr>
          <w:rFonts w:eastAsia="Calibri" w:cs="Times New Roman"/>
          <w:b/>
          <w:szCs w:val="24"/>
          <w:lang w:val="es-ES"/>
        </w:rPr>
      </w:pPr>
      <w:r w:rsidRPr="006A1FEA">
        <w:rPr>
          <w:rFonts w:eastAsia="Calibri" w:cs="Times New Roman"/>
          <w:b/>
          <w:szCs w:val="24"/>
          <w:lang w:val="es-ES"/>
        </w:rPr>
        <w:t>CORTE INTERAMERICANA DE DERECHOS HUMANOS</w:t>
      </w:r>
    </w:p>
    <w:p w14:paraId="59421D2E" w14:textId="77777777" w:rsidR="00B92A27" w:rsidRPr="006A1FEA" w:rsidRDefault="00B92A27" w:rsidP="00B92A27">
      <w:pPr>
        <w:tabs>
          <w:tab w:val="left" w:pos="567"/>
        </w:tabs>
        <w:jc w:val="center"/>
        <w:rPr>
          <w:rFonts w:eastAsia="Calibri" w:cs="Times New Roman"/>
          <w:b/>
          <w:szCs w:val="24"/>
          <w:lang w:val="es-ES"/>
        </w:rPr>
      </w:pPr>
    </w:p>
    <w:p w14:paraId="58664D78" w14:textId="17E175B6" w:rsidR="00B92A27" w:rsidRPr="006A1FEA" w:rsidRDefault="00B92A27" w:rsidP="00B92A27">
      <w:pPr>
        <w:tabs>
          <w:tab w:val="left" w:pos="567"/>
        </w:tabs>
        <w:jc w:val="center"/>
        <w:rPr>
          <w:rFonts w:eastAsia="Calibri" w:cs="Times New Roman"/>
          <w:b/>
          <w:szCs w:val="24"/>
          <w:lang w:val="es-ES"/>
        </w:rPr>
      </w:pPr>
      <w:r w:rsidRPr="006A1FEA">
        <w:rPr>
          <w:rFonts w:eastAsia="Calibri" w:cs="Times New Roman"/>
          <w:b/>
          <w:szCs w:val="24"/>
          <w:lang w:val="es-ES"/>
        </w:rPr>
        <w:t xml:space="preserve">DE </w:t>
      </w:r>
      <w:r w:rsidR="008D74B6">
        <w:rPr>
          <w:rFonts w:eastAsia="Calibri" w:cs="Times New Roman"/>
          <w:b/>
          <w:szCs w:val="24"/>
          <w:lang w:val="es-ES"/>
        </w:rPr>
        <w:t>21</w:t>
      </w:r>
      <w:r w:rsidRPr="006A1FEA">
        <w:rPr>
          <w:rFonts w:eastAsia="Calibri" w:cs="Times New Roman"/>
          <w:b/>
          <w:szCs w:val="24"/>
          <w:lang w:val="es-ES"/>
        </w:rPr>
        <w:t xml:space="preserve"> DE </w:t>
      </w:r>
      <w:r w:rsidR="00E77B4C" w:rsidRPr="006A1FEA">
        <w:rPr>
          <w:rFonts w:eastAsia="Calibri" w:cs="Times New Roman"/>
          <w:b/>
          <w:szCs w:val="24"/>
          <w:lang w:val="es-ES"/>
        </w:rPr>
        <w:t>JUNIO</w:t>
      </w:r>
      <w:r w:rsidRPr="006A1FEA">
        <w:rPr>
          <w:rFonts w:eastAsia="Calibri" w:cs="Times New Roman"/>
          <w:b/>
          <w:szCs w:val="24"/>
          <w:lang w:val="es-ES"/>
        </w:rPr>
        <w:t xml:space="preserve"> DE 2018</w:t>
      </w:r>
    </w:p>
    <w:p w14:paraId="67B6D3AD" w14:textId="77777777" w:rsidR="00B92A27" w:rsidRPr="006A1FEA" w:rsidRDefault="00B92A27" w:rsidP="00B92A27">
      <w:pPr>
        <w:tabs>
          <w:tab w:val="left" w:pos="567"/>
        </w:tabs>
        <w:jc w:val="center"/>
        <w:rPr>
          <w:rFonts w:eastAsia="Calibri" w:cs="Times New Roman"/>
          <w:b/>
          <w:szCs w:val="24"/>
          <w:lang w:val="es-ES"/>
        </w:rPr>
      </w:pPr>
    </w:p>
    <w:p w14:paraId="6BE380F1" w14:textId="77777777" w:rsidR="00B92A27" w:rsidRPr="006A1FEA" w:rsidRDefault="00B92A27" w:rsidP="00B92A27">
      <w:pPr>
        <w:tabs>
          <w:tab w:val="left" w:pos="567"/>
        </w:tabs>
        <w:jc w:val="center"/>
        <w:rPr>
          <w:rFonts w:eastAsia="Calibri" w:cs="Times New Roman"/>
          <w:b/>
          <w:szCs w:val="24"/>
          <w:lang w:val="es-ES"/>
        </w:rPr>
      </w:pPr>
      <w:r w:rsidRPr="006A1FEA">
        <w:rPr>
          <w:rFonts w:eastAsia="Calibri" w:cs="Times New Roman"/>
          <w:b/>
          <w:szCs w:val="24"/>
          <w:lang w:val="es-ES"/>
        </w:rPr>
        <w:t xml:space="preserve">CASO ÁLVAREZ RAMOS VS. VENEZUELA </w:t>
      </w:r>
    </w:p>
    <w:p w14:paraId="11D68960" w14:textId="77777777" w:rsidR="00B92A27" w:rsidRPr="006A1FEA" w:rsidRDefault="00B92A27" w:rsidP="00B92A27">
      <w:pPr>
        <w:tabs>
          <w:tab w:val="left" w:pos="567"/>
        </w:tabs>
        <w:rPr>
          <w:rFonts w:eastAsia="Calibri" w:cs="Times New Roman"/>
          <w:b/>
          <w:color w:val="00B050"/>
          <w:szCs w:val="20"/>
          <w:lang w:val="es-ES"/>
        </w:rPr>
      </w:pPr>
    </w:p>
    <w:p w14:paraId="6E60EA09" w14:textId="77777777" w:rsidR="00B92A27" w:rsidRPr="006A1FEA" w:rsidRDefault="00B92A27" w:rsidP="00B92A27">
      <w:pPr>
        <w:tabs>
          <w:tab w:val="left" w:pos="567"/>
        </w:tabs>
        <w:jc w:val="center"/>
        <w:rPr>
          <w:rFonts w:eastAsia="Calibri" w:cs="Times New Roman"/>
          <w:b/>
          <w:szCs w:val="24"/>
          <w:lang w:val="es-ES"/>
        </w:rPr>
      </w:pPr>
    </w:p>
    <w:p w14:paraId="16FF4406" w14:textId="77777777" w:rsidR="00B92A27" w:rsidRPr="006A1FEA" w:rsidRDefault="00B92A27" w:rsidP="006A1FEA">
      <w:pPr>
        <w:pStyle w:val="Heading1"/>
        <w:rPr>
          <w:b w:val="0"/>
        </w:rPr>
      </w:pPr>
      <w:r w:rsidRPr="006A1FEA">
        <w:rPr>
          <w:lang w:val="es-ES"/>
        </w:rPr>
        <w:t>VISTO:</w:t>
      </w:r>
    </w:p>
    <w:p w14:paraId="59E14B42" w14:textId="77777777" w:rsidR="00B92A27" w:rsidRPr="006A1FEA" w:rsidRDefault="00B92A27" w:rsidP="00B92A27">
      <w:pPr>
        <w:tabs>
          <w:tab w:val="left" w:pos="567"/>
        </w:tabs>
        <w:rPr>
          <w:rFonts w:eastAsia="Calibri" w:cs="Times New Roman"/>
          <w:b/>
          <w:szCs w:val="24"/>
        </w:rPr>
      </w:pPr>
    </w:p>
    <w:p w14:paraId="3310FBD8" w14:textId="7DB0ED72" w:rsidR="00B92A27" w:rsidRPr="006A1FEA" w:rsidRDefault="009461A0" w:rsidP="00E77B4C">
      <w:pPr>
        <w:pStyle w:val="ListParagraph"/>
        <w:widowControl w:val="0"/>
        <w:numPr>
          <w:ilvl w:val="0"/>
          <w:numId w:val="4"/>
        </w:numPr>
        <w:tabs>
          <w:tab w:val="left" w:pos="0"/>
        </w:tabs>
        <w:autoSpaceDE w:val="0"/>
        <w:autoSpaceDN w:val="0"/>
        <w:adjustRightInd w:val="0"/>
        <w:ind w:left="0" w:right="22" w:firstLine="0"/>
        <w:contextualSpacing w:val="0"/>
        <w:rPr>
          <w:rFonts w:eastAsia="Calibri" w:cs="Times"/>
          <w:szCs w:val="20"/>
          <w:lang w:eastAsia="es-ES"/>
        </w:rPr>
      </w:pPr>
      <w:r w:rsidRPr="006A1FEA">
        <w:rPr>
          <w:rFonts w:eastAsia="Calibri" w:cs="Times New Roman"/>
          <w:szCs w:val="20"/>
        </w:rPr>
        <w:t xml:space="preserve">  </w:t>
      </w:r>
      <w:r w:rsidR="00B92A27" w:rsidRPr="006A1FEA">
        <w:rPr>
          <w:rFonts w:eastAsia="Calibri" w:cs="Times New Roman"/>
          <w:szCs w:val="20"/>
        </w:rPr>
        <w:t xml:space="preserve">El escrito de sometimiento del caso y el Informe de Fondo de la Comisión Interamericana de Derechos Humanos (en adelante “la Comisión Interamericana” o “la Comisión”); el escrito de solicitudes, argumentos y pruebas (en adelante el “escrito de solicitudes y argumentos”) de los representantes de la presunta víctima (en adelante “los representantes”); el escrito de contestación al sometimiento del caso y al escrito de solicitudes y argumentos (en adelante “escrito de contestación”) de la República Bolivariana de Venezuela (en adelante “Venezuela” o “el Estado”), </w:t>
      </w:r>
      <w:r w:rsidR="00B92A27" w:rsidRPr="006A1FEA">
        <w:rPr>
          <w:rFonts w:eastAsia="Calibri" w:cs="Times"/>
          <w:szCs w:val="20"/>
          <w:lang w:eastAsia="es-ES"/>
        </w:rPr>
        <w:t xml:space="preserve">así como los escritos de observaciones a la excepción preliminar interpuesta por el Estado presentados por la Comisión Interamericana y los representantes. </w:t>
      </w:r>
    </w:p>
    <w:p w14:paraId="2D9A5148" w14:textId="77777777" w:rsidR="00B92A27" w:rsidRPr="006A1FEA" w:rsidRDefault="00B92A27" w:rsidP="00E77B4C">
      <w:pPr>
        <w:widowControl w:val="0"/>
        <w:tabs>
          <w:tab w:val="left" w:pos="0"/>
        </w:tabs>
        <w:autoSpaceDE w:val="0"/>
        <w:autoSpaceDN w:val="0"/>
        <w:adjustRightInd w:val="0"/>
        <w:ind w:right="22"/>
        <w:rPr>
          <w:rFonts w:eastAsia="Calibri" w:cs="Times"/>
          <w:szCs w:val="20"/>
          <w:lang w:eastAsia="es-ES"/>
        </w:rPr>
      </w:pPr>
    </w:p>
    <w:p w14:paraId="142CF965" w14:textId="5C6FBECE" w:rsidR="00B92A27" w:rsidRPr="006A1FEA" w:rsidRDefault="009461A0" w:rsidP="00E77B4C">
      <w:pPr>
        <w:pStyle w:val="ListParagraph"/>
        <w:widowControl w:val="0"/>
        <w:numPr>
          <w:ilvl w:val="0"/>
          <w:numId w:val="4"/>
        </w:numPr>
        <w:tabs>
          <w:tab w:val="left" w:pos="0"/>
        </w:tabs>
        <w:autoSpaceDE w:val="0"/>
        <w:autoSpaceDN w:val="0"/>
        <w:adjustRightInd w:val="0"/>
        <w:ind w:left="0" w:right="22" w:firstLine="0"/>
        <w:contextualSpacing w:val="0"/>
        <w:rPr>
          <w:rFonts w:eastAsia="Calibri" w:cs="Times New Roman"/>
          <w:b/>
          <w:szCs w:val="20"/>
        </w:rPr>
      </w:pPr>
      <w:r w:rsidRPr="006A1FEA">
        <w:rPr>
          <w:rFonts w:eastAsia="Calibri" w:cs="Times New Roman"/>
          <w:szCs w:val="20"/>
        </w:rPr>
        <w:t xml:space="preserve">  </w:t>
      </w:r>
      <w:r w:rsidR="00B92A27" w:rsidRPr="006A1FEA">
        <w:rPr>
          <w:rFonts w:eastAsia="Calibri" w:cs="Times New Roman"/>
          <w:szCs w:val="20"/>
        </w:rPr>
        <w:t>Las listas definitivas de declarantes presentadas por el Estado, los representantes y la Comisión y las correspondientes observaciones a dichas listas presentadas por las partes</w:t>
      </w:r>
      <w:r w:rsidR="0027721B" w:rsidRPr="006A1FEA">
        <w:rPr>
          <w:rFonts w:eastAsia="Calibri" w:cs="Times New Roman"/>
          <w:szCs w:val="20"/>
        </w:rPr>
        <w:t>,</w:t>
      </w:r>
      <w:r w:rsidR="00B92A27" w:rsidRPr="006A1FEA">
        <w:rPr>
          <w:rFonts w:eastAsia="Calibri" w:cs="Times New Roman"/>
          <w:szCs w:val="20"/>
        </w:rPr>
        <w:t xml:space="preserve"> la Comisión</w:t>
      </w:r>
      <w:r w:rsidR="0027721B" w:rsidRPr="006A1FEA">
        <w:rPr>
          <w:rFonts w:eastAsia="Calibri" w:cs="Times New Roman"/>
          <w:szCs w:val="20"/>
        </w:rPr>
        <w:t xml:space="preserve"> y los peritos recusados</w:t>
      </w:r>
      <w:r w:rsidR="00B92A27" w:rsidRPr="006A1FEA">
        <w:rPr>
          <w:rFonts w:eastAsia="Calibri" w:cs="Times New Roman"/>
          <w:szCs w:val="20"/>
        </w:rPr>
        <w:t xml:space="preserve">. </w:t>
      </w:r>
    </w:p>
    <w:p w14:paraId="1C68610C" w14:textId="77777777" w:rsidR="00B92A27" w:rsidRPr="006A1FEA" w:rsidRDefault="00B92A27" w:rsidP="00E77B4C">
      <w:pPr>
        <w:widowControl w:val="0"/>
        <w:tabs>
          <w:tab w:val="left" w:pos="0"/>
        </w:tabs>
        <w:autoSpaceDE w:val="0"/>
        <w:autoSpaceDN w:val="0"/>
        <w:adjustRightInd w:val="0"/>
        <w:ind w:right="22"/>
        <w:rPr>
          <w:rFonts w:eastAsia="Calibri" w:cs="Times New Roman"/>
          <w:b/>
          <w:szCs w:val="20"/>
        </w:rPr>
      </w:pPr>
    </w:p>
    <w:p w14:paraId="6B5FDC87" w14:textId="45F7D4EE" w:rsidR="00B92A27" w:rsidRPr="006A1FEA" w:rsidRDefault="009461A0" w:rsidP="00E77B4C">
      <w:pPr>
        <w:pStyle w:val="ListParagraph"/>
        <w:widowControl w:val="0"/>
        <w:numPr>
          <w:ilvl w:val="0"/>
          <w:numId w:val="4"/>
        </w:numPr>
        <w:tabs>
          <w:tab w:val="left" w:pos="0"/>
        </w:tabs>
        <w:autoSpaceDE w:val="0"/>
        <w:autoSpaceDN w:val="0"/>
        <w:adjustRightInd w:val="0"/>
        <w:ind w:left="0" w:right="22" w:firstLine="0"/>
        <w:contextualSpacing w:val="0"/>
        <w:rPr>
          <w:rFonts w:eastAsia="Calibri" w:cs="Times"/>
          <w:szCs w:val="20"/>
          <w:lang w:eastAsia="es-ES"/>
        </w:rPr>
      </w:pPr>
      <w:bookmarkStart w:id="1" w:name="_Ref479170533"/>
      <w:r w:rsidRPr="006A1FEA">
        <w:rPr>
          <w:rFonts w:eastAsia="Calibri" w:cs="Times New Roman"/>
          <w:szCs w:val="20"/>
        </w:rPr>
        <w:t xml:space="preserve">  </w:t>
      </w:r>
      <w:r w:rsidR="00B92A27" w:rsidRPr="006A1FEA">
        <w:rPr>
          <w:rFonts w:eastAsia="Calibri" w:cs="Times New Roman"/>
          <w:szCs w:val="20"/>
        </w:rPr>
        <w:t xml:space="preserve">La Resolución del Presidente de la Corte Interamericana de Derechos Humanos (en adelante “el Presidente”) de 12 de febrero de 2018 sobre el Fondo de Asistencia Legal de Víctimas. </w:t>
      </w:r>
      <w:bookmarkEnd w:id="1"/>
    </w:p>
    <w:p w14:paraId="579C18B5" w14:textId="77777777" w:rsidR="00830A12" w:rsidRPr="006A1FEA" w:rsidRDefault="00830A12" w:rsidP="00E77B4C">
      <w:pPr>
        <w:pStyle w:val="ListParagraph"/>
        <w:tabs>
          <w:tab w:val="left" w:pos="0"/>
        </w:tabs>
        <w:ind w:left="0"/>
        <w:contextualSpacing w:val="0"/>
        <w:rPr>
          <w:b/>
          <w:szCs w:val="20"/>
        </w:rPr>
      </w:pPr>
    </w:p>
    <w:p w14:paraId="1A6CC6BA" w14:textId="77777777" w:rsidR="00830A12" w:rsidRPr="006A1FEA" w:rsidRDefault="00830A12" w:rsidP="006A1FEA">
      <w:pPr>
        <w:pStyle w:val="Heading1"/>
        <w:rPr>
          <w:b w:val="0"/>
        </w:rPr>
      </w:pPr>
      <w:r w:rsidRPr="006A1FEA">
        <w:rPr>
          <w:szCs w:val="22"/>
        </w:rPr>
        <w:t xml:space="preserve">CONSIDERANDO QUE: </w:t>
      </w:r>
    </w:p>
    <w:p w14:paraId="5A10816B" w14:textId="77777777" w:rsidR="00830A12" w:rsidRPr="006A1FEA" w:rsidRDefault="00830A12" w:rsidP="00E77B4C">
      <w:pPr>
        <w:pStyle w:val="ListParagraph"/>
        <w:tabs>
          <w:tab w:val="left" w:pos="0"/>
        </w:tabs>
        <w:ind w:left="0"/>
        <w:contextualSpacing w:val="0"/>
        <w:rPr>
          <w:bCs/>
          <w:iCs/>
          <w:szCs w:val="20"/>
        </w:rPr>
      </w:pPr>
    </w:p>
    <w:p w14:paraId="4641DA62" w14:textId="1A2683B3" w:rsidR="00830A12" w:rsidRPr="006A1FEA" w:rsidRDefault="009461A0" w:rsidP="00E77B4C">
      <w:pPr>
        <w:pStyle w:val="ListParagraph"/>
        <w:numPr>
          <w:ilvl w:val="0"/>
          <w:numId w:val="11"/>
        </w:numPr>
        <w:tabs>
          <w:tab w:val="left" w:pos="0"/>
        </w:tabs>
        <w:ind w:left="0" w:firstLine="0"/>
        <w:contextualSpacing w:val="0"/>
        <w:rPr>
          <w:bCs/>
          <w:iCs/>
          <w:szCs w:val="20"/>
        </w:rPr>
      </w:pPr>
      <w:r w:rsidRPr="006A1FEA">
        <w:rPr>
          <w:bCs/>
          <w:iCs/>
          <w:szCs w:val="20"/>
        </w:rPr>
        <w:t xml:space="preserve">  </w:t>
      </w:r>
      <w:r w:rsidR="00830A12" w:rsidRPr="006A1FEA">
        <w:rPr>
          <w:bCs/>
          <w:iCs/>
          <w:szCs w:val="20"/>
        </w:rPr>
        <w:t>El ofrecimiento y la admisión de la prueba, así como la citación de declarantes se encuentran regulados en los artículos 35.1.f, 40.2.c, 41.1.c, 46</w:t>
      </w:r>
      <w:r w:rsidR="00921308" w:rsidRPr="006A1FEA">
        <w:rPr>
          <w:bCs/>
          <w:iCs/>
          <w:szCs w:val="20"/>
        </w:rPr>
        <w:t>, 47,</w:t>
      </w:r>
      <w:r w:rsidR="00DF1E41" w:rsidRPr="006A1FEA">
        <w:rPr>
          <w:bCs/>
          <w:iCs/>
          <w:szCs w:val="20"/>
        </w:rPr>
        <w:t xml:space="preserve"> </w:t>
      </w:r>
      <w:r w:rsidR="00921308" w:rsidRPr="006A1FEA">
        <w:rPr>
          <w:bCs/>
          <w:iCs/>
          <w:szCs w:val="20"/>
        </w:rPr>
        <w:t xml:space="preserve">48, </w:t>
      </w:r>
      <w:r w:rsidR="00830A12" w:rsidRPr="006A1FEA">
        <w:rPr>
          <w:bCs/>
          <w:iCs/>
          <w:szCs w:val="20"/>
        </w:rPr>
        <w:t>50, 52</w:t>
      </w:r>
      <w:r w:rsidR="00DF1E41" w:rsidRPr="006A1FEA">
        <w:rPr>
          <w:bCs/>
          <w:iCs/>
          <w:szCs w:val="20"/>
        </w:rPr>
        <w:t xml:space="preserve"> y</w:t>
      </w:r>
      <w:r w:rsidR="00830A12" w:rsidRPr="006A1FEA">
        <w:rPr>
          <w:bCs/>
          <w:iCs/>
          <w:szCs w:val="20"/>
        </w:rPr>
        <w:t xml:space="preserve"> 57</w:t>
      </w:r>
      <w:r w:rsidR="00BC243D" w:rsidRPr="006A1FEA">
        <w:rPr>
          <w:bCs/>
          <w:iCs/>
          <w:szCs w:val="20"/>
        </w:rPr>
        <w:t xml:space="preserve"> </w:t>
      </w:r>
      <w:r w:rsidR="00830A12" w:rsidRPr="006A1FEA">
        <w:rPr>
          <w:bCs/>
          <w:iCs/>
          <w:szCs w:val="20"/>
        </w:rPr>
        <w:t>del Reglamento de la Corte Interamericana de Derechos Humanos (en adelante “la Corte Interamericana”, “la Corte” o “el Tribunal”).</w:t>
      </w:r>
    </w:p>
    <w:p w14:paraId="6763CCBF" w14:textId="77777777" w:rsidR="009461A0" w:rsidRPr="006A1FEA" w:rsidRDefault="009461A0" w:rsidP="00E77B4C">
      <w:pPr>
        <w:pStyle w:val="ListParagraph"/>
        <w:tabs>
          <w:tab w:val="left" w:pos="0"/>
        </w:tabs>
        <w:ind w:left="0"/>
        <w:contextualSpacing w:val="0"/>
        <w:rPr>
          <w:bCs/>
          <w:iCs/>
          <w:szCs w:val="20"/>
        </w:rPr>
      </w:pPr>
    </w:p>
    <w:p w14:paraId="7AB2B1D8" w14:textId="77777777" w:rsidR="00830A12" w:rsidRPr="006A1FEA" w:rsidRDefault="009461A0" w:rsidP="00E77B4C">
      <w:pPr>
        <w:pStyle w:val="ListParagraph"/>
        <w:numPr>
          <w:ilvl w:val="0"/>
          <w:numId w:val="10"/>
        </w:numPr>
        <w:tabs>
          <w:tab w:val="left" w:pos="0"/>
        </w:tabs>
        <w:ind w:left="0" w:firstLine="0"/>
        <w:contextualSpacing w:val="0"/>
        <w:rPr>
          <w:szCs w:val="20"/>
        </w:rPr>
      </w:pPr>
      <w:r w:rsidRPr="006A1FEA">
        <w:rPr>
          <w:szCs w:val="20"/>
        </w:rPr>
        <w:t xml:space="preserve">  La Corte garantizó a las partes el derecho de defensa respecto de los ofrecimientos probatorios realizados en sus escritos de sometimiento del caso, solicitudes y argumentos, y contestación, así como en las respectivas listas definitivas de declarantes.</w:t>
      </w:r>
    </w:p>
    <w:p w14:paraId="345DB257" w14:textId="77777777" w:rsidR="00AC2C61" w:rsidRPr="006A1FEA" w:rsidRDefault="00AC2C61" w:rsidP="00E77B4C">
      <w:pPr>
        <w:pStyle w:val="ListParagraph"/>
        <w:tabs>
          <w:tab w:val="left" w:pos="0"/>
        </w:tabs>
        <w:ind w:left="0"/>
        <w:contextualSpacing w:val="0"/>
        <w:rPr>
          <w:szCs w:val="20"/>
        </w:rPr>
      </w:pPr>
    </w:p>
    <w:p w14:paraId="098F8BA6" w14:textId="591B2933" w:rsidR="00DF1E41" w:rsidRPr="006A1FEA" w:rsidRDefault="009461A0" w:rsidP="00DF1E41">
      <w:pPr>
        <w:pStyle w:val="ListParagraph"/>
        <w:numPr>
          <w:ilvl w:val="0"/>
          <w:numId w:val="10"/>
        </w:numPr>
        <w:tabs>
          <w:tab w:val="left" w:pos="0"/>
        </w:tabs>
        <w:ind w:left="0" w:firstLine="0"/>
        <w:contextualSpacing w:val="0"/>
        <w:rPr>
          <w:szCs w:val="20"/>
        </w:rPr>
      </w:pPr>
      <w:r w:rsidRPr="006A1FEA">
        <w:rPr>
          <w:szCs w:val="20"/>
        </w:rPr>
        <w:t xml:space="preserve"> </w:t>
      </w:r>
      <w:r w:rsidR="00AC2C61" w:rsidRPr="006A1FEA">
        <w:rPr>
          <w:szCs w:val="20"/>
        </w:rPr>
        <w:t>El Estado ofreció las declaraciones de dos testigos y un perito</w:t>
      </w:r>
      <w:r w:rsidR="00A674FD">
        <w:rPr>
          <w:szCs w:val="20"/>
        </w:rPr>
        <w:t>,</w:t>
      </w:r>
      <w:r w:rsidR="00AC2C61" w:rsidRPr="006A1FEA">
        <w:rPr>
          <w:szCs w:val="20"/>
        </w:rPr>
        <w:t xml:space="preserve"> los representantes ofrecieron las declaraciones de la presunta víctima, ocho testigos y cuatro peritos. La Comisión ofreció dos peritos. </w:t>
      </w:r>
    </w:p>
    <w:p w14:paraId="62ED2330" w14:textId="77777777" w:rsidR="00DF1E41" w:rsidRPr="006A1FEA" w:rsidRDefault="00DF1E41" w:rsidP="00DF1E41">
      <w:pPr>
        <w:pStyle w:val="ListParagraph"/>
        <w:rPr>
          <w:rFonts w:eastAsia="Times New Roman" w:cs="Verdana"/>
          <w:szCs w:val="20"/>
          <w:lang w:val="es-CL"/>
        </w:rPr>
      </w:pPr>
    </w:p>
    <w:p w14:paraId="289B75EA" w14:textId="17B9D93E" w:rsidR="00DF1E41" w:rsidRPr="006A1FEA" w:rsidRDefault="00DF1E41" w:rsidP="00DF1E41">
      <w:pPr>
        <w:pStyle w:val="ListParagraph"/>
        <w:numPr>
          <w:ilvl w:val="0"/>
          <w:numId w:val="10"/>
        </w:numPr>
        <w:tabs>
          <w:tab w:val="left" w:pos="0"/>
        </w:tabs>
        <w:ind w:left="0" w:firstLine="0"/>
        <w:contextualSpacing w:val="0"/>
        <w:rPr>
          <w:szCs w:val="20"/>
        </w:rPr>
      </w:pPr>
      <w:r w:rsidRPr="006A1FEA">
        <w:rPr>
          <w:rFonts w:eastAsia="Times New Roman" w:cs="Verdana"/>
          <w:szCs w:val="20"/>
          <w:lang w:val="es-CL"/>
        </w:rPr>
        <w:lastRenderedPageBreak/>
        <w:t>El Estado recusó los dictámenes periciales de Catalina Botero y Magaly Vázquez, ofrecidos por los representantes</w:t>
      </w:r>
      <w:r w:rsidR="008E3A1F" w:rsidRPr="006A1FEA">
        <w:rPr>
          <w:rFonts w:eastAsia="Times New Roman" w:cs="Verdana"/>
          <w:szCs w:val="20"/>
          <w:lang w:val="es-CL"/>
        </w:rPr>
        <w:t xml:space="preserve">. Asimismo, presentó observaciones </w:t>
      </w:r>
      <w:r w:rsidR="00BC243D" w:rsidRPr="006A1FEA">
        <w:rPr>
          <w:rFonts w:eastAsia="Times New Roman" w:cs="Verdana"/>
          <w:szCs w:val="20"/>
          <w:lang w:val="es-CL"/>
        </w:rPr>
        <w:t xml:space="preserve">y objeciones </w:t>
      </w:r>
      <w:r w:rsidR="008E3A1F" w:rsidRPr="006A1FEA">
        <w:rPr>
          <w:rFonts w:eastAsia="Times New Roman" w:cs="Verdana"/>
          <w:szCs w:val="20"/>
          <w:lang w:val="es-CL"/>
        </w:rPr>
        <w:t xml:space="preserve">sobre </w:t>
      </w:r>
      <w:r w:rsidRPr="006A1FEA">
        <w:rPr>
          <w:rFonts w:eastAsia="Times New Roman" w:cs="Verdana"/>
          <w:szCs w:val="20"/>
          <w:lang w:val="es-CL"/>
        </w:rPr>
        <w:t xml:space="preserve">las declaraciones de </w:t>
      </w:r>
      <w:r w:rsidR="00BC243D" w:rsidRPr="006A1FEA">
        <w:rPr>
          <w:rFonts w:eastAsia="Times New Roman" w:cs="Verdana"/>
          <w:szCs w:val="20"/>
          <w:lang w:val="es-CL"/>
        </w:rPr>
        <w:t xml:space="preserve">cuatro </w:t>
      </w:r>
      <w:r w:rsidR="008E3A1F" w:rsidRPr="006A1FEA">
        <w:rPr>
          <w:rFonts w:eastAsia="Times New Roman" w:cs="Verdana"/>
          <w:szCs w:val="20"/>
          <w:lang w:val="es-CL"/>
        </w:rPr>
        <w:t xml:space="preserve">testigos </w:t>
      </w:r>
      <w:r w:rsidR="00EB7F12" w:rsidRPr="006A1FEA">
        <w:rPr>
          <w:rFonts w:eastAsia="Times New Roman" w:cs="Verdana"/>
          <w:szCs w:val="20"/>
          <w:lang w:val="es-CL"/>
        </w:rPr>
        <w:t xml:space="preserve">ofrecidas </w:t>
      </w:r>
      <w:r w:rsidR="008E3A1F" w:rsidRPr="006A1FEA">
        <w:rPr>
          <w:rFonts w:eastAsia="Times New Roman" w:cs="Verdana"/>
          <w:szCs w:val="20"/>
          <w:lang w:val="es-CL"/>
        </w:rPr>
        <w:t xml:space="preserve">por los representantes. </w:t>
      </w:r>
      <w:r w:rsidR="008E3A1F" w:rsidRPr="006A1FEA">
        <w:t>Por otra parte, el Estado objetó el ofrecimiento de l</w:t>
      </w:r>
      <w:r w:rsidR="00B456A2">
        <w:t>o</w:t>
      </w:r>
      <w:r w:rsidR="008E3A1F" w:rsidRPr="006A1FEA">
        <w:t>s dos peritos de la Comisión. Los representantes presentaron recusaciones respecto a los tres declarantes propuestos por el Estado.</w:t>
      </w:r>
      <w:r w:rsidRPr="006A1FEA">
        <w:t xml:space="preserve"> </w:t>
      </w:r>
      <w:bookmarkStart w:id="2" w:name="_Ref352070057"/>
    </w:p>
    <w:p w14:paraId="6F0759C9" w14:textId="77777777" w:rsidR="00DF1E41" w:rsidRPr="006A1FEA" w:rsidRDefault="00DF1E41" w:rsidP="00DF1E41">
      <w:pPr>
        <w:pStyle w:val="ListParagraph"/>
      </w:pPr>
    </w:p>
    <w:p w14:paraId="080C74AD" w14:textId="02E52505" w:rsidR="00DF1E41" w:rsidRPr="006A1FEA" w:rsidRDefault="00DF1E41" w:rsidP="00164AEF">
      <w:pPr>
        <w:pStyle w:val="ListParagraph"/>
        <w:numPr>
          <w:ilvl w:val="0"/>
          <w:numId w:val="10"/>
        </w:numPr>
        <w:tabs>
          <w:tab w:val="left" w:pos="0"/>
        </w:tabs>
        <w:ind w:left="0" w:firstLine="0"/>
        <w:contextualSpacing w:val="0"/>
        <w:rPr>
          <w:szCs w:val="20"/>
        </w:rPr>
      </w:pPr>
      <w:r w:rsidRPr="006A1FEA">
        <w:t>En cuanto a la prueba pericial</w:t>
      </w:r>
      <w:r w:rsidR="008E3A1F" w:rsidRPr="006A1FEA">
        <w:t xml:space="preserve"> y testimonial</w:t>
      </w:r>
      <w:r w:rsidRPr="006A1FEA">
        <w:t xml:space="preserve"> ofrecida por las partes que no ha sido objetada, esta Presidencia considera conveniente recabarla. </w:t>
      </w:r>
      <w:bookmarkEnd w:id="2"/>
      <w:r w:rsidRPr="006A1FEA">
        <w:t>Por consiguiente</w:t>
      </w:r>
      <w:r w:rsidR="00C525A7" w:rsidRPr="006A1FEA">
        <w:t>, se</w:t>
      </w:r>
      <w:r w:rsidRPr="006A1FEA">
        <w:t xml:space="preserve"> admite la declaración de </w:t>
      </w:r>
      <w:r w:rsidR="008E3A1F" w:rsidRPr="006A1FEA">
        <w:t xml:space="preserve">la presunta víctima Tulio Alberto Álvarez Ramos, de </w:t>
      </w:r>
      <w:r w:rsidRPr="006A1FEA">
        <w:t>l</w:t>
      </w:r>
      <w:r w:rsidR="00C525A7" w:rsidRPr="006A1FEA">
        <w:t>a</w:t>
      </w:r>
      <w:r w:rsidRPr="006A1FEA">
        <w:t xml:space="preserve"> perit</w:t>
      </w:r>
      <w:r w:rsidR="00C525A7" w:rsidRPr="006A1FEA">
        <w:t>a</w:t>
      </w:r>
      <w:r w:rsidRPr="006A1FEA">
        <w:t xml:space="preserve"> </w:t>
      </w:r>
      <w:r w:rsidR="008E3A1F" w:rsidRPr="006A1FEA">
        <w:t>Magdalena López de Ibañez y</w:t>
      </w:r>
      <w:r w:rsidR="00C525A7" w:rsidRPr="006A1FEA">
        <w:t xml:space="preserve"> el perito</w:t>
      </w:r>
      <w:r w:rsidR="008E3A1F" w:rsidRPr="006A1FEA">
        <w:t xml:space="preserve"> Leonel Ferrer, y de los testigos Andrés Raúl Páez, Carmen Guadalupe Ramos, Anna Mercedes Martínez, Mirtha Guedez Campero, Ibéyse Pacheco y Victor Gil, todos propuestos por los representantes. </w:t>
      </w:r>
      <w:r w:rsidRPr="006A1FEA">
        <w:t>El objeto de est</w:t>
      </w:r>
      <w:r w:rsidR="008E3A1F" w:rsidRPr="006A1FEA">
        <w:t>as declaraciones y</w:t>
      </w:r>
      <w:r w:rsidRPr="006A1FEA">
        <w:t xml:space="preserve"> dictámenes periciales y la modalidad en que serán recibidos se determinarán en la parte resolutiva de esta decisión (</w:t>
      </w:r>
      <w:r w:rsidRPr="006A1FEA">
        <w:rPr>
          <w:i/>
        </w:rPr>
        <w:t xml:space="preserve">infra </w:t>
      </w:r>
      <w:r w:rsidRPr="006A1FEA">
        <w:t xml:space="preserve">puntos resolutivos </w:t>
      </w:r>
      <w:r w:rsidR="005309E9">
        <w:t>1 y 2</w:t>
      </w:r>
      <w:r w:rsidRPr="006A1FEA">
        <w:t>).</w:t>
      </w:r>
    </w:p>
    <w:p w14:paraId="60E4BFAD" w14:textId="77777777" w:rsidR="00D1384D" w:rsidRPr="006A1FEA" w:rsidRDefault="00D1384D" w:rsidP="00DA3519">
      <w:pPr>
        <w:pStyle w:val="ListParagraph"/>
        <w:tabs>
          <w:tab w:val="left" w:pos="0"/>
        </w:tabs>
        <w:ind w:left="0"/>
        <w:contextualSpacing w:val="0"/>
        <w:rPr>
          <w:szCs w:val="20"/>
        </w:rPr>
      </w:pPr>
    </w:p>
    <w:p w14:paraId="429A3DD8" w14:textId="13AFCD8D" w:rsidR="00D1384D" w:rsidRPr="006A1FEA" w:rsidRDefault="00D1384D" w:rsidP="00E77B4C">
      <w:pPr>
        <w:pStyle w:val="ListParagraph"/>
        <w:numPr>
          <w:ilvl w:val="0"/>
          <w:numId w:val="10"/>
        </w:numPr>
        <w:tabs>
          <w:tab w:val="left" w:pos="0"/>
        </w:tabs>
        <w:autoSpaceDE w:val="0"/>
        <w:autoSpaceDN w:val="0"/>
        <w:adjustRightInd w:val="0"/>
        <w:ind w:left="0" w:firstLine="0"/>
        <w:contextualSpacing w:val="0"/>
        <w:rPr>
          <w:szCs w:val="20"/>
        </w:rPr>
      </w:pPr>
      <w:r w:rsidRPr="006A1FEA">
        <w:rPr>
          <w:szCs w:val="20"/>
        </w:rPr>
        <w:t xml:space="preserve">A continuación </w:t>
      </w:r>
      <w:r w:rsidR="00C525A7" w:rsidRPr="006A1FEA">
        <w:rPr>
          <w:szCs w:val="20"/>
        </w:rPr>
        <w:t>se</w:t>
      </w:r>
      <w:r w:rsidRPr="006A1FEA">
        <w:rPr>
          <w:szCs w:val="20"/>
        </w:rPr>
        <w:t xml:space="preserve"> examinará</w:t>
      </w:r>
      <w:r w:rsidR="008E3A1F" w:rsidRPr="006A1FEA">
        <w:rPr>
          <w:szCs w:val="20"/>
        </w:rPr>
        <w:t>:</w:t>
      </w:r>
      <w:r w:rsidRPr="006A1FEA">
        <w:rPr>
          <w:szCs w:val="20"/>
        </w:rPr>
        <w:t xml:space="preserve"> A) la admisibil</w:t>
      </w:r>
      <w:r w:rsidR="00B14B4C" w:rsidRPr="006A1FEA">
        <w:rPr>
          <w:szCs w:val="20"/>
        </w:rPr>
        <w:t>i</w:t>
      </w:r>
      <w:r w:rsidRPr="006A1FEA">
        <w:rPr>
          <w:szCs w:val="20"/>
        </w:rPr>
        <w:t>dad de</w:t>
      </w:r>
      <w:r w:rsidR="008E3A1F" w:rsidRPr="006A1FEA">
        <w:rPr>
          <w:szCs w:val="20"/>
        </w:rPr>
        <w:t xml:space="preserve"> los</w:t>
      </w:r>
      <w:r w:rsidRPr="006A1FEA">
        <w:rPr>
          <w:szCs w:val="20"/>
        </w:rPr>
        <w:t xml:space="preserve"> peritaje</w:t>
      </w:r>
      <w:r w:rsidR="008E3A1F" w:rsidRPr="006A1FEA">
        <w:rPr>
          <w:szCs w:val="20"/>
        </w:rPr>
        <w:t>s</w:t>
      </w:r>
      <w:r w:rsidRPr="006A1FEA">
        <w:rPr>
          <w:szCs w:val="20"/>
        </w:rPr>
        <w:t xml:space="preserve"> ofrecido</w:t>
      </w:r>
      <w:r w:rsidR="008E3A1F" w:rsidRPr="006A1FEA">
        <w:rPr>
          <w:szCs w:val="20"/>
        </w:rPr>
        <w:t>s</w:t>
      </w:r>
      <w:r w:rsidRPr="006A1FEA">
        <w:rPr>
          <w:szCs w:val="20"/>
        </w:rPr>
        <w:t xml:space="preserve"> por la Com</w:t>
      </w:r>
      <w:r w:rsidR="00B14B4C" w:rsidRPr="006A1FEA">
        <w:rPr>
          <w:szCs w:val="20"/>
        </w:rPr>
        <w:t>i</w:t>
      </w:r>
      <w:r w:rsidRPr="006A1FEA">
        <w:rPr>
          <w:szCs w:val="20"/>
        </w:rPr>
        <w:t>sión</w:t>
      </w:r>
      <w:r w:rsidR="008E3A1F" w:rsidRPr="006A1FEA">
        <w:rPr>
          <w:szCs w:val="20"/>
        </w:rPr>
        <w:t>; B</w:t>
      </w:r>
      <w:r w:rsidR="00942EA7" w:rsidRPr="006A1FEA">
        <w:rPr>
          <w:szCs w:val="20"/>
        </w:rPr>
        <w:t xml:space="preserve">) </w:t>
      </w:r>
      <w:r w:rsidR="008E3A1F" w:rsidRPr="006A1FEA">
        <w:rPr>
          <w:szCs w:val="20"/>
        </w:rPr>
        <w:t>las r</w:t>
      </w:r>
      <w:r w:rsidR="00942EA7" w:rsidRPr="006A1FEA">
        <w:rPr>
          <w:szCs w:val="20"/>
        </w:rPr>
        <w:t>ecusaciones del Estado a l</w:t>
      </w:r>
      <w:r w:rsidR="006A1295" w:rsidRPr="006A1FEA">
        <w:rPr>
          <w:szCs w:val="20"/>
        </w:rPr>
        <w:t>a</w:t>
      </w:r>
      <w:r w:rsidR="00942EA7" w:rsidRPr="006A1FEA">
        <w:rPr>
          <w:szCs w:val="20"/>
        </w:rPr>
        <w:t xml:space="preserve">s </w:t>
      </w:r>
      <w:r w:rsidR="00E4391E">
        <w:rPr>
          <w:szCs w:val="20"/>
        </w:rPr>
        <w:t>perita</w:t>
      </w:r>
      <w:r w:rsidR="00942EA7" w:rsidRPr="006A1FEA">
        <w:rPr>
          <w:szCs w:val="20"/>
        </w:rPr>
        <w:t>s ofrecid</w:t>
      </w:r>
      <w:r w:rsidR="006A1295" w:rsidRPr="006A1FEA">
        <w:rPr>
          <w:szCs w:val="20"/>
        </w:rPr>
        <w:t>a</w:t>
      </w:r>
      <w:r w:rsidR="00942EA7" w:rsidRPr="006A1FEA">
        <w:rPr>
          <w:szCs w:val="20"/>
        </w:rPr>
        <w:t>s por los representantes</w:t>
      </w:r>
      <w:r w:rsidR="008E3A1F" w:rsidRPr="006A1FEA">
        <w:rPr>
          <w:szCs w:val="20"/>
        </w:rPr>
        <w:t>; C</w:t>
      </w:r>
      <w:r w:rsidR="00E24503" w:rsidRPr="006A1FEA">
        <w:rPr>
          <w:szCs w:val="20"/>
        </w:rPr>
        <w:t>)</w:t>
      </w:r>
      <w:r w:rsidR="006E73D8" w:rsidRPr="006A1FEA">
        <w:rPr>
          <w:szCs w:val="20"/>
        </w:rPr>
        <w:t xml:space="preserve"> </w:t>
      </w:r>
      <w:r w:rsidR="00BC243D" w:rsidRPr="006A1FEA">
        <w:rPr>
          <w:szCs w:val="20"/>
        </w:rPr>
        <w:t xml:space="preserve">la </w:t>
      </w:r>
      <w:r w:rsidR="006E73D8" w:rsidRPr="006A1FEA">
        <w:rPr>
          <w:szCs w:val="20"/>
        </w:rPr>
        <w:t xml:space="preserve">solicitud de la Comisión Interamericana para realizar preguntas a dos </w:t>
      </w:r>
      <w:r w:rsidR="00E4391E">
        <w:rPr>
          <w:szCs w:val="20"/>
        </w:rPr>
        <w:t>perita</w:t>
      </w:r>
      <w:r w:rsidR="006E73D8" w:rsidRPr="006A1FEA">
        <w:rPr>
          <w:szCs w:val="20"/>
        </w:rPr>
        <w:t>s ofrecidas por los representantes; D)</w:t>
      </w:r>
      <w:r w:rsidR="00B14B4C" w:rsidRPr="006A1FEA">
        <w:rPr>
          <w:szCs w:val="20"/>
        </w:rPr>
        <w:t xml:space="preserve"> </w:t>
      </w:r>
      <w:r w:rsidR="00A12940">
        <w:rPr>
          <w:szCs w:val="20"/>
        </w:rPr>
        <w:t>la</w:t>
      </w:r>
      <w:r w:rsidR="008E3A1F" w:rsidRPr="006A1FEA">
        <w:rPr>
          <w:szCs w:val="20"/>
        </w:rPr>
        <w:t xml:space="preserve"> r</w:t>
      </w:r>
      <w:r w:rsidR="00942EA7" w:rsidRPr="006A1FEA">
        <w:rPr>
          <w:bCs/>
          <w:iCs/>
          <w:szCs w:val="20"/>
        </w:rPr>
        <w:t>ecusaci</w:t>
      </w:r>
      <w:r w:rsidR="00A12940">
        <w:rPr>
          <w:bCs/>
          <w:iCs/>
          <w:szCs w:val="20"/>
        </w:rPr>
        <w:t>ó</w:t>
      </w:r>
      <w:r w:rsidR="00942EA7" w:rsidRPr="006A1FEA">
        <w:rPr>
          <w:bCs/>
          <w:iCs/>
          <w:szCs w:val="20"/>
        </w:rPr>
        <w:t>n de los representantes a</w:t>
      </w:r>
      <w:r w:rsidR="008E3A1F" w:rsidRPr="006A1FEA">
        <w:rPr>
          <w:bCs/>
          <w:iCs/>
          <w:szCs w:val="20"/>
        </w:rPr>
        <w:t xml:space="preserve">l </w:t>
      </w:r>
      <w:r w:rsidR="00942EA7" w:rsidRPr="006A1FEA">
        <w:rPr>
          <w:bCs/>
          <w:iCs/>
          <w:szCs w:val="20"/>
        </w:rPr>
        <w:t>perito ofrecido por el Estado</w:t>
      </w:r>
      <w:r w:rsidR="008E3A1F" w:rsidRPr="006A1FEA">
        <w:rPr>
          <w:bCs/>
          <w:iCs/>
          <w:szCs w:val="20"/>
        </w:rPr>
        <w:t xml:space="preserve">; </w:t>
      </w:r>
      <w:r w:rsidR="006E73D8" w:rsidRPr="006A1FEA">
        <w:rPr>
          <w:bCs/>
          <w:iCs/>
          <w:szCs w:val="20"/>
        </w:rPr>
        <w:t>E</w:t>
      </w:r>
      <w:r w:rsidR="00942EA7" w:rsidRPr="006A1FEA">
        <w:rPr>
          <w:bCs/>
          <w:iCs/>
          <w:szCs w:val="20"/>
        </w:rPr>
        <w:t xml:space="preserve">) </w:t>
      </w:r>
      <w:r w:rsidR="008E3A1F" w:rsidRPr="006A1FEA">
        <w:rPr>
          <w:bCs/>
          <w:iCs/>
          <w:szCs w:val="20"/>
        </w:rPr>
        <w:t xml:space="preserve">las </w:t>
      </w:r>
      <w:r w:rsidR="00BC243D" w:rsidRPr="006A1FEA">
        <w:rPr>
          <w:bCs/>
          <w:iCs/>
          <w:szCs w:val="20"/>
        </w:rPr>
        <w:t>observaciones</w:t>
      </w:r>
      <w:r w:rsidR="00942EA7" w:rsidRPr="006A1FEA">
        <w:rPr>
          <w:bCs/>
          <w:iCs/>
          <w:szCs w:val="20"/>
        </w:rPr>
        <w:t xml:space="preserve"> del Estado a </w:t>
      </w:r>
      <w:r w:rsidR="008E3A1F" w:rsidRPr="006A1FEA">
        <w:rPr>
          <w:bCs/>
          <w:iCs/>
          <w:szCs w:val="20"/>
        </w:rPr>
        <w:t>los t</w:t>
      </w:r>
      <w:r w:rsidR="00942EA7" w:rsidRPr="006A1FEA">
        <w:rPr>
          <w:bCs/>
          <w:iCs/>
          <w:szCs w:val="20"/>
        </w:rPr>
        <w:t>estigos ofrecidos por los representantes</w:t>
      </w:r>
      <w:r w:rsidR="008E3A1F" w:rsidRPr="006A1FEA">
        <w:rPr>
          <w:bCs/>
          <w:iCs/>
          <w:szCs w:val="20"/>
        </w:rPr>
        <w:t xml:space="preserve">; </w:t>
      </w:r>
      <w:r w:rsidR="006E73D8" w:rsidRPr="006A1FEA">
        <w:rPr>
          <w:bCs/>
          <w:iCs/>
          <w:szCs w:val="20"/>
        </w:rPr>
        <w:t>F</w:t>
      </w:r>
      <w:r w:rsidR="00942EA7" w:rsidRPr="006A1FEA">
        <w:rPr>
          <w:bCs/>
          <w:iCs/>
          <w:szCs w:val="20"/>
        </w:rPr>
        <w:t xml:space="preserve">) </w:t>
      </w:r>
      <w:r w:rsidR="008E3A1F" w:rsidRPr="006A1FEA">
        <w:rPr>
          <w:bCs/>
          <w:iCs/>
          <w:szCs w:val="20"/>
        </w:rPr>
        <w:t>las r</w:t>
      </w:r>
      <w:r w:rsidR="00942EA7" w:rsidRPr="006A1FEA">
        <w:rPr>
          <w:bCs/>
          <w:iCs/>
          <w:szCs w:val="20"/>
        </w:rPr>
        <w:t xml:space="preserve">ecusaciones de </w:t>
      </w:r>
      <w:r w:rsidR="008E3A1F" w:rsidRPr="006A1FEA">
        <w:rPr>
          <w:bCs/>
          <w:iCs/>
          <w:szCs w:val="20"/>
        </w:rPr>
        <w:t xml:space="preserve">los representantes </w:t>
      </w:r>
      <w:r w:rsidR="00942EA7" w:rsidRPr="006A1FEA">
        <w:rPr>
          <w:bCs/>
          <w:iCs/>
          <w:szCs w:val="20"/>
        </w:rPr>
        <w:t xml:space="preserve">a </w:t>
      </w:r>
      <w:r w:rsidR="008E3A1F" w:rsidRPr="006A1FEA">
        <w:rPr>
          <w:bCs/>
          <w:iCs/>
          <w:szCs w:val="20"/>
        </w:rPr>
        <w:t>los t</w:t>
      </w:r>
      <w:r w:rsidR="00942EA7" w:rsidRPr="006A1FEA">
        <w:rPr>
          <w:bCs/>
          <w:iCs/>
          <w:szCs w:val="20"/>
        </w:rPr>
        <w:t>estigos ofrecidos por el Estado</w:t>
      </w:r>
      <w:r w:rsidR="00A12940">
        <w:rPr>
          <w:bCs/>
          <w:iCs/>
          <w:szCs w:val="20"/>
        </w:rPr>
        <w:t>, e G</w:t>
      </w:r>
      <w:r w:rsidR="00942EA7" w:rsidRPr="006A1FEA">
        <w:rPr>
          <w:bCs/>
          <w:iCs/>
          <w:szCs w:val="20"/>
        </w:rPr>
        <w:t xml:space="preserve">) </w:t>
      </w:r>
      <w:r w:rsidR="00B14B4C" w:rsidRPr="006A1FEA">
        <w:rPr>
          <w:szCs w:val="20"/>
        </w:rPr>
        <w:t xml:space="preserve">la aplicación del Fondo de Asistencia Legal de Víctimas </w:t>
      </w:r>
      <w:r w:rsidR="008E3A1F" w:rsidRPr="006A1FEA">
        <w:rPr>
          <w:szCs w:val="20"/>
        </w:rPr>
        <w:t>de</w:t>
      </w:r>
      <w:r w:rsidR="00B14B4C" w:rsidRPr="006A1FEA">
        <w:rPr>
          <w:szCs w:val="20"/>
        </w:rPr>
        <w:t xml:space="preserve"> la Corte </w:t>
      </w:r>
      <w:r w:rsidR="008E3A1F" w:rsidRPr="006A1FEA">
        <w:rPr>
          <w:szCs w:val="20"/>
        </w:rPr>
        <w:t>(</w:t>
      </w:r>
      <w:r w:rsidR="00B14B4C" w:rsidRPr="006A1FEA">
        <w:rPr>
          <w:szCs w:val="20"/>
        </w:rPr>
        <w:t>en adelante “Fondo de Asistencia Legal de Víctimas</w:t>
      </w:r>
      <w:r w:rsidR="00495940" w:rsidRPr="006A1FEA">
        <w:rPr>
          <w:szCs w:val="20"/>
        </w:rPr>
        <w:t>”</w:t>
      </w:r>
      <w:r w:rsidR="00B14B4C" w:rsidRPr="006A1FEA">
        <w:rPr>
          <w:szCs w:val="20"/>
        </w:rPr>
        <w:t>, “Fondo de Asistencia” o “Fondo”</w:t>
      </w:r>
      <w:r w:rsidR="008E3A1F" w:rsidRPr="006A1FEA">
        <w:rPr>
          <w:szCs w:val="20"/>
        </w:rPr>
        <w:t>).</w:t>
      </w:r>
    </w:p>
    <w:p w14:paraId="324353D2" w14:textId="77777777" w:rsidR="00942EA7" w:rsidRPr="006A1FEA" w:rsidRDefault="00942EA7" w:rsidP="00E77B4C">
      <w:pPr>
        <w:pStyle w:val="ListParagraph"/>
        <w:tabs>
          <w:tab w:val="left" w:pos="0"/>
        </w:tabs>
        <w:ind w:left="0"/>
        <w:contextualSpacing w:val="0"/>
        <w:rPr>
          <w:szCs w:val="20"/>
        </w:rPr>
      </w:pPr>
    </w:p>
    <w:p w14:paraId="5BF37CA6" w14:textId="08E68CCF" w:rsidR="005878DF" w:rsidRPr="00B456A2" w:rsidRDefault="00942EA7" w:rsidP="00B456A2">
      <w:pPr>
        <w:pStyle w:val="Heading2"/>
        <w:rPr>
          <w:b w:val="0"/>
          <w:i w:val="0"/>
        </w:rPr>
      </w:pPr>
      <w:r w:rsidRPr="006A1FEA">
        <w:rPr>
          <w:szCs w:val="22"/>
        </w:rPr>
        <w:t>Admisibilidad de</w:t>
      </w:r>
      <w:r w:rsidR="00A12940">
        <w:rPr>
          <w:szCs w:val="22"/>
        </w:rPr>
        <w:t xml:space="preserve"> </w:t>
      </w:r>
      <w:r w:rsidRPr="006A1FEA">
        <w:rPr>
          <w:szCs w:val="22"/>
        </w:rPr>
        <w:t>l</w:t>
      </w:r>
      <w:r w:rsidR="00A12940">
        <w:rPr>
          <w:szCs w:val="22"/>
        </w:rPr>
        <w:t>os</w:t>
      </w:r>
      <w:r w:rsidRPr="006A1FEA">
        <w:rPr>
          <w:szCs w:val="22"/>
        </w:rPr>
        <w:t xml:space="preserve"> peritaje</w:t>
      </w:r>
      <w:r w:rsidR="00A12940">
        <w:rPr>
          <w:szCs w:val="22"/>
        </w:rPr>
        <w:t>s</w:t>
      </w:r>
      <w:r w:rsidRPr="006A1FEA">
        <w:rPr>
          <w:szCs w:val="22"/>
        </w:rPr>
        <w:t xml:space="preserve"> presentado</w:t>
      </w:r>
      <w:r w:rsidR="00A12940">
        <w:rPr>
          <w:szCs w:val="22"/>
        </w:rPr>
        <w:t>s</w:t>
      </w:r>
      <w:r w:rsidRPr="006A1FEA">
        <w:rPr>
          <w:szCs w:val="22"/>
        </w:rPr>
        <w:t xml:space="preserve"> por la Comisión </w:t>
      </w:r>
    </w:p>
    <w:p w14:paraId="2701D295" w14:textId="77777777" w:rsidR="00942EA7" w:rsidRPr="00B456A2" w:rsidRDefault="00942EA7" w:rsidP="00E77B4C">
      <w:pPr>
        <w:pStyle w:val="ListParagraph"/>
        <w:tabs>
          <w:tab w:val="left" w:pos="0"/>
        </w:tabs>
        <w:ind w:left="0"/>
        <w:contextualSpacing w:val="0"/>
        <w:rPr>
          <w:b/>
          <w:szCs w:val="20"/>
        </w:rPr>
      </w:pPr>
    </w:p>
    <w:p w14:paraId="0BF875A6" w14:textId="01ED73C9" w:rsidR="00B52670" w:rsidRPr="00B456A2" w:rsidRDefault="00B52670" w:rsidP="00FA4BD7">
      <w:pPr>
        <w:pStyle w:val="ListParagraph"/>
        <w:numPr>
          <w:ilvl w:val="0"/>
          <w:numId w:val="10"/>
        </w:numPr>
        <w:autoSpaceDE w:val="0"/>
        <w:autoSpaceDN w:val="0"/>
        <w:adjustRightInd w:val="0"/>
        <w:ind w:left="0" w:firstLine="0"/>
        <w:rPr>
          <w:rFonts w:eastAsia="Times New Roman" w:cs="Verdana"/>
          <w:szCs w:val="20"/>
          <w:lang w:val="es-CL"/>
        </w:rPr>
      </w:pPr>
      <w:r w:rsidRPr="00B456A2">
        <w:rPr>
          <w:rFonts w:cs="Arial"/>
          <w:szCs w:val="20"/>
        </w:rPr>
        <w:t xml:space="preserve">En su escrito de sometimiento del Caso, la </w:t>
      </w:r>
      <w:r w:rsidRPr="00B456A2">
        <w:rPr>
          <w:rFonts w:cs="Arial"/>
          <w:b/>
          <w:szCs w:val="20"/>
          <w:lang w:val="es-ES"/>
        </w:rPr>
        <w:t>Comisión</w:t>
      </w:r>
      <w:r w:rsidRPr="00B456A2">
        <w:rPr>
          <w:rFonts w:cs="Arial"/>
          <w:szCs w:val="20"/>
        </w:rPr>
        <w:t xml:space="preserve"> ofreció dos dictámenes periciales, a</w:t>
      </w:r>
      <w:r w:rsidRPr="00B456A2">
        <w:rPr>
          <w:szCs w:val="20"/>
        </w:rPr>
        <w:t xml:space="preserve"> saber: i) </w:t>
      </w:r>
      <w:r w:rsidRPr="00B456A2">
        <w:rPr>
          <w:rFonts w:cs="Times New Roman"/>
          <w:szCs w:val="20"/>
          <w:lang w:eastAsia="es-CR"/>
        </w:rPr>
        <w:t>sobre el fenómeno de la criminalización del ejercicio de la libertad de expresión sobre asuntos de interés público y funcionarios públicos en la región</w:t>
      </w:r>
      <w:r w:rsidR="00BE6403" w:rsidRPr="00B456A2">
        <w:rPr>
          <w:rFonts w:cs="Times New Roman"/>
          <w:szCs w:val="20"/>
          <w:lang w:eastAsia="es-CR"/>
        </w:rPr>
        <w:t xml:space="preserve">. Además, </w:t>
      </w:r>
      <w:r w:rsidR="00A674FD">
        <w:rPr>
          <w:rFonts w:cs="Times New Roman"/>
          <w:szCs w:val="20"/>
          <w:lang w:eastAsia="es-CR"/>
        </w:rPr>
        <w:t>sobre</w:t>
      </w:r>
      <w:r w:rsidRPr="00B456A2">
        <w:rPr>
          <w:rFonts w:cs="Times New Roman"/>
          <w:szCs w:val="20"/>
          <w:lang w:eastAsia="es-CR"/>
        </w:rPr>
        <w:t xml:space="preserve"> los más recientes desarrollos del derecho internacional de los derechos humanos y el derecho comparado para enfrentar esta problemática, y </w:t>
      </w:r>
      <w:r w:rsidRPr="00B456A2">
        <w:rPr>
          <w:szCs w:val="20"/>
          <w:lang w:eastAsia="es-CR"/>
        </w:rPr>
        <w:t xml:space="preserve">ii) </w:t>
      </w:r>
      <w:r w:rsidRPr="00B456A2">
        <w:rPr>
          <w:rFonts w:cs="Times New Roman"/>
          <w:szCs w:val="20"/>
          <w:lang w:eastAsia="es-CR"/>
        </w:rPr>
        <w:t xml:space="preserve">sobre el contexto de deterioro del ejercicio del derecho a la libertad de expresión en Venezuela, particularmente a través </w:t>
      </w:r>
      <w:r w:rsidR="005309E9">
        <w:rPr>
          <w:rFonts w:cs="Times New Roman"/>
          <w:szCs w:val="20"/>
          <w:lang w:eastAsia="es-CR"/>
        </w:rPr>
        <w:t>d</w:t>
      </w:r>
      <w:r w:rsidRPr="00B456A2">
        <w:rPr>
          <w:rFonts w:cs="Times New Roman"/>
          <w:szCs w:val="20"/>
          <w:lang w:eastAsia="es-CR"/>
        </w:rPr>
        <w:t>el uso del poder punitivo estatal para limitar las expresiones criticas de funcionarios estatales durante la época de los hechos, y su impacto en la democracia venezolana.</w:t>
      </w:r>
      <w:r w:rsidRPr="00B456A2">
        <w:rPr>
          <w:rFonts w:cs="Arial"/>
          <w:szCs w:val="20"/>
        </w:rPr>
        <w:t xml:space="preserve"> Ambos peritos podrían referirse al caso concreto. Asimismo, la Comisión indicó que informaría los nombres de los referidos peritos a la brevedad, y que sus </w:t>
      </w:r>
      <w:r w:rsidR="00BC243D" w:rsidRPr="00B456A2">
        <w:rPr>
          <w:rFonts w:cs="Arial"/>
          <w:szCs w:val="20"/>
        </w:rPr>
        <w:t>hojas</w:t>
      </w:r>
      <w:r w:rsidR="005309E9">
        <w:rPr>
          <w:rFonts w:cs="Arial"/>
          <w:szCs w:val="20"/>
        </w:rPr>
        <w:t xml:space="preserve"> de vida serían incluida</w:t>
      </w:r>
      <w:r w:rsidRPr="00B456A2">
        <w:rPr>
          <w:rFonts w:cs="Arial"/>
          <w:szCs w:val="20"/>
        </w:rPr>
        <w:t xml:space="preserve">s en los anexos al Informe de Fondo No. 4/17. </w:t>
      </w:r>
    </w:p>
    <w:p w14:paraId="55C61AC6" w14:textId="77777777" w:rsidR="00B52670" w:rsidRPr="00B456A2" w:rsidRDefault="00B52670" w:rsidP="00FA4BD7">
      <w:pPr>
        <w:pStyle w:val="ListParagraph"/>
        <w:autoSpaceDE w:val="0"/>
        <w:autoSpaceDN w:val="0"/>
        <w:adjustRightInd w:val="0"/>
        <w:ind w:left="0"/>
        <w:rPr>
          <w:rFonts w:eastAsia="Times New Roman" w:cs="Verdana"/>
          <w:szCs w:val="20"/>
          <w:lang w:val="es-CL"/>
        </w:rPr>
      </w:pPr>
    </w:p>
    <w:p w14:paraId="2BFE03FC" w14:textId="0D7FA03E" w:rsidR="00B52670" w:rsidRPr="00B456A2" w:rsidRDefault="00B52670" w:rsidP="00FA4BD7">
      <w:pPr>
        <w:pStyle w:val="ListParagraph"/>
        <w:numPr>
          <w:ilvl w:val="0"/>
          <w:numId w:val="10"/>
        </w:numPr>
        <w:ind w:left="0" w:firstLine="0"/>
        <w:rPr>
          <w:rFonts w:eastAsia="Times New Roman" w:cs="Verdana"/>
          <w:szCs w:val="20"/>
          <w:lang w:val="es-CL"/>
        </w:rPr>
      </w:pPr>
      <w:r w:rsidRPr="00B456A2">
        <w:rPr>
          <w:rFonts w:eastAsia="Times New Roman" w:cs="Verdana"/>
          <w:szCs w:val="20"/>
          <w:lang w:val="es-CL"/>
        </w:rPr>
        <w:t>La Comisión consideró que los peritajes ofrecidos se refieren a temas de orden público interamericano, de acuerdo con lo establecido en el artículo 35</w:t>
      </w:r>
      <w:r w:rsidR="00921308" w:rsidRPr="00B456A2">
        <w:rPr>
          <w:rFonts w:eastAsia="Times New Roman" w:cs="Verdana"/>
          <w:szCs w:val="20"/>
          <w:lang w:val="es-CL"/>
        </w:rPr>
        <w:t>.1</w:t>
      </w:r>
      <w:r w:rsidRPr="00B456A2">
        <w:rPr>
          <w:rFonts w:eastAsia="Times New Roman" w:cs="Verdana"/>
          <w:szCs w:val="20"/>
          <w:lang w:val="es-CL"/>
        </w:rPr>
        <w:t xml:space="preserve"> f) del Reglamento de la Corte, argumentando que </w:t>
      </w:r>
      <w:r w:rsidRPr="00B456A2">
        <w:rPr>
          <w:rFonts w:eastAsia="Times New Roman" w:cs="Verdana"/>
          <w:szCs w:val="20"/>
        </w:rPr>
        <w:t>se trata del primer caso relacionado con la temática de responsabilidades ulteriores en asuntos de interés público en Venezuela.</w:t>
      </w:r>
      <w:r w:rsidR="004A2B97" w:rsidRPr="00B456A2">
        <w:rPr>
          <w:rFonts w:eastAsia="Times New Roman" w:cs="Verdana"/>
          <w:szCs w:val="20"/>
        </w:rPr>
        <w:t xml:space="preserve"> Según la Comisión, la apertura de procesos penales por la supuesta comisión de delitos de desacato y difamación en perjuicio de funcionarios públicos y </w:t>
      </w:r>
      <w:r w:rsidRPr="00B456A2">
        <w:rPr>
          <w:rFonts w:eastAsia="Times New Roman" w:cs="Verdana"/>
          <w:szCs w:val="20"/>
        </w:rPr>
        <w:t>sobre asuntos de interés público</w:t>
      </w:r>
      <w:r w:rsidR="00A674FD">
        <w:rPr>
          <w:rFonts w:eastAsia="Times New Roman" w:cs="Verdana"/>
          <w:szCs w:val="20"/>
        </w:rPr>
        <w:t>,</w:t>
      </w:r>
      <w:r w:rsidRPr="00B456A2">
        <w:rPr>
          <w:rFonts w:eastAsia="Times New Roman" w:cs="Verdana"/>
          <w:szCs w:val="20"/>
        </w:rPr>
        <w:t xml:space="preserve"> ha sido una tendencia preocupante en el país. En muchos de estos casos, los</w:t>
      </w:r>
      <w:r w:rsidR="004A2B97" w:rsidRPr="00B456A2">
        <w:rPr>
          <w:rFonts w:eastAsia="Times New Roman" w:cs="Verdana"/>
          <w:szCs w:val="20"/>
        </w:rPr>
        <w:t xml:space="preserve"> </w:t>
      </w:r>
      <w:r w:rsidRPr="00B456A2">
        <w:rPr>
          <w:rFonts w:eastAsia="Times New Roman" w:cs="Verdana"/>
          <w:szCs w:val="20"/>
        </w:rPr>
        <w:t>procesos permanecen abiertos en los tribunales durante años, lo cual produce un efecto de intimidación y</w:t>
      </w:r>
      <w:r w:rsidR="004A2B97" w:rsidRPr="00B456A2">
        <w:rPr>
          <w:rFonts w:eastAsia="Times New Roman" w:cs="Verdana"/>
          <w:szCs w:val="20"/>
        </w:rPr>
        <w:t xml:space="preserve"> </w:t>
      </w:r>
      <w:r w:rsidRPr="00B456A2">
        <w:rPr>
          <w:rFonts w:eastAsia="Times New Roman" w:cs="Verdana"/>
          <w:szCs w:val="20"/>
        </w:rPr>
        <w:t>autocensura que afecta de manera desproporcionada el derecho a la libertad de expresión.</w:t>
      </w:r>
      <w:r w:rsidR="004A2B97" w:rsidRPr="00B456A2">
        <w:rPr>
          <w:rFonts w:eastAsia="Times New Roman" w:cs="Verdana"/>
          <w:szCs w:val="20"/>
        </w:rPr>
        <w:t xml:space="preserve"> En ese sentido, la Comisión indicó que l</w:t>
      </w:r>
      <w:r w:rsidRPr="00B456A2">
        <w:rPr>
          <w:rFonts w:eastAsia="Times New Roman" w:cs="Verdana"/>
          <w:szCs w:val="20"/>
        </w:rPr>
        <w:t>a legislación penal de Venezuela contempla</w:t>
      </w:r>
      <w:r w:rsidR="004A2B97" w:rsidRPr="00B456A2">
        <w:rPr>
          <w:rFonts w:eastAsia="Times New Roman" w:cs="Verdana"/>
          <w:szCs w:val="20"/>
        </w:rPr>
        <w:t xml:space="preserve"> </w:t>
      </w:r>
      <w:r w:rsidRPr="00B456A2">
        <w:rPr>
          <w:rFonts w:eastAsia="Times New Roman" w:cs="Verdana"/>
          <w:szCs w:val="20"/>
        </w:rPr>
        <w:t>disposiciones que resultan incompatibles con el artículo 13 de la Convención Americana y ha enfatizado la</w:t>
      </w:r>
      <w:r w:rsidR="004A2B97" w:rsidRPr="00B456A2">
        <w:rPr>
          <w:rFonts w:eastAsia="Times New Roman" w:cs="Verdana"/>
          <w:szCs w:val="20"/>
        </w:rPr>
        <w:t xml:space="preserve"> </w:t>
      </w:r>
      <w:r w:rsidRPr="00B456A2">
        <w:rPr>
          <w:rFonts w:eastAsia="Times New Roman" w:cs="Verdana"/>
          <w:szCs w:val="20"/>
        </w:rPr>
        <w:t>necesidad de revisar el marco jurídico que regula los delitos contra el honor y desacato, aún vigentes en el</w:t>
      </w:r>
      <w:r w:rsidR="004A2B97" w:rsidRPr="00B456A2">
        <w:rPr>
          <w:rFonts w:eastAsia="Times New Roman" w:cs="Verdana"/>
          <w:szCs w:val="20"/>
        </w:rPr>
        <w:t xml:space="preserve"> </w:t>
      </w:r>
      <w:r w:rsidRPr="00B456A2">
        <w:rPr>
          <w:rFonts w:eastAsia="Times New Roman" w:cs="Verdana"/>
          <w:szCs w:val="20"/>
        </w:rPr>
        <w:t xml:space="preserve">país. </w:t>
      </w:r>
    </w:p>
    <w:p w14:paraId="4AEB9D28" w14:textId="77777777" w:rsidR="00B52670" w:rsidRPr="00B456A2" w:rsidRDefault="00B52670" w:rsidP="00B52670">
      <w:pPr>
        <w:autoSpaceDE w:val="0"/>
        <w:autoSpaceDN w:val="0"/>
        <w:adjustRightInd w:val="0"/>
        <w:rPr>
          <w:rFonts w:cs="Times New Roman"/>
          <w:szCs w:val="20"/>
          <w:lang w:eastAsia="es-CR"/>
        </w:rPr>
      </w:pPr>
    </w:p>
    <w:p w14:paraId="4BF8F3BA" w14:textId="6C3BA200" w:rsidR="004A2B97" w:rsidRPr="00B456A2" w:rsidRDefault="00A674FD" w:rsidP="00FA4BD7">
      <w:pPr>
        <w:pStyle w:val="ListParagraph"/>
        <w:numPr>
          <w:ilvl w:val="0"/>
          <w:numId w:val="10"/>
        </w:numPr>
        <w:tabs>
          <w:tab w:val="left" w:pos="0"/>
        </w:tabs>
        <w:ind w:left="0" w:firstLine="0"/>
        <w:rPr>
          <w:szCs w:val="20"/>
        </w:rPr>
      </w:pPr>
      <w:r>
        <w:rPr>
          <w:szCs w:val="20"/>
        </w:rPr>
        <w:lastRenderedPageBreak/>
        <w:t>El</w:t>
      </w:r>
      <w:r w:rsidR="004A2B97" w:rsidRPr="00B456A2">
        <w:rPr>
          <w:szCs w:val="20"/>
        </w:rPr>
        <w:t xml:space="preserve"> 21 de julio de 2017 la Secretaría de la Corte señaló a la Comisión, entre otr</w:t>
      </w:r>
      <w:r w:rsidR="0038485A" w:rsidRPr="00B456A2">
        <w:rPr>
          <w:szCs w:val="20"/>
        </w:rPr>
        <w:t>as cosas</w:t>
      </w:r>
      <w:r w:rsidR="004A2B97" w:rsidRPr="00B456A2">
        <w:rPr>
          <w:szCs w:val="20"/>
        </w:rPr>
        <w:t>, que los peritos ofrecidos no habían sido identificados y que quedaría “a la espera de la información sobre la identidad de los peritos propuestos y de sus currículos en el plazo establecido en el artículo 28, numerales 1 y 2, del Reglamento de la Corte, el cual vence el 26 de julio de 2017.”</w:t>
      </w:r>
    </w:p>
    <w:p w14:paraId="28AB0B80" w14:textId="77777777" w:rsidR="004A2B97" w:rsidRPr="00B456A2" w:rsidRDefault="004A2B97" w:rsidP="00FA4BD7">
      <w:pPr>
        <w:pStyle w:val="ListParagraph"/>
        <w:jc w:val="left"/>
        <w:rPr>
          <w:szCs w:val="20"/>
        </w:rPr>
      </w:pPr>
    </w:p>
    <w:p w14:paraId="44E4FAAD" w14:textId="0C91D297" w:rsidR="004A2B97" w:rsidRPr="00B456A2" w:rsidRDefault="004A2B97" w:rsidP="00FA4BD7">
      <w:pPr>
        <w:pStyle w:val="ListParagraph"/>
        <w:numPr>
          <w:ilvl w:val="0"/>
          <w:numId w:val="10"/>
        </w:numPr>
        <w:tabs>
          <w:tab w:val="left" w:pos="0"/>
        </w:tabs>
        <w:ind w:left="0" w:firstLine="0"/>
        <w:rPr>
          <w:szCs w:val="20"/>
        </w:rPr>
      </w:pPr>
      <w:r w:rsidRPr="00B456A2">
        <w:rPr>
          <w:szCs w:val="20"/>
        </w:rPr>
        <w:t>El 25 de julio de 2017 la Comisión identificó los peritos ofrecidos como Frank La Rue y Andrés Cañizalez, respectivamente</w:t>
      </w:r>
      <w:r w:rsidR="002C4784" w:rsidRPr="00B456A2">
        <w:rPr>
          <w:szCs w:val="20"/>
        </w:rPr>
        <w:t>;</w:t>
      </w:r>
      <w:r w:rsidRPr="00B456A2">
        <w:rPr>
          <w:szCs w:val="20"/>
        </w:rPr>
        <w:t xml:space="preserve"> </w:t>
      </w:r>
      <w:r w:rsidR="002C4784" w:rsidRPr="00B456A2">
        <w:rPr>
          <w:szCs w:val="20"/>
        </w:rPr>
        <w:t xml:space="preserve">no obstante, </w:t>
      </w:r>
      <w:r w:rsidRPr="00B456A2">
        <w:rPr>
          <w:szCs w:val="20"/>
        </w:rPr>
        <w:t xml:space="preserve">omitió remitir sus </w:t>
      </w:r>
      <w:r w:rsidR="00BC243D" w:rsidRPr="00B456A2">
        <w:rPr>
          <w:szCs w:val="20"/>
        </w:rPr>
        <w:t>hojas de vida</w:t>
      </w:r>
      <w:r w:rsidRPr="00B456A2">
        <w:rPr>
          <w:szCs w:val="20"/>
        </w:rPr>
        <w:t xml:space="preserve">. </w:t>
      </w:r>
    </w:p>
    <w:p w14:paraId="1F719C23" w14:textId="77777777" w:rsidR="004A2B97" w:rsidRPr="00B456A2" w:rsidRDefault="004A2B97" w:rsidP="00FA4BD7">
      <w:pPr>
        <w:pStyle w:val="ListParagraph"/>
        <w:jc w:val="left"/>
        <w:rPr>
          <w:szCs w:val="20"/>
        </w:rPr>
      </w:pPr>
    </w:p>
    <w:p w14:paraId="647FA3A9" w14:textId="2C51F853" w:rsidR="004A2B97" w:rsidRPr="00B456A2" w:rsidRDefault="004A2B97" w:rsidP="00FA4BD7">
      <w:pPr>
        <w:pStyle w:val="ListParagraph"/>
        <w:numPr>
          <w:ilvl w:val="0"/>
          <w:numId w:val="10"/>
        </w:numPr>
        <w:tabs>
          <w:tab w:val="left" w:pos="0"/>
        </w:tabs>
        <w:ind w:left="0" w:firstLine="0"/>
        <w:rPr>
          <w:szCs w:val="20"/>
        </w:rPr>
      </w:pPr>
      <w:r w:rsidRPr="00B456A2">
        <w:rPr>
          <w:szCs w:val="20"/>
        </w:rPr>
        <w:t xml:space="preserve">El 7 de agosto de 2017 la Comisión </w:t>
      </w:r>
      <w:r w:rsidR="00A115CF" w:rsidRPr="00B456A2">
        <w:rPr>
          <w:szCs w:val="20"/>
        </w:rPr>
        <w:t>finalmente trasladó</w:t>
      </w:r>
      <w:r w:rsidR="005D5BE7" w:rsidRPr="00B456A2">
        <w:rPr>
          <w:szCs w:val="20"/>
        </w:rPr>
        <w:t xml:space="preserve"> </w:t>
      </w:r>
      <w:r w:rsidRPr="00B456A2">
        <w:rPr>
          <w:szCs w:val="20"/>
        </w:rPr>
        <w:t>las hojas de vida de ambos</w:t>
      </w:r>
      <w:r w:rsidR="005D5BE7" w:rsidRPr="00B456A2">
        <w:rPr>
          <w:szCs w:val="20"/>
        </w:rPr>
        <w:t xml:space="preserve"> </w:t>
      </w:r>
      <w:r w:rsidRPr="00B456A2">
        <w:rPr>
          <w:szCs w:val="20"/>
        </w:rPr>
        <w:t xml:space="preserve">peritos, y </w:t>
      </w:r>
      <w:r w:rsidR="005D5BE7" w:rsidRPr="00B456A2">
        <w:rPr>
          <w:szCs w:val="20"/>
        </w:rPr>
        <w:t>señaló “</w:t>
      </w:r>
      <w:r w:rsidRPr="00B456A2">
        <w:rPr>
          <w:szCs w:val="20"/>
        </w:rPr>
        <w:t>que por un error material involuntario en</w:t>
      </w:r>
      <w:r w:rsidR="005D5BE7" w:rsidRPr="00B456A2">
        <w:rPr>
          <w:szCs w:val="20"/>
        </w:rPr>
        <w:t xml:space="preserve"> </w:t>
      </w:r>
      <w:r w:rsidRPr="00B456A2">
        <w:rPr>
          <w:szCs w:val="20"/>
        </w:rPr>
        <w:t xml:space="preserve">la transmisión de la comunicación de 25 de julio </w:t>
      </w:r>
      <w:r w:rsidR="005D5BE7" w:rsidRPr="00B456A2">
        <w:rPr>
          <w:szCs w:val="20"/>
        </w:rPr>
        <w:t>[…]</w:t>
      </w:r>
      <w:r w:rsidRPr="00B456A2">
        <w:rPr>
          <w:szCs w:val="20"/>
        </w:rPr>
        <w:t>, no estuvieron adjuntadas.</w:t>
      </w:r>
      <w:r w:rsidR="005D5BE7" w:rsidRPr="00B456A2">
        <w:rPr>
          <w:szCs w:val="20"/>
        </w:rPr>
        <w:t xml:space="preserve">” </w:t>
      </w:r>
    </w:p>
    <w:p w14:paraId="0FB66609" w14:textId="77777777" w:rsidR="004A2B97" w:rsidRPr="00B456A2" w:rsidRDefault="004A2B97" w:rsidP="00FA4BD7">
      <w:pPr>
        <w:pStyle w:val="ListParagraph"/>
        <w:jc w:val="left"/>
      </w:pPr>
    </w:p>
    <w:p w14:paraId="6375205D" w14:textId="68D925C0" w:rsidR="005D5BE7" w:rsidRPr="00B456A2" w:rsidRDefault="005D5BE7" w:rsidP="00FA4BD7">
      <w:pPr>
        <w:pStyle w:val="ListParagraph"/>
        <w:numPr>
          <w:ilvl w:val="0"/>
          <w:numId w:val="10"/>
        </w:numPr>
        <w:tabs>
          <w:tab w:val="left" w:pos="0"/>
        </w:tabs>
        <w:ind w:left="0" w:firstLine="0"/>
      </w:pPr>
      <w:r w:rsidRPr="00B456A2">
        <w:rPr>
          <w:szCs w:val="20"/>
        </w:rPr>
        <w:t xml:space="preserve">En su lista definitiva de declarantes, remitida el 14 de mayo de 2018, la Comisión reiteró la declaración pericial de </w:t>
      </w:r>
      <w:r w:rsidRPr="00B456A2">
        <w:rPr>
          <w:bCs/>
          <w:szCs w:val="20"/>
        </w:rPr>
        <w:t>Andrés Cañizalez</w:t>
      </w:r>
      <w:r w:rsidRPr="00B456A2">
        <w:rPr>
          <w:szCs w:val="20"/>
        </w:rPr>
        <w:t xml:space="preserve">, sobre </w:t>
      </w:r>
      <w:r w:rsidR="005309E9">
        <w:rPr>
          <w:szCs w:val="20"/>
        </w:rPr>
        <w:t>el contexto de deterioro de la l</w:t>
      </w:r>
      <w:r w:rsidRPr="00B456A2">
        <w:rPr>
          <w:szCs w:val="20"/>
        </w:rPr>
        <w:t>ibertad de expresión en Venezuela, particularmente a través del uso del poder punitivo estatal para limitar expresiones críticas de funcionarios estatales durante la época de los hechos, y su impacto en la democracia venezolana. Asimismo, informó que</w:t>
      </w:r>
      <w:r w:rsidR="00A674FD">
        <w:rPr>
          <w:szCs w:val="20"/>
        </w:rPr>
        <w:t>,</w:t>
      </w:r>
      <w:r w:rsidRPr="00B456A2">
        <w:rPr>
          <w:szCs w:val="20"/>
        </w:rPr>
        <w:t xml:space="preserve"> “</w:t>
      </w:r>
      <w:r w:rsidRPr="00B456A2">
        <w:t>en cuanto al otro peritaje ofrecido, la Comisión ha tomado conocimiento de que el señor Frank La Rue fue separado de su cargo en la UNESCO y que se encuentra pendiente de decisión un procedimiento administrativo. En ese sentido, sin formular opinión sobre dicha situación y atendiendo a la situación procesal del caso, en e</w:t>
      </w:r>
      <w:r w:rsidR="00A674FD">
        <w:t>sta oportunidad la CIDH solicit[ó]</w:t>
      </w:r>
      <w:r w:rsidRPr="00B456A2">
        <w:t xml:space="preserve"> a la Corte la sustitución del peritaje, de conformidad con el artículo 49 del Reglamento de la Corte. La CIDH propone que el mismo objeto sea cubierto por Agnès Callamard. Dicho peritaje abordaría el fenómeno de la criminalización del ejercicio de la libertad de expresión sobre asuntos de interés público y funcionarios públicos en la región y abordará los más recientes desarrollos del derecho internacional de los derechos humanos y el derecho comparado para enfrentar esta problemática y podría referirse al caso concreto</w:t>
      </w:r>
      <w:r w:rsidR="00BC243D" w:rsidRPr="00B456A2">
        <w:t>”</w:t>
      </w:r>
      <w:r w:rsidRPr="00B456A2">
        <w:t xml:space="preserve">. La Comisión presentó en esa oportunidad la hoja de vida de </w:t>
      </w:r>
      <w:r w:rsidR="00E4391E">
        <w:t>la perita</w:t>
      </w:r>
      <w:r w:rsidRPr="00B456A2">
        <w:t xml:space="preserve"> Callamard. </w:t>
      </w:r>
      <w:r w:rsidR="00BA4F46" w:rsidRPr="00B456A2">
        <w:t xml:space="preserve">Además, </w:t>
      </w:r>
      <w:r w:rsidR="00BA4F46" w:rsidRPr="00B456A2">
        <w:rPr>
          <w:szCs w:val="20"/>
        </w:rPr>
        <w:t>la Comisión manifestó que la presentación de las hojas de vida de los peritos en el presente caso “pocos días después del vencimiento del plazo máximo reglamentario”, no implicó ningún perjuicio concreto para el Estado venezolano o su derecho de defensa, tomando en cuenta que la demora de pocos días tuvo lugar antes de la notificación formal del caso.</w:t>
      </w:r>
    </w:p>
    <w:p w14:paraId="1F67795D" w14:textId="77777777" w:rsidR="005D5BE7" w:rsidRPr="00B456A2" w:rsidRDefault="005D5BE7" w:rsidP="00FA4BD7">
      <w:pPr>
        <w:pStyle w:val="ListParagraph"/>
        <w:tabs>
          <w:tab w:val="left" w:pos="0"/>
        </w:tabs>
        <w:ind w:left="0"/>
      </w:pPr>
    </w:p>
    <w:p w14:paraId="5FA795A3" w14:textId="2F223400" w:rsidR="00BA4F46" w:rsidRPr="00B456A2" w:rsidRDefault="00F967CF" w:rsidP="00FA4BD7">
      <w:pPr>
        <w:pStyle w:val="ListParagraph"/>
        <w:numPr>
          <w:ilvl w:val="0"/>
          <w:numId w:val="10"/>
        </w:numPr>
        <w:tabs>
          <w:tab w:val="left" w:pos="0"/>
        </w:tabs>
        <w:ind w:left="0" w:firstLine="0"/>
        <w:rPr>
          <w:szCs w:val="20"/>
        </w:rPr>
      </w:pPr>
      <w:r w:rsidRPr="00B456A2">
        <w:t xml:space="preserve">El </w:t>
      </w:r>
      <w:r w:rsidRPr="00B456A2">
        <w:rPr>
          <w:b/>
          <w:lang w:val="es-ES"/>
        </w:rPr>
        <w:t>Estado</w:t>
      </w:r>
      <w:r w:rsidRPr="00B456A2">
        <w:t xml:space="preserve"> </w:t>
      </w:r>
      <w:r w:rsidR="00B52670" w:rsidRPr="00B456A2">
        <w:t>presentó objeciones sobre la fecha de remisión de los peritajes</w:t>
      </w:r>
      <w:r w:rsidR="00B45940" w:rsidRPr="00B456A2">
        <w:t xml:space="preserve"> en su escrito de contestación</w:t>
      </w:r>
      <w:r w:rsidR="00B52670" w:rsidRPr="00B456A2">
        <w:t xml:space="preserve">, alegando </w:t>
      </w:r>
      <w:r w:rsidR="00B45940" w:rsidRPr="00B456A2">
        <w:t>la inadmisibilidad de los mismos atendiendo a la extemporaneidad con la que fueron trasladados</w:t>
      </w:r>
      <w:r w:rsidR="00B52670" w:rsidRPr="00B456A2">
        <w:t xml:space="preserve"> los nombres y currículos de los peritos. </w:t>
      </w:r>
      <w:r w:rsidR="009E4424" w:rsidRPr="00B456A2">
        <w:t xml:space="preserve">Venezuela </w:t>
      </w:r>
      <w:r w:rsidR="00B52670" w:rsidRPr="00B456A2">
        <w:t xml:space="preserve">reiteró su objeción </w:t>
      </w:r>
      <w:r w:rsidR="00BC243D" w:rsidRPr="00B456A2">
        <w:t xml:space="preserve">al </w:t>
      </w:r>
      <w:r w:rsidR="00B52670" w:rsidRPr="00B456A2">
        <w:t xml:space="preserve">remitir </w:t>
      </w:r>
      <w:r w:rsidR="00BC243D" w:rsidRPr="00B456A2">
        <w:t xml:space="preserve">sus </w:t>
      </w:r>
      <w:r w:rsidR="00B52670" w:rsidRPr="00B456A2">
        <w:t xml:space="preserve">observaciones </w:t>
      </w:r>
      <w:r w:rsidR="00A674FD">
        <w:t xml:space="preserve">a </w:t>
      </w:r>
      <w:r w:rsidR="009E4424" w:rsidRPr="00B456A2">
        <w:t>las listas definitivas de declarantes</w:t>
      </w:r>
      <w:r w:rsidR="00B52670" w:rsidRPr="00B456A2">
        <w:t>.</w:t>
      </w:r>
      <w:r w:rsidR="009E4424" w:rsidRPr="00B456A2">
        <w:t xml:space="preserve"> En esa oportunidad, señaló que </w:t>
      </w:r>
      <w:r w:rsidR="00942EA7" w:rsidRPr="00B456A2">
        <w:rPr>
          <w:szCs w:val="20"/>
        </w:rPr>
        <w:t xml:space="preserve">la </w:t>
      </w:r>
      <w:r w:rsidR="009E4424" w:rsidRPr="00B456A2">
        <w:rPr>
          <w:szCs w:val="20"/>
        </w:rPr>
        <w:t xml:space="preserve">Comisión </w:t>
      </w:r>
      <w:r w:rsidR="00942EA7" w:rsidRPr="00B456A2">
        <w:rPr>
          <w:szCs w:val="20"/>
        </w:rPr>
        <w:t>incumplió el plazo reglamentario para completar los requisitos exigidos para ofrecer peritajes, de conformidad con lo establecido en los artículos 28 y 35</w:t>
      </w:r>
      <w:r w:rsidR="00A12940">
        <w:rPr>
          <w:szCs w:val="20"/>
        </w:rPr>
        <w:t>.</w:t>
      </w:r>
      <w:r w:rsidR="00942EA7" w:rsidRPr="00B456A2">
        <w:rPr>
          <w:szCs w:val="20"/>
        </w:rPr>
        <w:t>1.f del Reglamento de la Corte Interamericana que establece el plazo de 21 días para la presentación completa de los requisitos</w:t>
      </w:r>
      <w:r w:rsidR="009E4424" w:rsidRPr="00B456A2">
        <w:rPr>
          <w:szCs w:val="20"/>
        </w:rPr>
        <w:t xml:space="preserve">. </w:t>
      </w:r>
      <w:r w:rsidR="00A674FD">
        <w:rPr>
          <w:szCs w:val="20"/>
        </w:rPr>
        <w:t>L</w:t>
      </w:r>
      <w:r w:rsidR="009E4424" w:rsidRPr="00B456A2">
        <w:rPr>
          <w:szCs w:val="20"/>
        </w:rPr>
        <w:t xml:space="preserve">a Comisión presentó los referidos antecedentes </w:t>
      </w:r>
      <w:r w:rsidR="00942EA7" w:rsidRPr="00B456A2">
        <w:rPr>
          <w:szCs w:val="20"/>
        </w:rPr>
        <w:t>33 días después.</w:t>
      </w:r>
    </w:p>
    <w:p w14:paraId="3B24788A" w14:textId="77777777" w:rsidR="00BA4F46" w:rsidRPr="00B456A2" w:rsidRDefault="00BA4F46" w:rsidP="00FA4BD7">
      <w:pPr>
        <w:pStyle w:val="ListParagraph"/>
        <w:tabs>
          <w:tab w:val="left" w:pos="0"/>
        </w:tabs>
        <w:ind w:left="0"/>
        <w:rPr>
          <w:szCs w:val="20"/>
        </w:rPr>
      </w:pPr>
    </w:p>
    <w:p w14:paraId="0131164F" w14:textId="2F48EB6F" w:rsidR="00BA4F46" w:rsidRPr="00B456A2" w:rsidRDefault="00BA4F46" w:rsidP="00FA4BD7">
      <w:pPr>
        <w:pStyle w:val="ListParagraph"/>
        <w:numPr>
          <w:ilvl w:val="0"/>
          <w:numId w:val="10"/>
        </w:numPr>
        <w:tabs>
          <w:tab w:val="left" w:pos="0"/>
        </w:tabs>
        <w:autoSpaceDE w:val="0"/>
        <w:autoSpaceDN w:val="0"/>
        <w:adjustRightInd w:val="0"/>
        <w:ind w:left="0" w:firstLine="0"/>
        <w:rPr>
          <w:szCs w:val="20"/>
        </w:rPr>
      </w:pPr>
      <w:r w:rsidRPr="00B456A2">
        <w:rPr>
          <w:szCs w:val="20"/>
        </w:rPr>
        <w:t>Además del aspecto procesal, el Estado observó que el perito Andrés Cañizalez fue recusado por Venezuela en el caso Perozo y otros. Dicha recusación fue declarada con lugar por la Corte mediante Resolución de 2 de mayo de 2008. Por otro lado, sobre la sustitución del perito Frank de la Rue por la perita Agnés Callamard, el Estado consideró</w:t>
      </w:r>
      <w:r w:rsidR="00BC243D" w:rsidRPr="00B456A2">
        <w:rPr>
          <w:szCs w:val="20"/>
        </w:rPr>
        <w:t xml:space="preserve"> que</w:t>
      </w:r>
      <w:r w:rsidRPr="00B456A2">
        <w:rPr>
          <w:szCs w:val="20"/>
        </w:rPr>
        <w:t xml:space="preserve"> debe ser declarada improcedente por la Corte en aplicación del artículo 49 de su Reglamento.</w:t>
      </w:r>
    </w:p>
    <w:p w14:paraId="3D27028F" w14:textId="77777777" w:rsidR="005E06D9" w:rsidRPr="00B456A2" w:rsidRDefault="005E06D9" w:rsidP="00B456A2">
      <w:pPr>
        <w:pStyle w:val="ListParagraph"/>
        <w:rPr>
          <w:szCs w:val="20"/>
        </w:rPr>
      </w:pPr>
    </w:p>
    <w:p w14:paraId="59C9FCD6" w14:textId="77777777" w:rsidR="00A12940" w:rsidRDefault="005E06D9" w:rsidP="00A12940">
      <w:pPr>
        <w:pStyle w:val="ListParagraph"/>
        <w:numPr>
          <w:ilvl w:val="0"/>
          <w:numId w:val="10"/>
        </w:numPr>
        <w:tabs>
          <w:tab w:val="left" w:pos="0"/>
        </w:tabs>
        <w:autoSpaceDE w:val="0"/>
        <w:autoSpaceDN w:val="0"/>
        <w:adjustRightInd w:val="0"/>
        <w:ind w:left="0" w:firstLine="0"/>
        <w:rPr>
          <w:szCs w:val="20"/>
        </w:rPr>
      </w:pPr>
      <w:r w:rsidRPr="00B456A2">
        <w:rPr>
          <w:szCs w:val="20"/>
        </w:rPr>
        <w:t xml:space="preserve">Los </w:t>
      </w:r>
      <w:r w:rsidRPr="00B456A2">
        <w:rPr>
          <w:b/>
          <w:szCs w:val="20"/>
          <w:lang w:val="es-ES"/>
        </w:rPr>
        <w:t>representantes</w:t>
      </w:r>
      <w:r w:rsidRPr="00B456A2">
        <w:rPr>
          <w:szCs w:val="20"/>
        </w:rPr>
        <w:t xml:space="preserve"> no remitieron observaciones. </w:t>
      </w:r>
    </w:p>
    <w:p w14:paraId="478C3CB8" w14:textId="77777777" w:rsidR="00A12940" w:rsidRPr="00A12940" w:rsidRDefault="00A12940" w:rsidP="00A12940">
      <w:pPr>
        <w:pStyle w:val="ListParagraph"/>
        <w:rPr>
          <w:szCs w:val="20"/>
        </w:rPr>
      </w:pPr>
    </w:p>
    <w:p w14:paraId="37E36DBB" w14:textId="34F574BD" w:rsidR="001A36BC" w:rsidRPr="00A12940" w:rsidRDefault="008E2091" w:rsidP="00A12940">
      <w:pPr>
        <w:pStyle w:val="ListParagraph"/>
        <w:numPr>
          <w:ilvl w:val="0"/>
          <w:numId w:val="10"/>
        </w:numPr>
        <w:tabs>
          <w:tab w:val="left" w:pos="0"/>
        </w:tabs>
        <w:autoSpaceDE w:val="0"/>
        <w:autoSpaceDN w:val="0"/>
        <w:adjustRightInd w:val="0"/>
        <w:ind w:left="0" w:firstLine="0"/>
        <w:rPr>
          <w:szCs w:val="20"/>
        </w:rPr>
      </w:pPr>
      <w:r w:rsidRPr="00A12940">
        <w:rPr>
          <w:szCs w:val="20"/>
        </w:rPr>
        <w:t>El Reglamento de la Corte Interamericana dispone</w:t>
      </w:r>
      <w:r w:rsidR="00A674FD" w:rsidRPr="00A12940">
        <w:rPr>
          <w:szCs w:val="20"/>
        </w:rPr>
        <w:t>,</w:t>
      </w:r>
      <w:r w:rsidRPr="00A12940">
        <w:rPr>
          <w:szCs w:val="20"/>
        </w:rPr>
        <w:t xml:space="preserve"> entre los requisitos del sometimiento de un caso ante el Tribunal que</w:t>
      </w:r>
      <w:r w:rsidR="0047668A" w:rsidRPr="00A12940">
        <w:rPr>
          <w:szCs w:val="20"/>
        </w:rPr>
        <w:t xml:space="preserve">, </w:t>
      </w:r>
      <w:r w:rsidRPr="00B456A2">
        <w:t>cuando se afecte de manera relevante el orden público interamericano de los derechos humanos, la eventual designación de peritos</w:t>
      </w:r>
      <w:r w:rsidR="0047668A" w:rsidRPr="00B456A2">
        <w:t xml:space="preserve"> debe incluir </w:t>
      </w:r>
      <w:r w:rsidRPr="00B456A2">
        <w:t>el objeto de sus declaraciones y su hoja de vida</w:t>
      </w:r>
      <w:r w:rsidR="0047668A" w:rsidRPr="00B456A2">
        <w:t xml:space="preserve">. Se trata de un requisito establecido en el Reglamento desde la reforma aprobada en el año 2009. Sobre el plazo para la remisión de esos documentos, la Corte ha tenido una interpretación relativamente flexible, que acepta la identificación de los peritos ofrecidos por la Comisión y la remisión de las hojas de vida dentro del plazo de 21 días para la presentación de anexos, establecido en el artículo 28.2 del Reglamento. En ese sentido, se constata que la Comisión sometió el caso a la Corte el día 5 de julio de 2017. Pocos días después, la Secretaría </w:t>
      </w:r>
      <w:r w:rsidR="00E4391E">
        <w:t>advirtió</w:t>
      </w:r>
      <w:r w:rsidR="0047668A" w:rsidRPr="00B456A2">
        <w:t xml:space="preserve"> a la Comisión sobre la ausencia de identificación de los peritos ofrecidos y sus hojas de vida, </w:t>
      </w:r>
      <w:r w:rsidR="00A674FD">
        <w:t>indicando</w:t>
      </w:r>
      <w:r w:rsidR="0047668A" w:rsidRPr="00B456A2">
        <w:t xml:space="preserve"> que el plazo de 21 días para la presentación de dichos antecedentes ante la Corte vencería el 26 de julio de 2017. </w:t>
      </w:r>
      <w:r w:rsidR="00AA695B" w:rsidRPr="00B456A2">
        <w:t xml:space="preserve">En </w:t>
      </w:r>
      <w:r w:rsidR="0047668A" w:rsidRPr="00B456A2">
        <w:t>efecto, la Comisión identificó a los peritos dentro del plazo reglamentario, el día 25 de julio de 2017</w:t>
      </w:r>
      <w:r w:rsidR="00AA695B" w:rsidRPr="00B456A2">
        <w:t>.</w:t>
      </w:r>
      <w:r w:rsidR="0047668A" w:rsidRPr="00B456A2">
        <w:t xml:space="preserve"> </w:t>
      </w:r>
      <w:r w:rsidR="00AA695B" w:rsidRPr="00B456A2">
        <w:t xml:space="preserve">No obstante, </w:t>
      </w:r>
      <w:r w:rsidR="00944240" w:rsidRPr="00B456A2">
        <w:t>la Comisión omitió la presentación de</w:t>
      </w:r>
      <w:r w:rsidR="0047668A" w:rsidRPr="00B456A2">
        <w:t xml:space="preserve"> sus hojas de vida hasta el 7 de agosto de 2017, es decir</w:t>
      </w:r>
      <w:r w:rsidR="00A674FD">
        <w:t>,</w:t>
      </w:r>
      <w:r w:rsidR="0047668A" w:rsidRPr="00B456A2">
        <w:t xml:space="preserve"> </w:t>
      </w:r>
      <w:r w:rsidR="00BC243D" w:rsidRPr="00B456A2">
        <w:t xml:space="preserve">más de un mes </w:t>
      </w:r>
      <w:r w:rsidR="0047668A" w:rsidRPr="00B456A2">
        <w:t xml:space="preserve">después del sometimiento del caso y </w:t>
      </w:r>
      <w:r w:rsidR="00E66E7E" w:rsidRPr="00B456A2">
        <w:t>12 días después del plazo establecido en el Reglamento.</w:t>
      </w:r>
      <w:r w:rsidR="0047668A" w:rsidRPr="00B456A2">
        <w:t xml:space="preserve"> </w:t>
      </w:r>
    </w:p>
    <w:p w14:paraId="2AF57D6B" w14:textId="77777777" w:rsidR="00E66E7E" w:rsidRPr="00B456A2" w:rsidRDefault="00E66E7E" w:rsidP="00FA4BD7">
      <w:pPr>
        <w:pStyle w:val="ListParagraph"/>
        <w:tabs>
          <w:tab w:val="left" w:pos="0"/>
        </w:tabs>
        <w:ind w:left="0"/>
        <w:rPr>
          <w:szCs w:val="20"/>
        </w:rPr>
      </w:pPr>
    </w:p>
    <w:p w14:paraId="26D94D96" w14:textId="6AC4F4CC" w:rsidR="00E66E7E" w:rsidRPr="00B456A2" w:rsidRDefault="00E66E7E" w:rsidP="00A12940">
      <w:pPr>
        <w:pStyle w:val="ListParagraph"/>
        <w:numPr>
          <w:ilvl w:val="0"/>
          <w:numId w:val="10"/>
        </w:numPr>
        <w:tabs>
          <w:tab w:val="left" w:pos="0"/>
        </w:tabs>
        <w:ind w:left="0" w:firstLine="0"/>
        <w:rPr>
          <w:szCs w:val="20"/>
        </w:rPr>
      </w:pPr>
      <w:r w:rsidRPr="00B456A2">
        <w:rPr>
          <w:szCs w:val="20"/>
        </w:rPr>
        <w:t xml:space="preserve">En ese sentido, </w:t>
      </w:r>
      <w:r w:rsidR="00021522" w:rsidRPr="00B456A2">
        <w:rPr>
          <w:szCs w:val="20"/>
        </w:rPr>
        <w:t xml:space="preserve">esta Presidencia estima que </w:t>
      </w:r>
      <w:r w:rsidR="00A674FD">
        <w:rPr>
          <w:szCs w:val="20"/>
        </w:rPr>
        <w:t xml:space="preserve">no procede invocar </w:t>
      </w:r>
      <w:r w:rsidR="005230AB" w:rsidRPr="00B456A2">
        <w:rPr>
          <w:szCs w:val="20"/>
        </w:rPr>
        <w:t>un “error involuntario” para no respetar un plazo reglamentario conocido y reiteradamente observado tanto por la Comisión como por las partes en un litigio ante la Corte</w:t>
      </w:r>
      <w:r w:rsidR="00E4391E">
        <w:rPr>
          <w:szCs w:val="20"/>
        </w:rPr>
        <w:t>, teniendo en consideración que este Tribunal advirtió oportunamente sobre la ausencia de identificación de los peritos ofrecidos y sus hojas de vida</w:t>
      </w:r>
      <w:r w:rsidR="005230AB" w:rsidRPr="00B456A2">
        <w:rPr>
          <w:szCs w:val="20"/>
        </w:rPr>
        <w:t xml:space="preserve">. En ese sentido, </w:t>
      </w:r>
      <w:r w:rsidR="00A674FD">
        <w:rPr>
          <w:szCs w:val="20"/>
        </w:rPr>
        <w:t xml:space="preserve">no procede </w:t>
      </w:r>
      <w:r w:rsidRPr="00B456A2">
        <w:rPr>
          <w:szCs w:val="20"/>
        </w:rPr>
        <w:t>admitir los peritajes ofrecidos por la Comisión</w:t>
      </w:r>
      <w:r w:rsidR="00A674FD">
        <w:rPr>
          <w:szCs w:val="20"/>
        </w:rPr>
        <w:t xml:space="preserve">, ya que fueron presentados </w:t>
      </w:r>
      <w:r w:rsidRPr="00B456A2">
        <w:rPr>
          <w:szCs w:val="20"/>
        </w:rPr>
        <w:t>extemporánea</w:t>
      </w:r>
      <w:r w:rsidR="00A674FD">
        <w:rPr>
          <w:szCs w:val="20"/>
        </w:rPr>
        <w:t xml:space="preserve">mente al plazo </w:t>
      </w:r>
      <w:r w:rsidRPr="00B456A2">
        <w:rPr>
          <w:szCs w:val="20"/>
        </w:rPr>
        <w:t xml:space="preserve">dispuesto en </w:t>
      </w:r>
      <w:r w:rsidR="0083079E">
        <w:rPr>
          <w:szCs w:val="20"/>
        </w:rPr>
        <w:t xml:space="preserve">los </w:t>
      </w:r>
      <w:r w:rsidRPr="00B456A2">
        <w:rPr>
          <w:szCs w:val="20"/>
        </w:rPr>
        <w:t>artículo</w:t>
      </w:r>
      <w:r w:rsidR="0083079E">
        <w:rPr>
          <w:szCs w:val="20"/>
        </w:rPr>
        <w:t>s</w:t>
      </w:r>
      <w:r w:rsidRPr="00B456A2">
        <w:rPr>
          <w:szCs w:val="20"/>
        </w:rPr>
        <w:t xml:space="preserve"> 35</w:t>
      </w:r>
      <w:r w:rsidR="0083079E">
        <w:rPr>
          <w:szCs w:val="20"/>
        </w:rPr>
        <w:t xml:space="preserve"> y 28</w:t>
      </w:r>
      <w:r w:rsidRPr="00B456A2">
        <w:rPr>
          <w:szCs w:val="20"/>
        </w:rPr>
        <w:t xml:space="preserve"> del Reglamento. La solicitud de sustitución</w:t>
      </w:r>
      <w:r w:rsidR="00BC243D" w:rsidRPr="00B456A2">
        <w:rPr>
          <w:szCs w:val="20"/>
        </w:rPr>
        <w:t xml:space="preserve"> del perito La Rue por </w:t>
      </w:r>
      <w:r w:rsidR="00E4391E">
        <w:rPr>
          <w:szCs w:val="20"/>
        </w:rPr>
        <w:t>la perita</w:t>
      </w:r>
      <w:r w:rsidRPr="00B456A2">
        <w:rPr>
          <w:szCs w:val="20"/>
        </w:rPr>
        <w:t xml:space="preserve"> Callamard, por lo tanto, carece de objeto. </w:t>
      </w:r>
    </w:p>
    <w:p w14:paraId="1300B40B" w14:textId="77777777" w:rsidR="00AB2F17" w:rsidRPr="00B456A2" w:rsidRDefault="00AB2F17" w:rsidP="00E77B4C">
      <w:pPr>
        <w:tabs>
          <w:tab w:val="left" w:pos="0"/>
        </w:tabs>
        <w:autoSpaceDE w:val="0"/>
        <w:autoSpaceDN w:val="0"/>
        <w:adjustRightInd w:val="0"/>
        <w:jc w:val="center"/>
        <w:rPr>
          <w:b/>
          <w:szCs w:val="20"/>
        </w:rPr>
      </w:pPr>
    </w:p>
    <w:p w14:paraId="1D07BB60" w14:textId="66A52BC4" w:rsidR="00E8677E" w:rsidRPr="00B456A2" w:rsidRDefault="00926377" w:rsidP="00B456A2">
      <w:pPr>
        <w:pStyle w:val="Heading2"/>
        <w:rPr>
          <w:b w:val="0"/>
          <w:i w:val="0"/>
        </w:rPr>
      </w:pPr>
      <w:r w:rsidRPr="00B456A2">
        <w:rPr>
          <w:szCs w:val="22"/>
        </w:rPr>
        <w:t>Recusaciones</w:t>
      </w:r>
      <w:r w:rsidR="00E8677E" w:rsidRPr="00B456A2">
        <w:rPr>
          <w:szCs w:val="22"/>
        </w:rPr>
        <w:t xml:space="preserve"> del Estado </w:t>
      </w:r>
      <w:r w:rsidR="001A36BC" w:rsidRPr="00B456A2">
        <w:rPr>
          <w:szCs w:val="22"/>
        </w:rPr>
        <w:t>a l</w:t>
      </w:r>
      <w:r w:rsidR="003912D2">
        <w:rPr>
          <w:lang w:val="es-ES"/>
        </w:rPr>
        <w:t>a</w:t>
      </w:r>
      <w:r w:rsidR="001A36BC" w:rsidRPr="00B456A2">
        <w:rPr>
          <w:szCs w:val="22"/>
        </w:rPr>
        <w:t xml:space="preserve">s </w:t>
      </w:r>
      <w:r w:rsidR="00E4391E">
        <w:rPr>
          <w:szCs w:val="22"/>
        </w:rPr>
        <w:t>perita</w:t>
      </w:r>
      <w:r w:rsidR="005309E9">
        <w:rPr>
          <w:szCs w:val="22"/>
        </w:rPr>
        <w:t>s ofrecida</w:t>
      </w:r>
      <w:r w:rsidR="001A36BC" w:rsidRPr="00B456A2">
        <w:rPr>
          <w:szCs w:val="22"/>
        </w:rPr>
        <w:t>s por los representantes</w:t>
      </w:r>
    </w:p>
    <w:p w14:paraId="4CAC2040" w14:textId="77777777" w:rsidR="001A36BC" w:rsidRPr="00B456A2" w:rsidRDefault="001A36BC" w:rsidP="00E77B4C">
      <w:pPr>
        <w:tabs>
          <w:tab w:val="left" w:pos="0"/>
        </w:tabs>
        <w:autoSpaceDE w:val="0"/>
        <w:autoSpaceDN w:val="0"/>
        <w:adjustRightInd w:val="0"/>
        <w:jc w:val="center"/>
        <w:rPr>
          <w:szCs w:val="20"/>
        </w:rPr>
      </w:pPr>
    </w:p>
    <w:p w14:paraId="025E10F1" w14:textId="31A5E05E" w:rsidR="00E66E7E" w:rsidRPr="00B456A2" w:rsidRDefault="00164AEF" w:rsidP="00A12940">
      <w:pPr>
        <w:pStyle w:val="ListParagraph"/>
        <w:numPr>
          <w:ilvl w:val="0"/>
          <w:numId w:val="10"/>
        </w:numPr>
        <w:tabs>
          <w:tab w:val="left" w:pos="0"/>
        </w:tabs>
        <w:autoSpaceDE w:val="0"/>
        <w:autoSpaceDN w:val="0"/>
        <w:adjustRightInd w:val="0"/>
        <w:ind w:left="0" w:firstLine="0"/>
        <w:rPr>
          <w:bCs/>
          <w:iCs/>
          <w:szCs w:val="20"/>
        </w:rPr>
      </w:pPr>
      <w:r w:rsidRPr="00B456A2">
        <w:rPr>
          <w:bCs/>
          <w:iCs/>
          <w:szCs w:val="20"/>
        </w:rPr>
        <w:t>Además de los perit</w:t>
      </w:r>
      <w:r w:rsidR="00BC243D" w:rsidRPr="00B456A2">
        <w:rPr>
          <w:bCs/>
          <w:iCs/>
          <w:szCs w:val="20"/>
        </w:rPr>
        <w:t xml:space="preserve">ajes </w:t>
      </w:r>
      <w:r w:rsidRPr="00B456A2">
        <w:rPr>
          <w:bCs/>
          <w:iCs/>
          <w:szCs w:val="20"/>
        </w:rPr>
        <w:t xml:space="preserve">ya </w:t>
      </w:r>
      <w:r w:rsidR="00BC243D" w:rsidRPr="00B456A2">
        <w:rPr>
          <w:bCs/>
          <w:iCs/>
          <w:szCs w:val="20"/>
        </w:rPr>
        <w:t xml:space="preserve">admitidos </w:t>
      </w:r>
      <w:r w:rsidRPr="00B456A2">
        <w:rPr>
          <w:bCs/>
          <w:iCs/>
          <w:szCs w:val="20"/>
        </w:rPr>
        <w:t>(</w:t>
      </w:r>
      <w:r w:rsidRPr="00B456A2">
        <w:rPr>
          <w:bCs/>
          <w:i/>
          <w:iCs/>
          <w:szCs w:val="20"/>
        </w:rPr>
        <w:t xml:space="preserve">supra </w:t>
      </w:r>
      <w:r w:rsidRPr="00B456A2">
        <w:rPr>
          <w:bCs/>
          <w:iCs/>
          <w:szCs w:val="20"/>
        </w:rPr>
        <w:t xml:space="preserve">párr. </w:t>
      </w:r>
      <w:r w:rsidR="005309E9">
        <w:rPr>
          <w:bCs/>
          <w:iCs/>
          <w:szCs w:val="20"/>
        </w:rPr>
        <w:t>8</w:t>
      </w:r>
      <w:r w:rsidRPr="00B456A2">
        <w:rPr>
          <w:bCs/>
          <w:iCs/>
          <w:szCs w:val="20"/>
        </w:rPr>
        <w:t>), l</w:t>
      </w:r>
      <w:r w:rsidR="00E66E7E" w:rsidRPr="00B456A2">
        <w:rPr>
          <w:bCs/>
          <w:iCs/>
          <w:szCs w:val="20"/>
        </w:rPr>
        <w:t xml:space="preserve">os representantes </w:t>
      </w:r>
      <w:r w:rsidRPr="00B456A2">
        <w:rPr>
          <w:bCs/>
          <w:iCs/>
          <w:szCs w:val="20"/>
        </w:rPr>
        <w:t xml:space="preserve">también </w:t>
      </w:r>
      <w:r w:rsidR="00E66E7E" w:rsidRPr="00B456A2">
        <w:rPr>
          <w:bCs/>
          <w:iCs/>
          <w:szCs w:val="20"/>
        </w:rPr>
        <w:t xml:space="preserve">ofrecieron los siguientes dictámenes periciales: a) Magaly Vásquez, para declarar sobre las distintas fases del proceso penal en Venezuela, el papel del Ministerio Público en dicho proceso, en especial su rol en los delitos de acción privada, la diferencia entre querella y acusación a los efectos de la activación de procesos en tales delitos, la criminalización de la disidencia política y sus consecuencias, la utilización del proceso penal para castigar a los comunicadores sociales, el significado del término la </w:t>
      </w:r>
      <w:r w:rsidR="005309E9">
        <w:rPr>
          <w:bCs/>
          <w:iCs/>
          <w:szCs w:val="20"/>
        </w:rPr>
        <w:t>“p</w:t>
      </w:r>
      <w:r w:rsidR="00E66E7E" w:rsidRPr="00B456A2">
        <w:rPr>
          <w:bCs/>
          <w:iCs/>
          <w:szCs w:val="20"/>
        </w:rPr>
        <w:t xml:space="preserve">ena del </w:t>
      </w:r>
      <w:r w:rsidR="005309E9">
        <w:rPr>
          <w:bCs/>
          <w:iCs/>
          <w:szCs w:val="20"/>
        </w:rPr>
        <w:t>b</w:t>
      </w:r>
      <w:r w:rsidR="00E66E7E" w:rsidRPr="00B456A2">
        <w:rPr>
          <w:bCs/>
          <w:iCs/>
          <w:szCs w:val="20"/>
        </w:rPr>
        <w:t>anquillo</w:t>
      </w:r>
      <w:r w:rsidR="005309E9">
        <w:rPr>
          <w:bCs/>
          <w:iCs/>
          <w:szCs w:val="20"/>
        </w:rPr>
        <w:t>”</w:t>
      </w:r>
      <w:r w:rsidR="00E66E7E" w:rsidRPr="00B456A2">
        <w:rPr>
          <w:bCs/>
          <w:iCs/>
          <w:szCs w:val="20"/>
        </w:rPr>
        <w:t>, la inhabilitación como pena accesoria impuesta por condena penal y su límites y el principio del juez natural como componentes de un debido proceso</w:t>
      </w:r>
      <w:r w:rsidRPr="00B456A2">
        <w:rPr>
          <w:bCs/>
          <w:iCs/>
          <w:szCs w:val="20"/>
        </w:rPr>
        <w:t>, y</w:t>
      </w:r>
      <w:r w:rsidR="00E66E7E" w:rsidRPr="00B456A2">
        <w:rPr>
          <w:bCs/>
          <w:iCs/>
          <w:szCs w:val="20"/>
        </w:rPr>
        <w:t xml:space="preserve"> b) Catalina Botero, para declarar sobre las condiciones que, de acuerdo con el artículo 13 de la Convención Americana, debe garantizar el Estado para el respeto del ejercicio de la libertad de expresión en una sociedad democrática y el marco jurídico interamericano sobre el derecho a la libertad de expresión; el derecho de acceso a la información pública en las Américas y la situación</w:t>
      </w:r>
      <w:r w:rsidR="005309E9">
        <w:rPr>
          <w:bCs/>
          <w:iCs/>
          <w:szCs w:val="20"/>
        </w:rPr>
        <w:t xml:space="preserve"> de Venezuela de acuerdo a los e</w:t>
      </w:r>
      <w:r w:rsidR="00E66E7E" w:rsidRPr="00B456A2">
        <w:rPr>
          <w:bCs/>
          <w:iCs/>
          <w:szCs w:val="20"/>
        </w:rPr>
        <w:t>stándares interamericanos; la proporcionalidad entre las penas impuestas por los calificados delitos de opinión y la tutela del honor y reputación de funcionarios públicos, con especial referencia a la pena de inhabilitación política; la afectación de la libertad de información y expresión por la imposición de penas desproporcionadas; y las reparaciones por la violación del derecho a la libertad de expresión en el sistema interamericano. También podrá referirse al análisis del caso concreto</w:t>
      </w:r>
      <w:r w:rsidRPr="00B456A2">
        <w:rPr>
          <w:bCs/>
          <w:iCs/>
          <w:szCs w:val="20"/>
        </w:rPr>
        <w:t>.</w:t>
      </w:r>
      <w:r w:rsidR="00E66E7E" w:rsidRPr="00B456A2">
        <w:rPr>
          <w:bCs/>
          <w:iCs/>
          <w:szCs w:val="20"/>
        </w:rPr>
        <w:t xml:space="preserve"> </w:t>
      </w:r>
    </w:p>
    <w:p w14:paraId="6DBCB149" w14:textId="77777777" w:rsidR="00E66E7E" w:rsidRPr="00B456A2" w:rsidRDefault="00E66E7E" w:rsidP="00164AEF">
      <w:pPr>
        <w:pStyle w:val="ListParagraph"/>
        <w:tabs>
          <w:tab w:val="left" w:pos="0"/>
        </w:tabs>
        <w:autoSpaceDE w:val="0"/>
        <w:autoSpaceDN w:val="0"/>
        <w:adjustRightInd w:val="0"/>
        <w:ind w:left="0"/>
        <w:rPr>
          <w:bCs/>
          <w:iCs/>
          <w:szCs w:val="20"/>
        </w:rPr>
      </w:pPr>
    </w:p>
    <w:p w14:paraId="519108FF" w14:textId="0F08BC1F" w:rsidR="00BC243D" w:rsidRPr="00B456A2" w:rsidRDefault="00CE5651" w:rsidP="00A12940">
      <w:pPr>
        <w:pStyle w:val="ListParagraph"/>
        <w:numPr>
          <w:ilvl w:val="0"/>
          <w:numId w:val="10"/>
        </w:numPr>
        <w:tabs>
          <w:tab w:val="left" w:pos="0"/>
        </w:tabs>
        <w:autoSpaceDE w:val="0"/>
        <w:autoSpaceDN w:val="0"/>
        <w:adjustRightInd w:val="0"/>
        <w:ind w:left="0" w:firstLine="0"/>
        <w:rPr>
          <w:bCs/>
          <w:iCs/>
          <w:szCs w:val="20"/>
        </w:rPr>
      </w:pPr>
      <w:r w:rsidRPr="00B456A2">
        <w:rPr>
          <w:bCs/>
          <w:iCs/>
          <w:szCs w:val="20"/>
        </w:rPr>
        <w:t>El</w:t>
      </w:r>
      <w:r w:rsidRPr="00B456A2">
        <w:rPr>
          <w:b/>
          <w:bCs/>
          <w:iCs/>
          <w:szCs w:val="20"/>
        </w:rPr>
        <w:t xml:space="preserve"> </w:t>
      </w:r>
      <w:r w:rsidRPr="00B456A2">
        <w:rPr>
          <w:b/>
          <w:bCs/>
          <w:i/>
          <w:iCs/>
          <w:szCs w:val="20"/>
        </w:rPr>
        <w:t>Estado</w:t>
      </w:r>
      <w:r w:rsidRPr="00B456A2">
        <w:rPr>
          <w:bCs/>
          <w:iCs/>
          <w:szCs w:val="20"/>
        </w:rPr>
        <w:t xml:space="preserve"> </w:t>
      </w:r>
      <w:r w:rsidR="00164AEF" w:rsidRPr="00B456A2">
        <w:rPr>
          <w:bCs/>
          <w:iCs/>
          <w:szCs w:val="20"/>
        </w:rPr>
        <w:t xml:space="preserve">observó </w:t>
      </w:r>
      <w:r w:rsidRPr="00B456A2">
        <w:rPr>
          <w:bCs/>
          <w:iCs/>
          <w:szCs w:val="20"/>
        </w:rPr>
        <w:t xml:space="preserve">que </w:t>
      </w:r>
      <w:r w:rsidR="001A36BC" w:rsidRPr="00B456A2">
        <w:rPr>
          <w:bCs/>
          <w:iCs/>
          <w:szCs w:val="20"/>
        </w:rPr>
        <w:t xml:space="preserve">Catalina Botero se desempeñó como Relatora </w:t>
      </w:r>
      <w:r w:rsidR="00FB05D1" w:rsidRPr="00B456A2">
        <w:rPr>
          <w:bCs/>
          <w:iCs/>
          <w:szCs w:val="20"/>
        </w:rPr>
        <w:t>E</w:t>
      </w:r>
      <w:r w:rsidR="001A36BC" w:rsidRPr="00B456A2">
        <w:rPr>
          <w:bCs/>
          <w:iCs/>
          <w:szCs w:val="20"/>
        </w:rPr>
        <w:t xml:space="preserve">special </w:t>
      </w:r>
      <w:r w:rsidR="00164AEF" w:rsidRPr="00B456A2">
        <w:rPr>
          <w:bCs/>
          <w:iCs/>
          <w:szCs w:val="20"/>
        </w:rPr>
        <w:t xml:space="preserve">sobre Libertad de Expresión </w:t>
      </w:r>
      <w:r w:rsidR="001A36BC" w:rsidRPr="00B456A2">
        <w:rPr>
          <w:bCs/>
          <w:iCs/>
          <w:szCs w:val="20"/>
        </w:rPr>
        <w:t xml:space="preserve">de la </w:t>
      </w:r>
      <w:r w:rsidR="00164AEF" w:rsidRPr="00B456A2">
        <w:rPr>
          <w:bCs/>
          <w:iCs/>
          <w:szCs w:val="20"/>
        </w:rPr>
        <w:t xml:space="preserve">Comisión Interamericana </w:t>
      </w:r>
      <w:r w:rsidR="001A36BC" w:rsidRPr="00B456A2">
        <w:rPr>
          <w:bCs/>
          <w:iCs/>
          <w:szCs w:val="20"/>
        </w:rPr>
        <w:t>en</w:t>
      </w:r>
      <w:r w:rsidR="00164AEF" w:rsidRPr="00B456A2">
        <w:rPr>
          <w:bCs/>
          <w:iCs/>
          <w:szCs w:val="20"/>
        </w:rPr>
        <w:t xml:space="preserve">tre </w:t>
      </w:r>
      <w:r w:rsidR="001A36BC" w:rsidRPr="00B456A2">
        <w:rPr>
          <w:bCs/>
          <w:iCs/>
          <w:szCs w:val="20"/>
        </w:rPr>
        <w:t>octubre de 2008 y octubre de 2014</w:t>
      </w:r>
      <w:r w:rsidR="00164AEF" w:rsidRPr="00B456A2">
        <w:rPr>
          <w:bCs/>
          <w:iCs/>
          <w:szCs w:val="20"/>
        </w:rPr>
        <w:t>,</w:t>
      </w:r>
      <w:r w:rsidR="001A36BC" w:rsidRPr="00B456A2">
        <w:rPr>
          <w:bCs/>
          <w:iCs/>
          <w:szCs w:val="20"/>
        </w:rPr>
        <w:t xml:space="preserve"> teniendo entre sus funciones la tramitación de casos relacionados con el derecho a la libertad de expresión, así como elaborar informes sobre este derecho. </w:t>
      </w:r>
      <w:r w:rsidR="00164AEF" w:rsidRPr="00B456A2">
        <w:rPr>
          <w:bCs/>
          <w:iCs/>
          <w:szCs w:val="20"/>
        </w:rPr>
        <w:t xml:space="preserve">Destacó </w:t>
      </w:r>
      <w:r w:rsidR="001A36BC" w:rsidRPr="00B456A2">
        <w:rPr>
          <w:bCs/>
          <w:iCs/>
          <w:szCs w:val="20"/>
        </w:rPr>
        <w:t xml:space="preserve">que el caso Tulio </w:t>
      </w:r>
      <w:r w:rsidR="00100577" w:rsidRPr="00B456A2">
        <w:rPr>
          <w:bCs/>
          <w:iCs/>
          <w:szCs w:val="20"/>
        </w:rPr>
        <w:t>Á</w:t>
      </w:r>
      <w:r w:rsidR="001A36BC" w:rsidRPr="00B456A2">
        <w:rPr>
          <w:bCs/>
          <w:iCs/>
          <w:szCs w:val="20"/>
        </w:rPr>
        <w:t xml:space="preserve">lvarez fue conocido y tramitado por la </w:t>
      </w:r>
      <w:r w:rsidR="00164AEF" w:rsidRPr="00B456A2">
        <w:rPr>
          <w:bCs/>
          <w:iCs/>
          <w:szCs w:val="20"/>
        </w:rPr>
        <w:t xml:space="preserve">Comisión </w:t>
      </w:r>
      <w:r w:rsidR="001A36BC" w:rsidRPr="00B456A2">
        <w:rPr>
          <w:bCs/>
          <w:iCs/>
          <w:szCs w:val="20"/>
        </w:rPr>
        <w:t xml:space="preserve">en el periodo del 24 de julio de 2008 </w:t>
      </w:r>
      <w:r w:rsidR="00164AEF" w:rsidRPr="00B456A2">
        <w:rPr>
          <w:bCs/>
          <w:iCs/>
          <w:szCs w:val="20"/>
        </w:rPr>
        <w:t>hasta e</w:t>
      </w:r>
      <w:r w:rsidR="001A36BC" w:rsidRPr="00B456A2">
        <w:rPr>
          <w:bCs/>
          <w:iCs/>
          <w:szCs w:val="20"/>
        </w:rPr>
        <w:t>l año 2017</w:t>
      </w:r>
      <w:r w:rsidR="00164AEF" w:rsidRPr="00B456A2">
        <w:rPr>
          <w:bCs/>
          <w:iCs/>
          <w:szCs w:val="20"/>
        </w:rPr>
        <w:t>,</w:t>
      </w:r>
      <w:r w:rsidR="001A36BC" w:rsidRPr="00B456A2">
        <w:rPr>
          <w:bCs/>
          <w:iCs/>
          <w:szCs w:val="20"/>
        </w:rPr>
        <w:t xml:space="preserve"> periodo en que la </w:t>
      </w:r>
      <w:r w:rsidR="00164AEF" w:rsidRPr="00B456A2">
        <w:rPr>
          <w:bCs/>
          <w:iCs/>
          <w:szCs w:val="20"/>
        </w:rPr>
        <w:t xml:space="preserve">señora </w:t>
      </w:r>
      <w:r w:rsidR="001A36BC" w:rsidRPr="00B456A2">
        <w:rPr>
          <w:bCs/>
          <w:iCs/>
          <w:szCs w:val="20"/>
        </w:rPr>
        <w:t>Botero fu</w:t>
      </w:r>
      <w:r w:rsidR="00FB05D1" w:rsidRPr="00B456A2">
        <w:rPr>
          <w:bCs/>
          <w:iCs/>
          <w:szCs w:val="20"/>
        </w:rPr>
        <w:t>e</w:t>
      </w:r>
      <w:r w:rsidR="00100577" w:rsidRPr="00B456A2">
        <w:rPr>
          <w:bCs/>
          <w:iCs/>
          <w:szCs w:val="20"/>
        </w:rPr>
        <w:t xml:space="preserve"> </w:t>
      </w:r>
      <w:r w:rsidR="001A36BC" w:rsidRPr="00B456A2">
        <w:rPr>
          <w:bCs/>
          <w:iCs/>
          <w:szCs w:val="20"/>
        </w:rPr>
        <w:t>Relatora para la libertad de expresión</w:t>
      </w:r>
      <w:r w:rsidR="00164AEF" w:rsidRPr="00B456A2">
        <w:rPr>
          <w:bCs/>
          <w:iCs/>
          <w:szCs w:val="20"/>
        </w:rPr>
        <w:t xml:space="preserve">. Por lo anterior, en la opinión de Venezuela, </w:t>
      </w:r>
      <w:r w:rsidR="001A36BC" w:rsidRPr="00B456A2">
        <w:rPr>
          <w:bCs/>
          <w:iCs/>
          <w:szCs w:val="20"/>
        </w:rPr>
        <w:t xml:space="preserve">se encuentra impedida de fungir como </w:t>
      </w:r>
      <w:r w:rsidR="00E4391E">
        <w:rPr>
          <w:bCs/>
          <w:iCs/>
          <w:szCs w:val="20"/>
        </w:rPr>
        <w:t>perita</w:t>
      </w:r>
      <w:r w:rsidR="001A36BC" w:rsidRPr="00B456A2">
        <w:rPr>
          <w:bCs/>
          <w:iCs/>
          <w:szCs w:val="20"/>
        </w:rPr>
        <w:t xml:space="preserve"> de conformidad con el artículo 48.1</w:t>
      </w:r>
      <w:r w:rsidR="00A12940">
        <w:rPr>
          <w:bCs/>
          <w:iCs/>
          <w:szCs w:val="20"/>
        </w:rPr>
        <w:t>.</w:t>
      </w:r>
      <w:r w:rsidR="001A36BC" w:rsidRPr="00B456A2">
        <w:rPr>
          <w:bCs/>
          <w:iCs/>
          <w:szCs w:val="20"/>
        </w:rPr>
        <w:t xml:space="preserve">d del </w:t>
      </w:r>
      <w:r w:rsidR="00164AEF" w:rsidRPr="00B456A2">
        <w:rPr>
          <w:bCs/>
          <w:iCs/>
          <w:szCs w:val="20"/>
        </w:rPr>
        <w:t xml:space="preserve">Reglamento </w:t>
      </w:r>
      <w:r w:rsidR="001A36BC" w:rsidRPr="00B456A2">
        <w:rPr>
          <w:bCs/>
          <w:iCs/>
          <w:szCs w:val="20"/>
        </w:rPr>
        <w:t>de la Corte.</w:t>
      </w:r>
    </w:p>
    <w:p w14:paraId="2A2EAB53" w14:textId="77777777" w:rsidR="00BC243D" w:rsidRPr="00B456A2" w:rsidRDefault="00BC243D" w:rsidP="00A12940">
      <w:pPr>
        <w:pStyle w:val="ListParagraph"/>
        <w:ind w:left="0"/>
        <w:rPr>
          <w:bCs/>
          <w:iCs/>
          <w:szCs w:val="20"/>
        </w:rPr>
      </w:pPr>
    </w:p>
    <w:p w14:paraId="454801CB" w14:textId="084CB06E" w:rsidR="00164AEF" w:rsidRPr="00B456A2" w:rsidRDefault="00913E52" w:rsidP="00A12940">
      <w:pPr>
        <w:pStyle w:val="ListParagraph"/>
        <w:numPr>
          <w:ilvl w:val="0"/>
          <w:numId w:val="10"/>
        </w:numPr>
        <w:tabs>
          <w:tab w:val="left" w:pos="0"/>
        </w:tabs>
        <w:autoSpaceDE w:val="0"/>
        <w:autoSpaceDN w:val="0"/>
        <w:adjustRightInd w:val="0"/>
        <w:ind w:left="0" w:firstLine="0"/>
        <w:rPr>
          <w:bCs/>
          <w:iCs/>
          <w:szCs w:val="20"/>
        </w:rPr>
      </w:pPr>
      <w:r w:rsidRPr="00B456A2">
        <w:rPr>
          <w:bCs/>
          <w:iCs/>
          <w:szCs w:val="20"/>
        </w:rPr>
        <w:t xml:space="preserve">En respuesta a la recusación </w:t>
      </w:r>
      <w:r w:rsidR="00164AEF" w:rsidRPr="00B456A2">
        <w:rPr>
          <w:bCs/>
          <w:iCs/>
          <w:szCs w:val="20"/>
        </w:rPr>
        <w:t xml:space="preserve">presentada </w:t>
      </w:r>
      <w:r w:rsidRPr="00B456A2">
        <w:rPr>
          <w:bCs/>
          <w:iCs/>
          <w:szCs w:val="20"/>
        </w:rPr>
        <w:t>por el Estado</w:t>
      </w:r>
      <w:r w:rsidR="00164AEF" w:rsidRPr="00B456A2">
        <w:rPr>
          <w:bCs/>
          <w:iCs/>
          <w:szCs w:val="20"/>
        </w:rPr>
        <w:t xml:space="preserve">, la señora </w:t>
      </w:r>
      <w:r w:rsidRPr="00B456A2">
        <w:rPr>
          <w:bCs/>
          <w:iCs/>
          <w:szCs w:val="20"/>
        </w:rPr>
        <w:t>Catalina Botero manifest</w:t>
      </w:r>
      <w:r w:rsidR="00164AEF" w:rsidRPr="00B456A2">
        <w:rPr>
          <w:bCs/>
          <w:iCs/>
          <w:szCs w:val="20"/>
        </w:rPr>
        <w:t>ó ante la Corte</w:t>
      </w:r>
      <w:r w:rsidRPr="00B456A2">
        <w:rPr>
          <w:bCs/>
          <w:iCs/>
          <w:szCs w:val="20"/>
        </w:rPr>
        <w:t xml:space="preserve"> que</w:t>
      </w:r>
      <w:r w:rsidR="00164AEF" w:rsidRPr="00B456A2">
        <w:rPr>
          <w:bCs/>
          <w:iCs/>
          <w:szCs w:val="20"/>
        </w:rPr>
        <w:t xml:space="preserve"> </w:t>
      </w:r>
      <w:r w:rsidR="00A306E4" w:rsidRPr="00B456A2">
        <w:rPr>
          <w:bCs/>
          <w:iCs/>
          <w:szCs w:val="20"/>
        </w:rPr>
        <w:t>no encuentra fundada la existencia de la causal de recusación prevista en el artículo 48.</w:t>
      </w:r>
      <w:r w:rsidR="00BC243D" w:rsidRPr="00B456A2">
        <w:rPr>
          <w:bCs/>
          <w:iCs/>
          <w:szCs w:val="20"/>
        </w:rPr>
        <w:t>1</w:t>
      </w:r>
      <w:r w:rsidR="00164AEF" w:rsidRPr="00B456A2">
        <w:rPr>
          <w:bCs/>
          <w:iCs/>
          <w:szCs w:val="20"/>
        </w:rPr>
        <w:t>.</w:t>
      </w:r>
      <w:r w:rsidR="00A306E4" w:rsidRPr="00B456A2">
        <w:rPr>
          <w:bCs/>
          <w:iCs/>
          <w:szCs w:val="20"/>
        </w:rPr>
        <w:t xml:space="preserve">d del Reglamento de la Corte. </w:t>
      </w:r>
      <w:r w:rsidR="00164AEF" w:rsidRPr="00B456A2">
        <w:rPr>
          <w:bCs/>
          <w:iCs/>
          <w:szCs w:val="20"/>
        </w:rPr>
        <w:t xml:space="preserve">Expresó </w:t>
      </w:r>
      <w:r w:rsidR="00A306E4" w:rsidRPr="00B456A2">
        <w:rPr>
          <w:bCs/>
          <w:iCs/>
          <w:szCs w:val="20"/>
        </w:rPr>
        <w:t>no re</w:t>
      </w:r>
      <w:r w:rsidRPr="00B456A2">
        <w:rPr>
          <w:bCs/>
          <w:iCs/>
          <w:szCs w:val="20"/>
        </w:rPr>
        <w:t>c</w:t>
      </w:r>
      <w:r w:rsidR="00A306E4" w:rsidRPr="00B456A2">
        <w:rPr>
          <w:bCs/>
          <w:iCs/>
          <w:szCs w:val="20"/>
        </w:rPr>
        <w:t>o</w:t>
      </w:r>
      <w:r w:rsidRPr="00B456A2">
        <w:rPr>
          <w:bCs/>
          <w:iCs/>
          <w:szCs w:val="20"/>
        </w:rPr>
        <w:t>r</w:t>
      </w:r>
      <w:r w:rsidR="00A306E4" w:rsidRPr="00B456A2">
        <w:rPr>
          <w:bCs/>
          <w:iCs/>
          <w:szCs w:val="20"/>
        </w:rPr>
        <w:t xml:space="preserve">dar haberse pronunciado en ningún sentido, ni haber conocido o conceptuado respecto del </w:t>
      </w:r>
      <w:r w:rsidR="00164AEF" w:rsidRPr="00B456A2">
        <w:rPr>
          <w:bCs/>
          <w:iCs/>
          <w:szCs w:val="20"/>
        </w:rPr>
        <w:t xml:space="preserve">presente </w:t>
      </w:r>
      <w:r w:rsidR="00A306E4" w:rsidRPr="00B456A2">
        <w:rPr>
          <w:bCs/>
          <w:iCs/>
          <w:szCs w:val="20"/>
        </w:rPr>
        <w:t xml:space="preserve">caso durante el periodo en el cual </w:t>
      </w:r>
      <w:r w:rsidR="00164AEF" w:rsidRPr="00B456A2">
        <w:rPr>
          <w:bCs/>
          <w:iCs/>
          <w:szCs w:val="20"/>
        </w:rPr>
        <w:t xml:space="preserve">se desempeñó </w:t>
      </w:r>
      <w:r w:rsidR="00A306E4" w:rsidRPr="00B456A2">
        <w:rPr>
          <w:bCs/>
          <w:iCs/>
          <w:szCs w:val="20"/>
        </w:rPr>
        <w:t>como Relatora Especial para la Libertad de Expresión de la Comisión Interamericana (2008</w:t>
      </w:r>
      <w:r w:rsidR="00164AEF" w:rsidRPr="00B456A2">
        <w:rPr>
          <w:bCs/>
          <w:iCs/>
          <w:szCs w:val="20"/>
        </w:rPr>
        <w:t xml:space="preserve"> a </w:t>
      </w:r>
      <w:r w:rsidR="00A306E4" w:rsidRPr="00B456A2">
        <w:rPr>
          <w:bCs/>
          <w:iCs/>
          <w:szCs w:val="20"/>
        </w:rPr>
        <w:t>2014).</w:t>
      </w:r>
    </w:p>
    <w:p w14:paraId="3C7B2D6C" w14:textId="77777777" w:rsidR="00BC243D" w:rsidRPr="00B456A2" w:rsidRDefault="00BC243D" w:rsidP="00A12940">
      <w:pPr>
        <w:pStyle w:val="ListParagraph"/>
        <w:tabs>
          <w:tab w:val="left" w:pos="0"/>
        </w:tabs>
        <w:autoSpaceDE w:val="0"/>
        <w:autoSpaceDN w:val="0"/>
        <w:adjustRightInd w:val="0"/>
        <w:ind w:left="0"/>
        <w:rPr>
          <w:bCs/>
          <w:iCs/>
          <w:szCs w:val="20"/>
        </w:rPr>
      </w:pPr>
    </w:p>
    <w:p w14:paraId="76799253" w14:textId="0D3F8D27" w:rsidR="00A306E4" w:rsidRPr="00B456A2" w:rsidRDefault="00A306E4" w:rsidP="00A12940">
      <w:pPr>
        <w:pStyle w:val="ListParagraph"/>
        <w:numPr>
          <w:ilvl w:val="0"/>
          <w:numId w:val="10"/>
        </w:numPr>
        <w:tabs>
          <w:tab w:val="left" w:pos="0"/>
        </w:tabs>
        <w:autoSpaceDE w:val="0"/>
        <w:autoSpaceDN w:val="0"/>
        <w:adjustRightInd w:val="0"/>
        <w:ind w:left="0" w:firstLine="0"/>
        <w:rPr>
          <w:bCs/>
          <w:iCs/>
          <w:szCs w:val="20"/>
        </w:rPr>
      </w:pPr>
      <w:r w:rsidRPr="00B456A2">
        <w:rPr>
          <w:bCs/>
          <w:iCs/>
          <w:szCs w:val="20"/>
        </w:rPr>
        <w:t>En segundo lugar</w:t>
      </w:r>
      <w:r w:rsidR="00164AEF" w:rsidRPr="00B456A2">
        <w:rPr>
          <w:bCs/>
          <w:iCs/>
          <w:szCs w:val="20"/>
        </w:rPr>
        <w:t>,</w:t>
      </w:r>
      <w:r w:rsidRPr="00B456A2">
        <w:rPr>
          <w:bCs/>
          <w:iCs/>
          <w:szCs w:val="20"/>
        </w:rPr>
        <w:t xml:space="preserve"> </w:t>
      </w:r>
      <w:r w:rsidR="00164AEF" w:rsidRPr="00B456A2">
        <w:rPr>
          <w:bCs/>
          <w:iCs/>
          <w:szCs w:val="20"/>
        </w:rPr>
        <w:t xml:space="preserve">la señora </w:t>
      </w:r>
      <w:r w:rsidR="00646314" w:rsidRPr="00B456A2">
        <w:rPr>
          <w:bCs/>
          <w:iCs/>
          <w:szCs w:val="20"/>
        </w:rPr>
        <w:t>Botero</w:t>
      </w:r>
      <w:r w:rsidR="00164AEF" w:rsidRPr="00B456A2">
        <w:rPr>
          <w:bCs/>
          <w:iCs/>
          <w:szCs w:val="20"/>
        </w:rPr>
        <w:t xml:space="preserve"> señaló </w:t>
      </w:r>
      <w:r w:rsidRPr="00B456A2">
        <w:rPr>
          <w:bCs/>
          <w:iCs/>
          <w:szCs w:val="20"/>
        </w:rPr>
        <w:t>que</w:t>
      </w:r>
      <w:r w:rsidR="00164AEF" w:rsidRPr="00B456A2">
        <w:rPr>
          <w:bCs/>
          <w:iCs/>
          <w:szCs w:val="20"/>
        </w:rPr>
        <w:t>,</w:t>
      </w:r>
      <w:r w:rsidRPr="00B456A2">
        <w:rPr>
          <w:bCs/>
          <w:iCs/>
          <w:szCs w:val="20"/>
        </w:rPr>
        <w:t xml:space="preserve"> luego de haber hecho una revisión cuidadosa de los reportes anuales elaborados mientras </w:t>
      </w:r>
      <w:r w:rsidR="00646314" w:rsidRPr="00B456A2">
        <w:rPr>
          <w:bCs/>
          <w:iCs/>
          <w:szCs w:val="20"/>
        </w:rPr>
        <w:t>s</w:t>
      </w:r>
      <w:r w:rsidRPr="00B456A2">
        <w:rPr>
          <w:bCs/>
          <w:iCs/>
          <w:szCs w:val="20"/>
        </w:rPr>
        <w:t>e desempeñaba en dicho cargo</w:t>
      </w:r>
      <w:r w:rsidR="00A674FD">
        <w:rPr>
          <w:bCs/>
          <w:iCs/>
          <w:szCs w:val="20"/>
        </w:rPr>
        <w:t>,</w:t>
      </w:r>
      <w:r w:rsidR="00164AEF" w:rsidRPr="00B456A2">
        <w:rPr>
          <w:bCs/>
          <w:iCs/>
          <w:szCs w:val="20"/>
        </w:rPr>
        <w:t xml:space="preserve"> </w:t>
      </w:r>
      <w:r w:rsidRPr="00B456A2">
        <w:rPr>
          <w:bCs/>
          <w:iCs/>
          <w:szCs w:val="20"/>
        </w:rPr>
        <w:t>no enc</w:t>
      </w:r>
      <w:r w:rsidR="00164AEF" w:rsidRPr="00B456A2">
        <w:rPr>
          <w:bCs/>
          <w:iCs/>
          <w:szCs w:val="20"/>
        </w:rPr>
        <w:t xml:space="preserve">ontró </w:t>
      </w:r>
      <w:r w:rsidRPr="00B456A2">
        <w:rPr>
          <w:bCs/>
          <w:iCs/>
          <w:szCs w:val="20"/>
        </w:rPr>
        <w:t xml:space="preserve">ninguna mención expresa al caso en cuestión que permita sustentar </w:t>
      </w:r>
      <w:r w:rsidR="00164AEF" w:rsidRPr="00B456A2">
        <w:rPr>
          <w:bCs/>
          <w:iCs/>
          <w:szCs w:val="20"/>
        </w:rPr>
        <w:t xml:space="preserve">la </w:t>
      </w:r>
      <w:r w:rsidRPr="00B456A2">
        <w:rPr>
          <w:bCs/>
          <w:iCs/>
          <w:szCs w:val="20"/>
        </w:rPr>
        <w:t>causal</w:t>
      </w:r>
      <w:r w:rsidR="00164AEF" w:rsidRPr="00B456A2">
        <w:rPr>
          <w:bCs/>
          <w:iCs/>
          <w:szCs w:val="20"/>
        </w:rPr>
        <w:t xml:space="preserve"> invocada por el Estado</w:t>
      </w:r>
      <w:r w:rsidRPr="00B456A2">
        <w:rPr>
          <w:bCs/>
          <w:iCs/>
          <w:szCs w:val="20"/>
        </w:rPr>
        <w:t xml:space="preserve">. </w:t>
      </w:r>
    </w:p>
    <w:p w14:paraId="30EF623B" w14:textId="77777777" w:rsidR="009B2144" w:rsidRPr="00B456A2" w:rsidRDefault="009B2144" w:rsidP="00A12940">
      <w:pPr>
        <w:pStyle w:val="ListParagraph"/>
        <w:ind w:left="0"/>
        <w:rPr>
          <w:bCs/>
          <w:iCs/>
          <w:szCs w:val="20"/>
        </w:rPr>
      </w:pPr>
    </w:p>
    <w:p w14:paraId="6B877C66" w14:textId="63CBFA7A" w:rsidR="001A36BC" w:rsidRPr="005309E9" w:rsidRDefault="009B2144" w:rsidP="00A12940">
      <w:pPr>
        <w:pStyle w:val="ListParagraph"/>
        <w:numPr>
          <w:ilvl w:val="0"/>
          <w:numId w:val="10"/>
        </w:numPr>
        <w:tabs>
          <w:tab w:val="left" w:pos="0"/>
        </w:tabs>
        <w:autoSpaceDE w:val="0"/>
        <w:autoSpaceDN w:val="0"/>
        <w:adjustRightInd w:val="0"/>
        <w:ind w:left="0" w:firstLine="0"/>
        <w:rPr>
          <w:bCs/>
          <w:iCs/>
          <w:szCs w:val="20"/>
        </w:rPr>
      </w:pPr>
      <w:r w:rsidRPr="00B456A2">
        <w:rPr>
          <w:bCs/>
          <w:iCs/>
          <w:szCs w:val="20"/>
        </w:rPr>
        <w:t xml:space="preserve">Esta Presidencia verifica que el objeto del peritaje de la señora Botero se refiere a su experticia </w:t>
      </w:r>
      <w:r w:rsidR="00A674FD">
        <w:rPr>
          <w:bCs/>
          <w:iCs/>
          <w:szCs w:val="20"/>
        </w:rPr>
        <w:t>como</w:t>
      </w:r>
      <w:r w:rsidRPr="00B456A2">
        <w:rPr>
          <w:bCs/>
          <w:iCs/>
          <w:szCs w:val="20"/>
        </w:rPr>
        <w:t xml:space="preserve"> Relatora sobre Libertad de Expresión de la Comisión Interamericana</w:t>
      </w:r>
      <w:r w:rsidR="00021522" w:rsidRPr="00B456A2">
        <w:rPr>
          <w:bCs/>
          <w:iCs/>
          <w:szCs w:val="20"/>
        </w:rPr>
        <w:t>, lo que confirma su capacidad técnica para realizar dicho dictamen</w:t>
      </w:r>
      <w:r w:rsidRPr="00B456A2">
        <w:rPr>
          <w:bCs/>
          <w:iCs/>
          <w:szCs w:val="20"/>
        </w:rPr>
        <w:t xml:space="preserve">. </w:t>
      </w:r>
      <w:r w:rsidR="001F1962">
        <w:rPr>
          <w:bCs/>
          <w:iCs/>
          <w:szCs w:val="20"/>
        </w:rPr>
        <w:t>E</w:t>
      </w:r>
      <w:r w:rsidRPr="00B456A2">
        <w:rPr>
          <w:bCs/>
          <w:iCs/>
          <w:szCs w:val="20"/>
        </w:rPr>
        <w:t>l artículo 48.1</w:t>
      </w:r>
      <w:r w:rsidR="00FA632E">
        <w:rPr>
          <w:bCs/>
          <w:iCs/>
          <w:szCs w:val="20"/>
          <w:lang w:val="es-ES"/>
        </w:rPr>
        <w:t>.d</w:t>
      </w:r>
      <w:r w:rsidRPr="00B456A2">
        <w:rPr>
          <w:bCs/>
          <w:iCs/>
          <w:szCs w:val="20"/>
        </w:rPr>
        <w:t xml:space="preserve"> del Reglamento dispone que los peritos podrán ser recusados, entre otros, por </w:t>
      </w:r>
      <w:r w:rsidR="00021522" w:rsidRPr="00B456A2">
        <w:rPr>
          <w:bCs/>
          <w:iCs/>
          <w:szCs w:val="20"/>
        </w:rPr>
        <w:t xml:space="preserve">“ser o haber sido funcionario de la Comisión con conocimiento del caso en litigio en que se solicita su peritaje”. </w:t>
      </w:r>
      <w:r w:rsidR="00A674FD">
        <w:rPr>
          <w:bCs/>
          <w:iCs/>
          <w:szCs w:val="20"/>
        </w:rPr>
        <w:t>L</w:t>
      </w:r>
      <w:r w:rsidR="00021522" w:rsidRPr="00B456A2">
        <w:rPr>
          <w:bCs/>
          <w:iCs/>
          <w:szCs w:val="20"/>
        </w:rPr>
        <w:t xml:space="preserve">a </w:t>
      </w:r>
      <w:r w:rsidR="00A674FD">
        <w:rPr>
          <w:bCs/>
          <w:iCs/>
          <w:szCs w:val="20"/>
        </w:rPr>
        <w:t>señora</w:t>
      </w:r>
      <w:r w:rsidR="00021522" w:rsidRPr="00B456A2">
        <w:rPr>
          <w:bCs/>
          <w:iCs/>
          <w:szCs w:val="20"/>
        </w:rPr>
        <w:t xml:space="preserve"> Botero afirmó que durante su período como Relatora para la Libertad de Expresión no participó de ningún acto ni realizó pronunciamientos o emitió conceptos sobre el caso </w:t>
      </w:r>
      <w:r w:rsidR="009871BC" w:rsidRPr="00B456A2">
        <w:rPr>
          <w:bCs/>
          <w:iCs/>
          <w:szCs w:val="20"/>
        </w:rPr>
        <w:t>Álvarez</w:t>
      </w:r>
      <w:r w:rsidR="00021522" w:rsidRPr="00B456A2">
        <w:rPr>
          <w:bCs/>
          <w:iCs/>
          <w:szCs w:val="20"/>
        </w:rPr>
        <w:t xml:space="preserve"> Vs. Venezuela. </w:t>
      </w:r>
      <w:r w:rsidR="001F1962">
        <w:rPr>
          <w:bCs/>
          <w:iCs/>
          <w:szCs w:val="20"/>
        </w:rPr>
        <w:t>Al respecto, la Presidencia constata que, en efecto,</w:t>
      </w:r>
      <w:r w:rsidR="00A12940">
        <w:rPr>
          <w:bCs/>
          <w:iCs/>
          <w:szCs w:val="20"/>
        </w:rPr>
        <w:t xml:space="preserve"> no consta en el expediente que</w:t>
      </w:r>
      <w:r w:rsidR="001F1962">
        <w:rPr>
          <w:bCs/>
          <w:iCs/>
          <w:szCs w:val="20"/>
        </w:rPr>
        <w:t xml:space="preserve"> </w:t>
      </w:r>
      <w:r w:rsidR="00021522" w:rsidRPr="00B456A2">
        <w:rPr>
          <w:bCs/>
          <w:iCs/>
          <w:szCs w:val="20"/>
        </w:rPr>
        <w:t xml:space="preserve">la señora Botero </w:t>
      </w:r>
      <w:r w:rsidR="00A12940">
        <w:rPr>
          <w:bCs/>
          <w:iCs/>
          <w:szCs w:val="20"/>
        </w:rPr>
        <w:t xml:space="preserve">haya participado </w:t>
      </w:r>
      <w:r w:rsidR="001F1962">
        <w:rPr>
          <w:bCs/>
          <w:iCs/>
          <w:szCs w:val="20"/>
        </w:rPr>
        <w:t>en acto</w:t>
      </w:r>
      <w:r w:rsidR="00A12940">
        <w:rPr>
          <w:bCs/>
          <w:iCs/>
          <w:szCs w:val="20"/>
        </w:rPr>
        <w:t>s</w:t>
      </w:r>
      <w:r w:rsidR="001F1962">
        <w:rPr>
          <w:bCs/>
          <w:iCs/>
          <w:szCs w:val="20"/>
        </w:rPr>
        <w:t xml:space="preserve"> deliberativo</w:t>
      </w:r>
      <w:r w:rsidR="00A12940">
        <w:rPr>
          <w:bCs/>
          <w:iCs/>
          <w:szCs w:val="20"/>
        </w:rPr>
        <w:t>s</w:t>
      </w:r>
      <w:r w:rsidR="001F1962">
        <w:rPr>
          <w:bCs/>
          <w:iCs/>
          <w:szCs w:val="20"/>
        </w:rPr>
        <w:t xml:space="preserve"> de la Comisión en relación con el presente caso durante su mandato de Relatora Especial sobre Libertad de Expresión, de manera que no se advierte una afectación a su capacidad para rendir un peritaje jurídico que está circunscrito a los estándares del derecho a la libertad de expresión en el continente. </w:t>
      </w:r>
      <w:r w:rsidR="007230B7">
        <w:rPr>
          <w:bCs/>
          <w:iCs/>
          <w:szCs w:val="20"/>
        </w:rPr>
        <w:t xml:space="preserve"> Por lo anterior</w:t>
      </w:r>
      <w:r w:rsidR="00021522" w:rsidRPr="00B456A2">
        <w:rPr>
          <w:bCs/>
          <w:iCs/>
          <w:szCs w:val="20"/>
        </w:rPr>
        <w:t xml:space="preserve"> la Presidencia </w:t>
      </w:r>
      <w:r w:rsidR="001F1962">
        <w:rPr>
          <w:bCs/>
          <w:iCs/>
          <w:szCs w:val="20"/>
        </w:rPr>
        <w:t xml:space="preserve">admite </w:t>
      </w:r>
      <w:r w:rsidR="00021522" w:rsidRPr="00B456A2">
        <w:rPr>
          <w:bCs/>
          <w:iCs/>
          <w:szCs w:val="20"/>
        </w:rPr>
        <w:t>el ofrecimiento de la declaración pericial de la señora Catalina Botero</w:t>
      </w:r>
      <w:r w:rsidR="001F1962">
        <w:rPr>
          <w:bCs/>
          <w:iCs/>
          <w:szCs w:val="20"/>
        </w:rPr>
        <w:t xml:space="preserve">. </w:t>
      </w:r>
      <w:r w:rsidR="001F1962" w:rsidRPr="00B456A2">
        <w:rPr>
          <w:bCs/>
          <w:iCs/>
          <w:szCs w:val="20"/>
        </w:rPr>
        <w:t>El objeto y su modalidad será determinado en la parte resolutiva de la presente Resolución (</w:t>
      </w:r>
      <w:r w:rsidR="001F1962" w:rsidRPr="00B456A2">
        <w:rPr>
          <w:bCs/>
          <w:i/>
          <w:iCs/>
          <w:szCs w:val="20"/>
          <w:lang w:val="es-ES"/>
        </w:rPr>
        <w:t>infra</w:t>
      </w:r>
      <w:r w:rsidR="001F1962" w:rsidRPr="00B456A2">
        <w:rPr>
          <w:bCs/>
          <w:iCs/>
          <w:szCs w:val="20"/>
          <w:lang w:val="es-ES"/>
        </w:rPr>
        <w:t xml:space="preserve"> punto resolutivo </w:t>
      </w:r>
      <w:r w:rsidR="0083079E">
        <w:rPr>
          <w:bCs/>
          <w:iCs/>
          <w:szCs w:val="20"/>
          <w:lang w:val="es-ES"/>
        </w:rPr>
        <w:t>1</w:t>
      </w:r>
      <w:r w:rsidR="001F1962" w:rsidRPr="00B456A2">
        <w:rPr>
          <w:bCs/>
          <w:iCs/>
          <w:szCs w:val="20"/>
          <w:lang w:val="es-ES"/>
        </w:rPr>
        <w:t>).</w:t>
      </w:r>
    </w:p>
    <w:p w14:paraId="67FA2B1D" w14:textId="77777777" w:rsidR="00A674FD" w:rsidRPr="00B456A2" w:rsidRDefault="00A674FD" w:rsidP="00A12940">
      <w:pPr>
        <w:tabs>
          <w:tab w:val="left" w:pos="0"/>
        </w:tabs>
        <w:autoSpaceDE w:val="0"/>
        <w:autoSpaceDN w:val="0"/>
        <w:adjustRightInd w:val="0"/>
        <w:rPr>
          <w:bCs/>
          <w:iCs/>
          <w:szCs w:val="20"/>
        </w:rPr>
      </w:pPr>
    </w:p>
    <w:p w14:paraId="47BC3FFA" w14:textId="5775C679" w:rsidR="009F04B4" w:rsidRPr="00B456A2" w:rsidRDefault="00021522" w:rsidP="00A12940">
      <w:pPr>
        <w:pStyle w:val="ListParagraph"/>
        <w:numPr>
          <w:ilvl w:val="0"/>
          <w:numId w:val="10"/>
        </w:numPr>
        <w:tabs>
          <w:tab w:val="left" w:pos="0"/>
        </w:tabs>
        <w:autoSpaceDE w:val="0"/>
        <w:autoSpaceDN w:val="0"/>
        <w:adjustRightInd w:val="0"/>
        <w:ind w:left="0" w:firstLine="0"/>
        <w:rPr>
          <w:bCs/>
          <w:iCs/>
          <w:szCs w:val="20"/>
          <w:lang w:val="es-ES"/>
        </w:rPr>
      </w:pPr>
      <w:r w:rsidRPr="00B456A2">
        <w:rPr>
          <w:bCs/>
          <w:iCs/>
          <w:szCs w:val="20"/>
        </w:rPr>
        <w:t>Por otra parte, e</w:t>
      </w:r>
      <w:r w:rsidR="001E27E6" w:rsidRPr="00B456A2">
        <w:rPr>
          <w:bCs/>
          <w:iCs/>
          <w:szCs w:val="20"/>
        </w:rPr>
        <w:t>l</w:t>
      </w:r>
      <w:r w:rsidR="001E27E6" w:rsidRPr="00B456A2">
        <w:rPr>
          <w:b/>
          <w:bCs/>
          <w:iCs/>
          <w:szCs w:val="20"/>
        </w:rPr>
        <w:t xml:space="preserve"> </w:t>
      </w:r>
      <w:r w:rsidR="001E27E6" w:rsidRPr="00B456A2">
        <w:rPr>
          <w:b/>
          <w:bCs/>
          <w:i/>
          <w:iCs/>
          <w:szCs w:val="20"/>
        </w:rPr>
        <w:t>Estado</w:t>
      </w:r>
      <w:r w:rsidR="001E27E6" w:rsidRPr="00B456A2">
        <w:rPr>
          <w:bCs/>
          <w:iCs/>
          <w:szCs w:val="20"/>
        </w:rPr>
        <w:t xml:space="preserve"> </w:t>
      </w:r>
      <w:r w:rsidRPr="00B456A2">
        <w:rPr>
          <w:bCs/>
          <w:iCs/>
          <w:szCs w:val="20"/>
        </w:rPr>
        <w:t xml:space="preserve">señaló </w:t>
      </w:r>
      <w:r w:rsidR="001E27E6" w:rsidRPr="00B456A2">
        <w:rPr>
          <w:bCs/>
          <w:iCs/>
          <w:szCs w:val="20"/>
        </w:rPr>
        <w:t xml:space="preserve">que </w:t>
      </w:r>
      <w:r w:rsidRPr="00B456A2">
        <w:rPr>
          <w:bCs/>
          <w:iCs/>
          <w:szCs w:val="20"/>
        </w:rPr>
        <w:t xml:space="preserve">la </w:t>
      </w:r>
      <w:r w:rsidR="005E06D9" w:rsidRPr="00B456A2">
        <w:rPr>
          <w:bCs/>
          <w:iCs/>
          <w:szCs w:val="20"/>
        </w:rPr>
        <w:t xml:space="preserve">señora </w:t>
      </w:r>
      <w:r w:rsidR="001A36BC" w:rsidRPr="00B456A2">
        <w:rPr>
          <w:bCs/>
          <w:iCs/>
          <w:szCs w:val="20"/>
        </w:rPr>
        <w:t>Magaly V</w:t>
      </w:r>
      <w:r w:rsidR="004E0E54" w:rsidRPr="00B456A2">
        <w:rPr>
          <w:bCs/>
          <w:iCs/>
          <w:szCs w:val="20"/>
        </w:rPr>
        <w:t>á</w:t>
      </w:r>
      <w:r w:rsidR="001A36BC" w:rsidRPr="00B456A2">
        <w:rPr>
          <w:bCs/>
          <w:iCs/>
          <w:szCs w:val="20"/>
        </w:rPr>
        <w:t>zquez</w:t>
      </w:r>
      <w:r w:rsidR="001E27E6" w:rsidRPr="00B456A2">
        <w:rPr>
          <w:bCs/>
          <w:iCs/>
          <w:szCs w:val="20"/>
        </w:rPr>
        <w:t xml:space="preserve"> </w:t>
      </w:r>
      <w:r w:rsidR="00FE602E" w:rsidRPr="00B456A2">
        <w:rPr>
          <w:bCs/>
          <w:iCs/>
          <w:szCs w:val="20"/>
        </w:rPr>
        <w:t>e</w:t>
      </w:r>
      <w:r w:rsidR="009F04B4" w:rsidRPr="00B456A2">
        <w:rPr>
          <w:bCs/>
          <w:iCs/>
          <w:szCs w:val="20"/>
        </w:rPr>
        <w:t>jerce la representación legal de diversas personas actualmente procesadas penalmente en Venezuela, en cuyos caso</w:t>
      </w:r>
      <w:r w:rsidR="00F0762C" w:rsidRPr="00B456A2">
        <w:rPr>
          <w:bCs/>
          <w:iCs/>
          <w:szCs w:val="20"/>
        </w:rPr>
        <w:t>s</w:t>
      </w:r>
      <w:r w:rsidR="009F04B4" w:rsidRPr="00B456A2">
        <w:rPr>
          <w:bCs/>
          <w:iCs/>
          <w:szCs w:val="20"/>
        </w:rPr>
        <w:t xml:space="preserve"> se ha alegado la criminalización de la disidencia política</w:t>
      </w:r>
      <w:r w:rsidR="009F04B4" w:rsidRPr="00B456A2">
        <w:rPr>
          <w:bCs/>
          <w:i/>
          <w:iCs/>
          <w:szCs w:val="20"/>
        </w:rPr>
        <w:t xml:space="preserve">. </w:t>
      </w:r>
      <w:r w:rsidR="00A674FD">
        <w:rPr>
          <w:bCs/>
          <w:iCs/>
          <w:szCs w:val="20"/>
        </w:rPr>
        <w:t>R</w:t>
      </w:r>
      <w:r w:rsidR="009F04B4" w:rsidRPr="00B456A2">
        <w:rPr>
          <w:bCs/>
          <w:iCs/>
          <w:szCs w:val="20"/>
        </w:rPr>
        <w:t>esultaría evidente que</w:t>
      </w:r>
      <w:r w:rsidR="009F04B4" w:rsidRPr="00B456A2">
        <w:rPr>
          <w:b/>
          <w:bCs/>
          <w:iCs/>
          <w:szCs w:val="20"/>
        </w:rPr>
        <w:t xml:space="preserve"> </w:t>
      </w:r>
      <w:r w:rsidR="009F04B4" w:rsidRPr="00B456A2">
        <w:rPr>
          <w:bCs/>
          <w:iCs/>
          <w:szCs w:val="20"/>
        </w:rPr>
        <w:t>tendría un interés directo en el pronu</w:t>
      </w:r>
      <w:r w:rsidR="00F0762C" w:rsidRPr="00B456A2">
        <w:rPr>
          <w:bCs/>
          <w:iCs/>
          <w:szCs w:val="20"/>
        </w:rPr>
        <w:t>n</w:t>
      </w:r>
      <w:r w:rsidR="009F04B4" w:rsidRPr="00B456A2">
        <w:rPr>
          <w:bCs/>
          <w:iCs/>
          <w:szCs w:val="20"/>
        </w:rPr>
        <w:t xml:space="preserve">ciamiento que la Corte realice sobre el caso </w:t>
      </w:r>
      <w:r w:rsidR="00052B68">
        <w:rPr>
          <w:bCs/>
          <w:iCs/>
          <w:szCs w:val="20"/>
          <w:lang w:val="es-ES"/>
        </w:rPr>
        <w:t xml:space="preserve">y ello </w:t>
      </w:r>
      <w:r w:rsidR="009F04B4" w:rsidRPr="00B456A2">
        <w:rPr>
          <w:bCs/>
          <w:iCs/>
          <w:szCs w:val="20"/>
          <w:lang w:val="es-ES"/>
        </w:rPr>
        <w:t>puede</w:t>
      </w:r>
      <w:r w:rsidR="00F0762C" w:rsidRPr="00B456A2">
        <w:rPr>
          <w:bCs/>
          <w:iCs/>
          <w:szCs w:val="20"/>
          <w:lang w:val="es-ES"/>
        </w:rPr>
        <w:t xml:space="preserve"> </w:t>
      </w:r>
      <w:r w:rsidR="009F04B4" w:rsidRPr="00B456A2">
        <w:rPr>
          <w:bCs/>
          <w:iCs/>
          <w:szCs w:val="20"/>
          <w:lang w:val="es-ES"/>
        </w:rPr>
        <w:t>afectar su imparcialidad.</w:t>
      </w:r>
      <w:r w:rsidR="00FE602E" w:rsidRPr="00B456A2">
        <w:rPr>
          <w:bCs/>
          <w:iCs/>
          <w:szCs w:val="20"/>
          <w:lang w:val="es-ES"/>
        </w:rPr>
        <w:t xml:space="preserve"> Por tal razón, </w:t>
      </w:r>
      <w:r w:rsidRPr="00B456A2">
        <w:rPr>
          <w:bCs/>
          <w:iCs/>
          <w:szCs w:val="20"/>
          <w:lang w:val="es-ES"/>
        </w:rPr>
        <w:t xml:space="preserve">sostuvo </w:t>
      </w:r>
      <w:r w:rsidR="00FE602E" w:rsidRPr="00B456A2">
        <w:rPr>
          <w:bCs/>
          <w:iCs/>
          <w:szCs w:val="20"/>
          <w:lang w:val="es-ES"/>
        </w:rPr>
        <w:t xml:space="preserve">que se encuentra imposibilitada de desempeñarse como </w:t>
      </w:r>
      <w:r w:rsidR="00E4391E">
        <w:rPr>
          <w:bCs/>
          <w:iCs/>
          <w:szCs w:val="20"/>
          <w:lang w:val="es-ES"/>
        </w:rPr>
        <w:t>perita</w:t>
      </w:r>
      <w:r w:rsidR="00FE602E" w:rsidRPr="00B456A2">
        <w:rPr>
          <w:bCs/>
          <w:iCs/>
          <w:szCs w:val="20"/>
          <w:lang w:val="es-ES"/>
        </w:rPr>
        <w:t xml:space="preserve"> en esta causa, tomando en consideración el objeto del peritaje propuesto.</w:t>
      </w:r>
    </w:p>
    <w:p w14:paraId="1BEF3B74" w14:textId="77777777" w:rsidR="006E73D8" w:rsidRPr="00B456A2" w:rsidRDefault="006E73D8" w:rsidP="00A12940">
      <w:pPr>
        <w:tabs>
          <w:tab w:val="left" w:pos="0"/>
        </w:tabs>
        <w:autoSpaceDE w:val="0"/>
        <w:autoSpaceDN w:val="0"/>
        <w:adjustRightInd w:val="0"/>
        <w:rPr>
          <w:bCs/>
          <w:iCs/>
          <w:szCs w:val="20"/>
          <w:lang w:val="es-ES"/>
        </w:rPr>
      </w:pPr>
    </w:p>
    <w:p w14:paraId="43C89E9E" w14:textId="0FA1E6B7" w:rsidR="00C652B5" w:rsidRPr="00B456A2" w:rsidRDefault="00C652B5" w:rsidP="00A12940">
      <w:pPr>
        <w:pStyle w:val="ListParagraph"/>
        <w:numPr>
          <w:ilvl w:val="0"/>
          <w:numId w:val="10"/>
        </w:numPr>
        <w:tabs>
          <w:tab w:val="left" w:pos="0"/>
        </w:tabs>
        <w:autoSpaceDE w:val="0"/>
        <w:autoSpaceDN w:val="0"/>
        <w:adjustRightInd w:val="0"/>
        <w:ind w:left="0" w:firstLine="0"/>
        <w:rPr>
          <w:bCs/>
          <w:iCs/>
          <w:szCs w:val="20"/>
          <w:lang w:val="es-ES"/>
        </w:rPr>
      </w:pPr>
      <w:r w:rsidRPr="00B456A2">
        <w:rPr>
          <w:bCs/>
          <w:iCs/>
          <w:szCs w:val="20"/>
          <w:lang w:val="es-ES"/>
        </w:rPr>
        <w:t xml:space="preserve">En respuesta a </w:t>
      </w:r>
      <w:r w:rsidR="004432BD" w:rsidRPr="00B456A2">
        <w:rPr>
          <w:bCs/>
          <w:iCs/>
          <w:szCs w:val="20"/>
          <w:lang w:val="es-ES"/>
        </w:rPr>
        <w:t>la</w:t>
      </w:r>
      <w:r w:rsidRPr="00B456A2">
        <w:rPr>
          <w:bCs/>
          <w:iCs/>
          <w:szCs w:val="20"/>
          <w:lang w:val="es-ES"/>
        </w:rPr>
        <w:t xml:space="preserve"> recusación</w:t>
      </w:r>
      <w:r w:rsidR="004432BD" w:rsidRPr="00B456A2">
        <w:rPr>
          <w:bCs/>
          <w:iCs/>
          <w:szCs w:val="20"/>
          <w:lang w:val="es-ES"/>
        </w:rPr>
        <w:t xml:space="preserve"> del Estado</w:t>
      </w:r>
      <w:r w:rsidRPr="00B456A2">
        <w:rPr>
          <w:bCs/>
          <w:iCs/>
          <w:szCs w:val="20"/>
          <w:lang w:val="es-ES"/>
        </w:rPr>
        <w:t xml:space="preserve">, </w:t>
      </w:r>
      <w:r w:rsidR="00021522" w:rsidRPr="00B456A2">
        <w:rPr>
          <w:bCs/>
          <w:iCs/>
          <w:szCs w:val="20"/>
          <w:lang w:val="es-ES"/>
        </w:rPr>
        <w:t xml:space="preserve">la señora </w:t>
      </w:r>
      <w:r w:rsidRPr="00B456A2">
        <w:rPr>
          <w:bCs/>
          <w:iCs/>
          <w:szCs w:val="20"/>
          <w:lang w:val="es-ES"/>
        </w:rPr>
        <w:t xml:space="preserve">Magaly Vásquez </w:t>
      </w:r>
      <w:r w:rsidR="00021522" w:rsidRPr="00B456A2">
        <w:rPr>
          <w:bCs/>
          <w:iCs/>
          <w:szCs w:val="20"/>
          <w:lang w:val="es-ES"/>
        </w:rPr>
        <w:t>respondió</w:t>
      </w:r>
      <w:r w:rsidRPr="00B456A2">
        <w:rPr>
          <w:bCs/>
          <w:iCs/>
          <w:szCs w:val="20"/>
          <w:lang w:val="es-ES"/>
        </w:rPr>
        <w:t xml:space="preserve"> que no ha sido abogada de Tulio Álvarez, </w:t>
      </w:r>
      <w:r w:rsidR="00021522" w:rsidRPr="00B456A2">
        <w:rPr>
          <w:bCs/>
          <w:iCs/>
          <w:szCs w:val="20"/>
          <w:lang w:val="es-ES"/>
        </w:rPr>
        <w:t xml:space="preserve">presunta </w:t>
      </w:r>
      <w:r w:rsidRPr="00B456A2">
        <w:rPr>
          <w:bCs/>
          <w:iCs/>
          <w:szCs w:val="20"/>
          <w:lang w:val="es-ES"/>
        </w:rPr>
        <w:t xml:space="preserve">víctima del presente caso, sin embargo </w:t>
      </w:r>
      <w:r w:rsidR="00021522" w:rsidRPr="00B456A2">
        <w:rPr>
          <w:bCs/>
          <w:iCs/>
          <w:szCs w:val="20"/>
          <w:lang w:val="es-ES"/>
        </w:rPr>
        <w:t xml:space="preserve">mencionó </w:t>
      </w:r>
      <w:r w:rsidRPr="00B456A2">
        <w:rPr>
          <w:bCs/>
          <w:iCs/>
          <w:szCs w:val="20"/>
          <w:lang w:val="es-ES"/>
        </w:rPr>
        <w:t xml:space="preserve">que el Estado presume el interés directo por la sola circunstancia de haber ejercido la abogacía en Venezuela y asistir penalmente </w:t>
      </w:r>
      <w:r w:rsidR="00021522" w:rsidRPr="00B456A2">
        <w:rPr>
          <w:bCs/>
          <w:iCs/>
          <w:szCs w:val="20"/>
          <w:lang w:val="es-ES"/>
        </w:rPr>
        <w:t xml:space="preserve">a </w:t>
      </w:r>
      <w:r w:rsidRPr="00B456A2">
        <w:rPr>
          <w:bCs/>
          <w:iCs/>
          <w:szCs w:val="20"/>
          <w:lang w:val="es-ES"/>
        </w:rPr>
        <w:t>un ciudadano en el proceso penal que se le siguió en Venezuela como consecuencia de su</w:t>
      </w:r>
      <w:r w:rsidR="00021522" w:rsidRPr="00B456A2">
        <w:rPr>
          <w:bCs/>
          <w:iCs/>
          <w:szCs w:val="20"/>
          <w:lang w:val="es-ES"/>
        </w:rPr>
        <w:t xml:space="preserve"> </w:t>
      </w:r>
      <w:r w:rsidRPr="00B456A2">
        <w:rPr>
          <w:bCs/>
          <w:iCs/>
          <w:szCs w:val="20"/>
          <w:lang w:val="es-ES"/>
        </w:rPr>
        <w:t>ejercicio del derecho a la libertad de expresión</w:t>
      </w:r>
      <w:r w:rsidR="00021522" w:rsidRPr="00B456A2">
        <w:rPr>
          <w:bCs/>
          <w:iCs/>
          <w:szCs w:val="20"/>
          <w:lang w:val="es-ES"/>
        </w:rPr>
        <w:t xml:space="preserve">. Asimismo, afirmó que </w:t>
      </w:r>
      <w:r w:rsidRPr="00B456A2">
        <w:rPr>
          <w:bCs/>
          <w:iCs/>
          <w:szCs w:val="20"/>
          <w:lang w:val="es-ES"/>
        </w:rPr>
        <w:t>no represent</w:t>
      </w:r>
      <w:r w:rsidR="00052B68">
        <w:rPr>
          <w:bCs/>
          <w:iCs/>
          <w:szCs w:val="20"/>
          <w:lang w:val="es-ES"/>
        </w:rPr>
        <w:t>ó</w:t>
      </w:r>
      <w:r w:rsidRPr="00B456A2">
        <w:rPr>
          <w:bCs/>
          <w:iCs/>
          <w:szCs w:val="20"/>
          <w:lang w:val="es-ES"/>
        </w:rPr>
        <w:t xml:space="preserve"> </w:t>
      </w:r>
      <w:r w:rsidR="00021522" w:rsidRPr="00B456A2">
        <w:rPr>
          <w:bCs/>
          <w:iCs/>
          <w:szCs w:val="20"/>
          <w:lang w:val="es-ES"/>
        </w:rPr>
        <w:t xml:space="preserve">al referido ciudadano </w:t>
      </w:r>
      <w:r w:rsidRPr="00B456A2">
        <w:rPr>
          <w:bCs/>
          <w:iCs/>
          <w:szCs w:val="20"/>
          <w:lang w:val="es-ES"/>
        </w:rPr>
        <w:t xml:space="preserve">en la petición que </w:t>
      </w:r>
      <w:r w:rsidR="00052B68">
        <w:rPr>
          <w:bCs/>
          <w:iCs/>
          <w:szCs w:val="20"/>
          <w:lang w:val="es-ES"/>
        </w:rPr>
        <w:t>fue tramitada</w:t>
      </w:r>
      <w:r w:rsidR="00052B68" w:rsidRPr="00B456A2">
        <w:rPr>
          <w:bCs/>
          <w:iCs/>
          <w:szCs w:val="20"/>
          <w:lang w:val="es-ES"/>
        </w:rPr>
        <w:t xml:space="preserve"> </w:t>
      </w:r>
      <w:r w:rsidRPr="00B456A2">
        <w:rPr>
          <w:bCs/>
          <w:iCs/>
          <w:szCs w:val="20"/>
          <w:lang w:val="es-ES"/>
        </w:rPr>
        <w:t xml:space="preserve">ante la </w:t>
      </w:r>
      <w:r w:rsidR="00021522" w:rsidRPr="00B456A2">
        <w:rPr>
          <w:bCs/>
          <w:iCs/>
          <w:szCs w:val="20"/>
          <w:lang w:val="es-ES"/>
        </w:rPr>
        <w:t xml:space="preserve">Comisión Interamericana </w:t>
      </w:r>
      <w:r w:rsidRPr="00B456A2">
        <w:rPr>
          <w:bCs/>
          <w:iCs/>
          <w:szCs w:val="20"/>
          <w:lang w:val="es-ES"/>
        </w:rPr>
        <w:t>y</w:t>
      </w:r>
      <w:r w:rsidR="00A674FD">
        <w:rPr>
          <w:bCs/>
          <w:iCs/>
          <w:szCs w:val="20"/>
          <w:lang w:val="es-ES"/>
        </w:rPr>
        <w:t xml:space="preserve"> que </w:t>
      </w:r>
      <w:r w:rsidRPr="00B456A2">
        <w:rPr>
          <w:bCs/>
          <w:iCs/>
          <w:szCs w:val="20"/>
          <w:lang w:val="es-ES"/>
        </w:rPr>
        <w:t xml:space="preserve">no </w:t>
      </w:r>
      <w:r w:rsidR="00052B68">
        <w:rPr>
          <w:bCs/>
          <w:iCs/>
          <w:szCs w:val="20"/>
          <w:lang w:val="es-ES"/>
        </w:rPr>
        <w:t>le era</w:t>
      </w:r>
      <w:r w:rsidR="00052B68" w:rsidRPr="00B456A2">
        <w:rPr>
          <w:bCs/>
          <w:iCs/>
          <w:szCs w:val="20"/>
          <w:lang w:val="es-ES"/>
        </w:rPr>
        <w:t xml:space="preserve"> </w:t>
      </w:r>
      <w:r w:rsidRPr="00B456A2">
        <w:rPr>
          <w:bCs/>
          <w:iCs/>
          <w:szCs w:val="20"/>
          <w:lang w:val="es-ES"/>
        </w:rPr>
        <w:t xml:space="preserve">posible conocer </w:t>
      </w:r>
      <w:r w:rsidRPr="00B456A2">
        <w:rPr>
          <w:bCs/>
          <w:i/>
          <w:iCs/>
          <w:szCs w:val="20"/>
          <w:lang w:val="es-ES"/>
        </w:rPr>
        <w:t>a priori</w:t>
      </w:r>
      <w:r w:rsidRPr="00B456A2">
        <w:rPr>
          <w:bCs/>
          <w:iCs/>
          <w:szCs w:val="20"/>
          <w:lang w:val="es-ES"/>
        </w:rPr>
        <w:t xml:space="preserve"> el destino que tendr</w:t>
      </w:r>
      <w:r w:rsidR="00052B68">
        <w:rPr>
          <w:bCs/>
          <w:iCs/>
          <w:szCs w:val="20"/>
          <w:lang w:val="es-ES"/>
        </w:rPr>
        <w:t>ía</w:t>
      </w:r>
      <w:r w:rsidRPr="00B456A2">
        <w:rPr>
          <w:bCs/>
          <w:iCs/>
          <w:szCs w:val="20"/>
          <w:lang w:val="es-ES"/>
        </w:rPr>
        <w:t xml:space="preserve"> tal solitud.</w:t>
      </w:r>
      <w:r w:rsidR="00021522" w:rsidRPr="00B456A2">
        <w:rPr>
          <w:bCs/>
          <w:iCs/>
          <w:szCs w:val="20"/>
          <w:lang w:val="es-ES"/>
        </w:rPr>
        <w:t xml:space="preserve"> Finalmente, destacó que </w:t>
      </w:r>
      <w:r w:rsidR="007C1322">
        <w:rPr>
          <w:bCs/>
          <w:iCs/>
          <w:szCs w:val="20"/>
          <w:lang w:val="es-ES"/>
        </w:rPr>
        <w:t xml:space="preserve">el Estado no demostró su presunto interés directo en la </w:t>
      </w:r>
      <w:r w:rsidR="00825E2F">
        <w:rPr>
          <w:bCs/>
          <w:iCs/>
          <w:szCs w:val="20"/>
          <w:lang w:val="es-ES"/>
        </w:rPr>
        <w:t>causa, esencial para declarar procedente la recusación</w:t>
      </w:r>
      <w:r w:rsidRPr="00B456A2">
        <w:rPr>
          <w:bCs/>
          <w:iCs/>
          <w:szCs w:val="20"/>
          <w:lang w:val="es-ES"/>
        </w:rPr>
        <w:t xml:space="preserve">. </w:t>
      </w:r>
    </w:p>
    <w:p w14:paraId="0279E633" w14:textId="77777777" w:rsidR="00AF245F" w:rsidRPr="00B456A2" w:rsidRDefault="00AF245F" w:rsidP="00A12940">
      <w:pPr>
        <w:tabs>
          <w:tab w:val="left" w:pos="0"/>
        </w:tabs>
        <w:autoSpaceDE w:val="0"/>
        <w:autoSpaceDN w:val="0"/>
        <w:adjustRightInd w:val="0"/>
        <w:rPr>
          <w:bCs/>
          <w:iCs/>
          <w:szCs w:val="20"/>
          <w:lang w:val="es-ES"/>
        </w:rPr>
      </w:pPr>
    </w:p>
    <w:p w14:paraId="1980DAFE" w14:textId="63A358C8" w:rsidR="00AF245F" w:rsidRPr="00B456A2" w:rsidRDefault="00825E2F" w:rsidP="00A12940">
      <w:pPr>
        <w:pStyle w:val="ListParagraph"/>
        <w:numPr>
          <w:ilvl w:val="0"/>
          <w:numId w:val="10"/>
        </w:numPr>
        <w:tabs>
          <w:tab w:val="left" w:pos="0"/>
        </w:tabs>
        <w:autoSpaceDE w:val="0"/>
        <w:autoSpaceDN w:val="0"/>
        <w:adjustRightInd w:val="0"/>
        <w:ind w:left="0" w:firstLine="0"/>
        <w:rPr>
          <w:bCs/>
          <w:iCs/>
          <w:szCs w:val="20"/>
          <w:lang w:val="es-ES"/>
        </w:rPr>
      </w:pPr>
      <w:r>
        <w:rPr>
          <w:bCs/>
          <w:iCs/>
          <w:szCs w:val="20"/>
          <w:lang w:val="es-ES"/>
        </w:rPr>
        <w:t>E</w:t>
      </w:r>
      <w:r w:rsidR="00AF245F" w:rsidRPr="00B456A2">
        <w:rPr>
          <w:bCs/>
          <w:iCs/>
          <w:szCs w:val="20"/>
          <w:lang w:val="es-ES"/>
        </w:rPr>
        <w:t xml:space="preserve">sta Presidencia considera que no encuentra </w:t>
      </w:r>
      <w:r w:rsidR="00E4391E">
        <w:rPr>
          <w:bCs/>
          <w:iCs/>
          <w:szCs w:val="20"/>
          <w:lang w:val="es-ES"/>
        </w:rPr>
        <w:t>sustento</w:t>
      </w:r>
      <w:r w:rsidR="00AF245F" w:rsidRPr="00B456A2">
        <w:rPr>
          <w:bCs/>
          <w:iCs/>
          <w:szCs w:val="20"/>
          <w:lang w:val="es-ES"/>
        </w:rPr>
        <w:t xml:space="preserve"> </w:t>
      </w:r>
      <w:r>
        <w:rPr>
          <w:bCs/>
          <w:iCs/>
          <w:szCs w:val="20"/>
          <w:lang w:val="es-ES"/>
        </w:rPr>
        <w:t xml:space="preserve">la recusación presentada por el Estado. Por una parte, </w:t>
      </w:r>
      <w:r w:rsidR="00E4391E">
        <w:rPr>
          <w:bCs/>
          <w:iCs/>
          <w:szCs w:val="20"/>
          <w:lang w:val="es-ES"/>
        </w:rPr>
        <w:t>la perita</w:t>
      </w:r>
      <w:r>
        <w:rPr>
          <w:bCs/>
          <w:iCs/>
          <w:szCs w:val="20"/>
          <w:lang w:val="es-ES"/>
        </w:rPr>
        <w:t xml:space="preserve"> propuesta</w:t>
      </w:r>
      <w:r w:rsidR="005230AB" w:rsidRPr="00B456A2">
        <w:rPr>
          <w:bCs/>
          <w:iCs/>
          <w:szCs w:val="20"/>
          <w:lang w:val="es-ES"/>
        </w:rPr>
        <w:t xml:space="preserve"> no participó en el presente caso</w:t>
      </w:r>
      <w:r w:rsidR="00C456F7">
        <w:rPr>
          <w:bCs/>
          <w:iCs/>
          <w:szCs w:val="20"/>
          <w:lang w:val="es-ES"/>
        </w:rPr>
        <w:t>,</w:t>
      </w:r>
      <w:r w:rsidR="005230AB" w:rsidRPr="00B456A2">
        <w:rPr>
          <w:bCs/>
          <w:iCs/>
          <w:szCs w:val="20"/>
          <w:lang w:val="es-ES"/>
        </w:rPr>
        <w:t xml:space="preserve"> ni tampoco </w:t>
      </w:r>
      <w:r w:rsidR="00C456F7">
        <w:rPr>
          <w:bCs/>
          <w:iCs/>
          <w:szCs w:val="20"/>
          <w:lang w:val="es-ES"/>
        </w:rPr>
        <w:t>fue</w:t>
      </w:r>
      <w:r w:rsidR="005230AB" w:rsidRPr="00B456A2">
        <w:rPr>
          <w:bCs/>
          <w:iCs/>
          <w:szCs w:val="20"/>
          <w:lang w:val="es-ES"/>
        </w:rPr>
        <w:t xml:space="preserve"> demostrado que tiene un interés directo en la causa. El simple hecho de ejercer su función como abogada litigante no es suficiente para justificar su recusación como </w:t>
      </w:r>
      <w:r w:rsidR="00E4391E">
        <w:rPr>
          <w:bCs/>
          <w:iCs/>
          <w:szCs w:val="20"/>
          <w:lang w:val="es-ES"/>
        </w:rPr>
        <w:t>perita</w:t>
      </w:r>
      <w:r w:rsidR="005230AB" w:rsidRPr="00B456A2">
        <w:rPr>
          <w:bCs/>
          <w:iCs/>
          <w:szCs w:val="20"/>
        </w:rPr>
        <w:t xml:space="preserve"> en el presente caso</w:t>
      </w:r>
      <w:r w:rsidR="00AF245F" w:rsidRPr="00B456A2">
        <w:rPr>
          <w:bCs/>
          <w:iCs/>
          <w:szCs w:val="20"/>
        </w:rPr>
        <w:t xml:space="preserve">. En virtud de lo anterior, esta Presidencia resuelve rechazar la </w:t>
      </w:r>
      <w:r w:rsidR="005230AB" w:rsidRPr="00B456A2">
        <w:rPr>
          <w:bCs/>
          <w:iCs/>
          <w:szCs w:val="20"/>
        </w:rPr>
        <w:t xml:space="preserve">recusación </w:t>
      </w:r>
      <w:r w:rsidR="00BC243D" w:rsidRPr="00B456A2">
        <w:rPr>
          <w:bCs/>
          <w:iCs/>
          <w:szCs w:val="20"/>
        </w:rPr>
        <w:t>d</w:t>
      </w:r>
      <w:r w:rsidR="00AF245F" w:rsidRPr="00B456A2">
        <w:rPr>
          <w:bCs/>
          <w:iCs/>
          <w:szCs w:val="20"/>
        </w:rPr>
        <w:t>el Estado</w:t>
      </w:r>
      <w:r w:rsidR="005230AB" w:rsidRPr="00B456A2">
        <w:rPr>
          <w:bCs/>
          <w:iCs/>
          <w:szCs w:val="20"/>
        </w:rPr>
        <w:t xml:space="preserve"> y admitir el dictamen pericial ofrecido por los representantes. El objeto y su modalidad será determinado en la parte resolutiva de la presente Resolución (</w:t>
      </w:r>
      <w:r w:rsidR="005230AB" w:rsidRPr="00B456A2">
        <w:rPr>
          <w:bCs/>
          <w:i/>
          <w:iCs/>
          <w:szCs w:val="20"/>
          <w:lang w:val="es-ES"/>
        </w:rPr>
        <w:t>infra</w:t>
      </w:r>
      <w:r w:rsidR="005230AB" w:rsidRPr="00B456A2">
        <w:rPr>
          <w:bCs/>
          <w:iCs/>
          <w:szCs w:val="20"/>
          <w:lang w:val="es-ES"/>
        </w:rPr>
        <w:t xml:space="preserve"> punto resolutivo </w:t>
      </w:r>
      <w:r w:rsidR="00F77F52">
        <w:rPr>
          <w:bCs/>
          <w:iCs/>
          <w:szCs w:val="20"/>
          <w:lang w:val="es-ES"/>
        </w:rPr>
        <w:t>1</w:t>
      </w:r>
      <w:r w:rsidR="005230AB" w:rsidRPr="00B456A2">
        <w:rPr>
          <w:bCs/>
          <w:iCs/>
          <w:szCs w:val="20"/>
          <w:lang w:val="es-ES"/>
        </w:rPr>
        <w:t>).</w:t>
      </w:r>
    </w:p>
    <w:p w14:paraId="7F5DF90B" w14:textId="77777777" w:rsidR="005230AB" w:rsidRPr="00B456A2" w:rsidRDefault="005230AB" w:rsidP="006E73D8">
      <w:pPr>
        <w:tabs>
          <w:tab w:val="left" w:pos="0"/>
        </w:tabs>
        <w:autoSpaceDE w:val="0"/>
        <w:autoSpaceDN w:val="0"/>
        <w:adjustRightInd w:val="0"/>
        <w:rPr>
          <w:bCs/>
          <w:iCs/>
          <w:szCs w:val="20"/>
          <w:lang w:val="es-ES"/>
        </w:rPr>
      </w:pPr>
    </w:p>
    <w:p w14:paraId="532829BC" w14:textId="4B49EE30" w:rsidR="006E73D8" w:rsidRPr="00B456A2" w:rsidRDefault="006E73D8" w:rsidP="00B456A2">
      <w:pPr>
        <w:pStyle w:val="Heading2"/>
        <w:rPr>
          <w:b w:val="0"/>
          <w:i w:val="0"/>
        </w:rPr>
      </w:pPr>
      <w:r w:rsidRPr="00B456A2">
        <w:rPr>
          <w:lang w:val="es-ES"/>
        </w:rPr>
        <w:t xml:space="preserve">Solicitud de la Comisión de formular preguntas a dos </w:t>
      </w:r>
      <w:r w:rsidR="00E4391E">
        <w:rPr>
          <w:lang w:val="es-ES"/>
        </w:rPr>
        <w:t>perita</w:t>
      </w:r>
      <w:r w:rsidRPr="00B456A2">
        <w:rPr>
          <w:szCs w:val="22"/>
        </w:rPr>
        <w:t>s ofrecidas por los representantes</w:t>
      </w:r>
    </w:p>
    <w:p w14:paraId="46D5EC2F" w14:textId="77777777" w:rsidR="006E73D8" w:rsidRPr="00B456A2" w:rsidRDefault="006E73D8" w:rsidP="006E73D8">
      <w:pPr>
        <w:tabs>
          <w:tab w:val="left" w:pos="0"/>
        </w:tabs>
        <w:autoSpaceDE w:val="0"/>
        <w:autoSpaceDN w:val="0"/>
        <w:adjustRightInd w:val="0"/>
        <w:rPr>
          <w:bCs/>
          <w:iCs/>
          <w:szCs w:val="20"/>
        </w:rPr>
      </w:pPr>
    </w:p>
    <w:p w14:paraId="17D2AD94" w14:textId="6F7AB361" w:rsidR="00BA4F46" w:rsidRPr="00B456A2" w:rsidRDefault="006E73D8" w:rsidP="00A12940">
      <w:pPr>
        <w:pStyle w:val="ListParagraph"/>
        <w:numPr>
          <w:ilvl w:val="0"/>
          <w:numId w:val="10"/>
        </w:numPr>
        <w:tabs>
          <w:tab w:val="left" w:pos="0"/>
        </w:tabs>
        <w:ind w:left="0" w:firstLine="0"/>
        <w:rPr>
          <w:szCs w:val="20"/>
        </w:rPr>
      </w:pPr>
      <w:r w:rsidRPr="00B456A2">
        <w:rPr>
          <w:szCs w:val="20"/>
        </w:rPr>
        <w:t>L</w:t>
      </w:r>
      <w:r w:rsidR="00BA4F46" w:rsidRPr="00B456A2">
        <w:rPr>
          <w:szCs w:val="20"/>
        </w:rPr>
        <w:t>a Comisión Interamericana solicitó la oportunidad verbal o escrita de formular preguntas, en la medida de lo relevante, a dos peritas ofrecidas por los representantes de la presunta víctima: Magaly Vázquez y Catalina Botero. La Comisión consideró que el objeto de ambos peritajes se relaciona tanto con el orden público interamericano como con la materia sobre la cual versan los peritajes ofrecidos por la Comisión. Al respecto, notó que la integridad del peritaje a ser rendido por Catalina Botero se encuentra directamente relacionado con el p</w:t>
      </w:r>
      <w:r w:rsidR="00BC243D" w:rsidRPr="00B456A2">
        <w:rPr>
          <w:szCs w:val="20"/>
        </w:rPr>
        <w:t xml:space="preserve">eritaje que </w:t>
      </w:r>
      <w:r w:rsidRPr="00B456A2">
        <w:rPr>
          <w:szCs w:val="20"/>
        </w:rPr>
        <w:t xml:space="preserve">sería rendido por </w:t>
      </w:r>
      <w:r w:rsidR="00BA4F46" w:rsidRPr="00B456A2">
        <w:rPr>
          <w:szCs w:val="20"/>
        </w:rPr>
        <w:t xml:space="preserve">Agnés Callamard. Por su parte, el peritaje a ser rendido por Magaly Vázquez, específicamente en lo relativo al uso de ciertos delitos para criminalizar la disidencia política en Venezuela, incluyendo comunicadores sociales, se encuentra directamente vinculado con el peritaje </w:t>
      </w:r>
      <w:r w:rsidRPr="00B456A2">
        <w:rPr>
          <w:szCs w:val="20"/>
        </w:rPr>
        <w:t xml:space="preserve">que sería rendido </w:t>
      </w:r>
      <w:r w:rsidR="00BA4F46" w:rsidRPr="00B456A2">
        <w:rPr>
          <w:szCs w:val="20"/>
        </w:rPr>
        <w:t>por Andrés Cañizalez.</w:t>
      </w:r>
    </w:p>
    <w:p w14:paraId="0859CCD4" w14:textId="77777777" w:rsidR="006E73D8" w:rsidRPr="00B456A2" w:rsidRDefault="006E73D8" w:rsidP="00A12940">
      <w:pPr>
        <w:pStyle w:val="ListParagraph"/>
        <w:tabs>
          <w:tab w:val="left" w:pos="0"/>
        </w:tabs>
        <w:ind w:left="0"/>
        <w:rPr>
          <w:szCs w:val="20"/>
        </w:rPr>
      </w:pPr>
    </w:p>
    <w:p w14:paraId="78138E1F" w14:textId="235507CB" w:rsidR="006E73D8" w:rsidRPr="00B456A2" w:rsidRDefault="00A674FD" w:rsidP="00A12940">
      <w:pPr>
        <w:pStyle w:val="ListParagraph"/>
        <w:numPr>
          <w:ilvl w:val="0"/>
          <w:numId w:val="10"/>
        </w:numPr>
        <w:tabs>
          <w:tab w:val="left" w:pos="0"/>
        </w:tabs>
        <w:autoSpaceDE w:val="0"/>
        <w:autoSpaceDN w:val="0"/>
        <w:adjustRightInd w:val="0"/>
        <w:ind w:left="0" w:firstLine="0"/>
        <w:rPr>
          <w:bCs/>
          <w:iCs/>
          <w:szCs w:val="20"/>
        </w:rPr>
      </w:pPr>
      <w:r>
        <w:rPr>
          <w:szCs w:val="20"/>
        </w:rPr>
        <w:t>E</w:t>
      </w:r>
      <w:r w:rsidR="006E73D8" w:rsidRPr="00B456A2">
        <w:rPr>
          <w:bCs/>
          <w:iCs/>
          <w:szCs w:val="20"/>
        </w:rPr>
        <w:t>l Presidente recuerda que</w:t>
      </w:r>
      <w:r>
        <w:rPr>
          <w:bCs/>
          <w:iCs/>
          <w:szCs w:val="20"/>
        </w:rPr>
        <w:t>,</w:t>
      </w:r>
      <w:r w:rsidR="006E73D8" w:rsidRPr="00B456A2">
        <w:rPr>
          <w:bCs/>
          <w:iCs/>
          <w:szCs w:val="20"/>
        </w:rPr>
        <w:t xml:space="preserve"> de conformidad con lo establecido en </w:t>
      </w:r>
      <w:r w:rsidR="0083079E">
        <w:rPr>
          <w:bCs/>
          <w:iCs/>
          <w:szCs w:val="20"/>
        </w:rPr>
        <w:t xml:space="preserve">el </w:t>
      </w:r>
      <w:r w:rsidR="006E73D8" w:rsidRPr="00B456A2">
        <w:rPr>
          <w:bCs/>
          <w:iCs/>
          <w:szCs w:val="20"/>
        </w:rPr>
        <w:t>artículo 52.3 del Reglamento, corresponde a la Comisión fundamentar en cada caso cuál es la vinculación tanto con el orden público interamericano como con la materia sobre la que verse un peritaje ofrecido por la misma, para que la Corte o su Presidencia pueda evaluar la solicitud oportunamente y, si corresponde, autorizar la posibilidad de que la Comisión haga su interrogatorio</w:t>
      </w:r>
      <w:r w:rsidR="006E73D8" w:rsidRPr="00B456A2">
        <w:rPr>
          <w:rStyle w:val="FootnoteReference"/>
          <w:bCs/>
          <w:iCs/>
          <w:szCs w:val="20"/>
        </w:rPr>
        <w:footnoteReference w:id="1"/>
      </w:r>
      <w:r w:rsidR="006E73D8" w:rsidRPr="00B456A2">
        <w:rPr>
          <w:bCs/>
          <w:iCs/>
          <w:szCs w:val="20"/>
        </w:rPr>
        <w:t xml:space="preserve">. </w:t>
      </w:r>
    </w:p>
    <w:p w14:paraId="21402271" w14:textId="77777777" w:rsidR="006E73D8" w:rsidRPr="00B456A2" w:rsidRDefault="006E73D8" w:rsidP="00A12940">
      <w:pPr>
        <w:pStyle w:val="ListParagraph"/>
        <w:ind w:left="0"/>
        <w:rPr>
          <w:bCs/>
          <w:iCs/>
          <w:szCs w:val="20"/>
        </w:rPr>
      </w:pPr>
    </w:p>
    <w:p w14:paraId="3476012C" w14:textId="1018B8B0" w:rsidR="006E73D8" w:rsidRPr="00B456A2" w:rsidRDefault="006E73D8" w:rsidP="00A12940">
      <w:pPr>
        <w:pStyle w:val="ListParagraph"/>
        <w:numPr>
          <w:ilvl w:val="0"/>
          <w:numId w:val="10"/>
        </w:numPr>
        <w:tabs>
          <w:tab w:val="left" w:pos="0"/>
        </w:tabs>
        <w:autoSpaceDE w:val="0"/>
        <w:autoSpaceDN w:val="0"/>
        <w:adjustRightInd w:val="0"/>
        <w:ind w:left="0" w:firstLine="0"/>
        <w:rPr>
          <w:bCs/>
          <w:iCs/>
          <w:szCs w:val="20"/>
        </w:rPr>
      </w:pPr>
      <w:r w:rsidRPr="00B456A2">
        <w:rPr>
          <w:bCs/>
          <w:iCs/>
          <w:szCs w:val="20"/>
        </w:rPr>
        <w:t xml:space="preserve">La Presidencia considera que efectivamente </w:t>
      </w:r>
      <w:r w:rsidR="0083079E">
        <w:rPr>
          <w:bCs/>
          <w:iCs/>
          <w:szCs w:val="20"/>
        </w:rPr>
        <w:t>los</w:t>
      </w:r>
      <w:r w:rsidRPr="00B456A2">
        <w:rPr>
          <w:bCs/>
          <w:iCs/>
          <w:szCs w:val="20"/>
        </w:rPr>
        <w:t xml:space="preserve"> dict</w:t>
      </w:r>
      <w:r w:rsidR="0083079E">
        <w:rPr>
          <w:bCs/>
          <w:iCs/>
          <w:szCs w:val="20"/>
        </w:rPr>
        <w:t>á</w:t>
      </w:r>
      <w:r w:rsidRPr="00B456A2">
        <w:rPr>
          <w:bCs/>
          <w:iCs/>
          <w:szCs w:val="20"/>
        </w:rPr>
        <w:t>men</w:t>
      </w:r>
      <w:r w:rsidR="0083079E">
        <w:rPr>
          <w:bCs/>
          <w:iCs/>
          <w:szCs w:val="20"/>
        </w:rPr>
        <w:t xml:space="preserve">es </w:t>
      </w:r>
      <w:r w:rsidRPr="00B456A2">
        <w:rPr>
          <w:bCs/>
          <w:iCs/>
          <w:szCs w:val="20"/>
        </w:rPr>
        <w:t>pericial</w:t>
      </w:r>
      <w:r w:rsidR="0083079E">
        <w:rPr>
          <w:bCs/>
          <w:iCs/>
          <w:szCs w:val="20"/>
        </w:rPr>
        <w:t>es</w:t>
      </w:r>
      <w:r w:rsidRPr="00B456A2">
        <w:rPr>
          <w:bCs/>
          <w:iCs/>
          <w:szCs w:val="20"/>
        </w:rPr>
        <w:t xml:space="preserve"> de la</w:t>
      </w:r>
      <w:r w:rsidR="0083079E">
        <w:rPr>
          <w:bCs/>
          <w:iCs/>
          <w:szCs w:val="20"/>
        </w:rPr>
        <w:t>s</w:t>
      </w:r>
      <w:r w:rsidRPr="00B456A2">
        <w:rPr>
          <w:bCs/>
          <w:iCs/>
          <w:szCs w:val="20"/>
        </w:rPr>
        <w:t xml:space="preserve"> señora</w:t>
      </w:r>
      <w:r w:rsidR="0083079E">
        <w:rPr>
          <w:bCs/>
          <w:iCs/>
          <w:szCs w:val="20"/>
        </w:rPr>
        <w:t>s</w:t>
      </w:r>
      <w:r w:rsidRPr="00B456A2">
        <w:rPr>
          <w:bCs/>
          <w:iCs/>
          <w:szCs w:val="20"/>
        </w:rPr>
        <w:t xml:space="preserve"> Vázquez </w:t>
      </w:r>
      <w:r w:rsidR="0083079E">
        <w:rPr>
          <w:bCs/>
          <w:iCs/>
          <w:szCs w:val="20"/>
        </w:rPr>
        <w:t xml:space="preserve">y Botero </w:t>
      </w:r>
      <w:r w:rsidRPr="00B456A2">
        <w:rPr>
          <w:bCs/>
          <w:iCs/>
          <w:szCs w:val="20"/>
        </w:rPr>
        <w:t>se encuentra</w:t>
      </w:r>
      <w:r w:rsidR="0083079E">
        <w:rPr>
          <w:bCs/>
          <w:iCs/>
          <w:szCs w:val="20"/>
        </w:rPr>
        <w:t>n</w:t>
      </w:r>
      <w:r w:rsidRPr="00B456A2">
        <w:rPr>
          <w:bCs/>
          <w:iCs/>
          <w:szCs w:val="20"/>
        </w:rPr>
        <w:t xml:space="preserve"> relacionado</w:t>
      </w:r>
      <w:r w:rsidR="00A12940">
        <w:rPr>
          <w:bCs/>
          <w:iCs/>
          <w:szCs w:val="20"/>
        </w:rPr>
        <w:t>s</w:t>
      </w:r>
      <w:r w:rsidRPr="00B456A2">
        <w:rPr>
          <w:bCs/>
          <w:iCs/>
          <w:szCs w:val="20"/>
        </w:rPr>
        <w:t xml:space="preserve"> con </w:t>
      </w:r>
      <w:r w:rsidR="0083079E">
        <w:rPr>
          <w:bCs/>
          <w:iCs/>
          <w:szCs w:val="20"/>
        </w:rPr>
        <w:t xml:space="preserve">los </w:t>
      </w:r>
      <w:r w:rsidRPr="00B456A2">
        <w:rPr>
          <w:bCs/>
          <w:iCs/>
          <w:szCs w:val="20"/>
        </w:rPr>
        <w:t>peritaje</w:t>
      </w:r>
      <w:r w:rsidR="0083079E">
        <w:rPr>
          <w:bCs/>
          <w:iCs/>
          <w:szCs w:val="20"/>
        </w:rPr>
        <w:t>s</w:t>
      </w:r>
      <w:r w:rsidRPr="00B456A2">
        <w:rPr>
          <w:bCs/>
          <w:iCs/>
          <w:szCs w:val="20"/>
        </w:rPr>
        <w:t xml:space="preserve"> ofrecido</w:t>
      </w:r>
      <w:r w:rsidR="0083079E">
        <w:rPr>
          <w:bCs/>
          <w:iCs/>
          <w:szCs w:val="20"/>
        </w:rPr>
        <w:t>s</w:t>
      </w:r>
      <w:r w:rsidRPr="00B456A2">
        <w:rPr>
          <w:bCs/>
          <w:iCs/>
          <w:szCs w:val="20"/>
        </w:rPr>
        <w:t xml:space="preserve"> por la Comisión y afecta</w:t>
      </w:r>
      <w:r w:rsidR="0083079E">
        <w:rPr>
          <w:bCs/>
          <w:iCs/>
          <w:szCs w:val="20"/>
        </w:rPr>
        <w:t>n</w:t>
      </w:r>
      <w:r w:rsidRPr="00B456A2">
        <w:rPr>
          <w:bCs/>
          <w:iCs/>
          <w:szCs w:val="20"/>
        </w:rPr>
        <w:t xml:space="preserve"> de manera relevante el orden público interamericano de los derechos humanos, motivo por el cual considera procedente, de conformidad con </w:t>
      </w:r>
      <w:r w:rsidR="0083079E">
        <w:rPr>
          <w:bCs/>
          <w:iCs/>
          <w:szCs w:val="20"/>
        </w:rPr>
        <w:t xml:space="preserve">el </w:t>
      </w:r>
      <w:r w:rsidRPr="00B456A2">
        <w:rPr>
          <w:bCs/>
          <w:iCs/>
          <w:szCs w:val="20"/>
        </w:rPr>
        <w:t xml:space="preserve">artículo 52.3 del Reglamento, conceder la oportunidad a la Comisión para formular preguntas a </w:t>
      </w:r>
      <w:r w:rsidR="00E4391E">
        <w:rPr>
          <w:bCs/>
          <w:iCs/>
          <w:szCs w:val="20"/>
        </w:rPr>
        <w:t>la perita</w:t>
      </w:r>
      <w:r w:rsidRPr="00B456A2">
        <w:rPr>
          <w:bCs/>
          <w:iCs/>
          <w:szCs w:val="20"/>
        </w:rPr>
        <w:t xml:space="preserve"> Magaly Vázquez </w:t>
      </w:r>
      <w:r w:rsidR="0083079E">
        <w:rPr>
          <w:bCs/>
          <w:iCs/>
          <w:szCs w:val="20"/>
        </w:rPr>
        <w:t xml:space="preserve">y a la perita Catalina Botero </w:t>
      </w:r>
      <w:r w:rsidRPr="00B456A2">
        <w:rPr>
          <w:bCs/>
          <w:iCs/>
          <w:szCs w:val="20"/>
        </w:rPr>
        <w:t>respecto de los referidos temas relacionados con el orden público interamericano.</w:t>
      </w:r>
    </w:p>
    <w:p w14:paraId="2E17D0B3" w14:textId="77777777" w:rsidR="006E73D8" w:rsidRPr="00B456A2" w:rsidRDefault="006E73D8" w:rsidP="006E73D8">
      <w:pPr>
        <w:pStyle w:val="ListParagraph"/>
        <w:rPr>
          <w:szCs w:val="20"/>
        </w:rPr>
      </w:pPr>
    </w:p>
    <w:p w14:paraId="62AE2317" w14:textId="29E73127" w:rsidR="006E73D8" w:rsidRPr="00B456A2" w:rsidRDefault="00BC243D" w:rsidP="00B456A2">
      <w:pPr>
        <w:pStyle w:val="Heading2"/>
        <w:rPr>
          <w:b w:val="0"/>
          <w:i w:val="0"/>
        </w:rPr>
      </w:pPr>
      <w:r w:rsidRPr="00B456A2">
        <w:rPr>
          <w:szCs w:val="22"/>
        </w:rPr>
        <w:t>Recusació</w:t>
      </w:r>
      <w:r w:rsidR="006E73D8" w:rsidRPr="00B456A2">
        <w:rPr>
          <w:szCs w:val="22"/>
        </w:rPr>
        <w:t>n de los representantes al</w:t>
      </w:r>
      <w:r w:rsidR="00FE625D" w:rsidRPr="00B456A2">
        <w:rPr>
          <w:szCs w:val="22"/>
        </w:rPr>
        <w:t xml:space="preserve"> </w:t>
      </w:r>
      <w:r w:rsidR="006E73D8" w:rsidRPr="00B456A2">
        <w:rPr>
          <w:szCs w:val="22"/>
        </w:rPr>
        <w:t>perito ofrecido por el Estado</w:t>
      </w:r>
    </w:p>
    <w:p w14:paraId="4D850ECF" w14:textId="77777777" w:rsidR="006E73D8" w:rsidRPr="00B456A2" w:rsidRDefault="006E73D8" w:rsidP="006E73D8">
      <w:pPr>
        <w:pStyle w:val="ListParagraph"/>
        <w:rPr>
          <w:szCs w:val="20"/>
        </w:rPr>
      </w:pPr>
    </w:p>
    <w:p w14:paraId="07901630" w14:textId="24DD5B6A" w:rsidR="00BC1680" w:rsidRPr="00B456A2" w:rsidRDefault="00886E81" w:rsidP="00A12940">
      <w:pPr>
        <w:pStyle w:val="ListParagraph"/>
        <w:numPr>
          <w:ilvl w:val="0"/>
          <w:numId w:val="10"/>
        </w:numPr>
        <w:tabs>
          <w:tab w:val="left" w:pos="0"/>
        </w:tabs>
        <w:autoSpaceDE w:val="0"/>
        <w:autoSpaceDN w:val="0"/>
        <w:adjustRightInd w:val="0"/>
        <w:ind w:left="0" w:firstLine="0"/>
        <w:rPr>
          <w:bCs/>
          <w:iCs/>
          <w:szCs w:val="20"/>
        </w:rPr>
      </w:pPr>
      <w:r w:rsidRPr="00B456A2">
        <w:rPr>
          <w:szCs w:val="20"/>
        </w:rPr>
        <w:t>El</w:t>
      </w:r>
      <w:r w:rsidRPr="00B456A2">
        <w:rPr>
          <w:b/>
          <w:szCs w:val="20"/>
        </w:rPr>
        <w:t xml:space="preserve"> </w:t>
      </w:r>
      <w:r w:rsidRPr="00B456A2">
        <w:rPr>
          <w:szCs w:val="20"/>
        </w:rPr>
        <w:t>Estado</w:t>
      </w:r>
      <w:r w:rsidRPr="00B456A2">
        <w:rPr>
          <w:b/>
          <w:szCs w:val="20"/>
        </w:rPr>
        <w:t xml:space="preserve"> </w:t>
      </w:r>
      <w:r w:rsidR="00FE625D" w:rsidRPr="00B456A2">
        <w:rPr>
          <w:szCs w:val="20"/>
        </w:rPr>
        <w:t xml:space="preserve">ofreció el dictamen pericial de </w:t>
      </w:r>
      <w:r w:rsidRPr="00B456A2">
        <w:rPr>
          <w:szCs w:val="20"/>
        </w:rPr>
        <w:t>Federico Fuenmayor Gallo</w:t>
      </w:r>
      <w:r w:rsidR="00FE625D" w:rsidRPr="00B456A2">
        <w:rPr>
          <w:szCs w:val="20"/>
        </w:rPr>
        <w:t xml:space="preserve">, para declarar </w:t>
      </w:r>
      <w:r w:rsidRPr="00B456A2">
        <w:rPr>
          <w:szCs w:val="20"/>
        </w:rPr>
        <w:t xml:space="preserve">sobre el procedimiento de acusación de parte agraviada en el Código Orgánico Procesal Penal, así como las regulaciones establecidas para la garantía del debido proceso y el derecho a la defensa en dichos procesos penales. </w:t>
      </w:r>
    </w:p>
    <w:p w14:paraId="3DAFEB02" w14:textId="77777777" w:rsidR="00A43DAD" w:rsidRPr="00B456A2" w:rsidRDefault="00A43DAD" w:rsidP="00A12940">
      <w:pPr>
        <w:pStyle w:val="ListParagraph"/>
        <w:tabs>
          <w:tab w:val="left" w:pos="0"/>
        </w:tabs>
        <w:autoSpaceDE w:val="0"/>
        <w:autoSpaceDN w:val="0"/>
        <w:adjustRightInd w:val="0"/>
        <w:ind w:left="0"/>
        <w:rPr>
          <w:bCs/>
          <w:iCs/>
          <w:szCs w:val="20"/>
        </w:rPr>
      </w:pPr>
    </w:p>
    <w:p w14:paraId="71773C23" w14:textId="3360E2FA" w:rsidR="00FA1E09" w:rsidRPr="00B456A2" w:rsidRDefault="00FE625D" w:rsidP="00A12940">
      <w:pPr>
        <w:pStyle w:val="ListParagraph"/>
        <w:numPr>
          <w:ilvl w:val="0"/>
          <w:numId w:val="10"/>
        </w:numPr>
        <w:tabs>
          <w:tab w:val="left" w:pos="0"/>
        </w:tabs>
        <w:autoSpaceDE w:val="0"/>
        <w:autoSpaceDN w:val="0"/>
        <w:adjustRightInd w:val="0"/>
        <w:ind w:left="0" w:firstLine="0"/>
        <w:rPr>
          <w:bCs/>
          <w:iCs/>
          <w:szCs w:val="20"/>
        </w:rPr>
      </w:pPr>
      <w:r w:rsidRPr="00B456A2">
        <w:t xml:space="preserve">Los representantes </w:t>
      </w:r>
      <w:r w:rsidR="00453DE8" w:rsidRPr="00B456A2">
        <w:t>recusar</w:t>
      </w:r>
      <w:r w:rsidRPr="00B456A2">
        <w:t>on</w:t>
      </w:r>
      <w:r w:rsidR="00453DE8" w:rsidRPr="00B456A2">
        <w:t xml:space="preserve"> al perito </w:t>
      </w:r>
      <w:r w:rsidR="00D01BC0" w:rsidRPr="00B456A2">
        <w:t>Federico Fuenmayor Gallo,</w:t>
      </w:r>
      <w:r w:rsidR="00FB05D1" w:rsidRPr="00B456A2">
        <w:t xml:space="preserve"> bajo la causal prevista en el artículo 48.</w:t>
      </w:r>
      <w:r w:rsidR="00BC243D" w:rsidRPr="00B456A2">
        <w:t>1.</w:t>
      </w:r>
      <w:r w:rsidR="00FB05D1" w:rsidRPr="00B456A2">
        <w:t>c del Reglamento</w:t>
      </w:r>
      <w:r w:rsidRPr="00B456A2">
        <w:t>,</w:t>
      </w:r>
      <w:r w:rsidR="00FB05D1" w:rsidRPr="00B456A2">
        <w:t xml:space="preserve"> por los </w:t>
      </w:r>
      <w:r w:rsidRPr="00B456A2">
        <w:t>“</w:t>
      </w:r>
      <w:r w:rsidR="00FB05D1" w:rsidRPr="00B456A2">
        <w:t>estrechos vínculos y la relación de subordinación funcional</w:t>
      </w:r>
      <w:r w:rsidRPr="00B456A2">
        <w:t>”</w:t>
      </w:r>
      <w:r w:rsidR="00FB05D1" w:rsidRPr="00B456A2">
        <w:t xml:space="preserve"> con el Estado.</w:t>
      </w:r>
      <w:r w:rsidR="002F70EB" w:rsidRPr="00B456A2">
        <w:t xml:space="preserve"> </w:t>
      </w:r>
      <w:r w:rsidR="00081BB2" w:rsidRPr="00B456A2">
        <w:t>Menciona</w:t>
      </w:r>
      <w:r w:rsidRPr="00B456A2">
        <w:t>ron</w:t>
      </w:r>
      <w:r w:rsidR="00081BB2" w:rsidRPr="00B456A2">
        <w:t xml:space="preserve"> que e</w:t>
      </w:r>
      <w:r w:rsidR="002F70EB" w:rsidRPr="00B456A2">
        <w:t xml:space="preserve">l perito propuesto por el </w:t>
      </w:r>
      <w:r w:rsidR="00C52B12" w:rsidRPr="00B456A2">
        <w:t>E</w:t>
      </w:r>
      <w:r w:rsidR="002F70EB" w:rsidRPr="00B456A2">
        <w:t xml:space="preserve">stado es funcionario activo y Magistrado de la Sala </w:t>
      </w:r>
      <w:r w:rsidRPr="00B456A2">
        <w:t>C</w:t>
      </w:r>
      <w:r w:rsidR="002F70EB" w:rsidRPr="00B456A2">
        <w:t>onstitucional del Tribunal Supremo de Justicia venezolano.</w:t>
      </w:r>
      <w:r w:rsidR="00D01BC0" w:rsidRPr="00B456A2">
        <w:t xml:space="preserve"> </w:t>
      </w:r>
      <w:r w:rsidR="00A674FD">
        <w:t>S</w:t>
      </w:r>
      <w:r w:rsidRPr="00B456A2">
        <w:t xml:space="preserve">ostuvieron </w:t>
      </w:r>
      <w:r w:rsidR="00646314" w:rsidRPr="00B456A2">
        <w:t>que s</w:t>
      </w:r>
      <w:r w:rsidR="002F70EB" w:rsidRPr="00B456A2">
        <w:t>e debe considerar que su rúbrica apar</w:t>
      </w:r>
      <w:r w:rsidR="00D01BC0" w:rsidRPr="00B456A2">
        <w:t>e</w:t>
      </w:r>
      <w:r w:rsidR="002F70EB" w:rsidRPr="00B456A2">
        <w:t>ce en</w:t>
      </w:r>
      <w:r w:rsidR="00BC243D" w:rsidRPr="00B456A2">
        <w:t xml:space="preserve"> las</w:t>
      </w:r>
      <w:r w:rsidR="002F70EB" w:rsidRPr="00B456A2">
        <w:t xml:space="preserve"> sentencias </w:t>
      </w:r>
      <w:r w:rsidR="00D01BC0" w:rsidRPr="00B456A2">
        <w:t>155-17 y 156-17 de la Sala constitucional</w:t>
      </w:r>
      <w:r w:rsidRPr="00B456A2">
        <w:t xml:space="preserve">, las cuales se alega haber representado </w:t>
      </w:r>
      <w:r w:rsidR="00D01BC0" w:rsidRPr="00B456A2">
        <w:t xml:space="preserve">la ruptura del orden constitucional </w:t>
      </w:r>
      <w:r w:rsidRPr="00B456A2">
        <w:t xml:space="preserve">venezolano. </w:t>
      </w:r>
    </w:p>
    <w:p w14:paraId="089B235D" w14:textId="77777777" w:rsidR="00FA1E09" w:rsidRPr="00B456A2" w:rsidRDefault="00FA1E09" w:rsidP="00A12940">
      <w:pPr>
        <w:pStyle w:val="ListParagraph"/>
        <w:ind w:left="0"/>
      </w:pPr>
    </w:p>
    <w:p w14:paraId="54051988" w14:textId="26F05B27" w:rsidR="00CF4068" w:rsidRPr="00B456A2" w:rsidRDefault="00A773ED" w:rsidP="00A12940">
      <w:pPr>
        <w:pStyle w:val="ListParagraph"/>
        <w:numPr>
          <w:ilvl w:val="0"/>
          <w:numId w:val="10"/>
        </w:numPr>
        <w:tabs>
          <w:tab w:val="left" w:pos="0"/>
        </w:tabs>
        <w:autoSpaceDE w:val="0"/>
        <w:autoSpaceDN w:val="0"/>
        <w:adjustRightInd w:val="0"/>
        <w:ind w:left="0" w:firstLine="0"/>
        <w:rPr>
          <w:bCs/>
          <w:iCs/>
          <w:szCs w:val="20"/>
        </w:rPr>
      </w:pPr>
      <w:r w:rsidRPr="00B456A2">
        <w:rPr>
          <w:bCs/>
          <w:iCs/>
          <w:szCs w:val="20"/>
        </w:rPr>
        <w:t xml:space="preserve">Contra esta recusación, </w:t>
      </w:r>
      <w:r w:rsidR="00FE625D" w:rsidRPr="00B456A2">
        <w:rPr>
          <w:bCs/>
          <w:iCs/>
          <w:szCs w:val="20"/>
        </w:rPr>
        <w:t xml:space="preserve">el señor </w:t>
      </w:r>
      <w:r w:rsidR="006F06AB" w:rsidRPr="00B456A2">
        <w:rPr>
          <w:bCs/>
          <w:iCs/>
          <w:szCs w:val="20"/>
        </w:rPr>
        <w:t xml:space="preserve">Federico Fuenmayor Gallo </w:t>
      </w:r>
      <w:r w:rsidR="00FE625D" w:rsidRPr="00B456A2">
        <w:rPr>
          <w:bCs/>
          <w:iCs/>
          <w:szCs w:val="20"/>
        </w:rPr>
        <w:t>argumentó que</w:t>
      </w:r>
      <w:r w:rsidR="00A674FD">
        <w:rPr>
          <w:bCs/>
          <w:iCs/>
          <w:szCs w:val="20"/>
        </w:rPr>
        <w:t xml:space="preserve"> ella</w:t>
      </w:r>
      <w:r w:rsidR="00FE625D" w:rsidRPr="00B456A2">
        <w:rPr>
          <w:bCs/>
          <w:iCs/>
          <w:szCs w:val="20"/>
        </w:rPr>
        <w:t xml:space="preserve"> </w:t>
      </w:r>
      <w:r w:rsidR="006F06AB" w:rsidRPr="00B456A2">
        <w:rPr>
          <w:bCs/>
          <w:iCs/>
          <w:szCs w:val="20"/>
        </w:rPr>
        <w:t xml:space="preserve">no prueba estrechos vínculos o relación de subordinación funcional con el presunto agresor, que, en todo caso, afecten </w:t>
      </w:r>
      <w:r w:rsidR="00FE625D" w:rsidRPr="00B456A2">
        <w:rPr>
          <w:bCs/>
          <w:iCs/>
          <w:szCs w:val="20"/>
        </w:rPr>
        <w:t>su</w:t>
      </w:r>
      <w:r w:rsidR="006F06AB" w:rsidRPr="00B456A2">
        <w:rPr>
          <w:bCs/>
          <w:iCs/>
          <w:szCs w:val="20"/>
        </w:rPr>
        <w:t xml:space="preserve"> imparcialidad como profesional de derecho.</w:t>
      </w:r>
      <w:r w:rsidR="00CF4068" w:rsidRPr="00B456A2">
        <w:rPr>
          <w:bCs/>
          <w:iCs/>
          <w:szCs w:val="20"/>
        </w:rPr>
        <w:t xml:space="preserve"> </w:t>
      </w:r>
    </w:p>
    <w:p w14:paraId="62B161C7" w14:textId="77777777" w:rsidR="00CF4068" w:rsidRPr="00B456A2" w:rsidRDefault="00CF4068" w:rsidP="00A12940">
      <w:pPr>
        <w:pStyle w:val="ListParagraph"/>
        <w:tabs>
          <w:tab w:val="left" w:pos="0"/>
        </w:tabs>
        <w:autoSpaceDE w:val="0"/>
        <w:autoSpaceDN w:val="0"/>
        <w:adjustRightInd w:val="0"/>
        <w:ind w:left="0"/>
        <w:rPr>
          <w:bCs/>
          <w:iCs/>
          <w:szCs w:val="20"/>
        </w:rPr>
      </w:pPr>
    </w:p>
    <w:p w14:paraId="21A8DBC2" w14:textId="6BD69486" w:rsidR="0065306E" w:rsidRPr="00B456A2" w:rsidRDefault="0065306E" w:rsidP="00A12940">
      <w:pPr>
        <w:pStyle w:val="ListParagraph"/>
        <w:numPr>
          <w:ilvl w:val="0"/>
          <w:numId w:val="10"/>
        </w:numPr>
        <w:tabs>
          <w:tab w:val="left" w:pos="0"/>
        </w:tabs>
        <w:autoSpaceDE w:val="0"/>
        <w:autoSpaceDN w:val="0"/>
        <w:adjustRightInd w:val="0"/>
        <w:ind w:left="0" w:firstLine="0"/>
      </w:pPr>
      <w:r w:rsidRPr="00B456A2">
        <w:t xml:space="preserve">Esta Presidencia </w:t>
      </w:r>
      <w:r w:rsidR="001D19D3" w:rsidRPr="00B456A2">
        <w:t>considera</w:t>
      </w:r>
      <w:r w:rsidRPr="00B456A2">
        <w:t xml:space="preserve"> que la objeción </w:t>
      </w:r>
      <w:r w:rsidR="001D19D3" w:rsidRPr="00B456A2">
        <w:t>presentada por los representantes</w:t>
      </w:r>
      <w:r w:rsidRPr="00B456A2">
        <w:t xml:space="preserve"> </w:t>
      </w:r>
      <w:r w:rsidR="001D19D3" w:rsidRPr="00B456A2">
        <w:t xml:space="preserve">en contra de la declaración como perito de Federico Fuenmayor Gallo es </w:t>
      </w:r>
      <w:r w:rsidRPr="00B456A2">
        <w:t>improcedente</w:t>
      </w:r>
      <w:r w:rsidR="00A674FD">
        <w:t>,</w:t>
      </w:r>
      <w:r w:rsidRPr="00B456A2">
        <w:t xml:space="preserve"> ya que no se vislumbra</w:t>
      </w:r>
      <w:r w:rsidR="00D3051B" w:rsidRPr="00B456A2">
        <w:t xml:space="preserve"> su</w:t>
      </w:r>
      <w:r w:rsidR="001D19D3" w:rsidRPr="00B456A2">
        <w:t xml:space="preserve"> </w:t>
      </w:r>
      <w:r w:rsidRPr="00B456A2">
        <w:t>participación en el caso Álvarez</w:t>
      </w:r>
      <w:r w:rsidR="00CF4068" w:rsidRPr="00B456A2">
        <w:t xml:space="preserve"> ni su vinculación </w:t>
      </w:r>
      <w:r w:rsidR="00A33EFD" w:rsidRPr="00B456A2">
        <w:t>de subordinación estrecha con el Estado</w:t>
      </w:r>
      <w:r w:rsidR="00BC243D" w:rsidRPr="00B456A2">
        <w:t xml:space="preserve">, una vez que fue ofrecido como profesor universitario en derecho penal y procesal penal, para que declare sobre </w:t>
      </w:r>
      <w:r w:rsidR="007D1429" w:rsidRPr="00B456A2">
        <w:t>aspectos y regulaciones del proceso penal en Venezuela</w:t>
      </w:r>
      <w:r w:rsidRPr="00B456A2">
        <w:t>.</w:t>
      </w:r>
      <w:r w:rsidR="00A5406B" w:rsidRPr="00B456A2">
        <w:t xml:space="preserve"> Por otra parte, en relación con la calidad de Magistrado de la Sala Constitucional de Venezuela, la Presidencia considera que las objeciones del señor Álvarez se refieren al ejercicio de la función judicial y no corresponden, </w:t>
      </w:r>
      <w:r w:rsidR="00A5406B" w:rsidRPr="00B456A2">
        <w:rPr>
          <w:i/>
        </w:rPr>
        <w:t>a priori</w:t>
      </w:r>
      <w:r w:rsidR="00A5406B" w:rsidRPr="00B456A2">
        <w:t>, con una situación de relación o subordinación funcional que viole el principio de imparcialidad.</w:t>
      </w:r>
      <w:r w:rsidRPr="00B456A2">
        <w:t xml:space="preserve"> Por lo tanto, al no encontrar incumplimiento </w:t>
      </w:r>
      <w:r w:rsidR="00DA3519" w:rsidRPr="00B456A2">
        <w:t xml:space="preserve">de </w:t>
      </w:r>
      <w:r w:rsidRPr="00B456A2">
        <w:t xml:space="preserve">los requisitos previstos en el artículo 48 del Reglamento, se </w:t>
      </w:r>
      <w:r w:rsidR="00DA3519" w:rsidRPr="00B456A2">
        <w:t xml:space="preserve">admite </w:t>
      </w:r>
      <w:r w:rsidR="00A12940">
        <w:t xml:space="preserve">el </w:t>
      </w:r>
      <w:r w:rsidR="00DA3519" w:rsidRPr="00B456A2">
        <w:t>dictamen pericial ofrecido por el Estado</w:t>
      </w:r>
      <w:r w:rsidR="001D19D3" w:rsidRPr="00B456A2">
        <w:t>.</w:t>
      </w:r>
      <w:r w:rsidR="00DA3519" w:rsidRPr="00B456A2">
        <w:t xml:space="preserve"> </w:t>
      </w:r>
      <w:r w:rsidR="005230AB" w:rsidRPr="00B456A2">
        <w:t>El objeto y su modalidad será determinado en la parte resolutiva de la presente Resolución (</w:t>
      </w:r>
      <w:r w:rsidR="005230AB" w:rsidRPr="005309E9">
        <w:rPr>
          <w:i/>
        </w:rPr>
        <w:t>infra</w:t>
      </w:r>
      <w:r w:rsidR="005230AB" w:rsidRPr="00B456A2">
        <w:t xml:space="preserve"> punto resolutivo </w:t>
      </w:r>
      <w:r w:rsidR="005309E9">
        <w:t>2</w:t>
      </w:r>
      <w:r w:rsidR="005230AB" w:rsidRPr="00B456A2">
        <w:t>).</w:t>
      </w:r>
      <w:r w:rsidRPr="00B456A2">
        <w:t xml:space="preserve"> </w:t>
      </w:r>
    </w:p>
    <w:p w14:paraId="66035447" w14:textId="77777777" w:rsidR="00A43DAD" w:rsidRPr="00C1282A" w:rsidRDefault="00A43DAD" w:rsidP="00FA4BD7">
      <w:pPr>
        <w:pStyle w:val="4GChar"/>
        <w:tabs>
          <w:tab w:val="left" w:pos="0"/>
        </w:tabs>
        <w:autoSpaceDE w:val="0"/>
        <w:autoSpaceDN w:val="0"/>
        <w:adjustRightInd w:val="0"/>
        <w:rPr>
          <w:bCs/>
          <w:iCs/>
          <w:szCs w:val="20"/>
          <w:lang w:val="es-ES"/>
        </w:rPr>
      </w:pPr>
    </w:p>
    <w:p w14:paraId="4609B28A" w14:textId="5BA00547" w:rsidR="000A4BAD" w:rsidRPr="00B456A2" w:rsidRDefault="007D1429" w:rsidP="00B456A2">
      <w:pPr>
        <w:pStyle w:val="Heading2"/>
      </w:pPr>
      <w:r w:rsidRPr="00B456A2">
        <w:rPr>
          <w:i w:val="0"/>
        </w:rPr>
        <w:t>Observaciones</w:t>
      </w:r>
      <w:r w:rsidR="005E06D9" w:rsidRPr="00B456A2">
        <w:rPr>
          <w:i w:val="0"/>
        </w:rPr>
        <w:t xml:space="preserve"> y objeciones</w:t>
      </w:r>
      <w:r w:rsidR="000A4BAD" w:rsidRPr="00B456A2">
        <w:rPr>
          <w:i w:val="0"/>
        </w:rPr>
        <w:t xml:space="preserve"> del Estado a </w:t>
      </w:r>
      <w:r w:rsidR="00DA3519" w:rsidRPr="00B456A2">
        <w:rPr>
          <w:i w:val="0"/>
        </w:rPr>
        <w:t>t</w:t>
      </w:r>
      <w:r w:rsidR="000A4BAD" w:rsidRPr="00B456A2">
        <w:rPr>
          <w:i w:val="0"/>
        </w:rPr>
        <w:t>estigos ofrecidos por los representantes</w:t>
      </w:r>
    </w:p>
    <w:p w14:paraId="7D134394" w14:textId="77777777" w:rsidR="000A4BAD" w:rsidRPr="00B456A2" w:rsidRDefault="000A4BAD" w:rsidP="00E77B4C">
      <w:pPr>
        <w:tabs>
          <w:tab w:val="left" w:pos="0"/>
        </w:tabs>
        <w:autoSpaceDE w:val="0"/>
        <w:autoSpaceDN w:val="0"/>
        <w:adjustRightInd w:val="0"/>
        <w:rPr>
          <w:bCs/>
          <w:iCs/>
          <w:szCs w:val="20"/>
        </w:rPr>
      </w:pPr>
    </w:p>
    <w:p w14:paraId="29E33CFC" w14:textId="16C97F15" w:rsidR="000A4BAD" w:rsidRPr="00B456A2" w:rsidRDefault="001E27E6" w:rsidP="00A12940">
      <w:pPr>
        <w:pStyle w:val="ListParagraph"/>
        <w:numPr>
          <w:ilvl w:val="0"/>
          <w:numId w:val="10"/>
        </w:numPr>
        <w:tabs>
          <w:tab w:val="left" w:pos="0"/>
        </w:tabs>
        <w:autoSpaceDE w:val="0"/>
        <w:autoSpaceDN w:val="0"/>
        <w:adjustRightInd w:val="0"/>
        <w:ind w:left="0" w:firstLine="0"/>
        <w:rPr>
          <w:bCs/>
          <w:iCs/>
          <w:szCs w:val="20"/>
        </w:rPr>
      </w:pPr>
      <w:r w:rsidRPr="00B456A2">
        <w:rPr>
          <w:bCs/>
          <w:iCs/>
          <w:szCs w:val="20"/>
        </w:rPr>
        <w:t>El</w:t>
      </w:r>
      <w:r w:rsidRPr="00B456A2">
        <w:rPr>
          <w:b/>
          <w:bCs/>
          <w:iCs/>
          <w:szCs w:val="20"/>
        </w:rPr>
        <w:t xml:space="preserve"> </w:t>
      </w:r>
      <w:r w:rsidRPr="00B456A2">
        <w:rPr>
          <w:b/>
          <w:bCs/>
          <w:i/>
          <w:iCs/>
          <w:szCs w:val="20"/>
        </w:rPr>
        <w:t>Estado</w:t>
      </w:r>
      <w:r w:rsidRPr="00B456A2">
        <w:rPr>
          <w:bCs/>
          <w:iCs/>
          <w:szCs w:val="20"/>
        </w:rPr>
        <w:t xml:space="preserve"> </w:t>
      </w:r>
      <w:r w:rsidR="00A33EFD" w:rsidRPr="00B456A2">
        <w:rPr>
          <w:bCs/>
          <w:iCs/>
          <w:szCs w:val="20"/>
        </w:rPr>
        <w:t xml:space="preserve">presentó observaciones y objeciones a algunas declaraciones testimoniales ofrecidas por los representantes. En primer lugar, consideró que </w:t>
      </w:r>
      <w:r w:rsidRPr="00B456A2">
        <w:rPr>
          <w:bCs/>
          <w:iCs/>
          <w:szCs w:val="20"/>
        </w:rPr>
        <w:t xml:space="preserve">la declaración de </w:t>
      </w:r>
      <w:r w:rsidR="000A4BAD" w:rsidRPr="00B456A2">
        <w:rPr>
          <w:bCs/>
          <w:iCs/>
          <w:szCs w:val="20"/>
        </w:rPr>
        <w:t>Bartolomé Mitre</w:t>
      </w:r>
      <w:r w:rsidRPr="00B456A2">
        <w:rPr>
          <w:bCs/>
          <w:iCs/>
          <w:szCs w:val="20"/>
        </w:rPr>
        <w:t xml:space="preserve"> resulta impertinente y debe ser desestimada por la Corte pues no se encuentra relacionada con los hechos del presente caso</w:t>
      </w:r>
      <w:r w:rsidR="00A33EFD" w:rsidRPr="00B456A2">
        <w:rPr>
          <w:rStyle w:val="FootnoteReference"/>
          <w:bCs/>
          <w:iCs/>
          <w:szCs w:val="20"/>
        </w:rPr>
        <w:footnoteReference w:id="2"/>
      </w:r>
      <w:r w:rsidR="00B0204B" w:rsidRPr="00B456A2">
        <w:rPr>
          <w:bCs/>
          <w:iCs/>
          <w:szCs w:val="20"/>
        </w:rPr>
        <w:t xml:space="preserve">, de acuerdo </w:t>
      </w:r>
      <w:r w:rsidR="00A674FD">
        <w:rPr>
          <w:bCs/>
          <w:iCs/>
          <w:szCs w:val="20"/>
        </w:rPr>
        <w:t>con</w:t>
      </w:r>
      <w:r w:rsidR="00B0204B" w:rsidRPr="00B456A2">
        <w:rPr>
          <w:bCs/>
          <w:iCs/>
          <w:szCs w:val="20"/>
        </w:rPr>
        <w:t xml:space="preserve"> lo </w:t>
      </w:r>
      <w:r w:rsidR="000A4BAD" w:rsidRPr="00B456A2">
        <w:rPr>
          <w:bCs/>
          <w:iCs/>
          <w:szCs w:val="20"/>
        </w:rPr>
        <w:t xml:space="preserve">establecido en el </w:t>
      </w:r>
      <w:r w:rsidR="00B0204B" w:rsidRPr="00B456A2">
        <w:rPr>
          <w:bCs/>
          <w:iCs/>
          <w:szCs w:val="20"/>
        </w:rPr>
        <w:t xml:space="preserve">Informe </w:t>
      </w:r>
      <w:r w:rsidR="000A4BAD" w:rsidRPr="00B456A2">
        <w:rPr>
          <w:bCs/>
          <w:iCs/>
          <w:szCs w:val="20"/>
        </w:rPr>
        <w:t>de Fondo de la Comisión</w:t>
      </w:r>
      <w:r w:rsidR="00B0204B" w:rsidRPr="00B456A2">
        <w:rPr>
          <w:bCs/>
          <w:iCs/>
          <w:szCs w:val="20"/>
        </w:rPr>
        <w:t xml:space="preserve">. </w:t>
      </w:r>
      <w:r w:rsidR="000A4BAD" w:rsidRPr="00B456A2">
        <w:rPr>
          <w:bCs/>
          <w:iCs/>
          <w:szCs w:val="20"/>
        </w:rPr>
        <w:t>En consecuencia</w:t>
      </w:r>
      <w:r w:rsidR="00B0204B" w:rsidRPr="00B456A2">
        <w:rPr>
          <w:bCs/>
          <w:iCs/>
          <w:szCs w:val="20"/>
        </w:rPr>
        <w:t xml:space="preserve">, sostuvo </w:t>
      </w:r>
      <w:r w:rsidR="00E8031A" w:rsidRPr="00B456A2">
        <w:rPr>
          <w:bCs/>
          <w:iCs/>
          <w:szCs w:val="20"/>
        </w:rPr>
        <w:t xml:space="preserve">que </w:t>
      </w:r>
      <w:r w:rsidR="000A4BAD" w:rsidRPr="00B456A2">
        <w:rPr>
          <w:bCs/>
          <w:iCs/>
          <w:szCs w:val="20"/>
        </w:rPr>
        <w:t xml:space="preserve">no </w:t>
      </w:r>
      <w:r w:rsidR="00B0204B" w:rsidRPr="00B456A2">
        <w:rPr>
          <w:bCs/>
          <w:iCs/>
          <w:szCs w:val="20"/>
        </w:rPr>
        <w:t xml:space="preserve">sería </w:t>
      </w:r>
      <w:r w:rsidR="000A4BAD" w:rsidRPr="00B456A2">
        <w:rPr>
          <w:bCs/>
          <w:iCs/>
          <w:szCs w:val="20"/>
        </w:rPr>
        <w:t>admisible que la presunta víctima alegue nuevos hechos distintos a los contenidos en dicho informe.</w:t>
      </w:r>
      <w:r w:rsidR="00B0204B" w:rsidRPr="00B456A2">
        <w:rPr>
          <w:bCs/>
          <w:iCs/>
          <w:szCs w:val="20"/>
        </w:rPr>
        <w:t xml:space="preserve"> </w:t>
      </w:r>
    </w:p>
    <w:p w14:paraId="0DA76797" w14:textId="77777777" w:rsidR="00B0204B" w:rsidRPr="00B456A2" w:rsidRDefault="00B0204B" w:rsidP="00A12940">
      <w:pPr>
        <w:pStyle w:val="ListParagraph"/>
        <w:tabs>
          <w:tab w:val="left" w:pos="0"/>
        </w:tabs>
        <w:autoSpaceDE w:val="0"/>
        <w:autoSpaceDN w:val="0"/>
        <w:adjustRightInd w:val="0"/>
        <w:ind w:left="0"/>
        <w:rPr>
          <w:bCs/>
          <w:iCs/>
          <w:szCs w:val="20"/>
        </w:rPr>
      </w:pPr>
    </w:p>
    <w:p w14:paraId="6057753A" w14:textId="6695032E" w:rsidR="004B1C29" w:rsidRPr="00B456A2" w:rsidRDefault="00B0204B" w:rsidP="00A12940">
      <w:pPr>
        <w:pStyle w:val="ListParagraph"/>
        <w:numPr>
          <w:ilvl w:val="0"/>
          <w:numId w:val="10"/>
        </w:numPr>
        <w:tabs>
          <w:tab w:val="left" w:pos="0"/>
        </w:tabs>
        <w:autoSpaceDE w:val="0"/>
        <w:autoSpaceDN w:val="0"/>
        <w:adjustRightInd w:val="0"/>
        <w:ind w:left="0" w:firstLine="0"/>
        <w:rPr>
          <w:bCs/>
          <w:iCs/>
          <w:szCs w:val="20"/>
        </w:rPr>
      </w:pPr>
      <w:r w:rsidRPr="00B456A2">
        <w:rPr>
          <w:bCs/>
          <w:iCs/>
          <w:szCs w:val="20"/>
        </w:rPr>
        <w:t>Por otra parte, Venezuela consideró que el objeto de las declaraciones de las señoras Carmen Guadalupe Ramos</w:t>
      </w:r>
      <w:r w:rsidR="007D1429" w:rsidRPr="00B456A2">
        <w:rPr>
          <w:bCs/>
          <w:iCs/>
          <w:szCs w:val="20"/>
        </w:rPr>
        <w:t xml:space="preserve"> y</w:t>
      </w:r>
      <w:r w:rsidR="00A674FD">
        <w:rPr>
          <w:bCs/>
          <w:iCs/>
          <w:szCs w:val="20"/>
        </w:rPr>
        <w:t xml:space="preserve"> Anna Mercedes Martínez</w:t>
      </w:r>
      <w:r w:rsidRPr="00B456A2">
        <w:rPr>
          <w:b/>
          <w:bCs/>
          <w:iCs/>
          <w:szCs w:val="20"/>
        </w:rPr>
        <w:t xml:space="preserve"> </w:t>
      </w:r>
      <w:r w:rsidRPr="00B456A2">
        <w:rPr>
          <w:bCs/>
          <w:iCs/>
          <w:szCs w:val="20"/>
        </w:rPr>
        <w:t xml:space="preserve">debe ser modificado por la Corte a los fines de asegurar su adecuación al marco fáctico de este caso. Señaló que, en efecto, los representantes ofrecieron las declaraciones de las referidas personas en su condición de madre y esposa del señor Tulio Álvarez. En ambos casos, el objeto de la declaración incluye referencias al supuesto impacto de los hechos del presente caso sobre personas que no tienen carácter de víctima en este proceso, así como sobre hechos no contenidos en el informe aprobado por la Comisión. Además, observó que los hechos sobre los que se pretende rindan declaración no están incluidos en el marco fáctico de este caso, claramente definido en el </w:t>
      </w:r>
      <w:r w:rsidR="004B1C29" w:rsidRPr="00B456A2">
        <w:rPr>
          <w:bCs/>
          <w:iCs/>
          <w:szCs w:val="20"/>
        </w:rPr>
        <w:t>Informe de Fondo</w:t>
      </w:r>
      <w:r w:rsidRPr="00B456A2">
        <w:rPr>
          <w:bCs/>
          <w:iCs/>
          <w:szCs w:val="20"/>
        </w:rPr>
        <w:t xml:space="preserve">. </w:t>
      </w:r>
      <w:r w:rsidR="004B1C29" w:rsidRPr="00B456A2">
        <w:rPr>
          <w:bCs/>
          <w:iCs/>
          <w:szCs w:val="20"/>
        </w:rPr>
        <w:t xml:space="preserve"> </w:t>
      </w:r>
    </w:p>
    <w:p w14:paraId="16391DAC" w14:textId="77777777" w:rsidR="003668FE" w:rsidRPr="00B456A2" w:rsidRDefault="003668FE" w:rsidP="00A12940">
      <w:pPr>
        <w:pStyle w:val="ListParagraph"/>
        <w:tabs>
          <w:tab w:val="left" w:pos="0"/>
        </w:tabs>
        <w:autoSpaceDE w:val="0"/>
        <w:autoSpaceDN w:val="0"/>
        <w:adjustRightInd w:val="0"/>
        <w:ind w:left="0"/>
        <w:rPr>
          <w:bCs/>
          <w:iCs/>
          <w:szCs w:val="20"/>
        </w:rPr>
      </w:pPr>
    </w:p>
    <w:p w14:paraId="2833FCAB" w14:textId="62B6DAE2" w:rsidR="003668FE" w:rsidRPr="00B456A2" w:rsidRDefault="003668FE" w:rsidP="00A12940">
      <w:pPr>
        <w:pStyle w:val="ListParagraph"/>
        <w:numPr>
          <w:ilvl w:val="0"/>
          <w:numId w:val="10"/>
        </w:numPr>
        <w:tabs>
          <w:tab w:val="left" w:pos="0"/>
        </w:tabs>
        <w:autoSpaceDE w:val="0"/>
        <w:autoSpaceDN w:val="0"/>
        <w:adjustRightInd w:val="0"/>
        <w:ind w:left="0" w:firstLine="0"/>
        <w:rPr>
          <w:bCs/>
          <w:iCs/>
          <w:szCs w:val="20"/>
        </w:rPr>
      </w:pPr>
      <w:r w:rsidRPr="00B456A2">
        <w:rPr>
          <w:bCs/>
          <w:iCs/>
          <w:szCs w:val="20"/>
        </w:rPr>
        <w:t xml:space="preserve">Finalmente, el Estado consideró que el objeto de la declaración de Ibéyise Pacheco resulta excesivamente ambiguo y abierto, por lo que debería ser modificado por esta Corte para asegurar su adecuación al marco fáctico del presente caso. </w:t>
      </w:r>
    </w:p>
    <w:p w14:paraId="6D70F3E6" w14:textId="77777777" w:rsidR="004B1C29" w:rsidRPr="00B456A2" w:rsidRDefault="004B1C29" w:rsidP="00A12940">
      <w:pPr>
        <w:pStyle w:val="ListParagraph"/>
        <w:tabs>
          <w:tab w:val="left" w:pos="0"/>
        </w:tabs>
        <w:autoSpaceDE w:val="0"/>
        <w:autoSpaceDN w:val="0"/>
        <w:adjustRightInd w:val="0"/>
        <w:ind w:left="0"/>
        <w:rPr>
          <w:bCs/>
          <w:iCs/>
          <w:szCs w:val="20"/>
        </w:rPr>
      </w:pPr>
    </w:p>
    <w:p w14:paraId="1E91609C" w14:textId="7139794A" w:rsidR="00EE293B" w:rsidRPr="00B456A2" w:rsidRDefault="004B1C29" w:rsidP="00A12940">
      <w:pPr>
        <w:pStyle w:val="ListParagraph"/>
        <w:numPr>
          <w:ilvl w:val="0"/>
          <w:numId w:val="10"/>
        </w:numPr>
        <w:tabs>
          <w:tab w:val="left" w:pos="0"/>
        </w:tabs>
        <w:autoSpaceDE w:val="0"/>
        <w:autoSpaceDN w:val="0"/>
        <w:adjustRightInd w:val="0"/>
        <w:ind w:left="0" w:firstLine="0"/>
      </w:pPr>
      <w:r w:rsidRPr="00B456A2">
        <w:rPr>
          <w:bCs/>
          <w:iCs/>
          <w:szCs w:val="20"/>
        </w:rPr>
        <w:t xml:space="preserve">La Presidencia observa que las objeciones del Estado no apuntan directamente a la inadmisibilidad de los testimonios indicados </w:t>
      </w:r>
      <w:r w:rsidRPr="00B456A2">
        <w:rPr>
          <w:bCs/>
          <w:i/>
          <w:iCs/>
          <w:szCs w:val="20"/>
        </w:rPr>
        <w:t>supra</w:t>
      </w:r>
      <w:r w:rsidRPr="00B456A2">
        <w:rPr>
          <w:bCs/>
          <w:iCs/>
          <w:szCs w:val="20"/>
        </w:rPr>
        <w:t xml:space="preserve">, sino a su contenido u objeto. </w:t>
      </w:r>
      <w:r w:rsidR="00386C60" w:rsidRPr="00B456A2">
        <w:rPr>
          <w:bCs/>
          <w:iCs/>
          <w:szCs w:val="20"/>
        </w:rPr>
        <w:t xml:space="preserve">En relación con la objeción a la declaración de Bartolomé Mitre, </w:t>
      </w:r>
      <w:r w:rsidRPr="00B456A2">
        <w:rPr>
          <w:bCs/>
          <w:iCs/>
          <w:szCs w:val="20"/>
        </w:rPr>
        <w:t xml:space="preserve">la </w:t>
      </w:r>
      <w:r w:rsidR="00386C60" w:rsidRPr="00B456A2">
        <w:rPr>
          <w:bCs/>
          <w:iCs/>
          <w:szCs w:val="20"/>
        </w:rPr>
        <w:t xml:space="preserve">Presidencia considera que los hechos sobre los cuales versa esta declaración </w:t>
      </w:r>
      <w:r w:rsidRPr="00B456A2">
        <w:rPr>
          <w:bCs/>
          <w:iCs/>
          <w:szCs w:val="20"/>
        </w:rPr>
        <w:t>podría</w:t>
      </w:r>
      <w:r w:rsidR="007D1429" w:rsidRPr="00B456A2">
        <w:rPr>
          <w:bCs/>
          <w:iCs/>
          <w:szCs w:val="20"/>
        </w:rPr>
        <w:t>n</w:t>
      </w:r>
      <w:r w:rsidRPr="00B456A2">
        <w:rPr>
          <w:bCs/>
          <w:iCs/>
          <w:szCs w:val="20"/>
        </w:rPr>
        <w:t xml:space="preserve"> estar relacionad</w:t>
      </w:r>
      <w:r w:rsidR="009871BC" w:rsidRPr="00B456A2">
        <w:rPr>
          <w:bCs/>
          <w:iCs/>
          <w:szCs w:val="20"/>
        </w:rPr>
        <w:t>os</w:t>
      </w:r>
      <w:r w:rsidRPr="00B456A2">
        <w:rPr>
          <w:bCs/>
          <w:iCs/>
          <w:szCs w:val="20"/>
        </w:rPr>
        <w:t xml:space="preserve"> </w:t>
      </w:r>
      <w:r w:rsidR="00386C60" w:rsidRPr="00B456A2">
        <w:rPr>
          <w:bCs/>
          <w:iCs/>
          <w:szCs w:val="20"/>
        </w:rPr>
        <w:t>con la postura de la presunta víctima</w:t>
      </w:r>
      <w:r w:rsidRPr="00B456A2">
        <w:rPr>
          <w:bCs/>
          <w:iCs/>
          <w:szCs w:val="20"/>
        </w:rPr>
        <w:t xml:space="preserve"> y de autoridades estatales</w:t>
      </w:r>
      <w:r w:rsidR="00386C60" w:rsidRPr="00B456A2">
        <w:rPr>
          <w:bCs/>
          <w:iCs/>
          <w:szCs w:val="20"/>
        </w:rPr>
        <w:t xml:space="preserve">, </w:t>
      </w:r>
      <w:r w:rsidRPr="00B456A2">
        <w:rPr>
          <w:bCs/>
          <w:iCs/>
          <w:szCs w:val="20"/>
        </w:rPr>
        <w:t xml:space="preserve">lo que fue </w:t>
      </w:r>
      <w:r w:rsidR="00386C60" w:rsidRPr="00B456A2">
        <w:rPr>
          <w:bCs/>
          <w:iCs/>
          <w:szCs w:val="20"/>
        </w:rPr>
        <w:t>expresad</w:t>
      </w:r>
      <w:r w:rsidRPr="00B456A2">
        <w:rPr>
          <w:bCs/>
          <w:iCs/>
          <w:szCs w:val="20"/>
        </w:rPr>
        <w:t>o</w:t>
      </w:r>
      <w:r w:rsidR="00386C60" w:rsidRPr="00B456A2">
        <w:rPr>
          <w:bCs/>
          <w:iCs/>
          <w:szCs w:val="20"/>
        </w:rPr>
        <w:t xml:space="preserve"> en el </w:t>
      </w:r>
      <w:r w:rsidRPr="00B456A2">
        <w:rPr>
          <w:bCs/>
          <w:iCs/>
          <w:szCs w:val="20"/>
        </w:rPr>
        <w:t xml:space="preserve">Informe </w:t>
      </w:r>
      <w:r w:rsidR="00386C60" w:rsidRPr="00B456A2">
        <w:rPr>
          <w:bCs/>
          <w:iCs/>
          <w:szCs w:val="20"/>
        </w:rPr>
        <w:t xml:space="preserve">de </w:t>
      </w:r>
      <w:r w:rsidRPr="00B456A2">
        <w:rPr>
          <w:bCs/>
          <w:iCs/>
          <w:szCs w:val="20"/>
        </w:rPr>
        <w:t>Fondo y también en el escrito de solicitudes</w:t>
      </w:r>
      <w:r w:rsidR="009871BC" w:rsidRPr="00B456A2">
        <w:rPr>
          <w:bCs/>
          <w:iCs/>
          <w:szCs w:val="20"/>
        </w:rPr>
        <w:t xml:space="preserve"> y</w:t>
      </w:r>
      <w:r w:rsidRPr="00B456A2">
        <w:rPr>
          <w:bCs/>
          <w:iCs/>
          <w:szCs w:val="20"/>
        </w:rPr>
        <w:t xml:space="preserve"> argumentos. </w:t>
      </w:r>
      <w:r w:rsidR="003668FE" w:rsidRPr="00B456A2">
        <w:rPr>
          <w:bCs/>
          <w:iCs/>
          <w:szCs w:val="20"/>
        </w:rPr>
        <w:t>Respecto a las declaraciones de Carmen Guadalupe Ramos y Anna Mercedes Martínez, se constata que están orientadas a probar alegatos concretos de los representantes</w:t>
      </w:r>
      <w:r w:rsidR="009871BC" w:rsidRPr="00B456A2">
        <w:rPr>
          <w:bCs/>
          <w:iCs/>
          <w:szCs w:val="20"/>
        </w:rPr>
        <w:t xml:space="preserve"> y pueden tener relación con el marco fáctico presentado por la Comisión Interamericana</w:t>
      </w:r>
      <w:r w:rsidR="003668FE" w:rsidRPr="00B456A2">
        <w:rPr>
          <w:bCs/>
          <w:iCs/>
          <w:szCs w:val="20"/>
        </w:rPr>
        <w:t xml:space="preserve">. </w:t>
      </w:r>
      <w:r w:rsidR="002E5301" w:rsidRPr="00B456A2">
        <w:rPr>
          <w:bCs/>
          <w:iCs/>
          <w:szCs w:val="20"/>
        </w:rPr>
        <w:t>Asimismo, la Presidencia considera que las observaciones del Estado sobre la declaración de Ibéyise Pacheco se restringen al objeto del testimonio y no su admisibilidad</w:t>
      </w:r>
      <w:r w:rsidR="00067B40" w:rsidRPr="00B456A2">
        <w:rPr>
          <w:bCs/>
          <w:iCs/>
          <w:szCs w:val="20"/>
        </w:rPr>
        <w:t xml:space="preserve"> o eventual valoración por parte del Tribunal</w:t>
      </w:r>
      <w:r w:rsidR="002E5301" w:rsidRPr="00B456A2">
        <w:rPr>
          <w:bCs/>
          <w:iCs/>
          <w:szCs w:val="20"/>
        </w:rPr>
        <w:t xml:space="preserve">. </w:t>
      </w:r>
      <w:r w:rsidR="006A507A">
        <w:rPr>
          <w:bCs/>
          <w:iCs/>
          <w:szCs w:val="20"/>
          <w:lang w:val="es-ES"/>
        </w:rPr>
        <w:t>De conformidad con</w:t>
      </w:r>
      <w:r w:rsidR="006A507A" w:rsidRPr="00B456A2">
        <w:rPr>
          <w:bCs/>
          <w:iCs/>
          <w:szCs w:val="20"/>
        </w:rPr>
        <w:t xml:space="preserve"> </w:t>
      </w:r>
      <w:r w:rsidRPr="00B456A2">
        <w:rPr>
          <w:bCs/>
          <w:iCs/>
          <w:szCs w:val="20"/>
        </w:rPr>
        <w:t>lo anterior, la Presidencia decide admitir dicha</w:t>
      </w:r>
      <w:r w:rsidR="003668FE" w:rsidRPr="00B456A2">
        <w:rPr>
          <w:bCs/>
          <w:iCs/>
          <w:szCs w:val="20"/>
        </w:rPr>
        <w:t>s</w:t>
      </w:r>
      <w:r w:rsidRPr="00B456A2">
        <w:rPr>
          <w:bCs/>
          <w:iCs/>
          <w:szCs w:val="20"/>
        </w:rPr>
        <w:t xml:space="preserve"> declaraciones. Los objetos y modalidades serán determinados en la parte resolutiva de la presente Resolución (</w:t>
      </w:r>
      <w:r w:rsidRPr="005309E9">
        <w:rPr>
          <w:bCs/>
          <w:i/>
          <w:iCs/>
          <w:szCs w:val="20"/>
        </w:rPr>
        <w:t>infra</w:t>
      </w:r>
      <w:r w:rsidRPr="00B456A2">
        <w:rPr>
          <w:bCs/>
          <w:iCs/>
          <w:szCs w:val="20"/>
        </w:rPr>
        <w:t xml:space="preserve"> punto resolutivo </w:t>
      </w:r>
      <w:r w:rsidR="005309E9">
        <w:rPr>
          <w:bCs/>
          <w:iCs/>
          <w:szCs w:val="20"/>
        </w:rPr>
        <w:t>2</w:t>
      </w:r>
      <w:r w:rsidRPr="00B456A2">
        <w:rPr>
          <w:bCs/>
          <w:iCs/>
          <w:szCs w:val="20"/>
        </w:rPr>
        <w:t>)</w:t>
      </w:r>
      <w:r w:rsidR="003668FE" w:rsidRPr="00B456A2">
        <w:rPr>
          <w:bCs/>
          <w:iCs/>
          <w:szCs w:val="20"/>
        </w:rPr>
        <w:t>, tomando en consideración las observaciones del Estado al respecto</w:t>
      </w:r>
      <w:r w:rsidRPr="00B456A2">
        <w:rPr>
          <w:bCs/>
          <w:iCs/>
          <w:szCs w:val="20"/>
        </w:rPr>
        <w:t>.</w:t>
      </w:r>
      <w:r w:rsidR="00386C60" w:rsidRPr="00B456A2">
        <w:rPr>
          <w:bCs/>
          <w:iCs/>
          <w:szCs w:val="20"/>
        </w:rPr>
        <w:t xml:space="preserve">   </w:t>
      </w:r>
    </w:p>
    <w:p w14:paraId="4A33F772" w14:textId="77777777" w:rsidR="00EE293B" w:rsidRPr="00B456A2" w:rsidRDefault="00EE293B" w:rsidP="00E77B4C">
      <w:pPr>
        <w:tabs>
          <w:tab w:val="left" w:pos="0"/>
        </w:tabs>
        <w:autoSpaceDE w:val="0"/>
        <w:autoSpaceDN w:val="0"/>
        <w:adjustRightInd w:val="0"/>
        <w:rPr>
          <w:bCs/>
          <w:iCs/>
          <w:szCs w:val="20"/>
          <w:highlight w:val="yellow"/>
        </w:rPr>
      </w:pPr>
    </w:p>
    <w:p w14:paraId="46A8A1C9" w14:textId="36400A2A" w:rsidR="00D01BC0" w:rsidRPr="00B456A2" w:rsidRDefault="00D01BC0" w:rsidP="00B456A2">
      <w:pPr>
        <w:pStyle w:val="Heading2"/>
        <w:rPr>
          <w:b w:val="0"/>
          <w:i w:val="0"/>
        </w:rPr>
      </w:pPr>
      <w:r w:rsidRPr="00B456A2">
        <w:rPr>
          <w:szCs w:val="22"/>
        </w:rPr>
        <w:t>Recusaciones de</w:t>
      </w:r>
      <w:r w:rsidR="002E5301" w:rsidRPr="00B456A2">
        <w:rPr>
          <w:szCs w:val="22"/>
        </w:rPr>
        <w:t xml:space="preserve"> </w:t>
      </w:r>
      <w:r w:rsidRPr="00B456A2">
        <w:rPr>
          <w:szCs w:val="22"/>
        </w:rPr>
        <w:t>l</w:t>
      </w:r>
      <w:r w:rsidR="002E5301" w:rsidRPr="00B456A2">
        <w:rPr>
          <w:szCs w:val="22"/>
        </w:rPr>
        <w:t>os</w:t>
      </w:r>
      <w:r w:rsidR="000474AF" w:rsidRPr="00B456A2">
        <w:rPr>
          <w:szCs w:val="22"/>
        </w:rPr>
        <w:t xml:space="preserve"> </w:t>
      </w:r>
      <w:r w:rsidR="002E5301" w:rsidRPr="00B456A2">
        <w:rPr>
          <w:szCs w:val="22"/>
        </w:rPr>
        <w:t xml:space="preserve">representantes </w:t>
      </w:r>
      <w:r w:rsidRPr="00B456A2">
        <w:rPr>
          <w:szCs w:val="22"/>
        </w:rPr>
        <w:t xml:space="preserve">a </w:t>
      </w:r>
      <w:r w:rsidR="002E5301" w:rsidRPr="00B456A2">
        <w:rPr>
          <w:szCs w:val="22"/>
        </w:rPr>
        <w:t>t</w:t>
      </w:r>
      <w:r w:rsidRPr="00B456A2">
        <w:rPr>
          <w:szCs w:val="22"/>
        </w:rPr>
        <w:t>estigos ofrecidos por el Estado</w:t>
      </w:r>
    </w:p>
    <w:p w14:paraId="4E537FE6" w14:textId="77777777" w:rsidR="000474AF" w:rsidRPr="00B456A2" w:rsidRDefault="000474AF" w:rsidP="00E77B4C">
      <w:pPr>
        <w:pStyle w:val="ListParagraph"/>
        <w:tabs>
          <w:tab w:val="left" w:pos="0"/>
        </w:tabs>
        <w:autoSpaceDE w:val="0"/>
        <w:autoSpaceDN w:val="0"/>
        <w:adjustRightInd w:val="0"/>
        <w:ind w:left="0"/>
        <w:contextualSpacing w:val="0"/>
        <w:rPr>
          <w:b/>
          <w:bCs/>
          <w:iCs/>
          <w:szCs w:val="20"/>
        </w:rPr>
      </w:pPr>
    </w:p>
    <w:p w14:paraId="675EEFF4" w14:textId="2EAC2660" w:rsidR="007758F6" w:rsidRPr="00B456A2" w:rsidRDefault="007758F6" w:rsidP="00A12940">
      <w:pPr>
        <w:pStyle w:val="ListParagraph"/>
        <w:numPr>
          <w:ilvl w:val="0"/>
          <w:numId w:val="10"/>
        </w:numPr>
        <w:ind w:left="0" w:firstLine="0"/>
        <w:rPr>
          <w:b/>
          <w:bCs/>
          <w:iCs/>
        </w:rPr>
      </w:pPr>
      <w:r w:rsidRPr="00B456A2">
        <w:rPr>
          <w:szCs w:val="20"/>
        </w:rPr>
        <w:t>El Estado ofreció las declaraciones t</w:t>
      </w:r>
      <w:r w:rsidR="00FE625D" w:rsidRPr="00B456A2">
        <w:rPr>
          <w:szCs w:val="20"/>
        </w:rPr>
        <w:t xml:space="preserve">estimoniales </w:t>
      </w:r>
      <w:r w:rsidRPr="00B456A2">
        <w:rPr>
          <w:szCs w:val="20"/>
        </w:rPr>
        <w:t xml:space="preserve">de </w:t>
      </w:r>
      <w:r w:rsidR="00FE625D" w:rsidRPr="00B456A2">
        <w:rPr>
          <w:szCs w:val="20"/>
        </w:rPr>
        <w:t>Elías Reinaldo Álvarez Leal</w:t>
      </w:r>
      <w:r w:rsidRPr="00B456A2">
        <w:rPr>
          <w:szCs w:val="20"/>
        </w:rPr>
        <w:t xml:space="preserve">, </w:t>
      </w:r>
      <w:r w:rsidR="00FE625D" w:rsidRPr="00B456A2">
        <w:rPr>
          <w:szCs w:val="20"/>
        </w:rPr>
        <w:t>sobre el desarrollo del juicio que se siguió al señor Tulio Álvarez, por el delito de difamación agravada continuada</w:t>
      </w:r>
      <w:r w:rsidRPr="00B456A2">
        <w:rPr>
          <w:szCs w:val="20"/>
        </w:rPr>
        <w:t xml:space="preserve">, y de </w:t>
      </w:r>
      <w:r w:rsidR="00FE625D" w:rsidRPr="00B456A2">
        <w:rPr>
          <w:szCs w:val="20"/>
        </w:rPr>
        <w:t>Esther Quiaro</w:t>
      </w:r>
      <w:r w:rsidRPr="00B456A2">
        <w:rPr>
          <w:szCs w:val="20"/>
        </w:rPr>
        <w:t xml:space="preserve">, quien declararía </w:t>
      </w:r>
      <w:r w:rsidR="00FE625D" w:rsidRPr="00B456A2">
        <w:rPr>
          <w:szCs w:val="20"/>
        </w:rPr>
        <w:t xml:space="preserve">sobre el uso de los medios de comunicación en Venezuela para afectar el honor y reputación de los actores políticos a partir del año 1999, así como sobre el efecto </w:t>
      </w:r>
      <w:r w:rsidR="00A674FD">
        <w:rPr>
          <w:szCs w:val="20"/>
        </w:rPr>
        <w:t xml:space="preserve">que </w:t>
      </w:r>
      <w:r w:rsidR="00FE625D" w:rsidRPr="00B456A2">
        <w:rPr>
          <w:szCs w:val="20"/>
        </w:rPr>
        <w:t>genera en los periodistas el ejercicio de acciones para establecer la responsabilidad ulterior</w:t>
      </w:r>
      <w:r w:rsidRPr="00B456A2">
        <w:rPr>
          <w:szCs w:val="20"/>
        </w:rPr>
        <w:t>.</w:t>
      </w:r>
    </w:p>
    <w:p w14:paraId="40286425" w14:textId="77777777" w:rsidR="007758F6" w:rsidRPr="00B456A2" w:rsidRDefault="007758F6" w:rsidP="00A12940">
      <w:pPr>
        <w:tabs>
          <w:tab w:val="left" w:pos="0"/>
        </w:tabs>
        <w:autoSpaceDE w:val="0"/>
        <w:autoSpaceDN w:val="0"/>
        <w:adjustRightInd w:val="0"/>
        <w:rPr>
          <w:b/>
          <w:bCs/>
          <w:iCs/>
          <w:szCs w:val="20"/>
        </w:rPr>
      </w:pPr>
    </w:p>
    <w:p w14:paraId="61138D54" w14:textId="39F8118E" w:rsidR="004B218B" w:rsidRPr="00B456A2" w:rsidRDefault="00A12940" w:rsidP="00A12940">
      <w:pPr>
        <w:pStyle w:val="ListParagraph"/>
        <w:numPr>
          <w:ilvl w:val="0"/>
          <w:numId w:val="10"/>
        </w:numPr>
        <w:tabs>
          <w:tab w:val="left" w:pos="0"/>
        </w:tabs>
        <w:autoSpaceDE w:val="0"/>
        <w:autoSpaceDN w:val="0"/>
        <w:adjustRightInd w:val="0"/>
        <w:ind w:left="0" w:firstLine="0"/>
        <w:contextualSpacing w:val="0"/>
        <w:rPr>
          <w:bCs/>
          <w:iCs/>
          <w:szCs w:val="20"/>
        </w:rPr>
      </w:pPr>
      <w:r>
        <w:rPr>
          <w:bCs/>
          <w:iCs/>
          <w:szCs w:val="20"/>
        </w:rPr>
        <w:t xml:space="preserve">Los representantes recusaron </w:t>
      </w:r>
      <w:r w:rsidR="00FE625D" w:rsidRPr="00B456A2">
        <w:rPr>
          <w:bCs/>
          <w:iCs/>
          <w:szCs w:val="20"/>
        </w:rPr>
        <w:t xml:space="preserve">a </w:t>
      </w:r>
      <w:r w:rsidR="00E4391E">
        <w:rPr>
          <w:bCs/>
          <w:iCs/>
          <w:szCs w:val="20"/>
        </w:rPr>
        <w:t>la perita</w:t>
      </w:r>
      <w:r w:rsidR="00FE625D" w:rsidRPr="00B456A2">
        <w:rPr>
          <w:bCs/>
          <w:iCs/>
          <w:szCs w:val="20"/>
        </w:rPr>
        <w:t xml:space="preserve"> Esther Quiaro, bajo la causal prevista en el artículo 48.</w:t>
      </w:r>
      <w:r w:rsidR="004B218B" w:rsidRPr="00B456A2">
        <w:rPr>
          <w:bCs/>
          <w:iCs/>
          <w:szCs w:val="20"/>
        </w:rPr>
        <w:t>1.</w:t>
      </w:r>
      <w:r w:rsidR="00FE625D" w:rsidRPr="00B456A2">
        <w:rPr>
          <w:bCs/>
          <w:iCs/>
          <w:szCs w:val="20"/>
        </w:rPr>
        <w:t>c del Reglamento</w:t>
      </w:r>
      <w:r w:rsidR="00BB71E2" w:rsidRPr="00B456A2">
        <w:rPr>
          <w:bCs/>
          <w:iCs/>
          <w:szCs w:val="20"/>
        </w:rPr>
        <w:t>,</w:t>
      </w:r>
      <w:r w:rsidR="00FE625D" w:rsidRPr="00B456A2">
        <w:rPr>
          <w:bCs/>
          <w:iCs/>
          <w:szCs w:val="20"/>
        </w:rPr>
        <w:t xml:space="preserve"> por </w:t>
      </w:r>
      <w:r w:rsidR="00BB71E2" w:rsidRPr="00B456A2">
        <w:rPr>
          <w:bCs/>
          <w:iCs/>
          <w:szCs w:val="20"/>
        </w:rPr>
        <w:t xml:space="preserve">alegados </w:t>
      </w:r>
      <w:r w:rsidR="00FE625D" w:rsidRPr="00B456A2">
        <w:rPr>
          <w:bCs/>
          <w:iCs/>
          <w:szCs w:val="20"/>
        </w:rPr>
        <w:t xml:space="preserve">estrechos vínculos y relación de subordinación funcional con el Estado. </w:t>
      </w:r>
      <w:r w:rsidR="00FA4BD7" w:rsidRPr="00B456A2">
        <w:rPr>
          <w:bCs/>
          <w:iCs/>
          <w:szCs w:val="20"/>
        </w:rPr>
        <w:t>Específicamente</w:t>
      </w:r>
      <w:r w:rsidR="005309E9">
        <w:rPr>
          <w:bCs/>
          <w:iCs/>
          <w:szCs w:val="20"/>
        </w:rPr>
        <w:t>,</w:t>
      </w:r>
      <w:r w:rsidR="00BB71E2" w:rsidRPr="00B456A2">
        <w:rPr>
          <w:bCs/>
          <w:iCs/>
          <w:szCs w:val="20"/>
        </w:rPr>
        <w:t xml:space="preserve"> sostuv</w:t>
      </w:r>
      <w:r>
        <w:rPr>
          <w:bCs/>
          <w:iCs/>
          <w:szCs w:val="20"/>
        </w:rPr>
        <w:t>ieron</w:t>
      </w:r>
      <w:r w:rsidR="00BB71E2" w:rsidRPr="00B456A2">
        <w:rPr>
          <w:bCs/>
          <w:iCs/>
          <w:szCs w:val="20"/>
        </w:rPr>
        <w:t xml:space="preserve"> </w:t>
      </w:r>
      <w:r w:rsidR="00FE625D" w:rsidRPr="00B456A2">
        <w:rPr>
          <w:bCs/>
          <w:iCs/>
          <w:szCs w:val="20"/>
        </w:rPr>
        <w:t xml:space="preserve">que </w:t>
      </w:r>
      <w:r w:rsidR="00BB71E2" w:rsidRPr="00B456A2">
        <w:rPr>
          <w:bCs/>
          <w:iCs/>
          <w:szCs w:val="20"/>
        </w:rPr>
        <w:t xml:space="preserve">la señora </w:t>
      </w:r>
      <w:r w:rsidR="00FE625D" w:rsidRPr="00B456A2">
        <w:rPr>
          <w:bCs/>
          <w:iCs/>
          <w:szCs w:val="20"/>
        </w:rPr>
        <w:t xml:space="preserve">Quiaro es Directora de Radio Miraflores, órgano oficial de comunicación radial de la Presidencia de la </w:t>
      </w:r>
      <w:r w:rsidR="00BB71E2" w:rsidRPr="00B456A2">
        <w:rPr>
          <w:bCs/>
          <w:iCs/>
          <w:szCs w:val="20"/>
        </w:rPr>
        <w:t>R</w:t>
      </w:r>
      <w:r w:rsidR="00FE625D" w:rsidRPr="00B456A2">
        <w:rPr>
          <w:bCs/>
          <w:iCs/>
          <w:szCs w:val="20"/>
        </w:rPr>
        <w:t>epública, al tiempo que ejerce el cargo de Diputada de la Asamblea Nacional constituyente.</w:t>
      </w:r>
      <w:r w:rsidR="004B218B" w:rsidRPr="00B456A2">
        <w:rPr>
          <w:bCs/>
          <w:iCs/>
          <w:szCs w:val="20"/>
        </w:rPr>
        <w:t xml:space="preserve">  </w:t>
      </w:r>
    </w:p>
    <w:p w14:paraId="741C7B85" w14:textId="77777777" w:rsidR="004B218B" w:rsidRPr="00B456A2" w:rsidRDefault="004B218B" w:rsidP="00A12940">
      <w:pPr>
        <w:pStyle w:val="ListParagraph"/>
        <w:tabs>
          <w:tab w:val="left" w:pos="0"/>
        </w:tabs>
        <w:autoSpaceDE w:val="0"/>
        <w:autoSpaceDN w:val="0"/>
        <w:adjustRightInd w:val="0"/>
        <w:ind w:left="0"/>
        <w:contextualSpacing w:val="0"/>
        <w:rPr>
          <w:bCs/>
          <w:iCs/>
          <w:szCs w:val="20"/>
        </w:rPr>
      </w:pPr>
    </w:p>
    <w:p w14:paraId="0D8E1404" w14:textId="5F518E18" w:rsidR="004B218B" w:rsidRPr="00B456A2" w:rsidRDefault="00FE625D" w:rsidP="00A12940">
      <w:pPr>
        <w:pStyle w:val="ListParagraph"/>
        <w:numPr>
          <w:ilvl w:val="0"/>
          <w:numId w:val="10"/>
        </w:numPr>
        <w:tabs>
          <w:tab w:val="left" w:pos="0"/>
        </w:tabs>
        <w:autoSpaceDE w:val="0"/>
        <w:autoSpaceDN w:val="0"/>
        <w:adjustRightInd w:val="0"/>
        <w:ind w:left="0" w:firstLine="0"/>
        <w:contextualSpacing w:val="0"/>
        <w:rPr>
          <w:bCs/>
          <w:iCs/>
          <w:szCs w:val="20"/>
        </w:rPr>
      </w:pPr>
      <w:r w:rsidRPr="00B456A2">
        <w:rPr>
          <w:bCs/>
          <w:iCs/>
          <w:szCs w:val="20"/>
        </w:rPr>
        <w:t>Contra esta recusación, el Estado</w:t>
      </w:r>
      <w:r w:rsidR="004B218B" w:rsidRPr="00B456A2">
        <w:rPr>
          <w:bCs/>
          <w:iCs/>
          <w:szCs w:val="20"/>
        </w:rPr>
        <w:t xml:space="preserve"> remitió un escrito aclarando que la señora Quiaro fuera ofrecida </w:t>
      </w:r>
      <w:r w:rsidRPr="00B456A2">
        <w:rPr>
          <w:bCs/>
          <w:iCs/>
          <w:szCs w:val="20"/>
        </w:rPr>
        <w:t xml:space="preserve">en condición de testigo, </w:t>
      </w:r>
      <w:r w:rsidR="004B218B" w:rsidRPr="00B456A2">
        <w:rPr>
          <w:bCs/>
          <w:iCs/>
          <w:szCs w:val="20"/>
        </w:rPr>
        <w:t xml:space="preserve">y no de perito. </w:t>
      </w:r>
      <w:r w:rsidRPr="00B456A2">
        <w:rPr>
          <w:bCs/>
          <w:iCs/>
          <w:szCs w:val="20"/>
        </w:rPr>
        <w:t>Por tal razón no resulta</w:t>
      </w:r>
      <w:r w:rsidR="004B218B" w:rsidRPr="00B456A2">
        <w:rPr>
          <w:bCs/>
          <w:iCs/>
          <w:szCs w:val="20"/>
        </w:rPr>
        <w:t>rían</w:t>
      </w:r>
      <w:r w:rsidRPr="00B456A2">
        <w:rPr>
          <w:bCs/>
          <w:iCs/>
          <w:szCs w:val="20"/>
        </w:rPr>
        <w:t xml:space="preserve"> aplicables a la referida testigo las disposiciones del artículo 48.1 del Reglamento del tribunal. </w:t>
      </w:r>
    </w:p>
    <w:p w14:paraId="0CB5FEA2" w14:textId="77777777" w:rsidR="004B218B" w:rsidRPr="00B456A2" w:rsidRDefault="004B218B" w:rsidP="00A12940">
      <w:pPr>
        <w:pStyle w:val="ListParagraph"/>
        <w:tabs>
          <w:tab w:val="left" w:pos="0"/>
        </w:tabs>
        <w:autoSpaceDE w:val="0"/>
        <w:autoSpaceDN w:val="0"/>
        <w:adjustRightInd w:val="0"/>
        <w:ind w:left="0"/>
        <w:contextualSpacing w:val="0"/>
        <w:rPr>
          <w:bCs/>
          <w:iCs/>
          <w:szCs w:val="20"/>
        </w:rPr>
      </w:pPr>
    </w:p>
    <w:p w14:paraId="0F47837C" w14:textId="15497A7A" w:rsidR="000474AF" w:rsidRPr="00B456A2" w:rsidRDefault="00FC1169" w:rsidP="00A12940">
      <w:pPr>
        <w:pStyle w:val="ListParagraph"/>
        <w:numPr>
          <w:ilvl w:val="0"/>
          <w:numId w:val="10"/>
        </w:numPr>
        <w:tabs>
          <w:tab w:val="left" w:pos="0"/>
        </w:tabs>
        <w:autoSpaceDE w:val="0"/>
        <w:autoSpaceDN w:val="0"/>
        <w:adjustRightInd w:val="0"/>
        <w:ind w:left="0" w:firstLine="0"/>
        <w:contextualSpacing w:val="0"/>
      </w:pPr>
      <w:r w:rsidRPr="00B456A2">
        <w:t xml:space="preserve">Por otra parte, </w:t>
      </w:r>
      <w:r w:rsidR="00A12940">
        <w:t xml:space="preserve">los representantes objetaron </w:t>
      </w:r>
      <w:r w:rsidR="000474AF" w:rsidRPr="00B456A2">
        <w:t xml:space="preserve">la declaración del </w:t>
      </w:r>
      <w:r w:rsidRPr="00B456A2">
        <w:t>t</w:t>
      </w:r>
      <w:r w:rsidR="000474AF" w:rsidRPr="00B456A2">
        <w:t>estigo Elías Reinaldo Álvarez Leal</w:t>
      </w:r>
      <w:r w:rsidR="00F1121E" w:rsidRPr="00B456A2">
        <w:t xml:space="preserve"> por considerar </w:t>
      </w:r>
      <w:r w:rsidR="000474AF" w:rsidRPr="00B456A2">
        <w:t xml:space="preserve">precaria </w:t>
      </w:r>
      <w:r w:rsidR="00F1121E" w:rsidRPr="00B456A2">
        <w:t xml:space="preserve">la situación </w:t>
      </w:r>
      <w:r w:rsidR="000474AF" w:rsidRPr="00B456A2">
        <w:t xml:space="preserve">en que se encuentra su permanencia en el poder judicial venezolano por </w:t>
      </w:r>
      <w:r w:rsidR="00F1121E" w:rsidRPr="00B456A2">
        <w:t xml:space="preserve">alegadas acusaciones y sanciones administrativas de que </w:t>
      </w:r>
      <w:r w:rsidR="009871BC" w:rsidRPr="00B456A2">
        <w:t>habría sido</w:t>
      </w:r>
      <w:r w:rsidR="00F1121E" w:rsidRPr="00B456A2">
        <w:t xml:space="preserve"> objeto. </w:t>
      </w:r>
      <w:r w:rsidR="000474AF" w:rsidRPr="00B456A2">
        <w:t>Solicit</w:t>
      </w:r>
      <w:r w:rsidR="00A12940">
        <w:t>aron</w:t>
      </w:r>
      <w:r w:rsidR="000474AF" w:rsidRPr="00B456A2">
        <w:t xml:space="preserve"> a </w:t>
      </w:r>
      <w:r w:rsidR="00F1121E" w:rsidRPr="00B456A2">
        <w:t xml:space="preserve">la </w:t>
      </w:r>
      <w:r w:rsidR="000474AF" w:rsidRPr="00B456A2">
        <w:t xml:space="preserve">Corte que valore la circunstancia actual que coloca al declarante en </w:t>
      </w:r>
      <w:r w:rsidR="00F1121E" w:rsidRPr="00B456A2">
        <w:t xml:space="preserve">alegado </w:t>
      </w:r>
      <w:r w:rsidR="000474AF" w:rsidRPr="00B456A2">
        <w:t xml:space="preserve">grado de subordinación y sujeción del máximo órgano de gobierno del </w:t>
      </w:r>
      <w:r w:rsidR="005309E9">
        <w:t>p</w:t>
      </w:r>
      <w:r w:rsidR="000474AF" w:rsidRPr="00B456A2">
        <w:t xml:space="preserve">oder </w:t>
      </w:r>
      <w:r w:rsidR="005309E9">
        <w:t>j</w:t>
      </w:r>
      <w:r w:rsidR="000474AF" w:rsidRPr="00B456A2">
        <w:t xml:space="preserve">udicial venezolano, la </w:t>
      </w:r>
      <w:r w:rsidR="00F1121E" w:rsidRPr="00B456A2">
        <w:t xml:space="preserve">alegada </w:t>
      </w:r>
      <w:r w:rsidR="000474AF" w:rsidRPr="00B456A2">
        <w:t>precariedad en el ejercicio del cargo asignado y el comportamiento durante el tiempo en que asumió el cargo referido.</w:t>
      </w:r>
    </w:p>
    <w:p w14:paraId="0FF0C8B6" w14:textId="36AF3E47" w:rsidR="00300F8E" w:rsidRPr="00B456A2" w:rsidRDefault="00300F8E" w:rsidP="00A12940">
      <w:pPr>
        <w:pStyle w:val="ListParagraph"/>
        <w:tabs>
          <w:tab w:val="left" w:pos="0"/>
        </w:tabs>
        <w:autoSpaceDE w:val="0"/>
        <w:autoSpaceDN w:val="0"/>
        <w:adjustRightInd w:val="0"/>
        <w:ind w:left="0"/>
        <w:contextualSpacing w:val="0"/>
      </w:pPr>
    </w:p>
    <w:p w14:paraId="17082685" w14:textId="2527DEAD" w:rsidR="000A4BAD" w:rsidRPr="005309E9" w:rsidRDefault="00F3152F" w:rsidP="00A12940">
      <w:pPr>
        <w:pStyle w:val="ListParagraph"/>
        <w:numPr>
          <w:ilvl w:val="0"/>
          <w:numId w:val="10"/>
        </w:numPr>
        <w:tabs>
          <w:tab w:val="left" w:pos="0"/>
        </w:tabs>
        <w:autoSpaceDE w:val="0"/>
        <w:autoSpaceDN w:val="0"/>
        <w:adjustRightInd w:val="0"/>
        <w:ind w:left="0" w:firstLine="0"/>
        <w:contextualSpacing w:val="0"/>
        <w:rPr>
          <w:u w:val="single"/>
        </w:rPr>
      </w:pPr>
      <w:r>
        <w:rPr>
          <w:lang w:val="es-ES"/>
        </w:rPr>
        <w:t>La</w:t>
      </w:r>
      <w:r w:rsidR="00067B40" w:rsidRPr="00B456A2">
        <w:rPr>
          <w:lang w:val="es-ES"/>
        </w:rPr>
        <w:t xml:space="preserve"> Presiden</w:t>
      </w:r>
      <w:r>
        <w:rPr>
          <w:lang w:val="es-ES"/>
        </w:rPr>
        <w:t>cia</w:t>
      </w:r>
      <w:r w:rsidR="00067B40" w:rsidRPr="00B456A2">
        <w:t xml:space="preserve"> recuerda que el señor Álvarez Leal y la señora Esther Quiaro fueron ofrecidos como testigos y no como peritos, por lo que el deber de imparcialidad no les es exigible, como sí lo es respecto a los peritos</w:t>
      </w:r>
      <w:r w:rsidR="00067B40" w:rsidRPr="00B456A2">
        <w:rPr>
          <w:rStyle w:val="FootnoteReference"/>
        </w:rPr>
        <w:footnoteReference w:id="3"/>
      </w:r>
      <w:r w:rsidR="00067B40" w:rsidRPr="00B456A2">
        <w:t>. Por lo tanto, cuando una persona es llamada a declarar como testigo ante la Corte puede referirse a los hechos y circunstancias que le consten en relación con el objeto de su declaración, evitando dar opiniones personales</w:t>
      </w:r>
      <w:r w:rsidR="00067B40" w:rsidRPr="00B456A2">
        <w:rPr>
          <w:rStyle w:val="FootnoteReference"/>
        </w:rPr>
        <w:footnoteReference w:id="4"/>
      </w:r>
      <w:r w:rsidR="00067B40" w:rsidRPr="00B456A2">
        <w:t>. Asimismo, la Presidencia ha considerado reiteradamente que las declaraciones de las presuntas víctimas y otras personas con un interés directo en el caso son útiles en la medida en que pueden proporcionar mayor información sobre las alegadas violaciones y sus consecuencias</w:t>
      </w:r>
      <w:r w:rsidR="00067B40" w:rsidRPr="00B456A2">
        <w:rPr>
          <w:rStyle w:val="FootnoteReference"/>
        </w:rPr>
        <w:footnoteReference w:id="5"/>
      </w:r>
      <w:r w:rsidR="00067B40" w:rsidRPr="00B456A2">
        <w:t>. Siendo ello así, el Presidente estima que lo planteado por los representantes se relaciona con el valor o peso probatorio de</w:t>
      </w:r>
      <w:r w:rsidR="00A12940">
        <w:t xml:space="preserve"> </w:t>
      </w:r>
      <w:r w:rsidR="00067B40" w:rsidRPr="00B456A2">
        <w:t>l</w:t>
      </w:r>
      <w:r w:rsidR="00A12940">
        <w:t>os</w:t>
      </w:r>
      <w:r w:rsidR="00067B40" w:rsidRPr="00B456A2">
        <w:t xml:space="preserve"> testimonio</w:t>
      </w:r>
      <w:r w:rsidR="00A12940">
        <w:t>s</w:t>
      </w:r>
      <w:r w:rsidR="00067B40" w:rsidRPr="00B456A2">
        <w:t xml:space="preserve"> propuesto</w:t>
      </w:r>
      <w:r w:rsidR="00A12940">
        <w:t>s</w:t>
      </w:r>
      <w:r w:rsidR="00067B40" w:rsidRPr="00B456A2">
        <w:t xml:space="preserve"> en relación con los hechos establecidos en el marco fáctico del presente caso, pero no afecta su admisibilidad y eventual valoración por parte de la Corte. En efecto, la situación particular de</w:t>
      </w:r>
      <w:r w:rsidR="00A12940">
        <w:t xml:space="preserve"> </w:t>
      </w:r>
      <w:r w:rsidR="00067B40" w:rsidRPr="00B456A2">
        <w:t>l</w:t>
      </w:r>
      <w:r w:rsidR="00A12940">
        <w:t>os</w:t>
      </w:r>
      <w:r w:rsidR="00067B40" w:rsidRPr="00B456A2">
        <w:t xml:space="preserve"> testigo</w:t>
      </w:r>
      <w:r w:rsidR="00A12940">
        <w:t>s</w:t>
      </w:r>
      <w:r w:rsidR="00067B40" w:rsidRPr="00B456A2">
        <w:t xml:space="preserve"> será tomada en cuenta por el Tribunal a la hora de evaluar el peso probatorio de su</w:t>
      </w:r>
      <w:r w:rsidR="00A12940">
        <w:t>s</w:t>
      </w:r>
      <w:r w:rsidR="00067B40" w:rsidRPr="00B456A2">
        <w:t xml:space="preserve"> declaraci</w:t>
      </w:r>
      <w:r w:rsidR="00A12940">
        <w:t>ones</w:t>
      </w:r>
      <w:r w:rsidR="00067B40" w:rsidRPr="00B456A2">
        <w:t xml:space="preserve">. </w:t>
      </w:r>
      <w:r w:rsidR="00300F8E" w:rsidRPr="00B456A2">
        <w:t>El objeto y su modalidad será</w:t>
      </w:r>
      <w:r w:rsidR="00A12940">
        <w:t>n</w:t>
      </w:r>
      <w:r w:rsidR="00300F8E" w:rsidRPr="00B456A2">
        <w:t xml:space="preserve"> determinado</w:t>
      </w:r>
      <w:r w:rsidR="00A12940">
        <w:t>s</w:t>
      </w:r>
      <w:r w:rsidR="00300F8E" w:rsidRPr="00B456A2">
        <w:t xml:space="preserve"> en la parte resolutiva de la presente Resolución (</w:t>
      </w:r>
      <w:r w:rsidR="00300F8E" w:rsidRPr="005309E9">
        <w:rPr>
          <w:i/>
        </w:rPr>
        <w:t>infra</w:t>
      </w:r>
      <w:r w:rsidR="00300F8E" w:rsidRPr="00B456A2">
        <w:t xml:space="preserve"> punto</w:t>
      </w:r>
      <w:r w:rsidR="00A12940">
        <w:t>s</w:t>
      </w:r>
      <w:r w:rsidR="00300F8E" w:rsidRPr="00B456A2">
        <w:t xml:space="preserve"> </w:t>
      </w:r>
      <w:r w:rsidR="00300F8E" w:rsidRPr="005309E9">
        <w:t>resolutivo</w:t>
      </w:r>
      <w:r w:rsidR="00A12940">
        <w:t>s</w:t>
      </w:r>
      <w:r w:rsidR="00300F8E" w:rsidRPr="005309E9">
        <w:t xml:space="preserve"> </w:t>
      </w:r>
      <w:r w:rsidR="005309E9" w:rsidRPr="005309E9">
        <w:t>1 y 2</w:t>
      </w:r>
      <w:r w:rsidR="00300F8E" w:rsidRPr="005309E9">
        <w:t>).</w:t>
      </w:r>
    </w:p>
    <w:p w14:paraId="2EBA8393" w14:textId="77777777" w:rsidR="0013224F" w:rsidRPr="00B456A2" w:rsidRDefault="0013224F" w:rsidP="00A12940">
      <w:pPr>
        <w:tabs>
          <w:tab w:val="left" w:pos="0"/>
        </w:tabs>
        <w:autoSpaceDE w:val="0"/>
        <w:autoSpaceDN w:val="0"/>
        <w:adjustRightInd w:val="0"/>
        <w:rPr>
          <w:bCs/>
          <w:iCs/>
          <w:szCs w:val="20"/>
          <w:u w:val="single"/>
        </w:rPr>
      </w:pPr>
    </w:p>
    <w:p w14:paraId="0D242B93" w14:textId="0955C9D6" w:rsidR="00F04899" w:rsidRPr="00B456A2" w:rsidRDefault="00B95B16" w:rsidP="00B456A2">
      <w:pPr>
        <w:pStyle w:val="Heading2"/>
        <w:rPr>
          <w:lang w:val="es-ES"/>
        </w:rPr>
      </w:pPr>
      <w:r w:rsidRPr="00B456A2">
        <w:rPr>
          <w:lang w:val="es-ES"/>
        </w:rPr>
        <w:t>A</w:t>
      </w:r>
      <w:r w:rsidR="00F04899" w:rsidRPr="00B456A2">
        <w:rPr>
          <w:lang w:val="es-ES"/>
        </w:rPr>
        <w:t xml:space="preserve">plicación del Fondo de Asistencia Legal de Víctimas ante la Corte </w:t>
      </w:r>
    </w:p>
    <w:p w14:paraId="3FA8632B" w14:textId="77777777" w:rsidR="00F04899" w:rsidRPr="00B456A2" w:rsidRDefault="00F04899" w:rsidP="00E77B4C">
      <w:pPr>
        <w:pStyle w:val="ListParagraph"/>
        <w:tabs>
          <w:tab w:val="left" w:pos="0"/>
        </w:tabs>
        <w:autoSpaceDE w:val="0"/>
        <w:autoSpaceDN w:val="0"/>
        <w:adjustRightInd w:val="0"/>
        <w:ind w:left="0"/>
        <w:contextualSpacing w:val="0"/>
        <w:rPr>
          <w:b/>
          <w:szCs w:val="20"/>
          <w:lang w:val="es-ES"/>
        </w:rPr>
      </w:pPr>
    </w:p>
    <w:p w14:paraId="39F14E60" w14:textId="2D32C1AB" w:rsidR="00F04899" w:rsidRPr="002836A8" w:rsidRDefault="00F04899" w:rsidP="00A12940">
      <w:pPr>
        <w:pStyle w:val="ListParagraph"/>
        <w:numPr>
          <w:ilvl w:val="0"/>
          <w:numId w:val="10"/>
        </w:numPr>
        <w:tabs>
          <w:tab w:val="left" w:pos="0"/>
        </w:tabs>
        <w:ind w:left="0" w:firstLine="0"/>
        <w:rPr>
          <w:rFonts w:cs="Verdana"/>
          <w:spacing w:val="-2"/>
          <w:szCs w:val="20"/>
          <w:lang w:val="es-ES"/>
        </w:rPr>
      </w:pPr>
      <w:r w:rsidRPr="00DB3E6B">
        <w:rPr>
          <w:rFonts w:cs="Verdana"/>
          <w:spacing w:val="-2"/>
          <w:szCs w:val="20"/>
          <w:lang w:val="es-ES"/>
        </w:rPr>
        <w:t xml:space="preserve">En la resolución </w:t>
      </w:r>
      <w:r w:rsidR="00A12940">
        <w:rPr>
          <w:rFonts w:cs="Verdana"/>
          <w:spacing w:val="-2"/>
          <w:szCs w:val="20"/>
          <w:lang w:val="es-ES"/>
        </w:rPr>
        <w:t>adoptada por esta Presidencia el</w:t>
      </w:r>
      <w:r w:rsidRPr="00DB3E6B">
        <w:rPr>
          <w:rFonts w:cs="Verdana"/>
          <w:spacing w:val="-2"/>
          <w:szCs w:val="20"/>
          <w:lang w:val="es-ES"/>
        </w:rPr>
        <w:t xml:space="preserve"> 12 de febrero de 2018,</w:t>
      </w:r>
      <w:r w:rsidR="00FA1E09" w:rsidRPr="00FA632E">
        <w:rPr>
          <w:rFonts w:cs="Verdana"/>
          <w:spacing w:val="-2"/>
          <w:szCs w:val="20"/>
          <w:lang w:val="es-ES"/>
        </w:rPr>
        <w:t xml:space="preserve"> </w:t>
      </w:r>
      <w:r w:rsidRPr="002836A8">
        <w:rPr>
          <w:rFonts w:cs="Verdana"/>
          <w:spacing w:val="-2"/>
          <w:szCs w:val="20"/>
          <w:lang w:val="es-ES"/>
        </w:rPr>
        <w:t xml:space="preserve">se resolvió declarar procedente la solicitud interpuesta por la presunta víctima, a través de sus representantes, para acogerse al Fondo de Asistencia Legal de Víctimas de la Corte Interamericana de Derechos </w:t>
      </w:r>
      <w:r w:rsidR="00A12940">
        <w:rPr>
          <w:rFonts w:cs="Verdana"/>
          <w:spacing w:val="-2"/>
          <w:szCs w:val="20"/>
          <w:lang w:val="es-ES"/>
        </w:rPr>
        <w:t>Humanos, de modo que se otorgaría</w:t>
      </w:r>
      <w:r w:rsidRPr="002836A8">
        <w:rPr>
          <w:rFonts w:cs="Verdana"/>
          <w:spacing w:val="-2"/>
          <w:szCs w:val="20"/>
          <w:lang w:val="es-ES"/>
        </w:rPr>
        <w:t xml:space="preserve"> el apoyo económico necesario, con cargo al Fondo, para </w:t>
      </w:r>
      <w:r w:rsidRPr="00B456A2">
        <w:rPr>
          <w:rFonts w:cs="Verdana"/>
          <w:spacing w:val="-2"/>
          <w:szCs w:val="20"/>
          <w:lang w:val="es-ES"/>
        </w:rPr>
        <w:t>solventar los gastos para la presentación de un máximo de cinco declaraciones</w:t>
      </w:r>
      <w:r w:rsidRPr="00DB3E6B">
        <w:rPr>
          <w:rFonts w:cs="Verdana"/>
          <w:spacing w:val="-2"/>
          <w:szCs w:val="20"/>
          <w:lang w:val="es-ES"/>
        </w:rPr>
        <w:t xml:space="preserve">, ya sea en audiencia o por </w:t>
      </w:r>
      <w:r w:rsidRPr="00FA632E">
        <w:rPr>
          <w:rFonts w:cs="Verdana"/>
          <w:i/>
          <w:spacing w:val="-2"/>
          <w:szCs w:val="20"/>
          <w:lang w:val="es-ES"/>
        </w:rPr>
        <w:t>affidávit</w:t>
      </w:r>
      <w:r w:rsidR="005309E9">
        <w:rPr>
          <w:rFonts w:cs="Verdana"/>
          <w:spacing w:val="-2"/>
          <w:szCs w:val="20"/>
          <w:lang w:val="es-ES"/>
        </w:rPr>
        <w:t xml:space="preserve">. Se resolvió también </w:t>
      </w:r>
      <w:r w:rsidRPr="00052B68">
        <w:rPr>
          <w:rFonts w:cs="Verdana"/>
          <w:spacing w:val="-2"/>
          <w:szCs w:val="20"/>
          <w:lang w:val="es-ES"/>
        </w:rPr>
        <w:t>que el monto, destino y objeto espe</w:t>
      </w:r>
      <w:r w:rsidR="00A12940">
        <w:rPr>
          <w:rFonts w:cs="Verdana"/>
          <w:spacing w:val="-2"/>
          <w:szCs w:val="20"/>
          <w:lang w:val="es-ES"/>
        </w:rPr>
        <w:t>cíficos de dicha asistencia sería</w:t>
      </w:r>
      <w:r w:rsidRPr="00052B68">
        <w:rPr>
          <w:rFonts w:cs="Verdana"/>
          <w:spacing w:val="-2"/>
          <w:szCs w:val="20"/>
          <w:lang w:val="es-ES"/>
        </w:rPr>
        <w:t>n precisados al momento de decidir sobre la evacuación de prueba testimonial y pericial, y la apertura del procedimiento oral en los términos del artículo 50 del Reglamento del Tribunal, de conformidad con lo estab</w:t>
      </w:r>
      <w:r w:rsidRPr="002836A8">
        <w:rPr>
          <w:rFonts w:cs="Verdana"/>
          <w:spacing w:val="-2"/>
          <w:szCs w:val="20"/>
          <w:lang w:val="es-ES"/>
        </w:rPr>
        <w:t>lecido en esta Resolución.</w:t>
      </w:r>
    </w:p>
    <w:p w14:paraId="60A1340D" w14:textId="77777777" w:rsidR="00C37D27" w:rsidRPr="00B456A2" w:rsidRDefault="00C37D27" w:rsidP="00A12940">
      <w:pPr>
        <w:pStyle w:val="ListParagraph"/>
        <w:tabs>
          <w:tab w:val="left" w:pos="0"/>
        </w:tabs>
        <w:ind w:left="0"/>
        <w:rPr>
          <w:szCs w:val="20"/>
          <w:lang w:val="es-ES"/>
        </w:rPr>
      </w:pPr>
    </w:p>
    <w:p w14:paraId="795885F9" w14:textId="4BBB894E" w:rsidR="00016BBB" w:rsidRPr="00B456A2" w:rsidRDefault="00016BBB" w:rsidP="00A12940">
      <w:pPr>
        <w:pStyle w:val="ListParagraph"/>
        <w:numPr>
          <w:ilvl w:val="0"/>
          <w:numId w:val="10"/>
        </w:numPr>
        <w:tabs>
          <w:tab w:val="left" w:pos="0"/>
        </w:tabs>
        <w:ind w:left="0" w:firstLine="0"/>
        <w:rPr>
          <w:szCs w:val="20"/>
          <w:lang w:val="es-ES"/>
        </w:rPr>
      </w:pPr>
      <w:r w:rsidRPr="00B456A2">
        <w:rPr>
          <w:szCs w:val="20"/>
          <w:lang w:val="es-ES"/>
        </w:rPr>
        <w:t>Corresponde seguidamente precisar el destino y objeto específicos de dicha asistencia.</w:t>
      </w:r>
    </w:p>
    <w:p w14:paraId="2356CBFD" w14:textId="77777777" w:rsidR="00C37D27" w:rsidRPr="00B456A2" w:rsidRDefault="00C37D27" w:rsidP="00A12940">
      <w:pPr>
        <w:pStyle w:val="ListParagraph"/>
        <w:tabs>
          <w:tab w:val="left" w:pos="0"/>
        </w:tabs>
        <w:ind w:left="0"/>
        <w:rPr>
          <w:szCs w:val="20"/>
          <w:lang w:val="es-ES"/>
        </w:rPr>
      </w:pPr>
    </w:p>
    <w:p w14:paraId="54189E23" w14:textId="58B836C9" w:rsidR="00016BBB" w:rsidRPr="00B456A2" w:rsidRDefault="00016BBB" w:rsidP="00A12940">
      <w:pPr>
        <w:pStyle w:val="ListParagraph"/>
        <w:numPr>
          <w:ilvl w:val="0"/>
          <w:numId w:val="10"/>
        </w:numPr>
        <w:tabs>
          <w:tab w:val="left" w:pos="0"/>
        </w:tabs>
        <w:ind w:left="0" w:firstLine="0"/>
        <w:rPr>
          <w:szCs w:val="20"/>
        </w:rPr>
      </w:pPr>
      <w:r w:rsidRPr="00B456A2">
        <w:rPr>
          <w:szCs w:val="20"/>
          <w:lang w:val="es-ES"/>
        </w:rPr>
        <w:t xml:space="preserve">Al respecto, </w:t>
      </w:r>
      <w:r w:rsidR="00F3152F">
        <w:rPr>
          <w:szCs w:val="20"/>
          <w:lang w:val="es-ES"/>
        </w:rPr>
        <w:t xml:space="preserve">la </w:t>
      </w:r>
      <w:r w:rsidRPr="00B456A2">
        <w:rPr>
          <w:szCs w:val="20"/>
          <w:lang w:val="es-ES"/>
        </w:rPr>
        <w:t>Presiden</w:t>
      </w:r>
      <w:r w:rsidR="00F3152F">
        <w:rPr>
          <w:szCs w:val="20"/>
          <w:lang w:val="es-ES"/>
        </w:rPr>
        <w:t>cia</w:t>
      </w:r>
      <w:r w:rsidRPr="00B456A2">
        <w:rPr>
          <w:szCs w:val="20"/>
        </w:rPr>
        <w:t xml:space="preserve"> dispone que la asistencia económica estará asignada para cubrir los gastos de viaje y estadía necesarios para que l</w:t>
      </w:r>
      <w:r w:rsidR="00C37D27" w:rsidRPr="00B456A2">
        <w:rPr>
          <w:szCs w:val="20"/>
        </w:rPr>
        <w:t>a</w:t>
      </w:r>
      <w:r w:rsidRPr="00B456A2">
        <w:rPr>
          <w:szCs w:val="20"/>
        </w:rPr>
        <w:t xml:space="preserve"> presunta víctima</w:t>
      </w:r>
      <w:r w:rsidR="00C37D27" w:rsidRPr="00B456A2">
        <w:rPr>
          <w:szCs w:val="20"/>
        </w:rPr>
        <w:t xml:space="preserve"> Tulio </w:t>
      </w:r>
      <w:r w:rsidR="009871BC" w:rsidRPr="00B456A2">
        <w:rPr>
          <w:szCs w:val="20"/>
        </w:rPr>
        <w:t>Álvarez</w:t>
      </w:r>
      <w:r w:rsidRPr="00B456A2">
        <w:rPr>
          <w:szCs w:val="20"/>
        </w:rPr>
        <w:t xml:space="preserve">, así como </w:t>
      </w:r>
      <w:r w:rsidR="00E4391E">
        <w:rPr>
          <w:szCs w:val="20"/>
        </w:rPr>
        <w:t>la</w:t>
      </w:r>
      <w:r w:rsidR="00A4377F">
        <w:rPr>
          <w:szCs w:val="20"/>
        </w:rPr>
        <w:t>s</w:t>
      </w:r>
      <w:r w:rsidR="00E4391E">
        <w:rPr>
          <w:szCs w:val="20"/>
        </w:rPr>
        <w:t xml:space="preserve"> perita</w:t>
      </w:r>
      <w:r w:rsidR="00A4377F">
        <w:rPr>
          <w:szCs w:val="20"/>
        </w:rPr>
        <w:t>s</w:t>
      </w:r>
      <w:r w:rsidRPr="00B456A2">
        <w:rPr>
          <w:szCs w:val="20"/>
        </w:rPr>
        <w:t xml:space="preserve"> </w:t>
      </w:r>
      <w:r w:rsidR="00C37D27" w:rsidRPr="00B456A2">
        <w:rPr>
          <w:szCs w:val="20"/>
        </w:rPr>
        <w:t>Magaly Vázquez</w:t>
      </w:r>
      <w:r w:rsidR="00A4377F">
        <w:rPr>
          <w:szCs w:val="20"/>
        </w:rPr>
        <w:t xml:space="preserve"> y Catalina Botero</w:t>
      </w:r>
      <w:r w:rsidRPr="00B456A2">
        <w:rPr>
          <w:szCs w:val="20"/>
        </w:rPr>
        <w:t xml:space="preserve">, comparezcan ante el Tribunal a rendir </w:t>
      </w:r>
      <w:r w:rsidR="0083079E">
        <w:rPr>
          <w:szCs w:val="20"/>
        </w:rPr>
        <w:t xml:space="preserve">la </w:t>
      </w:r>
      <w:r w:rsidRPr="00B456A2">
        <w:rPr>
          <w:szCs w:val="20"/>
        </w:rPr>
        <w:t>respectiva declaraci</w:t>
      </w:r>
      <w:r w:rsidR="00C37D27" w:rsidRPr="00B456A2">
        <w:rPr>
          <w:szCs w:val="20"/>
        </w:rPr>
        <w:t xml:space="preserve">ón y </w:t>
      </w:r>
      <w:r w:rsidR="009871BC" w:rsidRPr="00B456A2">
        <w:rPr>
          <w:szCs w:val="20"/>
        </w:rPr>
        <w:t>dict</w:t>
      </w:r>
      <w:r w:rsidR="00A4377F">
        <w:rPr>
          <w:szCs w:val="20"/>
        </w:rPr>
        <w:t>á</w:t>
      </w:r>
      <w:r w:rsidR="009871BC" w:rsidRPr="00B456A2">
        <w:rPr>
          <w:szCs w:val="20"/>
        </w:rPr>
        <w:t>men</w:t>
      </w:r>
      <w:r w:rsidR="00A4377F">
        <w:rPr>
          <w:szCs w:val="20"/>
        </w:rPr>
        <w:t xml:space="preserve">es </w:t>
      </w:r>
      <w:r w:rsidR="00C37D27" w:rsidRPr="00B456A2">
        <w:rPr>
          <w:szCs w:val="20"/>
        </w:rPr>
        <w:t>pericial</w:t>
      </w:r>
      <w:r w:rsidR="00A4377F">
        <w:rPr>
          <w:szCs w:val="20"/>
        </w:rPr>
        <w:t>es</w:t>
      </w:r>
      <w:r w:rsidR="00C37D27" w:rsidRPr="00B456A2">
        <w:rPr>
          <w:szCs w:val="20"/>
        </w:rPr>
        <w:t xml:space="preserve"> </w:t>
      </w:r>
      <w:r w:rsidRPr="00B456A2">
        <w:rPr>
          <w:szCs w:val="20"/>
        </w:rPr>
        <w:t>en la audiencia pública que se celebrará en el presente caso. Adicionalmente, esta Presidencia determina que los gastos razonables de formalización y envío de los affid</w:t>
      </w:r>
      <w:r w:rsidR="00A674FD">
        <w:rPr>
          <w:szCs w:val="20"/>
        </w:rPr>
        <w:t>á</w:t>
      </w:r>
      <w:r w:rsidRPr="00B456A2">
        <w:rPr>
          <w:szCs w:val="20"/>
        </w:rPr>
        <w:t xml:space="preserve">vits de </w:t>
      </w:r>
      <w:r w:rsidR="00A4377F">
        <w:rPr>
          <w:szCs w:val="20"/>
        </w:rPr>
        <w:t>dos</w:t>
      </w:r>
      <w:r w:rsidR="00C37D27" w:rsidRPr="00B456A2">
        <w:rPr>
          <w:szCs w:val="20"/>
        </w:rPr>
        <w:t xml:space="preserve"> </w:t>
      </w:r>
      <w:r w:rsidRPr="00B456A2">
        <w:rPr>
          <w:szCs w:val="20"/>
        </w:rPr>
        <w:t xml:space="preserve">declaraciones de </w:t>
      </w:r>
      <w:r w:rsidR="00C37D27" w:rsidRPr="00B456A2">
        <w:rPr>
          <w:szCs w:val="20"/>
        </w:rPr>
        <w:t xml:space="preserve">testigos </w:t>
      </w:r>
      <w:r w:rsidRPr="00B456A2">
        <w:rPr>
          <w:szCs w:val="20"/>
        </w:rPr>
        <w:t>ofrecid</w:t>
      </w:r>
      <w:r w:rsidR="00C37D27" w:rsidRPr="00B456A2">
        <w:rPr>
          <w:szCs w:val="20"/>
        </w:rPr>
        <w:t>o</w:t>
      </w:r>
      <w:r w:rsidRPr="00B456A2">
        <w:rPr>
          <w:szCs w:val="20"/>
        </w:rPr>
        <w:t>s por los representantes (</w:t>
      </w:r>
      <w:r w:rsidRPr="00B456A2">
        <w:rPr>
          <w:i/>
          <w:szCs w:val="20"/>
        </w:rPr>
        <w:t>infra</w:t>
      </w:r>
      <w:r w:rsidRPr="00B456A2">
        <w:rPr>
          <w:szCs w:val="20"/>
        </w:rPr>
        <w:t xml:space="preserve"> punto resolutivo </w:t>
      </w:r>
      <w:r w:rsidR="0083079E">
        <w:rPr>
          <w:szCs w:val="20"/>
        </w:rPr>
        <w:t>2</w:t>
      </w:r>
      <w:r w:rsidRPr="00B456A2">
        <w:rPr>
          <w:szCs w:val="20"/>
        </w:rPr>
        <w:t>), según lo determinen éstos, podrán ser cubiertas con recursos del Fondo de Asistencia Legal de Víctimas. Los representantes deberán comunicar a la Corte los nombres de los declarantes cuyos affid</w:t>
      </w:r>
      <w:r w:rsidR="00A674FD">
        <w:rPr>
          <w:szCs w:val="20"/>
        </w:rPr>
        <w:t>á</w:t>
      </w:r>
      <w:r w:rsidRPr="00B456A2">
        <w:rPr>
          <w:szCs w:val="20"/>
        </w:rPr>
        <w:t>vits serán cubiertos por el Fondo de Asistencia y remitir la cotización del costo de la formalización de las declaraciones juradas en el país de residencia del declarante y de su envío, en el plazo establecido en la parte resolutiva de la presente Resolución (</w:t>
      </w:r>
      <w:r w:rsidRPr="00B4568A">
        <w:rPr>
          <w:i/>
          <w:szCs w:val="20"/>
        </w:rPr>
        <w:t>infra</w:t>
      </w:r>
      <w:r w:rsidRPr="00B456A2">
        <w:rPr>
          <w:szCs w:val="20"/>
        </w:rPr>
        <w:t xml:space="preserve"> punto resolutivo 9).</w:t>
      </w:r>
    </w:p>
    <w:p w14:paraId="5295390D" w14:textId="0E571683" w:rsidR="00C37D27" w:rsidRPr="00B456A2" w:rsidRDefault="00C37D27" w:rsidP="00A12940">
      <w:pPr>
        <w:pStyle w:val="ListParagraph"/>
        <w:tabs>
          <w:tab w:val="left" w:pos="0"/>
        </w:tabs>
        <w:ind w:left="0"/>
        <w:rPr>
          <w:szCs w:val="20"/>
        </w:rPr>
      </w:pPr>
    </w:p>
    <w:p w14:paraId="7BEE6BE3" w14:textId="3E074594" w:rsidR="00C37D27" w:rsidRPr="00B456A2" w:rsidRDefault="00016BBB" w:rsidP="00A12940">
      <w:pPr>
        <w:pStyle w:val="ListParagraph"/>
        <w:numPr>
          <w:ilvl w:val="0"/>
          <w:numId w:val="10"/>
        </w:numPr>
        <w:tabs>
          <w:tab w:val="left" w:pos="0"/>
        </w:tabs>
        <w:ind w:left="0" w:firstLine="0"/>
        <w:rPr>
          <w:szCs w:val="20"/>
        </w:rPr>
      </w:pPr>
      <w:r w:rsidRPr="00B456A2">
        <w:rPr>
          <w:szCs w:val="20"/>
        </w:rPr>
        <w:t xml:space="preserve">La Corte realizará las gestiones pertinentes y necesarias para cubrir los costos de traslado, alojamiento y manutención de las personas comparecientes con recursos provenientes del Fondo de Asistencia. </w:t>
      </w:r>
    </w:p>
    <w:p w14:paraId="1AC24E60" w14:textId="77777777" w:rsidR="00C37D27" w:rsidRPr="00B456A2" w:rsidRDefault="00C37D27" w:rsidP="00A12940">
      <w:pPr>
        <w:tabs>
          <w:tab w:val="left" w:pos="0"/>
        </w:tabs>
        <w:rPr>
          <w:szCs w:val="20"/>
        </w:rPr>
      </w:pPr>
    </w:p>
    <w:p w14:paraId="4F778825" w14:textId="04ADCDF1" w:rsidR="00016BBB" w:rsidRPr="00B456A2" w:rsidRDefault="00016BBB" w:rsidP="00A12940">
      <w:pPr>
        <w:pStyle w:val="ListParagraph"/>
        <w:numPr>
          <w:ilvl w:val="0"/>
          <w:numId w:val="10"/>
        </w:numPr>
        <w:tabs>
          <w:tab w:val="left" w:pos="0"/>
        </w:tabs>
        <w:ind w:left="0" w:firstLine="0"/>
        <w:rPr>
          <w:szCs w:val="20"/>
        </w:rPr>
      </w:pPr>
      <w:r w:rsidRPr="00B456A2">
        <w:rPr>
          <w:szCs w:val="20"/>
        </w:rPr>
        <w:t>Según lo requerido por el artículo 4 del Reglamento de la Corte sobre el Funcionamiento del Fondo de Asistencia, se dispone que la Secretaría abra un expediente de gastos a los fines de llevar la contabilidad y en el cual se documentará cada una de las erogaciones que se realicen en relación con el referido Fondo.</w:t>
      </w:r>
    </w:p>
    <w:p w14:paraId="24C59686" w14:textId="3714DDE7" w:rsidR="00C37D27" w:rsidRPr="00B456A2" w:rsidRDefault="00C37D27" w:rsidP="00A12940">
      <w:pPr>
        <w:pStyle w:val="ListParagraph"/>
        <w:tabs>
          <w:tab w:val="left" w:pos="0"/>
        </w:tabs>
        <w:ind w:left="0"/>
        <w:rPr>
          <w:szCs w:val="20"/>
        </w:rPr>
      </w:pPr>
    </w:p>
    <w:p w14:paraId="37AECEB4" w14:textId="18C41C0B" w:rsidR="00016BBB" w:rsidRPr="00B456A2" w:rsidRDefault="00016BBB" w:rsidP="00A12940">
      <w:pPr>
        <w:pStyle w:val="ListParagraph"/>
        <w:numPr>
          <w:ilvl w:val="0"/>
          <w:numId w:val="10"/>
        </w:numPr>
        <w:tabs>
          <w:tab w:val="left" w:pos="0"/>
        </w:tabs>
        <w:ind w:left="0" w:firstLine="0"/>
        <w:rPr>
          <w:szCs w:val="20"/>
        </w:rPr>
      </w:pPr>
      <w:r w:rsidRPr="00B456A2">
        <w:rPr>
          <w:szCs w:val="20"/>
        </w:rPr>
        <w:t xml:space="preserve">Finalmente, </w:t>
      </w:r>
      <w:r w:rsidR="00F3152F">
        <w:rPr>
          <w:szCs w:val="20"/>
          <w:lang w:val="es-ES"/>
        </w:rPr>
        <w:t>la</w:t>
      </w:r>
      <w:r w:rsidR="00F3152F" w:rsidRPr="00B456A2">
        <w:rPr>
          <w:szCs w:val="20"/>
          <w:lang w:val="es-ES"/>
        </w:rPr>
        <w:t xml:space="preserve"> </w:t>
      </w:r>
      <w:r w:rsidRPr="00B456A2">
        <w:rPr>
          <w:szCs w:val="20"/>
          <w:lang w:val="es-ES"/>
        </w:rPr>
        <w:t>Presiden</w:t>
      </w:r>
      <w:r w:rsidR="00F3152F">
        <w:rPr>
          <w:szCs w:val="20"/>
          <w:lang w:val="es-ES"/>
        </w:rPr>
        <w:t>cia</w:t>
      </w:r>
      <w:r w:rsidRPr="00B456A2">
        <w:rPr>
          <w:szCs w:val="20"/>
        </w:rPr>
        <w:t xml:space="preserve"> recuerda que, según el artículo 5 del Reglamento del Fondo, se informará oportunamente al Estado las erogaciones realizadas en aplicación del Fondo de Asistencia Legal de Víctimas, para que presente sus observaciones, si así lo desea, dentro del plazo que se establezca al efecto.</w:t>
      </w:r>
    </w:p>
    <w:p w14:paraId="7D49F5AA" w14:textId="77777777" w:rsidR="00C37D27" w:rsidRPr="00B456A2" w:rsidRDefault="00C37D27" w:rsidP="00E77B4C">
      <w:pPr>
        <w:tabs>
          <w:tab w:val="left" w:pos="0"/>
        </w:tabs>
        <w:rPr>
          <w:b/>
          <w:szCs w:val="20"/>
        </w:rPr>
      </w:pPr>
    </w:p>
    <w:p w14:paraId="483CB25F" w14:textId="77777777" w:rsidR="00016BBB" w:rsidRPr="00B456A2" w:rsidRDefault="00016BBB" w:rsidP="00B456A2">
      <w:pPr>
        <w:pStyle w:val="Heading1"/>
      </w:pPr>
      <w:r w:rsidRPr="00B456A2">
        <w:rPr>
          <w:szCs w:val="22"/>
        </w:rPr>
        <w:t>POR TANTO:</w:t>
      </w:r>
    </w:p>
    <w:p w14:paraId="6F3D2E62" w14:textId="3691BE6F" w:rsidR="00C37D27" w:rsidRPr="00B456A2" w:rsidRDefault="00C37D27" w:rsidP="00E77B4C">
      <w:pPr>
        <w:tabs>
          <w:tab w:val="left" w:pos="0"/>
        </w:tabs>
        <w:rPr>
          <w:b/>
          <w:szCs w:val="20"/>
        </w:rPr>
      </w:pPr>
    </w:p>
    <w:p w14:paraId="5B93BE54" w14:textId="19294C55" w:rsidR="00016BBB" w:rsidRPr="00B456A2" w:rsidRDefault="00016BBB" w:rsidP="00E77B4C">
      <w:pPr>
        <w:tabs>
          <w:tab w:val="left" w:pos="0"/>
        </w:tabs>
        <w:rPr>
          <w:b/>
          <w:szCs w:val="20"/>
        </w:rPr>
      </w:pPr>
      <w:r w:rsidRPr="00B456A2">
        <w:rPr>
          <w:b/>
          <w:szCs w:val="20"/>
        </w:rPr>
        <w:t>EL PRESIDENTE EN EJERCICIO DE LA CORTE INTERAMERICANA DE DERECHOS HUMANOS,</w:t>
      </w:r>
    </w:p>
    <w:p w14:paraId="60620D8D" w14:textId="77777777" w:rsidR="00C37D27" w:rsidRPr="00B456A2" w:rsidRDefault="00C37D27" w:rsidP="00E77B4C">
      <w:pPr>
        <w:tabs>
          <w:tab w:val="left" w:pos="0"/>
        </w:tabs>
        <w:rPr>
          <w:szCs w:val="20"/>
        </w:rPr>
      </w:pPr>
    </w:p>
    <w:p w14:paraId="2725CC7C" w14:textId="5EFC1225" w:rsidR="001A080A" w:rsidRPr="00B456A2" w:rsidRDefault="00016BBB" w:rsidP="00E77B4C">
      <w:pPr>
        <w:tabs>
          <w:tab w:val="left" w:pos="0"/>
        </w:tabs>
        <w:rPr>
          <w:szCs w:val="20"/>
        </w:rPr>
      </w:pPr>
      <w:r w:rsidRPr="00B456A2">
        <w:rPr>
          <w:szCs w:val="20"/>
        </w:rPr>
        <w:t>De conformidad con los artículos 24.1 y 25.2 del Estatuto de la Corte y con los artículos 4, 15.1, 26.1, 31.2, 35.1</w:t>
      </w:r>
      <w:r w:rsidR="00C1282A">
        <w:rPr>
          <w:szCs w:val="20"/>
        </w:rPr>
        <w:t>.f</w:t>
      </w:r>
      <w:r w:rsidRPr="00B456A2">
        <w:rPr>
          <w:szCs w:val="20"/>
        </w:rPr>
        <w:t>, 40.2</w:t>
      </w:r>
      <w:r w:rsidR="00C1282A">
        <w:rPr>
          <w:szCs w:val="20"/>
        </w:rPr>
        <w:t>.c</w:t>
      </w:r>
      <w:r w:rsidRPr="00B456A2">
        <w:rPr>
          <w:szCs w:val="20"/>
        </w:rPr>
        <w:t>, 41.1</w:t>
      </w:r>
      <w:r w:rsidR="00C1282A">
        <w:rPr>
          <w:szCs w:val="20"/>
        </w:rPr>
        <w:t>.c</w:t>
      </w:r>
      <w:r w:rsidRPr="00B456A2">
        <w:rPr>
          <w:szCs w:val="20"/>
        </w:rPr>
        <w:t xml:space="preserve">, 45, 46, 50 a 56 y 60 del Reglamento del Tribunal, </w:t>
      </w:r>
    </w:p>
    <w:p w14:paraId="7845577D" w14:textId="77777777" w:rsidR="001A080A" w:rsidRPr="00B456A2" w:rsidRDefault="001A080A" w:rsidP="00E77B4C">
      <w:pPr>
        <w:tabs>
          <w:tab w:val="left" w:pos="0"/>
        </w:tabs>
        <w:rPr>
          <w:szCs w:val="20"/>
        </w:rPr>
      </w:pPr>
    </w:p>
    <w:p w14:paraId="173A41A3" w14:textId="77777777" w:rsidR="001A080A" w:rsidRPr="00B456A2" w:rsidRDefault="00016BBB" w:rsidP="00B456A2">
      <w:pPr>
        <w:pStyle w:val="Heading1"/>
      </w:pPr>
      <w:r w:rsidRPr="00B456A2">
        <w:rPr>
          <w:szCs w:val="22"/>
        </w:rPr>
        <w:t xml:space="preserve">RESUELVE: </w:t>
      </w:r>
    </w:p>
    <w:p w14:paraId="37B685A1" w14:textId="77777777" w:rsidR="001A080A" w:rsidRPr="00B456A2" w:rsidRDefault="001A080A" w:rsidP="00E77B4C">
      <w:pPr>
        <w:tabs>
          <w:tab w:val="left" w:pos="0"/>
        </w:tabs>
        <w:rPr>
          <w:szCs w:val="20"/>
        </w:rPr>
      </w:pPr>
    </w:p>
    <w:p w14:paraId="383A2CEA" w14:textId="72838BF9" w:rsidR="001645BD" w:rsidRPr="00B456A2" w:rsidRDefault="001645BD" w:rsidP="001645BD">
      <w:pPr>
        <w:pStyle w:val="ListParagraph"/>
        <w:numPr>
          <w:ilvl w:val="0"/>
          <w:numId w:val="23"/>
        </w:numPr>
        <w:ind w:left="0" w:firstLine="0"/>
        <w:rPr>
          <w:szCs w:val="20"/>
        </w:rPr>
      </w:pPr>
      <w:r w:rsidRPr="00B456A2">
        <w:rPr>
          <w:szCs w:val="20"/>
        </w:rPr>
        <w:t>Convocar a los representantes y al Estado, así como a la Comisión Interamericana, a una audiencia pública que se celebrará los días 2</w:t>
      </w:r>
      <w:r w:rsidR="0027578F">
        <w:rPr>
          <w:szCs w:val="20"/>
        </w:rPr>
        <w:t>7</w:t>
      </w:r>
      <w:r w:rsidRPr="00B456A2">
        <w:rPr>
          <w:szCs w:val="20"/>
        </w:rPr>
        <w:t xml:space="preserve"> y 2</w:t>
      </w:r>
      <w:r w:rsidR="0027578F">
        <w:rPr>
          <w:szCs w:val="20"/>
        </w:rPr>
        <w:t>8</w:t>
      </w:r>
      <w:r w:rsidRPr="00B456A2">
        <w:rPr>
          <w:szCs w:val="20"/>
        </w:rPr>
        <w:t xml:space="preserve"> de agosto de 2018, a partir de las </w:t>
      </w:r>
      <w:r w:rsidRPr="001F1962">
        <w:rPr>
          <w:szCs w:val="20"/>
        </w:rPr>
        <w:t>15:00 horas del día 2</w:t>
      </w:r>
      <w:r w:rsidR="0027578F">
        <w:rPr>
          <w:szCs w:val="20"/>
        </w:rPr>
        <w:t>7</w:t>
      </w:r>
      <w:r w:rsidRPr="001F1962">
        <w:rPr>
          <w:szCs w:val="20"/>
        </w:rPr>
        <w:t xml:space="preserve"> de agosto, durante el 59 Período Extraordinario de Sesiones, por</w:t>
      </w:r>
      <w:r w:rsidRPr="00B456A2">
        <w:rPr>
          <w:szCs w:val="20"/>
        </w:rPr>
        <w:t xml:space="preserve"> realizarse en la ciudad de San Salvador, El Salvador, para recibir sus alegatos finales orales y observaciones finales orales, respectivamente, sobre las excepciones preliminares, eventuales fondo, reparaciones y costas, así como las declaraciones de las siguientes personas:</w:t>
      </w:r>
    </w:p>
    <w:p w14:paraId="2AD9EF8A" w14:textId="77777777" w:rsidR="001645BD" w:rsidRPr="00B456A2" w:rsidRDefault="001645BD" w:rsidP="001645BD">
      <w:pPr>
        <w:pStyle w:val="ListParagraph"/>
        <w:ind w:left="0"/>
        <w:rPr>
          <w:szCs w:val="20"/>
        </w:rPr>
      </w:pPr>
    </w:p>
    <w:p w14:paraId="05C75582" w14:textId="4AEC5C1F" w:rsidR="001645BD" w:rsidRPr="00B456A2" w:rsidRDefault="001645BD" w:rsidP="001645BD">
      <w:pPr>
        <w:tabs>
          <w:tab w:val="left" w:pos="0"/>
        </w:tabs>
        <w:rPr>
          <w:b/>
          <w:szCs w:val="20"/>
          <w:lang w:val="es-MX"/>
        </w:rPr>
      </w:pPr>
      <w:r w:rsidRPr="00B456A2">
        <w:rPr>
          <w:b/>
          <w:szCs w:val="20"/>
          <w:lang w:val="es-MX"/>
        </w:rPr>
        <w:t>A) Presunta víctima (Propuest</w:t>
      </w:r>
      <w:r w:rsidR="00E4391E">
        <w:rPr>
          <w:b/>
          <w:szCs w:val="20"/>
          <w:lang w:val="es-MX"/>
        </w:rPr>
        <w:t>a</w:t>
      </w:r>
      <w:r w:rsidRPr="00B456A2">
        <w:rPr>
          <w:b/>
          <w:szCs w:val="20"/>
          <w:lang w:val="es-MX"/>
        </w:rPr>
        <w:t xml:space="preserve"> por los representantes)</w:t>
      </w:r>
    </w:p>
    <w:p w14:paraId="4B27FD92" w14:textId="77777777" w:rsidR="001645BD" w:rsidRPr="00B4568A" w:rsidRDefault="001645BD" w:rsidP="00B4568A">
      <w:pPr>
        <w:pStyle w:val="CommentSubject"/>
        <w:tabs>
          <w:tab w:val="left" w:pos="0"/>
        </w:tabs>
        <w:rPr>
          <w:bCs w:val="0"/>
          <w:lang w:val="es-MX"/>
        </w:rPr>
      </w:pPr>
    </w:p>
    <w:p w14:paraId="58379D5C" w14:textId="665BCE79" w:rsidR="001645BD" w:rsidRPr="00B456A2" w:rsidRDefault="001645BD" w:rsidP="001645BD">
      <w:pPr>
        <w:tabs>
          <w:tab w:val="left" w:pos="0"/>
        </w:tabs>
        <w:ind w:left="567"/>
        <w:rPr>
          <w:szCs w:val="20"/>
          <w:lang w:val="es-MX"/>
        </w:rPr>
      </w:pPr>
      <w:r w:rsidRPr="00B456A2">
        <w:rPr>
          <w:i/>
          <w:szCs w:val="20"/>
        </w:rPr>
        <w:t>Tulio (Julio) Alberto Álvarez Ramos</w:t>
      </w:r>
      <w:r w:rsidR="00B4568A">
        <w:rPr>
          <w:i/>
          <w:szCs w:val="20"/>
        </w:rPr>
        <w:t>.</w:t>
      </w:r>
      <w:r w:rsidRPr="00B456A2">
        <w:rPr>
          <w:szCs w:val="20"/>
        </w:rPr>
        <w:t xml:space="preserve"> Declarará sobre los hechos que configuran una alegada persecución política en su contra, la sustanciación del proceso penal y sus incidencias administrativas vinculadas al cumplimiento de la pena y el impacto de las mismas en su desempeño familiar y profesional, con especial referencia a la configuración de los daños materiales y morales que se deriva</w:t>
      </w:r>
      <w:r w:rsidR="00A12940">
        <w:rPr>
          <w:szCs w:val="20"/>
        </w:rPr>
        <w:t>rían</w:t>
      </w:r>
      <w:r w:rsidRPr="00B456A2">
        <w:rPr>
          <w:szCs w:val="20"/>
        </w:rPr>
        <w:t xml:space="preserve"> de tales infracciones.</w:t>
      </w:r>
    </w:p>
    <w:p w14:paraId="689CABA9" w14:textId="77777777" w:rsidR="001645BD" w:rsidRPr="00B456A2" w:rsidRDefault="001645BD" w:rsidP="001645BD">
      <w:pPr>
        <w:tabs>
          <w:tab w:val="left" w:pos="0"/>
        </w:tabs>
        <w:rPr>
          <w:i/>
          <w:szCs w:val="20"/>
          <w:u w:val="single"/>
          <w:lang w:val="es-MX"/>
        </w:rPr>
      </w:pPr>
    </w:p>
    <w:p w14:paraId="5D72590B" w14:textId="03B7343D" w:rsidR="001645BD" w:rsidRPr="00B456A2" w:rsidRDefault="001645BD" w:rsidP="001645BD">
      <w:pPr>
        <w:tabs>
          <w:tab w:val="left" w:pos="0"/>
        </w:tabs>
        <w:rPr>
          <w:b/>
          <w:szCs w:val="20"/>
          <w:lang w:val="es-MX"/>
        </w:rPr>
      </w:pPr>
      <w:r w:rsidRPr="00B456A2">
        <w:rPr>
          <w:b/>
          <w:szCs w:val="20"/>
          <w:lang w:val="es-MX"/>
        </w:rPr>
        <w:t>B) Testigo (Propuest</w:t>
      </w:r>
      <w:r w:rsidR="00E4391E">
        <w:rPr>
          <w:b/>
          <w:szCs w:val="20"/>
          <w:lang w:val="es-MX"/>
        </w:rPr>
        <w:t>a</w:t>
      </w:r>
      <w:r w:rsidRPr="00B456A2">
        <w:rPr>
          <w:b/>
          <w:szCs w:val="20"/>
          <w:lang w:val="es-MX"/>
        </w:rPr>
        <w:t xml:space="preserve"> por el Estado)</w:t>
      </w:r>
    </w:p>
    <w:p w14:paraId="06CEF55C" w14:textId="77777777" w:rsidR="001645BD" w:rsidRPr="00B456A2" w:rsidRDefault="001645BD" w:rsidP="001645BD">
      <w:pPr>
        <w:tabs>
          <w:tab w:val="left" w:pos="0"/>
        </w:tabs>
        <w:rPr>
          <w:szCs w:val="20"/>
          <w:lang w:val="es-MX"/>
        </w:rPr>
      </w:pPr>
    </w:p>
    <w:p w14:paraId="4CA76F49" w14:textId="7632EB73" w:rsidR="001645BD" w:rsidRPr="00B456A2" w:rsidRDefault="001645BD" w:rsidP="001645BD">
      <w:pPr>
        <w:tabs>
          <w:tab w:val="left" w:pos="0"/>
        </w:tabs>
        <w:ind w:left="567"/>
        <w:rPr>
          <w:szCs w:val="20"/>
          <w:lang w:val="es-MX"/>
        </w:rPr>
      </w:pPr>
      <w:r w:rsidRPr="00B456A2">
        <w:rPr>
          <w:bCs/>
          <w:i/>
          <w:szCs w:val="20"/>
        </w:rPr>
        <w:t>Esther Quiaro</w:t>
      </w:r>
      <w:r w:rsidRPr="00B456A2">
        <w:rPr>
          <w:bCs/>
          <w:szCs w:val="20"/>
        </w:rPr>
        <w:t xml:space="preserve">, Periodista. Declarará sobre el uso de los medios de comunicación en Venezuela para afectar el honor y reputación de los actores políticos a partir del año 1999, así como sobre el efecto </w:t>
      </w:r>
      <w:r w:rsidR="00A12940">
        <w:rPr>
          <w:bCs/>
          <w:szCs w:val="20"/>
        </w:rPr>
        <w:t xml:space="preserve">que </w:t>
      </w:r>
      <w:r w:rsidRPr="00B456A2">
        <w:rPr>
          <w:bCs/>
          <w:szCs w:val="20"/>
        </w:rPr>
        <w:t>genera</w:t>
      </w:r>
      <w:r w:rsidR="00A12940">
        <w:rPr>
          <w:bCs/>
          <w:szCs w:val="20"/>
        </w:rPr>
        <w:t>ría</w:t>
      </w:r>
      <w:r w:rsidRPr="00B456A2">
        <w:rPr>
          <w:bCs/>
          <w:szCs w:val="20"/>
        </w:rPr>
        <w:t xml:space="preserve"> en los periodistas el ejercicio de acciones para establecer la responsabilidad ulterior.</w:t>
      </w:r>
    </w:p>
    <w:p w14:paraId="4E652B72" w14:textId="77777777" w:rsidR="001645BD" w:rsidRPr="00B456A2" w:rsidRDefault="001645BD" w:rsidP="001645BD">
      <w:pPr>
        <w:tabs>
          <w:tab w:val="left" w:pos="0"/>
        </w:tabs>
        <w:rPr>
          <w:i/>
          <w:szCs w:val="20"/>
          <w:u w:val="single"/>
          <w:lang w:val="es-MX"/>
        </w:rPr>
      </w:pPr>
    </w:p>
    <w:p w14:paraId="1A408BC8" w14:textId="30ECC95C" w:rsidR="001645BD" w:rsidRPr="00B456A2" w:rsidRDefault="001645BD" w:rsidP="001645BD">
      <w:pPr>
        <w:tabs>
          <w:tab w:val="left" w:pos="0"/>
        </w:tabs>
        <w:rPr>
          <w:b/>
          <w:szCs w:val="20"/>
          <w:lang w:val="es-MX"/>
        </w:rPr>
      </w:pPr>
      <w:r w:rsidRPr="00B456A2">
        <w:rPr>
          <w:b/>
          <w:szCs w:val="20"/>
          <w:lang w:val="es-MX"/>
        </w:rPr>
        <w:t xml:space="preserve">C) </w:t>
      </w:r>
      <w:r w:rsidR="00E4391E">
        <w:rPr>
          <w:b/>
          <w:szCs w:val="20"/>
          <w:lang w:val="es-MX"/>
        </w:rPr>
        <w:t>Perita</w:t>
      </w:r>
      <w:r w:rsidR="001F1962">
        <w:rPr>
          <w:b/>
          <w:szCs w:val="20"/>
          <w:lang w:val="es-MX"/>
        </w:rPr>
        <w:t>s</w:t>
      </w:r>
      <w:r w:rsidRPr="00B456A2">
        <w:rPr>
          <w:b/>
          <w:szCs w:val="20"/>
          <w:lang w:val="es-MX"/>
        </w:rPr>
        <w:t xml:space="preserve"> (Propuest</w:t>
      </w:r>
      <w:r w:rsidR="00E4391E">
        <w:rPr>
          <w:b/>
          <w:szCs w:val="20"/>
          <w:lang w:val="es-MX"/>
        </w:rPr>
        <w:t>a</w:t>
      </w:r>
      <w:r w:rsidR="001F1962">
        <w:rPr>
          <w:b/>
          <w:szCs w:val="20"/>
          <w:lang w:val="es-MX"/>
        </w:rPr>
        <w:t>s</w:t>
      </w:r>
      <w:r w:rsidRPr="00B456A2">
        <w:rPr>
          <w:b/>
          <w:szCs w:val="20"/>
          <w:lang w:val="es-MX"/>
        </w:rPr>
        <w:t xml:space="preserve"> por los representantes)</w:t>
      </w:r>
    </w:p>
    <w:p w14:paraId="393F498E" w14:textId="77777777" w:rsidR="001645BD" w:rsidRPr="00B456A2" w:rsidRDefault="001645BD" w:rsidP="001645BD">
      <w:pPr>
        <w:tabs>
          <w:tab w:val="left" w:pos="0"/>
        </w:tabs>
        <w:rPr>
          <w:szCs w:val="20"/>
          <w:lang w:val="es-MX"/>
        </w:rPr>
      </w:pPr>
    </w:p>
    <w:p w14:paraId="6B2B7056" w14:textId="3E54CD64" w:rsidR="001F1962" w:rsidRDefault="001F1962" w:rsidP="00A4377F">
      <w:pPr>
        <w:tabs>
          <w:tab w:val="left" w:pos="0"/>
        </w:tabs>
        <w:ind w:left="567"/>
        <w:rPr>
          <w:szCs w:val="20"/>
          <w:lang w:val="es-MX"/>
        </w:rPr>
      </w:pPr>
      <w:r>
        <w:rPr>
          <w:i/>
          <w:szCs w:val="20"/>
          <w:lang w:val="es-MX"/>
        </w:rPr>
        <w:t>Catalina Botero</w:t>
      </w:r>
      <w:r w:rsidRPr="00B456A2">
        <w:rPr>
          <w:szCs w:val="20"/>
          <w:lang w:val="es-MX"/>
        </w:rPr>
        <w:t>,</w:t>
      </w:r>
      <w:r>
        <w:rPr>
          <w:szCs w:val="20"/>
          <w:lang w:val="es-MX"/>
        </w:rPr>
        <w:t xml:space="preserve"> </w:t>
      </w:r>
      <w:r w:rsidR="00A4377F" w:rsidRPr="00A4377F">
        <w:rPr>
          <w:szCs w:val="20"/>
        </w:rPr>
        <w:t>profesora de Derecho Constitucional</w:t>
      </w:r>
      <w:r w:rsidR="00A4377F">
        <w:rPr>
          <w:szCs w:val="20"/>
        </w:rPr>
        <w:t xml:space="preserve"> y </w:t>
      </w:r>
      <w:r w:rsidR="00A4377F" w:rsidRPr="00A4377F">
        <w:rPr>
          <w:szCs w:val="20"/>
        </w:rPr>
        <w:t>conjuez de</w:t>
      </w:r>
      <w:r w:rsidR="00A4377F">
        <w:rPr>
          <w:szCs w:val="20"/>
        </w:rPr>
        <w:t xml:space="preserve"> </w:t>
      </w:r>
      <w:r w:rsidR="00A4377F" w:rsidRPr="00A4377F">
        <w:rPr>
          <w:szCs w:val="20"/>
        </w:rPr>
        <w:t>la Corte Constitucional de Colombia.</w:t>
      </w:r>
      <w:r>
        <w:rPr>
          <w:szCs w:val="20"/>
          <w:lang w:val="es-MX"/>
        </w:rPr>
        <w:t xml:space="preserve"> </w:t>
      </w:r>
      <w:r>
        <w:rPr>
          <w:szCs w:val="20"/>
        </w:rPr>
        <w:t>D</w:t>
      </w:r>
      <w:r w:rsidRPr="001F1962">
        <w:rPr>
          <w:szCs w:val="20"/>
        </w:rPr>
        <w:t>eclarará sobre las condiciones</w:t>
      </w:r>
      <w:r>
        <w:rPr>
          <w:szCs w:val="20"/>
        </w:rPr>
        <w:t xml:space="preserve"> </w:t>
      </w:r>
      <w:r w:rsidRPr="001F1962">
        <w:rPr>
          <w:szCs w:val="20"/>
        </w:rPr>
        <w:t>que, de acuerdo con el artículo 13 de la Convención Americana, debe</w:t>
      </w:r>
      <w:r>
        <w:rPr>
          <w:szCs w:val="20"/>
        </w:rPr>
        <w:t>n</w:t>
      </w:r>
      <w:r w:rsidRPr="001F1962">
        <w:rPr>
          <w:szCs w:val="20"/>
        </w:rPr>
        <w:t xml:space="preserve"> garantizar </w:t>
      </w:r>
      <w:r>
        <w:rPr>
          <w:szCs w:val="20"/>
        </w:rPr>
        <w:t>los</w:t>
      </w:r>
      <w:r w:rsidRPr="001F1962">
        <w:rPr>
          <w:szCs w:val="20"/>
        </w:rPr>
        <w:t xml:space="preserve"> Estado</w:t>
      </w:r>
      <w:r>
        <w:rPr>
          <w:szCs w:val="20"/>
        </w:rPr>
        <w:t xml:space="preserve">s </w:t>
      </w:r>
      <w:r w:rsidRPr="001F1962">
        <w:rPr>
          <w:szCs w:val="20"/>
        </w:rPr>
        <w:t>para el respeto del ejercicio de la libertad de expresión en una sociedad democrática y el</w:t>
      </w:r>
      <w:r>
        <w:rPr>
          <w:szCs w:val="20"/>
        </w:rPr>
        <w:t xml:space="preserve"> </w:t>
      </w:r>
      <w:r w:rsidRPr="001F1962">
        <w:rPr>
          <w:szCs w:val="20"/>
        </w:rPr>
        <w:t>marco jurídico interamericano sobre el derecho a la libertad de expresión; el derecho de</w:t>
      </w:r>
      <w:r>
        <w:rPr>
          <w:szCs w:val="20"/>
        </w:rPr>
        <w:t xml:space="preserve"> </w:t>
      </w:r>
      <w:r w:rsidRPr="001F1962">
        <w:rPr>
          <w:szCs w:val="20"/>
        </w:rPr>
        <w:t>acceso a la información pública en las Américas de acuerdo a los</w:t>
      </w:r>
      <w:r>
        <w:rPr>
          <w:szCs w:val="20"/>
        </w:rPr>
        <w:t xml:space="preserve"> e</w:t>
      </w:r>
      <w:r w:rsidRPr="001F1962">
        <w:rPr>
          <w:szCs w:val="20"/>
        </w:rPr>
        <w:t xml:space="preserve">stándares interamericanos; la proporcionalidad entre las penas impuestas por los </w:t>
      </w:r>
      <w:r w:rsidR="00A4377F">
        <w:rPr>
          <w:szCs w:val="20"/>
        </w:rPr>
        <w:t xml:space="preserve">llamados </w:t>
      </w:r>
      <w:r w:rsidRPr="001F1962">
        <w:rPr>
          <w:szCs w:val="20"/>
        </w:rPr>
        <w:t>delitos de opinión y la tutela del honor y reputación de funcionarios públicos, con especial</w:t>
      </w:r>
      <w:r w:rsidR="00A4377F">
        <w:rPr>
          <w:szCs w:val="20"/>
        </w:rPr>
        <w:t xml:space="preserve"> </w:t>
      </w:r>
      <w:r w:rsidRPr="001F1962">
        <w:rPr>
          <w:szCs w:val="20"/>
        </w:rPr>
        <w:t>referencia a la pena de inhabilitación política; la afectación de la libertad de información y</w:t>
      </w:r>
      <w:r w:rsidR="00A4377F">
        <w:rPr>
          <w:szCs w:val="20"/>
        </w:rPr>
        <w:t xml:space="preserve"> </w:t>
      </w:r>
      <w:r w:rsidRPr="001F1962">
        <w:rPr>
          <w:szCs w:val="20"/>
        </w:rPr>
        <w:t>expresión por la imposición de penas desproporcionadas; y las reparaciones por la violación</w:t>
      </w:r>
      <w:r w:rsidR="00A4377F">
        <w:rPr>
          <w:szCs w:val="20"/>
        </w:rPr>
        <w:t xml:space="preserve"> </w:t>
      </w:r>
      <w:r w:rsidRPr="001F1962">
        <w:rPr>
          <w:szCs w:val="20"/>
        </w:rPr>
        <w:t>del derecho a la libertad de expresión en el sistema interamericano.</w:t>
      </w:r>
      <w:r>
        <w:rPr>
          <w:szCs w:val="20"/>
          <w:lang w:val="es-MX"/>
        </w:rPr>
        <w:t xml:space="preserve"> </w:t>
      </w:r>
    </w:p>
    <w:p w14:paraId="142F9DA4" w14:textId="77777777" w:rsidR="008D74B6" w:rsidRDefault="008D74B6" w:rsidP="00A4377F">
      <w:pPr>
        <w:tabs>
          <w:tab w:val="left" w:pos="0"/>
        </w:tabs>
        <w:ind w:left="567"/>
        <w:rPr>
          <w:szCs w:val="20"/>
          <w:lang w:val="es-MX"/>
        </w:rPr>
      </w:pPr>
    </w:p>
    <w:p w14:paraId="24D08ADA" w14:textId="77777777" w:rsidR="008D74B6" w:rsidRDefault="008D74B6" w:rsidP="008D74B6">
      <w:pPr>
        <w:tabs>
          <w:tab w:val="left" w:pos="0"/>
        </w:tabs>
        <w:ind w:left="567"/>
        <w:rPr>
          <w:szCs w:val="20"/>
          <w:lang w:val="es-MX"/>
        </w:rPr>
      </w:pPr>
      <w:r w:rsidRPr="00B456A2">
        <w:rPr>
          <w:i/>
          <w:szCs w:val="20"/>
          <w:lang w:val="es-MX"/>
        </w:rPr>
        <w:t>Magaly Vázquez</w:t>
      </w:r>
      <w:r w:rsidRPr="00B456A2">
        <w:rPr>
          <w:szCs w:val="20"/>
          <w:lang w:val="es-MX"/>
        </w:rPr>
        <w:t xml:space="preserve">, Ex Directora de la Escuela de Derecho de la Universidad Católica Andrés Bello y especialista en derecho penal. Declarará sobre las distintas fases del proceso penal en Venezuela, el papel del Ministerio Público en dicho proceso, en especial su rol en los delitos de acción privada, la diferencia entre querella y acusación a los efectos de la activación de procesos en tales delitos, la criminalización de la disidencia política y sus consecuencias, la utilización del proceso penal para castigar a los comunicadores sociales, el significado del término la </w:t>
      </w:r>
      <w:r>
        <w:rPr>
          <w:szCs w:val="20"/>
          <w:lang w:val="es-MX"/>
        </w:rPr>
        <w:t>“</w:t>
      </w:r>
      <w:r w:rsidRPr="00B456A2">
        <w:rPr>
          <w:szCs w:val="20"/>
          <w:lang w:val="es-MX"/>
        </w:rPr>
        <w:t>Pena del Banquillo</w:t>
      </w:r>
      <w:r>
        <w:rPr>
          <w:szCs w:val="20"/>
          <w:lang w:val="es-MX"/>
        </w:rPr>
        <w:t>”</w:t>
      </w:r>
      <w:r w:rsidRPr="00B456A2">
        <w:rPr>
          <w:szCs w:val="20"/>
          <w:lang w:val="es-MX"/>
        </w:rPr>
        <w:t>, la inhabilitación como pena accesoria impuesta por condena penal y su límites y el principio del juez natural como componentes de un debido proceso.</w:t>
      </w:r>
    </w:p>
    <w:p w14:paraId="31B3D4D5" w14:textId="77777777" w:rsidR="001645BD" w:rsidRPr="00B456A2" w:rsidRDefault="001645BD" w:rsidP="00B456A2">
      <w:pPr>
        <w:pStyle w:val="ListParagraph"/>
        <w:tabs>
          <w:tab w:val="left" w:pos="0"/>
        </w:tabs>
        <w:ind w:left="0"/>
        <w:rPr>
          <w:szCs w:val="20"/>
        </w:rPr>
      </w:pPr>
    </w:p>
    <w:p w14:paraId="4DF971DC" w14:textId="57590CDB" w:rsidR="00016BBB" w:rsidRPr="00B456A2" w:rsidRDefault="00016BBB" w:rsidP="00FA4BD7">
      <w:pPr>
        <w:pStyle w:val="ListParagraph"/>
        <w:numPr>
          <w:ilvl w:val="0"/>
          <w:numId w:val="23"/>
        </w:numPr>
        <w:tabs>
          <w:tab w:val="left" w:pos="0"/>
        </w:tabs>
        <w:ind w:left="0" w:firstLine="0"/>
        <w:rPr>
          <w:szCs w:val="20"/>
          <w:lang w:val="es-ES"/>
        </w:rPr>
      </w:pPr>
      <w:r w:rsidRPr="00B456A2">
        <w:rPr>
          <w:szCs w:val="20"/>
        </w:rPr>
        <w:t>Requerir, por las razones expuestas en la presente Resolución, de conformidad con el principio de economía procesal y en ejercicio de la facultad que le otorga el artículo 50.1 del Reglamento de la Corte, que las siguientes personas presten sus declaraciones ante fedatario público (</w:t>
      </w:r>
      <w:r w:rsidR="0034795F" w:rsidRPr="0034795F">
        <w:rPr>
          <w:i/>
          <w:szCs w:val="20"/>
          <w:lang w:val="es-ES"/>
        </w:rPr>
        <w:t>affidavit</w:t>
      </w:r>
      <w:r w:rsidRPr="00B456A2">
        <w:rPr>
          <w:szCs w:val="20"/>
          <w:lang w:val="es-ES"/>
        </w:rPr>
        <w:t>):</w:t>
      </w:r>
    </w:p>
    <w:p w14:paraId="703145C8" w14:textId="77777777" w:rsidR="001A080A" w:rsidRPr="00B456A2" w:rsidRDefault="001A080A" w:rsidP="00FA4BD7">
      <w:pPr>
        <w:pStyle w:val="ListParagraph"/>
        <w:tabs>
          <w:tab w:val="left" w:pos="0"/>
        </w:tabs>
        <w:rPr>
          <w:szCs w:val="20"/>
          <w:lang w:val="es-ES"/>
        </w:rPr>
      </w:pPr>
    </w:p>
    <w:p w14:paraId="7777D7E1" w14:textId="61049F20" w:rsidR="00016BBB" w:rsidRPr="00B456A2" w:rsidRDefault="00016BBB" w:rsidP="00E77B4C">
      <w:pPr>
        <w:pStyle w:val="ListParagraph"/>
        <w:numPr>
          <w:ilvl w:val="0"/>
          <w:numId w:val="12"/>
        </w:numPr>
        <w:tabs>
          <w:tab w:val="left" w:pos="0"/>
        </w:tabs>
        <w:ind w:left="0" w:firstLine="0"/>
        <w:contextualSpacing w:val="0"/>
        <w:rPr>
          <w:b/>
          <w:szCs w:val="20"/>
          <w:lang w:val="es-ES"/>
        </w:rPr>
      </w:pPr>
      <w:r w:rsidRPr="00B456A2">
        <w:rPr>
          <w:b/>
          <w:szCs w:val="20"/>
          <w:lang w:val="es-ES"/>
        </w:rPr>
        <w:t>Testigos (</w:t>
      </w:r>
      <w:r w:rsidR="00E4391E">
        <w:rPr>
          <w:b/>
          <w:szCs w:val="20"/>
          <w:lang w:val="es-ES"/>
        </w:rPr>
        <w:t>P</w:t>
      </w:r>
      <w:r w:rsidR="00B4568A">
        <w:rPr>
          <w:b/>
          <w:szCs w:val="20"/>
          <w:lang w:val="es-ES"/>
        </w:rPr>
        <w:t>ropuesto</w:t>
      </w:r>
      <w:r w:rsidRPr="00B456A2">
        <w:rPr>
          <w:b/>
          <w:szCs w:val="20"/>
          <w:lang w:val="es-ES"/>
        </w:rPr>
        <w:t>s por los representantes)</w:t>
      </w:r>
    </w:p>
    <w:p w14:paraId="4BA1D749" w14:textId="77777777" w:rsidR="00016BBB" w:rsidRPr="00B456A2" w:rsidRDefault="00016BBB" w:rsidP="00E77B4C">
      <w:pPr>
        <w:tabs>
          <w:tab w:val="left" w:pos="0"/>
        </w:tabs>
        <w:rPr>
          <w:szCs w:val="20"/>
          <w:u w:val="single"/>
        </w:rPr>
      </w:pPr>
    </w:p>
    <w:p w14:paraId="1ACCF1CD" w14:textId="20A8BB8E" w:rsidR="00016BBB" w:rsidRPr="00B456A2" w:rsidRDefault="00016BBB" w:rsidP="001A080A">
      <w:pPr>
        <w:tabs>
          <w:tab w:val="left" w:pos="0"/>
          <w:tab w:val="left" w:pos="567"/>
        </w:tabs>
        <w:ind w:left="567"/>
        <w:rPr>
          <w:szCs w:val="20"/>
          <w:lang w:val="es-MX"/>
        </w:rPr>
      </w:pPr>
      <w:r w:rsidRPr="00B456A2">
        <w:rPr>
          <w:i/>
          <w:szCs w:val="20"/>
          <w:lang w:val="es-ES"/>
        </w:rPr>
        <w:t>Carmen Guadalupe Ramos</w:t>
      </w:r>
      <w:r w:rsidRPr="00B456A2">
        <w:rPr>
          <w:szCs w:val="20"/>
          <w:lang w:val="es-MX"/>
        </w:rPr>
        <w:t>,</w:t>
      </w:r>
      <w:r w:rsidRPr="00B456A2">
        <w:rPr>
          <w:b/>
          <w:szCs w:val="20"/>
          <w:lang w:val="es-MX"/>
        </w:rPr>
        <w:t xml:space="preserve"> </w:t>
      </w:r>
      <w:r w:rsidRPr="00B456A2">
        <w:rPr>
          <w:szCs w:val="20"/>
          <w:lang w:val="es-MX"/>
        </w:rPr>
        <w:t>madre de Tulio Álvarez Ramos</w:t>
      </w:r>
      <w:r w:rsidR="00B4568A">
        <w:rPr>
          <w:szCs w:val="20"/>
          <w:lang w:val="es-MX"/>
        </w:rPr>
        <w:t>.</w:t>
      </w:r>
      <w:r w:rsidRPr="00B456A2">
        <w:rPr>
          <w:szCs w:val="20"/>
          <w:lang w:val="es-MX"/>
        </w:rPr>
        <w:t xml:space="preserve"> Declarará sobre los </w:t>
      </w:r>
      <w:r w:rsidR="001A080A" w:rsidRPr="00B456A2">
        <w:rPr>
          <w:szCs w:val="20"/>
          <w:lang w:val="es-MX"/>
        </w:rPr>
        <w:t xml:space="preserve">alegados </w:t>
      </w:r>
      <w:r w:rsidRPr="00B456A2">
        <w:rPr>
          <w:szCs w:val="20"/>
          <w:lang w:val="es-MX"/>
        </w:rPr>
        <w:t xml:space="preserve">efectos de la acción del Estado en el núcleo familiar y el </w:t>
      </w:r>
      <w:r w:rsidR="001A080A" w:rsidRPr="00B456A2">
        <w:rPr>
          <w:szCs w:val="20"/>
          <w:lang w:val="es-MX"/>
        </w:rPr>
        <w:t xml:space="preserve">alegado </w:t>
      </w:r>
      <w:r w:rsidRPr="00B456A2">
        <w:rPr>
          <w:szCs w:val="20"/>
          <w:lang w:val="es-MX"/>
        </w:rPr>
        <w:t>daño infligido a la integridad psíquica y moral de</w:t>
      </w:r>
      <w:r w:rsidR="001A080A" w:rsidRPr="00B456A2">
        <w:rPr>
          <w:szCs w:val="20"/>
          <w:lang w:val="es-MX"/>
        </w:rPr>
        <w:t xml:space="preserve">l señor </w:t>
      </w:r>
      <w:r w:rsidR="009871BC" w:rsidRPr="00B456A2">
        <w:rPr>
          <w:szCs w:val="20"/>
          <w:lang w:val="es-MX"/>
        </w:rPr>
        <w:t>Álvarez</w:t>
      </w:r>
      <w:r w:rsidRPr="00B456A2">
        <w:rPr>
          <w:szCs w:val="20"/>
          <w:lang w:val="es-MX"/>
        </w:rPr>
        <w:t xml:space="preserve">. Asimismo, la testigo </w:t>
      </w:r>
      <w:r w:rsidR="001A080A" w:rsidRPr="00B456A2">
        <w:rPr>
          <w:szCs w:val="20"/>
          <w:lang w:val="es-MX"/>
        </w:rPr>
        <w:t xml:space="preserve">podrá describir </w:t>
      </w:r>
      <w:r w:rsidRPr="00B456A2">
        <w:rPr>
          <w:szCs w:val="20"/>
          <w:lang w:val="es-MX"/>
        </w:rPr>
        <w:t>las entrevistas a las que acudió, como familiar cercano, en ocasión de la preparación del informe psicosocial Nº 0285-03</w:t>
      </w:r>
      <w:r w:rsidR="001A080A" w:rsidRPr="00B456A2">
        <w:rPr>
          <w:szCs w:val="20"/>
          <w:lang w:val="es-MX"/>
        </w:rPr>
        <w:t>,</w:t>
      </w:r>
      <w:r w:rsidRPr="00B456A2">
        <w:rPr>
          <w:szCs w:val="20"/>
          <w:lang w:val="es-MX"/>
        </w:rPr>
        <w:t xml:space="preserve"> de 14 de agosto de 2006</w:t>
      </w:r>
      <w:r w:rsidR="001A080A" w:rsidRPr="00B456A2">
        <w:rPr>
          <w:szCs w:val="20"/>
          <w:lang w:val="es-MX"/>
        </w:rPr>
        <w:t>,</w:t>
      </w:r>
      <w:r w:rsidRPr="00B456A2">
        <w:rPr>
          <w:szCs w:val="20"/>
          <w:lang w:val="es-MX"/>
        </w:rPr>
        <w:t xml:space="preserve"> la comparecencia ante el delegado de pruebas Jennifer Guillen y la charla familiar efectuada el 30 de julio de 2008, además de las entrevistas relacionadas con el </w:t>
      </w:r>
      <w:r w:rsidR="00A12940">
        <w:rPr>
          <w:szCs w:val="20"/>
          <w:lang w:val="es-MX"/>
        </w:rPr>
        <w:t xml:space="preserve">alegado </w:t>
      </w:r>
      <w:r w:rsidRPr="00B456A2">
        <w:rPr>
          <w:szCs w:val="20"/>
          <w:lang w:val="es-MX"/>
        </w:rPr>
        <w:t>control del Estado sobre su hijo, como procesado y condenado.</w:t>
      </w:r>
    </w:p>
    <w:p w14:paraId="7CD388F4" w14:textId="77777777" w:rsidR="001A080A" w:rsidRPr="00B456A2" w:rsidRDefault="001A080A" w:rsidP="001A080A">
      <w:pPr>
        <w:tabs>
          <w:tab w:val="left" w:pos="0"/>
          <w:tab w:val="left" w:pos="567"/>
        </w:tabs>
        <w:ind w:left="567"/>
        <w:rPr>
          <w:szCs w:val="20"/>
          <w:lang w:val="es-MX"/>
        </w:rPr>
      </w:pPr>
    </w:p>
    <w:p w14:paraId="4364F6A0" w14:textId="6DED304A" w:rsidR="00016BBB" w:rsidRPr="00B456A2" w:rsidRDefault="00016BBB" w:rsidP="001A080A">
      <w:pPr>
        <w:tabs>
          <w:tab w:val="left" w:pos="0"/>
          <w:tab w:val="left" w:pos="567"/>
        </w:tabs>
        <w:ind w:left="567"/>
        <w:rPr>
          <w:szCs w:val="20"/>
          <w:lang w:val="es-MX"/>
        </w:rPr>
      </w:pPr>
      <w:r w:rsidRPr="00B456A2">
        <w:rPr>
          <w:i/>
          <w:szCs w:val="20"/>
          <w:lang w:val="es-ES"/>
        </w:rPr>
        <w:t>Anna Mercedes Martínez</w:t>
      </w:r>
      <w:r w:rsidRPr="00B456A2">
        <w:rPr>
          <w:szCs w:val="20"/>
          <w:lang w:val="es-MX"/>
        </w:rPr>
        <w:t>, esposa de Tulio Álvarez Ramos</w:t>
      </w:r>
      <w:r w:rsidR="00B4568A">
        <w:rPr>
          <w:szCs w:val="20"/>
          <w:lang w:val="es-MX"/>
        </w:rPr>
        <w:t>.</w:t>
      </w:r>
      <w:r w:rsidRPr="00B456A2">
        <w:rPr>
          <w:szCs w:val="20"/>
          <w:lang w:val="es-MX"/>
        </w:rPr>
        <w:t xml:space="preserve"> Declarará sobre los </w:t>
      </w:r>
      <w:r w:rsidR="001A080A" w:rsidRPr="00B456A2">
        <w:rPr>
          <w:szCs w:val="20"/>
          <w:lang w:val="es-MX"/>
        </w:rPr>
        <w:t xml:space="preserve">alegados </w:t>
      </w:r>
      <w:r w:rsidRPr="00B456A2">
        <w:rPr>
          <w:szCs w:val="20"/>
          <w:lang w:val="es-MX"/>
        </w:rPr>
        <w:t xml:space="preserve">efectos de la acción del Estado en el núcleo familiar y el </w:t>
      </w:r>
      <w:r w:rsidR="001A080A" w:rsidRPr="00B456A2">
        <w:rPr>
          <w:szCs w:val="20"/>
          <w:lang w:val="es-MX"/>
        </w:rPr>
        <w:t xml:space="preserve">alegado </w:t>
      </w:r>
      <w:r w:rsidRPr="00B456A2">
        <w:rPr>
          <w:szCs w:val="20"/>
          <w:lang w:val="es-MX"/>
        </w:rPr>
        <w:t>daño infligido a la integridad psíquica y moral de</w:t>
      </w:r>
      <w:r w:rsidR="001A080A" w:rsidRPr="00B456A2">
        <w:rPr>
          <w:szCs w:val="20"/>
          <w:lang w:val="es-MX"/>
        </w:rPr>
        <w:t xml:space="preserve">l señor </w:t>
      </w:r>
      <w:r w:rsidR="009871BC" w:rsidRPr="00B456A2">
        <w:rPr>
          <w:szCs w:val="20"/>
          <w:lang w:val="es-MX"/>
        </w:rPr>
        <w:t>Álvarez</w:t>
      </w:r>
      <w:r w:rsidRPr="00B456A2">
        <w:rPr>
          <w:szCs w:val="20"/>
          <w:lang w:val="es-MX"/>
        </w:rPr>
        <w:t xml:space="preserve">. Asimismo, la testigo </w:t>
      </w:r>
      <w:r w:rsidR="001A080A" w:rsidRPr="00B456A2">
        <w:rPr>
          <w:szCs w:val="20"/>
          <w:lang w:val="es-MX"/>
        </w:rPr>
        <w:t xml:space="preserve">podrá describir </w:t>
      </w:r>
      <w:r w:rsidRPr="00B456A2">
        <w:rPr>
          <w:szCs w:val="20"/>
          <w:lang w:val="es-MX"/>
        </w:rPr>
        <w:t xml:space="preserve">el </w:t>
      </w:r>
      <w:r w:rsidR="000A0A26" w:rsidRPr="00B456A2">
        <w:rPr>
          <w:szCs w:val="20"/>
          <w:lang w:val="es-MX"/>
        </w:rPr>
        <w:t xml:space="preserve">alegado </w:t>
      </w:r>
      <w:r w:rsidRPr="00B456A2">
        <w:rPr>
          <w:szCs w:val="20"/>
          <w:lang w:val="es-MX"/>
        </w:rPr>
        <w:t>impacto que causaron las entrevistas a las que acudió su propio padre, Marcos Martínez Lleras, ya fallecido, como suegro y familiar cercano, en ocasión de la preparación del informe psicosocial Nº 0285-03 de 14 de agosto de 2006</w:t>
      </w:r>
      <w:r w:rsidR="00A12940">
        <w:rPr>
          <w:szCs w:val="20"/>
          <w:lang w:val="es-MX"/>
        </w:rPr>
        <w:t>,</w:t>
      </w:r>
      <w:r w:rsidRPr="00B456A2">
        <w:rPr>
          <w:szCs w:val="20"/>
          <w:lang w:val="es-MX"/>
        </w:rPr>
        <w:t xml:space="preserve"> la comparecencia ante el delegado de pruebas Jennifer Guillen y la charla familiar efectuada el 30 de julio de 2008, además de las entrevistas relacionadas con el </w:t>
      </w:r>
      <w:r w:rsidR="00A12940">
        <w:rPr>
          <w:szCs w:val="20"/>
          <w:lang w:val="es-MX"/>
        </w:rPr>
        <w:t xml:space="preserve">alegado </w:t>
      </w:r>
      <w:r w:rsidRPr="00B456A2">
        <w:rPr>
          <w:szCs w:val="20"/>
          <w:lang w:val="es-MX"/>
        </w:rPr>
        <w:t xml:space="preserve">control del Estado sobre su esposo, como procesado y condenado. Igualmente, podrá narrar los </w:t>
      </w:r>
      <w:r w:rsidR="000A0A26" w:rsidRPr="00B456A2">
        <w:rPr>
          <w:szCs w:val="20"/>
          <w:lang w:val="es-MX"/>
        </w:rPr>
        <w:t xml:space="preserve">alegados </w:t>
      </w:r>
      <w:r w:rsidRPr="00B456A2">
        <w:rPr>
          <w:szCs w:val="20"/>
          <w:lang w:val="es-MX"/>
        </w:rPr>
        <w:t>eventos de allanamiento de su residencia familiar y la casa de su padre por fuerzas que se identificaron como policiales, en búsqueda de</w:t>
      </w:r>
      <w:r w:rsidR="000A0A26" w:rsidRPr="00B456A2">
        <w:rPr>
          <w:szCs w:val="20"/>
          <w:lang w:val="es-MX"/>
        </w:rPr>
        <w:t xml:space="preserve">l señor </w:t>
      </w:r>
      <w:r w:rsidR="009871BC" w:rsidRPr="00B456A2">
        <w:rPr>
          <w:szCs w:val="20"/>
          <w:lang w:val="es-MX"/>
        </w:rPr>
        <w:t>Álvarez</w:t>
      </w:r>
      <w:r w:rsidRPr="00B456A2">
        <w:rPr>
          <w:szCs w:val="20"/>
          <w:lang w:val="es-MX"/>
        </w:rPr>
        <w:t xml:space="preserve">, además de los </w:t>
      </w:r>
      <w:r w:rsidR="000A0A26" w:rsidRPr="00B456A2">
        <w:rPr>
          <w:szCs w:val="20"/>
          <w:lang w:val="es-MX"/>
        </w:rPr>
        <w:t xml:space="preserve">alegados </w:t>
      </w:r>
      <w:r w:rsidRPr="00B456A2">
        <w:rPr>
          <w:szCs w:val="20"/>
          <w:lang w:val="es-MX"/>
        </w:rPr>
        <w:t xml:space="preserve">actos </w:t>
      </w:r>
      <w:r w:rsidR="000A0A26" w:rsidRPr="00B456A2">
        <w:rPr>
          <w:szCs w:val="20"/>
          <w:lang w:val="es-MX"/>
        </w:rPr>
        <w:t xml:space="preserve">de </w:t>
      </w:r>
      <w:r w:rsidRPr="00B456A2">
        <w:rPr>
          <w:szCs w:val="20"/>
          <w:lang w:val="es-MX"/>
        </w:rPr>
        <w:t xml:space="preserve">obstaculización en la salida del país de ella y sus hijas y las penurias económicas </w:t>
      </w:r>
      <w:r w:rsidR="00A12940">
        <w:rPr>
          <w:szCs w:val="20"/>
          <w:lang w:val="es-MX"/>
        </w:rPr>
        <w:t>resultantes de los juicios en contra del señor Álvarez</w:t>
      </w:r>
      <w:r w:rsidRPr="00B456A2">
        <w:rPr>
          <w:szCs w:val="20"/>
          <w:lang w:val="es-MX"/>
        </w:rPr>
        <w:t>.</w:t>
      </w:r>
    </w:p>
    <w:p w14:paraId="6637D82E" w14:textId="77777777" w:rsidR="001A080A" w:rsidRPr="00B456A2" w:rsidRDefault="001A080A" w:rsidP="001A080A">
      <w:pPr>
        <w:tabs>
          <w:tab w:val="left" w:pos="0"/>
          <w:tab w:val="left" w:pos="567"/>
        </w:tabs>
        <w:ind w:left="567"/>
        <w:rPr>
          <w:szCs w:val="20"/>
          <w:lang w:val="es-ES"/>
        </w:rPr>
      </w:pPr>
    </w:p>
    <w:p w14:paraId="135637F6" w14:textId="3A7BFF5F" w:rsidR="00016BBB" w:rsidRPr="00B456A2" w:rsidRDefault="00016BBB" w:rsidP="001A080A">
      <w:pPr>
        <w:tabs>
          <w:tab w:val="left" w:pos="0"/>
          <w:tab w:val="left" w:pos="567"/>
        </w:tabs>
        <w:ind w:left="567"/>
        <w:rPr>
          <w:szCs w:val="20"/>
          <w:lang w:val="es-MX"/>
        </w:rPr>
      </w:pPr>
      <w:r w:rsidRPr="00B456A2">
        <w:rPr>
          <w:i/>
          <w:szCs w:val="20"/>
          <w:lang w:val="es-ES"/>
        </w:rPr>
        <w:t>Mirtha Güedez Campero</w:t>
      </w:r>
      <w:r w:rsidRPr="00B456A2">
        <w:rPr>
          <w:szCs w:val="20"/>
          <w:lang w:val="es-MX"/>
        </w:rPr>
        <w:t>, abogada</w:t>
      </w:r>
      <w:r w:rsidR="00B4568A">
        <w:rPr>
          <w:szCs w:val="20"/>
          <w:lang w:val="es-MX"/>
        </w:rPr>
        <w:t>.</w:t>
      </w:r>
      <w:r w:rsidRPr="00B456A2">
        <w:rPr>
          <w:szCs w:val="20"/>
          <w:lang w:val="es-MX"/>
        </w:rPr>
        <w:t xml:space="preserve"> Declarará sobre su actuación como defensora de</w:t>
      </w:r>
      <w:r w:rsidR="000A0A26" w:rsidRPr="00B456A2">
        <w:rPr>
          <w:szCs w:val="20"/>
          <w:lang w:val="es-MX"/>
        </w:rPr>
        <w:t xml:space="preserve"> Tulio </w:t>
      </w:r>
      <w:r w:rsidRPr="00B456A2">
        <w:rPr>
          <w:szCs w:val="20"/>
          <w:lang w:val="es-MX"/>
        </w:rPr>
        <w:t>Álvarez Ramos en el proceso penal</w:t>
      </w:r>
      <w:r w:rsidR="00A12940">
        <w:rPr>
          <w:szCs w:val="20"/>
          <w:lang w:val="es-MX"/>
        </w:rPr>
        <w:t xml:space="preserve"> interno</w:t>
      </w:r>
      <w:r w:rsidRPr="00B456A2">
        <w:rPr>
          <w:szCs w:val="20"/>
          <w:lang w:val="es-MX"/>
        </w:rPr>
        <w:t>. Se pronunciará sobre los hechos que configura</w:t>
      </w:r>
      <w:r w:rsidR="00A12940">
        <w:rPr>
          <w:szCs w:val="20"/>
          <w:lang w:val="es-MX"/>
        </w:rPr>
        <w:t>rían</w:t>
      </w:r>
      <w:r w:rsidRPr="00B456A2">
        <w:rPr>
          <w:szCs w:val="20"/>
          <w:lang w:val="es-MX"/>
        </w:rPr>
        <w:t xml:space="preserve"> una </w:t>
      </w:r>
      <w:r w:rsidR="000A0A26" w:rsidRPr="00B456A2">
        <w:rPr>
          <w:szCs w:val="20"/>
          <w:lang w:val="es-MX"/>
        </w:rPr>
        <w:t xml:space="preserve">alegada </w:t>
      </w:r>
      <w:r w:rsidRPr="00B456A2">
        <w:rPr>
          <w:szCs w:val="20"/>
          <w:lang w:val="es-MX"/>
        </w:rPr>
        <w:t xml:space="preserve">persecución política en contra de quien fuera su patrocinado; las </w:t>
      </w:r>
      <w:r w:rsidR="000A0A26" w:rsidRPr="00B456A2">
        <w:rPr>
          <w:szCs w:val="20"/>
          <w:lang w:val="es-MX"/>
        </w:rPr>
        <w:t xml:space="preserve">alegadas </w:t>
      </w:r>
      <w:r w:rsidRPr="00B456A2">
        <w:rPr>
          <w:szCs w:val="20"/>
          <w:lang w:val="es-MX"/>
        </w:rPr>
        <w:t xml:space="preserve">presiones y amenazas recibidas por la defensa ejercida; las </w:t>
      </w:r>
      <w:r w:rsidR="000A0A26" w:rsidRPr="00B456A2">
        <w:rPr>
          <w:szCs w:val="20"/>
          <w:lang w:val="es-MX"/>
        </w:rPr>
        <w:t xml:space="preserve">alegadas </w:t>
      </w:r>
      <w:r w:rsidRPr="00B456A2">
        <w:rPr>
          <w:szCs w:val="20"/>
          <w:lang w:val="es-MX"/>
        </w:rPr>
        <w:t>circunstancias que la llevaron a incoar un amparo constitucional ante los anteriores impedimentos y obstáculos; la sustanciación del proceso penal y las incidencias administrativas vinculadas al cumplimiento de la pena y las consecuencias en su desempeño familiar y profesional.</w:t>
      </w:r>
    </w:p>
    <w:p w14:paraId="778B1281" w14:textId="77777777" w:rsidR="001A080A" w:rsidRPr="00B456A2" w:rsidRDefault="001A080A" w:rsidP="001A080A">
      <w:pPr>
        <w:tabs>
          <w:tab w:val="left" w:pos="0"/>
          <w:tab w:val="left" w:pos="567"/>
        </w:tabs>
        <w:ind w:left="567"/>
        <w:rPr>
          <w:szCs w:val="20"/>
          <w:lang w:val="es-ES"/>
        </w:rPr>
      </w:pPr>
    </w:p>
    <w:p w14:paraId="6DAD980E" w14:textId="32071588" w:rsidR="00016BBB" w:rsidRPr="00B456A2" w:rsidRDefault="00016BBB" w:rsidP="001A080A">
      <w:pPr>
        <w:tabs>
          <w:tab w:val="left" w:pos="0"/>
          <w:tab w:val="left" w:pos="567"/>
        </w:tabs>
        <w:ind w:left="567"/>
        <w:rPr>
          <w:szCs w:val="20"/>
          <w:lang w:val="es-ES"/>
        </w:rPr>
      </w:pPr>
      <w:r w:rsidRPr="00B456A2">
        <w:rPr>
          <w:szCs w:val="20"/>
          <w:lang w:val="es-ES"/>
        </w:rPr>
        <w:t>Ibéyise Pacheco, periodista</w:t>
      </w:r>
      <w:r w:rsidR="00B4568A">
        <w:rPr>
          <w:szCs w:val="20"/>
          <w:lang w:val="es-ES"/>
        </w:rPr>
        <w:t>.</w:t>
      </w:r>
      <w:r w:rsidR="000A0A26" w:rsidRPr="00B456A2">
        <w:rPr>
          <w:szCs w:val="20"/>
          <w:lang w:val="es-ES"/>
        </w:rPr>
        <w:t xml:space="preserve"> </w:t>
      </w:r>
      <w:r w:rsidRPr="00B456A2">
        <w:rPr>
          <w:szCs w:val="20"/>
          <w:lang w:val="es-ES"/>
        </w:rPr>
        <w:t xml:space="preserve">Declarará, como directora del Diario Así Es La Noticia, las condiciones en las cuales se publicaba la columna “Expedientes Negros”, </w:t>
      </w:r>
      <w:r w:rsidR="00A12940">
        <w:rPr>
          <w:szCs w:val="20"/>
          <w:lang w:val="es-ES"/>
        </w:rPr>
        <w:t xml:space="preserve">sobre </w:t>
      </w:r>
      <w:r w:rsidRPr="00B456A2">
        <w:rPr>
          <w:szCs w:val="20"/>
          <w:lang w:val="es-ES"/>
        </w:rPr>
        <w:t>las remuneraciones que recibía el autor, el</w:t>
      </w:r>
      <w:r w:rsidR="000A0A26" w:rsidRPr="00B456A2">
        <w:rPr>
          <w:szCs w:val="20"/>
          <w:lang w:val="es-ES"/>
        </w:rPr>
        <w:t xml:space="preserve"> alegado</w:t>
      </w:r>
      <w:r w:rsidRPr="00B456A2">
        <w:rPr>
          <w:szCs w:val="20"/>
          <w:lang w:val="es-ES"/>
        </w:rPr>
        <w:t xml:space="preserve"> proceso de acoso y persecución contra el autor, los trabajadores del Diario y contra ella misma. Asimismo, </w:t>
      </w:r>
      <w:r w:rsidR="000050B2" w:rsidRPr="00B456A2">
        <w:rPr>
          <w:szCs w:val="20"/>
          <w:lang w:val="es-ES"/>
        </w:rPr>
        <w:t xml:space="preserve">declarará </w:t>
      </w:r>
      <w:r w:rsidRPr="00B456A2">
        <w:rPr>
          <w:szCs w:val="20"/>
          <w:lang w:val="es-ES"/>
        </w:rPr>
        <w:t xml:space="preserve">sobre las circunstancias concomitantes en el proceso penal principal relacionado con el presente proceso ya que ambas partes la promovieron como testigo. </w:t>
      </w:r>
    </w:p>
    <w:p w14:paraId="1BB055F8" w14:textId="77777777" w:rsidR="001A080A" w:rsidRPr="00B456A2" w:rsidRDefault="001A080A" w:rsidP="001A080A">
      <w:pPr>
        <w:tabs>
          <w:tab w:val="left" w:pos="0"/>
          <w:tab w:val="left" w:pos="567"/>
        </w:tabs>
        <w:ind w:left="567"/>
        <w:rPr>
          <w:szCs w:val="20"/>
          <w:lang w:val="es-ES"/>
        </w:rPr>
      </w:pPr>
    </w:p>
    <w:p w14:paraId="37AF3A10" w14:textId="2F94F951" w:rsidR="00016BBB" w:rsidRPr="00B456A2" w:rsidRDefault="00016BBB" w:rsidP="001A080A">
      <w:pPr>
        <w:tabs>
          <w:tab w:val="left" w:pos="0"/>
          <w:tab w:val="left" w:pos="567"/>
        </w:tabs>
        <w:ind w:left="567"/>
        <w:rPr>
          <w:szCs w:val="20"/>
          <w:lang w:val="es-ES"/>
        </w:rPr>
      </w:pPr>
      <w:r w:rsidRPr="00B456A2">
        <w:rPr>
          <w:i/>
          <w:szCs w:val="20"/>
          <w:lang w:val="es-ES"/>
        </w:rPr>
        <w:t>Víctor Gil</w:t>
      </w:r>
      <w:r w:rsidRPr="00B456A2">
        <w:rPr>
          <w:szCs w:val="20"/>
          <w:lang w:val="es-ES"/>
        </w:rPr>
        <w:t>, empresario y editor</w:t>
      </w:r>
      <w:r w:rsidR="00B4568A">
        <w:rPr>
          <w:szCs w:val="20"/>
          <w:lang w:val="es-ES"/>
        </w:rPr>
        <w:t>.</w:t>
      </w:r>
      <w:r w:rsidRPr="00B456A2">
        <w:rPr>
          <w:szCs w:val="20"/>
          <w:lang w:val="es-ES"/>
        </w:rPr>
        <w:t xml:space="preserve"> Declarará sobre el incumplimiento del compromiso literario en el Festival del libro de Guadalajara, el 27 de noviembre de 2005. También </w:t>
      </w:r>
      <w:r w:rsidR="000050B2" w:rsidRPr="00B456A2">
        <w:rPr>
          <w:szCs w:val="20"/>
          <w:lang w:val="es-ES"/>
        </w:rPr>
        <w:t xml:space="preserve">declarará sobre </w:t>
      </w:r>
      <w:r w:rsidRPr="00B456A2">
        <w:rPr>
          <w:szCs w:val="20"/>
          <w:lang w:val="es-ES"/>
        </w:rPr>
        <w:t>las consecuencias del incumplimiento, la ruptura de la relación con Criteria Editorial y el fin del proyecto de internacionalización de los libros mediante el contrato que no se pudo suscribir con la Editorial Porrúa de México</w:t>
      </w:r>
      <w:r w:rsidR="000050B2" w:rsidRPr="00B456A2">
        <w:rPr>
          <w:szCs w:val="20"/>
          <w:lang w:val="es-ES"/>
        </w:rPr>
        <w:t>,</w:t>
      </w:r>
      <w:r w:rsidRPr="00B456A2">
        <w:rPr>
          <w:szCs w:val="20"/>
          <w:lang w:val="es-ES"/>
        </w:rPr>
        <w:t xml:space="preserve"> producto de la </w:t>
      </w:r>
      <w:r w:rsidR="000050B2" w:rsidRPr="00B456A2">
        <w:rPr>
          <w:szCs w:val="20"/>
          <w:lang w:val="es-ES"/>
        </w:rPr>
        <w:t xml:space="preserve">alegada </w:t>
      </w:r>
      <w:r w:rsidRPr="00B456A2">
        <w:rPr>
          <w:szCs w:val="20"/>
          <w:lang w:val="es-ES"/>
        </w:rPr>
        <w:t>negación de la autorización para salir del país</w:t>
      </w:r>
      <w:r w:rsidR="000050B2" w:rsidRPr="00B456A2">
        <w:rPr>
          <w:szCs w:val="20"/>
          <w:lang w:val="es-ES"/>
        </w:rPr>
        <w:t xml:space="preserve"> al señor </w:t>
      </w:r>
      <w:r w:rsidR="009871BC" w:rsidRPr="00B456A2">
        <w:rPr>
          <w:szCs w:val="20"/>
          <w:lang w:val="es-ES"/>
        </w:rPr>
        <w:t>Álvarez</w:t>
      </w:r>
      <w:r w:rsidRPr="00B456A2">
        <w:rPr>
          <w:szCs w:val="20"/>
          <w:lang w:val="es-ES"/>
        </w:rPr>
        <w:t xml:space="preserve">. </w:t>
      </w:r>
    </w:p>
    <w:p w14:paraId="5A01BE64" w14:textId="77777777" w:rsidR="001A080A" w:rsidRPr="00B456A2" w:rsidRDefault="001A080A" w:rsidP="001A080A">
      <w:pPr>
        <w:tabs>
          <w:tab w:val="left" w:pos="0"/>
          <w:tab w:val="left" w:pos="567"/>
        </w:tabs>
        <w:ind w:left="567"/>
        <w:rPr>
          <w:szCs w:val="20"/>
          <w:lang w:val="es-ES"/>
        </w:rPr>
      </w:pPr>
    </w:p>
    <w:p w14:paraId="7DC93F4F" w14:textId="180F9C51" w:rsidR="000050B2" w:rsidRPr="00B456A2" w:rsidRDefault="00016BBB" w:rsidP="001A080A">
      <w:pPr>
        <w:tabs>
          <w:tab w:val="left" w:pos="0"/>
          <w:tab w:val="left" w:pos="567"/>
        </w:tabs>
        <w:ind w:left="567"/>
        <w:rPr>
          <w:szCs w:val="20"/>
          <w:lang w:val="es-ES"/>
        </w:rPr>
      </w:pPr>
      <w:r w:rsidRPr="00B456A2">
        <w:rPr>
          <w:i/>
          <w:szCs w:val="20"/>
          <w:lang w:val="es-ES"/>
        </w:rPr>
        <w:t>Bartolomé Mitre</w:t>
      </w:r>
      <w:r w:rsidRPr="00B456A2">
        <w:rPr>
          <w:szCs w:val="20"/>
          <w:lang w:val="es-ES"/>
        </w:rPr>
        <w:t>, periodista argentino y director del Diario La Nación</w:t>
      </w:r>
      <w:r w:rsidR="000050B2" w:rsidRPr="00B456A2">
        <w:rPr>
          <w:szCs w:val="20"/>
          <w:lang w:val="es-ES"/>
        </w:rPr>
        <w:t>,</w:t>
      </w:r>
      <w:r w:rsidRPr="00B456A2">
        <w:rPr>
          <w:szCs w:val="20"/>
          <w:lang w:val="es-ES"/>
        </w:rPr>
        <w:t xml:space="preserve"> Argentina</w:t>
      </w:r>
      <w:r w:rsidR="00B4568A">
        <w:rPr>
          <w:szCs w:val="20"/>
          <w:lang w:val="es-ES"/>
        </w:rPr>
        <w:t>.</w:t>
      </w:r>
      <w:r w:rsidRPr="00B456A2">
        <w:rPr>
          <w:szCs w:val="20"/>
          <w:lang w:val="es-ES"/>
        </w:rPr>
        <w:t xml:space="preserve"> Declarará sobre el </w:t>
      </w:r>
      <w:r w:rsidR="00A12940">
        <w:rPr>
          <w:szCs w:val="20"/>
          <w:lang w:val="es-ES"/>
        </w:rPr>
        <w:t xml:space="preserve">alegado </w:t>
      </w:r>
      <w:r w:rsidRPr="00B456A2">
        <w:rPr>
          <w:szCs w:val="20"/>
          <w:lang w:val="es-ES"/>
        </w:rPr>
        <w:t xml:space="preserve">reclamo </w:t>
      </w:r>
      <w:r w:rsidR="000050B2" w:rsidRPr="00B456A2">
        <w:rPr>
          <w:szCs w:val="20"/>
          <w:lang w:val="es-ES"/>
        </w:rPr>
        <w:t xml:space="preserve">formal </w:t>
      </w:r>
      <w:r w:rsidRPr="00B456A2">
        <w:rPr>
          <w:szCs w:val="20"/>
          <w:lang w:val="es-ES"/>
        </w:rPr>
        <w:t xml:space="preserve">formulado por </w:t>
      </w:r>
      <w:r w:rsidR="00A12940">
        <w:rPr>
          <w:szCs w:val="20"/>
          <w:lang w:val="es-ES"/>
        </w:rPr>
        <w:t xml:space="preserve">entonces </w:t>
      </w:r>
      <w:r w:rsidRPr="00B456A2">
        <w:rPr>
          <w:szCs w:val="20"/>
          <w:lang w:val="es-ES"/>
        </w:rPr>
        <w:t xml:space="preserve">embajador venezolano en Argentina, ante un editorial de ese Diario. También </w:t>
      </w:r>
      <w:r w:rsidR="000050B2" w:rsidRPr="00B456A2">
        <w:rPr>
          <w:szCs w:val="20"/>
          <w:lang w:val="es-ES"/>
        </w:rPr>
        <w:t xml:space="preserve">se referirá al </w:t>
      </w:r>
      <w:r w:rsidRPr="00B456A2">
        <w:rPr>
          <w:szCs w:val="20"/>
          <w:lang w:val="es-ES"/>
        </w:rPr>
        <w:t xml:space="preserve">contenido de </w:t>
      </w:r>
      <w:r w:rsidR="000050B2" w:rsidRPr="00B456A2">
        <w:rPr>
          <w:szCs w:val="20"/>
          <w:lang w:val="es-ES"/>
        </w:rPr>
        <w:t xml:space="preserve">una </w:t>
      </w:r>
      <w:r w:rsidRPr="00B456A2">
        <w:rPr>
          <w:szCs w:val="20"/>
          <w:lang w:val="es-ES"/>
        </w:rPr>
        <w:t xml:space="preserve">carta suscrita por el embajador, dirigida al Diario La Nación y publicada el 3 de febrero de 2005. </w:t>
      </w:r>
    </w:p>
    <w:p w14:paraId="7BC375F9" w14:textId="77777777" w:rsidR="000050B2" w:rsidRPr="00B456A2" w:rsidRDefault="000050B2" w:rsidP="001A080A">
      <w:pPr>
        <w:tabs>
          <w:tab w:val="left" w:pos="0"/>
          <w:tab w:val="left" w:pos="567"/>
        </w:tabs>
        <w:ind w:left="567"/>
        <w:rPr>
          <w:szCs w:val="20"/>
          <w:lang w:val="es-ES"/>
        </w:rPr>
      </w:pPr>
    </w:p>
    <w:p w14:paraId="58533DB8" w14:textId="739E2E80" w:rsidR="00016BBB" w:rsidRPr="00B456A2" w:rsidRDefault="00016BBB" w:rsidP="001A080A">
      <w:pPr>
        <w:tabs>
          <w:tab w:val="left" w:pos="0"/>
          <w:tab w:val="left" w:pos="567"/>
        </w:tabs>
        <w:ind w:left="567"/>
        <w:rPr>
          <w:szCs w:val="20"/>
          <w:lang w:val="es-ES"/>
        </w:rPr>
      </w:pPr>
      <w:r w:rsidRPr="00B456A2">
        <w:rPr>
          <w:i/>
          <w:szCs w:val="20"/>
          <w:lang w:val="es-ES"/>
        </w:rPr>
        <w:t>David Natera</w:t>
      </w:r>
      <w:r w:rsidRPr="00B456A2">
        <w:rPr>
          <w:szCs w:val="20"/>
          <w:lang w:val="es-ES"/>
        </w:rPr>
        <w:t xml:space="preserve">, </w:t>
      </w:r>
      <w:r w:rsidR="000050B2" w:rsidRPr="00B456A2">
        <w:rPr>
          <w:szCs w:val="20"/>
          <w:lang w:val="es-ES"/>
        </w:rPr>
        <w:t xml:space="preserve">Presidente del Bloque de Prensa de Venezuela e integrante de la directiva de la Sociedad Interamericana de Prensa (SIP) y actualmente </w:t>
      </w:r>
      <w:r w:rsidRPr="00B456A2">
        <w:rPr>
          <w:szCs w:val="20"/>
          <w:lang w:val="es-ES"/>
        </w:rPr>
        <w:t>director del Diario Correo del Caroní</w:t>
      </w:r>
      <w:r w:rsidR="000050B2" w:rsidRPr="00B456A2">
        <w:rPr>
          <w:szCs w:val="20"/>
          <w:lang w:val="es-ES"/>
        </w:rPr>
        <w:t>,</w:t>
      </w:r>
      <w:r w:rsidRPr="00B456A2">
        <w:rPr>
          <w:szCs w:val="20"/>
          <w:lang w:val="es-ES"/>
        </w:rPr>
        <w:t xml:space="preserve"> Venezuela</w:t>
      </w:r>
      <w:r w:rsidR="00B4568A">
        <w:rPr>
          <w:szCs w:val="20"/>
          <w:lang w:val="es-ES"/>
        </w:rPr>
        <w:t>.</w:t>
      </w:r>
      <w:r w:rsidRPr="00B456A2">
        <w:rPr>
          <w:szCs w:val="20"/>
          <w:lang w:val="es-ES"/>
        </w:rPr>
        <w:t xml:space="preserve"> </w:t>
      </w:r>
      <w:r w:rsidR="000050B2" w:rsidRPr="00B456A2">
        <w:rPr>
          <w:szCs w:val="20"/>
          <w:lang w:val="es-ES"/>
        </w:rPr>
        <w:t xml:space="preserve">Declarará sobre </w:t>
      </w:r>
      <w:r w:rsidRPr="00B456A2">
        <w:rPr>
          <w:szCs w:val="20"/>
          <w:lang w:val="es-ES"/>
        </w:rPr>
        <w:t xml:space="preserve">las circunstancias que llevaron </w:t>
      </w:r>
      <w:r w:rsidR="000050B2" w:rsidRPr="00B456A2">
        <w:rPr>
          <w:szCs w:val="20"/>
          <w:lang w:val="es-ES"/>
        </w:rPr>
        <w:t xml:space="preserve">la </w:t>
      </w:r>
      <w:r w:rsidRPr="00B456A2">
        <w:rPr>
          <w:szCs w:val="20"/>
          <w:lang w:val="es-ES"/>
        </w:rPr>
        <w:t xml:space="preserve">organización </w:t>
      </w:r>
      <w:r w:rsidR="000050B2" w:rsidRPr="00B456A2">
        <w:rPr>
          <w:szCs w:val="20"/>
          <w:lang w:val="es-ES"/>
        </w:rPr>
        <w:t xml:space="preserve">SIP </w:t>
      </w:r>
      <w:r w:rsidRPr="00B456A2">
        <w:rPr>
          <w:szCs w:val="20"/>
          <w:lang w:val="es-ES"/>
        </w:rPr>
        <w:t xml:space="preserve">a emitir un formal pronunciamiento en defensa de la libertad de prensa como consecuencia del desarrollo del proceso </w:t>
      </w:r>
      <w:r w:rsidR="000050B2" w:rsidRPr="00B456A2">
        <w:rPr>
          <w:szCs w:val="20"/>
          <w:lang w:val="es-ES"/>
        </w:rPr>
        <w:t xml:space="preserve">en contra del señor Tulio </w:t>
      </w:r>
      <w:r w:rsidR="009871BC" w:rsidRPr="00B456A2">
        <w:rPr>
          <w:szCs w:val="20"/>
          <w:lang w:val="es-ES"/>
        </w:rPr>
        <w:t>Álvarez</w:t>
      </w:r>
      <w:r w:rsidRPr="00B456A2">
        <w:rPr>
          <w:szCs w:val="20"/>
          <w:lang w:val="es-ES"/>
        </w:rPr>
        <w:t xml:space="preserve">. También señalará los componentes de </w:t>
      </w:r>
      <w:r w:rsidR="000050B2" w:rsidRPr="00B456A2">
        <w:rPr>
          <w:szCs w:val="20"/>
          <w:lang w:val="es-ES"/>
        </w:rPr>
        <w:t xml:space="preserve">la alegada </w:t>
      </w:r>
      <w:r w:rsidRPr="00B456A2">
        <w:rPr>
          <w:szCs w:val="20"/>
          <w:lang w:val="es-ES"/>
        </w:rPr>
        <w:t>campaña de amedrentamiento a los medios de comunicación en Venezuela durante el tiempo en que ocupó la presidencia de la organización y la especial implicación que tuvo la utilización de tribunales de justicia en este caso.</w:t>
      </w:r>
    </w:p>
    <w:p w14:paraId="1C34264F" w14:textId="77777777" w:rsidR="003623A3" w:rsidRPr="00B456A2" w:rsidRDefault="003623A3" w:rsidP="001A080A">
      <w:pPr>
        <w:tabs>
          <w:tab w:val="left" w:pos="0"/>
          <w:tab w:val="left" w:pos="567"/>
        </w:tabs>
        <w:ind w:left="567"/>
        <w:rPr>
          <w:szCs w:val="20"/>
          <w:lang w:val="es-ES"/>
        </w:rPr>
      </w:pPr>
    </w:p>
    <w:p w14:paraId="17AE6B0F" w14:textId="06D4017F" w:rsidR="003623A3" w:rsidRPr="00B456A2" w:rsidRDefault="003623A3" w:rsidP="003623A3">
      <w:pPr>
        <w:tabs>
          <w:tab w:val="left" w:pos="0"/>
          <w:tab w:val="left" w:pos="567"/>
        </w:tabs>
        <w:ind w:left="567"/>
        <w:rPr>
          <w:szCs w:val="20"/>
          <w:lang w:val="es-ES"/>
        </w:rPr>
      </w:pPr>
      <w:r w:rsidRPr="00B456A2">
        <w:rPr>
          <w:i/>
          <w:szCs w:val="20"/>
          <w:lang w:val="es-ES"/>
        </w:rPr>
        <w:t>Andrés Raúl Paez</w:t>
      </w:r>
      <w:r w:rsidRPr="00B456A2">
        <w:rPr>
          <w:szCs w:val="20"/>
          <w:lang w:val="es-ES"/>
        </w:rPr>
        <w:t xml:space="preserve">, abogado y defensor de Tulio Álvarez en el proceso penal interno. Declarará sobre </w:t>
      </w:r>
      <w:r w:rsidR="007138CC" w:rsidRPr="00B456A2">
        <w:rPr>
          <w:szCs w:val="20"/>
          <w:lang w:val="es-ES"/>
        </w:rPr>
        <w:t xml:space="preserve">los </w:t>
      </w:r>
      <w:r w:rsidRPr="00B456A2">
        <w:rPr>
          <w:szCs w:val="20"/>
          <w:lang w:val="es-ES"/>
        </w:rPr>
        <w:t xml:space="preserve">hechos </w:t>
      </w:r>
      <w:r w:rsidR="007138CC" w:rsidRPr="00B456A2">
        <w:rPr>
          <w:szCs w:val="20"/>
          <w:lang w:val="es-ES"/>
        </w:rPr>
        <w:t xml:space="preserve">del Informe de Fondo No. 4/17 </w:t>
      </w:r>
      <w:r w:rsidRPr="00B456A2">
        <w:rPr>
          <w:szCs w:val="20"/>
          <w:lang w:val="es-ES"/>
        </w:rPr>
        <w:t>de la</w:t>
      </w:r>
      <w:r w:rsidR="007138CC" w:rsidRPr="00B456A2">
        <w:rPr>
          <w:szCs w:val="20"/>
          <w:lang w:val="es-ES"/>
        </w:rPr>
        <w:t xml:space="preserve"> </w:t>
      </w:r>
      <w:r w:rsidRPr="00B456A2">
        <w:rPr>
          <w:szCs w:val="20"/>
          <w:lang w:val="es-ES"/>
        </w:rPr>
        <w:t>Comisión</w:t>
      </w:r>
      <w:r w:rsidR="007138CC" w:rsidRPr="00B456A2">
        <w:rPr>
          <w:szCs w:val="20"/>
          <w:lang w:val="es-ES"/>
        </w:rPr>
        <w:t xml:space="preserve"> Interamericana</w:t>
      </w:r>
      <w:r w:rsidRPr="00B456A2">
        <w:rPr>
          <w:szCs w:val="20"/>
          <w:lang w:val="es-ES"/>
        </w:rPr>
        <w:t>, los hechos precedentes que configura</w:t>
      </w:r>
      <w:r w:rsidR="007138CC" w:rsidRPr="00B456A2">
        <w:rPr>
          <w:szCs w:val="20"/>
          <w:lang w:val="es-ES"/>
        </w:rPr>
        <w:t xml:space="preserve">rían una alegada </w:t>
      </w:r>
      <w:r w:rsidRPr="00B456A2">
        <w:rPr>
          <w:szCs w:val="20"/>
          <w:lang w:val="es-ES"/>
        </w:rPr>
        <w:t>persecución política</w:t>
      </w:r>
      <w:r w:rsidR="007138CC" w:rsidRPr="00B456A2">
        <w:rPr>
          <w:szCs w:val="20"/>
          <w:lang w:val="es-ES"/>
        </w:rPr>
        <w:t xml:space="preserve"> </w:t>
      </w:r>
      <w:r w:rsidRPr="00B456A2">
        <w:rPr>
          <w:szCs w:val="20"/>
          <w:lang w:val="es-ES"/>
        </w:rPr>
        <w:t>en contra de quien fuera su patrocinado,</w:t>
      </w:r>
      <w:r w:rsidR="00A12940">
        <w:rPr>
          <w:szCs w:val="20"/>
          <w:lang w:val="es-ES"/>
        </w:rPr>
        <w:t xml:space="preserve"> y</w:t>
      </w:r>
      <w:r w:rsidRPr="00B456A2">
        <w:rPr>
          <w:szCs w:val="20"/>
          <w:lang w:val="es-ES"/>
        </w:rPr>
        <w:t xml:space="preserve"> </w:t>
      </w:r>
      <w:r w:rsidR="007138CC" w:rsidRPr="00B456A2">
        <w:rPr>
          <w:szCs w:val="20"/>
          <w:lang w:val="es-ES"/>
        </w:rPr>
        <w:t xml:space="preserve">hechos relacionados al </w:t>
      </w:r>
      <w:r w:rsidRPr="00B456A2">
        <w:rPr>
          <w:szCs w:val="20"/>
          <w:lang w:val="es-ES"/>
        </w:rPr>
        <w:t>proceso penal</w:t>
      </w:r>
      <w:r w:rsidR="007138CC" w:rsidRPr="00B456A2">
        <w:rPr>
          <w:szCs w:val="20"/>
          <w:lang w:val="es-ES"/>
        </w:rPr>
        <w:t>.</w:t>
      </w:r>
      <w:r w:rsidR="00A12940">
        <w:rPr>
          <w:szCs w:val="20"/>
          <w:lang w:val="es-ES"/>
        </w:rPr>
        <w:t xml:space="preserve"> P</w:t>
      </w:r>
      <w:r w:rsidRPr="00B456A2">
        <w:rPr>
          <w:szCs w:val="20"/>
          <w:lang w:val="es-ES"/>
        </w:rPr>
        <w:t xml:space="preserve">odrá </w:t>
      </w:r>
      <w:r w:rsidR="00A12940">
        <w:rPr>
          <w:szCs w:val="20"/>
          <w:lang w:val="es-ES"/>
        </w:rPr>
        <w:t xml:space="preserve">también </w:t>
      </w:r>
      <w:r w:rsidRPr="00B456A2">
        <w:rPr>
          <w:szCs w:val="20"/>
          <w:lang w:val="es-ES"/>
        </w:rPr>
        <w:t>describir las circunstancias</w:t>
      </w:r>
      <w:r w:rsidR="007138CC" w:rsidRPr="00B456A2">
        <w:rPr>
          <w:szCs w:val="20"/>
          <w:lang w:val="es-ES"/>
        </w:rPr>
        <w:t xml:space="preserve"> </w:t>
      </w:r>
      <w:r w:rsidRPr="00B456A2">
        <w:rPr>
          <w:szCs w:val="20"/>
          <w:lang w:val="es-ES"/>
        </w:rPr>
        <w:t>de hecho en las que el Juez provisorio encargado del</w:t>
      </w:r>
      <w:r w:rsidR="007138CC" w:rsidRPr="00B456A2">
        <w:rPr>
          <w:szCs w:val="20"/>
          <w:lang w:val="es-ES"/>
        </w:rPr>
        <w:t xml:space="preserve"> </w:t>
      </w:r>
      <w:r w:rsidRPr="00B456A2">
        <w:rPr>
          <w:szCs w:val="20"/>
          <w:lang w:val="es-ES"/>
        </w:rPr>
        <w:t>Juzgado Séptimo de Primera Instancia en Funciones de Juicio del Circuito</w:t>
      </w:r>
      <w:r w:rsidR="00B456A2">
        <w:rPr>
          <w:szCs w:val="20"/>
          <w:lang w:val="es-ES"/>
        </w:rPr>
        <w:t xml:space="preserve"> </w:t>
      </w:r>
      <w:r w:rsidRPr="00B456A2">
        <w:rPr>
          <w:szCs w:val="20"/>
          <w:lang w:val="es-ES"/>
        </w:rPr>
        <w:t xml:space="preserve">Judicial Penal del Área Metropolitana de Caracas </w:t>
      </w:r>
      <w:r w:rsidR="007138CC" w:rsidRPr="00B456A2">
        <w:rPr>
          <w:szCs w:val="20"/>
          <w:lang w:val="es-ES"/>
        </w:rPr>
        <w:t xml:space="preserve">habría </w:t>
      </w:r>
      <w:r w:rsidRPr="00B456A2">
        <w:rPr>
          <w:szCs w:val="20"/>
          <w:lang w:val="es-ES"/>
        </w:rPr>
        <w:t>obstaculiz</w:t>
      </w:r>
      <w:r w:rsidR="007138CC" w:rsidRPr="00B456A2">
        <w:rPr>
          <w:szCs w:val="20"/>
          <w:lang w:val="es-ES"/>
        </w:rPr>
        <w:t xml:space="preserve">ado </w:t>
      </w:r>
      <w:r w:rsidRPr="00B456A2">
        <w:rPr>
          <w:szCs w:val="20"/>
          <w:lang w:val="es-ES"/>
        </w:rPr>
        <w:t xml:space="preserve">la defensa y la forma en que </w:t>
      </w:r>
      <w:r w:rsidR="007138CC" w:rsidRPr="00B456A2">
        <w:rPr>
          <w:szCs w:val="20"/>
          <w:lang w:val="es-ES"/>
        </w:rPr>
        <w:t>habría transmitido</w:t>
      </w:r>
      <w:r w:rsidRPr="00B456A2">
        <w:rPr>
          <w:szCs w:val="20"/>
          <w:lang w:val="es-ES"/>
        </w:rPr>
        <w:t xml:space="preserve"> que no tenía otro</w:t>
      </w:r>
      <w:r w:rsidR="007138CC" w:rsidRPr="00B456A2">
        <w:rPr>
          <w:szCs w:val="20"/>
          <w:lang w:val="es-ES"/>
        </w:rPr>
        <w:t xml:space="preserve"> </w:t>
      </w:r>
      <w:r w:rsidRPr="00B456A2">
        <w:rPr>
          <w:szCs w:val="20"/>
          <w:lang w:val="es-ES"/>
        </w:rPr>
        <w:t>camino que proceder a la condena por las presiones políticas que recibía.</w:t>
      </w:r>
    </w:p>
    <w:p w14:paraId="131E184C" w14:textId="77777777" w:rsidR="001A080A" w:rsidRPr="00B456A2" w:rsidRDefault="001A080A" w:rsidP="00E77B4C">
      <w:pPr>
        <w:tabs>
          <w:tab w:val="left" w:pos="0"/>
        </w:tabs>
        <w:rPr>
          <w:szCs w:val="20"/>
          <w:u w:val="single"/>
          <w:lang w:val="es-ES"/>
        </w:rPr>
      </w:pPr>
    </w:p>
    <w:p w14:paraId="5645B4AC" w14:textId="5C19B114" w:rsidR="007138CC" w:rsidRPr="00B456A2" w:rsidRDefault="007138CC" w:rsidP="007138CC">
      <w:pPr>
        <w:tabs>
          <w:tab w:val="left" w:pos="0"/>
        </w:tabs>
        <w:rPr>
          <w:b/>
          <w:szCs w:val="20"/>
          <w:lang w:val="es-ES"/>
        </w:rPr>
      </w:pPr>
      <w:r w:rsidRPr="00B456A2">
        <w:rPr>
          <w:b/>
          <w:szCs w:val="20"/>
          <w:lang w:val="es-ES"/>
        </w:rPr>
        <w:t>B) Testigo (Propuesto por el Estado)</w:t>
      </w:r>
    </w:p>
    <w:p w14:paraId="4B310479" w14:textId="77777777" w:rsidR="007138CC" w:rsidRPr="00B456A2" w:rsidRDefault="007138CC" w:rsidP="007138CC">
      <w:pPr>
        <w:tabs>
          <w:tab w:val="left" w:pos="0"/>
        </w:tabs>
        <w:rPr>
          <w:b/>
          <w:szCs w:val="20"/>
          <w:lang w:val="es-ES"/>
        </w:rPr>
      </w:pPr>
    </w:p>
    <w:p w14:paraId="32857591" w14:textId="1BF1B4DE" w:rsidR="007138CC" w:rsidRPr="00B456A2" w:rsidRDefault="007138CC" w:rsidP="007138CC">
      <w:pPr>
        <w:tabs>
          <w:tab w:val="left" w:pos="0"/>
        </w:tabs>
        <w:ind w:left="567"/>
        <w:rPr>
          <w:szCs w:val="20"/>
          <w:lang w:val="es-MX"/>
        </w:rPr>
      </w:pPr>
      <w:r w:rsidRPr="00B456A2">
        <w:rPr>
          <w:i/>
          <w:szCs w:val="20"/>
          <w:lang w:val="es-ES"/>
        </w:rPr>
        <w:t>Elías Reinaldo Álvarez Leal</w:t>
      </w:r>
      <w:r w:rsidR="00B4568A">
        <w:rPr>
          <w:i/>
          <w:szCs w:val="20"/>
          <w:lang w:val="es-ES"/>
        </w:rPr>
        <w:t>.</w:t>
      </w:r>
      <w:r w:rsidRPr="00B456A2">
        <w:rPr>
          <w:szCs w:val="20"/>
          <w:lang w:val="es-MX"/>
        </w:rPr>
        <w:t xml:space="preserve"> Juez responsable del Tribunal Séptimo de Juicio del Circuito Judicial Penal del Área Metropolitana de Caracas para la fecha de los hechos del presente caso. Declarará sobre el desarrollo del juicio que se le siguió al señor Tulio Álvarez, por el delito de difamación agravada continuada.</w:t>
      </w:r>
    </w:p>
    <w:p w14:paraId="7C992371" w14:textId="77777777" w:rsidR="007138CC" w:rsidRPr="00B456A2" w:rsidRDefault="007138CC" w:rsidP="00E77B4C">
      <w:pPr>
        <w:tabs>
          <w:tab w:val="left" w:pos="0"/>
        </w:tabs>
        <w:rPr>
          <w:i/>
          <w:szCs w:val="20"/>
          <w:u w:val="single"/>
          <w:lang w:val="es-MX"/>
        </w:rPr>
      </w:pPr>
    </w:p>
    <w:p w14:paraId="0C73A7BE" w14:textId="24A1C04A" w:rsidR="00016BBB" w:rsidRPr="00B456A2" w:rsidRDefault="007138CC" w:rsidP="00E77B4C">
      <w:pPr>
        <w:tabs>
          <w:tab w:val="left" w:pos="0"/>
        </w:tabs>
        <w:rPr>
          <w:b/>
          <w:szCs w:val="20"/>
          <w:lang w:val="es-ES"/>
        </w:rPr>
      </w:pPr>
      <w:r w:rsidRPr="00B456A2">
        <w:rPr>
          <w:b/>
          <w:szCs w:val="20"/>
          <w:lang w:val="es-ES"/>
        </w:rPr>
        <w:t>C</w:t>
      </w:r>
      <w:r w:rsidR="00016BBB" w:rsidRPr="00B456A2">
        <w:rPr>
          <w:b/>
          <w:szCs w:val="20"/>
          <w:lang w:val="es-ES"/>
        </w:rPr>
        <w:t>) Perito</w:t>
      </w:r>
      <w:r w:rsidR="003623A3" w:rsidRPr="00B456A2">
        <w:rPr>
          <w:b/>
          <w:szCs w:val="20"/>
          <w:lang w:val="es-ES"/>
        </w:rPr>
        <w:t>s</w:t>
      </w:r>
      <w:r w:rsidR="00016BBB" w:rsidRPr="00B456A2">
        <w:rPr>
          <w:b/>
          <w:szCs w:val="20"/>
          <w:lang w:val="es-ES"/>
        </w:rPr>
        <w:t xml:space="preserve"> (Propuesto</w:t>
      </w:r>
      <w:r w:rsidRPr="00B456A2">
        <w:rPr>
          <w:b/>
          <w:szCs w:val="20"/>
          <w:lang w:val="es-ES"/>
        </w:rPr>
        <w:t>s</w:t>
      </w:r>
      <w:r w:rsidR="00016BBB" w:rsidRPr="00B456A2">
        <w:rPr>
          <w:b/>
          <w:szCs w:val="20"/>
          <w:lang w:val="es-ES"/>
        </w:rPr>
        <w:t xml:space="preserve"> por los representantes)</w:t>
      </w:r>
    </w:p>
    <w:p w14:paraId="0496E1D2" w14:textId="77777777" w:rsidR="001A080A" w:rsidRPr="00B456A2" w:rsidRDefault="001A080A" w:rsidP="00E77B4C">
      <w:pPr>
        <w:tabs>
          <w:tab w:val="left" w:pos="0"/>
        </w:tabs>
        <w:rPr>
          <w:szCs w:val="20"/>
          <w:lang w:val="es-ES"/>
        </w:rPr>
      </w:pPr>
    </w:p>
    <w:p w14:paraId="4B45333D" w14:textId="7D7E1AF0" w:rsidR="003623A3" w:rsidRPr="00B456A2" w:rsidRDefault="00016BBB" w:rsidP="003623A3">
      <w:pPr>
        <w:tabs>
          <w:tab w:val="left" w:pos="0"/>
        </w:tabs>
        <w:ind w:left="567"/>
        <w:rPr>
          <w:szCs w:val="20"/>
          <w:lang w:val="es-MX"/>
        </w:rPr>
      </w:pPr>
      <w:r w:rsidRPr="00B456A2">
        <w:rPr>
          <w:i/>
          <w:szCs w:val="20"/>
          <w:lang w:val="es-ES"/>
        </w:rPr>
        <w:t>Leonel Ferrer</w:t>
      </w:r>
      <w:r w:rsidR="000050B2" w:rsidRPr="00B456A2">
        <w:rPr>
          <w:szCs w:val="20"/>
          <w:lang w:val="es-MX"/>
        </w:rPr>
        <w:t>,</w:t>
      </w:r>
      <w:r w:rsidRPr="00B456A2">
        <w:rPr>
          <w:szCs w:val="20"/>
          <w:lang w:val="es-ES"/>
        </w:rPr>
        <w:t xml:space="preserve"> Profesor </w:t>
      </w:r>
      <w:r w:rsidR="00B4568A">
        <w:rPr>
          <w:szCs w:val="20"/>
          <w:lang w:val="es-ES"/>
        </w:rPr>
        <w:t xml:space="preserve">en </w:t>
      </w:r>
      <w:r w:rsidRPr="00B456A2">
        <w:rPr>
          <w:szCs w:val="20"/>
          <w:lang w:val="es-ES"/>
        </w:rPr>
        <w:t xml:space="preserve">la Universidad Central de Venezuela, especialista en derecho constitucional. Declarará sobre las limitaciones al ejercicio de derechos políticos como sanción administrativa y como pena impuesta a través de un proceso penal, la naturaleza del recurso de revisión constitucional. </w:t>
      </w:r>
      <w:r w:rsidR="000050B2" w:rsidRPr="00B456A2">
        <w:rPr>
          <w:szCs w:val="20"/>
          <w:lang w:val="es-MX"/>
        </w:rPr>
        <w:t xml:space="preserve">Se referirá también a </w:t>
      </w:r>
      <w:r w:rsidRPr="00B456A2">
        <w:rPr>
          <w:szCs w:val="20"/>
          <w:lang w:val="es-MX"/>
        </w:rPr>
        <w:t xml:space="preserve">otros mecanismos previstos en el ordenamiento jurídico venezolano para controlar decisiones jurisdiccionales. </w:t>
      </w:r>
      <w:r w:rsidR="00141FDD" w:rsidRPr="00B456A2">
        <w:rPr>
          <w:szCs w:val="20"/>
          <w:lang w:val="es-MX"/>
        </w:rPr>
        <w:t xml:space="preserve">En particular el perito hará referencia al proceso penal objeto del presente caso y a </w:t>
      </w:r>
      <w:r w:rsidRPr="00B456A2">
        <w:rPr>
          <w:szCs w:val="20"/>
          <w:lang w:val="es-MX"/>
        </w:rPr>
        <w:t>las decisiones dictadas por la Sala Electoral y la Revisión de las mismas por la Sala Constitucional del Tribunal Supremo de Justicia.</w:t>
      </w:r>
    </w:p>
    <w:p w14:paraId="35C11D01" w14:textId="77777777" w:rsidR="003623A3" w:rsidRPr="00B456A2" w:rsidRDefault="003623A3" w:rsidP="003623A3">
      <w:pPr>
        <w:tabs>
          <w:tab w:val="left" w:pos="0"/>
        </w:tabs>
        <w:ind w:left="567"/>
        <w:rPr>
          <w:b/>
          <w:szCs w:val="20"/>
          <w:lang w:val="es-MX"/>
        </w:rPr>
      </w:pPr>
    </w:p>
    <w:p w14:paraId="5DFA19C7" w14:textId="4A2F2143" w:rsidR="003623A3" w:rsidRPr="00B456A2" w:rsidRDefault="003623A3" w:rsidP="003623A3">
      <w:pPr>
        <w:tabs>
          <w:tab w:val="left" w:pos="0"/>
        </w:tabs>
        <w:ind w:left="567"/>
        <w:rPr>
          <w:szCs w:val="20"/>
          <w:lang w:val="es-MX"/>
        </w:rPr>
      </w:pPr>
      <w:r w:rsidRPr="00B456A2">
        <w:rPr>
          <w:i/>
          <w:szCs w:val="20"/>
          <w:lang w:val="es-ES"/>
        </w:rPr>
        <w:t>Magdalena López de Ibañez</w:t>
      </w:r>
      <w:r w:rsidRPr="00B456A2">
        <w:rPr>
          <w:szCs w:val="20"/>
          <w:lang w:val="es-MX"/>
        </w:rPr>
        <w:t xml:space="preserve">, docente jubilada de la Escuela de la Universidad Central de Venezuela. Declarará sobre los legados efectos psicológicos y psicosomáticos experimentados por Tulio Álvarez en razón del sometimiento al proceso penal y la ejecución de la pena. </w:t>
      </w:r>
      <w:r w:rsidRPr="00B456A2">
        <w:rPr>
          <w:szCs w:val="20"/>
        </w:rPr>
        <w:t>Asimismo</w:t>
      </w:r>
      <w:r w:rsidR="00A12940">
        <w:rPr>
          <w:szCs w:val="20"/>
        </w:rPr>
        <w:t>,</w:t>
      </w:r>
      <w:r w:rsidRPr="00B456A2">
        <w:rPr>
          <w:szCs w:val="20"/>
        </w:rPr>
        <w:t xml:space="preserve"> establecerá los efectos de la realización de exámenes conductuales y siquiátricos y la metodología utilizada en la realización del informe psicosocial Nº 0285-03 de fecha 14 de agosto de 2006 y el Informe conductual único del 22 de diciembre de 2008, así como sobre otras materias del ámbito de su experticia.</w:t>
      </w:r>
    </w:p>
    <w:p w14:paraId="5AF1F5ED" w14:textId="77777777" w:rsidR="00FB43CD" w:rsidRPr="00B456A2" w:rsidRDefault="00FB43CD" w:rsidP="00E77B4C">
      <w:pPr>
        <w:tabs>
          <w:tab w:val="left" w:pos="0"/>
        </w:tabs>
        <w:rPr>
          <w:szCs w:val="20"/>
          <w:lang w:val="es-MX"/>
        </w:rPr>
      </w:pPr>
    </w:p>
    <w:p w14:paraId="671C4522" w14:textId="218CABEA" w:rsidR="007138CC" w:rsidRPr="00B456A2" w:rsidRDefault="007138CC" w:rsidP="007138CC">
      <w:pPr>
        <w:tabs>
          <w:tab w:val="left" w:pos="0"/>
        </w:tabs>
        <w:rPr>
          <w:b/>
          <w:szCs w:val="20"/>
          <w:lang w:val="es-ES"/>
        </w:rPr>
      </w:pPr>
      <w:r w:rsidRPr="00B456A2">
        <w:rPr>
          <w:b/>
          <w:szCs w:val="20"/>
          <w:lang w:val="es-ES"/>
        </w:rPr>
        <w:t>D) Perito (Propuesto por el Estado)</w:t>
      </w:r>
    </w:p>
    <w:p w14:paraId="42951A7E" w14:textId="77777777" w:rsidR="007138CC" w:rsidRPr="00B456A2" w:rsidRDefault="007138CC" w:rsidP="007138CC">
      <w:pPr>
        <w:tabs>
          <w:tab w:val="left" w:pos="0"/>
        </w:tabs>
        <w:rPr>
          <w:b/>
          <w:szCs w:val="20"/>
          <w:lang w:val="es-ES"/>
        </w:rPr>
      </w:pPr>
    </w:p>
    <w:p w14:paraId="6D263840" w14:textId="774D486C" w:rsidR="007138CC" w:rsidRPr="00B456A2" w:rsidRDefault="007138CC" w:rsidP="007138CC">
      <w:pPr>
        <w:tabs>
          <w:tab w:val="left" w:pos="0"/>
        </w:tabs>
        <w:ind w:left="567"/>
        <w:rPr>
          <w:szCs w:val="20"/>
          <w:lang w:val="es-MX"/>
        </w:rPr>
      </w:pPr>
      <w:r w:rsidRPr="00B456A2">
        <w:rPr>
          <w:bCs/>
          <w:i/>
          <w:szCs w:val="20"/>
          <w:lang w:val="es-ES"/>
        </w:rPr>
        <w:t>Federico Fuenmayor Gallo</w:t>
      </w:r>
      <w:r w:rsidRPr="00B456A2">
        <w:rPr>
          <w:bCs/>
          <w:szCs w:val="20"/>
        </w:rPr>
        <w:t xml:space="preserve">, </w:t>
      </w:r>
      <w:r w:rsidRPr="00B456A2">
        <w:rPr>
          <w:szCs w:val="20"/>
        </w:rPr>
        <w:t>Profesor universitario en derecho penal y derecho procesal penal. Declarará sobre el procedimiento de acusación de parte agraviada en el Código Orgánico Procesal Penal, así como las regulaciones establecidas para la garantía del debido proceso y el derecho a la defensa en dichos procesos penales.</w:t>
      </w:r>
    </w:p>
    <w:p w14:paraId="691BB5D9" w14:textId="77777777" w:rsidR="007138CC" w:rsidRPr="00B456A2" w:rsidRDefault="007138CC" w:rsidP="00E77B4C">
      <w:pPr>
        <w:tabs>
          <w:tab w:val="left" w:pos="0"/>
        </w:tabs>
        <w:rPr>
          <w:szCs w:val="20"/>
          <w:lang w:val="es-MX"/>
        </w:rPr>
      </w:pPr>
    </w:p>
    <w:p w14:paraId="19F1F410" w14:textId="51515797" w:rsidR="003623A3" w:rsidRPr="00B456A2" w:rsidRDefault="003623A3" w:rsidP="007138CC">
      <w:pPr>
        <w:pStyle w:val="ListParagraph"/>
        <w:numPr>
          <w:ilvl w:val="0"/>
          <w:numId w:val="23"/>
        </w:numPr>
        <w:ind w:left="0" w:firstLine="0"/>
        <w:rPr>
          <w:szCs w:val="20"/>
        </w:rPr>
      </w:pPr>
      <w:r w:rsidRPr="00B456A2">
        <w:rPr>
          <w:szCs w:val="20"/>
        </w:rPr>
        <w:t xml:space="preserve">Requerir al Estado y a los representantes que, de considerarlo pertinente, en lo que les corresponda y de conformidad con el párrafo considerativo </w:t>
      </w:r>
      <w:r w:rsidR="00B4568A">
        <w:rPr>
          <w:szCs w:val="20"/>
        </w:rPr>
        <w:t>30</w:t>
      </w:r>
      <w:r w:rsidRPr="00B456A2">
        <w:rPr>
          <w:szCs w:val="20"/>
        </w:rPr>
        <w:t xml:space="preserve"> de la presente Resolución, en el plazo improrrogable que vence el </w:t>
      </w:r>
      <w:r w:rsidR="00B4568A" w:rsidRPr="00B4568A">
        <w:rPr>
          <w:szCs w:val="20"/>
        </w:rPr>
        <w:t>2</w:t>
      </w:r>
      <w:r w:rsidR="00A12940">
        <w:rPr>
          <w:szCs w:val="20"/>
        </w:rPr>
        <w:t>8</w:t>
      </w:r>
      <w:r w:rsidR="007138CC" w:rsidRPr="00B4568A">
        <w:rPr>
          <w:szCs w:val="20"/>
        </w:rPr>
        <w:t xml:space="preserve"> de junio de 2018</w:t>
      </w:r>
      <w:r w:rsidRPr="00B4568A">
        <w:rPr>
          <w:szCs w:val="20"/>
        </w:rPr>
        <w:t xml:space="preserve">, presenten las preguntas que estimen pertinente formular a través de la Corte Interamericana a </w:t>
      </w:r>
      <w:r w:rsidR="007138CC" w:rsidRPr="00B4568A">
        <w:rPr>
          <w:szCs w:val="20"/>
        </w:rPr>
        <w:t xml:space="preserve">los </w:t>
      </w:r>
      <w:r w:rsidRPr="00B4568A">
        <w:rPr>
          <w:szCs w:val="20"/>
        </w:rPr>
        <w:t xml:space="preserve">testigos y peritos referidos en el punto resolutivo </w:t>
      </w:r>
      <w:r w:rsidR="0083079E">
        <w:rPr>
          <w:szCs w:val="20"/>
        </w:rPr>
        <w:t>2</w:t>
      </w:r>
      <w:r w:rsidRPr="00B4568A">
        <w:rPr>
          <w:szCs w:val="20"/>
        </w:rPr>
        <w:t xml:space="preserve">. Las declaraciones y peritajes requeridos en el punto resolutivo </w:t>
      </w:r>
      <w:r w:rsidR="0083079E">
        <w:rPr>
          <w:szCs w:val="20"/>
        </w:rPr>
        <w:t>2</w:t>
      </w:r>
      <w:r w:rsidRPr="00B4568A">
        <w:rPr>
          <w:szCs w:val="20"/>
        </w:rPr>
        <w:t xml:space="preserve"> deberán ser presentados a más tardar el </w:t>
      </w:r>
      <w:r w:rsidR="007138CC" w:rsidRPr="00B4568A">
        <w:rPr>
          <w:szCs w:val="20"/>
        </w:rPr>
        <w:t>1</w:t>
      </w:r>
      <w:r w:rsidR="00A12940">
        <w:rPr>
          <w:szCs w:val="20"/>
        </w:rPr>
        <w:t>4</w:t>
      </w:r>
      <w:r w:rsidRPr="00B4568A">
        <w:rPr>
          <w:szCs w:val="20"/>
        </w:rPr>
        <w:t xml:space="preserve"> de </w:t>
      </w:r>
      <w:r w:rsidR="007138CC" w:rsidRPr="00B4568A">
        <w:rPr>
          <w:szCs w:val="20"/>
        </w:rPr>
        <w:t>agosto de 2018</w:t>
      </w:r>
      <w:r w:rsidRPr="00B4568A">
        <w:rPr>
          <w:szCs w:val="20"/>
        </w:rPr>
        <w:t>.</w:t>
      </w:r>
      <w:r w:rsidRPr="00B456A2">
        <w:rPr>
          <w:szCs w:val="20"/>
        </w:rPr>
        <w:t xml:space="preserve"> </w:t>
      </w:r>
      <w:r w:rsidR="0083079E">
        <w:rPr>
          <w:szCs w:val="20"/>
        </w:rPr>
        <w:t>En el caso que las peritas convocadas a declarar durante la audiencia deseen presentar una versión escrita de su peritaje, deberán presentarlo a la Corte a más tardar el 1</w:t>
      </w:r>
      <w:r w:rsidR="00A12940">
        <w:rPr>
          <w:szCs w:val="20"/>
        </w:rPr>
        <w:t>4</w:t>
      </w:r>
      <w:r w:rsidR="0083079E">
        <w:rPr>
          <w:szCs w:val="20"/>
        </w:rPr>
        <w:t xml:space="preserve"> de agosto de 2018.</w:t>
      </w:r>
    </w:p>
    <w:p w14:paraId="56A5B818" w14:textId="77777777" w:rsidR="007138CC" w:rsidRPr="00B456A2" w:rsidRDefault="007138CC" w:rsidP="007138CC">
      <w:pPr>
        <w:rPr>
          <w:szCs w:val="20"/>
        </w:rPr>
      </w:pPr>
    </w:p>
    <w:p w14:paraId="722CCC45" w14:textId="450155FF" w:rsidR="003623A3" w:rsidRPr="00B456A2" w:rsidRDefault="003623A3" w:rsidP="007138CC">
      <w:pPr>
        <w:pStyle w:val="ListParagraph"/>
        <w:numPr>
          <w:ilvl w:val="0"/>
          <w:numId w:val="23"/>
        </w:numPr>
        <w:ind w:left="0" w:firstLine="0"/>
        <w:rPr>
          <w:szCs w:val="20"/>
        </w:rPr>
      </w:pPr>
      <w:r w:rsidRPr="00B456A2">
        <w:rPr>
          <w:szCs w:val="20"/>
        </w:rPr>
        <w:t>Requerir a los representantes y a</w:t>
      </w:r>
      <w:r w:rsidR="007138CC" w:rsidRPr="00B456A2">
        <w:rPr>
          <w:szCs w:val="20"/>
        </w:rPr>
        <w:t xml:space="preserve">l Estado </w:t>
      </w:r>
      <w:r w:rsidRPr="00B456A2">
        <w:rPr>
          <w:szCs w:val="20"/>
        </w:rPr>
        <w:t>que coordinen y realicen las diligencias necesarias para que, una vez recibidas las preguntas, si las hubiere, los declarantes propuestos incluyan las respuestas respectivas en sus declaraciones rendidas ante fedatario</w:t>
      </w:r>
      <w:r w:rsidR="00A12940">
        <w:rPr>
          <w:szCs w:val="20"/>
        </w:rPr>
        <w:t xml:space="preserve"> público, de conformidad con los</w:t>
      </w:r>
      <w:r w:rsidRPr="00B456A2">
        <w:rPr>
          <w:szCs w:val="20"/>
        </w:rPr>
        <w:t xml:space="preserve"> </w:t>
      </w:r>
      <w:r w:rsidR="0083079E">
        <w:rPr>
          <w:szCs w:val="20"/>
        </w:rPr>
        <w:t>punto</w:t>
      </w:r>
      <w:r w:rsidR="00A12940">
        <w:rPr>
          <w:szCs w:val="20"/>
        </w:rPr>
        <w:t>s</w:t>
      </w:r>
      <w:r w:rsidR="0083079E">
        <w:rPr>
          <w:szCs w:val="20"/>
        </w:rPr>
        <w:t xml:space="preserve"> resolutivo</w:t>
      </w:r>
      <w:r w:rsidR="00A12940">
        <w:rPr>
          <w:szCs w:val="20"/>
        </w:rPr>
        <w:t>s</w:t>
      </w:r>
      <w:r w:rsidR="0083079E">
        <w:rPr>
          <w:szCs w:val="20"/>
        </w:rPr>
        <w:t xml:space="preserve"> 2</w:t>
      </w:r>
      <w:r w:rsidRPr="00B456A2">
        <w:rPr>
          <w:szCs w:val="20"/>
        </w:rPr>
        <w:t xml:space="preserve"> </w:t>
      </w:r>
      <w:r w:rsidR="00A12940">
        <w:rPr>
          <w:szCs w:val="20"/>
        </w:rPr>
        <w:t xml:space="preserve">y 3 </w:t>
      </w:r>
      <w:r w:rsidRPr="00B456A2">
        <w:rPr>
          <w:szCs w:val="20"/>
        </w:rPr>
        <w:t>de la presente Resolución.</w:t>
      </w:r>
    </w:p>
    <w:p w14:paraId="377EAC74" w14:textId="77777777" w:rsidR="007138CC" w:rsidRPr="00B456A2" w:rsidRDefault="007138CC" w:rsidP="007138CC">
      <w:pPr>
        <w:pStyle w:val="ListParagraph"/>
        <w:ind w:left="0"/>
        <w:rPr>
          <w:szCs w:val="20"/>
        </w:rPr>
      </w:pPr>
    </w:p>
    <w:p w14:paraId="3BA577B1" w14:textId="08705CD2" w:rsidR="003623A3" w:rsidRPr="00B456A2" w:rsidRDefault="003623A3" w:rsidP="007138CC">
      <w:pPr>
        <w:pStyle w:val="ListParagraph"/>
        <w:numPr>
          <w:ilvl w:val="0"/>
          <w:numId w:val="23"/>
        </w:numPr>
        <w:ind w:left="0" w:firstLine="0"/>
        <w:rPr>
          <w:szCs w:val="20"/>
        </w:rPr>
      </w:pPr>
      <w:r w:rsidRPr="00B456A2">
        <w:rPr>
          <w:szCs w:val="20"/>
        </w:rPr>
        <w:t xml:space="preserve">Disponer que, una vez recibidas las declaraciones y peritajes requeridos en el punto resolutivo </w:t>
      </w:r>
      <w:r w:rsidR="0083079E">
        <w:rPr>
          <w:szCs w:val="20"/>
        </w:rPr>
        <w:t>2</w:t>
      </w:r>
      <w:r w:rsidRPr="00B456A2">
        <w:rPr>
          <w:szCs w:val="20"/>
        </w:rPr>
        <w:t>, la Secretaría de la Corte los transmita a los representantes, a la Comisión y al Estado para que, si lo estiman necesario y en los que les corresponda, presenten sus observaciones a dichas declaraciones y peritajes, a más tardar con sus alegatos u observaciones finales escritos.</w:t>
      </w:r>
    </w:p>
    <w:p w14:paraId="10FB8CB3" w14:textId="77777777" w:rsidR="007138CC" w:rsidRPr="00B456A2" w:rsidRDefault="007138CC" w:rsidP="007138CC">
      <w:pPr>
        <w:pStyle w:val="ListParagraph"/>
        <w:ind w:left="0"/>
        <w:rPr>
          <w:szCs w:val="20"/>
        </w:rPr>
      </w:pPr>
    </w:p>
    <w:p w14:paraId="77581251" w14:textId="77777777" w:rsidR="00A12940" w:rsidRPr="00B456A2" w:rsidRDefault="00A12940" w:rsidP="00A12940">
      <w:pPr>
        <w:pStyle w:val="ListParagraph"/>
        <w:numPr>
          <w:ilvl w:val="0"/>
          <w:numId w:val="23"/>
        </w:numPr>
        <w:ind w:left="0" w:firstLine="0"/>
        <w:rPr>
          <w:szCs w:val="20"/>
        </w:rPr>
      </w:pPr>
      <w:r w:rsidRPr="00B456A2">
        <w:rPr>
          <w:szCs w:val="20"/>
        </w:rPr>
        <w:t>Solicitar a los representantes y al Estado que notifiquen la presente Resolución a las personas por ellos propuestas, que han sido convocadas a rendir declaración, de conformidad con lo dispuesto en el artículo 50.2 y 50.4 del Reglamento.</w:t>
      </w:r>
    </w:p>
    <w:p w14:paraId="08C3A0BE" w14:textId="77777777" w:rsidR="00A12940" w:rsidRDefault="00A12940" w:rsidP="00A12940">
      <w:pPr>
        <w:pStyle w:val="ListParagraph"/>
        <w:ind w:left="0"/>
        <w:rPr>
          <w:szCs w:val="20"/>
        </w:rPr>
      </w:pPr>
    </w:p>
    <w:p w14:paraId="1F78B3B2" w14:textId="2AA981BC" w:rsidR="003623A3" w:rsidRPr="00B456A2" w:rsidRDefault="003623A3" w:rsidP="007138CC">
      <w:pPr>
        <w:pStyle w:val="ListParagraph"/>
        <w:numPr>
          <w:ilvl w:val="0"/>
          <w:numId w:val="23"/>
        </w:numPr>
        <w:ind w:left="0" w:firstLine="0"/>
        <w:rPr>
          <w:szCs w:val="20"/>
        </w:rPr>
      </w:pPr>
      <w:r w:rsidRPr="00B456A2">
        <w:rPr>
          <w:szCs w:val="20"/>
        </w:rPr>
        <w:t>Requerir al Estado de Venezuela que facilite la salida y entrada de su territorio de los declarantes, si residen o se encuentran en él, quienes han sido citados en la presente Resolución a rendir declaración en la audiencia pública en este caso, de conformidad con lo dispuesto en el artículo 26.1 del Reglamento de la Corte.</w:t>
      </w:r>
    </w:p>
    <w:p w14:paraId="7030AEE7" w14:textId="77777777" w:rsidR="007138CC" w:rsidRPr="00B456A2" w:rsidRDefault="007138CC" w:rsidP="007138CC">
      <w:pPr>
        <w:pStyle w:val="ListParagraph"/>
        <w:ind w:left="0"/>
        <w:rPr>
          <w:szCs w:val="20"/>
        </w:rPr>
      </w:pPr>
    </w:p>
    <w:p w14:paraId="30E7721A" w14:textId="60CE67DC" w:rsidR="003623A3" w:rsidRPr="00B456A2" w:rsidRDefault="003623A3" w:rsidP="007138CC">
      <w:pPr>
        <w:pStyle w:val="ListParagraph"/>
        <w:numPr>
          <w:ilvl w:val="0"/>
          <w:numId w:val="23"/>
        </w:numPr>
        <w:ind w:left="0" w:firstLine="0"/>
        <w:rPr>
          <w:szCs w:val="20"/>
        </w:rPr>
      </w:pPr>
      <w:r w:rsidRPr="00B456A2">
        <w:rPr>
          <w:szCs w:val="20"/>
        </w:rPr>
        <w:t>Informar a los representantes</w:t>
      </w:r>
      <w:r w:rsidR="007138CC" w:rsidRPr="00B456A2">
        <w:rPr>
          <w:szCs w:val="20"/>
        </w:rPr>
        <w:t xml:space="preserve"> y</w:t>
      </w:r>
      <w:r w:rsidRPr="00B456A2">
        <w:rPr>
          <w:szCs w:val="20"/>
        </w:rPr>
        <w:t xml:space="preserve"> al Estado que deben cubrir los gastos que ocasione la aportación o rendición de la prueba propuesta por ellos, de conformidad con lo dispuesto en el artículo 60 del Reglamento.</w:t>
      </w:r>
    </w:p>
    <w:p w14:paraId="69734D8B" w14:textId="77777777" w:rsidR="007138CC" w:rsidRPr="00B456A2" w:rsidRDefault="007138CC" w:rsidP="007138CC">
      <w:pPr>
        <w:pStyle w:val="ListParagraph"/>
        <w:ind w:left="0"/>
        <w:rPr>
          <w:szCs w:val="20"/>
        </w:rPr>
      </w:pPr>
    </w:p>
    <w:p w14:paraId="3A1128FC" w14:textId="2ECC72E0" w:rsidR="003623A3" w:rsidRPr="00B456A2" w:rsidRDefault="003623A3" w:rsidP="007138CC">
      <w:pPr>
        <w:pStyle w:val="ListParagraph"/>
        <w:numPr>
          <w:ilvl w:val="0"/>
          <w:numId w:val="23"/>
        </w:numPr>
        <w:ind w:left="0" w:firstLine="0"/>
        <w:rPr>
          <w:szCs w:val="20"/>
        </w:rPr>
      </w:pPr>
      <w:r w:rsidRPr="00B456A2">
        <w:rPr>
          <w:szCs w:val="20"/>
        </w:rPr>
        <w:t xml:space="preserve">Requerir a los representantes que comuniquen a la Corte el nombre de los declarantes cuyos </w:t>
      </w:r>
      <w:r w:rsidR="0034795F" w:rsidRPr="0034795F">
        <w:rPr>
          <w:i/>
          <w:szCs w:val="20"/>
        </w:rPr>
        <w:t>affidavit</w:t>
      </w:r>
      <w:r w:rsidRPr="00B456A2">
        <w:rPr>
          <w:szCs w:val="20"/>
        </w:rPr>
        <w:t xml:space="preserve"> serán cubiertos por el Fondo de Asistencia, y que remita</w:t>
      </w:r>
      <w:r w:rsidR="007138CC" w:rsidRPr="00B456A2">
        <w:rPr>
          <w:szCs w:val="20"/>
        </w:rPr>
        <w:t>n</w:t>
      </w:r>
      <w:r w:rsidRPr="00B456A2">
        <w:rPr>
          <w:szCs w:val="20"/>
        </w:rPr>
        <w:t xml:space="preserve"> una cotización del costo de la formalización de las declaraciones juradas en el país de residencia de los declarantes y de sus respectivos envíos, a más tardar e</w:t>
      </w:r>
      <w:r w:rsidRPr="00B4568A">
        <w:rPr>
          <w:szCs w:val="20"/>
        </w:rPr>
        <w:t xml:space="preserve">l </w:t>
      </w:r>
      <w:r w:rsidR="007138CC" w:rsidRPr="00B4568A">
        <w:rPr>
          <w:szCs w:val="20"/>
        </w:rPr>
        <w:t>2</w:t>
      </w:r>
      <w:r w:rsidR="00A12940">
        <w:rPr>
          <w:szCs w:val="20"/>
        </w:rPr>
        <w:t>8</w:t>
      </w:r>
      <w:r w:rsidRPr="00B4568A">
        <w:rPr>
          <w:szCs w:val="20"/>
        </w:rPr>
        <w:t xml:space="preserve"> de </w:t>
      </w:r>
      <w:r w:rsidR="007138CC" w:rsidRPr="00B4568A">
        <w:rPr>
          <w:szCs w:val="20"/>
        </w:rPr>
        <w:t>junio</w:t>
      </w:r>
      <w:r w:rsidRPr="00B4568A">
        <w:rPr>
          <w:szCs w:val="20"/>
        </w:rPr>
        <w:t xml:space="preserve"> de 201</w:t>
      </w:r>
      <w:r w:rsidR="007138CC" w:rsidRPr="00B4568A">
        <w:rPr>
          <w:szCs w:val="20"/>
        </w:rPr>
        <w:t>8</w:t>
      </w:r>
      <w:r w:rsidRPr="00B4568A">
        <w:rPr>
          <w:szCs w:val="20"/>
        </w:rPr>
        <w:t xml:space="preserve">, de conformidad con lo establecido en el Considerando </w:t>
      </w:r>
      <w:r w:rsidR="00B4568A" w:rsidRPr="00B4568A">
        <w:rPr>
          <w:szCs w:val="20"/>
        </w:rPr>
        <w:t>4</w:t>
      </w:r>
      <w:r w:rsidR="00A12940">
        <w:rPr>
          <w:szCs w:val="20"/>
        </w:rPr>
        <w:t>7</w:t>
      </w:r>
      <w:r w:rsidRPr="00B456A2">
        <w:rPr>
          <w:szCs w:val="20"/>
        </w:rPr>
        <w:t xml:space="preserve"> de la presente Resolución.</w:t>
      </w:r>
    </w:p>
    <w:p w14:paraId="198F6DDE" w14:textId="77777777" w:rsidR="007138CC" w:rsidRPr="00B456A2" w:rsidRDefault="007138CC" w:rsidP="007138CC">
      <w:pPr>
        <w:pStyle w:val="ListParagraph"/>
        <w:ind w:left="0"/>
        <w:rPr>
          <w:szCs w:val="20"/>
        </w:rPr>
      </w:pPr>
    </w:p>
    <w:p w14:paraId="3F5E27B6" w14:textId="32E633E9" w:rsidR="003623A3" w:rsidRPr="00B456A2" w:rsidRDefault="003623A3" w:rsidP="007138CC">
      <w:pPr>
        <w:pStyle w:val="ListParagraph"/>
        <w:numPr>
          <w:ilvl w:val="0"/>
          <w:numId w:val="23"/>
        </w:numPr>
        <w:ind w:left="0" w:firstLine="0"/>
        <w:rPr>
          <w:szCs w:val="20"/>
        </w:rPr>
      </w:pPr>
      <w:r w:rsidRPr="00B456A2">
        <w:rPr>
          <w:szCs w:val="20"/>
        </w:rPr>
        <w:t>Requerir a los representantes</w:t>
      </w:r>
      <w:r w:rsidR="007138CC" w:rsidRPr="00B456A2">
        <w:rPr>
          <w:szCs w:val="20"/>
        </w:rPr>
        <w:t xml:space="preserve"> y</w:t>
      </w:r>
      <w:r w:rsidRPr="00B456A2">
        <w:rPr>
          <w:szCs w:val="20"/>
        </w:rPr>
        <w:t xml:space="preserve"> al Estado que informen a las personas convocadas para declarar que, según lo dispuesto en el artículo 54 del Reglamento, el Tribunal pondrá en conocimiento del Estado los casos en que las personas requeridas para comparecer o declarar no comparecieren o rehusaren deponer sin motivo legítimo o que, en el parecer de la misma Corte, hayan violado el juramento o la declaración solemne, para los fines previstos en la legislación nacional correspondiente.</w:t>
      </w:r>
    </w:p>
    <w:p w14:paraId="44624D35" w14:textId="77777777" w:rsidR="007138CC" w:rsidRPr="00B456A2" w:rsidRDefault="007138CC" w:rsidP="007138CC">
      <w:pPr>
        <w:pStyle w:val="ListParagraph"/>
        <w:ind w:left="0"/>
        <w:rPr>
          <w:szCs w:val="20"/>
        </w:rPr>
      </w:pPr>
    </w:p>
    <w:p w14:paraId="1A2634A1" w14:textId="1F5BE9D6" w:rsidR="003623A3" w:rsidRPr="00B456A2" w:rsidRDefault="003623A3" w:rsidP="007138CC">
      <w:pPr>
        <w:pStyle w:val="ListParagraph"/>
        <w:numPr>
          <w:ilvl w:val="0"/>
          <w:numId w:val="23"/>
        </w:numPr>
        <w:ind w:left="0" w:firstLine="0"/>
        <w:rPr>
          <w:szCs w:val="20"/>
        </w:rPr>
      </w:pPr>
      <w:r w:rsidRPr="00B456A2">
        <w:rPr>
          <w:szCs w:val="20"/>
        </w:rPr>
        <w:t>Informar a los representantes, al Estado y a la Comisión Interamericana que, al término de las declaraciones rendidas en la audiencia pública, podrán presentar ante el Tribunal sus alegatos finales orales y observaciones finales orales, respectivamente, sobre las excepciones preliminares, eventuales fondo</w:t>
      </w:r>
      <w:r w:rsidR="00B4568A">
        <w:rPr>
          <w:szCs w:val="20"/>
        </w:rPr>
        <w:t>,</w:t>
      </w:r>
      <w:r w:rsidRPr="00B456A2">
        <w:rPr>
          <w:szCs w:val="20"/>
        </w:rPr>
        <w:t xml:space="preserve"> reparaciones y costas en este caso.</w:t>
      </w:r>
    </w:p>
    <w:p w14:paraId="23B42BD0" w14:textId="77777777" w:rsidR="007138CC" w:rsidRPr="00B456A2" w:rsidRDefault="007138CC" w:rsidP="007138CC">
      <w:pPr>
        <w:pStyle w:val="ListParagraph"/>
        <w:ind w:left="0"/>
        <w:rPr>
          <w:szCs w:val="20"/>
        </w:rPr>
      </w:pPr>
    </w:p>
    <w:p w14:paraId="46BDD137" w14:textId="30A4732C" w:rsidR="003623A3" w:rsidRPr="00B456A2" w:rsidRDefault="003623A3" w:rsidP="007138CC">
      <w:pPr>
        <w:pStyle w:val="ListParagraph"/>
        <w:numPr>
          <w:ilvl w:val="0"/>
          <w:numId w:val="23"/>
        </w:numPr>
        <w:ind w:left="0" w:firstLine="0"/>
        <w:rPr>
          <w:szCs w:val="20"/>
        </w:rPr>
      </w:pPr>
      <w:r w:rsidRPr="00B456A2">
        <w:rPr>
          <w:szCs w:val="20"/>
        </w:rPr>
        <w:t xml:space="preserve">Informar a los representantes, al Estado y a la Comisión Interamericana que cuentan con un plazo hasta el </w:t>
      </w:r>
      <w:r w:rsidR="007138CC" w:rsidRPr="00B456A2">
        <w:rPr>
          <w:szCs w:val="20"/>
        </w:rPr>
        <w:t>2</w:t>
      </w:r>
      <w:r w:rsidR="0027578F">
        <w:rPr>
          <w:szCs w:val="20"/>
        </w:rPr>
        <w:t>8</w:t>
      </w:r>
      <w:r w:rsidRPr="00B456A2">
        <w:rPr>
          <w:szCs w:val="20"/>
        </w:rPr>
        <w:t xml:space="preserve"> de </w:t>
      </w:r>
      <w:r w:rsidR="007138CC" w:rsidRPr="00B456A2">
        <w:rPr>
          <w:szCs w:val="20"/>
        </w:rPr>
        <w:t xml:space="preserve">septiembre </w:t>
      </w:r>
      <w:r w:rsidRPr="00B456A2">
        <w:rPr>
          <w:szCs w:val="20"/>
        </w:rPr>
        <w:t>de 201</w:t>
      </w:r>
      <w:r w:rsidR="007138CC" w:rsidRPr="00B456A2">
        <w:rPr>
          <w:szCs w:val="20"/>
        </w:rPr>
        <w:t>8</w:t>
      </w:r>
      <w:r w:rsidRPr="00B456A2">
        <w:rPr>
          <w:szCs w:val="20"/>
        </w:rPr>
        <w:t xml:space="preserve"> para presentar sus alegatos finales escritos y observaciones finales escritas, respectivamente, en relación con las excepciones preliminares, eventuales fondo y reparaciones y costas. Este plazo es improrrogable.</w:t>
      </w:r>
    </w:p>
    <w:p w14:paraId="49AA05FA" w14:textId="77777777" w:rsidR="007138CC" w:rsidRPr="00B456A2" w:rsidRDefault="007138CC" w:rsidP="007138CC">
      <w:pPr>
        <w:pStyle w:val="ListParagraph"/>
        <w:ind w:left="0"/>
        <w:rPr>
          <w:szCs w:val="20"/>
        </w:rPr>
      </w:pPr>
    </w:p>
    <w:p w14:paraId="6DFCE168" w14:textId="1A9EAC25" w:rsidR="007138CC" w:rsidRPr="00B456A2" w:rsidRDefault="007138CC" w:rsidP="007138CC">
      <w:pPr>
        <w:pStyle w:val="ListParagraph"/>
        <w:numPr>
          <w:ilvl w:val="0"/>
          <w:numId w:val="23"/>
        </w:numPr>
        <w:ind w:left="0" w:firstLine="0"/>
        <w:rPr>
          <w:szCs w:val="20"/>
        </w:rPr>
      </w:pPr>
      <w:r w:rsidRPr="00B456A2">
        <w:rPr>
          <w:szCs w:val="20"/>
        </w:rPr>
        <w:t xml:space="preserve">Solicitar al Estado de </w:t>
      </w:r>
      <w:r w:rsidR="00CE58A4" w:rsidRPr="00B456A2">
        <w:rPr>
          <w:szCs w:val="20"/>
        </w:rPr>
        <w:t xml:space="preserve">El </w:t>
      </w:r>
      <w:r w:rsidRPr="00B456A2">
        <w:rPr>
          <w:szCs w:val="20"/>
        </w:rPr>
        <w:t>Salvador, de conformidad con lo dispuesto en el artículo 26 incisos 1 y 3 del Reglamento de la Corte, su cooperación para llevar a cabo la audiencia pública sobre excepciones preliminares y eventuales fondo, reparaciones y costas, por celebrarse en ese país, convocada mediante la presente Resolución, así como para facilitar la entrada y salida de su territorio de las personas que fueron citadas a rendir su declaración ante la Corte Interamericana de Derechos Humanos en la referida audiencia y de quienes representarán a la Comisión Interamericana de Derechos Humanos, a Venezuela y a los representantes de la presunta víctima durante la misma. Para tal efecto se dispone que la Secretaría notifique la presente Resolución al Estado de El Salvador.</w:t>
      </w:r>
    </w:p>
    <w:p w14:paraId="1960352A" w14:textId="77777777" w:rsidR="007138CC" w:rsidRPr="00B456A2" w:rsidRDefault="007138CC" w:rsidP="007138CC">
      <w:pPr>
        <w:pStyle w:val="ListParagraph"/>
        <w:ind w:left="0"/>
        <w:rPr>
          <w:szCs w:val="20"/>
        </w:rPr>
      </w:pPr>
    </w:p>
    <w:p w14:paraId="383F6F84" w14:textId="77777777" w:rsidR="007138CC" w:rsidRPr="00B456A2" w:rsidRDefault="003623A3" w:rsidP="00664EE7">
      <w:pPr>
        <w:pStyle w:val="ListParagraph"/>
        <w:numPr>
          <w:ilvl w:val="0"/>
          <w:numId w:val="23"/>
        </w:numPr>
        <w:ind w:left="0" w:firstLine="0"/>
        <w:rPr>
          <w:szCs w:val="20"/>
        </w:rPr>
      </w:pPr>
      <w:r w:rsidRPr="00B456A2">
        <w:rPr>
          <w:szCs w:val="20"/>
        </w:rPr>
        <w:t xml:space="preserve">Disponer que la Secretaría de la Corte notifique la presente Resolución a los representantes, a la República Federativa Bolivariana de Venezuela y a la Comisión Interamericana de Derechos Humanos. </w:t>
      </w:r>
    </w:p>
    <w:p w14:paraId="0F7460E3" w14:textId="77777777" w:rsidR="008673F2" w:rsidRDefault="008673F2" w:rsidP="007138CC">
      <w:pPr>
        <w:pStyle w:val="Ca1"/>
        <w:tabs>
          <w:tab w:val="left" w:pos="0"/>
        </w:tabs>
      </w:pPr>
    </w:p>
    <w:p w14:paraId="0768A591" w14:textId="77777777" w:rsidR="004963A4" w:rsidRDefault="004963A4" w:rsidP="004963A4">
      <w:pPr>
        <w:pStyle w:val="FootnoteText"/>
      </w:pPr>
    </w:p>
    <w:p w14:paraId="54A45D6D" w14:textId="77777777" w:rsidR="004963A4" w:rsidRDefault="004963A4" w:rsidP="004963A4">
      <w:pPr>
        <w:pStyle w:val="FootnoteText"/>
      </w:pPr>
    </w:p>
    <w:p w14:paraId="40A10FD1" w14:textId="77777777" w:rsidR="004963A4" w:rsidRDefault="004963A4" w:rsidP="004963A4">
      <w:pPr>
        <w:pStyle w:val="FootnoteText"/>
      </w:pPr>
    </w:p>
    <w:p w14:paraId="7DE88A02" w14:textId="77777777" w:rsidR="004963A4" w:rsidRDefault="004963A4" w:rsidP="004963A4">
      <w:pPr>
        <w:pStyle w:val="FootnoteText"/>
      </w:pPr>
    </w:p>
    <w:p w14:paraId="5D035AB2" w14:textId="77777777" w:rsidR="004963A4" w:rsidRDefault="004963A4" w:rsidP="004963A4">
      <w:pPr>
        <w:pStyle w:val="FootnoteText"/>
      </w:pPr>
    </w:p>
    <w:p w14:paraId="27B0558B" w14:textId="77777777" w:rsidR="004963A4" w:rsidRDefault="004963A4" w:rsidP="004963A4">
      <w:pPr>
        <w:pStyle w:val="FootnoteText"/>
      </w:pPr>
    </w:p>
    <w:p w14:paraId="32CE867F" w14:textId="77777777" w:rsidR="004963A4" w:rsidRDefault="004963A4" w:rsidP="004963A4">
      <w:pPr>
        <w:pStyle w:val="FootnoteText"/>
      </w:pPr>
    </w:p>
    <w:p w14:paraId="380A772D" w14:textId="77777777" w:rsidR="004963A4" w:rsidRDefault="004963A4" w:rsidP="004963A4">
      <w:pPr>
        <w:pStyle w:val="FootnoteText"/>
      </w:pPr>
    </w:p>
    <w:p w14:paraId="048AC64E" w14:textId="77777777" w:rsidR="004963A4" w:rsidRDefault="004963A4" w:rsidP="004963A4">
      <w:pPr>
        <w:pStyle w:val="FootnoteText"/>
      </w:pPr>
    </w:p>
    <w:p w14:paraId="5AE6405A" w14:textId="77777777" w:rsidR="004963A4" w:rsidRDefault="004963A4" w:rsidP="004963A4">
      <w:pPr>
        <w:pStyle w:val="FootnoteText"/>
      </w:pPr>
    </w:p>
    <w:p w14:paraId="4E3FA85E" w14:textId="77777777" w:rsidR="004963A4" w:rsidRDefault="004963A4" w:rsidP="004963A4">
      <w:pPr>
        <w:pStyle w:val="FootnoteText"/>
      </w:pPr>
    </w:p>
    <w:p w14:paraId="3A92556B" w14:textId="75E6E99A" w:rsidR="004963A4" w:rsidRDefault="004963A4" w:rsidP="004963A4">
      <w:pPr>
        <w:pStyle w:val="FootnoteText"/>
      </w:pPr>
    </w:p>
    <w:p w14:paraId="559C06DF" w14:textId="77777777" w:rsidR="004963A4" w:rsidRDefault="004963A4" w:rsidP="004963A4">
      <w:pPr>
        <w:pStyle w:val="FootnoteText"/>
      </w:pPr>
    </w:p>
    <w:p w14:paraId="5DC08069" w14:textId="0AF9AD2D" w:rsidR="004963A4" w:rsidRDefault="004963A4" w:rsidP="004963A4">
      <w:pPr>
        <w:pStyle w:val="FootnoteText"/>
      </w:pPr>
    </w:p>
    <w:p w14:paraId="3D0B2F76" w14:textId="77777777" w:rsidR="004963A4" w:rsidRDefault="004963A4" w:rsidP="004963A4">
      <w:pPr>
        <w:pStyle w:val="FootnoteText"/>
      </w:pPr>
    </w:p>
    <w:p w14:paraId="71288A3F" w14:textId="369CA7FD" w:rsidR="004963A4" w:rsidRDefault="004963A4" w:rsidP="004963A4">
      <w:pPr>
        <w:pStyle w:val="FootnoteText"/>
      </w:pPr>
    </w:p>
    <w:p w14:paraId="1AE3C49D" w14:textId="77777777" w:rsidR="004963A4" w:rsidRDefault="004963A4" w:rsidP="004963A4">
      <w:pPr>
        <w:pStyle w:val="FootnoteText"/>
      </w:pPr>
    </w:p>
    <w:p w14:paraId="2EFA6D3D" w14:textId="77777777" w:rsidR="004963A4" w:rsidRDefault="004963A4" w:rsidP="004963A4">
      <w:pPr>
        <w:pStyle w:val="FootnoteText"/>
      </w:pPr>
    </w:p>
    <w:p w14:paraId="64BB5520" w14:textId="5FDC2964" w:rsidR="004963A4" w:rsidRDefault="004963A4" w:rsidP="004963A4">
      <w:pPr>
        <w:pStyle w:val="FootnoteText"/>
        <w:jc w:val="right"/>
      </w:pPr>
      <w:r>
        <w:t>Eduardo Ferrer Mac-Gregor Poisot</w:t>
      </w:r>
    </w:p>
    <w:p w14:paraId="01BD8D23" w14:textId="7D8ACCF8" w:rsidR="004963A4" w:rsidRDefault="004963A4" w:rsidP="004963A4">
      <w:pPr>
        <w:pStyle w:val="FootnoteText"/>
        <w:ind w:left="4956" w:firstLine="708"/>
        <w:jc w:val="center"/>
      </w:pPr>
      <w:r>
        <w:t xml:space="preserve">Presidente </w:t>
      </w:r>
    </w:p>
    <w:p w14:paraId="1C2CCB95" w14:textId="77777777" w:rsidR="004963A4" w:rsidRDefault="004963A4" w:rsidP="004963A4">
      <w:pPr>
        <w:pStyle w:val="FootnoteText"/>
      </w:pPr>
    </w:p>
    <w:p w14:paraId="50E64EFD" w14:textId="50EEC223" w:rsidR="004963A4" w:rsidRDefault="004963A4" w:rsidP="004963A4">
      <w:pPr>
        <w:pStyle w:val="FootnoteText"/>
      </w:pPr>
    </w:p>
    <w:p w14:paraId="583D8B76" w14:textId="77777777" w:rsidR="004963A4" w:rsidRDefault="004963A4" w:rsidP="004963A4">
      <w:pPr>
        <w:pStyle w:val="FootnoteText"/>
      </w:pPr>
    </w:p>
    <w:p w14:paraId="4C1C0096" w14:textId="77777777" w:rsidR="004963A4" w:rsidRDefault="004963A4" w:rsidP="004963A4">
      <w:pPr>
        <w:pStyle w:val="FootnoteText"/>
      </w:pPr>
    </w:p>
    <w:p w14:paraId="694F68B6" w14:textId="77777777" w:rsidR="004963A4" w:rsidRDefault="004963A4" w:rsidP="004963A4">
      <w:pPr>
        <w:pStyle w:val="FootnoteText"/>
      </w:pPr>
    </w:p>
    <w:p w14:paraId="2670EF60" w14:textId="77777777" w:rsidR="004963A4" w:rsidRDefault="004963A4" w:rsidP="004963A4">
      <w:pPr>
        <w:pStyle w:val="FootnoteText"/>
      </w:pPr>
    </w:p>
    <w:p w14:paraId="4326B5BC" w14:textId="664A2DC0" w:rsidR="004963A4" w:rsidRDefault="004963A4" w:rsidP="004963A4">
      <w:pPr>
        <w:pStyle w:val="FootnoteText"/>
      </w:pPr>
      <w:r>
        <w:t>Pablo Saavedra Alessandri</w:t>
      </w:r>
    </w:p>
    <w:p w14:paraId="3F16BC7F" w14:textId="13C0E7B2" w:rsidR="004963A4" w:rsidRDefault="004963A4" w:rsidP="004963A4">
      <w:pPr>
        <w:pStyle w:val="FootnoteText"/>
      </w:pPr>
      <w:r>
        <w:t xml:space="preserve">       Secretario </w:t>
      </w:r>
    </w:p>
    <w:p w14:paraId="00A00E8B" w14:textId="77777777" w:rsidR="004963A4" w:rsidRDefault="004963A4" w:rsidP="004963A4">
      <w:pPr>
        <w:pStyle w:val="FootnoteText"/>
      </w:pPr>
    </w:p>
    <w:p w14:paraId="0CD92D77" w14:textId="77777777" w:rsidR="004963A4" w:rsidRDefault="004963A4" w:rsidP="004963A4">
      <w:pPr>
        <w:pStyle w:val="FootnoteText"/>
      </w:pPr>
    </w:p>
    <w:p w14:paraId="02B1D44C" w14:textId="77777777" w:rsidR="004963A4" w:rsidRDefault="004963A4" w:rsidP="004963A4">
      <w:pPr>
        <w:pStyle w:val="FootnoteText"/>
      </w:pPr>
    </w:p>
    <w:p w14:paraId="175A8EC4" w14:textId="77777777" w:rsidR="004963A4" w:rsidRDefault="004963A4" w:rsidP="004963A4">
      <w:pPr>
        <w:pStyle w:val="FootnoteText"/>
      </w:pPr>
    </w:p>
    <w:p w14:paraId="0823A563" w14:textId="77777777" w:rsidR="004963A4" w:rsidRDefault="004963A4" w:rsidP="004963A4">
      <w:pPr>
        <w:pStyle w:val="FootnoteText"/>
      </w:pPr>
    </w:p>
    <w:p w14:paraId="5A8C7E13" w14:textId="77777777" w:rsidR="004963A4" w:rsidRDefault="004963A4" w:rsidP="004963A4">
      <w:pPr>
        <w:pStyle w:val="FootnoteText"/>
      </w:pPr>
    </w:p>
    <w:p w14:paraId="5ACD7C73" w14:textId="32E57618" w:rsidR="004963A4" w:rsidRDefault="004963A4" w:rsidP="004963A4">
      <w:pPr>
        <w:pStyle w:val="FootnoteText"/>
      </w:pPr>
      <w:r>
        <w:t>Comuníquese y ejecútese,</w:t>
      </w:r>
    </w:p>
    <w:p w14:paraId="2983BE4C" w14:textId="77777777" w:rsidR="004963A4" w:rsidRDefault="004963A4" w:rsidP="004963A4">
      <w:pPr>
        <w:pStyle w:val="FootnoteText"/>
      </w:pPr>
    </w:p>
    <w:p w14:paraId="247AA075" w14:textId="4AE50D28" w:rsidR="004963A4" w:rsidRDefault="004963A4" w:rsidP="004963A4">
      <w:pPr>
        <w:pStyle w:val="FootnoteText"/>
      </w:pPr>
    </w:p>
    <w:p w14:paraId="0F6A7BE7" w14:textId="77777777" w:rsidR="004963A4" w:rsidRDefault="004963A4" w:rsidP="004963A4">
      <w:pPr>
        <w:pStyle w:val="FootnoteText"/>
      </w:pPr>
    </w:p>
    <w:p w14:paraId="032006C4" w14:textId="77777777" w:rsidR="004963A4" w:rsidRDefault="004963A4" w:rsidP="004963A4">
      <w:pPr>
        <w:pStyle w:val="FootnoteText"/>
      </w:pPr>
    </w:p>
    <w:p w14:paraId="7EB0495E" w14:textId="77777777" w:rsidR="004963A4" w:rsidRDefault="004963A4" w:rsidP="004963A4">
      <w:pPr>
        <w:pStyle w:val="FootnoteText"/>
      </w:pPr>
    </w:p>
    <w:p w14:paraId="4BFB95E2" w14:textId="27F040C0" w:rsidR="004963A4" w:rsidRDefault="004963A4" w:rsidP="004963A4">
      <w:pPr>
        <w:pStyle w:val="FootnoteText"/>
      </w:pPr>
    </w:p>
    <w:p w14:paraId="42A6EDA9" w14:textId="77777777" w:rsidR="004963A4" w:rsidRDefault="004963A4" w:rsidP="004963A4">
      <w:pPr>
        <w:pStyle w:val="FootnoteText"/>
      </w:pPr>
    </w:p>
    <w:p w14:paraId="0712E454" w14:textId="77777777" w:rsidR="004963A4" w:rsidRDefault="004963A4" w:rsidP="004963A4">
      <w:pPr>
        <w:pStyle w:val="FootnoteText"/>
      </w:pPr>
    </w:p>
    <w:p w14:paraId="7ACE11C6" w14:textId="77777777" w:rsidR="004963A4" w:rsidRDefault="004963A4" w:rsidP="004963A4">
      <w:pPr>
        <w:pStyle w:val="FootnoteText"/>
        <w:jc w:val="right"/>
      </w:pPr>
      <w:r>
        <w:t>Eduardo Ferrer Mac-Gregor Poisot</w:t>
      </w:r>
    </w:p>
    <w:p w14:paraId="4E8CE006" w14:textId="77777777" w:rsidR="004963A4" w:rsidRDefault="004963A4" w:rsidP="004963A4">
      <w:pPr>
        <w:pStyle w:val="FootnoteText"/>
        <w:ind w:left="4956" w:firstLine="708"/>
        <w:jc w:val="center"/>
      </w:pPr>
      <w:r>
        <w:t xml:space="preserve">Presidente </w:t>
      </w:r>
    </w:p>
    <w:p w14:paraId="0D7B3334" w14:textId="77777777" w:rsidR="004963A4" w:rsidRDefault="004963A4" w:rsidP="004963A4">
      <w:pPr>
        <w:pStyle w:val="FootnoteText"/>
      </w:pPr>
    </w:p>
    <w:p w14:paraId="4A681061" w14:textId="7B31D079" w:rsidR="004963A4" w:rsidRDefault="004963A4" w:rsidP="004963A4">
      <w:pPr>
        <w:pStyle w:val="FootnoteText"/>
      </w:pPr>
    </w:p>
    <w:p w14:paraId="154945D0" w14:textId="77777777" w:rsidR="004963A4" w:rsidRDefault="004963A4" w:rsidP="004963A4">
      <w:pPr>
        <w:pStyle w:val="FootnoteText"/>
      </w:pPr>
    </w:p>
    <w:p w14:paraId="47B2D43E" w14:textId="77777777" w:rsidR="004963A4" w:rsidRDefault="004963A4" w:rsidP="004963A4">
      <w:pPr>
        <w:pStyle w:val="FootnoteText"/>
      </w:pPr>
    </w:p>
    <w:p w14:paraId="32852DAF" w14:textId="77777777" w:rsidR="004963A4" w:rsidRDefault="004963A4" w:rsidP="004963A4">
      <w:pPr>
        <w:pStyle w:val="FootnoteText"/>
      </w:pPr>
    </w:p>
    <w:p w14:paraId="3A366047" w14:textId="77777777" w:rsidR="004963A4" w:rsidRDefault="004963A4" w:rsidP="004963A4">
      <w:pPr>
        <w:pStyle w:val="FootnoteText"/>
      </w:pPr>
    </w:p>
    <w:p w14:paraId="53184521" w14:textId="77777777" w:rsidR="004963A4" w:rsidRDefault="004963A4" w:rsidP="004963A4">
      <w:pPr>
        <w:pStyle w:val="FootnoteText"/>
      </w:pPr>
      <w:r>
        <w:t>Pablo Saavedra Alessandri</w:t>
      </w:r>
    </w:p>
    <w:p w14:paraId="6520EBD0" w14:textId="77777777" w:rsidR="004963A4" w:rsidRDefault="004963A4" w:rsidP="004963A4">
      <w:pPr>
        <w:pStyle w:val="FootnoteText"/>
      </w:pPr>
      <w:r>
        <w:t xml:space="preserve">       Secretario </w:t>
      </w:r>
    </w:p>
    <w:p w14:paraId="3B0368D3" w14:textId="77777777" w:rsidR="004963A4" w:rsidRDefault="004963A4" w:rsidP="004963A4">
      <w:pPr>
        <w:pStyle w:val="FootnoteText"/>
      </w:pPr>
    </w:p>
    <w:p w14:paraId="0DB1DDBD" w14:textId="77777777" w:rsidR="004963A4" w:rsidRPr="004963A4" w:rsidRDefault="004963A4" w:rsidP="004963A4">
      <w:pPr>
        <w:pStyle w:val="FootnoteText"/>
      </w:pPr>
    </w:p>
    <w:sectPr w:rsidR="004963A4" w:rsidRPr="004963A4" w:rsidSect="003A7CBC">
      <w:footerReference w:type="default" r:id="rId9"/>
      <w:pgSz w:w="12240" w:h="15840" w:code="1"/>
      <w:pgMar w:top="1474" w:right="1474" w:bottom="1474"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64E8E" w14:textId="77777777" w:rsidR="005E66B4" w:rsidRDefault="005E66B4" w:rsidP="00B92A27">
      <w:r>
        <w:separator/>
      </w:r>
    </w:p>
  </w:endnote>
  <w:endnote w:type="continuationSeparator" w:id="0">
    <w:p w14:paraId="508E940B" w14:textId="77777777" w:rsidR="005E66B4" w:rsidRDefault="005E66B4" w:rsidP="00B9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994046"/>
      <w:docPartObj>
        <w:docPartGallery w:val="Page Numbers (Bottom of Page)"/>
        <w:docPartUnique/>
      </w:docPartObj>
    </w:sdtPr>
    <w:sdtEndPr>
      <w:rPr>
        <w:noProof/>
        <w:szCs w:val="20"/>
      </w:rPr>
    </w:sdtEndPr>
    <w:sdtContent>
      <w:p w14:paraId="18F2E19A" w14:textId="77777777" w:rsidR="001A080A" w:rsidRPr="00DF1E41" w:rsidRDefault="001A080A">
        <w:pPr>
          <w:pStyle w:val="Footer"/>
          <w:jc w:val="center"/>
          <w:rPr>
            <w:szCs w:val="20"/>
          </w:rPr>
        </w:pPr>
        <w:r w:rsidRPr="00DF1E41">
          <w:rPr>
            <w:szCs w:val="20"/>
          </w:rPr>
          <w:fldChar w:fldCharType="begin"/>
        </w:r>
        <w:r w:rsidRPr="00DF1E41">
          <w:rPr>
            <w:szCs w:val="20"/>
          </w:rPr>
          <w:instrText xml:space="preserve"> PAGE   \* MERGEFORMAT </w:instrText>
        </w:r>
        <w:r w:rsidRPr="00DF1E41">
          <w:rPr>
            <w:szCs w:val="20"/>
          </w:rPr>
          <w:fldChar w:fldCharType="separate"/>
        </w:r>
        <w:r w:rsidR="00902D38">
          <w:rPr>
            <w:noProof/>
            <w:szCs w:val="20"/>
          </w:rPr>
          <w:t>15</w:t>
        </w:r>
        <w:r w:rsidRPr="00DF1E41">
          <w:rPr>
            <w:noProof/>
            <w:szCs w:val="20"/>
          </w:rPr>
          <w:fldChar w:fldCharType="end"/>
        </w:r>
      </w:p>
    </w:sdtContent>
  </w:sdt>
  <w:p w14:paraId="38C59DF9" w14:textId="77777777" w:rsidR="001A080A" w:rsidRDefault="001A08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0CAD32" w14:textId="77777777" w:rsidR="005E66B4" w:rsidRDefault="005E66B4" w:rsidP="00B92A27">
      <w:r>
        <w:separator/>
      </w:r>
    </w:p>
  </w:footnote>
  <w:footnote w:type="continuationSeparator" w:id="0">
    <w:p w14:paraId="082A62A3" w14:textId="77777777" w:rsidR="005E66B4" w:rsidRDefault="005E66B4" w:rsidP="00B92A27">
      <w:r>
        <w:continuationSeparator/>
      </w:r>
    </w:p>
  </w:footnote>
  <w:footnote w:id="1">
    <w:p w14:paraId="299BBFB3" w14:textId="25A2ED46" w:rsidR="001A080A" w:rsidRPr="00067B40" w:rsidRDefault="001A080A" w:rsidP="00DA3519">
      <w:pPr>
        <w:pStyle w:val="FootnoteText"/>
        <w:rPr>
          <w:sz w:val="16"/>
          <w:szCs w:val="16"/>
        </w:rPr>
      </w:pPr>
      <w:r w:rsidRPr="00067B40">
        <w:rPr>
          <w:rStyle w:val="FootnoteReference"/>
          <w:sz w:val="16"/>
          <w:szCs w:val="16"/>
        </w:rPr>
        <w:footnoteRef/>
      </w:r>
      <w:r w:rsidRPr="00067B40">
        <w:rPr>
          <w:sz w:val="16"/>
          <w:szCs w:val="16"/>
        </w:rPr>
        <w:t xml:space="preserve"> </w:t>
      </w:r>
      <w:r w:rsidRPr="00067B40">
        <w:rPr>
          <w:i/>
          <w:sz w:val="16"/>
          <w:szCs w:val="16"/>
        </w:rPr>
        <w:t>Cfr</w:t>
      </w:r>
      <w:r w:rsidRPr="00067B40">
        <w:rPr>
          <w:sz w:val="16"/>
          <w:szCs w:val="16"/>
        </w:rPr>
        <w:t xml:space="preserve">. </w:t>
      </w:r>
      <w:r w:rsidRPr="00B456A2">
        <w:rPr>
          <w:i/>
          <w:sz w:val="16"/>
          <w:szCs w:val="16"/>
        </w:rPr>
        <w:t>Caso Contreras y otros Vs. El Salvador</w:t>
      </w:r>
      <w:r w:rsidRPr="00067B40">
        <w:rPr>
          <w:sz w:val="16"/>
          <w:szCs w:val="16"/>
        </w:rPr>
        <w:t xml:space="preserve">. Resolución del Presidente de la Corte Interamericana de Derechos Humanos de 14 de abril de 2011, Considerando 25, y </w:t>
      </w:r>
      <w:r w:rsidRPr="005309E9">
        <w:rPr>
          <w:i/>
          <w:sz w:val="16"/>
          <w:szCs w:val="16"/>
        </w:rPr>
        <w:t>Caso Herzog Vs. Brasil</w:t>
      </w:r>
      <w:r w:rsidR="00BC243D" w:rsidRPr="005309E9">
        <w:rPr>
          <w:i/>
          <w:sz w:val="16"/>
          <w:szCs w:val="16"/>
        </w:rPr>
        <w:t>.</w:t>
      </w:r>
      <w:r w:rsidR="00BC243D" w:rsidRPr="00067B40">
        <w:rPr>
          <w:sz w:val="16"/>
          <w:szCs w:val="16"/>
        </w:rPr>
        <w:t xml:space="preserve"> Resolución del Presidente en Ejercicio de la Corte Interamericana de Derechos Humanos de 7 de abril de 2017</w:t>
      </w:r>
      <w:r w:rsidRPr="00067B40">
        <w:rPr>
          <w:sz w:val="16"/>
          <w:szCs w:val="16"/>
        </w:rPr>
        <w:t xml:space="preserve">, Considerando 13. </w:t>
      </w:r>
    </w:p>
  </w:footnote>
  <w:footnote w:id="2">
    <w:p w14:paraId="5715FC16" w14:textId="7A32F29A" w:rsidR="001A080A" w:rsidRPr="00067B40" w:rsidRDefault="001A080A">
      <w:pPr>
        <w:pStyle w:val="FootnoteText"/>
        <w:rPr>
          <w:sz w:val="16"/>
          <w:szCs w:val="16"/>
        </w:rPr>
      </w:pPr>
      <w:r w:rsidRPr="00067B40">
        <w:rPr>
          <w:rStyle w:val="FootnoteReference"/>
          <w:sz w:val="16"/>
          <w:szCs w:val="16"/>
        </w:rPr>
        <w:footnoteRef/>
      </w:r>
      <w:r w:rsidRPr="00067B40">
        <w:rPr>
          <w:sz w:val="16"/>
          <w:szCs w:val="16"/>
        </w:rPr>
        <w:t xml:space="preserve"> </w:t>
      </w:r>
      <w:r w:rsidR="009871BC" w:rsidRPr="00067B40">
        <w:rPr>
          <w:bCs/>
          <w:iCs/>
          <w:sz w:val="16"/>
          <w:szCs w:val="16"/>
        </w:rPr>
        <w:t>Los representantes ofrecieron es</w:t>
      </w:r>
      <w:r w:rsidRPr="00067B40">
        <w:rPr>
          <w:bCs/>
          <w:iCs/>
          <w:sz w:val="16"/>
          <w:szCs w:val="16"/>
        </w:rPr>
        <w:t>a declaración testimonial a fin de que se refiera a los siguientes hechos: el formal reclamo formulado por Freddy Balzán, Embajador venezolano en Argentina ante un editorial de</w:t>
      </w:r>
      <w:r w:rsidR="005309E9">
        <w:rPr>
          <w:bCs/>
          <w:iCs/>
          <w:sz w:val="16"/>
          <w:szCs w:val="16"/>
        </w:rPr>
        <w:t xml:space="preserve">l </w:t>
      </w:r>
      <w:r w:rsidRPr="00067B40">
        <w:rPr>
          <w:bCs/>
          <w:iCs/>
          <w:sz w:val="16"/>
          <w:szCs w:val="16"/>
        </w:rPr>
        <w:t>Diario</w:t>
      </w:r>
      <w:r w:rsidR="005309E9">
        <w:rPr>
          <w:bCs/>
          <w:iCs/>
          <w:sz w:val="16"/>
          <w:szCs w:val="16"/>
        </w:rPr>
        <w:t xml:space="preserve"> La Nación</w:t>
      </w:r>
      <w:r w:rsidRPr="00067B40">
        <w:rPr>
          <w:bCs/>
          <w:iCs/>
          <w:sz w:val="16"/>
          <w:szCs w:val="16"/>
        </w:rPr>
        <w:t>. También señalará los términos en que dicho Embajador se refirió a Tulio Alberto Álvarez y el contenido de la carta suscrita por el Embajador, dirigida a Tulio Álvarez y el contenido de la carta suscrita por el Embajador, dirigida al Diario la Nación y publicada el 3 de febrero de 2005.</w:t>
      </w:r>
    </w:p>
  </w:footnote>
  <w:footnote w:id="3">
    <w:p w14:paraId="1C502E71" w14:textId="27DE9F22" w:rsidR="00067B40" w:rsidRPr="00067B40" w:rsidRDefault="00067B40">
      <w:pPr>
        <w:pStyle w:val="FootnoteText"/>
        <w:rPr>
          <w:sz w:val="16"/>
          <w:szCs w:val="16"/>
        </w:rPr>
      </w:pPr>
      <w:r w:rsidRPr="00067B40">
        <w:rPr>
          <w:rStyle w:val="FootnoteReference"/>
          <w:sz w:val="16"/>
          <w:szCs w:val="16"/>
        </w:rPr>
        <w:footnoteRef/>
      </w:r>
      <w:r w:rsidRPr="00067B40">
        <w:rPr>
          <w:sz w:val="16"/>
          <w:szCs w:val="16"/>
        </w:rPr>
        <w:t xml:space="preserve"> </w:t>
      </w:r>
      <w:r w:rsidRPr="00067B40">
        <w:rPr>
          <w:i/>
          <w:sz w:val="16"/>
          <w:szCs w:val="16"/>
        </w:rPr>
        <w:t>Cfr. Caso Gabriela Perozo y otros Vs. Venezuela</w:t>
      </w:r>
      <w:r w:rsidRPr="00067B40">
        <w:rPr>
          <w:sz w:val="16"/>
          <w:szCs w:val="16"/>
        </w:rPr>
        <w:t xml:space="preserve">. Convocatoria a audiencia. Resolución de la Corte Interamericana de Derechos Humanos de 2 de mayo de 2008, considerando 5, y </w:t>
      </w:r>
      <w:r w:rsidRPr="00067B40">
        <w:rPr>
          <w:i/>
          <w:sz w:val="16"/>
          <w:szCs w:val="16"/>
        </w:rPr>
        <w:t>Caso López Soto y otros Vs. Venezuela</w:t>
      </w:r>
      <w:r>
        <w:rPr>
          <w:sz w:val="16"/>
          <w:szCs w:val="16"/>
        </w:rPr>
        <w:t xml:space="preserve">. Convocatoria a audiencia. </w:t>
      </w:r>
      <w:r w:rsidRPr="00067B40">
        <w:rPr>
          <w:sz w:val="16"/>
          <w:szCs w:val="16"/>
        </w:rPr>
        <w:t xml:space="preserve">Resolución de la Corte Interamericana de Derechos Humanos de </w:t>
      </w:r>
      <w:r>
        <w:rPr>
          <w:sz w:val="16"/>
          <w:szCs w:val="16"/>
        </w:rPr>
        <w:t>13 de diciembre de 2017, considerando 8.</w:t>
      </w:r>
    </w:p>
  </w:footnote>
  <w:footnote w:id="4">
    <w:p w14:paraId="4A89666B" w14:textId="44CB6DE8" w:rsidR="00067B40" w:rsidRPr="00067B40" w:rsidRDefault="00067B40">
      <w:pPr>
        <w:pStyle w:val="FootnoteText"/>
        <w:rPr>
          <w:sz w:val="16"/>
          <w:szCs w:val="16"/>
        </w:rPr>
      </w:pPr>
      <w:r w:rsidRPr="00067B40">
        <w:rPr>
          <w:rStyle w:val="FootnoteReference"/>
          <w:sz w:val="16"/>
          <w:szCs w:val="16"/>
        </w:rPr>
        <w:footnoteRef/>
      </w:r>
      <w:r w:rsidRPr="00067B40">
        <w:rPr>
          <w:sz w:val="16"/>
          <w:szCs w:val="16"/>
        </w:rPr>
        <w:t xml:space="preserve"> </w:t>
      </w:r>
      <w:r w:rsidRPr="00067B40">
        <w:rPr>
          <w:i/>
          <w:sz w:val="16"/>
          <w:szCs w:val="16"/>
        </w:rPr>
        <w:t>Cfr. Caso Cabrera García y Montiel Flores Vs. México</w:t>
      </w:r>
      <w:r w:rsidRPr="00067B40">
        <w:rPr>
          <w:sz w:val="16"/>
          <w:szCs w:val="16"/>
        </w:rPr>
        <w:t>. Convocatoria a audiencia. Resolución del Presidente de la Corte Interamericana de Derechos Humanos de 2 de julio de 2010, considerando 21, y</w:t>
      </w:r>
      <w:r>
        <w:rPr>
          <w:sz w:val="16"/>
          <w:szCs w:val="16"/>
        </w:rPr>
        <w:t xml:space="preserve"> </w:t>
      </w:r>
      <w:r w:rsidRPr="00067B40">
        <w:rPr>
          <w:i/>
          <w:sz w:val="16"/>
          <w:szCs w:val="16"/>
        </w:rPr>
        <w:t>Caso López Soto y otros Vs. Venezuela</w:t>
      </w:r>
      <w:r>
        <w:rPr>
          <w:sz w:val="16"/>
          <w:szCs w:val="16"/>
        </w:rPr>
        <w:t xml:space="preserve">. Convocatoria a audiencia. </w:t>
      </w:r>
      <w:r w:rsidRPr="00067B40">
        <w:rPr>
          <w:sz w:val="16"/>
          <w:szCs w:val="16"/>
        </w:rPr>
        <w:t xml:space="preserve">Resolución de la Corte Interamericana de Derechos Humanos de </w:t>
      </w:r>
      <w:r>
        <w:rPr>
          <w:sz w:val="16"/>
          <w:szCs w:val="16"/>
        </w:rPr>
        <w:t>13 de diciembre de 2017, considerando 8.</w:t>
      </w:r>
    </w:p>
  </w:footnote>
  <w:footnote w:id="5">
    <w:p w14:paraId="467641FE" w14:textId="1431445B" w:rsidR="00067B40" w:rsidRPr="00067B40" w:rsidRDefault="00067B40">
      <w:pPr>
        <w:pStyle w:val="FootnoteText"/>
        <w:rPr>
          <w:sz w:val="16"/>
          <w:szCs w:val="16"/>
        </w:rPr>
      </w:pPr>
      <w:r w:rsidRPr="00067B40">
        <w:rPr>
          <w:rStyle w:val="FootnoteReference"/>
          <w:sz w:val="16"/>
          <w:szCs w:val="16"/>
        </w:rPr>
        <w:footnoteRef/>
      </w:r>
      <w:r w:rsidRPr="00067B40">
        <w:rPr>
          <w:sz w:val="16"/>
          <w:szCs w:val="16"/>
        </w:rPr>
        <w:t xml:space="preserve"> </w:t>
      </w:r>
      <w:r w:rsidRPr="00067B40">
        <w:rPr>
          <w:i/>
          <w:sz w:val="16"/>
          <w:szCs w:val="16"/>
        </w:rPr>
        <w:t>Cfr</w:t>
      </w:r>
      <w:r w:rsidRPr="00067B40">
        <w:rPr>
          <w:sz w:val="16"/>
          <w:szCs w:val="16"/>
        </w:rPr>
        <w:t xml:space="preserve">. </w:t>
      </w:r>
      <w:r w:rsidRPr="00067B40">
        <w:rPr>
          <w:i/>
          <w:sz w:val="16"/>
          <w:szCs w:val="16"/>
        </w:rPr>
        <w:t>Caso de la “Masacre de Pueblo Bello” Vs. Colombia</w:t>
      </w:r>
      <w:r w:rsidRPr="00067B40">
        <w:rPr>
          <w:sz w:val="16"/>
          <w:szCs w:val="16"/>
        </w:rPr>
        <w:t>. Convocatoria a audiencia. Resolución del Presidente de la Corte Interamericana de Derechos Humanos de 29 de julio de 2005, considerando 7, y</w:t>
      </w:r>
      <w:r>
        <w:rPr>
          <w:sz w:val="16"/>
          <w:szCs w:val="16"/>
        </w:rPr>
        <w:t xml:space="preserve"> </w:t>
      </w:r>
      <w:r w:rsidRPr="00067B40">
        <w:rPr>
          <w:i/>
          <w:sz w:val="16"/>
          <w:szCs w:val="16"/>
        </w:rPr>
        <w:t>Caso López Soto y otros Vs. Venezuela</w:t>
      </w:r>
      <w:r>
        <w:rPr>
          <w:sz w:val="16"/>
          <w:szCs w:val="16"/>
        </w:rPr>
        <w:t xml:space="preserve">. Convocatoria a audiencia. </w:t>
      </w:r>
      <w:r w:rsidRPr="00067B40">
        <w:rPr>
          <w:sz w:val="16"/>
          <w:szCs w:val="16"/>
        </w:rPr>
        <w:t xml:space="preserve">Resolución de la Corte Interamericana de Derechos Humanos de </w:t>
      </w:r>
      <w:r>
        <w:rPr>
          <w:sz w:val="16"/>
          <w:szCs w:val="16"/>
        </w:rPr>
        <w:t>13 de diciembre de 2017, considerando 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45FB"/>
    <w:multiLevelType w:val="hybridMultilevel"/>
    <w:tmpl w:val="CBC28D04"/>
    <w:lvl w:ilvl="0" w:tplc="1220CB32">
      <w:start w:val="18"/>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297A91"/>
    <w:multiLevelType w:val="hybridMultilevel"/>
    <w:tmpl w:val="9C4C81C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121F50CB"/>
    <w:multiLevelType w:val="hybridMultilevel"/>
    <w:tmpl w:val="949CCB28"/>
    <w:lvl w:ilvl="0" w:tplc="A6E0677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B02536"/>
    <w:multiLevelType w:val="hybridMultilevel"/>
    <w:tmpl w:val="7DE2BB6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1F42592B"/>
    <w:multiLevelType w:val="hybridMultilevel"/>
    <w:tmpl w:val="31BEA8DA"/>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nsid w:val="210F06CE"/>
    <w:multiLevelType w:val="hybridMultilevel"/>
    <w:tmpl w:val="C5EEF3BC"/>
    <w:lvl w:ilvl="0" w:tplc="204685C2">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9F7835"/>
    <w:multiLevelType w:val="hybridMultilevel"/>
    <w:tmpl w:val="B12430F0"/>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nsid w:val="2FC56712"/>
    <w:multiLevelType w:val="hybridMultilevel"/>
    <w:tmpl w:val="72AA404A"/>
    <w:lvl w:ilvl="0" w:tplc="CE5C4F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38404A"/>
    <w:multiLevelType w:val="hybridMultilevel"/>
    <w:tmpl w:val="AE602AC0"/>
    <w:lvl w:ilvl="0" w:tplc="96607EE2">
      <w:start w:val="1"/>
      <w:numFmt w:val="decimal"/>
      <w:lvlText w:val="%1."/>
      <w:lvlJc w:val="left"/>
      <w:pPr>
        <w:tabs>
          <w:tab w:val="num" w:pos="3600"/>
        </w:tabs>
      </w:pPr>
      <w:rPr>
        <w:rFonts w:ascii="Verdana" w:hAnsi="Verdana" w:cs="Times New Roman" w:hint="default"/>
        <w:b w:val="0"/>
        <w:i w:val="0"/>
        <w:color w:val="auto"/>
        <w:sz w:val="20"/>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9">
    <w:nsid w:val="41B3395E"/>
    <w:multiLevelType w:val="hybridMultilevel"/>
    <w:tmpl w:val="95C40F8C"/>
    <w:lvl w:ilvl="0" w:tplc="0409000F">
      <w:start w:val="5"/>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nsid w:val="4583067F"/>
    <w:multiLevelType w:val="hybridMultilevel"/>
    <w:tmpl w:val="C2109580"/>
    <w:lvl w:ilvl="0" w:tplc="1220CB32">
      <w:start w:val="18"/>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8761C29"/>
    <w:multiLevelType w:val="hybridMultilevel"/>
    <w:tmpl w:val="270C5E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D4C145E"/>
    <w:multiLevelType w:val="hybridMultilevel"/>
    <w:tmpl w:val="A3A460FC"/>
    <w:lvl w:ilvl="0" w:tplc="79A06A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B20930"/>
    <w:multiLevelType w:val="hybridMultilevel"/>
    <w:tmpl w:val="5B345ED4"/>
    <w:lvl w:ilvl="0" w:tplc="1220CB32">
      <w:start w:val="18"/>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9655364"/>
    <w:multiLevelType w:val="hybridMultilevel"/>
    <w:tmpl w:val="CD6898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817EB4"/>
    <w:multiLevelType w:val="hybridMultilevel"/>
    <w:tmpl w:val="3F38C19A"/>
    <w:lvl w:ilvl="0" w:tplc="1220CB32">
      <w:start w:val="18"/>
      <w:numFmt w:val="decimal"/>
      <w:lvlText w:val="%1."/>
      <w:lvlJc w:val="left"/>
      <w:pPr>
        <w:ind w:left="720" w:hanging="360"/>
      </w:pPr>
      <w:rPr>
        <w:rFonts w:hint="default"/>
        <w:b w:val="0"/>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6">
    <w:nsid w:val="5B353A04"/>
    <w:multiLevelType w:val="hybridMultilevel"/>
    <w:tmpl w:val="1DDA9E12"/>
    <w:lvl w:ilvl="0" w:tplc="6FB6F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DB6DC6"/>
    <w:multiLevelType w:val="hybridMultilevel"/>
    <w:tmpl w:val="D62618CC"/>
    <w:lvl w:ilvl="0" w:tplc="CC0A21E4">
      <w:start w:val="1"/>
      <w:numFmt w:val="decimal"/>
      <w:lvlText w:val="%1."/>
      <w:lvlJc w:val="left"/>
      <w:pPr>
        <w:ind w:left="360" w:hanging="360"/>
      </w:pPr>
      <w:rPr>
        <w:rFonts w:ascii="Verdana" w:hAnsi="Verdana" w:hint="default"/>
        <w:b w:val="0"/>
        <w:i w:val="0"/>
        <w:color w:val="auto"/>
        <w:sz w:val="20"/>
        <w:szCs w:val="20"/>
        <w:lang w:val="es-CR"/>
      </w:rPr>
    </w:lvl>
    <w:lvl w:ilvl="1" w:tplc="04090019">
      <w:start w:val="1"/>
      <w:numFmt w:val="lowerLetter"/>
      <w:lvlText w:val="%2."/>
      <w:lvlJc w:val="left"/>
      <w:pPr>
        <w:ind w:left="450" w:hanging="360"/>
      </w:pPr>
    </w:lvl>
    <w:lvl w:ilvl="2" w:tplc="0409001B">
      <w:start w:val="1"/>
      <w:numFmt w:val="lowerRoman"/>
      <w:lvlText w:val="%3."/>
      <w:lvlJc w:val="right"/>
      <w:pPr>
        <w:ind w:left="1170" w:hanging="180"/>
      </w:pPr>
    </w:lvl>
    <w:lvl w:ilvl="3" w:tplc="0409000F">
      <w:start w:val="1"/>
      <w:numFmt w:val="decimal"/>
      <w:lvlText w:val="%4."/>
      <w:lvlJc w:val="left"/>
      <w:pPr>
        <w:ind w:left="1890" w:hanging="360"/>
      </w:pPr>
    </w:lvl>
    <w:lvl w:ilvl="4" w:tplc="04090019">
      <w:start w:val="1"/>
      <w:numFmt w:val="lowerLetter"/>
      <w:lvlText w:val="%5."/>
      <w:lvlJc w:val="left"/>
      <w:pPr>
        <w:ind w:left="2610" w:hanging="360"/>
      </w:pPr>
    </w:lvl>
    <w:lvl w:ilvl="5" w:tplc="0409001B">
      <w:start w:val="1"/>
      <w:numFmt w:val="lowerRoman"/>
      <w:lvlText w:val="%6."/>
      <w:lvlJc w:val="right"/>
      <w:pPr>
        <w:ind w:left="3330" w:hanging="180"/>
      </w:pPr>
    </w:lvl>
    <w:lvl w:ilvl="6" w:tplc="0409000F">
      <w:start w:val="1"/>
      <w:numFmt w:val="decimal"/>
      <w:lvlText w:val="%7."/>
      <w:lvlJc w:val="left"/>
      <w:pPr>
        <w:ind w:left="4050" w:hanging="360"/>
      </w:pPr>
    </w:lvl>
    <w:lvl w:ilvl="7" w:tplc="04090019">
      <w:start w:val="1"/>
      <w:numFmt w:val="lowerLetter"/>
      <w:lvlText w:val="%8."/>
      <w:lvlJc w:val="left"/>
      <w:pPr>
        <w:ind w:left="4770" w:hanging="360"/>
      </w:pPr>
    </w:lvl>
    <w:lvl w:ilvl="8" w:tplc="0409001B">
      <w:start w:val="1"/>
      <w:numFmt w:val="lowerRoman"/>
      <w:lvlText w:val="%9."/>
      <w:lvlJc w:val="right"/>
      <w:pPr>
        <w:ind w:left="5490" w:hanging="180"/>
      </w:pPr>
    </w:lvl>
  </w:abstractNum>
  <w:abstractNum w:abstractNumId="18">
    <w:nsid w:val="615D6ECD"/>
    <w:multiLevelType w:val="hybridMultilevel"/>
    <w:tmpl w:val="ED9C2C40"/>
    <w:lvl w:ilvl="0" w:tplc="ED0459E8">
      <w:start w:val="1"/>
      <w:numFmt w:val="lowerLetter"/>
      <w:lvlText w:val="%1)"/>
      <w:lvlJc w:val="left"/>
      <w:pPr>
        <w:ind w:left="1080" w:hanging="360"/>
      </w:pPr>
      <w:rPr>
        <w:rFonts w:ascii="Verdana" w:hAnsi="Verdana" w:cs="Tahoma" w:hint="default"/>
        <w:sz w:val="20"/>
        <w:szCs w:val="20"/>
      </w:rPr>
    </w:lvl>
    <w:lvl w:ilvl="1" w:tplc="323EEAAC">
      <w:start w:val="1"/>
      <w:numFmt w:val="decimal"/>
      <w:lvlText w:val="%2."/>
      <w:lvlJc w:val="left"/>
      <w:pPr>
        <w:tabs>
          <w:tab w:val="num" w:pos="0"/>
        </w:tabs>
      </w:pPr>
      <w:rPr>
        <w:rFonts w:hint="default"/>
        <w:b w:val="0"/>
        <w:bCs w:val="0"/>
        <w:sz w:val="20"/>
        <w:szCs w:val="20"/>
      </w:rPr>
    </w:lvl>
    <w:lvl w:ilvl="2" w:tplc="B96C1A40">
      <w:start w:val="1"/>
      <w:numFmt w:val="lowerLetter"/>
      <w:lvlText w:val="%3)"/>
      <w:lvlJc w:val="left"/>
      <w:pPr>
        <w:ind w:left="2700" w:hanging="360"/>
      </w:pPr>
      <w:rPr>
        <w:rFonts w:ascii="Verdana" w:hAnsi="Verdana" w:cs="Tahoma" w:hint="default"/>
        <w:b w:val="0"/>
        <w:bCs w:val="0"/>
        <w:sz w:val="20"/>
        <w:szCs w:val="20"/>
      </w:r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19">
    <w:nsid w:val="62C97D24"/>
    <w:multiLevelType w:val="hybridMultilevel"/>
    <w:tmpl w:val="C0FAAC86"/>
    <w:lvl w:ilvl="0" w:tplc="3F2CF080">
      <w:start w:val="1"/>
      <w:numFmt w:val="decimal"/>
      <w:lvlText w:val="%1."/>
      <w:lvlJc w:val="left"/>
      <w:pPr>
        <w:ind w:left="720" w:hanging="720"/>
      </w:pPr>
      <w:rPr>
        <w:b w:val="0"/>
      </w:rPr>
    </w:lvl>
    <w:lvl w:ilvl="1" w:tplc="B08C5A98">
      <w:start w:val="1"/>
      <w:numFmt w:val="lowerRoman"/>
      <w:lvlText w:val="%2."/>
      <w:lvlJc w:val="left"/>
      <w:pPr>
        <w:ind w:left="1440" w:hanging="72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0">
    <w:nsid w:val="6F640C24"/>
    <w:multiLevelType w:val="hybridMultilevel"/>
    <w:tmpl w:val="30A6BA0C"/>
    <w:lvl w:ilvl="0" w:tplc="D214FDC2">
      <w:start w:val="1"/>
      <w:numFmt w:val="upperLetter"/>
      <w:pStyle w:val="Heading2"/>
      <w:lvlText w:val="%1)"/>
      <w:lvlJc w:val="left"/>
      <w:pPr>
        <w:ind w:left="720" w:hanging="360"/>
      </w:pPr>
      <w:rPr>
        <w:rFonts w:hint="default"/>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8B769A5"/>
    <w:multiLevelType w:val="hybridMultilevel"/>
    <w:tmpl w:val="B204ED90"/>
    <w:lvl w:ilvl="0" w:tplc="9BE65E6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C217C4"/>
    <w:multiLevelType w:val="hybridMultilevel"/>
    <w:tmpl w:val="D8CA6A4E"/>
    <w:lvl w:ilvl="0" w:tplc="D23E4978">
      <w:start w:val="6"/>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FEA7A96"/>
    <w:multiLevelType w:val="hybridMultilevel"/>
    <w:tmpl w:val="6152EB9A"/>
    <w:lvl w:ilvl="0" w:tplc="2AB6FF08">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
  </w:num>
  <w:num w:numId="6">
    <w:abstractNumId w:val="14"/>
  </w:num>
  <w:num w:numId="7">
    <w:abstractNumId w:val="7"/>
  </w:num>
  <w:num w:numId="8">
    <w:abstractNumId w:val="16"/>
  </w:num>
  <w:num w:numId="9">
    <w:abstractNumId w:val="21"/>
  </w:num>
  <w:num w:numId="10">
    <w:abstractNumId w:val="5"/>
  </w:num>
  <w:num w:numId="11">
    <w:abstractNumId w:val="2"/>
  </w:num>
  <w:num w:numId="12">
    <w:abstractNumId w:val="12"/>
  </w:num>
  <w:num w:numId="13">
    <w:abstractNumId w:val="8"/>
  </w:num>
  <w:num w:numId="14">
    <w:abstractNumId w:val="18"/>
  </w:num>
  <w:num w:numId="15">
    <w:abstractNumId w:val="9"/>
  </w:num>
  <w:num w:numId="16">
    <w:abstractNumId w:val="15"/>
  </w:num>
  <w:num w:numId="17">
    <w:abstractNumId w:val="6"/>
  </w:num>
  <w:num w:numId="18">
    <w:abstractNumId w:val="4"/>
  </w:num>
  <w:num w:numId="19">
    <w:abstractNumId w:val="22"/>
  </w:num>
  <w:num w:numId="20">
    <w:abstractNumId w:val="10"/>
  </w:num>
  <w:num w:numId="21">
    <w:abstractNumId w:val="0"/>
  </w:num>
  <w:num w:numId="22">
    <w:abstractNumId w:val="13"/>
  </w:num>
  <w:num w:numId="23">
    <w:abstractNumId w:val="1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A27"/>
    <w:rsid w:val="000050B2"/>
    <w:rsid w:val="00016BBB"/>
    <w:rsid w:val="00021522"/>
    <w:rsid w:val="0002210F"/>
    <w:rsid w:val="00036400"/>
    <w:rsid w:val="000377AA"/>
    <w:rsid w:val="0004325F"/>
    <w:rsid w:val="000474AF"/>
    <w:rsid w:val="00052B68"/>
    <w:rsid w:val="00067B40"/>
    <w:rsid w:val="0007729E"/>
    <w:rsid w:val="00081BB2"/>
    <w:rsid w:val="00083F4C"/>
    <w:rsid w:val="00086A11"/>
    <w:rsid w:val="000A0A26"/>
    <w:rsid w:val="000A244D"/>
    <w:rsid w:val="000A4BAD"/>
    <w:rsid w:val="000C3BB8"/>
    <w:rsid w:val="000F1EAA"/>
    <w:rsid w:val="00100577"/>
    <w:rsid w:val="00110EC8"/>
    <w:rsid w:val="0013224F"/>
    <w:rsid w:val="00134C05"/>
    <w:rsid w:val="0013745B"/>
    <w:rsid w:val="00141FDD"/>
    <w:rsid w:val="001460E4"/>
    <w:rsid w:val="001519E7"/>
    <w:rsid w:val="001645BD"/>
    <w:rsid w:val="00164AEF"/>
    <w:rsid w:val="0019296C"/>
    <w:rsid w:val="001A080A"/>
    <w:rsid w:val="001A36BC"/>
    <w:rsid w:val="001D19D3"/>
    <w:rsid w:val="001E27E6"/>
    <w:rsid w:val="001F1962"/>
    <w:rsid w:val="001F4695"/>
    <w:rsid w:val="00244614"/>
    <w:rsid w:val="0027578F"/>
    <w:rsid w:val="0027721B"/>
    <w:rsid w:val="002836A8"/>
    <w:rsid w:val="002A602F"/>
    <w:rsid w:val="002A7317"/>
    <w:rsid w:val="002B43D3"/>
    <w:rsid w:val="002C4784"/>
    <w:rsid w:val="002D09CD"/>
    <w:rsid w:val="002E5301"/>
    <w:rsid w:val="002F70EB"/>
    <w:rsid w:val="003000FB"/>
    <w:rsid w:val="00300F8E"/>
    <w:rsid w:val="0034446E"/>
    <w:rsid w:val="0034795F"/>
    <w:rsid w:val="00352698"/>
    <w:rsid w:val="003623A3"/>
    <w:rsid w:val="003668FE"/>
    <w:rsid w:val="0038485A"/>
    <w:rsid w:val="00386C60"/>
    <w:rsid w:val="003912D2"/>
    <w:rsid w:val="00394C18"/>
    <w:rsid w:val="003A216D"/>
    <w:rsid w:val="003A2B79"/>
    <w:rsid w:val="003A564D"/>
    <w:rsid w:val="003A7CBC"/>
    <w:rsid w:val="00424AE0"/>
    <w:rsid w:val="004432BD"/>
    <w:rsid w:val="00453DE8"/>
    <w:rsid w:val="0047668A"/>
    <w:rsid w:val="00495940"/>
    <w:rsid w:val="004963A4"/>
    <w:rsid w:val="004A2B97"/>
    <w:rsid w:val="004B1C29"/>
    <w:rsid w:val="004B218B"/>
    <w:rsid w:val="004B52B7"/>
    <w:rsid w:val="004C7659"/>
    <w:rsid w:val="004E0E54"/>
    <w:rsid w:val="004E5BFE"/>
    <w:rsid w:val="005230AB"/>
    <w:rsid w:val="005309E9"/>
    <w:rsid w:val="00573523"/>
    <w:rsid w:val="005878DF"/>
    <w:rsid w:val="005878F5"/>
    <w:rsid w:val="005D5BE7"/>
    <w:rsid w:val="005E06D9"/>
    <w:rsid w:val="005E66B4"/>
    <w:rsid w:val="00614EB2"/>
    <w:rsid w:val="00624BB8"/>
    <w:rsid w:val="00627822"/>
    <w:rsid w:val="006338F4"/>
    <w:rsid w:val="00646314"/>
    <w:rsid w:val="0065306E"/>
    <w:rsid w:val="006A1295"/>
    <w:rsid w:val="006A1FEA"/>
    <w:rsid w:val="006A507A"/>
    <w:rsid w:val="006D0A25"/>
    <w:rsid w:val="006E73D8"/>
    <w:rsid w:val="006F06AB"/>
    <w:rsid w:val="0070305E"/>
    <w:rsid w:val="007138CC"/>
    <w:rsid w:val="007230B7"/>
    <w:rsid w:val="0072326F"/>
    <w:rsid w:val="007758F6"/>
    <w:rsid w:val="00777024"/>
    <w:rsid w:val="007B326B"/>
    <w:rsid w:val="007C1322"/>
    <w:rsid w:val="007D1429"/>
    <w:rsid w:val="00813DC5"/>
    <w:rsid w:val="00825E2F"/>
    <w:rsid w:val="00825E71"/>
    <w:rsid w:val="0083079E"/>
    <w:rsid w:val="00830A12"/>
    <w:rsid w:val="008673F2"/>
    <w:rsid w:val="00875C49"/>
    <w:rsid w:val="00886E81"/>
    <w:rsid w:val="008B2472"/>
    <w:rsid w:val="008C3F53"/>
    <w:rsid w:val="008D74B6"/>
    <w:rsid w:val="008E1574"/>
    <w:rsid w:val="008E2091"/>
    <w:rsid w:val="008E3A1F"/>
    <w:rsid w:val="008E4848"/>
    <w:rsid w:val="008E58B2"/>
    <w:rsid w:val="00902D38"/>
    <w:rsid w:val="00913E52"/>
    <w:rsid w:val="00921308"/>
    <w:rsid w:val="00926377"/>
    <w:rsid w:val="00942EA7"/>
    <w:rsid w:val="00944240"/>
    <w:rsid w:val="009461A0"/>
    <w:rsid w:val="00967803"/>
    <w:rsid w:val="009871BC"/>
    <w:rsid w:val="0099094E"/>
    <w:rsid w:val="009B2144"/>
    <w:rsid w:val="009B7EDE"/>
    <w:rsid w:val="009E4424"/>
    <w:rsid w:val="009F04B4"/>
    <w:rsid w:val="00A115CF"/>
    <w:rsid w:val="00A12940"/>
    <w:rsid w:val="00A306E4"/>
    <w:rsid w:val="00A33EFD"/>
    <w:rsid w:val="00A4377F"/>
    <w:rsid w:val="00A43DAD"/>
    <w:rsid w:val="00A44FB9"/>
    <w:rsid w:val="00A5406B"/>
    <w:rsid w:val="00A63F9F"/>
    <w:rsid w:val="00A65205"/>
    <w:rsid w:val="00A674FD"/>
    <w:rsid w:val="00A755F2"/>
    <w:rsid w:val="00A773ED"/>
    <w:rsid w:val="00AA695B"/>
    <w:rsid w:val="00AB2423"/>
    <w:rsid w:val="00AB2F17"/>
    <w:rsid w:val="00AC2C61"/>
    <w:rsid w:val="00AD4875"/>
    <w:rsid w:val="00AD5A36"/>
    <w:rsid w:val="00AD7C38"/>
    <w:rsid w:val="00AF245F"/>
    <w:rsid w:val="00B0204B"/>
    <w:rsid w:val="00B03905"/>
    <w:rsid w:val="00B04354"/>
    <w:rsid w:val="00B14B4C"/>
    <w:rsid w:val="00B2264D"/>
    <w:rsid w:val="00B44A56"/>
    <w:rsid w:val="00B4568A"/>
    <w:rsid w:val="00B456A2"/>
    <w:rsid w:val="00B45940"/>
    <w:rsid w:val="00B52670"/>
    <w:rsid w:val="00B73969"/>
    <w:rsid w:val="00B755D4"/>
    <w:rsid w:val="00B756F4"/>
    <w:rsid w:val="00B77FDF"/>
    <w:rsid w:val="00B92A27"/>
    <w:rsid w:val="00B95B16"/>
    <w:rsid w:val="00BA11EF"/>
    <w:rsid w:val="00BA4F46"/>
    <w:rsid w:val="00BB441B"/>
    <w:rsid w:val="00BB71E2"/>
    <w:rsid w:val="00BC1680"/>
    <w:rsid w:val="00BC243D"/>
    <w:rsid w:val="00BD119E"/>
    <w:rsid w:val="00BD7024"/>
    <w:rsid w:val="00BE6403"/>
    <w:rsid w:val="00BF1894"/>
    <w:rsid w:val="00C1282A"/>
    <w:rsid w:val="00C37D27"/>
    <w:rsid w:val="00C456F7"/>
    <w:rsid w:val="00C525A7"/>
    <w:rsid w:val="00C52B12"/>
    <w:rsid w:val="00C652B5"/>
    <w:rsid w:val="00C67FBE"/>
    <w:rsid w:val="00C70477"/>
    <w:rsid w:val="00C86E8C"/>
    <w:rsid w:val="00CA4A79"/>
    <w:rsid w:val="00CE32A2"/>
    <w:rsid w:val="00CE5651"/>
    <w:rsid w:val="00CE58A4"/>
    <w:rsid w:val="00CF24CD"/>
    <w:rsid w:val="00CF4068"/>
    <w:rsid w:val="00D01BC0"/>
    <w:rsid w:val="00D1384D"/>
    <w:rsid w:val="00D149BD"/>
    <w:rsid w:val="00D2449D"/>
    <w:rsid w:val="00D3051B"/>
    <w:rsid w:val="00D30740"/>
    <w:rsid w:val="00D360C4"/>
    <w:rsid w:val="00D448D0"/>
    <w:rsid w:val="00DA3519"/>
    <w:rsid w:val="00DB0696"/>
    <w:rsid w:val="00DB3E6B"/>
    <w:rsid w:val="00DF1E41"/>
    <w:rsid w:val="00E24503"/>
    <w:rsid w:val="00E26DCA"/>
    <w:rsid w:val="00E4391E"/>
    <w:rsid w:val="00E625B7"/>
    <w:rsid w:val="00E66E7E"/>
    <w:rsid w:val="00E72FEF"/>
    <w:rsid w:val="00E77B4C"/>
    <w:rsid w:val="00E8031A"/>
    <w:rsid w:val="00E8677E"/>
    <w:rsid w:val="00EB7F12"/>
    <w:rsid w:val="00ED46B0"/>
    <w:rsid w:val="00EE293B"/>
    <w:rsid w:val="00F0302B"/>
    <w:rsid w:val="00F04899"/>
    <w:rsid w:val="00F0762C"/>
    <w:rsid w:val="00F1121E"/>
    <w:rsid w:val="00F22C3B"/>
    <w:rsid w:val="00F3152F"/>
    <w:rsid w:val="00F34B74"/>
    <w:rsid w:val="00F77F52"/>
    <w:rsid w:val="00F967CF"/>
    <w:rsid w:val="00FA1E09"/>
    <w:rsid w:val="00FA4BD7"/>
    <w:rsid w:val="00FA632E"/>
    <w:rsid w:val="00FB05D1"/>
    <w:rsid w:val="00FB43CD"/>
    <w:rsid w:val="00FC1169"/>
    <w:rsid w:val="00FC14EC"/>
    <w:rsid w:val="00FE2F6B"/>
    <w:rsid w:val="00FE602E"/>
    <w:rsid w:val="00FE625D"/>
    <w:rsid w:val="00FE7785"/>
    <w:rsid w:val="00FE7A0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43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519"/>
    <w:pPr>
      <w:spacing w:after="0" w:line="240" w:lineRule="auto"/>
      <w:jc w:val="both"/>
    </w:pPr>
    <w:rPr>
      <w:rFonts w:ascii="Verdana" w:hAnsi="Verdana"/>
      <w:sz w:val="20"/>
    </w:rPr>
  </w:style>
  <w:style w:type="paragraph" w:styleId="Heading1">
    <w:name w:val="heading 1"/>
    <w:basedOn w:val="Normal"/>
    <w:next w:val="Normal"/>
    <w:link w:val="Heading1Char"/>
    <w:uiPriority w:val="9"/>
    <w:qFormat/>
    <w:rsid w:val="006338F4"/>
    <w:pPr>
      <w:tabs>
        <w:tab w:val="left" w:pos="0"/>
      </w:tabs>
      <w:outlineLvl w:val="0"/>
    </w:pPr>
    <w:rPr>
      <w:b/>
      <w:szCs w:val="20"/>
    </w:rPr>
  </w:style>
  <w:style w:type="paragraph" w:styleId="Heading2">
    <w:name w:val="heading 2"/>
    <w:basedOn w:val="ListParagraph"/>
    <w:next w:val="Normal"/>
    <w:link w:val="Heading2Char"/>
    <w:uiPriority w:val="9"/>
    <w:unhideWhenUsed/>
    <w:qFormat/>
    <w:rsid w:val="006338F4"/>
    <w:pPr>
      <w:numPr>
        <w:numId w:val="24"/>
      </w:numPr>
      <w:tabs>
        <w:tab w:val="left" w:pos="0"/>
      </w:tabs>
      <w:autoSpaceDE w:val="0"/>
      <w:autoSpaceDN w:val="0"/>
      <w:adjustRightInd w:val="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qFormat/>
    <w:locked/>
    <w:rsid w:val="00B92A27"/>
    <w:rPr>
      <w:sz w:val="20"/>
      <w:szCs w:val="20"/>
    </w:rPr>
  </w:style>
  <w:style w:type="paragraph" w:customStyle="1" w:styleId="Ca1">
    <w:name w:val="Ca1"/>
    <w:basedOn w:val="Normal"/>
    <w:next w:val="FootnoteText"/>
    <w:unhideWhenUsed/>
    <w:qFormat/>
    <w:rsid w:val="00B92A27"/>
    <w:rPr>
      <w:szCs w:val="20"/>
    </w:rPr>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basedOn w:val="DefaultParagraphFont"/>
    <w:link w:val="4GChar"/>
    <w:unhideWhenUsed/>
    <w:qFormat/>
    <w:rsid w:val="00B92A2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B92A27"/>
    <w:rPr>
      <w:vertAlign w:val="superscript"/>
    </w:rPr>
  </w:style>
  <w:style w:type="paragraph" w:styleId="FootnoteText">
    <w:name w:val="footnote text"/>
    <w:basedOn w:val="Normal"/>
    <w:link w:val="FootnoteTextChar"/>
    <w:unhideWhenUsed/>
    <w:rsid w:val="00B92A27"/>
    <w:rPr>
      <w:szCs w:val="20"/>
    </w:rPr>
  </w:style>
  <w:style w:type="character" w:customStyle="1" w:styleId="TextonotapieCar">
    <w:name w:val="Texto nota pie Car"/>
    <w:basedOn w:val="DefaultParagraphFont"/>
    <w:uiPriority w:val="99"/>
    <w:semiHidden/>
    <w:rsid w:val="00B92A27"/>
    <w:rPr>
      <w:sz w:val="20"/>
      <w:szCs w:val="20"/>
    </w:rPr>
  </w:style>
  <w:style w:type="paragraph" w:styleId="ListParagraph">
    <w:name w:val="List Paragraph"/>
    <w:aliases w:val="Footnote,List Paragraph2,List Paragraph1,Lista vistosa - Énfasis 11"/>
    <w:basedOn w:val="Normal"/>
    <w:link w:val="ListParagraphChar"/>
    <w:rsid w:val="00B92A27"/>
    <w:pPr>
      <w:ind w:left="720"/>
      <w:contextualSpacing/>
    </w:pPr>
  </w:style>
  <w:style w:type="character" w:styleId="Hyperlink">
    <w:name w:val="Hyperlink"/>
    <w:basedOn w:val="DefaultParagraphFont"/>
    <w:uiPriority w:val="99"/>
    <w:unhideWhenUsed/>
    <w:rsid w:val="00B92A27"/>
    <w:rPr>
      <w:color w:val="0000FF" w:themeColor="hyperlink"/>
      <w:u w:val="single"/>
    </w:rPr>
  </w:style>
  <w:style w:type="character" w:customStyle="1" w:styleId="ListParagraphChar">
    <w:name w:val="List Paragraph Char"/>
    <w:aliases w:val="Footnote Char,List Paragraph2 Char,List Paragraph1 Char,Lista vistosa - Énfasis 11 Char"/>
    <w:link w:val="ListParagraph"/>
    <w:uiPriority w:val="99"/>
    <w:locked/>
    <w:rsid w:val="00830A12"/>
  </w:style>
  <w:style w:type="paragraph" w:styleId="BalloonText">
    <w:name w:val="Balloon Text"/>
    <w:basedOn w:val="Normal"/>
    <w:link w:val="BalloonTextChar"/>
    <w:uiPriority w:val="99"/>
    <w:semiHidden/>
    <w:unhideWhenUsed/>
    <w:rsid w:val="004E5BFE"/>
    <w:rPr>
      <w:rFonts w:ascii="Tahoma" w:hAnsi="Tahoma" w:cs="Tahoma"/>
      <w:sz w:val="16"/>
      <w:szCs w:val="16"/>
    </w:rPr>
  </w:style>
  <w:style w:type="character" w:customStyle="1" w:styleId="BalloonTextChar">
    <w:name w:val="Balloon Text Char"/>
    <w:basedOn w:val="DefaultParagraphFont"/>
    <w:link w:val="BalloonText"/>
    <w:uiPriority w:val="99"/>
    <w:semiHidden/>
    <w:rsid w:val="004E5BFE"/>
    <w:rPr>
      <w:rFonts w:ascii="Tahoma" w:hAnsi="Tahoma" w:cs="Tahoma"/>
      <w:sz w:val="16"/>
      <w:szCs w:val="16"/>
    </w:rPr>
  </w:style>
  <w:style w:type="paragraph" w:styleId="Header">
    <w:name w:val="header"/>
    <w:basedOn w:val="Normal"/>
    <w:link w:val="HeaderChar"/>
    <w:uiPriority w:val="99"/>
    <w:unhideWhenUsed/>
    <w:rsid w:val="00DF1E41"/>
    <w:pPr>
      <w:tabs>
        <w:tab w:val="center" w:pos="4513"/>
        <w:tab w:val="right" w:pos="9026"/>
      </w:tabs>
    </w:pPr>
  </w:style>
  <w:style w:type="character" w:customStyle="1" w:styleId="HeaderChar">
    <w:name w:val="Header Char"/>
    <w:basedOn w:val="DefaultParagraphFont"/>
    <w:link w:val="Header"/>
    <w:uiPriority w:val="99"/>
    <w:rsid w:val="00DF1E41"/>
  </w:style>
  <w:style w:type="paragraph" w:styleId="Footer">
    <w:name w:val="footer"/>
    <w:basedOn w:val="Normal"/>
    <w:link w:val="FooterChar"/>
    <w:uiPriority w:val="99"/>
    <w:unhideWhenUsed/>
    <w:rsid w:val="00DF1E41"/>
    <w:pPr>
      <w:tabs>
        <w:tab w:val="center" w:pos="4513"/>
        <w:tab w:val="right" w:pos="9026"/>
      </w:tabs>
    </w:pPr>
  </w:style>
  <w:style w:type="character" w:customStyle="1" w:styleId="FooterChar">
    <w:name w:val="Footer Char"/>
    <w:basedOn w:val="DefaultParagraphFont"/>
    <w:link w:val="Footer"/>
    <w:uiPriority w:val="99"/>
    <w:rsid w:val="00DF1E41"/>
  </w:style>
  <w:style w:type="character" w:customStyle="1" w:styleId="Heading1Char">
    <w:name w:val="Heading 1 Char"/>
    <w:basedOn w:val="DefaultParagraphFont"/>
    <w:link w:val="Heading1"/>
    <w:uiPriority w:val="9"/>
    <w:rsid w:val="006338F4"/>
    <w:rPr>
      <w:rFonts w:ascii="Verdana" w:hAnsi="Verdana"/>
      <w:b/>
      <w:sz w:val="20"/>
      <w:szCs w:val="20"/>
    </w:rPr>
  </w:style>
  <w:style w:type="character" w:styleId="CommentReference">
    <w:name w:val="annotation reference"/>
    <w:basedOn w:val="DefaultParagraphFont"/>
    <w:uiPriority w:val="99"/>
    <w:semiHidden/>
    <w:unhideWhenUsed/>
    <w:rsid w:val="00AD4875"/>
    <w:rPr>
      <w:sz w:val="16"/>
      <w:szCs w:val="16"/>
    </w:rPr>
  </w:style>
  <w:style w:type="paragraph" w:styleId="CommentText">
    <w:name w:val="annotation text"/>
    <w:basedOn w:val="Normal"/>
    <w:link w:val="CommentTextChar"/>
    <w:uiPriority w:val="99"/>
    <w:semiHidden/>
    <w:unhideWhenUsed/>
    <w:rsid w:val="00AD4875"/>
    <w:rPr>
      <w:szCs w:val="20"/>
    </w:rPr>
  </w:style>
  <w:style w:type="character" w:customStyle="1" w:styleId="CommentTextChar">
    <w:name w:val="Comment Text Char"/>
    <w:basedOn w:val="DefaultParagraphFont"/>
    <w:link w:val="CommentText"/>
    <w:uiPriority w:val="99"/>
    <w:semiHidden/>
    <w:rsid w:val="00AD4875"/>
    <w:rPr>
      <w:rFonts w:ascii="Verdana" w:hAnsi="Verdana"/>
      <w:sz w:val="20"/>
      <w:szCs w:val="20"/>
    </w:rPr>
  </w:style>
  <w:style w:type="paragraph" w:styleId="CommentSubject">
    <w:name w:val="annotation subject"/>
    <w:basedOn w:val="CommentText"/>
    <w:next w:val="CommentText"/>
    <w:link w:val="CommentSubjectChar"/>
    <w:uiPriority w:val="99"/>
    <w:unhideWhenUsed/>
    <w:rsid w:val="00AD4875"/>
    <w:rPr>
      <w:b/>
      <w:bCs/>
    </w:rPr>
  </w:style>
  <w:style w:type="character" w:customStyle="1" w:styleId="CommentSubjectChar">
    <w:name w:val="Comment Subject Char"/>
    <w:basedOn w:val="CommentTextChar"/>
    <w:link w:val="CommentSubject"/>
    <w:uiPriority w:val="99"/>
    <w:rsid w:val="00AD4875"/>
    <w:rPr>
      <w:rFonts w:ascii="Verdana" w:hAnsi="Verdana"/>
      <w:b/>
      <w:bCs/>
      <w:sz w:val="20"/>
      <w:szCs w:val="20"/>
    </w:rPr>
  </w:style>
  <w:style w:type="character" w:customStyle="1" w:styleId="Heading2Char">
    <w:name w:val="Heading 2 Char"/>
    <w:basedOn w:val="DefaultParagraphFont"/>
    <w:link w:val="Heading2"/>
    <w:uiPriority w:val="9"/>
    <w:rsid w:val="006338F4"/>
    <w:rPr>
      <w:rFonts w:ascii="Verdana" w:hAnsi="Verdana"/>
      <w:b/>
      <w:i/>
      <w:sz w:val="20"/>
      <w:szCs w:val="20"/>
    </w:rPr>
  </w:style>
  <w:style w:type="paragraph" w:styleId="Revision">
    <w:name w:val="Revision"/>
    <w:hidden/>
    <w:uiPriority w:val="99"/>
    <w:semiHidden/>
    <w:rsid w:val="002836A8"/>
    <w:pPr>
      <w:spacing w:after="0" w:line="240" w:lineRule="auto"/>
    </w:pPr>
    <w:rPr>
      <w:rFonts w:ascii="Verdana"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519"/>
    <w:pPr>
      <w:spacing w:after="0" w:line="240" w:lineRule="auto"/>
      <w:jc w:val="both"/>
    </w:pPr>
    <w:rPr>
      <w:rFonts w:ascii="Verdana" w:hAnsi="Verdana"/>
      <w:sz w:val="20"/>
    </w:rPr>
  </w:style>
  <w:style w:type="paragraph" w:styleId="Heading1">
    <w:name w:val="heading 1"/>
    <w:basedOn w:val="Normal"/>
    <w:next w:val="Normal"/>
    <w:link w:val="Heading1Char"/>
    <w:uiPriority w:val="9"/>
    <w:qFormat/>
    <w:rsid w:val="006338F4"/>
    <w:pPr>
      <w:tabs>
        <w:tab w:val="left" w:pos="0"/>
      </w:tabs>
      <w:outlineLvl w:val="0"/>
    </w:pPr>
    <w:rPr>
      <w:b/>
      <w:szCs w:val="20"/>
    </w:rPr>
  </w:style>
  <w:style w:type="paragraph" w:styleId="Heading2">
    <w:name w:val="heading 2"/>
    <w:basedOn w:val="ListParagraph"/>
    <w:next w:val="Normal"/>
    <w:link w:val="Heading2Char"/>
    <w:uiPriority w:val="9"/>
    <w:unhideWhenUsed/>
    <w:qFormat/>
    <w:rsid w:val="006338F4"/>
    <w:pPr>
      <w:numPr>
        <w:numId w:val="24"/>
      </w:numPr>
      <w:tabs>
        <w:tab w:val="left" w:pos="0"/>
      </w:tabs>
      <w:autoSpaceDE w:val="0"/>
      <w:autoSpaceDN w:val="0"/>
      <w:adjustRightInd w:val="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qFormat/>
    <w:locked/>
    <w:rsid w:val="00B92A27"/>
    <w:rPr>
      <w:sz w:val="20"/>
      <w:szCs w:val="20"/>
    </w:rPr>
  </w:style>
  <w:style w:type="paragraph" w:customStyle="1" w:styleId="Ca1">
    <w:name w:val="Ca1"/>
    <w:basedOn w:val="Normal"/>
    <w:next w:val="FootnoteText"/>
    <w:unhideWhenUsed/>
    <w:qFormat/>
    <w:rsid w:val="00B92A27"/>
    <w:rPr>
      <w:szCs w:val="20"/>
    </w:rPr>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basedOn w:val="DefaultParagraphFont"/>
    <w:link w:val="4GChar"/>
    <w:unhideWhenUsed/>
    <w:qFormat/>
    <w:rsid w:val="00B92A2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B92A27"/>
    <w:rPr>
      <w:vertAlign w:val="superscript"/>
    </w:rPr>
  </w:style>
  <w:style w:type="paragraph" w:styleId="FootnoteText">
    <w:name w:val="footnote text"/>
    <w:basedOn w:val="Normal"/>
    <w:link w:val="FootnoteTextChar"/>
    <w:unhideWhenUsed/>
    <w:rsid w:val="00B92A27"/>
    <w:rPr>
      <w:szCs w:val="20"/>
    </w:rPr>
  </w:style>
  <w:style w:type="character" w:customStyle="1" w:styleId="TextonotapieCar">
    <w:name w:val="Texto nota pie Car"/>
    <w:basedOn w:val="DefaultParagraphFont"/>
    <w:uiPriority w:val="99"/>
    <w:semiHidden/>
    <w:rsid w:val="00B92A27"/>
    <w:rPr>
      <w:sz w:val="20"/>
      <w:szCs w:val="20"/>
    </w:rPr>
  </w:style>
  <w:style w:type="paragraph" w:styleId="ListParagraph">
    <w:name w:val="List Paragraph"/>
    <w:aliases w:val="Footnote,List Paragraph2,List Paragraph1,Lista vistosa - Énfasis 11"/>
    <w:basedOn w:val="Normal"/>
    <w:link w:val="ListParagraphChar"/>
    <w:rsid w:val="00B92A27"/>
    <w:pPr>
      <w:ind w:left="720"/>
      <w:contextualSpacing/>
    </w:pPr>
  </w:style>
  <w:style w:type="character" w:styleId="Hyperlink">
    <w:name w:val="Hyperlink"/>
    <w:basedOn w:val="DefaultParagraphFont"/>
    <w:uiPriority w:val="99"/>
    <w:unhideWhenUsed/>
    <w:rsid w:val="00B92A27"/>
    <w:rPr>
      <w:color w:val="0000FF" w:themeColor="hyperlink"/>
      <w:u w:val="single"/>
    </w:rPr>
  </w:style>
  <w:style w:type="character" w:customStyle="1" w:styleId="ListParagraphChar">
    <w:name w:val="List Paragraph Char"/>
    <w:aliases w:val="Footnote Char,List Paragraph2 Char,List Paragraph1 Char,Lista vistosa - Énfasis 11 Char"/>
    <w:link w:val="ListParagraph"/>
    <w:uiPriority w:val="99"/>
    <w:locked/>
    <w:rsid w:val="00830A12"/>
  </w:style>
  <w:style w:type="paragraph" w:styleId="BalloonText">
    <w:name w:val="Balloon Text"/>
    <w:basedOn w:val="Normal"/>
    <w:link w:val="BalloonTextChar"/>
    <w:uiPriority w:val="99"/>
    <w:semiHidden/>
    <w:unhideWhenUsed/>
    <w:rsid w:val="004E5BFE"/>
    <w:rPr>
      <w:rFonts w:ascii="Tahoma" w:hAnsi="Tahoma" w:cs="Tahoma"/>
      <w:sz w:val="16"/>
      <w:szCs w:val="16"/>
    </w:rPr>
  </w:style>
  <w:style w:type="character" w:customStyle="1" w:styleId="BalloonTextChar">
    <w:name w:val="Balloon Text Char"/>
    <w:basedOn w:val="DefaultParagraphFont"/>
    <w:link w:val="BalloonText"/>
    <w:uiPriority w:val="99"/>
    <w:semiHidden/>
    <w:rsid w:val="004E5BFE"/>
    <w:rPr>
      <w:rFonts w:ascii="Tahoma" w:hAnsi="Tahoma" w:cs="Tahoma"/>
      <w:sz w:val="16"/>
      <w:szCs w:val="16"/>
    </w:rPr>
  </w:style>
  <w:style w:type="paragraph" w:styleId="Header">
    <w:name w:val="header"/>
    <w:basedOn w:val="Normal"/>
    <w:link w:val="HeaderChar"/>
    <w:uiPriority w:val="99"/>
    <w:unhideWhenUsed/>
    <w:rsid w:val="00DF1E41"/>
    <w:pPr>
      <w:tabs>
        <w:tab w:val="center" w:pos="4513"/>
        <w:tab w:val="right" w:pos="9026"/>
      </w:tabs>
    </w:pPr>
  </w:style>
  <w:style w:type="character" w:customStyle="1" w:styleId="HeaderChar">
    <w:name w:val="Header Char"/>
    <w:basedOn w:val="DefaultParagraphFont"/>
    <w:link w:val="Header"/>
    <w:uiPriority w:val="99"/>
    <w:rsid w:val="00DF1E41"/>
  </w:style>
  <w:style w:type="paragraph" w:styleId="Footer">
    <w:name w:val="footer"/>
    <w:basedOn w:val="Normal"/>
    <w:link w:val="FooterChar"/>
    <w:uiPriority w:val="99"/>
    <w:unhideWhenUsed/>
    <w:rsid w:val="00DF1E41"/>
    <w:pPr>
      <w:tabs>
        <w:tab w:val="center" w:pos="4513"/>
        <w:tab w:val="right" w:pos="9026"/>
      </w:tabs>
    </w:pPr>
  </w:style>
  <w:style w:type="character" w:customStyle="1" w:styleId="FooterChar">
    <w:name w:val="Footer Char"/>
    <w:basedOn w:val="DefaultParagraphFont"/>
    <w:link w:val="Footer"/>
    <w:uiPriority w:val="99"/>
    <w:rsid w:val="00DF1E41"/>
  </w:style>
  <w:style w:type="character" w:customStyle="1" w:styleId="Heading1Char">
    <w:name w:val="Heading 1 Char"/>
    <w:basedOn w:val="DefaultParagraphFont"/>
    <w:link w:val="Heading1"/>
    <w:uiPriority w:val="9"/>
    <w:rsid w:val="006338F4"/>
    <w:rPr>
      <w:rFonts w:ascii="Verdana" w:hAnsi="Verdana"/>
      <w:b/>
      <w:sz w:val="20"/>
      <w:szCs w:val="20"/>
    </w:rPr>
  </w:style>
  <w:style w:type="character" w:styleId="CommentReference">
    <w:name w:val="annotation reference"/>
    <w:basedOn w:val="DefaultParagraphFont"/>
    <w:uiPriority w:val="99"/>
    <w:semiHidden/>
    <w:unhideWhenUsed/>
    <w:rsid w:val="00AD4875"/>
    <w:rPr>
      <w:sz w:val="16"/>
      <w:szCs w:val="16"/>
    </w:rPr>
  </w:style>
  <w:style w:type="paragraph" w:styleId="CommentText">
    <w:name w:val="annotation text"/>
    <w:basedOn w:val="Normal"/>
    <w:link w:val="CommentTextChar"/>
    <w:uiPriority w:val="99"/>
    <w:semiHidden/>
    <w:unhideWhenUsed/>
    <w:rsid w:val="00AD4875"/>
    <w:rPr>
      <w:szCs w:val="20"/>
    </w:rPr>
  </w:style>
  <w:style w:type="character" w:customStyle="1" w:styleId="CommentTextChar">
    <w:name w:val="Comment Text Char"/>
    <w:basedOn w:val="DefaultParagraphFont"/>
    <w:link w:val="CommentText"/>
    <w:uiPriority w:val="99"/>
    <w:semiHidden/>
    <w:rsid w:val="00AD4875"/>
    <w:rPr>
      <w:rFonts w:ascii="Verdana" w:hAnsi="Verdana"/>
      <w:sz w:val="20"/>
      <w:szCs w:val="20"/>
    </w:rPr>
  </w:style>
  <w:style w:type="paragraph" w:styleId="CommentSubject">
    <w:name w:val="annotation subject"/>
    <w:basedOn w:val="CommentText"/>
    <w:next w:val="CommentText"/>
    <w:link w:val="CommentSubjectChar"/>
    <w:uiPriority w:val="99"/>
    <w:unhideWhenUsed/>
    <w:rsid w:val="00AD4875"/>
    <w:rPr>
      <w:b/>
      <w:bCs/>
    </w:rPr>
  </w:style>
  <w:style w:type="character" w:customStyle="1" w:styleId="CommentSubjectChar">
    <w:name w:val="Comment Subject Char"/>
    <w:basedOn w:val="CommentTextChar"/>
    <w:link w:val="CommentSubject"/>
    <w:uiPriority w:val="99"/>
    <w:rsid w:val="00AD4875"/>
    <w:rPr>
      <w:rFonts w:ascii="Verdana" w:hAnsi="Verdana"/>
      <w:b/>
      <w:bCs/>
      <w:sz w:val="20"/>
      <w:szCs w:val="20"/>
    </w:rPr>
  </w:style>
  <w:style w:type="character" w:customStyle="1" w:styleId="Heading2Char">
    <w:name w:val="Heading 2 Char"/>
    <w:basedOn w:val="DefaultParagraphFont"/>
    <w:link w:val="Heading2"/>
    <w:uiPriority w:val="9"/>
    <w:rsid w:val="006338F4"/>
    <w:rPr>
      <w:rFonts w:ascii="Verdana" w:hAnsi="Verdana"/>
      <w:b/>
      <w:i/>
      <w:sz w:val="20"/>
      <w:szCs w:val="20"/>
    </w:rPr>
  </w:style>
  <w:style w:type="paragraph" w:styleId="Revision">
    <w:name w:val="Revision"/>
    <w:hidden/>
    <w:uiPriority w:val="99"/>
    <w:semiHidden/>
    <w:rsid w:val="002836A8"/>
    <w:pPr>
      <w:spacing w:after="0" w:line="240" w:lineRule="auto"/>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66200">
      <w:bodyDiv w:val="1"/>
      <w:marLeft w:val="0"/>
      <w:marRight w:val="0"/>
      <w:marTop w:val="0"/>
      <w:marBottom w:val="0"/>
      <w:divBdr>
        <w:top w:val="none" w:sz="0" w:space="0" w:color="auto"/>
        <w:left w:val="none" w:sz="0" w:space="0" w:color="auto"/>
        <w:bottom w:val="none" w:sz="0" w:space="0" w:color="auto"/>
        <w:right w:val="none" w:sz="0" w:space="0" w:color="auto"/>
      </w:divBdr>
    </w:div>
    <w:div w:id="644970327">
      <w:bodyDiv w:val="1"/>
      <w:marLeft w:val="0"/>
      <w:marRight w:val="0"/>
      <w:marTop w:val="0"/>
      <w:marBottom w:val="0"/>
      <w:divBdr>
        <w:top w:val="none" w:sz="0" w:space="0" w:color="auto"/>
        <w:left w:val="none" w:sz="0" w:space="0" w:color="auto"/>
        <w:bottom w:val="none" w:sz="0" w:space="0" w:color="auto"/>
        <w:right w:val="none" w:sz="0" w:space="0" w:color="auto"/>
      </w:divBdr>
    </w:div>
    <w:div w:id="1839155490">
      <w:bodyDiv w:val="1"/>
      <w:marLeft w:val="0"/>
      <w:marRight w:val="0"/>
      <w:marTop w:val="0"/>
      <w:marBottom w:val="0"/>
      <w:divBdr>
        <w:top w:val="none" w:sz="0" w:space="0" w:color="auto"/>
        <w:left w:val="none" w:sz="0" w:space="0" w:color="auto"/>
        <w:bottom w:val="none" w:sz="0" w:space="0" w:color="auto"/>
        <w:right w:val="none" w:sz="0" w:space="0" w:color="auto"/>
      </w:divBdr>
    </w:div>
    <w:div w:id="201873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029E1-A2C4-4FDA-BA81-96891DFFF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7293</Words>
  <Characters>40112</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Francella Hernandez</cp:lastModifiedBy>
  <cp:revision>6</cp:revision>
  <cp:lastPrinted>2018-06-29T17:20:00Z</cp:lastPrinted>
  <dcterms:created xsi:type="dcterms:W3CDTF">2018-06-29T15:43:00Z</dcterms:created>
  <dcterms:modified xsi:type="dcterms:W3CDTF">2018-06-29T17:20:00Z</dcterms:modified>
</cp:coreProperties>
</file>