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BD" w:rsidRPr="009B31EC" w:rsidRDefault="00FF46BD" w:rsidP="009B31EC">
      <w:pPr>
        <w:pStyle w:val="Default"/>
        <w:tabs>
          <w:tab w:val="left" w:pos="0"/>
        </w:tabs>
        <w:jc w:val="center"/>
        <w:rPr>
          <w:b/>
          <w:bCs/>
          <w:color w:val="auto"/>
          <w:spacing w:val="-2"/>
          <w:sz w:val="20"/>
          <w:szCs w:val="20"/>
          <w:lang w:val="es-ES"/>
        </w:rPr>
      </w:pPr>
    </w:p>
    <w:p w:rsidR="00FF46BD" w:rsidRPr="009B31EC" w:rsidRDefault="00FF46BD" w:rsidP="009B31EC">
      <w:pPr>
        <w:pStyle w:val="Default"/>
        <w:tabs>
          <w:tab w:val="left" w:pos="0"/>
        </w:tabs>
        <w:jc w:val="center"/>
        <w:rPr>
          <w:b/>
          <w:bCs/>
          <w:color w:val="auto"/>
          <w:spacing w:val="-2"/>
          <w:sz w:val="20"/>
          <w:szCs w:val="20"/>
          <w:lang w:val="es-ES"/>
        </w:rPr>
      </w:pPr>
    </w:p>
    <w:p w:rsidR="00FF46BD" w:rsidRPr="009B31EC" w:rsidRDefault="00FF46BD" w:rsidP="009B31EC">
      <w:pPr>
        <w:pStyle w:val="Default"/>
        <w:tabs>
          <w:tab w:val="left" w:pos="0"/>
        </w:tabs>
        <w:jc w:val="center"/>
        <w:rPr>
          <w:b/>
          <w:bCs/>
          <w:color w:val="auto"/>
          <w:spacing w:val="-2"/>
          <w:sz w:val="20"/>
          <w:szCs w:val="20"/>
          <w:lang w:val="es-ES"/>
        </w:rPr>
      </w:pPr>
    </w:p>
    <w:p w:rsidR="00FF46BD" w:rsidRPr="009B31EC" w:rsidRDefault="00FF46BD" w:rsidP="009B31EC">
      <w:pPr>
        <w:pStyle w:val="Default"/>
        <w:tabs>
          <w:tab w:val="left" w:pos="0"/>
        </w:tabs>
        <w:jc w:val="center"/>
        <w:rPr>
          <w:b/>
          <w:bCs/>
          <w:color w:val="auto"/>
          <w:spacing w:val="-2"/>
          <w:sz w:val="20"/>
          <w:szCs w:val="20"/>
          <w:lang w:val="es-ES"/>
        </w:rPr>
      </w:pPr>
    </w:p>
    <w:p w:rsidR="00FF46BD" w:rsidRDefault="00FF46BD" w:rsidP="009B31EC">
      <w:pPr>
        <w:pStyle w:val="Default"/>
        <w:tabs>
          <w:tab w:val="left" w:pos="0"/>
        </w:tabs>
        <w:jc w:val="center"/>
        <w:rPr>
          <w:b/>
          <w:bCs/>
          <w:color w:val="auto"/>
          <w:spacing w:val="-2"/>
          <w:sz w:val="20"/>
          <w:szCs w:val="20"/>
          <w:lang w:val="es-ES"/>
        </w:rPr>
      </w:pPr>
    </w:p>
    <w:p w:rsidR="008D0CCA" w:rsidRDefault="008D0CCA" w:rsidP="009B31EC">
      <w:pPr>
        <w:pStyle w:val="Default"/>
        <w:tabs>
          <w:tab w:val="left" w:pos="0"/>
        </w:tabs>
        <w:jc w:val="center"/>
        <w:rPr>
          <w:b/>
          <w:bCs/>
          <w:color w:val="auto"/>
          <w:spacing w:val="-2"/>
          <w:sz w:val="20"/>
          <w:szCs w:val="20"/>
          <w:lang w:val="es-ES"/>
        </w:rPr>
      </w:pPr>
    </w:p>
    <w:p w:rsidR="008D0CCA" w:rsidRDefault="008D0CCA" w:rsidP="009B31EC">
      <w:pPr>
        <w:pStyle w:val="Default"/>
        <w:tabs>
          <w:tab w:val="left" w:pos="0"/>
        </w:tabs>
        <w:jc w:val="center"/>
        <w:rPr>
          <w:b/>
          <w:bCs/>
          <w:color w:val="auto"/>
          <w:spacing w:val="-2"/>
          <w:sz w:val="20"/>
          <w:szCs w:val="20"/>
          <w:lang w:val="es-ES"/>
        </w:rPr>
      </w:pPr>
    </w:p>
    <w:p w:rsidR="008D0CCA" w:rsidRDefault="008D0CCA" w:rsidP="009B31EC">
      <w:pPr>
        <w:pStyle w:val="Default"/>
        <w:tabs>
          <w:tab w:val="left" w:pos="0"/>
        </w:tabs>
        <w:jc w:val="center"/>
        <w:rPr>
          <w:b/>
          <w:bCs/>
          <w:color w:val="auto"/>
          <w:spacing w:val="-2"/>
          <w:sz w:val="20"/>
          <w:szCs w:val="20"/>
          <w:lang w:val="es-ES"/>
        </w:rPr>
      </w:pPr>
    </w:p>
    <w:p w:rsidR="008D0CCA" w:rsidRDefault="008D0CCA" w:rsidP="009B31EC">
      <w:pPr>
        <w:pStyle w:val="Default"/>
        <w:tabs>
          <w:tab w:val="left" w:pos="0"/>
        </w:tabs>
        <w:jc w:val="center"/>
        <w:rPr>
          <w:b/>
          <w:bCs/>
          <w:color w:val="auto"/>
          <w:spacing w:val="-2"/>
          <w:sz w:val="20"/>
          <w:szCs w:val="20"/>
          <w:lang w:val="es-ES"/>
        </w:rPr>
      </w:pPr>
      <w:bookmarkStart w:id="0" w:name="_GoBack"/>
      <w:bookmarkEnd w:id="0"/>
    </w:p>
    <w:p w:rsidR="008D0CCA" w:rsidRPr="009B31EC" w:rsidRDefault="008D0CCA" w:rsidP="009B31EC">
      <w:pPr>
        <w:pStyle w:val="Default"/>
        <w:tabs>
          <w:tab w:val="left" w:pos="0"/>
        </w:tabs>
        <w:jc w:val="center"/>
        <w:rPr>
          <w:b/>
          <w:bCs/>
          <w:color w:val="auto"/>
          <w:spacing w:val="-2"/>
          <w:sz w:val="20"/>
          <w:szCs w:val="20"/>
          <w:lang w:val="es-ES"/>
        </w:rPr>
      </w:pPr>
    </w:p>
    <w:p w:rsidR="00FF46BD" w:rsidRPr="009B31EC" w:rsidRDefault="00FF46BD" w:rsidP="009B31EC">
      <w:pPr>
        <w:pStyle w:val="Default"/>
        <w:tabs>
          <w:tab w:val="left" w:pos="0"/>
        </w:tabs>
        <w:jc w:val="center"/>
        <w:rPr>
          <w:b/>
          <w:bCs/>
          <w:color w:val="auto"/>
          <w:spacing w:val="-2"/>
          <w:sz w:val="20"/>
          <w:szCs w:val="20"/>
          <w:lang w:val="es-ES"/>
        </w:rPr>
      </w:pPr>
      <w:r w:rsidRPr="009B31EC">
        <w:rPr>
          <w:b/>
          <w:bCs/>
          <w:color w:val="auto"/>
          <w:spacing w:val="-2"/>
          <w:sz w:val="20"/>
          <w:szCs w:val="20"/>
          <w:lang w:val="es-ES"/>
        </w:rPr>
        <w:t>RESOLUCIÓN DEL PRESIDENTE DE LA</w:t>
      </w:r>
    </w:p>
    <w:p w:rsidR="00FF46BD" w:rsidRPr="009B31EC" w:rsidRDefault="00FF46BD" w:rsidP="009B31EC">
      <w:pPr>
        <w:pStyle w:val="Default"/>
        <w:tabs>
          <w:tab w:val="left" w:pos="0"/>
        </w:tabs>
        <w:jc w:val="center"/>
        <w:rPr>
          <w:b/>
          <w:bCs/>
          <w:color w:val="auto"/>
          <w:spacing w:val="-2"/>
          <w:sz w:val="20"/>
          <w:szCs w:val="20"/>
          <w:lang w:val="es-ES"/>
        </w:rPr>
      </w:pPr>
    </w:p>
    <w:p w:rsidR="00FF46BD" w:rsidRPr="009B31EC" w:rsidRDefault="00FF46BD" w:rsidP="009B31EC">
      <w:pPr>
        <w:pStyle w:val="Default"/>
        <w:tabs>
          <w:tab w:val="left" w:pos="0"/>
        </w:tabs>
        <w:jc w:val="center"/>
        <w:rPr>
          <w:color w:val="auto"/>
          <w:spacing w:val="-2"/>
          <w:sz w:val="20"/>
          <w:szCs w:val="20"/>
          <w:lang w:val="es-ES"/>
        </w:rPr>
      </w:pPr>
      <w:r w:rsidRPr="009B31EC">
        <w:rPr>
          <w:b/>
          <w:bCs/>
          <w:color w:val="auto"/>
          <w:spacing w:val="-2"/>
          <w:sz w:val="20"/>
          <w:szCs w:val="20"/>
          <w:lang w:val="es-ES"/>
        </w:rPr>
        <w:t>CORTE INTERAMERICANA DE DERECHOS HUMANOS</w:t>
      </w:r>
    </w:p>
    <w:p w:rsidR="00FF46BD" w:rsidRPr="009B31EC" w:rsidRDefault="00FF46BD" w:rsidP="009B31EC">
      <w:pPr>
        <w:pStyle w:val="Default"/>
        <w:tabs>
          <w:tab w:val="left" w:pos="0"/>
        </w:tabs>
        <w:jc w:val="center"/>
        <w:rPr>
          <w:color w:val="auto"/>
          <w:spacing w:val="-2"/>
          <w:sz w:val="20"/>
          <w:szCs w:val="20"/>
          <w:lang w:val="es-ES"/>
        </w:rPr>
      </w:pPr>
    </w:p>
    <w:p w:rsidR="00FF46BD" w:rsidRPr="009B31EC" w:rsidRDefault="00FF46BD" w:rsidP="009B31EC">
      <w:pPr>
        <w:pStyle w:val="Default"/>
        <w:tabs>
          <w:tab w:val="left" w:pos="0"/>
        </w:tabs>
        <w:jc w:val="center"/>
        <w:rPr>
          <w:b/>
          <w:bCs/>
          <w:color w:val="auto"/>
          <w:spacing w:val="-2"/>
          <w:sz w:val="20"/>
          <w:szCs w:val="20"/>
          <w:lang w:val="es-ES"/>
        </w:rPr>
      </w:pPr>
      <w:r w:rsidRPr="009B31EC">
        <w:rPr>
          <w:b/>
          <w:bCs/>
          <w:color w:val="auto"/>
          <w:spacing w:val="-2"/>
          <w:sz w:val="20"/>
          <w:szCs w:val="20"/>
          <w:lang w:val="es-ES"/>
        </w:rPr>
        <w:t xml:space="preserve">DE </w:t>
      </w:r>
      <w:r w:rsidR="002F51B4">
        <w:rPr>
          <w:b/>
          <w:bCs/>
          <w:color w:val="auto"/>
          <w:spacing w:val="-2"/>
          <w:sz w:val="20"/>
          <w:szCs w:val="20"/>
          <w:lang w:val="es-ES"/>
        </w:rPr>
        <w:t>12</w:t>
      </w:r>
      <w:r w:rsidRPr="009B31EC">
        <w:rPr>
          <w:b/>
          <w:bCs/>
          <w:color w:val="auto"/>
          <w:spacing w:val="-2"/>
          <w:sz w:val="20"/>
          <w:szCs w:val="20"/>
          <w:lang w:val="es-ES"/>
        </w:rPr>
        <w:t xml:space="preserve"> DE </w:t>
      </w:r>
      <w:r w:rsidR="005D3668" w:rsidRPr="009B31EC">
        <w:rPr>
          <w:b/>
          <w:bCs/>
          <w:color w:val="auto"/>
          <w:spacing w:val="-2"/>
          <w:sz w:val="20"/>
          <w:szCs w:val="20"/>
          <w:lang w:val="es-ES"/>
        </w:rPr>
        <w:t>FEBRERO</w:t>
      </w:r>
      <w:r w:rsidRPr="009B31EC">
        <w:rPr>
          <w:b/>
          <w:bCs/>
          <w:color w:val="auto"/>
          <w:spacing w:val="-2"/>
          <w:sz w:val="20"/>
          <w:szCs w:val="20"/>
          <w:lang w:val="es-ES"/>
        </w:rPr>
        <w:t xml:space="preserve"> DE 2018</w:t>
      </w:r>
    </w:p>
    <w:p w:rsidR="00FF46BD" w:rsidRPr="009B31EC" w:rsidRDefault="00FF46BD" w:rsidP="009B31EC">
      <w:pPr>
        <w:pStyle w:val="Default"/>
        <w:tabs>
          <w:tab w:val="left" w:pos="0"/>
        </w:tabs>
        <w:jc w:val="center"/>
        <w:rPr>
          <w:color w:val="auto"/>
          <w:spacing w:val="-2"/>
          <w:sz w:val="20"/>
          <w:szCs w:val="20"/>
          <w:lang w:val="es-ES"/>
        </w:rPr>
      </w:pPr>
    </w:p>
    <w:p w:rsidR="00FF46BD" w:rsidRPr="009B31EC" w:rsidRDefault="00FF46BD" w:rsidP="009B31EC">
      <w:pPr>
        <w:pStyle w:val="Default"/>
        <w:tabs>
          <w:tab w:val="left" w:pos="0"/>
        </w:tabs>
        <w:jc w:val="center"/>
        <w:rPr>
          <w:b/>
          <w:bCs/>
          <w:color w:val="auto"/>
          <w:spacing w:val="-2"/>
          <w:sz w:val="20"/>
          <w:szCs w:val="20"/>
          <w:lang w:val="es-ES"/>
        </w:rPr>
      </w:pPr>
      <w:r w:rsidRPr="009B31EC">
        <w:rPr>
          <w:b/>
          <w:bCs/>
          <w:color w:val="auto"/>
          <w:spacing w:val="-2"/>
          <w:sz w:val="20"/>
          <w:szCs w:val="20"/>
          <w:lang w:val="es-ES"/>
        </w:rPr>
        <w:t>FONDO DE ASISTENCIA LEGAL DE VÍCTIMAS</w:t>
      </w:r>
    </w:p>
    <w:p w:rsidR="00FF46BD" w:rsidRPr="009B31EC" w:rsidRDefault="00FF46BD" w:rsidP="009B31EC">
      <w:pPr>
        <w:pStyle w:val="Default"/>
        <w:tabs>
          <w:tab w:val="left" w:pos="0"/>
        </w:tabs>
        <w:jc w:val="center"/>
        <w:rPr>
          <w:b/>
          <w:bCs/>
          <w:color w:val="auto"/>
          <w:spacing w:val="-2"/>
          <w:sz w:val="20"/>
          <w:szCs w:val="20"/>
          <w:lang w:val="es-ES"/>
        </w:rPr>
      </w:pPr>
    </w:p>
    <w:p w:rsidR="00FF46BD" w:rsidRPr="009B31EC" w:rsidRDefault="00FF46BD" w:rsidP="009B31EC">
      <w:pPr>
        <w:pStyle w:val="Default"/>
        <w:tabs>
          <w:tab w:val="left" w:pos="0"/>
        </w:tabs>
        <w:jc w:val="center"/>
        <w:rPr>
          <w:b/>
          <w:bCs/>
          <w:color w:val="auto"/>
          <w:spacing w:val="-2"/>
          <w:sz w:val="20"/>
          <w:szCs w:val="20"/>
          <w:lang w:val="es-ES"/>
        </w:rPr>
      </w:pPr>
      <w:r w:rsidRPr="009B31EC">
        <w:rPr>
          <w:b/>
          <w:bCs/>
          <w:color w:val="auto"/>
          <w:spacing w:val="-2"/>
          <w:sz w:val="20"/>
          <w:szCs w:val="20"/>
          <w:lang w:val="es-ES"/>
        </w:rPr>
        <w:t xml:space="preserve">CASO </w:t>
      </w:r>
      <w:r w:rsidR="005D3668" w:rsidRPr="009B31EC">
        <w:rPr>
          <w:b/>
          <w:bCs/>
          <w:color w:val="auto"/>
          <w:spacing w:val="-2"/>
          <w:sz w:val="20"/>
          <w:szCs w:val="20"/>
          <w:lang w:val="es-ES"/>
        </w:rPr>
        <w:t>Á</w:t>
      </w:r>
      <w:r w:rsidRPr="009B31EC">
        <w:rPr>
          <w:b/>
          <w:bCs/>
          <w:color w:val="auto"/>
          <w:spacing w:val="-2"/>
          <w:sz w:val="20"/>
          <w:szCs w:val="20"/>
          <w:lang w:val="es-ES"/>
        </w:rPr>
        <w:t>LVAREZ RAMOS VS. VENEZUELA</w:t>
      </w:r>
    </w:p>
    <w:p w:rsidR="00FF46BD" w:rsidRPr="009B31EC" w:rsidRDefault="00FF46BD" w:rsidP="009B31EC">
      <w:pPr>
        <w:pStyle w:val="Default"/>
        <w:tabs>
          <w:tab w:val="left" w:pos="0"/>
        </w:tabs>
        <w:jc w:val="center"/>
        <w:rPr>
          <w:b/>
          <w:bCs/>
          <w:color w:val="auto"/>
          <w:spacing w:val="-2"/>
          <w:sz w:val="20"/>
          <w:szCs w:val="20"/>
          <w:lang w:val="es-ES"/>
        </w:rPr>
      </w:pPr>
    </w:p>
    <w:p w:rsidR="00FF46BD" w:rsidRPr="009B31EC" w:rsidRDefault="00FF46BD" w:rsidP="009B31EC">
      <w:pPr>
        <w:pStyle w:val="Default"/>
        <w:tabs>
          <w:tab w:val="left" w:pos="0"/>
        </w:tabs>
        <w:jc w:val="center"/>
        <w:rPr>
          <w:b/>
          <w:bCs/>
          <w:color w:val="auto"/>
          <w:spacing w:val="-2"/>
          <w:sz w:val="20"/>
          <w:szCs w:val="20"/>
          <w:lang w:val="es-ES"/>
        </w:rPr>
      </w:pPr>
    </w:p>
    <w:p w:rsidR="00FF46BD" w:rsidRPr="009B31EC" w:rsidRDefault="00FF46BD" w:rsidP="009B31EC">
      <w:pPr>
        <w:pStyle w:val="Default"/>
        <w:tabs>
          <w:tab w:val="left" w:pos="0"/>
        </w:tabs>
        <w:jc w:val="both"/>
        <w:rPr>
          <w:b/>
          <w:bCs/>
          <w:color w:val="auto"/>
          <w:spacing w:val="-2"/>
          <w:sz w:val="20"/>
          <w:szCs w:val="20"/>
          <w:lang w:val="es-ES"/>
        </w:rPr>
      </w:pPr>
      <w:r w:rsidRPr="009B31EC">
        <w:rPr>
          <w:b/>
          <w:bCs/>
          <w:color w:val="auto"/>
          <w:spacing w:val="-2"/>
          <w:sz w:val="20"/>
          <w:szCs w:val="20"/>
          <w:lang w:val="es-ES"/>
        </w:rPr>
        <w:t>VISTO:</w:t>
      </w:r>
    </w:p>
    <w:p w:rsidR="00FF46BD" w:rsidRPr="009B31EC" w:rsidRDefault="00FF46BD" w:rsidP="009B31EC">
      <w:pPr>
        <w:pStyle w:val="ListParagraph"/>
        <w:tabs>
          <w:tab w:val="left" w:pos="0"/>
        </w:tabs>
        <w:autoSpaceDE w:val="0"/>
        <w:autoSpaceDN w:val="0"/>
        <w:adjustRightInd w:val="0"/>
        <w:spacing w:after="0" w:line="240" w:lineRule="auto"/>
        <w:ind w:left="0"/>
        <w:jc w:val="both"/>
        <w:rPr>
          <w:rFonts w:ascii="Verdana" w:hAnsi="Verdana" w:cs="Verdana"/>
          <w:b/>
          <w:bCs/>
          <w:spacing w:val="-2"/>
          <w:sz w:val="20"/>
          <w:szCs w:val="20"/>
          <w:lang w:val="es-ES"/>
        </w:rPr>
      </w:pPr>
    </w:p>
    <w:p w:rsidR="00FF46BD" w:rsidRPr="009B31EC" w:rsidRDefault="00FF46BD" w:rsidP="009B31EC">
      <w:pPr>
        <w:pStyle w:val="ListParagraph"/>
        <w:numPr>
          <w:ilvl w:val="0"/>
          <w:numId w:val="6"/>
        </w:numPr>
        <w:tabs>
          <w:tab w:val="left" w:pos="0"/>
        </w:tabs>
        <w:autoSpaceDE w:val="0"/>
        <w:autoSpaceDN w:val="0"/>
        <w:adjustRightInd w:val="0"/>
        <w:spacing w:after="0" w:line="240" w:lineRule="auto"/>
        <w:ind w:left="0" w:firstLine="0"/>
        <w:jc w:val="both"/>
        <w:rPr>
          <w:rFonts w:ascii="Verdana" w:hAnsi="Verdana" w:cs="Verdana"/>
          <w:spacing w:val="-2"/>
          <w:sz w:val="20"/>
          <w:szCs w:val="20"/>
          <w:lang w:val="es-ES"/>
        </w:rPr>
      </w:pPr>
      <w:r w:rsidRPr="009B31EC">
        <w:rPr>
          <w:rFonts w:ascii="Verdana" w:hAnsi="Verdana" w:cs="Verdana"/>
          <w:spacing w:val="-2"/>
          <w:sz w:val="20"/>
          <w:szCs w:val="20"/>
          <w:lang w:val="es-ES"/>
        </w:rPr>
        <w:t>El escrito de 5 de julio de 2017 y sus anexos, mediante los cuales la Comisión Interamericana de Derechos Humanos (en adelante “la Comisión Interamericana” o “la Comisión”) sometió ante la Corte Interamericana de Derechos Humanos (en adelante “la Corte Interamericana”, “la Corte” o “el Tribunal”) el presente caso.</w:t>
      </w:r>
    </w:p>
    <w:p w:rsidR="009B31EC" w:rsidRPr="002F51B4" w:rsidRDefault="009B31EC" w:rsidP="009B31EC">
      <w:pPr>
        <w:pStyle w:val="ListParagraph"/>
        <w:tabs>
          <w:tab w:val="left" w:pos="0"/>
        </w:tabs>
        <w:autoSpaceDE w:val="0"/>
        <w:autoSpaceDN w:val="0"/>
        <w:adjustRightInd w:val="0"/>
        <w:spacing w:after="0" w:line="240" w:lineRule="auto"/>
        <w:ind w:left="0"/>
        <w:jc w:val="both"/>
        <w:rPr>
          <w:rFonts w:ascii="Verdana" w:hAnsi="Verdana"/>
          <w:spacing w:val="-2"/>
          <w:sz w:val="20"/>
          <w:szCs w:val="20"/>
          <w:lang w:val="es-ES"/>
        </w:rPr>
      </w:pPr>
    </w:p>
    <w:p w:rsidR="00A97C49" w:rsidRPr="009B31EC" w:rsidRDefault="00077DF2" w:rsidP="009B31EC">
      <w:pPr>
        <w:pStyle w:val="ListParagraph"/>
        <w:numPr>
          <w:ilvl w:val="0"/>
          <w:numId w:val="6"/>
        </w:numPr>
        <w:tabs>
          <w:tab w:val="left" w:pos="0"/>
        </w:tabs>
        <w:autoSpaceDE w:val="0"/>
        <w:autoSpaceDN w:val="0"/>
        <w:adjustRightInd w:val="0"/>
        <w:spacing w:after="0" w:line="240" w:lineRule="auto"/>
        <w:ind w:left="0" w:firstLine="0"/>
        <w:jc w:val="both"/>
        <w:rPr>
          <w:rFonts w:ascii="Verdana" w:hAnsi="Verdana"/>
          <w:spacing w:val="-2"/>
          <w:sz w:val="20"/>
          <w:szCs w:val="20"/>
          <w:lang w:val="es-CR"/>
        </w:rPr>
      </w:pPr>
      <w:r w:rsidRPr="009B31EC">
        <w:rPr>
          <w:rFonts w:ascii="Verdana" w:hAnsi="Verdana" w:cs="Verdana"/>
          <w:spacing w:val="-2"/>
          <w:sz w:val="20"/>
          <w:szCs w:val="20"/>
          <w:lang w:val="es-ES"/>
        </w:rPr>
        <w:t xml:space="preserve">El escrito de 23 de octubre de 2017, mediante el cual los representantes de </w:t>
      </w:r>
      <w:r w:rsidRPr="009B31EC">
        <w:rPr>
          <w:rFonts w:ascii="Verdana" w:hAnsi="Verdana" w:cs="Verdana"/>
          <w:spacing w:val="-2"/>
          <w:sz w:val="20"/>
          <w:szCs w:val="20"/>
          <w:lang w:val="es-AR"/>
        </w:rPr>
        <w:t>la presunta víctima</w:t>
      </w:r>
      <w:r w:rsidRPr="009B31EC">
        <w:rPr>
          <w:rFonts w:ascii="Verdana" w:hAnsi="Verdana" w:cs="Verdana"/>
          <w:spacing w:val="-2"/>
          <w:sz w:val="20"/>
          <w:szCs w:val="20"/>
          <w:lang w:val="es-ES"/>
        </w:rPr>
        <w:t xml:space="preserve">, remitieron su escrito de solicitudes, argumentos y pruebas (en adelante “escrito de solicitudes y argumentos”), así como solicitaron acogerse al Fondo de Asistencia Legal de Víctimas de la Corte (en adelante “Fondo de Asistencia de la Corte” o “Fondo”). </w:t>
      </w:r>
      <w:r w:rsidR="00987B23" w:rsidRPr="009B31EC">
        <w:rPr>
          <w:rFonts w:ascii="Verdana" w:hAnsi="Verdana"/>
          <w:spacing w:val="-2"/>
          <w:sz w:val="20"/>
          <w:szCs w:val="20"/>
          <w:lang w:val="es-CR"/>
        </w:rPr>
        <w:t>Los anexos al referido escrito fueron recibidos el 13 y 16 de noviembre de 2017.</w:t>
      </w:r>
    </w:p>
    <w:p w:rsidR="0095222A" w:rsidRPr="009B31EC" w:rsidRDefault="0095222A" w:rsidP="009B31EC">
      <w:pPr>
        <w:pStyle w:val="ListParagraph"/>
        <w:tabs>
          <w:tab w:val="left" w:pos="0"/>
        </w:tabs>
        <w:autoSpaceDE w:val="0"/>
        <w:autoSpaceDN w:val="0"/>
        <w:adjustRightInd w:val="0"/>
        <w:spacing w:after="0" w:line="240" w:lineRule="auto"/>
        <w:ind w:left="0"/>
        <w:jc w:val="both"/>
        <w:rPr>
          <w:rFonts w:ascii="Verdana" w:hAnsi="Verdana" w:cs="Verdana"/>
          <w:spacing w:val="-2"/>
          <w:sz w:val="20"/>
          <w:szCs w:val="20"/>
          <w:lang w:val="es-ES"/>
        </w:rPr>
      </w:pPr>
    </w:p>
    <w:p w:rsidR="00FF46BD" w:rsidRPr="009B31EC" w:rsidRDefault="00FF46BD" w:rsidP="009B31EC">
      <w:pPr>
        <w:pStyle w:val="Default"/>
        <w:tabs>
          <w:tab w:val="left" w:pos="0"/>
        </w:tabs>
        <w:jc w:val="both"/>
        <w:rPr>
          <w:b/>
          <w:bCs/>
          <w:color w:val="auto"/>
          <w:spacing w:val="-2"/>
          <w:sz w:val="20"/>
          <w:szCs w:val="20"/>
          <w:lang w:val="es-ES"/>
        </w:rPr>
      </w:pPr>
      <w:r w:rsidRPr="009B31EC">
        <w:rPr>
          <w:b/>
          <w:bCs/>
          <w:color w:val="auto"/>
          <w:spacing w:val="-2"/>
          <w:sz w:val="20"/>
          <w:szCs w:val="20"/>
          <w:lang w:val="es-ES"/>
        </w:rPr>
        <w:t>CONSIDERANDO QUE:</w:t>
      </w:r>
    </w:p>
    <w:p w:rsidR="00FF46BD" w:rsidRPr="009B31EC" w:rsidRDefault="00FF46BD" w:rsidP="009B31EC">
      <w:pPr>
        <w:pStyle w:val="Default"/>
        <w:tabs>
          <w:tab w:val="left" w:pos="0"/>
        </w:tabs>
        <w:jc w:val="both"/>
        <w:rPr>
          <w:b/>
          <w:bCs/>
          <w:color w:val="auto"/>
          <w:spacing w:val="-2"/>
          <w:sz w:val="20"/>
          <w:szCs w:val="20"/>
          <w:lang w:val="es-ES"/>
        </w:rPr>
      </w:pPr>
    </w:p>
    <w:p w:rsidR="00A234D7" w:rsidRPr="009B31EC" w:rsidRDefault="00A97C49" w:rsidP="009B31EC">
      <w:pPr>
        <w:pStyle w:val="ListParagraph"/>
        <w:numPr>
          <w:ilvl w:val="0"/>
          <w:numId w:val="1"/>
        </w:numPr>
        <w:tabs>
          <w:tab w:val="left" w:pos="0"/>
        </w:tabs>
        <w:autoSpaceDE w:val="0"/>
        <w:autoSpaceDN w:val="0"/>
        <w:adjustRightInd w:val="0"/>
        <w:spacing w:after="0" w:line="240" w:lineRule="auto"/>
        <w:ind w:left="0" w:firstLine="0"/>
        <w:jc w:val="both"/>
        <w:rPr>
          <w:rFonts w:ascii="Verdana" w:hAnsi="Verdana"/>
          <w:sz w:val="20"/>
          <w:szCs w:val="20"/>
          <w:lang w:val="es-ES"/>
        </w:rPr>
      </w:pPr>
      <w:r w:rsidRPr="009B31EC">
        <w:rPr>
          <w:rFonts w:ascii="Verdana" w:hAnsi="Verdana"/>
          <w:sz w:val="20"/>
          <w:szCs w:val="20"/>
          <w:lang w:val="es-ES"/>
        </w:rPr>
        <w:t>Venezuela es Estado Parte en la Convención Americana sobre Derechos Humanos (en adelante la “Convención Americana” o la “Convención”) desde el 9 de agosto de 1977 y reconoció la competencia contenciosa de la Corte el 24 de junio de 1981. Por su parte, el 10 de septiembre de 2012 Venezuela denunció la Convención Americana, la cual entró en vigor el 10 de septiembre de 2013. En razón del artículo 78.2 de la Convención, la Corte es competente para conocer del presente caso,</w:t>
      </w:r>
      <w:r w:rsidR="00DD0387" w:rsidRPr="009B31EC">
        <w:rPr>
          <w:rFonts w:ascii="Verdana" w:hAnsi="Verdana"/>
          <w:sz w:val="20"/>
          <w:szCs w:val="20"/>
          <w:lang w:val="es-ES"/>
        </w:rPr>
        <w:t xml:space="preserve"> en los términos del artículo 62.3 de la Convención Americana,</w:t>
      </w:r>
      <w:r w:rsidRPr="009B31EC">
        <w:rPr>
          <w:rFonts w:ascii="Verdana" w:hAnsi="Verdana"/>
          <w:sz w:val="20"/>
          <w:szCs w:val="20"/>
          <w:lang w:val="es-ES"/>
        </w:rPr>
        <w:t xml:space="preserve"> tomando en cuenta que los hechos presentados en el informe de fondo No. 4/17 son anteriores a la entrada en vigor de la denuncia de la Convención.</w:t>
      </w:r>
    </w:p>
    <w:p w:rsidR="00A97C49" w:rsidRPr="009B31EC" w:rsidRDefault="00A97C49" w:rsidP="009B31EC">
      <w:pPr>
        <w:pStyle w:val="ListParagraph"/>
        <w:tabs>
          <w:tab w:val="left" w:pos="0"/>
        </w:tabs>
        <w:autoSpaceDE w:val="0"/>
        <w:autoSpaceDN w:val="0"/>
        <w:adjustRightInd w:val="0"/>
        <w:spacing w:after="0" w:line="240" w:lineRule="auto"/>
        <w:ind w:left="0"/>
        <w:jc w:val="both"/>
        <w:rPr>
          <w:rFonts w:ascii="Verdana" w:hAnsi="Verdana"/>
          <w:sz w:val="20"/>
          <w:szCs w:val="20"/>
          <w:lang w:val="es-ES"/>
        </w:rPr>
      </w:pPr>
    </w:p>
    <w:p w:rsidR="00A97C49" w:rsidRPr="009B31EC" w:rsidRDefault="00A97C49" w:rsidP="009B31EC">
      <w:pPr>
        <w:pStyle w:val="ListParagraph"/>
        <w:numPr>
          <w:ilvl w:val="0"/>
          <w:numId w:val="1"/>
        </w:numPr>
        <w:tabs>
          <w:tab w:val="left" w:pos="0"/>
        </w:tabs>
        <w:autoSpaceDE w:val="0"/>
        <w:autoSpaceDN w:val="0"/>
        <w:adjustRightInd w:val="0"/>
        <w:spacing w:after="0" w:line="240" w:lineRule="auto"/>
        <w:ind w:left="0" w:firstLine="0"/>
        <w:jc w:val="both"/>
        <w:rPr>
          <w:rFonts w:ascii="Verdana" w:hAnsi="Verdana"/>
          <w:sz w:val="20"/>
          <w:szCs w:val="20"/>
          <w:lang w:val="es-ES"/>
        </w:rPr>
      </w:pPr>
      <w:r w:rsidRPr="009B31EC">
        <w:rPr>
          <w:rFonts w:ascii="Verdana" w:hAnsi="Verdana"/>
          <w:sz w:val="20"/>
          <w:szCs w:val="20"/>
          <w:lang w:val="es-ES"/>
        </w:rPr>
        <w:t xml:space="preserve">De acuerdo con el Reglamento de la Corte sobre el Funcionamiento del Fondo de Asistencia (en adelante el “Reglamento del Fondo de Asistencia de la Corte”), para que una presunta víctima pueda acogerse al Fondo se deben cumplir tres requisitos: 1) solicitarlo en su escrito de solicitudes y argumentos; 2) demostrar, mediante declaración jurada y otros medios probatorios idóneos que satisfagan al Tribunal, que carece de recursos económicos suficientes para solventar los costos del litigio ante la Corte Interamericana, y 3) indicar con </w:t>
      </w:r>
      <w:r w:rsidRPr="009B31EC">
        <w:rPr>
          <w:rFonts w:ascii="Verdana" w:hAnsi="Verdana"/>
          <w:sz w:val="20"/>
          <w:szCs w:val="20"/>
          <w:lang w:val="es-ES"/>
        </w:rPr>
        <w:lastRenderedPageBreak/>
        <w:t>precisión qué aspectos de su defensa en el proceso requieren el uso de recursos del Fondo de Asistencia de la Corte</w:t>
      </w:r>
      <w:r w:rsidRPr="009B31EC">
        <w:rPr>
          <w:rStyle w:val="FootnoteReference"/>
          <w:rFonts w:ascii="Verdana" w:hAnsi="Verdana"/>
          <w:sz w:val="20"/>
          <w:szCs w:val="20"/>
          <w:lang w:val="es-ES"/>
        </w:rPr>
        <w:footnoteReference w:id="1"/>
      </w:r>
      <w:r w:rsidRPr="009B31EC">
        <w:rPr>
          <w:rFonts w:ascii="Verdana" w:hAnsi="Verdana"/>
          <w:sz w:val="20"/>
          <w:szCs w:val="20"/>
          <w:lang w:val="es-ES"/>
        </w:rPr>
        <w:t>.</w:t>
      </w:r>
    </w:p>
    <w:p w:rsidR="00A97C49" w:rsidRPr="009B31EC" w:rsidRDefault="00A97C49" w:rsidP="009B31EC">
      <w:pPr>
        <w:pStyle w:val="ListParagraph"/>
        <w:tabs>
          <w:tab w:val="left" w:pos="0"/>
        </w:tabs>
        <w:autoSpaceDE w:val="0"/>
        <w:autoSpaceDN w:val="0"/>
        <w:adjustRightInd w:val="0"/>
        <w:spacing w:after="0" w:line="240" w:lineRule="auto"/>
        <w:ind w:left="0"/>
        <w:jc w:val="both"/>
        <w:rPr>
          <w:rFonts w:ascii="Verdana" w:hAnsi="Verdana"/>
          <w:sz w:val="20"/>
          <w:szCs w:val="20"/>
          <w:lang w:val="es-ES"/>
        </w:rPr>
      </w:pPr>
    </w:p>
    <w:p w:rsidR="0000612A" w:rsidRPr="009B31EC" w:rsidRDefault="00A97C49" w:rsidP="009B31EC">
      <w:pPr>
        <w:pStyle w:val="ListParagraph"/>
        <w:numPr>
          <w:ilvl w:val="0"/>
          <w:numId w:val="1"/>
        </w:numPr>
        <w:tabs>
          <w:tab w:val="left" w:pos="0"/>
        </w:tabs>
        <w:autoSpaceDE w:val="0"/>
        <w:autoSpaceDN w:val="0"/>
        <w:adjustRightInd w:val="0"/>
        <w:spacing w:after="0" w:line="240" w:lineRule="auto"/>
        <w:ind w:left="0" w:firstLine="0"/>
        <w:jc w:val="both"/>
        <w:rPr>
          <w:rFonts w:ascii="Verdana" w:hAnsi="Verdana"/>
          <w:sz w:val="20"/>
          <w:szCs w:val="20"/>
          <w:lang w:val="es-ES"/>
        </w:rPr>
      </w:pPr>
      <w:r w:rsidRPr="009B31EC">
        <w:rPr>
          <w:rFonts w:ascii="Verdana" w:hAnsi="Verdana"/>
          <w:sz w:val="20"/>
          <w:szCs w:val="20"/>
          <w:lang w:val="es-ES"/>
        </w:rPr>
        <w:t>De conformidad con lo estipulado en el artículo 3 del Reglamento del Fondo de Asistencia de la Corte, ante una solicitud para utilizar sus recursos, la Secretaría de la Corte hará un examen preliminar y requerirá al solicitante la remisión de la información que sea necesaria para completar los antecedentes y someterlos a la consideración del Presidente junto con la solicitud. El Presidente de la Corte evaluará la petición y resolverá lo pertinente en un plazo de tres meses contados a partir de la recepción de to</w:t>
      </w:r>
      <w:r w:rsidR="0000612A" w:rsidRPr="009B31EC">
        <w:rPr>
          <w:rFonts w:ascii="Verdana" w:hAnsi="Verdana"/>
          <w:sz w:val="20"/>
          <w:szCs w:val="20"/>
          <w:lang w:val="es-ES"/>
        </w:rPr>
        <w:t>dos los antecedentes requeridos.</w:t>
      </w:r>
    </w:p>
    <w:p w:rsidR="0000612A" w:rsidRPr="009B31EC" w:rsidRDefault="0000612A" w:rsidP="009B31EC">
      <w:pPr>
        <w:tabs>
          <w:tab w:val="left" w:pos="0"/>
        </w:tabs>
        <w:autoSpaceDE w:val="0"/>
        <w:autoSpaceDN w:val="0"/>
        <w:adjustRightInd w:val="0"/>
        <w:spacing w:after="0" w:line="240" w:lineRule="auto"/>
        <w:jc w:val="both"/>
        <w:rPr>
          <w:rFonts w:ascii="Verdana" w:hAnsi="Verdana"/>
          <w:sz w:val="20"/>
          <w:szCs w:val="20"/>
          <w:lang w:val="es-ES"/>
        </w:rPr>
      </w:pPr>
    </w:p>
    <w:p w:rsidR="005D27BB" w:rsidRPr="009B31EC" w:rsidRDefault="00E31B0D" w:rsidP="009B31EC">
      <w:pPr>
        <w:tabs>
          <w:tab w:val="left" w:pos="0"/>
        </w:tabs>
        <w:autoSpaceDE w:val="0"/>
        <w:autoSpaceDN w:val="0"/>
        <w:adjustRightInd w:val="0"/>
        <w:spacing w:after="0" w:line="240" w:lineRule="auto"/>
        <w:jc w:val="both"/>
        <w:rPr>
          <w:rFonts w:ascii="Verdana" w:hAnsi="Verdana"/>
          <w:spacing w:val="-2"/>
          <w:sz w:val="20"/>
          <w:szCs w:val="20"/>
          <w:lang w:val="es-CL"/>
        </w:rPr>
      </w:pPr>
      <w:r w:rsidRPr="009B31EC">
        <w:rPr>
          <w:rFonts w:ascii="Verdana" w:hAnsi="Verdana"/>
          <w:sz w:val="20"/>
          <w:szCs w:val="20"/>
          <w:lang w:val="es-ES"/>
        </w:rPr>
        <w:t xml:space="preserve">4. </w:t>
      </w:r>
      <w:r w:rsidR="00984856" w:rsidRPr="009B31EC">
        <w:rPr>
          <w:rFonts w:ascii="Verdana" w:hAnsi="Verdana"/>
          <w:sz w:val="20"/>
          <w:szCs w:val="20"/>
          <w:lang w:val="es-ES"/>
        </w:rPr>
        <w:t xml:space="preserve"> </w:t>
      </w:r>
      <w:r w:rsidR="0000612A" w:rsidRPr="009B31EC">
        <w:rPr>
          <w:rFonts w:ascii="Verdana" w:hAnsi="Verdana"/>
          <w:sz w:val="20"/>
          <w:szCs w:val="20"/>
          <w:lang w:val="es-ES"/>
        </w:rPr>
        <w:t xml:space="preserve">En el presente caso, se solicitó la asistencia del Fondo para </w:t>
      </w:r>
      <w:r w:rsidR="006C7B13" w:rsidRPr="009B31EC">
        <w:rPr>
          <w:rFonts w:ascii="Verdana" w:hAnsi="Verdana" w:cs="Arial"/>
          <w:sz w:val="20"/>
          <w:szCs w:val="20"/>
          <w:lang w:val="es-ES"/>
        </w:rPr>
        <w:t>sufragar los</w:t>
      </w:r>
      <w:r w:rsidR="00984856" w:rsidRPr="009B31EC">
        <w:rPr>
          <w:rFonts w:ascii="Verdana" w:hAnsi="Verdana" w:cs="Arial"/>
          <w:sz w:val="20"/>
          <w:szCs w:val="20"/>
          <w:lang w:val="es-ES"/>
        </w:rPr>
        <w:t xml:space="preserve"> </w:t>
      </w:r>
      <w:r w:rsidR="006C7B13" w:rsidRPr="009B31EC">
        <w:rPr>
          <w:rFonts w:ascii="Verdana" w:hAnsi="Verdana" w:cs="Arial"/>
          <w:sz w:val="20"/>
          <w:szCs w:val="20"/>
          <w:lang w:val="es-ES"/>
        </w:rPr>
        <w:t>gastos de transporte relacionados con la co</w:t>
      </w:r>
      <w:r w:rsidR="00984856" w:rsidRPr="009B31EC">
        <w:rPr>
          <w:rFonts w:ascii="Verdana" w:hAnsi="Verdana" w:cs="Arial"/>
          <w:sz w:val="20"/>
          <w:szCs w:val="20"/>
          <w:lang w:val="es-ES"/>
        </w:rPr>
        <w:t xml:space="preserve">mparecencia a la Audiencia, así </w:t>
      </w:r>
      <w:r w:rsidR="006C7B13" w:rsidRPr="009B31EC">
        <w:rPr>
          <w:rFonts w:ascii="Verdana" w:hAnsi="Verdana" w:cs="Arial"/>
          <w:sz w:val="20"/>
          <w:szCs w:val="20"/>
          <w:lang w:val="es-ES"/>
        </w:rPr>
        <w:t>como la de los testigos y peritos</w:t>
      </w:r>
      <w:r w:rsidR="005D27BB" w:rsidRPr="009B31EC">
        <w:rPr>
          <w:rFonts w:ascii="Verdana" w:hAnsi="Verdana"/>
          <w:spacing w:val="-2"/>
          <w:sz w:val="20"/>
          <w:szCs w:val="20"/>
          <w:lang w:val="es-CL"/>
        </w:rPr>
        <w:t xml:space="preserve">, </w:t>
      </w:r>
      <w:r w:rsidR="00984856" w:rsidRPr="009B31EC">
        <w:rPr>
          <w:rFonts w:ascii="Verdana" w:hAnsi="Verdana" w:cs="Arial"/>
          <w:sz w:val="20"/>
          <w:szCs w:val="20"/>
          <w:lang w:val="es-ES"/>
        </w:rPr>
        <w:t>previsión de erogaciones y costos ante funcionarios consulares de terceros</w:t>
      </w:r>
      <w:r w:rsidR="00984856" w:rsidRPr="009B31EC">
        <w:rPr>
          <w:rFonts w:ascii="Verdana" w:hAnsi="Verdana"/>
          <w:spacing w:val="-2"/>
          <w:sz w:val="20"/>
          <w:szCs w:val="20"/>
          <w:lang w:val="es-CL"/>
        </w:rPr>
        <w:t xml:space="preserve"> </w:t>
      </w:r>
      <w:r w:rsidR="00984856" w:rsidRPr="009B31EC">
        <w:rPr>
          <w:rFonts w:ascii="Verdana" w:hAnsi="Verdana" w:cs="Arial"/>
          <w:sz w:val="20"/>
          <w:szCs w:val="20"/>
          <w:lang w:val="es-ES"/>
        </w:rPr>
        <w:t>países</w:t>
      </w:r>
      <w:r w:rsidR="00984856" w:rsidRPr="009B31EC">
        <w:rPr>
          <w:rFonts w:ascii="Verdana" w:hAnsi="Verdana"/>
          <w:spacing w:val="-2"/>
          <w:sz w:val="20"/>
          <w:szCs w:val="20"/>
          <w:lang w:val="es-CL"/>
        </w:rPr>
        <w:t xml:space="preserve">, </w:t>
      </w:r>
      <w:r w:rsidR="005D27BB" w:rsidRPr="009B31EC">
        <w:rPr>
          <w:rFonts w:ascii="Verdana" w:hAnsi="Verdana" w:cs="Arial"/>
          <w:sz w:val="20"/>
          <w:szCs w:val="20"/>
          <w:lang w:val="es-ES"/>
        </w:rPr>
        <w:t>certificar algunos testimonios</w:t>
      </w:r>
      <w:r w:rsidR="00984856" w:rsidRPr="009B31EC">
        <w:rPr>
          <w:rFonts w:ascii="Verdana" w:hAnsi="Verdana" w:cs="Arial"/>
          <w:sz w:val="20"/>
          <w:szCs w:val="20"/>
          <w:lang w:val="es-ES"/>
        </w:rPr>
        <w:t xml:space="preserve"> </w:t>
      </w:r>
      <w:r w:rsidR="005D27BB" w:rsidRPr="009B31EC">
        <w:rPr>
          <w:rFonts w:ascii="Verdana" w:hAnsi="Verdana" w:cs="Arial"/>
          <w:sz w:val="20"/>
          <w:szCs w:val="20"/>
          <w:lang w:val="es-ES"/>
        </w:rPr>
        <w:t>fuera de Venezuela</w:t>
      </w:r>
      <w:r w:rsidR="005D27BB" w:rsidRPr="009B31EC">
        <w:rPr>
          <w:rFonts w:ascii="Verdana" w:hAnsi="Verdana"/>
          <w:spacing w:val="-2"/>
          <w:sz w:val="20"/>
          <w:szCs w:val="20"/>
          <w:lang w:val="es-CL"/>
        </w:rPr>
        <w:t>,</w:t>
      </w:r>
      <w:r w:rsidR="00984856" w:rsidRPr="009B31EC">
        <w:rPr>
          <w:rFonts w:ascii="Verdana" w:hAnsi="Verdana"/>
          <w:spacing w:val="-2"/>
          <w:sz w:val="20"/>
          <w:szCs w:val="20"/>
          <w:lang w:val="es-CL"/>
        </w:rPr>
        <w:t xml:space="preserve">  y</w:t>
      </w:r>
      <w:r w:rsidR="005D27BB" w:rsidRPr="009B31EC">
        <w:rPr>
          <w:rFonts w:ascii="Verdana" w:hAnsi="Verdana"/>
          <w:spacing w:val="-2"/>
          <w:sz w:val="20"/>
          <w:szCs w:val="20"/>
          <w:lang w:val="es-CL"/>
        </w:rPr>
        <w:t xml:space="preserve"> </w:t>
      </w:r>
      <w:r w:rsidR="005D27BB" w:rsidRPr="009B31EC">
        <w:rPr>
          <w:rFonts w:ascii="Verdana" w:hAnsi="Verdana" w:cs="Arial"/>
          <w:sz w:val="20"/>
          <w:szCs w:val="20"/>
          <w:lang w:val="es-ES"/>
        </w:rPr>
        <w:t>certificar documentos o los informes que serán incorporados al expediente</w:t>
      </w:r>
      <w:r w:rsidR="00984856" w:rsidRPr="009B31EC">
        <w:rPr>
          <w:rFonts w:ascii="Verdana" w:hAnsi="Verdana"/>
          <w:spacing w:val="-2"/>
          <w:sz w:val="20"/>
          <w:szCs w:val="20"/>
          <w:lang w:val="es-CL"/>
        </w:rPr>
        <w:t>.</w:t>
      </w:r>
    </w:p>
    <w:p w:rsidR="00984856" w:rsidRPr="009B31EC" w:rsidRDefault="00984856" w:rsidP="009B31EC">
      <w:pPr>
        <w:tabs>
          <w:tab w:val="left" w:pos="0"/>
        </w:tabs>
        <w:autoSpaceDE w:val="0"/>
        <w:autoSpaceDN w:val="0"/>
        <w:adjustRightInd w:val="0"/>
        <w:spacing w:after="0" w:line="240" w:lineRule="auto"/>
        <w:jc w:val="both"/>
        <w:rPr>
          <w:rFonts w:ascii="Verdana" w:hAnsi="Verdana"/>
          <w:spacing w:val="-2"/>
          <w:sz w:val="20"/>
          <w:szCs w:val="20"/>
          <w:lang w:val="es-CL"/>
        </w:rPr>
      </w:pPr>
    </w:p>
    <w:p w:rsidR="006C7B13" w:rsidRPr="009B31EC" w:rsidRDefault="00984856" w:rsidP="009B31EC">
      <w:pPr>
        <w:tabs>
          <w:tab w:val="left" w:pos="0"/>
        </w:tabs>
        <w:autoSpaceDE w:val="0"/>
        <w:autoSpaceDN w:val="0"/>
        <w:adjustRightInd w:val="0"/>
        <w:spacing w:after="0" w:line="240" w:lineRule="auto"/>
        <w:jc w:val="both"/>
        <w:rPr>
          <w:rFonts w:ascii="Verdana" w:hAnsi="Verdana"/>
          <w:sz w:val="20"/>
          <w:szCs w:val="20"/>
          <w:lang w:val="es-ES"/>
        </w:rPr>
      </w:pPr>
      <w:r w:rsidRPr="009B31EC">
        <w:rPr>
          <w:rFonts w:ascii="Verdana" w:hAnsi="Verdana"/>
          <w:spacing w:val="-2"/>
          <w:sz w:val="20"/>
          <w:szCs w:val="20"/>
          <w:lang w:val="es-CR"/>
        </w:rPr>
        <w:t>5.</w:t>
      </w:r>
      <w:r w:rsidR="00240DDE" w:rsidRPr="009B31EC">
        <w:rPr>
          <w:rFonts w:ascii="Verdana" w:hAnsi="Verdana"/>
          <w:spacing w:val="-2"/>
          <w:sz w:val="20"/>
          <w:szCs w:val="20"/>
          <w:lang w:val="es-CR"/>
        </w:rPr>
        <w:t xml:space="preserve">   </w:t>
      </w:r>
      <w:r w:rsidRPr="009B31EC">
        <w:rPr>
          <w:rFonts w:ascii="Verdana" w:hAnsi="Verdana"/>
          <w:spacing w:val="-2"/>
          <w:sz w:val="20"/>
          <w:szCs w:val="20"/>
          <w:lang w:val="es-CR"/>
        </w:rPr>
        <w:t xml:space="preserve">La solicitud para acogerse al Fondo de Asistencia de la Corte fue realizada oportunamente en el escrito de solicitudes y argumentos por </w:t>
      </w:r>
      <w:r w:rsidR="001F43D6" w:rsidRPr="009B31EC">
        <w:rPr>
          <w:rFonts w:ascii="Verdana" w:hAnsi="Verdana"/>
          <w:spacing w:val="-2"/>
          <w:sz w:val="20"/>
          <w:szCs w:val="20"/>
          <w:lang w:val="es-CR"/>
        </w:rPr>
        <w:t>la presunta</w:t>
      </w:r>
      <w:r w:rsidRPr="009B31EC">
        <w:rPr>
          <w:rFonts w:ascii="Verdana" w:hAnsi="Verdana"/>
          <w:spacing w:val="-2"/>
          <w:sz w:val="20"/>
          <w:szCs w:val="20"/>
          <w:lang w:val="es-CR"/>
        </w:rPr>
        <w:t xml:space="preserve"> </w:t>
      </w:r>
      <w:r w:rsidR="001F43D6" w:rsidRPr="009B31EC">
        <w:rPr>
          <w:rFonts w:ascii="Verdana" w:hAnsi="Verdana"/>
          <w:spacing w:val="-2"/>
          <w:sz w:val="20"/>
          <w:szCs w:val="20"/>
          <w:lang w:val="es-CR"/>
        </w:rPr>
        <w:t>víctima</w:t>
      </w:r>
      <w:r w:rsidRPr="009B31EC">
        <w:rPr>
          <w:rFonts w:ascii="Verdana" w:hAnsi="Verdana"/>
          <w:spacing w:val="-2"/>
          <w:sz w:val="20"/>
          <w:szCs w:val="20"/>
          <w:lang w:val="es-CR"/>
        </w:rPr>
        <w:t xml:space="preserve">. </w:t>
      </w:r>
      <w:r w:rsidR="001F43D6" w:rsidRPr="009B31EC">
        <w:rPr>
          <w:rFonts w:ascii="Verdana" w:hAnsi="Verdana"/>
          <w:sz w:val="20"/>
          <w:szCs w:val="20"/>
          <w:lang w:val="es-ES"/>
        </w:rPr>
        <w:t>Junto con la referida solicitud</w:t>
      </w:r>
      <w:r w:rsidR="001F43D6" w:rsidRPr="0032457D">
        <w:rPr>
          <w:rFonts w:ascii="Verdana" w:hAnsi="Verdana"/>
          <w:sz w:val="20"/>
          <w:szCs w:val="20"/>
          <w:lang w:val="es-ES"/>
        </w:rPr>
        <w:t>, se remitió una</w:t>
      </w:r>
      <w:r w:rsidR="007A12B6" w:rsidRPr="0032457D">
        <w:rPr>
          <w:rFonts w:ascii="Verdana" w:hAnsi="Verdana"/>
          <w:sz w:val="20"/>
          <w:szCs w:val="20"/>
          <w:lang w:val="es-ES"/>
        </w:rPr>
        <w:t xml:space="preserve"> </w:t>
      </w:r>
      <w:r w:rsidR="001F43D6" w:rsidRPr="0032457D">
        <w:rPr>
          <w:rFonts w:ascii="Verdana" w:hAnsi="Verdana"/>
          <w:sz w:val="20"/>
          <w:szCs w:val="20"/>
          <w:lang w:val="es-ES"/>
        </w:rPr>
        <w:t xml:space="preserve">declaración jurada de la presunta víctima </w:t>
      </w:r>
      <w:r w:rsidR="00B803B4" w:rsidRPr="0032457D">
        <w:rPr>
          <w:rFonts w:ascii="Verdana" w:hAnsi="Verdana"/>
          <w:sz w:val="20"/>
          <w:szCs w:val="20"/>
          <w:lang w:val="es-ES"/>
        </w:rPr>
        <w:t>Tulio Álvarez Ramos</w:t>
      </w:r>
      <w:r w:rsidR="004D6C02" w:rsidRPr="0032457D">
        <w:rPr>
          <w:rFonts w:ascii="Verdana" w:hAnsi="Verdana"/>
          <w:sz w:val="20"/>
          <w:szCs w:val="20"/>
          <w:lang w:val="es-ES"/>
        </w:rPr>
        <w:t>,</w:t>
      </w:r>
      <w:r w:rsidR="00B803B4" w:rsidRPr="0032457D">
        <w:rPr>
          <w:rFonts w:ascii="Verdana" w:hAnsi="Verdana"/>
          <w:sz w:val="20"/>
          <w:szCs w:val="20"/>
          <w:lang w:val="es-ES"/>
        </w:rPr>
        <w:t xml:space="preserve"> </w:t>
      </w:r>
      <w:r w:rsidR="001F43D6" w:rsidRPr="0032457D">
        <w:rPr>
          <w:rFonts w:ascii="Verdana" w:hAnsi="Verdana"/>
          <w:sz w:val="20"/>
          <w:szCs w:val="20"/>
          <w:lang w:val="es-ES"/>
        </w:rPr>
        <w:t xml:space="preserve">en la cual </w:t>
      </w:r>
      <w:r w:rsidR="00232778" w:rsidRPr="0032457D">
        <w:rPr>
          <w:rFonts w:ascii="Verdana" w:hAnsi="Verdana"/>
          <w:sz w:val="20"/>
          <w:szCs w:val="20"/>
          <w:lang w:val="es-ES"/>
        </w:rPr>
        <w:t>informó sobre su situación financiera</w:t>
      </w:r>
      <w:r w:rsidR="004D6C02" w:rsidRPr="0032457D">
        <w:rPr>
          <w:rFonts w:ascii="Verdana" w:hAnsi="Verdana"/>
          <w:sz w:val="20"/>
          <w:szCs w:val="20"/>
          <w:lang w:val="es-ES"/>
        </w:rPr>
        <w:t>.</w:t>
      </w:r>
      <w:r w:rsidR="00232778" w:rsidRPr="0032457D">
        <w:rPr>
          <w:rFonts w:ascii="Verdana" w:hAnsi="Verdana"/>
          <w:sz w:val="20"/>
          <w:szCs w:val="20"/>
          <w:lang w:val="es-ES"/>
        </w:rPr>
        <w:t xml:space="preserve"> </w:t>
      </w:r>
      <w:r w:rsidR="004D6C02" w:rsidRPr="0032457D">
        <w:rPr>
          <w:rFonts w:ascii="Verdana" w:hAnsi="Verdana"/>
          <w:sz w:val="20"/>
          <w:szCs w:val="20"/>
          <w:lang w:val="es-ES"/>
        </w:rPr>
        <w:t>A</w:t>
      </w:r>
      <w:r w:rsidR="001F43D6" w:rsidRPr="0032457D">
        <w:rPr>
          <w:rFonts w:ascii="Verdana" w:hAnsi="Verdana"/>
          <w:sz w:val="20"/>
          <w:szCs w:val="20"/>
          <w:lang w:val="es-ES"/>
        </w:rPr>
        <w:t>firmó que carecía de los recursos económicos necesarios para solventar el litigi</w:t>
      </w:r>
      <w:r w:rsidR="00BB0A77" w:rsidRPr="0032457D">
        <w:rPr>
          <w:rFonts w:ascii="Verdana" w:hAnsi="Verdana"/>
          <w:sz w:val="20"/>
          <w:szCs w:val="20"/>
          <w:lang w:val="es-ES"/>
        </w:rPr>
        <w:t>o ante la Corte Interamericana</w:t>
      </w:r>
      <w:r w:rsidR="00232778" w:rsidRPr="0032457D">
        <w:rPr>
          <w:rFonts w:ascii="Verdana" w:hAnsi="Verdana"/>
          <w:sz w:val="20"/>
          <w:szCs w:val="20"/>
          <w:lang w:val="es-ES"/>
        </w:rPr>
        <w:t xml:space="preserve">, </w:t>
      </w:r>
      <w:r w:rsidR="004D6C02" w:rsidRPr="0032457D">
        <w:rPr>
          <w:rFonts w:ascii="Verdana" w:hAnsi="Verdana"/>
          <w:sz w:val="20"/>
          <w:szCs w:val="20"/>
          <w:lang w:val="es-ES"/>
        </w:rPr>
        <w:t>así como aportó</w:t>
      </w:r>
      <w:r w:rsidR="00232778" w:rsidRPr="0032457D">
        <w:rPr>
          <w:rFonts w:ascii="Verdana" w:hAnsi="Verdana"/>
          <w:sz w:val="20"/>
          <w:szCs w:val="20"/>
          <w:lang w:val="es-ES"/>
        </w:rPr>
        <w:t xml:space="preserve"> comprobantes de salario y declaraciones de impuestos hasta el año 2016.</w:t>
      </w:r>
      <w:r w:rsidR="00232778" w:rsidRPr="009B31EC">
        <w:rPr>
          <w:rFonts w:ascii="Verdana" w:hAnsi="Verdana"/>
          <w:sz w:val="20"/>
          <w:szCs w:val="20"/>
          <w:lang w:val="es-ES"/>
        </w:rPr>
        <w:t xml:space="preserve"> </w:t>
      </w:r>
    </w:p>
    <w:p w:rsidR="00BB0A77" w:rsidRPr="009B31EC" w:rsidRDefault="00BB0A77" w:rsidP="009B31EC">
      <w:pPr>
        <w:tabs>
          <w:tab w:val="left" w:pos="0"/>
        </w:tabs>
        <w:autoSpaceDE w:val="0"/>
        <w:autoSpaceDN w:val="0"/>
        <w:adjustRightInd w:val="0"/>
        <w:spacing w:after="0" w:line="240" w:lineRule="auto"/>
        <w:jc w:val="both"/>
        <w:rPr>
          <w:rFonts w:ascii="Verdana" w:hAnsi="Verdana"/>
          <w:sz w:val="20"/>
          <w:szCs w:val="20"/>
          <w:lang w:val="es-ES"/>
        </w:rPr>
      </w:pPr>
    </w:p>
    <w:p w:rsidR="00BB0A77" w:rsidRPr="009B31EC" w:rsidRDefault="00BB0A77" w:rsidP="009B31EC">
      <w:pPr>
        <w:tabs>
          <w:tab w:val="left" w:pos="0"/>
        </w:tabs>
        <w:autoSpaceDE w:val="0"/>
        <w:autoSpaceDN w:val="0"/>
        <w:adjustRightInd w:val="0"/>
        <w:spacing w:after="0" w:line="240" w:lineRule="auto"/>
        <w:jc w:val="both"/>
        <w:rPr>
          <w:rFonts w:ascii="Verdana" w:hAnsi="Verdana"/>
          <w:b/>
          <w:sz w:val="20"/>
          <w:szCs w:val="20"/>
          <w:lang w:val="es-ES"/>
        </w:rPr>
      </w:pPr>
      <w:r w:rsidRPr="009B31EC">
        <w:rPr>
          <w:rFonts w:ascii="Verdana" w:hAnsi="Verdana"/>
          <w:b/>
          <w:sz w:val="20"/>
          <w:szCs w:val="20"/>
          <w:lang w:val="es-ES"/>
        </w:rPr>
        <w:t>POR TANTO:</w:t>
      </w:r>
    </w:p>
    <w:p w:rsidR="00BB0A77" w:rsidRPr="009B31EC" w:rsidRDefault="00BB0A77" w:rsidP="009B31EC">
      <w:pPr>
        <w:tabs>
          <w:tab w:val="left" w:pos="0"/>
        </w:tabs>
        <w:autoSpaceDE w:val="0"/>
        <w:autoSpaceDN w:val="0"/>
        <w:adjustRightInd w:val="0"/>
        <w:spacing w:after="0" w:line="240" w:lineRule="auto"/>
        <w:rPr>
          <w:rFonts w:ascii="Verdana" w:eastAsia="Calibri" w:hAnsi="Verdana" w:cs="Verdana"/>
          <w:b/>
          <w:bCs/>
          <w:spacing w:val="-2"/>
          <w:sz w:val="20"/>
          <w:szCs w:val="20"/>
          <w:lang w:val="es-ES"/>
        </w:rPr>
      </w:pPr>
    </w:p>
    <w:p w:rsidR="00BB0A77" w:rsidRPr="009B31EC" w:rsidRDefault="00BB0A77" w:rsidP="009B31EC">
      <w:pPr>
        <w:tabs>
          <w:tab w:val="left" w:pos="0"/>
        </w:tabs>
        <w:autoSpaceDE w:val="0"/>
        <w:autoSpaceDN w:val="0"/>
        <w:adjustRightInd w:val="0"/>
        <w:spacing w:after="0" w:line="240" w:lineRule="auto"/>
        <w:rPr>
          <w:rFonts w:ascii="Verdana" w:eastAsia="Calibri" w:hAnsi="Verdana" w:cs="Verdana"/>
          <w:b/>
          <w:bCs/>
          <w:spacing w:val="-2"/>
          <w:sz w:val="20"/>
          <w:szCs w:val="20"/>
          <w:lang w:val="es-ES"/>
        </w:rPr>
      </w:pPr>
      <w:r w:rsidRPr="009B31EC">
        <w:rPr>
          <w:rFonts w:ascii="Verdana" w:eastAsia="Calibri" w:hAnsi="Verdana" w:cs="Verdana"/>
          <w:b/>
          <w:bCs/>
          <w:spacing w:val="-2"/>
          <w:sz w:val="20"/>
          <w:szCs w:val="20"/>
          <w:lang w:val="es-ES"/>
        </w:rPr>
        <w:t>EL PRESIDENTE DE LA CORTE INTERAMERICANA DE DERECHOS HUMANOS,</w:t>
      </w:r>
    </w:p>
    <w:p w:rsidR="00BB0A77" w:rsidRPr="009B31EC" w:rsidRDefault="00BB0A77" w:rsidP="009B31EC">
      <w:pPr>
        <w:tabs>
          <w:tab w:val="left" w:pos="0"/>
        </w:tabs>
        <w:autoSpaceDE w:val="0"/>
        <w:autoSpaceDN w:val="0"/>
        <w:adjustRightInd w:val="0"/>
        <w:spacing w:after="0" w:line="240" w:lineRule="auto"/>
        <w:jc w:val="both"/>
        <w:rPr>
          <w:rFonts w:ascii="Verdana" w:eastAsia="Calibri" w:hAnsi="Verdana" w:cs="Verdana"/>
          <w:b/>
          <w:bCs/>
          <w:spacing w:val="-2"/>
          <w:sz w:val="20"/>
          <w:szCs w:val="20"/>
          <w:lang w:val="es-ES"/>
        </w:rPr>
      </w:pPr>
    </w:p>
    <w:p w:rsidR="00BB0A77" w:rsidRPr="009B31EC" w:rsidRDefault="00BB0A77" w:rsidP="009B31EC">
      <w:pPr>
        <w:tabs>
          <w:tab w:val="left" w:pos="0"/>
        </w:tabs>
        <w:autoSpaceDE w:val="0"/>
        <w:autoSpaceDN w:val="0"/>
        <w:adjustRightInd w:val="0"/>
        <w:spacing w:after="0" w:line="240" w:lineRule="auto"/>
        <w:jc w:val="both"/>
        <w:rPr>
          <w:rFonts w:ascii="Verdana" w:eastAsia="Calibri" w:hAnsi="Verdana" w:cs="Verdana"/>
          <w:spacing w:val="-2"/>
          <w:sz w:val="20"/>
          <w:szCs w:val="20"/>
          <w:lang w:val="es-ES"/>
        </w:rPr>
      </w:pPr>
      <w:r w:rsidRPr="009B31EC">
        <w:rPr>
          <w:rFonts w:ascii="Verdana" w:eastAsia="Calibri" w:hAnsi="Verdana" w:cs="Verdana"/>
          <w:spacing w:val="-2"/>
          <w:sz w:val="20"/>
          <w:szCs w:val="20"/>
          <w:lang w:val="es-ES"/>
        </w:rPr>
        <w:t>en ejercicio de sus atribuciones con relación al Fondo y de conformidad con el artículo 31 del Reglamento del Tribunal y el artículo 3 del Reglamento del Fondo de Asistencia de la Corte,</w:t>
      </w:r>
    </w:p>
    <w:p w:rsidR="00984856" w:rsidRPr="009B31EC" w:rsidRDefault="00984856" w:rsidP="009B31EC">
      <w:pPr>
        <w:tabs>
          <w:tab w:val="left" w:pos="0"/>
        </w:tabs>
        <w:autoSpaceDE w:val="0"/>
        <w:autoSpaceDN w:val="0"/>
        <w:adjustRightInd w:val="0"/>
        <w:spacing w:after="0" w:line="240" w:lineRule="auto"/>
        <w:jc w:val="both"/>
        <w:rPr>
          <w:rFonts w:ascii="Verdana" w:hAnsi="Verdana" w:cs="Arial"/>
          <w:sz w:val="20"/>
          <w:szCs w:val="20"/>
          <w:lang w:val="es-ES"/>
        </w:rPr>
      </w:pPr>
    </w:p>
    <w:p w:rsidR="00240DDE" w:rsidRPr="009B31EC" w:rsidRDefault="00240DDE" w:rsidP="009B31EC">
      <w:pPr>
        <w:pStyle w:val="ListParagraph"/>
        <w:numPr>
          <w:ilvl w:val="0"/>
          <w:numId w:val="7"/>
        </w:numPr>
        <w:tabs>
          <w:tab w:val="left" w:pos="0"/>
        </w:tabs>
        <w:autoSpaceDE w:val="0"/>
        <w:autoSpaceDN w:val="0"/>
        <w:adjustRightInd w:val="0"/>
        <w:spacing w:after="0" w:line="240" w:lineRule="auto"/>
        <w:ind w:left="0" w:firstLine="0"/>
        <w:jc w:val="both"/>
        <w:rPr>
          <w:rFonts w:ascii="Verdana" w:hAnsi="Verdana" w:cs="Verdana"/>
          <w:spacing w:val="-2"/>
          <w:sz w:val="20"/>
          <w:szCs w:val="20"/>
          <w:lang w:val="es-ES"/>
        </w:rPr>
      </w:pPr>
      <w:r w:rsidRPr="009B31EC">
        <w:rPr>
          <w:rFonts w:ascii="Verdana" w:hAnsi="Verdana"/>
          <w:spacing w:val="-2"/>
          <w:sz w:val="20"/>
          <w:szCs w:val="20"/>
          <w:lang w:val="es-CR"/>
        </w:rPr>
        <w:t>C</w:t>
      </w:r>
      <w:r w:rsidRPr="009B31EC">
        <w:rPr>
          <w:rFonts w:ascii="Verdana" w:hAnsi="Verdana" w:cs="Verdana"/>
          <w:spacing w:val="-2"/>
          <w:sz w:val="20"/>
          <w:szCs w:val="20"/>
          <w:lang w:val="es-CR"/>
        </w:rPr>
        <w:t xml:space="preserve">onsidera </w:t>
      </w:r>
      <w:r w:rsidRPr="009B31EC">
        <w:rPr>
          <w:rFonts w:ascii="Verdana" w:hAnsi="Verdana" w:cs="Verdana"/>
          <w:spacing w:val="-2"/>
          <w:sz w:val="20"/>
          <w:szCs w:val="20"/>
          <w:lang w:val="es-ES"/>
        </w:rPr>
        <w:t xml:space="preserve">suficiente la </w:t>
      </w:r>
      <w:r w:rsidR="00391F33" w:rsidRPr="009B31EC">
        <w:rPr>
          <w:rFonts w:ascii="Verdana" w:hAnsi="Verdana" w:cs="Verdana"/>
          <w:spacing w:val="-2"/>
          <w:sz w:val="20"/>
          <w:szCs w:val="20"/>
          <w:lang w:val="es-ES"/>
        </w:rPr>
        <w:t xml:space="preserve">declaración </w:t>
      </w:r>
      <w:r w:rsidRPr="009B31EC">
        <w:rPr>
          <w:rFonts w:ascii="Verdana" w:hAnsi="Verdana" w:cs="Verdana"/>
          <w:spacing w:val="-2"/>
          <w:sz w:val="20"/>
          <w:szCs w:val="20"/>
          <w:lang w:val="es-ES"/>
        </w:rPr>
        <w:t>jurada presentada</w:t>
      </w:r>
      <w:r w:rsidR="00391F33" w:rsidRPr="009B31EC">
        <w:rPr>
          <w:rFonts w:ascii="Verdana" w:hAnsi="Verdana" w:cs="Verdana"/>
          <w:spacing w:val="-2"/>
          <w:sz w:val="20"/>
          <w:szCs w:val="20"/>
          <w:lang w:val="es-ES"/>
        </w:rPr>
        <w:t xml:space="preserve"> y la documentación aportada por el señor </w:t>
      </w:r>
      <w:r w:rsidR="00077DF2" w:rsidRPr="009B31EC">
        <w:rPr>
          <w:rFonts w:ascii="Verdana" w:hAnsi="Verdana" w:cs="Verdana"/>
          <w:spacing w:val="-2"/>
          <w:sz w:val="20"/>
          <w:szCs w:val="20"/>
          <w:lang w:val="es-ES"/>
        </w:rPr>
        <w:t>Álvarez</w:t>
      </w:r>
      <w:r w:rsidR="00391F33" w:rsidRPr="009B31EC">
        <w:rPr>
          <w:rFonts w:ascii="Verdana" w:hAnsi="Verdana" w:cs="Verdana"/>
          <w:spacing w:val="-2"/>
          <w:sz w:val="20"/>
          <w:szCs w:val="20"/>
          <w:lang w:val="es-ES"/>
        </w:rPr>
        <w:t xml:space="preserve"> Ramos</w:t>
      </w:r>
      <w:r w:rsidRPr="009B31EC">
        <w:rPr>
          <w:rFonts w:ascii="Verdana" w:hAnsi="Verdana" w:cs="Verdana"/>
          <w:spacing w:val="-2"/>
          <w:sz w:val="20"/>
          <w:szCs w:val="20"/>
          <w:lang w:val="es-ES"/>
        </w:rPr>
        <w:t xml:space="preserve">, de conformidad con el artículo 2 del Reglamento del Fondo de Asistencia de la Corte, como evidencia de la carencia de recursos económicos de la presunta víctima. </w:t>
      </w:r>
    </w:p>
    <w:p w:rsidR="00D006FF" w:rsidRPr="009B31EC" w:rsidRDefault="00D006FF" w:rsidP="009B31EC">
      <w:pPr>
        <w:tabs>
          <w:tab w:val="left" w:pos="0"/>
        </w:tabs>
        <w:autoSpaceDE w:val="0"/>
        <w:autoSpaceDN w:val="0"/>
        <w:adjustRightInd w:val="0"/>
        <w:spacing w:after="0" w:line="240" w:lineRule="auto"/>
        <w:jc w:val="both"/>
        <w:rPr>
          <w:rFonts w:ascii="Verdana" w:hAnsi="Verdana" w:cs="Verdana"/>
          <w:spacing w:val="-2"/>
          <w:sz w:val="20"/>
          <w:szCs w:val="20"/>
          <w:lang w:val="es-ES"/>
        </w:rPr>
      </w:pPr>
    </w:p>
    <w:p w:rsidR="00240DDE" w:rsidRPr="009B31EC" w:rsidRDefault="00240DDE" w:rsidP="009B31EC">
      <w:pPr>
        <w:pStyle w:val="ListParagraph"/>
        <w:numPr>
          <w:ilvl w:val="0"/>
          <w:numId w:val="7"/>
        </w:numPr>
        <w:tabs>
          <w:tab w:val="left" w:pos="0"/>
        </w:tabs>
        <w:autoSpaceDE w:val="0"/>
        <w:autoSpaceDN w:val="0"/>
        <w:adjustRightInd w:val="0"/>
        <w:spacing w:after="0" w:line="240" w:lineRule="auto"/>
        <w:ind w:left="0" w:firstLine="0"/>
        <w:jc w:val="both"/>
        <w:rPr>
          <w:rFonts w:ascii="Verdana" w:hAnsi="Verdana" w:cs="Verdana"/>
          <w:spacing w:val="-2"/>
          <w:sz w:val="20"/>
          <w:szCs w:val="20"/>
          <w:lang w:val="es-CR"/>
        </w:rPr>
      </w:pPr>
      <w:r w:rsidRPr="009B31EC">
        <w:rPr>
          <w:rFonts w:ascii="Verdana" w:hAnsi="Verdana" w:cs="Verdana"/>
          <w:spacing w:val="-2"/>
          <w:sz w:val="20"/>
          <w:szCs w:val="20"/>
          <w:lang w:val="es-CR"/>
        </w:rPr>
        <w:t>Establece que e</w:t>
      </w:r>
      <w:r w:rsidR="00E31B0D" w:rsidRPr="009B31EC">
        <w:rPr>
          <w:rFonts w:ascii="Verdana" w:hAnsi="Verdana" w:cs="Verdana"/>
          <w:spacing w:val="-2"/>
          <w:sz w:val="20"/>
          <w:szCs w:val="20"/>
          <w:lang w:val="es-CR"/>
        </w:rPr>
        <w:t>s procedente la solicitud de la presunta víctima</w:t>
      </w:r>
      <w:r w:rsidRPr="009B31EC">
        <w:rPr>
          <w:rFonts w:ascii="Verdana" w:hAnsi="Verdana" w:cs="Verdana"/>
          <w:spacing w:val="-2"/>
          <w:sz w:val="20"/>
          <w:szCs w:val="20"/>
          <w:lang w:val="es-CR"/>
        </w:rPr>
        <w:t xml:space="preserve"> para acogerse al Fondo de Asistencia de la Corte, en el entendido de que </w:t>
      </w:r>
      <w:r w:rsidR="000D7D9A" w:rsidRPr="009B31EC">
        <w:rPr>
          <w:rFonts w:ascii="Verdana" w:hAnsi="Verdana" w:cs="Verdana"/>
          <w:spacing w:val="-2"/>
          <w:sz w:val="20"/>
          <w:szCs w:val="20"/>
          <w:lang w:val="es-CR"/>
        </w:rPr>
        <w:t xml:space="preserve">los fondos serán usados </w:t>
      </w:r>
      <w:r w:rsidRPr="009B31EC">
        <w:rPr>
          <w:rFonts w:ascii="Verdana" w:hAnsi="Verdana" w:cs="Verdana"/>
          <w:spacing w:val="-2"/>
          <w:sz w:val="20"/>
          <w:szCs w:val="20"/>
          <w:lang w:val="es-CR"/>
        </w:rPr>
        <w:t xml:space="preserve">para solventar los gastos </w:t>
      </w:r>
      <w:r w:rsidR="000D7D9A" w:rsidRPr="009B31EC">
        <w:rPr>
          <w:rFonts w:ascii="Verdana" w:hAnsi="Verdana" w:cs="Verdana"/>
          <w:spacing w:val="-2"/>
          <w:sz w:val="20"/>
          <w:szCs w:val="20"/>
          <w:lang w:val="es-CR"/>
        </w:rPr>
        <w:t>para</w:t>
      </w:r>
      <w:r w:rsidR="002627E7" w:rsidRPr="009B31EC">
        <w:rPr>
          <w:rFonts w:ascii="Verdana" w:hAnsi="Verdana" w:cs="Verdana"/>
          <w:spacing w:val="-2"/>
          <w:sz w:val="20"/>
          <w:szCs w:val="20"/>
          <w:lang w:val="es-CR"/>
        </w:rPr>
        <w:t xml:space="preserve"> la presentación de las</w:t>
      </w:r>
      <w:r w:rsidRPr="009B31EC">
        <w:rPr>
          <w:rFonts w:ascii="Verdana" w:hAnsi="Verdana" w:cs="Verdana"/>
          <w:spacing w:val="-2"/>
          <w:sz w:val="20"/>
          <w:szCs w:val="20"/>
          <w:lang w:val="es-CR"/>
        </w:rPr>
        <w:t xml:space="preserve"> declaraciones de </w:t>
      </w:r>
      <w:r w:rsidR="002627E7" w:rsidRPr="009B31EC">
        <w:rPr>
          <w:rFonts w:ascii="Verdana" w:hAnsi="Verdana" w:cs="Verdana"/>
          <w:spacing w:val="-2"/>
          <w:sz w:val="20"/>
          <w:szCs w:val="20"/>
          <w:lang w:val="es-CR"/>
        </w:rPr>
        <w:t xml:space="preserve">la presunta víctima, </w:t>
      </w:r>
      <w:r w:rsidR="000D7D9A" w:rsidRPr="009B31EC">
        <w:rPr>
          <w:rFonts w:ascii="Verdana" w:hAnsi="Verdana" w:cs="Verdana"/>
          <w:spacing w:val="-2"/>
          <w:sz w:val="20"/>
          <w:szCs w:val="20"/>
          <w:lang w:val="es-CR"/>
        </w:rPr>
        <w:t xml:space="preserve">y hasta cuatro </w:t>
      </w:r>
      <w:r w:rsidR="00A42C3C" w:rsidRPr="009B31EC">
        <w:rPr>
          <w:rFonts w:ascii="Verdana" w:hAnsi="Verdana" w:cs="Verdana"/>
          <w:spacing w:val="-2"/>
          <w:sz w:val="20"/>
          <w:szCs w:val="20"/>
          <w:lang w:val="es-CR"/>
        </w:rPr>
        <w:t>peritos y/o testigos</w:t>
      </w:r>
      <w:r w:rsidRPr="009B31EC">
        <w:rPr>
          <w:rFonts w:ascii="Verdana" w:hAnsi="Verdana" w:cs="Verdana"/>
          <w:spacing w:val="-2"/>
          <w:sz w:val="20"/>
          <w:szCs w:val="20"/>
          <w:lang w:val="es-CR"/>
        </w:rPr>
        <w:t xml:space="preserve">, en una eventual audiencia pública o por </w:t>
      </w:r>
      <w:r w:rsidRPr="009B31EC">
        <w:rPr>
          <w:rFonts w:ascii="Verdana" w:hAnsi="Verdana" w:cs="Verdana"/>
          <w:i/>
          <w:iCs/>
          <w:spacing w:val="-2"/>
          <w:sz w:val="20"/>
          <w:szCs w:val="20"/>
          <w:lang w:val="es-CR"/>
        </w:rPr>
        <w:t>affidávit</w:t>
      </w:r>
      <w:r w:rsidRPr="009B31EC">
        <w:rPr>
          <w:rFonts w:ascii="Verdana" w:hAnsi="Verdana" w:cs="Verdana"/>
          <w:spacing w:val="-2"/>
          <w:sz w:val="20"/>
          <w:szCs w:val="20"/>
          <w:lang w:val="es-CR"/>
        </w:rPr>
        <w:t>. En ese sentido, atendiendo a los recursos actualmente disponible</w:t>
      </w:r>
      <w:r w:rsidR="00D006FF" w:rsidRPr="009B31EC">
        <w:rPr>
          <w:rFonts w:ascii="Verdana" w:hAnsi="Verdana" w:cs="Verdana"/>
          <w:spacing w:val="-2"/>
          <w:sz w:val="20"/>
          <w:szCs w:val="20"/>
          <w:lang w:val="es-CR"/>
        </w:rPr>
        <w:t>s en el Fondo, se otorgará a la presunta víctima</w:t>
      </w:r>
      <w:r w:rsidRPr="009B31EC">
        <w:rPr>
          <w:rFonts w:ascii="Verdana" w:hAnsi="Verdana" w:cs="Verdana"/>
          <w:spacing w:val="-2"/>
          <w:sz w:val="20"/>
          <w:szCs w:val="20"/>
          <w:lang w:val="es-CR"/>
        </w:rPr>
        <w:t xml:space="preserve"> la ayuda económica necesaria para la presentación de un máximo de </w:t>
      </w:r>
      <w:r w:rsidR="00F97C32" w:rsidRPr="009B31EC">
        <w:rPr>
          <w:rFonts w:ascii="Verdana" w:hAnsi="Verdana" w:cs="Verdana"/>
          <w:spacing w:val="-2"/>
          <w:sz w:val="20"/>
          <w:szCs w:val="20"/>
          <w:lang w:val="es-CR"/>
        </w:rPr>
        <w:t>cinco</w:t>
      </w:r>
      <w:r w:rsidRPr="009B31EC">
        <w:rPr>
          <w:rFonts w:ascii="Verdana" w:hAnsi="Verdana" w:cs="Verdana"/>
          <w:spacing w:val="-2"/>
          <w:sz w:val="20"/>
          <w:szCs w:val="20"/>
          <w:lang w:val="es-CR"/>
        </w:rPr>
        <w:t xml:space="preserve"> declaraciones en la modalidad que corresponda. </w:t>
      </w:r>
    </w:p>
    <w:p w:rsidR="00240DDE" w:rsidRPr="009B31EC" w:rsidRDefault="00240DDE" w:rsidP="009B31EC">
      <w:pPr>
        <w:tabs>
          <w:tab w:val="left" w:pos="0"/>
        </w:tabs>
        <w:autoSpaceDE w:val="0"/>
        <w:autoSpaceDN w:val="0"/>
        <w:adjustRightInd w:val="0"/>
        <w:spacing w:after="0" w:line="240" w:lineRule="auto"/>
        <w:jc w:val="both"/>
        <w:rPr>
          <w:rFonts w:ascii="Verdana" w:hAnsi="Verdana" w:cs="Verdana"/>
          <w:b/>
          <w:spacing w:val="-2"/>
          <w:sz w:val="20"/>
          <w:szCs w:val="20"/>
          <w:lang w:val="es-CR"/>
        </w:rPr>
      </w:pPr>
    </w:p>
    <w:p w:rsidR="00240DDE" w:rsidRPr="009B31EC" w:rsidRDefault="00240DDE" w:rsidP="009B31EC">
      <w:pPr>
        <w:pStyle w:val="ListParagraph"/>
        <w:numPr>
          <w:ilvl w:val="0"/>
          <w:numId w:val="7"/>
        </w:numPr>
        <w:tabs>
          <w:tab w:val="left" w:pos="0"/>
        </w:tabs>
        <w:autoSpaceDE w:val="0"/>
        <w:autoSpaceDN w:val="0"/>
        <w:adjustRightInd w:val="0"/>
        <w:spacing w:after="0" w:line="240" w:lineRule="auto"/>
        <w:ind w:left="0" w:firstLine="0"/>
        <w:jc w:val="both"/>
        <w:rPr>
          <w:rFonts w:ascii="Verdana" w:hAnsi="Verdana" w:cs="Verdana"/>
          <w:spacing w:val="-2"/>
          <w:sz w:val="20"/>
          <w:szCs w:val="20"/>
          <w:lang w:val="es-CR"/>
        </w:rPr>
      </w:pPr>
      <w:r w:rsidRPr="009B31EC">
        <w:rPr>
          <w:rFonts w:ascii="Verdana" w:hAnsi="Verdana" w:cs="Verdana"/>
          <w:spacing w:val="-2"/>
          <w:sz w:val="20"/>
          <w:szCs w:val="20"/>
          <w:lang w:val="es-CR"/>
        </w:rPr>
        <w:t>Estima conveniente postergar la determinación del monto, destino y objeto específicos de la asistencia económica que será brindada para el momento en el cual esta Presidencia, o la Corte, resuelvan sobre la procedencia y relevancia de las declaraciones ofrecidas y de los gastos solicitados y, en su caso, la apertura del procedimiento oral, conforme al artículo 50.1 del Reglamento del Tribunal, de forma tal que se tenga certeza de las declaraciones que serán recibidas por la Corte, así como de los medios por los cuales éstas serán evacuadas.</w:t>
      </w:r>
    </w:p>
    <w:p w:rsidR="00240DDE" w:rsidRPr="009B31EC" w:rsidRDefault="00240DDE" w:rsidP="009B31EC">
      <w:pPr>
        <w:pStyle w:val="ListParagraph"/>
        <w:tabs>
          <w:tab w:val="left" w:pos="0"/>
        </w:tabs>
        <w:autoSpaceDE w:val="0"/>
        <w:autoSpaceDN w:val="0"/>
        <w:adjustRightInd w:val="0"/>
        <w:spacing w:after="0" w:line="240" w:lineRule="auto"/>
        <w:ind w:left="0"/>
        <w:jc w:val="both"/>
        <w:rPr>
          <w:rFonts w:ascii="Verdana" w:hAnsi="Verdana" w:cs="Verdana"/>
          <w:spacing w:val="-2"/>
          <w:sz w:val="20"/>
          <w:szCs w:val="20"/>
          <w:lang w:val="es-ES"/>
        </w:rPr>
      </w:pPr>
    </w:p>
    <w:p w:rsidR="00240DDE" w:rsidRPr="009B31EC" w:rsidRDefault="00240DDE" w:rsidP="009B31EC">
      <w:pPr>
        <w:pStyle w:val="ListParagraph"/>
        <w:numPr>
          <w:ilvl w:val="0"/>
          <w:numId w:val="7"/>
        </w:numPr>
        <w:tabs>
          <w:tab w:val="left" w:pos="0"/>
        </w:tabs>
        <w:autoSpaceDE w:val="0"/>
        <w:autoSpaceDN w:val="0"/>
        <w:adjustRightInd w:val="0"/>
        <w:spacing w:after="0" w:line="240" w:lineRule="auto"/>
        <w:ind w:left="0" w:firstLine="0"/>
        <w:jc w:val="both"/>
        <w:rPr>
          <w:rFonts w:ascii="Verdana" w:hAnsi="Verdana" w:cs="Verdana"/>
          <w:spacing w:val="-2"/>
          <w:sz w:val="20"/>
          <w:szCs w:val="20"/>
          <w:lang w:val="es-CR"/>
        </w:rPr>
      </w:pPr>
      <w:r w:rsidRPr="009B31EC">
        <w:rPr>
          <w:rFonts w:ascii="Verdana" w:hAnsi="Verdana" w:cs="Verdana"/>
          <w:spacing w:val="-2"/>
          <w:sz w:val="20"/>
          <w:szCs w:val="20"/>
          <w:lang w:val="es-CR"/>
        </w:rPr>
        <w:t>Recuerda que, según el artículo 5 del Reglamento del Fondo, se informará oportunamente al Estado demandado las erogaciones realizadas en aplicación del Fondo de Asistencia de la Corte, para que presente sus observaciones, si así lo desea, dentro del plazo que se establezca al efecto.</w:t>
      </w:r>
    </w:p>
    <w:p w:rsidR="00240DDE" w:rsidRPr="009B31EC" w:rsidRDefault="00240DDE" w:rsidP="009B31EC">
      <w:pPr>
        <w:tabs>
          <w:tab w:val="left" w:pos="0"/>
        </w:tabs>
        <w:autoSpaceDE w:val="0"/>
        <w:autoSpaceDN w:val="0"/>
        <w:adjustRightInd w:val="0"/>
        <w:spacing w:after="0" w:line="240" w:lineRule="auto"/>
        <w:jc w:val="both"/>
        <w:rPr>
          <w:rFonts w:ascii="Verdana" w:hAnsi="Verdana" w:cs="Verdana"/>
          <w:spacing w:val="-2"/>
          <w:sz w:val="20"/>
          <w:szCs w:val="20"/>
          <w:lang w:val="es-ES"/>
        </w:rPr>
      </w:pPr>
    </w:p>
    <w:p w:rsidR="00240DDE" w:rsidRPr="009B31EC" w:rsidRDefault="00240DDE" w:rsidP="009B31EC">
      <w:pPr>
        <w:tabs>
          <w:tab w:val="left" w:pos="0"/>
        </w:tabs>
        <w:autoSpaceDE w:val="0"/>
        <w:autoSpaceDN w:val="0"/>
        <w:adjustRightInd w:val="0"/>
        <w:spacing w:after="0" w:line="240" w:lineRule="auto"/>
        <w:rPr>
          <w:rFonts w:ascii="Verdana" w:hAnsi="Verdana" w:cs="Verdana"/>
          <w:b/>
          <w:bCs/>
          <w:spacing w:val="-2"/>
          <w:sz w:val="20"/>
          <w:szCs w:val="20"/>
          <w:lang w:val="es-ES"/>
        </w:rPr>
      </w:pPr>
      <w:r w:rsidRPr="009B31EC">
        <w:rPr>
          <w:rFonts w:ascii="Verdana" w:hAnsi="Verdana" w:cs="Verdana"/>
          <w:b/>
          <w:bCs/>
          <w:spacing w:val="-2"/>
          <w:sz w:val="20"/>
          <w:szCs w:val="20"/>
          <w:lang w:val="es-ES"/>
        </w:rPr>
        <w:t>RESUELVE:</w:t>
      </w:r>
    </w:p>
    <w:p w:rsidR="00240DDE" w:rsidRPr="009B31EC" w:rsidRDefault="00240DDE" w:rsidP="009B31EC">
      <w:pPr>
        <w:tabs>
          <w:tab w:val="left" w:pos="0"/>
        </w:tabs>
        <w:autoSpaceDE w:val="0"/>
        <w:autoSpaceDN w:val="0"/>
        <w:adjustRightInd w:val="0"/>
        <w:spacing w:after="0" w:line="240" w:lineRule="auto"/>
        <w:rPr>
          <w:rFonts w:ascii="Verdana" w:hAnsi="Verdana" w:cs="Verdana"/>
          <w:b/>
          <w:bCs/>
          <w:spacing w:val="-2"/>
          <w:sz w:val="20"/>
          <w:szCs w:val="20"/>
          <w:lang w:val="es-ES"/>
        </w:rPr>
      </w:pPr>
    </w:p>
    <w:p w:rsidR="00240DDE" w:rsidRPr="009B31EC" w:rsidRDefault="00240DDE" w:rsidP="009B31EC">
      <w:pPr>
        <w:pStyle w:val="ListParagraph"/>
        <w:numPr>
          <w:ilvl w:val="3"/>
          <w:numId w:val="2"/>
        </w:numPr>
        <w:tabs>
          <w:tab w:val="left" w:pos="0"/>
        </w:tabs>
        <w:autoSpaceDE w:val="0"/>
        <w:autoSpaceDN w:val="0"/>
        <w:adjustRightInd w:val="0"/>
        <w:spacing w:after="0" w:line="240" w:lineRule="auto"/>
        <w:jc w:val="both"/>
        <w:rPr>
          <w:rFonts w:ascii="Verdana" w:hAnsi="Verdana" w:cs="Verdana"/>
          <w:spacing w:val="-2"/>
          <w:sz w:val="20"/>
          <w:szCs w:val="20"/>
          <w:lang w:val="es-ES"/>
        </w:rPr>
      </w:pPr>
      <w:r w:rsidRPr="009B31EC">
        <w:rPr>
          <w:rFonts w:ascii="Verdana" w:hAnsi="Verdana" w:cs="Verdana"/>
          <w:spacing w:val="-2"/>
          <w:sz w:val="20"/>
          <w:szCs w:val="20"/>
          <w:lang w:val="es-ES"/>
        </w:rPr>
        <w:t xml:space="preserve">Declarar procedente </w:t>
      </w:r>
      <w:r w:rsidR="00E31B0D" w:rsidRPr="009B31EC">
        <w:rPr>
          <w:rFonts w:ascii="Verdana" w:hAnsi="Verdana" w:cs="Verdana"/>
          <w:spacing w:val="-2"/>
          <w:sz w:val="20"/>
          <w:szCs w:val="20"/>
          <w:lang w:val="es-ES"/>
        </w:rPr>
        <w:t>la solicitud interpuesta por la presunta víctima</w:t>
      </w:r>
      <w:r w:rsidRPr="009B31EC">
        <w:rPr>
          <w:rFonts w:ascii="Verdana" w:hAnsi="Verdana" w:cs="Verdana"/>
          <w:spacing w:val="-2"/>
          <w:sz w:val="20"/>
          <w:szCs w:val="20"/>
          <w:lang w:val="es-ES"/>
        </w:rPr>
        <w:t xml:space="preserve">, a través de sus representantes, para acogerse al Fondo de Asistencia Legal de Víctimas de la Corte Interamericana de Derechos Humanos, de modo que se otorgará el apoyo económico necesario, con cargo al Fondo, para </w:t>
      </w:r>
      <w:r w:rsidR="00B128AE" w:rsidRPr="009B31EC">
        <w:rPr>
          <w:rFonts w:ascii="Verdana" w:hAnsi="Verdana" w:cs="Verdana"/>
          <w:spacing w:val="-2"/>
          <w:sz w:val="20"/>
          <w:szCs w:val="20"/>
          <w:lang w:val="es-CR"/>
        </w:rPr>
        <w:t xml:space="preserve">solventar los gastos </w:t>
      </w:r>
      <w:r w:rsidR="00A42C3C" w:rsidRPr="009B31EC">
        <w:rPr>
          <w:rFonts w:ascii="Verdana" w:hAnsi="Verdana" w:cs="Verdana"/>
          <w:spacing w:val="-2"/>
          <w:sz w:val="20"/>
          <w:szCs w:val="20"/>
          <w:lang w:val="es-CR"/>
        </w:rPr>
        <w:t xml:space="preserve">para la presentación de </w:t>
      </w:r>
      <w:r w:rsidRPr="009B31EC">
        <w:rPr>
          <w:rFonts w:ascii="Verdana" w:hAnsi="Verdana" w:cs="Verdana"/>
          <w:spacing w:val="-2"/>
          <w:sz w:val="20"/>
          <w:szCs w:val="20"/>
          <w:lang w:val="es-CR"/>
        </w:rPr>
        <w:t xml:space="preserve">un máximo de </w:t>
      </w:r>
      <w:r w:rsidR="00F97C32" w:rsidRPr="009B31EC">
        <w:rPr>
          <w:rFonts w:ascii="Verdana" w:hAnsi="Verdana" w:cs="Verdana"/>
          <w:spacing w:val="-2"/>
          <w:sz w:val="20"/>
          <w:szCs w:val="20"/>
          <w:lang w:val="es-CR"/>
        </w:rPr>
        <w:t>cinco</w:t>
      </w:r>
      <w:r w:rsidR="00803B10" w:rsidRPr="009B31EC">
        <w:rPr>
          <w:rFonts w:ascii="Verdana" w:hAnsi="Verdana" w:cs="Verdana"/>
          <w:spacing w:val="-2"/>
          <w:sz w:val="20"/>
          <w:szCs w:val="20"/>
          <w:lang w:val="es-CR"/>
        </w:rPr>
        <w:t xml:space="preserve"> </w:t>
      </w:r>
      <w:r w:rsidRPr="009B31EC">
        <w:rPr>
          <w:rFonts w:ascii="Verdana" w:hAnsi="Verdana" w:cs="Verdana"/>
          <w:spacing w:val="-2"/>
          <w:sz w:val="20"/>
          <w:szCs w:val="20"/>
          <w:lang w:val="es-CR"/>
        </w:rPr>
        <w:t>declaraciones</w:t>
      </w:r>
      <w:r w:rsidRPr="009B31EC">
        <w:rPr>
          <w:rFonts w:ascii="Verdana" w:hAnsi="Verdana" w:cs="Verdana"/>
          <w:spacing w:val="-2"/>
          <w:sz w:val="20"/>
          <w:szCs w:val="20"/>
          <w:lang w:val="es-ES"/>
        </w:rPr>
        <w:t xml:space="preserve">, ya sea en audiencia o por </w:t>
      </w:r>
      <w:r w:rsidRPr="009B31EC">
        <w:rPr>
          <w:rFonts w:ascii="Verdana" w:hAnsi="Verdana" w:cs="Verdana"/>
          <w:i/>
          <w:spacing w:val="-2"/>
          <w:sz w:val="20"/>
          <w:szCs w:val="20"/>
          <w:lang w:val="es-ES"/>
        </w:rPr>
        <w:t>affidávit</w:t>
      </w:r>
      <w:r w:rsidRPr="009B31EC">
        <w:rPr>
          <w:rFonts w:ascii="Verdana" w:hAnsi="Verdana" w:cs="Verdana"/>
          <w:spacing w:val="-2"/>
          <w:sz w:val="20"/>
          <w:szCs w:val="20"/>
          <w:lang w:val="es-ES"/>
        </w:rPr>
        <w:t xml:space="preserve">, y que el monto, destino y objeto específicos de dicha asistencia serán precisados al momento de decidir sobre la evacuación de prueba testimonial y pericial, y la apertura del procedimiento oral en los términos del artículo 50 del Reglamento del Tribunal, de conformidad con lo establecido en esta Resolución. </w:t>
      </w:r>
    </w:p>
    <w:p w:rsidR="00240DDE" w:rsidRPr="009B31EC" w:rsidRDefault="00240DDE" w:rsidP="009B31EC">
      <w:pPr>
        <w:pStyle w:val="ListParagraph"/>
        <w:tabs>
          <w:tab w:val="left" w:pos="0"/>
        </w:tabs>
        <w:autoSpaceDE w:val="0"/>
        <w:autoSpaceDN w:val="0"/>
        <w:adjustRightInd w:val="0"/>
        <w:spacing w:after="0" w:line="240" w:lineRule="auto"/>
        <w:ind w:left="0"/>
        <w:jc w:val="both"/>
        <w:rPr>
          <w:rFonts w:ascii="Verdana" w:hAnsi="Verdana" w:cs="Verdana"/>
          <w:spacing w:val="-2"/>
          <w:sz w:val="20"/>
          <w:szCs w:val="20"/>
          <w:lang w:val="es-ES"/>
        </w:rPr>
      </w:pPr>
    </w:p>
    <w:p w:rsidR="00240DDE" w:rsidRPr="009B31EC" w:rsidRDefault="00240DDE" w:rsidP="009B31EC">
      <w:pPr>
        <w:pStyle w:val="ListParagraph"/>
        <w:numPr>
          <w:ilvl w:val="3"/>
          <w:numId w:val="2"/>
        </w:numPr>
        <w:tabs>
          <w:tab w:val="left" w:pos="0"/>
        </w:tabs>
        <w:autoSpaceDE w:val="0"/>
        <w:autoSpaceDN w:val="0"/>
        <w:adjustRightInd w:val="0"/>
        <w:spacing w:after="0" w:line="240" w:lineRule="auto"/>
        <w:jc w:val="both"/>
        <w:rPr>
          <w:rFonts w:ascii="Verdana" w:hAnsi="Verdana" w:cs="Verdana"/>
          <w:spacing w:val="-2"/>
          <w:sz w:val="20"/>
          <w:szCs w:val="20"/>
          <w:lang w:val="es-ES"/>
        </w:rPr>
      </w:pPr>
      <w:r w:rsidRPr="009B31EC">
        <w:rPr>
          <w:rFonts w:ascii="Verdana" w:hAnsi="Verdana" w:cs="Verdana"/>
          <w:spacing w:val="-2"/>
          <w:sz w:val="20"/>
          <w:szCs w:val="20"/>
          <w:lang w:val="es-ES"/>
        </w:rPr>
        <w:t xml:space="preserve">Disponer que la Secretaría de la Corte notifique la presente Resolución a </w:t>
      </w:r>
      <w:r w:rsidR="00A42C3C" w:rsidRPr="009B31EC">
        <w:rPr>
          <w:rFonts w:ascii="Verdana" w:hAnsi="Verdana" w:cs="Verdana"/>
          <w:spacing w:val="-2"/>
          <w:sz w:val="20"/>
          <w:szCs w:val="20"/>
          <w:lang w:val="es-ES"/>
        </w:rPr>
        <w:t xml:space="preserve">la presunta víctima, a sus </w:t>
      </w:r>
      <w:r w:rsidR="00E31B0D" w:rsidRPr="009B31EC">
        <w:rPr>
          <w:rFonts w:ascii="Verdana" w:hAnsi="Verdana" w:cs="Verdana"/>
          <w:spacing w:val="-2"/>
          <w:sz w:val="20"/>
          <w:szCs w:val="20"/>
          <w:lang w:val="es-ES"/>
        </w:rPr>
        <w:t>representantes</w:t>
      </w:r>
      <w:r w:rsidRPr="009B31EC">
        <w:rPr>
          <w:rFonts w:ascii="Verdana" w:hAnsi="Verdana" w:cs="Verdana"/>
          <w:spacing w:val="-2"/>
          <w:sz w:val="20"/>
          <w:szCs w:val="20"/>
          <w:lang w:val="es-ES"/>
        </w:rPr>
        <w:t>, al Estado de</w:t>
      </w:r>
      <w:r w:rsidR="00E31B0D" w:rsidRPr="009B31EC">
        <w:rPr>
          <w:rFonts w:ascii="Verdana" w:hAnsi="Verdana" w:cs="Verdana"/>
          <w:spacing w:val="-2"/>
          <w:sz w:val="20"/>
          <w:szCs w:val="20"/>
          <w:lang w:val="es-ES"/>
        </w:rPr>
        <w:t xml:space="preserve"> Venezuela</w:t>
      </w:r>
      <w:r w:rsidRPr="009B31EC">
        <w:rPr>
          <w:rFonts w:ascii="Verdana" w:hAnsi="Verdana" w:cs="Verdana"/>
          <w:spacing w:val="-2"/>
          <w:sz w:val="20"/>
          <w:szCs w:val="20"/>
          <w:lang w:val="es-ES"/>
        </w:rPr>
        <w:t xml:space="preserve"> y a la Comisión Interamericana de Derechos Humanos.</w:t>
      </w:r>
    </w:p>
    <w:p w:rsidR="00240DDE" w:rsidRPr="009B31EC" w:rsidRDefault="00240DDE" w:rsidP="009B31EC">
      <w:pPr>
        <w:pStyle w:val="ListParagraph"/>
        <w:tabs>
          <w:tab w:val="left" w:pos="0"/>
        </w:tabs>
        <w:autoSpaceDE w:val="0"/>
        <w:autoSpaceDN w:val="0"/>
        <w:adjustRightInd w:val="0"/>
        <w:spacing w:after="0" w:line="240" w:lineRule="auto"/>
        <w:ind w:left="0"/>
        <w:jc w:val="both"/>
        <w:rPr>
          <w:rFonts w:ascii="Verdana" w:hAnsi="Verdana" w:cs="Verdana"/>
          <w:spacing w:val="-2"/>
          <w:sz w:val="20"/>
          <w:szCs w:val="20"/>
          <w:lang w:val="es-ES"/>
        </w:rPr>
      </w:pPr>
    </w:p>
    <w:p w:rsidR="007C30EE" w:rsidRDefault="007C30EE" w:rsidP="009B31EC">
      <w:pPr>
        <w:tabs>
          <w:tab w:val="left" w:pos="0"/>
        </w:tabs>
        <w:autoSpaceDE w:val="0"/>
        <w:autoSpaceDN w:val="0"/>
        <w:adjustRightInd w:val="0"/>
        <w:spacing w:after="0" w:line="240" w:lineRule="auto"/>
        <w:jc w:val="both"/>
        <w:rPr>
          <w:rFonts w:ascii="Verdana" w:hAnsi="Verdana"/>
          <w:sz w:val="20"/>
          <w:szCs w:val="20"/>
          <w:lang w:val="es-CR"/>
        </w:rPr>
      </w:pPr>
    </w:p>
    <w:p w:rsidR="00A6586B" w:rsidRPr="009B31EC" w:rsidRDefault="00A6586B" w:rsidP="009B31EC">
      <w:pPr>
        <w:tabs>
          <w:tab w:val="left" w:pos="0"/>
        </w:tabs>
        <w:autoSpaceDE w:val="0"/>
        <w:autoSpaceDN w:val="0"/>
        <w:adjustRightInd w:val="0"/>
        <w:spacing w:after="0" w:line="240" w:lineRule="auto"/>
        <w:jc w:val="both"/>
        <w:rPr>
          <w:rFonts w:ascii="Verdana" w:hAnsi="Verdana" w:cs="Verdana"/>
          <w:spacing w:val="-2"/>
          <w:sz w:val="20"/>
          <w:szCs w:val="20"/>
          <w:lang w:val="es-ES"/>
        </w:rPr>
      </w:pPr>
      <w:r w:rsidRPr="009B31EC">
        <w:rPr>
          <w:rFonts w:ascii="Verdana" w:hAnsi="Verdana"/>
          <w:sz w:val="20"/>
          <w:szCs w:val="20"/>
          <w:lang w:val="es-CR"/>
        </w:rPr>
        <w:t xml:space="preserve">Resolución del Presidente de la Corte Interamericana de Derechos Humanos, Fondo de Asistencia Legal de Víctimas, Caso </w:t>
      </w:r>
      <w:r w:rsidR="00077DF2" w:rsidRPr="009B31EC">
        <w:rPr>
          <w:rFonts w:ascii="Verdana" w:hAnsi="Verdana"/>
          <w:sz w:val="20"/>
          <w:szCs w:val="20"/>
          <w:lang w:val="es-CR"/>
        </w:rPr>
        <w:t>Álvarez</w:t>
      </w:r>
      <w:r w:rsidRPr="009B31EC">
        <w:rPr>
          <w:rFonts w:ascii="Verdana" w:hAnsi="Verdana"/>
          <w:sz w:val="20"/>
          <w:szCs w:val="20"/>
          <w:lang w:val="es-CR"/>
        </w:rPr>
        <w:t xml:space="preserve"> Ramos vs. Venezuela.</w:t>
      </w:r>
    </w:p>
    <w:p w:rsidR="00A6586B" w:rsidRPr="009B31EC" w:rsidRDefault="00A6586B" w:rsidP="009B31EC">
      <w:pPr>
        <w:tabs>
          <w:tab w:val="left" w:pos="0"/>
        </w:tabs>
        <w:autoSpaceDE w:val="0"/>
        <w:autoSpaceDN w:val="0"/>
        <w:adjustRightInd w:val="0"/>
        <w:spacing w:after="0" w:line="240" w:lineRule="auto"/>
        <w:jc w:val="both"/>
        <w:rPr>
          <w:rFonts w:ascii="Verdana" w:hAnsi="Verdana" w:cs="Verdana"/>
          <w:spacing w:val="-2"/>
          <w:sz w:val="20"/>
          <w:szCs w:val="20"/>
          <w:lang w:val="es-ES"/>
        </w:rPr>
      </w:pPr>
    </w:p>
    <w:p w:rsidR="00A6586B" w:rsidRPr="009B31EC" w:rsidRDefault="00A6586B" w:rsidP="009B31EC">
      <w:pPr>
        <w:tabs>
          <w:tab w:val="left" w:pos="0"/>
        </w:tabs>
        <w:autoSpaceDE w:val="0"/>
        <w:autoSpaceDN w:val="0"/>
        <w:adjustRightInd w:val="0"/>
        <w:spacing w:after="0" w:line="240" w:lineRule="auto"/>
        <w:jc w:val="both"/>
        <w:rPr>
          <w:rFonts w:ascii="Verdana" w:hAnsi="Verdana" w:cs="Verdana"/>
          <w:spacing w:val="-2"/>
          <w:sz w:val="20"/>
          <w:szCs w:val="20"/>
          <w:lang w:val="es-ES"/>
        </w:rPr>
      </w:pPr>
    </w:p>
    <w:p w:rsidR="00A6586B" w:rsidRPr="009B31EC" w:rsidRDefault="00A6586B" w:rsidP="009B31EC">
      <w:pPr>
        <w:tabs>
          <w:tab w:val="left" w:pos="0"/>
        </w:tabs>
        <w:spacing w:after="0"/>
        <w:jc w:val="right"/>
        <w:rPr>
          <w:rFonts w:ascii="Verdana" w:hAnsi="Verdana"/>
          <w:sz w:val="20"/>
          <w:szCs w:val="20"/>
          <w:lang w:val="es-CR"/>
        </w:rPr>
      </w:pPr>
    </w:p>
    <w:p w:rsidR="00A6586B" w:rsidRPr="009B31EC" w:rsidRDefault="00A6586B" w:rsidP="009B31EC">
      <w:pPr>
        <w:tabs>
          <w:tab w:val="left" w:pos="0"/>
        </w:tabs>
        <w:spacing w:after="0"/>
        <w:jc w:val="right"/>
        <w:rPr>
          <w:rFonts w:ascii="Verdana" w:hAnsi="Verdana"/>
          <w:sz w:val="20"/>
          <w:szCs w:val="20"/>
          <w:lang w:val="es-CR"/>
        </w:rPr>
      </w:pPr>
    </w:p>
    <w:p w:rsidR="00A6586B" w:rsidRPr="009B31EC" w:rsidRDefault="00A6586B" w:rsidP="009B31EC">
      <w:pPr>
        <w:tabs>
          <w:tab w:val="left" w:pos="0"/>
        </w:tabs>
        <w:spacing w:after="0"/>
        <w:jc w:val="right"/>
        <w:rPr>
          <w:rFonts w:ascii="Verdana" w:hAnsi="Verdana"/>
          <w:sz w:val="20"/>
          <w:szCs w:val="20"/>
          <w:lang w:val="es-CR"/>
        </w:rPr>
      </w:pPr>
    </w:p>
    <w:p w:rsidR="00A6586B" w:rsidRPr="009B31EC" w:rsidRDefault="00A6586B" w:rsidP="009B31EC">
      <w:pPr>
        <w:tabs>
          <w:tab w:val="left" w:pos="0"/>
        </w:tabs>
        <w:spacing w:after="0"/>
        <w:jc w:val="right"/>
        <w:rPr>
          <w:rFonts w:ascii="Verdana" w:hAnsi="Verdana"/>
          <w:sz w:val="20"/>
          <w:szCs w:val="20"/>
          <w:lang w:val="es-CR"/>
        </w:rPr>
      </w:pPr>
    </w:p>
    <w:p w:rsidR="00A6586B" w:rsidRPr="009B31EC" w:rsidRDefault="00A6586B" w:rsidP="009B31EC">
      <w:pPr>
        <w:tabs>
          <w:tab w:val="left" w:pos="0"/>
        </w:tabs>
        <w:spacing w:after="0"/>
        <w:jc w:val="right"/>
        <w:rPr>
          <w:rFonts w:ascii="Verdana" w:hAnsi="Verdana"/>
          <w:sz w:val="20"/>
          <w:szCs w:val="20"/>
          <w:lang w:val="pt-BR"/>
        </w:rPr>
      </w:pPr>
      <w:r w:rsidRPr="009B31EC">
        <w:rPr>
          <w:rFonts w:ascii="Verdana" w:hAnsi="Verdana"/>
          <w:sz w:val="20"/>
          <w:szCs w:val="20"/>
          <w:lang w:val="pt-BR"/>
        </w:rPr>
        <w:t>Eduardo Ferrer Mac-Gregor</w:t>
      </w:r>
    </w:p>
    <w:p w:rsidR="00A6586B" w:rsidRPr="009B31EC" w:rsidRDefault="00A6586B" w:rsidP="009B31EC">
      <w:pPr>
        <w:tabs>
          <w:tab w:val="left" w:pos="0"/>
        </w:tabs>
        <w:spacing w:after="0"/>
        <w:jc w:val="center"/>
        <w:rPr>
          <w:rFonts w:ascii="Verdana" w:hAnsi="Verdana"/>
          <w:sz w:val="20"/>
          <w:szCs w:val="20"/>
          <w:lang w:val="pt-BR"/>
        </w:rPr>
      </w:pPr>
      <w:r w:rsidRPr="009B31EC">
        <w:rPr>
          <w:rFonts w:ascii="Verdana" w:hAnsi="Verdana"/>
          <w:sz w:val="20"/>
          <w:szCs w:val="20"/>
          <w:lang w:val="pt-BR"/>
        </w:rPr>
        <w:t xml:space="preserve">                                                                    </w:t>
      </w:r>
      <w:r w:rsidR="002C63C8">
        <w:rPr>
          <w:rFonts w:ascii="Verdana" w:hAnsi="Verdana"/>
          <w:sz w:val="20"/>
          <w:szCs w:val="20"/>
          <w:lang w:val="pt-BR"/>
        </w:rPr>
        <w:t xml:space="preserve">                    </w:t>
      </w:r>
      <w:r w:rsidRPr="009B31EC">
        <w:rPr>
          <w:rFonts w:ascii="Verdana" w:hAnsi="Verdana"/>
          <w:sz w:val="20"/>
          <w:szCs w:val="20"/>
          <w:lang w:val="pt-BR"/>
        </w:rPr>
        <w:t>Presidente</w:t>
      </w:r>
    </w:p>
    <w:p w:rsidR="00A6586B" w:rsidRPr="009B31EC" w:rsidRDefault="00A6586B" w:rsidP="009B31EC">
      <w:pPr>
        <w:tabs>
          <w:tab w:val="left" w:pos="0"/>
        </w:tabs>
        <w:spacing w:after="0"/>
        <w:rPr>
          <w:rFonts w:ascii="Verdana" w:hAnsi="Verdana"/>
          <w:sz w:val="20"/>
          <w:szCs w:val="20"/>
          <w:lang w:val="pt-BR"/>
        </w:rPr>
      </w:pPr>
    </w:p>
    <w:p w:rsidR="00A6586B" w:rsidRPr="009B31EC" w:rsidRDefault="00A6586B" w:rsidP="009B31EC">
      <w:pPr>
        <w:tabs>
          <w:tab w:val="left" w:pos="0"/>
        </w:tabs>
        <w:spacing w:after="0"/>
        <w:rPr>
          <w:rFonts w:ascii="Verdana" w:hAnsi="Verdana"/>
          <w:sz w:val="20"/>
          <w:szCs w:val="20"/>
          <w:lang w:val="pt-BR"/>
        </w:rPr>
      </w:pPr>
      <w:r w:rsidRPr="009B31EC">
        <w:rPr>
          <w:rFonts w:ascii="Verdana" w:hAnsi="Verdana"/>
          <w:sz w:val="20"/>
          <w:szCs w:val="20"/>
          <w:lang w:val="pt-BR"/>
        </w:rPr>
        <w:t xml:space="preserve"> Pablo Saavedra Alessandri</w:t>
      </w:r>
    </w:p>
    <w:p w:rsidR="00A6586B" w:rsidRPr="009B31EC" w:rsidRDefault="00A6586B" w:rsidP="009B31EC">
      <w:pPr>
        <w:tabs>
          <w:tab w:val="left" w:pos="0"/>
        </w:tabs>
        <w:spacing w:after="0"/>
        <w:rPr>
          <w:rFonts w:ascii="Verdana" w:hAnsi="Verdana"/>
          <w:sz w:val="20"/>
          <w:szCs w:val="20"/>
          <w:lang w:val="es-CR"/>
        </w:rPr>
      </w:pPr>
      <w:r w:rsidRPr="009B31EC">
        <w:rPr>
          <w:rFonts w:ascii="Verdana" w:hAnsi="Verdana"/>
          <w:sz w:val="20"/>
          <w:szCs w:val="20"/>
          <w:lang w:val="pt-BR"/>
        </w:rPr>
        <w:t xml:space="preserve">           </w:t>
      </w:r>
      <w:r w:rsidRPr="009B31EC">
        <w:rPr>
          <w:rFonts w:ascii="Verdana" w:hAnsi="Verdana"/>
          <w:sz w:val="20"/>
          <w:szCs w:val="20"/>
          <w:lang w:val="es-CR"/>
        </w:rPr>
        <w:t>Secretario</w:t>
      </w:r>
    </w:p>
    <w:p w:rsidR="00A6586B" w:rsidRPr="009B31EC" w:rsidRDefault="00A6586B" w:rsidP="009B31EC">
      <w:pPr>
        <w:tabs>
          <w:tab w:val="left" w:pos="0"/>
        </w:tabs>
        <w:rPr>
          <w:rFonts w:ascii="Verdana" w:hAnsi="Verdana"/>
          <w:sz w:val="20"/>
          <w:szCs w:val="20"/>
          <w:lang w:val="es-CR"/>
        </w:rPr>
      </w:pPr>
    </w:p>
    <w:p w:rsidR="00A6586B" w:rsidRPr="009B31EC" w:rsidRDefault="00A6586B" w:rsidP="009B31EC">
      <w:pPr>
        <w:tabs>
          <w:tab w:val="left" w:pos="0"/>
        </w:tabs>
        <w:rPr>
          <w:rFonts w:ascii="Verdana" w:hAnsi="Verdana"/>
          <w:sz w:val="20"/>
          <w:szCs w:val="20"/>
          <w:lang w:val="es-CR"/>
        </w:rPr>
      </w:pPr>
      <w:r w:rsidRPr="009B31EC">
        <w:rPr>
          <w:rFonts w:ascii="Verdana" w:hAnsi="Verdana"/>
          <w:sz w:val="20"/>
          <w:szCs w:val="20"/>
          <w:lang w:val="es-CR"/>
        </w:rPr>
        <w:t>Comuníquese y ejecútese,</w:t>
      </w:r>
    </w:p>
    <w:p w:rsidR="00A6586B" w:rsidRPr="009B31EC" w:rsidRDefault="00A6586B" w:rsidP="009B31EC">
      <w:pPr>
        <w:tabs>
          <w:tab w:val="left" w:pos="0"/>
        </w:tabs>
        <w:rPr>
          <w:rFonts w:ascii="Verdana" w:hAnsi="Verdana"/>
          <w:sz w:val="20"/>
          <w:szCs w:val="20"/>
          <w:lang w:val="es-CR"/>
        </w:rPr>
      </w:pPr>
    </w:p>
    <w:p w:rsidR="00A6586B" w:rsidRPr="009B31EC" w:rsidRDefault="00A6586B" w:rsidP="009B31EC">
      <w:pPr>
        <w:tabs>
          <w:tab w:val="left" w:pos="0"/>
        </w:tabs>
        <w:spacing w:after="0"/>
        <w:jc w:val="right"/>
        <w:rPr>
          <w:rFonts w:ascii="Verdana" w:hAnsi="Verdana"/>
          <w:sz w:val="20"/>
          <w:szCs w:val="20"/>
          <w:lang w:val="es-CR"/>
        </w:rPr>
      </w:pPr>
      <w:r w:rsidRPr="009B31EC">
        <w:rPr>
          <w:rFonts w:ascii="Verdana" w:hAnsi="Verdana"/>
          <w:sz w:val="20"/>
          <w:szCs w:val="20"/>
          <w:lang w:val="es-CR"/>
        </w:rPr>
        <w:t>Eduardo Ferrer Mac-Gregor</w:t>
      </w:r>
    </w:p>
    <w:p w:rsidR="00A6586B" w:rsidRPr="009B31EC" w:rsidRDefault="00A6586B" w:rsidP="009B31EC">
      <w:pPr>
        <w:tabs>
          <w:tab w:val="left" w:pos="0"/>
        </w:tabs>
        <w:spacing w:after="0"/>
        <w:jc w:val="center"/>
        <w:rPr>
          <w:rFonts w:ascii="Verdana" w:hAnsi="Verdana"/>
          <w:sz w:val="20"/>
          <w:szCs w:val="20"/>
          <w:lang w:val="es-CR"/>
        </w:rPr>
      </w:pPr>
      <w:r w:rsidRPr="009B31EC">
        <w:rPr>
          <w:rFonts w:ascii="Verdana" w:hAnsi="Verdana"/>
          <w:sz w:val="20"/>
          <w:szCs w:val="20"/>
          <w:lang w:val="es-CR"/>
        </w:rPr>
        <w:t xml:space="preserve">                                                                                            Presidente</w:t>
      </w:r>
      <w:r w:rsidRPr="009B31EC">
        <w:rPr>
          <w:rFonts w:ascii="Verdana" w:hAnsi="Verdana"/>
          <w:sz w:val="20"/>
          <w:szCs w:val="20"/>
          <w:lang w:val="es-CR"/>
        </w:rPr>
        <w:cr/>
      </w:r>
    </w:p>
    <w:p w:rsidR="00A6586B" w:rsidRPr="009B31EC" w:rsidRDefault="00A6586B" w:rsidP="009B31EC">
      <w:pPr>
        <w:tabs>
          <w:tab w:val="left" w:pos="0"/>
        </w:tabs>
        <w:spacing w:after="0"/>
        <w:jc w:val="center"/>
        <w:rPr>
          <w:rFonts w:ascii="Verdana" w:hAnsi="Verdana"/>
          <w:sz w:val="20"/>
          <w:szCs w:val="20"/>
          <w:lang w:val="es-CR"/>
        </w:rPr>
      </w:pPr>
    </w:p>
    <w:p w:rsidR="00A6586B" w:rsidRPr="009B31EC" w:rsidRDefault="00A6586B" w:rsidP="009B31EC">
      <w:pPr>
        <w:tabs>
          <w:tab w:val="left" w:pos="0"/>
        </w:tabs>
        <w:spacing w:after="0"/>
        <w:rPr>
          <w:rFonts w:ascii="Verdana" w:hAnsi="Verdana"/>
          <w:sz w:val="20"/>
          <w:szCs w:val="20"/>
          <w:lang w:val="es-CR"/>
        </w:rPr>
      </w:pPr>
      <w:r w:rsidRPr="009B31EC">
        <w:rPr>
          <w:rFonts w:ascii="Verdana" w:hAnsi="Verdana"/>
          <w:sz w:val="20"/>
          <w:szCs w:val="20"/>
          <w:lang w:val="es-CR"/>
        </w:rPr>
        <w:t>Pablo Saavedra Alessandri</w:t>
      </w:r>
    </w:p>
    <w:p w:rsidR="00A6586B" w:rsidRPr="009B31EC" w:rsidRDefault="00A6586B" w:rsidP="009B31EC">
      <w:pPr>
        <w:tabs>
          <w:tab w:val="left" w:pos="0"/>
        </w:tabs>
        <w:spacing w:after="0"/>
        <w:rPr>
          <w:rFonts w:ascii="Verdana" w:hAnsi="Verdana"/>
          <w:sz w:val="20"/>
          <w:szCs w:val="20"/>
          <w:lang w:val="es-CR"/>
        </w:rPr>
      </w:pPr>
      <w:r w:rsidRPr="009B31EC">
        <w:rPr>
          <w:rFonts w:ascii="Verdana" w:hAnsi="Verdana"/>
          <w:sz w:val="20"/>
          <w:szCs w:val="20"/>
          <w:lang w:val="es-CR"/>
        </w:rPr>
        <w:t xml:space="preserve">           Secretario</w:t>
      </w:r>
    </w:p>
    <w:p w:rsidR="00A6586B" w:rsidRPr="009B31EC" w:rsidRDefault="00A6586B" w:rsidP="009B31EC">
      <w:pPr>
        <w:tabs>
          <w:tab w:val="left" w:pos="0"/>
        </w:tabs>
        <w:spacing w:after="0"/>
        <w:rPr>
          <w:rFonts w:ascii="Verdana" w:hAnsi="Verdana"/>
          <w:sz w:val="20"/>
          <w:szCs w:val="20"/>
          <w:lang w:val="es-CR"/>
        </w:rPr>
      </w:pPr>
    </w:p>
    <w:p w:rsidR="00A6586B" w:rsidRPr="009B31EC" w:rsidRDefault="00A6586B" w:rsidP="009B31EC">
      <w:pPr>
        <w:pStyle w:val="ListParagraph"/>
        <w:tabs>
          <w:tab w:val="left" w:pos="0"/>
        </w:tabs>
        <w:autoSpaceDE w:val="0"/>
        <w:autoSpaceDN w:val="0"/>
        <w:adjustRightInd w:val="0"/>
        <w:spacing w:after="0" w:line="240" w:lineRule="auto"/>
        <w:ind w:left="0"/>
        <w:jc w:val="both"/>
        <w:rPr>
          <w:rFonts w:ascii="Verdana" w:hAnsi="Verdana"/>
          <w:sz w:val="20"/>
          <w:szCs w:val="20"/>
          <w:lang w:val="es-ES"/>
        </w:rPr>
      </w:pPr>
    </w:p>
    <w:sectPr w:rsidR="00A6586B" w:rsidRPr="009B31EC" w:rsidSect="009E3A53">
      <w:headerReference w:type="default" r:id="rId9"/>
      <w:footerReference w:type="default" r:id="rId10"/>
      <w:pgSz w:w="12240" w:h="15840"/>
      <w:pgMar w:top="1440" w:right="1440" w:bottom="1440" w:left="1440"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481" w:rsidRDefault="007A2481" w:rsidP="00FF46BD">
      <w:pPr>
        <w:spacing w:after="0" w:line="240" w:lineRule="auto"/>
      </w:pPr>
      <w:r>
        <w:separator/>
      </w:r>
    </w:p>
  </w:endnote>
  <w:endnote w:type="continuationSeparator" w:id="0">
    <w:p w:rsidR="007A2481" w:rsidRDefault="007A2481" w:rsidP="00FF4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1B4" w:rsidRPr="002F51B4" w:rsidRDefault="002F51B4">
    <w:pPr>
      <w:pStyle w:val="Footer"/>
      <w:jc w:val="center"/>
      <w:rPr>
        <w:rFonts w:ascii="Verdana" w:hAnsi="Verdana"/>
        <w:sz w:val="20"/>
        <w:szCs w:val="20"/>
      </w:rPr>
    </w:pPr>
  </w:p>
  <w:p w:rsidR="002F51B4" w:rsidRDefault="002F5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481" w:rsidRDefault="007A2481" w:rsidP="00FF46BD">
      <w:pPr>
        <w:spacing w:after="0" w:line="240" w:lineRule="auto"/>
      </w:pPr>
      <w:r>
        <w:separator/>
      </w:r>
    </w:p>
  </w:footnote>
  <w:footnote w:type="continuationSeparator" w:id="0">
    <w:p w:rsidR="007A2481" w:rsidRDefault="007A2481" w:rsidP="00FF46BD">
      <w:pPr>
        <w:spacing w:after="0" w:line="240" w:lineRule="auto"/>
      </w:pPr>
      <w:r>
        <w:continuationSeparator/>
      </w:r>
    </w:p>
  </w:footnote>
  <w:footnote w:id="1">
    <w:p w:rsidR="00A97C49" w:rsidRPr="007C30EE" w:rsidRDefault="00A97C49">
      <w:pPr>
        <w:pStyle w:val="FootnoteText"/>
        <w:rPr>
          <w:rFonts w:ascii="Verdana" w:hAnsi="Verdana"/>
          <w:sz w:val="16"/>
          <w:szCs w:val="16"/>
          <w:lang w:val="es-ES"/>
        </w:rPr>
      </w:pPr>
      <w:r w:rsidRPr="007C30EE">
        <w:rPr>
          <w:rStyle w:val="FootnoteReference"/>
          <w:rFonts w:ascii="Verdana" w:hAnsi="Verdana"/>
          <w:sz w:val="16"/>
          <w:szCs w:val="16"/>
        </w:rPr>
        <w:footnoteRef/>
      </w:r>
      <w:r w:rsidRPr="007C30EE">
        <w:rPr>
          <w:rFonts w:ascii="Verdana" w:hAnsi="Verdana"/>
          <w:sz w:val="16"/>
          <w:szCs w:val="16"/>
        </w:rPr>
        <w:t xml:space="preserve"> Reglamento de la Corte Interamericana de Derechos Humanos sobre el Funcionamiento del Fondo de Asistencia Legal de Víctimas, aprobado por el Tribunal el 4 de febrero de 2010, artículo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653356"/>
      <w:docPartObj>
        <w:docPartGallery w:val="Page Numbers (Top of Page)"/>
        <w:docPartUnique/>
      </w:docPartObj>
    </w:sdtPr>
    <w:sdtEndPr>
      <w:rPr>
        <w:noProof/>
      </w:rPr>
    </w:sdtEndPr>
    <w:sdtContent>
      <w:p w:rsidR="009E3A53" w:rsidRDefault="009E3A5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9E3A53" w:rsidRDefault="009E3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1DDC"/>
    <w:multiLevelType w:val="hybridMultilevel"/>
    <w:tmpl w:val="20E6A1D4"/>
    <w:lvl w:ilvl="0" w:tplc="3FE82830">
      <w:start w:val="1"/>
      <w:numFmt w:val="decimal"/>
      <w:lvlText w:val="%1."/>
      <w:lvlJc w:val="left"/>
      <w:pPr>
        <w:ind w:left="924" w:hanging="56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952BB4"/>
    <w:multiLevelType w:val="hybridMultilevel"/>
    <w:tmpl w:val="FC1EC122"/>
    <w:lvl w:ilvl="0" w:tplc="54D0389A">
      <w:start w:val="1"/>
      <w:numFmt w:val="decimal"/>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C6383F"/>
    <w:multiLevelType w:val="hybridMultilevel"/>
    <w:tmpl w:val="424E00C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77799"/>
    <w:multiLevelType w:val="hybridMultilevel"/>
    <w:tmpl w:val="F51AAE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3C966A3"/>
    <w:multiLevelType w:val="hybridMultilevel"/>
    <w:tmpl w:val="7B9A36B4"/>
    <w:lvl w:ilvl="0" w:tplc="C46E2F54">
      <w:start w:val="1"/>
      <w:numFmt w:val="decimal"/>
      <w:lvlText w:val="%1."/>
      <w:lvlJc w:val="right"/>
      <w:pPr>
        <w:ind w:left="360" w:hanging="360"/>
      </w:pPr>
      <w:rPr>
        <w:rFonts w:ascii="Verdana" w:hAnsi="Verdana" w:cs="Verdana" w:hint="default"/>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C125BDC">
      <w:start w:val="1"/>
      <w:numFmt w:val="decimal"/>
      <w:lvlText w:val="%4."/>
      <w:lvlJc w:val="left"/>
      <w:pPr>
        <w:ind w:left="0" w:firstLine="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3A47789"/>
    <w:multiLevelType w:val="hybridMultilevel"/>
    <w:tmpl w:val="9912C85A"/>
    <w:lvl w:ilvl="0" w:tplc="A852EBAA">
      <w:start w:val="1"/>
      <w:numFmt w:val="decimal"/>
      <w:lvlText w:val="%1."/>
      <w:lvlJc w:val="left"/>
      <w:pPr>
        <w:ind w:left="720" w:hanging="360"/>
      </w:pPr>
      <w:rPr>
        <w:strike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A2C2230"/>
    <w:multiLevelType w:val="hybridMultilevel"/>
    <w:tmpl w:val="9912C85A"/>
    <w:lvl w:ilvl="0" w:tplc="A852EBAA">
      <w:start w:val="1"/>
      <w:numFmt w:val="decimal"/>
      <w:lvlText w:val="%1."/>
      <w:lvlJc w:val="left"/>
      <w:pPr>
        <w:ind w:left="720" w:hanging="360"/>
      </w:pPr>
      <w:rPr>
        <w:strike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BD"/>
    <w:rsid w:val="0000612A"/>
    <w:rsid w:val="00077DF2"/>
    <w:rsid w:val="000D7D9A"/>
    <w:rsid w:val="001F43D6"/>
    <w:rsid w:val="00232778"/>
    <w:rsid w:val="00240DDE"/>
    <w:rsid w:val="00245267"/>
    <w:rsid w:val="002627E7"/>
    <w:rsid w:val="002C63C8"/>
    <w:rsid w:val="002F51B4"/>
    <w:rsid w:val="0032457D"/>
    <w:rsid w:val="00353C1D"/>
    <w:rsid w:val="00370C9C"/>
    <w:rsid w:val="00391F33"/>
    <w:rsid w:val="004B2F87"/>
    <w:rsid w:val="004D6C02"/>
    <w:rsid w:val="005A1DE0"/>
    <w:rsid w:val="005D27BB"/>
    <w:rsid w:val="005D3668"/>
    <w:rsid w:val="00695356"/>
    <w:rsid w:val="006C7B13"/>
    <w:rsid w:val="006E0162"/>
    <w:rsid w:val="007A12B6"/>
    <w:rsid w:val="007A2481"/>
    <w:rsid w:val="007C30EE"/>
    <w:rsid w:val="00801E75"/>
    <w:rsid w:val="00803B10"/>
    <w:rsid w:val="00856283"/>
    <w:rsid w:val="00891369"/>
    <w:rsid w:val="008B36DD"/>
    <w:rsid w:val="008D0CCA"/>
    <w:rsid w:val="0095222A"/>
    <w:rsid w:val="009527AB"/>
    <w:rsid w:val="00984856"/>
    <w:rsid w:val="00987B23"/>
    <w:rsid w:val="009B31EC"/>
    <w:rsid w:val="009B431C"/>
    <w:rsid w:val="009E3A53"/>
    <w:rsid w:val="009F36EA"/>
    <w:rsid w:val="00A02763"/>
    <w:rsid w:val="00A234D7"/>
    <w:rsid w:val="00A42C3C"/>
    <w:rsid w:val="00A6586B"/>
    <w:rsid w:val="00A97C49"/>
    <w:rsid w:val="00B128AE"/>
    <w:rsid w:val="00B803B4"/>
    <w:rsid w:val="00BA3F38"/>
    <w:rsid w:val="00BB0A77"/>
    <w:rsid w:val="00C21B44"/>
    <w:rsid w:val="00C66AD6"/>
    <w:rsid w:val="00D006FF"/>
    <w:rsid w:val="00DD0387"/>
    <w:rsid w:val="00E31B0D"/>
    <w:rsid w:val="00EE58D7"/>
    <w:rsid w:val="00F549B8"/>
    <w:rsid w:val="00F97C32"/>
    <w:rsid w:val="00FF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F46BD"/>
    <w:pPr>
      <w:autoSpaceDE w:val="0"/>
      <w:autoSpaceDN w:val="0"/>
      <w:adjustRightInd w:val="0"/>
      <w:spacing w:after="0" w:line="240" w:lineRule="auto"/>
    </w:pPr>
    <w:rPr>
      <w:rFonts w:ascii="Verdana" w:eastAsia="Calibri" w:hAnsi="Verdana" w:cs="Verdana"/>
      <w:color w:val="000000"/>
      <w:sz w:val="24"/>
      <w:szCs w:val="24"/>
    </w:rPr>
  </w:style>
  <w:style w:type="paragraph" w:styleId="FootnoteText">
    <w:name w:val="footnote text"/>
    <w:aliases w:val="Footnote Text Char Char Char Char Char,Footnote Text Char Char Char Char,FA Fu,Footnote reference,Footnote Text Char Char Char,Footnote Text Cha,FA Fußnotentext,FA Fuﬂnotentext,Texto nota pie Car,Footnote Text Char Char,FA Fu?notentext,Ca"/>
    <w:basedOn w:val="Normal"/>
    <w:link w:val="FootnoteTextChar"/>
    <w:uiPriority w:val="99"/>
    <w:qFormat/>
    <w:rsid w:val="00FF46BD"/>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Footnote Text Char Char Char Char Char Char,Footnote Text Char Char Char Char Char1,FA Fu Char,Footnote reference Char,Footnote Text Char Char Char Char1,Footnote Text Cha Char,FA Fußnotentext Char,FA Fuﬂnotentext Char,Ca Char"/>
    <w:basedOn w:val="DefaultParagraphFont"/>
    <w:link w:val="FootnoteText"/>
    <w:uiPriority w:val="99"/>
    <w:rsid w:val="00FF46BD"/>
    <w:rPr>
      <w:rFonts w:ascii="Calibri" w:eastAsia="Calibri" w:hAnsi="Calibri" w:cs="Times New Roman"/>
      <w:sz w:val="20"/>
      <w:szCs w:val="20"/>
      <w:lang w:val="x-none" w:eastAsia="x-none"/>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uiPriority w:val="99"/>
    <w:qFormat/>
    <w:rsid w:val="00FF46BD"/>
    <w:rPr>
      <w:vertAlign w:val="superscript"/>
    </w:rPr>
  </w:style>
  <w:style w:type="paragraph" w:styleId="ListParagraph">
    <w:name w:val="List Paragraph"/>
    <w:aliases w:val="Footnote,List Paragraph1,Párrafo de lista1"/>
    <w:basedOn w:val="Normal"/>
    <w:uiPriority w:val="34"/>
    <w:qFormat/>
    <w:rsid w:val="00FF46BD"/>
    <w:pPr>
      <w:ind w:left="720"/>
    </w:pPr>
    <w:rPr>
      <w:rFonts w:ascii="Calibri" w:eastAsia="Calibri" w:hAnsi="Calibri" w:cs="Calibri"/>
    </w:rPr>
  </w:style>
  <w:style w:type="paragraph" w:styleId="BalloonText">
    <w:name w:val="Balloon Text"/>
    <w:basedOn w:val="Normal"/>
    <w:link w:val="BalloonTextChar"/>
    <w:uiPriority w:val="99"/>
    <w:semiHidden/>
    <w:unhideWhenUsed/>
    <w:rsid w:val="00987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23"/>
    <w:rPr>
      <w:rFonts w:ascii="Tahoma" w:hAnsi="Tahoma" w:cs="Tahoma"/>
      <w:sz w:val="16"/>
      <w:szCs w:val="16"/>
    </w:rPr>
  </w:style>
  <w:style w:type="character" w:styleId="LineNumber">
    <w:name w:val="line number"/>
    <w:basedOn w:val="DefaultParagraphFont"/>
    <w:uiPriority w:val="99"/>
    <w:semiHidden/>
    <w:unhideWhenUsed/>
    <w:rsid w:val="008D0CCA"/>
  </w:style>
  <w:style w:type="paragraph" w:styleId="Header">
    <w:name w:val="header"/>
    <w:basedOn w:val="Normal"/>
    <w:link w:val="HeaderChar"/>
    <w:uiPriority w:val="99"/>
    <w:unhideWhenUsed/>
    <w:rsid w:val="002F5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1B4"/>
  </w:style>
  <w:style w:type="paragraph" w:styleId="Footer">
    <w:name w:val="footer"/>
    <w:basedOn w:val="Normal"/>
    <w:link w:val="FooterChar"/>
    <w:uiPriority w:val="99"/>
    <w:unhideWhenUsed/>
    <w:rsid w:val="002F5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F46BD"/>
    <w:pPr>
      <w:autoSpaceDE w:val="0"/>
      <w:autoSpaceDN w:val="0"/>
      <w:adjustRightInd w:val="0"/>
      <w:spacing w:after="0" w:line="240" w:lineRule="auto"/>
    </w:pPr>
    <w:rPr>
      <w:rFonts w:ascii="Verdana" w:eastAsia="Calibri" w:hAnsi="Verdana" w:cs="Verdana"/>
      <w:color w:val="000000"/>
      <w:sz w:val="24"/>
      <w:szCs w:val="24"/>
    </w:rPr>
  </w:style>
  <w:style w:type="paragraph" w:styleId="FootnoteText">
    <w:name w:val="footnote text"/>
    <w:aliases w:val="Footnote Text Char Char Char Char Char,Footnote Text Char Char Char Char,FA Fu,Footnote reference,Footnote Text Char Char Char,Footnote Text Cha,FA Fußnotentext,FA Fuﬂnotentext,Texto nota pie Car,Footnote Text Char Char,FA Fu?notentext,Ca"/>
    <w:basedOn w:val="Normal"/>
    <w:link w:val="FootnoteTextChar"/>
    <w:uiPriority w:val="99"/>
    <w:qFormat/>
    <w:rsid w:val="00FF46BD"/>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Footnote Text Char Char Char Char Char Char,Footnote Text Char Char Char Char Char1,FA Fu Char,Footnote reference Char,Footnote Text Char Char Char Char1,Footnote Text Cha Char,FA Fußnotentext Char,FA Fuﬂnotentext Char,Ca Char"/>
    <w:basedOn w:val="DefaultParagraphFont"/>
    <w:link w:val="FootnoteText"/>
    <w:uiPriority w:val="99"/>
    <w:rsid w:val="00FF46BD"/>
    <w:rPr>
      <w:rFonts w:ascii="Calibri" w:eastAsia="Calibri" w:hAnsi="Calibri" w:cs="Times New Roman"/>
      <w:sz w:val="20"/>
      <w:szCs w:val="20"/>
      <w:lang w:val="x-none" w:eastAsia="x-none"/>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uiPriority w:val="99"/>
    <w:qFormat/>
    <w:rsid w:val="00FF46BD"/>
    <w:rPr>
      <w:vertAlign w:val="superscript"/>
    </w:rPr>
  </w:style>
  <w:style w:type="paragraph" w:styleId="ListParagraph">
    <w:name w:val="List Paragraph"/>
    <w:aliases w:val="Footnote,List Paragraph1,Párrafo de lista1"/>
    <w:basedOn w:val="Normal"/>
    <w:uiPriority w:val="34"/>
    <w:qFormat/>
    <w:rsid w:val="00FF46BD"/>
    <w:pPr>
      <w:ind w:left="720"/>
    </w:pPr>
    <w:rPr>
      <w:rFonts w:ascii="Calibri" w:eastAsia="Calibri" w:hAnsi="Calibri" w:cs="Calibri"/>
    </w:rPr>
  </w:style>
  <w:style w:type="paragraph" w:styleId="BalloonText">
    <w:name w:val="Balloon Text"/>
    <w:basedOn w:val="Normal"/>
    <w:link w:val="BalloonTextChar"/>
    <w:uiPriority w:val="99"/>
    <w:semiHidden/>
    <w:unhideWhenUsed/>
    <w:rsid w:val="00987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23"/>
    <w:rPr>
      <w:rFonts w:ascii="Tahoma" w:hAnsi="Tahoma" w:cs="Tahoma"/>
      <w:sz w:val="16"/>
      <w:szCs w:val="16"/>
    </w:rPr>
  </w:style>
  <w:style w:type="character" w:styleId="LineNumber">
    <w:name w:val="line number"/>
    <w:basedOn w:val="DefaultParagraphFont"/>
    <w:uiPriority w:val="99"/>
    <w:semiHidden/>
    <w:unhideWhenUsed/>
    <w:rsid w:val="008D0CCA"/>
  </w:style>
  <w:style w:type="paragraph" w:styleId="Header">
    <w:name w:val="header"/>
    <w:basedOn w:val="Normal"/>
    <w:link w:val="HeaderChar"/>
    <w:uiPriority w:val="99"/>
    <w:unhideWhenUsed/>
    <w:rsid w:val="002F5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1B4"/>
  </w:style>
  <w:style w:type="paragraph" w:styleId="Footer">
    <w:name w:val="footer"/>
    <w:basedOn w:val="Normal"/>
    <w:link w:val="FooterChar"/>
    <w:uiPriority w:val="99"/>
    <w:unhideWhenUsed/>
    <w:rsid w:val="002F5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AC724-CAA2-4390-9838-C15DDB23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1072</Words>
  <Characters>6111</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Hannia Sanchez</cp:lastModifiedBy>
  <cp:revision>3</cp:revision>
  <cp:lastPrinted>2018-02-12T22:32:00Z</cp:lastPrinted>
  <dcterms:created xsi:type="dcterms:W3CDTF">2018-02-12T22:47:00Z</dcterms:created>
  <dcterms:modified xsi:type="dcterms:W3CDTF">2018-02-12T22:52:00Z</dcterms:modified>
</cp:coreProperties>
</file>