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70" w:rsidRPr="005E403B" w:rsidRDefault="00CF463D" w:rsidP="006066BD">
      <w:pPr>
        <w:spacing w:after="0"/>
        <w:rPr>
          <w:b/>
        </w:rPr>
      </w:pPr>
      <w:r>
        <w:rPr>
          <w:b/>
        </w:rPr>
        <w:t xml:space="preserve">   </w:t>
      </w:r>
      <w:bookmarkStart w:id="0" w:name="_GoBack"/>
      <w:bookmarkEnd w:id="0"/>
    </w:p>
    <w:p w:rsidR="00DE3170" w:rsidRPr="005E403B" w:rsidRDefault="00DE3170" w:rsidP="006066BD">
      <w:pPr>
        <w:spacing w:after="0"/>
        <w:rPr>
          <w:b/>
        </w:rPr>
      </w:pPr>
    </w:p>
    <w:p w:rsidR="00DE3170" w:rsidRPr="005E403B" w:rsidRDefault="00DE3170" w:rsidP="006066BD">
      <w:pPr>
        <w:spacing w:after="0"/>
        <w:rPr>
          <w:b/>
        </w:rPr>
      </w:pPr>
    </w:p>
    <w:p w:rsidR="00DE3170" w:rsidRPr="005E403B" w:rsidRDefault="00DE3170" w:rsidP="006066BD">
      <w:pPr>
        <w:spacing w:after="0"/>
        <w:rPr>
          <w:b/>
        </w:rPr>
      </w:pPr>
    </w:p>
    <w:p w:rsidR="00DE3170" w:rsidRPr="005E403B" w:rsidRDefault="00DE3170" w:rsidP="006066BD">
      <w:pPr>
        <w:spacing w:after="0"/>
        <w:rPr>
          <w:b/>
        </w:rPr>
      </w:pPr>
    </w:p>
    <w:p w:rsidR="00DE3170" w:rsidRPr="005E403B" w:rsidRDefault="00DE3170" w:rsidP="006066BD">
      <w:pPr>
        <w:spacing w:after="0"/>
        <w:rPr>
          <w:b/>
        </w:rPr>
      </w:pPr>
    </w:p>
    <w:p w:rsidR="00DE3170" w:rsidRPr="005E403B" w:rsidRDefault="00DE3170" w:rsidP="006066BD">
      <w:pPr>
        <w:spacing w:after="0"/>
        <w:rPr>
          <w:b/>
        </w:rPr>
      </w:pPr>
    </w:p>
    <w:p w:rsidR="00DE3170" w:rsidRPr="005E403B" w:rsidRDefault="00DE3170" w:rsidP="006066BD">
      <w:pPr>
        <w:spacing w:after="0"/>
        <w:jc w:val="center"/>
        <w:rPr>
          <w:b/>
        </w:rPr>
      </w:pPr>
      <w:r w:rsidRPr="005E403B">
        <w:rPr>
          <w:b/>
        </w:rPr>
        <w:t>RESOLUCIÓN DEL PRESIDENTE DE LA</w:t>
      </w:r>
    </w:p>
    <w:p w:rsidR="006066BD" w:rsidRPr="005E403B" w:rsidRDefault="006066BD" w:rsidP="006066BD">
      <w:pPr>
        <w:spacing w:after="0"/>
        <w:jc w:val="center"/>
        <w:rPr>
          <w:b/>
        </w:rPr>
      </w:pPr>
    </w:p>
    <w:p w:rsidR="00F52A64" w:rsidRDefault="00DE3170" w:rsidP="00F52A64">
      <w:pPr>
        <w:spacing w:after="0"/>
        <w:jc w:val="center"/>
        <w:rPr>
          <w:rFonts w:ascii="Times New Roman" w:hAnsi="Times New Roman" w:cs="Times New Roman"/>
          <w:sz w:val="24"/>
          <w:lang w:val="es-CR" w:eastAsia="es-CR"/>
        </w:rPr>
      </w:pPr>
      <w:r w:rsidRPr="005E403B">
        <w:rPr>
          <w:b/>
        </w:rPr>
        <w:t>CORTE INTERAMERICANA DE DERECHOS HUMANOS</w:t>
      </w:r>
      <w:r w:rsidR="00F52A64">
        <w:rPr>
          <w:rStyle w:val="FootnoteReference"/>
          <w:rFonts w:cs="Verdana Bold"/>
          <w:b/>
          <w:bCs/>
          <w:caps/>
        </w:rPr>
        <w:footnoteReference w:customMarkFollows="1" w:id="2"/>
        <w:t>*</w:t>
      </w:r>
    </w:p>
    <w:p w:rsidR="00DE3170" w:rsidRPr="00F52A64" w:rsidRDefault="00DE3170" w:rsidP="00F52A64">
      <w:pPr>
        <w:spacing w:after="0"/>
        <w:rPr>
          <w:b/>
          <w:lang w:val="es-CR"/>
        </w:rPr>
      </w:pPr>
    </w:p>
    <w:p w:rsidR="006066BD" w:rsidRPr="005E403B" w:rsidRDefault="006066BD" w:rsidP="006066BD">
      <w:pPr>
        <w:spacing w:after="0"/>
        <w:jc w:val="center"/>
        <w:rPr>
          <w:b/>
        </w:rPr>
      </w:pPr>
    </w:p>
    <w:p w:rsidR="00DE3170" w:rsidRPr="005E403B" w:rsidRDefault="00DE3170" w:rsidP="006066BD">
      <w:pPr>
        <w:spacing w:after="0"/>
        <w:jc w:val="center"/>
        <w:rPr>
          <w:b/>
        </w:rPr>
      </w:pPr>
      <w:r w:rsidRPr="005E403B">
        <w:rPr>
          <w:b/>
        </w:rPr>
        <w:t xml:space="preserve">DE </w:t>
      </w:r>
      <w:r w:rsidR="007A49E5">
        <w:rPr>
          <w:b/>
        </w:rPr>
        <w:t>12</w:t>
      </w:r>
      <w:r w:rsidRPr="005E403B">
        <w:rPr>
          <w:b/>
        </w:rPr>
        <w:t xml:space="preserve"> DE </w:t>
      </w:r>
      <w:r w:rsidR="00E82250">
        <w:rPr>
          <w:b/>
        </w:rPr>
        <w:t>JULIO</w:t>
      </w:r>
      <w:r w:rsidR="00E82250" w:rsidRPr="005E403B">
        <w:rPr>
          <w:b/>
        </w:rPr>
        <w:t xml:space="preserve"> </w:t>
      </w:r>
      <w:r w:rsidRPr="005E403B">
        <w:rPr>
          <w:b/>
        </w:rPr>
        <w:t>DE 2017</w:t>
      </w:r>
    </w:p>
    <w:p w:rsidR="00DE3170" w:rsidRPr="005E403B" w:rsidRDefault="00DE3170" w:rsidP="006066BD">
      <w:pPr>
        <w:spacing w:after="0"/>
        <w:jc w:val="center"/>
        <w:rPr>
          <w:b/>
        </w:rPr>
      </w:pPr>
    </w:p>
    <w:p w:rsidR="005E548D" w:rsidRPr="005E403B" w:rsidRDefault="00DE3170" w:rsidP="006066BD">
      <w:pPr>
        <w:spacing w:after="0"/>
        <w:jc w:val="center"/>
        <w:rPr>
          <w:b/>
        </w:rPr>
      </w:pPr>
      <w:r w:rsidRPr="005E403B">
        <w:rPr>
          <w:b/>
        </w:rPr>
        <w:t xml:space="preserve">CASO </w:t>
      </w:r>
      <w:r w:rsidR="00084E76" w:rsidRPr="005E403B">
        <w:rPr>
          <w:b/>
        </w:rPr>
        <w:t>AMRHEIN Y OTROS VS. COSTA RICA</w:t>
      </w:r>
    </w:p>
    <w:p w:rsidR="006066BD" w:rsidRPr="005E403B" w:rsidRDefault="006066BD" w:rsidP="006066BD">
      <w:pPr>
        <w:pStyle w:val="Heading1"/>
        <w:spacing w:before="0"/>
      </w:pPr>
    </w:p>
    <w:p w:rsidR="005E548D" w:rsidRPr="005E403B" w:rsidRDefault="005E548D" w:rsidP="006066BD">
      <w:pPr>
        <w:pStyle w:val="Heading1"/>
        <w:spacing w:before="0"/>
      </w:pPr>
      <w:r w:rsidRPr="005E403B">
        <w:t>VISTO:</w:t>
      </w:r>
    </w:p>
    <w:p w:rsidR="006066BD" w:rsidRPr="005E403B" w:rsidRDefault="006066BD" w:rsidP="00031BEA">
      <w:pPr>
        <w:spacing w:after="0"/>
      </w:pPr>
    </w:p>
    <w:p w:rsidR="00BA484E" w:rsidRPr="00BF1ACB" w:rsidRDefault="005E548D" w:rsidP="00BF1ACB">
      <w:pPr>
        <w:pStyle w:val="ListParagraph"/>
        <w:widowControl w:val="0"/>
        <w:numPr>
          <w:ilvl w:val="0"/>
          <w:numId w:val="17"/>
        </w:numPr>
        <w:tabs>
          <w:tab w:val="left" w:pos="567"/>
        </w:tabs>
        <w:autoSpaceDE w:val="0"/>
        <w:autoSpaceDN w:val="0"/>
        <w:adjustRightInd w:val="0"/>
        <w:spacing w:after="0"/>
        <w:ind w:left="0" w:right="22" w:firstLine="0"/>
        <w:contextualSpacing/>
        <w:rPr>
          <w:szCs w:val="20"/>
        </w:rPr>
      </w:pPr>
      <w:r w:rsidRPr="005E403B">
        <w:t xml:space="preserve">El escrito de sometimiento del caso y el Informe de Fondo de la Comisión Interamericana de Derechos Humanos (en adelante “la Comisión Interamericana” o “la </w:t>
      </w:r>
      <w:r w:rsidRPr="00BF1ACB">
        <w:rPr>
          <w:szCs w:val="20"/>
        </w:rPr>
        <w:t xml:space="preserve">Comisión”); los </w:t>
      </w:r>
      <w:r w:rsidR="00300005" w:rsidRPr="00BF1ACB">
        <w:rPr>
          <w:szCs w:val="20"/>
        </w:rPr>
        <w:t xml:space="preserve">cuatro </w:t>
      </w:r>
      <w:r w:rsidRPr="00BF1ACB">
        <w:rPr>
          <w:szCs w:val="20"/>
        </w:rPr>
        <w:t>escritos de solicitudes, argumentos y pruebas (en adelante los “escritos de solicitudes y argumentos”) de los tres intervinientes comunes</w:t>
      </w:r>
      <w:r w:rsidRPr="00BF1ACB">
        <w:rPr>
          <w:rStyle w:val="FootnoteReference"/>
          <w:szCs w:val="20"/>
        </w:rPr>
        <w:footnoteReference w:id="3"/>
      </w:r>
      <w:r w:rsidRPr="00BF1ACB">
        <w:rPr>
          <w:szCs w:val="20"/>
        </w:rPr>
        <w:t xml:space="preserve">; </w:t>
      </w:r>
      <w:r w:rsidRPr="00BF1ACB">
        <w:rPr>
          <w:szCs w:val="20"/>
          <w:lang w:val="es-CR"/>
        </w:rPr>
        <w:t>el escrito de excepciones preliminares</w:t>
      </w:r>
      <w:r w:rsidR="00300005" w:rsidRPr="00BF1ACB">
        <w:rPr>
          <w:szCs w:val="20"/>
          <w:lang w:val="es-CR"/>
        </w:rPr>
        <w:t xml:space="preserve"> y</w:t>
      </w:r>
      <w:r w:rsidRPr="00BF1ACB">
        <w:rPr>
          <w:szCs w:val="20"/>
          <w:lang w:val="es-CR"/>
        </w:rPr>
        <w:t xml:space="preserve"> de </w:t>
      </w:r>
      <w:r w:rsidRPr="00BF1ACB">
        <w:rPr>
          <w:szCs w:val="20"/>
        </w:rPr>
        <w:t xml:space="preserve">contestación al sometimiento del caso y </w:t>
      </w:r>
      <w:r w:rsidR="00300005" w:rsidRPr="00BF1ACB">
        <w:rPr>
          <w:szCs w:val="20"/>
        </w:rPr>
        <w:t xml:space="preserve">a los </w:t>
      </w:r>
      <w:r w:rsidRPr="00BF1ACB">
        <w:rPr>
          <w:szCs w:val="20"/>
        </w:rPr>
        <w:t>escrito</w:t>
      </w:r>
      <w:r w:rsidR="00300005" w:rsidRPr="00BF1ACB">
        <w:rPr>
          <w:szCs w:val="20"/>
        </w:rPr>
        <w:t xml:space="preserve">s </w:t>
      </w:r>
      <w:r w:rsidRPr="00BF1ACB">
        <w:rPr>
          <w:szCs w:val="20"/>
        </w:rPr>
        <w:t xml:space="preserve">de solicitudes y argumentos (en adelante “escrito de contestación”) del Estado de Costa Rica (en adelante “Costa Rica” o “el Estado”); </w:t>
      </w:r>
      <w:r w:rsidRPr="00BF1ACB">
        <w:rPr>
          <w:szCs w:val="20"/>
          <w:lang w:val="es-CR"/>
        </w:rPr>
        <w:t>los escritos de observaciones a las excepciones preliminares presentados por la Comisión y los intervinientes comunes</w:t>
      </w:r>
      <w:r w:rsidR="00D61E27" w:rsidRPr="00BF1ACB">
        <w:rPr>
          <w:szCs w:val="20"/>
          <w:lang w:val="es-CR"/>
        </w:rPr>
        <w:t xml:space="preserve">, así como </w:t>
      </w:r>
      <w:r w:rsidR="003C1C44">
        <w:rPr>
          <w:szCs w:val="20"/>
          <w:lang w:val="es-CR"/>
        </w:rPr>
        <w:t>el</w:t>
      </w:r>
      <w:r w:rsidR="003C1C44" w:rsidRPr="00BF1ACB">
        <w:rPr>
          <w:szCs w:val="20"/>
          <w:lang w:val="es-CR"/>
        </w:rPr>
        <w:t xml:space="preserve"> </w:t>
      </w:r>
      <w:r w:rsidR="00D61E27" w:rsidRPr="00BF1ACB">
        <w:rPr>
          <w:szCs w:val="20"/>
          <w:lang w:val="es-CR"/>
        </w:rPr>
        <w:t>escrito de</w:t>
      </w:r>
      <w:r w:rsidR="000005B8" w:rsidRPr="00BF1ACB">
        <w:rPr>
          <w:szCs w:val="20"/>
          <w:lang w:val="es-CR"/>
        </w:rPr>
        <w:t xml:space="preserve"> </w:t>
      </w:r>
      <w:r w:rsidR="000005B8" w:rsidRPr="00BF1ACB">
        <w:rPr>
          <w:szCs w:val="20"/>
        </w:rPr>
        <w:t>Servicios Interamericanos de Profesionales en Derechos Humanos (SIPDH)</w:t>
      </w:r>
      <w:r w:rsidR="00BF1ACB" w:rsidRPr="00BF1ACB">
        <w:rPr>
          <w:szCs w:val="20"/>
        </w:rPr>
        <w:t xml:space="preserve"> de 30</w:t>
      </w:r>
      <w:r w:rsidR="000005B8" w:rsidRPr="00BF1ACB">
        <w:rPr>
          <w:szCs w:val="20"/>
        </w:rPr>
        <w:t xml:space="preserve"> de junio de 2017 </w:t>
      </w:r>
      <w:r w:rsidR="00355745">
        <w:rPr>
          <w:szCs w:val="20"/>
        </w:rPr>
        <w:t>y</w:t>
      </w:r>
      <w:r w:rsidR="000005B8" w:rsidRPr="00BF1ACB">
        <w:rPr>
          <w:szCs w:val="20"/>
        </w:rPr>
        <w:t xml:space="preserve"> los escritos de la</w:t>
      </w:r>
      <w:r w:rsidR="00D61E27" w:rsidRPr="00BF1ACB">
        <w:rPr>
          <w:szCs w:val="20"/>
          <w:lang w:val="es-CR"/>
        </w:rPr>
        <w:t xml:space="preserve"> Comisión </w:t>
      </w:r>
      <w:r w:rsidR="000005B8" w:rsidRPr="00BF1ACB">
        <w:rPr>
          <w:szCs w:val="20"/>
          <w:lang w:val="es-CR"/>
        </w:rPr>
        <w:t xml:space="preserve">y </w:t>
      </w:r>
      <w:r w:rsidR="00355745">
        <w:rPr>
          <w:szCs w:val="20"/>
          <w:lang w:val="es-CR"/>
        </w:rPr>
        <w:t>d</w:t>
      </w:r>
      <w:r w:rsidR="000005B8" w:rsidRPr="00BF1ACB">
        <w:rPr>
          <w:szCs w:val="20"/>
          <w:lang w:val="es-CR"/>
        </w:rPr>
        <w:t xml:space="preserve">el Estado </w:t>
      </w:r>
      <w:r w:rsidR="00D61E27" w:rsidRPr="00BF1ACB">
        <w:rPr>
          <w:szCs w:val="20"/>
          <w:lang w:val="es-CR"/>
        </w:rPr>
        <w:t>de 3 de julio de 2017</w:t>
      </w:r>
      <w:r w:rsidRPr="00BF1ACB">
        <w:rPr>
          <w:szCs w:val="20"/>
          <w:lang w:val="es-CR"/>
        </w:rPr>
        <w:t>.</w:t>
      </w:r>
      <w:r w:rsidR="001B3B0B" w:rsidRPr="00BF1ACB">
        <w:rPr>
          <w:szCs w:val="20"/>
          <w:lang w:val="es-CR"/>
        </w:rPr>
        <w:t xml:space="preserve"> En este caso, la Comisión acumuló ocho peticiones relacionadas con diecisiete </w:t>
      </w:r>
      <w:r w:rsidR="0095053F">
        <w:rPr>
          <w:szCs w:val="20"/>
          <w:lang w:val="es-CR"/>
        </w:rPr>
        <w:t>peticionarios</w:t>
      </w:r>
      <w:r w:rsidR="001B3B0B" w:rsidRPr="00BF1ACB">
        <w:rPr>
          <w:szCs w:val="20"/>
          <w:lang w:val="es-CR"/>
        </w:rPr>
        <w:t>.</w:t>
      </w:r>
    </w:p>
    <w:p w:rsidR="00BF1ACB" w:rsidRPr="00BF1ACB" w:rsidRDefault="00BF1ACB" w:rsidP="00BF1ACB">
      <w:pPr>
        <w:pStyle w:val="ListParagraph"/>
        <w:widowControl w:val="0"/>
        <w:tabs>
          <w:tab w:val="left" w:pos="567"/>
        </w:tabs>
        <w:autoSpaceDE w:val="0"/>
        <w:autoSpaceDN w:val="0"/>
        <w:adjustRightInd w:val="0"/>
        <w:spacing w:after="0"/>
        <w:ind w:left="0" w:right="22"/>
        <w:contextualSpacing/>
        <w:rPr>
          <w:szCs w:val="20"/>
        </w:rPr>
      </w:pPr>
    </w:p>
    <w:p w:rsidR="00DE3170" w:rsidRPr="00BF1ACB" w:rsidRDefault="005E548D" w:rsidP="00BF1ACB">
      <w:pPr>
        <w:pStyle w:val="ListParagraph"/>
        <w:widowControl w:val="0"/>
        <w:numPr>
          <w:ilvl w:val="0"/>
          <w:numId w:val="17"/>
        </w:numPr>
        <w:tabs>
          <w:tab w:val="left" w:pos="567"/>
        </w:tabs>
        <w:autoSpaceDE w:val="0"/>
        <w:autoSpaceDN w:val="0"/>
        <w:adjustRightInd w:val="0"/>
        <w:spacing w:after="0"/>
        <w:ind w:left="0" w:right="22" w:firstLine="0"/>
        <w:contextualSpacing/>
        <w:rPr>
          <w:rFonts w:eastAsiaTheme="minorHAnsi" w:cs="Verdana"/>
          <w:lang w:val="es-CR" w:eastAsia="en-US"/>
        </w:rPr>
      </w:pPr>
      <w:r w:rsidRPr="00BF1ACB">
        <w:t xml:space="preserve">Las listas definitivas de declarantes presentadas por </w:t>
      </w:r>
      <w:r w:rsidR="00703D49">
        <w:t xml:space="preserve">dos de los tres </w:t>
      </w:r>
      <w:r w:rsidRPr="00BF1ACB">
        <w:t>intervinientes comunes</w:t>
      </w:r>
      <w:r w:rsidR="005703B0" w:rsidRPr="00BF1ACB">
        <w:rPr>
          <w:rStyle w:val="FootnoteReference"/>
          <w:szCs w:val="20"/>
        </w:rPr>
        <w:footnoteReference w:id="4"/>
      </w:r>
      <w:r w:rsidR="00703D49">
        <w:t>,</w:t>
      </w:r>
      <w:r w:rsidR="005703B0" w:rsidRPr="00BF1ACB">
        <w:rPr>
          <w:rFonts w:eastAsiaTheme="minorHAnsi" w:cs="Verdana"/>
          <w:lang w:val="es-CR" w:eastAsia="en-US"/>
        </w:rPr>
        <w:t xml:space="preserve"> </w:t>
      </w:r>
      <w:r w:rsidRPr="00BF1ACB">
        <w:t xml:space="preserve">el Estado y la Comisión; </w:t>
      </w:r>
      <w:r w:rsidR="00BF1ACB">
        <w:t>así como</w:t>
      </w:r>
      <w:r w:rsidRPr="00BF1ACB">
        <w:t xml:space="preserve"> las correspondientes observaciones a dichas listas.</w:t>
      </w:r>
    </w:p>
    <w:p w:rsidR="001B3B0B" w:rsidRPr="005E403B" w:rsidRDefault="001B3B0B" w:rsidP="006066BD">
      <w:pPr>
        <w:pStyle w:val="ListParagraph"/>
        <w:widowControl w:val="0"/>
        <w:tabs>
          <w:tab w:val="left" w:pos="567"/>
        </w:tabs>
        <w:autoSpaceDE w:val="0"/>
        <w:autoSpaceDN w:val="0"/>
        <w:adjustRightInd w:val="0"/>
        <w:spacing w:after="0"/>
        <w:ind w:left="0" w:right="22"/>
        <w:contextualSpacing/>
        <w:rPr>
          <w:b/>
        </w:rPr>
      </w:pPr>
    </w:p>
    <w:p w:rsidR="001B3B0B" w:rsidRPr="005E403B" w:rsidRDefault="001B3B0B" w:rsidP="006066BD">
      <w:pPr>
        <w:pStyle w:val="ListParagraph"/>
        <w:widowControl w:val="0"/>
        <w:numPr>
          <w:ilvl w:val="0"/>
          <w:numId w:val="17"/>
        </w:numPr>
        <w:tabs>
          <w:tab w:val="left" w:pos="567"/>
        </w:tabs>
        <w:autoSpaceDE w:val="0"/>
        <w:autoSpaceDN w:val="0"/>
        <w:adjustRightInd w:val="0"/>
        <w:spacing w:after="0"/>
        <w:ind w:left="0" w:right="22" w:firstLine="0"/>
        <w:contextualSpacing/>
        <w:rPr>
          <w:b/>
        </w:rPr>
      </w:pPr>
      <w:r w:rsidRPr="005E403B">
        <w:t xml:space="preserve">La audiencia </w:t>
      </w:r>
      <w:r w:rsidR="002E3521">
        <w:t>pública</w:t>
      </w:r>
      <w:r w:rsidRPr="005E403B">
        <w:t xml:space="preserve"> sobre excepciones preliminares realizada el 8 de febrero </w:t>
      </w:r>
      <w:r w:rsidR="006066BD" w:rsidRPr="005E403B">
        <w:t>de</w:t>
      </w:r>
      <w:r w:rsidRPr="005E403B">
        <w:t xml:space="preserve"> 2017</w:t>
      </w:r>
      <w:r w:rsidR="006066BD" w:rsidRPr="005E403B">
        <w:t xml:space="preserve"> en la sede del Tribunal</w:t>
      </w:r>
      <w:r w:rsidR="009320FF">
        <w:rPr>
          <w:rStyle w:val="FootnoteReference"/>
        </w:rPr>
        <w:footnoteReference w:id="5"/>
      </w:r>
      <w:r w:rsidRPr="005E403B">
        <w:t xml:space="preserve">. </w:t>
      </w:r>
    </w:p>
    <w:p w:rsidR="006066BD" w:rsidRPr="005E403B" w:rsidRDefault="006066BD" w:rsidP="006066BD">
      <w:pPr>
        <w:pStyle w:val="ListParagraph"/>
        <w:widowControl w:val="0"/>
        <w:tabs>
          <w:tab w:val="left" w:pos="567"/>
        </w:tabs>
        <w:autoSpaceDE w:val="0"/>
        <w:autoSpaceDN w:val="0"/>
        <w:adjustRightInd w:val="0"/>
        <w:spacing w:after="0"/>
        <w:ind w:left="0" w:right="22"/>
        <w:contextualSpacing/>
        <w:rPr>
          <w:b/>
        </w:rPr>
      </w:pPr>
    </w:p>
    <w:p w:rsidR="006066BD" w:rsidRPr="005E403B" w:rsidRDefault="00DE3170" w:rsidP="006066BD">
      <w:pPr>
        <w:pStyle w:val="Heading1"/>
        <w:spacing w:before="0"/>
      </w:pPr>
      <w:r w:rsidRPr="005E403B">
        <w:t xml:space="preserve">CONSIDERANDO QUE: </w:t>
      </w:r>
    </w:p>
    <w:p w:rsidR="006066BD" w:rsidRPr="005E403B" w:rsidRDefault="006066BD" w:rsidP="006066BD">
      <w:pPr>
        <w:spacing w:after="0"/>
      </w:pPr>
    </w:p>
    <w:p w:rsidR="00BA484E" w:rsidRPr="005E403B" w:rsidRDefault="00DE3170" w:rsidP="006066BD">
      <w:pPr>
        <w:pStyle w:val="ListParagraph"/>
        <w:widowControl w:val="0"/>
        <w:numPr>
          <w:ilvl w:val="0"/>
          <w:numId w:val="17"/>
        </w:numPr>
        <w:tabs>
          <w:tab w:val="left" w:pos="567"/>
        </w:tabs>
        <w:autoSpaceDE w:val="0"/>
        <w:autoSpaceDN w:val="0"/>
        <w:adjustRightInd w:val="0"/>
        <w:spacing w:after="0"/>
        <w:ind w:left="0" w:right="22" w:firstLine="0"/>
        <w:contextualSpacing/>
      </w:pPr>
      <w:r w:rsidRPr="005E403B">
        <w:t xml:space="preserve">El ofrecimiento y la admisión de la prueba, así como la citación de </w:t>
      </w:r>
      <w:r w:rsidR="0095053F">
        <w:t>peticionarios</w:t>
      </w:r>
      <w:r w:rsidRPr="005E403B">
        <w:t>, testigos y peritos se encuentran regulados en los artículos 35.1.f, 40.2.c, 41.1.c, 46, 47, 48, 50, 52.3, 57, 58, y 60 del Reglamento de la Corte Interamericana de Derechos Humanos (en adelante “la Corte Interamericana”, “la Corte” o “el Tribunal”).</w:t>
      </w:r>
    </w:p>
    <w:p w:rsidR="00DE3170" w:rsidRPr="005E403B" w:rsidRDefault="00DE3170" w:rsidP="006066BD">
      <w:pPr>
        <w:pStyle w:val="ListParagraph"/>
        <w:widowControl w:val="0"/>
        <w:tabs>
          <w:tab w:val="left" w:pos="567"/>
        </w:tabs>
        <w:autoSpaceDE w:val="0"/>
        <w:autoSpaceDN w:val="0"/>
        <w:adjustRightInd w:val="0"/>
        <w:spacing w:after="0"/>
        <w:ind w:left="0" w:right="22"/>
        <w:contextualSpacing/>
      </w:pPr>
    </w:p>
    <w:p w:rsidR="00BA484E" w:rsidRPr="005E403B" w:rsidRDefault="008E6216" w:rsidP="006066BD">
      <w:pPr>
        <w:pStyle w:val="ListParagraph"/>
        <w:widowControl w:val="0"/>
        <w:numPr>
          <w:ilvl w:val="0"/>
          <w:numId w:val="17"/>
        </w:numPr>
        <w:tabs>
          <w:tab w:val="left" w:pos="567"/>
        </w:tabs>
        <w:autoSpaceDE w:val="0"/>
        <w:autoSpaceDN w:val="0"/>
        <w:adjustRightInd w:val="0"/>
        <w:spacing w:after="0"/>
        <w:ind w:left="0" w:right="22" w:firstLine="0"/>
        <w:contextualSpacing/>
        <w:rPr>
          <w:rFonts w:eastAsia="Times New Roman" w:cs="Verdana"/>
          <w:szCs w:val="20"/>
          <w:lang w:val="es-CL" w:eastAsia="en-US"/>
        </w:rPr>
      </w:pPr>
      <w:r w:rsidRPr="005E403B">
        <w:rPr>
          <w:rFonts w:eastAsia="Times New Roman" w:cs="Verdana"/>
          <w:szCs w:val="20"/>
          <w:lang w:val="es-CL" w:eastAsia="en-US"/>
        </w:rPr>
        <w:t>En la debida oportunidad procesal, la Comisió</w:t>
      </w:r>
      <w:r w:rsidR="00D759A4" w:rsidRPr="005E403B">
        <w:rPr>
          <w:rFonts w:eastAsia="Times New Roman" w:cs="Verdana"/>
          <w:szCs w:val="20"/>
          <w:lang w:val="es-CL" w:eastAsia="en-US"/>
        </w:rPr>
        <w:t xml:space="preserve">n ofreció </w:t>
      </w:r>
      <w:r w:rsidR="00DE3170" w:rsidRPr="005E403B">
        <w:rPr>
          <w:rFonts w:eastAsia="Times New Roman" w:cs="Verdana"/>
          <w:szCs w:val="20"/>
          <w:lang w:val="es-CL" w:eastAsia="en-US"/>
        </w:rPr>
        <w:t>dos peritos</w:t>
      </w:r>
      <w:r w:rsidR="001B3B0B" w:rsidRPr="005E403B">
        <w:rPr>
          <w:rFonts w:eastAsia="Times New Roman" w:cs="Verdana"/>
          <w:szCs w:val="20"/>
          <w:lang w:val="es-CL" w:eastAsia="en-US"/>
        </w:rPr>
        <w:t>;</w:t>
      </w:r>
      <w:r w:rsidR="00D759A4" w:rsidRPr="005E403B">
        <w:rPr>
          <w:rFonts w:eastAsia="Times New Roman" w:cs="Verdana"/>
          <w:szCs w:val="20"/>
          <w:lang w:val="es-CL" w:eastAsia="en-US"/>
        </w:rPr>
        <w:t xml:space="preserve"> </w:t>
      </w:r>
      <w:r w:rsidR="00FF63FB" w:rsidRPr="005E403B">
        <w:rPr>
          <w:rFonts w:eastAsia="Times New Roman" w:cs="Verdana"/>
          <w:szCs w:val="20"/>
          <w:lang w:val="es-CL" w:eastAsia="en-US"/>
        </w:rPr>
        <w:t xml:space="preserve">el </w:t>
      </w:r>
      <w:r w:rsidR="003571B0" w:rsidRPr="005E403B">
        <w:rPr>
          <w:rFonts w:eastAsia="Times New Roman" w:cs="Verdana"/>
          <w:szCs w:val="20"/>
          <w:lang w:val="es-CL" w:eastAsia="en-US"/>
        </w:rPr>
        <w:t>señor</w:t>
      </w:r>
      <w:r w:rsidR="00FF63FB" w:rsidRPr="005E403B">
        <w:rPr>
          <w:rFonts w:eastAsia="Times New Roman" w:cs="Verdana"/>
          <w:szCs w:val="20"/>
          <w:lang w:val="es-CL" w:eastAsia="en-US"/>
        </w:rPr>
        <w:t xml:space="preserve"> Adrián Martínez Blanco </w:t>
      </w:r>
      <w:r w:rsidR="00DE3170" w:rsidRPr="005E403B">
        <w:rPr>
          <w:rFonts w:eastAsia="Times New Roman" w:cs="Verdana"/>
          <w:szCs w:val="20"/>
          <w:lang w:val="es-CL" w:eastAsia="en-US"/>
        </w:rPr>
        <w:t>ofreció</w:t>
      </w:r>
      <w:r w:rsidR="00C2608F" w:rsidRPr="005E403B">
        <w:rPr>
          <w:rFonts w:eastAsia="Times New Roman" w:cs="Verdana"/>
          <w:szCs w:val="20"/>
          <w:lang w:val="es-CL" w:eastAsia="en-US"/>
        </w:rPr>
        <w:t xml:space="preserve"> las declaraciones de</w:t>
      </w:r>
      <w:r w:rsidR="00DE3170" w:rsidRPr="005E403B">
        <w:rPr>
          <w:rFonts w:eastAsia="Times New Roman" w:cs="Verdana"/>
          <w:szCs w:val="20"/>
          <w:lang w:val="es-CL" w:eastAsia="en-US"/>
        </w:rPr>
        <w:t xml:space="preserve"> </w:t>
      </w:r>
      <w:r w:rsidR="00C2608F" w:rsidRPr="005E403B">
        <w:rPr>
          <w:rFonts w:eastAsia="Times New Roman" w:cs="Verdana"/>
          <w:szCs w:val="20"/>
          <w:lang w:val="es-CL" w:eastAsia="en-US"/>
        </w:rPr>
        <w:t>un</w:t>
      </w:r>
      <w:r w:rsidR="00DE3170" w:rsidRPr="005E403B">
        <w:rPr>
          <w:rFonts w:eastAsia="Times New Roman" w:cs="Verdana"/>
          <w:szCs w:val="20"/>
          <w:lang w:val="es-CL" w:eastAsia="en-US"/>
        </w:rPr>
        <w:t xml:space="preserve"> testigo</w:t>
      </w:r>
      <w:r w:rsidR="005109D1" w:rsidRPr="005E403B">
        <w:rPr>
          <w:rFonts w:eastAsia="Times New Roman" w:cs="Verdana"/>
          <w:szCs w:val="20"/>
          <w:lang w:val="es-CL" w:eastAsia="en-US"/>
        </w:rPr>
        <w:t>,</w:t>
      </w:r>
      <w:r w:rsidR="001B3B0B" w:rsidRPr="005E403B">
        <w:rPr>
          <w:rFonts w:eastAsia="Times New Roman" w:cs="Verdana"/>
          <w:szCs w:val="20"/>
          <w:lang w:val="es-CL" w:eastAsia="en-US"/>
        </w:rPr>
        <w:t xml:space="preserve"> </w:t>
      </w:r>
      <w:r w:rsidR="00DE3170" w:rsidRPr="005E403B">
        <w:rPr>
          <w:rFonts w:eastAsia="Times New Roman" w:cs="Verdana"/>
          <w:szCs w:val="20"/>
          <w:lang w:val="es-CL" w:eastAsia="en-US"/>
        </w:rPr>
        <w:t>dos peritos</w:t>
      </w:r>
      <w:r w:rsidR="005109D1" w:rsidRPr="005E403B">
        <w:rPr>
          <w:rFonts w:eastAsia="Times New Roman" w:cs="Verdana"/>
          <w:szCs w:val="20"/>
          <w:lang w:val="es-CL" w:eastAsia="en-US"/>
        </w:rPr>
        <w:t xml:space="preserve"> y un</w:t>
      </w:r>
      <w:r w:rsidR="00AB2674">
        <w:rPr>
          <w:rFonts w:eastAsia="Times New Roman" w:cs="Verdana"/>
          <w:szCs w:val="20"/>
          <w:lang w:val="es-CL" w:eastAsia="en-US"/>
        </w:rPr>
        <w:t xml:space="preserve"> peticionario</w:t>
      </w:r>
      <w:r w:rsidR="001B3B0B" w:rsidRPr="005E403B">
        <w:rPr>
          <w:rFonts w:eastAsia="Times New Roman" w:cs="Verdana"/>
          <w:szCs w:val="20"/>
          <w:lang w:val="es-CL" w:eastAsia="en-US"/>
        </w:rPr>
        <w:t>;</w:t>
      </w:r>
      <w:r w:rsidR="00DE3170" w:rsidRPr="005E403B">
        <w:rPr>
          <w:rFonts w:eastAsia="Times New Roman" w:cs="Verdana"/>
          <w:szCs w:val="20"/>
          <w:lang w:val="es-CL" w:eastAsia="en-US"/>
        </w:rPr>
        <w:t xml:space="preserve"> </w:t>
      </w:r>
      <w:r w:rsidR="00A27D13" w:rsidRPr="00BF1ACB">
        <w:rPr>
          <w:szCs w:val="20"/>
        </w:rPr>
        <w:t>Servicios Interamericanos de Profesionales en Derechos Humanos (SIPDH)</w:t>
      </w:r>
      <w:r w:rsidR="00A27D13">
        <w:rPr>
          <w:szCs w:val="20"/>
        </w:rPr>
        <w:t xml:space="preserve"> </w:t>
      </w:r>
      <w:r w:rsidR="005B3700" w:rsidRPr="005E403B">
        <w:rPr>
          <w:rFonts w:eastAsia="Times New Roman" w:cs="Verdana"/>
          <w:szCs w:val="20"/>
          <w:lang w:val="es-CL" w:eastAsia="en-US"/>
        </w:rPr>
        <w:t xml:space="preserve">ofreció </w:t>
      </w:r>
      <w:r w:rsidR="007745E2" w:rsidRPr="005E403B">
        <w:rPr>
          <w:rFonts w:eastAsia="Times New Roman" w:cs="Verdana"/>
          <w:szCs w:val="20"/>
          <w:lang w:val="es-CL" w:eastAsia="en-US"/>
        </w:rPr>
        <w:t xml:space="preserve">dos </w:t>
      </w:r>
      <w:r w:rsidR="005B3700" w:rsidRPr="005E403B">
        <w:rPr>
          <w:rFonts w:eastAsia="Times New Roman" w:cs="Verdana"/>
          <w:szCs w:val="20"/>
          <w:lang w:val="es-CL" w:eastAsia="en-US"/>
        </w:rPr>
        <w:t>testigos</w:t>
      </w:r>
      <w:r w:rsidR="007745E2" w:rsidRPr="005E403B">
        <w:rPr>
          <w:rFonts w:eastAsia="Times New Roman" w:cs="Verdana"/>
          <w:szCs w:val="20"/>
          <w:lang w:val="es-CL" w:eastAsia="en-US"/>
        </w:rPr>
        <w:t xml:space="preserve">, tres </w:t>
      </w:r>
      <w:r w:rsidR="00AB2674">
        <w:t xml:space="preserve">peticionarios </w:t>
      </w:r>
      <w:r w:rsidR="004D3449" w:rsidRPr="005E403B">
        <w:rPr>
          <w:rFonts w:eastAsia="Times New Roman" w:cs="Verdana"/>
          <w:szCs w:val="20"/>
          <w:lang w:val="es-CL" w:eastAsia="en-US"/>
        </w:rPr>
        <w:t xml:space="preserve">y un perito; </w:t>
      </w:r>
      <w:r w:rsidR="00C2608F" w:rsidRPr="005E403B">
        <w:rPr>
          <w:rFonts w:eastAsia="Times New Roman" w:cs="Verdana"/>
          <w:szCs w:val="20"/>
          <w:lang w:val="es-CL" w:eastAsia="en-US"/>
        </w:rPr>
        <w:t xml:space="preserve">los </w:t>
      </w:r>
      <w:r w:rsidR="004D3449" w:rsidRPr="005E403B">
        <w:rPr>
          <w:rFonts w:eastAsia="Times New Roman" w:cs="Verdana"/>
          <w:szCs w:val="20"/>
          <w:lang w:val="es-CL" w:eastAsia="en-US"/>
        </w:rPr>
        <w:t>Defensores Públi</w:t>
      </w:r>
      <w:r w:rsidR="001378E2" w:rsidRPr="005E403B">
        <w:rPr>
          <w:rFonts w:eastAsia="Times New Roman" w:cs="Verdana"/>
          <w:szCs w:val="20"/>
          <w:lang w:val="es-CL" w:eastAsia="en-US"/>
        </w:rPr>
        <w:t xml:space="preserve">cos Interamericanos </w:t>
      </w:r>
      <w:r w:rsidR="003571B0" w:rsidRPr="005E403B">
        <w:rPr>
          <w:rFonts w:eastAsia="Times New Roman" w:cs="Verdana"/>
          <w:szCs w:val="20"/>
          <w:lang w:val="es-CL" w:eastAsia="en-US"/>
        </w:rPr>
        <w:t>ofreci</w:t>
      </w:r>
      <w:r w:rsidR="00C2608F" w:rsidRPr="005E403B">
        <w:rPr>
          <w:rFonts w:eastAsia="Times New Roman" w:cs="Verdana"/>
          <w:szCs w:val="20"/>
          <w:lang w:val="es-CL" w:eastAsia="en-US"/>
        </w:rPr>
        <w:t>eron</w:t>
      </w:r>
      <w:r w:rsidR="003571B0" w:rsidRPr="005E403B">
        <w:rPr>
          <w:rFonts w:eastAsia="Times New Roman" w:cs="Verdana"/>
          <w:szCs w:val="20"/>
          <w:lang w:val="es-CL" w:eastAsia="en-US"/>
        </w:rPr>
        <w:t xml:space="preserve"> dos peritos y </w:t>
      </w:r>
      <w:r w:rsidR="00E81D7F" w:rsidRPr="005E403B">
        <w:rPr>
          <w:rFonts w:eastAsia="Times New Roman" w:cs="Verdana"/>
          <w:szCs w:val="20"/>
          <w:lang w:val="es-CL" w:eastAsia="en-US"/>
        </w:rPr>
        <w:t>n</w:t>
      </w:r>
      <w:r w:rsidR="00B05512" w:rsidRPr="005E403B">
        <w:rPr>
          <w:rFonts w:eastAsia="Times New Roman" w:cs="Verdana"/>
          <w:szCs w:val="20"/>
          <w:lang w:val="es-CL" w:eastAsia="en-US"/>
        </w:rPr>
        <w:t>ueve</w:t>
      </w:r>
      <w:r w:rsidR="00E81D7F" w:rsidRPr="005E403B">
        <w:rPr>
          <w:rFonts w:eastAsia="Times New Roman" w:cs="Verdana"/>
          <w:szCs w:val="20"/>
          <w:lang w:val="es-CL" w:eastAsia="en-US"/>
        </w:rPr>
        <w:t xml:space="preserve"> </w:t>
      </w:r>
      <w:r w:rsidR="003571B0" w:rsidRPr="005E403B">
        <w:rPr>
          <w:rFonts w:eastAsia="Times New Roman" w:cs="Verdana"/>
          <w:szCs w:val="20"/>
          <w:lang w:val="es-CL" w:eastAsia="en-US"/>
        </w:rPr>
        <w:t>testigos</w:t>
      </w:r>
      <w:r w:rsidR="00C922B3" w:rsidRPr="005E403B">
        <w:rPr>
          <w:rStyle w:val="FootnoteReference"/>
          <w:rFonts w:eastAsia="Times New Roman" w:cs="Verdana"/>
          <w:szCs w:val="20"/>
          <w:lang w:val="es-CL" w:eastAsia="en-US"/>
        </w:rPr>
        <w:footnoteReference w:id="6"/>
      </w:r>
      <w:r w:rsidR="001378E2" w:rsidRPr="005E403B">
        <w:rPr>
          <w:rFonts w:eastAsia="Times New Roman" w:cs="Verdana"/>
          <w:szCs w:val="20"/>
          <w:lang w:val="es-CL" w:eastAsia="en-US"/>
        </w:rPr>
        <w:t xml:space="preserve">; y el Estado ofreció un perito y cuatro </w:t>
      </w:r>
      <w:r w:rsidR="001378E2" w:rsidRPr="005E403B">
        <w:t>testigos</w:t>
      </w:r>
      <w:r w:rsidRPr="005E403B">
        <w:rPr>
          <w:rFonts w:eastAsia="Times New Roman" w:cs="Verdana"/>
          <w:szCs w:val="20"/>
          <w:lang w:val="es-CL" w:eastAsia="en-US"/>
        </w:rPr>
        <w:t xml:space="preserve">. </w:t>
      </w:r>
    </w:p>
    <w:p w:rsidR="008E6216" w:rsidRPr="005E403B" w:rsidRDefault="008E6216" w:rsidP="006066BD">
      <w:pPr>
        <w:pStyle w:val="ListParagraph"/>
        <w:widowControl w:val="0"/>
        <w:tabs>
          <w:tab w:val="left" w:pos="567"/>
        </w:tabs>
        <w:autoSpaceDE w:val="0"/>
        <w:autoSpaceDN w:val="0"/>
        <w:adjustRightInd w:val="0"/>
        <w:spacing w:after="0"/>
        <w:ind w:left="0" w:right="22"/>
        <w:contextualSpacing/>
        <w:rPr>
          <w:rFonts w:eastAsia="Times New Roman" w:cs="Verdana"/>
          <w:szCs w:val="20"/>
          <w:lang w:val="es-CL" w:eastAsia="en-US"/>
        </w:rPr>
      </w:pPr>
    </w:p>
    <w:p w:rsidR="000E09B6" w:rsidRPr="005E403B" w:rsidRDefault="008E6216" w:rsidP="006066BD">
      <w:pPr>
        <w:pStyle w:val="ListParagraph"/>
        <w:widowControl w:val="0"/>
        <w:numPr>
          <w:ilvl w:val="0"/>
          <w:numId w:val="17"/>
        </w:numPr>
        <w:tabs>
          <w:tab w:val="left" w:pos="567"/>
        </w:tabs>
        <w:autoSpaceDE w:val="0"/>
        <w:autoSpaceDN w:val="0"/>
        <w:adjustRightInd w:val="0"/>
        <w:spacing w:after="0"/>
        <w:ind w:left="0" w:right="22" w:firstLine="0"/>
        <w:contextualSpacing/>
        <w:rPr>
          <w:rFonts w:eastAsia="Times New Roman" w:cs="Verdana"/>
          <w:szCs w:val="20"/>
          <w:lang w:val="es-CL" w:eastAsia="en-US"/>
        </w:rPr>
      </w:pPr>
      <w:r w:rsidRPr="005E403B">
        <w:rPr>
          <w:rFonts w:eastAsia="Times New Roman" w:cs="Verdana"/>
          <w:szCs w:val="20"/>
          <w:lang w:val="es-CL" w:eastAsia="en-US"/>
        </w:rPr>
        <w:t>La Corte garantizó a las partes el principio de contradicción respecto de los ofrecimientos probatorios realizados en sus escritos de sometimiento del caso, solicitudes y argumentos, y contestación, así como en las respectivas listas definitivas de declarantes.</w:t>
      </w:r>
    </w:p>
    <w:p w:rsidR="008E6216" w:rsidRPr="005E403B" w:rsidRDefault="008E6216" w:rsidP="004F3266">
      <w:pPr>
        <w:pStyle w:val="ListParagraph"/>
        <w:widowControl w:val="0"/>
        <w:tabs>
          <w:tab w:val="left" w:pos="567"/>
        </w:tabs>
        <w:autoSpaceDE w:val="0"/>
        <w:autoSpaceDN w:val="0"/>
        <w:adjustRightInd w:val="0"/>
        <w:spacing w:after="0"/>
        <w:ind w:left="0" w:right="22"/>
        <w:contextualSpacing/>
        <w:rPr>
          <w:rFonts w:eastAsia="Times New Roman" w:cs="Verdana"/>
          <w:szCs w:val="20"/>
          <w:lang w:val="es-CL" w:eastAsia="en-US"/>
        </w:rPr>
      </w:pPr>
    </w:p>
    <w:p w:rsidR="00AB7395" w:rsidRPr="005E403B" w:rsidRDefault="00E604D3" w:rsidP="006066BD">
      <w:pPr>
        <w:pStyle w:val="ListParagraph"/>
        <w:widowControl w:val="0"/>
        <w:numPr>
          <w:ilvl w:val="0"/>
          <w:numId w:val="17"/>
        </w:numPr>
        <w:tabs>
          <w:tab w:val="left" w:pos="567"/>
        </w:tabs>
        <w:autoSpaceDE w:val="0"/>
        <w:autoSpaceDN w:val="0"/>
        <w:adjustRightInd w:val="0"/>
        <w:spacing w:after="0"/>
        <w:ind w:left="0" w:right="22" w:firstLine="0"/>
        <w:contextualSpacing/>
        <w:rPr>
          <w:rFonts w:eastAsia="Times New Roman" w:cs="Verdana"/>
          <w:szCs w:val="20"/>
          <w:lang w:val="es-CL" w:eastAsia="en-US"/>
        </w:rPr>
      </w:pPr>
      <w:r w:rsidRPr="005E403B">
        <w:t>La</w:t>
      </w:r>
      <w:r w:rsidRPr="005E403B">
        <w:rPr>
          <w:b/>
        </w:rPr>
        <w:t xml:space="preserve"> </w:t>
      </w:r>
      <w:r w:rsidRPr="005E403B">
        <w:rPr>
          <w:b/>
          <w:i/>
        </w:rPr>
        <w:t>Comisión</w:t>
      </w:r>
      <w:r w:rsidRPr="005E403B">
        <w:t xml:space="preserve"> </w:t>
      </w:r>
      <w:r w:rsidR="00004DAB" w:rsidRPr="005E403B">
        <w:t xml:space="preserve">no </w:t>
      </w:r>
      <w:r w:rsidRPr="005E403B">
        <w:t>realiz</w:t>
      </w:r>
      <w:r w:rsidR="00004DAB" w:rsidRPr="005E403B">
        <w:t xml:space="preserve">ó </w:t>
      </w:r>
      <w:r w:rsidRPr="005E403B">
        <w:t xml:space="preserve">observaciones a las listas definitivas de las partes, </w:t>
      </w:r>
      <w:r w:rsidR="00004DAB" w:rsidRPr="005E403B">
        <w:t xml:space="preserve">sin embargo, </w:t>
      </w:r>
      <w:r w:rsidRPr="005E403B">
        <w:t>solicit</w:t>
      </w:r>
      <w:r w:rsidR="00004DAB" w:rsidRPr="005E403B">
        <w:t>ó</w:t>
      </w:r>
      <w:r w:rsidRPr="005E403B">
        <w:t xml:space="preserve"> la oportunidad verbal o escrita de formular preguntas al perito Carlos </w:t>
      </w:r>
      <w:proofErr w:type="spellStart"/>
      <w:r w:rsidRPr="005E403B">
        <w:t>Beraldi</w:t>
      </w:r>
      <w:proofErr w:type="spellEnd"/>
      <w:r w:rsidR="00004DAB" w:rsidRPr="005E403B">
        <w:t xml:space="preserve">, </w:t>
      </w:r>
      <w:r w:rsidR="00121481" w:rsidRPr="005E403B">
        <w:t xml:space="preserve">ofrecido </w:t>
      </w:r>
      <w:r w:rsidR="00004DAB" w:rsidRPr="005E403B">
        <w:t>por el Estado</w:t>
      </w:r>
      <w:r w:rsidRPr="005E403B">
        <w:t xml:space="preserve">. </w:t>
      </w:r>
      <w:r w:rsidR="00AB7395" w:rsidRPr="005E403B">
        <w:t xml:space="preserve">De los </w:t>
      </w:r>
      <w:r w:rsidR="00004DAB" w:rsidRPr="005E403B">
        <w:t xml:space="preserve">tres </w:t>
      </w:r>
      <w:r w:rsidR="00AB7395" w:rsidRPr="005E403B">
        <w:t>intervinientes comunes</w:t>
      </w:r>
      <w:r w:rsidR="00004DAB" w:rsidRPr="005E403B">
        <w:t>,</w:t>
      </w:r>
      <w:r w:rsidR="001C171A" w:rsidRPr="005E403B">
        <w:t xml:space="preserve"> solamente </w:t>
      </w:r>
      <w:r w:rsidR="00054D55" w:rsidRPr="005E403B">
        <w:rPr>
          <w:b/>
          <w:i/>
        </w:rPr>
        <w:t>SIPDH</w:t>
      </w:r>
      <w:r w:rsidR="00054D55" w:rsidRPr="005E403B">
        <w:rPr>
          <w:b/>
        </w:rPr>
        <w:t xml:space="preserve"> </w:t>
      </w:r>
      <w:r w:rsidR="00054D55" w:rsidRPr="005E403B">
        <w:t>realiz</w:t>
      </w:r>
      <w:r w:rsidR="00004DAB" w:rsidRPr="005E403B">
        <w:t>ó</w:t>
      </w:r>
      <w:r w:rsidR="00054D55" w:rsidRPr="005E403B">
        <w:t xml:space="preserve"> observaciones sobre los peritajes propuestos por la Comi</w:t>
      </w:r>
      <w:r w:rsidR="00560409" w:rsidRPr="005E403B">
        <w:t xml:space="preserve">sión, mas no se </w:t>
      </w:r>
      <w:r w:rsidR="00004DAB" w:rsidRPr="005E403B">
        <w:t xml:space="preserve">opuso </w:t>
      </w:r>
      <w:r w:rsidR="00560409" w:rsidRPr="005E403B">
        <w:t xml:space="preserve">a ellos; </w:t>
      </w:r>
      <w:r w:rsidR="00004DAB" w:rsidRPr="005E403B">
        <w:t xml:space="preserve">también solicitó </w:t>
      </w:r>
      <w:r w:rsidR="0032343C" w:rsidRPr="005E403B">
        <w:t xml:space="preserve">que </w:t>
      </w:r>
      <w:r w:rsidR="00D43285" w:rsidRPr="005E403B">
        <w:t>l</w:t>
      </w:r>
      <w:r w:rsidR="0032343C" w:rsidRPr="005E403B">
        <w:t xml:space="preserve">a Corte se pronuncie </w:t>
      </w:r>
      <w:r w:rsidR="00560409" w:rsidRPr="005E403B">
        <w:t xml:space="preserve">sobre el carácter de </w:t>
      </w:r>
      <w:r w:rsidR="00004DAB" w:rsidRPr="005E403B">
        <w:t>“</w:t>
      </w:r>
      <w:r w:rsidR="00560409" w:rsidRPr="005E403B">
        <w:t>testigos</w:t>
      </w:r>
      <w:r w:rsidR="00004DAB" w:rsidRPr="005E403B">
        <w:t>” de los declarantes</w:t>
      </w:r>
      <w:r w:rsidR="00560409" w:rsidRPr="005E403B">
        <w:t xml:space="preserve"> propuestos por el Estado, no obstante tampoco se </w:t>
      </w:r>
      <w:r w:rsidR="00004DAB" w:rsidRPr="005E403B">
        <w:t xml:space="preserve">opuso </w:t>
      </w:r>
      <w:r w:rsidR="00560409" w:rsidRPr="005E403B">
        <w:t>a ellos</w:t>
      </w:r>
      <w:r w:rsidR="00004DAB" w:rsidRPr="005E403B">
        <w:t>.</w:t>
      </w:r>
      <w:r w:rsidRPr="005E403B">
        <w:t xml:space="preserve"> </w:t>
      </w:r>
      <w:r w:rsidR="00E1798E" w:rsidRPr="005E403B">
        <w:t>El</w:t>
      </w:r>
      <w:r w:rsidR="00E1798E" w:rsidRPr="005E403B">
        <w:rPr>
          <w:b/>
        </w:rPr>
        <w:t xml:space="preserve"> </w:t>
      </w:r>
      <w:r w:rsidR="00E1798E" w:rsidRPr="00600285">
        <w:rPr>
          <w:b/>
          <w:i/>
        </w:rPr>
        <w:t>Estado</w:t>
      </w:r>
      <w:r w:rsidR="00E1798E" w:rsidRPr="005E403B">
        <w:t xml:space="preserve"> </w:t>
      </w:r>
      <w:r w:rsidR="006C71C4" w:rsidRPr="005E403B">
        <w:t>solicitó que no se admitieran como declarantes a</w:t>
      </w:r>
      <w:r w:rsidR="00004DAB" w:rsidRPr="005E403B">
        <w:t xml:space="preserve"> </w:t>
      </w:r>
      <w:r w:rsidRPr="00DF016D">
        <w:t xml:space="preserve">tres </w:t>
      </w:r>
      <w:r w:rsidR="00AB2674">
        <w:t xml:space="preserve">peticionarios </w:t>
      </w:r>
      <w:r w:rsidRPr="00DF016D">
        <w:t>y dos testigos propuestos por los Defensores Públicos Interamericanos</w:t>
      </w:r>
      <w:r w:rsidR="006C71C4" w:rsidRPr="00DF016D">
        <w:t xml:space="preserve"> en su lista definitiva,</w:t>
      </w:r>
      <w:r w:rsidR="006C71C4" w:rsidRPr="005E403B">
        <w:t xml:space="preserve"> y</w:t>
      </w:r>
      <w:r w:rsidRPr="005E403B">
        <w:t xml:space="preserve"> presentó objeciones sobre el objeto propuesto para dos perit</w:t>
      </w:r>
      <w:r w:rsidR="006C71C4" w:rsidRPr="005E403B">
        <w:t>ajes y</w:t>
      </w:r>
      <w:r w:rsidRPr="005E403B">
        <w:t xml:space="preserve"> cuatro </w:t>
      </w:r>
      <w:r w:rsidR="006C71C4" w:rsidRPr="005E403B">
        <w:t xml:space="preserve">testimonios </w:t>
      </w:r>
      <w:r w:rsidR="005F6912" w:rsidRPr="005E403B">
        <w:t>propuestos por los Defensores Públicos Interamericanos, así como</w:t>
      </w:r>
      <w:r w:rsidRPr="005E403B">
        <w:t xml:space="preserve"> </w:t>
      </w:r>
      <w:r w:rsidR="006C71C4" w:rsidRPr="005E403B">
        <w:t>el objeto de un testimonio</w:t>
      </w:r>
      <w:r w:rsidRPr="005E403B">
        <w:t xml:space="preserve"> propuesto por SIPDH. </w:t>
      </w:r>
      <w:r w:rsidR="00E7425F" w:rsidRPr="005E403B">
        <w:t>Los</w:t>
      </w:r>
      <w:r w:rsidR="005F6912" w:rsidRPr="005E403B">
        <w:t xml:space="preserve"> interviniente</w:t>
      </w:r>
      <w:r w:rsidR="00E7425F" w:rsidRPr="005E403B">
        <w:t>s</w:t>
      </w:r>
      <w:r w:rsidR="005F6912" w:rsidRPr="005E403B">
        <w:t xml:space="preserve"> c</w:t>
      </w:r>
      <w:r w:rsidR="00E7425F" w:rsidRPr="005E403B">
        <w:t>o</w:t>
      </w:r>
      <w:r w:rsidR="005F6912" w:rsidRPr="005E403B">
        <w:t>mun</w:t>
      </w:r>
      <w:r w:rsidR="00E7425F" w:rsidRPr="005E403B">
        <w:t>es</w:t>
      </w:r>
      <w:r w:rsidR="005F6912" w:rsidRPr="005E403B">
        <w:t xml:space="preserve"> </w:t>
      </w:r>
      <w:r w:rsidR="005F6912" w:rsidRPr="00600285">
        <w:rPr>
          <w:b/>
          <w:i/>
        </w:rPr>
        <w:t>Adrián Martínez Blanco</w:t>
      </w:r>
      <w:r w:rsidR="005F6912" w:rsidRPr="005E403B">
        <w:t xml:space="preserve"> </w:t>
      </w:r>
      <w:r w:rsidR="00E7425F" w:rsidRPr="005E403B">
        <w:t xml:space="preserve">y </w:t>
      </w:r>
      <w:r w:rsidR="00E7425F" w:rsidRPr="005E403B">
        <w:rPr>
          <w:b/>
          <w:i/>
        </w:rPr>
        <w:t>Defensores Públicos Interamericanos</w:t>
      </w:r>
      <w:r w:rsidR="00E7425F" w:rsidRPr="005E403B">
        <w:t xml:space="preserve"> </w:t>
      </w:r>
      <w:r w:rsidR="005F6912" w:rsidRPr="005E403B">
        <w:t>no present</w:t>
      </w:r>
      <w:r w:rsidR="00E7425F" w:rsidRPr="005E403B">
        <w:t>aron</w:t>
      </w:r>
      <w:r w:rsidR="005F6912" w:rsidRPr="005E403B">
        <w:t xml:space="preserve"> observaciones a las </w:t>
      </w:r>
      <w:r w:rsidR="00D43285" w:rsidRPr="005E403B">
        <w:t>l</w:t>
      </w:r>
      <w:r w:rsidR="005F6912" w:rsidRPr="005E403B">
        <w:t xml:space="preserve">istas </w:t>
      </w:r>
      <w:r w:rsidR="00D43285" w:rsidRPr="005E403B">
        <w:t>d</w:t>
      </w:r>
      <w:r w:rsidR="005F6912" w:rsidRPr="005E403B">
        <w:t>efinitivas de las partes.</w:t>
      </w:r>
    </w:p>
    <w:p w:rsidR="00BA484E" w:rsidRPr="005E403B" w:rsidRDefault="00BA484E" w:rsidP="006066BD">
      <w:pPr>
        <w:pStyle w:val="ListParagraph"/>
        <w:widowControl w:val="0"/>
        <w:tabs>
          <w:tab w:val="left" w:pos="567"/>
        </w:tabs>
        <w:autoSpaceDE w:val="0"/>
        <w:autoSpaceDN w:val="0"/>
        <w:adjustRightInd w:val="0"/>
        <w:spacing w:after="0"/>
        <w:ind w:left="0" w:right="22"/>
        <w:contextualSpacing/>
        <w:rPr>
          <w:rFonts w:eastAsia="Times New Roman" w:cs="Verdana"/>
          <w:szCs w:val="20"/>
          <w:lang w:val="es-CL" w:eastAsia="en-US"/>
        </w:rPr>
      </w:pPr>
    </w:p>
    <w:p w:rsidR="00FA7E54" w:rsidRPr="005E403B" w:rsidRDefault="005E548D" w:rsidP="006066BD">
      <w:pPr>
        <w:pStyle w:val="ListParagraph"/>
        <w:widowControl w:val="0"/>
        <w:numPr>
          <w:ilvl w:val="0"/>
          <w:numId w:val="17"/>
        </w:numPr>
        <w:tabs>
          <w:tab w:val="left" w:pos="567"/>
        </w:tabs>
        <w:autoSpaceDE w:val="0"/>
        <w:autoSpaceDN w:val="0"/>
        <w:adjustRightInd w:val="0"/>
        <w:spacing w:after="0"/>
        <w:ind w:left="0" w:right="22" w:firstLine="0"/>
        <w:contextualSpacing/>
        <w:rPr>
          <w:rFonts w:eastAsia="Times New Roman" w:cs="Verdana"/>
          <w:szCs w:val="20"/>
          <w:lang w:val="es-CL" w:eastAsia="en-US"/>
        </w:rPr>
      </w:pPr>
      <w:r w:rsidRPr="005E403B">
        <w:t xml:space="preserve">En cuanto a las declaraciones de </w:t>
      </w:r>
      <w:r w:rsidR="00AB2674">
        <w:t>peticionarios</w:t>
      </w:r>
      <w:r w:rsidRPr="005E403B">
        <w:t xml:space="preserve">, así como las declaraciones testimoniales y periciales ofrecidas por los intervinientes comunes y el Estado, que no han sido objetadas y cumplen los requisitos reglamentarios para su admisibilidad, esta Presidencia considera conveniente recabarlas. Por ello, admite las </w:t>
      </w:r>
      <w:r w:rsidR="00CB0C59" w:rsidRPr="005E403B">
        <w:t>siguientes declaraciones, cuyo</w:t>
      </w:r>
      <w:r w:rsidR="00284C2B" w:rsidRPr="005E403B">
        <w:t>s</w:t>
      </w:r>
      <w:r w:rsidR="00CB0C59" w:rsidRPr="005E403B">
        <w:t xml:space="preserve"> objeto</w:t>
      </w:r>
      <w:r w:rsidR="00284C2B" w:rsidRPr="005E403B">
        <w:t>s</w:t>
      </w:r>
      <w:r w:rsidR="00CB0C59" w:rsidRPr="005E403B">
        <w:t xml:space="preserve"> y </w:t>
      </w:r>
      <w:r w:rsidR="00284C2B" w:rsidRPr="005E403B">
        <w:t xml:space="preserve">la </w:t>
      </w:r>
      <w:r w:rsidR="00CB0C59" w:rsidRPr="005E403B">
        <w:t xml:space="preserve">modalidad en que serán recibidas </w:t>
      </w:r>
      <w:r w:rsidR="00284C2B" w:rsidRPr="005E403B">
        <w:t>se determinarán</w:t>
      </w:r>
      <w:r w:rsidR="00CB0C59" w:rsidRPr="005E403B">
        <w:t xml:space="preserve"> en la parte resolutiva de esta decisión (</w:t>
      </w:r>
      <w:r w:rsidR="00CB0C59" w:rsidRPr="005E403B">
        <w:rPr>
          <w:i/>
        </w:rPr>
        <w:t xml:space="preserve">infra </w:t>
      </w:r>
      <w:r w:rsidR="00CB0C59" w:rsidRPr="005E403B">
        <w:t xml:space="preserve">punto resolutivo </w:t>
      </w:r>
      <w:r w:rsidR="000F0579">
        <w:t>3</w:t>
      </w:r>
      <w:r w:rsidR="00CB0C59" w:rsidRPr="005E403B">
        <w:t>)</w:t>
      </w:r>
      <w:r w:rsidR="00FA7E54" w:rsidRPr="005E403B">
        <w:t>:</w:t>
      </w:r>
    </w:p>
    <w:p w:rsidR="00A416ED" w:rsidRPr="005E403B" w:rsidRDefault="005E548D" w:rsidP="006066BD">
      <w:pPr>
        <w:pStyle w:val="ListParagraph"/>
        <w:widowControl w:val="0"/>
        <w:tabs>
          <w:tab w:val="left" w:pos="567"/>
        </w:tabs>
        <w:autoSpaceDE w:val="0"/>
        <w:autoSpaceDN w:val="0"/>
        <w:adjustRightInd w:val="0"/>
        <w:spacing w:after="0"/>
        <w:ind w:left="0" w:right="22"/>
        <w:contextualSpacing/>
        <w:rPr>
          <w:rFonts w:eastAsia="Times New Roman" w:cs="Verdana"/>
          <w:szCs w:val="20"/>
          <w:lang w:val="es-CL" w:eastAsia="en-US"/>
        </w:rPr>
      </w:pPr>
      <w:r w:rsidRPr="005E403B">
        <w:t xml:space="preserve"> </w:t>
      </w:r>
    </w:p>
    <w:p w:rsidR="00CB0C59" w:rsidRPr="00D24493" w:rsidRDefault="00CB0C59" w:rsidP="00CB0C59">
      <w:pPr>
        <w:pStyle w:val="ListParagraph"/>
        <w:numPr>
          <w:ilvl w:val="2"/>
          <w:numId w:val="18"/>
        </w:numPr>
        <w:autoSpaceDE w:val="0"/>
        <w:autoSpaceDN w:val="0"/>
        <w:adjustRightInd w:val="0"/>
        <w:spacing w:after="0"/>
        <w:ind w:left="270" w:firstLine="0"/>
        <w:rPr>
          <w:rFonts w:eastAsia="Times New Roman" w:cs="Verdana"/>
          <w:szCs w:val="20"/>
          <w:lang w:val="es-CL" w:eastAsia="en-US"/>
        </w:rPr>
      </w:pPr>
      <w:r w:rsidRPr="00D24493">
        <w:rPr>
          <w:i/>
        </w:rPr>
        <w:t>l</w:t>
      </w:r>
      <w:r w:rsidR="00AB2674">
        <w:rPr>
          <w:i/>
        </w:rPr>
        <w:t>o</w:t>
      </w:r>
      <w:r w:rsidR="001615DE" w:rsidRPr="00D24493">
        <w:rPr>
          <w:i/>
        </w:rPr>
        <w:t xml:space="preserve">s </w:t>
      </w:r>
      <w:r w:rsidR="00AB2674" w:rsidRPr="00AB2674">
        <w:rPr>
          <w:i/>
        </w:rPr>
        <w:t>peticionarios</w:t>
      </w:r>
      <w:r w:rsidR="005F6912" w:rsidRPr="00D24493">
        <w:t>: i)</w:t>
      </w:r>
      <w:r w:rsidR="005E548D" w:rsidRPr="00D24493">
        <w:t xml:space="preserve"> Jorge Martínez Meléndez, propuesto por el </w:t>
      </w:r>
      <w:r w:rsidR="003571B0" w:rsidRPr="00D24493">
        <w:t>señor</w:t>
      </w:r>
      <w:r w:rsidR="005E548D" w:rsidRPr="00D24493">
        <w:t xml:space="preserve"> Adrián Martínez Blanco; </w:t>
      </w:r>
      <w:r w:rsidR="005F6912" w:rsidRPr="00D24493">
        <w:t xml:space="preserve">ii) </w:t>
      </w:r>
      <w:r w:rsidR="005E548D" w:rsidRPr="00D24493">
        <w:t xml:space="preserve">Damas Vega </w:t>
      </w:r>
      <w:proofErr w:type="spellStart"/>
      <w:r w:rsidR="005E548D" w:rsidRPr="00D24493">
        <w:t>Atencio</w:t>
      </w:r>
      <w:proofErr w:type="spellEnd"/>
      <w:r w:rsidRPr="00D24493">
        <w:t>,</w:t>
      </w:r>
      <w:r w:rsidR="005E548D" w:rsidRPr="00D24493">
        <w:t xml:space="preserve"> y</w:t>
      </w:r>
      <w:r w:rsidR="005F6912" w:rsidRPr="00D24493">
        <w:t xml:space="preserve"> iii)</w:t>
      </w:r>
      <w:r w:rsidR="005E548D" w:rsidRPr="00D24493">
        <w:t xml:space="preserve"> Miguel Ángel Mora</w:t>
      </w:r>
      <w:r w:rsidR="00B718A8">
        <w:t xml:space="preserve"> Calvo</w:t>
      </w:r>
      <w:r w:rsidR="005F6912" w:rsidRPr="00D24493">
        <w:t xml:space="preserve">, </w:t>
      </w:r>
      <w:r w:rsidR="005E548D" w:rsidRPr="00D24493">
        <w:t>propuestos por SIPDH;</w:t>
      </w:r>
    </w:p>
    <w:p w:rsidR="00A416ED" w:rsidRPr="00D24493" w:rsidRDefault="005E548D" w:rsidP="004F3266">
      <w:pPr>
        <w:pStyle w:val="ListParagraph"/>
        <w:autoSpaceDE w:val="0"/>
        <w:autoSpaceDN w:val="0"/>
        <w:adjustRightInd w:val="0"/>
        <w:spacing w:after="0"/>
        <w:ind w:left="270"/>
        <w:rPr>
          <w:rFonts w:eastAsia="Times New Roman" w:cs="Verdana"/>
          <w:szCs w:val="20"/>
          <w:lang w:val="es-CL" w:eastAsia="en-US"/>
        </w:rPr>
      </w:pPr>
      <w:r w:rsidRPr="00D24493">
        <w:t xml:space="preserve"> </w:t>
      </w:r>
      <w:r w:rsidRPr="00D24493">
        <w:rPr>
          <w:rFonts w:eastAsia="Times New Roman" w:cs="Verdana"/>
          <w:szCs w:val="20"/>
          <w:lang w:val="es-CL" w:eastAsia="en-US"/>
        </w:rPr>
        <w:t xml:space="preserve"> </w:t>
      </w:r>
    </w:p>
    <w:p w:rsidR="00A416ED" w:rsidRPr="00D24493" w:rsidRDefault="00CB0C59" w:rsidP="00CB0C59">
      <w:pPr>
        <w:pStyle w:val="ListParagraph"/>
        <w:numPr>
          <w:ilvl w:val="2"/>
          <w:numId w:val="18"/>
        </w:numPr>
        <w:autoSpaceDE w:val="0"/>
        <w:autoSpaceDN w:val="0"/>
        <w:adjustRightInd w:val="0"/>
        <w:spacing w:after="0"/>
        <w:ind w:left="270" w:firstLine="0"/>
        <w:rPr>
          <w:lang w:val="es-CL"/>
        </w:rPr>
      </w:pPr>
      <w:r w:rsidRPr="00D24493">
        <w:rPr>
          <w:i/>
        </w:rPr>
        <w:t>l</w:t>
      </w:r>
      <w:r w:rsidR="00A35F2D" w:rsidRPr="00D24493">
        <w:rPr>
          <w:i/>
        </w:rPr>
        <w:t>os testigos</w:t>
      </w:r>
      <w:r w:rsidR="00A35F2D" w:rsidRPr="00D24493">
        <w:t xml:space="preserve">: </w:t>
      </w:r>
      <w:r w:rsidR="005F6912" w:rsidRPr="00D24493">
        <w:t xml:space="preserve">i) </w:t>
      </w:r>
      <w:r w:rsidR="005E548D" w:rsidRPr="00D24493">
        <w:t>José Martínez Meléndez</w:t>
      </w:r>
      <w:r w:rsidR="005F6912" w:rsidRPr="00D24493">
        <w:t>,</w:t>
      </w:r>
      <w:r w:rsidR="005E548D" w:rsidRPr="00D24493">
        <w:t xml:space="preserve"> propuest</w:t>
      </w:r>
      <w:r w:rsidR="005F6912" w:rsidRPr="00D24493">
        <w:t>o</w:t>
      </w:r>
      <w:r w:rsidR="005E548D" w:rsidRPr="00D24493">
        <w:t xml:space="preserve"> por el </w:t>
      </w:r>
      <w:r w:rsidR="00F37276" w:rsidRPr="00D24493">
        <w:t xml:space="preserve">señor </w:t>
      </w:r>
      <w:r w:rsidR="005E548D" w:rsidRPr="00D24493">
        <w:t>Adrián Martínez Blanco</w:t>
      </w:r>
      <w:r w:rsidR="005F6912" w:rsidRPr="00D24493">
        <w:t>;</w:t>
      </w:r>
      <w:r w:rsidR="005E548D" w:rsidRPr="00D24493">
        <w:t xml:space="preserve"> </w:t>
      </w:r>
      <w:r w:rsidR="005F6912" w:rsidRPr="00D24493">
        <w:t xml:space="preserve">ii) </w:t>
      </w:r>
      <w:r w:rsidR="005E548D" w:rsidRPr="00D24493">
        <w:t xml:space="preserve">Roger Víquez </w:t>
      </w:r>
      <w:proofErr w:type="spellStart"/>
      <w:r w:rsidR="005E548D" w:rsidRPr="00D24493">
        <w:t>Gairaud</w:t>
      </w:r>
      <w:proofErr w:type="spellEnd"/>
      <w:r w:rsidR="005F6912" w:rsidRPr="00D24493">
        <w:t>,</w:t>
      </w:r>
      <w:r w:rsidR="005E548D" w:rsidRPr="00D24493">
        <w:t xml:space="preserve"> ofrecido por SIPDH</w:t>
      </w:r>
      <w:r w:rsidR="005F6912" w:rsidRPr="00D24493">
        <w:t>;</w:t>
      </w:r>
      <w:r w:rsidRPr="00D24493">
        <w:t xml:space="preserve"> </w:t>
      </w:r>
      <w:r w:rsidR="005F6912" w:rsidRPr="00D24493">
        <w:t xml:space="preserve">iii) </w:t>
      </w:r>
      <w:r w:rsidRPr="00D24493">
        <w:t>Á</w:t>
      </w:r>
      <w:r w:rsidR="005E548D" w:rsidRPr="00D24493">
        <w:t>lvaro Salas Torres</w:t>
      </w:r>
      <w:r w:rsidR="003D4F33" w:rsidRPr="00D24493">
        <w:t xml:space="preserve">, </w:t>
      </w:r>
      <w:r w:rsidR="001B3F11">
        <w:t>i</w:t>
      </w:r>
      <w:r w:rsidR="005F6912" w:rsidRPr="00D24493">
        <w:t xml:space="preserve">v) </w:t>
      </w:r>
      <w:r w:rsidR="003D4F33" w:rsidRPr="00D24493">
        <w:t>Antonio Sandoval Mendoza</w:t>
      </w:r>
      <w:r w:rsidR="001B3F11">
        <w:t>,</w:t>
      </w:r>
      <w:r w:rsidR="003D4F33" w:rsidRPr="00D24493">
        <w:t xml:space="preserve"> y</w:t>
      </w:r>
      <w:r w:rsidR="005F6912" w:rsidRPr="00D24493">
        <w:t xml:space="preserve"> v)</w:t>
      </w:r>
      <w:r w:rsidR="003D4F33" w:rsidRPr="00D24493">
        <w:t xml:space="preserve"> Carlos Alberto Céspedes León</w:t>
      </w:r>
      <w:r w:rsidR="005F6912" w:rsidRPr="00D24493">
        <w:t>,</w:t>
      </w:r>
      <w:r w:rsidR="0059586E" w:rsidRPr="00D24493">
        <w:t xml:space="preserve"> </w:t>
      </w:r>
      <w:r w:rsidR="005E548D" w:rsidRPr="00D24493">
        <w:t>ofrecido</w:t>
      </w:r>
      <w:r w:rsidR="003D4F33" w:rsidRPr="00D24493">
        <w:t>s</w:t>
      </w:r>
      <w:r w:rsidR="005E548D" w:rsidRPr="00D24493">
        <w:t xml:space="preserve"> por los Defensores </w:t>
      </w:r>
      <w:r w:rsidR="005F6912" w:rsidRPr="00D24493">
        <w:t xml:space="preserve">Públicos </w:t>
      </w:r>
      <w:r w:rsidR="005E548D" w:rsidRPr="00D24493">
        <w:t>Interamericanos</w:t>
      </w:r>
      <w:r w:rsidRPr="00D24493">
        <w:t>,</w:t>
      </w:r>
      <w:r w:rsidR="00F21DE7" w:rsidRPr="00D24493">
        <w:t xml:space="preserve"> </w:t>
      </w:r>
      <w:r w:rsidR="005E548D" w:rsidRPr="00D24493">
        <w:t xml:space="preserve"> </w:t>
      </w:r>
      <w:r w:rsidR="001B3F11">
        <w:t xml:space="preserve">así como vi) </w:t>
      </w:r>
      <w:proofErr w:type="spellStart"/>
      <w:r w:rsidR="001B3F11" w:rsidRPr="00D24493">
        <w:t>Tricia</w:t>
      </w:r>
      <w:proofErr w:type="spellEnd"/>
      <w:r w:rsidR="001B3F11" w:rsidRPr="00D24493">
        <w:t xml:space="preserve"> Castillo </w:t>
      </w:r>
      <w:proofErr w:type="spellStart"/>
      <w:r w:rsidR="001B3F11" w:rsidRPr="00D24493">
        <w:t>Vetrano</w:t>
      </w:r>
      <w:proofErr w:type="spellEnd"/>
      <w:r w:rsidR="001B3F11" w:rsidRPr="00D24493">
        <w:t>, ofrecida por el Estado</w:t>
      </w:r>
      <w:r w:rsidR="001B3F11">
        <w:t>.</w:t>
      </w:r>
    </w:p>
    <w:p w:rsidR="00CB0C59" w:rsidRPr="005E403B" w:rsidRDefault="00CB0C59" w:rsidP="004F3266">
      <w:pPr>
        <w:autoSpaceDE w:val="0"/>
        <w:autoSpaceDN w:val="0"/>
        <w:adjustRightInd w:val="0"/>
        <w:spacing w:after="0"/>
        <w:ind w:left="270"/>
        <w:rPr>
          <w:lang w:val="es-CL"/>
        </w:rPr>
      </w:pPr>
    </w:p>
    <w:p w:rsidR="00FA7E54" w:rsidRPr="005E403B" w:rsidRDefault="00CB0C59" w:rsidP="00CB0C59">
      <w:pPr>
        <w:pStyle w:val="ListParagraph"/>
        <w:numPr>
          <w:ilvl w:val="2"/>
          <w:numId w:val="18"/>
        </w:numPr>
        <w:autoSpaceDE w:val="0"/>
        <w:autoSpaceDN w:val="0"/>
        <w:adjustRightInd w:val="0"/>
        <w:spacing w:after="0"/>
        <w:ind w:left="270" w:firstLine="0"/>
      </w:pPr>
      <w:r w:rsidRPr="005E403B">
        <w:rPr>
          <w:i/>
        </w:rPr>
        <w:t>l</w:t>
      </w:r>
      <w:r w:rsidR="005F6912" w:rsidRPr="005E403B">
        <w:rPr>
          <w:i/>
        </w:rPr>
        <w:t>os peritos</w:t>
      </w:r>
      <w:r w:rsidR="005F6912" w:rsidRPr="005E403B">
        <w:t xml:space="preserve">: i) </w:t>
      </w:r>
      <w:r w:rsidR="005E548D" w:rsidRPr="005E403B">
        <w:t>John Hernández Rojas</w:t>
      </w:r>
      <w:r w:rsidR="00E71F94" w:rsidRPr="005E403B">
        <w:t xml:space="preserve"> y </w:t>
      </w:r>
      <w:r w:rsidR="005F6912" w:rsidRPr="005E403B">
        <w:t xml:space="preserve">ii) </w:t>
      </w:r>
      <w:r w:rsidR="00B62919">
        <w:t>Giselle</w:t>
      </w:r>
      <w:r w:rsidR="00B62919" w:rsidRPr="005E403B">
        <w:t xml:space="preserve"> </w:t>
      </w:r>
      <w:r w:rsidR="00E71F94" w:rsidRPr="005E403B">
        <w:t xml:space="preserve">Chacón Araya, ofrecidos </w:t>
      </w:r>
      <w:r w:rsidR="005E548D" w:rsidRPr="005E403B">
        <w:t xml:space="preserve">por </w:t>
      </w:r>
      <w:r w:rsidR="005E548D" w:rsidRPr="005E403B">
        <w:rPr>
          <w:rFonts w:eastAsia="Times New Roman" w:cs="Verdana"/>
          <w:szCs w:val="20"/>
          <w:lang w:val="es-CL" w:eastAsia="en-US"/>
        </w:rPr>
        <w:t xml:space="preserve">el </w:t>
      </w:r>
      <w:r w:rsidR="003571B0" w:rsidRPr="005E403B">
        <w:rPr>
          <w:rFonts w:eastAsia="Times New Roman" w:cs="Verdana"/>
          <w:szCs w:val="20"/>
          <w:lang w:val="es-CL" w:eastAsia="en-US"/>
        </w:rPr>
        <w:t>señor</w:t>
      </w:r>
      <w:r w:rsidR="005E548D" w:rsidRPr="005E403B">
        <w:rPr>
          <w:rFonts w:eastAsia="Times New Roman" w:cs="Verdana"/>
          <w:szCs w:val="20"/>
          <w:lang w:val="es-CL" w:eastAsia="en-US"/>
        </w:rPr>
        <w:t xml:space="preserve"> Adrián Martínez Blanco</w:t>
      </w:r>
      <w:r w:rsidR="007B20DE" w:rsidRPr="005E403B">
        <w:rPr>
          <w:rFonts w:eastAsia="Times New Roman" w:cs="Verdana"/>
          <w:szCs w:val="20"/>
          <w:lang w:val="es-CL" w:eastAsia="en-US"/>
        </w:rPr>
        <w:t>;</w:t>
      </w:r>
      <w:r w:rsidR="005E548D" w:rsidRPr="005E403B">
        <w:rPr>
          <w:rFonts w:eastAsia="Times New Roman" w:cs="Verdana"/>
          <w:szCs w:val="20"/>
          <w:lang w:val="es-CL" w:eastAsia="en-US"/>
        </w:rPr>
        <w:t xml:space="preserve"> </w:t>
      </w:r>
      <w:r w:rsidR="005F6912" w:rsidRPr="005E403B">
        <w:rPr>
          <w:rFonts w:eastAsia="Times New Roman" w:cs="Verdana"/>
          <w:szCs w:val="20"/>
          <w:lang w:val="es-CL" w:eastAsia="en-US"/>
        </w:rPr>
        <w:t xml:space="preserve">iii) </w:t>
      </w:r>
      <w:r w:rsidR="005E548D" w:rsidRPr="005E403B">
        <w:rPr>
          <w:rFonts w:eastAsia="Times New Roman" w:cs="Verdana"/>
          <w:szCs w:val="20"/>
          <w:lang w:val="es-CL" w:eastAsia="en-US"/>
        </w:rPr>
        <w:t xml:space="preserve">Walter </w:t>
      </w:r>
      <w:proofErr w:type="spellStart"/>
      <w:r w:rsidR="005E548D" w:rsidRPr="005E403B">
        <w:rPr>
          <w:rFonts w:eastAsia="Times New Roman" w:cs="Verdana"/>
          <w:szCs w:val="20"/>
          <w:lang w:val="es-CL" w:eastAsia="en-US"/>
        </w:rPr>
        <w:t>Antillón</w:t>
      </w:r>
      <w:proofErr w:type="spellEnd"/>
      <w:r w:rsidR="005F6912" w:rsidRPr="005E403B">
        <w:rPr>
          <w:rFonts w:eastAsia="Times New Roman" w:cs="Verdana"/>
          <w:szCs w:val="20"/>
          <w:lang w:val="es-CL" w:eastAsia="en-US"/>
        </w:rPr>
        <w:t>,</w:t>
      </w:r>
      <w:r w:rsidR="005E548D" w:rsidRPr="005E403B">
        <w:rPr>
          <w:rFonts w:eastAsia="Times New Roman" w:cs="Verdana"/>
          <w:szCs w:val="20"/>
          <w:lang w:val="es-CL" w:eastAsia="en-US"/>
        </w:rPr>
        <w:t xml:space="preserve"> ofrecido por SIPDH</w:t>
      </w:r>
      <w:r w:rsidRPr="005E403B">
        <w:rPr>
          <w:rFonts w:eastAsia="Times New Roman" w:cs="Verdana"/>
          <w:szCs w:val="20"/>
          <w:lang w:val="es-CL" w:eastAsia="en-US"/>
        </w:rPr>
        <w:t>,</w:t>
      </w:r>
      <w:r w:rsidR="00B500F5" w:rsidRPr="005E403B">
        <w:rPr>
          <w:rFonts w:eastAsia="Times New Roman" w:cs="Verdana"/>
          <w:szCs w:val="20"/>
          <w:lang w:val="es-CL" w:eastAsia="en-US"/>
        </w:rPr>
        <w:t xml:space="preserve"> y </w:t>
      </w:r>
      <w:r w:rsidR="005F6912" w:rsidRPr="005E403B">
        <w:rPr>
          <w:rFonts w:eastAsia="Times New Roman" w:cs="Verdana"/>
          <w:szCs w:val="20"/>
          <w:lang w:val="es-CL" w:eastAsia="en-US"/>
        </w:rPr>
        <w:t>i</w:t>
      </w:r>
      <w:r w:rsidR="00A517F2" w:rsidRPr="005E403B">
        <w:rPr>
          <w:rFonts w:eastAsia="Times New Roman" w:cs="Verdana"/>
          <w:szCs w:val="20"/>
          <w:lang w:val="es-CL" w:eastAsia="en-US"/>
        </w:rPr>
        <w:t>v</w:t>
      </w:r>
      <w:r w:rsidR="005F6912" w:rsidRPr="005E403B">
        <w:rPr>
          <w:rFonts w:eastAsia="Times New Roman" w:cs="Verdana"/>
          <w:szCs w:val="20"/>
          <w:lang w:val="es-CL" w:eastAsia="en-US"/>
        </w:rPr>
        <w:t xml:space="preserve">) </w:t>
      </w:r>
      <w:r w:rsidR="00B500F5" w:rsidRPr="005E403B">
        <w:rPr>
          <w:rFonts w:eastAsia="Times New Roman" w:cs="Verdana"/>
          <w:szCs w:val="20"/>
          <w:lang w:val="es-CL" w:eastAsia="en-US"/>
        </w:rPr>
        <w:t xml:space="preserve">Carlos Alberto </w:t>
      </w:r>
      <w:proofErr w:type="spellStart"/>
      <w:r w:rsidR="00B500F5" w:rsidRPr="005E403B">
        <w:rPr>
          <w:rFonts w:eastAsia="Times New Roman" w:cs="Verdana"/>
          <w:szCs w:val="20"/>
          <w:lang w:val="es-CL" w:eastAsia="en-US"/>
        </w:rPr>
        <w:t>Beraldi</w:t>
      </w:r>
      <w:proofErr w:type="spellEnd"/>
      <w:r w:rsidR="005F6912" w:rsidRPr="005E403B">
        <w:rPr>
          <w:rFonts w:eastAsia="Times New Roman" w:cs="Verdana"/>
          <w:szCs w:val="20"/>
          <w:lang w:val="es-CL" w:eastAsia="en-US"/>
        </w:rPr>
        <w:t>,</w:t>
      </w:r>
      <w:r w:rsidR="00B500F5" w:rsidRPr="005E403B">
        <w:rPr>
          <w:rFonts w:eastAsia="Times New Roman" w:cs="Verdana"/>
          <w:szCs w:val="20"/>
          <w:lang w:val="es-CL" w:eastAsia="en-US"/>
        </w:rPr>
        <w:t xml:space="preserve"> ofrecido por el Estado</w:t>
      </w:r>
      <w:r w:rsidR="005E548D" w:rsidRPr="005E403B">
        <w:t xml:space="preserve">. </w:t>
      </w:r>
    </w:p>
    <w:p w:rsidR="00CB0C59" w:rsidRPr="005E403B" w:rsidRDefault="00CB0C59" w:rsidP="006066BD">
      <w:pPr>
        <w:autoSpaceDE w:val="0"/>
        <w:autoSpaceDN w:val="0"/>
        <w:adjustRightInd w:val="0"/>
        <w:spacing w:after="0"/>
      </w:pPr>
    </w:p>
    <w:p w:rsidR="00016E5C" w:rsidRPr="005E403B" w:rsidRDefault="00016E5C" w:rsidP="00284C2B">
      <w:pPr>
        <w:pStyle w:val="ListParagraph"/>
        <w:widowControl w:val="0"/>
        <w:numPr>
          <w:ilvl w:val="0"/>
          <w:numId w:val="17"/>
        </w:numPr>
        <w:tabs>
          <w:tab w:val="left" w:pos="567"/>
        </w:tabs>
        <w:autoSpaceDE w:val="0"/>
        <w:autoSpaceDN w:val="0"/>
        <w:adjustRightInd w:val="0"/>
        <w:spacing w:after="0"/>
        <w:ind w:left="0" w:right="22" w:firstLine="0"/>
        <w:contextualSpacing/>
        <w:rPr>
          <w:szCs w:val="20"/>
        </w:rPr>
      </w:pPr>
      <w:r w:rsidRPr="005E403B">
        <w:rPr>
          <w:rFonts w:eastAsia="Times New Roman" w:cs="Verdana"/>
          <w:szCs w:val="20"/>
          <w:lang w:val="es-CL" w:eastAsia="en-US"/>
        </w:rPr>
        <w:t>A</w:t>
      </w:r>
      <w:r w:rsidRPr="005E403B">
        <w:rPr>
          <w:szCs w:val="20"/>
        </w:rPr>
        <w:t xml:space="preserve"> continuación el Presidente examinará en forma particular: a) </w:t>
      </w:r>
      <w:r w:rsidR="005F6912" w:rsidRPr="005E403B">
        <w:rPr>
          <w:lang w:val="es-CR"/>
        </w:rPr>
        <w:t>l</w:t>
      </w:r>
      <w:r w:rsidRPr="005E403B">
        <w:rPr>
          <w:lang w:val="es-CR"/>
        </w:rPr>
        <w:t xml:space="preserve">a admisibilidad de la prueba pericial ofrecida por la Comisión; </w:t>
      </w:r>
      <w:r w:rsidR="007B4BF8" w:rsidRPr="005E403B">
        <w:rPr>
          <w:lang w:val="es-CR"/>
        </w:rPr>
        <w:t>b</w:t>
      </w:r>
      <w:r w:rsidRPr="005E403B">
        <w:t>)</w:t>
      </w:r>
      <w:r w:rsidR="00B52FE2" w:rsidRPr="005E403B">
        <w:t xml:space="preserve"> </w:t>
      </w:r>
      <w:r w:rsidR="005F6912" w:rsidRPr="005E403B">
        <w:t>l</w:t>
      </w:r>
      <w:r w:rsidRPr="005E403B">
        <w:t>a solicitud de SI</w:t>
      </w:r>
      <w:r w:rsidR="00A95639">
        <w:t>P</w:t>
      </w:r>
      <w:r w:rsidRPr="005E403B">
        <w:t xml:space="preserve">DH de sustitución de </w:t>
      </w:r>
      <w:r w:rsidR="00284C2B" w:rsidRPr="005E403B">
        <w:t>la declaración de un</w:t>
      </w:r>
      <w:r w:rsidR="00AB2674">
        <w:t xml:space="preserve"> peticionario</w:t>
      </w:r>
      <w:r w:rsidR="00284C2B" w:rsidRPr="005E403B">
        <w:t xml:space="preserve"> fallecid</w:t>
      </w:r>
      <w:r w:rsidR="00AB2674">
        <w:t>o</w:t>
      </w:r>
      <w:r w:rsidR="00B62BC7" w:rsidRPr="005E403B">
        <w:t>;</w:t>
      </w:r>
      <w:r w:rsidR="007B4BF8" w:rsidRPr="005E403B">
        <w:t xml:space="preserve"> c</w:t>
      </w:r>
      <w:r w:rsidRPr="005E403B">
        <w:t>)</w:t>
      </w:r>
      <w:r w:rsidR="00B52FE2" w:rsidRPr="005E403B">
        <w:t xml:space="preserve"> </w:t>
      </w:r>
      <w:r w:rsidR="005F6912" w:rsidRPr="005E403B">
        <w:t>l</w:t>
      </w:r>
      <w:r w:rsidRPr="005E403B">
        <w:t>a admisibilidad de la declaraci</w:t>
      </w:r>
      <w:r w:rsidR="00B62BC7" w:rsidRPr="005E403B">
        <w:t>ó</w:t>
      </w:r>
      <w:r w:rsidRPr="005E403B">
        <w:t xml:space="preserve">n de </w:t>
      </w:r>
      <w:r w:rsidR="00B62BC7" w:rsidRPr="005E403B">
        <w:t xml:space="preserve">un </w:t>
      </w:r>
      <w:r w:rsidRPr="005E403B">
        <w:t>test</w:t>
      </w:r>
      <w:r w:rsidR="007B4BF8" w:rsidRPr="005E403B">
        <w:t>igo</w:t>
      </w:r>
      <w:r w:rsidR="00284C2B" w:rsidRPr="005E403B">
        <w:t xml:space="preserve"> </w:t>
      </w:r>
      <w:r w:rsidR="00B62BC7" w:rsidRPr="005E403B">
        <w:t xml:space="preserve">ofrecido </w:t>
      </w:r>
      <w:r w:rsidR="007B4BF8" w:rsidRPr="005E403B">
        <w:t>por SI</w:t>
      </w:r>
      <w:r w:rsidRPr="005E403B">
        <w:t>P</w:t>
      </w:r>
      <w:r w:rsidR="007B4BF8" w:rsidRPr="005E403B">
        <w:t>D</w:t>
      </w:r>
      <w:r w:rsidRPr="005E403B">
        <w:t>H</w:t>
      </w:r>
      <w:r w:rsidR="007B4BF8" w:rsidRPr="005E403B">
        <w:rPr>
          <w:lang w:val="es-CR"/>
        </w:rPr>
        <w:t>; d</w:t>
      </w:r>
      <w:r w:rsidRPr="005E403B">
        <w:rPr>
          <w:lang w:val="es-CR"/>
        </w:rPr>
        <w:t xml:space="preserve">) </w:t>
      </w:r>
      <w:r w:rsidR="005F6912" w:rsidRPr="005E403B">
        <w:t>l</w:t>
      </w:r>
      <w:r w:rsidRPr="005E403B">
        <w:t>a admisibilidad de las declaraciones de l</w:t>
      </w:r>
      <w:r w:rsidR="00AB2674">
        <w:t>o</w:t>
      </w:r>
      <w:r w:rsidRPr="005E403B">
        <w:t xml:space="preserve">s </w:t>
      </w:r>
      <w:r w:rsidR="00AB2674">
        <w:t>peticionarios</w:t>
      </w:r>
      <w:r w:rsidRPr="005E403B">
        <w:t>, testigos y peritos ofrecidas por los Defensores Públicos Interamericano</w:t>
      </w:r>
      <w:r w:rsidR="00B62BC7" w:rsidRPr="005E403B">
        <w:t>s</w:t>
      </w:r>
      <w:r w:rsidR="007B4BF8" w:rsidRPr="005E403B">
        <w:rPr>
          <w:lang w:val="es-CR"/>
        </w:rPr>
        <w:t xml:space="preserve">; </w:t>
      </w:r>
      <w:r w:rsidR="00022CEA" w:rsidRPr="005E403B">
        <w:rPr>
          <w:lang w:val="es-CR"/>
        </w:rPr>
        <w:t>e</w:t>
      </w:r>
      <w:r w:rsidR="00AF3FF9" w:rsidRPr="005E403B">
        <w:rPr>
          <w:lang w:val="es-CR"/>
        </w:rPr>
        <w:t>)</w:t>
      </w:r>
      <w:r w:rsidR="002A062E" w:rsidRPr="005E403B">
        <w:rPr>
          <w:lang w:val="es-CR"/>
        </w:rPr>
        <w:t xml:space="preserve"> </w:t>
      </w:r>
      <w:r w:rsidR="00BC7158" w:rsidRPr="005E403B">
        <w:rPr>
          <w:lang w:val="es-CR"/>
        </w:rPr>
        <w:t>l</w:t>
      </w:r>
      <w:r w:rsidR="002A062E" w:rsidRPr="005E403B">
        <w:rPr>
          <w:lang w:val="es-CR"/>
        </w:rPr>
        <w:t xml:space="preserve">a admisibilidad de las </w:t>
      </w:r>
      <w:r w:rsidR="002A062E" w:rsidRPr="005E403B">
        <w:rPr>
          <w:lang w:val="es-CR"/>
        </w:rPr>
        <w:lastRenderedPageBreak/>
        <w:t>declaraciones ofrecidas por parte del Estado de Costa Rica</w:t>
      </w:r>
      <w:r w:rsidR="00B62BC7" w:rsidRPr="005E403B">
        <w:rPr>
          <w:lang w:val="es-CR"/>
        </w:rPr>
        <w:t>;</w:t>
      </w:r>
      <w:r w:rsidR="002A062E" w:rsidRPr="005E403B">
        <w:rPr>
          <w:lang w:val="es-CR"/>
        </w:rPr>
        <w:t xml:space="preserve"> </w:t>
      </w:r>
      <w:r w:rsidR="00284C2B" w:rsidRPr="005E403B">
        <w:rPr>
          <w:lang w:val="es-CR"/>
        </w:rPr>
        <w:t>f</w:t>
      </w:r>
      <w:r w:rsidR="002A062E" w:rsidRPr="005E403B">
        <w:rPr>
          <w:lang w:val="es-CR"/>
        </w:rPr>
        <w:t>)</w:t>
      </w:r>
      <w:r w:rsidRPr="005E403B">
        <w:rPr>
          <w:lang w:val="es-CR"/>
        </w:rPr>
        <w:t xml:space="preserve"> </w:t>
      </w:r>
      <w:r w:rsidR="00BC7158" w:rsidRPr="005E403B">
        <w:t>l</w:t>
      </w:r>
      <w:r w:rsidRPr="005E403B">
        <w:t xml:space="preserve">a solicitud de la Comisión para formular preguntas </w:t>
      </w:r>
      <w:r w:rsidR="00B62BC7" w:rsidRPr="005E403B">
        <w:t xml:space="preserve">al perito ofrecido </w:t>
      </w:r>
      <w:r w:rsidRPr="005E403B">
        <w:t>por Costa Rica</w:t>
      </w:r>
      <w:r w:rsidR="00284C2B" w:rsidRPr="005E403B">
        <w:t>, y g</w:t>
      </w:r>
      <w:r w:rsidRPr="005E403B">
        <w:t>)</w:t>
      </w:r>
      <w:r w:rsidR="00322007" w:rsidRPr="005E403B" w:rsidDel="00322007">
        <w:rPr>
          <w:szCs w:val="20"/>
        </w:rPr>
        <w:t xml:space="preserve"> </w:t>
      </w:r>
      <w:r w:rsidR="00284C2B" w:rsidRPr="005E403B">
        <w:t>l</w:t>
      </w:r>
      <w:r w:rsidRPr="005E403B">
        <w:t xml:space="preserve">a aplicación del Fondo de Asistencia Legal de Víctimas </w:t>
      </w:r>
      <w:r w:rsidR="00284C2B" w:rsidRPr="005E403B">
        <w:t xml:space="preserve">de </w:t>
      </w:r>
      <w:r w:rsidRPr="005E403B">
        <w:t>la Corte.</w:t>
      </w:r>
    </w:p>
    <w:p w:rsidR="00284C2B" w:rsidRPr="005E403B" w:rsidRDefault="00284C2B" w:rsidP="004F3266">
      <w:pPr>
        <w:pStyle w:val="ListParagraph"/>
        <w:widowControl w:val="0"/>
        <w:tabs>
          <w:tab w:val="left" w:pos="567"/>
        </w:tabs>
        <w:autoSpaceDE w:val="0"/>
        <w:autoSpaceDN w:val="0"/>
        <w:adjustRightInd w:val="0"/>
        <w:spacing w:after="0"/>
        <w:ind w:left="0" w:right="22"/>
        <w:contextualSpacing/>
        <w:rPr>
          <w:szCs w:val="20"/>
        </w:rPr>
      </w:pPr>
    </w:p>
    <w:p w:rsidR="00016E5C" w:rsidRPr="005E403B" w:rsidRDefault="00016E5C" w:rsidP="00126D35">
      <w:pPr>
        <w:pStyle w:val="Heading1"/>
        <w:numPr>
          <w:ilvl w:val="0"/>
          <w:numId w:val="19"/>
        </w:numPr>
        <w:spacing w:before="0"/>
        <w:ind w:left="0" w:firstLine="0"/>
        <w:rPr>
          <w:szCs w:val="20"/>
          <w:lang w:val="es-CR"/>
        </w:rPr>
      </w:pPr>
      <w:r w:rsidRPr="005E403B">
        <w:rPr>
          <w:lang w:val="es-CR"/>
        </w:rPr>
        <w:t xml:space="preserve">Admisibilidad de la </w:t>
      </w:r>
      <w:r w:rsidR="00284C2B" w:rsidRPr="005E403B">
        <w:rPr>
          <w:lang w:val="es-CR"/>
        </w:rPr>
        <w:t>p</w:t>
      </w:r>
      <w:r w:rsidRPr="005E403B">
        <w:rPr>
          <w:lang w:val="es-CR"/>
        </w:rPr>
        <w:t xml:space="preserve">rueba </w:t>
      </w:r>
      <w:r w:rsidR="00284C2B" w:rsidRPr="005E403B">
        <w:rPr>
          <w:lang w:val="es-CR"/>
        </w:rPr>
        <w:t>p</w:t>
      </w:r>
      <w:r w:rsidRPr="005E403B">
        <w:rPr>
          <w:lang w:val="es-CR"/>
        </w:rPr>
        <w:t xml:space="preserve">ericial ofrecida por la Comisión </w:t>
      </w:r>
    </w:p>
    <w:p w:rsidR="00BA484E" w:rsidRPr="005E403B" w:rsidRDefault="00BA484E" w:rsidP="006066BD">
      <w:pPr>
        <w:spacing w:after="0"/>
        <w:rPr>
          <w:rFonts w:cs="Arial"/>
          <w:szCs w:val="20"/>
          <w:lang w:val="es-CR"/>
        </w:rPr>
      </w:pPr>
    </w:p>
    <w:p w:rsidR="00016E5C" w:rsidRPr="005E403B" w:rsidRDefault="00BA484E" w:rsidP="00126D35">
      <w:pPr>
        <w:pStyle w:val="ListParagraph"/>
        <w:widowControl w:val="0"/>
        <w:numPr>
          <w:ilvl w:val="0"/>
          <w:numId w:val="17"/>
        </w:numPr>
        <w:tabs>
          <w:tab w:val="left" w:pos="567"/>
        </w:tabs>
        <w:autoSpaceDE w:val="0"/>
        <w:autoSpaceDN w:val="0"/>
        <w:adjustRightInd w:val="0"/>
        <w:spacing w:after="0"/>
        <w:ind w:left="0" w:right="22" w:firstLine="0"/>
        <w:contextualSpacing/>
        <w:rPr>
          <w:lang w:val="es-CL" w:eastAsia="en-US"/>
        </w:rPr>
      </w:pPr>
      <w:r w:rsidRPr="005E403B">
        <w:rPr>
          <w:rFonts w:cs="Arial"/>
          <w:szCs w:val="20"/>
          <w:lang w:val="es-CR"/>
        </w:rPr>
        <w:t>L</w:t>
      </w:r>
      <w:r w:rsidR="00016E5C" w:rsidRPr="005E403B">
        <w:rPr>
          <w:rFonts w:cs="Arial"/>
          <w:szCs w:val="20"/>
          <w:lang w:val="es-CR"/>
        </w:rPr>
        <w:t xml:space="preserve">a </w:t>
      </w:r>
      <w:r w:rsidR="00016E5C" w:rsidRPr="005E403B">
        <w:rPr>
          <w:rFonts w:cs="Arial"/>
          <w:b/>
          <w:i/>
          <w:szCs w:val="20"/>
          <w:lang w:val="es-CR"/>
        </w:rPr>
        <w:t>Comisión</w:t>
      </w:r>
      <w:r w:rsidR="00016E5C" w:rsidRPr="005E403B">
        <w:rPr>
          <w:rFonts w:cs="Arial"/>
          <w:szCs w:val="20"/>
          <w:lang w:val="es-CR"/>
        </w:rPr>
        <w:t xml:space="preserve"> ofreció </w:t>
      </w:r>
      <w:r w:rsidR="00126D35" w:rsidRPr="005E403B">
        <w:rPr>
          <w:rFonts w:cs="Arial"/>
          <w:szCs w:val="20"/>
          <w:lang w:val="es-CR"/>
        </w:rPr>
        <w:t>l</w:t>
      </w:r>
      <w:r w:rsidR="00F65C5E" w:rsidRPr="005E403B">
        <w:rPr>
          <w:rFonts w:cs="Arial"/>
          <w:szCs w:val="20"/>
          <w:lang w:val="es-CR"/>
        </w:rPr>
        <w:t xml:space="preserve">os </w:t>
      </w:r>
      <w:r w:rsidR="00016E5C" w:rsidRPr="005E403B">
        <w:rPr>
          <w:rFonts w:cs="Arial"/>
          <w:szCs w:val="20"/>
          <w:lang w:val="es-CR"/>
        </w:rPr>
        <w:t>dictámenes periciales de</w:t>
      </w:r>
      <w:r w:rsidR="00F65C5E" w:rsidRPr="005E403B">
        <w:rPr>
          <w:rFonts w:cs="Arial"/>
          <w:szCs w:val="20"/>
          <w:lang w:val="es-CR"/>
        </w:rPr>
        <w:t>: i)</w:t>
      </w:r>
      <w:r w:rsidR="00016E5C" w:rsidRPr="005E403B">
        <w:rPr>
          <w:szCs w:val="20"/>
          <w:lang w:val="es-CR"/>
        </w:rPr>
        <w:t xml:space="preserve"> </w:t>
      </w:r>
      <w:r w:rsidR="00016E5C" w:rsidRPr="005E403B">
        <w:rPr>
          <w:rFonts w:cs="Times New Roman"/>
          <w:szCs w:val="20"/>
          <w:lang w:val="es-CR" w:eastAsia="es-CR"/>
        </w:rPr>
        <w:t>Alberto Bovino</w:t>
      </w:r>
      <w:r w:rsidR="004B521D" w:rsidRPr="005E403B">
        <w:rPr>
          <w:rFonts w:cs="Times New Roman"/>
          <w:szCs w:val="20"/>
          <w:lang w:val="es-CR" w:eastAsia="es-CR"/>
        </w:rPr>
        <w:t xml:space="preserve">, </w:t>
      </w:r>
      <w:r w:rsidR="00016E5C" w:rsidRPr="005E403B">
        <w:rPr>
          <w:rFonts w:cs="Times New Roman"/>
          <w:szCs w:val="20"/>
          <w:lang w:val="es-CR" w:eastAsia="es-CR"/>
        </w:rPr>
        <w:t>para que declar</w:t>
      </w:r>
      <w:r w:rsidR="00F65C5E" w:rsidRPr="005E403B">
        <w:rPr>
          <w:rFonts w:cs="Times New Roman"/>
          <w:szCs w:val="20"/>
          <w:lang w:val="es-CR" w:eastAsia="es-CR"/>
        </w:rPr>
        <w:t>e</w:t>
      </w:r>
      <w:r w:rsidR="00016E5C" w:rsidRPr="005E403B">
        <w:rPr>
          <w:rFonts w:cs="Times New Roman"/>
          <w:szCs w:val="20"/>
          <w:lang w:val="es-CR" w:eastAsia="es-CR"/>
        </w:rPr>
        <w:t xml:space="preserve"> sobre</w:t>
      </w:r>
      <w:r w:rsidR="00016E5C" w:rsidRPr="005E403B">
        <w:rPr>
          <w:rFonts w:cs="Arial"/>
          <w:color w:val="141414"/>
          <w:szCs w:val="20"/>
          <w:lang w:val="es-CR" w:eastAsia="es-CR"/>
        </w:rPr>
        <w:t xml:space="preserve"> </w:t>
      </w:r>
      <w:r w:rsidR="00F65C5E" w:rsidRPr="005E403B">
        <w:rPr>
          <w:rFonts w:cs="Arial"/>
          <w:color w:val="141414"/>
          <w:szCs w:val="20"/>
          <w:lang w:val="es-CR" w:eastAsia="es-CR"/>
        </w:rPr>
        <w:t>“</w:t>
      </w:r>
      <w:r w:rsidR="00016E5C" w:rsidRPr="005E403B">
        <w:rPr>
          <w:rFonts w:cs="Arial"/>
          <w:color w:val="141414"/>
          <w:szCs w:val="20"/>
          <w:lang w:val="es-CR" w:eastAsia="es-CR"/>
        </w:rPr>
        <w:t>el alcance del derecho a recurrir el fallo a la luz de los estándares internacionales sobre la materia</w:t>
      </w:r>
      <w:r w:rsidR="0015727A" w:rsidRPr="005E403B">
        <w:rPr>
          <w:rFonts w:cs="Arial"/>
          <w:color w:val="141414"/>
          <w:szCs w:val="20"/>
          <w:lang w:val="es-CR" w:eastAsia="es-CR"/>
        </w:rPr>
        <w:t xml:space="preserve">, </w:t>
      </w:r>
      <w:r w:rsidR="00F65C5E" w:rsidRPr="005E403B">
        <w:rPr>
          <w:rFonts w:cs="Arial"/>
          <w:color w:val="141414"/>
          <w:szCs w:val="20"/>
          <w:lang w:val="es-CR" w:eastAsia="es-CR"/>
        </w:rPr>
        <w:t xml:space="preserve">analice </w:t>
      </w:r>
      <w:r w:rsidR="00016E5C" w:rsidRPr="005E403B">
        <w:rPr>
          <w:rFonts w:cs="Arial"/>
          <w:color w:val="141414"/>
          <w:szCs w:val="20"/>
          <w:lang w:val="es-CR" w:eastAsia="es-CR"/>
        </w:rPr>
        <w:t xml:space="preserve">la secuencia de modificaciones legislativas que tuvieron lugar en Costa Rica tras la sentencia de la Corte Interamericana en el caso </w:t>
      </w:r>
      <w:r w:rsidR="00016E5C" w:rsidRPr="001A568A">
        <w:rPr>
          <w:rFonts w:cs="Arial"/>
          <w:i/>
          <w:color w:val="141414"/>
          <w:szCs w:val="20"/>
          <w:lang w:val="es-CR" w:eastAsia="es-CR"/>
        </w:rPr>
        <w:t>Herrera Ulloa</w:t>
      </w:r>
      <w:r w:rsidR="00016E5C" w:rsidRPr="005E403B">
        <w:rPr>
          <w:rFonts w:cs="Arial"/>
          <w:color w:val="141414"/>
          <w:szCs w:val="20"/>
          <w:lang w:val="es-CR" w:eastAsia="es-CR"/>
        </w:rPr>
        <w:t xml:space="preserve"> respecto de dicho Estado, concentrándose en evaluar, a la luz de los estándares mencionados, los mecanismos ofrecidos por dichas modificaciones legislativas al grupo de personas con condena en firme antes de su entrada en vigor. </w:t>
      </w:r>
      <w:r w:rsidR="00F65C5E" w:rsidRPr="005E403B">
        <w:rPr>
          <w:rFonts w:cs="Arial"/>
          <w:color w:val="141414"/>
          <w:szCs w:val="20"/>
          <w:lang w:val="es-CR" w:eastAsia="es-CR"/>
        </w:rPr>
        <w:t>El perito podrá formular</w:t>
      </w:r>
      <w:r w:rsidR="00016E5C" w:rsidRPr="005E403B">
        <w:rPr>
          <w:rFonts w:cs="Arial"/>
          <w:color w:val="141414"/>
          <w:szCs w:val="20"/>
          <w:lang w:val="es-CR" w:eastAsia="es-CR"/>
        </w:rPr>
        <w:t xml:space="preserve"> consideraciones relevantes para las reparaciones en el caso, en particular, </w:t>
      </w:r>
      <w:r w:rsidR="00016E5C" w:rsidRPr="005E403B">
        <w:rPr>
          <w:lang w:val="es-CR"/>
        </w:rPr>
        <w:t>respecto</w:t>
      </w:r>
      <w:r w:rsidR="00016E5C" w:rsidRPr="005E403B">
        <w:rPr>
          <w:rFonts w:cs="Arial"/>
          <w:color w:val="141414"/>
          <w:szCs w:val="20"/>
          <w:lang w:val="es-CR" w:eastAsia="es-CR"/>
        </w:rPr>
        <w:t xml:space="preserve"> de posibles mecanismos idóneos para que el grupo de personas en la misma situación de las víctimas, pueda ejercer efectivamente el derecho recurso</w:t>
      </w:r>
      <w:r w:rsidR="00F65C5E" w:rsidRPr="005E403B">
        <w:rPr>
          <w:rFonts w:cs="Arial"/>
          <w:color w:val="141414"/>
          <w:szCs w:val="20"/>
          <w:lang w:val="es-CR" w:eastAsia="es-CR"/>
        </w:rPr>
        <w:t>”</w:t>
      </w:r>
      <w:r w:rsidR="00126D35" w:rsidRPr="005E403B">
        <w:rPr>
          <w:rFonts w:cs="Arial"/>
          <w:color w:val="141414"/>
          <w:szCs w:val="20"/>
          <w:lang w:val="es-CR" w:eastAsia="es-CR"/>
        </w:rPr>
        <w:t>,</w:t>
      </w:r>
      <w:r w:rsidR="00016E5C" w:rsidRPr="005E403B">
        <w:rPr>
          <w:rFonts w:cs="Arial"/>
          <w:color w:val="141414"/>
          <w:szCs w:val="20"/>
          <w:lang w:val="es-CR" w:eastAsia="es-CR"/>
        </w:rPr>
        <w:t xml:space="preserve"> </w:t>
      </w:r>
      <w:r w:rsidR="00126D35" w:rsidRPr="005E403B">
        <w:rPr>
          <w:rFonts w:cs="Arial"/>
          <w:color w:val="141414"/>
          <w:szCs w:val="20"/>
          <w:lang w:val="es-CR" w:eastAsia="es-CR"/>
        </w:rPr>
        <w:t>y</w:t>
      </w:r>
      <w:r w:rsidR="00F65C5E" w:rsidRPr="005E403B">
        <w:rPr>
          <w:rFonts w:cs="Arial"/>
          <w:color w:val="141414"/>
          <w:szCs w:val="20"/>
          <w:lang w:val="es-CR" w:eastAsia="es-CR"/>
        </w:rPr>
        <w:t xml:space="preserve"> de ii) </w:t>
      </w:r>
      <w:r w:rsidR="00016E5C" w:rsidRPr="005E403B">
        <w:rPr>
          <w:rFonts w:cs="Arial"/>
          <w:color w:val="141414"/>
          <w:szCs w:val="20"/>
          <w:lang w:val="es-CR" w:eastAsia="es-CR"/>
        </w:rPr>
        <w:t xml:space="preserve">Juan Pablo </w:t>
      </w:r>
      <w:proofErr w:type="spellStart"/>
      <w:r w:rsidR="00016E5C" w:rsidRPr="005E403B">
        <w:rPr>
          <w:rFonts w:cs="Arial"/>
          <w:color w:val="141414"/>
          <w:szCs w:val="20"/>
          <w:lang w:val="es-CR" w:eastAsia="es-CR"/>
        </w:rPr>
        <w:t>Gomara</w:t>
      </w:r>
      <w:proofErr w:type="spellEnd"/>
      <w:r w:rsidR="00F65C5E" w:rsidRPr="005E403B">
        <w:rPr>
          <w:rFonts w:cs="Arial"/>
          <w:color w:val="141414"/>
          <w:szCs w:val="20"/>
          <w:lang w:val="es-CR" w:eastAsia="es-CR"/>
        </w:rPr>
        <w:t>,</w:t>
      </w:r>
      <w:r w:rsidR="00016E5C" w:rsidRPr="005E403B">
        <w:rPr>
          <w:rFonts w:cs="Arial"/>
          <w:color w:val="141414"/>
          <w:szCs w:val="20"/>
          <w:lang w:val="es-CR" w:eastAsia="es-CR"/>
        </w:rPr>
        <w:t xml:space="preserve"> para que declar</w:t>
      </w:r>
      <w:r w:rsidR="00F65C5E" w:rsidRPr="005E403B">
        <w:rPr>
          <w:rFonts w:cs="Arial"/>
          <w:color w:val="141414"/>
          <w:szCs w:val="20"/>
          <w:lang w:val="es-CR" w:eastAsia="es-CR"/>
        </w:rPr>
        <w:t>e</w:t>
      </w:r>
      <w:r w:rsidR="00016E5C" w:rsidRPr="005E403B">
        <w:rPr>
          <w:rFonts w:cs="Arial"/>
          <w:color w:val="141414"/>
          <w:szCs w:val="20"/>
          <w:lang w:val="es-CR" w:eastAsia="es-CR"/>
        </w:rPr>
        <w:t xml:space="preserve"> sobre </w:t>
      </w:r>
      <w:r w:rsidR="00F65C5E" w:rsidRPr="005E403B">
        <w:rPr>
          <w:rFonts w:cs="Arial"/>
          <w:color w:val="141414"/>
          <w:szCs w:val="20"/>
          <w:lang w:val="es-CR" w:eastAsia="es-CR"/>
        </w:rPr>
        <w:t>“</w:t>
      </w:r>
      <w:r w:rsidR="00016E5C" w:rsidRPr="005E403B">
        <w:rPr>
          <w:rFonts w:cs="Arial"/>
          <w:color w:val="141414"/>
          <w:szCs w:val="20"/>
          <w:lang w:val="es-CR" w:eastAsia="es-CR"/>
        </w:rPr>
        <w:t>los estándares aplicables a las condiciones de detención, en particular sobre las obligaciones internacionales en materia de acceso, uso y disponibilidad del agua de las personas privadas de libertad</w:t>
      </w:r>
      <w:r w:rsidR="00126D35" w:rsidRPr="005E403B">
        <w:rPr>
          <w:rFonts w:cs="Arial"/>
          <w:color w:val="141414"/>
          <w:szCs w:val="20"/>
          <w:lang w:val="es-CR" w:eastAsia="es-CR"/>
        </w:rPr>
        <w:t>”.</w:t>
      </w:r>
    </w:p>
    <w:p w:rsidR="00284C2B" w:rsidRPr="005E403B" w:rsidRDefault="00284C2B" w:rsidP="00126D35">
      <w:pPr>
        <w:pStyle w:val="ListParagraph"/>
        <w:widowControl w:val="0"/>
        <w:tabs>
          <w:tab w:val="left" w:pos="567"/>
        </w:tabs>
        <w:autoSpaceDE w:val="0"/>
        <w:autoSpaceDN w:val="0"/>
        <w:adjustRightInd w:val="0"/>
        <w:spacing w:after="0"/>
        <w:ind w:left="0" w:right="22"/>
        <w:contextualSpacing/>
        <w:rPr>
          <w:lang w:val="es-CL" w:eastAsia="en-US"/>
        </w:rPr>
      </w:pPr>
    </w:p>
    <w:p w:rsidR="0026648B" w:rsidRPr="0026648B" w:rsidRDefault="00016E5C" w:rsidP="0026648B">
      <w:pPr>
        <w:pStyle w:val="ListParagraph"/>
        <w:widowControl w:val="0"/>
        <w:numPr>
          <w:ilvl w:val="0"/>
          <w:numId w:val="17"/>
        </w:numPr>
        <w:tabs>
          <w:tab w:val="left" w:pos="567"/>
        </w:tabs>
        <w:autoSpaceDE w:val="0"/>
        <w:autoSpaceDN w:val="0"/>
        <w:adjustRightInd w:val="0"/>
        <w:spacing w:after="0"/>
        <w:ind w:left="0" w:right="22" w:firstLine="0"/>
        <w:contextualSpacing/>
        <w:rPr>
          <w:rFonts w:eastAsia="Times New Roman" w:cs="Verdana"/>
          <w:b/>
          <w:sz w:val="16"/>
          <w:szCs w:val="20"/>
          <w:lang w:val="es-CL" w:eastAsia="en-US"/>
        </w:rPr>
      </w:pPr>
      <w:r w:rsidRPr="005E403B">
        <w:rPr>
          <w:rFonts w:eastAsia="Times New Roman" w:cs="Verdana"/>
          <w:szCs w:val="20"/>
          <w:lang w:val="es-CL" w:eastAsia="en-US"/>
        </w:rPr>
        <w:t xml:space="preserve">La Comisión consideró que </w:t>
      </w:r>
      <w:r w:rsidR="00F65C5E" w:rsidRPr="005E403B">
        <w:rPr>
          <w:rFonts w:eastAsia="Times New Roman" w:cs="Verdana"/>
          <w:szCs w:val="20"/>
          <w:lang w:val="es-CL" w:eastAsia="en-US"/>
        </w:rPr>
        <w:t xml:space="preserve">los </w:t>
      </w:r>
      <w:r w:rsidRPr="005E403B">
        <w:rPr>
          <w:rFonts w:eastAsia="Times New Roman" w:cs="Verdana"/>
          <w:szCs w:val="20"/>
          <w:lang w:val="es-CL" w:eastAsia="en-US"/>
        </w:rPr>
        <w:t>peritaje</w:t>
      </w:r>
      <w:r w:rsidR="00F65C5E" w:rsidRPr="005E403B">
        <w:rPr>
          <w:rFonts w:eastAsia="Times New Roman" w:cs="Verdana"/>
          <w:szCs w:val="20"/>
          <w:lang w:val="es-CL" w:eastAsia="en-US"/>
        </w:rPr>
        <w:t>s</w:t>
      </w:r>
      <w:r w:rsidRPr="005E403B">
        <w:rPr>
          <w:rFonts w:eastAsia="Times New Roman" w:cs="Verdana"/>
          <w:szCs w:val="20"/>
          <w:lang w:val="es-CL" w:eastAsia="en-US"/>
        </w:rPr>
        <w:t xml:space="preserve"> ofrecido</w:t>
      </w:r>
      <w:r w:rsidR="00F65C5E" w:rsidRPr="005E403B">
        <w:rPr>
          <w:rFonts w:eastAsia="Times New Roman" w:cs="Verdana"/>
          <w:szCs w:val="20"/>
          <w:lang w:val="es-CL" w:eastAsia="en-US"/>
        </w:rPr>
        <w:t>s</w:t>
      </w:r>
      <w:r w:rsidRPr="005E403B">
        <w:rPr>
          <w:rFonts w:eastAsia="Times New Roman" w:cs="Verdana"/>
          <w:szCs w:val="20"/>
          <w:lang w:val="es-CL" w:eastAsia="en-US"/>
        </w:rPr>
        <w:t xml:space="preserve"> se refiere</w:t>
      </w:r>
      <w:r w:rsidR="00F65C5E" w:rsidRPr="005E403B">
        <w:rPr>
          <w:rFonts w:eastAsia="Times New Roman" w:cs="Verdana"/>
          <w:szCs w:val="20"/>
          <w:lang w:val="es-CL" w:eastAsia="en-US"/>
        </w:rPr>
        <w:t>n</w:t>
      </w:r>
      <w:r w:rsidRPr="005E403B">
        <w:rPr>
          <w:rFonts w:eastAsia="Times New Roman" w:cs="Verdana"/>
          <w:szCs w:val="20"/>
          <w:lang w:val="es-CL" w:eastAsia="en-US"/>
        </w:rPr>
        <w:t xml:space="preserve"> a temas de orden público interamericano, toda vez que</w:t>
      </w:r>
      <w:r w:rsidR="00723006" w:rsidRPr="005E403B">
        <w:rPr>
          <w:rFonts w:eastAsia="Times New Roman" w:cs="Verdana"/>
          <w:szCs w:val="20"/>
          <w:lang w:val="es-CL" w:eastAsia="en-US"/>
        </w:rPr>
        <w:t xml:space="preserve"> </w:t>
      </w:r>
      <w:r w:rsidR="00723006" w:rsidRPr="005E403B">
        <w:t>“</w:t>
      </w:r>
      <w:r w:rsidR="00723006" w:rsidRPr="005E403B">
        <w:rPr>
          <w:rFonts w:eastAsia="Times New Roman" w:cs="Verdana"/>
          <w:szCs w:val="20"/>
          <w:lang w:val="es-CL" w:eastAsia="en-US"/>
        </w:rPr>
        <w:t xml:space="preserve">el caso podría contribuir a asegurar que el marco normativo costarricense </w:t>
      </w:r>
      <w:r w:rsidR="00723006" w:rsidRPr="005E403B">
        <w:rPr>
          <w:lang w:val="es-CR"/>
        </w:rPr>
        <w:t>otorgue</w:t>
      </w:r>
      <w:r w:rsidR="00723006" w:rsidRPr="005E403B">
        <w:rPr>
          <w:rFonts w:eastAsia="Times New Roman" w:cs="Verdana"/>
          <w:szCs w:val="20"/>
          <w:lang w:val="es-CL" w:eastAsia="en-US"/>
        </w:rPr>
        <w:t xml:space="preserve"> a las personas condenadas antes de las modificaciones legislativas, una revisión amplia de sus condenas, sin exclusión de las cuestiones de hecho y prueba</w:t>
      </w:r>
      <w:r w:rsidR="00F65C5E" w:rsidRPr="005E403B">
        <w:rPr>
          <w:rFonts w:eastAsia="Times New Roman" w:cs="Verdana"/>
          <w:szCs w:val="20"/>
          <w:lang w:val="es-CL" w:eastAsia="en-US"/>
        </w:rPr>
        <w:t>.</w:t>
      </w:r>
      <w:r w:rsidR="00723006" w:rsidRPr="005E403B">
        <w:rPr>
          <w:rFonts w:eastAsia="Times New Roman" w:cs="Verdana"/>
          <w:szCs w:val="20"/>
          <w:lang w:val="es-CL" w:eastAsia="en-US"/>
        </w:rPr>
        <w:t xml:space="preserve"> </w:t>
      </w:r>
      <w:r w:rsidR="00F65C5E" w:rsidRPr="005E403B">
        <w:rPr>
          <w:rFonts w:eastAsia="Times New Roman" w:cs="Verdana"/>
          <w:szCs w:val="20"/>
          <w:lang w:val="es-CL" w:eastAsia="en-US"/>
        </w:rPr>
        <w:t>[</w:t>
      </w:r>
      <w:r w:rsidR="00723006" w:rsidRPr="005E403B">
        <w:rPr>
          <w:rFonts w:eastAsia="Times New Roman" w:cs="Verdana"/>
          <w:szCs w:val="20"/>
          <w:lang w:val="es-CL" w:eastAsia="en-US"/>
        </w:rPr>
        <w:t>…</w:t>
      </w:r>
      <w:r w:rsidR="00F65C5E" w:rsidRPr="005E403B">
        <w:rPr>
          <w:rFonts w:eastAsia="Times New Roman" w:cs="Verdana"/>
          <w:szCs w:val="20"/>
          <w:lang w:val="es-CL" w:eastAsia="en-US"/>
        </w:rPr>
        <w:t>]</w:t>
      </w:r>
      <w:r w:rsidR="00723006" w:rsidRPr="005E403B">
        <w:rPr>
          <w:rFonts w:eastAsia="Times New Roman" w:cs="Verdana"/>
          <w:szCs w:val="20"/>
          <w:lang w:val="es-CL" w:eastAsia="en-US"/>
        </w:rPr>
        <w:t xml:space="preserve"> </w:t>
      </w:r>
      <w:r w:rsidR="00F65C5E" w:rsidRPr="005E403B">
        <w:rPr>
          <w:rFonts w:eastAsia="Times New Roman" w:cs="Verdana"/>
          <w:szCs w:val="20"/>
          <w:lang w:val="es-CL" w:eastAsia="en-US"/>
        </w:rPr>
        <w:t>[E]</w:t>
      </w:r>
      <w:r w:rsidR="00071A70" w:rsidRPr="005E403B">
        <w:rPr>
          <w:rFonts w:eastAsia="Times New Roman" w:cs="Verdana"/>
          <w:szCs w:val="20"/>
          <w:lang w:val="es-CL" w:eastAsia="en-US"/>
        </w:rPr>
        <w:t>l</w:t>
      </w:r>
      <w:r w:rsidR="00723006" w:rsidRPr="005E403B">
        <w:rPr>
          <w:rFonts w:eastAsia="Times New Roman" w:cs="Verdana"/>
          <w:szCs w:val="20"/>
          <w:lang w:val="es-CL" w:eastAsia="en-US"/>
        </w:rPr>
        <w:t xml:space="preserve"> caso presenta un debate sobre las medidas legislativas o de otra índole que debe adoptar un Estado para que las adecuaciones normativas a </w:t>
      </w:r>
      <w:r w:rsidR="0039067D" w:rsidRPr="005E403B">
        <w:rPr>
          <w:rFonts w:eastAsia="Times New Roman" w:cs="Verdana"/>
          <w:szCs w:val="20"/>
          <w:lang w:val="es-CL" w:eastAsia="en-US"/>
        </w:rPr>
        <w:t>la Convenció</w:t>
      </w:r>
      <w:r w:rsidR="00723006" w:rsidRPr="005E403B">
        <w:rPr>
          <w:rFonts w:eastAsia="Times New Roman" w:cs="Verdana"/>
          <w:szCs w:val="20"/>
          <w:lang w:val="es-CL" w:eastAsia="en-US"/>
        </w:rPr>
        <w:t>n Americana, además de ofrecer una solución a futuro, como ya ocurrió con la creación del recurso de apelación, permita que las</w:t>
      </w:r>
      <w:r w:rsidR="00071A70" w:rsidRPr="005E403B">
        <w:rPr>
          <w:rFonts w:eastAsia="Times New Roman" w:cs="Verdana"/>
          <w:szCs w:val="20"/>
          <w:lang w:val="es-CL" w:eastAsia="en-US"/>
        </w:rPr>
        <w:t xml:space="preserve"> </w:t>
      </w:r>
      <w:r w:rsidR="00723006" w:rsidRPr="005E403B">
        <w:rPr>
          <w:rFonts w:eastAsia="Times New Roman" w:cs="Verdana"/>
          <w:szCs w:val="20"/>
          <w:lang w:val="es-CL" w:eastAsia="en-US"/>
        </w:rPr>
        <w:t xml:space="preserve">víctimas ya afectadas por un marco </w:t>
      </w:r>
      <w:proofErr w:type="spellStart"/>
      <w:r w:rsidR="00723006" w:rsidRPr="005E403B">
        <w:rPr>
          <w:rFonts w:eastAsia="Times New Roman" w:cs="Verdana"/>
          <w:szCs w:val="20"/>
          <w:lang w:val="es-CL" w:eastAsia="en-US"/>
        </w:rPr>
        <w:t>inconvencional</w:t>
      </w:r>
      <w:proofErr w:type="spellEnd"/>
      <w:r w:rsidR="00723006" w:rsidRPr="005E403B">
        <w:rPr>
          <w:rFonts w:eastAsia="Times New Roman" w:cs="Verdana"/>
          <w:szCs w:val="20"/>
          <w:lang w:val="es-CL" w:eastAsia="en-US"/>
        </w:rPr>
        <w:t xml:space="preserve"> puedan obtener una respuesta a la violación de sus derechos. Asimismo, el caso permitirá a </w:t>
      </w:r>
      <w:r w:rsidR="0015727A" w:rsidRPr="005E403B">
        <w:rPr>
          <w:rFonts w:eastAsia="Times New Roman" w:cs="Verdana"/>
          <w:szCs w:val="20"/>
          <w:lang w:val="es-CL" w:eastAsia="en-US"/>
        </w:rPr>
        <w:t xml:space="preserve">la </w:t>
      </w:r>
      <w:r w:rsidR="00723006" w:rsidRPr="005E403B">
        <w:rPr>
          <w:rFonts w:eastAsia="Times New Roman" w:cs="Verdana"/>
          <w:szCs w:val="20"/>
          <w:lang w:val="es-CL" w:eastAsia="en-US"/>
        </w:rPr>
        <w:t>Corte profundizar sobre los estándares internacionales en materia de condiciones de detención, en particular un aspecto novedoso relacionado con el acceso, uso y disponibilidad del agua para personas privadas de libertad”</w:t>
      </w:r>
      <w:r w:rsidR="00071A70" w:rsidRPr="005E403B">
        <w:rPr>
          <w:rFonts w:eastAsia="Times New Roman" w:cs="Verdana"/>
          <w:szCs w:val="20"/>
          <w:lang w:val="es-CL" w:eastAsia="en-US"/>
        </w:rPr>
        <w:t>.</w:t>
      </w:r>
      <w:r w:rsidR="0026648B">
        <w:rPr>
          <w:rFonts w:eastAsia="Times New Roman" w:cs="Verdana"/>
          <w:b/>
          <w:sz w:val="16"/>
          <w:szCs w:val="20"/>
          <w:lang w:val="es-CL" w:eastAsia="en-US"/>
        </w:rPr>
        <w:t xml:space="preserve"> </w:t>
      </w:r>
      <w:r w:rsidR="0026648B" w:rsidRPr="0026648B">
        <w:rPr>
          <w:rFonts w:eastAsia="Times New Roman" w:cs="Verdana"/>
          <w:szCs w:val="20"/>
          <w:lang w:val="es-CL" w:eastAsia="en-US"/>
        </w:rPr>
        <w:t xml:space="preserve">El </w:t>
      </w:r>
      <w:r w:rsidR="0026648B" w:rsidRPr="0026648B">
        <w:rPr>
          <w:rFonts w:eastAsia="Times New Roman" w:cs="Verdana"/>
          <w:b/>
          <w:i/>
          <w:szCs w:val="20"/>
          <w:lang w:val="es-CL" w:eastAsia="en-US"/>
        </w:rPr>
        <w:t>Estado</w:t>
      </w:r>
      <w:r w:rsidR="0026648B" w:rsidRPr="0026648B">
        <w:rPr>
          <w:rFonts w:eastAsia="Times New Roman" w:cs="Verdana"/>
          <w:szCs w:val="20"/>
          <w:lang w:val="es-CL" w:eastAsia="en-US"/>
        </w:rPr>
        <w:t xml:space="preserve"> no se pronunció al respecto. </w:t>
      </w:r>
    </w:p>
    <w:p w:rsidR="00E8018A" w:rsidRPr="005E403B" w:rsidRDefault="00E8018A" w:rsidP="006066BD">
      <w:pPr>
        <w:pStyle w:val="ListParagraph"/>
        <w:widowControl w:val="0"/>
        <w:tabs>
          <w:tab w:val="left" w:pos="567"/>
        </w:tabs>
        <w:autoSpaceDE w:val="0"/>
        <w:autoSpaceDN w:val="0"/>
        <w:adjustRightInd w:val="0"/>
        <w:spacing w:after="0"/>
        <w:ind w:left="0" w:right="22"/>
        <w:contextualSpacing/>
        <w:rPr>
          <w:rFonts w:eastAsia="Times New Roman" w:cs="Verdana"/>
          <w:szCs w:val="20"/>
          <w:lang w:val="es-CL" w:eastAsia="en-US"/>
        </w:rPr>
      </w:pPr>
    </w:p>
    <w:p w:rsidR="00BA484E" w:rsidRPr="005E403B" w:rsidRDefault="001E75E5" w:rsidP="00882E79">
      <w:pPr>
        <w:pStyle w:val="ListParagraph"/>
        <w:widowControl w:val="0"/>
        <w:numPr>
          <w:ilvl w:val="0"/>
          <w:numId w:val="17"/>
        </w:numPr>
        <w:tabs>
          <w:tab w:val="left" w:pos="567"/>
        </w:tabs>
        <w:autoSpaceDE w:val="0"/>
        <w:autoSpaceDN w:val="0"/>
        <w:adjustRightInd w:val="0"/>
        <w:spacing w:after="0"/>
        <w:ind w:left="0" w:right="22" w:firstLine="0"/>
        <w:contextualSpacing/>
        <w:rPr>
          <w:lang w:val="es-CR"/>
        </w:rPr>
      </w:pPr>
      <w:r w:rsidRPr="005E403B">
        <w:rPr>
          <w:rFonts w:eastAsia="Times New Roman" w:cs="Verdana"/>
          <w:szCs w:val="20"/>
          <w:lang w:val="es-CL" w:eastAsia="en-US"/>
        </w:rPr>
        <w:t>El Presidente</w:t>
      </w:r>
      <w:r w:rsidR="008E6216" w:rsidRPr="005E403B">
        <w:rPr>
          <w:rFonts w:eastAsia="Times New Roman" w:cs="Verdana"/>
          <w:szCs w:val="20"/>
          <w:lang w:val="es-CL" w:eastAsia="en-US"/>
        </w:rPr>
        <w:t xml:space="preserve"> recuerda que, de</w:t>
      </w:r>
      <w:r w:rsidR="008E6216" w:rsidRPr="005E403B">
        <w:t xml:space="preserve"> acuerdo con lo establecido en el artículo 35.1.f) del Regla</w:t>
      </w:r>
      <w:r w:rsidR="00E1798E" w:rsidRPr="005E403B">
        <w:t>mento</w:t>
      </w:r>
      <w:r w:rsidR="00071A70" w:rsidRPr="005E403B">
        <w:t xml:space="preserve"> de la Corte (en adelante “el Reglamento”)</w:t>
      </w:r>
      <w:r w:rsidR="00E1798E" w:rsidRPr="005E403B">
        <w:t>, la eventual designación de peritos</w:t>
      </w:r>
      <w:r w:rsidR="008E6216" w:rsidRPr="005E403B">
        <w:t xml:space="preserve"> podrá ser efectuada por la Comisión Interamericana “cuando se afecte de manera relevante el orden público interamericano de los derechos humanos”, cuyo fundamento y objeto tienen que ser adecuadamente sustentados</w:t>
      </w:r>
      <w:r w:rsidR="008E6216" w:rsidRPr="005E403B">
        <w:rPr>
          <w:rStyle w:val="FootnoteReference"/>
        </w:rPr>
        <w:footnoteReference w:id="7"/>
      </w:r>
      <w:r w:rsidR="008E6216" w:rsidRPr="005E403B">
        <w:t>.</w:t>
      </w:r>
      <w:r w:rsidR="004926CA" w:rsidRPr="005E403B">
        <w:rPr>
          <w:rFonts w:eastAsia="Times New Roman" w:cs="Verdana"/>
          <w:szCs w:val="20"/>
          <w:lang w:val="es-CL" w:eastAsia="en-US"/>
        </w:rPr>
        <w:t xml:space="preserve"> </w:t>
      </w:r>
      <w:r w:rsidR="00FA4FF6" w:rsidRPr="005E403B">
        <w:rPr>
          <w:lang w:val="es-CR"/>
        </w:rPr>
        <w:t>El sentido de esta disposición hace de la designación de peritos por parte de la Comisión un hecho excepcional, sujeto a ese requisito, que no se cumple por el solo hecho de que la prueba que se procura producir tenga relación con una alegada violación de derechos humanos</w:t>
      </w:r>
      <w:r w:rsidR="00FA4FF6" w:rsidRPr="005E403B">
        <w:rPr>
          <w:rStyle w:val="FootnoteReference"/>
          <w:lang w:val="es-CR"/>
        </w:rPr>
        <w:footnoteReference w:id="8"/>
      </w:r>
      <w:r w:rsidR="00FA4FF6" w:rsidRPr="005E403B">
        <w:rPr>
          <w:lang w:val="es-CR"/>
        </w:rPr>
        <w:t>.</w:t>
      </w:r>
      <w:r w:rsidR="0039067D" w:rsidRPr="005E403B">
        <w:rPr>
          <w:lang w:val="es-CR"/>
        </w:rPr>
        <w:t xml:space="preserve"> </w:t>
      </w:r>
    </w:p>
    <w:p w:rsidR="00BA484E" w:rsidRPr="005E403B" w:rsidRDefault="00BA484E" w:rsidP="006066BD">
      <w:pPr>
        <w:pStyle w:val="ListParagraph"/>
        <w:widowControl w:val="0"/>
        <w:tabs>
          <w:tab w:val="left" w:pos="567"/>
        </w:tabs>
        <w:autoSpaceDE w:val="0"/>
        <w:autoSpaceDN w:val="0"/>
        <w:adjustRightInd w:val="0"/>
        <w:spacing w:after="0"/>
        <w:ind w:left="0" w:right="22"/>
        <w:contextualSpacing/>
      </w:pPr>
    </w:p>
    <w:p w:rsidR="00BA484E" w:rsidRPr="005E403B" w:rsidRDefault="00933483" w:rsidP="004F3266">
      <w:pPr>
        <w:pStyle w:val="ListParagraph"/>
        <w:widowControl w:val="0"/>
        <w:numPr>
          <w:ilvl w:val="0"/>
          <w:numId w:val="37"/>
        </w:numPr>
        <w:tabs>
          <w:tab w:val="left" w:pos="567"/>
        </w:tabs>
        <w:autoSpaceDE w:val="0"/>
        <w:autoSpaceDN w:val="0"/>
        <w:adjustRightInd w:val="0"/>
        <w:spacing w:after="0"/>
        <w:ind w:left="0" w:right="22" w:firstLine="0"/>
        <w:contextualSpacing/>
        <w:rPr>
          <w:rFonts w:eastAsia="Times New Roman" w:cs="Verdana"/>
          <w:szCs w:val="20"/>
          <w:lang w:val="es-CL" w:eastAsia="en-US"/>
        </w:rPr>
      </w:pPr>
      <w:r w:rsidRPr="005E403B">
        <w:rPr>
          <w:rFonts w:eastAsia="Times New Roman" w:cs="Verdana"/>
          <w:szCs w:val="20"/>
          <w:lang w:val="es-CL" w:eastAsia="en-US"/>
        </w:rPr>
        <w:t>Esta</w:t>
      </w:r>
      <w:r w:rsidRPr="005E403B">
        <w:t xml:space="preserve"> Presidencia estima que el peritaje de </w:t>
      </w:r>
      <w:r w:rsidR="0039067D" w:rsidRPr="005E403B">
        <w:t>Alberto Bovino</w:t>
      </w:r>
      <w:r w:rsidRPr="005E403B">
        <w:t xml:space="preserve"> resulta relevante para el orden público interamericano, debido a que implica un análisis de estándares internacionales </w:t>
      </w:r>
      <w:r w:rsidR="00581110" w:rsidRPr="005E403B">
        <w:t xml:space="preserve">sobre el </w:t>
      </w:r>
      <w:r w:rsidR="00BC3EA8" w:rsidRPr="005E403B">
        <w:t xml:space="preserve">derecho a recurrir el fallo y las obligaciones convencionales que </w:t>
      </w:r>
      <w:r w:rsidR="00BC3EA8" w:rsidRPr="005E403B">
        <w:lastRenderedPageBreak/>
        <w:t>implica para los Estados Partes de la Convención Americana de Derechos</w:t>
      </w:r>
      <w:r w:rsidR="00734AAE" w:rsidRPr="005E403B">
        <w:t xml:space="preserve"> Humanos, siendo que el objeto de la declaración del perito propuesto transciende los intereses específicos de las partes en el proceso y podría tener un impacto sobre situaciones que se presenten en otros Estados Parte de la Convención</w:t>
      </w:r>
      <w:r w:rsidR="00AF153C">
        <w:t>,</w:t>
      </w:r>
      <w:r w:rsidR="00734AAE" w:rsidRPr="005E403B">
        <w:t xml:space="preserve"> contribuyendo a fortalecer las capacidades de protección del sistema interamericano de Derechos Humanos</w:t>
      </w:r>
      <w:r w:rsidR="00734AAE" w:rsidRPr="005E403B">
        <w:rPr>
          <w:rStyle w:val="FootnoteReference"/>
        </w:rPr>
        <w:footnoteReference w:id="9"/>
      </w:r>
      <w:r w:rsidR="00581110" w:rsidRPr="005E403B">
        <w:t>.</w:t>
      </w:r>
      <w:r w:rsidR="00B36E60" w:rsidRPr="005E403B">
        <w:t xml:space="preserve"> As</w:t>
      </w:r>
      <w:r w:rsidR="00581110" w:rsidRPr="005E403B">
        <w:t>i</w:t>
      </w:r>
      <w:r w:rsidR="00B36E60" w:rsidRPr="005E403B">
        <w:t xml:space="preserve">mismo, el peritaje de Juan Pablo </w:t>
      </w:r>
      <w:proofErr w:type="spellStart"/>
      <w:r w:rsidR="00B36E60" w:rsidRPr="005E403B">
        <w:t>Gomara</w:t>
      </w:r>
      <w:proofErr w:type="spellEnd"/>
      <w:r w:rsidR="00B36E60" w:rsidRPr="005E403B">
        <w:t xml:space="preserve"> también es relevante para el orden público interamericano de los derechos humanos en tanto los estándares </w:t>
      </w:r>
      <w:r w:rsidR="00581110" w:rsidRPr="005E403B">
        <w:t xml:space="preserve">sobre el acceso al agua potable </w:t>
      </w:r>
      <w:r w:rsidR="007E1930" w:rsidRPr="005E403B">
        <w:t>de los privados de libertad</w:t>
      </w:r>
      <w:r w:rsidR="001A0EE9" w:rsidRPr="005E403B">
        <w:t xml:space="preserve"> trascienden el interés del caso</w:t>
      </w:r>
      <w:r w:rsidR="00071A70" w:rsidRPr="005E403B">
        <w:t xml:space="preserve"> y el desarrollo jurisprudencial existente</w:t>
      </w:r>
      <w:r w:rsidRPr="005E403B">
        <w:rPr>
          <w:rStyle w:val="FootnoteReference"/>
        </w:rPr>
        <w:footnoteReference w:id="10"/>
      </w:r>
      <w:r w:rsidRPr="005E403B">
        <w:t>.</w:t>
      </w:r>
      <w:r w:rsidR="006B5F5D" w:rsidRPr="005E403B">
        <w:t xml:space="preserve"> </w:t>
      </w:r>
    </w:p>
    <w:p w:rsidR="00A97AF0" w:rsidRPr="005E403B" w:rsidRDefault="00A97AF0" w:rsidP="006066BD">
      <w:pPr>
        <w:pStyle w:val="ListParagraph"/>
        <w:widowControl w:val="0"/>
        <w:tabs>
          <w:tab w:val="left" w:pos="567"/>
        </w:tabs>
        <w:autoSpaceDE w:val="0"/>
        <w:autoSpaceDN w:val="0"/>
        <w:adjustRightInd w:val="0"/>
        <w:spacing w:after="0"/>
        <w:ind w:left="0" w:right="22"/>
        <w:contextualSpacing/>
      </w:pPr>
    </w:p>
    <w:p w:rsidR="00124AD1" w:rsidRPr="005E403B" w:rsidRDefault="00C51C8C" w:rsidP="00071A70">
      <w:pPr>
        <w:pStyle w:val="ListParagraph"/>
        <w:widowControl w:val="0"/>
        <w:numPr>
          <w:ilvl w:val="0"/>
          <w:numId w:val="37"/>
        </w:numPr>
        <w:tabs>
          <w:tab w:val="left" w:pos="567"/>
        </w:tabs>
        <w:autoSpaceDE w:val="0"/>
        <w:autoSpaceDN w:val="0"/>
        <w:adjustRightInd w:val="0"/>
        <w:spacing w:after="0"/>
        <w:ind w:left="0" w:right="22" w:firstLine="0"/>
        <w:contextualSpacing/>
      </w:pPr>
      <w:r w:rsidRPr="005E403B">
        <w:t>En consecuencia</w:t>
      </w:r>
      <w:r w:rsidR="00EE40DD" w:rsidRPr="005E403B">
        <w:t xml:space="preserve">, esta Presidencia </w:t>
      </w:r>
      <w:r w:rsidR="00933483" w:rsidRPr="005E403B">
        <w:t xml:space="preserve">admite </w:t>
      </w:r>
      <w:r w:rsidR="00344CB5" w:rsidRPr="005E403B">
        <w:t xml:space="preserve">los peritajes ofrecidos por la Comisión de Alberto Bovino y Juan Pablo </w:t>
      </w:r>
      <w:proofErr w:type="spellStart"/>
      <w:r w:rsidR="00344CB5" w:rsidRPr="005E403B">
        <w:t>Gomara</w:t>
      </w:r>
      <w:proofErr w:type="spellEnd"/>
      <w:r w:rsidR="00933483" w:rsidRPr="005E403B">
        <w:t xml:space="preserve"> según el objeto y modalidad determinados en la parte resolutiva de esta decisión.</w:t>
      </w:r>
    </w:p>
    <w:p w:rsidR="00284C2B" w:rsidRPr="005E403B" w:rsidRDefault="00284C2B" w:rsidP="004F3266">
      <w:pPr>
        <w:pStyle w:val="ListParagraph"/>
        <w:widowControl w:val="0"/>
        <w:tabs>
          <w:tab w:val="left" w:pos="567"/>
        </w:tabs>
        <w:autoSpaceDE w:val="0"/>
        <w:autoSpaceDN w:val="0"/>
        <w:adjustRightInd w:val="0"/>
        <w:spacing w:after="0"/>
        <w:ind w:left="360" w:right="22"/>
        <w:contextualSpacing/>
        <w:rPr>
          <w:rFonts w:eastAsia="Times New Roman" w:cs="Verdana"/>
          <w:szCs w:val="20"/>
          <w:lang w:val="es-CL" w:eastAsia="en-US"/>
        </w:rPr>
      </w:pPr>
    </w:p>
    <w:p w:rsidR="00284C2B" w:rsidRPr="005E403B" w:rsidRDefault="007B4BF8" w:rsidP="0041276B">
      <w:pPr>
        <w:pStyle w:val="Heading1"/>
        <w:numPr>
          <w:ilvl w:val="0"/>
          <w:numId w:val="19"/>
        </w:numPr>
        <w:spacing w:before="0"/>
        <w:ind w:hanging="720"/>
      </w:pPr>
      <w:r w:rsidRPr="005E403B">
        <w:t>Solicitud de SIPDH</w:t>
      </w:r>
      <w:r w:rsidR="00124AD1" w:rsidRPr="005E403B">
        <w:t xml:space="preserve"> de sustitución de </w:t>
      </w:r>
      <w:r w:rsidR="00284C2B" w:rsidRPr="005E403B">
        <w:t>la declaración de un</w:t>
      </w:r>
      <w:r w:rsidR="00AB2674">
        <w:t xml:space="preserve"> </w:t>
      </w:r>
      <w:r w:rsidR="00AB2674" w:rsidRPr="00AB2674">
        <w:t>peticionario</w:t>
      </w:r>
      <w:r w:rsidR="00284C2B" w:rsidRPr="005E403B">
        <w:t xml:space="preserve"> fallecid</w:t>
      </w:r>
      <w:r w:rsidR="00AB2674">
        <w:t>o</w:t>
      </w:r>
      <w:r w:rsidR="00284C2B" w:rsidRPr="005E403B">
        <w:t xml:space="preserve"> </w:t>
      </w:r>
    </w:p>
    <w:p w:rsidR="007B4BF8" w:rsidRPr="005E403B" w:rsidRDefault="007B4BF8" w:rsidP="004F3266">
      <w:pPr>
        <w:pStyle w:val="Heading1"/>
        <w:spacing w:before="0"/>
        <w:ind w:left="720"/>
      </w:pPr>
    </w:p>
    <w:p w:rsidR="0041276B" w:rsidRPr="0041276B" w:rsidRDefault="007B4BF8" w:rsidP="0041276B">
      <w:pPr>
        <w:pStyle w:val="ListParagraph"/>
        <w:widowControl w:val="0"/>
        <w:numPr>
          <w:ilvl w:val="0"/>
          <w:numId w:val="37"/>
        </w:numPr>
        <w:tabs>
          <w:tab w:val="left" w:pos="567"/>
        </w:tabs>
        <w:autoSpaceDE w:val="0"/>
        <w:autoSpaceDN w:val="0"/>
        <w:adjustRightInd w:val="0"/>
        <w:spacing w:after="0"/>
        <w:ind w:left="0" w:right="22" w:firstLine="0"/>
        <w:contextualSpacing/>
        <w:rPr>
          <w:rFonts w:eastAsia="Times New Roman" w:cs="Verdana"/>
          <w:b/>
          <w:szCs w:val="20"/>
          <w:lang w:val="es-CL" w:eastAsia="en-US"/>
        </w:rPr>
      </w:pPr>
      <w:r w:rsidRPr="005E403B">
        <w:rPr>
          <w:szCs w:val="20"/>
        </w:rPr>
        <w:t xml:space="preserve">En su escrito de solicitudes y argumentos </w:t>
      </w:r>
      <w:r w:rsidRPr="000005B8">
        <w:rPr>
          <w:b/>
          <w:i/>
          <w:szCs w:val="20"/>
        </w:rPr>
        <w:t>SIPDH</w:t>
      </w:r>
      <w:r w:rsidR="00C73465" w:rsidRPr="005E403B">
        <w:rPr>
          <w:szCs w:val="20"/>
        </w:rPr>
        <w:t xml:space="preserve"> </w:t>
      </w:r>
      <w:r w:rsidR="001A0EE9" w:rsidRPr="005E403B">
        <w:rPr>
          <w:szCs w:val="20"/>
        </w:rPr>
        <w:t xml:space="preserve">ofreció </w:t>
      </w:r>
      <w:r w:rsidR="00C73465" w:rsidRPr="005E403B">
        <w:rPr>
          <w:szCs w:val="20"/>
        </w:rPr>
        <w:t xml:space="preserve">la declaración </w:t>
      </w:r>
      <w:r w:rsidR="001126FF" w:rsidRPr="005E403B">
        <w:rPr>
          <w:szCs w:val="20"/>
        </w:rPr>
        <w:t xml:space="preserve">de </w:t>
      </w:r>
      <w:proofErr w:type="spellStart"/>
      <w:r w:rsidR="00C73465" w:rsidRPr="005E403B">
        <w:rPr>
          <w:szCs w:val="20"/>
        </w:rPr>
        <w:t>Manfred</w:t>
      </w:r>
      <w:proofErr w:type="spellEnd"/>
      <w:r w:rsidR="00C73465" w:rsidRPr="005E403B">
        <w:rPr>
          <w:szCs w:val="20"/>
        </w:rPr>
        <w:t xml:space="preserve"> </w:t>
      </w:r>
      <w:proofErr w:type="spellStart"/>
      <w:r w:rsidR="00C73465" w:rsidRPr="005E403B">
        <w:rPr>
          <w:szCs w:val="20"/>
        </w:rPr>
        <w:t>Amrhein</w:t>
      </w:r>
      <w:proofErr w:type="spellEnd"/>
      <w:r w:rsidR="00C73465" w:rsidRPr="005E403B">
        <w:rPr>
          <w:szCs w:val="20"/>
        </w:rPr>
        <w:t xml:space="preserve"> Pinto en su </w:t>
      </w:r>
      <w:r w:rsidR="00C73465" w:rsidRPr="005E403B">
        <w:t>calidad</w:t>
      </w:r>
      <w:r w:rsidR="00C73465" w:rsidRPr="005E403B">
        <w:rPr>
          <w:szCs w:val="20"/>
        </w:rPr>
        <w:t xml:space="preserve"> de </w:t>
      </w:r>
      <w:r w:rsidR="00AB2674">
        <w:t xml:space="preserve">peticionario </w:t>
      </w:r>
      <w:r w:rsidR="00C73465" w:rsidRPr="005E403B">
        <w:rPr>
          <w:szCs w:val="20"/>
        </w:rPr>
        <w:t xml:space="preserve">para que “explicara de manera amplia sobre la afectación </w:t>
      </w:r>
      <w:r w:rsidR="00C73465" w:rsidRPr="0041276B">
        <w:t>jurídica</w:t>
      </w:r>
      <w:r w:rsidR="00C73465" w:rsidRPr="005E403B">
        <w:rPr>
          <w:szCs w:val="20"/>
        </w:rPr>
        <w:t>, moral y física que tuvieron que experimentar él y sus compañeros de</w:t>
      </w:r>
      <w:r w:rsidR="00D27F97">
        <w:rPr>
          <w:szCs w:val="20"/>
        </w:rPr>
        <w:t xml:space="preserve"> la</w:t>
      </w:r>
      <w:r w:rsidR="00C73465" w:rsidRPr="005E403B">
        <w:rPr>
          <w:szCs w:val="20"/>
        </w:rPr>
        <w:t xml:space="preserve"> Junta directiva del Banco Anglo a lo largo de 20 años de litigio nacional e internacional”</w:t>
      </w:r>
      <w:r w:rsidR="00EB72EF">
        <w:rPr>
          <w:szCs w:val="20"/>
        </w:rPr>
        <w:t>.</w:t>
      </w:r>
      <w:r w:rsidR="001126FF" w:rsidRPr="005E403B">
        <w:rPr>
          <w:szCs w:val="20"/>
        </w:rPr>
        <w:t xml:space="preserve"> </w:t>
      </w:r>
      <w:r w:rsidR="00F43CFC" w:rsidRPr="005E403B">
        <w:rPr>
          <w:szCs w:val="20"/>
          <w:lang w:val="es-MX"/>
        </w:rPr>
        <w:t>En sus observaciones a las listas definitivas de declarantes</w:t>
      </w:r>
      <w:r w:rsidR="000005B8">
        <w:rPr>
          <w:szCs w:val="20"/>
          <w:lang w:val="es-MX"/>
        </w:rPr>
        <w:t>, así como</w:t>
      </w:r>
      <w:r w:rsidR="003C1C44">
        <w:rPr>
          <w:szCs w:val="20"/>
          <w:lang w:val="es-MX"/>
        </w:rPr>
        <w:t xml:space="preserve"> a través de su</w:t>
      </w:r>
      <w:r w:rsidR="000005B8">
        <w:rPr>
          <w:szCs w:val="20"/>
          <w:lang w:val="es-MX"/>
        </w:rPr>
        <w:t xml:space="preserve"> escrito de</w:t>
      </w:r>
      <w:r w:rsidR="00D27F97">
        <w:rPr>
          <w:szCs w:val="20"/>
          <w:lang w:val="es-MX"/>
        </w:rPr>
        <w:t xml:space="preserve"> 30 de junio de 2017</w:t>
      </w:r>
      <w:r w:rsidR="00D1014A">
        <w:rPr>
          <w:szCs w:val="20"/>
          <w:lang w:val="es-MX"/>
        </w:rPr>
        <w:t>,</w:t>
      </w:r>
      <w:r w:rsidR="006E16A8" w:rsidRPr="005E403B">
        <w:rPr>
          <w:szCs w:val="20"/>
          <w:lang w:val="es-MX"/>
        </w:rPr>
        <w:t xml:space="preserve"> </w:t>
      </w:r>
      <w:r w:rsidR="001A0EE9" w:rsidRPr="005E403B">
        <w:rPr>
          <w:szCs w:val="20"/>
        </w:rPr>
        <w:t>SIPDH solicitó a la Corte recibir la declaración de</w:t>
      </w:r>
      <w:r w:rsidR="00AB2674">
        <w:rPr>
          <w:szCs w:val="20"/>
        </w:rPr>
        <w:t xml:space="preserve">l </w:t>
      </w:r>
      <w:r w:rsidR="00AB2674">
        <w:t>peticionario</w:t>
      </w:r>
      <w:r w:rsidR="001A0EE9" w:rsidRPr="005E403B">
        <w:rPr>
          <w:szCs w:val="20"/>
        </w:rPr>
        <w:t xml:space="preserve"> </w:t>
      </w:r>
      <w:r w:rsidR="001126FF" w:rsidRPr="005E403B">
        <w:rPr>
          <w:szCs w:val="20"/>
        </w:rPr>
        <w:t xml:space="preserve">Carlos </w:t>
      </w:r>
      <w:proofErr w:type="spellStart"/>
      <w:r w:rsidR="001126FF" w:rsidRPr="005E403B">
        <w:rPr>
          <w:szCs w:val="20"/>
        </w:rPr>
        <w:t>Osborne</w:t>
      </w:r>
      <w:proofErr w:type="spellEnd"/>
      <w:r w:rsidR="001126FF" w:rsidRPr="005E403B">
        <w:rPr>
          <w:szCs w:val="20"/>
        </w:rPr>
        <w:t xml:space="preserve"> Escalante en sustitución </w:t>
      </w:r>
      <w:r w:rsidR="001A0EE9" w:rsidRPr="005E403B">
        <w:rPr>
          <w:szCs w:val="20"/>
        </w:rPr>
        <w:t xml:space="preserve">de la del </w:t>
      </w:r>
      <w:r w:rsidR="001126FF" w:rsidRPr="005E403B">
        <w:rPr>
          <w:szCs w:val="20"/>
        </w:rPr>
        <w:t xml:space="preserve">señor </w:t>
      </w:r>
      <w:proofErr w:type="spellStart"/>
      <w:r w:rsidR="001126FF" w:rsidRPr="005E403B">
        <w:rPr>
          <w:szCs w:val="20"/>
        </w:rPr>
        <w:t>Manfred</w:t>
      </w:r>
      <w:proofErr w:type="spellEnd"/>
      <w:r w:rsidR="001126FF" w:rsidRPr="005E403B">
        <w:rPr>
          <w:szCs w:val="20"/>
        </w:rPr>
        <w:t xml:space="preserve"> </w:t>
      </w:r>
      <w:proofErr w:type="spellStart"/>
      <w:r w:rsidR="001126FF" w:rsidRPr="005E403B">
        <w:rPr>
          <w:szCs w:val="20"/>
        </w:rPr>
        <w:t>Amrhein</w:t>
      </w:r>
      <w:proofErr w:type="spellEnd"/>
      <w:r w:rsidR="001126FF" w:rsidRPr="005E403B">
        <w:rPr>
          <w:szCs w:val="20"/>
        </w:rPr>
        <w:t xml:space="preserve"> Pinto </w:t>
      </w:r>
      <w:r w:rsidR="001A0EE9" w:rsidRPr="005E403B">
        <w:rPr>
          <w:szCs w:val="20"/>
        </w:rPr>
        <w:t>y con el mismo objeto</w:t>
      </w:r>
      <w:r w:rsidR="00C46BF3" w:rsidRPr="005E403B">
        <w:rPr>
          <w:szCs w:val="20"/>
        </w:rPr>
        <w:t>, con motivo del fallecimiento de este último en el año 2016</w:t>
      </w:r>
      <w:r w:rsidR="001A0EE9" w:rsidRPr="005E403B">
        <w:rPr>
          <w:szCs w:val="20"/>
        </w:rPr>
        <w:t xml:space="preserve">. </w:t>
      </w:r>
    </w:p>
    <w:p w:rsidR="0041276B" w:rsidRPr="0041276B" w:rsidRDefault="0041276B" w:rsidP="0041276B">
      <w:pPr>
        <w:pStyle w:val="ListParagraph"/>
        <w:widowControl w:val="0"/>
        <w:tabs>
          <w:tab w:val="left" w:pos="567"/>
        </w:tabs>
        <w:autoSpaceDE w:val="0"/>
        <w:autoSpaceDN w:val="0"/>
        <w:adjustRightInd w:val="0"/>
        <w:spacing w:after="0"/>
        <w:ind w:left="0" w:right="22"/>
        <w:contextualSpacing/>
        <w:rPr>
          <w:rFonts w:eastAsia="Times New Roman" w:cs="Verdana"/>
          <w:b/>
          <w:szCs w:val="20"/>
          <w:lang w:val="es-CL" w:eastAsia="en-US"/>
        </w:rPr>
      </w:pPr>
    </w:p>
    <w:p w:rsidR="00F43CFC" w:rsidRPr="005E403B" w:rsidRDefault="00D1014A" w:rsidP="0041276B">
      <w:pPr>
        <w:pStyle w:val="ListParagraph"/>
        <w:widowControl w:val="0"/>
        <w:numPr>
          <w:ilvl w:val="0"/>
          <w:numId w:val="40"/>
        </w:numPr>
        <w:tabs>
          <w:tab w:val="left" w:pos="567"/>
        </w:tabs>
        <w:autoSpaceDE w:val="0"/>
        <w:autoSpaceDN w:val="0"/>
        <w:adjustRightInd w:val="0"/>
        <w:spacing w:after="0"/>
        <w:ind w:left="0" w:right="22" w:firstLine="0"/>
        <w:contextualSpacing/>
        <w:rPr>
          <w:rFonts w:eastAsia="Times New Roman" w:cs="Verdana"/>
          <w:b/>
          <w:szCs w:val="20"/>
          <w:lang w:val="es-CL" w:eastAsia="en-US"/>
        </w:rPr>
      </w:pPr>
      <w:r>
        <w:t xml:space="preserve">La </w:t>
      </w:r>
      <w:r w:rsidRPr="00D1014A">
        <w:rPr>
          <w:b/>
          <w:i/>
        </w:rPr>
        <w:t>Comisión</w:t>
      </w:r>
      <w:r>
        <w:t xml:space="preserve"> consideró procedente la sustitución, mientras que las partes no presentaron observaciones al respecto. </w:t>
      </w:r>
    </w:p>
    <w:p w:rsidR="00F43CFC" w:rsidRPr="005E403B" w:rsidRDefault="00F43CFC" w:rsidP="006066BD">
      <w:pPr>
        <w:pStyle w:val="ListParagraph"/>
        <w:widowControl w:val="0"/>
        <w:tabs>
          <w:tab w:val="left" w:pos="567"/>
        </w:tabs>
        <w:autoSpaceDE w:val="0"/>
        <w:autoSpaceDN w:val="0"/>
        <w:adjustRightInd w:val="0"/>
        <w:spacing w:after="0"/>
        <w:ind w:left="0" w:right="22"/>
        <w:contextualSpacing/>
        <w:rPr>
          <w:rFonts w:eastAsia="Times New Roman" w:cs="Verdana"/>
          <w:szCs w:val="20"/>
          <w:lang w:val="es-CL" w:eastAsia="en-US"/>
        </w:rPr>
      </w:pPr>
    </w:p>
    <w:p w:rsidR="00647950" w:rsidRPr="005E403B" w:rsidRDefault="00647950" w:rsidP="004F3266">
      <w:pPr>
        <w:pStyle w:val="ListParagraph"/>
        <w:widowControl w:val="0"/>
        <w:numPr>
          <w:ilvl w:val="0"/>
          <w:numId w:val="40"/>
        </w:numPr>
        <w:tabs>
          <w:tab w:val="left" w:pos="567"/>
        </w:tabs>
        <w:autoSpaceDE w:val="0"/>
        <w:autoSpaceDN w:val="0"/>
        <w:adjustRightInd w:val="0"/>
        <w:spacing w:after="0"/>
        <w:ind w:left="0" w:right="22" w:firstLine="0"/>
        <w:contextualSpacing/>
        <w:rPr>
          <w:rFonts w:eastAsia="Times New Roman" w:cs="Verdana"/>
          <w:szCs w:val="20"/>
          <w:lang w:val="es-CL" w:eastAsia="en-US"/>
        </w:rPr>
      </w:pPr>
      <w:r w:rsidRPr="005E403B">
        <w:rPr>
          <w:rFonts w:eastAsia="Times New Roman" w:cs="Verdana"/>
          <w:szCs w:val="20"/>
          <w:lang w:val="es-CL" w:eastAsia="en-US"/>
        </w:rPr>
        <w:t xml:space="preserve">De conformidad con el </w:t>
      </w:r>
      <w:r w:rsidRPr="005E403B">
        <w:t>artículo 49 del Reglamento, “[e]</w:t>
      </w:r>
      <w:proofErr w:type="spellStart"/>
      <w:r w:rsidRPr="005E403B">
        <w:t>xcepcionalmente</w:t>
      </w:r>
      <w:proofErr w:type="spellEnd"/>
      <w:r w:rsidRPr="005E403B">
        <w:t>, frente a solicitud fundada y oído el parecer de la contraparte, la Corte podrá aceptar la sustitución de un declarante siempre que se individualice al sustituto y se respete el objeto de la declaración, testimonio o peritaje originalmente ofrecido”.</w:t>
      </w:r>
    </w:p>
    <w:p w:rsidR="003A4729" w:rsidRPr="005E403B" w:rsidRDefault="003A4729" w:rsidP="006066BD">
      <w:pPr>
        <w:pStyle w:val="ListParagraph"/>
        <w:widowControl w:val="0"/>
        <w:tabs>
          <w:tab w:val="left" w:pos="567"/>
        </w:tabs>
        <w:autoSpaceDE w:val="0"/>
        <w:autoSpaceDN w:val="0"/>
        <w:adjustRightInd w:val="0"/>
        <w:spacing w:after="0"/>
        <w:ind w:left="360" w:right="22"/>
        <w:contextualSpacing/>
        <w:rPr>
          <w:rFonts w:eastAsia="Times New Roman" w:cs="Verdana"/>
          <w:szCs w:val="20"/>
          <w:lang w:val="es-CL" w:eastAsia="en-US"/>
        </w:rPr>
      </w:pPr>
    </w:p>
    <w:p w:rsidR="007B4BF8" w:rsidRPr="005E403B" w:rsidRDefault="00C46BF3" w:rsidP="006066BD">
      <w:pPr>
        <w:pStyle w:val="ListParagraph"/>
        <w:widowControl w:val="0"/>
        <w:numPr>
          <w:ilvl w:val="0"/>
          <w:numId w:val="40"/>
        </w:numPr>
        <w:tabs>
          <w:tab w:val="left" w:pos="567"/>
        </w:tabs>
        <w:autoSpaceDE w:val="0"/>
        <w:autoSpaceDN w:val="0"/>
        <w:adjustRightInd w:val="0"/>
        <w:spacing w:after="0"/>
        <w:ind w:left="0" w:right="22" w:firstLine="0"/>
        <w:contextualSpacing/>
        <w:rPr>
          <w:rFonts w:eastAsia="Times New Roman" w:cs="Verdana"/>
          <w:szCs w:val="20"/>
          <w:lang w:val="es-CL" w:eastAsia="en-US"/>
        </w:rPr>
      </w:pPr>
      <w:r w:rsidRPr="005E403B">
        <w:rPr>
          <w:lang w:val="es-CL"/>
        </w:rPr>
        <w:t>E</w:t>
      </w:r>
      <w:proofErr w:type="spellStart"/>
      <w:r w:rsidR="001126FF" w:rsidRPr="005E403B">
        <w:rPr>
          <w:szCs w:val="20"/>
        </w:rPr>
        <w:t>sta</w:t>
      </w:r>
      <w:proofErr w:type="spellEnd"/>
      <w:r w:rsidR="001126FF" w:rsidRPr="005E403B">
        <w:rPr>
          <w:szCs w:val="20"/>
        </w:rPr>
        <w:t xml:space="preserve"> </w:t>
      </w:r>
      <w:r w:rsidR="003A4729" w:rsidRPr="005E403B">
        <w:rPr>
          <w:szCs w:val="20"/>
        </w:rPr>
        <w:t>P</w:t>
      </w:r>
      <w:r w:rsidR="001126FF" w:rsidRPr="005E403B">
        <w:rPr>
          <w:szCs w:val="20"/>
        </w:rPr>
        <w:t>residencia</w:t>
      </w:r>
      <w:r w:rsidRPr="005E403B">
        <w:rPr>
          <w:szCs w:val="20"/>
        </w:rPr>
        <w:t xml:space="preserve"> ha señalado reiteradamente que</w:t>
      </w:r>
      <w:r w:rsidR="003A4729" w:rsidRPr="005E403B">
        <w:rPr>
          <w:szCs w:val="20"/>
        </w:rPr>
        <w:t xml:space="preserve"> </w:t>
      </w:r>
      <w:r w:rsidR="001126FF" w:rsidRPr="005E403B">
        <w:rPr>
          <w:szCs w:val="20"/>
        </w:rPr>
        <w:t>las declaraciones de l</w:t>
      </w:r>
      <w:r w:rsidR="00AB2674">
        <w:rPr>
          <w:szCs w:val="20"/>
        </w:rPr>
        <w:t>o</w:t>
      </w:r>
      <w:r w:rsidR="001126FF" w:rsidRPr="005E403B">
        <w:rPr>
          <w:szCs w:val="20"/>
        </w:rPr>
        <w:t>s</w:t>
      </w:r>
      <w:r w:rsidR="00AB2674">
        <w:rPr>
          <w:szCs w:val="20"/>
        </w:rPr>
        <w:t xml:space="preserve"> </w:t>
      </w:r>
      <w:r w:rsidR="00AB2674">
        <w:t>peticionarios</w:t>
      </w:r>
      <w:r w:rsidR="001126FF" w:rsidRPr="005E403B">
        <w:rPr>
          <w:szCs w:val="20"/>
        </w:rPr>
        <w:t xml:space="preserve"> y otras personas con un interés directo en el caso son útiles en la medida en que pueden proporcionar mayor información sobre las alegadas violaciones y sus consecuencias</w:t>
      </w:r>
      <w:r w:rsidRPr="005E403B">
        <w:rPr>
          <w:rStyle w:val="FootnoteReference"/>
          <w:szCs w:val="20"/>
        </w:rPr>
        <w:footnoteReference w:id="11"/>
      </w:r>
      <w:r w:rsidRPr="005E403B">
        <w:rPr>
          <w:szCs w:val="20"/>
        </w:rPr>
        <w:t>. Así, c</w:t>
      </w:r>
      <w:r w:rsidR="001126FF" w:rsidRPr="005E403B">
        <w:rPr>
          <w:szCs w:val="20"/>
        </w:rPr>
        <w:t>onsciente de que la sustitución</w:t>
      </w:r>
      <w:r w:rsidR="00823B51">
        <w:rPr>
          <w:szCs w:val="20"/>
        </w:rPr>
        <w:t xml:space="preserve"> solicitada</w:t>
      </w:r>
      <w:r w:rsidR="001126FF" w:rsidRPr="005E403B">
        <w:rPr>
          <w:szCs w:val="20"/>
        </w:rPr>
        <w:t xml:space="preserve"> deviene de la muerte </w:t>
      </w:r>
      <w:r w:rsidR="00616DD9" w:rsidRPr="005E403B">
        <w:rPr>
          <w:szCs w:val="20"/>
        </w:rPr>
        <w:t>del</w:t>
      </w:r>
      <w:r w:rsidR="00823B51">
        <w:rPr>
          <w:szCs w:val="20"/>
        </w:rPr>
        <w:t xml:space="preserve"> señor </w:t>
      </w:r>
      <w:proofErr w:type="spellStart"/>
      <w:r w:rsidR="00DF7876">
        <w:rPr>
          <w:szCs w:val="20"/>
        </w:rPr>
        <w:t>Manfred</w:t>
      </w:r>
      <w:proofErr w:type="spellEnd"/>
      <w:r w:rsidR="00823B51">
        <w:rPr>
          <w:szCs w:val="20"/>
        </w:rPr>
        <w:t xml:space="preserve"> </w:t>
      </w:r>
      <w:proofErr w:type="spellStart"/>
      <w:r w:rsidR="00823B51">
        <w:rPr>
          <w:szCs w:val="20"/>
        </w:rPr>
        <w:t>Amrhein</w:t>
      </w:r>
      <w:proofErr w:type="spellEnd"/>
      <w:r w:rsidR="00616DD9" w:rsidRPr="005E403B">
        <w:rPr>
          <w:szCs w:val="20"/>
        </w:rPr>
        <w:t xml:space="preserve"> en </w:t>
      </w:r>
      <w:r w:rsidRPr="005E403B">
        <w:rPr>
          <w:szCs w:val="20"/>
        </w:rPr>
        <w:t>el año</w:t>
      </w:r>
      <w:r w:rsidR="00616DD9" w:rsidRPr="005E403B">
        <w:rPr>
          <w:szCs w:val="20"/>
        </w:rPr>
        <w:t xml:space="preserve"> 2016</w:t>
      </w:r>
      <w:r w:rsidR="003A4729" w:rsidRPr="005E403B">
        <w:rPr>
          <w:szCs w:val="20"/>
        </w:rPr>
        <w:t xml:space="preserve">, </w:t>
      </w:r>
      <w:r w:rsidR="00616DD9" w:rsidRPr="005E403B">
        <w:rPr>
          <w:szCs w:val="20"/>
        </w:rPr>
        <w:t xml:space="preserve">de conformidad con el artículo 49 </w:t>
      </w:r>
      <w:r w:rsidR="003A4729" w:rsidRPr="005E403B">
        <w:rPr>
          <w:szCs w:val="20"/>
        </w:rPr>
        <w:t xml:space="preserve">del Reglamento, esta Presidencia </w:t>
      </w:r>
      <w:r w:rsidR="007B4BF8" w:rsidRPr="005E403B">
        <w:t xml:space="preserve">admite la sustitución </w:t>
      </w:r>
      <w:r w:rsidR="00616DD9" w:rsidRPr="005E403B">
        <w:t xml:space="preserve">de la declaración de </w:t>
      </w:r>
      <w:r w:rsidR="00823B51">
        <w:t>dich</w:t>
      </w:r>
      <w:r w:rsidR="00AB2674">
        <w:t>o peticionario</w:t>
      </w:r>
      <w:r w:rsidR="003A4729" w:rsidRPr="005E403B">
        <w:rPr>
          <w:rStyle w:val="FootnoteReference"/>
        </w:rPr>
        <w:footnoteReference w:id="12"/>
      </w:r>
      <w:r w:rsidR="00616DD9" w:rsidRPr="005E403B">
        <w:t xml:space="preserve"> por </w:t>
      </w:r>
      <w:r w:rsidR="003A4729" w:rsidRPr="005E403B">
        <w:t xml:space="preserve">la de </w:t>
      </w:r>
      <w:r w:rsidR="00616DD9" w:rsidRPr="005E403B">
        <w:t xml:space="preserve">Carlos </w:t>
      </w:r>
      <w:proofErr w:type="spellStart"/>
      <w:r w:rsidR="00616DD9" w:rsidRPr="005E403B">
        <w:t>Osborne</w:t>
      </w:r>
      <w:proofErr w:type="spellEnd"/>
      <w:r w:rsidR="00D458C8">
        <w:t xml:space="preserve"> Escalante</w:t>
      </w:r>
      <w:r w:rsidR="00616DD9" w:rsidRPr="005E403B">
        <w:t xml:space="preserve"> </w:t>
      </w:r>
      <w:r w:rsidR="00616DD9" w:rsidRPr="005E403B">
        <w:lastRenderedPageBreak/>
        <w:t>según el objeto y modalidad determinados en la parte resolutiva de esta decisión.</w:t>
      </w:r>
      <w:r w:rsidR="00A97AF0" w:rsidRPr="005E403B">
        <w:t xml:space="preserve"> </w:t>
      </w:r>
    </w:p>
    <w:p w:rsidR="00284C2B" w:rsidRPr="005E403B" w:rsidRDefault="00284C2B" w:rsidP="004F3266">
      <w:pPr>
        <w:pStyle w:val="ListParagraph"/>
        <w:widowControl w:val="0"/>
        <w:tabs>
          <w:tab w:val="left" w:pos="567"/>
        </w:tabs>
        <w:autoSpaceDE w:val="0"/>
        <w:autoSpaceDN w:val="0"/>
        <w:adjustRightInd w:val="0"/>
        <w:spacing w:after="0"/>
        <w:ind w:left="0" w:right="22"/>
        <w:contextualSpacing/>
        <w:rPr>
          <w:rFonts w:eastAsia="Times New Roman" w:cs="Verdana"/>
          <w:szCs w:val="20"/>
          <w:lang w:val="es-CL" w:eastAsia="en-US"/>
        </w:rPr>
      </w:pPr>
    </w:p>
    <w:p w:rsidR="00B62BC7" w:rsidRPr="005E403B" w:rsidRDefault="00124AD1" w:rsidP="0041276B">
      <w:pPr>
        <w:pStyle w:val="Heading1"/>
        <w:numPr>
          <w:ilvl w:val="0"/>
          <w:numId w:val="19"/>
        </w:numPr>
        <w:spacing w:before="0"/>
        <w:ind w:hanging="720"/>
      </w:pPr>
      <w:r w:rsidRPr="005E403B">
        <w:t xml:space="preserve">Admisibilidad de </w:t>
      </w:r>
      <w:r w:rsidR="00B62BC7" w:rsidRPr="005E403B">
        <w:t>la declaración de un testigo ofrecido por SIPDH</w:t>
      </w:r>
    </w:p>
    <w:p w:rsidR="00284C2B" w:rsidRPr="005E403B" w:rsidRDefault="00284C2B" w:rsidP="004F3266">
      <w:pPr>
        <w:spacing w:after="0"/>
      </w:pPr>
    </w:p>
    <w:p w:rsidR="00642791" w:rsidRPr="005E403B" w:rsidRDefault="00BC548B" w:rsidP="006066BD">
      <w:pPr>
        <w:pStyle w:val="ListParagraph"/>
        <w:widowControl w:val="0"/>
        <w:numPr>
          <w:ilvl w:val="0"/>
          <w:numId w:val="40"/>
        </w:numPr>
        <w:tabs>
          <w:tab w:val="left" w:pos="567"/>
        </w:tabs>
        <w:autoSpaceDE w:val="0"/>
        <w:autoSpaceDN w:val="0"/>
        <w:adjustRightInd w:val="0"/>
        <w:spacing w:after="0"/>
        <w:ind w:left="0" w:right="22" w:firstLine="0"/>
        <w:contextualSpacing/>
      </w:pPr>
      <w:r w:rsidRPr="005E403B">
        <w:rPr>
          <w:b/>
          <w:i/>
          <w:szCs w:val="20"/>
        </w:rPr>
        <w:t>SIPDH</w:t>
      </w:r>
      <w:r w:rsidRPr="005E403B">
        <w:rPr>
          <w:szCs w:val="20"/>
        </w:rPr>
        <w:t xml:space="preserve"> </w:t>
      </w:r>
      <w:r w:rsidR="00F55974" w:rsidRPr="005E403B">
        <w:rPr>
          <w:szCs w:val="20"/>
        </w:rPr>
        <w:t>ofreció</w:t>
      </w:r>
      <w:r w:rsidRPr="005E403B">
        <w:rPr>
          <w:szCs w:val="20"/>
        </w:rPr>
        <w:t xml:space="preserve"> </w:t>
      </w:r>
      <w:r w:rsidR="003A4729" w:rsidRPr="005E403B">
        <w:rPr>
          <w:szCs w:val="20"/>
        </w:rPr>
        <w:t>al testigo</w:t>
      </w:r>
      <w:r w:rsidRPr="005E403B">
        <w:rPr>
          <w:szCs w:val="20"/>
        </w:rPr>
        <w:t xml:space="preserve"> Francisco Castillo González </w:t>
      </w:r>
      <w:r w:rsidR="003A4729" w:rsidRPr="005E403B">
        <w:rPr>
          <w:szCs w:val="20"/>
        </w:rPr>
        <w:t>para que declare sobre “</w:t>
      </w:r>
      <w:r w:rsidRPr="005E403B">
        <w:rPr>
          <w:szCs w:val="20"/>
        </w:rPr>
        <w:t>los efectos del peculado en el caso del Banco Anglo debido a la cercanía que tuvo en la defensa de ese caso. Explicará las vicisitudes objetivas de la aplicación de esa figura en la práctica forense”</w:t>
      </w:r>
      <w:r w:rsidR="000F7422">
        <w:rPr>
          <w:szCs w:val="20"/>
        </w:rPr>
        <w:t>.</w:t>
      </w:r>
    </w:p>
    <w:p w:rsidR="00642791" w:rsidRPr="005E403B" w:rsidRDefault="00642791" w:rsidP="004F3266">
      <w:pPr>
        <w:pStyle w:val="ListParagraph"/>
        <w:widowControl w:val="0"/>
        <w:tabs>
          <w:tab w:val="left" w:pos="567"/>
        </w:tabs>
        <w:autoSpaceDE w:val="0"/>
        <w:autoSpaceDN w:val="0"/>
        <w:adjustRightInd w:val="0"/>
        <w:spacing w:after="0"/>
        <w:ind w:left="0" w:right="22"/>
        <w:contextualSpacing/>
      </w:pPr>
    </w:p>
    <w:p w:rsidR="00642791" w:rsidRPr="005E403B" w:rsidRDefault="00BC548B" w:rsidP="006066BD">
      <w:pPr>
        <w:pStyle w:val="ListParagraph"/>
        <w:widowControl w:val="0"/>
        <w:numPr>
          <w:ilvl w:val="0"/>
          <w:numId w:val="40"/>
        </w:numPr>
        <w:tabs>
          <w:tab w:val="left" w:pos="567"/>
        </w:tabs>
        <w:autoSpaceDE w:val="0"/>
        <w:autoSpaceDN w:val="0"/>
        <w:adjustRightInd w:val="0"/>
        <w:spacing w:after="0"/>
        <w:ind w:left="0" w:right="22" w:firstLine="0"/>
        <w:contextualSpacing/>
      </w:pPr>
      <w:r w:rsidRPr="005E403B">
        <w:rPr>
          <w:szCs w:val="20"/>
        </w:rPr>
        <w:t xml:space="preserve">El </w:t>
      </w:r>
      <w:r w:rsidRPr="005E403B">
        <w:rPr>
          <w:b/>
          <w:i/>
          <w:szCs w:val="20"/>
        </w:rPr>
        <w:t>Estado</w:t>
      </w:r>
      <w:r w:rsidRPr="005E403B">
        <w:rPr>
          <w:szCs w:val="20"/>
        </w:rPr>
        <w:t xml:space="preserve"> </w:t>
      </w:r>
      <w:r w:rsidR="000E25A9" w:rsidRPr="005E403B">
        <w:rPr>
          <w:szCs w:val="20"/>
        </w:rPr>
        <w:t>se opuso al objeto de la declaración</w:t>
      </w:r>
      <w:r w:rsidRPr="005E403B">
        <w:rPr>
          <w:szCs w:val="20"/>
        </w:rPr>
        <w:t xml:space="preserve"> dicho testigo en razón de que “no se encuentra dentro del objeto de la </w:t>
      </w:r>
      <w:proofErr w:type="spellStart"/>
      <w:r w:rsidR="000E25A9" w:rsidRPr="005E403B">
        <w:rPr>
          <w:szCs w:val="20"/>
        </w:rPr>
        <w:t>litis</w:t>
      </w:r>
      <w:proofErr w:type="spellEnd"/>
      <w:r w:rsidRPr="005E403B">
        <w:rPr>
          <w:szCs w:val="20"/>
        </w:rPr>
        <w:t xml:space="preserve"> en el caso </w:t>
      </w:r>
      <w:proofErr w:type="spellStart"/>
      <w:r w:rsidR="00F618ED" w:rsidRPr="005E403B">
        <w:rPr>
          <w:szCs w:val="20"/>
        </w:rPr>
        <w:t>Amrhein</w:t>
      </w:r>
      <w:proofErr w:type="spellEnd"/>
      <w:r w:rsidR="000E25A9" w:rsidRPr="005E403B">
        <w:rPr>
          <w:szCs w:val="20"/>
        </w:rPr>
        <w:t>. […]</w:t>
      </w:r>
      <w:r w:rsidR="009A0000" w:rsidRPr="005E403B">
        <w:rPr>
          <w:szCs w:val="20"/>
        </w:rPr>
        <w:t xml:space="preserve"> [</w:t>
      </w:r>
      <w:r w:rsidR="000E25A9" w:rsidRPr="005E403B">
        <w:rPr>
          <w:szCs w:val="20"/>
        </w:rPr>
        <w:t>E</w:t>
      </w:r>
      <w:r w:rsidR="009A0000" w:rsidRPr="005E403B">
        <w:rPr>
          <w:szCs w:val="20"/>
        </w:rPr>
        <w:t>]</w:t>
      </w:r>
      <w:r w:rsidRPr="005E403B">
        <w:rPr>
          <w:szCs w:val="20"/>
        </w:rPr>
        <w:t xml:space="preserve">l tema del peculado no se encuentra contemplado en </w:t>
      </w:r>
      <w:r w:rsidR="00E16724" w:rsidRPr="005E403B">
        <w:rPr>
          <w:szCs w:val="20"/>
        </w:rPr>
        <w:t>el objeto</w:t>
      </w:r>
      <w:r w:rsidRPr="005E403B">
        <w:rPr>
          <w:szCs w:val="20"/>
        </w:rPr>
        <w:t xml:space="preserve"> </w:t>
      </w:r>
      <w:r w:rsidR="00F618ED" w:rsidRPr="005E403B">
        <w:rPr>
          <w:szCs w:val="20"/>
        </w:rPr>
        <w:t>establecido por l</w:t>
      </w:r>
      <w:r w:rsidRPr="005E403B">
        <w:rPr>
          <w:szCs w:val="20"/>
        </w:rPr>
        <w:t xml:space="preserve">a </w:t>
      </w:r>
      <w:r w:rsidR="00642791" w:rsidRPr="005E403B">
        <w:rPr>
          <w:szCs w:val="20"/>
        </w:rPr>
        <w:t>[</w:t>
      </w:r>
      <w:r w:rsidR="000E25A9" w:rsidRPr="005E403B">
        <w:rPr>
          <w:szCs w:val="20"/>
        </w:rPr>
        <w:t>Comisión</w:t>
      </w:r>
      <w:r w:rsidR="00642791" w:rsidRPr="005E403B">
        <w:rPr>
          <w:szCs w:val="20"/>
        </w:rPr>
        <w:t>]</w:t>
      </w:r>
      <w:r w:rsidR="000E25A9" w:rsidRPr="005E403B">
        <w:rPr>
          <w:szCs w:val="20"/>
        </w:rPr>
        <w:t xml:space="preserve"> </w:t>
      </w:r>
      <w:r w:rsidRPr="005E403B">
        <w:rPr>
          <w:szCs w:val="20"/>
        </w:rPr>
        <w:t>en su Informe 33/14. El contenido eventu</w:t>
      </w:r>
      <w:r w:rsidR="00F618ED" w:rsidRPr="005E403B">
        <w:rPr>
          <w:szCs w:val="20"/>
        </w:rPr>
        <w:t>al de su declaración vendría a plantear una discusión</w:t>
      </w:r>
      <w:r w:rsidRPr="005E403B">
        <w:rPr>
          <w:szCs w:val="20"/>
        </w:rPr>
        <w:t xml:space="preserve"> de cuarta instancia ante </w:t>
      </w:r>
      <w:r w:rsidR="00F618ED" w:rsidRPr="005E403B">
        <w:rPr>
          <w:szCs w:val="20"/>
        </w:rPr>
        <w:t>l</w:t>
      </w:r>
      <w:r w:rsidRPr="005E403B">
        <w:rPr>
          <w:szCs w:val="20"/>
        </w:rPr>
        <w:t>a Corte</w:t>
      </w:r>
      <w:r w:rsidR="009A0000" w:rsidRPr="005E403B">
        <w:rPr>
          <w:szCs w:val="20"/>
        </w:rPr>
        <w:t>,</w:t>
      </w:r>
      <w:r w:rsidR="00642791" w:rsidRPr="005E403B">
        <w:rPr>
          <w:szCs w:val="20"/>
        </w:rPr>
        <w:t xml:space="preserve"> </w:t>
      </w:r>
      <w:r w:rsidR="009A0000" w:rsidRPr="005E403B">
        <w:rPr>
          <w:szCs w:val="20"/>
        </w:rPr>
        <w:t>[…]</w:t>
      </w:r>
      <w:r w:rsidRPr="005E403B">
        <w:rPr>
          <w:szCs w:val="20"/>
        </w:rPr>
        <w:t xml:space="preserve"> ya que es un aspecto que ha</w:t>
      </w:r>
      <w:r w:rsidR="00F618ED" w:rsidRPr="005E403B">
        <w:rPr>
          <w:szCs w:val="20"/>
        </w:rPr>
        <w:t xml:space="preserve"> </w:t>
      </w:r>
      <w:r w:rsidRPr="005E403B">
        <w:rPr>
          <w:szCs w:val="20"/>
        </w:rPr>
        <w:t>sido debatido y resuelto en instancias</w:t>
      </w:r>
      <w:r w:rsidR="00F618ED" w:rsidRPr="005E403B">
        <w:rPr>
          <w:szCs w:val="20"/>
        </w:rPr>
        <w:t xml:space="preserve"> </w:t>
      </w:r>
      <w:r w:rsidRPr="005E403B">
        <w:rPr>
          <w:szCs w:val="20"/>
        </w:rPr>
        <w:t>judiciales nacionales y que no</w:t>
      </w:r>
      <w:r w:rsidR="00F618ED" w:rsidRPr="005E403B">
        <w:rPr>
          <w:szCs w:val="20"/>
        </w:rPr>
        <w:t xml:space="preserve"> es parte de la discusión en el Caso </w:t>
      </w:r>
      <w:proofErr w:type="spellStart"/>
      <w:r w:rsidR="00F618ED" w:rsidRPr="005E403B">
        <w:rPr>
          <w:szCs w:val="20"/>
        </w:rPr>
        <w:t>Amrhein</w:t>
      </w:r>
      <w:proofErr w:type="spellEnd"/>
      <w:r w:rsidR="00F618ED" w:rsidRPr="005E403B">
        <w:rPr>
          <w:szCs w:val="20"/>
        </w:rPr>
        <w:t>”</w:t>
      </w:r>
      <w:r w:rsidR="009A0000" w:rsidRPr="005E403B">
        <w:rPr>
          <w:szCs w:val="20"/>
        </w:rPr>
        <w:t>.</w:t>
      </w:r>
    </w:p>
    <w:p w:rsidR="00642791" w:rsidRPr="005E403B" w:rsidRDefault="00642791" w:rsidP="004F3266">
      <w:pPr>
        <w:pStyle w:val="ListParagraph"/>
        <w:spacing w:after="0"/>
        <w:rPr>
          <w:szCs w:val="20"/>
        </w:rPr>
      </w:pPr>
    </w:p>
    <w:p w:rsidR="009A0000" w:rsidRPr="005E403B" w:rsidRDefault="009A0000" w:rsidP="006066BD">
      <w:pPr>
        <w:pStyle w:val="ListParagraph"/>
        <w:widowControl w:val="0"/>
        <w:numPr>
          <w:ilvl w:val="0"/>
          <w:numId w:val="40"/>
        </w:numPr>
        <w:tabs>
          <w:tab w:val="left" w:pos="567"/>
        </w:tabs>
        <w:autoSpaceDE w:val="0"/>
        <w:autoSpaceDN w:val="0"/>
        <w:adjustRightInd w:val="0"/>
        <w:spacing w:after="0"/>
        <w:ind w:left="0" w:right="22" w:firstLine="0"/>
        <w:contextualSpacing/>
      </w:pPr>
      <w:r w:rsidRPr="005E403B">
        <w:rPr>
          <w:szCs w:val="20"/>
        </w:rPr>
        <w:t>D</w:t>
      </w:r>
      <w:r w:rsidR="00154E96" w:rsidRPr="005E403B">
        <w:rPr>
          <w:szCs w:val="20"/>
        </w:rPr>
        <w:t xml:space="preserve">el análisis del objeto de dicho testimonio se desprende que </w:t>
      </w:r>
      <w:r w:rsidR="001126C4" w:rsidRPr="005E403B">
        <w:rPr>
          <w:szCs w:val="20"/>
        </w:rPr>
        <w:t xml:space="preserve">el testigo </w:t>
      </w:r>
      <w:r w:rsidR="00154E96" w:rsidRPr="005E403B">
        <w:rPr>
          <w:szCs w:val="20"/>
        </w:rPr>
        <w:t>se referir</w:t>
      </w:r>
      <w:r w:rsidR="001126C4" w:rsidRPr="005E403B">
        <w:rPr>
          <w:szCs w:val="20"/>
        </w:rPr>
        <w:t>ía</w:t>
      </w:r>
      <w:r w:rsidR="00154E96" w:rsidRPr="005E403B">
        <w:rPr>
          <w:szCs w:val="20"/>
        </w:rPr>
        <w:t xml:space="preserve"> al</w:t>
      </w:r>
      <w:r w:rsidR="00722B2B" w:rsidRPr="005E403B">
        <w:rPr>
          <w:szCs w:val="20"/>
        </w:rPr>
        <w:t xml:space="preserve"> contenido del</w:t>
      </w:r>
      <w:r w:rsidR="00154E96" w:rsidRPr="005E403B">
        <w:rPr>
          <w:szCs w:val="20"/>
        </w:rPr>
        <w:t xml:space="preserve"> delito de peculado y su aplicación en la práctica forense costarricense, </w:t>
      </w:r>
      <w:r w:rsidRPr="005E403B">
        <w:rPr>
          <w:szCs w:val="20"/>
        </w:rPr>
        <w:t>lo cual no se vincularía,</w:t>
      </w:r>
      <w:r w:rsidR="00DD7F4A" w:rsidRPr="005E403B">
        <w:rPr>
          <w:szCs w:val="20"/>
        </w:rPr>
        <w:t xml:space="preserve"> </w:t>
      </w:r>
      <w:r w:rsidR="00DD7F4A" w:rsidRPr="005E403B">
        <w:rPr>
          <w:i/>
          <w:szCs w:val="20"/>
        </w:rPr>
        <w:t>prima facie</w:t>
      </w:r>
      <w:r w:rsidRPr="005E403B">
        <w:rPr>
          <w:szCs w:val="20"/>
        </w:rPr>
        <w:t>,</w:t>
      </w:r>
      <w:r w:rsidR="00DD7F4A" w:rsidRPr="005E403B">
        <w:rPr>
          <w:szCs w:val="20"/>
        </w:rPr>
        <w:t xml:space="preserve"> </w:t>
      </w:r>
      <w:r w:rsidRPr="005E403B">
        <w:rPr>
          <w:szCs w:val="20"/>
        </w:rPr>
        <w:t>a</w:t>
      </w:r>
      <w:r w:rsidR="00DD7F4A" w:rsidRPr="005E403B">
        <w:rPr>
          <w:szCs w:val="20"/>
        </w:rPr>
        <w:t xml:space="preserve">l </w:t>
      </w:r>
      <w:r w:rsidR="00AF0176" w:rsidRPr="005E403B">
        <w:rPr>
          <w:szCs w:val="20"/>
        </w:rPr>
        <w:t xml:space="preserve">objeto </w:t>
      </w:r>
      <w:r w:rsidR="00DD7F4A" w:rsidRPr="005E403B">
        <w:rPr>
          <w:szCs w:val="20"/>
        </w:rPr>
        <w:t>de la</w:t>
      </w:r>
      <w:r w:rsidR="00AF0176" w:rsidRPr="005E403B">
        <w:rPr>
          <w:szCs w:val="20"/>
        </w:rPr>
        <w:t xml:space="preserve"> presente </w:t>
      </w:r>
      <w:proofErr w:type="spellStart"/>
      <w:r w:rsidR="000E25A9" w:rsidRPr="005E403B">
        <w:rPr>
          <w:szCs w:val="20"/>
        </w:rPr>
        <w:t>litis</w:t>
      </w:r>
      <w:proofErr w:type="spellEnd"/>
      <w:r w:rsidR="00DD7F4A" w:rsidRPr="005E403B">
        <w:rPr>
          <w:rStyle w:val="FootnoteReference"/>
          <w:szCs w:val="20"/>
        </w:rPr>
        <w:footnoteReference w:id="13"/>
      </w:r>
      <w:r w:rsidR="00154E96" w:rsidRPr="005E403B">
        <w:rPr>
          <w:szCs w:val="20"/>
        </w:rPr>
        <w:t>.</w:t>
      </w:r>
      <w:r w:rsidRPr="005E403B">
        <w:rPr>
          <w:szCs w:val="20"/>
        </w:rPr>
        <w:t xml:space="preserve"> </w:t>
      </w:r>
      <w:r w:rsidR="00154E96" w:rsidRPr="005E403B">
        <w:rPr>
          <w:szCs w:val="20"/>
        </w:rPr>
        <w:t>En atención a ello, esta Presidencia no estima pertinente recibir dicha declaración</w:t>
      </w:r>
      <w:r w:rsidRPr="005E403B">
        <w:rPr>
          <w:szCs w:val="20"/>
        </w:rPr>
        <w:t>.</w:t>
      </w:r>
      <w:r w:rsidRPr="005E403B" w:rsidDel="009A0000">
        <w:rPr>
          <w:szCs w:val="20"/>
        </w:rPr>
        <w:t xml:space="preserve"> </w:t>
      </w:r>
    </w:p>
    <w:p w:rsidR="00284C2B" w:rsidRPr="005E403B" w:rsidRDefault="00284C2B" w:rsidP="004F3266">
      <w:pPr>
        <w:pStyle w:val="ListParagraph"/>
        <w:widowControl w:val="0"/>
        <w:tabs>
          <w:tab w:val="left" w:pos="567"/>
        </w:tabs>
        <w:autoSpaceDE w:val="0"/>
        <w:autoSpaceDN w:val="0"/>
        <w:adjustRightInd w:val="0"/>
        <w:spacing w:after="0"/>
        <w:ind w:left="0" w:right="22"/>
        <w:contextualSpacing/>
      </w:pPr>
    </w:p>
    <w:p w:rsidR="009A0000" w:rsidRPr="005E403B" w:rsidRDefault="009A0000" w:rsidP="006066BD">
      <w:pPr>
        <w:pStyle w:val="Heading1"/>
        <w:spacing w:before="0"/>
      </w:pPr>
      <w:r w:rsidRPr="005E403B">
        <w:t>D. Admisibilidad de las declaraciones de l</w:t>
      </w:r>
      <w:r w:rsidR="00AB2674">
        <w:t>o</w:t>
      </w:r>
      <w:r w:rsidRPr="005E403B">
        <w:t>s</w:t>
      </w:r>
      <w:r w:rsidR="00AB2674">
        <w:t xml:space="preserve"> peticionarios</w:t>
      </w:r>
      <w:r w:rsidRPr="005E403B">
        <w:t>, testigos y peritos ofrecid</w:t>
      </w:r>
      <w:r w:rsidR="0062024E">
        <w:t>a</w:t>
      </w:r>
      <w:r w:rsidRPr="005E403B">
        <w:t>s por los Defensores Públicos Interamericanos</w:t>
      </w:r>
    </w:p>
    <w:p w:rsidR="00AF3FF9" w:rsidRPr="005E403B" w:rsidRDefault="00AF3FF9" w:rsidP="006066BD">
      <w:pPr>
        <w:spacing w:after="0"/>
      </w:pPr>
    </w:p>
    <w:p w:rsidR="00AF3FF9" w:rsidRPr="005E403B" w:rsidRDefault="00AF3FF9" w:rsidP="006066BD">
      <w:pPr>
        <w:pStyle w:val="Heading1"/>
        <w:spacing w:before="0"/>
        <w:rPr>
          <w:b w:val="0"/>
          <w:i/>
        </w:rPr>
      </w:pPr>
      <w:r w:rsidRPr="005E403B">
        <w:rPr>
          <w:b w:val="0"/>
          <w:i/>
        </w:rPr>
        <w:t xml:space="preserve">D.1. Declaraciones </w:t>
      </w:r>
      <w:r w:rsidR="002224EA">
        <w:rPr>
          <w:b w:val="0"/>
          <w:i/>
        </w:rPr>
        <w:t xml:space="preserve">de testigos y </w:t>
      </w:r>
      <w:r w:rsidR="00AB2674" w:rsidRPr="00AB2674">
        <w:rPr>
          <w:b w:val="0"/>
          <w:i/>
        </w:rPr>
        <w:t xml:space="preserve">peticionarios </w:t>
      </w:r>
      <w:r w:rsidR="0001540D" w:rsidRPr="005E403B">
        <w:rPr>
          <w:b w:val="0"/>
          <w:i/>
        </w:rPr>
        <w:t xml:space="preserve">ofrecidas por los Defensores Públicos Interamericanos </w:t>
      </w:r>
      <w:r w:rsidRPr="005E403B">
        <w:rPr>
          <w:b w:val="0"/>
          <w:i/>
        </w:rPr>
        <w:t>extemporáneamente</w:t>
      </w:r>
    </w:p>
    <w:p w:rsidR="00B62BC7" w:rsidRPr="005E403B" w:rsidRDefault="00B62BC7" w:rsidP="006066BD">
      <w:pPr>
        <w:pStyle w:val="ListParagraph"/>
        <w:spacing w:after="0"/>
        <w:rPr>
          <w:szCs w:val="20"/>
        </w:rPr>
      </w:pPr>
    </w:p>
    <w:p w:rsidR="004F53DF" w:rsidRDefault="00AF3FF9" w:rsidP="004F53DF">
      <w:pPr>
        <w:pStyle w:val="ListParagraph"/>
        <w:widowControl w:val="0"/>
        <w:numPr>
          <w:ilvl w:val="0"/>
          <w:numId w:val="40"/>
        </w:numPr>
        <w:tabs>
          <w:tab w:val="left" w:pos="567"/>
        </w:tabs>
        <w:autoSpaceDE w:val="0"/>
        <w:autoSpaceDN w:val="0"/>
        <w:adjustRightInd w:val="0"/>
        <w:spacing w:after="0"/>
        <w:ind w:left="0" w:right="22" w:firstLine="0"/>
        <w:contextualSpacing/>
        <w:rPr>
          <w:szCs w:val="20"/>
        </w:rPr>
      </w:pPr>
      <w:r w:rsidRPr="005E403B">
        <w:rPr>
          <w:szCs w:val="20"/>
        </w:rPr>
        <w:t>L</w:t>
      </w:r>
      <w:r w:rsidR="006864D9" w:rsidRPr="005E403B">
        <w:rPr>
          <w:szCs w:val="20"/>
        </w:rPr>
        <w:t xml:space="preserve">os </w:t>
      </w:r>
      <w:r w:rsidR="006864D9" w:rsidRPr="006F390E">
        <w:rPr>
          <w:b/>
          <w:i/>
          <w:szCs w:val="20"/>
        </w:rPr>
        <w:t>Defensores Públicos Interamericanos</w:t>
      </w:r>
      <w:r w:rsidR="006864D9" w:rsidRPr="005E403B">
        <w:rPr>
          <w:szCs w:val="20"/>
        </w:rPr>
        <w:t xml:space="preserve"> ofrecieron en </w:t>
      </w:r>
      <w:r w:rsidRPr="005E403B">
        <w:rPr>
          <w:szCs w:val="20"/>
        </w:rPr>
        <w:t>su</w:t>
      </w:r>
      <w:r w:rsidR="006864D9" w:rsidRPr="005E403B">
        <w:rPr>
          <w:szCs w:val="20"/>
        </w:rPr>
        <w:t xml:space="preserve"> lista definitiva de declarantes a</w:t>
      </w:r>
      <w:r w:rsidR="00DF2BE8" w:rsidRPr="005E403B">
        <w:rPr>
          <w:szCs w:val="20"/>
        </w:rPr>
        <w:t xml:space="preserve"> los testigos: i) </w:t>
      </w:r>
      <w:proofErr w:type="spellStart"/>
      <w:r w:rsidR="00DF2BE8" w:rsidRPr="005E403B">
        <w:rPr>
          <w:szCs w:val="20"/>
        </w:rPr>
        <w:t>Sydney</w:t>
      </w:r>
      <w:proofErr w:type="spellEnd"/>
      <w:r w:rsidR="00DF2BE8" w:rsidRPr="005E403B">
        <w:rPr>
          <w:szCs w:val="20"/>
        </w:rPr>
        <w:t xml:space="preserve"> Francisco Stewart Chavarría</w:t>
      </w:r>
      <w:r w:rsidR="00DF2BE8" w:rsidRPr="005E403B">
        <w:rPr>
          <w:rStyle w:val="FootnoteReference"/>
          <w:szCs w:val="20"/>
        </w:rPr>
        <w:footnoteReference w:id="14"/>
      </w:r>
      <w:r w:rsidR="00DF2BE8" w:rsidRPr="005E403B">
        <w:rPr>
          <w:szCs w:val="20"/>
        </w:rPr>
        <w:t xml:space="preserve"> y ii) </w:t>
      </w:r>
      <w:proofErr w:type="spellStart"/>
      <w:r w:rsidR="00DF2BE8" w:rsidRPr="005E403B">
        <w:rPr>
          <w:szCs w:val="20"/>
        </w:rPr>
        <w:t>Hector</w:t>
      </w:r>
      <w:proofErr w:type="spellEnd"/>
      <w:r w:rsidR="00DF2BE8" w:rsidRPr="005E403B">
        <w:rPr>
          <w:szCs w:val="20"/>
        </w:rPr>
        <w:t xml:space="preserve"> Sanch</w:t>
      </w:r>
      <w:r w:rsidR="009C02B0">
        <w:rPr>
          <w:szCs w:val="20"/>
        </w:rPr>
        <w:t>e</w:t>
      </w:r>
      <w:r w:rsidR="00DF2BE8" w:rsidRPr="005E403B">
        <w:rPr>
          <w:szCs w:val="20"/>
        </w:rPr>
        <w:t>z Ureña</w:t>
      </w:r>
      <w:r w:rsidR="00DF2BE8" w:rsidRPr="005E403B">
        <w:rPr>
          <w:rStyle w:val="FootnoteReference"/>
          <w:szCs w:val="20"/>
        </w:rPr>
        <w:footnoteReference w:id="15"/>
      </w:r>
      <w:r w:rsidR="00DF2BE8" w:rsidRPr="005E403B">
        <w:rPr>
          <w:szCs w:val="20"/>
        </w:rPr>
        <w:t>, así como a</w:t>
      </w:r>
      <w:r w:rsidR="006864D9" w:rsidRPr="005E403B">
        <w:rPr>
          <w:szCs w:val="20"/>
        </w:rPr>
        <w:t xml:space="preserve"> l</w:t>
      </w:r>
      <w:r w:rsidR="00AB2674">
        <w:rPr>
          <w:szCs w:val="20"/>
        </w:rPr>
        <w:t xml:space="preserve">os </w:t>
      </w:r>
      <w:r w:rsidR="00AB2674">
        <w:t>peticionarios</w:t>
      </w:r>
      <w:r w:rsidRPr="005E403B">
        <w:rPr>
          <w:szCs w:val="20"/>
        </w:rPr>
        <w:t>: i</w:t>
      </w:r>
      <w:r w:rsidR="00DF2BE8" w:rsidRPr="005E403B">
        <w:rPr>
          <w:szCs w:val="20"/>
        </w:rPr>
        <w:t>ii</w:t>
      </w:r>
      <w:r w:rsidRPr="005E403B">
        <w:rPr>
          <w:szCs w:val="20"/>
        </w:rPr>
        <w:t>)</w:t>
      </w:r>
      <w:r w:rsidR="006864D9" w:rsidRPr="005E403B">
        <w:rPr>
          <w:szCs w:val="20"/>
        </w:rPr>
        <w:t xml:space="preserve"> Guillermo Rodríguez Silva, </w:t>
      </w:r>
      <w:r w:rsidR="0001540D" w:rsidRPr="005E403B">
        <w:rPr>
          <w:szCs w:val="20"/>
        </w:rPr>
        <w:t>i</w:t>
      </w:r>
      <w:r w:rsidR="00DF2BE8" w:rsidRPr="005E403B">
        <w:rPr>
          <w:szCs w:val="20"/>
        </w:rPr>
        <w:t>v</w:t>
      </w:r>
      <w:r w:rsidR="0001540D" w:rsidRPr="005E403B">
        <w:rPr>
          <w:szCs w:val="20"/>
        </w:rPr>
        <w:t xml:space="preserve">) </w:t>
      </w:r>
      <w:r w:rsidR="006864D9" w:rsidRPr="005E403B">
        <w:rPr>
          <w:szCs w:val="20"/>
        </w:rPr>
        <w:t>Martín Rojas Hernández</w:t>
      </w:r>
      <w:r w:rsidR="00B05512" w:rsidRPr="005E403B">
        <w:rPr>
          <w:szCs w:val="20"/>
        </w:rPr>
        <w:t>;</w:t>
      </w:r>
      <w:r w:rsidR="006864D9" w:rsidRPr="005E403B">
        <w:rPr>
          <w:szCs w:val="20"/>
        </w:rPr>
        <w:t xml:space="preserve"> </w:t>
      </w:r>
      <w:r w:rsidR="00DF2BE8" w:rsidRPr="005E403B">
        <w:rPr>
          <w:szCs w:val="20"/>
        </w:rPr>
        <w:t>v</w:t>
      </w:r>
      <w:r w:rsidR="0001540D" w:rsidRPr="005E403B">
        <w:rPr>
          <w:szCs w:val="20"/>
        </w:rPr>
        <w:t xml:space="preserve">) </w:t>
      </w:r>
      <w:r w:rsidR="006864D9" w:rsidRPr="005E403B">
        <w:rPr>
          <w:szCs w:val="20"/>
        </w:rPr>
        <w:t>Manuel Hernández Quesada</w:t>
      </w:r>
      <w:r w:rsidR="0001540D" w:rsidRPr="005E403B">
        <w:rPr>
          <w:rStyle w:val="FootnoteReference"/>
          <w:szCs w:val="20"/>
        </w:rPr>
        <w:footnoteReference w:id="16"/>
      </w:r>
      <w:r w:rsidR="007A18CF" w:rsidRPr="005E403B">
        <w:rPr>
          <w:szCs w:val="20"/>
        </w:rPr>
        <w:t>,</w:t>
      </w:r>
      <w:r w:rsidR="00B05512" w:rsidRPr="005E403B">
        <w:rPr>
          <w:szCs w:val="20"/>
        </w:rPr>
        <w:t xml:space="preserve"> y vi</w:t>
      </w:r>
      <w:r w:rsidR="00B05512" w:rsidRPr="005E403B">
        <w:t>) Rafael Antonio Rojas Madrigal</w:t>
      </w:r>
      <w:r w:rsidR="00FD5154" w:rsidRPr="005E403B">
        <w:rPr>
          <w:rStyle w:val="FootnoteReference"/>
        </w:rPr>
        <w:footnoteReference w:id="17"/>
      </w:r>
      <w:r w:rsidR="00B05512" w:rsidRPr="005E403B">
        <w:t>,</w:t>
      </w:r>
      <w:r w:rsidR="007A18CF" w:rsidRPr="005E403B">
        <w:rPr>
          <w:szCs w:val="20"/>
        </w:rPr>
        <w:t xml:space="preserve"> cuyas </w:t>
      </w:r>
      <w:r w:rsidR="007A18CF" w:rsidRPr="005E403B">
        <w:rPr>
          <w:szCs w:val="20"/>
        </w:rPr>
        <w:lastRenderedPageBreak/>
        <w:t xml:space="preserve">declaraciones no habían sido ofrecidas en el </w:t>
      </w:r>
      <w:r w:rsidR="00DF2BE8" w:rsidRPr="005E403B">
        <w:rPr>
          <w:szCs w:val="20"/>
        </w:rPr>
        <w:t xml:space="preserve">escrito de solicitudes y argumentos. </w:t>
      </w:r>
    </w:p>
    <w:p w:rsidR="007A18CF" w:rsidRPr="005E403B" w:rsidRDefault="007A18CF" w:rsidP="004F53DF">
      <w:pPr>
        <w:pStyle w:val="ListParagraph"/>
        <w:widowControl w:val="0"/>
        <w:tabs>
          <w:tab w:val="left" w:pos="567"/>
        </w:tabs>
        <w:autoSpaceDE w:val="0"/>
        <w:autoSpaceDN w:val="0"/>
        <w:adjustRightInd w:val="0"/>
        <w:spacing w:after="0"/>
        <w:ind w:left="0" w:right="22"/>
        <w:contextualSpacing/>
        <w:rPr>
          <w:szCs w:val="20"/>
        </w:rPr>
      </w:pPr>
    </w:p>
    <w:p w:rsidR="00034A9A" w:rsidRPr="005E403B" w:rsidRDefault="006864D9" w:rsidP="0026648B">
      <w:pPr>
        <w:pStyle w:val="ListParagraph"/>
        <w:widowControl w:val="0"/>
        <w:numPr>
          <w:ilvl w:val="0"/>
          <w:numId w:val="40"/>
        </w:numPr>
        <w:tabs>
          <w:tab w:val="left" w:pos="567"/>
        </w:tabs>
        <w:autoSpaceDE w:val="0"/>
        <w:autoSpaceDN w:val="0"/>
        <w:adjustRightInd w:val="0"/>
        <w:spacing w:after="0"/>
        <w:ind w:left="0" w:right="22" w:firstLine="0"/>
        <w:contextualSpacing/>
        <w:rPr>
          <w:szCs w:val="20"/>
        </w:rPr>
      </w:pPr>
      <w:r w:rsidRPr="005E403B">
        <w:rPr>
          <w:szCs w:val="20"/>
        </w:rPr>
        <w:t xml:space="preserve">El </w:t>
      </w:r>
      <w:r w:rsidRPr="005E403B">
        <w:rPr>
          <w:b/>
          <w:i/>
          <w:szCs w:val="20"/>
        </w:rPr>
        <w:t>Estado</w:t>
      </w:r>
      <w:r w:rsidRPr="005E403B">
        <w:rPr>
          <w:szCs w:val="20"/>
        </w:rPr>
        <w:t xml:space="preserve"> </w:t>
      </w:r>
      <w:r w:rsidR="0026648B">
        <w:rPr>
          <w:szCs w:val="20"/>
        </w:rPr>
        <w:t xml:space="preserve">observó que en la lista definitiva de declarantes de los </w:t>
      </w:r>
      <w:r w:rsidR="004F53DF">
        <w:rPr>
          <w:szCs w:val="20"/>
        </w:rPr>
        <w:t>D</w:t>
      </w:r>
      <w:r w:rsidR="0026648B">
        <w:rPr>
          <w:szCs w:val="20"/>
        </w:rPr>
        <w:t xml:space="preserve">efensores </w:t>
      </w:r>
      <w:r w:rsidR="004F53DF">
        <w:rPr>
          <w:szCs w:val="20"/>
        </w:rPr>
        <w:t>P</w:t>
      </w:r>
      <w:r w:rsidR="0026648B">
        <w:rPr>
          <w:szCs w:val="20"/>
        </w:rPr>
        <w:t xml:space="preserve">úblicos </w:t>
      </w:r>
      <w:r w:rsidR="004F53DF">
        <w:rPr>
          <w:szCs w:val="20"/>
        </w:rPr>
        <w:t>I</w:t>
      </w:r>
      <w:r w:rsidR="0026648B">
        <w:rPr>
          <w:szCs w:val="20"/>
        </w:rPr>
        <w:t xml:space="preserve">nteramericanos se han incluido nombres de personas que no habían sido ofrecidas oportunamente de conformidad con </w:t>
      </w:r>
      <w:r w:rsidR="0001540D" w:rsidRPr="005E403B">
        <w:rPr>
          <w:szCs w:val="20"/>
        </w:rPr>
        <w:t xml:space="preserve">el artículo 46 del </w:t>
      </w:r>
      <w:r w:rsidR="0026648B">
        <w:rPr>
          <w:szCs w:val="20"/>
        </w:rPr>
        <w:t>R</w:t>
      </w:r>
      <w:r w:rsidR="0001540D" w:rsidRPr="005E403B">
        <w:rPr>
          <w:szCs w:val="20"/>
        </w:rPr>
        <w:t xml:space="preserve">eglamento de la Corte. </w:t>
      </w:r>
      <w:r w:rsidR="0026648B">
        <w:rPr>
          <w:szCs w:val="20"/>
        </w:rPr>
        <w:t xml:space="preserve">Por tanto, solicitó al Tribunal no admitir las declaraciones de: </w:t>
      </w:r>
      <w:r w:rsidR="0026648B" w:rsidRPr="0026648B">
        <w:rPr>
          <w:szCs w:val="20"/>
        </w:rPr>
        <w:t xml:space="preserve">i) </w:t>
      </w:r>
      <w:proofErr w:type="spellStart"/>
      <w:r w:rsidR="0026648B" w:rsidRPr="0026648B">
        <w:rPr>
          <w:szCs w:val="20"/>
        </w:rPr>
        <w:t>Sydney</w:t>
      </w:r>
      <w:proofErr w:type="spellEnd"/>
      <w:r w:rsidR="0026648B" w:rsidRPr="0026648B">
        <w:rPr>
          <w:szCs w:val="20"/>
        </w:rPr>
        <w:t xml:space="preserve"> Francisco Stewart Chavarría</w:t>
      </w:r>
      <w:r w:rsidR="0026648B">
        <w:rPr>
          <w:szCs w:val="20"/>
        </w:rPr>
        <w:t>,</w:t>
      </w:r>
      <w:r w:rsidR="0026648B" w:rsidRPr="0026648B">
        <w:rPr>
          <w:szCs w:val="20"/>
        </w:rPr>
        <w:t xml:space="preserve"> ii) </w:t>
      </w:r>
      <w:proofErr w:type="spellStart"/>
      <w:r w:rsidR="0026648B" w:rsidRPr="0026648B">
        <w:rPr>
          <w:szCs w:val="20"/>
        </w:rPr>
        <w:t>Hector</w:t>
      </w:r>
      <w:proofErr w:type="spellEnd"/>
      <w:r w:rsidR="0026648B" w:rsidRPr="0026648B">
        <w:rPr>
          <w:szCs w:val="20"/>
        </w:rPr>
        <w:t xml:space="preserve"> </w:t>
      </w:r>
      <w:proofErr w:type="spellStart"/>
      <w:r w:rsidR="0026648B" w:rsidRPr="0026648B">
        <w:rPr>
          <w:szCs w:val="20"/>
        </w:rPr>
        <w:t>Sanchéz</w:t>
      </w:r>
      <w:proofErr w:type="spellEnd"/>
      <w:r w:rsidR="0026648B" w:rsidRPr="0026648B">
        <w:rPr>
          <w:szCs w:val="20"/>
        </w:rPr>
        <w:t xml:space="preserve"> Ureña, iii) Guillermo Rodríguez Silva, iv) Martín Rojas Hernández</w:t>
      </w:r>
      <w:r w:rsidR="0026648B">
        <w:rPr>
          <w:szCs w:val="20"/>
        </w:rPr>
        <w:t xml:space="preserve"> y</w:t>
      </w:r>
      <w:r w:rsidR="0026648B" w:rsidRPr="0026648B">
        <w:rPr>
          <w:szCs w:val="20"/>
        </w:rPr>
        <w:t xml:space="preserve"> v) Manuel Hernández Quesada, </w:t>
      </w:r>
      <w:r w:rsidR="0026648B">
        <w:rPr>
          <w:szCs w:val="20"/>
        </w:rPr>
        <w:t>si</w:t>
      </w:r>
      <w:r w:rsidR="00CA0F68">
        <w:rPr>
          <w:szCs w:val="20"/>
        </w:rPr>
        <w:t>n</w:t>
      </w:r>
      <w:r w:rsidR="0026648B">
        <w:rPr>
          <w:szCs w:val="20"/>
        </w:rPr>
        <w:t xml:space="preserve"> mencionar a</w:t>
      </w:r>
      <w:r w:rsidR="0026648B" w:rsidRPr="0026648B">
        <w:rPr>
          <w:szCs w:val="20"/>
        </w:rPr>
        <w:t xml:space="preserve"> vi) Rafael Antonio Rojas Madrigal</w:t>
      </w:r>
      <w:r w:rsidR="0026648B">
        <w:rPr>
          <w:szCs w:val="20"/>
        </w:rPr>
        <w:t>.</w:t>
      </w:r>
    </w:p>
    <w:p w:rsidR="0085255A" w:rsidRPr="005E403B" w:rsidRDefault="0085255A" w:rsidP="006066BD">
      <w:pPr>
        <w:pStyle w:val="ListParagraph"/>
        <w:widowControl w:val="0"/>
        <w:tabs>
          <w:tab w:val="left" w:pos="567"/>
        </w:tabs>
        <w:autoSpaceDE w:val="0"/>
        <w:autoSpaceDN w:val="0"/>
        <w:adjustRightInd w:val="0"/>
        <w:spacing w:after="0"/>
        <w:ind w:left="0" w:right="22"/>
        <w:contextualSpacing/>
        <w:rPr>
          <w:szCs w:val="20"/>
        </w:rPr>
      </w:pPr>
    </w:p>
    <w:p w:rsidR="0085255A" w:rsidRPr="005E403B" w:rsidRDefault="0085255A" w:rsidP="006066BD">
      <w:pPr>
        <w:pStyle w:val="ListParagraph"/>
        <w:widowControl w:val="0"/>
        <w:numPr>
          <w:ilvl w:val="0"/>
          <w:numId w:val="40"/>
        </w:numPr>
        <w:tabs>
          <w:tab w:val="left" w:pos="567"/>
        </w:tabs>
        <w:autoSpaceDE w:val="0"/>
        <w:autoSpaceDN w:val="0"/>
        <w:adjustRightInd w:val="0"/>
        <w:spacing w:after="0"/>
        <w:ind w:left="0" w:right="22" w:firstLine="0"/>
        <w:contextualSpacing/>
        <w:rPr>
          <w:szCs w:val="20"/>
        </w:rPr>
      </w:pPr>
      <w:r w:rsidRPr="005E403B">
        <w:rPr>
          <w:szCs w:val="20"/>
        </w:rPr>
        <w:t>De conformidad con el artículo 46.1 del Reglamento, en las listas definitivas de declarantes, la Comisión, l</w:t>
      </w:r>
      <w:r w:rsidR="00AB2674">
        <w:rPr>
          <w:szCs w:val="20"/>
        </w:rPr>
        <w:t>o</w:t>
      </w:r>
      <w:r w:rsidRPr="005E403B">
        <w:rPr>
          <w:szCs w:val="20"/>
        </w:rPr>
        <w:t>s</w:t>
      </w:r>
      <w:r w:rsidR="00AB2674">
        <w:rPr>
          <w:szCs w:val="20"/>
        </w:rPr>
        <w:t xml:space="preserve"> </w:t>
      </w:r>
      <w:r w:rsidR="00AB2674">
        <w:t>peticionarios</w:t>
      </w:r>
      <w:r w:rsidRPr="005E403B">
        <w:rPr>
          <w:szCs w:val="20"/>
        </w:rPr>
        <w:t xml:space="preserve"> y el Estado deben confirmar o desistir del ofrecimiento de las declaraciones que oportunamente realizaron en sus respectivos escritos de sometimiento, solicitudes y argumentos y contestación. Al respecto, dado que los Defensores Públicos Interamericanos no justificaron las razones por las cuales no presentaron las declaraciones de </w:t>
      </w:r>
      <w:proofErr w:type="spellStart"/>
      <w:r w:rsidRPr="005E403B">
        <w:rPr>
          <w:szCs w:val="20"/>
        </w:rPr>
        <w:t>Sydney</w:t>
      </w:r>
      <w:proofErr w:type="spellEnd"/>
      <w:r w:rsidRPr="005E403B">
        <w:rPr>
          <w:szCs w:val="20"/>
        </w:rPr>
        <w:t xml:space="preserve"> Francisco Stewart Chavarría y </w:t>
      </w:r>
      <w:proofErr w:type="spellStart"/>
      <w:r w:rsidRPr="005E403B">
        <w:rPr>
          <w:szCs w:val="20"/>
        </w:rPr>
        <w:t>Hector</w:t>
      </w:r>
      <w:proofErr w:type="spellEnd"/>
      <w:r w:rsidRPr="005E403B">
        <w:rPr>
          <w:szCs w:val="20"/>
        </w:rPr>
        <w:t xml:space="preserve"> </w:t>
      </w:r>
      <w:proofErr w:type="spellStart"/>
      <w:r w:rsidRPr="005E403B">
        <w:rPr>
          <w:szCs w:val="20"/>
        </w:rPr>
        <w:t>Sanchéz</w:t>
      </w:r>
      <w:proofErr w:type="spellEnd"/>
      <w:r w:rsidRPr="005E403B">
        <w:rPr>
          <w:szCs w:val="20"/>
        </w:rPr>
        <w:t xml:space="preserve"> Ureña en </w:t>
      </w:r>
      <w:r w:rsidR="00EC3818" w:rsidRPr="005E403B">
        <w:rPr>
          <w:szCs w:val="20"/>
        </w:rPr>
        <w:t>su escrito de solicitudes y argumentos</w:t>
      </w:r>
      <w:r w:rsidRPr="005E403B">
        <w:rPr>
          <w:szCs w:val="20"/>
        </w:rPr>
        <w:t xml:space="preserve">, </w:t>
      </w:r>
      <w:r w:rsidR="008F0194" w:rsidRPr="005E403B">
        <w:rPr>
          <w:szCs w:val="20"/>
        </w:rPr>
        <w:t xml:space="preserve">ni </w:t>
      </w:r>
      <w:r w:rsidR="00EC3818" w:rsidRPr="005E403B">
        <w:rPr>
          <w:szCs w:val="20"/>
        </w:rPr>
        <w:t>ofrecieron dichas declaraciones en sustitución de otras presentadas oportunamente</w:t>
      </w:r>
      <w:r w:rsidR="008F0194" w:rsidRPr="005E403B">
        <w:rPr>
          <w:szCs w:val="20"/>
        </w:rPr>
        <w:t xml:space="preserve">, </w:t>
      </w:r>
      <w:r w:rsidRPr="005E403B">
        <w:rPr>
          <w:szCs w:val="20"/>
        </w:rPr>
        <w:t>esta Presidencia las desestima por extemporáneas.</w:t>
      </w:r>
    </w:p>
    <w:p w:rsidR="00034A9A" w:rsidRPr="005E403B" w:rsidRDefault="00034A9A" w:rsidP="006066BD">
      <w:pPr>
        <w:pStyle w:val="ListParagraph"/>
        <w:widowControl w:val="0"/>
        <w:tabs>
          <w:tab w:val="left" w:pos="567"/>
        </w:tabs>
        <w:autoSpaceDE w:val="0"/>
        <w:autoSpaceDN w:val="0"/>
        <w:adjustRightInd w:val="0"/>
        <w:spacing w:after="0"/>
        <w:ind w:left="0" w:right="22"/>
        <w:contextualSpacing/>
        <w:rPr>
          <w:szCs w:val="20"/>
        </w:rPr>
      </w:pPr>
    </w:p>
    <w:p w:rsidR="006864D9" w:rsidRPr="00D24493" w:rsidRDefault="00C95AAA" w:rsidP="006066BD">
      <w:pPr>
        <w:pStyle w:val="ListParagraph"/>
        <w:widowControl w:val="0"/>
        <w:numPr>
          <w:ilvl w:val="0"/>
          <w:numId w:val="40"/>
        </w:numPr>
        <w:tabs>
          <w:tab w:val="left" w:pos="567"/>
        </w:tabs>
        <w:autoSpaceDE w:val="0"/>
        <w:autoSpaceDN w:val="0"/>
        <w:adjustRightInd w:val="0"/>
        <w:spacing w:after="0"/>
        <w:ind w:left="0" w:right="22" w:firstLine="0"/>
        <w:contextualSpacing/>
        <w:rPr>
          <w:szCs w:val="20"/>
        </w:rPr>
      </w:pPr>
      <w:r w:rsidRPr="00D24493">
        <w:rPr>
          <w:szCs w:val="20"/>
        </w:rPr>
        <w:t>Por otra parte, e</w:t>
      </w:r>
      <w:r w:rsidR="006864D9" w:rsidRPr="00D24493">
        <w:rPr>
          <w:szCs w:val="20"/>
        </w:rPr>
        <w:t xml:space="preserve">l Presidente </w:t>
      </w:r>
      <w:r w:rsidR="0001540D" w:rsidRPr="00D24493">
        <w:rPr>
          <w:szCs w:val="20"/>
        </w:rPr>
        <w:t xml:space="preserve">recuerda </w:t>
      </w:r>
      <w:r w:rsidR="006864D9" w:rsidRPr="00D24493">
        <w:rPr>
          <w:szCs w:val="20"/>
        </w:rPr>
        <w:t>que la Corte</w:t>
      </w:r>
      <w:r w:rsidR="00B429D9" w:rsidRPr="00D24493">
        <w:rPr>
          <w:szCs w:val="20"/>
        </w:rPr>
        <w:t xml:space="preserve"> en ejercicio de su función contenciosa tiene amplias facultades para recibir prueba que estime necesaria o pertinente</w:t>
      </w:r>
      <w:r w:rsidR="00B429D9" w:rsidRPr="00D24493">
        <w:rPr>
          <w:rStyle w:val="FootnoteReference"/>
          <w:szCs w:val="20"/>
        </w:rPr>
        <w:footnoteReference w:id="18"/>
      </w:r>
      <w:r w:rsidR="0001540D" w:rsidRPr="00D24493">
        <w:rPr>
          <w:szCs w:val="20"/>
        </w:rPr>
        <w:t>.</w:t>
      </w:r>
      <w:r w:rsidR="00B429D9" w:rsidRPr="00D24493">
        <w:rPr>
          <w:szCs w:val="20"/>
        </w:rPr>
        <w:t xml:space="preserve"> </w:t>
      </w:r>
      <w:r w:rsidR="0001540D" w:rsidRPr="00D24493">
        <w:rPr>
          <w:szCs w:val="20"/>
        </w:rPr>
        <w:t>A</w:t>
      </w:r>
      <w:r w:rsidR="00B429D9" w:rsidRPr="00D24493">
        <w:rPr>
          <w:szCs w:val="20"/>
        </w:rPr>
        <w:t>simismo</w:t>
      </w:r>
      <w:r w:rsidR="006864D9" w:rsidRPr="00D24493">
        <w:rPr>
          <w:szCs w:val="20"/>
        </w:rPr>
        <w:t xml:space="preserve"> ha destacado la utilidad de las declaraciones de l</w:t>
      </w:r>
      <w:r w:rsidR="00AB2674">
        <w:rPr>
          <w:szCs w:val="20"/>
        </w:rPr>
        <w:t>o</w:t>
      </w:r>
      <w:r w:rsidR="006864D9" w:rsidRPr="00D24493">
        <w:rPr>
          <w:szCs w:val="20"/>
        </w:rPr>
        <w:t>s</w:t>
      </w:r>
      <w:r w:rsidR="00AB2674">
        <w:rPr>
          <w:szCs w:val="20"/>
        </w:rPr>
        <w:t xml:space="preserve"> </w:t>
      </w:r>
      <w:r w:rsidR="00AB2674">
        <w:t>peticionarios</w:t>
      </w:r>
      <w:r w:rsidR="006864D9" w:rsidRPr="00D24493">
        <w:rPr>
          <w:szCs w:val="20"/>
        </w:rPr>
        <w:t xml:space="preserve"> en la medida en que pueden proporcionar mayor información sobre las violaciones alegadas y sus consecuencias. Además, e</w:t>
      </w:r>
      <w:r w:rsidR="0001540D" w:rsidRPr="00D24493">
        <w:rPr>
          <w:szCs w:val="20"/>
        </w:rPr>
        <w:t>l</w:t>
      </w:r>
      <w:r w:rsidR="006864D9" w:rsidRPr="00D24493">
        <w:rPr>
          <w:szCs w:val="20"/>
        </w:rPr>
        <w:t xml:space="preserve"> Tribunal ha resaltado que l</w:t>
      </w:r>
      <w:r w:rsidR="00AB2674">
        <w:rPr>
          <w:szCs w:val="20"/>
        </w:rPr>
        <w:t xml:space="preserve">os </w:t>
      </w:r>
      <w:r w:rsidR="00AB2674">
        <w:t>peticionarios</w:t>
      </w:r>
      <w:r w:rsidR="006864D9" w:rsidRPr="00D24493">
        <w:rPr>
          <w:szCs w:val="20"/>
        </w:rPr>
        <w:t xml:space="preserve"> pueden ilustrar a la Corte respecto de las medidas de reparación que eventualmente deberá adoptar. Por lo tanto, el Presidente acepta la declaración de</w:t>
      </w:r>
      <w:r w:rsidR="002224EA" w:rsidRPr="00D24493">
        <w:rPr>
          <w:szCs w:val="20"/>
        </w:rPr>
        <w:t xml:space="preserve"> Guillermo Rodríguez Silva, Martín Rojas Hernández, Manuel Hernández Quesada </w:t>
      </w:r>
      <w:r w:rsidR="002224EA" w:rsidRPr="0009613B">
        <w:rPr>
          <w:szCs w:val="20"/>
        </w:rPr>
        <w:t>y Rafael Antonio Rojas Madrigal</w:t>
      </w:r>
      <w:r w:rsidR="006864D9" w:rsidRPr="0009613B">
        <w:rPr>
          <w:szCs w:val="20"/>
        </w:rPr>
        <w:t>,</w:t>
      </w:r>
      <w:r w:rsidR="006864D9" w:rsidRPr="00D24493">
        <w:rPr>
          <w:szCs w:val="20"/>
        </w:rPr>
        <w:t xml:space="preserve"> según el objeto y modalidad determinados en la parte resolutiva de la presente Resolución. El valor de las mismas será determinado en la debida oportunidad, dentro del contexto del acervo probatorio existente y según las reglas de la sana crítica</w:t>
      </w:r>
      <w:r w:rsidR="006864D9" w:rsidRPr="008437CD">
        <w:rPr>
          <w:rStyle w:val="FootnoteReference"/>
          <w:iCs/>
        </w:rPr>
        <w:footnoteReference w:id="19"/>
      </w:r>
      <w:r w:rsidR="006864D9" w:rsidRPr="008437CD">
        <w:rPr>
          <w:szCs w:val="20"/>
        </w:rPr>
        <w:t>.</w:t>
      </w:r>
      <w:r w:rsidR="007A18CF" w:rsidRPr="008437CD">
        <w:rPr>
          <w:szCs w:val="20"/>
        </w:rPr>
        <w:t xml:space="preserve"> </w:t>
      </w:r>
    </w:p>
    <w:p w:rsidR="00C95AAA" w:rsidRPr="005E403B" w:rsidRDefault="00C95AAA" w:rsidP="006066BD">
      <w:pPr>
        <w:pStyle w:val="ListParagraph"/>
        <w:widowControl w:val="0"/>
        <w:tabs>
          <w:tab w:val="left" w:pos="567"/>
        </w:tabs>
        <w:autoSpaceDE w:val="0"/>
        <w:autoSpaceDN w:val="0"/>
        <w:adjustRightInd w:val="0"/>
        <w:spacing w:after="0"/>
        <w:ind w:left="0" w:right="22"/>
        <w:contextualSpacing/>
        <w:rPr>
          <w:szCs w:val="20"/>
        </w:rPr>
      </w:pPr>
    </w:p>
    <w:p w:rsidR="0085255A" w:rsidRPr="005E403B" w:rsidRDefault="0085255A" w:rsidP="006066BD">
      <w:pPr>
        <w:pStyle w:val="Heading1"/>
        <w:spacing w:before="0"/>
        <w:rPr>
          <w:b w:val="0"/>
          <w:i/>
        </w:rPr>
      </w:pPr>
      <w:r w:rsidRPr="005E403B">
        <w:rPr>
          <w:b w:val="0"/>
          <w:i/>
        </w:rPr>
        <w:t xml:space="preserve">D.2. Observaciones del Estado a </w:t>
      </w:r>
      <w:r w:rsidR="002224EA">
        <w:rPr>
          <w:b w:val="0"/>
          <w:i/>
        </w:rPr>
        <w:t xml:space="preserve">los </w:t>
      </w:r>
      <w:r w:rsidRPr="005E403B">
        <w:rPr>
          <w:b w:val="0"/>
          <w:i/>
        </w:rPr>
        <w:t xml:space="preserve">objetos de </w:t>
      </w:r>
      <w:r w:rsidR="002224EA">
        <w:rPr>
          <w:b w:val="0"/>
          <w:i/>
        </w:rPr>
        <w:t>testimonios</w:t>
      </w:r>
      <w:r w:rsidRPr="005E403B">
        <w:rPr>
          <w:b w:val="0"/>
          <w:i/>
        </w:rPr>
        <w:t xml:space="preserve"> propuestos por los Defensores Públicos Interamericanos </w:t>
      </w:r>
    </w:p>
    <w:p w:rsidR="0085255A" w:rsidRPr="005E403B" w:rsidRDefault="0085255A" w:rsidP="006066BD">
      <w:pPr>
        <w:spacing w:after="0"/>
      </w:pPr>
    </w:p>
    <w:p w:rsidR="0085255A" w:rsidRPr="005E403B" w:rsidRDefault="0088070A" w:rsidP="006066BD">
      <w:pPr>
        <w:pStyle w:val="ListParagraph"/>
        <w:widowControl w:val="0"/>
        <w:numPr>
          <w:ilvl w:val="0"/>
          <w:numId w:val="40"/>
        </w:numPr>
        <w:tabs>
          <w:tab w:val="left" w:pos="567"/>
        </w:tabs>
        <w:autoSpaceDE w:val="0"/>
        <w:autoSpaceDN w:val="0"/>
        <w:adjustRightInd w:val="0"/>
        <w:spacing w:after="0"/>
        <w:ind w:left="0" w:right="22" w:firstLine="0"/>
        <w:contextualSpacing/>
        <w:rPr>
          <w:szCs w:val="20"/>
        </w:rPr>
      </w:pPr>
      <w:r>
        <w:rPr>
          <w:szCs w:val="20"/>
        </w:rPr>
        <w:t xml:space="preserve">Los </w:t>
      </w:r>
      <w:r w:rsidRPr="00510CA5">
        <w:rPr>
          <w:b/>
          <w:i/>
          <w:szCs w:val="20"/>
        </w:rPr>
        <w:t>Defensores Públicos Interamericanos</w:t>
      </w:r>
      <w:r w:rsidR="0085255A" w:rsidRPr="005E403B">
        <w:rPr>
          <w:szCs w:val="20"/>
        </w:rPr>
        <w:t xml:space="preserve"> también </w:t>
      </w:r>
      <w:r w:rsidR="00937A4C">
        <w:rPr>
          <w:szCs w:val="20"/>
        </w:rPr>
        <w:t>ofrecieron</w:t>
      </w:r>
      <w:r w:rsidR="00937A4C" w:rsidRPr="005E403B">
        <w:rPr>
          <w:szCs w:val="20"/>
        </w:rPr>
        <w:t xml:space="preserve"> </w:t>
      </w:r>
      <w:r w:rsidR="0085255A" w:rsidRPr="005E403B">
        <w:rPr>
          <w:szCs w:val="20"/>
        </w:rPr>
        <w:t>las declaraciones de</w:t>
      </w:r>
      <w:r w:rsidR="0085255A" w:rsidRPr="005E403B">
        <w:t>: i) Eric Alfredo Chirino S</w:t>
      </w:r>
      <w:r w:rsidR="004E5FDD">
        <w:t>á</w:t>
      </w:r>
      <w:r w:rsidR="0085255A" w:rsidRPr="005E403B">
        <w:t>nchez</w:t>
      </w:r>
      <w:r w:rsidR="0085255A" w:rsidRPr="005E403B">
        <w:rPr>
          <w:rStyle w:val="FootnoteReference"/>
          <w:szCs w:val="20"/>
        </w:rPr>
        <w:footnoteReference w:id="20"/>
      </w:r>
      <w:r w:rsidR="0085255A" w:rsidRPr="005E403B">
        <w:t>, ii) Rosaura Chinchilla Calderón</w:t>
      </w:r>
      <w:r w:rsidR="0085255A" w:rsidRPr="005E403B">
        <w:rPr>
          <w:rStyle w:val="FootnoteReference"/>
          <w:szCs w:val="20"/>
        </w:rPr>
        <w:footnoteReference w:id="21"/>
      </w:r>
      <w:r w:rsidR="0085255A" w:rsidRPr="005E403B">
        <w:t xml:space="preserve">, iii) Marta Iris Muñoz </w:t>
      </w:r>
      <w:r w:rsidR="0085255A" w:rsidRPr="005E403B">
        <w:lastRenderedPageBreak/>
        <w:t>Cascante</w:t>
      </w:r>
      <w:r w:rsidR="0085255A" w:rsidRPr="005E403B">
        <w:rPr>
          <w:rStyle w:val="FootnoteReference"/>
          <w:szCs w:val="20"/>
        </w:rPr>
        <w:footnoteReference w:id="22"/>
      </w:r>
      <w:r w:rsidR="0085255A" w:rsidRPr="005E403B">
        <w:t xml:space="preserve"> y iv) Roy Murillo Rodríguez</w:t>
      </w:r>
      <w:r w:rsidR="0085255A" w:rsidRPr="005E403B">
        <w:rPr>
          <w:rStyle w:val="FootnoteReference"/>
          <w:szCs w:val="20"/>
        </w:rPr>
        <w:footnoteReference w:id="23"/>
      </w:r>
      <w:r w:rsidR="0085255A" w:rsidRPr="005E403B">
        <w:t>.</w:t>
      </w:r>
    </w:p>
    <w:p w:rsidR="00E23FA1" w:rsidRPr="005E403B" w:rsidRDefault="00E23FA1" w:rsidP="00E23FA1">
      <w:pPr>
        <w:pStyle w:val="ListParagraph"/>
        <w:widowControl w:val="0"/>
        <w:tabs>
          <w:tab w:val="left" w:pos="567"/>
        </w:tabs>
        <w:autoSpaceDE w:val="0"/>
        <w:autoSpaceDN w:val="0"/>
        <w:adjustRightInd w:val="0"/>
        <w:spacing w:after="0"/>
        <w:ind w:left="0" w:right="22"/>
        <w:contextualSpacing/>
        <w:rPr>
          <w:szCs w:val="20"/>
        </w:rPr>
      </w:pPr>
    </w:p>
    <w:p w:rsidR="00FD252B" w:rsidRPr="005E403B" w:rsidRDefault="008D0719" w:rsidP="008D0719">
      <w:pPr>
        <w:pStyle w:val="ListParagraph"/>
        <w:widowControl w:val="0"/>
        <w:numPr>
          <w:ilvl w:val="0"/>
          <w:numId w:val="40"/>
        </w:numPr>
        <w:tabs>
          <w:tab w:val="left" w:pos="567"/>
        </w:tabs>
        <w:autoSpaceDE w:val="0"/>
        <w:autoSpaceDN w:val="0"/>
        <w:adjustRightInd w:val="0"/>
        <w:spacing w:after="0"/>
        <w:ind w:left="0" w:right="22" w:firstLine="0"/>
        <w:contextualSpacing/>
      </w:pPr>
      <w:r w:rsidRPr="005E403B">
        <w:t>E</w:t>
      </w:r>
      <w:r w:rsidR="0094071C" w:rsidRPr="005E403B">
        <w:t>n relació</w:t>
      </w:r>
      <w:r w:rsidR="00EA55D0" w:rsidRPr="005E403B">
        <w:t xml:space="preserve">n </w:t>
      </w:r>
      <w:r w:rsidR="00EA55D0" w:rsidRPr="005E403B">
        <w:rPr>
          <w:szCs w:val="20"/>
        </w:rPr>
        <w:t>con</w:t>
      </w:r>
      <w:r w:rsidR="00EA55D0" w:rsidRPr="005E403B">
        <w:t xml:space="preserve"> el objeto </w:t>
      </w:r>
      <w:r w:rsidR="00FD252B" w:rsidRPr="005E403B">
        <w:t xml:space="preserve">de </w:t>
      </w:r>
      <w:r w:rsidRPr="005E403B">
        <w:t xml:space="preserve">las </w:t>
      </w:r>
      <w:r w:rsidR="0094071C" w:rsidRPr="005E403B">
        <w:t>declaraci</w:t>
      </w:r>
      <w:r w:rsidRPr="005E403B">
        <w:t>ones</w:t>
      </w:r>
      <w:r w:rsidR="0094071C" w:rsidRPr="005E403B">
        <w:t xml:space="preserve"> </w:t>
      </w:r>
      <w:r w:rsidR="00FD252B" w:rsidRPr="005E403B">
        <w:t>de Eric Alfredo Chirino Sanchez y Rosaura Chinchilla</w:t>
      </w:r>
      <w:r w:rsidR="0094071C" w:rsidRPr="005E403B">
        <w:t xml:space="preserve"> Calderó</w:t>
      </w:r>
      <w:r w:rsidR="00EA55D0" w:rsidRPr="005E403B">
        <w:t>n</w:t>
      </w:r>
      <w:r w:rsidR="00BA7682">
        <w:t>,</w:t>
      </w:r>
      <w:r w:rsidR="00EA55D0" w:rsidRPr="005E403B">
        <w:t xml:space="preserve"> </w:t>
      </w:r>
      <w:r w:rsidR="0085255A" w:rsidRPr="005E403B">
        <w:t xml:space="preserve">el </w:t>
      </w:r>
      <w:r w:rsidR="0085255A" w:rsidRPr="005E403B">
        <w:rPr>
          <w:b/>
          <w:i/>
        </w:rPr>
        <w:t>Estado</w:t>
      </w:r>
      <w:r w:rsidR="0085255A" w:rsidRPr="005E403B">
        <w:t xml:space="preserve"> </w:t>
      </w:r>
      <w:r w:rsidR="006911AE" w:rsidRPr="005E403B">
        <w:t>sostuv</w:t>
      </w:r>
      <w:r w:rsidR="0085255A" w:rsidRPr="005E403B">
        <w:t>o</w:t>
      </w:r>
      <w:r w:rsidR="006911AE" w:rsidRPr="005E403B">
        <w:t xml:space="preserve"> que </w:t>
      </w:r>
      <w:r w:rsidR="008B36A6" w:rsidRPr="005E403B">
        <w:t>“</w:t>
      </w:r>
      <w:r w:rsidR="00EA55D0" w:rsidRPr="005E403B">
        <w:t xml:space="preserve">en ninguno de los casos se van a referir </w:t>
      </w:r>
      <w:r w:rsidR="008B36A6" w:rsidRPr="005E403B">
        <w:t xml:space="preserve">a los casos </w:t>
      </w:r>
      <w:r w:rsidR="00FD252B" w:rsidRPr="005E403B">
        <w:t>c</w:t>
      </w:r>
      <w:r w:rsidR="00EA55D0" w:rsidRPr="005E403B">
        <w:t xml:space="preserve">oncretos o procedimientos </w:t>
      </w:r>
      <w:r w:rsidR="00FD252B" w:rsidRPr="005E403B">
        <w:t>de</w:t>
      </w:r>
      <w:r w:rsidR="00EA55D0" w:rsidRPr="005E403B">
        <w:t xml:space="preserve"> impugnación de las </w:t>
      </w:r>
      <w:r w:rsidR="0094071C" w:rsidRPr="005E403B">
        <w:t>presuntas ví</w:t>
      </w:r>
      <w:r w:rsidR="00FD252B" w:rsidRPr="005E403B">
        <w:t>ctimas. Ambos testimonios plantean discusiones abstractas a</w:t>
      </w:r>
      <w:r w:rsidR="0094071C" w:rsidRPr="005E403B">
        <w:t xml:space="preserve">jenas al </w:t>
      </w:r>
      <w:r w:rsidR="008B36A6" w:rsidRPr="005E403B">
        <w:t xml:space="preserve">debate del </w:t>
      </w:r>
      <w:r w:rsidR="006911AE" w:rsidRPr="005E403B">
        <w:t>c</w:t>
      </w:r>
      <w:r w:rsidR="008B36A6" w:rsidRPr="005E403B">
        <w:t xml:space="preserve">aso, </w:t>
      </w:r>
      <w:r w:rsidR="00FD252B" w:rsidRPr="005E403B">
        <w:t>que no</w:t>
      </w:r>
      <w:r w:rsidR="00EA55D0" w:rsidRPr="005E403B">
        <w:t xml:space="preserve"> se enmarcan en la </w:t>
      </w:r>
      <w:r w:rsidR="0094071C" w:rsidRPr="005E403B">
        <w:t>relación entre los caso</w:t>
      </w:r>
      <w:r w:rsidR="00EA55D0" w:rsidRPr="005E403B">
        <w:t xml:space="preserve">s concretos y la </w:t>
      </w:r>
      <w:r w:rsidR="0094071C" w:rsidRPr="005E403B">
        <w:t xml:space="preserve">legislación </w:t>
      </w:r>
      <w:r w:rsidR="00FD252B" w:rsidRPr="005E403B">
        <w:t>relevante</w:t>
      </w:r>
      <w:r w:rsidRPr="005E403B">
        <w:t>”</w:t>
      </w:r>
      <w:r w:rsidR="00FD252B" w:rsidRPr="005E403B">
        <w:t xml:space="preserve">. </w:t>
      </w:r>
      <w:r w:rsidR="00FD252B" w:rsidRPr="005E403B">
        <w:rPr>
          <w:szCs w:val="20"/>
        </w:rPr>
        <w:t>Adi</w:t>
      </w:r>
      <w:r w:rsidR="0094071C" w:rsidRPr="005E403B">
        <w:rPr>
          <w:szCs w:val="20"/>
        </w:rPr>
        <w:t>cionalmente</w:t>
      </w:r>
      <w:r w:rsidR="0094071C" w:rsidRPr="005E403B">
        <w:t>, en el caso del señ</w:t>
      </w:r>
      <w:r w:rsidR="00FD252B" w:rsidRPr="005E403B">
        <w:t xml:space="preserve">or Eric Alfredo Chirino, </w:t>
      </w:r>
      <w:r w:rsidR="0085255A" w:rsidRPr="005E403B">
        <w:t xml:space="preserve">alegó que </w:t>
      </w:r>
      <w:r w:rsidRPr="005E403B">
        <w:t>“</w:t>
      </w:r>
      <w:r w:rsidR="00FD252B" w:rsidRPr="005E403B">
        <w:t>se suma un tema que no fue</w:t>
      </w:r>
      <w:r w:rsidR="0094071C" w:rsidRPr="005E403B">
        <w:t xml:space="preserve"> </w:t>
      </w:r>
      <w:r w:rsidR="00FD252B" w:rsidRPr="005E403B">
        <w:t>objeto  de</w:t>
      </w:r>
      <w:r w:rsidR="0094071C" w:rsidRPr="005E403B">
        <w:t xml:space="preserve">l </w:t>
      </w:r>
      <w:r w:rsidR="00FD252B" w:rsidRPr="005E403B">
        <w:t xml:space="preserve"> Informe  33/14  de </w:t>
      </w:r>
      <w:r w:rsidR="0094071C" w:rsidRPr="005E403B">
        <w:t>la Comisió</w:t>
      </w:r>
      <w:r w:rsidR="00FD252B" w:rsidRPr="005E403B">
        <w:t>n</w:t>
      </w:r>
      <w:r w:rsidRPr="005E403B">
        <w:t xml:space="preserve"> […]</w:t>
      </w:r>
      <w:r w:rsidR="00EA55D0" w:rsidRPr="005E403B">
        <w:t xml:space="preserve">, </w:t>
      </w:r>
      <w:r w:rsidR="00FD252B" w:rsidRPr="005E403B">
        <w:t xml:space="preserve">que es </w:t>
      </w:r>
      <w:r w:rsidR="0094071C" w:rsidRPr="005E403B">
        <w:t>l</w:t>
      </w:r>
      <w:r w:rsidR="00FD252B" w:rsidRPr="005E403B">
        <w:t>a</w:t>
      </w:r>
      <w:r w:rsidR="0094071C" w:rsidRPr="005E403B">
        <w:t xml:space="preserve"> </w:t>
      </w:r>
      <w:r w:rsidR="00FD252B" w:rsidRPr="005E403B">
        <w:t>sentencia oral.</w:t>
      </w:r>
      <w:r w:rsidR="0094071C" w:rsidRPr="005E403B">
        <w:t xml:space="preserve"> Respecto al objeto de </w:t>
      </w:r>
      <w:r w:rsidRPr="005E403B">
        <w:t>[</w:t>
      </w:r>
      <w:r w:rsidR="006911AE" w:rsidRPr="005E403B">
        <w:t>las</w:t>
      </w:r>
      <w:r w:rsidRPr="005E403B">
        <w:t>]</w:t>
      </w:r>
      <w:r w:rsidR="006911AE" w:rsidRPr="005E403B">
        <w:t xml:space="preserve"> </w:t>
      </w:r>
      <w:proofErr w:type="spellStart"/>
      <w:proofErr w:type="gramStart"/>
      <w:r w:rsidR="006911AE" w:rsidRPr="005E403B">
        <w:t>declaraci</w:t>
      </w:r>
      <w:proofErr w:type="spellEnd"/>
      <w:r w:rsidRPr="005E403B">
        <w:t>[</w:t>
      </w:r>
      <w:proofErr w:type="spellStart"/>
      <w:proofErr w:type="gramEnd"/>
      <w:r w:rsidR="006911AE" w:rsidRPr="005E403B">
        <w:t>ones</w:t>
      </w:r>
      <w:proofErr w:type="spellEnd"/>
      <w:r w:rsidRPr="005E403B">
        <w:t>]</w:t>
      </w:r>
      <w:r w:rsidR="006911AE" w:rsidRPr="005E403B">
        <w:t xml:space="preserve"> </w:t>
      </w:r>
      <w:r w:rsidR="00EA55D0" w:rsidRPr="005E403B">
        <w:t>de la Directora de la Defensa Pú</w:t>
      </w:r>
      <w:r w:rsidR="0094071C" w:rsidRPr="005E403B">
        <w:t>blic</w:t>
      </w:r>
      <w:r w:rsidR="00EA55D0" w:rsidRPr="005E403B">
        <w:t xml:space="preserve">a, Marta </w:t>
      </w:r>
      <w:r w:rsidR="0094071C" w:rsidRPr="005E403B">
        <w:t xml:space="preserve">Iris </w:t>
      </w:r>
      <w:r w:rsidR="00EA55D0" w:rsidRPr="005E403B">
        <w:t>Muñoz Cascante, y el Juez Roy Murillo Rodríguez, est</w:t>
      </w:r>
      <w:r w:rsidR="006911AE" w:rsidRPr="005E403B">
        <w:t xml:space="preserve">os </w:t>
      </w:r>
      <w:r w:rsidRPr="005E403B">
        <w:t xml:space="preserve">[…] </w:t>
      </w:r>
      <w:r w:rsidR="0094071C" w:rsidRPr="005E403B">
        <w:t>no</w:t>
      </w:r>
      <w:r w:rsidR="00EA55D0" w:rsidRPr="005E403B">
        <w:t xml:space="preserve"> </w:t>
      </w:r>
      <w:r w:rsidR="0094071C" w:rsidRPr="005E403B">
        <w:t>se circunscribe</w:t>
      </w:r>
      <w:r w:rsidRPr="005E403B">
        <w:t>[</w:t>
      </w:r>
      <w:r w:rsidR="006911AE" w:rsidRPr="005E403B">
        <w:t>n</w:t>
      </w:r>
      <w:r w:rsidRPr="005E403B">
        <w:t>]</w:t>
      </w:r>
      <w:r w:rsidR="0094071C" w:rsidRPr="005E403B">
        <w:t xml:space="preserve"> a</w:t>
      </w:r>
      <w:r w:rsidR="00EA55D0" w:rsidRPr="005E403B">
        <w:t xml:space="preserve">l </w:t>
      </w:r>
      <w:r w:rsidRPr="005E403B">
        <w:t xml:space="preserve">marco fáctico </w:t>
      </w:r>
      <w:r w:rsidR="0094071C" w:rsidRPr="005E403B">
        <w:t xml:space="preserve">del </w:t>
      </w:r>
      <w:r w:rsidR="00EA55D0" w:rsidRPr="005E403B">
        <w:t>caso. El objeto de</w:t>
      </w:r>
      <w:r w:rsidR="00E16724" w:rsidRPr="005E403B">
        <w:t xml:space="preserve"> la </w:t>
      </w:r>
      <w:r w:rsidR="00EA55D0" w:rsidRPr="005E403B">
        <w:t>declaración de la señora Muñoz no se limita</w:t>
      </w:r>
      <w:r w:rsidR="0094071C" w:rsidRPr="005E403B">
        <w:t xml:space="preserve"> a lo</w:t>
      </w:r>
      <w:r w:rsidR="00EA55D0" w:rsidRPr="005E403B">
        <w:t>s casos concretos</w:t>
      </w:r>
      <w:r w:rsidR="0094071C" w:rsidRPr="005E403B">
        <w:t xml:space="preserve"> de las presuntas </w:t>
      </w:r>
      <w:r w:rsidR="00EA55D0" w:rsidRPr="005E403B">
        <w:t xml:space="preserve">víctimas </w:t>
      </w:r>
      <w:r w:rsidR="0094071C" w:rsidRPr="005E403B">
        <w:t>en el Centro</w:t>
      </w:r>
      <w:r w:rsidR="00EA55D0" w:rsidRPr="005E403B">
        <w:t xml:space="preserve"> </w:t>
      </w:r>
      <w:r w:rsidR="0094071C" w:rsidRPr="005E403B">
        <w:t>de</w:t>
      </w:r>
      <w:r w:rsidR="00EA55D0" w:rsidRPr="005E403B">
        <w:t xml:space="preserve"> Atenció</w:t>
      </w:r>
      <w:r w:rsidR="0094071C" w:rsidRPr="005E403B">
        <w:t>n Institucional (CAI) La Refo</w:t>
      </w:r>
      <w:r w:rsidR="00EA55D0" w:rsidRPr="005E403B">
        <w:t>rma</w:t>
      </w:r>
      <w:r w:rsidR="0094071C" w:rsidRPr="005E403B">
        <w:t xml:space="preserve"> y to</w:t>
      </w:r>
      <w:r w:rsidR="00EA55D0" w:rsidRPr="005E403B">
        <w:t>ca</w:t>
      </w:r>
      <w:r w:rsidR="0094071C" w:rsidRPr="005E403B">
        <w:t xml:space="preserve"> una </w:t>
      </w:r>
      <w:r w:rsidR="00EA55D0" w:rsidRPr="005E403B">
        <w:t xml:space="preserve">temática que, además </w:t>
      </w:r>
      <w:r w:rsidR="0094071C" w:rsidRPr="005E403B">
        <w:t>de superar  el objeto</w:t>
      </w:r>
      <w:r w:rsidR="00EA55D0" w:rsidRPr="005E403B">
        <w:t xml:space="preserve"> </w:t>
      </w:r>
      <w:r w:rsidR="0094071C" w:rsidRPr="005E403B">
        <w:t xml:space="preserve">del </w:t>
      </w:r>
      <w:r w:rsidR="00EA55D0" w:rsidRPr="005E403B">
        <w:t>litigio,</w:t>
      </w:r>
      <w:r w:rsidR="0094071C" w:rsidRPr="005E403B">
        <w:t xml:space="preserve"> </w:t>
      </w:r>
      <w:r w:rsidR="00EA55D0" w:rsidRPr="005E403B">
        <w:t xml:space="preserve">está bajo estudio en instancias </w:t>
      </w:r>
      <w:r w:rsidR="0094071C" w:rsidRPr="005E403B">
        <w:t>ju</w:t>
      </w:r>
      <w:r w:rsidR="00EA55D0" w:rsidRPr="005E403B">
        <w:t>risdiccionales nacionales, cual es</w:t>
      </w:r>
      <w:r w:rsidR="0094071C" w:rsidRPr="005E403B">
        <w:t xml:space="preserve"> </w:t>
      </w:r>
      <w:r w:rsidR="00EA55D0" w:rsidRPr="005E403B">
        <w:t>l</w:t>
      </w:r>
      <w:r w:rsidR="0094071C" w:rsidRPr="005E403B">
        <w:t>a</w:t>
      </w:r>
      <w:r w:rsidR="00EA55D0" w:rsidRPr="005E403B">
        <w:t xml:space="preserve"> </w:t>
      </w:r>
      <w:r w:rsidR="0094071C" w:rsidRPr="005E403B">
        <w:t>situac</w:t>
      </w:r>
      <w:r w:rsidR="00EA55D0" w:rsidRPr="005E403B">
        <w:t xml:space="preserve">ión del sistema penitenciario costarricense. Por su parte, </w:t>
      </w:r>
      <w:r w:rsidR="0094071C" w:rsidRPr="005E403B">
        <w:t xml:space="preserve">el Juez Roy Murillo, </w:t>
      </w:r>
      <w:r w:rsidR="00EA55D0" w:rsidRPr="005E403B">
        <w:t>según lo propuesto</w:t>
      </w:r>
      <w:r w:rsidR="0094071C" w:rsidRPr="005E403B">
        <w:t>,</w:t>
      </w:r>
      <w:r w:rsidR="00EA55D0" w:rsidRPr="005E403B">
        <w:t xml:space="preserve"> </w:t>
      </w:r>
      <w:r w:rsidR="0094071C" w:rsidRPr="005E403B">
        <w:t>no</w:t>
      </w:r>
      <w:r w:rsidR="00EA55D0" w:rsidRPr="005E403B">
        <w:t xml:space="preserve"> </w:t>
      </w:r>
      <w:r w:rsidR="0094071C" w:rsidRPr="005E403B">
        <w:t xml:space="preserve">se </w:t>
      </w:r>
      <w:r w:rsidR="00EA55D0" w:rsidRPr="005E403B">
        <w:t xml:space="preserve">referirá </w:t>
      </w:r>
      <w:r w:rsidR="0094071C" w:rsidRPr="005E403B">
        <w:t>a ninguno de los casos de las presuntas v</w:t>
      </w:r>
      <w:r w:rsidR="00EA55D0" w:rsidRPr="005E403B">
        <w:t>íctimas específicamente en el CAI</w:t>
      </w:r>
      <w:r w:rsidR="0094071C" w:rsidRPr="005E403B">
        <w:t xml:space="preserve"> La Reforma</w:t>
      </w:r>
      <w:r w:rsidR="006911AE" w:rsidRPr="005E403B">
        <w:t>”</w:t>
      </w:r>
      <w:r w:rsidR="0094071C" w:rsidRPr="005E403B">
        <w:t>.</w:t>
      </w:r>
    </w:p>
    <w:p w:rsidR="00922D8B" w:rsidRPr="005E403B" w:rsidRDefault="00922D8B" w:rsidP="006066BD">
      <w:pPr>
        <w:pStyle w:val="ListParagraph"/>
        <w:widowControl w:val="0"/>
        <w:tabs>
          <w:tab w:val="left" w:pos="567"/>
        </w:tabs>
        <w:autoSpaceDE w:val="0"/>
        <w:autoSpaceDN w:val="0"/>
        <w:adjustRightInd w:val="0"/>
        <w:spacing w:after="0"/>
        <w:ind w:left="0" w:right="22"/>
        <w:contextualSpacing/>
      </w:pPr>
    </w:p>
    <w:p w:rsidR="000175B7" w:rsidRPr="005E403B" w:rsidRDefault="00EA55D0" w:rsidP="006066BD">
      <w:pPr>
        <w:pStyle w:val="ListParagraph"/>
        <w:widowControl w:val="0"/>
        <w:numPr>
          <w:ilvl w:val="0"/>
          <w:numId w:val="40"/>
        </w:numPr>
        <w:tabs>
          <w:tab w:val="left" w:pos="567"/>
        </w:tabs>
        <w:autoSpaceDE w:val="0"/>
        <w:autoSpaceDN w:val="0"/>
        <w:adjustRightInd w:val="0"/>
        <w:spacing w:after="0"/>
        <w:ind w:left="0" w:right="22" w:firstLine="0"/>
        <w:contextualSpacing/>
        <w:rPr>
          <w:szCs w:val="20"/>
        </w:rPr>
      </w:pPr>
      <w:r w:rsidRPr="005E403B">
        <w:rPr>
          <w:szCs w:val="20"/>
        </w:rPr>
        <w:t xml:space="preserve">En cuanto </w:t>
      </w:r>
      <w:r w:rsidR="009A1D3E" w:rsidRPr="005E403B">
        <w:rPr>
          <w:szCs w:val="20"/>
        </w:rPr>
        <w:t xml:space="preserve">a las objeciones del Estado </w:t>
      </w:r>
      <w:r w:rsidR="000175B7" w:rsidRPr="005E403B">
        <w:rPr>
          <w:szCs w:val="20"/>
        </w:rPr>
        <w:t xml:space="preserve">sobre </w:t>
      </w:r>
      <w:r w:rsidR="009A1D3E" w:rsidRPr="005E403B">
        <w:rPr>
          <w:szCs w:val="20"/>
        </w:rPr>
        <w:t xml:space="preserve">el testimonio de la señora Rosaura Chinchilla Calderón, </w:t>
      </w:r>
      <w:r w:rsidR="008B36A6" w:rsidRPr="005E403B">
        <w:rPr>
          <w:szCs w:val="20"/>
        </w:rPr>
        <w:t>esta Presidencia</w:t>
      </w:r>
      <w:r w:rsidR="000175B7" w:rsidRPr="005E403B">
        <w:rPr>
          <w:szCs w:val="20"/>
        </w:rPr>
        <w:t xml:space="preserve"> considera que</w:t>
      </w:r>
      <w:r w:rsidR="008B36A6" w:rsidRPr="005E403B">
        <w:rPr>
          <w:szCs w:val="20"/>
        </w:rPr>
        <w:t xml:space="preserve"> los cambios </w:t>
      </w:r>
      <w:r w:rsidR="00970DF9" w:rsidRPr="005E403B">
        <w:rPr>
          <w:szCs w:val="20"/>
        </w:rPr>
        <w:t>realizados</w:t>
      </w:r>
      <w:r w:rsidR="008B36A6" w:rsidRPr="005E403B">
        <w:rPr>
          <w:szCs w:val="20"/>
        </w:rPr>
        <w:t xml:space="preserve"> </w:t>
      </w:r>
      <w:r w:rsidR="005F0DB7" w:rsidRPr="005E403B">
        <w:rPr>
          <w:szCs w:val="20"/>
        </w:rPr>
        <w:t xml:space="preserve">en la legislación costarricense penal </w:t>
      </w:r>
      <w:r w:rsidR="00970DF9" w:rsidRPr="005E403B">
        <w:rPr>
          <w:szCs w:val="20"/>
        </w:rPr>
        <w:t xml:space="preserve">se adscribe </w:t>
      </w:r>
      <w:r w:rsidR="00091B85" w:rsidRPr="005E403B">
        <w:rPr>
          <w:i/>
          <w:szCs w:val="20"/>
        </w:rPr>
        <w:t>prima facie</w:t>
      </w:r>
      <w:r w:rsidR="00091B85" w:rsidRPr="005E403B">
        <w:rPr>
          <w:szCs w:val="20"/>
        </w:rPr>
        <w:t xml:space="preserve"> </w:t>
      </w:r>
      <w:r w:rsidR="0086127A" w:rsidRPr="005E403B">
        <w:rPr>
          <w:szCs w:val="20"/>
        </w:rPr>
        <w:t xml:space="preserve">al </w:t>
      </w:r>
      <w:r w:rsidR="00E16724" w:rsidRPr="005E403B">
        <w:rPr>
          <w:szCs w:val="20"/>
        </w:rPr>
        <w:t>objeto</w:t>
      </w:r>
      <w:r w:rsidR="0086127A" w:rsidRPr="005E403B">
        <w:rPr>
          <w:szCs w:val="20"/>
        </w:rPr>
        <w:t xml:space="preserve"> del </w:t>
      </w:r>
      <w:r w:rsidR="00970DF9" w:rsidRPr="005E403B">
        <w:rPr>
          <w:szCs w:val="20"/>
        </w:rPr>
        <w:t>caso</w:t>
      </w:r>
      <w:r w:rsidR="00091B85" w:rsidRPr="005E403B">
        <w:rPr>
          <w:szCs w:val="20"/>
        </w:rPr>
        <w:t xml:space="preserve">. </w:t>
      </w:r>
      <w:r w:rsidR="009D28A7" w:rsidRPr="005E403B">
        <w:t>Por tanto, la señora Chinchilla Calderón sería llamada a declarar bajo los términos fijados en la parte resolutiva de esta Resolución</w:t>
      </w:r>
      <w:r w:rsidR="009D28A7" w:rsidRPr="005E403B">
        <w:rPr>
          <w:rStyle w:val="FootnoteReference"/>
        </w:rPr>
        <w:footnoteReference w:id="24"/>
      </w:r>
      <w:r w:rsidR="009D28A7" w:rsidRPr="005E403B">
        <w:t>.</w:t>
      </w:r>
      <w:r w:rsidR="00146B57" w:rsidRPr="005E403B">
        <w:rPr>
          <w:szCs w:val="20"/>
        </w:rPr>
        <w:t xml:space="preserve"> </w:t>
      </w:r>
    </w:p>
    <w:p w:rsidR="000175B7" w:rsidRPr="005E403B" w:rsidRDefault="000175B7" w:rsidP="006066BD">
      <w:pPr>
        <w:pStyle w:val="ListParagraph"/>
        <w:widowControl w:val="0"/>
        <w:tabs>
          <w:tab w:val="left" w:pos="567"/>
        </w:tabs>
        <w:autoSpaceDE w:val="0"/>
        <w:autoSpaceDN w:val="0"/>
        <w:adjustRightInd w:val="0"/>
        <w:spacing w:after="0"/>
        <w:ind w:left="0" w:right="22"/>
        <w:contextualSpacing/>
        <w:rPr>
          <w:szCs w:val="20"/>
        </w:rPr>
      </w:pPr>
    </w:p>
    <w:p w:rsidR="000175B7" w:rsidRPr="005E403B" w:rsidRDefault="00A42BE9" w:rsidP="006066BD">
      <w:pPr>
        <w:pStyle w:val="ListParagraph"/>
        <w:widowControl w:val="0"/>
        <w:numPr>
          <w:ilvl w:val="0"/>
          <w:numId w:val="40"/>
        </w:numPr>
        <w:tabs>
          <w:tab w:val="left" w:pos="567"/>
        </w:tabs>
        <w:autoSpaceDE w:val="0"/>
        <w:autoSpaceDN w:val="0"/>
        <w:adjustRightInd w:val="0"/>
        <w:spacing w:after="0"/>
        <w:ind w:left="0" w:right="22" w:firstLine="0"/>
        <w:contextualSpacing/>
      </w:pPr>
      <w:r>
        <w:rPr>
          <w:szCs w:val="20"/>
        </w:rPr>
        <w:t>Con</w:t>
      </w:r>
      <w:r w:rsidRPr="005E403B">
        <w:rPr>
          <w:szCs w:val="20"/>
        </w:rPr>
        <w:t xml:space="preserve"> </w:t>
      </w:r>
      <w:r w:rsidR="00F73792" w:rsidRPr="005E403B">
        <w:rPr>
          <w:szCs w:val="20"/>
        </w:rPr>
        <w:t>relación</w:t>
      </w:r>
      <w:r w:rsidR="005F0DB7" w:rsidRPr="005E403B">
        <w:rPr>
          <w:szCs w:val="20"/>
        </w:rPr>
        <w:t xml:space="preserve"> a la declaración de Alfredo Chirino Sánchez, </w:t>
      </w:r>
      <w:r w:rsidR="005F0DB7" w:rsidRPr="005E403B">
        <w:t xml:space="preserve">esta </w:t>
      </w:r>
      <w:r w:rsidR="0050671E" w:rsidRPr="005E403B">
        <w:t>P</w:t>
      </w:r>
      <w:r w:rsidR="005F0DB7" w:rsidRPr="005E403B">
        <w:t xml:space="preserve">residencia </w:t>
      </w:r>
      <w:r w:rsidR="0050671E" w:rsidRPr="005E403B">
        <w:t>considera que la perspectiva del señor Chirino sobre las sentencias penales orales que fueron sometidas a su conocimiento</w:t>
      </w:r>
      <w:r w:rsidR="00826536" w:rsidRPr="005E403B">
        <w:t xml:space="preserve"> mediante recursos de casación</w:t>
      </w:r>
      <w:r w:rsidR="008B185B" w:rsidRPr="005E403B">
        <w:t xml:space="preserve"> y apelación</w:t>
      </w:r>
      <w:r w:rsidR="001409C1" w:rsidRPr="005E403B">
        <w:t xml:space="preserve">, así como su experiencia </w:t>
      </w:r>
      <w:r w:rsidR="008B185B" w:rsidRPr="005E403B">
        <w:t xml:space="preserve">en relación con </w:t>
      </w:r>
      <w:r w:rsidR="0050671E" w:rsidRPr="005E403B">
        <w:t>los</w:t>
      </w:r>
      <w:r w:rsidR="008B185B" w:rsidRPr="005E403B">
        <w:t xml:space="preserve"> supuestos</w:t>
      </w:r>
      <w:r w:rsidR="0050671E" w:rsidRPr="005E403B">
        <w:t xml:space="preserve"> </w:t>
      </w:r>
      <w:r w:rsidR="008B185B" w:rsidRPr="005E403B">
        <w:t>“</w:t>
      </w:r>
      <w:r w:rsidR="0050671E" w:rsidRPr="005E403B">
        <w:t xml:space="preserve">formalismos jurisprudenciales y normativos con respecto a las políticas y jurisprudencia en el tema de admisibilidad por parte de la Sala III en materia de recurso de casación </w:t>
      </w:r>
      <w:r w:rsidR="001409C1" w:rsidRPr="005E403B">
        <w:t>y del procedimiento de revisión</w:t>
      </w:r>
      <w:r w:rsidR="008B185B" w:rsidRPr="005E403B">
        <w:t>”</w:t>
      </w:r>
      <w:r w:rsidR="001409C1" w:rsidRPr="005E403B">
        <w:t>, s</w:t>
      </w:r>
      <w:r w:rsidR="001B47A8">
        <w:t>í</w:t>
      </w:r>
      <w:r w:rsidR="001409C1" w:rsidRPr="005E403B">
        <w:t xml:space="preserve"> se adscriben, </w:t>
      </w:r>
      <w:r w:rsidR="001409C1" w:rsidRPr="005E403B">
        <w:rPr>
          <w:i/>
        </w:rPr>
        <w:t>prima facie,</w:t>
      </w:r>
      <w:r w:rsidR="001409C1" w:rsidRPr="005E403B">
        <w:t xml:space="preserve"> al objeto de la </w:t>
      </w:r>
      <w:proofErr w:type="spellStart"/>
      <w:r w:rsidR="001409C1" w:rsidRPr="005E403B">
        <w:t>litis</w:t>
      </w:r>
      <w:proofErr w:type="spellEnd"/>
      <w:r w:rsidR="001409C1" w:rsidRPr="005E403B">
        <w:t xml:space="preserve"> del caso. </w:t>
      </w:r>
      <w:r w:rsidR="0050671E" w:rsidRPr="005E403B">
        <w:t>Por lo tanto, se admite el testimonio del señor Eric Alfredo Chirino Sánchez según el objeto especificado en la parte Resolutiva de esta Resolución</w:t>
      </w:r>
      <w:r w:rsidR="005F0DB7" w:rsidRPr="005E403B">
        <w:rPr>
          <w:rStyle w:val="FootnoteReference"/>
        </w:rPr>
        <w:footnoteReference w:id="25"/>
      </w:r>
      <w:r w:rsidR="005F0DB7" w:rsidRPr="005E403B">
        <w:t>.</w:t>
      </w:r>
    </w:p>
    <w:p w:rsidR="000175B7" w:rsidRPr="005E403B" w:rsidRDefault="000175B7" w:rsidP="006066BD">
      <w:pPr>
        <w:pStyle w:val="ListParagraph"/>
        <w:widowControl w:val="0"/>
        <w:tabs>
          <w:tab w:val="left" w:pos="567"/>
        </w:tabs>
        <w:autoSpaceDE w:val="0"/>
        <w:autoSpaceDN w:val="0"/>
        <w:adjustRightInd w:val="0"/>
        <w:spacing w:after="0"/>
        <w:ind w:left="0" w:right="22"/>
        <w:contextualSpacing/>
      </w:pPr>
    </w:p>
    <w:p w:rsidR="0050671E" w:rsidRPr="006F390E" w:rsidRDefault="004D44A9" w:rsidP="006066BD">
      <w:pPr>
        <w:pStyle w:val="ListParagraph"/>
        <w:widowControl w:val="0"/>
        <w:numPr>
          <w:ilvl w:val="0"/>
          <w:numId w:val="40"/>
        </w:numPr>
        <w:tabs>
          <w:tab w:val="left" w:pos="567"/>
        </w:tabs>
        <w:autoSpaceDE w:val="0"/>
        <w:autoSpaceDN w:val="0"/>
        <w:adjustRightInd w:val="0"/>
        <w:spacing w:after="0"/>
        <w:ind w:left="0" w:right="22" w:firstLine="0"/>
        <w:contextualSpacing/>
        <w:rPr>
          <w:b/>
          <w:sz w:val="16"/>
        </w:rPr>
      </w:pPr>
      <w:r w:rsidRPr="005E403B">
        <w:t>Respecto al objeto de declaración de la Directora de la Defensa Pública</w:t>
      </w:r>
      <w:r w:rsidR="006805DF" w:rsidRPr="005E403B">
        <w:t xml:space="preserve"> Marta Iris Muñoz Cascante, el Presidente considera que las condiciones de detención en el CAI La </w:t>
      </w:r>
      <w:r w:rsidR="006805DF" w:rsidRPr="005E403B">
        <w:lastRenderedPageBreak/>
        <w:t xml:space="preserve">Reforma </w:t>
      </w:r>
      <w:r w:rsidR="0050671E" w:rsidRPr="005E403B">
        <w:t xml:space="preserve">se encontrarían </w:t>
      </w:r>
      <w:r w:rsidR="00091B85" w:rsidRPr="005E403B">
        <w:rPr>
          <w:iCs/>
        </w:rPr>
        <w:t>dentro de</w:t>
      </w:r>
      <w:r w:rsidR="0050671E" w:rsidRPr="005E403B">
        <w:rPr>
          <w:iCs/>
        </w:rPr>
        <w:t xml:space="preserve"> los hechos que </w:t>
      </w:r>
      <w:r w:rsidR="00091B85" w:rsidRPr="005E403B">
        <w:rPr>
          <w:i/>
          <w:iCs/>
        </w:rPr>
        <w:t>prima facie</w:t>
      </w:r>
      <w:r w:rsidR="00091B85" w:rsidRPr="005E403B">
        <w:rPr>
          <w:iCs/>
        </w:rPr>
        <w:t xml:space="preserve"> forman parte de la </w:t>
      </w:r>
      <w:proofErr w:type="spellStart"/>
      <w:r w:rsidR="000E25A9" w:rsidRPr="005E403B">
        <w:rPr>
          <w:iCs/>
        </w:rPr>
        <w:t>litis</w:t>
      </w:r>
      <w:proofErr w:type="spellEnd"/>
      <w:r w:rsidR="006805DF" w:rsidRPr="005E403B">
        <w:rPr>
          <w:iCs/>
        </w:rPr>
        <w:t xml:space="preserve"> del caso</w:t>
      </w:r>
      <w:r w:rsidR="0050671E" w:rsidRPr="005E403B">
        <w:rPr>
          <w:iCs/>
        </w:rPr>
        <w:t xml:space="preserve">. </w:t>
      </w:r>
      <w:r w:rsidR="00E01837">
        <w:rPr>
          <w:iCs/>
        </w:rPr>
        <w:t xml:space="preserve">Sin embargo, las “restantes unidades carcelarias del país” no se encontrarían dentro del objeto del caso. </w:t>
      </w:r>
      <w:r w:rsidR="006805DF" w:rsidRPr="005E403B">
        <w:t xml:space="preserve">Consecuentemente, la </w:t>
      </w:r>
      <w:r w:rsidR="00E01837">
        <w:t xml:space="preserve">declaración de la </w:t>
      </w:r>
      <w:r w:rsidR="006805DF" w:rsidRPr="005E403B">
        <w:t xml:space="preserve">señora Muñoz Cascante </w:t>
      </w:r>
      <w:r w:rsidR="0050671E" w:rsidRPr="005E403B">
        <w:t xml:space="preserve">será recibida en </w:t>
      </w:r>
      <w:r w:rsidR="006805DF" w:rsidRPr="005E403B">
        <w:t>los términos fijados en la parte resolutiva de esta Resolución</w:t>
      </w:r>
      <w:r w:rsidR="00E567D5" w:rsidRPr="005E403B">
        <w:t>.</w:t>
      </w:r>
      <w:r w:rsidR="00E01837" w:rsidRPr="006F390E">
        <w:rPr>
          <w:b/>
          <w:sz w:val="16"/>
        </w:rPr>
        <w:t xml:space="preserve"> </w:t>
      </w:r>
    </w:p>
    <w:p w:rsidR="0050671E" w:rsidRPr="005E403B" w:rsidRDefault="0050671E" w:rsidP="006066BD">
      <w:pPr>
        <w:pStyle w:val="ListParagraph"/>
        <w:widowControl w:val="0"/>
        <w:tabs>
          <w:tab w:val="left" w:pos="567"/>
        </w:tabs>
        <w:autoSpaceDE w:val="0"/>
        <w:autoSpaceDN w:val="0"/>
        <w:adjustRightInd w:val="0"/>
        <w:spacing w:after="0"/>
        <w:ind w:left="0" w:right="22"/>
        <w:contextualSpacing/>
      </w:pPr>
    </w:p>
    <w:p w:rsidR="00B62BC7" w:rsidRPr="005E403B" w:rsidRDefault="0050671E" w:rsidP="006066BD">
      <w:pPr>
        <w:pStyle w:val="ListParagraph"/>
        <w:widowControl w:val="0"/>
        <w:numPr>
          <w:ilvl w:val="0"/>
          <w:numId w:val="40"/>
        </w:numPr>
        <w:tabs>
          <w:tab w:val="left" w:pos="567"/>
        </w:tabs>
        <w:autoSpaceDE w:val="0"/>
        <w:autoSpaceDN w:val="0"/>
        <w:adjustRightInd w:val="0"/>
        <w:spacing w:after="0"/>
        <w:ind w:left="0" w:right="22" w:firstLine="0"/>
        <w:contextualSpacing/>
      </w:pPr>
      <w:r w:rsidRPr="005E403B">
        <w:t>E</w:t>
      </w:r>
      <w:r w:rsidR="00E85E27" w:rsidRPr="005E403B">
        <w:t>n relación con la declaración del señor Roy Murillo Rodríguez</w:t>
      </w:r>
      <w:r w:rsidR="001D4B96" w:rsidRPr="005E403B">
        <w:t xml:space="preserve">, </w:t>
      </w:r>
      <w:r w:rsidR="001D4B96" w:rsidRPr="005E403B">
        <w:rPr>
          <w:szCs w:val="20"/>
        </w:rPr>
        <w:t xml:space="preserve">el Presidente </w:t>
      </w:r>
      <w:r w:rsidR="00945B7B" w:rsidRPr="005E403B">
        <w:rPr>
          <w:szCs w:val="20"/>
        </w:rPr>
        <w:t xml:space="preserve">considera que el objeto de su testimonio se adscribe </w:t>
      </w:r>
      <w:r w:rsidR="00945B7B" w:rsidRPr="005E403B">
        <w:rPr>
          <w:i/>
          <w:szCs w:val="20"/>
        </w:rPr>
        <w:t>prima facie</w:t>
      </w:r>
      <w:r w:rsidR="00945B7B" w:rsidRPr="005E403B">
        <w:rPr>
          <w:szCs w:val="20"/>
        </w:rPr>
        <w:t xml:space="preserve"> al objeto del caso en la medida en que se refiera a la situación</w:t>
      </w:r>
      <w:r w:rsidR="003F33CA" w:rsidRPr="005E403B">
        <w:rPr>
          <w:szCs w:val="20"/>
        </w:rPr>
        <w:t xml:space="preserve"> del CAI la Reforma, por lo que el Presidente </w:t>
      </w:r>
      <w:r w:rsidR="001D4B96" w:rsidRPr="005E403B">
        <w:t>estim</w:t>
      </w:r>
      <w:r w:rsidRPr="005E403B">
        <w:t>a</w:t>
      </w:r>
      <w:r w:rsidR="001D4B96" w:rsidRPr="005E403B">
        <w:t xml:space="preserve"> pertinente recibir su declaración </w:t>
      </w:r>
      <w:r w:rsidRPr="005E403B">
        <w:t xml:space="preserve">según </w:t>
      </w:r>
      <w:r w:rsidR="001D4B96" w:rsidRPr="005E403B">
        <w:t xml:space="preserve">el objeto </w:t>
      </w:r>
      <w:r w:rsidR="00945B7B" w:rsidRPr="005E403B">
        <w:t>establecido en</w:t>
      </w:r>
      <w:r w:rsidR="003F33CA" w:rsidRPr="005E403B">
        <w:t xml:space="preserve"> la parte resolutiva de esta sentencia</w:t>
      </w:r>
      <w:r w:rsidR="001D4B96" w:rsidRPr="005E403B">
        <w:t>.</w:t>
      </w:r>
    </w:p>
    <w:p w:rsidR="00945B7B" w:rsidRPr="005E403B" w:rsidRDefault="00945B7B" w:rsidP="004F3266">
      <w:pPr>
        <w:pStyle w:val="ListParagraph"/>
        <w:widowControl w:val="0"/>
        <w:tabs>
          <w:tab w:val="left" w:pos="567"/>
        </w:tabs>
        <w:autoSpaceDE w:val="0"/>
        <w:autoSpaceDN w:val="0"/>
        <w:adjustRightInd w:val="0"/>
        <w:spacing w:after="0"/>
        <w:ind w:left="0" w:right="22"/>
        <w:contextualSpacing/>
      </w:pPr>
    </w:p>
    <w:p w:rsidR="0050671E" w:rsidRPr="005E403B" w:rsidRDefault="0050671E" w:rsidP="006066BD">
      <w:pPr>
        <w:pStyle w:val="Heading1"/>
        <w:spacing w:before="0"/>
        <w:rPr>
          <w:rFonts w:eastAsia="Calibri" w:cs="Times"/>
          <w:b w:val="0"/>
          <w:bCs w:val="0"/>
          <w:szCs w:val="20"/>
        </w:rPr>
      </w:pPr>
      <w:r w:rsidRPr="005E403B">
        <w:rPr>
          <w:b w:val="0"/>
          <w:i/>
        </w:rPr>
        <w:t xml:space="preserve">D.3. Observaciones del Estado </w:t>
      </w:r>
      <w:r w:rsidR="00FA40E2" w:rsidRPr="005E403B">
        <w:rPr>
          <w:b w:val="0"/>
          <w:i/>
        </w:rPr>
        <w:t>sobre e</w:t>
      </w:r>
      <w:r w:rsidRPr="005E403B">
        <w:rPr>
          <w:b w:val="0"/>
          <w:i/>
        </w:rPr>
        <w:t xml:space="preserve">l </w:t>
      </w:r>
      <w:r w:rsidR="00FA40E2" w:rsidRPr="005E403B">
        <w:rPr>
          <w:b w:val="0"/>
          <w:i/>
        </w:rPr>
        <w:t>o</w:t>
      </w:r>
      <w:r w:rsidRPr="005E403B">
        <w:rPr>
          <w:b w:val="0"/>
          <w:i/>
        </w:rPr>
        <w:t>bjeto de los peritajes propuestos por los Defensores Públicos Interamericanos</w:t>
      </w:r>
      <w:r w:rsidRPr="005E403B">
        <w:rPr>
          <w:rFonts w:eastAsia="Calibri" w:cs="Times"/>
          <w:b w:val="0"/>
          <w:bCs w:val="0"/>
          <w:szCs w:val="20"/>
        </w:rPr>
        <w:t xml:space="preserve"> </w:t>
      </w:r>
    </w:p>
    <w:p w:rsidR="0050671E" w:rsidRPr="005E403B" w:rsidRDefault="0050671E" w:rsidP="006066BD">
      <w:pPr>
        <w:pStyle w:val="ListParagraph"/>
        <w:widowControl w:val="0"/>
        <w:tabs>
          <w:tab w:val="left" w:pos="567"/>
        </w:tabs>
        <w:autoSpaceDE w:val="0"/>
        <w:autoSpaceDN w:val="0"/>
        <w:adjustRightInd w:val="0"/>
        <w:spacing w:after="0"/>
        <w:ind w:left="0" w:right="22"/>
        <w:contextualSpacing/>
        <w:rPr>
          <w:szCs w:val="20"/>
        </w:rPr>
      </w:pPr>
    </w:p>
    <w:p w:rsidR="001D52C4" w:rsidRPr="005E403B" w:rsidRDefault="0050671E" w:rsidP="006066BD">
      <w:pPr>
        <w:pStyle w:val="ListParagraph"/>
        <w:widowControl w:val="0"/>
        <w:numPr>
          <w:ilvl w:val="0"/>
          <w:numId w:val="40"/>
        </w:numPr>
        <w:tabs>
          <w:tab w:val="left" w:pos="567"/>
        </w:tabs>
        <w:autoSpaceDE w:val="0"/>
        <w:autoSpaceDN w:val="0"/>
        <w:adjustRightInd w:val="0"/>
        <w:spacing w:after="0"/>
        <w:ind w:left="0" w:right="22" w:firstLine="0"/>
        <w:contextualSpacing/>
        <w:rPr>
          <w:szCs w:val="20"/>
        </w:rPr>
      </w:pPr>
      <w:r w:rsidRPr="005E403B">
        <w:rPr>
          <w:szCs w:val="20"/>
        </w:rPr>
        <w:t xml:space="preserve">Los </w:t>
      </w:r>
      <w:r w:rsidR="00432AEA" w:rsidRPr="006F390E">
        <w:rPr>
          <w:b/>
          <w:i/>
          <w:szCs w:val="20"/>
        </w:rPr>
        <w:t>Defensores Públicos Interamericanos</w:t>
      </w:r>
      <w:r w:rsidR="00721404" w:rsidRPr="005E403B">
        <w:rPr>
          <w:szCs w:val="20"/>
        </w:rPr>
        <w:t xml:space="preserve"> confirmaron en su lista definitiva de declarantes a</w:t>
      </w:r>
      <w:r w:rsidR="001B47A8">
        <w:rPr>
          <w:szCs w:val="20"/>
        </w:rPr>
        <w:t>l perito</w:t>
      </w:r>
      <w:r w:rsidR="00721404" w:rsidRPr="005E403B">
        <w:rPr>
          <w:szCs w:val="20"/>
        </w:rPr>
        <w:t xml:space="preserve"> José Joaquín Ureña Salazar</w:t>
      </w:r>
      <w:r w:rsidR="00FA40E2" w:rsidRPr="005E403B">
        <w:rPr>
          <w:szCs w:val="20"/>
        </w:rPr>
        <w:t>,</w:t>
      </w:r>
      <w:r w:rsidR="00721404" w:rsidRPr="005E403B">
        <w:rPr>
          <w:szCs w:val="20"/>
        </w:rPr>
        <w:t xml:space="preserve"> quien rendiría peritaje sobre</w:t>
      </w:r>
      <w:r w:rsidR="00DE7788" w:rsidRPr="005E403B">
        <w:rPr>
          <w:szCs w:val="20"/>
        </w:rPr>
        <w:t>:</w:t>
      </w:r>
      <w:r w:rsidR="00721404" w:rsidRPr="005E403B">
        <w:rPr>
          <w:szCs w:val="20"/>
        </w:rPr>
        <w:t xml:space="preserve"> “los antecedentes normativos, históricos, sociológicos, ideológicos del derecho a recurrir el fallo condenatorio y el acceso a la justicia como un derecho fundamental en la legislación costarricense y los estándares nacionales e internacionales en la materia</w:t>
      </w:r>
      <w:r w:rsidR="00DE7788" w:rsidRPr="005E403B">
        <w:rPr>
          <w:szCs w:val="20"/>
        </w:rPr>
        <w:t>;</w:t>
      </w:r>
      <w:r w:rsidR="00721404" w:rsidRPr="005E403B">
        <w:rPr>
          <w:szCs w:val="20"/>
        </w:rPr>
        <w:t xml:space="preserve"> </w:t>
      </w:r>
      <w:r w:rsidR="00DE7788" w:rsidRPr="005E403B">
        <w:rPr>
          <w:szCs w:val="20"/>
        </w:rPr>
        <w:t>[s]</w:t>
      </w:r>
      <w:r w:rsidR="00721404" w:rsidRPr="005E403B">
        <w:rPr>
          <w:szCs w:val="20"/>
        </w:rPr>
        <w:t xml:space="preserve">obre los efectos del fallo </w:t>
      </w:r>
      <w:r w:rsidR="00721404" w:rsidRPr="005E403B">
        <w:rPr>
          <w:i/>
          <w:szCs w:val="20"/>
        </w:rPr>
        <w:t xml:space="preserve">Herrera Ulloa </w:t>
      </w:r>
      <w:r w:rsidR="00DE7788" w:rsidRPr="005E403B">
        <w:rPr>
          <w:i/>
          <w:szCs w:val="20"/>
        </w:rPr>
        <w:t>V</w:t>
      </w:r>
      <w:r w:rsidR="00721404" w:rsidRPr="005E403B">
        <w:rPr>
          <w:i/>
          <w:szCs w:val="20"/>
        </w:rPr>
        <w:t>s</w:t>
      </w:r>
      <w:r w:rsidR="002A32F3" w:rsidRPr="005E403B">
        <w:rPr>
          <w:i/>
          <w:szCs w:val="20"/>
        </w:rPr>
        <w:t>.</w:t>
      </w:r>
      <w:r w:rsidR="00721404" w:rsidRPr="005E403B">
        <w:rPr>
          <w:i/>
          <w:szCs w:val="20"/>
        </w:rPr>
        <w:t xml:space="preserve"> Costa Rica</w:t>
      </w:r>
      <w:r w:rsidR="00721404" w:rsidRPr="005E403B">
        <w:rPr>
          <w:szCs w:val="20"/>
        </w:rPr>
        <w:t xml:space="preserve"> en el ámbito normativo, jurisprudencial y académico costarricense</w:t>
      </w:r>
      <w:r w:rsidR="00DE7788" w:rsidRPr="005E403B">
        <w:rPr>
          <w:szCs w:val="20"/>
        </w:rPr>
        <w:t>; [e]</w:t>
      </w:r>
      <w:proofErr w:type="spellStart"/>
      <w:r w:rsidR="00721404" w:rsidRPr="005E403B">
        <w:rPr>
          <w:szCs w:val="20"/>
        </w:rPr>
        <w:t>stadísticas</w:t>
      </w:r>
      <w:proofErr w:type="spellEnd"/>
      <w:r w:rsidR="00721404" w:rsidRPr="005E403B">
        <w:rPr>
          <w:szCs w:val="20"/>
        </w:rPr>
        <w:t>, cambios normativos y jurisprudenciales de 1975 al presente en relación con el recurso de casación, del recurso y procedimiento de revisión y del recurso de apelación de sentencia</w:t>
      </w:r>
      <w:r w:rsidR="00DE7788" w:rsidRPr="005E403B">
        <w:rPr>
          <w:szCs w:val="20"/>
        </w:rPr>
        <w:t>;</w:t>
      </w:r>
      <w:r w:rsidR="00721404" w:rsidRPr="005E403B">
        <w:rPr>
          <w:szCs w:val="20"/>
        </w:rPr>
        <w:t xml:space="preserve"> </w:t>
      </w:r>
      <w:r w:rsidR="00DE7788" w:rsidRPr="005E403B">
        <w:rPr>
          <w:szCs w:val="20"/>
        </w:rPr>
        <w:t>[s]</w:t>
      </w:r>
      <w:r w:rsidR="00721404" w:rsidRPr="005E403B">
        <w:rPr>
          <w:szCs w:val="20"/>
        </w:rPr>
        <w:t>obre la vulneración a las garantías judiciales del sistema interamericano de la sentencia penal oral en Costa Rica</w:t>
      </w:r>
      <w:r w:rsidR="00DE7788" w:rsidRPr="005E403B">
        <w:rPr>
          <w:szCs w:val="20"/>
        </w:rPr>
        <w:t>; [s]</w:t>
      </w:r>
      <w:r w:rsidR="00721404" w:rsidRPr="005E403B">
        <w:rPr>
          <w:szCs w:val="20"/>
        </w:rPr>
        <w:t>obre los estándares nacionales e internacionales sobre el tema del derecho al juez imparcial en el proceso penal en relación con los hechos del presente caso</w:t>
      </w:r>
      <w:r w:rsidR="00DE7788" w:rsidRPr="005E403B">
        <w:rPr>
          <w:szCs w:val="20"/>
        </w:rPr>
        <w:t>; [y s]</w:t>
      </w:r>
      <w:r w:rsidR="00721404" w:rsidRPr="005E403B">
        <w:rPr>
          <w:szCs w:val="20"/>
        </w:rPr>
        <w:t>obre cualquier extremo o aclaración que la Comisión IDH o la Corte IDH pueda solicitar al perito”</w:t>
      </w:r>
      <w:r w:rsidR="002A32F3" w:rsidRPr="005E403B">
        <w:rPr>
          <w:szCs w:val="20"/>
        </w:rPr>
        <w:t>.</w:t>
      </w:r>
      <w:r w:rsidR="001B47A8">
        <w:rPr>
          <w:b/>
          <w:szCs w:val="20"/>
        </w:rPr>
        <w:t xml:space="preserve"> </w:t>
      </w:r>
      <w:r w:rsidR="00DE7788" w:rsidRPr="005E403B">
        <w:rPr>
          <w:szCs w:val="20"/>
        </w:rPr>
        <w:t xml:space="preserve">Los Defensores Públicos Interamericanos también confirmaron al </w:t>
      </w:r>
      <w:r w:rsidR="002A32F3" w:rsidRPr="005E403B">
        <w:rPr>
          <w:szCs w:val="20"/>
        </w:rPr>
        <w:t>p</w:t>
      </w:r>
      <w:r w:rsidR="00DE7788" w:rsidRPr="005E403B">
        <w:rPr>
          <w:szCs w:val="20"/>
        </w:rPr>
        <w:t>erito Juan Gerardo Ugalde Lobo, quien se referiría a:</w:t>
      </w:r>
      <w:r w:rsidR="00721404" w:rsidRPr="005E403B">
        <w:rPr>
          <w:szCs w:val="20"/>
        </w:rPr>
        <w:t xml:space="preserve"> “</w:t>
      </w:r>
      <w:r w:rsidR="001B47A8">
        <w:rPr>
          <w:szCs w:val="20"/>
        </w:rPr>
        <w:t>[l]</w:t>
      </w:r>
      <w:r w:rsidR="00721404" w:rsidRPr="005E403B">
        <w:rPr>
          <w:szCs w:val="20"/>
        </w:rPr>
        <w:t xml:space="preserve">as condiciones mínimas de alimentación y tratamiento médico que debe tener el señor Rojas Madrigal debido a sus patologías metabólicas, esteatosis </w:t>
      </w:r>
      <w:r w:rsidR="00796C85" w:rsidRPr="005E403B">
        <w:rPr>
          <w:szCs w:val="20"/>
        </w:rPr>
        <w:t>hepática</w:t>
      </w:r>
      <w:r w:rsidR="00721404" w:rsidRPr="005E403B">
        <w:rPr>
          <w:szCs w:val="20"/>
        </w:rPr>
        <w:t xml:space="preserve">, hipertensión arterial y demás padecimientos crónicos, así como al problema de falta de agua potable en el centro penitenciario </w:t>
      </w:r>
      <w:r w:rsidR="00796C85" w:rsidRPr="005E403B">
        <w:rPr>
          <w:szCs w:val="20"/>
        </w:rPr>
        <w:t xml:space="preserve">La Reforma </w:t>
      </w:r>
      <w:r w:rsidR="00721404" w:rsidRPr="005E403B">
        <w:rPr>
          <w:szCs w:val="20"/>
        </w:rPr>
        <w:t>y en cualquier centro carcelario</w:t>
      </w:r>
      <w:r w:rsidR="00796C85" w:rsidRPr="005E403B">
        <w:rPr>
          <w:szCs w:val="20"/>
        </w:rPr>
        <w:t>; [l]</w:t>
      </w:r>
      <w:r w:rsidR="00721404" w:rsidRPr="005E403B">
        <w:rPr>
          <w:szCs w:val="20"/>
        </w:rPr>
        <w:t>os problemas de salud que tienen los privados de libertad en centros carcelarios con hacinamiento y falta de agua potable</w:t>
      </w:r>
      <w:r w:rsidR="00796C85" w:rsidRPr="005E403B">
        <w:rPr>
          <w:szCs w:val="20"/>
        </w:rPr>
        <w:t>; […]</w:t>
      </w:r>
      <w:r w:rsidR="00721404" w:rsidRPr="005E403B">
        <w:rPr>
          <w:szCs w:val="20"/>
        </w:rPr>
        <w:t xml:space="preserve"> la determinación de la valoración del daño corporal e integridad corporal y a la salud del señor Rojas Madrigal</w:t>
      </w:r>
      <w:r w:rsidR="00796C85" w:rsidRPr="005E403B">
        <w:rPr>
          <w:szCs w:val="20"/>
        </w:rPr>
        <w:t>; [y s]</w:t>
      </w:r>
      <w:r w:rsidR="00721404" w:rsidRPr="005E403B">
        <w:rPr>
          <w:szCs w:val="20"/>
        </w:rPr>
        <w:t>obre cualquier extremo que la Comisión IDH o la Corte IDH pueda solicitar desde la experticia médica del perito”</w:t>
      </w:r>
      <w:r w:rsidR="002A32F3" w:rsidRPr="005E403B">
        <w:rPr>
          <w:szCs w:val="20"/>
        </w:rPr>
        <w:t>.</w:t>
      </w:r>
    </w:p>
    <w:p w:rsidR="00E8018A" w:rsidRPr="005E403B" w:rsidRDefault="00E8018A" w:rsidP="006066BD">
      <w:pPr>
        <w:pStyle w:val="ListParagraph"/>
        <w:widowControl w:val="0"/>
        <w:tabs>
          <w:tab w:val="left" w:pos="567"/>
        </w:tabs>
        <w:autoSpaceDE w:val="0"/>
        <w:autoSpaceDN w:val="0"/>
        <w:adjustRightInd w:val="0"/>
        <w:spacing w:after="0"/>
        <w:ind w:left="0" w:right="22"/>
        <w:contextualSpacing/>
        <w:rPr>
          <w:szCs w:val="20"/>
        </w:rPr>
      </w:pPr>
    </w:p>
    <w:p w:rsidR="001D52C4" w:rsidRPr="005E403B" w:rsidRDefault="00721404" w:rsidP="006066BD">
      <w:pPr>
        <w:pStyle w:val="ListParagraph"/>
        <w:widowControl w:val="0"/>
        <w:numPr>
          <w:ilvl w:val="0"/>
          <w:numId w:val="40"/>
        </w:numPr>
        <w:tabs>
          <w:tab w:val="left" w:pos="567"/>
        </w:tabs>
        <w:autoSpaceDE w:val="0"/>
        <w:autoSpaceDN w:val="0"/>
        <w:adjustRightInd w:val="0"/>
        <w:spacing w:after="0"/>
        <w:ind w:left="0" w:right="22" w:firstLine="0"/>
        <w:contextualSpacing/>
        <w:rPr>
          <w:szCs w:val="20"/>
        </w:rPr>
      </w:pPr>
      <w:r w:rsidRPr="005E403B">
        <w:rPr>
          <w:szCs w:val="20"/>
        </w:rPr>
        <w:t xml:space="preserve">El </w:t>
      </w:r>
      <w:r w:rsidRPr="005E403B">
        <w:rPr>
          <w:b/>
          <w:i/>
          <w:szCs w:val="20"/>
        </w:rPr>
        <w:t>Estado</w:t>
      </w:r>
      <w:r w:rsidRPr="005E403B">
        <w:rPr>
          <w:szCs w:val="20"/>
        </w:rPr>
        <w:t xml:space="preserve"> </w:t>
      </w:r>
      <w:r w:rsidR="00796C85" w:rsidRPr="005E403B">
        <w:rPr>
          <w:szCs w:val="20"/>
        </w:rPr>
        <w:t xml:space="preserve">no </w:t>
      </w:r>
      <w:r w:rsidR="002A32F3" w:rsidRPr="005E403B">
        <w:rPr>
          <w:szCs w:val="20"/>
        </w:rPr>
        <w:t>recusó a los peritos</w:t>
      </w:r>
      <w:r w:rsidR="00796C85" w:rsidRPr="005E403B">
        <w:rPr>
          <w:szCs w:val="20"/>
        </w:rPr>
        <w:t>. No obstante</w:t>
      </w:r>
      <w:r w:rsidRPr="005E403B">
        <w:rPr>
          <w:szCs w:val="20"/>
        </w:rPr>
        <w:t xml:space="preserve">, </w:t>
      </w:r>
      <w:r w:rsidR="001D52C4" w:rsidRPr="005E403B">
        <w:rPr>
          <w:szCs w:val="20"/>
        </w:rPr>
        <w:t>en relación con el perit</w:t>
      </w:r>
      <w:r w:rsidR="002A32F3" w:rsidRPr="005E403B">
        <w:rPr>
          <w:szCs w:val="20"/>
        </w:rPr>
        <w:t>aje de</w:t>
      </w:r>
      <w:r w:rsidR="001D52C4" w:rsidRPr="005E403B">
        <w:rPr>
          <w:szCs w:val="20"/>
        </w:rPr>
        <w:t xml:space="preserve"> Juan  Gerardo Ugalde Lobo</w:t>
      </w:r>
      <w:r w:rsidR="00796C85" w:rsidRPr="005E403B">
        <w:rPr>
          <w:szCs w:val="20"/>
        </w:rPr>
        <w:t>, alegó que</w:t>
      </w:r>
      <w:r w:rsidR="001D52C4" w:rsidRPr="005E403B">
        <w:rPr>
          <w:szCs w:val="20"/>
        </w:rPr>
        <w:t xml:space="preserve"> “el objeto de su declaración supera el objeto de la </w:t>
      </w:r>
      <w:proofErr w:type="spellStart"/>
      <w:r w:rsidR="00796C85" w:rsidRPr="005E403B">
        <w:rPr>
          <w:szCs w:val="20"/>
        </w:rPr>
        <w:t>l</w:t>
      </w:r>
      <w:r w:rsidR="000E25A9" w:rsidRPr="005E403B">
        <w:rPr>
          <w:szCs w:val="20"/>
        </w:rPr>
        <w:t>itis</w:t>
      </w:r>
      <w:proofErr w:type="spellEnd"/>
      <w:r w:rsidR="00796C85" w:rsidRPr="005E403B">
        <w:rPr>
          <w:szCs w:val="20"/>
        </w:rPr>
        <w:t xml:space="preserve"> </w:t>
      </w:r>
      <w:r w:rsidR="001D52C4" w:rsidRPr="005E403B">
        <w:rPr>
          <w:szCs w:val="20"/>
        </w:rPr>
        <w:t>en</w:t>
      </w:r>
      <w:r w:rsidR="00796C85" w:rsidRPr="005E403B">
        <w:rPr>
          <w:szCs w:val="20"/>
        </w:rPr>
        <w:t xml:space="preserve"> </w:t>
      </w:r>
      <w:r w:rsidR="001D52C4" w:rsidRPr="005E403B">
        <w:rPr>
          <w:szCs w:val="20"/>
        </w:rPr>
        <w:t>el tanto</w:t>
      </w:r>
      <w:r w:rsidR="00796C85" w:rsidRPr="005E403B">
        <w:rPr>
          <w:szCs w:val="20"/>
        </w:rPr>
        <w:t xml:space="preserve"> </w:t>
      </w:r>
      <w:r w:rsidR="001D52C4" w:rsidRPr="005E403B">
        <w:rPr>
          <w:szCs w:val="20"/>
        </w:rPr>
        <w:t xml:space="preserve">en el Caso </w:t>
      </w:r>
      <w:proofErr w:type="spellStart"/>
      <w:r w:rsidR="001D52C4" w:rsidRPr="005E403B">
        <w:rPr>
          <w:i/>
          <w:szCs w:val="20"/>
        </w:rPr>
        <w:t>Amrhein</w:t>
      </w:r>
      <w:proofErr w:type="spellEnd"/>
      <w:r w:rsidR="001D52C4" w:rsidRPr="005E403B">
        <w:rPr>
          <w:i/>
          <w:szCs w:val="20"/>
        </w:rPr>
        <w:t xml:space="preserve"> y otros</w:t>
      </w:r>
      <w:r w:rsidR="001D52C4" w:rsidRPr="005E403B">
        <w:rPr>
          <w:szCs w:val="20"/>
        </w:rPr>
        <w:t xml:space="preserve"> no se ventilan condiciones generales de detención</w:t>
      </w:r>
      <w:r w:rsidR="002A32F3" w:rsidRPr="005E403B">
        <w:rPr>
          <w:szCs w:val="20"/>
        </w:rPr>
        <w:t>”</w:t>
      </w:r>
      <w:r w:rsidR="001D52C4" w:rsidRPr="005E403B">
        <w:rPr>
          <w:szCs w:val="20"/>
        </w:rPr>
        <w:t xml:space="preserve">. De esa manera, </w:t>
      </w:r>
      <w:r w:rsidR="00CA0F68">
        <w:rPr>
          <w:szCs w:val="20"/>
        </w:rPr>
        <w:t xml:space="preserve">sostuvo que </w:t>
      </w:r>
      <w:r w:rsidR="001D52C4" w:rsidRPr="005E403B">
        <w:rPr>
          <w:szCs w:val="20"/>
        </w:rPr>
        <w:t>el aspecto plantea</w:t>
      </w:r>
      <w:r w:rsidR="00CA0F68">
        <w:rPr>
          <w:szCs w:val="20"/>
        </w:rPr>
        <w:t>do</w:t>
      </w:r>
      <w:r w:rsidR="001D52C4" w:rsidRPr="005E403B">
        <w:rPr>
          <w:szCs w:val="20"/>
        </w:rPr>
        <w:t xml:space="preserve"> como </w:t>
      </w:r>
      <w:r w:rsidR="0020177D">
        <w:rPr>
          <w:szCs w:val="20"/>
        </w:rPr>
        <w:t>“‘</w:t>
      </w:r>
      <w:r w:rsidR="00E176C9">
        <w:rPr>
          <w:szCs w:val="20"/>
        </w:rPr>
        <w:t>[l]</w:t>
      </w:r>
      <w:r w:rsidR="001D52C4" w:rsidRPr="005E403B">
        <w:rPr>
          <w:szCs w:val="20"/>
        </w:rPr>
        <w:t xml:space="preserve">os problemas de salud que tienen </w:t>
      </w:r>
      <w:r w:rsidR="001D52C4" w:rsidRPr="005E403B">
        <w:t>los</w:t>
      </w:r>
      <w:r w:rsidR="001D52C4" w:rsidRPr="005E403B">
        <w:rPr>
          <w:szCs w:val="20"/>
        </w:rPr>
        <w:t xml:space="preserve"> privados de libertad en centros carcelarios con hacinamiento y falta de agua potable</w:t>
      </w:r>
      <w:r w:rsidR="0020177D">
        <w:rPr>
          <w:szCs w:val="20"/>
        </w:rPr>
        <w:t>’</w:t>
      </w:r>
      <w:r w:rsidR="001D52C4" w:rsidRPr="005E403B">
        <w:rPr>
          <w:szCs w:val="20"/>
        </w:rPr>
        <w:t xml:space="preserve"> no es un elemento pertinente dentro del ámbito de análisis del Dr. Ugalde Lobo, que es la situación concreta de una de las presuntas víctimas dentro del objeto del </w:t>
      </w:r>
      <w:r w:rsidR="001D52C4" w:rsidRPr="00DF77E3">
        <w:rPr>
          <w:i/>
          <w:szCs w:val="20"/>
        </w:rPr>
        <w:t xml:space="preserve">Caso </w:t>
      </w:r>
      <w:proofErr w:type="spellStart"/>
      <w:r w:rsidR="001D52C4" w:rsidRPr="00DF77E3">
        <w:rPr>
          <w:i/>
          <w:szCs w:val="20"/>
        </w:rPr>
        <w:t>Amrhein</w:t>
      </w:r>
      <w:proofErr w:type="spellEnd"/>
      <w:r w:rsidR="001D52C4" w:rsidRPr="00DF77E3">
        <w:rPr>
          <w:i/>
          <w:szCs w:val="20"/>
        </w:rPr>
        <w:t xml:space="preserve"> y otros</w:t>
      </w:r>
      <w:r w:rsidR="0020177D">
        <w:rPr>
          <w:i/>
          <w:szCs w:val="20"/>
        </w:rPr>
        <w:t>”</w:t>
      </w:r>
      <w:r w:rsidR="002A32F3" w:rsidRPr="005E403B">
        <w:rPr>
          <w:szCs w:val="20"/>
        </w:rPr>
        <w:t>.</w:t>
      </w:r>
      <w:r w:rsidR="001D52C4" w:rsidRPr="005E403B">
        <w:rPr>
          <w:szCs w:val="20"/>
        </w:rPr>
        <w:t xml:space="preserve"> En igual sentido, observ</w:t>
      </w:r>
      <w:r w:rsidR="00796C85" w:rsidRPr="005E403B">
        <w:rPr>
          <w:szCs w:val="20"/>
        </w:rPr>
        <w:t>ó</w:t>
      </w:r>
      <w:r w:rsidR="001D52C4" w:rsidRPr="005E403B">
        <w:rPr>
          <w:szCs w:val="20"/>
        </w:rPr>
        <w:t xml:space="preserve"> que </w:t>
      </w:r>
      <w:r w:rsidR="008B1162" w:rsidRPr="005E403B">
        <w:rPr>
          <w:szCs w:val="20"/>
        </w:rPr>
        <w:t>el</w:t>
      </w:r>
      <w:r w:rsidR="003F2DB6" w:rsidRPr="005E403B">
        <w:rPr>
          <w:szCs w:val="20"/>
        </w:rPr>
        <w:t xml:space="preserve"> </w:t>
      </w:r>
      <w:r w:rsidR="00796C85" w:rsidRPr="005E403B">
        <w:rPr>
          <w:szCs w:val="20"/>
        </w:rPr>
        <w:t xml:space="preserve">punto </w:t>
      </w:r>
      <w:r w:rsidR="0020177D">
        <w:rPr>
          <w:szCs w:val="20"/>
        </w:rPr>
        <w:t>“‘</w:t>
      </w:r>
      <w:r w:rsidR="00796C85" w:rsidRPr="005E403B">
        <w:rPr>
          <w:szCs w:val="20"/>
        </w:rPr>
        <w:t>s</w:t>
      </w:r>
      <w:r w:rsidR="001D52C4" w:rsidRPr="005E403B">
        <w:rPr>
          <w:szCs w:val="20"/>
        </w:rPr>
        <w:t>obre la vulneración a las garantías judiciales del sistema interamericano de la sentencia penal oral</w:t>
      </w:r>
      <w:r w:rsidR="0020177D">
        <w:rPr>
          <w:szCs w:val="20"/>
        </w:rPr>
        <w:t>’</w:t>
      </w:r>
      <w:r w:rsidR="001D52C4" w:rsidRPr="005E403B">
        <w:rPr>
          <w:szCs w:val="20"/>
        </w:rPr>
        <w:t xml:space="preserve"> incluido en el objeto de la declaración del perito propuesto José Joaquín Ureña Salazar, no se circunscribe al marco fáctico ni al objeto de la </w:t>
      </w:r>
      <w:r w:rsidR="0020177D">
        <w:rPr>
          <w:szCs w:val="20"/>
        </w:rPr>
        <w:t>[</w:t>
      </w:r>
      <w:r w:rsidR="002A32F3" w:rsidRPr="005E403B">
        <w:rPr>
          <w:szCs w:val="20"/>
        </w:rPr>
        <w:t>l</w:t>
      </w:r>
      <w:r w:rsidR="0020177D">
        <w:rPr>
          <w:szCs w:val="20"/>
        </w:rPr>
        <w:t>]</w:t>
      </w:r>
      <w:proofErr w:type="spellStart"/>
      <w:r w:rsidR="002A32F3" w:rsidRPr="005E403B">
        <w:rPr>
          <w:szCs w:val="20"/>
        </w:rPr>
        <w:t>itis</w:t>
      </w:r>
      <w:proofErr w:type="spellEnd"/>
      <w:r w:rsidR="001D52C4" w:rsidRPr="005E403B">
        <w:rPr>
          <w:szCs w:val="20"/>
        </w:rPr>
        <w:t xml:space="preserve"> en el caso”</w:t>
      </w:r>
      <w:r w:rsidR="002A32F3" w:rsidRPr="005E403B">
        <w:rPr>
          <w:szCs w:val="20"/>
        </w:rPr>
        <w:t>.</w:t>
      </w:r>
    </w:p>
    <w:p w:rsidR="00E8018A" w:rsidRPr="005E403B" w:rsidRDefault="00E8018A" w:rsidP="006066BD">
      <w:pPr>
        <w:pStyle w:val="ListParagraph"/>
        <w:widowControl w:val="0"/>
        <w:tabs>
          <w:tab w:val="left" w:pos="567"/>
        </w:tabs>
        <w:autoSpaceDE w:val="0"/>
        <w:autoSpaceDN w:val="0"/>
        <w:adjustRightInd w:val="0"/>
        <w:spacing w:after="0"/>
        <w:ind w:left="0" w:right="22"/>
        <w:contextualSpacing/>
        <w:rPr>
          <w:szCs w:val="20"/>
        </w:rPr>
      </w:pPr>
    </w:p>
    <w:p w:rsidR="002A32F3" w:rsidRPr="005E403B" w:rsidRDefault="00E037A5" w:rsidP="006066BD">
      <w:pPr>
        <w:pStyle w:val="ListParagraph"/>
        <w:widowControl w:val="0"/>
        <w:numPr>
          <w:ilvl w:val="0"/>
          <w:numId w:val="40"/>
        </w:numPr>
        <w:tabs>
          <w:tab w:val="left" w:pos="567"/>
        </w:tabs>
        <w:autoSpaceDE w:val="0"/>
        <w:autoSpaceDN w:val="0"/>
        <w:adjustRightInd w:val="0"/>
        <w:spacing w:after="0"/>
        <w:ind w:left="0" w:right="22" w:firstLine="0"/>
        <w:contextualSpacing/>
      </w:pPr>
      <w:r w:rsidRPr="005E403B">
        <w:rPr>
          <w:szCs w:val="20"/>
        </w:rPr>
        <w:t xml:space="preserve">Primeramente, </w:t>
      </w:r>
      <w:r w:rsidR="002A32F3" w:rsidRPr="005E403B">
        <w:rPr>
          <w:szCs w:val="20"/>
        </w:rPr>
        <w:t xml:space="preserve">en relación con el perito Juan Gerardo Ugalde Lobo, el Presidente </w:t>
      </w:r>
      <w:r w:rsidR="002A32F3" w:rsidRPr="005E403B">
        <w:rPr>
          <w:szCs w:val="20"/>
        </w:rPr>
        <w:lastRenderedPageBreak/>
        <w:t>considera que no hay razones suficientes para dejar de recabar tal peritaje,</w:t>
      </w:r>
      <w:r w:rsidR="002A32F3" w:rsidRPr="005E403B">
        <w:rPr>
          <w:rStyle w:val="FootnoteReference"/>
          <w:szCs w:val="20"/>
        </w:rPr>
        <w:footnoteReference w:id="26"/>
      </w:r>
      <w:r w:rsidR="002A32F3" w:rsidRPr="005E403B">
        <w:rPr>
          <w:szCs w:val="20"/>
        </w:rPr>
        <w:t xml:space="preserve"> puesto que las condiciones del CAI La Reforma estarían, </w:t>
      </w:r>
      <w:r w:rsidR="002A32F3" w:rsidRPr="005E403B">
        <w:rPr>
          <w:i/>
          <w:szCs w:val="20"/>
        </w:rPr>
        <w:t>prima facie</w:t>
      </w:r>
      <w:r w:rsidR="002A32F3" w:rsidRPr="005E403B">
        <w:rPr>
          <w:szCs w:val="20"/>
        </w:rPr>
        <w:t xml:space="preserve">, dentro del objeto del caso. </w:t>
      </w:r>
      <w:r w:rsidR="00A42BE9">
        <w:rPr>
          <w:szCs w:val="20"/>
        </w:rPr>
        <w:t>En consecuencia,</w:t>
      </w:r>
      <w:r w:rsidR="002A32F3" w:rsidRPr="005E403B">
        <w:rPr>
          <w:szCs w:val="20"/>
        </w:rPr>
        <w:t xml:space="preserve"> se admite por su pertinencia</w:t>
      </w:r>
      <w:r w:rsidR="002A32F3" w:rsidRPr="005E403B">
        <w:rPr>
          <w:rStyle w:val="FootnoteReference"/>
          <w:szCs w:val="20"/>
        </w:rPr>
        <w:footnoteReference w:id="27"/>
      </w:r>
      <w:r w:rsidR="002A32F3" w:rsidRPr="005E403B">
        <w:t xml:space="preserve"> en tanto se limite a los términos dispuestos en la parte resolutiva de esta Resolución</w:t>
      </w:r>
      <w:r w:rsidR="002A32F3" w:rsidRPr="005E403B">
        <w:rPr>
          <w:rStyle w:val="FootnoteReference"/>
        </w:rPr>
        <w:footnoteReference w:id="28"/>
      </w:r>
      <w:r w:rsidR="002A32F3" w:rsidRPr="005E403B">
        <w:t>.</w:t>
      </w:r>
      <w:r w:rsidR="002A32F3" w:rsidRPr="005E403B">
        <w:rPr>
          <w:szCs w:val="20"/>
        </w:rPr>
        <w:t xml:space="preserve"> En segundo lugar, </w:t>
      </w:r>
      <w:r w:rsidRPr="005E403B">
        <w:rPr>
          <w:szCs w:val="20"/>
        </w:rPr>
        <w:t>e</w:t>
      </w:r>
      <w:r w:rsidR="003F2DB6" w:rsidRPr="005E403B">
        <w:rPr>
          <w:szCs w:val="20"/>
        </w:rPr>
        <w:t xml:space="preserve">sta Presidencia considera que </w:t>
      </w:r>
      <w:r w:rsidRPr="005E403B">
        <w:rPr>
          <w:szCs w:val="20"/>
        </w:rPr>
        <w:t xml:space="preserve">las garantías judiciales del sistema interamericano en la sentencia penal oral en Costa Rica podría estar, </w:t>
      </w:r>
      <w:r w:rsidRPr="005E403B">
        <w:rPr>
          <w:i/>
          <w:szCs w:val="20"/>
        </w:rPr>
        <w:t>prima facie,</w:t>
      </w:r>
      <w:r w:rsidRPr="005E403B">
        <w:rPr>
          <w:szCs w:val="20"/>
        </w:rPr>
        <w:t xml:space="preserve"> dentro del objeto del caso, razón por la cual </w:t>
      </w:r>
      <w:r w:rsidR="002A32F3" w:rsidRPr="005E403B">
        <w:rPr>
          <w:szCs w:val="20"/>
        </w:rPr>
        <w:t xml:space="preserve">se recibe el peritaje del señor </w:t>
      </w:r>
      <w:r w:rsidRPr="005E403B">
        <w:rPr>
          <w:szCs w:val="20"/>
        </w:rPr>
        <w:t xml:space="preserve">José Joaquín Ureña Salazar </w:t>
      </w:r>
      <w:r w:rsidR="002A32F3" w:rsidRPr="005E403B">
        <w:t>en los términos fijados en la parte resolutiva de esta Resolución.</w:t>
      </w:r>
    </w:p>
    <w:p w:rsidR="00012C9C" w:rsidRPr="005E403B" w:rsidRDefault="00012C9C" w:rsidP="004F3266">
      <w:pPr>
        <w:pStyle w:val="ListParagraph"/>
        <w:widowControl w:val="0"/>
        <w:tabs>
          <w:tab w:val="left" w:pos="567"/>
        </w:tabs>
        <w:autoSpaceDE w:val="0"/>
        <w:autoSpaceDN w:val="0"/>
        <w:adjustRightInd w:val="0"/>
        <w:spacing w:after="0"/>
        <w:ind w:left="0" w:right="22"/>
        <w:contextualSpacing/>
      </w:pPr>
    </w:p>
    <w:p w:rsidR="002A32F3" w:rsidRPr="005E403B" w:rsidRDefault="00AF3FF9" w:rsidP="006066BD">
      <w:pPr>
        <w:pStyle w:val="Heading1"/>
        <w:spacing w:before="0"/>
        <w:rPr>
          <w:i/>
          <w:lang w:val="es-CR"/>
        </w:rPr>
      </w:pPr>
      <w:r w:rsidRPr="005E403B">
        <w:rPr>
          <w:b w:val="0"/>
          <w:bCs w:val="0"/>
          <w:i/>
          <w:lang w:val="es-CR"/>
        </w:rPr>
        <w:t xml:space="preserve">D.4. </w:t>
      </w:r>
      <w:r w:rsidR="00022CEA" w:rsidRPr="005E403B">
        <w:rPr>
          <w:b w:val="0"/>
          <w:bCs w:val="0"/>
          <w:i/>
          <w:lang w:val="es-CR"/>
        </w:rPr>
        <w:t xml:space="preserve">Desistimiento de </w:t>
      </w:r>
      <w:r w:rsidR="002F6898" w:rsidRPr="005E403B">
        <w:rPr>
          <w:b w:val="0"/>
          <w:bCs w:val="0"/>
          <w:i/>
          <w:lang w:val="es-CR"/>
        </w:rPr>
        <w:t>las declaraciones testimoniales</w:t>
      </w:r>
      <w:r w:rsidR="00EA7851" w:rsidRPr="005E403B">
        <w:rPr>
          <w:b w:val="0"/>
          <w:bCs w:val="0"/>
          <w:i/>
          <w:lang w:val="es-CR"/>
        </w:rPr>
        <w:t xml:space="preserve"> </w:t>
      </w:r>
      <w:r w:rsidR="00022CEA" w:rsidRPr="005E403B">
        <w:rPr>
          <w:b w:val="0"/>
          <w:bCs w:val="0"/>
          <w:i/>
          <w:lang w:val="es-CR"/>
        </w:rPr>
        <w:t xml:space="preserve">de </w:t>
      </w:r>
      <w:proofErr w:type="spellStart"/>
      <w:r w:rsidR="00022CEA" w:rsidRPr="005E403B">
        <w:rPr>
          <w:b w:val="0"/>
          <w:bCs w:val="0"/>
          <w:i/>
          <w:lang w:val="es-CR"/>
        </w:rPr>
        <w:t>Criks</w:t>
      </w:r>
      <w:proofErr w:type="spellEnd"/>
      <w:r w:rsidR="00022CEA" w:rsidRPr="005E403B">
        <w:rPr>
          <w:b w:val="0"/>
          <w:bCs w:val="0"/>
          <w:i/>
          <w:lang w:val="es-CR"/>
        </w:rPr>
        <w:t xml:space="preserve"> Denis Cruz </w:t>
      </w:r>
      <w:proofErr w:type="spellStart"/>
      <w:r w:rsidR="00022CEA" w:rsidRPr="005E403B">
        <w:rPr>
          <w:b w:val="0"/>
          <w:bCs w:val="0"/>
          <w:i/>
          <w:lang w:val="es-CR"/>
        </w:rPr>
        <w:t>Najera</w:t>
      </w:r>
      <w:proofErr w:type="spellEnd"/>
      <w:r w:rsidR="00E567D5" w:rsidRPr="005E403B">
        <w:rPr>
          <w:b w:val="0"/>
          <w:bCs w:val="0"/>
          <w:i/>
          <w:lang w:val="es-CR"/>
        </w:rPr>
        <w:t xml:space="preserve"> y Eugenio Polanco Hernández</w:t>
      </w:r>
    </w:p>
    <w:p w:rsidR="00EC0D2E" w:rsidRPr="005E403B" w:rsidRDefault="00EC0D2E" w:rsidP="006066BD">
      <w:pPr>
        <w:pStyle w:val="Heading1"/>
        <w:spacing w:before="0"/>
        <w:rPr>
          <w:szCs w:val="20"/>
        </w:rPr>
      </w:pPr>
    </w:p>
    <w:p w:rsidR="00022CEA" w:rsidRPr="005E403B" w:rsidRDefault="002F6898" w:rsidP="006066BD">
      <w:pPr>
        <w:pStyle w:val="ListParagraph"/>
        <w:widowControl w:val="0"/>
        <w:numPr>
          <w:ilvl w:val="0"/>
          <w:numId w:val="40"/>
        </w:numPr>
        <w:tabs>
          <w:tab w:val="left" w:pos="567"/>
        </w:tabs>
        <w:autoSpaceDE w:val="0"/>
        <w:autoSpaceDN w:val="0"/>
        <w:adjustRightInd w:val="0"/>
        <w:spacing w:after="0"/>
        <w:ind w:left="0" w:right="22" w:firstLine="0"/>
        <w:contextualSpacing/>
        <w:rPr>
          <w:b/>
          <w:szCs w:val="20"/>
        </w:rPr>
      </w:pPr>
      <w:r w:rsidRPr="005E403B">
        <w:rPr>
          <w:szCs w:val="20"/>
        </w:rPr>
        <w:t>Finalmente,</w:t>
      </w:r>
      <w:r w:rsidR="00EC0D2E" w:rsidRPr="005E403B">
        <w:rPr>
          <w:szCs w:val="20"/>
        </w:rPr>
        <w:t xml:space="preserve"> en el escrito de solicitudes y argumentos, los Defensores Públicos Interamericanos ofrecieron las declaraciones de </w:t>
      </w:r>
      <w:proofErr w:type="spellStart"/>
      <w:r w:rsidR="00EC0D2E" w:rsidRPr="005E403B">
        <w:rPr>
          <w:szCs w:val="20"/>
        </w:rPr>
        <w:t>Criks</w:t>
      </w:r>
      <w:proofErr w:type="spellEnd"/>
      <w:r w:rsidR="00EC0D2E" w:rsidRPr="005E403B">
        <w:rPr>
          <w:szCs w:val="20"/>
        </w:rPr>
        <w:t xml:space="preserve"> Denis Cruz </w:t>
      </w:r>
      <w:proofErr w:type="spellStart"/>
      <w:r w:rsidR="00EC0D2E" w:rsidRPr="005E403B">
        <w:rPr>
          <w:szCs w:val="20"/>
        </w:rPr>
        <w:t>Najera</w:t>
      </w:r>
      <w:proofErr w:type="spellEnd"/>
      <w:r w:rsidR="00E567D5" w:rsidRPr="005E403B">
        <w:rPr>
          <w:szCs w:val="20"/>
        </w:rPr>
        <w:t xml:space="preserve"> y Eugenio Polanco Hernández </w:t>
      </w:r>
      <w:r w:rsidR="00EC3BCC" w:rsidRPr="005E403B">
        <w:rPr>
          <w:szCs w:val="20"/>
        </w:rPr>
        <w:t>como prueba testimonial.</w:t>
      </w:r>
      <w:r w:rsidR="00EC0D2E" w:rsidRPr="005E403B">
        <w:rPr>
          <w:szCs w:val="20"/>
        </w:rPr>
        <w:t xml:space="preserve"> Sin embargo, al presentar su lista definitiva de declarantes, los representantes no </w:t>
      </w:r>
      <w:r w:rsidRPr="005E403B">
        <w:rPr>
          <w:szCs w:val="20"/>
        </w:rPr>
        <w:t>confirmaron la presentación de dichas pruebas. En consecuencia,</w:t>
      </w:r>
      <w:r w:rsidR="00EC0D2E" w:rsidRPr="005E403B">
        <w:rPr>
          <w:szCs w:val="20"/>
        </w:rPr>
        <w:t xml:space="preserve"> el Presidente estima que los </w:t>
      </w:r>
      <w:r w:rsidR="00EC04BD" w:rsidRPr="005E403B">
        <w:rPr>
          <w:szCs w:val="20"/>
        </w:rPr>
        <w:t xml:space="preserve">Defensores Públicos Interamericanos </w:t>
      </w:r>
      <w:r w:rsidRPr="005E403B">
        <w:rPr>
          <w:szCs w:val="20"/>
        </w:rPr>
        <w:t xml:space="preserve">desistieron </w:t>
      </w:r>
      <w:r w:rsidR="00EC0D2E" w:rsidRPr="005E403B">
        <w:rPr>
          <w:szCs w:val="20"/>
        </w:rPr>
        <w:t>tácitamente</w:t>
      </w:r>
      <w:r w:rsidRPr="005E403B">
        <w:rPr>
          <w:rStyle w:val="FootnoteReference"/>
          <w:szCs w:val="20"/>
        </w:rPr>
        <w:footnoteReference w:id="29"/>
      </w:r>
      <w:r w:rsidRPr="005E403B">
        <w:rPr>
          <w:szCs w:val="20"/>
        </w:rPr>
        <w:t xml:space="preserve"> </w:t>
      </w:r>
      <w:r w:rsidR="00EC0D2E" w:rsidRPr="005E403B">
        <w:rPr>
          <w:szCs w:val="20"/>
        </w:rPr>
        <w:t>de las mismas.</w:t>
      </w:r>
    </w:p>
    <w:p w:rsidR="00284C2B" w:rsidRPr="005E403B" w:rsidRDefault="00284C2B" w:rsidP="006066BD">
      <w:pPr>
        <w:pStyle w:val="Heading1"/>
        <w:spacing w:before="0"/>
      </w:pPr>
    </w:p>
    <w:p w:rsidR="002A062E" w:rsidRPr="005E403B" w:rsidRDefault="00284C2B" w:rsidP="006066BD">
      <w:pPr>
        <w:pStyle w:val="Heading1"/>
        <w:spacing w:before="0"/>
      </w:pPr>
      <w:r w:rsidRPr="005E403B">
        <w:t>E</w:t>
      </w:r>
      <w:r w:rsidR="009A0000" w:rsidRPr="005E403B">
        <w:t xml:space="preserve">. </w:t>
      </w:r>
      <w:r w:rsidR="00E933EC" w:rsidRPr="005E403B">
        <w:t xml:space="preserve">Admisibilidad de las </w:t>
      </w:r>
      <w:r w:rsidR="002A062E" w:rsidRPr="005E403B">
        <w:t>declaraciones</w:t>
      </w:r>
      <w:r w:rsidR="00E933EC" w:rsidRPr="005E403B">
        <w:t xml:space="preserve"> ofrecida</w:t>
      </w:r>
      <w:r w:rsidR="002A062E" w:rsidRPr="005E403B">
        <w:t>s por parte del Estado de Costa Rica</w:t>
      </w:r>
    </w:p>
    <w:p w:rsidR="00284C2B" w:rsidRPr="005E403B" w:rsidRDefault="00284C2B" w:rsidP="004F3266"/>
    <w:p w:rsidR="00FA55F6" w:rsidRPr="005E403B" w:rsidRDefault="002A062E" w:rsidP="006066BD">
      <w:pPr>
        <w:pStyle w:val="ListParagraph"/>
        <w:widowControl w:val="0"/>
        <w:numPr>
          <w:ilvl w:val="0"/>
          <w:numId w:val="40"/>
        </w:numPr>
        <w:tabs>
          <w:tab w:val="left" w:pos="567"/>
        </w:tabs>
        <w:autoSpaceDE w:val="0"/>
        <w:autoSpaceDN w:val="0"/>
        <w:adjustRightInd w:val="0"/>
        <w:spacing w:after="0"/>
        <w:ind w:left="0" w:right="22" w:firstLine="0"/>
        <w:contextualSpacing/>
      </w:pPr>
      <w:r w:rsidRPr="005E403B">
        <w:t xml:space="preserve">El </w:t>
      </w:r>
      <w:r w:rsidRPr="005E403B">
        <w:rPr>
          <w:b/>
          <w:i/>
        </w:rPr>
        <w:t>Estado</w:t>
      </w:r>
      <w:r w:rsidRPr="005E403B">
        <w:t xml:space="preserve"> confirmó en su lista </w:t>
      </w:r>
      <w:r w:rsidR="00FA55F6" w:rsidRPr="005E403B">
        <w:t xml:space="preserve">definitiva </w:t>
      </w:r>
      <w:r w:rsidRPr="005E403B">
        <w:t xml:space="preserve">de declarantes </w:t>
      </w:r>
      <w:r w:rsidR="00FA55F6" w:rsidRPr="005E403B">
        <w:t>a los</w:t>
      </w:r>
      <w:r w:rsidR="00C13EB2" w:rsidRPr="005E403B">
        <w:t xml:space="preserve"> testigos</w:t>
      </w:r>
      <w:r w:rsidR="00FA55F6" w:rsidRPr="005E403B">
        <w:t xml:space="preserve">: i) </w:t>
      </w:r>
      <w:r w:rsidR="00C13EB2" w:rsidRPr="005E403B">
        <w:t xml:space="preserve">Daniel González Álvarez, quien “hará referencia a la situación del Sistema de Impugnación Penal costarricense y su evolución en relación con otros sistemas penales en la región”; </w:t>
      </w:r>
      <w:r w:rsidR="00A472A8" w:rsidRPr="005E403B">
        <w:t xml:space="preserve">ii) </w:t>
      </w:r>
      <w:r w:rsidR="00C13EB2" w:rsidRPr="005E403B">
        <w:t xml:space="preserve">Edwin </w:t>
      </w:r>
      <w:r w:rsidR="00E456F3">
        <w:t xml:space="preserve">Esteban </w:t>
      </w:r>
      <w:r w:rsidR="00C13EB2" w:rsidRPr="005E403B">
        <w:t>Jiménez González</w:t>
      </w:r>
      <w:r w:rsidR="00B959BA">
        <w:t>,</w:t>
      </w:r>
      <w:r w:rsidR="00C13EB2" w:rsidRPr="005E403B">
        <w:t xml:space="preserve"> “</w:t>
      </w:r>
      <w:r w:rsidR="00E933EC" w:rsidRPr="005E403B">
        <w:t xml:space="preserve">quien abordará </w:t>
      </w:r>
      <w:r w:rsidR="009E2B7B" w:rsidRPr="005E403B">
        <w:t>el marco histó</w:t>
      </w:r>
      <w:r w:rsidR="00C13EB2" w:rsidRPr="005E403B">
        <w:t>rico</w:t>
      </w:r>
      <w:r w:rsidR="00E933EC" w:rsidRPr="005E403B">
        <w:t xml:space="preserve"> </w:t>
      </w:r>
      <w:r w:rsidR="00C13EB2" w:rsidRPr="005E403B">
        <w:t>no</w:t>
      </w:r>
      <w:r w:rsidR="00E933EC" w:rsidRPr="005E403B">
        <w:t>rm</w:t>
      </w:r>
      <w:r w:rsidR="00C13EB2" w:rsidRPr="005E403B">
        <w:t>ativo y jurisprudencial del sistema de imp</w:t>
      </w:r>
      <w:r w:rsidR="00E933EC" w:rsidRPr="005E403B">
        <w:t>ugnació</w:t>
      </w:r>
      <w:r w:rsidR="00C13EB2" w:rsidRPr="005E403B">
        <w:t>n penal costarricense, en</w:t>
      </w:r>
      <w:r w:rsidR="00E933EC" w:rsidRPr="005E403B">
        <w:t xml:space="preserve"> particular en cuanto a l</w:t>
      </w:r>
      <w:r w:rsidR="00C13EB2" w:rsidRPr="005E403B">
        <w:t xml:space="preserve">a tutela del derecho a recurrir el fallo en materia </w:t>
      </w:r>
      <w:r w:rsidR="00E933EC" w:rsidRPr="005E403B">
        <w:t xml:space="preserve">penal”; y </w:t>
      </w:r>
      <w:r w:rsidR="00784700" w:rsidRPr="005E403B">
        <w:t>iii)</w:t>
      </w:r>
      <w:r w:rsidR="00E933EC" w:rsidRPr="005E403B">
        <w:t xml:space="preserve"> Elías Carranza, quien se referirá “al </w:t>
      </w:r>
      <w:r w:rsidR="00784700" w:rsidRPr="005E403B">
        <w:t>m</w:t>
      </w:r>
      <w:r w:rsidR="00E933EC" w:rsidRPr="005E403B">
        <w:t xml:space="preserve">odelo </w:t>
      </w:r>
      <w:r w:rsidR="00784700" w:rsidRPr="005E403B">
        <w:t>p</w:t>
      </w:r>
      <w:r w:rsidR="00E933EC" w:rsidRPr="005E403B">
        <w:t>enitenciario costarricense”.</w:t>
      </w:r>
      <w:r w:rsidR="00AF72AB" w:rsidRPr="005E403B">
        <w:t xml:space="preserve"> </w:t>
      </w:r>
    </w:p>
    <w:p w:rsidR="00A472A8" w:rsidRPr="005E403B" w:rsidRDefault="00A472A8" w:rsidP="004F3266">
      <w:pPr>
        <w:pStyle w:val="ListParagraph"/>
        <w:widowControl w:val="0"/>
        <w:tabs>
          <w:tab w:val="left" w:pos="567"/>
        </w:tabs>
        <w:autoSpaceDE w:val="0"/>
        <w:autoSpaceDN w:val="0"/>
        <w:adjustRightInd w:val="0"/>
        <w:spacing w:after="0"/>
        <w:ind w:left="0" w:right="22"/>
        <w:contextualSpacing/>
      </w:pPr>
    </w:p>
    <w:p w:rsidR="009E2B7B" w:rsidRPr="005E403B" w:rsidRDefault="00FA55F6" w:rsidP="006066BD">
      <w:pPr>
        <w:pStyle w:val="ListParagraph"/>
        <w:widowControl w:val="0"/>
        <w:numPr>
          <w:ilvl w:val="0"/>
          <w:numId w:val="40"/>
        </w:numPr>
        <w:tabs>
          <w:tab w:val="left" w:pos="567"/>
        </w:tabs>
        <w:autoSpaceDE w:val="0"/>
        <w:autoSpaceDN w:val="0"/>
        <w:adjustRightInd w:val="0"/>
        <w:spacing w:after="0"/>
        <w:ind w:left="0" w:right="22" w:firstLine="0"/>
        <w:contextualSpacing/>
      </w:pPr>
      <w:r w:rsidRPr="005E403B">
        <w:t>N</w:t>
      </w:r>
      <w:r w:rsidR="00B500F5" w:rsidRPr="005E403B">
        <w:t>inguno de los intervinientes comunes, ni la Comisión objetó</w:t>
      </w:r>
      <w:r w:rsidR="00321943" w:rsidRPr="005E403B">
        <w:t xml:space="preserve"> a los anteriores testigos, no obstante</w:t>
      </w:r>
      <w:r w:rsidRPr="005E403B">
        <w:t>,</w:t>
      </w:r>
      <w:r w:rsidR="00321943" w:rsidRPr="005E403B">
        <w:t xml:space="preserve"> </w:t>
      </w:r>
      <w:r w:rsidR="00B500F5" w:rsidRPr="005E403B">
        <w:rPr>
          <w:b/>
          <w:i/>
          <w:szCs w:val="20"/>
        </w:rPr>
        <w:t>SIPDH</w:t>
      </w:r>
      <w:r w:rsidR="00B500F5" w:rsidRPr="005E403B">
        <w:t xml:space="preserve"> </w:t>
      </w:r>
      <w:r w:rsidR="00AF72AB" w:rsidRPr="005E403B">
        <w:t xml:space="preserve">solicitó a </w:t>
      </w:r>
      <w:r w:rsidR="00784700" w:rsidRPr="005E403B">
        <w:t xml:space="preserve">la </w:t>
      </w:r>
      <w:r w:rsidR="00AF72AB" w:rsidRPr="005E403B">
        <w:t>Corte requerir aclaraciones sobre las calidades de los declarantes propuestos,</w:t>
      </w:r>
      <w:r w:rsidR="00321943" w:rsidRPr="005E403B">
        <w:t xml:space="preserve"> puesto que de la lectura de </w:t>
      </w:r>
      <w:r w:rsidR="00FF2977" w:rsidRPr="005E403B">
        <w:t xml:space="preserve">sus </w:t>
      </w:r>
      <w:r w:rsidR="00321943" w:rsidRPr="005E403B">
        <w:t>objeto</w:t>
      </w:r>
      <w:r w:rsidR="00FF2977" w:rsidRPr="005E403B">
        <w:t>s</w:t>
      </w:r>
      <w:r w:rsidR="00321943" w:rsidRPr="005E403B">
        <w:t xml:space="preserve"> de testimonio</w:t>
      </w:r>
      <w:r w:rsidR="00FF2977" w:rsidRPr="005E403B">
        <w:t>s pareciera que participarían más co</w:t>
      </w:r>
      <w:r w:rsidR="00485D0C" w:rsidRPr="005E403B">
        <w:t>m</w:t>
      </w:r>
      <w:r w:rsidR="00FF2977" w:rsidRPr="005E403B">
        <w:t>o peritos que como testigos. Adicionalmente, solicitó que en caso de mantenerse las calidades de testigos</w:t>
      </w:r>
      <w:r w:rsidR="00784700" w:rsidRPr="005E403B">
        <w:t>,</w:t>
      </w:r>
      <w:r w:rsidR="00321943" w:rsidRPr="005E403B">
        <w:t xml:space="preserve"> se aclare el objeto de su</w:t>
      </w:r>
      <w:r w:rsidR="00FF2977" w:rsidRPr="005E403B">
        <w:t>s</w:t>
      </w:r>
      <w:r w:rsidR="00321943" w:rsidRPr="005E403B">
        <w:t xml:space="preserve"> testimonio</w:t>
      </w:r>
      <w:r w:rsidR="00FF2977" w:rsidRPr="005E403B">
        <w:t>s</w:t>
      </w:r>
      <w:r w:rsidR="00321943" w:rsidRPr="005E403B">
        <w:t xml:space="preserve"> en relación con los hechos a los cuales atestiguaría</w:t>
      </w:r>
      <w:r w:rsidR="00FF2977" w:rsidRPr="005E403B">
        <w:t>n</w:t>
      </w:r>
      <w:r w:rsidR="00321943" w:rsidRPr="005E403B">
        <w:t xml:space="preserve"> con base en el conocimiento de los mismos por medio de sus sentidos. </w:t>
      </w:r>
      <w:r w:rsidR="00784700" w:rsidRPr="005E403B">
        <w:t>Asimismo, resaltaron</w:t>
      </w:r>
      <w:r w:rsidR="00FF2977" w:rsidRPr="005E403B">
        <w:t xml:space="preserve"> </w:t>
      </w:r>
      <w:r w:rsidR="00485D0C" w:rsidRPr="005E403B">
        <w:t>que el</w:t>
      </w:r>
      <w:r w:rsidR="00FF2977" w:rsidRPr="005E403B">
        <w:t xml:space="preserve"> señor </w:t>
      </w:r>
      <w:r w:rsidR="00321943" w:rsidRPr="005E403B">
        <w:t>González Álvarez</w:t>
      </w:r>
      <w:r w:rsidR="00485D0C" w:rsidRPr="005E403B">
        <w:t xml:space="preserve"> </w:t>
      </w:r>
      <w:r w:rsidR="00321943" w:rsidRPr="005E403B">
        <w:t>ha</w:t>
      </w:r>
      <w:r w:rsidR="00485D0C" w:rsidRPr="005E403B">
        <w:t xml:space="preserve"> </w:t>
      </w:r>
      <w:r w:rsidR="00321943" w:rsidRPr="005E403B">
        <w:t xml:space="preserve">tenido participación directa como Magistrado firmante de sentencias y resoluciones importantes dentro del </w:t>
      </w:r>
      <w:r w:rsidR="00AF4528">
        <w:t>c</w:t>
      </w:r>
      <w:r w:rsidR="00321943" w:rsidRPr="005E403B">
        <w:t xml:space="preserve">aso </w:t>
      </w:r>
      <w:proofErr w:type="spellStart"/>
      <w:r w:rsidR="00321943" w:rsidRPr="00AF4528">
        <w:rPr>
          <w:i/>
        </w:rPr>
        <w:t>Manfred</w:t>
      </w:r>
      <w:proofErr w:type="spellEnd"/>
      <w:r w:rsidR="00321943" w:rsidRPr="00AF4528">
        <w:rPr>
          <w:i/>
        </w:rPr>
        <w:t xml:space="preserve"> </w:t>
      </w:r>
      <w:proofErr w:type="spellStart"/>
      <w:r w:rsidR="00321943" w:rsidRPr="00AF4528">
        <w:rPr>
          <w:i/>
        </w:rPr>
        <w:t>Amrhein</w:t>
      </w:r>
      <w:proofErr w:type="spellEnd"/>
      <w:r w:rsidR="00FF2977" w:rsidRPr="005E403B">
        <w:t>.</w:t>
      </w:r>
    </w:p>
    <w:p w:rsidR="00E8018A" w:rsidRPr="005E403B" w:rsidRDefault="00E8018A" w:rsidP="006066BD">
      <w:pPr>
        <w:pStyle w:val="ListParagraph"/>
        <w:widowControl w:val="0"/>
        <w:tabs>
          <w:tab w:val="left" w:pos="567"/>
        </w:tabs>
        <w:autoSpaceDE w:val="0"/>
        <w:autoSpaceDN w:val="0"/>
        <w:adjustRightInd w:val="0"/>
        <w:spacing w:after="0"/>
        <w:ind w:left="0" w:right="22"/>
        <w:contextualSpacing/>
      </w:pPr>
    </w:p>
    <w:p w:rsidR="002A062E" w:rsidRPr="005E403B" w:rsidRDefault="009E2B7B" w:rsidP="006066BD">
      <w:pPr>
        <w:pStyle w:val="ListParagraph"/>
        <w:widowControl w:val="0"/>
        <w:numPr>
          <w:ilvl w:val="0"/>
          <w:numId w:val="40"/>
        </w:numPr>
        <w:tabs>
          <w:tab w:val="left" w:pos="567"/>
        </w:tabs>
        <w:autoSpaceDE w:val="0"/>
        <w:autoSpaceDN w:val="0"/>
        <w:adjustRightInd w:val="0"/>
        <w:spacing w:after="0"/>
        <w:ind w:left="0" w:right="22" w:firstLine="0"/>
        <w:contextualSpacing/>
      </w:pPr>
      <w:r w:rsidRPr="005E403B">
        <w:t xml:space="preserve">El Presidente constató que </w:t>
      </w:r>
      <w:r w:rsidR="00E16724" w:rsidRPr="005E403B">
        <w:t>los objetos</w:t>
      </w:r>
      <w:r w:rsidRPr="005E403B">
        <w:t xml:space="preserve"> de </w:t>
      </w:r>
      <w:r w:rsidR="00E16724" w:rsidRPr="005E403B">
        <w:t>las declaraciones</w:t>
      </w:r>
      <w:r w:rsidRPr="005E403B">
        <w:t xml:space="preserve"> </w:t>
      </w:r>
      <w:r w:rsidR="00485D0C" w:rsidRPr="005E403B">
        <w:t xml:space="preserve">anteriormente </w:t>
      </w:r>
      <w:r w:rsidRPr="005E403B">
        <w:t>propuest</w:t>
      </w:r>
      <w:r w:rsidR="00485D0C" w:rsidRPr="005E403B">
        <w:t>a</w:t>
      </w:r>
      <w:r w:rsidRPr="005E403B">
        <w:t xml:space="preserve">s por el Estado se vinculan con </w:t>
      </w:r>
      <w:r w:rsidR="00B31E5D" w:rsidRPr="005E403B">
        <w:t xml:space="preserve">sus </w:t>
      </w:r>
      <w:r w:rsidRPr="005E403B">
        <w:t>funciones, conocimiento o cargos</w:t>
      </w:r>
      <w:r w:rsidR="00B31E5D" w:rsidRPr="005E403B">
        <w:t>,</w:t>
      </w:r>
      <w:r w:rsidRPr="005E403B">
        <w:t xml:space="preserve"> y no con </w:t>
      </w:r>
      <w:r w:rsidR="00B31E5D" w:rsidRPr="005E403B">
        <w:t>hechos o circunstancias que le consten en relación con el presente caso, por lo que no revisten la naturaleza de una declaración testimonial</w:t>
      </w:r>
      <w:r w:rsidR="00B31E5D" w:rsidRPr="005E403B">
        <w:rPr>
          <w:rStyle w:val="FootnoteReference"/>
          <w:szCs w:val="20"/>
        </w:rPr>
        <w:footnoteReference w:id="30"/>
      </w:r>
      <w:r w:rsidR="00B31E5D" w:rsidRPr="005E403B">
        <w:t>.</w:t>
      </w:r>
      <w:r w:rsidR="00EB147A" w:rsidRPr="005E403B">
        <w:t xml:space="preserve"> </w:t>
      </w:r>
      <w:r w:rsidRPr="005E403B">
        <w:t>Sin embargo, esta Presidencia considera que dic</w:t>
      </w:r>
      <w:r w:rsidR="00DB4131" w:rsidRPr="005E403B">
        <w:t>h</w:t>
      </w:r>
      <w:r w:rsidRPr="005E403B">
        <w:t xml:space="preserve">as </w:t>
      </w:r>
      <w:r w:rsidRPr="005E403B">
        <w:rPr>
          <w:szCs w:val="20"/>
        </w:rPr>
        <w:t>declaraciones</w:t>
      </w:r>
      <w:r w:rsidRPr="005E403B">
        <w:t xml:space="preserve"> podrían resultar útiles y pertinentes, en atención a los hechos que las partes alegan y pretenden</w:t>
      </w:r>
      <w:r w:rsidR="00DB4131" w:rsidRPr="005E403B">
        <w:t xml:space="preserve"> probar</w:t>
      </w:r>
      <w:r w:rsidR="00B31E5D" w:rsidRPr="005E403B">
        <w:rPr>
          <w:rStyle w:val="FootnoteReference"/>
        </w:rPr>
        <w:footnoteReference w:id="31"/>
      </w:r>
      <w:r w:rsidR="00DB4131" w:rsidRPr="005E403B">
        <w:t>.</w:t>
      </w:r>
      <w:r w:rsidR="00B31E5D" w:rsidRPr="005E403B">
        <w:t xml:space="preserve"> </w:t>
      </w:r>
      <w:r w:rsidR="00DB4131" w:rsidRPr="005E403B">
        <w:t xml:space="preserve">En razón </w:t>
      </w:r>
      <w:r w:rsidRPr="005E403B">
        <w:t>de ello</w:t>
      </w:r>
      <w:r w:rsidR="00FF2977" w:rsidRPr="005E403B">
        <w:t>,</w:t>
      </w:r>
      <w:r w:rsidRPr="005E403B">
        <w:t xml:space="preserve"> considera pertinen</w:t>
      </w:r>
      <w:r w:rsidR="00DB4131" w:rsidRPr="005E403B">
        <w:t xml:space="preserve">te recibir las declaraciones </w:t>
      </w:r>
      <w:r w:rsidR="00485D0C" w:rsidRPr="005E403B">
        <w:t>de</w:t>
      </w:r>
      <w:r w:rsidRPr="005E403B">
        <w:t xml:space="preserve"> Daniel González </w:t>
      </w:r>
      <w:r w:rsidR="009C6273">
        <w:t>Álvarez</w:t>
      </w:r>
      <w:r w:rsidR="00B500F5" w:rsidRPr="005E403B">
        <w:t>, Edwin Jiménez González</w:t>
      </w:r>
      <w:r w:rsidR="00B31E5D" w:rsidRPr="005E403B">
        <w:t xml:space="preserve"> y</w:t>
      </w:r>
      <w:r w:rsidR="00B500F5" w:rsidRPr="005E403B">
        <w:t xml:space="preserve"> Elías </w:t>
      </w:r>
      <w:r w:rsidR="00B500F5" w:rsidRPr="00D24493">
        <w:t xml:space="preserve">Carranza </w:t>
      </w:r>
      <w:r w:rsidRPr="00D24493">
        <w:t>en calidad de declarantes a título informativo</w:t>
      </w:r>
      <w:r w:rsidR="00EB147A" w:rsidRPr="00D24493">
        <w:t>.</w:t>
      </w:r>
      <w:r w:rsidR="00B31E5D" w:rsidRPr="00D24493">
        <w:rPr>
          <w:rStyle w:val="FootnoteReference"/>
        </w:rPr>
        <w:t>.</w:t>
      </w:r>
      <w:r w:rsidR="00B31E5D" w:rsidRPr="00D24493">
        <w:t xml:space="preserve"> </w:t>
      </w:r>
      <w:r w:rsidRPr="00D24493">
        <w:t>El objeto y modalidad de dichas declar</w:t>
      </w:r>
      <w:r w:rsidRPr="005E403B">
        <w:t>ación se determina en la parte resolutiva de la presente resolución (</w:t>
      </w:r>
      <w:r w:rsidRPr="005E403B">
        <w:rPr>
          <w:i/>
        </w:rPr>
        <w:t>infra</w:t>
      </w:r>
      <w:r w:rsidRPr="005E403B">
        <w:t xml:space="preserve"> punto </w:t>
      </w:r>
      <w:r w:rsidRPr="004A5B6A">
        <w:t xml:space="preserve">resolutivo </w:t>
      </w:r>
      <w:r w:rsidR="004A5B6A" w:rsidRPr="004A5B6A">
        <w:t>3</w:t>
      </w:r>
      <w:r w:rsidRPr="004A5B6A">
        <w:t>)</w:t>
      </w:r>
      <w:r w:rsidR="00B500F5" w:rsidRPr="004A5B6A">
        <w:t>.</w:t>
      </w:r>
      <w:r w:rsidR="00B500F5" w:rsidRPr="005E403B">
        <w:t xml:space="preserve">  </w:t>
      </w:r>
    </w:p>
    <w:p w:rsidR="00784700" w:rsidRPr="005E403B" w:rsidRDefault="00784700" w:rsidP="00AC2451">
      <w:pPr>
        <w:pStyle w:val="ListParagraph"/>
        <w:widowControl w:val="0"/>
        <w:tabs>
          <w:tab w:val="left" w:pos="567"/>
        </w:tabs>
        <w:autoSpaceDE w:val="0"/>
        <w:autoSpaceDN w:val="0"/>
        <w:adjustRightInd w:val="0"/>
        <w:spacing w:after="0"/>
        <w:ind w:left="0" w:right="22"/>
        <w:contextualSpacing/>
      </w:pPr>
    </w:p>
    <w:p w:rsidR="00AC2451" w:rsidRPr="005E403B" w:rsidRDefault="00284C2B" w:rsidP="00AC2451">
      <w:pPr>
        <w:pStyle w:val="Heading1"/>
        <w:spacing w:before="0"/>
      </w:pPr>
      <w:r w:rsidRPr="005E403B">
        <w:t>F</w:t>
      </w:r>
      <w:r w:rsidR="00E2102E" w:rsidRPr="005E403B">
        <w:t xml:space="preserve">. </w:t>
      </w:r>
      <w:r w:rsidR="00124AD1" w:rsidRPr="005E403B">
        <w:t xml:space="preserve">Solicitud de la Comisión para formular preguntas </w:t>
      </w:r>
      <w:r w:rsidR="00B62BC7" w:rsidRPr="005E403B">
        <w:t>al perito ofrecido</w:t>
      </w:r>
      <w:r w:rsidR="00124AD1" w:rsidRPr="005E403B">
        <w:t xml:space="preserve"> por Costa Rica</w:t>
      </w:r>
    </w:p>
    <w:p w:rsidR="00B62BC7" w:rsidRPr="005E403B" w:rsidRDefault="00B62BC7" w:rsidP="00AC2451">
      <w:pPr>
        <w:pStyle w:val="Heading1"/>
        <w:spacing w:before="0"/>
      </w:pPr>
    </w:p>
    <w:p w:rsidR="002C096B" w:rsidRPr="005E403B" w:rsidRDefault="00485D0C" w:rsidP="006066BD">
      <w:pPr>
        <w:pStyle w:val="ListParagraph"/>
        <w:widowControl w:val="0"/>
        <w:numPr>
          <w:ilvl w:val="0"/>
          <w:numId w:val="40"/>
        </w:numPr>
        <w:tabs>
          <w:tab w:val="left" w:pos="560"/>
        </w:tabs>
        <w:autoSpaceDE w:val="0"/>
        <w:autoSpaceDN w:val="0"/>
        <w:adjustRightInd w:val="0"/>
        <w:spacing w:after="0"/>
        <w:ind w:left="0" w:right="22" w:firstLine="0"/>
        <w:contextualSpacing/>
        <w:rPr>
          <w:rFonts w:cs="Verdana"/>
          <w:szCs w:val="20"/>
          <w:lang w:bidi="en-US"/>
        </w:rPr>
      </w:pPr>
      <w:r w:rsidRPr="005E403B">
        <w:rPr>
          <w:rFonts w:cs="Verdana"/>
          <w:szCs w:val="20"/>
          <w:lang w:bidi="en-US"/>
        </w:rPr>
        <w:t>L</w:t>
      </w:r>
      <w:r w:rsidR="00CB0021" w:rsidRPr="005E403B">
        <w:rPr>
          <w:rFonts w:cs="Verdana"/>
          <w:szCs w:val="20"/>
          <w:lang w:bidi="en-US"/>
        </w:rPr>
        <w:t xml:space="preserve">a </w:t>
      </w:r>
      <w:r w:rsidR="00CB0021" w:rsidRPr="005E403B">
        <w:rPr>
          <w:rFonts w:cs="Verdana"/>
          <w:b/>
          <w:i/>
          <w:szCs w:val="20"/>
          <w:lang w:bidi="en-US"/>
        </w:rPr>
        <w:t>Comisión</w:t>
      </w:r>
      <w:r w:rsidR="00CB0021" w:rsidRPr="005E403B">
        <w:rPr>
          <w:rFonts w:cs="Verdana"/>
          <w:szCs w:val="20"/>
          <w:lang w:bidi="en-US"/>
        </w:rPr>
        <w:t xml:space="preserve"> solicitó formular preguntas al perito </w:t>
      </w:r>
      <w:r w:rsidRPr="005E403B">
        <w:rPr>
          <w:rFonts w:cs="Verdana"/>
          <w:szCs w:val="20"/>
          <w:lang w:bidi="en-US"/>
        </w:rPr>
        <w:t xml:space="preserve">Carlos Alberto </w:t>
      </w:r>
      <w:proofErr w:type="spellStart"/>
      <w:r w:rsidRPr="005E403B">
        <w:rPr>
          <w:rFonts w:cs="Verdana"/>
          <w:szCs w:val="20"/>
          <w:lang w:bidi="en-US"/>
        </w:rPr>
        <w:t>Beraldi</w:t>
      </w:r>
      <w:proofErr w:type="spellEnd"/>
      <w:r w:rsidRPr="005E403B">
        <w:rPr>
          <w:rStyle w:val="FootnoteReference"/>
          <w:rFonts w:cs="Verdana"/>
          <w:szCs w:val="20"/>
          <w:lang w:bidi="en-US"/>
        </w:rPr>
        <w:footnoteReference w:id="32"/>
      </w:r>
      <w:r w:rsidR="00CB0021" w:rsidRPr="005E403B">
        <w:rPr>
          <w:rFonts w:cs="Verdana"/>
          <w:szCs w:val="20"/>
          <w:lang w:bidi="en-US"/>
        </w:rPr>
        <w:t xml:space="preserve"> propuesto por el Estado</w:t>
      </w:r>
      <w:r w:rsidR="002C096B" w:rsidRPr="005E403B">
        <w:rPr>
          <w:rFonts w:cs="Verdana"/>
          <w:szCs w:val="20"/>
          <w:lang w:bidi="en-US"/>
        </w:rPr>
        <w:t xml:space="preserve">, “en tanto el objeto de su peritaje se relaciona tanto con el orden público interamericano </w:t>
      </w:r>
      <w:r w:rsidR="002C096B" w:rsidRPr="005E403B">
        <w:rPr>
          <w:szCs w:val="20"/>
        </w:rPr>
        <w:t>como</w:t>
      </w:r>
      <w:r w:rsidR="002C096B" w:rsidRPr="005E403B">
        <w:rPr>
          <w:rFonts w:cs="Verdana"/>
          <w:szCs w:val="20"/>
          <w:lang w:bidi="en-US"/>
        </w:rPr>
        <w:t xml:space="preserve"> con la materia sobre la cual versa el peritaje de Alberto Bovino ofrecido por la Comisión […]</w:t>
      </w:r>
      <w:r w:rsidR="00B81EA1" w:rsidRPr="005E403B">
        <w:rPr>
          <w:rFonts w:cs="Verdana"/>
          <w:szCs w:val="20"/>
          <w:lang w:bidi="en-US"/>
        </w:rPr>
        <w:t>.</w:t>
      </w:r>
      <w:r w:rsidR="002C096B" w:rsidRPr="005E403B">
        <w:rPr>
          <w:rFonts w:cs="Verdana"/>
          <w:szCs w:val="20"/>
          <w:lang w:bidi="en-US"/>
        </w:rPr>
        <w:t xml:space="preserve"> Ambos peritajes abarcan el alcance del derecho a recurrir el fallo, incluyendo las modificaciones legislativas que tuvieron lugar en Costa Rica sobre dicha materia”</w:t>
      </w:r>
      <w:r w:rsidR="00B81EA1" w:rsidRPr="005E403B">
        <w:rPr>
          <w:rFonts w:cs="Verdana"/>
          <w:szCs w:val="20"/>
          <w:lang w:bidi="en-US"/>
        </w:rPr>
        <w:t>.</w:t>
      </w:r>
      <w:r w:rsidR="000E0B7C">
        <w:rPr>
          <w:rFonts w:cs="Verdana"/>
          <w:b/>
          <w:szCs w:val="20"/>
          <w:lang w:bidi="en-US"/>
        </w:rPr>
        <w:t xml:space="preserve"> </w:t>
      </w:r>
      <w:r w:rsidR="000E0B7C">
        <w:rPr>
          <w:rFonts w:cs="Verdana"/>
          <w:szCs w:val="20"/>
          <w:lang w:bidi="en-US"/>
        </w:rPr>
        <w:t xml:space="preserve">Ninguno de los </w:t>
      </w:r>
      <w:r w:rsidR="000E0B7C" w:rsidRPr="000E0B7C">
        <w:rPr>
          <w:rFonts w:cs="Verdana"/>
          <w:b/>
          <w:i/>
          <w:szCs w:val="20"/>
          <w:lang w:bidi="en-US"/>
        </w:rPr>
        <w:t>intervinientes comunes</w:t>
      </w:r>
      <w:r w:rsidR="000E0B7C">
        <w:rPr>
          <w:rFonts w:cs="Verdana"/>
          <w:szCs w:val="20"/>
          <w:lang w:bidi="en-US"/>
        </w:rPr>
        <w:t xml:space="preserve"> ni el </w:t>
      </w:r>
      <w:r w:rsidR="000E0B7C" w:rsidRPr="000E0B7C">
        <w:rPr>
          <w:rFonts w:cs="Verdana"/>
          <w:b/>
          <w:i/>
          <w:szCs w:val="20"/>
          <w:lang w:bidi="en-US"/>
        </w:rPr>
        <w:t>Estado</w:t>
      </w:r>
      <w:r w:rsidR="000E0B7C">
        <w:rPr>
          <w:rFonts w:cs="Verdana"/>
          <w:szCs w:val="20"/>
          <w:lang w:bidi="en-US"/>
        </w:rPr>
        <w:t xml:space="preserve"> se refirieron a este punto. </w:t>
      </w:r>
      <w:r w:rsidR="000E0B7C">
        <w:rPr>
          <w:rFonts w:cs="Verdana"/>
          <w:b/>
          <w:i/>
          <w:szCs w:val="20"/>
          <w:lang w:bidi="en-US"/>
        </w:rPr>
        <w:t xml:space="preserve"> </w:t>
      </w:r>
    </w:p>
    <w:p w:rsidR="00B81EA1" w:rsidRPr="005E403B" w:rsidRDefault="00B81EA1" w:rsidP="00B81EA1">
      <w:pPr>
        <w:pStyle w:val="ListParagraph"/>
        <w:widowControl w:val="0"/>
        <w:tabs>
          <w:tab w:val="left" w:pos="560"/>
        </w:tabs>
        <w:autoSpaceDE w:val="0"/>
        <w:autoSpaceDN w:val="0"/>
        <w:adjustRightInd w:val="0"/>
        <w:spacing w:after="0"/>
        <w:ind w:left="0" w:right="22"/>
        <w:contextualSpacing/>
        <w:rPr>
          <w:rFonts w:cs="Verdana"/>
          <w:szCs w:val="20"/>
          <w:lang w:bidi="en-US"/>
        </w:rPr>
      </w:pPr>
    </w:p>
    <w:p w:rsidR="000E0B7C" w:rsidRDefault="000E0B7C" w:rsidP="000E0B7C">
      <w:pPr>
        <w:pStyle w:val="ListParagraph"/>
        <w:widowControl w:val="0"/>
        <w:numPr>
          <w:ilvl w:val="0"/>
          <w:numId w:val="40"/>
        </w:numPr>
        <w:tabs>
          <w:tab w:val="left" w:pos="560"/>
        </w:tabs>
        <w:autoSpaceDE w:val="0"/>
        <w:autoSpaceDN w:val="0"/>
        <w:adjustRightInd w:val="0"/>
        <w:spacing w:after="0"/>
        <w:ind w:left="0" w:right="22" w:firstLine="0"/>
        <w:contextualSpacing/>
        <w:rPr>
          <w:rFonts w:eastAsia="Times New Roman" w:cs="Verdana"/>
          <w:szCs w:val="20"/>
          <w:lang w:val="es-CL" w:eastAsia="en-US"/>
        </w:rPr>
      </w:pPr>
      <w:r>
        <w:rPr>
          <w:lang w:val="es-CR"/>
        </w:rPr>
        <w:t>El Presidente recuerda que</w:t>
      </w:r>
      <w:r w:rsidR="00571207">
        <w:rPr>
          <w:lang w:val="es-CR"/>
        </w:rPr>
        <w:t>,</w:t>
      </w:r>
      <w:r>
        <w:rPr>
          <w:lang w:val="es-CR"/>
        </w:rPr>
        <w:t xml:space="preserve"> de conformidad con lo establecido en los artículos 50.5 y 52.3 del Reglamento, corresponde a la Comisión fundamentar en cada caso cuál es la vinculación tanto con el orden público interamericano como con la materia sobre la que verse un peritaje ofrecido por la misma, para que la Corte o su Presidencia pueda evaluar la solicitud oportunamente y, si corresponde, autorizar la posibilidad de que la Comisión haga su interrogatorio</w:t>
      </w:r>
      <w:r>
        <w:rPr>
          <w:rStyle w:val="FootnoteReference"/>
          <w:lang w:val="es-CR"/>
        </w:rPr>
        <w:footnoteReference w:id="33"/>
      </w:r>
      <w:r>
        <w:rPr>
          <w:lang w:val="es-CR"/>
        </w:rPr>
        <w:t>.</w:t>
      </w:r>
    </w:p>
    <w:p w:rsidR="000E0B7C" w:rsidRDefault="000E0B7C" w:rsidP="000E0B7C">
      <w:pPr>
        <w:pStyle w:val="ListParagraph"/>
        <w:rPr>
          <w:rFonts w:eastAsia="Times New Roman" w:cs="Verdana"/>
          <w:szCs w:val="20"/>
          <w:lang w:val="es-CL" w:eastAsia="en-US"/>
        </w:rPr>
      </w:pPr>
    </w:p>
    <w:p w:rsidR="000E0B7C" w:rsidRDefault="000E0B7C" w:rsidP="00034DD4">
      <w:pPr>
        <w:pStyle w:val="ListParagraph"/>
        <w:widowControl w:val="0"/>
        <w:numPr>
          <w:ilvl w:val="0"/>
          <w:numId w:val="40"/>
        </w:numPr>
        <w:tabs>
          <w:tab w:val="left" w:pos="560"/>
        </w:tabs>
        <w:autoSpaceDE w:val="0"/>
        <w:autoSpaceDN w:val="0"/>
        <w:adjustRightInd w:val="0"/>
        <w:spacing w:after="0"/>
        <w:ind w:left="0" w:right="22" w:firstLine="0"/>
        <w:contextualSpacing/>
        <w:rPr>
          <w:rFonts w:eastAsia="Times New Roman" w:cs="Verdana"/>
          <w:szCs w:val="20"/>
          <w:lang w:val="es-CL" w:eastAsia="en-US"/>
        </w:rPr>
      </w:pPr>
      <w:r>
        <w:rPr>
          <w:rFonts w:eastAsia="Times New Roman" w:cs="Verdana"/>
          <w:szCs w:val="20"/>
          <w:lang w:val="es-CL" w:eastAsia="en-US"/>
        </w:rPr>
        <w:t xml:space="preserve">El Presidente </w:t>
      </w:r>
      <w:r>
        <w:rPr>
          <w:lang w:val="es-CR"/>
        </w:rPr>
        <w:t xml:space="preserve">estima que </w:t>
      </w:r>
      <w:r w:rsidR="00034DD4">
        <w:rPr>
          <w:lang w:val="es-CR"/>
        </w:rPr>
        <w:t>tanto</w:t>
      </w:r>
      <w:r>
        <w:rPr>
          <w:rFonts w:eastAsia="Times New Roman" w:cs="Verdana"/>
          <w:szCs w:val="20"/>
          <w:lang w:val="es-CL" w:eastAsia="en-US"/>
        </w:rPr>
        <w:t xml:space="preserve"> el dictamen pericial de Alberto Bovino como el de </w:t>
      </w:r>
      <w:r w:rsidRPr="005E403B">
        <w:rPr>
          <w:lang w:val="es-CR"/>
        </w:rPr>
        <w:t xml:space="preserve">Carlos Alberto </w:t>
      </w:r>
      <w:proofErr w:type="spellStart"/>
      <w:r w:rsidRPr="005E403B">
        <w:rPr>
          <w:lang w:val="es-CR"/>
        </w:rPr>
        <w:t>Beraldi</w:t>
      </w:r>
      <w:proofErr w:type="spellEnd"/>
      <w:r>
        <w:rPr>
          <w:rFonts w:eastAsia="Times New Roman" w:cs="Verdana"/>
          <w:szCs w:val="20"/>
          <w:lang w:val="es-CL" w:eastAsia="en-US"/>
        </w:rPr>
        <w:t xml:space="preserve"> hacen referencia al derecho a una revisión integral del fallo según los parámetros del artículo 8.2.h de la Convención Americana, por lo que están</w:t>
      </w:r>
      <w:r>
        <w:rPr>
          <w:lang w:val="es-CR"/>
        </w:rPr>
        <w:t xml:space="preserve"> relacionados con el orden público interamericano de los derechos humanos. En consecuencia, considera procedente, conforme a los artículos 50.5 y 52.3 del Reglamento, conceder</w:t>
      </w:r>
      <w:r w:rsidR="002F568E">
        <w:rPr>
          <w:lang w:val="es-CR"/>
        </w:rPr>
        <w:t xml:space="preserve"> la</w:t>
      </w:r>
      <w:r>
        <w:rPr>
          <w:lang w:val="es-CR"/>
        </w:rPr>
        <w:t xml:space="preserve"> oportunidad a la Comisión para formular preguntas al perito</w:t>
      </w:r>
      <w:r w:rsidR="00034DD4">
        <w:rPr>
          <w:lang w:val="es-CR"/>
        </w:rPr>
        <w:t xml:space="preserve"> ofrecido por el Estado</w:t>
      </w:r>
      <w:r>
        <w:rPr>
          <w:lang w:val="es-CR"/>
        </w:rPr>
        <w:t xml:space="preserve">, específicamente en lo que atañe a temas relacionados con el orden público interamericano. </w:t>
      </w:r>
    </w:p>
    <w:p w:rsidR="00284C2B" w:rsidRPr="005E403B" w:rsidRDefault="00284C2B" w:rsidP="006066BD">
      <w:pPr>
        <w:pStyle w:val="Heading1"/>
        <w:spacing w:before="0"/>
        <w:ind w:left="360"/>
      </w:pPr>
    </w:p>
    <w:p w:rsidR="00124AD1" w:rsidRPr="005E403B" w:rsidRDefault="00284C2B" w:rsidP="006066BD">
      <w:pPr>
        <w:pStyle w:val="Heading1"/>
        <w:spacing w:before="0"/>
        <w:ind w:left="360"/>
      </w:pPr>
      <w:r w:rsidRPr="005E403B">
        <w:t>G</w:t>
      </w:r>
      <w:r w:rsidR="00E2102E" w:rsidRPr="005E403B">
        <w:t xml:space="preserve">. </w:t>
      </w:r>
      <w:r w:rsidR="00124AD1" w:rsidRPr="005E403B">
        <w:t xml:space="preserve">Aplicación del Fondo de Asistencia Legal de Víctimas </w:t>
      </w:r>
      <w:r w:rsidRPr="005E403B">
        <w:t>d</w:t>
      </w:r>
      <w:r w:rsidR="00124AD1" w:rsidRPr="005E403B">
        <w:t>e la Corte</w:t>
      </w:r>
    </w:p>
    <w:p w:rsidR="00581110" w:rsidRPr="005E403B" w:rsidRDefault="00581110" w:rsidP="006066BD">
      <w:pPr>
        <w:pStyle w:val="ListParagraph"/>
        <w:widowControl w:val="0"/>
        <w:tabs>
          <w:tab w:val="left" w:pos="0"/>
          <w:tab w:val="left" w:pos="567"/>
        </w:tabs>
        <w:autoSpaceDE w:val="0"/>
        <w:autoSpaceDN w:val="0"/>
        <w:adjustRightInd w:val="0"/>
        <w:spacing w:after="0"/>
        <w:ind w:left="0" w:right="22"/>
        <w:contextualSpacing/>
        <w:rPr>
          <w:bCs/>
          <w:iCs/>
          <w:szCs w:val="20"/>
        </w:rPr>
      </w:pPr>
    </w:p>
    <w:p w:rsidR="00B541F4" w:rsidRPr="005E403B" w:rsidRDefault="00B541F4" w:rsidP="00774D7A">
      <w:pPr>
        <w:pStyle w:val="ListParagraph"/>
        <w:widowControl w:val="0"/>
        <w:numPr>
          <w:ilvl w:val="0"/>
          <w:numId w:val="40"/>
        </w:numPr>
        <w:tabs>
          <w:tab w:val="left" w:pos="567"/>
        </w:tabs>
        <w:autoSpaceDE w:val="0"/>
        <w:autoSpaceDN w:val="0"/>
        <w:adjustRightInd w:val="0"/>
        <w:spacing w:after="0"/>
        <w:ind w:left="0" w:right="22" w:firstLine="0"/>
        <w:contextualSpacing/>
        <w:rPr>
          <w:szCs w:val="20"/>
          <w:lang w:val="es-ES"/>
        </w:rPr>
      </w:pPr>
      <w:r w:rsidRPr="005E403B">
        <w:rPr>
          <w:szCs w:val="20"/>
          <w:lang w:val="es-ES"/>
        </w:rPr>
        <w:lastRenderedPageBreak/>
        <w:t xml:space="preserve">En el presente caso fueron designados </w:t>
      </w:r>
      <w:r w:rsidR="00264754">
        <w:rPr>
          <w:szCs w:val="20"/>
          <w:lang w:val="es-ES"/>
        </w:rPr>
        <w:t>D</w:t>
      </w:r>
      <w:r w:rsidRPr="005E403B">
        <w:rPr>
          <w:szCs w:val="20"/>
          <w:lang w:val="es-ES"/>
        </w:rPr>
        <w:t>efensores</w:t>
      </w:r>
      <w:r w:rsidR="00264754">
        <w:rPr>
          <w:szCs w:val="20"/>
          <w:lang w:val="es-ES"/>
        </w:rPr>
        <w:t xml:space="preserve"> Públicos</w:t>
      </w:r>
      <w:r w:rsidRPr="005E403B">
        <w:rPr>
          <w:szCs w:val="20"/>
          <w:lang w:val="es-ES"/>
        </w:rPr>
        <w:t xml:space="preserve"> </w:t>
      </w:r>
      <w:r w:rsidR="00264754">
        <w:rPr>
          <w:szCs w:val="20"/>
          <w:lang w:val="es-ES"/>
        </w:rPr>
        <w:t>I</w:t>
      </w:r>
      <w:r w:rsidRPr="005E403B">
        <w:rPr>
          <w:szCs w:val="20"/>
          <w:lang w:val="es-ES"/>
        </w:rPr>
        <w:t>nteramericanos para representar a l</w:t>
      </w:r>
      <w:r w:rsidR="00AB2674">
        <w:rPr>
          <w:szCs w:val="20"/>
          <w:lang w:val="es-ES"/>
        </w:rPr>
        <w:t>o</w:t>
      </w:r>
      <w:r w:rsidRPr="005E403B">
        <w:rPr>
          <w:szCs w:val="20"/>
          <w:lang w:val="es-ES"/>
        </w:rPr>
        <w:t>s</w:t>
      </w:r>
      <w:r w:rsidR="00AB2674">
        <w:rPr>
          <w:szCs w:val="20"/>
          <w:lang w:val="es-ES"/>
        </w:rPr>
        <w:t xml:space="preserve"> </w:t>
      </w:r>
      <w:r w:rsidR="00AB2674">
        <w:t>peticionarios</w:t>
      </w:r>
      <w:r w:rsidRPr="005E403B">
        <w:rPr>
          <w:szCs w:val="20"/>
          <w:lang w:val="es-ES"/>
        </w:rPr>
        <w:t xml:space="preserve"> Rafael Rojas</w:t>
      </w:r>
      <w:r w:rsidR="002F568E">
        <w:rPr>
          <w:szCs w:val="20"/>
          <w:lang w:val="es-ES"/>
        </w:rPr>
        <w:t xml:space="preserve"> Madrigal</w:t>
      </w:r>
      <w:r w:rsidRPr="005E403B">
        <w:rPr>
          <w:szCs w:val="20"/>
          <w:lang w:val="es-ES"/>
        </w:rPr>
        <w:t>, Fernando Saldarriaga</w:t>
      </w:r>
      <w:r w:rsidR="005644B4">
        <w:rPr>
          <w:szCs w:val="20"/>
          <w:lang w:val="es-ES"/>
        </w:rPr>
        <w:t xml:space="preserve"> </w:t>
      </w:r>
      <w:proofErr w:type="spellStart"/>
      <w:r w:rsidR="005644B4">
        <w:rPr>
          <w:szCs w:val="20"/>
          <w:lang w:val="es-ES"/>
        </w:rPr>
        <w:t>Saldarriaga</w:t>
      </w:r>
      <w:proofErr w:type="spellEnd"/>
      <w:r w:rsidRPr="005E403B">
        <w:rPr>
          <w:szCs w:val="20"/>
          <w:lang w:val="es-ES"/>
        </w:rPr>
        <w:t xml:space="preserve">, Guillermo Rodríguez Silva, Martín Rojas Hernández y Manuel Hernández Quesada. </w:t>
      </w:r>
      <w:bookmarkStart w:id="1" w:name="_Ref326583898"/>
      <w:r w:rsidRPr="005E403B">
        <w:rPr>
          <w:szCs w:val="20"/>
          <w:lang w:val="es-ES"/>
        </w:rPr>
        <w:t xml:space="preserve">En el escrito de solicitudes, argumentos y pruebas los defensores solicitaron la aplicación del Fondo de Asistencia Legal </w:t>
      </w:r>
      <w:bookmarkEnd w:id="1"/>
      <w:r w:rsidRPr="005E403B">
        <w:rPr>
          <w:szCs w:val="20"/>
          <w:lang w:val="es-ES"/>
        </w:rPr>
        <w:t xml:space="preserve">“tanto para el ejercicio de la defensa en el proceso interamericano como en relación a todos los gastos que demande cualquier actividad vinculada con ello. Estos gastos comprenden, en particular, la asistencia a la audiencia ante la Corte […] de la víctima, del perito ofrecido y de ambos Defensores Interamericanos (abarcando gastos de viaje, traslados, hospedaje y viáticos durante los días necesarios para asistir a las audiencias que se fijen), como así también el costo de los honorarios del perito ofrecido”. </w:t>
      </w:r>
    </w:p>
    <w:p w:rsidR="003B4F13" w:rsidRPr="006F390E" w:rsidRDefault="003B4F13" w:rsidP="00774D7A">
      <w:pPr>
        <w:pStyle w:val="ListParagraph"/>
        <w:widowControl w:val="0"/>
        <w:tabs>
          <w:tab w:val="left" w:pos="567"/>
        </w:tabs>
        <w:autoSpaceDE w:val="0"/>
        <w:autoSpaceDN w:val="0"/>
        <w:adjustRightInd w:val="0"/>
        <w:spacing w:after="0"/>
        <w:ind w:left="0" w:right="22"/>
        <w:contextualSpacing/>
        <w:rPr>
          <w:rFonts w:cs="Century Gothic"/>
          <w:szCs w:val="20"/>
          <w:lang w:val="es-ES"/>
        </w:rPr>
      </w:pPr>
    </w:p>
    <w:p w:rsidR="00B541F4" w:rsidRPr="005E403B" w:rsidRDefault="00B541F4" w:rsidP="00774D7A">
      <w:pPr>
        <w:pStyle w:val="ListParagraph"/>
        <w:widowControl w:val="0"/>
        <w:numPr>
          <w:ilvl w:val="0"/>
          <w:numId w:val="40"/>
        </w:numPr>
        <w:tabs>
          <w:tab w:val="left" w:pos="567"/>
        </w:tabs>
        <w:autoSpaceDE w:val="0"/>
        <w:autoSpaceDN w:val="0"/>
        <w:adjustRightInd w:val="0"/>
        <w:spacing w:after="0"/>
        <w:ind w:left="0" w:right="22" w:firstLine="0"/>
        <w:contextualSpacing/>
        <w:rPr>
          <w:rFonts w:cs="Century Gothic"/>
          <w:szCs w:val="20"/>
        </w:rPr>
      </w:pPr>
      <w:r w:rsidRPr="005E403B">
        <w:rPr>
          <w:szCs w:val="20"/>
        </w:rPr>
        <w:t xml:space="preserve">El </w:t>
      </w:r>
      <w:r w:rsidRPr="005E403B">
        <w:rPr>
          <w:szCs w:val="20"/>
          <w:lang w:val="es-ES"/>
        </w:rPr>
        <w:t>Presidente</w:t>
      </w:r>
      <w:r w:rsidRPr="005E403B">
        <w:rPr>
          <w:szCs w:val="20"/>
        </w:rPr>
        <w:t xml:space="preserve"> recuerda que, en casos en que l</w:t>
      </w:r>
      <w:r w:rsidR="00AB2674">
        <w:rPr>
          <w:szCs w:val="20"/>
        </w:rPr>
        <w:t xml:space="preserve">os </w:t>
      </w:r>
      <w:r w:rsidR="00AB2674">
        <w:t>peticionarios</w:t>
      </w:r>
      <w:r w:rsidRPr="005E403B">
        <w:rPr>
          <w:szCs w:val="20"/>
        </w:rPr>
        <w:t xml:space="preserve"> no tengan representación legal debidamente acreditada en el proceso ante la Corte Interamericana y su representación sea asumida gratuitamente por un defensor interamericano en los términos del artículo 37 del </w:t>
      </w:r>
      <w:r w:rsidRPr="005E403B">
        <w:rPr>
          <w:rFonts w:cs="Century Gothic"/>
          <w:szCs w:val="20"/>
        </w:rPr>
        <w:t>Reglamento</w:t>
      </w:r>
      <w:r w:rsidRPr="005E403B">
        <w:rPr>
          <w:szCs w:val="20"/>
        </w:rPr>
        <w:t xml:space="preserve"> del Tribunal</w:t>
      </w:r>
      <w:r w:rsidRPr="005E403B">
        <w:rPr>
          <w:rStyle w:val="FootnoteReference"/>
          <w:szCs w:val="20"/>
        </w:rPr>
        <w:footnoteReference w:id="34"/>
      </w:r>
      <w:r w:rsidRPr="005E403B">
        <w:rPr>
          <w:szCs w:val="20"/>
        </w:rPr>
        <w:t xml:space="preserve">, se brindará ayuda a través del Fondo de Asistencia </w:t>
      </w:r>
      <w:r w:rsidRPr="005E403B">
        <w:rPr>
          <w:szCs w:val="20"/>
          <w:lang w:val="es-CR"/>
        </w:rPr>
        <w:t xml:space="preserve">Legal de Víctimas </w:t>
      </w:r>
      <w:r w:rsidRPr="005E403B">
        <w:rPr>
          <w:szCs w:val="20"/>
        </w:rPr>
        <w:t>para sufragar, en la medida de lo posible, los gastos razonables y necesarios que origine tal representación</w:t>
      </w:r>
      <w:r w:rsidRPr="005E403B">
        <w:rPr>
          <w:rStyle w:val="FootnoteReference"/>
          <w:szCs w:val="20"/>
        </w:rPr>
        <w:footnoteReference w:id="35"/>
      </w:r>
      <w:r w:rsidRPr="005E403B">
        <w:rPr>
          <w:szCs w:val="20"/>
        </w:rPr>
        <w:t>. Es decir, l</w:t>
      </w:r>
      <w:r w:rsidRPr="005E403B">
        <w:rPr>
          <w:szCs w:val="20"/>
          <w:lang w:val="es-CR"/>
        </w:rPr>
        <w:t xml:space="preserve">a aplicación del Fondo en estas situaciones se rige por lo establecido en el artículo 4 del Acuerdo de Entendimiento entre la Corte Interamericana y la Asociación Interamericana de Defensorías Públicas, de modo que el defensor interamericano designado “deberá presentar ante la Corte todos los comprobantes necesarios que acrediten los gastos en que se ha incurrido con motivo de la tramitación del caso ante ésta”. </w:t>
      </w:r>
    </w:p>
    <w:p w:rsidR="003B4F13" w:rsidRPr="005E403B" w:rsidRDefault="003B4F13" w:rsidP="00774D7A">
      <w:pPr>
        <w:pStyle w:val="ListParagraph"/>
        <w:widowControl w:val="0"/>
        <w:tabs>
          <w:tab w:val="left" w:pos="567"/>
        </w:tabs>
        <w:autoSpaceDE w:val="0"/>
        <w:autoSpaceDN w:val="0"/>
        <w:adjustRightInd w:val="0"/>
        <w:spacing w:after="0"/>
        <w:ind w:left="0" w:right="22"/>
        <w:contextualSpacing/>
        <w:rPr>
          <w:color w:val="5F497A" w:themeColor="accent4" w:themeShade="BF"/>
          <w:szCs w:val="20"/>
          <w:lang w:val="es-CR"/>
        </w:rPr>
      </w:pPr>
    </w:p>
    <w:p w:rsidR="00E60F6B" w:rsidRPr="00E60F6B" w:rsidRDefault="00B541F4" w:rsidP="00E60F6B">
      <w:pPr>
        <w:pStyle w:val="ListParagraph"/>
        <w:widowControl w:val="0"/>
        <w:numPr>
          <w:ilvl w:val="0"/>
          <w:numId w:val="40"/>
        </w:numPr>
        <w:tabs>
          <w:tab w:val="left" w:pos="567"/>
        </w:tabs>
        <w:autoSpaceDE w:val="0"/>
        <w:autoSpaceDN w:val="0"/>
        <w:adjustRightInd w:val="0"/>
        <w:spacing w:after="0"/>
        <w:ind w:left="0" w:right="22" w:firstLine="0"/>
        <w:contextualSpacing/>
        <w:rPr>
          <w:szCs w:val="20"/>
        </w:rPr>
      </w:pPr>
      <w:r w:rsidRPr="005E403B">
        <w:rPr>
          <w:szCs w:val="20"/>
        </w:rPr>
        <w:t xml:space="preserve">En el presente caso, la Defensora Interamericana Pública por Nicaragua, </w:t>
      </w:r>
      <w:r w:rsidRPr="005E403B">
        <w:rPr>
          <w:bCs/>
          <w:szCs w:val="20"/>
          <w:lang w:val="es-CR"/>
        </w:rPr>
        <w:t xml:space="preserve">Belinda Guevara </w:t>
      </w:r>
      <w:proofErr w:type="spellStart"/>
      <w:r w:rsidRPr="005E403B">
        <w:rPr>
          <w:bCs/>
          <w:szCs w:val="20"/>
          <w:lang w:val="es-CR"/>
        </w:rPr>
        <w:t>Casaya</w:t>
      </w:r>
      <w:proofErr w:type="spellEnd"/>
      <w:r w:rsidRPr="005E403B">
        <w:rPr>
          <w:bCs/>
          <w:szCs w:val="20"/>
          <w:lang w:val="es-CR"/>
        </w:rPr>
        <w:t xml:space="preserve">, </w:t>
      </w:r>
      <w:r w:rsidRPr="005E403B">
        <w:rPr>
          <w:szCs w:val="20"/>
          <w:lang w:val="es-CR"/>
        </w:rPr>
        <w:t>representa</w:t>
      </w:r>
      <w:r w:rsidRPr="005E403B">
        <w:rPr>
          <w:szCs w:val="20"/>
        </w:rPr>
        <w:t xml:space="preserve"> a los señores Rafael Rojas Madrigal y Manuel Hernández Quesada, mientras que los Defensores Públicos </w:t>
      </w:r>
      <w:r w:rsidR="00C5425B" w:rsidRPr="005E403B">
        <w:rPr>
          <w:szCs w:val="20"/>
        </w:rPr>
        <w:t xml:space="preserve">Interamericanos </w:t>
      </w:r>
      <w:r w:rsidRPr="005E403B">
        <w:rPr>
          <w:szCs w:val="20"/>
        </w:rPr>
        <w:t xml:space="preserve">por Cosa Rica, </w:t>
      </w:r>
      <w:r w:rsidRPr="005E403B">
        <w:rPr>
          <w:bCs/>
          <w:szCs w:val="20"/>
          <w:lang w:val="es-CR"/>
        </w:rPr>
        <w:t xml:space="preserve">José Arnoldo González Castro y Tomás Poblador Ramírez, </w:t>
      </w:r>
      <w:r w:rsidRPr="005E403B">
        <w:rPr>
          <w:bCs/>
          <w:color w:val="000000" w:themeColor="text1"/>
          <w:szCs w:val="20"/>
          <w:lang w:val="es-CR"/>
        </w:rPr>
        <w:t>representan a l</w:t>
      </w:r>
      <w:r w:rsidR="00AB2674">
        <w:rPr>
          <w:bCs/>
          <w:color w:val="000000" w:themeColor="text1"/>
          <w:szCs w:val="20"/>
          <w:lang w:val="es-CR"/>
        </w:rPr>
        <w:t>o</w:t>
      </w:r>
      <w:r w:rsidRPr="005E403B">
        <w:rPr>
          <w:bCs/>
          <w:color w:val="000000" w:themeColor="text1"/>
          <w:szCs w:val="20"/>
          <w:lang w:val="es-CR"/>
        </w:rPr>
        <w:t xml:space="preserve">s demás </w:t>
      </w:r>
      <w:r w:rsidR="00AB2674">
        <w:t>peticionarios</w:t>
      </w:r>
      <w:r w:rsidRPr="005E403B">
        <w:rPr>
          <w:bCs/>
          <w:color w:val="000000" w:themeColor="text1"/>
          <w:szCs w:val="20"/>
          <w:lang w:val="es-CR"/>
        </w:rPr>
        <w:t xml:space="preserve"> que solicitaron acogerse a dicha figura y a aquell</w:t>
      </w:r>
      <w:r w:rsidR="0062024E">
        <w:rPr>
          <w:bCs/>
          <w:color w:val="000000" w:themeColor="text1"/>
          <w:szCs w:val="20"/>
          <w:lang w:val="es-CR"/>
        </w:rPr>
        <w:t>o</w:t>
      </w:r>
      <w:r w:rsidRPr="005E403B">
        <w:rPr>
          <w:bCs/>
          <w:color w:val="000000" w:themeColor="text1"/>
          <w:szCs w:val="20"/>
          <w:lang w:val="es-CR"/>
        </w:rPr>
        <w:t xml:space="preserve">s que no fue posible localizar pese a los esfuerzos del </w:t>
      </w:r>
      <w:r w:rsidRPr="005E403B">
        <w:rPr>
          <w:bCs/>
          <w:szCs w:val="20"/>
          <w:lang w:val="es-CR"/>
        </w:rPr>
        <w:t>Tribunal.</w:t>
      </w:r>
      <w:r w:rsidRPr="005E403B">
        <w:rPr>
          <w:szCs w:val="20"/>
          <w:lang w:val="es-CR"/>
        </w:rPr>
        <w:t xml:space="preserve"> </w:t>
      </w:r>
      <w:r w:rsidR="00C5425B" w:rsidRPr="005E403B">
        <w:rPr>
          <w:szCs w:val="20"/>
        </w:rPr>
        <w:t>Así, e</w:t>
      </w:r>
      <w:r w:rsidRPr="005E403B">
        <w:rPr>
          <w:szCs w:val="20"/>
        </w:rPr>
        <w:t>l Presidente</w:t>
      </w:r>
      <w:r w:rsidRPr="005E403B">
        <w:rPr>
          <w:szCs w:val="20"/>
          <w:lang w:val="es-CR"/>
        </w:rPr>
        <w:t xml:space="preserve"> dispone que, en esta etapa del procedimiento, la asistencia económica del Fondo será asignada para cubrir los gastos de </w:t>
      </w:r>
      <w:r w:rsidRPr="005E403B">
        <w:rPr>
          <w:szCs w:val="20"/>
        </w:rPr>
        <w:t>traslado, alojamiento y manutención</w:t>
      </w:r>
      <w:r w:rsidRPr="005E403B">
        <w:rPr>
          <w:szCs w:val="20"/>
          <w:lang w:val="es-CR"/>
        </w:rPr>
        <w:t xml:space="preserve"> necesarios para que la defensora interamericana Belinda Guevara </w:t>
      </w:r>
      <w:proofErr w:type="spellStart"/>
      <w:r w:rsidRPr="005E403B">
        <w:rPr>
          <w:szCs w:val="20"/>
          <w:lang w:val="es-CR"/>
        </w:rPr>
        <w:t>Casaya</w:t>
      </w:r>
      <w:proofErr w:type="spellEnd"/>
      <w:r w:rsidRPr="005E403B">
        <w:rPr>
          <w:szCs w:val="20"/>
          <w:lang w:val="es-CR"/>
        </w:rPr>
        <w:t xml:space="preserve"> asista a </w:t>
      </w:r>
      <w:r w:rsidRPr="005E403B">
        <w:rPr>
          <w:szCs w:val="20"/>
        </w:rPr>
        <w:t>la</w:t>
      </w:r>
      <w:r w:rsidRPr="005E403B">
        <w:rPr>
          <w:szCs w:val="20"/>
          <w:lang w:val="es-CR"/>
        </w:rPr>
        <w:t xml:space="preserve"> audiencia pública a ejercer sus labores de representación de l</w:t>
      </w:r>
      <w:r w:rsidR="00AB2674">
        <w:rPr>
          <w:szCs w:val="20"/>
          <w:lang w:val="es-CR"/>
        </w:rPr>
        <w:t>o</w:t>
      </w:r>
      <w:r w:rsidRPr="005E403B">
        <w:rPr>
          <w:szCs w:val="20"/>
          <w:lang w:val="es-CR"/>
        </w:rPr>
        <w:t>s</w:t>
      </w:r>
      <w:r w:rsidR="00AB2674">
        <w:rPr>
          <w:szCs w:val="20"/>
          <w:lang w:val="es-CR"/>
        </w:rPr>
        <w:t xml:space="preserve"> </w:t>
      </w:r>
      <w:r w:rsidR="00AB2674">
        <w:t>peticionarios</w:t>
      </w:r>
      <w:r w:rsidRPr="005E403B">
        <w:rPr>
          <w:szCs w:val="20"/>
          <w:lang w:val="es-CR"/>
        </w:rPr>
        <w:t xml:space="preserve"> Rojas</w:t>
      </w:r>
      <w:r w:rsidR="00EE269A">
        <w:rPr>
          <w:szCs w:val="20"/>
          <w:lang w:val="es-CR"/>
        </w:rPr>
        <w:t xml:space="preserve"> Madrigal</w:t>
      </w:r>
      <w:r w:rsidRPr="005E403B">
        <w:rPr>
          <w:szCs w:val="20"/>
          <w:lang w:val="es-CR"/>
        </w:rPr>
        <w:t xml:space="preserve"> y Hernández</w:t>
      </w:r>
      <w:r w:rsidR="00EE269A">
        <w:rPr>
          <w:szCs w:val="20"/>
          <w:lang w:val="es-CR"/>
        </w:rPr>
        <w:t xml:space="preserve"> Quesada</w:t>
      </w:r>
      <w:r w:rsidRPr="005E403B">
        <w:rPr>
          <w:szCs w:val="20"/>
          <w:lang w:val="es-CR"/>
        </w:rPr>
        <w:t xml:space="preserve">. </w:t>
      </w:r>
      <w:r w:rsidRPr="005E403B">
        <w:rPr>
          <w:szCs w:val="20"/>
        </w:rPr>
        <w:t xml:space="preserve">Para tales efectos, el Tribunal realizará las gestiones pertinentes. </w:t>
      </w:r>
      <w:r w:rsidR="00C5425B" w:rsidRPr="005E403B">
        <w:rPr>
          <w:szCs w:val="20"/>
        </w:rPr>
        <w:t xml:space="preserve">Adicionalmente, esta Presidencia determina que los gastos razonables </w:t>
      </w:r>
      <w:r w:rsidR="00C5425B" w:rsidRPr="005E403B">
        <w:rPr>
          <w:szCs w:val="20"/>
          <w:lang w:val="es-CR"/>
        </w:rPr>
        <w:t xml:space="preserve">de formalización y envío de </w:t>
      </w:r>
      <w:r w:rsidR="00F60462" w:rsidRPr="00F60462">
        <w:rPr>
          <w:szCs w:val="20"/>
          <w:lang w:val="es-CR"/>
        </w:rPr>
        <w:t>los</w:t>
      </w:r>
      <w:r w:rsidR="00E60F6B" w:rsidRPr="00F60462">
        <w:rPr>
          <w:szCs w:val="20"/>
          <w:lang w:val="es-CR"/>
        </w:rPr>
        <w:t xml:space="preserve"> </w:t>
      </w:r>
      <w:r w:rsidR="00C5425B" w:rsidRPr="00F60462">
        <w:rPr>
          <w:iCs/>
          <w:szCs w:val="20"/>
          <w:lang w:val="es-CR"/>
        </w:rPr>
        <w:t>afidávits</w:t>
      </w:r>
      <w:r w:rsidR="00C5425B" w:rsidRPr="00F60462">
        <w:rPr>
          <w:i/>
          <w:iCs/>
          <w:szCs w:val="20"/>
          <w:lang w:val="es-CR"/>
        </w:rPr>
        <w:t xml:space="preserve"> </w:t>
      </w:r>
      <w:r w:rsidR="00C5425B" w:rsidRPr="00F60462">
        <w:rPr>
          <w:szCs w:val="20"/>
        </w:rPr>
        <w:t>ofrecidos por los Defensores Públicos Interamericanos (</w:t>
      </w:r>
      <w:r w:rsidR="00C5425B" w:rsidRPr="00F60462">
        <w:rPr>
          <w:i/>
          <w:szCs w:val="20"/>
        </w:rPr>
        <w:t xml:space="preserve">infra </w:t>
      </w:r>
      <w:r w:rsidR="00C5425B" w:rsidRPr="00F60462">
        <w:rPr>
          <w:szCs w:val="20"/>
        </w:rPr>
        <w:t xml:space="preserve">punto </w:t>
      </w:r>
      <w:r w:rsidR="00C5425B" w:rsidRPr="00AE7E59">
        <w:rPr>
          <w:szCs w:val="20"/>
        </w:rPr>
        <w:t xml:space="preserve">resolutivo </w:t>
      </w:r>
      <w:r w:rsidR="00100B6E" w:rsidRPr="00AE7E59">
        <w:rPr>
          <w:szCs w:val="20"/>
        </w:rPr>
        <w:t>3</w:t>
      </w:r>
      <w:r w:rsidR="00C5425B" w:rsidRPr="00AE7E59">
        <w:rPr>
          <w:szCs w:val="20"/>
        </w:rPr>
        <w:t>)</w:t>
      </w:r>
      <w:r w:rsidR="00C5425B" w:rsidRPr="00AE7E59">
        <w:rPr>
          <w:szCs w:val="20"/>
          <w:lang w:val="es-CR"/>
        </w:rPr>
        <w:t xml:space="preserve"> </w:t>
      </w:r>
      <w:r w:rsidR="00C5425B" w:rsidRPr="00AE7E59">
        <w:rPr>
          <w:szCs w:val="20"/>
        </w:rPr>
        <w:t>podrán</w:t>
      </w:r>
      <w:r w:rsidR="00C5425B" w:rsidRPr="00F60462">
        <w:rPr>
          <w:szCs w:val="20"/>
        </w:rPr>
        <w:t xml:space="preserve"> ser cubierto</w:t>
      </w:r>
      <w:r w:rsidR="00F60462">
        <w:rPr>
          <w:szCs w:val="20"/>
        </w:rPr>
        <w:t>s</w:t>
      </w:r>
      <w:r w:rsidR="00C5425B" w:rsidRPr="00F60462">
        <w:rPr>
          <w:szCs w:val="20"/>
        </w:rPr>
        <w:t xml:space="preserve"> con recursos del Fondo de Asistencia Legal de Víctimas.</w:t>
      </w:r>
      <w:r w:rsidR="00C5425B" w:rsidRPr="005E403B">
        <w:rPr>
          <w:szCs w:val="20"/>
          <w:lang w:val="es-CR"/>
        </w:rPr>
        <w:t xml:space="preserve"> </w:t>
      </w:r>
      <w:r w:rsidR="00C5425B" w:rsidRPr="00093B6A">
        <w:rPr>
          <w:szCs w:val="20"/>
          <w:lang w:val="es-CR"/>
        </w:rPr>
        <w:t xml:space="preserve">Los representantes deberán comunicar a la Corte los nombres de los declarantes cuyos </w:t>
      </w:r>
      <w:r w:rsidR="00C5425B" w:rsidRPr="00093B6A">
        <w:rPr>
          <w:i/>
          <w:iCs/>
          <w:szCs w:val="20"/>
          <w:lang w:val="es-CR"/>
        </w:rPr>
        <w:t xml:space="preserve">afidávits </w:t>
      </w:r>
      <w:r w:rsidR="00C5425B" w:rsidRPr="00093B6A">
        <w:rPr>
          <w:iCs/>
          <w:szCs w:val="20"/>
          <w:lang w:val="es-CR"/>
        </w:rPr>
        <w:t>serán cubiertos por el Fondo de Asistencia y</w:t>
      </w:r>
      <w:r w:rsidR="00C5425B" w:rsidRPr="005E403B">
        <w:rPr>
          <w:iCs/>
          <w:szCs w:val="20"/>
          <w:lang w:val="es-CR"/>
        </w:rPr>
        <w:t xml:space="preserve"> remitir la cotización del costo de la formalización de las declaraciones juradas en el país de residencia de los declarantes y de su envío, en el plazo establecido en la parte resolutiva de la presente Resolución (</w:t>
      </w:r>
      <w:r w:rsidR="00C5425B" w:rsidRPr="005E403B">
        <w:rPr>
          <w:i/>
          <w:iCs/>
          <w:szCs w:val="20"/>
          <w:lang w:val="es-CR"/>
        </w:rPr>
        <w:t>infra</w:t>
      </w:r>
      <w:r w:rsidR="00C5425B" w:rsidRPr="005E403B">
        <w:rPr>
          <w:iCs/>
          <w:szCs w:val="20"/>
          <w:lang w:val="es-CR"/>
        </w:rPr>
        <w:t xml:space="preserve"> punto </w:t>
      </w:r>
      <w:r w:rsidR="00C5425B" w:rsidRPr="0057663C">
        <w:rPr>
          <w:iCs/>
          <w:szCs w:val="20"/>
          <w:lang w:val="es-CR"/>
        </w:rPr>
        <w:t xml:space="preserve">resolutivo </w:t>
      </w:r>
      <w:r w:rsidR="00100B6E" w:rsidRPr="0057663C">
        <w:rPr>
          <w:iCs/>
          <w:szCs w:val="20"/>
          <w:lang w:val="es-CR"/>
        </w:rPr>
        <w:t>8</w:t>
      </w:r>
      <w:r w:rsidR="00C5425B" w:rsidRPr="0057663C">
        <w:rPr>
          <w:iCs/>
          <w:szCs w:val="20"/>
          <w:lang w:val="es-CR"/>
        </w:rPr>
        <w:t>).</w:t>
      </w:r>
    </w:p>
    <w:p w:rsidR="00B541F4" w:rsidRPr="005E403B" w:rsidRDefault="00B541F4" w:rsidP="004F3266">
      <w:pPr>
        <w:pStyle w:val="ListParagraph"/>
        <w:widowControl w:val="0"/>
        <w:tabs>
          <w:tab w:val="left" w:pos="567"/>
        </w:tabs>
        <w:autoSpaceDE w:val="0"/>
        <w:autoSpaceDN w:val="0"/>
        <w:adjustRightInd w:val="0"/>
        <w:spacing w:after="0"/>
        <w:ind w:left="0" w:right="22"/>
        <w:contextualSpacing/>
        <w:rPr>
          <w:color w:val="5F497A" w:themeColor="accent4" w:themeShade="BF"/>
          <w:szCs w:val="20"/>
          <w:lang w:val="es-CR"/>
        </w:rPr>
      </w:pPr>
    </w:p>
    <w:p w:rsidR="00B541F4" w:rsidRPr="005E403B" w:rsidRDefault="00B541F4" w:rsidP="00774D7A">
      <w:pPr>
        <w:pStyle w:val="ListParagraph"/>
        <w:widowControl w:val="0"/>
        <w:numPr>
          <w:ilvl w:val="0"/>
          <w:numId w:val="40"/>
        </w:numPr>
        <w:tabs>
          <w:tab w:val="left" w:pos="567"/>
        </w:tabs>
        <w:autoSpaceDE w:val="0"/>
        <w:autoSpaceDN w:val="0"/>
        <w:adjustRightInd w:val="0"/>
        <w:spacing w:after="0"/>
        <w:ind w:left="0" w:right="22" w:firstLine="0"/>
        <w:contextualSpacing/>
        <w:rPr>
          <w:lang w:val="es-MX"/>
        </w:rPr>
      </w:pPr>
      <w:r w:rsidRPr="005E403B">
        <w:t xml:space="preserve">Finalmente, el Presidente recuerda que, según el artículo 5 del Reglamento del Fondo, se informará </w:t>
      </w:r>
      <w:r w:rsidRPr="005E403B">
        <w:rPr>
          <w:lang w:val="es-CR"/>
        </w:rPr>
        <w:t>oportunamente</w:t>
      </w:r>
      <w:r w:rsidRPr="005E403B">
        <w:t xml:space="preserve"> al Estado demandado las erogaciones realizadas en aplicación </w:t>
      </w:r>
      <w:r w:rsidRPr="005E403B">
        <w:lastRenderedPageBreak/>
        <w:t>del Fondo de Asistencia Legal de Víctimas, para que presente sus observaciones, si así lo desea, dentro del plazo que se establezca al efecto.</w:t>
      </w:r>
    </w:p>
    <w:p w:rsidR="00EA1C87" w:rsidRPr="005E403B" w:rsidRDefault="00EA1C87" w:rsidP="006066BD">
      <w:pPr>
        <w:pStyle w:val="Heading1"/>
        <w:spacing w:before="0"/>
        <w:rPr>
          <w:rFonts w:eastAsia="Calibri"/>
          <w:lang w:val="es-MX"/>
        </w:rPr>
      </w:pPr>
    </w:p>
    <w:p w:rsidR="00ED39FA" w:rsidRPr="005E403B" w:rsidRDefault="00ED39FA" w:rsidP="006066BD">
      <w:pPr>
        <w:pStyle w:val="Heading1"/>
        <w:spacing w:before="0"/>
        <w:rPr>
          <w:rFonts w:eastAsia="Calibri"/>
        </w:rPr>
      </w:pPr>
      <w:r w:rsidRPr="005E403B">
        <w:rPr>
          <w:rFonts w:eastAsia="Calibri"/>
        </w:rPr>
        <w:t>POR TANTO:</w:t>
      </w:r>
    </w:p>
    <w:p w:rsidR="00EA1C87" w:rsidRPr="005E403B" w:rsidRDefault="00EA1C87" w:rsidP="006066BD">
      <w:pPr>
        <w:tabs>
          <w:tab w:val="left" w:pos="567"/>
        </w:tabs>
        <w:spacing w:after="0"/>
        <w:rPr>
          <w:rFonts w:cs="Verdana"/>
          <w:b/>
          <w:bCs/>
          <w:szCs w:val="20"/>
        </w:rPr>
      </w:pPr>
    </w:p>
    <w:p w:rsidR="00ED39FA" w:rsidRPr="005E403B" w:rsidRDefault="00ED39FA" w:rsidP="006066BD">
      <w:pPr>
        <w:tabs>
          <w:tab w:val="left" w:pos="567"/>
        </w:tabs>
        <w:spacing w:after="0"/>
        <w:rPr>
          <w:rFonts w:cs="Verdana"/>
          <w:b/>
          <w:bCs/>
          <w:szCs w:val="20"/>
        </w:rPr>
      </w:pPr>
      <w:r w:rsidRPr="005E403B">
        <w:rPr>
          <w:rFonts w:cs="Verdana"/>
          <w:b/>
          <w:bCs/>
          <w:szCs w:val="20"/>
        </w:rPr>
        <w:t xml:space="preserve">EL PRESIDENTE DE LA CORTE INTERAMERICANA DE DERECHOS HUMANOS, </w:t>
      </w:r>
    </w:p>
    <w:p w:rsidR="00EA1C87" w:rsidRPr="005E403B" w:rsidRDefault="00EA1C87" w:rsidP="006066BD">
      <w:pPr>
        <w:tabs>
          <w:tab w:val="left" w:pos="567"/>
        </w:tabs>
        <w:spacing w:after="0"/>
        <w:rPr>
          <w:rFonts w:cs="Verdana"/>
          <w:szCs w:val="20"/>
        </w:rPr>
      </w:pPr>
    </w:p>
    <w:p w:rsidR="00ED39FA" w:rsidRPr="005E403B" w:rsidRDefault="00ED39FA" w:rsidP="006066BD">
      <w:pPr>
        <w:tabs>
          <w:tab w:val="left" w:pos="567"/>
        </w:tabs>
        <w:spacing w:after="0"/>
        <w:rPr>
          <w:rFonts w:cs="Verdana"/>
          <w:szCs w:val="20"/>
        </w:rPr>
      </w:pPr>
      <w:r w:rsidRPr="005E403B">
        <w:rPr>
          <w:rFonts w:cs="Verdana"/>
          <w:szCs w:val="20"/>
        </w:rPr>
        <w:t xml:space="preserve">de conformidad con los artículos 24.1 y 25.2 del Estatuto de la Corte y con los artículos 4, 15.1, 26.1, 31.2, 35.1, 40.2, 41.1, 45, 46 a 48, 50 a 56 y 60 del Reglamento, </w:t>
      </w:r>
    </w:p>
    <w:p w:rsidR="00EA1C87" w:rsidRPr="005E403B" w:rsidRDefault="00EA1C87" w:rsidP="004F3266">
      <w:pPr>
        <w:pStyle w:val="ListParagraph"/>
        <w:spacing w:after="0"/>
        <w:ind w:left="0"/>
        <w:contextualSpacing/>
        <w:rPr>
          <w:bCs/>
          <w:iCs/>
        </w:rPr>
      </w:pPr>
    </w:p>
    <w:p w:rsidR="000D7BE8" w:rsidRPr="005E403B" w:rsidRDefault="000D7BE8" w:rsidP="000D7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b/>
          <w:bCs/>
          <w:szCs w:val="20"/>
          <w:lang w:bidi="en-US"/>
        </w:rPr>
      </w:pPr>
      <w:r w:rsidRPr="005E403B">
        <w:rPr>
          <w:rFonts w:cs="Verdana"/>
          <w:b/>
          <w:bCs/>
          <w:szCs w:val="20"/>
          <w:lang w:bidi="en-US"/>
        </w:rPr>
        <w:t xml:space="preserve">RESUELVE: </w:t>
      </w:r>
    </w:p>
    <w:p w:rsidR="000D7BE8" w:rsidRPr="005E403B" w:rsidRDefault="000D7BE8" w:rsidP="000D7BE8">
      <w:pPr>
        <w:pStyle w:val="Listavistosa-nfasis11"/>
        <w:widowControl w:val="0"/>
        <w:numPr>
          <w:ilvl w:val="0"/>
          <w:numId w:val="0"/>
        </w:numPr>
        <w:tabs>
          <w:tab w:val="left" w:pos="720"/>
        </w:tabs>
        <w:autoSpaceDE w:val="0"/>
        <w:autoSpaceDN w:val="0"/>
        <w:adjustRightInd w:val="0"/>
        <w:spacing w:after="0"/>
        <w:rPr>
          <w:rFonts w:cs="Verdana"/>
          <w:color w:val="E36C0A" w:themeColor="accent6" w:themeShade="BF"/>
          <w:szCs w:val="20"/>
          <w:lang w:bidi="en-US"/>
        </w:rPr>
      </w:pPr>
    </w:p>
    <w:p w:rsidR="000D7BE8" w:rsidRPr="005E403B" w:rsidRDefault="000D7BE8" w:rsidP="000D7BE8">
      <w:pPr>
        <w:pStyle w:val="Listavistosa-nfasis11"/>
        <w:widowControl w:val="0"/>
        <w:numPr>
          <w:ilvl w:val="3"/>
          <w:numId w:val="44"/>
        </w:numPr>
        <w:tabs>
          <w:tab w:val="clear" w:pos="450"/>
          <w:tab w:val="num" w:pos="720"/>
        </w:tabs>
        <w:autoSpaceDE w:val="0"/>
        <w:autoSpaceDN w:val="0"/>
        <w:adjustRightInd w:val="0"/>
        <w:spacing w:after="0"/>
        <w:ind w:left="0" w:firstLine="0"/>
        <w:rPr>
          <w:rFonts w:cs="Verdana"/>
          <w:iCs/>
          <w:szCs w:val="20"/>
          <w:lang w:bidi="en-US"/>
        </w:rPr>
      </w:pPr>
      <w:r w:rsidRPr="005E403B">
        <w:rPr>
          <w:rFonts w:cs="Verdana"/>
          <w:iCs/>
          <w:szCs w:val="20"/>
          <w:lang w:bidi="en-US"/>
        </w:rPr>
        <w:t xml:space="preserve">Convocar </w:t>
      </w:r>
      <w:r w:rsidR="00D61E27" w:rsidRPr="005E403B">
        <w:rPr>
          <w:rFonts w:cs="Verdana"/>
          <w:iCs/>
          <w:szCs w:val="20"/>
          <w:lang w:bidi="en-US"/>
        </w:rPr>
        <w:t>a la República de Costa Rica</w:t>
      </w:r>
      <w:r w:rsidRPr="005E403B">
        <w:rPr>
          <w:rFonts w:cs="Verdana"/>
          <w:iCs/>
          <w:szCs w:val="20"/>
          <w:lang w:bidi="en-US"/>
        </w:rPr>
        <w:t xml:space="preserve">, a los </w:t>
      </w:r>
      <w:r w:rsidR="00D61E27" w:rsidRPr="005E403B">
        <w:rPr>
          <w:rFonts w:cs="Verdana"/>
          <w:iCs/>
          <w:szCs w:val="20"/>
          <w:lang w:bidi="en-US"/>
        </w:rPr>
        <w:t xml:space="preserve">intervinientes comunes </w:t>
      </w:r>
      <w:r w:rsidRPr="005E403B">
        <w:rPr>
          <w:rFonts w:cs="Verdana"/>
          <w:iCs/>
          <w:szCs w:val="20"/>
          <w:lang w:bidi="en-US"/>
        </w:rPr>
        <w:t>representantes de</w:t>
      </w:r>
      <w:r w:rsidR="00AB2674">
        <w:rPr>
          <w:rFonts w:cs="Verdana"/>
          <w:iCs/>
          <w:szCs w:val="20"/>
          <w:lang w:bidi="en-US"/>
        </w:rPr>
        <w:t xml:space="preserve"> los </w:t>
      </w:r>
      <w:r w:rsidR="00AB2674">
        <w:t>peticionarios</w:t>
      </w:r>
      <w:r w:rsidRPr="005E403B">
        <w:rPr>
          <w:rFonts w:cs="Verdana"/>
          <w:iCs/>
          <w:szCs w:val="20"/>
          <w:lang w:bidi="en-US"/>
        </w:rPr>
        <w:t xml:space="preserve"> y a la Comisión Interamericana de Derechos Humanos a la audiencia pública que se celebrará durante el 11</w:t>
      </w:r>
      <w:r w:rsidR="00CF0D96" w:rsidRPr="005E403B">
        <w:rPr>
          <w:rFonts w:cs="Verdana"/>
          <w:iCs/>
          <w:szCs w:val="20"/>
          <w:lang w:bidi="en-US"/>
        </w:rPr>
        <w:t>9</w:t>
      </w:r>
      <w:r w:rsidRPr="005E403B">
        <w:rPr>
          <w:rFonts w:cs="Verdana"/>
          <w:iCs/>
          <w:szCs w:val="20"/>
          <w:lang w:bidi="en-US"/>
        </w:rPr>
        <w:t xml:space="preserve"> Período Ordinario de Sesiones, en la sede del Tribunal en San José, Costa Rica, el 2</w:t>
      </w:r>
      <w:r w:rsidR="00CF0D96" w:rsidRPr="005E403B">
        <w:rPr>
          <w:rFonts w:cs="Verdana"/>
          <w:iCs/>
          <w:szCs w:val="20"/>
          <w:lang w:bidi="en-US"/>
        </w:rPr>
        <w:t>8</w:t>
      </w:r>
      <w:r w:rsidRPr="005E403B">
        <w:rPr>
          <w:rFonts w:cs="Verdana"/>
          <w:iCs/>
          <w:szCs w:val="20"/>
          <w:lang w:bidi="en-US"/>
        </w:rPr>
        <w:t xml:space="preserve"> de </w:t>
      </w:r>
      <w:r w:rsidR="00CF0D96" w:rsidRPr="005E403B">
        <w:rPr>
          <w:rFonts w:cs="Verdana"/>
          <w:iCs/>
          <w:szCs w:val="20"/>
          <w:lang w:bidi="en-US"/>
        </w:rPr>
        <w:t>agosto</w:t>
      </w:r>
      <w:r w:rsidRPr="005E403B">
        <w:rPr>
          <w:rFonts w:cs="Verdana"/>
          <w:iCs/>
          <w:szCs w:val="20"/>
          <w:lang w:bidi="en-US"/>
        </w:rPr>
        <w:t xml:space="preserve"> de 2017, a partir de las 9:00 horas, para recibir </w:t>
      </w:r>
      <w:r w:rsidR="00CF0D96" w:rsidRPr="005E403B">
        <w:rPr>
          <w:rFonts w:cs="Verdana"/>
          <w:iCs/>
          <w:szCs w:val="20"/>
          <w:lang w:bidi="en-US"/>
        </w:rPr>
        <w:t xml:space="preserve">sus </w:t>
      </w:r>
      <w:r w:rsidRPr="005E403B">
        <w:rPr>
          <w:rFonts w:cs="Verdana"/>
          <w:iCs/>
          <w:szCs w:val="20"/>
          <w:lang w:bidi="en-US"/>
        </w:rPr>
        <w:t>alegatos finales orales y observaciones finales orales, respectivamente, sobre el fondo y eventuales reparaciones y costas</w:t>
      </w:r>
      <w:r w:rsidR="00CF0D96" w:rsidRPr="005E403B">
        <w:rPr>
          <w:rFonts w:cs="Verdana"/>
          <w:iCs/>
          <w:szCs w:val="20"/>
          <w:lang w:bidi="en-US"/>
        </w:rPr>
        <w:t>.</w:t>
      </w:r>
    </w:p>
    <w:p w:rsidR="000D7BE8" w:rsidRPr="005E403B" w:rsidRDefault="000D7BE8" w:rsidP="000D7BE8">
      <w:pPr>
        <w:pStyle w:val="Listavistosa-nfasis11"/>
        <w:widowControl w:val="0"/>
        <w:numPr>
          <w:ilvl w:val="0"/>
          <w:numId w:val="0"/>
        </w:numPr>
        <w:tabs>
          <w:tab w:val="left" w:pos="720"/>
        </w:tabs>
        <w:autoSpaceDE w:val="0"/>
        <w:autoSpaceDN w:val="0"/>
        <w:adjustRightInd w:val="0"/>
        <w:spacing w:after="0"/>
        <w:rPr>
          <w:rFonts w:cs="Verdana"/>
          <w:iCs/>
          <w:szCs w:val="20"/>
          <w:lang w:bidi="en-US"/>
        </w:rPr>
      </w:pPr>
    </w:p>
    <w:p w:rsidR="000D7BE8" w:rsidRPr="005E403B" w:rsidRDefault="000D7BE8" w:rsidP="000D7BE8">
      <w:pPr>
        <w:pStyle w:val="Listavistosa-nfasis11"/>
        <w:widowControl w:val="0"/>
        <w:numPr>
          <w:ilvl w:val="3"/>
          <w:numId w:val="44"/>
        </w:numPr>
        <w:tabs>
          <w:tab w:val="left" w:pos="0"/>
        </w:tabs>
        <w:autoSpaceDE w:val="0"/>
        <w:autoSpaceDN w:val="0"/>
        <w:adjustRightInd w:val="0"/>
        <w:spacing w:after="0"/>
        <w:ind w:left="0" w:firstLine="0"/>
        <w:rPr>
          <w:rFonts w:cs="Verdana"/>
          <w:iCs/>
          <w:szCs w:val="20"/>
          <w:lang w:bidi="en-US"/>
        </w:rPr>
      </w:pPr>
      <w:r w:rsidRPr="005E403B">
        <w:rPr>
          <w:rFonts w:cs="Verdana"/>
          <w:szCs w:val="20"/>
          <w:lang w:bidi="en-US"/>
        </w:rPr>
        <w:t xml:space="preserve">Requerir al Estado de </w:t>
      </w:r>
      <w:r w:rsidR="00CF0D96" w:rsidRPr="005E403B">
        <w:rPr>
          <w:rFonts w:cs="Verdana"/>
          <w:szCs w:val="20"/>
          <w:lang w:bidi="en-US"/>
        </w:rPr>
        <w:t>Costa Rica</w:t>
      </w:r>
      <w:r w:rsidRPr="005E403B">
        <w:rPr>
          <w:rFonts w:cs="Verdana"/>
          <w:szCs w:val="20"/>
          <w:lang w:bidi="en-US"/>
        </w:rPr>
        <w:t xml:space="preserve"> que facilite la salida </w:t>
      </w:r>
      <w:r w:rsidR="00CF0D96" w:rsidRPr="005E403B">
        <w:rPr>
          <w:rFonts w:cs="Verdana"/>
          <w:szCs w:val="20"/>
          <w:lang w:bidi="en-US"/>
        </w:rPr>
        <w:t xml:space="preserve">y entrada de su territorio de Belinda Guevara </w:t>
      </w:r>
      <w:proofErr w:type="spellStart"/>
      <w:r w:rsidR="00CF0D96" w:rsidRPr="005E403B">
        <w:rPr>
          <w:rFonts w:cs="Verdana"/>
          <w:szCs w:val="20"/>
          <w:lang w:bidi="en-US"/>
        </w:rPr>
        <w:t>Casaya</w:t>
      </w:r>
      <w:proofErr w:type="spellEnd"/>
      <w:r w:rsidRPr="005E403B">
        <w:rPr>
          <w:rFonts w:cs="Verdana"/>
          <w:szCs w:val="20"/>
          <w:lang w:bidi="en-US"/>
        </w:rPr>
        <w:t>, quien ha sido citad</w:t>
      </w:r>
      <w:r w:rsidR="00CF0D96" w:rsidRPr="005E403B">
        <w:rPr>
          <w:rFonts w:cs="Verdana"/>
          <w:szCs w:val="20"/>
          <w:lang w:bidi="en-US"/>
        </w:rPr>
        <w:t>a</w:t>
      </w:r>
      <w:r w:rsidRPr="005E403B">
        <w:rPr>
          <w:rFonts w:cs="Verdana"/>
          <w:szCs w:val="20"/>
          <w:lang w:bidi="en-US"/>
        </w:rPr>
        <w:t xml:space="preserve"> en la presente Resolución a la audiencia pública en este caso, de conformidad con lo dispuesto en el artículo 26.1 del Reglamento de la Corte.</w:t>
      </w:r>
    </w:p>
    <w:p w:rsidR="000D7BE8" w:rsidRPr="005E403B" w:rsidRDefault="000D7BE8" w:rsidP="000D7BE8">
      <w:pPr>
        <w:pStyle w:val="Listavistosa-nfasis11"/>
        <w:widowControl w:val="0"/>
        <w:numPr>
          <w:ilvl w:val="0"/>
          <w:numId w:val="0"/>
        </w:numPr>
        <w:tabs>
          <w:tab w:val="left" w:pos="720"/>
        </w:tabs>
        <w:autoSpaceDE w:val="0"/>
        <w:autoSpaceDN w:val="0"/>
        <w:adjustRightInd w:val="0"/>
        <w:spacing w:after="0"/>
        <w:rPr>
          <w:rFonts w:cs="Verdana"/>
          <w:iCs/>
          <w:color w:val="E36C0A" w:themeColor="accent6" w:themeShade="BF"/>
          <w:szCs w:val="20"/>
          <w:lang w:bidi="en-US"/>
        </w:rPr>
      </w:pPr>
    </w:p>
    <w:p w:rsidR="000D7BE8" w:rsidRPr="005E403B" w:rsidRDefault="000D7BE8" w:rsidP="000D7BE8">
      <w:pPr>
        <w:pStyle w:val="Listavistosa-nfasis11"/>
        <w:widowControl w:val="0"/>
        <w:numPr>
          <w:ilvl w:val="3"/>
          <w:numId w:val="44"/>
        </w:numPr>
        <w:tabs>
          <w:tab w:val="clear" w:pos="450"/>
          <w:tab w:val="num" w:pos="720"/>
        </w:tabs>
        <w:autoSpaceDE w:val="0"/>
        <w:autoSpaceDN w:val="0"/>
        <w:adjustRightInd w:val="0"/>
        <w:spacing w:after="0"/>
        <w:ind w:left="0" w:firstLine="0"/>
        <w:rPr>
          <w:rFonts w:cs="Verdana"/>
          <w:iCs/>
          <w:szCs w:val="20"/>
          <w:lang w:bidi="en-US"/>
        </w:rPr>
      </w:pPr>
      <w:r w:rsidRPr="005E403B">
        <w:rPr>
          <w:rFonts w:cs="Verdana"/>
          <w:iCs/>
          <w:szCs w:val="20"/>
          <w:lang w:bidi="en-US"/>
        </w:rPr>
        <w:t>Requerir, por las razones expuestas en la presente Resolución, de conformidad con el principio de economía procesal y en ejercicio de la facultad que le otorga el artículo 50.1 del Reglamento de la Corte, que las siguientes personas presten sus declaraciones ante fedatario público:</w:t>
      </w:r>
    </w:p>
    <w:p w:rsidR="000D7BE8" w:rsidRPr="004216E9" w:rsidRDefault="000D7BE8" w:rsidP="000D7BE8">
      <w:pPr>
        <w:pStyle w:val="Listavistosa-nfasis11"/>
        <w:widowControl w:val="0"/>
        <w:numPr>
          <w:ilvl w:val="0"/>
          <w:numId w:val="0"/>
        </w:numPr>
        <w:tabs>
          <w:tab w:val="left" w:pos="720"/>
        </w:tabs>
        <w:autoSpaceDE w:val="0"/>
        <w:autoSpaceDN w:val="0"/>
        <w:adjustRightInd w:val="0"/>
        <w:spacing w:after="0"/>
        <w:rPr>
          <w:rFonts w:cs="Verdana"/>
          <w:iCs/>
          <w:szCs w:val="20"/>
          <w:lang w:bidi="en-US"/>
        </w:rPr>
      </w:pPr>
    </w:p>
    <w:p w:rsidR="000D7BE8" w:rsidRPr="004216E9" w:rsidRDefault="000D7BE8" w:rsidP="000D7BE8">
      <w:pPr>
        <w:pStyle w:val="Listavistosa-nfasis11"/>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15"/>
        <w:rPr>
          <w:rFonts w:cs="Helvetica"/>
          <w:b/>
          <w:i/>
          <w:szCs w:val="20"/>
          <w:u w:val="single"/>
          <w:lang w:bidi="en-US"/>
        </w:rPr>
      </w:pPr>
      <w:r w:rsidRPr="004216E9">
        <w:rPr>
          <w:rFonts w:cs="Helvetica"/>
          <w:b/>
          <w:i/>
          <w:szCs w:val="20"/>
          <w:u w:val="single"/>
          <w:lang w:bidi="en-US"/>
        </w:rPr>
        <w:t>P</w:t>
      </w:r>
      <w:r w:rsidR="00AB2674">
        <w:rPr>
          <w:rFonts w:cs="Helvetica"/>
          <w:b/>
          <w:i/>
          <w:szCs w:val="20"/>
          <w:u w:val="single"/>
          <w:lang w:bidi="en-US"/>
        </w:rPr>
        <w:t>eticionarios</w:t>
      </w:r>
      <w:r w:rsidRPr="004216E9">
        <w:rPr>
          <w:rFonts w:cs="Helvetica"/>
          <w:b/>
          <w:i/>
          <w:szCs w:val="20"/>
          <w:u w:val="single"/>
          <w:lang w:bidi="en-US"/>
        </w:rPr>
        <w:t xml:space="preserve"> </w:t>
      </w:r>
    </w:p>
    <w:p w:rsidR="005E403B" w:rsidRPr="004216E9" w:rsidRDefault="005E403B" w:rsidP="005E403B">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i/>
          <w:szCs w:val="20"/>
          <w:u w:val="single"/>
          <w:lang w:bidi="en-US"/>
        </w:rPr>
      </w:pPr>
    </w:p>
    <w:p w:rsidR="005E403B" w:rsidRPr="006F390E" w:rsidRDefault="005E403B" w:rsidP="005E403B">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u w:val="single"/>
          <w:lang w:bidi="en-US"/>
        </w:rPr>
      </w:pPr>
      <w:r w:rsidRPr="006F390E">
        <w:rPr>
          <w:rFonts w:cs="Helvetica"/>
          <w:szCs w:val="20"/>
          <w:u w:val="single"/>
          <w:lang w:bidi="en-US"/>
        </w:rPr>
        <w:t>Propuestas por SIPDH</w:t>
      </w:r>
    </w:p>
    <w:p w:rsidR="005E403B" w:rsidRPr="006F390E" w:rsidRDefault="005E403B" w:rsidP="005E403B">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u w:val="single"/>
          <w:lang w:bidi="en-US"/>
        </w:rPr>
      </w:pPr>
    </w:p>
    <w:p w:rsidR="00842F76" w:rsidRPr="006F390E" w:rsidRDefault="00842F76" w:rsidP="00B871B6">
      <w:pPr>
        <w:pStyle w:val="Listavistosa-nfasis11"/>
        <w:widowControl w:val="0"/>
        <w:numPr>
          <w:ilvl w:val="2"/>
          <w:numId w:val="40"/>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rPr>
          <w:rFonts w:cs="Helvetica"/>
          <w:szCs w:val="20"/>
          <w:u w:val="single"/>
          <w:lang w:bidi="en-US"/>
        </w:rPr>
      </w:pPr>
      <w:r w:rsidRPr="006F390E">
        <w:rPr>
          <w:rFonts w:cs="Cambria"/>
          <w:i/>
          <w:szCs w:val="20"/>
          <w:lang w:eastAsia="en-US"/>
        </w:rPr>
        <w:t xml:space="preserve">Damas Vega </w:t>
      </w:r>
      <w:proofErr w:type="spellStart"/>
      <w:r w:rsidRPr="006F390E">
        <w:rPr>
          <w:rFonts w:cs="Cambria"/>
          <w:i/>
          <w:szCs w:val="20"/>
          <w:lang w:eastAsia="en-US"/>
        </w:rPr>
        <w:t>Atencio</w:t>
      </w:r>
      <w:proofErr w:type="spellEnd"/>
      <w:r w:rsidR="001452E2" w:rsidRPr="006F390E">
        <w:rPr>
          <w:rFonts w:cs="Cambria"/>
          <w:i/>
          <w:szCs w:val="20"/>
          <w:lang w:eastAsia="en-US"/>
        </w:rPr>
        <w:t>,</w:t>
      </w:r>
      <w:r w:rsidRPr="006F390E">
        <w:rPr>
          <w:rFonts w:cs="Cambria"/>
          <w:szCs w:val="20"/>
          <w:lang w:eastAsia="en-US"/>
        </w:rPr>
        <w:t xml:space="preserve"> quien declarará sobre: su vivencia en </w:t>
      </w:r>
      <w:r w:rsidR="00953F75" w:rsidRPr="006F390E">
        <w:rPr>
          <w:rFonts w:cs="Cambria"/>
          <w:szCs w:val="20"/>
          <w:lang w:eastAsia="en-US"/>
        </w:rPr>
        <w:t>el CAI La Reforma</w:t>
      </w:r>
      <w:r w:rsidR="00953F75" w:rsidRPr="006F390E">
        <w:rPr>
          <w:rFonts w:cs="Cambria"/>
          <w:b/>
          <w:szCs w:val="20"/>
          <w:lang w:eastAsia="en-US"/>
        </w:rPr>
        <w:t xml:space="preserve"> </w:t>
      </w:r>
      <w:r w:rsidRPr="006F390E">
        <w:rPr>
          <w:rFonts w:cs="Cambria"/>
          <w:szCs w:val="20"/>
          <w:lang w:eastAsia="en-US"/>
        </w:rPr>
        <w:t>y las condiciones carcelarias que denunció ante las autoridades penitenciarias, judiciales, la Defensoría de los Habitantes y cualquier otra entidad competente (integridad física, salud y atención médica, alimentación, agua, etc</w:t>
      </w:r>
      <w:r w:rsidR="00953F75" w:rsidRPr="006F390E">
        <w:rPr>
          <w:rFonts w:cs="Cambria"/>
          <w:szCs w:val="20"/>
          <w:lang w:eastAsia="en-US"/>
        </w:rPr>
        <w:t>.</w:t>
      </w:r>
      <w:r w:rsidRPr="006F390E">
        <w:rPr>
          <w:rFonts w:cs="Cambria"/>
          <w:szCs w:val="20"/>
          <w:lang w:eastAsia="en-US"/>
        </w:rPr>
        <w:t xml:space="preserve">). </w:t>
      </w:r>
      <w:r w:rsidR="00953F75" w:rsidRPr="006F390E">
        <w:rPr>
          <w:rFonts w:cs="Cambria"/>
          <w:szCs w:val="20"/>
          <w:lang w:eastAsia="en-US"/>
        </w:rPr>
        <w:t xml:space="preserve">Asimismo, </w:t>
      </w:r>
      <w:r w:rsidRPr="006F390E">
        <w:rPr>
          <w:rFonts w:cs="Cambria"/>
          <w:szCs w:val="20"/>
          <w:lang w:eastAsia="en-US"/>
        </w:rPr>
        <w:t xml:space="preserve">declarará sobre el impacto que </w:t>
      </w:r>
      <w:r w:rsidR="004216E9" w:rsidRPr="006F390E">
        <w:rPr>
          <w:rFonts w:cs="Cambria"/>
          <w:szCs w:val="20"/>
          <w:lang w:eastAsia="en-US"/>
        </w:rPr>
        <w:t xml:space="preserve">habría tenido </w:t>
      </w:r>
      <w:r w:rsidRPr="006F390E">
        <w:rPr>
          <w:rFonts w:cs="Cambria"/>
          <w:szCs w:val="20"/>
          <w:lang w:eastAsia="en-US"/>
        </w:rPr>
        <w:t>en él y en otras personas en esas mismas condiciones, las situaciones denunciadas</w:t>
      </w:r>
      <w:r w:rsidR="004216E9" w:rsidRPr="006F390E">
        <w:rPr>
          <w:rFonts w:cs="Cambria"/>
          <w:szCs w:val="20"/>
          <w:lang w:eastAsia="en-US"/>
        </w:rPr>
        <w:t>, así como</w:t>
      </w:r>
      <w:r w:rsidRPr="006F390E">
        <w:rPr>
          <w:rFonts w:cs="Cambria"/>
          <w:szCs w:val="20"/>
          <w:lang w:eastAsia="en-US"/>
        </w:rPr>
        <w:t xml:space="preserve"> se referirá a los hechos documentados en este caso, a ese respecto. Igualmente</w:t>
      </w:r>
      <w:r w:rsidR="00953F75" w:rsidRPr="006F390E">
        <w:rPr>
          <w:rFonts w:cs="Cambria"/>
          <w:szCs w:val="20"/>
          <w:lang w:eastAsia="en-US"/>
        </w:rPr>
        <w:t>,</w:t>
      </w:r>
      <w:r w:rsidRPr="006F390E">
        <w:rPr>
          <w:rFonts w:cs="Cambria"/>
          <w:szCs w:val="20"/>
          <w:lang w:eastAsia="en-US"/>
        </w:rPr>
        <w:t xml:space="preserve"> declarará sobre el </w:t>
      </w:r>
      <w:r w:rsidR="004216E9" w:rsidRPr="006F390E">
        <w:rPr>
          <w:rFonts w:cs="Cambria"/>
          <w:szCs w:val="20"/>
          <w:lang w:eastAsia="en-US"/>
        </w:rPr>
        <w:t xml:space="preserve">alegado </w:t>
      </w:r>
      <w:r w:rsidRPr="006F390E">
        <w:rPr>
          <w:rFonts w:cs="Cambria"/>
          <w:szCs w:val="20"/>
          <w:lang w:eastAsia="en-US"/>
        </w:rPr>
        <w:t xml:space="preserve">impacto de la </w:t>
      </w:r>
      <w:r w:rsidR="00734355" w:rsidRPr="006F390E">
        <w:rPr>
          <w:rFonts w:cs="Cambria"/>
          <w:szCs w:val="20"/>
          <w:lang w:eastAsia="en-US"/>
        </w:rPr>
        <w:t>“</w:t>
      </w:r>
      <w:proofErr w:type="spellStart"/>
      <w:r w:rsidRPr="006F390E">
        <w:rPr>
          <w:rFonts w:cs="Cambria"/>
          <w:szCs w:val="20"/>
          <w:lang w:eastAsia="en-US"/>
        </w:rPr>
        <w:t>prisionalización</w:t>
      </w:r>
      <w:proofErr w:type="spellEnd"/>
      <w:r w:rsidR="00734355" w:rsidRPr="006F390E">
        <w:rPr>
          <w:rFonts w:cs="Cambria"/>
          <w:szCs w:val="20"/>
          <w:lang w:eastAsia="en-US"/>
        </w:rPr>
        <w:t>”</w:t>
      </w:r>
      <w:r w:rsidRPr="006F390E">
        <w:rPr>
          <w:rFonts w:cs="Cambria"/>
          <w:szCs w:val="20"/>
          <w:lang w:eastAsia="en-US"/>
        </w:rPr>
        <w:t xml:space="preserve"> en su persona y su familia y los </w:t>
      </w:r>
      <w:r w:rsidR="004216E9" w:rsidRPr="006F390E">
        <w:rPr>
          <w:rFonts w:cs="Cambria"/>
          <w:szCs w:val="20"/>
          <w:lang w:eastAsia="en-US"/>
        </w:rPr>
        <w:t xml:space="preserve">presuntos </w:t>
      </w:r>
      <w:r w:rsidRPr="006F390E">
        <w:rPr>
          <w:rFonts w:cs="Cambria"/>
          <w:szCs w:val="20"/>
          <w:lang w:eastAsia="en-US"/>
        </w:rPr>
        <w:t xml:space="preserve">efectos en su integridad física y psíquica. </w:t>
      </w:r>
      <w:r w:rsidR="00AB6A9E" w:rsidRPr="006F390E">
        <w:rPr>
          <w:rFonts w:cs="Cambria"/>
          <w:szCs w:val="20"/>
          <w:lang w:eastAsia="en-US"/>
        </w:rPr>
        <w:t>Finalmen</w:t>
      </w:r>
      <w:r w:rsidR="00BF0A25" w:rsidRPr="006F390E">
        <w:rPr>
          <w:rFonts w:cs="Cambria"/>
          <w:szCs w:val="20"/>
          <w:lang w:eastAsia="en-US"/>
        </w:rPr>
        <w:t>t</w:t>
      </w:r>
      <w:r w:rsidR="00AB6A9E" w:rsidRPr="006F390E">
        <w:rPr>
          <w:rFonts w:cs="Cambria"/>
          <w:szCs w:val="20"/>
          <w:lang w:eastAsia="en-US"/>
        </w:rPr>
        <w:t>e, h</w:t>
      </w:r>
      <w:r w:rsidRPr="006F390E">
        <w:rPr>
          <w:rFonts w:cs="Cambria"/>
          <w:szCs w:val="20"/>
          <w:lang w:eastAsia="en-US"/>
        </w:rPr>
        <w:t>ará un recuento de los recursos legales que tuvo que interponer.</w:t>
      </w:r>
    </w:p>
    <w:p w:rsidR="00842F76" w:rsidRPr="006F390E" w:rsidRDefault="00842F76" w:rsidP="00B871B6">
      <w:pPr>
        <w:pStyle w:val="Listavistosa-nfasis11"/>
        <w:widowControl w:val="0"/>
        <w:numPr>
          <w:ilvl w:val="0"/>
          <w:numId w:val="0"/>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rPr>
          <w:rFonts w:cs="Helvetica"/>
          <w:szCs w:val="20"/>
          <w:u w:val="single"/>
          <w:lang w:bidi="en-US"/>
        </w:rPr>
      </w:pPr>
    </w:p>
    <w:p w:rsidR="00842F76" w:rsidRPr="006F390E" w:rsidRDefault="00842F76" w:rsidP="00B871B6">
      <w:pPr>
        <w:pStyle w:val="Listavistosa-nfasis11"/>
        <w:widowControl w:val="0"/>
        <w:numPr>
          <w:ilvl w:val="2"/>
          <w:numId w:val="40"/>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rPr>
          <w:rFonts w:cs="Helvetica"/>
          <w:szCs w:val="20"/>
          <w:lang w:bidi="en-US"/>
        </w:rPr>
      </w:pPr>
      <w:r w:rsidRPr="006F390E">
        <w:rPr>
          <w:rFonts w:cs="Cambria"/>
          <w:i/>
          <w:szCs w:val="20"/>
          <w:lang w:eastAsia="en-US"/>
        </w:rPr>
        <w:t xml:space="preserve">Miguel </w:t>
      </w:r>
      <w:r w:rsidR="00E2486D" w:rsidRPr="006F390E">
        <w:rPr>
          <w:rFonts w:cs="Cambria"/>
          <w:i/>
          <w:szCs w:val="20"/>
          <w:lang w:eastAsia="en-US"/>
        </w:rPr>
        <w:t>Ángel</w:t>
      </w:r>
      <w:r w:rsidRPr="006F390E">
        <w:rPr>
          <w:rFonts w:cs="Cambria"/>
          <w:i/>
          <w:szCs w:val="20"/>
          <w:lang w:eastAsia="en-US"/>
        </w:rPr>
        <w:t xml:space="preserve"> Mora</w:t>
      </w:r>
      <w:r w:rsidR="00093B6A">
        <w:rPr>
          <w:rFonts w:cs="Cambria"/>
          <w:i/>
          <w:szCs w:val="20"/>
          <w:lang w:eastAsia="en-US"/>
        </w:rPr>
        <w:t xml:space="preserve"> Calvo</w:t>
      </w:r>
      <w:r w:rsidR="00E2486D" w:rsidRPr="006F390E">
        <w:rPr>
          <w:rFonts w:cs="Cambria"/>
          <w:i/>
          <w:szCs w:val="20"/>
          <w:lang w:eastAsia="en-US"/>
        </w:rPr>
        <w:t>,</w:t>
      </w:r>
      <w:r w:rsidRPr="006F390E">
        <w:rPr>
          <w:rFonts w:cs="Cambria"/>
          <w:szCs w:val="20"/>
          <w:lang w:eastAsia="en-US"/>
        </w:rPr>
        <w:t xml:space="preserve"> quien declarará sobre: la forma en que, sin ser letrado en Derecho, </w:t>
      </w:r>
      <w:r w:rsidR="00953D1A" w:rsidRPr="006F390E">
        <w:rPr>
          <w:rFonts w:cs="Cambria"/>
          <w:szCs w:val="20"/>
          <w:lang w:eastAsia="en-US"/>
        </w:rPr>
        <w:t xml:space="preserve">habría tenido </w:t>
      </w:r>
      <w:r w:rsidRPr="006F390E">
        <w:rPr>
          <w:rFonts w:cs="Cambria"/>
          <w:szCs w:val="20"/>
          <w:lang w:eastAsia="en-US"/>
        </w:rPr>
        <w:t xml:space="preserve">que aprender a utilizar recursos legales, administrativos y judiciales para hacer valer sus derechos humanos como persona privada </w:t>
      </w:r>
      <w:r w:rsidR="00B8130C" w:rsidRPr="006F390E">
        <w:rPr>
          <w:rFonts w:cs="Cambria"/>
          <w:szCs w:val="20"/>
          <w:lang w:eastAsia="en-US"/>
        </w:rPr>
        <w:t xml:space="preserve">de </w:t>
      </w:r>
      <w:r w:rsidRPr="006F390E">
        <w:rPr>
          <w:rFonts w:cs="Cambria"/>
          <w:szCs w:val="20"/>
          <w:lang w:eastAsia="en-US"/>
        </w:rPr>
        <w:t>libertad. En particular, describirá las</w:t>
      </w:r>
      <w:r w:rsidR="00B8130C" w:rsidRPr="006F390E">
        <w:rPr>
          <w:rFonts w:cs="Cambria"/>
          <w:szCs w:val="20"/>
          <w:lang w:eastAsia="en-US"/>
        </w:rPr>
        <w:t xml:space="preserve"> alegadas</w:t>
      </w:r>
      <w:r w:rsidRPr="006F390E">
        <w:rPr>
          <w:rFonts w:cs="Cambria"/>
          <w:szCs w:val="20"/>
          <w:lang w:eastAsia="en-US"/>
        </w:rPr>
        <w:t xml:space="preserve"> dificultades que tuvo para acceder a la justicia desde prisión.</w:t>
      </w:r>
    </w:p>
    <w:p w:rsidR="00412B89" w:rsidRPr="006F390E" w:rsidRDefault="00412B89" w:rsidP="00E32389">
      <w:pPr>
        <w:pStyle w:val="ListParagraph"/>
        <w:tabs>
          <w:tab w:val="left" w:pos="900"/>
        </w:tabs>
        <w:spacing w:after="0"/>
        <w:ind w:left="900"/>
        <w:rPr>
          <w:rFonts w:cs="Helvetica"/>
          <w:szCs w:val="20"/>
          <w:lang w:bidi="en-US"/>
        </w:rPr>
      </w:pPr>
    </w:p>
    <w:p w:rsidR="00412B89" w:rsidRPr="006F390E" w:rsidRDefault="00412B89" w:rsidP="00B871B6">
      <w:pPr>
        <w:pStyle w:val="Listavistosa-nfasis11"/>
        <w:widowControl w:val="0"/>
        <w:numPr>
          <w:ilvl w:val="2"/>
          <w:numId w:val="40"/>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rPr>
          <w:rFonts w:cs="Helvetica"/>
          <w:i/>
          <w:szCs w:val="20"/>
          <w:lang w:bidi="en-US"/>
        </w:rPr>
      </w:pPr>
      <w:r w:rsidRPr="006F390E">
        <w:rPr>
          <w:rFonts w:cs="Helvetica"/>
          <w:i/>
          <w:szCs w:val="20"/>
          <w:lang w:bidi="en-US"/>
        </w:rPr>
        <w:t xml:space="preserve">Carlos </w:t>
      </w:r>
      <w:proofErr w:type="spellStart"/>
      <w:r w:rsidRPr="006F390E">
        <w:rPr>
          <w:rFonts w:cs="Helvetica"/>
          <w:i/>
          <w:szCs w:val="20"/>
          <w:lang w:bidi="en-US"/>
        </w:rPr>
        <w:t>Osborne</w:t>
      </w:r>
      <w:proofErr w:type="spellEnd"/>
      <w:r w:rsidRPr="006F390E">
        <w:rPr>
          <w:rFonts w:cs="Helvetica"/>
          <w:i/>
          <w:szCs w:val="20"/>
          <w:lang w:bidi="en-US"/>
        </w:rPr>
        <w:t xml:space="preserve"> Escalante</w:t>
      </w:r>
      <w:r w:rsidRPr="006F390E">
        <w:rPr>
          <w:rFonts w:cs="Helvetica"/>
          <w:szCs w:val="20"/>
          <w:lang w:bidi="en-US"/>
        </w:rPr>
        <w:t>, quien</w:t>
      </w:r>
      <w:r w:rsidR="000925F1" w:rsidRPr="006F390E">
        <w:rPr>
          <w:rFonts w:cs="Helvetica"/>
          <w:szCs w:val="20"/>
          <w:lang w:bidi="en-US"/>
        </w:rPr>
        <w:t xml:space="preserve"> </w:t>
      </w:r>
      <w:r w:rsidRPr="006F390E">
        <w:rPr>
          <w:rFonts w:cs="Helvetica"/>
          <w:szCs w:val="20"/>
          <w:lang w:bidi="en-US"/>
        </w:rPr>
        <w:t xml:space="preserve">declarará sobre: la </w:t>
      </w:r>
      <w:r w:rsidR="00031533" w:rsidRPr="006F390E">
        <w:rPr>
          <w:rFonts w:cs="Helvetica"/>
          <w:szCs w:val="20"/>
          <w:lang w:bidi="en-US"/>
        </w:rPr>
        <w:t xml:space="preserve">presunta </w:t>
      </w:r>
      <w:r w:rsidRPr="006F390E">
        <w:rPr>
          <w:rFonts w:cs="Helvetica"/>
          <w:szCs w:val="20"/>
          <w:lang w:bidi="en-US"/>
        </w:rPr>
        <w:t xml:space="preserve">afectación jurídica, moral y física que tuvieron que experimentar él y sus compañeros de </w:t>
      </w:r>
      <w:r w:rsidR="000925F1" w:rsidRPr="006F390E">
        <w:rPr>
          <w:rFonts w:cs="Helvetica"/>
          <w:szCs w:val="20"/>
          <w:lang w:bidi="en-US"/>
        </w:rPr>
        <w:t xml:space="preserve">la </w:t>
      </w:r>
      <w:r w:rsidRPr="006F390E">
        <w:rPr>
          <w:rFonts w:cs="Helvetica"/>
          <w:szCs w:val="20"/>
          <w:lang w:bidi="en-US"/>
        </w:rPr>
        <w:t xml:space="preserve">Junta </w:t>
      </w:r>
      <w:r w:rsidR="000925F1" w:rsidRPr="006F390E">
        <w:rPr>
          <w:rFonts w:cs="Helvetica"/>
          <w:szCs w:val="20"/>
          <w:lang w:bidi="en-US"/>
        </w:rPr>
        <w:t>D</w:t>
      </w:r>
      <w:r w:rsidRPr="006F390E">
        <w:rPr>
          <w:rFonts w:cs="Helvetica"/>
          <w:szCs w:val="20"/>
          <w:lang w:bidi="en-US"/>
        </w:rPr>
        <w:t>irectiva del Banco Anglo a lo largo de 20 años de litigio nacional e internacional</w:t>
      </w:r>
      <w:r w:rsidR="000925F1" w:rsidRPr="006F390E">
        <w:rPr>
          <w:rFonts w:cs="Helvetica"/>
          <w:szCs w:val="20"/>
          <w:lang w:bidi="en-US"/>
        </w:rPr>
        <w:t>.</w:t>
      </w:r>
    </w:p>
    <w:p w:rsidR="005E403B" w:rsidRPr="006F390E" w:rsidRDefault="005E403B" w:rsidP="005E403B">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u w:val="single"/>
          <w:lang w:bidi="en-US"/>
        </w:rPr>
      </w:pPr>
    </w:p>
    <w:p w:rsidR="005E403B" w:rsidRPr="006F390E" w:rsidRDefault="005E403B" w:rsidP="005E403B">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u w:val="single"/>
          <w:lang w:bidi="en-US"/>
        </w:rPr>
      </w:pPr>
      <w:r w:rsidRPr="006F390E">
        <w:rPr>
          <w:rFonts w:cs="Helvetica"/>
          <w:szCs w:val="20"/>
          <w:u w:val="single"/>
          <w:lang w:bidi="en-US"/>
        </w:rPr>
        <w:t>Propuest</w:t>
      </w:r>
      <w:r w:rsidR="00A5285E" w:rsidRPr="006F390E">
        <w:rPr>
          <w:rFonts w:cs="Helvetica"/>
          <w:szCs w:val="20"/>
          <w:u w:val="single"/>
          <w:lang w:bidi="en-US"/>
        </w:rPr>
        <w:t>o</w:t>
      </w:r>
      <w:r w:rsidRPr="006F390E">
        <w:rPr>
          <w:rFonts w:cs="Helvetica"/>
          <w:szCs w:val="20"/>
          <w:u w:val="single"/>
          <w:lang w:bidi="en-US"/>
        </w:rPr>
        <w:t xml:space="preserve"> por Adrián Martínez Blanco </w:t>
      </w:r>
    </w:p>
    <w:p w:rsidR="005E403B" w:rsidRPr="006F390E" w:rsidRDefault="005E403B" w:rsidP="005E403B">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u w:val="single"/>
          <w:lang w:bidi="en-US"/>
        </w:rPr>
      </w:pPr>
    </w:p>
    <w:p w:rsidR="00842F76" w:rsidRPr="006F390E" w:rsidRDefault="00020CCD" w:rsidP="00B67072">
      <w:pPr>
        <w:pStyle w:val="Listavistosa-nfasis11"/>
        <w:widowControl w:val="0"/>
        <w:numPr>
          <w:ilvl w:val="2"/>
          <w:numId w:val="40"/>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rPr>
          <w:rFonts w:cs="Helvetica"/>
          <w:szCs w:val="20"/>
          <w:lang w:bidi="en-US"/>
        </w:rPr>
      </w:pPr>
      <w:r w:rsidRPr="006F390E">
        <w:rPr>
          <w:rFonts w:cs="Helvetica"/>
          <w:i/>
          <w:szCs w:val="20"/>
          <w:lang w:bidi="en-US"/>
        </w:rPr>
        <w:t>Jorge Martínez Meléndez</w:t>
      </w:r>
      <w:r w:rsidRPr="006F390E">
        <w:rPr>
          <w:rFonts w:cs="Helvetica"/>
          <w:szCs w:val="20"/>
          <w:lang w:bidi="en-US"/>
        </w:rPr>
        <w:t>, quien declarará sobre</w:t>
      </w:r>
      <w:r w:rsidR="00EB72EF" w:rsidRPr="006F390E">
        <w:rPr>
          <w:rFonts w:cs="Helvetica"/>
          <w:szCs w:val="20"/>
          <w:lang w:bidi="en-US"/>
        </w:rPr>
        <w:t>:</w:t>
      </w:r>
      <w:r w:rsidRPr="006F390E">
        <w:rPr>
          <w:rFonts w:cs="Helvetica"/>
          <w:szCs w:val="20"/>
          <w:lang w:bidi="en-US"/>
        </w:rPr>
        <w:t xml:space="preserve"> los hechos descritos en el escrito de solicitudes y argumentos presentado por Adrián Martínez Blanco. </w:t>
      </w:r>
    </w:p>
    <w:p w:rsidR="00020CCD" w:rsidRPr="006F390E" w:rsidRDefault="00020CCD" w:rsidP="00020CCD">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cs="Helvetica"/>
          <w:szCs w:val="20"/>
          <w:u w:val="single"/>
          <w:lang w:bidi="en-US"/>
        </w:rPr>
      </w:pPr>
    </w:p>
    <w:p w:rsidR="005E403B" w:rsidRPr="006F390E" w:rsidRDefault="005E403B" w:rsidP="005E403B">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u w:val="single"/>
          <w:lang w:bidi="en-US"/>
        </w:rPr>
      </w:pPr>
      <w:r w:rsidRPr="006F390E">
        <w:rPr>
          <w:rFonts w:cs="Helvetica"/>
          <w:szCs w:val="20"/>
          <w:u w:val="single"/>
          <w:lang w:bidi="en-US"/>
        </w:rPr>
        <w:t xml:space="preserve">Propuestas por los Defensores Públicos Interamericanos </w:t>
      </w:r>
    </w:p>
    <w:p w:rsidR="009C575B" w:rsidRPr="006F390E" w:rsidRDefault="009C575B" w:rsidP="005E403B">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u w:val="single"/>
          <w:lang w:bidi="en-US"/>
        </w:rPr>
      </w:pPr>
    </w:p>
    <w:p w:rsidR="00422262" w:rsidRPr="006F390E" w:rsidRDefault="009C575B" w:rsidP="00422262">
      <w:pPr>
        <w:pStyle w:val="Listavistosa-nfasis11"/>
        <w:widowControl w:val="0"/>
        <w:numPr>
          <w:ilvl w:val="2"/>
          <w:numId w:val="40"/>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rPr>
          <w:rFonts w:cs="Helvetica"/>
          <w:szCs w:val="20"/>
          <w:u w:val="single"/>
          <w:lang w:bidi="en-US"/>
        </w:rPr>
      </w:pPr>
      <w:r w:rsidRPr="006F390E">
        <w:rPr>
          <w:rFonts w:cs="Helvetica"/>
          <w:i/>
          <w:szCs w:val="20"/>
          <w:lang w:bidi="en-US"/>
        </w:rPr>
        <w:t>Guillermo Rodríguez</w:t>
      </w:r>
      <w:r w:rsidRPr="006F390E">
        <w:rPr>
          <w:szCs w:val="20"/>
        </w:rPr>
        <w:t xml:space="preserve"> </w:t>
      </w:r>
      <w:r w:rsidRPr="006F390E">
        <w:rPr>
          <w:i/>
          <w:szCs w:val="20"/>
        </w:rPr>
        <w:t>Silva</w:t>
      </w:r>
      <w:r w:rsidRPr="006F390E">
        <w:rPr>
          <w:szCs w:val="20"/>
        </w:rPr>
        <w:t xml:space="preserve">; </w:t>
      </w:r>
    </w:p>
    <w:p w:rsidR="00422262" w:rsidRPr="006F390E" w:rsidRDefault="009C575B" w:rsidP="00422262">
      <w:pPr>
        <w:pStyle w:val="Listavistosa-nfasis11"/>
        <w:widowControl w:val="0"/>
        <w:numPr>
          <w:ilvl w:val="2"/>
          <w:numId w:val="40"/>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rPr>
          <w:rFonts w:cs="Helvetica"/>
          <w:szCs w:val="20"/>
          <w:u w:val="single"/>
          <w:lang w:bidi="en-US"/>
        </w:rPr>
      </w:pPr>
      <w:r w:rsidRPr="006F390E">
        <w:rPr>
          <w:rFonts w:cs="Helvetica"/>
          <w:i/>
          <w:szCs w:val="20"/>
          <w:lang w:bidi="en-US"/>
        </w:rPr>
        <w:t>M</w:t>
      </w:r>
      <w:r w:rsidRPr="006F390E">
        <w:rPr>
          <w:i/>
          <w:szCs w:val="20"/>
        </w:rPr>
        <w:t>artín Rojas Hernández</w:t>
      </w:r>
      <w:r w:rsidR="00422262" w:rsidRPr="006F390E">
        <w:rPr>
          <w:i/>
          <w:szCs w:val="20"/>
        </w:rPr>
        <w:t>,</w:t>
      </w:r>
      <w:r w:rsidRPr="006F390E">
        <w:rPr>
          <w:szCs w:val="20"/>
        </w:rPr>
        <w:t xml:space="preserve"> y </w:t>
      </w:r>
    </w:p>
    <w:p w:rsidR="00422262" w:rsidRPr="006F390E" w:rsidRDefault="009C575B" w:rsidP="00422262">
      <w:pPr>
        <w:pStyle w:val="Listavistosa-nfasis11"/>
        <w:widowControl w:val="0"/>
        <w:numPr>
          <w:ilvl w:val="2"/>
          <w:numId w:val="40"/>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rPr>
          <w:rFonts w:cs="Helvetica"/>
          <w:szCs w:val="20"/>
          <w:u w:val="single"/>
          <w:lang w:bidi="en-US"/>
        </w:rPr>
      </w:pPr>
      <w:r w:rsidRPr="006F390E">
        <w:rPr>
          <w:i/>
          <w:szCs w:val="20"/>
        </w:rPr>
        <w:t>Manuel Hernández Quesada</w:t>
      </w:r>
      <w:r w:rsidR="00422262" w:rsidRPr="006F390E">
        <w:rPr>
          <w:i/>
          <w:szCs w:val="20"/>
        </w:rPr>
        <w:t>.</w:t>
      </w:r>
    </w:p>
    <w:p w:rsidR="00422262" w:rsidRPr="006F390E" w:rsidRDefault="00422262" w:rsidP="00422262">
      <w:pPr>
        <w:pStyle w:val="Listavistosa-nfasis11"/>
        <w:widowControl w:val="0"/>
        <w:numPr>
          <w:ilvl w:val="0"/>
          <w:numId w:val="0"/>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rPr>
          <w:i/>
          <w:szCs w:val="20"/>
        </w:rPr>
      </w:pPr>
    </w:p>
    <w:p w:rsidR="009C575B" w:rsidRPr="006F390E" w:rsidRDefault="00422262" w:rsidP="00422262">
      <w:pPr>
        <w:pStyle w:val="Listavistosa-nfasis11"/>
        <w:widowControl w:val="0"/>
        <w:numPr>
          <w:ilvl w:val="0"/>
          <w:numId w:val="0"/>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rPr>
          <w:rFonts w:cs="Helvetica"/>
          <w:szCs w:val="20"/>
          <w:u w:val="single"/>
          <w:lang w:bidi="en-US"/>
        </w:rPr>
      </w:pPr>
      <w:r w:rsidRPr="006F390E">
        <w:rPr>
          <w:szCs w:val="20"/>
        </w:rPr>
        <w:t>Dich</w:t>
      </w:r>
      <w:r w:rsidR="00AB2674">
        <w:rPr>
          <w:szCs w:val="20"/>
        </w:rPr>
        <w:t>o</w:t>
      </w:r>
      <w:r w:rsidRPr="006F390E">
        <w:rPr>
          <w:szCs w:val="20"/>
        </w:rPr>
        <w:t>s</w:t>
      </w:r>
      <w:r w:rsidR="00AB2674">
        <w:rPr>
          <w:szCs w:val="20"/>
        </w:rPr>
        <w:t xml:space="preserve"> </w:t>
      </w:r>
      <w:r w:rsidR="00AB2674">
        <w:t>peticionarios</w:t>
      </w:r>
      <w:r w:rsidRPr="006F390E">
        <w:rPr>
          <w:szCs w:val="20"/>
        </w:rPr>
        <w:t xml:space="preserve"> </w:t>
      </w:r>
      <w:r w:rsidR="009C575B" w:rsidRPr="006F390E">
        <w:rPr>
          <w:szCs w:val="20"/>
        </w:rPr>
        <w:t xml:space="preserve">declararán </w:t>
      </w:r>
      <w:r w:rsidR="009C575B" w:rsidRPr="006F390E">
        <w:rPr>
          <w:szCs w:val="20"/>
          <w:lang w:val="es-CR"/>
        </w:rPr>
        <w:t>sobre</w:t>
      </w:r>
      <w:r w:rsidRPr="006F390E">
        <w:rPr>
          <w:szCs w:val="20"/>
          <w:lang w:val="es-CR"/>
        </w:rPr>
        <w:t xml:space="preserve">: </w:t>
      </w:r>
      <w:r w:rsidR="009C575B" w:rsidRPr="006F390E">
        <w:rPr>
          <w:szCs w:val="20"/>
          <w:lang w:val="es-CR"/>
        </w:rPr>
        <w:t xml:space="preserve">las </w:t>
      </w:r>
      <w:r w:rsidR="00A5285E" w:rsidRPr="006F390E">
        <w:rPr>
          <w:szCs w:val="20"/>
          <w:lang w:val="es-CR"/>
        </w:rPr>
        <w:t xml:space="preserve">alegadas </w:t>
      </w:r>
      <w:r w:rsidR="009C575B" w:rsidRPr="006F390E">
        <w:rPr>
          <w:szCs w:val="20"/>
          <w:lang w:val="es-CR"/>
        </w:rPr>
        <w:t xml:space="preserve">violaciones de derechos y garantías, tales como la </w:t>
      </w:r>
      <w:r w:rsidR="00A5285E" w:rsidRPr="006F390E">
        <w:rPr>
          <w:szCs w:val="20"/>
          <w:lang w:val="es-CR"/>
        </w:rPr>
        <w:t xml:space="preserve">alegada </w:t>
      </w:r>
      <w:r w:rsidR="009C575B" w:rsidRPr="006F390E">
        <w:rPr>
          <w:szCs w:val="20"/>
          <w:lang w:val="es-CR"/>
        </w:rPr>
        <w:t>afectación a</w:t>
      </w:r>
      <w:r w:rsidRPr="006F390E">
        <w:rPr>
          <w:szCs w:val="20"/>
          <w:lang w:val="es-CR"/>
        </w:rPr>
        <w:t xml:space="preserve"> su </w:t>
      </w:r>
      <w:r w:rsidR="009C575B" w:rsidRPr="006F390E">
        <w:rPr>
          <w:szCs w:val="20"/>
          <w:lang w:val="es-CR"/>
        </w:rPr>
        <w:t>integridad física y a la vida</w:t>
      </w:r>
      <w:r w:rsidR="00093B6A">
        <w:rPr>
          <w:szCs w:val="20"/>
          <w:lang w:val="es-CR"/>
        </w:rPr>
        <w:t>,</w:t>
      </w:r>
      <w:r w:rsidR="009C575B" w:rsidRPr="006F390E">
        <w:rPr>
          <w:szCs w:val="20"/>
          <w:lang w:val="es-CR"/>
        </w:rPr>
        <w:t xml:space="preserve"> producto de las</w:t>
      </w:r>
      <w:r w:rsidRPr="006F390E">
        <w:rPr>
          <w:szCs w:val="20"/>
          <w:lang w:val="es-CR"/>
        </w:rPr>
        <w:t xml:space="preserve"> presuntas</w:t>
      </w:r>
      <w:r w:rsidR="009C575B" w:rsidRPr="006F390E">
        <w:rPr>
          <w:szCs w:val="20"/>
          <w:lang w:val="es-CR"/>
        </w:rPr>
        <w:t xml:space="preserve"> condiciones de hacinamiento carcelario de las que ha</w:t>
      </w:r>
      <w:r w:rsidR="00A5285E" w:rsidRPr="006F390E">
        <w:rPr>
          <w:szCs w:val="20"/>
          <w:lang w:val="es-CR"/>
        </w:rPr>
        <w:t>bría</w:t>
      </w:r>
      <w:r w:rsidRPr="006F390E">
        <w:rPr>
          <w:szCs w:val="20"/>
          <w:lang w:val="es-CR"/>
        </w:rPr>
        <w:t>n</w:t>
      </w:r>
      <w:r w:rsidR="009C575B" w:rsidRPr="006F390E">
        <w:rPr>
          <w:szCs w:val="20"/>
          <w:lang w:val="es-CR"/>
        </w:rPr>
        <w:t xml:space="preserve"> sido objeto</w:t>
      </w:r>
      <w:r w:rsidRPr="006F390E">
        <w:rPr>
          <w:szCs w:val="20"/>
          <w:lang w:val="es-CR"/>
        </w:rPr>
        <w:t xml:space="preserve">, y las </w:t>
      </w:r>
      <w:r w:rsidR="00A5285E" w:rsidRPr="006F390E">
        <w:rPr>
          <w:szCs w:val="20"/>
          <w:lang w:val="es-CR"/>
        </w:rPr>
        <w:t xml:space="preserve">alegadas </w:t>
      </w:r>
      <w:r w:rsidR="009C575B" w:rsidRPr="006F390E">
        <w:rPr>
          <w:szCs w:val="20"/>
          <w:lang w:val="es-CR"/>
        </w:rPr>
        <w:t xml:space="preserve">violaciones a sus garantías judiciales y </w:t>
      </w:r>
      <w:r w:rsidRPr="006F390E">
        <w:rPr>
          <w:szCs w:val="20"/>
          <w:lang w:val="es-CR"/>
        </w:rPr>
        <w:t xml:space="preserve">derecho </w:t>
      </w:r>
      <w:r w:rsidR="009C575B" w:rsidRPr="006F390E">
        <w:rPr>
          <w:szCs w:val="20"/>
          <w:lang w:val="es-CR"/>
        </w:rPr>
        <w:t>de acceso a la justicia.</w:t>
      </w:r>
    </w:p>
    <w:p w:rsidR="00422262" w:rsidRPr="006F390E" w:rsidRDefault="00422262" w:rsidP="00422262">
      <w:pPr>
        <w:pStyle w:val="Listavistosa-nfasis11"/>
        <w:widowControl w:val="0"/>
        <w:numPr>
          <w:ilvl w:val="0"/>
          <w:numId w:val="0"/>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rPr>
          <w:rFonts w:cs="Helvetica"/>
          <w:szCs w:val="20"/>
          <w:u w:val="single"/>
          <w:lang w:bidi="en-US"/>
        </w:rPr>
      </w:pPr>
    </w:p>
    <w:p w:rsidR="001106B6" w:rsidRPr="006F390E" w:rsidRDefault="009C575B" w:rsidP="005870D1">
      <w:pPr>
        <w:pStyle w:val="ListParagraph"/>
        <w:numPr>
          <w:ilvl w:val="2"/>
          <w:numId w:val="40"/>
        </w:numPr>
        <w:autoSpaceDE w:val="0"/>
        <w:autoSpaceDN w:val="0"/>
        <w:adjustRightInd w:val="0"/>
        <w:spacing w:after="0"/>
        <w:ind w:left="900" w:hanging="540"/>
        <w:rPr>
          <w:sz w:val="24"/>
          <w:lang w:val="es-CL"/>
        </w:rPr>
      </w:pPr>
      <w:r w:rsidRPr="006F390E">
        <w:rPr>
          <w:rFonts w:cs="Helvetica"/>
          <w:i/>
          <w:szCs w:val="20"/>
          <w:lang w:bidi="en-US"/>
        </w:rPr>
        <w:t>Rafael Antonio Rojas Madrigal</w:t>
      </w:r>
      <w:r w:rsidR="00821639" w:rsidRPr="006F390E">
        <w:rPr>
          <w:rFonts w:cs="Helvetica"/>
          <w:i/>
          <w:szCs w:val="20"/>
          <w:lang w:bidi="en-US"/>
        </w:rPr>
        <w:t xml:space="preserve">, </w:t>
      </w:r>
      <w:r w:rsidR="00821639" w:rsidRPr="006F390E">
        <w:rPr>
          <w:rFonts w:cs="Helvetica"/>
          <w:szCs w:val="20"/>
          <w:lang w:bidi="en-US"/>
        </w:rPr>
        <w:t xml:space="preserve">quien </w:t>
      </w:r>
      <w:r w:rsidR="001106B6" w:rsidRPr="006F390E">
        <w:rPr>
          <w:szCs w:val="16"/>
        </w:rPr>
        <w:t xml:space="preserve">declarara sobre: las </w:t>
      </w:r>
      <w:r w:rsidR="00AF37B9" w:rsidRPr="006F390E">
        <w:rPr>
          <w:szCs w:val="16"/>
        </w:rPr>
        <w:t xml:space="preserve">alegadas </w:t>
      </w:r>
      <w:r w:rsidR="001106B6" w:rsidRPr="006F390E">
        <w:rPr>
          <w:szCs w:val="16"/>
        </w:rPr>
        <w:t xml:space="preserve">violaciones de derechos y garantías, tales como la </w:t>
      </w:r>
      <w:r w:rsidR="00AF37B9" w:rsidRPr="006F390E">
        <w:rPr>
          <w:szCs w:val="16"/>
        </w:rPr>
        <w:t xml:space="preserve">presunta </w:t>
      </w:r>
      <w:r w:rsidR="001106B6" w:rsidRPr="006F390E">
        <w:rPr>
          <w:szCs w:val="16"/>
        </w:rPr>
        <w:t xml:space="preserve">afectación a su integridad física y a la vida producto </w:t>
      </w:r>
      <w:r w:rsidR="00AF37B9" w:rsidRPr="006F390E">
        <w:rPr>
          <w:szCs w:val="16"/>
        </w:rPr>
        <w:t>de</w:t>
      </w:r>
      <w:r w:rsidR="001106B6" w:rsidRPr="006F390E">
        <w:rPr>
          <w:szCs w:val="16"/>
        </w:rPr>
        <w:t xml:space="preserve"> la </w:t>
      </w:r>
      <w:r w:rsidR="00AF37B9" w:rsidRPr="006F390E">
        <w:rPr>
          <w:szCs w:val="16"/>
        </w:rPr>
        <w:t xml:space="preserve">alegada </w:t>
      </w:r>
      <w:r w:rsidR="001106B6" w:rsidRPr="006F390E">
        <w:rPr>
          <w:szCs w:val="16"/>
        </w:rPr>
        <w:t xml:space="preserve">falta de atención médica y las condiciones de </w:t>
      </w:r>
      <w:r w:rsidR="00CE506C" w:rsidRPr="006F390E">
        <w:rPr>
          <w:szCs w:val="16"/>
        </w:rPr>
        <w:t xml:space="preserve">alegado </w:t>
      </w:r>
      <w:r w:rsidR="001106B6" w:rsidRPr="006F390E">
        <w:rPr>
          <w:szCs w:val="16"/>
        </w:rPr>
        <w:t>hacinamiento carcelario de las que ha</w:t>
      </w:r>
      <w:r w:rsidR="00CE506C" w:rsidRPr="006F390E">
        <w:rPr>
          <w:szCs w:val="16"/>
        </w:rPr>
        <w:t>bría</w:t>
      </w:r>
      <w:r w:rsidR="001106B6" w:rsidRPr="006F390E">
        <w:rPr>
          <w:szCs w:val="16"/>
        </w:rPr>
        <w:t xml:space="preserve"> sido objeto. </w:t>
      </w:r>
      <w:r w:rsidR="00CE506C" w:rsidRPr="006F390E">
        <w:rPr>
          <w:szCs w:val="16"/>
        </w:rPr>
        <w:t>También se referirá</w:t>
      </w:r>
      <w:r w:rsidR="001106B6" w:rsidRPr="006F390E">
        <w:rPr>
          <w:szCs w:val="16"/>
        </w:rPr>
        <w:t xml:space="preserve"> a las </w:t>
      </w:r>
      <w:r w:rsidR="00CE506C" w:rsidRPr="006F390E">
        <w:rPr>
          <w:szCs w:val="16"/>
        </w:rPr>
        <w:t xml:space="preserve">alegadas </w:t>
      </w:r>
      <w:r w:rsidR="001106B6" w:rsidRPr="006F390E">
        <w:rPr>
          <w:szCs w:val="16"/>
        </w:rPr>
        <w:t xml:space="preserve">violaciones a sus garantías judiciales y </w:t>
      </w:r>
      <w:r w:rsidR="00CE506C" w:rsidRPr="006F390E">
        <w:rPr>
          <w:szCs w:val="16"/>
        </w:rPr>
        <w:t xml:space="preserve">derecho de </w:t>
      </w:r>
      <w:r w:rsidR="001106B6" w:rsidRPr="006F390E">
        <w:rPr>
          <w:szCs w:val="16"/>
        </w:rPr>
        <w:t>acceso a la justicia. Igualmente, se referirá a la</w:t>
      </w:r>
      <w:r w:rsidR="00CE506C" w:rsidRPr="006F390E">
        <w:rPr>
          <w:szCs w:val="16"/>
        </w:rPr>
        <w:t xml:space="preserve"> alegada</w:t>
      </w:r>
      <w:r w:rsidR="001106B6" w:rsidRPr="006F390E">
        <w:rPr>
          <w:szCs w:val="16"/>
        </w:rPr>
        <w:t xml:space="preserve"> violación al principio de imparcialidad, del que ha</w:t>
      </w:r>
      <w:r w:rsidR="00CE506C" w:rsidRPr="006F390E">
        <w:rPr>
          <w:szCs w:val="16"/>
        </w:rPr>
        <w:t>bría</w:t>
      </w:r>
      <w:r w:rsidR="001106B6" w:rsidRPr="006F390E">
        <w:rPr>
          <w:szCs w:val="16"/>
        </w:rPr>
        <w:t xml:space="preserve"> sido objeto por parte de la Administración de Justicia costarricense y cómo se le ha</w:t>
      </w:r>
      <w:r w:rsidR="002005A1" w:rsidRPr="006F390E">
        <w:rPr>
          <w:szCs w:val="16"/>
        </w:rPr>
        <w:t>bría</w:t>
      </w:r>
      <w:r w:rsidR="001106B6" w:rsidRPr="006F390E">
        <w:rPr>
          <w:szCs w:val="16"/>
        </w:rPr>
        <w:t xml:space="preserve"> negado el a</w:t>
      </w:r>
      <w:r w:rsidR="002005A1" w:rsidRPr="006F390E">
        <w:rPr>
          <w:szCs w:val="16"/>
        </w:rPr>
        <w:t>c</w:t>
      </w:r>
      <w:r w:rsidR="001106B6" w:rsidRPr="006F390E">
        <w:rPr>
          <w:szCs w:val="16"/>
        </w:rPr>
        <w:t xml:space="preserve">ceso a la sentencia escrita, cuando se le entregó la misma en un dispositivo electrónico para el cual, el sistema penitenciario no </w:t>
      </w:r>
      <w:r w:rsidR="002005A1" w:rsidRPr="006F390E">
        <w:rPr>
          <w:szCs w:val="16"/>
        </w:rPr>
        <w:t xml:space="preserve">contaría </w:t>
      </w:r>
      <w:r w:rsidR="001106B6" w:rsidRPr="006F390E">
        <w:rPr>
          <w:szCs w:val="16"/>
        </w:rPr>
        <w:t>con la tecnología que le permita imponerse de su contenido.</w:t>
      </w:r>
    </w:p>
    <w:p w:rsidR="00CF0D96" w:rsidRPr="006F390E" w:rsidRDefault="00CF0D96" w:rsidP="00CF0D96">
      <w:pPr>
        <w:pStyle w:val="ListParagraph"/>
        <w:autoSpaceDE w:val="0"/>
        <w:autoSpaceDN w:val="0"/>
        <w:adjustRightInd w:val="0"/>
        <w:spacing w:after="0"/>
        <w:ind w:left="270"/>
        <w:rPr>
          <w:rFonts w:eastAsia="Times New Roman" w:cs="Verdana"/>
          <w:szCs w:val="20"/>
          <w:lang w:val="es-CL" w:eastAsia="en-US"/>
        </w:rPr>
      </w:pPr>
      <w:r w:rsidRPr="006F390E">
        <w:rPr>
          <w:rFonts w:eastAsia="Times New Roman" w:cs="Verdana"/>
          <w:szCs w:val="20"/>
          <w:lang w:val="es-CL" w:eastAsia="en-US"/>
        </w:rPr>
        <w:t xml:space="preserve"> </w:t>
      </w:r>
    </w:p>
    <w:p w:rsidR="000D7BE8" w:rsidRPr="006F390E" w:rsidRDefault="00CF0D96" w:rsidP="000D7BE8">
      <w:pPr>
        <w:pStyle w:val="Listavistosa-nfasis11"/>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15"/>
        <w:rPr>
          <w:rFonts w:cs="Verdana"/>
          <w:b/>
          <w:i/>
          <w:iCs/>
          <w:szCs w:val="20"/>
          <w:u w:val="single"/>
          <w:lang w:bidi="en-US"/>
        </w:rPr>
      </w:pPr>
      <w:r w:rsidRPr="006F390E">
        <w:rPr>
          <w:rFonts w:cs="Helvetica"/>
          <w:b/>
          <w:i/>
          <w:szCs w:val="20"/>
          <w:u w:val="single"/>
          <w:lang w:bidi="en-US"/>
        </w:rPr>
        <w:t>Testigos</w:t>
      </w:r>
      <w:r w:rsidR="000D7BE8" w:rsidRPr="006F390E">
        <w:rPr>
          <w:rFonts w:cs="Verdana"/>
          <w:b/>
          <w:i/>
          <w:iCs/>
          <w:szCs w:val="20"/>
          <w:u w:val="single"/>
          <w:lang w:bidi="en-US"/>
        </w:rPr>
        <w:t xml:space="preserve"> </w:t>
      </w:r>
    </w:p>
    <w:p w:rsidR="006B14A4" w:rsidRPr="006F390E" w:rsidRDefault="006B14A4" w:rsidP="00541D9C">
      <w:pPr>
        <w:pStyle w:val="Listavistosa-nfasis11"/>
        <w:widowControl w:val="0"/>
        <w:numPr>
          <w:ilvl w:val="0"/>
          <w:numId w:val="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iCs/>
          <w:szCs w:val="20"/>
          <w:lang w:bidi="en-US"/>
        </w:rPr>
      </w:pPr>
    </w:p>
    <w:p w:rsidR="005E403B" w:rsidRPr="006F390E" w:rsidRDefault="005E403B" w:rsidP="005E403B">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u w:val="single"/>
          <w:lang w:bidi="en-US"/>
        </w:rPr>
      </w:pPr>
      <w:r w:rsidRPr="006F390E">
        <w:rPr>
          <w:rFonts w:cs="Helvetica"/>
          <w:szCs w:val="20"/>
          <w:u w:val="single"/>
          <w:lang w:bidi="en-US"/>
        </w:rPr>
        <w:t>Propuesto por SIPDH</w:t>
      </w:r>
    </w:p>
    <w:p w:rsidR="005E403B" w:rsidRPr="006F390E" w:rsidRDefault="005E403B" w:rsidP="005E403B">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u w:val="single"/>
          <w:lang w:bidi="en-US"/>
        </w:rPr>
      </w:pPr>
    </w:p>
    <w:p w:rsidR="00EF6AB3" w:rsidRPr="006F390E" w:rsidRDefault="00EF6AB3" w:rsidP="0007169D">
      <w:pPr>
        <w:pStyle w:val="Listavistosa-nfasis11"/>
        <w:widowControl w:val="0"/>
        <w:numPr>
          <w:ilvl w:val="2"/>
          <w:numId w:val="37"/>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rPr>
          <w:rFonts w:cs="Helvetica"/>
          <w:sz w:val="16"/>
          <w:szCs w:val="20"/>
          <w:u w:val="single"/>
          <w:lang w:bidi="en-US"/>
        </w:rPr>
      </w:pPr>
      <w:r w:rsidRPr="006F390E">
        <w:rPr>
          <w:rFonts w:cs="Cambria"/>
          <w:i/>
          <w:lang w:eastAsia="en-US"/>
        </w:rPr>
        <w:t xml:space="preserve">Roger Víquez </w:t>
      </w:r>
      <w:proofErr w:type="spellStart"/>
      <w:r w:rsidRPr="006F390E">
        <w:rPr>
          <w:rFonts w:cs="Cambria"/>
          <w:i/>
          <w:lang w:eastAsia="en-US"/>
        </w:rPr>
        <w:t>Gairaud</w:t>
      </w:r>
      <w:proofErr w:type="spellEnd"/>
      <w:r w:rsidR="00315E00" w:rsidRPr="006F390E">
        <w:rPr>
          <w:rFonts w:cs="Cambria"/>
          <w:i/>
          <w:lang w:eastAsia="en-US"/>
        </w:rPr>
        <w:t>,</w:t>
      </w:r>
      <w:r w:rsidRPr="006F390E">
        <w:rPr>
          <w:rFonts w:cs="Cambria"/>
          <w:lang w:eastAsia="en-US"/>
        </w:rPr>
        <w:t xml:space="preserve"> quien declarará sobre: el alcance de los informes generados en sus visitas a</w:t>
      </w:r>
      <w:r w:rsidR="00322F39" w:rsidRPr="006F390E">
        <w:rPr>
          <w:rFonts w:cs="Cambria"/>
          <w:lang w:eastAsia="en-US"/>
        </w:rPr>
        <w:t>l CAI La Reforma</w:t>
      </w:r>
      <w:r w:rsidRPr="006F390E">
        <w:rPr>
          <w:rFonts w:cs="Cambria"/>
          <w:lang w:eastAsia="en-US"/>
        </w:rPr>
        <w:t>. Explicará las condiciones carcelarias al momento de los hechos en relación con condiciones edilicias, régimen disciplinario, integridad física y psíquica, salud y atención médica, alimentación y otras conexas</w:t>
      </w:r>
      <w:r w:rsidR="00990EFE" w:rsidRPr="006F390E">
        <w:rPr>
          <w:rFonts w:cs="Cambria"/>
          <w:lang w:eastAsia="en-US"/>
        </w:rPr>
        <w:t xml:space="preserve"> en dicho centro de privación de libertad</w:t>
      </w:r>
      <w:r w:rsidRPr="006F390E">
        <w:rPr>
          <w:rFonts w:cs="Cambria"/>
          <w:lang w:eastAsia="en-US"/>
        </w:rPr>
        <w:t xml:space="preserve">. </w:t>
      </w:r>
    </w:p>
    <w:p w:rsidR="00E61D3D" w:rsidRPr="006F390E" w:rsidRDefault="00E61D3D" w:rsidP="00E61D3D">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cs="Helvetica"/>
          <w:sz w:val="16"/>
          <w:szCs w:val="20"/>
          <w:u w:val="single"/>
          <w:lang w:bidi="en-US"/>
        </w:rPr>
      </w:pPr>
    </w:p>
    <w:p w:rsidR="005E403B" w:rsidRPr="006F390E" w:rsidRDefault="005E403B" w:rsidP="005E403B">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u w:val="single"/>
          <w:lang w:bidi="en-US"/>
        </w:rPr>
      </w:pPr>
      <w:r w:rsidRPr="006F390E">
        <w:rPr>
          <w:rFonts w:cs="Helvetica"/>
          <w:szCs w:val="20"/>
          <w:u w:val="single"/>
          <w:lang w:bidi="en-US"/>
        </w:rPr>
        <w:t xml:space="preserve">Propuestos por Adrián Martínez Blanco </w:t>
      </w:r>
    </w:p>
    <w:p w:rsidR="005E403B" w:rsidRPr="006F390E" w:rsidRDefault="005E403B" w:rsidP="005E403B">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u w:val="single"/>
          <w:lang w:bidi="en-US"/>
        </w:rPr>
      </w:pPr>
    </w:p>
    <w:p w:rsidR="00020CCD" w:rsidRPr="006F390E" w:rsidRDefault="00020CCD" w:rsidP="0007169D">
      <w:pPr>
        <w:pStyle w:val="Listavistosa-nfasis11"/>
        <w:widowControl w:val="0"/>
        <w:numPr>
          <w:ilvl w:val="2"/>
          <w:numId w:val="37"/>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rPr>
          <w:rFonts w:cs="Helvetica"/>
          <w:szCs w:val="20"/>
          <w:lang w:bidi="en-US"/>
        </w:rPr>
      </w:pPr>
      <w:r w:rsidRPr="006F390E">
        <w:rPr>
          <w:rFonts w:cs="Helvetica"/>
          <w:i/>
          <w:szCs w:val="20"/>
          <w:lang w:bidi="en-US"/>
        </w:rPr>
        <w:t xml:space="preserve">José </w:t>
      </w:r>
      <w:r w:rsidRPr="006F390E">
        <w:rPr>
          <w:rFonts w:cs="Cambria"/>
          <w:i/>
          <w:lang w:eastAsia="en-US"/>
        </w:rPr>
        <w:t>Martínez</w:t>
      </w:r>
      <w:r w:rsidRPr="006F390E">
        <w:rPr>
          <w:rFonts w:cs="Helvetica"/>
          <w:i/>
          <w:szCs w:val="20"/>
          <w:lang w:bidi="en-US"/>
        </w:rPr>
        <w:t xml:space="preserve"> </w:t>
      </w:r>
      <w:proofErr w:type="spellStart"/>
      <w:r w:rsidRPr="006F390E">
        <w:rPr>
          <w:rFonts w:cs="Helvetica"/>
          <w:i/>
          <w:szCs w:val="20"/>
          <w:lang w:bidi="en-US"/>
        </w:rPr>
        <w:t>Melendez</w:t>
      </w:r>
      <w:proofErr w:type="spellEnd"/>
      <w:r w:rsidRPr="006F390E">
        <w:rPr>
          <w:rFonts w:cs="Helvetica"/>
          <w:i/>
          <w:szCs w:val="20"/>
          <w:lang w:bidi="en-US"/>
        </w:rPr>
        <w:t xml:space="preserve">, </w:t>
      </w:r>
      <w:r w:rsidRPr="006F390E">
        <w:rPr>
          <w:rFonts w:cs="Helvetica"/>
          <w:szCs w:val="20"/>
          <w:lang w:bidi="en-US"/>
        </w:rPr>
        <w:t>quien declarará sobre: los hechos ocurridos en los procesos judiciales mencionados en el escrito de solicitudes y argumentos presentado por Adrián Martínez Blanco y respecto a la vivencia de</w:t>
      </w:r>
      <w:r w:rsidR="00AB2674">
        <w:rPr>
          <w:rFonts w:cs="Helvetica"/>
          <w:szCs w:val="20"/>
          <w:lang w:bidi="en-US"/>
        </w:rPr>
        <w:t>l peticionario</w:t>
      </w:r>
      <w:r w:rsidRPr="006F390E">
        <w:rPr>
          <w:rFonts w:cs="Helvetica"/>
          <w:szCs w:val="20"/>
          <w:lang w:bidi="en-US"/>
        </w:rPr>
        <w:t xml:space="preserve"> Jorge Martínez Meléndez en relación con las violaciones a los derechos humanos alegados en el presente caso. </w:t>
      </w:r>
    </w:p>
    <w:p w:rsidR="00020CCD" w:rsidRPr="006F390E" w:rsidRDefault="00020CCD" w:rsidP="00020CCD">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cs="Helvetica"/>
          <w:szCs w:val="20"/>
          <w:u w:val="single"/>
          <w:lang w:bidi="en-US"/>
        </w:rPr>
      </w:pPr>
    </w:p>
    <w:p w:rsidR="005E403B" w:rsidRPr="006F390E" w:rsidRDefault="005E403B" w:rsidP="005E403B">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u w:val="single"/>
          <w:lang w:bidi="en-US"/>
        </w:rPr>
      </w:pPr>
      <w:r w:rsidRPr="006F390E">
        <w:rPr>
          <w:rFonts w:cs="Helvetica"/>
          <w:szCs w:val="20"/>
          <w:u w:val="single"/>
          <w:lang w:bidi="en-US"/>
        </w:rPr>
        <w:t xml:space="preserve">Propuestos por los Defensores Públicos Interamericanos </w:t>
      </w:r>
    </w:p>
    <w:p w:rsidR="000D7BE8" w:rsidRPr="006F390E" w:rsidRDefault="000D7BE8" w:rsidP="000717FC">
      <w:pPr>
        <w:spacing w:after="0"/>
        <w:rPr>
          <w:rFonts w:cs="Helvetica"/>
          <w:szCs w:val="20"/>
          <w:lang w:bidi="en-US"/>
        </w:rPr>
      </w:pPr>
    </w:p>
    <w:p w:rsidR="00EF6AB3" w:rsidRPr="006F390E" w:rsidRDefault="006B14A4" w:rsidP="002D3F7E">
      <w:pPr>
        <w:pStyle w:val="ListParagraph"/>
        <w:numPr>
          <w:ilvl w:val="2"/>
          <w:numId w:val="37"/>
        </w:numPr>
        <w:autoSpaceDE w:val="0"/>
        <w:autoSpaceDN w:val="0"/>
        <w:adjustRightInd w:val="0"/>
        <w:spacing w:after="0"/>
        <w:ind w:left="900"/>
        <w:rPr>
          <w:rFonts w:cs="Cambria"/>
          <w:szCs w:val="20"/>
          <w:lang w:eastAsia="en-US"/>
        </w:rPr>
      </w:pPr>
      <w:r w:rsidRPr="006F390E">
        <w:rPr>
          <w:rFonts w:cs="Helvetica"/>
          <w:i/>
          <w:szCs w:val="20"/>
          <w:lang w:bidi="en-US"/>
        </w:rPr>
        <w:t>Álvaro Salas Torres</w:t>
      </w:r>
      <w:r w:rsidRPr="006F390E">
        <w:rPr>
          <w:rFonts w:cs="Helvetica"/>
          <w:szCs w:val="20"/>
          <w:lang w:bidi="en-US"/>
        </w:rPr>
        <w:t xml:space="preserve">, quien declarará sobre: </w:t>
      </w:r>
      <w:r w:rsidRPr="006F390E">
        <w:rPr>
          <w:rFonts w:cs="Cambria"/>
          <w:szCs w:val="20"/>
          <w:lang w:eastAsia="en-US"/>
        </w:rPr>
        <w:t xml:space="preserve">los </w:t>
      </w:r>
      <w:r w:rsidR="00616401" w:rsidRPr="006F390E">
        <w:rPr>
          <w:rFonts w:cs="Cambria"/>
          <w:szCs w:val="20"/>
          <w:lang w:eastAsia="en-US"/>
        </w:rPr>
        <w:t xml:space="preserve">alegados </w:t>
      </w:r>
      <w:r w:rsidRPr="006F390E">
        <w:rPr>
          <w:rFonts w:cs="Cambria"/>
          <w:szCs w:val="20"/>
          <w:lang w:eastAsia="en-US"/>
        </w:rPr>
        <w:t xml:space="preserve">problemas de atención médica sufridos durante su estadía en el CAI La Reforma, </w:t>
      </w:r>
      <w:r w:rsidR="00801BD9" w:rsidRPr="006F390E">
        <w:rPr>
          <w:rFonts w:cs="Cambria"/>
          <w:szCs w:val="20"/>
          <w:lang w:eastAsia="en-US"/>
        </w:rPr>
        <w:t>l</w:t>
      </w:r>
      <w:r w:rsidRPr="006F390E">
        <w:rPr>
          <w:rFonts w:cs="Cambria"/>
          <w:szCs w:val="20"/>
          <w:lang w:eastAsia="en-US"/>
        </w:rPr>
        <w:t>a</w:t>
      </w:r>
      <w:r w:rsidR="00801BD9" w:rsidRPr="006F390E">
        <w:rPr>
          <w:rFonts w:cs="Cambria"/>
          <w:szCs w:val="20"/>
          <w:lang w:eastAsia="en-US"/>
        </w:rPr>
        <w:t xml:space="preserve"> alegada</w:t>
      </w:r>
      <w:r w:rsidRPr="006F390E">
        <w:rPr>
          <w:rFonts w:cs="Cambria"/>
          <w:szCs w:val="20"/>
          <w:lang w:eastAsia="en-US"/>
        </w:rPr>
        <w:t xml:space="preserve"> inadecuada alimentación carente de reglas higiénicas y valor nutricional, </w:t>
      </w:r>
      <w:r w:rsidR="00801BD9" w:rsidRPr="006F390E">
        <w:rPr>
          <w:rFonts w:cs="Cambria"/>
          <w:szCs w:val="20"/>
          <w:lang w:eastAsia="en-US"/>
        </w:rPr>
        <w:t>y</w:t>
      </w:r>
      <w:r w:rsidRPr="006F390E">
        <w:rPr>
          <w:rFonts w:cs="Cambria"/>
          <w:szCs w:val="20"/>
          <w:lang w:eastAsia="en-US"/>
        </w:rPr>
        <w:t xml:space="preserve"> para que refiera c</w:t>
      </w:r>
      <w:r w:rsidR="00801BD9" w:rsidRPr="006F390E">
        <w:rPr>
          <w:rFonts w:cs="Cambria"/>
          <w:szCs w:val="20"/>
          <w:lang w:eastAsia="en-US"/>
        </w:rPr>
        <w:t>ó</w:t>
      </w:r>
      <w:r w:rsidRPr="006F390E">
        <w:rPr>
          <w:rFonts w:cs="Cambria"/>
          <w:szCs w:val="20"/>
          <w:lang w:eastAsia="en-US"/>
        </w:rPr>
        <w:t xml:space="preserve">mo el agua </w:t>
      </w:r>
      <w:r w:rsidR="00801BD9" w:rsidRPr="006F390E">
        <w:rPr>
          <w:rFonts w:cs="Cambria"/>
          <w:szCs w:val="20"/>
          <w:lang w:eastAsia="en-US"/>
        </w:rPr>
        <w:t>habría sido</w:t>
      </w:r>
      <w:r w:rsidRPr="006F390E">
        <w:rPr>
          <w:rFonts w:cs="Cambria"/>
          <w:szCs w:val="20"/>
          <w:lang w:eastAsia="en-US"/>
        </w:rPr>
        <w:t xml:space="preserve"> restringida en tal lugar y l</w:t>
      </w:r>
      <w:r w:rsidR="00801BD9" w:rsidRPr="006F390E">
        <w:rPr>
          <w:rFonts w:cs="Cambria"/>
          <w:szCs w:val="20"/>
          <w:lang w:eastAsia="en-US"/>
        </w:rPr>
        <w:t>legaría</w:t>
      </w:r>
      <w:r w:rsidRPr="006F390E">
        <w:rPr>
          <w:rFonts w:cs="Cambria"/>
          <w:szCs w:val="20"/>
          <w:lang w:eastAsia="en-US"/>
        </w:rPr>
        <w:t xml:space="preserve"> sucia y turbia y </w:t>
      </w:r>
      <w:r w:rsidRPr="006F390E">
        <w:rPr>
          <w:rFonts w:cs="Cambria"/>
          <w:szCs w:val="20"/>
          <w:lang w:eastAsia="en-US"/>
        </w:rPr>
        <w:lastRenderedPageBreak/>
        <w:t>provoca</w:t>
      </w:r>
      <w:r w:rsidR="00801BD9" w:rsidRPr="006F390E">
        <w:rPr>
          <w:rFonts w:cs="Cambria"/>
          <w:szCs w:val="20"/>
          <w:lang w:eastAsia="en-US"/>
        </w:rPr>
        <w:t>ría</w:t>
      </w:r>
      <w:r w:rsidRPr="006F390E">
        <w:rPr>
          <w:rFonts w:cs="Cambria"/>
          <w:szCs w:val="20"/>
          <w:lang w:eastAsia="en-US"/>
        </w:rPr>
        <w:t xml:space="preserve"> diarreas y fuertes dolores estomacales</w:t>
      </w:r>
      <w:r w:rsidR="00801BD9" w:rsidRPr="006F390E">
        <w:rPr>
          <w:rFonts w:cs="Cambria"/>
          <w:szCs w:val="20"/>
          <w:lang w:eastAsia="en-US"/>
        </w:rPr>
        <w:t>. I</w:t>
      </w:r>
      <w:r w:rsidRPr="006F390E">
        <w:rPr>
          <w:rFonts w:cs="Cambria"/>
          <w:szCs w:val="20"/>
          <w:lang w:eastAsia="en-US"/>
        </w:rPr>
        <w:t>gualmente</w:t>
      </w:r>
      <w:r w:rsidR="00801BD9" w:rsidRPr="006F390E">
        <w:rPr>
          <w:rFonts w:cs="Cambria"/>
          <w:szCs w:val="20"/>
          <w:lang w:eastAsia="en-US"/>
        </w:rPr>
        <w:t>,</w:t>
      </w:r>
      <w:r w:rsidRPr="006F390E">
        <w:rPr>
          <w:rFonts w:cs="Cambria"/>
          <w:szCs w:val="20"/>
          <w:lang w:eastAsia="en-US"/>
        </w:rPr>
        <w:t xml:space="preserve"> declarará sobre los</w:t>
      </w:r>
      <w:r w:rsidR="00801BD9" w:rsidRPr="006F390E">
        <w:rPr>
          <w:rFonts w:cs="Cambria"/>
          <w:szCs w:val="20"/>
          <w:lang w:eastAsia="en-US"/>
        </w:rPr>
        <w:t xml:space="preserve"> presuntos</w:t>
      </w:r>
      <w:r w:rsidRPr="006F390E">
        <w:rPr>
          <w:rFonts w:cs="Cambria"/>
          <w:szCs w:val="20"/>
          <w:lang w:eastAsia="en-US"/>
        </w:rPr>
        <w:t xml:space="preserve"> problemas de hacinamiento.</w:t>
      </w:r>
    </w:p>
    <w:p w:rsidR="006F78D8" w:rsidRPr="006F390E" w:rsidRDefault="006F78D8" w:rsidP="00107543">
      <w:pPr>
        <w:pStyle w:val="ListParagraph"/>
        <w:autoSpaceDE w:val="0"/>
        <w:autoSpaceDN w:val="0"/>
        <w:adjustRightInd w:val="0"/>
        <w:spacing w:after="0"/>
        <w:ind w:left="900"/>
        <w:rPr>
          <w:rFonts w:cs="Cambria"/>
          <w:szCs w:val="20"/>
          <w:lang w:eastAsia="en-US"/>
        </w:rPr>
      </w:pPr>
    </w:p>
    <w:p w:rsidR="005E403B" w:rsidRPr="006F390E" w:rsidRDefault="006B14A4" w:rsidP="00E23F4A">
      <w:pPr>
        <w:pStyle w:val="ListParagraph"/>
        <w:numPr>
          <w:ilvl w:val="2"/>
          <w:numId w:val="37"/>
        </w:numPr>
        <w:ind w:left="900"/>
        <w:rPr>
          <w:rFonts w:cs="Helvetica"/>
          <w:i/>
          <w:szCs w:val="20"/>
          <w:lang w:bidi="en-US"/>
        </w:rPr>
      </w:pPr>
      <w:r w:rsidRPr="006F390E">
        <w:rPr>
          <w:rFonts w:cs="Helvetica"/>
          <w:i/>
          <w:szCs w:val="20"/>
          <w:lang w:bidi="en-US"/>
        </w:rPr>
        <w:t>Antonio Sandoval Mendoza</w:t>
      </w:r>
      <w:r w:rsidRPr="006F390E">
        <w:rPr>
          <w:rFonts w:cs="Helvetica"/>
          <w:szCs w:val="20"/>
          <w:lang w:bidi="en-US"/>
        </w:rPr>
        <w:t>, quien declarará</w:t>
      </w:r>
      <w:r w:rsidR="00A7024F" w:rsidRPr="006F390E">
        <w:rPr>
          <w:rFonts w:cs="Helvetica"/>
          <w:szCs w:val="20"/>
          <w:lang w:bidi="en-US"/>
        </w:rPr>
        <w:t>, en relación con el</w:t>
      </w:r>
      <w:r w:rsidR="00392E0D" w:rsidRPr="006F390E">
        <w:rPr>
          <w:rFonts w:cs="Helvetica"/>
          <w:szCs w:val="20"/>
          <w:lang w:bidi="en-US"/>
        </w:rPr>
        <w:t xml:space="preserve"> tiempo en que estuvo recluido en el</w:t>
      </w:r>
      <w:r w:rsidR="00A7024F" w:rsidRPr="006F390E">
        <w:rPr>
          <w:rFonts w:cs="Helvetica"/>
          <w:szCs w:val="20"/>
          <w:lang w:bidi="en-US"/>
        </w:rPr>
        <w:t xml:space="preserve"> CAI La Reforma,</w:t>
      </w:r>
      <w:r w:rsidRPr="006F390E">
        <w:rPr>
          <w:rFonts w:cs="Helvetica"/>
          <w:szCs w:val="20"/>
          <w:lang w:bidi="en-US"/>
        </w:rPr>
        <w:t xml:space="preserve"> sobre</w:t>
      </w:r>
      <w:r w:rsidR="00A7024F" w:rsidRPr="006F390E">
        <w:rPr>
          <w:rFonts w:cs="Helvetica"/>
          <w:szCs w:val="20"/>
          <w:lang w:bidi="en-US"/>
        </w:rPr>
        <w:t xml:space="preserve"> </w:t>
      </w:r>
      <w:r w:rsidRPr="006F390E">
        <w:rPr>
          <w:rFonts w:cs="Helvetica"/>
          <w:szCs w:val="20"/>
          <w:lang w:bidi="en-US"/>
        </w:rPr>
        <w:t xml:space="preserve">la </w:t>
      </w:r>
      <w:r w:rsidR="009B4A31" w:rsidRPr="006F390E">
        <w:rPr>
          <w:rFonts w:cs="Helvetica"/>
          <w:szCs w:val="20"/>
          <w:lang w:bidi="en-US"/>
        </w:rPr>
        <w:t xml:space="preserve">alegada </w:t>
      </w:r>
      <w:r w:rsidRPr="006F390E">
        <w:rPr>
          <w:rFonts w:cs="Helvetica"/>
          <w:szCs w:val="20"/>
          <w:lang w:bidi="en-US"/>
        </w:rPr>
        <w:t>escasez de alimento, los problemas de hacinamiento, así como la inadecuada calidad del agua de la que ha</w:t>
      </w:r>
      <w:r w:rsidR="009B4A31" w:rsidRPr="006F390E">
        <w:rPr>
          <w:rFonts w:cs="Helvetica"/>
          <w:szCs w:val="20"/>
          <w:lang w:bidi="en-US"/>
        </w:rPr>
        <w:t>r</w:t>
      </w:r>
      <w:r w:rsidRPr="006F390E">
        <w:rPr>
          <w:rFonts w:cs="Helvetica"/>
          <w:szCs w:val="20"/>
          <w:lang w:bidi="en-US"/>
        </w:rPr>
        <w:t>ían uso, c</w:t>
      </w:r>
      <w:r w:rsidR="009B4A31" w:rsidRPr="006F390E">
        <w:rPr>
          <w:rFonts w:cs="Helvetica"/>
          <w:szCs w:val="20"/>
          <w:lang w:bidi="en-US"/>
        </w:rPr>
        <w:t>ó</w:t>
      </w:r>
      <w:r w:rsidRPr="006F390E">
        <w:rPr>
          <w:rFonts w:cs="Helvetica"/>
          <w:szCs w:val="20"/>
          <w:lang w:bidi="en-US"/>
        </w:rPr>
        <w:t xml:space="preserve">mo </w:t>
      </w:r>
      <w:r w:rsidR="00975DE1" w:rsidRPr="006F390E">
        <w:rPr>
          <w:rFonts w:cs="Helvetica"/>
          <w:szCs w:val="20"/>
          <w:lang w:bidi="en-US"/>
        </w:rPr>
        <w:t>presuntamente</w:t>
      </w:r>
      <w:r w:rsidR="009B4A31" w:rsidRPr="006F390E">
        <w:rPr>
          <w:rFonts w:cs="Helvetica"/>
          <w:szCs w:val="20"/>
          <w:lang w:bidi="en-US"/>
        </w:rPr>
        <w:t xml:space="preserve"> </w:t>
      </w:r>
      <w:r w:rsidRPr="006F390E">
        <w:rPr>
          <w:rFonts w:cs="Helvetica"/>
          <w:szCs w:val="20"/>
          <w:lang w:bidi="en-US"/>
        </w:rPr>
        <w:t xml:space="preserve">asaltaban, violaban, robaban y torturaban a compañeros por parte de otros privados de libertad, </w:t>
      </w:r>
      <w:r w:rsidR="00F937BA" w:rsidRPr="006F390E">
        <w:rPr>
          <w:rFonts w:cs="Helvetica"/>
          <w:szCs w:val="20"/>
          <w:lang w:bidi="en-US"/>
        </w:rPr>
        <w:t xml:space="preserve">y </w:t>
      </w:r>
      <w:r w:rsidRPr="006F390E">
        <w:rPr>
          <w:rFonts w:cs="Helvetica"/>
          <w:szCs w:val="20"/>
          <w:lang w:bidi="en-US"/>
        </w:rPr>
        <w:t>c</w:t>
      </w:r>
      <w:r w:rsidR="009B4A31" w:rsidRPr="006F390E">
        <w:rPr>
          <w:rFonts w:cs="Helvetica"/>
          <w:szCs w:val="20"/>
          <w:lang w:bidi="en-US"/>
        </w:rPr>
        <w:t>ó</w:t>
      </w:r>
      <w:r w:rsidRPr="006F390E">
        <w:rPr>
          <w:rFonts w:cs="Helvetica"/>
          <w:szCs w:val="20"/>
          <w:lang w:bidi="en-US"/>
        </w:rPr>
        <w:t xml:space="preserve">mo la policía penitenciaria </w:t>
      </w:r>
      <w:r w:rsidR="009B4A31" w:rsidRPr="006F390E">
        <w:rPr>
          <w:rFonts w:cs="Helvetica"/>
          <w:szCs w:val="20"/>
          <w:lang w:bidi="en-US"/>
        </w:rPr>
        <w:t>habría utilizado</w:t>
      </w:r>
      <w:r w:rsidRPr="006F390E">
        <w:rPr>
          <w:rFonts w:cs="Helvetica"/>
          <w:szCs w:val="20"/>
          <w:lang w:bidi="en-US"/>
        </w:rPr>
        <w:t xml:space="preserve"> gas mostaza o alguno similar que crea</w:t>
      </w:r>
      <w:r w:rsidR="005541B1" w:rsidRPr="006F390E">
        <w:rPr>
          <w:rFonts w:cs="Helvetica"/>
          <w:szCs w:val="20"/>
          <w:lang w:bidi="en-US"/>
        </w:rPr>
        <w:t>ría</w:t>
      </w:r>
      <w:r w:rsidRPr="006F390E">
        <w:rPr>
          <w:rFonts w:cs="Helvetica"/>
          <w:szCs w:val="20"/>
          <w:lang w:bidi="en-US"/>
        </w:rPr>
        <w:t xml:space="preserve"> efectos nocivos en el sistema respiratorio cuando un privado de libertad reclamaba un abuso policial. </w:t>
      </w:r>
      <w:r w:rsidR="00A7024F" w:rsidRPr="006F390E">
        <w:rPr>
          <w:rFonts w:cs="Helvetica"/>
          <w:szCs w:val="20"/>
          <w:lang w:bidi="en-US"/>
        </w:rPr>
        <w:t>También s</w:t>
      </w:r>
      <w:r w:rsidRPr="006F390E">
        <w:rPr>
          <w:rFonts w:cs="Helvetica"/>
          <w:szCs w:val="20"/>
          <w:lang w:bidi="en-US"/>
        </w:rPr>
        <w:t xml:space="preserve">e referirá al </w:t>
      </w:r>
      <w:r w:rsidR="00A7024F" w:rsidRPr="006F390E">
        <w:rPr>
          <w:rFonts w:cs="Helvetica"/>
          <w:szCs w:val="20"/>
          <w:lang w:bidi="en-US"/>
        </w:rPr>
        <w:t xml:space="preserve">alegado </w:t>
      </w:r>
      <w:r w:rsidRPr="006F390E">
        <w:rPr>
          <w:rFonts w:cs="Helvetica"/>
          <w:szCs w:val="20"/>
          <w:lang w:bidi="en-US"/>
        </w:rPr>
        <w:t xml:space="preserve">hacinamiento dentro de los dormitorios, </w:t>
      </w:r>
      <w:r w:rsidR="00A7024F" w:rsidRPr="006F390E">
        <w:rPr>
          <w:rFonts w:cs="Helvetica"/>
          <w:szCs w:val="20"/>
          <w:lang w:bidi="en-US"/>
        </w:rPr>
        <w:t>y sobre el alegado hecho de que no</w:t>
      </w:r>
      <w:r w:rsidRPr="006F390E">
        <w:rPr>
          <w:rFonts w:cs="Helvetica"/>
          <w:szCs w:val="20"/>
          <w:lang w:bidi="en-US"/>
        </w:rPr>
        <w:t xml:space="preserve"> se les entregaban cobijas ni colchones</w:t>
      </w:r>
      <w:r w:rsidR="00A7024F" w:rsidRPr="006F390E">
        <w:rPr>
          <w:rFonts w:cs="Helvetica"/>
          <w:szCs w:val="20"/>
          <w:lang w:bidi="en-US"/>
        </w:rPr>
        <w:t xml:space="preserve">, así como sobre </w:t>
      </w:r>
      <w:r w:rsidRPr="006F390E">
        <w:rPr>
          <w:rFonts w:cs="Helvetica"/>
          <w:szCs w:val="20"/>
          <w:lang w:bidi="en-US"/>
        </w:rPr>
        <w:t xml:space="preserve">la atención médica, la calidad del agua, </w:t>
      </w:r>
      <w:r w:rsidR="00A7024F" w:rsidRPr="006F390E">
        <w:rPr>
          <w:rFonts w:cs="Helvetica"/>
          <w:szCs w:val="20"/>
          <w:lang w:bidi="en-US"/>
        </w:rPr>
        <w:t>los lugares</w:t>
      </w:r>
      <w:r w:rsidRPr="006F390E">
        <w:rPr>
          <w:rFonts w:cs="Helvetica"/>
          <w:szCs w:val="20"/>
          <w:lang w:bidi="en-US"/>
        </w:rPr>
        <w:t xml:space="preserve"> donde hacen sus necesidades fisiológicas</w:t>
      </w:r>
      <w:r w:rsidR="00A7024F" w:rsidRPr="006F390E">
        <w:rPr>
          <w:rFonts w:cs="Helvetica"/>
          <w:szCs w:val="20"/>
          <w:lang w:bidi="en-US"/>
        </w:rPr>
        <w:t xml:space="preserve"> y cómo esta situación repercut</w:t>
      </w:r>
      <w:r w:rsidR="00A903B7">
        <w:rPr>
          <w:rFonts w:cs="Helvetica"/>
          <w:szCs w:val="20"/>
          <w:lang w:bidi="en-US"/>
        </w:rPr>
        <w:t>iría</w:t>
      </w:r>
      <w:r w:rsidR="00A7024F" w:rsidRPr="006F390E">
        <w:rPr>
          <w:rFonts w:cs="Helvetica"/>
          <w:szCs w:val="20"/>
          <w:lang w:bidi="en-US"/>
        </w:rPr>
        <w:t xml:space="preserve"> en el </w:t>
      </w:r>
      <w:r w:rsidRPr="006F390E">
        <w:rPr>
          <w:rFonts w:cs="Helvetica"/>
          <w:szCs w:val="20"/>
          <w:lang w:bidi="en-US"/>
        </w:rPr>
        <w:t xml:space="preserve">ambiente y en </w:t>
      </w:r>
      <w:r w:rsidR="00A7024F" w:rsidRPr="006F390E">
        <w:rPr>
          <w:rFonts w:cs="Helvetica"/>
          <w:szCs w:val="20"/>
          <w:lang w:bidi="en-US"/>
        </w:rPr>
        <w:t>l</w:t>
      </w:r>
      <w:r w:rsidRPr="006F390E">
        <w:rPr>
          <w:rFonts w:cs="Helvetica"/>
          <w:szCs w:val="20"/>
          <w:lang w:bidi="en-US"/>
        </w:rPr>
        <w:t>a salud del privado de libertad.</w:t>
      </w:r>
    </w:p>
    <w:p w:rsidR="006F78D8" w:rsidRPr="006F390E" w:rsidRDefault="006F78D8" w:rsidP="00E23F4A">
      <w:pPr>
        <w:rPr>
          <w:rFonts w:cs="Helvetica"/>
          <w:i/>
          <w:szCs w:val="20"/>
          <w:lang w:bidi="en-US"/>
        </w:rPr>
      </w:pPr>
    </w:p>
    <w:p w:rsidR="006B14A4" w:rsidRPr="00D24493" w:rsidRDefault="006B14A4" w:rsidP="00E23F4A">
      <w:pPr>
        <w:pStyle w:val="ListParagraph"/>
        <w:numPr>
          <w:ilvl w:val="2"/>
          <w:numId w:val="37"/>
        </w:numPr>
        <w:ind w:left="900"/>
        <w:rPr>
          <w:rFonts w:cs="Helvetica"/>
          <w:i/>
          <w:szCs w:val="20"/>
          <w:lang w:bidi="en-US"/>
        </w:rPr>
      </w:pPr>
      <w:r w:rsidRPr="006F390E">
        <w:rPr>
          <w:rFonts w:cs="Helvetica"/>
          <w:i/>
          <w:szCs w:val="20"/>
          <w:lang w:bidi="en-US"/>
        </w:rPr>
        <w:t>Carlos Alberto Céspedes León</w:t>
      </w:r>
      <w:r w:rsidRPr="006F390E">
        <w:rPr>
          <w:rFonts w:cs="Helvetica"/>
          <w:szCs w:val="20"/>
          <w:lang w:bidi="en-US"/>
        </w:rPr>
        <w:t>, quien declarará sobre: los hechos que acontecieron a</w:t>
      </w:r>
      <w:r w:rsidR="00974079" w:rsidRPr="006F390E">
        <w:rPr>
          <w:rFonts w:cs="Helvetica"/>
          <w:szCs w:val="20"/>
          <w:lang w:bidi="en-US"/>
        </w:rPr>
        <w:t xml:space="preserve">l señor Rafael </w:t>
      </w:r>
      <w:r w:rsidRPr="006F390E">
        <w:rPr>
          <w:rFonts w:cs="Helvetica"/>
          <w:szCs w:val="20"/>
          <w:lang w:bidi="en-US"/>
        </w:rPr>
        <w:t xml:space="preserve">Rojas Madrigal durante los años 2003 al </w:t>
      </w:r>
      <w:r w:rsidRPr="00D24493">
        <w:rPr>
          <w:rFonts w:cs="Helvetica"/>
          <w:szCs w:val="20"/>
          <w:lang w:bidi="en-US"/>
        </w:rPr>
        <w:t xml:space="preserve">2005 </w:t>
      </w:r>
      <w:r w:rsidR="008826D8" w:rsidRPr="00D24493">
        <w:rPr>
          <w:rFonts w:cs="Helvetica"/>
          <w:szCs w:val="20"/>
          <w:lang w:bidi="en-US"/>
        </w:rPr>
        <w:t>en el CAI La Refor</w:t>
      </w:r>
      <w:r w:rsidR="00BE1B49" w:rsidRPr="00D24493">
        <w:rPr>
          <w:rFonts w:cs="Helvetica"/>
          <w:szCs w:val="20"/>
          <w:lang w:bidi="en-US"/>
        </w:rPr>
        <w:t>m</w:t>
      </w:r>
      <w:r w:rsidR="008826D8" w:rsidRPr="00D24493">
        <w:rPr>
          <w:rFonts w:cs="Helvetica"/>
          <w:szCs w:val="20"/>
          <w:lang w:bidi="en-US"/>
        </w:rPr>
        <w:t xml:space="preserve">a </w:t>
      </w:r>
      <w:r w:rsidRPr="00D24493">
        <w:rPr>
          <w:rFonts w:cs="Helvetica"/>
          <w:szCs w:val="20"/>
          <w:lang w:bidi="en-US"/>
        </w:rPr>
        <w:t>producto</w:t>
      </w:r>
      <w:r w:rsidR="002224EA" w:rsidRPr="00D24493">
        <w:rPr>
          <w:rFonts w:cs="Helvetica"/>
          <w:szCs w:val="20"/>
          <w:lang w:bidi="en-US"/>
        </w:rPr>
        <w:t xml:space="preserve">, </w:t>
      </w:r>
      <w:r w:rsidR="00FE061F" w:rsidRPr="00D24493">
        <w:rPr>
          <w:rFonts w:cs="Helvetica"/>
          <w:szCs w:val="20"/>
          <w:lang w:bidi="en-US"/>
        </w:rPr>
        <w:t>presun</w:t>
      </w:r>
      <w:r w:rsidR="002224EA" w:rsidRPr="00D24493">
        <w:rPr>
          <w:rFonts w:cs="Helvetica"/>
          <w:szCs w:val="20"/>
          <w:lang w:bidi="en-US"/>
        </w:rPr>
        <w:t>tamente,</w:t>
      </w:r>
      <w:r w:rsidRPr="00D24493">
        <w:rPr>
          <w:rFonts w:cs="Helvetica"/>
          <w:szCs w:val="20"/>
          <w:lang w:bidi="en-US"/>
        </w:rPr>
        <w:t xml:space="preserve"> del hacinamiento, </w:t>
      </w:r>
      <w:proofErr w:type="gramStart"/>
      <w:r w:rsidRPr="00D24493">
        <w:rPr>
          <w:rFonts w:cs="Helvetica"/>
          <w:szCs w:val="20"/>
          <w:lang w:bidi="en-US"/>
        </w:rPr>
        <w:t xml:space="preserve">falta de </w:t>
      </w:r>
      <w:r w:rsidR="002224EA" w:rsidRPr="00D24493">
        <w:rPr>
          <w:rFonts w:cs="Helvetica"/>
          <w:szCs w:val="20"/>
          <w:lang w:bidi="en-US"/>
        </w:rPr>
        <w:t xml:space="preserve">atención médica, </w:t>
      </w:r>
      <w:r w:rsidRPr="00D24493">
        <w:rPr>
          <w:rFonts w:cs="Helvetica"/>
          <w:szCs w:val="20"/>
          <w:lang w:bidi="en-US"/>
        </w:rPr>
        <w:t xml:space="preserve">alimentos </w:t>
      </w:r>
      <w:r w:rsidR="002224EA" w:rsidRPr="00D24493">
        <w:rPr>
          <w:rFonts w:cs="Helvetica"/>
          <w:szCs w:val="20"/>
          <w:lang w:bidi="en-US"/>
        </w:rPr>
        <w:t xml:space="preserve">y </w:t>
      </w:r>
      <w:r w:rsidRPr="00D24493">
        <w:rPr>
          <w:rFonts w:cs="Helvetica"/>
          <w:szCs w:val="20"/>
          <w:lang w:bidi="en-US"/>
        </w:rPr>
        <w:t>agua</w:t>
      </w:r>
      <w:r w:rsidR="00FE061F" w:rsidRPr="00D24493">
        <w:rPr>
          <w:rFonts w:cs="Helvetica"/>
          <w:szCs w:val="20"/>
          <w:lang w:bidi="en-US"/>
        </w:rPr>
        <w:t>, y supuestas torturas policiales</w:t>
      </w:r>
      <w:r w:rsidR="00974079" w:rsidRPr="00D24493">
        <w:rPr>
          <w:rFonts w:cs="Helvetica"/>
          <w:szCs w:val="20"/>
          <w:lang w:bidi="en-US"/>
        </w:rPr>
        <w:t xml:space="preserve"> y </w:t>
      </w:r>
      <w:r w:rsidRPr="00D24493">
        <w:rPr>
          <w:rFonts w:cs="Helvetica"/>
          <w:szCs w:val="20"/>
          <w:lang w:bidi="en-US"/>
        </w:rPr>
        <w:t xml:space="preserve">peligro a </w:t>
      </w:r>
      <w:r w:rsidR="006F78D8" w:rsidRPr="00D24493">
        <w:rPr>
          <w:rFonts w:cs="Helvetica"/>
          <w:szCs w:val="20"/>
          <w:lang w:bidi="en-US"/>
        </w:rPr>
        <w:t>l</w:t>
      </w:r>
      <w:r w:rsidRPr="00D24493">
        <w:rPr>
          <w:rFonts w:cs="Helvetica"/>
          <w:szCs w:val="20"/>
          <w:lang w:bidi="en-US"/>
        </w:rPr>
        <w:t>a integridad física</w:t>
      </w:r>
      <w:r w:rsidR="00FE061F" w:rsidRPr="00D24493">
        <w:rPr>
          <w:rFonts w:cs="Helvetica"/>
          <w:szCs w:val="20"/>
          <w:lang w:bidi="en-US"/>
        </w:rPr>
        <w:t xml:space="preserve"> alegadas</w:t>
      </w:r>
      <w:proofErr w:type="gramEnd"/>
      <w:r w:rsidR="00FE061F" w:rsidRPr="00D24493">
        <w:rPr>
          <w:rFonts w:cs="Helvetica"/>
          <w:szCs w:val="20"/>
          <w:lang w:bidi="en-US"/>
        </w:rPr>
        <w:t xml:space="preserve"> en el caso</w:t>
      </w:r>
      <w:r w:rsidRPr="00D24493">
        <w:rPr>
          <w:rFonts w:cs="Helvetica"/>
          <w:szCs w:val="20"/>
          <w:lang w:bidi="en-US"/>
        </w:rPr>
        <w:t>.</w:t>
      </w:r>
    </w:p>
    <w:p w:rsidR="006F78D8" w:rsidRPr="006F390E" w:rsidRDefault="006F78D8" w:rsidP="00E23F4A">
      <w:pPr>
        <w:rPr>
          <w:rFonts w:cs="Helvetica"/>
          <w:i/>
          <w:szCs w:val="20"/>
          <w:lang w:bidi="en-US"/>
        </w:rPr>
      </w:pPr>
    </w:p>
    <w:p w:rsidR="00F962D6" w:rsidRPr="006F390E" w:rsidRDefault="00F962D6" w:rsidP="00E23F4A">
      <w:pPr>
        <w:pStyle w:val="ListParagraph"/>
        <w:numPr>
          <w:ilvl w:val="2"/>
          <w:numId w:val="37"/>
        </w:numPr>
        <w:ind w:left="900"/>
        <w:rPr>
          <w:rFonts w:cs="Helvetica"/>
          <w:i/>
          <w:szCs w:val="20"/>
          <w:lang w:bidi="en-US"/>
        </w:rPr>
      </w:pPr>
      <w:r w:rsidRPr="006F390E">
        <w:rPr>
          <w:rFonts w:cs="Helvetica"/>
          <w:i/>
          <w:szCs w:val="20"/>
          <w:lang w:bidi="en-US"/>
        </w:rPr>
        <w:t>Rosaura Chinchilla Calderón</w:t>
      </w:r>
      <w:r w:rsidRPr="006F390E">
        <w:rPr>
          <w:rFonts w:cs="Helvetica"/>
          <w:szCs w:val="20"/>
          <w:lang w:bidi="en-US"/>
        </w:rPr>
        <w:t>, quien declarará sobre: los argumentos dados por quienes propiciaron los cambios en materia de impugnación en el proceso penal, propiamente con respecto a la ley de apertura de la casación penal y la creación del recurso de apelación en las reuniones en las cuales estuvo presente con representantes y magistrados de la Corte Suprema. Igualmente</w:t>
      </w:r>
      <w:r w:rsidR="007E638E" w:rsidRPr="006F390E">
        <w:rPr>
          <w:rFonts w:cs="Helvetica"/>
          <w:szCs w:val="20"/>
          <w:lang w:bidi="en-US"/>
        </w:rPr>
        <w:t xml:space="preserve">, declarará sobre </w:t>
      </w:r>
      <w:r w:rsidRPr="006F390E">
        <w:rPr>
          <w:rFonts w:cs="Helvetica"/>
          <w:szCs w:val="20"/>
          <w:lang w:bidi="en-US"/>
        </w:rPr>
        <w:t xml:space="preserve"> su participación directa como jueza y su experiencia en la comisión legislativa de asuntos jurídicos y su participación en preguntas y respuestas en sesiones de esta comisión, todo esto en el proceso de reforma de la ley de impugnación.</w:t>
      </w:r>
    </w:p>
    <w:p w:rsidR="006F78D8" w:rsidRPr="006F390E" w:rsidRDefault="006F78D8" w:rsidP="00E23F4A">
      <w:pPr>
        <w:pStyle w:val="ListParagraph"/>
        <w:ind w:left="900"/>
        <w:rPr>
          <w:rFonts w:cs="Helvetica"/>
          <w:i/>
          <w:szCs w:val="20"/>
          <w:lang w:bidi="en-US"/>
        </w:rPr>
      </w:pPr>
    </w:p>
    <w:p w:rsidR="00F962D6" w:rsidRPr="006F390E" w:rsidRDefault="00F962D6" w:rsidP="00E23F4A">
      <w:pPr>
        <w:pStyle w:val="ListParagraph"/>
        <w:numPr>
          <w:ilvl w:val="2"/>
          <w:numId w:val="37"/>
        </w:numPr>
        <w:ind w:left="900"/>
        <w:rPr>
          <w:rFonts w:cs="Helvetica"/>
          <w:i/>
          <w:szCs w:val="20"/>
          <w:lang w:bidi="en-US"/>
        </w:rPr>
      </w:pPr>
      <w:r w:rsidRPr="006F390E">
        <w:rPr>
          <w:i/>
        </w:rPr>
        <w:t xml:space="preserve">Eric Alfredo Chirino Sanchez, </w:t>
      </w:r>
      <w:r w:rsidRPr="006F390E">
        <w:t>quien declarará sobre: las sentencias penales orales que fueron sometidas a su conocimiento mediante recursos de casación y apelación</w:t>
      </w:r>
      <w:r w:rsidR="00307ED6" w:rsidRPr="006F390E">
        <w:t xml:space="preserve">, </w:t>
      </w:r>
      <w:r w:rsidRPr="006F390E">
        <w:t>los casos que estuvieron bajo su conocimiento en su función jurisdiccional</w:t>
      </w:r>
      <w:r w:rsidR="00307ED6" w:rsidRPr="006F390E">
        <w:t xml:space="preserve"> y</w:t>
      </w:r>
      <w:r w:rsidRPr="006F390E">
        <w:t xml:space="preserve"> los formalismos jurisprudenciales y normativos con respecto a las políticas y jurisprudencia en el tema de admisibilidad por parte de la Sala III en materia de recurso de casación y del procedimiento de revisión.</w:t>
      </w:r>
    </w:p>
    <w:p w:rsidR="006F78D8" w:rsidRPr="006F390E" w:rsidRDefault="006F78D8" w:rsidP="00E23F4A">
      <w:pPr>
        <w:rPr>
          <w:rFonts w:cs="Helvetica"/>
          <w:i/>
          <w:szCs w:val="20"/>
          <w:lang w:bidi="en-US"/>
        </w:rPr>
      </w:pPr>
    </w:p>
    <w:p w:rsidR="00F962D6" w:rsidRPr="006F390E" w:rsidRDefault="00F962D6" w:rsidP="00E23F4A">
      <w:pPr>
        <w:pStyle w:val="ListParagraph"/>
        <w:numPr>
          <w:ilvl w:val="2"/>
          <w:numId w:val="37"/>
        </w:numPr>
        <w:ind w:left="900" w:hanging="450"/>
        <w:rPr>
          <w:rFonts w:cs="Helvetica"/>
          <w:i/>
          <w:szCs w:val="20"/>
          <w:lang w:bidi="en-US"/>
        </w:rPr>
      </w:pPr>
      <w:r w:rsidRPr="006F390E">
        <w:rPr>
          <w:rFonts w:cs="Helvetica"/>
          <w:i/>
          <w:szCs w:val="20"/>
          <w:lang w:bidi="en-US"/>
        </w:rPr>
        <w:t xml:space="preserve">Roy Murillo  Rodríguez, </w:t>
      </w:r>
      <w:r w:rsidRPr="006F390E">
        <w:rPr>
          <w:rFonts w:cs="Helvetica"/>
          <w:szCs w:val="20"/>
          <w:lang w:bidi="en-US"/>
        </w:rPr>
        <w:t>quien declar</w:t>
      </w:r>
      <w:r w:rsidR="00307ED6" w:rsidRPr="006F390E">
        <w:rPr>
          <w:rFonts w:cs="Helvetica"/>
          <w:szCs w:val="20"/>
          <w:lang w:bidi="en-US"/>
        </w:rPr>
        <w:t>ar</w:t>
      </w:r>
      <w:r w:rsidRPr="006F390E">
        <w:rPr>
          <w:rFonts w:cs="Helvetica"/>
          <w:szCs w:val="20"/>
          <w:lang w:bidi="en-US"/>
        </w:rPr>
        <w:t xml:space="preserve">á sobre: casos particulares con relación a su función de juez de ejecución de la pena al tema de hacinamiento carcelario; las </w:t>
      </w:r>
      <w:r w:rsidR="00307ED6" w:rsidRPr="006F390E">
        <w:rPr>
          <w:rFonts w:cs="Helvetica"/>
          <w:szCs w:val="20"/>
          <w:lang w:bidi="en-US"/>
        </w:rPr>
        <w:t>ó</w:t>
      </w:r>
      <w:r w:rsidRPr="006F390E">
        <w:rPr>
          <w:rFonts w:cs="Helvetica"/>
          <w:szCs w:val="20"/>
          <w:lang w:bidi="en-US"/>
        </w:rPr>
        <w:t>rdenes que ha generado para efectos de lograr bajar los índices de sobrepoblación carcelaria</w:t>
      </w:r>
      <w:r w:rsidR="00307ED6" w:rsidRPr="006F390E">
        <w:rPr>
          <w:rFonts w:cs="Helvetica"/>
          <w:szCs w:val="20"/>
          <w:lang w:bidi="en-US"/>
        </w:rPr>
        <w:t>,</w:t>
      </w:r>
      <w:r w:rsidRPr="006F390E">
        <w:rPr>
          <w:rFonts w:cs="Helvetica"/>
          <w:szCs w:val="20"/>
          <w:lang w:bidi="en-US"/>
        </w:rPr>
        <w:t xml:space="preserve"> y el estado actual de dicha problemática desde su conocimiento personal y con relación a los autos.</w:t>
      </w:r>
    </w:p>
    <w:p w:rsidR="006F78D8" w:rsidRPr="006F390E" w:rsidRDefault="006F78D8" w:rsidP="00E23F4A">
      <w:pPr>
        <w:rPr>
          <w:rFonts w:cs="Helvetica"/>
          <w:i/>
          <w:szCs w:val="20"/>
          <w:lang w:bidi="en-US"/>
        </w:rPr>
      </w:pPr>
    </w:p>
    <w:p w:rsidR="00412B89" w:rsidRPr="006F390E" w:rsidRDefault="00412B89" w:rsidP="00E23F4A">
      <w:pPr>
        <w:pStyle w:val="ListParagraph"/>
        <w:numPr>
          <w:ilvl w:val="2"/>
          <w:numId w:val="37"/>
        </w:numPr>
        <w:ind w:left="900"/>
        <w:rPr>
          <w:rFonts w:cs="Helvetica"/>
          <w:i/>
          <w:szCs w:val="20"/>
          <w:lang w:bidi="en-US"/>
        </w:rPr>
      </w:pPr>
      <w:r w:rsidRPr="006F390E">
        <w:rPr>
          <w:rFonts w:cs="Helvetica"/>
          <w:i/>
          <w:szCs w:val="20"/>
          <w:lang w:bidi="en-US"/>
        </w:rPr>
        <w:t>Marta Iris Muñoz Cascante</w:t>
      </w:r>
      <w:r w:rsidRPr="006F390E">
        <w:rPr>
          <w:rFonts w:cs="Helvetica"/>
          <w:szCs w:val="20"/>
          <w:lang w:bidi="en-US"/>
        </w:rPr>
        <w:t>, quien declarará sobre: las visitas de monitoreo de La Defensa Publica a</w:t>
      </w:r>
      <w:r w:rsidR="002927B7" w:rsidRPr="006F390E">
        <w:rPr>
          <w:rFonts w:cs="Helvetica"/>
          <w:szCs w:val="20"/>
          <w:lang w:bidi="en-US"/>
        </w:rPr>
        <w:t>l CAI</w:t>
      </w:r>
      <w:r w:rsidRPr="006F390E">
        <w:rPr>
          <w:rFonts w:cs="Helvetica"/>
          <w:szCs w:val="20"/>
          <w:lang w:bidi="en-US"/>
        </w:rPr>
        <w:t xml:space="preserve"> La </w:t>
      </w:r>
      <w:r w:rsidR="002927B7" w:rsidRPr="006F390E">
        <w:rPr>
          <w:rFonts w:cs="Helvetica"/>
          <w:szCs w:val="20"/>
          <w:lang w:bidi="en-US"/>
        </w:rPr>
        <w:t>R</w:t>
      </w:r>
      <w:r w:rsidRPr="006F390E">
        <w:rPr>
          <w:rFonts w:cs="Helvetica"/>
          <w:szCs w:val="20"/>
          <w:lang w:bidi="en-US"/>
        </w:rPr>
        <w:t>eforma</w:t>
      </w:r>
      <w:r w:rsidR="002927B7" w:rsidRPr="006F390E">
        <w:rPr>
          <w:rFonts w:cs="Helvetica"/>
          <w:szCs w:val="20"/>
          <w:lang w:bidi="en-US"/>
        </w:rPr>
        <w:t>, e</w:t>
      </w:r>
      <w:r w:rsidRPr="006F390E">
        <w:rPr>
          <w:rFonts w:cs="Helvetica"/>
          <w:szCs w:val="20"/>
          <w:lang w:bidi="en-US"/>
        </w:rPr>
        <w:t>l estado de las instalaciones</w:t>
      </w:r>
      <w:r w:rsidR="002927B7" w:rsidRPr="006F390E">
        <w:rPr>
          <w:rFonts w:cs="Helvetica"/>
          <w:szCs w:val="20"/>
          <w:lang w:bidi="en-US"/>
        </w:rPr>
        <w:t>,</w:t>
      </w:r>
      <w:r w:rsidRPr="006F390E">
        <w:rPr>
          <w:rFonts w:cs="Helvetica"/>
          <w:szCs w:val="20"/>
          <w:lang w:bidi="en-US"/>
        </w:rPr>
        <w:t xml:space="preserve"> las declaraciones de los privados de libertad</w:t>
      </w:r>
      <w:r w:rsidR="002927B7" w:rsidRPr="006F390E">
        <w:rPr>
          <w:rFonts w:cs="Helvetica"/>
          <w:szCs w:val="20"/>
          <w:lang w:bidi="en-US"/>
        </w:rPr>
        <w:t xml:space="preserve"> y el alegado hacinamiento en dicho centro penitenciario.</w:t>
      </w:r>
    </w:p>
    <w:p w:rsidR="005E403B" w:rsidRPr="006F390E" w:rsidRDefault="005E403B" w:rsidP="00E23F4A">
      <w:pPr>
        <w:pStyle w:val="ListParagraph"/>
        <w:rPr>
          <w:rFonts w:cs="Helvetica"/>
          <w:szCs w:val="20"/>
          <w:lang w:val="es-CL" w:bidi="en-US"/>
        </w:rPr>
      </w:pPr>
    </w:p>
    <w:p w:rsidR="00E61D3D" w:rsidRPr="006F390E" w:rsidRDefault="00E61D3D" w:rsidP="00E23F4A">
      <w:pPr>
        <w:rPr>
          <w:rFonts w:cs="Helvetica"/>
          <w:szCs w:val="20"/>
          <w:u w:val="single"/>
          <w:lang w:bidi="en-US"/>
        </w:rPr>
      </w:pPr>
      <w:r w:rsidRPr="006F390E">
        <w:rPr>
          <w:rFonts w:cs="Helvetica"/>
          <w:szCs w:val="20"/>
          <w:u w:val="single"/>
          <w:lang w:bidi="en-US"/>
        </w:rPr>
        <w:t>Propuest</w:t>
      </w:r>
      <w:r w:rsidR="00C43319" w:rsidRPr="006F390E">
        <w:rPr>
          <w:rFonts w:cs="Helvetica"/>
          <w:szCs w:val="20"/>
          <w:u w:val="single"/>
          <w:lang w:bidi="en-US"/>
        </w:rPr>
        <w:t>a</w:t>
      </w:r>
      <w:r w:rsidRPr="006F390E">
        <w:rPr>
          <w:rFonts w:cs="Helvetica"/>
          <w:szCs w:val="20"/>
          <w:u w:val="single"/>
          <w:lang w:bidi="en-US"/>
        </w:rPr>
        <w:t xml:space="preserve"> por el Estado</w:t>
      </w:r>
    </w:p>
    <w:p w:rsidR="00E61D3D" w:rsidRPr="006F390E" w:rsidRDefault="00E61D3D" w:rsidP="00E23F4A">
      <w:pPr>
        <w:rPr>
          <w:rFonts w:cs="Helvetica"/>
          <w:szCs w:val="20"/>
          <w:lang w:bidi="en-US"/>
        </w:rPr>
      </w:pPr>
    </w:p>
    <w:p w:rsidR="00E61D3D" w:rsidRPr="006F390E" w:rsidRDefault="00E61D3D" w:rsidP="00E23F4A">
      <w:pPr>
        <w:pStyle w:val="ListParagraph"/>
        <w:numPr>
          <w:ilvl w:val="2"/>
          <w:numId w:val="37"/>
        </w:numPr>
        <w:ind w:left="900"/>
        <w:rPr>
          <w:rFonts w:cs="Cambria"/>
          <w:lang w:eastAsia="en-US"/>
        </w:rPr>
      </w:pPr>
      <w:proofErr w:type="spellStart"/>
      <w:r w:rsidRPr="006F390E">
        <w:rPr>
          <w:rFonts w:cs="Helvetica"/>
          <w:i/>
          <w:szCs w:val="20"/>
          <w:lang w:bidi="en-US"/>
        </w:rPr>
        <w:t>Tricia</w:t>
      </w:r>
      <w:proofErr w:type="spellEnd"/>
      <w:r w:rsidRPr="006F390E">
        <w:rPr>
          <w:rFonts w:cs="Helvetica"/>
          <w:i/>
          <w:szCs w:val="20"/>
          <w:lang w:bidi="en-US"/>
        </w:rPr>
        <w:t xml:space="preserve"> Castillo </w:t>
      </w:r>
      <w:proofErr w:type="spellStart"/>
      <w:r w:rsidRPr="006F390E">
        <w:rPr>
          <w:rFonts w:cs="Helvetica"/>
          <w:i/>
          <w:szCs w:val="20"/>
          <w:lang w:bidi="en-US"/>
        </w:rPr>
        <w:t>Vetrano</w:t>
      </w:r>
      <w:proofErr w:type="spellEnd"/>
      <w:r w:rsidR="00854A57" w:rsidRPr="006F390E">
        <w:rPr>
          <w:rFonts w:cs="Cambria"/>
          <w:lang w:eastAsia="en-US"/>
        </w:rPr>
        <w:t>,</w:t>
      </w:r>
      <w:r w:rsidRPr="006F390E">
        <w:rPr>
          <w:rFonts w:cs="Cambria"/>
          <w:lang w:eastAsia="en-US"/>
        </w:rPr>
        <w:t xml:space="preserve"> quien declarará sobre: las condiciones penitenciarias en el CAI La Reforma, en relación con l</w:t>
      </w:r>
      <w:r w:rsidR="00AB2674">
        <w:rPr>
          <w:rFonts w:cs="Cambria"/>
          <w:lang w:eastAsia="en-US"/>
        </w:rPr>
        <w:t xml:space="preserve">os </w:t>
      </w:r>
      <w:r w:rsidR="00AB2674">
        <w:t>peticionarios</w:t>
      </w:r>
      <w:r w:rsidRPr="006F390E">
        <w:rPr>
          <w:rFonts w:cs="Cambria"/>
          <w:lang w:eastAsia="en-US"/>
        </w:rPr>
        <w:t>, y según corresponda a sus situaciones particulares.</w:t>
      </w:r>
    </w:p>
    <w:p w:rsidR="00031533" w:rsidRPr="006F390E" w:rsidRDefault="00031533" w:rsidP="00E23F4A">
      <w:pPr>
        <w:ind w:left="540"/>
        <w:rPr>
          <w:rFonts w:cs="Cambria"/>
          <w:lang w:eastAsia="en-US"/>
        </w:rPr>
      </w:pPr>
    </w:p>
    <w:p w:rsidR="00C43319" w:rsidRPr="006F390E" w:rsidRDefault="00C43319" w:rsidP="00E23F4A">
      <w:pPr>
        <w:pStyle w:val="Listavistosa-nfasis11"/>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cs="ArialMT"/>
          <w:b/>
          <w:i/>
          <w:iCs/>
          <w:szCs w:val="20"/>
          <w:u w:val="single"/>
          <w:lang w:bidi="en-US"/>
        </w:rPr>
      </w:pPr>
      <w:r w:rsidRPr="006F390E">
        <w:rPr>
          <w:rFonts w:cs="ArialMT"/>
          <w:b/>
          <w:i/>
          <w:iCs/>
          <w:szCs w:val="20"/>
          <w:u w:val="single"/>
          <w:lang w:bidi="en-US"/>
        </w:rPr>
        <w:t>Declarantes a título informativo</w:t>
      </w:r>
    </w:p>
    <w:p w:rsidR="00C43319" w:rsidRPr="006F390E" w:rsidRDefault="00C43319" w:rsidP="00E23F4A">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cs="ArialMT"/>
          <w:b/>
          <w:i/>
          <w:iCs/>
          <w:szCs w:val="20"/>
          <w:u w:val="single"/>
          <w:lang w:bidi="en-US"/>
        </w:rPr>
      </w:pPr>
    </w:p>
    <w:p w:rsidR="00C43319" w:rsidRPr="006F390E" w:rsidRDefault="00C43319" w:rsidP="00E23F4A">
      <w:pPr>
        <w:rPr>
          <w:rFonts w:cs="Helvetica"/>
          <w:szCs w:val="20"/>
          <w:u w:val="single"/>
          <w:lang w:bidi="en-US"/>
        </w:rPr>
      </w:pPr>
      <w:r w:rsidRPr="006F390E">
        <w:rPr>
          <w:rFonts w:cs="Helvetica"/>
          <w:szCs w:val="20"/>
          <w:u w:val="single"/>
          <w:lang w:bidi="en-US"/>
        </w:rPr>
        <w:t>Propuestos por el Estado</w:t>
      </w:r>
    </w:p>
    <w:p w:rsidR="00C43319" w:rsidRPr="006F390E" w:rsidRDefault="00C43319" w:rsidP="00E23F4A">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cs="ArialMT"/>
          <w:b/>
          <w:i/>
          <w:iCs/>
          <w:szCs w:val="20"/>
          <w:u w:val="single"/>
          <w:lang w:bidi="en-US"/>
        </w:rPr>
      </w:pPr>
    </w:p>
    <w:p w:rsidR="00E61D3D" w:rsidRPr="006F390E" w:rsidRDefault="00E61D3D" w:rsidP="00E23F4A">
      <w:pPr>
        <w:pStyle w:val="ListParagraph"/>
        <w:numPr>
          <w:ilvl w:val="2"/>
          <w:numId w:val="74"/>
        </w:numPr>
        <w:autoSpaceDE w:val="0"/>
        <w:autoSpaceDN w:val="0"/>
        <w:adjustRightInd w:val="0"/>
        <w:rPr>
          <w:rFonts w:cs="Cambria"/>
          <w:lang w:eastAsia="en-US"/>
        </w:rPr>
      </w:pPr>
      <w:r w:rsidRPr="006F390E">
        <w:rPr>
          <w:rFonts w:cs="Cambria"/>
          <w:i/>
          <w:lang w:eastAsia="en-US"/>
        </w:rPr>
        <w:t xml:space="preserve">Daniel González </w:t>
      </w:r>
      <w:r w:rsidR="009C6273" w:rsidRPr="006F390E">
        <w:rPr>
          <w:rFonts w:cs="Cambria"/>
          <w:i/>
          <w:lang w:eastAsia="en-US"/>
        </w:rPr>
        <w:t>Álvarez</w:t>
      </w:r>
      <w:r w:rsidRPr="006F390E">
        <w:rPr>
          <w:rFonts w:cs="Cambria"/>
          <w:lang w:eastAsia="en-US"/>
        </w:rPr>
        <w:t>,</w:t>
      </w:r>
      <w:r w:rsidR="00854A57" w:rsidRPr="006F390E">
        <w:rPr>
          <w:rFonts w:cs="Cambria"/>
          <w:lang w:eastAsia="en-US"/>
        </w:rPr>
        <w:t xml:space="preserve"> ex Magistrado de la Sala Tercera Penal de la Corte Suprema de Justicia,</w:t>
      </w:r>
      <w:r w:rsidRPr="006F390E">
        <w:rPr>
          <w:rFonts w:cs="Cambria"/>
          <w:lang w:eastAsia="en-US"/>
        </w:rPr>
        <w:t xml:space="preserve"> quien declarará sobre: </w:t>
      </w:r>
      <w:r w:rsidR="00854A57" w:rsidRPr="006F390E">
        <w:rPr>
          <w:rFonts w:cs="Cambria"/>
          <w:lang w:eastAsia="en-US"/>
        </w:rPr>
        <w:t xml:space="preserve">la </w:t>
      </w:r>
      <w:r w:rsidRPr="006F390E">
        <w:rPr>
          <w:rFonts w:cs="Cambria"/>
          <w:lang w:eastAsia="en-US"/>
        </w:rPr>
        <w:t xml:space="preserve">situación del </w:t>
      </w:r>
      <w:r w:rsidR="00854A57" w:rsidRPr="006F390E">
        <w:rPr>
          <w:rFonts w:cs="Cambria"/>
          <w:lang w:eastAsia="en-US"/>
        </w:rPr>
        <w:t>s</w:t>
      </w:r>
      <w:r w:rsidRPr="006F390E">
        <w:rPr>
          <w:rFonts w:cs="Cambria"/>
          <w:lang w:eastAsia="en-US"/>
        </w:rPr>
        <w:t xml:space="preserve">istema de </w:t>
      </w:r>
      <w:r w:rsidR="00854A57" w:rsidRPr="006F390E">
        <w:rPr>
          <w:rFonts w:cs="Cambria"/>
          <w:lang w:eastAsia="en-US"/>
        </w:rPr>
        <w:t>i</w:t>
      </w:r>
      <w:r w:rsidRPr="006F390E">
        <w:rPr>
          <w:rFonts w:cs="Cambria"/>
          <w:lang w:eastAsia="en-US"/>
        </w:rPr>
        <w:t xml:space="preserve">mpugnación </w:t>
      </w:r>
      <w:r w:rsidR="00854A57" w:rsidRPr="006F390E">
        <w:rPr>
          <w:rFonts w:cs="Cambria"/>
          <w:lang w:eastAsia="en-US"/>
        </w:rPr>
        <w:t>p</w:t>
      </w:r>
      <w:r w:rsidRPr="006F390E">
        <w:rPr>
          <w:rFonts w:cs="Cambria"/>
          <w:lang w:eastAsia="en-US"/>
        </w:rPr>
        <w:t>enal costarricense y su evolución en relación con otros sistemas penales en la región.</w:t>
      </w:r>
    </w:p>
    <w:p w:rsidR="00E61D3D" w:rsidRPr="006F390E" w:rsidRDefault="00E61D3D" w:rsidP="00E23F4A">
      <w:pPr>
        <w:pStyle w:val="ListParagraph"/>
        <w:numPr>
          <w:ilvl w:val="2"/>
          <w:numId w:val="74"/>
        </w:numPr>
        <w:autoSpaceDE w:val="0"/>
        <w:autoSpaceDN w:val="0"/>
        <w:adjustRightInd w:val="0"/>
        <w:rPr>
          <w:rFonts w:cs="Cambria"/>
          <w:lang w:eastAsia="en-US"/>
        </w:rPr>
      </w:pPr>
      <w:r w:rsidRPr="006F390E">
        <w:rPr>
          <w:rFonts w:cs="Cambria"/>
          <w:i/>
          <w:lang w:eastAsia="en-US"/>
        </w:rPr>
        <w:t>Edwin Jiménez González</w:t>
      </w:r>
      <w:r w:rsidRPr="006F390E">
        <w:rPr>
          <w:rFonts w:cs="Cambria"/>
          <w:lang w:eastAsia="en-US"/>
        </w:rPr>
        <w:t xml:space="preserve">, </w:t>
      </w:r>
      <w:r w:rsidR="00854A57" w:rsidRPr="006F390E">
        <w:rPr>
          <w:rFonts w:cs="Cambria"/>
          <w:lang w:eastAsia="en-US"/>
        </w:rPr>
        <w:t xml:space="preserve">Juez del Tribunal de Apelación de Sentencia Penal del Segundo Circuito Judicial de San José, </w:t>
      </w:r>
      <w:r w:rsidRPr="006F390E">
        <w:rPr>
          <w:rFonts w:cs="Cambria"/>
          <w:lang w:eastAsia="en-US"/>
        </w:rPr>
        <w:t>quien declarará sobre: el marco histórico</w:t>
      </w:r>
      <w:r w:rsidR="00334F29">
        <w:rPr>
          <w:rFonts w:cs="Cambria"/>
          <w:lang w:eastAsia="en-US"/>
        </w:rPr>
        <w:t>,</w:t>
      </w:r>
      <w:r w:rsidRPr="006F390E">
        <w:rPr>
          <w:rFonts w:cs="Cambria"/>
          <w:lang w:eastAsia="en-US"/>
        </w:rPr>
        <w:t xml:space="preserve"> normativo y jurisprudencial del sistema de impugnación penal costarricense, en particular en cuanto a la tutela del derecho a recurrir el fallo en materia penal.</w:t>
      </w:r>
    </w:p>
    <w:p w:rsidR="00E61D3D" w:rsidRPr="006F390E" w:rsidRDefault="00E61D3D" w:rsidP="00E23F4A">
      <w:pPr>
        <w:pStyle w:val="ListParagraph"/>
        <w:numPr>
          <w:ilvl w:val="2"/>
          <w:numId w:val="74"/>
        </w:numPr>
        <w:autoSpaceDE w:val="0"/>
        <w:autoSpaceDN w:val="0"/>
        <w:adjustRightInd w:val="0"/>
        <w:rPr>
          <w:rFonts w:cs="Cambria"/>
          <w:lang w:eastAsia="en-US"/>
        </w:rPr>
      </w:pPr>
      <w:r w:rsidRPr="006F390E">
        <w:rPr>
          <w:rFonts w:cs="Cambria"/>
          <w:i/>
          <w:lang w:eastAsia="en-US"/>
        </w:rPr>
        <w:t>Elías Carranza</w:t>
      </w:r>
      <w:r w:rsidRPr="006F390E">
        <w:rPr>
          <w:rFonts w:cs="Cambria"/>
          <w:lang w:eastAsia="en-US"/>
        </w:rPr>
        <w:t xml:space="preserve">, </w:t>
      </w:r>
      <w:r w:rsidR="006D6D7E" w:rsidRPr="006F390E">
        <w:rPr>
          <w:rFonts w:cs="Cambria"/>
          <w:lang w:eastAsia="en-US"/>
        </w:rPr>
        <w:t xml:space="preserve">Director del Instituto Latinoamericano de las Naciones Unidas, </w:t>
      </w:r>
      <w:r w:rsidRPr="006F390E">
        <w:rPr>
          <w:rFonts w:cs="Cambria"/>
          <w:lang w:eastAsia="en-US"/>
        </w:rPr>
        <w:t>quien declarará sobre: el modelo penitenciario costarricense</w:t>
      </w:r>
      <w:r w:rsidR="00A25088" w:rsidRPr="006F390E">
        <w:rPr>
          <w:rFonts w:cs="Cambria"/>
          <w:lang w:eastAsia="en-US"/>
        </w:rPr>
        <w:t xml:space="preserve"> aplicado en el CAI La Reforma</w:t>
      </w:r>
      <w:r w:rsidRPr="006F390E">
        <w:rPr>
          <w:rFonts w:cs="Cambria"/>
          <w:lang w:eastAsia="en-US"/>
        </w:rPr>
        <w:t>.</w:t>
      </w:r>
    </w:p>
    <w:p w:rsidR="006B14A4" w:rsidRPr="006F390E" w:rsidRDefault="006B14A4" w:rsidP="00E23F4A">
      <w:pPr>
        <w:pStyle w:val="ListParagraph"/>
        <w:rPr>
          <w:rFonts w:cs="Helvetica"/>
          <w:szCs w:val="20"/>
          <w:lang w:bidi="en-US"/>
        </w:rPr>
      </w:pPr>
    </w:p>
    <w:p w:rsidR="000D7BE8" w:rsidRPr="006F390E" w:rsidRDefault="000D7BE8" w:rsidP="00E23F4A">
      <w:pPr>
        <w:pStyle w:val="Listavistosa-nfasis11"/>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cs="Verdana"/>
          <w:i/>
          <w:iCs/>
          <w:szCs w:val="20"/>
          <w:u w:val="single"/>
          <w:lang w:bidi="en-US"/>
        </w:rPr>
      </w:pPr>
      <w:r w:rsidRPr="006F390E">
        <w:rPr>
          <w:rFonts w:cs="ArialMT"/>
          <w:b/>
          <w:i/>
          <w:iCs/>
          <w:szCs w:val="20"/>
          <w:u w:val="single"/>
          <w:lang w:bidi="en-US"/>
        </w:rPr>
        <w:t>Peritos</w:t>
      </w:r>
      <w:r w:rsidRPr="006F390E">
        <w:rPr>
          <w:rFonts w:cs="Verdana"/>
          <w:i/>
          <w:iCs/>
          <w:szCs w:val="20"/>
          <w:u w:val="single"/>
          <w:lang w:bidi="en-US"/>
        </w:rPr>
        <w:t xml:space="preserve"> </w:t>
      </w:r>
    </w:p>
    <w:p w:rsidR="000D7BE8" w:rsidRPr="006F390E" w:rsidRDefault="000D7BE8" w:rsidP="00E23F4A">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Verdana"/>
          <w:i/>
          <w:iCs/>
          <w:szCs w:val="20"/>
          <w:lang w:bidi="en-US"/>
        </w:rPr>
      </w:pPr>
    </w:p>
    <w:p w:rsidR="00E61D3D" w:rsidRPr="006F390E" w:rsidRDefault="00E61D3D" w:rsidP="00E23F4A">
      <w:pPr>
        <w:pStyle w:val="Listavistosa-nfasis11"/>
        <w:widowControl w:val="0"/>
        <w:numPr>
          <w:ilvl w:val="0"/>
          <w:numId w:val="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iCs/>
          <w:szCs w:val="20"/>
          <w:lang w:val="es-CL" w:bidi="en-US"/>
        </w:rPr>
      </w:pPr>
      <w:r w:rsidRPr="006F390E">
        <w:rPr>
          <w:rFonts w:cs="Verdana"/>
          <w:iCs/>
          <w:szCs w:val="20"/>
          <w:lang w:val="es-CL" w:bidi="en-US"/>
        </w:rPr>
        <w:t>Propuestos por la Comisión</w:t>
      </w:r>
    </w:p>
    <w:p w:rsidR="00E61D3D" w:rsidRPr="006F390E" w:rsidRDefault="00E61D3D" w:rsidP="00E23F4A">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szCs w:val="20"/>
          <w:u w:val="single"/>
          <w:lang w:bidi="en-US"/>
        </w:rPr>
      </w:pPr>
    </w:p>
    <w:p w:rsidR="00E61D3D" w:rsidRPr="006F390E" w:rsidRDefault="00E61D3D" w:rsidP="00E23F4A">
      <w:pPr>
        <w:pStyle w:val="Listavistosa-nfasis11"/>
        <w:widowControl w:val="0"/>
        <w:numPr>
          <w:ilvl w:val="0"/>
          <w:numId w:val="57"/>
        </w:numPr>
        <w:tabs>
          <w:tab w:val="left" w:pos="560"/>
          <w:tab w:val="left" w:pos="810"/>
          <w:tab w:val="left" w:pos="10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270"/>
        <w:rPr>
          <w:rFonts w:cs="Helvetica"/>
          <w:szCs w:val="20"/>
          <w:lang w:bidi="en-US"/>
        </w:rPr>
      </w:pPr>
      <w:r w:rsidRPr="006F390E">
        <w:rPr>
          <w:rFonts w:cs="Helvetica"/>
          <w:i/>
          <w:szCs w:val="20"/>
          <w:lang w:bidi="en-US"/>
        </w:rPr>
        <w:t>Alberto Bovino</w:t>
      </w:r>
      <w:r w:rsidRPr="006F390E">
        <w:rPr>
          <w:rFonts w:cs="Helvetica"/>
          <w:szCs w:val="20"/>
          <w:lang w:bidi="en-US"/>
        </w:rPr>
        <w:t xml:space="preserve">, </w:t>
      </w:r>
      <w:r w:rsidR="00DD4D4C" w:rsidRPr="006F390E">
        <w:rPr>
          <w:rFonts w:cs="Helvetica"/>
          <w:szCs w:val="20"/>
          <w:lang w:bidi="en-US"/>
        </w:rPr>
        <w:t xml:space="preserve">abogado, </w:t>
      </w:r>
      <w:r w:rsidRPr="006F390E">
        <w:rPr>
          <w:rFonts w:cs="Helvetica"/>
          <w:szCs w:val="20"/>
          <w:lang w:bidi="en-US"/>
        </w:rPr>
        <w:t>quien declarará sobre: el alcance del derecho a recurrir el fallo a</w:t>
      </w:r>
      <w:r w:rsidRPr="00613B88">
        <w:rPr>
          <w:rFonts w:cs="Helvetica"/>
          <w:szCs w:val="20"/>
          <w:lang w:bidi="en-US"/>
        </w:rPr>
        <w:t xml:space="preserve"> </w:t>
      </w:r>
      <w:r w:rsidRPr="006F390E">
        <w:rPr>
          <w:rFonts w:cs="Helvetica"/>
          <w:szCs w:val="20"/>
          <w:lang w:bidi="en-US"/>
        </w:rPr>
        <w:t>la luz de los estándares internacionales sobre la materia</w:t>
      </w:r>
      <w:r w:rsidR="004A185B" w:rsidRPr="006F390E">
        <w:rPr>
          <w:rFonts w:cs="Helvetica"/>
          <w:szCs w:val="20"/>
          <w:lang w:bidi="en-US"/>
        </w:rPr>
        <w:t>. Lo anterior, haciendo especial referencia a estándares, precedentes y jurisprudencia de otros sistemas de derechos humanos, regionales y universales distintos al sistema interamericano, así como, de ser el caso, al derecho comparado nacional.</w:t>
      </w:r>
      <w:r w:rsidRPr="006F390E">
        <w:rPr>
          <w:rFonts w:cs="Helvetica"/>
          <w:szCs w:val="20"/>
          <w:lang w:bidi="en-US"/>
        </w:rPr>
        <w:t xml:space="preserve"> </w:t>
      </w:r>
      <w:r w:rsidR="004A185B" w:rsidRPr="006F390E">
        <w:rPr>
          <w:rFonts w:cs="Helvetica"/>
          <w:szCs w:val="20"/>
          <w:lang w:bidi="en-US"/>
        </w:rPr>
        <w:t>El perito ejemplificará los estándares desarrollados en el peritaje, analizando</w:t>
      </w:r>
      <w:r w:rsidRPr="006F390E">
        <w:rPr>
          <w:rFonts w:cs="Helvetica"/>
          <w:szCs w:val="20"/>
          <w:lang w:bidi="en-US"/>
        </w:rPr>
        <w:t xml:space="preserve"> la secuencia de modificaciones legislativas que tuvieron lugar en Costa Rica tras la sentencia de la Corte Interamericana en el caso </w:t>
      </w:r>
      <w:r w:rsidRPr="006F390E">
        <w:rPr>
          <w:rFonts w:cs="Helvetica"/>
          <w:i/>
          <w:szCs w:val="20"/>
          <w:lang w:bidi="en-US"/>
        </w:rPr>
        <w:t>Herrera Ulloa</w:t>
      </w:r>
      <w:r w:rsidRPr="006F390E">
        <w:rPr>
          <w:rFonts w:cs="Helvetica"/>
          <w:szCs w:val="20"/>
          <w:lang w:bidi="en-US"/>
        </w:rPr>
        <w:t xml:space="preserve"> respecto de dicho Estado, concentrándose en evaluar los mecanismos ofrecidos por dichas modificaciones legislativas a</w:t>
      </w:r>
      <w:r w:rsidR="004A185B" w:rsidRPr="006F390E">
        <w:rPr>
          <w:rFonts w:cs="Helvetica"/>
          <w:szCs w:val="20"/>
          <w:lang w:bidi="en-US"/>
        </w:rPr>
        <w:t xml:space="preserve"> </w:t>
      </w:r>
      <w:r w:rsidRPr="006F390E">
        <w:rPr>
          <w:rFonts w:cs="Helvetica"/>
          <w:szCs w:val="20"/>
          <w:lang w:bidi="en-US"/>
        </w:rPr>
        <w:t>l</w:t>
      </w:r>
      <w:r w:rsidR="004A185B" w:rsidRPr="006F390E">
        <w:rPr>
          <w:rFonts w:cs="Helvetica"/>
          <w:szCs w:val="20"/>
          <w:lang w:bidi="en-US"/>
        </w:rPr>
        <w:t>as</w:t>
      </w:r>
      <w:r w:rsidRPr="006F390E">
        <w:rPr>
          <w:rFonts w:cs="Helvetica"/>
          <w:szCs w:val="20"/>
          <w:lang w:bidi="en-US"/>
        </w:rPr>
        <w:t xml:space="preserve"> personas con condena</w:t>
      </w:r>
      <w:r w:rsidR="004A185B" w:rsidRPr="006F390E">
        <w:rPr>
          <w:rFonts w:cs="Helvetica"/>
          <w:szCs w:val="20"/>
          <w:lang w:bidi="en-US"/>
        </w:rPr>
        <w:t>s</w:t>
      </w:r>
      <w:r w:rsidRPr="006F390E">
        <w:rPr>
          <w:rFonts w:cs="Helvetica"/>
          <w:szCs w:val="20"/>
          <w:lang w:bidi="en-US"/>
        </w:rPr>
        <w:t xml:space="preserve"> en firme antes de su entrada en vigor. El perito podrá formular consideraciones relevantes para las </w:t>
      </w:r>
      <w:r w:rsidR="004A185B" w:rsidRPr="006F390E">
        <w:rPr>
          <w:rFonts w:cs="Helvetica"/>
          <w:szCs w:val="20"/>
          <w:lang w:bidi="en-US"/>
        </w:rPr>
        <w:t xml:space="preserve">eventuales </w:t>
      </w:r>
      <w:r w:rsidRPr="006F390E">
        <w:rPr>
          <w:rFonts w:cs="Helvetica"/>
          <w:szCs w:val="20"/>
          <w:lang w:bidi="en-US"/>
        </w:rPr>
        <w:t xml:space="preserve">reparaciones en el caso, en particular, respecto de posibles mecanismos idóneos para que </w:t>
      </w:r>
      <w:r w:rsidR="004A185B" w:rsidRPr="006F390E">
        <w:rPr>
          <w:rFonts w:cs="Helvetica"/>
          <w:szCs w:val="20"/>
          <w:lang w:bidi="en-US"/>
        </w:rPr>
        <w:t>las</w:t>
      </w:r>
      <w:r w:rsidRPr="006F390E">
        <w:rPr>
          <w:rFonts w:cs="Helvetica"/>
          <w:szCs w:val="20"/>
          <w:lang w:bidi="en-US"/>
        </w:rPr>
        <w:t xml:space="preserve"> personas en la misma situación de l</w:t>
      </w:r>
      <w:r w:rsidR="00AB2674">
        <w:rPr>
          <w:rFonts w:cs="Helvetica"/>
          <w:szCs w:val="20"/>
          <w:lang w:bidi="en-US"/>
        </w:rPr>
        <w:t>o</w:t>
      </w:r>
      <w:r w:rsidRPr="006F390E">
        <w:rPr>
          <w:rFonts w:cs="Helvetica"/>
          <w:szCs w:val="20"/>
          <w:lang w:bidi="en-US"/>
        </w:rPr>
        <w:t>s</w:t>
      </w:r>
      <w:r w:rsidR="00AB2674">
        <w:rPr>
          <w:rFonts w:cs="Helvetica"/>
          <w:szCs w:val="20"/>
          <w:lang w:bidi="en-US"/>
        </w:rPr>
        <w:t xml:space="preserve"> </w:t>
      </w:r>
      <w:r w:rsidR="00AB2674">
        <w:t>peticionarios</w:t>
      </w:r>
      <w:r w:rsidRPr="006F390E">
        <w:rPr>
          <w:rFonts w:cs="Helvetica"/>
          <w:szCs w:val="20"/>
          <w:lang w:bidi="en-US"/>
        </w:rPr>
        <w:t>, pueda</w:t>
      </w:r>
      <w:r w:rsidR="00885AD8" w:rsidRPr="006F390E">
        <w:rPr>
          <w:rFonts w:cs="Helvetica"/>
          <w:szCs w:val="20"/>
          <w:lang w:bidi="en-US"/>
        </w:rPr>
        <w:t>n</w:t>
      </w:r>
      <w:r w:rsidRPr="006F390E">
        <w:rPr>
          <w:rFonts w:cs="Helvetica"/>
          <w:szCs w:val="20"/>
          <w:lang w:bidi="en-US"/>
        </w:rPr>
        <w:t xml:space="preserve"> ejercer efectivamente el derecho recurso</w:t>
      </w:r>
      <w:r w:rsidR="004A185B" w:rsidRPr="006F390E">
        <w:rPr>
          <w:rFonts w:cs="Helvetica"/>
          <w:szCs w:val="20"/>
          <w:lang w:bidi="en-US"/>
        </w:rPr>
        <w:t>.</w:t>
      </w:r>
    </w:p>
    <w:p w:rsidR="00BC4F9E" w:rsidRPr="006F390E" w:rsidRDefault="00BC4F9E" w:rsidP="00E23F4A">
      <w:pPr>
        <w:pStyle w:val="Listavistosa-nfasis11"/>
        <w:widowControl w:val="0"/>
        <w:numPr>
          <w:ilvl w:val="0"/>
          <w:numId w:val="0"/>
        </w:numPr>
        <w:tabs>
          <w:tab w:val="left" w:pos="560"/>
          <w:tab w:val="left" w:pos="810"/>
          <w:tab w:val="left" w:pos="10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Helvetica"/>
          <w:szCs w:val="20"/>
          <w:lang w:bidi="en-US"/>
        </w:rPr>
      </w:pPr>
    </w:p>
    <w:p w:rsidR="00E61D3D" w:rsidRPr="006F390E" w:rsidRDefault="00E61D3D" w:rsidP="00E23F4A">
      <w:pPr>
        <w:pStyle w:val="Listavistosa-nfasis11"/>
        <w:widowControl w:val="0"/>
        <w:numPr>
          <w:ilvl w:val="0"/>
          <w:numId w:val="57"/>
        </w:numPr>
        <w:tabs>
          <w:tab w:val="left" w:pos="560"/>
          <w:tab w:val="left" w:pos="810"/>
          <w:tab w:val="left" w:pos="10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270"/>
        <w:rPr>
          <w:rFonts w:cs="Helvetica"/>
          <w:szCs w:val="20"/>
          <w:lang w:bidi="en-US"/>
        </w:rPr>
      </w:pPr>
      <w:r w:rsidRPr="006F390E">
        <w:rPr>
          <w:rFonts w:cs="Helvetica"/>
          <w:i/>
          <w:szCs w:val="20"/>
          <w:lang w:bidi="en-US"/>
        </w:rPr>
        <w:t xml:space="preserve">Juan Pablo </w:t>
      </w:r>
      <w:proofErr w:type="spellStart"/>
      <w:r w:rsidRPr="006F390E">
        <w:rPr>
          <w:rFonts w:cs="Helvetica"/>
          <w:i/>
          <w:szCs w:val="20"/>
          <w:lang w:bidi="en-US"/>
        </w:rPr>
        <w:t>Gomara</w:t>
      </w:r>
      <w:proofErr w:type="spellEnd"/>
      <w:r w:rsidRPr="006F390E">
        <w:rPr>
          <w:rFonts w:cs="Helvetica"/>
          <w:szCs w:val="20"/>
          <w:lang w:bidi="en-US"/>
        </w:rPr>
        <w:t xml:space="preserve">, </w:t>
      </w:r>
      <w:r w:rsidR="00DD4D4C" w:rsidRPr="006F390E">
        <w:rPr>
          <w:rFonts w:cs="Helvetica"/>
          <w:szCs w:val="20"/>
          <w:lang w:bidi="en-US"/>
        </w:rPr>
        <w:t xml:space="preserve">abogado, </w:t>
      </w:r>
      <w:r w:rsidRPr="006F390E">
        <w:rPr>
          <w:rFonts w:cs="Helvetica"/>
          <w:szCs w:val="20"/>
          <w:lang w:bidi="en-US"/>
        </w:rPr>
        <w:t>quien declarará sobre:</w:t>
      </w:r>
      <w:r w:rsidRPr="006F390E">
        <w:t xml:space="preserve"> </w:t>
      </w:r>
      <w:r w:rsidRPr="006F390E">
        <w:rPr>
          <w:rFonts w:cs="Helvetica"/>
          <w:szCs w:val="20"/>
          <w:lang w:bidi="en-US"/>
        </w:rPr>
        <w:t>los estándares aplicables a las condiciones de detención, en particular sobre las obligaciones internacionales en materia de acceso, uso y disponibilidad del agua de las personas privadas de libertad</w:t>
      </w:r>
      <w:r w:rsidR="00885AD8" w:rsidRPr="006F390E">
        <w:rPr>
          <w:rFonts w:cs="Helvetica"/>
          <w:szCs w:val="20"/>
          <w:lang w:bidi="en-US"/>
        </w:rPr>
        <w:t>.</w:t>
      </w:r>
    </w:p>
    <w:p w:rsidR="00E61D3D" w:rsidRPr="006F390E" w:rsidRDefault="00E61D3D" w:rsidP="00E23F4A">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u w:val="single"/>
          <w:lang w:bidi="en-US"/>
        </w:rPr>
      </w:pPr>
    </w:p>
    <w:p w:rsidR="005E403B" w:rsidRPr="006F390E" w:rsidRDefault="005E403B" w:rsidP="00E23F4A">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u w:val="single"/>
          <w:lang w:bidi="en-US"/>
        </w:rPr>
      </w:pPr>
      <w:r w:rsidRPr="006F390E">
        <w:rPr>
          <w:rFonts w:cs="Helvetica"/>
          <w:szCs w:val="20"/>
          <w:u w:val="single"/>
          <w:lang w:bidi="en-US"/>
        </w:rPr>
        <w:lastRenderedPageBreak/>
        <w:t>Propuestos por SIPDH</w:t>
      </w:r>
    </w:p>
    <w:p w:rsidR="005E403B" w:rsidRPr="006F390E" w:rsidRDefault="005E403B" w:rsidP="00E23F4A">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u w:val="single"/>
          <w:lang w:bidi="en-US"/>
        </w:rPr>
      </w:pPr>
    </w:p>
    <w:p w:rsidR="00842F76" w:rsidRPr="006F390E" w:rsidRDefault="00842F76" w:rsidP="00E23F4A">
      <w:pPr>
        <w:pStyle w:val="Listavistosa-nfasis11"/>
        <w:widowControl w:val="0"/>
        <w:numPr>
          <w:ilvl w:val="0"/>
          <w:numId w:val="57"/>
        </w:numPr>
        <w:tabs>
          <w:tab w:val="left" w:pos="560"/>
          <w:tab w:val="left" w:pos="810"/>
          <w:tab w:val="left" w:pos="10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cs="Cambria"/>
          <w:szCs w:val="20"/>
          <w:lang w:eastAsia="en-US"/>
        </w:rPr>
      </w:pPr>
      <w:r w:rsidRPr="006F390E">
        <w:rPr>
          <w:rFonts w:cs="Cambria"/>
          <w:i/>
          <w:szCs w:val="20"/>
          <w:lang w:eastAsia="en-US"/>
        </w:rPr>
        <w:t xml:space="preserve">Walter </w:t>
      </w:r>
      <w:proofErr w:type="spellStart"/>
      <w:r w:rsidRPr="006F390E">
        <w:rPr>
          <w:rFonts w:cs="Cambria"/>
          <w:i/>
          <w:szCs w:val="20"/>
          <w:lang w:eastAsia="en-US"/>
        </w:rPr>
        <w:t>Antillón</w:t>
      </w:r>
      <w:proofErr w:type="spellEnd"/>
      <w:r w:rsidRPr="006F390E">
        <w:rPr>
          <w:rFonts w:cs="Cambria"/>
          <w:i/>
          <w:szCs w:val="20"/>
          <w:lang w:eastAsia="en-US"/>
        </w:rPr>
        <w:t>,</w:t>
      </w:r>
      <w:r w:rsidRPr="006F390E">
        <w:rPr>
          <w:rFonts w:cs="Cambria"/>
          <w:szCs w:val="20"/>
          <w:lang w:eastAsia="en-US"/>
        </w:rPr>
        <w:t xml:space="preserve"> </w:t>
      </w:r>
      <w:r w:rsidR="00270C50" w:rsidRPr="006F390E">
        <w:rPr>
          <w:rFonts w:cs="Cambria"/>
          <w:szCs w:val="20"/>
          <w:lang w:eastAsia="en-US"/>
        </w:rPr>
        <w:t xml:space="preserve">abogado, </w:t>
      </w:r>
      <w:r w:rsidRPr="006F390E">
        <w:rPr>
          <w:rFonts w:cs="Helvetica"/>
          <w:szCs w:val="20"/>
          <w:lang w:bidi="en-US"/>
        </w:rPr>
        <w:t>quien</w:t>
      </w:r>
      <w:r w:rsidRPr="006F390E">
        <w:rPr>
          <w:rFonts w:cs="Cambria"/>
          <w:szCs w:val="20"/>
          <w:lang w:eastAsia="en-US"/>
        </w:rPr>
        <w:t xml:space="preserve"> declarará sobre: el derecho al recurso de casación en Costa Rica, sus orígenes, reformas, e impacto en el sistema de recursos en el ámbito penal. </w:t>
      </w:r>
      <w:r w:rsidR="00270C50" w:rsidRPr="006F390E">
        <w:rPr>
          <w:rFonts w:cs="Cambria"/>
          <w:szCs w:val="20"/>
          <w:lang w:eastAsia="en-US"/>
        </w:rPr>
        <w:t xml:space="preserve">Explicará los alcances de la reforma procesal penal y sus incidencias en relación con las personas presuntamente afectadas en este caso. </w:t>
      </w:r>
    </w:p>
    <w:p w:rsidR="006B14A4" w:rsidRPr="006F390E" w:rsidRDefault="006B14A4" w:rsidP="00E23F4A">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Helvetica"/>
          <w:szCs w:val="20"/>
          <w:u w:val="single"/>
          <w:lang w:bidi="en-US"/>
        </w:rPr>
      </w:pPr>
    </w:p>
    <w:p w:rsidR="005E403B" w:rsidRPr="006F390E" w:rsidRDefault="005E403B" w:rsidP="00E23F4A">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u w:val="single"/>
          <w:lang w:bidi="en-US"/>
        </w:rPr>
      </w:pPr>
      <w:r w:rsidRPr="006F390E">
        <w:rPr>
          <w:rFonts w:cs="Helvetica"/>
          <w:szCs w:val="20"/>
          <w:u w:val="single"/>
          <w:lang w:bidi="en-US"/>
        </w:rPr>
        <w:t xml:space="preserve">Propuestos por Adrián Martínez Blanco </w:t>
      </w:r>
    </w:p>
    <w:p w:rsidR="00020CCD" w:rsidRPr="006F390E" w:rsidRDefault="00020CCD" w:rsidP="00E23F4A">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u w:val="single"/>
          <w:lang w:bidi="en-US"/>
        </w:rPr>
      </w:pPr>
    </w:p>
    <w:p w:rsidR="00850B71" w:rsidRPr="006F390E" w:rsidRDefault="00020CCD" w:rsidP="00E23F4A">
      <w:pPr>
        <w:pStyle w:val="Listavistosa-nfasis11"/>
        <w:widowControl w:val="0"/>
        <w:numPr>
          <w:ilvl w:val="0"/>
          <w:numId w:val="57"/>
        </w:numPr>
        <w:tabs>
          <w:tab w:val="left" w:pos="560"/>
          <w:tab w:val="left" w:pos="810"/>
          <w:tab w:val="left" w:pos="10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cs="Helvetica"/>
          <w:szCs w:val="20"/>
          <w:u w:val="single"/>
          <w:lang w:bidi="en-US"/>
        </w:rPr>
      </w:pPr>
      <w:r w:rsidRPr="006F390E">
        <w:rPr>
          <w:i/>
        </w:rPr>
        <w:t>John</w:t>
      </w:r>
      <w:r w:rsidR="00005973" w:rsidRPr="006F390E">
        <w:rPr>
          <w:i/>
        </w:rPr>
        <w:t xml:space="preserve"> Pablo</w:t>
      </w:r>
      <w:r w:rsidRPr="006F390E">
        <w:rPr>
          <w:i/>
        </w:rPr>
        <w:t xml:space="preserve"> </w:t>
      </w:r>
      <w:r w:rsidRPr="006F390E">
        <w:rPr>
          <w:rFonts w:cs="Helvetica"/>
          <w:i/>
          <w:szCs w:val="20"/>
          <w:lang w:bidi="en-US"/>
        </w:rPr>
        <w:t>Hernández</w:t>
      </w:r>
      <w:r w:rsidRPr="006F390E">
        <w:rPr>
          <w:i/>
        </w:rPr>
        <w:t xml:space="preserve"> Rojas</w:t>
      </w:r>
      <w:r w:rsidRPr="006F390E">
        <w:t xml:space="preserve">, </w:t>
      </w:r>
      <w:r w:rsidR="00005973" w:rsidRPr="006F390E">
        <w:t xml:space="preserve">psicólogo forense, </w:t>
      </w:r>
      <w:r w:rsidRPr="006F390E">
        <w:t>quien declarará sobre: la presunta afectación psicológica del</w:t>
      </w:r>
      <w:r w:rsidR="00AB2674">
        <w:rPr>
          <w:rFonts w:cs="Cambria"/>
          <w:szCs w:val="20"/>
          <w:lang w:eastAsia="en-US"/>
        </w:rPr>
        <w:t xml:space="preserve"> </w:t>
      </w:r>
      <w:r w:rsidR="00AB2674">
        <w:t>peticionario</w:t>
      </w:r>
      <w:r w:rsidRPr="006F390E">
        <w:t xml:space="preserve"> </w:t>
      </w:r>
      <w:r w:rsidRPr="006F390E">
        <w:rPr>
          <w:rFonts w:cs="Helvetica"/>
          <w:szCs w:val="20"/>
          <w:lang w:bidi="en-US"/>
        </w:rPr>
        <w:t>Jorge</w:t>
      </w:r>
      <w:r w:rsidRPr="006F390E">
        <w:t xml:space="preserve"> Martínez Meléndez </w:t>
      </w:r>
      <w:r w:rsidR="00D619CD">
        <w:t xml:space="preserve">a raíz de los hechos del presente caso </w:t>
      </w:r>
      <w:r w:rsidRPr="006F390E">
        <w:t>y el informe que se ha suministrado.</w:t>
      </w:r>
    </w:p>
    <w:p w:rsidR="005E403B" w:rsidRPr="006F390E" w:rsidRDefault="00020CCD" w:rsidP="00E23F4A">
      <w:pPr>
        <w:pStyle w:val="Listavistosa-nfasis11"/>
        <w:widowControl w:val="0"/>
        <w:numPr>
          <w:ilvl w:val="0"/>
          <w:numId w:val="0"/>
        </w:numPr>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Helvetica"/>
          <w:szCs w:val="20"/>
          <w:u w:val="single"/>
          <w:lang w:bidi="en-US"/>
        </w:rPr>
      </w:pPr>
      <w:r w:rsidRPr="006F390E">
        <w:t xml:space="preserve"> </w:t>
      </w:r>
    </w:p>
    <w:p w:rsidR="00020CCD" w:rsidRPr="006F390E" w:rsidRDefault="00B62919" w:rsidP="00E23F4A">
      <w:pPr>
        <w:pStyle w:val="Listavistosa-nfasis11"/>
        <w:widowControl w:val="0"/>
        <w:numPr>
          <w:ilvl w:val="0"/>
          <w:numId w:val="57"/>
        </w:numPr>
        <w:tabs>
          <w:tab w:val="left" w:pos="560"/>
          <w:tab w:val="left" w:pos="810"/>
          <w:tab w:val="left" w:pos="10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cs="Helvetica"/>
          <w:szCs w:val="20"/>
          <w:u w:val="single"/>
          <w:lang w:bidi="en-US"/>
        </w:rPr>
      </w:pPr>
      <w:r w:rsidRPr="006F390E">
        <w:rPr>
          <w:i/>
        </w:rPr>
        <w:t xml:space="preserve">Giselle </w:t>
      </w:r>
      <w:r w:rsidR="00020CCD" w:rsidRPr="006F390E">
        <w:rPr>
          <w:i/>
        </w:rPr>
        <w:t>Chacón Araya</w:t>
      </w:r>
      <w:r w:rsidR="00020CCD" w:rsidRPr="006F390E">
        <w:t xml:space="preserve">, </w:t>
      </w:r>
      <w:r w:rsidR="00005973" w:rsidRPr="006F390E">
        <w:t xml:space="preserve">abogada y contadora, </w:t>
      </w:r>
      <w:r w:rsidR="00020CCD" w:rsidRPr="006F390E">
        <w:t xml:space="preserve">quien </w:t>
      </w:r>
      <w:r w:rsidR="00020CCD" w:rsidRPr="006F390E">
        <w:rPr>
          <w:rFonts w:cs="Cambria"/>
          <w:szCs w:val="20"/>
          <w:lang w:eastAsia="en-US"/>
        </w:rPr>
        <w:t>declarará</w:t>
      </w:r>
      <w:r w:rsidR="00020CCD" w:rsidRPr="006F390E">
        <w:t xml:space="preserve"> sobre: la cuantificación para la justa </w:t>
      </w:r>
      <w:r w:rsidR="00020CCD" w:rsidRPr="006F390E">
        <w:rPr>
          <w:rFonts w:cs="Helvetica"/>
          <w:szCs w:val="20"/>
          <w:lang w:bidi="en-US"/>
        </w:rPr>
        <w:t>indemnización</w:t>
      </w:r>
      <w:r w:rsidR="00020CCD" w:rsidRPr="006F390E">
        <w:t xml:space="preserve"> que los daños presuntamente ocurridos en contra de</w:t>
      </w:r>
      <w:r w:rsidR="00AB2674">
        <w:t>l peticionario</w:t>
      </w:r>
      <w:r w:rsidR="00020CCD" w:rsidRPr="006F390E">
        <w:t xml:space="preserve"> Jorge Martínez Meléndez</w:t>
      </w:r>
      <w:r w:rsidR="00D619CD">
        <w:t>, derivados de los hechos del presente caso</w:t>
      </w:r>
      <w:r w:rsidR="00850B71" w:rsidRPr="006F390E">
        <w:t>.</w:t>
      </w:r>
    </w:p>
    <w:p w:rsidR="005E403B" w:rsidRPr="006F390E" w:rsidRDefault="005E403B" w:rsidP="00E23F4A">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u w:val="single"/>
          <w:lang w:bidi="en-US"/>
        </w:rPr>
      </w:pPr>
    </w:p>
    <w:p w:rsidR="005E403B" w:rsidRPr="006F390E" w:rsidRDefault="005E403B" w:rsidP="00E23F4A">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u w:val="single"/>
          <w:lang w:bidi="en-US"/>
        </w:rPr>
      </w:pPr>
      <w:r w:rsidRPr="006F390E">
        <w:rPr>
          <w:rFonts w:cs="Helvetica"/>
          <w:szCs w:val="20"/>
          <w:u w:val="single"/>
          <w:lang w:bidi="en-US"/>
        </w:rPr>
        <w:t xml:space="preserve">Propuestos por los Defensores Públicos Interamericanos </w:t>
      </w:r>
    </w:p>
    <w:p w:rsidR="000D7BE8" w:rsidRPr="006F390E" w:rsidRDefault="000D7BE8" w:rsidP="000D7BE8">
      <w:pPr>
        <w:pStyle w:val="Listavistosa-nfasis11"/>
        <w:widowControl w:val="0"/>
        <w:numPr>
          <w:ilvl w:val="0"/>
          <w:numId w:val="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iCs/>
          <w:szCs w:val="20"/>
          <w:lang w:bidi="en-US"/>
        </w:rPr>
      </w:pPr>
    </w:p>
    <w:p w:rsidR="001C70AD" w:rsidRPr="006F390E" w:rsidRDefault="001C70AD" w:rsidP="00E23F4A">
      <w:pPr>
        <w:pStyle w:val="Listavistosa-nfasis11"/>
        <w:widowControl w:val="0"/>
        <w:numPr>
          <w:ilvl w:val="0"/>
          <w:numId w:val="57"/>
        </w:numPr>
        <w:tabs>
          <w:tab w:val="left" w:pos="560"/>
          <w:tab w:val="left" w:pos="810"/>
          <w:tab w:val="left" w:pos="10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080" w:hanging="360"/>
        <w:rPr>
          <w:rFonts w:cs="Verdana"/>
          <w:iCs/>
          <w:szCs w:val="20"/>
          <w:lang w:val="es-CL" w:bidi="en-US"/>
        </w:rPr>
      </w:pPr>
      <w:r w:rsidRPr="006F390E">
        <w:rPr>
          <w:rFonts w:cs="Verdana"/>
          <w:i/>
          <w:iCs/>
          <w:szCs w:val="20"/>
          <w:lang w:val="es-CL" w:bidi="en-US"/>
        </w:rPr>
        <w:t>José Joaquín Ureña Salazar</w:t>
      </w:r>
      <w:r w:rsidRPr="006F390E">
        <w:rPr>
          <w:rFonts w:cs="Verdana"/>
          <w:iCs/>
          <w:szCs w:val="20"/>
          <w:lang w:val="es-CL" w:bidi="en-US"/>
        </w:rPr>
        <w:t xml:space="preserve">, </w:t>
      </w:r>
      <w:r w:rsidR="00D200DE" w:rsidRPr="006F390E">
        <w:rPr>
          <w:rFonts w:cs="Verdana"/>
          <w:iCs/>
          <w:szCs w:val="20"/>
          <w:lang w:val="es-CL" w:bidi="en-US"/>
        </w:rPr>
        <w:t xml:space="preserve">abogado, </w:t>
      </w:r>
      <w:r w:rsidRPr="006F390E">
        <w:rPr>
          <w:rFonts w:cs="Helvetica"/>
          <w:szCs w:val="20"/>
          <w:lang w:bidi="en-US"/>
        </w:rPr>
        <w:t>quien</w:t>
      </w:r>
      <w:r w:rsidRPr="006F390E">
        <w:rPr>
          <w:rFonts w:cs="Verdana"/>
          <w:iCs/>
          <w:szCs w:val="20"/>
          <w:lang w:val="es-CL" w:bidi="en-US"/>
        </w:rPr>
        <w:t xml:space="preserve"> declarará sobre: los antecedentes normativos, históricos, </w:t>
      </w:r>
      <w:r w:rsidRPr="006F390E">
        <w:rPr>
          <w:rFonts w:cs="Cambria"/>
          <w:szCs w:val="20"/>
          <w:lang w:eastAsia="en-US"/>
        </w:rPr>
        <w:t>sociológicos</w:t>
      </w:r>
      <w:r w:rsidR="000B3B8A">
        <w:rPr>
          <w:rFonts w:cs="Verdana"/>
          <w:iCs/>
          <w:szCs w:val="20"/>
          <w:lang w:val="es-CL" w:bidi="en-US"/>
        </w:rPr>
        <w:t xml:space="preserve"> e</w:t>
      </w:r>
      <w:r w:rsidRPr="006F390E">
        <w:rPr>
          <w:rFonts w:cs="Verdana"/>
          <w:iCs/>
          <w:szCs w:val="20"/>
          <w:lang w:val="es-CL" w:bidi="en-US"/>
        </w:rPr>
        <w:t xml:space="preserve"> ideológicos del derecho a recurrir el fallo condenatorio y el acceso a la justicia como un derecho fundamental en la legislación costarricense</w:t>
      </w:r>
      <w:r w:rsidR="000B3B8A">
        <w:rPr>
          <w:rFonts w:cs="Verdana"/>
          <w:iCs/>
          <w:szCs w:val="20"/>
          <w:lang w:val="es-CL" w:bidi="en-US"/>
        </w:rPr>
        <w:t>, así como</w:t>
      </w:r>
      <w:r w:rsidRPr="006F390E">
        <w:rPr>
          <w:rFonts w:cs="Verdana"/>
          <w:iCs/>
          <w:szCs w:val="20"/>
          <w:lang w:val="es-CL" w:bidi="en-US"/>
        </w:rPr>
        <w:t xml:space="preserve"> los estándares nacionales e internacionales en la materia; los efectos del fallo </w:t>
      </w:r>
      <w:r w:rsidRPr="006F390E">
        <w:rPr>
          <w:rFonts w:cs="Verdana"/>
          <w:i/>
          <w:iCs/>
          <w:szCs w:val="20"/>
          <w:lang w:val="es-CL" w:bidi="en-US"/>
        </w:rPr>
        <w:t>Herrera Ulloa Vs. Costa Rica</w:t>
      </w:r>
      <w:r w:rsidRPr="006F390E">
        <w:rPr>
          <w:rFonts w:cs="Verdana"/>
          <w:iCs/>
          <w:szCs w:val="20"/>
          <w:lang w:val="es-CL" w:bidi="en-US"/>
        </w:rPr>
        <w:t xml:space="preserve"> en el ámbito normativo, jurisprudencial y académico costarricense; estadísticas, cambios normativos y jurisprudenciales de 1975 al presente en relación con el recurso de casación, del recurso y procedimiento de revisión y del recurso de apelación de sentencia; las garantías judiciales del sistema interamericano </w:t>
      </w:r>
      <w:r w:rsidR="00D200DE" w:rsidRPr="006F390E">
        <w:rPr>
          <w:rFonts w:cs="Verdana"/>
          <w:iCs/>
          <w:szCs w:val="20"/>
          <w:lang w:val="es-CL" w:bidi="en-US"/>
        </w:rPr>
        <w:t>y</w:t>
      </w:r>
      <w:r w:rsidRPr="006F390E">
        <w:rPr>
          <w:rFonts w:cs="Verdana"/>
          <w:iCs/>
          <w:szCs w:val="20"/>
          <w:lang w:val="es-CL" w:bidi="en-US"/>
        </w:rPr>
        <w:t xml:space="preserve"> la sentencia penal oral en Costa Rica; </w:t>
      </w:r>
      <w:r w:rsidR="00D200DE" w:rsidRPr="006F390E">
        <w:rPr>
          <w:rFonts w:cs="Verdana"/>
          <w:iCs/>
          <w:szCs w:val="20"/>
          <w:lang w:val="es-CL" w:bidi="en-US"/>
        </w:rPr>
        <w:t xml:space="preserve">y </w:t>
      </w:r>
      <w:r w:rsidRPr="006F390E">
        <w:rPr>
          <w:rFonts w:cs="Verdana"/>
          <w:iCs/>
          <w:szCs w:val="20"/>
          <w:lang w:val="es-CL" w:bidi="en-US"/>
        </w:rPr>
        <w:t>los estándares nacionales e internacionales sobre el tema del derecho al juez imparcial en el proceso penal en relación con los hechos del presente caso</w:t>
      </w:r>
      <w:r w:rsidR="00D200DE" w:rsidRPr="006F390E">
        <w:rPr>
          <w:rFonts w:cs="Verdana"/>
          <w:iCs/>
          <w:szCs w:val="20"/>
          <w:lang w:val="es-CL" w:bidi="en-US"/>
        </w:rPr>
        <w:t>.</w:t>
      </w:r>
    </w:p>
    <w:p w:rsidR="00DD4D4C" w:rsidRPr="006F390E" w:rsidRDefault="00DD4D4C" w:rsidP="00E23F4A">
      <w:pPr>
        <w:pStyle w:val="Listavistosa-nfasis11"/>
        <w:widowControl w:val="0"/>
        <w:numPr>
          <w:ilvl w:val="0"/>
          <w:numId w:val="0"/>
        </w:numPr>
        <w:tabs>
          <w:tab w:val="left" w:pos="560"/>
          <w:tab w:val="left" w:pos="810"/>
          <w:tab w:val="left" w:pos="10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080"/>
        <w:rPr>
          <w:rFonts w:cs="Verdana"/>
          <w:iCs/>
          <w:szCs w:val="20"/>
          <w:lang w:val="es-CL" w:bidi="en-US"/>
        </w:rPr>
      </w:pPr>
    </w:p>
    <w:p w:rsidR="001C70AD" w:rsidRPr="006F390E" w:rsidRDefault="001C70AD" w:rsidP="00E23F4A">
      <w:pPr>
        <w:pStyle w:val="Listavistosa-nfasis11"/>
        <w:widowControl w:val="0"/>
        <w:numPr>
          <w:ilvl w:val="0"/>
          <w:numId w:val="57"/>
        </w:numPr>
        <w:tabs>
          <w:tab w:val="left" w:pos="560"/>
          <w:tab w:val="left" w:pos="810"/>
          <w:tab w:val="left" w:pos="10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080" w:hanging="360"/>
        <w:rPr>
          <w:rFonts w:cs="Verdana"/>
          <w:iCs/>
          <w:szCs w:val="20"/>
          <w:lang w:val="es-CL" w:bidi="en-US"/>
        </w:rPr>
      </w:pPr>
      <w:r w:rsidRPr="006F390E">
        <w:rPr>
          <w:rFonts w:cs="Verdana"/>
          <w:i/>
          <w:iCs/>
          <w:szCs w:val="20"/>
          <w:lang w:val="es-CL" w:bidi="en-US"/>
        </w:rPr>
        <w:t>Juan Gerardo Ugalde Lobo</w:t>
      </w:r>
      <w:r w:rsidRPr="006F390E">
        <w:rPr>
          <w:rFonts w:cs="Verdana"/>
          <w:iCs/>
          <w:szCs w:val="20"/>
          <w:lang w:val="es-CL" w:bidi="en-US"/>
        </w:rPr>
        <w:t xml:space="preserve">, </w:t>
      </w:r>
      <w:r w:rsidR="00220BD9" w:rsidRPr="006F390E">
        <w:rPr>
          <w:rFonts w:cs="Verdana"/>
          <w:iCs/>
          <w:szCs w:val="20"/>
          <w:lang w:val="es-CL" w:bidi="en-US"/>
        </w:rPr>
        <w:t xml:space="preserve">médico cirujano, </w:t>
      </w:r>
      <w:r w:rsidRPr="006F390E">
        <w:rPr>
          <w:rFonts w:cs="Verdana"/>
          <w:iCs/>
          <w:szCs w:val="20"/>
          <w:lang w:val="es-CL" w:bidi="en-US"/>
        </w:rPr>
        <w:t xml:space="preserve">quien declarará sobre: </w:t>
      </w:r>
      <w:r w:rsidR="00B124CF" w:rsidRPr="006F390E">
        <w:rPr>
          <w:szCs w:val="20"/>
        </w:rPr>
        <w:t>l</w:t>
      </w:r>
      <w:r w:rsidRPr="006F390E">
        <w:rPr>
          <w:szCs w:val="20"/>
        </w:rPr>
        <w:t xml:space="preserve">as condiciones mínimas de alimentación y tratamiento médico que debe tener el señor Rojas Madrigal debido a </w:t>
      </w:r>
      <w:r w:rsidRPr="006F390E">
        <w:rPr>
          <w:rFonts w:cs="Cambria"/>
          <w:szCs w:val="20"/>
          <w:lang w:eastAsia="en-US"/>
        </w:rPr>
        <w:t>sus</w:t>
      </w:r>
      <w:r w:rsidR="00006EFB" w:rsidRPr="006F390E">
        <w:rPr>
          <w:rFonts w:cs="Cambria"/>
          <w:szCs w:val="20"/>
          <w:lang w:eastAsia="en-US"/>
        </w:rPr>
        <w:t xml:space="preserve"> alegadas</w:t>
      </w:r>
      <w:r w:rsidRPr="006F390E">
        <w:rPr>
          <w:szCs w:val="20"/>
        </w:rPr>
        <w:t xml:space="preserve"> patologías metabólicas, esteatosis hepática, hipertensión arterial y demás padecimientos crónicos, así como al </w:t>
      </w:r>
      <w:r w:rsidR="00A5285E" w:rsidRPr="006F390E">
        <w:rPr>
          <w:szCs w:val="20"/>
        </w:rPr>
        <w:t xml:space="preserve">presunto </w:t>
      </w:r>
      <w:r w:rsidRPr="006F390E">
        <w:rPr>
          <w:szCs w:val="20"/>
        </w:rPr>
        <w:t xml:space="preserve">problema de falta de agua potable en el centro penitenciario La Reforma; </w:t>
      </w:r>
      <w:r w:rsidR="00A5285E" w:rsidRPr="006F390E">
        <w:rPr>
          <w:szCs w:val="20"/>
        </w:rPr>
        <w:t>l</w:t>
      </w:r>
      <w:r w:rsidRPr="006F390E">
        <w:rPr>
          <w:szCs w:val="20"/>
        </w:rPr>
        <w:t xml:space="preserve">os problemas de salud que tienen los privados de libertad en centros carcelarios con hacinamiento y falta de agua potable; </w:t>
      </w:r>
      <w:r w:rsidR="00A5285E" w:rsidRPr="006F390E">
        <w:rPr>
          <w:szCs w:val="20"/>
        </w:rPr>
        <w:t xml:space="preserve">y </w:t>
      </w:r>
      <w:r w:rsidRPr="006F390E">
        <w:rPr>
          <w:szCs w:val="20"/>
        </w:rPr>
        <w:t>la determinación de la valoración del daño corporal e integridad corporal y a la salud del señor Rojas Madrigal</w:t>
      </w:r>
      <w:r w:rsidR="00A5285E" w:rsidRPr="006F390E">
        <w:rPr>
          <w:szCs w:val="20"/>
        </w:rPr>
        <w:t>.</w:t>
      </w:r>
    </w:p>
    <w:p w:rsidR="00E61D3D" w:rsidRPr="006F390E" w:rsidRDefault="00E61D3D" w:rsidP="00E23F4A">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Helvetica"/>
          <w:szCs w:val="20"/>
          <w:u w:val="single"/>
          <w:lang w:bidi="en-US"/>
        </w:rPr>
      </w:pPr>
    </w:p>
    <w:p w:rsidR="00E61D3D" w:rsidRPr="006F390E" w:rsidRDefault="00E61D3D" w:rsidP="00E23F4A">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Helvetica"/>
          <w:szCs w:val="20"/>
          <w:u w:val="single"/>
          <w:lang w:bidi="en-US"/>
        </w:rPr>
      </w:pPr>
      <w:r w:rsidRPr="006F390E">
        <w:rPr>
          <w:rFonts w:cs="Helvetica"/>
          <w:szCs w:val="20"/>
          <w:u w:val="single"/>
          <w:lang w:bidi="en-US"/>
        </w:rPr>
        <w:t>Propuesto por el Estado</w:t>
      </w:r>
    </w:p>
    <w:p w:rsidR="00E61D3D" w:rsidRPr="006F390E" w:rsidRDefault="00E61D3D" w:rsidP="00E23F4A">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Helvetica"/>
          <w:szCs w:val="20"/>
          <w:u w:val="single"/>
          <w:lang w:bidi="en-US"/>
        </w:rPr>
      </w:pPr>
    </w:p>
    <w:p w:rsidR="00E61D3D" w:rsidRPr="006F390E" w:rsidRDefault="00E61D3D" w:rsidP="00E23F4A">
      <w:pPr>
        <w:pStyle w:val="Listavistosa-nfasis11"/>
        <w:widowControl w:val="0"/>
        <w:numPr>
          <w:ilvl w:val="0"/>
          <w:numId w:val="57"/>
        </w:numPr>
        <w:tabs>
          <w:tab w:val="left" w:pos="560"/>
          <w:tab w:val="left" w:pos="810"/>
          <w:tab w:val="left" w:pos="10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080" w:hanging="450"/>
        <w:rPr>
          <w:rFonts w:cs="Helvetica"/>
          <w:szCs w:val="20"/>
          <w:lang w:bidi="en-US"/>
        </w:rPr>
      </w:pPr>
      <w:r w:rsidRPr="006F390E">
        <w:rPr>
          <w:szCs w:val="20"/>
        </w:rPr>
        <w:t>Carlos</w:t>
      </w:r>
      <w:r w:rsidRPr="006F390E">
        <w:rPr>
          <w:rFonts w:cs="Helvetica"/>
          <w:i/>
          <w:szCs w:val="20"/>
          <w:lang w:bidi="en-US"/>
        </w:rPr>
        <w:t xml:space="preserve"> Alberto </w:t>
      </w:r>
      <w:proofErr w:type="spellStart"/>
      <w:r w:rsidRPr="006F390E">
        <w:rPr>
          <w:rFonts w:cs="Helvetica"/>
          <w:i/>
          <w:szCs w:val="20"/>
          <w:lang w:bidi="en-US"/>
        </w:rPr>
        <w:t>Beraldi</w:t>
      </w:r>
      <w:proofErr w:type="spellEnd"/>
      <w:r w:rsidRPr="006F390E">
        <w:rPr>
          <w:rFonts w:cs="Helvetica"/>
          <w:szCs w:val="20"/>
          <w:lang w:bidi="en-US"/>
        </w:rPr>
        <w:t xml:space="preserve">, </w:t>
      </w:r>
      <w:r w:rsidR="002B4204">
        <w:rPr>
          <w:rFonts w:cs="Helvetica"/>
          <w:szCs w:val="20"/>
          <w:lang w:bidi="en-US"/>
        </w:rPr>
        <w:t>p</w:t>
      </w:r>
      <w:r w:rsidR="00854A57" w:rsidRPr="006F390E">
        <w:rPr>
          <w:rFonts w:cs="Helvetica"/>
          <w:szCs w:val="20"/>
          <w:lang w:bidi="en-US"/>
        </w:rPr>
        <w:t xml:space="preserve">rocurador y </w:t>
      </w:r>
      <w:r w:rsidR="002B4204">
        <w:rPr>
          <w:rFonts w:cs="Helvetica"/>
          <w:szCs w:val="20"/>
          <w:lang w:bidi="en-US"/>
        </w:rPr>
        <w:t>a</w:t>
      </w:r>
      <w:r w:rsidR="00854A57" w:rsidRPr="006F390E">
        <w:rPr>
          <w:rFonts w:cs="Helvetica"/>
          <w:szCs w:val="20"/>
          <w:lang w:bidi="en-US"/>
        </w:rPr>
        <w:t xml:space="preserve">bogado, </w:t>
      </w:r>
      <w:r w:rsidRPr="006F390E">
        <w:rPr>
          <w:rFonts w:cs="Helvetica"/>
          <w:szCs w:val="20"/>
          <w:lang w:bidi="en-US"/>
        </w:rPr>
        <w:t>quien declarará sobre: la tutela del derecho a una revisión integral del fallo para cada una de l</w:t>
      </w:r>
      <w:r w:rsidR="00AB2674">
        <w:rPr>
          <w:rFonts w:cs="Helvetica"/>
          <w:szCs w:val="20"/>
          <w:lang w:bidi="en-US"/>
        </w:rPr>
        <w:t>o</w:t>
      </w:r>
      <w:r w:rsidRPr="006F390E">
        <w:rPr>
          <w:rFonts w:cs="Helvetica"/>
          <w:szCs w:val="20"/>
          <w:lang w:bidi="en-US"/>
        </w:rPr>
        <w:t>s</w:t>
      </w:r>
      <w:r w:rsidR="00AB2674">
        <w:rPr>
          <w:rFonts w:cs="Helvetica"/>
          <w:szCs w:val="20"/>
          <w:lang w:bidi="en-US"/>
        </w:rPr>
        <w:t xml:space="preserve"> </w:t>
      </w:r>
      <w:r w:rsidR="00AB2674">
        <w:t>peticionarios</w:t>
      </w:r>
      <w:r w:rsidRPr="006F390E">
        <w:rPr>
          <w:rFonts w:cs="Helvetica"/>
          <w:szCs w:val="20"/>
          <w:lang w:bidi="en-US"/>
        </w:rPr>
        <w:t xml:space="preserve"> en el </w:t>
      </w:r>
      <w:r w:rsidRPr="006F390E">
        <w:rPr>
          <w:rFonts w:cs="Helvetica"/>
          <w:i/>
          <w:szCs w:val="20"/>
          <w:lang w:bidi="en-US"/>
        </w:rPr>
        <w:t xml:space="preserve">caso </w:t>
      </w:r>
      <w:proofErr w:type="spellStart"/>
      <w:r w:rsidRPr="006F390E">
        <w:rPr>
          <w:rFonts w:cs="Helvetica"/>
          <w:i/>
          <w:szCs w:val="20"/>
          <w:lang w:bidi="en-US"/>
        </w:rPr>
        <w:t>Amrhein</w:t>
      </w:r>
      <w:proofErr w:type="spellEnd"/>
      <w:r w:rsidRPr="006F390E">
        <w:rPr>
          <w:rFonts w:cs="Helvetica"/>
          <w:i/>
          <w:szCs w:val="20"/>
          <w:lang w:bidi="en-US"/>
        </w:rPr>
        <w:t xml:space="preserve"> y otros contra Costa Rica</w:t>
      </w:r>
      <w:r w:rsidRPr="006F390E">
        <w:rPr>
          <w:rFonts w:cs="Helvetica"/>
          <w:szCs w:val="20"/>
          <w:lang w:bidi="en-US"/>
        </w:rPr>
        <w:t>, según los parámetros del artículo 8.2</w:t>
      </w:r>
      <w:r w:rsidR="00C76F69" w:rsidRPr="006F390E">
        <w:rPr>
          <w:rFonts w:cs="Helvetica"/>
          <w:szCs w:val="20"/>
          <w:lang w:bidi="en-US"/>
        </w:rPr>
        <w:t>.</w:t>
      </w:r>
      <w:r w:rsidRPr="006F390E">
        <w:rPr>
          <w:rFonts w:cs="Helvetica"/>
          <w:szCs w:val="20"/>
          <w:lang w:bidi="en-US"/>
        </w:rPr>
        <w:t xml:space="preserve">h de la </w:t>
      </w:r>
      <w:r w:rsidR="00C76F69" w:rsidRPr="006F390E">
        <w:rPr>
          <w:rFonts w:cs="Helvetica"/>
          <w:szCs w:val="20"/>
          <w:lang w:bidi="en-US"/>
        </w:rPr>
        <w:t>Convención Americana</w:t>
      </w:r>
      <w:r w:rsidRPr="006F390E">
        <w:rPr>
          <w:rFonts w:cs="Helvetica"/>
          <w:szCs w:val="20"/>
          <w:lang w:bidi="en-US"/>
        </w:rPr>
        <w:t>. Para ello, se referirá a los medios de impugnación utilizados y/o accesibles para cada un</w:t>
      </w:r>
      <w:r w:rsidR="00AB2674">
        <w:rPr>
          <w:rFonts w:cs="Helvetica"/>
          <w:szCs w:val="20"/>
          <w:lang w:bidi="en-US"/>
        </w:rPr>
        <w:t>o</w:t>
      </w:r>
      <w:r w:rsidRPr="006F390E">
        <w:rPr>
          <w:rFonts w:cs="Helvetica"/>
          <w:szCs w:val="20"/>
          <w:lang w:bidi="en-US"/>
        </w:rPr>
        <w:t xml:space="preserve"> de l</w:t>
      </w:r>
      <w:r w:rsidR="00AB2674">
        <w:rPr>
          <w:rFonts w:cs="Helvetica"/>
          <w:szCs w:val="20"/>
          <w:lang w:bidi="en-US"/>
        </w:rPr>
        <w:t>o</w:t>
      </w:r>
      <w:r w:rsidRPr="006F390E">
        <w:rPr>
          <w:rFonts w:cs="Helvetica"/>
          <w:szCs w:val="20"/>
          <w:lang w:bidi="en-US"/>
        </w:rPr>
        <w:t xml:space="preserve">s </w:t>
      </w:r>
      <w:r w:rsidR="00AB2674">
        <w:t>peticionarios</w:t>
      </w:r>
      <w:r w:rsidRPr="006F390E">
        <w:rPr>
          <w:rFonts w:cs="Helvetica"/>
          <w:szCs w:val="20"/>
          <w:lang w:bidi="en-US"/>
        </w:rPr>
        <w:t>.</w:t>
      </w:r>
    </w:p>
    <w:p w:rsidR="001C70AD" w:rsidRPr="006F390E" w:rsidRDefault="001C70AD" w:rsidP="00E23F4A">
      <w:pPr>
        <w:pStyle w:val="Listavistosa-nfasis11"/>
        <w:widowControl w:val="0"/>
        <w:numPr>
          <w:ilvl w:val="0"/>
          <w:numId w:val="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Verdana"/>
          <w:iCs/>
          <w:szCs w:val="20"/>
          <w:lang w:bidi="en-US"/>
        </w:rPr>
      </w:pPr>
    </w:p>
    <w:p w:rsidR="000D7BE8" w:rsidRPr="000717FC" w:rsidRDefault="000D7BE8" w:rsidP="00E23F4A">
      <w:pPr>
        <w:pStyle w:val="Listavistosa-nfasis11"/>
        <w:widowControl w:val="0"/>
        <w:numPr>
          <w:ilvl w:val="3"/>
          <w:numId w:val="44"/>
        </w:numPr>
        <w:tabs>
          <w:tab w:val="clear" w:pos="450"/>
          <w:tab w:val="num" w:pos="720"/>
        </w:tabs>
        <w:autoSpaceDE w:val="0"/>
        <w:autoSpaceDN w:val="0"/>
        <w:adjustRightInd w:val="0"/>
        <w:spacing w:before="120"/>
        <w:ind w:left="0" w:firstLine="0"/>
        <w:rPr>
          <w:rFonts w:cs="Verdana"/>
          <w:iCs/>
          <w:szCs w:val="20"/>
          <w:lang w:bidi="en-US"/>
        </w:rPr>
      </w:pPr>
      <w:r w:rsidRPr="006F390E">
        <w:rPr>
          <w:rFonts w:cs="Verdana"/>
          <w:szCs w:val="20"/>
          <w:lang w:bidi="en-US"/>
        </w:rPr>
        <w:t xml:space="preserve">Solicitar a los </w:t>
      </w:r>
      <w:r w:rsidR="007831FB" w:rsidRPr="006F390E">
        <w:rPr>
          <w:rFonts w:cs="Verdana"/>
          <w:szCs w:val="20"/>
          <w:lang w:bidi="en-US"/>
        </w:rPr>
        <w:t>intervinientes comunes</w:t>
      </w:r>
      <w:r w:rsidRPr="006F390E">
        <w:rPr>
          <w:rFonts w:cs="Verdana"/>
          <w:szCs w:val="20"/>
          <w:lang w:bidi="en-US"/>
        </w:rPr>
        <w:t xml:space="preserve">, al Estado y a la Comisión Interamericana que </w:t>
      </w:r>
      <w:r w:rsidRPr="006F390E">
        <w:rPr>
          <w:rFonts w:cs="Verdana"/>
          <w:szCs w:val="20"/>
          <w:lang w:bidi="en-US"/>
        </w:rPr>
        <w:lastRenderedPageBreak/>
        <w:t xml:space="preserve">notifiquen la presente Resolución a las personas por ellos </w:t>
      </w:r>
      <w:r w:rsidRPr="006F390E">
        <w:rPr>
          <w:rFonts w:cs="Verdana"/>
          <w:iCs/>
          <w:szCs w:val="20"/>
          <w:lang w:bidi="en-US"/>
        </w:rPr>
        <w:t>propuestas</w:t>
      </w:r>
      <w:r w:rsidRPr="006F390E">
        <w:rPr>
          <w:rFonts w:cs="Verdana"/>
          <w:szCs w:val="20"/>
          <w:lang w:bidi="en-US"/>
        </w:rPr>
        <w:t>, que han sido convocadas a rendir declaración, de conformidad c</w:t>
      </w:r>
      <w:r w:rsidRPr="000717FC">
        <w:rPr>
          <w:rFonts w:cs="Verdana"/>
          <w:szCs w:val="20"/>
          <w:lang w:bidi="en-US"/>
        </w:rPr>
        <w:t xml:space="preserve">on lo dispuesto en el artículo 50.2 y 50.4 del Reglamento. </w:t>
      </w:r>
    </w:p>
    <w:p w:rsidR="000D7BE8" w:rsidRPr="000717FC" w:rsidRDefault="000D7BE8" w:rsidP="00E23F4A">
      <w:pPr>
        <w:autoSpaceDE w:val="0"/>
        <w:autoSpaceDN w:val="0"/>
        <w:adjustRightInd w:val="0"/>
        <w:spacing w:before="120"/>
        <w:rPr>
          <w:rFonts w:cs="Verdana"/>
          <w:szCs w:val="20"/>
          <w:lang w:bidi="en-US"/>
        </w:rPr>
      </w:pPr>
    </w:p>
    <w:p w:rsidR="000D7BE8" w:rsidRPr="000717FC" w:rsidRDefault="000D7BE8" w:rsidP="00E23F4A">
      <w:pPr>
        <w:pStyle w:val="Listavistosa-nfasis11"/>
        <w:widowControl w:val="0"/>
        <w:numPr>
          <w:ilvl w:val="3"/>
          <w:numId w:val="44"/>
        </w:numPr>
        <w:tabs>
          <w:tab w:val="clear" w:pos="450"/>
          <w:tab w:val="num" w:pos="720"/>
        </w:tabs>
        <w:autoSpaceDE w:val="0"/>
        <w:autoSpaceDN w:val="0"/>
        <w:adjustRightInd w:val="0"/>
        <w:spacing w:before="120"/>
        <w:ind w:left="0" w:firstLine="0"/>
        <w:rPr>
          <w:rFonts w:cs="Verdana"/>
          <w:szCs w:val="20"/>
          <w:lang w:bidi="en-US"/>
        </w:rPr>
      </w:pPr>
      <w:r w:rsidRPr="000717FC">
        <w:rPr>
          <w:szCs w:val="20"/>
        </w:rPr>
        <w:t>Requerir</w:t>
      </w:r>
      <w:r w:rsidRPr="000717FC">
        <w:rPr>
          <w:rFonts w:cs="Verdana"/>
          <w:szCs w:val="20"/>
          <w:lang w:bidi="en-US"/>
        </w:rPr>
        <w:t xml:space="preserve"> al Estado, a los </w:t>
      </w:r>
      <w:r w:rsidR="007831FB" w:rsidRPr="000717FC">
        <w:rPr>
          <w:rFonts w:cs="Verdana"/>
          <w:szCs w:val="20"/>
          <w:lang w:bidi="en-US"/>
        </w:rPr>
        <w:t xml:space="preserve">intervinientes comunes </w:t>
      </w:r>
      <w:r w:rsidRPr="000717FC">
        <w:rPr>
          <w:rFonts w:cs="Verdana"/>
          <w:szCs w:val="20"/>
          <w:lang w:bidi="en-US"/>
        </w:rPr>
        <w:t>y a la Comisión que, de considerarlo pertinente</w:t>
      </w:r>
      <w:r w:rsidR="00B13CD8">
        <w:rPr>
          <w:rFonts w:cs="Verdana"/>
          <w:szCs w:val="20"/>
          <w:lang w:bidi="en-US"/>
        </w:rPr>
        <w:t xml:space="preserve"> y</w:t>
      </w:r>
      <w:r w:rsidRPr="000717FC">
        <w:rPr>
          <w:rFonts w:cs="Verdana"/>
          <w:szCs w:val="20"/>
          <w:lang w:bidi="en-US"/>
        </w:rPr>
        <w:t xml:space="preserve"> en lo que les corresponda, en el plazo </w:t>
      </w:r>
      <w:r w:rsidRPr="000717FC">
        <w:rPr>
          <w:rFonts w:cs="Verdana"/>
          <w:iCs/>
          <w:szCs w:val="20"/>
          <w:lang w:bidi="en-US"/>
        </w:rPr>
        <w:t>improrrogable</w:t>
      </w:r>
      <w:r w:rsidRPr="000717FC">
        <w:rPr>
          <w:rFonts w:cs="Verdana"/>
          <w:szCs w:val="20"/>
          <w:lang w:bidi="en-US"/>
        </w:rPr>
        <w:t xml:space="preserve"> que vence el </w:t>
      </w:r>
      <w:r w:rsidR="00476B45">
        <w:rPr>
          <w:rFonts w:cs="Verdana"/>
          <w:szCs w:val="20"/>
          <w:lang w:bidi="en-US"/>
        </w:rPr>
        <w:t>21</w:t>
      </w:r>
      <w:r w:rsidRPr="004408CC">
        <w:rPr>
          <w:rFonts w:cs="Verdana"/>
          <w:szCs w:val="20"/>
          <w:lang w:bidi="en-US"/>
        </w:rPr>
        <w:t xml:space="preserve"> de </w:t>
      </w:r>
      <w:r w:rsidR="00133C28" w:rsidRPr="004408CC">
        <w:rPr>
          <w:rFonts w:cs="Verdana"/>
          <w:szCs w:val="20"/>
          <w:lang w:bidi="en-US"/>
        </w:rPr>
        <w:t>julio</w:t>
      </w:r>
      <w:r w:rsidRPr="004408CC">
        <w:rPr>
          <w:rFonts w:cs="Verdana"/>
          <w:szCs w:val="20"/>
          <w:lang w:bidi="en-US"/>
        </w:rPr>
        <w:t xml:space="preserve"> de 2017,</w:t>
      </w:r>
      <w:r w:rsidRPr="000717FC">
        <w:rPr>
          <w:rFonts w:cs="Verdana"/>
          <w:szCs w:val="20"/>
          <w:lang w:bidi="en-US"/>
        </w:rPr>
        <w:t xml:space="preserve"> presenten las preguntas que estimen pertinente formular a través de la Corte Interamericana a l</w:t>
      </w:r>
      <w:r w:rsidR="00ED33F5">
        <w:rPr>
          <w:rFonts w:cs="Verdana"/>
          <w:szCs w:val="20"/>
          <w:lang w:bidi="en-US"/>
        </w:rPr>
        <w:t>o</w:t>
      </w:r>
      <w:r w:rsidRPr="000717FC">
        <w:rPr>
          <w:rFonts w:cs="Verdana"/>
          <w:szCs w:val="20"/>
          <w:lang w:bidi="en-US"/>
        </w:rPr>
        <w:t>s</w:t>
      </w:r>
      <w:r w:rsidR="00ED33F5">
        <w:rPr>
          <w:rFonts w:cs="Verdana"/>
          <w:szCs w:val="20"/>
          <w:lang w:bidi="en-US"/>
        </w:rPr>
        <w:t xml:space="preserve"> </w:t>
      </w:r>
      <w:r w:rsidR="00ED33F5">
        <w:t>peticionarios</w:t>
      </w:r>
      <w:r w:rsidRPr="000717FC">
        <w:rPr>
          <w:rFonts w:cs="Verdana"/>
          <w:szCs w:val="20"/>
          <w:lang w:bidi="en-US"/>
        </w:rPr>
        <w:t>, al testigo y a los peritos re</w:t>
      </w:r>
      <w:r w:rsidR="00133C28" w:rsidRPr="000717FC">
        <w:rPr>
          <w:rFonts w:cs="Verdana"/>
          <w:szCs w:val="20"/>
          <w:lang w:bidi="en-US"/>
        </w:rPr>
        <w:t>feridos en el punto resolutivo 3</w:t>
      </w:r>
      <w:r w:rsidRPr="000717FC">
        <w:rPr>
          <w:rFonts w:cs="Verdana"/>
          <w:szCs w:val="20"/>
          <w:lang w:bidi="en-US"/>
        </w:rPr>
        <w:t xml:space="preserve">. Las declaraciones y peritajes requeridos en el punto resolutivo </w:t>
      </w:r>
      <w:r w:rsidR="009C0E9B">
        <w:rPr>
          <w:rFonts w:cs="Verdana"/>
          <w:szCs w:val="20"/>
          <w:lang w:bidi="en-US"/>
        </w:rPr>
        <w:t>3</w:t>
      </w:r>
      <w:r w:rsidRPr="000717FC">
        <w:rPr>
          <w:rFonts w:cs="Verdana"/>
          <w:szCs w:val="20"/>
          <w:lang w:bidi="en-US"/>
        </w:rPr>
        <w:t xml:space="preserve"> deberán ser presentados a más tardar el </w:t>
      </w:r>
      <w:r w:rsidR="00133C28" w:rsidRPr="004408CC">
        <w:rPr>
          <w:rFonts w:cs="Verdana"/>
          <w:szCs w:val="20"/>
          <w:lang w:bidi="en-US"/>
        </w:rPr>
        <w:t>3</w:t>
      </w:r>
      <w:r w:rsidRPr="004408CC">
        <w:rPr>
          <w:rFonts w:cs="Verdana"/>
          <w:szCs w:val="20"/>
          <w:lang w:bidi="en-US"/>
        </w:rPr>
        <w:t xml:space="preserve"> de </w:t>
      </w:r>
      <w:r w:rsidR="00133C28" w:rsidRPr="004408CC">
        <w:rPr>
          <w:rFonts w:cs="Verdana"/>
          <w:szCs w:val="20"/>
          <w:lang w:bidi="en-US"/>
        </w:rPr>
        <w:t>agosto</w:t>
      </w:r>
      <w:r w:rsidRPr="004408CC">
        <w:rPr>
          <w:rFonts w:cs="Verdana"/>
          <w:szCs w:val="20"/>
          <w:lang w:bidi="en-US"/>
        </w:rPr>
        <w:t xml:space="preserve"> de 2017.</w:t>
      </w:r>
    </w:p>
    <w:p w:rsidR="000D7BE8" w:rsidRPr="000717FC" w:rsidRDefault="000D7BE8" w:rsidP="00E23F4A">
      <w:pPr>
        <w:autoSpaceDE w:val="0"/>
        <w:autoSpaceDN w:val="0"/>
        <w:adjustRightInd w:val="0"/>
        <w:spacing w:before="120"/>
        <w:rPr>
          <w:rFonts w:cs="Verdana"/>
          <w:szCs w:val="20"/>
          <w:lang w:bidi="en-US"/>
        </w:rPr>
      </w:pPr>
    </w:p>
    <w:p w:rsidR="000D7BE8" w:rsidRPr="000717FC" w:rsidRDefault="000D7BE8" w:rsidP="00E23F4A">
      <w:pPr>
        <w:pStyle w:val="Listavistosa-nfasis11"/>
        <w:widowControl w:val="0"/>
        <w:numPr>
          <w:ilvl w:val="3"/>
          <w:numId w:val="44"/>
        </w:numPr>
        <w:tabs>
          <w:tab w:val="clear" w:pos="450"/>
          <w:tab w:val="num" w:pos="720"/>
        </w:tabs>
        <w:autoSpaceDE w:val="0"/>
        <w:autoSpaceDN w:val="0"/>
        <w:adjustRightInd w:val="0"/>
        <w:spacing w:before="120"/>
        <w:ind w:left="0" w:firstLine="0"/>
        <w:rPr>
          <w:rFonts w:cs="Verdana"/>
          <w:szCs w:val="20"/>
          <w:lang w:bidi="en-US"/>
        </w:rPr>
      </w:pPr>
      <w:r w:rsidRPr="000717FC">
        <w:rPr>
          <w:rFonts w:cs="Verdana"/>
          <w:szCs w:val="20"/>
          <w:lang w:bidi="en-US"/>
        </w:rPr>
        <w:t xml:space="preserve">Requerir a los </w:t>
      </w:r>
      <w:r w:rsidR="007831FB" w:rsidRPr="000717FC">
        <w:rPr>
          <w:rFonts w:cs="Verdana"/>
          <w:szCs w:val="20"/>
          <w:lang w:bidi="en-US"/>
        </w:rPr>
        <w:t>intervinientes comunes</w:t>
      </w:r>
      <w:r w:rsidRPr="000717FC">
        <w:rPr>
          <w:rFonts w:cs="Verdana"/>
          <w:szCs w:val="20"/>
          <w:lang w:bidi="en-US"/>
        </w:rPr>
        <w:t xml:space="preserve">, al Estado y a la Comisión que coordinen y realicen las diligencias </w:t>
      </w:r>
      <w:r w:rsidRPr="000717FC">
        <w:rPr>
          <w:szCs w:val="20"/>
        </w:rPr>
        <w:t>necesarias</w:t>
      </w:r>
      <w:r w:rsidRPr="000717FC">
        <w:rPr>
          <w:rFonts w:cs="Verdana"/>
          <w:szCs w:val="20"/>
          <w:lang w:bidi="en-US"/>
        </w:rPr>
        <w:t xml:space="preserve"> para que, una vez recibidas las preguntas, si las hubiere, los declarantes propuestos incluyan las respuestas respectivas en sus declaraciones rendidas ante fedatario público, de confo</w:t>
      </w:r>
      <w:r w:rsidR="00133C28" w:rsidRPr="000717FC">
        <w:rPr>
          <w:rFonts w:cs="Verdana"/>
          <w:szCs w:val="20"/>
          <w:lang w:bidi="en-US"/>
        </w:rPr>
        <w:t>rmidad con el punto resolutivo 3</w:t>
      </w:r>
      <w:r w:rsidRPr="000717FC">
        <w:rPr>
          <w:rFonts w:cs="Verdana"/>
          <w:szCs w:val="20"/>
          <w:lang w:bidi="en-US"/>
        </w:rPr>
        <w:t xml:space="preserve"> de la presente Resolución. </w:t>
      </w:r>
    </w:p>
    <w:p w:rsidR="000D7BE8" w:rsidRPr="000717FC" w:rsidRDefault="000D7BE8" w:rsidP="00E23F4A">
      <w:pPr>
        <w:pStyle w:val="Listavistosa-nfasis11"/>
        <w:numPr>
          <w:ilvl w:val="0"/>
          <w:numId w:val="0"/>
        </w:numPr>
        <w:tabs>
          <w:tab w:val="left" w:pos="720"/>
        </w:tabs>
        <w:spacing w:before="120"/>
        <w:rPr>
          <w:rFonts w:cs="Verdana"/>
          <w:szCs w:val="20"/>
          <w:lang w:bidi="en-US"/>
        </w:rPr>
      </w:pPr>
    </w:p>
    <w:p w:rsidR="000D7BE8" w:rsidRPr="000717FC" w:rsidRDefault="000D7BE8" w:rsidP="00E23F4A">
      <w:pPr>
        <w:pStyle w:val="Listavistosa-nfasis11"/>
        <w:widowControl w:val="0"/>
        <w:numPr>
          <w:ilvl w:val="3"/>
          <w:numId w:val="44"/>
        </w:numPr>
        <w:tabs>
          <w:tab w:val="clear" w:pos="450"/>
          <w:tab w:val="num" w:pos="720"/>
        </w:tabs>
        <w:autoSpaceDE w:val="0"/>
        <w:autoSpaceDN w:val="0"/>
        <w:adjustRightInd w:val="0"/>
        <w:spacing w:before="120"/>
        <w:ind w:left="0" w:firstLine="0"/>
        <w:rPr>
          <w:rFonts w:cs="Verdana"/>
          <w:szCs w:val="20"/>
          <w:lang w:bidi="en-US"/>
        </w:rPr>
      </w:pPr>
      <w:r w:rsidRPr="000717FC">
        <w:rPr>
          <w:rFonts w:cs="Verdana"/>
          <w:szCs w:val="20"/>
          <w:lang w:bidi="en-US"/>
        </w:rPr>
        <w:t xml:space="preserve">Disponer que, una vez recibidas las declaraciones y peritajes requeridos en el punto resolutivo </w:t>
      </w:r>
      <w:r w:rsidR="00133C28" w:rsidRPr="000717FC">
        <w:rPr>
          <w:rFonts w:cs="Verdana"/>
          <w:szCs w:val="20"/>
          <w:lang w:bidi="en-US"/>
        </w:rPr>
        <w:t>3</w:t>
      </w:r>
      <w:r w:rsidRPr="000717FC">
        <w:rPr>
          <w:rFonts w:cs="Verdana"/>
          <w:szCs w:val="20"/>
          <w:lang w:bidi="en-US"/>
        </w:rPr>
        <w:t xml:space="preserve">, la Secretaría de la Corte los transmita a los </w:t>
      </w:r>
      <w:r w:rsidR="007831FB" w:rsidRPr="000717FC">
        <w:rPr>
          <w:rFonts w:cs="Verdana"/>
          <w:szCs w:val="20"/>
          <w:lang w:bidi="en-US"/>
        </w:rPr>
        <w:t>intervinientes comunes</w:t>
      </w:r>
      <w:r w:rsidRPr="000717FC">
        <w:rPr>
          <w:rFonts w:cs="Verdana"/>
          <w:szCs w:val="20"/>
          <w:lang w:bidi="en-US"/>
        </w:rPr>
        <w:t xml:space="preserve">, a la Comisión y al </w:t>
      </w:r>
      <w:r w:rsidRPr="000717FC">
        <w:rPr>
          <w:szCs w:val="20"/>
        </w:rPr>
        <w:t>Estado</w:t>
      </w:r>
      <w:r w:rsidRPr="000717FC">
        <w:rPr>
          <w:rFonts w:cs="Verdana"/>
          <w:szCs w:val="20"/>
          <w:lang w:bidi="en-US"/>
        </w:rPr>
        <w:t xml:space="preserve"> para que, si lo estiman necesario y en lo que les corresponda, presenten sus observaciones a dichas declaraciones y peritajes, </w:t>
      </w:r>
      <w:r w:rsidRPr="000717FC">
        <w:rPr>
          <w:rFonts w:cs="Verdana"/>
          <w:szCs w:val="20"/>
        </w:rPr>
        <w:t>a más tardar con sus alegatos u observaciones finales escritos.</w:t>
      </w:r>
    </w:p>
    <w:p w:rsidR="000D7BE8" w:rsidRPr="005E403B" w:rsidRDefault="000D7BE8" w:rsidP="00E23F4A">
      <w:pPr>
        <w:pStyle w:val="Listavistosa-nfasis11"/>
        <w:widowControl w:val="0"/>
        <w:numPr>
          <w:ilvl w:val="0"/>
          <w:numId w:val="0"/>
        </w:numPr>
        <w:tabs>
          <w:tab w:val="left" w:pos="0"/>
        </w:tabs>
        <w:autoSpaceDE w:val="0"/>
        <w:autoSpaceDN w:val="0"/>
        <w:adjustRightInd w:val="0"/>
        <w:spacing w:before="120"/>
        <w:rPr>
          <w:rFonts w:cs="Verdana"/>
          <w:iCs/>
          <w:color w:val="E36C0A" w:themeColor="accent6" w:themeShade="BF"/>
          <w:szCs w:val="20"/>
          <w:lang w:bidi="en-US"/>
        </w:rPr>
      </w:pPr>
    </w:p>
    <w:p w:rsidR="000D7BE8" w:rsidRPr="005E403B" w:rsidRDefault="000D7BE8" w:rsidP="00E23F4A">
      <w:pPr>
        <w:pStyle w:val="Listavistosa-nfasis11"/>
        <w:widowControl w:val="0"/>
        <w:numPr>
          <w:ilvl w:val="3"/>
          <w:numId w:val="44"/>
        </w:numPr>
        <w:tabs>
          <w:tab w:val="clear" w:pos="450"/>
          <w:tab w:val="num" w:pos="720"/>
        </w:tabs>
        <w:autoSpaceDE w:val="0"/>
        <w:autoSpaceDN w:val="0"/>
        <w:adjustRightInd w:val="0"/>
        <w:spacing w:before="120"/>
        <w:ind w:left="0" w:firstLine="0"/>
        <w:rPr>
          <w:rFonts w:cs="Verdana"/>
          <w:iCs/>
          <w:szCs w:val="20"/>
          <w:lang w:bidi="en-US"/>
        </w:rPr>
      </w:pPr>
      <w:r w:rsidRPr="005E403B">
        <w:rPr>
          <w:szCs w:val="20"/>
          <w:lang w:val="es-CR"/>
        </w:rPr>
        <w:t xml:space="preserve">Requerir a los </w:t>
      </w:r>
      <w:r w:rsidR="007831FB" w:rsidRPr="005E403B">
        <w:rPr>
          <w:szCs w:val="20"/>
          <w:lang w:val="es-CR"/>
        </w:rPr>
        <w:t>Defensores Públicos Interamericanos</w:t>
      </w:r>
      <w:r w:rsidRPr="005E403B">
        <w:rPr>
          <w:szCs w:val="20"/>
          <w:lang w:val="es-CR"/>
        </w:rPr>
        <w:t xml:space="preserve"> que comuniquen a la Corte el nombre de</w:t>
      </w:r>
      <w:r w:rsidR="007831FB" w:rsidRPr="005E403B">
        <w:rPr>
          <w:szCs w:val="20"/>
          <w:lang w:val="es-CR"/>
        </w:rPr>
        <w:t xml:space="preserve"> </w:t>
      </w:r>
      <w:r w:rsidRPr="005E403B">
        <w:rPr>
          <w:szCs w:val="20"/>
          <w:lang w:val="es-CR"/>
        </w:rPr>
        <w:t>l</w:t>
      </w:r>
      <w:r w:rsidR="007831FB" w:rsidRPr="005E403B">
        <w:rPr>
          <w:szCs w:val="20"/>
          <w:lang w:val="es-CR"/>
        </w:rPr>
        <w:t>os</w:t>
      </w:r>
      <w:r w:rsidRPr="005E403B">
        <w:rPr>
          <w:szCs w:val="20"/>
          <w:lang w:val="es-CR"/>
        </w:rPr>
        <w:t xml:space="preserve"> declarante</w:t>
      </w:r>
      <w:r w:rsidR="007831FB" w:rsidRPr="005E403B">
        <w:rPr>
          <w:szCs w:val="20"/>
          <w:lang w:val="es-CR"/>
        </w:rPr>
        <w:t>s</w:t>
      </w:r>
      <w:r w:rsidRPr="005E403B">
        <w:rPr>
          <w:szCs w:val="20"/>
          <w:lang w:val="es-CR"/>
        </w:rPr>
        <w:t xml:space="preserve"> cuyo</w:t>
      </w:r>
      <w:r w:rsidR="007831FB" w:rsidRPr="005E403B">
        <w:rPr>
          <w:szCs w:val="20"/>
          <w:lang w:val="es-CR"/>
        </w:rPr>
        <w:t>s</w:t>
      </w:r>
      <w:r w:rsidRPr="005E403B">
        <w:rPr>
          <w:szCs w:val="20"/>
          <w:lang w:val="es-CR"/>
        </w:rPr>
        <w:t xml:space="preserve"> </w:t>
      </w:r>
      <w:r w:rsidRPr="005E403B">
        <w:rPr>
          <w:i/>
          <w:iCs/>
          <w:szCs w:val="20"/>
          <w:lang w:val="es-CR"/>
        </w:rPr>
        <w:t>afidávit</w:t>
      </w:r>
      <w:r w:rsidR="007831FB" w:rsidRPr="005E403B">
        <w:rPr>
          <w:i/>
          <w:iCs/>
          <w:szCs w:val="20"/>
          <w:lang w:val="es-CR"/>
        </w:rPr>
        <w:t>s</w:t>
      </w:r>
      <w:r w:rsidRPr="005E403B">
        <w:rPr>
          <w:i/>
          <w:iCs/>
          <w:szCs w:val="20"/>
          <w:lang w:val="es-CR"/>
        </w:rPr>
        <w:t xml:space="preserve"> </w:t>
      </w:r>
      <w:r w:rsidRPr="005E403B">
        <w:rPr>
          <w:szCs w:val="20"/>
          <w:lang w:val="es-CR"/>
        </w:rPr>
        <w:t xml:space="preserve">serán </w:t>
      </w:r>
      <w:r w:rsidRPr="006F390E">
        <w:rPr>
          <w:rFonts w:cs="Verdana"/>
          <w:iCs/>
          <w:szCs w:val="20"/>
          <w:lang w:bidi="en-US"/>
        </w:rPr>
        <w:t>cubierto</w:t>
      </w:r>
      <w:r w:rsidR="007831FB" w:rsidRPr="006F390E">
        <w:rPr>
          <w:rFonts w:cs="Verdana"/>
          <w:iCs/>
          <w:szCs w:val="20"/>
          <w:lang w:bidi="en-US"/>
        </w:rPr>
        <w:t>s</w:t>
      </w:r>
      <w:r w:rsidRPr="005E403B">
        <w:rPr>
          <w:szCs w:val="20"/>
          <w:lang w:val="es-CR"/>
        </w:rPr>
        <w:t xml:space="preserve"> por el Fondo de Asistencia, y que remita</w:t>
      </w:r>
      <w:r w:rsidR="007831FB" w:rsidRPr="005E403B">
        <w:rPr>
          <w:szCs w:val="20"/>
          <w:lang w:val="es-CR"/>
        </w:rPr>
        <w:t>n</w:t>
      </w:r>
      <w:r w:rsidRPr="005E403B">
        <w:rPr>
          <w:szCs w:val="20"/>
          <w:lang w:val="es-CR"/>
        </w:rPr>
        <w:t xml:space="preserve"> una cotización del costo de la formalización </w:t>
      </w:r>
      <w:r w:rsidRPr="005E403B">
        <w:rPr>
          <w:iCs/>
          <w:szCs w:val="20"/>
          <w:lang w:val="es-CR"/>
        </w:rPr>
        <w:t>de la</w:t>
      </w:r>
      <w:r w:rsidR="007831FB" w:rsidRPr="005E403B">
        <w:rPr>
          <w:iCs/>
          <w:szCs w:val="20"/>
          <w:lang w:val="es-CR"/>
        </w:rPr>
        <w:t>s</w:t>
      </w:r>
      <w:r w:rsidRPr="005E403B">
        <w:rPr>
          <w:iCs/>
          <w:szCs w:val="20"/>
          <w:lang w:val="es-CR"/>
        </w:rPr>
        <w:t xml:space="preserve"> declaraci</w:t>
      </w:r>
      <w:r w:rsidR="007831FB" w:rsidRPr="005E403B">
        <w:rPr>
          <w:iCs/>
          <w:szCs w:val="20"/>
          <w:lang w:val="es-CR"/>
        </w:rPr>
        <w:t>ones</w:t>
      </w:r>
      <w:r w:rsidRPr="005E403B">
        <w:rPr>
          <w:iCs/>
          <w:szCs w:val="20"/>
          <w:lang w:val="es-CR"/>
        </w:rPr>
        <w:t xml:space="preserve"> jurada</w:t>
      </w:r>
      <w:r w:rsidR="007831FB" w:rsidRPr="005E403B">
        <w:rPr>
          <w:iCs/>
          <w:szCs w:val="20"/>
          <w:lang w:val="es-CR"/>
        </w:rPr>
        <w:t>s</w:t>
      </w:r>
      <w:r w:rsidRPr="005E403B">
        <w:rPr>
          <w:iCs/>
          <w:szCs w:val="20"/>
          <w:lang w:val="es-CR"/>
        </w:rPr>
        <w:t xml:space="preserve"> en el país de residencia de</w:t>
      </w:r>
      <w:r w:rsidR="007831FB" w:rsidRPr="005E403B">
        <w:rPr>
          <w:iCs/>
          <w:szCs w:val="20"/>
          <w:lang w:val="es-CR"/>
        </w:rPr>
        <w:t xml:space="preserve"> </w:t>
      </w:r>
      <w:r w:rsidRPr="005E403B">
        <w:rPr>
          <w:iCs/>
          <w:szCs w:val="20"/>
          <w:lang w:val="es-CR"/>
        </w:rPr>
        <w:t>l</w:t>
      </w:r>
      <w:r w:rsidR="007831FB" w:rsidRPr="005E403B">
        <w:rPr>
          <w:iCs/>
          <w:szCs w:val="20"/>
          <w:lang w:val="es-CR"/>
        </w:rPr>
        <w:t>os</w:t>
      </w:r>
      <w:r w:rsidRPr="005E403B">
        <w:rPr>
          <w:iCs/>
          <w:szCs w:val="20"/>
          <w:lang w:val="es-CR"/>
        </w:rPr>
        <w:t xml:space="preserve"> declarante</w:t>
      </w:r>
      <w:r w:rsidR="007831FB" w:rsidRPr="005E403B">
        <w:rPr>
          <w:iCs/>
          <w:szCs w:val="20"/>
          <w:lang w:val="es-CR"/>
        </w:rPr>
        <w:t>s</w:t>
      </w:r>
      <w:r w:rsidRPr="005E403B">
        <w:rPr>
          <w:iCs/>
          <w:szCs w:val="20"/>
          <w:lang w:val="es-CR"/>
        </w:rPr>
        <w:t xml:space="preserve"> y de su</w:t>
      </w:r>
      <w:r w:rsidR="007831FB" w:rsidRPr="005E403B">
        <w:rPr>
          <w:iCs/>
          <w:szCs w:val="20"/>
          <w:lang w:val="es-CR"/>
        </w:rPr>
        <w:t>s</w:t>
      </w:r>
      <w:r w:rsidRPr="005E403B">
        <w:rPr>
          <w:iCs/>
          <w:szCs w:val="20"/>
          <w:lang w:val="es-CR"/>
        </w:rPr>
        <w:t xml:space="preserve"> respectivo</w:t>
      </w:r>
      <w:r w:rsidR="007831FB" w:rsidRPr="005E403B">
        <w:rPr>
          <w:iCs/>
          <w:szCs w:val="20"/>
          <w:lang w:val="es-CR"/>
        </w:rPr>
        <w:t>s</w:t>
      </w:r>
      <w:r w:rsidRPr="005E403B">
        <w:rPr>
          <w:iCs/>
          <w:szCs w:val="20"/>
          <w:lang w:val="es-CR"/>
        </w:rPr>
        <w:t xml:space="preserve"> envío</w:t>
      </w:r>
      <w:r w:rsidR="007831FB" w:rsidRPr="005E403B">
        <w:rPr>
          <w:iCs/>
          <w:szCs w:val="20"/>
          <w:lang w:val="es-CR"/>
        </w:rPr>
        <w:t>s</w:t>
      </w:r>
      <w:r w:rsidRPr="005E403B">
        <w:rPr>
          <w:szCs w:val="20"/>
          <w:lang w:val="es-CR"/>
        </w:rPr>
        <w:t>, a más tar</w:t>
      </w:r>
      <w:r w:rsidRPr="00EC1171">
        <w:rPr>
          <w:szCs w:val="20"/>
          <w:lang w:val="es-CR"/>
        </w:rPr>
        <w:t xml:space="preserve">dar el </w:t>
      </w:r>
      <w:r w:rsidR="00476B45">
        <w:rPr>
          <w:szCs w:val="20"/>
          <w:lang w:val="es-CR"/>
        </w:rPr>
        <w:t>21</w:t>
      </w:r>
      <w:r w:rsidRPr="00EC1171">
        <w:rPr>
          <w:szCs w:val="20"/>
          <w:lang w:val="es-CR"/>
        </w:rPr>
        <w:t xml:space="preserve"> de </w:t>
      </w:r>
      <w:r w:rsidR="007831FB" w:rsidRPr="00EC1171">
        <w:rPr>
          <w:szCs w:val="20"/>
          <w:lang w:val="es-CR"/>
        </w:rPr>
        <w:t>julio</w:t>
      </w:r>
      <w:r w:rsidRPr="00EC1171">
        <w:rPr>
          <w:szCs w:val="20"/>
          <w:lang w:val="es-CR"/>
        </w:rPr>
        <w:t xml:space="preserve"> de 2017, de conformidad con lo establecido en el</w:t>
      </w:r>
      <w:r w:rsidRPr="005E403B">
        <w:rPr>
          <w:szCs w:val="20"/>
          <w:lang w:val="es-CR"/>
        </w:rPr>
        <w:t xml:space="preserve"> Considerando </w:t>
      </w:r>
      <w:r w:rsidR="00100B6E">
        <w:rPr>
          <w:szCs w:val="20"/>
          <w:lang w:val="es-CR"/>
        </w:rPr>
        <w:t>44</w:t>
      </w:r>
      <w:r w:rsidRPr="005E403B">
        <w:rPr>
          <w:szCs w:val="20"/>
          <w:lang w:val="es-CR"/>
        </w:rPr>
        <w:t xml:space="preserve"> de la presente Resolución.</w:t>
      </w:r>
      <w:r w:rsidRPr="005E403B">
        <w:rPr>
          <w:rFonts w:cs="Verdana"/>
          <w:szCs w:val="20"/>
          <w:lang w:val="es-CR" w:bidi="en-US"/>
        </w:rPr>
        <w:t xml:space="preserve"> </w:t>
      </w:r>
      <w:r w:rsidRPr="005E403B">
        <w:rPr>
          <w:szCs w:val="20"/>
          <w:lang w:val="es-CR"/>
        </w:rPr>
        <w:t xml:space="preserve">  </w:t>
      </w:r>
    </w:p>
    <w:p w:rsidR="000D7BE8" w:rsidRPr="005E403B" w:rsidRDefault="000D7BE8" w:rsidP="00E23F4A">
      <w:pPr>
        <w:pStyle w:val="Listavistosa-nfasis11"/>
        <w:numPr>
          <w:ilvl w:val="0"/>
          <w:numId w:val="0"/>
        </w:numPr>
        <w:tabs>
          <w:tab w:val="left" w:pos="720"/>
        </w:tabs>
        <w:spacing w:before="120"/>
        <w:rPr>
          <w:rFonts w:cs="Verdana"/>
          <w:color w:val="E36C0A" w:themeColor="accent6" w:themeShade="BF"/>
          <w:szCs w:val="20"/>
          <w:lang w:bidi="en-US"/>
        </w:rPr>
      </w:pPr>
    </w:p>
    <w:p w:rsidR="000D7BE8" w:rsidRPr="005E403B" w:rsidRDefault="000D7BE8" w:rsidP="00E23F4A">
      <w:pPr>
        <w:pStyle w:val="Listavistosa-nfasis11"/>
        <w:widowControl w:val="0"/>
        <w:numPr>
          <w:ilvl w:val="3"/>
          <w:numId w:val="44"/>
        </w:numPr>
        <w:tabs>
          <w:tab w:val="clear" w:pos="450"/>
          <w:tab w:val="num" w:pos="720"/>
        </w:tabs>
        <w:autoSpaceDE w:val="0"/>
        <w:autoSpaceDN w:val="0"/>
        <w:adjustRightInd w:val="0"/>
        <w:spacing w:before="120"/>
        <w:ind w:left="0" w:firstLine="0"/>
        <w:rPr>
          <w:rFonts w:cs="Verdana"/>
          <w:iCs/>
          <w:szCs w:val="20"/>
          <w:lang w:bidi="en-US"/>
        </w:rPr>
      </w:pPr>
      <w:r w:rsidRPr="005E403B">
        <w:rPr>
          <w:rFonts w:cs="Verdana"/>
          <w:szCs w:val="20"/>
          <w:lang w:bidi="en-US"/>
        </w:rPr>
        <w:t xml:space="preserve">Informar a los </w:t>
      </w:r>
      <w:r w:rsidR="007831FB" w:rsidRPr="005E403B">
        <w:rPr>
          <w:rFonts w:cs="Verdana"/>
          <w:szCs w:val="20"/>
          <w:lang w:bidi="en-US"/>
        </w:rPr>
        <w:t>intervinientes comunes</w:t>
      </w:r>
      <w:r w:rsidRPr="005E403B">
        <w:rPr>
          <w:rFonts w:cs="Verdana"/>
          <w:szCs w:val="20"/>
          <w:lang w:bidi="en-US"/>
        </w:rPr>
        <w:t xml:space="preserve">, al Estado y a la Comisión Interamericana que deben cubrir los gastos que ocasione la aportación o rendición de la prueba propuesta por ellos, de conformidad con lo dispuesto en el artículo 60 del Reglamento. </w:t>
      </w:r>
    </w:p>
    <w:p w:rsidR="000D7BE8" w:rsidRPr="005E403B" w:rsidRDefault="000D7BE8" w:rsidP="00E23F4A">
      <w:pPr>
        <w:pStyle w:val="Listavistosa-nfasis11"/>
        <w:numPr>
          <w:ilvl w:val="0"/>
          <w:numId w:val="0"/>
        </w:numPr>
        <w:tabs>
          <w:tab w:val="left" w:pos="720"/>
        </w:tabs>
        <w:spacing w:before="120"/>
        <w:rPr>
          <w:rFonts w:cs="Verdana"/>
          <w:color w:val="E36C0A" w:themeColor="accent6" w:themeShade="BF"/>
          <w:szCs w:val="20"/>
          <w:lang w:bidi="en-US"/>
        </w:rPr>
      </w:pPr>
    </w:p>
    <w:p w:rsidR="000D7BE8" w:rsidRPr="005E403B" w:rsidRDefault="000D7BE8" w:rsidP="00E23F4A">
      <w:pPr>
        <w:pStyle w:val="Listavistosa-nfasis11"/>
        <w:widowControl w:val="0"/>
        <w:numPr>
          <w:ilvl w:val="3"/>
          <w:numId w:val="44"/>
        </w:numPr>
        <w:tabs>
          <w:tab w:val="clear" w:pos="450"/>
          <w:tab w:val="num" w:pos="720"/>
        </w:tabs>
        <w:autoSpaceDE w:val="0"/>
        <w:autoSpaceDN w:val="0"/>
        <w:adjustRightInd w:val="0"/>
        <w:spacing w:before="120"/>
        <w:ind w:left="0" w:firstLine="0"/>
        <w:rPr>
          <w:rFonts w:cs="Verdana"/>
          <w:iCs/>
          <w:szCs w:val="20"/>
          <w:lang w:bidi="en-US"/>
        </w:rPr>
      </w:pPr>
      <w:r w:rsidRPr="005E403B">
        <w:rPr>
          <w:rFonts w:cs="Verdana"/>
          <w:szCs w:val="20"/>
          <w:lang w:bidi="en-US"/>
        </w:rPr>
        <w:t xml:space="preserve">Requerir a los </w:t>
      </w:r>
      <w:r w:rsidR="007831FB" w:rsidRPr="005E403B">
        <w:rPr>
          <w:rFonts w:cs="Verdana"/>
          <w:szCs w:val="20"/>
          <w:lang w:bidi="en-US"/>
        </w:rPr>
        <w:t>intervinientes comunes</w:t>
      </w:r>
      <w:r w:rsidRPr="005E403B">
        <w:rPr>
          <w:rFonts w:cs="Verdana"/>
          <w:szCs w:val="20"/>
          <w:lang w:bidi="en-US"/>
        </w:rPr>
        <w:t xml:space="preserve">, al Estado y a la Comisión Interamericana que informen a las personas convocadas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0D7BE8" w:rsidRPr="005E403B" w:rsidRDefault="000D7BE8" w:rsidP="00E23F4A">
      <w:pPr>
        <w:pStyle w:val="Listavistosa-nfasis11"/>
        <w:numPr>
          <w:ilvl w:val="0"/>
          <w:numId w:val="0"/>
        </w:numPr>
        <w:tabs>
          <w:tab w:val="left" w:pos="720"/>
        </w:tabs>
        <w:spacing w:before="120"/>
        <w:rPr>
          <w:rFonts w:cs="Verdana"/>
          <w:color w:val="E36C0A" w:themeColor="accent6" w:themeShade="BF"/>
          <w:szCs w:val="20"/>
          <w:lang w:bidi="en-US"/>
        </w:rPr>
      </w:pPr>
    </w:p>
    <w:p w:rsidR="000D7BE8" w:rsidRPr="005E403B" w:rsidRDefault="000D7BE8" w:rsidP="00E23F4A">
      <w:pPr>
        <w:pStyle w:val="Listavistosa-nfasis11"/>
        <w:widowControl w:val="0"/>
        <w:numPr>
          <w:ilvl w:val="3"/>
          <w:numId w:val="44"/>
        </w:numPr>
        <w:tabs>
          <w:tab w:val="clear" w:pos="450"/>
          <w:tab w:val="num" w:pos="720"/>
        </w:tabs>
        <w:autoSpaceDE w:val="0"/>
        <w:autoSpaceDN w:val="0"/>
        <w:adjustRightInd w:val="0"/>
        <w:spacing w:before="120"/>
        <w:ind w:left="0" w:firstLine="0"/>
        <w:rPr>
          <w:rFonts w:cs="Verdana"/>
          <w:iCs/>
          <w:szCs w:val="20"/>
          <w:lang w:bidi="en-US"/>
        </w:rPr>
      </w:pPr>
      <w:r w:rsidRPr="005E403B">
        <w:rPr>
          <w:rFonts w:cs="Verdana"/>
          <w:szCs w:val="20"/>
          <w:lang w:bidi="en-US"/>
        </w:rPr>
        <w:t xml:space="preserve">Informar a los </w:t>
      </w:r>
      <w:r w:rsidR="007831FB" w:rsidRPr="005E403B">
        <w:rPr>
          <w:rFonts w:cs="Verdana"/>
          <w:szCs w:val="20"/>
          <w:lang w:bidi="en-US"/>
        </w:rPr>
        <w:t>intervinientes comunes</w:t>
      </w:r>
      <w:r w:rsidRPr="005E403B">
        <w:rPr>
          <w:rFonts w:cs="Verdana"/>
          <w:szCs w:val="20"/>
          <w:lang w:bidi="en-US"/>
        </w:rPr>
        <w:t xml:space="preserve"> y a la Comisión Interamericana que cuentan con un plazo hasta el </w:t>
      </w:r>
      <w:r w:rsidRPr="00136CEE">
        <w:rPr>
          <w:rFonts w:cs="Verdana"/>
          <w:szCs w:val="20"/>
          <w:lang w:bidi="en-US"/>
        </w:rPr>
        <w:t>2</w:t>
      </w:r>
      <w:r w:rsidR="007831FB" w:rsidRPr="00136CEE">
        <w:rPr>
          <w:rFonts w:cs="Verdana"/>
          <w:szCs w:val="20"/>
          <w:lang w:bidi="en-US"/>
        </w:rPr>
        <w:t>8</w:t>
      </w:r>
      <w:r w:rsidRPr="00136CEE">
        <w:rPr>
          <w:rFonts w:cs="Verdana"/>
          <w:szCs w:val="20"/>
          <w:lang w:bidi="en-US"/>
        </w:rPr>
        <w:t xml:space="preserve"> de </w:t>
      </w:r>
      <w:r w:rsidR="007831FB" w:rsidRPr="00136CEE">
        <w:rPr>
          <w:rFonts w:cs="Verdana"/>
          <w:szCs w:val="20"/>
          <w:lang w:bidi="en-US"/>
        </w:rPr>
        <w:t>septiembre</w:t>
      </w:r>
      <w:r w:rsidRPr="00136CEE">
        <w:rPr>
          <w:rFonts w:cs="Verdana"/>
          <w:szCs w:val="20"/>
          <w:lang w:bidi="en-US"/>
        </w:rPr>
        <w:t xml:space="preserve"> de 2017</w:t>
      </w:r>
      <w:r w:rsidRPr="005E403B">
        <w:rPr>
          <w:rFonts w:cs="Verdana"/>
          <w:szCs w:val="20"/>
          <w:lang w:bidi="en-US"/>
        </w:rPr>
        <w:t xml:space="preserve"> para presentar sus alegatos finales escritos y observaciones finales escritas, respectivamente, en relación </w:t>
      </w:r>
      <w:r w:rsidRPr="00E61D3D">
        <w:rPr>
          <w:rFonts w:cs="Verdana"/>
          <w:iCs/>
          <w:szCs w:val="20"/>
          <w:lang w:bidi="en-US"/>
        </w:rPr>
        <w:t>con</w:t>
      </w:r>
      <w:r w:rsidRPr="005E403B">
        <w:rPr>
          <w:rFonts w:cs="Verdana"/>
          <w:szCs w:val="20"/>
          <w:lang w:bidi="en-US"/>
        </w:rPr>
        <w:t xml:space="preserve"> las excepciones preliminares, eventuales fondo y reparaciones y costas. </w:t>
      </w:r>
      <w:r w:rsidR="007831FB" w:rsidRPr="005E403B">
        <w:rPr>
          <w:rFonts w:cs="Verdana"/>
          <w:szCs w:val="20"/>
          <w:lang w:bidi="en-US"/>
        </w:rPr>
        <w:t xml:space="preserve">El Estado cuenta con un plazo hasta el </w:t>
      </w:r>
      <w:r w:rsidR="007831FB" w:rsidRPr="00136CEE">
        <w:rPr>
          <w:rFonts w:cs="Verdana"/>
          <w:szCs w:val="20"/>
          <w:lang w:bidi="en-US"/>
        </w:rPr>
        <w:t xml:space="preserve">28 de </w:t>
      </w:r>
      <w:r w:rsidR="00DB662D">
        <w:rPr>
          <w:rFonts w:cs="Verdana"/>
          <w:szCs w:val="20"/>
          <w:lang w:bidi="en-US"/>
        </w:rPr>
        <w:t>noviembre</w:t>
      </w:r>
      <w:r w:rsidR="00DB662D" w:rsidRPr="00136CEE">
        <w:rPr>
          <w:rFonts w:cs="Verdana"/>
          <w:szCs w:val="20"/>
          <w:lang w:bidi="en-US"/>
        </w:rPr>
        <w:t xml:space="preserve"> </w:t>
      </w:r>
      <w:r w:rsidR="007831FB" w:rsidRPr="00136CEE">
        <w:rPr>
          <w:rFonts w:cs="Verdana"/>
          <w:szCs w:val="20"/>
          <w:lang w:bidi="en-US"/>
        </w:rPr>
        <w:t>de 2017</w:t>
      </w:r>
      <w:r w:rsidR="007831FB" w:rsidRPr="005E403B">
        <w:rPr>
          <w:rFonts w:cs="Verdana"/>
          <w:szCs w:val="20"/>
          <w:lang w:bidi="en-US"/>
        </w:rPr>
        <w:t xml:space="preserve"> para tales efectos. </w:t>
      </w:r>
      <w:r w:rsidRPr="005E403B">
        <w:rPr>
          <w:rFonts w:cs="Verdana"/>
          <w:szCs w:val="20"/>
          <w:lang w:bidi="en-US"/>
        </w:rPr>
        <w:t>Est</w:t>
      </w:r>
      <w:r w:rsidR="007831FB" w:rsidRPr="005E403B">
        <w:rPr>
          <w:rFonts w:cs="Verdana"/>
          <w:szCs w:val="20"/>
          <w:lang w:bidi="en-US"/>
        </w:rPr>
        <w:t>os</w:t>
      </w:r>
      <w:r w:rsidRPr="005E403B">
        <w:rPr>
          <w:rFonts w:cs="Verdana"/>
          <w:szCs w:val="20"/>
          <w:lang w:bidi="en-US"/>
        </w:rPr>
        <w:t xml:space="preserve"> plazo</w:t>
      </w:r>
      <w:r w:rsidR="007831FB" w:rsidRPr="005E403B">
        <w:rPr>
          <w:rFonts w:cs="Verdana"/>
          <w:szCs w:val="20"/>
          <w:lang w:bidi="en-US"/>
        </w:rPr>
        <w:t>s</w:t>
      </w:r>
      <w:r w:rsidRPr="005E403B">
        <w:rPr>
          <w:rFonts w:cs="Verdana"/>
          <w:szCs w:val="20"/>
          <w:lang w:bidi="en-US"/>
        </w:rPr>
        <w:t xml:space="preserve"> </w:t>
      </w:r>
      <w:r w:rsidR="007831FB" w:rsidRPr="005E403B">
        <w:rPr>
          <w:rFonts w:cs="Verdana"/>
          <w:szCs w:val="20"/>
          <w:lang w:bidi="en-US"/>
        </w:rPr>
        <w:t xml:space="preserve">son improrrogables. </w:t>
      </w:r>
    </w:p>
    <w:p w:rsidR="000D7BE8" w:rsidRPr="005E403B" w:rsidRDefault="000D7BE8" w:rsidP="00E23F4A">
      <w:pPr>
        <w:pStyle w:val="Listavistosa-nfasis11"/>
        <w:numPr>
          <w:ilvl w:val="0"/>
          <w:numId w:val="0"/>
        </w:numPr>
        <w:tabs>
          <w:tab w:val="left" w:pos="720"/>
        </w:tabs>
        <w:spacing w:before="120"/>
        <w:rPr>
          <w:rFonts w:cs="Verdana"/>
          <w:szCs w:val="20"/>
          <w:lang w:bidi="en-US"/>
        </w:rPr>
      </w:pPr>
    </w:p>
    <w:p w:rsidR="000D7BE8" w:rsidRPr="005E403B" w:rsidRDefault="000D7BE8" w:rsidP="00E23F4A">
      <w:pPr>
        <w:pStyle w:val="Listavistosa-nfasis11"/>
        <w:widowControl w:val="0"/>
        <w:numPr>
          <w:ilvl w:val="3"/>
          <w:numId w:val="44"/>
        </w:numPr>
        <w:tabs>
          <w:tab w:val="clear" w:pos="450"/>
          <w:tab w:val="num" w:pos="720"/>
        </w:tabs>
        <w:autoSpaceDE w:val="0"/>
        <w:autoSpaceDN w:val="0"/>
        <w:adjustRightInd w:val="0"/>
        <w:spacing w:before="120"/>
        <w:ind w:left="0" w:firstLine="0"/>
        <w:rPr>
          <w:rFonts w:cs="Verdana"/>
          <w:iCs/>
          <w:szCs w:val="20"/>
          <w:lang w:bidi="en-US"/>
        </w:rPr>
      </w:pPr>
      <w:r w:rsidRPr="005E403B">
        <w:rPr>
          <w:rFonts w:cs="Verdana"/>
          <w:szCs w:val="20"/>
          <w:lang w:bidi="en-US"/>
        </w:rPr>
        <w:t xml:space="preserve">Disponer que la Secretaría de la Corte notifique la presente </w:t>
      </w:r>
      <w:r w:rsidRPr="00E61D3D">
        <w:rPr>
          <w:rFonts w:cs="Verdana"/>
          <w:iCs/>
          <w:szCs w:val="20"/>
          <w:lang w:bidi="en-US"/>
        </w:rPr>
        <w:t>Resolución</w:t>
      </w:r>
      <w:r w:rsidRPr="005E403B">
        <w:rPr>
          <w:rFonts w:cs="Verdana"/>
          <w:szCs w:val="20"/>
          <w:lang w:bidi="en-US"/>
        </w:rPr>
        <w:t xml:space="preserve"> a los </w:t>
      </w:r>
      <w:r w:rsidR="00050D36" w:rsidRPr="005E403B">
        <w:rPr>
          <w:rFonts w:cs="Verdana"/>
          <w:szCs w:val="20"/>
          <w:lang w:bidi="en-US"/>
        </w:rPr>
        <w:t>intervinientes comunes</w:t>
      </w:r>
      <w:r w:rsidRPr="005E403B">
        <w:rPr>
          <w:rFonts w:cs="Verdana"/>
          <w:szCs w:val="20"/>
          <w:lang w:bidi="en-US"/>
        </w:rPr>
        <w:t xml:space="preserve">, a la República de </w:t>
      </w:r>
      <w:r w:rsidR="00050D36" w:rsidRPr="005E403B">
        <w:rPr>
          <w:rFonts w:cs="Verdana"/>
          <w:szCs w:val="20"/>
          <w:lang w:bidi="en-US"/>
        </w:rPr>
        <w:t>Costa Rica</w:t>
      </w:r>
      <w:r w:rsidRPr="005E403B">
        <w:rPr>
          <w:rFonts w:cs="Verdana"/>
          <w:szCs w:val="20"/>
          <w:lang w:bidi="en-US"/>
        </w:rPr>
        <w:t xml:space="preserve"> y a la Comisión Interamericana de Derechos Humanos. </w:t>
      </w:r>
    </w:p>
    <w:p w:rsidR="00E23F4A" w:rsidRDefault="00E23F4A">
      <w:pPr>
        <w:spacing w:after="200" w:line="276" w:lineRule="auto"/>
        <w:jc w:val="left"/>
        <w:rPr>
          <w:szCs w:val="20"/>
        </w:rPr>
      </w:pPr>
      <w:r>
        <w:rPr>
          <w:szCs w:val="20"/>
        </w:rPr>
        <w:br w:type="page"/>
      </w:r>
    </w:p>
    <w:p w:rsidR="00E23F4A" w:rsidRDefault="00E23F4A" w:rsidP="00E23F4A">
      <w:pPr>
        <w:spacing w:after="0"/>
        <w:rPr>
          <w:lang w:val="es-CR"/>
        </w:rPr>
      </w:pPr>
      <w:r>
        <w:rPr>
          <w:lang w:val="es-CR"/>
        </w:rPr>
        <w:lastRenderedPageBreak/>
        <w:t>Corte IDH.</w:t>
      </w:r>
      <w:r w:rsidRPr="00E23F4A">
        <w:rPr>
          <w:lang w:val="es-CR"/>
        </w:rPr>
        <w:t xml:space="preserve"> </w:t>
      </w:r>
      <w:r>
        <w:rPr>
          <w:lang w:val="es-CR"/>
        </w:rPr>
        <w:t xml:space="preserve">Caso </w:t>
      </w:r>
      <w:proofErr w:type="spellStart"/>
      <w:r>
        <w:rPr>
          <w:lang w:val="es-CR"/>
        </w:rPr>
        <w:t>Amrhein</w:t>
      </w:r>
      <w:proofErr w:type="spellEnd"/>
      <w:r>
        <w:rPr>
          <w:lang w:val="es-CR"/>
        </w:rPr>
        <w:t xml:space="preserve"> y otros Vs. Costa Rica. Resolución del Presidente de la Corte Interamericana de Derechos Humanos de 12 de julio de 2017.</w:t>
      </w:r>
    </w:p>
    <w:p w:rsidR="00E23F4A" w:rsidRDefault="00E23F4A" w:rsidP="00E23F4A">
      <w:pPr>
        <w:spacing w:after="0"/>
        <w:rPr>
          <w:lang w:val="es-CR"/>
        </w:rPr>
      </w:pPr>
    </w:p>
    <w:p w:rsidR="00E23F4A" w:rsidRDefault="00E23F4A" w:rsidP="00E23F4A">
      <w:pPr>
        <w:spacing w:after="0"/>
        <w:rPr>
          <w:lang w:val="es-CR"/>
        </w:rPr>
      </w:pPr>
    </w:p>
    <w:p w:rsidR="00E23F4A" w:rsidRDefault="00E23F4A" w:rsidP="00E23F4A">
      <w:pPr>
        <w:spacing w:after="0"/>
        <w:rPr>
          <w:lang w:val="es-CR"/>
        </w:rPr>
      </w:pPr>
    </w:p>
    <w:p w:rsidR="00E23F4A" w:rsidRDefault="00E23F4A" w:rsidP="00E23F4A">
      <w:pPr>
        <w:spacing w:after="0"/>
        <w:rPr>
          <w:lang w:val="es-CR"/>
        </w:rPr>
      </w:pPr>
    </w:p>
    <w:p w:rsidR="00E23F4A" w:rsidRDefault="00E23F4A" w:rsidP="00E23F4A">
      <w:pPr>
        <w:spacing w:after="0"/>
        <w:rPr>
          <w:lang w:val="es-CR"/>
        </w:rPr>
      </w:pPr>
    </w:p>
    <w:p w:rsidR="00E23F4A" w:rsidRDefault="00E23F4A" w:rsidP="00E23F4A">
      <w:pPr>
        <w:spacing w:after="0"/>
        <w:rPr>
          <w:lang w:val="es-CR"/>
        </w:rPr>
      </w:pPr>
    </w:p>
    <w:p w:rsidR="00E23F4A" w:rsidRDefault="00E23F4A" w:rsidP="00E23F4A">
      <w:pPr>
        <w:spacing w:after="0"/>
        <w:rPr>
          <w:lang w:val="es-CR"/>
        </w:rPr>
      </w:pPr>
    </w:p>
    <w:p w:rsidR="00E23F4A" w:rsidRDefault="00E23F4A" w:rsidP="00E23F4A">
      <w:pPr>
        <w:spacing w:after="0"/>
        <w:rPr>
          <w:lang w:val="es-CR"/>
        </w:rPr>
      </w:pPr>
    </w:p>
    <w:p w:rsidR="00E23F4A" w:rsidRDefault="00E23F4A" w:rsidP="00E23F4A">
      <w:pPr>
        <w:spacing w:after="0"/>
        <w:rPr>
          <w:lang w:val="es-CR"/>
        </w:rPr>
      </w:pPr>
    </w:p>
    <w:p w:rsidR="00E23F4A" w:rsidRPr="0041276B" w:rsidRDefault="00E23F4A" w:rsidP="00E23F4A">
      <w:pPr>
        <w:spacing w:after="0"/>
        <w:ind w:left="4410" w:firstLine="720"/>
        <w:jc w:val="center"/>
        <w:rPr>
          <w:lang w:val="pt-BR"/>
        </w:rPr>
      </w:pPr>
      <w:r w:rsidRPr="0041276B">
        <w:rPr>
          <w:lang w:val="pt-BR"/>
        </w:rPr>
        <w:t>Roberto F. Caldas</w:t>
      </w:r>
    </w:p>
    <w:p w:rsidR="00E23F4A" w:rsidRPr="0041276B" w:rsidRDefault="00E23F4A" w:rsidP="00E23F4A">
      <w:pPr>
        <w:spacing w:after="0"/>
        <w:ind w:left="4590" w:firstLine="720"/>
        <w:jc w:val="center"/>
        <w:rPr>
          <w:lang w:val="pt-BR"/>
        </w:rPr>
      </w:pPr>
      <w:r w:rsidRPr="0041276B">
        <w:rPr>
          <w:lang w:val="pt-BR"/>
        </w:rPr>
        <w:t xml:space="preserve">Presidente </w:t>
      </w:r>
    </w:p>
    <w:p w:rsidR="00E23F4A" w:rsidRPr="0041276B" w:rsidRDefault="00E23F4A" w:rsidP="00E23F4A">
      <w:pPr>
        <w:spacing w:after="0"/>
        <w:ind w:left="4590" w:firstLine="720"/>
        <w:jc w:val="center"/>
        <w:rPr>
          <w:lang w:val="pt-BR"/>
        </w:rPr>
      </w:pPr>
    </w:p>
    <w:p w:rsidR="00E23F4A" w:rsidRPr="0041276B" w:rsidRDefault="00E23F4A" w:rsidP="00E23F4A">
      <w:pPr>
        <w:spacing w:after="0"/>
        <w:ind w:left="4590" w:firstLine="720"/>
        <w:jc w:val="center"/>
        <w:rPr>
          <w:lang w:val="pt-BR"/>
        </w:rPr>
      </w:pPr>
    </w:p>
    <w:p w:rsidR="00E23F4A" w:rsidRPr="0041276B" w:rsidRDefault="00E23F4A" w:rsidP="00E23F4A">
      <w:pPr>
        <w:spacing w:after="0"/>
        <w:ind w:left="4590" w:firstLine="720"/>
        <w:jc w:val="center"/>
        <w:rPr>
          <w:lang w:val="pt-BR"/>
        </w:rPr>
      </w:pPr>
    </w:p>
    <w:p w:rsidR="00E23F4A" w:rsidRPr="0041276B" w:rsidRDefault="00E23F4A" w:rsidP="00E23F4A">
      <w:pPr>
        <w:spacing w:after="0"/>
        <w:ind w:left="4590" w:firstLine="720"/>
        <w:jc w:val="center"/>
        <w:rPr>
          <w:lang w:val="pt-BR"/>
        </w:rPr>
      </w:pPr>
    </w:p>
    <w:p w:rsidR="00E23F4A" w:rsidRPr="0041276B" w:rsidRDefault="00E23F4A" w:rsidP="00E23F4A">
      <w:pPr>
        <w:spacing w:after="0"/>
        <w:ind w:left="4590" w:firstLine="720"/>
        <w:jc w:val="center"/>
        <w:rPr>
          <w:lang w:val="pt-BR"/>
        </w:rPr>
      </w:pPr>
    </w:p>
    <w:p w:rsidR="00E23F4A" w:rsidRPr="0041276B" w:rsidRDefault="00E23F4A" w:rsidP="00E23F4A">
      <w:pPr>
        <w:spacing w:after="0"/>
        <w:rPr>
          <w:lang w:val="pt-BR"/>
        </w:rPr>
      </w:pPr>
    </w:p>
    <w:p w:rsidR="00E23F4A" w:rsidRPr="0041276B" w:rsidRDefault="00E23F4A" w:rsidP="00E23F4A">
      <w:pPr>
        <w:spacing w:after="0"/>
        <w:rPr>
          <w:lang w:val="pt-BR"/>
        </w:rPr>
      </w:pPr>
    </w:p>
    <w:p w:rsidR="00E23F4A" w:rsidRPr="0041276B" w:rsidRDefault="00E23F4A" w:rsidP="00E23F4A">
      <w:pPr>
        <w:spacing w:after="0"/>
        <w:rPr>
          <w:lang w:val="pt-BR"/>
        </w:rPr>
      </w:pPr>
      <w:r w:rsidRPr="0041276B">
        <w:rPr>
          <w:lang w:val="pt-BR"/>
        </w:rPr>
        <w:t>Pablo Saavedra Alessandri</w:t>
      </w:r>
    </w:p>
    <w:p w:rsidR="00E23F4A" w:rsidRDefault="00E23F4A" w:rsidP="00E23F4A">
      <w:pPr>
        <w:spacing w:after="0"/>
        <w:rPr>
          <w:lang w:val="es-ES"/>
        </w:rPr>
      </w:pPr>
      <w:r w:rsidRPr="0041276B">
        <w:rPr>
          <w:lang w:val="pt-BR"/>
        </w:rPr>
        <w:t xml:space="preserve">          </w:t>
      </w:r>
      <w:r>
        <w:rPr>
          <w:lang w:val="es-ES"/>
        </w:rPr>
        <w:t xml:space="preserve">Secretario </w:t>
      </w:r>
    </w:p>
    <w:p w:rsidR="00E23F4A" w:rsidRDefault="00E23F4A" w:rsidP="00E23F4A">
      <w:pPr>
        <w:spacing w:after="0"/>
        <w:jc w:val="center"/>
        <w:rPr>
          <w:lang w:val="es-ES"/>
        </w:rPr>
      </w:pPr>
    </w:p>
    <w:p w:rsidR="00E23F4A" w:rsidRDefault="00E23F4A" w:rsidP="00E23F4A">
      <w:pPr>
        <w:spacing w:after="0"/>
        <w:rPr>
          <w:lang w:val="es-CR"/>
        </w:rPr>
      </w:pPr>
    </w:p>
    <w:p w:rsidR="00E23F4A" w:rsidRDefault="00E23F4A" w:rsidP="00E23F4A">
      <w:pPr>
        <w:spacing w:after="0"/>
        <w:rPr>
          <w:lang w:val="es-CR"/>
        </w:rPr>
      </w:pPr>
    </w:p>
    <w:p w:rsidR="00E23F4A" w:rsidRDefault="00E23F4A" w:rsidP="00E23F4A">
      <w:pPr>
        <w:spacing w:after="0"/>
        <w:rPr>
          <w:lang w:val="es-CR"/>
        </w:rPr>
      </w:pPr>
      <w:r>
        <w:rPr>
          <w:lang w:val="es-CR"/>
        </w:rPr>
        <w:t>Comuníquese y ejecútese,</w:t>
      </w:r>
    </w:p>
    <w:p w:rsidR="00E23F4A" w:rsidRDefault="00E23F4A" w:rsidP="00E23F4A">
      <w:pPr>
        <w:spacing w:after="0"/>
        <w:jc w:val="center"/>
        <w:rPr>
          <w:lang w:val="es-CR"/>
        </w:rPr>
      </w:pPr>
    </w:p>
    <w:p w:rsidR="00E23F4A" w:rsidRDefault="00E23F4A" w:rsidP="00E23F4A">
      <w:pPr>
        <w:spacing w:after="0"/>
        <w:jc w:val="center"/>
        <w:rPr>
          <w:lang w:val="es-CR"/>
        </w:rPr>
      </w:pPr>
    </w:p>
    <w:p w:rsidR="00E23F4A" w:rsidRDefault="00E23F4A" w:rsidP="00E23F4A">
      <w:pPr>
        <w:spacing w:after="0"/>
        <w:jc w:val="center"/>
        <w:rPr>
          <w:lang w:val="es-CR"/>
        </w:rPr>
      </w:pPr>
    </w:p>
    <w:p w:rsidR="00E23F4A" w:rsidRDefault="00E23F4A" w:rsidP="00E23F4A">
      <w:pPr>
        <w:spacing w:after="0"/>
        <w:jc w:val="center"/>
        <w:rPr>
          <w:lang w:val="es-CR"/>
        </w:rPr>
      </w:pPr>
    </w:p>
    <w:p w:rsidR="00E23F4A" w:rsidRDefault="00E23F4A" w:rsidP="00E23F4A">
      <w:pPr>
        <w:spacing w:after="0"/>
        <w:rPr>
          <w:lang w:val="es-ES"/>
        </w:rPr>
      </w:pPr>
    </w:p>
    <w:p w:rsidR="00E23F4A" w:rsidRDefault="00E23F4A" w:rsidP="00E23F4A">
      <w:pPr>
        <w:spacing w:after="0"/>
        <w:jc w:val="center"/>
        <w:rPr>
          <w:lang w:val="es-ES"/>
        </w:rPr>
      </w:pPr>
    </w:p>
    <w:p w:rsidR="00E23F4A" w:rsidRDefault="00E23F4A" w:rsidP="00E23F4A">
      <w:pPr>
        <w:spacing w:after="0"/>
        <w:ind w:left="4770" w:firstLine="720"/>
        <w:jc w:val="center"/>
        <w:rPr>
          <w:lang w:val="es-ES"/>
        </w:rPr>
      </w:pPr>
      <w:r>
        <w:rPr>
          <w:lang w:val="es-ES"/>
        </w:rPr>
        <w:t>Roberto F. Caldas</w:t>
      </w:r>
    </w:p>
    <w:p w:rsidR="00E23F4A" w:rsidRDefault="00E23F4A" w:rsidP="00E23F4A">
      <w:pPr>
        <w:spacing w:after="0"/>
        <w:ind w:left="4950" w:firstLine="720"/>
        <w:jc w:val="center"/>
        <w:rPr>
          <w:lang w:val="es-ES"/>
        </w:rPr>
      </w:pPr>
      <w:r>
        <w:rPr>
          <w:lang w:val="es-ES"/>
        </w:rPr>
        <w:t xml:space="preserve">Presidente </w:t>
      </w:r>
    </w:p>
    <w:p w:rsidR="00E23F4A" w:rsidRDefault="00E23F4A" w:rsidP="00E23F4A">
      <w:pPr>
        <w:spacing w:after="0"/>
        <w:rPr>
          <w:lang w:val="es-ES"/>
        </w:rPr>
      </w:pPr>
    </w:p>
    <w:p w:rsidR="00E23F4A" w:rsidRDefault="00E23F4A" w:rsidP="00E23F4A">
      <w:pPr>
        <w:spacing w:after="0"/>
        <w:rPr>
          <w:lang w:val="es-ES"/>
        </w:rPr>
      </w:pPr>
    </w:p>
    <w:p w:rsidR="00E23F4A" w:rsidRDefault="00E23F4A" w:rsidP="00E23F4A">
      <w:pPr>
        <w:spacing w:after="0"/>
        <w:rPr>
          <w:lang w:val="es-ES"/>
        </w:rPr>
      </w:pPr>
    </w:p>
    <w:p w:rsidR="00E23F4A" w:rsidRDefault="00E23F4A" w:rsidP="00E23F4A">
      <w:pPr>
        <w:spacing w:after="0"/>
        <w:rPr>
          <w:lang w:val="es-ES"/>
        </w:rPr>
      </w:pPr>
    </w:p>
    <w:p w:rsidR="00E23F4A" w:rsidRDefault="00E23F4A" w:rsidP="00E23F4A">
      <w:pPr>
        <w:spacing w:after="0"/>
        <w:rPr>
          <w:lang w:val="es-ES"/>
        </w:rPr>
      </w:pPr>
    </w:p>
    <w:p w:rsidR="00E23F4A" w:rsidRDefault="00E23F4A" w:rsidP="00E23F4A">
      <w:pPr>
        <w:spacing w:after="0"/>
        <w:rPr>
          <w:lang w:val="es-ES"/>
        </w:rPr>
      </w:pPr>
    </w:p>
    <w:p w:rsidR="00E23F4A" w:rsidRDefault="00E23F4A" w:rsidP="00E23F4A">
      <w:pPr>
        <w:spacing w:after="0"/>
        <w:rPr>
          <w:lang w:val="es-ES"/>
        </w:rPr>
      </w:pPr>
    </w:p>
    <w:p w:rsidR="00E23F4A" w:rsidRDefault="00E23F4A" w:rsidP="00E23F4A">
      <w:pPr>
        <w:spacing w:after="0"/>
        <w:rPr>
          <w:lang w:val="es-ES"/>
        </w:rPr>
      </w:pPr>
      <w:r>
        <w:rPr>
          <w:lang w:val="es-ES"/>
        </w:rPr>
        <w:t>Pablo Saavedra Alessandri</w:t>
      </w:r>
    </w:p>
    <w:p w:rsidR="00E23F4A" w:rsidRDefault="00E23F4A" w:rsidP="00E23F4A">
      <w:pPr>
        <w:spacing w:after="0"/>
        <w:rPr>
          <w:lang w:val="es-ES"/>
        </w:rPr>
      </w:pPr>
      <w:r>
        <w:rPr>
          <w:lang w:val="es-ES"/>
        </w:rPr>
        <w:t xml:space="preserve">          Secretario </w:t>
      </w:r>
    </w:p>
    <w:p w:rsidR="00ED39FA" w:rsidRPr="005E403B" w:rsidRDefault="00ED39FA" w:rsidP="006066BD">
      <w:pPr>
        <w:pStyle w:val="Listavistosa-nfasis11"/>
        <w:widowControl w:val="0"/>
        <w:numPr>
          <w:ilvl w:val="0"/>
          <w:numId w:val="0"/>
        </w:numPr>
        <w:autoSpaceDE w:val="0"/>
        <w:autoSpaceDN w:val="0"/>
        <w:adjustRightInd w:val="0"/>
        <w:spacing w:after="0"/>
        <w:ind w:right="22"/>
        <w:contextualSpacing w:val="0"/>
        <w:rPr>
          <w:szCs w:val="20"/>
        </w:rPr>
      </w:pPr>
    </w:p>
    <w:sectPr w:rsidR="00ED39FA" w:rsidRPr="005E403B" w:rsidSect="00F22386">
      <w:headerReference w:type="defaul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1CB" w:rsidRDefault="00D011CB" w:rsidP="008E6216">
      <w:pPr>
        <w:spacing w:after="0"/>
      </w:pPr>
      <w:r>
        <w:separator/>
      </w:r>
    </w:p>
  </w:endnote>
  <w:endnote w:type="continuationSeparator" w:id="0">
    <w:p w:rsidR="00D011CB" w:rsidRDefault="00D011CB" w:rsidP="008E6216">
      <w:pPr>
        <w:spacing w:after="0"/>
      </w:pPr>
      <w:r>
        <w:continuationSeparator/>
      </w:r>
    </w:p>
  </w:endnote>
  <w:endnote w:type="continuationNotice" w:id="1">
    <w:p w:rsidR="00D011CB" w:rsidRDefault="00D011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Bold">
    <w:altName w:val="Tahoma"/>
    <w:panose1 w:val="020B08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swiss"/>
    <w:notTrueType/>
    <w:pitch w:val="default"/>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1CB" w:rsidRDefault="00D011CB" w:rsidP="008E6216">
      <w:pPr>
        <w:spacing w:after="0"/>
      </w:pPr>
      <w:r>
        <w:separator/>
      </w:r>
    </w:p>
  </w:footnote>
  <w:footnote w:type="continuationSeparator" w:id="0">
    <w:p w:rsidR="00D011CB" w:rsidRDefault="00D011CB" w:rsidP="008E6216">
      <w:pPr>
        <w:spacing w:after="0"/>
      </w:pPr>
      <w:r>
        <w:continuationSeparator/>
      </w:r>
    </w:p>
  </w:footnote>
  <w:footnote w:type="continuationNotice" w:id="1">
    <w:p w:rsidR="00D011CB" w:rsidRDefault="00D011CB">
      <w:pPr>
        <w:spacing w:after="0"/>
      </w:pPr>
    </w:p>
  </w:footnote>
  <w:footnote w:id="2">
    <w:p w:rsidR="00F52A64" w:rsidRPr="00F52A64" w:rsidRDefault="00F52A64" w:rsidP="001D5D03">
      <w:pPr>
        <w:pStyle w:val="FootnoteText"/>
        <w:rPr>
          <w:rFonts w:cs="Times New Roman"/>
          <w:sz w:val="16"/>
          <w:szCs w:val="16"/>
        </w:rPr>
      </w:pPr>
      <w:r w:rsidRPr="00F52A64">
        <w:rPr>
          <w:rStyle w:val="FootnoteReference"/>
          <w:sz w:val="16"/>
          <w:szCs w:val="16"/>
        </w:rPr>
        <w:t>*</w:t>
      </w:r>
      <w:r w:rsidRPr="00F52A64">
        <w:rPr>
          <w:sz w:val="16"/>
          <w:szCs w:val="16"/>
        </w:rPr>
        <w:t xml:space="preserve"> </w:t>
      </w:r>
      <w:r w:rsidR="001D5D03">
        <w:rPr>
          <w:sz w:val="16"/>
          <w:szCs w:val="16"/>
        </w:rPr>
        <w:tab/>
      </w:r>
      <w:r w:rsidRPr="00F52A64">
        <w:rPr>
          <w:sz w:val="16"/>
          <w:szCs w:val="16"/>
        </w:rPr>
        <w:t>La Jueza Elizabeth Odio Benito</w:t>
      </w:r>
      <w:r>
        <w:rPr>
          <w:sz w:val="16"/>
          <w:szCs w:val="16"/>
        </w:rPr>
        <w:t>, de nacionalidad costarricense</w:t>
      </w:r>
      <w:r w:rsidRPr="00F52A64">
        <w:rPr>
          <w:sz w:val="16"/>
          <w:szCs w:val="16"/>
        </w:rPr>
        <w:t xml:space="preserve">, no participa en el conocimiento del presente </w:t>
      </w:r>
      <w:r w:rsidR="00FA672C">
        <w:rPr>
          <w:sz w:val="16"/>
          <w:szCs w:val="16"/>
        </w:rPr>
        <w:t>caso</w:t>
      </w:r>
      <w:r w:rsidRPr="00F52A64">
        <w:rPr>
          <w:sz w:val="16"/>
          <w:szCs w:val="16"/>
        </w:rPr>
        <w:t xml:space="preserve">, de conformidad con lo dispuesto en el artículo 19.1 del Reglamento de la Corte. </w:t>
      </w:r>
    </w:p>
  </w:footnote>
  <w:footnote w:id="3">
    <w:p w:rsidR="00D720F6" w:rsidRPr="009320FF" w:rsidRDefault="00D720F6" w:rsidP="001D5D03">
      <w:pPr>
        <w:pStyle w:val="FootnoteText"/>
        <w:tabs>
          <w:tab w:val="left" w:pos="540"/>
        </w:tabs>
        <w:rPr>
          <w:sz w:val="16"/>
          <w:szCs w:val="16"/>
        </w:rPr>
      </w:pPr>
      <w:r w:rsidRPr="00B541F4">
        <w:rPr>
          <w:rStyle w:val="FootnoteReference"/>
          <w:sz w:val="16"/>
          <w:szCs w:val="16"/>
        </w:rPr>
        <w:footnoteRef/>
      </w:r>
      <w:r w:rsidRPr="00B541F4">
        <w:rPr>
          <w:sz w:val="16"/>
          <w:szCs w:val="16"/>
        </w:rPr>
        <w:t xml:space="preserve"> </w:t>
      </w:r>
      <w:r w:rsidRPr="00B541F4">
        <w:rPr>
          <w:sz w:val="16"/>
          <w:szCs w:val="16"/>
        </w:rPr>
        <w:tab/>
        <w:t xml:space="preserve">Los intervinientes comunes representantes de </w:t>
      </w:r>
      <w:r w:rsidR="00AB2674">
        <w:rPr>
          <w:sz w:val="16"/>
          <w:szCs w:val="16"/>
        </w:rPr>
        <w:t>los peticionarios</w:t>
      </w:r>
      <w:r w:rsidRPr="00B541F4">
        <w:rPr>
          <w:sz w:val="16"/>
          <w:szCs w:val="16"/>
        </w:rPr>
        <w:t xml:space="preserve"> son: i) el señor Adrián Martínez Blanco de </w:t>
      </w:r>
      <w:proofErr w:type="spellStart"/>
      <w:r w:rsidRPr="00B541F4">
        <w:rPr>
          <w:sz w:val="16"/>
          <w:szCs w:val="16"/>
        </w:rPr>
        <w:t>Factum</w:t>
      </w:r>
      <w:proofErr w:type="spellEnd"/>
      <w:r w:rsidRPr="00B541F4">
        <w:rPr>
          <w:sz w:val="16"/>
          <w:szCs w:val="16"/>
        </w:rPr>
        <w:t xml:space="preserve"> Consorcio; ii) Servicios Interamericanos de Profesionales en Derechos Humanos (SIPDH), y iii) José Arnoldo González Castro, Tomás Poblador Ramírez y Belinda Guevara </w:t>
      </w:r>
      <w:proofErr w:type="spellStart"/>
      <w:r w:rsidRPr="00B541F4">
        <w:rPr>
          <w:sz w:val="16"/>
          <w:szCs w:val="16"/>
        </w:rPr>
        <w:t>Casaya</w:t>
      </w:r>
      <w:proofErr w:type="spellEnd"/>
      <w:r w:rsidRPr="00B541F4">
        <w:rPr>
          <w:sz w:val="16"/>
          <w:szCs w:val="16"/>
        </w:rPr>
        <w:t xml:space="preserve">, de la Asociación Interamericana de </w:t>
      </w:r>
      <w:r w:rsidRPr="009320FF">
        <w:rPr>
          <w:sz w:val="16"/>
          <w:szCs w:val="16"/>
        </w:rPr>
        <w:t>Defensorías Públicas (AIDEF)</w:t>
      </w:r>
      <w:r w:rsidRPr="009320FF">
        <w:rPr>
          <w:sz w:val="16"/>
          <w:szCs w:val="16"/>
          <w:lang w:val="es-MX"/>
        </w:rPr>
        <w:t xml:space="preserve">. El 1 de junio de 2015 </w:t>
      </w:r>
      <w:r w:rsidRPr="00AB2674">
        <w:rPr>
          <w:sz w:val="16"/>
          <w:szCs w:val="16"/>
          <w:lang w:val="es-MX"/>
        </w:rPr>
        <w:t xml:space="preserve">los intervinientes comunes SIPDH remitieron dos escritos de solicitudes y argumentos correspondientes a dos grupos de </w:t>
      </w:r>
      <w:r w:rsidR="00AB2674" w:rsidRPr="00AB2674">
        <w:rPr>
          <w:sz w:val="16"/>
          <w:szCs w:val="16"/>
        </w:rPr>
        <w:t>peticionarios</w:t>
      </w:r>
      <w:r w:rsidRPr="00AB2674">
        <w:rPr>
          <w:sz w:val="16"/>
          <w:szCs w:val="16"/>
          <w:lang w:val="es-MX"/>
        </w:rPr>
        <w:t>, respectivamente</w:t>
      </w:r>
      <w:r w:rsidRPr="009320FF">
        <w:rPr>
          <w:sz w:val="16"/>
          <w:szCs w:val="16"/>
          <w:lang w:val="es-MX"/>
        </w:rPr>
        <w:t>.</w:t>
      </w:r>
    </w:p>
  </w:footnote>
  <w:footnote w:id="4">
    <w:p w:rsidR="00D720F6" w:rsidRPr="005703B0" w:rsidRDefault="00D720F6" w:rsidP="004F53DF">
      <w:pPr>
        <w:pStyle w:val="FootnoteText"/>
        <w:rPr>
          <w:sz w:val="16"/>
          <w:szCs w:val="16"/>
        </w:rPr>
      </w:pPr>
      <w:r w:rsidRPr="005703B0">
        <w:rPr>
          <w:rStyle w:val="FootnoteReference"/>
          <w:sz w:val="16"/>
          <w:szCs w:val="16"/>
        </w:rPr>
        <w:footnoteRef/>
      </w:r>
      <w:r w:rsidRPr="005703B0">
        <w:rPr>
          <w:sz w:val="16"/>
          <w:szCs w:val="16"/>
        </w:rPr>
        <w:t xml:space="preserve"> </w:t>
      </w:r>
      <w:r w:rsidR="001D5D03">
        <w:rPr>
          <w:sz w:val="16"/>
          <w:szCs w:val="16"/>
        </w:rPr>
        <w:tab/>
      </w:r>
      <w:r w:rsidR="00355745">
        <w:rPr>
          <w:sz w:val="16"/>
          <w:szCs w:val="16"/>
        </w:rPr>
        <w:t>Los intervinientes comunes</w:t>
      </w:r>
      <w:r w:rsidRPr="005703B0">
        <w:rPr>
          <w:sz w:val="16"/>
          <w:szCs w:val="16"/>
        </w:rPr>
        <w:t xml:space="preserve"> SIPDH no present</w:t>
      </w:r>
      <w:r w:rsidR="00355745">
        <w:rPr>
          <w:sz w:val="16"/>
          <w:szCs w:val="16"/>
        </w:rPr>
        <w:t>aron</w:t>
      </w:r>
      <w:r w:rsidRPr="005703B0">
        <w:rPr>
          <w:sz w:val="16"/>
          <w:szCs w:val="16"/>
        </w:rPr>
        <w:t xml:space="preserve"> una lista definitiva de declarantes </w:t>
      </w:r>
      <w:r w:rsidR="001D5D03">
        <w:rPr>
          <w:sz w:val="16"/>
          <w:szCs w:val="16"/>
        </w:rPr>
        <w:t>oportunamente.</w:t>
      </w:r>
    </w:p>
  </w:footnote>
  <w:footnote w:id="5">
    <w:p w:rsidR="00D720F6" w:rsidRPr="009320FF" w:rsidRDefault="00D720F6" w:rsidP="004F53DF">
      <w:pPr>
        <w:pStyle w:val="FootnoteText"/>
      </w:pPr>
      <w:r w:rsidRPr="009320FF">
        <w:rPr>
          <w:rStyle w:val="FootnoteReference"/>
          <w:sz w:val="16"/>
          <w:szCs w:val="16"/>
        </w:rPr>
        <w:footnoteRef/>
      </w:r>
      <w:r w:rsidRPr="009320FF">
        <w:rPr>
          <w:sz w:val="16"/>
          <w:szCs w:val="16"/>
        </w:rPr>
        <w:t xml:space="preserve"> </w:t>
      </w:r>
      <w:r w:rsidRPr="009320FF">
        <w:rPr>
          <w:sz w:val="16"/>
          <w:szCs w:val="16"/>
        </w:rPr>
        <w:tab/>
        <w:t>La emisión de esta Resolución no constituye un prejuzgamiento sobre las excepciones preliminares interpuestas por el Estado.</w:t>
      </w:r>
      <w:r>
        <w:t xml:space="preserve"> </w:t>
      </w:r>
    </w:p>
  </w:footnote>
  <w:footnote w:id="6">
    <w:p w:rsidR="00D720F6" w:rsidRPr="00B541F4" w:rsidRDefault="00D720F6" w:rsidP="004F53DF">
      <w:pPr>
        <w:pStyle w:val="FootnoteText"/>
        <w:rPr>
          <w:sz w:val="16"/>
          <w:szCs w:val="16"/>
          <w:lang w:val="es-CR"/>
        </w:rPr>
      </w:pPr>
      <w:r w:rsidRPr="00B541F4">
        <w:rPr>
          <w:rStyle w:val="FootnoteReference"/>
          <w:sz w:val="16"/>
          <w:szCs w:val="16"/>
        </w:rPr>
        <w:footnoteRef/>
      </w:r>
      <w:r w:rsidRPr="00B541F4">
        <w:rPr>
          <w:sz w:val="16"/>
          <w:szCs w:val="16"/>
        </w:rPr>
        <w:t xml:space="preserve">  </w:t>
      </w:r>
      <w:r w:rsidRPr="00B541F4">
        <w:rPr>
          <w:sz w:val="16"/>
          <w:szCs w:val="16"/>
        </w:rPr>
        <w:tab/>
        <w:t xml:space="preserve">Los Defensores Públicos Interamericanos ofrecieron nueve testigos en el escrito de solicitudes y argumentos, sin embargo, en la lista definitiva de declarantes solo confirmaron </w:t>
      </w:r>
      <w:r w:rsidR="00703D49">
        <w:rPr>
          <w:sz w:val="16"/>
          <w:szCs w:val="16"/>
        </w:rPr>
        <w:t xml:space="preserve">a </w:t>
      </w:r>
      <w:r w:rsidRPr="00B541F4">
        <w:rPr>
          <w:sz w:val="16"/>
          <w:szCs w:val="16"/>
        </w:rPr>
        <w:t>siete</w:t>
      </w:r>
      <w:r w:rsidR="00703D49">
        <w:rPr>
          <w:sz w:val="16"/>
          <w:szCs w:val="16"/>
        </w:rPr>
        <w:t xml:space="preserve"> de éstos</w:t>
      </w:r>
      <w:r w:rsidRPr="00B541F4">
        <w:rPr>
          <w:sz w:val="16"/>
          <w:szCs w:val="16"/>
        </w:rPr>
        <w:t xml:space="preserve">. En la lista definitiva también ofrecieron las declaraciones de cuatro </w:t>
      </w:r>
      <w:r w:rsidR="00AB2674" w:rsidRPr="00AB2674">
        <w:rPr>
          <w:sz w:val="16"/>
          <w:szCs w:val="16"/>
        </w:rPr>
        <w:t>peticionarios</w:t>
      </w:r>
      <w:r w:rsidR="00AB2674">
        <w:rPr>
          <w:sz w:val="16"/>
          <w:szCs w:val="16"/>
        </w:rPr>
        <w:t xml:space="preserve"> </w:t>
      </w:r>
      <w:r w:rsidR="00703D49">
        <w:rPr>
          <w:sz w:val="16"/>
          <w:szCs w:val="16"/>
        </w:rPr>
        <w:t>y de otros dos testigos</w:t>
      </w:r>
      <w:r w:rsidR="00B4546B">
        <w:rPr>
          <w:sz w:val="16"/>
          <w:szCs w:val="16"/>
        </w:rPr>
        <w:t xml:space="preserve"> diferentes</w:t>
      </w:r>
      <w:r w:rsidRPr="00B541F4">
        <w:rPr>
          <w:sz w:val="16"/>
          <w:szCs w:val="16"/>
        </w:rPr>
        <w:t xml:space="preserve">. </w:t>
      </w:r>
    </w:p>
  </w:footnote>
  <w:footnote w:id="7">
    <w:p w:rsidR="00D720F6" w:rsidRPr="00B541F4" w:rsidRDefault="00D720F6" w:rsidP="004F53DF">
      <w:pPr>
        <w:pStyle w:val="FootnoteText"/>
        <w:rPr>
          <w:sz w:val="16"/>
          <w:szCs w:val="16"/>
          <w:lang w:val="es-CR"/>
        </w:rPr>
      </w:pPr>
      <w:r w:rsidRPr="00B541F4">
        <w:rPr>
          <w:rStyle w:val="FootnoteReference"/>
          <w:sz w:val="16"/>
          <w:szCs w:val="16"/>
        </w:rPr>
        <w:footnoteRef/>
      </w:r>
      <w:r w:rsidRPr="00B541F4">
        <w:rPr>
          <w:sz w:val="16"/>
          <w:szCs w:val="16"/>
          <w:lang w:val="pt-BR"/>
        </w:rPr>
        <w:t xml:space="preserve"> </w:t>
      </w:r>
      <w:r w:rsidRPr="00B541F4">
        <w:rPr>
          <w:sz w:val="16"/>
          <w:szCs w:val="16"/>
          <w:lang w:val="pt-BR"/>
        </w:rPr>
        <w:tab/>
      </w:r>
      <w:r w:rsidRPr="00B541F4">
        <w:rPr>
          <w:i/>
          <w:sz w:val="16"/>
          <w:szCs w:val="16"/>
          <w:lang w:val="pt-BR"/>
        </w:rPr>
        <w:t xml:space="preserve">Cfr. Caso Pedro Miguel Vera Vera y otros Vs. </w:t>
      </w:r>
      <w:r w:rsidRPr="00B541F4">
        <w:rPr>
          <w:i/>
          <w:sz w:val="16"/>
          <w:szCs w:val="16"/>
        </w:rPr>
        <w:t>Ecuador.</w:t>
      </w:r>
      <w:r w:rsidRPr="00B541F4">
        <w:rPr>
          <w:sz w:val="16"/>
          <w:szCs w:val="16"/>
        </w:rPr>
        <w:t xml:space="preserve"> Resolución del Presidente de la Corte de 23 de diciembre de 2010, Considerando 9, y </w:t>
      </w:r>
      <w:r w:rsidRPr="00B541F4">
        <w:rPr>
          <w:bCs/>
          <w:i/>
          <w:sz w:val="16"/>
          <w:szCs w:val="16"/>
        </w:rPr>
        <w:t xml:space="preserve">Caso </w:t>
      </w:r>
      <w:proofErr w:type="spellStart"/>
      <w:r w:rsidRPr="00B541F4">
        <w:rPr>
          <w:bCs/>
          <w:i/>
          <w:sz w:val="16"/>
          <w:szCs w:val="16"/>
        </w:rPr>
        <w:t>Omeara</w:t>
      </w:r>
      <w:proofErr w:type="spellEnd"/>
      <w:r w:rsidRPr="00B541F4">
        <w:rPr>
          <w:bCs/>
          <w:i/>
          <w:sz w:val="16"/>
          <w:szCs w:val="16"/>
        </w:rPr>
        <w:t xml:space="preserve"> Carrascal y otros Vs. Colombia</w:t>
      </w:r>
      <w:r w:rsidRPr="00B541F4">
        <w:rPr>
          <w:bCs/>
          <w:sz w:val="16"/>
          <w:szCs w:val="16"/>
        </w:rPr>
        <w:t>. Convocatoria de audiencia. Resolución del Presidente de la Corte Interamericana de Derechos Humanos de 21 de abril de 2017. Considerando 10.</w:t>
      </w:r>
    </w:p>
  </w:footnote>
  <w:footnote w:id="8">
    <w:p w:rsidR="00D720F6" w:rsidRPr="00B541F4" w:rsidRDefault="00D720F6" w:rsidP="004F53DF">
      <w:pPr>
        <w:pStyle w:val="FootnoteText"/>
        <w:rPr>
          <w:b/>
          <w:sz w:val="16"/>
          <w:szCs w:val="16"/>
          <w:lang w:val="es-CR"/>
        </w:rPr>
      </w:pPr>
      <w:r w:rsidRPr="00B541F4">
        <w:rPr>
          <w:rStyle w:val="FootnoteReference"/>
          <w:sz w:val="16"/>
          <w:szCs w:val="16"/>
        </w:rPr>
        <w:footnoteRef/>
      </w:r>
      <w:r w:rsidRPr="00B541F4">
        <w:rPr>
          <w:sz w:val="16"/>
          <w:szCs w:val="16"/>
          <w:lang w:val="es-CR"/>
        </w:rPr>
        <w:t xml:space="preserve"> </w:t>
      </w:r>
      <w:r w:rsidR="00823B51">
        <w:rPr>
          <w:sz w:val="16"/>
          <w:szCs w:val="16"/>
          <w:lang w:val="es-CR"/>
        </w:rPr>
        <w:tab/>
      </w:r>
      <w:r w:rsidRPr="00B541F4">
        <w:rPr>
          <w:i/>
          <w:sz w:val="16"/>
          <w:szCs w:val="16"/>
          <w:lang w:val="es-CR"/>
        </w:rPr>
        <w:t>Cfr. Caso Herrera Espinoza y otros Vs. Ecuador.</w:t>
      </w:r>
      <w:r w:rsidRPr="00B541F4">
        <w:rPr>
          <w:sz w:val="16"/>
          <w:szCs w:val="16"/>
          <w:lang w:val="es-CR"/>
        </w:rPr>
        <w:t xml:space="preserve"> Resolución del Presidente de la Corte de 10 de diciembre de 2015, Considerando 19, y </w:t>
      </w:r>
      <w:r w:rsidRPr="00B541F4">
        <w:rPr>
          <w:bCs/>
          <w:i/>
          <w:sz w:val="16"/>
          <w:szCs w:val="16"/>
        </w:rPr>
        <w:t xml:space="preserve">Caso </w:t>
      </w:r>
      <w:proofErr w:type="spellStart"/>
      <w:r w:rsidRPr="00B541F4">
        <w:rPr>
          <w:bCs/>
          <w:i/>
          <w:sz w:val="16"/>
          <w:szCs w:val="16"/>
        </w:rPr>
        <w:t>Omeara</w:t>
      </w:r>
      <w:proofErr w:type="spellEnd"/>
      <w:r w:rsidRPr="00B541F4">
        <w:rPr>
          <w:bCs/>
          <w:i/>
          <w:sz w:val="16"/>
          <w:szCs w:val="16"/>
        </w:rPr>
        <w:t xml:space="preserve"> Carrascal y otros Vs. Colombia</w:t>
      </w:r>
      <w:r w:rsidRPr="00B541F4">
        <w:rPr>
          <w:bCs/>
          <w:sz w:val="16"/>
          <w:szCs w:val="16"/>
        </w:rPr>
        <w:t>. Convocatoria de audiencia. Resolución del Presidente de la Corte Interamericana de Derechos Humanos de 21 de abril de 2017. Considerando 10.</w:t>
      </w:r>
    </w:p>
  </w:footnote>
  <w:footnote w:id="9">
    <w:p w:rsidR="00D720F6" w:rsidRPr="00D27F97" w:rsidRDefault="00D720F6" w:rsidP="004F53DF">
      <w:pPr>
        <w:pStyle w:val="FootnoteText"/>
        <w:rPr>
          <w:i/>
          <w:sz w:val="16"/>
          <w:szCs w:val="16"/>
        </w:rPr>
      </w:pPr>
      <w:r w:rsidRPr="00B541F4">
        <w:rPr>
          <w:rStyle w:val="FootnoteReference"/>
          <w:sz w:val="16"/>
          <w:szCs w:val="16"/>
        </w:rPr>
        <w:footnoteRef/>
      </w:r>
      <w:r w:rsidRPr="00B541F4">
        <w:rPr>
          <w:sz w:val="16"/>
          <w:szCs w:val="16"/>
        </w:rPr>
        <w:t xml:space="preserve"> </w:t>
      </w:r>
      <w:r w:rsidR="00A476D5">
        <w:rPr>
          <w:sz w:val="16"/>
          <w:szCs w:val="16"/>
        </w:rPr>
        <w:tab/>
      </w:r>
      <w:r w:rsidRPr="00A476D5">
        <w:rPr>
          <w:i/>
          <w:sz w:val="16"/>
          <w:szCs w:val="16"/>
        </w:rPr>
        <w:t>Cfr</w:t>
      </w:r>
      <w:r w:rsidRPr="00B541F4">
        <w:rPr>
          <w:sz w:val="16"/>
          <w:szCs w:val="16"/>
        </w:rPr>
        <w:t xml:space="preserve">. </w:t>
      </w:r>
      <w:r w:rsidRPr="00B541F4">
        <w:rPr>
          <w:i/>
          <w:sz w:val="16"/>
          <w:szCs w:val="16"/>
        </w:rPr>
        <w:t>Caso Contreras y otros Vs. El Salvador</w:t>
      </w:r>
      <w:r w:rsidR="00A476D5">
        <w:rPr>
          <w:i/>
          <w:sz w:val="16"/>
          <w:szCs w:val="16"/>
        </w:rPr>
        <w:t>.</w:t>
      </w:r>
      <w:r w:rsidRPr="00B541F4">
        <w:rPr>
          <w:sz w:val="16"/>
          <w:szCs w:val="16"/>
        </w:rPr>
        <w:t xml:space="preserve"> </w:t>
      </w:r>
      <w:r w:rsidR="00A476D5">
        <w:rPr>
          <w:sz w:val="16"/>
          <w:szCs w:val="16"/>
        </w:rPr>
        <w:t xml:space="preserve">Convocatoria de audiencia. </w:t>
      </w:r>
      <w:r w:rsidRPr="00B541F4">
        <w:rPr>
          <w:sz w:val="16"/>
          <w:szCs w:val="16"/>
        </w:rPr>
        <w:t xml:space="preserve">Resolución del Presidente de la Corte de 14 de abril de 2011, Considerandos 12 y 15, y </w:t>
      </w:r>
      <w:r w:rsidRPr="00D27F97">
        <w:rPr>
          <w:i/>
          <w:sz w:val="16"/>
          <w:szCs w:val="16"/>
        </w:rPr>
        <w:t xml:space="preserve">Caso </w:t>
      </w:r>
      <w:proofErr w:type="spellStart"/>
      <w:r w:rsidRPr="00D27F97">
        <w:rPr>
          <w:i/>
          <w:sz w:val="16"/>
          <w:szCs w:val="16"/>
        </w:rPr>
        <w:t>Yarce</w:t>
      </w:r>
      <w:proofErr w:type="spellEnd"/>
      <w:r w:rsidRPr="00D27F97">
        <w:rPr>
          <w:i/>
          <w:sz w:val="16"/>
          <w:szCs w:val="16"/>
        </w:rPr>
        <w:t xml:space="preserve"> y otras Vs. Colombia. </w:t>
      </w:r>
      <w:r w:rsidRPr="00D27F97">
        <w:rPr>
          <w:sz w:val="16"/>
          <w:szCs w:val="16"/>
        </w:rPr>
        <w:t>Convocatoria de audiencia.</w:t>
      </w:r>
      <w:r w:rsidRPr="00D27F97">
        <w:rPr>
          <w:i/>
          <w:sz w:val="16"/>
          <w:szCs w:val="16"/>
        </w:rPr>
        <w:t xml:space="preserve"> </w:t>
      </w:r>
      <w:r w:rsidRPr="00D27F97">
        <w:rPr>
          <w:sz w:val="16"/>
          <w:szCs w:val="16"/>
        </w:rPr>
        <w:t>Resolución del Presidente en ejercicio de la Corte Interamericana de Derechos Humanos de 26 de mayo de 2015</w:t>
      </w:r>
      <w:r w:rsidRPr="00B541F4">
        <w:rPr>
          <w:sz w:val="16"/>
          <w:szCs w:val="16"/>
        </w:rPr>
        <w:t>, Considerando 24.</w:t>
      </w:r>
    </w:p>
  </w:footnote>
  <w:footnote w:id="10">
    <w:p w:rsidR="00D720F6" w:rsidRPr="00B541F4" w:rsidRDefault="00D720F6" w:rsidP="004F53DF">
      <w:pPr>
        <w:pStyle w:val="FootnoteText"/>
        <w:rPr>
          <w:sz w:val="16"/>
          <w:szCs w:val="16"/>
        </w:rPr>
      </w:pPr>
      <w:r w:rsidRPr="00B541F4">
        <w:rPr>
          <w:rStyle w:val="FootnoteReference"/>
          <w:sz w:val="16"/>
          <w:szCs w:val="16"/>
        </w:rPr>
        <w:footnoteRef/>
      </w:r>
      <w:r w:rsidRPr="00B541F4">
        <w:rPr>
          <w:sz w:val="16"/>
          <w:szCs w:val="16"/>
        </w:rPr>
        <w:t xml:space="preserve"> </w:t>
      </w:r>
      <w:r w:rsidRPr="00B541F4">
        <w:rPr>
          <w:sz w:val="16"/>
          <w:szCs w:val="16"/>
        </w:rPr>
        <w:tab/>
      </w:r>
      <w:r w:rsidRPr="00B541F4">
        <w:rPr>
          <w:i/>
          <w:sz w:val="16"/>
          <w:szCs w:val="16"/>
        </w:rPr>
        <w:t>Cfr. Caso Pacheco Teruel y otros Vs. Honduras.</w:t>
      </w:r>
      <w:r w:rsidRPr="00B541F4">
        <w:rPr>
          <w:sz w:val="16"/>
          <w:szCs w:val="16"/>
        </w:rPr>
        <w:t xml:space="preserve"> </w:t>
      </w:r>
      <w:r w:rsidR="00A476D5">
        <w:rPr>
          <w:sz w:val="16"/>
          <w:szCs w:val="16"/>
        </w:rPr>
        <w:t xml:space="preserve">Convocatoria de audiencia. </w:t>
      </w:r>
      <w:r w:rsidRPr="00B541F4">
        <w:rPr>
          <w:sz w:val="16"/>
          <w:szCs w:val="16"/>
        </w:rPr>
        <w:t>Resolución del Presidente de 27 de enero de 2012</w:t>
      </w:r>
      <w:r w:rsidR="00A476D5">
        <w:rPr>
          <w:sz w:val="16"/>
          <w:szCs w:val="16"/>
        </w:rPr>
        <w:t>,</w:t>
      </w:r>
      <w:r w:rsidRPr="00B541F4">
        <w:rPr>
          <w:sz w:val="16"/>
          <w:szCs w:val="16"/>
        </w:rPr>
        <w:t xml:space="preserve"> Considerando 9, y </w:t>
      </w:r>
      <w:r w:rsidRPr="00D27F97">
        <w:rPr>
          <w:rStyle w:val="Strong"/>
          <w:b w:val="0"/>
          <w:i/>
          <w:color w:val="000000"/>
          <w:sz w:val="16"/>
          <w:szCs w:val="16"/>
          <w:shd w:val="clear" w:color="auto" w:fill="FFFFFF"/>
        </w:rPr>
        <w:t xml:space="preserve">Caso Ramírez Escobar y otros Vs. Guatemala. </w:t>
      </w:r>
      <w:r w:rsidRPr="00D27F97">
        <w:rPr>
          <w:rStyle w:val="Strong"/>
          <w:b w:val="0"/>
          <w:color w:val="000000"/>
          <w:sz w:val="16"/>
          <w:szCs w:val="16"/>
          <w:shd w:val="clear" w:color="auto" w:fill="FFFFFF"/>
        </w:rPr>
        <w:t>Convocatoria de audiencia. Resolución del Presidente de la Corte Interamericana de Derechos Humanos de 11 de abril de 2017</w:t>
      </w:r>
      <w:r>
        <w:rPr>
          <w:rStyle w:val="Strong"/>
          <w:b w:val="0"/>
          <w:color w:val="000000"/>
          <w:sz w:val="16"/>
          <w:szCs w:val="16"/>
          <w:shd w:val="clear" w:color="auto" w:fill="FFFFFF"/>
        </w:rPr>
        <w:t xml:space="preserve">, </w:t>
      </w:r>
      <w:r w:rsidRPr="00B541F4">
        <w:rPr>
          <w:rStyle w:val="Strong"/>
          <w:b w:val="0"/>
          <w:color w:val="000000"/>
          <w:sz w:val="16"/>
          <w:szCs w:val="16"/>
          <w:shd w:val="clear" w:color="auto" w:fill="FFFFFF"/>
        </w:rPr>
        <w:t>Considerando 19.</w:t>
      </w:r>
    </w:p>
  </w:footnote>
  <w:footnote w:id="11">
    <w:p w:rsidR="00D720F6" w:rsidRPr="00B541F4" w:rsidRDefault="00D720F6" w:rsidP="004F53DF">
      <w:pPr>
        <w:rPr>
          <w:sz w:val="16"/>
          <w:szCs w:val="16"/>
        </w:rPr>
      </w:pPr>
      <w:r w:rsidRPr="00B541F4">
        <w:rPr>
          <w:rStyle w:val="FootnoteReference"/>
          <w:i/>
          <w:sz w:val="16"/>
          <w:szCs w:val="16"/>
        </w:rPr>
        <w:footnoteRef/>
      </w:r>
      <w:r w:rsidR="00A476D5">
        <w:rPr>
          <w:i/>
          <w:sz w:val="16"/>
          <w:szCs w:val="16"/>
        </w:rPr>
        <w:t xml:space="preserve"> </w:t>
      </w:r>
      <w:r w:rsidR="00A476D5">
        <w:rPr>
          <w:i/>
          <w:sz w:val="16"/>
          <w:szCs w:val="16"/>
        </w:rPr>
        <w:tab/>
      </w:r>
      <w:r w:rsidRPr="00B541F4">
        <w:rPr>
          <w:i/>
          <w:sz w:val="16"/>
          <w:szCs w:val="16"/>
        </w:rPr>
        <w:t>Cfr.</w:t>
      </w:r>
      <w:r w:rsidRPr="00B541F4">
        <w:rPr>
          <w:sz w:val="16"/>
          <w:szCs w:val="16"/>
        </w:rPr>
        <w:t xml:space="preserve"> </w:t>
      </w:r>
      <w:r w:rsidRPr="00B541F4">
        <w:rPr>
          <w:i/>
          <w:sz w:val="16"/>
          <w:szCs w:val="16"/>
        </w:rPr>
        <w:t>Caso Tristán Donoso Vs. Panamá.</w:t>
      </w:r>
      <w:r w:rsidRPr="00B541F4">
        <w:rPr>
          <w:sz w:val="16"/>
          <w:szCs w:val="16"/>
        </w:rPr>
        <w:t xml:space="preserve"> </w:t>
      </w:r>
      <w:r w:rsidR="00A476D5">
        <w:rPr>
          <w:sz w:val="16"/>
          <w:szCs w:val="16"/>
        </w:rPr>
        <w:t xml:space="preserve">Convocatoria de audiencia. </w:t>
      </w:r>
      <w:r w:rsidRPr="00B541F4">
        <w:rPr>
          <w:sz w:val="16"/>
          <w:szCs w:val="16"/>
        </w:rPr>
        <w:t xml:space="preserve">Resolución de la Presidenta de la Corte Interamericana de 9 de junio de 2008, Considerando </w:t>
      </w:r>
      <w:r w:rsidR="00A476D5">
        <w:rPr>
          <w:sz w:val="16"/>
          <w:szCs w:val="16"/>
        </w:rPr>
        <w:t>11</w:t>
      </w:r>
      <w:r w:rsidRPr="00B541F4">
        <w:rPr>
          <w:sz w:val="16"/>
          <w:szCs w:val="16"/>
        </w:rPr>
        <w:t xml:space="preserve">, y </w:t>
      </w:r>
      <w:r w:rsidR="00CE237B" w:rsidRPr="00CE237B">
        <w:rPr>
          <w:i/>
          <w:sz w:val="16"/>
          <w:szCs w:val="16"/>
        </w:rPr>
        <w:t>Caso Chinchilla Sandoval y otros Vs. Guatemala</w:t>
      </w:r>
      <w:r w:rsidR="00CE237B" w:rsidRPr="00CE237B">
        <w:rPr>
          <w:sz w:val="16"/>
          <w:szCs w:val="16"/>
        </w:rPr>
        <w:t>. Convocatoria de audiencia. Resolución del Presidente de la Corte Interamericana de Derecho</w:t>
      </w:r>
      <w:r w:rsidR="00CE237B">
        <w:rPr>
          <w:sz w:val="16"/>
          <w:szCs w:val="16"/>
        </w:rPr>
        <w:t>s Humanos de 12 de mayo de 2015, Considerando 31.</w:t>
      </w:r>
      <w:r w:rsidR="00CE237B" w:rsidRPr="00CE237B" w:rsidDel="00CE237B">
        <w:rPr>
          <w:sz w:val="16"/>
          <w:szCs w:val="16"/>
        </w:rPr>
        <w:t xml:space="preserve"> </w:t>
      </w:r>
    </w:p>
  </w:footnote>
  <w:footnote w:id="12">
    <w:p w:rsidR="00D720F6" w:rsidRPr="00B541F4" w:rsidRDefault="00D720F6" w:rsidP="004F53DF">
      <w:pPr>
        <w:pStyle w:val="FootnoteText"/>
        <w:rPr>
          <w:sz w:val="16"/>
          <w:szCs w:val="16"/>
          <w:lang w:val="es-CR"/>
        </w:rPr>
      </w:pPr>
      <w:r w:rsidRPr="00B541F4">
        <w:rPr>
          <w:rStyle w:val="FootnoteReference"/>
          <w:sz w:val="16"/>
          <w:szCs w:val="16"/>
        </w:rPr>
        <w:footnoteRef/>
      </w:r>
      <w:r w:rsidRPr="00B541F4">
        <w:rPr>
          <w:sz w:val="16"/>
          <w:szCs w:val="16"/>
        </w:rPr>
        <w:t xml:space="preserve"> </w:t>
      </w:r>
      <w:r w:rsidR="009C02B0">
        <w:rPr>
          <w:sz w:val="16"/>
          <w:szCs w:val="16"/>
        </w:rPr>
        <w:tab/>
      </w:r>
      <w:r w:rsidRPr="00B541F4">
        <w:rPr>
          <w:i/>
          <w:sz w:val="16"/>
          <w:szCs w:val="16"/>
        </w:rPr>
        <w:t xml:space="preserve">Cfr. Caso </w:t>
      </w:r>
      <w:proofErr w:type="spellStart"/>
      <w:r w:rsidRPr="00B541F4">
        <w:rPr>
          <w:i/>
          <w:sz w:val="16"/>
          <w:szCs w:val="16"/>
        </w:rPr>
        <w:t>Gelman</w:t>
      </w:r>
      <w:proofErr w:type="spellEnd"/>
      <w:r w:rsidRPr="00B541F4">
        <w:rPr>
          <w:i/>
          <w:sz w:val="16"/>
          <w:szCs w:val="16"/>
        </w:rPr>
        <w:t xml:space="preserve"> Vs. Uruguay.</w:t>
      </w:r>
      <w:r w:rsidRPr="00B541F4">
        <w:rPr>
          <w:sz w:val="16"/>
          <w:szCs w:val="16"/>
        </w:rPr>
        <w:t xml:space="preserve"> </w:t>
      </w:r>
      <w:r w:rsidR="009C02B0">
        <w:rPr>
          <w:sz w:val="16"/>
          <w:szCs w:val="16"/>
        </w:rPr>
        <w:t xml:space="preserve">Convocatoria de audiencia. </w:t>
      </w:r>
      <w:r w:rsidRPr="00B541F4">
        <w:rPr>
          <w:sz w:val="16"/>
          <w:szCs w:val="16"/>
        </w:rPr>
        <w:t xml:space="preserve">Resolución del Presidente de la Corte de 10 de septiembre de 2010, Considerandos 8 y 10, y </w:t>
      </w:r>
      <w:r w:rsidRPr="00B541F4">
        <w:rPr>
          <w:rStyle w:val="Strong"/>
          <w:b w:val="0"/>
          <w:i/>
          <w:color w:val="000000"/>
          <w:sz w:val="16"/>
          <w:szCs w:val="16"/>
          <w:shd w:val="clear" w:color="auto" w:fill="FFFFFF"/>
        </w:rPr>
        <w:t>Caso Genoveva y otros (</w:t>
      </w:r>
      <w:r w:rsidRPr="00B541F4">
        <w:rPr>
          <w:rStyle w:val="Strong"/>
          <w:b w:val="0"/>
          <w:i/>
          <w:iCs/>
          <w:color w:val="000000"/>
          <w:sz w:val="16"/>
          <w:szCs w:val="16"/>
          <w:shd w:val="clear" w:color="auto" w:fill="FFFFFF"/>
        </w:rPr>
        <w:t>Favela Nova Brasilia</w:t>
      </w:r>
      <w:r w:rsidRPr="00B541F4">
        <w:rPr>
          <w:rStyle w:val="Strong"/>
          <w:b w:val="0"/>
          <w:i/>
          <w:color w:val="000000"/>
          <w:sz w:val="16"/>
          <w:szCs w:val="16"/>
          <w:shd w:val="clear" w:color="auto" w:fill="FFFFFF"/>
        </w:rPr>
        <w:t>) Vs. Brasil.</w:t>
      </w:r>
      <w:r w:rsidRPr="00B541F4">
        <w:rPr>
          <w:rStyle w:val="Strong"/>
          <w:b w:val="0"/>
          <w:color w:val="000000"/>
          <w:sz w:val="16"/>
          <w:szCs w:val="16"/>
          <w:shd w:val="clear" w:color="auto" w:fill="FFFFFF"/>
        </w:rPr>
        <w:t xml:space="preserve"> Convocatoria de audiencia. Resolución del Presidente en ejercicio de la Corte de 4 de agosto de 2016</w:t>
      </w:r>
      <w:r>
        <w:rPr>
          <w:sz w:val="16"/>
          <w:szCs w:val="16"/>
        </w:rPr>
        <w:t>, Considerando 53.</w:t>
      </w:r>
    </w:p>
  </w:footnote>
  <w:footnote w:id="13">
    <w:p w:rsidR="00D720F6" w:rsidRPr="004F3266" w:rsidRDefault="00D720F6" w:rsidP="004F53DF">
      <w:pPr>
        <w:pStyle w:val="FootnoteText"/>
        <w:rPr>
          <w:sz w:val="16"/>
          <w:szCs w:val="16"/>
          <w:lang w:val="es-CR"/>
        </w:rPr>
      </w:pPr>
      <w:r w:rsidRPr="004F3266">
        <w:rPr>
          <w:rStyle w:val="FootnoteReference"/>
          <w:sz w:val="16"/>
          <w:szCs w:val="16"/>
        </w:rPr>
        <w:footnoteRef/>
      </w:r>
      <w:r w:rsidRPr="004F3266">
        <w:rPr>
          <w:sz w:val="16"/>
          <w:szCs w:val="16"/>
        </w:rPr>
        <w:t xml:space="preserve"> </w:t>
      </w:r>
      <w:r w:rsidR="009C02B0">
        <w:rPr>
          <w:sz w:val="16"/>
          <w:szCs w:val="16"/>
        </w:rPr>
        <w:tab/>
      </w:r>
      <w:r w:rsidRPr="00B541F4">
        <w:rPr>
          <w:i/>
          <w:sz w:val="16"/>
          <w:szCs w:val="16"/>
        </w:rPr>
        <w:t xml:space="preserve">Cfr. </w:t>
      </w:r>
      <w:r w:rsidRPr="00B541F4">
        <w:rPr>
          <w:bCs/>
          <w:i/>
          <w:sz w:val="16"/>
          <w:szCs w:val="16"/>
        </w:rPr>
        <w:t>Caso Tristán Donoso Vs. Panamá</w:t>
      </w:r>
      <w:r w:rsidRPr="00B541F4">
        <w:rPr>
          <w:bCs/>
          <w:sz w:val="16"/>
          <w:szCs w:val="16"/>
        </w:rPr>
        <w:t xml:space="preserve">. </w:t>
      </w:r>
      <w:r w:rsidR="006E5BFA">
        <w:rPr>
          <w:sz w:val="16"/>
          <w:szCs w:val="16"/>
        </w:rPr>
        <w:t xml:space="preserve">Convocatoria de audiencia. </w:t>
      </w:r>
      <w:r w:rsidRPr="00B541F4">
        <w:rPr>
          <w:bCs/>
          <w:sz w:val="16"/>
          <w:szCs w:val="16"/>
        </w:rPr>
        <w:t>Resolución de la Presidenta de la Corte Interamericana de Derechos Humanos de 9 de junio de 2008</w:t>
      </w:r>
      <w:r>
        <w:rPr>
          <w:sz w:val="16"/>
          <w:szCs w:val="16"/>
        </w:rPr>
        <w:t>, Considerando</w:t>
      </w:r>
      <w:r w:rsidRPr="00B541F4">
        <w:rPr>
          <w:sz w:val="16"/>
          <w:szCs w:val="16"/>
        </w:rPr>
        <w:t xml:space="preserve"> 26</w:t>
      </w:r>
      <w:r>
        <w:rPr>
          <w:sz w:val="16"/>
          <w:szCs w:val="16"/>
        </w:rPr>
        <w:t xml:space="preserve"> y</w:t>
      </w:r>
      <w:r w:rsidRPr="004F3266">
        <w:rPr>
          <w:sz w:val="16"/>
          <w:szCs w:val="16"/>
        </w:rPr>
        <w:t xml:space="preserve"> </w:t>
      </w:r>
      <w:r w:rsidRPr="00D720F6">
        <w:rPr>
          <w:i/>
          <w:sz w:val="16"/>
          <w:szCs w:val="16"/>
        </w:rPr>
        <w:t>Caso Rodríguez Vera y otros Vs. Colombia</w:t>
      </w:r>
      <w:r w:rsidRPr="00D720F6">
        <w:rPr>
          <w:sz w:val="16"/>
          <w:szCs w:val="16"/>
        </w:rPr>
        <w:t>. Convocatoria de audiencia. Resolución del Presidente de la Corte Interamericana de Derechos Humanos de 16 de octubre de 2013</w:t>
      </w:r>
      <w:r>
        <w:rPr>
          <w:sz w:val="16"/>
          <w:szCs w:val="16"/>
        </w:rPr>
        <w:t>, Considerando 31.</w:t>
      </w:r>
    </w:p>
  </w:footnote>
  <w:footnote w:id="14">
    <w:p w:rsidR="00D720F6" w:rsidRPr="004F3266" w:rsidRDefault="00D720F6" w:rsidP="004F53DF">
      <w:pPr>
        <w:pStyle w:val="FootnoteText"/>
        <w:rPr>
          <w:sz w:val="16"/>
          <w:szCs w:val="16"/>
        </w:rPr>
      </w:pPr>
      <w:r w:rsidRPr="004F3266">
        <w:rPr>
          <w:rStyle w:val="FootnoteReference"/>
          <w:sz w:val="16"/>
          <w:szCs w:val="16"/>
        </w:rPr>
        <w:footnoteRef/>
      </w:r>
      <w:r w:rsidRPr="004F3266">
        <w:rPr>
          <w:sz w:val="16"/>
          <w:szCs w:val="16"/>
        </w:rPr>
        <w:t xml:space="preserve"> </w:t>
      </w:r>
      <w:r w:rsidR="006E5BFA">
        <w:rPr>
          <w:sz w:val="16"/>
          <w:szCs w:val="16"/>
        </w:rPr>
        <w:tab/>
      </w:r>
      <w:r>
        <w:rPr>
          <w:sz w:val="16"/>
          <w:szCs w:val="16"/>
        </w:rPr>
        <w:t>Los Defensores Públicos Interamericanos</w:t>
      </w:r>
      <w:r w:rsidRPr="00B541F4">
        <w:rPr>
          <w:sz w:val="16"/>
          <w:szCs w:val="16"/>
        </w:rPr>
        <w:t xml:space="preserve"> present</w:t>
      </w:r>
      <w:r>
        <w:rPr>
          <w:sz w:val="16"/>
          <w:szCs w:val="16"/>
        </w:rPr>
        <w:t>aron</w:t>
      </w:r>
      <w:r w:rsidRPr="00B541F4">
        <w:rPr>
          <w:sz w:val="16"/>
          <w:szCs w:val="16"/>
        </w:rPr>
        <w:t xml:space="preserve"> a dicha persona para que se refiera a la: “continuidad y a la permanencia de los tratos crueles, inhumanos y degradantes que al día de hoy siguen recibiendo los privados de libertad del Centro Institucional La Reforma de San Rafael de Alajuela, producto de la sobrepoblación y hacinamiento, el racionamiento irracional del agua y la calidad de la misma, la falta de higiene y el racionamiento la inadecuada alimentación, y los problemas en cuanto a la atención médica” </w:t>
      </w:r>
      <w:r w:rsidR="00C963F1">
        <w:rPr>
          <w:sz w:val="16"/>
          <w:szCs w:val="16"/>
        </w:rPr>
        <w:t>.</w:t>
      </w:r>
    </w:p>
  </w:footnote>
  <w:footnote w:id="15">
    <w:p w:rsidR="00D720F6" w:rsidRPr="004F3266" w:rsidRDefault="00D720F6" w:rsidP="004F53DF">
      <w:pPr>
        <w:pStyle w:val="FootnoteText"/>
        <w:rPr>
          <w:sz w:val="16"/>
          <w:szCs w:val="16"/>
          <w:lang w:val="es-CR"/>
        </w:rPr>
      </w:pPr>
      <w:r w:rsidRPr="004F3266">
        <w:rPr>
          <w:rStyle w:val="FootnoteReference"/>
          <w:sz w:val="16"/>
          <w:szCs w:val="16"/>
        </w:rPr>
        <w:footnoteRef/>
      </w:r>
      <w:r w:rsidRPr="004F3266">
        <w:rPr>
          <w:sz w:val="16"/>
          <w:szCs w:val="16"/>
        </w:rPr>
        <w:t xml:space="preserve"> </w:t>
      </w:r>
      <w:r w:rsidR="00C963F1">
        <w:rPr>
          <w:sz w:val="16"/>
          <w:szCs w:val="16"/>
        </w:rPr>
        <w:tab/>
        <w:t>L</w:t>
      </w:r>
      <w:r>
        <w:rPr>
          <w:sz w:val="16"/>
          <w:szCs w:val="16"/>
        </w:rPr>
        <w:t>os Defensores Públicos Interamericanos</w:t>
      </w:r>
      <w:r w:rsidRPr="00B541F4">
        <w:rPr>
          <w:sz w:val="16"/>
          <w:szCs w:val="16"/>
        </w:rPr>
        <w:t xml:space="preserve"> </w:t>
      </w:r>
      <w:r w:rsidR="00C963F1">
        <w:rPr>
          <w:sz w:val="16"/>
          <w:szCs w:val="16"/>
        </w:rPr>
        <w:t xml:space="preserve">ofrecieron a dicha persona </w:t>
      </w:r>
      <w:r w:rsidRPr="00B541F4">
        <w:rPr>
          <w:sz w:val="16"/>
          <w:szCs w:val="16"/>
        </w:rPr>
        <w:t>para que se refiera al “estado de las cárceles costarricenses y el hacinamiento carcelario, en especial sobre las condiciones de hacinamiento, agua, comida, atención en salud y el espacio en el Centro Penal La Reforma”</w:t>
      </w:r>
      <w:r w:rsidR="00C963F1">
        <w:rPr>
          <w:sz w:val="16"/>
          <w:szCs w:val="16"/>
        </w:rPr>
        <w:t>.</w:t>
      </w:r>
    </w:p>
  </w:footnote>
  <w:footnote w:id="16">
    <w:p w:rsidR="00D720F6" w:rsidRPr="004F3266" w:rsidRDefault="00D720F6" w:rsidP="004F53DF">
      <w:pPr>
        <w:pStyle w:val="FootnoteText"/>
        <w:rPr>
          <w:sz w:val="16"/>
          <w:szCs w:val="16"/>
          <w:lang w:val="es-CR"/>
        </w:rPr>
      </w:pPr>
      <w:r w:rsidRPr="004F3266">
        <w:rPr>
          <w:rStyle w:val="FootnoteReference"/>
          <w:sz w:val="16"/>
          <w:szCs w:val="16"/>
        </w:rPr>
        <w:footnoteRef/>
      </w:r>
      <w:r w:rsidRPr="004F3266">
        <w:rPr>
          <w:sz w:val="16"/>
          <w:szCs w:val="16"/>
        </w:rPr>
        <w:t xml:space="preserve"> </w:t>
      </w:r>
      <w:r w:rsidR="00C963F1">
        <w:rPr>
          <w:sz w:val="16"/>
          <w:szCs w:val="16"/>
        </w:rPr>
        <w:tab/>
      </w:r>
      <w:r w:rsidRPr="00B541F4">
        <w:rPr>
          <w:sz w:val="16"/>
          <w:szCs w:val="16"/>
          <w:lang w:val="es-CR"/>
        </w:rPr>
        <w:t>Est</w:t>
      </w:r>
      <w:r w:rsidR="00ED33F5">
        <w:rPr>
          <w:sz w:val="16"/>
          <w:szCs w:val="16"/>
          <w:lang w:val="es-CR"/>
        </w:rPr>
        <w:t>o</w:t>
      </w:r>
      <w:r w:rsidRPr="00B541F4">
        <w:rPr>
          <w:sz w:val="16"/>
          <w:szCs w:val="16"/>
          <w:lang w:val="es-CR"/>
        </w:rPr>
        <w:t xml:space="preserve">s tres </w:t>
      </w:r>
      <w:r w:rsidR="00ED33F5" w:rsidRPr="00ED33F5">
        <w:rPr>
          <w:sz w:val="16"/>
          <w:szCs w:val="16"/>
          <w:lang w:val="es-CR"/>
        </w:rPr>
        <w:t>peticionarios</w:t>
      </w:r>
      <w:r w:rsidRPr="00B541F4">
        <w:rPr>
          <w:sz w:val="16"/>
          <w:szCs w:val="16"/>
          <w:lang w:val="es-CR"/>
        </w:rPr>
        <w:t xml:space="preserve"> fueron propuest</w:t>
      </w:r>
      <w:r w:rsidR="0062024E">
        <w:rPr>
          <w:sz w:val="16"/>
          <w:szCs w:val="16"/>
          <w:lang w:val="es-CR"/>
        </w:rPr>
        <w:t>o</w:t>
      </w:r>
      <w:r w:rsidRPr="00B541F4">
        <w:rPr>
          <w:sz w:val="16"/>
          <w:szCs w:val="16"/>
          <w:lang w:val="es-CR"/>
        </w:rPr>
        <w:t xml:space="preserve">s para declarar sobre el mismo objeto, </w:t>
      </w:r>
      <w:r w:rsidR="0074005C">
        <w:rPr>
          <w:sz w:val="16"/>
          <w:szCs w:val="16"/>
          <w:lang w:val="es-CR"/>
        </w:rPr>
        <w:t>a saber:</w:t>
      </w:r>
      <w:r w:rsidR="0074005C" w:rsidRPr="00B541F4">
        <w:rPr>
          <w:sz w:val="16"/>
          <w:szCs w:val="16"/>
          <w:lang w:val="es-CR"/>
        </w:rPr>
        <w:t xml:space="preserve"> </w:t>
      </w:r>
      <w:r w:rsidRPr="00B541F4">
        <w:rPr>
          <w:sz w:val="16"/>
          <w:szCs w:val="16"/>
          <w:lang w:val="es-CR"/>
        </w:rPr>
        <w:t>“las múltiples violaciones de derechos y garantías, tales como la afectación a [</w:t>
      </w:r>
      <w:r w:rsidR="0074005C">
        <w:rPr>
          <w:sz w:val="16"/>
          <w:szCs w:val="16"/>
          <w:lang w:val="es-CR"/>
        </w:rPr>
        <w:t>…</w:t>
      </w:r>
      <w:r w:rsidRPr="00B541F4">
        <w:rPr>
          <w:sz w:val="16"/>
          <w:szCs w:val="16"/>
          <w:lang w:val="es-CR"/>
        </w:rPr>
        <w:t>la] integridad física y a la vida producto todo ello de las condiciones de hacinamiento carcelario de las que ha[n] sido objeto. Así mismo a las violaciones a sus garantías judiciales y de acceso a la justicia, de los que ha[n] sido víctima[s]”.</w:t>
      </w:r>
    </w:p>
  </w:footnote>
  <w:footnote w:id="17">
    <w:p w:rsidR="00D720F6" w:rsidRPr="004F3266" w:rsidRDefault="00D720F6" w:rsidP="004F53DF">
      <w:pPr>
        <w:pStyle w:val="FootnoteText"/>
        <w:rPr>
          <w:sz w:val="16"/>
          <w:szCs w:val="16"/>
        </w:rPr>
      </w:pPr>
      <w:r w:rsidRPr="004F3266">
        <w:rPr>
          <w:rStyle w:val="FootnoteReference"/>
          <w:sz w:val="16"/>
          <w:szCs w:val="16"/>
        </w:rPr>
        <w:footnoteRef/>
      </w:r>
      <w:r w:rsidRPr="004F3266">
        <w:rPr>
          <w:sz w:val="16"/>
          <w:szCs w:val="16"/>
        </w:rPr>
        <w:t xml:space="preserve"> </w:t>
      </w:r>
      <w:r w:rsidR="00B4462C">
        <w:rPr>
          <w:sz w:val="16"/>
          <w:szCs w:val="16"/>
        </w:rPr>
        <w:tab/>
      </w:r>
      <w:r w:rsidR="00CE237B">
        <w:rPr>
          <w:sz w:val="16"/>
          <w:szCs w:val="16"/>
        </w:rPr>
        <w:t>Los Defensores Públicos Interamericanos ofrecieron la declaración</w:t>
      </w:r>
      <w:r w:rsidRPr="004F3266">
        <w:rPr>
          <w:sz w:val="16"/>
          <w:szCs w:val="16"/>
        </w:rPr>
        <w:t xml:space="preserve"> </w:t>
      </w:r>
      <w:r w:rsidR="00CE237B">
        <w:rPr>
          <w:sz w:val="16"/>
          <w:szCs w:val="16"/>
        </w:rPr>
        <w:t>del</w:t>
      </w:r>
      <w:r>
        <w:rPr>
          <w:sz w:val="16"/>
          <w:szCs w:val="16"/>
        </w:rPr>
        <w:t xml:space="preserve"> señor</w:t>
      </w:r>
      <w:r w:rsidRPr="004F3266">
        <w:rPr>
          <w:sz w:val="16"/>
          <w:szCs w:val="16"/>
        </w:rPr>
        <w:t xml:space="preserve"> Rafael</w:t>
      </w:r>
      <w:r w:rsidR="00CE237B">
        <w:rPr>
          <w:sz w:val="16"/>
          <w:szCs w:val="16"/>
        </w:rPr>
        <w:t xml:space="preserve"> Antonio</w:t>
      </w:r>
      <w:r w:rsidRPr="004F3266">
        <w:rPr>
          <w:sz w:val="16"/>
          <w:szCs w:val="16"/>
        </w:rPr>
        <w:t xml:space="preserve"> Rojas</w:t>
      </w:r>
      <w:r>
        <w:rPr>
          <w:sz w:val="16"/>
          <w:szCs w:val="16"/>
        </w:rPr>
        <w:t xml:space="preserve"> Madrigal</w:t>
      </w:r>
      <w:r w:rsidRPr="004F3266">
        <w:rPr>
          <w:sz w:val="16"/>
          <w:szCs w:val="16"/>
        </w:rPr>
        <w:t xml:space="preserve"> para que declarara sobre: “las múltiples violaciones de derechos y garantías, tales como la afectación a su integridad física y a la vida producto a la falta de atención médica y las condiciones de hacinamiento carcelario de las que ha sido objeto. Así mismo a las violaciones a sus garantías judiciales y de acceso a la justicia, de los que ha sido víctima. Igualmente, se referirá a la violación al principio de imparcialidad, del que ha sido objeto por parte de la Administración de Justicia costarricense y cómo se le ha negado el acceso a la sentencia escrita, cuando se le entregó la misma en un dispositivo electrónico para el cual, el sistema penitenciario no cuenta con la tecnología que le permita imponerse de su contenido”. </w:t>
      </w:r>
    </w:p>
  </w:footnote>
  <w:footnote w:id="18">
    <w:p w:rsidR="00D720F6" w:rsidRPr="00B541F4" w:rsidRDefault="00D720F6" w:rsidP="004F53DF">
      <w:pPr>
        <w:pStyle w:val="FootnoteText"/>
        <w:rPr>
          <w:sz w:val="16"/>
          <w:szCs w:val="16"/>
        </w:rPr>
      </w:pPr>
      <w:r w:rsidRPr="004F3266">
        <w:rPr>
          <w:rStyle w:val="FootnoteReference"/>
          <w:sz w:val="16"/>
          <w:szCs w:val="16"/>
        </w:rPr>
        <w:footnoteRef/>
      </w:r>
      <w:r w:rsidRPr="004F3266">
        <w:rPr>
          <w:sz w:val="16"/>
          <w:szCs w:val="16"/>
        </w:rPr>
        <w:t xml:space="preserve"> </w:t>
      </w:r>
      <w:r w:rsidR="000671B3">
        <w:rPr>
          <w:sz w:val="16"/>
          <w:szCs w:val="16"/>
        </w:rPr>
        <w:tab/>
      </w:r>
      <w:r w:rsidRPr="000671B3">
        <w:rPr>
          <w:i/>
          <w:sz w:val="16"/>
          <w:szCs w:val="16"/>
        </w:rPr>
        <w:t>Cfr</w:t>
      </w:r>
      <w:r w:rsidRPr="00B541F4">
        <w:rPr>
          <w:sz w:val="16"/>
          <w:szCs w:val="16"/>
        </w:rPr>
        <w:t xml:space="preserve">. </w:t>
      </w:r>
      <w:r w:rsidRPr="00B541F4">
        <w:rPr>
          <w:i/>
          <w:sz w:val="16"/>
          <w:szCs w:val="16"/>
        </w:rPr>
        <w:t xml:space="preserve">Caso Gomes </w:t>
      </w:r>
      <w:proofErr w:type="spellStart"/>
      <w:r w:rsidRPr="00B541F4">
        <w:rPr>
          <w:i/>
          <w:sz w:val="16"/>
          <w:szCs w:val="16"/>
        </w:rPr>
        <w:t>Lund</w:t>
      </w:r>
      <w:proofErr w:type="spellEnd"/>
      <w:r w:rsidRPr="00B541F4">
        <w:rPr>
          <w:i/>
          <w:sz w:val="16"/>
          <w:szCs w:val="16"/>
        </w:rPr>
        <w:t xml:space="preserve"> y otros Vs. Brasil</w:t>
      </w:r>
      <w:r w:rsidRPr="00B541F4">
        <w:rPr>
          <w:sz w:val="16"/>
          <w:szCs w:val="16"/>
        </w:rPr>
        <w:t>. Convocatoria de audiencia. Resolución del Presidente de la Corte Interamericana de Derechos Humanos de 30 de marzo de 2010, considerando 16</w:t>
      </w:r>
      <w:r w:rsidR="00CF173A">
        <w:rPr>
          <w:sz w:val="16"/>
          <w:szCs w:val="16"/>
        </w:rPr>
        <w:t xml:space="preserve">, y </w:t>
      </w:r>
      <w:r w:rsidR="00CF173A" w:rsidRPr="00CF173A">
        <w:rPr>
          <w:i/>
          <w:sz w:val="16"/>
          <w:szCs w:val="16"/>
        </w:rPr>
        <w:t xml:space="preserve">Caso Trabajadores de la Hacienda Brasil Verde Vs. Brasil. </w:t>
      </w:r>
      <w:r w:rsidR="00CF173A" w:rsidRPr="00CF173A">
        <w:rPr>
          <w:sz w:val="16"/>
          <w:szCs w:val="16"/>
        </w:rPr>
        <w:t>Diligencia in situ. Resolución del Presidente en ejercicio de la Corte Interamericana de Derechos Humanos de 23 de febrero de 2016, Considerando 7</w:t>
      </w:r>
      <w:r w:rsidRPr="00B541F4">
        <w:rPr>
          <w:sz w:val="16"/>
          <w:szCs w:val="16"/>
        </w:rPr>
        <w:t>.</w:t>
      </w:r>
    </w:p>
  </w:footnote>
  <w:footnote w:id="19">
    <w:p w:rsidR="00D720F6" w:rsidRPr="00B541F4" w:rsidRDefault="00D720F6" w:rsidP="004F53DF">
      <w:pPr>
        <w:pStyle w:val="FootnoteText"/>
        <w:rPr>
          <w:sz w:val="16"/>
          <w:szCs w:val="16"/>
          <w:lang w:val="es-CR"/>
        </w:rPr>
      </w:pPr>
      <w:r w:rsidRPr="00B541F4">
        <w:rPr>
          <w:rStyle w:val="FootnoteReference"/>
          <w:sz w:val="16"/>
          <w:szCs w:val="16"/>
        </w:rPr>
        <w:footnoteRef/>
      </w:r>
      <w:r w:rsidRPr="00B541F4">
        <w:rPr>
          <w:sz w:val="16"/>
          <w:szCs w:val="16"/>
          <w:lang w:val="es-CR"/>
        </w:rPr>
        <w:t xml:space="preserve"> </w:t>
      </w:r>
      <w:r w:rsidR="000671B3">
        <w:rPr>
          <w:sz w:val="16"/>
          <w:szCs w:val="16"/>
          <w:lang w:val="es-CR"/>
        </w:rPr>
        <w:tab/>
      </w:r>
      <w:r w:rsidRPr="00B541F4">
        <w:rPr>
          <w:i/>
          <w:sz w:val="16"/>
          <w:szCs w:val="16"/>
          <w:lang w:val="es-CR"/>
        </w:rPr>
        <w:t xml:space="preserve">Cfr. Caso </w:t>
      </w:r>
      <w:proofErr w:type="spellStart"/>
      <w:r w:rsidRPr="00B541F4">
        <w:rPr>
          <w:i/>
          <w:sz w:val="16"/>
          <w:szCs w:val="16"/>
          <w:lang w:val="es-CR"/>
        </w:rPr>
        <w:t>Gudiel</w:t>
      </w:r>
      <w:proofErr w:type="spellEnd"/>
      <w:r w:rsidRPr="00B541F4">
        <w:rPr>
          <w:i/>
          <w:sz w:val="16"/>
          <w:szCs w:val="16"/>
          <w:lang w:val="es-CR"/>
        </w:rPr>
        <w:t xml:space="preserve"> Ramos y otros Vs. Guatemala</w:t>
      </w:r>
      <w:r w:rsidRPr="00B541F4">
        <w:rPr>
          <w:sz w:val="16"/>
          <w:szCs w:val="16"/>
          <w:lang w:val="es-CR"/>
        </w:rPr>
        <w:t>. Resolución del Presidente de la Corte de 20 de diciembre de 2013</w:t>
      </w:r>
      <w:r w:rsidR="009C0297">
        <w:rPr>
          <w:sz w:val="16"/>
          <w:szCs w:val="16"/>
          <w:lang w:val="es-CR"/>
        </w:rPr>
        <w:t>,</w:t>
      </w:r>
      <w:r w:rsidR="00F52A64">
        <w:rPr>
          <w:sz w:val="16"/>
          <w:szCs w:val="16"/>
          <w:lang w:val="es-CR"/>
        </w:rPr>
        <w:t xml:space="preserve"> y </w:t>
      </w:r>
      <w:r w:rsidR="00F52A64" w:rsidRPr="00F52A64">
        <w:rPr>
          <w:i/>
          <w:sz w:val="16"/>
          <w:szCs w:val="16"/>
          <w:lang w:val="es-CR"/>
        </w:rPr>
        <w:t>Caso Comunidad Garífuna Triunfo de la Cruz y sus miembros Vs. Honduras</w:t>
      </w:r>
      <w:r w:rsidR="00F52A64" w:rsidRPr="00F52A64">
        <w:rPr>
          <w:sz w:val="16"/>
          <w:szCs w:val="16"/>
          <w:lang w:val="es-CR"/>
        </w:rPr>
        <w:t>. Convocatoria de audiencia. Resolución del Presidente de la Corte Interamericana de Derecho</w:t>
      </w:r>
      <w:r w:rsidR="00F52A64">
        <w:rPr>
          <w:sz w:val="16"/>
          <w:szCs w:val="16"/>
          <w:lang w:val="es-CR"/>
        </w:rPr>
        <w:t>s Humanos de 7 de abril de 2014, Considerando 12</w:t>
      </w:r>
      <w:r w:rsidRPr="00B541F4">
        <w:rPr>
          <w:sz w:val="16"/>
          <w:szCs w:val="16"/>
          <w:lang w:val="es-CR"/>
        </w:rPr>
        <w:t xml:space="preserve">. </w:t>
      </w:r>
    </w:p>
  </w:footnote>
  <w:footnote w:id="20">
    <w:p w:rsidR="00D720F6" w:rsidRPr="00B541F4" w:rsidRDefault="00D720F6" w:rsidP="004F53DF">
      <w:pPr>
        <w:pStyle w:val="FootnoteText"/>
        <w:rPr>
          <w:sz w:val="16"/>
          <w:szCs w:val="16"/>
        </w:rPr>
      </w:pPr>
      <w:r w:rsidRPr="00B541F4">
        <w:rPr>
          <w:rStyle w:val="FootnoteReference"/>
          <w:sz w:val="16"/>
          <w:szCs w:val="16"/>
        </w:rPr>
        <w:footnoteRef/>
      </w:r>
      <w:r w:rsidRPr="00B541F4">
        <w:rPr>
          <w:sz w:val="16"/>
          <w:szCs w:val="16"/>
        </w:rPr>
        <w:t xml:space="preserve"> </w:t>
      </w:r>
      <w:r w:rsidR="009C0297">
        <w:rPr>
          <w:sz w:val="16"/>
          <w:szCs w:val="16"/>
        </w:rPr>
        <w:tab/>
      </w:r>
      <w:r>
        <w:rPr>
          <w:sz w:val="16"/>
          <w:szCs w:val="16"/>
        </w:rPr>
        <w:t>Se ofreció la declaración de Eric Alfredo Chirino Sánchez</w:t>
      </w:r>
      <w:r w:rsidRPr="00B541F4">
        <w:rPr>
          <w:sz w:val="16"/>
          <w:szCs w:val="16"/>
        </w:rPr>
        <w:t xml:space="preserve"> para que se refiera </w:t>
      </w:r>
      <w:r>
        <w:rPr>
          <w:sz w:val="16"/>
          <w:szCs w:val="16"/>
        </w:rPr>
        <w:t>a</w:t>
      </w:r>
      <w:r w:rsidRPr="00B541F4">
        <w:rPr>
          <w:sz w:val="16"/>
          <w:szCs w:val="16"/>
        </w:rPr>
        <w:t xml:space="preserve"> “las sentencias penales orales que fueron sometidas a su conocimiento mediante recursos de casación y apelación […] y sobre los casos que estuvieron bajo su conocimiento en su función jurisdiccional, sobre los formalismos jurisprudenciales y normativos con respecto a las políticas y jurisprudencia en el tema de admisibilidad por parte de la Sala III en materia de recurso de casación y del procedimiento de revisión”.</w:t>
      </w:r>
    </w:p>
  </w:footnote>
  <w:footnote w:id="21">
    <w:p w:rsidR="00D720F6" w:rsidRPr="00B541F4" w:rsidRDefault="00D720F6" w:rsidP="004F53DF">
      <w:pPr>
        <w:pStyle w:val="FootnoteText"/>
        <w:rPr>
          <w:sz w:val="16"/>
          <w:szCs w:val="16"/>
        </w:rPr>
      </w:pPr>
      <w:r w:rsidRPr="00B541F4">
        <w:rPr>
          <w:rStyle w:val="FootnoteReference"/>
          <w:sz w:val="16"/>
          <w:szCs w:val="16"/>
        </w:rPr>
        <w:footnoteRef/>
      </w:r>
      <w:r w:rsidRPr="00B541F4">
        <w:rPr>
          <w:sz w:val="16"/>
          <w:szCs w:val="16"/>
        </w:rPr>
        <w:t xml:space="preserve"> </w:t>
      </w:r>
      <w:r w:rsidR="00B71559">
        <w:rPr>
          <w:sz w:val="16"/>
          <w:szCs w:val="16"/>
        </w:rPr>
        <w:tab/>
      </w:r>
      <w:r>
        <w:rPr>
          <w:sz w:val="16"/>
          <w:szCs w:val="16"/>
        </w:rPr>
        <w:t>Se ofreció la declaración de Rosaura Chinchilla Calderón</w:t>
      </w:r>
      <w:r w:rsidRPr="00B541F4">
        <w:rPr>
          <w:sz w:val="16"/>
          <w:szCs w:val="16"/>
        </w:rPr>
        <w:t xml:space="preserve"> para referirse a “los argumentos dados por quienes propiciaron los cambios en materia de impugnación en el proceso penal, propiamente con respecto a la ley de apertura de la casación penal y la creación del recurso de apelación […] en las reuniones en las cuales […] estuvo presente con representantes y magistrados de la Corte Suprema. Igualmente brindara testimonio de su participación directa como jueza y su experiencia en la comisión legislativa de asuntos jurídicos y su participación en preguntas y respuestas en sesiones de esta comisión, todo esto en el proceso de reforma de la ley de impugnación”</w:t>
      </w:r>
      <w:r>
        <w:rPr>
          <w:sz w:val="16"/>
          <w:szCs w:val="16"/>
        </w:rPr>
        <w:t>.</w:t>
      </w:r>
    </w:p>
  </w:footnote>
  <w:footnote w:id="22">
    <w:p w:rsidR="00D720F6" w:rsidRPr="00B541F4" w:rsidRDefault="00D720F6" w:rsidP="004F53DF">
      <w:pPr>
        <w:pStyle w:val="FootnoteText"/>
        <w:rPr>
          <w:sz w:val="16"/>
          <w:szCs w:val="16"/>
          <w:lang w:val="es-CR"/>
        </w:rPr>
      </w:pPr>
      <w:r w:rsidRPr="00B541F4">
        <w:rPr>
          <w:rStyle w:val="FootnoteReference"/>
          <w:sz w:val="16"/>
          <w:szCs w:val="16"/>
        </w:rPr>
        <w:footnoteRef/>
      </w:r>
      <w:r w:rsidRPr="00B541F4">
        <w:rPr>
          <w:sz w:val="16"/>
          <w:szCs w:val="16"/>
        </w:rPr>
        <w:t xml:space="preserve"> </w:t>
      </w:r>
      <w:r w:rsidR="00B71559">
        <w:rPr>
          <w:sz w:val="16"/>
          <w:szCs w:val="16"/>
        </w:rPr>
        <w:tab/>
      </w:r>
      <w:r>
        <w:rPr>
          <w:sz w:val="16"/>
          <w:szCs w:val="16"/>
        </w:rPr>
        <w:t>Se ofreció la declaración de Marta Iris Muñoz Cascante</w:t>
      </w:r>
      <w:r w:rsidRPr="00B541F4">
        <w:rPr>
          <w:sz w:val="16"/>
          <w:szCs w:val="16"/>
        </w:rPr>
        <w:t xml:space="preserve"> para declarar “sobre las visitas de monitoreo de La Defensa Publica a la cárcel de La </w:t>
      </w:r>
      <w:r>
        <w:rPr>
          <w:sz w:val="16"/>
          <w:szCs w:val="16"/>
        </w:rPr>
        <w:t>R</w:t>
      </w:r>
      <w:r w:rsidRPr="00B541F4">
        <w:rPr>
          <w:sz w:val="16"/>
          <w:szCs w:val="16"/>
        </w:rPr>
        <w:t>eforma y a las restantes unidades ca</w:t>
      </w:r>
      <w:r>
        <w:rPr>
          <w:sz w:val="16"/>
          <w:szCs w:val="16"/>
        </w:rPr>
        <w:t>r</w:t>
      </w:r>
      <w:r w:rsidRPr="00B541F4">
        <w:rPr>
          <w:sz w:val="16"/>
          <w:szCs w:val="16"/>
        </w:rPr>
        <w:t>celarias del país, […] del estado de las instalaciones y las declaraciones de los privados de libertad, así mismo sobre detalles de su tesis para optar al grado de maestría y de las cifras de hacinamiento en Costa Rica en los últimos 15 años”</w:t>
      </w:r>
      <w:r w:rsidR="00C54F43">
        <w:rPr>
          <w:sz w:val="16"/>
          <w:szCs w:val="16"/>
        </w:rPr>
        <w:t>.</w:t>
      </w:r>
    </w:p>
  </w:footnote>
  <w:footnote w:id="23">
    <w:p w:rsidR="00D720F6" w:rsidRPr="00B541F4" w:rsidRDefault="00D720F6" w:rsidP="004F53DF">
      <w:pPr>
        <w:pStyle w:val="FootnoteText"/>
        <w:rPr>
          <w:sz w:val="16"/>
          <w:szCs w:val="16"/>
        </w:rPr>
      </w:pPr>
      <w:r w:rsidRPr="00B541F4">
        <w:rPr>
          <w:rStyle w:val="FootnoteReference"/>
          <w:sz w:val="16"/>
          <w:szCs w:val="16"/>
        </w:rPr>
        <w:footnoteRef/>
      </w:r>
      <w:r w:rsidRPr="00B541F4">
        <w:rPr>
          <w:sz w:val="16"/>
          <w:szCs w:val="16"/>
        </w:rPr>
        <w:t xml:space="preserve"> </w:t>
      </w:r>
      <w:r w:rsidR="00C54F43">
        <w:rPr>
          <w:sz w:val="16"/>
          <w:szCs w:val="16"/>
        </w:rPr>
        <w:tab/>
      </w:r>
      <w:r>
        <w:rPr>
          <w:sz w:val="16"/>
          <w:szCs w:val="16"/>
        </w:rPr>
        <w:t>Se ofreció la declaración de Roy Murillo Rodríguez</w:t>
      </w:r>
      <w:r w:rsidRPr="00B541F4">
        <w:rPr>
          <w:sz w:val="16"/>
          <w:szCs w:val="16"/>
        </w:rPr>
        <w:t xml:space="preserve"> para referirse “sobre casos particulares con relación a su función de juez de ejecución de la pena, al tema de hacinamiento carcelario; sobre las ordenes que ha generado para efectos de lograr bajar los índices de sobrepoblación carcelaria y sobre el estado actual de dicha problemática desde su conocimiento personal y con relación a los autos”</w:t>
      </w:r>
      <w:r w:rsidR="00C54F43">
        <w:rPr>
          <w:sz w:val="16"/>
          <w:szCs w:val="16"/>
        </w:rPr>
        <w:t>.</w:t>
      </w:r>
      <w:r w:rsidRPr="00B541F4">
        <w:rPr>
          <w:sz w:val="16"/>
          <w:szCs w:val="16"/>
        </w:rPr>
        <w:t xml:space="preserve"> </w:t>
      </w:r>
    </w:p>
  </w:footnote>
  <w:footnote w:id="24">
    <w:p w:rsidR="00D720F6" w:rsidRPr="00B541F4" w:rsidRDefault="00D720F6" w:rsidP="004F53DF">
      <w:pPr>
        <w:spacing w:after="0"/>
        <w:rPr>
          <w:sz w:val="16"/>
          <w:szCs w:val="16"/>
        </w:rPr>
      </w:pPr>
      <w:r w:rsidRPr="00B541F4">
        <w:rPr>
          <w:rStyle w:val="FootnoteReference"/>
          <w:i/>
          <w:sz w:val="16"/>
          <w:szCs w:val="16"/>
        </w:rPr>
        <w:footnoteRef/>
      </w:r>
      <w:r w:rsidRPr="00B541F4">
        <w:rPr>
          <w:sz w:val="16"/>
          <w:szCs w:val="16"/>
        </w:rPr>
        <w:t xml:space="preserve"> </w:t>
      </w:r>
      <w:r w:rsidR="00C54F43">
        <w:rPr>
          <w:sz w:val="16"/>
          <w:szCs w:val="16"/>
        </w:rPr>
        <w:tab/>
      </w:r>
      <w:r w:rsidRPr="00B541F4">
        <w:rPr>
          <w:i/>
          <w:sz w:val="16"/>
          <w:szCs w:val="16"/>
        </w:rPr>
        <w:t>Cfr. Caso González y otras Vs. México</w:t>
      </w:r>
      <w:r w:rsidRPr="00B541F4">
        <w:rPr>
          <w:sz w:val="16"/>
          <w:szCs w:val="16"/>
        </w:rPr>
        <w:t xml:space="preserve">. </w:t>
      </w:r>
      <w:r w:rsidR="00C54F43">
        <w:rPr>
          <w:sz w:val="16"/>
          <w:szCs w:val="16"/>
        </w:rPr>
        <w:t xml:space="preserve">Convocatoria a audiencia. </w:t>
      </w:r>
      <w:r w:rsidRPr="00B541F4">
        <w:rPr>
          <w:sz w:val="16"/>
          <w:szCs w:val="16"/>
        </w:rPr>
        <w:t>Resolución de la Presidenta de la Corte Interamericana de Derechos Humanos de 18 de marzo de 2009</w:t>
      </w:r>
      <w:r w:rsidR="00C54F43">
        <w:rPr>
          <w:sz w:val="16"/>
          <w:szCs w:val="16"/>
        </w:rPr>
        <w:t xml:space="preserve">, Considerandos </w:t>
      </w:r>
      <w:r w:rsidRPr="00B541F4">
        <w:rPr>
          <w:sz w:val="16"/>
          <w:szCs w:val="16"/>
        </w:rPr>
        <w:t>61</w:t>
      </w:r>
      <w:r w:rsidR="00C54F43">
        <w:rPr>
          <w:sz w:val="16"/>
          <w:szCs w:val="16"/>
        </w:rPr>
        <w:t xml:space="preserve"> a </w:t>
      </w:r>
      <w:r w:rsidRPr="00B541F4">
        <w:rPr>
          <w:sz w:val="16"/>
          <w:szCs w:val="16"/>
        </w:rPr>
        <w:t>64</w:t>
      </w:r>
      <w:r w:rsidR="0020177D">
        <w:rPr>
          <w:sz w:val="16"/>
          <w:szCs w:val="16"/>
        </w:rPr>
        <w:t xml:space="preserve">, y </w:t>
      </w:r>
      <w:r w:rsidR="0020177D" w:rsidRPr="0020177D">
        <w:rPr>
          <w:i/>
          <w:sz w:val="16"/>
          <w:szCs w:val="16"/>
        </w:rPr>
        <w:t>Caso Vásquez Durand y otros Vs. Ecuador</w:t>
      </w:r>
      <w:r w:rsidR="0020177D" w:rsidRPr="0020177D">
        <w:rPr>
          <w:sz w:val="16"/>
          <w:szCs w:val="16"/>
        </w:rPr>
        <w:t>. Convocatoria de audiencia. Resolución del Presidente de la Corte Interamericana de Derechos</w:t>
      </w:r>
      <w:r w:rsidR="0020177D">
        <w:rPr>
          <w:sz w:val="16"/>
          <w:szCs w:val="16"/>
        </w:rPr>
        <w:t xml:space="preserve"> Humanos de 29 de junio de 2016, Considerando 8.</w:t>
      </w:r>
      <w:r w:rsidRPr="00B541F4">
        <w:rPr>
          <w:rFonts w:cs="Verdana-Bold"/>
          <w:bCs/>
          <w:i/>
          <w:sz w:val="16"/>
          <w:szCs w:val="16"/>
        </w:rPr>
        <w:t xml:space="preserve"> </w:t>
      </w:r>
    </w:p>
  </w:footnote>
  <w:footnote w:id="25">
    <w:p w:rsidR="00D720F6" w:rsidRPr="00B541F4" w:rsidRDefault="00D720F6" w:rsidP="004F53DF">
      <w:pPr>
        <w:spacing w:after="0"/>
        <w:rPr>
          <w:sz w:val="16"/>
          <w:szCs w:val="16"/>
        </w:rPr>
      </w:pPr>
      <w:r w:rsidRPr="00B541F4">
        <w:rPr>
          <w:rStyle w:val="FootnoteReference"/>
          <w:i/>
          <w:sz w:val="16"/>
          <w:szCs w:val="16"/>
        </w:rPr>
        <w:footnoteRef/>
      </w:r>
      <w:r w:rsidRPr="00B541F4">
        <w:rPr>
          <w:sz w:val="16"/>
          <w:szCs w:val="16"/>
        </w:rPr>
        <w:t xml:space="preserve"> </w:t>
      </w:r>
      <w:r w:rsidR="00BB4526">
        <w:rPr>
          <w:sz w:val="16"/>
          <w:szCs w:val="16"/>
        </w:rPr>
        <w:tab/>
      </w:r>
      <w:r w:rsidRPr="00B541F4">
        <w:rPr>
          <w:i/>
          <w:sz w:val="16"/>
          <w:szCs w:val="16"/>
        </w:rPr>
        <w:t>Cfr. Caso Ríos y otros Vs. Venezuela</w:t>
      </w:r>
      <w:r w:rsidRPr="00B541F4">
        <w:rPr>
          <w:sz w:val="16"/>
          <w:szCs w:val="16"/>
        </w:rPr>
        <w:t xml:space="preserve">. </w:t>
      </w:r>
      <w:r w:rsidR="00BB4526" w:rsidRPr="0020177D">
        <w:rPr>
          <w:sz w:val="16"/>
          <w:szCs w:val="16"/>
        </w:rPr>
        <w:t xml:space="preserve">Convocatoria de audiencia. </w:t>
      </w:r>
      <w:r w:rsidRPr="00B541F4">
        <w:rPr>
          <w:sz w:val="16"/>
          <w:szCs w:val="16"/>
        </w:rPr>
        <w:t xml:space="preserve">Resolución de la Presidenta de la Corte Interamericana de Derechos Humanos de 11 de junio de 2008, </w:t>
      </w:r>
      <w:r w:rsidR="00BB4526">
        <w:rPr>
          <w:sz w:val="16"/>
          <w:szCs w:val="16"/>
        </w:rPr>
        <w:t>C</w:t>
      </w:r>
      <w:r w:rsidRPr="00B541F4">
        <w:rPr>
          <w:sz w:val="16"/>
          <w:szCs w:val="16"/>
        </w:rPr>
        <w:t>onsiderandos 19 y 20</w:t>
      </w:r>
      <w:r w:rsidR="0020177D">
        <w:rPr>
          <w:sz w:val="16"/>
          <w:szCs w:val="16"/>
        </w:rPr>
        <w:t xml:space="preserve">, y </w:t>
      </w:r>
      <w:r w:rsidR="0020177D" w:rsidRPr="0020177D">
        <w:rPr>
          <w:i/>
          <w:sz w:val="16"/>
          <w:szCs w:val="16"/>
        </w:rPr>
        <w:t>Caso Vásquez Durand y otros Vs. Ecuador</w:t>
      </w:r>
      <w:r w:rsidR="0020177D" w:rsidRPr="0020177D">
        <w:rPr>
          <w:sz w:val="16"/>
          <w:szCs w:val="16"/>
        </w:rPr>
        <w:t>. Convocatoria de audiencia. Resolución del Presidente de la Corte Interamericana de Derechos</w:t>
      </w:r>
      <w:r w:rsidR="0020177D">
        <w:rPr>
          <w:sz w:val="16"/>
          <w:szCs w:val="16"/>
        </w:rPr>
        <w:t xml:space="preserve"> Humanos de 29 de junio de 2016, Considerando 8.</w:t>
      </w:r>
    </w:p>
  </w:footnote>
  <w:footnote w:id="26">
    <w:p w:rsidR="00D720F6" w:rsidRPr="00B541F4" w:rsidRDefault="00D720F6" w:rsidP="004F53DF">
      <w:pPr>
        <w:pStyle w:val="FootnoteText"/>
        <w:rPr>
          <w:sz w:val="16"/>
          <w:szCs w:val="16"/>
        </w:rPr>
      </w:pPr>
      <w:r w:rsidRPr="00B541F4">
        <w:rPr>
          <w:rStyle w:val="FootnoteReference"/>
          <w:sz w:val="16"/>
          <w:szCs w:val="16"/>
        </w:rPr>
        <w:footnoteRef/>
      </w:r>
      <w:r w:rsidRPr="00B541F4">
        <w:rPr>
          <w:sz w:val="16"/>
          <w:szCs w:val="16"/>
        </w:rPr>
        <w:t xml:space="preserve"> </w:t>
      </w:r>
      <w:r w:rsidR="00BB4526">
        <w:rPr>
          <w:sz w:val="16"/>
          <w:szCs w:val="16"/>
        </w:rPr>
        <w:tab/>
      </w:r>
      <w:r w:rsidRPr="00B541F4">
        <w:rPr>
          <w:sz w:val="16"/>
          <w:szCs w:val="16"/>
        </w:rPr>
        <w:t>C</w:t>
      </w:r>
      <w:r w:rsidRPr="00B541F4">
        <w:rPr>
          <w:i/>
          <w:sz w:val="16"/>
          <w:szCs w:val="16"/>
        </w:rPr>
        <w:t xml:space="preserve">fr. Caso Néstor José y Luis </w:t>
      </w:r>
      <w:proofErr w:type="spellStart"/>
      <w:r w:rsidRPr="00B541F4">
        <w:rPr>
          <w:i/>
          <w:sz w:val="16"/>
          <w:szCs w:val="16"/>
        </w:rPr>
        <w:t>Uzcátegui</w:t>
      </w:r>
      <w:proofErr w:type="spellEnd"/>
      <w:r w:rsidRPr="00B541F4">
        <w:rPr>
          <w:i/>
          <w:sz w:val="16"/>
          <w:szCs w:val="16"/>
        </w:rPr>
        <w:t xml:space="preserve"> Vs. Venezuela</w:t>
      </w:r>
      <w:r w:rsidRPr="00B541F4">
        <w:rPr>
          <w:sz w:val="16"/>
          <w:szCs w:val="16"/>
        </w:rPr>
        <w:t>. Convocatoria de audiencia. Resolución del Presidente de la Corte Interamericana de Derechos Humanos de 3 de noviembre de 2011, considerando 17</w:t>
      </w:r>
      <w:r w:rsidR="0020177D">
        <w:rPr>
          <w:sz w:val="16"/>
          <w:szCs w:val="16"/>
        </w:rPr>
        <w:t xml:space="preserve">, y </w:t>
      </w:r>
      <w:r w:rsidR="0020177D" w:rsidRPr="0020177D">
        <w:rPr>
          <w:i/>
          <w:sz w:val="16"/>
          <w:szCs w:val="16"/>
        </w:rPr>
        <w:t xml:space="preserve">Caso </w:t>
      </w:r>
      <w:proofErr w:type="spellStart"/>
      <w:r w:rsidR="0020177D" w:rsidRPr="0020177D">
        <w:rPr>
          <w:i/>
          <w:sz w:val="16"/>
          <w:szCs w:val="16"/>
        </w:rPr>
        <w:t>Granier</w:t>
      </w:r>
      <w:proofErr w:type="spellEnd"/>
      <w:r w:rsidR="0020177D" w:rsidRPr="0020177D">
        <w:rPr>
          <w:i/>
          <w:sz w:val="16"/>
          <w:szCs w:val="16"/>
        </w:rPr>
        <w:t xml:space="preserve"> y otros (Radio Caracas Televisión) Vs. Venezuela.</w:t>
      </w:r>
      <w:r w:rsidR="0020177D" w:rsidRPr="0020177D">
        <w:rPr>
          <w:sz w:val="16"/>
          <w:szCs w:val="16"/>
        </w:rPr>
        <w:t xml:space="preserve"> Convocatoria de audiencia. Resolución del Presidente de la Corte Interamericana de Derechos Humanos de 14 de abril de 2014</w:t>
      </w:r>
      <w:r w:rsidR="0020177D">
        <w:rPr>
          <w:sz w:val="16"/>
          <w:szCs w:val="16"/>
        </w:rPr>
        <w:t>, Considerando 26.</w:t>
      </w:r>
    </w:p>
  </w:footnote>
  <w:footnote w:id="27">
    <w:p w:rsidR="00D720F6" w:rsidRPr="00B541F4" w:rsidRDefault="00D720F6" w:rsidP="00BB4526">
      <w:pPr>
        <w:spacing w:after="0"/>
        <w:rPr>
          <w:rFonts w:cs="Verdana"/>
          <w:sz w:val="16"/>
          <w:szCs w:val="16"/>
          <w:u w:val="single"/>
          <w:lang w:val="es-CR" w:bidi="en-US"/>
        </w:rPr>
      </w:pPr>
      <w:r w:rsidRPr="00B541F4">
        <w:rPr>
          <w:rStyle w:val="FootnoteReference"/>
          <w:i/>
          <w:sz w:val="16"/>
          <w:szCs w:val="16"/>
        </w:rPr>
        <w:footnoteRef/>
      </w:r>
      <w:r w:rsidRPr="00B541F4">
        <w:rPr>
          <w:sz w:val="16"/>
          <w:szCs w:val="16"/>
        </w:rPr>
        <w:t xml:space="preserve"> </w:t>
      </w:r>
      <w:r w:rsidR="00BB4526">
        <w:rPr>
          <w:sz w:val="16"/>
          <w:szCs w:val="16"/>
        </w:rPr>
        <w:tab/>
      </w:r>
      <w:r w:rsidRPr="00B541F4">
        <w:rPr>
          <w:i/>
          <w:sz w:val="16"/>
          <w:szCs w:val="16"/>
        </w:rPr>
        <w:t xml:space="preserve">Cfr. </w:t>
      </w:r>
      <w:r w:rsidR="0020177D" w:rsidRPr="00B541F4">
        <w:rPr>
          <w:i/>
          <w:sz w:val="16"/>
          <w:szCs w:val="16"/>
        </w:rPr>
        <w:t>Caso González y otras Vs. México</w:t>
      </w:r>
      <w:r w:rsidR="0020177D" w:rsidRPr="00B541F4">
        <w:rPr>
          <w:sz w:val="16"/>
          <w:szCs w:val="16"/>
        </w:rPr>
        <w:t xml:space="preserve">. </w:t>
      </w:r>
      <w:r w:rsidR="0020177D">
        <w:rPr>
          <w:sz w:val="16"/>
          <w:szCs w:val="16"/>
        </w:rPr>
        <w:t xml:space="preserve">Convocatoria a audiencia. </w:t>
      </w:r>
      <w:r w:rsidR="0020177D" w:rsidRPr="00B541F4">
        <w:rPr>
          <w:sz w:val="16"/>
          <w:szCs w:val="16"/>
        </w:rPr>
        <w:t>Resolución de la Presidenta de la Corte Interamericana de Derechos Humanos de 18 de marzo de 2009</w:t>
      </w:r>
      <w:r w:rsidR="0020177D">
        <w:rPr>
          <w:sz w:val="16"/>
          <w:szCs w:val="16"/>
        </w:rPr>
        <w:t xml:space="preserve">, Considerandos </w:t>
      </w:r>
      <w:r w:rsidR="0020177D" w:rsidRPr="00B541F4">
        <w:rPr>
          <w:sz w:val="16"/>
          <w:szCs w:val="16"/>
        </w:rPr>
        <w:t>61</w:t>
      </w:r>
      <w:r w:rsidR="0020177D">
        <w:rPr>
          <w:sz w:val="16"/>
          <w:szCs w:val="16"/>
        </w:rPr>
        <w:t xml:space="preserve"> a </w:t>
      </w:r>
      <w:r w:rsidR="0020177D" w:rsidRPr="00B541F4">
        <w:rPr>
          <w:sz w:val="16"/>
          <w:szCs w:val="16"/>
        </w:rPr>
        <w:t>64</w:t>
      </w:r>
      <w:r w:rsidR="0020177D">
        <w:rPr>
          <w:sz w:val="16"/>
          <w:szCs w:val="16"/>
        </w:rPr>
        <w:t xml:space="preserve">, y </w:t>
      </w:r>
      <w:r w:rsidR="0020177D" w:rsidRPr="0020177D">
        <w:rPr>
          <w:i/>
          <w:sz w:val="16"/>
          <w:szCs w:val="16"/>
        </w:rPr>
        <w:t>Caso Vásquez Durand y otros Vs. Ecuador</w:t>
      </w:r>
      <w:r w:rsidR="0020177D" w:rsidRPr="0020177D">
        <w:rPr>
          <w:sz w:val="16"/>
          <w:szCs w:val="16"/>
        </w:rPr>
        <w:t>. Convocatoria de audiencia. Resolución del Presidente de la Corte Interamericana de Derechos</w:t>
      </w:r>
      <w:r w:rsidR="0020177D">
        <w:rPr>
          <w:sz w:val="16"/>
          <w:szCs w:val="16"/>
        </w:rPr>
        <w:t xml:space="preserve"> Humanos de 29 de junio de 2016, Considerando 8.</w:t>
      </w:r>
    </w:p>
  </w:footnote>
  <w:footnote w:id="28">
    <w:p w:rsidR="00D720F6" w:rsidRPr="00B541F4" w:rsidRDefault="00D720F6" w:rsidP="004F53DF">
      <w:pPr>
        <w:pStyle w:val="FootnoteText"/>
        <w:rPr>
          <w:sz w:val="16"/>
          <w:szCs w:val="16"/>
        </w:rPr>
      </w:pPr>
      <w:r w:rsidRPr="00B541F4">
        <w:rPr>
          <w:rStyle w:val="FootnoteReference"/>
          <w:sz w:val="16"/>
          <w:szCs w:val="16"/>
        </w:rPr>
        <w:footnoteRef/>
      </w:r>
      <w:r w:rsidRPr="00B541F4">
        <w:rPr>
          <w:sz w:val="16"/>
          <w:szCs w:val="16"/>
        </w:rPr>
        <w:t xml:space="preserve"> </w:t>
      </w:r>
      <w:r w:rsidR="00BB4526">
        <w:rPr>
          <w:sz w:val="16"/>
          <w:szCs w:val="16"/>
        </w:rPr>
        <w:tab/>
      </w:r>
      <w:r w:rsidRPr="00BB4526">
        <w:rPr>
          <w:i/>
          <w:sz w:val="16"/>
          <w:szCs w:val="16"/>
        </w:rPr>
        <w:t>Cfr.</w:t>
      </w:r>
      <w:r w:rsidRPr="00B541F4">
        <w:rPr>
          <w:sz w:val="16"/>
          <w:szCs w:val="16"/>
        </w:rPr>
        <w:t xml:space="preserve"> </w:t>
      </w:r>
      <w:r w:rsidRPr="00B541F4">
        <w:rPr>
          <w:i/>
          <w:sz w:val="16"/>
          <w:szCs w:val="16"/>
        </w:rPr>
        <w:t>Caso González y otras ("Campo Algodonero") Vs. México</w:t>
      </w:r>
      <w:r w:rsidRPr="00B541F4">
        <w:rPr>
          <w:sz w:val="16"/>
          <w:szCs w:val="16"/>
        </w:rPr>
        <w:t xml:space="preserve">. Convocatoria de audiencia. Resolución de la Presidenta de la Corte Interamericana de Derechos Humanos de 18 de marzo de 2009, </w:t>
      </w:r>
      <w:r w:rsidR="00BB4526">
        <w:rPr>
          <w:sz w:val="16"/>
          <w:szCs w:val="16"/>
        </w:rPr>
        <w:t>C</w:t>
      </w:r>
      <w:r w:rsidRPr="00B541F4">
        <w:rPr>
          <w:sz w:val="16"/>
          <w:szCs w:val="16"/>
        </w:rPr>
        <w:t>onsiderando 62</w:t>
      </w:r>
      <w:r w:rsidR="0020177D">
        <w:rPr>
          <w:sz w:val="16"/>
          <w:szCs w:val="16"/>
        </w:rPr>
        <w:t xml:space="preserve">, y </w:t>
      </w:r>
      <w:r w:rsidR="0020177D" w:rsidRPr="0020177D">
        <w:rPr>
          <w:i/>
          <w:sz w:val="16"/>
          <w:szCs w:val="16"/>
        </w:rPr>
        <w:t>Caso Lagos del Campo Vs. Perú.</w:t>
      </w:r>
      <w:r w:rsidR="0020177D" w:rsidRPr="0020177D">
        <w:rPr>
          <w:sz w:val="16"/>
          <w:szCs w:val="16"/>
        </w:rPr>
        <w:t xml:space="preserve"> Convocatoria de audiencia. Resolución del Presidente de la Corte Interamericana de Derechos Humanos de 21 de noviembre de 2016</w:t>
      </w:r>
      <w:r w:rsidR="0020177D">
        <w:rPr>
          <w:sz w:val="16"/>
          <w:szCs w:val="16"/>
        </w:rPr>
        <w:t>, Considerando 21.</w:t>
      </w:r>
    </w:p>
  </w:footnote>
  <w:footnote w:id="29">
    <w:p w:rsidR="00D720F6" w:rsidRPr="00B541F4" w:rsidRDefault="00D720F6" w:rsidP="004F53DF">
      <w:pPr>
        <w:pStyle w:val="FootnoteText"/>
        <w:rPr>
          <w:sz w:val="16"/>
          <w:szCs w:val="16"/>
          <w:lang w:val="es-CR"/>
        </w:rPr>
      </w:pPr>
      <w:r w:rsidRPr="00B541F4">
        <w:rPr>
          <w:rStyle w:val="FootnoteReference"/>
          <w:sz w:val="16"/>
          <w:szCs w:val="16"/>
        </w:rPr>
        <w:footnoteRef/>
      </w:r>
      <w:r w:rsidRPr="00B541F4">
        <w:rPr>
          <w:sz w:val="16"/>
          <w:szCs w:val="16"/>
          <w:lang w:val="es-CR"/>
        </w:rPr>
        <w:t xml:space="preserve"> </w:t>
      </w:r>
      <w:r w:rsidR="00BB4526">
        <w:rPr>
          <w:sz w:val="16"/>
          <w:szCs w:val="16"/>
          <w:lang w:val="es-CR"/>
        </w:rPr>
        <w:tab/>
      </w:r>
      <w:r w:rsidRPr="00BB4526">
        <w:rPr>
          <w:i/>
          <w:sz w:val="16"/>
          <w:szCs w:val="16"/>
          <w:lang w:val="es-CR"/>
        </w:rPr>
        <w:t>Cfr.</w:t>
      </w:r>
      <w:r w:rsidRPr="00B541F4">
        <w:rPr>
          <w:sz w:val="16"/>
          <w:szCs w:val="16"/>
          <w:lang w:val="es-CR"/>
        </w:rPr>
        <w:t xml:space="preserve"> </w:t>
      </w:r>
      <w:r w:rsidRPr="00BB4526">
        <w:rPr>
          <w:i/>
          <w:sz w:val="16"/>
          <w:szCs w:val="16"/>
          <w:lang w:val="es-CR"/>
        </w:rPr>
        <w:t xml:space="preserve">Caso Vera </w:t>
      </w:r>
      <w:proofErr w:type="spellStart"/>
      <w:r w:rsidRPr="00BB4526">
        <w:rPr>
          <w:i/>
          <w:sz w:val="16"/>
          <w:szCs w:val="16"/>
          <w:lang w:val="es-CR"/>
        </w:rPr>
        <w:t>Vera</w:t>
      </w:r>
      <w:proofErr w:type="spellEnd"/>
      <w:r w:rsidRPr="00BB4526">
        <w:rPr>
          <w:i/>
          <w:sz w:val="16"/>
          <w:szCs w:val="16"/>
          <w:lang w:val="es-CR"/>
        </w:rPr>
        <w:t xml:space="preserve"> y otros Vs. Ecuador</w:t>
      </w:r>
      <w:r w:rsidRPr="00B541F4">
        <w:rPr>
          <w:sz w:val="16"/>
          <w:szCs w:val="16"/>
          <w:lang w:val="es-CR"/>
        </w:rPr>
        <w:t xml:space="preserve">. </w:t>
      </w:r>
      <w:r w:rsidR="00BB4526">
        <w:rPr>
          <w:sz w:val="16"/>
          <w:szCs w:val="16"/>
          <w:lang w:val="es-CR"/>
        </w:rPr>
        <w:t xml:space="preserve">Convocatoria a audiencia. </w:t>
      </w:r>
      <w:r w:rsidRPr="00B541F4">
        <w:rPr>
          <w:sz w:val="16"/>
          <w:szCs w:val="16"/>
          <w:lang w:val="es-CR"/>
        </w:rPr>
        <w:t>Resolución del Presidente de la Corte Interamericana de Derechos Humanos de 23 de diciembre de 2010</w:t>
      </w:r>
      <w:r w:rsidR="00BB4526">
        <w:rPr>
          <w:sz w:val="16"/>
          <w:szCs w:val="16"/>
          <w:lang w:val="es-CR"/>
        </w:rPr>
        <w:t>,</w:t>
      </w:r>
      <w:r w:rsidRPr="00B541F4">
        <w:rPr>
          <w:sz w:val="16"/>
          <w:szCs w:val="16"/>
          <w:lang w:val="es-CR"/>
        </w:rPr>
        <w:t xml:space="preserve"> Considerando </w:t>
      </w:r>
      <w:r w:rsidR="00BB4526">
        <w:rPr>
          <w:sz w:val="16"/>
          <w:szCs w:val="16"/>
          <w:lang w:val="es-CR"/>
        </w:rPr>
        <w:t>8</w:t>
      </w:r>
      <w:r w:rsidRPr="00B541F4">
        <w:rPr>
          <w:sz w:val="16"/>
          <w:szCs w:val="16"/>
          <w:lang w:val="es-CR"/>
        </w:rPr>
        <w:t xml:space="preserve">, y </w:t>
      </w:r>
      <w:r w:rsidR="0020177D" w:rsidRPr="0020177D">
        <w:rPr>
          <w:i/>
          <w:sz w:val="16"/>
          <w:szCs w:val="16"/>
          <w:lang w:val="es-CR"/>
        </w:rPr>
        <w:t>Caso Maldonado Vargas y otros Vs. Chile</w:t>
      </w:r>
      <w:r w:rsidR="0020177D" w:rsidRPr="0020177D">
        <w:rPr>
          <w:sz w:val="16"/>
          <w:szCs w:val="16"/>
          <w:lang w:val="es-CR"/>
        </w:rPr>
        <w:t>. Convocatoria de audiencia. Resolución del Presidente de la Corte Interamericana de Derechos</w:t>
      </w:r>
      <w:r w:rsidR="0020177D">
        <w:rPr>
          <w:sz w:val="16"/>
          <w:szCs w:val="16"/>
          <w:lang w:val="es-CR"/>
        </w:rPr>
        <w:t xml:space="preserve"> Humanos de 10 de marzo de 2015, Considerando 4.</w:t>
      </w:r>
    </w:p>
  </w:footnote>
  <w:footnote w:id="30">
    <w:p w:rsidR="00D720F6" w:rsidRPr="00B541F4" w:rsidRDefault="00D720F6" w:rsidP="004F53DF">
      <w:pPr>
        <w:spacing w:after="0"/>
        <w:rPr>
          <w:sz w:val="16"/>
          <w:szCs w:val="16"/>
        </w:rPr>
      </w:pPr>
      <w:r w:rsidRPr="00B541F4">
        <w:rPr>
          <w:rStyle w:val="FootnoteReference"/>
          <w:i/>
          <w:sz w:val="16"/>
          <w:szCs w:val="16"/>
        </w:rPr>
        <w:footnoteRef/>
      </w:r>
      <w:r w:rsidRPr="00B541F4">
        <w:rPr>
          <w:sz w:val="16"/>
          <w:szCs w:val="16"/>
        </w:rPr>
        <w:t xml:space="preserve"> </w:t>
      </w:r>
      <w:r w:rsidR="00BB4526">
        <w:rPr>
          <w:sz w:val="16"/>
          <w:szCs w:val="16"/>
        </w:rPr>
        <w:tab/>
      </w:r>
      <w:r w:rsidRPr="00B541F4">
        <w:rPr>
          <w:i/>
          <w:sz w:val="16"/>
          <w:szCs w:val="16"/>
        </w:rPr>
        <w:t>Cfr. Caso Blanco Romero y Otros Vs. Venezuela.</w:t>
      </w:r>
      <w:r w:rsidRPr="00B541F4">
        <w:rPr>
          <w:sz w:val="16"/>
          <w:szCs w:val="16"/>
          <w:lang w:val="es-CR"/>
        </w:rPr>
        <w:t xml:space="preserve"> </w:t>
      </w:r>
      <w:r w:rsidR="00BB4526" w:rsidRPr="00BB4526">
        <w:rPr>
          <w:sz w:val="16"/>
          <w:szCs w:val="16"/>
          <w:lang w:val="es-CR"/>
        </w:rPr>
        <w:t xml:space="preserve">Convocatoria de audiencia. </w:t>
      </w:r>
      <w:r w:rsidRPr="00B541F4">
        <w:rPr>
          <w:sz w:val="16"/>
          <w:szCs w:val="16"/>
          <w:lang w:val="es-CR"/>
        </w:rPr>
        <w:t xml:space="preserve">Resolución de la Corte de 16 de junio de 2005,  </w:t>
      </w:r>
      <w:r w:rsidR="00BB4526">
        <w:rPr>
          <w:sz w:val="16"/>
          <w:szCs w:val="16"/>
          <w:lang w:val="es-CR"/>
        </w:rPr>
        <w:t>C</w:t>
      </w:r>
      <w:r w:rsidRPr="00B541F4">
        <w:rPr>
          <w:sz w:val="16"/>
          <w:szCs w:val="16"/>
          <w:lang w:val="es-CR"/>
        </w:rPr>
        <w:t xml:space="preserve">onsiderando </w:t>
      </w:r>
      <w:r w:rsidR="00BB4526">
        <w:rPr>
          <w:sz w:val="16"/>
          <w:szCs w:val="16"/>
          <w:lang w:val="es-CR"/>
        </w:rPr>
        <w:t>3</w:t>
      </w:r>
      <w:r w:rsidR="0020177D">
        <w:rPr>
          <w:sz w:val="16"/>
          <w:szCs w:val="16"/>
          <w:lang w:val="es-CR"/>
        </w:rPr>
        <w:t xml:space="preserve">, y </w:t>
      </w:r>
      <w:r w:rsidR="0020177D" w:rsidRPr="0020177D">
        <w:rPr>
          <w:i/>
          <w:sz w:val="16"/>
          <w:szCs w:val="16"/>
          <w:lang w:val="es-CR"/>
        </w:rPr>
        <w:t>Caso Vereda La Esperanza Vs. Colombia</w:t>
      </w:r>
      <w:r w:rsidR="0020177D" w:rsidRPr="0020177D">
        <w:rPr>
          <w:sz w:val="16"/>
          <w:szCs w:val="16"/>
          <w:lang w:val="es-CR"/>
        </w:rPr>
        <w:t>. Convocatoria de audiencia. Resolución del Presidente de la Corte Interamericana de Derechos Humanos de 10 de mayo de 2016</w:t>
      </w:r>
      <w:r w:rsidR="0020177D">
        <w:rPr>
          <w:sz w:val="16"/>
          <w:szCs w:val="16"/>
          <w:lang w:val="es-CR"/>
        </w:rPr>
        <w:t>, Considerando 21.</w:t>
      </w:r>
    </w:p>
  </w:footnote>
  <w:footnote w:id="31">
    <w:p w:rsidR="00D720F6" w:rsidRPr="00B541F4" w:rsidRDefault="00D720F6" w:rsidP="004F53DF">
      <w:pPr>
        <w:pStyle w:val="FootnoteText"/>
        <w:rPr>
          <w:sz w:val="16"/>
          <w:szCs w:val="16"/>
        </w:rPr>
      </w:pPr>
      <w:r w:rsidRPr="00B541F4">
        <w:rPr>
          <w:rStyle w:val="FootnoteReference"/>
          <w:sz w:val="16"/>
          <w:szCs w:val="16"/>
        </w:rPr>
        <w:footnoteRef/>
      </w:r>
      <w:r w:rsidRPr="00B541F4">
        <w:rPr>
          <w:sz w:val="16"/>
          <w:szCs w:val="16"/>
        </w:rPr>
        <w:t xml:space="preserve"> </w:t>
      </w:r>
      <w:r w:rsidR="00BB4526">
        <w:rPr>
          <w:sz w:val="16"/>
          <w:szCs w:val="16"/>
        </w:rPr>
        <w:tab/>
      </w:r>
      <w:r w:rsidRPr="00BB4526">
        <w:rPr>
          <w:i/>
          <w:sz w:val="16"/>
          <w:szCs w:val="16"/>
        </w:rPr>
        <w:t>Cfr.</w:t>
      </w:r>
      <w:r w:rsidRPr="00B541F4">
        <w:rPr>
          <w:sz w:val="16"/>
          <w:szCs w:val="16"/>
        </w:rPr>
        <w:t xml:space="preserve"> </w:t>
      </w:r>
      <w:r w:rsidRPr="00B541F4">
        <w:rPr>
          <w:i/>
          <w:sz w:val="16"/>
          <w:szCs w:val="16"/>
        </w:rPr>
        <w:t xml:space="preserve">Caso </w:t>
      </w:r>
      <w:proofErr w:type="spellStart"/>
      <w:r w:rsidRPr="00B541F4">
        <w:rPr>
          <w:i/>
          <w:sz w:val="16"/>
          <w:szCs w:val="16"/>
        </w:rPr>
        <w:t>Yarce</w:t>
      </w:r>
      <w:proofErr w:type="spellEnd"/>
      <w:r w:rsidRPr="00B541F4">
        <w:rPr>
          <w:i/>
          <w:sz w:val="16"/>
          <w:szCs w:val="16"/>
        </w:rPr>
        <w:t xml:space="preserve"> y otras Vs. Colombia</w:t>
      </w:r>
      <w:r w:rsidRPr="00B541F4">
        <w:rPr>
          <w:sz w:val="16"/>
          <w:szCs w:val="16"/>
        </w:rPr>
        <w:t xml:space="preserve">. Convocatoria de audiencia. Resolución del Presidente en ejercicio de la Corte Interamericana de Derechos Humanos de 26 de mayo de 2015, </w:t>
      </w:r>
      <w:r w:rsidR="00BB4526">
        <w:rPr>
          <w:sz w:val="16"/>
          <w:szCs w:val="16"/>
        </w:rPr>
        <w:t>C</w:t>
      </w:r>
      <w:r w:rsidRPr="00B541F4">
        <w:rPr>
          <w:sz w:val="16"/>
          <w:szCs w:val="16"/>
        </w:rPr>
        <w:t xml:space="preserve">onsiderando 44 y </w:t>
      </w:r>
      <w:r w:rsidRPr="00B541F4">
        <w:rPr>
          <w:i/>
          <w:sz w:val="16"/>
          <w:szCs w:val="16"/>
        </w:rPr>
        <w:t>Caso Vereda La Esperanza Vs. Colombia</w:t>
      </w:r>
      <w:r w:rsidRPr="00B541F4">
        <w:rPr>
          <w:sz w:val="16"/>
          <w:szCs w:val="16"/>
        </w:rPr>
        <w:t xml:space="preserve">. Convocatoria de audiencia. Resolución del Presidente de la Corte Interamericana de Derechos Humanos de 10 de mayo de 2016, </w:t>
      </w:r>
      <w:r w:rsidR="00BB4526">
        <w:rPr>
          <w:sz w:val="16"/>
          <w:szCs w:val="16"/>
        </w:rPr>
        <w:t>C</w:t>
      </w:r>
      <w:r w:rsidRPr="00B541F4">
        <w:rPr>
          <w:sz w:val="16"/>
          <w:szCs w:val="16"/>
        </w:rPr>
        <w:t xml:space="preserve">onsiderando 21. </w:t>
      </w:r>
    </w:p>
  </w:footnote>
  <w:footnote w:id="32">
    <w:p w:rsidR="00D720F6" w:rsidRPr="00B541F4" w:rsidRDefault="00D720F6" w:rsidP="004F53DF">
      <w:pPr>
        <w:pStyle w:val="FootnoteText"/>
        <w:rPr>
          <w:sz w:val="16"/>
          <w:szCs w:val="16"/>
        </w:rPr>
      </w:pPr>
      <w:r w:rsidRPr="00B541F4">
        <w:rPr>
          <w:rStyle w:val="FootnoteReference"/>
          <w:sz w:val="16"/>
          <w:szCs w:val="16"/>
        </w:rPr>
        <w:footnoteRef/>
      </w:r>
      <w:r w:rsidRPr="00B541F4">
        <w:rPr>
          <w:sz w:val="16"/>
          <w:szCs w:val="16"/>
        </w:rPr>
        <w:t xml:space="preserve"> </w:t>
      </w:r>
      <w:r w:rsidR="00BB4526">
        <w:rPr>
          <w:sz w:val="16"/>
          <w:szCs w:val="16"/>
        </w:rPr>
        <w:tab/>
      </w:r>
      <w:r w:rsidRPr="00B541F4">
        <w:rPr>
          <w:sz w:val="16"/>
          <w:szCs w:val="16"/>
        </w:rPr>
        <w:t xml:space="preserve">Propuesto por el Estado para que se refiera a </w:t>
      </w:r>
      <w:r w:rsidR="0062024E">
        <w:rPr>
          <w:sz w:val="16"/>
          <w:szCs w:val="16"/>
        </w:rPr>
        <w:t>“</w:t>
      </w:r>
      <w:r w:rsidRPr="00B541F4">
        <w:rPr>
          <w:sz w:val="16"/>
          <w:szCs w:val="16"/>
        </w:rPr>
        <w:t xml:space="preserve">la tutela del derecho a una revisión integral del fallo para cada una de las presuntas víctimas en el caso </w:t>
      </w:r>
      <w:proofErr w:type="spellStart"/>
      <w:r w:rsidRPr="00BB4526">
        <w:rPr>
          <w:i/>
          <w:sz w:val="16"/>
          <w:szCs w:val="16"/>
        </w:rPr>
        <w:t>Amrhein</w:t>
      </w:r>
      <w:proofErr w:type="spellEnd"/>
      <w:r w:rsidRPr="00BB4526">
        <w:rPr>
          <w:i/>
          <w:sz w:val="16"/>
          <w:szCs w:val="16"/>
        </w:rPr>
        <w:t xml:space="preserve"> y otros contra Costa Rica</w:t>
      </w:r>
      <w:r w:rsidRPr="00B541F4">
        <w:rPr>
          <w:sz w:val="16"/>
          <w:szCs w:val="16"/>
        </w:rPr>
        <w:t>, según los parámetros del artículo 8.2.h de la CADH. Para ello se referirá a los medios de impugnación utilizados y/o accesibles para cada una de las presuntas víctimas”</w:t>
      </w:r>
      <w:r w:rsidR="00BB4526">
        <w:rPr>
          <w:sz w:val="16"/>
          <w:szCs w:val="16"/>
        </w:rPr>
        <w:t>.</w:t>
      </w:r>
      <w:r w:rsidRPr="00B541F4">
        <w:rPr>
          <w:sz w:val="16"/>
          <w:szCs w:val="16"/>
        </w:rPr>
        <w:t xml:space="preserve"> </w:t>
      </w:r>
    </w:p>
  </w:footnote>
  <w:footnote w:id="33">
    <w:p w:rsidR="00D720F6" w:rsidRDefault="00D720F6" w:rsidP="004F53DF">
      <w:pPr>
        <w:pStyle w:val="FootnoteText"/>
        <w:rPr>
          <w:sz w:val="16"/>
          <w:szCs w:val="16"/>
          <w:lang w:val="es-CR"/>
        </w:rPr>
      </w:pPr>
      <w:r>
        <w:rPr>
          <w:rStyle w:val="FootnoteReference"/>
          <w:sz w:val="16"/>
          <w:szCs w:val="16"/>
        </w:rPr>
        <w:footnoteRef/>
      </w:r>
      <w:r>
        <w:rPr>
          <w:sz w:val="16"/>
          <w:szCs w:val="16"/>
          <w:lang w:val="es-CR"/>
        </w:rPr>
        <w:t xml:space="preserve"> </w:t>
      </w:r>
      <w:r>
        <w:rPr>
          <w:sz w:val="16"/>
          <w:szCs w:val="16"/>
          <w:lang w:val="es-CR"/>
        </w:rPr>
        <w:tab/>
      </w:r>
      <w:r>
        <w:rPr>
          <w:i/>
          <w:sz w:val="16"/>
          <w:szCs w:val="16"/>
        </w:rPr>
        <w:t xml:space="preserve">Cfr. </w:t>
      </w:r>
      <w:r>
        <w:rPr>
          <w:i/>
          <w:sz w:val="16"/>
          <w:szCs w:val="16"/>
          <w:lang w:val="es-CR"/>
        </w:rPr>
        <w:t>Caso Contreras y otros Vs. El Salvador</w:t>
      </w:r>
      <w:r>
        <w:rPr>
          <w:sz w:val="16"/>
          <w:szCs w:val="16"/>
          <w:lang w:val="es-CR"/>
        </w:rPr>
        <w:t xml:space="preserve">. </w:t>
      </w:r>
      <w:r w:rsidR="00BB4526" w:rsidRPr="0020177D">
        <w:rPr>
          <w:sz w:val="16"/>
          <w:szCs w:val="16"/>
          <w:lang w:val="es-CR"/>
        </w:rPr>
        <w:t xml:space="preserve">Convocatoria de audiencia. </w:t>
      </w:r>
      <w:r>
        <w:rPr>
          <w:sz w:val="16"/>
          <w:szCs w:val="16"/>
          <w:lang w:val="es-CR"/>
        </w:rPr>
        <w:t>Resolución del Presidente de la Corte de 14 de abril de 2011</w:t>
      </w:r>
      <w:r w:rsidR="00BB4526">
        <w:rPr>
          <w:sz w:val="16"/>
          <w:szCs w:val="16"/>
          <w:lang w:val="es-CR"/>
        </w:rPr>
        <w:t>,</w:t>
      </w:r>
      <w:r>
        <w:rPr>
          <w:sz w:val="16"/>
          <w:szCs w:val="16"/>
          <w:lang w:val="es-CR"/>
        </w:rPr>
        <w:t xml:space="preserve"> Considerando 25, y</w:t>
      </w:r>
      <w:r>
        <w:rPr>
          <w:b/>
          <w:sz w:val="16"/>
          <w:szCs w:val="16"/>
          <w:lang w:val="es-CR"/>
        </w:rPr>
        <w:t xml:space="preserve"> </w:t>
      </w:r>
      <w:r w:rsidRPr="00A947E1">
        <w:rPr>
          <w:rStyle w:val="Strong"/>
          <w:b w:val="0"/>
          <w:i/>
          <w:color w:val="000000"/>
          <w:sz w:val="16"/>
          <w:szCs w:val="16"/>
          <w:shd w:val="clear" w:color="auto" w:fill="FFFFFF"/>
          <w:lang w:val="es-CR"/>
        </w:rPr>
        <w:t xml:space="preserve">Caso </w:t>
      </w:r>
      <w:proofErr w:type="spellStart"/>
      <w:r w:rsidRPr="00A947E1">
        <w:rPr>
          <w:rStyle w:val="Strong"/>
          <w:b w:val="0"/>
          <w:i/>
          <w:color w:val="000000"/>
          <w:sz w:val="16"/>
          <w:szCs w:val="16"/>
          <w:shd w:val="clear" w:color="auto" w:fill="FFFFFF"/>
          <w:lang w:val="es-CR"/>
        </w:rPr>
        <w:t>Herzog</w:t>
      </w:r>
      <w:proofErr w:type="spellEnd"/>
      <w:r w:rsidRPr="00A947E1">
        <w:rPr>
          <w:rStyle w:val="Strong"/>
          <w:b w:val="0"/>
          <w:i/>
          <w:color w:val="000000"/>
          <w:sz w:val="16"/>
          <w:szCs w:val="16"/>
          <w:shd w:val="clear" w:color="auto" w:fill="FFFFFF"/>
          <w:lang w:val="es-CR"/>
        </w:rPr>
        <w:t xml:space="preserve"> y otros Vs. Brasil</w:t>
      </w:r>
      <w:r w:rsidRPr="00A947E1">
        <w:rPr>
          <w:rStyle w:val="Strong"/>
          <w:b w:val="0"/>
          <w:color w:val="000000"/>
          <w:sz w:val="16"/>
          <w:szCs w:val="16"/>
          <w:shd w:val="clear" w:color="auto" w:fill="FFFFFF"/>
          <w:lang w:val="es-CR"/>
        </w:rPr>
        <w:t>. Convocatoria de audiencia. Resolución del Presidente en ejercicio de la Corte de 7 de abril de 2017, Considerando 13.</w:t>
      </w:r>
    </w:p>
  </w:footnote>
  <w:footnote w:id="34">
    <w:p w:rsidR="00D720F6" w:rsidRPr="004F3266" w:rsidRDefault="00D720F6" w:rsidP="004F53DF">
      <w:pPr>
        <w:pStyle w:val="FootnoteText"/>
        <w:rPr>
          <w:sz w:val="16"/>
          <w:szCs w:val="16"/>
        </w:rPr>
      </w:pPr>
      <w:r w:rsidRPr="004F3266">
        <w:rPr>
          <w:rStyle w:val="FootnoteReference"/>
          <w:sz w:val="16"/>
          <w:szCs w:val="16"/>
        </w:rPr>
        <w:footnoteRef/>
      </w:r>
      <w:r w:rsidRPr="004F3266">
        <w:rPr>
          <w:sz w:val="16"/>
          <w:szCs w:val="16"/>
        </w:rPr>
        <w:t xml:space="preserve"> </w:t>
      </w:r>
      <w:r w:rsidRPr="004F3266">
        <w:rPr>
          <w:sz w:val="16"/>
          <w:szCs w:val="16"/>
        </w:rPr>
        <w:tab/>
        <w:t>Dicha norma prevé que “[e]n casos de presuntas víctimas sin representación legal debidamente acreditada, el Tribunal podrá designar un Defensor Interamericano de oficio que las represente durante la tramitación de[l] caso”.</w:t>
      </w:r>
    </w:p>
  </w:footnote>
  <w:footnote w:id="35">
    <w:p w:rsidR="00D720F6" w:rsidRPr="0020177D" w:rsidRDefault="00D720F6" w:rsidP="004F53DF">
      <w:pPr>
        <w:pStyle w:val="FootnoteText"/>
        <w:rPr>
          <w:sz w:val="16"/>
          <w:szCs w:val="16"/>
        </w:rPr>
      </w:pPr>
      <w:r w:rsidRPr="004F3266">
        <w:rPr>
          <w:rStyle w:val="FootnoteReference"/>
          <w:sz w:val="16"/>
          <w:szCs w:val="16"/>
        </w:rPr>
        <w:footnoteRef/>
      </w:r>
      <w:r w:rsidRPr="004F3266">
        <w:rPr>
          <w:sz w:val="16"/>
          <w:szCs w:val="16"/>
        </w:rPr>
        <w:t xml:space="preserve"> </w:t>
      </w:r>
      <w:r w:rsidRPr="004F3266">
        <w:rPr>
          <w:sz w:val="16"/>
          <w:szCs w:val="16"/>
        </w:rPr>
        <w:tab/>
      </w:r>
      <w:r w:rsidRPr="004F3266">
        <w:rPr>
          <w:i/>
          <w:sz w:val="16"/>
          <w:szCs w:val="16"/>
        </w:rPr>
        <w:t xml:space="preserve">Cfr. Caso Familia Pacheco Tineo vs. Bolivia. </w:t>
      </w:r>
      <w:r w:rsidR="00BB4526" w:rsidRPr="0020177D">
        <w:rPr>
          <w:sz w:val="16"/>
          <w:szCs w:val="16"/>
          <w:lang w:val="es-CR"/>
        </w:rPr>
        <w:t xml:space="preserve">Convocatoria de audiencia. </w:t>
      </w:r>
      <w:r w:rsidRPr="004F3266">
        <w:rPr>
          <w:sz w:val="16"/>
          <w:szCs w:val="16"/>
        </w:rPr>
        <w:t xml:space="preserve">Resolución del Presidente de la Corte de 19 de febrero de 2013, Considerando 11, y </w:t>
      </w:r>
      <w:r w:rsidR="0020177D" w:rsidRPr="0020177D">
        <w:rPr>
          <w:i/>
          <w:sz w:val="16"/>
          <w:szCs w:val="16"/>
        </w:rPr>
        <w:t xml:space="preserve">Caso Ortiz Hernández y otros Vs. Venezuela. </w:t>
      </w:r>
      <w:r w:rsidR="0020177D" w:rsidRPr="0020177D">
        <w:rPr>
          <w:sz w:val="16"/>
          <w:szCs w:val="16"/>
        </w:rPr>
        <w:t>Convocatoria de audiencia. Resolución del Presidente de la Corte Interamericana de Derechos Hum</w:t>
      </w:r>
      <w:r w:rsidR="0020177D">
        <w:rPr>
          <w:sz w:val="16"/>
          <w:szCs w:val="16"/>
        </w:rPr>
        <w:t>anos de 20 de diciembre de 2016, Considerando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28476"/>
      <w:docPartObj>
        <w:docPartGallery w:val="Page Numbers (Top of Page)"/>
        <w:docPartUnique/>
      </w:docPartObj>
    </w:sdtPr>
    <w:sdtEndPr>
      <w:rPr>
        <w:noProof/>
      </w:rPr>
    </w:sdtEndPr>
    <w:sdtContent>
      <w:p w:rsidR="00D720F6" w:rsidRDefault="00D720F6">
        <w:pPr>
          <w:pStyle w:val="Header"/>
          <w:jc w:val="center"/>
        </w:pPr>
        <w:r>
          <w:fldChar w:fldCharType="begin"/>
        </w:r>
        <w:r>
          <w:instrText xml:space="preserve"> PAGE   \* MERGEFORMAT </w:instrText>
        </w:r>
        <w:r>
          <w:fldChar w:fldCharType="separate"/>
        </w:r>
        <w:r w:rsidR="00CF463D">
          <w:rPr>
            <w:noProof/>
          </w:rPr>
          <w:t>2</w:t>
        </w:r>
        <w:r>
          <w:rPr>
            <w:noProof/>
          </w:rPr>
          <w:fldChar w:fldCharType="end"/>
        </w:r>
      </w:p>
    </w:sdtContent>
  </w:sdt>
  <w:p w:rsidR="00D720F6" w:rsidRDefault="00D72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4F1"/>
    <w:multiLevelType w:val="hybridMultilevel"/>
    <w:tmpl w:val="C5643AF0"/>
    <w:lvl w:ilvl="0" w:tplc="290CF9EA">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36982"/>
    <w:multiLevelType w:val="hybridMultilevel"/>
    <w:tmpl w:val="01F44E4C"/>
    <w:lvl w:ilvl="0" w:tplc="BB9ABD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34498"/>
    <w:multiLevelType w:val="hybridMultilevel"/>
    <w:tmpl w:val="226286B0"/>
    <w:lvl w:ilvl="0" w:tplc="7DA8FFC6">
      <w:start w:val="1"/>
      <w:numFmt w:val="decimal"/>
      <w:lvlText w:val="%1)"/>
      <w:lvlJc w:val="left"/>
      <w:pPr>
        <w:ind w:left="1080" w:hanging="360"/>
      </w:pPr>
      <w:rPr>
        <w:rFonts w:cs="Tahoma"/>
        <w:i w:val="0"/>
        <w:lang w:val="es-E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7025A28"/>
    <w:multiLevelType w:val="hybridMultilevel"/>
    <w:tmpl w:val="2640CA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94F9D"/>
    <w:multiLevelType w:val="multilevel"/>
    <w:tmpl w:val="49CC685E"/>
    <w:name w:val="16 adelante"/>
    <w:lvl w:ilvl="0">
      <w:start w:val="16"/>
      <w:numFmt w:val="decimal"/>
      <w:lvlText w:val="%1. "/>
      <w:lvlJc w:val="left"/>
      <w:pPr>
        <w:ind w:left="360" w:hanging="360"/>
      </w:pPr>
      <w:rPr>
        <w:rFonts w:ascii="Verdana" w:hAnsi="Verdana" w:hint="default"/>
        <w:b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C1C202C"/>
    <w:multiLevelType w:val="hybridMultilevel"/>
    <w:tmpl w:val="FB34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04D54"/>
    <w:multiLevelType w:val="hybridMultilevel"/>
    <w:tmpl w:val="0F92C560"/>
    <w:lvl w:ilvl="0" w:tplc="7CB2457E">
      <w:start w:val="1"/>
      <w:numFmt w:val="decimal"/>
      <w:lvlText w:val="%1)"/>
      <w:lvlJc w:val="left"/>
      <w:pPr>
        <w:ind w:left="720" w:hanging="360"/>
      </w:pPr>
      <w:rPr>
        <w:rFonts w:ascii="Verdana" w:eastAsia="Calibri" w:hAnsi="Verdana"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D4DE1"/>
    <w:multiLevelType w:val="hybridMultilevel"/>
    <w:tmpl w:val="FDB0F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54EA3"/>
    <w:multiLevelType w:val="hybridMultilevel"/>
    <w:tmpl w:val="1CD4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30094"/>
    <w:multiLevelType w:val="hybridMultilevel"/>
    <w:tmpl w:val="A6E8A0D4"/>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7DC7042"/>
    <w:multiLevelType w:val="hybridMultilevel"/>
    <w:tmpl w:val="4F2CBD70"/>
    <w:lvl w:ilvl="0" w:tplc="0C206A88">
      <w:start w:val="1"/>
      <w:numFmt w:val="decimal"/>
      <w:lvlText w:val="%1)"/>
      <w:lvlJc w:val="left"/>
      <w:pPr>
        <w:ind w:left="1080" w:hanging="360"/>
      </w:pPr>
      <w:rPr>
        <w:i w:val="0"/>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1">
    <w:nsid w:val="2A4711E0"/>
    <w:multiLevelType w:val="hybridMultilevel"/>
    <w:tmpl w:val="01F44E4C"/>
    <w:lvl w:ilvl="0" w:tplc="BB9ABD42">
      <w:start w:val="1"/>
      <w:numFmt w:val="lowerRoman"/>
      <w:lvlText w:val="%1)"/>
      <w:lvlJc w:val="left"/>
      <w:pPr>
        <w:ind w:left="16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24257"/>
    <w:multiLevelType w:val="hybridMultilevel"/>
    <w:tmpl w:val="5EC29794"/>
    <w:lvl w:ilvl="0" w:tplc="FB80F598">
      <w:start w:val="1"/>
      <w:numFmt w:val="decimal"/>
      <w:lvlText w:val="%1)"/>
      <w:lvlJc w:val="left"/>
      <w:pPr>
        <w:ind w:left="1080" w:hanging="360"/>
      </w:pPr>
      <w:rPr>
        <w:rFonts w:cs="Times New Roman"/>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C7F507E"/>
    <w:multiLevelType w:val="hybridMultilevel"/>
    <w:tmpl w:val="8A78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576C9"/>
    <w:multiLevelType w:val="multilevel"/>
    <w:tmpl w:val="390A9904"/>
    <w:lvl w:ilvl="0">
      <w:start w:val="13"/>
      <w:numFmt w:val="decimal"/>
      <w:lvlText w:val="%1. "/>
      <w:lvlJc w:val="left"/>
      <w:pPr>
        <w:ind w:left="360" w:hanging="360"/>
      </w:pPr>
      <w:rPr>
        <w:rFonts w:ascii="Verdana" w:hAnsi="Verdana"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1EA098F"/>
    <w:multiLevelType w:val="hybridMultilevel"/>
    <w:tmpl w:val="BF164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B72069"/>
    <w:multiLevelType w:val="hybridMultilevel"/>
    <w:tmpl w:val="CC8461B8"/>
    <w:lvl w:ilvl="0" w:tplc="4A2E2E82">
      <w:start w:val="1"/>
      <w:numFmt w:val="decimal"/>
      <w:lvlText w:val="%1."/>
      <w:lvlJc w:val="left"/>
      <w:pPr>
        <w:ind w:left="720" w:hanging="72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8E5D86"/>
    <w:multiLevelType w:val="hybridMultilevel"/>
    <w:tmpl w:val="5EB0161E"/>
    <w:lvl w:ilvl="0" w:tplc="1BA02A08">
      <w:start w:val="1"/>
      <w:numFmt w:val="decimal"/>
      <w:lvlText w:val="%1)"/>
      <w:lvlJc w:val="left"/>
      <w:pPr>
        <w:ind w:left="720" w:hanging="360"/>
      </w:pPr>
      <w:rPr>
        <w:rFonts w:ascii="Verdana" w:eastAsia="Calibri" w:hAnsi="Verdana"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B0307"/>
    <w:multiLevelType w:val="hybridMultilevel"/>
    <w:tmpl w:val="BF549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570BF9"/>
    <w:multiLevelType w:val="hybridMultilevel"/>
    <w:tmpl w:val="3208C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751F3"/>
    <w:multiLevelType w:val="hybridMultilevel"/>
    <w:tmpl w:val="05A4B09A"/>
    <w:lvl w:ilvl="0" w:tplc="140A0011">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nsid w:val="38BC4ADF"/>
    <w:multiLevelType w:val="hybridMultilevel"/>
    <w:tmpl w:val="3DB8292C"/>
    <w:lvl w:ilvl="0" w:tplc="B5D893AC">
      <w:start w:val="1"/>
      <w:numFmt w:val="upperLetter"/>
      <w:lvlText w:val="%1."/>
      <w:lvlJc w:val="left"/>
      <w:pPr>
        <w:ind w:left="450" w:hanging="360"/>
      </w:pPr>
      <w:rPr>
        <w:rFonts w:ascii="Verdana" w:hAnsi="Verdana" w:hint="default"/>
        <w:b/>
        <w:sz w:val="20"/>
        <w:szCs w:val="20"/>
      </w:rPr>
    </w:lvl>
    <w:lvl w:ilvl="1" w:tplc="323EEAAC">
      <w:start w:val="1"/>
      <w:numFmt w:val="lowerLetter"/>
      <w:lvlText w:val="%2."/>
      <w:lvlJc w:val="left"/>
      <w:pPr>
        <w:ind w:left="1440" w:hanging="360"/>
      </w:pPr>
    </w:lvl>
    <w:lvl w:ilvl="2" w:tplc="B96C1A40"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3A38404A"/>
    <w:multiLevelType w:val="hybridMultilevel"/>
    <w:tmpl w:val="1FE64136"/>
    <w:lvl w:ilvl="0" w:tplc="98F6B9EA">
      <w:start w:val="1"/>
      <w:numFmt w:val="decimal"/>
      <w:lvlText w:val="%1."/>
      <w:lvlJc w:val="left"/>
      <w:pPr>
        <w:tabs>
          <w:tab w:val="num" w:pos="1620"/>
        </w:tabs>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3">
    <w:nsid w:val="3E4E7652"/>
    <w:multiLevelType w:val="hybridMultilevel"/>
    <w:tmpl w:val="03F64B50"/>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FFC6CFF"/>
    <w:multiLevelType w:val="multilevel"/>
    <w:tmpl w:val="390A9904"/>
    <w:styleLink w:val="Style2"/>
    <w:lvl w:ilvl="0">
      <w:start w:val="13"/>
      <w:numFmt w:val="decimal"/>
      <w:lvlText w:val="%1. "/>
      <w:lvlJc w:val="left"/>
      <w:pPr>
        <w:ind w:left="360" w:hanging="360"/>
      </w:pPr>
      <w:rPr>
        <w:rFonts w:ascii="Verdana" w:hAnsi="Verdana"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6F435DD"/>
    <w:multiLevelType w:val="hybridMultilevel"/>
    <w:tmpl w:val="04B867F0"/>
    <w:lvl w:ilvl="0" w:tplc="02420054">
      <w:start w:val="1"/>
      <w:numFmt w:val="upperLetter"/>
      <w:lvlText w:val="%1)"/>
      <w:lvlJc w:val="left"/>
      <w:pPr>
        <w:ind w:left="990" w:hanging="360"/>
      </w:pPr>
      <w:rPr>
        <w:rFonts w:hint="default"/>
        <w:b/>
        <w:i/>
      </w:rPr>
    </w:lvl>
    <w:lvl w:ilvl="1" w:tplc="140A0019" w:tentative="1">
      <w:start w:val="1"/>
      <w:numFmt w:val="lowerLetter"/>
      <w:lvlText w:val="%2."/>
      <w:lvlJc w:val="left"/>
      <w:pPr>
        <w:ind w:left="1635" w:hanging="360"/>
      </w:pPr>
    </w:lvl>
    <w:lvl w:ilvl="2" w:tplc="140A001B">
      <w:start w:val="1"/>
      <w:numFmt w:val="lowerRoman"/>
      <w:lvlText w:val="%3."/>
      <w:lvlJc w:val="right"/>
      <w:pPr>
        <w:ind w:left="2355" w:hanging="180"/>
      </w:pPr>
    </w:lvl>
    <w:lvl w:ilvl="3" w:tplc="140A000F" w:tentative="1">
      <w:start w:val="1"/>
      <w:numFmt w:val="decimal"/>
      <w:lvlText w:val="%4."/>
      <w:lvlJc w:val="left"/>
      <w:pPr>
        <w:ind w:left="3075" w:hanging="360"/>
      </w:pPr>
    </w:lvl>
    <w:lvl w:ilvl="4" w:tplc="140A0019" w:tentative="1">
      <w:start w:val="1"/>
      <w:numFmt w:val="lowerLetter"/>
      <w:lvlText w:val="%5."/>
      <w:lvlJc w:val="left"/>
      <w:pPr>
        <w:ind w:left="3795" w:hanging="360"/>
      </w:pPr>
    </w:lvl>
    <w:lvl w:ilvl="5" w:tplc="140A001B" w:tentative="1">
      <w:start w:val="1"/>
      <w:numFmt w:val="lowerRoman"/>
      <w:lvlText w:val="%6."/>
      <w:lvlJc w:val="right"/>
      <w:pPr>
        <w:ind w:left="4515" w:hanging="180"/>
      </w:pPr>
    </w:lvl>
    <w:lvl w:ilvl="6" w:tplc="140A000F" w:tentative="1">
      <w:start w:val="1"/>
      <w:numFmt w:val="decimal"/>
      <w:lvlText w:val="%7."/>
      <w:lvlJc w:val="left"/>
      <w:pPr>
        <w:ind w:left="5235" w:hanging="360"/>
      </w:pPr>
    </w:lvl>
    <w:lvl w:ilvl="7" w:tplc="140A0019" w:tentative="1">
      <w:start w:val="1"/>
      <w:numFmt w:val="lowerLetter"/>
      <w:lvlText w:val="%8."/>
      <w:lvlJc w:val="left"/>
      <w:pPr>
        <w:ind w:left="5955" w:hanging="360"/>
      </w:pPr>
    </w:lvl>
    <w:lvl w:ilvl="8" w:tplc="140A001B" w:tentative="1">
      <w:start w:val="1"/>
      <w:numFmt w:val="lowerRoman"/>
      <w:lvlText w:val="%9."/>
      <w:lvlJc w:val="right"/>
      <w:pPr>
        <w:ind w:left="6675" w:hanging="180"/>
      </w:pPr>
    </w:lvl>
  </w:abstractNum>
  <w:abstractNum w:abstractNumId="26">
    <w:nsid w:val="47F36E60"/>
    <w:multiLevelType w:val="multilevel"/>
    <w:tmpl w:val="390A9904"/>
    <w:numStyleLink w:val="Style2"/>
  </w:abstractNum>
  <w:abstractNum w:abstractNumId="27">
    <w:nsid w:val="4B5366BF"/>
    <w:multiLevelType w:val="hybridMultilevel"/>
    <w:tmpl w:val="9FD08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CA571E"/>
    <w:multiLevelType w:val="hybridMultilevel"/>
    <w:tmpl w:val="F920ED7C"/>
    <w:lvl w:ilvl="0" w:tplc="1BA02A08">
      <w:start w:val="1"/>
      <w:numFmt w:val="decimal"/>
      <w:lvlText w:val="%1)"/>
      <w:lvlJc w:val="left"/>
      <w:pPr>
        <w:ind w:left="720" w:hanging="360"/>
      </w:pPr>
      <w:rPr>
        <w:rFonts w:ascii="Verdana" w:eastAsia="Calibri" w:hAnsi="Verdana"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2A2A7E"/>
    <w:multiLevelType w:val="hybridMultilevel"/>
    <w:tmpl w:val="0F8A998A"/>
    <w:lvl w:ilvl="0" w:tplc="FB047C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4D5171C4"/>
    <w:multiLevelType w:val="hybridMultilevel"/>
    <w:tmpl w:val="78A0F124"/>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490C02"/>
    <w:multiLevelType w:val="multilevel"/>
    <w:tmpl w:val="0409001D"/>
    <w:styleLink w:val="Style1"/>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25E1CAD"/>
    <w:multiLevelType w:val="multilevel"/>
    <w:tmpl w:val="390A9904"/>
    <w:numStyleLink w:val="Style2"/>
  </w:abstractNum>
  <w:abstractNum w:abstractNumId="33">
    <w:nsid w:val="552537A9"/>
    <w:multiLevelType w:val="hybridMultilevel"/>
    <w:tmpl w:val="27F41BA6"/>
    <w:lvl w:ilvl="0" w:tplc="F726EDAE">
      <w:start w:val="1"/>
      <w:numFmt w:val="decimal"/>
      <w:lvlText w:val="%1."/>
      <w:lvlJc w:val="right"/>
      <w:pPr>
        <w:ind w:left="540" w:hanging="360"/>
      </w:pPr>
      <w:rPr>
        <w:rFonts w:ascii="Verdana" w:hAnsi="Verdana" w:cs="Verdana" w:hint="default"/>
        <w:b w:val="0"/>
        <w:i w:val="0"/>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4">
    <w:nsid w:val="5B8F5232"/>
    <w:multiLevelType w:val="hybridMultilevel"/>
    <w:tmpl w:val="05A4B09A"/>
    <w:lvl w:ilvl="0" w:tplc="140A0011">
      <w:start w:val="1"/>
      <w:numFmt w:val="decimal"/>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35">
    <w:nsid w:val="5C12606B"/>
    <w:multiLevelType w:val="multilevel"/>
    <w:tmpl w:val="390A9904"/>
    <w:lvl w:ilvl="0">
      <w:start w:val="13"/>
      <w:numFmt w:val="decimal"/>
      <w:lvlText w:val="%1. "/>
      <w:lvlJc w:val="left"/>
      <w:pPr>
        <w:ind w:left="360" w:hanging="360"/>
      </w:pPr>
      <w:rPr>
        <w:rFonts w:ascii="Verdana" w:hAnsi="Verdana"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C2668C8"/>
    <w:multiLevelType w:val="hybridMultilevel"/>
    <w:tmpl w:val="5FF0EE58"/>
    <w:lvl w:ilvl="0" w:tplc="95A8C9F6">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5D8806CF"/>
    <w:multiLevelType w:val="hybridMultilevel"/>
    <w:tmpl w:val="0D0AB0E2"/>
    <w:lvl w:ilvl="0" w:tplc="1BA02A08">
      <w:start w:val="1"/>
      <w:numFmt w:val="decimal"/>
      <w:lvlText w:val="%1)"/>
      <w:lvlJc w:val="left"/>
      <w:pPr>
        <w:tabs>
          <w:tab w:val="num" w:pos="1100"/>
        </w:tabs>
        <w:ind w:left="1100" w:hanging="380"/>
      </w:pPr>
      <w:rPr>
        <w:rFonts w:ascii="Verdana" w:eastAsia="Calibri" w:hAnsi="Verdana" w:cs="Times New Roman"/>
        <w:b w:val="0"/>
        <w:i w:val="0"/>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99E8E9BA">
      <w:start w:val="1"/>
      <w:numFmt w:val="decimal"/>
      <w:lvlText w:val="%4."/>
      <w:lvlJc w:val="left"/>
      <w:pPr>
        <w:tabs>
          <w:tab w:val="num" w:pos="450"/>
        </w:tabs>
        <w:ind w:left="450" w:hanging="360"/>
      </w:pPr>
      <w:rPr>
        <w:i w:val="0"/>
      </w:rPr>
    </w:lvl>
    <w:lvl w:ilvl="4" w:tplc="54B4E548">
      <w:start w:val="1"/>
      <w:numFmt w:val="upperLetter"/>
      <w:lvlText w:val="%5)"/>
      <w:lvlJc w:val="left"/>
      <w:pPr>
        <w:ind w:left="3960" w:hanging="360"/>
      </w:pPr>
      <w:rPr>
        <w:rFonts w:hint="default"/>
        <w:i/>
      </w:rPr>
    </w:lvl>
    <w:lvl w:ilvl="5" w:tplc="3AA05FDA">
      <w:start w:val="1"/>
      <w:numFmt w:val="lowerRoman"/>
      <w:lvlText w:val="%6)"/>
      <w:lvlJc w:val="left"/>
      <w:pPr>
        <w:ind w:left="5220" w:hanging="720"/>
      </w:pPr>
      <w:rPr>
        <w:rFonts w:ascii="Verdana" w:hAnsi="Verdana" w:cs="Helvetica" w:hint="default"/>
        <w:color w:val="E36C0A" w:themeColor="accent6" w:themeShade="BF"/>
        <w:sz w:val="20"/>
        <w:u w:val="single"/>
      </w:r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8">
    <w:nsid w:val="5DDB6DC6"/>
    <w:multiLevelType w:val="hybridMultilevel"/>
    <w:tmpl w:val="F62EF74E"/>
    <w:lvl w:ilvl="0" w:tplc="98F6B9EA">
      <w:start w:val="1"/>
      <w:numFmt w:val="decimal"/>
      <w:lvlText w:val="%1."/>
      <w:lvlJc w:val="left"/>
      <w:pPr>
        <w:ind w:left="360" w:hanging="360"/>
      </w:pPr>
      <w:rPr>
        <w:rFonts w:ascii="Verdana" w:hAnsi="Verdana" w:cs="Times New Roman" w:hint="default"/>
        <w:b w:val="0"/>
        <w:i w:val="0"/>
        <w:color w:val="auto"/>
        <w:sz w:val="20"/>
        <w:szCs w:val="20"/>
        <w:lang w:val="es-ES_tradnl"/>
      </w:rPr>
    </w:lvl>
    <w:lvl w:ilvl="1" w:tplc="04090019">
      <w:start w:val="1"/>
      <w:numFmt w:val="lowerLetter"/>
      <w:lvlText w:val="%2."/>
      <w:lvlJc w:val="left"/>
      <w:pPr>
        <w:ind w:left="450" w:hanging="360"/>
      </w:pPr>
    </w:lvl>
    <w:lvl w:ilvl="2" w:tplc="04090017">
      <w:start w:val="1"/>
      <w:numFmt w:val="lowerLetter"/>
      <w:lvlText w:val="%3)"/>
      <w:lvlJc w:val="lef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abstractNum w:abstractNumId="39">
    <w:nsid w:val="60D6405B"/>
    <w:multiLevelType w:val="hybridMultilevel"/>
    <w:tmpl w:val="DD769534"/>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12A4B72"/>
    <w:multiLevelType w:val="multilevel"/>
    <w:tmpl w:val="390A9904"/>
    <w:numStyleLink w:val="Style2"/>
  </w:abstractNum>
  <w:abstractNum w:abstractNumId="41">
    <w:nsid w:val="615D6ECD"/>
    <w:multiLevelType w:val="hybridMultilevel"/>
    <w:tmpl w:val="ED9C2C40"/>
    <w:lvl w:ilvl="0" w:tplc="ED0459E8">
      <w:start w:val="1"/>
      <w:numFmt w:val="lowerLetter"/>
      <w:lvlText w:val="%1)"/>
      <w:lvlJc w:val="left"/>
      <w:pPr>
        <w:ind w:left="1080" w:hanging="360"/>
      </w:pPr>
      <w:rPr>
        <w:rFonts w:ascii="Verdana" w:hAnsi="Verdana" w:cs="Tahoma" w:hint="default"/>
        <w:sz w:val="20"/>
        <w:szCs w:val="20"/>
      </w:rPr>
    </w:lvl>
    <w:lvl w:ilvl="1" w:tplc="323EEAAC">
      <w:start w:val="1"/>
      <w:numFmt w:val="decimal"/>
      <w:pStyle w:val="Listavistosa-nfasis11"/>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Tahom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42">
    <w:nsid w:val="61DB533E"/>
    <w:multiLevelType w:val="multilevel"/>
    <w:tmpl w:val="390A9904"/>
    <w:numStyleLink w:val="Style2"/>
  </w:abstractNum>
  <w:abstractNum w:abstractNumId="43">
    <w:nsid w:val="62C97D24"/>
    <w:multiLevelType w:val="hybridMultilevel"/>
    <w:tmpl w:val="C0FAAC86"/>
    <w:lvl w:ilvl="0" w:tplc="ED0459E8">
      <w:start w:val="1"/>
      <w:numFmt w:val="decimal"/>
      <w:lvlText w:val="%1."/>
      <w:lvlJc w:val="left"/>
      <w:pPr>
        <w:ind w:left="1080" w:hanging="720"/>
      </w:pPr>
      <w:rPr>
        <w:b w:val="0"/>
      </w:rPr>
    </w:lvl>
    <w:lvl w:ilvl="1" w:tplc="323EEAAC">
      <w:start w:val="1"/>
      <w:numFmt w:val="lowerRoman"/>
      <w:lvlText w:val="%2."/>
      <w:lvlJc w:val="left"/>
      <w:pPr>
        <w:ind w:left="1800" w:hanging="720"/>
      </w:pPr>
    </w:lvl>
    <w:lvl w:ilvl="2" w:tplc="B96C1A40">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44">
    <w:nsid w:val="66982649"/>
    <w:multiLevelType w:val="hybridMultilevel"/>
    <w:tmpl w:val="220EBB5C"/>
    <w:lvl w:ilvl="0" w:tplc="1BA02A08">
      <w:start w:val="1"/>
      <w:numFmt w:val="decimal"/>
      <w:lvlText w:val="%1)"/>
      <w:lvlJc w:val="left"/>
      <w:pPr>
        <w:tabs>
          <w:tab w:val="num" w:pos="1100"/>
        </w:tabs>
        <w:ind w:left="1100" w:hanging="380"/>
      </w:pPr>
      <w:rPr>
        <w:rFonts w:ascii="Verdana" w:eastAsia="Calibri" w:hAnsi="Verdana" w:cs="Times New Roman"/>
        <w:b w:val="0"/>
        <w:i w:val="0"/>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99E8E9BA">
      <w:start w:val="1"/>
      <w:numFmt w:val="decimal"/>
      <w:lvlText w:val="%4."/>
      <w:lvlJc w:val="left"/>
      <w:pPr>
        <w:tabs>
          <w:tab w:val="num" w:pos="3240"/>
        </w:tabs>
        <w:ind w:left="3240" w:hanging="360"/>
      </w:pPr>
      <w:rPr>
        <w:i w:val="0"/>
      </w:rPr>
    </w:lvl>
    <w:lvl w:ilvl="4" w:tplc="54B4E548">
      <w:start w:val="1"/>
      <w:numFmt w:val="upperLetter"/>
      <w:lvlText w:val="%5)"/>
      <w:lvlJc w:val="left"/>
      <w:pPr>
        <w:ind w:left="3960" w:hanging="360"/>
      </w:pPr>
      <w:rPr>
        <w:i/>
      </w:r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45">
    <w:nsid w:val="67C009EF"/>
    <w:multiLevelType w:val="hybridMultilevel"/>
    <w:tmpl w:val="6092586E"/>
    <w:lvl w:ilvl="0" w:tplc="A7E206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106D99"/>
    <w:multiLevelType w:val="hybridMultilevel"/>
    <w:tmpl w:val="BAD6463E"/>
    <w:lvl w:ilvl="0" w:tplc="2FA416DE">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7">
    <w:nsid w:val="71DC4275"/>
    <w:multiLevelType w:val="multilevel"/>
    <w:tmpl w:val="390A9904"/>
    <w:lvl w:ilvl="0">
      <w:start w:val="13"/>
      <w:numFmt w:val="decimal"/>
      <w:lvlText w:val="%1. "/>
      <w:lvlJc w:val="left"/>
      <w:pPr>
        <w:ind w:left="360" w:hanging="360"/>
      </w:pPr>
      <w:rPr>
        <w:rFonts w:ascii="Verdana" w:hAnsi="Verdana"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5FB7C72"/>
    <w:multiLevelType w:val="hybridMultilevel"/>
    <w:tmpl w:val="3DB8292C"/>
    <w:lvl w:ilvl="0" w:tplc="B5D893AC">
      <w:start w:val="1"/>
      <w:numFmt w:val="upperLetter"/>
      <w:lvlText w:val="%1."/>
      <w:lvlJc w:val="left"/>
      <w:pPr>
        <w:ind w:left="450" w:hanging="360"/>
      </w:pPr>
      <w:rPr>
        <w:rFonts w:ascii="Verdana" w:hAnsi="Verdana" w:hint="default"/>
        <w:b/>
        <w:sz w:val="20"/>
        <w:szCs w:val="20"/>
      </w:rPr>
    </w:lvl>
    <w:lvl w:ilvl="1" w:tplc="323EEAAC">
      <w:start w:val="1"/>
      <w:numFmt w:val="lowerLetter"/>
      <w:lvlText w:val="%2."/>
      <w:lvlJc w:val="left"/>
      <w:pPr>
        <w:ind w:left="1440" w:hanging="360"/>
      </w:pPr>
    </w:lvl>
    <w:lvl w:ilvl="2" w:tplc="B96C1A40"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nsid w:val="773D4278"/>
    <w:multiLevelType w:val="multilevel"/>
    <w:tmpl w:val="0409001D"/>
    <w:numStyleLink w:val="Style1"/>
  </w:abstractNum>
  <w:abstractNum w:abstractNumId="50">
    <w:nsid w:val="788854F4"/>
    <w:multiLevelType w:val="hybridMultilevel"/>
    <w:tmpl w:val="634A7FF2"/>
    <w:lvl w:ilvl="0" w:tplc="DCC2B44A">
      <w:start w:val="1"/>
      <w:numFmt w:val="decimal"/>
      <w:lvlText w:val="%1)"/>
      <w:lvlJc w:val="left"/>
      <w:pPr>
        <w:ind w:left="1080" w:hanging="360"/>
      </w:pPr>
      <w:rPr>
        <w:rFonts w:cs="Tahoma"/>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7A835866"/>
    <w:multiLevelType w:val="hybridMultilevel"/>
    <w:tmpl w:val="5EB0161E"/>
    <w:lvl w:ilvl="0" w:tplc="1BA02A08">
      <w:start w:val="1"/>
      <w:numFmt w:val="decimal"/>
      <w:lvlText w:val="%1)"/>
      <w:lvlJc w:val="left"/>
      <w:pPr>
        <w:ind w:left="720" w:hanging="360"/>
      </w:pPr>
      <w:rPr>
        <w:rFonts w:ascii="Verdana" w:eastAsia="Calibri" w:hAnsi="Verdana"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F17E87"/>
    <w:multiLevelType w:val="multilevel"/>
    <w:tmpl w:val="390A9904"/>
    <w:numStyleLink w:val="Style2"/>
  </w:abstractNum>
  <w:num w:numId="1">
    <w:abstractNumId w:val="22"/>
  </w:num>
  <w:num w:numId="2">
    <w:abstractNumId w:val="48"/>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7"/>
  </w:num>
  <w:num w:numId="6">
    <w:abstractNumId w:val="37"/>
  </w:num>
  <w:num w:numId="7">
    <w:abstractNumId w:val="36"/>
  </w:num>
  <w:num w:numId="8">
    <w:abstractNumId w:val="25"/>
  </w:num>
  <w:num w:numId="9">
    <w:abstractNumId w:val="19"/>
  </w:num>
  <w:num w:numId="10">
    <w:abstractNumId w:val="6"/>
  </w:num>
  <w:num w:numId="11">
    <w:abstractNumId w:val="28"/>
  </w:num>
  <w:num w:numId="12">
    <w:abstractNumId w:val="51"/>
  </w:num>
  <w:num w:numId="13">
    <w:abstractNumId w:val="20"/>
  </w:num>
  <w:num w:numId="14">
    <w:abstractNumId w:val="9"/>
  </w:num>
  <w:num w:numId="15">
    <w:abstractNumId w:val="33"/>
  </w:num>
  <w:num w:numId="16">
    <w:abstractNumId w:val="2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
  </w:num>
  <w:num w:numId="20">
    <w:abstractNumId w:val="38"/>
  </w:num>
  <w:num w:numId="21">
    <w:abstractNumId w:val="0"/>
  </w:num>
  <w:num w:numId="22">
    <w:abstractNumId w:val="30"/>
  </w:num>
  <w:num w:numId="23">
    <w:abstractNumId w:val="39"/>
  </w:num>
  <w:num w:numId="24">
    <w:abstractNumId w:val="23"/>
  </w:num>
  <w:num w:numId="25">
    <w:abstractNumId w:val="27"/>
  </w:num>
  <w:num w:numId="26">
    <w:abstractNumId w:val="8"/>
  </w:num>
  <w:num w:numId="27">
    <w:abstractNumId w:val="5"/>
  </w:num>
  <w:num w:numId="28">
    <w:abstractNumId w:val="13"/>
  </w:num>
  <w:num w:numId="29">
    <w:abstractNumId w:val="18"/>
  </w:num>
  <w:num w:numId="30">
    <w:abstractNumId w:val="7"/>
  </w:num>
  <w:num w:numId="31">
    <w:abstractNumId w:val="15"/>
  </w:num>
  <w:num w:numId="32">
    <w:abstractNumId w:val="31"/>
  </w:num>
  <w:num w:numId="33">
    <w:abstractNumId w:val="49"/>
  </w:num>
  <w:num w:numId="34">
    <w:abstractNumId w:val="24"/>
  </w:num>
  <w:num w:numId="35">
    <w:abstractNumId w:val="32"/>
  </w:num>
  <w:num w:numId="36">
    <w:abstractNumId w:val="40"/>
  </w:num>
  <w:num w:numId="37">
    <w:abstractNumId w:val="52"/>
    <w:lvlOverride w:ilvl="0">
      <w:lvl w:ilvl="0">
        <w:start w:val="13"/>
        <w:numFmt w:val="decimal"/>
        <w:lvlText w:val="%1. "/>
        <w:lvlJc w:val="left"/>
        <w:pPr>
          <w:ind w:left="360" w:hanging="360"/>
        </w:pPr>
        <w:rPr>
          <w:rFonts w:ascii="Verdana" w:hAnsi="Verdana" w:hint="default"/>
          <w:b w:val="0"/>
          <w:sz w:val="20"/>
        </w:rPr>
      </w:lvl>
    </w:lvlOverride>
    <w:lvlOverride w:ilvl="2">
      <w:lvl w:ilvl="2">
        <w:start w:val="1"/>
        <w:numFmt w:val="lowerRoman"/>
        <w:lvlText w:val="%3)"/>
        <w:lvlJc w:val="left"/>
        <w:pPr>
          <w:ind w:left="1080" w:hanging="360"/>
        </w:pPr>
        <w:rPr>
          <w:rFonts w:hint="default"/>
          <w:i w:val="0"/>
          <w:sz w:val="20"/>
          <w:szCs w:val="20"/>
        </w:rPr>
      </w:lvl>
    </w:lvlOverride>
  </w:num>
  <w:num w:numId="38">
    <w:abstractNumId w:val="42"/>
  </w:num>
  <w:num w:numId="39">
    <w:abstractNumId w:val="26"/>
  </w:num>
  <w:num w:numId="40">
    <w:abstractNumId w:val="4"/>
  </w:num>
  <w:num w:numId="41">
    <w:abstractNumId w:val="16"/>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41"/>
  </w:num>
  <w:num w:numId="55">
    <w:abstractNumId w:val="41"/>
  </w:num>
  <w:num w:numId="56">
    <w:abstractNumId w:val="14"/>
  </w:num>
  <w:num w:numId="57">
    <w:abstractNumId w:val="11"/>
  </w:num>
  <w:num w:numId="58">
    <w:abstractNumId w:val="45"/>
  </w:num>
  <w:num w:numId="59">
    <w:abstractNumId w:val="41"/>
  </w:num>
  <w:num w:numId="60">
    <w:abstractNumId w:val="41"/>
  </w:num>
  <w:num w:numId="61">
    <w:abstractNumId w:val="41"/>
  </w:num>
  <w:num w:numId="62">
    <w:abstractNumId w:val="35"/>
  </w:num>
  <w:num w:numId="63">
    <w:abstractNumId w:val="1"/>
  </w:num>
  <w:num w:numId="64">
    <w:abstractNumId w:val="41"/>
  </w:num>
  <w:num w:numId="65">
    <w:abstractNumId w:val="41"/>
  </w:num>
  <w:num w:numId="66">
    <w:abstractNumId w:val="41"/>
  </w:num>
  <w:num w:numId="67">
    <w:abstractNumId w:val="41"/>
  </w:num>
  <w:num w:numId="68">
    <w:abstractNumId w:val="41"/>
  </w:num>
  <w:num w:numId="69">
    <w:abstractNumId w:val="41"/>
  </w:num>
  <w:num w:numId="70">
    <w:abstractNumId w:val="41"/>
  </w:num>
  <w:num w:numId="71">
    <w:abstractNumId w:val="41"/>
  </w:num>
  <w:num w:numId="72">
    <w:abstractNumId w:val="41"/>
  </w:num>
  <w:num w:numId="73">
    <w:abstractNumId w:val="41"/>
  </w:num>
  <w:num w:numId="74">
    <w:abstractNumId w:val="47"/>
  </w:num>
  <w:num w:numId="75">
    <w:abstractNumId w:val="41"/>
  </w:num>
  <w:num w:numId="76">
    <w:abstractNumId w:val="41"/>
  </w:num>
  <w:num w:numId="77">
    <w:abstractNumId w:val="41"/>
  </w:num>
  <w:num w:numId="78">
    <w:abstractNumId w:val="41"/>
  </w:num>
  <w:num w:numId="79">
    <w:abstractNumId w:val="41"/>
  </w:num>
  <w:num w:numId="80">
    <w:abstractNumId w:val="41"/>
  </w:num>
  <w:num w:numId="81">
    <w:abstractNumId w:val="41"/>
  </w:num>
  <w:num w:numId="82">
    <w:abstractNumId w:val="41"/>
  </w:num>
  <w:num w:numId="83">
    <w:abstractNumId w:val="41"/>
  </w:num>
  <w:num w:numId="84">
    <w:abstractNumId w:val="41"/>
  </w:num>
  <w:num w:numId="85">
    <w:abstractNumId w:val="4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16"/>
    <w:rsid w:val="000005B8"/>
    <w:rsid w:val="00004485"/>
    <w:rsid w:val="00004DAB"/>
    <w:rsid w:val="0000532C"/>
    <w:rsid w:val="00005973"/>
    <w:rsid w:val="00006EFB"/>
    <w:rsid w:val="000106C6"/>
    <w:rsid w:val="00011979"/>
    <w:rsid w:val="00012C9C"/>
    <w:rsid w:val="00012FBB"/>
    <w:rsid w:val="00013F65"/>
    <w:rsid w:val="0001540D"/>
    <w:rsid w:val="00016E5C"/>
    <w:rsid w:val="000175B7"/>
    <w:rsid w:val="00020CCD"/>
    <w:rsid w:val="00022768"/>
    <w:rsid w:val="00022CEA"/>
    <w:rsid w:val="000256C4"/>
    <w:rsid w:val="0002595D"/>
    <w:rsid w:val="00031533"/>
    <w:rsid w:val="00031BEA"/>
    <w:rsid w:val="00033B2E"/>
    <w:rsid w:val="00034A9A"/>
    <w:rsid w:val="00034DD4"/>
    <w:rsid w:val="0003607E"/>
    <w:rsid w:val="00036249"/>
    <w:rsid w:val="00046C93"/>
    <w:rsid w:val="00047CFC"/>
    <w:rsid w:val="00050D36"/>
    <w:rsid w:val="00054D55"/>
    <w:rsid w:val="000573CB"/>
    <w:rsid w:val="000614B6"/>
    <w:rsid w:val="000671B3"/>
    <w:rsid w:val="0007169D"/>
    <w:rsid w:val="000717FC"/>
    <w:rsid w:val="00071A70"/>
    <w:rsid w:val="00084E76"/>
    <w:rsid w:val="00086E1C"/>
    <w:rsid w:val="00090532"/>
    <w:rsid w:val="00091B85"/>
    <w:rsid w:val="000925F1"/>
    <w:rsid w:val="00092A46"/>
    <w:rsid w:val="00093B6A"/>
    <w:rsid w:val="000943FA"/>
    <w:rsid w:val="00094CD2"/>
    <w:rsid w:val="00095AF2"/>
    <w:rsid w:val="0009613B"/>
    <w:rsid w:val="000A0809"/>
    <w:rsid w:val="000A42E3"/>
    <w:rsid w:val="000A4664"/>
    <w:rsid w:val="000A79DC"/>
    <w:rsid w:val="000B228F"/>
    <w:rsid w:val="000B3B8A"/>
    <w:rsid w:val="000B431B"/>
    <w:rsid w:val="000C2DEF"/>
    <w:rsid w:val="000D1650"/>
    <w:rsid w:val="000D2494"/>
    <w:rsid w:val="000D2DC5"/>
    <w:rsid w:val="000D3473"/>
    <w:rsid w:val="000D6A76"/>
    <w:rsid w:val="000D7BE8"/>
    <w:rsid w:val="000D7F75"/>
    <w:rsid w:val="000E09B6"/>
    <w:rsid w:val="000E0B7C"/>
    <w:rsid w:val="000E25A9"/>
    <w:rsid w:val="000E3976"/>
    <w:rsid w:val="000E3AE8"/>
    <w:rsid w:val="000E5F7F"/>
    <w:rsid w:val="000F0579"/>
    <w:rsid w:val="000F2688"/>
    <w:rsid w:val="000F31EE"/>
    <w:rsid w:val="000F7422"/>
    <w:rsid w:val="00100B6E"/>
    <w:rsid w:val="00100EFC"/>
    <w:rsid w:val="001065A5"/>
    <w:rsid w:val="00107543"/>
    <w:rsid w:val="001106B6"/>
    <w:rsid w:val="001126C4"/>
    <w:rsid w:val="001126FF"/>
    <w:rsid w:val="00115803"/>
    <w:rsid w:val="00121481"/>
    <w:rsid w:val="001226B0"/>
    <w:rsid w:val="00122891"/>
    <w:rsid w:val="001241C9"/>
    <w:rsid w:val="00124AD1"/>
    <w:rsid w:val="001255AA"/>
    <w:rsid w:val="00126D35"/>
    <w:rsid w:val="00127B7D"/>
    <w:rsid w:val="0013165B"/>
    <w:rsid w:val="00132B5B"/>
    <w:rsid w:val="0013354E"/>
    <w:rsid w:val="001338A7"/>
    <w:rsid w:val="00133C28"/>
    <w:rsid w:val="00136CEE"/>
    <w:rsid w:val="001378E2"/>
    <w:rsid w:val="00137DAC"/>
    <w:rsid w:val="001409C1"/>
    <w:rsid w:val="00143ED2"/>
    <w:rsid w:val="001452E2"/>
    <w:rsid w:val="00146B57"/>
    <w:rsid w:val="0015118E"/>
    <w:rsid w:val="00154E96"/>
    <w:rsid w:val="0015727A"/>
    <w:rsid w:val="001577DC"/>
    <w:rsid w:val="001615DE"/>
    <w:rsid w:val="001726D5"/>
    <w:rsid w:val="00172856"/>
    <w:rsid w:val="00180994"/>
    <w:rsid w:val="001A0EE9"/>
    <w:rsid w:val="001A1063"/>
    <w:rsid w:val="001A568A"/>
    <w:rsid w:val="001B3425"/>
    <w:rsid w:val="001B3B0B"/>
    <w:rsid w:val="001B3F11"/>
    <w:rsid w:val="001B47A8"/>
    <w:rsid w:val="001C037E"/>
    <w:rsid w:val="001C0E88"/>
    <w:rsid w:val="001C171A"/>
    <w:rsid w:val="001C2739"/>
    <w:rsid w:val="001C3765"/>
    <w:rsid w:val="001C70AD"/>
    <w:rsid w:val="001C771A"/>
    <w:rsid w:val="001D06C4"/>
    <w:rsid w:val="001D10FF"/>
    <w:rsid w:val="001D4B96"/>
    <w:rsid w:val="001D52C4"/>
    <w:rsid w:val="001D578C"/>
    <w:rsid w:val="001D5D03"/>
    <w:rsid w:val="001D6110"/>
    <w:rsid w:val="001D7F08"/>
    <w:rsid w:val="001E46B7"/>
    <w:rsid w:val="001E63D3"/>
    <w:rsid w:val="001E75E5"/>
    <w:rsid w:val="001F1FB8"/>
    <w:rsid w:val="001F2AB7"/>
    <w:rsid w:val="002005A1"/>
    <w:rsid w:val="0020177D"/>
    <w:rsid w:val="00204151"/>
    <w:rsid w:val="00205839"/>
    <w:rsid w:val="00205F23"/>
    <w:rsid w:val="00220BD9"/>
    <w:rsid w:val="00222146"/>
    <w:rsid w:val="002224EA"/>
    <w:rsid w:val="00224280"/>
    <w:rsid w:val="00224482"/>
    <w:rsid w:val="00233C07"/>
    <w:rsid w:val="00234868"/>
    <w:rsid w:val="00253B57"/>
    <w:rsid w:val="002544DA"/>
    <w:rsid w:val="0026351E"/>
    <w:rsid w:val="00264754"/>
    <w:rsid w:val="0026648B"/>
    <w:rsid w:val="00270C50"/>
    <w:rsid w:val="00277FAE"/>
    <w:rsid w:val="00284C2B"/>
    <w:rsid w:val="0028767A"/>
    <w:rsid w:val="002927B7"/>
    <w:rsid w:val="002A0236"/>
    <w:rsid w:val="002A062E"/>
    <w:rsid w:val="002A16A3"/>
    <w:rsid w:val="002A2B0D"/>
    <w:rsid w:val="002A32F3"/>
    <w:rsid w:val="002B0153"/>
    <w:rsid w:val="002B21E2"/>
    <w:rsid w:val="002B2536"/>
    <w:rsid w:val="002B4204"/>
    <w:rsid w:val="002B53D3"/>
    <w:rsid w:val="002B568B"/>
    <w:rsid w:val="002B640F"/>
    <w:rsid w:val="002B7C98"/>
    <w:rsid w:val="002C096B"/>
    <w:rsid w:val="002D13B3"/>
    <w:rsid w:val="002D3F7E"/>
    <w:rsid w:val="002E3521"/>
    <w:rsid w:val="002E4B6D"/>
    <w:rsid w:val="002E63B3"/>
    <w:rsid w:val="002E6C97"/>
    <w:rsid w:val="002F16C5"/>
    <w:rsid w:val="002F2974"/>
    <w:rsid w:val="002F2D88"/>
    <w:rsid w:val="002F3B52"/>
    <w:rsid w:val="002F568E"/>
    <w:rsid w:val="002F6898"/>
    <w:rsid w:val="00300005"/>
    <w:rsid w:val="00306C0F"/>
    <w:rsid w:val="00307ED6"/>
    <w:rsid w:val="003116E0"/>
    <w:rsid w:val="00313BC4"/>
    <w:rsid w:val="00315E00"/>
    <w:rsid w:val="003163CB"/>
    <w:rsid w:val="003203E7"/>
    <w:rsid w:val="0032047F"/>
    <w:rsid w:val="00320983"/>
    <w:rsid w:val="00321367"/>
    <w:rsid w:val="00321943"/>
    <w:rsid w:val="00322007"/>
    <w:rsid w:val="00322F39"/>
    <w:rsid w:val="0032343C"/>
    <w:rsid w:val="003275DE"/>
    <w:rsid w:val="00333099"/>
    <w:rsid w:val="00334F29"/>
    <w:rsid w:val="003352D2"/>
    <w:rsid w:val="00335680"/>
    <w:rsid w:val="00344CB5"/>
    <w:rsid w:val="00344E9B"/>
    <w:rsid w:val="00355745"/>
    <w:rsid w:val="003571B0"/>
    <w:rsid w:val="0036075D"/>
    <w:rsid w:val="00367FA9"/>
    <w:rsid w:val="00371306"/>
    <w:rsid w:val="0037148C"/>
    <w:rsid w:val="00372E5C"/>
    <w:rsid w:val="0037650D"/>
    <w:rsid w:val="0039067D"/>
    <w:rsid w:val="00392E0D"/>
    <w:rsid w:val="00396408"/>
    <w:rsid w:val="00396B01"/>
    <w:rsid w:val="003A318E"/>
    <w:rsid w:val="003A4729"/>
    <w:rsid w:val="003A4E2F"/>
    <w:rsid w:val="003A5831"/>
    <w:rsid w:val="003B4F13"/>
    <w:rsid w:val="003C1C44"/>
    <w:rsid w:val="003D4F33"/>
    <w:rsid w:val="003D55CF"/>
    <w:rsid w:val="003E1943"/>
    <w:rsid w:val="003F2DB6"/>
    <w:rsid w:val="003F2FC8"/>
    <w:rsid w:val="003F33CA"/>
    <w:rsid w:val="003F54DC"/>
    <w:rsid w:val="003F586F"/>
    <w:rsid w:val="00411959"/>
    <w:rsid w:val="00411B6C"/>
    <w:rsid w:val="0041276B"/>
    <w:rsid w:val="00412A43"/>
    <w:rsid w:val="00412B89"/>
    <w:rsid w:val="00414008"/>
    <w:rsid w:val="004216E9"/>
    <w:rsid w:val="00421E13"/>
    <w:rsid w:val="00422262"/>
    <w:rsid w:val="004243B2"/>
    <w:rsid w:val="00427F28"/>
    <w:rsid w:val="00432AEA"/>
    <w:rsid w:val="0043703A"/>
    <w:rsid w:val="004408CC"/>
    <w:rsid w:val="0045106D"/>
    <w:rsid w:val="00462161"/>
    <w:rsid w:val="004645C1"/>
    <w:rsid w:val="00465EE8"/>
    <w:rsid w:val="00476B45"/>
    <w:rsid w:val="004859AE"/>
    <w:rsid w:val="00485D0C"/>
    <w:rsid w:val="004865E6"/>
    <w:rsid w:val="004926CA"/>
    <w:rsid w:val="00492BC4"/>
    <w:rsid w:val="004A185B"/>
    <w:rsid w:val="004A1959"/>
    <w:rsid w:val="004A3A0F"/>
    <w:rsid w:val="004A5B6A"/>
    <w:rsid w:val="004B521D"/>
    <w:rsid w:val="004C3FB0"/>
    <w:rsid w:val="004D3449"/>
    <w:rsid w:val="004D44A9"/>
    <w:rsid w:val="004E5FDD"/>
    <w:rsid w:val="004F3266"/>
    <w:rsid w:val="004F4ADF"/>
    <w:rsid w:val="004F53DF"/>
    <w:rsid w:val="004F68B5"/>
    <w:rsid w:val="00500186"/>
    <w:rsid w:val="0050671E"/>
    <w:rsid w:val="0050796C"/>
    <w:rsid w:val="005109D1"/>
    <w:rsid w:val="0051493D"/>
    <w:rsid w:val="00520CAF"/>
    <w:rsid w:val="00524F39"/>
    <w:rsid w:val="00530AE0"/>
    <w:rsid w:val="00530F3B"/>
    <w:rsid w:val="00541D9C"/>
    <w:rsid w:val="005541B1"/>
    <w:rsid w:val="0055510D"/>
    <w:rsid w:val="00560409"/>
    <w:rsid w:val="0056132B"/>
    <w:rsid w:val="005644B4"/>
    <w:rsid w:val="00565DCC"/>
    <w:rsid w:val="00565E77"/>
    <w:rsid w:val="00567F70"/>
    <w:rsid w:val="005703B0"/>
    <w:rsid w:val="00571207"/>
    <w:rsid w:val="0057543B"/>
    <w:rsid w:val="0057663C"/>
    <w:rsid w:val="00581110"/>
    <w:rsid w:val="005870D1"/>
    <w:rsid w:val="00592D7C"/>
    <w:rsid w:val="00593EBE"/>
    <w:rsid w:val="0059586E"/>
    <w:rsid w:val="005A77DE"/>
    <w:rsid w:val="005B1522"/>
    <w:rsid w:val="005B1840"/>
    <w:rsid w:val="005B3700"/>
    <w:rsid w:val="005B5EC3"/>
    <w:rsid w:val="005B61DB"/>
    <w:rsid w:val="005D6A42"/>
    <w:rsid w:val="005E39FA"/>
    <w:rsid w:val="005E403B"/>
    <w:rsid w:val="005E49FC"/>
    <w:rsid w:val="005E548D"/>
    <w:rsid w:val="005F0DB7"/>
    <w:rsid w:val="005F5E68"/>
    <w:rsid w:val="005F6912"/>
    <w:rsid w:val="00600285"/>
    <w:rsid w:val="00603637"/>
    <w:rsid w:val="006066BD"/>
    <w:rsid w:val="00613B88"/>
    <w:rsid w:val="00615A8E"/>
    <w:rsid w:val="00616401"/>
    <w:rsid w:val="00616DD9"/>
    <w:rsid w:val="0062024E"/>
    <w:rsid w:val="00621314"/>
    <w:rsid w:val="0063524D"/>
    <w:rsid w:val="006357EF"/>
    <w:rsid w:val="00635F9C"/>
    <w:rsid w:val="00641C57"/>
    <w:rsid w:val="00642791"/>
    <w:rsid w:val="0064757A"/>
    <w:rsid w:val="00647950"/>
    <w:rsid w:val="0065008D"/>
    <w:rsid w:val="00653BCC"/>
    <w:rsid w:val="00663613"/>
    <w:rsid w:val="00665D71"/>
    <w:rsid w:val="0066642C"/>
    <w:rsid w:val="00670454"/>
    <w:rsid w:val="00671A7A"/>
    <w:rsid w:val="006805DF"/>
    <w:rsid w:val="006806B0"/>
    <w:rsid w:val="00683AC7"/>
    <w:rsid w:val="00683E21"/>
    <w:rsid w:val="00684FDC"/>
    <w:rsid w:val="006864D9"/>
    <w:rsid w:val="006911AE"/>
    <w:rsid w:val="006929C3"/>
    <w:rsid w:val="00693857"/>
    <w:rsid w:val="006A43DE"/>
    <w:rsid w:val="006A760B"/>
    <w:rsid w:val="006B08DA"/>
    <w:rsid w:val="006B14A4"/>
    <w:rsid w:val="006B1FD8"/>
    <w:rsid w:val="006B28D2"/>
    <w:rsid w:val="006B5F5D"/>
    <w:rsid w:val="006B7029"/>
    <w:rsid w:val="006C31B4"/>
    <w:rsid w:val="006C71C4"/>
    <w:rsid w:val="006D50B4"/>
    <w:rsid w:val="006D6D7E"/>
    <w:rsid w:val="006E16A8"/>
    <w:rsid w:val="006E5BFA"/>
    <w:rsid w:val="006E73C9"/>
    <w:rsid w:val="006F390E"/>
    <w:rsid w:val="006F6907"/>
    <w:rsid w:val="006F78D8"/>
    <w:rsid w:val="007020BD"/>
    <w:rsid w:val="00703D49"/>
    <w:rsid w:val="00714571"/>
    <w:rsid w:val="00721404"/>
    <w:rsid w:val="00722B2B"/>
    <w:rsid w:val="00723006"/>
    <w:rsid w:val="00725545"/>
    <w:rsid w:val="007307E7"/>
    <w:rsid w:val="00733163"/>
    <w:rsid w:val="00733D5C"/>
    <w:rsid w:val="00734355"/>
    <w:rsid w:val="00734AAE"/>
    <w:rsid w:val="0073562B"/>
    <w:rsid w:val="0074005C"/>
    <w:rsid w:val="00740624"/>
    <w:rsid w:val="00740F27"/>
    <w:rsid w:val="00750DA8"/>
    <w:rsid w:val="00763D6F"/>
    <w:rsid w:val="00765FBC"/>
    <w:rsid w:val="00771EDC"/>
    <w:rsid w:val="007745E2"/>
    <w:rsid w:val="00774D7A"/>
    <w:rsid w:val="00782275"/>
    <w:rsid w:val="007831FB"/>
    <w:rsid w:val="00784700"/>
    <w:rsid w:val="00796C85"/>
    <w:rsid w:val="007A18CF"/>
    <w:rsid w:val="007A2580"/>
    <w:rsid w:val="007A47D6"/>
    <w:rsid w:val="007A49E5"/>
    <w:rsid w:val="007B10BB"/>
    <w:rsid w:val="007B20DE"/>
    <w:rsid w:val="007B4BF8"/>
    <w:rsid w:val="007C1162"/>
    <w:rsid w:val="007C58DF"/>
    <w:rsid w:val="007C7F5C"/>
    <w:rsid w:val="007D06ED"/>
    <w:rsid w:val="007E1930"/>
    <w:rsid w:val="007E638E"/>
    <w:rsid w:val="007F506E"/>
    <w:rsid w:val="007F5CF9"/>
    <w:rsid w:val="007F6AD0"/>
    <w:rsid w:val="00800533"/>
    <w:rsid w:val="00801BD9"/>
    <w:rsid w:val="00803C2B"/>
    <w:rsid w:val="00810B7A"/>
    <w:rsid w:val="0081769A"/>
    <w:rsid w:val="008209B0"/>
    <w:rsid w:val="00821629"/>
    <w:rsid w:val="00821639"/>
    <w:rsid w:val="00823B51"/>
    <w:rsid w:val="008260EF"/>
    <w:rsid w:val="00826536"/>
    <w:rsid w:val="00832AD4"/>
    <w:rsid w:val="00842F76"/>
    <w:rsid w:val="008437CD"/>
    <w:rsid w:val="00850B71"/>
    <w:rsid w:val="0085255A"/>
    <w:rsid w:val="00852765"/>
    <w:rsid w:val="008528AE"/>
    <w:rsid w:val="00854A57"/>
    <w:rsid w:val="0086127A"/>
    <w:rsid w:val="00865418"/>
    <w:rsid w:val="0087383B"/>
    <w:rsid w:val="0087420C"/>
    <w:rsid w:val="00876690"/>
    <w:rsid w:val="00877D75"/>
    <w:rsid w:val="0088070A"/>
    <w:rsid w:val="008826D8"/>
    <w:rsid w:val="00882E79"/>
    <w:rsid w:val="00883EBE"/>
    <w:rsid w:val="00885AD8"/>
    <w:rsid w:val="00890722"/>
    <w:rsid w:val="00894073"/>
    <w:rsid w:val="008A67F0"/>
    <w:rsid w:val="008B1162"/>
    <w:rsid w:val="008B185B"/>
    <w:rsid w:val="008B2E20"/>
    <w:rsid w:val="008B36A6"/>
    <w:rsid w:val="008C302A"/>
    <w:rsid w:val="008C54C9"/>
    <w:rsid w:val="008C68B8"/>
    <w:rsid w:val="008C720B"/>
    <w:rsid w:val="008D0719"/>
    <w:rsid w:val="008D1D8C"/>
    <w:rsid w:val="008E51C1"/>
    <w:rsid w:val="008E6216"/>
    <w:rsid w:val="008F0194"/>
    <w:rsid w:val="008F6C3D"/>
    <w:rsid w:val="008F759B"/>
    <w:rsid w:val="00902F4B"/>
    <w:rsid w:val="00905DD1"/>
    <w:rsid w:val="00912087"/>
    <w:rsid w:val="009128D4"/>
    <w:rsid w:val="009142EC"/>
    <w:rsid w:val="00915B3F"/>
    <w:rsid w:val="009162F8"/>
    <w:rsid w:val="00921B1B"/>
    <w:rsid w:val="00922D8B"/>
    <w:rsid w:val="009320FF"/>
    <w:rsid w:val="00933483"/>
    <w:rsid w:val="00937A4C"/>
    <w:rsid w:val="0094071C"/>
    <w:rsid w:val="009433FF"/>
    <w:rsid w:val="00945B7B"/>
    <w:rsid w:val="009502EC"/>
    <w:rsid w:val="0095053F"/>
    <w:rsid w:val="009512A2"/>
    <w:rsid w:val="00953D1A"/>
    <w:rsid w:val="00953F75"/>
    <w:rsid w:val="00962524"/>
    <w:rsid w:val="00967017"/>
    <w:rsid w:val="00970DF9"/>
    <w:rsid w:val="00974079"/>
    <w:rsid w:val="00974423"/>
    <w:rsid w:val="00974BAA"/>
    <w:rsid w:val="00975DE1"/>
    <w:rsid w:val="00980A4A"/>
    <w:rsid w:val="00980C2D"/>
    <w:rsid w:val="00990EFE"/>
    <w:rsid w:val="00995D18"/>
    <w:rsid w:val="00997A2D"/>
    <w:rsid w:val="009A0000"/>
    <w:rsid w:val="009A1D3E"/>
    <w:rsid w:val="009B4A31"/>
    <w:rsid w:val="009B5428"/>
    <w:rsid w:val="009C0297"/>
    <w:rsid w:val="009C02B0"/>
    <w:rsid w:val="009C0E9B"/>
    <w:rsid w:val="009C1A31"/>
    <w:rsid w:val="009C39D4"/>
    <w:rsid w:val="009C575B"/>
    <w:rsid w:val="009C6273"/>
    <w:rsid w:val="009C7588"/>
    <w:rsid w:val="009D28A7"/>
    <w:rsid w:val="009E030E"/>
    <w:rsid w:val="009E2B7B"/>
    <w:rsid w:val="009F67F3"/>
    <w:rsid w:val="009F71E3"/>
    <w:rsid w:val="00A0158B"/>
    <w:rsid w:val="00A03789"/>
    <w:rsid w:val="00A043C8"/>
    <w:rsid w:val="00A06AE7"/>
    <w:rsid w:val="00A14EA9"/>
    <w:rsid w:val="00A167C2"/>
    <w:rsid w:val="00A17C58"/>
    <w:rsid w:val="00A17F49"/>
    <w:rsid w:val="00A20FA2"/>
    <w:rsid w:val="00A25088"/>
    <w:rsid w:val="00A252BE"/>
    <w:rsid w:val="00A254F9"/>
    <w:rsid w:val="00A25AF5"/>
    <w:rsid w:val="00A27D13"/>
    <w:rsid w:val="00A30E8C"/>
    <w:rsid w:val="00A320D7"/>
    <w:rsid w:val="00A32E8E"/>
    <w:rsid w:val="00A347F9"/>
    <w:rsid w:val="00A35F2D"/>
    <w:rsid w:val="00A377F8"/>
    <w:rsid w:val="00A416ED"/>
    <w:rsid w:val="00A42BE9"/>
    <w:rsid w:val="00A446E9"/>
    <w:rsid w:val="00A472A8"/>
    <w:rsid w:val="00A476D5"/>
    <w:rsid w:val="00A517F2"/>
    <w:rsid w:val="00A51B87"/>
    <w:rsid w:val="00A5285E"/>
    <w:rsid w:val="00A55743"/>
    <w:rsid w:val="00A63E38"/>
    <w:rsid w:val="00A7024F"/>
    <w:rsid w:val="00A73DBE"/>
    <w:rsid w:val="00A84021"/>
    <w:rsid w:val="00A903B7"/>
    <w:rsid w:val="00A947E1"/>
    <w:rsid w:val="00A95639"/>
    <w:rsid w:val="00A97AF0"/>
    <w:rsid w:val="00AA613E"/>
    <w:rsid w:val="00AB2674"/>
    <w:rsid w:val="00AB6A9E"/>
    <w:rsid w:val="00AB7395"/>
    <w:rsid w:val="00AC0E9B"/>
    <w:rsid w:val="00AC2451"/>
    <w:rsid w:val="00AC5033"/>
    <w:rsid w:val="00AC5778"/>
    <w:rsid w:val="00AE543E"/>
    <w:rsid w:val="00AE697C"/>
    <w:rsid w:val="00AE7E59"/>
    <w:rsid w:val="00AF0176"/>
    <w:rsid w:val="00AF153C"/>
    <w:rsid w:val="00AF37B9"/>
    <w:rsid w:val="00AF39AA"/>
    <w:rsid w:val="00AF3FF9"/>
    <w:rsid w:val="00AF4528"/>
    <w:rsid w:val="00AF57DB"/>
    <w:rsid w:val="00AF72AB"/>
    <w:rsid w:val="00B023B0"/>
    <w:rsid w:val="00B05512"/>
    <w:rsid w:val="00B0762F"/>
    <w:rsid w:val="00B10122"/>
    <w:rsid w:val="00B124CF"/>
    <w:rsid w:val="00B13CD8"/>
    <w:rsid w:val="00B141AE"/>
    <w:rsid w:val="00B17792"/>
    <w:rsid w:val="00B26C51"/>
    <w:rsid w:val="00B31E5D"/>
    <w:rsid w:val="00B36E60"/>
    <w:rsid w:val="00B377BB"/>
    <w:rsid w:val="00B429D9"/>
    <w:rsid w:val="00B430C0"/>
    <w:rsid w:val="00B4462C"/>
    <w:rsid w:val="00B4546B"/>
    <w:rsid w:val="00B500F5"/>
    <w:rsid w:val="00B5129C"/>
    <w:rsid w:val="00B52FD7"/>
    <w:rsid w:val="00B52FE2"/>
    <w:rsid w:val="00B541F4"/>
    <w:rsid w:val="00B60FF1"/>
    <w:rsid w:val="00B62919"/>
    <w:rsid w:val="00B62BC7"/>
    <w:rsid w:val="00B6311C"/>
    <w:rsid w:val="00B64106"/>
    <w:rsid w:val="00B67072"/>
    <w:rsid w:val="00B71559"/>
    <w:rsid w:val="00B718A8"/>
    <w:rsid w:val="00B725D4"/>
    <w:rsid w:val="00B73B36"/>
    <w:rsid w:val="00B758FE"/>
    <w:rsid w:val="00B769B5"/>
    <w:rsid w:val="00B77E0A"/>
    <w:rsid w:val="00B8130C"/>
    <w:rsid w:val="00B81EA1"/>
    <w:rsid w:val="00B84364"/>
    <w:rsid w:val="00B86126"/>
    <w:rsid w:val="00B871B6"/>
    <w:rsid w:val="00B959BA"/>
    <w:rsid w:val="00BA484E"/>
    <w:rsid w:val="00BA7682"/>
    <w:rsid w:val="00BB0E7F"/>
    <w:rsid w:val="00BB4526"/>
    <w:rsid w:val="00BC02DA"/>
    <w:rsid w:val="00BC163F"/>
    <w:rsid w:val="00BC2E58"/>
    <w:rsid w:val="00BC3EA8"/>
    <w:rsid w:val="00BC4F9E"/>
    <w:rsid w:val="00BC548B"/>
    <w:rsid w:val="00BC6E5F"/>
    <w:rsid w:val="00BC7158"/>
    <w:rsid w:val="00BD0D24"/>
    <w:rsid w:val="00BD1632"/>
    <w:rsid w:val="00BD2420"/>
    <w:rsid w:val="00BD7401"/>
    <w:rsid w:val="00BE1B49"/>
    <w:rsid w:val="00BE3FD4"/>
    <w:rsid w:val="00BF0A25"/>
    <w:rsid w:val="00BF1ACB"/>
    <w:rsid w:val="00BF343D"/>
    <w:rsid w:val="00C02E9B"/>
    <w:rsid w:val="00C05E1B"/>
    <w:rsid w:val="00C10415"/>
    <w:rsid w:val="00C13EB2"/>
    <w:rsid w:val="00C203CB"/>
    <w:rsid w:val="00C20BE5"/>
    <w:rsid w:val="00C25FB5"/>
    <w:rsid w:val="00C2608F"/>
    <w:rsid w:val="00C30D70"/>
    <w:rsid w:val="00C37E20"/>
    <w:rsid w:val="00C40518"/>
    <w:rsid w:val="00C42D7D"/>
    <w:rsid w:val="00C43319"/>
    <w:rsid w:val="00C43823"/>
    <w:rsid w:val="00C46BF3"/>
    <w:rsid w:val="00C51C8C"/>
    <w:rsid w:val="00C5425B"/>
    <w:rsid w:val="00C54F43"/>
    <w:rsid w:val="00C578FC"/>
    <w:rsid w:val="00C602B8"/>
    <w:rsid w:val="00C60DAB"/>
    <w:rsid w:val="00C63772"/>
    <w:rsid w:val="00C73465"/>
    <w:rsid w:val="00C76F69"/>
    <w:rsid w:val="00C774E3"/>
    <w:rsid w:val="00C82260"/>
    <w:rsid w:val="00C8259F"/>
    <w:rsid w:val="00C922B3"/>
    <w:rsid w:val="00C95AAA"/>
    <w:rsid w:val="00C963F1"/>
    <w:rsid w:val="00CA0F68"/>
    <w:rsid w:val="00CA63E7"/>
    <w:rsid w:val="00CB0021"/>
    <w:rsid w:val="00CB0C59"/>
    <w:rsid w:val="00CB29FC"/>
    <w:rsid w:val="00CB6A79"/>
    <w:rsid w:val="00CC1BF1"/>
    <w:rsid w:val="00CD73DD"/>
    <w:rsid w:val="00CE237B"/>
    <w:rsid w:val="00CE3647"/>
    <w:rsid w:val="00CE506C"/>
    <w:rsid w:val="00CF0D96"/>
    <w:rsid w:val="00CF173A"/>
    <w:rsid w:val="00CF463D"/>
    <w:rsid w:val="00D011CB"/>
    <w:rsid w:val="00D05EE3"/>
    <w:rsid w:val="00D1014A"/>
    <w:rsid w:val="00D144E3"/>
    <w:rsid w:val="00D146C0"/>
    <w:rsid w:val="00D16171"/>
    <w:rsid w:val="00D17134"/>
    <w:rsid w:val="00D200DE"/>
    <w:rsid w:val="00D200E1"/>
    <w:rsid w:val="00D21968"/>
    <w:rsid w:val="00D24493"/>
    <w:rsid w:val="00D26F84"/>
    <w:rsid w:val="00D27678"/>
    <w:rsid w:val="00D27F97"/>
    <w:rsid w:val="00D3703B"/>
    <w:rsid w:val="00D43285"/>
    <w:rsid w:val="00D458C8"/>
    <w:rsid w:val="00D5540C"/>
    <w:rsid w:val="00D619CD"/>
    <w:rsid w:val="00D61E27"/>
    <w:rsid w:val="00D65F4D"/>
    <w:rsid w:val="00D6660A"/>
    <w:rsid w:val="00D70920"/>
    <w:rsid w:val="00D720F6"/>
    <w:rsid w:val="00D759A4"/>
    <w:rsid w:val="00D75C64"/>
    <w:rsid w:val="00D7753D"/>
    <w:rsid w:val="00D86037"/>
    <w:rsid w:val="00D91885"/>
    <w:rsid w:val="00D968AF"/>
    <w:rsid w:val="00DA2F01"/>
    <w:rsid w:val="00DA3A74"/>
    <w:rsid w:val="00DB4131"/>
    <w:rsid w:val="00DB44F5"/>
    <w:rsid w:val="00DB662D"/>
    <w:rsid w:val="00DB690A"/>
    <w:rsid w:val="00DC5F63"/>
    <w:rsid w:val="00DC66A2"/>
    <w:rsid w:val="00DD1379"/>
    <w:rsid w:val="00DD375C"/>
    <w:rsid w:val="00DD4D4C"/>
    <w:rsid w:val="00DD75E0"/>
    <w:rsid w:val="00DD7F4A"/>
    <w:rsid w:val="00DE3170"/>
    <w:rsid w:val="00DE4B6F"/>
    <w:rsid w:val="00DE7788"/>
    <w:rsid w:val="00DF016D"/>
    <w:rsid w:val="00DF2BE8"/>
    <w:rsid w:val="00DF77E3"/>
    <w:rsid w:val="00DF7876"/>
    <w:rsid w:val="00E01837"/>
    <w:rsid w:val="00E037A5"/>
    <w:rsid w:val="00E075B5"/>
    <w:rsid w:val="00E152DB"/>
    <w:rsid w:val="00E16724"/>
    <w:rsid w:val="00E176C9"/>
    <w:rsid w:val="00E1798E"/>
    <w:rsid w:val="00E2102E"/>
    <w:rsid w:val="00E22B9F"/>
    <w:rsid w:val="00E23F4A"/>
    <w:rsid w:val="00E23FA1"/>
    <w:rsid w:val="00E2486D"/>
    <w:rsid w:val="00E32389"/>
    <w:rsid w:val="00E3450B"/>
    <w:rsid w:val="00E456F3"/>
    <w:rsid w:val="00E471CF"/>
    <w:rsid w:val="00E54CAA"/>
    <w:rsid w:val="00E567D5"/>
    <w:rsid w:val="00E604D3"/>
    <w:rsid w:val="00E60EBF"/>
    <w:rsid w:val="00E60F6B"/>
    <w:rsid w:val="00E61D3D"/>
    <w:rsid w:val="00E71F94"/>
    <w:rsid w:val="00E7425F"/>
    <w:rsid w:val="00E743F2"/>
    <w:rsid w:val="00E8018A"/>
    <w:rsid w:val="00E81D7F"/>
    <w:rsid w:val="00E82250"/>
    <w:rsid w:val="00E839F8"/>
    <w:rsid w:val="00E842B6"/>
    <w:rsid w:val="00E85905"/>
    <w:rsid w:val="00E85E27"/>
    <w:rsid w:val="00E933EC"/>
    <w:rsid w:val="00E94919"/>
    <w:rsid w:val="00EA1C87"/>
    <w:rsid w:val="00EA20C6"/>
    <w:rsid w:val="00EA471C"/>
    <w:rsid w:val="00EA55D0"/>
    <w:rsid w:val="00EA7851"/>
    <w:rsid w:val="00EB147A"/>
    <w:rsid w:val="00EB72EF"/>
    <w:rsid w:val="00EC04BD"/>
    <w:rsid w:val="00EC0D2E"/>
    <w:rsid w:val="00EC1171"/>
    <w:rsid w:val="00EC3818"/>
    <w:rsid w:val="00EC3BCC"/>
    <w:rsid w:val="00ED2AE2"/>
    <w:rsid w:val="00ED33F5"/>
    <w:rsid w:val="00ED39FA"/>
    <w:rsid w:val="00ED5F52"/>
    <w:rsid w:val="00EE269A"/>
    <w:rsid w:val="00EE40DD"/>
    <w:rsid w:val="00EE461B"/>
    <w:rsid w:val="00EE47D1"/>
    <w:rsid w:val="00EE6C3C"/>
    <w:rsid w:val="00EF25C8"/>
    <w:rsid w:val="00EF2DA8"/>
    <w:rsid w:val="00EF47E3"/>
    <w:rsid w:val="00EF5BA7"/>
    <w:rsid w:val="00EF5E26"/>
    <w:rsid w:val="00EF6AB3"/>
    <w:rsid w:val="00EF7D66"/>
    <w:rsid w:val="00F04A9D"/>
    <w:rsid w:val="00F061BB"/>
    <w:rsid w:val="00F129BD"/>
    <w:rsid w:val="00F142A3"/>
    <w:rsid w:val="00F15723"/>
    <w:rsid w:val="00F16D6E"/>
    <w:rsid w:val="00F2039A"/>
    <w:rsid w:val="00F21B1A"/>
    <w:rsid w:val="00F21DE7"/>
    <w:rsid w:val="00F22140"/>
    <w:rsid w:val="00F22386"/>
    <w:rsid w:val="00F2260B"/>
    <w:rsid w:val="00F2481C"/>
    <w:rsid w:val="00F26961"/>
    <w:rsid w:val="00F37276"/>
    <w:rsid w:val="00F43CFC"/>
    <w:rsid w:val="00F450BF"/>
    <w:rsid w:val="00F5087F"/>
    <w:rsid w:val="00F51B95"/>
    <w:rsid w:val="00F52A64"/>
    <w:rsid w:val="00F55974"/>
    <w:rsid w:val="00F60293"/>
    <w:rsid w:val="00F60462"/>
    <w:rsid w:val="00F618ED"/>
    <w:rsid w:val="00F62686"/>
    <w:rsid w:val="00F65C5E"/>
    <w:rsid w:val="00F703DF"/>
    <w:rsid w:val="00F70924"/>
    <w:rsid w:val="00F73792"/>
    <w:rsid w:val="00F76B5B"/>
    <w:rsid w:val="00F83AC2"/>
    <w:rsid w:val="00F84AAB"/>
    <w:rsid w:val="00F937BA"/>
    <w:rsid w:val="00F9381B"/>
    <w:rsid w:val="00F962D6"/>
    <w:rsid w:val="00FA1D48"/>
    <w:rsid w:val="00FA3F54"/>
    <w:rsid w:val="00FA40E2"/>
    <w:rsid w:val="00FA4A5A"/>
    <w:rsid w:val="00FA4FF6"/>
    <w:rsid w:val="00FA55F6"/>
    <w:rsid w:val="00FA672C"/>
    <w:rsid w:val="00FA7E54"/>
    <w:rsid w:val="00FB13F6"/>
    <w:rsid w:val="00FB6D1F"/>
    <w:rsid w:val="00FC2F63"/>
    <w:rsid w:val="00FC6392"/>
    <w:rsid w:val="00FC6435"/>
    <w:rsid w:val="00FD252B"/>
    <w:rsid w:val="00FD2F2D"/>
    <w:rsid w:val="00FD4F2E"/>
    <w:rsid w:val="00FD5154"/>
    <w:rsid w:val="00FD65D0"/>
    <w:rsid w:val="00FD720F"/>
    <w:rsid w:val="00FE061F"/>
    <w:rsid w:val="00FF2977"/>
    <w:rsid w:val="00FF345D"/>
    <w:rsid w:val="00FF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16"/>
    <w:pPr>
      <w:spacing w:after="120" w:line="240" w:lineRule="auto"/>
      <w:jc w:val="both"/>
    </w:pPr>
    <w:rPr>
      <w:rFonts w:ascii="Verdana" w:eastAsia="Calibri" w:hAnsi="Verdana" w:cs="Times"/>
      <w:sz w:val="20"/>
      <w:szCs w:val="24"/>
      <w:lang w:val="es-ES_tradnl" w:eastAsia="es-ES"/>
    </w:rPr>
  </w:style>
  <w:style w:type="paragraph" w:styleId="Heading1">
    <w:name w:val="heading 1"/>
    <w:basedOn w:val="Normal"/>
    <w:next w:val="Normal"/>
    <w:link w:val="Heading1Char"/>
    <w:uiPriority w:val="9"/>
    <w:qFormat/>
    <w:rsid w:val="00084E76"/>
    <w:pPr>
      <w:keepNext/>
      <w:keepLines/>
      <w:spacing w:before="48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8E6216"/>
    <w:rPr>
      <w:vertAlign w:val="superscript"/>
    </w:rPr>
  </w:style>
  <w:style w:type="paragraph" w:customStyle="1" w:styleId="ListParagraph1">
    <w:name w:val="List Paragraph1"/>
    <w:basedOn w:val="Normal"/>
    <w:rsid w:val="008E6216"/>
    <w:pPr>
      <w:spacing w:after="0"/>
      <w:ind w:left="720"/>
      <w:jc w:val="left"/>
    </w:pPr>
    <w:rPr>
      <w:rFonts w:ascii="Times New Roman" w:hAnsi="Times New Roman" w:cs="Times New Roman"/>
      <w:sz w:val="24"/>
      <w:lang w:val="es-ES"/>
    </w:rPr>
  </w:style>
  <w:style w:type="paragraph" w:customStyle="1" w:styleId="Listavistosa-nfasis11">
    <w:name w:val="Lista vistosa - Énfasis 11"/>
    <w:basedOn w:val="Normal"/>
    <w:uiPriority w:val="99"/>
    <w:qFormat/>
    <w:rsid w:val="008E6216"/>
    <w:pPr>
      <w:numPr>
        <w:ilvl w:val="1"/>
        <w:numId w:val="4"/>
      </w:numPr>
      <w:contextualSpacing/>
    </w:pPr>
  </w:style>
  <w:style w:type="paragraph" w:styleId="ListParagraph">
    <w:name w:val="List Paragraph"/>
    <w:aliases w:val="Footnote,List Paragraph2"/>
    <w:basedOn w:val="Normal"/>
    <w:link w:val="ListParagraphChar"/>
    <w:uiPriority w:val="34"/>
    <w:qFormat/>
    <w:rsid w:val="008E6216"/>
    <w:pPr>
      <w:ind w:left="708"/>
    </w:pPr>
  </w:style>
  <w:style w:type="character" w:customStyle="1" w:styleId="ListParagraphChar">
    <w:name w:val="List Paragraph Char"/>
    <w:aliases w:val="Footnote Char,List Paragraph2 Char"/>
    <w:link w:val="ListParagraph"/>
    <w:uiPriority w:val="34"/>
    <w:locked/>
    <w:rsid w:val="008E6216"/>
    <w:rPr>
      <w:rFonts w:ascii="Verdana" w:eastAsia="Calibri" w:hAnsi="Verdana" w:cs="Times"/>
      <w:sz w:val="20"/>
      <w:szCs w:val="24"/>
      <w:lang w:val="es-ES_tradnl" w:eastAsia="es-ES"/>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uiPriority w:val="99"/>
    <w:unhideWhenUsed/>
    <w:qFormat/>
    <w:rsid w:val="008E6216"/>
    <w:pPr>
      <w:spacing w:after="0"/>
    </w:pPr>
    <w:rPr>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rsid w:val="008E6216"/>
    <w:rPr>
      <w:rFonts w:ascii="Verdana" w:eastAsia="Calibri" w:hAnsi="Verdana" w:cs="Times"/>
      <w:sz w:val="20"/>
      <w:szCs w:val="20"/>
      <w:lang w:val="es-ES_tradnl" w:eastAsia="es-ES"/>
    </w:rPr>
  </w:style>
  <w:style w:type="character" w:styleId="Strong">
    <w:name w:val="Strong"/>
    <w:basedOn w:val="DefaultParagraphFont"/>
    <w:uiPriority w:val="22"/>
    <w:qFormat/>
    <w:rsid w:val="008E6216"/>
    <w:rPr>
      <w:b/>
      <w:bCs/>
    </w:rPr>
  </w:style>
  <w:style w:type="character" w:styleId="CommentReference">
    <w:name w:val="annotation reference"/>
    <w:basedOn w:val="DefaultParagraphFont"/>
    <w:uiPriority w:val="99"/>
    <w:semiHidden/>
    <w:unhideWhenUsed/>
    <w:rsid w:val="008E6216"/>
    <w:rPr>
      <w:sz w:val="16"/>
      <w:szCs w:val="16"/>
    </w:rPr>
  </w:style>
  <w:style w:type="paragraph" w:styleId="CommentText">
    <w:name w:val="annotation text"/>
    <w:basedOn w:val="Normal"/>
    <w:link w:val="CommentTextChar"/>
    <w:uiPriority w:val="99"/>
    <w:semiHidden/>
    <w:unhideWhenUsed/>
    <w:rsid w:val="008E6216"/>
    <w:rPr>
      <w:szCs w:val="20"/>
    </w:rPr>
  </w:style>
  <w:style w:type="character" w:customStyle="1" w:styleId="CommentTextChar">
    <w:name w:val="Comment Text Char"/>
    <w:basedOn w:val="DefaultParagraphFont"/>
    <w:link w:val="CommentText"/>
    <w:uiPriority w:val="99"/>
    <w:semiHidden/>
    <w:rsid w:val="008E6216"/>
    <w:rPr>
      <w:rFonts w:ascii="Verdana" w:eastAsia="Calibri" w:hAnsi="Verdana" w:cs="Times"/>
      <w:sz w:val="20"/>
      <w:szCs w:val="20"/>
      <w:lang w:val="es-ES_tradnl" w:eastAsia="es-ES"/>
    </w:rPr>
  </w:style>
  <w:style w:type="paragraph" w:styleId="Header">
    <w:name w:val="header"/>
    <w:basedOn w:val="Normal"/>
    <w:link w:val="HeaderChar"/>
    <w:uiPriority w:val="99"/>
    <w:unhideWhenUsed/>
    <w:rsid w:val="008E6216"/>
    <w:pPr>
      <w:tabs>
        <w:tab w:val="center" w:pos="4419"/>
        <w:tab w:val="right" w:pos="8838"/>
      </w:tabs>
      <w:spacing w:after="0"/>
    </w:pPr>
  </w:style>
  <w:style w:type="character" w:customStyle="1" w:styleId="HeaderChar">
    <w:name w:val="Header Char"/>
    <w:basedOn w:val="DefaultParagraphFont"/>
    <w:link w:val="Header"/>
    <w:uiPriority w:val="99"/>
    <w:rsid w:val="008E6216"/>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8E62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216"/>
    <w:rPr>
      <w:rFonts w:ascii="Tahoma" w:eastAsia="Calibri" w:hAnsi="Tahoma" w:cs="Tahoma"/>
      <w:sz w:val="16"/>
      <w:szCs w:val="16"/>
      <w:lang w:val="es-ES_tradnl" w:eastAsia="es-ES"/>
    </w:rPr>
  </w:style>
  <w:style w:type="paragraph" w:styleId="CommentSubject">
    <w:name w:val="annotation subject"/>
    <w:basedOn w:val="CommentText"/>
    <w:next w:val="CommentText"/>
    <w:link w:val="CommentSubjectChar"/>
    <w:uiPriority w:val="99"/>
    <w:semiHidden/>
    <w:unhideWhenUsed/>
    <w:rsid w:val="0057543B"/>
    <w:rPr>
      <w:b/>
      <w:bCs/>
    </w:rPr>
  </w:style>
  <w:style w:type="character" w:customStyle="1" w:styleId="CommentSubjectChar">
    <w:name w:val="Comment Subject Char"/>
    <w:basedOn w:val="CommentTextChar"/>
    <w:link w:val="CommentSubject"/>
    <w:uiPriority w:val="99"/>
    <w:semiHidden/>
    <w:rsid w:val="0057543B"/>
    <w:rPr>
      <w:rFonts w:ascii="Verdana" w:eastAsia="Calibri" w:hAnsi="Verdana" w:cs="Times"/>
      <w:b/>
      <w:bCs/>
      <w:sz w:val="20"/>
      <w:szCs w:val="20"/>
      <w:lang w:val="es-ES_tradnl" w:eastAsia="es-ES"/>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1,FA Fu Car Char1,FA Fu Car Car Char1,Ca Char1"/>
    <w:basedOn w:val="DefaultParagraphFont"/>
    <w:locked/>
    <w:rsid w:val="006B5F5D"/>
    <w:rPr>
      <w:rFonts w:cs="Verdana"/>
      <w:sz w:val="16"/>
      <w:szCs w:val="16"/>
      <w:lang w:val="es-ES_tradnl" w:eastAsia="es-ES"/>
    </w:rPr>
  </w:style>
  <w:style w:type="character" w:styleId="Hyperlink">
    <w:name w:val="Hyperlink"/>
    <w:basedOn w:val="DefaultParagraphFont"/>
    <w:uiPriority w:val="99"/>
    <w:unhideWhenUsed/>
    <w:rsid w:val="00671A7A"/>
    <w:rPr>
      <w:color w:val="0000FF" w:themeColor="hyperlink"/>
      <w:u w:val="single"/>
    </w:rPr>
  </w:style>
  <w:style w:type="paragraph" w:styleId="BodyText2">
    <w:name w:val="Body Text 2"/>
    <w:basedOn w:val="Normal"/>
    <w:link w:val="BodyText2Char"/>
    <w:uiPriority w:val="99"/>
    <w:rsid w:val="005F0DB7"/>
    <w:pPr>
      <w:tabs>
        <w:tab w:val="left" w:pos="720"/>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spacing w:after="0"/>
    </w:pPr>
    <w:rPr>
      <w:rFonts w:ascii="Garamond" w:eastAsia="MS Mincho" w:hAnsi="Garamond" w:cs="Times New Roman"/>
      <w:sz w:val="24"/>
      <w:szCs w:val="20"/>
      <w:u w:val="single"/>
      <w:lang w:eastAsia="en-US"/>
    </w:rPr>
  </w:style>
  <w:style w:type="character" w:customStyle="1" w:styleId="BodyText2Char">
    <w:name w:val="Body Text 2 Char"/>
    <w:basedOn w:val="DefaultParagraphFont"/>
    <w:link w:val="BodyText2"/>
    <w:uiPriority w:val="99"/>
    <w:rsid w:val="005F0DB7"/>
    <w:rPr>
      <w:rFonts w:ascii="Garamond" w:eastAsia="MS Mincho" w:hAnsi="Garamond" w:cs="Times New Roman"/>
      <w:sz w:val="24"/>
      <w:szCs w:val="20"/>
      <w:u w:val="single"/>
      <w:lang w:val="es-ES_tradnl"/>
    </w:rPr>
  </w:style>
  <w:style w:type="character" w:styleId="SubtleEmphasis">
    <w:name w:val="Subtle Emphasis"/>
    <w:uiPriority w:val="19"/>
    <w:qFormat/>
    <w:rsid w:val="00091B85"/>
    <w:rPr>
      <w:rFonts w:ascii="Verdana" w:hAnsi="Verdana"/>
      <w:i/>
      <w:iCs/>
      <w:color w:val="808080"/>
      <w:sz w:val="20"/>
      <w:u w:val="single"/>
    </w:rPr>
  </w:style>
  <w:style w:type="character" w:customStyle="1" w:styleId="Heading1Char">
    <w:name w:val="Heading 1 Char"/>
    <w:basedOn w:val="DefaultParagraphFont"/>
    <w:link w:val="Heading1"/>
    <w:uiPriority w:val="9"/>
    <w:rsid w:val="00084E76"/>
    <w:rPr>
      <w:rFonts w:ascii="Verdana" w:eastAsiaTheme="majorEastAsia" w:hAnsi="Verdana" w:cstheme="majorBidi"/>
      <w:b/>
      <w:bCs/>
      <w:sz w:val="20"/>
      <w:szCs w:val="28"/>
      <w:lang w:val="es-ES_tradnl" w:eastAsia="es-ES"/>
    </w:rPr>
  </w:style>
  <w:style w:type="paragraph" w:styleId="NoSpacing">
    <w:name w:val="No Spacing"/>
    <w:uiPriority w:val="1"/>
    <w:qFormat/>
    <w:rsid w:val="001D4B96"/>
    <w:pPr>
      <w:spacing w:after="0" w:line="240" w:lineRule="auto"/>
    </w:pPr>
    <w:rPr>
      <w:rFonts w:ascii="Verdana" w:eastAsia="Times New Roman" w:hAnsi="Verdana" w:cs="Times New Roman"/>
      <w:sz w:val="28"/>
      <w:szCs w:val="24"/>
      <w:lang w:val="es-ES_tradnl"/>
    </w:rPr>
  </w:style>
  <w:style w:type="numbering" w:customStyle="1" w:styleId="Style1">
    <w:name w:val="Style1"/>
    <w:uiPriority w:val="99"/>
    <w:rsid w:val="00BA484E"/>
    <w:pPr>
      <w:numPr>
        <w:numId w:val="32"/>
      </w:numPr>
    </w:pPr>
  </w:style>
  <w:style w:type="numbering" w:customStyle="1" w:styleId="Style2">
    <w:name w:val="Style2"/>
    <w:uiPriority w:val="99"/>
    <w:rsid w:val="00BA484E"/>
    <w:pPr>
      <w:numPr>
        <w:numId w:val="34"/>
      </w:numPr>
    </w:pPr>
  </w:style>
  <w:style w:type="paragraph" w:styleId="Revision">
    <w:name w:val="Revision"/>
    <w:hidden/>
    <w:uiPriority w:val="99"/>
    <w:semiHidden/>
    <w:rsid w:val="0001540D"/>
    <w:pPr>
      <w:spacing w:after="0" w:line="240" w:lineRule="auto"/>
    </w:pPr>
    <w:rPr>
      <w:rFonts w:ascii="Verdana" w:eastAsia="Calibri" w:hAnsi="Verdana" w:cs="Times"/>
      <w:sz w:val="20"/>
      <w:szCs w:val="24"/>
      <w:lang w:val="es-ES_tradnl" w:eastAsia="es-ES"/>
    </w:rPr>
  </w:style>
  <w:style w:type="paragraph" w:styleId="Footer">
    <w:name w:val="footer"/>
    <w:basedOn w:val="Normal"/>
    <w:link w:val="FooterChar"/>
    <w:uiPriority w:val="99"/>
    <w:semiHidden/>
    <w:unhideWhenUsed/>
    <w:rsid w:val="00A73DBE"/>
    <w:pPr>
      <w:tabs>
        <w:tab w:val="center" w:pos="4680"/>
        <w:tab w:val="right" w:pos="9360"/>
      </w:tabs>
      <w:spacing w:after="0"/>
    </w:pPr>
  </w:style>
  <w:style w:type="character" w:customStyle="1" w:styleId="FooterChar">
    <w:name w:val="Footer Char"/>
    <w:basedOn w:val="DefaultParagraphFont"/>
    <w:link w:val="Footer"/>
    <w:uiPriority w:val="99"/>
    <w:semiHidden/>
    <w:rsid w:val="00A73DBE"/>
    <w:rPr>
      <w:rFonts w:ascii="Verdana" w:eastAsia="Calibri" w:hAnsi="Verdana" w:cs="Times"/>
      <w:sz w:val="20"/>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16"/>
    <w:pPr>
      <w:spacing w:after="120" w:line="240" w:lineRule="auto"/>
      <w:jc w:val="both"/>
    </w:pPr>
    <w:rPr>
      <w:rFonts w:ascii="Verdana" w:eastAsia="Calibri" w:hAnsi="Verdana" w:cs="Times"/>
      <w:sz w:val="20"/>
      <w:szCs w:val="24"/>
      <w:lang w:val="es-ES_tradnl" w:eastAsia="es-ES"/>
    </w:rPr>
  </w:style>
  <w:style w:type="paragraph" w:styleId="Heading1">
    <w:name w:val="heading 1"/>
    <w:basedOn w:val="Normal"/>
    <w:next w:val="Normal"/>
    <w:link w:val="Heading1Char"/>
    <w:uiPriority w:val="9"/>
    <w:qFormat/>
    <w:rsid w:val="00084E76"/>
    <w:pPr>
      <w:keepNext/>
      <w:keepLines/>
      <w:spacing w:before="48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8E6216"/>
    <w:rPr>
      <w:vertAlign w:val="superscript"/>
    </w:rPr>
  </w:style>
  <w:style w:type="paragraph" w:customStyle="1" w:styleId="ListParagraph1">
    <w:name w:val="List Paragraph1"/>
    <w:basedOn w:val="Normal"/>
    <w:rsid w:val="008E6216"/>
    <w:pPr>
      <w:spacing w:after="0"/>
      <w:ind w:left="720"/>
      <w:jc w:val="left"/>
    </w:pPr>
    <w:rPr>
      <w:rFonts w:ascii="Times New Roman" w:hAnsi="Times New Roman" w:cs="Times New Roman"/>
      <w:sz w:val="24"/>
      <w:lang w:val="es-ES"/>
    </w:rPr>
  </w:style>
  <w:style w:type="paragraph" w:customStyle="1" w:styleId="Listavistosa-nfasis11">
    <w:name w:val="Lista vistosa - Énfasis 11"/>
    <w:basedOn w:val="Normal"/>
    <w:uiPriority w:val="99"/>
    <w:qFormat/>
    <w:rsid w:val="008E6216"/>
    <w:pPr>
      <w:numPr>
        <w:ilvl w:val="1"/>
        <w:numId w:val="4"/>
      </w:numPr>
      <w:contextualSpacing/>
    </w:pPr>
  </w:style>
  <w:style w:type="paragraph" w:styleId="ListParagraph">
    <w:name w:val="List Paragraph"/>
    <w:aliases w:val="Footnote,List Paragraph2"/>
    <w:basedOn w:val="Normal"/>
    <w:link w:val="ListParagraphChar"/>
    <w:uiPriority w:val="34"/>
    <w:qFormat/>
    <w:rsid w:val="008E6216"/>
    <w:pPr>
      <w:ind w:left="708"/>
    </w:pPr>
  </w:style>
  <w:style w:type="character" w:customStyle="1" w:styleId="ListParagraphChar">
    <w:name w:val="List Paragraph Char"/>
    <w:aliases w:val="Footnote Char,List Paragraph2 Char"/>
    <w:link w:val="ListParagraph"/>
    <w:uiPriority w:val="34"/>
    <w:locked/>
    <w:rsid w:val="008E6216"/>
    <w:rPr>
      <w:rFonts w:ascii="Verdana" w:eastAsia="Calibri" w:hAnsi="Verdana" w:cs="Times"/>
      <w:sz w:val="20"/>
      <w:szCs w:val="24"/>
      <w:lang w:val="es-ES_tradnl" w:eastAsia="es-ES"/>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uiPriority w:val="99"/>
    <w:unhideWhenUsed/>
    <w:qFormat/>
    <w:rsid w:val="008E6216"/>
    <w:pPr>
      <w:spacing w:after="0"/>
    </w:pPr>
    <w:rPr>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rsid w:val="008E6216"/>
    <w:rPr>
      <w:rFonts w:ascii="Verdana" w:eastAsia="Calibri" w:hAnsi="Verdana" w:cs="Times"/>
      <w:sz w:val="20"/>
      <w:szCs w:val="20"/>
      <w:lang w:val="es-ES_tradnl" w:eastAsia="es-ES"/>
    </w:rPr>
  </w:style>
  <w:style w:type="character" w:styleId="Strong">
    <w:name w:val="Strong"/>
    <w:basedOn w:val="DefaultParagraphFont"/>
    <w:uiPriority w:val="22"/>
    <w:qFormat/>
    <w:rsid w:val="008E6216"/>
    <w:rPr>
      <w:b/>
      <w:bCs/>
    </w:rPr>
  </w:style>
  <w:style w:type="character" w:styleId="CommentReference">
    <w:name w:val="annotation reference"/>
    <w:basedOn w:val="DefaultParagraphFont"/>
    <w:uiPriority w:val="99"/>
    <w:semiHidden/>
    <w:unhideWhenUsed/>
    <w:rsid w:val="008E6216"/>
    <w:rPr>
      <w:sz w:val="16"/>
      <w:szCs w:val="16"/>
    </w:rPr>
  </w:style>
  <w:style w:type="paragraph" w:styleId="CommentText">
    <w:name w:val="annotation text"/>
    <w:basedOn w:val="Normal"/>
    <w:link w:val="CommentTextChar"/>
    <w:uiPriority w:val="99"/>
    <w:semiHidden/>
    <w:unhideWhenUsed/>
    <w:rsid w:val="008E6216"/>
    <w:rPr>
      <w:szCs w:val="20"/>
    </w:rPr>
  </w:style>
  <w:style w:type="character" w:customStyle="1" w:styleId="CommentTextChar">
    <w:name w:val="Comment Text Char"/>
    <w:basedOn w:val="DefaultParagraphFont"/>
    <w:link w:val="CommentText"/>
    <w:uiPriority w:val="99"/>
    <w:semiHidden/>
    <w:rsid w:val="008E6216"/>
    <w:rPr>
      <w:rFonts w:ascii="Verdana" w:eastAsia="Calibri" w:hAnsi="Verdana" w:cs="Times"/>
      <w:sz w:val="20"/>
      <w:szCs w:val="20"/>
      <w:lang w:val="es-ES_tradnl" w:eastAsia="es-ES"/>
    </w:rPr>
  </w:style>
  <w:style w:type="paragraph" w:styleId="Header">
    <w:name w:val="header"/>
    <w:basedOn w:val="Normal"/>
    <w:link w:val="HeaderChar"/>
    <w:uiPriority w:val="99"/>
    <w:unhideWhenUsed/>
    <w:rsid w:val="008E6216"/>
    <w:pPr>
      <w:tabs>
        <w:tab w:val="center" w:pos="4419"/>
        <w:tab w:val="right" w:pos="8838"/>
      </w:tabs>
      <w:spacing w:after="0"/>
    </w:pPr>
  </w:style>
  <w:style w:type="character" w:customStyle="1" w:styleId="HeaderChar">
    <w:name w:val="Header Char"/>
    <w:basedOn w:val="DefaultParagraphFont"/>
    <w:link w:val="Header"/>
    <w:uiPriority w:val="99"/>
    <w:rsid w:val="008E6216"/>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8E62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216"/>
    <w:rPr>
      <w:rFonts w:ascii="Tahoma" w:eastAsia="Calibri" w:hAnsi="Tahoma" w:cs="Tahoma"/>
      <w:sz w:val="16"/>
      <w:szCs w:val="16"/>
      <w:lang w:val="es-ES_tradnl" w:eastAsia="es-ES"/>
    </w:rPr>
  </w:style>
  <w:style w:type="paragraph" w:styleId="CommentSubject">
    <w:name w:val="annotation subject"/>
    <w:basedOn w:val="CommentText"/>
    <w:next w:val="CommentText"/>
    <w:link w:val="CommentSubjectChar"/>
    <w:uiPriority w:val="99"/>
    <w:semiHidden/>
    <w:unhideWhenUsed/>
    <w:rsid w:val="0057543B"/>
    <w:rPr>
      <w:b/>
      <w:bCs/>
    </w:rPr>
  </w:style>
  <w:style w:type="character" w:customStyle="1" w:styleId="CommentSubjectChar">
    <w:name w:val="Comment Subject Char"/>
    <w:basedOn w:val="CommentTextChar"/>
    <w:link w:val="CommentSubject"/>
    <w:uiPriority w:val="99"/>
    <w:semiHidden/>
    <w:rsid w:val="0057543B"/>
    <w:rPr>
      <w:rFonts w:ascii="Verdana" w:eastAsia="Calibri" w:hAnsi="Verdana" w:cs="Times"/>
      <w:b/>
      <w:bCs/>
      <w:sz w:val="20"/>
      <w:szCs w:val="20"/>
      <w:lang w:val="es-ES_tradnl" w:eastAsia="es-ES"/>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1,FA Fu Car Char1,FA Fu Car Car Char1,Ca Char1"/>
    <w:basedOn w:val="DefaultParagraphFont"/>
    <w:locked/>
    <w:rsid w:val="006B5F5D"/>
    <w:rPr>
      <w:rFonts w:cs="Verdana"/>
      <w:sz w:val="16"/>
      <w:szCs w:val="16"/>
      <w:lang w:val="es-ES_tradnl" w:eastAsia="es-ES"/>
    </w:rPr>
  </w:style>
  <w:style w:type="character" w:styleId="Hyperlink">
    <w:name w:val="Hyperlink"/>
    <w:basedOn w:val="DefaultParagraphFont"/>
    <w:uiPriority w:val="99"/>
    <w:unhideWhenUsed/>
    <w:rsid w:val="00671A7A"/>
    <w:rPr>
      <w:color w:val="0000FF" w:themeColor="hyperlink"/>
      <w:u w:val="single"/>
    </w:rPr>
  </w:style>
  <w:style w:type="paragraph" w:styleId="BodyText2">
    <w:name w:val="Body Text 2"/>
    <w:basedOn w:val="Normal"/>
    <w:link w:val="BodyText2Char"/>
    <w:uiPriority w:val="99"/>
    <w:rsid w:val="005F0DB7"/>
    <w:pPr>
      <w:tabs>
        <w:tab w:val="left" w:pos="720"/>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spacing w:after="0"/>
    </w:pPr>
    <w:rPr>
      <w:rFonts w:ascii="Garamond" w:eastAsia="MS Mincho" w:hAnsi="Garamond" w:cs="Times New Roman"/>
      <w:sz w:val="24"/>
      <w:szCs w:val="20"/>
      <w:u w:val="single"/>
      <w:lang w:eastAsia="en-US"/>
    </w:rPr>
  </w:style>
  <w:style w:type="character" w:customStyle="1" w:styleId="BodyText2Char">
    <w:name w:val="Body Text 2 Char"/>
    <w:basedOn w:val="DefaultParagraphFont"/>
    <w:link w:val="BodyText2"/>
    <w:uiPriority w:val="99"/>
    <w:rsid w:val="005F0DB7"/>
    <w:rPr>
      <w:rFonts w:ascii="Garamond" w:eastAsia="MS Mincho" w:hAnsi="Garamond" w:cs="Times New Roman"/>
      <w:sz w:val="24"/>
      <w:szCs w:val="20"/>
      <w:u w:val="single"/>
      <w:lang w:val="es-ES_tradnl"/>
    </w:rPr>
  </w:style>
  <w:style w:type="character" w:styleId="SubtleEmphasis">
    <w:name w:val="Subtle Emphasis"/>
    <w:uiPriority w:val="19"/>
    <w:qFormat/>
    <w:rsid w:val="00091B85"/>
    <w:rPr>
      <w:rFonts w:ascii="Verdana" w:hAnsi="Verdana"/>
      <w:i/>
      <w:iCs/>
      <w:color w:val="808080"/>
      <w:sz w:val="20"/>
      <w:u w:val="single"/>
    </w:rPr>
  </w:style>
  <w:style w:type="character" w:customStyle="1" w:styleId="Heading1Char">
    <w:name w:val="Heading 1 Char"/>
    <w:basedOn w:val="DefaultParagraphFont"/>
    <w:link w:val="Heading1"/>
    <w:uiPriority w:val="9"/>
    <w:rsid w:val="00084E76"/>
    <w:rPr>
      <w:rFonts w:ascii="Verdana" w:eastAsiaTheme="majorEastAsia" w:hAnsi="Verdana" w:cstheme="majorBidi"/>
      <w:b/>
      <w:bCs/>
      <w:sz w:val="20"/>
      <w:szCs w:val="28"/>
      <w:lang w:val="es-ES_tradnl" w:eastAsia="es-ES"/>
    </w:rPr>
  </w:style>
  <w:style w:type="paragraph" w:styleId="NoSpacing">
    <w:name w:val="No Spacing"/>
    <w:uiPriority w:val="1"/>
    <w:qFormat/>
    <w:rsid w:val="001D4B96"/>
    <w:pPr>
      <w:spacing w:after="0" w:line="240" w:lineRule="auto"/>
    </w:pPr>
    <w:rPr>
      <w:rFonts w:ascii="Verdana" w:eastAsia="Times New Roman" w:hAnsi="Verdana" w:cs="Times New Roman"/>
      <w:sz w:val="28"/>
      <w:szCs w:val="24"/>
      <w:lang w:val="es-ES_tradnl"/>
    </w:rPr>
  </w:style>
  <w:style w:type="numbering" w:customStyle="1" w:styleId="Style1">
    <w:name w:val="Style1"/>
    <w:uiPriority w:val="99"/>
    <w:rsid w:val="00BA484E"/>
    <w:pPr>
      <w:numPr>
        <w:numId w:val="32"/>
      </w:numPr>
    </w:pPr>
  </w:style>
  <w:style w:type="numbering" w:customStyle="1" w:styleId="Style2">
    <w:name w:val="Style2"/>
    <w:uiPriority w:val="99"/>
    <w:rsid w:val="00BA484E"/>
    <w:pPr>
      <w:numPr>
        <w:numId w:val="34"/>
      </w:numPr>
    </w:pPr>
  </w:style>
  <w:style w:type="paragraph" w:styleId="Revision">
    <w:name w:val="Revision"/>
    <w:hidden/>
    <w:uiPriority w:val="99"/>
    <w:semiHidden/>
    <w:rsid w:val="0001540D"/>
    <w:pPr>
      <w:spacing w:after="0" w:line="240" w:lineRule="auto"/>
    </w:pPr>
    <w:rPr>
      <w:rFonts w:ascii="Verdana" w:eastAsia="Calibri" w:hAnsi="Verdana" w:cs="Times"/>
      <w:sz w:val="20"/>
      <w:szCs w:val="24"/>
      <w:lang w:val="es-ES_tradnl" w:eastAsia="es-ES"/>
    </w:rPr>
  </w:style>
  <w:style w:type="paragraph" w:styleId="Footer">
    <w:name w:val="footer"/>
    <w:basedOn w:val="Normal"/>
    <w:link w:val="FooterChar"/>
    <w:uiPriority w:val="99"/>
    <w:semiHidden/>
    <w:unhideWhenUsed/>
    <w:rsid w:val="00A73DBE"/>
    <w:pPr>
      <w:tabs>
        <w:tab w:val="center" w:pos="4680"/>
        <w:tab w:val="right" w:pos="9360"/>
      </w:tabs>
      <w:spacing w:after="0"/>
    </w:pPr>
  </w:style>
  <w:style w:type="character" w:customStyle="1" w:styleId="FooterChar">
    <w:name w:val="Footer Char"/>
    <w:basedOn w:val="DefaultParagraphFont"/>
    <w:link w:val="Footer"/>
    <w:uiPriority w:val="99"/>
    <w:semiHidden/>
    <w:rsid w:val="00A73DBE"/>
    <w:rPr>
      <w:rFonts w:ascii="Verdana" w:eastAsia="Calibri" w:hAnsi="Verdana" w:cs="Times"/>
      <w:sz w:val="20"/>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1899">
      <w:bodyDiv w:val="1"/>
      <w:marLeft w:val="0"/>
      <w:marRight w:val="0"/>
      <w:marTop w:val="0"/>
      <w:marBottom w:val="0"/>
      <w:divBdr>
        <w:top w:val="none" w:sz="0" w:space="0" w:color="auto"/>
        <w:left w:val="none" w:sz="0" w:space="0" w:color="auto"/>
        <w:bottom w:val="none" w:sz="0" w:space="0" w:color="auto"/>
        <w:right w:val="none" w:sz="0" w:space="0" w:color="auto"/>
      </w:divBdr>
    </w:div>
    <w:div w:id="659622160">
      <w:bodyDiv w:val="1"/>
      <w:marLeft w:val="0"/>
      <w:marRight w:val="0"/>
      <w:marTop w:val="0"/>
      <w:marBottom w:val="0"/>
      <w:divBdr>
        <w:top w:val="none" w:sz="0" w:space="0" w:color="auto"/>
        <w:left w:val="none" w:sz="0" w:space="0" w:color="auto"/>
        <w:bottom w:val="none" w:sz="0" w:space="0" w:color="auto"/>
        <w:right w:val="none" w:sz="0" w:space="0" w:color="auto"/>
      </w:divBdr>
    </w:div>
    <w:div w:id="1648708132">
      <w:bodyDiv w:val="1"/>
      <w:marLeft w:val="0"/>
      <w:marRight w:val="0"/>
      <w:marTop w:val="0"/>
      <w:marBottom w:val="0"/>
      <w:divBdr>
        <w:top w:val="none" w:sz="0" w:space="0" w:color="auto"/>
        <w:left w:val="none" w:sz="0" w:space="0" w:color="auto"/>
        <w:bottom w:val="none" w:sz="0" w:space="0" w:color="auto"/>
        <w:right w:val="none" w:sz="0" w:space="0" w:color="auto"/>
      </w:divBdr>
    </w:div>
    <w:div w:id="1812214981">
      <w:bodyDiv w:val="1"/>
      <w:marLeft w:val="0"/>
      <w:marRight w:val="0"/>
      <w:marTop w:val="0"/>
      <w:marBottom w:val="0"/>
      <w:divBdr>
        <w:top w:val="none" w:sz="0" w:space="0" w:color="auto"/>
        <w:left w:val="none" w:sz="0" w:space="0" w:color="auto"/>
        <w:bottom w:val="none" w:sz="0" w:space="0" w:color="auto"/>
        <w:right w:val="none" w:sz="0" w:space="0" w:color="auto"/>
      </w:divBdr>
    </w:div>
    <w:div w:id="1819958348">
      <w:bodyDiv w:val="1"/>
      <w:marLeft w:val="0"/>
      <w:marRight w:val="0"/>
      <w:marTop w:val="0"/>
      <w:marBottom w:val="0"/>
      <w:divBdr>
        <w:top w:val="none" w:sz="0" w:space="0" w:color="auto"/>
        <w:left w:val="none" w:sz="0" w:space="0" w:color="auto"/>
        <w:bottom w:val="none" w:sz="0" w:space="0" w:color="auto"/>
        <w:right w:val="none" w:sz="0" w:space="0" w:color="auto"/>
      </w:divBdr>
    </w:div>
    <w:div w:id="1823040954">
      <w:bodyDiv w:val="1"/>
      <w:marLeft w:val="0"/>
      <w:marRight w:val="0"/>
      <w:marTop w:val="0"/>
      <w:marBottom w:val="0"/>
      <w:divBdr>
        <w:top w:val="none" w:sz="0" w:space="0" w:color="auto"/>
        <w:left w:val="none" w:sz="0" w:space="0" w:color="auto"/>
        <w:bottom w:val="none" w:sz="0" w:space="0" w:color="auto"/>
        <w:right w:val="none" w:sz="0" w:space="0" w:color="auto"/>
      </w:divBdr>
    </w:div>
    <w:div w:id="1946687884">
      <w:bodyDiv w:val="1"/>
      <w:marLeft w:val="0"/>
      <w:marRight w:val="0"/>
      <w:marTop w:val="0"/>
      <w:marBottom w:val="0"/>
      <w:divBdr>
        <w:top w:val="none" w:sz="0" w:space="0" w:color="auto"/>
        <w:left w:val="none" w:sz="0" w:space="0" w:color="auto"/>
        <w:bottom w:val="none" w:sz="0" w:space="0" w:color="auto"/>
        <w:right w:val="none" w:sz="0" w:space="0" w:color="auto"/>
      </w:divBdr>
    </w:div>
    <w:div w:id="21261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92E22-6ECA-409F-9050-6681F03BD252}">
  <ds:schemaRefs>
    <ds:schemaRef ds:uri="http://schemas.microsoft.com/office/2006/metadata/properties"/>
  </ds:schemaRefs>
</ds:datastoreItem>
</file>

<file path=customXml/itemProps2.xml><?xml version="1.0" encoding="utf-8"?>
<ds:datastoreItem xmlns:ds="http://schemas.openxmlformats.org/officeDocument/2006/customXml" ds:itemID="{D6B7431B-ED49-4BC8-B55E-59ED4168B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8820EC-786E-43BE-B536-7D132B52B329}">
  <ds:schemaRefs>
    <ds:schemaRef ds:uri="http://schemas.microsoft.com/sharepoint/v3/contenttype/forms"/>
  </ds:schemaRefs>
</ds:datastoreItem>
</file>

<file path=customXml/itemProps4.xml><?xml version="1.0" encoding="utf-8"?>
<ds:datastoreItem xmlns:ds="http://schemas.openxmlformats.org/officeDocument/2006/customXml" ds:itemID="{61262B1E-EFC4-4418-A14C-25F0AB72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7400</Words>
  <Characters>40706</Characters>
  <Application>Microsoft Office Word</Application>
  <DocSecurity>4</DocSecurity>
  <Lines>339</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2017-07-12T22:40:00Z</cp:lastPrinted>
  <dcterms:created xsi:type="dcterms:W3CDTF">2017-07-12T22:41:00Z</dcterms:created>
  <dcterms:modified xsi:type="dcterms:W3CDTF">2017-07-12T22:41:00Z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