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00" w:rsidRDefault="00134700" w:rsidP="00134700">
      <w:pPr>
        <w:rPr>
          <w:lang w:val="es-ES" w:eastAsia="es-ES"/>
        </w:rPr>
      </w:pPr>
    </w:p>
    <w:p w:rsidR="00134700" w:rsidRDefault="00134700" w:rsidP="00134700">
      <w:pPr>
        <w:rPr>
          <w:lang w:val="es-ES" w:eastAsia="es-ES"/>
        </w:rPr>
      </w:pPr>
    </w:p>
    <w:p w:rsidR="00134700" w:rsidRPr="00134700" w:rsidRDefault="00134700" w:rsidP="00134700">
      <w:pPr>
        <w:rPr>
          <w:lang w:val="es-ES" w:eastAsia="es-ES"/>
        </w:rPr>
      </w:pPr>
    </w:p>
    <w:p w:rsidR="00F755E3" w:rsidRPr="00742F1C" w:rsidRDefault="00F755E3" w:rsidP="00742F1C">
      <w:pPr>
        <w:pStyle w:val="Heading1"/>
        <w:jc w:val="both"/>
        <w:rPr>
          <w:sz w:val="20"/>
          <w:szCs w:val="20"/>
          <w:lang w:val="es-ES"/>
        </w:rPr>
      </w:pPr>
    </w:p>
    <w:p w:rsidR="00F755E3" w:rsidRPr="00742F1C" w:rsidRDefault="00F755E3" w:rsidP="00742F1C">
      <w:pPr>
        <w:pStyle w:val="Heading1"/>
        <w:rPr>
          <w:sz w:val="20"/>
          <w:szCs w:val="20"/>
          <w:lang w:val="es-ES"/>
        </w:rPr>
      </w:pPr>
      <w:r w:rsidRPr="00742F1C">
        <w:rPr>
          <w:sz w:val="20"/>
          <w:szCs w:val="20"/>
          <w:lang w:val="es-ES"/>
        </w:rPr>
        <w:t>Resolución DEL</w:t>
      </w:r>
      <w:r w:rsidR="00A24219">
        <w:rPr>
          <w:sz w:val="20"/>
          <w:szCs w:val="20"/>
          <w:lang w:val="es-ES"/>
        </w:rPr>
        <w:t xml:space="preserve"> presidente de la</w:t>
      </w:r>
    </w:p>
    <w:p w:rsidR="00F755E3" w:rsidRPr="00742F1C" w:rsidRDefault="00F755E3" w:rsidP="00742F1C">
      <w:pPr>
        <w:spacing w:after="0" w:line="240" w:lineRule="auto"/>
        <w:jc w:val="center"/>
        <w:rPr>
          <w:rFonts w:ascii="Verdana" w:hAnsi="Verdana" w:cs="Verdana"/>
          <w:b/>
          <w:bCs/>
          <w:caps/>
          <w:sz w:val="20"/>
          <w:szCs w:val="20"/>
          <w:lang w:val="es-ES"/>
        </w:rPr>
      </w:pPr>
      <w:r w:rsidRPr="00742F1C">
        <w:rPr>
          <w:rFonts w:ascii="Verdana" w:hAnsi="Verdana" w:cs="Verdana"/>
          <w:b/>
          <w:bCs/>
          <w:caps/>
          <w:sz w:val="20"/>
          <w:szCs w:val="20"/>
          <w:lang w:val="es-ES"/>
        </w:rPr>
        <w:t>Corte Interamericana de Derechos Humanos</w:t>
      </w:r>
    </w:p>
    <w:p w:rsidR="00F755E3" w:rsidRPr="00742F1C" w:rsidRDefault="00F755E3" w:rsidP="00742F1C">
      <w:pPr>
        <w:spacing w:after="0" w:line="240" w:lineRule="auto"/>
        <w:jc w:val="center"/>
        <w:rPr>
          <w:rFonts w:ascii="Verdana" w:hAnsi="Verdana" w:cs="Verdana"/>
          <w:b/>
          <w:bCs/>
          <w:caps/>
          <w:sz w:val="20"/>
          <w:szCs w:val="20"/>
          <w:lang w:val="es-ES"/>
        </w:rPr>
      </w:pPr>
    </w:p>
    <w:p w:rsidR="00F755E3" w:rsidRPr="00742F1C" w:rsidRDefault="00F755E3" w:rsidP="00742F1C">
      <w:pPr>
        <w:spacing w:after="0" w:line="240" w:lineRule="auto"/>
        <w:jc w:val="center"/>
        <w:rPr>
          <w:rFonts w:ascii="Verdana" w:hAnsi="Verdana" w:cs="Verdana"/>
          <w:b/>
          <w:bCs/>
          <w:caps/>
          <w:sz w:val="20"/>
          <w:szCs w:val="20"/>
          <w:lang w:val="es-ES"/>
        </w:rPr>
      </w:pPr>
      <w:r w:rsidRPr="00742F1C">
        <w:rPr>
          <w:rFonts w:ascii="Verdana" w:hAnsi="Verdana" w:cs="Verdana"/>
          <w:b/>
          <w:bCs/>
          <w:caps/>
          <w:sz w:val="20"/>
          <w:szCs w:val="20"/>
          <w:lang w:val="es-ES"/>
        </w:rPr>
        <w:t xml:space="preserve">de </w:t>
      </w:r>
      <w:r w:rsidR="00616E7E">
        <w:rPr>
          <w:rFonts w:ascii="Verdana" w:hAnsi="Verdana" w:cs="Verdana"/>
          <w:b/>
          <w:bCs/>
          <w:caps/>
          <w:sz w:val="20"/>
          <w:szCs w:val="20"/>
          <w:lang w:val="es-ES"/>
        </w:rPr>
        <w:t>17</w:t>
      </w:r>
      <w:r w:rsidR="002016A5" w:rsidRPr="00742F1C">
        <w:rPr>
          <w:rFonts w:ascii="Verdana" w:hAnsi="Verdana" w:cs="Verdana"/>
          <w:b/>
          <w:bCs/>
          <w:caps/>
          <w:sz w:val="20"/>
          <w:szCs w:val="20"/>
          <w:lang w:val="es-ES"/>
        </w:rPr>
        <w:t xml:space="preserve"> </w:t>
      </w:r>
      <w:r w:rsidRPr="00742F1C">
        <w:rPr>
          <w:rFonts w:ascii="Verdana" w:hAnsi="Verdana" w:cs="Verdana"/>
          <w:b/>
          <w:bCs/>
          <w:caps/>
          <w:sz w:val="20"/>
          <w:szCs w:val="20"/>
          <w:lang w:val="es-ES"/>
        </w:rPr>
        <w:t xml:space="preserve">DE </w:t>
      </w:r>
      <w:r w:rsidR="00742F1C">
        <w:rPr>
          <w:rFonts w:ascii="Verdana" w:hAnsi="Verdana" w:cs="Verdana"/>
          <w:b/>
          <w:bCs/>
          <w:caps/>
          <w:sz w:val="20"/>
          <w:szCs w:val="20"/>
          <w:lang w:val="es-ES"/>
        </w:rPr>
        <w:t>NOVIEMBRE</w:t>
      </w:r>
      <w:r w:rsidR="002016A5" w:rsidRPr="00742F1C">
        <w:rPr>
          <w:rFonts w:ascii="Verdana" w:hAnsi="Verdana" w:cs="Verdana"/>
          <w:b/>
          <w:bCs/>
          <w:caps/>
          <w:sz w:val="20"/>
          <w:szCs w:val="20"/>
          <w:lang w:val="es-ES"/>
        </w:rPr>
        <w:t xml:space="preserve"> </w:t>
      </w:r>
      <w:r w:rsidRPr="00742F1C">
        <w:rPr>
          <w:rFonts w:ascii="Verdana" w:hAnsi="Verdana" w:cs="Verdana"/>
          <w:b/>
          <w:bCs/>
          <w:caps/>
          <w:sz w:val="20"/>
          <w:szCs w:val="20"/>
          <w:lang w:val="es-ES"/>
        </w:rPr>
        <w:t>DE 201</w:t>
      </w:r>
      <w:r w:rsidR="002016A5" w:rsidRPr="00742F1C">
        <w:rPr>
          <w:rFonts w:ascii="Verdana" w:hAnsi="Verdana" w:cs="Verdana"/>
          <w:b/>
          <w:bCs/>
          <w:caps/>
          <w:sz w:val="20"/>
          <w:szCs w:val="20"/>
          <w:lang w:val="es-ES"/>
        </w:rPr>
        <w:t>6</w:t>
      </w:r>
    </w:p>
    <w:p w:rsidR="00F755E3" w:rsidRPr="00742F1C" w:rsidRDefault="00F755E3" w:rsidP="00742F1C">
      <w:pPr>
        <w:spacing w:after="0" w:line="240" w:lineRule="auto"/>
        <w:jc w:val="center"/>
        <w:rPr>
          <w:rFonts w:ascii="Verdana" w:hAnsi="Verdana" w:cs="Verdana"/>
          <w:b/>
          <w:bCs/>
          <w:caps/>
          <w:sz w:val="20"/>
          <w:szCs w:val="20"/>
          <w:lang w:val="es-ES"/>
        </w:rPr>
      </w:pPr>
    </w:p>
    <w:p w:rsidR="00F755E3" w:rsidRPr="00742F1C" w:rsidRDefault="00F755E3" w:rsidP="00742F1C">
      <w:pPr>
        <w:spacing w:after="0" w:line="240" w:lineRule="auto"/>
        <w:jc w:val="center"/>
        <w:rPr>
          <w:rFonts w:ascii="Verdana" w:hAnsi="Verdana" w:cs="Verdana"/>
          <w:b/>
          <w:bCs/>
          <w:caps/>
          <w:sz w:val="20"/>
          <w:szCs w:val="20"/>
          <w:lang w:val="es-ES"/>
        </w:rPr>
      </w:pPr>
      <w:r w:rsidRPr="00742F1C">
        <w:rPr>
          <w:rFonts w:ascii="Verdana" w:hAnsi="Verdana" w:cs="Verdana"/>
          <w:b/>
          <w:bCs/>
          <w:caps/>
          <w:sz w:val="20"/>
          <w:szCs w:val="20"/>
          <w:lang w:val="es-ES"/>
        </w:rPr>
        <w:t xml:space="preserve">CASO </w:t>
      </w:r>
      <w:r w:rsidR="002016A5" w:rsidRPr="00742F1C">
        <w:rPr>
          <w:rFonts w:ascii="Verdana" w:hAnsi="Verdana" w:cs="Verdana"/>
          <w:b/>
          <w:bCs/>
          <w:caps/>
          <w:sz w:val="20"/>
          <w:szCs w:val="20"/>
          <w:lang w:val="es-ES"/>
        </w:rPr>
        <w:t>Am</w:t>
      </w:r>
      <w:r w:rsidR="0064448E">
        <w:rPr>
          <w:rFonts w:ascii="Verdana" w:hAnsi="Verdana" w:cs="Verdana"/>
          <w:b/>
          <w:bCs/>
          <w:caps/>
          <w:sz w:val="20"/>
          <w:szCs w:val="20"/>
          <w:lang w:val="es-ES"/>
        </w:rPr>
        <w:t>RH</w:t>
      </w:r>
      <w:r w:rsidR="002016A5" w:rsidRPr="00742F1C">
        <w:rPr>
          <w:rFonts w:ascii="Verdana" w:hAnsi="Verdana" w:cs="Verdana"/>
          <w:b/>
          <w:bCs/>
          <w:caps/>
          <w:sz w:val="20"/>
          <w:szCs w:val="20"/>
          <w:lang w:val="es-ES"/>
        </w:rPr>
        <w:t>ein y otros Vs. Costa Rica</w:t>
      </w:r>
    </w:p>
    <w:p w:rsidR="00EF3E46" w:rsidRPr="00742F1C" w:rsidRDefault="00EF3E46" w:rsidP="00742F1C">
      <w:pPr>
        <w:spacing w:after="0" w:line="240" w:lineRule="auto"/>
        <w:jc w:val="both"/>
        <w:rPr>
          <w:rFonts w:ascii="Verdana" w:hAnsi="Verdana" w:cs="Verdana"/>
          <w:b/>
          <w:bCs/>
          <w:caps/>
          <w:sz w:val="20"/>
          <w:szCs w:val="20"/>
          <w:lang w:val="es-ES"/>
        </w:rPr>
      </w:pPr>
    </w:p>
    <w:p w:rsidR="00F755E3" w:rsidRPr="00742F1C" w:rsidRDefault="00F755E3" w:rsidP="00742F1C">
      <w:pPr>
        <w:spacing w:after="0" w:line="240" w:lineRule="auto"/>
        <w:jc w:val="both"/>
        <w:rPr>
          <w:rFonts w:ascii="Verdana" w:hAnsi="Verdana" w:cs="Verdana"/>
          <w:b/>
          <w:bCs/>
          <w:caps/>
          <w:sz w:val="20"/>
          <w:szCs w:val="20"/>
          <w:lang w:val="es-ES"/>
        </w:rPr>
      </w:pPr>
      <w:r w:rsidRPr="00742F1C">
        <w:rPr>
          <w:rFonts w:ascii="Verdana" w:hAnsi="Verdana" w:cs="Verdana"/>
          <w:b/>
          <w:bCs/>
          <w:caps/>
          <w:sz w:val="20"/>
          <w:szCs w:val="20"/>
          <w:lang w:val="es-ES"/>
        </w:rPr>
        <w:t>Visto:</w:t>
      </w:r>
    </w:p>
    <w:p w:rsidR="00F755E3" w:rsidRPr="00742F1C" w:rsidRDefault="00F755E3" w:rsidP="00742F1C">
      <w:pPr>
        <w:spacing w:after="0" w:line="240" w:lineRule="auto"/>
        <w:jc w:val="both"/>
        <w:rPr>
          <w:rFonts w:ascii="Verdana" w:hAnsi="Verdana" w:cs="Verdana"/>
          <w:b/>
          <w:bCs/>
          <w:caps/>
          <w:sz w:val="20"/>
          <w:szCs w:val="20"/>
          <w:lang w:val="es-ES"/>
        </w:rPr>
      </w:pPr>
    </w:p>
    <w:p w:rsidR="002016A5" w:rsidRPr="00742F1C" w:rsidRDefault="00F755E3" w:rsidP="00742F1C">
      <w:pPr>
        <w:pStyle w:val="ListParagraph"/>
        <w:ind w:right="29"/>
        <w:rPr>
          <w:lang w:val="es-ES"/>
        </w:rPr>
      </w:pPr>
      <w:bookmarkStart w:id="0" w:name="_Ref314691210"/>
      <w:bookmarkStart w:id="1" w:name="_Ref343554304"/>
      <w:r w:rsidRPr="00742F1C">
        <w:t>El escrito de</w:t>
      </w:r>
      <w:r w:rsidR="002016A5" w:rsidRPr="00742F1C">
        <w:rPr>
          <w:lang w:val="es-ES"/>
        </w:rPr>
        <w:t xml:space="preserve"> </w:t>
      </w:r>
      <w:r w:rsidR="002016A5" w:rsidRPr="00742F1C">
        <w:rPr>
          <w:lang w:val="es-ES_tradnl"/>
        </w:rPr>
        <w:t>28 de noviembre de 2014</w:t>
      </w:r>
      <w:r w:rsidRPr="00742F1C">
        <w:rPr>
          <w:lang w:val="es-ES"/>
        </w:rPr>
        <w:t xml:space="preserve">, mediante el cual </w:t>
      </w:r>
      <w:r w:rsidRPr="00742F1C">
        <w:t xml:space="preserve">la Comisión Interamericana de Derechos </w:t>
      </w:r>
      <w:r w:rsidRPr="00742F1C">
        <w:rPr>
          <w:lang w:val="es-ES"/>
        </w:rPr>
        <w:t>Humanos</w:t>
      </w:r>
      <w:r w:rsidRPr="00742F1C">
        <w:t xml:space="preserve"> (en adelante “la Comisión Interamericana” o “la Comisión”) sometió ante la Corte Interamericana de Derechos Humanos (en adelante “la Corte Interamerican</w:t>
      </w:r>
      <w:r w:rsidR="0039525D" w:rsidRPr="00742F1C">
        <w:t>a”, “la Corte” o “el Tribunal”)</w:t>
      </w:r>
      <w:r w:rsidRPr="00742F1C">
        <w:t xml:space="preserve"> </w:t>
      </w:r>
      <w:r w:rsidR="001D63DB" w:rsidRPr="00742F1C">
        <w:t xml:space="preserve">el presente </w:t>
      </w:r>
      <w:r w:rsidRPr="00742F1C">
        <w:rPr>
          <w:lang w:val="es-ES"/>
        </w:rPr>
        <w:t>caso en contra de</w:t>
      </w:r>
      <w:r w:rsidR="00591392">
        <w:rPr>
          <w:lang w:val="es-ES"/>
        </w:rPr>
        <w:t xml:space="preserve"> </w:t>
      </w:r>
      <w:r w:rsidR="002016A5" w:rsidRPr="00742F1C">
        <w:rPr>
          <w:lang w:val="es-ES"/>
        </w:rPr>
        <w:t>l</w:t>
      </w:r>
      <w:r w:rsidR="00591392">
        <w:rPr>
          <w:lang w:val="es-ES"/>
        </w:rPr>
        <w:t xml:space="preserve">a República </w:t>
      </w:r>
      <w:r w:rsidR="002016A5" w:rsidRPr="00742F1C">
        <w:rPr>
          <w:lang w:val="es-ES"/>
        </w:rPr>
        <w:t>de Costa Rica (en adelante “el Estado” o “Costa Rica”).</w:t>
      </w:r>
      <w:r w:rsidR="007C0006" w:rsidRPr="00742F1C">
        <w:rPr>
          <w:lang w:val="es-ES"/>
        </w:rPr>
        <w:t xml:space="preserve"> </w:t>
      </w:r>
      <w:r w:rsidR="00F5694E" w:rsidRPr="00742F1C">
        <w:rPr>
          <w:lang w:val="es-ES"/>
        </w:rPr>
        <w:t>En este caso, la Comisión acumuló ocho peticiones relacionadas con 17 presuntas víctimas.</w:t>
      </w:r>
    </w:p>
    <w:p w:rsidR="00F755E3" w:rsidRPr="00742F1C" w:rsidRDefault="00F755E3" w:rsidP="00742F1C">
      <w:pPr>
        <w:pStyle w:val="ListParagraph"/>
        <w:numPr>
          <w:ilvl w:val="0"/>
          <w:numId w:val="0"/>
        </w:numPr>
        <w:ind w:right="29"/>
        <w:rPr>
          <w:lang w:val="es-ES"/>
        </w:rPr>
      </w:pPr>
      <w:bookmarkStart w:id="2" w:name="_Ref326583925"/>
      <w:bookmarkEnd w:id="0"/>
      <w:bookmarkEnd w:id="1"/>
    </w:p>
    <w:p w:rsidR="00F755E3" w:rsidRPr="00742F1C" w:rsidRDefault="00F55332" w:rsidP="00742F1C">
      <w:pPr>
        <w:pStyle w:val="ListParagraph"/>
        <w:ind w:right="29"/>
        <w:rPr>
          <w:lang w:val="es-ES"/>
        </w:rPr>
      </w:pPr>
      <w:bookmarkStart w:id="3" w:name="_Ref343555492"/>
      <w:bookmarkEnd w:id="2"/>
      <w:r w:rsidRPr="00742F1C">
        <w:rPr>
          <w:lang w:val="es-ES"/>
        </w:rPr>
        <w:t xml:space="preserve">Los cuatro </w:t>
      </w:r>
      <w:r w:rsidR="00F755E3" w:rsidRPr="00742F1C">
        <w:rPr>
          <w:lang w:val="es-ES"/>
        </w:rPr>
        <w:t>escrito</w:t>
      </w:r>
      <w:r w:rsidRPr="00742F1C">
        <w:rPr>
          <w:lang w:val="es-ES"/>
        </w:rPr>
        <w:t>s</w:t>
      </w:r>
      <w:r w:rsidR="00F755E3" w:rsidRPr="00742F1C">
        <w:rPr>
          <w:lang w:val="es-ES"/>
        </w:rPr>
        <w:t xml:space="preserve"> de</w:t>
      </w:r>
      <w:r w:rsidRPr="00742F1C">
        <w:rPr>
          <w:lang w:val="es-ES"/>
        </w:rPr>
        <w:t xml:space="preserve"> 1 y 8 de junio de 2015</w:t>
      </w:r>
      <w:r w:rsidR="00F755E3" w:rsidRPr="00742F1C">
        <w:rPr>
          <w:lang w:val="es-ES"/>
        </w:rPr>
        <w:t xml:space="preserve">, mediante </w:t>
      </w:r>
      <w:r w:rsidR="00350D49" w:rsidRPr="00742F1C">
        <w:rPr>
          <w:lang w:val="es-ES"/>
        </w:rPr>
        <w:t xml:space="preserve">los </w:t>
      </w:r>
      <w:r w:rsidR="00F755E3" w:rsidRPr="00742F1C">
        <w:rPr>
          <w:lang w:val="es-ES"/>
        </w:rPr>
        <w:t>cual</w:t>
      </w:r>
      <w:r w:rsidR="00350D49" w:rsidRPr="00742F1C">
        <w:rPr>
          <w:lang w:val="es-ES"/>
        </w:rPr>
        <w:t>es</w:t>
      </w:r>
      <w:r w:rsidR="00F755E3" w:rsidRPr="00742F1C">
        <w:rPr>
          <w:lang w:val="es-ES"/>
        </w:rPr>
        <w:t xml:space="preserve"> los </w:t>
      </w:r>
      <w:r w:rsidRPr="00742F1C">
        <w:rPr>
          <w:lang w:val="es-ES"/>
        </w:rPr>
        <w:t xml:space="preserve">tres </w:t>
      </w:r>
      <w:r w:rsidR="002016A5" w:rsidRPr="00742F1C">
        <w:rPr>
          <w:lang w:val="es-ES"/>
        </w:rPr>
        <w:t>intervinientes comunes</w:t>
      </w:r>
      <w:r w:rsidR="00E530BE" w:rsidRPr="00742F1C">
        <w:rPr>
          <w:rStyle w:val="FootnoteReference"/>
          <w:sz w:val="20"/>
          <w:szCs w:val="20"/>
          <w:lang w:val="es-ES"/>
        </w:rPr>
        <w:footnoteReference w:id="1"/>
      </w:r>
      <w:r w:rsidR="00F755E3" w:rsidRPr="00742F1C">
        <w:rPr>
          <w:lang w:val="es-ES"/>
        </w:rPr>
        <w:t xml:space="preserve"> presentaron su</w:t>
      </w:r>
      <w:r w:rsidR="002016A5" w:rsidRPr="00742F1C">
        <w:rPr>
          <w:lang w:val="es-ES"/>
        </w:rPr>
        <w:t>s</w:t>
      </w:r>
      <w:r w:rsidR="00F755E3" w:rsidRPr="00742F1C">
        <w:rPr>
          <w:lang w:val="es-ES"/>
        </w:rPr>
        <w:t xml:space="preserve"> escrito</w:t>
      </w:r>
      <w:r w:rsidR="002016A5" w:rsidRPr="00742F1C">
        <w:rPr>
          <w:lang w:val="es-ES"/>
        </w:rPr>
        <w:t>s</w:t>
      </w:r>
      <w:r w:rsidR="00F755E3" w:rsidRPr="00742F1C">
        <w:rPr>
          <w:lang w:val="es-ES"/>
        </w:rPr>
        <w:t xml:space="preserve"> de solicitudes, argumentos y pruebas en relación con el presente caso (en adelante </w:t>
      </w:r>
      <w:r w:rsidR="002016A5" w:rsidRPr="00742F1C">
        <w:rPr>
          <w:lang w:val="es-ES"/>
        </w:rPr>
        <w:t xml:space="preserve">los </w:t>
      </w:r>
      <w:r w:rsidR="00F755E3" w:rsidRPr="00742F1C">
        <w:rPr>
          <w:lang w:val="es-ES"/>
        </w:rPr>
        <w:t>“escrito</w:t>
      </w:r>
      <w:r w:rsidR="002016A5" w:rsidRPr="00742F1C">
        <w:rPr>
          <w:lang w:val="es-ES"/>
        </w:rPr>
        <w:t>s</w:t>
      </w:r>
      <w:r w:rsidR="00F755E3" w:rsidRPr="00742F1C">
        <w:rPr>
          <w:lang w:val="es-ES"/>
        </w:rPr>
        <w:t xml:space="preserve"> de solicitudes y argumentos”)</w:t>
      </w:r>
      <w:r w:rsidR="00E530BE" w:rsidRPr="00742F1C">
        <w:rPr>
          <w:rStyle w:val="FootnoteReference"/>
          <w:sz w:val="20"/>
          <w:szCs w:val="20"/>
          <w:lang w:val="es-ES"/>
        </w:rPr>
        <w:footnoteReference w:id="2"/>
      </w:r>
      <w:r w:rsidR="00F755E3" w:rsidRPr="00742F1C">
        <w:rPr>
          <w:lang w:val="es-ES"/>
        </w:rPr>
        <w:t xml:space="preserve">. </w:t>
      </w:r>
      <w:bookmarkEnd w:id="3"/>
    </w:p>
    <w:p w:rsidR="00F755E3" w:rsidRPr="00742F1C" w:rsidRDefault="00F755E3" w:rsidP="00742F1C">
      <w:pPr>
        <w:pStyle w:val="ListParagraph"/>
        <w:numPr>
          <w:ilvl w:val="0"/>
          <w:numId w:val="0"/>
        </w:numPr>
        <w:ind w:right="29"/>
        <w:rPr>
          <w:color w:val="FF0000"/>
          <w:lang w:val="es-ES"/>
        </w:rPr>
      </w:pPr>
    </w:p>
    <w:p w:rsidR="00423170" w:rsidRPr="00742F1C" w:rsidRDefault="00F755E3" w:rsidP="00742F1C">
      <w:pPr>
        <w:pStyle w:val="ListParagraph"/>
        <w:ind w:right="29"/>
        <w:rPr>
          <w:rFonts w:eastAsiaTheme="minorHAnsi"/>
          <w:lang w:val="es-CR"/>
        </w:rPr>
      </w:pPr>
      <w:bookmarkStart w:id="4" w:name="_Ref357172062"/>
      <w:bookmarkStart w:id="5" w:name="_Ref343555499"/>
      <w:r w:rsidRPr="00742F1C">
        <w:t xml:space="preserve">El escrito </w:t>
      </w:r>
      <w:r w:rsidR="00040268" w:rsidRPr="00742F1C">
        <w:rPr>
          <w:lang w:val="es-ES"/>
        </w:rPr>
        <w:t xml:space="preserve">de </w:t>
      </w:r>
      <w:r w:rsidR="0004186D" w:rsidRPr="00742F1C">
        <w:rPr>
          <w:lang w:val="es-ES"/>
        </w:rPr>
        <w:t>5 de febrero de 2016</w:t>
      </w:r>
      <w:r w:rsidR="00040268" w:rsidRPr="00742F1C">
        <w:rPr>
          <w:lang w:val="es-ES"/>
        </w:rPr>
        <w:t xml:space="preserve">, mediante el cual el Estado presentó su escrito </w:t>
      </w:r>
      <w:r w:rsidR="00040268" w:rsidRPr="00742F1C">
        <w:t>de excepciones preliminares, contestación al sometimiento del caso y observaciones a</w:t>
      </w:r>
      <w:r w:rsidR="0004186D" w:rsidRPr="00742F1C">
        <w:t xml:space="preserve"> </w:t>
      </w:r>
      <w:r w:rsidR="00040268" w:rsidRPr="00742F1C">
        <w:t>l</w:t>
      </w:r>
      <w:r w:rsidR="0004186D" w:rsidRPr="00742F1C">
        <w:t>os</w:t>
      </w:r>
      <w:r w:rsidR="00040268" w:rsidRPr="00742F1C">
        <w:t xml:space="preserve"> escrito</w:t>
      </w:r>
      <w:r w:rsidR="0004186D" w:rsidRPr="00742F1C">
        <w:t>s</w:t>
      </w:r>
      <w:r w:rsidR="00040268" w:rsidRPr="00742F1C">
        <w:t xml:space="preserve"> de solicitudes y argumentos (en adelante “escrito de contestación”). </w:t>
      </w:r>
      <w:r w:rsidR="001C23B3" w:rsidRPr="00742F1C">
        <w:rPr>
          <w:lang w:val="es-ES"/>
        </w:rPr>
        <w:t>En dicho escrito el Estado solicitó la realización de una audiencia</w:t>
      </w:r>
      <w:bookmarkEnd w:id="4"/>
      <w:r w:rsidR="00EA435F" w:rsidRPr="00742F1C">
        <w:rPr>
          <w:lang w:val="es-ES"/>
        </w:rPr>
        <w:t xml:space="preserve"> </w:t>
      </w:r>
      <w:r w:rsidR="001D63DB" w:rsidRPr="00742F1C">
        <w:rPr>
          <w:lang w:val="es-ES"/>
        </w:rPr>
        <w:t xml:space="preserve">especial </w:t>
      </w:r>
      <w:r w:rsidR="00EA435F" w:rsidRPr="00742F1C">
        <w:rPr>
          <w:lang w:val="es-ES"/>
        </w:rPr>
        <w:t xml:space="preserve">sobre </w:t>
      </w:r>
      <w:r w:rsidR="0039525D" w:rsidRPr="00742F1C">
        <w:rPr>
          <w:lang w:val="es-ES"/>
        </w:rPr>
        <w:t>las excepciones preliminares</w:t>
      </w:r>
      <w:r w:rsidR="000A6632" w:rsidRPr="00742F1C">
        <w:rPr>
          <w:lang w:val="es-ES"/>
        </w:rPr>
        <w:t xml:space="preserve"> interpuestas, a saber: </w:t>
      </w:r>
      <w:r w:rsidR="00423170" w:rsidRPr="00742F1C">
        <w:rPr>
          <w:lang w:val="es-ES"/>
        </w:rPr>
        <w:t xml:space="preserve">i) alegado </w:t>
      </w:r>
      <w:r w:rsidR="00423170" w:rsidRPr="00742F1C">
        <w:rPr>
          <w:rFonts w:eastAsiaTheme="minorHAnsi"/>
          <w:lang w:val="es-CR"/>
        </w:rPr>
        <w:t xml:space="preserve">cumplimiento de la Sentencia </w:t>
      </w:r>
      <w:r w:rsidR="00423170" w:rsidRPr="00742F1C">
        <w:rPr>
          <w:rFonts w:eastAsiaTheme="minorHAnsi"/>
          <w:i/>
          <w:lang w:val="es-CR"/>
        </w:rPr>
        <w:t>Herrera Ulloa Vs. Costa Rica</w:t>
      </w:r>
      <w:r w:rsidR="00423170" w:rsidRPr="00742F1C">
        <w:rPr>
          <w:rFonts w:eastAsiaTheme="minorHAnsi"/>
          <w:lang w:val="es-CR"/>
        </w:rPr>
        <w:t>, cosa juzgada por el Derecho Internacional; ii) alegada falta de agotamiento de la vía interna; iii) supuesta falta al debido proceso por parte de la Comisión Interamericana, falta al equilibrio procesal de las partes</w:t>
      </w:r>
      <w:r w:rsidR="003A38CF">
        <w:rPr>
          <w:rFonts w:eastAsiaTheme="minorHAnsi"/>
          <w:lang w:val="es-CR"/>
        </w:rPr>
        <w:t xml:space="preserve"> y</w:t>
      </w:r>
      <w:r w:rsidR="00423170" w:rsidRPr="00742F1C">
        <w:rPr>
          <w:rFonts w:eastAsiaTheme="minorHAnsi"/>
          <w:lang w:val="es-CR"/>
        </w:rPr>
        <w:t xml:space="preserve"> violación al derecho de defensa del Estado; iv) alegada violación del principio de subsidiariedad y utilización del Sistema Interamericano como una cuarta instancia, y v) e</w:t>
      </w:r>
      <w:r w:rsidR="00423170" w:rsidRPr="00742F1C">
        <w:rPr>
          <w:rFonts w:eastAsiaTheme="minorHAnsi" w:cs="Arial"/>
          <w:lang w:val="es-CR"/>
        </w:rPr>
        <w:t xml:space="preserve">xcepción </w:t>
      </w:r>
      <w:r w:rsidR="00423170" w:rsidRPr="00742F1C">
        <w:rPr>
          <w:rFonts w:eastAsiaTheme="minorHAnsi" w:cs="Arial"/>
          <w:i/>
          <w:lang w:val="es-CR"/>
        </w:rPr>
        <w:t>ratione temporis</w:t>
      </w:r>
      <w:r w:rsidR="00423170" w:rsidRPr="00742F1C">
        <w:rPr>
          <w:rFonts w:eastAsiaTheme="minorHAnsi" w:cs="Arial"/>
          <w:lang w:val="es-CR"/>
        </w:rPr>
        <w:t xml:space="preserve">: presunta presentación extemporánea de Miguel Mora Calvo, Manuel Hernández Quesada, Guillermo Rodríguez Silva y Martín Rojas Hernández, y </w:t>
      </w:r>
      <w:r w:rsidR="002210BD" w:rsidRPr="00742F1C">
        <w:rPr>
          <w:rFonts w:eastAsiaTheme="minorHAnsi" w:cs="Arial"/>
          <w:lang w:val="es-CR"/>
        </w:rPr>
        <w:t>e</w:t>
      </w:r>
      <w:r w:rsidR="00423170" w:rsidRPr="00742F1C">
        <w:rPr>
          <w:rFonts w:eastAsiaTheme="minorHAnsi" w:cs="Arial"/>
          <w:lang w:val="es-CR"/>
        </w:rPr>
        <w:t xml:space="preserve">xcepción </w:t>
      </w:r>
      <w:r w:rsidR="00423170" w:rsidRPr="00742F1C">
        <w:rPr>
          <w:rFonts w:eastAsiaTheme="minorHAnsi" w:cs="Arial"/>
          <w:i/>
          <w:lang w:val="es-CR"/>
        </w:rPr>
        <w:t>ratione personae</w:t>
      </w:r>
      <w:r w:rsidR="00423170" w:rsidRPr="00742F1C">
        <w:rPr>
          <w:rFonts w:eastAsiaTheme="minorHAnsi" w:cs="Arial"/>
          <w:lang w:val="es-CR"/>
        </w:rPr>
        <w:t xml:space="preserve"> sobre Miguel Mora Calvo</w:t>
      </w:r>
      <w:r w:rsidR="002F78AA">
        <w:rPr>
          <w:rFonts w:eastAsiaTheme="minorHAnsi" w:cs="Arial"/>
          <w:lang w:val="es-CR"/>
        </w:rPr>
        <w:t>.</w:t>
      </w:r>
    </w:p>
    <w:p w:rsidR="00040268" w:rsidRPr="00742F1C" w:rsidRDefault="00040268" w:rsidP="00742F1C">
      <w:pPr>
        <w:pStyle w:val="ListParagraph"/>
        <w:numPr>
          <w:ilvl w:val="0"/>
          <w:numId w:val="0"/>
        </w:numPr>
        <w:rPr>
          <w:lang w:val="es-ES"/>
        </w:rPr>
      </w:pPr>
    </w:p>
    <w:p w:rsidR="00F755E3" w:rsidRPr="00742F1C" w:rsidRDefault="00F755E3" w:rsidP="00742F1C">
      <w:pPr>
        <w:pStyle w:val="ListParagraph"/>
        <w:ind w:right="29"/>
        <w:rPr>
          <w:lang w:val="es-ES"/>
        </w:rPr>
      </w:pPr>
      <w:bookmarkStart w:id="6" w:name="_Ref315166994"/>
      <w:bookmarkStart w:id="7" w:name="_Ref314684427"/>
      <w:bookmarkEnd w:id="5"/>
      <w:r w:rsidRPr="00742F1C">
        <w:rPr>
          <w:lang w:val="es-CR"/>
        </w:rPr>
        <w:t xml:space="preserve">Los escritos de </w:t>
      </w:r>
      <w:r w:rsidR="0004186D" w:rsidRPr="00742F1C">
        <w:rPr>
          <w:lang w:val="es-CR"/>
        </w:rPr>
        <w:t>8, 12 y 13 de abril de 2016</w:t>
      </w:r>
      <w:r w:rsidRPr="00742F1C">
        <w:rPr>
          <w:lang w:val="es-CR"/>
        </w:rPr>
        <w:t xml:space="preserve">, mediante los cuales los </w:t>
      </w:r>
      <w:r w:rsidR="0004186D" w:rsidRPr="00742F1C">
        <w:rPr>
          <w:lang w:val="es-CR"/>
        </w:rPr>
        <w:t>tres intervinientes comunes</w:t>
      </w:r>
      <w:r w:rsidR="008F15D9">
        <w:rPr>
          <w:lang w:val="es-CR"/>
        </w:rPr>
        <w:t xml:space="preserve"> y la Comisión</w:t>
      </w:r>
      <w:r w:rsidRPr="00742F1C">
        <w:rPr>
          <w:lang w:val="es-CR"/>
        </w:rPr>
        <w:t xml:space="preserve"> presentaron, respectivamente, sus observaciones a las excepciones preliminares interpuestas por el Estado</w:t>
      </w:r>
      <w:bookmarkEnd w:id="6"/>
      <w:bookmarkEnd w:id="7"/>
      <w:r w:rsidR="00C86653">
        <w:t>.</w:t>
      </w:r>
    </w:p>
    <w:p w:rsidR="00F755E3" w:rsidRPr="00742F1C" w:rsidRDefault="00F755E3" w:rsidP="00742F1C">
      <w:pPr>
        <w:pStyle w:val="ListParagraph"/>
        <w:numPr>
          <w:ilvl w:val="0"/>
          <w:numId w:val="0"/>
        </w:numPr>
        <w:ind w:right="29"/>
        <w:rPr>
          <w:lang w:val="es-ES"/>
        </w:rPr>
      </w:pPr>
    </w:p>
    <w:p w:rsidR="001C23B3" w:rsidRPr="00742F1C" w:rsidRDefault="00C67914" w:rsidP="00742F1C">
      <w:pPr>
        <w:pStyle w:val="ListParagraph"/>
        <w:ind w:right="29"/>
        <w:rPr>
          <w:lang w:val="es-ES"/>
        </w:rPr>
      </w:pPr>
      <w:bookmarkStart w:id="8" w:name="_Ref357172044"/>
      <w:r w:rsidRPr="00742F1C">
        <w:rPr>
          <w:lang w:val="es-ES_tradnl"/>
        </w:rPr>
        <w:t xml:space="preserve">La nota de la Secretaría de la Corte de 4 de agosto de 2016, mediante la cual </w:t>
      </w:r>
      <w:r w:rsidR="00693EAA">
        <w:rPr>
          <w:lang w:val="es-CR"/>
        </w:rPr>
        <w:t xml:space="preserve">se solicitó al Estado referirse a su solicitud de celebrar una audiencia especial sobre excepciones preliminares y a las razones por las que consideraría </w:t>
      </w:r>
      <w:r w:rsidR="00693EAA">
        <w:rPr>
          <w:lang w:val="es-ES"/>
        </w:rPr>
        <w:t>indispensable la celebración de la misma</w:t>
      </w:r>
      <w:r w:rsidR="00693EAA">
        <w:rPr>
          <w:lang w:val="es-CR"/>
        </w:rPr>
        <w:t xml:space="preserve">. </w:t>
      </w:r>
      <w:r w:rsidR="00693EAA">
        <w:rPr>
          <w:lang w:val="es-ES"/>
        </w:rPr>
        <w:t xml:space="preserve"> </w:t>
      </w:r>
      <w:bookmarkEnd w:id="8"/>
    </w:p>
    <w:p w:rsidR="001C23B3" w:rsidRPr="00742F1C" w:rsidRDefault="001C23B3" w:rsidP="009A0ED4">
      <w:pPr>
        <w:pStyle w:val="ListParagraph"/>
        <w:numPr>
          <w:ilvl w:val="0"/>
          <w:numId w:val="0"/>
        </w:numPr>
        <w:spacing w:beforeLines="60" w:afterLines="60"/>
        <w:ind w:right="29"/>
        <w:rPr>
          <w:lang w:val="es-ES"/>
        </w:rPr>
      </w:pPr>
    </w:p>
    <w:p w:rsidR="001C23B3" w:rsidRPr="00742F1C" w:rsidRDefault="00DE364A" w:rsidP="009A0ED4">
      <w:pPr>
        <w:pStyle w:val="ListParagraph"/>
        <w:spacing w:beforeLines="60" w:afterLines="60"/>
        <w:ind w:right="29"/>
        <w:rPr>
          <w:lang w:val="es-ES"/>
        </w:rPr>
      </w:pPr>
      <w:r w:rsidRPr="00742F1C">
        <w:rPr>
          <w:lang w:val="es-ES"/>
        </w:rPr>
        <w:t xml:space="preserve">El </w:t>
      </w:r>
      <w:r w:rsidRPr="00742F1C">
        <w:t>escrito del Estado de 17 de agosto de 2016, mediante el cual remitió la información solicitada por el Tribunal (</w:t>
      </w:r>
      <w:r w:rsidRPr="00742F1C">
        <w:rPr>
          <w:i/>
        </w:rPr>
        <w:t xml:space="preserve">supra </w:t>
      </w:r>
      <w:r w:rsidRPr="00742F1C">
        <w:t xml:space="preserve">Visto 5). Asimismo, los escritos de 30 y 31 de agosto y 1 de septiembre de 2016, mediante los cuales los intervinientes comunes y la Comisión presentaron sus respectivas observaciones al escrito del Estado. </w:t>
      </w:r>
    </w:p>
    <w:p w:rsidR="00F755E3" w:rsidRPr="00742F1C" w:rsidRDefault="00F755E3" w:rsidP="009A0ED4">
      <w:pPr>
        <w:pStyle w:val="ListParagraph"/>
        <w:numPr>
          <w:ilvl w:val="0"/>
          <w:numId w:val="0"/>
        </w:numPr>
        <w:spacing w:beforeLines="60" w:afterLines="60"/>
        <w:ind w:right="29"/>
        <w:rPr>
          <w:lang w:val="es-PR"/>
        </w:rPr>
      </w:pPr>
    </w:p>
    <w:p w:rsidR="00F755E3" w:rsidRPr="00742F1C" w:rsidRDefault="00F755E3" w:rsidP="009A0ED4">
      <w:pPr>
        <w:spacing w:beforeLines="60" w:afterLines="60" w:line="240" w:lineRule="auto"/>
        <w:jc w:val="both"/>
        <w:rPr>
          <w:rFonts w:ascii="Verdana" w:hAnsi="Verdana" w:cs="Verdana"/>
          <w:b/>
          <w:bCs/>
          <w:sz w:val="20"/>
          <w:szCs w:val="20"/>
          <w:lang w:val="es-ES"/>
        </w:rPr>
      </w:pPr>
      <w:r w:rsidRPr="00742F1C">
        <w:rPr>
          <w:rFonts w:ascii="Verdana" w:hAnsi="Verdana" w:cs="Verdana"/>
          <w:b/>
          <w:bCs/>
          <w:caps/>
          <w:sz w:val="20"/>
          <w:szCs w:val="20"/>
          <w:lang w:val="es-ES"/>
        </w:rPr>
        <w:t>Considerando que</w:t>
      </w:r>
      <w:r w:rsidRPr="00742F1C">
        <w:rPr>
          <w:rFonts w:ascii="Verdana" w:hAnsi="Verdana" w:cs="Verdana"/>
          <w:b/>
          <w:bCs/>
          <w:sz w:val="20"/>
          <w:szCs w:val="20"/>
          <w:lang w:val="es-ES"/>
        </w:rPr>
        <w:t>:</w:t>
      </w:r>
    </w:p>
    <w:p w:rsidR="00F755E3" w:rsidRPr="00742F1C" w:rsidRDefault="00F755E3" w:rsidP="009A0ED4">
      <w:pPr>
        <w:spacing w:beforeLines="60" w:afterLines="60" w:line="240" w:lineRule="auto"/>
        <w:jc w:val="both"/>
        <w:rPr>
          <w:rFonts w:ascii="Verdana" w:hAnsi="Verdana" w:cs="Verdana"/>
          <w:b/>
          <w:bCs/>
          <w:sz w:val="20"/>
          <w:szCs w:val="20"/>
          <w:lang w:val="es-ES"/>
        </w:rPr>
      </w:pPr>
    </w:p>
    <w:p w:rsidR="008D71F7" w:rsidRPr="00851FD1" w:rsidRDefault="004767E1" w:rsidP="009A0ED4">
      <w:pPr>
        <w:pStyle w:val="ListParagraph"/>
        <w:numPr>
          <w:ilvl w:val="0"/>
          <w:numId w:val="18"/>
        </w:numPr>
        <w:spacing w:beforeLines="60" w:afterLines="60"/>
        <w:ind w:left="0" w:firstLine="0"/>
        <w:rPr>
          <w:rFonts w:cs="Times"/>
          <w:lang w:eastAsia="es-ES"/>
        </w:rPr>
      </w:pPr>
      <w:r w:rsidRPr="00851FD1">
        <w:rPr>
          <w:b/>
          <w:bCs/>
          <w:i/>
          <w:lang w:val="es-ES"/>
        </w:rPr>
        <w:t>Solicitud de audiencia especial sobre las excepciones preliminares</w:t>
      </w:r>
      <w:r w:rsidR="00CE1876" w:rsidRPr="00851FD1">
        <w:rPr>
          <w:rFonts w:cs="Times"/>
          <w:lang w:eastAsia="es-ES"/>
        </w:rPr>
        <w:t xml:space="preserve"> </w:t>
      </w:r>
    </w:p>
    <w:p w:rsidR="008D71F7" w:rsidRDefault="008D71F7" w:rsidP="009A0ED4">
      <w:pPr>
        <w:spacing w:beforeLines="60" w:afterLines="60" w:line="240" w:lineRule="auto"/>
        <w:jc w:val="both"/>
        <w:rPr>
          <w:rFonts w:ascii="Verdana" w:hAnsi="Verdana" w:cs="Verdana"/>
          <w:color w:val="FF0000"/>
          <w:sz w:val="20"/>
          <w:szCs w:val="20"/>
        </w:rPr>
      </w:pPr>
    </w:p>
    <w:p w:rsidR="007F47C8" w:rsidRDefault="007F47C8" w:rsidP="009A0ED4">
      <w:pPr>
        <w:spacing w:beforeLines="60" w:afterLines="60" w:line="240" w:lineRule="auto"/>
        <w:jc w:val="both"/>
        <w:rPr>
          <w:rFonts w:ascii="Verdana" w:hAnsi="Verdana"/>
          <w:b/>
          <w:i/>
          <w:sz w:val="20"/>
          <w:szCs w:val="20"/>
        </w:rPr>
      </w:pPr>
      <w:r w:rsidRPr="007F47C8">
        <w:rPr>
          <w:rFonts w:ascii="Verdana" w:hAnsi="Verdana"/>
          <w:b/>
          <w:i/>
          <w:sz w:val="20"/>
          <w:szCs w:val="20"/>
        </w:rPr>
        <w:t>A.1. Argumentos de las partes y la Comisión</w:t>
      </w:r>
    </w:p>
    <w:p w:rsidR="00851FD1" w:rsidRPr="007F47C8" w:rsidRDefault="00851FD1" w:rsidP="009A0ED4">
      <w:pPr>
        <w:spacing w:beforeLines="60" w:afterLines="60" w:line="240" w:lineRule="auto"/>
        <w:jc w:val="both"/>
        <w:rPr>
          <w:rFonts w:ascii="Verdana" w:hAnsi="Verdana"/>
          <w:b/>
          <w:i/>
          <w:sz w:val="20"/>
          <w:szCs w:val="20"/>
        </w:rPr>
      </w:pPr>
    </w:p>
    <w:p w:rsidR="008D71F7" w:rsidRPr="00742F1C" w:rsidRDefault="00591392" w:rsidP="009A0ED4">
      <w:pPr>
        <w:numPr>
          <w:ilvl w:val="0"/>
          <w:numId w:val="3"/>
        </w:numPr>
        <w:spacing w:beforeLines="60" w:afterLines="60" w:line="240" w:lineRule="auto"/>
        <w:jc w:val="both"/>
        <w:rPr>
          <w:rFonts w:ascii="Verdana" w:hAnsi="Verdana" w:cs="Verdana"/>
          <w:color w:val="FF0000"/>
          <w:sz w:val="20"/>
          <w:szCs w:val="20"/>
        </w:rPr>
      </w:pPr>
      <w:r>
        <w:rPr>
          <w:rFonts w:ascii="Verdana" w:eastAsiaTheme="minorHAnsi" w:hAnsi="Verdana" w:cstheme="minorBidi"/>
          <w:sz w:val="20"/>
          <w:szCs w:val="20"/>
          <w:lang w:val="es-CR"/>
        </w:rPr>
        <w:t>El</w:t>
      </w:r>
      <w:r w:rsidR="008D71F7" w:rsidRPr="00742F1C">
        <w:rPr>
          <w:rFonts w:ascii="Verdana" w:eastAsiaTheme="minorHAnsi" w:hAnsi="Verdana" w:cstheme="minorBidi"/>
          <w:sz w:val="20"/>
          <w:szCs w:val="20"/>
          <w:lang w:val="es-CR"/>
        </w:rPr>
        <w:t xml:space="preserve"> </w:t>
      </w:r>
      <w:r>
        <w:rPr>
          <w:rFonts w:ascii="Verdana" w:eastAsiaTheme="minorHAnsi" w:hAnsi="Verdana" w:cstheme="minorBidi"/>
          <w:b/>
          <w:i/>
          <w:sz w:val="20"/>
          <w:szCs w:val="20"/>
          <w:lang w:val="es-CR"/>
        </w:rPr>
        <w:t>Estado</w:t>
      </w:r>
      <w:r w:rsidR="00A40ACD" w:rsidRPr="00742F1C">
        <w:rPr>
          <w:rFonts w:ascii="Verdana" w:eastAsiaTheme="minorHAnsi" w:hAnsi="Verdana" w:cstheme="minorBidi"/>
          <w:sz w:val="20"/>
          <w:szCs w:val="20"/>
          <w:lang w:val="es-CR"/>
        </w:rPr>
        <w:t xml:space="preserve"> solicitó a la Corte </w:t>
      </w:r>
      <w:r w:rsidR="00A40ACD" w:rsidRPr="00742F1C">
        <w:rPr>
          <w:rFonts w:ascii="Verdana" w:hAnsi="Verdana" w:cs="Arial"/>
          <w:sz w:val="20"/>
          <w:szCs w:val="20"/>
          <w:lang w:val="es-CR"/>
        </w:rPr>
        <w:t>“[d]eclarar la inadmisibilidad del caso con fundamento en las [cinco] excepciones</w:t>
      </w:r>
      <w:r w:rsidR="00A40ACD" w:rsidRPr="00742F1C">
        <w:rPr>
          <w:rFonts w:ascii="Verdana" w:hAnsi="Verdana"/>
          <w:sz w:val="20"/>
          <w:szCs w:val="20"/>
          <w:lang w:val="es-ES_tradnl"/>
        </w:rPr>
        <w:t xml:space="preserve"> </w:t>
      </w:r>
      <w:r w:rsidR="00A40ACD" w:rsidRPr="00742F1C">
        <w:rPr>
          <w:rFonts w:ascii="Verdana" w:hAnsi="Verdana" w:cs="Arial"/>
          <w:sz w:val="20"/>
          <w:szCs w:val="20"/>
          <w:lang w:val="es-CR"/>
        </w:rPr>
        <w:t>preliminares interpuestas</w:t>
      </w:r>
      <w:r w:rsidR="00EF4B33" w:rsidRPr="00742F1C">
        <w:rPr>
          <w:rFonts w:ascii="Verdana" w:hAnsi="Verdana" w:cs="Arial"/>
          <w:sz w:val="20"/>
          <w:szCs w:val="20"/>
          <w:lang w:val="es-CR"/>
        </w:rPr>
        <w:t>” y, para tales efectos, “</w:t>
      </w:r>
      <w:r w:rsidR="00A40ACD" w:rsidRPr="00742F1C">
        <w:rPr>
          <w:rFonts w:ascii="Verdana" w:hAnsi="Verdana" w:cs="Arial"/>
          <w:sz w:val="20"/>
          <w:szCs w:val="20"/>
          <w:lang w:val="es-CR"/>
        </w:rPr>
        <w:t xml:space="preserve">fijar una audiencia especial sobre </w:t>
      </w:r>
      <w:r w:rsidR="007B5620" w:rsidRPr="00742F1C">
        <w:rPr>
          <w:rFonts w:ascii="Verdana" w:hAnsi="Verdana" w:cs="Arial"/>
          <w:sz w:val="20"/>
          <w:szCs w:val="20"/>
          <w:lang w:val="es-CR"/>
        </w:rPr>
        <w:t xml:space="preserve">[las] </w:t>
      </w:r>
      <w:r w:rsidR="00A40ACD" w:rsidRPr="00742F1C">
        <w:rPr>
          <w:rFonts w:ascii="Verdana" w:hAnsi="Verdana" w:cs="Arial"/>
          <w:sz w:val="20"/>
          <w:szCs w:val="20"/>
          <w:lang w:val="es-CR"/>
        </w:rPr>
        <w:t>excepciones</w:t>
      </w:r>
      <w:r w:rsidR="00A40ACD" w:rsidRPr="00742F1C">
        <w:rPr>
          <w:rFonts w:ascii="Verdana" w:hAnsi="Verdana"/>
          <w:sz w:val="20"/>
          <w:szCs w:val="20"/>
          <w:lang w:val="es-ES_tradnl"/>
        </w:rPr>
        <w:t xml:space="preserve"> </w:t>
      </w:r>
      <w:r w:rsidR="00A40ACD" w:rsidRPr="00742F1C">
        <w:rPr>
          <w:rFonts w:ascii="Verdana" w:hAnsi="Verdana" w:cs="Arial"/>
          <w:sz w:val="20"/>
          <w:szCs w:val="20"/>
          <w:lang w:val="es-CR"/>
        </w:rPr>
        <w:t xml:space="preserve">preliminares </w:t>
      </w:r>
      <w:r w:rsidR="00EF4B33" w:rsidRPr="00742F1C">
        <w:rPr>
          <w:rFonts w:ascii="Verdana" w:hAnsi="Verdana" w:cs="Arial"/>
          <w:sz w:val="20"/>
          <w:szCs w:val="20"/>
          <w:lang w:val="es-CR"/>
        </w:rPr>
        <w:t>[…]</w:t>
      </w:r>
      <w:r w:rsidR="00A40ACD" w:rsidRPr="00742F1C">
        <w:rPr>
          <w:rFonts w:ascii="Verdana" w:hAnsi="Verdana" w:cs="Arial"/>
          <w:sz w:val="20"/>
          <w:szCs w:val="20"/>
          <w:lang w:val="es-CR"/>
        </w:rPr>
        <w:t>, de conformidad con</w:t>
      </w:r>
      <w:r w:rsidR="008A1439">
        <w:rPr>
          <w:rFonts w:ascii="Verdana" w:hAnsi="Verdana" w:cs="Arial"/>
          <w:sz w:val="20"/>
          <w:szCs w:val="20"/>
          <w:lang w:val="es-CR"/>
        </w:rPr>
        <w:t xml:space="preserve"> el</w:t>
      </w:r>
      <w:r w:rsidR="00A40ACD" w:rsidRPr="00742F1C">
        <w:rPr>
          <w:rFonts w:ascii="Verdana" w:hAnsi="Verdana" w:cs="Arial"/>
          <w:sz w:val="20"/>
          <w:szCs w:val="20"/>
          <w:lang w:val="es-CR"/>
        </w:rPr>
        <w:t xml:space="preserve"> artículo 42.5 del Reglamento de</w:t>
      </w:r>
      <w:r w:rsidR="00A40ACD" w:rsidRPr="00742F1C">
        <w:rPr>
          <w:rFonts w:ascii="Verdana" w:hAnsi="Verdana"/>
          <w:sz w:val="20"/>
          <w:szCs w:val="20"/>
          <w:lang w:val="es-ES_tradnl"/>
        </w:rPr>
        <w:t xml:space="preserve"> </w:t>
      </w:r>
      <w:r w:rsidR="00A40ACD" w:rsidRPr="00742F1C">
        <w:rPr>
          <w:rFonts w:ascii="Verdana" w:hAnsi="Verdana" w:cs="Arial"/>
          <w:sz w:val="20"/>
          <w:szCs w:val="20"/>
          <w:lang w:val="es-CR"/>
        </w:rPr>
        <w:t>la Corte”.</w:t>
      </w:r>
      <w:r w:rsidR="00A40ACD" w:rsidRPr="00742F1C">
        <w:rPr>
          <w:rFonts w:ascii="Verdana" w:hAnsi="Verdana"/>
          <w:sz w:val="20"/>
          <w:szCs w:val="20"/>
          <w:lang w:val="es-CR"/>
        </w:rPr>
        <w:t xml:space="preserve"> </w:t>
      </w:r>
      <w:r>
        <w:rPr>
          <w:rFonts w:ascii="Verdana" w:hAnsi="Verdana"/>
          <w:sz w:val="20"/>
          <w:szCs w:val="20"/>
          <w:lang w:val="es-CR"/>
        </w:rPr>
        <w:t xml:space="preserve">Al respecto, </w:t>
      </w:r>
      <w:r w:rsidR="00BC3FAB" w:rsidRPr="00742F1C">
        <w:rPr>
          <w:rFonts w:ascii="Verdana" w:hAnsi="Verdana"/>
          <w:sz w:val="20"/>
          <w:szCs w:val="20"/>
          <w:lang w:val="es-CR"/>
        </w:rPr>
        <w:t xml:space="preserve">sostuvo que </w:t>
      </w:r>
      <w:r w:rsidR="007B5620" w:rsidRPr="00742F1C">
        <w:rPr>
          <w:rFonts w:ascii="Verdana" w:eastAsiaTheme="minorHAnsi" w:hAnsi="Verdana" w:cstheme="minorBidi"/>
          <w:sz w:val="20"/>
          <w:szCs w:val="20"/>
          <w:lang w:val="es-CR"/>
        </w:rPr>
        <w:t>la Comisión incurrió en prácticas de violación del debido proceso en la tramitación del caso en su fase de admisibilidad y de fondo, y cometió irregularidades que lesionan el derecho de defensa del Estado, al haber acumulado 8 casos “de manera no razonada” y sin haber cumplido con el deber de constatar si en cada uno de ellos existe una supuesta violación y perjuicio. Según el Estado, la Comisión partió de la presunción que “el Sistema Penal [costarricense] y su Sistema de Impugnación no brindan las condiciones para la revisión integral del fallo”. Recordó que existen más de 400 peticiones que esperan ser ingresadas con exactamente los mismos argumentos generalizados sobre el sistema de impugnación penal costarricense.</w:t>
      </w:r>
      <w:r w:rsidR="00EF4B33" w:rsidRPr="00742F1C">
        <w:rPr>
          <w:rFonts w:ascii="Verdana" w:hAnsi="Verdana"/>
          <w:sz w:val="20"/>
          <w:szCs w:val="20"/>
        </w:rPr>
        <w:t xml:space="preserve"> </w:t>
      </w:r>
      <w:r w:rsidR="00EF4B33" w:rsidRPr="00742F1C">
        <w:rPr>
          <w:rFonts w:ascii="Verdana" w:eastAsiaTheme="minorHAnsi" w:hAnsi="Verdana" w:cstheme="minorBidi"/>
          <w:sz w:val="20"/>
          <w:szCs w:val="20"/>
          <w:lang w:val="es-CR"/>
        </w:rPr>
        <w:t xml:space="preserve">Al respecto, consideró que el caso propone reabrir una discusión </w:t>
      </w:r>
      <w:r w:rsidRPr="00742F1C">
        <w:rPr>
          <w:rFonts w:ascii="Verdana" w:eastAsiaTheme="minorHAnsi" w:hAnsi="Verdana" w:cstheme="minorBidi"/>
          <w:sz w:val="20"/>
          <w:szCs w:val="20"/>
          <w:lang w:val="es-CR"/>
        </w:rPr>
        <w:t>resuelta</w:t>
      </w:r>
      <w:r w:rsidR="00EF4B33" w:rsidRPr="00742F1C">
        <w:rPr>
          <w:rFonts w:ascii="Verdana" w:eastAsiaTheme="minorHAnsi" w:hAnsi="Verdana" w:cstheme="minorBidi"/>
          <w:sz w:val="20"/>
          <w:szCs w:val="20"/>
          <w:lang w:val="es-CR"/>
        </w:rPr>
        <w:t xml:space="preserve"> con la Resolución de Supervisión de Cumplimiento de Sentencia emitida el 22 de noviembre de 2010 en el </w:t>
      </w:r>
      <w:r w:rsidR="00EF4B33" w:rsidRPr="00742F1C">
        <w:rPr>
          <w:rFonts w:ascii="Verdana" w:hAnsi="Verdana"/>
          <w:i/>
          <w:sz w:val="20"/>
          <w:szCs w:val="20"/>
          <w:lang w:val="es-ES_tradnl"/>
        </w:rPr>
        <w:t>Caso Herrera Ulloa</w:t>
      </w:r>
      <w:r w:rsidR="00EF4B33" w:rsidRPr="00742F1C">
        <w:rPr>
          <w:rFonts w:ascii="Verdana" w:hAnsi="Verdana"/>
          <w:sz w:val="20"/>
          <w:szCs w:val="20"/>
          <w:lang w:val="es-ES_tradnl"/>
        </w:rPr>
        <w:t xml:space="preserve"> </w:t>
      </w:r>
      <w:r w:rsidR="00EF4B33" w:rsidRPr="00742F1C">
        <w:rPr>
          <w:rFonts w:ascii="Verdana" w:hAnsi="Verdana"/>
          <w:i/>
          <w:sz w:val="20"/>
          <w:szCs w:val="20"/>
          <w:lang w:val="es-ES_tradnl"/>
        </w:rPr>
        <w:t>Vs. Costa Rica</w:t>
      </w:r>
      <w:r w:rsidR="00EF4B33" w:rsidRPr="00742F1C">
        <w:rPr>
          <w:rStyle w:val="FootnoteReference"/>
          <w:sz w:val="20"/>
          <w:szCs w:val="20"/>
          <w:lang w:val="es-ES_tradnl"/>
        </w:rPr>
        <w:footnoteReference w:id="3"/>
      </w:r>
      <w:r w:rsidR="00EF4B33" w:rsidRPr="00742F1C">
        <w:rPr>
          <w:rFonts w:ascii="Verdana" w:eastAsiaTheme="minorHAnsi" w:hAnsi="Verdana" w:cstheme="minorBidi"/>
          <w:sz w:val="20"/>
          <w:szCs w:val="20"/>
          <w:lang w:val="es-CR"/>
        </w:rPr>
        <w:t xml:space="preserve">. Por ello, sostuvo que resulta sumamente necesario antes de que se abra eventualmente la discusión de fondo, conocer y debatir la validez y legitimidad del sometimiento del </w:t>
      </w:r>
      <w:r w:rsidR="00EF4B33" w:rsidRPr="00742F1C">
        <w:rPr>
          <w:rFonts w:ascii="Verdana" w:eastAsiaTheme="minorHAnsi" w:hAnsi="Verdana" w:cstheme="minorBidi"/>
          <w:i/>
          <w:sz w:val="20"/>
          <w:szCs w:val="20"/>
          <w:lang w:val="es-CR"/>
        </w:rPr>
        <w:t>Caso Am</w:t>
      </w:r>
      <w:r w:rsidR="007D42D4">
        <w:rPr>
          <w:rFonts w:ascii="Verdana" w:eastAsiaTheme="minorHAnsi" w:hAnsi="Verdana" w:cstheme="minorBidi"/>
          <w:i/>
          <w:sz w:val="20"/>
          <w:szCs w:val="20"/>
          <w:lang w:val="es-CR"/>
        </w:rPr>
        <w:t>rh</w:t>
      </w:r>
      <w:r w:rsidR="00EF4B33" w:rsidRPr="00742F1C">
        <w:rPr>
          <w:rFonts w:ascii="Verdana" w:eastAsiaTheme="minorHAnsi" w:hAnsi="Verdana" w:cstheme="minorBidi"/>
          <w:i/>
          <w:sz w:val="20"/>
          <w:szCs w:val="20"/>
          <w:lang w:val="es-CR"/>
        </w:rPr>
        <w:t>ein y otros Vs. Costa Rica</w:t>
      </w:r>
      <w:r w:rsidR="00EF4B33" w:rsidRPr="00742F1C">
        <w:rPr>
          <w:rFonts w:ascii="Verdana" w:eastAsiaTheme="minorHAnsi" w:hAnsi="Verdana" w:cstheme="minorBidi"/>
          <w:sz w:val="20"/>
          <w:szCs w:val="20"/>
          <w:lang w:val="es-CR"/>
        </w:rPr>
        <w:t xml:space="preserve"> ante la Corte. </w:t>
      </w:r>
    </w:p>
    <w:p w:rsidR="008D71F7" w:rsidRPr="00742F1C" w:rsidRDefault="008D71F7" w:rsidP="009A0ED4">
      <w:pPr>
        <w:pStyle w:val="ListParagraph"/>
        <w:numPr>
          <w:ilvl w:val="0"/>
          <w:numId w:val="0"/>
        </w:numPr>
        <w:spacing w:beforeLines="60" w:afterLines="60"/>
        <w:rPr>
          <w:rFonts w:eastAsiaTheme="minorHAnsi" w:cstheme="minorBidi"/>
          <w:lang w:val="es-CR"/>
        </w:rPr>
      </w:pPr>
    </w:p>
    <w:p w:rsidR="00BD24A0" w:rsidRPr="009F36E4" w:rsidRDefault="00BD24A0" w:rsidP="009A0ED4">
      <w:pPr>
        <w:numPr>
          <w:ilvl w:val="0"/>
          <w:numId w:val="3"/>
        </w:numPr>
        <w:spacing w:beforeLines="60" w:afterLines="60" w:line="240" w:lineRule="auto"/>
        <w:jc w:val="both"/>
        <w:rPr>
          <w:rFonts w:ascii="Verdana" w:hAnsi="Verdana"/>
          <w:b/>
          <w:sz w:val="20"/>
          <w:szCs w:val="20"/>
          <w:lang w:val="es-ES_tradnl"/>
        </w:rPr>
      </w:pPr>
      <w:r w:rsidRPr="00BD24A0">
        <w:rPr>
          <w:rFonts w:ascii="Verdana" w:hAnsi="Verdana"/>
          <w:sz w:val="20"/>
          <w:szCs w:val="20"/>
          <w:lang w:val="es-ES_tradnl"/>
        </w:rPr>
        <w:t xml:space="preserve">La </w:t>
      </w:r>
      <w:r w:rsidRPr="009F36E4">
        <w:rPr>
          <w:rFonts w:ascii="Verdana" w:hAnsi="Verdana"/>
          <w:b/>
          <w:i/>
          <w:sz w:val="20"/>
          <w:szCs w:val="20"/>
          <w:lang w:val="es-ES_tradnl"/>
        </w:rPr>
        <w:t>Comisión</w:t>
      </w:r>
      <w:r w:rsidR="009F36E4">
        <w:rPr>
          <w:rFonts w:ascii="Verdana" w:hAnsi="Verdana"/>
          <w:sz w:val="20"/>
          <w:szCs w:val="20"/>
          <w:lang w:val="es-ES_tradnl"/>
        </w:rPr>
        <w:t xml:space="preserve"> sostuvo que </w:t>
      </w:r>
      <w:r w:rsidRPr="00BD24A0">
        <w:rPr>
          <w:rFonts w:ascii="Verdana" w:hAnsi="Verdana"/>
          <w:sz w:val="20"/>
          <w:szCs w:val="20"/>
          <w:lang w:val="es-ES_tradnl"/>
        </w:rPr>
        <w:t>no está suficientemente justificado que la Corte se aparte de su práctica de celebrar audiencias conjuntas de excepciones preliminares, fondo, reparaciones y costas</w:t>
      </w:r>
      <w:r w:rsidR="009F36E4">
        <w:rPr>
          <w:rFonts w:ascii="Verdana" w:hAnsi="Verdana"/>
          <w:sz w:val="20"/>
          <w:szCs w:val="20"/>
          <w:lang w:val="es-ES_tradnl"/>
        </w:rPr>
        <w:t>.</w:t>
      </w:r>
      <w:r w:rsidRPr="00BD24A0">
        <w:rPr>
          <w:rFonts w:ascii="Verdana" w:hAnsi="Verdana"/>
          <w:sz w:val="20"/>
          <w:szCs w:val="20"/>
          <w:lang w:val="es-ES_tradnl"/>
        </w:rPr>
        <w:t xml:space="preserve"> </w:t>
      </w:r>
      <w:r w:rsidRPr="009F36E4">
        <w:rPr>
          <w:rFonts w:ascii="Verdana" w:hAnsi="Verdana"/>
          <w:sz w:val="20"/>
          <w:szCs w:val="20"/>
          <w:lang w:val="es-ES_tradnl"/>
        </w:rPr>
        <w:t xml:space="preserve">Al respecto, consideró que el Estado no alegó razones suficientes para distinguir este caso de otros en los cuales se ha invocado excepciones preliminares de similar naturaleza. Recordó que resulta habitual que los Estados aleguen violaciones a su derecho de defensa como consecuencia de las decisiones procesales que adopta la Comisión y en múltiples casos la Corte ha obtenido elementos suficientes para resolver tales alegatos mediante los escritos de las partes y de la Comisión, así como mediante la audiencia de excepciones preliminares, fondo, reparaciones y costas. Aunado a ello, señaló que en el presente caso resultaba aún menos justificado tener una audiencia de excepciones preliminares cuando el argumento central del Estado de carácter supuestamente preliminar, se relaciona directamente con el fondo del asunto. Sobre este aspecto, explicó que el Estado tendría dos argumentos centrales. </w:t>
      </w:r>
      <w:r w:rsidRPr="009F36E4">
        <w:rPr>
          <w:rFonts w:ascii="Verdana" w:hAnsi="Verdana"/>
          <w:sz w:val="20"/>
          <w:szCs w:val="20"/>
          <w:lang w:val="es-ES_tradnl"/>
        </w:rPr>
        <w:lastRenderedPageBreak/>
        <w:t xml:space="preserve">Primero, que la Comisión acumuló indebidamente los casos pues no verifico la existencia de violaciones en los mismos. Segundo, que la Comisión pretende cuestionar el sistema de impugnación ya validado por la Corte en la </w:t>
      </w:r>
      <w:r w:rsidR="00ED79A6">
        <w:rPr>
          <w:rFonts w:ascii="Verdana" w:hAnsi="Verdana"/>
          <w:sz w:val="20"/>
          <w:szCs w:val="20"/>
          <w:lang w:val="es-ES_tradnl"/>
        </w:rPr>
        <w:t>R</w:t>
      </w:r>
      <w:r w:rsidRPr="009F36E4">
        <w:rPr>
          <w:rFonts w:ascii="Verdana" w:hAnsi="Verdana"/>
          <w:sz w:val="20"/>
          <w:szCs w:val="20"/>
          <w:lang w:val="es-ES_tradnl"/>
        </w:rPr>
        <w:t xml:space="preserve">esolución de supervisión de </w:t>
      </w:r>
      <w:r w:rsidRPr="009F36E4">
        <w:rPr>
          <w:rFonts w:ascii="Verdana" w:hAnsi="Verdana"/>
          <w:sz w:val="20"/>
          <w:szCs w:val="20"/>
        </w:rPr>
        <w:t>cumplimiento</w:t>
      </w:r>
      <w:r w:rsidRPr="009F36E4">
        <w:rPr>
          <w:rFonts w:ascii="Verdana" w:hAnsi="Verdana"/>
          <w:sz w:val="20"/>
          <w:szCs w:val="20"/>
          <w:lang w:val="es-ES_tradnl"/>
        </w:rPr>
        <w:t xml:space="preserve"> de la </w:t>
      </w:r>
      <w:r w:rsidR="00ED79A6">
        <w:rPr>
          <w:rFonts w:ascii="Verdana" w:hAnsi="Verdana"/>
          <w:sz w:val="20"/>
          <w:szCs w:val="20"/>
          <w:lang w:val="es-ES_tradnl"/>
        </w:rPr>
        <w:t>S</w:t>
      </w:r>
      <w:r w:rsidRPr="009F36E4">
        <w:rPr>
          <w:rFonts w:ascii="Verdana" w:hAnsi="Verdana"/>
          <w:sz w:val="20"/>
          <w:szCs w:val="20"/>
          <w:lang w:val="es-ES_tradnl"/>
        </w:rPr>
        <w:t xml:space="preserve">entencia del </w:t>
      </w:r>
      <w:r w:rsidRPr="009F36E4">
        <w:rPr>
          <w:rFonts w:ascii="Verdana" w:hAnsi="Verdana"/>
          <w:i/>
          <w:sz w:val="20"/>
          <w:szCs w:val="20"/>
          <w:lang w:val="es-ES_tradnl"/>
        </w:rPr>
        <w:t>Caso Herrera Ulloa</w:t>
      </w:r>
      <w:r w:rsidRPr="009F36E4">
        <w:rPr>
          <w:rFonts w:ascii="Verdana" w:hAnsi="Verdana"/>
          <w:sz w:val="20"/>
          <w:szCs w:val="20"/>
          <w:lang w:val="es-ES_tradnl"/>
        </w:rPr>
        <w:t xml:space="preserve">. </w:t>
      </w:r>
      <w:r w:rsidR="00620903">
        <w:rPr>
          <w:rFonts w:ascii="Verdana" w:hAnsi="Verdana"/>
          <w:sz w:val="20"/>
          <w:szCs w:val="20"/>
          <w:lang w:val="es-ES_tradnl"/>
        </w:rPr>
        <w:t>Alegó que n</w:t>
      </w:r>
      <w:r w:rsidRPr="009F36E4">
        <w:rPr>
          <w:rFonts w:ascii="Verdana" w:hAnsi="Verdana"/>
          <w:sz w:val="20"/>
          <w:szCs w:val="20"/>
          <w:lang w:val="es-ES_tradnl"/>
        </w:rPr>
        <w:t>inguno de estos dos argumentos podrían ser resueltos sin analizar el fondo del asunto, ya que si bien el Estado resolvió la situación frente a personas condenadas con posterioridad a la creación del recurso de apelación, las disposiciones transitorias de dicha reforma no lograron subsanar la violación del derecho a recurrir el fallo en perjuicio de las víctimas del caso concreto, quienes fueron condenadas antes de dicha reforma, la cual es una cuestión de fondo.</w:t>
      </w:r>
    </w:p>
    <w:p w:rsidR="00BD24A0" w:rsidRDefault="00BD24A0" w:rsidP="009A0ED4">
      <w:pPr>
        <w:pStyle w:val="ListParagraph"/>
        <w:numPr>
          <w:ilvl w:val="0"/>
          <w:numId w:val="0"/>
        </w:numPr>
        <w:spacing w:beforeLines="60" w:afterLines="60"/>
      </w:pPr>
    </w:p>
    <w:p w:rsidR="00911CBC" w:rsidRPr="00742F1C" w:rsidRDefault="00911CBC" w:rsidP="009A0ED4">
      <w:pPr>
        <w:numPr>
          <w:ilvl w:val="0"/>
          <w:numId w:val="3"/>
        </w:numPr>
        <w:spacing w:beforeLines="60" w:afterLines="60" w:line="240" w:lineRule="auto"/>
        <w:jc w:val="both"/>
        <w:rPr>
          <w:rFonts w:ascii="Verdana" w:hAnsi="Verdana"/>
          <w:sz w:val="20"/>
          <w:szCs w:val="20"/>
        </w:rPr>
      </w:pPr>
      <w:r w:rsidRPr="00742F1C">
        <w:rPr>
          <w:rFonts w:ascii="Verdana" w:hAnsi="Verdana"/>
          <w:sz w:val="20"/>
          <w:szCs w:val="20"/>
        </w:rPr>
        <w:t xml:space="preserve">El </w:t>
      </w:r>
      <w:r w:rsidRPr="00742F1C">
        <w:rPr>
          <w:rFonts w:ascii="Verdana" w:hAnsi="Verdana"/>
          <w:b/>
          <w:i/>
          <w:sz w:val="20"/>
          <w:szCs w:val="20"/>
        </w:rPr>
        <w:t>interviniente común Adrián Martínez Blanco</w:t>
      </w:r>
      <w:r w:rsidRPr="00742F1C">
        <w:rPr>
          <w:rFonts w:ascii="Verdana" w:hAnsi="Verdana"/>
          <w:sz w:val="20"/>
          <w:szCs w:val="20"/>
        </w:rPr>
        <w:t xml:space="preserve"> consideró que el efecto principal de acoger y celebrar una audiencia especial para conocer las excepciones preliminares interpuestas por el Estado sería la de agravar la situación de las presuntas víctimas, quienes sufrirían un retraso injusto que postergaría la decisión de esta Corte sobre el fondo del presente caso, situación que prolongaría los alegados perjuicios que sufren. Argumentó que ninguna de las excepciones formuladas pueden discutirse si simultáneamente no se </w:t>
      </w:r>
      <w:r w:rsidR="00620903">
        <w:rPr>
          <w:rFonts w:ascii="Verdana" w:hAnsi="Verdana"/>
          <w:sz w:val="20"/>
          <w:szCs w:val="20"/>
        </w:rPr>
        <w:t xml:space="preserve">examina </w:t>
      </w:r>
      <w:r w:rsidRPr="00742F1C">
        <w:rPr>
          <w:rFonts w:ascii="Verdana" w:hAnsi="Verdana"/>
          <w:sz w:val="20"/>
          <w:szCs w:val="20"/>
        </w:rPr>
        <w:t xml:space="preserve">y resuelve el fondo de los alegatos y peticiones formuladas en el presente caso, por lo cual no es dable realizarlo en una audiencia especial previa. En particular, respecto a la excepción de cosa juzgada internacional, </w:t>
      </w:r>
      <w:r w:rsidR="00D4326B" w:rsidRPr="00742F1C">
        <w:rPr>
          <w:rFonts w:ascii="Verdana" w:hAnsi="Verdana"/>
          <w:sz w:val="20"/>
          <w:szCs w:val="20"/>
        </w:rPr>
        <w:t xml:space="preserve">señaló que este caso contempla hechos, víctimas y derechos distintos al </w:t>
      </w:r>
      <w:r w:rsidRPr="00742F1C">
        <w:rPr>
          <w:rFonts w:ascii="Verdana" w:hAnsi="Verdana"/>
          <w:sz w:val="20"/>
          <w:szCs w:val="20"/>
        </w:rPr>
        <w:t xml:space="preserve">Caso </w:t>
      </w:r>
      <w:r w:rsidRPr="00742F1C">
        <w:rPr>
          <w:rFonts w:ascii="Verdana" w:hAnsi="Verdana"/>
          <w:i/>
          <w:sz w:val="20"/>
          <w:szCs w:val="20"/>
        </w:rPr>
        <w:t>Herrera Ulloa</w:t>
      </w:r>
      <w:r w:rsidRPr="00742F1C">
        <w:rPr>
          <w:rFonts w:ascii="Verdana" w:hAnsi="Verdana"/>
          <w:sz w:val="20"/>
          <w:szCs w:val="20"/>
        </w:rPr>
        <w:t>. En cuanto a la excepción de afectación del derecho de defensa, sostuvo que el Estado plantea que hay hechos alegados por los representantes que no están incluidos en el Informe de Fondo de la Comisión, sin precisar a cuáles hechos se refiere, siendo improcedente que se peticione su conocimiento en una audiencia especial. Acerca de la alegada existencia de una acumulación incorrecta de casos realizada por la Comisión, el Estado no precisa en qu</w:t>
      </w:r>
      <w:r w:rsidR="00C86653">
        <w:rPr>
          <w:rFonts w:ascii="Verdana" w:hAnsi="Verdana"/>
          <w:sz w:val="20"/>
          <w:szCs w:val="20"/>
        </w:rPr>
        <w:t>é</w:t>
      </w:r>
      <w:r w:rsidRPr="00742F1C">
        <w:rPr>
          <w:rFonts w:ascii="Verdana" w:hAnsi="Verdana"/>
          <w:sz w:val="20"/>
          <w:szCs w:val="20"/>
        </w:rPr>
        <w:t xml:space="preserve"> consiste la alegada violación a su derecho de defensa y del debido proceso por dicha decisión, la cual consiste en el ejercicio de una potestad de la misma bajo el supuesto de existir similitud en cuanto a las violaciones de la Convención. En relación con la excepción preliminar de violación al principio de subsidiariedad del </w:t>
      </w:r>
      <w:r w:rsidR="00290705">
        <w:rPr>
          <w:rFonts w:ascii="Verdana" w:hAnsi="Verdana"/>
          <w:sz w:val="20"/>
          <w:szCs w:val="20"/>
        </w:rPr>
        <w:t>S</w:t>
      </w:r>
      <w:r w:rsidRPr="00742F1C">
        <w:rPr>
          <w:rFonts w:ascii="Verdana" w:hAnsi="Verdana"/>
          <w:sz w:val="20"/>
          <w:szCs w:val="20"/>
        </w:rPr>
        <w:t xml:space="preserve">istema </w:t>
      </w:r>
      <w:r w:rsidR="00290705">
        <w:rPr>
          <w:rFonts w:ascii="Verdana" w:hAnsi="Verdana"/>
          <w:sz w:val="20"/>
          <w:szCs w:val="20"/>
        </w:rPr>
        <w:t>I</w:t>
      </w:r>
      <w:r w:rsidRPr="00742F1C">
        <w:rPr>
          <w:rFonts w:ascii="Verdana" w:hAnsi="Verdana"/>
          <w:sz w:val="20"/>
          <w:szCs w:val="20"/>
        </w:rPr>
        <w:t xml:space="preserve">nteramericano, explicó que teniendo en cuenta que hay un alegato relacionado con el quebranto de los derechos humanos de las víctimas, se hace procedente el caso y su revisión, convirtiendo en innecesaria la discusión propuesta en una audiencia especial. Por último, alegó que </w:t>
      </w:r>
      <w:r w:rsidR="00C63286" w:rsidRPr="00742F1C">
        <w:rPr>
          <w:rFonts w:ascii="Verdana" w:hAnsi="Verdana"/>
          <w:sz w:val="20"/>
          <w:szCs w:val="20"/>
        </w:rPr>
        <w:t xml:space="preserve">no es procedente discutir </w:t>
      </w:r>
      <w:r w:rsidRPr="00742F1C">
        <w:rPr>
          <w:rFonts w:ascii="Verdana" w:hAnsi="Verdana"/>
          <w:sz w:val="20"/>
          <w:szCs w:val="20"/>
        </w:rPr>
        <w:t xml:space="preserve">la excepción de falta de competencia </w:t>
      </w:r>
      <w:r w:rsidRPr="00742F1C">
        <w:rPr>
          <w:rFonts w:ascii="Verdana" w:hAnsi="Verdana"/>
          <w:i/>
          <w:sz w:val="20"/>
          <w:szCs w:val="20"/>
        </w:rPr>
        <w:t>ratione temporis</w:t>
      </w:r>
      <w:r w:rsidRPr="00742F1C">
        <w:rPr>
          <w:rFonts w:ascii="Verdana" w:hAnsi="Verdana"/>
          <w:sz w:val="20"/>
          <w:szCs w:val="20"/>
        </w:rPr>
        <w:t xml:space="preserve"> y </w:t>
      </w:r>
      <w:r w:rsidRPr="00742F1C">
        <w:rPr>
          <w:rFonts w:ascii="Verdana" w:hAnsi="Verdana"/>
          <w:i/>
          <w:sz w:val="20"/>
          <w:szCs w:val="20"/>
        </w:rPr>
        <w:t>ratione personae</w:t>
      </w:r>
      <w:r w:rsidRPr="00742F1C">
        <w:rPr>
          <w:rFonts w:ascii="Verdana" w:hAnsi="Verdana"/>
          <w:sz w:val="20"/>
          <w:szCs w:val="20"/>
        </w:rPr>
        <w:t xml:space="preserve"> en una audiencia especial,</w:t>
      </w:r>
      <w:r w:rsidR="00E560F6" w:rsidRPr="00742F1C">
        <w:rPr>
          <w:rFonts w:ascii="Verdana" w:hAnsi="Verdana"/>
          <w:sz w:val="20"/>
          <w:szCs w:val="20"/>
        </w:rPr>
        <w:t xml:space="preserve"> entre otros motivos, </w:t>
      </w:r>
      <w:r w:rsidRPr="00742F1C">
        <w:rPr>
          <w:rFonts w:ascii="Verdana" w:hAnsi="Verdana"/>
          <w:sz w:val="20"/>
          <w:szCs w:val="20"/>
        </w:rPr>
        <w:t>d</w:t>
      </w:r>
      <w:r w:rsidR="00E560F6" w:rsidRPr="00742F1C">
        <w:rPr>
          <w:rFonts w:ascii="Verdana" w:hAnsi="Verdana"/>
          <w:sz w:val="20"/>
          <w:szCs w:val="20"/>
        </w:rPr>
        <w:t xml:space="preserve">ebido </w:t>
      </w:r>
      <w:r w:rsidRPr="00742F1C">
        <w:rPr>
          <w:rFonts w:ascii="Verdana" w:hAnsi="Verdana"/>
          <w:sz w:val="20"/>
          <w:szCs w:val="20"/>
        </w:rPr>
        <w:t>a que el caso se sustenta en el artículo 46.2 de la Convención, lo cual hace inaplicable el plazo de seis meses para presentar la petición luego de la decisión final</w:t>
      </w:r>
      <w:r w:rsidR="00E560F6" w:rsidRPr="00742F1C">
        <w:rPr>
          <w:rFonts w:ascii="Verdana" w:hAnsi="Verdana"/>
          <w:sz w:val="20"/>
          <w:szCs w:val="20"/>
        </w:rPr>
        <w:t>.</w:t>
      </w:r>
    </w:p>
    <w:p w:rsidR="00911CBC" w:rsidRPr="00742F1C" w:rsidRDefault="00911CBC" w:rsidP="009A0ED4">
      <w:pPr>
        <w:spacing w:beforeLines="60" w:afterLines="60" w:line="240" w:lineRule="auto"/>
        <w:jc w:val="both"/>
        <w:rPr>
          <w:rFonts w:ascii="Verdana" w:hAnsi="Verdana"/>
          <w:sz w:val="20"/>
          <w:szCs w:val="20"/>
        </w:rPr>
      </w:pPr>
    </w:p>
    <w:p w:rsidR="00911CBC" w:rsidRPr="00742F1C" w:rsidRDefault="00911CBC" w:rsidP="009A0ED4">
      <w:pPr>
        <w:numPr>
          <w:ilvl w:val="0"/>
          <w:numId w:val="3"/>
        </w:numPr>
        <w:spacing w:beforeLines="60" w:afterLines="60" w:line="240" w:lineRule="auto"/>
        <w:jc w:val="both"/>
        <w:rPr>
          <w:rFonts w:ascii="Verdana" w:hAnsi="Verdana"/>
          <w:sz w:val="20"/>
          <w:szCs w:val="20"/>
        </w:rPr>
      </w:pPr>
      <w:r w:rsidRPr="00742F1C">
        <w:rPr>
          <w:rFonts w:ascii="Verdana" w:hAnsi="Verdana"/>
          <w:sz w:val="20"/>
          <w:szCs w:val="20"/>
        </w:rPr>
        <w:t xml:space="preserve">Los </w:t>
      </w:r>
      <w:r w:rsidR="00C63286" w:rsidRPr="00742F1C">
        <w:rPr>
          <w:rFonts w:ascii="Verdana" w:hAnsi="Verdana"/>
          <w:b/>
          <w:i/>
          <w:sz w:val="20"/>
          <w:szCs w:val="20"/>
        </w:rPr>
        <w:t>intervinientes comunes</w:t>
      </w:r>
      <w:r w:rsidR="00C63286" w:rsidRPr="00742F1C">
        <w:rPr>
          <w:rFonts w:ascii="Verdana" w:hAnsi="Verdana"/>
          <w:sz w:val="20"/>
          <w:szCs w:val="20"/>
        </w:rPr>
        <w:t xml:space="preserve"> </w:t>
      </w:r>
      <w:r w:rsidRPr="00742F1C">
        <w:rPr>
          <w:rFonts w:ascii="Verdana" w:hAnsi="Verdana"/>
          <w:b/>
          <w:i/>
          <w:sz w:val="20"/>
          <w:szCs w:val="20"/>
        </w:rPr>
        <w:t>Defensores Interamericanos</w:t>
      </w:r>
      <w:r w:rsidRPr="00742F1C">
        <w:rPr>
          <w:rFonts w:ascii="Verdana" w:hAnsi="Verdana"/>
          <w:sz w:val="20"/>
          <w:szCs w:val="20"/>
        </w:rPr>
        <w:t xml:space="preserve"> se opusieron a la pretensión del Estado para que se fije una audiencia especial sobre excepciones preliminares. Consideraron que el Estado no fundamentó su solicitud con el rigor técnico requerido, y ha aducido violaciones al debido proceso que nunca existieron, ya que en este caso la Comisión cumplió con su función y fue acorde a sus competencias. En específico, señalaron que el Estado objetó la acumulación que realizó la Comisión, siendo que esta es un facultad dentro de sus competencias y reconocida por su normativa. Asimismo, el Estado se refirió a la supuesta re-apertura de causas ya resueltas por la Corte, lo </w:t>
      </w:r>
      <w:r w:rsidR="003F6521" w:rsidRPr="00742F1C">
        <w:rPr>
          <w:rFonts w:ascii="Verdana" w:hAnsi="Verdana"/>
          <w:sz w:val="20"/>
          <w:szCs w:val="20"/>
        </w:rPr>
        <w:t>cual</w:t>
      </w:r>
      <w:r w:rsidRPr="00742F1C">
        <w:rPr>
          <w:rFonts w:ascii="Verdana" w:hAnsi="Verdana"/>
          <w:sz w:val="20"/>
          <w:szCs w:val="20"/>
        </w:rPr>
        <w:t xml:space="preserve"> no sería cierto y sería un tema que corresponde al fondo del proceso. </w:t>
      </w:r>
      <w:r w:rsidR="003F6521" w:rsidRPr="00742F1C">
        <w:rPr>
          <w:rFonts w:ascii="Verdana" w:hAnsi="Verdana"/>
          <w:sz w:val="20"/>
          <w:szCs w:val="20"/>
        </w:rPr>
        <w:t xml:space="preserve">Según </w:t>
      </w:r>
      <w:r w:rsidR="00F84E0C">
        <w:rPr>
          <w:rFonts w:ascii="Verdana" w:hAnsi="Verdana"/>
          <w:sz w:val="20"/>
          <w:szCs w:val="20"/>
        </w:rPr>
        <w:t>alegaron</w:t>
      </w:r>
      <w:r w:rsidRPr="00742F1C">
        <w:rPr>
          <w:rFonts w:ascii="Verdana" w:hAnsi="Verdana"/>
          <w:sz w:val="20"/>
          <w:szCs w:val="20"/>
        </w:rPr>
        <w:t xml:space="preserve">, el Estado se habría limitado a reiterar </w:t>
      </w:r>
      <w:r w:rsidR="003F6521" w:rsidRPr="00742F1C">
        <w:rPr>
          <w:rFonts w:ascii="Verdana" w:hAnsi="Verdana"/>
          <w:sz w:val="20"/>
          <w:szCs w:val="20"/>
        </w:rPr>
        <w:t>sus</w:t>
      </w:r>
      <w:r w:rsidRPr="00742F1C">
        <w:rPr>
          <w:rFonts w:ascii="Verdana" w:hAnsi="Verdana"/>
          <w:sz w:val="20"/>
          <w:szCs w:val="20"/>
        </w:rPr>
        <w:t xml:space="preserve"> argumentos de fondo y combinarlos de manera imprecisa y genérica con las excepciones preliminares ya planteadas, quedando en evidencia la falta de argumentos jurídicos que determinen la indispensable necesidad de una audiencia especial, siendo </w:t>
      </w:r>
      <w:r w:rsidR="003F6521" w:rsidRPr="00742F1C">
        <w:rPr>
          <w:rFonts w:ascii="Verdana" w:hAnsi="Verdana"/>
          <w:sz w:val="20"/>
          <w:szCs w:val="20"/>
        </w:rPr>
        <w:t xml:space="preserve">esta </w:t>
      </w:r>
      <w:r w:rsidRPr="00742F1C">
        <w:rPr>
          <w:rFonts w:ascii="Verdana" w:hAnsi="Verdana"/>
          <w:sz w:val="20"/>
          <w:szCs w:val="20"/>
        </w:rPr>
        <w:t xml:space="preserve">una estrategia dilatoria </w:t>
      </w:r>
      <w:r w:rsidR="00A20227">
        <w:rPr>
          <w:rFonts w:ascii="Verdana" w:hAnsi="Verdana"/>
          <w:sz w:val="20"/>
          <w:szCs w:val="20"/>
        </w:rPr>
        <w:t>que atenta</w:t>
      </w:r>
      <w:r w:rsidR="00A20227" w:rsidRPr="00742F1C">
        <w:rPr>
          <w:rFonts w:ascii="Verdana" w:hAnsi="Verdana"/>
          <w:sz w:val="20"/>
          <w:szCs w:val="20"/>
        </w:rPr>
        <w:t xml:space="preserve"> </w:t>
      </w:r>
      <w:r w:rsidRPr="00742F1C">
        <w:rPr>
          <w:rFonts w:ascii="Verdana" w:hAnsi="Verdana"/>
          <w:sz w:val="20"/>
          <w:szCs w:val="20"/>
        </w:rPr>
        <w:t>contra la pronta y efectiva resolución del caso y la protección de los derechos violentados de las víctimas.</w:t>
      </w:r>
    </w:p>
    <w:p w:rsidR="00911CBC" w:rsidRPr="00742F1C" w:rsidRDefault="00911CBC" w:rsidP="009A0ED4">
      <w:pPr>
        <w:spacing w:beforeLines="60" w:afterLines="60" w:line="240" w:lineRule="auto"/>
        <w:jc w:val="both"/>
        <w:rPr>
          <w:rFonts w:ascii="Verdana" w:hAnsi="Verdana"/>
          <w:sz w:val="20"/>
          <w:szCs w:val="20"/>
        </w:rPr>
      </w:pPr>
    </w:p>
    <w:p w:rsidR="00911CBC" w:rsidRPr="00742F1C" w:rsidRDefault="00911CBC" w:rsidP="009A0ED4">
      <w:pPr>
        <w:numPr>
          <w:ilvl w:val="0"/>
          <w:numId w:val="3"/>
        </w:numPr>
        <w:spacing w:beforeLines="60" w:afterLines="60" w:line="240" w:lineRule="auto"/>
        <w:jc w:val="both"/>
        <w:rPr>
          <w:rFonts w:ascii="Verdana" w:hAnsi="Verdana"/>
          <w:sz w:val="20"/>
          <w:szCs w:val="20"/>
        </w:rPr>
      </w:pPr>
      <w:r w:rsidRPr="00742F1C">
        <w:rPr>
          <w:rFonts w:ascii="Verdana" w:hAnsi="Verdana"/>
          <w:sz w:val="20"/>
          <w:szCs w:val="20"/>
        </w:rPr>
        <w:lastRenderedPageBreak/>
        <w:t xml:space="preserve">Los </w:t>
      </w:r>
      <w:r w:rsidR="00C63286" w:rsidRPr="00742F1C">
        <w:rPr>
          <w:rFonts w:ascii="Verdana" w:hAnsi="Verdana"/>
          <w:b/>
          <w:i/>
          <w:sz w:val="20"/>
          <w:szCs w:val="20"/>
        </w:rPr>
        <w:t xml:space="preserve">intervinientes comunes </w:t>
      </w:r>
      <w:r w:rsidRPr="00742F1C">
        <w:rPr>
          <w:rFonts w:ascii="Verdana" w:hAnsi="Verdana"/>
          <w:b/>
          <w:i/>
          <w:sz w:val="20"/>
          <w:szCs w:val="20"/>
        </w:rPr>
        <w:t>Servicios Interamericanos de Profesionales en Derechos Humanos</w:t>
      </w:r>
      <w:r w:rsidRPr="00742F1C">
        <w:rPr>
          <w:rFonts w:ascii="Verdana" w:hAnsi="Verdana"/>
          <w:sz w:val="20"/>
          <w:szCs w:val="20"/>
        </w:rPr>
        <w:t xml:space="preserve"> consideraron que el Estado no presentó argumentos que justificaran su solicitud y que las excepciones preliminares planteadas serían variaciones del debate </w:t>
      </w:r>
      <w:r w:rsidR="002911D8" w:rsidRPr="00742F1C">
        <w:rPr>
          <w:rFonts w:ascii="Verdana" w:hAnsi="Verdana"/>
          <w:sz w:val="20"/>
          <w:szCs w:val="20"/>
        </w:rPr>
        <w:t>sobre</w:t>
      </w:r>
      <w:r w:rsidRPr="00742F1C">
        <w:rPr>
          <w:rFonts w:ascii="Verdana" w:hAnsi="Verdana"/>
          <w:sz w:val="20"/>
          <w:szCs w:val="20"/>
        </w:rPr>
        <w:t xml:space="preserve"> fondo del caso. Advirtieron que en ningún momento el Estado mencionó por qué cada una de las excepciones preliminares planteadas sería una excepción de previo y especial pronunciamiento sin entrar a analizar el fondo. Así pues, solamente habría hecho afirmaciones genéricas y valoraciones de carácter político para tratar de justificar la realización de una audiencia separada.</w:t>
      </w:r>
      <w:r w:rsidR="002911D8" w:rsidRPr="00742F1C">
        <w:rPr>
          <w:rFonts w:ascii="Verdana" w:hAnsi="Verdana"/>
          <w:sz w:val="20"/>
          <w:szCs w:val="20"/>
        </w:rPr>
        <w:t xml:space="preserve"> </w:t>
      </w:r>
      <w:r w:rsidRPr="00742F1C">
        <w:rPr>
          <w:rFonts w:ascii="Verdana" w:hAnsi="Verdana"/>
          <w:sz w:val="20"/>
          <w:szCs w:val="20"/>
        </w:rPr>
        <w:t xml:space="preserve">Señalaron que nada parece aconsejar que se adelante una audiencia para debatir un asunto instrumental o procesal que bien puede ser discutido en el mismo marco de la audiencia de excepciones </w:t>
      </w:r>
      <w:r w:rsidR="00F13B51" w:rsidRPr="00742F1C">
        <w:rPr>
          <w:rFonts w:ascii="Verdana" w:hAnsi="Verdana"/>
          <w:sz w:val="20"/>
          <w:szCs w:val="20"/>
        </w:rPr>
        <w:t xml:space="preserve">y eventuales </w:t>
      </w:r>
      <w:r w:rsidRPr="00742F1C">
        <w:rPr>
          <w:rFonts w:ascii="Verdana" w:hAnsi="Verdana"/>
          <w:sz w:val="20"/>
          <w:szCs w:val="20"/>
        </w:rPr>
        <w:t>fondo</w:t>
      </w:r>
      <w:r w:rsidR="00F13B51">
        <w:rPr>
          <w:rFonts w:ascii="Verdana" w:hAnsi="Verdana"/>
          <w:sz w:val="20"/>
          <w:szCs w:val="20"/>
        </w:rPr>
        <w:t xml:space="preserve"> y</w:t>
      </w:r>
      <w:r w:rsidRPr="00742F1C">
        <w:rPr>
          <w:rFonts w:ascii="Verdana" w:hAnsi="Verdana"/>
          <w:sz w:val="20"/>
          <w:szCs w:val="20"/>
        </w:rPr>
        <w:t xml:space="preserve"> reparaciones, sin producir el gasto de recursos y la dilatación de la suerte jurídica de las presuntas víctimas. Indicaron también que el </w:t>
      </w:r>
      <w:r w:rsidRPr="00851FD1">
        <w:rPr>
          <w:rFonts w:ascii="Verdana" w:hAnsi="Verdana"/>
          <w:i/>
          <w:sz w:val="20"/>
          <w:szCs w:val="20"/>
        </w:rPr>
        <w:t>Caso</w:t>
      </w:r>
      <w:r w:rsidRPr="00742F1C">
        <w:rPr>
          <w:rFonts w:ascii="Verdana" w:hAnsi="Verdana"/>
          <w:sz w:val="20"/>
          <w:szCs w:val="20"/>
        </w:rPr>
        <w:t xml:space="preserve"> </w:t>
      </w:r>
      <w:r w:rsidRPr="00742F1C">
        <w:rPr>
          <w:rFonts w:ascii="Verdana" w:hAnsi="Verdana"/>
          <w:i/>
          <w:sz w:val="20"/>
          <w:szCs w:val="20"/>
        </w:rPr>
        <w:t>Herrera Ulloa</w:t>
      </w:r>
      <w:r w:rsidRPr="00742F1C">
        <w:rPr>
          <w:rFonts w:ascii="Verdana" w:hAnsi="Verdana"/>
          <w:sz w:val="20"/>
          <w:szCs w:val="20"/>
        </w:rPr>
        <w:t xml:space="preserve"> no resolvió la falta de recurso integral para los peticionarios que no se favorecieron con las reformas legales posteriores que permitieron recursos de apelación, ni se les dio plazo para gozar de ese recurso y</w:t>
      </w:r>
      <w:r w:rsidR="00F84E0C">
        <w:rPr>
          <w:rFonts w:ascii="Verdana" w:hAnsi="Verdana"/>
          <w:sz w:val="20"/>
          <w:szCs w:val="20"/>
        </w:rPr>
        <w:t>,</w:t>
      </w:r>
      <w:r w:rsidRPr="00742F1C">
        <w:rPr>
          <w:rFonts w:ascii="Verdana" w:hAnsi="Verdana"/>
          <w:sz w:val="20"/>
          <w:szCs w:val="20"/>
        </w:rPr>
        <w:t xml:space="preserve"> en todo caso, ese debate también sería exclusivo del fondo del asunto. Además, habría otros hechos y otras violaciones de derechos que no fueron analizadas ni resueltas en el Caso </w:t>
      </w:r>
      <w:r w:rsidRPr="00742F1C">
        <w:rPr>
          <w:rFonts w:ascii="Verdana" w:hAnsi="Verdana"/>
          <w:i/>
          <w:sz w:val="20"/>
          <w:szCs w:val="20"/>
        </w:rPr>
        <w:t>Herrera Ulloa</w:t>
      </w:r>
      <w:r w:rsidRPr="00742F1C">
        <w:rPr>
          <w:rFonts w:ascii="Verdana" w:hAnsi="Verdana"/>
          <w:sz w:val="20"/>
          <w:szCs w:val="20"/>
        </w:rPr>
        <w:t>. Finalmente, alegaron que la discusión sobre los alegados “errores graves” cometidos presuntamente por la Comisión tendría sentido sólo para discutir en forma adelantada algunas pero no todas las excepciones preliminares.</w:t>
      </w:r>
    </w:p>
    <w:p w:rsidR="006C49C5" w:rsidRDefault="006C49C5" w:rsidP="009A0ED4">
      <w:pPr>
        <w:spacing w:beforeLines="60" w:afterLines="60" w:line="240" w:lineRule="auto"/>
        <w:jc w:val="both"/>
        <w:rPr>
          <w:rFonts w:ascii="Verdana" w:hAnsi="Verdana" w:cs="Verdana"/>
          <w:color w:val="FF0000"/>
          <w:sz w:val="20"/>
          <w:szCs w:val="20"/>
          <w:lang w:val="es-ES_tradnl"/>
        </w:rPr>
      </w:pPr>
    </w:p>
    <w:p w:rsidR="007F47C8" w:rsidRPr="007F47C8" w:rsidRDefault="007F47C8" w:rsidP="009A0ED4">
      <w:pPr>
        <w:spacing w:beforeLines="60" w:afterLines="60" w:line="240" w:lineRule="auto"/>
        <w:jc w:val="both"/>
        <w:rPr>
          <w:rFonts w:ascii="Verdana" w:hAnsi="Verdana"/>
          <w:b/>
          <w:i/>
          <w:sz w:val="20"/>
          <w:szCs w:val="20"/>
        </w:rPr>
      </w:pPr>
      <w:r w:rsidRPr="007F47C8">
        <w:rPr>
          <w:rFonts w:ascii="Verdana" w:hAnsi="Verdana"/>
          <w:b/>
          <w:i/>
          <w:sz w:val="20"/>
          <w:szCs w:val="20"/>
        </w:rPr>
        <w:t xml:space="preserve">A.2. Consideraciones </w:t>
      </w:r>
      <w:r w:rsidRPr="00620903">
        <w:rPr>
          <w:rFonts w:ascii="Verdana" w:hAnsi="Verdana"/>
          <w:b/>
          <w:i/>
          <w:sz w:val="20"/>
          <w:szCs w:val="20"/>
        </w:rPr>
        <w:t>de</w:t>
      </w:r>
      <w:r w:rsidR="00620903" w:rsidRPr="00080E7E">
        <w:rPr>
          <w:rFonts w:ascii="Verdana" w:hAnsi="Verdana"/>
          <w:b/>
          <w:i/>
          <w:sz w:val="20"/>
          <w:szCs w:val="20"/>
        </w:rPr>
        <w:t>l</w:t>
      </w:r>
      <w:r w:rsidR="00AD40CA" w:rsidRPr="00620903">
        <w:rPr>
          <w:rFonts w:ascii="Verdana" w:hAnsi="Verdana"/>
          <w:b/>
          <w:i/>
          <w:sz w:val="20"/>
          <w:szCs w:val="20"/>
        </w:rPr>
        <w:t xml:space="preserve"> Presidente</w:t>
      </w:r>
    </w:p>
    <w:p w:rsidR="007F47C8" w:rsidRPr="007F47C8" w:rsidRDefault="007F47C8" w:rsidP="009A0ED4">
      <w:pPr>
        <w:spacing w:beforeLines="60" w:afterLines="60" w:line="240" w:lineRule="auto"/>
        <w:jc w:val="both"/>
        <w:rPr>
          <w:rFonts w:ascii="Verdana" w:hAnsi="Verdana" w:cs="Verdana"/>
          <w:b/>
          <w:color w:val="FF0000"/>
          <w:sz w:val="20"/>
          <w:szCs w:val="20"/>
        </w:rPr>
      </w:pPr>
    </w:p>
    <w:p w:rsidR="007F47C8" w:rsidRDefault="007F47C8" w:rsidP="009A0ED4">
      <w:pPr>
        <w:numPr>
          <w:ilvl w:val="0"/>
          <w:numId w:val="3"/>
        </w:numPr>
        <w:spacing w:beforeLines="60" w:afterLines="60" w:line="240" w:lineRule="auto"/>
        <w:jc w:val="both"/>
        <w:rPr>
          <w:rFonts w:ascii="Verdana" w:hAnsi="Verdana" w:cs="Times"/>
          <w:sz w:val="20"/>
          <w:szCs w:val="20"/>
          <w:lang w:eastAsia="es-ES"/>
        </w:rPr>
      </w:pPr>
      <w:r w:rsidRPr="007F47C8">
        <w:rPr>
          <w:rFonts w:ascii="Verdana" w:hAnsi="Verdana"/>
          <w:sz w:val="20"/>
          <w:szCs w:val="20"/>
          <w:lang w:val="es-CR"/>
        </w:rPr>
        <w:t>El</w:t>
      </w:r>
      <w:r w:rsidRPr="00742F1C">
        <w:rPr>
          <w:rFonts w:ascii="Verdana" w:hAnsi="Verdana" w:cs="Times"/>
          <w:sz w:val="20"/>
          <w:szCs w:val="20"/>
          <w:lang w:eastAsia="es-ES"/>
        </w:rPr>
        <w:t xml:space="preserve"> artículo 42.5 del Reglamento de la Corte establece que</w:t>
      </w:r>
      <w:r w:rsidR="00A52D96">
        <w:rPr>
          <w:rFonts w:ascii="Verdana" w:hAnsi="Verdana" w:cs="Times"/>
          <w:sz w:val="20"/>
          <w:szCs w:val="20"/>
          <w:lang w:eastAsia="es-ES"/>
        </w:rPr>
        <w:t>,</w:t>
      </w:r>
      <w:r w:rsidRPr="00742F1C">
        <w:rPr>
          <w:rFonts w:ascii="Verdana" w:hAnsi="Verdana" w:cs="Times"/>
          <w:sz w:val="20"/>
          <w:szCs w:val="20"/>
          <w:lang w:eastAsia="es-ES"/>
        </w:rPr>
        <w:t xml:space="preserve"> “[c]uando lo considere indispensable, la Corte podrá fijar una audiencia especial para las excepciones preliminares, después de la cual decidirá sobre las mismas”.</w:t>
      </w:r>
      <w:r w:rsidR="00AD40CA">
        <w:rPr>
          <w:rFonts w:ascii="Verdana" w:hAnsi="Verdana" w:cs="Times"/>
          <w:sz w:val="20"/>
          <w:szCs w:val="20"/>
          <w:lang w:eastAsia="es-ES"/>
        </w:rPr>
        <w:t xml:space="preserve"> </w:t>
      </w:r>
    </w:p>
    <w:p w:rsidR="007F47C8" w:rsidRPr="00742F1C" w:rsidRDefault="007F47C8" w:rsidP="009A0ED4">
      <w:pPr>
        <w:spacing w:beforeLines="60" w:afterLines="60" w:line="240" w:lineRule="auto"/>
        <w:jc w:val="both"/>
        <w:rPr>
          <w:rFonts w:ascii="Verdana" w:hAnsi="Verdana" w:cs="Verdana"/>
          <w:color w:val="FF0000"/>
          <w:sz w:val="20"/>
          <w:szCs w:val="20"/>
          <w:lang w:val="es-ES_tradnl"/>
        </w:rPr>
      </w:pPr>
    </w:p>
    <w:p w:rsidR="004767E1" w:rsidRPr="00742F1C" w:rsidRDefault="004767E1" w:rsidP="009A0ED4">
      <w:pPr>
        <w:numPr>
          <w:ilvl w:val="0"/>
          <w:numId w:val="3"/>
        </w:numPr>
        <w:spacing w:beforeLines="60" w:afterLines="60" w:line="240" w:lineRule="auto"/>
        <w:jc w:val="both"/>
        <w:rPr>
          <w:rFonts w:ascii="Verdana" w:hAnsi="Verdana" w:cs="Verdana"/>
          <w:color w:val="FF0000"/>
          <w:sz w:val="20"/>
          <w:szCs w:val="20"/>
        </w:rPr>
      </w:pPr>
      <w:r w:rsidRPr="00742F1C">
        <w:rPr>
          <w:rFonts w:ascii="Verdana" w:hAnsi="Verdana"/>
          <w:sz w:val="20"/>
          <w:szCs w:val="20"/>
          <w:lang w:val="es-CR"/>
        </w:rPr>
        <w:t>E</w:t>
      </w:r>
      <w:r w:rsidR="002C2DCA" w:rsidRPr="00742F1C">
        <w:rPr>
          <w:rFonts w:ascii="Verdana" w:hAnsi="Verdana"/>
          <w:sz w:val="20"/>
          <w:szCs w:val="20"/>
          <w:lang w:val="es-CR"/>
        </w:rPr>
        <w:t>n función del principio de economía procesal</w:t>
      </w:r>
      <w:r w:rsidRPr="00742F1C">
        <w:rPr>
          <w:rFonts w:ascii="Verdana" w:hAnsi="Verdana"/>
          <w:sz w:val="20"/>
          <w:szCs w:val="20"/>
          <w:lang w:val="es-CR"/>
        </w:rPr>
        <w:t>,</w:t>
      </w:r>
      <w:r w:rsidR="002C2DCA" w:rsidRPr="00742F1C">
        <w:rPr>
          <w:rFonts w:ascii="Verdana" w:hAnsi="Verdana"/>
          <w:sz w:val="20"/>
          <w:szCs w:val="20"/>
          <w:lang w:val="es-CR"/>
        </w:rPr>
        <w:t xml:space="preserve"> el Tribunal acostumbra celebrar una sola audiencia sobre excepciones preliminares y eventuales etapas de fondo, reparaciones y costas, salvo en casos sumamente excepcionales, cuando lo considere indispensable, tal como lo indica el Reglamento de la Corte</w:t>
      </w:r>
      <w:r w:rsidR="00B44167" w:rsidRPr="00742F1C">
        <w:rPr>
          <w:rStyle w:val="FootnoteReference"/>
          <w:sz w:val="20"/>
          <w:szCs w:val="20"/>
          <w:lang w:val="es-CR"/>
        </w:rPr>
        <w:footnoteReference w:id="4"/>
      </w:r>
      <w:r w:rsidR="002C2DCA" w:rsidRPr="00742F1C">
        <w:rPr>
          <w:rFonts w:ascii="Verdana" w:hAnsi="Verdana"/>
          <w:sz w:val="20"/>
          <w:szCs w:val="20"/>
          <w:lang w:val="es-CR"/>
        </w:rPr>
        <w:t>.</w:t>
      </w:r>
      <w:r w:rsidR="00540FBC" w:rsidRPr="00742F1C">
        <w:rPr>
          <w:rFonts w:ascii="Verdana" w:hAnsi="Verdana"/>
          <w:sz w:val="20"/>
          <w:szCs w:val="20"/>
          <w:lang w:val="es-CR"/>
        </w:rPr>
        <w:t xml:space="preserve"> En este sentido, a pesar de que </w:t>
      </w:r>
      <w:r w:rsidR="00540FBC" w:rsidRPr="00742F1C">
        <w:rPr>
          <w:rFonts w:ascii="Verdana" w:hAnsi="Verdana"/>
          <w:sz w:val="20"/>
          <w:szCs w:val="20"/>
          <w:lang w:val="es-ES"/>
        </w:rPr>
        <w:t xml:space="preserve">la práctica del Tribunal en los últimos años ha consistido en recibir en una única instancia procesal oral las declaraciones aportadas por las partes, así </w:t>
      </w:r>
      <w:r w:rsidR="00DD40DE" w:rsidRPr="00742F1C">
        <w:rPr>
          <w:rFonts w:ascii="Verdana" w:hAnsi="Verdana"/>
          <w:sz w:val="20"/>
          <w:szCs w:val="20"/>
          <w:lang w:val="es-ES"/>
        </w:rPr>
        <w:t xml:space="preserve">como </w:t>
      </w:r>
      <w:r w:rsidR="00540FBC" w:rsidRPr="00742F1C">
        <w:rPr>
          <w:rFonts w:ascii="Verdana" w:hAnsi="Verdana"/>
          <w:sz w:val="20"/>
          <w:szCs w:val="20"/>
          <w:lang w:val="es-ES"/>
        </w:rPr>
        <w:t>también sus alegatos sobre las excepciones preliminares y sobre los eventuales fondo, reparaciones y costas, la Corte</w:t>
      </w:r>
      <w:r w:rsidR="004559C7">
        <w:rPr>
          <w:rFonts w:ascii="Verdana" w:hAnsi="Verdana"/>
          <w:sz w:val="20"/>
          <w:szCs w:val="20"/>
          <w:lang w:val="es-ES"/>
        </w:rPr>
        <w:t xml:space="preserve"> o</w:t>
      </w:r>
      <w:r w:rsidR="006C753F">
        <w:rPr>
          <w:rFonts w:ascii="Verdana" w:hAnsi="Verdana"/>
          <w:sz w:val="20"/>
          <w:szCs w:val="20"/>
          <w:lang w:val="es-ES"/>
        </w:rPr>
        <w:t xml:space="preserve"> su</w:t>
      </w:r>
      <w:r w:rsidR="004559C7">
        <w:rPr>
          <w:rFonts w:ascii="Verdana" w:hAnsi="Verdana"/>
          <w:sz w:val="20"/>
          <w:szCs w:val="20"/>
          <w:lang w:val="es-ES"/>
        </w:rPr>
        <w:t xml:space="preserve"> Presidencia</w:t>
      </w:r>
      <w:r w:rsidR="00540FBC" w:rsidRPr="00742F1C">
        <w:rPr>
          <w:rFonts w:ascii="Verdana" w:hAnsi="Verdana"/>
          <w:sz w:val="20"/>
          <w:szCs w:val="20"/>
          <w:lang w:val="es-ES"/>
        </w:rPr>
        <w:t xml:space="preserve"> tiene la potestad de convocar a una audiencia separada sobre las excepciones preliminares si lo considera </w:t>
      </w:r>
      <w:r w:rsidR="00117DF1" w:rsidRPr="00117DF1">
        <w:rPr>
          <w:rFonts w:ascii="Verdana" w:hAnsi="Verdana"/>
          <w:sz w:val="20"/>
          <w:szCs w:val="20"/>
          <w:lang w:val="es-ES"/>
        </w:rPr>
        <w:t>indispensable</w:t>
      </w:r>
      <w:r w:rsidR="00BC38E3" w:rsidRPr="00742F1C">
        <w:rPr>
          <w:rFonts w:ascii="Verdana" w:hAnsi="Verdana"/>
          <w:sz w:val="20"/>
          <w:szCs w:val="20"/>
          <w:lang w:val="es-ES"/>
        </w:rPr>
        <w:t>,</w:t>
      </w:r>
      <w:r w:rsidR="00112C75" w:rsidRPr="00742F1C">
        <w:rPr>
          <w:rFonts w:ascii="Verdana" w:hAnsi="Verdana"/>
          <w:sz w:val="20"/>
          <w:szCs w:val="20"/>
          <w:lang w:val="es-ES"/>
        </w:rPr>
        <w:t xml:space="preserve"> en virtud del referido artículo 42.5. </w:t>
      </w:r>
    </w:p>
    <w:p w:rsidR="004767E1" w:rsidRPr="00742F1C" w:rsidRDefault="004767E1" w:rsidP="009A0ED4">
      <w:pPr>
        <w:pStyle w:val="ListParagraph"/>
        <w:numPr>
          <w:ilvl w:val="0"/>
          <w:numId w:val="0"/>
        </w:numPr>
        <w:spacing w:beforeLines="60" w:afterLines="60"/>
        <w:rPr>
          <w:lang w:val="es-ES"/>
        </w:rPr>
      </w:pPr>
    </w:p>
    <w:p w:rsidR="00860013" w:rsidRPr="00742F1C" w:rsidRDefault="00AD40CA" w:rsidP="009A0ED4">
      <w:pPr>
        <w:numPr>
          <w:ilvl w:val="0"/>
          <w:numId w:val="3"/>
        </w:numPr>
        <w:spacing w:beforeLines="60" w:afterLines="60" w:line="240" w:lineRule="auto"/>
        <w:jc w:val="both"/>
        <w:rPr>
          <w:rFonts w:ascii="Verdana" w:hAnsi="Verdana" w:cs="Verdana"/>
          <w:sz w:val="20"/>
          <w:szCs w:val="20"/>
        </w:rPr>
      </w:pPr>
      <w:r>
        <w:rPr>
          <w:rFonts w:ascii="Verdana" w:hAnsi="Verdana"/>
          <w:sz w:val="20"/>
          <w:szCs w:val="20"/>
          <w:lang w:val="es-ES"/>
        </w:rPr>
        <w:t>El Presidente</w:t>
      </w:r>
      <w:r w:rsidR="002210BD" w:rsidRPr="00742F1C">
        <w:rPr>
          <w:rFonts w:ascii="Verdana" w:hAnsi="Verdana"/>
          <w:sz w:val="20"/>
          <w:szCs w:val="20"/>
          <w:lang w:val="es-ES"/>
        </w:rPr>
        <w:t xml:space="preserve"> nota que el presente caso versa sobre 8 peticiones acumuladas por la Comisión</w:t>
      </w:r>
      <w:r w:rsidR="004F671A">
        <w:rPr>
          <w:rFonts w:ascii="Verdana" w:hAnsi="Verdana"/>
          <w:sz w:val="20"/>
          <w:szCs w:val="20"/>
          <w:lang w:val="es-ES"/>
        </w:rPr>
        <w:t>, las cuales presentarían diferencias importantes</w:t>
      </w:r>
      <w:r w:rsidR="002210BD" w:rsidRPr="00742F1C">
        <w:rPr>
          <w:rFonts w:ascii="Verdana" w:hAnsi="Verdana"/>
          <w:sz w:val="20"/>
          <w:szCs w:val="20"/>
          <w:lang w:val="es-ES"/>
        </w:rPr>
        <w:t xml:space="preserve"> y </w:t>
      </w:r>
      <w:r w:rsidR="004F671A">
        <w:rPr>
          <w:rFonts w:ascii="Verdana" w:hAnsi="Verdana"/>
          <w:sz w:val="20"/>
          <w:szCs w:val="20"/>
          <w:lang w:val="es-ES"/>
        </w:rPr>
        <w:t>cuya</w:t>
      </w:r>
      <w:r w:rsidR="002210BD" w:rsidRPr="00742F1C">
        <w:rPr>
          <w:rFonts w:ascii="Verdana" w:hAnsi="Verdana"/>
          <w:sz w:val="20"/>
          <w:szCs w:val="20"/>
          <w:lang w:val="es-ES"/>
        </w:rPr>
        <w:t xml:space="preserve"> resolución podría afectar la situación de muchas otras peticiones que, según informó el Estado, se encontrarían en trámite ante el </w:t>
      </w:r>
      <w:r w:rsidR="00F518CC">
        <w:rPr>
          <w:rFonts w:ascii="Verdana" w:hAnsi="Verdana"/>
          <w:sz w:val="20"/>
          <w:szCs w:val="20"/>
          <w:lang w:val="es-ES"/>
        </w:rPr>
        <w:t>S</w:t>
      </w:r>
      <w:r w:rsidR="002210BD" w:rsidRPr="00742F1C">
        <w:rPr>
          <w:rFonts w:ascii="Verdana" w:hAnsi="Verdana"/>
          <w:sz w:val="20"/>
          <w:szCs w:val="20"/>
          <w:lang w:val="es-ES"/>
        </w:rPr>
        <w:t xml:space="preserve">istema </w:t>
      </w:r>
      <w:r w:rsidR="00F518CC">
        <w:rPr>
          <w:rFonts w:ascii="Verdana" w:hAnsi="Verdana"/>
          <w:sz w:val="20"/>
          <w:szCs w:val="20"/>
          <w:lang w:val="es-ES"/>
        </w:rPr>
        <w:t>I</w:t>
      </w:r>
      <w:r w:rsidR="002210BD" w:rsidRPr="00742F1C">
        <w:rPr>
          <w:rFonts w:ascii="Verdana" w:hAnsi="Verdana"/>
          <w:sz w:val="20"/>
          <w:szCs w:val="20"/>
          <w:lang w:val="es-ES"/>
        </w:rPr>
        <w:t xml:space="preserve">nteramericano. Esto no fue </w:t>
      </w:r>
      <w:r w:rsidR="00B50CDC">
        <w:rPr>
          <w:rFonts w:ascii="Verdana" w:hAnsi="Verdana"/>
          <w:sz w:val="20"/>
          <w:szCs w:val="20"/>
          <w:lang w:val="es-ES"/>
        </w:rPr>
        <w:t>negado</w:t>
      </w:r>
      <w:r w:rsidR="00B50CDC" w:rsidRPr="00742F1C">
        <w:rPr>
          <w:rFonts w:ascii="Verdana" w:hAnsi="Verdana"/>
          <w:sz w:val="20"/>
          <w:szCs w:val="20"/>
          <w:lang w:val="es-ES"/>
        </w:rPr>
        <w:t xml:space="preserve"> </w:t>
      </w:r>
      <w:r w:rsidR="002210BD" w:rsidRPr="00742F1C">
        <w:rPr>
          <w:rFonts w:ascii="Verdana" w:hAnsi="Verdana"/>
          <w:sz w:val="20"/>
          <w:szCs w:val="20"/>
          <w:lang w:val="es-ES"/>
        </w:rPr>
        <w:t xml:space="preserve">por la Comisión. </w:t>
      </w:r>
      <w:r w:rsidR="00C7735E">
        <w:rPr>
          <w:rFonts w:ascii="Verdana" w:hAnsi="Verdana"/>
          <w:sz w:val="20"/>
          <w:szCs w:val="20"/>
          <w:lang w:val="es-ES"/>
        </w:rPr>
        <w:t xml:space="preserve">Al respecto, en vista del impacto que podrían tener las excepciones preliminares interpuestas por </w:t>
      </w:r>
      <w:r w:rsidR="00A57D06">
        <w:rPr>
          <w:rFonts w:ascii="Verdana" w:hAnsi="Verdana"/>
          <w:sz w:val="20"/>
          <w:szCs w:val="20"/>
          <w:lang w:val="es-ES"/>
        </w:rPr>
        <w:t>Costa Rica</w:t>
      </w:r>
      <w:r w:rsidR="00C7735E">
        <w:rPr>
          <w:rFonts w:ascii="Verdana" w:hAnsi="Verdana"/>
          <w:sz w:val="20"/>
          <w:szCs w:val="20"/>
          <w:lang w:val="es-ES"/>
        </w:rPr>
        <w:t xml:space="preserve">, particularmente en relación con la supuesta falta de equilibrio procesal entre las partes, el Presidente considera necesaria una discusión amplia </w:t>
      </w:r>
      <w:r w:rsidR="00660BB0">
        <w:rPr>
          <w:rFonts w:ascii="Verdana" w:hAnsi="Verdana"/>
          <w:sz w:val="20"/>
          <w:szCs w:val="20"/>
          <w:lang w:val="es-ES"/>
        </w:rPr>
        <w:t xml:space="preserve">y con el tiempo suficiente para evaluar estos </w:t>
      </w:r>
      <w:r w:rsidR="00C7735E">
        <w:rPr>
          <w:rFonts w:ascii="Verdana" w:hAnsi="Verdana"/>
          <w:sz w:val="20"/>
          <w:szCs w:val="20"/>
          <w:lang w:val="es-ES"/>
        </w:rPr>
        <w:t xml:space="preserve">puntos. </w:t>
      </w:r>
      <w:r w:rsidR="006C753F">
        <w:rPr>
          <w:rFonts w:ascii="Verdana" w:hAnsi="Verdana"/>
          <w:sz w:val="20"/>
          <w:szCs w:val="20"/>
          <w:lang w:val="es-ES"/>
        </w:rPr>
        <w:t>Así, en consulta con el Pleno del Tribunal</w:t>
      </w:r>
      <w:r w:rsidR="00112C75" w:rsidRPr="00742F1C">
        <w:rPr>
          <w:rFonts w:ascii="Verdana" w:hAnsi="Verdana"/>
          <w:sz w:val="20"/>
          <w:szCs w:val="20"/>
          <w:lang w:val="es-ES"/>
        </w:rPr>
        <w:t>,</w:t>
      </w:r>
      <w:r w:rsidR="002C5855" w:rsidRPr="00742F1C">
        <w:rPr>
          <w:rFonts w:ascii="Verdana" w:hAnsi="Verdana"/>
          <w:sz w:val="20"/>
          <w:szCs w:val="20"/>
          <w:lang w:val="es-ES"/>
        </w:rPr>
        <w:t xml:space="preserve"> en el presente caso</w:t>
      </w:r>
      <w:r w:rsidR="00BC5E1A" w:rsidRPr="00742F1C">
        <w:rPr>
          <w:rFonts w:ascii="Verdana" w:hAnsi="Verdana"/>
          <w:sz w:val="20"/>
          <w:szCs w:val="20"/>
          <w:lang w:val="es-ES"/>
        </w:rPr>
        <w:t xml:space="preserve"> </w:t>
      </w:r>
      <w:r w:rsidR="00112C75" w:rsidRPr="00742F1C">
        <w:rPr>
          <w:rFonts w:ascii="Verdana" w:hAnsi="Verdana"/>
          <w:sz w:val="20"/>
          <w:szCs w:val="20"/>
          <w:lang w:val="es-ES"/>
        </w:rPr>
        <w:t xml:space="preserve">el </w:t>
      </w:r>
      <w:r>
        <w:rPr>
          <w:rFonts w:ascii="Verdana" w:hAnsi="Verdana"/>
          <w:sz w:val="20"/>
          <w:szCs w:val="20"/>
          <w:lang w:val="es-ES"/>
        </w:rPr>
        <w:t>Presidente</w:t>
      </w:r>
      <w:r w:rsidRPr="00742F1C">
        <w:rPr>
          <w:rFonts w:ascii="Verdana" w:hAnsi="Verdana"/>
          <w:sz w:val="20"/>
          <w:szCs w:val="20"/>
          <w:lang w:val="es-ES"/>
        </w:rPr>
        <w:t xml:space="preserve"> </w:t>
      </w:r>
      <w:r w:rsidR="00112C75" w:rsidRPr="00742F1C">
        <w:rPr>
          <w:rFonts w:ascii="Verdana" w:hAnsi="Verdana"/>
          <w:sz w:val="20"/>
          <w:szCs w:val="20"/>
          <w:lang w:val="es-ES"/>
        </w:rPr>
        <w:t xml:space="preserve">estima </w:t>
      </w:r>
      <w:r w:rsidR="00117DF1">
        <w:rPr>
          <w:rFonts w:ascii="Verdana" w:hAnsi="Verdana"/>
          <w:sz w:val="20"/>
          <w:szCs w:val="20"/>
          <w:lang w:val="es-ES"/>
        </w:rPr>
        <w:t>indispensable</w:t>
      </w:r>
      <w:r w:rsidR="00117DF1" w:rsidRPr="00742F1C">
        <w:rPr>
          <w:rFonts w:ascii="Verdana" w:hAnsi="Verdana"/>
          <w:sz w:val="20"/>
          <w:szCs w:val="20"/>
          <w:lang w:val="es-ES"/>
        </w:rPr>
        <w:t xml:space="preserve"> </w:t>
      </w:r>
      <w:r w:rsidR="00112C75" w:rsidRPr="00742F1C">
        <w:rPr>
          <w:rFonts w:ascii="Verdana" w:hAnsi="Verdana"/>
          <w:sz w:val="20"/>
          <w:szCs w:val="20"/>
          <w:lang w:val="es-ES"/>
        </w:rPr>
        <w:t xml:space="preserve">convocar a las partes </w:t>
      </w:r>
      <w:r w:rsidR="00E35649" w:rsidRPr="00742F1C">
        <w:rPr>
          <w:rFonts w:ascii="Verdana" w:hAnsi="Verdana"/>
          <w:sz w:val="20"/>
          <w:szCs w:val="20"/>
          <w:lang w:val="es-ES"/>
        </w:rPr>
        <w:t xml:space="preserve">y a la Comisión </w:t>
      </w:r>
      <w:r w:rsidR="00112C75" w:rsidRPr="00742F1C">
        <w:rPr>
          <w:rFonts w:ascii="Verdana" w:hAnsi="Verdana"/>
          <w:sz w:val="20"/>
          <w:szCs w:val="20"/>
          <w:lang w:val="es-ES"/>
        </w:rPr>
        <w:t xml:space="preserve">a la celebración de una audiencia especial </w:t>
      </w:r>
      <w:r w:rsidR="004F671A">
        <w:rPr>
          <w:rFonts w:ascii="Verdana" w:hAnsi="Verdana"/>
          <w:sz w:val="20"/>
          <w:szCs w:val="20"/>
          <w:lang w:val="es-ES"/>
        </w:rPr>
        <w:t xml:space="preserve">que </w:t>
      </w:r>
      <w:r w:rsidR="000A2F3A">
        <w:rPr>
          <w:rFonts w:ascii="Verdana" w:hAnsi="Verdana"/>
          <w:sz w:val="20"/>
          <w:szCs w:val="20"/>
          <w:lang w:val="es-ES"/>
        </w:rPr>
        <w:t xml:space="preserve">verse específicamente </w:t>
      </w:r>
      <w:r w:rsidR="00112C75" w:rsidRPr="00742F1C">
        <w:rPr>
          <w:rFonts w:ascii="Verdana" w:hAnsi="Verdana"/>
          <w:sz w:val="20"/>
          <w:szCs w:val="20"/>
          <w:lang w:val="es-ES"/>
        </w:rPr>
        <w:t>sobre las excepciones preliminares interpuestas por el Estado</w:t>
      </w:r>
      <w:r w:rsidR="002C5855" w:rsidRPr="00742F1C">
        <w:rPr>
          <w:rFonts w:ascii="Verdana" w:hAnsi="Verdana"/>
          <w:sz w:val="20"/>
          <w:szCs w:val="20"/>
          <w:lang w:val="es-ES"/>
        </w:rPr>
        <w:t xml:space="preserve">, tras la cual evaluará la procedencia de convocar una segunda audiencia </w:t>
      </w:r>
      <w:r w:rsidR="00860013" w:rsidRPr="00742F1C">
        <w:rPr>
          <w:rFonts w:ascii="Verdana" w:hAnsi="Verdana"/>
          <w:sz w:val="20"/>
          <w:szCs w:val="20"/>
          <w:lang w:val="es-ES"/>
        </w:rPr>
        <w:t xml:space="preserve">sobre los </w:t>
      </w:r>
      <w:r w:rsidR="00860013" w:rsidRPr="00742F1C">
        <w:rPr>
          <w:rFonts w:ascii="Verdana" w:hAnsi="Verdana"/>
          <w:sz w:val="20"/>
          <w:szCs w:val="20"/>
          <w:lang w:val="es-ES"/>
        </w:rPr>
        <w:lastRenderedPageBreak/>
        <w:t>eventuales fondo, reparaciones y costas</w:t>
      </w:r>
      <w:r w:rsidR="00540FBC" w:rsidRPr="00742F1C">
        <w:rPr>
          <w:rFonts w:ascii="Verdana" w:hAnsi="Verdana"/>
          <w:sz w:val="20"/>
          <w:szCs w:val="20"/>
          <w:lang w:val="es-ES"/>
        </w:rPr>
        <w:t>.</w:t>
      </w:r>
      <w:r w:rsidR="002C5855" w:rsidRPr="00742F1C">
        <w:rPr>
          <w:rFonts w:ascii="Verdana" w:hAnsi="Verdana" w:cs="Verdana"/>
          <w:sz w:val="20"/>
          <w:szCs w:val="20"/>
        </w:rPr>
        <w:t xml:space="preserve"> </w:t>
      </w:r>
      <w:r w:rsidR="00B274D8" w:rsidRPr="00742F1C">
        <w:rPr>
          <w:rFonts w:ascii="Verdana" w:hAnsi="Verdana"/>
          <w:sz w:val="20"/>
          <w:szCs w:val="20"/>
          <w:lang w:val="es-ES"/>
        </w:rPr>
        <w:t>De conformidad</w:t>
      </w:r>
      <w:r w:rsidR="006C753F">
        <w:rPr>
          <w:rFonts w:ascii="Verdana" w:hAnsi="Verdana"/>
          <w:sz w:val="20"/>
          <w:szCs w:val="20"/>
          <w:lang w:val="es-ES"/>
        </w:rPr>
        <w:t xml:space="preserve"> con el principio de economía procesal,</w:t>
      </w:r>
      <w:r w:rsidR="00B274D8" w:rsidRPr="00742F1C">
        <w:rPr>
          <w:rFonts w:ascii="Verdana" w:hAnsi="Verdana"/>
          <w:sz w:val="20"/>
          <w:szCs w:val="20"/>
          <w:lang w:val="es-ES"/>
        </w:rPr>
        <w:t xml:space="preserve"> </w:t>
      </w:r>
      <w:r w:rsidR="006C753F">
        <w:rPr>
          <w:rFonts w:ascii="Verdana" w:hAnsi="Verdana"/>
          <w:sz w:val="20"/>
          <w:szCs w:val="20"/>
          <w:lang w:val="es-ES"/>
        </w:rPr>
        <w:t xml:space="preserve">durante </w:t>
      </w:r>
      <w:r w:rsidR="00B274D8" w:rsidRPr="00742F1C">
        <w:rPr>
          <w:rFonts w:ascii="Verdana" w:hAnsi="Verdana"/>
          <w:sz w:val="20"/>
          <w:szCs w:val="20"/>
          <w:lang w:val="es-ES"/>
        </w:rPr>
        <w:t xml:space="preserve">dicha audiencia especial </w:t>
      </w:r>
      <w:r w:rsidR="000A2F3A">
        <w:rPr>
          <w:rFonts w:ascii="Verdana" w:hAnsi="Verdana"/>
          <w:sz w:val="20"/>
          <w:szCs w:val="20"/>
          <w:lang w:val="es-ES"/>
        </w:rPr>
        <w:t>para las</w:t>
      </w:r>
      <w:r w:rsidR="000A2F3A" w:rsidRPr="00742F1C">
        <w:rPr>
          <w:rFonts w:ascii="Verdana" w:hAnsi="Verdana"/>
          <w:sz w:val="20"/>
          <w:szCs w:val="20"/>
          <w:lang w:val="es-ES"/>
        </w:rPr>
        <w:t xml:space="preserve"> </w:t>
      </w:r>
      <w:r w:rsidR="00B274D8" w:rsidRPr="00742F1C">
        <w:rPr>
          <w:rFonts w:ascii="Verdana" w:hAnsi="Verdana"/>
          <w:sz w:val="20"/>
          <w:szCs w:val="20"/>
          <w:lang w:val="es-ES"/>
        </w:rPr>
        <w:t xml:space="preserve">excepciones preliminares, se deberán presentar los alegatos sobre todas las excepciones interpuestas por el Estado. </w:t>
      </w:r>
      <w:r w:rsidR="001C7EA7">
        <w:rPr>
          <w:rFonts w:ascii="Verdana" w:hAnsi="Verdana" w:cs="Verdana"/>
          <w:sz w:val="20"/>
          <w:szCs w:val="20"/>
        </w:rPr>
        <w:t>Sin perjuicio de lo anterior</w:t>
      </w:r>
      <w:r w:rsidR="00860013" w:rsidRPr="00742F1C">
        <w:rPr>
          <w:rFonts w:ascii="Verdana" w:hAnsi="Verdana" w:cs="Verdana"/>
          <w:sz w:val="20"/>
          <w:szCs w:val="20"/>
        </w:rPr>
        <w:t xml:space="preserve">, </w:t>
      </w:r>
      <w:r>
        <w:rPr>
          <w:rFonts w:ascii="Verdana" w:hAnsi="Verdana" w:cs="Verdana"/>
          <w:sz w:val="20"/>
          <w:szCs w:val="20"/>
        </w:rPr>
        <w:t>se</w:t>
      </w:r>
      <w:r w:rsidRPr="00742F1C">
        <w:rPr>
          <w:rFonts w:ascii="Verdana" w:hAnsi="Verdana"/>
          <w:sz w:val="20"/>
          <w:szCs w:val="20"/>
          <w:lang w:val="es-ES"/>
        </w:rPr>
        <w:t xml:space="preserve"> </w:t>
      </w:r>
      <w:r w:rsidR="00860013" w:rsidRPr="00742F1C">
        <w:rPr>
          <w:rFonts w:ascii="Verdana" w:hAnsi="Verdana" w:cs="Verdana"/>
          <w:sz w:val="20"/>
          <w:szCs w:val="20"/>
        </w:rPr>
        <w:t xml:space="preserve">recuerda que el artículo 42.6 establece que “[l]a Corte podrá resolver en una sola sentencia las excepciones preliminares, el fondo, las reparaciones y las costas del caso”, de considerarlo pertinente. </w:t>
      </w:r>
    </w:p>
    <w:p w:rsidR="00860013" w:rsidRPr="00742F1C" w:rsidRDefault="00860013" w:rsidP="009A0ED4">
      <w:pPr>
        <w:pStyle w:val="ListParagraph"/>
        <w:numPr>
          <w:ilvl w:val="0"/>
          <w:numId w:val="0"/>
        </w:numPr>
        <w:spacing w:beforeLines="60" w:afterLines="60"/>
        <w:rPr>
          <w:lang w:val="es-ES"/>
        </w:rPr>
      </w:pPr>
    </w:p>
    <w:p w:rsidR="00285C49" w:rsidRDefault="00285C49" w:rsidP="009A0ED4">
      <w:pPr>
        <w:pStyle w:val="ListParagraph"/>
        <w:numPr>
          <w:ilvl w:val="0"/>
          <w:numId w:val="18"/>
        </w:numPr>
        <w:spacing w:beforeLines="60" w:afterLines="60"/>
        <w:ind w:left="0" w:firstLine="0"/>
        <w:rPr>
          <w:b/>
          <w:bCs/>
          <w:i/>
          <w:lang w:val="es-ES"/>
        </w:rPr>
      </w:pPr>
      <w:r w:rsidRPr="00851FD1">
        <w:rPr>
          <w:b/>
          <w:bCs/>
          <w:i/>
          <w:lang w:val="es-ES"/>
        </w:rPr>
        <w:t>Aplicación del Fondo de Asistencia de Víctimas</w:t>
      </w:r>
    </w:p>
    <w:p w:rsidR="00505CCC" w:rsidRPr="00742F1C" w:rsidRDefault="003274C4" w:rsidP="009A0ED4">
      <w:pPr>
        <w:numPr>
          <w:ilvl w:val="0"/>
          <w:numId w:val="3"/>
        </w:numPr>
        <w:spacing w:beforeLines="60" w:afterLines="60" w:line="240" w:lineRule="auto"/>
        <w:jc w:val="both"/>
        <w:rPr>
          <w:rFonts w:ascii="Verdana" w:hAnsi="Verdana"/>
          <w:sz w:val="20"/>
          <w:szCs w:val="20"/>
          <w:lang w:val="es-ES"/>
        </w:rPr>
      </w:pPr>
      <w:r w:rsidRPr="00742F1C">
        <w:rPr>
          <w:rFonts w:ascii="Verdana" w:hAnsi="Verdana"/>
          <w:sz w:val="20"/>
          <w:szCs w:val="20"/>
          <w:lang w:val="es-ES"/>
        </w:rPr>
        <w:t xml:space="preserve">En el presente caso fueron designados defensores interamericanos para representar a las presuntas víctimas </w:t>
      </w:r>
      <w:r w:rsidR="00C3216C">
        <w:rPr>
          <w:rFonts w:ascii="Verdana" w:hAnsi="Verdana"/>
          <w:sz w:val="20"/>
          <w:szCs w:val="20"/>
          <w:lang w:val="es-ES"/>
        </w:rPr>
        <w:t>Rafael Rojas,</w:t>
      </w:r>
      <w:r w:rsidR="00BE0370">
        <w:rPr>
          <w:rFonts w:ascii="Verdana" w:hAnsi="Verdana"/>
          <w:sz w:val="20"/>
          <w:szCs w:val="20"/>
          <w:lang w:val="es-ES"/>
        </w:rPr>
        <w:t xml:space="preserve"> Fernando Saldarriaga,</w:t>
      </w:r>
      <w:r w:rsidR="00C3216C">
        <w:rPr>
          <w:rFonts w:ascii="Verdana" w:hAnsi="Verdana"/>
          <w:sz w:val="20"/>
          <w:szCs w:val="20"/>
          <w:lang w:val="es-ES"/>
        </w:rPr>
        <w:t xml:space="preserve"> Guillermo Rodrígue</w:t>
      </w:r>
      <w:r w:rsidR="00BE0370">
        <w:rPr>
          <w:rFonts w:ascii="Verdana" w:hAnsi="Verdana"/>
          <w:sz w:val="20"/>
          <w:szCs w:val="20"/>
          <w:lang w:val="es-ES"/>
        </w:rPr>
        <w:t>z Silva, Martín Rojas Hernández y</w:t>
      </w:r>
      <w:r w:rsidR="00C3216C">
        <w:rPr>
          <w:rFonts w:ascii="Verdana" w:hAnsi="Verdana"/>
          <w:sz w:val="20"/>
          <w:szCs w:val="20"/>
          <w:lang w:val="es-ES"/>
        </w:rPr>
        <w:t xml:space="preserve"> Manuel</w:t>
      </w:r>
      <w:r w:rsidR="00BE0370">
        <w:rPr>
          <w:rFonts w:ascii="Verdana" w:hAnsi="Verdana"/>
          <w:sz w:val="20"/>
          <w:szCs w:val="20"/>
          <w:lang w:val="es-ES"/>
        </w:rPr>
        <w:t xml:space="preserve"> Hernández Quesada</w:t>
      </w:r>
      <w:r w:rsidRPr="00742F1C">
        <w:rPr>
          <w:rFonts w:ascii="Verdana" w:hAnsi="Verdana"/>
          <w:sz w:val="20"/>
          <w:szCs w:val="20"/>
          <w:lang w:val="es-ES"/>
        </w:rPr>
        <w:t xml:space="preserve">. </w:t>
      </w:r>
      <w:bookmarkStart w:id="9" w:name="_Ref326583898"/>
      <w:r w:rsidRPr="00742F1C">
        <w:rPr>
          <w:rFonts w:ascii="Verdana" w:hAnsi="Verdana"/>
          <w:sz w:val="20"/>
          <w:szCs w:val="20"/>
          <w:lang w:val="es-ES"/>
        </w:rPr>
        <w:t xml:space="preserve">En el escrito de solicitudes, argumentos y pruebas, los defensores solicitaron la aplicación del Fondo de Asistencia Legal </w:t>
      </w:r>
      <w:bookmarkEnd w:id="9"/>
      <w:r w:rsidR="005C6C19" w:rsidRPr="00742F1C">
        <w:rPr>
          <w:rFonts w:ascii="Verdana" w:hAnsi="Verdana"/>
          <w:sz w:val="20"/>
          <w:szCs w:val="20"/>
          <w:lang w:val="es-ES"/>
        </w:rPr>
        <w:t>“</w:t>
      </w:r>
      <w:r w:rsidR="00233980">
        <w:rPr>
          <w:rFonts w:ascii="Verdana" w:hAnsi="Verdana"/>
          <w:sz w:val="20"/>
          <w:szCs w:val="20"/>
          <w:lang w:val="es-ES"/>
        </w:rPr>
        <w:t>tanto</w:t>
      </w:r>
      <w:r w:rsidR="00233980" w:rsidRPr="00233980">
        <w:rPr>
          <w:rFonts w:ascii="Verdana" w:hAnsi="Verdana"/>
          <w:sz w:val="20"/>
          <w:szCs w:val="20"/>
          <w:lang w:val="es-ES"/>
        </w:rPr>
        <w:t xml:space="preserve"> </w:t>
      </w:r>
      <w:r w:rsidR="00233980" w:rsidRPr="00742F1C">
        <w:rPr>
          <w:rFonts w:ascii="Verdana" w:hAnsi="Verdana"/>
          <w:sz w:val="20"/>
          <w:szCs w:val="20"/>
          <w:lang w:val="es-ES"/>
        </w:rPr>
        <w:t xml:space="preserve">para </w:t>
      </w:r>
      <w:r w:rsidR="00505CCC" w:rsidRPr="00742F1C">
        <w:rPr>
          <w:rFonts w:ascii="Verdana" w:hAnsi="Verdana"/>
          <w:sz w:val="20"/>
          <w:szCs w:val="20"/>
          <w:lang w:val="es-ES"/>
        </w:rPr>
        <w:t xml:space="preserve">el ejercicio de la defensa en el proceso interamericano como en relación a todos los gastos que demande cualquier actividad vinculada con ello. Estos gastos comprenden, en particular, la asistencia a la audiencia ante la Corte </w:t>
      </w:r>
      <w:r w:rsidR="005C6C19" w:rsidRPr="00742F1C">
        <w:rPr>
          <w:rFonts w:ascii="Verdana" w:hAnsi="Verdana"/>
          <w:sz w:val="20"/>
          <w:szCs w:val="20"/>
          <w:lang w:val="es-ES"/>
        </w:rPr>
        <w:t>[…]</w:t>
      </w:r>
      <w:r w:rsidR="00505CCC" w:rsidRPr="00742F1C">
        <w:rPr>
          <w:rFonts w:ascii="Verdana" w:hAnsi="Verdana"/>
          <w:sz w:val="20"/>
          <w:szCs w:val="20"/>
          <w:lang w:val="es-ES"/>
        </w:rPr>
        <w:t xml:space="preserve"> de la víctima, del perito ofrecido y de ambos Defensores Interamericanos (abarcando gastos de viaje, traslados, hospedaje y viáticos durante los días necesarios para asistir a las audiencias que se fijen), como así también el costo de los honorarios del perito ofrecido</w:t>
      </w:r>
      <w:r w:rsidR="005C6C19" w:rsidRPr="00742F1C">
        <w:rPr>
          <w:rFonts w:ascii="Verdana" w:hAnsi="Verdana"/>
          <w:sz w:val="20"/>
          <w:szCs w:val="20"/>
          <w:lang w:val="es-ES"/>
        </w:rPr>
        <w:t>”</w:t>
      </w:r>
      <w:r w:rsidR="00505CCC" w:rsidRPr="00742F1C">
        <w:rPr>
          <w:rFonts w:ascii="Verdana" w:hAnsi="Verdana"/>
          <w:sz w:val="20"/>
          <w:szCs w:val="20"/>
          <w:lang w:val="es-ES"/>
        </w:rPr>
        <w:t xml:space="preserve">. </w:t>
      </w:r>
    </w:p>
    <w:p w:rsidR="00505CCC" w:rsidRPr="00742F1C" w:rsidRDefault="00505CCC" w:rsidP="009A0ED4">
      <w:pPr>
        <w:pStyle w:val="ListParagraph"/>
        <w:numPr>
          <w:ilvl w:val="0"/>
          <w:numId w:val="0"/>
        </w:numPr>
        <w:tabs>
          <w:tab w:val="left" w:pos="567"/>
        </w:tabs>
        <w:spacing w:beforeLines="60" w:afterLines="60"/>
        <w:rPr>
          <w:rFonts w:cs="Century Gothic"/>
          <w:color w:val="5F497A" w:themeColor="accent4" w:themeShade="BF"/>
        </w:rPr>
      </w:pPr>
    </w:p>
    <w:p w:rsidR="003274C4" w:rsidRPr="00742F1C" w:rsidRDefault="00AD40CA" w:rsidP="009A0ED4">
      <w:pPr>
        <w:numPr>
          <w:ilvl w:val="0"/>
          <w:numId w:val="3"/>
        </w:numPr>
        <w:spacing w:beforeLines="60" w:afterLines="60" w:line="240" w:lineRule="auto"/>
        <w:jc w:val="both"/>
        <w:rPr>
          <w:rFonts w:ascii="Verdana" w:hAnsi="Verdana" w:cs="Century Gothic"/>
          <w:sz w:val="20"/>
          <w:szCs w:val="20"/>
        </w:rPr>
      </w:pPr>
      <w:r>
        <w:rPr>
          <w:rFonts w:ascii="Verdana" w:hAnsi="Verdana"/>
          <w:sz w:val="20"/>
          <w:szCs w:val="20"/>
        </w:rPr>
        <w:t xml:space="preserve">El </w:t>
      </w:r>
      <w:r>
        <w:rPr>
          <w:rFonts w:ascii="Verdana" w:hAnsi="Verdana"/>
          <w:sz w:val="20"/>
          <w:szCs w:val="20"/>
          <w:lang w:val="es-ES"/>
        </w:rPr>
        <w:t>Presidente</w:t>
      </w:r>
      <w:r w:rsidR="003274C4" w:rsidRPr="00742F1C">
        <w:rPr>
          <w:rFonts w:ascii="Verdana" w:hAnsi="Verdana"/>
          <w:sz w:val="20"/>
          <w:szCs w:val="20"/>
        </w:rPr>
        <w:t xml:space="preserve"> recuerda que, en casos en que las presuntas víctimas que no tengan representación legal debidamente acreditada en el proceso ante la Corte Interamericana y su representación sea asumida gratuitamente por un defensor interamericano en los términos del artículo 37 del </w:t>
      </w:r>
      <w:r w:rsidR="003274C4" w:rsidRPr="00742F1C">
        <w:rPr>
          <w:rFonts w:ascii="Verdana" w:hAnsi="Verdana" w:cs="Century Gothic"/>
          <w:sz w:val="20"/>
          <w:szCs w:val="20"/>
        </w:rPr>
        <w:t>Reglamento</w:t>
      </w:r>
      <w:r w:rsidR="003274C4" w:rsidRPr="00742F1C">
        <w:rPr>
          <w:rFonts w:ascii="Verdana" w:hAnsi="Verdana"/>
          <w:sz w:val="20"/>
          <w:szCs w:val="20"/>
        </w:rPr>
        <w:t xml:space="preserve"> </w:t>
      </w:r>
      <w:r>
        <w:rPr>
          <w:rFonts w:ascii="Verdana" w:hAnsi="Verdana"/>
          <w:sz w:val="20"/>
          <w:szCs w:val="20"/>
        </w:rPr>
        <w:t>del Tribunal</w:t>
      </w:r>
      <w:r w:rsidR="003274C4" w:rsidRPr="00742F1C">
        <w:rPr>
          <w:rStyle w:val="FootnoteReference"/>
          <w:rFonts w:cs="Times"/>
          <w:sz w:val="20"/>
          <w:szCs w:val="20"/>
        </w:rPr>
        <w:footnoteReference w:id="5"/>
      </w:r>
      <w:r w:rsidR="003274C4" w:rsidRPr="00742F1C">
        <w:rPr>
          <w:rFonts w:ascii="Verdana" w:hAnsi="Verdana"/>
          <w:sz w:val="20"/>
          <w:szCs w:val="20"/>
        </w:rPr>
        <w:t xml:space="preserve">, se brindará ayuda a través del Fondo de Asistencia </w:t>
      </w:r>
      <w:r w:rsidR="003274C4" w:rsidRPr="00742F1C">
        <w:rPr>
          <w:rFonts w:ascii="Verdana" w:hAnsi="Verdana"/>
          <w:sz w:val="20"/>
          <w:szCs w:val="20"/>
          <w:lang w:val="es-CR"/>
        </w:rPr>
        <w:t xml:space="preserve">Legal de Víctimas </w:t>
      </w:r>
      <w:r w:rsidR="003274C4" w:rsidRPr="00742F1C">
        <w:rPr>
          <w:rFonts w:ascii="Verdana" w:hAnsi="Verdana"/>
          <w:sz w:val="20"/>
          <w:szCs w:val="20"/>
        </w:rPr>
        <w:t>para sufragar, en la medida de lo posible, los gastos razonables y necesarios que origine tal representación</w:t>
      </w:r>
      <w:r w:rsidR="003274C4" w:rsidRPr="00742F1C">
        <w:rPr>
          <w:rStyle w:val="FootnoteReference"/>
          <w:sz w:val="20"/>
          <w:szCs w:val="20"/>
        </w:rPr>
        <w:footnoteReference w:id="6"/>
      </w:r>
      <w:r w:rsidR="003274C4" w:rsidRPr="00742F1C">
        <w:rPr>
          <w:rFonts w:ascii="Verdana" w:hAnsi="Verdana"/>
          <w:sz w:val="20"/>
          <w:szCs w:val="20"/>
        </w:rPr>
        <w:t>. Es decir, l</w:t>
      </w:r>
      <w:r w:rsidR="003274C4" w:rsidRPr="00742F1C">
        <w:rPr>
          <w:rFonts w:ascii="Verdana" w:hAnsi="Verdana"/>
          <w:sz w:val="20"/>
          <w:szCs w:val="20"/>
          <w:lang w:val="es-CR"/>
        </w:rPr>
        <w:t>a aplicación del Fondo en estas situaciones se rige por lo establecido en el artículo 4 del Acuerdo de Entendimiento ent</w:t>
      </w:r>
      <w:r w:rsidR="00233980">
        <w:rPr>
          <w:rFonts w:ascii="Verdana" w:hAnsi="Verdana"/>
          <w:sz w:val="20"/>
          <w:szCs w:val="20"/>
          <w:lang w:val="es-CR"/>
        </w:rPr>
        <w:t>r</w:t>
      </w:r>
      <w:r w:rsidR="003274C4" w:rsidRPr="00742F1C">
        <w:rPr>
          <w:rFonts w:ascii="Verdana" w:hAnsi="Verdana"/>
          <w:sz w:val="20"/>
          <w:szCs w:val="20"/>
          <w:lang w:val="es-CR"/>
        </w:rPr>
        <w:t>e la Corte Interamericana y la Asociación Interamericana de Defensoría</w:t>
      </w:r>
      <w:r w:rsidR="00233980">
        <w:rPr>
          <w:rFonts w:ascii="Verdana" w:hAnsi="Verdana"/>
          <w:sz w:val="20"/>
          <w:szCs w:val="20"/>
          <w:lang w:val="es-CR"/>
        </w:rPr>
        <w:t>s</w:t>
      </w:r>
      <w:r w:rsidR="003274C4" w:rsidRPr="00742F1C">
        <w:rPr>
          <w:rFonts w:ascii="Verdana" w:hAnsi="Verdana"/>
          <w:sz w:val="20"/>
          <w:szCs w:val="20"/>
          <w:lang w:val="es-CR"/>
        </w:rPr>
        <w:t xml:space="preserve"> Públicas, de modo que el defensor interamericano designado “deberá presentar ante la Corte todos los comprobantes necesarios que acrediten los gastos en que se ha incurrido con motivo de la tramitación del caso ante ésta”. </w:t>
      </w:r>
    </w:p>
    <w:p w:rsidR="003274C4" w:rsidRPr="00742F1C" w:rsidRDefault="003274C4" w:rsidP="009A0ED4">
      <w:pPr>
        <w:pStyle w:val="ListParagraph"/>
        <w:numPr>
          <w:ilvl w:val="0"/>
          <w:numId w:val="0"/>
        </w:numPr>
        <w:tabs>
          <w:tab w:val="left" w:pos="567"/>
        </w:tabs>
        <w:spacing w:beforeLines="60" w:afterLines="60"/>
        <w:rPr>
          <w:color w:val="5F497A" w:themeColor="accent4" w:themeShade="BF"/>
        </w:rPr>
      </w:pPr>
      <w:bookmarkStart w:id="10" w:name="_Ref326590102"/>
    </w:p>
    <w:bookmarkEnd w:id="10"/>
    <w:p w:rsidR="003274C4" w:rsidRPr="00742F1C" w:rsidRDefault="00B71814" w:rsidP="009A0ED4">
      <w:pPr>
        <w:numPr>
          <w:ilvl w:val="0"/>
          <w:numId w:val="3"/>
        </w:numPr>
        <w:spacing w:beforeLines="60" w:afterLines="60" w:line="240" w:lineRule="auto"/>
        <w:jc w:val="both"/>
        <w:rPr>
          <w:rFonts w:ascii="Verdana" w:hAnsi="Verdana"/>
          <w:color w:val="5F497A" w:themeColor="accent4" w:themeShade="BF"/>
          <w:sz w:val="20"/>
          <w:szCs w:val="20"/>
          <w:lang w:val="es-CR"/>
        </w:rPr>
      </w:pPr>
      <w:r w:rsidRPr="00742F1C">
        <w:rPr>
          <w:rFonts w:ascii="Verdana" w:hAnsi="Verdana"/>
          <w:sz w:val="20"/>
          <w:szCs w:val="20"/>
        </w:rPr>
        <w:t xml:space="preserve">En el presente caso, la </w:t>
      </w:r>
      <w:r w:rsidR="00A27FA5">
        <w:rPr>
          <w:rFonts w:ascii="Verdana" w:hAnsi="Verdana"/>
          <w:sz w:val="20"/>
          <w:szCs w:val="20"/>
        </w:rPr>
        <w:t>D</w:t>
      </w:r>
      <w:r w:rsidRPr="00742F1C">
        <w:rPr>
          <w:rFonts w:ascii="Verdana" w:hAnsi="Verdana"/>
          <w:sz w:val="20"/>
          <w:szCs w:val="20"/>
        </w:rPr>
        <w:t xml:space="preserve">efensora </w:t>
      </w:r>
      <w:r w:rsidR="00A27FA5">
        <w:rPr>
          <w:rFonts w:ascii="Verdana" w:hAnsi="Verdana"/>
          <w:sz w:val="20"/>
          <w:szCs w:val="20"/>
        </w:rPr>
        <w:t>I</w:t>
      </w:r>
      <w:r w:rsidRPr="00742F1C">
        <w:rPr>
          <w:rFonts w:ascii="Verdana" w:hAnsi="Verdana"/>
          <w:sz w:val="20"/>
          <w:szCs w:val="20"/>
        </w:rPr>
        <w:t>nteramericana</w:t>
      </w:r>
      <w:r w:rsidR="00A27FA5">
        <w:rPr>
          <w:rFonts w:ascii="Verdana" w:hAnsi="Verdana"/>
          <w:sz w:val="20"/>
          <w:szCs w:val="20"/>
        </w:rPr>
        <w:t xml:space="preserve"> Pública por Nicaragua,</w:t>
      </w:r>
      <w:r w:rsidRPr="00742F1C">
        <w:rPr>
          <w:rFonts w:ascii="Verdana" w:hAnsi="Verdana"/>
          <w:sz w:val="20"/>
          <w:szCs w:val="20"/>
        </w:rPr>
        <w:t xml:space="preserve"> </w:t>
      </w:r>
      <w:r w:rsidR="00487A17" w:rsidRPr="00742F1C">
        <w:rPr>
          <w:rFonts w:ascii="Verdana" w:hAnsi="Verdana"/>
          <w:bCs/>
          <w:sz w:val="20"/>
          <w:szCs w:val="20"/>
          <w:lang w:val="es-CR"/>
        </w:rPr>
        <w:t xml:space="preserve">Belinda Guevara Casaya, </w:t>
      </w:r>
      <w:r w:rsidRPr="00742F1C">
        <w:rPr>
          <w:rFonts w:ascii="Verdana" w:hAnsi="Verdana"/>
          <w:sz w:val="20"/>
          <w:szCs w:val="20"/>
        </w:rPr>
        <w:t>representa a los señor</w:t>
      </w:r>
      <w:r w:rsidR="007E7050" w:rsidRPr="00742F1C">
        <w:rPr>
          <w:rFonts w:ascii="Verdana" w:hAnsi="Verdana"/>
          <w:sz w:val="20"/>
          <w:szCs w:val="20"/>
        </w:rPr>
        <w:t>es</w:t>
      </w:r>
      <w:r w:rsidRPr="00742F1C">
        <w:rPr>
          <w:rFonts w:ascii="Verdana" w:hAnsi="Verdana"/>
          <w:sz w:val="20"/>
          <w:szCs w:val="20"/>
        </w:rPr>
        <w:t xml:space="preserve"> Rafael Rojas</w:t>
      </w:r>
      <w:r w:rsidR="00487A17" w:rsidRPr="00742F1C">
        <w:rPr>
          <w:rFonts w:ascii="Verdana" w:hAnsi="Verdana"/>
          <w:sz w:val="20"/>
          <w:szCs w:val="20"/>
        </w:rPr>
        <w:t xml:space="preserve"> Madrigal</w:t>
      </w:r>
      <w:r w:rsidRPr="00742F1C">
        <w:rPr>
          <w:rFonts w:ascii="Verdana" w:hAnsi="Verdana"/>
          <w:sz w:val="20"/>
          <w:szCs w:val="20"/>
        </w:rPr>
        <w:t xml:space="preserve"> y </w:t>
      </w:r>
      <w:r w:rsidR="00487A17" w:rsidRPr="00742F1C">
        <w:rPr>
          <w:rFonts w:ascii="Verdana" w:hAnsi="Verdana"/>
          <w:sz w:val="20"/>
          <w:szCs w:val="20"/>
        </w:rPr>
        <w:t xml:space="preserve">Manuel Hernández Quesada, mientras que los </w:t>
      </w:r>
      <w:r w:rsidR="00A27FA5">
        <w:rPr>
          <w:rFonts w:ascii="Verdana" w:hAnsi="Verdana"/>
          <w:sz w:val="20"/>
          <w:szCs w:val="20"/>
        </w:rPr>
        <w:t>D</w:t>
      </w:r>
      <w:r w:rsidR="00A27FA5" w:rsidRPr="00742F1C">
        <w:rPr>
          <w:rFonts w:ascii="Verdana" w:hAnsi="Verdana"/>
          <w:sz w:val="20"/>
          <w:szCs w:val="20"/>
        </w:rPr>
        <w:t xml:space="preserve">efensores </w:t>
      </w:r>
      <w:r w:rsidR="00A27FA5">
        <w:rPr>
          <w:rFonts w:ascii="Verdana" w:hAnsi="Verdana"/>
          <w:sz w:val="20"/>
          <w:szCs w:val="20"/>
        </w:rPr>
        <w:t>I</w:t>
      </w:r>
      <w:r w:rsidR="00A27FA5" w:rsidRPr="00742F1C">
        <w:rPr>
          <w:rFonts w:ascii="Verdana" w:hAnsi="Verdana"/>
          <w:sz w:val="20"/>
          <w:szCs w:val="20"/>
        </w:rPr>
        <w:t>nteramericanos</w:t>
      </w:r>
      <w:r w:rsidR="00A27FA5">
        <w:rPr>
          <w:rFonts w:ascii="Verdana" w:hAnsi="Verdana"/>
          <w:sz w:val="20"/>
          <w:szCs w:val="20"/>
        </w:rPr>
        <w:t xml:space="preserve"> Públicos por Cosa Rica,</w:t>
      </w:r>
      <w:r w:rsidR="00487A17" w:rsidRPr="00742F1C">
        <w:rPr>
          <w:rFonts w:ascii="Verdana" w:hAnsi="Verdana"/>
          <w:sz w:val="20"/>
          <w:szCs w:val="20"/>
        </w:rPr>
        <w:t xml:space="preserve"> </w:t>
      </w:r>
      <w:r w:rsidR="00487A17" w:rsidRPr="00742F1C">
        <w:rPr>
          <w:rFonts w:ascii="Verdana" w:hAnsi="Verdana"/>
          <w:bCs/>
          <w:sz w:val="20"/>
          <w:szCs w:val="20"/>
          <w:lang w:val="es-CR"/>
        </w:rPr>
        <w:t xml:space="preserve">José Arnoldo González Castro y Tomás Poblador Ramírez, </w:t>
      </w:r>
      <w:r w:rsidR="00487A17" w:rsidRPr="00742F1C">
        <w:rPr>
          <w:rFonts w:ascii="Verdana" w:hAnsi="Verdana"/>
          <w:bCs/>
          <w:color w:val="000000" w:themeColor="text1"/>
          <w:sz w:val="20"/>
          <w:szCs w:val="20"/>
          <w:lang w:val="es-CR"/>
        </w:rPr>
        <w:t xml:space="preserve">representan a las demás presuntas víctimas que solicitaron acogerse a dicha figura y a aquellas que no fue posible localizar pese a los esfuerzos del </w:t>
      </w:r>
      <w:r w:rsidR="00487A17" w:rsidRPr="00742F1C">
        <w:rPr>
          <w:rFonts w:ascii="Verdana" w:hAnsi="Verdana"/>
          <w:bCs/>
          <w:sz w:val="20"/>
          <w:szCs w:val="20"/>
          <w:lang w:val="es-CR"/>
        </w:rPr>
        <w:t>Tribunal.</w:t>
      </w:r>
      <w:r w:rsidR="00487A17" w:rsidRPr="00742F1C">
        <w:rPr>
          <w:rFonts w:ascii="Verdana" w:hAnsi="Verdana"/>
          <w:sz w:val="20"/>
          <w:szCs w:val="20"/>
        </w:rPr>
        <w:t xml:space="preserve"> </w:t>
      </w:r>
      <w:r w:rsidR="00163F49">
        <w:rPr>
          <w:rFonts w:ascii="Verdana" w:hAnsi="Verdana"/>
          <w:sz w:val="20"/>
          <w:szCs w:val="20"/>
        </w:rPr>
        <w:t>El Presidente</w:t>
      </w:r>
      <w:r w:rsidR="003274C4" w:rsidRPr="00742F1C">
        <w:rPr>
          <w:rFonts w:ascii="Verdana" w:hAnsi="Verdana"/>
          <w:sz w:val="20"/>
          <w:szCs w:val="20"/>
          <w:lang w:val="es-CR"/>
        </w:rPr>
        <w:t xml:space="preserve"> dispone que</w:t>
      </w:r>
      <w:r w:rsidR="008A4C11" w:rsidRPr="00742F1C">
        <w:rPr>
          <w:rFonts w:ascii="Verdana" w:hAnsi="Verdana"/>
          <w:sz w:val="20"/>
          <w:szCs w:val="20"/>
          <w:lang w:val="es-CR"/>
        </w:rPr>
        <w:t>, en esta etapa del procedimiento,</w:t>
      </w:r>
      <w:r w:rsidR="003274C4" w:rsidRPr="00742F1C">
        <w:rPr>
          <w:rFonts w:ascii="Verdana" w:hAnsi="Verdana"/>
          <w:sz w:val="20"/>
          <w:szCs w:val="20"/>
          <w:lang w:val="es-CR"/>
        </w:rPr>
        <w:t xml:space="preserve"> la asistencia económica </w:t>
      </w:r>
      <w:r w:rsidRPr="00742F1C">
        <w:rPr>
          <w:rFonts w:ascii="Verdana" w:hAnsi="Verdana"/>
          <w:sz w:val="20"/>
          <w:szCs w:val="20"/>
          <w:lang w:val="es-CR"/>
        </w:rPr>
        <w:t xml:space="preserve">del Fondo </w:t>
      </w:r>
      <w:r w:rsidR="003274C4" w:rsidRPr="00742F1C">
        <w:rPr>
          <w:rFonts w:ascii="Verdana" w:hAnsi="Verdana"/>
          <w:sz w:val="20"/>
          <w:szCs w:val="20"/>
          <w:lang w:val="es-CR"/>
        </w:rPr>
        <w:t>será asignada para cubrir los gastos de</w:t>
      </w:r>
      <w:r w:rsidRPr="00742F1C">
        <w:rPr>
          <w:rFonts w:ascii="Verdana" w:hAnsi="Verdana"/>
          <w:sz w:val="20"/>
          <w:szCs w:val="20"/>
          <w:lang w:val="es-CR"/>
        </w:rPr>
        <w:t xml:space="preserve"> </w:t>
      </w:r>
      <w:r w:rsidR="00EF1071" w:rsidRPr="00742F1C">
        <w:rPr>
          <w:rFonts w:ascii="Verdana" w:hAnsi="Verdana"/>
          <w:sz w:val="20"/>
          <w:szCs w:val="20"/>
        </w:rPr>
        <w:t>traslado, alojamiento y manutención</w:t>
      </w:r>
      <w:r w:rsidR="003274C4" w:rsidRPr="00742F1C">
        <w:rPr>
          <w:rFonts w:ascii="Verdana" w:hAnsi="Verdana"/>
          <w:sz w:val="20"/>
          <w:szCs w:val="20"/>
          <w:lang w:val="es-CR"/>
        </w:rPr>
        <w:t xml:space="preserve"> necesarios para que </w:t>
      </w:r>
      <w:r w:rsidR="00487A17" w:rsidRPr="00742F1C">
        <w:rPr>
          <w:rFonts w:ascii="Verdana" w:hAnsi="Verdana"/>
          <w:sz w:val="20"/>
          <w:szCs w:val="20"/>
          <w:lang w:val="es-CR"/>
        </w:rPr>
        <w:t>la</w:t>
      </w:r>
      <w:r w:rsidR="003274C4" w:rsidRPr="00742F1C">
        <w:rPr>
          <w:rFonts w:ascii="Verdana" w:hAnsi="Verdana"/>
          <w:sz w:val="20"/>
          <w:szCs w:val="20"/>
          <w:lang w:val="es-CR"/>
        </w:rPr>
        <w:t xml:space="preserve"> defensor</w:t>
      </w:r>
      <w:r w:rsidR="00487A17" w:rsidRPr="00742F1C">
        <w:rPr>
          <w:rFonts w:ascii="Verdana" w:hAnsi="Verdana"/>
          <w:sz w:val="20"/>
          <w:szCs w:val="20"/>
          <w:lang w:val="es-CR"/>
        </w:rPr>
        <w:t>a</w:t>
      </w:r>
      <w:r w:rsidR="003274C4" w:rsidRPr="00742F1C">
        <w:rPr>
          <w:rFonts w:ascii="Verdana" w:hAnsi="Verdana"/>
          <w:sz w:val="20"/>
          <w:szCs w:val="20"/>
          <w:lang w:val="es-CR"/>
        </w:rPr>
        <w:t xml:space="preserve"> interamerican</w:t>
      </w:r>
      <w:r w:rsidR="00487A17" w:rsidRPr="00742F1C">
        <w:rPr>
          <w:rFonts w:ascii="Verdana" w:hAnsi="Verdana"/>
          <w:sz w:val="20"/>
          <w:szCs w:val="20"/>
          <w:lang w:val="es-CR"/>
        </w:rPr>
        <w:t>a</w:t>
      </w:r>
      <w:r w:rsidR="003274C4" w:rsidRPr="00742F1C">
        <w:rPr>
          <w:rFonts w:ascii="Verdana" w:hAnsi="Verdana"/>
          <w:sz w:val="20"/>
          <w:szCs w:val="20"/>
          <w:lang w:val="es-CR"/>
        </w:rPr>
        <w:t xml:space="preserve"> </w:t>
      </w:r>
      <w:r w:rsidR="00487A17" w:rsidRPr="00742F1C">
        <w:rPr>
          <w:rFonts w:ascii="Verdana" w:hAnsi="Verdana"/>
          <w:sz w:val="20"/>
          <w:szCs w:val="20"/>
          <w:lang w:val="es-CR"/>
        </w:rPr>
        <w:t xml:space="preserve">Belinda Guevara Casaya </w:t>
      </w:r>
      <w:r w:rsidR="003274C4" w:rsidRPr="00742F1C">
        <w:rPr>
          <w:rFonts w:ascii="Verdana" w:hAnsi="Verdana"/>
          <w:sz w:val="20"/>
          <w:szCs w:val="20"/>
          <w:lang w:val="es-CR"/>
        </w:rPr>
        <w:t xml:space="preserve">asista a </w:t>
      </w:r>
      <w:r w:rsidR="003274C4" w:rsidRPr="00742F1C">
        <w:rPr>
          <w:rFonts w:ascii="Verdana" w:hAnsi="Verdana"/>
          <w:sz w:val="20"/>
          <w:szCs w:val="20"/>
        </w:rPr>
        <w:t>la</w:t>
      </w:r>
      <w:r w:rsidR="003274C4" w:rsidRPr="00742F1C">
        <w:rPr>
          <w:rFonts w:ascii="Verdana" w:hAnsi="Verdana"/>
          <w:sz w:val="20"/>
          <w:szCs w:val="20"/>
          <w:lang w:val="es-CR"/>
        </w:rPr>
        <w:t xml:space="preserve"> audiencia pública a ejercer sus labores de representación de las presuntas víctimas</w:t>
      </w:r>
      <w:r w:rsidR="00487A17" w:rsidRPr="00742F1C">
        <w:rPr>
          <w:rFonts w:ascii="Verdana" w:hAnsi="Verdana"/>
          <w:sz w:val="20"/>
          <w:szCs w:val="20"/>
          <w:lang w:val="es-CR"/>
        </w:rPr>
        <w:t xml:space="preserve"> Rojas y Hernández</w:t>
      </w:r>
      <w:r w:rsidRPr="00742F1C">
        <w:rPr>
          <w:rFonts w:ascii="Verdana" w:hAnsi="Verdana"/>
          <w:sz w:val="20"/>
          <w:szCs w:val="20"/>
          <w:lang w:val="es-CR"/>
        </w:rPr>
        <w:t>.</w:t>
      </w:r>
      <w:r w:rsidR="00487A17" w:rsidRPr="00742F1C">
        <w:rPr>
          <w:rFonts w:ascii="Verdana" w:hAnsi="Verdana"/>
          <w:sz w:val="20"/>
          <w:szCs w:val="20"/>
          <w:lang w:val="es-CR"/>
        </w:rPr>
        <w:t xml:space="preserve"> </w:t>
      </w:r>
      <w:r w:rsidR="00EF1071" w:rsidRPr="00742F1C">
        <w:rPr>
          <w:rFonts w:ascii="Verdana" w:hAnsi="Verdana"/>
          <w:sz w:val="20"/>
          <w:szCs w:val="20"/>
        </w:rPr>
        <w:t xml:space="preserve">Para tales efectos, el Tribunal realizará las gestiones pertinentes. </w:t>
      </w:r>
      <w:r w:rsidR="00EF1071" w:rsidRPr="00742F1C">
        <w:rPr>
          <w:rFonts w:ascii="Verdana" w:hAnsi="Verdana"/>
          <w:sz w:val="20"/>
          <w:szCs w:val="20"/>
          <w:lang w:val="es-CR"/>
        </w:rPr>
        <w:t xml:space="preserve">Asimismo, la asistencia económica cubrirá </w:t>
      </w:r>
      <w:r w:rsidR="003274C4" w:rsidRPr="00742F1C">
        <w:rPr>
          <w:rFonts w:ascii="Verdana" w:hAnsi="Verdana"/>
          <w:sz w:val="20"/>
          <w:szCs w:val="20"/>
        </w:rPr>
        <w:t xml:space="preserve">los demás gastos razonables y necesarios en que hayan incurrido o puedan incurrir los </w:t>
      </w:r>
      <w:r w:rsidR="00EF1071" w:rsidRPr="00742F1C">
        <w:rPr>
          <w:rFonts w:ascii="Verdana" w:hAnsi="Verdana"/>
          <w:sz w:val="20"/>
          <w:szCs w:val="20"/>
        </w:rPr>
        <w:t xml:space="preserve">tres </w:t>
      </w:r>
      <w:r w:rsidR="003274C4" w:rsidRPr="00742F1C">
        <w:rPr>
          <w:rFonts w:ascii="Verdana" w:hAnsi="Verdana"/>
          <w:sz w:val="20"/>
          <w:szCs w:val="20"/>
        </w:rPr>
        <w:t>defensores interamericanos, para lo cual deberán remitir al Tribunal tanto la justificación de tales gastos como sus comprobantes a más tardar con la presentación de los alegatos finales escritos.</w:t>
      </w:r>
    </w:p>
    <w:p w:rsidR="003274C4" w:rsidRPr="00742F1C" w:rsidRDefault="003274C4" w:rsidP="009A0ED4">
      <w:pPr>
        <w:pStyle w:val="ListParagraph"/>
        <w:numPr>
          <w:ilvl w:val="0"/>
          <w:numId w:val="0"/>
        </w:numPr>
        <w:tabs>
          <w:tab w:val="left" w:pos="567"/>
        </w:tabs>
        <w:spacing w:beforeLines="60" w:afterLines="60"/>
        <w:rPr>
          <w:color w:val="5F497A" w:themeColor="accent4" w:themeShade="BF"/>
          <w:lang w:val="es-CR"/>
        </w:rPr>
      </w:pPr>
    </w:p>
    <w:p w:rsidR="00B71814" w:rsidRPr="00742F1C" w:rsidRDefault="00B71814" w:rsidP="009A0ED4">
      <w:pPr>
        <w:pStyle w:val="ListParagraph"/>
        <w:numPr>
          <w:ilvl w:val="0"/>
          <w:numId w:val="3"/>
        </w:numPr>
        <w:tabs>
          <w:tab w:val="left" w:pos="567"/>
          <w:tab w:val="left" w:pos="810"/>
        </w:tabs>
        <w:spacing w:beforeLines="60" w:afterLines="60"/>
        <w:ind w:left="0" w:firstLine="0"/>
        <w:rPr>
          <w:lang w:eastAsia="es-ES"/>
        </w:rPr>
      </w:pPr>
      <w:r w:rsidRPr="00742F1C">
        <w:rPr>
          <w:rFonts w:cs="Times"/>
          <w:lang w:val="es-ES_tradnl" w:eastAsia="es-ES"/>
        </w:rPr>
        <w:t xml:space="preserve">Finalmente, </w:t>
      </w:r>
      <w:r w:rsidR="006C753F">
        <w:rPr>
          <w:rFonts w:cs="Times"/>
          <w:lang w:val="es-ES_tradnl" w:eastAsia="es-ES"/>
        </w:rPr>
        <w:t>el Presidente</w:t>
      </w:r>
      <w:r w:rsidRPr="00742F1C">
        <w:rPr>
          <w:rFonts w:cs="Times"/>
          <w:lang w:val="es-ES_tradnl" w:eastAsia="es-ES"/>
        </w:rPr>
        <w:t xml:space="preserve"> recuerda que, según el artículo 5 del Reglamento del Fondo, se informará oportunamente al Estado demandado las erogaciones realizadas en aplicación del Fondo de Asistencia Legal de Víctimas, para que presente sus observaciones, si así lo desea, dentro del plazo que se establezca al efecto.</w:t>
      </w:r>
    </w:p>
    <w:p w:rsidR="00F755E3" w:rsidRPr="00742F1C" w:rsidRDefault="00F755E3" w:rsidP="009A0ED4">
      <w:pPr>
        <w:pStyle w:val="BodyText"/>
        <w:spacing w:beforeLines="60" w:afterLines="60"/>
        <w:jc w:val="both"/>
        <w:rPr>
          <w:rFonts w:ascii="Verdana" w:hAnsi="Verdana" w:cs="Verdana"/>
          <w:b/>
          <w:bCs/>
          <w:sz w:val="20"/>
          <w:szCs w:val="20"/>
          <w:lang w:val="es-ES"/>
        </w:rPr>
      </w:pPr>
      <w:r w:rsidRPr="00742F1C">
        <w:rPr>
          <w:rFonts w:ascii="Verdana" w:hAnsi="Verdana" w:cs="Verdana"/>
          <w:b/>
          <w:bCs/>
          <w:sz w:val="20"/>
          <w:szCs w:val="20"/>
          <w:lang w:val="es-ES"/>
        </w:rPr>
        <w:t>POR TANTO:</w:t>
      </w:r>
    </w:p>
    <w:p w:rsidR="00F755E3" w:rsidRPr="00742F1C" w:rsidRDefault="00F755E3" w:rsidP="009A0ED4">
      <w:pPr>
        <w:spacing w:beforeLines="60" w:afterLines="60" w:line="240" w:lineRule="auto"/>
        <w:jc w:val="both"/>
        <w:rPr>
          <w:rFonts w:ascii="Verdana" w:hAnsi="Verdana" w:cs="Verdana"/>
          <w:b/>
          <w:bCs/>
          <w:sz w:val="20"/>
          <w:szCs w:val="20"/>
          <w:lang w:val="es-ES"/>
        </w:rPr>
      </w:pPr>
    </w:p>
    <w:p w:rsidR="00F755E3" w:rsidRPr="00742F1C" w:rsidRDefault="00A24219" w:rsidP="009A0ED4">
      <w:pPr>
        <w:spacing w:beforeLines="60" w:afterLines="60" w:line="240" w:lineRule="auto"/>
        <w:jc w:val="both"/>
        <w:rPr>
          <w:rFonts w:ascii="Verdana" w:hAnsi="Verdana" w:cs="Verdana"/>
          <w:b/>
          <w:bCs/>
          <w:sz w:val="20"/>
          <w:szCs w:val="20"/>
          <w:lang w:val="es-ES"/>
        </w:rPr>
      </w:pPr>
      <w:r>
        <w:rPr>
          <w:rFonts w:ascii="Verdana" w:hAnsi="Verdana" w:cs="Verdana"/>
          <w:b/>
          <w:bCs/>
          <w:sz w:val="20"/>
          <w:szCs w:val="20"/>
          <w:lang w:val="es-ES"/>
        </w:rPr>
        <w:t xml:space="preserve">EL PRESIDENTE DE </w:t>
      </w:r>
      <w:r w:rsidR="00F755E3" w:rsidRPr="00742F1C">
        <w:rPr>
          <w:rFonts w:ascii="Verdana" w:hAnsi="Verdana" w:cs="Verdana"/>
          <w:b/>
          <w:bCs/>
          <w:sz w:val="20"/>
          <w:szCs w:val="20"/>
          <w:lang w:val="es-ES"/>
        </w:rPr>
        <w:t xml:space="preserve">LA CORTE INTERAMERICANA DE DERECHOS HUMANOS, </w:t>
      </w:r>
    </w:p>
    <w:p w:rsidR="00F755E3" w:rsidRPr="00742F1C" w:rsidRDefault="00F755E3" w:rsidP="009A0ED4">
      <w:pPr>
        <w:spacing w:beforeLines="60" w:afterLines="60" w:line="240" w:lineRule="auto"/>
        <w:jc w:val="both"/>
        <w:rPr>
          <w:rFonts w:ascii="Verdana" w:hAnsi="Verdana" w:cs="Verdana"/>
          <w:b/>
          <w:bCs/>
          <w:sz w:val="20"/>
          <w:szCs w:val="20"/>
          <w:lang w:val="es-ES"/>
        </w:rPr>
      </w:pPr>
    </w:p>
    <w:p w:rsidR="00F755E3" w:rsidRPr="00742F1C" w:rsidRDefault="00A24219" w:rsidP="009A0ED4">
      <w:pPr>
        <w:spacing w:beforeLines="60" w:afterLines="60" w:line="240" w:lineRule="auto"/>
        <w:ind w:right="22"/>
        <w:jc w:val="both"/>
        <w:rPr>
          <w:rFonts w:ascii="Verdana" w:hAnsi="Verdana" w:cs="Verdana"/>
          <w:sz w:val="20"/>
          <w:szCs w:val="20"/>
        </w:rPr>
      </w:pPr>
      <w:r>
        <w:rPr>
          <w:rFonts w:ascii="Verdana" w:hAnsi="Verdana"/>
          <w:sz w:val="20"/>
          <w:szCs w:val="20"/>
        </w:rPr>
        <w:t>de conformidad con</w:t>
      </w:r>
      <w:r w:rsidR="00801927" w:rsidRPr="00742F1C">
        <w:rPr>
          <w:rFonts w:ascii="Verdana" w:hAnsi="Verdana"/>
          <w:sz w:val="20"/>
          <w:szCs w:val="20"/>
        </w:rPr>
        <w:t xml:space="preserve"> los </w:t>
      </w:r>
      <w:r w:rsidR="00801927" w:rsidRPr="00742F1C">
        <w:rPr>
          <w:rFonts w:ascii="Verdana" w:hAnsi="Verdana" w:cs="Verdana"/>
          <w:sz w:val="20"/>
          <w:szCs w:val="20"/>
          <w:lang w:val="es-ES"/>
        </w:rPr>
        <w:t xml:space="preserve">artículos </w:t>
      </w:r>
      <w:r>
        <w:rPr>
          <w:rFonts w:ascii="Verdana" w:hAnsi="Verdana" w:cs="Verdana"/>
          <w:sz w:val="20"/>
          <w:szCs w:val="20"/>
          <w:lang w:val="es-ES"/>
        </w:rPr>
        <w:t xml:space="preserve">24.1 y </w:t>
      </w:r>
      <w:r w:rsidR="00801927" w:rsidRPr="00742F1C">
        <w:rPr>
          <w:rFonts w:ascii="Verdana" w:hAnsi="Verdana" w:cs="Verdana"/>
          <w:sz w:val="20"/>
          <w:szCs w:val="20"/>
          <w:lang w:val="es-ES"/>
        </w:rPr>
        <w:t>2</w:t>
      </w:r>
      <w:r w:rsidR="00E00DD0" w:rsidRPr="00742F1C">
        <w:rPr>
          <w:rFonts w:ascii="Verdana" w:hAnsi="Verdana" w:cs="Verdana"/>
          <w:sz w:val="20"/>
          <w:szCs w:val="20"/>
          <w:lang w:val="es-ES"/>
        </w:rPr>
        <w:t>5</w:t>
      </w:r>
      <w:r>
        <w:rPr>
          <w:rFonts w:ascii="Verdana" w:hAnsi="Verdana" w:cs="Verdana"/>
          <w:sz w:val="20"/>
          <w:szCs w:val="20"/>
          <w:lang w:val="es-ES"/>
        </w:rPr>
        <w:t>.2</w:t>
      </w:r>
      <w:r w:rsidR="00801927" w:rsidRPr="00742F1C">
        <w:rPr>
          <w:rFonts w:ascii="Verdana" w:hAnsi="Verdana" w:cs="Verdana"/>
          <w:sz w:val="20"/>
          <w:szCs w:val="20"/>
          <w:lang w:val="es-ES"/>
        </w:rPr>
        <w:t xml:space="preserve"> del Estatuto de la Corte y </w:t>
      </w:r>
      <w:r w:rsidRPr="00A24219">
        <w:rPr>
          <w:rFonts w:ascii="Verdana" w:hAnsi="Verdana" w:cs="Verdana"/>
          <w:sz w:val="20"/>
          <w:szCs w:val="20"/>
          <w:lang w:val="es-ES"/>
        </w:rPr>
        <w:t>con los artículos 4,</w:t>
      </w:r>
      <w:r>
        <w:rPr>
          <w:rFonts w:ascii="Verdana" w:hAnsi="Verdana" w:cs="Verdana"/>
          <w:sz w:val="20"/>
          <w:szCs w:val="20"/>
          <w:lang w:val="es-ES"/>
        </w:rPr>
        <w:t xml:space="preserve"> </w:t>
      </w:r>
      <w:r w:rsidRPr="00A24219">
        <w:rPr>
          <w:rFonts w:ascii="Verdana" w:hAnsi="Verdana" w:cs="Verdana"/>
          <w:sz w:val="20"/>
          <w:szCs w:val="20"/>
          <w:lang w:val="es-ES"/>
        </w:rPr>
        <w:t xml:space="preserve">15.1, 26.1, 31.2, 35.1, 40.2, 41.1, </w:t>
      </w:r>
      <w:r>
        <w:rPr>
          <w:rFonts w:ascii="Verdana" w:hAnsi="Verdana" w:cs="Verdana"/>
          <w:sz w:val="20"/>
          <w:szCs w:val="20"/>
          <w:lang w:val="es-ES"/>
        </w:rPr>
        <w:t xml:space="preserve">42.5, 42.6, 45 y </w:t>
      </w:r>
      <w:r w:rsidRPr="00A24219">
        <w:rPr>
          <w:rFonts w:ascii="Verdana" w:hAnsi="Verdana" w:cs="Verdana"/>
          <w:sz w:val="20"/>
          <w:szCs w:val="20"/>
          <w:lang w:val="es-ES"/>
        </w:rPr>
        <w:t>60 del Reglamento</w:t>
      </w:r>
      <w:r>
        <w:rPr>
          <w:rFonts w:ascii="Verdana" w:hAnsi="Verdana" w:cs="Verdana"/>
          <w:sz w:val="20"/>
          <w:szCs w:val="20"/>
          <w:lang w:val="es-ES"/>
        </w:rPr>
        <w:t>,</w:t>
      </w:r>
    </w:p>
    <w:p w:rsidR="00BC38E3" w:rsidRPr="00742F1C" w:rsidRDefault="00BC38E3" w:rsidP="009A0ED4">
      <w:pPr>
        <w:spacing w:beforeLines="60" w:afterLines="60" w:line="240" w:lineRule="auto"/>
        <w:jc w:val="both"/>
        <w:rPr>
          <w:rFonts w:ascii="Verdana" w:hAnsi="Verdana" w:cs="Verdana"/>
          <w:sz w:val="20"/>
          <w:szCs w:val="20"/>
          <w:lang w:val="es-ES"/>
        </w:rPr>
      </w:pPr>
    </w:p>
    <w:p w:rsidR="00F755E3" w:rsidRPr="00742F1C" w:rsidRDefault="00F755E3" w:rsidP="009A0ED4">
      <w:pPr>
        <w:spacing w:beforeLines="60" w:afterLines="60" w:line="240" w:lineRule="auto"/>
        <w:jc w:val="both"/>
        <w:rPr>
          <w:rFonts w:ascii="Verdana" w:hAnsi="Verdana" w:cs="Verdana"/>
          <w:b/>
          <w:bCs/>
          <w:caps/>
          <w:sz w:val="20"/>
          <w:szCs w:val="20"/>
        </w:rPr>
      </w:pPr>
      <w:r w:rsidRPr="00742F1C">
        <w:rPr>
          <w:rFonts w:ascii="Verdana" w:hAnsi="Verdana" w:cs="Verdana"/>
          <w:b/>
          <w:bCs/>
          <w:caps/>
          <w:sz w:val="20"/>
          <w:szCs w:val="20"/>
        </w:rPr>
        <w:t>Resuelve:</w:t>
      </w:r>
    </w:p>
    <w:p w:rsidR="00F755E3" w:rsidRPr="00742F1C" w:rsidRDefault="00F755E3" w:rsidP="009A0ED4">
      <w:pPr>
        <w:pStyle w:val="Default"/>
        <w:tabs>
          <w:tab w:val="num" w:pos="0"/>
        </w:tabs>
        <w:spacing w:beforeLines="60" w:afterLines="60"/>
        <w:jc w:val="both"/>
        <w:rPr>
          <w:rFonts w:ascii="Verdana" w:hAnsi="Verdana" w:cs="Verdana"/>
          <w:color w:val="auto"/>
          <w:sz w:val="20"/>
          <w:szCs w:val="20"/>
        </w:rPr>
      </w:pPr>
    </w:p>
    <w:p w:rsidR="006E33AB" w:rsidRPr="00742F1C" w:rsidRDefault="006E33AB" w:rsidP="009A0ED4">
      <w:pPr>
        <w:pStyle w:val="ColorfulList-Accent11"/>
        <w:numPr>
          <w:ilvl w:val="0"/>
          <w:numId w:val="4"/>
        </w:numPr>
        <w:tabs>
          <w:tab w:val="clear" w:pos="360"/>
          <w:tab w:val="num" w:pos="0"/>
        </w:tabs>
        <w:autoSpaceDE w:val="0"/>
        <w:autoSpaceDN w:val="0"/>
        <w:adjustRightInd w:val="0"/>
        <w:spacing w:beforeLines="60" w:afterLines="60"/>
        <w:ind w:left="0" w:firstLine="0"/>
        <w:jc w:val="both"/>
        <w:rPr>
          <w:rFonts w:ascii="Verdana" w:hAnsi="Verdana" w:cs="Verdana"/>
          <w:sz w:val="20"/>
          <w:szCs w:val="20"/>
        </w:rPr>
      </w:pPr>
      <w:bookmarkStart w:id="11" w:name="_Ref230577466"/>
      <w:bookmarkStart w:id="12" w:name="_Ref326587115"/>
      <w:r w:rsidRPr="00742F1C">
        <w:rPr>
          <w:rFonts w:ascii="Verdana" w:hAnsi="Verdana" w:cs="Verdana"/>
          <w:sz w:val="20"/>
          <w:szCs w:val="20"/>
        </w:rPr>
        <w:t xml:space="preserve">Convocar al Estado de Costa Rica, a los intervinientes comunes y a la Comisión Interamericana de Derechos Humanos a una audiencia pública sobre las excepciones preliminares interpuestas en el presente caso, que se celebrará durante el 117 Período Ordinario de Sesiones, </w:t>
      </w:r>
      <w:r w:rsidR="0055079E">
        <w:rPr>
          <w:rFonts w:ascii="Verdana" w:hAnsi="Verdana" w:cs="Verdana"/>
          <w:sz w:val="20"/>
          <w:szCs w:val="20"/>
        </w:rPr>
        <w:t>el cual</w:t>
      </w:r>
      <w:r w:rsidR="0055079E" w:rsidRPr="00742F1C">
        <w:rPr>
          <w:rFonts w:ascii="Verdana" w:hAnsi="Verdana" w:cs="Verdana"/>
          <w:sz w:val="20"/>
          <w:szCs w:val="20"/>
        </w:rPr>
        <w:t xml:space="preserve"> </w:t>
      </w:r>
      <w:r w:rsidRPr="00742F1C">
        <w:rPr>
          <w:rFonts w:ascii="Verdana" w:hAnsi="Verdana" w:cs="Verdana"/>
          <w:sz w:val="20"/>
          <w:szCs w:val="20"/>
        </w:rPr>
        <w:t xml:space="preserve">se llevará a cabo en la ciudad de </w:t>
      </w:r>
      <w:r w:rsidR="00E371FE">
        <w:rPr>
          <w:rFonts w:ascii="Verdana" w:hAnsi="Verdana" w:cs="Verdana"/>
          <w:sz w:val="20"/>
          <w:szCs w:val="20"/>
        </w:rPr>
        <w:t>S</w:t>
      </w:r>
      <w:r w:rsidRPr="00742F1C">
        <w:rPr>
          <w:rFonts w:ascii="Verdana" w:hAnsi="Verdana" w:cs="Verdana"/>
          <w:sz w:val="20"/>
          <w:szCs w:val="20"/>
        </w:rPr>
        <w:t xml:space="preserve">an José, Costa Rica, el día </w:t>
      </w:r>
      <w:r w:rsidR="009F36E4">
        <w:rPr>
          <w:rFonts w:ascii="Verdana" w:hAnsi="Verdana" w:cs="Verdana"/>
          <w:sz w:val="20"/>
          <w:szCs w:val="20"/>
        </w:rPr>
        <w:t>8</w:t>
      </w:r>
      <w:r w:rsidR="009F36E4" w:rsidRPr="00742F1C">
        <w:rPr>
          <w:rFonts w:ascii="Verdana" w:hAnsi="Verdana" w:cs="Verdana"/>
          <w:sz w:val="20"/>
          <w:szCs w:val="20"/>
        </w:rPr>
        <w:t xml:space="preserve"> </w:t>
      </w:r>
      <w:r w:rsidRPr="00742F1C">
        <w:rPr>
          <w:rFonts w:ascii="Verdana" w:hAnsi="Verdana" w:cs="Verdana"/>
          <w:sz w:val="20"/>
          <w:szCs w:val="20"/>
        </w:rPr>
        <w:t xml:space="preserve">de febrero de 2017 a partir de las </w:t>
      </w:r>
      <w:r w:rsidR="009F36E4">
        <w:rPr>
          <w:rFonts w:ascii="Verdana" w:hAnsi="Verdana" w:cs="Verdana"/>
          <w:sz w:val="20"/>
          <w:szCs w:val="20"/>
        </w:rPr>
        <w:t>9:00</w:t>
      </w:r>
      <w:r w:rsidR="009F36E4" w:rsidRPr="00742F1C">
        <w:rPr>
          <w:rFonts w:ascii="Verdana" w:hAnsi="Verdana" w:cs="Verdana"/>
          <w:sz w:val="20"/>
          <w:szCs w:val="20"/>
        </w:rPr>
        <w:t xml:space="preserve"> </w:t>
      </w:r>
      <w:r w:rsidRPr="00742F1C">
        <w:rPr>
          <w:rFonts w:ascii="Verdana" w:hAnsi="Verdana" w:cs="Verdana"/>
          <w:sz w:val="20"/>
          <w:szCs w:val="20"/>
        </w:rPr>
        <w:t>horas.</w:t>
      </w:r>
    </w:p>
    <w:p w:rsidR="006E33AB" w:rsidRPr="00742F1C" w:rsidRDefault="006E33AB" w:rsidP="009A0ED4">
      <w:pPr>
        <w:pStyle w:val="ColorfulList-Accent11"/>
        <w:autoSpaceDE w:val="0"/>
        <w:autoSpaceDN w:val="0"/>
        <w:adjustRightInd w:val="0"/>
        <w:spacing w:beforeLines="60" w:afterLines="60"/>
        <w:ind w:left="0"/>
        <w:jc w:val="both"/>
        <w:rPr>
          <w:rFonts w:ascii="Verdana" w:hAnsi="Verdana" w:cs="Verdana"/>
          <w:sz w:val="20"/>
          <w:szCs w:val="20"/>
        </w:rPr>
      </w:pPr>
    </w:p>
    <w:bookmarkEnd w:id="11"/>
    <w:bookmarkEnd w:id="12"/>
    <w:p w:rsidR="00373D95" w:rsidRDefault="00373D95" w:rsidP="009A0ED4">
      <w:pPr>
        <w:pStyle w:val="ColorfulList-Accent11"/>
        <w:numPr>
          <w:ilvl w:val="0"/>
          <w:numId w:val="4"/>
        </w:numPr>
        <w:tabs>
          <w:tab w:val="clear" w:pos="360"/>
          <w:tab w:val="num" w:pos="0"/>
        </w:tabs>
        <w:autoSpaceDE w:val="0"/>
        <w:autoSpaceDN w:val="0"/>
        <w:adjustRightInd w:val="0"/>
        <w:spacing w:beforeLines="60" w:afterLines="60"/>
        <w:ind w:left="0" w:firstLine="0"/>
        <w:jc w:val="both"/>
        <w:rPr>
          <w:rFonts w:ascii="Verdana" w:hAnsi="Verdana" w:cs="Verdana"/>
          <w:sz w:val="20"/>
          <w:szCs w:val="20"/>
        </w:rPr>
      </w:pPr>
      <w:r w:rsidRPr="00BA37A8">
        <w:rPr>
          <w:rFonts w:ascii="Verdana" w:hAnsi="Verdana" w:cs="Verdana"/>
          <w:sz w:val="20"/>
          <w:szCs w:val="20"/>
        </w:rPr>
        <w:t xml:space="preserve">Disponer que la Secretaría de la Corte, de conformidad con lo dispuesto en el artículo 55.3 del Reglamento, indique a la Comisión Interamericana, a los intervinientes comunes y al Estado el enlace donde se encontrará disponible la grabación de la audiencia pública sobre </w:t>
      </w:r>
      <w:r>
        <w:rPr>
          <w:rFonts w:ascii="Verdana" w:hAnsi="Verdana" w:cs="Verdana"/>
          <w:sz w:val="20"/>
          <w:szCs w:val="20"/>
        </w:rPr>
        <w:t>las excepciones preliminares</w:t>
      </w:r>
      <w:r w:rsidRPr="00BA37A8">
        <w:rPr>
          <w:rFonts w:ascii="Verdana" w:hAnsi="Verdana" w:cs="Verdana"/>
          <w:sz w:val="20"/>
          <w:szCs w:val="20"/>
        </w:rPr>
        <w:t>, a la brevedad posible luego de la celebración de la referida audiencia.</w:t>
      </w:r>
    </w:p>
    <w:p w:rsidR="00373D95" w:rsidRDefault="00373D95" w:rsidP="009A0ED4">
      <w:pPr>
        <w:pStyle w:val="ListParagraph"/>
        <w:numPr>
          <w:ilvl w:val="0"/>
          <w:numId w:val="0"/>
        </w:numPr>
        <w:spacing w:beforeLines="60" w:afterLines="60"/>
      </w:pPr>
    </w:p>
    <w:p w:rsidR="00581C27" w:rsidRPr="00742F1C" w:rsidRDefault="00581C27" w:rsidP="009A0ED4">
      <w:pPr>
        <w:pStyle w:val="ColorfulList-Accent11"/>
        <w:numPr>
          <w:ilvl w:val="0"/>
          <w:numId w:val="4"/>
        </w:numPr>
        <w:tabs>
          <w:tab w:val="clear" w:pos="360"/>
          <w:tab w:val="num" w:pos="0"/>
        </w:tabs>
        <w:autoSpaceDE w:val="0"/>
        <w:autoSpaceDN w:val="0"/>
        <w:adjustRightInd w:val="0"/>
        <w:spacing w:beforeLines="60" w:afterLines="60"/>
        <w:ind w:left="0" w:firstLine="0"/>
        <w:jc w:val="both"/>
        <w:rPr>
          <w:rFonts w:ascii="Verdana" w:hAnsi="Verdana" w:cs="Verdana"/>
          <w:sz w:val="20"/>
          <w:szCs w:val="20"/>
        </w:rPr>
      </w:pPr>
      <w:r w:rsidRPr="00742F1C">
        <w:rPr>
          <w:rFonts w:ascii="Verdana" w:hAnsi="Verdana" w:cs="Verdana"/>
          <w:sz w:val="20"/>
          <w:szCs w:val="20"/>
        </w:rPr>
        <w:t xml:space="preserve">Declarar procedente la aplicación del Fondo de Asistencia Legal de Víctimas de la Corte Interamericana de Derechos Humanos para cubrir los gastos que ocasione la representación de las presuntas víctimas por parte de los defensores interamericanos, de conformidad con lo establecido en los párrafos considerativos </w:t>
      </w:r>
      <w:r w:rsidR="0055079E">
        <w:rPr>
          <w:rFonts w:ascii="Verdana" w:hAnsi="Verdana" w:cs="Verdana"/>
          <w:sz w:val="20"/>
          <w:szCs w:val="20"/>
        </w:rPr>
        <w:t>9 a 12</w:t>
      </w:r>
      <w:r w:rsidR="0055079E" w:rsidRPr="00742F1C">
        <w:rPr>
          <w:rFonts w:ascii="Verdana" w:hAnsi="Verdana" w:cs="Verdana"/>
          <w:sz w:val="20"/>
          <w:szCs w:val="20"/>
        </w:rPr>
        <w:t xml:space="preserve"> </w:t>
      </w:r>
      <w:r w:rsidRPr="00742F1C">
        <w:rPr>
          <w:rFonts w:ascii="Verdana" w:hAnsi="Verdana" w:cs="Verdana"/>
          <w:sz w:val="20"/>
          <w:szCs w:val="20"/>
        </w:rPr>
        <w:t>de esta Resolución.</w:t>
      </w:r>
    </w:p>
    <w:p w:rsidR="00581C27" w:rsidRPr="00742F1C" w:rsidRDefault="00581C27" w:rsidP="009A0ED4">
      <w:pPr>
        <w:widowControl w:val="0"/>
        <w:autoSpaceDE w:val="0"/>
        <w:autoSpaceDN w:val="0"/>
        <w:adjustRightInd w:val="0"/>
        <w:spacing w:beforeLines="60" w:afterLines="60" w:line="240" w:lineRule="auto"/>
        <w:ind w:right="22"/>
        <w:jc w:val="both"/>
        <w:rPr>
          <w:rFonts w:ascii="Verdana" w:hAnsi="Verdana" w:cs="Verdana"/>
          <w:color w:val="5F497A" w:themeColor="accent4" w:themeShade="BF"/>
          <w:sz w:val="20"/>
          <w:szCs w:val="20"/>
          <w:lang w:val="es-CR" w:eastAsia="es-ES"/>
        </w:rPr>
      </w:pPr>
    </w:p>
    <w:p w:rsidR="00581C27" w:rsidRPr="00742F1C" w:rsidRDefault="00581C27" w:rsidP="009A0ED4">
      <w:pPr>
        <w:pStyle w:val="ColorfulList-Accent11"/>
        <w:numPr>
          <w:ilvl w:val="0"/>
          <w:numId w:val="4"/>
        </w:numPr>
        <w:tabs>
          <w:tab w:val="clear" w:pos="360"/>
          <w:tab w:val="num" w:pos="0"/>
        </w:tabs>
        <w:autoSpaceDE w:val="0"/>
        <w:autoSpaceDN w:val="0"/>
        <w:adjustRightInd w:val="0"/>
        <w:spacing w:beforeLines="60" w:afterLines="60"/>
        <w:ind w:left="0" w:firstLine="0"/>
        <w:jc w:val="both"/>
        <w:rPr>
          <w:rFonts w:ascii="Verdana" w:hAnsi="Verdana" w:cs="Verdana"/>
          <w:sz w:val="20"/>
          <w:szCs w:val="20"/>
        </w:rPr>
      </w:pPr>
      <w:r w:rsidRPr="00742F1C">
        <w:rPr>
          <w:rFonts w:ascii="Verdana" w:hAnsi="Verdana" w:cs="Verdana"/>
          <w:sz w:val="20"/>
          <w:szCs w:val="20"/>
        </w:rPr>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w:t>
      </w:r>
    </w:p>
    <w:p w:rsidR="00A7593D" w:rsidRPr="00742F1C" w:rsidRDefault="00A7593D" w:rsidP="009A0ED4">
      <w:pPr>
        <w:pStyle w:val="ColorfulList-Accent11"/>
        <w:autoSpaceDE w:val="0"/>
        <w:autoSpaceDN w:val="0"/>
        <w:adjustRightInd w:val="0"/>
        <w:spacing w:beforeLines="60" w:afterLines="60"/>
        <w:ind w:left="360"/>
        <w:jc w:val="both"/>
        <w:rPr>
          <w:rFonts w:ascii="Verdana" w:hAnsi="Verdana" w:cs="Verdana"/>
          <w:sz w:val="20"/>
          <w:szCs w:val="20"/>
        </w:rPr>
      </w:pPr>
    </w:p>
    <w:p w:rsidR="0081799E" w:rsidRPr="00CD3F62" w:rsidRDefault="00F755E3" w:rsidP="009A0ED4">
      <w:pPr>
        <w:pStyle w:val="ColorfulList-Accent11"/>
        <w:numPr>
          <w:ilvl w:val="0"/>
          <w:numId w:val="4"/>
        </w:numPr>
        <w:tabs>
          <w:tab w:val="clear" w:pos="360"/>
          <w:tab w:val="num" w:pos="0"/>
        </w:tabs>
        <w:autoSpaceDE w:val="0"/>
        <w:autoSpaceDN w:val="0"/>
        <w:adjustRightInd w:val="0"/>
        <w:spacing w:beforeLines="60" w:afterLines="60"/>
        <w:ind w:left="0" w:firstLine="0"/>
        <w:jc w:val="both"/>
        <w:rPr>
          <w:rFonts w:ascii="Verdana" w:hAnsi="Verdana" w:cs="Verdana"/>
          <w:sz w:val="20"/>
          <w:szCs w:val="20"/>
        </w:rPr>
      </w:pPr>
      <w:r w:rsidRPr="00742F1C">
        <w:rPr>
          <w:rFonts w:ascii="Verdana" w:hAnsi="Verdana" w:cs="Verdana"/>
          <w:sz w:val="20"/>
          <w:szCs w:val="20"/>
        </w:rPr>
        <w:t xml:space="preserve">Disponer que la Secretaría de la Corte Interamericana notifique la presente Resolución a la Comisión Interamericana de Derechos Humanos, a los </w:t>
      </w:r>
      <w:r w:rsidR="00BA6556" w:rsidRPr="00742F1C">
        <w:rPr>
          <w:rFonts w:ascii="Verdana" w:hAnsi="Verdana" w:cs="Verdana"/>
          <w:sz w:val="20"/>
          <w:szCs w:val="20"/>
        </w:rPr>
        <w:t xml:space="preserve">intervinientes comunes </w:t>
      </w:r>
      <w:r w:rsidRPr="00742F1C">
        <w:rPr>
          <w:rFonts w:ascii="Verdana" w:hAnsi="Verdana" w:cs="Verdana"/>
          <w:sz w:val="20"/>
          <w:szCs w:val="20"/>
        </w:rPr>
        <w:t xml:space="preserve">representantes de las presuntas víctimas y </w:t>
      </w:r>
      <w:r w:rsidR="00BA6556" w:rsidRPr="00742F1C">
        <w:rPr>
          <w:rFonts w:ascii="Verdana" w:hAnsi="Verdana" w:cs="Verdana"/>
          <w:sz w:val="20"/>
          <w:szCs w:val="20"/>
        </w:rPr>
        <w:t xml:space="preserve">al </w:t>
      </w:r>
      <w:r w:rsidR="00BA6556" w:rsidRPr="00742F1C">
        <w:rPr>
          <w:rFonts w:ascii="Verdana" w:hAnsi="Verdana"/>
          <w:sz w:val="20"/>
          <w:szCs w:val="20"/>
          <w:lang w:val="es-ES"/>
        </w:rPr>
        <w:t>Estado de Costa Rica.</w:t>
      </w:r>
    </w:p>
    <w:p w:rsidR="00CD3F62" w:rsidRDefault="00CD3F62">
      <w:pPr>
        <w:rPr>
          <w:rFonts w:ascii="Verdana" w:hAnsi="Verdana" w:cs="Verdana"/>
          <w:sz w:val="20"/>
          <w:szCs w:val="20"/>
        </w:rPr>
      </w:pPr>
      <w:r>
        <w:br w:type="page"/>
      </w:r>
    </w:p>
    <w:p w:rsidR="009015FF" w:rsidRPr="00823EDD" w:rsidRDefault="009015FF" w:rsidP="009015FF">
      <w:pPr>
        <w:spacing w:after="0"/>
        <w:ind w:right="4"/>
        <w:jc w:val="both"/>
        <w:rPr>
          <w:rFonts w:ascii="Verdana" w:hAnsi="Verdana"/>
          <w:sz w:val="20"/>
          <w:lang w:val="es-CR"/>
        </w:rPr>
      </w:pPr>
      <w:r w:rsidRPr="00823EDD">
        <w:rPr>
          <w:rFonts w:ascii="Verdana" w:hAnsi="Verdana"/>
          <w:sz w:val="20"/>
          <w:lang w:val="es-ES"/>
        </w:rPr>
        <w:lastRenderedPageBreak/>
        <w:t xml:space="preserve">Resolución del Presidente de la Corte Interamericana de Derechos Humanos. </w:t>
      </w:r>
      <w:r>
        <w:rPr>
          <w:rFonts w:ascii="Verdana" w:hAnsi="Verdana"/>
          <w:sz w:val="20"/>
          <w:lang w:val="es-CR"/>
        </w:rPr>
        <w:t>Caso A</w:t>
      </w:r>
      <w:r w:rsidR="007D42D4">
        <w:rPr>
          <w:rFonts w:ascii="Verdana" w:hAnsi="Verdana"/>
          <w:sz w:val="20"/>
          <w:lang w:val="es-CR"/>
        </w:rPr>
        <w:t>m</w:t>
      </w:r>
      <w:r>
        <w:rPr>
          <w:rFonts w:ascii="Verdana" w:hAnsi="Verdana"/>
          <w:sz w:val="20"/>
          <w:lang w:val="es-CR"/>
        </w:rPr>
        <w:t>r</w:t>
      </w:r>
      <w:r w:rsidR="007D42D4">
        <w:rPr>
          <w:rFonts w:ascii="Verdana" w:hAnsi="Verdana"/>
          <w:sz w:val="20"/>
          <w:lang w:val="es-CR"/>
        </w:rPr>
        <w:t>h</w:t>
      </w:r>
      <w:r>
        <w:rPr>
          <w:rFonts w:ascii="Verdana" w:hAnsi="Verdana"/>
          <w:sz w:val="20"/>
          <w:lang w:val="es-CR"/>
        </w:rPr>
        <w:t>ein y otros</w:t>
      </w:r>
      <w:r w:rsidRPr="00823EDD">
        <w:rPr>
          <w:rFonts w:ascii="Verdana" w:hAnsi="Verdana"/>
          <w:sz w:val="20"/>
          <w:lang w:val="es-CR"/>
        </w:rPr>
        <w:t xml:space="preserve"> Vs. </w:t>
      </w:r>
      <w:r>
        <w:rPr>
          <w:rFonts w:ascii="Verdana" w:hAnsi="Verdana"/>
          <w:sz w:val="20"/>
          <w:lang w:val="es-CR"/>
        </w:rPr>
        <w:t>Costa Rica</w:t>
      </w:r>
      <w:r w:rsidRPr="00823EDD">
        <w:rPr>
          <w:rFonts w:ascii="Verdana" w:hAnsi="Verdana"/>
          <w:sz w:val="20"/>
          <w:lang w:val="es-CR"/>
        </w:rPr>
        <w:t xml:space="preserve">. </w:t>
      </w:r>
    </w:p>
    <w:p w:rsidR="009015FF" w:rsidRPr="00823EDD" w:rsidRDefault="009015FF" w:rsidP="009015FF">
      <w:pPr>
        <w:spacing w:before="120" w:after="0"/>
        <w:ind w:right="4"/>
        <w:rPr>
          <w:rFonts w:ascii="Verdana" w:hAnsi="Verdana" w:cs="Verdana"/>
          <w:b/>
          <w:bCs/>
          <w:i/>
          <w:sz w:val="20"/>
          <w:lang w:val="es-ES"/>
        </w:rPr>
      </w:pPr>
    </w:p>
    <w:p w:rsidR="009015FF" w:rsidRPr="00823EDD" w:rsidRDefault="009015FF" w:rsidP="009015FF">
      <w:pPr>
        <w:tabs>
          <w:tab w:val="left" w:pos="567"/>
        </w:tabs>
        <w:spacing w:after="0"/>
        <w:jc w:val="center"/>
        <w:rPr>
          <w:rFonts w:ascii="Verdana" w:hAnsi="Verdana"/>
          <w:b/>
          <w:spacing w:val="-4"/>
          <w:sz w:val="20"/>
          <w:lang w:val="es-CR"/>
        </w:rPr>
      </w:pPr>
    </w:p>
    <w:p w:rsidR="009015FF" w:rsidRPr="00823EDD" w:rsidRDefault="009015FF" w:rsidP="009015FF">
      <w:pPr>
        <w:spacing w:after="0"/>
        <w:jc w:val="center"/>
        <w:rPr>
          <w:rFonts w:ascii="Verdana" w:hAnsi="Verdana"/>
          <w:sz w:val="20"/>
          <w:lang w:val="es-CR"/>
        </w:rPr>
      </w:pPr>
    </w:p>
    <w:p w:rsidR="009015FF" w:rsidRPr="00823EDD" w:rsidRDefault="009015FF" w:rsidP="009015FF">
      <w:pPr>
        <w:spacing w:after="0"/>
        <w:jc w:val="center"/>
        <w:rPr>
          <w:rFonts w:ascii="Verdana" w:hAnsi="Verdana"/>
          <w:sz w:val="20"/>
          <w:lang w:val="es-ES"/>
        </w:rPr>
      </w:pPr>
    </w:p>
    <w:p w:rsidR="009015FF" w:rsidRPr="00823EDD" w:rsidRDefault="009015FF" w:rsidP="009015FF">
      <w:pPr>
        <w:spacing w:after="0"/>
        <w:jc w:val="center"/>
        <w:rPr>
          <w:rFonts w:ascii="Verdana" w:hAnsi="Verdana"/>
          <w:sz w:val="20"/>
          <w:lang w:val="es-ES"/>
        </w:rPr>
      </w:pPr>
    </w:p>
    <w:p w:rsidR="009015FF" w:rsidRPr="00823EDD" w:rsidRDefault="009015FF" w:rsidP="009015FF">
      <w:pPr>
        <w:spacing w:after="0"/>
        <w:jc w:val="center"/>
        <w:rPr>
          <w:rFonts w:ascii="Verdana" w:hAnsi="Verdana"/>
          <w:sz w:val="20"/>
          <w:lang w:val="es-ES"/>
        </w:rPr>
      </w:pPr>
    </w:p>
    <w:p w:rsidR="009015FF" w:rsidRPr="00823EDD" w:rsidRDefault="009015FF" w:rsidP="009015FF">
      <w:pPr>
        <w:spacing w:after="0"/>
        <w:jc w:val="center"/>
        <w:rPr>
          <w:rFonts w:ascii="Verdana" w:hAnsi="Verdana"/>
          <w:sz w:val="20"/>
          <w:lang w:val="es-ES"/>
        </w:rPr>
      </w:pPr>
    </w:p>
    <w:p w:rsidR="009015FF" w:rsidRPr="00823EDD" w:rsidRDefault="009015FF" w:rsidP="009015FF">
      <w:pPr>
        <w:spacing w:after="0"/>
        <w:jc w:val="center"/>
        <w:rPr>
          <w:rFonts w:ascii="Verdana" w:hAnsi="Verdana"/>
          <w:sz w:val="20"/>
          <w:lang w:val="es-ES"/>
        </w:rPr>
      </w:pPr>
    </w:p>
    <w:p w:rsidR="009015FF" w:rsidRPr="00823EDD" w:rsidRDefault="009015FF" w:rsidP="009015FF">
      <w:pPr>
        <w:spacing w:after="0"/>
        <w:ind w:left="5040" w:firstLine="720"/>
        <w:jc w:val="center"/>
        <w:rPr>
          <w:rFonts w:ascii="Verdana" w:hAnsi="Verdana"/>
          <w:sz w:val="20"/>
          <w:lang w:val="es-ES"/>
        </w:rPr>
      </w:pPr>
      <w:r w:rsidRPr="00823EDD">
        <w:rPr>
          <w:rFonts w:ascii="Verdana" w:hAnsi="Verdana"/>
          <w:sz w:val="20"/>
          <w:lang w:val="es-ES"/>
        </w:rPr>
        <w:t>Roberto F. Caldas</w:t>
      </w:r>
    </w:p>
    <w:p w:rsidR="009015FF" w:rsidRPr="00823EDD" w:rsidRDefault="009015FF" w:rsidP="009015FF">
      <w:pPr>
        <w:spacing w:after="0"/>
        <w:ind w:left="5040" w:firstLine="720"/>
        <w:jc w:val="center"/>
        <w:rPr>
          <w:rFonts w:ascii="Verdana" w:hAnsi="Verdana"/>
          <w:sz w:val="20"/>
          <w:lang w:val="es-ES"/>
        </w:rPr>
      </w:pPr>
      <w:r w:rsidRPr="00823EDD">
        <w:rPr>
          <w:rFonts w:ascii="Verdana" w:hAnsi="Verdana"/>
          <w:sz w:val="20"/>
          <w:lang w:val="es-ES"/>
        </w:rPr>
        <w:t xml:space="preserve">Presidente </w:t>
      </w:r>
    </w:p>
    <w:p w:rsidR="009015FF" w:rsidRPr="00823EDD" w:rsidRDefault="009015FF" w:rsidP="009015FF">
      <w:pPr>
        <w:spacing w:after="0"/>
        <w:rPr>
          <w:rFonts w:ascii="Verdana" w:hAnsi="Verdana"/>
          <w:sz w:val="20"/>
          <w:lang w:val="es-ES"/>
        </w:rPr>
      </w:pPr>
    </w:p>
    <w:p w:rsidR="009015FF" w:rsidRPr="00823EDD" w:rsidRDefault="009015FF" w:rsidP="009015FF">
      <w:pPr>
        <w:spacing w:after="0"/>
        <w:rPr>
          <w:rFonts w:ascii="Verdana" w:hAnsi="Verdana"/>
          <w:sz w:val="20"/>
          <w:lang w:val="es-ES"/>
        </w:rPr>
      </w:pPr>
    </w:p>
    <w:p w:rsidR="009015FF" w:rsidRPr="00823EDD" w:rsidRDefault="009015FF" w:rsidP="009015FF">
      <w:pPr>
        <w:spacing w:after="0"/>
        <w:rPr>
          <w:rFonts w:ascii="Verdana" w:hAnsi="Verdana"/>
          <w:sz w:val="20"/>
          <w:lang w:val="es-ES"/>
        </w:rPr>
      </w:pPr>
    </w:p>
    <w:p w:rsidR="009015FF" w:rsidRPr="00823EDD" w:rsidRDefault="009015FF" w:rsidP="009015FF">
      <w:pPr>
        <w:spacing w:after="0"/>
        <w:rPr>
          <w:rFonts w:ascii="Verdana" w:hAnsi="Verdana"/>
          <w:sz w:val="20"/>
          <w:lang w:val="es-ES"/>
        </w:rPr>
      </w:pPr>
    </w:p>
    <w:p w:rsidR="009015FF" w:rsidRPr="00823EDD" w:rsidRDefault="009015FF" w:rsidP="009015FF">
      <w:pPr>
        <w:spacing w:after="0"/>
        <w:rPr>
          <w:rFonts w:ascii="Verdana" w:hAnsi="Verdana"/>
          <w:sz w:val="20"/>
          <w:lang w:val="es-ES"/>
        </w:rPr>
      </w:pPr>
    </w:p>
    <w:p w:rsidR="009015FF" w:rsidRPr="00823EDD" w:rsidRDefault="009015FF" w:rsidP="009015FF">
      <w:pPr>
        <w:spacing w:after="0"/>
        <w:rPr>
          <w:rFonts w:ascii="Verdana" w:hAnsi="Verdana"/>
          <w:sz w:val="20"/>
          <w:lang w:val="es-ES"/>
        </w:rPr>
      </w:pPr>
      <w:r w:rsidRPr="00823EDD">
        <w:rPr>
          <w:rFonts w:ascii="Verdana" w:hAnsi="Verdana"/>
          <w:sz w:val="20"/>
          <w:lang w:val="es-ES"/>
        </w:rPr>
        <w:t>Pablo Saavedra Alessandri</w:t>
      </w:r>
    </w:p>
    <w:p w:rsidR="009015FF" w:rsidRPr="00823EDD" w:rsidRDefault="009015FF" w:rsidP="009015FF">
      <w:pPr>
        <w:spacing w:after="0"/>
        <w:rPr>
          <w:rFonts w:ascii="Verdana" w:hAnsi="Verdana"/>
          <w:sz w:val="20"/>
          <w:lang w:val="es-ES"/>
        </w:rPr>
      </w:pPr>
      <w:r w:rsidRPr="00823EDD">
        <w:rPr>
          <w:rFonts w:ascii="Verdana" w:hAnsi="Verdana"/>
          <w:sz w:val="20"/>
          <w:lang w:val="es-ES"/>
        </w:rPr>
        <w:t xml:space="preserve">          Secretario </w:t>
      </w:r>
    </w:p>
    <w:p w:rsidR="009015FF" w:rsidRPr="00823EDD" w:rsidRDefault="009015FF" w:rsidP="009015FF">
      <w:pPr>
        <w:spacing w:after="0"/>
        <w:jc w:val="center"/>
        <w:rPr>
          <w:rFonts w:ascii="Verdana" w:hAnsi="Verdana"/>
          <w:sz w:val="20"/>
          <w:lang w:val="es-ES"/>
        </w:rPr>
      </w:pPr>
    </w:p>
    <w:p w:rsidR="009015FF" w:rsidRPr="00823EDD" w:rsidRDefault="009015FF" w:rsidP="009015FF">
      <w:pPr>
        <w:spacing w:after="0"/>
        <w:jc w:val="center"/>
        <w:rPr>
          <w:rFonts w:ascii="Verdana" w:hAnsi="Verdana"/>
          <w:sz w:val="20"/>
          <w:lang w:val="es-CR"/>
        </w:rPr>
      </w:pPr>
      <w:r w:rsidRPr="00823EDD">
        <w:rPr>
          <w:rFonts w:ascii="Verdana" w:hAnsi="Verdana"/>
          <w:sz w:val="20"/>
          <w:lang w:val="es-CR"/>
        </w:rPr>
        <w:tab/>
      </w:r>
    </w:p>
    <w:p w:rsidR="009015FF" w:rsidRPr="00823EDD" w:rsidRDefault="009015FF" w:rsidP="009015FF">
      <w:pPr>
        <w:spacing w:after="0"/>
        <w:rPr>
          <w:rFonts w:ascii="Verdana" w:hAnsi="Verdana"/>
          <w:sz w:val="20"/>
          <w:lang w:val="es-CR"/>
        </w:rPr>
      </w:pPr>
    </w:p>
    <w:p w:rsidR="009015FF" w:rsidRPr="00823EDD" w:rsidRDefault="009015FF" w:rsidP="009015FF">
      <w:pPr>
        <w:spacing w:after="0"/>
        <w:rPr>
          <w:rFonts w:ascii="Verdana" w:hAnsi="Verdana"/>
          <w:sz w:val="20"/>
          <w:lang w:val="es-CR"/>
        </w:rPr>
      </w:pPr>
    </w:p>
    <w:p w:rsidR="009015FF" w:rsidRPr="00823EDD" w:rsidRDefault="009015FF" w:rsidP="009015FF">
      <w:pPr>
        <w:spacing w:after="0"/>
        <w:rPr>
          <w:rFonts w:ascii="Verdana" w:hAnsi="Verdana"/>
          <w:sz w:val="20"/>
          <w:lang w:val="es-CR"/>
        </w:rPr>
      </w:pPr>
    </w:p>
    <w:p w:rsidR="009015FF" w:rsidRPr="00823EDD" w:rsidRDefault="009015FF" w:rsidP="009015FF">
      <w:pPr>
        <w:spacing w:after="0"/>
        <w:rPr>
          <w:rFonts w:ascii="Verdana" w:hAnsi="Verdana"/>
          <w:sz w:val="20"/>
          <w:lang w:val="es-CR"/>
        </w:rPr>
      </w:pPr>
    </w:p>
    <w:p w:rsidR="009015FF" w:rsidRPr="00823EDD" w:rsidRDefault="009015FF" w:rsidP="009015FF">
      <w:pPr>
        <w:spacing w:after="0"/>
        <w:rPr>
          <w:rFonts w:ascii="Verdana" w:hAnsi="Verdana"/>
          <w:sz w:val="20"/>
          <w:lang w:val="es-CR"/>
        </w:rPr>
      </w:pPr>
    </w:p>
    <w:p w:rsidR="009015FF" w:rsidRPr="00823EDD" w:rsidRDefault="009015FF" w:rsidP="009015FF">
      <w:pPr>
        <w:spacing w:after="0"/>
        <w:rPr>
          <w:rFonts w:ascii="Verdana" w:hAnsi="Verdana"/>
          <w:sz w:val="20"/>
          <w:lang w:val="es-CR"/>
        </w:rPr>
      </w:pPr>
      <w:r w:rsidRPr="00823EDD">
        <w:rPr>
          <w:rFonts w:ascii="Verdana" w:hAnsi="Verdana"/>
          <w:sz w:val="20"/>
          <w:lang w:val="es-CR"/>
        </w:rPr>
        <w:t>Comuníquese y ejecútese,</w:t>
      </w:r>
    </w:p>
    <w:p w:rsidR="009015FF" w:rsidRPr="00823EDD" w:rsidRDefault="009015FF" w:rsidP="009015FF">
      <w:pPr>
        <w:spacing w:after="0"/>
        <w:jc w:val="center"/>
        <w:rPr>
          <w:rFonts w:ascii="Verdana" w:hAnsi="Verdana"/>
          <w:sz w:val="20"/>
          <w:lang w:val="es-CR"/>
        </w:rPr>
      </w:pPr>
    </w:p>
    <w:p w:rsidR="009015FF" w:rsidRPr="00823EDD" w:rsidRDefault="009015FF" w:rsidP="009015FF">
      <w:pPr>
        <w:spacing w:after="0"/>
        <w:jc w:val="center"/>
        <w:rPr>
          <w:rFonts w:ascii="Verdana" w:hAnsi="Verdana"/>
          <w:sz w:val="20"/>
          <w:lang w:val="es-CR"/>
        </w:rPr>
      </w:pPr>
    </w:p>
    <w:p w:rsidR="009015FF" w:rsidRPr="00823EDD" w:rsidRDefault="009015FF" w:rsidP="009015FF">
      <w:pPr>
        <w:spacing w:after="0"/>
        <w:jc w:val="center"/>
        <w:rPr>
          <w:rFonts w:ascii="Verdana" w:hAnsi="Verdana"/>
          <w:sz w:val="20"/>
          <w:lang w:val="es-ES"/>
        </w:rPr>
      </w:pPr>
    </w:p>
    <w:p w:rsidR="009015FF" w:rsidRPr="00823EDD" w:rsidRDefault="009015FF" w:rsidP="009015FF">
      <w:pPr>
        <w:spacing w:after="0"/>
        <w:jc w:val="center"/>
        <w:rPr>
          <w:rFonts w:ascii="Verdana" w:hAnsi="Verdana"/>
          <w:sz w:val="20"/>
          <w:lang w:val="es-ES"/>
        </w:rPr>
      </w:pPr>
    </w:p>
    <w:p w:rsidR="009015FF" w:rsidRPr="00823EDD" w:rsidRDefault="009015FF" w:rsidP="009015FF">
      <w:pPr>
        <w:spacing w:after="0"/>
        <w:jc w:val="center"/>
        <w:rPr>
          <w:rFonts w:ascii="Verdana" w:hAnsi="Verdana"/>
          <w:sz w:val="20"/>
          <w:lang w:val="es-ES"/>
        </w:rPr>
      </w:pPr>
    </w:p>
    <w:p w:rsidR="009015FF" w:rsidRPr="00823EDD" w:rsidRDefault="009015FF" w:rsidP="009015FF">
      <w:pPr>
        <w:spacing w:after="0"/>
        <w:jc w:val="center"/>
        <w:rPr>
          <w:rFonts w:ascii="Verdana" w:hAnsi="Verdana"/>
          <w:sz w:val="20"/>
          <w:lang w:val="es-ES"/>
        </w:rPr>
      </w:pPr>
    </w:p>
    <w:p w:rsidR="009015FF" w:rsidRPr="00823EDD" w:rsidRDefault="009015FF" w:rsidP="009015FF">
      <w:pPr>
        <w:spacing w:after="0"/>
        <w:jc w:val="center"/>
        <w:rPr>
          <w:rFonts w:ascii="Verdana" w:hAnsi="Verdana"/>
          <w:sz w:val="20"/>
          <w:lang w:val="es-ES"/>
        </w:rPr>
      </w:pPr>
    </w:p>
    <w:p w:rsidR="009015FF" w:rsidRPr="00823EDD" w:rsidRDefault="009015FF" w:rsidP="009015FF">
      <w:pPr>
        <w:spacing w:after="0"/>
        <w:jc w:val="center"/>
        <w:rPr>
          <w:rFonts w:ascii="Verdana" w:hAnsi="Verdana"/>
          <w:sz w:val="20"/>
          <w:lang w:val="es-ES"/>
        </w:rPr>
      </w:pPr>
    </w:p>
    <w:p w:rsidR="009015FF" w:rsidRPr="00823EDD" w:rsidRDefault="009015FF" w:rsidP="009015FF">
      <w:pPr>
        <w:spacing w:after="0"/>
        <w:ind w:left="5040" w:firstLine="720"/>
        <w:jc w:val="center"/>
        <w:rPr>
          <w:rFonts w:ascii="Verdana" w:hAnsi="Verdana"/>
          <w:sz w:val="20"/>
          <w:lang w:val="es-ES"/>
        </w:rPr>
      </w:pPr>
      <w:r w:rsidRPr="00823EDD">
        <w:rPr>
          <w:rFonts w:ascii="Verdana" w:hAnsi="Verdana"/>
          <w:sz w:val="20"/>
          <w:lang w:val="es-ES"/>
        </w:rPr>
        <w:t>Roberto F. Caldas</w:t>
      </w:r>
    </w:p>
    <w:p w:rsidR="009015FF" w:rsidRPr="00823EDD" w:rsidRDefault="009015FF" w:rsidP="009015FF">
      <w:pPr>
        <w:spacing w:after="0"/>
        <w:ind w:left="5040" w:firstLine="720"/>
        <w:jc w:val="center"/>
        <w:rPr>
          <w:rFonts w:ascii="Verdana" w:hAnsi="Verdana"/>
          <w:sz w:val="20"/>
          <w:lang w:val="es-ES"/>
        </w:rPr>
      </w:pPr>
      <w:r w:rsidRPr="00823EDD">
        <w:rPr>
          <w:rFonts w:ascii="Verdana" w:hAnsi="Verdana"/>
          <w:sz w:val="20"/>
          <w:lang w:val="es-ES"/>
        </w:rPr>
        <w:t xml:space="preserve">Presidente </w:t>
      </w:r>
    </w:p>
    <w:p w:rsidR="009015FF" w:rsidRPr="00823EDD" w:rsidRDefault="009015FF" w:rsidP="009015FF">
      <w:pPr>
        <w:spacing w:after="0"/>
        <w:rPr>
          <w:rFonts w:ascii="Verdana" w:hAnsi="Verdana"/>
          <w:sz w:val="20"/>
          <w:lang w:val="es-ES"/>
        </w:rPr>
      </w:pPr>
    </w:p>
    <w:p w:rsidR="009015FF" w:rsidRPr="00823EDD" w:rsidRDefault="009015FF" w:rsidP="009015FF">
      <w:pPr>
        <w:spacing w:after="0"/>
        <w:rPr>
          <w:rFonts w:ascii="Verdana" w:hAnsi="Verdana"/>
          <w:sz w:val="20"/>
          <w:lang w:val="es-ES"/>
        </w:rPr>
      </w:pPr>
    </w:p>
    <w:p w:rsidR="009015FF" w:rsidRPr="00823EDD" w:rsidRDefault="009015FF" w:rsidP="009015FF">
      <w:pPr>
        <w:spacing w:after="0"/>
        <w:rPr>
          <w:rFonts w:ascii="Verdana" w:hAnsi="Verdana"/>
          <w:sz w:val="20"/>
          <w:lang w:val="es-ES"/>
        </w:rPr>
      </w:pPr>
    </w:p>
    <w:p w:rsidR="009015FF" w:rsidRPr="00823EDD" w:rsidRDefault="009015FF" w:rsidP="009015FF">
      <w:pPr>
        <w:spacing w:after="0"/>
        <w:rPr>
          <w:rFonts w:ascii="Verdana" w:hAnsi="Verdana"/>
          <w:sz w:val="20"/>
          <w:lang w:val="es-ES"/>
        </w:rPr>
      </w:pPr>
      <w:r w:rsidRPr="00823EDD">
        <w:rPr>
          <w:rFonts w:ascii="Verdana" w:hAnsi="Verdana"/>
          <w:sz w:val="20"/>
          <w:lang w:val="es-ES"/>
        </w:rPr>
        <w:t>Pablo Saavedra Alessandri</w:t>
      </w:r>
    </w:p>
    <w:p w:rsidR="009015FF" w:rsidRPr="00823EDD" w:rsidRDefault="009015FF" w:rsidP="009015FF">
      <w:pPr>
        <w:spacing w:after="0"/>
        <w:rPr>
          <w:rFonts w:ascii="Verdana" w:hAnsi="Verdana"/>
          <w:sz w:val="20"/>
          <w:lang w:val="es-ES"/>
        </w:rPr>
      </w:pPr>
      <w:r w:rsidRPr="00823EDD">
        <w:rPr>
          <w:rFonts w:ascii="Verdana" w:hAnsi="Verdana"/>
          <w:sz w:val="20"/>
          <w:lang w:val="es-ES"/>
        </w:rPr>
        <w:t xml:space="preserve">          Secretario </w:t>
      </w:r>
    </w:p>
    <w:p w:rsidR="009015FF" w:rsidRPr="00B80633" w:rsidRDefault="009015FF" w:rsidP="009015FF">
      <w:pPr>
        <w:spacing w:after="0"/>
        <w:rPr>
          <w:rFonts w:ascii="Times" w:hAnsi="Times"/>
          <w:lang w:val="es-CR"/>
        </w:rPr>
      </w:pPr>
    </w:p>
    <w:p w:rsidR="009015FF" w:rsidRDefault="009015FF" w:rsidP="009015FF">
      <w:pPr>
        <w:spacing w:after="0"/>
      </w:pPr>
    </w:p>
    <w:p w:rsidR="00CD3F62" w:rsidRPr="00742F1C" w:rsidRDefault="00CD3F62" w:rsidP="00BD27C3">
      <w:pPr>
        <w:pStyle w:val="ColorfulList-Accent11"/>
        <w:autoSpaceDE w:val="0"/>
        <w:autoSpaceDN w:val="0"/>
        <w:adjustRightInd w:val="0"/>
        <w:spacing w:beforeLines="60" w:afterLines="60"/>
        <w:ind w:left="0"/>
        <w:jc w:val="both"/>
        <w:rPr>
          <w:rFonts w:ascii="Verdana" w:hAnsi="Verdana" w:cs="Verdana"/>
          <w:sz w:val="20"/>
          <w:szCs w:val="20"/>
        </w:rPr>
      </w:pPr>
    </w:p>
    <w:sectPr w:rsidR="00CD3F62" w:rsidRPr="00742F1C" w:rsidSect="00BA37A8">
      <w:headerReference w:type="default" r:id="rId11"/>
      <w:pgSz w:w="12240" w:h="15840" w:code="1"/>
      <w:pgMar w:top="1296" w:right="1296" w:bottom="1296"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B11" w:rsidRDefault="00352B11" w:rsidP="00F755E3">
      <w:pPr>
        <w:spacing w:after="0" w:line="240" w:lineRule="auto"/>
      </w:pPr>
      <w:r>
        <w:separator/>
      </w:r>
    </w:p>
  </w:endnote>
  <w:endnote w:type="continuationSeparator" w:id="0">
    <w:p w:rsidR="00352B11" w:rsidRDefault="00352B11" w:rsidP="00F7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B11" w:rsidRDefault="00352B11" w:rsidP="00F755E3">
      <w:pPr>
        <w:spacing w:after="0" w:line="240" w:lineRule="auto"/>
      </w:pPr>
      <w:r>
        <w:separator/>
      </w:r>
    </w:p>
  </w:footnote>
  <w:footnote w:type="continuationSeparator" w:id="0">
    <w:p w:rsidR="00352B11" w:rsidRDefault="00352B11" w:rsidP="00F755E3">
      <w:pPr>
        <w:spacing w:after="0" w:line="240" w:lineRule="auto"/>
      </w:pPr>
      <w:r>
        <w:continuationSeparator/>
      </w:r>
    </w:p>
  </w:footnote>
  <w:footnote w:id="1">
    <w:p w:rsidR="00620903" w:rsidRPr="00E530BE" w:rsidRDefault="00620903" w:rsidP="00E530BE">
      <w:pPr>
        <w:pStyle w:val="FootnoteText"/>
        <w:rPr>
          <w:lang w:val="es-PR"/>
        </w:rPr>
      </w:pPr>
      <w:r w:rsidRPr="00E530BE">
        <w:rPr>
          <w:rStyle w:val="FootnoteReference"/>
        </w:rPr>
        <w:footnoteRef/>
      </w:r>
      <w:r w:rsidRPr="00E530BE">
        <w:t xml:space="preserve"> </w:t>
      </w:r>
      <w:r w:rsidRPr="00E530BE">
        <w:tab/>
        <w:t xml:space="preserve">Los intervinientes comunes representantes de las presuntas víctimas son: i) </w:t>
      </w:r>
      <w:r w:rsidRPr="00DE364A">
        <w:t>el señor Adrián Martínez Blanco de Factum Consorcio; ii) Servicios Interamericanos de Profesionales en Derechos Humanos (SIPDH)</w:t>
      </w:r>
      <w:r w:rsidRPr="00E530BE">
        <w:t xml:space="preserve">, y iii) </w:t>
      </w:r>
      <w:r w:rsidRPr="00DE364A">
        <w:t>José Arnoldo González Castro, Tomás Poblador Ramírez y Belinda Guevara Casaya, de la Asociación Interamericana de Defensorías Públicas</w:t>
      </w:r>
      <w:r>
        <w:t xml:space="preserve"> (AIDEF)</w:t>
      </w:r>
      <w:r w:rsidRPr="00DE364A">
        <w:t>.</w:t>
      </w:r>
    </w:p>
  </w:footnote>
  <w:footnote w:id="2">
    <w:p w:rsidR="00620903" w:rsidRPr="00C625BB" w:rsidRDefault="00620903">
      <w:pPr>
        <w:pStyle w:val="FootnoteText"/>
        <w:rPr>
          <w:lang w:val="es-PR"/>
        </w:rPr>
      </w:pPr>
      <w:r>
        <w:rPr>
          <w:rStyle w:val="FootnoteReference"/>
        </w:rPr>
        <w:footnoteRef/>
      </w:r>
      <w:r>
        <w:t xml:space="preserve"> </w:t>
      </w:r>
      <w:r>
        <w:tab/>
        <w:t xml:space="preserve">El </w:t>
      </w:r>
      <w:r w:rsidRPr="00E530BE">
        <w:t>1 de junio de 2015</w:t>
      </w:r>
      <w:r>
        <w:t xml:space="preserve"> los intervinientes comunes </w:t>
      </w:r>
      <w:r w:rsidRPr="00E530BE">
        <w:t xml:space="preserve">SIPDH remitieron </w:t>
      </w:r>
      <w:r>
        <w:t>dos</w:t>
      </w:r>
      <w:r w:rsidRPr="00E530BE">
        <w:t xml:space="preserve"> escrito</w:t>
      </w:r>
      <w:r>
        <w:t>s</w:t>
      </w:r>
      <w:r w:rsidRPr="00E530BE">
        <w:t xml:space="preserve"> de solicitudes</w:t>
      </w:r>
      <w:r>
        <w:t xml:space="preserve"> y</w:t>
      </w:r>
      <w:r w:rsidRPr="00E530BE">
        <w:t xml:space="preserve"> argumentos</w:t>
      </w:r>
      <w:r>
        <w:t xml:space="preserve"> correspondientes a dos grupos de presuntas víctimas, respectivamente</w:t>
      </w:r>
      <w:r w:rsidRPr="00E530BE">
        <w:t>.</w:t>
      </w:r>
      <w:r>
        <w:t xml:space="preserve"> </w:t>
      </w:r>
    </w:p>
  </w:footnote>
  <w:footnote w:id="3">
    <w:p w:rsidR="00620903" w:rsidRPr="00087103" w:rsidRDefault="00620903" w:rsidP="00EF4B33">
      <w:pPr>
        <w:pStyle w:val="FootnoteText"/>
        <w:rPr>
          <w:lang w:val="es-CR"/>
        </w:rPr>
      </w:pPr>
      <w:r w:rsidRPr="00087103">
        <w:rPr>
          <w:rStyle w:val="FootnoteReference"/>
        </w:rPr>
        <w:footnoteRef/>
      </w:r>
      <w:r w:rsidRPr="00087103">
        <w:rPr>
          <w:lang w:val="es-CR"/>
        </w:rPr>
        <w:t xml:space="preserve"> </w:t>
      </w:r>
      <w:r w:rsidRPr="00087103">
        <w:rPr>
          <w:lang w:val="es-CR"/>
        </w:rPr>
        <w:tab/>
        <w:t xml:space="preserve">En dicha Resolución la Corte </w:t>
      </w:r>
      <w:r>
        <w:rPr>
          <w:lang w:val="es-CR"/>
        </w:rPr>
        <w:t>declaró</w:t>
      </w:r>
      <w:r w:rsidRPr="00087103">
        <w:rPr>
          <w:lang w:val="es-CR"/>
        </w:rPr>
        <w:t xml:space="preserve"> que “el Estado ha dado cumplimiento en forma total a los puntos resolutivos de la Sentencia emitida en el presente caso que establecen que el Estado debe: […] b) adecuar su ordenamiento jurídico interno a lo establecido en el artículo 8.2.h de la Convención Americana sobre Derechos Humanos, en relación con el artículo 2 de la misma (</w:t>
      </w:r>
      <w:r w:rsidRPr="00BA37A8">
        <w:rPr>
          <w:i/>
          <w:lang w:val="es-CR"/>
        </w:rPr>
        <w:t>punto resolutivo quinto de la Sentencia</w:t>
      </w:r>
      <w:r w:rsidRPr="00087103">
        <w:rPr>
          <w:lang w:val="es-CR"/>
        </w:rPr>
        <w:t>)”, y resolvió “[d]ar por concluido el caso Herrera Ulloa, dado que la República de Costa Rica ha dado cumplimiento íntegro a lo ordenado en la Sentencia emitida por la Corte […] el 2 de julio de 2004”.</w:t>
      </w:r>
    </w:p>
  </w:footnote>
  <w:footnote w:id="4">
    <w:p w:rsidR="00620903" w:rsidRPr="00DE364A" w:rsidRDefault="00620903" w:rsidP="00DE364A">
      <w:pPr>
        <w:pStyle w:val="FootnoteText"/>
        <w:rPr>
          <w:bCs/>
        </w:rPr>
      </w:pPr>
      <w:r w:rsidRPr="00E530BE">
        <w:rPr>
          <w:rStyle w:val="FootnoteReference"/>
        </w:rPr>
        <w:footnoteRef/>
      </w:r>
      <w:r w:rsidRPr="00E530BE">
        <w:t xml:space="preserve"> </w:t>
      </w:r>
      <w:r w:rsidRPr="00E530BE">
        <w:tab/>
      </w:r>
      <w:r w:rsidRPr="00E530BE">
        <w:rPr>
          <w:i/>
          <w:iCs/>
        </w:rPr>
        <w:t xml:space="preserve">Cfr. Caso de las Hermanas Serrano Cruz Vs. El Salvador. Excepciones Preliminares. </w:t>
      </w:r>
      <w:r w:rsidRPr="00E530BE">
        <w:t xml:space="preserve">Sentencia de 23 de noviembre de 2004. Serie C No. 118, párr. 30, y </w:t>
      </w:r>
      <w:r w:rsidRPr="00E530BE">
        <w:rPr>
          <w:bCs/>
          <w:i/>
          <w:lang w:val="es-CR"/>
        </w:rPr>
        <w:t xml:space="preserve">Caso </w:t>
      </w:r>
      <w:r w:rsidRPr="004767E1">
        <w:rPr>
          <w:bCs/>
          <w:i/>
          <w:lang w:val="es-CR"/>
        </w:rPr>
        <w:t>Rodríguez V</w:t>
      </w:r>
      <w:r>
        <w:rPr>
          <w:bCs/>
          <w:i/>
          <w:lang w:val="es-CR"/>
        </w:rPr>
        <w:t>era y otros V</w:t>
      </w:r>
      <w:r w:rsidRPr="004767E1">
        <w:rPr>
          <w:bCs/>
          <w:i/>
          <w:lang w:val="es-CR"/>
        </w:rPr>
        <w:t>s. Colombia</w:t>
      </w:r>
      <w:r w:rsidRPr="00E530BE">
        <w:rPr>
          <w:bCs/>
          <w:i/>
          <w:lang w:val="es-CR"/>
        </w:rPr>
        <w:t>.</w:t>
      </w:r>
      <w:r w:rsidRPr="00E530BE">
        <w:rPr>
          <w:bCs/>
          <w:lang w:val="es-CR"/>
        </w:rPr>
        <w:t xml:space="preserve"> </w:t>
      </w:r>
      <w:r w:rsidRPr="00E530BE">
        <w:rPr>
          <w:bCs/>
        </w:rPr>
        <w:t xml:space="preserve">Resolución del Presidente de la Corte de </w:t>
      </w:r>
      <w:r>
        <w:rPr>
          <w:bCs/>
        </w:rPr>
        <w:t>30</w:t>
      </w:r>
      <w:r w:rsidRPr="00E530BE">
        <w:rPr>
          <w:bCs/>
        </w:rPr>
        <w:t xml:space="preserve"> de </w:t>
      </w:r>
      <w:r>
        <w:rPr>
          <w:bCs/>
        </w:rPr>
        <w:t>mayo</w:t>
      </w:r>
      <w:r w:rsidRPr="00E530BE">
        <w:rPr>
          <w:bCs/>
        </w:rPr>
        <w:t xml:space="preserve"> de 2013, Considerando</w:t>
      </w:r>
      <w:r>
        <w:rPr>
          <w:bCs/>
        </w:rPr>
        <w:t xml:space="preserve"> 6</w:t>
      </w:r>
      <w:r w:rsidRPr="00DE364A">
        <w:rPr>
          <w:bCs/>
        </w:rPr>
        <w:t>.</w:t>
      </w:r>
    </w:p>
  </w:footnote>
  <w:footnote w:id="5">
    <w:p w:rsidR="00620903" w:rsidRDefault="00620903" w:rsidP="003274C4">
      <w:pPr>
        <w:pStyle w:val="FootnoteText"/>
      </w:pPr>
      <w:r w:rsidRPr="00ED317C">
        <w:rPr>
          <w:rStyle w:val="FootnoteReference"/>
          <w:rFonts w:cs="Times"/>
        </w:rPr>
        <w:footnoteRef/>
      </w:r>
      <w:r w:rsidRPr="00ED317C">
        <w:t xml:space="preserve"> </w:t>
      </w:r>
      <w:r w:rsidRPr="00ED317C">
        <w:tab/>
        <w:t>Dicha norma prevé que “[e]n casos de presuntas víctimas sin representación legal debidamente acreditada, el Tribunal podrá designar un Defensor Interamericano de oficio que las represente durante la tramitación de[l] caso”.</w:t>
      </w:r>
    </w:p>
  </w:footnote>
  <w:footnote w:id="6">
    <w:p w:rsidR="00620903" w:rsidRPr="00F915A4" w:rsidRDefault="00620903" w:rsidP="003274C4">
      <w:pPr>
        <w:pStyle w:val="FootnoteText"/>
      </w:pPr>
      <w:r>
        <w:rPr>
          <w:rStyle w:val="FootnoteReference"/>
        </w:rPr>
        <w:footnoteRef/>
      </w:r>
      <w:r>
        <w:t xml:space="preserve"> </w:t>
      </w:r>
      <w:r>
        <w:tab/>
      </w:r>
      <w:r>
        <w:rPr>
          <w:i/>
        </w:rPr>
        <w:t xml:space="preserve">Cfr. Caso Familia Pacheco Tineo vs. Bolivia. </w:t>
      </w:r>
      <w:r>
        <w:t xml:space="preserve">Resolución del Presidente de la Corte de 19 de febrero de 2013, Considerando 11, y </w:t>
      </w:r>
      <w:r w:rsidRPr="00F915A4">
        <w:rPr>
          <w:i/>
        </w:rPr>
        <w:t xml:space="preserve">Pollo Rivera y otros Vs. Perú. Convocatoria de audiencia. </w:t>
      </w:r>
      <w:r w:rsidRPr="00F915A4">
        <w:t>Resolución del Presidente de la Corte Interamericana de Derechos Humanos de 10 de marzo de 2016</w:t>
      </w:r>
      <w:r>
        <w:t>, Considerando 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903" w:rsidRDefault="00BD27C3" w:rsidP="009015FF">
    <w:pPr>
      <w:pStyle w:val="Header"/>
      <w:tabs>
        <w:tab w:val="clear" w:pos="4252"/>
      </w:tabs>
      <w:jc w:val="center"/>
    </w:pPr>
    <w:r w:rsidRPr="00902F6D">
      <w:rPr>
        <w:rFonts w:ascii="Verdana" w:hAnsi="Verdana" w:cs="Verdana"/>
        <w:sz w:val="20"/>
        <w:szCs w:val="20"/>
      </w:rPr>
      <w:fldChar w:fldCharType="begin"/>
    </w:r>
    <w:r w:rsidR="00620903" w:rsidRPr="00902F6D">
      <w:rPr>
        <w:rFonts w:ascii="Verdana" w:hAnsi="Verdana" w:cs="Verdana"/>
        <w:sz w:val="20"/>
        <w:szCs w:val="20"/>
      </w:rPr>
      <w:instrText xml:space="preserve"> PAGE   \* MERGEFORMAT </w:instrText>
    </w:r>
    <w:r w:rsidRPr="00902F6D">
      <w:rPr>
        <w:rFonts w:ascii="Verdana" w:hAnsi="Verdana" w:cs="Verdana"/>
        <w:sz w:val="20"/>
        <w:szCs w:val="20"/>
      </w:rPr>
      <w:fldChar w:fldCharType="separate"/>
    </w:r>
    <w:r w:rsidR="009A0ED4">
      <w:rPr>
        <w:rFonts w:ascii="Verdana" w:hAnsi="Verdana" w:cs="Verdana"/>
        <w:noProof/>
        <w:sz w:val="20"/>
        <w:szCs w:val="20"/>
      </w:rPr>
      <w:t>7</w:t>
    </w:r>
    <w:r w:rsidRPr="00902F6D">
      <w:rPr>
        <w:rFonts w:ascii="Verdana" w:hAnsi="Verdana" w:cs="Verdana"/>
        <w:sz w:val="20"/>
        <w:szCs w:val="20"/>
      </w:rPr>
      <w:fldChar w:fldCharType="end"/>
    </w:r>
  </w:p>
  <w:p w:rsidR="00620903" w:rsidRDefault="006209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541"/>
    <w:multiLevelType w:val="hybridMultilevel"/>
    <w:tmpl w:val="EBD261D0"/>
    <w:lvl w:ilvl="0" w:tplc="2C0A0015">
      <w:start w:val="1"/>
      <w:numFmt w:val="upp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0E1E4AC2"/>
    <w:multiLevelType w:val="hybridMultilevel"/>
    <w:tmpl w:val="287C9FE0"/>
    <w:lvl w:ilvl="0" w:tplc="5CF6A57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E59155C"/>
    <w:multiLevelType w:val="hybridMultilevel"/>
    <w:tmpl w:val="CE1ED312"/>
    <w:lvl w:ilvl="0" w:tplc="140A0015">
      <w:start w:val="1"/>
      <w:numFmt w:val="upperLetter"/>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
    <w:nsid w:val="2A780770"/>
    <w:multiLevelType w:val="hybridMultilevel"/>
    <w:tmpl w:val="3DC8A7FE"/>
    <w:lvl w:ilvl="0" w:tplc="67E07D4A">
      <w:start w:val="1"/>
      <w:numFmt w:val="decimal"/>
      <w:lvlText w:val="%1."/>
      <w:lvlJc w:val="left"/>
      <w:pPr>
        <w:ind w:left="180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35682"/>
    <w:multiLevelType w:val="hybridMultilevel"/>
    <w:tmpl w:val="7A708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54B24"/>
    <w:multiLevelType w:val="hybridMultilevel"/>
    <w:tmpl w:val="68A8831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A38404A"/>
    <w:multiLevelType w:val="hybridMultilevel"/>
    <w:tmpl w:val="9D007E1A"/>
    <w:lvl w:ilvl="0" w:tplc="2D3CA86E">
      <w:start w:val="1"/>
      <w:numFmt w:val="decimal"/>
      <w:lvlText w:val="%1."/>
      <w:lvlJc w:val="left"/>
      <w:pPr>
        <w:tabs>
          <w:tab w:val="num" w:pos="720"/>
        </w:tabs>
      </w:pPr>
      <w:rPr>
        <w:rFonts w:ascii="Verdana" w:hAnsi="Verdana" w:cs="Verdana" w:hint="default"/>
        <w:b w:val="0"/>
        <w:bCs w:val="0"/>
        <w:i w:val="0"/>
        <w:iCs w:val="0"/>
        <w:color w:val="auto"/>
        <w:sz w:val="20"/>
        <w:szCs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nsid w:val="42004131"/>
    <w:multiLevelType w:val="hybridMultilevel"/>
    <w:tmpl w:val="27A07ED6"/>
    <w:lvl w:ilvl="0" w:tplc="4BC2C1C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C27779"/>
    <w:multiLevelType w:val="multilevel"/>
    <w:tmpl w:val="38DA8EF6"/>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20"/>
        </w:tabs>
        <w:ind w:left="720" w:hanging="360"/>
      </w:pPr>
      <w:rPr>
        <w:rFonts w:ascii="Verdana" w:hAnsi="Verdana" w:cs="Verdana" w:hint="default"/>
        <w:b w:val="0"/>
        <w:bCs w:val="0"/>
        <w:i/>
        <w:iCs/>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ED60F0"/>
    <w:multiLevelType w:val="hybridMultilevel"/>
    <w:tmpl w:val="A6546170"/>
    <w:lvl w:ilvl="0" w:tplc="D4A0A190">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15D6ECD"/>
    <w:multiLevelType w:val="hybridMultilevel"/>
    <w:tmpl w:val="48763D02"/>
    <w:lvl w:ilvl="0" w:tplc="ED0459E8">
      <w:start w:val="1"/>
      <w:numFmt w:val="lowerLetter"/>
      <w:lvlText w:val="%1)"/>
      <w:lvlJc w:val="left"/>
      <w:pPr>
        <w:ind w:left="1080" w:hanging="360"/>
      </w:pPr>
      <w:rPr>
        <w:rFonts w:ascii="Verdana" w:hAnsi="Verdana" w:cs="Verdana" w:hint="default"/>
        <w:sz w:val="20"/>
        <w:szCs w:val="20"/>
      </w:rPr>
    </w:lvl>
    <w:lvl w:ilvl="1" w:tplc="F4CE3BBA">
      <w:start w:val="1"/>
      <w:numFmt w:val="decimal"/>
      <w:pStyle w:val="ListParagraph"/>
      <w:lvlText w:val="%2."/>
      <w:lvlJc w:val="left"/>
      <w:pPr>
        <w:tabs>
          <w:tab w:val="num" w:pos="0"/>
        </w:tabs>
      </w:pPr>
      <w:rPr>
        <w:rFonts w:hint="default"/>
        <w:b w:val="0"/>
        <w:bCs w:val="0"/>
        <w:color w:val="auto"/>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1">
    <w:nsid w:val="644167C5"/>
    <w:multiLevelType w:val="hybridMultilevel"/>
    <w:tmpl w:val="56E2A2AE"/>
    <w:lvl w:ilvl="0" w:tplc="0FD0E226">
      <w:start w:val="2"/>
      <w:numFmt w:val="decimal"/>
      <w:lvlText w:val="%1."/>
      <w:lvlJc w:val="left"/>
      <w:pPr>
        <w:tabs>
          <w:tab w:val="num" w:pos="1440"/>
        </w:tabs>
      </w:pPr>
      <w:rPr>
        <w:rFonts w:ascii="Verdana" w:hAnsi="Verdan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E1F79D8"/>
    <w:multiLevelType w:val="hybridMultilevel"/>
    <w:tmpl w:val="CDFE3564"/>
    <w:lvl w:ilvl="0" w:tplc="5CF6A5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6"/>
  </w:num>
  <w:num w:numId="4">
    <w:abstractNumId w:val="8"/>
  </w:num>
  <w:num w:numId="5">
    <w:abstractNumId w:val="5"/>
  </w:num>
  <w:num w:numId="6">
    <w:abstractNumId w:val="2"/>
  </w:num>
  <w:num w:numId="7">
    <w:abstractNumId w:val="10"/>
  </w:num>
  <w:num w:numId="8">
    <w:abstractNumId w:val="12"/>
  </w:num>
  <w:num w:numId="9">
    <w:abstractNumId w:val="9"/>
  </w:num>
  <w:num w:numId="10">
    <w:abstractNumId w:val="10"/>
  </w:num>
  <w:num w:numId="11">
    <w:abstractNumId w:val="10"/>
  </w:num>
  <w:num w:numId="12">
    <w:abstractNumId w:val="10"/>
  </w:num>
  <w:num w:numId="13">
    <w:abstractNumId w:val="1"/>
  </w:num>
  <w:num w:numId="14">
    <w:abstractNumId w:val="3"/>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755E3"/>
    <w:rsid w:val="00040268"/>
    <w:rsid w:val="0004186D"/>
    <w:rsid w:val="0005086C"/>
    <w:rsid w:val="00080E7E"/>
    <w:rsid w:val="00081AEC"/>
    <w:rsid w:val="000A2F3A"/>
    <w:rsid w:val="000A6632"/>
    <w:rsid w:val="000A69B6"/>
    <w:rsid w:val="000B13E6"/>
    <w:rsid w:val="000D7183"/>
    <w:rsid w:val="000E48AA"/>
    <w:rsid w:val="00102C05"/>
    <w:rsid w:val="00112C75"/>
    <w:rsid w:val="00113B74"/>
    <w:rsid w:val="00117DF1"/>
    <w:rsid w:val="00134700"/>
    <w:rsid w:val="001628A2"/>
    <w:rsid w:val="00163F49"/>
    <w:rsid w:val="00187DF3"/>
    <w:rsid w:val="001977C3"/>
    <w:rsid w:val="001B480D"/>
    <w:rsid w:val="001C23B3"/>
    <w:rsid w:val="001C7EA7"/>
    <w:rsid w:val="001D2236"/>
    <w:rsid w:val="001D33D5"/>
    <w:rsid w:val="001D4539"/>
    <w:rsid w:val="001D63DB"/>
    <w:rsid w:val="001E2827"/>
    <w:rsid w:val="001E4638"/>
    <w:rsid w:val="001E7E49"/>
    <w:rsid w:val="002016A5"/>
    <w:rsid w:val="002028E9"/>
    <w:rsid w:val="00204D6C"/>
    <w:rsid w:val="00215F5C"/>
    <w:rsid w:val="002210BD"/>
    <w:rsid w:val="00223FA1"/>
    <w:rsid w:val="00233980"/>
    <w:rsid w:val="00235CB3"/>
    <w:rsid w:val="00260ECF"/>
    <w:rsid w:val="0026208F"/>
    <w:rsid w:val="00264E50"/>
    <w:rsid w:val="0027101C"/>
    <w:rsid w:val="002730CF"/>
    <w:rsid w:val="00285C49"/>
    <w:rsid w:val="00287831"/>
    <w:rsid w:val="00290705"/>
    <w:rsid w:val="002911D8"/>
    <w:rsid w:val="002924F2"/>
    <w:rsid w:val="002A4C95"/>
    <w:rsid w:val="002C04E2"/>
    <w:rsid w:val="002C2DCA"/>
    <w:rsid w:val="002C5855"/>
    <w:rsid w:val="002F74A2"/>
    <w:rsid w:val="002F78AA"/>
    <w:rsid w:val="00307E4E"/>
    <w:rsid w:val="00317371"/>
    <w:rsid w:val="0032523D"/>
    <w:rsid w:val="003274C4"/>
    <w:rsid w:val="00327843"/>
    <w:rsid w:val="00340BCB"/>
    <w:rsid w:val="00344711"/>
    <w:rsid w:val="003475FD"/>
    <w:rsid w:val="00350D49"/>
    <w:rsid w:val="00352B11"/>
    <w:rsid w:val="00373D95"/>
    <w:rsid w:val="0039525D"/>
    <w:rsid w:val="003A38CF"/>
    <w:rsid w:val="003B62E8"/>
    <w:rsid w:val="003D3315"/>
    <w:rsid w:val="003D5920"/>
    <w:rsid w:val="003E4905"/>
    <w:rsid w:val="003F6521"/>
    <w:rsid w:val="004012D0"/>
    <w:rsid w:val="00415E19"/>
    <w:rsid w:val="00420181"/>
    <w:rsid w:val="00422786"/>
    <w:rsid w:val="00423170"/>
    <w:rsid w:val="00434E59"/>
    <w:rsid w:val="00445406"/>
    <w:rsid w:val="00446EA1"/>
    <w:rsid w:val="004559C7"/>
    <w:rsid w:val="004767E1"/>
    <w:rsid w:val="004875EE"/>
    <w:rsid w:val="00487A17"/>
    <w:rsid w:val="00492B0C"/>
    <w:rsid w:val="00496DA4"/>
    <w:rsid w:val="004A50F2"/>
    <w:rsid w:val="004C155D"/>
    <w:rsid w:val="004C5253"/>
    <w:rsid w:val="004C5E39"/>
    <w:rsid w:val="004D05A0"/>
    <w:rsid w:val="004F0ACD"/>
    <w:rsid w:val="004F2F1A"/>
    <w:rsid w:val="004F671A"/>
    <w:rsid w:val="00505CCC"/>
    <w:rsid w:val="00517DFC"/>
    <w:rsid w:val="00531B3C"/>
    <w:rsid w:val="0053434E"/>
    <w:rsid w:val="00540FBC"/>
    <w:rsid w:val="0055079E"/>
    <w:rsid w:val="00581C27"/>
    <w:rsid w:val="00582284"/>
    <w:rsid w:val="00591392"/>
    <w:rsid w:val="005B2E74"/>
    <w:rsid w:val="005C6C19"/>
    <w:rsid w:val="005D73BF"/>
    <w:rsid w:val="005E0149"/>
    <w:rsid w:val="00601878"/>
    <w:rsid w:val="006143E0"/>
    <w:rsid w:val="00616E7E"/>
    <w:rsid w:val="00620658"/>
    <w:rsid w:val="00620903"/>
    <w:rsid w:val="00630C8E"/>
    <w:rsid w:val="0063502A"/>
    <w:rsid w:val="00636AC7"/>
    <w:rsid w:val="006376C5"/>
    <w:rsid w:val="0064448E"/>
    <w:rsid w:val="00653958"/>
    <w:rsid w:val="00660BB0"/>
    <w:rsid w:val="00687CD9"/>
    <w:rsid w:val="00693B9E"/>
    <w:rsid w:val="00693EAA"/>
    <w:rsid w:val="00695CD0"/>
    <w:rsid w:val="00697725"/>
    <w:rsid w:val="006B2591"/>
    <w:rsid w:val="006C49C5"/>
    <w:rsid w:val="006C753F"/>
    <w:rsid w:val="006D1D60"/>
    <w:rsid w:val="006D2BEA"/>
    <w:rsid w:val="006D7729"/>
    <w:rsid w:val="006E33AB"/>
    <w:rsid w:val="006E751B"/>
    <w:rsid w:val="006F38AF"/>
    <w:rsid w:val="00702BBC"/>
    <w:rsid w:val="00704CC2"/>
    <w:rsid w:val="00742F1C"/>
    <w:rsid w:val="00784691"/>
    <w:rsid w:val="00791DD4"/>
    <w:rsid w:val="007B5620"/>
    <w:rsid w:val="007C0006"/>
    <w:rsid w:val="007D42D4"/>
    <w:rsid w:val="007D5CC4"/>
    <w:rsid w:val="007D7079"/>
    <w:rsid w:val="007E25A5"/>
    <w:rsid w:val="007E7050"/>
    <w:rsid w:val="007F0C14"/>
    <w:rsid w:val="007F47C8"/>
    <w:rsid w:val="00801927"/>
    <w:rsid w:val="008039CB"/>
    <w:rsid w:val="0081799E"/>
    <w:rsid w:val="008223EB"/>
    <w:rsid w:val="00822C56"/>
    <w:rsid w:val="0082319D"/>
    <w:rsid w:val="00851FD1"/>
    <w:rsid w:val="00860013"/>
    <w:rsid w:val="0089435D"/>
    <w:rsid w:val="008A1439"/>
    <w:rsid w:val="008A2605"/>
    <w:rsid w:val="008A2CA9"/>
    <w:rsid w:val="008A4C11"/>
    <w:rsid w:val="008B01A7"/>
    <w:rsid w:val="008D71F7"/>
    <w:rsid w:val="008F15D9"/>
    <w:rsid w:val="009015FF"/>
    <w:rsid w:val="00911CBC"/>
    <w:rsid w:val="00924DB7"/>
    <w:rsid w:val="00937E1D"/>
    <w:rsid w:val="009409FB"/>
    <w:rsid w:val="00944E7B"/>
    <w:rsid w:val="00971208"/>
    <w:rsid w:val="00982C1A"/>
    <w:rsid w:val="0099137C"/>
    <w:rsid w:val="00994617"/>
    <w:rsid w:val="009A0ED4"/>
    <w:rsid w:val="009A24C1"/>
    <w:rsid w:val="009A2BB8"/>
    <w:rsid w:val="009B1D52"/>
    <w:rsid w:val="009E3C74"/>
    <w:rsid w:val="009F36E4"/>
    <w:rsid w:val="009F74FE"/>
    <w:rsid w:val="00A145FB"/>
    <w:rsid w:val="00A20227"/>
    <w:rsid w:val="00A24219"/>
    <w:rsid w:val="00A27FA5"/>
    <w:rsid w:val="00A40ACD"/>
    <w:rsid w:val="00A4108C"/>
    <w:rsid w:val="00A44532"/>
    <w:rsid w:val="00A4651D"/>
    <w:rsid w:val="00A473E3"/>
    <w:rsid w:val="00A5065B"/>
    <w:rsid w:val="00A52D96"/>
    <w:rsid w:val="00A547E9"/>
    <w:rsid w:val="00A57D06"/>
    <w:rsid w:val="00A61988"/>
    <w:rsid w:val="00A7593D"/>
    <w:rsid w:val="00A87934"/>
    <w:rsid w:val="00A910BC"/>
    <w:rsid w:val="00AD3745"/>
    <w:rsid w:val="00AD40CA"/>
    <w:rsid w:val="00AD76DD"/>
    <w:rsid w:val="00B06AF0"/>
    <w:rsid w:val="00B22A92"/>
    <w:rsid w:val="00B274D8"/>
    <w:rsid w:val="00B424F3"/>
    <w:rsid w:val="00B44167"/>
    <w:rsid w:val="00B45EA1"/>
    <w:rsid w:val="00B50CDC"/>
    <w:rsid w:val="00B71814"/>
    <w:rsid w:val="00B92D51"/>
    <w:rsid w:val="00B9458C"/>
    <w:rsid w:val="00BA37A8"/>
    <w:rsid w:val="00BA6556"/>
    <w:rsid w:val="00BB2839"/>
    <w:rsid w:val="00BB4310"/>
    <w:rsid w:val="00BC38E3"/>
    <w:rsid w:val="00BC3FAB"/>
    <w:rsid w:val="00BC5E1A"/>
    <w:rsid w:val="00BD24A0"/>
    <w:rsid w:val="00BD27C3"/>
    <w:rsid w:val="00BE0370"/>
    <w:rsid w:val="00BE7277"/>
    <w:rsid w:val="00C22F47"/>
    <w:rsid w:val="00C2419A"/>
    <w:rsid w:val="00C3216C"/>
    <w:rsid w:val="00C459E4"/>
    <w:rsid w:val="00C61663"/>
    <w:rsid w:val="00C625BB"/>
    <w:rsid w:val="00C63286"/>
    <w:rsid w:val="00C67914"/>
    <w:rsid w:val="00C7735E"/>
    <w:rsid w:val="00C86653"/>
    <w:rsid w:val="00CA30BE"/>
    <w:rsid w:val="00CB6B16"/>
    <w:rsid w:val="00CD3F62"/>
    <w:rsid w:val="00CD7675"/>
    <w:rsid w:val="00CE1876"/>
    <w:rsid w:val="00CE5844"/>
    <w:rsid w:val="00D32C91"/>
    <w:rsid w:val="00D3421A"/>
    <w:rsid w:val="00D355C5"/>
    <w:rsid w:val="00D4326B"/>
    <w:rsid w:val="00D46FC6"/>
    <w:rsid w:val="00D51734"/>
    <w:rsid w:val="00D67A33"/>
    <w:rsid w:val="00D737BF"/>
    <w:rsid w:val="00D74FA2"/>
    <w:rsid w:val="00D83A95"/>
    <w:rsid w:val="00D91414"/>
    <w:rsid w:val="00D931FF"/>
    <w:rsid w:val="00D975EC"/>
    <w:rsid w:val="00DA7F39"/>
    <w:rsid w:val="00DB1CDD"/>
    <w:rsid w:val="00DB4C8C"/>
    <w:rsid w:val="00DD0065"/>
    <w:rsid w:val="00DD40DE"/>
    <w:rsid w:val="00DD6BE7"/>
    <w:rsid w:val="00DE364A"/>
    <w:rsid w:val="00DE4036"/>
    <w:rsid w:val="00E00DD0"/>
    <w:rsid w:val="00E01191"/>
    <w:rsid w:val="00E11922"/>
    <w:rsid w:val="00E35649"/>
    <w:rsid w:val="00E371FE"/>
    <w:rsid w:val="00E510A1"/>
    <w:rsid w:val="00E519FF"/>
    <w:rsid w:val="00E530BE"/>
    <w:rsid w:val="00E560F6"/>
    <w:rsid w:val="00EA435F"/>
    <w:rsid w:val="00EC569D"/>
    <w:rsid w:val="00ED37F9"/>
    <w:rsid w:val="00ED79A6"/>
    <w:rsid w:val="00EE5154"/>
    <w:rsid w:val="00EF1071"/>
    <w:rsid w:val="00EF37FD"/>
    <w:rsid w:val="00EF3E46"/>
    <w:rsid w:val="00EF4B33"/>
    <w:rsid w:val="00F13B51"/>
    <w:rsid w:val="00F3774C"/>
    <w:rsid w:val="00F518CC"/>
    <w:rsid w:val="00F5441F"/>
    <w:rsid w:val="00F55332"/>
    <w:rsid w:val="00F5694E"/>
    <w:rsid w:val="00F755E3"/>
    <w:rsid w:val="00F83729"/>
    <w:rsid w:val="00F84E0C"/>
    <w:rsid w:val="00F915A4"/>
    <w:rsid w:val="00FA13B8"/>
    <w:rsid w:val="00FA4DFC"/>
    <w:rsid w:val="00FB0238"/>
    <w:rsid w:val="00FF175C"/>
    <w:rsid w:val="00FF45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E3"/>
    <w:rPr>
      <w:rFonts w:ascii="Calibri" w:eastAsia="Calibri" w:hAnsi="Calibri" w:cs="Calibri"/>
      <w:lang w:val="es-MX"/>
    </w:rPr>
  </w:style>
  <w:style w:type="paragraph" w:styleId="Heading1">
    <w:name w:val="heading 1"/>
    <w:basedOn w:val="Normal"/>
    <w:next w:val="Normal"/>
    <w:link w:val="Heading1Char"/>
    <w:uiPriority w:val="99"/>
    <w:qFormat/>
    <w:rsid w:val="00F755E3"/>
    <w:pPr>
      <w:keepNext/>
      <w:spacing w:after="0" w:line="240" w:lineRule="auto"/>
      <w:jc w:val="center"/>
      <w:outlineLvl w:val="0"/>
    </w:pPr>
    <w:rPr>
      <w:rFonts w:ascii="Verdana" w:hAnsi="Verdana" w:cs="Verdana"/>
      <w:b/>
      <w:bCs/>
      <w:caps/>
      <w:sz w:val="28"/>
      <w:szCs w:val="28"/>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55E3"/>
    <w:rPr>
      <w:rFonts w:ascii="Verdana" w:eastAsia="Calibri" w:hAnsi="Verdana" w:cs="Verdana"/>
      <w:b/>
      <w:bCs/>
      <w:caps/>
      <w:sz w:val="28"/>
      <w:szCs w:val="28"/>
      <w:lang w:val="es-ES_tradnl" w:eastAsia="es-ES"/>
    </w:rPr>
  </w:style>
  <w:style w:type="paragraph" w:styleId="ListParagraph">
    <w:name w:val="List Paragraph"/>
    <w:aliases w:val="Footnote,List Paragraph2"/>
    <w:basedOn w:val="Normal"/>
    <w:uiPriority w:val="99"/>
    <w:qFormat/>
    <w:rsid w:val="00F755E3"/>
    <w:pPr>
      <w:widowControl w:val="0"/>
      <w:numPr>
        <w:ilvl w:val="1"/>
        <w:numId w:val="1"/>
      </w:numPr>
      <w:autoSpaceDE w:val="0"/>
      <w:autoSpaceDN w:val="0"/>
      <w:adjustRightInd w:val="0"/>
      <w:spacing w:after="0" w:line="240" w:lineRule="auto"/>
      <w:ind w:right="22"/>
      <w:jc w:val="both"/>
    </w:pPr>
    <w:rPr>
      <w:rFonts w:ascii="Verdana" w:hAnsi="Verdana" w:cs="Verdana"/>
      <w:sz w:val="20"/>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qFormat/>
    <w:rsid w:val="00F755E3"/>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autoRedefine/>
    <w:qFormat/>
    <w:rsid w:val="00E530BE"/>
    <w:pPr>
      <w:spacing w:after="0" w:line="240" w:lineRule="auto"/>
      <w:jc w:val="both"/>
    </w:pPr>
    <w:rPr>
      <w:rFonts w:ascii="Verdana" w:hAnsi="Verdana" w:cs="Verdana"/>
      <w:sz w:val="16"/>
      <w:szCs w:val="16"/>
      <w:lang w:val="es-ES_tradnl" w:eastAsia="es-ES"/>
    </w:rPr>
  </w:style>
  <w:style w:type="character" w:customStyle="1" w:styleId="FootnoteTextChar">
    <w:name w:val="Footnote Text Char"/>
    <w:aliases w:val="Footnote Text Cha Char,FA Fuﬂnotentext Char,Ca Char"/>
    <w:basedOn w:val="DefaultParagraphFont"/>
    <w:rsid w:val="00F755E3"/>
    <w:rPr>
      <w:rFonts w:ascii="Calibri" w:eastAsia="Calibri" w:hAnsi="Calibri"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locked/>
    <w:rsid w:val="00E530BE"/>
    <w:rPr>
      <w:rFonts w:ascii="Verdana" w:eastAsia="Calibri" w:hAnsi="Verdana" w:cs="Verdana"/>
      <w:sz w:val="16"/>
      <w:szCs w:val="16"/>
      <w:lang w:val="es-ES_tradnl" w:eastAsia="es-ES"/>
    </w:rPr>
  </w:style>
  <w:style w:type="paragraph" w:styleId="BodyText">
    <w:name w:val="Body Text"/>
    <w:basedOn w:val="Normal"/>
    <w:link w:val="BodyTextChar"/>
    <w:uiPriority w:val="99"/>
    <w:semiHidden/>
    <w:rsid w:val="00F755E3"/>
    <w:pPr>
      <w:spacing w:after="120" w:line="240" w:lineRule="auto"/>
    </w:pPr>
    <w:rPr>
      <w:rFonts w:ascii="Times" w:hAnsi="Times" w:cs="Times"/>
      <w:sz w:val="24"/>
      <w:szCs w:val="24"/>
      <w:lang w:val="es-ES_tradnl" w:eastAsia="es-ES"/>
    </w:rPr>
  </w:style>
  <w:style w:type="character" w:customStyle="1" w:styleId="BodyTextChar">
    <w:name w:val="Body Text Char"/>
    <w:basedOn w:val="DefaultParagraphFont"/>
    <w:link w:val="BodyText"/>
    <w:uiPriority w:val="99"/>
    <w:semiHidden/>
    <w:rsid w:val="00F755E3"/>
    <w:rPr>
      <w:rFonts w:ascii="Times" w:eastAsia="Calibri" w:hAnsi="Times" w:cs="Times"/>
      <w:sz w:val="24"/>
      <w:szCs w:val="24"/>
      <w:lang w:val="es-ES_tradnl" w:eastAsia="es-ES"/>
    </w:rPr>
  </w:style>
  <w:style w:type="paragraph" w:styleId="Header">
    <w:name w:val="header"/>
    <w:basedOn w:val="Normal"/>
    <w:link w:val="HeaderChar"/>
    <w:uiPriority w:val="99"/>
    <w:rsid w:val="00F755E3"/>
    <w:pPr>
      <w:tabs>
        <w:tab w:val="center" w:pos="4252"/>
        <w:tab w:val="right" w:pos="8504"/>
      </w:tabs>
      <w:spacing w:after="0" w:line="240" w:lineRule="auto"/>
    </w:pPr>
  </w:style>
  <w:style w:type="character" w:customStyle="1" w:styleId="HeaderChar">
    <w:name w:val="Header Char"/>
    <w:basedOn w:val="DefaultParagraphFont"/>
    <w:link w:val="Header"/>
    <w:uiPriority w:val="99"/>
    <w:rsid w:val="00F755E3"/>
    <w:rPr>
      <w:rFonts w:ascii="Calibri" w:eastAsia="Calibri" w:hAnsi="Calibri" w:cs="Calibri"/>
      <w:lang w:val="es-MX"/>
    </w:rPr>
  </w:style>
  <w:style w:type="paragraph" w:customStyle="1" w:styleId="ColorfulList-Accent11">
    <w:name w:val="Colorful List - Accent 11"/>
    <w:basedOn w:val="Normal"/>
    <w:uiPriority w:val="99"/>
    <w:rsid w:val="00F755E3"/>
    <w:pPr>
      <w:spacing w:after="0" w:line="240" w:lineRule="auto"/>
      <w:ind w:left="720"/>
    </w:pPr>
    <w:rPr>
      <w:rFonts w:ascii="Times" w:eastAsia="MS Mincho" w:hAnsi="Times" w:cs="Times"/>
      <w:sz w:val="24"/>
      <w:szCs w:val="24"/>
      <w:lang w:val="es-ES_tradnl"/>
    </w:rPr>
  </w:style>
  <w:style w:type="paragraph" w:customStyle="1" w:styleId="Default">
    <w:name w:val="Default"/>
    <w:uiPriority w:val="99"/>
    <w:rsid w:val="00F755E3"/>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apple-converted-space">
    <w:name w:val="apple-converted-space"/>
    <w:basedOn w:val="DefaultParagraphFont"/>
    <w:rsid w:val="002028E9"/>
  </w:style>
  <w:style w:type="paragraph" w:styleId="BalloonText">
    <w:name w:val="Balloon Text"/>
    <w:basedOn w:val="Normal"/>
    <w:link w:val="BalloonTextChar"/>
    <w:uiPriority w:val="99"/>
    <w:semiHidden/>
    <w:unhideWhenUsed/>
    <w:rsid w:val="001D6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DB"/>
    <w:rPr>
      <w:rFonts w:ascii="Tahoma" w:eastAsia="Calibri" w:hAnsi="Tahoma" w:cs="Tahoma"/>
      <w:sz w:val="16"/>
      <w:szCs w:val="16"/>
      <w:lang w:val="es-MX"/>
    </w:rPr>
  </w:style>
  <w:style w:type="character" w:styleId="CommentReference">
    <w:name w:val="annotation reference"/>
    <w:basedOn w:val="DefaultParagraphFont"/>
    <w:uiPriority w:val="99"/>
    <w:semiHidden/>
    <w:unhideWhenUsed/>
    <w:rsid w:val="00496DA4"/>
    <w:rPr>
      <w:sz w:val="18"/>
      <w:szCs w:val="18"/>
    </w:rPr>
  </w:style>
  <w:style w:type="paragraph" w:styleId="CommentText">
    <w:name w:val="annotation text"/>
    <w:basedOn w:val="Normal"/>
    <w:link w:val="CommentTextChar"/>
    <w:uiPriority w:val="99"/>
    <w:unhideWhenUsed/>
    <w:rsid w:val="00496DA4"/>
    <w:pPr>
      <w:spacing w:line="240" w:lineRule="auto"/>
    </w:pPr>
    <w:rPr>
      <w:sz w:val="24"/>
      <w:szCs w:val="24"/>
    </w:rPr>
  </w:style>
  <w:style w:type="character" w:customStyle="1" w:styleId="CommentTextChar">
    <w:name w:val="Comment Text Char"/>
    <w:basedOn w:val="DefaultParagraphFont"/>
    <w:link w:val="CommentText"/>
    <w:uiPriority w:val="99"/>
    <w:rsid w:val="00496DA4"/>
    <w:rPr>
      <w:rFonts w:ascii="Calibri" w:eastAsia="Calibri" w:hAnsi="Calibri" w:cs="Calibri"/>
      <w:sz w:val="24"/>
      <w:szCs w:val="24"/>
      <w:lang w:val="es-MX"/>
    </w:rPr>
  </w:style>
  <w:style w:type="paragraph" w:styleId="CommentSubject">
    <w:name w:val="annotation subject"/>
    <w:basedOn w:val="CommentText"/>
    <w:next w:val="CommentText"/>
    <w:link w:val="CommentSubjectChar"/>
    <w:uiPriority w:val="99"/>
    <w:semiHidden/>
    <w:unhideWhenUsed/>
    <w:rsid w:val="00496DA4"/>
    <w:rPr>
      <w:b/>
      <w:bCs/>
      <w:sz w:val="20"/>
      <w:szCs w:val="20"/>
    </w:rPr>
  </w:style>
  <w:style w:type="character" w:customStyle="1" w:styleId="CommentSubjectChar">
    <w:name w:val="Comment Subject Char"/>
    <w:basedOn w:val="CommentTextChar"/>
    <w:link w:val="CommentSubject"/>
    <w:uiPriority w:val="99"/>
    <w:semiHidden/>
    <w:rsid w:val="00496DA4"/>
    <w:rPr>
      <w:rFonts w:ascii="Calibri" w:eastAsia="Calibri" w:hAnsi="Calibri" w:cs="Calibri"/>
      <w:b/>
      <w:bCs/>
      <w:sz w:val="20"/>
      <w:szCs w:val="20"/>
      <w:lang w:val="es-MX"/>
    </w:rPr>
  </w:style>
  <w:style w:type="paragraph" w:styleId="Revision">
    <w:name w:val="Revision"/>
    <w:hidden/>
    <w:uiPriority w:val="99"/>
    <w:semiHidden/>
    <w:rsid w:val="00851FD1"/>
    <w:pPr>
      <w:spacing w:after="0" w:line="240" w:lineRule="auto"/>
    </w:pPr>
    <w:rPr>
      <w:rFonts w:ascii="Calibri" w:eastAsia="Calibri" w:hAnsi="Calibri" w:cs="Calibri"/>
      <w:lang w:val="es-MX"/>
    </w:rPr>
  </w:style>
  <w:style w:type="paragraph" w:styleId="Footer">
    <w:name w:val="footer"/>
    <w:basedOn w:val="Normal"/>
    <w:link w:val="FooterChar"/>
    <w:uiPriority w:val="99"/>
    <w:unhideWhenUsed/>
    <w:rsid w:val="009015FF"/>
    <w:pPr>
      <w:tabs>
        <w:tab w:val="center" w:pos="4419"/>
        <w:tab w:val="right" w:pos="8838"/>
      </w:tabs>
      <w:spacing w:after="0" w:line="240" w:lineRule="auto"/>
    </w:pPr>
  </w:style>
  <w:style w:type="character" w:customStyle="1" w:styleId="FooterChar">
    <w:name w:val="Footer Char"/>
    <w:basedOn w:val="DefaultParagraphFont"/>
    <w:link w:val="Footer"/>
    <w:uiPriority w:val="99"/>
    <w:rsid w:val="009015FF"/>
    <w:rPr>
      <w:rFonts w:ascii="Calibri" w:eastAsia="Calibri" w:hAnsi="Calibri" w:cs="Calibri"/>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E3"/>
    <w:rPr>
      <w:rFonts w:ascii="Calibri" w:eastAsia="Calibri" w:hAnsi="Calibri" w:cs="Calibri"/>
      <w:lang w:val="es-MX"/>
    </w:rPr>
  </w:style>
  <w:style w:type="paragraph" w:styleId="Ttulo1">
    <w:name w:val="heading 1"/>
    <w:basedOn w:val="Normal"/>
    <w:next w:val="Normal"/>
    <w:link w:val="Ttulo1Car"/>
    <w:uiPriority w:val="99"/>
    <w:qFormat/>
    <w:rsid w:val="00F755E3"/>
    <w:pPr>
      <w:keepNext/>
      <w:spacing w:after="0" w:line="240" w:lineRule="auto"/>
      <w:jc w:val="center"/>
      <w:outlineLvl w:val="0"/>
    </w:pPr>
    <w:rPr>
      <w:rFonts w:ascii="Verdana" w:hAnsi="Verdana" w:cs="Verdana"/>
      <w:b/>
      <w:bCs/>
      <w:caps/>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755E3"/>
    <w:rPr>
      <w:rFonts w:ascii="Verdana" w:eastAsia="Calibri" w:hAnsi="Verdana" w:cs="Verdana"/>
      <w:b/>
      <w:bCs/>
      <w:caps/>
      <w:sz w:val="28"/>
      <w:szCs w:val="28"/>
      <w:lang w:val="es-ES_tradnl" w:eastAsia="es-ES"/>
    </w:rPr>
  </w:style>
  <w:style w:type="paragraph" w:styleId="Prrafodelista">
    <w:name w:val="List Paragraph"/>
    <w:aliases w:val="Footnote,List Paragraph2"/>
    <w:basedOn w:val="Normal"/>
    <w:uiPriority w:val="99"/>
    <w:qFormat/>
    <w:rsid w:val="00F755E3"/>
    <w:pPr>
      <w:widowControl w:val="0"/>
      <w:numPr>
        <w:ilvl w:val="1"/>
        <w:numId w:val="1"/>
      </w:numPr>
      <w:autoSpaceDE w:val="0"/>
      <w:autoSpaceDN w:val="0"/>
      <w:adjustRightInd w:val="0"/>
      <w:spacing w:after="0" w:line="240" w:lineRule="auto"/>
      <w:ind w:right="22"/>
      <w:jc w:val="both"/>
    </w:pPr>
    <w:rPr>
      <w:rFonts w:ascii="Verdana" w:hAnsi="Verdana" w:cs="Verdana"/>
      <w:sz w:val="20"/>
      <w:szCs w:val="20"/>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qFormat/>
    <w:rsid w:val="00F755E3"/>
    <w:rPr>
      <w:rFonts w:ascii="Verdana" w:hAnsi="Verdana" w:cs="Verdana"/>
      <w:sz w:val="16"/>
      <w:szCs w:val="16"/>
      <w:vertAlign w:val="superscript"/>
    </w:rPr>
  </w:style>
  <w:style w:type="paragraph" w:styleId="Textonotapie">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TextonotapieCar1"/>
    <w:autoRedefine/>
    <w:qFormat/>
    <w:rsid w:val="00E530BE"/>
    <w:pPr>
      <w:spacing w:after="0" w:line="240" w:lineRule="auto"/>
      <w:jc w:val="both"/>
    </w:pPr>
    <w:rPr>
      <w:rFonts w:ascii="Verdana" w:hAnsi="Verdana" w:cs="Verdana"/>
      <w:sz w:val="16"/>
      <w:szCs w:val="16"/>
      <w:lang w:val="es-ES_tradnl" w:eastAsia="es-ES"/>
    </w:rPr>
  </w:style>
  <w:style w:type="character" w:customStyle="1" w:styleId="FootnoteTextChar">
    <w:name w:val="Footnote Text Char"/>
    <w:aliases w:val="Footnote Text Cha Char,FA Fuﬂnotentext Char,Ca Char"/>
    <w:basedOn w:val="Fuentedeprrafopredeter"/>
    <w:rsid w:val="00F755E3"/>
    <w:rPr>
      <w:rFonts w:ascii="Calibri" w:eastAsia="Calibri" w:hAnsi="Calibri" w:cs="Calibri"/>
      <w:sz w:val="20"/>
      <w:szCs w:val="20"/>
      <w:lang w:val="es-MX"/>
    </w:rPr>
  </w:style>
  <w:style w:type="character" w:customStyle="1" w:styleId="TextonotapieCar1">
    <w:name w:val="Texto nota pie Car1"/>
    <w:aliases w:val="FA Fu Car1,Footnote Text Char Char Char Char Char Car,Footnote Text Char Char Char Char Car,Footnote reference Car,Footnote Text Char Char Char Car,Texto nota pie Car Car,FA Fu Car Car1,FA Fu Car Car Car,Footnote Text Cha Car,Ca Car"/>
    <w:basedOn w:val="Fuentedeprrafopredeter"/>
    <w:link w:val="Textonotapie"/>
    <w:locked/>
    <w:rsid w:val="00E530BE"/>
    <w:rPr>
      <w:rFonts w:ascii="Verdana" w:eastAsia="Calibri" w:hAnsi="Verdana" w:cs="Verdana"/>
      <w:sz w:val="16"/>
      <w:szCs w:val="16"/>
      <w:lang w:val="es-ES_tradnl" w:eastAsia="es-ES"/>
    </w:rPr>
  </w:style>
  <w:style w:type="paragraph" w:styleId="Textoindependiente">
    <w:name w:val="Body Text"/>
    <w:basedOn w:val="Normal"/>
    <w:link w:val="TextoindependienteCar"/>
    <w:uiPriority w:val="99"/>
    <w:semiHidden/>
    <w:rsid w:val="00F755E3"/>
    <w:pPr>
      <w:spacing w:after="120" w:line="240" w:lineRule="auto"/>
    </w:pPr>
    <w:rPr>
      <w:rFonts w:ascii="Times" w:hAnsi="Times" w:cs="Times"/>
      <w:sz w:val="24"/>
      <w:szCs w:val="24"/>
      <w:lang w:val="es-ES_tradnl" w:eastAsia="es-ES"/>
    </w:rPr>
  </w:style>
  <w:style w:type="character" w:customStyle="1" w:styleId="TextoindependienteCar">
    <w:name w:val="Texto independiente Car"/>
    <w:basedOn w:val="Fuentedeprrafopredeter"/>
    <w:link w:val="Textoindependiente"/>
    <w:uiPriority w:val="99"/>
    <w:semiHidden/>
    <w:rsid w:val="00F755E3"/>
    <w:rPr>
      <w:rFonts w:ascii="Times" w:eastAsia="Calibri" w:hAnsi="Times" w:cs="Times"/>
      <w:sz w:val="24"/>
      <w:szCs w:val="24"/>
      <w:lang w:val="es-ES_tradnl" w:eastAsia="es-ES"/>
    </w:rPr>
  </w:style>
  <w:style w:type="paragraph" w:styleId="Encabezado">
    <w:name w:val="header"/>
    <w:basedOn w:val="Normal"/>
    <w:link w:val="EncabezadoCar"/>
    <w:uiPriority w:val="99"/>
    <w:rsid w:val="00F755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55E3"/>
    <w:rPr>
      <w:rFonts w:ascii="Calibri" w:eastAsia="Calibri" w:hAnsi="Calibri" w:cs="Calibri"/>
      <w:lang w:val="es-MX"/>
    </w:rPr>
  </w:style>
  <w:style w:type="paragraph" w:customStyle="1" w:styleId="ColorfulList-Accent11">
    <w:name w:val="Colorful List - Accent 11"/>
    <w:basedOn w:val="Normal"/>
    <w:uiPriority w:val="99"/>
    <w:rsid w:val="00F755E3"/>
    <w:pPr>
      <w:spacing w:after="0" w:line="240" w:lineRule="auto"/>
      <w:ind w:left="720"/>
    </w:pPr>
    <w:rPr>
      <w:rFonts w:ascii="Times" w:eastAsia="MS Mincho" w:hAnsi="Times" w:cs="Times"/>
      <w:sz w:val="24"/>
      <w:szCs w:val="24"/>
      <w:lang w:val="es-ES_tradnl"/>
    </w:rPr>
  </w:style>
  <w:style w:type="paragraph" w:customStyle="1" w:styleId="Default">
    <w:name w:val="Default"/>
    <w:uiPriority w:val="99"/>
    <w:rsid w:val="00F755E3"/>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apple-converted-space">
    <w:name w:val="apple-converted-space"/>
    <w:basedOn w:val="Fuentedeprrafopredeter"/>
    <w:rsid w:val="002028E9"/>
  </w:style>
  <w:style w:type="paragraph" w:styleId="Textodeglobo">
    <w:name w:val="Balloon Text"/>
    <w:basedOn w:val="Normal"/>
    <w:link w:val="TextodegloboCar"/>
    <w:uiPriority w:val="99"/>
    <w:semiHidden/>
    <w:unhideWhenUsed/>
    <w:rsid w:val="001D63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3DB"/>
    <w:rPr>
      <w:rFonts w:ascii="Tahoma" w:eastAsia="Calibri" w:hAnsi="Tahoma" w:cs="Tahoma"/>
      <w:sz w:val="16"/>
      <w:szCs w:val="16"/>
      <w:lang w:val="es-MX"/>
    </w:rPr>
  </w:style>
  <w:style w:type="character" w:styleId="Refdecomentario">
    <w:name w:val="annotation reference"/>
    <w:basedOn w:val="Fuentedeprrafopredeter"/>
    <w:uiPriority w:val="99"/>
    <w:semiHidden/>
    <w:unhideWhenUsed/>
    <w:rsid w:val="00496DA4"/>
    <w:rPr>
      <w:sz w:val="18"/>
      <w:szCs w:val="18"/>
    </w:rPr>
  </w:style>
  <w:style w:type="paragraph" w:styleId="Textocomentario">
    <w:name w:val="annotation text"/>
    <w:basedOn w:val="Normal"/>
    <w:link w:val="TextocomentarioCar"/>
    <w:uiPriority w:val="99"/>
    <w:unhideWhenUsed/>
    <w:rsid w:val="00496DA4"/>
    <w:pPr>
      <w:spacing w:line="240" w:lineRule="auto"/>
    </w:pPr>
    <w:rPr>
      <w:sz w:val="24"/>
      <w:szCs w:val="24"/>
    </w:rPr>
  </w:style>
  <w:style w:type="character" w:customStyle="1" w:styleId="TextocomentarioCar">
    <w:name w:val="Texto comentario Car"/>
    <w:basedOn w:val="Fuentedeprrafopredeter"/>
    <w:link w:val="Textocomentario"/>
    <w:uiPriority w:val="99"/>
    <w:rsid w:val="00496DA4"/>
    <w:rPr>
      <w:rFonts w:ascii="Calibri" w:eastAsia="Calibri" w:hAnsi="Calibri" w:cs="Calibri"/>
      <w:sz w:val="24"/>
      <w:szCs w:val="24"/>
      <w:lang w:val="es-MX"/>
    </w:rPr>
  </w:style>
  <w:style w:type="paragraph" w:styleId="Asuntodelcomentario">
    <w:name w:val="annotation subject"/>
    <w:basedOn w:val="Textocomentario"/>
    <w:next w:val="Textocomentario"/>
    <w:link w:val="AsuntodelcomentarioCar"/>
    <w:uiPriority w:val="99"/>
    <w:semiHidden/>
    <w:unhideWhenUsed/>
    <w:rsid w:val="00496DA4"/>
    <w:rPr>
      <w:b/>
      <w:bCs/>
      <w:sz w:val="20"/>
      <w:szCs w:val="20"/>
    </w:rPr>
  </w:style>
  <w:style w:type="character" w:customStyle="1" w:styleId="AsuntodelcomentarioCar">
    <w:name w:val="Asunto del comentario Car"/>
    <w:basedOn w:val="TextocomentarioCar"/>
    <w:link w:val="Asuntodelcomentario"/>
    <w:uiPriority w:val="99"/>
    <w:semiHidden/>
    <w:rsid w:val="00496DA4"/>
    <w:rPr>
      <w:rFonts w:ascii="Calibri" w:eastAsia="Calibri" w:hAnsi="Calibri" w:cs="Calibri"/>
      <w:b/>
      <w:bCs/>
      <w:sz w:val="20"/>
      <w:szCs w:val="20"/>
      <w:lang w:val="es-MX"/>
    </w:rPr>
  </w:style>
  <w:style w:type="paragraph" w:styleId="Revisin">
    <w:name w:val="Revision"/>
    <w:hidden/>
    <w:uiPriority w:val="99"/>
    <w:semiHidden/>
    <w:rsid w:val="00851FD1"/>
    <w:pPr>
      <w:spacing w:after="0" w:line="240" w:lineRule="auto"/>
    </w:pPr>
    <w:rPr>
      <w:rFonts w:ascii="Calibri" w:eastAsia="Calibri" w:hAnsi="Calibri" w:cs="Calibri"/>
      <w:lang w:val="es-MX"/>
    </w:rPr>
  </w:style>
  <w:style w:type="paragraph" w:styleId="Piedepgina">
    <w:name w:val="footer"/>
    <w:basedOn w:val="Normal"/>
    <w:link w:val="PiedepginaCar"/>
    <w:uiPriority w:val="99"/>
    <w:unhideWhenUsed/>
    <w:rsid w:val="00901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15FF"/>
    <w:rPr>
      <w:rFonts w:ascii="Calibri" w:eastAsia="Calibri" w:hAnsi="Calibri" w:cs="Calibri"/>
      <w:lang w:val="es-MX"/>
    </w:rPr>
  </w:style>
</w:styles>
</file>

<file path=word/webSettings.xml><?xml version="1.0" encoding="utf-8"?>
<w:webSettings xmlns:r="http://schemas.openxmlformats.org/officeDocument/2006/relationships" xmlns:w="http://schemas.openxmlformats.org/wordprocessingml/2006/main">
  <w:divs>
    <w:div w:id="13696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1855D-D25A-406F-96FE-AF619D4E3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EFE9952-E210-4460-BFA1-0495BDC8BBE7}">
  <ds:schemaRefs>
    <ds:schemaRef ds:uri="http://schemas.microsoft.com/office/2006/metadata/properties"/>
  </ds:schemaRefs>
</ds:datastoreItem>
</file>

<file path=customXml/itemProps3.xml><?xml version="1.0" encoding="utf-8"?>
<ds:datastoreItem xmlns:ds="http://schemas.openxmlformats.org/officeDocument/2006/customXml" ds:itemID="{0015CE96-E8EA-4B7D-95EF-5A3812069644}">
  <ds:schemaRefs>
    <ds:schemaRef ds:uri="http://schemas.microsoft.com/sharepoint/v3/contenttype/forms"/>
  </ds:schemaRefs>
</ds:datastoreItem>
</file>

<file path=customXml/itemProps4.xml><?xml version="1.0" encoding="utf-8"?>
<ds:datastoreItem xmlns:ds="http://schemas.openxmlformats.org/officeDocument/2006/customXml" ds:itemID="{80C47A3B-1D82-4A9C-A220-1129614A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2994</Words>
  <Characters>16468</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2016-12-01T16:46:00Z</cp:lastPrinted>
  <dcterms:created xsi:type="dcterms:W3CDTF">2016-12-01T20:16:00Z</dcterms:created>
  <dcterms:modified xsi:type="dcterms:W3CDTF">2016-12-01T20:16:00Z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