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D7" w:rsidRDefault="004D3023" w:rsidP="00675EC8">
      <w:pPr>
        <w:spacing w:after="0"/>
        <w:ind w:right="-316"/>
        <w:rPr>
          <w:rFonts w:cs="Verdana Bold"/>
          <w:b/>
          <w:bCs/>
          <w:caps/>
        </w:rPr>
      </w:pPr>
      <w:r>
        <w:rPr>
          <w:rFonts w:cs="Verdana Bold"/>
          <w:b/>
          <w:bCs/>
          <w:caps/>
        </w:rPr>
        <w:t xml:space="preserve">  </w:t>
      </w:r>
      <w:r w:rsidR="00675EC8">
        <w:rPr>
          <w:rFonts w:cs="Verdana Bold"/>
          <w:b/>
          <w:bCs/>
          <w:caps/>
        </w:rPr>
        <w:t xml:space="preserve"> </w:t>
      </w:r>
    </w:p>
    <w:p w:rsidR="00017CD7" w:rsidRDefault="00017CD7" w:rsidP="007403DD">
      <w:pPr>
        <w:spacing w:after="0"/>
        <w:ind w:right="-316"/>
        <w:jc w:val="center"/>
        <w:rPr>
          <w:rFonts w:cs="Verdana Bold"/>
          <w:b/>
          <w:bCs/>
          <w:caps/>
        </w:rPr>
      </w:pPr>
    </w:p>
    <w:p w:rsidR="00017CD7" w:rsidRDefault="00017CD7" w:rsidP="007403DD">
      <w:pPr>
        <w:spacing w:after="0"/>
        <w:ind w:right="-316"/>
        <w:jc w:val="center"/>
        <w:rPr>
          <w:rFonts w:cs="Verdana Bold"/>
          <w:b/>
          <w:bCs/>
          <w:caps/>
        </w:rPr>
      </w:pPr>
    </w:p>
    <w:p w:rsidR="00017CD7" w:rsidRDefault="00017CD7" w:rsidP="007403DD">
      <w:pPr>
        <w:spacing w:after="0"/>
        <w:ind w:right="-316"/>
        <w:jc w:val="center"/>
        <w:rPr>
          <w:rFonts w:cs="Verdana Bold"/>
          <w:b/>
          <w:bCs/>
          <w:caps/>
        </w:rPr>
      </w:pPr>
    </w:p>
    <w:p w:rsidR="00017CD7" w:rsidRDefault="00017CD7" w:rsidP="007403DD">
      <w:pPr>
        <w:spacing w:after="0"/>
        <w:ind w:right="-316"/>
        <w:jc w:val="center"/>
        <w:rPr>
          <w:rFonts w:cs="Verdana Bold"/>
          <w:b/>
          <w:bCs/>
          <w:caps/>
        </w:rPr>
      </w:pPr>
    </w:p>
    <w:p w:rsidR="00017CD7" w:rsidRDefault="00017CD7" w:rsidP="007403DD">
      <w:pPr>
        <w:spacing w:after="0"/>
        <w:ind w:right="-316"/>
        <w:jc w:val="center"/>
        <w:rPr>
          <w:rFonts w:cs="Verdana Bold"/>
          <w:b/>
          <w:bCs/>
          <w:caps/>
        </w:rPr>
      </w:pPr>
    </w:p>
    <w:p w:rsidR="00326C06" w:rsidRDefault="00326C06" w:rsidP="007403DD">
      <w:pPr>
        <w:spacing w:after="0"/>
        <w:jc w:val="center"/>
        <w:rPr>
          <w:rFonts w:cs="Verdana"/>
          <w:b/>
          <w:bCs/>
          <w:caps/>
          <w:szCs w:val="20"/>
          <w:lang w:val="es-ES"/>
        </w:rPr>
      </w:pPr>
    </w:p>
    <w:p w:rsidR="00017CD7" w:rsidRPr="0003632E" w:rsidRDefault="00017CD7" w:rsidP="007403DD">
      <w:pPr>
        <w:spacing w:after="0"/>
        <w:jc w:val="center"/>
        <w:rPr>
          <w:rFonts w:cs="Verdana"/>
          <w:b/>
          <w:bCs/>
          <w:caps/>
          <w:szCs w:val="20"/>
          <w:lang w:val="es-ES"/>
        </w:rPr>
      </w:pPr>
      <w:r w:rsidRPr="0003632E">
        <w:rPr>
          <w:rFonts w:cs="Verdana"/>
          <w:b/>
          <w:bCs/>
          <w:caps/>
          <w:szCs w:val="20"/>
          <w:lang w:val="es-ES"/>
        </w:rPr>
        <w:t>RESOLUCIÓN DE</w:t>
      </w:r>
      <w:r>
        <w:rPr>
          <w:rFonts w:cs="Verdana"/>
          <w:b/>
          <w:bCs/>
          <w:caps/>
          <w:szCs w:val="20"/>
          <w:lang w:val="es-ES"/>
        </w:rPr>
        <w:t xml:space="preserve"> </w:t>
      </w:r>
      <w:r w:rsidRPr="0003632E">
        <w:rPr>
          <w:rFonts w:cs="Verdana"/>
          <w:b/>
          <w:bCs/>
          <w:caps/>
          <w:szCs w:val="20"/>
          <w:lang w:val="es-ES"/>
        </w:rPr>
        <w:t>L</w:t>
      </w:r>
      <w:r>
        <w:rPr>
          <w:rFonts w:cs="Verdana"/>
          <w:b/>
          <w:bCs/>
          <w:caps/>
          <w:szCs w:val="20"/>
          <w:lang w:val="es-ES"/>
        </w:rPr>
        <w:t>a</w:t>
      </w:r>
      <w:r w:rsidRPr="0003632E">
        <w:rPr>
          <w:rFonts w:cs="Verdana"/>
          <w:b/>
          <w:bCs/>
          <w:caps/>
          <w:szCs w:val="20"/>
          <w:lang w:val="es-ES"/>
        </w:rPr>
        <w:t xml:space="preserve"> </w:t>
      </w:r>
      <w:r>
        <w:rPr>
          <w:rFonts w:cs="Verdana"/>
          <w:b/>
          <w:bCs/>
          <w:caps/>
          <w:szCs w:val="20"/>
          <w:lang w:val="es-ES"/>
        </w:rPr>
        <w:t>corte</w:t>
      </w:r>
    </w:p>
    <w:p w:rsidR="00017CD7" w:rsidRDefault="00017CD7" w:rsidP="007403DD">
      <w:pPr>
        <w:spacing w:after="0"/>
        <w:jc w:val="center"/>
        <w:rPr>
          <w:rFonts w:cs="Verdana"/>
          <w:b/>
          <w:bCs/>
          <w:caps/>
          <w:szCs w:val="20"/>
          <w:lang w:val="es-ES"/>
        </w:rPr>
      </w:pPr>
      <w:r w:rsidRPr="0003632E">
        <w:rPr>
          <w:rFonts w:cs="Verdana"/>
          <w:b/>
          <w:bCs/>
          <w:caps/>
          <w:szCs w:val="20"/>
          <w:lang w:val="es-ES"/>
        </w:rPr>
        <w:t xml:space="preserve"> INTERAMERICANA</w:t>
      </w:r>
      <w:r>
        <w:rPr>
          <w:rFonts w:cs="Verdana"/>
          <w:b/>
          <w:bCs/>
          <w:caps/>
          <w:szCs w:val="20"/>
          <w:lang w:val="es-ES"/>
        </w:rPr>
        <w:t xml:space="preserve"> </w:t>
      </w:r>
      <w:r w:rsidRPr="0003632E">
        <w:rPr>
          <w:rFonts w:cs="Verdana"/>
          <w:b/>
          <w:bCs/>
          <w:caps/>
          <w:szCs w:val="20"/>
          <w:lang w:val="es-ES"/>
        </w:rPr>
        <w:t>DE DERECHOS HUMANOS</w:t>
      </w:r>
      <w:r w:rsidRPr="003B027A">
        <w:rPr>
          <w:rStyle w:val="FootnoteReference"/>
          <w:b/>
          <w:bCs/>
          <w:caps/>
          <w:lang w:val="es-ES"/>
        </w:rPr>
        <w:footnoteReference w:customMarkFollows="1" w:id="1"/>
        <w:sym w:font="Symbol" w:char="F02A"/>
      </w:r>
    </w:p>
    <w:p w:rsidR="00017CD7" w:rsidRDefault="00017CD7" w:rsidP="007403DD">
      <w:pPr>
        <w:spacing w:after="0"/>
        <w:jc w:val="center"/>
        <w:rPr>
          <w:rFonts w:cs="Verdana"/>
          <w:b/>
          <w:bCs/>
          <w:caps/>
          <w:szCs w:val="20"/>
          <w:lang w:val="es-ES"/>
        </w:rPr>
      </w:pPr>
    </w:p>
    <w:p w:rsidR="00017CD7" w:rsidRPr="0003632E" w:rsidRDefault="00017CD7" w:rsidP="007403DD">
      <w:pPr>
        <w:spacing w:after="0"/>
        <w:jc w:val="center"/>
        <w:rPr>
          <w:rFonts w:cs="Verdana"/>
          <w:b/>
          <w:bCs/>
          <w:caps/>
          <w:szCs w:val="20"/>
          <w:lang w:val="es-ES"/>
        </w:rPr>
      </w:pPr>
      <w:r w:rsidRPr="0003632E">
        <w:rPr>
          <w:rFonts w:cs="Verdana"/>
          <w:b/>
          <w:bCs/>
          <w:caps/>
          <w:szCs w:val="20"/>
          <w:lang w:val="es-ES"/>
        </w:rPr>
        <w:t xml:space="preserve">DE </w:t>
      </w:r>
      <w:r w:rsidR="00776956">
        <w:rPr>
          <w:rFonts w:cs="Verdana"/>
          <w:b/>
          <w:bCs/>
          <w:caps/>
          <w:szCs w:val="20"/>
          <w:lang w:val="es-ES"/>
        </w:rPr>
        <w:t>21</w:t>
      </w:r>
      <w:r>
        <w:rPr>
          <w:rFonts w:cs="Verdana"/>
          <w:b/>
          <w:bCs/>
          <w:caps/>
          <w:szCs w:val="20"/>
          <w:lang w:val="es-ES"/>
        </w:rPr>
        <w:t xml:space="preserve"> DE </w:t>
      </w:r>
      <w:r w:rsidR="00460342">
        <w:rPr>
          <w:rFonts w:cs="Verdana"/>
          <w:b/>
          <w:bCs/>
          <w:caps/>
          <w:szCs w:val="20"/>
          <w:lang w:val="es-ES"/>
        </w:rPr>
        <w:t>AGOSTO DE 2017</w:t>
      </w:r>
    </w:p>
    <w:p w:rsidR="00F90477" w:rsidRPr="00BD22C0" w:rsidRDefault="00F90477" w:rsidP="007403DD">
      <w:pPr>
        <w:spacing w:after="0"/>
        <w:ind w:right="-316"/>
        <w:jc w:val="center"/>
        <w:rPr>
          <w:rFonts w:cs="Verdana Bold"/>
          <w:b/>
          <w:bCs/>
          <w:caps/>
          <w:szCs w:val="20"/>
        </w:rPr>
      </w:pPr>
    </w:p>
    <w:p w:rsidR="00F90477" w:rsidRPr="00BD22C0" w:rsidRDefault="00F90477" w:rsidP="007403DD">
      <w:pPr>
        <w:spacing w:after="0"/>
        <w:ind w:right="-316"/>
        <w:rPr>
          <w:rFonts w:cs="Verdana Bold"/>
          <w:b/>
          <w:bCs/>
          <w:caps/>
          <w:szCs w:val="20"/>
        </w:rPr>
      </w:pPr>
    </w:p>
    <w:p w:rsidR="00460342" w:rsidRPr="006C2759" w:rsidRDefault="0024008D" w:rsidP="00460342">
      <w:pPr>
        <w:spacing w:after="0"/>
        <w:ind w:right="-316"/>
        <w:jc w:val="center"/>
        <w:rPr>
          <w:rFonts w:cs="Verdana Bold"/>
          <w:b/>
          <w:bCs/>
          <w:caps/>
          <w:szCs w:val="20"/>
        </w:rPr>
      </w:pPr>
      <w:r>
        <w:rPr>
          <w:rFonts w:cs="Verdana Bold"/>
          <w:b/>
          <w:bCs/>
          <w:szCs w:val="20"/>
        </w:rPr>
        <w:t>CASO</w:t>
      </w:r>
      <w:r w:rsidR="00460342">
        <w:rPr>
          <w:rFonts w:cs="Verdana Bold"/>
          <w:b/>
          <w:bCs/>
          <w:szCs w:val="20"/>
        </w:rPr>
        <w:t xml:space="preserve"> AMRHEIN Y OT</w:t>
      </w:r>
      <w:r>
        <w:rPr>
          <w:rFonts w:cs="Verdana Bold"/>
          <w:b/>
          <w:bCs/>
          <w:szCs w:val="20"/>
        </w:rPr>
        <w:t>R</w:t>
      </w:r>
      <w:r w:rsidR="00460342">
        <w:rPr>
          <w:rFonts w:cs="Verdana Bold"/>
          <w:b/>
          <w:bCs/>
          <w:szCs w:val="20"/>
        </w:rPr>
        <w:t>OS VS</w:t>
      </w:r>
      <w:r w:rsidR="00776956">
        <w:rPr>
          <w:rFonts w:cs="Verdana Bold"/>
          <w:b/>
          <w:bCs/>
          <w:szCs w:val="20"/>
        </w:rPr>
        <w:t>.</w:t>
      </w:r>
      <w:r w:rsidR="00460342">
        <w:rPr>
          <w:rFonts w:cs="Verdana Bold"/>
          <w:b/>
          <w:bCs/>
          <w:szCs w:val="20"/>
        </w:rPr>
        <w:t xml:space="preserve"> COSTA RICA</w:t>
      </w:r>
    </w:p>
    <w:p w:rsidR="00F90477" w:rsidRPr="00BD22C0" w:rsidRDefault="00F90477" w:rsidP="007403DD">
      <w:pPr>
        <w:spacing w:after="0"/>
        <w:ind w:right="-316"/>
        <w:jc w:val="center"/>
        <w:rPr>
          <w:rFonts w:cs="Verdana Bold"/>
          <w:b/>
          <w:bCs/>
          <w:caps/>
          <w:szCs w:val="20"/>
        </w:rPr>
      </w:pPr>
    </w:p>
    <w:p w:rsidR="00F90477" w:rsidRPr="00BD22C0" w:rsidRDefault="00F90477" w:rsidP="007403DD">
      <w:pPr>
        <w:spacing w:after="0"/>
        <w:rPr>
          <w:rFonts w:cs="Verdana"/>
          <w:b/>
          <w:bCs/>
          <w:caps/>
          <w:szCs w:val="20"/>
        </w:rPr>
      </w:pPr>
    </w:p>
    <w:p w:rsidR="00F90477" w:rsidRPr="00BD22C0" w:rsidRDefault="00F90477" w:rsidP="007403DD">
      <w:pPr>
        <w:spacing w:after="0"/>
        <w:rPr>
          <w:rFonts w:cs="Verdana"/>
          <w:b/>
          <w:bCs/>
          <w:caps/>
          <w:szCs w:val="20"/>
        </w:rPr>
      </w:pPr>
    </w:p>
    <w:p w:rsidR="00F90477" w:rsidRPr="00BD22C0" w:rsidRDefault="00F90477" w:rsidP="007403DD">
      <w:pPr>
        <w:spacing w:after="0"/>
        <w:rPr>
          <w:rFonts w:cs="Verdana"/>
          <w:b/>
          <w:bCs/>
          <w:caps/>
          <w:szCs w:val="20"/>
        </w:rPr>
      </w:pPr>
      <w:r w:rsidRPr="00BD22C0">
        <w:rPr>
          <w:rFonts w:cs="Verdana"/>
          <w:b/>
          <w:bCs/>
          <w:caps/>
          <w:szCs w:val="20"/>
        </w:rPr>
        <w:t>Visto:</w:t>
      </w:r>
    </w:p>
    <w:p w:rsidR="00F90477" w:rsidRPr="00BD22C0" w:rsidRDefault="00F90477" w:rsidP="007403DD">
      <w:pPr>
        <w:spacing w:after="0"/>
        <w:rPr>
          <w:rFonts w:cs="Verdana"/>
          <w:b/>
          <w:bCs/>
          <w:caps/>
          <w:szCs w:val="20"/>
        </w:rPr>
      </w:pPr>
    </w:p>
    <w:p w:rsidR="00460342" w:rsidRPr="00D2015D" w:rsidRDefault="001F6312" w:rsidP="00D2015D">
      <w:pPr>
        <w:numPr>
          <w:ilvl w:val="0"/>
          <w:numId w:val="4"/>
        </w:numPr>
        <w:autoSpaceDE w:val="0"/>
        <w:autoSpaceDN w:val="0"/>
        <w:adjustRightInd w:val="0"/>
        <w:spacing w:after="0"/>
        <w:ind w:left="0" w:right="14" w:firstLine="0"/>
        <w:rPr>
          <w:rFonts w:cs="Verdana"/>
          <w:iCs/>
          <w:szCs w:val="20"/>
          <w:lang w:val="es-PR"/>
        </w:rPr>
      </w:pPr>
      <w:r w:rsidRPr="00960E8B">
        <w:rPr>
          <w:rFonts w:cs="Verdana"/>
          <w:szCs w:val="20"/>
        </w:rPr>
        <w:t>La Resolución del Presidente de la Corte Interamericana de Derechos Humanos (</w:t>
      </w:r>
      <w:r w:rsidR="00460342" w:rsidRPr="00960E8B">
        <w:rPr>
          <w:rFonts w:cs="Verdana"/>
          <w:szCs w:val="20"/>
        </w:rPr>
        <w:t xml:space="preserve">en adelante “el Presidente”) de 12 </w:t>
      </w:r>
      <w:r w:rsidR="00704508">
        <w:rPr>
          <w:rFonts w:cs="Verdana"/>
          <w:szCs w:val="20"/>
        </w:rPr>
        <w:t xml:space="preserve">de julio de </w:t>
      </w:r>
      <w:r w:rsidR="00460342" w:rsidRPr="00960E8B">
        <w:rPr>
          <w:rFonts w:cs="Verdana"/>
          <w:szCs w:val="20"/>
        </w:rPr>
        <w:t>2017</w:t>
      </w:r>
      <w:r w:rsidRPr="00960E8B">
        <w:rPr>
          <w:rFonts w:cs="Verdana"/>
          <w:szCs w:val="20"/>
        </w:rPr>
        <w:t xml:space="preserve"> (en adelante “la Resolución del Presidente”) mediante la cual, </w:t>
      </w:r>
      <w:r w:rsidRPr="00960E8B">
        <w:rPr>
          <w:rFonts w:cs="Verdana"/>
          <w:i/>
          <w:iCs/>
          <w:szCs w:val="20"/>
        </w:rPr>
        <w:t xml:space="preserve">inter </w:t>
      </w:r>
      <w:proofErr w:type="spellStart"/>
      <w:r w:rsidRPr="00960E8B">
        <w:rPr>
          <w:rFonts w:cs="Verdana"/>
          <w:i/>
          <w:iCs/>
          <w:szCs w:val="20"/>
        </w:rPr>
        <w:t>alia</w:t>
      </w:r>
      <w:proofErr w:type="spellEnd"/>
      <w:r w:rsidRPr="00960E8B">
        <w:rPr>
          <w:rFonts w:cs="Verdana"/>
          <w:szCs w:val="20"/>
        </w:rPr>
        <w:t xml:space="preserve">, ordenó la recepción de diversas declaraciones </w:t>
      </w:r>
      <w:r w:rsidR="008D3A0D" w:rsidRPr="00960E8B">
        <w:rPr>
          <w:rFonts w:cs="Verdana"/>
          <w:szCs w:val="20"/>
        </w:rPr>
        <w:t>de peticionarios, testigos, declarantes a título informativo</w:t>
      </w:r>
      <w:r w:rsidR="00704508">
        <w:rPr>
          <w:rFonts w:cs="Verdana"/>
          <w:szCs w:val="20"/>
        </w:rPr>
        <w:t xml:space="preserve"> y</w:t>
      </w:r>
      <w:r w:rsidR="008D3A0D" w:rsidRPr="00960E8B">
        <w:rPr>
          <w:rFonts w:cs="Verdana"/>
          <w:szCs w:val="20"/>
        </w:rPr>
        <w:t xml:space="preserve"> peritos </w:t>
      </w:r>
      <w:r w:rsidRPr="00960E8B">
        <w:rPr>
          <w:rFonts w:cs="Verdana"/>
          <w:szCs w:val="20"/>
        </w:rPr>
        <w:t xml:space="preserve">mediante </w:t>
      </w:r>
      <w:r w:rsidR="007D2FC8" w:rsidRPr="00960E8B">
        <w:rPr>
          <w:rFonts w:cs="Verdana"/>
          <w:iCs/>
          <w:szCs w:val="20"/>
        </w:rPr>
        <w:t>afidá</w:t>
      </w:r>
      <w:r w:rsidRPr="00960E8B">
        <w:rPr>
          <w:rFonts w:cs="Verdana"/>
          <w:iCs/>
          <w:szCs w:val="20"/>
        </w:rPr>
        <w:t>vit, rechazó la</w:t>
      </w:r>
      <w:r w:rsidR="00903EFD">
        <w:rPr>
          <w:rFonts w:cs="Verdana"/>
          <w:iCs/>
          <w:szCs w:val="20"/>
        </w:rPr>
        <w:t>s</w:t>
      </w:r>
      <w:r w:rsidRPr="00960E8B">
        <w:rPr>
          <w:rFonts w:cs="Verdana"/>
          <w:iCs/>
          <w:szCs w:val="20"/>
        </w:rPr>
        <w:t xml:space="preserve"> </w:t>
      </w:r>
      <w:r w:rsidR="00960E8B" w:rsidRPr="00960E8B">
        <w:rPr>
          <w:rFonts w:cs="Verdana"/>
          <w:iCs/>
          <w:szCs w:val="20"/>
        </w:rPr>
        <w:t>declaraci</w:t>
      </w:r>
      <w:r w:rsidR="00903EFD">
        <w:rPr>
          <w:rFonts w:cs="Verdana"/>
          <w:iCs/>
          <w:szCs w:val="20"/>
        </w:rPr>
        <w:t>ones</w:t>
      </w:r>
      <w:r w:rsidR="00960E8B" w:rsidRPr="00960E8B">
        <w:rPr>
          <w:rFonts w:cs="Verdana"/>
          <w:iCs/>
          <w:szCs w:val="20"/>
        </w:rPr>
        <w:t xml:space="preserve"> de algunos testigos</w:t>
      </w:r>
      <w:r w:rsidR="00460342" w:rsidRPr="00960E8B">
        <w:rPr>
          <w:rFonts w:cs="Verdana"/>
          <w:iCs/>
          <w:szCs w:val="20"/>
        </w:rPr>
        <w:t xml:space="preserve"> y convocó a la República de Costa Rica</w:t>
      </w:r>
      <w:r w:rsidR="00903EFD">
        <w:rPr>
          <w:rFonts w:cs="Verdana"/>
          <w:iCs/>
          <w:szCs w:val="20"/>
        </w:rPr>
        <w:t xml:space="preserve"> (en adelante “el Estado” o “Costa Rica”</w:t>
      </w:r>
      <w:r w:rsidR="00460342" w:rsidRPr="00960E8B">
        <w:rPr>
          <w:rFonts w:cs="Verdana"/>
          <w:iCs/>
          <w:szCs w:val="20"/>
        </w:rPr>
        <w:t xml:space="preserve">, a los intervinientes comunes representantes de los peticionarios y a la Comisión Interamericana de Derechos Humanos </w:t>
      </w:r>
      <w:r w:rsidR="00903EFD" w:rsidRPr="00D2015D">
        <w:rPr>
          <w:rFonts w:cs="Verdana"/>
          <w:iCs/>
          <w:szCs w:val="20"/>
          <w:lang w:val="es-PR"/>
        </w:rPr>
        <w:t xml:space="preserve">(en adelante “la Comisión Interamericana” o “la Comisión”) </w:t>
      </w:r>
      <w:r w:rsidR="00460342" w:rsidRPr="00903EFD">
        <w:rPr>
          <w:rFonts w:cs="Verdana"/>
          <w:iCs/>
          <w:szCs w:val="20"/>
        </w:rPr>
        <w:t xml:space="preserve">a </w:t>
      </w:r>
      <w:r w:rsidR="00903EFD">
        <w:rPr>
          <w:rFonts w:cs="Verdana"/>
          <w:iCs/>
          <w:szCs w:val="20"/>
        </w:rPr>
        <w:t>una</w:t>
      </w:r>
      <w:r w:rsidR="00903EFD" w:rsidRPr="00903EFD">
        <w:rPr>
          <w:rFonts w:cs="Verdana"/>
          <w:iCs/>
          <w:szCs w:val="20"/>
        </w:rPr>
        <w:t xml:space="preserve"> </w:t>
      </w:r>
      <w:r w:rsidR="00460342" w:rsidRPr="00903EFD">
        <w:rPr>
          <w:rFonts w:cs="Verdana"/>
          <w:iCs/>
          <w:szCs w:val="20"/>
        </w:rPr>
        <w:t>audiencia pública que se celebrará durante el 119</w:t>
      </w:r>
      <w:r w:rsidR="00903EFD">
        <w:rPr>
          <w:rFonts w:cs="Verdana"/>
          <w:iCs/>
          <w:szCs w:val="20"/>
        </w:rPr>
        <w:t>º</w:t>
      </w:r>
      <w:r w:rsidR="00460342" w:rsidRPr="00903EFD">
        <w:rPr>
          <w:rFonts w:cs="Verdana"/>
          <w:iCs/>
          <w:szCs w:val="20"/>
        </w:rPr>
        <w:t xml:space="preserve"> Período Ordinario de Sesiones en la sede del Tribunal en San José, Costa Rica, el 28 de agosto de 2017, a partir de las 9:00 horas, para recibir sus alegatos y observaciones finales orales, respectivamente, sobre el fondo y eventuales reparaciones y costas</w:t>
      </w:r>
      <w:r w:rsidR="00903EFD">
        <w:rPr>
          <w:rFonts w:cs="Verdana"/>
          <w:iCs/>
          <w:szCs w:val="20"/>
        </w:rPr>
        <w:t xml:space="preserve"> en el presente caso</w:t>
      </w:r>
      <w:r w:rsidR="00460342" w:rsidRPr="00903EFD">
        <w:rPr>
          <w:rFonts w:cs="Verdana"/>
          <w:iCs/>
          <w:szCs w:val="20"/>
        </w:rPr>
        <w:t>.</w:t>
      </w:r>
    </w:p>
    <w:p w:rsidR="001F6312" w:rsidRPr="001339A0" w:rsidRDefault="001F6312" w:rsidP="00D2015D">
      <w:pPr>
        <w:autoSpaceDE w:val="0"/>
        <w:autoSpaceDN w:val="0"/>
        <w:adjustRightInd w:val="0"/>
        <w:spacing w:after="0"/>
        <w:ind w:right="14"/>
        <w:rPr>
          <w:rFonts w:cs="Verdana"/>
          <w:szCs w:val="20"/>
        </w:rPr>
      </w:pPr>
    </w:p>
    <w:p w:rsidR="00CA02F2" w:rsidRDefault="001F6312" w:rsidP="00D2015D">
      <w:pPr>
        <w:numPr>
          <w:ilvl w:val="0"/>
          <w:numId w:val="4"/>
        </w:numPr>
        <w:autoSpaceDE w:val="0"/>
        <w:autoSpaceDN w:val="0"/>
        <w:adjustRightInd w:val="0"/>
        <w:spacing w:after="0"/>
        <w:ind w:left="0" w:right="14" w:firstLine="0"/>
        <w:rPr>
          <w:rFonts w:cs="Verdana"/>
          <w:szCs w:val="20"/>
          <w:lang w:val="es-ES"/>
        </w:rPr>
      </w:pPr>
      <w:r>
        <w:rPr>
          <w:rFonts w:cs="Verdana"/>
          <w:szCs w:val="20"/>
        </w:rPr>
        <w:t>La</w:t>
      </w:r>
      <w:r w:rsidR="00CA02F2">
        <w:rPr>
          <w:rFonts w:cs="Verdana"/>
          <w:szCs w:val="20"/>
        </w:rPr>
        <w:t xml:space="preserve"> comunicación </w:t>
      </w:r>
      <w:r>
        <w:rPr>
          <w:rFonts w:cs="Verdana"/>
          <w:szCs w:val="20"/>
        </w:rPr>
        <w:t xml:space="preserve">de </w:t>
      </w:r>
      <w:r w:rsidR="00960E8B">
        <w:rPr>
          <w:szCs w:val="20"/>
          <w:lang w:val="es-CL"/>
        </w:rPr>
        <w:t xml:space="preserve">18 de </w:t>
      </w:r>
      <w:r w:rsidR="00A0017D">
        <w:rPr>
          <w:szCs w:val="20"/>
          <w:lang w:val="es-CL"/>
        </w:rPr>
        <w:t>j</w:t>
      </w:r>
      <w:r w:rsidR="00960E8B">
        <w:rPr>
          <w:szCs w:val="20"/>
          <w:lang w:val="es-CL"/>
        </w:rPr>
        <w:t>ulio</w:t>
      </w:r>
      <w:r w:rsidR="00A0017D">
        <w:rPr>
          <w:szCs w:val="20"/>
          <w:lang w:val="es-CL"/>
        </w:rPr>
        <w:t xml:space="preserve"> de 2017</w:t>
      </w:r>
      <w:r w:rsidR="00696224">
        <w:rPr>
          <w:szCs w:val="20"/>
          <w:lang w:val="es-CL"/>
        </w:rPr>
        <w:t>,</w:t>
      </w:r>
      <w:r w:rsidR="003E5534" w:rsidRPr="008A0F66">
        <w:rPr>
          <w:szCs w:val="20"/>
          <w:lang w:val="es-CL"/>
        </w:rPr>
        <w:t xml:space="preserve"> </w:t>
      </w:r>
      <w:r w:rsidR="003E5534">
        <w:rPr>
          <w:szCs w:val="20"/>
          <w:lang w:val="es-CL"/>
        </w:rPr>
        <w:t xml:space="preserve">mediante la cual </w:t>
      </w:r>
      <w:r w:rsidR="003E5534" w:rsidRPr="008A0F66">
        <w:rPr>
          <w:szCs w:val="20"/>
          <w:lang w:val="es-CL"/>
        </w:rPr>
        <w:t xml:space="preserve">los </w:t>
      </w:r>
      <w:r w:rsidR="00A0017D">
        <w:rPr>
          <w:szCs w:val="20"/>
          <w:lang w:val="es-CL"/>
        </w:rPr>
        <w:t>intervinientes comunes</w:t>
      </w:r>
      <w:r w:rsidR="00A0017D" w:rsidRPr="008A0F66">
        <w:rPr>
          <w:szCs w:val="20"/>
          <w:lang w:val="es-CL"/>
        </w:rPr>
        <w:t xml:space="preserve"> </w:t>
      </w:r>
      <w:r w:rsidR="00DC0741">
        <w:rPr>
          <w:rFonts w:cs="Verdana"/>
          <w:szCs w:val="20"/>
          <w:lang w:val="es-ES"/>
        </w:rPr>
        <w:t>Servicios Interamericanos de Profesionales en Derechos Humanos (</w:t>
      </w:r>
      <w:r w:rsidR="00960E8B">
        <w:rPr>
          <w:szCs w:val="20"/>
          <w:lang w:val="es-CL"/>
        </w:rPr>
        <w:t>SIPDH</w:t>
      </w:r>
      <w:r w:rsidR="00DC0741">
        <w:rPr>
          <w:szCs w:val="20"/>
          <w:lang w:val="es-CL"/>
        </w:rPr>
        <w:t>)</w:t>
      </w:r>
      <w:r w:rsidR="00960E8B">
        <w:rPr>
          <w:szCs w:val="20"/>
          <w:lang w:val="es-CL"/>
        </w:rPr>
        <w:t xml:space="preserve"> </w:t>
      </w:r>
      <w:r w:rsidR="00152CE4">
        <w:rPr>
          <w:rFonts w:cs="Verdana"/>
          <w:szCs w:val="20"/>
        </w:rPr>
        <w:t>solicitaron una</w:t>
      </w:r>
      <w:r w:rsidR="00152CE4" w:rsidRPr="00152CE4">
        <w:rPr>
          <w:szCs w:val="20"/>
          <w:lang w:val="es-CL"/>
        </w:rPr>
        <w:t xml:space="preserve"> “aclaración, o en su defecto [</w:t>
      </w:r>
      <w:r w:rsidR="00152CE4">
        <w:rPr>
          <w:szCs w:val="20"/>
          <w:lang w:val="es-CL"/>
        </w:rPr>
        <w:t>…</w:t>
      </w:r>
      <w:r w:rsidR="00152CE4" w:rsidRPr="00152CE4">
        <w:rPr>
          <w:szCs w:val="20"/>
          <w:lang w:val="es-CL"/>
        </w:rPr>
        <w:t xml:space="preserve">] recurrir parcialmente” </w:t>
      </w:r>
      <w:r w:rsidR="00152CE4">
        <w:rPr>
          <w:szCs w:val="20"/>
          <w:lang w:val="es-CL"/>
        </w:rPr>
        <w:t>la Resolución del Presidente de 12 de julio de 2017, en lo que</w:t>
      </w:r>
      <w:r w:rsidR="00C01BBE" w:rsidRPr="00452BB3">
        <w:rPr>
          <w:rFonts w:cs="Verdana"/>
          <w:szCs w:val="20"/>
          <w:lang w:val="es-ES"/>
        </w:rPr>
        <w:t xml:space="preserve"> </w:t>
      </w:r>
      <w:r w:rsidR="00960E8B">
        <w:rPr>
          <w:szCs w:val="20"/>
          <w:lang w:val="es-CL"/>
        </w:rPr>
        <w:t>respect</w:t>
      </w:r>
      <w:r w:rsidR="00152CE4">
        <w:rPr>
          <w:szCs w:val="20"/>
          <w:lang w:val="es-CL"/>
        </w:rPr>
        <w:t>a</w:t>
      </w:r>
      <w:r w:rsidR="00960E8B">
        <w:rPr>
          <w:szCs w:val="20"/>
          <w:lang w:val="es-CL"/>
        </w:rPr>
        <w:t xml:space="preserve"> </w:t>
      </w:r>
      <w:r w:rsidR="00152CE4">
        <w:rPr>
          <w:szCs w:val="20"/>
          <w:lang w:val="es-CL"/>
        </w:rPr>
        <w:t>e</w:t>
      </w:r>
      <w:r w:rsidR="00960E8B">
        <w:rPr>
          <w:szCs w:val="20"/>
          <w:lang w:val="es-CL"/>
        </w:rPr>
        <w:t>l rechazo del t</w:t>
      </w:r>
      <w:r w:rsidR="004B0C18">
        <w:rPr>
          <w:szCs w:val="20"/>
          <w:lang w:val="es-CL"/>
        </w:rPr>
        <w:t>estigo Francisco Castillo</w:t>
      </w:r>
      <w:r w:rsidR="00A0017D">
        <w:rPr>
          <w:szCs w:val="20"/>
          <w:lang w:val="es-CL"/>
        </w:rPr>
        <w:t xml:space="preserve"> González</w:t>
      </w:r>
      <w:r w:rsidR="00CA02F2">
        <w:rPr>
          <w:rFonts w:cs="Times New Roman"/>
          <w:szCs w:val="20"/>
          <w:lang w:val="es-ES"/>
        </w:rPr>
        <w:t>.</w:t>
      </w:r>
      <w:r w:rsidR="00A0017D">
        <w:rPr>
          <w:rFonts w:cs="Verdana"/>
          <w:szCs w:val="20"/>
          <w:lang w:val="es-ES"/>
        </w:rPr>
        <w:t xml:space="preserve"> Asimismo, l</w:t>
      </w:r>
      <w:r>
        <w:rPr>
          <w:rFonts w:cs="Verdana"/>
          <w:szCs w:val="20"/>
          <w:lang w:val="es-ES"/>
        </w:rPr>
        <w:t xml:space="preserve">a </w:t>
      </w:r>
      <w:r w:rsidR="00A0017D">
        <w:rPr>
          <w:rFonts w:cs="Verdana"/>
          <w:szCs w:val="20"/>
          <w:lang w:val="es-ES"/>
        </w:rPr>
        <w:t>c</w:t>
      </w:r>
      <w:r w:rsidR="00CA02F2">
        <w:rPr>
          <w:rFonts w:cs="Verdana"/>
          <w:szCs w:val="20"/>
          <w:lang w:val="es-ES"/>
        </w:rPr>
        <w:t xml:space="preserve">omunicación de 21 de </w:t>
      </w:r>
      <w:r w:rsidR="00A0017D">
        <w:rPr>
          <w:rFonts w:cs="Verdana"/>
          <w:szCs w:val="20"/>
          <w:lang w:val="es-ES"/>
        </w:rPr>
        <w:t>j</w:t>
      </w:r>
      <w:r w:rsidR="00CA02F2">
        <w:rPr>
          <w:rFonts w:cs="Verdana"/>
          <w:szCs w:val="20"/>
          <w:lang w:val="es-ES"/>
        </w:rPr>
        <w:t>ulio</w:t>
      </w:r>
      <w:r w:rsidR="00A0017D">
        <w:rPr>
          <w:rFonts w:cs="Verdana"/>
          <w:szCs w:val="20"/>
          <w:lang w:val="es-ES"/>
        </w:rPr>
        <w:t xml:space="preserve"> de 2017</w:t>
      </w:r>
      <w:r w:rsidR="00CA02F2">
        <w:rPr>
          <w:rFonts w:cs="Verdana"/>
          <w:szCs w:val="20"/>
          <w:lang w:val="es-ES"/>
        </w:rPr>
        <w:t xml:space="preserve">, mediante la cual los </w:t>
      </w:r>
      <w:r w:rsidR="00DC0741">
        <w:rPr>
          <w:rFonts w:cs="Verdana"/>
          <w:szCs w:val="20"/>
          <w:lang w:val="es-ES"/>
        </w:rPr>
        <w:t xml:space="preserve">intervinientes comunes </w:t>
      </w:r>
      <w:r w:rsidR="00CA02F2">
        <w:rPr>
          <w:rFonts w:cs="Verdana"/>
          <w:szCs w:val="20"/>
          <w:lang w:val="es-ES"/>
        </w:rPr>
        <w:t>SIPDH presentaron una “Fe de Errata</w:t>
      </w:r>
      <w:r w:rsidR="00DC0741">
        <w:rPr>
          <w:rFonts w:cs="Verdana"/>
          <w:szCs w:val="20"/>
          <w:lang w:val="es-ES"/>
        </w:rPr>
        <w:t>s</w:t>
      </w:r>
      <w:r w:rsidR="00CA02F2">
        <w:rPr>
          <w:rFonts w:cs="Verdana"/>
          <w:szCs w:val="20"/>
          <w:lang w:val="es-ES"/>
        </w:rPr>
        <w:t>” en relación con su anterior escrito del 18 de julio</w:t>
      </w:r>
      <w:r w:rsidR="00A0017D">
        <w:rPr>
          <w:rFonts w:cs="Verdana"/>
          <w:szCs w:val="20"/>
          <w:lang w:val="es-ES"/>
        </w:rPr>
        <w:t xml:space="preserve"> de 2017.</w:t>
      </w:r>
    </w:p>
    <w:p w:rsidR="00372075" w:rsidRDefault="00372075" w:rsidP="00D2015D">
      <w:pPr>
        <w:autoSpaceDE w:val="0"/>
        <w:autoSpaceDN w:val="0"/>
        <w:adjustRightInd w:val="0"/>
        <w:spacing w:after="0"/>
        <w:ind w:right="14"/>
        <w:rPr>
          <w:rFonts w:cs="Verdana"/>
          <w:szCs w:val="20"/>
          <w:lang w:val="es-ES"/>
        </w:rPr>
      </w:pPr>
    </w:p>
    <w:p w:rsidR="00372075" w:rsidRPr="00D726C4" w:rsidRDefault="00A0017D" w:rsidP="00D2015D">
      <w:pPr>
        <w:numPr>
          <w:ilvl w:val="0"/>
          <w:numId w:val="4"/>
        </w:numPr>
        <w:autoSpaceDE w:val="0"/>
        <w:autoSpaceDN w:val="0"/>
        <w:adjustRightInd w:val="0"/>
        <w:spacing w:after="0"/>
        <w:ind w:left="0" w:right="14" w:firstLine="0"/>
        <w:rPr>
          <w:rFonts w:cs="Verdana"/>
          <w:szCs w:val="20"/>
          <w:lang w:val="es-ES"/>
        </w:rPr>
      </w:pPr>
      <w:r>
        <w:rPr>
          <w:rFonts w:cs="Verdana"/>
          <w:szCs w:val="20"/>
          <w:lang w:val="es-ES"/>
        </w:rPr>
        <w:t>La n</w:t>
      </w:r>
      <w:r w:rsidR="00372075">
        <w:rPr>
          <w:rFonts w:cs="Verdana"/>
          <w:szCs w:val="20"/>
          <w:lang w:val="es-ES"/>
        </w:rPr>
        <w:t xml:space="preserve">ota de la </w:t>
      </w:r>
      <w:r w:rsidR="00372075" w:rsidRPr="00700FD8">
        <w:rPr>
          <w:rFonts w:cs="Verdana"/>
          <w:szCs w:val="20"/>
        </w:rPr>
        <w:t>Se</w:t>
      </w:r>
      <w:r w:rsidR="00372075" w:rsidRPr="00372075">
        <w:rPr>
          <w:rFonts w:cs="Verdana"/>
          <w:szCs w:val="20"/>
          <w:lang w:val="es-ES"/>
        </w:rPr>
        <w:t>c</w:t>
      </w:r>
      <w:r w:rsidR="00372075" w:rsidRPr="00700FD8">
        <w:rPr>
          <w:rFonts w:cs="Verdana"/>
          <w:szCs w:val="20"/>
        </w:rPr>
        <w:t>retaría de la Corte Interamericana</w:t>
      </w:r>
      <w:r w:rsidR="00372075">
        <w:rPr>
          <w:rFonts w:cs="Verdana"/>
          <w:szCs w:val="20"/>
        </w:rPr>
        <w:t xml:space="preserve"> de Derechos Humanos</w:t>
      </w:r>
      <w:r w:rsidR="00372075" w:rsidRPr="00700FD8">
        <w:rPr>
          <w:rFonts w:cs="Verdana"/>
          <w:szCs w:val="20"/>
        </w:rPr>
        <w:t xml:space="preserve"> </w:t>
      </w:r>
      <w:r w:rsidR="00372075">
        <w:rPr>
          <w:rFonts w:cs="Verdana"/>
          <w:szCs w:val="20"/>
          <w:lang w:val="es-ES"/>
        </w:rPr>
        <w:t xml:space="preserve">de 21 de </w:t>
      </w:r>
      <w:r w:rsidR="00810860">
        <w:rPr>
          <w:rFonts w:cs="Verdana"/>
          <w:szCs w:val="20"/>
          <w:lang w:val="es-ES"/>
        </w:rPr>
        <w:t>j</w:t>
      </w:r>
      <w:r w:rsidR="00372075">
        <w:rPr>
          <w:rFonts w:cs="Verdana"/>
          <w:szCs w:val="20"/>
          <w:lang w:val="es-ES"/>
        </w:rPr>
        <w:t>ulio</w:t>
      </w:r>
      <w:r w:rsidR="00810860">
        <w:rPr>
          <w:rFonts w:cs="Verdana"/>
          <w:szCs w:val="20"/>
          <w:lang w:val="es-ES"/>
        </w:rPr>
        <w:t xml:space="preserve"> de 2017</w:t>
      </w:r>
      <w:r w:rsidR="00372075">
        <w:rPr>
          <w:rFonts w:cs="Verdana"/>
          <w:szCs w:val="20"/>
          <w:lang w:val="es-ES"/>
        </w:rPr>
        <w:t xml:space="preserve">, mediante la cual se transmitió al Estado y a la Comisión la solicitud planteada por </w:t>
      </w:r>
      <w:r w:rsidR="00810860">
        <w:rPr>
          <w:rFonts w:cs="Verdana"/>
          <w:szCs w:val="20"/>
          <w:lang w:val="es-ES"/>
        </w:rPr>
        <w:t>SIPDH</w:t>
      </w:r>
      <w:r w:rsidR="00372075">
        <w:rPr>
          <w:rFonts w:cs="Verdana"/>
          <w:szCs w:val="20"/>
          <w:lang w:val="es-ES"/>
        </w:rPr>
        <w:t xml:space="preserve"> y se les otorgó un plazo de siete días para presentar sus observaciones al respecto. </w:t>
      </w:r>
    </w:p>
    <w:p w:rsidR="00CA02F2" w:rsidRDefault="00CA02F2" w:rsidP="00D2015D">
      <w:pPr>
        <w:autoSpaceDE w:val="0"/>
        <w:autoSpaceDN w:val="0"/>
        <w:adjustRightInd w:val="0"/>
        <w:spacing w:after="0"/>
        <w:ind w:right="14"/>
        <w:rPr>
          <w:rFonts w:cs="Verdana"/>
          <w:szCs w:val="20"/>
          <w:lang w:val="es-ES"/>
        </w:rPr>
      </w:pPr>
    </w:p>
    <w:p w:rsidR="001F6312" w:rsidRPr="00372075" w:rsidRDefault="003E5130" w:rsidP="00D2015D">
      <w:pPr>
        <w:numPr>
          <w:ilvl w:val="0"/>
          <w:numId w:val="4"/>
        </w:numPr>
        <w:autoSpaceDE w:val="0"/>
        <w:autoSpaceDN w:val="0"/>
        <w:adjustRightInd w:val="0"/>
        <w:spacing w:after="0"/>
        <w:ind w:left="0" w:right="14" w:firstLine="0"/>
        <w:rPr>
          <w:rFonts w:cs="Verdana"/>
          <w:szCs w:val="20"/>
          <w:lang w:val="es-ES"/>
        </w:rPr>
      </w:pPr>
      <w:r>
        <w:rPr>
          <w:rFonts w:cs="Verdana"/>
          <w:szCs w:val="20"/>
          <w:lang w:val="es-ES"/>
        </w:rPr>
        <w:t>Los escritos de</w:t>
      </w:r>
      <w:r w:rsidR="006F4CB0">
        <w:rPr>
          <w:rFonts w:cs="Verdana"/>
          <w:szCs w:val="20"/>
          <w:lang w:val="es-ES"/>
        </w:rPr>
        <w:t xml:space="preserve"> 28 de julio</w:t>
      </w:r>
      <w:r w:rsidR="00810860">
        <w:rPr>
          <w:rFonts w:cs="Verdana"/>
          <w:szCs w:val="20"/>
          <w:lang w:val="es-ES"/>
        </w:rPr>
        <w:t xml:space="preserve"> de 2017</w:t>
      </w:r>
      <w:r w:rsidR="006F4CB0">
        <w:rPr>
          <w:rFonts w:cs="Verdana"/>
          <w:szCs w:val="20"/>
          <w:lang w:val="es-ES"/>
        </w:rPr>
        <w:t>,</w:t>
      </w:r>
      <w:r w:rsidR="008069F8" w:rsidRPr="008069F8">
        <w:rPr>
          <w:rFonts w:cs="Verdana"/>
          <w:szCs w:val="20"/>
          <w:lang w:val="es-ES"/>
        </w:rPr>
        <w:t xml:space="preserve"> </w:t>
      </w:r>
      <w:r w:rsidR="00810860">
        <w:rPr>
          <w:rFonts w:cs="Verdana"/>
          <w:szCs w:val="20"/>
          <w:lang w:val="es-ES"/>
        </w:rPr>
        <w:t xml:space="preserve">mediante </w:t>
      </w:r>
      <w:r w:rsidR="00333754">
        <w:rPr>
          <w:rFonts w:cs="Verdana"/>
          <w:szCs w:val="20"/>
          <w:lang w:val="es-ES"/>
        </w:rPr>
        <w:t xml:space="preserve">los cuales, respectivamente, </w:t>
      </w:r>
      <w:r w:rsidR="008069F8" w:rsidRPr="008069F8">
        <w:rPr>
          <w:rFonts w:cs="Verdana"/>
          <w:szCs w:val="20"/>
          <w:lang w:val="es-ES"/>
        </w:rPr>
        <w:t>el Estado</w:t>
      </w:r>
      <w:r>
        <w:rPr>
          <w:rFonts w:cs="Verdana"/>
          <w:szCs w:val="20"/>
          <w:lang w:val="es-ES"/>
        </w:rPr>
        <w:t xml:space="preserve"> solicitó que se rechace la solicitud interpuesta</w:t>
      </w:r>
      <w:r w:rsidR="00810860">
        <w:rPr>
          <w:rFonts w:cs="Verdana"/>
          <w:szCs w:val="20"/>
          <w:lang w:val="es-ES"/>
        </w:rPr>
        <w:t xml:space="preserve"> </w:t>
      </w:r>
      <w:r w:rsidR="00333754">
        <w:rPr>
          <w:rFonts w:cs="Verdana"/>
          <w:szCs w:val="20"/>
          <w:lang w:val="es-ES"/>
        </w:rPr>
        <w:t>por SIPDH y</w:t>
      </w:r>
      <w:r w:rsidR="002C75DF">
        <w:rPr>
          <w:rFonts w:cs="Verdana"/>
          <w:szCs w:val="20"/>
          <w:lang w:val="es-ES"/>
        </w:rPr>
        <w:t xml:space="preserve"> </w:t>
      </w:r>
      <w:r w:rsidR="006A350A">
        <w:rPr>
          <w:rFonts w:cs="Verdana"/>
          <w:szCs w:val="20"/>
          <w:lang w:val="es-ES"/>
        </w:rPr>
        <w:t>la Comisión señaló que no tenía</w:t>
      </w:r>
      <w:r w:rsidR="002C75DF">
        <w:rPr>
          <w:rFonts w:cs="Verdana"/>
          <w:szCs w:val="20"/>
          <w:lang w:val="es-ES"/>
        </w:rPr>
        <w:t xml:space="preserve"> observaciones al respecto</w:t>
      </w:r>
      <w:r w:rsidR="00333F33">
        <w:rPr>
          <w:szCs w:val="20"/>
          <w:lang w:val="es-CL"/>
        </w:rPr>
        <w:t>.</w:t>
      </w:r>
    </w:p>
    <w:p w:rsidR="00F90477" w:rsidRDefault="00F90477" w:rsidP="002C75DF">
      <w:pPr>
        <w:autoSpaceDE w:val="0"/>
        <w:autoSpaceDN w:val="0"/>
        <w:adjustRightInd w:val="0"/>
        <w:spacing w:after="0"/>
        <w:ind w:right="18"/>
        <w:rPr>
          <w:rFonts w:cs="Verdana"/>
          <w:szCs w:val="20"/>
          <w:lang w:val="es-ES"/>
        </w:rPr>
      </w:pPr>
    </w:p>
    <w:p w:rsidR="0018203B" w:rsidRDefault="0018203B" w:rsidP="007403DD">
      <w:pPr>
        <w:autoSpaceDE w:val="0"/>
        <w:autoSpaceDN w:val="0"/>
        <w:adjustRightInd w:val="0"/>
        <w:spacing w:after="0"/>
        <w:ind w:right="18"/>
        <w:rPr>
          <w:rFonts w:cs="Verdana"/>
          <w:szCs w:val="20"/>
          <w:lang w:val="es-ES"/>
        </w:rPr>
      </w:pPr>
    </w:p>
    <w:p w:rsidR="005F4381" w:rsidRDefault="00F90477" w:rsidP="007403DD">
      <w:pPr>
        <w:spacing w:after="0"/>
        <w:rPr>
          <w:rFonts w:eastAsia="Times New Roman" w:cs="Verdana"/>
          <w:b/>
          <w:bCs/>
          <w:szCs w:val="20"/>
          <w:lang w:val="es-CL" w:eastAsia="en-US"/>
        </w:rPr>
      </w:pPr>
      <w:r w:rsidRPr="00E44575">
        <w:rPr>
          <w:rFonts w:eastAsia="Times New Roman" w:cs="Verdana"/>
          <w:b/>
          <w:bCs/>
          <w:szCs w:val="20"/>
          <w:lang w:val="es-CL" w:eastAsia="en-US"/>
        </w:rPr>
        <w:t>CONSIDERANDO QUE:</w:t>
      </w:r>
    </w:p>
    <w:p w:rsidR="007403DD" w:rsidRDefault="007403DD" w:rsidP="00D2015D">
      <w:pPr>
        <w:spacing w:after="0"/>
        <w:rPr>
          <w:rFonts w:eastAsia="Times New Roman" w:cs="Verdana"/>
          <w:b/>
          <w:bCs/>
          <w:szCs w:val="20"/>
          <w:lang w:val="es-CL" w:eastAsia="en-US"/>
        </w:rPr>
      </w:pPr>
    </w:p>
    <w:p w:rsidR="001D4D49" w:rsidRPr="00E17BE7" w:rsidRDefault="001D4D49" w:rsidP="00D2015D">
      <w:pPr>
        <w:numPr>
          <w:ilvl w:val="0"/>
          <w:numId w:val="3"/>
        </w:numPr>
        <w:spacing w:after="0"/>
        <w:ind w:right="18"/>
        <w:rPr>
          <w:rFonts w:cs="Verdana"/>
          <w:szCs w:val="20"/>
        </w:rPr>
      </w:pPr>
      <w:r w:rsidRPr="005C641D">
        <w:rPr>
          <w:rFonts w:cs="Verdana"/>
          <w:szCs w:val="20"/>
        </w:rPr>
        <w:tab/>
      </w:r>
      <w:r w:rsidRPr="00245F5E">
        <w:rPr>
          <w:rFonts w:cs="Verdana"/>
          <w:szCs w:val="20"/>
        </w:rPr>
        <w:t>Las decisiones del Presidente</w:t>
      </w:r>
      <w:r>
        <w:rPr>
          <w:rFonts w:cs="Verdana"/>
          <w:szCs w:val="20"/>
        </w:rPr>
        <w:t>, que no sean de mero trámite,</w:t>
      </w:r>
      <w:r w:rsidRPr="00245F5E">
        <w:rPr>
          <w:rFonts w:cs="Verdana"/>
          <w:szCs w:val="20"/>
        </w:rPr>
        <w:t xml:space="preserve"> son recurribles ante la Corte</w:t>
      </w:r>
      <w:r>
        <w:rPr>
          <w:rFonts w:cs="Verdana"/>
          <w:szCs w:val="20"/>
        </w:rPr>
        <w:t xml:space="preserve"> Interamericana de Derechos Humanos (en adelante “la Corte” o “el Tribunal”</w:t>
      </w:r>
      <w:r w:rsidRPr="00245F5E">
        <w:rPr>
          <w:rFonts w:cs="Verdana"/>
          <w:szCs w:val="20"/>
        </w:rPr>
        <w:t>, en los términos del artículo 3</w:t>
      </w:r>
      <w:r>
        <w:rPr>
          <w:rFonts w:cs="Verdana"/>
          <w:szCs w:val="20"/>
        </w:rPr>
        <w:t>1</w:t>
      </w:r>
      <w:r w:rsidRPr="00245F5E">
        <w:rPr>
          <w:rFonts w:cs="Verdana"/>
          <w:szCs w:val="20"/>
        </w:rPr>
        <w:t>.2 del Reglamento</w:t>
      </w:r>
      <w:r>
        <w:rPr>
          <w:rFonts w:cs="Verdana"/>
          <w:szCs w:val="20"/>
        </w:rPr>
        <w:t xml:space="preserve"> de este Tribunal</w:t>
      </w:r>
      <w:r w:rsidRPr="00B37257">
        <w:rPr>
          <w:rFonts w:cs="Verdana"/>
          <w:szCs w:val="20"/>
          <w:lang w:val="es-CR"/>
        </w:rPr>
        <w:t xml:space="preserve"> (en adelante “el Reglamento”).</w:t>
      </w:r>
    </w:p>
    <w:p w:rsidR="00E17BE7" w:rsidRPr="00F262C0" w:rsidRDefault="00E17BE7" w:rsidP="00D2015D">
      <w:pPr>
        <w:spacing w:after="0"/>
        <w:ind w:right="18"/>
        <w:rPr>
          <w:rFonts w:cs="Verdana"/>
          <w:szCs w:val="20"/>
        </w:rPr>
      </w:pPr>
    </w:p>
    <w:p w:rsidR="001D4D49" w:rsidRPr="008432B1" w:rsidRDefault="001D4D49" w:rsidP="00D2015D">
      <w:pPr>
        <w:numPr>
          <w:ilvl w:val="0"/>
          <w:numId w:val="3"/>
        </w:numPr>
        <w:spacing w:after="0"/>
        <w:ind w:right="18"/>
        <w:rPr>
          <w:rFonts w:cs="Verdana"/>
          <w:szCs w:val="20"/>
        </w:rPr>
      </w:pPr>
      <w:r w:rsidRPr="00F262C0">
        <w:rPr>
          <w:rFonts w:cs="Verdana"/>
          <w:szCs w:val="20"/>
          <w:lang w:val="es-ES"/>
        </w:rPr>
        <w:t>La Corte tiene amplias facultades en cuanto a la admisión y a la modalidad de recepción de la prueba, de conformidad con los artículos 50, 57 y 58 del Reglamento.</w:t>
      </w:r>
    </w:p>
    <w:p w:rsidR="00E17BE7" w:rsidRPr="00017CD7" w:rsidRDefault="00E17BE7" w:rsidP="00D2015D">
      <w:pPr>
        <w:spacing w:after="0"/>
        <w:ind w:right="18"/>
        <w:rPr>
          <w:rFonts w:cs="Verdana"/>
          <w:szCs w:val="20"/>
        </w:rPr>
      </w:pPr>
    </w:p>
    <w:p w:rsidR="00E215FA" w:rsidRPr="00D2015D" w:rsidRDefault="00EC6F70" w:rsidP="00D2015D">
      <w:pPr>
        <w:numPr>
          <w:ilvl w:val="0"/>
          <w:numId w:val="3"/>
        </w:numPr>
        <w:spacing w:after="0"/>
        <w:ind w:right="18"/>
        <w:rPr>
          <w:szCs w:val="20"/>
          <w:lang w:val="es-CR"/>
        </w:rPr>
      </w:pPr>
      <w:r w:rsidRPr="003E5130">
        <w:rPr>
          <w:rFonts w:cs="Times New Roman"/>
          <w:szCs w:val="20"/>
          <w:lang w:val="es-ES"/>
        </w:rPr>
        <w:t>En su escrito de solicitudes</w:t>
      </w:r>
      <w:r w:rsidR="003E5130" w:rsidRPr="003E5130">
        <w:rPr>
          <w:rFonts w:cs="Times New Roman"/>
          <w:szCs w:val="20"/>
          <w:lang w:val="es-ES"/>
        </w:rPr>
        <w:t>,</w:t>
      </w:r>
      <w:r w:rsidRPr="003E5130">
        <w:rPr>
          <w:rFonts w:cs="Times New Roman"/>
          <w:szCs w:val="20"/>
          <w:lang w:val="es-ES"/>
        </w:rPr>
        <w:t xml:space="preserve"> argumentos </w:t>
      </w:r>
      <w:r w:rsidR="003E5130" w:rsidRPr="003E5130">
        <w:rPr>
          <w:rFonts w:cs="Times New Roman"/>
          <w:szCs w:val="20"/>
          <w:lang w:val="es-ES"/>
        </w:rPr>
        <w:t>y prueba</w:t>
      </w:r>
      <w:r w:rsidR="00574446">
        <w:rPr>
          <w:rFonts w:cs="Times New Roman"/>
          <w:szCs w:val="20"/>
          <w:lang w:val="es-ES"/>
        </w:rPr>
        <w:t>s</w:t>
      </w:r>
      <w:r w:rsidR="003E5130" w:rsidRPr="003E5130">
        <w:rPr>
          <w:rFonts w:cs="Times New Roman"/>
          <w:szCs w:val="20"/>
          <w:lang w:val="es-ES"/>
        </w:rPr>
        <w:t xml:space="preserve"> </w:t>
      </w:r>
      <w:r w:rsidRPr="003E5130">
        <w:rPr>
          <w:rFonts w:cs="Times New Roman"/>
          <w:szCs w:val="20"/>
          <w:lang w:val="es-ES"/>
        </w:rPr>
        <w:t xml:space="preserve">los </w:t>
      </w:r>
      <w:r w:rsidR="003E5130" w:rsidRPr="003E5130">
        <w:rPr>
          <w:rFonts w:cs="Times New Roman"/>
          <w:szCs w:val="20"/>
          <w:lang w:val="es-ES"/>
        </w:rPr>
        <w:t xml:space="preserve">intervinientes comunes SIPDH </w:t>
      </w:r>
      <w:r w:rsidRPr="003E5130">
        <w:rPr>
          <w:rFonts w:cs="Times New Roman"/>
          <w:szCs w:val="20"/>
          <w:lang w:val="es-ES"/>
        </w:rPr>
        <w:t xml:space="preserve">ofrecieron, entre otros, la declaración </w:t>
      </w:r>
      <w:r w:rsidR="0023179D" w:rsidRPr="003E5130">
        <w:rPr>
          <w:rFonts w:cs="Times New Roman"/>
          <w:szCs w:val="20"/>
          <w:lang w:val="es-ES"/>
        </w:rPr>
        <w:t xml:space="preserve">testimonial </w:t>
      </w:r>
      <w:r w:rsidR="003E5130" w:rsidRPr="00BF3A37">
        <w:rPr>
          <w:szCs w:val="20"/>
        </w:rPr>
        <w:t xml:space="preserve">del señor </w:t>
      </w:r>
      <w:r w:rsidR="0023179D" w:rsidRPr="003E5130">
        <w:rPr>
          <w:rFonts w:cs="Times New Roman"/>
          <w:szCs w:val="20"/>
          <w:lang w:val="es-ES"/>
        </w:rPr>
        <w:t>Francisco Castillo</w:t>
      </w:r>
      <w:r w:rsidR="003E5130" w:rsidRPr="003E5130">
        <w:rPr>
          <w:rFonts w:cs="Times New Roman"/>
          <w:szCs w:val="20"/>
          <w:lang w:val="es-ES"/>
        </w:rPr>
        <w:t xml:space="preserve"> González</w:t>
      </w:r>
      <w:r w:rsidRPr="003E5130">
        <w:rPr>
          <w:rFonts w:cs="Times New Roman"/>
          <w:szCs w:val="20"/>
          <w:lang w:val="es-ES"/>
        </w:rPr>
        <w:t xml:space="preserve">, </w:t>
      </w:r>
      <w:r w:rsidR="005054E5" w:rsidRPr="003E5130">
        <w:rPr>
          <w:szCs w:val="20"/>
        </w:rPr>
        <w:t>para que declare sobre “los efectos del peculado en el caso del Banco Anglo debido a la cercanía que tuvo en la defensa de ese caso</w:t>
      </w:r>
      <w:r w:rsidRPr="003E5130">
        <w:rPr>
          <w:rFonts w:cs="Times New Roman"/>
          <w:szCs w:val="20"/>
          <w:lang w:val="es-ES"/>
        </w:rPr>
        <w:t>.</w:t>
      </w:r>
      <w:r w:rsidR="003E5130" w:rsidRPr="003E5130">
        <w:t xml:space="preserve"> </w:t>
      </w:r>
      <w:r w:rsidR="003E5130" w:rsidRPr="003E5130">
        <w:rPr>
          <w:rFonts w:cs="Times New Roman"/>
          <w:szCs w:val="20"/>
          <w:lang w:val="es-ES"/>
        </w:rPr>
        <w:t>Explicará las vicisitudes objetivas de la aplicación de esa figura en la práctica</w:t>
      </w:r>
      <w:r w:rsidR="003E5130">
        <w:rPr>
          <w:rFonts w:cs="Times New Roman"/>
          <w:szCs w:val="20"/>
          <w:lang w:val="es-ES"/>
        </w:rPr>
        <w:t xml:space="preserve"> </w:t>
      </w:r>
      <w:r w:rsidR="003E5130" w:rsidRPr="003E5130">
        <w:rPr>
          <w:rFonts w:cs="Times New Roman"/>
          <w:szCs w:val="20"/>
          <w:lang w:val="es-ES"/>
        </w:rPr>
        <w:t>forense”</w:t>
      </w:r>
      <w:r w:rsidR="003E5130">
        <w:rPr>
          <w:rFonts w:cs="Times New Roman"/>
          <w:szCs w:val="20"/>
          <w:lang w:val="es-ES"/>
        </w:rPr>
        <w:t>.</w:t>
      </w:r>
      <w:r w:rsidRPr="003E5130">
        <w:rPr>
          <w:rFonts w:cs="Times New Roman"/>
          <w:szCs w:val="20"/>
          <w:lang w:val="es-ES"/>
        </w:rPr>
        <w:t xml:space="preserve"> En su </w:t>
      </w:r>
      <w:r w:rsidRPr="003E5130">
        <w:rPr>
          <w:rFonts w:cs="Verdana"/>
          <w:szCs w:val="20"/>
          <w:lang w:val="es-ES"/>
        </w:rPr>
        <w:t>lista</w:t>
      </w:r>
      <w:r w:rsidRPr="003E5130">
        <w:rPr>
          <w:rFonts w:cs="Times New Roman"/>
          <w:szCs w:val="20"/>
          <w:lang w:val="es-ES"/>
        </w:rPr>
        <w:t xml:space="preserve"> definitiva de declarantes confirmaron dicho ofrecimiento.</w:t>
      </w:r>
      <w:r w:rsidR="00A336C6" w:rsidRPr="003E5130">
        <w:rPr>
          <w:rFonts w:cs="Times New Roman"/>
          <w:bCs/>
          <w:iCs/>
          <w:szCs w:val="20"/>
        </w:rPr>
        <w:t xml:space="preserve"> En la Resolución de </w:t>
      </w:r>
      <w:r w:rsidR="00E215FA" w:rsidRPr="003E5130">
        <w:rPr>
          <w:szCs w:val="20"/>
        </w:rPr>
        <w:t>12 de julio de 2017</w:t>
      </w:r>
      <w:r w:rsidR="007E5B1E">
        <w:rPr>
          <w:szCs w:val="20"/>
        </w:rPr>
        <w:t xml:space="preserve"> (</w:t>
      </w:r>
      <w:r w:rsidR="007E5B1E" w:rsidRPr="00D2015D">
        <w:rPr>
          <w:i/>
          <w:szCs w:val="20"/>
        </w:rPr>
        <w:t>supra</w:t>
      </w:r>
      <w:r w:rsidR="007E5B1E">
        <w:rPr>
          <w:szCs w:val="20"/>
        </w:rPr>
        <w:t xml:space="preserve"> Visto 1)</w:t>
      </w:r>
      <w:r w:rsidR="00E215FA" w:rsidRPr="003E5130">
        <w:rPr>
          <w:szCs w:val="20"/>
        </w:rPr>
        <w:t xml:space="preserve">, el Presidente </w:t>
      </w:r>
      <w:r w:rsidR="00E215FA" w:rsidRPr="00D2015D">
        <w:rPr>
          <w:szCs w:val="20"/>
        </w:rPr>
        <w:t>no estimó</w:t>
      </w:r>
      <w:r w:rsidR="00E215FA" w:rsidRPr="003E5130">
        <w:rPr>
          <w:szCs w:val="20"/>
        </w:rPr>
        <w:t xml:space="preserve"> pertinente recibir la declaración </w:t>
      </w:r>
      <w:r w:rsidR="003E5130" w:rsidRPr="003E5130">
        <w:rPr>
          <w:rFonts w:cs="Times New Roman"/>
          <w:szCs w:val="20"/>
          <w:lang w:val="es-ES"/>
        </w:rPr>
        <w:t>de</w:t>
      </w:r>
      <w:r w:rsidR="003E5130" w:rsidRPr="00CE1FEA">
        <w:rPr>
          <w:rFonts w:cs="Times New Roman"/>
          <w:szCs w:val="20"/>
          <w:lang w:val="es-ES"/>
        </w:rPr>
        <w:t xml:space="preserve"> </w:t>
      </w:r>
      <w:r w:rsidR="00E215FA" w:rsidRPr="003E5130">
        <w:rPr>
          <w:szCs w:val="20"/>
        </w:rPr>
        <w:t xml:space="preserve">Francisco Castillo González, </w:t>
      </w:r>
      <w:r w:rsidR="003E5130">
        <w:rPr>
          <w:szCs w:val="20"/>
        </w:rPr>
        <w:t>debido a</w:t>
      </w:r>
      <w:r w:rsidR="00E215FA" w:rsidRPr="003E5130">
        <w:rPr>
          <w:szCs w:val="20"/>
          <w:lang w:val="es-CR"/>
        </w:rPr>
        <w:t xml:space="preserve"> que </w:t>
      </w:r>
      <w:r w:rsidR="00E215FA" w:rsidRPr="007C53EC">
        <w:rPr>
          <w:szCs w:val="20"/>
          <w:lang w:val="es-CR"/>
        </w:rPr>
        <w:t>“</w:t>
      </w:r>
      <w:r w:rsidR="00E215FA" w:rsidRPr="003E5130">
        <w:rPr>
          <w:szCs w:val="20"/>
          <w:lang w:val="es-CR"/>
        </w:rPr>
        <w:t xml:space="preserve">[d]el análisis del objeto de dicho testimonio </w:t>
      </w:r>
      <w:r w:rsidR="003E5130">
        <w:rPr>
          <w:szCs w:val="20"/>
          <w:lang w:val="es-CR"/>
        </w:rPr>
        <w:t xml:space="preserve">se desprende que </w:t>
      </w:r>
      <w:r w:rsidR="003E5130" w:rsidRPr="003E5130">
        <w:rPr>
          <w:szCs w:val="20"/>
          <w:lang w:val="es-CR"/>
        </w:rPr>
        <w:t>el testigo se referiría al</w:t>
      </w:r>
      <w:r w:rsidR="003E5130">
        <w:rPr>
          <w:szCs w:val="20"/>
          <w:lang w:val="es-CR"/>
        </w:rPr>
        <w:t xml:space="preserve"> </w:t>
      </w:r>
      <w:r w:rsidR="003E5130" w:rsidRPr="003E5130">
        <w:rPr>
          <w:szCs w:val="20"/>
          <w:lang w:val="es-CR"/>
        </w:rPr>
        <w:t>contenido del delito de peculado y su aplicación en la práctica forense costarricense, lo cual</w:t>
      </w:r>
      <w:r w:rsidR="003E5130" w:rsidRPr="003E5130" w:rsidDel="003E5130">
        <w:rPr>
          <w:szCs w:val="20"/>
          <w:lang w:val="es-CR"/>
        </w:rPr>
        <w:t xml:space="preserve"> </w:t>
      </w:r>
      <w:r w:rsidR="00E215FA" w:rsidRPr="003E5130">
        <w:rPr>
          <w:szCs w:val="20"/>
          <w:lang w:val="es-CR"/>
        </w:rPr>
        <w:t xml:space="preserve">no se vincularía, </w:t>
      </w:r>
      <w:r w:rsidR="00E215FA" w:rsidRPr="003E5130">
        <w:rPr>
          <w:i/>
          <w:szCs w:val="20"/>
          <w:lang w:val="es-CR"/>
        </w:rPr>
        <w:t>prima facie</w:t>
      </w:r>
      <w:r w:rsidR="00E215FA" w:rsidRPr="003E5130">
        <w:rPr>
          <w:szCs w:val="20"/>
          <w:lang w:val="es-CR"/>
        </w:rPr>
        <w:t xml:space="preserve">, al objeto de la presente </w:t>
      </w:r>
      <w:proofErr w:type="spellStart"/>
      <w:r w:rsidR="00E215FA" w:rsidRPr="003E5130">
        <w:rPr>
          <w:szCs w:val="20"/>
          <w:lang w:val="es-CR"/>
        </w:rPr>
        <w:t>litis</w:t>
      </w:r>
      <w:proofErr w:type="spellEnd"/>
      <w:r w:rsidR="00E215FA" w:rsidRPr="003E5130">
        <w:rPr>
          <w:szCs w:val="20"/>
          <w:lang w:val="es-CR"/>
        </w:rPr>
        <w:t>”.</w:t>
      </w:r>
    </w:p>
    <w:p w:rsidR="003E5130" w:rsidRPr="003E5130" w:rsidRDefault="003E5130" w:rsidP="00D2015D">
      <w:pPr>
        <w:spacing w:after="0"/>
        <w:ind w:right="18"/>
        <w:rPr>
          <w:rFonts w:eastAsia="32auyog" w:cs="32auyog"/>
          <w:szCs w:val="20"/>
          <w:lang w:val="es-CR"/>
        </w:rPr>
      </w:pPr>
    </w:p>
    <w:p w:rsidR="00F00BC9" w:rsidRDefault="00E215FA" w:rsidP="00D2015D">
      <w:pPr>
        <w:numPr>
          <w:ilvl w:val="0"/>
          <w:numId w:val="3"/>
        </w:numPr>
        <w:spacing w:after="0"/>
        <w:ind w:right="18"/>
        <w:rPr>
          <w:rFonts w:eastAsia="32auyog" w:cs="32auyog"/>
          <w:szCs w:val="20"/>
          <w:lang w:val="es-CR"/>
        </w:rPr>
      </w:pPr>
      <w:r w:rsidRPr="00F00BC9">
        <w:rPr>
          <w:szCs w:val="20"/>
        </w:rPr>
        <w:t>Mediante</w:t>
      </w:r>
      <w:r w:rsidRPr="00F00BC9">
        <w:rPr>
          <w:szCs w:val="20"/>
          <w:lang w:val="es-CR"/>
        </w:rPr>
        <w:t xml:space="preserve"> escrito de 18 de julio de 2017 </w:t>
      </w:r>
      <w:r w:rsidR="003E5130" w:rsidRPr="003E5130">
        <w:rPr>
          <w:rFonts w:cs="Times New Roman"/>
          <w:szCs w:val="20"/>
          <w:lang w:val="es-ES"/>
        </w:rPr>
        <w:t xml:space="preserve">los </w:t>
      </w:r>
      <w:r w:rsidR="003E5130" w:rsidRPr="00DC17F1">
        <w:rPr>
          <w:rFonts w:cs="Times New Roman"/>
          <w:b/>
          <w:i/>
          <w:szCs w:val="20"/>
          <w:lang w:val="es-ES"/>
        </w:rPr>
        <w:t>intervinientes comunes</w:t>
      </w:r>
      <w:r w:rsidRPr="00DC17F1">
        <w:rPr>
          <w:b/>
          <w:i/>
          <w:szCs w:val="20"/>
          <w:lang w:val="es-CR"/>
        </w:rPr>
        <w:t xml:space="preserve"> SIPDH</w:t>
      </w:r>
      <w:r w:rsidRPr="00F00BC9">
        <w:rPr>
          <w:szCs w:val="20"/>
          <w:lang w:val="es-CR"/>
        </w:rPr>
        <w:t xml:space="preserve"> solicit</w:t>
      </w:r>
      <w:r w:rsidR="003E5130">
        <w:rPr>
          <w:szCs w:val="20"/>
          <w:lang w:val="es-CR"/>
        </w:rPr>
        <w:t>aron</w:t>
      </w:r>
      <w:r w:rsidRPr="00F00BC9">
        <w:rPr>
          <w:szCs w:val="20"/>
          <w:lang w:val="es-CR"/>
        </w:rPr>
        <w:t>, de conformidad con el artículo 31.2 del Reglamento de la Corte</w:t>
      </w:r>
      <w:r>
        <w:rPr>
          <w:rStyle w:val="FootnoteReference"/>
          <w:szCs w:val="20"/>
          <w:lang w:val="es-CR"/>
        </w:rPr>
        <w:footnoteReference w:id="2"/>
      </w:r>
      <w:r w:rsidRPr="00F00BC9">
        <w:rPr>
          <w:szCs w:val="20"/>
          <w:lang w:val="es-CR"/>
        </w:rPr>
        <w:t>, una “aclaración, o en su defecto […] recurrir parcialmente” ante el Pleno la Resolución del Presidente “</w:t>
      </w:r>
      <w:r w:rsidRPr="00F00BC9">
        <w:rPr>
          <w:rFonts w:eastAsia="32auyog" w:cs="32auyog"/>
          <w:szCs w:val="20"/>
          <w:lang w:val="es-CR"/>
        </w:rPr>
        <w:t xml:space="preserve">en lo atinente a los motivos de la denegatoria del testigo” Francisco Castillo González. </w:t>
      </w:r>
      <w:r w:rsidR="00EC6F70" w:rsidRPr="00F00BC9">
        <w:rPr>
          <w:rFonts w:cs="Times New Roman"/>
          <w:szCs w:val="20"/>
          <w:lang w:val="es-ES"/>
        </w:rPr>
        <w:t xml:space="preserve"> </w:t>
      </w:r>
      <w:r w:rsidR="003E5130">
        <w:rPr>
          <w:rFonts w:eastAsia="32auyog" w:cs="32auyog"/>
          <w:szCs w:val="20"/>
          <w:lang w:val="es-CR"/>
        </w:rPr>
        <w:t xml:space="preserve">Señalaron </w:t>
      </w:r>
      <w:r w:rsidR="00F00BC9" w:rsidRPr="00F00BC9">
        <w:rPr>
          <w:rFonts w:eastAsia="32auyog" w:cs="32auyog"/>
          <w:szCs w:val="20"/>
          <w:lang w:val="es-CR"/>
        </w:rPr>
        <w:t xml:space="preserve">que la </w:t>
      </w:r>
      <w:r w:rsidR="00F00BC9" w:rsidRPr="00D2015D">
        <w:rPr>
          <w:rFonts w:eastAsia="32auyog" w:cs="32auyog"/>
          <w:szCs w:val="20"/>
          <w:lang w:val="es-CR"/>
        </w:rPr>
        <w:t>petición ante la Comisión</w:t>
      </w:r>
      <w:r w:rsidR="00F00BC9" w:rsidRPr="003E5130">
        <w:rPr>
          <w:rFonts w:eastAsia="32auyog" w:cs="32auyog"/>
          <w:szCs w:val="20"/>
          <w:lang w:val="es-CR"/>
        </w:rPr>
        <w:t xml:space="preserve"> no solo se presentó por las alegadas violaciones al artículo 8.2.h de la Convención Americana, sino además por un </w:t>
      </w:r>
      <w:r w:rsidR="00D976A7">
        <w:rPr>
          <w:rFonts w:eastAsia="32auyog" w:cs="32auyog"/>
          <w:szCs w:val="20"/>
          <w:lang w:val="es-CR"/>
        </w:rPr>
        <w:t xml:space="preserve">alegado </w:t>
      </w:r>
      <w:r w:rsidR="00F00BC9" w:rsidRPr="003E5130">
        <w:rPr>
          <w:rFonts w:eastAsia="32auyog" w:cs="32auyog"/>
          <w:szCs w:val="20"/>
          <w:lang w:val="es-CR"/>
        </w:rPr>
        <w:t xml:space="preserve">problema de tipicidad y legalidad del delito de peculado en Costa Rica. </w:t>
      </w:r>
      <w:r w:rsidR="00F00BC9" w:rsidRPr="00D2015D">
        <w:rPr>
          <w:rFonts w:eastAsia="32auyog" w:cs="32auyog"/>
          <w:szCs w:val="20"/>
          <w:lang w:val="es-CR"/>
        </w:rPr>
        <w:t>Reconoci</w:t>
      </w:r>
      <w:r w:rsidR="003E5130">
        <w:rPr>
          <w:rFonts w:eastAsia="32auyog" w:cs="32auyog"/>
          <w:szCs w:val="20"/>
          <w:lang w:val="es-CR"/>
        </w:rPr>
        <w:t>eron</w:t>
      </w:r>
      <w:r w:rsidR="00F00BC9" w:rsidRPr="00D2015D">
        <w:rPr>
          <w:rFonts w:eastAsia="32auyog" w:cs="32auyog"/>
          <w:szCs w:val="20"/>
          <w:lang w:val="es-CR"/>
        </w:rPr>
        <w:t xml:space="preserve"> que “es cierto que la Comisión Interamericana no consideró en su informe del artículo 50 estos hechos y derechos como parte del envío del caso a la Corte”,</w:t>
      </w:r>
      <w:r w:rsidR="00F00BC9" w:rsidRPr="003E5130">
        <w:rPr>
          <w:rFonts w:eastAsia="32auyog" w:cs="32auyog"/>
          <w:szCs w:val="20"/>
          <w:lang w:val="es-CR"/>
        </w:rPr>
        <w:t xml:space="preserve"> sin embargo, considera</w:t>
      </w:r>
      <w:r w:rsidR="003E5130">
        <w:rPr>
          <w:rFonts w:eastAsia="32auyog" w:cs="32auyog"/>
          <w:szCs w:val="20"/>
          <w:lang w:val="es-CR"/>
        </w:rPr>
        <w:t>ron</w:t>
      </w:r>
      <w:r w:rsidR="00F00BC9" w:rsidRPr="003E5130">
        <w:rPr>
          <w:rFonts w:eastAsia="32auyog" w:cs="32auyog"/>
          <w:szCs w:val="20"/>
          <w:lang w:val="es-CR"/>
        </w:rPr>
        <w:t xml:space="preserve"> que dichos hechos alegados en el proceso ante la Comisión no deben quedar por fuera de la </w:t>
      </w:r>
      <w:proofErr w:type="spellStart"/>
      <w:r w:rsidR="00F00BC9" w:rsidRPr="003E5130">
        <w:rPr>
          <w:rFonts w:eastAsia="32auyog" w:cs="32auyog"/>
          <w:szCs w:val="20"/>
          <w:lang w:val="es-CR"/>
        </w:rPr>
        <w:t>litis</w:t>
      </w:r>
      <w:proofErr w:type="spellEnd"/>
      <w:r w:rsidR="00F00BC9" w:rsidRPr="003E5130">
        <w:rPr>
          <w:rFonts w:eastAsia="32auyog" w:cs="32auyog"/>
          <w:szCs w:val="20"/>
          <w:lang w:val="es-CR"/>
        </w:rPr>
        <w:t xml:space="preserve"> ante la Corte. Así, </w:t>
      </w:r>
      <w:r w:rsidR="00F00BC9" w:rsidRPr="00D2015D">
        <w:rPr>
          <w:rFonts w:eastAsia="32auyog" w:cs="32auyog"/>
          <w:szCs w:val="20"/>
          <w:lang w:val="es-CR"/>
        </w:rPr>
        <w:t>solicit</w:t>
      </w:r>
      <w:r w:rsidR="003E5130">
        <w:rPr>
          <w:rFonts w:eastAsia="32auyog" w:cs="32auyog"/>
          <w:szCs w:val="20"/>
          <w:lang w:val="es-CR"/>
        </w:rPr>
        <w:t>aron</w:t>
      </w:r>
      <w:r w:rsidR="00F00BC9" w:rsidRPr="00D2015D">
        <w:rPr>
          <w:rFonts w:eastAsia="32auyog" w:cs="32auyog"/>
          <w:szCs w:val="20"/>
          <w:lang w:val="es-CR"/>
        </w:rPr>
        <w:t xml:space="preserve"> que los motivos de la denegación del testigo no limiten “a esta representación probar y argumentar sobre eventuales violaciones a hechos y derechos humanos</w:t>
      </w:r>
      <w:r w:rsidR="00F00BC9" w:rsidRPr="003E5130">
        <w:rPr>
          <w:rFonts w:eastAsia="32auyog" w:cs="32auyog"/>
          <w:szCs w:val="20"/>
          <w:lang w:val="es-CR"/>
        </w:rPr>
        <w:t xml:space="preserve"> denunciados ampliamente en el proceso ante la Comisión Interamericana y ante la Corte Interamericana, </w:t>
      </w:r>
      <w:r w:rsidR="00F00BC9" w:rsidRPr="00D2015D">
        <w:rPr>
          <w:rFonts w:eastAsia="32auyog" w:cs="32auyog"/>
          <w:szCs w:val="20"/>
          <w:lang w:val="es-CR"/>
        </w:rPr>
        <w:t>más allá del cuadro fáctico invocado por la Comisión Interamericana en su Informe del Artículo 50”.</w:t>
      </w:r>
      <w:r w:rsidR="00F00BC9" w:rsidRPr="00F00BC9">
        <w:rPr>
          <w:rFonts w:eastAsia="32auyog" w:cs="32auyog"/>
          <w:szCs w:val="20"/>
          <w:lang w:val="es-CR"/>
        </w:rPr>
        <w:t xml:space="preserve"> </w:t>
      </w:r>
    </w:p>
    <w:p w:rsidR="00F00BC9" w:rsidRDefault="00F00BC9" w:rsidP="00D2015D">
      <w:pPr>
        <w:pStyle w:val="ListParagraph"/>
        <w:autoSpaceDE w:val="0"/>
        <w:autoSpaceDN w:val="0"/>
        <w:adjustRightInd w:val="0"/>
        <w:spacing w:after="0"/>
        <w:rPr>
          <w:rFonts w:eastAsia="32auyog" w:cs="32auyog"/>
          <w:szCs w:val="20"/>
          <w:lang w:val="es-CR"/>
        </w:rPr>
      </w:pPr>
    </w:p>
    <w:p w:rsidR="00F00BC9" w:rsidRPr="00F00BC9" w:rsidRDefault="00F00BC9" w:rsidP="00D2015D">
      <w:pPr>
        <w:numPr>
          <w:ilvl w:val="0"/>
          <w:numId w:val="3"/>
        </w:numPr>
        <w:spacing w:after="0"/>
        <w:ind w:right="18"/>
        <w:rPr>
          <w:rFonts w:eastAsia="32auyog" w:cs="32auyog"/>
          <w:szCs w:val="20"/>
          <w:lang w:val="es-CR"/>
        </w:rPr>
      </w:pPr>
      <w:r w:rsidRPr="00F00BC9">
        <w:rPr>
          <w:rFonts w:eastAsia="32auyog" w:cs="32auyog"/>
          <w:szCs w:val="20"/>
          <w:lang w:val="es-CR"/>
        </w:rPr>
        <w:t xml:space="preserve">Mediante escrito de 28 de julio de 2017, la </w:t>
      </w:r>
      <w:r w:rsidRPr="00F00BC9">
        <w:rPr>
          <w:rFonts w:eastAsia="32auyog" w:cs="32auyog"/>
          <w:b/>
          <w:i/>
          <w:szCs w:val="20"/>
          <w:lang w:val="es-CR"/>
        </w:rPr>
        <w:t>Comisión</w:t>
      </w:r>
      <w:r w:rsidRPr="00F00BC9">
        <w:rPr>
          <w:rFonts w:eastAsia="32auyog" w:cs="32auyog"/>
          <w:szCs w:val="20"/>
          <w:lang w:val="es-CR"/>
        </w:rPr>
        <w:t xml:space="preserve"> señaló que no tenía observaciones al respecto. En esa misma fecha, el </w:t>
      </w:r>
      <w:r w:rsidRPr="00F00BC9">
        <w:rPr>
          <w:rFonts w:eastAsia="32auyog" w:cs="32auyog"/>
          <w:b/>
          <w:i/>
          <w:szCs w:val="20"/>
          <w:lang w:val="es-CR"/>
        </w:rPr>
        <w:t>Estado</w:t>
      </w:r>
      <w:r w:rsidRPr="00F00BC9">
        <w:rPr>
          <w:rFonts w:eastAsia="32auyog" w:cs="32auyog"/>
          <w:szCs w:val="20"/>
          <w:lang w:val="es-CR"/>
        </w:rPr>
        <w:t xml:space="preserve"> </w:t>
      </w:r>
      <w:r w:rsidRPr="00F00BC9">
        <w:rPr>
          <w:szCs w:val="20"/>
          <w:lang w:val="es-CR"/>
        </w:rPr>
        <w:t xml:space="preserve">reiteró que los planteamientos “asociados al tipo penal del peculado no son parte del objeto de la </w:t>
      </w:r>
      <w:proofErr w:type="spellStart"/>
      <w:r w:rsidRPr="00F00BC9">
        <w:rPr>
          <w:szCs w:val="20"/>
          <w:lang w:val="es-CR"/>
        </w:rPr>
        <w:t>litis</w:t>
      </w:r>
      <w:proofErr w:type="spellEnd"/>
      <w:r w:rsidRPr="00F00BC9">
        <w:rPr>
          <w:szCs w:val="20"/>
          <w:lang w:val="es-CR"/>
        </w:rPr>
        <w:t xml:space="preserve"> en el proceso ante la Corte, al no haber sido incluido</w:t>
      </w:r>
      <w:r w:rsidR="003A2F96">
        <w:rPr>
          <w:szCs w:val="20"/>
          <w:lang w:val="es-CR"/>
        </w:rPr>
        <w:t>[s]</w:t>
      </w:r>
      <w:r w:rsidRPr="00F00BC9">
        <w:rPr>
          <w:szCs w:val="20"/>
          <w:lang w:val="es-CR"/>
        </w:rPr>
        <w:t xml:space="preserve"> por la </w:t>
      </w:r>
      <w:r w:rsidR="00FC398D">
        <w:rPr>
          <w:szCs w:val="20"/>
          <w:lang w:val="es-CR"/>
        </w:rPr>
        <w:t>[Comisión]</w:t>
      </w:r>
      <w:r w:rsidR="00FC398D" w:rsidRPr="00F00BC9">
        <w:rPr>
          <w:szCs w:val="20"/>
          <w:lang w:val="es-CR"/>
        </w:rPr>
        <w:t xml:space="preserve"> </w:t>
      </w:r>
      <w:r w:rsidRPr="00F00BC9">
        <w:rPr>
          <w:szCs w:val="20"/>
          <w:lang w:val="es-CR"/>
        </w:rPr>
        <w:t>en el elenco de hechos”</w:t>
      </w:r>
      <w:r w:rsidR="003A2F96">
        <w:rPr>
          <w:szCs w:val="20"/>
          <w:lang w:val="es-CR"/>
        </w:rPr>
        <w:t>,</w:t>
      </w:r>
      <w:r w:rsidRPr="00F00BC9">
        <w:rPr>
          <w:szCs w:val="20"/>
          <w:lang w:val="es-CR"/>
        </w:rPr>
        <w:t xml:space="preserve"> tanto en su </w:t>
      </w:r>
      <w:r w:rsidR="00FC398D">
        <w:rPr>
          <w:szCs w:val="20"/>
          <w:lang w:val="es-CR"/>
        </w:rPr>
        <w:t>I</w:t>
      </w:r>
      <w:r w:rsidRPr="00F00BC9">
        <w:rPr>
          <w:szCs w:val="20"/>
          <w:lang w:val="es-CR"/>
        </w:rPr>
        <w:t xml:space="preserve">nforme de </w:t>
      </w:r>
      <w:r w:rsidR="00FC398D">
        <w:rPr>
          <w:szCs w:val="20"/>
          <w:lang w:val="es-CR"/>
        </w:rPr>
        <w:t>A</w:t>
      </w:r>
      <w:r w:rsidRPr="00F00BC9">
        <w:rPr>
          <w:szCs w:val="20"/>
          <w:lang w:val="es-CR"/>
        </w:rPr>
        <w:t xml:space="preserve">dmisibilidad como en su </w:t>
      </w:r>
      <w:r w:rsidR="00FC398D">
        <w:rPr>
          <w:szCs w:val="20"/>
          <w:lang w:val="es-CR"/>
        </w:rPr>
        <w:t>I</w:t>
      </w:r>
      <w:r w:rsidRPr="00F00BC9">
        <w:rPr>
          <w:szCs w:val="20"/>
          <w:lang w:val="es-CR"/>
        </w:rPr>
        <w:t xml:space="preserve">nforme de </w:t>
      </w:r>
      <w:r w:rsidR="00FC398D">
        <w:rPr>
          <w:szCs w:val="20"/>
          <w:lang w:val="es-CR"/>
        </w:rPr>
        <w:t>F</w:t>
      </w:r>
      <w:r w:rsidRPr="00F00BC9">
        <w:rPr>
          <w:szCs w:val="20"/>
          <w:lang w:val="es-CR"/>
        </w:rPr>
        <w:t xml:space="preserve">ondo. En consecuencia, el Estado solicitó rechazar la reconsideración interpuesta por SIPDH y mantener en todos sus extremos la Resolución del </w:t>
      </w:r>
      <w:r w:rsidR="00972846">
        <w:rPr>
          <w:szCs w:val="20"/>
          <w:lang w:val="es-CR"/>
        </w:rPr>
        <w:t>12</w:t>
      </w:r>
      <w:r w:rsidRPr="00F00BC9">
        <w:rPr>
          <w:szCs w:val="20"/>
          <w:lang w:val="es-CR"/>
        </w:rPr>
        <w:t xml:space="preserve"> de julio de 2017.</w:t>
      </w:r>
    </w:p>
    <w:p w:rsidR="00233844" w:rsidRDefault="00233844" w:rsidP="00D2015D">
      <w:pPr>
        <w:spacing w:after="0"/>
        <w:ind w:right="18"/>
        <w:rPr>
          <w:rFonts w:eastAsia="32auyog" w:cs="32auyog"/>
          <w:szCs w:val="20"/>
          <w:lang w:val="es-CR"/>
        </w:rPr>
      </w:pPr>
    </w:p>
    <w:p w:rsidR="00566E0B" w:rsidRDefault="00566E0B" w:rsidP="00D2015D">
      <w:pPr>
        <w:pStyle w:val="ListParagraph"/>
        <w:numPr>
          <w:ilvl w:val="0"/>
          <w:numId w:val="3"/>
        </w:numPr>
        <w:tabs>
          <w:tab w:val="clear" w:pos="680"/>
          <w:tab w:val="num" w:pos="0"/>
        </w:tabs>
        <w:spacing w:after="0"/>
        <w:ind w:left="0"/>
        <w:rPr>
          <w:spacing w:val="-2"/>
          <w:szCs w:val="20"/>
          <w:lang w:val="es-CR"/>
        </w:rPr>
      </w:pPr>
      <w:r w:rsidRPr="00566E0B">
        <w:rPr>
          <w:szCs w:val="20"/>
          <w:lang w:val="es-CR"/>
        </w:rPr>
        <w:t>De conformidad con el artículo 40.2.a del Reglamento, el escrito de solicitudes, argumentos y prueba de los representantes</w:t>
      </w:r>
      <w:r w:rsidRPr="00D976A7">
        <w:rPr>
          <w:szCs w:val="20"/>
          <w:lang w:val="es-CR"/>
        </w:rPr>
        <w:t xml:space="preserve"> deberá contener la “descripción de los hechos dentro del marco fáctico fijado en la presentación del caso por la Comisión”.</w:t>
      </w:r>
      <w:r w:rsidRPr="003A2F96">
        <w:rPr>
          <w:b/>
          <w:szCs w:val="20"/>
          <w:lang w:val="es-CR"/>
        </w:rPr>
        <w:t xml:space="preserve"> </w:t>
      </w:r>
      <w:r w:rsidRPr="003A2F96">
        <w:rPr>
          <w:spacing w:val="-2"/>
          <w:szCs w:val="20"/>
          <w:lang w:val="es-CR"/>
        </w:rPr>
        <w:t xml:space="preserve"> </w:t>
      </w:r>
    </w:p>
    <w:p w:rsidR="00566E0B" w:rsidRPr="00D2015D" w:rsidRDefault="00566E0B" w:rsidP="00D2015D">
      <w:pPr>
        <w:pStyle w:val="ListParagraph"/>
        <w:tabs>
          <w:tab w:val="num" w:pos="0"/>
        </w:tabs>
        <w:spacing w:after="0"/>
        <w:ind w:left="0"/>
        <w:rPr>
          <w:spacing w:val="-2"/>
          <w:szCs w:val="20"/>
          <w:lang w:val="es-CR"/>
        </w:rPr>
      </w:pPr>
    </w:p>
    <w:p w:rsidR="00233844" w:rsidRPr="00233844" w:rsidRDefault="00566E0B" w:rsidP="00D2015D">
      <w:pPr>
        <w:pStyle w:val="ListParagraph"/>
        <w:numPr>
          <w:ilvl w:val="0"/>
          <w:numId w:val="3"/>
        </w:numPr>
        <w:tabs>
          <w:tab w:val="clear" w:pos="680"/>
          <w:tab w:val="num" w:pos="0"/>
        </w:tabs>
        <w:spacing w:after="0"/>
        <w:ind w:left="0"/>
        <w:rPr>
          <w:rFonts w:cs="Verdana"/>
          <w:lang w:val="es-ES"/>
        </w:rPr>
      </w:pPr>
      <w:r w:rsidRPr="00566E0B">
        <w:rPr>
          <w:spacing w:val="-2"/>
          <w:szCs w:val="20"/>
          <w:lang w:val="es-CR"/>
        </w:rPr>
        <w:lastRenderedPageBreak/>
        <w:t>Asimis</w:t>
      </w:r>
      <w:r w:rsidRPr="008014B1">
        <w:rPr>
          <w:spacing w:val="-2"/>
          <w:szCs w:val="20"/>
          <w:lang w:val="es-CR"/>
        </w:rPr>
        <w:t>mo, e</w:t>
      </w:r>
      <w:r w:rsidR="00233844" w:rsidRPr="00233844">
        <w:rPr>
          <w:lang w:val="es-CR"/>
        </w:rPr>
        <w:t xml:space="preserve">ste Tribunal ha sostenido reiteradamente que </w:t>
      </w:r>
      <w:r w:rsidR="00233844" w:rsidRPr="00233844">
        <w:rPr>
          <w:rFonts w:cs="Verdana"/>
          <w:lang w:val="es-CR" w:eastAsia="de-DE"/>
        </w:rPr>
        <w:t xml:space="preserve">el </w:t>
      </w:r>
      <w:r w:rsidR="007C756D" w:rsidRPr="009D5EA7">
        <w:t>marco fáctico del proceso ante la Corte se encuentra constituido por los hechos contenidos en el Informe de Fondo sometidos a su consideración. En consecuencia, no es admisible que las partes aleguen nuevos hechos distintos de los contenidos en dicho informe, sin perjuicio de exponer aquellos que permitan explicar, aclarar o desestimar los que hayan sido mencionados en el mismo y hayan sido sometidos a consideración de la Corte</w:t>
      </w:r>
      <w:r w:rsidR="007C756D" w:rsidRPr="009D5EA7">
        <w:rPr>
          <w:spacing w:val="-2"/>
          <w:lang w:eastAsia="es-CR"/>
        </w:rPr>
        <w:t xml:space="preserve">. </w:t>
      </w:r>
      <w:r w:rsidR="007C756D" w:rsidRPr="001A4E0B">
        <w:rPr>
          <w:rFonts w:cs="Arial"/>
        </w:rPr>
        <w:t>La excepción a este principio son los hechos que se califican como supervinientes o cuando se tenga conocimiento de esos hechos o acceso a las pruebas sobre los mismos con posterioridad, siempre que se encuentren ligados a los hechos del proceso</w:t>
      </w:r>
      <w:r w:rsidR="007C756D" w:rsidRPr="001A4E0B">
        <w:rPr>
          <w:spacing w:val="-2"/>
          <w:vertAlign w:val="superscript"/>
          <w:lang w:eastAsia="es-CR"/>
        </w:rPr>
        <w:footnoteReference w:id="3"/>
      </w:r>
      <w:r w:rsidR="007C756D" w:rsidRPr="001A4E0B">
        <w:rPr>
          <w:rFonts w:cs="Arial"/>
        </w:rPr>
        <w:t xml:space="preserve">. </w:t>
      </w:r>
      <w:r w:rsidR="007C756D" w:rsidRPr="009D5EA7">
        <w:rPr>
          <w:rFonts w:cs="Arial"/>
        </w:rPr>
        <w:t>Asimismo, las presuntas víctimas y sus representantes pueden invocar la violación de otros derechos distintos a los comprendidos en el Informe de Fondo, siempre y cuando se atengan a los hechos contenidos en dicho documento</w:t>
      </w:r>
      <w:r w:rsidR="007C756D" w:rsidRPr="009D5EA7">
        <w:rPr>
          <w:rFonts w:cs="Verdana"/>
          <w:spacing w:val="-2"/>
          <w:vertAlign w:val="superscript"/>
        </w:rPr>
        <w:footnoteReference w:id="4"/>
      </w:r>
      <w:r w:rsidR="007C756D" w:rsidRPr="009D5EA7">
        <w:rPr>
          <w:rFonts w:cs="Verdana"/>
          <w:spacing w:val="-2"/>
        </w:rPr>
        <w:t>.</w:t>
      </w:r>
      <w:r w:rsidR="007C756D" w:rsidRPr="009D5EA7">
        <w:rPr>
          <w:rFonts w:cs="Arial"/>
        </w:rPr>
        <w:t xml:space="preserve"> En definitiva, corresponde a la Corte decidir en cada caso acerca de la procedencia de alegatos relativos al marco fáctico en resguardo del equilibrio procesal de las partes</w:t>
      </w:r>
      <w:r w:rsidR="007C756D" w:rsidRPr="009D5EA7">
        <w:rPr>
          <w:rFonts w:cs="Verdana"/>
          <w:spacing w:val="-2"/>
          <w:vertAlign w:val="superscript"/>
        </w:rPr>
        <w:footnoteReference w:id="5"/>
      </w:r>
      <w:r w:rsidR="007C756D" w:rsidRPr="009D5EA7">
        <w:rPr>
          <w:rFonts w:cs="Verdana"/>
          <w:spacing w:val="-2"/>
        </w:rPr>
        <w:t>.</w:t>
      </w:r>
    </w:p>
    <w:p w:rsidR="00233844" w:rsidRPr="00233844" w:rsidRDefault="00233844" w:rsidP="00D2015D">
      <w:pPr>
        <w:spacing w:after="0"/>
        <w:ind w:right="18"/>
        <w:rPr>
          <w:rFonts w:cs="Verdana"/>
          <w:szCs w:val="20"/>
          <w:lang w:val="es-ES"/>
        </w:rPr>
      </w:pPr>
    </w:p>
    <w:p w:rsidR="00233844" w:rsidRPr="00D2015D" w:rsidRDefault="003928FA" w:rsidP="00D2015D">
      <w:pPr>
        <w:numPr>
          <w:ilvl w:val="0"/>
          <w:numId w:val="3"/>
        </w:numPr>
        <w:spacing w:after="0"/>
        <w:ind w:right="18"/>
        <w:rPr>
          <w:rFonts w:cs="Verdana"/>
          <w:szCs w:val="20"/>
          <w:lang w:val="es-ES"/>
        </w:rPr>
      </w:pPr>
      <w:r w:rsidRPr="00776956">
        <w:rPr>
          <w:rFonts w:eastAsia="32auyog" w:cs="32auyog"/>
          <w:szCs w:val="20"/>
          <w:lang w:val="es-ES"/>
        </w:rPr>
        <w:t xml:space="preserve">La </w:t>
      </w:r>
      <w:r w:rsidR="00311A24" w:rsidRPr="00776956">
        <w:rPr>
          <w:rFonts w:eastAsia="32auyog" w:cs="32auyog"/>
          <w:szCs w:val="20"/>
          <w:lang w:val="es-ES"/>
        </w:rPr>
        <w:t>Corte</w:t>
      </w:r>
      <w:r w:rsidR="00AD2DFC" w:rsidRPr="00776956">
        <w:rPr>
          <w:rFonts w:eastAsia="32auyog" w:cs="32auyog"/>
          <w:szCs w:val="20"/>
          <w:lang w:val="es-ES"/>
        </w:rPr>
        <w:t xml:space="preserve"> considera que</w:t>
      </w:r>
      <w:r w:rsidR="00311A24" w:rsidRPr="00776956">
        <w:rPr>
          <w:rFonts w:eastAsia="32auyog" w:cs="32auyog"/>
          <w:szCs w:val="20"/>
          <w:lang w:val="es-ES"/>
        </w:rPr>
        <w:t xml:space="preserve"> </w:t>
      </w:r>
      <w:r w:rsidRPr="00776956">
        <w:rPr>
          <w:rFonts w:eastAsia="32auyog" w:cs="32auyog"/>
          <w:szCs w:val="20"/>
          <w:lang w:val="es-CR"/>
        </w:rPr>
        <w:t>la declaración del testigo, tal como fue propuesta, versaría sobre cuestiones de derecho</w:t>
      </w:r>
      <w:r w:rsidR="003334EC" w:rsidRPr="00776956">
        <w:rPr>
          <w:rFonts w:eastAsia="32auyog" w:cs="32auyog"/>
          <w:szCs w:val="20"/>
          <w:lang w:val="es-CR"/>
        </w:rPr>
        <w:t xml:space="preserve"> interno o nacional, hechos no incluidos </w:t>
      </w:r>
      <w:r w:rsidRPr="00776956">
        <w:rPr>
          <w:rFonts w:eastAsia="32auyog" w:cs="32auyog"/>
          <w:szCs w:val="20"/>
          <w:lang w:val="es-CR"/>
        </w:rPr>
        <w:t>en el Informe de Fondo de la Comisión</w:t>
      </w:r>
      <w:r w:rsidR="001115E1" w:rsidRPr="00776956">
        <w:rPr>
          <w:rFonts w:eastAsia="32auyog" w:cs="32auyog"/>
          <w:szCs w:val="20"/>
          <w:lang w:val="es-CR"/>
        </w:rPr>
        <w:t xml:space="preserve">, </w:t>
      </w:r>
      <w:r w:rsidR="003334EC" w:rsidRPr="00776956">
        <w:rPr>
          <w:rFonts w:eastAsia="32auyog" w:cs="32auyog"/>
          <w:szCs w:val="20"/>
          <w:lang w:val="es-ES"/>
        </w:rPr>
        <w:t xml:space="preserve">el que </w:t>
      </w:r>
      <w:r w:rsidR="00006995" w:rsidRPr="00776956">
        <w:rPr>
          <w:rFonts w:eastAsia="32auyog" w:cs="32auyog"/>
          <w:szCs w:val="20"/>
          <w:lang w:val="es-ES"/>
        </w:rPr>
        <w:t>no hace referencia al contenido del delito de peculado ni a su aplicación en la práctica forense costarricense</w:t>
      </w:r>
      <w:r w:rsidR="00C9357D" w:rsidRPr="00776956">
        <w:rPr>
          <w:rFonts w:eastAsia="32auyog" w:cs="32auyog"/>
          <w:szCs w:val="20"/>
          <w:lang w:val="es-CR"/>
        </w:rPr>
        <w:t>.</w:t>
      </w:r>
      <w:r w:rsidR="00E93B6D" w:rsidRPr="00776956">
        <w:rPr>
          <w:rFonts w:eastAsia="32auyog" w:cs="32auyog"/>
          <w:szCs w:val="20"/>
          <w:lang w:val="es-CR"/>
        </w:rPr>
        <w:t xml:space="preserve"> </w:t>
      </w:r>
      <w:r w:rsidR="00C9357D" w:rsidRPr="00776956">
        <w:rPr>
          <w:rFonts w:eastAsia="32auyog" w:cs="32auyog"/>
          <w:szCs w:val="20"/>
          <w:lang w:val="es-CR"/>
        </w:rPr>
        <w:t>T</w:t>
      </w:r>
      <w:r w:rsidR="00E93B6D" w:rsidRPr="00776956">
        <w:rPr>
          <w:rFonts w:eastAsia="32auyog" w:cs="32auyog"/>
          <w:szCs w:val="20"/>
          <w:lang w:val="es-CR"/>
        </w:rPr>
        <w:t>ampoco se trata de hechos supervinientes o sobre los cuales se haya tenido conocimiento</w:t>
      </w:r>
      <w:r w:rsidR="00E93B6D" w:rsidRPr="001115E1">
        <w:rPr>
          <w:rFonts w:eastAsia="32auyog" w:cs="32auyog"/>
          <w:szCs w:val="20"/>
          <w:lang w:val="es-CR"/>
        </w:rPr>
        <w:t xml:space="preserve"> o acceso a las pruebas sobre los mismos con posterioridad</w:t>
      </w:r>
      <w:r w:rsidR="004446F5" w:rsidRPr="001115E1">
        <w:rPr>
          <w:rFonts w:eastAsia="32auyog" w:cs="32auyog"/>
          <w:szCs w:val="20"/>
          <w:lang w:val="es-CR"/>
        </w:rPr>
        <w:t xml:space="preserve"> a</w:t>
      </w:r>
      <w:r w:rsidR="0014748A" w:rsidRPr="001115E1">
        <w:rPr>
          <w:rFonts w:eastAsia="32auyog" w:cs="32auyog"/>
          <w:szCs w:val="20"/>
          <w:lang w:val="es-CR"/>
        </w:rPr>
        <w:t xml:space="preserve"> </w:t>
      </w:r>
      <w:r w:rsidR="004446F5" w:rsidRPr="001115E1">
        <w:rPr>
          <w:rFonts w:eastAsia="32auyog" w:cs="32auyog"/>
          <w:szCs w:val="20"/>
          <w:lang w:val="es-CR"/>
        </w:rPr>
        <w:t>l</w:t>
      </w:r>
      <w:r w:rsidR="0014748A" w:rsidRPr="001115E1">
        <w:rPr>
          <w:rFonts w:eastAsia="32auyog" w:cs="32auyog"/>
          <w:szCs w:val="20"/>
          <w:lang w:val="es-CR"/>
        </w:rPr>
        <w:t>a emisión del</w:t>
      </w:r>
      <w:r w:rsidR="004446F5" w:rsidRPr="001115E1">
        <w:rPr>
          <w:rFonts w:eastAsia="32auyog" w:cs="32auyog"/>
          <w:szCs w:val="20"/>
          <w:lang w:val="es-CR"/>
        </w:rPr>
        <w:t xml:space="preserve"> Informe de </w:t>
      </w:r>
      <w:r w:rsidR="00C9357D" w:rsidRPr="001115E1">
        <w:rPr>
          <w:rFonts w:eastAsia="32auyog" w:cs="32auyog"/>
          <w:szCs w:val="20"/>
          <w:lang w:val="es-CR"/>
        </w:rPr>
        <w:t>F</w:t>
      </w:r>
      <w:r w:rsidR="004446F5" w:rsidRPr="001115E1">
        <w:rPr>
          <w:rFonts w:eastAsia="32auyog" w:cs="32auyog"/>
          <w:szCs w:val="20"/>
          <w:lang w:val="es-CR"/>
        </w:rPr>
        <w:t>ondo</w:t>
      </w:r>
      <w:r w:rsidR="00A705FC" w:rsidRPr="001115E1">
        <w:rPr>
          <w:rFonts w:eastAsia="32auyog" w:cs="32auyog"/>
          <w:szCs w:val="20"/>
          <w:lang w:val="es-CR"/>
        </w:rPr>
        <w:t xml:space="preserve">. </w:t>
      </w:r>
      <w:r w:rsidR="00A705FC" w:rsidRPr="007E5B1E">
        <w:rPr>
          <w:rFonts w:eastAsia="32auyog" w:cs="32auyog"/>
          <w:szCs w:val="20"/>
          <w:lang w:val="es-CR"/>
        </w:rPr>
        <w:t>Por lo tanto,</w:t>
      </w:r>
      <w:r w:rsidR="00B22D12" w:rsidRPr="00D2015D">
        <w:rPr>
          <w:szCs w:val="20"/>
          <w:lang w:val="es-CL"/>
        </w:rPr>
        <w:t xml:space="preserve"> </w:t>
      </w:r>
      <w:r w:rsidR="00233844" w:rsidRPr="00D2015D">
        <w:rPr>
          <w:szCs w:val="20"/>
          <w:lang w:val="es-CL"/>
        </w:rPr>
        <w:t xml:space="preserve">la Corte </w:t>
      </w:r>
      <w:r w:rsidR="00A705FC" w:rsidRPr="00D2015D">
        <w:rPr>
          <w:szCs w:val="20"/>
          <w:lang w:val="es-CL"/>
        </w:rPr>
        <w:t xml:space="preserve">decide </w:t>
      </w:r>
      <w:r w:rsidR="00233844" w:rsidRPr="00D2015D">
        <w:rPr>
          <w:rFonts w:eastAsia="32auyog" w:cs="32auyog"/>
          <w:szCs w:val="20"/>
          <w:lang w:val="es-CR"/>
        </w:rPr>
        <w:t xml:space="preserve">confirmar la </w:t>
      </w:r>
      <w:r w:rsidR="00311A24" w:rsidRPr="00D2015D">
        <w:rPr>
          <w:rFonts w:eastAsia="32auyog" w:cs="32auyog"/>
          <w:szCs w:val="20"/>
          <w:lang w:val="es-CR"/>
        </w:rPr>
        <w:t xml:space="preserve">decisión </w:t>
      </w:r>
      <w:r w:rsidR="00233844" w:rsidRPr="00D2015D">
        <w:rPr>
          <w:rFonts w:eastAsia="32auyog" w:cs="32auyog"/>
          <w:szCs w:val="20"/>
          <w:lang w:val="es-CR"/>
        </w:rPr>
        <w:t xml:space="preserve">del Presidente de no recibir </w:t>
      </w:r>
      <w:r w:rsidR="00311A24" w:rsidRPr="00D2015D">
        <w:rPr>
          <w:rFonts w:eastAsia="32auyog" w:cs="32auyog"/>
          <w:szCs w:val="20"/>
          <w:lang w:val="es-CR"/>
        </w:rPr>
        <w:t xml:space="preserve">dicho </w:t>
      </w:r>
      <w:r w:rsidR="00233844" w:rsidRPr="00D2015D">
        <w:rPr>
          <w:rFonts w:eastAsia="32auyog" w:cs="32auyog"/>
          <w:szCs w:val="20"/>
          <w:lang w:val="es-CR"/>
        </w:rPr>
        <w:t>testimonio y desestimar</w:t>
      </w:r>
      <w:r w:rsidR="00311A24" w:rsidRPr="00D2015D">
        <w:rPr>
          <w:rFonts w:eastAsia="32auyog" w:cs="32auyog"/>
          <w:szCs w:val="20"/>
          <w:lang w:val="es-CR"/>
        </w:rPr>
        <w:t xml:space="preserve"> </w:t>
      </w:r>
      <w:r w:rsidR="00233844" w:rsidRPr="00D2015D">
        <w:rPr>
          <w:rFonts w:eastAsia="32auyog" w:cs="32auyog"/>
          <w:szCs w:val="20"/>
          <w:lang w:val="es-CR"/>
        </w:rPr>
        <w:t>la solicitud de reconsideración presentada por SIPDH</w:t>
      </w:r>
      <w:r w:rsidR="00A705FC" w:rsidRPr="00D2015D">
        <w:rPr>
          <w:rFonts w:eastAsia="32auyog" w:cs="32auyog"/>
          <w:szCs w:val="20"/>
          <w:lang w:val="es-CR"/>
        </w:rPr>
        <w:t>.</w:t>
      </w:r>
    </w:p>
    <w:p w:rsidR="0093539C" w:rsidRPr="0093539C" w:rsidRDefault="0093539C" w:rsidP="007403DD">
      <w:pPr>
        <w:spacing w:after="0"/>
        <w:ind w:right="18"/>
        <w:rPr>
          <w:rFonts w:cs="Verdana"/>
          <w:szCs w:val="20"/>
          <w:lang w:val="es-ES"/>
        </w:rPr>
      </w:pPr>
    </w:p>
    <w:p w:rsidR="00017CD7" w:rsidRPr="0003632E" w:rsidRDefault="00017CD7" w:rsidP="007403DD">
      <w:pPr>
        <w:spacing w:after="0"/>
        <w:rPr>
          <w:rFonts w:cs="Verdana"/>
          <w:b/>
          <w:bCs/>
          <w:szCs w:val="20"/>
          <w:lang w:val="es-CR"/>
        </w:rPr>
      </w:pPr>
      <w:r w:rsidRPr="0003632E">
        <w:rPr>
          <w:rFonts w:cs="Verdana"/>
          <w:b/>
          <w:bCs/>
          <w:szCs w:val="20"/>
          <w:lang w:val="es-CR"/>
        </w:rPr>
        <w:t>POR TANTO:</w:t>
      </w:r>
    </w:p>
    <w:p w:rsidR="00017CD7" w:rsidRPr="0003632E" w:rsidRDefault="00017CD7" w:rsidP="007403DD">
      <w:pPr>
        <w:spacing w:after="0"/>
        <w:rPr>
          <w:rFonts w:cs="Verdana"/>
          <w:b/>
          <w:bCs/>
          <w:szCs w:val="20"/>
          <w:lang w:val="es-CR"/>
        </w:rPr>
      </w:pPr>
    </w:p>
    <w:p w:rsidR="00017CD7" w:rsidRDefault="00017CD7" w:rsidP="007403DD">
      <w:pPr>
        <w:spacing w:after="0"/>
        <w:rPr>
          <w:rFonts w:cs="Verdana"/>
          <w:b/>
          <w:bCs/>
          <w:szCs w:val="20"/>
          <w:lang w:val="es-CR"/>
        </w:rPr>
      </w:pPr>
      <w:r w:rsidRPr="0003632E">
        <w:rPr>
          <w:rFonts w:cs="Verdana"/>
          <w:b/>
          <w:bCs/>
          <w:szCs w:val="20"/>
          <w:lang w:val="es-CR"/>
        </w:rPr>
        <w:t xml:space="preserve">LA CORTE INTERAMERICANA DE DERECHOS HUMANOS, </w:t>
      </w:r>
    </w:p>
    <w:p w:rsidR="00017CD7" w:rsidRDefault="00017CD7" w:rsidP="007403DD">
      <w:pPr>
        <w:autoSpaceDE w:val="0"/>
        <w:autoSpaceDN w:val="0"/>
        <w:adjustRightInd w:val="0"/>
        <w:spacing w:after="0"/>
        <w:ind w:right="18"/>
        <w:rPr>
          <w:rFonts w:ascii="Garamond" w:hAnsi="Garamond"/>
          <w:lang w:val="es-CR"/>
        </w:rPr>
      </w:pPr>
    </w:p>
    <w:p w:rsidR="00017CD7" w:rsidRPr="005C641D" w:rsidRDefault="0057785F" w:rsidP="007403DD">
      <w:pPr>
        <w:autoSpaceDE w:val="0"/>
        <w:autoSpaceDN w:val="0"/>
        <w:adjustRightInd w:val="0"/>
        <w:spacing w:after="0"/>
        <w:ind w:right="18"/>
        <w:rPr>
          <w:rFonts w:cs="Verdana"/>
          <w:b/>
          <w:bCs/>
          <w:szCs w:val="20"/>
          <w:lang w:val="es-ES"/>
        </w:rPr>
      </w:pPr>
      <w:r>
        <w:rPr>
          <w:rFonts w:cs="Verdana"/>
          <w:szCs w:val="20"/>
          <w:lang w:val="es-CR"/>
        </w:rPr>
        <w:t>D</w:t>
      </w:r>
      <w:proofErr w:type="spellStart"/>
      <w:r w:rsidR="00017CD7" w:rsidRPr="005C641D">
        <w:rPr>
          <w:rFonts w:cs="Verdana"/>
          <w:szCs w:val="20"/>
          <w:lang w:val="es-ES"/>
        </w:rPr>
        <w:t>e</w:t>
      </w:r>
      <w:proofErr w:type="spellEnd"/>
      <w:r w:rsidR="00017CD7" w:rsidRPr="005C641D">
        <w:rPr>
          <w:rFonts w:cs="Verdana"/>
          <w:szCs w:val="20"/>
          <w:lang w:val="es-ES"/>
        </w:rPr>
        <w:t xml:space="preserve"> conformidad con </w:t>
      </w:r>
      <w:r w:rsidR="00017CD7">
        <w:rPr>
          <w:rFonts w:cs="Verdana"/>
          <w:szCs w:val="20"/>
          <w:lang w:val="es-ES"/>
        </w:rPr>
        <w:t>e</w:t>
      </w:r>
      <w:r w:rsidR="00017CD7" w:rsidRPr="005C641D">
        <w:rPr>
          <w:rFonts w:cs="Verdana"/>
          <w:szCs w:val="20"/>
          <w:lang w:val="es-ES"/>
        </w:rPr>
        <w:t xml:space="preserve">l artículo 25.2 del Estatuto de la Corte y con los </w:t>
      </w:r>
      <w:r w:rsidR="00017CD7" w:rsidRPr="005C641D">
        <w:rPr>
          <w:rFonts w:cs="Verdana"/>
          <w:szCs w:val="20"/>
        </w:rPr>
        <w:t xml:space="preserve">artículos 31.2, </w:t>
      </w:r>
      <w:r w:rsidR="00F70B30">
        <w:rPr>
          <w:rFonts w:cs="Verdana"/>
          <w:szCs w:val="20"/>
        </w:rPr>
        <w:t xml:space="preserve">49 </w:t>
      </w:r>
      <w:r w:rsidR="00017CD7">
        <w:rPr>
          <w:rFonts w:cs="Verdana"/>
          <w:szCs w:val="20"/>
        </w:rPr>
        <w:t>y</w:t>
      </w:r>
      <w:r w:rsidR="00017CD7" w:rsidRPr="00E30617">
        <w:rPr>
          <w:rFonts w:cs="Verdana"/>
          <w:szCs w:val="20"/>
        </w:rPr>
        <w:t xml:space="preserve"> 50</w:t>
      </w:r>
      <w:r w:rsidR="00017CD7" w:rsidRPr="005C641D">
        <w:rPr>
          <w:rFonts w:cs="Verdana"/>
          <w:szCs w:val="20"/>
        </w:rPr>
        <w:t xml:space="preserve"> del Reglamento</w:t>
      </w:r>
      <w:r w:rsidR="00017CD7" w:rsidRPr="005C641D">
        <w:rPr>
          <w:rFonts w:cs="Verdana"/>
          <w:szCs w:val="20"/>
          <w:lang w:val="es-ES"/>
        </w:rPr>
        <w:t xml:space="preserve">, </w:t>
      </w:r>
    </w:p>
    <w:p w:rsidR="00017CD7" w:rsidRPr="005C641D" w:rsidRDefault="00017CD7" w:rsidP="007403DD">
      <w:pPr>
        <w:autoSpaceDE w:val="0"/>
        <w:autoSpaceDN w:val="0"/>
        <w:adjustRightInd w:val="0"/>
        <w:spacing w:after="0"/>
        <w:ind w:right="18"/>
        <w:rPr>
          <w:rFonts w:cs="Verdana"/>
          <w:b/>
          <w:bCs/>
          <w:szCs w:val="20"/>
          <w:lang w:val="es-ES"/>
        </w:rPr>
      </w:pPr>
    </w:p>
    <w:p w:rsidR="00017CD7" w:rsidRPr="005C641D" w:rsidRDefault="00017CD7" w:rsidP="007403DD">
      <w:pPr>
        <w:autoSpaceDE w:val="0"/>
        <w:autoSpaceDN w:val="0"/>
        <w:adjustRightInd w:val="0"/>
        <w:spacing w:after="0"/>
        <w:ind w:right="18"/>
        <w:rPr>
          <w:rFonts w:cs="Verdana"/>
          <w:b/>
          <w:bCs/>
          <w:szCs w:val="20"/>
          <w:lang w:val="es-ES"/>
        </w:rPr>
      </w:pPr>
      <w:r w:rsidRPr="005C641D">
        <w:rPr>
          <w:rFonts w:cs="Verdana"/>
          <w:b/>
          <w:bCs/>
          <w:szCs w:val="20"/>
          <w:lang w:val="es-ES"/>
        </w:rPr>
        <w:t>RESUELVE:</w:t>
      </w:r>
    </w:p>
    <w:p w:rsidR="00017CD7" w:rsidRPr="005C641D" w:rsidRDefault="00017CD7" w:rsidP="007403DD">
      <w:pPr>
        <w:autoSpaceDE w:val="0"/>
        <w:autoSpaceDN w:val="0"/>
        <w:adjustRightInd w:val="0"/>
        <w:spacing w:after="0"/>
        <w:ind w:right="18"/>
        <w:rPr>
          <w:rFonts w:cs="Verdana"/>
          <w:szCs w:val="20"/>
          <w:lang w:val="es-ES"/>
        </w:rPr>
      </w:pPr>
    </w:p>
    <w:p w:rsidR="00017CD7" w:rsidRDefault="00017CD7" w:rsidP="007403DD">
      <w:pPr>
        <w:widowControl w:val="0"/>
        <w:numPr>
          <w:ilvl w:val="0"/>
          <w:numId w:val="5"/>
        </w:numPr>
        <w:autoSpaceDE w:val="0"/>
        <w:autoSpaceDN w:val="0"/>
        <w:adjustRightInd w:val="0"/>
        <w:spacing w:after="0"/>
        <w:ind w:left="0" w:right="18" w:firstLine="0"/>
        <w:rPr>
          <w:lang w:val="es-CR"/>
        </w:rPr>
      </w:pPr>
      <w:r w:rsidRPr="008B7C02">
        <w:t>Desestimar el recurso</w:t>
      </w:r>
      <w:r>
        <w:t xml:space="preserve"> de reconsideración</w:t>
      </w:r>
      <w:r w:rsidRPr="008B7C02">
        <w:t xml:space="preserve"> interpuesto por l</w:t>
      </w:r>
      <w:r>
        <w:t>o</w:t>
      </w:r>
      <w:r w:rsidRPr="008B7C02">
        <w:t xml:space="preserve">s </w:t>
      </w:r>
      <w:r w:rsidR="00A215D4">
        <w:t xml:space="preserve">intervinientes comunes </w:t>
      </w:r>
      <w:r w:rsidR="00233844">
        <w:t>SIPDH</w:t>
      </w:r>
      <w:r w:rsidRPr="008B7C02">
        <w:t xml:space="preserve">, y en consecuencia, ratificar la Resolución del Presidente de </w:t>
      </w:r>
      <w:r w:rsidR="00532503">
        <w:t>12 de julio de 2</w:t>
      </w:r>
      <w:r w:rsidR="00233844">
        <w:t>0</w:t>
      </w:r>
      <w:r w:rsidR="00532503">
        <w:t>1</w:t>
      </w:r>
      <w:r w:rsidR="00233844">
        <w:t>7</w:t>
      </w:r>
      <w:r>
        <w:t>,</w:t>
      </w:r>
      <w:r w:rsidRPr="008B7C02">
        <w:t xml:space="preserve"> en cuanto a</w:t>
      </w:r>
      <w:r w:rsidR="00D2015D">
        <w:t xml:space="preserve"> la decisión de</w:t>
      </w:r>
      <w:r w:rsidRPr="008B7C02">
        <w:t xml:space="preserve"> </w:t>
      </w:r>
      <w:r>
        <w:t xml:space="preserve">no </w:t>
      </w:r>
      <w:r w:rsidR="00233844">
        <w:t xml:space="preserve">recibir </w:t>
      </w:r>
      <w:r w:rsidR="00D2015D">
        <w:t>la declaración del</w:t>
      </w:r>
      <w:r w:rsidR="00233844">
        <w:t xml:space="preserve"> testigo Francisco Castillo</w:t>
      </w:r>
      <w:r>
        <w:t>.</w:t>
      </w:r>
    </w:p>
    <w:p w:rsidR="00017CD7" w:rsidRPr="00945879" w:rsidRDefault="00017CD7" w:rsidP="007403DD">
      <w:pPr>
        <w:spacing w:after="0"/>
        <w:ind w:right="18"/>
      </w:pPr>
    </w:p>
    <w:p w:rsidR="00017CD7" w:rsidRPr="00A215D4" w:rsidRDefault="00017CD7" w:rsidP="007403DD">
      <w:pPr>
        <w:widowControl w:val="0"/>
        <w:numPr>
          <w:ilvl w:val="0"/>
          <w:numId w:val="5"/>
        </w:numPr>
        <w:autoSpaceDE w:val="0"/>
        <w:autoSpaceDN w:val="0"/>
        <w:adjustRightInd w:val="0"/>
        <w:spacing w:after="0"/>
        <w:ind w:left="0" w:right="18" w:firstLine="0"/>
      </w:pPr>
      <w:r w:rsidRPr="008B7C02">
        <w:rPr>
          <w:color w:val="000000"/>
          <w:lang w:val="es-CR"/>
        </w:rPr>
        <w:t xml:space="preserve">Disponer que la Secretaría de la Corte Interamericana notifique la presente Resolución a la Comisión Interamericana de </w:t>
      </w:r>
      <w:r w:rsidRPr="00A215D4">
        <w:rPr>
          <w:color w:val="000000"/>
          <w:lang w:val="es-CR"/>
        </w:rPr>
        <w:t xml:space="preserve">Derechos Humanos, a los </w:t>
      </w:r>
      <w:r w:rsidR="00B22D12" w:rsidRPr="00A215D4">
        <w:rPr>
          <w:color w:val="000000"/>
          <w:lang w:val="es-CR"/>
        </w:rPr>
        <w:t>intervinientes comunes</w:t>
      </w:r>
      <w:r w:rsidR="00A215D4" w:rsidRPr="00A215D4">
        <w:rPr>
          <w:color w:val="000000"/>
          <w:lang w:val="es-CR"/>
        </w:rPr>
        <w:t xml:space="preserve"> SIPDH</w:t>
      </w:r>
      <w:r w:rsidRPr="00A215D4">
        <w:rPr>
          <w:color w:val="000000"/>
          <w:lang w:val="es-CR"/>
        </w:rPr>
        <w:t xml:space="preserve"> y a</w:t>
      </w:r>
      <w:r w:rsidR="00B22D12" w:rsidRPr="00A215D4">
        <w:rPr>
          <w:color w:val="000000"/>
          <w:lang w:val="es-CR"/>
        </w:rPr>
        <w:t>l Estado de Costa Rica</w:t>
      </w:r>
      <w:r w:rsidRPr="00A215D4">
        <w:rPr>
          <w:color w:val="000000"/>
          <w:lang w:val="es-CR"/>
        </w:rPr>
        <w:t>.</w:t>
      </w:r>
      <w:r w:rsidRPr="00164B01">
        <w:t xml:space="preserve"> </w:t>
      </w:r>
    </w:p>
    <w:p w:rsidR="004B4FA2" w:rsidRDefault="004B4FA2">
      <w:pPr>
        <w:spacing w:after="200" w:line="276" w:lineRule="auto"/>
        <w:jc w:val="left"/>
      </w:pPr>
      <w:r>
        <w:br w:type="page"/>
      </w:r>
    </w:p>
    <w:p w:rsidR="004B4FA2" w:rsidRDefault="004B4FA2" w:rsidP="004B4FA2">
      <w:pPr>
        <w:rPr>
          <w:lang w:val="es-ES"/>
        </w:rPr>
      </w:pPr>
      <w:r>
        <w:rPr>
          <w:lang w:val="es-ES"/>
        </w:rPr>
        <w:lastRenderedPageBreak/>
        <w:t>Corte IDH</w:t>
      </w:r>
      <w:r>
        <w:rPr>
          <w:i/>
          <w:lang w:val="es-ES"/>
        </w:rPr>
        <w:t xml:space="preserve">. Caso </w:t>
      </w:r>
      <w:proofErr w:type="spellStart"/>
      <w:r>
        <w:rPr>
          <w:i/>
          <w:lang w:val="es-ES"/>
        </w:rPr>
        <w:t>Amrhein</w:t>
      </w:r>
      <w:proofErr w:type="spellEnd"/>
      <w:r>
        <w:rPr>
          <w:i/>
          <w:lang w:val="es-ES"/>
        </w:rPr>
        <w:t xml:space="preserve"> y otros Vs. Costa Rica</w:t>
      </w:r>
      <w:r>
        <w:rPr>
          <w:lang w:val="es-ES"/>
        </w:rPr>
        <w:t xml:space="preserve">. Resolución de la Corte Interamericana de Derechos Humanos de 21 de agosto de 2017. </w:t>
      </w:r>
    </w:p>
    <w:p w:rsidR="004B4FA2" w:rsidRDefault="004B4FA2" w:rsidP="004B4FA2">
      <w:pPr>
        <w:rPr>
          <w:lang w:val="es-ES"/>
        </w:rPr>
      </w:pPr>
    </w:p>
    <w:p w:rsidR="004B4FA2" w:rsidRDefault="004B4FA2" w:rsidP="004B4FA2">
      <w:pPr>
        <w:rPr>
          <w:lang w:val="es-ES"/>
        </w:rPr>
      </w:pPr>
    </w:p>
    <w:p w:rsidR="004B4FA2" w:rsidRDefault="004B4FA2" w:rsidP="004B4FA2">
      <w:pPr>
        <w:rPr>
          <w:lang w:val="es-ES"/>
        </w:rPr>
      </w:pPr>
    </w:p>
    <w:p w:rsidR="004B4FA2" w:rsidRDefault="004B4FA2" w:rsidP="004B4FA2">
      <w:pPr>
        <w:jc w:val="center"/>
        <w:rPr>
          <w:lang w:val="es-ES"/>
        </w:rPr>
      </w:pPr>
      <w:r>
        <w:rPr>
          <w:lang w:val="es-ES"/>
        </w:rPr>
        <w:t>Eduardo Ferrer Mac-</w:t>
      </w:r>
      <w:proofErr w:type="spellStart"/>
      <w:r>
        <w:rPr>
          <w:lang w:val="es-ES"/>
        </w:rPr>
        <w:t>Gregor</w:t>
      </w:r>
      <w:proofErr w:type="spellEnd"/>
      <w:r>
        <w:rPr>
          <w:lang w:val="es-ES"/>
        </w:rPr>
        <w:t xml:space="preserve"> </w:t>
      </w:r>
      <w:proofErr w:type="spellStart"/>
      <w:r>
        <w:rPr>
          <w:lang w:val="es-ES"/>
        </w:rPr>
        <w:t>Poisot</w:t>
      </w:r>
      <w:proofErr w:type="spellEnd"/>
    </w:p>
    <w:p w:rsidR="004B4FA2" w:rsidRDefault="004B4FA2" w:rsidP="004B4FA2">
      <w:pPr>
        <w:jc w:val="center"/>
        <w:rPr>
          <w:lang w:val="es-ES"/>
        </w:rPr>
      </w:pPr>
      <w:r>
        <w:rPr>
          <w:lang w:val="es-ES"/>
        </w:rPr>
        <w:t>Presidente en ejercicio</w:t>
      </w:r>
    </w:p>
    <w:p w:rsidR="004B4FA2" w:rsidRDefault="004B4FA2" w:rsidP="004B4FA2">
      <w:pPr>
        <w:rPr>
          <w:lang w:val="es-ES"/>
        </w:rPr>
      </w:pPr>
    </w:p>
    <w:p w:rsidR="004B4FA2" w:rsidRDefault="004B4FA2" w:rsidP="004B4FA2">
      <w:pPr>
        <w:rPr>
          <w:lang w:val="es-ES"/>
        </w:rPr>
      </w:pPr>
    </w:p>
    <w:p w:rsidR="004B4FA2" w:rsidRDefault="004B4FA2" w:rsidP="004B4FA2">
      <w:pPr>
        <w:rPr>
          <w:lang w:val="es-ES"/>
        </w:rPr>
      </w:pPr>
    </w:p>
    <w:p w:rsidR="004B4FA2" w:rsidRDefault="004B4FA2" w:rsidP="004B4FA2">
      <w:pPr>
        <w:rPr>
          <w:lang w:val="es-ES"/>
        </w:rPr>
      </w:pPr>
      <w:r>
        <w:rPr>
          <w:lang w:val="es-ES"/>
        </w:rPr>
        <w:t xml:space="preserve">Eduardo Vio Grossi </w:t>
      </w:r>
      <w:r>
        <w:rPr>
          <w:lang w:val="es-ES"/>
        </w:rPr>
        <w:tab/>
      </w:r>
      <w:r>
        <w:rPr>
          <w:lang w:val="es-ES"/>
        </w:rPr>
        <w:tab/>
      </w:r>
      <w:r>
        <w:rPr>
          <w:lang w:val="es-ES"/>
        </w:rPr>
        <w:tab/>
      </w:r>
      <w:r>
        <w:rPr>
          <w:lang w:val="es-ES"/>
        </w:rPr>
        <w:tab/>
      </w:r>
      <w:r>
        <w:rPr>
          <w:lang w:val="es-ES"/>
        </w:rPr>
        <w:tab/>
      </w:r>
      <w:r>
        <w:rPr>
          <w:lang w:val="es-ES"/>
        </w:rPr>
        <w:tab/>
        <w:t>Humberto Antonio Sierra Porto</w:t>
      </w:r>
    </w:p>
    <w:p w:rsidR="004B4FA2" w:rsidRDefault="004B4FA2" w:rsidP="004B4FA2">
      <w:pPr>
        <w:rPr>
          <w:lang w:val="es-ES"/>
        </w:rPr>
      </w:pPr>
    </w:p>
    <w:p w:rsidR="004B4FA2" w:rsidRDefault="004B4FA2" w:rsidP="004B4FA2">
      <w:pPr>
        <w:rPr>
          <w:lang w:val="es-ES"/>
        </w:rPr>
      </w:pPr>
    </w:p>
    <w:p w:rsidR="004B4FA2" w:rsidRDefault="004B4FA2" w:rsidP="004B4FA2">
      <w:pPr>
        <w:rPr>
          <w:lang w:val="es-ES"/>
        </w:rPr>
      </w:pPr>
    </w:p>
    <w:p w:rsidR="004B4FA2" w:rsidRDefault="004B4FA2" w:rsidP="004B4FA2">
      <w:pPr>
        <w:rPr>
          <w:lang w:val="es-ES"/>
        </w:rPr>
      </w:pPr>
      <w:r>
        <w:rPr>
          <w:lang w:val="es-ES"/>
        </w:rPr>
        <w:t>Eugenio R</w:t>
      </w:r>
      <w:r>
        <w:rPr>
          <w:lang w:val="es-ES"/>
        </w:rPr>
        <w:t xml:space="preserve">aúl </w:t>
      </w:r>
      <w:proofErr w:type="spellStart"/>
      <w:r>
        <w:rPr>
          <w:lang w:val="es-ES"/>
        </w:rPr>
        <w:t>Zaffaroni</w:t>
      </w:r>
      <w:proofErr w:type="spellEnd"/>
      <w:r>
        <w:rPr>
          <w:lang w:val="es-ES"/>
        </w:rPr>
        <w:tab/>
      </w:r>
      <w:r>
        <w:rPr>
          <w:lang w:val="es-ES"/>
        </w:rPr>
        <w:tab/>
      </w:r>
      <w:r>
        <w:rPr>
          <w:lang w:val="es-ES"/>
        </w:rPr>
        <w:tab/>
      </w:r>
      <w:r>
        <w:rPr>
          <w:lang w:val="es-ES"/>
        </w:rPr>
        <w:tab/>
        <w:t xml:space="preserve">      </w:t>
      </w:r>
      <w:r>
        <w:rPr>
          <w:lang w:val="es-ES"/>
        </w:rPr>
        <w:tab/>
        <w:t xml:space="preserve">  </w:t>
      </w:r>
      <w:r>
        <w:rPr>
          <w:lang w:val="es-ES"/>
        </w:rPr>
        <w:t>L. Patricio Pazmiño Freire</w:t>
      </w:r>
    </w:p>
    <w:p w:rsidR="004B4FA2" w:rsidRDefault="004B4FA2" w:rsidP="004B4FA2">
      <w:pPr>
        <w:rPr>
          <w:lang w:val="es-ES"/>
        </w:rPr>
      </w:pPr>
      <w:r>
        <w:rPr>
          <w:lang w:val="es-ES"/>
        </w:rPr>
        <w:tab/>
        <w:t xml:space="preserve">  </w:t>
      </w:r>
    </w:p>
    <w:p w:rsidR="004B4FA2" w:rsidRDefault="004B4FA2" w:rsidP="004B4FA2">
      <w:pPr>
        <w:rPr>
          <w:lang w:val="es-ES"/>
        </w:rPr>
      </w:pPr>
    </w:p>
    <w:p w:rsidR="004B4FA2" w:rsidRDefault="004B4FA2" w:rsidP="004B4FA2">
      <w:pPr>
        <w:rPr>
          <w:lang w:val="es-CR"/>
        </w:rPr>
      </w:pPr>
    </w:p>
    <w:p w:rsidR="004B4FA2" w:rsidRPr="004B4FA2" w:rsidRDefault="004B4FA2" w:rsidP="004B4FA2">
      <w:pPr>
        <w:rPr>
          <w:lang w:val="es-CR"/>
        </w:rPr>
      </w:pPr>
    </w:p>
    <w:p w:rsidR="004B4FA2" w:rsidRDefault="004B4FA2" w:rsidP="004B4FA2">
      <w:pPr>
        <w:jc w:val="center"/>
        <w:rPr>
          <w:lang w:val="es-ES"/>
        </w:rPr>
      </w:pPr>
      <w:r>
        <w:rPr>
          <w:lang w:val="es-ES"/>
        </w:rPr>
        <w:t>Pablo Saavedra Alessandri</w:t>
      </w:r>
    </w:p>
    <w:p w:rsidR="004B4FA2" w:rsidRDefault="004B4FA2" w:rsidP="004B4FA2">
      <w:pPr>
        <w:jc w:val="center"/>
        <w:rPr>
          <w:lang w:val="es-ES"/>
        </w:rPr>
      </w:pPr>
      <w:r>
        <w:rPr>
          <w:lang w:val="es-ES"/>
        </w:rPr>
        <w:t>Secretario</w:t>
      </w:r>
    </w:p>
    <w:p w:rsidR="004B4FA2" w:rsidRDefault="004B4FA2" w:rsidP="004B4FA2">
      <w:pPr>
        <w:jc w:val="center"/>
        <w:rPr>
          <w:lang w:val="es-ES"/>
        </w:rPr>
      </w:pPr>
    </w:p>
    <w:p w:rsidR="004B4FA2" w:rsidRDefault="004B4FA2" w:rsidP="004B4FA2">
      <w:pPr>
        <w:jc w:val="center"/>
        <w:rPr>
          <w:lang w:val="es-ES"/>
        </w:rPr>
      </w:pPr>
    </w:p>
    <w:p w:rsidR="004B4FA2" w:rsidRDefault="004B4FA2" w:rsidP="004B4FA2">
      <w:pPr>
        <w:pStyle w:val="FootnoteText"/>
        <w:rPr>
          <w:lang w:val="es-ES"/>
        </w:rPr>
      </w:pPr>
    </w:p>
    <w:p w:rsidR="004B4FA2" w:rsidRDefault="004B4FA2" w:rsidP="004B4FA2">
      <w:pPr>
        <w:rPr>
          <w:lang w:val="es-ES"/>
        </w:rPr>
      </w:pPr>
      <w:r>
        <w:rPr>
          <w:lang w:val="es-ES"/>
        </w:rPr>
        <w:t>Comuníquese y ejecútese,</w:t>
      </w:r>
    </w:p>
    <w:p w:rsidR="004B4FA2" w:rsidRDefault="004B4FA2" w:rsidP="004B4FA2">
      <w:pPr>
        <w:rPr>
          <w:lang w:val="es-ES"/>
        </w:rPr>
      </w:pPr>
    </w:p>
    <w:p w:rsidR="004B4FA2" w:rsidRDefault="004B4FA2" w:rsidP="004B4FA2">
      <w:pPr>
        <w:rPr>
          <w:lang w:val="es-ES"/>
        </w:rPr>
      </w:pPr>
    </w:p>
    <w:p w:rsidR="004B4FA2" w:rsidRDefault="004B4FA2" w:rsidP="004B4FA2">
      <w:pPr>
        <w:rPr>
          <w:lang w:val="es-ES"/>
        </w:rPr>
      </w:pPr>
    </w:p>
    <w:p w:rsidR="004B4FA2" w:rsidRDefault="004B4FA2" w:rsidP="004B4FA2">
      <w:pPr>
        <w:ind w:left="4956"/>
        <w:jc w:val="center"/>
        <w:rPr>
          <w:lang w:val="es-ES"/>
        </w:rPr>
      </w:pPr>
      <w:r>
        <w:rPr>
          <w:lang w:val="es-ES"/>
        </w:rPr>
        <w:t>Eduardo Ferrer Mac-</w:t>
      </w:r>
      <w:proofErr w:type="spellStart"/>
      <w:r>
        <w:rPr>
          <w:lang w:val="es-ES"/>
        </w:rPr>
        <w:t>Gregor</w:t>
      </w:r>
      <w:proofErr w:type="spellEnd"/>
      <w:r>
        <w:rPr>
          <w:lang w:val="es-ES"/>
        </w:rPr>
        <w:t xml:space="preserve"> </w:t>
      </w:r>
      <w:proofErr w:type="spellStart"/>
      <w:r>
        <w:rPr>
          <w:lang w:val="es-ES"/>
        </w:rPr>
        <w:t>Poisot</w:t>
      </w:r>
      <w:proofErr w:type="spellEnd"/>
    </w:p>
    <w:p w:rsidR="004B4FA2" w:rsidRDefault="004B4FA2" w:rsidP="004B4FA2">
      <w:pPr>
        <w:ind w:left="4956"/>
        <w:jc w:val="center"/>
        <w:rPr>
          <w:lang w:val="es-ES"/>
        </w:rPr>
      </w:pPr>
      <w:r>
        <w:rPr>
          <w:lang w:val="es-ES"/>
        </w:rPr>
        <w:t>Presidente en ejercicio</w:t>
      </w:r>
    </w:p>
    <w:p w:rsidR="004B4FA2" w:rsidRDefault="004B4FA2" w:rsidP="004B4FA2">
      <w:pPr>
        <w:rPr>
          <w:lang w:val="es-ES"/>
        </w:rPr>
      </w:pPr>
    </w:p>
    <w:p w:rsidR="004B4FA2" w:rsidRDefault="004B4FA2" w:rsidP="004B4FA2">
      <w:pPr>
        <w:rPr>
          <w:lang w:val="es-ES"/>
        </w:rPr>
      </w:pPr>
    </w:p>
    <w:p w:rsidR="004B4FA2" w:rsidRDefault="004B4FA2" w:rsidP="004B4FA2">
      <w:pPr>
        <w:rPr>
          <w:lang w:val="es-ES"/>
        </w:rPr>
      </w:pPr>
    </w:p>
    <w:p w:rsidR="004B4FA2" w:rsidRDefault="004B4FA2" w:rsidP="004B4FA2">
      <w:pPr>
        <w:rPr>
          <w:lang w:val="es-ES"/>
        </w:rPr>
      </w:pPr>
    </w:p>
    <w:p w:rsidR="004B4FA2" w:rsidRDefault="004B4FA2" w:rsidP="004B4FA2">
      <w:pPr>
        <w:rPr>
          <w:lang w:val="es-ES"/>
        </w:rPr>
      </w:pPr>
      <w:r>
        <w:rPr>
          <w:lang w:val="es-ES"/>
        </w:rPr>
        <w:t>Pablo Saavedra Alessandri</w:t>
      </w:r>
    </w:p>
    <w:p w:rsidR="001D4D49" w:rsidRDefault="004B4FA2" w:rsidP="004B4FA2">
      <w:r>
        <w:rPr>
          <w:lang w:val="es-ES"/>
        </w:rPr>
        <w:tab/>
      </w:r>
      <w:r>
        <w:rPr>
          <w:lang w:val="es-CR"/>
        </w:rPr>
        <w:t>Secretario</w:t>
      </w:r>
      <w:bookmarkStart w:id="0" w:name="_GoBack"/>
      <w:bookmarkEnd w:id="0"/>
    </w:p>
    <w:sectPr w:rsidR="001D4D49" w:rsidSect="00776956">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428" w:rsidRDefault="00504428" w:rsidP="001F6312">
      <w:pPr>
        <w:spacing w:after="0"/>
      </w:pPr>
      <w:r>
        <w:separator/>
      </w:r>
    </w:p>
  </w:endnote>
  <w:endnote w:type="continuationSeparator" w:id="0">
    <w:p w:rsidR="00504428" w:rsidRDefault="00504428" w:rsidP="001F63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Italic">
    <w:panose1 w:val="00000000000000000000"/>
    <w:charset w:val="00"/>
    <w:family w:val="roman"/>
    <w:notTrueType/>
    <w:pitch w:val="default"/>
    <w:sig w:usb0="00000003" w:usb1="00000000" w:usb2="00000000" w:usb3="00000000" w:csb0="00000001" w:csb1="00000000"/>
  </w:font>
  <w:font w:name="Verdana Bold">
    <w:altName w:val="Times New Roman"/>
    <w:panose1 w:val="020B0804030504040204"/>
    <w:charset w:val="00"/>
    <w:family w:val="auto"/>
    <w:pitch w:val="variable"/>
    <w:sig w:usb0="00000001"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32auyog">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745459"/>
      <w:docPartObj>
        <w:docPartGallery w:val="Page Numbers (Bottom of Page)"/>
        <w:docPartUnique/>
      </w:docPartObj>
    </w:sdtPr>
    <w:sdtEndPr>
      <w:rPr>
        <w:noProof/>
      </w:rPr>
    </w:sdtEndPr>
    <w:sdtContent>
      <w:p w:rsidR="006306AE" w:rsidRDefault="006306AE">
        <w:pPr>
          <w:pStyle w:val="Footer"/>
          <w:jc w:val="center"/>
        </w:pPr>
        <w:r>
          <w:fldChar w:fldCharType="begin"/>
        </w:r>
        <w:r>
          <w:instrText xml:space="preserve"> PAGE   \* MERGEFORMAT </w:instrText>
        </w:r>
        <w:r>
          <w:fldChar w:fldCharType="separate"/>
        </w:r>
        <w:r w:rsidR="00637C6B">
          <w:rPr>
            <w:noProof/>
          </w:rPr>
          <w:t>2</w:t>
        </w:r>
        <w:r>
          <w:rPr>
            <w:noProof/>
          </w:rPr>
          <w:fldChar w:fldCharType="end"/>
        </w:r>
      </w:p>
    </w:sdtContent>
  </w:sdt>
  <w:p w:rsidR="006306AE" w:rsidRDefault="006306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6AE" w:rsidRDefault="006306AE">
    <w:pPr>
      <w:pStyle w:val="Footer"/>
      <w:jc w:val="center"/>
    </w:pPr>
  </w:p>
  <w:p w:rsidR="006306AE" w:rsidRDefault="00630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428" w:rsidRDefault="00504428" w:rsidP="001F6312">
      <w:pPr>
        <w:spacing w:after="0"/>
      </w:pPr>
      <w:r>
        <w:separator/>
      </w:r>
    </w:p>
  </w:footnote>
  <w:footnote w:type="continuationSeparator" w:id="0">
    <w:p w:rsidR="00504428" w:rsidRDefault="00504428" w:rsidP="001F6312">
      <w:pPr>
        <w:spacing w:after="0"/>
      </w:pPr>
      <w:r>
        <w:continuationSeparator/>
      </w:r>
    </w:p>
  </w:footnote>
  <w:footnote w:id="1">
    <w:p w:rsidR="006306AE" w:rsidRPr="000D32C6" w:rsidRDefault="006306AE" w:rsidP="007C756D">
      <w:pPr>
        <w:pStyle w:val="FootnoteText"/>
        <w:rPr>
          <w:sz w:val="16"/>
          <w:szCs w:val="16"/>
          <w:lang w:val="es-ES"/>
        </w:rPr>
      </w:pPr>
      <w:r w:rsidRPr="000D32C6">
        <w:rPr>
          <w:rStyle w:val="FootnoteReference"/>
          <w:sz w:val="16"/>
          <w:szCs w:val="16"/>
          <w:lang w:val="es-ES"/>
        </w:rPr>
        <w:sym w:font="Symbol" w:char="F02A"/>
      </w:r>
      <w:r>
        <w:rPr>
          <w:sz w:val="16"/>
          <w:szCs w:val="16"/>
          <w:lang w:val="es-ES"/>
        </w:rPr>
        <w:t xml:space="preserve"> La Jueza Elizabeth Odio Benito</w:t>
      </w:r>
      <w:r w:rsidRPr="000D32C6">
        <w:rPr>
          <w:sz w:val="16"/>
          <w:szCs w:val="16"/>
          <w:lang w:val="es-ES"/>
        </w:rPr>
        <w:t xml:space="preserve">, de nacionalidad </w:t>
      </w:r>
      <w:r w:rsidR="00231519">
        <w:rPr>
          <w:sz w:val="16"/>
          <w:szCs w:val="16"/>
          <w:lang w:val="es-ES"/>
        </w:rPr>
        <w:t>c</w:t>
      </w:r>
      <w:r>
        <w:rPr>
          <w:sz w:val="16"/>
          <w:szCs w:val="16"/>
          <w:lang w:val="es-ES"/>
        </w:rPr>
        <w:t>ostarricense</w:t>
      </w:r>
      <w:r w:rsidRPr="000D32C6">
        <w:rPr>
          <w:sz w:val="16"/>
          <w:szCs w:val="16"/>
          <w:lang w:val="es-ES"/>
        </w:rPr>
        <w:t>, no participó en el conocimiento y deliberación de la presente Resolución, de conformidad con lo dispuesto en el artículo 19.1 del Reglamento de la Corte.</w:t>
      </w:r>
      <w:r w:rsidR="00B66091">
        <w:rPr>
          <w:sz w:val="16"/>
          <w:szCs w:val="16"/>
          <w:lang w:val="es-ES"/>
        </w:rPr>
        <w:t xml:space="preserve"> </w:t>
      </w:r>
      <w:r w:rsidR="00B66091" w:rsidRPr="00FB0ABB">
        <w:rPr>
          <w:sz w:val="16"/>
          <w:szCs w:val="16"/>
          <w:lang w:val="es-ES"/>
        </w:rPr>
        <w:t xml:space="preserve">Además, </w:t>
      </w:r>
      <w:r w:rsidR="00B66091" w:rsidRPr="00FB0ABB">
        <w:rPr>
          <w:sz w:val="16"/>
          <w:szCs w:val="16"/>
        </w:rPr>
        <w:t xml:space="preserve">el Juez </w:t>
      </w:r>
      <w:r w:rsidR="00B66091">
        <w:rPr>
          <w:sz w:val="16"/>
          <w:szCs w:val="16"/>
        </w:rPr>
        <w:t>Roberto F. Caldas</w:t>
      </w:r>
      <w:r w:rsidR="00B66091" w:rsidRPr="00FB0ABB">
        <w:rPr>
          <w:sz w:val="16"/>
          <w:szCs w:val="16"/>
        </w:rPr>
        <w:t xml:space="preserve">, por motivos de fuerza mayor, no participó en la deliberación y firma de la presente </w:t>
      </w:r>
      <w:r w:rsidR="00B66091">
        <w:rPr>
          <w:sz w:val="16"/>
          <w:szCs w:val="16"/>
        </w:rPr>
        <w:t>Resolución</w:t>
      </w:r>
      <w:r w:rsidR="00B66091" w:rsidRPr="00FB0ABB">
        <w:rPr>
          <w:sz w:val="16"/>
          <w:szCs w:val="16"/>
        </w:rPr>
        <w:t>.</w:t>
      </w:r>
    </w:p>
  </w:footnote>
  <w:footnote w:id="2">
    <w:p w:rsidR="006306AE" w:rsidRPr="0092292D" w:rsidRDefault="006306AE" w:rsidP="00D2015D">
      <w:pPr>
        <w:spacing w:after="0"/>
        <w:rPr>
          <w:rFonts w:eastAsia="Times New Roman" w:cs="Arial"/>
          <w:sz w:val="16"/>
          <w:szCs w:val="16"/>
          <w:lang w:val="es-GT"/>
        </w:rPr>
      </w:pPr>
      <w:r w:rsidRPr="0092292D">
        <w:rPr>
          <w:rStyle w:val="FootnoteReference"/>
          <w:sz w:val="16"/>
          <w:szCs w:val="16"/>
        </w:rPr>
        <w:footnoteRef/>
      </w:r>
      <w:r w:rsidRPr="0092292D">
        <w:rPr>
          <w:sz w:val="16"/>
          <w:szCs w:val="16"/>
          <w:lang w:val="es-GT"/>
        </w:rPr>
        <w:t xml:space="preserve"> </w:t>
      </w:r>
      <w:r>
        <w:rPr>
          <w:sz w:val="16"/>
          <w:szCs w:val="16"/>
          <w:lang w:val="es-GT"/>
        </w:rPr>
        <w:tab/>
      </w:r>
      <w:r w:rsidRPr="0092292D">
        <w:rPr>
          <w:sz w:val="16"/>
          <w:szCs w:val="16"/>
          <w:lang w:val="es-GT"/>
        </w:rPr>
        <w:t xml:space="preserve">En lo pertinente, el </w:t>
      </w:r>
      <w:r w:rsidRPr="0092292D">
        <w:rPr>
          <w:rFonts w:eastAsia="Times New Roman" w:cs="Arial"/>
          <w:sz w:val="16"/>
          <w:szCs w:val="16"/>
          <w:lang w:val="es-GT"/>
        </w:rPr>
        <w:t xml:space="preserve">Artículo 31 del Reglamento dispone: “Resoluciones. </w:t>
      </w:r>
      <w:r w:rsidRPr="009A40CA">
        <w:rPr>
          <w:rFonts w:eastAsia="Times New Roman" w:cs="Arial"/>
          <w:sz w:val="16"/>
          <w:szCs w:val="16"/>
          <w:lang w:val="es-GT"/>
        </w:rPr>
        <w:t>1.</w:t>
      </w:r>
      <w:r w:rsidRPr="0092292D">
        <w:rPr>
          <w:rFonts w:eastAsia="Times New Roman" w:cs="Arial"/>
          <w:sz w:val="16"/>
          <w:szCs w:val="16"/>
          <w:lang w:val="es-GT"/>
        </w:rPr>
        <w:t xml:space="preserve"> </w:t>
      </w:r>
      <w:r w:rsidRPr="009A40CA">
        <w:rPr>
          <w:rFonts w:eastAsia="Times New Roman" w:cs="Arial"/>
          <w:sz w:val="16"/>
          <w:szCs w:val="16"/>
          <w:lang w:val="es-GT"/>
        </w:rPr>
        <w:t>Las sentencias y las resoluciones que pongan término al proceso son de la competencia exclusiva de la Corte. 2. Las demás resoluciones se</w:t>
      </w:r>
      <w:r w:rsidRPr="0092292D">
        <w:rPr>
          <w:rFonts w:eastAsia="Times New Roman" w:cs="Arial"/>
          <w:sz w:val="16"/>
          <w:szCs w:val="16"/>
          <w:lang w:val="es-GT"/>
        </w:rPr>
        <w:t>r</w:t>
      </w:r>
      <w:r w:rsidRPr="009A40CA">
        <w:rPr>
          <w:rFonts w:eastAsia="Times New Roman" w:cs="Arial"/>
          <w:sz w:val="16"/>
          <w:szCs w:val="16"/>
          <w:lang w:val="es-GT"/>
        </w:rPr>
        <w:t>án dictadas por la Corte,</w:t>
      </w:r>
      <w:r w:rsidRPr="0092292D">
        <w:rPr>
          <w:rFonts w:eastAsia="Times New Roman" w:cs="Arial"/>
          <w:sz w:val="16"/>
          <w:szCs w:val="16"/>
          <w:lang w:val="es-GT"/>
        </w:rPr>
        <w:t xml:space="preserve"> </w:t>
      </w:r>
      <w:r w:rsidRPr="009A40CA">
        <w:rPr>
          <w:rFonts w:eastAsia="Times New Roman" w:cs="Arial"/>
          <w:sz w:val="16"/>
          <w:szCs w:val="16"/>
          <w:lang w:val="es-GT"/>
        </w:rPr>
        <w:t>si estuviere reunida; si no lo estuviere, por la Presidencia, salvo disposición en contrario. Toda decisión de</w:t>
      </w:r>
      <w:r w:rsidRPr="0092292D">
        <w:rPr>
          <w:rFonts w:eastAsia="Times New Roman" w:cs="Arial"/>
          <w:sz w:val="16"/>
          <w:szCs w:val="16"/>
          <w:lang w:val="es-GT"/>
        </w:rPr>
        <w:t xml:space="preserve"> </w:t>
      </w:r>
      <w:r w:rsidRPr="009A40CA">
        <w:rPr>
          <w:rFonts w:eastAsia="Times New Roman" w:cs="Arial"/>
          <w:sz w:val="16"/>
          <w:szCs w:val="16"/>
          <w:lang w:val="es-GT"/>
        </w:rPr>
        <w:t xml:space="preserve">la Presidencia, que no sea de mero trámite, es </w:t>
      </w:r>
      <w:r w:rsidRPr="0092292D">
        <w:rPr>
          <w:rFonts w:eastAsia="Times New Roman" w:cs="Arial"/>
          <w:sz w:val="16"/>
          <w:szCs w:val="16"/>
          <w:lang w:val="es-GT"/>
        </w:rPr>
        <w:t>recurrible ante la Corte”.</w:t>
      </w:r>
    </w:p>
  </w:footnote>
  <w:footnote w:id="3">
    <w:p w:rsidR="007C756D" w:rsidRPr="001458B2" w:rsidRDefault="007C756D" w:rsidP="00D2015D">
      <w:pPr>
        <w:pStyle w:val="Footnotes"/>
        <w:tabs>
          <w:tab w:val="left" w:pos="426"/>
        </w:tabs>
        <w:spacing w:before="0" w:after="0"/>
        <w:rPr>
          <w:rFonts w:cs="Times New Roman"/>
          <w:spacing w:val="-12"/>
        </w:rPr>
      </w:pPr>
      <w:r w:rsidRPr="001F0A42">
        <w:rPr>
          <w:rStyle w:val="FootnoteReference"/>
          <w:spacing w:val="-12"/>
        </w:rPr>
        <w:footnoteRef/>
      </w:r>
      <w:r w:rsidRPr="001F0A42">
        <w:rPr>
          <w:spacing w:val="-12"/>
          <w:vertAlign w:val="superscript"/>
        </w:rPr>
        <w:t xml:space="preserve"> </w:t>
      </w:r>
      <w:r w:rsidRPr="001F0A42">
        <w:rPr>
          <w:spacing w:val="-12"/>
          <w:vertAlign w:val="superscript"/>
        </w:rPr>
        <w:tab/>
      </w:r>
      <w:r w:rsidRPr="001F0A42">
        <w:rPr>
          <w:rFonts w:eastAsia="Times New Roman" w:cs="Times New Roman"/>
          <w:i/>
          <w:iCs w:val="0"/>
          <w:spacing w:val="-12"/>
          <w:lang w:val="es-MX"/>
        </w:rPr>
        <w:t xml:space="preserve">Cfr. Caso Cinco Pensionistas Vs. Perú. Fondo, Reparaciones y Costas. </w:t>
      </w:r>
      <w:r w:rsidRPr="001458B2">
        <w:rPr>
          <w:rFonts w:eastAsia="Times New Roman" w:cs="Times New Roman"/>
          <w:iCs w:val="0"/>
          <w:spacing w:val="-12"/>
          <w:lang w:val="es-MX"/>
        </w:rPr>
        <w:t xml:space="preserve">Sentencia de 28 de febrero de 2003. Serie C No. 98, párr. 153, </w:t>
      </w:r>
      <w:r w:rsidRPr="00D2015D">
        <w:rPr>
          <w:rFonts w:eastAsia="Times New Roman" w:cs="Times New Roman"/>
          <w:i/>
          <w:iCs w:val="0"/>
          <w:spacing w:val="-12"/>
          <w:lang w:val="es-MX"/>
        </w:rPr>
        <w:t xml:space="preserve">y </w:t>
      </w:r>
      <w:r w:rsidRPr="00D2015D">
        <w:rPr>
          <w:i/>
          <w:lang w:val="es-CR"/>
        </w:rPr>
        <w:t>Caso Acosta y otros Vs. Nicaragua. Excepciones Preliminares, Fondo, Reparaciones y Costas</w:t>
      </w:r>
      <w:r>
        <w:rPr>
          <w:lang w:val="es-CR"/>
        </w:rPr>
        <w:t>. Sentencia de 25 de marzo de 2017. Serie C No. 334, párr. 30.</w:t>
      </w:r>
    </w:p>
  </w:footnote>
  <w:footnote w:id="4">
    <w:p w:rsidR="007C756D" w:rsidRPr="001F0A42" w:rsidRDefault="007C756D" w:rsidP="00D2015D">
      <w:pPr>
        <w:pStyle w:val="Footnotes"/>
        <w:tabs>
          <w:tab w:val="left" w:pos="426"/>
        </w:tabs>
        <w:spacing w:before="0" w:after="0"/>
        <w:rPr>
          <w:spacing w:val="-12"/>
        </w:rPr>
      </w:pPr>
      <w:r w:rsidRPr="001F0A42">
        <w:rPr>
          <w:rStyle w:val="FootnoteReference"/>
          <w:spacing w:val="-12"/>
          <w:lang w:val="es-CR"/>
        </w:rPr>
        <w:footnoteRef/>
      </w:r>
      <w:r w:rsidRPr="001F0A42">
        <w:rPr>
          <w:spacing w:val="-12"/>
        </w:rPr>
        <w:t xml:space="preserve"> </w:t>
      </w:r>
      <w:r w:rsidRPr="001F0A42">
        <w:rPr>
          <w:spacing w:val="-12"/>
        </w:rPr>
        <w:tab/>
      </w:r>
      <w:r w:rsidRPr="001F0A42">
        <w:rPr>
          <w:rFonts w:eastAsia="Times New Roman" w:cs="Times New Roman"/>
          <w:i/>
          <w:iCs w:val="0"/>
          <w:spacing w:val="-12"/>
          <w:lang w:val="es-MX"/>
        </w:rPr>
        <w:t>Cfr. C</w:t>
      </w:r>
      <w:r>
        <w:rPr>
          <w:rFonts w:eastAsia="Times New Roman" w:cs="Times New Roman"/>
          <w:i/>
          <w:iCs w:val="0"/>
          <w:spacing w:val="-12"/>
          <w:lang w:val="es-MX"/>
        </w:rPr>
        <w:t>aso Cinco Pensionistas Vs. Perú,</w:t>
      </w:r>
      <w:r w:rsidRPr="001F0A42">
        <w:rPr>
          <w:rFonts w:eastAsia="Times New Roman" w:cs="Times New Roman"/>
          <w:i/>
          <w:iCs w:val="0"/>
          <w:spacing w:val="-12"/>
          <w:lang w:val="es-MX"/>
        </w:rPr>
        <w:t xml:space="preserve"> </w:t>
      </w:r>
      <w:r w:rsidRPr="001458B2">
        <w:rPr>
          <w:rFonts w:eastAsia="Times New Roman" w:cs="Times New Roman"/>
          <w:iCs w:val="0"/>
          <w:spacing w:val="-12"/>
          <w:lang w:val="es-MX"/>
        </w:rPr>
        <w:t>párr. 155, y</w:t>
      </w:r>
      <w:r w:rsidRPr="001F0A42">
        <w:rPr>
          <w:rFonts w:eastAsia="Times New Roman" w:cs="Times New Roman"/>
          <w:i/>
          <w:iCs w:val="0"/>
          <w:spacing w:val="-12"/>
          <w:lang w:val="es-MX"/>
        </w:rPr>
        <w:t xml:space="preserve"> </w:t>
      </w:r>
      <w:r w:rsidRPr="00D2015D">
        <w:rPr>
          <w:i/>
          <w:lang w:val="es-CR"/>
        </w:rPr>
        <w:t>Caso Acosta y otros Vs. Nicaragua</w:t>
      </w:r>
      <w:r>
        <w:rPr>
          <w:lang w:val="es-CR"/>
        </w:rPr>
        <w:t>, párr. 30.</w:t>
      </w:r>
    </w:p>
  </w:footnote>
  <w:footnote w:id="5">
    <w:p w:rsidR="007C756D" w:rsidRPr="001F0A42" w:rsidRDefault="007C756D" w:rsidP="00D2015D">
      <w:pPr>
        <w:pStyle w:val="Footnotes"/>
        <w:tabs>
          <w:tab w:val="left" w:pos="426"/>
        </w:tabs>
        <w:spacing w:before="0" w:after="0"/>
        <w:rPr>
          <w:spacing w:val="-12"/>
        </w:rPr>
      </w:pPr>
      <w:r w:rsidRPr="001F0A42">
        <w:rPr>
          <w:rStyle w:val="FootnoteReference"/>
          <w:spacing w:val="-12"/>
        </w:rPr>
        <w:footnoteRef/>
      </w:r>
      <w:r w:rsidRPr="001F0A42">
        <w:rPr>
          <w:spacing w:val="-12"/>
        </w:rPr>
        <w:tab/>
      </w:r>
      <w:r w:rsidRPr="001F0A42">
        <w:rPr>
          <w:rFonts w:eastAsia="Times New Roman" w:cs="Times New Roman"/>
          <w:i/>
          <w:iCs w:val="0"/>
          <w:spacing w:val="-12"/>
          <w:lang w:val="es-MX"/>
        </w:rPr>
        <w:t xml:space="preserve">Cfr. Caso de la Masacre de </w:t>
      </w:r>
      <w:proofErr w:type="spellStart"/>
      <w:r w:rsidRPr="001F0A42">
        <w:rPr>
          <w:rFonts w:eastAsia="Times New Roman" w:cs="Times New Roman"/>
          <w:i/>
          <w:iCs w:val="0"/>
          <w:spacing w:val="-12"/>
          <w:lang w:val="es-MX"/>
        </w:rPr>
        <w:t>Mapiripán</w:t>
      </w:r>
      <w:proofErr w:type="spellEnd"/>
      <w:r w:rsidRPr="001F0A42">
        <w:rPr>
          <w:rFonts w:eastAsia="Times New Roman" w:cs="Times New Roman"/>
          <w:i/>
          <w:iCs w:val="0"/>
          <w:spacing w:val="-12"/>
          <w:lang w:val="es-MX"/>
        </w:rPr>
        <w:t xml:space="preserve"> Vs. Colombia. Fondo, Reparaciones y Costas. </w:t>
      </w:r>
      <w:r w:rsidRPr="001458B2">
        <w:rPr>
          <w:rFonts w:eastAsia="Times New Roman" w:cs="Times New Roman"/>
          <w:iCs w:val="0"/>
          <w:spacing w:val="-12"/>
          <w:lang w:val="es-MX"/>
        </w:rPr>
        <w:t>Sentencia de 15 de septiembre de 2005. Serie C No. 134, párr. 58,</w:t>
      </w:r>
      <w:r w:rsidRPr="001F0A42">
        <w:rPr>
          <w:rFonts w:eastAsia="Times New Roman" w:cs="Times New Roman"/>
          <w:i/>
          <w:iCs w:val="0"/>
          <w:spacing w:val="-12"/>
          <w:lang w:val="es-MX"/>
        </w:rPr>
        <w:t xml:space="preserve"> </w:t>
      </w:r>
      <w:r w:rsidRPr="001458B2">
        <w:rPr>
          <w:rFonts w:eastAsia="Times New Roman" w:cs="Times New Roman"/>
          <w:iCs w:val="0"/>
          <w:spacing w:val="-12"/>
          <w:lang w:val="es-MX"/>
        </w:rPr>
        <w:t>y</w:t>
      </w:r>
      <w:r w:rsidRPr="001F0A42">
        <w:rPr>
          <w:rFonts w:eastAsia="Times New Roman" w:cs="Times New Roman"/>
          <w:i/>
          <w:iCs w:val="0"/>
          <w:spacing w:val="-12"/>
          <w:lang w:val="es-MX"/>
        </w:rPr>
        <w:t xml:space="preserve"> </w:t>
      </w:r>
      <w:r w:rsidRPr="004407E8">
        <w:rPr>
          <w:i/>
          <w:lang w:val="es-CR"/>
        </w:rPr>
        <w:t>Caso Acosta y otros Vs. Nicaragua</w:t>
      </w:r>
      <w:r>
        <w:rPr>
          <w:lang w:val="es-CR"/>
        </w:rPr>
        <w:t>, párr.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6AE" w:rsidRDefault="006306AE">
    <w:pPr>
      <w:pStyle w:val="Header"/>
      <w:jc w:val="center"/>
    </w:pPr>
  </w:p>
  <w:p w:rsidR="006306AE" w:rsidRDefault="00630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25513"/>
    <w:multiLevelType w:val="hybridMultilevel"/>
    <w:tmpl w:val="3C30622E"/>
    <w:lvl w:ilvl="0" w:tplc="D118455C">
      <w:start w:val="1"/>
      <w:numFmt w:val="decimal"/>
      <w:lvlText w:val="%1."/>
      <w:lvlJc w:val="left"/>
      <w:pPr>
        <w:ind w:left="1065" w:hanging="705"/>
      </w:pPr>
      <w:rPr>
        <w:rFonts w:cs="Verdana"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542C5A46"/>
    <w:multiLevelType w:val="hybridMultilevel"/>
    <w:tmpl w:val="C088D672"/>
    <w:lvl w:ilvl="0" w:tplc="647C7CB4">
      <w:start w:val="1"/>
      <w:numFmt w:val="decimal"/>
      <w:lvlText w:val="%1."/>
      <w:lvlJc w:val="left"/>
      <w:pPr>
        <w:ind w:left="644" w:hanging="360"/>
      </w:pPr>
      <w:rPr>
        <w:rFonts w:ascii="Verdana" w:hAnsi="Verdana" w:hint="default"/>
        <w:sz w:val="20"/>
        <w:szCs w:val="20"/>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
    <w:nsid w:val="615D6ECD"/>
    <w:multiLevelType w:val="hybridMultilevel"/>
    <w:tmpl w:val="ED9C2C40"/>
    <w:lvl w:ilvl="0" w:tplc="ED0459E8">
      <w:start w:val="1"/>
      <w:numFmt w:val="lowerLetter"/>
      <w:lvlText w:val="%1)"/>
      <w:lvlJc w:val="left"/>
      <w:pPr>
        <w:ind w:left="1080" w:hanging="360"/>
      </w:pPr>
      <w:rPr>
        <w:rFonts w:ascii="Verdana" w:hAnsi="Verdana" w:cs="Tahoma" w:hint="default"/>
        <w:sz w:val="20"/>
        <w:szCs w:val="20"/>
      </w:rPr>
    </w:lvl>
    <w:lvl w:ilvl="1" w:tplc="323EEAAC">
      <w:start w:val="1"/>
      <w:numFmt w:val="decimal"/>
      <w:pStyle w:val="Listavistosa-nfasis11"/>
      <w:lvlText w:val="%2."/>
      <w:lvlJc w:val="left"/>
      <w:pPr>
        <w:tabs>
          <w:tab w:val="num" w:pos="0"/>
        </w:tabs>
      </w:pPr>
      <w:rPr>
        <w:rFonts w:hint="default"/>
        <w:b w:val="0"/>
        <w:bCs w:val="0"/>
        <w:sz w:val="20"/>
        <w:szCs w:val="20"/>
      </w:rPr>
    </w:lvl>
    <w:lvl w:ilvl="2" w:tplc="B96C1A40">
      <w:start w:val="1"/>
      <w:numFmt w:val="lowerLetter"/>
      <w:lvlText w:val="%3)"/>
      <w:lvlJc w:val="left"/>
      <w:pPr>
        <w:ind w:left="2700" w:hanging="360"/>
      </w:pPr>
      <w:rPr>
        <w:rFonts w:ascii="Verdana" w:hAnsi="Verdana" w:cs="Tahoma" w:hint="default"/>
        <w:b w:val="0"/>
        <w:bCs w:val="0"/>
        <w:sz w:val="20"/>
        <w:szCs w:val="20"/>
      </w:r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3">
    <w:nsid w:val="62C97D24"/>
    <w:multiLevelType w:val="hybridMultilevel"/>
    <w:tmpl w:val="C0FAAC86"/>
    <w:lvl w:ilvl="0" w:tplc="ED0459E8">
      <w:start w:val="1"/>
      <w:numFmt w:val="decimal"/>
      <w:lvlText w:val="%1."/>
      <w:lvlJc w:val="left"/>
      <w:pPr>
        <w:ind w:left="1080" w:hanging="720"/>
      </w:pPr>
      <w:rPr>
        <w:b w:val="0"/>
      </w:rPr>
    </w:lvl>
    <w:lvl w:ilvl="1" w:tplc="323EEAAC">
      <w:start w:val="1"/>
      <w:numFmt w:val="lowerRoman"/>
      <w:lvlText w:val="%2."/>
      <w:lvlJc w:val="left"/>
      <w:pPr>
        <w:ind w:left="1800" w:hanging="720"/>
      </w:pPr>
    </w:lvl>
    <w:lvl w:ilvl="2" w:tplc="B96C1A40">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4">
    <w:nsid w:val="677F4948"/>
    <w:multiLevelType w:val="hybridMultilevel"/>
    <w:tmpl w:val="62BE8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154407"/>
    <w:multiLevelType w:val="hybridMultilevel"/>
    <w:tmpl w:val="8F16D208"/>
    <w:lvl w:ilvl="0" w:tplc="FD88E018">
      <w:start w:val="1"/>
      <w:numFmt w:val="decimal"/>
      <w:lvlText w:val="%1."/>
      <w:lvlJc w:val="left"/>
      <w:pPr>
        <w:tabs>
          <w:tab w:val="num" w:pos="680"/>
        </w:tabs>
      </w:pPr>
      <w:rPr>
        <w:rFonts w:hint="default"/>
        <w:b w:val="0"/>
        <w:bCs w:val="0"/>
        <w:i w:val="0"/>
        <w:iCs w:val="0"/>
        <w:strike w:val="0"/>
        <w:sz w:val="20"/>
        <w:szCs w:val="20"/>
        <w:lang w:val="es-C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477"/>
    <w:rsid w:val="00006995"/>
    <w:rsid w:val="00017CD7"/>
    <w:rsid w:val="00084257"/>
    <w:rsid w:val="00093B37"/>
    <w:rsid w:val="00096837"/>
    <w:rsid w:val="00096B97"/>
    <w:rsid w:val="000A1C71"/>
    <w:rsid w:val="000B60E7"/>
    <w:rsid w:val="000D32C6"/>
    <w:rsid w:val="000E39A7"/>
    <w:rsid w:val="00102E1F"/>
    <w:rsid w:val="001115E1"/>
    <w:rsid w:val="00113CF3"/>
    <w:rsid w:val="001172A1"/>
    <w:rsid w:val="00125B7E"/>
    <w:rsid w:val="00142903"/>
    <w:rsid w:val="0014748A"/>
    <w:rsid w:val="00152CE4"/>
    <w:rsid w:val="00155C63"/>
    <w:rsid w:val="00163898"/>
    <w:rsid w:val="00164B01"/>
    <w:rsid w:val="001663FC"/>
    <w:rsid w:val="001711AE"/>
    <w:rsid w:val="0018203B"/>
    <w:rsid w:val="001A4E0B"/>
    <w:rsid w:val="001D4D49"/>
    <w:rsid w:val="001F6312"/>
    <w:rsid w:val="002127CA"/>
    <w:rsid w:val="002260FB"/>
    <w:rsid w:val="00231519"/>
    <w:rsid w:val="0023179D"/>
    <w:rsid w:val="00233844"/>
    <w:rsid w:val="0024008D"/>
    <w:rsid w:val="00252871"/>
    <w:rsid w:val="00296EFE"/>
    <w:rsid w:val="002A1C73"/>
    <w:rsid w:val="002C3BE9"/>
    <w:rsid w:val="002C75DF"/>
    <w:rsid w:val="002D75F7"/>
    <w:rsid w:val="00311A24"/>
    <w:rsid w:val="00326186"/>
    <w:rsid w:val="00326C06"/>
    <w:rsid w:val="003334EC"/>
    <w:rsid w:val="00333754"/>
    <w:rsid w:val="00333F33"/>
    <w:rsid w:val="0035191A"/>
    <w:rsid w:val="00361AEE"/>
    <w:rsid w:val="00372075"/>
    <w:rsid w:val="003928FA"/>
    <w:rsid w:val="003A05CA"/>
    <w:rsid w:val="003A2F96"/>
    <w:rsid w:val="003D3798"/>
    <w:rsid w:val="003E5130"/>
    <w:rsid w:val="003E5534"/>
    <w:rsid w:val="00421806"/>
    <w:rsid w:val="00424AE6"/>
    <w:rsid w:val="004446F5"/>
    <w:rsid w:val="00452BB3"/>
    <w:rsid w:val="004564F8"/>
    <w:rsid w:val="00460342"/>
    <w:rsid w:val="00480709"/>
    <w:rsid w:val="00482BB9"/>
    <w:rsid w:val="00496337"/>
    <w:rsid w:val="004B0C18"/>
    <w:rsid w:val="004B4FA2"/>
    <w:rsid w:val="004D3023"/>
    <w:rsid w:val="004E5C29"/>
    <w:rsid w:val="00504428"/>
    <w:rsid w:val="005054E5"/>
    <w:rsid w:val="00523297"/>
    <w:rsid w:val="00532503"/>
    <w:rsid w:val="005661FE"/>
    <w:rsid w:val="00566E0B"/>
    <w:rsid w:val="00574446"/>
    <w:rsid w:val="0057785F"/>
    <w:rsid w:val="005F4381"/>
    <w:rsid w:val="00617CB3"/>
    <w:rsid w:val="006306AE"/>
    <w:rsid w:val="00637C6B"/>
    <w:rsid w:val="00675EC8"/>
    <w:rsid w:val="00693822"/>
    <w:rsid w:val="00696224"/>
    <w:rsid w:val="006A350A"/>
    <w:rsid w:val="006B07FF"/>
    <w:rsid w:val="006E3E92"/>
    <w:rsid w:val="006F4CB0"/>
    <w:rsid w:val="00704508"/>
    <w:rsid w:val="007073AB"/>
    <w:rsid w:val="0072149E"/>
    <w:rsid w:val="007403DD"/>
    <w:rsid w:val="00741A91"/>
    <w:rsid w:val="00747353"/>
    <w:rsid w:val="00775E98"/>
    <w:rsid w:val="00776956"/>
    <w:rsid w:val="007B0534"/>
    <w:rsid w:val="007C53EC"/>
    <w:rsid w:val="007C71A9"/>
    <w:rsid w:val="007C756D"/>
    <w:rsid w:val="007D2FC8"/>
    <w:rsid w:val="007E4790"/>
    <w:rsid w:val="007E5B1E"/>
    <w:rsid w:val="008014B1"/>
    <w:rsid w:val="008039C7"/>
    <w:rsid w:val="008069F8"/>
    <w:rsid w:val="00810860"/>
    <w:rsid w:val="00813994"/>
    <w:rsid w:val="00830324"/>
    <w:rsid w:val="008432B1"/>
    <w:rsid w:val="00871822"/>
    <w:rsid w:val="00874C16"/>
    <w:rsid w:val="008A2591"/>
    <w:rsid w:val="008B1E76"/>
    <w:rsid w:val="008B5E06"/>
    <w:rsid w:val="008C042F"/>
    <w:rsid w:val="008D01C2"/>
    <w:rsid w:val="008D3A0D"/>
    <w:rsid w:val="00903EFD"/>
    <w:rsid w:val="00906308"/>
    <w:rsid w:val="0090667A"/>
    <w:rsid w:val="00920D4C"/>
    <w:rsid w:val="0093539C"/>
    <w:rsid w:val="00960E8B"/>
    <w:rsid w:val="00972846"/>
    <w:rsid w:val="009D1DF5"/>
    <w:rsid w:val="009D1F63"/>
    <w:rsid w:val="00A0017D"/>
    <w:rsid w:val="00A163B5"/>
    <w:rsid w:val="00A215D4"/>
    <w:rsid w:val="00A336C6"/>
    <w:rsid w:val="00A35911"/>
    <w:rsid w:val="00A705FC"/>
    <w:rsid w:val="00AB2221"/>
    <w:rsid w:val="00AD2DFC"/>
    <w:rsid w:val="00AF36B7"/>
    <w:rsid w:val="00B03051"/>
    <w:rsid w:val="00B22D12"/>
    <w:rsid w:val="00B62467"/>
    <w:rsid w:val="00B66091"/>
    <w:rsid w:val="00B66C59"/>
    <w:rsid w:val="00B87D99"/>
    <w:rsid w:val="00BA2B21"/>
    <w:rsid w:val="00BA701F"/>
    <w:rsid w:val="00BA7CC6"/>
    <w:rsid w:val="00BC1A80"/>
    <w:rsid w:val="00BE5161"/>
    <w:rsid w:val="00BF6352"/>
    <w:rsid w:val="00C01BBE"/>
    <w:rsid w:val="00C42C70"/>
    <w:rsid w:val="00C9357D"/>
    <w:rsid w:val="00CA02F2"/>
    <w:rsid w:val="00CE64A1"/>
    <w:rsid w:val="00CF74B5"/>
    <w:rsid w:val="00D2015D"/>
    <w:rsid w:val="00D25499"/>
    <w:rsid w:val="00D3370F"/>
    <w:rsid w:val="00D40513"/>
    <w:rsid w:val="00D92738"/>
    <w:rsid w:val="00D94877"/>
    <w:rsid w:val="00D976A7"/>
    <w:rsid w:val="00DA03B1"/>
    <w:rsid w:val="00DB6221"/>
    <w:rsid w:val="00DC0741"/>
    <w:rsid w:val="00DC17F1"/>
    <w:rsid w:val="00DE1D08"/>
    <w:rsid w:val="00DE7DC3"/>
    <w:rsid w:val="00E12E6A"/>
    <w:rsid w:val="00E14A9A"/>
    <w:rsid w:val="00E17BE7"/>
    <w:rsid w:val="00E215FA"/>
    <w:rsid w:val="00E24F24"/>
    <w:rsid w:val="00E625A1"/>
    <w:rsid w:val="00E84793"/>
    <w:rsid w:val="00E93B6D"/>
    <w:rsid w:val="00E96BEF"/>
    <w:rsid w:val="00EC6F70"/>
    <w:rsid w:val="00EF3E97"/>
    <w:rsid w:val="00F00BC9"/>
    <w:rsid w:val="00F262C0"/>
    <w:rsid w:val="00F61A3E"/>
    <w:rsid w:val="00F70B30"/>
    <w:rsid w:val="00F75F7F"/>
    <w:rsid w:val="00F90477"/>
    <w:rsid w:val="00FA4E30"/>
    <w:rsid w:val="00FC398D"/>
    <w:rsid w:val="00FF17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7"/>
    <w:pPr>
      <w:spacing w:after="120" w:line="240" w:lineRule="auto"/>
      <w:jc w:val="both"/>
    </w:pPr>
    <w:rPr>
      <w:rFonts w:ascii="Verdana" w:eastAsia="Calibri" w:hAnsi="Verdana" w:cs="Times"/>
      <w:sz w:val="20"/>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link w:val="4GChar"/>
    <w:qFormat/>
    <w:rsid w:val="00F90477"/>
    <w:rPr>
      <w:vertAlign w:val="superscript"/>
    </w:rPr>
  </w:style>
  <w:style w:type="paragraph" w:customStyle="1" w:styleId="Listavistosa-nfasis11">
    <w:name w:val="Lista vistosa - Énfasis 11"/>
    <w:basedOn w:val="Normal"/>
    <w:uiPriority w:val="99"/>
    <w:qFormat/>
    <w:rsid w:val="00F90477"/>
    <w:pPr>
      <w:numPr>
        <w:ilvl w:val="1"/>
        <w:numId w:val="2"/>
      </w:numPr>
      <w:contextualSpacing/>
    </w:pPr>
  </w:style>
  <w:style w:type="paragraph" w:styleId="ListParagraph">
    <w:name w:val="List Paragraph"/>
    <w:basedOn w:val="Normal"/>
    <w:uiPriority w:val="99"/>
    <w:qFormat/>
    <w:rsid w:val="00F90477"/>
    <w:pPr>
      <w:ind w:left="708"/>
    </w:p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
    <w:unhideWhenUsed/>
    <w:qFormat/>
    <w:rsid w:val="001F6312"/>
    <w:pPr>
      <w:spacing w:after="0"/>
    </w:pPr>
    <w:rPr>
      <w:szCs w:val="20"/>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Car Char1,FA Fu Car Char1,FA Fu Car Car Char1,Ca Char"/>
    <w:basedOn w:val="DefaultParagraphFont"/>
    <w:link w:val="FootnoteText"/>
    <w:rsid w:val="001F6312"/>
    <w:rPr>
      <w:rFonts w:ascii="Verdana" w:eastAsia="Calibri" w:hAnsi="Verdana" w:cs="Times"/>
      <w:sz w:val="20"/>
      <w:szCs w:val="20"/>
      <w:lang w:val="es-ES_tradnl" w:eastAsia="es-ES"/>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locked/>
    <w:rsid w:val="00017CD7"/>
    <w:rPr>
      <w:rFonts w:ascii="Verdana" w:eastAsia="Calibri" w:hAnsi="Verdana" w:cs="Verdana"/>
      <w:sz w:val="16"/>
      <w:szCs w:val="16"/>
      <w:lang w:val="es-ES_tradnl" w:eastAsia="es-ES"/>
    </w:rPr>
  </w:style>
  <w:style w:type="paragraph" w:styleId="Header">
    <w:name w:val="header"/>
    <w:basedOn w:val="Normal"/>
    <w:link w:val="HeaderChar"/>
    <w:uiPriority w:val="99"/>
    <w:unhideWhenUsed/>
    <w:rsid w:val="00296EFE"/>
    <w:pPr>
      <w:tabs>
        <w:tab w:val="center" w:pos="4680"/>
        <w:tab w:val="right" w:pos="9360"/>
      </w:tabs>
      <w:spacing w:after="0"/>
    </w:pPr>
  </w:style>
  <w:style w:type="character" w:customStyle="1" w:styleId="HeaderChar">
    <w:name w:val="Header Char"/>
    <w:basedOn w:val="DefaultParagraphFont"/>
    <w:link w:val="Header"/>
    <w:uiPriority w:val="99"/>
    <w:rsid w:val="00296EFE"/>
    <w:rPr>
      <w:rFonts w:ascii="Verdana" w:eastAsia="Calibri" w:hAnsi="Verdana" w:cs="Times"/>
      <w:sz w:val="20"/>
      <w:szCs w:val="24"/>
      <w:lang w:val="es-ES_tradnl" w:eastAsia="es-ES"/>
    </w:rPr>
  </w:style>
  <w:style w:type="paragraph" w:styleId="Footer">
    <w:name w:val="footer"/>
    <w:basedOn w:val="Normal"/>
    <w:link w:val="FooterChar"/>
    <w:uiPriority w:val="99"/>
    <w:unhideWhenUsed/>
    <w:rsid w:val="00296EFE"/>
    <w:pPr>
      <w:tabs>
        <w:tab w:val="center" w:pos="4680"/>
        <w:tab w:val="right" w:pos="9360"/>
      </w:tabs>
      <w:spacing w:after="0"/>
    </w:pPr>
  </w:style>
  <w:style w:type="character" w:customStyle="1" w:styleId="FooterChar">
    <w:name w:val="Footer Char"/>
    <w:basedOn w:val="DefaultParagraphFont"/>
    <w:link w:val="Footer"/>
    <w:uiPriority w:val="99"/>
    <w:rsid w:val="00296EFE"/>
    <w:rPr>
      <w:rFonts w:ascii="Verdana" w:eastAsia="Calibri" w:hAnsi="Verdana" w:cs="Times"/>
      <w:sz w:val="20"/>
      <w:szCs w:val="24"/>
      <w:lang w:val="es-ES_tradnl" w:eastAsia="es-ES"/>
    </w:rPr>
  </w:style>
  <w:style w:type="paragraph" w:styleId="BalloonText">
    <w:name w:val="Balloon Text"/>
    <w:basedOn w:val="Normal"/>
    <w:link w:val="BalloonTextChar"/>
    <w:uiPriority w:val="99"/>
    <w:semiHidden/>
    <w:unhideWhenUsed/>
    <w:rsid w:val="00EC6F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70"/>
    <w:rPr>
      <w:rFonts w:ascii="Tahoma" w:eastAsia="Calibri" w:hAnsi="Tahoma" w:cs="Tahoma"/>
      <w:sz w:val="16"/>
      <w:szCs w:val="16"/>
      <w:lang w:val="es-ES_tradnl" w:eastAsia="es-ES"/>
    </w:rPr>
  </w:style>
  <w:style w:type="character" w:styleId="CommentReference">
    <w:name w:val="annotation reference"/>
    <w:basedOn w:val="DefaultParagraphFont"/>
    <w:uiPriority w:val="99"/>
    <w:semiHidden/>
    <w:unhideWhenUsed/>
    <w:rsid w:val="00810860"/>
    <w:rPr>
      <w:sz w:val="16"/>
      <w:szCs w:val="16"/>
    </w:rPr>
  </w:style>
  <w:style w:type="paragraph" w:styleId="CommentText">
    <w:name w:val="annotation text"/>
    <w:basedOn w:val="Normal"/>
    <w:link w:val="CommentTextChar"/>
    <w:uiPriority w:val="99"/>
    <w:semiHidden/>
    <w:unhideWhenUsed/>
    <w:rsid w:val="00810860"/>
    <w:rPr>
      <w:szCs w:val="20"/>
    </w:rPr>
  </w:style>
  <w:style w:type="character" w:customStyle="1" w:styleId="CommentTextChar">
    <w:name w:val="Comment Text Char"/>
    <w:basedOn w:val="DefaultParagraphFont"/>
    <w:link w:val="CommentText"/>
    <w:uiPriority w:val="99"/>
    <w:semiHidden/>
    <w:rsid w:val="00810860"/>
    <w:rPr>
      <w:rFonts w:ascii="Verdana" w:eastAsia="Calibri" w:hAnsi="Verdana" w:cs="Times"/>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810860"/>
    <w:rPr>
      <w:b/>
      <w:bCs/>
    </w:rPr>
  </w:style>
  <w:style w:type="character" w:customStyle="1" w:styleId="CommentSubjectChar">
    <w:name w:val="Comment Subject Char"/>
    <w:basedOn w:val="CommentTextChar"/>
    <w:link w:val="CommentSubject"/>
    <w:uiPriority w:val="99"/>
    <w:semiHidden/>
    <w:rsid w:val="00810860"/>
    <w:rPr>
      <w:rFonts w:ascii="Verdana" w:eastAsia="Calibri" w:hAnsi="Verdana" w:cs="Times"/>
      <w:b/>
      <w:bCs/>
      <w:sz w:val="20"/>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7C756D"/>
    <w:pPr>
      <w:spacing w:after="0"/>
    </w:pPr>
    <w:rPr>
      <w:rFonts w:asciiTheme="minorHAnsi" w:eastAsiaTheme="minorHAnsi" w:hAnsiTheme="minorHAnsi" w:cstheme="minorBidi"/>
      <w:sz w:val="22"/>
      <w:szCs w:val="22"/>
      <w:vertAlign w:val="superscript"/>
      <w:lang w:val="en-US" w:eastAsia="en-US"/>
    </w:rPr>
  </w:style>
  <w:style w:type="paragraph" w:customStyle="1" w:styleId="Footnotes">
    <w:name w:val="**. Footnotes"/>
    <w:basedOn w:val="FootnoteText"/>
    <w:link w:val="FootnotesChar"/>
    <w:autoRedefine/>
    <w:qFormat/>
    <w:rsid w:val="007C756D"/>
    <w:pPr>
      <w:tabs>
        <w:tab w:val="left" w:pos="0"/>
      </w:tabs>
      <w:spacing w:before="120" w:after="60"/>
    </w:pPr>
    <w:rPr>
      <w:rFonts w:eastAsia="Batang" w:cs="Palatino-Italic"/>
      <w:iCs/>
      <w:sz w:val="16"/>
      <w:szCs w:val="16"/>
      <w:lang w:val="es-ES" w:eastAsia="en-US"/>
    </w:rPr>
  </w:style>
  <w:style w:type="character" w:customStyle="1" w:styleId="FootnotesChar">
    <w:name w:val="**. Footnotes Char"/>
    <w:basedOn w:val="DefaultParagraphFont"/>
    <w:link w:val="Footnotes"/>
    <w:rsid w:val="007C756D"/>
    <w:rPr>
      <w:rFonts w:ascii="Verdana" w:eastAsia="Batang" w:hAnsi="Verdana" w:cs="Palatino-Italic"/>
      <w:iCs/>
      <w:sz w:val="16"/>
      <w:szCs w:val="16"/>
      <w:lang w:val="es-ES"/>
    </w:rPr>
  </w:style>
  <w:style w:type="character" w:styleId="LineNumber">
    <w:name w:val="line number"/>
    <w:basedOn w:val="DefaultParagraphFont"/>
    <w:uiPriority w:val="99"/>
    <w:semiHidden/>
    <w:unhideWhenUsed/>
    <w:rsid w:val="001A4E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7"/>
    <w:pPr>
      <w:spacing w:after="120" w:line="240" w:lineRule="auto"/>
      <w:jc w:val="both"/>
    </w:pPr>
    <w:rPr>
      <w:rFonts w:ascii="Verdana" w:eastAsia="Calibri" w:hAnsi="Verdana" w:cs="Times"/>
      <w:sz w:val="20"/>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link w:val="4GChar"/>
    <w:qFormat/>
    <w:rsid w:val="00F90477"/>
    <w:rPr>
      <w:vertAlign w:val="superscript"/>
    </w:rPr>
  </w:style>
  <w:style w:type="paragraph" w:customStyle="1" w:styleId="Listavistosa-nfasis11">
    <w:name w:val="Lista vistosa - Énfasis 11"/>
    <w:basedOn w:val="Normal"/>
    <w:uiPriority w:val="99"/>
    <w:qFormat/>
    <w:rsid w:val="00F90477"/>
    <w:pPr>
      <w:numPr>
        <w:ilvl w:val="1"/>
        <w:numId w:val="2"/>
      </w:numPr>
      <w:contextualSpacing/>
    </w:pPr>
  </w:style>
  <w:style w:type="paragraph" w:styleId="ListParagraph">
    <w:name w:val="List Paragraph"/>
    <w:basedOn w:val="Normal"/>
    <w:uiPriority w:val="99"/>
    <w:qFormat/>
    <w:rsid w:val="00F90477"/>
    <w:pPr>
      <w:ind w:left="708"/>
    </w:p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
    <w:unhideWhenUsed/>
    <w:qFormat/>
    <w:rsid w:val="001F6312"/>
    <w:pPr>
      <w:spacing w:after="0"/>
    </w:pPr>
    <w:rPr>
      <w:szCs w:val="20"/>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Car Char1,FA Fu Car Char1,FA Fu Car Car Char1,Ca Char"/>
    <w:basedOn w:val="DefaultParagraphFont"/>
    <w:link w:val="FootnoteText"/>
    <w:rsid w:val="001F6312"/>
    <w:rPr>
      <w:rFonts w:ascii="Verdana" w:eastAsia="Calibri" w:hAnsi="Verdana" w:cs="Times"/>
      <w:sz w:val="20"/>
      <w:szCs w:val="20"/>
      <w:lang w:val="es-ES_tradnl" w:eastAsia="es-ES"/>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locked/>
    <w:rsid w:val="00017CD7"/>
    <w:rPr>
      <w:rFonts w:ascii="Verdana" w:eastAsia="Calibri" w:hAnsi="Verdana" w:cs="Verdana"/>
      <w:sz w:val="16"/>
      <w:szCs w:val="16"/>
      <w:lang w:val="es-ES_tradnl" w:eastAsia="es-ES"/>
    </w:rPr>
  </w:style>
  <w:style w:type="paragraph" w:styleId="Header">
    <w:name w:val="header"/>
    <w:basedOn w:val="Normal"/>
    <w:link w:val="HeaderChar"/>
    <w:uiPriority w:val="99"/>
    <w:unhideWhenUsed/>
    <w:rsid w:val="00296EFE"/>
    <w:pPr>
      <w:tabs>
        <w:tab w:val="center" w:pos="4680"/>
        <w:tab w:val="right" w:pos="9360"/>
      </w:tabs>
      <w:spacing w:after="0"/>
    </w:pPr>
  </w:style>
  <w:style w:type="character" w:customStyle="1" w:styleId="HeaderChar">
    <w:name w:val="Header Char"/>
    <w:basedOn w:val="DefaultParagraphFont"/>
    <w:link w:val="Header"/>
    <w:uiPriority w:val="99"/>
    <w:rsid w:val="00296EFE"/>
    <w:rPr>
      <w:rFonts w:ascii="Verdana" w:eastAsia="Calibri" w:hAnsi="Verdana" w:cs="Times"/>
      <w:sz w:val="20"/>
      <w:szCs w:val="24"/>
      <w:lang w:val="es-ES_tradnl" w:eastAsia="es-ES"/>
    </w:rPr>
  </w:style>
  <w:style w:type="paragraph" w:styleId="Footer">
    <w:name w:val="footer"/>
    <w:basedOn w:val="Normal"/>
    <w:link w:val="FooterChar"/>
    <w:uiPriority w:val="99"/>
    <w:unhideWhenUsed/>
    <w:rsid w:val="00296EFE"/>
    <w:pPr>
      <w:tabs>
        <w:tab w:val="center" w:pos="4680"/>
        <w:tab w:val="right" w:pos="9360"/>
      </w:tabs>
      <w:spacing w:after="0"/>
    </w:pPr>
  </w:style>
  <w:style w:type="character" w:customStyle="1" w:styleId="FooterChar">
    <w:name w:val="Footer Char"/>
    <w:basedOn w:val="DefaultParagraphFont"/>
    <w:link w:val="Footer"/>
    <w:uiPriority w:val="99"/>
    <w:rsid w:val="00296EFE"/>
    <w:rPr>
      <w:rFonts w:ascii="Verdana" w:eastAsia="Calibri" w:hAnsi="Verdana" w:cs="Times"/>
      <w:sz w:val="20"/>
      <w:szCs w:val="24"/>
      <w:lang w:val="es-ES_tradnl" w:eastAsia="es-ES"/>
    </w:rPr>
  </w:style>
  <w:style w:type="paragraph" w:styleId="BalloonText">
    <w:name w:val="Balloon Text"/>
    <w:basedOn w:val="Normal"/>
    <w:link w:val="BalloonTextChar"/>
    <w:uiPriority w:val="99"/>
    <w:semiHidden/>
    <w:unhideWhenUsed/>
    <w:rsid w:val="00EC6F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70"/>
    <w:rPr>
      <w:rFonts w:ascii="Tahoma" w:eastAsia="Calibri" w:hAnsi="Tahoma" w:cs="Tahoma"/>
      <w:sz w:val="16"/>
      <w:szCs w:val="16"/>
      <w:lang w:val="es-ES_tradnl" w:eastAsia="es-ES"/>
    </w:rPr>
  </w:style>
  <w:style w:type="character" w:styleId="CommentReference">
    <w:name w:val="annotation reference"/>
    <w:basedOn w:val="DefaultParagraphFont"/>
    <w:uiPriority w:val="99"/>
    <w:semiHidden/>
    <w:unhideWhenUsed/>
    <w:rsid w:val="00810860"/>
    <w:rPr>
      <w:sz w:val="16"/>
      <w:szCs w:val="16"/>
    </w:rPr>
  </w:style>
  <w:style w:type="paragraph" w:styleId="CommentText">
    <w:name w:val="annotation text"/>
    <w:basedOn w:val="Normal"/>
    <w:link w:val="CommentTextChar"/>
    <w:uiPriority w:val="99"/>
    <w:semiHidden/>
    <w:unhideWhenUsed/>
    <w:rsid w:val="00810860"/>
    <w:rPr>
      <w:szCs w:val="20"/>
    </w:rPr>
  </w:style>
  <w:style w:type="character" w:customStyle="1" w:styleId="CommentTextChar">
    <w:name w:val="Comment Text Char"/>
    <w:basedOn w:val="DefaultParagraphFont"/>
    <w:link w:val="CommentText"/>
    <w:uiPriority w:val="99"/>
    <w:semiHidden/>
    <w:rsid w:val="00810860"/>
    <w:rPr>
      <w:rFonts w:ascii="Verdana" w:eastAsia="Calibri" w:hAnsi="Verdana" w:cs="Times"/>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810860"/>
    <w:rPr>
      <w:b/>
      <w:bCs/>
    </w:rPr>
  </w:style>
  <w:style w:type="character" w:customStyle="1" w:styleId="CommentSubjectChar">
    <w:name w:val="Comment Subject Char"/>
    <w:basedOn w:val="CommentTextChar"/>
    <w:link w:val="CommentSubject"/>
    <w:uiPriority w:val="99"/>
    <w:semiHidden/>
    <w:rsid w:val="00810860"/>
    <w:rPr>
      <w:rFonts w:ascii="Verdana" w:eastAsia="Calibri" w:hAnsi="Verdana" w:cs="Times"/>
      <w:b/>
      <w:bCs/>
      <w:sz w:val="20"/>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7C756D"/>
    <w:pPr>
      <w:spacing w:after="0"/>
    </w:pPr>
    <w:rPr>
      <w:rFonts w:asciiTheme="minorHAnsi" w:eastAsiaTheme="minorHAnsi" w:hAnsiTheme="minorHAnsi" w:cstheme="minorBidi"/>
      <w:sz w:val="22"/>
      <w:szCs w:val="22"/>
      <w:vertAlign w:val="superscript"/>
      <w:lang w:val="en-US" w:eastAsia="en-US"/>
    </w:rPr>
  </w:style>
  <w:style w:type="paragraph" w:customStyle="1" w:styleId="Footnotes">
    <w:name w:val="**. Footnotes"/>
    <w:basedOn w:val="FootnoteText"/>
    <w:link w:val="FootnotesChar"/>
    <w:autoRedefine/>
    <w:qFormat/>
    <w:rsid w:val="007C756D"/>
    <w:pPr>
      <w:tabs>
        <w:tab w:val="left" w:pos="0"/>
      </w:tabs>
      <w:spacing w:before="120" w:after="60"/>
    </w:pPr>
    <w:rPr>
      <w:rFonts w:eastAsia="Batang" w:cs="Palatino-Italic"/>
      <w:iCs/>
      <w:sz w:val="16"/>
      <w:szCs w:val="16"/>
      <w:lang w:val="es-ES" w:eastAsia="en-US"/>
    </w:rPr>
  </w:style>
  <w:style w:type="character" w:customStyle="1" w:styleId="FootnotesChar">
    <w:name w:val="**. Footnotes Char"/>
    <w:basedOn w:val="DefaultParagraphFont"/>
    <w:link w:val="Footnotes"/>
    <w:rsid w:val="007C756D"/>
    <w:rPr>
      <w:rFonts w:ascii="Verdana" w:eastAsia="Batang" w:hAnsi="Verdana" w:cs="Palatino-Italic"/>
      <w:iCs/>
      <w:sz w:val="16"/>
      <w:szCs w:val="16"/>
      <w:lang w:val="es-ES"/>
    </w:rPr>
  </w:style>
  <w:style w:type="character" w:styleId="LineNumber">
    <w:name w:val="line number"/>
    <w:basedOn w:val="DefaultParagraphFont"/>
    <w:uiPriority w:val="99"/>
    <w:semiHidden/>
    <w:unhideWhenUsed/>
    <w:rsid w:val="001A4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2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65DE0E31EAF2439D287EEF21B08142" ma:contentTypeVersion="0" ma:contentTypeDescription="Create a new document." ma:contentTypeScope="" ma:versionID="01638f88f95378e84390226ee62acf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65B83-C96C-4C3B-8ADB-3E98A4144F8A}">
  <ds:schemaRefs>
    <ds:schemaRef ds:uri="http://schemas.microsoft.com/office/2006/metadata/properties"/>
  </ds:schemaRefs>
</ds:datastoreItem>
</file>

<file path=customXml/itemProps2.xml><?xml version="1.0" encoding="utf-8"?>
<ds:datastoreItem xmlns:ds="http://schemas.openxmlformats.org/officeDocument/2006/customXml" ds:itemID="{27B864BE-7648-4645-9FDD-0DF2DB737D9B}">
  <ds:schemaRefs>
    <ds:schemaRef ds:uri="http://schemas.microsoft.com/sharepoint/v3/contenttype/forms"/>
  </ds:schemaRefs>
</ds:datastoreItem>
</file>

<file path=customXml/itemProps3.xml><?xml version="1.0" encoding="utf-8"?>
<ds:datastoreItem xmlns:ds="http://schemas.openxmlformats.org/officeDocument/2006/customXml" ds:itemID="{2B608135-DEA2-41BB-95FD-FBFE073F9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0A82618-1114-4FFD-8B34-39E80ED8F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1305</Words>
  <Characters>7180</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Francella Hernandez</cp:lastModifiedBy>
  <cp:revision>6</cp:revision>
  <cp:lastPrinted>2017-09-05T19:50:00Z</cp:lastPrinted>
  <dcterms:created xsi:type="dcterms:W3CDTF">2017-09-05T17:45:00Z</dcterms:created>
  <dcterms:modified xsi:type="dcterms:W3CDTF">2017-09-05T19:50:00Z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0x0101009C65DE0E31EAF2439D287EEF21B08142</vt:lpwstr>
  </property>
</Properties>
</file>