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3027F" w14:textId="77777777" w:rsidR="00666DEB" w:rsidRDefault="00666DEB" w:rsidP="001F1F9E">
      <w:pPr>
        <w:tabs>
          <w:tab w:val="left" w:pos="567"/>
        </w:tabs>
        <w:spacing w:after="0" w:line="240" w:lineRule="auto"/>
        <w:jc w:val="center"/>
        <w:rPr>
          <w:rFonts w:ascii="Verdana" w:eastAsia="Calibri" w:hAnsi="Verdana" w:cs="Calibri"/>
          <w:b/>
          <w:sz w:val="20"/>
          <w:szCs w:val="20"/>
          <w:highlight w:val="yellow"/>
          <w:lang w:val="es-CR"/>
        </w:rPr>
      </w:pPr>
      <w:bookmarkStart w:id="0" w:name="_GoBack"/>
      <w:bookmarkEnd w:id="0"/>
    </w:p>
    <w:p w14:paraId="7AA91612" w14:textId="77777777" w:rsidR="00A94C47" w:rsidRDefault="00A94C47" w:rsidP="001F1F9E">
      <w:pPr>
        <w:tabs>
          <w:tab w:val="left" w:pos="567"/>
        </w:tabs>
        <w:spacing w:after="0" w:line="240" w:lineRule="auto"/>
        <w:jc w:val="center"/>
        <w:rPr>
          <w:rFonts w:ascii="Verdana" w:eastAsia="Calibri" w:hAnsi="Verdana" w:cs="Calibri"/>
          <w:b/>
          <w:sz w:val="20"/>
          <w:szCs w:val="20"/>
          <w:highlight w:val="yellow"/>
          <w:lang w:val="es-CR"/>
        </w:rPr>
      </w:pPr>
    </w:p>
    <w:p w14:paraId="43C0A61A" w14:textId="77777777" w:rsidR="00A94C47" w:rsidRDefault="00A94C47" w:rsidP="001F1F9E">
      <w:pPr>
        <w:tabs>
          <w:tab w:val="left" w:pos="567"/>
        </w:tabs>
        <w:spacing w:after="0" w:line="240" w:lineRule="auto"/>
        <w:jc w:val="center"/>
        <w:rPr>
          <w:rFonts w:ascii="Verdana" w:eastAsia="Calibri" w:hAnsi="Verdana" w:cs="Calibri"/>
          <w:b/>
          <w:sz w:val="20"/>
          <w:szCs w:val="20"/>
          <w:highlight w:val="yellow"/>
          <w:lang w:val="es-CR"/>
        </w:rPr>
      </w:pPr>
    </w:p>
    <w:p w14:paraId="50B10D22" w14:textId="77777777" w:rsidR="00A94C47" w:rsidRDefault="00A94C47" w:rsidP="001F1F9E">
      <w:pPr>
        <w:tabs>
          <w:tab w:val="left" w:pos="567"/>
        </w:tabs>
        <w:spacing w:after="0" w:line="240" w:lineRule="auto"/>
        <w:jc w:val="center"/>
        <w:rPr>
          <w:rFonts w:ascii="Verdana" w:eastAsia="Calibri" w:hAnsi="Verdana" w:cs="Calibri"/>
          <w:b/>
          <w:sz w:val="20"/>
          <w:szCs w:val="20"/>
          <w:highlight w:val="yellow"/>
          <w:lang w:val="es-CR"/>
        </w:rPr>
      </w:pPr>
    </w:p>
    <w:p w14:paraId="3C334128" w14:textId="77777777" w:rsidR="001F1F9E" w:rsidRPr="00203B25" w:rsidRDefault="001F1F9E" w:rsidP="001F1F9E">
      <w:pPr>
        <w:tabs>
          <w:tab w:val="left" w:pos="567"/>
        </w:tabs>
        <w:spacing w:after="0" w:line="240" w:lineRule="auto"/>
        <w:jc w:val="center"/>
        <w:rPr>
          <w:rFonts w:ascii="Verdana" w:eastAsia="Calibri" w:hAnsi="Verdana" w:cs="Calibri"/>
          <w:b/>
          <w:sz w:val="20"/>
          <w:szCs w:val="20"/>
          <w:lang w:val="es-CR"/>
        </w:rPr>
      </w:pPr>
      <w:r w:rsidRPr="00203B25">
        <w:rPr>
          <w:rFonts w:ascii="Verdana" w:eastAsia="Calibri" w:hAnsi="Verdana" w:cs="Calibri"/>
          <w:b/>
          <w:sz w:val="20"/>
          <w:szCs w:val="20"/>
          <w:lang w:val="es-CR"/>
        </w:rPr>
        <w:t>RESOLUCIÓN DEL PRESIDENTE DE LA</w:t>
      </w:r>
    </w:p>
    <w:p w14:paraId="3C334129" w14:textId="77777777" w:rsidR="001F1F9E" w:rsidRPr="00850F42" w:rsidRDefault="001F1F9E" w:rsidP="001F1F9E">
      <w:pPr>
        <w:tabs>
          <w:tab w:val="left" w:pos="567"/>
        </w:tabs>
        <w:spacing w:after="0" w:line="240" w:lineRule="auto"/>
        <w:jc w:val="center"/>
        <w:rPr>
          <w:rFonts w:ascii="Verdana" w:eastAsia="Calibri" w:hAnsi="Verdana" w:cs="Calibri"/>
          <w:b/>
          <w:sz w:val="20"/>
          <w:szCs w:val="20"/>
          <w:lang w:val="es-CR"/>
        </w:rPr>
      </w:pPr>
      <w:r w:rsidRPr="00203B25">
        <w:rPr>
          <w:rFonts w:ascii="Verdana" w:eastAsia="Calibri" w:hAnsi="Verdana" w:cs="Calibri"/>
          <w:b/>
          <w:sz w:val="20"/>
          <w:szCs w:val="20"/>
          <w:lang w:val="es-CR"/>
        </w:rPr>
        <w:t>CORTE INTERAMERICANA DE DERECHOS HUMANOS</w:t>
      </w:r>
    </w:p>
    <w:p w14:paraId="3C33412A" w14:textId="77777777" w:rsidR="001F1F9E" w:rsidRPr="00850F42" w:rsidRDefault="001F1F9E" w:rsidP="001F1F9E">
      <w:pPr>
        <w:tabs>
          <w:tab w:val="left" w:pos="567"/>
        </w:tabs>
        <w:spacing w:after="0" w:line="240" w:lineRule="auto"/>
        <w:jc w:val="center"/>
        <w:rPr>
          <w:rFonts w:ascii="Verdana" w:eastAsia="Calibri" w:hAnsi="Verdana" w:cs="Calibri"/>
          <w:b/>
          <w:sz w:val="20"/>
          <w:szCs w:val="20"/>
          <w:lang w:val="es-CR"/>
        </w:rPr>
      </w:pPr>
    </w:p>
    <w:p w14:paraId="3C33412B" w14:textId="123A2A13" w:rsidR="001F1F9E" w:rsidRPr="00850F42" w:rsidRDefault="001F1F9E" w:rsidP="001F1F9E">
      <w:pPr>
        <w:tabs>
          <w:tab w:val="left" w:pos="567"/>
        </w:tabs>
        <w:spacing w:after="0" w:line="240" w:lineRule="auto"/>
        <w:jc w:val="center"/>
        <w:rPr>
          <w:rFonts w:ascii="Verdana" w:eastAsia="Calibri" w:hAnsi="Verdana" w:cs="Calibri"/>
          <w:b/>
          <w:sz w:val="20"/>
          <w:szCs w:val="20"/>
          <w:lang w:val="es-CR"/>
        </w:rPr>
      </w:pPr>
      <w:r>
        <w:rPr>
          <w:rFonts w:ascii="Verdana" w:eastAsia="Calibri" w:hAnsi="Verdana" w:cs="Calibri"/>
          <w:b/>
          <w:sz w:val="20"/>
          <w:szCs w:val="20"/>
          <w:lang w:val="es-CR"/>
        </w:rPr>
        <w:t xml:space="preserve">DE </w:t>
      </w:r>
      <w:r w:rsidR="00F94748">
        <w:rPr>
          <w:rFonts w:ascii="Verdana" w:eastAsia="Calibri" w:hAnsi="Verdana" w:cs="Calibri"/>
          <w:b/>
          <w:sz w:val="20"/>
          <w:szCs w:val="20"/>
          <w:lang w:val="es-CR"/>
        </w:rPr>
        <w:t>21</w:t>
      </w:r>
      <w:r w:rsidRPr="00850F42">
        <w:rPr>
          <w:rFonts w:ascii="Verdana" w:eastAsia="Calibri" w:hAnsi="Verdana" w:cs="Calibri"/>
          <w:b/>
          <w:sz w:val="20"/>
          <w:szCs w:val="20"/>
          <w:lang w:val="es-CR"/>
        </w:rPr>
        <w:t xml:space="preserve"> DE </w:t>
      </w:r>
      <w:r w:rsidR="00C95DA6">
        <w:rPr>
          <w:rFonts w:ascii="Verdana" w:eastAsia="Calibri" w:hAnsi="Verdana" w:cs="Calibri"/>
          <w:b/>
          <w:sz w:val="20"/>
          <w:szCs w:val="20"/>
          <w:lang w:val="es-CR"/>
        </w:rPr>
        <w:t xml:space="preserve">MARZO </w:t>
      </w:r>
      <w:r>
        <w:rPr>
          <w:rFonts w:ascii="Verdana" w:eastAsia="Calibri" w:hAnsi="Verdana" w:cs="Calibri"/>
          <w:b/>
          <w:sz w:val="20"/>
          <w:szCs w:val="20"/>
          <w:lang w:val="es-CR"/>
        </w:rPr>
        <w:t>DE 2019</w:t>
      </w:r>
    </w:p>
    <w:p w14:paraId="3C33412C" w14:textId="77777777" w:rsidR="001F1F9E" w:rsidRPr="00850F42" w:rsidRDefault="001F1F9E" w:rsidP="001F1F9E">
      <w:pPr>
        <w:tabs>
          <w:tab w:val="left" w:pos="567"/>
        </w:tabs>
        <w:spacing w:after="0" w:line="240" w:lineRule="auto"/>
        <w:jc w:val="center"/>
        <w:rPr>
          <w:rFonts w:ascii="Verdana" w:eastAsia="Calibri" w:hAnsi="Verdana" w:cs="Calibri"/>
          <w:b/>
          <w:sz w:val="20"/>
          <w:szCs w:val="20"/>
          <w:lang w:val="es-CR"/>
        </w:rPr>
      </w:pPr>
    </w:p>
    <w:p w14:paraId="3C33412E" w14:textId="06C70663" w:rsidR="001F1F9E" w:rsidRPr="00850F42" w:rsidRDefault="001F1F9E" w:rsidP="001F1F9E">
      <w:pPr>
        <w:tabs>
          <w:tab w:val="left" w:pos="567"/>
        </w:tabs>
        <w:spacing w:after="0" w:line="240" w:lineRule="auto"/>
        <w:jc w:val="center"/>
        <w:rPr>
          <w:rFonts w:ascii="Verdana" w:eastAsia="Calibri" w:hAnsi="Verdana" w:cs="Calibri"/>
          <w:b/>
          <w:sz w:val="20"/>
          <w:szCs w:val="20"/>
          <w:lang w:val="es-CR"/>
        </w:rPr>
      </w:pPr>
      <w:r w:rsidRPr="00850F42">
        <w:rPr>
          <w:rFonts w:ascii="Verdana" w:eastAsia="Calibri" w:hAnsi="Verdana" w:cs="Calibri"/>
          <w:b/>
          <w:sz w:val="20"/>
          <w:szCs w:val="20"/>
          <w:lang w:val="es-CR"/>
        </w:rPr>
        <w:t xml:space="preserve">CASO </w:t>
      </w:r>
      <w:r>
        <w:rPr>
          <w:rFonts w:ascii="Verdana" w:eastAsia="Calibri" w:hAnsi="Verdana" w:cs="Calibri"/>
          <w:b/>
          <w:sz w:val="20"/>
          <w:szCs w:val="20"/>
          <w:lang w:val="es-CR"/>
        </w:rPr>
        <w:t>ANCEJUB-SUNAT</w:t>
      </w:r>
      <w:r w:rsidRPr="00850F42">
        <w:rPr>
          <w:rFonts w:ascii="Verdana" w:eastAsia="Calibri" w:hAnsi="Verdana" w:cs="Calibri"/>
          <w:b/>
          <w:sz w:val="20"/>
          <w:szCs w:val="20"/>
          <w:lang w:val="es-CR"/>
        </w:rPr>
        <w:t xml:space="preserve"> </w:t>
      </w:r>
      <w:r w:rsidRPr="00850F42">
        <w:rPr>
          <w:rFonts w:ascii="Verdana" w:eastAsia="Calibri" w:hAnsi="Verdana" w:cs="Calibri"/>
          <w:b/>
          <w:i/>
          <w:sz w:val="20"/>
          <w:szCs w:val="20"/>
          <w:lang w:val="es-CR"/>
        </w:rPr>
        <w:t>V</w:t>
      </w:r>
      <w:r w:rsidR="002D4B52">
        <w:rPr>
          <w:rFonts w:ascii="Verdana" w:eastAsia="Calibri" w:hAnsi="Verdana" w:cs="Calibri"/>
          <w:b/>
          <w:i/>
          <w:sz w:val="20"/>
          <w:szCs w:val="20"/>
          <w:lang w:val="es-CR"/>
        </w:rPr>
        <w:t>s</w:t>
      </w:r>
      <w:r w:rsidRPr="00850F42">
        <w:rPr>
          <w:rFonts w:ascii="Verdana" w:eastAsia="Calibri" w:hAnsi="Verdana" w:cs="Calibri"/>
          <w:b/>
          <w:i/>
          <w:sz w:val="20"/>
          <w:szCs w:val="20"/>
          <w:lang w:val="es-CR"/>
        </w:rPr>
        <w:t>.</w:t>
      </w:r>
      <w:r w:rsidRPr="00850F42">
        <w:rPr>
          <w:rFonts w:ascii="Verdana" w:eastAsia="Calibri" w:hAnsi="Verdana" w:cs="Calibri"/>
          <w:b/>
          <w:sz w:val="20"/>
          <w:szCs w:val="20"/>
          <w:lang w:val="es-CR"/>
        </w:rPr>
        <w:t xml:space="preserve"> </w:t>
      </w:r>
      <w:r>
        <w:rPr>
          <w:rFonts w:ascii="Verdana" w:eastAsia="Calibri" w:hAnsi="Verdana" w:cs="Calibri"/>
          <w:b/>
          <w:sz w:val="20"/>
          <w:szCs w:val="20"/>
          <w:lang w:val="es-CR"/>
        </w:rPr>
        <w:t>PERÚ</w:t>
      </w:r>
    </w:p>
    <w:p w14:paraId="3C33412F" w14:textId="77777777" w:rsidR="001F1F9E" w:rsidRPr="00850F42" w:rsidRDefault="001F1F9E" w:rsidP="001F1F9E">
      <w:pPr>
        <w:tabs>
          <w:tab w:val="left" w:pos="567"/>
        </w:tabs>
        <w:spacing w:after="0" w:line="240" w:lineRule="auto"/>
        <w:rPr>
          <w:rFonts w:ascii="Verdana" w:eastAsia="Calibri" w:hAnsi="Verdana" w:cs="Calibri"/>
          <w:b/>
          <w:sz w:val="20"/>
          <w:szCs w:val="20"/>
          <w:lang w:val="es-CR"/>
        </w:rPr>
      </w:pPr>
    </w:p>
    <w:p w14:paraId="3C334130" w14:textId="77777777" w:rsidR="001F1F9E" w:rsidRPr="00850F42" w:rsidRDefault="001F1F9E" w:rsidP="00F94748">
      <w:pPr>
        <w:tabs>
          <w:tab w:val="left" w:pos="567"/>
        </w:tabs>
        <w:spacing w:after="0" w:line="240" w:lineRule="auto"/>
        <w:jc w:val="center"/>
        <w:rPr>
          <w:rFonts w:ascii="Verdana" w:eastAsia="Calibri" w:hAnsi="Verdana" w:cs="Calibri"/>
          <w:b/>
          <w:sz w:val="20"/>
          <w:szCs w:val="20"/>
          <w:lang w:val="es-CR"/>
        </w:rPr>
      </w:pPr>
      <w:r w:rsidRPr="00850F42">
        <w:rPr>
          <w:rFonts w:ascii="Verdana" w:eastAsia="Calibri" w:hAnsi="Verdana" w:cs="Calibri"/>
          <w:b/>
          <w:sz w:val="20"/>
          <w:szCs w:val="20"/>
          <w:lang w:val="es-CR"/>
        </w:rPr>
        <w:t>CONVOCATORIA A AUDIENCIA</w:t>
      </w:r>
    </w:p>
    <w:p w14:paraId="3C334133" w14:textId="1C4CAF93" w:rsidR="00983938" w:rsidRPr="00850F42" w:rsidRDefault="0049686A" w:rsidP="00F94748">
      <w:pPr>
        <w:tabs>
          <w:tab w:val="left" w:pos="567"/>
        </w:tabs>
        <w:spacing w:after="0" w:line="240" w:lineRule="auto"/>
        <w:rPr>
          <w:rFonts w:ascii="Verdana" w:eastAsia="Calibri" w:hAnsi="Verdana" w:cs="Calibri"/>
          <w:b/>
          <w:sz w:val="20"/>
          <w:szCs w:val="20"/>
          <w:lang w:val="es-CR"/>
        </w:rPr>
      </w:pPr>
      <w:r>
        <w:rPr>
          <w:rFonts w:ascii="Verdana" w:eastAsia="Calibri" w:hAnsi="Verdana" w:cs="Calibri"/>
          <w:b/>
          <w:sz w:val="20"/>
          <w:szCs w:val="20"/>
          <w:lang w:val="es-CR"/>
        </w:rPr>
        <w:t>V</w:t>
      </w:r>
      <w:r w:rsidR="00983938" w:rsidRPr="00850F42">
        <w:rPr>
          <w:rFonts w:ascii="Verdana" w:eastAsia="Calibri" w:hAnsi="Verdana" w:cs="Calibri"/>
          <w:b/>
          <w:sz w:val="20"/>
          <w:szCs w:val="20"/>
          <w:lang w:val="es-CR"/>
        </w:rPr>
        <w:t>ISTO:</w:t>
      </w:r>
    </w:p>
    <w:p w14:paraId="3C334134" w14:textId="77777777" w:rsidR="00983938" w:rsidRPr="00850F42" w:rsidRDefault="00983938" w:rsidP="00F94748">
      <w:pPr>
        <w:tabs>
          <w:tab w:val="left" w:pos="567"/>
        </w:tabs>
        <w:spacing w:after="0" w:line="240" w:lineRule="auto"/>
        <w:rPr>
          <w:rFonts w:ascii="Verdana" w:eastAsia="Calibri" w:hAnsi="Verdana" w:cs="Calibri"/>
          <w:b/>
          <w:sz w:val="20"/>
          <w:szCs w:val="20"/>
          <w:lang w:val="es-CR"/>
        </w:rPr>
      </w:pPr>
    </w:p>
    <w:p w14:paraId="3C334136" w14:textId="2A1C8AD7" w:rsidR="00FE7AC1" w:rsidRPr="000C4941" w:rsidRDefault="00983938" w:rsidP="00F94748">
      <w:pPr>
        <w:pStyle w:val="Prrafodelista"/>
        <w:widowControl w:val="0"/>
        <w:numPr>
          <w:ilvl w:val="0"/>
          <w:numId w:val="1"/>
        </w:numPr>
        <w:tabs>
          <w:tab w:val="left" w:pos="567"/>
        </w:tabs>
        <w:autoSpaceDE w:val="0"/>
        <w:autoSpaceDN w:val="0"/>
        <w:adjustRightInd w:val="0"/>
        <w:spacing w:after="0"/>
        <w:ind w:left="0" w:right="22" w:firstLine="0"/>
        <w:contextualSpacing w:val="0"/>
        <w:rPr>
          <w:szCs w:val="20"/>
          <w:lang w:val="es-CR"/>
        </w:rPr>
      </w:pPr>
      <w:bookmarkStart w:id="1" w:name="_Ref393297742"/>
      <w:bookmarkStart w:id="2" w:name="_Ref352676460"/>
      <w:r w:rsidRPr="000C4941">
        <w:rPr>
          <w:rFonts w:cs="Verdana"/>
          <w:szCs w:val="20"/>
          <w:lang w:val="es-CR"/>
        </w:rPr>
        <w:t>El escrito de sometimiento del caso</w:t>
      </w:r>
      <w:r w:rsidR="003D7FC8" w:rsidRPr="000C4941">
        <w:rPr>
          <w:rFonts w:cs="Verdana"/>
          <w:szCs w:val="20"/>
          <w:lang w:val="es-CR"/>
        </w:rPr>
        <w:t xml:space="preserve"> </w:t>
      </w:r>
      <w:r w:rsidRPr="000C4941">
        <w:rPr>
          <w:rFonts w:cs="Verdana"/>
          <w:szCs w:val="20"/>
          <w:lang w:val="es-CR"/>
        </w:rPr>
        <w:t>y el Informe de Fondo de la Comisión Interamericana de Derechos Humanos</w:t>
      </w:r>
      <w:r w:rsidR="003D7FC8" w:rsidRPr="000C4941">
        <w:rPr>
          <w:rFonts w:cs="Verdana"/>
          <w:szCs w:val="20"/>
          <w:lang w:val="es-CR"/>
        </w:rPr>
        <w:t xml:space="preserve"> </w:t>
      </w:r>
      <w:r w:rsidRPr="000C4941">
        <w:rPr>
          <w:rFonts w:cs="Verdana"/>
          <w:szCs w:val="20"/>
          <w:lang w:val="es-CR"/>
        </w:rPr>
        <w:t>(en adelante “la Comisión Interamericana” o “la Comisión”)</w:t>
      </w:r>
      <w:bookmarkEnd w:id="1"/>
      <w:r w:rsidRPr="000C4941">
        <w:rPr>
          <w:rFonts w:cs="Verdana"/>
          <w:szCs w:val="20"/>
          <w:lang w:val="es-CR"/>
        </w:rPr>
        <w:t xml:space="preserve">; </w:t>
      </w:r>
      <w:bookmarkStart w:id="3" w:name="_Ref393297751"/>
      <w:bookmarkStart w:id="4" w:name="_Ref351983508"/>
      <w:bookmarkEnd w:id="2"/>
      <w:r w:rsidRPr="000C4941">
        <w:rPr>
          <w:rFonts w:cs="Verdana"/>
          <w:szCs w:val="20"/>
          <w:lang w:val="es-CR"/>
        </w:rPr>
        <w:t>el escrito de solicitudes, argumentos y pruebas (en adelante, el “escrito de solicitudes y argumentos” o “ESAP”) de los representantes de las presuntas víctimas (en adelante “los representantes”)</w:t>
      </w:r>
      <w:r w:rsidR="00F94748">
        <w:rPr>
          <w:rFonts w:cs="Verdana"/>
          <w:szCs w:val="20"/>
          <w:lang w:val="es-CR"/>
        </w:rPr>
        <w:t>,</w:t>
      </w:r>
      <w:r w:rsidR="000C4941" w:rsidRPr="000C4941">
        <w:rPr>
          <w:rFonts w:cs="Verdana"/>
          <w:szCs w:val="20"/>
          <w:lang w:val="es-CR"/>
        </w:rPr>
        <w:t xml:space="preserve"> </w:t>
      </w:r>
      <w:r w:rsidRPr="000C4941">
        <w:rPr>
          <w:rFonts w:cs="Verdana"/>
          <w:szCs w:val="20"/>
          <w:lang w:val="es-CR"/>
        </w:rPr>
        <w:t xml:space="preserve">y </w:t>
      </w:r>
      <w:bookmarkStart w:id="5" w:name="_Ref352676532"/>
      <w:bookmarkEnd w:id="3"/>
      <w:bookmarkEnd w:id="4"/>
      <w:r w:rsidRPr="000C4941">
        <w:rPr>
          <w:rFonts w:cs="Verdana"/>
          <w:szCs w:val="20"/>
          <w:lang w:val="es-CR"/>
        </w:rPr>
        <w:t>el escrito de contestación al sometimiento del caso y al escrito de solicitudes y argumentos</w:t>
      </w:r>
      <w:r w:rsidR="00AD2963" w:rsidRPr="000C4941">
        <w:rPr>
          <w:rFonts w:cs="Verdana"/>
          <w:color w:val="FF0000"/>
          <w:szCs w:val="20"/>
          <w:lang w:val="es-CR"/>
        </w:rPr>
        <w:t xml:space="preserve"> </w:t>
      </w:r>
      <w:r w:rsidRPr="000C4941">
        <w:rPr>
          <w:rFonts w:cs="Verdana"/>
          <w:szCs w:val="20"/>
          <w:lang w:val="es-CR"/>
        </w:rPr>
        <w:t xml:space="preserve">(en adelante “escrito de contestación”) del Estado </w:t>
      </w:r>
      <w:bookmarkEnd w:id="5"/>
      <w:r w:rsidRPr="000C4941">
        <w:rPr>
          <w:rFonts w:cs="Verdana"/>
          <w:szCs w:val="20"/>
        </w:rPr>
        <w:t>Peruano (en adelante “Perú”, "el Estado peruano” o “el Estado”)</w:t>
      </w:r>
      <w:r w:rsidR="000C4941">
        <w:rPr>
          <w:rFonts w:cs="Verdana"/>
          <w:szCs w:val="20"/>
        </w:rPr>
        <w:t>.</w:t>
      </w:r>
    </w:p>
    <w:p w14:paraId="1E9B52CF" w14:textId="77777777" w:rsidR="000C4941" w:rsidRPr="000C4941" w:rsidRDefault="000C4941" w:rsidP="00F94748">
      <w:pPr>
        <w:pStyle w:val="Prrafodelista"/>
        <w:widowControl w:val="0"/>
        <w:tabs>
          <w:tab w:val="left" w:pos="567"/>
        </w:tabs>
        <w:autoSpaceDE w:val="0"/>
        <w:autoSpaceDN w:val="0"/>
        <w:adjustRightInd w:val="0"/>
        <w:spacing w:after="0"/>
        <w:ind w:left="0" w:right="22"/>
        <w:contextualSpacing w:val="0"/>
        <w:rPr>
          <w:szCs w:val="20"/>
          <w:lang w:val="es-CR"/>
        </w:rPr>
      </w:pPr>
    </w:p>
    <w:p w14:paraId="3C334139" w14:textId="42C7248E" w:rsidR="00FE7AC1" w:rsidRPr="00666DEB" w:rsidRDefault="00FE7AC1" w:rsidP="00F94748">
      <w:pPr>
        <w:pStyle w:val="Prrafodelista"/>
        <w:widowControl w:val="0"/>
        <w:numPr>
          <w:ilvl w:val="0"/>
          <w:numId w:val="1"/>
        </w:numPr>
        <w:tabs>
          <w:tab w:val="left" w:pos="567"/>
        </w:tabs>
        <w:autoSpaceDE w:val="0"/>
        <w:autoSpaceDN w:val="0"/>
        <w:adjustRightInd w:val="0"/>
        <w:spacing w:after="0"/>
        <w:ind w:left="0" w:right="22" w:firstLine="0"/>
        <w:contextualSpacing w:val="0"/>
        <w:rPr>
          <w:szCs w:val="20"/>
          <w:lang w:val="es-CR"/>
        </w:rPr>
      </w:pPr>
      <w:r w:rsidRPr="00666DEB">
        <w:rPr>
          <w:szCs w:val="20"/>
          <w:lang w:val="es-CR"/>
        </w:rPr>
        <w:t xml:space="preserve">El escrito </w:t>
      </w:r>
      <w:r w:rsidR="00746EDC" w:rsidRPr="00666DEB">
        <w:rPr>
          <w:szCs w:val="20"/>
          <w:lang w:val="es-CR"/>
        </w:rPr>
        <w:t>de</w:t>
      </w:r>
      <w:r w:rsidR="00AA2E4E" w:rsidRPr="00666DEB">
        <w:rPr>
          <w:szCs w:val="20"/>
          <w:lang w:val="es-CR"/>
        </w:rPr>
        <w:t xml:space="preserve"> 27 de </w:t>
      </w:r>
      <w:r w:rsidR="00746EDC" w:rsidRPr="00666DEB">
        <w:rPr>
          <w:szCs w:val="20"/>
          <w:lang w:val="es-CR"/>
        </w:rPr>
        <w:t>a</w:t>
      </w:r>
      <w:r w:rsidR="00AA2E4E" w:rsidRPr="00666DEB">
        <w:rPr>
          <w:szCs w:val="20"/>
          <w:lang w:val="es-CR"/>
        </w:rPr>
        <w:t>gosto</w:t>
      </w:r>
      <w:r w:rsidR="00746EDC" w:rsidRPr="00666DEB">
        <w:rPr>
          <w:szCs w:val="20"/>
          <w:lang w:val="es-CR"/>
        </w:rPr>
        <w:t xml:space="preserve"> de 2018</w:t>
      </w:r>
      <w:r w:rsidR="00AA2E4E" w:rsidRPr="00666DEB">
        <w:rPr>
          <w:szCs w:val="20"/>
          <w:lang w:val="es-CR"/>
        </w:rPr>
        <w:t>,  mediante el cual los representantes solicitaron a la Corte “que se adicione al repertorio de pruebas aparejadas al ESAP” nuevos documentos “en calidad de pruebas nuevas”</w:t>
      </w:r>
      <w:r w:rsidR="001F182D" w:rsidRPr="00666DEB">
        <w:rPr>
          <w:szCs w:val="20"/>
          <w:lang w:val="es-CR"/>
        </w:rPr>
        <w:t xml:space="preserve">. Al respecto se especificó que, </w:t>
      </w:r>
      <w:r w:rsidR="001F182D" w:rsidRPr="001F182D">
        <w:rPr>
          <w:lang w:val="es-CR"/>
        </w:rPr>
        <w:t>de conformidad con el artículo 57.2 del Reglamento de este Tribuna</w:t>
      </w:r>
      <w:r w:rsidR="001F182D" w:rsidRPr="00666DEB">
        <w:rPr>
          <w:lang w:val="es-CR"/>
        </w:rPr>
        <w:t>l, la admisibilidad de la referida prueba sería decidida por el Tribunal en el momento procesal oportuno.</w:t>
      </w:r>
    </w:p>
    <w:p w14:paraId="3C33413A" w14:textId="77777777" w:rsidR="00831FA3" w:rsidRPr="00831FA3" w:rsidRDefault="00831FA3" w:rsidP="00F94748">
      <w:pPr>
        <w:pStyle w:val="Prrafodelista"/>
        <w:spacing w:after="0"/>
        <w:rPr>
          <w:szCs w:val="20"/>
          <w:lang w:val="es-CR"/>
        </w:rPr>
      </w:pPr>
    </w:p>
    <w:p w14:paraId="3C33413D" w14:textId="17899AAA" w:rsidR="00831FA3" w:rsidRDefault="005233DF" w:rsidP="00F94748">
      <w:pPr>
        <w:pStyle w:val="Prrafodelista"/>
        <w:widowControl w:val="0"/>
        <w:numPr>
          <w:ilvl w:val="0"/>
          <w:numId w:val="1"/>
        </w:numPr>
        <w:tabs>
          <w:tab w:val="left" w:pos="567"/>
        </w:tabs>
        <w:autoSpaceDE w:val="0"/>
        <w:autoSpaceDN w:val="0"/>
        <w:adjustRightInd w:val="0"/>
        <w:spacing w:after="0"/>
        <w:ind w:left="0" w:right="22" w:firstLine="0"/>
        <w:contextualSpacing w:val="0"/>
        <w:rPr>
          <w:szCs w:val="20"/>
          <w:lang w:val="es-CR"/>
        </w:rPr>
      </w:pPr>
      <w:r w:rsidRPr="00D94329">
        <w:rPr>
          <w:szCs w:val="20"/>
          <w:lang w:val="es-CR"/>
        </w:rPr>
        <w:t>El escrito de 6 de septiembre de 2018 a través del cual el Estado presentó observaciones a la presentación de documentación “en calidad de prueba nueva” por los representa</w:t>
      </w:r>
      <w:r w:rsidR="000C4941">
        <w:rPr>
          <w:szCs w:val="20"/>
          <w:lang w:val="es-CR"/>
        </w:rPr>
        <w:t>ntes de las presuntas víctimas.</w:t>
      </w:r>
    </w:p>
    <w:p w14:paraId="3C33413E" w14:textId="77777777" w:rsidR="005F780F" w:rsidRPr="005F780F" w:rsidRDefault="005F780F" w:rsidP="00F94748">
      <w:pPr>
        <w:pStyle w:val="Prrafodelista"/>
        <w:widowControl w:val="0"/>
        <w:tabs>
          <w:tab w:val="left" w:pos="567"/>
        </w:tabs>
        <w:autoSpaceDE w:val="0"/>
        <w:autoSpaceDN w:val="0"/>
        <w:adjustRightInd w:val="0"/>
        <w:spacing w:after="0"/>
        <w:ind w:left="0" w:right="22"/>
        <w:contextualSpacing w:val="0"/>
        <w:rPr>
          <w:szCs w:val="20"/>
          <w:lang w:val="es-CR"/>
        </w:rPr>
      </w:pPr>
    </w:p>
    <w:p w14:paraId="1B3A733D" w14:textId="3DD55D54" w:rsidR="009643C9" w:rsidRDefault="0024743E" w:rsidP="00F94748">
      <w:pPr>
        <w:pStyle w:val="Prrafodelista"/>
        <w:widowControl w:val="0"/>
        <w:numPr>
          <w:ilvl w:val="0"/>
          <w:numId w:val="1"/>
        </w:numPr>
        <w:tabs>
          <w:tab w:val="left" w:pos="567"/>
        </w:tabs>
        <w:autoSpaceDE w:val="0"/>
        <w:autoSpaceDN w:val="0"/>
        <w:adjustRightInd w:val="0"/>
        <w:spacing w:after="0"/>
        <w:ind w:left="0" w:right="23" w:firstLine="0"/>
        <w:contextualSpacing w:val="0"/>
        <w:rPr>
          <w:b/>
          <w:szCs w:val="20"/>
          <w:lang w:val="es-CR"/>
        </w:rPr>
      </w:pPr>
      <w:r w:rsidRPr="000C4941">
        <w:rPr>
          <w:szCs w:val="20"/>
          <w:lang w:val="es-CR"/>
        </w:rPr>
        <w:t>El escrito de 22 de noviembre de 2018</w:t>
      </w:r>
      <w:r w:rsidR="008A0306" w:rsidRPr="000C4941">
        <w:rPr>
          <w:szCs w:val="20"/>
          <w:lang w:val="es-CR"/>
        </w:rPr>
        <w:t>,</w:t>
      </w:r>
      <w:r w:rsidRPr="000C4941">
        <w:rPr>
          <w:szCs w:val="20"/>
          <w:lang w:val="es-CR"/>
        </w:rPr>
        <w:t xml:space="preserve"> mediante el </w:t>
      </w:r>
      <w:r w:rsidR="008A0306" w:rsidRPr="000C4941">
        <w:rPr>
          <w:szCs w:val="20"/>
          <w:lang w:val="es-CR"/>
        </w:rPr>
        <w:t>cual los representantes remitieron observaciones a</w:t>
      </w:r>
      <w:r w:rsidR="00245D13" w:rsidRPr="000C4941">
        <w:rPr>
          <w:szCs w:val="20"/>
          <w:lang w:val="es-CR"/>
        </w:rPr>
        <w:t xml:space="preserve">l escrito de contestación presentado por </w:t>
      </w:r>
      <w:r w:rsidR="00746EDC" w:rsidRPr="000C4941">
        <w:rPr>
          <w:szCs w:val="20"/>
          <w:lang w:val="es-CR"/>
        </w:rPr>
        <w:t>el</w:t>
      </w:r>
      <w:r w:rsidR="008A0306" w:rsidRPr="000C4941">
        <w:rPr>
          <w:szCs w:val="20"/>
          <w:lang w:val="es-CR"/>
        </w:rPr>
        <w:t xml:space="preserve"> Estado</w:t>
      </w:r>
      <w:r w:rsidR="00BE4EE5" w:rsidRPr="000C4941">
        <w:rPr>
          <w:szCs w:val="20"/>
          <w:lang w:val="es-CR"/>
        </w:rPr>
        <w:t xml:space="preserve"> el 29 de agosto</w:t>
      </w:r>
      <w:r w:rsidR="000C4941">
        <w:rPr>
          <w:szCs w:val="20"/>
          <w:lang w:val="es-CR"/>
        </w:rPr>
        <w:t>.</w:t>
      </w:r>
    </w:p>
    <w:p w14:paraId="3467811A" w14:textId="77777777" w:rsidR="000C4941" w:rsidRPr="000C4941" w:rsidRDefault="000C4941" w:rsidP="00F94748">
      <w:pPr>
        <w:pStyle w:val="Prrafodelista"/>
        <w:widowControl w:val="0"/>
        <w:tabs>
          <w:tab w:val="left" w:pos="567"/>
        </w:tabs>
        <w:autoSpaceDE w:val="0"/>
        <w:autoSpaceDN w:val="0"/>
        <w:adjustRightInd w:val="0"/>
        <w:spacing w:after="0"/>
        <w:ind w:left="0" w:right="23"/>
        <w:contextualSpacing w:val="0"/>
        <w:rPr>
          <w:b/>
          <w:szCs w:val="20"/>
          <w:lang w:val="es-CR"/>
        </w:rPr>
      </w:pPr>
    </w:p>
    <w:p w14:paraId="3C334146" w14:textId="73371554" w:rsidR="00C6652A" w:rsidRPr="000C4941" w:rsidRDefault="008A0306" w:rsidP="00F94748">
      <w:pPr>
        <w:pStyle w:val="Prrafodelista"/>
        <w:widowControl w:val="0"/>
        <w:numPr>
          <w:ilvl w:val="0"/>
          <w:numId w:val="1"/>
        </w:numPr>
        <w:tabs>
          <w:tab w:val="left" w:pos="567"/>
        </w:tabs>
        <w:autoSpaceDE w:val="0"/>
        <w:autoSpaceDN w:val="0"/>
        <w:adjustRightInd w:val="0"/>
        <w:spacing w:after="0"/>
        <w:ind w:left="0" w:right="23" w:firstLine="0"/>
        <w:contextualSpacing w:val="0"/>
        <w:rPr>
          <w:szCs w:val="20"/>
          <w:lang w:val="es-CR"/>
        </w:rPr>
      </w:pPr>
      <w:r w:rsidRPr="000C4941">
        <w:rPr>
          <w:szCs w:val="20"/>
          <w:lang w:val="es-CR"/>
        </w:rPr>
        <w:t>El escrito del 26 de noviembre de 2018, mediante el cual la Comisión presentó sus observaciones a las excepciones preliminares int</w:t>
      </w:r>
      <w:r w:rsidR="003D7FC8" w:rsidRPr="000C4941">
        <w:rPr>
          <w:szCs w:val="20"/>
          <w:lang w:val="es-CR"/>
        </w:rPr>
        <w:t>e</w:t>
      </w:r>
      <w:r w:rsidR="000C4941">
        <w:rPr>
          <w:szCs w:val="20"/>
          <w:lang w:val="es-CR"/>
        </w:rPr>
        <w:t>rpuestas por el Estado de Perú.</w:t>
      </w:r>
    </w:p>
    <w:p w14:paraId="4D2A60E3" w14:textId="77777777" w:rsidR="000C4941" w:rsidRPr="000C4941" w:rsidRDefault="000C4941" w:rsidP="00F94748">
      <w:pPr>
        <w:pStyle w:val="Prrafodelista"/>
        <w:widowControl w:val="0"/>
        <w:tabs>
          <w:tab w:val="left" w:pos="567"/>
        </w:tabs>
        <w:autoSpaceDE w:val="0"/>
        <w:autoSpaceDN w:val="0"/>
        <w:adjustRightInd w:val="0"/>
        <w:spacing w:after="0"/>
        <w:ind w:left="0" w:right="22"/>
        <w:contextualSpacing w:val="0"/>
        <w:rPr>
          <w:szCs w:val="20"/>
          <w:lang w:val="es-CR"/>
        </w:rPr>
      </w:pPr>
    </w:p>
    <w:p w14:paraId="3C334147" w14:textId="74E412C6" w:rsidR="00C6652A" w:rsidRDefault="00C6652A" w:rsidP="00F94748">
      <w:pPr>
        <w:pStyle w:val="Prrafodelista"/>
        <w:widowControl w:val="0"/>
        <w:numPr>
          <w:ilvl w:val="0"/>
          <w:numId w:val="1"/>
        </w:numPr>
        <w:tabs>
          <w:tab w:val="left" w:pos="567"/>
        </w:tabs>
        <w:autoSpaceDE w:val="0"/>
        <w:autoSpaceDN w:val="0"/>
        <w:adjustRightInd w:val="0"/>
        <w:spacing w:after="0"/>
        <w:ind w:left="0" w:right="22" w:firstLine="0"/>
        <w:contextualSpacing w:val="0"/>
        <w:rPr>
          <w:szCs w:val="20"/>
          <w:lang w:val="es-CR"/>
        </w:rPr>
      </w:pPr>
      <w:r w:rsidRPr="00A01F11">
        <w:rPr>
          <w:szCs w:val="20"/>
          <w:lang w:val="es-CR"/>
        </w:rPr>
        <w:t>Las listas definitivas de declarantes presentadas por los representantes el 21 de enero de 2019, por la Comisión el 23 de enero de 2019</w:t>
      </w:r>
      <w:r w:rsidR="00110647">
        <w:rPr>
          <w:szCs w:val="20"/>
          <w:lang w:val="es-CR"/>
        </w:rPr>
        <w:t xml:space="preserve"> </w:t>
      </w:r>
      <w:r w:rsidRPr="00A01F11">
        <w:rPr>
          <w:szCs w:val="20"/>
          <w:lang w:val="es-CR"/>
        </w:rPr>
        <w:t>y por el Estado el 23 de enero d</w:t>
      </w:r>
      <w:r w:rsidR="00110647">
        <w:rPr>
          <w:szCs w:val="20"/>
          <w:lang w:val="es-CR"/>
        </w:rPr>
        <w:t>e 2019</w:t>
      </w:r>
      <w:r w:rsidR="00BC467D">
        <w:rPr>
          <w:szCs w:val="20"/>
          <w:lang w:val="es-CR"/>
        </w:rPr>
        <w:t>.</w:t>
      </w:r>
      <w:r w:rsidRPr="00A01F11">
        <w:rPr>
          <w:szCs w:val="20"/>
          <w:lang w:val="es-CR"/>
        </w:rPr>
        <w:t xml:space="preserve"> </w:t>
      </w:r>
    </w:p>
    <w:p w14:paraId="77C76934" w14:textId="77777777" w:rsidR="00C95DA6" w:rsidRPr="00C95DA6" w:rsidRDefault="00C95DA6" w:rsidP="00F94748">
      <w:pPr>
        <w:pStyle w:val="Prrafodelista"/>
        <w:spacing w:after="0"/>
        <w:rPr>
          <w:szCs w:val="20"/>
          <w:lang w:val="es-CR"/>
        </w:rPr>
      </w:pPr>
    </w:p>
    <w:p w14:paraId="3FB40242" w14:textId="6AAB1D99" w:rsidR="00C95DA6" w:rsidRPr="005E046B" w:rsidRDefault="00C95DA6" w:rsidP="00F94748">
      <w:pPr>
        <w:pStyle w:val="Prrafodelista"/>
        <w:widowControl w:val="0"/>
        <w:numPr>
          <w:ilvl w:val="0"/>
          <w:numId w:val="1"/>
        </w:numPr>
        <w:tabs>
          <w:tab w:val="left" w:pos="567"/>
        </w:tabs>
        <w:autoSpaceDE w:val="0"/>
        <w:autoSpaceDN w:val="0"/>
        <w:adjustRightInd w:val="0"/>
        <w:spacing w:after="0"/>
        <w:ind w:left="0" w:right="22" w:firstLine="0"/>
        <w:contextualSpacing w:val="0"/>
        <w:rPr>
          <w:szCs w:val="20"/>
          <w:lang w:val="es-CR"/>
        </w:rPr>
      </w:pPr>
      <w:r>
        <w:rPr>
          <w:szCs w:val="20"/>
          <w:lang w:val="es-CR"/>
        </w:rPr>
        <w:t xml:space="preserve">Las observaciones a las listas definitivas </w:t>
      </w:r>
      <w:r w:rsidRPr="005E046B">
        <w:rPr>
          <w:szCs w:val="20"/>
          <w:lang w:val="es-CR"/>
        </w:rPr>
        <w:t xml:space="preserve">de declarantes de </w:t>
      </w:r>
      <w:r w:rsidR="000C4941">
        <w:rPr>
          <w:szCs w:val="20"/>
          <w:lang w:val="es-CR"/>
        </w:rPr>
        <w:t>los representantes de 30 de</w:t>
      </w:r>
      <w:r w:rsidR="000C4941">
        <w:rPr>
          <w:b/>
          <w:szCs w:val="20"/>
          <w:lang w:val="es-CR"/>
        </w:rPr>
        <w:t xml:space="preserve"> </w:t>
      </w:r>
      <w:r w:rsidR="000C4941" w:rsidRPr="005E046B">
        <w:rPr>
          <w:szCs w:val="20"/>
          <w:lang w:val="es-CR"/>
        </w:rPr>
        <w:t xml:space="preserve">enero </w:t>
      </w:r>
      <w:r w:rsidR="009B1675" w:rsidRPr="003442E1">
        <w:rPr>
          <w:szCs w:val="20"/>
          <w:lang w:val="es-CR"/>
        </w:rPr>
        <w:t>y del Estado de 31 de enero de 2019</w:t>
      </w:r>
      <w:r w:rsidR="009B1675" w:rsidRPr="000C4941">
        <w:rPr>
          <w:szCs w:val="20"/>
          <w:lang w:val="es-CR"/>
        </w:rPr>
        <w:t>.</w:t>
      </w:r>
    </w:p>
    <w:p w14:paraId="45BB372F" w14:textId="77777777" w:rsidR="00C95DA6" w:rsidRPr="003442E1" w:rsidRDefault="00C95DA6" w:rsidP="00F94748">
      <w:pPr>
        <w:pStyle w:val="Prrafodelista"/>
        <w:spacing w:after="0"/>
        <w:rPr>
          <w:szCs w:val="20"/>
          <w:lang w:val="es-CR"/>
        </w:rPr>
      </w:pPr>
    </w:p>
    <w:p w14:paraId="36FF20B1" w14:textId="3F2DA8D8" w:rsidR="00645344" w:rsidRPr="000C4941" w:rsidRDefault="00C95DA6" w:rsidP="00F94748">
      <w:pPr>
        <w:pStyle w:val="Prrafodelista"/>
        <w:widowControl w:val="0"/>
        <w:numPr>
          <w:ilvl w:val="0"/>
          <w:numId w:val="1"/>
        </w:numPr>
        <w:tabs>
          <w:tab w:val="left" w:pos="567"/>
        </w:tabs>
        <w:autoSpaceDE w:val="0"/>
        <w:autoSpaceDN w:val="0"/>
        <w:adjustRightInd w:val="0"/>
        <w:spacing w:after="0"/>
        <w:ind w:left="0" w:right="22" w:firstLine="0"/>
        <w:contextualSpacing w:val="0"/>
        <w:rPr>
          <w:b/>
          <w:szCs w:val="20"/>
          <w:lang w:val="es-CR"/>
        </w:rPr>
      </w:pPr>
      <w:r w:rsidRPr="003442E1">
        <w:rPr>
          <w:szCs w:val="20"/>
          <w:lang w:val="es-CR"/>
        </w:rPr>
        <w:t>Las observaciones de los prop</w:t>
      </w:r>
      <w:r w:rsidRPr="00C37F19">
        <w:rPr>
          <w:szCs w:val="20"/>
          <w:lang w:val="es-CR"/>
        </w:rPr>
        <w:t xml:space="preserve">uestos peritos </w:t>
      </w:r>
      <w:r w:rsidR="005E046B" w:rsidRPr="009643C9">
        <w:rPr>
          <w:szCs w:val="20"/>
          <w:lang w:val="es-ES"/>
        </w:rPr>
        <w:t>Reynaldo Bustamante Alarcón, César Gonzáles Hunt y César Abanto Revilla</w:t>
      </w:r>
      <w:r w:rsidR="005E046B" w:rsidRPr="005E046B">
        <w:rPr>
          <w:szCs w:val="20"/>
          <w:lang w:val="es-CR"/>
        </w:rPr>
        <w:t xml:space="preserve">, </w:t>
      </w:r>
      <w:r w:rsidRPr="005E046B">
        <w:rPr>
          <w:szCs w:val="20"/>
          <w:lang w:val="es-CR"/>
        </w:rPr>
        <w:t>a las recusaciones de los representantes</w:t>
      </w:r>
      <w:r w:rsidR="0049686A" w:rsidRPr="003442E1">
        <w:rPr>
          <w:szCs w:val="20"/>
          <w:lang w:val="es-CR"/>
        </w:rPr>
        <w:t xml:space="preserve"> </w:t>
      </w:r>
      <w:r w:rsidR="005E046B" w:rsidRPr="009643C9">
        <w:rPr>
          <w:szCs w:val="20"/>
          <w:lang w:val="es-ES"/>
        </w:rPr>
        <w:t>de 9, 13 y 15 de febrero</w:t>
      </w:r>
      <w:r w:rsidR="005E046B" w:rsidRPr="005E046B">
        <w:rPr>
          <w:szCs w:val="20"/>
          <w:lang w:val="es-ES"/>
        </w:rPr>
        <w:t xml:space="preserve"> de 2019</w:t>
      </w:r>
      <w:r w:rsidR="000C4941">
        <w:rPr>
          <w:szCs w:val="20"/>
          <w:lang w:val="es-ES"/>
        </w:rPr>
        <w:t xml:space="preserve">. </w:t>
      </w:r>
    </w:p>
    <w:p w14:paraId="55B343E7" w14:textId="77777777" w:rsidR="000C4941" w:rsidRPr="000C4941" w:rsidRDefault="000C4941" w:rsidP="00F94748">
      <w:pPr>
        <w:pStyle w:val="Prrafodelista"/>
        <w:widowControl w:val="0"/>
        <w:tabs>
          <w:tab w:val="left" w:pos="567"/>
        </w:tabs>
        <w:autoSpaceDE w:val="0"/>
        <w:autoSpaceDN w:val="0"/>
        <w:adjustRightInd w:val="0"/>
        <w:spacing w:after="0"/>
        <w:ind w:left="0" w:right="22"/>
        <w:contextualSpacing w:val="0"/>
        <w:rPr>
          <w:b/>
          <w:szCs w:val="20"/>
          <w:lang w:val="es-CR"/>
        </w:rPr>
      </w:pPr>
    </w:p>
    <w:p w14:paraId="3C33414A" w14:textId="77777777" w:rsidR="00983938" w:rsidRPr="00850F42" w:rsidRDefault="00983938" w:rsidP="00F94748">
      <w:pPr>
        <w:tabs>
          <w:tab w:val="left" w:pos="567"/>
        </w:tabs>
        <w:spacing w:after="0" w:line="240" w:lineRule="auto"/>
        <w:rPr>
          <w:rFonts w:ascii="Verdana" w:eastAsia="Calibri" w:hAnsi="Verdana" w:cs="Calibri"/>
          <w:b/>
          <w:sz w:val="20"/>
          <w:szCs w:val="20"/>
          <w:lang w:val="es-CR"/>
        </w:rPr>
      </w:pPr>
      <w:r w:rsidRPr="00850F42">
        <w:rPr>
          <w:rFonts w:ascii="Verdana" w:eastAsia="Calibri" w:hAnsi="Verdana" w:cs="Calibri"/>
          <w:b/>
          <w:sz w:val="20"/>
          <w:szCs w:val="20"/>
          <w:lang w:val="es-CR"/>
        </w:rPr>
        <w:t>CONSIDERANDO QUE:</w:t>
      </w:r>
    </w:p>
    <w:p w14:paraId="3C33414B" w14:textId="77777777" w:rsidR="00983938" w:rsidRDefault="00983938" w:rsidP="00F94748">
      <w:pPr>
        <w:pStyle w:val="Prrafodelista"/>
        <w:widowControl w:val="0"/>
        <w:tabs>
          <w:tab w:val="left" w:pos="567"/>
          <w:tab w:val="left" w:pos="7740"/>
        </w:tabs>
        <w:autoSpaceDE w:val="0"/>
        <w:autoSpaceDN w:val="0"/>
        <w:adjustRightInd w:val="0"/>
        <w:spacing w:after="0"/>
        <w:ind w:left="0" w:right="22"/>
        <w:contextualSpacing w:val="0"/>
        <w:rPr>
          <w:szCs w:val="20"/>
          <w:highlight w:val="yellow"/>
          <w:lang w:val="es-CR"/>
        </w:rPr>
      </w:pPr>
    </w:p>
    <w:p w14:paraId="3C33414C" w14:textId="77777777" w:rsidR="005F780F" w:rsidRDefault="008A058B" w:rsidP="00F94748">
      <w:pPr>
        <w:widowControl w:val="0"/>
        <w:numPr>
          <w:ilvl w:val="0"/>
          <w:numId w:val="2"/>
        </w:numPr>
        <w:tabs>
          <w:tab w:val="left" w:pos="567"/>
          <w:tab w:val="left" w:pos="810"/>
        </w:tabs>
        <w:autoSpaceDE w:val="0"/>
        <w:autoSpaceDN w:val="0"/>
        <w:adjustRightInd w:val="0"/>
        <w:spacing w:after="0" w:line="240" w:lineRule="auto"/>
        <w:ind w:left="0" w:right="22" w:firstLine="0"/>
        <w:jc w:val="both"/>
        <w:rPr>
          <w:rFonts w:ascii="Verdana" w:eastAsia="Calibri" w:hAnsi="Verdana" w:cs="Verdana"/>
          <w:sz w:val="20"/>
          <w:szCs w:val="20"/>
          <w:lang w:val="es-CR"/>
        </w:rPr>
      </w:pPr>
      <w:r w:rsidRPr="00850F42">
        <w:rPr>
          <w:rFonts w:ascii="Verdana" w:eastAsia="Calibri" w:hAnsi="Verdana" w:cs="Verdana"/>
          <w:sz w:val="20"/>
          <w:szCs w:val="20"/>
          <w:lang w:val="es-CR"/>
        </w:rPr>
        <w:t xml:space="preserve">El ofrecimiento y la admisión de la prueba, así como la citación de presuntas </w:t>
      </w:r>
      <w:r w:rsidRPr="00850F42">
        <w:rPr>
          <w:rFonts w:ascii="Verdana" w:eastAsia="Calibri" w:hAnsi="Verdana" w:cs="Verdana"/>
          <w:sz w:val="20"/>
          <w:szCs w:val="20"/>
          <w:lang w:val="es-CR"/>
        </w:rPr>
        <w:lastRenderedPageBreak/>
        <w:t>víctimas, testigos y peritos se encuentran regulados en los artículos 35.1.f, 40.2.c, 41.1.c, 46, 47, 48, 50, 52.3, 57 y 58 del Reglamento de la Corte Interamericana de Derechos Humanos (en adelante, “la Corte Interamericana”, “la Corte” o “el Tribunal”).</w:t>
      </w:r>
    </w:p>
    <w:p w14:paraId="3C33414D" w14:textId="77777777" w:rsidR="005F780F" w:rsidRDefault="005F780F" w:rsidP="00F94748">
      <w:pPr>
        <w:widowControl w:val="0"/>
        <w:tabs>
          <w:tab w:val="left" w:pos="567"/>
          <w:tab w:val="left" w:pos="810"/>
        </w:tabs>
        <w:autoSpaceDE w:val="0"/>
        <w:autoSpaceDN w:val="0"/>
        <w:adjustRightInd w:val="0"/>
        <w:spacing w:after="0" w:line="240" w:lineRule="auto"/>
        <w:ind w:right="22"/>
        <w:jc w:val="both"/>
        <w:rPr>
          <w:rFonts w:ascii="Verdana" w:eastAsia="Calibri" w:hAnsi="Verdana" w:cs="Verdana"/>
          <w:sz w:val="20"/>
          <w:szCs w:val="20"/>
          <w:lang w:val="es-CR"/>
        </w:rPr>
      </w:pPr>
    </w:p>
    <w:p w14:paraId="3C33414E" w14:textId="6CB138AD" w:rsidR="008A058B" w:rsidRPr="00BB4C91" w:rsidRDefault="00AD2963" w:rsidP="00F94748">
      <w:pPr>
        <w:widowControl w:val="0"/>
        <w:numPr>
          <w:ilvl w:val="0"/>
          <w:numId w:val="2"/>
        </w:numPr>
        <w:tabs>
          <w:tab w:val="left" w:pos="567"/>
          <w:tab w:val="left" w:pos="810"/>
        </w:tabs>
        <w:autoSpaceDE w:val="0"/>
        <w:autoSpaceDN w:val="0"/>
        <w:adjustRightInd w:val="0"/>
        <w:spacing w:after="0" w:line="240" w:lineRule="auto"/>
        <w:ind w:left="0" w:right="22" w:firstLine="0"/>
        <w:jc w:val="both"/>
        <w:rPr>
          <w:szCs w:val="20"/>
          <w:lang w:val="es-CR"/>
        </w:rPr>
      </w:pPr>
      <w:r>
        <w:rPr>
          <w:rFonts w:ascii="Verdana" w:eastAsia="Calibri" w:hAnsi="Verdana" w:cs="Verdana"/>
          <w:sz w:val="20"/>
          <w:szCs w:val="20"/>
        </w:rPr>
        <w:t xml:space="preserve">La Comisión ofreció </w:t>
      </w:r>
      <w:r w:rsidR="005F780F" w:rsidRPr="00B63E1C">
        <w:rPr>
          <w:rFonts w:ascii="Verdana" w:eastAsia="Calibri" w:hAnsi="Verdana" w:cs="Verdana"/>
          <w:sz w:val="20"/>
          <w:szCs w:val="20"/>
        </w:rPr>
        <w:t>como prueba una</w:t>
      </w:r>
      <w:r w:rsidR="005F780F" w:rsidRPr="00B63E1C">
        <w:rPr>
          <w:rFonts w:ascii="Verdana" w:eastAsia="Calibri" w:hAnsi="Verdana" w:cs="Verdana"/>
          <w:b/>
          <w:sz w:val="20"/>
          <w:szCs w:val="20"/>
          <w:lang w:val="es-CR"/>
        </w:rPr>
        <w:t xml:space="preserve"> </w:t>
      </w:r>
      <w:r w:rsidR="005F780F" w:rsidRPr="00B63E1C">
        <w:rPr>
          <w:rFonts w:ascii="Verdana" w:eastAsia="Calibri" w:hAnsi="Verdana" w:cs="Verdana"/>
          <w:sz w:val="20"/>
          <w:szCs w:val="20"/>
          <w:lang w:val="es-CR"/>
        </w:rPr>
        <w:t>declaraci</w:t>
      </w:r>
      <w:r w:rsidR="005F780F" w:rsidRPr="00B63E1C">
        <w:rPr>
          <w:rFonts w:ascii="Verdana" w:eastAsia="Calibri" w:hAnsi="Verdana" w:cs="Arial"/>
          <w:sz w:val="20"/>
          <w:szCs w:val="20"/>
          <w:lang w:val="es-CR"/>
        </w:rPr>
        <w:t>ón</w:t>
      </w:r>
      <w:r>
        <w:rPr>
          <w:rFonts w:ascii="Verdana" w:eastAsia="Calibri" w:hAnsi="Verdana" w:cs="Arial"/>
          <w:b/>
          <w:sz w:val="20"/>
          <w:szCs w:val="20"/>
          <w:lang w:val="es-CR"/>
        </w:rPr>
        <w:t xml:space="preserve"> </w:t>
      </w:r>
      <w:r>
        <w:rPr>
          <w:rFonts w:ascii="Verdana" w:eastAsia="Calibri" w:hAnsi="Verdana" w:cs="Verdana"/>
          <w:sz w:val="20"/>
          <w:szCs w:val="20"/>
        </w:rPr>
        <w:t xml:space="preserve">pericial. </w:t>
      </w:r>
      <w:r w:rsidR="005F780F" w:rsidRPr="00B63E1C">
        <w:rPr>
          <w:rFonts w:ascii="Verdana" w:eastAsia="Calibri" w:hAnsi="Verdana" w:cs="Verdana"/>
          <w:sz w:val="20"/>
          <w:szCs w:val="20"/>
        </w:rPr>
        <w:t xml:space="preserve">Los representantes ofrecieron las declaraciones de </w:t>
      </w:r>
      <w:r w:rsidR="005F780F" w:rsidRPr="00B63E1C">
        <w:rPr>
          <w:rFonts w:ascii="Verdana" w:eastAsia="Calibri" w:hAnsi="Verdana" w:cs="Verdana"/>
          <w:sz w:val="20"/>
          <w:szCs w:val="20"/>
          <w:lang w:val="es-CR"/>
        </w:rPr>
        <w:t>tres</w:t>
      </w:r>
      <w:r w:rsidR="005F780F" w:rsidRPr="00B63E1C">
        <w:rPr>
          <w:rFonts w:ascii="Verdana" w:eastAsia="Calibri" w:hAnsi="Verdana" w:cs="Verdana"/>
          <w:b/>
          <w:sz w:val="20"/>
          <w:szCs w:val="20"/>
          <w:lang w:val="es-CR"/>
        </w:rPr>
        <w:t xml:space="preserve"> </w:t>
      </w:r>
      <w:r w:rsidR="005F780F" w:rsidRPr="00B63E1C">
        <w:rPr>
          <w:rFonts w:ascii="Verdana" w:eastAsia="Calibri" w:hAnsi="Verdana" w:cs="Verdana"/>
          <w:sz w:val="20"/>
          <w:szCs w:val="20"/>
        </w:rPr>
        <w:t xml:space="preserve">testigos y </w:t>
      </w:r>
      <w:r w:rsidR="005F780F" w:rsidRPr="00B63E1C">
        <w:rPr>
          <w:rFonts w:ascii="Verdana" w:eastAsia="Calibri" w:hAnsi="Verdana" w:cs="Verdana"/>
          <w:sz w:val="20"/>
          <w:szCs w:val="20"/>
          <w:lang w:val="es-CR"/>
        </w:rPr>
        <w:t>una declaración pericial</w:t>
      </w:r>
      <w:r w:rsidR="00B63E1C" w:rsidRPr="00B63E1C">
        <w:rPr>
          <w:rFonts w:ascii="Verdana" w:eastAsia="Calibri" w:hAnsi="Verdana" w:cs="Verdana"/>
          <w:sz w:val="20"/>
          <w:szCs w:val="20"/>
          <w:lang w:val="es-CR"/>
        </w:rPr>
        <w:t xml:space="preserve">. </w:t>
      </w:r>
      <w:r w:rsidR="003866F2">
        <w:rPr>
          <w:rFonts w:ascii="Verdana" w:eastAsia="Calibri" w:hAnsi="Verdana" w:cs="Verdana"/>
          <w:sz w:val="20"/>
          <w:szCs w:val="20"/>
        </w:rPr>
        <w:t xml:space="preserve">El Estado propuso las declaraciones de cuatro peritos y de siete testigos. </w:t>
      </w:r>
    </w:p>
    <w:p w14:paraId="3C33414F" w14:textId="77777777" w:rsidR="00BB4C91" w:rsidRDefault="00BB4C91" w:rsidP="00F94748">
      <w:pPr>
        <w:pStyle w:val="Prrafodelista"/>
        <w:spacing w:after="0"/>
        <w:rPr>
          <w:szCs w:val="20"/>
          <w:lang w:val="es-CR"/>
        </w:rPr>
      </w:pPr>
    </w:p>
    <w:p w14:paraId="65D843B3" w14:textId="77777777" w:rsidR="00BC467D" w:rsidRPr="00BC467D" w:rsidRDefault="00110E4B" w:rsidP="00F94748">
      <w:pPr>
        <w:pStyle w:val="Prrafodelista"/>
        <w:numPr>
          <w:ilvl w:val="0"/>
          <w:numId w:val="2"/>
        </w:numPr>
        <w:spacing w:after="0"/>
        <w:ind w:left="0" w:firstLine="0"/>
      </w:pPr>
      <w:r w:rsidRPr="00645344">
        <w:rPr>
          <w:szCs w:val="20"/>
          <w:lang w:val="es-CR"/>
        </w:rPr>
        <w:t>La Comisión indicó que no tenía observaciones que formular respecto a las lista</w:t>
      </w:r>
      <w:r w:rsidR="000C4941">
        <w:rPr>
          <w:szCs w:val="20"/>
          <w:lang w:val="es-CR"/>
        </w:rPr>
        <w:t>s de declarantes de las partes.</w:t>
      </w:r>
      <w:r w:rsidRPr="00645344">
        <w:rPr>
          <w:szCs w:val="20"/>
          <w:lang w:val="es-CR"/>
        </w:rPr>
        <w:t xml:space="preserve"> Los representantes de las presuntas víctimas presentaron recusaciones en contra de tres de los peritos ofrecidos por el Estado e hicieron </w:t>
      </w:r>
      <w:r w:rsidR="00556E99">
        <w:rPr>
          <w:szCs w:val="20"/>
          <w:lang w:val="es-CR"/>
        </w:rPr>
        <w:t>manifiesta</w:t>
      </w:r>
      <w:r w:rsidRPr="00645344">
        <w:rPr>
          <w:szCs w:val="20"/>
          <w:lang w:val="es-CR"/>
        </w:rPr>
        <w:t xml:space="preserve"> su solicitud para poder formular preguntas a los peritos y/o testigos ofrecidos tanto por el Estado peruano como por la Comisión Interamericana. Por su parte, el Estado peruano </w:t>
      </w:r>
      <w:r w:rsidR="007D7533" w:rsidRPr="00645344">
        <w:rPr>
          <w:szCs w:val="20"/>
          <w:lang w:val="es-CR"/>
        </w:rPr>
        <w:t>presentó una observación respecto al traslado del peritaje propuesto por la Comisión</w:t>
      </w:r>
      <w:r w:rsidR="00C95DA6">
        <w:rPr>
          <w:szCs w:val="20"/>
          <w:lang w:val="es-CR"/>
        </w:rPr>
        <w:t>.</w:t>
      </w:r>
      <w:r w:rsidR="007D7533" w:rsidRPr="00645344">
        <w:rPr>
          <w:szCs w:val="20"/>
          <w:lang w:val="es-CR"/>
        </w:rPr>
        <w:t xml:space="preserve"> Además, formuló observaciones en cuanto a las declaraciones de los tres testigos propuestos por los representantes, alegando que se </w:t>
      </w:r>
      <w:r w:rsidR="00556E99">
        <w:rPr>
          <w:szCs w:val="20"/>
          <w:lang w:val="es-CR"/>
        </w:rPr>
        <w:t xml:space="preserve">debía </w:t>
      </w:r>
      <w:r w:rsidR="007D7533" w:rsidRPr="00645344">
        <w:rPr>
          <w:szCs w:val="20"/>
          <w:lang w:val="es-CR"/>
        </w:rPr>
        <w:t xml:space="preserve">reducir a uno </w:t>
      </w:r>
      <w:r w:rsidR="00556E99">
        <w:rPr>
          <w:szCs w:val="20"/>
          <w:lang w:val="es-CR"/>
        </w:rPr>
        <w:t xml:space="preserve">en aplicación del </w:t>
      </w:r>
      <w:r w:rsidR="007D7533" w:rsidRPr="00645344">
        <w:rPr>
          <w:szCs w:val="20"/>
          <w:lang w:val="es-CR"/>
        </w:rPr>
        <w:t>principio de economía procesal. Finalmente, el Estado pidió a la Corte que se rechace el peritaje propuesto por los representa</w:t>
      </w:r>
      <w:r w:rsidR="000C4941">
        <w:rPr>
          <w:szCs w:val="20"/>
          <w:lang w:val="es-CR"/>
        </w:rPr>
        <w:t>ntes de las presuntas víctimas.</w:t>
      </w:r>
    </w:p>
    <w:p w14:paraId="3C334151" w14:textId="34AA17CC" w:rsidR="00BB4C91" w:rsidRPr="00DF585C" w:rsidRDefault="007D7533" w:rsidP="00BC467D">
      <w:pPr>
        <w:pStyle w:val="Prrafodelista"/>
        <w:spacing w:after="0"/>
        <w:ind w:left="0"/>
      </w:pPr>
      <w:r w:rsidRPr="00C95DA6">
        <w:rPr>
          <w:szCs w:val="20"/>
          <w:lang w:val="es-CR"/>
        </w:rPr>
        <w:t xml:space="preserve"> </w:t>
      </w:r>
    </w:p>
    <w:p w14:paraId="3C334152" w14:textId="005A75F6" w:rsidR="00BB4C91" w:rsidRPr="00645344" w:rsidRDefault="00081AB5" w:rsidP="00F94748">
      <w:pPr>
        <w:widowControl w:val="0"/>
        <w:numPr>
          <w:ilvl w:val="0"/>
          <w:numId w:val="2"/>
        </w:numPr>
        <w:tabs>
          <w:tab w:val="left" w:pos="567"/>
          <w:tab w:val="left" w:pos="810"/>
        </w:tabs>
        <w:autoSpaceDE w:val="0"/>
        <w:autoSpaceDN w:val="0"/>
        <w:adjustRightInd w:val="0"/>
        <w:spacing w:after="0" w:line="240" w:lineRule="auto"/>
        <w:ind w:left="0" w:right="22" w:firstLine="0"/>
        <w:jc w:val="both"/>
        <w:rPr>
          <w:rFonts w:ascii="Verdana" w:hAnsi="Verdana"/>
          <w:sz w:val="20"/>
          <w:szCs w:val="20"/>
          <w:lang w:val="es-CR"/>
        </w:rPr>
      </w:pPr>
      <w:r w:rsidRPr="00645344">
        <w:rPr>
          <w:rFonts w:ascii="Verdana" w:eastAsiaTheme="minorHAnsi" w:hAnsi="Verdana"/>
          <w:color w:val="000000"/>
          <w:sz w:val="20"/>
          <w:szCs w:val="20"/>
          <w:lang w:val="es-CR"/>
        </w:rPr>
        <w:t>En cuanto a las declaraciones ofrecidas que no han sido objetadas, esta Presidencia considera conveniente recabar dicha prueba, a efectos de que el Tribunal pueda apreciar su valor en la debida oportunidad procesal, dentro del contexto del acervo probatorio existente y según las reglas de la sana crítica. Por consig</w:t>
      </w:r>
      <w:r w:rsidR="00AD2963">
        <w:rPr>
          <w:rFonts w:ascii="Verdana" w:eastAsiaTheme="minorHAnsi" w:hAnsi="Verdana"/>
          <w:color w:val="000000"/>
          <w:sz w:val="20"/>
          <w:szCs w:val="20"/>
          <w:lang w:val="es-CR"/>
        </w:rPr>
        <w:t>uiente, el Presidente admite la</w:t>
      </w:r>
      <w:r w:rsidRPr="00645344">
        <w:rPr>
          <w:rFonts w:ascii="Verdana" w:eastAsiaTheme="minorHAnsi" w:hAnsi="Verdana"/>
          <w:color w:val="000000"/>
          <w:sz w:val="20"/>
          <w:szCs w:val="20"/>
          <w:lang w:val="es-CR"/>
        </w:rPr>
        <w:t xml:space="preserve"> declaraci</w:t>
      </w:r>
      <w:r w:rsidR="00556E99">
        <w:rPr>
          <w:rFonts w:ascii="Verdana" w:eastAsiaTheme="minorHAnsi" w:hAnsi="Verdana"/>
          <w:color w:val="000000"/>
          <w:sz w:val="20"/>
          <w:szCs w:val="20"/>
          <w:lang w:val="es-CR"/>
        </w:rPr>
        <w:t xml:space="preserve">ón </w:t>
      </w:r>
      <w:r w:rsidRPr="00645344">
        <w:rPr>
          <w:rFonts w:ascii="Verdana" w:eastAsiaTheme="minorHAnsi" w:hAnsi="Verdana"/>
          <w:color w:val="000000"/>
          <w:sz w:val="20"/>
          <w:szCs w:val="20"/>
          <w:lang w:val="es-CR"/>
        </w:rPr>
        <w:t xml:space="preserve">de </w:t>
      </w:r>
      <w:r w:rsidR="007D7533">
        <w:rPr>
          <w:rFonts w:ascii="Verdana" w:eastAsiaTheme="minorHAnsi" w:hAnsi="Verdana"/>
          <w:color w:val="000000"/>
          <w:sz w:val="20"/>
          <w:szCs w:val="20"/>
          <w:lang w:val="es-CR"/>
        </w:rPr>
        <w:t xml:space="preserve">Dante Ludwig </w:t>
      </w:r>
      <w:proofErr w:type="spellStart"/>
      <w:r w:rsidR="007D7533">
        <w:rPr>
          <w:rFonts w:ascii="Verdana" w:eastAsiaTheme="minorHAnsi" w:hAnsi="Verdana"/>
          <w:color w:val="000000"/>
          <w:sz w:val="20"/>
          <w:szCs w:val="20"/>
          <w:lang w:val="es-CR"/>
        </w:rPr>
        <w:t>Apolín</w:t>
      </w:r>
      <w:proofErr w:type="spellEnd"/>
      <w:r w:rsidR="007D7533">
        <w:rPr>
          <w:rFonts w:ascii="Verdana" w:eastAsiaTheme="minorHAnsi" w:hAnsi="Verdana"/>
          <w:color w:val="000000"/>
          <w:sz w:val="20"/>
          <w:szCs w:val="20"/>
          <w:lang w:val="es-CR"/>
        </w:rPr>
        <w:t xml:space="preserve"> Meza,</w:t>
      </w:r>
      <w:r w:rsidR="000C4941">
        <w:rPr>
          <w:rFonts w:ascii="Verdana" w:eastAsiaTheme="minorHAnsi" w:hAnsi="Verdana"/>
          <w:color w:val="000000"/>
          <w:sz w:val="20"/>
          <w:szCs w:val="20"/>
          <w:lang w:val="es-CR"/>
        </w:rPr>
        <w:t xml:space="preserve"> perito propuesto por el Estado.</w:t>
      </w:r>
    </w:p>
    <w:p w14:paraId="3C334153" w14:textId="77777777" w:rsidR="008A058B" w:rsidRPr="00645344" w:rsidRDefault="008A058B" w:rsidP="00F94748">
      <w:pPr>
        <w:pStyle w:val="Prrafodelista"/>
        <w:widowControl w:val="0"/>
        <w:tabs>
          <w:tab w:val="left" w:pos="567"/>
          <w:tab w:val="left" w:pos="810"/>
        </w:tabs>
        <w:autoSpaceDE w:val="0"/>
        <w:autoSpaceDN w:val="0"/>
        <w:adjustRightInd w:val="0"/>
        <w:spacing w:after="0"/>
        <w:ind w:left="0" w:right="23"/>
        <w:rPr>
          <w:rFonts w:cs="Verdana"/>
          <w:szCs w:val="20"/>
        </w:rPr>
      </w:pPr>
    </w:p>
    <w:p w14:paraId="3C334154" w14:textId="77777777" w:rsidR="008A058B" w:rsidRPr="00645344" w:rsidRDefault="008A058B" w:rsidP="00F94748">
      <w:pPr>
        <w:pStyle w:val="Prrafodelista"/>
        <w:widowControl w:val="0"/>
        <w:numPr>
          <w:ilvl w:val="0"/>
          <w:numId w:val="2"/>
        </w:numPr>
        <w:tabs>
          <w:tab w:val="left" w:pos="567"/>
          <w:tab w:val="left" w:pos="810"/>
        </w:tabs>
        <w:autoSpaceDE w:val="0"/>
        <w:autoSpaceDN w:val="0"/>
        <w:adjustRightInd w:val="0"/>
        <w:spacing w:after="0"/>
        <w:ind w:left="0" w:right="22" w:firstLine="0"/>
        <w:contextualSpacing w:val="0"/>
        <w:rPr>
          <w:szCs w:val="20"/>
        </w:rPr>
      </w:pPr>
      <w:r w:rsidRPr="00645344">
        <w:rPr>
          <w:rFonts w:cs="Verdana"/>
          <w:szCs w:val="20"/>
          <w:lang w:val="es-CR"/>
        </w:rPr>
        <w:t xml:space="preserve">A continuación, el Presidente procederá a examinar en forma particular: a) la admisibilidad de la prueba pericial ofrecida por </w:t>
      </w:r>
      <w:r w:rsidR="00B63E1C" w:rsidRPr="00645344">
        <w:rPr>
          <w:rFonts w:cs="Verdana"/>
          <w:szCs w:val="20"/>
          <w:lang w:val="es-CR"/>
        </w:rPr>
        <w:t>la Comisión</w:t>
      </w:r>
      <w:r w:rsidR="003866F2" w:rsidRPr="00645344">
        <w:rPr>
          <w:rFonts w:cs="Verdana"/>
          <w:szCs w:val="20"/>
          <w:lang w:val="es-CR"/>
        </w:rPr>
        <w:t>,</w:t>
      </w:r>
      <w:r w:rsidRPr="00645344">
        <w:rPr>
          <w:rFonts w:cs="Verdana"/>
          <w:szCs w:val="20"/>
          <w:lang w:val="es-CR"/>
        </w:rPr>
        <w:t xml:space="preserve"> b) </w:t>
      </w:r>
      <w:r w:rsidRPr="00645344">
        <w:rPr>
          <w:szCs w:val="20"/>
        </w:rPr>
        <w:t>La admisibilidad de la prueba pericial ofrecida por</w:t>
      </w:r>
      <w:r w:rsidR="00B63E1C" w:rsidRPr="00645344">
        <w:rPr>
          <w:szCs w:val="20"/>
        </w:rPr>
        <w:t xml:space="preserve"> los representantes</w:t>
      </w:r>
      <w:r w:rsidR="00B63E1C" w:rsidRPr="00645344">
        <w:rPr>
          <w:szCs w:val="20"/>
          <w:lang w:val="es-CR"/>
        </w:rPr>
        <w:t xml:space="preserve"> c) La admisibilidad de las declaraciones testimoniales o</w:t>
      </w:r>
      <w:r w:rsidR="003866F2" w:rsidRPr="00645344">
        <w:rPr>
          <w:szCs w:val="20"/>
          <w:lang w:val="es-CR"/>
        </w:rPr>
        <w:t xml:space="preserve">frecidas por los representantes, d) La </w:t>
      </w:r>
      <w:r w:rsidR="00C6652A" w:rsidRPr="00645344">
        <w:rPr>
          <w:szCs w:val="20"/>
          <w:lang w:val="es-CR"/>
        </w:rPr>
        <w:t xml:space="preserve">admisibilidad de las pruebas periciales ofrecidas por el Estado, y d) La admisibilidad de las pruebas testimoniales ofrecidas por el Estado. </w:t>
      </w:r>
    </w:p>
    <w:p w14:paraId="3C334155" w14:textId="77777777" w:rsidR="00B01775" w:rsidRPr="00B01775" w:rsidRDefault="00B01775" w:rsidP="00152381">
      <w:pPr>
        <w:pStyle w:val="Prrafodelista"/>
        <w:widowControl w:val="0"/>
        <w:tabs>
          <w:tab w:val="left" w:pos="567"/>
          <w:tab w:val="left" w:pos="810"/>
        </w:tabs>
        <w:autoSpaceDE w:val="0"/>
        <w:autoSpaceDN w:val="0"/>
        <w:adjustRightInd w:val="0"/>
        <w:spacing w:after="0"/>
        <w:ind w:left="0" w:right="22"/>
        <w:contextualSpacing w:val="0"/>
        <w:rPr>
          <w:szCs w:val="20"/>
        </w:rPr>
      </w:pPr>
    </w:p>
    <w:p w14:paraId="3C334158" w14:textId="0F30C726" w:rsidR="00B01775" w:rsidRDefault="008A058B" w:rsidP="00152381">
      <w:pPr>
        <w:pStyle w:val="Prrafodelista"/>
        <w:widowControl w:val="0"/>
        <w:numPr>
          <w:ilvl w:val="0"/>
          <w:numId w:val="3"/>
        </w:numPr>
        <w:tabs>
          <w:tab w:val="left" w:pos="567"/>
          <w:tab w:val="left" w:pos="7740"/>
        </w:tabs>
        <w:autoSpaceDE w:val="0"/>
        <w:autoSpaceDN w:val="0"/>
        <w:adjustRightInd w:val="0"/>
        <w:spacing w:after="0"/>
        <w:ind w:right="22"/>
        <w:contextualSpacing w:val="0"/>
        <w:rPr>
          <w:b/>
          <w:i/>
          <w:szCs w:val="20"/>
        </w:rPr>
      </w:pPr>
      <w:r w:rsidRPr="0049251E">
        <w:rPr>
          <w:b/>
          <w:i/>
          <w:szCs w:val="20"/>
        </w:rPr>
        <w:t xml:space="preserve">La admisibilidad </w:t>
      </w:r>
      <w:r w:rsidR="00EF23EC">
        <w:rPr>
          <w:b/>
          <w:i/>
          <w:szCs w:val="20"/>
        </w:rPr>
        <w:t xml:space="preserve">del traslado de un peritaje </w:t>
      </w:r>
      <w:r w:rsidR="00C95DA6">
        <w:rPr>
          <w:b/>
          <w:i/>
          <w:szCs w:val="20"/>
        </w:rPr>
        <w:t xml:space="preserve">ofrecido por la Comisión </w:t>
      </w:r>
      <w:r w:rsidR="00EF23EC">
        <w:rPr>
          <w:b/>
          <w:i/>
          <w:szCs w:val="20"/>
        </w:rPr>
        <w:t xml:space="preserve">rendido en </w:t>
      </w:r>
      <w:r w:rsidR="00C95DA6">
        <w:rPr>
          <w:b/>
          <w:i/>
          <w:szCs w:val="20"/>
        </w:rPr>
        <w:t>otro caso</w:t>
      </w:r>
    </w:p>
    <w:p w14:paraId="256F6782" w14:textId="77777777" w:rsidR="00EF23EC" w:rsidRPr="0049251E" w:rsidRDefault="00EF23EC" w:rsidP="00152381">
      <w:pPr>
        <w:pStyle w:val="Prrafodelista"/>
        <w:widowControl w:val="0"/>
        <w:tabs>
          <w:tab w:val="left" w:pos="567"/>
          <w:tab w:val="left" w:pos="7740"/>
        </w:tabs>
        <w:autoSpaceDE w:val="0"/>
        <w:autoSpaceDN w:val="0"/>
        <w:adjustRightInd w:val="0"/>
        <w:spacing w:after="0"/>
        <w:ind w:right="22"/>
        <w:contextualSpacing w:val="0"/>
        <w:rPr>
          <w:b/>
          <w:i/>
          <w:szCs w:val="20"/>
        </w:rPr>
      </w:pPr>
    </w:p>
    <w:p w14:paraId="3C334159" w14:textId="6CD233B3" w:rsidR="00A53834" w:rsidRPr="009643C9" w:rsidRDefault="00C6652A" w:rsidP="00152381">
      <w:pPr>
        <w:pStyle w:val="Prrafodelista"/>
        <w:numPr>
          <w:ilvl w:val="0"/>
          <w:numId w:val="2"/>
        </w:numPr>
        <w:tabs>
          <w:tab w:val="left" w:pos="540"/>
        </w:tabs>
        <w:autoSpaceDE w:val="0"/>
        <w:autoSpaceDN w:val="0"/>
        <w:adjustRightInd w:val="0"/>
        <w:spacing w:after="0"/>
        <w:ind w:left="0" w:firstLine="0"/>
        <w:rPr>
          <w:szCs w:val="20"/>
          <w:lang w:val="es-CR"/>
        </w:rPr>
      </w:pPr>
      <w:r w:rsidRPr="009643C9">
        <w:rPr>
          <w:szCs w:val="20"/>
        </w:rPr>
        <w:t xml:space="preserve">En su </w:t>
      </w:r>
      <w:r w:rsidR="00746EDC" w:rsidRPr="009643C9">
        <w:rPr>
          <w:szCs w:val="20"/>
        </w:rPr>
        <w:t>I</w:t>
      </w:r>
      <w:r w:rsidRPr="009643C9">
        <w:rPr>
          <w:szCs w:val="20"/>
        </w:rPr>
        <w:t xml:space="preserve">nforme de </w:t>
      </w:r>
      <w:r w:rsidR="00746EDC" w:rsidRPr="009643C9">
        <w:rPr>
          <w:szCs w:val="20"/>
        </w:rPr>
        <w:t>F</w:t>
      </w:r>
      <w:r w:rsidRPr="009643C9">
        <w:rPr>
          <w:szCs w:val="20"/>
        </w:rPr>
        <w:t>ondo, l</w:t>
      </w:r>
      <w:r w:rsidR="00B01775" w:rsidRPr="009643C9">
        <w:rPr>
          <w:szCs w:val="20"/>
        </w:rPr>
        <w:t xml:space="preserve">a </w:t>
      </w:r>
      <w:r w:rsidR="00B01775" w:rsidRPr="0058599B">
        <w:rPr>
          <w:i/>
          <w:szCs w:val="20"/>
        </w:rPr>
        <w:t>Comisión</w:t>
      </w:r>
      <w:r w:rsidR="00B01775" w:rsidRPr="0058599B">
        <w:rPr>
          <w:szCs w:val="20"/>
        </w:rPr>
        <w:t xml:space="preserve"> </w:t>
      </w:r>
      <w:r w:rsidR="00B01775" w:rsidRPr="009643C9">
        <w:rPr>
          <w:szCs w:val="20"/>
        </w:rPr>
        <w:t xml:space="preserve">ofreció como prueba pericial el dictamen de un perito </w:t>
      </w:r>
      <w:r w:rsidR="00B01775" w:rsidRPr="009643C9">
        <w:rPr>
          <w:szCs w:val="20"/>
          <w:lang w:val="es-CR"/>
        </w:rPr>
        <w:t>“quien declarará sobre la falta de</w:t>
      </w:r>
      <w:r w:rsidR="00ED7E4A" w:rsidRPr="009643C9">
        <w:rPr>
          <w:szCs w:val="20"/>
          <w:lang w:val="es-CR"/>
        </w:rPr>
        <w:t xml:space="preserve"> </w:t>
      </w:r>
      <w:r w:rsidR="00B01775" w:rsidRPr="009643C9">
        <w:rPr>
          <w:szCs w:val="20"/>
          <w:lang w:val="es-CR"/>
        </w:rPr>
        <w:t>cumplimiento de sentencias judiciales que reconocen derechos pensionarios como una forma de</w:t>
      </w:r>
      <w:r w:rsidRPr="009643C9">
        <w:rPr>
          <w:szCs w:val="20"/>
          <w:lang w:val="es-CR"/>
        </w:rPr>
        <w:t xml:space="preserve"> </w:t>
      </w:r>
      <w:r w:rsidR="00B01775" w:rsidRPr="009643C9">
        <w:rPr>
          <w:szCs w:val="20"/>
          <w:lang w:val="es-CR"/>
        </w:rPr>
        <w:t>denegación de justicia en general y, específicamente, en materia de derechos económicos, sociales y culturales”</w:t>
      </w:r>
      <w:r w:rsidR="00C95DA6" w:rsidRPr="009643C9">
        <w:rPr>
          <w:szCs w:val="20"/>
          <w:lang w:val="es-CR"/>
        </w:rPr>
        <w:t>.</w:t>
      </w:r>
      <w:r w:rsidR="003133CA" w:rsidRPr="009643C9">
        <w:rPr>
          <w:szCs w:val="20"/>
          <w:lang w:val="es-CR"/>
        </w:rPr>
        <w:t xml:space="preserve"> En su lista definitiva de declarantes </w:t>
      </w:r>
      <w:r w:rsidR="00746EDC" w:rsidRPr="009643C9">
        <w:rPr>
          <w:szCs w:val="20"/>
          <w:lang w:val="es-CR"/>
        </w:rPr>
        <w:t xml:space="preserve">de </w:t>
      </w:r>
      <w:r w:rsidR="003133CA" w:rsidRPr="009643C9">
        <w:rPr>
          <w:szCs w:val="20"/>
          <w:lang w:val="es-CR"/>
        </w:rPr>
        <w:t>23 de enero</w:t>
      </w:r>
      <w:r w:rsidR="00746EDC" w:rsidRPr="009643C9">
        <w:rPr>
          <w:szCs w:val="20"/>
          <w:lang w:val="es-CR"/>
        </w:rPr>
        <w:t xml:space="preserve"> de 2018</w:t>
      </w:r>
      <w:r w:rsidR="003133CA" w:rsidRPr="009643C9">
        <w:rPr>
          <w:szCs w:val="20"/>
          <w:lang w:val="es-CR"/>
        </w:rPr>
        <w:t xml:space="preserve">, la Comisión </w:t>
      </w:r>
      <w:r w:rsidR="00746EDC" w:rsidRPr="009643C9">
        <w:rPr>
          <w:szCs w:val="20"/>
          <w:lang w:val="es-CR"/>
        </w:rPr>
        <w:t xml:space="preserve">solicitó transferir </w:t>
      </w:r>
      <w:r w:rsidR="003133CA" w:rsidRPr="009643C9">
        <w:rPr>
          <w:szCs w:val="20"/>
          <w:lang w:val="es-CR"/>
        </w:rPr>
        <w:t>la declaración</w:t>
      </w:r>
      <w:r w:rsidR="00746EDC" w:rsidRPr="009643C9">
        <w:rPr>
          <w:szCs w:val="20"/>
          <w:lang w:val="es-CR"/>
        </w:rPr>
        <w:t xml:space="preserve"> pericial</w:t>
      </w:r>
      <w:r w:rsidR="003133CA" w:rsidRPr="009643C9">
        <w:rPr>
          <w:szCs w:val="20"/>
          <w:lang w:val="es-CR"/>
        </w:rPr>
        <w:t xml:space="preserve"> de Christian </w:t>
      </w:r>
      <w:proofErr w:type="spellStart"/>
      <w:r w:rsidR="003133CA" w:rsidRPr="009643C9">
        <w:rPr>
          <w:szCs w:val="20"/>
          <w:lang w:val="es-CR"/>
        </w:rPr>
        <w:t>Courtis</w:t>
      </w:r>
      <w:proofErr w:type="spellEnd"/>
      <w:r w:rsidR="003133CA" w:rsidRPr="009643C9">
        <w:rPr>
          <w:szCs w:val="20"/>
          <w:lang w:val="es-CR"/>
        </w:rPr>
        <w:t xml:space="preserve">, presentado en el caso </w:t>
      </w:r>
      <w:r w:rsidR="003133CA" w:rsidRPr="009643C9">
        <w:rPr>
          <w:i/>
          <w:szCs w:val="20"/>
          <w:lang w:val="es-CR"/>
        </w:rPr>
        <w:t>Muelle Flores</w:t>
      </w:r>
      <w:r w:rsidR="00BB4C91" w:rsidRPr="009643C9">
        <w:rPr>
          <w:i/>
          <w:szCs w:val="20"/>
          <w:lang w:val="es-CR"/>
        </w:rPr>
        <w:t xml:space="preserve"> </w:t>
      </w:r>
      <w:r w:rsidR="00746EDC" w:rsidRPr="009643C9">
        <w:rPr>
          <w:i/>
          <w:szCs w:val="20"/>
          <w:lang w:val="es-CR"/>
        </w:rPr>
        <w:t>V</w:t>
      </w:r>
      <w:r w:rsidR="00BB4C91" w:rsidRPr="009643C9">
        <w:rPr>
          <w:i/>
          <w:szCs w:val="20"/>
          <w:lang w:val="es-CR"/>
        </w:rPr>
        <w:t>s</w:t>
      </w:r>
      <w:r w:rsidR="00746EDC" w:rsidRPr="009643C9">
        <w:rPr>
          <w:i/>
          <w:szCs w:val="20"/>
          <w:lang w:val="es-CR"/>
        </w:rPr>
        <w:t>.</w:t>
      </w:r>
      <w:r w:rsidR="00BB4C91" w:rsidRPr="009643C9">
        <w:rPr>
          <w:i/>
          <w:szCs w:val="20"/>
          <w:lang w:val="es-CR"/>
        </w:rPr>
        <w:t xml:space="preserve"> Perú</w:t>
      </w:r>
      <w:r w:rsidR="00EF23EC" w:rsidRPr="009643C9">
        <w:rPr>
          <w:szCs w:val="20"/>
          <w:lang w:val="es-CR"/>
        </w:rPr>
        <w:t xml:space="preserve">, mediante </w:t>
      </w:r>
      <w:r w:rsidR="00AD2963">
        <w:rPr>
          <w:i/>
          <w:szCs w:val="20"/>
          <w:lang w:val="es-CR"/>
        </w:rPr>
        <w:t>affidá</w:t>
      </w:r>
      <w:r w:rsidR="00EF23EC" w:rsidRPr="009643C9">
        <w:rPr>
          <w:i/>
          <w:szCs w:val="20"/>
          <w:lang w:val="es-CR"/>
        </w:rPr>
        <w:t>vit</w:t>
      </w:r>
      <w:r w:rsidR="003133CA" w:rsidRPr="009643C9">
        <w:rPr>
          <w:szCs w:val="20"/>
          <w:lang w:val="es-CR"/>
        </w:rPr>
        <w:t xml:space="preserve">. </w:t>
      </w:r>
    </w:p>
    <w:p w14:paraId="3C33415A" w14:textId="77777777" w:rsidR="00A53834" w:rsidRPr="009643C9" w:rsidRDefault="00A53834" w:rsidP="00152381">
      <w:pPr>
        <w:pStyle w:val="Prrafodelista"/>
        <w:tabs>
          <w:tab w:val="left" w:pos="540"/>
        </w:tabs>
        <w:autoSpaceDE w:val="0"/>
        <w:autoSpaceDN w:val="0"/>
        <w:adjustRightInd w:val="0"/>
        <w:spacing w:after="0"/>
        <w:ind w:left="0"/>
        <w:rPr>
          <w:szCs w:val="20"/>
          <w:lang w:val="es-CR"/>
        </w:rPr>
      </w:pPr>
    </w:p>
    <w:p w14:paraId="3C33415B" w14:textId="31899CB7" w:rsidR="009B6BD2" w:rsidRPr="009643C9" w:rsidRDefault="00B01775" w:rsidP="00152381">
      <w:pPr>
        <w:pStyle w:val="Prrafodelista"/>
        <w:numPr>
          <w:ilvl w:val="0"/>
          <w:numId w:val="2"/>
        </w:numPr>
        <w:tabs>
          <w:tab w:val="left" w:pos="540"/>
        </w:tabs>
        <w:autoSpaceDE w:val="0"/>
        <w:autoSpaceDN w:val="0"/>
        <w:adjustRightInd w:val="0"/>
        <w:spacing w:after="0"/>
        <w:ind w:left="0" w:firstLine="0"/>
        <w:rPr>
          <w:szCs w:val="20"/>
          <w:lang w:val="es-CR"/>
        </w:rPr>
      </w:pPr>
      <w:r w:rsidRPr="009643C9">
        <w:rPr>
          <w:szCs w:val="20"/>
          <w:lang w:val="es-CR"/>
        </w:rPr>
        <w:t xml:space="preserve">La Comisión consideró </w:t>
      </w:r>
      <w:r w:rsidRPr="009643C9">
        <w:rPr>
          <w:rFonts w:eastAsiaTheme="minorHAnsi" w:cs="Times New Roman"/>
          <w:lang w:val="es-CR"/>
        </w:rPr>
        <w:t>que el presente caso plantea cuestiones de orden público interamericano</w:t>
      </w:r>
      <w:r w:rsidR="00641FD6" w:rsidRPr="009643C9">
        <w:rPr>
          <w:rFonts w:eastAsiaTheme="minorHAnsi" w:cs="Times New Roman"/>
          <w:lang w:val="es-CR"/>
        </w:rPr>
        <w:t>, en los términos del artículo 35.1 f) del Reglamento</w:t>
      </w:r>
      <w:r w:rsidR="00556E99" w:rsidRPr="009643C9">
        <w:rPr>
          <w:rFonts w:eastAsiaTheme="minorHAnsi" w:cs="Times New Roman"/>
          <w:lang w:val="es-CR"/>
        </w:rPr>
        <w:t>, pues “</w:t>
      </w:r>
      <w:r w:rsidRPr="009643C9">
        <w:rPr>
          <w:rFonts w:eastAsiaTheme="minorHAnsi" w:cs="Times New Roman"/>
          <w:lang w:val="es-CR"/>
        </w:rPr>
        <w:t>constituye una manifestación de un problema de alcance estructural relativo al incumplimiento de sentencias judiciales, particularmente en lo relativo a derechos pensionarios</w:t>
      </w:r>
      <w:r w:rsidR="00556E99" w:rsidRPr="009643C9">
        <w:rPr>
          <w:rFonts w:eastAsiaTheme="minorHAnsi" w:cs="Times New Roman"/>
          <w:lang w:val="es-CR"/>
        </w:rPr>
        <w:t>”</w:t>
      </w:r>
      <w:r w:rsidRPr="009643C9">
        <w:rPr>
          <w:rFonts w:eastAsiaTheme="minorHAnsi" w:cs="Times New Roman"/>
          <w:lang w:val="es-CR"/>
        </w:rPr>
        <w:t xml:space="preserve">. </w:t>
      </w:r>
      <w:r w:rsidR="00746EDC" w:rsidRPr="009643C9">
        <w:rPr>
          <w:rFonts w:eastAsiaTheme="minorHAnsi" w:cs="Times New Roman"/>
          <w:lang w:val="es-CR"/>
        </w:rPr>
        <w:t xml:space="preserve">Precisó que estos casos hacen parte de un </w:t>
      </w:r>
      <w:r w:rsidRPr="009643C9">
        <w:rPr>
          <w:rFonts w:eastAsiaTheme="minorHAnsi" w:cs="Times New Roman"/>
          <w:lang w:val="es-CR"/>
        </w:rPr>
        <w:t xml:space="preserve">contexto más general reconocido por la Defensoría del Pueblo </w:t>
      </w:r>
      <w:r w:rsidR="00556E99" w:rsidRPr="009643C9">
        <w:rPr>
          <w:rFonts w:eastAsiaTheme="minorHAnsi" w:cs="Times New Roman"/>
          <w:lang w:val="es-CR"/>
        </w:rPr>
        <w:t xml:space="preserve">en relación con la </w:t>
      </w:r>
      <w:r w:rsidRPr="009643C9">
        <w:rPr>
          <w:rFonts w:eastAsiaTheme="minorHAnsi" w:cs="Times New Roman"/>
          <w:lang w:val="es-CR"/>
        </w:rPr>
        <w:t>denegación de justicia en materia de derechos económicos, sociales y culturales.</w:t>
      </w:r>
      <w:r w:rsidR="009B6BD2" w:rsidRPr="009643C9">
        <w:rPr>
          <w:rFonts w:eastAsiaTheme="minorHAnsi" w:cs="Times New Roman"/>
          <w:lang w:val="es-CR"/>
        </w:rPr>
        <w:t xml:space="preserve"> </w:t>
      </w:r>
    </w:p>
    <w:p w14:paraId="3C33415C" w14:textId="77777777" w:rsidR="00A53834" w:rsidRPr="009643C9" w:rsidRDefault="00A53834" w:rsidP="00152381">
      <w:pPr>
        <w:pStyle w:val="Prrafodelista"/>
        <w:spacing w:after="0"/>
        <w:rPr>
          <w:szCs w:val="20"/>
          <w:lang w:val="es-CR"/>
        </w:rPr>
      </w:pPr>
    </w:p>
    <w:p w14:paraId="3C33415D" w14:textId="58CC80F8" w:rsidR="009B6BD2" w:rsidRPr="009643C9" w:rsidRDefault="003A6A45" w:rsidP="00152381">
      <w:pPr>
        <w:pStyle w:val="Prrafodelista"/>
        <w:numPr>
          <w:ilvl w:val="0"/>
          <w:numId w:val="2"/>
        </w:numPr>
        <w:autoSpaceDE w:val="0"/>
        <w:autoSpaceDN w:val="0"/>
        <w:adjustRightInd w:val="0"/>
        <w:spacing w:after="0"/>
        <w:ind w:left="0" w:firstLine="0"/>
        <w:rPr>
          <w:szCs w:val="20"/>
          <w:lang w:val="es-CR"/>
        </w:rPr>
      </w:pPr>
      <w:r w:rsidRPr="009643C9">
        <w:rPr>
          <w:szCs w:val="20"/>
          <w:lang w:val="es-CR"/>
        </w:rPr>
        <w:t>E</w:t>
      </w:r>
      <w:r w:rsidR="00192A4A" w:rsidRPr="009643C9">
        <w:rPr>
          <w:szCs w:val="20"/>
          <w:lang w:val="es-CR"/>
        </w:rPr>
        <w:t xml:space="preserve">l </w:t>
      </w:r>
      <w:r w:rsidR="00192A4A" w:rsidRPr="0058599B">
        <w:rPr>
          <w:i/>
          <w:szCs w:val="20"/>
          <w:lang w:val="es-CR"/>
        </w:rPr>
        <w:t>Estado</w:t>
      </w:r>
      <w:r w:rsidR="00192A4A" w:rsidRPr="009643C9">
        <w:rPr>
          <w:szCs w:val="20"/>
          <w:lang w:val="es-CR"/>
        </w:rPr>
        <w:t xml:space="preserve"> objet</w:t>
      </w:r>
      <w:r w:rsidRPr="009643C9">
        <w:rPr>
          <w:szCs w:val="20"/>
          <w:lang w:val="es-CR"/>
        </w:rPr>
        <w:t>ó</w:t>
      </w:r>
      <w:r w:rsidR="00192A4A" w:rsidRPr="009643C9">
        <w:rPr>
          <w:szCs w:val="20"/>
          <w:lang w:val="es-CR"/>
        </w:rPr>
        <w:t xml:space="preserve"> el ofrecimiento de dicha prueba</w:t>
      </w:r>
      <w:r w:rsidRPr="009643C9">
        <w:rPr>
          <w:szCs w:val="20"/>
          <w:lang w:val="es-CR"/>
        </w:rPr>
        <w:t xml:space="preserve">, alegando que </w:t>
      </w:r>
      <w:r w:rsidRPr="009643C9">
        <w:rPr>
          <w:szCs w:val="20"/>
          <w:lang w:val="es-MX"/>
        </w:rPr>
        <w:t xml:space="preserve">“la Comisión no fundamentó de forma suficiente por qué el peritaje propuesto se relacionaba con el orden </w:t>
      </w:r>
      <w:r w:rsidRPr="009643C9">
        <w:rPr>
          <w:szCs w:val="20"/>
          <w:lang w:val="es-MX"/>
        </w:rPr>
        <w:lastRenderedPageBreak/>
        <w:t>público interamericano” y por ser traslado “contiene serias limitaciones para s</w:t>
      </w:r>
      <w:r w:rsidR="000C4941">
        <w:rPr>
          <w:szCs w:val="20"/>
          <w:lang w:val="es-MX"/>
        </w:rPr>
        <w:t>u aplicación al presente caso.”</w:t>
      </w:r>
    </w:p>
    <w:p w14:paraId="4FE5FB64" w14:textId="77777777" w:rsidR="00EF23EC" w:rsidRPr="009643C9" w:rsidRDefault="00EF23EC" w:rsidP="00152381">
      <w:pPr>
        <w:pStyle w:val="Prrafodelista"/>
        <w:spacing w:after="0"/>
        <w:rPr>
          <w:szCs w:val="20"/>
          <w:highlight w:val="yellow"/>
          <w:lang w:val="es-CR"/>
        </w:rPr>
      </w:pPr>
    </w:p>
    <w:p w14:paraId="122FD408" w14:textId="73DFBBA1" w:rsidR="00EF23EC" w:rsidRPr="009643C9" w:rsidRDefault="00EF23EC" w:rsidP="00152381">
      <w:pPr>
        <w:pStyle w:val="Prrafodelista"/>
        <w:numPr>
          <w:ilvl w:val="0"/>
          <w:numId w:val="2"/>
        </w:numPr>
        <w:tabs>
          <w:tab w:val="left" w:pos="540"/>
        </w:tabs>
        <w:autoSpaceDE w:val="0"/>
        <w:autoSpaceDN w:val="0"/>
        <w:adjustRightInd w:val="0"/>
        <w:spacing w:after="0"/>
        <w:ind w:left="0" w:firstLine="0"/>
        <w:rPr>
          <w:szCs w:val="20"/>
          <w:lang w:val="es-CR"/>
        </w:rPr>
      </w:pPr>
      <w:r w:rsidRPr="009643C9">
        <w:rPr>
          <w:szCs w:val="20"/>
          <w:lang w:val="es-CR"/>
        </w:rPr>
        <w:t xml:space="preserve">En primer lugar, el Presidente reitera que la incorporación de dictámenes periciales rendidos en otros casos en trámite no significa que tales elementos tengan el valor o peso probatorio de un dictamen pericial. </w:t>
      </w:r>
      <w:r w:rsidR="0058765C" w:rsidRPr="009643C9">
        <w:rPr>
          <w:szCs w:val="20"/>
          <w:lang w:val="es-CR"/>
        </w:rPr>
        <w:t>De tal modo, en oportunidades anteriores, la Presidencia de la Corte ha considerado pertinente el traslado de peritajes rendidos en otros casos, como elementos documentales para que la Corte determine su admisibilidad y valor probatorio en el momento procesal oportuno</w:t>
      </w:r>
      <w:r w:rsidR="0058765C" w:rsidRPr="009643C9">
        <w:rPr>
          <w:rStyle w:val="Refdenotaalpie"/>
          <w:szCs w:val="20"/>
          <w:lang w:val="es-CR"/>
        </w:rPr>
        <w:footnoteReference w:id="2"/>
      </w:r>
      <w:r w:rsidR="0058765C" w:rsidRPr="009643C9">
        <w:rPr>
          <w:szCs w:val="20"/>
          <w:lang w:val="es-CR"/>
        </w:rPr>
        <w:t xml:space="preserve">. </w:t>
      </w:r>
    </w:p>
    <w:p w14:paraId="38190B8B" w14:textId="77777777" w:rsidR="00C673AE" w:rsidRPr="009643C9" w:rsidRDefault="00C673AE" w:rsidP="00152381">
      <w:pPr>
        <w:pStyle w:val="Prrafodelista"/>
        <w:spacing w:after="0"/>
        <w:rPr>
          <w:szCs w:val="20"/>
          <w:lang w:val="es-CR"/>
        </w:rPr>
      </w:pPr>
    </w:p>
    <w:p w14:paraId="3C33415F" w14:textId="090419F1" w:rsidR="00A53834" w:rsidRPr="009643C9" w:rsidRDefault="00C95DA6" w:rsidP="00152381">
      <w:pPr>
        <w:pStyle w:val="Prrafodelista"/>
        <w:numPr>
          <w:ilvl w:val="0"/>
          <w:numId w:val="2"/>
        </w:numPr>
        <w:tabs>
          <w:tab w:val="left" w:pos="540"/>
        </w:tabs>
        <w:autoSpaceDE w:val="0"/>
        <w:autoSpaceDN w:val="0"/>
        <w:adjustRightInd w:val="0"/>
        <w:spacing w:after="0"/>
        <w:ind w:left="0" w:firstLine="0"/>
        <w:rPr>
          <w:szCs w:val="20"/>
          <w:lang w:val="es-CR"/>
        </w:rPr>
      </w:pPr>
      <w:r w:rsidRPr="009643C9">
        <w:rPr>
          <w:szCs w:val="20"/>
          <w:lang w:val="es-CR"/>
        </w:rPr>
        <w:t xml:space="preserve">En el caso </w:t>
      </w:r>
      <w:r w:rsidRPr="009643C9">
        <w:rPr>
          <w:i/>
          <w:szCs w:val="20"/>
          <w:lang w:val="es-CR"/>
        </w:rPr>
        <w:t>Muelle Flores Vs. Perú</w:t>
      </w:r>
      <w:r w:rsidRPr="009643C9">
        <w:rPr>
          <w:szCs w:val="20"/>
          <w:lang w:val="es-CR"/>
        </w:rPr>
        <w:t>, el Presidente consideró que “el objeto del peritaje ofrecido por la Comisión trasciende el interés de las partes en litigio y el objeto específico de este caso</w:t>
      </w:r>
      <w:r w:rsidR="00556E99" w:rsidRPr="009643C9">
        <w:rPr>
          <w:szCs w:val="20"/>
          <w:lang w:val="es-CR"/>
        </w:rPr>
        <w:t>”</w:t>
      </w:r>
      <w:r w:rsidRPr="009643C9">
        <w:rPr>
          <w:rStyle w:val="Refdenotaalpie"/>
          <w:szCs w:val="20"/>
          <w:lang w:val="es-CR"/>
        </w:rPr>
        <w:footnoteReference w:id="3"/>
      </w:r>
      <w:r w:rsidRPr="009643C9">
        <w:rPr>
          <w:szCs w:val="20"/>
          <w:lang w:val="es-CR"/>
        </w:rPr>
        <w:t xml:space="preserve">. En este sentido, </w:t>
      </w:r>
      <w:r w:rsidR="00AF6E93" w:rsidRPr="009643C9">
        <w:rPr>
          <w:szCs w:val="20"/>
          <w:lang w:val="es-CR"/>
        </w:rPr>
        <w:t xml:space="preserve">por la semejanza de los problemas jurídicos presentados en los dos casos, </w:t>
      </w:r>
      <w:r w:rsidR="00BC467D" w:rsidRPr="009643C9">
        <w:rPr>
          <w:szCs w:val="20"/>
          <w:lang w:val="es-CR"/>
        </w:rPr>
        <w:t xml:space="preserve">el Presidente </w:t>
      </w:r>
      <w:r w:rsidRPr="009643C9">
        <w:rPr>
          <w:szCs w:val="20"/>
          <w:lang w:val="es-CR"/>
        </w:rPr>
        <w:t xml:space="preserve">estima pertinente el traslado </w:t>
      </w:r>
      <w:r w:rsidR="00746EDC" w:rsidRPr="009643C9">
        <w:rPr>
          <w:szCs w:val="20"/>
          <w:lang w:val="es-CR"/>
        </w:rPr>
        <w:t>d</w:t>
      </w:r>
      <w:r w:rsidR="00AF6E93" w:rsidRPr="009643C9">
        <w:rPr>
          <w:szCs w:val="20"/>
          <w:lang w:val="es-CR"/>
        </w:rPr>
        <w:t xml:space="preserve">el peritaje </w:t>
      </w:r>
      <w:r w:rsidR="00746EDC" w:rsidRPr="009643C9">
        <w:rPr>
          <w:szCs w:val="20"/>
          <w:lang w:val="es-CR"/>
        </w:rPr>
        <w:t>del señor</w:t>
      </w:r>
      <w:r w:rsidR="00AF6E93" w:rsidRPr="009643C9">
        <w:rPr>
          <w:szCs w:val="20"/>
          <w:lang w:val="es-CR"/>
        </w:rPr>
        <w:t xml:space="preserve"> Christian </w:t>
      </w:r>
      <w:proofErr w:type="spellStart"/>
      <w:r w:rsidR="00AF6E93" w:rsidRPr="009643C9">
        <w:rPr>
          <w:szCs w:val="20"/>
          <w:lang w:val="es-CR"/>
        </w:rPr>
        <w:t>Courtis</w:t>
      </w:r>
      <w:proofErr w:type="spellEnd"/>
      <w:r w:rsidR="00CC5C65" w:rsidRPr="009643C9">
        <w:rPr>
          <w:rStyle w:val="Refdenotaalpie"/>
          <w:szCs w:val="20"/>
          <w:lang w:val="es-CR"/>
        </w:rPr>
        <w:footnoteReference w:id="4"/>
      </w:r>
      <w:r w:rsidR="00CC5C65" w:rsidRPr="009643C9">
        <w:rPr>
          <w:szCs w:val="20"/>
          <w:lang w:val="es-CR"/>
        </w:rPr>
        <w:t xml:space="preserve">, </w:t>
      </w:r>
      <w:r w:rsidR="00C673AE" w:rsidRPr="009643C9">
        <w:t>toda vez que podrían resultar útil para la resolución del presente caso, en lo que resulte pertinente</w:t>
      </w:r>
      <w:r w:rsidR="00AF6E93" w:rsidRPr="009643C9">
        <w:rPr>
          <w:szCs w:val="20"/>
          <w:lang w:val="es-CR"/>
        </w:rPr>
        <w:t xml:space="preserve">. </w:t>
      </w:r>
      <w:r w:rsidR="00B747B9" w:rsidRPr="009643C9">
        <w:t>En tanto que dicho dictamen es</w:t>
      </w:r>
      <w:r w:rsidR="00C673AE" w:rsidRPr="009643C9">
        <w:t xml:space="preserve"> prueba documental a efectos del presente caso, las partes podrán referirse al mismo en sus alegatos finales orales y escritos.</w:t>
      </w:r>
      <w:r w:rsidR="00B17C35" w:rsidRPr="009643C9">
        <w:rPr>
          <w:szCs w:val="20"/>
          <w:lang w:val="es-CR"/>
        </w:rPr>
        <w:t xml:space="preserve"> </w:t>
      </w:r>
    </w:p>
    <w:p w14:paraId="3C334160" w14:textId="77777777" w:rsidR="008A058B" w:rsidRPr="009643C9" w:rsidRDefault="008A058B" w:rsidP="00152381">
      <w:pPr>
        <w:widowControl w:val="0"/>
        <w:tabs>
          <w:tab w:val="left" w:pos="567"/>
          <w:tab w:val="left" w:pos="7740"/>
        </w:tabs>
        <w:autoSpaceDE w:val="0"/>
        <w:autoSpaceDN w:val="0"/>
        <w:adjustRightInd w:val="0"/>
        <w:spacing w:after="0" w:line="240" w:lineRule="auto"/>
        <w:ind w:right="22"/>
        <w:rPr>
          <w:b/>
          <w:szCs w:val="20"/>
        </w:rPr>
      </w:pPr>
    </w:p>
    <w:p w14:paraId="3C334161" w14:textId="77777777" w:rsidR="008A058B" w:rsidRPr="00457634" w:rsidRDefault="008A058B" w:rsidP="00152381">
      <w:pPr>
        <w:pStyle w:val="Prrafodelista"/>
        <w:numPr>
          <w:ilvl w:val="0"/>
          <w:numId w:val="3"/>
        </w:numPr>
        <w:spacing w:after="0"/>
        <w:rPr>
          <w:b/>
          <w:i/>
          <w:szCs w:val="20"/>
          <w:lang w:val="es-CR"/>
        </w:rPr>
      </w:pPr>
      <w:r w:rsidRPr="00850F42">
        <w:rPr>
          <w:b/>
          <w:i/>
          <w:szCs w:val="20"/>
          <w:lang w:val="es-CR"/>
        </w:rPr>
        <w:t xml:space="preserve">La </w:t>
      </w:r>
      <w:r w:rsidRPr="00850F42">
        <w:rPr>
          <w:rFonts w:cs="Verdana"/>
          <w:b/>
          <w:i/>
          <w:szCs w:val="20"/>
          <w:lang w:val="es-CR"/>
        </w:rPr>
        <w:t>admisibilidad de la declaración pericial ofrecida por los representantes</w:t>
      </w:r>
    </w:p>
    <w:p w14:paraId="3C334162" w14:textId="77777777" w:rsidR="00457634" w:rsidRDefault="00457634" w:rsidP="00152381">
      <w:pPr>
        <w:spacing w:after="0" w:line="240" w:lineRule="auto"/>
        <w:rPr>
          <w:b/>
          <w:i/>
          <w:szCs w:val="20"/>
          <w:lang w:val="es-CR"/>
        </w:rPr>
      </w:pPr>
    </w:p>
    <w:p w14:paraId="3C334163" w14:textId="77777777" w:rsidR="00A53834" w:rsidRPr="00043BDA" w:rsidRDefault="00457634" w:rsidP="00152381">
      <w:pPr>
        <w:pStyle w:val="Prrafodelista"/>
        <w:numPr>
          <w:ilvl w:val="0"/>
          <w:numId w:val="2"/>
        </w:numPr>
        <w:spacing w:after="0"/>
        <w:rPr>
          <w:b/>
          <w:i/>
          <w:szCs w:val="20"/>
          <w:lang w:val="es-CR"/>
        </w:rPr>
      </w:pPr>
      <w:r w:rsidRPr="00043BDA">
        <w:rPr>
          <w:szCs w:val="20"/>
          <w:lang w:val="es-CR"/>
        </w:rPr>
        <w:t xml:space="preserve">En su ESAP, los representantes propusieron el peritaje de la Señora </w:t>
      </w:r>
      <w:r w:rsidR="00A53834" w:rsidRPr="00043BDA">
        <w:rPr>
          <w:szCs w:val="20"/>
          <w:lang w:val="es-CR"/>
        </w:rPr>
        <w:t>Frida Vais Gen</w:t>
      </w:r>
    </w:p>
    <w:p w14:paraId="3C334166" w14:textId="40BA1277" w:rsidR="006505CB" w:rsidRPr="00645344" w:rsidRDefault="00457634" w:rsidP="00152381">
      <w:pPr>
        <w:spacing w:after="0" w:line="240" w:lineRule="auto"/>
        <w:jc w:val="both"/>
        <w:rPr>
          <w:strike/>
          <w:szCs w:val="20"/>
          <w:highlight w:val="yellow"/>
          <w:lang w:val="es-CR"/>
        </w:rPr>
      </w:pPr>
      <w:r w:rsidRPr="00645344">
        <w:rPr>
          <w:rFonts w:ascii="Verdana" w:hAnsi="Verdana"/>
          <w:sz w:val="20"/>
          <w:szCs w:val="20"/>
          <w:lang w:val="es-CR"/>
        </w:rPr>
        <w:t>Rivera</w:t>
      </w:r>
      <w:r w:rsidR="00831989" w:rsidRPr="00645344">
        <w:rPr>
          <w:rFonts w:ascii="Verdana" w:hAnsi="Verdana"/>
          <w:sz w:val="20"/>
          <w:szCs w:val="20"/>
          <w:lang w:val="es-CR"/>
        </w:rPr>
        <w:t>, psicóloga</w:t>
      </w:r>
      <w:r w:rsidR="000A01FA" w:rsidRPr="00645344">
        <w:rPr>
          <w:rFonts w:ascii="Verdana" w:hAnsi="Verdana"/>
          <w:sz w:val="20"/>
          <w:szCs w:val="20"/>
          <w:lang w:val="es-CR"/>
        </w:rPr>
        <w:t>,</w:t>
      </w:r>
      <w:r w:rsidR="00831989" w:rsidRPr="00645344">
        <w:rPr>
          <w:rFonts w:ascii="Verdana" w:hAnsi="Verdana"/>
          <w:sz w:val="20"/>
          <w:szCs w:val="20"/>
          <w:lang w:val="es-CR"/>
        </w:rPr>
        <w:t xml:space="preserve"> </w:t>
      </w:r>
      <w:r w:rsidR="0049686A" w:rsidRPr="00645344">
        <w:rPr>
          <w:rFonts w:ascii="Verdana" w:hAnsi="Verdana"/>
          <w:sz w:val="20"/>
          <w:szCs w:val="20"/>
          <w:lang w:val="es-CR"/>
        </w:rPr>
        <w:t>remitiendo a un documento del Anexo 3</w:t>
      </w:r>
      <w:r w:rsidR="009C67B0" w:rsidRPr="00645344">
        <w:rPr>
          <w:rFonts w:ascii="Verdana" w:hAnsi="Verdana"/>
          <w:sz w:val="20"/>
          <w:szCs w:val="20"/>
          <w:lang w:val="es-CR"/>
        </w:rPr>
        <w:t xml:space="preserve"> donde se encuentra una pericia psicológica firmada por </w:t>
      </w:r>
      <w:r w:rsidR="00151837">
        <w:rPr>
          <w:rFonts w:ascii="Verdana" w:hAnsi="Verdana"/>
          <w:sz w:val="20"/>
          <w:szCs w:val="20"/>
          <w:lang w:val="es-CR"/>
        </w:rPr>
        <w:t>Frida Vais Gen Rivera</w:t>
      </w:r>
      <w:r w:rsidR="009C67B0" w:rsidRPr="00645344">
        <w:rPr>
          <w:rFonts w:ascii="Verdana" w:hAnsi="Verdana"/>
          <w:sz w:val="20"/>
          <w:szCs w:val="20"/>
          <w:lang w:val="es-CR"/>
        </w:rPr>
        <w:t xml:space="preserve"> y María </w:t>
      </w:r>
      <w:r w:rsidR="00556E99">
        <w:rPr>
          <w:rFonts w:ascii="Verdana" w:hAnsi="Verdana"/>
          <w:sz w:val="20"/>
          <w:szCs w:val="20"/>
          <w:lang w:val="es-CR"/>
        </w:rPr>
        <w:t>S</w:t>
      </w:r>
      <w:r w:rsidR="009C67B0" w:rsidRPr="00645344">
        <w:rPr>
          <w:rFonts w:ascii="Verdana" w:hAnsi="Verdana"/>
          <w:sz w:val="20"/>
          <w:szCs w:val="20"/>
          <w:lang w:val="es-CR"/>
        </w:rPr>
        <w:t>oledad Vega Ganoza de fecha 25 de abril de 2018,</w:t>
      </w:r>
      <w:r w:rsidR="0049686A" w:rsidRPr="00645344">
        <w:rPr>
          <w:rFonts w:ascii="Verdana" w:hAnsi="Verdana"/>
          <w:sz w:val="20"/>
          <w:szCs w:val="20"/>
          <w:lang w:val="es-CR"/>
        </w:rPr>
        <w:t xml:space="preserve"> </w:t>
      </w:r>
      <w:r w:rsidR="00831989" w:rsidRPr="00645344">
        <w:rPr>
          <w:rFonts w:ascii="Verdana" w:hAnsi="Verdana"/>
          <w:sz w:val="20"/>
          <w:szCs w:val="20"/>
          <w:lang w:val="es-CR"/>
        </w:rPr>
        <w:t>cuyo objetivo será de “establecer el grado de afectación psicológica y social de las personas integrantes de la Asociación Nacional de Cesantes y Jubilados de la Superintendencia Nacional de Administración Tributarla (ANCEJUB-SUNAT)”</w:t>
      </w:r>
      <w:r w:rsidR="00BC467D">
        <w:rPr>
          <w:rFonts w:ascii="Verdana" w:hAnsi="Verdana"/>
          <w:sz w:val="20"/>
          <w:szCs w:val="20"/>
          <w:lang w:val="es-CR"/>
        </w:rPr>
        <w:t>.</w:t>
      </w:r>
      <w:r w:rsidR="009C67B0" w:rsidRPr="00645344">
        <w:rPr>
          <w:rFonts w:ascii="Verdana" w:hAnsi="Verdana"/>
          <w:sz w:val="20"/>
          <w:szCs w:val="20"/>
          <w:lang w:val="es-CR"/>
        </w:rPr>
        <w:t xml:space="preserve"> </w:t>
      </w:r>
    </w:p>
    <w:p w14:paraId="3C334167" w14:textId="77777777" w:rsidR="00192A4A" w:rsidRPr="00645344" w:rsidRDefault="00192A4A" w:rsidP="00152381">
      <w:pPr>
        <w:pStyle w:val="Prrafodelista"/>
        <w:spacing w:after="0"/>
        <w:rPr>
          <w:szCs w:val="20"/>
          <w:lang w:val="es-CR"/>
        </w:rPr>
      </w:pPr>
    </w:p>
    <w:p w14:paraId="3C334168" w14:textId="7D63D816" w:rsidR="00192A4A" w:rsidRPr="00645344" w:rsidRDefault="00192A4A" w:rsidP="00152381">
      <w:pPr>
        <w:pStyle w:val="Prrafodelista"/>
        <w:numPr>
          <w:ilvl w:val="0"/>
          <w:numId w:val="2"/>
        </w:numPr>
        <w:spacing w:after="0"/>
        <w:ind w:left="0" w:firstLine="0"/>
        <w:rPr>
          <w:szCs w:val="20"/>
          <w:lang w:val="es-CR"/>
        </w:rPr>
      </w:pPr>
      <w:r w:rsidRPr="00645344">
        <w:rPr>
          <w:szCs w:val="20"/>
          <w:lang w:val="es-CR"/>
        </w:rPr>
        <w:t xml:space="preserve">Por su parte, el Estado </w:t>
      </w:r>
      <w:r w:rsidR="003A6A45" w:rsidRPr="00645344">
        <w:rPr>
          <w:szCs w:val="20"/>
          <w:lang w:val="es-CR"/>
        </w:rPr>
        <w:t xml:space="preserve">solicitó a la Corte que rechace la admisibilidad de la declaración pericial ya que observó que en la lista definitiva </w:t>
      </w:r>
      <w:r w:rsidR="00CC5C65">
        <w:rPr>
          <w:szCs w:val="20"/>
          <w:lang w:val="es-CR"/>
        </w:rPr>
        <w:t xml:space="preserve">de declarantes presentada por los representantes de las presuntas víctimas </w:t>
      </w:r>
      <w:r w:rsidR="003A6A45" w:rsidRPr="00645344">
        <w:rPr>
          <w:szCs w:val="20"/>
          <w:lang w:val="es-CR"/>
        </w:rPr>
        <w:t>no se precisa el objeto sobre el que versa el peritaje</w:t>
      </w:r>
      <w:r w:rsidR="003A6A45" w:rsidRPr="00666DEB">
        <w:rPr>
          <w:szCs w:val="20"/>
          <w:lang w:val="es-CR"/>
        </w:rPr>
        <w:t>.</w:t>
      </w:r>
      <w:r w:rsidR="003A6A45" w:rsidRPr="00BC467D">
        <w:rPr>
          <w:szCs w:val="20"/>
          <w:lang w:val="es-CR"/>
        </w:rPr>
        <w:t xml:space="preserve"> </w:t>
      </w:r>
      <w:r w:rsidR="003A6A45" w:rsidRPr="00645344">
        <w:rPr>
          <w:szCs w:val="20"/>
          <w:lang w:val="es-CR"/>
        </w:rPr>
        <w:t xml:space="preserve">Señaló además que el peritaje solo podía tener valor de prueba documental. </w:t>
      </w:r>
    </w:p>
    <w:p w14:paraId="3C334169" w14:textId="77777777" w:rsidR="00192A4A" w:rsidRPr="00192A4A" w:rsidRDefault="00192A4A" w:rsidP="00152381">
      <w:pPr>
        <w:pStyle w:val="Prrafodelista"/>
        <w:spacing w:after="0"/>
        <w:rPr>
          <w:szCs w:val="20"/>
          <w:lang w:val="es-CR"/>
        </w:rPr>
      </w:pPr>
    </w:p>
    <w:p w14:paraId="3C33416B" w14:textId="7A65C444" w:rsidR="00192A4A" w:rsidRPr="00645344" w:rsidRDefault="00043BDA" w:rsidP="00152381">
      <w:pPr>
        <w:pStyle w:val="Prrafodelista"/>
        <w:numPr>
          <w:ilvl w:val="0"/>
          <w:numId w:val="2"/>
        </w:numPr>
        <w:spacing w:after="0"/>
        <w:ind w:left="0" w:firstLine="0"/>
        <w:rPr>
          <w:szCs w:val="20"/>
          <w:lang w:val="es-CR"/>
        </w:rPr>
      </w:pPr>
      <w:r>
        <w:rPr>
          <w:szCs w:val="20"/>
          <w:lang w:val="es-CR"/>
        </w:rPr>
        <w:t>E</w:t>
      </w:r>
      <w:r w:rsidR="00C95DA6" w:rsidRPr="00043BDA">
        <w:rPr>
          <w:szCs w:val="20"/>
          <w:lang w:val="es-CR"/>
        </w:rPr>
        <w:t xml:space="preserve">sta Presidencia observa que </w:t>
      </w:r>
      <w:r w:rsidR="009C67B0" w:rsidRPr="00645344">
        <w:rPr>
          <w:szCs w:val="20"/>
          <w:lang w:val="es-CR"/>
        </w:rPr>
        <w:t>en el ESAP</w:t>
      </w:r>
      <w:r>
        <w:rPr>
          <w:szCs w:val="20"/>
          <w:lang w:val="es-CR"/>
        </w:rPr>
        <w:t xml:space="preserve">, </w:t>
      </w:r>
      <w:r w:rsidR="00151837">
        <w:rPr>
          <w:szCs w:val="20"/>
          <w:lang w:val="es-CR"/>
        </w:rPr>
        <w:t xml:space="preserve">en el </w:t>
      </w:r>
      <w:r>
        <w:rPr>
          <w:szCs w:val="20"/>
          <w:lang w:val="es-CR"/>
        </w:rPr>
        <w:t>momento procesal oportuno,</w:t>
      </w:r>
      <w:r w:rsidR="009C67B0" w:rsidRPr="00645344">
        <w:rPr>
          <w:szCs w:val="20"/>
          <w:lang w:val="es-CR"/>
        </w:rPr>
        <w:t xml:space="preserve"> los representantes ofrecieron </w:t>
      </w:r>
      <w:r w:rsidR="009C67B0" w:rsidRPr="00043BDA">
        <w:rPr>
          <w:szCs w:val="20"/>
          <w:lang w:val="es-CR"/>
        </w:rPr>
        <w:t xml:space="preserve">dicha pericia, y en el </w:t>
      </w:r>
      <w:r w:rsidR="00BC467D">
        <w:rPr>
          <w:szCs w:val="20"/>
          <w:lang w:val="es-CR"/>
        </w:rPr>
        <w:t>A</w:t>
      </w:r>
      <w:r w:rsidR="009C67B0" w:rsidRPr="00043BDA">
        <w:rPr>
          <w:szCs w:val="20"/>
          <w:lang w:val="es-CR"/>
        </w:rPr>
        <w:t xml:space="preserve">nexo 3 señalaron el objeto de la </w:t>
      </w:r>
      <w:r w:rsidRPr="00043BDA">
        <w:rPr>
          <w:szCs w:val="20"/>
          <w:lang w:val="es-CR"/>
        </w:rPr>
        <w:t>misma</w:t>
      </w:r>
      <w:r w:rsidR="009C67B0" w:rsidRPr="00043BDA">
        <w:rPr>
          <w:szCs w:val="20"/>
          <w:lang w:val="es-CR"/>
        </w:rPr>
        <w:t xml:space="preserve"> y remitieron el cv de la perita. </w:t>
      </w:r>
      <w:r w:rsidR="009C67B0" w:rsidRPr="00645344">
        <w:rPr>
          <w:szCs w:val="20"/>
          <w:lang w:val="es-CR"/>
        </w:rPr>
        <w:t>En este sentido, e</w:t>
      </w:r>
      <w:r w:rsidR="005F74AD" w:rsidRPr="00645344">
        <w:rPr>
          <w:szCs w:val="20"/>
          <w:lang w:val="es-CR"/>
        </w:rPr>
        <w:t>l Presidente</w:t>
      </w:r>
      <w:r w:rsidRPr="00645344">
        <w:rPr>
          <w:szCs w:val="20"/>
          <w:lang w:val="es-CR"/>
        </w:rPr>
        <w:t xml:space="preserve"> </w:t>
      </w:r>
      <w:r w:rsidR="00556E99">
        <w:rPr>
          <w:szCs w:val="20"/>
          <w:lang w:val="es-CR"/>
        </w:rPr>
        <w:t xml:space="preserve">considera carentes de fundamento las objeciones presentadas por el Estado y </w:t>
      </w:r>
      <w:r w:rsidRPr="00645344">
        <w:rPr>
          <w:szCs w:val="20"/>
          <w:lang w:val="es-CR"/>
        </w:rPr>
        <w:t xml:space="preserve">estima pertinente que </w:t>
      </w:r>
      <w:r w:rsidR="00556E99">
        <w:rPr>
          <w:szCs w:val="20"/>
          <w:lang w:val="es-CR"/>
        </w:rPr>
        <w:t>el</w:t>
      </w:r>
      <w:r w:rsidRPr="00645344">
        <w:rPr>
          <w:szCs w:val="20"/>
          <w:lang w:val="es-CR"/>
        </w:rPr>
        <w:t xml:space="preserve"> peritaje sea rendido ante la Corte. </w:t>
      </w:r>
    </w:p>
    <w:p w14:paraId="3C33416C" w14:textId="77777777" w:rsidR="001A488E" w:rsidRPr="001A488E" w:rsidRDefault="001A488E" w:rsidP="00152381">
      <w:pPr>
        <w:pStyle w:val="Prrafodelista"/>
        <w:spacing w:after="0"/>
        <w:rPr>
          <w:b/>
          <w:i/>
          <w:szCs w:val="20"/>
          <w:lang w:val="es-CR"/>
        </w:rPr>
      </w:pPr>
    </w:p>
    <w:p w14:paraId="3C33416D" w14:textId="77777777" w:rsidR="001A488E" w:rsidRDefault="001A488E" w:rsidP="00152381">
      <w:pPr>
        <w:pStyle w:val="Prrafodelista"/>
        <w:numPr>
          <w:ilvl w:val="0"/>
          <w:numId w:val="3"/>
        </w:numPr>
        <w:spacing w:after="0"/>
        <w:rPr>
          <w:b/>
          <w:i/>
          <w:szCs w:val="20"/>
          <w:lang w:val="es-CR"/>
        </w:rPr>
      </w:pPr>
      <w:r>
        <w:rPr>
          <w:b/>
          <w:i/>
          <w:szCs w:val="20"/>
          <w:lang w:val="es-CR"/>
        </w:rPr>
        <w:t xml:space="preserve">La admisibilidad de las declaraciones testimoniales ofrecidas por los representantes </w:t>
      </w:r>
    </w:p>
    <w:p w14:paraId="3C33416E" w14:textId="77777777" w:rsidR="006505CB" w:rsidRPr="00850F42" w:rsidRDefault="006505CB" w:rsidP="00152381">
      <w:pPr>
        <w:pStyle w:val="Prrafodelista"/>
        <w:spacing w:after="0"/>
        <w:rPr>
          <w:b/>
          <w:i/>
          <w:szCs w:val="20"/>
          <w:lang w:val="es-CR"/>
        </w:rPr>
      </w:pPr>
    </w:p>
    <w:p w14:paraId="3C33416F" w14:textId="35C87C27" w:rsidR="00A01F11" w:rsidRPr="00A01F11" w:rsidRDefault="009518C9" w:rsidP="00152381">
      <w:pPr>
        <w:pStyle w:val="Prrafodelista"/>
        <w:numPr>
          <w:ilvl w:val="0"/>
          <w:numId w:val="2"/>
        </w:numPr>
        <w:autoSpaceDE w:val="0"/>
        <w:autoSpaceDN w:val="0"/>
        <w:adjustRightInd w:val="0"/>
        <w:spacing w:after="0"/>
        <w:ind w:left="0" w:firstLine="0"/>
        <w:rPr>
          <w:rFonts w:cs="Arial"/>
          <w:szCs w:val="20"/>
          <w:lang w:val="es-CR"/>
        </w:rPr>
      </w:pPr>
      <w:r w:rsidRPr="00BB07E8">
        <w:rPr>
          <w:szCs w:val="20"/>
        </w:rPr>
        <w:t xml:space="preserve">En su ESAP, los representantes propusieron </w:t>
      </w:r>
      <w:r w:rsidR="000666ED">
        <w:rPr>
          <w:szCs w:val="20"/>
        </w:rPr>
        <w:t xml:space="preserve">recibir los </w:t>
      </w:r>
      <w:r w:rsidR="00A53834">
        <w:rPr>
          <w:szCs w:val="20"/>
        </w:rPr>
        <w:t>testimonio</w:t>
      </w:r>
      <w:r w:rsidR="000666ED">
        <w:rPr>
          <w:szCs w:val="20"/>
        </w:rPr>
        <w:t>s</w:t>
      </w:r>
      <w:r w:rsidR="00A53834">
        <w:rPr>
          <w:szCs w:val="20"/>
        </w:rPr>
        <w:t xml:space="preserve"> de tres personas, </w:t>
      </w:r>
      <w:r w:rsidRPr="00A53834">
        <w:rPr>
          <w:szCs w:val="20"/>
        </w:rPr>
        <w:t>identificadas como presuntas víctimas</w:t>
      </w:r>
      <w:r w:rsidR="00BB07E8" w:rsidRPr="00A53834">
        <w:rPr>
          <w:szCs w:val="20"/>
        </w:rPr>
        <w:t xml:space="preserve">: </w:t>
      </w:r>
      <w:r w:rsidR="00BB07E8" w:rsidRPr="00A53834">
        <w:rPr>
          <w:rFonts w:cs="Arial"/>
          <w:bCs/>
          <w:szCs w:val="20"/>
          <w:lang w:val="es-CR"/>
        </w:rPr>
        <w:t xml:space="preserve">Ana María </w:t>
      </w:r>
      <w:proofErr w:type="spellStart"/>
      <w:r w:rsidR="00BB07E8" w:rsidRPr="00A53834">
        <w:rPr>
          <w:rFonts w:cs="Arial"/>
          <w:bCs/>
          <w:szCs w:val="20"/>
          <w:lang w:val="es-CR"/>
        </w:rPr>
        <w:t>Ráez</w:t>
      </w:r>
      <w:proofErr w:type="spellEnd"/>
      <w:r w:rsidR="00BB07E8" w:rsidRPr="00A53834">
        <w:rPr>
          <w:rFonts w:cs="Arial"/>
          <w:bCs/>
          <w:szCs w:val="20"/>
          <w:lang w:val="es-CR"/>
        </w:rPr>
        <w:t xml:space="preserve"> Guevara</w:t>
      </w:r>
      <w:r w:rsidR="00BB07E8" w:rsidRPr="00A53834">
        <w:rPr>
          <w:bCs/>
          <w:szCs w:val="20"/>
          <w:lang w:val="es-CR"/>
        </w:rPr>
        <w:t xml:space="preserve">, </w:t>
      </w:r>
      <w:r w:rsidR="00BB07E8" w:rsidRPr="00A53834">
        <w:rPr>
          <w:rFonts w:cs="Arial"/>
          <w:bCs/>
          <w:szCs w:val="20"/>
          <w:lang w:val="es-CR"/>
        </w:rPr>
        <w:t xml:space="preserve">Hugo Alberto </w:t>
      </w:r>
      <w:proofErr w:type="spellStart"/>
      <w:r w:rsidR="00BB07E8" w:rsidRPr="00A53834">
        <w:rPr>
          <w:rFonts w:cs="Arial"/>
          <w:bCs/>
          <w:szCs w:val="20"/>
          <w:lang w:val="es-CR"/>
        </w:rPr>
        <w:t>Plasencla</w:t>
      </w:r>
      <w:proofErr w:type="spellEnd"/>
      <w:r w:rsidR="00BB07E8" w:rsidRPr="00A53834">
        <w:rPr>
          <w:rFonts w:cs="Arial"/>
          <w:bCs/>
          <w:szCs w:val="20"/>
          <w:lang w:val="es-CR"/>
        </w:rPr>
        <w:t xml:space="preserve"> Carranza y</w:t>
      </w:r>
      <w:r w:rsidR="00BB07E8" w:rsidRPr="00A53834">
        <w:rPr>
          <w:bCs/>
          <w:szCs w:val="20"/>
          <w:lang w:val="es-CR"/>
        </w:rPr>
        <w:t xml:space="preserve"> Norma Est</w:t>
      </w:r>
      <w:r w:rsidR="00266EF5">
        <w:rPr>
          <w:bCs/>
          <w:szCs w:val="20"/>
          <w:lang w:val="es-CR"/>
        </w:rPr>
        <w:t>rella Grande Bolívar de Cortez. L</w:t>
      </w:r>
      <w:r w:rsidR="00BB07E8" w:rsidRPr="00A53834">
        <w:rPr>
          <w:rFonts w:cs="Arial"/>
          <w:szCs w:val="20"/>
          <w:lang w:val="es-CR"/>
        </w:rPr>
        <w:t xml:space="preserve">os testigos “deberá[n] ser interrogado[s] sobre las violaciones </w:t>
      </w:r>
      <w:r w:rsidR="00266EF5">
        <w:rPr>
          <w:rFonts w:cs="Arial"/>
          <w:szCs w:val="20"/>
          <w:lang w:val="es-CR"/>
        </w:rPr>
        <w:t xml:space="preserve">de </w:t>
      </w:r>
      <w:r w:rsidR="00BB07E8" w:rsidRPr="00A53834">
        <w:rPr>
          <w:rFonts w:cs="Arial"/>
          <w:szCs w:val="20"/>
          <w:lang w:val="es-CR"/>
        </w:rPr>
        <w:t xml:space="preserve">los derechos humanos que ha[n] sufrido dentro del </w:t>
      </w:r>
      <w:r w:rsidR="00BB07E8" w:rsidRPr="00A53834">
        <w:rPr>
          <w:rFonts w:cs="Arial"/>
          <w:szCs w:val="20"/>
          <w:lang w:val="es-CR"/>
        </w:rPr>
        <w:lastRenderedPageBreak/>
        <w:t xml:space="preserve">marco del presente caso </w:t>
      </w:r>
      <w:r w:rsidR="00BB07E8" w:rsidRPr="00A53834">
        <w:rPr>
          <w:szCs w:val="20"/>
          <w:lang w:val="es-CR"/>
        </w:rPr>
        <w:t xml:space="preserve">y </w:t>
      </w:r>
      <w:r w:rsidR="00BB07E8" w:rsidRPr="00A53834">
        <w:rPr>
          <w:rFonts w:cs="Arial"/>
          <w:szCs w:val="20"/>
          <w:lang w:val="es-CR"/>
        </w:rPr>
        <w:t xml:space="preserve">sobre sus consecuencias sobre su vida profesional, personal </w:t>
      </w:r>
      <w:r w:rsidR="00BB07E8" w:rsidRPr="00151837">
        <w:rPr>
          <w:iCs/>
          <w:szCs w:val="20"/>
          <w:lang w:val="es-CR"/>
        </w:rPr>
        <w:t>y</w:t>
      </w:r>
      <w:r w:rsidR="00BB07E8" w:rsidRPr="00A53834">
        <w:rPr>
          <w:i/>
          <w:iCs/>
          <w:szCs w:val="20"/>
          <w:lang w:val="es-CR"/>
        </w:rPr>
        <w:t xml:space="preserve"> </w:t>
      </w:r>
      <w:r w:rsidR="00BB07E8" w:rsidRPr="00A53834">
        <w:rPr>
          <w:rFonts w:cs="Arial"/>
          <w:szCs w:val="20"/>
          <w:lang w:val="es-CR"/>
        </w:rPr>
        <w:t>familiar, en particular sobre los daños que esas violaciones le[s] han infligido a su integridad física, psíquica y moral</w:t>
      </w:r>
      <w:r w:rsidR="001E66A7">
        <w:rPr>
          <w:rFonts w:cs="Arial"/>
          <w:szCs w:val="20"/>
          <w:lang w:val="es-CR"/>
        </w:rPr>
        <w:t>”</w:t>
      </w:r>
      <w:r w:rsidR="00BB07E8" w:rsidRPr="00A53834">
        <w:rPr>
          <w:szCs w:val="20"/>
        </w:rPr>
        <w:t xml:space="preserve">. </w:t>
      </w:r>
    </w:p>
    <w:p w14:paraId="3C334170" w14:textId="77777777" w:rsidR="00A01F11" w:rsidRPr="00A01F11" w:rsidRDefault="00A01F11" w:rsidP="00152381">
      <w:pPr>
        <w:pStyle w:val="Prrafodelista"/>
        <w:autoSpaceDE w:val="0"/>
        <w:autoSpaceDN w:val="0"/>
        <w:adjustRightInd w:val="0"/>
        <w:spacing w:after="0"/>
        <w:ind w:left="0"/>
        <w:rPr>
          <w:rFonts w:cs="Arial"/>
          <w:szCs w:val="20"/>
          <w:lang w:val="es-CR"/>
        </w:rPr>
      </w:pPr>
    </w:p>
    <w:p w14:paraId="69A5724F" w14:textId="3BB9BD10" w:rsidR="007C561E" w:rsidRPr="00645344" w:rsidRDefault="007C561E" w:rsidP="00152381">
      <w:pPr>
        <w:pStyle w:val="Prrafodelista"/>
        <w:numPr>
          <w:ilvl w:val="0"/>
          <w:numId w:val="2"/>
        </w:numPr>
        <w:autoSpaceDE w:val="0"/>
        <w:autoSpaceDN w:val="0"/>
        <w:adjustRightInd w:val="0"/>
        <w:spacing w:after="0"/>
        <w:ind w:left="0" w:firstLine="0"/>
        <w:rPr>
          <w:rFonts w:cs="Arial"/>
          <w:szCs w:val="20"/>
          <w:lang w:val="es-CR"/>
        </w:rPr>
      </w:pPr>
      <w:r>
        <w:rPr>
          <w:szCs w:val="20"/>
        </w:rPr>
        <w:t xml:space="preserve">El Estado solicitó a la Corte </w:t>
      </w:r>
      <w:r>
        <w:rPr>
          <w:szCs w:val="20"/>
        </w:rPr>
        <w:tab/>
        <w:t xml:space="preserve">que </w:t>
      </w:r>
      <w:r w:rsidR="000623E6">
        <w:rPr>
          <w:szCs w:val="20"/>
        </w:rPr>
        <w:t xml:space="preserve">modificara el objeto de las declaraciones, en el sentido de que estas deben referirse a “presuntas víctimas” y “alegadas violaciones” </w:t>
      </w:r>
      <w:r>
        <w:rPr>
          <w:szCs w:val="20"/>
        </w:rPr>
        <w:t xml:space="preserve">por tratarse de un aspecto que deberá ser dilucidado y establecido en el marco del presente </w:t>
      </w:r>
      <w:r w:rsidR="000C4941">
        <w:rPr>
          <w:szCs w:val="20"/>
        </w:rPr>
        <w:t>proceso</w:t>
      </w:r>
      <w:r>
        <w:rPr>
          <w:szCs w:val="20"/>
        </w:rPr>
        <w:t xml:space="preserve">. Además, solicitó a la Corte que por principio de economía procesal se limite el número de testigos propuestos de tres a uno, ya que </w:t>
      </w:r>
      <w:r w:rsidR="00556E99">
        <w:rPr>
          <w:szCs w:val="20"/>
        </w:rPr>
        <w:t xml:space="preserve">su declaración </w:t>
      </w:r>
      <w:r>
        <w:rPr>
          <w:szCs w:val="20"/>
        </w:rPr>
        <w:t xml:space="preserve">tiene el mismo objeto. </w:t>
      </w:r>
    </w:p>
    <w:p w14:paraId="48D0322D" w14:textId="77777777" w:rsidR="007C561E" w:rsidRPr="00C95DA6" w:rsidRDefault="007C561E" w:rsidP="00152381">
      <w:pPr>
        <w:pStyle w:val="Prrafodelista"/>
        <w:spacing w:after="0"/>
        <w:jc w:val="left"/>
        <w:rPr>
          <w:szCs w:val="20"/>
        </w:rPr>
      </w:pPr>
    </w:p>
    <w:p w14:paraId="3C334171" w14:textId="4FA4398D" w:rsidR="00A75237" w:rsidRPr="00A53834" w:rsidRDefault="00935995" w:rsidP="00152381">
      <w:pPr>
        <w:pStyle w:val="Prrafodelista"/>
        <w:numPr>
          <w:ilvl w:val="0"/>
          <w:numId w:val="2"/>
        </w:numPr>
        <w:autoSpaceDE w:val="0"/>
        <w:autoSpaceDN w:val="0"/>
        <w:adjustRightInd w:val="0"/>
        <w:spacing w:after="0"/>
        <w:ind w:left="0" w:firstLine="0"/>
        <w:rPr>
          <w:rFonts w:cs="Arial"/>
          <w:szCs w:val="20"/>
          <w:lang w:val="es-CR"/>
        </w:rPr>
      </w:pPr>
      <w:r>
        <w:rPr>
          <w:szCs w:val="20"/>
        </w:rPr>
        <w:t xml:space="preserve">En vista de lo anterior, el Presidente considera valida la observación del Estado sobre la modificación del objeto de los testimonios, </w:t>
      </w:r>
      <w:r w:rsidR="00382866">
        <w:rPr>
          <w:szCs w:val="20"/>
        </w:rPr>
        <w:t xml:space="preserve">en el entendido a que se refiera a “presuntas víctimas” </w:t>
      </w:r>
      <w:r>
        <w:rPr>
          <w:szCs w:val="20"/>
        </w:rPr>
        <w:t xml:space="preserve">y </w:t>
      </w:r>
      <w:r w:rsidR="00382866">
        <w:rPr>
          <w:szCs w:val="20"/>
        </w:rPr>
        <w:t xml:space="preserve">“alegadas violaciones”. </w:t>
      </w:r>
      <w:r>
        <w:rPr>
          <w:szCs w:val="20"/>
        </w:rPr>
        <w:t xml:space="preserve">Respecto a la </w:t>
      </w:r>
      <w:r w:rsidR="00382866">
        <w:rPr>
          <w:szCs w:val="20"/>
        </w:rPr>
        <w:t xml:space="preserve">solicitud de recibir un </w:t>
      </w:r>
      <w:r>
        <w:rPr>
          <w:szCs w:val="20"/>
        </w:rPr>
        <w:t xml:space="preserve">solo testimonio </w:t>
      </w:r>
      <w:r w:rsidR="00382866">
        <w:rPr>
          <w:szCs w:val="20"/>
        </w:rPr>
        <w:t>por</w:t>
      </w:r>
      <w:r>
        <w:rPr>
          <w:szCs w:val="20"/>
        </w:rPr>
        <w:t xml:space="preserve"> economía procesal, </w:t>
      </w:r>
      <w:r w:rsidR="00382866">
        <w:rPr>
          <w:szCs w:val="20"/>
        </w:rPr>
        <w:t>esta Presidencia estima razonable la admisión de las tres declaraciones</w:t>
      </w:r>
      <w:r>
        <w:rPr>
          <w:szCs w:val="20"/>
        </w:rPr>
        <w:t xml:space="preserve">, dado el número elevado de presuntas víctimas que </w:t>
      </w:r>
      <w:r w:rsidR="00382866">
        <w:rPr>
          <w:szCs w:val="20"/>
        </w:rPr>
        <w:t>asciende a</w:t>
      </w:r>
      <w:r>
        <w:rPr>
          <w:szCs w:val="20"/>
        </w:rPr>
        <w:t xml:space="preserve"> más de 700</w:t>
      </w:r>
      <w:r w:rsidR="00382866">
        <w:rPr>
          <w:szCs w:val="20"/>
        </w:rPr>
        <w:t xml:space="preserve"> en el presente caso. Así, se </w:t>
      </w:r>
      <w:r w:rsidR="00240C32">
        <w:rPr>
          <w:szCs w:val="20"/>
        </w:rPr>
        <w:t>declara</w:t>
      </w:r>
      <w:r w:rsidR="00382866">
        <w:rPr>
          <w:szCs w:val="20"/>
        </w:rPr>
        <w:t xml:space="preserve">n admitidas, en sus términos, </w:t>
      </w:r>
      <w:r w:rsidR="00240C32">
        <w:rPr>
          <w:szCs w:val="20"/>
        </w:rPr>
        <w:t>la</w:t>
      </w:r>
      <w:r w:rsidR="00382866">
        <w:rPr>
          <w:szCs w:val="20"/>
        </w:rPr>
        <w:t>s</w:t>
      </w:r>
      <w:r w:rsidR="00151837">
        <w:rPr>
          <w:szCs w:val="20"/>
        </w:rPr>
        <w:t xml:space="preserve"> declaraciones</w:t>
      </w:r>
      <w:r w:rsidR="00240C32">
        <w:rPr>
          <w:szCs w:val="20"/>
        </w:rPr>
        <w:t xml:space="preserve"> de la señora Ana María </w:t>
      </w:r>
      <w:proofErr w:type="spellStart"/>
      <w:r w:rsidR="00240C32">
        <w:rPr>
          <w:szCs w:val="20"/>
        </w:rPr>
        <w:t>Ráez</w:t>
      </w:r>
      <w:proofErr w:type="spellEnd"/>
      <w:r w:rsidR="00240C32">
        <w:rPr>
          <w:szCs w:val="20"/>
        </w:rPr>
        <w:t xml:space="preserve"> Guevara</w:t>
      </w:r>
      <w:r w:rsidR="00382866">
        <w:rPr>
          <w:szCs w:val="20"/>
        </w:rPr>
        <w:t>,</w:t>
      </w:r>
      <w:r w:rsidR="00240C32">
        <w:rPr>
          <w:szCs w:val="20"/>
        </w:rPr>
        <w:t xml:space="preserve"> del señor Hugo Alberto </w:t>
      </w:r>
      <w:r w:rsidR="009643C9">
        <w:rPr>
          <w:szCs w:val="20"/>
        </w:rPr>
        <w:t>Plasencia</w:t>
      </w:r>
      <w:r w:rsidR="00240C32">
        <w:rPr>
          <w:szCs w:val="20"/>
        </w:rPr>
        <w:t xml:space="preserve"> Carranza y de la señora Norma Estrella Grande Bolívar de Cortez. </w:t>
      </w:r>
    </w:p>
    <w:p w14:paraId="3C334172" w14:textId="77777777" w:rsidR="00BB07E8" w:rsidRPr="00C6652A" w:rsidRDefault="00BB07E8" w:rsidP="00666DEB">
      <w:pPr>
        <w:autoSpaceDE w:val="0"/>
        <w:autoSpaceDN w:val="0"/>
        <w:adjustRightInd w:val="0"/>
        <w:spacing w:after="0" w:line="240" w:lineRule="auto"/>
        <w:rPr>
          <w:rFonts w:cs="Arial"/>
          <w:b/>
          <w:i/>
          <w:szCs w:val="20"/>
          <w:lang w:val="es-CR"/>
        </w:rPr>
      </w:pPr>
    </w:p>
    <w:p w14:paraId="3C334173" w14:textId="77777777" w:rsidR="00C6652A" w:rsidRDefault="00C6652A" w:rsidP="00666DEB">
      <w:pPr>
        <w:pStyle w:val="Prrafodelista"/>
        <w:numPr>
          <w:ilvl w:val="0"/>
          <w:numId w:val="3"/>
        </w:numPr>
        <w:autoSpaceDE w:val="0"/>
        <w:autoSpaceDN w:val="0"/>
        <w:adjustRightInd w:val="0"/>
        <w:spacing w:after="0"/>
        <w:rPr>
          <w:rFonts w:cs="Arial"/>
          <w:b/>
          <w:i/>
          <w:szCs w:val="20"/>
          <w:lang w:val="es-CR"/>
        </w:rPr>
      </w:pPr>
      <w:r w:rsidRPr="00C6652A">
        <w:rPr>
          <w:rFonts w:cs="Arial"/>
          <w:b/>
          <w:i/>
          <w:szCs w:val="20"/>
          <w:lang w:val="es-CR"/>
        </w:rPr>
        <w:t xml:space="preserve">La admisibilidad de las declaraciones periciales ofrecidas por el Estado </w:t>
      </w:r>
    </w:p>
    <w:p w14:paraId="3C334174" w14:textId="77777777" w:rsidR="00192A4A" w:rsidRDefault="00192A4A" w:rsidP="00666DEB">
      <w:pPr>
        <w:autoSpaceDE w:val="0"/>
        <w:autoSpaceDN w:val="0"/>
        <w:adjustRightInd w:val="0"/>
        <w:spacing w:after="0" w:line="240" w:lineRule="auto"/>
        <w:rPr>
          <w:rFonts w:cs="Arial"/>
          <w:b/>
          <w:i/>
          <w:szCs w:val="20"/>
          <w:lang w:val="es-CR"/>
        </w:rPr>
      </w:pPr>
    </w:p>
    <w:p w14:paraId="4907FF0D" w14:textId="2D2763B5" w:rsidR="0082349E" w:rsidRPr="00666DEB" w:rsidRDefault="00192A4A" w:rsidP="00666DEB">
      <w:pPr>
        <w:pStyle w:val="Prrafodelista"/>
        <w:numPr>
          <w:ilvl w:val="0"/>
          <w:numId w:val="2"/>
        </w:numPr>
        <w:autoSpaceDE w:val="0"/>
        <w:autoSpaceDN w:val="0"/>
        <w:adjustRightInd w:val="0"/>
        <w:spacing w:after="0"/>
        <w:ind w:left="0" w:firstLine="0"/>
        <w:rPr>
          <w:rFonts w:cs="Arial"/>
          <w:b/>
          <w:i/>
          <w:szCs w:val="20"/>
          <w:lang w:val="es-CR"/>
        </w:rPr>
      </w:pPr>
      <w:r>
        <w:rPr>
          <w:rFonts w:cs="Arial"/>
          <w:szCs w:val="20"/>
          <w:lang w:val="es-CR"/>
        </w:rPr>
        <w:t>En su escrito de contestación, el Estado propuso el peritaje de cuatro personas, abogados especialistas en los diferentes aspectos de las controversias</w:t>
      </w:r>
      <w:r w:rsidR="00ED7E4A">
        <w:rPr>
          <w:rFonts w:cs="Arial"/>
          <w:szCs w:val="20"/>
          <w:lang w:val="es-CR"/>
        </w:rPr>
        <w:t xml:space="preserve"> legales del Caso: Cesar Efraín Abanto Revilla, Dante Ludwig </w:t>
      </w:r>
      <w:proofErr w:type="spellStart"/>
      <w:r w:rsidR="00ED7E4A">
        <w:rPr>
          <w:rFonts w:cs="Arial"/>
          <w:szCs w:val="20"/>
          <w:lang w:val="es-CR"/>
        </w:rPr>
        <w:t>Apolín</w:t>
      </w:r>
      <w:proofErr w:type="spellEnd"/>
      <w:r w:rsidR="00ED7E4A">
        <w:rPr>
          <w:rFonts w:cs="Arial"/>
          <w:szCs w:val="20"/>
          <w:lang w:val="es-CR"/>
        </w:rPr>
        <w:t xml:space="preserve"> Meza, Cesar González Hunt y Reynaldo Bustamante Alarcón. </w:t>
      </w:r>
    </w:p>
    <w:p w14:paraId="6AA4A2D7" w14:textId="77777777" w:rsidR="0082349E" w:rsidRPr="00645344" w:rsidRDefault="0082349E" w:rsidP="00666DEB">
      <w:pPr>
        <w:pStyle w:val="Prrafodelista"/>
        <w:autoSpaceDE w:val="0"/>
        <w:autoSpaceDN w:val="0"/>
        <w:adjustRightInd w:val="0"/>
        <w:spacing w:after="0"/>
        <w:ind w:left="0"/>
        <w:rPr>
          <w:rFonts w:cs="Arial"/>
          <w:b/>
          <w:i/>
          <w:szCs w:val="20"/>
          <w:lang w:val="es-CR"/>
        </w:rPr>
      </w:pPr>
    </w:p>
    <w:p w14:paraId="598302A2" w14:textId="38C8F551" w:rsidR="007C561E" w:rsidRPr="00645344" w:rsidRDefault="007C561E" w:rsidP="00666DEB">
      <w:pPr>
        <w:pStyle w:val="Prrafodelista"/>
        <w:numPr>
          <w:ilvl w:val="0"/>
          <w:numId w:val="2"/>
        </w:numPr>
        <w:autoSpaceDE w:val="0"/>
        <w:autoSpaceDN w:val="0"/>
        <w:adjustRightInd w:val="0"/>
        <w:spacing w:after="0"/>
        <w:ind w:left="0" w:firstLine="0"/>
        <w:rPr>
          <w:rFonts w:cs="Arial"/>
          <w:b/>
          <w:i/>
          <w:szCs w:val="20"/>
          <w:lang w:val="es-CR"/>
        </w:rPr>
      </w:pPr>
      <w:r>
        <w:rPr>
          <w:rFonts w:cs="Arial"/>
          <w:szCs w:val="20"/>
          <w:lang w:val="es-CR"/>
        </w:rPr>
        <w:t>Por su parte, los representantes de las presuntas víctimas solicitaron a la Corte que rechace las declaraciones periciales de Cesar Efraín Abanto Revilla, Cesar González Hun</w:t>
      </w:r>
      <w:r w:rsidR="003768A9">
        <w:rPr>
          <w:rFonts w:cs="Arial"/>
          <w:szCs w:val="20"/>
          <w:lang w:val="es-CR"/>
        </w:rPr>
        <w:t>t y Reynaldo Bustamante Alarcón, ya que alegaron que los peritajes ofrecidos no gozan de la imparcialidad requerida por los lazos que los peritos propuestos tienen o tuvieron con el Estado y sus instituciones</w:t>
      </w:r>
      <w:r w:rsidR="009643C9">
        <w:rPr>
          <w:rFonts w:cs="Arial"/>
          <w:szCs w:val="20"/>
          <w:lang w:val="es-CR"/>
        </w:rPr>
        <w:t xml:space="preserve"> a través de haber brindado asesoría a diversas dependencias</w:t>
      </w:r>
      <w:r w:rsidR="009643C9" w:rsidRPr="009643C9">
        <w:rPr>
          <w:rFonts w:cs="Arial"/>
          <w:b/>
          <w:szCs w:val="20"/>
          <w:lang w:val="es-CR"/>
        </w:rPr>
        <w:t xml:space="preserve"> </w:t>
      </w:r>
      <w:r w:rsidR="000C4941">
        <w:rPr>
          <w:rFonts w:cs="Arial"/>
          <w:szCs w:val="20"/>
          <w:lang w:val="es-CR"/>
        </w:rPr>
        <w:t>estatales</w:t>
      </w:r>
      <w:r w:rsidR="003768A9">
        <w:rPr>
          <w:rFonts w:cs="Arial"/>
          <w:szCs w:val="20"/>
          <w:lang w:val="es-CR"/>
        </w:rPr>
        <w:t xml:space="preserve">. </w:t>
      </w:r>
    </w:p>
    <w:p w14:paraId="7912FA8B" w14:textId="77777777" w:rsidR="00D01AB0" w:rsidRPr="00645344" w:rsidRDefault="00D01AB0" w:rsidP="00666DEB">
      <w:pPr>
        <w:pStyle w:val="Prrafodelista"/>
        <w:spacing w:after="0"/>
        <w:rPr>
          <w:rFonts w:cs="Arial"/>
          <w:b/>
          <w:i/>
          <w:szCs w:val="20"/>
          <w:lang w:val="es-CR"/>
        </w:rPr>
      </w:pPr>
    </w:p>
    <w:p w14:paraId="78F8BA60" w14:textId="4155E267" w:rsidR="00D01AB0" w:rsidRDefault="00D01AB0" w:rsidP="00666DEB">
      <w:pPr>
        <w:pStyle w:val="Prrafodelista"/>
        <w:numPr>
          <w:ilvl w:val="0"/>
          <w:numId w:val="2"/>
        </w:numPr>
        <w:autoSpaceDE w:val="0"/>
        <w:autoSpaceDN w:val="0"/>
        <w:adjustRightInd w:val="0"/>
        <w:spacing w:after="0"/>
        <w:ind w:left="0" w:firstLine="0"/>
        <w:rPr>
          <w:rFonts w:cs="Arial"/>
          <w:szCs w:val="20"/>
          <w:lang w:val="es-CR"/>
        </w:rPr>
      </w:pPr>
      <w:r w:rsidRPr="00645344">
        <w:rPr>
          <w:rFonts w:cs="Arial"/>
          <w:szCs w:val="20"/>
          <w:lang w:val="es-CR"/>
        </w:rPr>
        <w:t xml:space="preserve">Los tres peritos presentaron observaciones a </w:t>
      </w:r>
      <w:r w:rsidR="0082349E">
        <w:rPr>
          <w:rFonts w:cs="Arial"/>
          <w:szCs w:val="20"/>
          <w:lang w:val="es-CR"/>
        </w:rPr>
        <w:t>dichas</w:t>
      </w:r>
      <w:r w:rsidR="0082349E" w:rsidRPr="00645344">
        <w:rPr>
          <w:rFonts w:cs="Arial"/>
          <w:szCs w:val="20"/>
          <w:lang w:val="es-CR"/>
        </w:rPr>
        <w:t xml:space="preserve"> </w:t>
      </w:r>
      <w:r w:rsidRPr="00645344">
        <w:rPr>
          <w:rFonts w:cs="Arial"/>
          <w:szCs w:val="20"/>
          <w:lang w:val="es-CR"/>
        </w:rPr>
        <w:t>recusaciones, alegand</w:t>
      </w:r>
      <w:r w:rsidR="00152381">
        <w:rPr>
          <w:rFonts w:cs="Arial"/>
          <w:szCs w:val="20"/>
          <w:lang w:val="es-CR"/>
        </w:rPr>
        <w:t xml:space="preserve">o que </w:t>
      </w:r>
      <w:r w:rsidR="0082349E">
        <w:rPr>
          <w:rFonts w:cs="Arial"/>
          <w:szCs w:val="20"/>
          <w:lang w:val="es-CR"/>
        </w:rPr>
        <w:t>brindaron asesoría a</w:t>
      </w:r>
      <w:r w:rsidR="00152381">
        <w:rPr>
          <w:rFonts w:cs="Arial"/>
          <w:szCs w:val="20"/>
          <w:lang w:val="es-CR"/>
        </w:rPr>
        <w:t xml:space="preserve">l Estado y, en el caso de </w:t>
      </w:r>
      <w:r w:rsidR="00152381" w:rsidRPr="00E93B2A">
        <w:rPr>
          <w:rFonts w:cs="Arial"/>
          <w:szCs w:val="20"/>
          <w:lang w:val="es-CR"/>
        </w:rPr>
        <w:t xml:space="preserve">Reynaldo Bustamante </w:t>
      </w:r>
      <w:r w:rsidR="00152381">
        <w:rPr>
          <w:rFonts w:cs="Arial"/>
          <w:szCs w:val="20"/>
          <w:lang w:val="es-CR"/>
        </w:rPr>
        <w:t xml:space="preserve">a </w:t>
      </w:r>
      <w:r w:rsidRPr="00645344">
        <w:rPr>
          <w:rFonts w:cs="Arial"/>
          <w:szCs w:val="20"/>
          <w:lang w:val="es-CR"/>
        </w:rPr>
        <w:t xml:space="preserve">la </w:t>
      </w:r>
      <w:r w:rsidR="00152381">
        <w:rPr>
          <w:rFonts w:cs="Arial"/>
          <w:szCs w:val="20"/>
          <w:lang w:val="es-CR"/>
        </w:rPr>
        <w:t>SUNAT,</w:t>
      </w:r>
      <w:r w:rsidRPr="00645344">
        <w:rPr>
          <w:rFonts w:cs="Arial"/>
          <w:szCs w:val="20"/>
          <w:lang w:val="es-CR"/>
        </w:rPr>
        <w:t xml:space="preserve"> en su calidad de abogados independientes, y que la convocatoria solicitada por el Estado e</w:t>
      </w:r>
      <w:r w:rsidR="006A45C1">
        <w:rPr>
          <w:rFonts w:cs="Arial"/>
          <w:szCs w:val="20"/>
          <w:lang w:val="es-CR"/>
        </w:rPr>
        <w:t>s</w:t>
      </w:r>
      <w:r w:rsidRPr="00645344">
        <w:rPr>
          <w:rFonts w:cs="Arial"/>
          <w:szCs w:val="20"/>
          <w:lang w:val="es-CR"/>
        </w:rPr>
        <w:t xml:space="preserve"> estrictamente a título académico, d</w:t>
      </w:r>
      <w:r w:rsidR="00152381">
        <w:rPr>
          <w:rFonts w:cs="Arial"/>
          <w:szCs w:val="20"/>
          <w:lang w:val="es-CR"/>
        </w:rPr>
        <w:t>ado su calidad de catedráticos, por lo que no presentaron vínculos</w:t>
      </w:r>
      <w:r w:rsidR="000C4941">
        <w:rPr>
          <w:rFonts w:cs="Arial"/>
          <w:szCs w:val="20"/>
          <w:lang w:val="es-CR"/>
        </w:rPr>
        <w:t xml:space="preserve"> de dependencia o subordinación.</w:t>
      </w:r>
    </w:p>
    <w:p w14:paraId="02EA204F" w14:textId="77777777" w:rsidR="00C74DE3" w:rsidRPr="00C74DE3" w:rsidRDefault="00C74DE3" w:rsidP="00666DEB">
      <w:pPr>
        <w:pStyle w:val="Prrafodelista"/>
        <w:spacing w:after="0"/>
        <w:rPr>
          <w:rFonts w:cs="Arial"/>
          <w:szCs w:val="20"/>
          <w:lang w:val="es-CR"/>
        </w:rPr>
      </w:pPr>
    </w:p>
    <w:p w14:paraId="39C0A4E7" w14:textId="16DB68A8" w:rsidR="003442E1" w:rsidRPr="009643C9" w:rsidRDefault="00195FE9" w:rsidP="00666DEB">
      <w:pPr>
        <w:pStyle w:val="Prrafodelista"/>
        <w:numPr>
          <w:ilvl w:val="0"/>
          <w:numId w:val="2"/>
        </w:numPr>
        <w:autoSpaceDE w:val="0"/>
        <w:autoSpaceDN w:val="0"/>
        <w:adjustRightInd w:val="0"/>
        <w:spacing w:after="0"/>
        <w:ind w:left="0" w:firstLine="0"/>
        <w:rPr>
          <w:rFonts w:cs="Arial"/>
          <w:b/>
          <w:i/>
          <w:szCs w:val="20"/>
          <w:lang w:val="es-CR"/>
        </w:rPr>
      </w:pPr>
      <w:r w:rsidRPr="00E93B2A">
        <w:rPr>
          <w:rFonts w:cs="Arial"/>
          <w:szCs w:val="20"/>
          <w:lang w:val="es-CR"/>
        </w:rPr>
        <w:t xml:space="preserve">El Presidente recuerda que el artículo 48 </w:t>
      </w:r>
      <w:r w:rsidR="003442E1">
        <w:rPr>
          <w:rFonts w:cs="Arial"/>
          <w:szCs w:val="20"/>
          <w:lang w:val="es-CR"/>
        </w:rPr>
        <w:t xml:space="preserve">c) </w:t>
      </w:r>
      <w:r w:rsidRPr="00E93B2A">
        <w:rPr>
          <w:rFonts w:cs="Arial"/>
          <w:szCs w:val="20"/>
          <w:lang w:val="es-CR"/>
        </w:rPr>
        <w:t>del Reglamento de la Corte</w:t>
      </w:r>
      <w:r w:rsidRPr="00E93B2A">
        <w:rPr>
          <w:rStyle w:val="Refdenotaalpie"/>
          <w:rFonts w:cs="Arial"/>
          <w:szCs w:val="20"/>
          <w:lang w:val="es-CR"/>
        </w:rPr>
        <w:footnoteReference w:id="5"/>
      </w:r>
      <w:r w:rsidRPr="00E93B2A">
        <w:rPr>
          <w:rFonts w:cs="Arial"/>
          <w:szCs w:val="20"/>
          <w:lang w:val="es-CR"/>
        </w:rPr>
        <w:t xml:space="preserve"> establece que un perito podría ser recusado cuando tiene o tuvo “vínculos estrechos o relación de subordinación funcional </w:t>
      </w:r>
      <w:r w:rsidR="00151837">
        <w:rPr>
          <w:rFonts w:cs="Arial"/>
          <w:szCs w:val="20"/>
          <w:lang w:val="es-CR"/>
        </w:rPr>
        <w:t xml:space="preserve">con la parte que lo propone […] </w:t>
      </w:r>
      <w:r w:rsidRPr="00E93B2A">
        <w:rPr>
          <w:rFonts w:cs="Arial"/>
          <w:szCs w:val="20"/>
          <w:lang w:val="es-CR"/>
        </w:rPr>
        <w:t>que pudiera afectar su imparcialidad”</w:t>
      </w:r>
      <w:r w:rsidR="00CF0587">
        <w:rPr>
          <w:rFonts w:cs="Arial"/>
          <w:szCs w:val="20"/>
          <w:lang w:val="es-CR"/>
        </w:rPr>
        <w:t>.</w:t>
      </w:r>
      <w:r w:rsidRPr="00E93B2A">
        <w:rPr>
          <w:rFonts w:cs="Arial"/>
          <w:szCs w:val="20"/>
          <w:lang w:val="es-CR"/>
        </w:rPr>
        <w:t xml:space="preserve"> Sin embargo, el Presidente </w:t>
      </w:r>
      <w:r w:rsidR="00CF0587">
        <w:rPr>
          <w:rFonts w:cs="Arial"/>
          <w:szCs w:val="20"/>
          <w:lang w:val="es-CR"/>
        </w:rPr>
        <w:t>ha valorado</w:t>
      </w:r>
      <w:r w:rsidR="000623E6">
        <w:rPr>
          <w:rFonts w:cs="Arial"/>
          <w:szCs w:val="20"/>
          <w:lang w:val="es-CR"/>
        </w:rPr>
        <w:t xml:space="preserve"> la respuesta presentada por los peritos a las recusaciones formuladas por los representantes, en el sentido que </w:t>
      </w:r>
      <w:r w:rsidR="00CF0587">
        <w:rPr>
          <w:rFonts w:cs="Arial"/>
          <w:szCs w:val="20"/>
          <w:lang w:val="es-CR"/>
        </w:rPr>
        <w:t xml:space="preserve">la prestación del </w:t>
      </w:r>
      <w:r w:rsidRPr="00E93B2A">
        <w:rPr>
          <w:rFonts w:cs="Arial"/>
          <w:szCs w:val="20"/>
          <w:lang w:val="es-CR"/>
        </w:rPr>
        <w:t>servicio de asesoría jurídica al Estado o a una de sus instituciones</w:t>
      </w:r>
      <w:r w:rsidR="000623E6">
        <w:rPr>
          <w:rFonts w:cs="Arial"/>
          <w:szCs w:val="20"/>
          <w:lang w:val="es-CR"/>
        </w:rPr>
        <w:t xml:space="preserve"> </w:t>
      </w:r>
      <w:r w:rsidRPr="00E93B2A">
        <w:rPr>
          <w:rFonts w:cs="Arial"/>
          <w:szCs w:val="20"/>
          <w:lang w:val="es-CR"/>
        </w:rPr>
        <w:t>no representa un motivo para desconsiderar el peritaje a la luz del artículo 48</w:t>
      </w:r>
      <w:r w:rsidR="003442E1">
        <w:rPr>
          <w:rFonts w:cs="Arial"/>
          <w:szCs w:val="20"/>
          <w:lang w:val="es-CR"/>
        </w:rPr>
        <w:t xml:space="preserve"> c)</w:t>
      </w:r>
      <w:r w:rsidR="006A45C1" w:rsidRPr="00E93B2A">
        <w:rPr>
          <w:rFonts w:cs="Arial"/>
          <w:szCs w:val="20"/>
          <w:lang w:val="es-CR"/>
        </w:rPr>
        <w:t>, ya que</w:t>
      </w:r>
      <w:r w:rsidR="00E970CB" w:rsidRPr="00E93B2A">
        <w:rPr>
          <w:rFonts w:cs="Arial"/>
          <w:szCs w:val="20"/>
          <w:lang w:val="es-CR"/>
        </w:rPr>
        <w:t xml:space="preserve"> este tipo de relación de orden contractual</w:t>
      </w:r>
      <w:r w:rsidR="006A45C1" w:rsidRPr="00E93B2A">
        <w:rPr>
          <w:rFonts w:cs="Arial"/>
          <w:szCs w:val="20"/>
          <w:lang w:val="es-CR"/>
        </w:rPr>
        <w:t xml:space="preserve"> no </w:t>
      </w:r>
      <w:r w:rsidR="00CF0587">
        <w:rPr>
          <w:rFonts w:cs="Arial"/>
          <w:szCs w:val="20"/>
          <w:lang w:val="es-CR"/>
        </w:rPr>
        <w:t xml:space="preserve">necesariamente </w:t>
      </w:r>
      <w:r w:rsidR="00E970CB" w:rsidRPr="00E93B2A">
        <w:rPr>
          <w:rFonts w:cs="Arial"/>
          <w:szCs w:val="20"/>
          <w:lang w:val="es-CR"/>
        </w:rPr>
        <w:t xml:space="preserve">constituye un “vínculo [] estrecho []”, </w:t>
      </w:r>
      <w:r w:rsidR="00CF0587">
        <w:rPr>
          <w:rFonts w:cs="Arial"/>
          <w:szCs w:val="20"/>
          <w:lang w:val="es-CR"/>
        </w:rPr>
        <w:t xml:space="preserve">o </w:t>
      </w:r>
      <w:r w:rsidR="00E970CB" w:rsidRPr="00E93B2A">
        <w:rPr>
          <w:rFonts w:cs="Arial"/>
          <w:szCs w:val="20"/>
          <w:lang w:val="es-CR"/>
        </w:rPr>
        <w:t>una “relación de subordinación funcional con la parte que lo propone”</w:t>
      </w:r>
      <w:r w:rsidRPr="00E93B2A">
        <w:rPr>
          <w:rFonts w:cs="Arial"/>
          <w:szCs w:val="20"/>
          <w:lang w:val="es-CR"/>
        </w:rPr>
        <w:t>.</w:t>
      </w:r>
      <w:r w:rsidR="00E970CB" w:rsidRPr="00E93B2A">
        <w:rPr>
          <w:rFonts w:cs="Arial"/>
          <w:szCs w:val="20"/>
          <w:lang w:val="es-CR"/>
        </w:rPr>
        <w:t xml:space="preserve"> </w:t>
      </w:r>
      <w:r w:rsidR="00CF0587">
        <w:rPr>
          <w:rFonts w:cs="Arial"/>
          <w:szCs w:val="20"/>
          <w:lang w:val="es-CR"/>
        </w:rPr>
        <w:t xml:space="preserve">En razón de lo </w:t>
      </w:r>
      <w:r w:rsidR="00CF0587">
        <w:rPr>
          <w:rFonts w:cs="Arial"/>
          <w:szCs w:val="20"/>
          <w:lang w:val="es-CR"/>
        </w:rPr>
        <w:lastRenderedPageBreak/>
        <w:t xml:space="preserve">anterior, </w:t>
      </w:r>
      <w:r w:rsidRPr="00E93B2A">
        <w:rPr>
          <w:rFonts w:cs="Arial"/>
          <w:szCs w:val="20"/>
          <w:lang w:val="es-CR"/>
        </w:rPr>
        <w:t xml:space="preserve">considera admisible </w:t>
      </w:r>
      <w:r w:rsidR="005B2812" w:rsidRPr="00E93B2A">
        <w:rPr>
          <w:rFonts w:cs="Arial"/>
          <w:szCs w:val="20"/>
          <w:lang w:val="es-CR"/>
        </w:rPr>
        <w:t>los peritajes de Cesar Efraín Abanto Revilla</w:t>
      </w:r>
      <w:r w:rsidR="003442E1">
        <w:rPr>
          <w:rFonts w:cs="Arial"/>
          <w:szCs w:val="20"/>
          <w:lang w:val="es-CR"/>
        </w:rPr>
        <w:t xml:space="preserve"> y</w:t>
      </w:r>
      <w:r w:rsidR="005B2812" w:rsidRPr="00E93B2A">
        <w:rPr>
          <w:rFonts w:cs="Arial"/>
          <w:szCs w:val="20"/>
          <w:lang w:val="es-CR"/>
        </w:rPr>
        <w:t xml:space="preserve"> Cesar González Hunt</w:t>
      </w:r>
      <w:r w:rsidR="003442E1">
        <w:rPr>
          <w:rFonts w:cs="Arial"/>
          <w:szCs w:val="20"/>
          <w:lang w:val="es-CR"/>
        </w:rPr>
        <w:t xml:space="preserve">. </w:t>
      </w:r>
    </w:p>
    <w:p w14:paraId="42A9EC83" w14:textId="77777777" w:rsidR="003442E1" w:rsidRPr="009643C9" w:rsidRDefault="003442E1" w:rsidP="00666DEB">
      <w:pPr>
        <w:pStyle w:val="Prrafodelista"/>
        <w:autoSpaceDE w:val="0"/>
        <w:autoSpaceDN w:val="0"/>
        <w:adjustRightInd w:val="0"/>
        <w:spacing w:after="0"/>
        <w:ind w:left="0"/>
        <w:rPr>
          <w:rFonts w:cs="Arial"/>
          <w:b/>
          <w:i/>
          <w:szCs w:val="20"/>
          <w:lang w:val="es-CR"/>
        </w:rPr>
      </w:pPr>
    </w:p>
    <w:p w14:paraId="7E5D7F73" w14:textId="08D6F80C" w:rsidR="00CF0587" w:rsidRPr="00666DEB" w:rsidRDefault="003442E1" w:rsidP="00666DEB">
      <w:pPr>
        <w:pStyle w:val="Prrafodelista"/>
        <w:numPr>
          <w:ilvl w:val="0"/>
          <w:numId w:val="2"/>
        </w:numPr>
        <w:autoSpaceDE w:val="0"/>
        <w:autoSpaceDN w:val="0"/>
        <w:adjustRightInd w:val="0"/>
        <w:spacing w:after="0"/>
        <w:ind w:left="0" w:firstLine="0"/>
        <w:rPr>
          <w:rFonts w:cs="Arial"/>
          <w:b/>
          <w:i/>
          <w:szCs w:val="20"/>
          <w:lang w:val="es-CR"/>
        </w:rPr>
      </w:pPr>
      <w:r w:rsidRPr="000C4941">
        <w:rPr>
          <w:rFonts w:cs="Arial"/>
          <w:szCs w:val="20"/>
          <w:lang w:val="es-CR"/>
        </w:rPr>
        <w:t>Respecto del señor</w:t>
      </w:r>
      <w:r w:rsidR="005B2812" w:rsidRPr="000C4941">
        <w:rPr>
          <w:rFonts w:cs="Arial"/>
          <w:szCs w:val="20"/>
          <w:lang w:val="es-CR"/>
        </w:rPr>
        <w:t xml:space="preserve"> Reynaldo Bustamante Alarcón</w:t>
      </w:r>
      <w:r w:rsidRPr="000C4941">
        <w:rPr>
          <w:rFonts w:cs="Arial"/>
          <w:szCs w:val="20"/>
          <w:lang w:val="es-CR"/>
        </w:rPr>
        <w:t>, si bien se señaló que este ha brindado asesoría a la SUNAT, como él mismo lo reconoció, los representantes no evidenciaron que ésta haya sido para efectos de intervención de la presente causa, en virtud del artículo 48 f)</w:t>
      </w:r>
      <w:r w:rsidR="00C37F19" w:rsidRPr="000C4941">
        <w:rPr>
          <w:rFonts w:cs="Arial"/>
          <w:szCs w:val="20"/>
          <w:lang w:val="es-CR"/>
        </w:rPr>
        <w:t xml:space="preserve"> y c)</w:t>
      </w:r>
      <w:r w:rsidRPr="000C4941">
        <w:rPr>
          <w:rFonts w:cs="Arial"/>
          <w:szCs w:val="20"/>
          <w:lang w:val="es-CR"/>
        </w:rPr>
        <w:t xml:space="preserve"> del Reglamento, por lo que </w:t>
      </w:r>
      <w:r w:rsidR="00C37F19" w:rsidRPr="000C4941">
        <w:rPr>
          <w:rFonts w:cs="Arial"/>
          <w:szCs w:val="20"/>
          <w:lang w:val="es-CR"/>
        </w:rPr>
        <w:t xml:space="preserve">se </w:t>
      </w:r>
      <w:r w:rsidRPr="000C4941">
        <w:rPr>
          <w:rFonts w:cs="Arial"/>
          <w:szCs w:val="20"/>
          <w:lang w:val="es-CR"/>
        </w:rPr>
        <w:t>d</w:t>
      </w:r>
      <w:r w:rsidR="000C4941">
        <w:rPr>
          <w:rFonts w:cs="Arial"/>
          <w:szCs w:val="20"/>
          <w:lang w:val="es-CR"/>
        </w:rPr>
        <w:t>eclara admisible dicho peritaje.</w:t>
      </w:r>
    </w:p>
    <w:p w14:paraId="23DC96C2" w14:textId="77777777" w:rsidR="0082349E" w:rsidRPr="00666DEB" w:rsidRDefault="0082349E" w:rsidP="00666DEB">
      <w:pPr>
        <w:pStyle w:val="Prrafodelista"/>
        <w:spacing w:after="0"/>
        <w:rPr>
          <w:rFonts w:cs="Arial"/>
          <w:b/>
          <w:i/>
          <w:szCs w:val="20"/>
          <w:lang w:val="es-CR"/>
        </w:rPr>
      </w:pPr>
    </w:p>
    <w:p w14:paraId="0CFA2BC7" w14:textId="14E063BA" w:rsidR="004B731E" w:rsidRPr="00645344" w:rsidRDefault="003442E1" w:rsidP="00666DEB">
      <w:pPr>
        <w:pStyle w:val="Prrafodelista"/>
        <w:numPr>
          <w:ilvl w:val="0"/>
          <w:numId w:val="2"/>
        </w:numPr>
        <w:autoSpaceDE w:val="0"/>
        <w:autoSpaceDN w:val="0"/>
        <w:adjustRightInd w:val="0"/>
        <w:spacing w:after="0"/>
        <w:ind w:left="0" w:firstLine="0"/>
        <w:rPr>
          <w:rFonts w:cs="Arial"/>
          <w:szCs w:val="20"/>
          <w:lang w:val="es-CR"/>
        </w:rPr>
      </w:pPr>
      <w:r>
        <w:t>Sin perjuicio de lo anterior, e</w:t>
      </w:r>
      <w:r w:rsidR="004B731E">
        <w:t>l Presidente recuerda que el valor de los dictámenes pericial admitidos serán apreciados en la debida oportunidad, dentro del contexto del acervo probatorio existente y según las reglas de la sana crítica.</w:t>
      </w:r>
    </w:p>
    <w:p w14:paraId="3131266E" w14:textId="77777777" w:rsidR="000A18A1" w:rsidRDefault="000A18A1" w:rsidP="00666DEB">
      <w:pPr>
        <w:pStyle w:val="Prrafodelista"/>
        <w:autoSpaceDE w:val="0"/>
        <w:autoSpaceDN w:val="0"/>
        <w:adjustRightInd w:val="0"/>
        <w:spacing w:after="0"/>
        <w:ind w:left="0"/>
        <w:rPr>
          <w:rFonts w:cs="Arial"/>
          <w:szCs w:val="20"/>
          <w:lang w:val="es-CR"/>
        </w:rPr>
      </w:pPr>
    </w:p>
    <w:p w14:paraId="459C2573" w14:textId="1459257A" w:rsidR="000A18A1" w:rsidRDefault="000A18A1" w:rsidP="00666DEB">
      <w:pPr>
        <w:pStyle w:val="Prrafodelista"/>
        <w:numPr>
          <w:ilvl w:val="0"/>
          <w:numId w:val="3"/>
        </w:numPr>
        <w:autoSpaceDE w:val="0"/>
        <w:autoSpaceDN w:val="0"/>
        <w:adjustRightInd w:val="0"/>
        <w:spacing w:after="0"/>
        <w:rPr>
          <w:rFonts w:cs="Arial"/>
          <w:b/>
          <w:i/>
          <w:szCs w:val="20"/>
          <w:lang w:val="es-CR"/>
        </w:rPr>
      </w:pPr>
      <w:r w:rsidRPr="000A18A1">
        <w:rPr>
          <w:rFonts w:cs="Arial"/>
          <w:b/>
          <w:i/>
          <w:szCs w:val="20"/>
          <w:lang w:val="es-CR"/>
        </w:rPr>
        <w:t xml:space="preserve">La admisibilidad de la declaración testimonial ofrecida por el Estado </w:t>
      </w:r>
    </w:p>
    <w:p w14:paraId="3AFF6E98" w14:textId="77777777" w:rsidR="000A18A1" w:rsidRDefault="000A18A1" w:rsidP="00666DEB">
      <w:pPr>
        <w:autoSpaceDE w:val="0"/>
        <w:autoSpaceDN w:val="0"/>
        <w:adjustRightInd w:val="0"/>
        <w:spacing w:after="0" w:line="240" w:lineRule="auto"/>
        <w:rPr>
          <w:rFonts w:cs="Arial"/>
          <w:b/>
          <w:i/>
          <w:szCs w:val="20"/>
          <w:lang w:val="es-CR"/>
        </w:rPr>
      </w:pPr>
    </w:p>
    <w:p w14:paraId="1A64BC14" w14:textId="624A23A0" w:rsidR="000A18A1" w:rsidRDefault="000A18A1" w:rsidP="00666DEB">
      <w:pPr>
        <w:pStyle w:val="Prrafodelista"/>
        <w:numPr>
          <w:ilvl w:val="0"/>
          <w:numId w:val="2"/>
        </w:numPr>
        <w:autoSpaceDE w:val="0"/>
        <w:autoSpaceDN w:val="0"/>
        <w:adjustRightInd w:val="0"/>
        <w:spacing w:after="0"/>
        <w:ind w:left="0" w:firstLine="0"/>
        <w:rPr>
          <w:rFonts w:cs="Arial"/>
          <w:szCs w:val="20"/>
          <w:lang w:val="es-CR"/>
        </w:rPr>
      </w:pPr>
      <w:r>
        <w:rPr>
          <w:rFonts w:cs="Arial"/>
          <w:szCs w:val="20"/>
          <w:lang w:val="es-CR"/>
        </w:rPr>
        <w:t xml:space="preserve">En su escrito de contestación, el Estado propuso la declaración testimonial de Héctor Enrique Lama More, </w:t>
      </w:r>
      <w:r w:rsidR="00723BEC">
        <w:rPr>
          <w:rFonts w:cs="Arial"/>
          <w:szCs w:val="20"/>
          <w:lang w:val="es-CR"/>
        </w:rPr>
        <w:t xml:space="preserve">la cual </w:t>
      </w:r>
      <w:r>
        <w:rPr>
          <w:rFonts w:cs="Arial"/>
          <w:szCs w:val="20"/>
          <w:lang w:val="es-CR"/>
        </w:rPr>
        <w:t xml:space="preserve">al momento de los hechos, se desempeñaba como magistrado de la Sétima Sala Civil de la Corte Superior de Lima </w:t>
      </w:r>
      <w:r w:rsidR="00E85AE7">
        <w:rPr>
          <w:rFonts w:cs="Arial"/>
          <w:szCs w:val="20"/>
          <w:lang w:val="es-CR"/>
        </w:rPr>
        <w:t xml:space="preserve">y que intervino como Vocal ponente en el tercer proceso de amparo </w:t>
      </w:r>
      <w:r w:rsidR="000C4941">
        <w:rPr>
          <w:rFonts w:cs="Arial"/>
          <w:szCs w:val="20"/>
          <w:lang w:val="es-CR"/>
        </w:rPr>
        <w:t>formulado por la ANCEJUB-SUNAT.</w:t>
      </w:r>
      <w:r w:rsidR="00F32FA8">
        <w:rPr>
          <w:rFonts w:cs="Arial"/>
          <w:szCs w:val="20"/>
          <w:lang w:val="es-CR"/>
        </w:rPr>
        <w:t xml:space="preserve"> </w:t>
      </w:r>
    </w:p>
    <w:p w14:paraId="122C1C80" w14:textId="77777777" w:rsidR="00E85AE7" w:rsidRDefault="00E85AE7" w:rsidP="00666DEB">
      <w:pPr>
        <w:pStyle w:val="Prrafodelista"/>
        <w:autoSpaceDE w:val="0"/>
        <w:autoSpaceDN w:val="0"/>
        <w:adjustRightInd w:val="0"/>
        <w:spacing w:after="0"/>
        <w:rPr>
          <w:rFonts w:cs="Arial"/>
          <w:szCs w:val="20"/>
          <w:lang w:val="es-CR"/>
        </w:rPr>
      </w:pPr>
    </w:p>
    <w:p w14:paraId="72FA94D1" w14:textId="11C036F3" w:rsidR="00E85AE7" w:rsidRDefault="00E85AE7" w:rsidP="00666DEB">
      <w:pPr>
        <w:pStyle w:val="Prrafodelista"/>
        <w:numPr>
          <w:ilvl w:val="0"/>
          <w:numId w:val="2"/>
        </w:numPr>
        <w:autoSpaceDE w:val="0"/>
        <w:autoSpaceDN w:val="0"/>
        <w:adjustRightInd w:val="0"/>
        <w:spacing w:after="0"/>
        <w:ind w:left="0" w:firstLine="0"/>
        <w:rPr>
          <w:rFonts w:cs="Arial"/>
          <w:szCs w:val="20"/>
          <w:lang w:val="es-CR"/>
        </w:rPr>
      </w:pPr>
      <w:r>
        <w:rPr>
          <w:rFonts w:cs="Arial"/>
          <w:szCs w:val="20"/>
          <w:lang w:val="es-CR"/>
        </w:rPr>
        <w:t xml:space="preserve">Por su parte, los representantes de las presuntas víctimas objetaron el testimonio </w:t>
      </w:r>
      <w:r w:rsidR="00723BEC">
        <w:rPr>
          <w:rFonts w:cs="Arial"/>
          <w:szCs w:val="20"/>
          <w:lang w:val="es-CR"/>
        </w:rPr>
        <w:t xml:space="preserve">al considerar que </w:t>
      </w:r>
      <w:r>
        <w:rPr>
          <w:rFonts w:cs="Arial"/>
          <w:szCs w:val="20"/>
          <w:lang w:val="es-CR"/>
        </w:rPr>
        <w:t>“sus declaraciones ante la Corte carecen de objeto y son impertinentes por repetir lo expresado en la parte resolutiva y los fundamentos de las decisiones judiciales que firmaron en […</w:t>
      </w:r>
      <w:r w:rsidR="000C4941">
        <w:rPr>
          <w:rFonts w:cs="Arial"/>
          <w:szCs w:val="20"/>
          <w:lang w:val="es-CR"/>
        </w:rPr>
        <w:t>] el Juzgado Civil de Lima […].”</w:t>
      </w:r>
    </w:p>
    <w:p w14:paraId="5C8BC0BD" w14:textId="77777777" w:rsidR="00DC4DBA" w:rsidRPr="00DC4DBA" w:rsidRDefault="00DC4DBA" w:rsidP="00666DEB">
      <w:pPr>
        <w:pStyle w:val="Prrafodelista"/>
        <w:spacing w:after="0"/>
        <w:rPr>
          <w:rFonts w:cs="Arial"/>
          <w:szCs w:val="20"/>
          <w:lang w:val="es-CR"/>
        </w:rPr>
      </w:pPr>
    </w:p>
    <w:p w14:paraId="30E8582F" w14:textId="65D10C36" w:rsidR="00DC4DBA" w:rsidRPr="000A18A1" w:rsidRDefault="000A01FA" w:rsidP="00666DEB">
      <w:pPr>
        <w:pStyle w:val="Prrafodelista"/>
        <w:numPr>
          <w:ilvl w:val="0"/>
          <w:numId w:val="2"/>
        </w:numPr>
        <w:autoSpaceDE w:val="0"/>
        <w:autoSpaceDN w:val="0"/>
        <w:adjustRightInd w:val="0"/>
        <w:spacing w:after="0"/>
        <w:ind w:left="0" w:firstLine="0"/>
        <w:rPr>
          <w:rFonts w:cs="Arial"/>
          <w:szCs w:val="20"/>
          <w:lang w:val="es-CR"/>
        </w:rPr>
      </w:pPr>
      <w:r w:rsidRPr="0068418C">
        <w:rPr>
          <w:rFonts w:cs="Arial"/>
          <w:szCs w:val="20"/>
          <w:lang w:val="es-CR"/>
        </w:rPr>
        <w:t>E</w:t>
      </w:r>
      <w:r w:rsidR="00723BEC">
        <w:rPr>
          <w:rFonts w:cs="Arial"/>
          <w:szCs w:val="20"/>
          <w:lang w:val="es-CR"/>
        </w:rPr>
        <w:t>sta Presidencia estima que dicha</w:t>
      </w:r>
      <w:r w:rsidR="00723BEC" w:rsidRPr="0068418C">
        <w:rPr>
          <w:rFonts w:cs="Arial"/>
          <w:szCs w:val="20"/>
          <w:lang w:val="es-CR"/>
        </w:rPr>
        <w:t xml:space="preserve"> declaración </w:t>
      </w:r>
      <w:r w:rsidR="00723BEC">
        <w:rPr>
          <w:rFonts w:cs="Arial"/>
          <w:szCs w:val="20"/>
          <w:lang w:val="es-CR"/>
        </w:rPr>
        <w:t xml:space="preserve">puede brindar una mayor comprensión del contexto general del caso, y particularmente de los procesos judiciales llevados a cabo por las presuntas víctimas, por lo que estima pertinente </w:t>
      </w:r>
      <w:r w:rsidR="00DC4DBA" w:rsidRPr="0068418C">
        <w:rPr>
          <w:rFonts w:cs="Arial"/>
          <w:szCs w:val="20"/>
          <w:lang w:val="es-CR"/>
        </w:rPr>
        <w:t>adm</w:t>
      </w:r>
      <w:r w:rsidRPr="0068418C">
        <w:rPr>
          <w:rFonts w:cs="Arial"/>
          <w:szCs w:val="20"/>
          <w:lang w:val="es-CR"/>
        </w:rPr>
        <w:t>itir</w:t>
      </w:r>
      <w:r w:rsidR="00723BEC">
        <w:rPr>
          <w:rFonts w:cs="Arial"/>
          <w:szCs w:val="20"/>
          <w:lang w:val="es-CR"/>
        </w:rPr>
        <w:t>la</w:t>
      </w:r>
      <w:r w:rsidR="00151837">
        <w:rPr>
          <w:rFonts w:cs="Arial"/>
          <w:szCs w:val="20"/>
          <w:lang w:val="es-CR"/>
        </w:rPr>
        <w:t>.</w:t>
      </w:r>
    </w:p>
    <w:p w14:paraId="3C334176" w14:textId="77777777" w:rsidR="00C6652A" w:rsidRPr="00C6652A" w:rsidRDefault="00C6652A" w:rsidP="00666DEB">
      <w:pPr>
        <w:pStyle w:val="Prrafodelista"/>
        <w:autoSpaceDE w:val="0"/>
        <w:autoSpaceDN w:val="0"/>
        <w:adjustRightInd w:val="0"/>
        <w:spacing w:after="0"/>
        <w:rPr>
          <w:rFonts w:cs="Arial"/>
          <w:b/>
          <w:i/>
          <w:szCs w:val="20"/>
          <w:lang w:val="es-CR"/>
        </w:rPr>
      </w:pPr>
    </w:p>
    <w:p w14:paraId="3C334178" w14:textId="78CB18A8" w:rsidR="00192A4A" w:rsidRDefault="00C6652A" w:rsidP="00666DEB">
      <w:pPr>
        <w:pStyle w:val="Prrafodelista"/>
        <w:numPr>
          <w:ilvl w:val="0"/>
          <w:numId w:val="3"/>
        </w:numPr>
        <w:autoSpaceDE w:val="0"/>
        <w:autoSpaceDN w:val="0"/>
        <w:adjustRightInd w:val="0"/>
        <w:spacing w:after="0"/>
        <w:rPr>
          <w:rFonts w:cs="Arial"/>
          <w:b/>
          <w:i/>
          <w:szCs w:val="20"/>
          <w:lang w:val="es-CR"/>
        </w:rPr>
      </w:pPr>
      <w:r w:rsidRPr="00C6652A">
        <w:rPr>
          <w:rFonts w:cs="Arial"/>
          <w:b/>
          <w:i/>
          <w:szCs w:val="20"/>
          <w:lang w:val="es-CR"/>
        </w:rPr>
        <w:t xml:space="preserve">La admisibilidad de las declaraciones </w:t>
      </w:r>
      <w:r w:rsidR="00C30FA7">
        <w:rPr>
          <w:rFonts w:cs="Arial"/>
          <w:b/>
          <w:i/>
          <w:szCs w:val="20"/>
          <w:lang w:val="es-CR"/>
        </w:rPr>
        <w:t>a título informativo</w:t>
      </w:r>
      <w:r w:rsidRPr="00C6652A">
        <w:rPr>
          <w:rFonts w:cs="Arial"/>
          <w:b/>
          <w:i/>
          <w:szCs w:val="20"/>
          <w:lang w:val="es-CR"/>
        </w:rPr>
        <w:t xml:space="preserve"> ofrecidas por el Estado </w:t>
      </w:r>
    </w:p>
    <w:p w14:paraId="227DE9CE" w14:textId="77777777" w:rsidR="00152381" w:rsidRPr="00152381" w:rsidRDefault="00152381" w:rsidP="00666DEB">
      <w:pPr>
        <w:pStyle w:val="Prrafodelista"/>
        <w:autoSpaceDE w:val="0"/>
        <w:autoSpaceDN w:val="0"/>
        <w:adjustRightInd w:val="0"/>
        <w:spacing w:after="0"/>
        <w:rPr>
          <w:rFonts w:cs="Arial"/>
          <w:b/>
          <w:i/>
          <w:szCs w:val="20"/>
          <w:lang w:val="es-CR"/>
        </w:rPr>
      </w:pPr>
    </w:p>
    <w:p w14:paraId="3C334179" w14:textId="7A4AA355" w:rsidR="00192A4A" w:rsidRPr="00F22EDD" w:rsidRDefault="00F22EDD" w:rsidP="00152381">
      <w:pPr>
        <w:pStyle w:val="Prrafodelista"/>
        <w:numPr>
          <w:ilvl w:val="0"/>
          <w:numId w:val="2"/>
        </w:numPr>
        <w:autoSpaceDE w:val="0"/>
        <w:autoSpaceDN w:val="0"/>
        <w:adjustRightInd w:val="0"/>
        <w:spacing w:after="0"/>
        <w:ind w:left="0" w:firstLine="90"/>
        <w:rPr>
          <w:rFonts w:cs="Arial"/>
          <w:b/>
          <w:i/>
          <w:szCs w:val="20"/>
          <w:lang w:val="es-CR"/>
        </w:rPr>
      </w:pPr>
      <w:r>
        <w:rPr>
          <w:rFonts w:cs="Arial"/>
          <w:szCs w:val="20"/>
          <w:lang w:val="es-CR"/>
        </w:rPr>
        <w:t xml:space="preserve">En su escrito de contestación, el Estado propuso la declaración a título informativo de los magistrados que </w:t>
      </w:r>
      <w:r w:rsidR="00DF0A09">
        <w:rPr>
          <w:rFonts w:cs="Arial"/>
          <w:szCs w:val="20"/>
          <w:lang w:val="es-CR"/>
        </w:rPr>
        <w:t xml:space="preserve">suscribieron </w:t>
      </w:r>
      <w:r>
        <w:rPr>
          <w:rFonts w:cs="Arial"/>
          <w:szCs w:val="20"/>
          <w:lang w:val="es-CR"/>
        </w:rPr>
        <w:t xml:space="preserve">la resolución de 9 de noviembre de 2011 emitida por el </w:t>
      </w:r>
      <w:r w:rsidR="004D7234">
        <w:rPr>
          <w:rFonts w:cs="Arial"/>
          <w:szCs w:val="20"/>
          <w:lang w:val="es-CR"/>
        </w:rPr>
        <w:t>Tribunal Constitucional Peruano.</w:t>
      </w:r>
    </w:p>
    <w:p w14:paraId="3C33417A" w14:textId="77777777" w:rsidR="00F22EDD" w:rsidRPr="00F22EDD" w:rsidRDefault="00F22EDD" w:rsidP="00152381">
      <w:pPr>
        <w:pStyle w:val="Prrafodelista"/>
        <w:autoSpaceDE w:val="0"/>
        <w:autoSpaceDN w:val="0"/>
        <w:adjustRightInd w:val="0"/>
        <w:spacing w:after="0"/>
        <w:rPr>
          <w:rFonts w:cs="Arial"/>
          <w:b/>
          <w:i/>
          <w:szCs w:val="20"/>
          <w:lang w:val="es-CR"/>
        </w:rPr>
      </w:pPr>
    </w:p>
    <w:p w14:paraId="3C33417B" w14:textId="063C1790" w:rsidR="00F22EDD" w:rsidRPr="00645344" w:rsidRDefault="00F22EDD" w:rsidP="00152381">
      <w:pPr>
        <w:pStyle w:val="Prrafodelista"/>
        <w:numPr>
          <w:ilvl w:val="0"/>
          <w:numId w:val="2"/>
        </w:numPr>
        <w:autoSpaceDE w:val="0"/>
        <w:autoSpaceDN w:val="0"/>
        <w:adjustRightInd w:val="0"/>
        <w:spacing w:after="0"/>
        <w:ind w:left="0" w:firstLine="0"/>
        <w:rPr>
          <w:rFonts w:cs="Arial"/>
          <w:b/>
          <w:i/>
          <w:szCs w:val="20"/>
          <w:lang w:val="es-CR"/>
        </w:rPr>
      </w:pPr>
      <w:r>
        <w:rPr>
          <w:rFonts w:cs="Arial"/>
          <w:szCs w:val="20"/>
          <w:lang w:val="es-CR"/>
        </w:rPr>
        <w:t xml:space="preserve">En la lista definitiva de </w:t>
      </w:r>
      <w:r w:rsidR="005B3D95">
        <w:rPr>
          <w:rFonts w:cs="Arial"/>
          <w:szCs w:val="20"/>
          <w:lang w:val="es-CR"/>
        </w:rPr>
        <w:t>declarante</w:t>
      </w:r>
      <w:r w:rsidR="00DF0A09">
        <w:rPr>
          <w:rFonts w:cs="Arial"/>
          <w:szCs w:val="20"/>
          <w:lang w:val="es-CR"/>
        </w:rPr>
        <w:t>s</w:t>
      </w:r>
      <w:r w:rsidR="005B3D95">
        <w:rPr>
          <w:rFonts w:cs="Arial"/>
          <w:szCs w:val="20"/>
          <w:lang w:val="es-CR"/>
        </w:rPr>
        <w:t xml:space="preserve"> </w:t>
      </w:r>
      <w:r w:rsidR="000666ED">
        <w:rPr>
          <w:rFonts w:cs="Arial"/>
          <w:szCs w:val="20"/>
          <w:lang w:val="es-CR"/>
        </w:rPr>
        <w:t>de</w:t>
      </w:r>
      <w:r w:rsidR="00151837">
        <w:rPr>
          <w:rFonts w:cs="Arial"/>
          <w:szCs w:val="20"/>
          <w:lang w:val="es-CR"/>
        </w:rPr>
        <w:t xml:space="preserve"> 23 de enero de 2019</w:t>
      </w:r>
      <w:r>
        <w:rPr>
          <w:rFonts w:cs="Arial"/>
          <w:szCs w:val="20"/>
          <w:lang w:val="es-CR"/>
        </w:rPr>
        <w:t>, el Estado indicó los nombres de los magistrados e indicó que “deja</w:t>
      </w:r>
      <w:r w:rsidR="0082349E">
        <w:rPr>
          <w:rFonts w:cs="Arial"/>
          <w:szCs w:val="20"/>
          <w:lang w:val="es-CR"/>
        </w:rPr>
        <w:t>[</w:t>
      </w:r>
      <w:proofErr w:type="spellStart"/>
      <w:r w:rsidR="0082349E">
        <w:rPr>
          <w:rFonts w:cs="Arial"/>
          <w:szCs w:val="20"/>
          <w:lang w:val="es-CR"/>
        </w:rPr>
        <w:t>ba</w:t>
      </w:r>
      <w:proofErr w:type="spellEnd"/>
      <w:r w:rsidR="0082349E">
        <w:rPr>
          <w:rFonts w:cs="Arial"/>
          <w:szCs w:val="20"/>
          <w:lang w:val="es-CR"/>
        </w:rPr>
        <w:t>]</w:t>
      </w:r>
      <w:r>
        <w:rPr>
          <w:rFonts w:cs="Arial"/>
          <w:szCs w:val="20"/>
          <w:lang w:val="es-CR"/>
        </w:rPr>
        <w:t xml:space="preserve"> a criterio de la honorable Corte la posibilidad de que requiera dichas declaraciones</w:t>
      </w:r>
      <w:r w:rsidR="005B3D95">
        <w:rPr>
          <w:rFonts w:cs="Arial"/>
          <w:szCs w:val="20"/>
          <w:lang w:val="es-CR"/>
        </w:rPr>
        <w:t>.</w:t>
      </w:r>
      <w:r>
        <w:rPr>
          <w:rFonts w:cs="Arial"/>
          <w:szCs w:val="20"/>
          <w:lang w:val="es-CR"/>
        </w:rPr>
        <w:t>”</w:t>
      </w:r>
    </w:p>
    <w:p w14:paraId="6C630553" w14:textId="77777777" w:rsidR="003768A9" w:rsidRPr="00645344" w:rsidRDefault="003768A9" w:rsidP="00152381">
      <w:pPr>
        <w:pStyle w:val="Prrafodelista"/>
        <w:spacing w:after="0"/>
        <w:rPr>
          <w:rFonts w:cs="Arial"/>
          <w:b/>
          <w:i/>
          <w:szCs w:val="20"/>
          <w:lang w:val="es-CR"/>
        </w:rPr>
      </w:pPr>
    </w:p>
    <w:p w14:paraId="20EE2DE2" w14:textId="1C68FDD3" w:rsidR="003768A9" w:rsidRPr="00152381" w:rsidRDefault="003768A9" w:rsidP="00152381">
      <w:pPr>
        <w:pStyle w:val="Prrafodelista"/>
        <w:numPr>
          <w:ilvl w:val="0"/>
          <w:numId w:val="2"/>
        </w:numPr>
        <w:autoSpaceDE w:val="0"/>
        <w:autoSpaceDN w:val="0"/>
        <w:adjustRightInd w:val="0"/>
        <w:spacing w:after="0"/>
        <w:ind w:left="0" w:firstLine="0"/>
        <w:rPr>
          <w:rFonts w:cs="Arial"/>
          <w:b/>
          <w:i/>
          <w:szCs w:val="20"/>
          <w:lang w:val="es-CR"/>
        </w:rPr>
      </w:pPr>
      <w:r>
        <w:rPr>
          <w:rFonts w:cs="Arial"/>
          <w:szCs w:val="20"/>
          <w:lang w:val="es-CR"/>
        </w:rPr>
        <w:t xml:space="preserve">Por su parte, los representantes objetaron ante la Corte que </w:t>
      </w:r>
      <w:r>
        <w:rPr>
          <w:szCs w:val="20"/>
        </w:rPr>
        <w:t xml:space="preserve">“ya que, al haberse aportado como prueba el texto de la sentencia [emitida por el Tribunal Constitucional], las declaraciones de dichos magistrados </w:t>
      </w:r>
      <w:r w:rsidR="00151837">
        <w:rPr>
          <w:szCs w:val="20"/>
        </w:rPr>
        <w:t xml:space="preserve">carecen de objeto y devienen </w:t>
      </w:r>
      <w:r>
        <w:rPr>
          <w:szCs w:val="20"/>
        </w:rPr>
        <w:t>impertinentes por reiterar lo expresado en la misma y repetir lo que puedan deponer</w:t>
      </w:r>
      <w:r w:rsidR="000C4941">
        <w:rPr>
          <w:szCs w:val="20"/>
        </w:rPr>
        <w:t>”</w:t>
      </w:r>
      <w:r w:rsidR="0082349E">
        <w:rPr>
          <w:szCs w:val="20"/>
        </w:rPr>
        <w:t>.</w:t>
      </w:r>
      <w:r w:rsidRPr="00152381">
        <w:rPr>
          <w:szCs w:val="20"/>
        </w:rPr>
        <w:t xml:space="preserve"> </w:t>
      </w:r>
    </w:p>
    <w:p w14:paraId="19A29197" w14:textId="77777777" w:rsidR="003768A9" w:rsidRPr="00645344" w:rsidRDefault="003768A9" w:rsidP="00152381">
      <w:pPr>
        <w:pStyle w:val="Prrafodelista"/>
        <w:spacing w:after="0"/>
        <w:rPr>
          <w:rFonts w:cs="Arial"/>
          <w:b/>
          <w:i/>
          <w:szCs w:val="20"/>
          <w:lang w:val="es-CR"/>
        </w:rPr>
      </w:pPr>
    </w:p>
    <w:p w14:paraId="3C33417D" w14:textId="24DF5805" w:rsidR="00A75237" w:rsidRPr="00680F99" w:rsidRDefault="003768A9" w:rsidP="00152381">
      <w:pPr>
        <w:pStyle w:val="Prrafodelista"/>
        <w:numPr>
          <w:ilvl w:val="0"/>
          <w:numId w:val="2"/>
        </w:numPr>
        <w:autoSpaceDE w:val="0"/>
        <w:autoSpaceDN w:val="0"/>
        <w:adjustRightInd w:val="0"/>
        <w:spacing w:after="0"/>
        <w:ind w:left="0" w:firstLine="0"/>
        <w:rPr>
          <w:b/>
          <w:szCs w:val="20"/>
          <w:lang w:val="es-CR"/>
        </w:rPr>
      </w:pPr>
      <w:r w:rsidRPr="00680F99">
        <w:rPr>
          <w:rFonts w:cs="Arial"/>
          <w:szCs w:val="20"/>
          <w:lang w:val="es-CR"/>
        </w:rPr>
        <w:t>E</w:t>
      </w:r>
      <w:r w:rsidR="00723BEC">
        <w:rPr>
          <w:rFonts w:cs="Arial"/>
          <w:szCs w:val="20"/>
          <w:lang w:val="es-CR"/>
        </w:rPr>
        <w:t>sta</w:t>
      </w:r>
      <w:r w:rsidRPr="00680F99">
        <w:rPr>
          <w:rFonts w:cs="Arial"/>
          <w:szCs w:val="20"/>
          <w:lang w:val="es-CR"/>
        </w:rPr>
        <w:t xml:space="preserve"> Presiden</w:t>
      </w:r>
      <w:r w:rsidR="00723BEC">
        <w:rPr>
          <w:rFonts w:cs="Arial"/>
          <w:szCs w:val="20"/>
          <w:lang w:val="es-CR"/>
        </w:rPr>
        <w:t xml:space="preserve">cia </w:t>
      </w:r>
      <w:r w:rsidR="00E01C13" w:rsidRPr="00680F99">
        <w:rPr>
          <w:rFonts w:cs="Arial"/>
          <w:szCs w:val="20"/>
          <w:lang w:val="es-CR"/>
        </w:rPr>
        <w:t xml:space="preserve">recuerda que </w:t>
      </w:r>
      <w:r w:rsidR="00723BEC">
        <w:rPr>
          <w:rFonts w:cs="Arial"/>
          <w:szCs w:val="20"/>
          <w:lang w:val="es-CR"/>
        </w:rPr>
        <w:t xml:space="preserve">de conformidad con </w:t>
      </w:r>
      <w:r w:rsidR="00E01C13" w:rsidRPr="00680F99">
        <w:rPr>
          <w:rFonts w:cs="Arial"/>
          <w:szCs w:val="20"/>
          <w:lang w:val="es-CR"/>
        </w:rPr>
        <w:t xml:space="preserve">el </w:t>
      </w:r>
      <w:r w:rsidR="00723BEC" w:rsidRPr="00680F99">
        <w:rPr>
          <w:rFonts w:cs="Arial"/>
          <w:szCs w:val="20"/>
          <w:lang w:val="es-CR"/>
        </w:rPr>
        <w:t>artículo 46</w:t>
      </w:r>
      <w:r w:rsidR="00723BEC">
        <w:rPr>
          <w:rFonts w:cs="Arial"/>
          <w:szCs w:val="20"/>
          <w:lang w:val="es-CR"/>
        </w:rPr>
        <w:t xml:space="preserve"> del </w:t>
      </w:r>
      <w:r w:rsidR="00E01C13" w:rsidRPr="00680F99">
        <w:rPr>
          <w:rFonts w:cs="Arial"/>
          <w:szCs w:val="20"/>
          <w:lang w:val="es-CR"/>
        </w:rPr>
        <w:t xml:space="preserve">reglamento de la Corte, </w:t>
      </w:r>
      <w:r w:rsidR="00723BEC">
        <w:rPr>
          <w:rFonts w:cs="Arial"/>
          <w:szCs w:val="20"/>
          <w:lang w:val="es-CR"/>
        </w:rPr>
        <w:t>las partes</w:t>
      </w:r>
      <w:r w:rsidR="00E01C13" w:rsidRPr="00680F99">
        <w:rPr>
          <w:rFonts w:cs="Arial"/>
          <w:szCs w:val="20"/>
          <w:lang w:val="es-CR"/>
        </w:rPr>
        <w:t xml:space="preserve"> y la Comisión solo tienen la posibilidad de proponer declaraciones testimoniales y periciales</w:t>
      </w:r>
      <w:r w:rsidR="00723BEC">
        <w:rPr>
          <w:rFonts w:cs="Arial"/>
          <w:szCs w:val="20"/>
          <w:lang w:val="es-CR"/>
        </w:rPr>
        <w:t xml:space="preserve"> y no así de otra naturaleza, lo cual podría ser facultad exclusiva de la Corte </w:t>
      </w:r>
      <w:r w:rsidR="00152381">
        <w:rPr>
          <w:rFonts w:cs="Arial"/>
          <w:szCs w:val="20"/>
          <w:lang w:val="es-CR"/>
        </w:rPr>
        <w:t>a través del artículo 58 de su Reglamento.</w:t>
      </w:r>
      <w:r w:rsidR="004D7234">
        <w:rPr>
          <w:rFonts w:cs="Arial"/>
          <w:szCs w:val="20"/>
          <w:lang w:val="es-CR"/>
        </w:rPr>
        <w:t xml:space="preserve"> Además, a</w:t>
      </w:r>
      <w:r w:rsidR="00DF0A09">
        <w:rPr>
          <w:rFonts w:cs="Arial"/>
          <w:szCs w:val="20"/>
          <w:lang w:val="es-CR"/>
        </w:rPr>
        <w:t>dvierte</w:t>
      </w:r>
      <w:r w:rsidR="004D7234">
        <w:rPr>
          <w:rFonts w:cs="Arial"/>
          <w:szCs w:val="20"/>
          <w:lang w:val="es-CR"/>
        </w:rPr>
        <w:t xml:space="preserve"> que el Estado no precisó el objeto de </w:t>
      </w:r>
      <w:r w:rsidR="00723BEC">
        <w:rPr>
          <w:rFonts w:cs="Arial"/>
          <w:szCs w:val="20"/>
          <w:lang w:val="es-CR"/>
        </w:rPr>
        <w:t xml:space="preserve">tales </w:t>
      </w:r>
      <w:r w:rsidR="004D7234">
        <w:rPr>
          <w:rFonts w:cs="Arial"/>
          <w:szCs w:val="20"/>
          <w:lang w:val="es-CR"/>
        </w:rPr>
        <w:t>declaraci</w:t>
      </w:r>
      <w:r w:rsidR="00723BEC">
        <w:rPr>
          <w:rFonts w:cs="Arial"/>
          <w:szCs w:val="20"/>
          <w:lang w:val="es-CR"/>
        </w:rPr>
        <w:t>ones</w:t>
      </w:r>
      <w:r w:rsidR="00DF0A09">
        <w:rPr>
          <w:rFonts w:cs="Arial"/>
          <w:szCs w:val="20"/>
          <w:lang w:val="es-CR"/>
        </w:rPr>
        <w:t xml:space="preserve">, razón por la cual no las decretará. </w:t>
      </w:r>
    </w:p>
    <w:p w14:paraId="019F0977" w14:textId="77777777" w:rsidR="00645344" w:rsidRDefault="00645344" w:rsidP="00152381">
      <w:pPr>
        <w:tabs>
          <w:tab w:val="left" w:pos="567"/>
        </w:tabs>
        <w:spacing w:after="0" w:line="240" w:lineRule="auto"/>
        <w:jc w:val="both"/>
        <w:rPr>
          <w:rFonts w:ascii="Verdana" w:eastAsia="Calibri" w:hAnsi="Verdana" w:cs="Verdana"/>
          <w:b/>
          <w:bCs/>
          <w:sz w:val="20"/>
          <w:szCs w:val="20"/>
          <w:lang w:val="es-CR"/>
        </w:rPr>
      </w:pPr>
    </w:p>
    <w:p w14:paraId="3C33417E" w14:textId="77777777" w:rsidR="00A75237" w:rsidRPr="00850F42" w:rsidRDefault="00A75237" w:rsidP="00152381">
      <w:pPr>
        <w:tabs>
          <w:tab w:val="left" w:pos="567"/>
        </w:tabs>
        <w:spacing w:after="0" w:line="240" w:lineRule="auto"/>
        <w:jc w:val="both"/>
        <w:rPr>
          <w:rFonts w:ascii="Verdana" w:eastAsia="Calibri" w:hAnsi="Verdana" w:cs="Verdana"/>
          <w:b/>
          <w:bCs/>
          <w:sz w:val="20"/>
          <w:szCs w:val="20"/>
          <w:lang w:val="es-CR"/>
        </w:rPr>
      </w:pPr>
      <w:r w:rsidRPr="00850F42">
        <w:rPr>
          <w:rFonts w:ascii="Verdana" w:eastAsia="Calibri" w:hAnsi="Verdana" w:cs="Verdana"/>
          <w:b/>
          <w:bCs/>
          <w:sz w:val="20"/>
          <w:szCs w:val="20"/>
          <w:lang w:val="es-CR"/>
        </w:rPr>
        <w:t>POR TANTO:</w:t>
      </w:r>
    </w:p>
    <w:p w14:paraId="3C33417F" w14:textId="77777777" w:rsidR="00A75237" w:rsidRPr="00850F42" w:rsidRDefault="00A75237" w:rsidP="00152381">
      <w:pPr>
        <w:tabs>
          <w:tab w:val="left" w:pos="567"/>
        </w:tabs>
        <w:spacing w:after="0" w:line="240" w:lineRule="auto"/>
        <w:jc w:val="both"/>
        <w:rPr>
          <w:rFonts w:ascii="Verdana" w:eastAsia="Calibri" w:hAnsi="Verdana" w:cs="Verdana"/>
          <w:b/>
          <w:bCs/>
          <w:sz w:val="20"/>
          <w:szCs w:val="20"/>
          <w:lang w:val="es-CR"/>
        </w:rPr>
      </w:pPr>
    </w:p>
    <w:p w14:paraId="3C334180" w14:textId="77777777" w:rsidR="00A75237" w:rsidRPr="00850F42" w:rsidRDefault="00A75237" w:rsidP="00152381">
      <w:pPr>
        <w:tabs>
          <w:tab w:val="left" w:pos="567"/>
        </w:tabs>
        <w:spacing w:after="0" w:line="240" w:lineRule="auto"/>
        <w:jc w:val="both"/>
        <w:rPr>
          <w:rFonts w:ascii="Verdana" w:eastAsia="Calibri" w:hAnsi="Verdana" w:cs="Verdana"/>
          <w:b/>
          <w:bCs/>
          <w:sz w:val="20"/>
          <w:szCs w:val="20"/>
          <w:lang w:val="es-CR"/>
        </w:rPr>
      </w:pPr>
      <w:r w:rsidRPr="00850F42">
        <w:rPr>
          <w:rFonts w:ascii="Verdana" w:eastAsia="Calibri" w:hAnsi="Verdana" w:cs="Verdana"/>
          <w:b/>
          <w:bCs/>
          <w:sz w:val="20"/>
          <w:szCs w:val="20"/>
          <w:lang w:val="es-CR"/>
        </w:rPr>
        <w:t xml:space="preserve">EL PRESIDENTE DE LA CORTE INTERAMERICANA DE DERECHOS HUMANOS, </w:t>
      </w:r>
    </w:p>
    <w:p w14:paraId="3C334181" w14:textId="77777777" w:rsidR="00A75237" w:rsidRPr="00850F42" w:rsidRDefault="00A75237" w:rsidP="00152381">
      <w:pPr>
        <w:tabs>
          <w:tab w:val="left" w:pos="567"/>
        </w:tabs>
        <w:spacing w:after="0" w:line="240" w:lineRule="auto"/>
        <w:jc w:val="both"/>
        <w:rPr>
          <w:rFonts w:ascii="Verdana" w:eastAsia="Calibri" w:hAnsi="Verdana" w:cs="Verdana"/>
          <w:b/>
          <w:bCs/>
          <w:sz w:val="20"/>
          <w:szCs w:val="20"/>
          <w:lang w:val="es-CR"/>
        </w:rPr>
      </w:pPr>
    </w:p>
    <w:p w14:paraId="3C334182" w14:textId="77777777" w:rsidR="00A75237" w:rsidRDefault="00A75237" w:rsidP="00152381">
      <w:pPr>
        <w:widowControl w:val="0"/>
        <w:tabs>
          <w:tab w:val="left" w:pos="567"/>
          <w:tab w:val="left" w:pos="7740"/>
        </w:tabs>
        <w:autoSpaceDE w:val="0"/>
        <w:autoSpaceDN w:val="0"/>
        <w:adjustRightInd w:val="0"/>
        <w:spacing w:after="0" w:line="240" w:lineRule="auto"/>
        <w:ind w:right="22"/>
        <w:rPr>
          <w:rFonts w:ascii="Verdana" w:eastAsia="Calibri" w:hAnsi="Verdana" w:cs="Verdana"/>
          <w:sz w:val="20"/>
          <w:szCs w:val="20"/>
          <w:lang w:val="es-CR"/>
        </w:rPr>
      </w:pPr>
      <w:r w:rsidRPr="00850F42">
        <w:rPr>
          <w:rFonts w:ascii="Verdana" w:eastAsia="Calibri" w:hAnsi="Verdana" w:cs="Verdana"/>
          <w:sz w:val="20"/>
          <w:szCs w:val="20"/>
          <w:lang w:val="es-CR"/>
        </w:rPr>
        <w:t>de conformidad con los artículos 24.1 y 25.2 del Estatuto de la Corte y con los artículos 4, 15.1, 26.1, 31.2, 35.1, 40.2, 41.1, 45 a 48, 50 a 56 y 60 del Reglamento,</w:t>
      </w:r>
    </w:p>
    <w:p w14:paraId="3C334183" w14:textId="77777777" w:rsidR="00A75237" w:rsidRDefault="00A75237" w:rsidP="00152381">
      <w:pPr>
        <w:widowControl w:val="0"/>
        <w:tabs>
          <w:tab w:val="left" w:pos="567"/>
          <w:tab w:val="left" w:pos="7740"/>
        </w:tabs>
        <w:autoSpaceDE w:val="0"/>
        <w:autoSpaceDN w:val="0"/>
        <w:adjustRightInd w:val="0"/>
        <w:spacing w:after="0" w:line="240" w:lineRule="auto"/>
        <w:ind w:right="22"/>
        <w:rPr>
          <w:rFonts w:ascii="Verdana" w:eastAsia="Calibri" w:hAnsi="Verdana" w:cs="Verdana"/>
          <w:sz w:val="20"/>
          <w:szCs w:val="20"/>
          <w:lang w:val="es-CR"/>
        </w:rPr>
      </w:pPr>
    </w:p>
    <w:p w14:paraId="3C334184" w14:textId="77777777" w:rsidR="00A75237" w:rsidRDefault="00A75237" w:rsidP="00152381">
      <w:pPr>
        <w:widowControl w:val="0"/>
        <w:tabs>
          <w:tab w:val="left" w:pos="567"/>
          <w:tab w:val="left" w:pos="7740"/>
        </w:tabs>
        <w:autoSpaceDE w:val="0"/>
        <w:autoSpaceDN w:val="0"/>
        <w:adjustRightInd w:val="0"/>
        <w:spacing w:after="0" w:line="240" w:lineRule="auto"/>
        <w:ind w:right="22"/>
        <w:rPr>
          <w:rFonts w:ascii="Verdana" w:eastAsia="Calibri" w:hAnsi="Verdana" w:cs="Verdana"/>
          <w:b/>
          <w:sz w:val="20"/>
          <w:szCs w:val="20"/>
          <w:lang w:val="es-CR"/>
        </w:rPr>
      </w:pPr>
      <w:r w:rsidRPr="00A75237">
        <w:rPr>
          <w:rFonts w:ascii="Verdana" w:eastAsia="Calibri" w:hAnsi="Verdana" w:cs="Verdana"/>
          <w:b/>
          <w:sz w:val="20"/>
          <w:szCs w:val="20"/>
          <w:lang w:val="es-CR"/>
        </w:rPr>
        <w:t xml:space="preserve">RESUELVE: </w:t>
      </w:r>
    </w:p>
    <w:p w14:paraId="3C334185" w14:textId="77777777" w:rsidR="002B2DD3" w:rsidRDefault="002B2DD3" w:rsidP="00152381">
      <w:pPr>
        <w:widowControl w:val="0"/>
        <w:tabs>
          <w:tab w:val="left" w:pos="567"/>
          <w:tab w:val="left" w:pos="7740"/>
        </w:tabs>
        <w:autoSpaceDE w:val="0"/>
        <w:autoSpaceDN w:val="0"/>
        <w:adjustRightInd w:val="0"/>
        <w:spacing w:after="0" w:line="240" w:lineRule="auto"/>
        <w:ind w:right="22"/>
        <w:rPr>
          <w:rFonts w:ascii="Verdana" w:eastAsia="Calibri" w:hAnsi="Verdana" w:cs="Verdana"/>
          <w:b/>
          <w:sz w:val="20"/>
          <w:szCs w:val="20"/>
          <w:lang w:val="es-CR"/>
        </w:rPr>
      </w:pPr>
    </w:p>
    <w:p w14:paraId="3C334186" w14:textId="66AA74AF" w:rsidR="002B2DD3" w:rsidRPr="00195F4D" w:rsidRDefault="002B2DD3" w:rsidP="00152381">
      <w:pPr>
        <w:numPr>
          <w:ilvl w:val="3"/>
          <w:numId w:val="5"/>
        </w:numPr>
        <w:tabs>
          <w:tab w:val="left" w:pos="567"/>
        </w:tabs>
        <w:spacing w:after="0" w:line="240" w:lineRule="auto"/>
        <w:ind w:left="0" w:firstLine="0"/>
        <w:jc w:val="both"/>
        <w:rPr>
          <w:rFonts w:ascii="Verdana" w:hAnsi="Verdana" w:cs="Times"/>
          <w:sz w:val="20"/>
          <w:szCs w:val="20"/>
          <w:lang w:val="es-CR"/>
        </w:rPr>
      </w:pPr>
      <w:bookmarkStart w:id="6" w:name="_Ref230577466"/>
      <w:r w:rsidRPr="00195F4D">
        <w:rPr>
          <w:rFonts w:ascii="Verdana" w:eastAsia="Calibri" w:hAnsi="Verdana" w:cs="Verdana"/>
          <w:color w:val="000000"/>
          <w:sz w:val="20"/>
          <w:szCs w:val="20"/>
          <w:lang w:val="es-CR" w:eastAsia="es-ES"/>
        </w:rPr>
        <w:t>Convocar</w:t>
      </w:r>
      <w:r w:rsidRPr="00195F4D">
        <w:rPr>
          <w:rFonts w:ascii="Verdana" w:hAnsi="Verdana" w:cs="Times"/>
          <w:sz w:val="20"/>
          <w:szCs w:val="20"/>
          <w:lang w:val="es-CR"/>
        </w:rPr>
        <w:t xml:space="preserve"> al Estado, a l</w:t>
      </w:r>
      <w:r w:rsidR="00151837">
        <w:rPr>
          <w:rFonts w:ascii="Verdana" w:hAnsi="Verdana" w:cs="Times"/>
          <w:sz w:val="20"/>
          <w:szCs w:val="20"/>
          <w:lang w:val="es-CR"/>
        </w:rPr>
        <w:t>o</w:t>
      </w:r>
      <w:r w:rsidRPr="00195F4D">
        <w:rPr>
          <w:rFonts w:ascii="Verdana" w:hAnsi="Verdana" w:cs="Times"/>
          <w:sz w:val="20"/>
          <w:szCs w:val="20"/>
          <w:lang w:val="es-CR"/>
        </w:rPr>
        <w:t xml:space="preserve">s representantes y a la Comisión Interamericana a una audiencia pública </w:t>
      </w:r>
      <w:r w:rsidRPr="00195F4D">
        <w:rPr>
          <w:rFonts w:ascii="Verdana" w:eastAsia="Calibri" w:hAnsi="Verdana" w:cs="Verdana"/>
          <w:sz w:val="20"/>
          <w:szCs w:val="20"/>
          <w:lang w:val="es-CR"/>
        </w:rPr>
        <w:t xml:space="preserve">que se celebrará </w:t>
      </w:r>
      <w:r w:rsidR="009B49F6">
        <w:rPr>
          <w:rFonts w:ascii="Verdana" w:eastAsia="Calibri" w:hAnsi="Verdana" w:cs="Verdana"/>
          <w:sz w:val="20"/>
          <w:szCs w:val="20"/>
          <w:lang w:val="es-CR"/>
        </w:rPr>
        <w:t>el 7</w:t>
      </w:r>
      <w:r>
        <w:rPr>
          <w:rFonts w:ascii="Verdana" w:eastAsia="Calibri" w:hAnsi="Verdana" w:cs="Verdana"/>
          <w:sz w:val="20"/>
          <w:szCs w:val="20"/>
          <w:lang w:val="es-CR"/>
        </w:rPr>
        <w:t xml:space="preserve"> de </w:t>
      </w:r>
      <w:r w:rsidR="003768A9">
        <w:rPr>
          <w:rFonts w:ascii="Verdana" w:eastAsia="Calibri" w:hAnsi="Verdana" w:cs="Verdana"/>
          <w:sz w:val="20"/>
          <w:szCs w:val="20"/>
          <w:lang w:val="es-CR"/>
        </w:rPr>
        <w:t>mayo</w:t>
      </w:r>
      <w:r>
        <w:rPr>
          <w:rFonts w:ascii="Verdana" w:eastAsia="Calibri" w:hAnsi="Verdana" w:cs="Verdana"/>
          <w:sz w:val="20"/>
          <w:szCs w:val="20"/>
          <w:lang w:val="es-CR"/>
        </w:rPr>
        <w:t xml:space="preserve"> de 2019</w:t>
      </w:r>
      <w:r w:rsidRPr="00195F4D">
        <w:rPr>
          <w:rFonts w:ascii="Verdana" w:eastAsia="Calibri" w:hAnsi="Verdana" w:cs="Verdana"/>
          <w:sz w:val="20"/>
          <w:szCs w:val="20"/>
          <w:lang w:val="es-CR"/>
        </w:rPr>
        <w:t>, a partir de las</w:t>
      </w:r>
      <w:r w:rsidR="001C7E42">
        <w:rPr>
          <w:rFonts w:ascii="Verdana" w:eastAsia="Calibri" w:hAnsi="Verdana" w:cs="Verdana"/>
          <w:sz w:val="20"/>
          <w:szCs w:val="20"/>
          <w:lang w:val="es-CR"/>
        </w:rPr>
        <w:t xml:space="preserve"> 9</w:t>
      </w:r>
      <w:r w:rsidR="009B49F6">
        <w:rPr>
          <w:rFonts w:ascii="Verdana" w:eastAsia="Calibri" w:hAnsi="Verdana" w:cs="Verdana"/>
          <w:sz w:val="20"/>
          <w:szCs w:val="20"/>
          <w:lang w:val="es-CR"/>
        </w:rPr>
        <w:t>:00</w:t>
      </w:r>
      <w:r w:rsidRPr="00195F4D">
        <w:rPr>
          <w:rFonts w:ascii="Verdana" w:eastAsia="Calibri" w:hAnsi="Verdana" w:cs="Verdana"/>
          <w:sz w:val="20"/>
          <w:szCs w:val="20"/>
          <w:lang w:val="es-CR"/>
        </w:rPr>
        <w:t xml:space="preserve"> horas, </w:t>
      </w:r>
      <w:r w:rsidRPr="00645344">
        <w:rPr>
          <w:rFonts w:ascii="Verdana" w:eastAsia="Calibri" w:hAnsi="Verdana" w:cs="Verdana"/>
          <w:sz w:val="20"/>
          <w:szCs w:val="20"/>
          <w:lang w:val="es-CR"/>
        </w:rPr>
        <w:t xml:space="preserve">durante el </w:t>
      </w:r>
      <w:r w:rsidR="009B49F6" w:rsidRPr="00645344">
        <w:rPr>
          <w:rFonts w:ascii="Verdana" w:eastAsia="Calibri" w:hAnsi="Verdana" w:cs="Verdana"/>
          <w:sz w:val="20"/>
          <w:szCs w:val="20"/>
          <w:lang w:val="es-CR"/>
        </w:rPr>
        <w:t>60</w:t>
      </w:r>
      <w:r w:rsidRPr="00645344">
        <w:rPr>
          <w:rFonts w:ascii="Verdana" w:eastAsia="Calibri" w:hAnsi="Verdana" w:cs="Verdana"/>
          <w:sz w:val="20"/>
          <w:szCs w:val="20"/>
          <w:lang w:val="es-CR"/>
        </w:rPr>
        <w:t xml:space="preserve"> Período </w:t>
      </w:r>
      <w:r w:rsidR="00647DB2" w:rsidRPr="00645344">
        <w:rPr>
          <w:rFonts w:ascii="Verdana" w:eastAsia="Calibri" w:hAnsi="Verdana" w:cs="Verdana"/>
          <w:sz w:val="20"/>
          <w:szCs w:val="20"/>
          <w:lang w:val="es-CR"/>
        </w:rPr>
        <w:t>Extraor</w:t>
      </w:r>
      <w:r w:rsidRPr="00645344">
        <w:rPr>
          <w:rFonts w:ascii="Verdana" w:eastAsia="Calibri" w:hAnsi="Verdana" w:cs="Verdana"/>
          <w:sz w:val="20"/>
          <w:szCs w:val="20"/>
          <w:lang w:val="es-CR"/>
        </w:rPr>
        <w:t xml:space="preserve">dinario de Sesiones, </w:t>
      </w:r>
      <w:r w:rsidR="00647DB2" w:rsidRPr="00645344">
        <w:rPr>
          <w:rFonts w:ascii="Verdana" w:eastAsia="Calibri" w:hAnsi="Verdana" w:cs="Calibri"/>
          <w:sz w:val="20"/>
          <w:lang w:val="es-CR"/>
        </w:rPr>
        <w:t>el</w:t>
      </w:r>
      <w:r w:rsidRPr="00645344">
        <w:rPr>
          <w:rFonts w:ascii="Verdana" w:eastAsia="Calibri" w:hAnsi="Verdana" w:cs="Calibri"/>
          <w:sz w:val="20"/>
        </w:rPr>
        <w:t xml:space="preserve"> cual se llevará a cabo en </w:t>
      </w:r>
      <w:r w:rsidR="00647DB2" w:rsidRPr="00645344">
        <w:rPr>
          <w:rFonts w:ascii="Verdana" w:eastAsia="Calibri" w:hAnsi="Verdana" w:cs="Calibri"/>
          <w:sz w:val="20"/>
        </w:rPr>
        <w:t>la Ciudad de Montevideo, Uruguay del 6 al 1</w:t>
      </w:r>
      <w:r w:rsidR="009B49F6" w:rsidRPr="00645344">
        <w:rPr>
          <w:rFonts w:ascii="Verdana" w:eastAsia="Calibri" w:hAnsi="Verdana" w:cs="Calibri"/>
          <w:sz w:val="20"/>
        </w:rPr>
        <w:t>0</w:t>
      </w:r>
      <w:r w:rsidR="00647DB2" w:rsidRPr="00645344">
        <w:rPr>
          <w:rFonts w:ascii="Verdana" w:eastAsia="Calibri" w:hAnsi="Verdana" w:cs="Calibri"/>
          <w:sz w:val="20"/>
        </w:rPr>
        <w:t xml:space="preserve"> de mayo de 2019</w:t>
      </w:r>
      <w:r w:rsidRPr="00645344">
        <w:rPr>
          <w:rFonts w:ascii="Verdana" w:eastAsia="Calibri" w:hAnsi="Verdana" w:cs="Verdana"/>
          <w:sz w:val="20"/>
          <w:szCs w:val="20"/>
          <w:lang w:val="es-CR"/>
        </w:rPr>
        <w:t>,</w:t>
      </w:r>
      <w:r w:rsidRPr="00195F4D">
        <w:rPr>
          <w:rFonts w:ascii="Verdana" w:eastAsia="Calibri" w:hAnsi="Verdana" w:cs="Verdana"/>
          <w:sz w:val="20"/>
          <w:szCs w:val="20"/>
          <w:lang w:val="es-CR"/>
        </w:rPr>
        <w:t xml:space="preserve"> </w:t>
      </w:r>
      <w:r w:rsidR="009B49F6">
        <w:rPr>
          <w:rFonts w:ascii="Verdana" w:eastAsia="Calibri" w:hAnsi="Verdana" w:cs="Verdana"/>
          <w:sz w:val="20"/>
          <w:szCs w:val="20"/>
          <w:lang w:val="es-CR"/>
        </w:rPr>
        <w:t xml:space="preserve">a fin de </w:t>
      </w:r>
      <w:r w:rsidRPr="00195F4D">
        <w:rPr>
          <w:rFonts w:ascii="Verdana" w:hAnsi="Verdana" w:cs="Times"/>
          <w:sz w:val="20"/>
          <w:szCs w:val="20"/>
          <w:lang w:val="es-CR"/>
        </w:rPr>
        <w:t>recibir sus alegatos y observaciones finales orales sobre e</w:t>
      </w:r>
      <w:r w:rsidR="000666ED">
        <w:rPr>
          <w:rFonts w:ascii="Verdana" w:hAnsi="Verdana" w:cs="Times"/>
          <w:sz w:val="20"/>
          <w:szCs w:val="20"/>
          <w:lang w:val="es-CR"/>
        </w:rPr>
        <w:t>xcepciones preliminares,</w:t>
      </w:r>
      <w:r w:rsidRPr="00195F4D">
        <w:rPr>
          <w:rFonts w:ascii="Verdana" w:hAnsi="Verdana" w:cs="Times"/>
          <w:sz w:val="20"/>
          <w:szCs w:val="20"/>
          <w:lang w:val="es-CR"/>
        </w:rPr>
        <w:t xml:space="preserve"> fondo, y eventuales reparaciones y costas, así como las declaraciones </w:t>
      </w:r>
      <w:bookmarkEnd w:id="6"/>
      <w:r w:rsidR="00151837">
        <w:rPr>
          <w:rFonts w:ascii="Verdana" w:hAnsi="Verdana" w:cs="Times"/>
          <w:sz w:val="20"/>
          <w:szCs w:val="20"/>
          <w:lang w:val="es-CR"/>
        </w:rPr>
        <w:t>de las siguientes personas:</w:t>
      </w:r>
    </w:p>
    <w:p w14:paraId="3C334187" w14:textId="77777777" w:rsidR="002B2DD3" w:rsidRDefault="002B2DD3" w:rsidP="00152381">
      <w:pPr>
        <w:widowControl w:val="0"/>
        <w:tabs>
          <w:tab w:val="left" w:pos="567"/>
          <w:tab w:val="left" w:pos="7740"/>
        </w:tabs>
        <w:autoSpaceDE w:val="0"/>
        <w:autoSpaceDN w:val="0"/>
        <w:adjustRightInd w:val="0"/>
        <w:spacing w:after="0" w:line="240" w:lineRule="auto"/>
        <w:ind w:right="22"/>
        <w:rPr>
          <w:b/>
          <w:szCs w:val="20"/>
          <w:lang w:val="es-CR"/>
        </w:rPr>
      </w:pPr>
    </w:p>
    <w:p w14:paraId="3C334188" w14:textId="77777777" w:rsidR="002B2DD3" w:rsidRPr="00ED7E4A" w:rsidRDefault="002B2DD3" w:rsidP="00152381">
      <w:pPr>
        <w:pStyle w:val="Prrafodelista"/>
        <w:widowControl w:val="0"/>
        <w:numPr>
          <w:ilvl w:val="0"/>
          <w:numId w:val="6"/>
        </w:numPr>
        <w:tabs>
          <w:tab w:val="left" w:pos="567"/>
          <w:tab w:val="left" w:pos="7740"/>
        </w:tabs>
        <w:autoSpaceDE w:val="0"/>
        <w:autoSpaceDN w:val="0"/>
        <w:adjustRightInd w:val="0"/>
        <w:spacing w:after="0"/>
        <w:ind w:right="22"/>
        <w:rPr>
          <w:b/>
          <w:szCs w:val="20"/>
          <w:lang w:val="es-CR"/>
        </w:rPr>
      </w:pPr>
      <w:r w:rsidRPr="009643C9">
        <w:rPr>
          <w:rFonts w:cs="Verdana"/>
          <w:b/>
          <w:i/>
          <w:iCs/>
          <w:szCs w:val="20"/>
          <w:lang w:val="es-CR"/>
        </w:rPr>
        <w:t>Declarantes como presuntas víctimas</w:t>
      </w:r>
      <w:r w:rsidRPr="002B2DD3">
        <w:rPr>
          <w:rFonts w:cs="Verdana"/>
          <w:i/>
          <w:iCs/>
          <w:szCs w:val="20"/>
          <w:lang w:val="es-CR"/>
        </w:rPr>
        <w:t xml:space="preserve"> (propuestos por las representantes)</w:t>
      </w:r>
    </w:p>
    <w:p w14:paraId="3C334189" w14:textId="5A425A17" w:rsidR="002B2DD3" w:rsidRDefault="002B2DD3" w:rsidP="00152381">
      <w:pPr>
        <w:widowControl w:val="0"/>
        <w:tabs>
          <w:tab w:val="left" w:pos="567"/>
          <w:tab w:val="left" w:pos="7740"/>
        </w:tabs>
        <w:autoSpaceDE w:val="0"/>
        <w:autoSpaceDN w:val="0"/>
        <w:adjustRightInd w:val="0"/>
        <w:spacing w:after="0" w:line="240" w:lineRule="auto"/>
        <w:ind w:right="22"/>
        <w:rPr>
          <w:b/>
          <w:szCs w:val="20"/>
          <w:lang w:val="es-CR"/>
        </w:rPr>
      </w:pPr>
    </w:p>
    <w:p w14:paraId="3C33418B" w14:textId="768576D1" w:rsidR="003121CD" w:rsidRPr="0083561A" w:rsidRDefault="00ED7E4A" w:rsidP="00152381">
      <w:pPr>
        <w:pStyle w:val="Prrafodelista"/>
        <w:numPr>
          <w:ilvl w:val="0"/>
          <w:numId w:val="9"/>
        </w:numPr>
        <w:spacing w:after="0"/>
        <w:ind w:firstLine="0"/>
        <w:rPr>
          <w:b/>
          <w:szCs w:val="20"/>
          <w:lang w:val="es-CR"/>
        </w:rPr>
      </w:pPr>
      <w:r w:rsidRPr="00D90749">
        <w:rPr>
          <w:rFonts w:cs="Arial"/>
          <w:bCs/>
          <w:szCs w:val="20"/>
          <w:lang w:val="es-CR"/>
        </w:rPr>
        <w:t xml:space="preserve">Ana María </w:t>
      </w:r>
      <w:proofErr w:type="spellStart"/>
      <w:r w:rsidRPr="00D90749">
        <w:rPr>
          <w:rFonts w:cs="Arial"/>
          <w:bCs/>
          <w:szCs w:val="20"/>
          <w:lang w:val="es-CR"/>
        </w:rPr>
        <w:t>Ráez</w:t>
      </w:r>
      <w:proofErr w:type="spellEnd"/>
      <w:r w:rsidRPr="00D90749">
        <w:rPr>
          <w:rFonts w:cs="Arial"/>
          <w:bCs/>
          <w:szCs w:val="20"/>
          <w:lang w:val="es-CR"/>
        </w:rPr>
        <w:t xml:space="preserve"> Guevara</w:t>
      </w:r>
      <w:r w:rsidR="003121CD" w:rsidRPr="00D90749">
        <w:rPr>
          <w:rFonts w:cs="Arial"/>
          <w:bCs/>
          <w:szCs w:val="20"/>
          <w:lang w:val="es-CR"/>
        </w:rPr>
        <w:t>,</w:t>
      </w:r>
      <w:r w:rsidRPr="00D90749">
        <w:rPr>
          <w:rFonts w:cs="Arial"/>
          <w:bCs/>
          <w:szCs w:val="20"/>
          <w:lang w:val="es-CR"/>
        </w:rPr>
        <w:t xml:space="preserve"> quién declarará </w:t>
      </w:r>
      <w:r w:rsidR="003121CD" w:rsidRPr="00D90749">
        <w:rPr>
          <w:rFonts w:cs="Arial"/>
          <w:szCs w:val="20"/>
          <w:lang w:val="es-CR"/>
        </w:rPr>
        <w:t>sobre</w:t>
      </w:r>
      <w:r w:rsidR="00C37F19">
        <w:rPr>
          <w:rFonts w:cs="Arial"/>
          <w:szCs w:val="20"/>
          <w:lang w:val="es-CR"/>
        </w:rPr>
        <w:t>: i)</w:t>
      </w:r>
      <w:r w:rsidR="003121CD" w:rsidRPr="00D90749">
        <w:rPr>
          <w:rFonts w:cs="Arial"/>
          <w:szCs w:val="20"/>
          <w:lang w:val="es-CR"/>
        </w:rPr>
        <w:t xml:space="preserve"> las </w:t>
      </w:r>
      <w:r w:rsidR="009B49F6">
        <w:rPr>
          <w:rFonts w:cs="Arial"/>
          <w:szCs w:val="20"/>
          <w:lang w:val="es-CR"/>
        </w:rPr>
        <w:t xml:space="preserve">presuntas </w:t>
      </w:r>
      <w:r w:rsidR="003121CD" w:rsidRPr="00D90749">
        <w:rPr>
          <w:rFonts w:cs="Arial"/>
          <w:szCs w:val="20"/>
          <w:lang w:val="es-CR"/>
        </w:rPr>
        <w:t xml:space="preserve">violaciones </w:t>
      </w:r>
      <w:r w:rsidR="00C37F19">
        <w:rPr>
          <w:rFonts w:cs="Arial"/>
          <w:szCs w:val="20"/>
          <w:lang w:val="es-CR"/>
        </w:rPr>
        <w:t xml:space="preserve">a </w:t>
      </w:r>
      <w:r w:rsidR="003121CD" w:rsidRPr="00D90749">
        <w:rPr>
          <w:rFonts w:cs="Arial"/>
          <w:szCs w:val="20"/>
          <w:lang w:val="es-CR"/>
        </w:rPr>
        <w:t>los derechos humanos que ha sufrido dentro del marco del presente caso</w:t>
      </w:r>
      <w:r w:rsidR="00C37F19">
        <w:rPr>
          <w:szCs w:val="20"/>
          <w:lang w:val="es-CR"/>
        </w:rPr>
        <w:t>, y</w:t>
      </w:r>
      <w:r w:rsidR="009B49F6">
        <w:rPr>
          <w:szCs w:val="20"/>
          <w:lang w:val="es-CR"/>
        </w:rPr>
        <w:t xml:space="preserve"> </w:t>
      </w:r>
      <w:r w:rsidR="00C37F19">
        <w:rPr>
          <w:szCs w:val="20"/>
          <w:lang w:val="es-CR"/>
        </w:rPr>
        <w:t xml:space="preserve">ii) </w:t>
      </w:r>
      <w:r w:rsidR="00D36F6E">
        <w:rPr>
          <w:rFonts w:cs="Arial"/>
          <w:szCs w:val="20"/>
          <w:lang w:val="es-CR"/>
        </w:rPr>
        <w:t xml:space="preserve">las </w:t>
      </w:r>
      <w:r w:rsidR="003121CD" w:rsidRPr="00D90749">
        <w:rPr>
          <w:rFonts w:cs="Arial"/>
          <w:szCs w:val="20"/>
          <w:lang w:val="es-CR"/>
        </w:rPr>
        <w:t xml:space="preserve">consecuencias </w:t>
      </w:r>
      <w:r w:rsidR="00C37F19">
        <w:rPr>
          <w:rFonts w:cs="Arial"/>
          <w:szCs w:val="20"/>
          <w:lang w:val="es-CR"/>
        </w:rPr>
        <w:t xml:space="preserve">en </w:t>
      </w:r>
      <w:r w:rsidR="003121CD" w:rsidRPr="00D90749">
        <w:rPr>
          <w:rFonts w:cs="Arial"/>
          <w:szCs w:val="20"/>
          <w:lang w:val="es-CR"/>
        </w:rPr>
        <w:t xml:space="preserve">su vida profesional, personal </w:t>
      </w:r>
      <w:r w:rsidR="003121CD" w:rsidRPr="006E347D">
        <w:rPr>
          <w:iCs/>
          <w:szCs w:val="20"/>
          <w:lang w:val="es-CR"/>
        </w:rPr>
        <w:t>y</w:t>
      </w:r>
      <w:r w:rsidR="003121CD" w:rsidRPr="00D90749">
        <w:rPr>
          <w:i/>
          <w:iCs/>
          <w:szCs w:val="20"/>
          <w:lang w:val="es-CR"/>
        </w:rPr>
        <w:t xml:space="preserve"> </w:t>
      </w:r>
      <w:r w:rsidR="003121CD" w:rsidRPr="00D90749">
        <w:rPr>
          <w:rFonts w:cs="Arial"/>
          <w:szCs w:val="20"/>
          <w:lang w:val="es-CR"/>
        </w:rPr>
        <w:t>familiar</w:t>
      </w:r>
      <w:r w:rsidR="009B49F6">
        <w:rPr>
          <w:rFonts w:cs="Arial"/>
          <w:szCs w:val="20"/>
          <w:lang w:val="es-CR"/>
        </w:rPr>
        <w:t>;</w:t>
      </w:r>
      <w:r w:rsidR="003121CD" w:rsidRPr="00D90749">
        <w:rPr>
          <w:rFonts w:cs="Arial"/>
          <w:szCs w:val="20"/>
          <w:lang w:val="es-CR"/>
        </w:rPr>
        <w:t xml:space="preserve"> en particular sobre los daños que </w:t>
      </w:r>
      <w:r w:rsidR="009B49F6">
        <w:rPr>
          <w:rFonts w:cs="Arial"/>
          <w:szCs w:val="20"/>
          <w:lang w:val="es-CR"/>
        </w:rPr>
        <w:t>esas</w:t>
      </w:r>
      <w:r w:rsidR="009B49F6" w:rsidRPr="00D90749">
        <w:rPr>
          <w:rFonts w:cs="Arial"/>
          <w:szCs w:val="20"/>
          <w:lang w:val="es-CR"/>
        </w:rPr>
        <w:t xml:space="preserve"> </w:t>
      </w:r>
      <w:r w:rsidR="009B49F6">
        <w:rPr>
          <w:rFonts w:cs="Arial"/>
          <w:szCs w:val="20"/>
          <w:lang w:val="es-CR"/>
        </w:rPr>
        <w:t xml:space="preserve">presuntas </w:t>
      </w:r>
      <w:r w:rsidR="003121CD" w:rsidRPr="00D90749">
        <w:rPr>
          <w:rFonts w:cs="Arial"/>
          <w:szCs w:val="20"/>
          <w:lang w:val="es-CR"/>
        </w:rPr>
        <w:t>violaciones le han infligido a su integridad física, psíquica y moral</w:t>
      </w:r>
      <w:r w:rsidR="003121CD" w:rsidRPr="00D90749">
        <w:rPr>
          <w:szCs w:val="20"/>
        </w:rPr>
        <w:t>.</w:t>
      </w:r>
    </w:p>
    <w:p w14:paraId="5BA7B87F" w14:textId="77777777" w:rsidR="00B747B9" w:rsidRPr="00B747B9" w:rsidRDefault="00B747B9" w:rsidP="00152381">
      <w:pPr>
        <w:pStyle w:val="Prrafodelista"/>
        <w:widowControl w:val="0"/>
        <w:tabs>
          <w:tab w:val="left" w:pos="567"/>
          <w:tab w:val="left" w:pos="7740"/>
        </w:tabs>
        <w:autoSpaceDE w:val="0"/>
        <w:autoSpaceDN w:val="0"/>
        <w:adjustRightInd w:val="0"/>
        <w:spacing w:after="0"/>
        <w:ind w:right="22"/>
        <w:rPr>
          <w:b/>
          <w:szCs w:val="20"/>
          <w:lang w:val="es-CR"/>
        </w:rPr>
      </w:pPr>
    </w:p>
    <w:p w14:paraId="3C33418E" w14:textId="77BA6E79" w:rsidR="002B2DD3" w:rsidRPr="003121CD" w:rsidRDefault="002B2DD3" w:rsidP="00152381">
      <w:pPr>
        <w:pStyle w:val="Prrafodelista"/>
        <w:widowControl w:val="0"/>
        <w:numPr>
          <w:ilvl w:val="0"/>
          <w:numId w:val="6"/>
        </w:numPr>
        <w:tabs>
          <w:tab w:val="left" w:pos="567"/>
          <w:tab w:val="left" w:pos="7740"/>
        </w:tabs>
        <w:autoSpaceDE w:val="0"/>
        <w:autoSpaceDN w:val="0"/>
        <w:adjustRightInd w:val="0"/>
        <w:spacing w:after="0"/>
        <w:ind w:right="22"/>
        <w:rPr>
          <w:b/>
          <w:szCs w:val="20"/>
          <w:lang w:val="es-CR"/>
        </w:rPr>
      </w:pPr>
      <w:r w:rsidRPr="009643C9">
        <w:rPr>
          <w:rFonts w:cs="Verdana"/>
          <w:b/>
          <w:i/>
          <w:iCs/>
          <w:szCs w:val="20"/>
          <w:lang w:val="es-CR"/>
        </w:rPr>
        <w:t>Perit</w:t>
      </w:r>
      <w:r w:rsidR="000666ED" w:rsidRPr="009643C9">
        <w:rPr>
          <w:rFonts w:cs="Verdana"/>
          <w:b/>
          <w:i/>
          <w:iCs/>
          <w:szCs w:val="20"/>
          <w:lang w:val="es-CR"/>
        </w:rPr>
        <w:t>a</w:t>
      </w:r>
      <w:r>
        <w:rPr>
          <w:rFonts w:cs="Verdana"/>
          <w:i/>
          <w:iCs/>
          <w:szCs w:val="20"/>
          <w:lang w:val="es-CR"/>
        </w:rPr>
        <w:t xml:space="preserve"> (propuest</w:t>
      </w:r>
      <w:r w:rsidR="000666ED">
        <w:rPr>
          <w:rFonts w:cs="Verdana"/>
          <w:i/>
          <w:iCs/>
          <w:szCs w:val="20"/>
          <w:lang w:val="es-CR"/>
        </w:rPr>
        <w:t>a</w:t>
      </w:r>
      <w:r>
        <w:rPr>
          <w:rFonts w:cs="Verdana"/>
          <w:i/>
          <w:iCs/>
          <w:szCs w:val="20"/>
          <w:lang w:val="es-CR"/>
        </w:rPr>
        <w:t xml:space="preserve"> por los representantes) </w:t>
      </w:r>
    </w:p>
    <w:p w14:paraId="3C33418F" w14:textId="77777777" w:rsidR="003121CD" w:rsidRDefault="003121CD" w:rsidP="00152381">
      <w:pPr>
        <w:widowControl w:val="0"/>
        <w:tabs>
          <w:tab w:val="left" w:pos="567"/>
          <w:tab w:val="left" w:pos="7740"/>
        </w:tabs>
        <w:autoSpaceDE w:val="0"/>
        <w:autoSpaceDN w:val="0"/>
        <w:adjustRightInd w:val="0"/>
        <w:spacing w:after="0" w:line="240" w:lineRule="auto"/>
        <w:ind w:right="22"/>
        <w:rPr>
          <w:szCs w:val="20"/>
          <w:lang w:val="es-CR"/>
        </w:rPr>
      </w:pPr>
    </w:p>
    <w:p w14:paraId="666E382E" w14:textId="31597187" w:rsidR="001E66A7" w:rsidRPr="00D90749" w:rsidRDefault="003121CD" w:rsidP="00152381">
      <w:pPr>
        <w:pStyle w:val="Prrafodelista"/>
        <w:spacing w:after="0"/>
        <w:ind w:left="630"/>
        <w:rPr>
          <w:bCs/>
          <w:szCs w:val="20"/>
          <w:lang w:val="es-CR"/>
        </w:rPr>
      </w:pPr>
      <w:r w:rsidRPr="003121CD">
        <w:rPr>
          <w:bCs/>
          <w:szCs w:val="20"/>
          <w:lang w:val="es-CR"/>
        </w:rPr>
        <w:t>Dra. Frida Vais Gen Rivera, psicóloga</w:t>
      </w:r>
      <w:r w:rsidR="00C37F19">
        <w:rPr>
          <w:bCs/>
          <w:szCs w:val="20"/>
          <w:lang w:val="es-CR"/>
        </w:rPr>
        <w:t>,</w:t>
      </w:r>
      <w:r w:rsidRPr="003121CD">
        <w:rPr>
          <w:bCs/>
          <w:szCs w:val="20"/>
          <w:lang w:val="es-CR"/>
        </w:rPr>
        <w:t xml:space="preserve"> cuyo objetivo será</w:t>
      </w:r>
      <w:r w:rsidR="00C37F19">
        <w:rPr>
          <w:bCs/>
          <w:szCs w:val="20"/>
          <w:lang w:val="es-CR"/>
        </w:rPr>
        <w:t xml:space="preserve"> </w:t>
      </w:r>
      <w:r w:rsidRPr="003121CD">
        <w:rPr>
          <w:bCs/>
          <w:szCs w:val="20"/>
          <w:lang w:val="es-CR"/>
        </w:rPr>
        <w:t xml:space="preserve">establecer el </w:t>
      </w:r>
      <w:r w:rsidR="00C37F19">
        <w:rPr>
          <w:bCs/>
          <w:szCs w:val="20"/>
          <w:lang w:val="es-CR"/>
        </w:rPr>
        <w:t xml:space="preserve">alegado </w:t>
      </w:r>
      <w:r w:rsidRPr="003121CD">
        <w:rPr>
          <w:bCs/>
          <w:szCs w:val="20"/>
          <w:lang w:val="es-CR"/>
        </w:rPr>
        <w:t>grado de afectación psicológica y social de las personas integrantes de ANCEJUB-SUNAT</w:t>
      </w:r>
      <w:r w:rsidR="00C37F19">
        <w:rPr>
          <w:bCs/>
          <w:szCs w:val="20"/>
          <w:lang w:val="es-CR"/>
        </w:rPr>
        <w:t>, derivados como consecuencia de este caso</w:t>
      </w:r>
      <w:r w:rsidRPr="003121CD">
        <w:rPr>
          <w:bCs/>
          <w:szCs w:val="20"/>
          <w:lang w:val="es-CR"/>
        </w:rPr>
        <w:t>.</w:t>
      </w:r>
    </w:p>
    <w:p w14:paraId="3C33419C" w14:textId="77777777" w:rsidR="00A8401E" w:rsidRPr="009643C9" w:rsidRDefault="00A8401E" w:rsidP="00152381">
      <w:pPr>
        <w:pStyle w:val="Prrafodelista"/>
        <w:spacing w:after="0"/>
        <w:ind w:left="630"/>
        <w:rPr>
          <w:lang w:val="es-CR"/>
        </w:rPr>
      </w:pPr>
    </w:p>
    <w:p w14:paraId="3C33419E" w14:textId="77777777" w:rsidR="00C57A21" w:rsidRDefault="00C57A21" w:rsidP="00152381">
      <w:pPr>
        <w:pStyle w:val="Prrafodelista"/>
        <w:widowControl w:val="0"/>
        <w:numPr>
          <w:ilvl w:val="0"/>
          <w:numId w:val="6"/>
        </w:numPr>
        <w:tabs>
          <w:tab w:val="left" w:pos="567"/>
          <w:tab w:val="left" w:pos="7740"/>
        </w:tabs>
        <w:autoSpaceDE w:val="0"/>
        <w:autoSpaceDN w:val="0"/>
        <w:adjustRightInd w:val="0"/>
        <w:spacing w:after="0"/>
        <w:ind w:right="22"/>
        <w:rPr>
          <w:i/>
          <w:szCs w:val="20"/>
          <w:lang w:val="es-CR"/>
        </w:rPr>
      </w:pPr>
      <w:r w:rsidRPr="00C37F19">
        <w:rPr>
          <w:b/>
          <w:szCs w:val="20"/>
          <w:lang w:val="es-CR"/>
        </w:rPr>
        <w:t xml:space="preserve"> </w:t>
      </w:r>
      <w:r w:rsidRPr="009643C9">
        <w:rPr>
          <w:b/>
          <w:i/>
          <w:szCs w:val="20"/>
          <w:lang w:val="es-CR"/>
        </w:rPr>
        <w:t>Peritos</w:t>
      </w:r>
      <w:r w:rsidRPr="00C57A21">
        <w:rPr>
          <w:i/>
          <w:szCs w:val="20"/>
          <w:lang w:val="es-CR"/>
        </w:rPr>
        <w:t xml:space="preserve"> (propuestos por el Estado) </w:t>
      </w:r>
    </w:p>
    <w:p w14:paraId="4C5DC750" w14:textId="77777777" w:rsidR="00B747B9" w:rsidRDefault="00B747B9" w:rsidP="00152381">
      <w:pPr>
        <w:pStyle w:val="Prrafodelista"/>
        <w:widowControl w:val="0"/>
        <w:tabs>
          <w:tab w:val="left" w:pos="567"/>
          <w:tab w:val="left" w:pos="7740"/>
        </w:tabs>
        <w:autoSpaceDE w:val="0"/>
        <w:autoSpaceDN w:val="0"/>
        <w:adjustRightInd w:val="0"/>
        <w:spacing w:after="0"/>
        <w:ind w:right="22"/>
        <w:rPr>
          <w:i/>
          <w:szCs w:val="20"/>
          <w:lang w:val="es-CR"/>
        </w:rPr>
      </w:pPr>
    </w:p>
    <w:p w14:paraId="3C3341A0" w14:textId="0C3EAC00" w:rsidR="006D6E80" w:rsidRPr="00645344" w:rsidRDefault="006D6E80" w:rsidP="00152381">
      <w:pPr>
        <w:pStyle w:val="Prrafodelista"/>
        <w:numPr>
          <w:ilvl w:val="0"/>
          <w:numId w:val="29"/>
        </w:numPr>
        <w:spacing w:after="0"/>
        <w:ind w:firstLine="0"/>
        <w:rPr>
          <w:bCs/>
          <w:szCs w:val="20"/>
          <w:lang w:val="es-CR"/>
        </w:rPr>
      </w:pPr>
      <w:r w:rsidRPr="00645344">
        <w:rPr>
          <w:szCs w:val="20"/>
          <w:lang w:val="es-CR"/>
        </w:rPr>
        <w:t>Cesar Efraín Abanto Revilla,</w:t>
      </w:r>
      <w:r w:rsidR="002673FD" w:rsidRPr="00645344">
        <w:rPr>
          <w:szCs w:val="20"/>
          <w:lang w:val="es-CR"/>
        </w:rPr>
        <w:t xml:space="preserve"> abogado</w:t>
      </w:r>
      <w:r w:rsidR="00D36F6E">
        <w:rPr>
          <w:szCs w:val="20"/>
          <w:lang w:val="es-CR"/>
        </w:rPr>
        <w:t>,</w:t>
      </w:r>
      <w:r w:rsidR="002673FD" w:rsidRPr="00645344">
        <w:rPr>
          <w:szCs w:val="20"/>
          <w:lang w:val="es-CR"/>
        </w:rPr>
        <w:t xml:space="preserve"> </w:t>
      </w:r>
      <w:r w:rsidRPr="00645344">
        <w:rPr>
          <w:szCs w:val="20"/>
          <w:lang w:val="es-CR"/>
        </w:rPr>
        <w:t>quién declarará sobre</w:t>
      </w:r>
      <w:r w:rsidR="00961D10" w:rsidRPr="00645344">
        <w:rPr>
          <w:szCs w:val="20"/>
          <w:lang w:val="es-CR"/>
        </w:rPr>
        <w:t>:</w:t>
      </w:r>
      <w:r w:rsidRPr="00645344">
        <w:rPr>
          <w:szCs w:val="20"/>
          <w:lang w:val="es-CR"/>
        </w:rPr>
        <w:t xml:space="preserve"> i) el régimen previsional del Decreto Ley </w:t>
      </w:r>
      <w:r w:rsidR="00961D10" w:rsidRPr="00645344">
        <w:rPr>
          <w:szCs w:val="20"/>
          <w:lang w:val="es-CR"/>
        </w:rPr>
        <w:t>N</w:t>
      </w:r>
      <w:r w:rsidRPr="00645344">
        <w:rPr>
          <w:szCs w:val="20"/>
          <w:lang w:val="es-CR"/>
        </w:rPr>
        <w:t>°20530 y normas conexas, haciendo especial énfasis en la aplicación de la nivelación progresiva de las pensiones de los cesantes y jubilados del sector público conforme a la normativa vigente y aplicable a la fecha de los hechos</w:t>
      </w:r>
      <w:r w:rsidR="00961D10" w:rsidRPr="00645344">
        <w:rPr>
          <w:szCs w:val="20"/>
          <w:lang w:val="es-CR"/>
        </w:rPr>
        <w:t>;</w:t>
      </w:r>
      <w:r w:rsidRPr="00645344">
        <w:rPr>
          <w:szCs w:val="20"/>
          <w:lang w:val="es-CR"/>
        </w:rPr>
        <w:t xml:space="preserve"> ii) los regímenes laborales aplicables al personal de la SUNAT a partir de la entrada en vigencia del Decreto Legislativo </w:t>
      </w:r>
      <w:r w:rsidR="00961D10" w:rsidRPr="00645344">
        <w:rPr>
          <w:szCs w:val="20"/>
          <w:lang w:val="es-CR"/>
        </w:rPr>
        <w:t>N</w:t>
      </w:r>
      <w:r w:rsidRPr="00645344">
        <w:rPr>
          <w:szCs w:val="20"/>
          <w:lang w:val="es-CR"/>
        </w:rPr>
        <w:t>°673</w:t>
      </w:r>
      <w:r w:rsidR="00D36F6E">
        <w:rPr>
          <w:szCs w:val="20"/>
          <w:lang w:val="es-CR"/>
        </w:rPr>
        <w:t>;</w:t>
      </w:r>
      <w:r w:rsidRPr="00645344">
        <w:rPr>
          <w:szCs w:val="20"/>
          <w:lang w:val="es-CR"/>
        </w:rPr>
        <w:t xml:space="preserve"> en particular, respecto a la vigencia del artículo 3° de dicha norma legal</w:t>
      </w:r>
      <w:r w:rsidR="00961D10" w:rsidRPr="00645344">
        <w:rPr>
          <w:szCs w:val="20"/>
          <w:lang w:val="es-CR"/>
        </w:rPr>
        <w:t>;</w:t>
      </w:r>
      <w:r w:rsidRPr="00645344">
        <w:rPr>
          <w:szCs w:val="20"/>
          <w:lang w:val="es-CR"/>
        </w:rPr>
        <w:t xml:space="preserve"> iii) la jurisprudencia vinculante del Tribunal Constitucional y el Poder Judicial sobre la nivelación de pensiones de los cesantes y jubilados del sector público</w:t>
      </w:r>
      <w:r w:rsidR="008C5735" w:rsidRPr="00645344">
        <w:rPr>
          <w:szCs w:val="20"/>
          <w:lang w:val="es-CR"/>
        </w:rPr>
        <w:t>, y</w:t>
      </w:r>
      <w:r w:rsidRPr="00645344">
        <w:rPr>
          <w:szCs w:val="20"/>
          <w:lang w:val="es-CR"/>
        </w:rPr>
        <w:t xml:space="preserve"> iv) las particularidades en materia previsional del proceso de ejecución de sentencias judiciales en materia previsional a favor de los miembros de ANCEJUB-SUNAT. </w:t>
      </w:r>
    </w:p>
    <w:p w14:paraId="3C3341A1" w14:textId="77777777" w:rsidR="006D6E80" w:rsidRPr="006D6E80" w:rsidRDefault="006D6E80" w:rsidP="00152381">
      <w:pPr>
        <w:pStyle w:val="Prrafodelista"/>
        <w:spacing w:after="0"/>
        <w:rPr>
          <w:bCs/>
          <w:szCs w:val="20"/>
          <w:lang w:val="es-CR"/>
        </w:rPr>
      </w:pPr>
    </w:p>
    <w:p w14:paraId="3C3341A2" w14:textId="05CD2086" w:rsidR="006D6E80" w:rsidRPr="00152381" w:rsidRDefault="006D6E80" w:rsidP="00152381">
      <w:pPr>
        <w:pStyle w:val="Prrafodelista"/>
        <w:numPr>
          <w:ilvl w:val="0"/>
          <w:numId w:val="29"/>
        </w:numPr>
        <w:spacing w:after="0"/>
        <w:ind w:firstLine="0"/>
        <w:rPr>
          <w:bCs/>
          <w:szCs w:val="20"/>
          <w:lang w:val="es-CR"/>
        </w:rPr>
      </w:pPr>
      <w:r>
        <w:rPr>
          <w:szCs w:val="20"/>
          <w:lang w:val="es-CR"/>
        </w:rPr>
        <w:t xml:space="preserve">Dante Ludwig </w:t>
      </w:r>
      <w:proofErr w:type="spellStart"/>
      <w:r>
        <w:rPr>
          <w:szCs w:val="20"/>
          <w:lang w:val="es-CR"/>
        </w:rPr>
        <w:t>Apolín</w:t>
      </w:r>
      <w:proofErr w:type="spellEnd"/>
      <w:r>
        <w:rPr>
          <w:szCs w:val="20"/>
          <w:lang w:val="es-CR"/>
        </w:rPr>
        <w:t xml:space="preserve"> Meza</w:t>
      </w:r>
      <w:r w:rsidR="002673FD">
        <w:rPr>
          <w:szCs w:val="20"/>
          <w:lang w:val="es-CR"/>
        </w:rPr>
        <w:t>, abogado</w:t>
      </w:r>
      <w:r w:rsidR="000666ED">
        <w:rPr>
          <w:szCs w:val="20"/>
          <w:lang w:val="es-CR"/>
        </w:rPr>
        <w:t>,</w:t>
      </w:r>
      <w:r w:rsidR="002673FD">
        <w:rPr>
          <w:szCs w:val="20"/>
          <w:lang w:val="es-CR"/>
        </w:rPr>
        <w:t xml:space="preserve"> </w:t>
      </w:r>
      <w:r w:rsidR="00B37299">
        <w:rPr>
          <w:szCs w:val="20"/>
          <w:lang w:val="es-CR"/>
        </w:rPr>
        <w:t>quién declarará sobre</w:t>
      </w:r>
      <w:r w:rsidR="00961D10">
        <w:rPr>
          <w:szCs w:val="20"/>
          <w:lang w:val="es-CR"/>
        </w:rPr>
        <w:t>:</w:t>
      </w:r>
      <w:r w:rsidR="00B37299">
        <w:rPr>
          <w:szCs w:val="20"/>
          <w:lang w:val="es-CR"/>
        </w:rPr>
        <w:t xml:space="preserve"> i) la ejecución de sentencias judiciales en materia provisional en el Perú</w:t>
      </w:r>
      <w:r w:rsidR="00961D10">
        <w:rPr>
          <w:szCs w:val="20"/>
          <w:lang w:val="es-CR"/>
        </w:rPr>
        <w:t>; ii)</w:t>
      </w:r>
      <w:r w:rsidR="00B37299">
        <w:rPr>
          <w:szCs w:val="20"/>
          <w:lang w:val="es-CR"/>
        </w:rPr>
        <w:t xml:space="preserve"> realizará un estudio del caso concreto, particularmente, en lo referido a la ejecución de sentencia y control judicial de la ejecutoria suprema del 25 de octubre de 1993</w:t>
      </w:r>
      <w:r w:rsidR="00961D10">
        <w:rPr>
          <w:szCs w:val="20"/>
          <w:lang w:val="es-CR"/>
        </w:rPr>
        <w:t>, y</w:t>
      </w:r>
      <w:r w:rsidR="00B37299">
        <w:rPr>
          <w:szCs w:val="20"/>
          <w:lang w:val="es-CR"/>
        </w:rPr>
        <w:t xml:space="preserve"> i</w:t>
      </w:r>
      <w:r w:rsidR="00961D10">
        <w:rPr>
          <w:szCs w:val="20"/>
          <w:lang w:val="es-CR"/>
        </w:rPr>
        <w:t>i</w:t>
      </w:r>
      <w:r w:rsidR="00B37299">
        <w:rPr>
          <w:szCs w:val="20"/>
          <w:lang w:val="es-CR"/>
        </w:rPr>
        <w:t xml:space="preserve">i) la </w:t>
      </w:r>
      <w:r w:rsidR="00961D10">
        <w:rPr>
          <w:szCs w:val="20"/>
          <w:lang w:val="es-CR"/>
        </w:rPr>
        <w:t xml:space="preserve">alegada </w:t>
      </w:r>
      <w:r w:rsidR="00B37299">
        <w:rPr>
          <w:szCs w:val="20"/>
          <w:lang w:val="es-CR"/>
        </w:rPr>
        <w:t xml:space="preserve">complejidad del asunto, la actuación procesal de las partes en dicho proceso y la conducta de las autoridades judiciales en el </w:t>
      </w:r>
      <w:r w:rsidR="00961D10">
        <w:rPr>
          <w:szCs w:val="20"/>
          <w:lang w:val="es-CR"/>
        </w:rPr>
        <w:t xml:space="preserve">presente </w:t>
      </w:r>
      <w:r w:rsidR="00B37299">
        <w:rPr>
          <w:szCs w:val="20"/>
          <w:lang w:val="es-CR"/>
        </w:rPr>
        <w:t xml:space="preserve">caso. </w:t>
      </w:r>
    </w:p>
    <w:p w14:paraId="1A8E1F9E" w14:textId="77777777" w:rsidR="00152381" w:rsidRPr="00152381" w:rsidRDefault="00152381" w:rsidP="00152381">
      <w:pPr>
        <w:spacing w:after="0"/>
        <w:rPr>
          <w:bCs/>
          <w:szCs w:val="20"/>
          <w:lang w:val="es-CR"/>
        </w:rPr>
      </w:pPr>
    </w:p>
    <w:p w14:paraId="3C3341A4" w14:textId="5D643630" w:rsidR="00A8401E" w:rsidRPr="001F7CE7" w:rsidRDefault="00A8401E" w:rsidP="00152381">
      <w:pPr>
        <w:widowControl w:val="0"/>
        <w:tabs>
          <w:tab w:val="left" w:pos="567"/>
          <w:tab w:val="left" w:pos="7740"/>
        </w:tabs>
        <w:autoSpaceDE w:val="0"/>
        <w:autoSpaceDN w:val="0"/>
        <w:adjustRightInd w:val="0"/>
        <w:spacing w:after="0" w:line="240" w:lineRule="auto"/>
        <w:ind w:right="23"/>
        <w:jc w:val="both"/>
        <w:rPr>
          <w:rFonts w:ascii="Verdana" w:hAnsi="Verdana"/>
          <w:sz w:val="20"/>
          <w:szCs w:val="20"/>
          <w:lang w:val="es-CR"/>
        </w:rPr>
      </w:pPr>
      <w:r w:rsidRPr="001F7CE7">
        <w:rPr>
          <w:rFonts w:ascii="Verdana" w:hAnsi="Verdana"/>
          <w:sz w:val="20"/>
          <w:szCs w:val="20"/>
          <w:lang w:val="es-CR"/>
        </w:rPr>
        <w:t>2.</w:t>
      </w:r>
      <w:r w:rsidRPr="001F7CE7">
        <w:rPr>
          <w:rFonts w:ascii="Verdana" w:hAnsi="Verdana"/>
          <w:sz w:val="20"/>
          <w:szCs w:val="20"/>
          <w:lang w:val="es-CR"/>
        </w:rPr>
        <w:tab/>
        <w:t xml:space="preserve">Requerir, por las razones expuestas en la presente Resolución, de conformidad con el principio de economía procesal y de la facultad que le otorga el artículo 50.1 del Reglamento de la Corte, que las siguientes personas </w:t>
      </w:r>
      <w:r w:rsidR="008C5735" w:rsidRPr="001F7CE7">
        <w:rPr>
          <w:rFonts w:ascii="Verdana" w:hAnsi="Verdana"/>
          <w:sz w:val="20"/>
          <w:szCs w:val="20"/>
          <w:lang w:val="es-CR"/>
        </w:rPr>
        <w:t>pre</w:t>
      </w:r>
      <w:r w:rsidR="008C5735">
        <w:rPr>
          <w:rFonts w:ascii="Verdana" w:hAnsi="Verdana"/>
          <w:sz w:val="20"/>
          <w:szCs w:val="20"/>
          <w:lang w:val="es-CR"/>
        </w:rPr>
        <w:t xml:space="preserve">senten </w:t>
      </w:r>
      <w:r w:rsidRPr="001F7CE7">
        <w:rPr>
          <w:rFonts w:ascii="Verdana" w:hAnsi="Verdana"/>
          <w:sz w:val="20"/>
          <w:szCs w:val="20"/>
          <w:lang w:val="es-CR"/>
        </w:rPr>
        <w:t>su declaración ante fedatario público (</w:t>
      </w:r>
      <w:r w:rsidRPr="00645344">
        <w:rPr>
          <w:rFonts w:ascii="Verdana" w:hAnsi="Verdana"/>
          <w:i/>
          <w:sz w:val="20"/>
          <w:szCs w:val="20"/>
          <w:lang w:val="es-CR"/>
        </w:rPr>
        <w:t>affidávit</w:t>
      </w:r>
      <w:r w:rsidRPr="001F7CE7">
        <w:rPr>
          <w:rFonts w:ascii="Verdana" w:hAnsi="Verdana"/>
          <w:sz w:val="20"/>
          <w:szCs w:val="20"/>
          <w:lang w:val="es-CR"/>
        </w:rPr>
        <w:t>):</w:t>
      </w:r>
    </w:p>
    <w:p w14:paraId="3C3341A5" w14:textId="77777777" w:rsidR="00A8401E" w:rsidRDefault="00A8401E" w:rsidP="00152381">
      <w:pPr>
        <w:widowControl w:val="0"/>
        <w:tabs>
          <w:tab w:val="left" w:pos="567"/>
          <w:tab w:val="left" w:pos="7740"/>
        </w:tabs>
        <w:autoSpaceDE w:val="0"/>
        <w:autoSpaceDN w:val="0"/>
        <w:adjustRightInd w:val="0"/>
        <w:spacing w:after="0" w:line="240" w:lineRule="auto"/>
        <w:ind w:right="23"/>
        <w:rPr>
          <w:szCs w:val="20"/>
          <w:lang w:val="es-CR"/>
        </w:rPr>
      </w:pPr>
    </w:p>
    <w:p w14:paraId="0B09D5EE" w14:textId="6FCB4A96" w:rsidR="0083561A" w:rsidRPr="0083561A" w:rsidRDefault="00A8401E" w:rsidP="00152381">
      <w:pPr>
        <w:pStyle w:val="Prrafodelista"/>
        <w:widowControl w:val="0"/>
        <w:numPr>
          <w:ilvl w:val="0"/>
          <w:numId w:val="19"/>
        </w:numPr>
        <w:tabs>
          <w:tab w:val="left" w:pos="567"/>
          <w:tab w:val="left" w:pos="7740"/>
        </w:tabs>
        <w:autoSpaceDE w:val="0"/>
        <w:autoSpaceDN w:val="0"/>
        <w:adjustRightInd w:val="0"/>
        <w:spacing w:after="0"/>
        <w:ind w:right="22"/>
        <w:rPr>
          <w:b/>
          <w:szCs w:val="20"/>
          <w:lang w:val="es-CR"/>
        </w:rPr>
      </w:pPr>
      <w:r w:rsidRPr="009643C9">
        <w:rPr>
          <w:rFonts w:cs="Verdana"/>
          <w:b/>
          <w:i/>
          <w:iCs/>
          <w:szCs w:val="20"/>
          <w:lang w:val="es-CR"/>
        </w:rPr>
        <w:t>Declarantes como presuntas víctimas</w:t>
      </w:r>
      <w:r w:rsidRPr="002B2DD3">
        <w:rPr>
          <w:rFonts w:cs="Verdana"/>
          <w:i/>
          <w:iCs/>
          <w:szCs w:val="20"/>
          <w:lang w:val="es-CR"/>
        </w:rPr>
        <w:t xml:space="preserve"> (propuestos por las representantes)</w:t>
      </w:r>
    </w:p>
    <w:p w14:paraId="3C3341A7" w14:textId="77777777" w:rsidR="00A8401E" w:rsidRDefault="00A8401E" w:rsidP="00152381">
      <w:pPr>
        <w:widowControl w:val="0"/>
        <w:tabs>
          <w:tab w:val="left" w:pos="567"/>
          <w:tab w:val="left" w:pos="7740"/>
        </w:tabs>
        <w:autoSpaceDE w:val="0"/>
        <w:autoSpaceDN w:val="0"/>
        <w:adjustRightInd w:val="0"/>
        <w:spacing w:after="0" w:line="240" w:lineRule="auto"/>
        <w:ind w:right="22"/>
        <w:rPr>
          <w:b/>
          <w:szCs w:val="20"/>
          <w:lang w:val="es-CR"/>
        </w:rPr>
      </w:pPr>
    </w:p>
    <w:p w14:paraId="132B9B0E" w14:textId="77777777" w:rsidR="00C37F19" w:rsidRDefault="00B37299" w:rsidP="00152381">
      <w:pPr>
        <w:pStyle w:val="Prrafodelista"/>
        <w:widowControl w:val="0"/>
        <w:numPr>
          <w:ilvl w:val="6"/>
          <w:numId w:val="5"/>
        </w:numPr>
        <w:tabs>
          <w:tab w:val="left" w:pos="567"/>
        </w:tabs>
        <w:autoSpaceDE w:val="0"/>
        <w:autoSpaceDN w:val="0"/>
        <w:adjustRightInd w:val="0"/>
        <w:spacing w:after="0"/>
        <w:ind w:left="720" w:right="22" w:firstLine="0"/>
        <w:rPr>
          <w:szCs w:val="20"/>
          <w:lang w:val="es-CR"/>
        </w:rPr>
      </w:pPr>
      <w:r w:rsidRPr="00B37299">
        <w:rPr>
          <w:szCs w:val="20"/>
          <w:lang w:val="es-CR"/>
        </w:rPr>
        <w:t>Norma Estrella Grande Bolívar de Cortez</w:t>
      </w:r>
      <w:r w:rsidR="008C5735">
        <w:rPr>
          <w:szCs w:val="20"/>
          <w:lang w:val="es-CR"/>
        </w:rPr>
        <w:t xml:space="preserve"> y </w:t>
      </w:r>
    </w:p>
    <w:p w14:paraId="07E8D8CC" w14:textId="3E51DE12" w:rsidR="00C37F19" w:rsidRPr="00C37F19" w:rsidRDefault="008C5735" w:rsidP="00152381">
      <w:pPr>
        <w:pStyle w:val="Prrafodelista"/>
        <w:widowControl w:val="0"/>
        <w:numPr>
          <w:ilvl w:val="6"/>
          <w:numId w:val="5"/>
        </w:numPr>
        <w:tabs>
          <w:tab w:val="left" w:pos="567"/>
        </w:tabs>
        <w:autoSpaceDE w:val="0"/>
        <w:autoSpaceDN w:val="0"/>
        <w:adjustRightInd w:val="0"/>
        <w:spacing w:after="0"/>
        <w:ind w:left="720" w:right="22" w:firstLine="0"/>
        <w:rPr>
          <w:szCs w:val="20"/>
          <w:lang w:val="es-CR"/>
        </w:rPr>
      </w:pPr>
      <w:r>
        <w:rPr>
          <w:rFonts w:cs="Arial"/>
          <w:bCs/>
          <w:szCs w:val="20"/>
          <w:lang w:val="es-CR"/>
        </w:rPr>
        <w:t>Hugo Alberto Plasenci</w:t>
      </w:r>
      <w:r w:rsidRPr="008E4856">
        <w:rPr>
          <w:rFonts w:cs="Arial"/>
          <w:bCs/>
          <w:szCs w:val="20"/>
          <w:lang w:val="es-CR"/>
        </w:rPr>
        <w:t>a Carranza</w:t>
      </w:r>
      <w:r>
        <w:rPr>
          <w:rFonts w:cs="Arial"/>
          <w:bCs/>
          <w:szCs w:val="20"/>
          <w:lang w:val="es-CR"/>
        </w:rPr>
        <w:t xml:space="preserve">, </w:t>
      </w:r>
      <w:r w:rsidR="00151837">
        <w:rPr>
          <w:rFonts w:cs="Arial"/>
          <w:bCs/>
          <w:szCs w:val="20"/>
          <w:lang w:val="es-CR"/>
        </w:rPr>
        <w:t>quienes declararán sobre:</w:t>
      </w:r>
    </w:p>
    <w:p w14:paraId="30F6E93D" w14:textId="499F1E95" w:rsidR="00C37F19" w:rsidRPr="0083561A" w:rsidRDefault="00C37F19" w:rsidP="00152381">
      <w:pPr>
        <w:pStyle w:val="Prrafodelista"/>
        <w:spacing w:after="0"/>
        <w:ind w:left="540"/>
        <w:rPr>
          <w:b/>
          <w:szCs w:val="20"/>
          <w:lang w:val="es-CR"/>
        </w:rPr>
      </w:pPr>
      <w:r>
        <w:rPr>
          <w:rFonts w:cs="Arial"/>
          <w:szCs w:val="20"/>
          <w:lang w:val="es-CR"/>
        </w:rPr>
        <w:t>i)</w:t>
      </w:r>
      <w:r w:rsidRPr="00D90749">
        <w:rPr>
          <w:rFonts w:cs="Arial"/>
          <w:szCs w:val="20"/>
          <w:lang w:val="es-CR"/>
        </w:rPr>
        <w:t xml:space="preserve"> las </w:t>
      </w:r>
      <w:r>
        <w:rPr>
          <w:rFonts w:cs="Arial"/>
          <w:szCs w:val="20"/>
          <w:lang w:val="es-CR"/>
        </w:rPr>
        <w:t xml:space="preserve">presuntas </w:t>
      </w:r>
      <w:r w:rsidRPr="00D90749">
        <w:rPr>
          <w:rFonts w:cs="Arial"/>
          <w:szCs w:val="20"/>
          <w:lang w:val="es-CR"/>
        </w:rPr>
        <w:t xml:space="preserve">violaciones </w:t>
      </w:r>
      <w:r>
        <w:rPr>
          <w:rFonts w:cs="Arial"/>
          <w:szCs w:val="20"/>
          <w:lang w:val="es-CR"/>
        </w:rPr>
        <w:t xml:space="preserve">a </w:t>
      </w:r>
      <w:r w:rsidRPr="00D90749">
        <w:rPr>
          <w:rFonts w:cs="Arial"/>
          <w:szCs w:val="20"/>
          <w:lang w:val="es-CR"/>
        </w:rPr>
        <w:t>los derechos humanos que ha</w:t>
      </w:r>
      <w:r w:rsidR="00151837">
        <w:rPr>
          <w:rFonts w:cs="Arial"/>
          <w:szCs w:val="20"/>
          <w:lang w:val="es-CR"/>
        </w:rPr>
        <w:t>n</w:t>
      </w:r>
      <w:r w:rsidRPr="00D90749">
        <w:rPr>
          <w:rFonts w:cs="Arial"/>
          <w:szCs w:val="20"/>
          <w:lang w:val="es-CR"/>
        </w:rPr>
        <w:t xml:space="preserve"> sufrido dentro del marco del presente caso</w:t>
      </w:r>
      <w:r>
        <w:rPr>
          <w:szCs w:val="20"/>
          <w:lang w:val="es-CR"/>
        </w:rPr>
        <w:t xml:space="preserve">, y ii) </w:t>
      </w:r>
      <w:r w:rsidR="00D36F6E">
        <w:rPr>
          <w:rFonts w:cs="Arial"/>
          <w:szCs w:val="20"/>
          <w:lang w:val="es-CR"/>
        </w:rPr>
        <w:t>las</w:t>
      </w:r>
      <w:r w:rsidRPr="00D90749">
        <w:rPr>
          <w:rFonts w:cs="Arial"/>
          <w:szCs w:val="20"/>
          <w:lang w:val="es-CR"/>
        </w:rPr>
        <w:t xml:space="preserve"> consecuencias </w:t>
      </w:r>
      <w:r>
        <w:rPr>
          <w:rFonts w:cs="Arial"/>
          <w:szCs w:val="20"/>
          <w:lang w:val="es-CR"/>
        </w:rPr>
        <w:t xml:space="preserve">en </w:t>
      </w:r>
      <w:r w:rsidRPr="00D90749">
        <w:rPr>
          <w:rFonts w:cs="Arial"/>
          <w:szCs w:val="20"/>
          <w:lang w:val="es-CR"/>
        </w:rPr>
        <w:t xml:space="preserve">su vida profesional, personal </w:t>
      </w:r>
      <w:r w:rsidRPr="006E347D">
        <w:rPr>
          <w:iCs/>
          <w:szCs w:val="20"/>
          <w:lang w:val="es-CR"/>
        </w:rPr>
        <w:t>y</w:t>
      </w:r>
      <w:r w:rsidRPr="00D90749">
        <w:rPr>
          <w:i/>
          <w:iCs/>
          <w:szCs w:val="20"/>
          <w:lang w:val="es-CR"/>
        </w:rPr>
        <w:t xml:space="preserve"> </w:t>
      </w:r>
      <w:r w:rsidRPr="00D90749">
        <w:rPr>
          <w:rFonts w:cs="Arial"/>
          <w:szCs w:val="20"/>
          <w:lang w:val="es-CR"/>
        </w:rPr>
        <w:t>familiar</w:t>
      </w:r>
      <w:r>
        <w:rPr>
          <w:rFonts w:cs="Arial"/>
          <w:szCs w:val="20"/>
          <w:lang w:val="es-CR"/>
        </w:rPr>
        <w:t>;</w:t>
      </w:r>
      <w:r w:rsidRPr="00D90749">
        <w:rPr>
          <w:rFonts w:cs="Arial"/>
          <w:szCs w:val="20"/>
          <w:lang w:val="es-CR"/>
        </w:rPr>
        <w:t xml:space="preserve"> en particular sobre los daños que </w:t>
      </w:r>
      <w:r>
        <w:rPr>
          <w:rFonts w:cs="Arial"/>
          <w:szCs w:val="20"/>
          <w:lang w:val="es-CR"/>
        </w:rPr>
        <w:t>esas</w:t>
      </w:r>
      <w:r w:rsidRPr="00D90749">
        <w:rPr>
          <w:rFonts w:cs="Arial"/>
          <w:szCs w:val="20"/>
          <w:lang w:val="es-CR"/>
        </w:rPr>
        <w:t xml:space="preserve"> </w:t>
      </w:r>
      <w:r>
        <w:rPr>
          <w:rFonts w:cs="Arial"/>
          <w:szCs w:val="20"/>
          <w:lang w:val="es-CR"/>
        </w:rPr>
        <w:t xml:space="preserve">presuntas </w:t>
      </w:r>
      <w:r w:rsidRPr="00D90749">
        <w:rPr>
          <w:rFonts w:cs="Arial"/>
          <w:szCs w:val="20"/>
          <w:lang w:val="es-CR"/>
        </w:rPr>
        <w:t>violaciones le han infligido a su integridad física, psíquica y moral</w:t>
      </w:r>
      <w:r w:rsidRPr="00D90749">
        <w:rPr>
          <w:szCs w:val="20"/>
        </w:rPr>
        <w:t>.</w:t>
      </w:r>
    </w:p>
    <w:p w14:paraId="4A3E2ED3" w14:textId="77777777" w:rsidR="0083561A" w:rsidRDefault="0083561A" w:rsidP="00152381">
      <w:pPr>
        <w:pStyle w:val="Prrafodelista"/>
        <w:widowControl w:val="0"/>
        <w:tabs>
          <w:tab w:val="left" w:pos="567"/>
        </w:tabs>
        <w:autoSpaceDE w:val="0"/>
        <w:autoSpaceDN w:val="0"/>
        <w:adjustRightInd w:val="0"/>
        <w:spacing w:after="0"/>
        <w:ind w:right="22"/>
        <w:rPr>
          <w:szCs w:val="20"/>
          <w:lang w:val="es-CR"/>
        </w:rPr>
      </w:pPr>
    </w:p>
    <w:p w14:paraId="3C3341AF" w14:textId="28F13A7C" w:rsidR="00A8401E" w:rsidRPr="00194B40" w:rsidRDefault="00A8401E" w:rsidP="00152381">
      <w:pPr>
        <w:pStyle w:val="Prrafodelista"/>
        <w:widowControl w:val="0"/>
        <w:numPr>
          <w:ilvl w:val="0"/>
          <w:numId w:val="19"/>
        </w:numPr>
        <w:tabs>
          <w:tab w:val="left" w:pos="567"/>
          <w:tab w:val="left" w:pos="7740"/>
        </w:tabs>
        <w:autoSpaceDE w:val="0"/>
        <w:autoSpaceDN w:val="0"/>
        <w:adjustRightInd w:val="0"/>
        <w:spacing w:after="0"/>
        <w:ind w:right="22"/>
        <w:rPr>
          <w:i/>
          <w:szCs w:val="20"/>
          <w:lang w:val="es-CR"/>
        </w:rPr>
      </w:pPr>
      <w:r w:rsidRPr="009643C9">
        <w:rPr>
          <w:b/>
          <w:i/>
          <w:szCs w:val="20"/>
          <w:lang w:val="es-CR"/>
        </w:rPr>
        <w:t>Peritos</w:t>
      </w:r>
      <w:r w:rsidRPr="00194B40">
        <w:rPr>
          <w:i/>
          <w:szCs w:val="20"/>
          <w:lang w:val="es-CR"/>
        </w:rPr>
        <w:t xml:space="preserve"> (propuesto por el Estado)</w:t>
      </w:r>
      <w:r w:rsidR="00645344">
        <w:rPr>
          <w:i/>
          <w:szCs w:val="20"/>
          <w:lang w:val="es-CR"/>
        </w:rPr>
        <w:t xml:space="preserve">  </w:t>
      </w:r>
    </w:p>
    <w:p w14:paraId="3C3341B0" w14:textId="77777777" w:rsidR="00A8401E" w:rsidRPr="00A8401E" w:rsidRDefault="00A8401E" w:rsidP="00152381">
      <w:pPr>
        <w:pStyle w:val="Prrafodelista"/>
        <w:widowControl w:val="0"/>
        <w:tabs>
          <w:tab w:val="left" w:pos="567"/>
          <w:tab w:val="left" w:pos="7740"/>
        </w:tabs>
        <w:autoSpaceDE w:val="0"/>
        <w:autoSpaceDN w:val="0"/>
        <w:adjustRightInd w:val="0"/>
        <w:spacing w:after="0"/>
        <w:ind w:left="5040" w:right="22"/>
        <w:rPr>
          <w:szCs w:val="20"/>
          <w:lang w:val="es-CR"/>
        </w:rPr>
      </w:pPr>
    </w:p>
    <w:p w14:paraId="3C3341B1" w14:textId="574073D6" w:rsidR="00A8401E" w:rsidRPr="00645344" w:rsidRDefault="00590EA1" w:rsidP="00152381">
      <w:pPr>
        <w:pStyle w:val="Prrafodelista"/>
        <w:widowControl w:val="0"/>
        <w:numPr>
          <w:ilvl w:val="0"/>
          <w:numId w:val="21"/>
        </w:numPr>
        <w:tabs>
          <w:tab w:val="left" w:pos="567"/>
        </w:tabs>
        <w:autoSpaceDE w:val="0"/>
        <w:autoSpaceDN w:val="0"/>
        <w:adjustRightInd w:val="0"/>
        <w:spacing w:after="0"/>
        <w:ind w:right="22" w:firstLine="0"/>
        <w:rPr>
          <w:szCs w:val="20"/>
          <w:lang w:val="es-CR"/>
        </w:rPr>
      </w:pPr>
      <w:r>
        <w:rPr>
          <w:szCs w:val="20"/>
          <w:lang w:val="es-CR"/>
        </w:rPr>
        <w:t xml:space="preserve"> </w:t>
      </w:r>
      <w:r w:rsidRPr="00645344">
        <w:rPr>
          <w:szCs w:val="20"/>
          <w:lang w:val="es-CR"/>
        </w:rPr>
        <w:t>Cesar González Hunt</w:t>
      </w:r>
      <w:r w:rsidR="00194B40" w:rsidRPr="00645344">
        <w:rPr>
          <w:szCs w:val="20"/>
          <w:lang w:val="es-CR"/>
        </w:rPr>
        <w:t xml:space="preserve">, </w:t>
      </w:r>
      <w:r w:rsidR="00A3188C" w:rsidRPr="00645344">
        <w:rPr>
          <w:szCs w:val="20"/>
          <w:lang w:val="es-CR"/>
        </w:rPr>
        <w:t xml:space="preserve">abogado, </w:t>
      </w:r>
      <w:r w:rsidR="00194B40" w:rsidRPr="00645344">
        <w:rPr>
          <w:szCs w:val="20"/>
          <w:lang w:val="es-CR"/>
        </w:rPr>
        <w:t>quién declarará sobre</w:t>
      </w:r>
      <w:r w:rsidR="008C5735" w:rsidRPr="00645344">
        <w:rPr>
          <w:szCs w:val="20"/>
          <w:lang w:val="es-CR"/>
        </w:rPr>
        <w:t>:</w:t>
      </w:r>
      <w:r w:rsidR="00194B40" w:rsidRPr="00645344">
        <w:rPr>
          <w:szCs w:val="20"/>
          <w:lang w:val="es-CR"/>
        </w:rPr>
        <w:t xml:space="preserve"> </w:t>
      </w:r>
      <w:r w:rsidR="008C5735" w:rsidRPr="00645344">
        <w:rPr>
          <w:szCs w:val="20"/>
          <w:lang w:val="es-CR"/>
        </w:rPr>
        <w:t xml:space="preserve">i) </w:t>
      </w:r>
      <w:r w:rsidR="00194B40" w:rsidRPr="00645344">
        <w:rPr>
          <w:szCs w:val="20"/>
          <w:lang w:val="es-CR"/>
        </w:rPr>
        <w:t>las pensiones de jubilación de los miembros de ANCEJUB-SUNAT como ex servidores públicos de la Dirección Nacional de Contribuciones del Ministerio de Economía y Finanzas</w:t>
      </w:r>
      <w:r w:rsidR="008C5735" w:rsidRPr="00645344">
        <w:rPr>
          <w:szCs w:val="20"/>
          <w:lang w:val="es-CR"/>
        </w:rPr>
        <w:t>; ii)</w:t>
      </w:r>
      <w:r w:rsidR="00194B40" w:rsidRPr="00645344">
        <w:rPr>
          <w:szCs w:val="20"/>
          <w:lang w:val="es-CR"/>
        </w:rPr>
        <w:t xml:space="preserve"> la nivelación progresiva de sus pensiones conforme el régimen jubilatorio del Decreto Ley </w:t>
      </w:r>
      <w:r w:rsidR="008C5735" w:rsidRPr="00645344">
        <w:rPr>
          <w:szCs w:val="20"/>
          <w:lang w:val="es-CR"/>
        </w:rPr>
        <w:t>N</w:t>
      </w:r>
      <w:r w:rsidR="00194B40" w:rsidRPr="00645344">
        <w:rPr>
          <w:szCs w:val="20"/>
          <w:lang w:val="es-CR"/>
        </w:rPr>
        <w:t>°20530 y normas conexas, así como la jurisprudencia aplicable para el caso en controversia y los detalles sobre el proceso de ejecución</w:t>
      </w:r>
      <w:r w:rsidR="008C5735" w:rsidRPr="00645344">
        <w:rPr>
          <w:szCs w:val="20"/>
          <w:lang w:val="es-CR"/>
        </w:rPr>
        <w:t>, iii)</w:t>
      </w:r>
      <w:r w:rsidR="00194B40" w:rsidRPr="00645344">
        <w:rPr>
          <w:szCs w:val="20"/>
          <w:lang w:val="es-CR"/>
        </w:rPr>
        <w:t xml:space="preserve"> los reg</w:t>
      </w:r>
      <w:r w:rsidR="00A3188C" w:rsidRPr="00645344">
        <w:rPr>
          <w:szCs w:val="20"/>
          <w:lang w:val="es-CR"/>
        </w:rPr>
        <w:t xml:space="preserve">ímenes de pensiones del sector público y privado en la SUNAT posterior a la vigencia del decreto Legislativo N°673 y, en particular, sobre el pago del diferencial establecido por el artículo 3 del Decreto Legislativo </w:t>
      </w:r>
      <w:r w:rsidR="008C5735" w:rsidRPr="00645344">
        <w:rPr>
          <w:szCs w:val="20"/>
          <w:lang w:val="es-CR"/>
        </w:rPr>
        <w:t>N</w:t>
      </w:r>
      <w:r w:rsidR="00A3188C" w:rsidRPr="00645344">
        <w:rPr>
          <w:szCs w:val="20"/>
          <w:lang w:val="es-CR"/>
        </w:rPr>
        <w:t xml:space="preserve">°673 como hecho sobreviniente sujeto a reglas propias y su aplicación </w:t>
      </w:r>
      <w:proofErr w:type="spellStart"/>
      <w:r w:rsidR="00A3188C" w:rsidRPr="00645344">
        <w:rPr>
          <w:szCs w:val="20"/>
          <w:lang w:val="es-CR"/>
        </w:rPr>
        <w:t>irretroactiva</w:t>
      </w:r>
      <w:proofErr w:type="spellEnd"/>
      <w:r w:rsidR="00A3188C" w:rsidRPr="00645344">
        <w:rPr>
          <w:szCs w:val="20"/>
          <w:lang w:val="es-CR"/>
        </w:rPr>
        <w:t xml:space="preserve">. </w:t>
      </w:r>
    </w:p>
    <w:p w14:paraId="3C3341B2" w14:textId="77777777" w:rsidR="00A3188C" w:rsidRPr="00645344" w:rsidRDefault="00A3188C" w:rsidP="00152381">
      <w:pPr>
        <w:pStyle w:val="Prrafodelista"/>
        <w:widowControl w:val="0"/>
        <w:tabs>
          <w:tab w:val="left" w:pos="567"/>
        </w:tabs>
        <w:autoSpaceDE w:val="0"/>
        <w:autoSpaceDN w:val="0"/>
        <w:adjustRightInd w:val="0"/>
        <w:spacing w:after="0"/>
        <w:ind w:right="22"/>
        <w:rPr>
          <w:szCs w:val="20"/>
          <w:lang w:val="es-CR"/>
        </w:rPr>
      </w:pPr>
    </w:p>
    <w:p w14:paraId="3C3341B3" w14:textId="09D4C46C" w:rsidR="002B2DD3" w:rsidRPr="00645344" w:rsidRDefault="00A3188C" w:rsidP="00152381">
      <w:pPr>
        <w:pStyle w:val="Prrafodelista"/>
        <w:widowControl w:val="0"/>
        <w:numPr>
          <w:ilvl w:val="0"/>
          <w:numId w:val="21"/>
        </w:numPr>
        <w:tabs>
          <w:tab w:val="left" w:pos="567"/>
        </w:tabs>
        <w:autoSpaceDE w:val="0"/>
        <w:autoSpaceDN w:val="0"/>
        <w:adjustRightInd w:val="0"/>
        <w:spacing w:after="0"/>
        <w:ind w:right="22" w:firstLine="0"/>
        <w:rPr>
          <w:szCs w:val="20"/>
          <w:lang w:val="es-CR"/>
        </w:rPr>
      </w:pPr>
      <w:r w:rsidRPr="00645344">
        <w:rPr>
          <w:szCs w:val="20"/>
          <w:lang w:val="es-CR"/>
        </w:rPr>
        <w:t xml:space="preserve">Reynaldo Bustamante Alarcón, abogado, quien </w:t>
      </w:r>
      <w:r w:rsidR="008C5735" w:rsidRPr="00645344">
        <w:rPr>
          <w:szCs w:val="20"/>
          <w:lang w:val="es-CR"/>
        </w:rPr>
        <w:t xml:space="preserve">declarará sobre: i) </w:t>
      </w:r>
      <w:r w:rsidRPr="00645344">
        <w:rPr>
          <w:szCs w:val="20"/>
          <w:lang w:val="es-CR"/>
        </w:rPr>
        <w:t>la determinación de las personas que constituyen las presuntas víctimas en el presente caso</w:t>
      </w:r>
      <w:r w:rsidR="008C5735" w:rsidRPr="00645344">
        <w:rPr>
          <w:szCs w:val="20"/>
          <w:lang w:val="es-CR"/>
        </w:rPr>
        <w:t>; ii)</w:t>
      </w:r>
      <w:r w:rsidRPr="00645344">
        <w:rPr>
          <w:szCs w:val="20"/>
          <w:lang w:val="es-CR"/>
        </w:rPr>
        <w:t xml:space="preserve"> el cumplimiento de las sentencias de la Corte Suprema y del Tribunal Constitucional con relación a la nivelación de las pensiones de jubilación de los integrantes de la ANCEJUB-SUNAT</w:t>
      </w:r>
      <w:r w:rsidR="008C5735" w:rsidRPr="00645344">
        <w:rPr>
          <w:szCs w:val="20"/>
          <w:lang w:val="es-CR"/>
        </w:rPr>
        <w:t>; iii)</w:t>
      </w:r>
      <w:r w:rsidRPr="00645344">
        <w:rPr>
          <w:szCs w:val="20"/>
          <w:lang w:val="es-CR"/>
        </w:rPr>
        <w:t xml:space="preserve"> la ejecución de sentencias judiciales en </w:t>
      </w:r>
      <w:r w:rsidR="0068688F" w:rsidRPr="00645344">
        <w:rPr>
          <w:szCs w:val="20"/>
          <w:lang w:val="es-CR"/>
        </w:rPr>
        <w:t>materia previsional en el Perú y realizará un estudio del caso concreto desde el punto de vista del derecho procesal constitucional, particularmente en lo referido a la ejecución de sentencia y control judicial de la ejecutoria suprema del 25 de octubre del 1993</w:t>
      </w:r>
      <w:r w:rsidR="008C5735" w:rsidRPr="00645344">
        <w:rPr>
          <w:szCs w:val="20"/>
          <w:lang w:val="es-CR"/>
        </w:rPr>
        <w:t xml:space="preserve">, </w:t>
      </w:r>
      <w:r w:rsidR="00D36F6E">
        <w:rPr>
          <w:szCs w:val="20"/>
          <w:lang w:val="es-CR"/>
        </w:rPr>
        <w:t xml:space="preserve">y </w:t>
      </w:r>
      <w:r w:rsidR="008C5735" w:rsidRPr="00645344">
        <w:rPr>
          <w:szCs w:val="20"/>
          <w:lang w:val="es-CR"/>
        </w:rPr>
        <w:t>iv)</w:t>
      </w:r>
      <w:r w:rsidR="0068688F" w:rsidRPr="00645344">
        <w:rPr>
          <w:szCs w:val="20"/>
          <w:lang w:val="es-CR"/>
        </w:rPr>
        <w:t xml:space="preserve"> la </w:t>
      </w:r>
      <w:r w:rsidR="008C5735" w:rsidRPr="00645344">
        <w:rPr>
          <w:szCs w:val="20"/>
          <w:lang w:val="es-CR"/>
        </w:rPr>
        <w:t xml:space="preserve">alegada </w:t>
      </w:r>
      <w:r w:rsidR="0068688F" w:rsidRPr="00645344">
        <w:rPr>
          <w:szCs w:val="20"/>
          <w:lang w:val="es-CR"/>
        </w:rPr>
        <w:t xml:space="preserve">complejidad del asunto la actuación procesal de las partes en dicho proceso y la conducta de las autoridades judiciales en el </w:t>
      </w:r>
      <w:r w:rsidR="008C5735" w:rsidRPr="00645344">
        <w:rPr>
          <w:szCs w:val="20"/>
          <w:lang w:val="es-CR"/>
        </w:rPr>
        <w:t xml:space="preserve">presente </w:t>
      </w:r>
      <w:r w:rsidR="0068688F" w:rsidRPr="00645344">
        <w:rPr>
          <w:szCs w:val="20"/>
          <w:lang w:val="es-CR"/>
        </w:rPr>
        <w:t xml:space="preserve">caso. </w:t>
      </w:r>
    </w:p>
    <w:p w14:paraId="3C3341B4" w14:textId="77777777" w:rsidR="00B955FB" w:rsidRPr="00B955FB" w:rsidRDefault="00B955FB" w:rsidP="00152381">
      <w:pPr>
        <w:pStyle w:val="Prrafodelista"/>
        <w:spacing w:after="0"/>
        <w:rPr>
          <w:szCs w:val="20"/>
          <w:lang w:val="es-CR"/>
        </w:rPr>
      </w:pPr>
    </w:p>
    <w:p w14:paraId="3C3341B6" w14:textId="1810B95F" w:rsidR="00590EA1" w:rsidRDefault="00C30FA7" w:rsidP="00152381">
      <w:pPr>
        <w:pStyle w:val="Prrafodelista"/>
        <w:widowControl w:val="0"/>
        <w:numPr>
          <w:ilvl w:val="0"/>
          <w:numId w:val="19"/>
        </w:numPr>
        <w:tabs>
          <w:tab w:val="left" w:pos="567"/>
          <w:tab w:val="left" w:pos="7740"/>
        </w:tabs>
        <w:autoSpaceDE w:val="0"/>
        <w:autoSpaceDN w:val="0"/>
        <w:adjustRightInd w:val="0"/>
        <w:spacing w:after="0"/>
        <w:ind w:right="22"/>
        <w:rPr>
          <w:i/>
          <w:szCs w:val="20"/>
          <w:lang w:val="es-CR"/>
        </w:rPr>
      </w:pPr>
      <w:r w:rsidRPr="009643C9">
        <w:rPr>
          <w:b/>
          <w:i/>
          <w:szCs w:val="20"/>
          <w:lang w:val="es-CR"/>
        </w:rPr>
        <w:t xml:space="preserve">Declarante </w:t>
      </w:r>
      <w:r w:rsidR="00987B73" w:rsidRPr="009643C9">
        <w:rPr>
          <w:b/>
          <w:i/>
          <w:szCs w:val="20"/>
          <w:lang w:val="es-CR"/>
        </w:rPr>
        <w:t>como testigo</w:t>
      </w:r>
      <w:r w:rsidRPr="00C30FA7">
        <w:rPr>
          <w:i/>
          <w:szCs w:val="20"/>
          <w:lang w:val="es-CR"/>
        </w:rPr>
        <w:t xml:space="preserve"> </w:t>
      </w:r>
      <w:r>
        <w:rPr>
          <w:i/>
          <w:szCs w:val="20"/>
          <w:lang w:val="es-CR"/>
        </w:rPr>
        <w:t xml:space="preserve">(propuesto por el Estado) </w:t>
      </w:r>
    </w:p>
    <w:p w14:paraId="3C3341B7" w14:textId="77777777" w:rsidR="00C30FA7" w:rsidRDefault="00C30FA7" w:rsidP="00152381">
      <w:pPr>
        <w:pStyle w:val="Prrafodelista"/>
        <w:spacing w:after="0"/>
        <w:rPr>
          <w:i/>
          <w:szCs w:val="20"/>
          <w:lang w:val="es-CR"/>
        </w:rPr>
      </w:pPr>
    </w:p>
    <w:p w14:paraId="3C3341B8" w14:textId="42802B3E" w:rsidR="00BD31C5" w:rsidRPr="00F10816" w:rsidRDefault="00C30FA7" w:rsidP="00152381">
      <w:pPr>
        <w:pStyle w:val="Prrafodelista"/>
        <w:numPr>
          <w:ilvl w:val="0"/>
          <w:numId w:val="33"/>
        </w:numPr>
        <w:spacing w:after="0"/>
        <w:ind w:firstLine="0"/>
        <w:rPr>
          <w:szCs w:val="20"/>
          <w:lang w:val="es-MX"/>
        </w:rPr>
      </w:pPr>
      <w:r w:rsidRPr="00B955FB">
        <w:rPr>
          <w:szCs w:val="20"/>
          <w:lang w:val="es-CR"/>
        </w:rPr>
        <w:t>Héctor Enrique Lama More</w:t>
      </w:r>
      <w:r w:rsidR="00B955FB" w:rsidRPr="00B955FB">
        <w:rPr>
          <w:szCs w:val="20"/>
          <w:lang w:val="es-CR"/>
        </w:rPr>
        <w:t xml:space="preserve"> </w:t>
      </w:r>
      <w:r w:rsidR="0049686A">
        <w:rPr>
          <w:szCs w:val="20"/>
          <w:lang w:val="es-CR"/>
        </w:rPr>
        <w:t>(</w:t>
      </w:r>
      <w:r w:rsidR="00B955FB" w:rsidRPr="00B955FB">
        <w:rPr>
          <w:szCs w:val="20"/>
        </w:rPr>
        <w:t>qu</w:t>
      </w:r>
      <w:r w:rsidR="001F5D4E">
        <w:rPr>
          <w:szCs w:val="20"/>
        </w:rPr>
        <w:t>ié</w:t>
      </w:r>
      <w:r w:rsidR="008C5735">
        <w:rPr>
          <w:szCs w:val="20"/>
        </w:rPr>
        <w:t>n</w:t>
      </w:r>
      <w:r w:rsidR="00B955FB" w:rsidRPr="00B955FB">
        <w:rPr>
          <w:szCs w:val="20"/>
        </w:rPr>
        <w:t xml:space="preserve"> al momento de </w:t>
      </w:r>
      <w:r w:rsidR="00B955FB">
        <w:rPr>
          <w:szCs w:val="20"/>
        </w:rPr>
        <w:t xml:space="preserve">los hechos se desempeñaba como </w:t>
      </w:r>
      <w:r w:rsidR="00B955FB" w:rsidRPr="00B955FB">
        <w:rPr>
          <w:rFonts w:cs="Arial"/>
          <w:szCs w:val="20"/>
          <w:lang w:val="es-CR"/>
        </w:rPr>
        <w:t>magistrado de la Sé</w:t>
      </w:r>
      <w:r w:rsidR="008C5735">
        <w:rPr>
          <w:rFonts w:cs="Arial"/>
          <w:szCs w:val="20"/>
          <w:lang w:val="es-CR"/>
        </w:rPr>
        <w:t>p</w:t>
      </w:r>
      <w:r w:rsidR="00B955FB" w:rsidRPr="00B955FB">
        <w:rPr>
          <w:rFonts w:cs="Arial"/>
          <w:szCs w:val="20"/>
          <w:lang w:val="es-CR"/>
        </w:rPr>
        <w:t>tima Sala Civil</w:t>
      </w:r>
      <w:r w:rsidR="00B955FB" w:rsidRPr="00B955FB">
        <w:rPr>
          <w:szCs w:val="20"/>
        </w:rPr>
        <w:t xml:space="preserve"> </w:t>
      </w:r>
      <w:r w:rsidR="00B955FB" w:rsidRPr="00B955FB">
        <w:rPr>
          <w:rFonts w:cs="Arial"/>
          <w:szCs w:val="20"/>
          <w:lang w:val="es-CR"/>
        </w:rPr>
        <w:t>de la Corte Superior de Lima e intervino como Vocal ponente en el tercer proceso de</w:t>
      </w:r>
      <w:r w:rsidR="00B955FB" w:rsidRPr="00B955FB">
        <w:rPr>
          <w:szCs w:val="20"/>
        </w:rPr>
        <w:t xml:space="preserve"> </w:t>
      </w:r>
      <w:r w:rsidR="00B955FB" w:rsidRPr="00B955FB">
        <w:rPr>
          <w:rFonts w:cs="Arial"/>
          <w:szCs w:val="20"/>
          <w:lang w:val="es-CR"/>
        </w:rPr>
        <w:t xml:space="preserve">amparo </w:t>
      </w:r>
      <w:r w:rsidR="00B955FB">
        <w:rPr>
          <w:rFonts w:cs="Arial"/>
          <w:szCs w:val="20"/>
          <w:lang w:val="es-CR"/>
        </w:rPr>
        <w:t>formulado por la ANCEJUB – SUNAT</w:t>
      </w:r>
      <w:r w:rsidR="0049686A">
        <w:rPr>
          <w:rFonts w:cs="Arial"/>
          <w:szCs w:val="20"/>
          <w:lang w:val="es-CR"/>
        </w:rPr>
        <w:t>),</w:t>
      </w:r>
      <w:r w:rsidR="00B955FB">
        <w:rPr>
          <w:rFonts w:cs="Arial"/>
          <w:szCs w:val="20"/>
          <w:lang w:val="es-CR"/>
        </w:rPr>
        <w:t xml:space="preserve"> declarará sobre el </w:t>
      </w:r>
      <w:r w:rsidR="00D36F6E">
        <w:rPr>
          <w:rFonts w:cs="Arial"/>
          <w:szCs w:val="20"/>
          <w:lang w:val="es-CR"/>
        </w:rPr>
        <w:t xml:space="preserve">contexto, </w:t>
      </w:r>
      <w:r w:rsidR="00B955FB">
        <w:rPr>
          <w:rFonts w:cs="Arial"/>
          <w:szCs w:val="20"/>
          <w:lang w:val="es-CR"/>
        </w:rPr>
        <w:t>desarrollo y resultado de dicho amparo</w:t>
      </w:r>
      <w:r w:rsidR="00D36F6E">
        <w:rPr>
          <w:rFonts w:cs="Arial"/>
          <w:szCs w:val="20"/>
          <w:lang w:val="es-CR"/>
        </w:rPr>
        <w:t xml:space="preserve"> a la luz de las problemáticas del presente caso</w:t>
      </w:r>
      <w:r w:rsidR="00B955FB">
        <w:rPr>
          <w:rFonts w:cs="Arial"/>
          <w:szCs w:val="20"/>
          <w:lang w:val="es-CR"/>
        </w:rPr>
        <w:t xml:space="preserve">. </w:t>
      </w:r>
    </w:p>
    <w:p w14:paraId="654F1692" w14:textId="77777777" w:rsidR="00B475D2" w:rsidRPr="00B475D2" w:rsidRDefault="00B475D2" w:rsidP="00152381">
      <w:pPr>
        <w:tabs>
          <w:tab w:val="left" w:pos="567"/>
          <w:tab w:val="left" w:pos="2520"/>
        </w:tabs>
        <w:spacing w:after="0" w:line="240" w:lineRule="auto"/>
        <w:contextualSpacing/>
        <w:jc w:val="both"/>
        <w:rPr>
          <w:rFonts w:ascii="Verdana" w:eastAsia="Calibri" w:hAnsi="Verdana" w:cs="Times"/>
          <w:sz w:val="20"/>
          <w:szCs w:val="20"/>
          <w:lang w:val="es-CR" w:eastAsia="es-ES"/>
        </w:rPr>
      </w:pPr>
      <w:bookmarkStart w:id="7" w:name="_Ref393464381"/>
    </w:p>
    <w:p w14:paraId="3C3341BA" w14:textId="11EF3D99" w:rsidR="00F10816" w:rsidRDefault="00F10816" w:rsidP="00152381">
      <w:pPr>
        <w:numPr>
          <w:ilvl w:val="0"/>
          <w:numId w:val="36"/>
        </w:numPr>
        <w:tabs>
          <w:tab w:val="left" w:pos="567"/>
          <w:tab w:val="left" w:pos="2520"/>
        </w:tabs>
        <w:spacing w:after="0" w:line="240" w:lineRule="auto"/>
        <w:ind w:left="0" w:firstLine="0"/>
        <w:contextualSpacing/>
        <w:jc w:val="both"/>
        <w:rPr>
          <w:rFonts w:ascii="Verdana" w:eastAsia="Calibri" w:hAnsi="Verdana" w:cs="Times"/>
          <w:sz w:val="20"/>
          <w:szCs w:val="20"/>
          <w:lang w:val="es-CR" w:eastAsia="es-ES"/>
        </w:rPr>
      </w:pPr>
      <w:r w:rsidRPr="0005341B">
        <w:rPr>
          <w:rFonts w:ascii="Verdana" w:eastAsia="Calibri" w:hAnsi="Verdana" w:cstheme="minorHAnsi"/>
          <w:sz w:val="20"/>
          <w:szCs w:val="20"/>
          <w:lang w:val="es-CR" w:eastAsia="es-ES"/>
        </w:rPr>
        <w:t>Instruir</w:t>
      </w:r>
      <w:r w:rsidRPr="0005341B">
        <w:rPr>
          <w:rFonts w:ascii="Verdana" w:eastAsia="Calibri" w:hAnsi="Verdana" w:cs="Times"/>
          <w:sz w:val="20"/>
          <w:szCs w:val="20"/>
          <w:lang w:val="es-CR" w:eastAsia="es-ES"/>
        </w:rPr>
        <w:t xml:space="preserve"> </w:t>
      </w:r>
      <w:r w:rsidR="00C37F19">
        <w:rPr>
          <w:rFonts w:ascii="Verdana" w:eastAsia="Calibri" w:hAnsi="Verdana" w:cs="Times"/>
          <w:sz w:val="20"/>
          <w:szCs w:val="20"/>
          <w:lang w:val="es-CR" w:eastAsia="es-ES"/>
        </w:rPr>
        <w:t xml:space="preserve">a </w:t>
      </w:r>
      <w:r w:rsidRPr="0005341B">
        <w:rPr>
          <w:rFonts w:ascii="Verdana" w:eastAsia="Calibri" w:hAnsi="Verdana" w:cs="Times"/>
          <w:sz w:val="20"/>
          <w:szCs w:val="20"/>
          <w:lang w:val="es-CR" w:eastAsia="es-ES"/>
        </w:rPr>
        <w:t>l</w:t>
      </w:r>
      <w:r w:rsidR="0049686A">
        <w:rPr>
          <w:rFonts w:ascii="Verdana" w:eastAsia="Calibri" w:hAnsi="Verdana" w:cs="Times"/>
          <w:sz w:val="20"/>
          <w:szCs w:val="20"/>
          <w:lang w:val="es-CR" w:eastAsia="es-ES"/>
        </w:rPr>
        <w:t>o</w:t>
      </w:r>
      <w:r w:rsidRPr="0005341B">
        <w:rPr>
          <w:rFonts w:ascii="Verdana" w:eastAsia="Calibri" w:hAnsi="Verdana" w:cs="Times"/>
          <w:sz w:val="20"/>
          <w:szCs w:val="20"/>
          <w:lang w:val="es-CR" w:eastAsia="es-ES"/>
        </w:rPr>
        <w:t>s representantes y al Estado que notifiquen la presente Resolución a las personas que han sido convocadas a rendir declaración</w:t>
      </w:r>
      <w:r w:rsidR="004B245E">
        <w:rPr>
          <w:rFonts w:ascii="Verdana" w:eastAsia="Calibri" w:hAnsi="Verdana" w:cs="Times"/>
          <w:sz w:val="20"/>
          <w:szCs w:val="20"/>
          <w:lang w:val="es-CR" w:eastAsia="es-ES"/>
        </w:rPr>
        <w:t xml:space="preserve"> o a emitir </w:t>
      </w:r>
      <w:r w:rsidR="004B245E" w:rsidRPr="00645344">
        <w:rPr>
          <w:rFonts w:ascii="Verdana" w:eastAsia="Calibri" w:hAnsi="Verdana" w:cs="Times"/>
          <w:i/>
          <w:sz w:val="20"/>
          <w:szCs w:val="20"/>
          <w:lang w:val="es-CR" w:eastAsia="es-ES"/>
        </w:rPr>
        <w:t>affidávit</w:t>
      </w:r>
      <w:r w:rsidRPr="0005341B">
        <w:rPr>
          <w:rFonts w:ascii="Verdana" w:eastAsia="Calibri" w:hAnsi="Verdana" w:cs="Times"/>
          <w:sz w:val="20"/>
          <w:szCs w:val="20"/>
          <w:lang w:val="es-CR" w:eastAsia="es-ES"/>
        </w:rPr>
        <w:t>, respectivamente según fueron por ellos propuestas, de conformidad con lo dispuesto en los artícu</w:t>
      </w:r>
      <w:r w:rsidR="004B245E">
        <w:rPr>
          <w:rFonts w:ascii="Verdana" w:eastAsia="Calibri" w:hAnsi="Verdana" w:cs="Times"/>
          <w:sz w:val="20"/>
          <w:szCs w:val="20"/>
          <w:lang w:val="es-CR" w:eastAsia="es-ES"/>
        </w:rPr>
        <w:t>los 50.2 y 50.4 del Reglamento.</w:t>
      </w:r>
    </w:p>
    <w:p w14:paraId="3C3341BB" w14:textId="77777777" w:rsidR="004B245E" w:rsidRDefault="004B245E" w:rsidP="00152381">
      <w:pPr>
        <w:tabs>
          <w:tab w:val="left" w:pos="567"/>
          <w:tab w:val="left" w:pos="2520"/>
        </w:tabs>
        <w:spacing w:after="0" w:line="240" w:lineRule="auto"/>
        <w:contextualSpacing/>
        <w:jc w:val="both"/>
        <w:rPr>
          <w:rFonts w:ascii="Verdana" w:eastAsia="Calibri" w:hAnsi="Verdana" w:cs="Times"/>
          <w:sz w:val="20"/>
          <w:szCs w:val="20"/>
          <w:lang w:val="es-CR" w:eastAsia="es-ES"/>
        </w:rPr>
      </w:pPr>
    </w:p>
    <w:bookmarkEnd w:id="7"/>
    <w:p w14:paraId="213A60C8" w14:textId="245215D1" w:rsidR="00C37F19" w:rsidRPr="007B5EBF" w:rsidRDefault="001D2951" w:rsidP="00152381">
      <w:pPr>
        <w:numPr>
          <w:ilvl w:val="0"/>
          <w:numId w:val="36"/>
        </w:numPr>
        <w:tabs>
          <w:tab w:val="left" w:pos="567"/>
          <w:tab w:val="left" w:pos="2520"/>
        </w:tabs>
        <w:spacing w:after="0" w:line="240" w:lineRule="auto"/>
        <w:ind w:left="0" w:firstLine="0"/>
        <w:contextualSpacing/>
        <w:jc w:val="both"/>
        <w:rPr>
          <w:sz w:val="20"/>
          <w:szCs w:val="20"/>
        </w:rPr>
      </w:pPr>
      <w:r w:rsidRPr="009643C9">
        <w:rPr>
          <w:rFonts w:ascii="Verdana" w:hAnsi="Verdana"/>
          <w:sz w:val="20"/>
          <w:szCs w:val="20"/>
        </w:rPr>
        <w:t xml:space="preserve">Requerir al Estado y a los </w:t>
      </w:r>
      <w:r w:rsidRPr="007B5EBF">
        <w:rPr>
          <w:rFonts w:ascii="Verdana" w:hAnsi="Verdana"/>
          <w:sz w:val="20"/>
          <w:szCs w:val="20"/>
        </w:rPr>
        <w:t xml:space="preserve">representantes que, de considerarlo pertinente, </w:t>
      </w:r>
      <w:r w:rsidRPr="007B5EBF">
        <w:rPr>
          <w:rFonts w:ascii="Verdana" w:hAnsi="Verdana" w:cs="Calibri"/>
          <w:sz w:val="20"/>
          <w:szCs w:val="20"/>
          <w:lang w:val="es-CR"/>
        </w:rPr>
        <w:t>en los términos del artículo 50.5 del Reglamento</w:t>
      </w:r>
      <w:r w:rsidRPr="00666DEB">
        <w:rPr>
          <w:rFonts w:ascii="Verdana" w:hAnsi="Verdana"/>
          <w:sz w:val="20"/>
          <w:szCs w:val="20"/>
        </w:rPr>
        <w:t xml:space="preserve">, en el plazo improrrogable que vence el </w:t>
      </w:r>
      <w:r w:rsidRPr="00666DEB">
        <w:rPr>
          <w:rFonts w:ascii="Verdana" w:hAnsi="Verdana" w:cs="Verdana"/>
          <w:sz w:val="20"/>
          <w:szCs w:val="20"/>
          <w:lang w:val="es-CR"/>
        </w:rPr>
        <w:t xml:space="preserve"> </w:t>
      </w:r>
      <w:r w:rsidR="001F182D" w:rsidRPr="00666DEB">
        <w:rPr>
          <w:rFonts w:ascii="Verdana" w:hAnsi="Verdana" w:cs="Verdana"/>
          <w:sz w:val="20"/>
          <w:szCs w:val="20"/>
          <w:lang w:val="es-CR"/>
        </w:rPr>
        <w:t xml:space="preserve">8 de abril </w:t>
      </w:r>
      <w:r w:rsidRPr="00666DEB">
        <w:rPr>
          <w:rFonts w:ascii="Verdana" w:hAnsi="Verdana" w:cs="Verdana"/>
          <w:sz w:val="20"/>
          <w:szCs w:val="20"/>
          <w:lang w:val="es-CR"/>
        </w:rPr>
        <w:t>de 2019</w:t>
      </w:r>
      <w:r w:rsidRPr="007B5EBF">
        <w:rPr>
          <w:rFonts w:ascii="Verdana" w:hAnsi="Verdana"/>
          <w:sz w:val="20"/>
          <w:szCs w:val="20"/>
        </w:rPr>
        <w:t xml:space="preserve">, presenten las preguntas que estimen pertinente formular a través de la Corte Interamericana a los declarantes y peritos referidos en el punto resolutivo 2. En el caso que los peritos convocados a declarar durante la audiencia deseen presentar una </w:t>
      </w:r>
      <w:r w:rsidRPr="007B5EBF">
        <w:rPr>
          <w:rFonts w:ascii="Verdana" w:hAnsi="Verdana"/>
          <w:sz w:val="20"/>
          <w:szCs w:val="20"/>
        </w:rPr>
        <w:lastRenderedPageBreak/>
        <w:t>versión</w:t>
      </w:r>
      <w:r w:rsidRPr="00666DEB">
        <w:rPr>
          <w:rFonts w:ascii="Verdana" w:hAnsi="Verdana"/>
          <w:sz w:val="20"/>
          <w:szCs w:val="20"/>
        </w:rPr>
        <w:t xml:space="preserve"> escrita de su peritaje, deberán presentarlo a la Corte a más tardar el </w:t>
      </w:r>
      <w:r w:rsidR="001F182D" w:rsidRPr="00666DEB">
        <w:rPr>
          <w:rFonts w:ascii="Verdana" w:hAnsi="Verdana"/>
          <w:sz w:val="20"/>
          <w:szCs w:val="20"/>
        </w:rPr>
        <w:t>30</w:t>
      </w:r>
      <w:r w:rsidRPr="00666DEB">
        <w:rPr>
          <w:rFonts w:ascii="Verdana" w:hAnsi="Verdana"/>
          <w:sz w:val="20"/>
          <w:szCs w:val="20"/>
        </w:rPr>
        <w:t xml:space="preserve"> de </w:t>
      </w:r>
      <w:r w:rsidR="001F182D" w:rsidRPr="00666DEB">
        <w:rPr>
          <w:rFonts w:ascii="Verdana" w:hAnsi="Verdana"/>
          <w:sz w:val="20"/>
          <w:szCs w:val="20"/>
        </w:rPr>
        <w:t xml:space="preserve">abril </w:t>
      </w:r>
      <w:r w:rsidRPr="00666DEB">
        <w:rPr>
          <w:rFonts w:ascii="Verdana" w:hAnsi="Verdana"/>
          <w:sz w:val="20"/>
          <w:szCs w:val="20"/>
        </w:rPr>
        <w:t>2019</w:t>
      </w:r>
      <w:r w:rsidRPr="007B5EBF">
        <w:rPr>
          <w:rFonts w:ascii="Verdana" w:hAnsi="Verdana"/>
          <w:sz w:val="20"/>
          <w:szCs w:val="20"/>
        </w:rPr>
        <w:t>.</w:t>
      </w:r>
    </w:p>
    <w:p w14:paraId="659D7152" w14:textId="77777777" w:rsidR="00C37F19" w:rsidRPr="00666DEB" w:rsidRDefault="00C37F19" w:rsidP="00152381">
      <w:pPr>
        <w:tabs>
          <w:tab w:val="left" w:pos="567"/>
          <w:tab w:val="left" w:pos="2520"/>
        </w:tabs>
        <w:spacing w:after="0" w:line="240" w:lineRule="auto"/>
        <w:contextualSpacing/>
        <w:jc w:val="both"/>
        <w:rPr>
          <w:rFonts w:ascii="Verdana" w:eastAsia="Calibri" w:hAnsi="Verdana" w:cs="Times"/>
          <w:sz w:val="20"/>
          <w:szCs w:val="20"/>
          <w:lang w:val="es-CR" w:eastAsia="es-ES"/>
        </w:rPr>
      </w:pPr>
    </w:p>
    <w:p w14:paraId="3C3341BE" w14:textId="7C1BB4B6" w:rsidR="008E3E2D" w:rsidRPr="007B5EBF" w:rsidRDefault="008E3E2D" w:rsidP="00152381">
      <w:pPr>
        <w:numPr>
          <w:ilvl w:val="0"/>
          <w:numId w:val="36"/>
        </w:numPr>
        <w:tabs>
          <w:tab w:val="left" w:pos="567"/>
          <w:tab w:val="left" w:pos="2520"/>
        </w:tabs>
        <w:spacing w:after="0" w:line="240" w:lineRule="auto"/>
        <w:ind w:left="0" w:firstLine="0"/>
        <w:contextualSpacing/>
        <w:jc w:val="both"/>
        <w:rPr>
          <w:rFonts w:ascii="Verdana" w:eastAsia="Calibri" w:hAnsi="Verdana" w:cs="Times"/>
          <w:sz w:val="20"/>
          <w:szCs w:val="20"/>
          <w:lang w:val="es-CR" w:eastAsia="es-ES"/>
        </w:rPr>
      </w:pPr>
      <w:r w:rsidRPr="00666DEB">
        <w:rPr>
          <w:rFonts w:ascii="Verdana" w:eastAsia="Calibri" w:hAnsi="Verdana" w:cs="Times"/>
          <w:sz w:val="20"/>
          <w:szCs w:val="20"/>
          <w:lang w:val="es-CR" w:eastAsia="es-ES"/>
        </w:rPr>
        <w:t xml:space="preserve">Requerir a </w:t>
      </w:r>
      <w:r w:rsidR="001D2951" w:rsidRPr="00666DEB">
        <w:rPr>
          <w:rFonts w:ascii="Verdana" w:eastAsia="Calibri" w:hAnsi="Verdana" w:cs="Times"/>
          <w:sz w:val="20"/>
          <w:szCs w:val="20"/>
          <w:lang w:val="es-CR" w:eastAsia="es-ES"/>
        </w:rPr>
        <w:t xml:space="preserve">los representantes y al Estado que </w:t>
      </w:r>
      <w:r w:rsidRPr="00666DEB">
        <w:rPr>
          <w:rFonts w:ascii="Verdana" w:eastAsia="Calibri" w:hAnsi="Verdana" w:cs="Times"/>
          <w:sz w:val="20"/>
          <w:szCs w:val="20"/>
          <w:lang w:val="es-CR" w:eastAsia="es-ES"/>
        </w:rPr>
        <w:t>coordine</w:t>
      </w:r>
      <w:r w:rsidR="001D2951" w:rsidRPr="00666DEB">
        <w:rPr>
          <w:rFonts w:ascii="Verdana" w:eastAsia="Calibri" w:hAnsi="Verdana" w:cs="Times"/>
          <w:sz w:val="20"/>
          <w:szCs w:val="20"/>
          <w:lang w:val="es-CR" w:eastAsia="es-ES"/>
        </w:rPr>
        <w:t>n</w:t>
      </w:r>
      <w:r w:rsidRPr="00666DEB">
        <w:rPr>
          <w:rFonts w:ascii="Verdana" w:eastAsia="Calibri" w:hAnsi="Verdana" w:cs="Times"/>
          <w:sz w:val="20"/>
          <w:szCs w:val="20"/>
          <w:lang w:val="es-CR" w:eastAsia="es-ES"/>
        </w:rPr>
        <w:t xml:space="preserve"> y realice</w:t>
      </w:r>
      <w:r w:rsidR="001D2951" w:rsidRPr="00666DEB">
        <w:rPr>
          <w:rFonts w:ascii="Verdana" w:eastAsia="Calibri" w:hAnsi="Verdana" w:cs="Times"/>
          <w:sz w:val="20"/>
          <w:szCs w:val="20"/>
          <w:lang w:val="es-CR" w:eastAsia="es-ES"/>
        </w:rPr>
        <w:t>n</w:t>
      </w:r>
      <w:r w:rsidRPr="00666DEB">
        <w:rPr>
          <w:rFonts w:ascii="Verdana" w:eastAsia="Calibri" w:hAnsi="Verdana" w:cs="Times"/>
          <w:sz w:val="20"/>
          <w:szCs w:val="20"/>
          <w:lang w:val="es-CR" w:eastAsia="es-ES"/>
        </w:rPr>
        <w:t xml:space="preserve"> las diligencias necesarias para que, una vez recibidas las preguntas, según corresponda, los testigos y los peritos incluyan las respuestas en el respectivo dictamen que rendirá ante fedatario público, salvo que esta Presidencia disponga lo contrario cuando la Secretaría de la Corte las transmita.</w:t>
      </w:r>
      <w:r w:rsidR="0063204B" w:rsidRPr="00666DEB">
        <w:rPr>
          <w:rFonts w:ascii="Verdana" w:eastAsia="Calibri" w:hAnsi="Verdana" w:cs="Times"/>
          <w:sz w:val="20"/>
          <w:szCs w:val="20"/>
          <w:lang w:val="es-CR" w:eastAsia="es-ES"/>
        </w:rPr>
        <w:t xml:space="preserve"> </w:t>
      </w:r>
      <w:r w:rsidR="0063204B" w:rsidRPr="00666DEB">
        <w:rPr>
          <w:rFonts w:ascii="Verdana" w:hAnsi="Verdana"/>
          <w:sz w:val="20"/>
          <w:szCs w:val="20"/>
        </w:rPr>
        <w:t xml:space="preserve">Las declaraciones y peritajes requeridos en el punto resolutivo 2 deberán ser presentados al Tribunal a más tardar el </w:t>
      </w:r>
      <w:r w:rsidR="001F182D" w:rsidRPr="00666DEB">
        <w:rPr>
          <w:rFonts w:ascii="Verdana" w:hAnsi="Verdana"/>
          <w:sz w:val="20"/>
          <w:szCs w:val="20"/>
        </w:rPr>
        <w:t>29</w:t>
      </w:r>
      <w:r w:rsidR="0063204B" w:rsidRPr="00666DEB">
        <w:rPr>
          <w:rFonts w:ascii="Verdana" w:hAnsi="Verdana"/>
          <w:sz w:val="20"/>
          <w:szCs w:val="20"/>
        </w:rPr>
        <w:t xml:space="preserve"> de</w:t>
      </w:r>
      <w:r w:rsidR="001F182D" w:rsidRPr="00666DEB">
        <w:rPr>
          <w:rFonts w:ascii="Verdana" w:hAnsi="Verdana"/>
          <w:sz w:val="20"/>
          <w:szCs w:val="20"/>
        </w:rPr>
        <w:t xml:space="preserve"> abril de</w:t>
      </w:r>
      <w:r w:rsidR="0063204B" w:rsidRPr="00666DEB">
        <w:rPr>
          <w:rFonts w:ascii="Verdana" w:hAnsi="Verdana"/>
          <w:sz w:val="20"/>
          <w:szCs w:val="20"/>
        </w:rPr>
        <w:t xml:space="preserve"> 2019</w:t>
      </w:r>
      <w:r w:rsidRPr="007B5EBF">
        <w:rPr>
          <w:rFonts w:ascii="Verdana" w:eastAsia="Calibri" w:hAnsi="Verdana" w:cs="Times"/>
          <w:sz w:val="20"/>
          <w:szCs w:val="20"/>
          <w:lang w:val="es-CR" w:eastAsia="es-ES"/>
        </w:rPr>
        <w:t xml:space="preserve">. </w:t>
      </w:r>
    </w:p>
    <w:p w14:paraId="2959F1AF" w14:textId="77777777" w:rsidR="00290BBD" w:rsidRDefault="00290BBD" w:rsidP="00152381">
      <w:pPr>
        <w:tabs>
          <w:tab w:val="left" w:pos="567"/>
          <w:tab w:val="left" w:pos="2520"/>
        </w:tabs>
        <w:spacing w:after="0" w:line="240" w:lineRule="auto"/>
        <w:contextualSpacing/>
        <w:jc w:val="both"/>
        <w:rPr>
          <w:rFonts w:ascii="Verdana" w:eastAsia="Calibri" w:hAnsi="Verdana" w:cs="Times"/>
          <w:sz w:val="20"/>
          <w:szCs w:val="20"/>
          <w:lang w:val="es-CR" w:eastAsia="es-ES"/>
        </w:rPr>
      </w:pPr>
    </w:p>
    <w:p w14:paraId="3C3341C0" w14:textId="3184050C" w:rsidR="003C6E7F" w:rsidRDefault="008E3E2D" w:rsidP="00152381">
      <w:pPr>
        <w:numPr>
          <w:ilvl w:val="0"/>
          <w:numId w:val="36"/>
        </w:numPr>
        <w:tabs>
          <w:tab w:val="left" w:pos="567"/>
          <w:tab w:val="left" w:pos="2520"/>
        </w:tabs>
        <w:spacing w:after="0" w:line="240" w:lineRule="auto"/>
        <w:ind w:left="0" w:firstLine="0"/>
        <w:contextualSpacing/>
        <w:jc w:val="both"/>
        <w:rPr>
          <w:rFonts w:ascii="Verdana" w:eastAsia="Calibri" w:hAnsi="Verdana" w:cs="Times"/>
          <w:sz w:val="20"/>
          <w:szCs w:val="20"/>
          <w:lang w:val="es-CR" w:eastAsia="es-ES"/>
        </w:rPr>
      </w:pPr>
      <w:r>
        <w:rPr>
          <w:rFonts w:ascii="Verdana" w:eastAsia="Calibri" w:hAnsi="Verdana" w:cs="Times"/>
          <w:sz w:val="20"/>
          <w:szCs w:val="20"/>
          <w:lang w:val="es-CR" w:eastAsia="es-ES"/>
        </w:rPr>
        <w:t>Disponer conforme al artículo 50.6 del Reglamento que, una vez recibido las declaraciones y peritaj</w:t>
      </w:r>
      <w:r w:rsidR="0083561A">
        <w:rPr>
          <w:rFonts w:ascii="Verdana" w:eastAsia="Calibri" w:hAnsi="Verdana" w:cs="Times"/>
          <w:sz w:val="20"/>
          <w:szCs w:val="20"/>
          <w:lang w:val="es-CR" w:eastAsia="es-ES"/>
        </w:rPr>
        <w:t>es, la Secretaría de la Corte les</w:t>
      </w:r>
      <w:r>
        <w:rPr>
          <w:rFonts w:ascii="Verdana" w:eastAsia="Calibri" w:hAnsi="Verdana" w:cs="Times"/>
          <w:sz w:val="20"/>
          <w:szCs w:val="20"/>
          <w:lang w:val="es-CR" w:eastAsia="es-ES"/>
        </w:rPr>
        <w:t xml:space="preserve"> transmita al Estado y a los representantes para que, si lo estiman pertinente y en cuanto les corresponda, </w:t>
      </w:r>
      <w:r w:rsidR="003C6E7F">
        <w:rPr>
          <w:rFonts w:ascii="Verdana" w:eastAsia="Calibri" w:hAnsi="Verdana" w:cs="Times"/>
          <w:sz w:val="20"/>
          <w:szCs w:val="20"/>
          <w:lang w:val="es-CR" w:eastAsia="es-ES"/>
        </w:rPr>
        <w:t xml:space="preserve">presenten sus observaciones a más tardar con sus alegatos y observaciones finales escritos, respectivamente. </w:t>
      </w:r>
    </w:p>
    <w:p w14:paraId="7BD09EB0" w14:textId="77777777" w:rsidR="00290BBD" w:rsidRDefault="00290BBD" w:rsidP="00152381">
      <w:pPr>
        <w:tabs>
          <w:tab w:val="left" w:pos="567"/>
          <w:tab w:val="left" w:pos="2520"/>
        </w:tabs>
        <w:spacing w:after="0" w:line="240" w:lineRule="auto"/>
        <w:contextualSpacing/>
        <w:jc w:val="both"/>
        <w:rPr>
          <w:rFonts w:ascii="Verdana" w:eastAsia="Calibri" w:hAnsi="Verdana" w:cs="Times"/>
          <w:sz w:val="20"/>
          <w:szCs w:val="20"/>
          <w:lang w:val="es-CR" w:eastAsia="es-ES"/>
        </w:rPr>
      </w:pPr>
    </w:p>
    <w:p w14:paraId="3819644B" w14:textId="055D79C0" w:rsidR="00E87499" w:rsidRDefault="00290BBD" w:rsidP="00152381">
      <w:pPr>
        <w:numPr>
          <w:ilvl w:val="0"/>
          <w:numId w:val="36"/>
        </w:numPr>
        <w:tabs>
          <w:tab w:val="left" w:pos="567"/>
          <w:tab w:val="left" w:pos="2520"/>
        </w:tabs>
        <w:spacing w:after="0" w:line="240" w:lineRule="auto"/>
        <w:ind w:left="0" w:firstLine="0"/>
        <w:contextualSpacing/>
        <w:jc w:val="both"/>
        <w:rPr>
          <w:rFonts w:ascii="Verdana" w:eastAsia="Calibri" w:hAnsi="Verdana" w:cs="Times"/>
          <w:sz w:val="20"/>
          <w:szCs w:val="20"/>
          <w:lang w:val="es-CR" w:eastAsia="es-ES"/>
        </w:rPr>
      </w:pPr>
      <w:r>
        <w:rPr>
          <w:rFonts w:ascii="Verdana" w:hAnsi="Verdana"/>
          <w:sz w:val="20"/>
          <w:szCs w:val="20"/>
        </w:rPr>
        <w:t>D</w:t>
      </w:r>
      <w:r w:rsidR="00B747B9" w:rsidRPr="00B747B9">
        <w:rPr>
          <w:rFonts w:ascii="Verdana" w:hAnsi="Verdana"/>
          <w:sz w:val="20"/>
          <w:szCs w:val="20"/>
        </w:rPr>
        <w:t xml:space="preserve">eclarar procedente </w:t>
      </w:r>
      <w:r w:rsidR="00E87499">
        <w:rPr>
          <w:rFonts w:ascii="Verdana" w:hAnsi="Verdana"/>
          <w:sz w:val="20"/>
          <w:szCs w:val="20"/>
        </w:rPr>
        <w:t xml:space="preserve">el traslado </w:t>
      </w:r>
      <w:r w:rsidR="00B747B9" w:rsidRPr="00B747B9">
        <w:rPr>
          <w:rFonts w:ascii="Verdana" w:hAnsi="Verdana"/>
          <w:sz w:val="20"/>
          <w:szCs w:val="20"/>
        </w:rPr>
        <w:t xml:space="preserve">del peritaje </w:t>
      </w:r>
      <w:r w:rsidR="00B747B9" w:rsidRPr="00B747B9">
        <w:rPr>
          <w:rFonts w:ascii="Verdana" w:hAnsi="Verdana"/>
          <w:sz w:val="20"/>
          <w:szCs w:val="20"/>
          <w:lang w:val="es-CR"/>
        </w:rPr>
        <w:t xml:space="preserve">del señor Christian </w:t>
      </w:r>
      <w:proofErr w:type="spellStart"/>
      <w:r w:rsidR="00B747B9" w:rsidRPr="00B747B9">
        <w:rPr>
          <w:rFonts w:ascii="Verdana" w:hAnsi="Verdana"/>
          <w:sz w:val="20"/>
          <w:szCs w:val="20"/>
          <w:lang w:val="es-CR"/>
        </w:rPr>
        <w:t>Courtis</w:t>
      </w:r>
      <w:proofErr w:type="spellEnd"/>
      <w:r w:rsidR="00B747B9" w:rsidRPr="00B747B9">
        <w:rPr>
          <w:rFonts w:ascii="Verdana" w:hAnsi="Verdana"/>
          <w:sz w:val="20"/>
          <w:szCs w:val="20"/>
          <w:lang w:val="es-CR"/>
        </w:rPr>
        <w:t xml:space="preserve">, rendido en el caso </w:t>
      </w:r>
      <w:r w:rsidR="00B747B9" w:rsidRPr="00B747B9">
        <w:rPr>
          <w:rFonts w:ascii="Verdana" w:hAnsi="Verdana"/>
          <w:i/>
          <w:sz w:val="20"/>
          <w:szCs w:val="20"/>
          <w:lang w:val="es-CR"/>
        </w:rPr>
        <w:t>Muelle Flores Vs. Perú</w:t>
      </w:r>
      <w:r w:rsidR="00B747B9" w:rsidRPr="00B747B9">
        <w:rPr>
          <w:rFonts w:ascii="Verdana" w:hAnsi="Verdana"/>
          <w:sz w:val="20"/>
          <w:szCs w:val="20"/>
          <w:lang w:val="es-CR"/>
        </w:rPr>
        <w:t xml:space="preserve">, </w:t>
      </w:r>
      <w:r w:rsidR="00B747B9">
        <w:rPr>
          <w:rFonts w:ascii="Verdana" w:hAnsi="Verdana"/>
          <w:sz w:val="20"/>
          <w:szCs w:val="20"/>
          <w:lang w:val="es-CR"/>
        </w:rPr>
        <w:t>y transmitir a la partes para sus observaciones,</w:t>
      </w:r>
      <w:r w:rsidR="00B747B9" w:rsidRPr="00B747B9">
        <w:rPr>
          <w:rFonts w:ascii="Verdana" w:hAnsi="Verdana"/>
          <w:sz w:val="20"/>
          <w:szCs w:val="20"/>
          <w:lang w:val="es-CR"/>
        </w:rPr>
        <w:t xml:space="preserve"> de conformidad con el Considerando 10 de la presente Resoluci</w:t>
      </w:r>
      <w:r w:rsidR="00B747B9">
        <w:rPr>
          <w:rFonts w:ascii="Verdana" w:hAnsi="Verdana"/>
          <w:sz w:val="20"/>
          <w:szCs w:val="20"/>
          <w:lang w:val="es-CR"/>
        </w:rPr>
        <w:t xml:space="preserve">ón. </w:t>
      </w:r>
    </w:p>
    <w:p w14:paraId="3F6A6881" w14:textId="77777777" w:rsidR="00290BBD" w:rsidRPr="009643C9" w:rsidRDefault="00290BBD" w:rsidP="00152381">
      <w:pPr>
        <w:tabs>
          <w:tab w:val="left" w:pos="567"/>
          <w:tab w:val="left" w:pos="2520"/>
        </w:tabs>
        <w:spacing w:after="0" w:line="240" w:lineRule="auto"/>
        <w:contextualSpacing/>
        <w:jc w:val="both"/>
        <w:rPr>
          <w:rFonts w:ascii="Verdana" w:eastAsia="Calibri" w:hAnsi="Verdana" w:cs="Times"/>
          <w:sz w:val="20"/>
          <w:szCs w:val="20"/>
          <w:lang w:val="es-CR" w:eastAsia="es-ES"/>
        </w:rPr>
      </w:pPr>
    </w:p>
    <w:p w14:paraId="66653FEC" w14:textId="412961A5" w:rsidR="00E87499" w:rsidRPr="009643C9" w:rsidRDefault="00E87499" w:rsidP="00152381">
      <w:pPr>
        <w:numPr>
          <w:ilvl w:val="0"/>
          <w:numId w:val="36"/>
        </w:numPr>
        <w:tabs>
          <w:tab w:val="left" w:pos="567"/>
          <w:tab w:val="left" w:pos="2520"/>
        </w:tabs>
        <w:spacing w:after="0" w:line="240" w:lineRule="auto"/>
        <w:ind w:left="0" w:firstLine="0"/>
        <w:contextualSpacing/>
        <w:jc w:val="both"/>
        <w:rPr>
          <w:rFonts w:ascii="Verdana" w:eastAsia="Calibri" w:hAnsi="Verdana" w:cs="Times"/>
          <w:sz w:val="20"/>
          <w:szCs w:val="20"/>
          <w:lang w:val="es-CR" w:eastAsia="es-ES"/>
        </w:rPr>
      </w:pPr>
      <w:r w:rsidRPr="00E87499">
        <w:rPr>
          <w:rFonts w:ascii="Verdana" w:hAnsi="Verdana"/>
          <w:sz w:val="20"/>
          <w:szCs w:val="20"/>
          <w:lang w:val="es-CR"/>
        </w:rPr>
        <w:t>Informar a los representantes, al Estado y a la Comisión Interamericana que, al término de las declaraciones rendidas en la audiencia pública, podrán presentar ante el Tribunal sus alegatos finales orales y observaciones finales orales, respectivamente, sobre la excepción preliminar, el fondo, las reparaciones y las costas en este caso.</w:t>
      </w:r>
    </w:p>
    <w:p w14:paraId="5D01BAE9" w14:textId="77777777" w:rsidR="00B747B9" w:rsidRPr="00B747B9" w:rsidRDefault="00B747B9" w:rsidP="00152381">
      <w:pPr>
        <w:tabs>
          <w:tab w:val="left" w:pos="567"/>
          <w:tab w:val="left" w:pos="2520"/>
        </w:tabs>
        <w:spacing w:after="0" w:line="240" w:lineRule="auto"/>
        <w:contextualSpacing/>
        <w:jc w:val="both"/>
        <w:rPr>
          <w:rFonts w:ascii="Verdana" w:eastAsia="Calibri" w:hAnsi="Verdana" w:cs="Times"/>
          <w:sz w:val="20"/>
          <w:szCs w:val="20"/>
          <w:lang w:val="es-CR" w:eastAsia="es-ES"/>
        </w:rPr>
      </w:pPr>
    </w:p>
    <w:p w14:paraId="3C3341C2" w14:textId="77777777" w:rsidR="003C6E7F" w:rsidRDefault="003C6E7F" w:rsidP="00152381">
      <w:pPr>
        <w:numPr>
          <w:ilvl w:val="0"/>
          <w:numId w:val="36"/>
        </w:numPr>
        <w:tabs>
          <w:tab w:val="left" w:pos="567"/>
          <w:tab w:val="left" w:pos="2520"/>
        </w:tabs>
        <w:spacing w:after="0" w:line="240" w:lineRule="auto"/>
        <w:ind w:left="0" w:firstLine="0"/>
        <w:contextualSpacing/>
        <w:jc w:val="both"/>
        <w:rPr>
          <w:rFonts w:ascii="Verdana" w:eastAsia="Calibri" w:hAnsi="Verdana" w:cs="Times"/>
          <w:sz w:val="20"/>
          <w:szCs w:val="20"/>
          <w:lang w:val="es-CR" w:eastAsia="es-ES"/>
        </w:rPr>
      </w:pPr>
      <w:r>
        <w:rPr>
          <w:rFonts w:ascii="Verdana" w:eastAsia="Calibri" w:hAnsi="Verdana" w:cs="Times"/>
          <w:sz w:val="20"/>
          <w:szCs w:val="20"/>
          <w:lang w:val="es-CR" w:eastAsia="es-ES"/>
        </w:rPr>
        <w:t xml:space="preserve">Informar a la Comisión, a los representantes y al Estado que deben cubrir los gastos que ocasione la aportación o rendición de la prueba propuesta por ella, de conformidad con lo dispuesto en el artículo 60 del Reglamento. </w:t>
      </w:r>
    </w:p>
    <w:p w14:paraId="44B42679" w14:textId="77777777" w:rsidR="00B747B9" w:rsidRDefault="00B747B9" w:rsidP="00152381">
      <w:pPr>
        <w:tabs>
          <w:tab w:val="left" w:pos="567"/>
          <w:tab w:val="left" w:pos="2520"/>
        </w:tabs>
        <w:spacing w:after="0" w:line="240" w:lineRule="auto"/>
        <w:contextualSpacing/>
        <w:jc w:val="both"/>
        <w:rPr>
          <w:rFonts w:ascii="Verdana" w:eastAsia="Calibri" w:hAnsi="Verdana" w:cs="Times"/>
          <w:sz w:val="20"/>
          <w:szCs w:val="20"/>
          <w:lang w:val="es-CR" w:eastAsia="es-ES"/>
        </w:rPr>
      </w:pPr>
    </w:p>
    <w:p w14:paraId="3C3341C4" w14:textId="77777777" w:rsidR="003C41DF" w:rsidRDefault="003C41DF" w:rsidP="00152381">
      <w:pPr>
        <w:numPr>
          <w:ilvl w:val="0"/>
          <w:numId w:val="36"/>
        </w:numPr>
        <w:tabs>
          <w:tab w:val="left" w:pos="567"/>
          <w:tab w:val="left" w:pos="2520"/>
        </w:tabs>
        <w:spacing w:after="0" w:line="240" w:lineRule="auto"/>
        <w:ind w:left="0" w:firstLine="0"/>
        <w:contextualSpacing/>
        <w:jc w:val="both"/>
        <w:rPr>
          <w:rFonts w:ascii="Verdana" w:eastAsia="Calibri" w:hAnsi="Verdana" w:cs="Times"/>
          <w:sz w:val="20"/>
          <w:szCs w:val="20"/>
          <w:lang w:val="es-CR" w:eastAsia="es-ES"/>
        </w:rPr>
      </w:pPr>
      <w:r>
        <w:rPr>
          <w:rFonts w:ascii="Verdana" w:eastAsia="Calibri" w:hAnsi="Verdana" w:cs="Times"/>
          <w:sz w:val="20"/>
          <w:szCs w:val="20"/>
          <w:lang w:val="es-CR" w:eastAsia="es-ES"/>
        </w:rPr>
        <w:t xml:space="preserve">Requerir a la Comisión, los representantes y el Estado que informen a las personas convocadas por la Corte para declarar que, según lo dispuesto en el artículo 54 del Reglamento, el Tribunal pondrá en conocimiento del Estado el caso en que la persona requerida para comparecer o declarar no comparecieren o rehusare deponer sin motivo legitimo o que, en el parecer de la misma Corte, hayan violado el juramento o la declaración solemne, para los fines previstos en la legislación nacional correspondiente. </w:t>
      </w:r>
    </w:p>
    <w:p w14:paraId="3C3341C5" w14:textId="77777777" w:rsidR="003C41DF" w:rsidRDefault="003C41DF" w:rsidP="00152381">
      <w:pPr>
        <w:pStyle w:val="Prrafodelista"/>
        <w:spacing w:after="0"/>
        <w:rPr>
          <w:szCs w:val="20"/>
          <w:lang w:val="es-CR"/>
        </w:rPr>
      </w:pPr>
    </w:p>
    <w:p w14:paraId="3C3341C6" w14:textId="4DF09663" w:rsidR="003C41DF" w:rsidRDefault="003C41DF" w:rsidP="00152381">
      <w:pPr>
        <w:numPr>
          <w:ilvl w:val="0"/>
          <w:numId w:val="36"/>
        </w:numPr>
        <w:tabs>
          <w:tab w:val="left" w:pos="567"/>
          <w:tab w:val="left" w:pos="2520"/>
        </w:tabs>
        <w:spacing w:after="0" w:line="240" w:lineRule="auto"/>
        <w:ind w:left="0" w:firstLine="0"/>
        <w:contextualSpacing/>
        <w:jc w:val="both"/>
        <w:rPr>
          <w:rFonts w:ascii="Verdana" w:eastAsia="Calibri" w:hAnsi="Verdana" w:cs="Times"/>
          <w:sz w:val="20"/>
          <w:szCs w:val="20"/>
          <w:lang w:val="es-CR" w:eastAsia="es-ES"/>
        </w:rPr>
      </w:pPr>
      <w:r>
        <w:rPr>
          <w:rFonts w:ascii="Verdana" w:eastAsia="Calibri" w:hAnsi="Verdana" w:cs="Times"/>
          <w:sz w:val="20"/>
          <w:szCs w:val="20"/>
          <w:lang w:val="es-CR" w:eastAsia="es-ES"/>
        </w:rPr>
        <w:t xml:space="preserve">Disponer que la Secretaría de la Corte, de conformidad con lo dispuesto en el </w:t>
      </w:r>
      <w:r w:rsidR="00E13594">
        <w:rPr>
          <w:rFonts w:ascii="Verdana" w:eastAsia="Calibri" w:hAnsi="Verdana" w:cs="Times"/>
          <w:sz w:val="20"/>
          <w:szCs w:val="20"/>
          <w:lang w:val="es-CR" w:eastAsia="es-ES"/>
        </w:rPr>
        <w:t>artículo</w:t>
      </w:r>
      <w:r>
        <w:rPr>
          <w:rFonts w:ascii="Verdana" w:eastAsia="Calibri" w:hAnsi="Verdana" w:cs="Times"/>
          <w:sz w:val="20"/>
          <w:szCs w:val="20"/>
          <w:lang w:val="es-CR" w:eastAsia="es-ES"/>
        </w:rPr>
        <w:t xml:space="preserve"> 55.3 del Reglamento, indique a la Comisión Interamericana, a las representantes y al </w:t>
      </w:r>
      <w:r w:rsidR="001F182D">
        <w:rPr>
          <w:rFonts w:ascii="Verdana" w:eastAsia="Calibri" w:hAnsi="Verdana" w:cs="Times"/>
          <w:sz w:val="20"/>
          <w:szCs w:val="20"/>
          <w:lang w:val="es-CR" w:eastAsia="es-ES"/>
        </w:rPr>
        <w:t>E</w:t>
      </w:r>
      <w:r>
        <w:rPr>
          <w:rFonts w:ascii="Verdana" w:eastAsia="Calibri" w:hAnsi="Verdana" w:cs="Times"/>
          <w:sz w:val="20"/>
          <w:szCs w:val="20"/>
          <w:lang w:val="es-CR" w:eastAsia="es-ES"/>
        </w:rPr>
        <w:t xml:space="preserve">stado el enlace dónde se encontrará disponible la grabación de la audiencia pública, a la brevedad posible luego de la celebración de la referida audiencia. </w:t>
      </w:r>
    </w:p>
    <w:p w14:paraId="71C5DE86" w14:textId="77777777" w:rsidR="00290BBD" w:rsidRPr="009643C9" w:rsidRDefault="00290BBD" w:rsidP="00152381">
      <w:pPr>
        <w:tabs>
          <w:tab w:val="left" w:pos="567"/>
          <w:tab w:val="left" w:pos="2520"/>
        </w:tabs>
        <w:spacing w:after="0" w:line="240" w:lineRule="auto"/>
        <w:contextualSpacing/>
        <w:jc w:val="both"/>
        <w:rPr>
          <w:rFonts w:ascii="Verdana" w:eastAsia="Calibri" w:hAnsi="Verdana" w:cs="Times"/>
          <w:sz w:val="20"/>
          <w:szCs w:val="20"/>
          <w:lang w:val="es-CR" w:eastAsia="es-ES"/>
        </w:rPr>
      </w:pPr>
    </w:p>
    <w:p w14:paraId="24C08EB5" w14:textId="321A78CC" w:rsidR="00290BBD" w:rsidRPr="004F1CD1" w:rsidRDefault="001F5D4E" w:rsidP="00152381">
      <w:pPr>
        <w:tabs>
          <w:tab w:val="left" w:pos="567"/>
          <w:tab w:val="left" w:pos="2520"/>
        </w:tabs>
        <w:spacing w:after="0" w:line="240" w:lineRule="auto"/>
        <w:contextualSpacing/>
        <w:jc w:val="both"/>
        <w:rPr>
          <w:rFonts w:ascii="Verdana" w:eastAsia="Calibri" w:hAnsi="Verdana" w:cs="Times"/>
          <w:sz w:val="20"/>
          <w:szCs w:val="20"/>
          <w:lang w:val="es-CR" w:eastAsia="es-ES"/>
        </w:rPr>
      </w:pPr>
      <w:r>
        <w:rPr>
          <w:rFonts w:ascii="Verdana" w:hAnsi="Verdana" w:cs="Verdana"/>
          <w:color w:val="000000"/>
          <w:sz w:val="20"/>
          <w:szCs w:val="20"/>
          <w:lang w:val="es-CR"/>
        </w:rPr>
        <w:t xml:space="preserve">12. </w:t>
      </w:r>
      <w:r>
        <w:rPr>
          <w:rFonts w:ascii="Verdana" w:hAnsi="Verdana" w:cs="Verdana"/>
          <w:color w:val="000000"/>
          <w:sz w:val="20"/>
          <w:szCs w:val="20"/>
          <w:lang w:val="es-CR"/>
        </w:rPr>
        <w:tab/>
      </w:r>
      <w:r w:rsidR="00BD31C5" w:rsidRPr="00E13594">
        <w:rPr>
          <w:rFonts w:ascii="Verdana" w:hAnsi="Verdana" w:cs="Verdana"/>
          <w:color w:val="000000"/>
          <w:sz w:val="20"/>
          <w:szCs w:val="20"/>
          <w:lang w:val="es-CR"/>
        </w:rPr>
        <w:t xml:space="preserve">Informar a </w:t>
      </w:r>
      <w:r w:rsidR="00BD31C5" w:rsidRPr="00E13594">
        <w:rPr>
          <w:rFonts w:ascii="Verdana" w:hAnsi="Verdana" w:cs="Calibri"/>
          <w:color w:val="000000"/>
          <w:sz w:val="20"/>
          <w:szCs w:val="20"/>
          <w:lang w:val="es-CR"/>
        </w:rPr>
        <w:t xml:space="preserve">los </w:t>
      </w:r>
      <w:r w:rsidR="00BD31C5" w:rsidRPr="00E13594">
        <w:rPr>
          <w:rFonts w:ascii="Verdana" w:hAnsi="Verdana"/>
          <w:color w:val="000000"/>
          <w:sz w:val="20"/>
          <w:szCs w:val="20"/>
          <w:lang w:val="es-CR"/>
        </w:rPr>
        <w:t>representantes</w:t>
      </w:r>
      <w:r w:rsidR="00BD31C5" w:rsidRPr="00E13594">
        <w:rPr>
          <w:rFonts w:ascii="Verdana" w:hAnsi="Verdana" w:cs="Calibri"/>
          <w:color w:val="000000"/>
          <w:sz w:val="20"/>
          <w:szCs w:val="20"/>
          <w:lang w:val="es-CR"/>
        </w:rPr>
        <w:t xml:space="preserve">, </w:t>
      </w:r>
      <w:r w:rsidR="00BD31C5" w:rsidRPr="00E13594">
        <w:rPr>
          <w:rFonts w:ascii="Verdana" w:hAnsi="Verdana" w:cs="Verdana"/>
          <w:color w:val="000000"/>
          <w:sz w:val="20"/>
          <w:szCs w:val="20"/>
          <w:lang w:val="es-CR"/>
        </w:rPr>
        <w:t>al Estado y a la Comisión Interamericana que, en los términos d</w:t>
      </w:r>
      <w:r w:rsidR="00BD31C5" w:rsidRPr="00E13594">
        <w:rPr>
          <w:rFonts w:ascii="Verdana" w:hAnsi="Verdana" w:cs="Calibri"/>
          <w:color w:val="000000"/>
          <w:sz w:val="20"/>
          <w:szCs w:val="20"/>
          <w:lang w:val="es-CR"/>
        </w:rPr>
        <w:t>el artículo 56 del Reglamento,</w:t>
      </w:r>
      <w:r w:rsidR="00BD31C5" w:rsidRPr="00E13594">
        <w:rPr>
          <w:rFonts w:ascii="Verdana" w:hAnsi="Verdana" w:cs="Verdana"/>
          <w:color w:val="000000"/>
          <w:sz w:val="20"/>
          <w:szCs w:val="20"/>
          <w:lang w:val="es-CR"/>
        </w:rPr>
        <w:t xml:space="preserve"> cuentan con un plazo hasta el </w:t>
      </w:r>
      <w:r w:rsidR="0049686A" w:rsidRPr="00666DEB">
        <w:rPr>
          <w:rFonts w:ascii="Verdana" w:hAnsi="Verdana" w:cs="Verdana"/>
          <w:color w:val="000000"/>
          <w:sz w:val="20"/>
          <w:szCs w:val="20"/>
          <w:lang w:val="es-CR"/>
        </w:rPr>
        <w:t>8 de junio</w:t>
      </w:r>
      <w:r w:rsidR="00BD31C5" w:rsidRPr="00666DEB">
        <w:rPr>
          <w:rFonts w:ascii="Verdana" w:hAnsi="Verdana" w:cs="Verdana"/>
          <w:color w:val="000000"/>
          <w:sz w:val="20"/>
          <w:szCs w:val="20"/>
          <w:lang w:val="es-CR"/>
        </w:rPr>
        <w:t xml:space="preserve"> de 2019</w:t>
      </w:r>
      <w:r w:rsidR="00BD31C5" w:rsidRPr="00E13594">
        <w:rPr>
          <w:rFonts w:ascii="Verdana" w:hAnsi="Verdana" w:cs="Verdana"/>
          <w:color w:val="000000"/>
          <w:sz w:val="20"/>
          <w:szCs w:val="20"/>
          <w:lang w:val="es-CR"/>
        </w:rPr>
        <w:t xml:space="preserve"> para presentar sus alegatos finales escritos y observaciones finales escritas, respectivamente, en relación con las excepciones preliminares, fondo y eventuales reparaciones y costas en el presente caso. Este plazo es improrrogable e independiente de la puesta a disposición de las partes de la grabación de la audiencia pública. </w:t>
      </w:r>
    </w:p>
    <w:p w14:paraId="6A7CC353" w14:textId="77777777" w:rsidR="004F1CD1" w:rsidRPr="00290BBD" w:rsidRDefault="004F1CD1" w:rsidP="00152381">
      <w:pPr>
        <w:tabs>
          <w:tab w:val="left" w:pos="567"/>
          <w:tab w:val="left" w:pos="2520"/>
        </w:tabs>
        <w:spacing w:after="0" w:line="240" w:lineRule="auto"/>
        <w:contextualSpacing/>
        <w:jc w:val="both"/>
        <w:rPr>
          <w:szCs w:val="20"/>
          <w:lang w:val="es-CR"/>
        </w:rPr>
      </w:pPr>
    </w:p>
    <w:p w14:paraId="3C3341CB" w14:textId="4E1B5787" w:rsidR="00BD31C5" w:rsidRPr="001F5D4E" w:rsidRDefault="001F5D4E" w:rsidP="00666DEB">
      <w:pPr>
        <w:tabs>
          <w:tab w:val="left" w:pos="567"/>
          <w:tab w:val="left" w:pos="2520"/>
        </w:tabs>
        <w:spacing w:after="0" w:line="240" w:lineRule="auto"/>
        <w:jc w:val="both"/>
        <w:rPr>
          <w:rFonts w:ascii="Verdana" w:eastAsia="Calibri" w:hAnsi="Verdana" w:cs="Times"/>
          <w:sz w:val="20"/>
          <w:szCs w:val="20"/>
          <w:lang w:val="es-CR" w:eastAsia="es-ES"/>
        </w:rPr>
      </w:pPr>
      <w:r w:rsidRPr="001F5D4E">
        <w:rPr>
          <w:rFonts w:ascii="Verdana" w:hAnsi="Verdana" w:cs="Verdana"/>
          <w:color w:val="000000"/>
          <w:sz w:val="20"/>
          <w:szCs w:val="20"/>
          <w:lang w:val="es-CR"/>
        </w:rPr>
        <w:t xml:space="preserve">13. </w:t>
      </w:r>
      <w:r w:rsidRPr="001F5D4E">
        <w:rPr>
          <w:rFonts w:ascii="Verdana" w:hAnsi="Verdana" w:cs="Verdana"/>
          <w:color w:val="000000"/>
          <w:sz w:val="20"/>
          <w:szCs w:val="20"/>
          <w:lang w:val="es-CR"/>
        </w:rPr>
        <w:tab/>
      </w:r>
      <w:r w:rsidR="00BD31C5" w:rsidRPr="001F5D4E">
        <w:rPr>
          <w:rFonts w:ascii="Verdana" w:hAnsi="Verdana" w:cs="Verdana"/>
          <w:color w:val="000000"/>
          <w:sz w:val="20"/>
          <w:szCs w:val="20"/>
          <w:lang w:val="es-CR"/>
        </w:rPr>
        <w:t xml:space="preserve">Disponer que la Secretaría de la Corte Interamericana notifique la presente Resolución a la Comisión Interamericana, a los </w:t>
      </w:r>
      <w:r w:rsidR="00BD31C5" w:rsidRPr="001F5D4E">
        <w:rPr>
          <w:rFonts w:ascii="Verdana" w:hAnsi="Verdana"/>
          <w:color w:val="000000"/>
          <w:sz w:val="20"/>
          <w:szCs w:val="20"/>
          <w:lang w:val="es-CR"/>
        </w:rPr>
        <w:t xml:space="preserve">representantes </w:t>
      </w:r>
      <w:r w:rsidR="00BD31C5" w:rsidRPr="001F5D4E">
        <w:rPr>
          <w:rFonts w:ascii="Verdana" w:hAnsi="Verdana" w:cs="Verdana"/>
          <w:color w:val="000000"/>
          <w:sz w:val="20"/>
          <w:szCs w:val="20"/>
          <w:lang w:val="es-CR"/>
        </w:rPr>
        <w:t xml:space="preserve">y al Estado. </w:t>
      </w:r>
    </w:p>
    <w:p w14:paraId="3C3341CC" w14:textId="77777777" w:rsidR="00BD31C5" w:rsidRPr="001F5D4E" w:rsidRDefault="00BD31C5" w:rsidP="00152381">
      <w:pPr>
        <w:tabs>
          <w:tab w:val="left" w:pos="567"/>
        </w:tabs>
        <w:spacing w:after="0" w:line="240" w:lineRule="auto"/>
        <w:jc w:val="both"/>
        <w:rPr>
          <w:rFonts w:ascii="Verdana" w:eastAsia="Calibri" w:hAnsi="Verdana" w:cs="Calibri"/>
          <w:sz w:val="20"/>
          <w:szCs w:val="20"/>
          <w:lang w:val="es-CR"/>
        </w:rPr>
      </w:pPr>
    </w:p>
    <w:p w14:paraId="3C3341CE" w14:textId="77777777" w:rsidR="00C30FA7" w:rsidRDefault="00C30FA7" w:rsidP="00152381">
      <w:pPr>
        <w:spacing w:after="0" w:line="240" w:lineRule="auto"/>
        <w:rPr>
          <w:b/>
          <w:szCs w:val="20"/>
          <w:lang w:val="es-CR"/>
        </w:rPr>
      </w:pPr>
    </w:p>
    <w:p w14:paraId="0145E15E" w14:textId="77777777" w:rsidR="00152381" w:rsidRDefault="00152381" w:rsidP="00152381">
      <w:pPr>
        <w:spacing w:after="0" w:line="240" w:lineRule="auto"/>
        <w:rPr>
          <w:b/>
          <w:szCs w:val="20"/>
          <w:lang w:val="es-CR"/>
        </w:rPr>
      </w:pPr>
    </w:p>
    <w:p w14:paraId="3C3341CF" w14:textId="1C4F23B5" w:rsidR="002B2DD3" w:rsidRPr="00365273" w:rsidRDefault="002B2DD3" w:rsidP="00152381">
      <w:pPr>
        <w:tabs>
          <w:tab w:val="left" w:pos="567"/>
        </w:tabs>
        <w:spacing w:after="0" w:line="240" w:lineRule="auto"/>
        <w:jc w:val="both"/>
        <w:rPr>
          <w:rFonts w:ascii="Verdana" w:eastAsia="Calibri" w:hAnsi="Verdana" w:cs="Verdana"/>
          <w:bCs/>
          <w:i/>
          <w:sz w:val="20"/>
          <w:szCs w:val="20"/>
          <w:lang w:val="es-ES"/>
        </w:rPr>
      </w:pPr>
      <w:r w:rsidRPr="00AE2198">
        <w:rPr>
          <w:rFonts w:ascii="Verdana" w:eastAsia="Calibri" w:hAnsi="Verdana" w:cs="Verdana"/>
          <w:bCs/>
          <w:sz w:val="20"/>
          <w:szCs w:val="20"/>
          <w:lang w:val="es-ES"/>
        </w:rPr>
        <w:lastRenderedPageBreak/>
        <w:t xml:space="preserve">Resolución del Presidente de la Corte Interamericana de Derechos Humanos. </w:t>
      </w:r>
      <w:r>
        <w:rPr>
          <w:rFonts w:ascii="Verdana" w:eastAsia="Calibri" w:hAnsi="Verdana" w:cs="Verdana"/>
          <w:bCs/>
          <w:i/>
          <w:sz w:val="20"/>
          <w:szCs w:val="20"/>
          <w:lang w:val="es-ES"/>
        </w:rPr>
        <w:t xml:space="preserve">Caso </w:t>
      </w:r>
      <w:proofErr w:type="spellStart"/>
      <w:r>
        <w:rPr>
          <w:rFonts w:ascii="Verdana" w:eastAsia="Calibri" w:hAnsi="Verdana" w:cs="Verdana"/>
          <w:bCs/>
          <w:i/>
          <w:sz w:val="20"/>
          <w:szCs w:val="20"/>
          <w:lang w:val="es-ES"/>
        </w:rPr>
        <w:t>Ancejub-Sunat</w:t>
      </w:r>
      <w:proofErr w:type="spellEnd"/>
      <w:r>
        <w:rPr>
          <w:rFonts w:ascii="Verdana" w:eastAsia="Calibri" w:hAnsi="Verdana" w:cs="Verdana"/>
          <w:bCs/>
          <w:i/>
          <w:sz w:val="20"/>
          <w:szCs w:val="20"/>
          <w:lang w:val="es-ES"/>
        </w:rPr>
        <w:t xml:space="preserve"> Vs. Perú </w:t>
      </w:r>
    </w:p>
    <w:p w14:paraId="3C3341D0" w14:textId="77777777" w:rsidR="002B2DD3" w:rsidRDefault="002B2DD3" w:rsidP="002B2DD3">
      <w:pPr>
        <w:tabs>
          <w:tab w:val="left" w:pos="567"/>
        </w:tabs>
        <w:spacing w:after="0" w:line="240" w:lineRule="auto"/>
        <w:jc w:val="both"/>
        <w:rPr>
          <w:rFonts w:ascii="Verdana" w:eastAsia="Calibri" w:hAnsi="Verdana" w:cs="Verdana"/>
          <w:bCs/>
          <w:sz w:val="20"/>
          <w:szCs w:val="20"/>
          <w:lang w:val="es-ES"/>
        </w:rPr>
      </w:pPr>
    </w:p>
    <w:p w14:paraId="04DC3740" w14:textId="77777777" w:rsidR="00A94C47" w:rsidRPr="00A94C47" w:rsidRDefault="00A94C47" w:rsidP="002B2DD3">
      <w:pPr>
        <w:tabs>
          <w:tab w:val="left" w:pos="567"/>
        </w:tabs>
        <w:spacing w:after="0" w:line="240" w:lineRule="auto"/>
        <w:jc w:val="both"/>
        <w:rPr>
          <w:rFonts w:ascii="Verdana" w:eastAsia="Calibri" w:hAnsi="Verdana" w:cs="Verdana"/>
          <w:bCs/>
          <w:sz w:val="20"/>
          <w:szCs w:val="20"/>
          <w:lang w:val="es-ES"/>
        </w:rPr>
      </w:pPr>
    </w:p>
    <w:p w14:paraId="3C3341D1" w14:textId="77777777" w:rsidR="002B2DD3" w:rsidRDefault="002B2DD3" w:rsidP="002B2DD3">
      <w:pPr>
        <w:tabs>
          <w:tab w:val="left" w:pos="567"/>
          <w:tab w:val="left" w:pos="6663"/>
        </w:tabs>
        <w:spacing w:after="0" w:line="240" w:lineRule="auto"/>
        <w:jc w:val="both"/>
        <w:rPr>
          <w:rFonts w:ascii="Verdana" w:eastAsia="Calibri" w:hAnsi="Verdana" w:cs="Calibri"/>
          <w:sz w:val="20"/>
          <w:szCs w:val="20"/>
        </w:rPr>
      </w:pPr>
    </w:p>
    <w:p w14:paraId="64D5AC9B" w14:textId="5B00B741" w:rsidR="00152381" w:rsidRPr="00AE2198" w:rsidRDefault="00152381" w:rsidP="002B2DD3">
      <w:pPr>
        <w:tabs>
          <w:tab w:val="left" w:pos="567"/>
          <w:tab w:val="left" w:pos="6663"/>
        </w:tabs>
        <w:spacing w:after="0" w:line="240" w:lineRule="auto"/>
        <w:jc w:val="both"/>
        <w:rPr>
          <w:rFonts w:ascii="Verdana" w:eastAsia="Calibri" w:hAnsi="Verdana" w:cs="Calibri"/>
          <w:sz w:val="20"/>
          <w:szCs w:val="20"/>
        </w:rPr>
      </w:pPr>
    </w:p>
    <w:p w14:paraId="3C3341D2" w14:textId="7BBCFD52" w:rsidR="002B2DD3" w:rsidRPr="00AE2198" w:rsidRDefault="002B2DD3" w:rsidP="002B2DD3">
      <w:pPr>
        <w:tabs>
          <w:tab w:val="left" w:pos="567"/>
          <w:tab w:val="left" w:pos="6663"/>
        </w:tabs>
        <w:spacing w:after="0" w:line="240" w:lineRule="auto"/>
        <w:jc w:val="both"/>
        <w:rPr>
          <w:rFonts w:ascii="Verdana" w:eastAsia="Calibri" w:hAnsi="Verdana" w:cs="Calibri"/>
          <w:sz w:val="20"/>
          <w:szCs w:val="20"/>
        </w:rPr>
      </w:pPr>
    </w:p>
    <w:p w14:paraId="3C3341D3" w14:textId="77777777" w:rsidR="002B2DD3" w:rsidRPr="00AE2198" w:rsidRDefault="002B2DD3" w:rsidP="002B2DD3">
      <w:pPr>
        <w:tabs>
          <w:tab w:val="left" w:pos="567"/>
        </w:tabs>
        <w:spacing w:after="0" w:line="240" w:lineRule="auto"/>
        <w:ind w:left="4253"/>
        <w:jc w:val="center"/>
        <w:rPr>
          <w:rFonts w:ascii="Verdana" w:eastAsia="Calibri" w:hAnsi="Verdana" w:cs="Calibri"/>
          <w:sz w:val="20"/>
          <w:szCs w:val="20"/>
          <w:lang w:val="pt-BR"/>
        </w:rPr>
      </w:pPr>
      <w:r w:rsidRPr="005574E1">
        <w:rPr>
          <w:rFonts w:ascii="Verdana" w:eastAsia="Calibri" w:hAnsi="Verdana" w:cs="Calibri"/>
          <w:sz w:val="20"/>
          <w:szCs w:val="20"/>
        </w:rPr>
        <w:t xml:space="preserve">Eduardo Ferrer Mac-Gregor </w:t>
      </w:r>
      <w:proofErr w:type="spellStart"/>
      <w:r w:rsidRPr="005574E1">
        <w:rPr>
          <w:rFonts w:ascii="Verdana" w:eastAsia="Calibri" w:hAnsi="Verdana" w:cs="Calibri"/>
          <w:sz w:val="20"/>
          <w:szCs w:val="20"/>
        </w:rPr>
        <w:t>Poisot</w:t>
      </w:r>
      <w:proofErr w:type="spellEnd"/>
    </w:p>
    <w:p w14:paraId="3C3341D4" w14:textId="77777777" w:rsidR="002B2DD3" w:rsidRPr="00AE2198" w:rsidRDefault="002B2DD3" w:rsidP="002B2DD3">
      <w:pPr>
        <w:tabs>
          <w:tab w:val="left" w:pos="567"/>
        </w:tabs>
        <w:spacing w:after="0" w:line="240" w:lineRule="auto"/>
        <w:ind w:left="4253"/>
        <w:jc w:val="center"/>
        <w:rPr>
          <w:rFonts w:ascii="Verdana" w:eastAsia="Calibri" w:hAnsi="Verdana" w:cs="Calibri"/>
          <w:sz w:val="20"/>
          <w:szCs w:val="20"/>
          <w:lang w:val="pt-BR"/>
        </w:rPr>
      </w:pPr>
      <w:r w:rsidRPr="00AE2198">
        <w:rPr>
          <w:rFonts w:ascii="Verdana" w:eastAsia="Calibri" w:hAnsi="Verdana" w:cs="Calibri"/>
          <w:sz w:val="20"/>
          <w:szCs w:val="20"/>
          <w:lang w:val="pt-BR"/>
        </w:rPr>
        <w:t>Presidente</w:t>
      </w:r>
      <w:r>
        <w:rPr>
          <w:rFonts w:ascii="Verdana" w:eastAsia="Calibri" w:hAnsi="Verdana" w:cs="Calibri"/>
          <w:sz w:val="20"/>
          <w:szCs w:val="20"/>
          <w:lang w:val="pt-BR"/>
        </w:rPr>
        <w:t xml:space="preserve"> </w:t>
      </w:r>
    </w:p>
    <w:p w14:paraId="3C3341D5" w14:textId="77777777" w:rsidR="002B2DD3" w:rsidRPr="00A94C47" w:rsidRDefault="002B2DD3" w:rsidP="00A94C47">
      <w:pPr>
        <w:widowControl w:val="0"/>
        <w:tabs>
          <w:tab w:val="left" w:pos="567"/>
          <w:tab w:val="left" w:pos="7740"/>
        </w:tabs>
        <w:autoSpaceDE w:val="0"/>
        <w:autoSpaceDN w:val="0"/>
        <w:adjustRightInd w:val="0"/>
        <w:spacing w:after="0" w:line="240" w:lineRule="auto"/>
        <w:ind w:right="22"/>
        <w:rPr>
          <w:szCs w:val="20"/>
          <w:lang w:val="es-CR"/>
        </w:rPr>
      </w:pPr>
    </w:p>
    <w:p w14:paraId="3C3341D6" w14:textId="77777777" w:rsidR="002B2DD3" w:rsidRDefault="002B2DD3" w:rsidP="00A94C47">
      <w:pPr>
        <w:tabs>
          <w:tab w:val="left" w:pos="567"/>
          <w:tab w:val="left" w:pos="2835"/>
        </w:tabs>
        <w:spacing w:after="0" w:line="240" w:lineRule="auto"/>
        <w:ind w:right="6003"/>
        <w:rPr>
          <w:rFonts w:ascii="Verdana" w:eastAsia="Calibri" w:hAnsi="Verdana" w:cs="Calibri"/>
          <w:sz w:val="20"/>
          <w:szCs w:val="20"/>
          <w:lang w:val="es-ES"/>
        </w:rPr>
      </w:pPr>
    </w:p>
    <w:p w14:paraId="0D986A82" w14:textId="77777777" w:rsidR="009616D8" w:rsidRDefault="009616D8" w:rsidP="00A94C47">
      <w:pPr>
        <w:tabs>
          <w:tab w:val="left" w:pos="567"/>
          <w:tab w:val="left" w:pos="2835"/>
        </w:tabs>
        <w:spacing w:after="0" w:line="240" w:lineRule="auto"/>
        <w:ind w:right="6003"/>
        <w:rPr>
          <w:rFonts w:ascii="Verdana" w:eastAsia="Calibri" w:hAnsi="Verdana" w:cs="Calibri"/>
          <w:sz w:val="20"/>
          <w:szCs w:val="20"/>
          <w:lang w:val="es-ES"/>
        </w:rPr>
      </w:pPr>
    </w:p>
    <w:p w14:paraId="0F40576A" w14:textId="77777777" w:rsidR="00A94C47" w:rsidRDefault="00A94C47" w:rsidP="00A94C47">
      <w:pPr>
        <w:tabs>
          <w:tab w:val="left" w:pos="567"/>
          <w:tab w:val="left" w:pos="2835"/>
        </w:tabs>
        <w:spacing w:after="0" w:line="240" w:lineRule="auto"/>
        <w:ind w:right="6003"/>
        <w:rPr>
          <w:rFonts w:ascii="Verdana" w:eastAsia="Calibri" w:hAnsi="Verdana" w:cs="Calibri"/>
          <w:sz w:val="20"/>
          <w:szCs w:val="20"/>
          <w:lang w:val="es-ES"/>
        </w:rPr>
      </w:pPr>
    </w:p>
    <w:p w14:paraId="326623B9" w14:textId="6693E088" w:rsidR="00A94C47" w:rsidRPr="00AE2198" w:rsidRDefault="00A94C47" w:rsidP="00A94C47">
      <w:pPr>
        <w:tabs>
          <w:tab w:val="left" w:pos="567"/>
          <w:tab w:val="left" w:pos="2835"/>
        </w:tabs>
        <w:spacing w:after="0" w:line="240" w:lineRule="auto"/>
        <w:ind w:right="6003"/>
        <w:rPr>
          <w:rFonts w:ascii="Verdana" w:eastAsia="Calibri" w:hAnsi="Verdana" w:cs="Calibri"/>
          <w:sz w:val="20"/>
          <w:szCs w:val="20"/>
          <w:lang w:val="es-ES"/>
        </w:rPr>
      </w:pPr>
    </w:p>
    <w:p w14:paraId="3C3341D7" w14:textId="77777777" w:rsidR="002B2DD3" w:rsidRPr="00AE2198" w:rsidRDefault="002B2DD3" w:rsidP="002B2DD3">
      <w:pPr>
        <w:tabs>
          <w:tab w:val="left" w:pos="567"/>
          <w:tab w:val="left" w:pos="2835"/>
        </w:tabs>
        <w:spacing w:after="0" w:line="240" w:lineRule="auto"/>
        <w:ind w:right="6003"/>
        <w:rPr>
          <w:rFonts w:ascii="Verdana" w:eastAsia="Calibri" w:hAnsi="Verdana" w:cs="Calibri"/>
          <w:sz w:val="20"/>
          <w:szCs w:val="20"/>
          <w:lang w:val="es-ES"/>
        </w:rPr>
      </w:pPr>
      <w:r w:rsidRPr="00AE2198">
        <w:rPr>
          <w:rFonts w:ascii="Verdana" w:eastAsia="Calibri" w:hAnsi="Verdana" w:cs="Calibri"/>
          <w:sz w:val="20"/>
          <w:szCs w:val="20"/>
          <w:lang w:val="es-ES"/>
        </w:rPr>
        <w:t>Pablo Saavedra Alessandri</w:t>
      </w:r>
    </w:p>
    <w:p w14:paraId="3C3341D8" w14:textId="77777777" w:rsidR="002B2DD3" w:rsidRPr="00AE2198" w:rsidRDefault="002B2DD3" w:rsidP="002B2DD3">
      <w:pPr>
        <w:tabs>
          <w:tab w:val="left" w:pos="567"/>
          <w:tab w:val="left" w:pos="2835"/>
        </w:tabs>
        <w:spacing w:after="0" w:line="240" w:lineRule="auto"/>
        <w:ind w:right="6003"/>
        <w:rPr>
          <w:rFonts w:ascii="Verdana" w:eastAsia="Calibri" w:hAnsi="Verdana" w:cs="Calibri"/>
          <w:sz w:val="20"/>
          <w:szCs w:val="20"/>
          <w:lang w:val="es-ES"/>
        </w:rPr>
      </w:pPr>
      <w:r>
        <w:rPr>
          <w:rFonts w:ascii="Verdana" w:eastAsia="Calibri" w:hAnsi="Verdana" w:cs="Calibri"/>
          <w:sz w:val="20"/>
          <w:szCs w:val="20"/>
          <w:lang w:val="es-ES"/>
        </w:rPr>
        <w:tab/>
        <w:t xml:space="preserve">  </w:t>
      </w:r>
      <w:r w:rsidRPr="00AE2198">
        <w:rPr>
          <w:rFonts w:ascii="Verdana" w:eastAsia="Calibri" w:hAnsi="Verdana" w:cs="Calibri"/>
          <w:sz w:val="20"/>
          <w:szCs w:val="20"/>
          <w:lang w:val="es-ES"/>
        </w:rPr>
        <w:t>Secretario</w:t>
      </w:r>
    </w:p>
    <w:p w14:paraId="3C3341D9" w14:textId="547FBAF4" w:rsidR="002B2DD3" w:rsidRPr="00AE2198" w:rsidRDefault="002B2DD3" w:rsidP="002B2DD3">
      <w:pPr>
        <w:tabs>
          <w:tab w:val="left" w:pos="567"/>
        </w:tabs>
        <w:spacing w:after="0" w:line="240" w:lineRule="auto"/>
        <w:jc w:val="both"/>
        <w:rPr>
          <w:rFonts w:ascii="Verdana" w:eastAsia="Calibri" w:hAnsi="Verdana" w:cs="Calibri"/>
          <w:sz w:val="20"/>
          <w:szCs w:val="20"/>
        </w:rPr>
      </w:pPr>
    </w:p>
    <w:p w14:paraId="2B3AB26E" w14:textId="77777777" w:rsidR="009616D8" w:rsidRDefault="009616D8" w:rsidP="002B2DD3">
      <w:pPr>
        <w:tabs>
          <w:tab w:val="left" w:pos="567"/>
        </w:tabs>
        <w:spacing w:after="0" w:line="240" w:lineRule="auto"/>
        <w:jc w:val="both"/>
        <w:rPr>
          <w:rFonts w:ascii="Verdana" w:eastAsia="Calibri" w:hAnsi="Verdana" w:cs="Calibri"/>
          <w:sz w:val="20"/>
          <w:szCs w:val="20"/>
        </w:rPr>
      </w:pPr>
    </w:p>
    <w:p w14:paraId="3C3341DA" w14:textId="582716B9" w:rsidR="002B2DD3" w:rsidRDefault="002B2DD3" w:rsidP="002B2DD3">
      <w:pPr>
        <w:tabs>
          <w:tab w:val="left" w:pos="567"/>
        </w:tabs>
        <w:spacing w:after="0" w:line="240" w:lineRule="auto"/>
        <w:jc w:val="both"/>
        <w:rPr>
          <w:rFonts w:ascii="Verdana" w:eastAsia="Calibri" w:hAnsi="Verdana" w:cs="Calibri"/>
          <w:sz w:val="20"/>
          <w:szCs w:val="20"/>
        </w:rPr>
      </w:pPr>
    </w:p>
    <w:p w14:paraId="13753C1D" w14:textId="77777777" w:rsidR="00A94C47" w:rsidRPr="00AE2198" w:rsidRDefault="00A94C47" w:rsidP="002B2DD3">
      <w:pPr>
        <w:tabs>
          <w:tab w:val="left" w:pos="567"/>
        </w:tabs>
        <w:spacing w:after="0" w:line="240" w:lineRule="auto"/>
        <w:jc w:val="both"/>
        <w:rPr>
          <w:rFonts w:ascii="Verdana" w:eastAsia="Calibri" w:hAnsi="Verdana" w:cs="Calibri"/>
          <w:sz w:val="20"/>
          <w:szCs w:val="20"/>
        </w:rPr>
      </w:pPr>
    </w:p>
    <w:p w14:paraId="3C3341DB" w14:textId="77777777" w:rsidR="002B2DD3" w:rsidRPr="00AE2198" w:rsidRDefault="002B2DD3" w:rsidP="002B2DD3">
      <w:pPr>
        <w:tabs>
          <w:tab w:val="left" w:pos="567"/>
        </w:tabs>
        <w:spacing w:after="0" w:line="240" w:lineRule="auto"/>
        <w:jc w:val="both"/>
        <w:rPr>
          <w:rFonts w:ascii="Verdana" w:eastAsia="Calibri" w:hAnsi="Verdana" w:cs="Calibri"/>
          <w:sz w:val="20"/>
          <w:szCs w:val="20"/>
        </w:rPr>
      </w:pPr>
    </w:p>
    <w:p w14:paraId="3C3341DC" w14:textId="6AC9B49D" w:rsidR="002B2DD3" w:rsidRPr="00AE2198" w:rsidRDefault="002B2DD3" w:rsidP="002B2DD3">
      <w:pPr>
        <w:tabs>
          <w:tab w:val="left" w:pos="567"/>
        </w:tabs>
        <w:spacing w:after="0" w:line="240" w:lineRule="auto"/>
        <w:jc w:val="both"/>
        <w:rPr>
          <w:rFonts w:ascii="Verdana" w:eastAsia="Calibri" w:hAnsi="Verdana" w:cs="Calibri"/>
          <w:noProof/>
          <w:sz w:val="20"/>
          <w:szCs w:val="20"/>
          <w:lang w:val="es-CR" w:eastAsia="es-CR"/>
        </w:rPr>
      </w:pPr>
      <w:r w:rsidRPr="00AE2198">
        <w:rPr>
          <w:rFonts w:ascii="Verdana" w:eastAsia="Calibri" w:hAnsi="Verdana" w:cs="Calibri"/>
          <w:sz w:val="20"/>
          <w:szCs w:val="20"/>
        </w:rPr>
        <w:t>Comuníquese y ejecútese,</w:t>
      </w:r>
      <w:r w:rsidRPr="00AE2198">
        <w:rPr>
          <w:rFonts w:ascii="Verdana" w:eastAsia="Calibri" w:hAnsi="Verdana" w:cs="Calibri"/>
          <w:noProof/>
          <w:sz w:val="20"/>
          <w:szCs w:val="20"/>
          <w:lang w:val="es-CR" w:eastAsia="es-CR"/>
        </w:rPr>
        <w:t xml:space="preserve"> </w:t>
      </w:r>
    </w:p>
    <w:p w14:paraId="3C3341DD" w14:textId="77777777" w:rsidR="002B2DD3" w:rsidRPr="00AE2198" w:rsidRDefault="002B2DD3" w:rsidP="002B2DD3">
      <w:pPr>
        <w:tabs>
          <w:tab w:val="left" w:pos="567"/>
        </w:tabs>
        <w:spacing w:after="0" w:line="240" w:lineRule="auto"/>
        <w:jc w:val="both"/>
        <w:rPr>
          <w:rFonts w:ascii="Verdana" w:eastAsia="Calibri" w:hAnsi="Verdana" w:cs="Calibri"/>
          <w:sz w:val="20"/>
          <w:szCs w:val="20"/>
        </w:rPr>
      </w:pPr>
    </w:p>
    <w:p w14:paraId="3C3341DE" w14:textId="77777777" w:rsidR="002B2DD3" w:rsidRDefault="002B2DD3" w:rsidP="002B2DD3">
      <w:pPr>
        <w:tabs>
          <w:tab w:val="left" w:pos="567"/>
        </w:tabs>
        <w:spacing w:after="0" w:line="240" w:lineRule="auto"/>
        <w:ind w:left="4536"/>
        <w:jc w:val="center"/>
        <w:rPr>
          <w:rFonts w:ascii="Verdana" w:eastAsia="Calibri" w:hAnsi="Verdana" w:cs="Calibri"/>
          <w:sz w:val="20"/>
          <w:szCs w:val="20"/>
          <w:lang w:val="pt-BR"/>
        </w:rPr>
      </w:pPr>
    </w:p>
    <w:p w14:paraId="138FD817" w14:textId="77777777" w:rsidR="00A94C47" w:rsidRDefault="00A94C47" w:rsidP="002B2DD3">
      <w:pPr>
        <w:tabs>
          <w:tab w:val="left" w:pos="567"/>
        </w:tabs>
        <w:spacing w:after="0" w:line="240" w:lineRule="auto"/>
        <w:ind w:left="4536"/>
        <w:jc w:val="center"/>
        <w:rPr>
          <w:rFonts w:ascii="Verdana" w:eastAsia="Calibri" w:hAnsi="Verdana" w:cs="Calibri"/>
          <w:sz w:val="20"/>
          <w:szCs w:val="20"/>
          <w:lang w:val="pt-BR"/>
        </w:rPr>
      </w:pPr>
    </w:p>
    <w:p w14:paraId="10619CA3" w14:textId="6E9F98FC" w:rsidR="00A94C47" w:rsidRDefault="00A94C47" w:rsidP="002B2DD3">
      <w:pPr>
        <w:tabs>
          <w:tab w:val="left" w:pos="567"/>
        </w:tabs>
        <w:spacing w:after="0" w:line="240" w:lineRule="auto"/>
        <w:ind w:left="4536"/>
        <w:jc w:val="center"/>
        <w:rPr>
          <w:rFonts w:ascii="Verdana" w:eastAsia="Calibri" w:hAnsi="Verdana" w:cs="Calibri"/>
          <w:sz w:val="20"/>
          <w:szCs w:val="20"/>
          <w:lang w:val="pt-BR"/>
        </w:rPr>
      </w:pPr>
    </w:p>
    <w:p w14:paraId="0BC2C820" w14:textId="77777777" w:rsidR="00A94C47" w:rsidRPr="00AE2198" w:rsidRDefault="00A94C47" w:rsidP="002B2DD3">
      <w:pPr>
        <w:tabs>
          <w:tab w:val="left" w:pos="567"/>
        </w:tabs>
        <w:spacing w:after="0" w:line="240" w:lineRule="auto"/>
        <w:ind w:left="4536"/>
        <w:jc w:val="center"/>
        <w:rPr>
          <w:rFonts w:ascii="Verdana" w:eastAsia="Calibri" w:hAnsi="Verdana" w:cs="Calibri"/>
          <w:sz w:val="20"/>
          <w:szCs w:val="20"/>
          <w:lang w:val="pt-BR"/>
        </w:rPr>
      </w:pPr>
    </w:p>
    <w:p w14:paraId="3C3341DF" w14:textId="77777777" w:rsidR="002B2DD3" w:rsidRPr="00FC7FFB" w:rsidRDefault="002B2DD3" w:rsidP="002B2DD3">
      <w:pPr>
        <w:tabs>
          <w:tab w:val="left" w:pos="567"/>
        </w:tabs>
        <w:spacing w:after="0" w:line="240" w:lineRule="auto"/>
        <w:ind w:left="4536"/>
        <w:jc w:val="center"/>
        <w:rPr>
          <w:rFonts w:ascii="Verdana" w:eastAsia="Calibri" w:hAnsi="Verdana" w:cs="Calibri"/>
          <w:sz w:val="20"/>
          <w:szCs w:val="20"/>
          <w:lang w:val="pt-BR"/>
        </w:rPr>
      </w:pPr>
      <w:r w:rsidRPr="00FC7FFB">
        <w:rPr>
          <w:rFonts w:ascii="Verdana" w:eastAsia="Calibri" w:hAnsi="Verdana" w:cs="Calibri"/>
          <w:sz w:val="20"/>
          <w:szCs w:val="20"/>
        </w:rPr>
        <w:t xml:space="preserve">Eduardo Ferrer Mac-Gregor </w:t>
      </w:r>
      <w:proofErr w:type="spellStart"/>
      <w:r w:rsidRPr="00FC7FFB">
        <w:rPr>
          <w:rFonts w:ascii="Verdana" w:eastAsia="Calibri" w:hAnsi="Verdana" w:cs="Calibri"/>
          <w:sz w:val="20"/>
          <w:szCs w:val="20"/>
        </w:rPr>
        <w:t>Poisot</w:t>
      </w:r>
      <w:proofErr w:type="spellEnd"/>
    </w:p>
    <w:p w14:paraId="3C3341E0" w14:textId="77777777" w:rsidR="002B2DD3" w:rsidRPr="00AE2198" w:rsidRDefault="002B2DD3" w:rsidP="002B2DD3">
      <w:pPr>
        <w:tabs>
          <w:tab w:val="left" w:pos="567"/>
        </w:tabs>
        <w:spacing w:after="0" w:line="240" w:lineRule="auto"/>
        <w:ind w:left="4536"/>
        <w:jc w:val="center"/>
        <w:rPr>
          <w:rFonts w:ascii="Verdana" w:eastAsia="Calibri" w:hAnsi="Verdana" w:cs="Calibri"/>
          <w:sz w:val="20"/>
          <w:szCs w:val="20"/>
        </w:rPr>
      </w:pPr>
      <w:r w:rsidRPr="00FC7FFB">
        <w:rPr>
          <w:rFonts w:ascii="Verdana" w:eastAsia="Calibri" w:hAnsi="Verdana" w:cs="Calibri"/>
          <w:sz w:val="20"/>
          <w:szCs w:val="20"/>
          <w:lang w:val="pt-BR"/>
        </w:rPr>
        <w:t xml:space="preserve">Presidente </w:t>
      </w:r>
    </w:p>
    <w:p w14:paraId="3C3341E1" w14:textId="77777777" w:rsidR="002B2DD3" w:rsidRDefault="002B2DD3" w:rsidP="002B2DD3">
      <w:pPr>
        <w:tabs>
          <w:tab w:val="left" w:pos="567"/>
        </w:tabs>
        <w:spacing w:after="0" w:line="240" w:lineRule="auto"/>
        <w:ind w:right="6003"/>
        <w:rPr>
          <w:rFonts w:ascii="Verdana" w:eastAsia="Calibri" w:hAnsi="Verdana" w:cs="Calibri"/>
          <w:sz w:val="20"/>
          <w:szCs w:val="20"/>
        </w:rPr>
      </w:pPr>
    </w:p>
    <w:p w14:paraId="05DBE398" w14:textId="77777777" w:rsidR="009616D8" w:rsidRDefault="009616D8" w:rsidP="002B2DD3">
      <w:pPr>
        <w:tabs>
          <w:tab w:val="left" w:pos="567"/>
        </w:tabs>
        <w:spacing w:after="0" w:line="240" w:lineRule="auto"/>
        <w:ind w:right="6003"/>
        <w:rPr>
          <w:rFonts w:ascii="Verdana" w:eastAsia="Calibri" w:hAnsi="Verdana" w:cs="Calibri"/>
          <w:sz w:val="20"/>
          <w:szCs w:val="20"/>
        </w:rPr>
      </w:pPr>
    </w:p>
    <w:p w14:paraId="5FB6EDD6" w14:textId="77777777" w:rsidR="009616D8" w:rsidRPr="00AE2198" w:rsidRDefault="009616D8" w:rsidP="002B2DD3">
      <w:pPr>
        <w:tabs>
          <w:tab w:val="left" w:pos="567"/>
        </w:tabs>
        <w:spacing w:after="0" w:line="240" w:lineRule="auto"/>
        <w:ind w:right="6003"/>
        <w:rPr>
          <w:rFonts w:ascii="Verdana" w:eastAsia="Calibri" w:hAnsi="Verdana" w:cs="Calibri"/>
          <w:sz w:val="20"/>
          <w:szCs w:val="20"/>
        </w:rPr>
      </w:pPr>
    </w:p>
    <w:p w14:paraId="3C3341E2" w14:textId="77777777" w:rsidR="002B2DD3" w:rsidRPr="00AE2198" w:rsidRDefault="002B2DD3" w:rsidP="002B2DD3">
      <w:pPr>
        <w:tabs>
          <w:tab w:val="left" w:pos="567"/>
        </w:tabs>
        <w:spacing w:after="0" w:line="240" w:lineRule="auto"/>
        <w:ind w:right="6003"/>
        <w:rPr>
          <w:rFonts w:ascii="Verdana" w:eastAsia="Calibri" w:hAnsi="Verdana" w:cs="Calibri"/>
          <w:sz w:val="20"/>
          <w:szCs w:val="20"/>
        </w:rPr>
      </w:pPr>
    </w:p>
    <w:p w14:paraId="3C3341E3" w14:textId="4D783356" w:rsidR="002B2DD3" w:rsidRPr="00AE2198" w:rsidRDefault="002B2DD3" w:rsidP="002B2DD3">
      <w:pPr>
        <w:tabs>
          <w:tab w:val="left" w:pos="567"/>
        </w:tabs>
        <w:spacing w:after="0" w:line="240" w:lineRule="auto"/>
        <w:ind w:right="6003"/>
        <w:rPr>
          <w:rFonts w:ascii="Verdana" w:eastAsia="Calibri" w:hAnsi="Verdana" w:cs="Calibri"/>
          <w:sz w:val="20"/>
          <w:szCs w:val="20"/>
        </w:rPr>
      </w:pPr>
    </w:p>
    <w:p w14:paraId="3C3341E4" w14:textId="77777777" w:rsidR="002B2DD3" w:rsidRPr="00AE2198" w:rsidRDefault="002B2DD3" w:rsidP="002B2DD3">
      <w:pPr>
        <w:tabs>
          <w:tab w:val="left" w:pos="567"/>
        </w:tabs>
        <w:spacing w:after="0" w:line="240" w:lineRule="auto"/>
        <w:ind w:right="6003"/>
        <w:rPr>
          <w:rFonts w:ascii="Verdana" w:eastAsia="Calibri" w:hAnsi="Verdana" w:cs="Calibri"/>
          <w:sz w:val="20"/>
          <w:szCs w:val="20"/>
        </w:rPr>
      </w:pPr>
      <w:r w:rsidRPr="00AE2198">
        <w:rPr>
          <w:rFonts w:ascii="Verdana" w:eastAsia="Calibri" w:hAnsi="Verdana" w:cs="Calibri"/>
          <w:sz w:val="20"/>
          <w:szCs w:val="20"/>
        </w:rPr>
        <w:t>Pablo Saavedra Alessandri</w:t>
      </w:r>
    </w:p>
    <w:p w14:paraId="3C3341E6" w14:textId="58AF175B" w:rsidR="002B2DD3" w:rsidRPr="002B2DD3" w:rsidRDefault="009616D8" w:rsidP="00645344">
      <w:pPr>
        <w:spacing w:after="0" w:line="240" w:lineRule="auto"/>
        <w:rPr>
          <w:b/>
          <w:szCs w:val="20"/>
          <w:lang w:val="es-CR"/>
        </w:rPr>
      </w:pPr>
      <w:r>
        <w:rPr>
          <w:rFonts w:ascii="Verdana" w:eastAsia="Calibri" w:hAnsi="Verdana" w:cs="Calibri"/>
          <w:sz w:val="20"/>
          <w:szCs w:val="20"/>
        </w:rPr>
        <w:t xml:space="preserve">         </w:t>
      </w:r>
      <w:r w:rsidR="001F5D4E" w:rsidRPr="00AE2198">
        <w:rPr>
          <w:rFonts w:ascii="Verdana" w:eastAsia="Calibri" w:hAnsi="Verdana" w:cs="Calibri"/>
          <w:sz w:val="20"/>
          <w:szCs w:val="20"/>
        </w:rPr>
        <w:t>Secretario</w:t>
      </w:r>
    </w:p>
    <w:sectPr w:rsidR="002B2DD3" w:rsidRPr="002B2DD3" w:rsidSect="00194B40">
      <w:headerReference w:type="default" r:id="rId11"/>
      <w:footerReference w:type="default" r:id="rId12"/>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C426B" w14:textId="77777777" w:rsidR="009616D8" w:rsidRDefault="009616D8" w:rsidP="001F1F9E">
      <w:pPr>
        <w:spacing w:after="0" w:line="240" w:lineRule="auto"/>
      </w:pPr>
      <w:r>
        <w:separator/>
      </w:r>
    </w:p>
  </w:endnote>
  <w:endnote w:type="continuationSeparator" w:id="0">
    <w:p w14:paraId="25B0D52D" w14:textId="77777777" w:rsidR="009616D8" w:rsidRDefault="009616D8" w:rsidP="001F1F9E">
      <w:pPr>
        <w:spacing w:after="0" w:line="240" w:lineRule="auto"/>
      </w:pPr>
      <w:r>
        <w:continuationSeparator/>
      </w:r>
    </w:p>
  </w:endnote>
  <w:endnote w:type="continuationNotice" w:id="1">
    <w:p w14:paraId="690001F0" w14:textId="77777777" w:rsidR="009616D8" w:rsidRDefault="009616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214961"/>
      <w:docPartObj>
        <w:docPartGallery w:val="Page Numbers (Bottom of Page)"/>
        <w:docPartUnique/>
      </w:docPartObj>
    </w:sdtPr>
    <w:sdtEndPr>
      <w:rPr>
        <w:noProof/>
      </w:rPr>
    </w:sdtEndPr>
    <w:sdtContent>
      <w:p w14:paraId="0245EEFC" w14:textId="35C409B8" w:rsidR="009616D8" w:rsidRDefault="009616D8" w:rsidP="009643C9">
        <w:pPr>
          <w:pStyle w:val="Piedepgina"/>
          <w:jc w:val="center"/>
        </w:pPr>
        <w:r>
          <w:fldChar w:fldCharType="begin"/>
        </w:r>
        <w:r>
          <w:instrText xml:space="preserve"> PAGE   \* MERGEFORMAT </w:instrText>
        </w:r>
        <w:r>
          <w:fldChar w:fldCharType="separate"/>
        </w:r>
        <w:r w:rsidR="009F7185">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641A6" w14:textId="77777777" w:rsidR="009616D8" w:rsidRDefault="009616D8" w:rsidP="001F1F9E">
      <w:pPr>
        <w:spacing w:after="0" w:line="240" w:lineRule="auto"/>
      </w:pPr>
      <w:r>
        <w:separator/>
      </w:r>
    </w:p>
  </w:footnote>
  <w:footnote w:type="continuationSeparator" w:id="0">
    <w:p w14:paraId="7D9DEA9A" w14:textId="77777777" w:rsidR="009616D8" w:rsidRDefault="009616D8" w:rsidP="001F1F9E">
      <w:pPr>
        <w:spacing w:after="0" w:line="240" w:lineRule="auto"/>
      </w:pPr>
      <w:r>
        <w:continuationSeparator/>
      </w:r>
    </w:p>
  </w:footnote>
  <w:footnote w:type="continuationNotice" w:id="1">
    <w:p w14:paraId="20E70A7B" w14:textId="77777777" w:rsidR="009616D8" w:rsidRDefault="009616D8">
      <w:pPr>
        <w:spacing w:after="0" w:line="240" w:lineRule="auto"/>
      </w:pPr>
    </w:p>
  </w:footnote>
  <w:footnote w:id="2">
    <w:p w14:paraId="692E1562" w14:textId="5ACD12FE" w:rsidR="009616D8" w:rsidRPr="00152381" w:rsidRDefault="009616D8" w:rsidP="00152381">
      <w:pPr>
        <w:pStyle w:val="Textonotapie"/>
        <w:jc w:val="both"/>
        <w:rPr>
          <w:rFonts w:ascii="Verdana" w:hAnsi="Verdana"/>
          <w:sz w:val="16"/>
          <w:szCs w:val="16"/>
          <w:lang w:val="es-CR"/>
        </w:rPr>
      </w:pPr>
      <w:r w:rsidRPr="00152381">
        <w:rPr>
          <w:rStyle w:val="Refdenotaalpie"/>
          <w:rFonts w:ascii="Verdana" w:hAnsi="Verdana"/>
          <w:sz w:val="16"/>
          <w:szCs w:val="16"/>
        </w:rPr>
        <w:footnoteRef/>
      </w:r>
      <w:r w:rsidRPr="00152381">
        <w:rPr>
          <w:rFonts w:ascii="Verdana" w:hAnsi="Verdana"/>
          <w:sz w:val="16"/>
          <w:szCs w:val="16"/>
        </w:rPr>
        <w:t xml:space="preserve"> </w:t>
      </w:r>
      <w:r w:rsidRPr="00152381">
        <w:rPr>
          <w:rFonts w:ascii="Verdana" w:hAnsi="Verdana"/>
          <w:i/>
          <w:iCs/>
          <w:sz w:val="16"/>
          <w:szCs w:val="16"/>
        </w:rPr>
        <w:t xml:space="preserve">Cfr. Caso Pacheco Tineo Vs. Bolivia. </w:t>
      </w:r>
      <w:r w:rsidRPr="00152381">
        <w:rPr>
          <w:rFonts w:ascii="Verdana" w:hAnsi="Verdana"/>
          <w:i/>
          <w:sz w:val="16"/>
          <w:szCs w:val="16"/>
        </w:rPr>
        <w:t>Convocatoria de audiencia</w:t>
      </w:r>
      <w:r w:rsidRPr="00152381">
        <w:rPr>
          <w:rFonts w:ascii="Verdana" w:hAnsi="Verdana"/>
          <w:sz w:val="16"/>
          <w:szCs w:val="16"/>
        </w:rPr>
        <w:t xml:space="preserve">. Resolución del Presidente de la Corte de 19 de febrero de 2013, Considerando 54, y </w:t>
      </w:r>
      <w:r w:rsidRPr="00152381">
        <w:rPr>
          <w:rFonts w:ascii="Verdana" w:hAnsi="Verdana"/>
          <w:i/>
          <w:iCs/>
          <w:sz w:val="16"/>
          <w:szCs w:val="16"/>
        </w:rPr>
        <w:t xml:space="preserve">Caso Ramírez Escobar y otros Vs. Guatemala. </w:t>
      </w:r>
      <w:r w:rsidRPr="00152381">
        <w:rPr>
          <w:rFonts w:ascii="Verdana" w:hAnsi="Verdana"/>
          <w:i/>
          <w:sz w:val="16"/>
          <w:szCs w:val="16"/>
        </w:rPr>
        <w:t>Convocatoria de audiencia.</w:t>
      </w:r>
      <w:r w:rsidRPr="00152381">
        <w:rPr>
          <w:rFonts w:ascii="Verdana" w:hAnsi="Verdana"/>
          <w:sz w:val="16"/>
          <w:szCs w:val="16"/>
        </w:rPr>
        <w:t xml:space="preserve"> Resolución del Presidente de la Corte de 11 de abril de 2017, Considerando 25, y </w:t>
      </w:r>
      <w:r w:rsidRPr="00152381">
        <w:rPr>
          <w:rFonts w:ascii="Verdana" w:hAnsi="Verdana"/>
          <w:i/>
          <w:sz w:val="16"/>
          <w:szCs w:val="16"/>
        </w:rPr>
        <w:t>Caso Selvas Gómez y otros vs. México</w:t>
      </w:r>
      <w:r w:rsidRPr="00152381">
        <w:rPr>
          <w:rFonts w:ascii="Verdana" w:hAnsi="Verdana"/>
          <w:sz w:val="16"/>
          <w:szCs w:val="16"/>
        </w:rPr>
        <w:t>, Considerando 11.</w:t>
      </w:r>
    </w:p>
  </w:footnote>
  <w:footnote w:id="3">
    <w:p w14:paraId="7A841B09" w14:textId="2F3B6E1E" w:rsidR="009616D8" w:rsidRPr="00152381" w:rsidRDefault="009616D8" w:rsidP="00152381">
      <w:pPr>
        <w:pStyle w:val="Textonotapie"/>
        <w:jc w:val="both"/>
        <w:rPr>
          <w:rFonts w:ascii="Verdana" w:hAnsi="Verdana"/>
          <w:sz w:val="16"/>
          <w:szCs w:val="16"/>
          <w:lang w:val="es-CR"/>
        </w:rPr>
      </w:pPr>
      <w:r w:rsidRPr="00152381">
        <w:rPr>
          <w:rStyle w:val="Refdenotaalpie"/>
          <w:rFonts w:ascii="Verdana" w:hAnsi="Verdana"/>
          <w:sz w:val="16"/>
          <w:szCs w:val="16"/>
        </w:rPr>
        <w:footnoteRef/>
      </w:r>
      <w:r w:rsidRPr="00152381">
        <w:rPr>
          <w:rFonts w:ascii="Verdana" w:hAnsi="Verdana"/>
          <w:sz w:val="16"/>
          <w:szCs w:val="16"/>
        </w:rPr>
        <w:t xml:space="preserve"> </w:t>
      </w:r>
      <w:r w:rsidRPr="00666DEB">
        <w:rPr>
          <w:rFonts w:ascii="Verdana" w:hAnsi="Verdana"/>
          <w:i/>
          <w:sz w:val="16"/>
          <w:szCs w:val="16"/>
        </w:rPr>
        <w:t xml:space="preserve">Cfr. </w:t>
      </w:r>
      <w:r w:rsidRPr="00152381">
        <w:rPr>
          <w:rFonts w:ascii="Verdana" w:hAnsi="Verdana"/>
          <w:i/>
          <w:sz w:val="16"/>
          <w:szCs w:val="16"/>
        </w:rPr>
        <w:t>Caso Oscar Muelle vs. Perú</w:t>
      </w:r>
      <w:r w:rsidRPr="00152381">
        <w:rPr>
          <w:rFonts w:ascii="Verdana" w:hAnsi="Verdana"/>
          <w:sz w:val="16"/>
          <w:szCs w:val="16"/>
        </w:rPr>
        <w:t>,</w:t>
      </w:r>
      <w:r>
        <w:rPr>
          <w:rFonts w:ascii="Verdana" w:hAnsi="Verdana"/>
          <w:sz w:val="16"/>
          <w:szCs w:val="16"/>
        </w:rPr>
        <w:t xml:space="preserve"> Resolución de Convocatoria.</w:t>
      </w:r>
      <w:r w:rsidRPr="00152381">
        <w:rPr>
          <w:rFonts w:ascii="Verdana" w:hAnsi="Verdana"/>
          <w:sz w:val="16"/>
          <w:szCs w:val="16"/>
        </w:rPr>
        <w:t xml:space="preserve"> Considerando 18</w:t>
      </w:r>
      <w:r>
        <w:rPr>
          <w:rFonts w:ascii="Verdana" w:hAnsi="Verdana"/>
          <w:sz w:val="16"/>
          <w:szCs w:val="16"/>
        </w:rPr>
        <w:t xml:space="preserve">. </w:t>
      </w:r>
    </w:p>
  </w:footnote>
  <w:footnote w:id="4">
    <w:p w14:paraId="1C8F311B" w14:textId="7321C7E8" w:rsidR="009616D8" w:rsidRPr="00152381" w:rsidRDefault="009616D8" w:rsidP="00152381">
      <w:pPr>
        <w:pStyle w:val="Textonotapie"/>
        <w:tabs>
          <w:tab w:val="left" w:pos="964"/>
        </w:tabs>
        <w:jc w:val="both"/>
        <w:rPr>
          <w:rFonts w:ascii="Verdana" w:hAnsi="Verdana"/>
          <w:sz w:val="16"/>
          <w:szCs w:val="16"/>
        </w:rPr>
      </w:pPr>
    </w:p>
  </w:footnote>
  <w:footnote w:id="5">
    <w:p w14:paraId="2096990D" w14:textId="77777777" w:rsidR="009616D8" w:rsidRPr="00152381" w:rsidRDefault="009616D8" w:rsidP="00152381">
      <w:pPr>
        <w:pStyle w:val="Textonotapie"/>
        <w:jc w:val="both"/>
        <w:rPr>
          <w:rFonts w:ascii="Verdana" w:hAnsi="Verdana"/>
          <w:sz w:val="16"/>
          <w:szCs w:val="16"/>
          <w:lang w:val="es-CR"/>
        </w:rPr>
      </w:pPr>
      <w:r w:rsidRPr="00152381">
        <w:rPr>
          <w:rStyle w:val="Refdenotaalpie"/>
          <w:rFonts w:ascii="Verdana" w:hAnsi="Verdana"/>
          <w:sz w:val="16"/>
          <w:szCs w:val="16"/>
        </w:rPr>
        <w:footnoteRef/>
      </w:r>
      <w:r w:rsidRPr="00152381">
        <w:rPr>
          <w:rFonts w:ascii="Verdana" w:hAnsi="Verdana"/>
          <w:sz w:val="16"/>
          <w:szCs w:val="16"/>
        </w:rPr>
        <w:t xml:space="preserve"> </w:t>
      </w:r>
      <w:r w:rsidRPr="00152381">
        <w:rPr>
          <w:rFonts w:ascii="Verdana" w:hAnsi="Verdana"/>
          <w:sz w:val="16"/>
          <w:szCs w:val="16"/>
          <w:lang w:val="es-CR"/>
        </w:rPr>
        <w:t xml:space="preserve">Reglamento de la Corte Interamericana de Derechos Humanos. Artículo 48. “Recusación de peritos”. Cfr. </w:t>
      </w:r>
      <w:hyperlink r:id="rId1" w:history="1">
        <w:r w:rsidRPr="00152381">
          <w:rPr>
            <w:rStyle w:val="Hipervnculo"/>
            <w:rFonts w:ascii="Verdana" w:hAnsi="Verdana"/>
            <w:sz w:val="16"/>
            <w:szCs w:val="16"/>
            <w:lang w:val="es-CR"/>
          </w:rPr>
          <w:t>http://www.corteidh.or.cr/sitios/reglamento/nov_2009_esp.pdf</w:t>
        </w:r>
      </w:hyperlink>
      <w:r w:rsidRPr="00152381">
        <w:rPr>
          <w:rFonts w:ascii="Verdana" w:hAnsi="Verdana"/>
          <w:sz w:val="16"/>
          <w:szCs w:val="16"/>
          <w:lang w:val="es-C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341ED" w14:textId="55DB70AB" w:rsidR="009616D8" w:rsidRPr="00645344" w:rsidRDefault="009616D8" w:rsidP="00645344">
    <w:pPr>
      <w:tabs>
        <w:tab w:val="center" w:pos="4680"/>
        <w:tab w:val="right" w:pos="9360"/>
      </w:tabs>
      <w:spacing w:after="0" w:line="240" w:lineRule="auto"/>
      <w:jc w:val="right"/>
      <w:rPr>
        <w:rFonts w:ascii="Verdana" w:eastAsia="MS Mincho" w:hAnsi="Verdana" w:cs="Times New Roman"/>
        <w:sz w:val="16"/>
        <w:szCs w:val="16"/>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BFF"/>
    <w:multiLevelType w:val="hybridMultilevel"/>
    <w:tmpl w:val="97FAF35E"/>
    <w:lvl w:ilvl="0" w:tplc="18DAB24A">
      <w:start w:val="1"/>
      <w:numFmt w:val="upperLetter"/>
      <w:lvlText w:val="%1."/>
      <w:lvlJc w:val="left"/>
      <w:pPr>
        <w:ind w:left="540" w:hanging="360"/>
      </w:pPr>
      <w:rPr>
        <w:rFonts w:hint="default"/>
        <w:b w:val="0"/>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07883FEC">
      <w:start w:val="1"/>
      <w:numFmt w:val="decimal"/>
      <w:lvlText w:val="%4."/>
      <w:lvlJc w:val="left"/>
      <w:pPr>
        <w:ind w:left="2880" w:hanging="360"/>
      </w:pPr>
      <w:rPr>
        <w:b w:val="0"/>
        <w:lang w:val="es-CR"/>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0F86540">
      <w:start w:val="1"/>
      <w:numFmt w:val="decimal"/>
      <w:lvlText w:val="%7."/>
      <w:lvlJc w:val="left"/>
      <w:pPr>
        <w:ind w:left="5040" w:hanging="360"/>
      </w:pPr>
      <w:rPr>
        <w:b w:val="0"/>
        <w:i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8B43A6"/>
    <w:multiLevelType w:val="hybridMultilevel"/>
    <w:tmpl w:val="D90C5068"/>
    <w:lvl w:ilvl="0" w:tplc="C9929494">
      <w:start w:val="1"/>
      <w:numFmt w:val="upperLetter"/>
      <w:lvlText w:val="%1."/>
      <w:lvlJc w:val="left"/>
      <w:pPr>
        <w:ind w:left="720" w:hanging="360"/>
      </w:pPr>
      <w:rPr>
        <w:rFonts w:ascii="Verdana" w:hAnsi="Verdana" w:cs="Verdana"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41099"/>
    <w:multiLevelType w:val="hybridMultilevel"/>
    <w:tmpl w:val="B0205CB4"/>
    <w:lvl w:ilvl="0" w:tplc="C5305820">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67DBF"/>
    <w:multiLevelType w:val="hybridMultilevel"/>
    <w:tmpl w:val="B130F204"/>
    <w:lvl w:ilvl="0" w:tplc="18DAB24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26834"/>
    <w:multiLevelType w:val="hybridMultilevel"/>
    <w:tmpl w:val="A034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239EE"/>
    <w:multiLevelType w:val="hybridMultilevel"/>
    <w:tmpl w:val="71F2EF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021B51"/>
    <w:multiLevelType w:val="hybridMultilevel"/>
    <w:tmpl w:val="A950E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B243B"/>
    <w:multiLevelType w:val="hybridMultilevel"/>
    <w:tmpl w:val="1092EF2C"/>
    <w:lvl w:ilvl="0" w:tplc="F91C66C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513B3"/>
    <w:multiLevelType w:val="hybridMultilevel"/>
    <w:tmpl w:val="3A902910"/>
    <w:lvl w:ilvl="0" w:tplc="8C72939C">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61F5B"/>
    <w:multiLevelType w:val="hybridMultilevel"/>
    <w:tmpl w:val="FA9A8022"/>
    <w:lvl w:ilvl="0" w:tplc="56C67320">
      <w:start w:val="13"/>
      <w:numFmt w:val="decimal"/>
      <w:lvlText w:val="%1."/>
      <w:lvlJc w:val="left"/>
      <w:pPr>
        <w:ind w:left="720" w:hanging="360"/>
      </w:pPr>
      <w:rPr>
        <w:rFonts w:eastAsia="Batang" w:cs="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82FA6"/>
    <w:multiLevelType w:val="hybridMultilevel"/>
    <w:tmpl w:val="3BD2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A63BB"/>
    <w:multiLevelType w:val="hybridMultilevel"/>
    <w:tmpl w:val="73B20AB6"/>
    <w:lvl w:ilvl="0" w:tplc="8F04FA5C">
      <w:start w:val="1"/>
      <w:numFmt w:val="decimal"/>
      <w:lvlText w:val="%1."/>
      <w:lvlJc w:val="left"/>
      <w:pPr>
        <w:ind w:left="927" w:hanging="360"/>
      </w:pPr>
      <w:rPr>
        <w:rFonts w:hint="default"/>
        <w:b w:val="0"/>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D3776DB"/>
    <w:multiLevelType w:val="multilevel"/>
    <w:tmpl w:val="07C46D78"/>
    <w:lvl w:ilvl="0">
      <w:start w:val="1"/>
      <w:numFmt w:val="upperLetter"/>
      <w:lvlText w:val="%1."/>
      <w:lvlJc w:val="left"/>
      <w:pPr>
        <w:ind w:left="540" w:hanging="360"/>
      </w:pPr>
      <w:rPr>
        <w:rFonts w:hint="default"/>
        <w:b w:val="0"/>
      </w:rPr>
    </w:lvl>
    <w:lvl w:ilvl="1">
      <w:start w:val="1"/>
      <w:numFmt w:val="decimal"/>
      <w:lvlText w:val="%2)"/>
      <w:lvlJc w:val="left"/>
      <w:pPr>
        <w:ind w:left="1440" w:hanging="360"/>
      </w:pPr>
      <w:rPr>
        <w:b/>
        <w:bCs/>
        <w:i w:val="0"/>
        <w:iCs w:val="0"/>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C57EBA"/>
    <w:multiLevelType w:val="hybridMultilevel"/>
    <w:tmpl w:val="A950E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7F3937"/>
    <w:multiLevelType w:val="multilevel"/>
    <w:tmpl w:val="07C46D78"/>
    <w:lvl w:ilvl="0">
      <w:start w:val="1"/>
      <w:numFmt w:val="upperLetter"/>
      <w:lvlText w:val="%1."/>
      <w:lvlJc w:val="left"/>
      <w:pPr>
        <w:ind w:left="540" w:hanging="360"/>
      </w:pPr>
      <w:rPr>
        <w:rFonts w:hint="default"/>
        <w:b w:val="0"/>
      </w:rPr>
    </w:lvl>
    <w:lvl w:ilvl="1">
      <w:start w:val="1"/>
      <w:numFmt w:val="decimal"/>
      <w:lvlText w:val="%2)"/>
      <w:lvlJc w:val="left"/>
      <w:pPr>
        <w:ind w:left="1440" w:hanging="360"/>
      </w:pPr>
      <w:rPr>
        <w:b/>
        <w:bCs/>
        <w:i w:val="0"/>
        <w:iCs w:val="0"/>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4619AD"/>
    <w:multiLevelType w:val="hybridMultilevel"/>
    <w:tmpl w:val="3418F686"/>
    <w:lvl w:ilvl="0" w:tplc="07468C26">
      <w:start w:val="3"/>
      <w:numFmt w:val="decimal"/>
      <w:lvlText w:val="%1."/>
      <w:lvlJc w:val="left"/>
      <w:pPr>
        <w:ind w:left="288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22D03"/>
    <w:multiLevelType w:val="hybridMultilevel"/>
    <w:tmpl w:val="8708B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3E6187"/>
    <w:multiLevelType w:val="hybridMultilevel"/>
    <w:tmpl w:val="94341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84291"/>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2A06622F"/>
    <w:multiLevelType w:val="hybridMultilevel"/>
    <w:tmpl w:val="DF7C18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780770"/>
    <w:multiLevelType w:val="hybridMultilevel"/>
    <w:tmpl w:val="98F2108C"/>
    <w:lvl w:ilvl="0" w:tplc="67E07D4A">
      <w:start w:val="1"/>
      <w:numFmt w:val="decimal"/>
      <w:lvlText w:val="%1."/>
      <w:lvlJc w:val="left"/>
      <w:pPr>
        <w:ind w:left="720" w:hanging="720"/>
      </w:pPr>
      <w:rPr>
        <w:rFonts w:hint="default"/>
        <w:b w:val="0"/>
        <w:i w:val="0"/>
        <w:color w:val="auto"/>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7340A0"/>
    <w:multiLevelType w:val="multilevel"/>
    <w:tmpl w:val="0409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2" w15:restartNumberingAfterBreak="0">
    <w:nsid w:val="3A923957"/>
    <w:multiLevelType w:val="hybridMultilevel"/>
    <w:tmpl w:val="0B5C18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31687E"/>
    <w:multiLevelType w:val="hybridMultilevel"/>
    <w:tmpl w:val="F312A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B41001"/>
    <w:multiLevelType w:val="hybridMultilevel"/>
    <w:tmpl w:val="F392C8E6"/>
    <w:lvl w:ilvl="0" w:tplc="A202AD82">
      <w:start w:val="13"/>
      <w:numFmt w:val="decimal"/>
      <w:lvlText w:val="%1."/>
      <w:lvlJc w:val="left"/>
      <w:pPr>
        <w:ind w:left="720" w:hanging="360"/>
      </w:pPr>
      <w:rPr>
        <w:rFonts w:eastAsia="Batang" w:cs="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675C7C"/>
    <w:multiLevelType w:val="hybridMultilevel"/>
    <w:tmpl w:val="B004267A"/>
    <w:lvl w:ilvl="0" w:tplc="C0F86540">
      <w:start w:val="1"/>
      <w:numFmt w:val="decimal"/>
      <w:lvlText w:val="%1."/>
      <w:lvlJc w:val="left"/>
      <w:pPr>
        <w:ind w:left="50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194D90"/>
    <w:multiLevelType w:val="hybridMultilevel"/>
    <w:tmpl w:val="1FA45AAE"/>
    <w:lvl w:ilvl="0" w:tplc="774E4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41229D"/>
    <w:multiLevelType w:val="hybridMultilevel"/>
    <w:tmpl w:val="35C0753A"/>
    <w:lvl w:ilvl="0" w:tplc="0409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53423BA"/>
    <w:multiLevelType w:val="hybridMultilevel"/>
    <w:tmpl w:val="F7AC03AA"/>
    <w:lvl w:ilvl="0" w:tplc="08308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4F359D"/>
    <w:multiLevelType w:val="hybridMultilevel"/>
    <w:tmpl w:val="89E0DA48"/>
    <w:lvl w:ilvl="0" w:tplc="87CE6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AB4D9E"/>
    <w:multiLevelType w:val="hybridMultilevel"/>
    <w:tmpl w:val="D2D26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761C29"/>
    <w:multiLevelType w:val="hybridMultilevel"/>
    <w:tmpl w:val="270C5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B26483"/>
    <w:multiLevelType w:val="hybridMultilevel"/>
    <w:tmpl w:val="391C5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C83BF6"/>
    <w:multiLevelType w:val="hybridMultilevel"/>
    <w:tmpl w:val="9EDCEB72"/>
    <w:lvl w:ilvl="0" w:tplc="0D802714">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4E7942A9"/>
    <w:multiLevelType w:val="hybridMultilevel"/>
    <w:tmpl w:val="02EC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455BB7"/>
    <w:multiLevelType w:val="hybridMultilevel"/>
    <w:tmpl w:val="8D463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C86DE0"/>
    <w:multiLevelType w:val="hybridMultilevel"/>
    <w:tmpl w:val="9B1AA192"/>
    <w:lvl w:ilvl="0" w:tplc="C9929494">
      <w:start w:val="1"/>
      <w:numFmt w:val="upperLetter"/>
      <w:lvlText w:val="%1."/>
      <w:lvlJc w:val="left"/>
      <w:pPr>
        <w:ind w:left="720" w:hanging="360"/>
      </w:pPr>
      <w:rPr>
        <w:rFonts w:ascii="Verdana" w:hAnsi="Verdana" w:cs="Verdana"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C97D24"/>
    <w:multiLevelType w:val="hybridMultilevel"/>
    <w:tmpl w:val="5A5621D2"/>
    <w:lvl w:ilvl="0" w:tplc="8F04FA5C">
      <w:start w:val="1"/>
      <w:numFmt w:val="decimal"/>
      <w:lvlText w:val="%1."/>
      <w:lvlJc w:val="left"/>
      <w:pPr>
        <w:ind w:left="1080" w:hanging="720"/>
      </w:pPr>
      <w:rPr>
        <w:rFonts w:hint="default"/>
        <w:b w:val="0"/>
        <w:i w:val="0"/>
      </w:rPr>
    </w:lvl>
    <w:lvl w:ilvl="1" w:tplc="B08C5A9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B13550"/>
    <w:multiLevelType w:val="hybridMultilevel"/>
    <w:tmpl w:val="AADAF06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6CF551D9"/>
    <w:multiLevelType w:val="hybridMultilevel"/>
    <w:tmpl w:val="403A6638"/>
    <w:lvl w:ilvl="0" w:tplc="F6E65D6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07C39"/>
    <w:multiLevelType w:val="hybridMultilevel"/>
    <w:tmpl w:val="A950E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2384E"/>
    <w:multiLevelType w:val="hybridMultilevel"/>
    <w:tmpl w:val="78BC496E"/>
    <w:lvl w:ilvl="0" w:tplc="8612E690">
      <w:start w:val="1"/>
      <w:numFmt w:val="decimal"/>
      <w:lvlText w:val="%1."/>
      <w:lvlJc w:val="left"/>
      <w:pPr>
        <w:ind w:left="644" w:hanging="360"/>
      </w:pPr>
      <w:rPr>
        <w:b w:val="0"/>
        <w:i w:val="0"/>
        <w:color w:val="auto"/>
      </w:rPr>
    </w:lvl>
    <w:lvl w:ilvl="1" w:tplc="340A0017">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54E0652"/>
    <w:multiLevelType w:val="hybridMultilevel"/>
    <w:tmpl w:val="73200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F94A70"/>
    <w:multiLevelType w:val="hybridMultilevel"/>
    <w:tmpl w:val="7232830E"/>
    <w:lvl w:ilvl="0" w:tplc="D452DA12">
      <w:start w:val="1"/>
      <w:numFmt w:val="decimal"/>
      <w:lvlText w:val="%1."/>
      <w:lvlJc w:val="left"/>
      <w:pPr>
        <w:ind w:left="1440" w:hanging="360"/>
      </w:pPr>
      <w:rPr>
        <w:rFonts w:asciiTheme="minorHAnsi" w:hAnsiTheme="minorHAns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D7C4A35"/>
    <w:multiLevelType w:val="hybridMultilevel"/>
    <w:tmpl w:val="D90C5068"/>
    <w:lvl w:ilvl="0" w:tplc="C9929494">
      <w:start w:val="1"/>
      <w:numFmt w:val="upperLetter"/>
      <w:lvlText w:val="%1."/>
      <w:lvlJc w:val="left"/>
      <w:pPr>
        <w:ind w:left="720" w:hanging="360"/>
      </w:pPr>
      <w:rPr>
        <w:rFonts w:ascii="Verdana" w:hAnsi="Verdana" w:cs="Verdana"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7F1344"/>
    <w:multiLevelType w:val="hybridMultilevel"/>
    <w:tmpl w:val="963AA60A"/>
    <w:lvl w:ilvl="0" w:tplc="18DAB24A">
      <w:start w:val="1"/>
      <w:numFmt w:val="upperLetter"/>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0"/>
  </w:num>
  <w:num w:numId="3">
    <w:abstractNumId w:val="17"/>
  </w:num>
  <w:num w:numId="4">
    <w:abstractNumId w:val="2"/>
  </w:num>
  <w:num w:numId="5">
    <w:abstractNumId w:val="0"/>
  </w:num>
  <w:num w:numId="6">
    <w:abstractNumId w:val="1"/>
  </w:num>
  <w:num w:numId="7">
    <w:abstractNumId w:val="27"/>
  </w:num>
  <w:num w:numId="8">
    <w:abstractNumId w:val="42"/>
  </w:num>
  <w:num w:numId="9">
    <w:abstractNumId w:val="33"/>
  </w:num>
  <w:num w:numId="10">
    <w:abstractNumId w:val="45"/>
  </w:num>
  <w:num w:numId="11">
    <w:abstractNumId w:val="23"/>
  </w:num>
  <w:num w:numId="12">
    <w:abstractNumId w:val="4"/>
  </w:num>
  <w:num w:numId="13">
    <w:abstractNumId w:val="3"/>
  </w:num>
  <w:num w:numId="14">
    <w:abstractNumId w:val="18"/>
  </w:num>
  <w:num w:numId="15">
    <w:abstractNumId w:val="21"/>
  </w:num>
  <w:num w:numId="16">
    <w:abstractNumId w:val="40"/>
  </w:num>
  <w:num w:numId="17">
    <w:abstractNumId w:val="10"/>
  </w:num>
  <w:num w:numId="18">
    <w:abstractNumId w:val="36"/>
  </w:num>
  <w:num w:numId="19">
    <w:abstractNumId w:val="44"/>
  </w:num>
  <w:num w:numId="20">
    <w:abstractNumId w:val="14"/>
  </w:num>
  <w:num w:numId="21">
    <w:abstractNumId w:val="34"/>
  </w:num>
  <w:num w:numId="22">
    <w:abstractNumId w:val="39"/>
  </w:num>
  <w:num w:numId="23">
    <w:abstractNumId w:val="16"/>
  </w:num>
  <w:num w:numId="24">
    <w:abstractNumId w:val="38"/>
  </w:num>
  <w:num w:numId="25">
    <w:abstractNumId w:val="32"/>
  </w:num>
  <w:num w:numId="26">
    <w:abstractNumId w:val="35"/>
  </w:num>
  <w:num w:numId="27">
    <w:abstractNumId w:val="11"/>
  </w:num>
  <w:num w:numId="28">
    <w:abstractNumId w:val="6"/>
  </w:num>
  <w:num w:numId="29">
    <w:abstractNumId w:val="13"/>
  </w:num>
  <w:num w:numId="30">
    <w:abstractNumId w:val="25"/>
  </w:num>
  <w:num w:numId="31">
    <w:abstractNumId w:val="43"/>
  </w:num>
  <w:num w:numId="32">
    <w:abstractNumId w:val="28"/>
  </w:num>
  <w:num w:numId="33">
    <w:abstractNumId w:val="8"/>
  </w:num>
  <w:num w:numId="34">
    <w:abstractNumId w:val="7"/>
  </w:num>
  <w:num w:numId="35">
    <w:abstractNumId w:val="41"/>
  </w:num>
  <w:num w:numId="36">
    <w:abstractNumId w:val="15"/>
  </w:num>
  <w:num w:numId="37">
    <w:abstractNumId w:val="26"/>
  </w:num>
  <w:num w:numId="38">
    <w:abstractNumId w:val="22"/>
  </w:num>
  <w:num w:numId="39">
    <w:abstractNumId w:val="29"/>
  </w:num>
  <w:num w:numId="40">
    <w:abstractNumId w:val="19"/>
  </w:num>
  <w:num w:numId="41">
    <w:abstractNumId w:val="30"/>
  </w:num>
  <w:num w:numId="42">
    <w:abstractNumId w:val="12"/>
  </w:num>
  <w:num w:numId="43">
    <w:abstractNumId w:val="5"/>
  </w:num>
  <w:num w:numId="44">
    <w:abstractNumId w:val="31"/>
  </w:num>
  <w:num w:numId="45">
    <w:abstractNumId w:val="2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R" w:vendorID="64" w:dllVersion="6" w:nlCheck="1" w:checkStyle="1"/>
  <w:activeWritingStyle w:appName="MSWord" w:lang="es-ES_tradnl" w:vendorID="64" w:dllVersion="6" w:nlCheck="1" w:checkStyle="1"/>
  <w:activeWritingStyle w:appName="MSWord" w:lang="es-CL" w:vendorID="64" w:dllVersion="6" w:nlCheck="1" w:checkStyle="1"/>
  <w:activeWritingStyle w:appName="MSWord" w:lang="en-US" w:vendorID="64" w:dllVersion="6" w:nlCheck="1" w:checkStyle="1"/>
  <w:activeWritingStyle w:appName="MSWord" w:lang="es-CR" w:vendorID="64" w:dllVersion="4096" w:nlCheck="1" w:checkStyle="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C6"/>
    <w:rsid w:val="000150E5"/>
    <w:rsid w:val="00042E76"/>
    <w:rsid w:val="00043BDA"/>
    <w:rsid w:val="00052570"/>
    <w:rsid w:val="00056DF9"/>
    <w:rsid w:val="000623E6"/>
    <w:rsid w:val="000666ED"/>
    <w:rsid w:val="00074F3F"/>
    <w:rsid w:val="000777D9"/>
    <w:rsid w:val="00081AB5"/>
    <w:rsid w:val="000A01FA"/>
    <w:rsid w:val="000A18A1"/>
    <w:rsid w:val="000C0B20"/>
    <w:rsid w:val="000C4941"/>
    <w:rsid w:val="00110647"/>
    <w:rsid w:val="00110E4B"/>
    <w:rsid w:val="001325F6"/>
    <w:rsid w:val="00151837"/>
    <w:rsid w:val="00152381"/>
    <w:rsid w:val="00192A4A"/>
    <w:rsid w:val="00194B40"/>
    <w:rsid w:val="00195FE9"/>
    <w:rsid w:val="001A488E"/>
    <w:rsid w:val="001C7E42"/>
    <w:rsid w:val="001D2951"/>
    <w:rsid w:val="001E66A7"/>
    <w:rsid w:val="001F182D"/>
    <w:rsid w:val="001F1F9E"/>
    <w:rsid w:val="001F5D4E"/>
    <w:rsid w:val="001F7CE7"/>
    <w:rsid w:val="0022310E"/>
    <w:rsid w:val="00240C32"/>
    <w:rsid w:val="00245D13"/>
    <w:rsid w:val="0024743E"/>
    <w:rsid w:val="002639AC"/>
    <w:rsid w:val="00266EF5"/>
    <w:rsid w:val="002673FD"/>
    <w:rsid w:val="00290BBD"/>
    <w:rsid w:val="002B2DD3"/>
    <w:rsid w:val="002B3071"/>
    <w:rsid w:val="002D4B52"/>
    <w:rsid w:val="002F6CAF"/>
    <w:rsid w:val="003121CD"/>
    <w:rsid w:val="003133CA"/>
    <w:rsid w:val="0032551C"/>
    <w:rsid w:val="003442E1"/>
    <w:rsid w:val="003768A9"/>
    <w:rsid w:val="00382866"/>
    <w:rsid w:val="003866F2"/>
    <w:rsid w:val="003A6A45"/>
    <w:rsid w:val="003C41DF"/>
    <w:rsid w:val="003C6E7F"/>
    <w:rsid w:val="003D7FC8"/>
    <w:rsid w:val="004007BE"/>
    <w:rsid w:val="0042009B"/>
    <w:rsid w:val="00457634"/>
    <w:rsid w:val="00481999"/>
    <w:rsid w:val="0049251E"/>
    <w:rsid w:val="0049686A"/>
    <w:rsid w:val="004B245E"/>
    <w:rsid w:val="004B731E"/>
    <w:rsid w:val="004D7234"/>
    <w:rsid w:val="004F1CD1"/>
    <w:rsid w:val="0052029D"/>
    <w:rsid w:val="005233DF"/>
    <w:rsid w:val="005464F7"/>
    <w:rsid w:val="00556E99"/>
    <w:rsid w:val="0058599B"/>
    <w:rsid w:val="0058765C"/>
    <w:rsid w:val="00590EA1"/>
    <w:rsid w:val="005962A3"/>
    <w:rsid w:val="005B2812"/>
    <w:rsid w:val="005B3D95"/>
    <w:rsid w:val="005D4718"/>
    <w:rsid w:val="005E046B"/>
    <w:rsid w:val="005F6CE1"/>
    <w:rsid w:val="005F74AD"/>
    <w:rsid w:val="005F780F"/>
    <w:rsid w:val="00601338"/>
    <w:rsid w:val="0063204B"/>
    <w:rsid w:val="0063699C"/>
    <w:rsid w:val="00641FD6"/>
    <w:rsid w:val="00645344"/>
    <w:rsid w:val="00647DB2"/>
    <w:rsid w:val="006505CB"/>
    <w:rsid w:val="00666DEB"/>
    <w:rsid w:val="00680F99"/>
    <w:rsid w:val="0068418C"/>
    <w:rsid w:val="0068688F"/>
    <w:rsid w:val="00686C9A"/>
    <w:rsid w:val="00692938"/>
    <w:rsid w:val="00697B62"/>
    <w:rsid w:val="006A45C1"/>
    <w:rsid w:val="006B49E4"/>
    <w:rsid w:val="006D6E80"/>
    <w:rsid w:val="006E347D"/>
    <w:rsid w:val="00705753"/>
    <w:rsid w:val="00712267"/>
    <w:rsid w:val="007165B2"/>
    <w:rsid w:val="00720EBA"/>
    <w:rsid w:val="00723BEC"/>
    <w:rsid w:val="00746EDC"/>
    <w:rsid w:val="0076165D"/>
    <w:rsid w:val="00761749"/>
    <w:rsid w:val="007B5EBF"/>
    <w:rsid w:val="007C561E"/>
    <w:rsid w:val="007D7533"/>
    <w:rsid w:val="0082349E"/>
    <w:rsid w:val="00831989"/>
    <w:rsid w:val="00831FA3"/>
    <w:rsid w:val="0083561A"/>
    <w:rsid w:val="00861F79"/>
    <w:rsid w:val="008A0306"/>
    <w:rsid w:val="008A058B"/>
    <w:rsid w:val="008C1810"/>
    <w:rsid w:val="008C5735"/>
    <w:rsid w:val="008D2412"/>
    <w:rsid w:val="008D382E"/>
    <w:rsid w:val="008D6058"/>
    <w:rsid w:val="008E3E2D"/>
    <w:rsid w:val="008E4856"/>
    <w:rsid w:val="00901331"/>
    <w:rsid w:val="0091395A"/>
    <w:rsid w:val="00926B64"/>
    <w:rsid w:val="00935995"/>
    <w:rsid w:val="009518C9"/>
    <w:rsid w:val="009616D8"/>
    <w:rsid w:val="00961D10"/>
    <w:rsid w:val="009643C9"/>
    <w:rsid w:val="00965386"/>
    <w:rsid w:val="00983938"/>
    <w:rsid w:val="00987B73"/>
    <w:rsid w:val="009936B9"/>
    <w:rsid w:val="009B1675"/>
    <w:rsid w:val="009B49F6"/>
    <w:rsid w:val="009B6BD2"/>
    <w:rsid w:val="009C67B0"/>
    <w:rsid w:val="009E63C6"/>
    <w:rsid w:val="009F7185"/>
    <w:rsid w:val="00A01F11"/>
    <w:rsid w:val="00A262CE"/>
    <w:rsid w:val="00A3188C"/>
    <w:rsid w:val="00A42CF3"/>
    <w:rsid w:val="00A53834"/>
    <w:rsid w:val="00A564A8"/>
    <w:rsid w:val="00A63BE2"/>
    <w:rsid w:val="00A75237"/>
    <w:rsid w:val="00A8361E"/>
    <w:rsid w:val="00A8401E"/>
    <w:rsid w:val="00A94C47"/>
    <w:rsid w:val="00AA2E4E"/>
    <w:rsid w:val="00AA6316"/>
    <w:rsid w:val="00AB526E"/>
    <w:rsid w:val="00AD2963"/>
    <w:rsid w:val="00AF6E93"/>
    <w:rsid w:val="00B01775"/>
    <w:rsid w:val="00B046A7"/>
    <w:rsid w:val="00B14D91"/>
    <w:rsid w:val="00B17C35"/>
    <w:rsid w:val="00B37299"/>
    <w:rsid w:val="00B475D2"/>
    <w:rsid w:val="00B558C2"/>
    <w:rsid w:val="00B63E1C"/>
    <w:rsid w:val="00B63FDB"/>
    <w:rsid w:val="00B747B9"/>
    <w:rsid w:val="00B955FB"/>
    <w:rsid w:val="00BA317B"/>
    <w:rsid w:val="00BB07E8"/>
    <w:rsid w:val="00BB4C91"/>
    <w:rsid w:val="00BC467D"/>
    <w:rsid w:val="00BD31C5"/>
    <w:rsid w:val="00BE4EE5"/>
    <w:rsid w:val="00C30FA7"/>
    <w:rsid w:val="00C37F19"/>
    <w:rsid w:val="00C54194"/>
    <w:rsid w:val="00C57A21"/>
    <w:rsid w:val="00C6652A"/>
    <w:rsid w:val="00C673AE"/>
    <w:rsid w:val="00C74DE3"/>
    <w:rsid w:val="00C75535"/>
    <w:rsid w:val="00C82B10"/>
    <w:rsid w:val="00C95DA6"/>
    <w:rsid w:val="00CB431F"/>
    <w:rsid w:val="00CC5C65"/>
    <w:rsid w:val="00CF0587"/>
    <w:rsid w:val="00D01AB0"/>
    <w:rsid w:val="00D131B4"/>
    <w:rsid w:val="00D35A70"/>
    <w:rsid w:val="00D36561"/>
    <w:rsid w:val="00D36F6E"/>
    <w:rsid w:val="00D608C6"/>
    <w:rsid w:val="00D63163"/>
    <w:rsid w:val="00D80476"/>
    <w:rsid w:val="00D87815"/>
    <w:rsid w:val="00D87E02"/>
    <w:rsid w:val="00D90749"/>
    <w:rsid w:val="00D94329"/>
    <w:rsid w:val="00DB2EDA"/>
    <w:rsid w:val="00DC4DBA"/>
    <w:rsid w:val="00DF0A09"/>
    <w:rsid w:val="00DF475C"/>
    <w:rsid w:val="00DF585C"/>
    <w:rsid w:val="00E00EC6"/>
    <w:rsid w:val="00E01C13"/>
    <w:rsid w:val="00E13594"/>
    <w:rsid w:val="00E541BB"/>
    <w:rsid w:val="00E85AE7"/>
    <w:rsid w:val="00E87499"/>
    <w:rsid w:val="00E93B2A"/>
    <w:rsid w:val="00E970CB"/>
    <w:rsid w:val="00ED2C5E"/>
    <w:rsid w:val="00ED7E4A"/>
    <w:rsid w:val="00EF23EC"/>
    <w:rsid w:val="00F10816"/>
    <w:rsid w:val="00F1424F"/>
    <w:rsid w:val="00F173CE"/>
    <w:rsid w:val="00F22EDD"/>
    <w:rsid w:val="00F32FA8"/>
    <w:rsid w:val="00F94748"/>
    <w:rsid w:val="00FA25B7"/>
    <w:rsid w:val="00FB546D"/>
    <w:rsid w:val="00FD6B8E"/>
    <w:rsid w:val="00FE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4127"/>
  <w15:docId w15:val="{AA6C2B8D-7F5B-4B02-9EF5-9845CBE9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F9E"/>
    <w:pPr>
      <w:spacing w:after="200" w:line="276" w:lineRule="auto"/>
    </w:pPr>
    <w:rPr>
      <w:rFonts w:eastAsia="Batang"/>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9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F1F9E"/>
  </w:style>
  <w:style w:type="paragraph" w:styleId="Piedepgina">
    <w:name w:val="footer"/>
    <w:basedOn w:val="Normal"/>
    <w:link w:val="PiedepginaCar"/>
    <w:uiPriority w:val="99"/>
    <w:unhideWhenUsed/>
    <w:rsid w:val="001F1F9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F1F9E"/>
  </w:style>
  <w:style w:type="paragraph" w:styleId="Prrafodelista">
    <w:name w:val="List Paragraph"/>
    <w:aliases w:val="Footnote,List Paragraph2,List Paragraph1,Lista vistosa - Énfasis 11"/>
    <w:basedOn w:val="Normal"/>
    <w:link w:val="PrrafodelistaCar"/>
    <w:uiPriority w:val="34"/>
    <w:qFormat/>
    <w:rsid w:val="00983938"/>
    <w:pPr>
      <w:spacing w:after="120" w:line="240" w:lineRule="auto"/>
      <w:ind w:left="720"/>
      <w:contextualSpacing/>
      <w:jc w:val="both"/>
    </w:pPr>
    <w:rPr>
      <w:rFonts w:ascii="Verdana" w:eastAsia="Calibri" w:hAnsi="Verdana" w:cs="Times"/>
      <w:sz w:val="20"/>
      <w:szCs w:val="24"/>
      <w:lang w:val="es-ES_tradnl" w:eastAsia="es-ES"/>
    </w:rPr>
  </w:style>
  <w:style w:type="character" w:customStyle="1" w:styleId="PrrafodelistaCar">
    <w:name w:val="Párrafo de lista Car"/>
    <w:aliases w:val="Footnote Car,List Paragraph2 Car,List Paragraph1 Car,Lista vistosa - Énfasis 11 Car"/>
    <w:link w:val="Prrafodelista"/>
    <w:uiPriority w:val="99"/>
    <w:locked/>
    <w:rsid w:val="00983938"/>
    <w:rPr>
      <w:rFonts w:ascii="Verdana" w:eastAsia="Calibri" w:hAnsi="Verdana" w:cs="Times"/>
      <w:sz w:val="20"/>
      <w:szCs w:val="24"/>
      <w:lang w:val="es-ES_tradnl" w:eastAsia="es-ES"/>
    </w:rPr>
  </w:style>
  <w:style w:type="character" w:styleId="Refdecomentario">
    <w:name w:val="annotation reference"/>
    <w:basedOn w:val="Fuentedeprrafopredeter"/>
    <w:uiPriority w:val="99"/>
    <w:semiHidden/>
    <w:unhideWhenUsed/>
    <w:rsid w:val="005F780F"/>
    <w:rPr>
      <w:sz w:val="16"/>
      <w:szCs w:val="16"/>
    </w:rPr>
  </w:style>
  <w:style w:type="paragraph" w:styleId="Textocomentario">
    <w:name w:val="annotation text"/>
    <w:basedOn w:val="Normal"/>
    <w:link w:val="TextocomentarioCar"/>
    <w:uiPriority w:val="99"/>
    <w:semiHidden/>
    <w:unhideWhenUsed/>
    <w:rsid w:val="005F780F"/>
    <w:pPr>
      <w:spacing w:line="240" w:lineRule="auto"/>
    </w:pPr>
    <w:rPr>
      <w:rFonts w:eastAsia="MS Mincho"/>
      <w:sz w:val="20"/>
      <w:szCs w:val="20"/>
    </w:rPr>
  </w:style>
  <w:style w:type="character" w:customStyle="1" w:styleId="TextocomentarioCar">
    <w:name w:val="Texto comentario Car"/>
    <w:basedOn w:val="Fuentedeprrafopredeter"/>
    <w:link w:val="Textocomentario"/>
    <w:uiPriority w:val="99"/>
    <w:semiHidden/>
    <w:rsid w:val="005F780F"/>
    <w:rPr>
      <w:rFonts w:eastAsia="MS Mincho"/>
      <w:sz w:val="20"/>
      <w:szCs w:val="20"/>
      <w:lang w:val="es-MX"/>
    </w:rPr>
  </w:style>
  <w:style w:type="paragraph" w:styleId="Textodeglobo">
    <w:name w:val="Balloon Text"/>
    <w:basedOn w:val="Normal"/>
    <w:link w:val="TextodegloboCar"/>
    <w:uiPriority w:val="99"/>
    <w:semiHidden/>
    <w:unhideWhenUsed/>
    <w:rsid w:val="005F78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780F"/>
    <w:rPr>
      <w:rFonts w:ascii="Segoe UI" w:eastAsia="Batang" w:hAnsi="Segoe UI" w:cs="Segoe UI"/>
      <w:sz w:val="18"/>
      <w:szCs w:val="18"/>
      <w:lang w:val="es-MX"/>
    </w:rPr>
  </w:style>
  <w:style w:type="paragraph" w:styleId="Textonotapie">
    <w:name w:val="footnote text"/>
    <w:basedOn w:val="Normal"/>
    <w:link w:val="TextonotapieCar"/>
    <w:uiPriority w:val="99"/>
    <w:semiHidden/>
    <w:unhideWhenUsed/>
    <w:rsid w:val="003133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33CA"/>
    <w:rPr>
      <w:rFonts w:eastAsia="Batang"/>
      <w:sz w:val="20"/>
      <w:szCs w:val="20"/>
      <w:lang w:val="es-MX"/>
    </w:rPr>
  </w:style>
  <w:style w:type="character" w:styleId="Refdenotaalpie">
    <w:name w:val="footnote reference"/>
    <w:basedOn w:val="Fuentedeprrafopredeter"/>
    <w:uiPriority w:val="99"/>
    <w:semiHidden/>
    <w:unhideWhenUsed/>
    <w:rsid w:val="003133CA"/>
    <w:rPr>
      <w:vertAlign w:val="superscript"/>
    </w:rPr>
  </w:style>
  <w:style w:type="character" w:styleId="Hipervnculo">
    <w:name w:val="Hyperlink"/>
    <w:basedOn w:val="Fuentedeprrafopredeter"/>
    <w:uiPriority w:val="99"/>
    <w:unhideWhenUsed/>
    <w:rsid w:val="003133CA"/>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746EDC"/>
    <w:rPr>
      <w:rFonts w:eastAsia="Batang"/>
      <w:b/>
      <w:bCs/>
    </w:rPr>
  </w:style>
  <w:style w:type="character" w:customStyle="1" w:styleId="AsuntodelcomentarioCar">
    <w:name w:val="Asunto del comentario Car"/>
    <w:basedOn w:val="TextocomentarioCar"/>
    <w:link w:val="Asuntodelcomentario"/>
    <w:uiPriority w:val="99"/>
    <w:semiHidden/>
    <w:rsid w:val="00746EDC"/>
    <w:rPr>
      <w:rFonts w:eastAsia="Batang"/>
      <w:b/>
      <w:bCs/>
      <w:sz w:val="20"/>
      <w:szCs w:val="20"/>
      <w:lang w:val="es-MX"/>
    </w:rPr>
  </w:style>
  <w:style w:type="paragraph" w:styleId="Revisin">
    <w:name w:val="Revision"/>
    <w:hidden/>
    <w:uiPriority w:val="99"/>
    <w:semiHidden/>
    <w:rsid w:val="008C5735"/>
    <w:pPr>
      <w:spacing w:after="0" w:line="240" w:lineRule="auto"/>
    </w:pPr>
    <w:rPr>
      <w:rFonts w:eastAsia="Batang"/>
      <w:lang w:val="es-MX"/>
    </w:rPr>
  </w:style>
  <w:style w:type="character" w:styleId="Hipervnculovisitado">
    <w:name w:val="FollowedHyperlink"/>
    <w:basedOn w:val="Fuentedeprrafopredeter"/>
    <w:uiPriority w:val="99"/>
    <w:semiHidden/>
    <w:unhideWhenUsed/>
    <w:rsid w:val="007B5E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sitios/reglamento/nov_2009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30988-E332-4AF2-B7D3-BDE4E8DD0DF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D668127-855D-49BE-9424-14F0337F1FF8}">
  <ds:schemaRefs>
    <ds:schemaRef ds:uri="http://schemas.microsoft.com/sharepoint/v3/contenttype/forms"/>
  </ds:schemaRefs>
</ds:datastoreItem>
</file>

<file path=customXml/itemProps3.xml><?xml version="1.0" encoding="utf-8"?>
<ds:datastoreItem xmlns:ds="http://schemas.openxmlformats.org/officeDocument/2006/customXml" ds:itemID="{FA8E5BC6-DAA5-4D16-AE53-0CD63AD22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8D94F48-C462-4A67-B25F-BEDC8E04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3834</Words>
  <Characters>21088</Characters>
  <Application>Microsoft Office Word</Application>
  <DocSecurity>4</DocSecurity>
  <Lines>175</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Mabel Fernandez</cp:lastModifiedBy>
  <cp:revision>2</cp:revision>
  <cp:lastPrinted>2019-03-22T22:03:00Z</cp:lastPrinted>
  <dcterms:created xsi:type="dcterms:W3CDTF">2019-03-22T22:48:00Z</dcterms:created>
  <dcterms:modified xsi:type="dcterms:W3CDTF">2019-03-22T22:48:00Z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