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84" w:rsidRDefault="002C7584" w:rsidP="00594851">
      <w:pPr>
        <w:tabs>
          <w:tab w:val="left" w:pos="567"/>
        </w:tabs>
        <w:jc w:val="center"/>
        <w:rPr>
          <w:rFonts w:eastAsiaTheme="minorHAnsi" w:cstheme="minorBidi"/>
          <w:b/>
          <w:szCs w:val="22"/>
          <w:lang w:val="es-MX"/>
        </w:rPr>
      </w:pPr>
      <w:bookmarkStart w:id="0" w:name="_GoBack"/>
      <w:bookmarkEnd w:id="0"/>
    </w:p>
    <w:p w:rsidR="005C5BB3" w:rsidRDefault="005C5BB3" w:rsidP="00594851">
      <w:pPr>
        <w:tabs>
          <w:tab w:val="left" w:pos="567"/>
        </w:tabs>
        <w:jc w:val="center"/>
        <w:rPr>
          <w:rFonts w:eastAsiaTheme="minorHAnsi" w:cstheme="minorBidi"/>
          <w:b/>
          <w:szCs w:val="22"/>
          <w:lang w:val="es-MX"/>
        </w:rPr>
      </w:pPr>
    </w:p>
    <w:p w:rsidR="005C5BB3" w:rsidRDefault="005C5BB3" w:rsidP="00594851">
      <w:pPr>
        <w:tabs>
          <w:tab w:val="left" w:pos="567"/>
        </w:tabs>
        <w:jc w:val="center"/>
        <w:rPr>
          <w:rFonts w:eastAsiaTheme="minorHAnsi" w:cstheme="minorBidi"/>
          <w:b/>
          <w:szCs w:val="22"/>
          <w:lang w:val="es-MX"/>
        </w:rPr>
      </w:pPr>
    </w:p>
    <w:p w:rsidR="005C5BB3" w:rsidRDefault="005C5BB3" w:rsidP="00594851">
      <w:pPr>
        <w:tabs>
          <w:tab w:val="left" w:pos="567"/>
        </w:tabs>
        <w:jc w:val="center"/>
        <w:rPr>
          <w:rFonts w:eastAsiaTheme="minorHAnsi" w:cstheme="minorBidi"/>
          <w:b/>
          <w:szCs w:val="22"/>
          <w:lang w:val="es-MX"/>
        </w:rPr>
      </w:pPr>
    </w:p>
    <w:p w:rsidR="00594851" w:rsidRPr="00CB6343" w:rsidRDefault="00594851" w:rsidP="00594851">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RESOLUCIÓN DE LA </w:t>
      </w:r>
    </w:p>
    <w:p w:rsidR="00AC7107" w:rsidRPr="00284EAE" w:rsidRDefault="00AC7107" w:rsidP="00AC7107">
      <w:pPr>
        <w:pStyle w:val="Title"/>
        <w:tabs>
          <w:tab w:val="left" w:pos="567"/>
        </w:tabs>
        <w:rPr>
          <w:spacing w:val="-4"/>
          <w:lang w:val="es-CR"/>
        </w:rPr>
      </w:pPr>
      <w:r w:rsidRPr="00284EAE">
        <w:rPr>
          <w:spacing w:val="-4"/>
          <w:lang w:val="es-CR"/>
        </w:rPr>
        <w:t>CORTE INTERAMERICANA DE DERECHOS HUMANOS</w:t>
      </w:r>
      <w:r w:rsidRPr="00284EAE">
        <w:rPr>
          <w:rStyle w:val="FootnoteReference"/>
          <w:spacing w:val="-4"/>
          <w:szCs w:val="20"/>
          <w:lang w:val="es-ES_tradnl"/>
        </w:rPr>
        <w:footnoteReference w:customMarkFollows="1" w:id="1"/>
        <w:t>*</w:t>
      </w:r>
    </w:p>
    <w:p w:rsidR="00594851" w:rsidRPr="00CB6343" w:rsidRDefault="00594851" w:rsidP="00594851">
      <w:pPr>
        <w:tabs>
          <w:tab w:val="left" w:pos="567"/>
        </w:tabs>
        <w:jc w:val="center"/>
        <w:rPr>
          <w:rFonts w:ascii="Garamond" w:eastAsiaTheme="minorHAnsi" w:hAnsi="Garamond" w:cstheme="minorBidi"/>
          <w:b/>
          <w:sz w:val="24"/>
          <w:szCs w:val="22"/>
          <w:lang w:val="es-ES_tradnl"/>
        </w:rPr>
      </w:pPr>
    </w:p>
    <w:p w:rsidR="00594851" w:rsidRPr="00CB6343" w:rsidRDefault="00594851" w:rsidP="00594851">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DE </w:t>
      </w:r>
      <w:r w:rsidR="00EB7C0F">
        <w:rPr>
          <w:rFonts w:eastAsiaTheme="minorHAnsi" w:cstheme="minorBidi"/>
          <w:b/>
          <w:szCs w:val="22"/>
          <w:lang w:val="es-GT"/>
        </w:rPr>
        <w:t>29</w:t>
      </w:r>
      <w:r>
        <w:rPr>
          <w:rFonts w:eastAsiaTheme="minorHAnsi" w:cstheme="minorBidi"/>
          <w:b/>
          <w:szCs w:val="22"/>
          <w:lang w:val="es-GT"/>
        </w:rPr>
        <w:t xml:space="preserve"> DE ENERO </w:t>
      </w:r>
      <w:r>
        <w:rPr>
          <w:rFonts w:eastAsiaTheme="minorHAnsi" w:cstheme="minorBidi"/>
          <w:b/>
          <w:szCs w:val="22"/>
          <w:lang w:val="es-MX"/>
        </w:rPr>
        <w:t>DE 2019</w:t>
      </w:r>
    </w:p>
    <w:p w:rsidR="00594851" w:rsidRPr="006A6717" w:rsidRDefault="00594851" w:rsidP="00594851">
      <w:pPr>
        <w:tabs>
          <w:tab w:val="left" w:pos="567"/>
          <w:tab w:val="left" w:pos="3709"/>
        </w:tabs>
        <w:rPr>
          <w:rFonts w:eastAsiaTheme="minorHAnsi" w:cstheme="minorBidi"/>
          <w:b/>
          <w:szCs w:val="22"/>
          <w:lang w:val="es-CR"/>
        </w:rPr>
      </w:pPr>
    </w:p>
    <w:p w:rsidR="00594851" w:rsidRPr="006A6717" w:rsidRDefault="00594851" w:rsidP="00594851">
      <w:pPr>
        <w:tabs>
          <w:tab w:val="left" w:pos="567"/>
        </w:tabs>
        <w:jc w:val="center"/>
        <w:rPr>
          <w:rFonts w:eastAsiaTheme="minorHAnsi" w:cstheme="minorBidi"/>
          <w:b/>
          <w:szCs w:val="22"/>
          <w:lang w:val="es-CR"/>
        </w:rPr>
      </w:pPr>
      <w:r w:rsidRPr="006A6717">
        <w:rPr>
          <w:rFonts w:eastAsiaTheme="minorHAnsi" w:cstheme="minorBidi"/>
          <w:b/>
          <w:szCs w:val="22"/>
          <w:lang w:val="es-CR"/>
        </w:rPr>
        <w:t>CASO ARROM SUHURT Y OTROS</w:t>
      </w:r>
      <w:r w:rsidR="007917BD">
        <w:rPr>
          <w:rFonts w:eastAsiaTheme="minorHAnsi" w:cstheme="minorBidi"/>
          <w:b/>
          <w:szCs w:val="22"/>
          <w:lang w:val="es-CR"/>
        </w:rPr>
        <w:t xml:space="preserve"> </w:t>
      </w:r>
      <w:r w:rsidR="007917BD" w:rsidRPr="007917BD">
        <w:rPr>
          <w:rFonts w:eastAsiaTheme="minorHAnsi" w:cstheme="minorBidi"/>
          <w:b/>
          <w:i/>
          <w:szCs w:val="22"/>
          <w:lang w:val="es-CR"/>
        </w:rPr>
        <w:t>VS.</w:t>
      </w:r>
      <w:r w:rsidR="007917BD">
        <w:rPr>
          <w:rFonts w:eastAsiaTheme="minorHAnsi" w:cstheme="minorBidi"/>
          <w:b/>
          <w:szCs w:val="22"/>
          <w:lang w:val="es-CR"/>
        </w:rPr>
        <w:t xml:space="preserve"> PARAGUAY</w:t>
      </w:r>
    </w:p>
    <w:p w:rsidR="00594851" w:rsidRPr="006A6717" w:rsidRDefault="00594851" w:rsidP="00594851">
      <w:pPr>
        <w:tabs>
          <w:tab w:val="left" w:pos="567"/>
        </w:tabs>
        <w:jc w:val="both"/>
        <w:rPr>
          <w:rFonts w:asciiTheme="minorHAnsi" w:eastAsiaTheme="minorHAnsi" w:hAnsiTheme="minorHAnsi" w:cstheme="minorBidi"/>
          <w:sz w:val="22"/>
          <w:szCs w:val="22"/>
          <w:lang w:val="es-CR"/>
        </w:rPr>
      </w:pPr>
    </w:p>
    <w:p w:rsidR="00594851" w:rsidRPr="006A6717" w:rsidRDefault="00594851" w:rsidP="00594851">
      <w:pPr>
        <w:tabs>
          <w:tab w:val="left" w:pos="567"/>
        </w:tabs>
        <w:jc w:val="both"/>
        <w:rPr>
          <w:rFonts w:asciiTheme="minorHAnsi" w:eastAsiaTheme="minorHAnsi" w:hAnsiTheme="minorHAnsi" w:cstheme="minorBidi"/>
          <w:sz w:val="22"/>
          <w:szCs w:val="22"/>
          <w:lang w:val="es-CR"/>
        </w:rPr>
      </w:pPr>
    </w:p>
    <w:p w:rsidR="00594851" w:rsidRPr="00CB6343" w:rsidRDefault="00594851" w:rsidP="00594851">
      <w:pPr>
        <w:tabs>
          <w:tab w:val="left" w:pos="567"/>
        </w:tabs>
        <w:jc w:val="both"/>
        <w:rPr>
          <w:rFonts w:eastAsiaTheme="minorHAnsi" w:cstheme="minorBidi"/>
          <w:b/>
          <w:szCs w:val="22"/>
          <w:lang w:val="es-MX"/>
        </w:rPr>
      </w:pPr>
      <w:r w:rsidRPr="00CB6343">
        <w:rPr>
          <w:rFonts w:eastAsiaTheme="minorHAnsi" w:cstheme="minorBidi"/>
          <w:b/>
          <w:szCs w:val="22"/>
          <w:lang w:val="es-MX"/>
        </w:rPr>
        <w:t>VISTO:</w:t>
      </w:r>
    </w:p>
    <w:p w:rsidR="00594851" w:rsidRPr="00CB6343" w:rsidRDefault="00594851" w:rsidP="00594851">
      <w:pPr>
        <w:tabs>
          <w:tab w:val="left" w:pos="567"/>
        </w:tabs>
        <w:jc w:val="both"/>
        <w:rPr>
          <w:rFonts w:eastAsiaTheme="minorHAnsi" w:cstheme="minorBidi"/>
          <w:b/>
          <w:szCs w:val="22"/>
          <w:lang w:val="es-MX"/>
        </w:rPr>
      </w:pPr>
    </w:p>
    <w:p w:rsidR="00594851" w:rsidRDefault="00594851" w:rsidP="00A809F1">
      <w:pPr>
        <w:pStyle w:val="Numberedparagraphs"/>
        <w:tabs>
          <w:tab w:val="left" w:pos="567"/>
        </w:tabs>
      </w:pPr>
      <w:r w:rsidRPr="00594851">
        <w:t>La Resolución del Presidente de la Corte Interamericana de Derechos Humanos (e</w:t>
      </w:r>
      <w:r w:rsidR="00B44465">
        <w:t>n adelante “el Presidente”) de 17 de diciembre</w:t>
      </w:r>
      <w:r w:rsidRPr="00594851">
        <w:t xml:space="preserve"> de 2018 (en adelante “la Resolución del Presidente”) mediante la cual, </w:t>
      </w:r>
      <w:r w:rsidRPr="00B44465">
        <w:rPr>
          <w:i/>
        </w:rPr>
        <w:t xml:space="preserve">inter </w:t>
      </w:r>
      <w:proofErr w:type="spellStart"/>
      <w:r w:rsidRPr="00B44465">
        <w:rPr>
          <w:i/>
        </w:rPr>
        <w:t>alia</w:t>
      </w:r>
      <w:proofErr w:type="spellEnd"/>
      <w:r w:rsidRPr="00594851">
        <w:t xml:space="preserve">, ordenó la recepción de diversas declaraciones en audiencia pública y mediante </w:t>
      </w:r>
      <w:r w:rsidRPr="00B44465">
        <w:rPr>
          <w:i/>
        </w:rPr>
        <w:t>affid</w:t>
      </w:r>
      <w:r w:rsidR="00A549D7">
        <w:rPr>
          <w:i/>
        </w:rPr>
        <w:t>a</w:t>
      </w:r>
      <w:r w:rsidRPr="00B44465">
        <w:rPr>
          <w:i/>
        </w:rPr>
        <w:t>vit</w:t>
      </w:r>
      <w:r w:rsidRPr="00594851">
        <w:t xml:space="preserve"> y convocó a la Comisión Interamericana de Derecho</w:t>
      </w:r>
      <w:r w:rsidR="00134713">
        <w:t>s Humanos (en adelante también</w:t>
      </w:r>
      <w:r w:rsidR="00314B3F">
        <w:t xml:space="preserve"> “la Comisión”), </w:t>
      </w:r>
      <w:r w:rsidRPr="00594851">
        <w:t>a</w:t>
      </w:r>
      <w:r w:rsidR="00314B3F">
        <w:t xml:space="preserve">l </w:t>
      </w:r>
      <w:r w:rsidR="001779B3">
        <w:t>representante</w:t>
      </w:r>
      <w:r w:rsidRPr="00594851">
        <w:t xml:space="preserve"> de las presuntas ví</w:t>
      </w:r>
      <w:r w:rsidR="001779B3">
        <w:t>ctimas (en adelante también “el representante</w:t>
      </w:r>
      <w:r w:rsidRPr="00594851">
        <w:t xml:space="preserve">”) y </w:t>
      </w:r>
      <w:r w:rsidR="00134713">
        <w:t>a la República del</w:t>
      </w:r>
      <w:r w:rsidRPr="00594851">
        <w:t xml:space="preserve"> </w:t>
      </w:r>
      <w:r w:rsidR="00B44465">
        <w:t>Paraguay</w:t>
      </w:r>
      <w:r w:rsidRPr="00594851">
        <w:t xml:space="preserve"> (en adelante “el Estado” o “</w:t>
      </w:r>
      <w:r w:rsidR="00B44465">
        <w:t>Paraguay</w:t>
      </w:r>
      <w:r w:rsidRPr="00594851">
        <w:t>”) a una aud</w:t>
      </w:r>
      <w:r w:rsidR="00B44465">
        <w:t>iencia pública a celebrarse el 7 de febrero de 2019</w:t>
      </w:r>
      <w:r w:rsidRPr="00594851">
        <w:t xml:space="preserve"> para recibir sus alegatos finales orales so</w:t>
      </w:r>
      <w:r w:rsidR="00B44465">
        <w:t>bre las excepciones preliminares,</w:t>
      </w:r>
      <w:r w:rsidRPr="00594851">
        <w:t xml:space="preserve"> </w:t>
      </w:r>
      <w:r w:rsidR="008D67EA">
        <w:t xml:space="preserve">y </w:t>
      </w:r>
      <w:r w:rsidRPr="00594851">
        <w:t>eventuales fondo, reparaciones y costas en el presente caso</w:t>
      </w:r>
      <w:r w:rsidR="008D67EA">
        <w:t>.</w:t>
      </w:r>
    </w:p>
    <w:p w:rsidR="00594851" w:rsidRPr="00AA5469" w:rsidRDefault="00594851" w:rsidP="00A809F1">
      <w:pPr>
        <w:pStyle w:val="Numberedparagraphs"/>
        <w:numPr>
          <w:ilvl w:val="0"/>
          <w:numId w:val="0"/>
        </w:numPr>
        <w:tabs>
          <w:tab w:val="left" w:pos="567"/>
        </w:tabs>
      </w:pPr>
    </w:p>
    <w:p w:rsidR="0030501A" w:rsidRDefault="00DA400F" w:rsidP="00A809F1">
      <w:pPr>
        <w:pStyle w:val="Numberedparagraphs"/>
        <w:tabs>
          <w:tab w:val="left" w:pos="567"/>
        </w:tabs>
      </w:pPr>
      <w:r>
        <w:t>El escrito</w:t>
      </w:r>
      <w:r w:rsidR="0030501A">
        <w:t xml:space="preserve"> de 2</w:t>
      </w:r>
      <w:r>
        <w:t xml:space="preserve">1 </w:t>
      </w:r>
      <w:r w:rsidR="0030501A">
        <w:t>de diciembre de 2018</w:t>
      </w:r>
      <w:r>
        <w:t>, mediante el cual</w:t>
      </w:r>
      <w:r w:rsidR="0030501A">
        <w:t xml:space="preserve"> el Estado de Paraguay </w:t>
      </w:r>
      <w:r w:rsidR="00134713">
        <w:t>presentó un</w:t>
      </w:r>
      <w:r w:rsidR="00AA35B4">
        <w:t xml:space="preserve"> “recurso de reconsideración</w:t>
      </w:r>
      <w:r w:rsidR="0030501A">
        <w:t xml:space="preserve"> </w:t>
      </w:r>
      <w:r w:rsidR="00AA35B4">
        <w:t xml:space="preserve">[…] </w:t>
      </w:r>
      <w:r w:rsidR="0030501A">
        <w:t>de conformidad con el artículo 31.2 del reglamento de la Corte IDH</w:t>
      </w:r>
      <w:r w:rsidR="00AA35B4">
        <w:t>” con</w:t>
      </w:r>
      <w:r w:rsidR="00FF64CE">
        <w:t>tra</w:t>
      </w:r>
      <w:r w:rsidR="00AA35B4">
        <w:t xml:space="preserve"> la resolución del Presidente de la Corte Interamericana de Derechos Humanos de 17 de diciembre de 2018</w:t>
      </w:r>
      <w:r>
        <w:t xml:space="preserve"> con la finalidad de</w:t>
      </w:r>
      <w:r w:rsidR="00FF64CE">
        <w:t xml:space="preserve"> “admitir la declaración de los testigos y peritos propuestos por el Estado </w:t>
      </w:r>
      <w:r w:rsidR="00134713">
        <w:t>[…]</w:t>
      </w:r>
      <w:r w:rsidR="00FF64CE">
        <w:t>de forma presencial en la sede de la Corte IDH [y] subsidiariamente […] admitir la declaración en audiencia en la sede de la Corte IDH del testigo Edgar Sánchez Caballero en virtud del</w:t>
      </w:r>
      <w:r w:rsidR="00134713">
        <w:t xml:space="preserve"> principio de igualdad de armas</w:t>
      </w:r>
      <w:r w:rsidR="00FF64CE">
        <w:t>”</w:t>
      </w:r>
      <w:r w:rsidR="00134713">
        <w:t>.</w:t>
      </w:r>
    </w:p>
    <w:p w:rsidR="00DA400F" w:rsidRPr="00134713" w:rsidRDefault="00DA400F" w:rsidP="00A809F1">
      <w:pPr>
        <w:tabs>
          <w:tab w:val="left" w:pos="567"/>
        </w:tabs>
        <w:rPr>
          <w:lang w:val="es-CR"/>
        </w:rPr>
      </w:pPr>
    </w:p>
    <w:p w:rsidR="00DA400F" w:rsidRDefault="00DA400F" w:rsidP="00A809F1">
      <w:pPr>
        <w:pStyle w:val="Numberedparagraphs"/>
        <w:tabs>
          <w:tab w:val="left" w:pos="567"/>
        </w:tabs>
      </w:pPr>
      <w:r>
        <w:t>El escrito de 28 de diciembre de 2018, mediante el cual el Estado</w:t>
      </w:r>
      <w:r w:rsidR="00FF64CE">
        <w:t xml:space="preserve"> </w:t>
      </w:r>
      <w:r w:rsidR="00134713">
        <w:t xml:space="preserve">modificó su solicitud. Al respecto señaló que </w:t>
      </w:r>
      <w:r w:rsidR="00FF64CE">
        <w:t xml:space="preserve">“renuncia </w:t>
      </w:r>
      <w:proofErr w:type="gramStart"/>
      <w:r w:rsidR="00FF64CE">
        <w:t>expresa[</w:t>
      </w:r>
      <w:proofErr w:type="gramEnd"/>
      <w:r w:rsidR="00FF64CE">
        <w:t xml:space="preserve">mente] […] a la </w:t>
      </w:r>
      <w:proofErr w:type="spellStart"/>
      <w:r w:rsidR="00FF64CE">
        <w:t>solicit</w:t>
      </w:r>
      <w:proofErr w:type="spellEnd"/>
      <w:r w:rsidR="00FF64CE">
        <w:t>[</w:t>
      </w:r>
      <w:proofErr w:type="spellStart"/>
      <w:r w:rsidR="00FF64CE">
        <w:t>ud</w:t>
      </w:r>
      <w:proofErr w:type="spellEnd"/>
      <w:r w:rsidR="00FF64CE">
        <w:t>] subsidiaria [de] admisión de la declaración en audiencia del testigo Edgar Sánchez Caballero. Ya que el Estado considera que deben admitirse la declaración oral de la totalidad de lo</w:t>
      </w:r>
      <w:r w:rsidR="009136EB">
        <w:t>s testigos y peritos propuestos</w:t>
      </w:r>
      <w:r w:rsidR="001E70F7">
        <w:t>”</w:t>
      </w:r>
      <w:r w:rsidR="009136EB">
        <w:t>.</w:t>
      </w:r>
      <w:r>
        <w:t xml:space="preserve"> </w:t>
      </w:r>
    </w:p>
    <w:p w:rsidR="001779B3" w:rsidRPr="001E70F7" w:rsidRDefault="001779B3" w:rsidP="00A809F1">
      <w:pPr>
        <w:tabs>
          <w:tab w:val="left" w:pos="567"/>
        </w:tabs>
        <w:rPr>
          <w:lang w:val="es-PE"/>
        </w:rPr>
      </w:pPr>
    </w:p>
    <w:p w:rsidR="00134713" w:rsidRDefault="00134713" w:rsidP="00A809F1">
      <w:pPr>
        <w:pStyle w:val="Numberedparagraphs"/>
        <w:tabs>
          <w:tab w:val="left" w:pos="567"/>
        </w:tabs>
      </w:pPr>
      <w:r>
        <w:t xml:space="preserve">Las comunicaciones de la Secretaría del Tribunal de </w:t>
      </w:r>
      <w:r w:rsidR="00A809F1">
        <w:t>10</w:t>
      </w:r>
      <w:r>
        <w:t xml:space="preserve"> de </w:t>
      </w:r>
      <w:r w:rsidR="00A809F1">
        <w:t>enero</w:t>
      </w:r>
      <w:r>
        <w:t xml:space="preserve"> de 201</w:t>
      </w:r>
      <w:r w:rsidR="00A809F1">
        <w:t>9</w:t>
      </w:r>
      <w:r>
        <w:t xml:space="preserve">, mediante las cuales, siguiendo instrucciones del Presidente de la Corte, otorgó plazo a la Comisión, </w:t>
      </w:r>
      <w:r w:rsidR="00A809F1">
        <w:t>y al representante</w:t>
      </w:r>
      <w:r>
        <w:t xml:space="preserve"> hasta el </w:t>
      </w:r>
      <w:r w:rsidR="00A809F1">
        <w:t xml:space="preserve">16 de enero de 2019 </w:t>
      </w:r>
      <w:r>
        <w:t>para que presentaran las observaciones</w:t>
      </w:r>
      <w:r w:rsidR="00A809F1">
        <w:t xml:space="preserve"> que estimaren pertinentes a la solicitud</w:t>
      </w:r>
      <w:r>
        <w:t xml:space="preserve"> de reconsideración.</w:t>
      </w:r>
    </w:p>
    <w:p w:rsidR="00134713" w:rsidRPr="001E70F7" w:rsidRDefault="00134713" w:rsidP="002C7584">
      <w:pPr>
        <w:pStyle w:val="FootnoteText"/>
        <w:tabs>
          <w:tab w:val="left" w:pos="567"/>
        </w:tabs>
        <w:rPr>
          <w:lang w:val="es-PE"/>
        </w:rPr>
      </w:pPr>
    </w:p>
    <w:p w:rsidR="001779B3" w:rsidRPr="0030501A" w:rsidRDefault="002C7584" w:rsidP="00A809F1">
      <w:pPr>
        <w:pStyle w:val="Numberedparagraphs"/>
        <w:tabs>
          <w:tab w:val="left" w:pos="567"/>
        </w:tabs>
      </w:pPr>
      <w:r w:rsidRPr="002C7584">
        <w:rPr>
          <w:lang w:val="es-CR"/>
        </w:rPr>
        <w:t>Los</w:t>
      </w:r>
      <w:r w:rsidR="001779B3">
        <w:t xml:space="preserve"> escrit</w:t>
      </w:r>
      <w:r>
        <w:t>os</w:t>
      </w:r>
      <w:r w:rsidR="001779B3">
        <w:t xml:space="preserve"> de 14 </w:t>
      </w:r>
      <w:r w:rsidR="00A809F1">
        <w:t xml:space="preserve">y 15 </w:t>
      </w:r>
      <w:r w:rsidR="001779B3">
        <w:t xml:space="preserve">de enero de 2019, mediante </w:t>
      </w:r>
      <w:r>
        <w:t xml:space="preserve">los </w:t>
      </w:r>
      <w:r w:rsidR="001779B3">
        <w:t>cual</w:t>
      </w:r>
      <w:r>
        <w:t>es</w:t>
      </w:r>
      <w:r w:rsidR="001779B3">
        <w:t xml:space="preserve"> el representante </w:t>
      </w:r>
      <w:r w:rsidR="00A809F1">
        <w:t>y la Comisión, respectivamente, presentaron sus observaciones a la solicitud de reconsideración.</w:t>
      </w:r>
    </w:p>
    <w:p w:rsidR="00594851" w:rsidRPr="005C5BB3" w:rsidRDefault="00594851" w:rsidP="00594851">
      <w:pPr>
        <w:pStyle w:val="Numberedparagraphs"/>
        <w:numPr>
          <w:ilvl w:val="0"/>
          <w:numId w:val="0"/>
        </w:numPr>
        <w:tabs>
          <w:tab w:val="left" w:pos="567"/>
        </w:tabs>
        <w:rPr>
          <w:lang w:val="es-VE"/>
        </w:rPr>
      </w:pPr>
    </w:p>
    <w:p w:rsidR="00594851" w:rsidRPr="00CB6343" w:rsidRDefault="00594851" w:rsidP="00594851">
      <w:pPr>
        <w:pStyle w:val="Numberedparagraphs"/>
        <w:numPr>
          <w:ilvl w:val="0"/>
          <w:numId w:val="0"/>
        </w:numPr>
        <w:tabs>
          <w:tab w:val="left" w:pos="567"/>
        </w:tabs>
        <w:rPr>
          <w:b/>
        </w:rPr>
      </w:pPr>
      <w:r>
        <w:rPr>
          <w:b/>
        </w:rPr>
        <w:t>CONSIDERANDO</w:t>
      </w:r>
      <w:r w:rsidR="002C7584">
        <w:rPr>
          <w:b/>
        </w:rPr>
        <w:t xml:space="preserve"> QUE</w:t>
      </w:r>
      <w:r w:rsidRPr="00CB6343">
        <w:rPr>
          <w:b/>
        </w:rPr>
        <w:t>:</w:t>
      </w:r>
    </w:p>
    <w:p w:rsidR="00594851" w:rsidRPr="00F27801" w:rsidRDefault="00594851" w:rsidP="00594851">
      <w:pPr>
        <w:spacing w:line="200" w:lineRule="exact"/>
        <w:rPr>
          <w:rFonts w:ascii="Times New Roman" w:hAnsi="Times New Roman"/>
          <w:lang w:val="es-PE"/>
        </w:rPr>
      </w:pPr>
    </w:p>
    <w:p w:rsidR="00F92895" w:rsidRPr="00F92895" w:rsidRDefault="001779B3" w:rsidP="005C5BB3">
      <w:pPr>
        <w:pStyle w:val="ListParagraph"/>
        <w:numPr>
          <w:ilvl w:val="0"/>
          <w:numId w:val="3"/>
        </w:numPr>
        <w:tabs>
          <w:tab w:val="left" w:pos="540"/>
        </w:tabs>
        <w:spacing w:after="0" w:line="246" w:lineRule="auto"/>
        <w:ind w:left="0" w:right="4" w:firstLine="0"/>
        <w:jc w:val="both"/>
        <w:rPr>
          <w:rFonts w:eastAsia="Verdana"/>
          <w:lang w:val="es-PE"/>
        </w:rPr>
      </w:pPr>
      <w:r>
        <w:rPr>
          <w:rFonts w:ascii="Verdana" w:eastAsia="Verdana" w:hAnsi="Verdana"/>
          <w:sz w:val="20"/>
          <w:szCs w:val="20"/>
          <w:lang w:val="es-PE"/>
        </w:rPr>
        <w:lastRenderedPageBreak/>
        <w:t xml:space="preserve">Las decisiones del Presidente, que no sean de mero trámite, son recurribles ante la Corte Interamericana de Derechos Humanos </w:t>
      </w:r>
      <w:r w:rsidR="00F92895">
        <w:rPr>
          <w:rFonts w:ascii="Verdana" w:eastAsia="Verdana" w:hAnsi="Verdana"/>
          <w:sz w:val="20"/>
          <w:szCs w:val="20"/>
          <w:lang w:val="es-PE"/>
        </w:rPr>
        <w:t>(en adelante “la Corte” o “el Tribunal”, en los términos del artículo 31.2 del Reglamento de este tribunal (en adelante “el Reglamento”).</w:t>
      </w:r>
    </w:p>
    <w:p w:rsidR="00F92895" w:rsidRPr="001779B3" w:rsidRDefault="00F92895" w:rsidP="00F92895">
      <w:pPr>
        <w:pStyle w:val="ListParagraph"/>
        <w:tabs>
          <w:tab w:val="left" w:pos="540"/>
        </w:tabs>
        <w:spacing w:after="0" w:line="246" w:lineRule="auto"/>
        <w:ind w:left="0" w:right="440"/>
        <w:jc w:val="both"/>
        <w:rPr>
          <w:rFonts w:eastAsia="Verdana"/>
          <w:lang w:val="es-PE"/>
        </w:rPr>
      </w:pPr>
    </w:p>
    <w:p w:rsidR="00E248AF" w:rsidRDefault="00F11E17" w:rsidP="002C7584">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Pr>
          <w:rFonts w:ascii="Verdana" w:eastAsia="Verdana" w:hAnsi="Verdana"/>
          <w:sz w:val="20"/>
          <w:szCs w:val="20"/>
          <w:lang w:val="es-PE"/>
        </w:rPr>
        <w:t>El ofrecimiento y la admisión de la prueba, así como la citación de presuntas víctimas, testigos y peritos se encuentran regulados en los artículos 35.1.f, 40.2.c, 41.1.c, 46, 47, 48, 50, 52.3, 57 y 58 del Reglamento.</w:t>
      </w:r>
    </w:p>
    <w:p w:rsidR="00F11E17" w:rsidRPr="00F11E17" w:rsidRDefault="00F11E17" w:rsidP="002C7584">
      <w:pPr>
        <w:pStyle w:val="ListParagraph"/>
        <w:ind w:right="48"/>
        <w:rPr>
          <w:rFonts w:ascii="Verdana" w:eastAsia="Verdana" w:hAnsi="Verdana"/>
          <w:sz w:val="20"/>
          <w:szCs w:val="20"/>
          <w:lang w:val="es-PE"/>
        </w:rPr>
      </w:pPr>
    </w:p>
    <w:p w:rsidR="00F11E17" w:rsidRDefault="00F11E17" w:rsidP="002C7584">
      <w:pPr>
        <w:pStyle w:val="ListParagraph"/>
        <w:numPr>
          <w:ilvl w:val="0"/>
          <w:numId w:val="3"/>
        </w:numPr>
        <w:tabs>
          <w:tab w:val="left" w:pos="540"/>
        </w:tabs>
        <w:spacing w:after="0" w:line="246" w:lineRule="auto"/>
        <w:ind w:left="0" w:right="48" w:firstLine="0"/>
        <w:jc w:val="both"/>
        <w:rPr>
          <w:rFonts w:ascii="Verdana" w:eastAsia="Verdana" w:hAnsi="Verdana"/>
          <w:sz w:val="20"/>
          <w:szCs w:val="20"/>
          <w:lang w:val="es-PE"/>
        </w:rPr>
      </w:pPr>
      <w:r>
        <w:rPr>
          <w:rFonts w:ascii="Verdana" w:eastAsia="Verdana" w:hAnsi="Verdana"/>
          <w:sz w:val="20"/>
          <w:szCs w:val="20"/>
          <w:lang w:val="es-PE"/>
        </w:rPr>
        <w:t>El Tribunal tiene amplias facultades en cuanto a la admisión y a la modalidad de recepción de la prueba, de conformidad con los artículos 46, 49 y 50 del Reglamento.</w:t>
      </w:r>
    </w:p>
    <w:p w:rsidR="00E248AF" w:rsidRPr="00E248AF" w:rsidRDefault="00E248AF" w:rsidP="00E248AF">
      <w:pPr>
        <w:pStyle w:val="ListParagraph"/>
        <w:rPr>
          <w:rFonts w:ascii="Verdana" w:eastAsia="Verdana" w:hAnsi="Verdana"/>
          <w:sz w:val="20"/>
          <w:szCs w:val="20"/>
          <w:lang w:val="es-PE"/>
        </w:rPr>
      </w:pPr>
    </w:p>
    <w:p w:rsidR="00CF391F" w:rsidRPr="00CF391F" w:rsidRDefault="003E1861" w:rsidP="009A14BC">
      <w:pPr>
        <w:pStyle w:val="ListParagraph"/>
        <w:numPr>
          <w:ilvl w:val="0"/>
          <w:numId w:val="3"/>
        </w:numPr>
        <w:tabs>
          <w:tab w:val="left" w:pos="540"/>
        </w:tabs>
        <w:spacing w:after="0" w:line="247" w:lineRule="exact"/>
        <w:ind w:left="0" w:right="48" w:firstLine="0"/>
        <w:jc w:val="both"/>
        <w:rPr>
          <w:rFonts w:eastAsia="Verdana"/>
          <w:lang w:val="es-PE"/>
        </w:rPr>
      </w:pPr>
      <w:r w:rsidRPr="002C7584">
        <w:rPr>
          <w:rFonts w:ascii="Verdana" w:eastAsia="Verdana" w:hAnsi="Verdana"/>
          <w:sz w:val="20"/>
          <w:szCs w:val="20"/>
          <w:lang w:val="es-PE"/>
        </w:rPr>
        <w:t xml:space="preserve">El </w:t>
      </w:r>
      <w:r w:rsidRPr="00BF679A">
        <w:rPr>
          <w:rFonts w:ascii="Verdana" w:eastAsia="Verdana" w:hAnsi="Verdana"/>
          <w:b/>
          <w:i/>
          <w:sz w:val="20"/>
          <w:szCs w:val="20"/>
          <w:lang w:val="es-PE"/>
        </w:rPr>
        <w:t>Estado</w:t>
      </w:r>
      <w:r w:rsidRPr="00E10807">
        <w:rPr>
          <w:rFonts w:ascii="Verdana" w:eastAsia="Verdana" w:hAnsi="Verdana"/>
          <w:sz w:val="20"/>
          <w:szCs w:val="20"/>
          <w:lang w:val="es-PE"/>
        </w:rPr>
        <w:t xml:space="preserve"> solicitó </w:t>
      </w:r>
      <w:r w:rsidR="00CF391F">
        <w:rPr>
          <w:rFonts w:ascii="Verdana" w:eastAsia="Verdana" w:hAnsi="Verdana"/>
          <w:sz w:val="20"/>
          <w:szCs w:val="20"/>
          <w:lang w:val="es-PE"/>
        </w:rPr>
        <w:t xml:space="preserve">que se </w:t>
      </w:r>
      <w:r w:rsidR="00CF391F">
        <w:rPr>
          <w:rFonts w:ascii="Verdana" w:hAnsi="Verdana"/>
          <w:sz w:val="20"/>
          <w:szCs w:val="20"/>
          <w:lang w:val="es-PE"/>
        </w:rPr>
        <w:t>“admita la declaración oral ante el pleno de la Corte en la Audiencia Pública fijada para el día 7 de febrero de 2019, de la totalidad de los testigos y peritos ofrecidos por el Estado”. Al respecto, argumentó “el escaso tiempo del que dispone la Corte IDH […] [no debe impedir] que las partes aleguen y prueben sus posiciones […]. Todo esto de conformidad con los principios de inmediatez, bi</w:t>
      </w:r>
      <w:r w:rsidR="008D67EA">
        <w:rPr>
          <w:rFonts w:ascii="Verdana" w:hAnsi="Verdana"/>
          <w:sz w:val="20"/>
          <w:szCs w:val="20"/>
          <w:lang w:val="es-PE"/>
        </w:rPr>
        <w:t>lateralidad y defensa en juicio</w:t>
      </w:r>
      <w:r w:rsidR="00CF391F">
        <w:rPr>
          <w:rFonts w:ascii="Verdana" w:hAnsi="Verdana"/>
          <w:sz w:val="20"/>
          <w:szCs w:val="20"/>
          <w:lang w:val="es-PE"/>
        </w:rPr>
        <w:t>”</w:t>
      </w:r>
      <w:r w:rsidR="008D67EA">
        <w:rPr>
          <w:rFonts w:ascii="Verdana" w:hAnsi="Verdana"/>
          <w:sz w:val="20"/>
          <w:szCs w:val="20"/>
          <w:lang w:val="es-PE"/>
        </w:rPr>
        <w:t>.</w:t>
      </w:r>
    </w:p>
    <w:p w:rsidR="00B31836" w:rsidRPr="00CF391F" w:rsidRDefault="00B31836" w:rsidP="009A14BC">
      <w:pPr>
        <w:ind w:right="48"/>
        <w:rPr>
          <w:rFonts w:eastAsia="Verdana"/>
          <w:lang w:val="es-PE"/>
        </w:rPr>
      </w:pPr>
    </w:p>
    <w:p w:rsidR="0066798D" w:rsidRPr="0066798D" w:rsidRDefault="00B31836" w:rsidP="009A14BC">
      <w:pPr>
        <w:pStyle w:val="ListParagraph"/>
        <w:numPr>
          <w:ilvl w:val="0"/>
          <w:numId w:val="3"/>
        </w:numPr>
        <w:tabs>
          <w:tab w:val="left" w:pos="540"/>
        </w:tabs>
        <w:spacing w:after="0" w:line="240" w:lineRule="auto"/>
        <w:ind w:left="0" w:right="48" w:firstLine="0"/>
        <w:jc w:val="both"/>
        <w:rPr>
          <w:rFonts w:ascii="Verdana" w:eastAsia="Verdana" w:hAnsi="Verdana"/>
          <w:sz w:val="20"/>
          <w:szCs w:val="20"/>
          <w:lang w:val="es-PE"/>
        </w:rPr>
      </w:pPr>
      <w:r>
        <w:rPr>
          <w:rFonts w:ascii="Verdana" w:eastAsia="Verdana" w:hAnsi="Verdana"/>
          <w:sz w:val="20"/>
          <w:szCs w:val="20"/>
          <w:lang w:val="es-PE"/>
        </w:rPr>
        <w:t xml:space="preserve">Por su parte, </w:t>
      </w:r>
      <w:r w:rsidRPr="002C7584">
        <w:rPr>
          <w:rFonts w:ascii="Verdana" w:eastAsia="Verdana" w:hAnsi="Verdana"/>
          <w:sz w:val="20"/>
          <w:szCs w:val="20"/>
          <w:lang w:val="es-PE"/>
        </w:rPr>
        <w:t>el</w:t>
      </w:r>
      <w:r w:rsidRPr="00C449E7">
        <w:rPr>
          <w:rFonts w:ascii="Verdana" w:eastAsia="Verdana" w:hAnsi="Verdana"/>
          <w:b/>
          <w:i/>
          <w:sz w:val="20"/>
          <w:szCs w:val="20"/>
          <w:lang w:val="es-PE"/>
        </w:rPr>
        <w:t xml:space="preserve"> representante</w:t>
      </w:r>
      <w:r>
        <w:rPr>
          <w:rFonts w:ascii="Verdana" w:eastAsia="Verdana" w:hAnsi="Verdana"/>
          <w:sz w:val="20"/>
          <w:szCs w:val="20"/>
          <w:lang w:val="es-PE"/>
        </w:rPr>
        <w:t xml:space="preserve"> </w:t>
      </w:r>
      <w:r w:rsidR="00C449E7">
        <w:rPr>
          <w:rFonts w:ascii="Verdana" w:eastAsia="Verdana" w:hAnsi="Verdana"/>
          <w:sz w:val="20"/>
          <w:szCs w:val="20"/>
          <w:lang w:val="es-PE"/>
        </w:rPr>
        <w:t>aleg</w:t>
      </w:r>
      <w:r w:rsidR="00B412C9">
        <w:rPr>
          <w:rFonts w:ascii="Verdana" w:eastAsia="Verdana" w:hAnsi="Verdana"/>
          <w:sz w:val="20"/>
          <w:szCs w:val="20"/>
          <w:lang w:val="es-PE"/>
        </w:rPr>
        <w:t>ó</w:t>
      </w:r>
      <w:r w:rsidR="00C449E7">
        <w:rPr>
          <w:rFonts w:ascii="Verdana" w:eastAsia="Verdana" w:hAnsi="Verdana"/>
          <w:sz w:val="20"/>
          <w:szCs w:val="20"/>
          <w:lang w:val="es-PE"/>
        </w:rPr>
        <w:t xml:space="preserve"> que el Estado “tuvo la oportunidad </w:t>
      </w:r>
      <w:r w:rsidR="00C449E7">
        <w:rPr>
          <w:rFonts w:ascii="Verdana" w:hAnsi="Verdana"/>
          <w:sz w:val="20"/>
          <w:szCs w:val="20"/>
          <w:lang w:val="es-PE"/>
        </w:rPr>
        <w:t xml:space="preserve">dentro </w:t>
      </w:r>
      <w:r w:rsidR="00C449E7" w:rsidRPr="0066798D">
        <w:rPr>
          <w:rFonts w:ascii="Verdana" w:hAnsi="Verdana"/>
          <w:sz w:val="20"/>
          <w:szCs w:val="20"/>
          <w:lang w:val="es-PE"/>
        </w:rPr>
        <w:t>del […] proceso de ofrecer sus testigos y de establecer el orden de prioridad de los mismos. Por [lo] tanto, no corresponde que dicho listado se modifique.” En ese mismo sentido, afirm</w:t>
      </w:r>
      <w:r w:rsidR="009A14BC">
        <w:rPr>
          <w:rFonts w:ascii="Verdana" w:hAnsi="Verdana"/>
          <w:sz w:val="20"/>
          <w:szCs w:val="20"/>
          <w:lang w:val="es-PE"/>
        </w:rPr>
        <w:t>ó</w:t>
      </w:r>
      <w:r w:rsidR="00C449E7" w:rsidRPr="0066798D">
        <w:rPr>
          <w:rFonts w:ascii="Verdana" w:hAnsi="Verdana"/>
          <w:sz w:val="20"/>
          <w:szCs w:val="20"/>
          <w:lang w:val="es-PE"/>
        </w:rPr>
        <w:t xml:space="preserve"> que “[no es verdad] que los testigos propuestos por el Estado Paraguayo no </w:t>
      </w:r>
      <w:proofErr w:type="gramStart"/>
      <w:r w:rsidR="00C449E7" w:rsidRPr="0066798D">
        <w:rPr>
          <w:rFonts w:ascii="Verdana" w:hAnsi="Verdana"/>
          <w:sz w:val="20"/>
          <w:szCs w:val="20"/>
          <w:lang w:val="es-PE"/>
        </w:rPr>
        <w:t>va[</w:t>
      </w:r>
      <w:proofErr w:type="spellStart"/>
      <w:proofErr w:type="gramEnd"/>
      <w:r w:rsidR="00C449E7" w:rsidRPr="0066798D">
        <w:rPr>
          <w:rFonts w:ascii="Verdana" w:hAnsi="Verdana"/>
          <w:sz w:val="20"/>
          <w:szCs w:val="20"/>
          <w:lang w:val="es-PE"/>
        </w:rPr>
        <w:t>yan</w:t>
      </w:r>
      <w:proofErr w:type="spellEnd"/>
      <w:r w:rsidR="00C449E7" w:rsidRPr="0066798D">
        <w:rPr>
          <w:rFonts w:ascii="Verdana" w:hAnsi="Verdana"/>
          <w:sz w:val="20"/>
          <w:szCs w:val="20"/>
          <w:lang w:val="es-PE"/>
        </w:rPr>
        <w:t>] a tener la oportunidad de declarar y expresa</w:t>
      </w:r>
      <w:r w:rsidR="008D67EA">
        <w:rPr>
          <w:rFonts w:ascii="Verdana" w:hAnsi="Verdana"/>
          <w:sz w:val="20"/>
          <w:szCs w:val="20"/>
          <w:lang w:val="es-PE"/>
        </w:rPr>
        <w:t>r todo lo que crean conveniente</w:t>
      </w:r>
      <w:r w:rsidR="00C449E7" w:rsidRPr="0066798D">
        <w:rPr>
          <w:rFonts w:ascii="Verdana" w:hAnsi="Verdana"/>
          <w:sz w:val="20"/>
          <w:szCs w:val="20"/>
          <w:lang w:val="es-PE"/>
        </w:rPr>
        <w:t>”</w:t>
      </w:r>
      <w:r w:rsidR="008D67EA">
        <w:rPr>
          <w:rFonts w:ascii="Verdana" w:hAnsi="Verdana"/>
          <w:sz w:val="20"/>
          <w:szCs w:val="20"/>
          <w:lang w:val="es-PE"/>
        </w:rPr>
        <w:t>.</w:t>
      </w:r>
      <w:r w:rsidR="00C449E7" w:rsidRPr="0066798D">
        <w:rPr>
          <w:rFonts w:ascii="Verdana" w:hAnsi="Verdana"/>
          <w:sz w:val="20"/>
          <w:szCs w:val="20"/>
          <w:lang w:val="es-PE"/>
        </w:rPr>
        <w:t xml:space="preserve"> </w:t>
      </w:r>
      <w:r w:rsidR="00C449E7" w:rsidRPr="0066798D">
        <w:rPr>
          <w:rFonts w:ascii="Verdana" w:eastAsia="Verdana" w:hAnsi="Verdana"/>
          <w:sz w:val="20"/>
          <w:szCs w:val="20"/>
          <w:lang w:val="es-PE"/>
        </w:rPr>
        <w:t xml:space="preserve">          </w:t>
      </w:r>
    </w:p>
    <w:p w:rsidR="0066798D" w:rsidRPr="0066798D" w:rsidRDefault="0066798D" w:rsidP="009A14BC">
      <w:pPr>
        <w:pStyle w:val="ListParagraph"/>
        <w:spacing w:after="0" w:line="240" w:lineRule="auto"/>
        <w:ind w:right="48"/>
        <w:rPr>
          <w:rFonts w:ascii="Verdana" w:hAnsi="Verdana"/>
          <w:sz w:val="20"/>
          <w:szCs w:val="20"/>
          <w:lang w:val="es-PE"/>
        </w:rPr>
      </w:pPr>
    </w:p>
    <w:p w:rsidR="0066798D" w:rsidRPr="0066798D" w:rsidRDefault="0066798D" w:rsidP="009A14BC">
      <w:pPr>
        <w:pStyle w:val="ListParagraph"/>
        <w:numPr>
          <w:ilvl w:val="0"/>
          <w:numId w:val="3"/>
        </w:numPr>
        <w:tabs>
          <w:tab w:val="left" w:pos="540"/>
        </w:tabs>
        <w:spacing w:after="0" w:line="240" w:lineRule="auto"/>
        <w:ind w:left="0" w:right="48" w:firstLine="0"/>
        <w:jc w:val="both"/>
        <w:rPr>
          <w:rFonts w:ascii="Verdana" w:eastAsia="Verdana" w:hAnsi="Verdana"/>
          <w:sz w:val="20"/>
          <w:szCs w:val="20"/>
          <w:lang w:val="es-PE"/>
        </w:rPr>
      </w:pPr>
      <w:r w:rsidRPr="0066798D">
        <w:rPr>
          <w:rFonts w:ascii="Verdana" w:hAnsi="Verdana"/>
          <w:sz w:val="20"/>
          <w:szCs w:val="20"/>
          <w:lang w:val="es-PE"/>
        </w:rPr>
        <w:t>La</w:t>
      </w:r>
      <w:r w:rsidRPr="0066798D">
        <w:rPr>
          <w:rFonts w:ascii="Verdana" w:hAnsi="Verdana"/>
          <w:b/>
          <w:i/>
          <w:sz w:val="20"/>
          <w:szCs w:val="20"/>
          <w:lang w:val="es-PE"/>
        </w:rPr>
        <w:t xml:space="preserve"> Comisión</w:t>
      </w:r>
      <w:r w:rsidRPr="0066798D">
        <w:rPr>
          <w:rFonts w:ascii="Verdana" w:hAnsi="Verdana"/>
          <w:sz w:val="20"/>
          <w:szCs w:val="20"/>
          <w:lang w:val="es-PE"/>
        </w:rPr>
        <w:t xml:space="preserve"> informó no tener observaciones.</w:t>
      </w:r>
    </w:p>
    <w:p w:rsidR="00AC67BF" w:rsidRPr="00AC67BF" w:rsidRDefault="00AC67BF" w:rsidP="00AC67BF">
      <w:pPr>
        <w:ind w:right="48"/>
        <w:rPr>
          <w:rFonts w:eastAsia="Verdana"/>
          <w:b/>
          <w:lang w:val="es-CR"/>
        </w:rPr>
      </w:pPr>
    </w:p>
    <w:p w:rsidR="00EE1182" w:rsidRPr="0078502E" w:rsidRDefault="00EE1182" w:rsidP="00604690">
      <w:pPr>
        <w:pStyle w:val="ListParagraph"/>
        <w:numPr>
          <w:ilvl w:val="0"/>
          <w:numId w:val="3"/>
        </w:numPr>
        <w:tabs>
          <w:tab w:val="left" w:pos="540"/>
        </w:tabs>
        <w:spacing w:after="0" w:line="250" w:lineRule="auto"/>
        <w:ind w:left="0" w:right="48" w:firstLine="0"/>
        <w:jc w:val="both"/>
        <w:rPr>
          <w:rFonts w:ascii="Verdana" w:eastAsia="Verdana" w:hAnsi="Verdana"/>
          <w:sz w:val="20"/>
          <w:szCs w:val="20"/>
          <w:lang w:val="es-PE"/>
        </w:rPr>
      </w:pPr>
      <w:r w:rsidRPr="00EE1182">
        <w:rPr>
          <w:rFonts w:ascii="Verdana" w:hAnsi="Verdana"/>
          <w:sz w:val="20"/>
          <w:szCs w:val="20"/>
        </w:rPr>
        <w:t>La</w:t>
      </w:r>
      <w:r w:rsidRPr="00604690">
        <w:rPr>
          <w:rFonts w:ascii="Verdana" w:eastAsia="Verdana" w:hAnsi="Verdana"/>
          <w:b/>
          <w:i/>
          <w:sz w:val="20"/>
          <w:szCs w:val="20"/>
          <w:lang w:val="es-PE"/>
        </w:rPr>
        <w:t xml:space="preserve"> </w:t>
      </w:r>
      <w:r w:rsidRPr="00DC200F">
        <w:rPr>
          <w:rFonts w:ascii="Verdana" w:eastAsia="Verdana" w:hAnsi="Verdana"/>
          <w:sz w:val="20"/>
          <w:szCs w:val="20"/>
          <w:lang w:val="es-PE"/>
        </w:rPr>
        <w:t>Corte</w:t>
      </w:r>
      <w:r w:rsidRPr="00604690">
        <w:rPr>
          <w:rFonts w:ascii="Verdana" w:eastAsia="Verdana" w:hAnsi="Verdana"/>
          <w:sz w:val="20"/>
          <w:szCs w:val="20"/>
          <w:lang w:val="es-PE"/>
        </w:rPr>
        <w:t xml:space="preserve"> </w:t>
      </w:r>
      <w:r w:rsidRPr="00EE1182">
        <w:rPr>
          <w:rFonts w:ascii="Verdana" w:hAnsi="Verdana"/>
          <w:sz w:val="20"/>
          <w:szCs w:val="20"/>
        </w:rPr>
        <w:t>resalta que, de acuerdo con lo estipulado en el artículo 50.1 del Reglamento, es una facultad discrecional de la Corte o su Presidencia determinar cuáles declaraciones deben ser rendidas ante fedatario público (</w:t>
      </w:r>
      <w:r w:rsidR="00DC200F" w:rsidRPr="00DC200F">
        <w:rPr>
          <w:rFonts w:ascii="Verdana" w:hAnsi="Verdana"/>
          <w:sz w:val="20"/>
          <w:szCs w:val="20"/>
        </w:rPr>
        <w:t>af</w:t>
      </w:r>
      <w:r w:rsidRPr="00DC200F">
        <w:rPr>
          <w:rFonts w:ascii="Verdana" w:hAnsi="Verdana"/>
          <w:sz w:val="20"/>
          <w:szCs w:val="20"/>
        </w:rPr>
        <w:t>idávit</w:t>
      </w:r>
      <w:r w:rsidRPr="00EE1182">
        <w:rPr>
          <w:rFonts w:ascii="Verdana" w:hAnsi="Verdana"/>
          <w:sz w:val="20"/>
          <w:szCs w:val="20"/>
        </w:rPr>
        <w:t>) y cuáles estima necesario que sean rendidas en audiencia</w:t>
      </w:r>
      <w:r>
        <w:rPr>
          <w:rStyle w:val="FootnoteReference"/>
          <w:rFonts w:ascii="Verdana" w:hAnsi="Verdana"/>
          <w:sz w:val="20"/>
          <w:szCs w:val="20"/>
        </w:rPr>
        <w:footnoteReference w:id="2"/>
      </w:r>
      <w:r>
        <w:rPr>
          <w:rFonts w:ascii="Verdana" w:hAnsi="Verdana"/>
          <w:sz w:val="20"/>
          <w:szCs w:val="20"/>
        </w:rPr>
        <w:t>.</w:t>
      </w:r>
    </w:p>
    <w:p w:rsidR="0078502E" w:rsidRPr="0078502E" w:rsidRDefault="0078502E" w:rsidP="0078502E">
      <w:pPr>
        <w:pStyle w:val="ListParagraph"/>
        <w:tabs>
          <w:tab w:val="left" w:pos="540"/>
        </w:tabs>
        <w:spacing w:after="0" w:line="250" w:lineRule="auto"/>
        <w:ind w:left="0" w:right="48"/>
        <w:jc w:val="both"/>
        <w:rPr>
          <w:rFonts w:ascii="Verdana" w:eastAsia="Verdana" w:hAnsi="Verdana"/>
          <w:sz w:val="20"/>
          <w:szCs w:val="20"/>
          <w:lang w:val="es-PE"/>
        </w:rPr>
      </w:pPr>
    </w:p>
    <w:p w:rsidR="0078502E" w:rsidRPr="0078502E" w:rsidRDefault="0078502E" w:rsidP="00604690">
      <w:pPr>
        <w:pStyle w:val="ListParagraph"/>
        <w:numPr>
          <w:ilvl w:val="0"/>
          <w:numId w:val="3"/>
        </w:numPr>
        <w:tabs>
          <w:tab w:val="left" w:pos="540"/>
        </w:tabs>
        <w:spacing w:after="0" w:line="250" w:lineRule="auto"/>
        <w:ind w:left="0" w:right="48" w:firstLine="0"/>
        <w:jc w:val="both"/>
        <w:rPr>
          <w:rFonts w:ascii="Verdana" w:eastAsia="Verdana" w:hAnsi="Verdana"/>
          <w:sz w:val="20"/>
          <w:szCs w:val="20"/>
          <w:lang w:val="es-PE"/>
        </w:rPr>
      </w:pPr>
      <w:r w:rsidRPr="0078502E">
        <w:rPr>
          <w:rFonts w:ascii="Verdana" w:hAnsi="Verdana"/>
          <w:sz w:val="20"/>
          <w:szCs w:val="20"/>
        </w:rPr>
        <w:t>La determinación señalada se realiza previa constatación de las listas definitivas de declarantes presentadas por las partes y la Comisión, y considerando las observaciones que las partes y la Comisión presenten sobre el particular, de acuerdo con lo establecido en el artículo 46 del Reglamento</w:t>
      </w:r>
      <w:r>
        <w:rPr>
          <w:rStyle w:val="FootnoteReference"/>
          <w:rFonts w:ascii="Verdana" w:hAnsi="Verdana"/>
          <w:sz w:val="20"/>
          <w:szCs w:val="20"/>
        </w:rPr>
        <w:footnoteReference w:id="3"/>
      </w:r>
      <w:r>
        <w:rPr>
          <w:rFonts w:ascii="Verdana" w:hAnsi="Verdana"/>
          <w:sz w:val="20"/>
          <w:szCs w:val="20"/>
        </w:rPr>
        <w:t>.</w:t>
      </w:r>
    </w:p>
    <w:p w:rsidR="0078502E" w:rsidRPr="0078502E" w:rsidRDefault="0078502E" w:rsidP="0078502E">
      <w:pPr>
        <w:pStyle w:val="ListParagraph"/>
        <w:rPr>
          <w:rFonts w:ascii="Verdana" w:hAnsi="Verdana"/>
          <w:sz w:val="20"/>
          <w:szCs w:val="20"/>
        </w:rPr>
      </w:pPr>
    </w:p>
    <w:p w:rsidR="000A6061" w:rsidRDefault="0078502E" w:rsidP="0078502E">
      <w:pPr>
        <w:pStyle w:val="ListParagraph"/>
        <w:numPr>
          <w:ilvl w:val="0"/>
          <w:numId w:val="3"/>
        </w:numPr>
        <w:tabs>
          <w:tab w:val="left" w:pos="540"/>
        </w:tabs>
        <w:spacing w:after="0" w:line="250" w:lineRule="auto"/>
        <w:ind w:left="0" w:right="48" w:firstLine="0"/>
        <w:jc w:val="both"/>
        <w:rPr>
          <w:rFonts w:ascii="Verdana" w:eastAsia="Verdana" w:hAnsi="Verdana"/>
          <w:sz w:val="20"/>
          <w:szCs w:val="20"/>
          <w:lang w:val="es-PE"/>
        </w:rPr>
      </w:pPr>
      <w:r w:rsidRPr="0078502E">
        <w:rPr>
          <w:rFonts w:ascii="Verdana" w:hAnsi="Verdana"/>
          <w:sz w:val="20"/>
          <w:szCs w:val="20"/>
        </w:rPr>
        <w:t xml:space="preserve">El artículo 46 del Reglamento señala, además, </w:t>
      </w:r>
      <w:r w:rsidRPr="0078502E">
        <w:rPr>
          <w:rFonts w:ascii="Verdana" w:hAnsi="Verdana"/>
          <w:i/>
          <w:sz w:val="20"/>
          <w:szCs w:val="20"/>
        </w:rPr>
        <w:t xml:space="preserve">inter </w:t>
      </w:r>
      <w:proofErr w:type="spellStart"/>
      <w:r w:rsidRPr="0078502E">
        <w:rPr>
          <w:rFonts w:ascii="Verdana" w:hAnsi="Verdana"/>
          <w:i/>
          <w:sz w:val="20"/>
          <w:szCs w:val="20"/>
        </w:rPr>
        <w:t>alia</w:t>
      </w:r>
      <w:proofErr w:type="spellEnd"/>
      <w:r w:rsidRPr="0078502E">
        <w:rPr>
          <w:rFonts w:ascii="Verdana" w:hAnsi="Verdana"/>
          <w:sz w:val="20"/>
          <w:szCs w:val="20"/>
        </w:rPr>
        <w:t>, que al presentar las listas definitivas de declarantes las partes o la Comisión, en el marco de sus decisiones y estrategia en el litigio del caso “</w:t>
      </w:r>
      <w:proofErr w:type="spellStart"/>
      <w:proofErr w:type="gramStart"/>
      <w:r w:rsidRPr="0078502E">
        <w:rPr>
          <w:rFonts w:ascii="Verdana" w:hAnsi="Verdana"/>
          <w:sz w:val="20"/>
          <w:szCs w:val="20"/>
        </w:rPr>
        <w:t>indi</w:t>
      </w:r>
      <w:proofErr w:type="spellEnd"/>
      <w:r w:rsidRPr="0078502E">
        <w:rPr>
          <w:rFonts w:ascii="Verdana" w:hAnsi="Verdana"/>
          <w:sz w:val="20"/>
          <w:szCs w:val="20"/>
        </w:rPr>
        <w:t>[</w:t>
      </w:r>
      <w:proofErr w:type="spellStart"/>
      <w:proofErr w:type="gramEnd"/>
      <w:r w:rsidRPr="0078502E">
        <w:rPr>
          <w:rFonts w:ascii="Verdana" w:hAnsi="Verdana"/>
          <w:sz w:val="20"/>
          <w:szCs w:val="20"/>
        </w:rPr>
        <w:t>quen</w:t>
      </w:r>
      <w:proofErr w:type="spellEnd"/>
      <w:r w:rsidRPr="0078502E">
        <w:rPr>
          <w:rFonts w:ascii="Verdana" w:hAnsi="Verdana"/>
          <w:sz w:val="20"/>
          <w:szCs w:val="20"/>
        </w:rPr>
        <w:t>] quienes de los declarantes ofrecidos consideran deben ser llamados a audiencia, en los casos en que la hubiere, y quienes pueden rendir declaración ante fedatario público (</w:t>
      </w:r>
      <w:r w:rsidR="00DC200F" w:rsidRPr="00DC200F">
        <w:rPr>
          <w:rFonts w:ascii="Verdana" w:hAnsi="Verdana"/>
          <w:sz w:val="20"/>
          <w:szCs w:val="20"/>
        </w:rPr>
        <w:t>af</w:t>
      </w:r>
      <w:r w:rsidRPr="00DC200F">
        <w:rPr>
          <w:rFonts w:ascii="Verdana" w:hAnsi="Verdana"/>
          <w:sz w:val="20"/>
          <w:szCs w:val="20"/>
        </w:rPr>
        <w:t>idávit</w:t>
      </w:r>
      <w:r w:rsidRPr="0078502E">
        <w:rPr>
          <w:rFonts w:ascii="Verdana" w:hAnsi="Verdana"/>
          <w:sz w:val="20"/>
          <w:szCs w:val="20"/>
        </w:rPr>
        <w:t>)”. No obstante, no expresa que esa indicación sea vinculante para la Corte o su Presidencia</w:t>
      </w:r>
      <w:r>
        <w:rPr>
          <w:rStyle w:val="FootnoteReference"/>
          <w:rFonts w:ascii="Verdana" w:hAnsi="Verdana"/>
          <w:sz w:val="20"/>
          <w:szCs w:val="20"/>
        </w:rPr>
        <w:footnoteReference w:id="4"/>
      </w:r>
      <w:r>
        <w:rPr>
          <w:rFonts w:ascii="Verdana" w:hAnsi="Verdana"/>
          <w:sz w:val="20"/>
          <w:szCs w:val="20"/>
        </w:rPr>
        <w:t>.</w:t>
      </w:r>
    </w:p>
    <w:p w:rsidR="000A6061" w:rsidRPr="000A6061" w:rsidRDefault="000A6061" w:rsidP="000A6061">
      <w:pPr>
        <w:pStyle w:val="ListParagraph"/>
        <w:rPr>
          <w:rFonts w:ascii="Verdana" w:hAnsi="Verdana"/>
          <w:sz w:val="20"/>
          <w:szCs w:val="20"/>
        </w:rPr>
      </w:pPr>
    </w:p>
    <w:p w:rsidR="0078502E" w:rsidRPr="00B412C9" w:rsidRDefault="006F3CA9" w:rsidP="00B412C9">
      <w:pPr>
        <w:pStyle w:val="ListParagraph"/>
        <w:numPr>
          <w:ilvl w:val="0"/>
          <w:numId w:val="3"/>
        </w:numPr>
        <w:tabs>
          <w:tab w:val="left" w:pos="540"/>
        </w:tabs>
        <w:spacing w:after="0" w:line="250" w:lineRule="auto"/>
        <w:ind w:left="0" w:right="48" w:firstLine="0"/>
        <w:jc w:val="both"/>
        <w:rPr>
          <w:rFonts w:ascii="Verdana" w:eastAsia="Verdana" w:hAnsi="Verdana"/>
          <w:sz w:val="20"/>
          <w:szCs w:val="20"/>
          <w:lang w:val="es-PE"/>
        </w:rPr>
      </w:pPr>
      <w:r>
        <w:rPr>
          <w:rFonts w:ascii="Verdana" w:hAnsi="Verdana"/>
          <w:sz w:val="20"/>
          <w:szCs w:val="20"/>
        </w:rPr>
        <w:t xml:space="preserve">En </w:t>
      </w:r>
      <w:r w:rsidR="000A6061">
        <w:rPr>
          <w:rFonts w:ascii="Verdana" w:hAnsi="Verdana"/>
          <w:sz w:val="20"/>
          <w:szCs w:val="20"/>
        </w:rPr>
        <w:t>el presente caso</w:t>
      </w:r>
      <w:r w:rsidR="008D67EA">
        <w:rPr>
          <w:rFonts w:ascii="Verdana" w:hAnsi="Verdana"/>
          <w:sz w:val="20"/>
          <w:szCs w:val="20"/>
        </w:rPr>
        <w:t>,</w:t>
      </w:r>
      <w:r w:rsidR="000A6061">
        <w:rPr>
          <w:rFonts w:ascii="Verdana" w:hAnsi="Verdana"/>
          <w:sz w:val="20"/>
          <w:szCs w:val="20"/>
        </w:rPr>
        <w:t xml:space="preserve"> en la lista definitiva</w:t>
      </w:r>
      <w:r w:rsidR="008D67EA">
        <w:rPr>
          <w:rFonts w:ascii="Verdana" w:hAnsi="Verdana"/>
          <w:sz w:val="20"/>
          <w:szCs w:val="20"/>
        </w:rPr>
        <w:t>,</w:t>
      </w:r>
      <w:r w:rsidR="000A6061">
        <w:rPr>
          <w:rFonts w:ascii="Verdana" w:hAnsi="Verdana"/>
          <w:sz w:val="20"/>
          <w:szCs w:val="20"/>
        </w:rPr>
        <w:t xml:space="preserve"> </w:t>
      </w:r>
      <w:r w:rsidR="004A1535">
        <w:rPr>
          <w:rFonts w:ascii="Verdana" w:hAnsi="Verdana"/>
          <w:sz w:val="20"/>
          <w:szCs w:val="20"/>
        </w:rPr>
        <w:t xml:space="preserve">el </w:t>
      </w:r>
      <w:r w:rsidR="000A6061">
        <w:rPr>
          <w:rFonts w:ascii="Verdana" w:hAnsi="Verdana"/>
          <w:sz w:val="20"/>
          <w:szCs w:val="20"/>
        </w:rPr>
        <w:t>Estado solicitó que todos los declarantes propuestos fuese</w:t>
      </w:r>
      <w:r w:rsidR="006C6A25">
        <w:rPr>
          <w:rFonts w:ascii="Verdana" w:hAnsi="Verdana"/>
          <w:sz w:val="20"/>
          <w:szCs w:val="20"/>
        </w:rPr>
        <w:t>n</w:t>
      </w:r>
      <w:r w:rsidR="000A6061">
        <w:rPr>
          <w:rFonts w:ascii="Verdana" w:hAnsi="Verdana"/>
          <w:sz w:val="20"/>
          <w:szCs w:val="20"/>
        </w:rPr>
        <w:t xml:space="preserve"> convocados a la audiencia </w:t>
      </w:r>
      <w:r w:rsidR="0078502E" w:rsidRPr="000A6061">
        <w:rPr>
          <w:rFonts w:ascii="Verdana" w:hAnsi="Verdana"/>
          <w:sz w:val="20"/>
          <w:szCs w:val="20"/>
        </w:rPr>
        <w:t>pública</w:t>
      </w:r>
      <w:r w:rsidR="008D67EA">
        <w:rPr>
          <w:rFonts w:ascii="Verdana" w:hAnsi="Verdana"/>
          <w:sz w:val="20"/>
          <w:szCs w:val="20"/>
        </w:rPr>
        <w:t>.</w:t>
      </w:r>
      <w:r w:rsidR="004A1535">
        <w:rPr>
          <w:rFonts w:ascii="Verdana" w:hAnsi="Verdana"/>
          <w:sz w:val="20"/>
          <w:szCs w:val="20"/>
        </w:rPr>
        <w:t xml:space="preserve"> </w:t>
      </w:r>
      <w:r w:rsidR="008D67EA">
        <w:rPr>
          <w:rFonts w:ascii="Verdana" w:hAnsi="Verdana"/>
          <w:sz w:val="20"/>
          <w:szCs w:val="20"/>
        </w:rPr>
        <w:t>S</w:t>
      </w:r>
      <w:r w:rsidR="004A1535">
        <w:rPr>
          <w:rFonts w:ascii="Verdana" w:hAnsi="Verdana"/>
          <w:sz w:val="20"/>
          <w:szCs w:val="20"/>
        </w:rPr>
        <w:t xml:space="preserve">in embargo, como previamente se </w:t>
      </w:r>
      <w:r w:rsidR="004A1535">
        <w:rPr>
          <w:rFonts w:ascii="Verdana" w:hAnsi="Verdana"/>
          <w:sz w:val="20"/>
          <w:szCs w:val="20"/>
        </w:rPr>
        <w:lastRenderedPageBreak/>
        <w:t xml:space="preserve">señaló corresponde este Tribunal determinar </w:t>
      </w:r>
      <w:r w:rsidR="00AE142F">
        <w:rPr>
          <w:rFonts w:ascii="Verdana" w:hAnsi="Verdana"/>
          <w:sz w:val="20"/>
          <w:szCs w:val="20"/>
        </w:rPr>
        <w:t xml:space="preserve">discrecionalmente </w:t>
      </w:r>
      <w:r w:rsidR="004A1535">
        <w:rPr>
          <w:rFonts w:ascii="Verdana" w:hAnsi="Verdana"/>
          <w:sz w:val="20"/>
          <w:szCs w:val="20"/>
        </w:rPr>
        <w:t>cuáles</w:t>
      </w:r>
      <w:r w:rsidR="00B412C9">
        <w:rPr>
          <w:rFonts w:ascii="Verdana" w:hAnsi="Verdana"/>
          <w:sz w:val="20"/>
          <w:szCs w:val="20"/>
        </w:rPr>
        <w:t xml:space="preserve"> declaraciones</w:t>
      </w:r>
      <w:r w:rsidR="004A1535" w:rsidRPr="00B412C9">
        <w:rPr>
          <w:rFonts w:ascii="Verdana" w:hAnsi="Verdana"/>
          <w:sz w:val="20"/>
          <w:szCs w:val="20"/>
        </w:rPr>
        <w:t xml:space="preserve"> serán </w:t>
      </w:r>
      <w:proofErr w:type="spellStart"/>
      <w:r w:rsidR="00AE142F" w:rsidRPr="00B412C9">
        <w:rPr>
          <w:rFonts w:ascii="Verdana" w:hAnsi="Verdana"/>
          <w:sz w:val="20"/>
          <w:szCs w:val="20"/>
        </w:rPr>
        <w:t>recepcionadas</w:t>
      </w:r>
      <w:proofErr w:type="spellEnd"/>
      <w:r w:rsidR="00AE142F" w:rsidRPr="00B412C9">
        <w:rPr>
          <w:rFonts w:ascii="Verdana" w:hAnsi="Verdana"/>
          <w:sz w:val="20"/>
          <w:szCs w:val="20"/>
        </w:rPr>
        <w:t xml:space="preserve"> </w:t>
      </w:r>
      <w:r w:rsidR="004A1535" w:rsidRPr="00B412C9">
        <w:rPr>
          <w:rFonts w:ascii="Verdana" w:hAnsi="Verdana"/>
          <w:sz w:val="20"/>
          <w:szCs w:val="20"/>
        </w:rPr>
        <w:t xml:space="preserve">en audiencia pública y la solicitud de las partes no </w:t>
      </w:r>
      <w:r w:rsidR="0078502E" w:rsidRPr="00B412C9">
        <w:rPr>
          <w:rFonts w:ascii="Verdana" w:hAnsi="Verdana"/>
          <w:sz w:val="20"/>
          <w:szCs w:val="20"/>
        </w:rPr>
        <w:t>obsta para que la Corte o su Presidencia estime en su determinación, otras consideraciones, como la aplicación del principio de economía procesal o, de ser necesario, las circunstancias atenientes a la prueba, tales como los objetos de las demás declaraciones admitidas y su relación con aspectos esenciales del caso</w:t>
      </w:r>
      <w:r w:rsidR="000A6061">
        <w:rPr>
          <w:rStyle w:val="FootnoteReference"/>
          <w:rFonts w:ascii="Verdana" w:hAnsi="Verdana"/>
          <w:sz w:val="20"/>
          <w:szCs w:val="20"/>
        </w:rPr>
        <w:footnoteReference w:id="5"/>
      </w:r>
      <w:r w:rsidR="0078502E" w:rsidRPr="00B412C9">
        <w:rPr>
          <w:rFonts w:ascii="Verdana" w:hAnsi="Verdana"/>
          <w:sz w:val="20"/>
          <w:szCs w:val="20"/>
        </w:rPr>
        <w:t>.</w:t>
      </w:r>
    </w:p>
    <w:p w:rsidR="0078502E" w:rsidRPr="00EE1182" w:rsidRDefault="0078502E" w:rsidP="0078502E">
      <w:pPr>
        <w:pStyle w:val="ListParagraph"/>
        <w:tabs>
          <w:tab w:val="left" w:pos="540"/>
        </w:tabs>
        <w:spacing w:after="0" w:line="250" w:lineRule="auto"/>
        <w:ind w:left="0" w:right="48"/>
        <w:jc w:val="both"/>
        <w:rPr>
          <w:rFonts w:ascii="Verdana" w:eastAsia="Verdana" w:hAnsi="Verdana"/>
          <w:sz w:val="20"/>
          <w:szCs w:val="20"/>
          <w:lang w:val="es-PE"/>
        </w:rPr>
      </w:pPr>
    </w:p>
    <w:p w:rsidR="005E46AD" w:rsidRPr="00D90FD2" w:rsidRDefault="002A1337" w:rsidP="00EE1182">
      <w:pPr>
        <w:pStyle w:val="ListParagraph"/>
        <w:numPr>
          <w:ilvl w:val="0"/>
          <w:numId w:val="3"/>
        </w:numPr>
        <w:tabs>
          <w:tab w:val="left" w:pos="540"/>
        </w:tabs>
        <w:spacing w:after="0" w:line="250" w:lineRule="auto"/>
        <w:ind w:left="0" w:right="48" w:firstLine="0"/>
        <w:jc w:val="both"/>
        <w:rPr>
          <w:rFonts w:ascii="Verdana" w:eastAsia="Verdana" w:hAnsi="Verdana"/>
          <w:sz w:val="20"/>
          <w:szCs w:val="20"/>
          <w:lang w:val="es-PE"/>
        </w:rPr>
      </w:pPr>
      <w:r w:rsidRPr="00D90FD2">
        <w:rPr>
          <w:rFonts w:ascii="Verdana" w:eastAsia="Verdana" w:hAnsi="Verdana"/>
          <w:sz w:val="20"/>
          <w:szCs w:val="20"/>
          <w:lang w:val="es-PE"/>
        </w:rPr>
        <w:t>En este sentido, l</w:t>
      </w:r>
      <w:r w:rsidR="00EB6DF2" w:rsidRPr="00D90FD2">
        <w:rPr>
          <w:rFonts w:ascii="Verdana" w:eastAsia="Verdana" w:hAnsi="Verdana"/>
          <w:sz w:val="20"/>
          <w:szCs w:val="20"/>
          <w:lang w:val="es-PE"/>
        </w:rPr>
        <w:t>a</w:t>
      </w:r>
      <w:r w:rsidR="00EB6DF2" w:rsidRPr="00D90FD2">
        <w:rPr>
          <w:rFonts w:ascii="Verdana" w:eastAsia="Verdana" w:hAnsi="Verdana"/>
          <w:b/>
          <w:i/>
          <w:sz w:val="20"/>
          <w:szCs w:val="20"/>
          <w:lang w:val="es-PE"/>
        </w:rPr>
        <w:t xml:space="preserve"> </w:t>
      </w:r>
      <w:r w:rsidR="00EB6DF2" w:rsidRPr="00D90FD2">
        <w:rPr>
          <w:rFonts w:ascii="Verdana" w:eastAsia="Verdana" w:hAnsi="Verdana"/>
          <w:sz w:val="20"/>
          <w:szCs w:val="20"/>
          <w:lang w:val="es-PE"/>
        </w:rPr>
        <w:t xml:space="preserve">Corte reitera </w:t>
      </w:r>
      <w:r w:rsidR="00D31F75" w:rsidRPr="00D90FD2">
        <w:rPr>
          <w:rFonts w:ascii="Verdana" w:eastAsia="Verdana" w:hAnsi="Verdana"/>
          <w:sz w:val="20"/>
          <w:szCs w:val="20"/>
          <w:lang w:val="es-PE"/>
        </w:rPr>
        <w:t>que en los casos sometidos a su conocimiento es necesario asegurar el conocimiento de la verdad y la más amplia presentación de hechos y argumentos por las partes, en todo lo que sea pertinente para la solución de las cuestiones controvertidas, garantizando a éstas el derecho a la defensa de sus respectivas posiciones</w:t>
      </w:r>
      <w:r w:rsidR="00EE1182" w:rsidRPr="00D90FD2">
        <w:rPr>
          <w:rStyle w:val="FootnoteReference"/>
          <w:rFonts w:ascii="Verdana" w:eastAsia="Verdana" w:hAnsi="Verdana"/>
          <w:sz w:val="20"/>
          <w:szCs w:val="20"/>
          <w:lang w:val="es-PE"/>
        </w:rPr>
        <w:footnoteReference w:id="6"/>
      </w:r>
      <w:r w:rsidR="00D31F75" w:rsidRPr="00D90FD2">
        <w:rPr>
          <w:rFonts w:ascii="Verdana" w:eastAsia="Verdana" w:hAnsi="Verdana"/>
          <w:sz w:val="20"/>
          <w:szCs w:val="20"/>
          <w:lang w:val="es-PE"/>
        </w:rPr>
        <w:t xml:space="preserve">. </w:t>
      </w:r>
    </w:p>
    <w:p w:rsidR="005E46AD" w:rsidRPr="005E46AD" w:rsidRDefault="005E46AD" w:rsidP="005E46AD">
      <w:pPr>
        <w:pStyle w:val="ListParagraph"/>
        <w:rPr>
          <w:rFonts w:ascii="Verdana" w:hAnsi="Verdana"/>
          <w:sz w:val="20"/>
          <w:szCs w:val="20"/>
        </w:rPr>
      </w:pPr>
    </w:p>
    <w:p w:rsidR="009A14BC" w:rsidRPr="005E46AD" w:rsidRDefault="002A1337" w:rsidP="005E46AD">
      <w:pPr>
        <w:pStyle w:val="ListParagraph"/>
        <w:numPr>
          <w:ilvl w:val="0"/>
          <w:numId w:val="3"/>
        </w:numPr>
        <w:tabs>
          <w:tab w:val="left" w:pos="540"/>
        </w:tabs>
        <w:spacing w:after="0" w:line="250" w:lineRule="auto"/>
        <w:ind w:left="0" w:right="48" w:firstLine="0"/>
        <w:jc w:val="both"/>
        <w:rPr>
          <w:rFonts w:ascii="Verdana" w:eastAsia="Verdana" w:hAnsi="Verdana"/>
          <w:sz w:val="20"/>
          <w:szCs w:val="20"/>
          <w:lang w:val="es-PE"/>
        </w:rPr>
      </w:pPr>
      <w:r w:rsidRPr="005E46AD">
        <w:rPr>
          <w:rFonts w:ascii="Verdana" w:hAnsi="Verdana"/>
          <w:sz w:val="20"/>
          <w:szCs w:val="20"/>
        </w:rPr>
        <w:t xml:space="preserve">Asimismo, es necesario señalar que toda potestad discrecional de esta Corte se ejerce con pleno respeto a los principios procesales que rigen su actuación. Es así que el procedimiento garantiza el equilibrio procesal entre las partes intervinientes, otorgando a ambas la posibilidad de presentar los medios probatorios que consideren pertinentes a su pretensión. En esa línea, esta Corte considera que la determinación de la modalidad de recepción de un medio probatorio, en este caso, una declaración, ya sea en audiencia pública o por </w:t>
      </w:r>
      <w:r w:rsidR="00DC200F" w:rsidRPr="00DC200F">
        <w:rPr>
          <w:rFonts w:ascii="Verdana" w:hAnsi="Verdana"/>
          <w:sz w:val="20"/>
          <w:szCs w:val="20"/>
        </w:rPr>
        <w:t>a</w:t>
      </w:r>
      <w:r w:rsidRPr="00DC200F">
        <w:rPr>
          <w:rFonts w:ascii="Verdana" w:hAnsi="Verdana"/>
          <w:sz w:val="20"/>
          <w:szCs w:val="20"/>
        </w:rPr>
        <w:t>fidávit</w:t>
      </w:r>
      <w:r w:rsidRPr="005E46AD">
        <w:rPr>
          <w:rFonts w:ascii="Verdana" w:hAnsi="Verdana"/>
          <w:sz w:val="20"/>
          <w:szCs w:val="20"/>
        </w:rPr>
        <w:t>, no menoscaba o restringe el derecho de defensa de las partes en el procedimiento, pues todos los instrumentos probatorios serán igualmente valorados en la etapa procesal correspondiente</w:t>
      </w:r>
      <w:r w:rsidR="005E46AD" w:rsidRPr="005E46AD">
        <w:rPr>
          <w:rStyle w:val="FootnoteReference"/>
          <w:rFonts w:ascii="Verdana" w:eastAsia="Verdana" w:hAnsi="Verdana"/>
          <w:sz w:val="20"/>
          <w:szCs w:val="20"/>
          <w:lang w:val="es-PE"/>
        </w:rPr>
        <w:footnoteReference w:id="7"/>
      </w:r>
      <w:r w:rsidRPr="005E46AD">
        <w:rPr>
          <w:rFonts w:ascii="Verdana" w:hAnsi="Verdana"/>
          <w:sz w:val="20"/>
          <w:szCs w:val="20"/>
        </w:rPr>
        <w:t>.</w:t>
      </w:r>
    </w:p>
    <w:p w:rsidR="005E46AD" w:rsidRPr="005E46AD" w:rsidRDefault="005E46AD" w:rsidP="005E46AD">
      <w:pPr>
        <w:pStyle w:val="ListParagraph"/>
        <w:rPr>
          <w:rFonts w:ascii="Verdana" w:eastAsia="Verdana" w:hAnsi="Verdana"/>
          <w:sz w:val="20"/>
          <w:szCs w:val="20"/>
          <w:lang w:val="es-PE"/>
        </w:rPr>
      </w:pPr>
    </w:p>
    <w:p w:rsidR="005E46AD" w:rsidRPr="00153F33" w:rsidRDefault="005E46AD" w:rsidP="005E46AD">
      <w:pPr>
        <w:pStyle w:val="ListParagraph"/>
        <w:numPr>
          <w:ilvl w:val="0"/>
          <w:numId w:val="3"/>
        </w:numPr>
        <w:tabs>
          <w:tab w:val="left" w:pos="540"/>
        </w:tabs>
        <w:spacing w:after="0" w:line="250" w:lineRule="auto"/>
        <w:ind w:left="0" w:right="48" w:firstLine="0"/>
        <w:jc w:val="both"/>
        <w:rPr>
          <w:rFonts w:ascii="Verdana" w:eastAsia="Verdana" w:hAnsi="Verdana"/>
          <w:sz w:val="20"/>
          <w:szCs w:val="20"/>
          <w:lang w:val="es-PE"/>
        </w:rPr>
      </w:pPr>
      <w:r w:rsidRPr="005E46AD">
        <w:rPr>
          <w:rFonts w:ascii="Verdana" w:hAnsi="Verdana"/>
          <w:sz w:val="20"/>
          <w:szCs w:val="20"/>
        </w:rPr>
        <w:t xml:space="preserve">En esa línea, la Corte estima que la diferencia numérica de elementos probatorios a ser </w:t>
      </w:r>
      <w:proofErr w:type="spellStart"/>
      <w:r w:rsidRPr="005E46AD">
        <w:rPr>
          <w:rFonts w:ascii="Verdana" w:hAnsi="Verdana"/>
          <w:sz w:val="20"/>
          <w:szCs w:val="20"/>
        </w:rPr>
        <w:t>recepcionados</w:t>
      </w:r>
      <w:proofErr w:type="spellEnd"/>
      <w:r w:rsidRPr="005E46AD">
        <w:rPr>
          <w:rFonts w:ascii="Verdana" w:hAnsi="Verdana"/>
          <w:sz w:val="20"/>
          <w:szCs w:val="20"/>
        </w:rPr>
        <w:t xml:space="preserve"> en audiencia no implica afectación al equilibrio procesal entre las partes en ventaja de una o desmedro de otra, pues se otorgó a ambas la oportunidad de incorporar al proceso los medios de prueba que estimen pertinentes, independientemente de su modo de actuación durante el procedimiento</w:t>
      </w:r>
      <w:r w:rsidRPr="005E46AD">
        <w:rPr>
          <w:rStyle w:val="FootnoteReference"/>
          <w:rFonts w:ascii="Verdana" w:eastAsia="Verdana" w:hAnsi="Verdana"/>
          <w:sz w:val="20"/>
          <w:szCs w:val="20"/>
          <w:lang w:val="es-PE"/>
        </w:rPr>
        <w:footnoteReference w:id="8"/>
      </w:r>
      <w:r w:rsidRPr="005E46AD">
        <w:rPr>
          <w:rFonts w:ascii="Verdana" w:hAnsi="Verdana"/>
          <w:sz w:val="20"/>
          <w:szCs w:val="20"/>
        </w:rPr>
        <w:t>.</w:t>
      </w:r>
      <w:r w:rsidR="00313E40">
        <w:rPr>
          <w:rFonts w:ascii="Verdana" w:hAnsi="Verdana"/>
          <w:sz w:val="20"/>
          <w:szCs w:val="20"/>
        </w:rPr>
        <w:t xml:space="preserve"> </w:t>
      </w:r>
      <w:r w:rsidR="00313E40" w:rsidRPr="00153F33">
        <w:rPr>
          <w:rFonts w:ascii="Verdana" w:hAnsi="Verdana"/>
          <w:sz w:val="20"/>
          <w:szCs w:val="20"/>
        </w:rPr>
        <w:t>Asimismo, la Corte destaca que si bien los testigos y peritos son propuestos por las partes, no los representan</w:t>
      </w:r>
      <w:r w:rsidR="00EB7C0F" w:rsidRPr="00153F33">
        <w:rPr>
          <w:rFonts w:ascii="Verdana" w:hAnsi="Verdana"/>
          <w:sz w:val="20"/>
          <w:szCs w:val="20"/>
        </w:rPr>
        <w:t>.</w:t>
      </w:r>
      <w:r w:rsidR="00313E40" w:rsidRPr="00153F33">
        <w:rPr>
          <w:rFonts w:ascii="Verdana" w:hAnsi="Verdana"/>
          <w:sz w:val="20"/>
          <w:szCs w:val="20"/>
        </w:rPr>
        <w:t xml:space="preserve"> </w:t>
      </w:r>
      <w:r w:rsidR="00EB7C0F" w:rsidRPr="00153F33">
        <w:rPr>
          <w:rFonts w:ascii="Verdana" w:hAnsi="Verdana"/>
          <w:sz w:val="20"/>
          <w:szCs w:val="20"/>
        </w:rPr>
        <w:t>L</w:t>
      </w:r>
      <w:r w:rsidR="00313E40" w:rsidRPr="00153F33">
        <w:rPr>
          <w:rFonts w:ascii="Verdana" w:hAnsi="Verdana"/>
          <w:sz w:val="20"/>
          <w:szCs w:val="20"/>
        </w:rPr>
        <w:t xml:space="preserve">e corresponde a este Tribunal decidir qué declaraciones son necesarias recibir para la determinación de la verdad, volviéndose así los declarantes auxiliares de la justicia. </w:t>
      </w:r>
    </w:p>
    <w:p w:rsidR="005E46AD" w:rsidRPr="005E46AD" w:rsidRDefault="005E46AD" w:rsidP="005E46AD">
      <w:pPr>
        <w:pStyle w:val="ListParagraph"/>
        <w:tabs>
          <w:tab w:val="left" w:pos="540"/>
        </w:tabs>
        <w:spacing w:after="0" w:line="250" w:lineRule="auto"/>
        <w:ind w:left="0" w:right="48"/>
        <w:jc w:val="both"/>
        <w:rPr>
          <w:rFonts w:ascii="Verdana" w:eastAsia="Verdana" w:hAnsi="Verdana"/>
          <w:sz w:val="20"/>
          <w:szCs w:val="20"/>
          <w:lang w:val="es-PE"/>
        </w:rPr>
      </w:pPr>
    </w:p>
    <w:p w:rsidR="009A14BC" w:rsidRPr="009A14BC" w:rsidRDefault="005E46AD" w:rsidP="009A14BC">
      <w:pPr>
        <w:pStyle w:val="ListParagraph"/>
        <w:numPr>
          <w:ilvl w:val="0"/>
          <w:numId w:val="3"/>
        </w:numPr>
        <w:tabs>
          <w:tab w:val="left" w:pos="540"/>
        </w:tabs>
        <w:spacing w:after="0" w:line="250" w:lineRule="auto"/>
        <w:ind w:left="0" w:right="48" w:firstLine="0"/>
        <w:jc w:val="both"/>
        <w:rPr>
          <w:rFonts w:ascii="Verdana" w:hAnsi="Verdana"/>
          <w:sz w:val="20"/>
          <w:szCs w:val="20"/>
        </w:rPr>
      </w:pPr>
      <w:r>
        <w:rPr>
          <w:rFonts w:ascii="Verdana" w:eastAsia="Verdana" w:hAnsi="Verdana"/>
          <w:sz w:val="20"/>
          <w:szCs w:val="20"/>
          <w:lang w:val="es-PE"/>
        </w:rPr>
        <w:t>Por tanto</w:t>
      </w:r>
      <w:r w:rsidR="009A14BC" w:rsidRPr="009A14BC">
        <w:rPr>
          <w:rFonts w:ascii="Verdana" w:eastAsia="Verdana" w:hAnsi="Verdana"/>
          <w:sz w:val="20"/>
          <w:szCs w:val="20"/>
          <w:lang w:val="es-PE"/>
        </w:rPr>
        <w:t xml:space="preserve">, la Corte reitera las consideraciones del Presidente vertidas en la Resolución recurrida en cuanto a la pertinencia de recabar </w:t>
      </w:r>
      <w:r w:rsidR="009136EB" w:rsidRPr="009A14BC">
        <w:rPr>
          <w:rFonts w:ascii="Verdana" w:eastAsia="Verdana" w:hAnsi="Verdana"/>
          <w:sz w:val="20"/>
          <w:szCs w:val="20"/>
          <w:lang w:val="es-PE"/>
        </w:rPr>
        <w:t xml:space="preserve">por </w:t>
      </w:r>
      <w:r w:rsidR="00DC200F" w:rsidRPr="00DC200F">
        <w:rPr>
          <w:rFonts w:ascii="Verdana" w:eastAsia="Verdana" w:hAnsi="Verdana"/>
          <w:sz w:val="20"/>
          <w:szCs w:val="20"/>
          <w:lang w:val="es-PE"/>
        </w:rPr>
        <w:t>a</w:t>
      </w:r>
      <w:r w:rsidR="009136EB" w:rsidRPr="00DC200F">
        <w:rPr>
          <w:rFonts w:ascii="Verdana" w:eastAsia="Verdana" w:hAnsi="Verdana"/>
          <w:sz w:val="20"/>
          <w:szCs w:val="20"/>
          <w:lang w:val="es-PE"/>
        </w:rPr>
        <w:t>fidávit</w:t>
      </w:r>
      <w:r w:rsidR="009136EB" w:rsidRPr="009A14BC">
        <w:rPr>
          <w:rFonts w:ascii="Verdana" w:eastAsia="Verdana" w:hAnsi="Verdana"/>
          <w:sz w:val="20"/>
          <w:szCs w:val="20"/>
          <w:lang w:val="es-PE"/>
        </w:rPr>
        <w:t xml:space="preserve"> </w:t>
      </w:r>
      <w:r w:rsidR="009A14BC" w:rsidRPr="009A14BC">
        <w:rPr>
          <w:rFonts w:ascii="Verdana" w:eastAsia="Verdana" w:hAnsi="Verdana"/>
          <w:sz w:val="20"/>
          <w:szCs w:val="20"/>
          <w:lang w:val="es-PE"/>
        </w:rPr>
        <w:t>las declaraciones de</w:t>
      </w:r>
      <w:r w:rsidR="009A14BC">
        <w:rPr>
          <w:rFonts w:ascii="Verdana" w:eastAsia="Verdana" w:hAnsi="Verdana"/>
          <w:sz w:val="20"/>
          <w:szCs w:val="20"/>
          <w:lang w:val="es-PE"/>
        </w:rPr>
        <w:t xml:space="preserve"> </w:t>
      </w:r>
      <w:r w:rsidR="009136EB">
        <w:rPr>
          <w:rFonts w:ascii="Verdana" w:eastAsia="Verdana" w:hAnsi="Verdana"/>
          <w:sz w:val="20"/>
          <w:szCs w:val="20"/>
          <w:lang w:val="es-PE"/>
        </w:rPr>
        <w:t xml:space="preserve">los testigos </w:t>
      </w:r>
      <w:r w:rsidR="009136EB">
        <w:rPr>
          <w:rFonts w:ascii="Verdana" w:hAnsi="Verdana"/>
          <w:sz w:val="20"/>
          <w:szCs w:val="20"/>
        </w:rPr>
        <w:t xml:space="preserve">Adolfo René Marín Ferreira y </w:t>
      </w:r>
      <w:r w:rsidR="009A14BC" w:rsidRPr="009A14BC">
        <w:rPr>
          <w:rFonts w:ascii="Verdana" w:hAnsi="Verdana"/>
          <w:sz w:val="20"/>
          <w:szCs w:val="20"/>
        </w:rPr>
        <w:t>Juan Carlos Duarte Martínez</w:t>
      </w:r>
      <w:r w:rsidR="009136EB">
        <w:rPr>
          <w:rStyle w:val="FootnoteReference"/>
          <w:rFonts w:ascii="Verdana" w:hAnsi="Verdana"/>
          <w:sz w:val="20"/>
          <w:szCs w:val="20"/>
        </w:rPr>
        <w:footnoteReference w:id="9"/>
      </w:r>
      <w:r w:rsidR="009A14BC" w:rsidRPr="009A14BC">
        <w:rPr>
          <w:rFonts w:ascii="Verdana" w:hAnsi="Verdana"/>
          <w:sz w:val="20"/>
          <w:szCs w:val="20"/>
        </w:rPr>
        <w:t xml:space="preserve">, </w:t>
      </w:r>
      <w:r w:rsidR="009136EB">
        <w:rPr>
          <w:rFonts w:ascii="Verdana" w:hAnsi="Verdana"/>
          <w:sz w:val="20"/>
          <w:szCs w:val="20"/>
        </w:rPr>
        <w:t xml:space="preserve">así como de los peritos </w:t>
      </w:r>
      <w:r w:rsidR="009A14BC" w:rsidRPr="009A14BC">
        <w:rPr>
          <w:rFonts w:ascii="Verdana" w:hAnsi="Verdana" w:cs="Arial"/>
          <w:sz w:val="20"/>
          <w:szCs w:val="20"/>
        </w:rPr>
        <w:t xml:space="preserve">Pablo Ernesto </w:t>
      </w:r>
      <w:proofErr w:type="spellStart"/>
      <w:r w:rsidR="009A14BC" w:rsidRPr="009A14BC">
        <w:rPr>
          <w:rFonts w:ascii="Verdana" w:hAnsi="Verdana" w:cs="Arial"/>
          <w:sz w:val="20"/>
          <w:szCs w:val="20"/>
        </w:rPr>
        <w:t>Lemir</w:t>
      </w:r>
      <w:proofErr w:type="spellEnd"/>
      <w:r w:rsidR="009A14BC" w:rsidRPr="009A14BC">
        <w:rPr>
          <w:rFonts w:ascii="Verdana" w:hAnsi="Verdana" w:cs="Arial"/>
          <w:sz w:val="20"/>
          <w:szCs w:val="20"/>
        </w:rPr>
        <w:t xml:space="preserve"> </w:t>
      </w:r>
      <w:proofErr w:type="spellStart"/>
      <w:r w:rsidR="009A14BC" w:rsidRPr="009A14BC">
        <w:rPr>
          <w:rFonts w:ascii="Verdana" w:hAnsi="Verdana" w:cs="Arial"/>
          <w:sz w:val="20"/>
          <w:szCs w:val="20"/>
        </w:rPr>
        <w:t>Ma</w:t>
      </w:r>
      <w:r w:rsidR="007C4E7F">
        <w:rPr>
          <w:rFonts w:ascii="Verdana" w:hAnsi="Verdana" w:cs="Arial"/>
          <w:sz w:val="20"/>
          <w:szCs w:val="20"/>
        </w:rPr>
        <w:t>rchese</w:t>
      </w:r>
      <w:proofErr w:type="spellEnd"/>
      <w:r w:rsidR="007C4E7F">
        <w:rPr>
          <w:rFonts w:ascii="Verdana" w:hAnsi="Verdana" w:cs="Arial"/>
          <w:sz w:val="20"/>
          <w:szCs w:val="20"/>
        </w:rPr>
        <w:t xml:space="preserve"> y Nicolás </w:t>
      </w:r>
      <w:proofErr w:type="spellStart"/>
      <w:r w:rsidR="007C4E7F">
        <w:rPr>
          <w:rFonts w:ascii="Verdana" w:hAnsi="Verdana" w:cs="Arial"/>
          <w:sz w:val="20"/>
          <w:szCs w:val="20"/>
        </w:rPr>
        <w:t>Garcete</w:t>
      </w:r>
      <w:proofErr w:type="spellEnd"/>
      <w:r w:rsidR="009136EB">
        <w:rPr>
          <w:rStyle w:val="FootnoteReference"/>
          <w:rFonts w:ascii="Verdana" w:hAnsi="Verdana" w:cs="Arial"/>
          <w:sz w:val="20"/>
          <w:szCs w:val="20"/>
        </w:rPr>
        <w:footnoteReference w:id="10"/>
      </w:r>
      <w:r w:rsidR="009A14BC" w:rsidRPr="009A14BC">
        <w:rPr>
          <w:rFonts w:ascii="Verdana" w:eastAsia="Verdana" w:hAnsi="Verdana"/>
          <w:sz w:val="20"/>
          <w:szCs w:val="20"/>
          <w:lang w:val="es-PE"/>
        </w:rPr>
        <w:t xml:space="preserve">, sin que ello resulte en detrimento a los principios de contradictorio procesal y para efectos de que en la debida oportunidad el Tribunal aprecie su valor dentro del contexto de acervo probatorio existente y según las </w:t>
      </w:r>
      <w:r w:rsidR="009A14BC" w:rsidRPr="009A14BC">
        <w:rPr>
          <w:rFonts w:ascii="Verdana" w:eastAsia="Verdana" w:hAnsi="Verdana"/>
          <w:sz w:val="20"/>
          <w:szCs w:val="20"/>
          <w:lang w:val="es-PE"/>
        </w:rPr>
        <w:lastRenderedPageBreak/>
        <w:t>reglas de la sana crítica. En c</w:t>
      </w:r>
      <w:r w:rsidR="009A14BC">
        <w:rPr>
          <w:rFonts w:ascii="Verdana" w:eastAsia="Verdana" w:hAnsi="Verdana"/>
          <w:sz w:val="20"/>
          <w:szCs w:val="20"/>
          <w:lang w:val="es-PE"/>
        </w:rPr>
        <w:t xml:space="preserve">onsecuencia, resuelve confirmar </w:t>
      </w:r>
      <w:r w:rsidR="001F475B">
        <w:rPr>
          <w:rFonts w:ascii="Verdana" w:eastAsia="Verdana" w:hAnsi="Verdana"/>
          <w:sz w:val="20"/>
          <w:szCs w:val="20"/>
          <w:lang w:val="es-PE"/>
        </w:rPr>
        <w:t xml:space="preserve">en este extremo </w:t>
      </w:r>
      <w:r w:rsidR="009A14BC" w:rsidRPr="009A14BC">
        <w:rPr>
          <w:rFonts w:ascii="Verdana" w:eastAsia="Verdana" w:hAnsi="Verdana"/>
          <w:sz w:val="20"/>
          <w:szCs w:val="20"/>
          <w:lang w:val="es-PE"/>
        </w:rPr>
        <w:t xml:space="preserve">la Resolución del Presidente para que </w:t>
      </w:r>
      <w:r w:rsidR="009A14BC">
        <w:rPr>
          <w:rFonts w:ascii="Verdana" w:eastAsia="Verdana" w:hAnsi="Verdana"/>
          <w:sz w:val="20"/>
          <w:szCs w:val="20"/>
          <w:lang w:val="es-PE"/>
        </w:rPr>
        <w:t>los</w:t>
      </w:r>
      <w:r w:rsidR="009A14BC" w:rsidRPr="009A14BC">
        <w:rPr>
          <w:rFonts w:ascii="Verdana" w:eastAsia="Verdana" w:hAnsi="Verdana"/>
          <w:sz w:val="20"/>
          <w:szCs w:val="20"/>
          <w:lang w:val="es-PE"/>
        </w:rPr>
        <w:t xml:space="preserve"> testimonio</w:t>
      </w:r>
      <w:r w:rsidR="009A14BC">
        <w:rPr>
          <w:rFonts w:ascii="Verdana" w:eastAsia="Verdana" w:hAnsi="Verdana"/>
          <w:sz w:val="20"/>
          <w:szCs w:val="20"/>
          <w:lang w:val="es-PE"/>
        </w:rPr>
        <w:t>s</w:t>
      </w:r>
      <w:r w:rsidR="009A14BC" w:rsidRPr="009A14BC">
        <w:rPr>
          <w:rFonts w:ascii="Verdana" w:eastAsia="Verdana" w:hAnsi="Verdana"/>
          <w:sz w:val="20"/>
          <w:szCs w:val="20"/>
          <w:lang w:val="es-PE"/>
        </w:rPr>
        <w:t xml:space="preserve"> referido</w:t>
      </w:r>
      <w:r w:rsidR="009A14BC">
        <w:rPr>
          <w:rFonts w:ascii="Verdana" w:eastAsia="Verdana" w:hAnsi="Verdana"/>
          <w:sz w:val="20"/>
          <w:szCs w:val="20"/>
          <w:lang w:val="es-PE"/>
        </w:rPr>
        <w:t>s</w:t>
      </w:r>
      <w:r w:rsidR="009A14BC" w:rsidRPr="009A14BC">
        <w:rPr>
          <w:rFonts w:ascii="Verdana" w:eastAsia="Verdana" w:hAnsi="Verdana"/>
          <w:sz w:val="20"/>
          <w:szCs w:val="20"/>
          <w:lang w:val="es-PE"/>
        </w:rPr>
        <w:t xml:space="preserve"> sea</w:t>
      </w:r>
      <w:r w:rsidR="009A14BC">
        <w:rPr>
          <w:rFonts w:ascii="Verdana" w:eastAsia="Verdana" w:hAnsi="Verdana"/>
          <w:sz w:val="20"/>
          <w:szCs w:val="20"/>
          <w:lang w:val="es-PE"/>
        </w:rPr>
        <w:t>n</w:t>
      </w:r>
      <w:r w:rsidR="009A14BC" w:rsidRPr="009A14BC">
        <w:rPr>
          <w:rFonts w:ascii="Verdana" w:eastAsia="Verdana" w:hAnsi="Verdana"/>
          <w:sz w:val="20"/>
          <w:szCs w:val="20"/>
          <w:lang w:val="es-PE"/>
        </w:rPr>
        <w:t xml:space="preserve"> desahogado</w:t>
      </w:r>
      <w:r w:rsidR="009A14BC">
        <w:rPr>
          <w:rFonts w:ascii="Verdana" w:eastAsia="Verdana" w:hAnsi="Verdana"/>
          <w:sz w:val="20"/>
          <w:szCs w:val="20"/>
          <w:lang w:val="es-PE"/>
        </w:rPr>
        <w:t>s</w:t>
      </w:r>
      <w:r w:rsidR="009A14BC" w:rsidRPr="009A14BC">
        <w:rPr>
          <w:rFonts w:ascii="Verdana" w:eastAsia="Verdana" w:hAnsi="Verdana"/>
          <w:sz w:val="20"/>
          <w:szCs w:val="20"/>
          <w:lang w:val="es-PE"/>
        </w:rPr>
        <w:t xml:space="preserve"> en la modalidad señalada, y desestimar la solicitud de reconsideración realizada por </w:t>
      </w:r>
      <w:r w:rsidR="009A14BC">
        <w:rPr>
          <w:rFonts w:ascii="Verdana" w:eastAsia="Verdana" w:hAnsi="Verdana"/>
          <w:sz w:val="20"/>
          <w:szCs w:val="20"/>
          <w:lang w:val="es-PE"/>
        </w:rPr>
        <w:t>el Estado</w:t>
      </w:r>
      <w:r w:rsidR="009A14BC" w:rsidRPr="009A14BC">
        <w:rPr>
          <w:rFonts w:ascii="Verdana" w:eastAsia="Verdana" w:hAnsi="Verdana"/>
          <w:sz w:val="20"/>
          <w:szCs w:val="20"/>
          <w:lang w:val="es-PE"/>
        </w:rPr>
        <w:t xml:space="preserve"> en cuanto a este punto específico.</w:t>
      </w:r>
    </w:p>
    <w:p w:rsidR="009A14BC" w:rsidRPr="009A14BC" w:rsidRDefault="009A14BC" w:rsidP="009A14BC">
      <w:pPr>
        <w:pStyle w:val="ListParagraph"/>
        <w:rPr>
          <w:rFonts w:ascii="Verdana" w:hAnsi="Verdana"/>
          <w:sz w:val="20"/>
          <w:szCs w:val="20"/>
        </w:rPr>
      </w:pPr>
    </w:p>
    <w:p w:rsidR="009A14BC" w:rsidRPr="009A14BC" w:rsidRDefault="009A14BC" w:rsidP="009A14BC">
      <w:pPr>
        <w:pStyle w:val="ListParagraph"/>
        <w:numPr>
          <w:ilvl w:val="0"/>
          <w:numId w:val="3"/>
        </w:numPr>
        <w:tabs>
          <w:tab w:val="left" w:pos="540"/>
        </w:tabs>
        <w:spacing w:after="0" w:line="250" w:lineRule="auto"/>
        <w:ind w:left="0" w:right="48" w:firstLine="0"/>
        <w:jc w:val="both"/>
        <w:rPr>
          <w:rFonts w:ascii="Verdana" w:hAnsi="Verdana"/>
          <w:sz w:val="20"/>
          <w:szCs w:val="20"/>
        </w:rPr>
      </w:pPr>
      <w:r>
        <w:rPr>
          <w:rFonts w:ascii="Verdana" w:hAnsi="Verdana"/>
          <w:sz w:val="20"/>
          <w:szCs w:val="20"/>
        </w:rPr>
        <w:t xml:space="preserve">Por </w:t>
      </w:r>
      <w:r w:rsidRPr="001F475B">
        <w:rPr>
          <w:rFonts w:ascii="Verdana" w:hAnsi="Verdana"/>
          <w:sz w:val="20"/>
          <w:szCs w:val="20"/>
        </w:rPr>
        <w:t xml:space="preserve">otra parte, </w:t>
      </w:r>
      <w:r w:rsidR="00646116">
        <w:rPr>
          <w:rFonts w:ascii="Verdana" w:hAnsi="Verdana"/>
          <w:sz w:val="20"/>
          <w:szCs w:val="20"/>
        </w:rPr>
        <w:t xml:space="preserve">tomando en cuenta los </w:t>
      </w:r>
      <w:r w:rsidR="005E46AD">
        <w:rPr>
          <w:rFonts w:ascii="Verdana" w:hAnsi="Verdana"/>
          <w:sz w:val="20"/>
          <w:szCs w:val="20"/>
        </w:rPr>
        <w:t>objetos de las declaraciones ofrecidas por el Estado</w:t>
      </w:r>
      <w:r w:rsidR="00646116">
        <w:rPr>
          <w:rFonts w:ascii="Verdana" w:hAnsi="Verdana"/>
          <w:sz w:val="20"/>
          <w:szCs w:val="20"/>
        </w:rPr>
        <w:t xml:space="preserve">, </w:t>
      </w:r>
      <w:r w:rsidRPr="001F475B">
        <w:rPr>
          <w:rFonts w:ascii="Verdana" w:eastAsia="Verdana" w:hAnsi="Verdana"/>
          <w:sz w:val="20"/>
          <w:szCs w:val="20"/>
          <w:lang w:val="es-PE"/>
        </w:rPr>
        <w:t xml:space="preserve">el Tribunal considera razonable modificar el punto resolutivo </w:t>
      </w:r>
      <w:r w:rsidR="00646116">
        <w:rPr>
          <w:rFonts w:ascii="Verdana" w:eastAsia="Verdana" w:hAnsi="Verdana"/>
          <w:sz w:val="20"/>
          <w:szCs w:val="20"/>
          <w:lang w:val="es-PE"/>
        </w:rPr>
        <w:t>2</w:t>
      </w:r>
      <w:r w:rsidRPr="001F475B">
        <w:rPr>
          <w:rFonts w:ascii="Verdana" w:eastAsia="Verdana" w:hAnsi="Verdana"/>
          <w:sz w:val="20"/>
          <w:szCs w:val="20"/>
          <w:lang w:val="es-PE"/>
        </w:rPr>
        <w:t xml:space="preserve"> </w:t>
      </w:r>
      <w:proofErr w:type="gramStart"/>
      <w:r w:rsidRPr="001F475B">
        <w:rPr>
          <w:rFonts w:ascii="Verdana" w:eastAsia="Verdana" w:hAnsi="Verdana"/>
          <w:sz w:val="20"/>
          <w:szCs w:val="20"/>
          <w:lang w:val="es-PE"/>
        </w:rPr>
        <w:t>inciso</w:t>
      </w:r>
      <w:proofErr w:type="gramEnd"/>
      <w:r w:rsidRPr="001F475B">
        <w:rPr>
          <w:rFonts w:ascii="Verdana" w:eastAsia="Verdana" w:hAnsi="Verdana"/>
          <w:sz w:val="20"/>
          <w:szCs w:val="20"/>
          <w:lang w:val="es-PE"/>
        </w:rPr>
        <w:t xml:space="preserve"> b), y convocar al testigo </w:t>
      </w:r>
      <w:r w:rsidRPr="001F475B">
        <w:rPr>
          <w:rFonts w:ascii="Verdana" w:hAnsi="Verdana"/>
          <w:sz w:val="20"/>
          <w:szCs w:val="20"/>
          <w:lang w:val="es-PE"/>
        </w:rPr>
        <w:t>Edgar</w:t>
      </w:r>
      <w:r w:rsidR="008D67EA">
        <w:rPr>
          <w:rFonts w:ascii="Verdana" w:hAnsi="Verdana"/>
          <w:sz w:val="20"/>
          <w:szCs w:val="20"/>
          <w:lang w:val="es-PE"/>
        </w:rPr>
        <w:t xml:space="preserve"> Gustavo</w:t>
      </w:r>
      <w:r w:rsidRPr="001F475B">
        <w:rPr>
          <w:rFonts w:ascii="Verdana" w:hAnsi="Verdana"/>
          <w:sz w:val="20"/>
          <w:szCs w:val="20"/>
          <w:lang w:val="es-PE"/>
        </w:rPr>
        <w:t xml:space="preserve"> Sánchez Caballero a rendir declaración en la audiencia pública a celebrarse sobre el caso.</w:t>
      </w:r>
      <w:r w:rsidRPr="009A14BC">
        <w:rPr>
          <w:rFonts w:ascii="Verdana" w:hAnsi="Verdana"/>
          <w:sz w:val="20"/>
          <w:szCs w:val="20"/>
          <w:lang w:val="es-PE"/>
        </w:rPr>
        <w:t xml:space="preserve"> </w:t>
      </w:r>
    </w:p>
    <w:p w:rsidR="00646116" w:rsidRPr="00F023D8" w:rsidRDefault="00646116" w:rsidP="00594851">
      <w:pPr>
        <w:pStyle w:val="Numberedparagraphs"/>
        <w:numPr>
          <w:ilvl w:val="0"/>
          <w:numId w:val="0"/>
        </w:numPr>
        <w:tabs>
          <w:tab w:val="left" w:pos="567"/>
        </w:tabs>
        <w:rPr>
          <w:lang w:val="es-PE"/>
        </w:rPr>
      </w:pPr>
    </w:p>
    <w:p w:rsidR="00594851" w:rsidRPr="00CB6343" w:rsidRDefault="00594851" w:rsidP="00594851">
      <w:pPr>
        <w:pStyle w:val="PrrafodeSentencia"/>
        <w:numPr>
          <w:ilvl w:val="0"/>
          <w:numId w:val="0"/>
        </w:numPr>
        <w:rPr>
          <w:b/>
        </w:rPr>
      </w:pPr>
      <w:r w:rsidRPr="00CB6343">
        <w:rPr>
          <w:b/>
        </w:rPr>
        <w:t>POR TANTO:</w:t>
      </w:r>
    </w:p>
    <w:p w:rsidR="00594851" w:rsidRPr="00CB6343" w:rsidRDefault="00594851" w:rsidP="00594851">
      <w:pPr>
        <w:tabs>
          <w:tab w:val="left" w:pos="567"/>
        </w:tabs>
        <w:jc w:val="both"/>
        <w:rPr>
          <w:b/>
          <w:lang w:val="es-MX"/>
        </w:rPr>
      </w:pPr>
    </w:p>
    <w:p w:rsidR="00594851" w:rsidRPr="00CB6343" w:rsidRDefault="00594851" w:rsidP="00594851">
      <w:pPr>
        <w:tabs>
          <w:tab w:val="left" w:pos="567"/>
        </w:tabs>
        <w:jc w:val="both"/>
        <w:rPr>
          <w:b/>
          <w:lang w:val="es-MX"/>
        </w:rPr>
      </w:pPr>
      <w:r w:rsidRPr="00CB6343">
        <w:rPr>
          <w:b/>
          <w:lang w:val="es-MX"/>
        </w:rPr>
        <w:t>LA CORTE INTERAMERICANA DE DERECHOS HUMANOS,</w:t>
      </w:r>
    </w:p>
    <w:p w:rsidR="00594851" w:rsidRPr="00CB6343" w:rsidRDefault="00594851" w:rsidP="00594851">
      <w:pPr>
        <w:tabs>
          <w:tab w:val="left" w:pos="567"/>
        </w:tabs>
        <w:jc w:val="both"/>
        <w:rPr>
          <w:lang w:val="es-MX"/>
        </w:rPr>
      </w:pPr>
    </w:p>
    <w:p w:rsidR="00594851" w:rsidRDefault="00365164" w:rsidP="00594851">
      <w:pPr>
        <w:tabs>
          <w:tab w:val="left" w:pos="567"/>
        </w:tabs>
        <w:jc w:val="both"/>
        <w:rPr>
          <w:lang w:val="es-MX"/>
        </w:rPr>
      </w:pPr>
      <w:proofErr w:type="gramStart"/>
      <w:r w:rsidRPr="00365164">
        <w:rPr>
          <w:lang w:val="es-MX"/>
        </w:rPr>
        <w:t>de</w:t>
      </w:r>
      <w:proofErr w:type="gramEnd"/>
      <w:r w:rsidRPr="00365164">
        <w:rPr>
          <w:lang w:val="es-MX"/>
        </w:rPr>
        <w:t xml:space="preserve"> conformidad con el artículo 25.2 del Estatuto de la Corte y con los artículos 31.2, 49 y 50 del Reglamento,</w:t>
      </w:r>
    </w:p>
    <w:p w:rsidR="00365164" w:rsidRPr="00CB6343" w:rsidRDefault="00365164" w:rsidP="00594851">
      <w:pPr>
        <w:tabs>
          <w:tab w:val="left" w:pos="567"/>
        </w:tabs>
        <w:jc w:val="both"/>
        <w:rPr>
          <w:b/>
          <w:lang w:val="es-MX"/>
        </w:rPr>
      </w:pPr>
    </w:p>
    <w:p w:rsidR="00594851" w:rsidRPr="00CB6343" w:rsidRDefault="00594851" w:rsidP="00594851">
      <w:pPr>
        <w:tabs>
          <w:tab w:val="left" w:pos="567"/>
        </w:tabs>
        <w:jc w:val="both"/>
        <w:rPr>
          <w:b/>
        </w:rPr>
      </w:pPr>
      <w:r w:rsidRPr="00CB6343">
        <w:rPr>
          <w:b/>
          <w:lang w:val="es-MX"/>
        </w:rPr>
        <w:t>RESUELVE</w:t>
      </w:r>
      <w:r w:rsidRPr="00CB6343">
        <w:rPr>
          <w:b/>
        </w:rPr>
        <w:t>:</w:t>
      </w:r>
    </w:p>
    <w:p w:rsidR="00594851" w:rsidRPr="00CB6343" w:rsidRDefault="00594851" w:rsidP="00594851">
      <w:pPr>
        <w:tabs>
          <w:tab w:val="left" w:pos="567"/>
        </w:tabs>
        <w:jc w:val="both"/>
        <w:rPr>
          <w:b/>
        </w:rPr>
      </w:pPr>
    </w:p>
    <w:p w:rsidR="007917BD" w:rsidRDefault="00365164" w:rsidP="007917BD">
      <w:pPr>
        <w:pStyle w:val="Numberedparagraphs"/>
        <w:numPr>
          <w:ilvl w:val="0"/>
          <w:numId w:val="2"/>
        </w:numPr>
        <w:tabs>
          <w:tab w:val="clear" w:pos="720"/>
          <w:tab w:val="num" w:pos="540"/>
          <w:tab w:val="left" w:pos="567"/>
        </w:tabs>
        <w:rPr>
          <w:lang w:val="es-PE"/>
        </w:rPr>
      </w:pPr>
      <w:r>
        <w:t>Modificar, en lo p</w:t>
      </w:r>
      <w:r w:rsidR="00253BC4">
        <w:t xml:space="preserve">ertinente, el punto resolutivo </w:t>
      </w:r>
      <w:r w:rsidR="004A05F8">
        <w:t>1</w:t>
      </w:r>
      <w:r>
        <w:t>, inciso b), de la Resoluci</w:t>
      </w:r>
      <w:r w:rsidR="007917BD">
        <w:t>ón del Presidente de 17 de diciembre de 2018</w:t>
      </w:r>
      <w:r>
        <w:t>, en atención a</w:t>
      </w:r>
      <w:r w:rsidR="004A05F8">
        <w:t>l considerando</w:t>
      </w:r>
      <w:r>
        <w:t xml:space="preserve"> </w:t>
      </w:r>
      <w:r w:rsidR="00DC200F">
        <w:t>15</w:t>
      </w:r>
      <w:r w:rsidR="00253BC4">
        <w:t xml:space="preserve"> de la presente </w:t>
      </w:r>
      <w:r w:rsidR="00904EF1">
        <w:t>Resolución</w:t>
      </w:r>
      <w:r w:rsidR="00253BC4">
        <w:t xml:space="preserve"> con la finalidad de</w:t>
      </w:r>
      <w:r>
        <w:t xml:space="preserve"> convocar a la audiencia pública al señor</w:t>
      </w:r>
      <w:r w:rsidR="007917BD">
        <w:t xml:space="preserve"> </w:t>
      </w:r>
      <w:r w:rsidR="007917BD">
        <w:rPr>
          <w:lang w:val="es-PE"/>
        </w:rPr>
        <w:t xml:space="preserve">Edgar </w:t>
      </w:r>
      <w:r w:rsidR="008D67EA">
        <w:rPr>
          <w:lang w:val="es-PE"/>
        </w:rPr>
        <w:t xml:space="preserve">Gustavo </w:t>
      </w:r>
      <w:r w:rsidR="007917BD">
        <w:rPr>
          <w:lang w:val="es-PE"/>
        </w:rPr>
        <w:t xml:space="preserve">Sánchez Caballero </w:t>
      </w:r>
      <w:r w:rsidR="00253BC4">
        <w:rPr>
          <w:lang w:val="es-PE"/>
        </w:rPr>
        <w:t>con el objeto</w:t>
      </w:r>
      <w:r w:rsidR="007917BD">
        <w:rPr>
          <w:lang w:val="es-PE"/>
        </w:rPr>
        <w:t xml:space="preserve"> de que brinde su declaración testimonial ante la Corte.</w:t>
      </w:r>
    </w:p>
    <w:p w:rsidR="007917BD" w:rsidRDefault="007917BD" w:rsidP="007917BD">
      <w:pPr>
        <w:pStyle w:val="Numberedparagraphs"/>
        <w:numPr>
          <w:ilvl w:val="0"/>
          <w:numId w:val="0"/>
        </w:numPr>
        <w:tabs>
          <w:tab w:val="left" w:pos="567"/>
        </w:tabs>
        <w:rPr>
          <w:lang w:val="es-PE"/>
        </w:rPr>
      </w:pPr>
    </w:p>
    <w:p w:rsidR="007917BD" w:rsidRPr="008420F1" w:rsidRDefault="00365164" w:rsidP="007917BD">
      <w:pPr>
        <w:pStyle w:val="Numberedparagraphs"/>
        <w:numPr>
          <w:ilvl w:val="0"/>
          <w:numId w:val="2"/>
        </w:numPr>
        <w:tabs>
          <w:tab w:val="clear" w:pos="720"/>
          <w:tab w:val="num" w:pos="540"/>
          <w:tab w:val="left" w:pos="567"/>
        </w:tabs>
        <w:rPr>
          <w:lang w:val="es-PE"/>
        </w:rPr>
      </w:pPr>
      <w:r>
        <w:t xml:space="preserve"> </w:t>
      </w:r>
      <w:r w:rsidR="007917BD">
        <w:t>Confirmar el punto resolutivo 2, inciso</w:t>
      </w:r>
      <w:r w:rsidR="004A05F8">
        <w:t>s b) y</w:t>
      </w:r>
      <w:r w:rsidR="007917BD">
        <w:t xml:space="preserve"> c) de la Resolución del Presidente </w:t>
      </w:r>
      <w:r w:rsidR="008D67EA">
        <w:t>de 17 de diciembre de 2018</w:t>
      </w:r>
      <w:r w:rsidR="007917BD">
        <w:t xml:space="preserve">, y declarar improcedente la solicitud del Estado para convocar a audiencia a los señores </w:t>
      </w:r>
      <w:r w:rsidR="004A05F8">
        <w:t xml:space="preserve">Adolfo René Marín Ferreira, </w:t>
      </w:r>
      <w:r w:rsidR="004A05F8" w:rsidRPr="009A14BC">
        <w:t xml:space="preserve">Juan Carlos Duarte Martínez, </w:t>
      </w:r>
      <w:r w:rsidR="004A05F8" w:rsidRPr="009A14BC">
        <w:rPr>
          <w:rFonts w:cs="Arial"/>
        </w:rPr>
        <w:t xml:space="preserve">Pablo Ernesto </w:t>
      </w:r>
      <w:proofErr w:type="spellStart"/>
      <w:r w:rsidR="004A05F8" w:rsidRPr="009A14BC">
        <w:rPr>
          <w:rFonts w:cs="Arial"/>
        </w:rPr>
        <w:t>Lemir</w:t>
      </w:r>
      <w:proofErr w:type="spellEnd"/>
      <w:r w:rsidR="004A05F8" w:rsidRPr="009A14BC">
        <w:rPr>
          <w:rFonts w:cs="Arial"/>
        </w:rPr>
        <w:t xml:space="preserve"> </w:t>
      </w:r>
      <w:proofErr w:type="spellStart"/>
      <w:r w:rsidR="004A05F8" w:rsidRPr="009A14BC">
        <w:rPr>
          <w:rFonts w:cs="Arial"/>
        </w:rPr>
        <w:t>Ma</w:t>
      </w:r>
      <w:r w:rsidR="004A05F8">
        <w:rPr>
          <w:rFonts w:cs="Arial"/>
        </w:rPr>
        <w:t>rchese</w:t>
      </w:r>
      <w:proofErr w:type="spellEnd"/>
      <w:r w:rsidR="004A05F8">
        <w:rPr>
          <w:rFonts w:cs="Arial"/>
        </w:rPr>
        <w:t xml:space="preserve"> y Nicolás </w:t>
      </w:r>
      <w:proofErr w:type="spellStart"/>
      <w:r w:rsidR="004A05F8">
        <w:rPr>
          <w:rFonts w:cs="Arial"/>
        </w:rPr>
        <w:t>Garcete</w:t>
      </w:r>
      <w:proofErr w:type="spellEnd"/>
      <w:r w:rsidR="007917BD">
        <w:rPr>
          <w:rFonts w:eastAsia="Verdana"/>
          <w:lang w:val="es-PE"/>
        </w:rPr>
        <w:t xml:space="preserve">, </w:t>
      </w:r>
      <w:r w:rsidR="00253BC4">
        <w:rPr>
          <w:rFonts w:eastAsia="Verdana"/>
          <w:lang w:val="es-PE"/>
        </w:rPr>
        <w:t xml:space="preserve">en </w:t>
      </w:r>
      <w:r w:rsidR="007917BD">
        <w:rPr>
          <w:rFonts w:eastAsia="Verdana"/>
          <w:lang w:val="es-PE"/>
        </w:rPr>
        <w:t xml:space="preserve">atención a los considerandos </w:t>
      </w:r>
      <w:r w:rsidR="004A05F8">
        <w:rPr>
          <w:rFonts w:eastAsia="Verdana"/>
          <w:lang w:val="es-PE"/>
        </w:rPr>
        <w:t xml:space="preserve">7 </w:t>
      </w:r>
      <w:r w:rsidR="00DC200F">
        <w:rPr>
          <w:rFonts w:eastAsia="Verdana"/>
          <w:lang w:val="es-PE"/>
        </w:rPr>
        <w:t>al 14</w:t>
      </w:r>
      <w:r w:rsidR="008420F1">
        <w:rPr>
          <w:rFonts w:eastAsia="Verdana"/>
          <w:lang w:val="es-PE"/>
        </w:rPr>
        <w:t xml:space="preserve"> de la presente </w:t>
      </w:r>
      <w:r w:rsidR="00904EF1">
        <w:rPr>
          <w:rFonts w:eastAsia="Verdana"/>
          <w:lang w:val="es-PE"/>
        </w:rPr>
        <w:t>R</w:t>
      </w:r>
      <w:r w:rsidR="008420F1">
        <w:rPr>
          <w:rFonts w:eastAsia="Verdana"/>
          <w:lang w:val="es-PE"/>
        </w:rPr>
        <w:t>esolución.</w:t>
      </w:r>
    </w:p>
    <w:p w:rsidR="008420F1" w:rsidRPr="001F475B" w:rsidRDefault="008420F1" w:rsidP="001F475B">
      <w:pPr>
        <w:rPr>
          <w:lang w:val="es-PE"/>
        </w:rPr>
      </w:pPr>
    </w:p>
    <w:p w:rsidR="008420F1" w:rsidRPr="007917BD" w:rsidRDefault="008420F1" w:rsidP="007917BD">
      <w:pPr>
        <w:pStyle w:val="Numberedparagraphs"/>
        <w:numPr>
          <w:ilvl w:val="0"/>
          <w:numId w:val="2"/>
        </w:numPr>
        <w:tabs>
          <w:tab w:val="clear" w:pos="720"/>
          <w:tab w:val="num" w:pos="540"/>
          <w:tab w:val="left" w:pos="567"/>
        </w:tabs>
        <w:rPr>
          <w:lang w:val="es-PE"/>
        </w:rPr>
      </w:pPr>
      <w:r>
        <w:rPr>
          <w:lang w:val="es-PE"/>
        </w:rPr>
        <w:t>Disponer que la Secretaría de la Corte Interamericana notifique la presente Resolución al Estado, al representante de las presuntas víctimas y a la Comisión Interamericana.</w:t>
      </w:r>
    </w:p>
    <w:p w:rsidR="007917BD" w:rsidRDefault="007917BD" w:rsidP="007917BD">
      <w:pPr>
        <w:pStyle w:val="ListParagraph"/>
      </w:pPr>
    </w:p>
    <w:p w:rsidR="00365164" w:rsidRDefault="007917BD" w:rsidP="007917BD">
      <w:pPr>
        <w:pStyle w:val="Numberedparagraphs"/>
        <w:numPr>
          <w:ilvl w:val="0"/>
          <w:numId w:val="0"/>
        </w:numPr>
        <w:tabs>
          <w:tab w:val="left" w:pos="567"/>
        </w:tabs>
      </w:pPr>
      <w:r w:rsidRPr="007917BD">
        <w:t xml:space="preserve">Corte IDH. </w:t>
      </w:r>
      <w:r w:rsidRPr="000C71BD">
        <w:rPr>
          <w:i/>
        </w:rPr>
        <w:t xml:space="preserve">Caso </w:t>
      </w:r>
      <w:proofErr w:type="spellStart"/>
      <w:r w:rsidRPr="000C71BD">
        <w:rPr>
          <w:i/>
        </w:rPr>
        <w:t>Arrom</w:t>
      </w:r>
      <w:proofErr w:type="spellEnd"/>
      <w:r w:rsidRPr="000C71BD">
        <w:rPr>
          <w:i/>
        </w:rPr>
        <w:t xml:space="preserve"> </w:t>
      </w:r>
      <w:proofErr w:type="spellStart"/>
      <w:r w:rsidRPr="000C71BD">
        <w:rPr>
          <w:i/>
        </w:rPr>
        <w:t>Suhurt</w:t>
      </w:r>
      <w:proofErr w:type="spellEnd"/>
      <w:r w:rsidRPr="000C71BD">
        <w:rPr>
          <w:i/>
        </w:rPr>
        <w:t xml:space="preserve"> y otros Vs. Paraguay</w:t>
      </w:r>
      <w:r w:rsidRPr="007917BD">
        <w:t xml:space="preserve">. Resolución de la Corte Interamericana de Derechos Humanos de </w:t>
      </w:r>
      <w:r w:rsidR="00EB7C0F">
        <w:t>29</w:t>
      </w:r>
      <w:r>
        <w:t xml:space="preserve"> de enero de 2019</w:t>
      </w:r>
      <w:r w:rsidRPr="007917BD">
        <w:t>.</w:t>
      </w:r>
      <w:r w:rsidR="00365164">
        <w:t xml:space="preserve"> </w:t>
      </w:r>
    </w:p>
    <w:p w:rsidR="00A52A6F" w:rsidRDefault="00A52A6F" w:rsidP="007917BD">
      <w:pPr>
        <w:pStyle w:val="Numberedparagraphs"/>
        <w:numPr>
          <w:ilvl w:val="0"/>
          <w:numId w:val="0"/>
        </w:numPr>
        <w:tabs>
          <w:tab w:val="left" w:pos="567"/>
        </w:tabs>
      </w:pPr>
    </w:p>
    <w:p w:rsidR="00A52A6F" w:rsidRDefault="00A52A6F" w:rsidP="00A52A6F">
      <w:pPr>
        <w:jc w:val="center"/>
        <w:rPr>
          <w:lang w:val="es-ES"/>
        </w:rPr>
      </w:pPr>
    </w:p>
    <w:p w:rsidR="00A52A6F" w:rsidRDefault="00A52A6F" w:rsidP="00A52A6F">
      <w:pPr>
        <w:jc w:val="center"/>
        <w:rPr>
          <w:lang w:val="es-ES"/>
        </w:rPr>
      </w:pPr>
    </w:p>
    <w:p w:rsidR="00A52A6F" w:rsidRDefault="00A52A6F" w:rsidP="00A52A6F">
      <w:pPr>
        <w:jc w:val="center"/>
        <w:rPr>
          <w:lang w:val="es-ES"/>
        </w:rPr>
      </w:pPr>
    </w:p>
    <w:p w:rsidR="00A52A6F" w:rsidRPr="00745B6E" w:rsidRDefault="00A52A6F" w:rsidP="00A52A6F">
      <w:pPr>
        <w:jc w:val="center"/>
        <w:rPr>
          <w:lang w:val="es-ES"/>
        </w:rPr>
      </w:pPr>
    </w:p>
    <w:p w:rsidR="00A52A6F" w:rsidRPr="00745B6E" w:rsidRDefault="00A52A6F" w:rsidP="00A52A6F">
      <w:pPr>
        <w:jc w:val="center"/>
        <w:rPr>
          <w:lang w:val="es-ES"/>
        </w:rPr>
      </w:pPr>
    </w:p>
    <w:p w:rsidR="00A52A6F" w:rsidRPr="00745B6E" w:rsidRDefault="00A52A6F" w:rsidP="00A52A6F">
      <w:pPr>
        <w:jc w:val="center"/>
        <w:rPr>
          <w:lang w:val="es-ES"/>
        </w:rPr>
      </w:pPr>
    </w:p>
    <w:p w:rsidR="00A52A6F" w:rsidRPr="00745B6E" w:rsidRDefault="00A52A6F" w:rsidP="00A52A6F">
      <w:pPr>
        <w:jc w:val="center"/>
        <w:rPr>
          <w:lang w:val="es-ES"/>
        </w:rPr>
      </w:pPr>
    </w:p>
    <w:p w:rsidR="00A52A6F" w:rsidRPr="00745B6E" w:rsidRDefault="00A52A6F" w:rsidP="00A52A6F">
      <w:pPr>
        <w:jc w:val="center"/>
        <w:rPr>
          <w:lang w:val="es-ES"/>
        </w:rPr>
      </w:pPr>
      <w:r w:rsidRPr="00745B6E">
        <w:rPr>
          <w:lang w:val="es-ES"/>
        </w:rPr>
        <w:t xml:space="preserve">Eduardo Ferrer Mac-Gregor Poisot </w:t>
      </w:r>
    </w:p>
    <w:p w:rsidR="00A52A6F" w:rsidRPr="00745B6E" w:rsidRDefault="00A52A6F" w:rsidP="00A52A6F">
      <w:pPr>
        <w:jc w:val="center"/>
        <w:rPr>
          <w:lang w:val="es-ES"/>
        </w:rPr>
      </w:pPr>
      <w:r w:rsidRPr="00745B6E">
        <w:rPr>
          <w:lang w:val="es-ES"/>
        </w:rPr>
        <w:t xml:space="preserve">Presidente </w:t>
      </w: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r w:rsidRPr="00745B6E">
        <w:rPr>
          <w:lang w:val="es-ES"/>
        </w:rPr>
        <w:t>Eduardo Vio Grossi</w:t>
      </w:r>
      <w:r w:rsidRPr="00745B6E">
        <w:rPr>
          <w:lang w:val="es-ES"/>
        </w:rPr>
        <w:tab/>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Humberto A. Sierra Porto</w:t>
      </w: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center"/>
        <w:rPr>
          <w:lang w:val="es-ES"/>
        </w:rPr>
      </w:pPr>
      <w:r w:rsidRPr="00745B6E">
        <w:rPr>
          <w:lang w:val="es-ES"/>
        </w:rPr>
        <w:t>Elizabeth Odio Benito</w:t>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L. Patricio Pazmiño Freire</w:t>
      </w: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center"/>
        <w:rPr>
          <w:lang w:val="es-CR"/>
        </w:rPr>
      </w:pPr>
      <w:r w:rsidRPr="00745B6E">
        <w:rPr>
          <w:lang w:val="es-CR"/>
        </w:rPr>
        <w:t>Ricardo Pérez Manrique</w:t>
      </w: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center"/>
        <w:rPr>
          <w:lang w:val="es-ES"/>
        </w:rPr>
      </w:pPr>
      <w:r w:rsidRPr="00745B6E">
        <w:rPr>
          <w:lang w:val="es-ES"/>
        </w:rPr>
        <w:t>Pablo Saavedra Alessandri</w:t>
      </w:r>
    </w:p>
    <w:p w:rsidR="00A52A6F" w:rsidRPr="00745B6E" w:rsidRDefault="00A52A6F" w:rsidP="00A52A6F">
      <w:pPr>
        <w:jc w:val="center"/>
        <w:rPr>
          <w:lang w:val="es-ES"/>
        </w:rPr>
      </w:pPr>
      <w:r w:rsidRPr="00745B6E">
        <w:rPr>
          <w:lang w:val="es-ES"/>
        </w:rPr>
        <w:t>Secretario</w:t>
      </w:r>
    </w:p>
    <w:p w:rsidR="00A52A6F" w:rsidRPr="00745B6E" w:rsidRDefault="00A52A6F" w:rsidP="00A52A6F">
      <w:pPr>
        <w:rPr>
          <w:lang w:val="es-ES"/>
        </w:rPr>
      </w:pPr>
    </w:p>
    <w:p w:rsidR="00A52A6F" w:rsidRDefault="00A52A6F" w:rsidP="00A52A6F">
      <w:pPr>
        <w:pStyle w:val="FootnoteText"/>
        <w:rPr>
          <w:lang w:val="es-ES"/>
        </w:rPr>
      </w:pPr>
    </w:p>
    <w:p w:rsidR="00A52A6F" w:rsidRDefault="00A52A6F" w:rsidP="00A52A6F">
      <w:pPr>
        <w:pStyle w:val="FootnoteText"/>
        <w:rPr>
          <w:lang w:val="es-ES"/>
        </w:rPr>
      </w:pPr>
    </w:p>
    <w:p w:rsidR="00A52A6F" w:rsidRPr="00745B6E" w:rsidRDefault="00A52A6F" w:rsidP="00A52A6F">
      <w:pPr>
        <w:pStyle w:val="FootnoteText"/>
        <w:rPr>
          <w:lang w:val="es-ES"/>
        </w:rPr>
      </w:pPr>
    </w:p>
    <w:p w:rsidR="00A52A6F" w:rsidRPr="00745B6E" w:rsidRDefault="00A52A6F" w:rsidP="00A52A6F">
      <w:pPr>
        <w:pStyle w:val="FootnoteText"/>
        <w:rPr>
          <w:lang w:val="es-ES"/>
        </w:rPr>
      </w:pPr>
    </w:p>
    <w:p w:rsidR="00A52A6F" w:rsidRPr="00745B6E" w:rsidRDefault="00A52A6F" w:rsidP="00A52A6F">
      <w:pPr>
        <w:jc w:val="both"/>
        <w:rPr>
          <w:lang w:val="es-ES"/>
        </w:rPr>
      </w:pPr>
      <w:r w:rsidRPr="00745B6E">
        <w:rPr>
          <w:lang w:val="es-ES"/>
        </w:rPr>
        <w:t>Comuníquese y ejecútese,</w:t>
      </w: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ind w:left="4956"/>
        <w:jc w:val="center"/>
        <w:rPr>
          <w:lang w:val="es-ES"/>
        </w:rPr>
      </w:pPr>
      <w:r w:rsidRPr="00745B6E">
        <w:rPr>
          <w:lang w:val="es-ES"/>
        </w:rPr>
        <w:t>Eduardo Ferrer Mac-Gregor Poisot</w:t>
      </w:r>
    </w:p>
    <w:p w:rsidR="00A52A6F" w:rsidRPr="00745B6E" w:rsidRDefault="00A52A6F" w:rsidP="00A52A6F">
      <w:pPr>
        <w:ind w:left="4956"/>
        <w:jc w:val="center"/>
        <w:rPr>
          <w:lang w:val="es-ES"/>
        </w:rPr>
      </w:pPr>
      <w:r w:rsidRPr="00745B6E">
        <w:rPr>
          <w:lang w:val="es-ES"/>
        </w:rPr>
        <w:t>Presidente</w:t>
      </w: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p>
    <w:p w:rsidR="00A52A6F" w:rsidRPr="00745B6E" w:rsidRDefault="00A52A6F" w:rsidP="00A52A6F">
      <w:pPr>
        <w:jc w:val="both"/>
        <w:rPr>
          <w:lang w:val="es-ES"/>
        </w:rPr>
      </w:pPr>
      <w:r w:rsidRPr="00745B6E">
        <w:rPr>
          <w:lang w:val="es-ES"/>
        </w:rPr>
        <w:t>Pablo Saavedra Alessandri</w:t>
      </w:r>
    </w:p>
    <w:p w:rsidR="00A52A6F" w:rsidRPr="00745B6E" w:rsidRDefault="00A52A6F" w:rsidP="00A52A6F">
      <w:pPr>
        <w:rPr>
          <w:lang w:val="es-CR"/>
        </w:rPr>
      </w:pPr>
      <w:r w:rsidRPr="00745B6E">
        <w:rPr>
          <w:lang w:val="es-ES"/>
        </w:rPr>
        <w:tab/>
      </w:r>
      <w:r w:rsidRPr="00745B6E">
        <w:rPr>
          <w:lang w:val="es-CR"/>
        </w:rPr>
        <w:t>Secretario</w:t>
      </w:r>
    </w:p>
    <w:p w:rsidR="00A52A6F" w:rsidRPr="007917BD" w:rsidRDefault="00A52A6F" w:rsidP="007917BD">
      <w:pPr>
        <w:pStyle w:val="Numberedparagraphs"/>
        <w:numPr>
          <w:ilvl w:val="0"/>
          <w:numId w:val="0"/>
        </w:numPr>
        <w:tabs>
          <w:tab w:val="left" w:pos="567"/>
        </w:tabs>
        <w:rPr>
          <w:lang w:val="es-PE"/>
        </w:rPr>
      </w:pPr>
    </w:p>
    <w:p w:rsidR="00B6502D" w:rsidRPr="00594851" w:rsidRDefault="00B6502D" w:rsidP="00594851">
      <w:pPr>
        <w:rPr>
          <w:lang w:val="es-PE"/>
        </w:rPr>
      </w:pPr>
    </w:p>
    <w:sectPr w:rsidR="00B6502D" w:rsidRPr="00594851" w:rsidSect="002C7584">
      <w:headerReference w:type="default" r:id="rId9"/>
      <w:pgSz w:w="12240" w:h="15840"/>
      <w:pgMar w:top="1418" w:right="1418" w:bottom="1418" w:left="1418"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BA" w:rsidRDefault="001174BA" w:rsidP="00594851">
      <w:r>
        <w:separator/>
      </w:r>
    </w:p>
  </w:endnote>
  <w:endnote w:type="continuationSeparator" w:id="0">
    <w:p w:rsidR="001174BA" w:rsidRDefault="001174BA" w:rsidP="0059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BA" w:rsidRDefault="001174BA" w:rsidP="00594851">
      <w:r>
        <w:separator/>
      </w:r>
    </w:p>
  </w:footnote>
  <w:footnote w:type="continuationSeparator" w:id="0">
    <w:p w:rsidR="001174BA" w:rsidRDefault="001174BA" w:rsidP="00594851">
      <w:r>
        <w:continuationSeparator/>
      </w:r>
    </w:p>
  </w:footnote>
  <w:footnote w:id="1">
    <w:p w:rsidR="00AC7107" w:rsidRPr="0043416F" w:rsidRDefault="00AC7107" w:rsidP="0043416F">
      <w:pPr>
        <w:tabs>
          <w:tab w:val="left" w:pos="426"/>
        </w:tabs>
        <w:jc w:val="both"/>
        <w:rPr>
          <w:sz w:val="16"/>
          <w:szCs w:val="16"/>
          <w:lang w:val="es-CR"/>
        </w:rPr>
      </w:pPr>
      <w:r w:rsidRPr="0043416F">
        <w:rPr>
          <w:rStyle w:val="FootnoteReference"/>
          <w:sz w:val="16"/>
          <w:szCs w:val="16"/>
          <w:lang w:val="es-CR"/>
        </w:rPr>
        <w:t>*</w:t>
      </w:r>
      <w:r w:rsidRPr="0043416F">
        <w:rPr>
          <w:sz w:val="16"/>
          <w:szCs w:val="16"/>
          <w:lang w:val="es-CR"/>
        </w:rPr>
        <w:t xml:space="preserve"> </w:t>
      </w:r>
      <w:r w:rsidRPr="0043416F">
        <w:rPr>
          <w:sz w:val="16"/>
          <w:szCs w:val="16"/>
          <w:lang w:val="es-CR"/>
        </w:rPr>
        <w:tab/>
        <w:t xml:space="preserve">El Juez Eugenio Raúl Zaffaroni se excusó de participar en el presente caso, conforme a lo dispuesto en el artículo 19.2 del Estatuto de la Corte y 21 de su Reglamento, lo cual fue aceptado por el Presidente </w:t>
      </w:r>
      <w:r w:rsidR="0043416F">
        <w:rPr>
          <w:sz w:val="16"/>
          <w:szCs w:val="16"/>
          <w:lang w:val="es-CR"/>
        </w:rPr>
        <w:t xml:space="preserve">mediante resolución </w:t>
      </w:r>
      <w:r w:rsidRPr="0043416F">
        <w:rPr>
          <w:sz w:val="16"/>
          <w:szCs w:val="16"/>
          <w:lang w:val="es-CR"/>
        </w:rPr>
        <w:t>de 16 de enero de 2019.</w:t>
      </w:r>
    </w:p>
  </w:footnote>
  <w:footnote w:id="2">
    <w:p w:rsidR="00EE1182" w:rsidRPr="00EE1182" w:rsidRDefault="00EE1182" w:rsidP="0078502E">
      <w:pPr>
        <w:pStyle w:val="FootnoteText"/>
        <w:tabs>
          <w:tab w:val="left" w:pos="567"/>
        </w:tabs>
        <w:jc w:val="both"/>
        <w:rPr>
          <w:sz w:val="16"/>
          <w:szCs w:val="16"/>
          <w:lang w:val="es-CR"/>
        </w:rPr>
      </w:pPr>
      <w:r w:rsidRPr="0078502E">
        <w:rPr>
          <w:rStyle w:val="FootnoteReference"/>
          <w:sz w:val="16"/>
          <w:szCs w:val="16"/>
        </w:rPr>
        <w:footnoteRef/>
      </w:r>
      <w:r w:rsidRPr="0078502E">
        <w:rPr>
          <w:sz w:val="16"/>
          <w:szCs w:val="16"/>
          <w:lang w:val="es-CR"/>
        </w:rPr>
        <w:t xml:space="preserve"> </w:t>
      </w:r>
      <w:r w:rsidRPr="0078502E">
        <w:rPr>
          <w:i/>
          <w:sz w:val="16"/>
          <w:szCs w:val="16"/>
          <w:lang w:val="es-CR"/>
        </w:rPr>
        <w:tab/>
        <w:t>Cfr. Caso Mohamed Vs. Argentina.</w:t>
      </w:r>
      <w:r w:rsidRPr="00EE1182">
        <w:rPr>
          <w:sz w:val="16"/>
          <w:szCs w:val="16"/>
          <w:lang w:val="es-CR"/>
        </w:rPr>
        <w:t xml:space="preserve"> Resolución de la Corte de 18 de junio de 2012, Considerando 26, y </w:t>
      </w:r>
      <w:r w:rsidRPr="00EE1182">
        <w:rPr>
          <w:i/>
          <w:iCs/>
          <w:sz w:val="16"/>
          <w:szCs w:val="16"/>
          <w:lang w:val="es-PE"/>
        </w:rPr>
        <w:t xml:space="preserve">Caso </w:t>
      </w:r>
      <w:proofErr w:type="spellStart"/>
      <w:r w:rsidRPr="00EE1182">
        <w:rPr>
          <w:i/>
          <w:iCs/>
          <w:sz w:val="16"/>
          <w:szCs w:val="16"/>
          <w:lang w:val="es-PE"/>
        </w:rPr>
        <w:t>Omeara</w:t>
      </w:r>
      <w:proofErr w:type="spellEnd"/>
      <w:r w:rsidRPr="00EE1182">
        <w:rPr>
          <w:i/>
          <w:iCs/>
          <w:sz w:val="16"/>
          <w:szCs w:val="16"/>
          <w:lang w:val="es-PE"/>
        </w:rPr>
        <w:t xml:space="preserve"> Carrascal y otros Vs. Colombia</w:t>
      </w:r>
      <w:r w:rsidR="001B6E97">
        <w:rPr>
          <w:sz w:val="16"/>
          <w:szCs w:val="16"/>
          <w:lang w:val="es-PE"/>
        </w:rPr>
        <w:t>.</w:t>
      </w:r>
      <w:r w:rsidRPr="00EE1182">
        <w:rPr>
          <w:sz w:val="16"/>
          <w:szCs w:val="16"/>
          <w:lang w:val="es-PE"/>
        </w:rPr>
        <w:t xml:space="preserve"> Resolución de la Corte Interamericana de Derechos Humanos de 15 de mayo de 2017, Considerando 8.</w:t>
      </w:r>
    </w:p>
  </w:footnote>
  <w:footnote w:id="3">
    <w:p w:rsidR="0078502E" w:rsidRPr="00EE1182" w:rsidRDefault="0078502E" w:rsidP="0078502E">
      <w:pPr>
        <w:pStyle w:val="FootnoteText"/>
        <w:tabs>
          <w:tab w:val="left" w:pos="567"/>
        </w:tabs>
        <w:jc w:val="both"/>
        <w:rPr>
          <w:sz w:val="16"/>
          <w:szCs w:val="16"/>
          <w:lang w:val="es-CR"/>
        </w:rPr>
      </w:pPr>
      <w:r w:rsidRPr="00EE1182">
        <w:rPr>
          <w:rStyle w:val="FootnoteReference"/>
          <w:sz w:val="16"/>
          <w:szCs w:val="16"/>
        </w:rPr>
        <w:footnoteRef/>
      </w:r>
      <w:r w:rsidRPr="00EE1182">
        <w:rPr>
          <w:sz w:val="16"/>
          <w:szCs w:val="16"/>
          <w:lang w:val="es-CR"/>
        </w:rPr>
        <w:t xml:space="preserve"> </w:t>
      </w:r>
      <w:r w:rsidRPr="00EE1182">
        <w:rPr>
          <w:sz w:val="16"/>
          <w:szCs w:val="16"/>
          <w:lang w:val="es-CR"/>
        </w:rPr>
        <w:tab/>
      </w:r>
      <w:r w:rsidRPr="0078502E">
        <w:rPr>
          <w:i/>
          <w:sz w:val="16"/>
          <w:szCs w:val="16"/>
          <w:lang w:val="es-CR"/>
        </w:rPr>
        <w:t>Cfr.</w:t>
      </w:r>
      <w:r w:rsidRPr="00EE1182">
        <w:rPr>
          <w:sz w:val="16"/>
          <w:szCs w:val="16"/>
          <w:lang w:val="es-CR"/>
        </w:rPr>
        <w:t xml:space="preserve"> </w:t>
      </w:r>
      <w:r w:rsidRPr="00EE1182">
        <w:rPr>
          <w:i/>
          <w:iCs/>
          <w:sz w:val="16"/>
          <w:szCs w:val="16"/>
          <w:lang w:val="es-PE"/>
        </w:rPr>
        <w:t xml:space="preserve">Caso </w:t>
      </w:r>
      <w:proofErr w:type="spellStart"/>
      <w:r w:rsidRPr="00EE1182">
        <w:rPr>
          <w:i/>
          <w:iCs/>
          <w:sz w:val="16"/>
          <w:szCs w:val="16"/>
          <w:lang w:val="es-PE"/>
        </w:rPr>
        <w:t>Omeara</w:t>
      </w:r>
      <w:proofErr w:type="spellEnd"/>
      <w:r w:rsidRPr="00EE1182">
        <w:rPr>
          <w:i/>
          <w:iCs/>
          <w:sz w:val="16"/>
          <w:szCs w:val="16"/>
          <w:lang w:val="es-PE"/>
        </w:rPr>
        <w:t xml:space="preserve"> Carrascal y otros Vs. Colombia</w:t>
      </w:r>
      <w:r w:rsidR="001B6E97">
        <w:rPr>
          <w:sz w:val="16"/>
          <w:szCs w:val="16"/>
          <w:lang w:val="es-PE"/>
        </w:rPr>
        <w:t>.</w:t>
      </w:r>
      <w:r w:rsidRPr="00EE1182">
        <w:rPr>
          <w:sz w:val="16"/>
          <w:szCs w:val="16"/>
          <w:lang w:val="es-PE"/>
        </w:rPr>
        <w:t xml:space="preserve"> Resolución de la Corte Interamericana de Derechos Humanos de 15 de mayo de 2017, Considerando </w:t>
      </w:r>
      <w:r>
        <w:rPr>
          <w:sz w:val="16"/>
          <w:szCs w:val="16"/>
          <w:lang w:val="es-PE"/>
        </w:rPr>
        <w:t>9</w:t>
      </w:r>
      <w:r w:rsidRPr="00EE1182">
        <w:rPr>
          <w:sz w:val="16"/>
          <w:szCs w:val="16"/>
          <w:lang w:val="es-PE"/>
        </w:rPr>
        <w:t>.</w:t>
      </w:r>
    </w:p>
  </w:footnote>
  <w:footnote w:id="4">
    <w:p w:rsidR="0078502E" w:rsidRPr="002A1337" w:rsidRDefault="0078502E" w:rsidP="0078502E">
      <w:pPr>
        <w:pStyle w:val="FootnoteText"/>
        <w:tabs>
          <w:tab w:val="left" w:pos="567"/>
        </w:tabs>
        <w:jc w:val="both"/>
        <w:rPr>
          <w:sz w:val="16"/>
          <w:szCs w:val="16"/>
          <w:lang w:val="es-CR"/>
        </w:rPr>
      </w:pPr>
      <w:r w:rsidRPr="00EE1182">
        <w:rPr>
          <w:rStyle w:val="FootnoteReference"/>
          <w:sz w:val="16"/>
          <w:szCs w:val="16"/>
        </w:rPr>
        <w:footnoteRef/>
      </w:r>
      <w:r w:rsidRPr="00EE1182">
        <w:rPr>
          <w:sz w:val="16"/>
          <w:szCs w:val="16"/>
          <w:lang w:val="es-CR"/>
        </w:rPr>
        <w:t xml:space="preserve"> </w:t>
      </w:r>
      <w:r w:rsidRPr="00EE1182">
        <w:rPr>
          <w:sz w:val="16"/>
          <w:szCs w:val="16"/>
          <w:lang w:val="es-CR"/>
        </w:rPr>
        <w:tab/>
      </w:r>
      <w:r w:rsidRPr="0078502E">
        <w:rPr>
          <w:i/>
          <w:sz w:val="16"/>
          <w:szCs w:val="16"/>
          <w:lang w:val="es-CR"/>
        </w:rPr>
        <w:t>Cfr.</w:t>
      </w:r>
      <w:r w:rsidRPr="00EE1182">
        <w:rPr>
          <w:sz w:val="16"/>
          <w:szCs w:val="16"/>
          <w:lang w:val="es-CR"/>
        </w:rPr>
        <w:t xml:space="preserve"> </w:t>
      </w:r>
      <w:r w:rsidR="001B6E97" w:rsidRPr="00EE1182">
        <w:rPr>
          <w:i/>
          <w:iCs/>
          <w:sz w:val="16"/>
          <w:szCs w:val="16"/>
          <w:lang w:val="es-PE"/>
        </w:rPr>
        <w:t xml:space="preserve">Caso </w:t>
      </w:r>
      <w:proofErr w:type="spellStart"/>
      <w:r w:rsidR="001B6E97" w:rsidRPr="002A1337">
        <w:rPr>
          <w:i/>
          <w:iCs/>
          <w:sz w:val="16"/>
          <w:szCs w:val="16"/>
          <w:lang w:val="es-PE"/>
        </w:rPr>
        <w:t>Omeara</w:t>
      </w:r>
      <w:proofErr w:type="spellEnd"/>
      <w:r w:rsidR="001B6E97" w:rsidRPr="002A1337">
        <w:rPr>
          <w:i/>
          <w:iCs/>
          <w:sz w:val="16"/>
          <w:szCs w:val="16"/>
          <w:lang w:val="es-PE"/>
        </w:rPr>
        <w:t xml:space="preserve"> Carrascal y otros Vs. Colombia</w:t>
      </w:r>
      <w:r w:rsidR="001B6E97">
        <w:rPr>
          <w:sz w:val="16"/>
          <w:szCs w:val="16"/>
          <w:lang w:val="es-PE"/>
        </w:rPr>
        <w:t>.</w:t>
      </w:r>
      <w:r w:rsidR="001B6E97" w:rsidRPr="002A1337">
        <w:rPr>
          <w:sz w:val="16"/>
          <w:szCs w:val="16"/>
          <w:lang w:val="es-PE"/>
        </w:rPr>
        <w:t xml:space="preserve"> Resolución de la Corte Interamericana de Derechos Humanos de 15 de mayo de 2017, Considerando </w:t>
      </w:r>
      <w:r w:rsidRPr="002A1337">
        <w:rPr>
          <w:sz w:val="16"/>
          <w:szCs w:val="16"/>
          <w:lang w:val="es-PE"/>
        </w:rPr>
        <w:t>10.</w:t>
      </w:r>
    </w:p>
  </w:footnote>
  <w:footnote w:id="5">
    <w:p w:rsidR="000A6061" w:rsidRPr="002A1337" w:rsidRDefault="000A6061" w:rsidP="001B6E97">
      <w:pPr>
        <w:pStyle w:val="FootnoteText"/>
        <w:tabs>
          <w:tab w:val="left" w:pos="567"/>
        </w:tabs>
        <w:jc w:val="both"/>
        <w:rPr>
          <w:sz w:val="16"/>
          <w:szCs w:val="16"/>
          <w:lang w:val="es-CR"/>
        </w:rPr>
      </w:pPr>
      <w:r w:rsidRPr="002A1337">
        <w:rPr>
          <w:rStyle w:val="FootnoteReference"/>
          <w:sz w:val="16"/>
          <w:szCs w:val="16"/>
        </w:rPr>
        <w:footnoteRef/>
      </w:r>
      <w:r w:rsidRPr="002A1337">
        <w:rPr>
          <w:sz w:val="16"/>
          <w:szCs w:val="16"/>
          <w:lang w:val="es-CR"/>
        </w:rPr>
        <w:t xml:space="preserve"> </w:t>
      </w:r>
      <w:r w:rsidR="002A1337">
        <w:rPr>
          <w:sz w:val="16"/>
          <w:szCs w:val="16"/>
          <w:lang w:val="es-CR"/>
        </w:rPr>
        <w:tab/>
      </w:r>
      <w:r w:rsidR="002A1337" w:rsidRPr="0078502E">
        <w:rPr>
          <w:i/>
          <w:sz w:val="16"/>
          <w:szCs w:val="16"/>
          <w:lang w:val="es-CR"/>
        </w:rPr>
        <w:t>Cfr.</w:t>
      </w:r>
      <w:r w:rsidR="002A1337" w:rsidRPr="00EE1182">
        <w:rPr>
          <w:sz w:val="16"/>
          <w:szCs w:val="16"/>
          <w:lang w:val="es-CR"/>
        </w:rPr>
        <w:t xml:space="preserve"> </w:t>
      </w:r>
      <w:r w:rsidRPr="002A1337">
        <w:rPr>
          <w:i/>
          <w:sz w:val="16"/>
          <w:szCs w:val="16"/>
          <w:lang w:val="es-CR"/>
        </w:rPr>
        <w:t xml:space="preserve">Caso </w:t>
      </w:r>
      <w:proofErr w:type="spellStart"/>
      <w:r w:rsidRPr="002A1337">
        <w:rPr>
          <w:i/>
          <w:sz w:val="16"/>
          <w:szCs w:val="16"/>
          <w:lang w:val="es-CR"/>
        </w:rPr>
        <w:t>Yarce</w:t>
      </w:r>
      <w:proofErr w:type="spellEnd"/>
      <w:r w:rsidRPr="002A1337">
        <w:rPr>
          <w:i/>
          <w:sz w:val="16"/>
          <w:szCs w:val="16"/>
          <w:lang w:val="es-CR"/>
        </w:rPr>
        <w:t xml:space="preserve"> y otras Vs. Colombia. </w:t>
      </w:r>
      <w:r w:rsidRPr="002A1337">
        <w:rPr>
          <w:sz w:val="16"/>
          <w:szCs w:val="16"/>
          <w:lang w:val="es-CR"/>
        </w:rPr>
        <w:t xml:space="preserve">Resolución de la Corte de 18 de junio de 2015, Considerando 14, y </w:t>
      </w:r>
      <w:r w:rsidR="001B6E97" w:rsidRPr="00EE1182">
        <w:rPr>
          <w:i/>
          <w:iCs/>
          <w:sz w:val="16"/>
          <w:szCs w:val="16"/>
          <w:lang w:val="es-PE"/>
        </w:rPr>
        <w:t xml:space="preserve">Caso </w:t>
      </w:r>
      <w:proofErr w:type="spellStart"/>
      <w:r w:rsidR="001B6E97" w:rsidRPr="002A1337">
        <w:rPr>
          <w:i/>
          <w:iCs/>
          <w:sz w:val="16"/>
          <w:szCs w:val="16"/>
          <w:lang w:val="es-PE"/>
        </w:rPr>
        <w:t>Omeara</w:t>
      </w:r>
      <w:proofErr w:type="spellEnd"/>
      <w:r w:rsidR="001B6E97" w:rsidRPr="002A1337">
        <w:rPr>
          <w:i/>
          <w:iCs/>
          <w:sz w:val="16"/>
          <w:szCs w:val="16"/>
          <w:lang w:val="es-PE"/>
        </w:rPr>
        <w:t xml:space="preserve"> Carrascal y otros Vs. Colombia</w:t>
      </w:r>
      <w:r w:rsidR="001B6E97">
        <w:rPr>
          <w:sz w:val="16"/>
          <w:szCs w:val="16"/>
          <w:lang w:val="es-PE"/>
        </w:rPr>
        <w:t>.</w:t>
      </w:r>
      <w:r w:rsidR="001B6E97" w:rsidRPr="002A1337">
        <w:rPr>
          <w:sz w:val="16"/>
          <w:szCs w:val="16"/>
          <w:lang w:val="es-PE"/>
        </w:rPr>
        <w:t xml:space="preserve"> Resolución de la Corte Interamericana de Derechos Humanos de 15 de mayo de 2017, Considerando </w:t>
      </w:r>
      <w:r w:rsidRPr="002A1337">
        <w:rPr>
          <w:sz w:val="16"/>
          <w:szCs w:val="16"/>
          <w:lang w:val="es-PE"/>
        </w:rPr>
        <w:t>11.</w:t>
      </w:r>
    </w:p>
  </w:footnote>
  <w:footnote w:id="6">
    <w:p w:rsidR="00EE1182" w:rsidRPr="009136EB" w:rsidRDefault="00EE1182" w:rsidP="00EE1182">
      <w:pPr>
        <w:pStyle w:val="FootnoteText"/>
        <w:tabs>
          <w:tab w:val="left" w:pos="567"/>
        </w:tabs>
        <w:jc w:val="both"/>
        <w:rPr>
          <w:sz w:val="16"/>
          <w:szCs w:val="16"/>
          <w:lang w:val="es-PE"/>
        </w:rPr>
      </w:pPr>
      <w:r w:rsidRPr="002A1337">
        <w:rPr>
          <w:rStyle w:val="FootnoteReference"/>
          <w:sz w:val="16"/>
          <w:szCs w:val="16"/>
        </w:rPr>
        <w:footnoteRef/>
      </w:r>
      <w:r w:rsidRPr="002A1337">
        <w:rPr>
          <w:sz w:val="16"/>
          <w:szCs w:val="16"/>
          <w:lang w:val="es-PE"/>
        </w:rPr>
        <w:t xml:space="preserve"> </w:t>
      </w:r>
      <w:r w:rsidRPr="002A1337">
        <w:rPr>
          <w:sz w:val="16"/>
          <w:szCs w:val="16"/>
          <w:lang w:val="es-PE"/>
        </w:rPr>
        <w:tab/>
      </w:r>
      <w:r w:rsidRPr="002A1337">
        <w:rPr>
          <w:i/>
          <w:sz w:val="16"/>
          <w:szCs w:val="16"/>
          <w:lang w:val="es-PE"/>
        </w:rPr>
        <w:t>Cfr.</w:t>
      </w:r>
      <w:r w:rsidRPr="002A1337">
        <w:rPr>
          <w:sz w:val="16"/>
          <w:szCs w:val="16"/>
          <w:lang w:val="es-PE"/>
        </w:rPr>
        <w:t xml:space="preserve"> </w:t>
      </w:r>
      <w:r w:rsidRPr="002A1337">
        <w:rPr>
          <w:i/>
          <w:sz w:val="16"/>
          <w:szCs w:val="16"/>
          <w:lang w:val="es-PE"/>
        </w:rPr>
        <w:t>Caso Blanco Romero y otros Vs. Venezuela</w:t>
      </w:r>
      <w:r w:rsidRPr="002A1337">
        <w:rPr>
          <w:sz w:val="16"/>
          <w:szCs w:val="16"/>
          <w:lang w:val="es-PE"/>
        </w:rPr>
        <w:t>, Resolución del Presidente de la Corte Interamericana de Derechos Humanos de 25 de mayo de 2005, Considerandos 11 y 12</w:t>
      </w:r>
      <w:r w:rsidRPr="002A1337">
        <w:rPr>
          <w:sz w:val="18"/>
          <w:szCs w:val="16"/>
          <w:lang w:val="es-PE"/>
        </w:rPr>
        <w:t xml:space="preserve"> </w:t>
      </w:r>
      <w:r w:rsidRPr="009136EB">
        <w:rPr>
          <w:sz w:val="16"/>
          <w:szCs w:val="16"/>
          <w:lang w:val="es-PE"/>
        </w:rPr>
        <w:t xml:space="preserve">y </w:t>
      </w:r>
      <w:r w:rsidRPr="009136EB">
        <w:rPr>
          <w:i/>
          <w:sz w:val="16"/>
          <w:szCs w:val="16"/>
          <w:lang w:val="es-PE"/>
        </w:rPr>
        <w:t>Caso Alvarado Espinoza y otros Vs. México</w:t>
      </w:r>
      <w:r w:rsidRPr="009136EB">
        <w:rPr>
          <w:sz w:val="16"/>
          <w:szCs w:val="16"/>
          <w:lang w:val="es-PE"/>
        </w:rPr>
        <w:t>, Resolución de la Corte Interamericana de Derechos Humanos de 23 de abril de 2018, Considerando 11.</w:t>
      </w:r>
    </w:p>
  </w:footnote>
  <w:footnote w:id="7">
    <w:p w:rsidR="005E46AD" w:rsidRPr="009136EB" w:rsidRDefault="005E46AD" w:rsidP="005E46AD">
      <w:pPr>
        <w:pStyle w:val="FootnoteText"/>
        <w:tabs>
          <w:tab w:val="left" w:pos="567"/>
        </w:tabs>
        <w:jc w:val="both"/>
        <w:rPr>
          <w:sz w:val="16"/>
          <w:szCs w:val="16"/>
          <w:lang w:val="es-PE"/>
        </w:rPr>
      </w:pPr>
      <w:r w:rsidRPr="002A1337">
        <w:rPr>
          <w:rStyle w:val="FootnoteReference"/>
          <w:sz w:val="16"/>
          <w:szCs w:val="16"/>
        </w:rPr>
        <w:footnoteRef/>
      </w:r>
      <w:r w:rsidRPr="002A1337">
        <w:rPr>
          <w:sz w:val="16"/>
          <w:szCs w:val="16"/>
          <w:lang w:val="es-PE"/>
        </w:rPr>
        <w:t xml:space="preserve"> </w:t>
      </w:r>
      <w:r w:rsidRPr="002A1337">
        <w:rPr>
          <w:sz w:val="16"/>
          <w:szCs w:val="16"/>
          <w:lang w:val="es-PE"/>
        </w:rPr>
        <w:tab/>
      </w:r>
      <w:r w:rsidR="001B6E97" w:rsidRPr="002A1337">
        <w:rPr>
          <w:i/>
          <w:sz w:val="16"/>
          <w:szCs w:val="16"/>
          <w:lang w:val="es-PE"/>
        </w:rPr>
        <w:t>Cfr.</w:t>
      </w:r>
      <w:r w:rsidR="001B6E97" w:rsidRPr="002A1337">
        <w:rPr>
          <w:sz w:val="16"/>
          <w:szCs w:val="16"/>
          <w:lang w:val="es-PE"/>
        </w:rPr>
        <w:t xml:space="preserve"> </w:t>
      </w:r>
      <w:r w:rsidR="001B6E97" w:rsidRPr="00EE1182">
        <w:rPr>
          <w:i/>
          <w:iCs/>
          <w:sz w:val="16"/>
          <w:szCs w:val="16"/>
          <w:lang w:val="es-PE"/>
        </w:rPr>
        <w:t xml:space="preserve">Caso </w:t>
      </w:r>
      <w:proofErr w:type="spellStart"/>
      <w:r w:rsidR="001B6E97" w:rsidRPr="002A1337">
        <w:rPr>
          <w:i/>
          <w:iCs/>
          <w:sz w:val="16"/>
          <w:szCs w:val="16"/>
          <w:lang w:val="es-PE"/>
        </w:rPr>
        <w:t>Omeara</w:t>
      </w:r>
      <w:proofErr w:type="spellEnd"/>
      <w:r w:rsidR="001B6E97" w:rsidRPr="002A1337">
        <w:rPr>
          <w:i/>
          <w:iCs/>
          <w:sz w:val="16"/>
          <w:szCs w:val="16"/>
          <w:lang w:val="es-PE"/>
        </w:rPr>
        <w:t xml:space="preserve"> Carrascal y otros Vs. Colombia</w:t>
      </w:r>
      <w:r w:rsidR="001B6E97">
        <w:rPr>
          <w:sz w:val="16"/>
          <w:szCs w:val="16"/>
          <w:lang w:val="es-PE"/>
        </w:rPr>
        <w:t>.</w:t>
      </w:r>
      <w:r w:rsidR="001B6E97" w:rsidRPr="002A1337">
        <w:rPr>
          <w:sz w:val="16"/>
          <w:szCs w:val="16"/>
          <w:lang w:val="es-PE"/>
        </w:rPr>
        <w:t xml:space="preserve"> Resolución de la Corte Interamericana de Derechos Humanos de 15 de mayo de 2017, Considerando </w:t>
      </w:r>
      <w:r w:rsidRPr="002A1337">
        <w:rPr>
          <w:sz w:val="16"/>
          <w:szCs w:val="16"/>
          <w:lang w:val="es-PE"/>
        </w:rPr>
        <w:t>1</w:t>
      </w:r>
      <w:r>
        <w:rPr>
          <w:sz w:val="16"/>
          <w:szCs w:val="16"/>
          <w:lang w:val="es-PE"/>
        </w:rPr>
        <w:t>2</w:t>
      </w:r>
      <w:r w:rsidRPr="002A1337">
        <w:rPr>
          <w:sz w:val="16"/>
          <w:szCs w:val="16"/>
          <w:lang w:val="es-PE"/>
        </w:rPr>
        <w:t>.</w:t>
      </w:r>
    </w:p>
  </w:footnote>
  <w:footnote w:id="8">
    <w:p w:rsidR="005E46AD" w:rsidRPr="009136EB" w:rsidRDefault="005E46AD" w:rsidP="005E46AD">
      <w:pPr>
        <w:pStyle w:val="FootnoteText"/>
        <w:tabs>
          <w:tab w:val="left" w:pos="567"/>
        </w:tabs>
        <w:jc w:val="both"/>
        <w:rPr>
          <w:sz w:val="16"/>
          <w:szCs w:val="16"/>
          <w:lang w:val="es-PE"/>
        </w:rPr>
      </w:pPr>
      <w:r w:rsidRPr="002A1337">
        <w:rPr>
          <w:rStyle w:val="FootnoteReference"/>
          <w:sz w:val="16"/>
          <w:szCs w:val="16"/>
        </w:rPr>
        <w:footnoteRef/>
      </w:r>
      <w:r w:rsidRPr="002A1337">
        <w:rPr>
          <w:sz w:val="16"/>
          <w:szCs w:val="16"/>
          <w:lang w:val="es-PE"/>
        </w:rPr>
        <w:t xml:space="preserve"> </w:t>
      </w:r>
      <w:r w:rsidRPr="002A1337">
        <w:rPr>
          <w:sz w:val="16"/>
          <w:szCs w:val="16"/>
          <w:lang w:val="es-PE"/>
        </w:rPr>
        <w:tab/>
      </w:r>
      <w:r w:rsidRPr="002A1337">
        <w:rPr>
          <w:i/>
          <w:sz w:val="16"/>
          <w:szCs w:val="16"/>
          <w:lang w:val="es-PE"/>
        </w:rPr>
        <w:t>Cfr.</w:t>
      </w:r>
      <w:r w:rsidRPr="002A1337">
        <w:rPr>
          <w:sz w:val="16"/>
          <w:szCs w:val="16"/>
          <w:lang w:val="es-PE"/>
        </w:rPr>
        <w:t xml:space="preserve"> </w:t>
      </w:r>
      <w:r w:rsidRPr="00EE1182">
        <w:rPr>
          <w:i/>
          <w:iCs/>
          <w:sz w:val="16"/>
          <w:szCs w:val="16"/>
          <w:lang w:val="es-PE"/>
        </w:rPr>
        <w:t xml:space="preserve">Caso </w:t>
      </w:r>
      <w:proofErr w:type="spellStart"/>
      <w:r w:rsidRPr="002A1337">
        <w:rPr>
          <w:i/>
          <w:iCs/>
          <w:sz w:val="16"/>
          <w:szCs w:val="16"/>
          <w:lang w:val="es-PE"/>
        </w:rPr>
        <w:t>Omeara</w:t>
      </w:r>
      <w:proofErr w:type="spellEnd"/>
      <w:r w:rsidRPr="002A1337">
        <w:rPr>
          <w:i/>
          <w:iCs/>
          <w:sz w:val="16"/>
          <w:szCs w:val="16"/>
          <w:lang w:val="es-PE"/>
        </w:rPr>
        <w:t xml:space="preserve"> Carrascal y otros Vs. Colombia</w:t>
      </w:r>
      <w:r w:rsidR="001B6E97">
        <w:rPr>
          <w:sz w:val="16"/>
          <w:szCs w:val="16"/>
          <w:lang w:val="es-PE"/>
        </w:rPr>
        <w:t>.</w:t>
      </w:r>
      <w:r w:rsidRPr="002A1337">
        <w:rPr>
          <w:sz w:val="16"/>
          <w:szCs w:val="16"/>
          <w:lang w:val="es-PE"/>
        </w:rPr>
        <w:t xml:space="preserve"> Resolución de la Corte Interamericana de Derechos Humanos de 15 de mayo de 2017, Considerando 1</w:t>
      </w:r>
      <w:r>
        <w:rPr>
          <w:sz w:val="16"/>
          <w:szCs w:val="16"/>
          <w:lang w:val="es-PE"/>
        </w:rPr>
        <w:t>3</w:t>
      </w:r>
      <w:r w:rsidRPr="002A1337">
        <w:rPr>
          <w:sz w:val="16"/>
          <w:szCs w:val="16"/>
          <w:lang w:val="es-PE"/>
        </w:rPr>
        <w:t>.</w:t>
      </w:r>
    </w:p>
  </w:footnote>
  <w:footnote w:id="9">
    <w:p w:rsidR="009136EB" w:rsidRPr="009136EB" w:rsidRDefault="009136EB" w:rsidP="009136EB">
      <w:pPr>
        <w:pStyle w:val="FootnoteText"/>
        <w:tabs>
          <w:tab w:val="left" w:pos="567"/>
        </w:tabs>
        <w:jc w:val="both"/>
        <w:rPr>
          <w:sz w:val="16"/>
          <w:szCs w:val="16"/>
          <w:lang w:val="es-CR"/>
        </w:rPr>
      </w:pPr>
      <w:r w:rsidRPr="009136EB">
        <w:rPr>
          <w:rStyle w:val="FootnoteReference"/>
          <w:sz w:val="16"/>
          <w:szCs w:val="16"/>
        </w:rPr>
        <w:footnoteRef/>
      </w:r>
      <w:r w:rsidRPr="009136EB">
        <w:rPr>
          <w:sz w:val="16"/>
          <w:szCs w:val="16"/>
          <w:lang w:val="es-CR"/>
        </w:rPr>
        <w:t xml:space="preserve"> </w:t>
      </w:r>
      <w:r w:rsidRPr="009136EB">
        <w:rPr>
          <w:sz w:val="16"/>
          <w:szCs w:val="16"/>
          <w:lang w:val="es-CR"/>
        </w:rPr>
        <w:tab/>
        <w:t xml:space="preserve">De acuerdo a la Resolución del </w:t>
      </w:r>
      <w:r w:rsidRPr="009136EB">
        <w:rPr>
          <w:sz w:val="16"/>
          <w:szCs w:val="16"/>
          <w:lang w:val="es-PE"/>
        </w:rPr>
        <w:t xml:space="preserve">Presidente de la Corte Interamericana de Derechos Humanos de </w:t>
      </w:r>
      <w:r>
        <w:rPr>
          <w:sz w:val="16"/>
          <w:szCs w:val="16"/>
          <w:lang w:val="es-PE"/>
        </w:rPr>
        <w:t xml:space="preserve">17 de diciembre de 2018 estas declaraciones se referirán a </w:t>
      </w:r>
      <w:r w:rsidRPr="009136EB">
        <w:rPr>
          <w:sz w:val="16"/>
          <w:szCs w:val="16"/>
          <w:lang w:val="es-CR"/>
        </w:rPr>
        <w:t>la investigación realizada a los hechos denunciados por las presuntas víctimas.</w:t>
      </w:r>
      <w:r>
        <w:rPr>
          <w:sz w:val="16"/>
          <w:szCs w:val="16"/>
          <w:lang w:val="es-PE"/>
        </w:rPr>
        <w:t xml:space="preserve"> </w:t>
      </w:r>
    </w:p>
  </w:footnote>
  <w:footnote w:id="10">
    <w:p w:rsidR="009136EB" w:rsidRPr="009136EB" w:rsidRDefault="009136EB" w:rsidP="009136EB">
      <w:pPr>
        <w:pStyle w:val="FootnoteText"/>
        <w:tabs>
          <w:tab w:val="left" w:pos="567"/>
        </w:tabs>
        <w:jc w:val="both"/>
        <w:rPr>
          <w:lang w:val="es-CR"/>
        </w:rPr>
      </w:pPr>
      <w:r w:rsidRPr="009136EB">
        <w:rPr>
          <w:rStyle w:val="FootnoteReference"/>
          <w:sz w:val="16"/>
          <w:szCs w:val="16"/>
        </w:rPr>
        <w:footnoteRef/>
      </w:r>
      <w:r w:rsidRPr="009136EB">
        <w:rPr>
          <w:lang w:val="es-CR"/>
        </w:rPr>
        <w:t xml:space="preserve"> </w:t>
      </w:r>
      <w:r>
        <w:rPr>
          <w:lang w:val="es-CR"/>
        </w:rPr>
        <w:tab/>
      </w:r>
      <w:r w:rsidRPr="009136EB">
        <w:rPr>
          <w:sz w:val="16"/>
          <w:szCs w:val="16"/>
          <w:lang w:val="es-CR"/>
        </w:rPr>
        <w:t xml:space="preserve">De acuerdo a la Resolución del </w:t>
      </w:r>
      <w:r w:rsidRPr="009136EB">
        <w:rPr>
          <w:sz w:val="16"/>
          <w:szCs w:val="16"/>
          <w:lang w:val="es-PE"/>
        </w:rPr>
        <w:t>Presidente de la Corte Interamericana de Derechos Humanos de 1</w:t>
      </w:r>
      <w:r>
        <w:rPr>
          <w:sz w:val="16"/>
          <w:szCs w:val="16"/>
          <w:lang w:val="es-PE"/>
        </w:rPr>
        <w:t>7 de diciembre de 2018</w:t>
      </w:r>
      <w:r w:rsidRPr="009136EB">
        <w:rPr>
          <w:sz w:val="16"/>
          <w:szCs w:val="16"/>
          <w:lang w:val="es-PE"/>
        </w:rPr>
        <w:t xml:space="preserve"> la declaración de Pablo Ernesto </w:t>
      </w:r>
      <w:proofErr w:type="spellStart"/>
      <w:r w:rsidRPr="009136EB">
        <w:rPr>
          <w:sz w:val="16"/>
          <w:szCs w:val="16"/>
          <w:lang w:val="es-PE"/>
        </w:rPr>
        <w:t>Lemir</w:t>
      </w:r>
      <w:proofErr w:type="spellEnd"/>
      <w:r w:rsidRPr="009136EB">
        <w:rPr>
          <w:sz w:val="16"/>
          <w:szCs w:val="16"/>
          <w:lang w:val="es-PE"/>
        </w:rPr>
        <w:t xml:space="preserve"> </w:t>
      </w:r>
      <w:proofErr w:type="spellStart"/>
      <w:r w:rsidRPr="009136EB">
        <w:rPr>
          <w:sz w:val="16"/>
          <w:szCs w:val="16"/>
          <w:lang w:val="es-PE"/>
        </w:rPr>
        <w:t>Marchese</w:t>
      </w:r>
      <w:proofErr w:type="spellEnd"/>
      <w:r w:rsidRPr="009136EB">
        <w:rPr>
          <w:sz w:val="16"/>
          <w:szCs w:val="16"/>
          <w:lang w:val="es-PE"/>
        </w:rPr>
        <w:t xml:space="preserve"> se referirá a</w:t>
      </w:r>
      <w:r w:rsidRPr="009136EB">
        <w:rPr>
          <w:sz w:val="16"/>
          <w:szCs w:val="16"/>
          <w:lang w:val="es-CR"/>
        </w:rPr>
        <w:t xml:space="preserve"> las lesiones sufridas por Juan </w:t>
      </w:r>
      <w:proofErr w:type="spellStart"/>
      <w:r w:rsidRPr="009136EB">
        <w:rPr>
          <w:sz w:val="16"/>
          <w:szCs w:val="16"/>
          <w:lang w:val="es-CR"/>
        </w:rPr>
        <w:t>Arrom</w:t>
      </w:r>
      <w:proofErr w:type="spellEnd"/>
      <w:r w:rsidRPr="009136EB">
        <w:rPr>
          <w:sz w:val="16"/>
          <w:szCs w:val="16"/>
          <w:lang w:val="es-CR"/>
        </w:rPr>
        <w:t xml:space="preserve"> y Anuncio Martí, y la declaración de Nicolás </w:t>
      </w:r>
      <w:proofErr w:type="spellStart"/>
      <w:r w:rsidRPr="009136EB">
        <w:rPr>
          <w:sz w:val="16"/>
          <w:szCs w:val="16"/>
          <w:lang w:val="es-CR"/>
        </w:rPr>
        <w:t>Garcete</w:t>
      </w:r>
      <w:proofErr w:type="spellEnd"/>
      <w:r w:rsidRPr="009136EB">
        <w:rPr>
          <w:sz w:val="16"/>
          <w:szCs w:val="16"/>
          <w:lang w:val="es-CR"/>
        </w:rPr>
        <w:t xml:space="preserve"> se referirá a las alegadas secuelas psicológicas sufridas por Juan </w:t>
      </w:r>
      <w:proofErr w:type="spellStart"/>
      <w:r w:rsidRPr="009136EB">
        <w:rPr>
          <w:sz w:val="16"/>
          <w:szCs w:val="16"/>
          <w:lang w:val="es-CR"/>
        </w:rPr>
        <w:t>Arrom</w:t>
      </w:r>
      <w:proofErr w:type="spellEnd"/>
      <w:r w:rsidRPr="009136EB">
        <w:rPr>
          <w:sz w:val="16"/>
          <w:szCs w:val="16"/>
          <w:lang w:val="es-CR"/>
        </w:rPr>
        <w:t xml:space="preserve"> y Anuncio Martí.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88736"/>
      <w:docPartObj>
        <w:docPartGallery w:val="Page Numbers (Top of Page)"/>
        <w:docPartUnique/>
      </w:docPartObj>
    </w:sdtPr>
    <w:sdtEndPr/>
    <w:sdtContent>
      <w:p w:rsidR="00B44465" w:rsidRDefault="002C7584" w:rsidP="002C7584">
        <w:pPr>
          <w:pStyle w:val="Header"/>
          <w:ind w:left="720"/>
          <w:jc w:val="center"/>
        </w:pPr>
        <w:r>
          <w:t xml:space="preserve">- </w:t>
        </w:r>
        <w:r w:rsidR="00B44465">
          <w:fldChar w:fldCharType="begin"/>
        </w:r>
        <w:r w:rsidR="00B44465">
          <w:instrText>PAGE   \* MERGEFORMAT</w:instrText>
        </w:r>
        <w:r w:rsidR="00B44465">
          <w:fldChar w:fldCharType="separate"/>
        </w:r>
        <w:r w:rsidR="002D01EB" w:rsidRPr="002D01EB">
          <w:rPr>
            <w:noProof/>
            <w:lang w:val="es-ES"/>
          </w:rPr>
          <w:t>5</w:t>
        </w:r>
        <w:r w:rsidR="00B44465">
          <w:fldChar w:fldCharType="end"/>
        </w:r>
        <w:r>
          <w:t>-</w:t>
        </w:r>
      </w:p>
    </w:sdtContent>
  </w:sdt>
  <w:p w:rsidR="00B44465" w:rsidRDefault="00B44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1E13"/>
    <w:multiLevelType w:val="hybridMultilevel"/>
    <w:tmpl w:val="153E525A"/>
    <w:lvl w:ilvl="0" w:tplc="6024A4A0">
      <w:numFmt w:val="bullet"/>
      <w:lvlText w:val="-"/>
      <w:lvlJc w:val="left"/>
      <w:pPr>
        <w:ind w:left="720" w:hanging="360"/>
      </w:pPr>
      <w:rPr>
        <w:rFonts w:ascii="Verdana" w:eastAsia="Times New Roman"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47EE4C21"/>
    <w:multiLevelType w:val="hybridMultilevel"/>
    <w:tmpl w:val="903CD64A"/>
    <w:lvl w:ilvl="0" w:tplc="1FE63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A6F5C"/>
    <w:multiLevelType w:val="hybridMultilevel"/>
    <w:tmpl w:val="8ADCBDF8"/>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FA4A8440">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51"/>
    <w:rsid w:val="0002270B"/>
    <w:rsid w:val="00061F56"/>
    <w:rsid w:val="000A6061"/>
    <w:rsid w:val="000C71BD"/>
    <w:rsid w:val="001174BA"/>
    <w:rsid w:val="00134713"/>
    <w:rsid w:val="00153F33"/>
    <w:rsid w:val="0015517C"/>
    <w:rsid w:val="001779B3"/>
    <w:rsid w:val="001B6E97"/>
    <w:rsid w:val="001E70F7"/>
    <w:rsid w:val="001F475B"/>
    <w:rsid w:val="0025367C"/>
    <w:rsid w:val="00253BC4"/>
    <w:rsid w:val="002670A5"/>
    <w:rsid w:val="002A1337"/>
    <w:rsid w:val="002C7584"/>
    <w:rsid w:val="002D01EB"/>
    <w:rsid w:val="002D6B50"/>
    <w:rsid w:val="0030501A"/>
    <w:rsid w:val="00313E40"/>
    <w:rsid w:val="00314B3F"/>
    <w:rsid w:val="00352363"/>
    <w:rsid w:val="00365164"/>
    <w:rsid w:val="003E1861"/>
    <w:rsid w:val="0043416F"/>
    <w:rsid w:val="004A05F8"/>
    <w:rsid w:val="004A1535"/>
    <w:rsid w:val="00594851"/>
    <w:rsid w:val="005B46B6"/>
    <w:rsid w:val="005C5BB3"/>
    <w:rsid w:val="005E46AD"/>
    <w:rsid w:val="00604690"/>
    <w:rsid w:val="00646116"/>
    <w:rsid w:val="0066798D"/>
    <w:rsid w:val="006A13D5"/>
    <w:rsid w:val="006C6A25"/>
    <w:rsid w:val="006E3E11"/>
    <w:rsid w:val="006F3CA9"/>
    <w:rsid w:val="0078502E"/>
    <w:rsid w:val="007917BD"/>
    <w:rsid w:val="007C4E7F"/>
    <w:rsid w:val="008420F1"/>
    <w:rsid w:val="00846D8A"/>
    <w:rsid w:val="008C1BBE"/>
    <w:rsid w:val="008D5D61"/>
    <w:rsid w:val="008D67EA"/>
    <w:rsid w:val="008E782D"/>
    <w:rsid w:val="00904EF1"/>
    <w:rsid w:val="0090738C"/>
    <w:rsid w:val="009136EB"/>
    <w:rsid w:val="009559BC"/>
    <w:rsid w:val="0097322D"/>
    <w:rsid w:val="009A14BC"/>
    <w:rsid w:val="009B5706"/>
    <w:rsid w:val="00A31BD4"/>
    <w:rsid w:val="00A510B3"/>
    <w:rsid w:val="00A52A6F"/>
    <w:rsid w:val="00A549D7"/>
    <w:rsid w:val="00A809F1"/>
    <w:rsid w:val="00AA35B4"/>
    <w:rsid w:val="00AC67BF"/>
    <w:rsid w:val="00AC7107"/>
    <w:rsid w:val="00AE142F"/>
    <w:rsid w:val="00B12F9C"/>
    <w:rsid w:val="00B31836"/>
    <w:rsid w:val="00B35738"/>
    <w:rsid w:val="00B412C9"/>
    <w:rsid w:val="00B44465"/>
    <w:rsid w:val="00B505F9"/>
    <w:rsid w:val="00B6502D"/>
    <w:rsid w:val="00B8047A"/>
    <w:rsid w:val="00BF679A"/>
    <w:rsid w:val="00C449E7"/>
    <w:rsid w:val="00C758D1"/>
    <w:rsid w:val="00CF391F"/>
    <w:rsid w:val="00D31F75"/>
    <w:rsid w:val="00D90FD2"/>
    <w:rsid w:val="00DA400F"/>
    <w:rsid w:val="00DC200F"/>
    <w:rsid w:val="00E10807"/>
    <w:rsid w:val="00E248AF"/>
    <w:rsid w:val="00EB6DF2"/>
    <w:rsid w:val="00EB7C0F"/>
    <w:rsid w:val="00EE1182"/>
    <w:rsid w:val="00F11E17"/>
    <w:rsid w:val="00F92895"/>
    <w:rsid w:val="00FD204F"/>
    <w:rsid w:val="00FD7167"/>
    <w:rsid w:val="00FF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5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AC67BF"/>
    <w:pPr>
      <w:keepNext/>
      <w:ind w:right="48"/>
      <w:outlineLvl w:val="0"/>
    </w:pPr>
    <w:rPr>
      <w:rFonts w:eastAsia="Verdana"/>
      <w:b/>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FootnoteTextChar"/>
    <w:qFormat/>
    <w:rsid w:val="00594851"/>
  </w:style>
  <w:style w:type="character" w:customStyle="1" w:styleId="TextonotapieCar">
    <w:name w:val="Texto nota pie Car"/>
    <w:basedOn w:val="DefaultParagraphFont"/>
    <w:uiPriority w:val="99"/>
    <w:semiHidden/>
    <w:rsid w:val="00594851"/>
    <w:rPr>
      <w:rFonts w:ascii="Verdana" w:eastAsia="Times New Roman" w:hAnsi="Verdana"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link w:val="FootnoteText"/>
    <w:qFormat/>
    <w:rsid w:val="00594851"/>
    <w:rPr>
      <w:rFonts w:ascii="Verdana" w:eastAsia="Times New Roman" w:hAnsi="Verdana" w:cs="Times New Roman"/>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594851"/>
    <w:rPr>
      <w:vertAlign w:val="superscript"/>
    </w:rPr>
  </w:style>
  <w:style w:type="paragraph" w:customStyle="1" w:styleId="Numberedparagraphs">
    <w:name w:val="Numbered paragraphs"/>
    <w:basedOn w:val="Normal"/>
    <w:link w:val="NumberedparagraphsCar"/>
    <w:qFormat/>
    <w:rsid w:val="00594851"/>
    <w:pPr>
      <w:numPr>
        <w:numId w:val="1"/>
      </w:numPr>
      <w:jc w:val="both"/>
    </w:pPr>
    <w:rPr>
      <w:rFonts w:eastAsia="MS Mincho"/>
      <w:color w:val="000000"/>
      <w:lang w:val="es-ES_tradnl"/>
    </w:rPr>
  </w:style>
  <w:style w:type="paragraph" w:styleId="ListParagraph">
    <w:name w:val="List Paragraph"/>
    <w:aliases w:val="Párrafo de lista1,List Paragraph2,Lista vistosa - Énfasis 11,List Paragraph11,List Paragraph1"/>
    <w:basedOn w:val="Normal"/>
    <w:link w:val="ListParagraphChar"/>
    <w:uiPriority w:val="34"/>
    <w:qFormat/>
    <w:rsid w:val="00594851"/>
    <w:pPr>
      <w:spacing w:after="200" w:line="276" w:lineRule="auto"/>
      <w:ind w:left="720"/>
      <w:contextualSpacing/>
    </w:pPr>
    <w:rPr>
      <w:rFonts w:ascii="Calibri" w:eastAsia="Calibri" w:hAnsi="Calibri"/>
      <w:sz w:val="22"/>
      <w:szCs w:val="22"/>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594851"/>
    <w:pPr>
      <w:jc w:val="both"/>
    </w:pPr>
    <w:rPr>
      <w:rFonts w:asciiTheme="minorHAnsi" w:eastAsiaTheme="minorHAnsi" w:hAnsiTheme="minorHAnsi" w:cstheme="minorBidi"/>
      <w:sz w:val="22"/>
      <w:szCs w:val="22"/>
      <w:vertAlign w:val="superscript"/>
    </w:rPr>
  </w:style>
  <w:style w:type="paragraph" w:customStyle="1" w:styleId="PrrafodeSentencia">
    <w:name w:val="*. Párrafo de Sentencia"/>
    <w:basedOn w:val="Numberedparagraphs"/>
    <w:link w:val="PrrafodeSentenciaChar"/>
    <w:qFormat/>
    <w:rsid w:val="00594851"/>
    <w:pPr>
      <w:tabs>
        <w:tab w:val="clear" w:pos="720"/>
        <w:tab w:val="left" w:pos="567"/>
      </w:tabs>
    </w:pPr>
  </w:style>
  <w:style w:type="character" w:customStyle="1" w:styleId="PrrafodeSentenciaChar">
    <w:name w:val="*. Párrafo de Sentencia Char"/>
    <w:link w:val="PrrafodeSentencia"/>
    <w:rsid w:val="00594851"/>
    <w:rPr>
      <w:rFonts w:ascii="Verdana" w:eastAsia="MS Mincho" w:hAnsi="Verdana" w:cs="Times New Roman"/>
      <w:color w:val="000000"/>
      <w:sz w:val="20"/>
      <w:szCs w:val="20"/>
      <w:lang w:val="es-ES_tradnl"/>
    </w:rPr>
  </w:style>
  <w:style w:type="character" w:customStyle="1" w:styleId="NumberedparagraphsCar">
    <w:name w:val="Numbered paragraphs Car"/>
    <w:basedOn w:val="DefaultParagraphFont"/>
    <w:link w:val="Numberedparagraphs"/>
    <w:rsid w:val="00594851"/>
    <w:rPr>
      <w:rFonts w:ascii="Verdana" w:eastAsia="MS Mincho" w:hAnsi="Verdana" w:cs="Times New Roman"/>
      <w:color w:val="000000"/>
      <w:sz w:val="20"/>
      <w:szCs w:val="20"/>
      <w:lang w:val="es-ES_tradnl"/>
    </w:rPr>
  </w:style>
  <w:style w:type="character" w:customStyle="1" w:styleId="ListParagraphChar">
    <w:name w:val="List Paragraph Char"/>
    <w:aliases w:val="Párrafo de lista1 Char,List Paragraph2 Char,Lista vistosa - Énfasis 11 Char,List Paragraph11 Char,List Paragraph1 Char"/>
    <w:basedOn w:val="DefaultParagraphFont"/>
    <w:link w:val="ListParagraph"/>
    <w:uiPriority w:val="34"/>
    <w:locked/>
    <w:rsid w:val="00594851"/>
    <w:rPr>
      <w:rFonts w:ascii="Calibri" w:eastAsia="Calibri" w:hAnsi="Calibri" w:cs="Times New Roman"/>
      <w:lang w:val="es-CR"/>
    </w:rPr>
  </w:style>
  <w:style w:type="paragraph" w:styleId="Header">
    <w:name w:val="header"/>
    <w:basedOn w:val="Normal"/>
    <w:link w:val="HeaderChar"/>
    <w:uiPriority w:val="99"/>
    <w:unhideWhenUsed/>
    <w:rsid w:val="00B44465"/>
    <w:pPr>
      <w:tabs>
        <w:tab w:val="center" w:pos="4680"/>
        <w:tab w:val="right" w:pos="9360"/>
      </w:tabs>
    </w:pPr>
  </w:style>
  <w:style w:type="character" w:customStyle="1" w:styleId="HeaderChar">
    <w:name w:val="Header Char"/>
    <w:basedOn w:val="DefaultParagraphFont"/>
    <w:link w:val="Header"/>
    <w:uiPriority w:val="99"/>
    <w:rsid w:val="00B44465"/>
    <w:rPr>
      <w:rFonts w:ascii="Verdana" w:eastAsia="Times New Roman" w:hAnsi="Verdana" w:cs="Times New Roman"/>
      <w:sz w:val="20"/>
      <w:szCs w:val="20"/>
    </w:rPr>
  </w:style>
  <w:style w:type="paragraph" w:styleId="Footer">
    <w:name w:val="footer"/>
    <w:basedOn w:val="Normal"/>
    <w:link w:val="FooterChar"/>
    <w:uiPriority w:val="99"/>
    <w:unhideWhenUsed/>
    <w:rsid w:val="00B44465"/>
    <w:pPr>
      <w:tabs>
        <w:tab w:val="center" w:pos="4680"/>
        <w:tab w:val="right" w:pos="9360"/>
      </w:tabs>
    </w:pPr>
  </w:style>
  <w:style w:type="character" w:customStyle="1" w:styleId="FooterChar">
    <w:name w:val="Footer Char"/>
    <w:basedOn w:val="DefaultParagraphFont"/>
    <w:link w:val="Footer"/>
    <w:uiPriority w:val="99"/>
    <w:rsid w:val="00B44465"/>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34713"/>
    <w:rPr>
      <w:sz w:val="16"/>
      <w:szCs w:val="16"/>
    </w:rPr>
  </w:style>
  <w:style w:type="paragraph" w:styleId="CommentText">
    <w:name w:val="annotation text"/>
    <w:basedOn w:val="Normal"/>
    <w:link w:val="CommentTextChar"/>
    <w:uiPriority w:val="99"/>
    <w:semiHidden/>
    <w:unhideWhenUsed/>
    <w:rsid w:val="00134713"/>
  </w:style>
  <w:style w:type="character" w:customStyle="1" w:styleId="CommentTextChar">
    <w:name w:val="Comment Text Char"/>
    <w:basedOn w:val="DefaultParagraphFont"/>
    <w:link w:val="CommentText"/>
    <w:uiPriority w:val="99"/>
    <w:semiHidden/>
    <w:rsid w:val="0013471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34713"/>
    <w:rPr>
      <w:b/>
      <w:bCs/>
    </w:rPr>
  </w:style>
  <w:style w:type="character" w:customStyle="1" w:styleId="CommentSubjectChar">
    <w:name w:val="Comment Subject Char"/>
    <w:basedOn w:val="CommentTextChar"/>
    <w:link w:val="CommentSubject"/>
    <w:uiPriority w:val="99"/>
    <w:semiHidden/>
    <w:rsid w:val="0013471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134713"/>
    <w:rPr>
      <w:rFonts w:ascii="Tahoma" w:hAnsi="Tahoma" w:cs="Tahoma"/>
      <w:sz w:val="16"/>
      <w:szCs w:val="16"/>
    </w:rPr>
  </w:style>
  <w:style w:type="character" w:customStyle="1" w:styleId="BalloonTextChar">
    <w:name w:val="Balloon Text Char"/>
    <w:basedOn w:val="DefaultParagraphFont"/>
    <w:link w:val="BalloonText"/>
    <w:uiPriority w:val="99"/>
    <w:semiHidden/>
    <w:rsid w:val="00134713"/>
    <w:rPr>
      <w:rFonts w:ascii="Tahoma" w:eastAsia="Times New Roman" w:hAnsi="Tahoma" w:cs="Tahoma"/>
      <w:sz w:val="16"/>
      <w:szCs w:val="16"/>
    </w:rPr>
  </w:style>
  <w:style w:type="paragraph" w:styleId="Title">
    <w:name w:val="Title"/>
    <w:basedOn w:val="Normal"/>
    <w:next w:val="Normal"/>
    <w:link w:val="TitleChar"/>
    <w:qFormat/>
    <w:rsid w:val="00AC7107"/>
    <w:pPr>
      <w:jc w:val="center"/>
    </w:pPr>
    <w:rPr>
      <w:rFonts w:eastAsiaTheme="minorHAnsi" w:cstheme="minorBidi"/>
      <w:b/>
      <w:szCs w:val="22"/>
    </w:rPr>
  </w:style>
  <w:style w:type="character" w:customStyle="1" w:styleId="TitleChar">
    <w:name w:val="Title Char"/>
    <w:basedOn w:val="DefaultParagraphFont"/>
    <w:link w:val="Title"/>
    <w:rsid w:val="00AC7107"/>
    <w:rPr>
      <w:rFonts w:ascii="Verdana" w:hAnsi="Verdana"/>
      <w:b/>
      <w:sz w:val="20"/>
    </w:rPr>
  </w:style>
  <w:style w:type="character" w:customStyle="1" w:styleId="Heading1Char">
    <w:name w:val="Heading 1 Char"/>
    <w:basedOn w:val="DefaultParagraphFont"/>
    <w:link w:val="Heading1"/>
    <w:uiPriority w:val="9"/>
    <w:rsid w:val="00AC67BF"/>
    <w:rPr>
      <w:rFonts w:ascii="Verdana" w:eastAsia="Verdana" w:hAnsi="Verdana" w:cs="Times New Roman"/>
      <w:b/>
      <w:sz w:val="20"/>
      <w:szCs w:val="20"/>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5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AC67BF"/>
    <w:pPr>
      <w:keepNext/>
      <w:ind w:right="48"/>
      <w:outlineLvl w:val="0"/>
    </w:pPr>
    <w:rPr>
      <w:rFonts w:eastAsia="Verdana"/>
      <w:b/>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FootnoteTextChar"/>
    <w:qFormat/>
    <w:rsid w:val="00594851"/>
  </w:style>
  <w:style w:type="character" w:customStyle="1" w:styleId="TextonotapieCar">
    <w:name w:val="Texto nota pie Car"/>
    <w:basedOn w:val="DefaultParagraphFont"/>
    <w:uiPriority w:val="99"/>
    <w:semiHidden/>
    <w:rsid w:val="00594851"/>
    <w:rPr>
      <w:rFonts w:ascii="Verdana" w:eastAsia="Times New Roman" w:hAnsi="Verdana"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link w:val="FootnoteText"/>
    <w:qFormat/>
    <w:rsid w:val="00594851"/>
    <w:rPr>
      <w:rFonts w:ascii="Verdana" w:eastAsia="Times New Roman" w:hAnsi="Verdana" w:cs="Times New Roman"/>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594851"/>
    <w:rPr>
      <w:vertAlign w:val="superscript"/>
    </w:rPr>
  </w:style>
  <w:style w:type="paragraph" w:customStyle="1" w:styleId="Numberedparagraphs">
    <w:name w:val="Numbered paragraphs"/>
    <w:basedOn w:val="Normal"/>
    <w:link w:val="NumberedparagraphsCar"/>
    <w:qFormat/>
    <w:rsid w:val="00594851"/>
    <w:pPr>
      <w:numPr>
        <w:numId w:val="1"/>
      </w:numPr>
      <w:jc w:val="both"/>
    </w:pPr>
    <w:rPr>
      <w:rFonts w:eastAsia="MS Mincho"/>
      <w:color w:val="000000"/>
      <w:lang w:val="es-ES_tradnl"/>
    </w:rPr>
  </w:style>
  <w:style w:type="paragraph" w:styleId="ListParagraph">
    <w:name w:val="List Paragraph"/>
    <w:aliases w:val="Párrafo de lista1,List Paragraph2,Lista vistosa - Énfasis 11,List Paragraph11,List Paragraph1"/>
    <w:basedOn w:val="Normal"/>
    <w:link w:val="ListParagraphChar"/>
    <w:uiPriority w:val="34"/>
    <w:qFormat/>
    <w:rsid w:val="00594851"/>
    <w:pPr>
      <w:spacing w:after="200" w:line="276" w:lineRule="auto"/>
      <w:ind w:left="720"/>
      <w:contextualSpacing/>
    </w:pPr>
    <w:rPr>
      <w:rFonts w:ascii="Calibri" w:eastAsia="Calibri" w:hAnsi="Calibri"/>
      <w:sz w:val="22"/>
      <w:szCs w:val="22"/>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594851"/>
    <w:pPr>
      <w:jc w:val="both"/>
    </w:pPr>
    <w:rPr>
      <w:rFonts w:asciiTheme="minorHAnsi" w:eastAsiaTheme="minorHAnsi" w:hAnsiTheme="minorHAnsi" w:cstheme="minorBidi"/>
      <w:sz w:val="22"/>
      <w:szCs w:val="22"/>
      <w:vertAlign w:val="superscript"/>
    </w:rPr>
  </w:style>
  <w:style w:type="paragraph" w:customStyle="1" w:styleId="PrrafodeSentencia">
    <w:name w:val="*. Párrafo de Sentencia"/>
    <w:basedOn w:val="Numberedparagraphs"/>
    <w:link w:val="PrrafodeSentenciaChar"/>
    <w:qFormat/>
    <w:rsid w:val="00594851"/>
    <w:pPr>
      <w:tabs>
        <w:tab w:val="clear" w:pos="720"/>
        <w:tab w:val="left" w:pos="567"/>
      </w:tabs>
    </w:pPr>
  </w:style>
  <w:style w:type="character" w:customStyle="1" w:styleId="PrrafodeSentenciaChar">
    <w:name w:val="*. Párrafo de Sentencia Char"/>
    <w:link w:val="PrrafodeSentencia"/>
    <w:rsid w:val="00594851"/>
    <w:rPr>
      <w:rFonts w:ascii="Verdana" w:eastAsia="MS Mincho" w:hAnsi="Verdana" w:cs="Times New Roman"/>
      <w:color w:val="000000"/>
      <w:sz w:val="20"/>
      <w:szCs w:val="20"/>
      <w:lang w:val="es-ES_tradnl"/>
    </w:rPr>
  </w:style>
  <w:style w:type="character" w:customStyle="1" w:styleId="NumberedparagraphsCar">
    <w:name w:val="Numbered paragraphs Car"/>
    <w:basedOn w:val="DefaultParagraphFont"/>
    <w:link w:val="Numberedparagraphs"/>
    <w:rsid w:val="00594851"/>
    <w:rPr>
      <w:rFonts w:ascii="Verdana" w:eastAsia="MS Mincho" w:hAnsi="Verdana" w:cs="Times New Roman"/>
      <w:color w:val="000000"/>
      <w:sz w:val="20"/>
      <w:szCs w:val="20"/>
      <w:lang w:val="es-ES_tradnl"/>
    </w:rPr>
  </w:style>
  <w:style w:type="character" w:customStyle="1" w:styleId="ListParagraphChar">
    <w:name w:val="List Paragraph Char"/>
    <w:aliases w:val="Párrafo de lista1 Char,List Paragraph2 Char,Lista vistosa - Énfasis 11 Char,List Paragraph11 Char,List Paragraph1 Char"/>
    <w:basedOn w:val="DefaultParagraphFont"/>
    <w:link w:val="ListParagraph"/>
    <w:uiPriority w:val="34"/>
    <w:locked/>
    <w:rsid w:val="00594851"/>
    <w:rPr>
      <w:rFonts w:ascii="Calibri" w:eastAsia="Calibri" w:hAnsi="Calibri" w:cs="Times New Roman"/>
      <w:lang w:val="es-CR"/>
    </w:rPr>
  </w:style>
  <w:style w:type="paragraph" w:styleId="Header">
    <w:name w:val="header"/>
    <w:basedOn w:val="Normal"/>
    <w:link w:val="HeaderChar"/>
    <w:uiPriority w:val="99"/>
    <w:unhideWhenUsed/>
    <w:rsid w:val="00B44465"/>
    <w:pPr>
      <w:tabs>
        <w:tab w:val="center" w:pos="4680"/>
        <w:tab w:val="right" w:pos="9360"/>
      </w:tabs>
    </w:pPr>
  </w:style>
  <w:style w:type="character" w:customStyle="1" w:styleId="HeaderChar">
    <w:name w:val="Header Char"/>
    <w:basedOn w:val="DefaultParagraphFont"/>
    <w:link w:val="Header"/>
    <w:uiPriority w:val="99"/>
    <w:rsid w:val="00B44465"/>
    <w:rPr>
      <w:rFonts w:ascii="Verdana" w:eastAsia="Times New Roman" w:hAnsi="Verdana" w:cs="Times New Roman"/>
      <w:sz w:val="20"/>
      <w:szCs w:val="20"/>
    </w:rPr>
  </w:style>
  <w:style w:type="paragraph" w:styleId="Footer">
    <w:name w:val="footer"/>
    <w:basedOn w:val="Normal"/>
    <w:link w:val="FooterChar"/>
    <w:uiPriority w:val="99"/>
    <w:unhideWhenUsed/>
    <w:rsid w:val="00B44465"/>
    <w:pPr>
      <w:tabs>
        <w:tab w:val="center" w:pos="4680"/>
        <w:tab w:val="right" w:pos="9360"/>
      </w:tabs>
    </w:pPr>
  </w:style>
  <w:style w:type="character" w:customStyle="1" w:styleId="FooterChar">
    <w:name w:val="Footer Char"/>
    <w:basedOn w:val="DefaultParagraphFont"/>
    <w:link w:val="Footer"/>
    <w:uiPriority w:val="99"/>
    <w:rsid w:val="00B44465"/>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34713"/>
    <w:rPr>
      <w:sz w:val="16"/>
      <w:szCs w:val="16"/>
    </w:rPr>
  </w:style>
  <w:style w:type="paragraph" w:styleId="CommentText">
    <w:name w:val="annotation text"/>
    <w:basedOn w:val="Normal"/>
    <w:link w:val="CommentTextChar"/>
    <w:uiPriority w:val="99"/>
    <w:semiHidden/>
    <w:unhideWhenUsed/>
    <w:rsid w:val="00134713"/>
  </w:style>
  <w:style w:type="character" w:customStyle="1" w:styleId="CommentTextChar">
    <w:name w:val="Comment Text Char"/>
    <w:basedOn w:val="DefaultParagraphFont"/>
    <w:link w:val="CommentText"/>
    <w:uiPriority w:val="99"/>
    <w:semiHidden/>
    <w:rsid w:val="0013471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34713"/>
    <w:rPr>
      <w:b/>
      <w:bCs/>
    </w:rPr>
  </w:style>
  <w:style w:type="character" w:customStyle="1" w:styleId="CommentSubjectChar">
    <w:name w:val="Comment Subject Char"/>
    <w:basedOn w:val="CommentTextChar"/>
    <w:link w:val="CommentSubject"/>
    <w:uiPriority w:val="99"/>
    <w:semiHidden/>
    <w:rsid w:val="0013471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134713"/>
    <w:rPr>
      <w:rFonts w:ascii="Tahoma" w:hAnsi="Tahoma" w:cs="Tahoma"/>
      <w:sz w:val="16"/>
      <w:szCs w:val="16"/>
    </w:rPr>
  </w:style>
  <w:style w:type="character" w:customStyle="1" w:styleId="BalloonTextChar">
    <w:name w:val="Balloon Text Char"/>
    <w:basedOn w:val="DefaultParagraphFont"/>
    <w:link w:val="BalloonText"/>
    <w:uiPriority w:val="99"/>
    <w:semiHidden/>
    <w:rsid w:val="00134713"/>
    <w:rPr>
      <w:rFonts w:ascii="Tahoma" w:eastAsia="Times New Roman" w:hAnsi="Tahoma" w:cs="Tahoma"/>
      <w:sz w:val="16"/>
      <w:szCs w:val="16"/>
    </w:rPr>
  </w:style>
  <w:style w:type="paragraph" w:styleId="Title">
    <w:name w:val="Title"/>
    <w:basedOn w:val="Normal"/>
    <w:next w:val="Normal"/>
    <w:link w:val="TitleChar"/>
    <w:qFormat/>
    <w:rsid w:val="00AC7107"/>
    <w:pPr>
      <w:jc w:val="center"/>
    </w:pPr>
    <w:rPr>
      <w:rFonts w:eastAsiaTheme="minorHAnsi" w:cstheme="minorBidi"/>
      <w:b/>
      <w:szCs w:val="22"/>
    </w:rPr>
  </w:style>
  <w:style w:type="character" w:customStyle="1" w:styleId="TitleChar">
    <w:name w:val="Title Char"/>
    <w:basedOn w:val="DefaultParagraphFont"/>
    <w:link w:val="Title"/>
    <w:rsid w:val="00AC7107"/>
    <w:rPr>
      <w:rFonts w:ascii="Verdana" w:hAnsi="Verdana"/>
      <w:b/>
      <w:sz w:val="20"/>
    </w:rPr>
  </w:style>
  <w:style w:type="character" w:customStyle="1" w:styleId="Heading1Char">
    <w:name w:val="Heading 1 Char"/>
    <w:basedOn w:val="DefaultParagraphFont"/>
    <w:link w:val="Heading1"/>
    <w:uiPriority w:val="9"/>
    <w:rsid w:val="00AC67BF"/>
    <w:rPr>
      <w:rFonts w:ascii="Verdana" w:eastAsia="Verdana" w:hAnsi="Verdana" w:cs="Times New Roman"/>
      <w:b/>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3038">
      <w:bodyDiv w:val="1"/>
      <w:marLeft w:val="0"/>
      <w:marRight w:val="0"/>
      <w:marTop w:val="0"/>
      <w:marBottom w:val="0"/>
      <w:divBdr>
        <w:top w:val="none" w:sz="0" w:space="0" w:color="auto"/>
        <w:left w:val="none" w:sz="0" w:space="0" w:color="auto"/>
        <w:bottom w:val="none" w:sz="0" w:space="0" w:color="auto"/>
        <w:right w:val="none" w:sz="0" w:space="0" w:color="auto"/>
      </w:divBdr>
    </w:div>
    <w:div w:id="732430465">
      <w:bodyDiv w:val="1"/>
      <w:marLeft w:val="0"/>
      <w:marRight w:val="0"/>
      <w:marTop w:val="0"/>
      <w:marBottom w:val="0"/>
      <w:divBdr>
        <w:top w:val="none" w:sz="0" w:space="0" w:color="auto"/>
        <w:left w:val="none" w:sz="0" w:space="0" w:color="auto"/>
        <w:bottom w:val="none" w:sz="0" w:space="0" w:color="auto"/>
        <w:right w:val="none" w:sz="0" w:space="0" w:color="auto"/>
      </w:divBdr>
    </w:div>
    <w:div w:id="16516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B137-DD85-4C63-918F-EDB6E010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8628</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4</cp:revision>
  <cp:lastPrinted>2019-01-30T14:30:00Z</cp:lastPrinted>
  <dcterms:created xsi:type="dcterms:W3CDTF">2019-01-30T14:27:00Z</dcterms:created>
  <dcterms:modified xsi:type="dcterms:W3CDTF">2019-01-30T14:30:00Z</dcterms:modified>
</cp:coreProperties>
</file>