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96205" w14:textId="7AE346A3" w:rsidR="00BA6210" w:rsidRPr="00E949E1" w:rsidRDefault="0037566C" w:rsidP="00123C72">
      <w:pPr>
        <w:tabs>
          <w:tab w:val="left" w:pos="567"/>
        </w:tabs>
        <w:spacing w:after="0"/>
        <w:rPr>
          <w:rFonts w:ascii="Verdana" w:hAnsi="Verdana"/>
          <w:b/>
          <w:sz w:val="20"/>
          <w:szCs w:val="20"/>
        </w:rPr>
      </w:pPr>
      <w:r w:rsidRPr="00E949E1">
        <w:rPr>
          <w:rFonts w:ascii="Verdana" w:hAnsi="Verdana"/>
          <w:b/>
          <w:sz w:val="20"/>
          <w:szCs w:val="20"/>
        </w:rPr>
        <w:t xml:space="preserve"> </w:t>
      </w:r>
    </w:p>
    <w:p w14:paraId="6D59A35A" w14:textId="77777777" w:rsidR="0016379E" w:rsidRPr="00E949E1" w:rsidRDefault="0016379E" w:rsidP="00123C72">
      <w:pPr>
        <w:tabs>
          <w:tab w:val="left" w:pos="567"/>
        </w:tabs>
        <w:spacing w:after="0"/>
        <w:rPr>
          <w:rFonts w:ascii="Verdana" w:hAnsi="Verdana"/>
          <w:b/>
          <w:sz w:val="20"/>
          <w:szCs w:val="20"/>
        </w:rPr>
      </w:pPr>
    </w:p>
    <w:p w14:paraId="2447F552" w14:textId="77777777" w:rsidR="009426A8" w:rsidRPr="00E949E1" w:rsidRDefault="009426A8" w:rsidP="00123C72">
      <w:pPr>
        <w:tabs>
          <w:tab w:val="left" w:pos="567"/>
        </w:tabs>
        <w:spacing w:after="0"/>
        <w:rPr>
          <w:rFonts w:ascii="Verdana" w:hAnsi="Verdana"/>
          <w:b/>
          <w:sz w:val="20"/>
          <w:szCs w:val="20"/>
        </w:rPr>
      </w:pPr>
    </w:p>
    <w:p w14:paraId="1B98AF43" w14:textId="77777777" w:rsidR="00721EA7" w:rsidRPr="00E949E1" w:rsidRDefault="00721EA7" w:rsidP="00123C72">
      <w:pPr>
        <w:tabs>
          <w:tab w:val="left" w:pos="567"/>
        </w:tabs>
        <w:spacing w:after="0"/>
        <w:rPr>
          <w:rFonts w:ascii="Verdana" w:hAnsi="Verdana"/>
          <w:b/>
          <w:sz w:val="20"/>
          <w:szCs w:val="20"/>
        </w:rPr>
      </w:pPr>
    </w:p>
    <w:p w14:paraId="4B884F18" w14:textId="77777777" w:rsidR="00721EA7" w:rsidRPr="00E949E1" w:rsidRDefault="00721EA7" w:rsidP="00123C72">
      <w:pPr>
        <w:tabs>
          <w:tab w:val="left" w:pos="567"/>
        </w:tabs>
        <w:spacing w:after="0"/>
        <w:rPr>
          <w:rFonts w:ascii="Verdana" w:hAnsi="Verdana"/>
          <w:b/>
          <w:sz w:val="20"/>
          <w:szCs w:val="20"/>
        </w:rPr>
      </w:pPr>
    </w:p>
    <w:p w14:paraId="474F1692" w14:textId="77777777" w:rsidR="00721EA7" w:rsidRPr="00E949E1" w:rsidRDefault="00721EA7" w:rsidP="00123C72">
      <w:pPr>
        <w:tabs>
          <w:tab w:val="left" w:pos="567"/>
        </w:tabs>
        <w:spacing w:after="0"/>
        <w:rPr>
          <w:rFonts w:ascii="Verdana" w:hAnsi="Verdana"/>
          <w:b/>
          <w:sz w:val="20"/>
          <w:szCs w:val="20"/>
        </w:rPr>
      </w:pPr>
    </w:p>
    <w:p w14:paraId="3F79238D" w14:textId="77777777" w:rsidR="00721EA7" w:rsidRPr="00E949E1" w:rsidRDefault="00721EA7" w:rsidP="00D83CB9">
      <w:pPr>
        <w:tabs>
          <w:tab w:val="left" w:pos="567"/>
        </w:tabs>
        <w:spacing w:after="0"/>
        <w:rPr>
          <w:rFonts w:ascii="Verdana" w:hAnsi="Verdana"/>
          <w:b/>
          <w:sz w:val="20"/>
          <w:szCs w:val="20"/>
        </w:rPr>
      </w:pPr>
    </w:p>
    <w:p w14:paraId="4E122AAA" w14:textId="77777777" w:rsidR="00BA6210" w:rsidRPr="00E949E1" w:rsidRDefault="00BA6210" w:rsidP="00D83CB9">
      <w:pPr>
        <w:tabs>
          <w:tab w:val="left" w:pos="567"/>
        </w:tabs>
        <w:spacing w:after="0"/>
        <w:rPr>
          <w:rFonts w:ascii="Verdana" w:hAnsi="Verdana"/>
          <w:b/>
          <w:sz w:val="20"/>
          <w:szCs w:val="20"/>
        </w:rPr>
      </w:pPr>
    </w:p>
    <w:p w14:paraId="2D7D028F" w14:textId="77777777" w:rsidR="00553094" w:rsidRPr="00E949E1" w:rsidRDefault="00553094" w:rsidP="00D83CB9">
      <w:pPr>
        <w:tabs>
          <w:tab w:val="left" w:pos="567"/>
        </w:tabs>
        <w:spacing w:after="0"/>
        <w:jc w:val="center"/>
        <w:rPr>
          <w:rFonts w:ascii="Verdana" w:hAnsi="Verdana"/>
          <w:b/>
          <w:sz w:val="20"/>
          <w:szCs w:val="20"/>
        </w:rPr>
      </w:pPr>
    </w:p>
    <w:p w14:paraId="2FD7FF04" w14:textId="77777777" w:rsidR="007E7781" w:rsidRPr="00E949E1" w:rsidRDefault="00016191" w:rsidP="00D83CB9">
      <w:pPr>
        <w:tabs>
          <w:tab w:val="left" w:pos="567"/>
        </w:tabs>
        <w:spacing w:after="0" w:line="240" w:lineRule="auto"/>
        <w:jc w:val="center"/>
        <w:rPr>
          <w:rFonts w:ascii="Verdana" w:hAnsi="Verdana"/>
          <w:b/>
          <w:sz w:val="20"/>
          <w:szCs w:val="20"/>
        </w:rPr>
      </w:pPr>
      <w:r w:rsidRPr="00E949E1">
        <w:rPr>
          <w:rFonts w:ascii="Verdana" w:hAnsi="Verdana"/>
          <w:b/>
          <w:sz w:val="20"/>
          <w:szCs w:val="20"/>
        </w:rPr>
        <w:t xml:space="preserve">RESOLUCIÓN </w:t>
      </w:r>
      <w:r w:rsidR="00FF6AD7" w:rsidRPr="00E949E1">
        <w:rPr>
          <w:rFonts w:ascii="Verdana" w:hAnsi="Verdana"/>
          <w:b/>
          <w:sz w:val="20"/>
          <w:szCs w:val="20"/>
        </w:rPr>
        <w:t>DEL PRESIDENTE</w:t>
      </w:r>
      <w:r w:rsidR="007E7781" w:rsidRPr="00E949E1">
        <w:rPr>
          <w:rFonts w:ascii="Verdana" w:hAnsi="Verdana"/>
          <w:b/>
          <w:sz w:val="20"/>
          <w:szCs w:val="20"/>
        </w:rPr>
        <w:t xml:space="preserve"> </w:t>
      </w:r>
      <w:r w:rsidRPr="00E949E1">
        <w:rPr>
          <w:rFonts w:ascii="Verdana" w:hAnsi="Verdana"/>
          <w:b/>
          <w:sz w:val="20"/>
          <w:szCs w:val="20"/>
        </w:rPr>
        <w:t xml:space="preserve">DE LA </w:t>
      </w:r>
      <w:bookmarkStart w:id="0" w:name="_GoBack"/>
      <w:bookmarkEnd w:id="0"/>
    </w:p>
    <w:p w14:paraId="0C5F18D8" w14:textId="77777777" w:rsidR="00FF6AD7" w:rsidRPr="00E949E1" w:rsidRDefault="00016191" w:rsidP="00D83CB9">
      <w:pPr>
        <w:tabs>
          <w:tab w:val="left" w:pos="567"/>
        </w:tabs>
        <w:spacing w:after="0" w:line="240" w:lineRule="auto"/>
        <w:jc w:val="center"/>
        <w:rPr>
          <w:rFonts w:ascii="Verdana" w:hAnsi="Verdana"/>
          <w:b/>
          <w:sz w:val="20"/>
          <w:szCs w:val="20"/>
        </w:rPr>
      </w:pPr>
      <w:r w:rsidRPr="00E949E1">
        <w:rPr>
          <w:rFonts w:ascii="Verdana" w:hAnsi="Verdana"/>
          <w:b/>
          <w:sz w:val="20"/>
          <w:szCs w:val="20"/>
        </w:rPr>
        <w:t>CORTE INTERAMERICANA DE DERECHOS HUMANOS</w:t>
      </w:r>
    </w:p>
    <w:p w14:paraId="653C319A" w14:textId="77777777" w:rsidR="00DF5305" w:rsidRPr="00E949E1" w:rsidRDefault="00DF5305" w:rsidP="00D83CB9">
      <w:pPr>
        <w:tabs>
          <w:tab w:val="left" w:pos="567"/>
        </w:tabs>
        <w:spacing w:after="0" w:line="240" w:lineRule="auto"/>
        <w:jc w:val="center"/>
        <w:rPr>
          <w:rFonts w:ascii="Verdana" w:hAnsi="Verdana"/>
          <w:b/>
          <w:sz w:val="20"/>
          <w:szCs w:val="20"/>
        </w:rPr>
      </w:pPr>
    </w:p>
    <w:p w14:paraId="1E1F28CE" w14:textId="1C1224EA" w:rsidR="00DF5305" w:rsidRPr="00E949E1" w:rsidRDefault="00016191" w:rsidP="00D83CB9">
      <w:pPr>
        <w:tabs>
          <w:tab w:val="left" w:pos="567"/>
        </w:tabs>
        <w:spacing w:after="0" w:line="240" w:lineRule="auto"/>
        <w:jc w:val="center"/>
        <w:rPr>
          <w:rFonts w:ascii="Verdana" w:hAnsi="Verdana"/>
          <w:b/>
          <w:sz w:val="20"/>
          <w:szCs w:val="20"/>
        </w:rPr>
      </w:pPr>
      <w:r w:rsidRPr="00E949E1">
        <w:rPr>
          <w:rFonts w:ascii="Verdana" w:hAnsi="Verdana"/>
          <w:b/>
          <w:sz w:val="20"/>
          <w:szCs w:val="20"/>
        </w:rPr>
        <w:t xml:space="preserve">DE </w:t>
      </w:r>
      <w:r w:rsidR="00BD1D02">
        <w:rPr>
          <w:rFonts w:ascii="Verdana" w:hAnsi="Verdana"/>
          <w:b/>
          <w:sz w:val="20"/>
          <w:szCs w:val="20"/>
        </w:rPr>
        <w:t>1</w:t>
      </w:r>
      <w:r w:rsidR="00A6030D">
        <w:rPr>
          <w:rFonts w:ascii="Verdana" w:hAnsi="Verdana"/>
          <w:b/>
          <w:sz w:val="20"/>
          <w:szCs w:val="20"/>
        </w:rPr>
        <w:t>7</w:t>
      </w:r>
      <w:r w:rsidRPr="00E949E1">
        <w:rPr>
          <w:rFonts w:ascii="Verdana" w:hAnsi="Verdana"/>
          <w:b/>
          <w:sz w:val="20"/>
          <w:szCs w:val="20"/>
        </w:rPr>
        <w:t xml:space="preserve"> DE </w:t>
      </w:r>
      <w:r w:rsidR="00854FA7" w:rsidRPr="00E949E1">
        <w:rPr>
          <w:rFonts w:ascii="Verdana" w:hAnsi="Verdana"/>
          <w:b/>
          <w:sz w:val="20"/>
          <w:szCs w:val="20"/>
        </w:rPr>
        <w:t>DICIEMBRE</w:t>
      </w:r>
      <w:r w:rsidR="00C15E17">
        <w:rPr>
          <w:rFonts w:ascii="Verdana" w:hAnsi="Verdana"/>
          <w:b/>
          <w:sz w:val="20"/>
          <w:szCs w:val="20"/>
        </w:rPr>
        <w:t xml:space="preserve"> DE 2018</w:t>
      </w:r>
    </w:p>
    <w:p w14:paraId="3871CDDC" w14:textId="77777777" w:rsidR="0016379E" w:rsidRPr="00E949E1" w:rsidRDefault="0016379E" w:rsidP="00D83CB9">
      <w:pPr>
        <w:tabs>
          <w:tab w:val="left" w:pos="567"/>
        </w:tabs>
        <w:spacing w:after="0" w:line="240" w:lineRule="auto"/>
        <w:jc w:val="center"/>
        <w:rPr>
          <w:rFonts w:ascii="Verdana" w:hAnsi="Verdana"/>
          <w:b/>
          <w:sz w:val="20"/>
          <w:szCs w:val="20"/>
        </w:rPr>
      </w:pPr>
    </w:p>
    <w:p w14:paraId="541CAB36" w14:textId="6AED4732" w:rsidR="006709EC" w:rsidRPr="00E949E1" w:rsidRDefault="00F71F56" w:rsidP="00D83CB9">
      <w:pPr>
        <w:tabs>
          <w:tab w:val="left" w:pos="567"/>
        </w:tabs>
        <w:spacing w:after="0" w:line="240" w:lineRule="auto"/>
        <w:jc w:val="center"/>
        <w:rPr>
          <w:rFonts w:ascii="Verdana" w:hAnsi="Verdana"/>
          <w:b/>
          <w:sz w:val="20"/>
          <w:szCs w:val="20"/>
        </w:rPr>
      </w:pPr>
      <w:r w:rsidRPr="00E949E1">
        <w:rPr>
          <w:rFonts w:ascii="Verdana" w:hAnsi="Verdana"/>
          <w:b/>
          <w:sz w:val="20"/>
          <w:szCs w:val="20"/>
        </w:rPr>
        <w:t xml:space="preserve">CASO </w:t>
      </w:r>
      <w:r w:rsidR="005245EB" w:rsidRPr="00E949E1">
        <w:rPr>
          <w:rFonts w:ascii="Verdana" w:hAnsi="Verdana"/>
          <w:b/>
          <w:sz w:val="20"/>
          <w:szCs w:val="20"/>
        </w:rPr>
        <w:t xml:space="preserve">ARROM SUHURT </w:t>
      </w:r>
      <w:r w:rsidRPr="00E949E1">
        <w:rPr>
          <w:rFonts w:ascii="Verdana" w:hAnsi="Verdana"/>
          <w:b/>
          <w:sz w:val="20"/>
          <w:szCs w:val="20"/>
        </w:rPr>
        <w:t>Y OTROS VS. P</w:t>
      </w:r>
      <w:r w:rsidR="00D5400D">
        <w:rPr>
          <w:rFonts w:ascii="Verdana" w:hAnsi="Verdana"/>
          <w:b/>
          <w:sz w:val="20"/>
          <w:szCs w:val="20"/>
        </w:rPr>
        <w:t>ARAGUAY</w:t>
      </w:r>
    </w:p>
    <w:p w14:paraId="426E6D0C" w14:textId="77777777" w:rsidR="003C3755" w:rsidRPr="00E949E1" w:rsidRDefault="003C3755" w:rsidP="00D83CB9">
      <w:pPr>
        <w:tabs>
          <w:tab w:val="left" w:pos="567"/>
        </w:tabs>
        <w:spacing w:after="0"/>
        <w:jc w:val="both"/>
        <w:rPr>
          <w:rFonts w:ascii="Verdana" w:hAnsi="Verdana"/>
          <w:b/>
          <w:sz w:val="20"/>
          <w:szCs w:val="20"/>
        </w:rPr>
      </w:pPr>
    </w:p>
    <w:p w14:paraId="4021CA7D" w14:textId="77777777" w:rsidR="00721EA7" w:rsidRPr="00E949E1" w:rsidRDefault="00721EA7" w:rsidP="00D83CB9">
      <w:pPr>
        <w:tabs>
          <w:tab w:val="left" w:pos="567"/>
        </w:tabs>
        <w:spacing w:after="0"/>
        <w:jc w:val="both"/>
        <w:rPr>
          <w:rFonts w:ascii="Verdana" w:hAnsi="Verdana"/>
          <w:b/>
          <w:sz w:val="20"/>
          <w:szCs w:val="20"/>
        </w:rPr>
      </w:pPr>
    </w:p>
    <w:p w14:paraId="75574EFF" w14:textId="04BB67FA" w:rsidR="00FF6AD7" w:rsidRPr="00E949E1" w:rsidRDefault="00FF6AD7" w:rsidP="00D83CB9">
      <w:pPr>
        <w:tabs>
          <w:tab w:val="left" w:pos="567"/>
        </w:tabs>
        <w:spacing w:after="0" w:line="240" w:lineRule="auto"/>
        <w:jc w:val="center"/>
        <w:rPr>
          <w:rFonts w:ascii="Verdana" w:hAnsi="Verdana"/>
          <w:b/>
          <w:sz w:val="20"/>
          <w:szCs w:val="20"/>
        </w:rPr>
      </w:pPr>
    </w:p>
    <w:p w14:paraId="317E7E9B" w14:textId="77777777" w:rsidR="00016191" w:rsidRPr="00E949E1" w:rsidRDefault="00016191" w:rsidP="00D83CB9">
      <w:pPr>
        <w:tabs>
          <w:tab w:val="left" w:pos="567"/>
        </w:tabs>
        <w:spacing w:after="0"/>
        <w:jc w:val="both"/>
        <w:rPr>
          <w:rFonts w:ascii="Verdana" w:hAnsi="Verdana"/>
          <w:b/>
          <w:sz w:val="20"/>
          <w:szCs w:val="20"/>
        </w:rPr>
      </w:pPr>
      <w:r w:rsidRPr="00E949E1">
        <w:rPr>
          <w:rFonts w:ascii="Verdana" w:hAnsi="Verdana"/>
          <w:b/>
          <w:sz w:val="20"/>
          <w:szCs w:val="20"/>
        </w:rPr>
        <w:t>VISTO:</w:t>
      </w:r>
    </w:p>
    <w:p w14:paraId="70F282D6" w14:textId="77777777" w:rsidR="00BF78B5" w:rsidRPr="00E949E1" w:rsidRDefault="00BF78B5" w:rsidP="00D83CB9">
      <w:pPr>
        <w:tabs>
          <w:tab w:val="left" w:pos="567"/>
        </w:tabs>
        <w:spacing w:after="0"/>
        <w:jc w:val="both"/>
        <w:rPr>
          <w:rFonts w:ascii="Verdana" w:hAnsi="Verdana"/>
          <w:b/>
          <w:sz w:val="20"/>
          <w:szCs w:val="20"/>
        </w:rPr>
      </w:pPr>
    </w:p>
    <w:p w14:paraId="26D5BE4E" w14:textId="57264E85" w:rsidR="00BF78B5" w:rsidRPr="00E949E1" w:rsidRDefault="00016191" w:rsidP="009C14DC">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r w:rsidRPr="00E949E1">
        <w:rPr>
          <w:rFonts w:ascii="Verdana" w:hAnsi="Verdana"/>
          <w:sz w:val="20"/>
          <w:szCs w:val="20"/>
        </w:rPr>
        <w:t>El escrito de sometimiento del caso y el Informe de Fondo de la Comisión Interamericana de Derechos Humanos (en adelante “la Comisión Interamericana” o “la Comisión”); el escrito de solicitudes, argumentos y pruebas</w:t>
      </w:r>
      <w:r w:rsidR="00844163" w:rsidRPr="00E949E1">
        <w:rPr>
          <w:rFonts w:ascii="Verdana" w:hAnsi="Verdana"/>
          <w:sz w:val="20"/>
          <w:szCs w:val="20"/>
        </w:rPr>
        <w:t xml:space="preserve"> </w:t>
      </w:r>
      <w:r w:rsidRPr="00E949E1">
        <w:rPr>
          <w:rFonts w:ascii="Verdana" w:hAnsi="Verdana"/>
          <w:sz w:val="20"/>
          <w:szCs w:val="20"/>
        </w:rPr>
        <w:t>(en adelante el “escrito de solicitudes y argumentos”) de</w:t>
      </w:r>
      <w:r w:rsidR="005245EB" w:rsidRPr="00E949E1">
        <w:rPr>
          <w:rFonts w:ascii="Verdana" w:hAnsi="Verdana"/>
          <w:sz w:val="20"/>
          <w:szCs w:val="20"/>
        </w:rPr>
        <w:t>l representante</w:t>
      </w:r>
      <w:r w:rsidR="00482C53" w:rsidRPr="00E949E1">
        <w:rPr>
          <w:rFonts w:ascii="Verdana" w:hAnsi="Verdana"/>
          <w:sz w:val="20"/>
          <w:szCs w:val="20"/>
        </w:rPr>
        <w:t xml:space="preserve"> de la</w:t>
      </w:r>
      <w:r w:rsidR="004E76A1" w:rsidRPr="00E949E1">
        <w:rPr>
          <w:rFonts w:ascii="Verdana" w:hAnsi="Verdana"/>
          <w:sz w:val="20"/>
          <w:szCs w:val="20"/>
        </w:rPr>
        <w:t>s presuntas</w:t>
      </w:r>
      <w:r w:rsidR="00482C53" w:rsidRPr="00E949E1">
        <w:rPr>
          <w:rFonts w:ascii="Verdana" w:hAnsi="Verdana"/>
          <w:sz w:val="20"/>
          <w:szCs w:val="20"/>
        </w:rPr>
        <w:t xml:space="preserve"> víctima</w:t>
      </w:r>
      <w:r w:rsidR="004E76A1" w:rsidRPr="00E949E1">
        <w:rPr>
          <w:rFonts w:ascii="Verdana" w:hAnsi="Verdana"/>
          <w:sz w:val="20"/>
          <w:szCs w:val="20"/>
        </w:rPr>
        <w:t>s</w:t>
      </w:r>
      <w:r w:rsidRPr="00E949E1">
        <w:rPr>
          <w:rFonts w:ascii="Verdana" w:hAnsi="Verdana"/>
          <w:sz w:val="20"/>
          <w:szCs w:val="20"/>
        </w:rPr>
        <w:t xml:space="preserve"> (en adelante “</w:t>
      </w:r>
      <w:r w:rsidR="00FA3A59">
        <w:rPr>
          <w:rFonts w:ascii="Verdana" w:hAnsi="Verdana"/>
          <w:sz w:val="20"/>
          <w:szCs w:val="20"/>
        </w:rPr>
        <w:t xml:space="preserve">el </w:t>
      </w:r>
      <w:r w:rsidRPr="00E949E1">
        <w:rPr>
          <w:rFonts w:ascii="Verdana" w:hAnsi="Verdana"/>
          <w:sz w:val="20"/>
          <w:szCs w:val="20"/>
        </w:rPr>
        <w:t xml:space="preserve">representante”); el </w:t>
      </w:r>
      <w:r w:rsidRPr="00FA3A59">
        <w:rPr>
          <w:rFonts w:ascii="Verdana" w:hAnsi="Verdana"/>
          <w:sz w:val="20"/>
          <w:szCs w:val="20"/>
        </w:rPr>
        <w:t>escrito</w:t>
      </w:r>
      <w:r w:rsidR="00FA3A59" w:rsidRPr="00FA3A59">
        <w:rPr>
          <w:rFonts w:ascii="Verdana" w:hAnsi="Verdana"/>
          <w:sz w:val="20"/>
          <w:szCs w:val="20"/>
        </w:rPr>
        <w:t xml:space="preserve"> de</w:t>
      </w:r>
      <w:r w:rsidRPr="00FA3A59">
        <w:rPr>
          <w:rFonts w:ascii="Verdana" w:hAnsi="Verdana"/>
          <w:sz w:val="20"/>
          <w:szCs w:val="20"/>
        </w:rPr>
        <w:t xml:space="preserve"> </w:t>
      </w:r>
      <w:r w:rsidR="00FA3A59" w:rsidRPr="00FA3A59">
        <w:rPr>
          <w:rFonts w:ascii="Verdana" w:hAnsi="Verdana"/>
          <w:sz w:val="20"/>
          <w:szCs w:val="20"/>
        </w:rPr>
        <w:t>excepciones preliminares y de</w:t>
      </w:r>
      <w:r w:rsidR="00FA3A59">
        <w:t xml:space="preserve"> </w:t>
      </w:r>
      <w:r w:rsidRPr="00E949E1">
        <w:rPr>
          <w:rFonts w:ascii="Verdana" w:hAnsi="Verdana"/>
          <w:sz w:val="20"/>
          <w:szCs w:val="20"/>
        </w:rPr>
        <w:t>contestación al sometimiento del caso y al escrito de solicitudes y argumentos (en adelant</w:t>
      </w:r>
      <w:r w:rsidR="001F3986" w:rsidRPr="00E949E1">
        <w:rPr>
          <w:rFonts w:ascii="Verdana" w:hAnsi="Verdana"/>
          <w:sz w:val="20"/>
          <w:szCs w:val="20"/>
        </w:rPr>
        <w:t xml:space="preserve">e “escrito de contestación”) de </w:t>
      </w:r>
      <w:r w:rsidR="00482C53" w:rsidRPr="00E949E1">
        <w:rPr>
          <w:rFonts w:ascii="Verdana" w:hAnsi="Verdana"/>
          <w:sz w:val="20"/>
          <w:szCs w:val="20"/>
        </w:rPr>
        <w:t>la República del P</w:t>
      </w:r>
      <w:r w:rsidR="00CA144D" w:rsidRPr="00E949E1">
        <w:rPr>
          <w:rFonts w:ascii="Verdana" w:hAnsi="Verdana"/>
          <w:sz w:val="20"/>
          <w:szCs w:val="20"/>
        </w:rPr>
        <w:t>araguay</w:t>
      </w:r>
      <w:r w:rsidR="006E4645" w:rsidRPr="00E949E1">
        <w:rPr>
          <w:rFonts w:ascii="Verdana" w:hAnsi="Verdana"/>
          <w:sz w:val="20"/>
          <w:szCs w:val="20"/>
        </w:rPr>
        <w:t xml:space="preserve"> </w:t>
      </w:r>
      <w:r w:rsidRPr="00E949E1">
        <w:rPr>
          <w:rFonts w:ascii="Verdana" w:hAnsi="Verdana"/>
          <w:sz w:val="20"/>
          <w:szCs w:val="20"/>
        </w:rPr>
        <w:t>(en adelante “</w:t>
      </w:r>
      <w:r w:rsidR="00CA144D" w:rsidRPr="00E949E1">
        <w:rPr>
          <w:rFonts w:ascii="Verdana" w:hAnsi="Verdana"/>
          <w:sz w:val="20"/>
          <w:szCs w:val="20"/>
        </w:rPr>
        <w:t>Paraguay</w:t>
      </w:r>
      <w:r w:rsidR="001735A7" w:rsidRPr="00E949E1">
        <w:rPr>
          <w:rFonts w:ascii="Verdana" w:hAnsi="Verdana"/>
          <w:sz w:val="20"/>
          <w:szCs w:val="20"/>
        </w:rPr>
        <w:t xml:space="preserve">” o “el Estado”), </w:t>
      </w:r>
      <w:r w:rsidR="001735A7" w:rsidRPr="00E949E1">
        <w:rPr>
          <w:rFonts w:ascii="Verdana" w:eastAsia="Calibri" w:hAnsi="Verdana" w:cs="Times"/>
          <w:sz w:val="20"/>
          <w:szCs w:val="20"/>
          <w:lang w:eastAsia="es-ES"/>
        </w:rPr>
        <w:t>así co</w:t>
      </w:r>
      <w:r w:rsidR="00564EC8" w:rsidRPr="00E949E1">
        <w:rPr>
          <w:rFonts w:ascii="Verdana" w:eastAsia="Calibri" w:hAnsi="Verdana" w:cs="Times"/>
          <w:sz w:val="20"/>
          <w:szCs w:val="20"/>
          <w:lang w:eastAsia="es-ES"/>
        </w:rPr>
        <w:t xml:space="preserve">mo </w:t>
      </w:r>
      <w:r w:rsidR="00BC0019" w:rsidRPr="00E949E1">
        <w:rPr>
          <w:rFonts w:ascii="Verdana" w:eastAsia="Calibri" w:hAnsi="Verdana" w:cs="Times"/>
          <w:sz w:val="20"/>
          <w:szCs w:val="20"/>
          <w:lang w:eastAsia="es-ES"/>
        </w:rPr>
        <w:t>los escritos</w:t>
      </w:r>
      <w:r w:rsidR="00564EC8" w:rsidRPr="00E949E1">
        <w:rPr>
          <w:rFonts w:ascii="Verdana" w:eastAsia="Calibri" w:hAnsi="Verdana" w:cs="Times"/>
          <w:sz w:val="20"/>
          <w:szCs w:val="20"/>
          <w:lang w:eastAsia="es-ES"/>
        </w:rPr>
        <w:t xml:space="preserve"> de observaciones</w:t>
      </w:r>
      <w:r w:rsidR="00BC0019" w:rsidRPr="00E949E1">
        <w:rPr>
          <w:rFonts w:ascii="Verdana" w:eastAsia="Calibri" w:hAnsi="Verdana" w:cs="Times"/>
          <w:sz w:val="20"/>
          <w:szCs w:val="20"/>
          <w:lang w:eastAsia="es-ES"/>
        </w:rPr>
        <w:t xml:space="preserve"> </w:t>
      </w:r>
      <w:r w:rsidR="00D9010B" w:rsidRPr="00E949E1">
        <w:rPr>
          <w:rFonts w:ascii="Verdana" w:eastAsia="Calibri" w:hAnsi="Verdana" w:cs="Times"/>
          <w:sz w:val="20"/>
          <w:szCs w:val="20"/>
          <w:lang w:eastAsia="es-ES"/>
        </w:rPr>
        <w:t>a la</w:t>
      </w:r>
      <w:r w:rsidR="00CA144D" w:rsidRPr="00E949E1">
        <w:rPr>
          <w:rFonts w:ascii="Verdana" w:eastAsia="Calibri" w:hAnsi="Verdana" w:cs="Times"/>
          <w:sz w:val="20"/>
          <w:szCs w:val="20"/>
          <w:lang w:eastAsia="es-ES"/>
        </w:rPr>
        <w:t>s</w:t>
      </w:r>
      <w:r w:rsidR="00D9010B" w:rsidRPr="00E949E1">
        <w:rPr>
          <w:rFonts w:ascii="Verdana" w:eastAsia="Calibri" w:hAnsi="Verdana" w:cs="Times"/>
          <w:sz w:val="20"/>
          <w:szCs w:val="20"/>
          <w:lang w:eastAsia="es-ES"/>
        </w:rPr>
        <w:t xml:space="preserve"> excepci</w:t>
      </w:r>
      <w:r w:rsidR="00CA144D" w:rsidRPr="00E949E1">
        <w:rPr>
          <w:rFonts w:ascii="Verdana" w:eastAsia="Calibri" w:hAnsi="Verdana" w:cs="Times"/>
          <w:sz w:val="20"/>
          <w:szCs w:val="20"/>
          <w:lang w:eastAsia="es-ES"/>
        </w:rPr>
        <w:t>ones</w:t>
      </w:r>
      <w:r w:rsidR="00D9010B" w:rsidRPr="00E949E1">
        <w:rPr>
          <w:rFonts w:ascii="Verdana" w:eastAsia="Calibri" w:hAnsi="Verdana" w:cs="Times"/>
          <w:sz w:val="20"/>
          <w:szCs w:val="20"/>
          <w:lang w:eastAsia="es-ES"/>
        </w:rPr>
        <w:t xml:space="preserve"> preliminar</w:t>
      </w:r>
      <w:r w:rsidR="00CA144D" w:rsidRPr="00E949E1">
        <w:rPr>
          <w:rFonts w:ascii="Verdana" w:eastAsia="Calibri" w:hAnsi="Verdana" w:cs="Times"/>
          <w:sz w:val="20"/>
          <w:szCs w:val="20"/>
          <w:lang w:eastAsia="es-ES"/>
        </w:rPr>
        <w:t>es</w:t>
      </w:r>
      <w:r w:rsidR="008C1B7B" w:rsidRPr="00E949E1">
        <w:rPr>
          <w:rFonts w:ascii="Verdana" w:eastAsia="Calibri" w:hAnsi="Verdana" w:cs="Times"/>
          <w:sz w:val="20"/>
          <w:szCs w:val="20"/>
          <w:lang w:eastAsia="es-ES"/>
        </w:rPr>
        <w:t xml:space="preserve"> </w:t>
      </w:r>
      <w:r w:rsidR="00BA3628" w:rsidRPr="00E949E1">
        <w:rPr>
          <w:rFonts w:ascii="Verdana" w:eastAsia="Calibri" w:hAnsi="Verdana" w:cs="Times"/>
          <w:sz w:val="20"/>
          <w:szCs w:val="20"/>
          <w:lang w:eastAsia="es-ES"/>
        </w:rPr>
        <w:t>interpuesta</w:t>
      </w:r>
      <w:r w:rsidR="00CA144D" w:rsidRPr="00E949E1">
        <w:rPr>
          <w:rFonts w:ascii="Verdana" w:eastAsia="Calibri" w:hAnsi="Verdana" w:cs="Times"/>
          <w:sz w:val="20"/>
          <w:szCs w:val="20"/>
          <w:lang w:eastAsia="es-ES"/>
        </w:rPr>
        <w:t>s</w:t>
      </w:r>
      <w:r w:rsidR="008F0658" w:rsidRPr="00E949E1">
        <w:rPr>
          <w:rFonts w:ascii="Verdana" w:eastAsia="Calibri" w:hAnsi="Verdana" w:cs="Times"/>
          <w:sz w:val="20"/>
          <w:szCs w:val="20"/>
          <w:lang w:eastAsia="es-ES"/>
        </w:rPr>
        <w:t xml:space="preserve"> </w:t>
      </w:r>
      <w:r w:rsidR="00BC0019" w:rsidRPr="00E949E1">
        <w:rPr>
          <w:rFonts w:ascii="Verdana" w:eastAsia="Calibri" w:hAnsi="Verdana" w:cs="Times"/>
          <w:sz w:val="20"/>
          <w:szCs w:val="20"/>
          <w:lang w:eastAsia="es-ES"/>
        </w:rPr>
        <w:t>por el Estado</w:t>
      </w:r>
      <w:r w:rsidR="00564EC8" w:rsidRPr="00E949E1">
        <w:rPr>
          <w:rFonts w:ascii="Verdana" w:eastAsia="Calibri" w:hAnsi="Verdana" w:cs="Times"/>
          <w:sz w:val="20"/>
          <w:szCs w:val="20"/>
          <w:lang w:eastAsia="es-ES"/>
        </w:rPr>
        <w:t xml:space="preserve"> </w:t>
      </w:r>
      <w:r w:rsidR="00BC0019" w:rsidRPr="00E949E1">
        <w:rPr>
          <w:rFonts w:ascii="Verdana" w:eastAsia="Calibri" w:hAnsi="Verdana" w:cs="Times"/>
          <w:sz w:val="20"/>
          <w:szCs w:val="20"/>
          <w:lang w:eastAsia="es-ES"/>
        </w:rPr>
        <w:t xml:space="preserve">presentados por la Comisión </w:t>
      </w:r>
      <w:r w:rsidR="00005C3B" w:rsidRPr="00E949E1">
        <w:rPr>
          <w:rFonts w:ascii="Verdana" w:eastAsia="Calibri" w:hAnsi="Verdana" w:cs="Times"/>
          <w:sz w:val="20"/>
          <w:szCs w:val="20"/>
          <w:lang w:eastAsia="es-ES"/>
        </w:rPr>
        <w:t>Interamericana</w:t>
      </w:r>
      <w:r w:rsidR="00BA3628" w:rsidRPr="00E949E1">
        <w:rPr>
          <w:rFonts w:ascii="Verdana" w:eastAsia="Calibri" w:hAnsi="Verdana" w:cs="Times"/>
          <w:sz w:val="20"/>
          <w:szCs w:val="20"/>
          <w:lang w:eastAsia="es-ES"/>
        </w:rPr>
        <w:t xml:space="preserve"> </w:t>
      </w:r>
      <w:r w:rsidR="00BC0019" w:rsidRPr="00E949E1">
        <w:rPr>
          <w:rFonts w:ascii="Verdana" w:eastAsia="Calibri" w:hAnsi="Verdana" w:cs="Times"/>
          <w:sz w:val="20"/>
          <w:szCs w:val="20"/>
          <w:lang w:eastAsia="es-ES"/>
        </w:rPr>
        <w:t xml:space="preserve">y </w:t>
      </w:r>
      <w:r w:rsidR="00FA3A59">
        <w:rPr>
          <w:rFonts w:ascii="Verdana" w:eastAsia="Calibri" w:hAnsi="Verdana" w:cs="Times"/>
          <w:sz w:val="20"/>
          <w:szCs w:val="20"/>
          <w:lang w:eastAsia="es-ES"/>
        </w:rPr>
        <w:t>el representante</w:t>
      </w:r>
      <w:r w:rsidR="0010097D" w:rsidRPr="00E949E1">
        <w:rPr>
          <w:rFonts w:ascii="Verdana" w:eastAsia="Calibri" w:hAnsi="Verdana" w:cs="Times"/>
          <w:sz w:val="20"/>
          <w:szCs w:val="20"/>
          <w:lang w:eastAsia="es-ES"/>
        </w:rPr>
        <w:t xml:space="preserve">. </w:t>
      </w:r>
    </w:p>
    <w:p w14:paraId="421F9A94" w14:textId="77777777" w:rsidR="00BA3628" w:rsidRPr="00E949E1" w:rsidRDefault="00BA3628" w:rsidP="00D83CB9">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14:paraId="5085D72A" w14:textId="028F1CEC" w:rsidR="00BC0019" w:rsidRDefault="00844163" w:rsidP="00D83CB9">
      <w:pPr>
        <w:widowControl w:val="0"/>
        <w:numPr>
          <w:ilvl w:val="0"/>
          <w:numId w:val="1"/>
        </w:numPr>
        <w:tabs>
          <w:tab w:val="left" w:pos="567"/>
        </w:tabs>
        <w:autoSpaceDE w:val="0"/>
        <w:autoSpaceDN w:val="0"/>
        <w:adjustRightInd w:val="0"/>
        <w:spacing w:after="0" w:line="240" w:lineRule="auto"/>
        <w:ind w:left="0" w:right="22" w:firstLine="0"/>
        <w:jc w:val="both"/>
        <w:rPr>
          <w:rFonts w:ascii="Verdana" w:hAnsi="Verdana"/>
          <w:b/>
          <w:sz w:val="20"/>
          <w:szCs w:val="20"/>
        </w:rPr>
      </w:pPr>
      <w:r w:rsidRPr="00006CA0">
        <w:rPr>
          <w:rFonts w:ascii="Verdana" w:hAnsi="Verdana"/>
          <w:sz w:val="20"/>
          <w:szCs w:val="20"/>
        </w:rPr>
        <w:t>La</w:t>
      </w:r>
      <w:r w:rsidR="00482A2E" w:rsidRPr="00006CA0">
        <w:rPr>
          <w:rFonts w:ascii="Verdana" w:hAnsi="Verdana"/>
          <w:sz w:val="20"/>
          <w:szCs w:val="20"/>
        </w:rPr>
        <w:t>s</w:t>
      </w:r>
      <w:r w:rsidRPr="00006CA0">
        <w:rPr>
          <w:rFonts w:ascii="Verdana" w:hAnsi="Verdana"/>
          <w:sz w:val="20"/>
          <w:szCs w:val="20"/>
        </w:rPr>
        <w:t xml:space="preserve"> </w:t>
      </w:r>
      <w:r w:rsidR="00BC0019" w:rsidRPr="00006CA0">
        <w:rPr>
          <w:rFonts w:ascii="Verdana" w:hAnsi="Verdana"/>
          <w:sz w:val="20"/>
          <w:szCs w:val="20"/>
        </w:rPr>
        <w:t xml:space="preserve">listas definitivas de declarantes presentadas </w:t>
      </w:r>
      <w:r w:rsidR="00FA3A59" w:rsidRPr="00006CA0">
        <w:rPr>
          <w:rFonts w:ascii="Verdana" w:hAnsi="Verdana"/>
          <w:sz w:val="20"/>
          <w:szCs w:val="20"/>
        </w:rPr>
        <w:t xml:space="preserve">por el Estado, </w:t>
      </w:r>
      <w:r w:rsidR="00006CA0" w:rsidRPr="00006CA0">
        <w:rPr>
          <w:rFonts w:ascii="Verdana" w:hAnsi="Verdana"/>
          <w:sz w:val="20"/>
          <w:szCs w:val="20"/>
        </w:rPr>
        <w:t>el representante,</w:t>
      </w:r>
      <w:r w:rsidR="00FA3A59" w:rsidRPr="00006CA0">
        <w:rPr>
          <w:rFonts w:ascii="Verdana" w:hAnsi="Verdana"/>
          <w:sz w:val="20"/>
          <w:szCs w:val="20"/>
        </w:rPr>
        <w:t xml:space="preserve"> la Comisión</w:t>
      </w:r>
      <w:r w:rsidR="006F1A47" w:rsidRPr="00006CA0">
        <w:rPr>
          <w:rFonts w:ascii="Verdana" w:hAnsi="Verdana"/>
          <w:sz w:val="20"/>
          <w:szCs w:val="20"/>
        </w:rPr>
        <w:t xml:space="preserve"> </w:t>
      </w:r>
      <w:r w:rsidR="00FA3A59" w:rsidRPr="00006CA0">
        <w:rPr>
          <w:rFonts w:ascii="Verdana" w:hAnsi="Verdana"/>
          <w:sz w:val="20"/>
          <w:szCs w:val="20"/>
        </w:rPr>
        <w:t>y las correspondientes observaciones a dichas listas presentadas por las partes, la Comisión</w:t>
      </w:r>
      <w:r w:rsidR="00AF3442" w:rsidRPr="00006CA0">
        <w:rPr>
          <w:rFonts w:ascii="Verdana" w:hAnsi="Verdana"/>
          <w:sz w:val="20"/>
          <w:szCs w:val="20"/>
        </w:rPr>
        <w:t xml:space="preserve"> </w:t>
      </w:r>
      <w:r w:rsidR="00FA3A59" w:rsidRPr="00006CA0">
        <w:rPr>
          <w:rFonts w:ascii="Verdana" w:hAnsi="Verdana"/>
          <w:sz w:val="20"/>
          <w:szCs w:val="20"/>
        </w:rPr>
        <w:t>y los peritos recusados.</w:t>
      </w:r>
      <w:r w:rsidR="006F1A47" w:rsidRPr="00006CA0">
        <w:rPr>
          <w:rFonts w:ascii="Verdana" w:hAnsi="Verdana"/>
          <w:sz w:val="20"/>
          <w:szCs w:val="20"/>
        </w:rPr>
        <w:t xml:space="preserve"> </w:t>
      </w:r>
    </w:p>
    <w:p w14:paraId="47553E69" w14:textId="77777777" w:rsidR="00006CA0" w:rsidRPr="00006CA0" w:rsidRDefault="00006CA0" w:rsidP="00006CA0">
      <w:pPr>
        <w:widowControl w:val="0"/>
        <w:tabs>
          <w:tab w:val="left" w:pos="567"/>
        </w:tabs>
        <w:autoSpaceDE w:val="0"/>
        <w:autoSpaceDN w:val="0"/>
        <w:adjustRightInd w:val="0"/>
        <w:spacing w:after="0" w:line="240" w:lineRule="auto"/>
        <w:ind w:right="22"/>
        <w:jc w:val="both"/>
        <w:rPr>
          <w:rFonts w:ascii="Verdana" w:hAnsi="Verdana"/>
          <w:b/>
          <w:sz w:val="20"/>
          <w:szCs w:val="20"/>
        </w:rPr>
      </w:pPr>
    </w:p>
    <w:p w14:paraId="5D188416" w14:textId="0533583B" w:rsidR="001A0EFB" w:rsidRPr="001A0EFB" w:rsidRDefault="00FF5B5F" w:rsidP="001A0EFB">
      <w:pPr>
        <w:widowControl w:val="0"/>
        <w:numPr>
          <w:ilvl w:val="0"/>
          <w:numId w:val="1"/>
        </w:numPr>
        <w:tabs>
          <w:tab w:val="left" w:pos="567"/>
        </w:tabs>
        <w:autoSpaceDE w:val="0"/>
        <w:autoSpaceDN w:val="0"/>
        <w:adjustRightInd w:val="0"/>
        <w:spacing w:after="0" w:line="240" w:lineRule="auto"/>
        <w:ind w:left="0" w:right="22" w:firstLine="0"/>
        <w:jc w:val="both"/>
        <w:rPr>
          <w:rFonts w:ascii="Verdana" w:eastAsia="Calibri" w:hAnsi="Verdana" w:cs="Times"/>
          <w:sz w:val="20"/>
          <w:szCs w:val="20"/>
          <w:lang w:eastAsia="es-ES"/>
        </w:rPr>
      </w:pPr>
      <w:bookmarkStart w:id="1" w:name="_Ref479170533"/>
      <w:r w:rsidRPr="00E949E1">
        <w:rPr>
          <w:rFonts w:ascii="Verdana" w:hAnsi="Verdana"/>
          <w:sz w:val="20"/>
          <w:szCs w:val="20"/>
        </w:rPr>
        <w:t xml:space="preserve">La </w:t>
      </w:r>
      <w:r w:rsidR="00977843">
        <w:rPr>
          <w:rFonts w:ascii="Verdana" w:hAnsi="Verdana"/>
          <w:sz w:val="20"/>
          <w:szCs w:val="20"/>
        </w:rPr>
        <w:t>n</w:t>
      </w:r>
      <w:r w:rsidR="00CA144D" w:rsidRPr="00E949E1">
        <w:rPr>
          <w:rFonts w:ascii="Verdana" w:hAnsi="Verdana"/>
          <w:sz w:val="20"/>
          <w:szCs w:val="20"/>
        </w:rPr>
        <w:t xml:space="preserve">ota de Secretaría </w:t>
      </w:r>
      <w:r w:rsidR="00CA4BD5">
        <w:rPr>
          <w:rFonts w:ascii="Verdana" w:hAnsi="Verdana"/>
          <w:sz w:val="20"/>
          <w:szCs w:val="20"/>
        </w:rPr>
        <w:t xml:space="preserve">de </w:t>
      </w:r>
      <w:r w:rsidR="00CA144D" w:rsidRPr="00E949E1">
        <w:rPr>
          <w:rFonts w:ascii="Verdana" w:hAnsi="Verdana"/>
          <w:sz w:val="20"/>
          <w:szCs w:val="20"/>
        </w:rPr>
        <w:t>24 de octubre de 2018</w:t>
      </w:r>
      <w:r w:rsidRPr="00E949E1">
        <w:rPr>
          <w:rFonts w:ascii="Verdana" w:hAnsi="Verdana"/>
          <w:sz w:val="20"/>
          <w:szCs w:val="20"/>
        </w:rPr>
        <w:t xml:space="preserve"> </w:t>
      </w:r>
      <w:r w:rsidR="001A0EFB">
        <w:rPr>
          <w:rFonts w:ascii="Verdana" w:hAnsi="Verdana"/>
          <w:sz w:val="20"/>
          <w:szCs w:val="20"/>
        </w:rPr>
        <w:t>relativa a la procedencia del F</w:t>
      </w:r>
      <w:r w:rsidR="001A0EFB" w:rsidRPr="001A0EFB">
        <w:rPr>
          <w:rFonts w:ascii="Verdana" w:hAnsi="Verdana" w:cs="Arial"/>
          <w:sz w:val="20"/>
          <w:szCs w:val="20"/>
        </w:rPr>
        <w:t>ondo de Asistencia Legal de</w:t>
      </w:r>
      <w:r w:rsidR="001A0EFB" w:rsidRPr="001A0EFB">
        <w:rPr>
          <w:rFonts w:ascii="Verdana" w:eastAsia="Calibri" w:hAnsi="Verdana" w:cs="Times"/>
          <w:sz w:val="20"/>
          <w:szCs w:val="20"/>
          <w:lang w:eastAsia="es-ES"/>
        </w:rPr>
        <w:t xml:space="preserve"> </w:t>
      </w:r>
      <w:r w:rsidR="001A0EFB" w:rsidRPr="001A0EFB">
        <w:rPr>
          <w:rFonts w:ascii="Verdana" w:hAnsi="Verdana" w:cs="Arial"/>
          <w:sz w:val="20"/>
          <w:szCs w:val="20"/>
        </w:rPr>
        <w:t>Víctimas de la Corte Interamer</w:t>
      </w:r>
      <w:r w:rsidR="001A0EFB">
        <w:rPr>
          <w:rFonts w:ascii="Verdana" w:hAnsi="Verdana" w:cs="Arial"/>
          <w:sz w:val="20"/>
          <w:szCs w:val="20"/>
        </w:rPr>
        <w:t>icana de Derechos Humanos (en adelante “</w:t>
      </w:r>
      <w:r w:rsidR="001A0EFB" w:rsidRPr="00E949E1">
        <w:rPr>
          <w:rFonts w:ascii="Verdana" w:hAnsi="Verdana"/>
          <w:sz w:val="20"/>
          <w:szCs w:val="20"/>
        </w:rPr>
        <w:t>Fondo de Asistencia</w:t>
      </w:r>
      <w:r w:rsidR="00A60AC4" w:rsidRPr="00A60AC4">
        <w:rPr>
          <w:rFonts w:eastAsia="Calibri" w:cs="Verdana"/>
        </w:rPr>
        <w:t xml:space="preserve"> </w:t>
      </w:r>
      <w:r w:rsidR="00A60AC4" w:rsidRPr="00A60AC4">
        <w:rPr>
          <w:rFonts w:ascii="Verdana" w:hAnsi="Verdana"/>
          <w:sz w:val="20"/>
          <w:szCs w:val="20"/>
        </w:rPr>
        <w:t>Legal de Víctimas</w:t>
      </w:r>
      <w:r w:rsidR="001A0EFB">
        <w:rPr>
          <w:rFonts w:ascii="Verdana" w:hAnsi="Verdana"/>
          <w:sz w:val="20"/>
          <w:szCs w:val="20"/>
        </w:rPr>
        <w:t>”)</w:t>
      </w:r>
      <w:r w:rsidR="001A0EFB" w:rsidRPr="001A0EFB">
        <w:rPr>
          <w:rFonts w:ascii="Verdana" w:hAnsi="Verdana" w:cs="Arial"/>
          <w:sz w:val="20"/>
          <w:szCs w:val="20"/>
        </w:rPr>
        <w:t>.</w:t>
      </w:r>
      <w:r w:rsidR="001A0EFB">
        <w:rPr>
          <w:rFonts w:ascii="Verdana" w:hAnsi="Verdana" w:cs="Arial"/>
          <w:sz w:val="20"/>
          <w:szCs w:val="20"/>
        </w:rPr>
        <w:t xml:space="preserve"> </w:t>
      </w:r>
    </w:p>
    <w:bookmarkEnd w:id="1"/>
    <w:p w14:paraId="4567966B" w14:textId="77777777" w:rsidR="004C3A43" w:rsidRPr="00E949E1" w:rsidRDefault="004C3A43" w:rsidP="00D83CB9">
      <w:pPr>
        <w:widowControl w:val="0"/>
        <w:tabs>
          <w:tab w:val="left" w:pos="567"/>
        </w:tabs>
        <w:autoSpaceDE w:val="0"/>
        <w:autoSpaceDN w:val="0"/>
        <w:adjustRightInd w:val="0"/>
        <w:spacing w:after="0" w:line="240" w:lineRule="auto"/>
        <w:ind w:right="22"/>
        <w:jc w:val="both"/>
        <w:rPr>
          <w:rFonts w:ascii="Verdana" w:eastAsia="Calibri" w:hAnsi="Verdana" w:cs="Times"/>
          <w:sz w:val="20"/>
          <w:szCs w:val="20"/>
          <w:lang w:eastAsia="es-ES"/>
        </w:rPr>
      </w:pPr>
    </w:p>
    <w:p w14:paraId="3ACF6B32" w14:textId="77777777" w:rsidR="006B5876" w:rsidRPr="00E949E1" w:rsidRDefault="006B5876" w:rsidP="00D83CB9">
      <w:pPr>
        <w:pStyle w:val="ListParagraph"/>
        <w:tabs>
          <w:tab w:val="left" w:pos="567"/>
        </w:tabs>
        <w:spacing w:after="0" w:line="240" w:lineRule="auto"/>
        <w:ind w:left="0"/>
        <w:jc w:val="both"/>
        <w:rPr>
          <w:rFonts w:ascii="Verdana" w:hAnsi="Verdana"/>
          <w:b/>
          <w:sz w:val="20"/>
          <w:szCs w:val="20"/>
        </w:rPr>
      </w:pPr>
      <w:r w:rsidRPr="00E949E1">
        <w:rPr>
          <w:rFonts w:ascii="Verdana" w:hAnsi="Verdana"/>
          <w:b/>
          <w:sz w:val="20"/>
          <w:szCs w:val="20"/>
        </w:rPr>
        <w:t xml:space="preserve">CONSIDERANDO QUE: </w:t>
      </w:r>
    </w:p>
    <w:p w14:paraId="42501ECD" w14:textId="77777777" w:rsidR="006B5876" w:rsidRPr="00E949E1" w:rsidRDefault="006B5876" w:rsidP="00D83CB9">
      <w:pPr>
        <w:pStyle w:val="ListParagraph"/>
        <w:tabs>
          <w:tab w:val="left" w:pos="567"/>
        </w:tabs>
        <w:spacing w:after="0" w:line="240" w:lineRule="auto"/>
        <w:ind w:left="0"/>
        <w:jc w:val="both"/>
        <w:rPr>
          <w:rFonts w:ascii="Verdana" w:hAnsi="Verdana"/>
          <w:sz w:val="20"/>
          <w:szCs w:val="20"/>
        </w:rPr>
      </w:pPr>
    </w:p>
    <w:p w14:paraId="74A0FA16" w14:textId="1EBFA7EE" w:rsidR="00AC5CB4" w:rsidRDefault="006B5876" w:rsidP="009C14DC">
      <w:pPr>
        <w:pStyle w:val="ListParagraph"/>
        <w:numPr>
          <w:ilvl w:val="0"/>
          <w:numId w:val="2"/>
        </w:numPr>
        <w:tabs>
          <w:tab w:val="left" w:pos="567"/>
        </w:tabs>
        <w:spacing w:after="0" w:line="240" w:lineRule="auto"/>
        <w:ind w:left="0" w:firstLine="0"/>
        <w:jc w:val="both"/>
        <w:rPr>
          <w:rFonts w:ascii="Verdana" w:hAnsi="Verdana"/>
          <w:sz w:val="20"/>
          <w:szCs w:val="20"/>
        </w:rPr>
      </w:pPr>
      <w:r w:rsidRPr="00E949E1">
        <w:rPr>
          <w:rFonts w:ascii="Verdana" w:hAnsi="Verdana"/>
          <w:sz w:val="20"/>
          <w:szCs w:val="20"/>
        </w:rPr>
        <w:t xml:space="preserve">El ofrecimiento y la admisión de la prueba, así como la citación de </w:t>
      </w:r>
      <w:r w:rsidR="009D6F17" w:rsidRPr="00E949E1">
        <w:rPr>
          <w:rFonts w:ascii="Verdana" w:hAnsi="Verdana"/>
          <w:sz w:val="20"/>
          <w:szCs w:val="20"/>
        </w:rPr>
        <w:t xml:space="preserve">declarantes </w:t>
      </w:r>
      <w:r w:rsidRPr="00E949E1">
        <w:rPr>
          <w:rFonts w:ascii="Verdana" w:hAnsi="Verdana"/>
          <w:sz w:val="20"/>
          <w:szCs w:val="20"/>
        </w:rPr>
        <w:t xml:space="preserve">se encuentran regulados en los artículos </w:t>
      </w:r>
      <w:r w:rsidR="001A0EFB" w:rsidRPr="001A0EFB">
        <w:rPr>
          <w:rFonts w:ascii="Verdana" w:hAnsi="Verdana"/>
          <w:sz w:val="20"/>
          <w:szCs w:val="20"/>
        </w:rPr>
        <w:t xml:space="preserve">35.1.f, 40.2.c, 41.1.c, 46, 47, 48, 50, 52.3, 57 y 58 </w:t>
      </w:r>
      <w:r w:rsidR="006D0C9B" w:rsidRPr="00E949E1">
        <w:rPr>
          <w:rFonts w:ascii="Verdana" w:hAnsi="Verdana"/>
          <w:sz w:val="20"/>
          <w:szCs w:val="20"/>
        </w:rPr>
        <w:t xml:space="preserve"> </w:t>
      </w:r>
      <w:r w:rsidRPr="00E949E1">
        <w:rPr>
          <w:rFonts w:ascii="Verdana" w:hAnsi="Verdana"/>
          <w:sz w:val="20"/>
          <w:szCs w:val="20"/>
        </w:rPr>
        <w:t>del Reglamento de la Corte Interamericana de Derechos Humanos (en adelante “la Corte Interamericana”, “la Corte” o “e</w:t>
      </w:r>
      <w:r w:rsidR="005E698B" w:rsidRPr="00E949E1">
        <w:rPr>
          <w:rFonts w:ascii="Verdana" w:hAnsi="Verdana"/>
          <w:sz w:val="20"/>
          <w:szCs w:val="20"/>
        </w:rPr>
        <w:t>l Tribunal”).</w:t>
      </w:r>
    </w:p>
    <w:p w14:paraId="5C0F756B" w14:textId="77777777" w:rsidR="001A0EFB" w:rsidRPr="00E949E1" w:rsidRDefault="001A0EFB" w:rsidP="00D83CB9">
      <w:pPr>
        <w:pStyle w:val="ListParagraph"/>
        <w:tabs>
          <w:tab w:val="left" w:pos="567"/>
        </w:tabs>
        <w:spacing w:after="0" w:line="240" w:lineRule="auto"/>
        <w:ind w:left="0"/>
        <w:jc w:val="both"/>
        <w:rPr>
          <w:rFonts w:ascii="Verdana" w:hAnsi="Verdana"/>
          <w:sz w:val="20"/>
          <w:szCs w:val="20"/>
        </w:rPr>
      </w:pPr>
    </w:p>
    <w:p w14:paraId="027C65D4" w14:textId="1D2D4988" w:rsidR="008974B0" w:rsidRPr="00434006" w:rsidRDefault="00695A38" w:rsidP="00434006">
      <w:pPr>
        <w:pStyle w:val="ListParagraph"/>
        <w:numPr>
          <w:ilvl w:val="0"/>
          <w:numId w:val="2"/>
        </w:numPr>
        <w:tabs>
          <w:tab w:val="left" w:pos="567"/>
        </w:tabs>
        <w:spacing w:after="0" w:line="240" w:lineRule="auto"/>
        <w:ind w:left="0" w:firstLine="0"/>
        <w:jc w:val="both"/>
        <w:rPr>
          <w:rFonts w:ascii="Verdana" w:hAnsi="Verdana"/>
          <w:sz w:val="20"/>
          <w:szCs w:val="20"/>
        </w:rPr>
      </w:pPr>
      <w:r w:rsidRPr="00E949E1">
        <w:rPr>
          <w:rFonts w:ascii="Verdana" w:hAnsi="Verdana"/>
          <w:bCs/>
          <w:iCs/>
          <w:sz w:val="20"/>
          <w:szCs w:val="20"/>
        </w:rPr>
        <w:t>La Comisión ofreció</w:t>
      </w:r>
      <w:r w:rsidR="007C1F48" w:rsidRPr="00E949E1">
        <w:rPr>
          <w:rFonts w:ascii="Verdana" w:hAnsi="Verdana"/>
          <w:bCs/>
          <w:iCs/>
          <w:sz w:val="20"/>
          <w:szCs w:val="20"/>
        </w:rPr>
        <w:t xml:space="preserve"> </w:t>
      </w:r>
      <w:r w:rsidR="00DB649B" w:rsidRPr="00E949E1">
        <w:rPr>
          <w:rFonts w:ascii="Verdana" w:hAnsi="Verdana"/>
          <w:bCs/>
          <w:iCs/>
          <w:sz w:val="20"/>
          <w:szCs w:val="20"/>
        </w:rPr>
        <w:t>una declaración pericial</w:t>
      </w:r>
      <w:r w:rsidR="003A6106" w:rsidRPr="00E949E1">
        <w:rPr>
          <w:rFonts w:ascii="Verdana" w:hAnsi="Verdana"/>
          <w:bCs/>
          <w:iCs/>
          <w:sz w:val="20"/>
          <w:szCs w:val="20"/>
        </w:rPr>
        <w:t>.</w:t>
      </w:r>
      <w:r w:rsidR="00DB649B" w:rsidRPr="00E949E1">
        <w:rPr>
          <w:rFonts w:ascii="Verdana" w:hAnsi="Verdana"/>
          <w:bCs/>
          <w:iCs/>
          <w:sz w:val="20"/>
          <w:szCs w:val="20"/>
        </w:rPr>
        <w:t xml:space="preserve"> </w:t>
      </w:r>
      <w:r w:rsidR="00CA4BD5">
        <w:rPr>
          <w:rFonts w:ascii="Verdana" w:hAnsi="Verdana"/>
          <w:bCs/>
          <w:iCs/>
          <w:sz w:val="20"/>
          <w:szCs w:val="20"/>
        </w:rPr>
        <w:t>El representante</w:t>
      </w:r>
      <w:r w:rsidR="009042C4" w:rsidRPr="00E949E1">
        <w:rPr>
          <w:rFonts w:ascii="Verdana" w:hAnsi="Verdana"/>
          <w:bCs/>
          <w:iCs/>
          <w:sz w:val="20"/>
          <w:szCs w:val="20"/>
        </w:rPr>
        <w:t xml:space="preserve"> ofreci</w:t>
      </w:r>
      <w:r w:rsidR="00CA4BD5">
        <w:rPr>
          <w:rFonts w:ascii="Verdana" w:hAnsi="Verdana"/>
          <w:bCs/>
          <w:iCs/>
          <w:sz w:val="20"/>
          <w:szCs w:val="20"/>
        </w:rPr>
        <w:t>ó</w:t>
      </w:r>
      <w:r w:rsidR="00DC766E">
        <w:rPr>
          <w:rFonts w:ascii="Verdana" w:hAnsi="Verdana"/>
          <w:bCs/>
          <w:iCs/>
          <w:sz w:val="20"/>
          <w:szCs w:val="20"/>
        </w:rPr>
        <w:t xml:space="preserve"> treinta y un declaraciones testimoniales y</w:t>
      </w:r>
      <w:r w:rsidR="00434006">
        <w:rPr>
          <w:rFonts w:ascii="Verdana" w:hAnsi="Verdana"/>
          <w:bCs/>
          <w:iCs/>
          <w:sz w:val="20"/>
          <w:szCs w:val="20"/>
        </w:rPr>
        <w:t xml:space="preserve"> una</w:t>
      </w:r>
      <w:r w:rsidR="00DC766E">
        <w:rPr>
          <w:rFonts w:ascii="Verdana" w:hAnsi="Verdana"/>
          <w:bCs/>
          <w:iCs/>
          <w:sz w:val="20"/>
          <w:szCs w:val="20"/>
        </w:rPr>
        <w:t xml:space="preserve"> peri</w:t>
      </w:r>
      <w:r w:rsidR="00434006">
        <w:rPr>
          <w:rFonts w:ascii="Verdana" w:hAnsi="Verdana"/>
          <w:bCs/>
          <w:iCs/>
          <w:sz w:val="20"/>
          <w:szCs w:val="20"/>
        </w:rPr>
        <w:t>cial</w:t>
      </w:r>
      <w:r w:rsidR="00DC766E">
        <w:rPr>
          <w:rFonts w:ascii="Verdana" w:hAnsi="Verdana"/>
          <w:bCs/>
          <w:iCs/>
          <w:sz w:val="20"/>
          <w:szCs w:val="20"/>
        </w:rPr>
        <w:t xml:space="preserve">. </w:t>
      </w:r>
      <w:r w:rsidR="00B53D50" w:rsidRPr="00434006">
        <w:rPr>
          <w:rFonts w:ascii="Verdana" w:hAnsi="Verdana"/>
          <w:bCs/>
          <w:iCs/>
          <w:sz w:val="20"/>
          <w:szCs w:val="20"/>
        </w:rPr>
        <w:t xml:space="preserve">El Estado </w:t>
      </w:r>
      <w:r w:rsidR="00CA144D" w:rsidRPr="00434006">
        <w:rPr>
          <w:rFonts w:ascii="Verdana" w:hAnsi="Verdana"/>
          <w:bCs/>
          <w:iCs/>
          <w:sz w:val="20"/>
          <w:szCs w:val="20"/>
        </w:rPr>
        <w:t>ofreció las declaraciones de cuatro testigos y de dos peritos.</w:t>
      </w:r>
      <w:r w:rsidR="00E70596" w:rsidRPr="00434006">
        <w:rPr>
          <w:rFonts w:ascii="Verdana" w:hAnsi="Verdana"/>
          <w:bCs/>
          <w:iCs/>
          <w:sz w:val="20"/>
          <w:szCs w:val="20"/>
        </w:rPr>
        <w:t xml:space="preserve"> </w:t>
      </w:r>
    </w:p>
    <w:p w14:paraId="020E552B" w14:textId="77777777" w:rsidR="008974B0" w:rsidRPr="00E949E1" w:rsidRDefault="008974B0" w:rsidP="00D83CB9">
      <w:pPr>
        <w:pStyle w:val="ListParagraph"/>
        <w:spacing w:after="0"/>
        <w:rPr>
          <w:rFonts w:ascii="Verdana" w:hAnsi="Verdana"/>
          <w:bCs/>
          <w:iCs/>
          <w:sz w:val="20"/>
          <w:szCs w:val="20"/>
        </w:rPr>
      </w:pPr>
    </w:p>
    <w:p w14:paraId="5B33EFD5" w14:textId="12AED5FE" w:rsidR="009D7164" w:rsidRDefault="008D0467" w:rsidP="001C3BCD">
      <w:pPr>
        <w:pStyle w:val="NoSpacing"/>
        <w:rPr>
          <w:rFonts w:cs="Times New Roman"/>
        </w:rPr>
      </w:pPr>
      <w:r w:rsidRPr="00E949E1">
        <w:t>La Corte garantizó a las partes el derecho de defensa respecto de los ofrecimientos probatorios oportunamente realizados</w:t>
      </w:r>
      <w:r w:rsidR="008974B0" w:rsidRPr="00E949E1">
        <w:t>.</w:t>
      </w:r>
      <w:r w:rsidR="001859C1" w:rsidRPr="00E949E1">
        <w:t xml:space="preserve"> </w:t>
      </w:r>
      <w:r w:rsidR="00567C99" w:rsidRPr="00E949E1">
        <w:t>L</w:t>
      </w:r>
      <w:r w:rsidR="0010097D" w:rsidRPr="00E949E1">
        <w:t>a Comisión</w:t>
      </w:r>
      <w:r w:rsidR="00F7020E" w:rsidRPr="00E949E1">
        <w:t xml:space="preserve"> </w:t>
      </w:r>
      <w:r w:rsidR="00434006">
        <w:t xml:space="preserve">señaló no tener observaciones. </w:t>
      </w:r>
      <w:r w:rsidR="00434006" w:rsidRPr="00434006">
        <w:t xml:space="preserve">El </w:t>
      </w:r>
      <w:r w:rsidR="00434006" w:rsidRPr="00434006">
        <w:lastRenderedPageBreak/>
        <w:t>Estado recusó al perito propuesto por la Comisión,</w:t>
      </w:r>
      <w:r w:rsidR="00434006">
        <w:rPr>
          <w:b/>
        </w:rPr>
        <w:t xml:space="preserve"> </w:t>
      </w:r>
      <w:r w:rsidR="000D4C8E" w:rsidRPr="000D4C8E">
        <w:t>objetó la admisibilidad de</w:t>
      </w:r>
      <w:r w:rsidR="004D0562">
        <w:t xml:space="preserve"> su dictamen</w:t>
      </w:r>
      <w:r w:rsidR="000D4C8E" w:rsidRPr="000D4C8E">
        <w:t xml:space="preserve"> </w:t>
      </w:r>
      <w:r w:rsidR="000D4C8E">
        <w:rPr>
          <w:b/>
        </w:rPr>
        <w:t xml:space="preserve"> </w:t>
      </w:r>
      <w:r w:rsidR="00434006">
        <w:t>y presentó diversas objeciones respecto a las declaraciones testimoniales</w:t>
      </w:r>
      <w:r w:rsidR="00D724AC">
        <w:t xml:space="preserve"> ofrecidas por el representante</w:t>
      </w:r>
      <w:r w:rsidR="00434006">
        <w:t xml:space="preserve">. </w:t>
      </w:r>
      <w:r w:rsidR="00434006" w:rsidRPr="009D7164">
        <w:t xml:space="preserve">Por su parte, el representante recusó a dos peritos propuestos por el Estado y presentó objeciones respecto a los testigos propuestos por el Estado. </w:t>
      </w:r>
    </w:p>
    <w:p w14:paraId="1370DA9E" w14:textId="77777777" w:rsidR="009D7164" w:rsidRPr="009D7164" w:rsidRDefault="009D7164" w:rsidP="001C3BCD">
      <w:pPr>
        <w:spacing w:after="0" w:line="240" w:lineRule="auto"/>
        <w:rPr>
          <w:rFonts w:cs="Arial"/>
        </w:rPr>
      </w:pPr>
    </w:p>
    <w:p w14:paraId="1196C8EA" w14:textId="4E97E48E" w:rsidR="001C3BCD" w:rsidRPr="001C3BCD" w:rsidRDefault="00014C78" w:rsidP="001C3BCD">
      <w:pPr>
        <w:pStyle w:val="NoSpacing"/>
        <w:rPr>
          <w:rFonts w:cs="Times New Roman"/>
        </w:rPr>
      </w:pPr>
      <w:r w:rsidRPr="006A3BB1">
        <w:rPr>
          <w:rFonts w:cs="Arial"/>
        </w:rPr>
        <w:t>En cuanto a la prueba pericial y testimonial ofrecida por las partes que no ha sido objetada, esta Presidencia considera conveniente recabarla. Por consiguiente, se admite</w:t>
      </w:r>
      <w:r w:rsidR="006A3BB1" w:rsidRPr="006A3BB1">
        <w:rPr>
          <w:rFonts w:cs="Arial"/>
        </w:rPr>
        <w:t>n</w:t>
      </w:r>
      <w:r w:rsidRPr="006F1A47">
        <w:rPr>
          <w:rFonts w:cs="Arial"/>
        </w:rPr>
        <w:t xml:space="preserve"> la</w:t>
      </w:r>
      <w:r w:rsidR="00E03794" w:rsidRPr="00F41E57">
        <w:rPr>
          <w:rFonts w:cs="Arial"/>
        </w:rPr>
        <w:t>s</w:t>
      </w:r>
      <w:r w:rsidRPr="00F41E57">
        <w:rPr>
          <w:rFonts w:cs="Arial"/>
        </w:rPr>
        <w:t xml:space="preserve"> declaraci</w:t>
      </w:r>
      <w:r w:rsidR="001B480E" w:rsidRPr="00467E9F">
        <w:rPr>
          <w:rFonts w:cs="Arial"/>
        </w:rPr>
        <w:t>ones</w:t>
      </w:r>
      <w:r w:rsidRPr="00467E9F">
        <w:rPr>
          <w:rFonts w:cs="Arial"/>
        </w:rPr>
        <w:t xml:space="preserve"> </w:t>
      </w:r>
      <w:r w:rsidR="00E03794" w:rsidRPr="00467E9F">
        <w:rPr>
          <w:rFonts w:cs="Arial"/>
        </w:rPr>
        <w:t xml:space="preserve">testimoniales de Juan Francisco </w:t>
      </w:r>
      <w:proofErr w:type="spellStart"/>
      <w:r w:rsidR="00E03794" w:rsidRPr="00467E9F">
        <w:rPr>
          <w:rFonts w:cs="Arial"/>
        </w:rPr>
        <w:t>Arrom</w:t>
      </w:r>
      <w:proofErr w:type="spellEnd"/>
      <w:r w:rsidR="00E03794" w:rsidRPr="00467E9F">
        <w:rPr>
          <w:rFonts w:cs="Arial"/>
        </w:rPr>
        <w:t xml:space="preserve"> </w:t>
      </w:r>
      <w:proofErr w:type="spellStart"/>
      <w:r w:rsidR="00E03794" w:rsidRPr="00467E9F">
        <w:rPr>
          <w:rFonts w:cs="Arial"/>
        </w:rPr>
        <w:t>Suhurt</w:t>
      </w:r>
      <w:proofErr w:type="spellEnd"/>
      <w:r w:rsidR="00E03794" w:rsidRPr="00467E9F">
        <w:rPr>
          <w:rFonts w:cs="Arial"/>
        </w:rPr>
        <w:t xml:space="preserve">, Cristina </w:t>
      </w:r>
      <w:proofErr w:type="spellStart"/>
      <w:r w:rsidR="00E03794" w:rsidRPr="00467E9F">
        <w:rPr>
          <w:rFonts w:cs="Arial"/>
        </w:rPr>
        <w:t>Hayd</w:t>
      </w:r>
      <w:r w:rsidR="00E03794" w:rsidRPr="00DA468B">
        <w:rPr>
          <w:rFonts w:cs="Arial"/>
        </w:rPr>
        <w:t>ée</w:t>
      </w:r>
      <w:proofErr w:type="spellEnd"/>
      <w:r w:rsidR="00E03794" w:rsidRPr="00DA468B">
        <w:rPr>
          <w:rFonts w:cs="Arial"/>
        </w:rPr>
        <w:t xml:space="preserve"> </w:t>
      </w:r>
      <w:proofErr w:type="spellStart"/>
      <w:r w:rsidR="00E03794" w:rsidRPr="00DA468B">
        <w:rPr>
          <w:rFonts w:cs="Arial"/>
        </w:rPr>
        <w:t>Arrom</w:t>
      </w:r>
      <w:proofErr w:type="spellEnd"/>
      <w:r w:rsidR="00E03794" w:rsidRPr="00DA468B">
        <w:rPr>
          <w:rFonts w:cs="Arial"/>
        </w:rPr>
        <w:t xml:space="preserve"> </w:t>
      </w:r>
      <w:proofErr w:type="spellStart"/>
      <w:r w:rsidR="00E03794" w:rsidRPr="00DA468B">
        <w:rPr>
          <w:rFonts w:cs="Arial"/>
        </w:rPr>
        <w:t>Suhurt</w:t>
      </w:r>
      <w:proofErr w:type="spellEnd"/>
      <w:r w:rsidR="00E03794" w:rsidRPr="00DA468B">
        <w:rPr>
          <w:rFonts w:cs="Arial"/>
        </w:rPr>
        <w:t xml:space="preserve">, Raúl Marín, Anuncio Martí Méndez, Aníbal </w:t>
      </w:r>
      <w:proofErr w:type="spellStart"/>
      <w:r w:rsidR="00E03794" w:rsidRPr="00DA468B">
        <w:rPr>
          <w:rFonts w:cs="Arial"/>
        </w:rPr>
        <w:t>Emery</w:t>
      </w:r>
      <w:proofErr w:type="spellEnd"/>
      <w:r w:rsidR="007B6003" w:rsidRPr="006A3BB1">
        <w:rPr>
          <w:rFonts w:cs="Arial"/>
          <w:bCs w:val="0"/>
          <w:iCs w:val="0"/>
        </w:rPr>
        <w:t xml:space="preserve">, </w:t>
      </w:r>
      <w:r w:rsidR="007B6003">
        <w:t xml:space="preserve">María Auxiliadora </w:t>
      </w:r>
      <w:proofErr w:type="spellStart"/>
      <w:r w:rsidR="007B6003">
        <w:t>Arrom</w:t>
      </w:r>
      <w:proofErr w:type="spellEnd"/>
      <w:r w:rsidR="007B6003">
        <w:t xml:space="preserve"> de Orrego, Esperanza Martínez, Carlos Portillo, Mario Torres, Liza Liana </w:t>
      </w:r>
      <w:proofErr w:type="spellStart"/>
      <w:r w:rsidR="007B6003">
        <w:t>Larriera</w:t>
      </w:r>
      <w:proofErr w:type="spellEnd"/>
      <w:r w:rsidR="007B6003">
        <w:t xml:space="preserve"> Rojas, Gloria Elizabeth Blanco, Carmen </w:t>
      </w:r>
      <w:proofErr w:type="spellStart"/>
      <w:r w:rsidR="007B6003">
        <w:t>Edilia</w:t>
      </w:r>
      <w:proofErr w:type="spellEnd"/>
      <w:r w:rsidR="007B6003">
        <w:t xml:space="preserve"> </w:t>
      </w:r>
      <w:proofErr w:type="spellStart"/>
      <w:r w:rsidR="007B6003">
        <w:t>Arrom</w:t>
      </w:r>
      <w:proofErr w:type="spellEnd"/>
      <w:r w:rsidR="007B6003">
        <w:t xml:space="preserve"> de Cabello, Carmen Marina </w:t>
      </w:r>
      <w:proofErr w:type="spellStart"/>
      <w:r w:rsidR="007B6003">
        <w:t>Arrom</w:t>
      </w:r>
      <w:proofErr w:type="spellEnd"/>
      <w:r w:rsidR="007B6003">
        <w:t xml:space="preserve"> </w:t>
      </w:r>
      <w:proofErr w:type="spellStart"/>
      <w:r w:rsidR="007B6003">
        <w:t>Suhurt</w:t>
      </w:r>
      <w:proofErr w:type="spellEnd"/>
      <w:r w:rsidR="007B6003">
        <w:t>, María Cristina Martí Méndez, Marta Ram</w:t>
      </w:r>
      <w:r w:rsidR="00EB6EDB">
        <w:t>ona</w:t>
      </w:r>
      <w:r w:rsidR="007B6003">
        <w:t xml:space="preserve"> Martí de Páez, Elena Méndez Vda. de Martí y </w:t>
      </w:r>
      <w:r w:rsidR="007B6003" w:rsidRPr="006A3BB1">
        <w:rPr>
          <w:rFonts w:cs="Arial"/>
        </w:rPr>
        <w:t xml:space="preserve">Paulo </w:t>
      </w:r>
      <w:proofErr w:type="spellStart"/>
      <w:r w:rsidR="007B6003" w:rsidRPr="006A3BB1">
        <w:rPr>
          <w:rFonts w:cs="Arial"/>
        </w:rPr>
        <w:t>Ezequias</w:t>
      </w:r>
      <w:proofErr w:type="spellEnd"/>
      <w:r w:rsidR="007B6003" w:rsidRPr="006A3BB1">
        <w:rPr>
          <w:rFonts w:cs="Arial"/>
        </w:rPr>
        <w:t xml:space="preserve"> de </w:t>
      </w:r>
      <w:proofErr w:type="spellStart"/>
      <w:r w:rsidR="007B6003" w:rsidRPr="006A3BB1">
        <w:rPr>
          <w:rFonts w:cs="Arial"/>
        </w:rPr>
        <w:t>Jesus</w:t>
      </w:r>
      <w:proofErr w:type="spellEnd"/>
      <w:r w:rsidR="007B6003" w:rsidRPr="007B6003">
        <w:rPr>
          <w:rStyle w:val="FootnoteReference"/>
          <w:bCs w:val="0"/>
          <w:iCs w:val="0"/>
        </w:rPr>
        <w:footnoteReference w:id="1"/>
      </w:r>
      <w:r w:rsidR="009D7164" w:rsidRPr="006A3BB1">
        <w:rPr>
          <w:rFonts w:cs="Arial"/>
        </w:rPr>
        <w:t xml:space="preserve">, </w:t>
      </w:r>
      <w:r w:rsidR="00A60AC4">
        <w:rPr>
          <w:rFonts w:cs="Arial"/>
        </w:rPr>
        <w:t>así como</w:t>
      </w:r>
      <w:r w:rsidR="009D7164" w:rsidRPr="006A3BB1">
        <w:rPr>
          <w:rFonts w:cs="Arial"/>
        </w:rPr>
        <w:t xml:space="preserve"> el peritaje de </w:t>
      </w:r>
      <w:r w:rsidR="009D7164" w:rsidRPr="00E03794">
        <w:t xml:space="preserve">Marcelo </w:t>
      </w:r>
      <w:proofErr w:type="spellStart"/>
      <w:r w:rsidR="009D7164" w:rsidRPr="00E03794">
        <w:t>Kimati</w:t>
      </w:r>
      <w:proofErr w:type="spellEnd"/>
      <w:r w:rsidR="009D7164" w:rsidRPr="00E03794">
        <w:t xml:space="preserve"> </w:t>
      </w:r>
      <w:proofErr w:type="spellStart"/>
      <w:r w:rsidR="009D7164" w:rsidRPr="00E03794">
        <w:t>Dias</w:t>
      </w:r>
      <w:proofErr w:type="spellEnd"/>
      <w:r w:rsidR="009D7164" w:rsidRPr="00E03794">
        <w:rPr>
          <w:rStyle w:val="FootnoteReference"/>
        </w:rPr>
        <w:footnoteReference w:id="2"/>
      </w:r>
      <w:r w:rsidR="009D7164">
        <w:t>, todos ofrecidos por el representante</w:t>
      </w:r>
      <w:r w:rsidR="007B6003" w:rsidRPr="006A3BB1">
        <w:rPr>
          <w:rFonts w:cs="Arial"/>
        </w:rPr>
        <w:t xml:space="preserve">. </w:t>
      </w:r>
    </w:p>
    <w:p w14:paraId="3AEA0501" w14:textId="77777777" w:rsidR="001C3BCD" w:rsidRDefault="001C3BCD" w:rsidP="001C3BCD">
      <w:pPr>
        <w:pStyle w:val="ListParagraph"/>
        <w:spacing w:after="0" w:line="240" w:lineRule="auto"/>
      </w:pPr>
    </w:p>
    <w:p w14:paraId="08E6DE9B" w14:textId="601B07E7" w:rsidR="00434006" w:rsidRPr="001C3BCD" w:rsidRDefault="00434006" w:rsidP="001C3BCD">
      <w:pPr>
        <w:pStyle w:val="NoSpacing"/>
        <w:rPr>
          <w:rFonts w:cs="Times New Roman"/>
        </w:rPr>
      </w:pPr>
      <w:r w:rsidRPr="001C3BCD">
        <w:t xml:space="preserve">A continuación el Presidente examinará en forma particular: a) </w:t>
      </w:r>
      <w:r w:rsidR="002E27BE" w:rsidRPr="001C3BCD">
        <w:t xml:space="preserve">el desistimiento tácito de declarantes ofrecidos por </w:t>
      </w:r>
      <w:r w:rsidR="006A3BB1" w:rsidRPr="001C3BCD">
        <w:t xml:space="preserve">el </w:t>
      </w:r>
      <w:r w:rsidR="002E27BE" w:rsidRPr="001C3BCD">
        <w:t xml:space="preserve">representante; </w:t>
      </w:r>
      <w:r w:rsidR="006A3BB1" w:rsidRPr="001C3BCD">
        <w:t>b</w:t>
      </w:r>
      <w:r w:rsidR="002E27BE" w:rsidRPr="001C3BCD">
        <w:t>)</w:t>
      </w:r>
      <w:r w:rsidR="000D4C8E" w:rsidRPr="001C3BCD">
        <w:t xml:space="preserve"> </w:t>
      </w:r>
      <w:r w:rsidRPr="001C3BCD">
        <w:t xml:space="preserve">la recusación </w:t>
      </w:r>
      <w:r w:rsidR="00576AEA">
        <w:t xml:space="preserve">y objeciones </w:t>
      </w:r>
      <w:r w:rsidRPr="001C3BCD">
        <w:t xml:space="preserve">del Estado </w:t>
      </w:r>
      <w:r w:rsidR="00576AEA">
        <w:t xml:space="preserve">respecto a la declaración pericial </w:t>
      </w:r>
      <w:r w:rsidRPr="001C3BCD">
        <w:t>propuest</w:t>
      </w:r>
      <w:r w:rsidR="00576AEA">
        <w:t>a</w:t>
      </w:r>
      <w:r w:rsidRPr="001C3BCD">
        <w:t xml:space="preserve"> por la Comisión c)</w:t>
      </w:r>
      <w:r w:rsidR="006F1A47" w:rsidRPr="001C3BCD">
        <w:t xml:space="preserve"> </w:t>
      </w:r>
      <w:r w:rsidR="006F1A47" w:rsidRPr="001C3BCD">
        <w:rPr>
          <w:lang w:val="es-ES_tradnl"/>
        </w:rPr>
        <w:t>la recusación del representante a los peritos ofrecidos por el Estado; d) las observaciones y</w:t>
      </w:r>
      <w:r w:rsidRPr="001C3BCD">
        <w:rPr>
          <w:lang w:val="es-ES_tradnl"/>
        </w:rPr>
        <w:t xml:space="preserve"> objeciones del representante</w:t>
      </w:r>
      <w:r w:rsidR="0058660B">
        <w:rPr>
          <w:lang w:val="es-ES_tradnl"/>
        </w:rPr>
        <w:t xml:space="preserve"> a testigos ofrecidos</w:t>
      </w:r>
      <w:r w:rsidRPr="001C3BCD">
        <w:rPr>
          <w:lang w:val="es-ES_tradnl"/>
        </w:rPr>
        <w:t xml:space="preserve"> por el Estado; </w:t>
      </w:r>
      <w:r w:rsidR="006F1A47" w:rsidRPr="001C3BCD">
        <w:rPr>
          <w:lang w:val="es-ES_tradnl"/>
        </w:rPr>
        <w:t>e</w:t>
      </w:r>
      <w:r w:rsidRPr="001C3BCD">
        <w:rPr>
          <w:lang w:val="es-ES_tradnl"/>
        </w:rPr>
        <w:t xml:space="preserve">) las </w:t>
      </w:r>
      <w:r w:rsidR="006F1A47" w:rsidRPr="001C3BCD">
        <w:rPr>
          <w:lang w:val="es-ES_tradnl"/>
        </w:rPr>
        <w:t xml:space="preserve">observaciones y </w:t>
      </w:r>
      <w:r w:rsidRPr="001C3BCD">
        <w:rPr>
          <w:lang w:val="es-ES_tradnl"/>
        </w:rPr>
        <w:t xml:space="preserve">objeciones del Estado a la declaración de </w:t>
      </w:r>
      <w:r w:rsidR="006F1A47" w:rsidRPr="001C3BCD">
        <w:rPr>
          <w:lang w:val="es-ES_tradnl"/>
        </w:rPr>
        <w:t xml:space="preserve">un testigo </w:t>
      </w:r>
      <w:r w:rsidRPr="001C3BCD">
        <w:rPr>
          <w:lang w:val="es-ES_tradnl"/>
        </w:rPr>
        <w:t>ofrecido por el representante</w:t>
      </w:r>
      <w:r w:rsidR="006F1A47" w:rsidRPr="001C3BCD">
        <w:rPr>
          <w:lang w:val="es-ES_tradnl"/>
        </w:rPr>
        <w:t>,</w:t>
      </w:r>
      <w:r w:rsidR="001C3BCD">
        <w:rPr>
          <w:lang w:val="es-ES_tradnl"/>
        </w:rPr>
        <w:t xml:space="preserve"> </w:t>
      </w:r>
      <w:r w:rsidRPr="001C3BCD">
        <w:rPr>
          <w:lang w:val="es-ES_tradnl"/>
        </w:rPr>
        <w:t xml:space="preserve">y f) </w:t>
      </w:r>
      <w:r w:rsidRPr="001C3BCD">
        <w:rPr>
          <w:rFonts w:eastAsia="Calibri" w:cs="Verdana"/>
        </w:rPr>
        <w:t xml:space="preserve">la aplicación del Fondo de Asistencia Legal de Víctimas ante la Corte. </w:t>
      </w:r>
    </w:p>
    <w:p w14:paraId="66CD7BAA" w14:textId="77777777" w:rsidR="00434006" w:rsidRPr="00434006" w:rsidRDefault="00434006" w:rsidP="00AD6BA7">
      <w:pPr>
        <w:pStyle w:val="ListParagraph"/>
        <w:tabs>
          <w:tab w:val="left" w:pos="567"/>
        </w:tabs>
        <w:spacing w:after="0" w:line="240" w:lineRule="auto"/>
        <w:ind w:left="0"/>
        <w:jc w:val="both"/>
        <w:rPr>
          <w:rFonts w:ascii="Verdana" w:hAnsi="Verdana"/>
          <w:b/>
          <w:bCs/>
          <w:iCs/>
          <w:color w:val="FF0000"/>
          <w:sz w:val="20"/>
          <w:szCs w:val="20"/>
        </w:rPr>
      </w:pPr>
    </w:p>
    <w:p w14:paraId="587CCF27" w14:textId="071669C7" w:rsidR="002E27BE" w:rsidRDefault="00434006" w:rsidP="00AD6BA7">
      <w:pPr>
        <w:pStyle w:val="Heading1"/>
        <w:ind w:left="993" w:hanging="426"/>
      </w:pPr>
      <w:r>
        <w:t>Desistimiento tácito de declarantes</w:t>
      </w:r>
      <w:r w:rsidR="002E27BE">
        <w:t xml:space="preserve"> ofrecidos por el representante</w:t>
      </w:r>
    </w:p>
    <w:p w14:paraId="710E794E" w14:textId="77777777" w:rsidR="002E27BE" w:rsidRPr="002E27BE" w:rsidRDefault="002E27BE" w:rsidP="00AD6BA7">
      <w:pPr>
        <w:spacing w:after="0" w:line="240" w:lineRule="auto"/>
      </w:pPr>
    </w:p>
    <w:p w14:paraId="7FF3BB7E" w14:textId="64D26EF3" w:rsidR="003862C7" w:rsidRPr="00CA488F" w:rsidRDefault="00CA488F" w:rsidP="00CA488F">
      <w:pPr>
        <w:pStyle w:val="NoSpacing"/>
        <w:rPr>
          <w:rFonts w:cs="Times New Roman"/>
        </w:rPr>
      </w:pPr>
      <w:r>
        <w:t xml:space="preserve">El </w:t>
      </w:r>
      <w:r>
        <w:rPr>
          <w:b/>
          <w:i/>
        </w:rPr>
        <w:t xml:space="preserve">Estado </w:t>
      </w:r>
      <w:r>
        <w:t xml:space="preserve">solicitó que se desestimaran las declaraciones ofrecidas por el representante que no fueron confirmadas en la lista definitiva de declarantes. </w:t>
      </w:r>
      <w:r w:rsidR="002E27BE">
        <w:t xml:space="preserve">El Presidente constata que, en el escrito de solicitudes y argumentos, </w:t>
      </w:r>
      <w:r w:rsidR="00977843">
        <w:t>el representante</w:t>
      </w:r>
      <w:r w:rsidR="002E27BE">
        <w:t xml:space="preserve"> ofreci</w:t>
      </w:r>
      <w:r w:rsidR="00977843">
        <w:t>ó</w:t>
      </w:r>
      <w:r w:rsidR="002E27BE">
        <w:t xml:space="preserve"> la</w:t>
      </w:r>
      <w:r w:rsidR="003862C7">
        <w:t>s declaraciones de</w:t>
      </w:r>
      <w:r>
        <w:t xml:space="preserve"> doce personas sin que fueran confirmadas en su lista definitiva de declarantes</w:t>
      </w:r>
      <w:r>
        <w:rPr>
          <w:rStyle w:val="FootnoteReference"/>
        </w:rPr>
        <w:footnoteReference w:id="3"/>
      </w:r>
      <w:r>
        <w:t xml:space="preserve">. </w:t>
      </w:r>
      <w:r w:rsidR="003862C7" w:rsidRPr="00E949E1">
        <w:t>De conformidad con el artículo 46.1 del Reglamento, el momento procesal oportuno para que las partes confirmen o desistan de las declaraciones ofrecidas en su escrito de solicitudes y argumentos o en su escrito de contestación es en la lista definitiva solicitada por el Tribunal. Por tanto, al no confirmar las declaraciones mencionadas, el representante desistió de la</w:t>
      </w:r>
      <w:r w:rsidR="00FD6A62">
        <w:t>s</w:t>
      </w:r>
      <w:r w:rsidR="003862C7" w:rsidRPr="00E949E1">
        <w:t xml:space="preserve"> misma</w:t>
      </w:r>
      <w:r w:rsidR="00FD6A62">
        <w:t>s</w:t>
      </w:r>
      <w:r w:rsidR="003862C7" w:rsidRPr="00E949E1">
        <w:t xml:space="preserve"> en la debida oportunidad procesal. En virtud de lo anterior, el Presidente toma nota de dicho desistimiento.</w:t>
      </w:r>
    </w:p>
    <w:p w14:paraId="273B7CD1" w14:textId="77777777" w:rsidR="00434006" w:rsidRPr="00434006" w:rsidRDefault="00434006" w:rsidP="00CA488F">
      <w:pPr>
        <w:spacing w:after="0"/>
      </w:pPr>
    </w:p>
    <w:p w14:paraId="22F17F72" w14:textId="13566253" w:rsidR="00B82897" w:rsidRPr="00977843" w:rsidRDefault="00123C72" w:rsidP="00CA488F">
      <w:pPr>
        <w:pStyle w:val="Heading1"/>
        <w:ind w:left="993" w:hanging="426"/>
      </w:pPr>
      <w:r w:rsidRPr="00977843">
        <w:t xml:space="preserve">Recusación </w:t>
      </w:r>
      <w:r w:rsidR="001C3BCD" w:rsidRPr="00977843">
        <w:t xml:space="preserve">y objeciones del Estado respecto a la declaración pericial </w:t>
      </w:r>
      <w:r w:rsidR="007960FD" w:rsidRPr="00977843">
        <w:t>propuest</w:t>
      </w:r>
      <w:r w:rsidR="00576AEA" w:rsidRPr="00977843">
        <w:t>a</w:t>
      </w:r>
      <w:r w:rsidR="007960FD" w:rsidRPr="00977843">
        <w:t xml:space="preserve"> por la Comisión</w:t>
      </w:r>
    </w:p>
    <w:p w14:paraId="2B8E22BA" w14:textId="77777777" w:rsidR="005A2E9C" w:rsidRPr="00E949E1" w:rsidRDefault="005A2E9C" w:rsidP="00CA488F">
      <w:pPr>
        <w:pStyle w:val="ListParagraph"/>
        <w:tabs>
          <w:tab w:val="left" w:pos="567"/>
        </w:tabs>
        <w:spacing w:after="0" w:line="240" w:lineRule="auto"/>
        <w:ind w:left="0"/>
        <w:jc w:val="both"/>
        <w:rPr>
          <w:rFonts w:ascii="Verdana" w:hAnsi="Verdana"/>
          <w:bCs/>
          <w:iCs/>
          <w:sz w:val="20"/>
          <w:szCs w:val="20"/>
        </w:rPr>
      </w:pPr>
    </w:p>
    <w:p w14:paraId="5EBC6B0A" w14:textId="03AD9B1D" w:rsidR="00D83B62" w:rsidRPr="00D83B62" w:rsidRDefault="00320AD0" w:rsidP="00576AEA">
      <w:pPr>
        <w:pStyle w:val="NoSpacing"/>
        <w:rPr>
          <w:color w:val="FF0000"/>
        </w:rPr>
      </w:pPr>
      <w:r w:rsidRPr="00E949E1">
        <w:t xml:space="preserve">La </w:t>
      </w:r>
      <w:r w:rsidRPr="00576AEA">
        <w:rPr>
          <w:b/>
          <w:i/>
        </w:rPr>
        <w:t>C</w:t>
      </w:r>
      <w:r w:rsidR="00997ED8" w:rsidRPr="00576AEA">
        <w:rPr>
          <w:b/>
          <w:i/>
        </w:rPr>
        <w:t>omisión</w:t>
      </w:r>
      <w:r w:rsidR="00997ED8" w:rsidRPr="00E949E1">
        <w:t xml:space="preserve"> ofreció</w:t>
      </w:r>
      <w:r w:rsidR="006203C4" w:rsidRPr="00E949E1">
        <w:t xml:space="preserve"> el dictamen </w:t>
      </w:r>
      <w:r w:rsidR="006203C4" w:rsidRPr="000D4C8E">
        <w:t>pericial</w:t>
      </w:r>
      <w:r w:rsidR="00997ED8" w:rsidRPr="000D4C8E">
        <w:t xml:space="preserve"> de</w:t>
      </w:r>
      <w:r w:rsidR="00D86B7F" w:rsidRPr="000D4C8E">
        <w:t xml:space="preserve"> </w:t>
      </w:r>
      <w:r w:rsidR="00544E5A" w:rsidRPr="000D4C8E">
        <w:t>Víctor</w:t>
      </w:r>
      <w:r w:rsidR="00DA1887">
        <w:t xml:space="preserve"> </w:t>
      </w:r>
      <w:r w:rsidR="007E7815" w:rsidRPr="000D4C8E">
        <w:t>Madrigal</w:t>
      </w:r>
      <w:r w:rsidR="00216C80">
        <w:t>-</w:t>
      </w:r>
      <w:proofErr w:type="spellStart"/>
      <w:r w:rsidR="007E7815" w:rsidRPr="000D4C8E">
        <w:t>Borloz</w:t>
      </w:r>
      <w:proofErr w:type="spellEnd"/>
      <w:r w:rsidR="000D4C8E" w:rsidRPr="000D4C8E">
        <w:t xml:space="preserve"> para declarar sobre</w:t>
      </w:r>
      <w:r w:rsidR="00D83B62">
        <w:t>:</w:t>
      </w:r>
    </w:p>
    <w:p w14:paraId="6765E901" w14:textId="77777777" w:rsidR="00D83B62" w:rsidRDefault="00D83B62" w:rsidP="00D83B62">
      <w:pPr>
        <w:pStyle w:val="NoSpacing"/>
        <w:numPr>
          <w:ilvl w:val="0"/>
          <w:numId w:val="0"/>
        </w:numPr>
        <w:rPr>
          <w:rFonts w:cs="Arial"/>
          <w:color w:val="0F0F0F"/>
        </w:rPr>
      </w:pPr>
    </w:p>
    <w:p w14:paraId="6CE3E418" w14:textId="29DA3B93" w:rsidR="00D83B62" w:rsidRPr="00D83B62" w:rsidRDefault="00D83B62" w:rsidP="00D83B62">
      <w:pPr>
        <w:pStyle w:val="NoSpacing"/>
        <w:numPr>
          <w:ilvl w:val="0"/>
          <w:numId w:val="0"/>
        </w:numPr>
        <w:tabs>
          <w:tab w:val="clear" w:pos="0"/>
          <w:tab w:val="left" w:pos="142"/>
        </w:tabs>
        <w:ind w:left="567" w:right="615"/>
        <w:rPr>
          <w:b/>
          <w:sz w:val="18"/>
          <w:szCs w:val="18"/>
        </w:rPr>
      </w:pPr>
      <w:proofErr w:type="gramStart"/>
      <w:r w:rsidRPr="00D83B62">
        <w:rPr>
          <w:rFonts w:cs="Arial"/>
          <w:color w:val="0F0F0F"/>
          <w:sz w:val="18"/>
          <w:szCs w:val="18"/>
        </w:rPr>
        <w:t>los</w:t>
      </w:r>
      <w:proofErr w:type="gramEnd"/>
      <w:r w:rsidRPr="00D83B62">
        <w:rPr>
          <w:rFonts w:cs="Arial"/>
          <w:color w:val="0F0F0F"/>
          <w:sz w:val="18"/>
          <w:szCs w:val="18"/>
        </w:rPr>
        <w:t xml:space="preserve"> estándares probatorios aplicables </w:t>
      </w:r>
      <w:r w:rsidRPr="00D83B62">
        <w:rPr>
          <w:rFonts w:cs="Arial"/>
          <w:color w:val="202020"/>
          <w:sz w:val="18"/>
          <w:szCs w:val="18"/>
        </w:rPr>
        <w:t xml:space="preserve">en el </w:t>
      </w:r>
      <w:r w:rsidRPr="00D83B62">
        <w:rPr>
          <w:rFonts w:cs="Arial"/>
          <w:color w:val="0F0F0F"/>
          <w:sz w:val="18"/>
          <w:szCs w:val="18"/>
        </w:rPr>
        <w:t xml:space="preserve">derecho internacional de los derechos humanos para </w:t>
      </w:r>
      <w:r w:rsidRPr="00D83B62">
        <w:rPr>
          <w:rFonts w:cs="Arial"/>
          <w:color w:val="202020"/>
          <w:sz w:val="18"/>
          <w:szCs w:val="18"/>
        </w:rPr>
        <w:t xml:space="preserve">establecer </w:t>
      </w:r>
      <w:r w:rsidRPr="00D83B62">
        <w:rPr>
          <w:rFonts w:cs="Arial"/>
          <w:color w:val="0F0F0F"/>
          <w:sz w:val="18"/>
          <w:szCs w:val="18"/>
        </w:rPr>
        <w:t xml:space="preserve">la </w:t>
      </w:r>
      <w:r w:rsidRPr="00D83B62">
        <w:rPr>
          <w:rFonts w:cs="Arial"/>
          <w:color w:val="202020"/>
          <w:sz w:val="18"/>
          <w:szCs w:val="18"/>
        </w:rPr>
        <w:t xml:space="preserve">existencia </w:t>
      </w:r>
      <w:r w:rsidRPr="00D83B62">
        <w:rPr>
          <w:rFonts w:cs="Arial"/>
          <w:color w:val="0F0F0F"/>
          <w:sz w:val="18"/>
          <w:szCs w:val="18"/>
        </w:rPr>
        <w:t xml:space="preserve">de tortura y/o </w:t>
      </w:r>
      <w:r w:rsidRPr="00D83B62">
        <w:rPr>
          <w:rFonts w:cs="Arial"/>
          <w:color w:val="202020"/>
          <w:sz w:val="18"/>
          <w:szCs w:val="18"/>
        </w:rPr>
        <w:t xml:space="preserve">desaparición forzada en </w:t>
      </w:r>
      <w:r w:rsidRPr="00D83B62">
        <w:rPr>
          <w:rFonts w:cs="Arial"/>
          <w:color w:val="0F0F0F"/>
          <w:sz w:val="18"/>
          <w:szCs w:val="18"/>
        </w:rPr>
        <w:t xml:space="preserve">un </w:t>
      </w:r>
      <w:r w:rsidRPr="00D83B62">
        <w:rPr>
          <w:rFonts w:cs="Arial"/>
          <w:color w:val="202020"/>
          <w:sz w:val="18"/>
          <w:szCs w:val="18"/>
        </w:rPr>
        <w:t xml:space="preserve">caso </w:t>
      </w:r>
      <w:r w:rsidRPr="00D83B62">
        <w:rPr>
          <w:rFonts w:cs="Arial"/>
          <w:color w:val="0F0F0F"/>
          <w:sz w:val="18"/>
          <w:szCs w:val="18"/>
        </w:rPr>
        <w:lastRenderedPageBreak/>
        <w:t>particular. El perito</w:t>
      </w:r>
      <w:r w:rsidRPr="00D83B62">
        <w:rPr>
          <w:rFonts w:cs="Arial"/>
          <w:color w:val="202020"/>
          <w:sz w:val="18"/>
          <w:szCs w:val="18"/>
        </w:rPr>
        <w:t xml:space="preserve"> </w:t>
      </w:r>
      <w:r w:rsidRPr="00D83B62">
        <w:rPr>
          <w:rFonts w:cs="Arial"/>
          <w:color w:val="0F0F0F"/>
          <w:sz w:val="18"/>
          <w:szCs w:val="18"/>
        </w:rPr>
        <w:t xml:space="preserve">tomará </w:t>
      </w:r>
      <w:r w:rsidRPr="00D83B62">
        <w:rPr>
          <w:rFonts w:cs="Arial"/>
          <w:color w:val="202020"/>
          <w:sz w:val="18"/>
          <w:szCs w:val="18"/>
        </w:rPr>
        <w:t xml:space="preserve">en cuenta </w:t>
      </w:r>
      <w:r w:rsidRPr="00D83B62">
        <w:rPr>
          <w:rFonts w:cs="Arial"/>
          <w:color w:val="0F0F0F"/>
          <w:sz w:val="18"/>
          <w:szCs w:val="18"/>
        </w:rPr>
        <w:t xml:space="preserve">las implicaciones probatorias </w:t>
      </w:r>
      <w:r w:rsidRPr="00D83B62">
        <w:rPr>
          <w:rFonts w:cs="Arial"/>
          <w:color w:val="202020"/>
          <w:sz w:val="18"/>
          <w:szCs w:val="18"/>
        </w:rPr>
        <w:t xml:space="preserve">y </w:t>
      </w:r>
      <w:r w:rsidRPr="00D83B62">
        <w:rPr>
          <w:rFonts w:cs="Arial"/>
          <w:color w:val="0F0F0F"/>
          <w:sz w:val="18"/>
          <w:szCs w:val="18"/>
        </w:rPr>
        <w:t xml:space="preserve">el </w:t>
      </w:r>
      <w:r w:rsidRPr="00D83B62">
        <w:rPr>
          <w:rFonts w:cs="Arial"/>
          <w:color w:val="202020"/>
          <w:sz w:val="18"/>
          <w:szCs w:val="18"/>
        </w:rPr>
        <w:t xml:space="preserve">alcance </w:t>
      </w:r>
      <w:r w:rsidRPr="00D83B62">
        <w:rPr>
          <w:rFonts w:cs="Arial"/>
          <w:color w:val="0F0F0F"/>
          <w:sz w:val="18"/>
          <w:szCs w:val="18"/>
        </w:rPr>
        <w:t xml:space="preserve">de la </w:t>
      </w:r>
      <w:r w:rsidRPr="00D83B62">
        <w:rPr>
          <w:rFonts w:cs="Arial"/>
          <w:color w:val="202020"/>
          <w:sz w:val="18"/>
          <w:szCs w:val="18"/>
        </w:rPr>
        <w:t xml:space="preserve">responsabilidad internacional </w:t>
      </w:r>
      <w:r w:rsidRPr="00D83B62">
        <w:rPr>
          <w:rFonts w:cs="Arial"/>
          <w:color w:val="0F0F0F"/>
          <w:sz w:val="18"/>
          <w:szCs w:val="18"/>
        </w:rPr>
        <w:t xml:space="preserve">del </w:t>
      </w:r>
      <w:r w:rsidRPr="00D83B62">
        <w:rPr>
          <w:rFonts w:cs="Arial"/>
          <w:color w:val="202020"/>
          <w:sz w:val="18"/>
          <w:szCs w:val="18"/>
        </w:rPr>
        <w:t>Estado</w:t>
      </w:r>
      <w:r w:rsidRPr="00D83B62">
        <w:rPr>
          <w:rFonts w:cs="Arial"/>
          <w:color w:val="3E3E3E"/>
          <w:sz w:val="18"/>
          <w:szCs w:val="18"/>
        </w:rPr>
        <w:t xml:space="preserve"> </w:t>
      </w:r>
      <w:r w:rsidRPr="00D83B62">
        <w:rPr>
          <w:rFonts w:cs="Arial"/>
          <w:color w:val="202020"/>
          <w:sz w:val="18"/>
          <w:szCs w:val="18"/>
        </w:rPr>
        <w:t xml:space="preserve">en supuestos </w:t>
      </w:r>
      <w:r w:rsidRPr="00D83B62">
        <w:rPr>
          <w:rFonts w:cs="Arial"/>
          <w:color w:val="0F0F0F"/>
          <w:sz w:val="18"/>
          <w:szCs w:val="18"/>
        </w:rPr>
        <w:t xml:space="preserve">de incumplimiento del </w:t>
      </w:r>
      <w:r w:rsidRPr="00D83B62">
        <w:rPr>
          <w:rFonts w:cs="Arial"/>
          <w:color w:val="202020"/>
          <w:sz w:val="18"/>
          <w:szCs w:val="18"/>
        </w:rPr>
        <w:t xml:space="preserve">deber </w:t>
      </w:r>
      <w:r w:rsidRPr="00D83B62">
        <w:rPr>
          <w:rFonts w:cs="Arial"/>
          <w:color w:val="0F0F0F"/>
          <w:sz w:val="18"/>
          <w:szCs w:val="18"/>
        </w:rPr>
        <w:t xml:space="preserve">de investigar </w:t>
      </w:r>
      <w:r w:rsidRPr="00D83B62">
        <w:rPr>
          <w:rFonts w:cs="Arial"/>
          <w:color w:val="202020"/>
          <w:sz w:val="18"/>
          <w:szCs w:val="18"/>
        </w:rPr>
        <w:t xml:space="preserve">con debida </w:t>
      </w:r>
      <w:r w:rsidRPr="00D83B62">
        <w:rPr>
          <w:rFonts w:cs="Arial"/>
          <w:color w:val="0F0F0F"/>
          <w:sz w:val="18"/>
          <w:szCs w:val="18"/>
        </w:rPr>
        <w:t xml:space="preserve">diligencia los indicios </w:t>
      </w:r>
      <w:r w:rsidRPr="00D83B62">
        <w:rPr>
          <w:rFonts w:cs="Arial"/>
          <w:color w:val="202020"/>
          <w:sz w:val="18"/>
          <w:szCs w:val="18"/>
        </w:rPr>
        <w:t>de</w:t>
      </w:r>
      <w:r w:rsidRPr="00D83B62">
        <w:rPr>
          <w:rFonts w:cs="Arial"/>
          <w:color w:val="0F0F0F"/>
          <w:sz w:val="18"/>
          <w:szCs w:val="18"/>
        </w:rPr>
        <w:t xml:space="preserve"> </w:t>
      </w:r>
      <w:r w:rsidRPr="00D83B62">
        <w:rPr>
          <w:rFonts w:cs="Arial"/>
          <w:color w:val="202020"/>
          <w:sz w:val="18"/>
          <w:szCs w:val="18"/>
        </w:rPr>
        <w:t xml:space="preserve">participación estatal en </w:t>
      </w:r>
      <w:r w:rsidRPr="00D83B62">
        <w:rPr>
          <w:rFonts w:cs="Arial"/>
          <w:color w:val="0F0F0F"/>
          <w:sz w:val="18"/>
          <w:szCs w:val="18"/>
        </w:rPr>
        <w:t xml:space="preserve">los hechos </w:t>
      </w:r>
      <w:r w:rsidRPr="00D83B62">
        <w:rPr>
          <w:rFonts w:cs="Arial"/>
          <w:color w:val="202020"/>
          <w:sz w:val="18"/>
          <w:szCs w:val="18"/>
        </w:rPr>
        <w:t xml:space="preserve">denunciados. </w:t>
      </w:r>
      <w:r w:rsidRPr="00D83B62">
        <w:rPr>
          <w:rFonts w:cs="Arial"/>
          <w:color w:val="0F0F0F"/>
          <w:sz w:val="18"/>
          <w:szCs w:val="18"/>
        </w:rPr>
        <w:t>Además, el perito se</w:t>
      </w:r>
      <w:r w:rsidRPr="00D83B62">
        <w:rPr>
          <w:rFonts w:cs="Arial"/>
          <w:color w:val="202020"/>
          <w:sz w:val="18"/>
          <w:szCs w:val="18"/>
        </w:rPr>
        <w:t xml:space="preserve"> </w:t>
      </w:r>
      <w:r w:rsidRPr="00D83B62">
        <w:rPr>
          <w:rFonts w:cs="Arial"/>
          <w:color w:val="0F0F0F"/>
          <w:sz w:val="18"/>
          <w:szCs w:val="18"/>
        </w:rPr>
        <w:t xml:space="preserve">referirá </w:t>
      </w:r>
      <w:r w:rsidRPr="00D83B62">
        <w:rPr>
          <w:rFonts w:cs="Arial"/>
          <w:color w:val="202020"/>
          <w:sz w:val="18"/>
          <w:szCs w:val="18"/>
        </w:rPr>
        <w:t xml:space="preserve">a </w:t>
      </w:r>
      <w:r w:rsidRPr="00D83B62">
        <w:rPr>
          <w:rFonts w:cs="Arial"/>
          <w:color w:val="0F0F0F"/>
          <w:sz w:val="18"/>
          <w:szCs w:val="18"/>
        </w:rPr>
        <w:t xml:space="preserve">los </w:t>
      </w:r>
      <w:r w:rsidRPr="00D83B62">
        <w:rPr>
          <w:rFonts w:cs="Arial"/>
          <w:color w:val="202020"/>
          <w:sz w:val="18"/>
          <w:szCs w:val="18"/>
        </w:rPr>
        <w:t xml:space="preserve">estándares </w:t>
      </w:r>
      <w:r w:rsidRPr="00D83B62">
        <w:rPr>
          <w:rFonts w:cs="Arial"/>
          <w:color w:val="0F0F0F"/>
          <w:sz w:val="18"/>
          <w:szCs w:val="18"/>
        </w:rPr>
        <w:t xml:space="preserve">internacionales </w:t>
      </w:r>
      <w:r w:rsidRPr="00D83B62">
        <w:rPr>
          <w:rFonts w:cs="Arial"/>
          <w:color w:val="202020"/>
          <w:sz w:val="18"/>
          <w:szCs w:val="18"/>
        </w:rPr>
        <w:t xml:space="preserve">relevantes para calificar ciertos </w:t>
      </w:r>
      <w:r w:rsidRPr="00D83B62">
        <w:rPr>
          <w:rFonts w:cs="Arial"/>
          <w:color w:val="0F0F0F"/>
          <w:sz w:val="18"/>
          <w:szCs w:val="18"/>
        </w:rPr>
        <w:t xml:space="preserve">hechos como </w:t>
      </w:r>
      <w:r w:rsidRPr="00D83B62">
        <w:rPr>
          <w:rFonts w:cs="Arial"/>
          <w:color w:val="202020"/>
          <w:sz w:val="18"/>
          <w:szCs w:val="18"/>
        </w:rPr>
        <w:t xml:space="preserve">desaparición forzada, aun </w:t>
      </w:r>
      <w:r w:rsidRPr="00D83B62">
        <w:rPr>
          <w:rFonts w:cs="Arial"/>
          <w:color w:val="0F0F0F"/>
          <w:sz w:val="18"/>
          <w:szCs w:val="18"/>
        </w:rPr>
        <w:t xml:space="preserve">cuando la </w:t>
      </w:r>
      <w:r w:rsidRPr="00D83B62">
        <w:rPr>
          <w:rFonts w:cs="Arial"/>
          <w:color w:val="202020"/>
          <w:sz w:val="18"/>
          <w:szCs w:val="18"/>
        </w:rPr>
        <w:t xml:space="preserve">víctima </w:t>
      </w:r>
      <w:r w:rsidRPr="00D83B62">
        <w:rPr>
          <w:rFonts w:cs="Arial"/>
          <w:color w:val="0F0F0F"/>
          <w:sz w:val="18"/>
          <w:szCs w:val="18"/>
        </w:rPr>
        <w:t xml:space="preserve">aparece </w:t>
      </w:r>
      <w:r w:rsidRPr="00D83B62">
        <w:rPr>
          <w:rFonts w:cs="Arial"/>
          <w:color w:val="202020"/>
          <w:sz w:val="18"/>
          <w:szCs w:val="18"/>
        </w:rPr>
        <w:t>con vida con</w:t>
      </w:r>
      <w:r w:rsidRPr="00D83B62">
        <w:rPr>
          <w:rFonts w:cs="Arial"/>
          <w:color w:val="0F0F0F"/>
          <w:sz w:val="18"/>
          <w:szCs w:val="18"/>
        </w:rPr>
        <w:t xml:space="preserve"> posterioridad. Finalmente, el perito podrá referirse </w:t>
      </w:r>
      <w:r w:rsidRPr="00D83B62">
        <w:rPr>
          <w:rFonts w:cs="Arial"/>
          <w:color w:val="202020"/>
          <w:sz w:val="18"/>
          <w:szCs w:val="18"/>
        </w:rPr>
        <w:t xml:space="preserve">a </w:t>
      </w:r>
      <w:r w:rsidRPr="00D83B62">
        <w:rPr>
          <w:rFonts w:cs="Arial"/>
          <w:color w:val="0F0F0F"/>
          <w:sz w:val="18"/>
          <w:szCs w:val="18"/>
        </w:rPr>
        <w:t xml:space="preserve">los hechos del </w:t>
      </w:r>
      <w:r w:rsidRPr="00D83B62">
        <w:rPr>
          <w:rFonts w:cs="Arial"/>
          <w:color w:val="202020"/>
          <w:sz w:val="18"/>
          <w:szCs w:val="18"/>
        </w:rPr>
        <w:t xml:space="preserve">caso a </w:t>
      </w:r>
      <w:r w:rsidRPr="00D83B62">
        <w:rPr>
          <w:rFonts w:cs="Arial"/>
          <w:color w:val="0F0F0F"/>
          <w:sz w:val="18"/>
          <w:szCs w:val="18"/>
        </w:rPr>
        <w:t xml:space="preserve">modo </w:t>
      </w:r>
      <w:r w:rsidRPr="00D83B62">
        <w:rPr>
          <w:rFonts w:cs="Arial"/>
          <w:color w:val="202020"/>
          <w:sz w:val="18"/>
          <w:szCs w:val="18"/>
        </w:rPr>
        <w:t xml:space="preserve">de ejemplificar </w:t>
      </w:r>
      <w:r w:rsidRPr="00D83B62">
        <w:rPr>
          <w:rFonts w:cs="Arial"/>
          <w:color w:val="0F0F0F"/>
          <w:sz w:val="18"/>
          <w:szCs w:val="18"/>
        </w:rPr>
        <w:t xml:space="preserve">los </w:t>
      </w:r>
      <w:r w:rsidRPr="00D83B62">
        <w:rPr>
          <w:rFonts w:cs="Arial"/>
          <w:color w:val="202020"/>
          <w:sz w:val="18"/>
          <w:szCs w:val="18"/>
        </w:rPr>
        <w:t>aspectos</w:t>
      </w:r>
      <w:r w:rsidRPr="00D83B62">
        <w:rPr>
          <w:rFonts w:cs="Arial"/>
          <w:color w:val="0F0F0F"/>
          <w:sz w:val="18"/>
          <w:szCs w:val="18"/>
        </w:rPr>
        <w:t xml:space="preserve"> desarrollados </w:t>
      </w:r>
      <w:r w:rsidRPr="00D83B62">
        <w:rPr>
          <w:rFonts w:cs="Arial"/>
          <w:color w:val="202020"/>
          <w:sz w:val="18"/>
          <w:szCs w:val="18"/>
        </w:rPr>
        <w:t xml:space="preserve">en el </w:t>
      </w:r>
      <w:r w:rsidRPr="00D83B62">
        <w:rPr>
          <w:rFonts w:cs="Arial"/>
          <w:color w:val="0F0F0F"/>
          <w:sz w:val="18"/>
          <w:szCs w:val="18"/>
        </w:rPr>
        <w:t>peritaje</w:t>
      </w:r>
      <w:r w:rsidR="00DA1887">
        <w:rPr>
          <w:sz w:val="18"/>
          <w:szCs w:val="18"/>
        </w:rPr>
        <w:t>.</w:t>
      </w:r>
    </w:p>
    <w:p w14:paraId="57CC5DCA" w14:textId="77777777" w:rsidR="00D83B62" w:rsidRDefault="00D83B62" w:rsidP="00D83B62">
      <w:pPr>
        <w:pStyle w:val="NoSpacing"/>
        <w:numPr>
          <w:ilvl w:val="0"/>
          <w:numId w:val="0"/>
        </w:numPr>
        <w:rPr>
          <w:b/>
        </w:rPr>
      </w:pPr>
    </w:p>
    <w:p w14:paraId="29A6488A" w14:textId="7DF4641C" w:rsidR="00576AEA" w:rsidRPr="00EC57BF" w:rsidRDefault="00D81515" w:rsidP="00D83B62">
      <w:pPr>
        <w:pStyle w:val="NoSpacing"/>
        <w:numPr>
          <w:ilvl w:val="0"/>
          <w:numId w:val="0"/>
        </w:numPr>
        <w:rPr>
          <w:strike/>
        </w:rPr>
      </w:pPr>
      <w:r w:rsidRPr="00576AEA">
        <w:t xml:space="preserve">La </w:t>
      </w:r>
      <w:r w:rsidR="00EE7921" w:rsidRPr="00576AEA">
        <w:t>Comisión</w:t>
      </w:r>
      <w:r w:rsidRPr="00576AEA">
        <w:t xml:space="preserve"> fundamentó el ofrecimiento de la pericia, estimando que el caso presenta cuestiones que afectan gravemente el orden público interamericano. Concretamente indicó que </w:t>
      </w:r>
      <w:r w:rsidRPr="00576AEA">
        <w:rPr>
          <w:rFonts w:cs="Arial"/>
        </w:rPr>
        <w:t>la Corte podrá profundizar en su jurisprudencia sobre casos de desaparición forzada de personas y de tortura, fuera de un contexto dictatorial o de conflicto armado con violaciones sistemáticas de derechos humanos.</w:t>
      </w:r>
    </w:p>
    <w:p w14:paraId="63693174" w14:textId="77777777" w:rsidR="00576AEA" w:rsidRDefault="00576AEA" w:rsidP="00576AEA">
      <w:pPr>
        <w:pStyle w:val="NoSpacing"/>
        <w:numPr>
          <w:ilvl w:val="0"/>
          <w:numId w:val="0"/>
        </w:numPr>
        <w:rPr>
          <w:color w:val="FF0000"/>
        </w:rPr>
      </w:pPr>
    </w:p>
    <w:p w14:paraId="7F827C7F" w14:textId="674ECB27" w:rsidR="00EC57BF" w:rsidRPr="00EC57BF" w:rsidRDefault="000D4C8E" w:rsidP="00EC57BF">
      <w:pPr>
        <w:pStyle w:val="NoSpacing"/>
      </w:pPr>
      <w:r w:rsidRPr="00E949E1">
        <w:t xml:space="preserve">El </w:t>
      </w:r>
      <w:r w:rsidRPr="00576AEA">
        <w:rPr>
          <w:b/>
          <w:i/>
        </w:rPr>
        <w:t>Estado</w:t>
      </w:r>
      <w:r w:rsidRPr="00E949E1">
        <w:t xml:space="preserve"> presentó una recusación al peritaje ofrecido por la Comisión, alegando </w:t>
      </w:r>
      <w:r w:rsidR="008E7E64">
        <w:t>que</w:t>
      </w:r>
      <w:r w:rsidRPr="00E949E1">
        <w:t>: (i) el señor Víctor Madrigal-</w:t>
      </w:r>
      <w:proofErr w:type="spellStart"/>
      <w:r w:rsidRPr="00E949E1">
        <w:t>Borloz</w:t>
      </w:r>
      <w:proofErr w:type="spellEnd"/>
      <w:r w:rsidRPr="00E949E1">
        <w:t xml:space="preserve"> durante el per</w:t>
      </w:r>
      <w:r w:rsidR="00440DFC">
        <w:t>í</w:t>
      </w:r>
      <w:r w:rsidRPr="00E949E1">
        <w:t>odo de agosto del 2004 a diciembre del 2006 ocupó el cargo de jefe de litigios de la Comisión Interamericana, cargo en el cual supervisó todas las comunicaciones legales de la Comisión y coordin</w:t>
      </w:r>
      <w:r>
        <w:t>ó</w:t>
      </w:r>
      <w:r w:rsidRPr="00E949E1">
        <w:t xml:space="preserve"> todas las comparecencias ante la Corte, como asimismo fue responsable del desarrollo de la estrategia en casos, entre otras funciones; (ii) durante gran parte del trámite de admisibilidad de esta petición el perito propuesto tenía una relación de subordinación funcional con la Comisión, al ostentar un cargo que le permitió conocer el contenido de todas las peticiones o denuncias formuladas ante dicho órgano , incluyendo la petición inicial en el caso concreto</w:t>
      </w:r>
      <w:r>
        <w:t>,</w:t>
      </w:r>
      <w:r w:rsidRPr="00E949E1">
        <w:t xml:space="preserve"> y (iii) ha tenido una directa opinión y participación en los dictámenes que sirvieron de base a la Comisión para formular el informe de admisibilidad dictado en la presente petición</w:t>
      </w:r>
      <w:r w:rsidR="008E7E64">
        <w:t>.</w:t>
      </w:r>
      <w:r w:rsidRPr="00E949E1">
        <w:t xml:space="preserve"> En vista de lo anterior, el Estado estimó haber “presentado elementos f</w:t>
      </w:r>
      <w:r w:rsidR="00021B94">
        <w:t>á</w:t>
      </w:r>
      <w:r w:rsidRPr="00E949E1">
        <w:t>cticos y argumentos sólidos que muestran el acaecimiento de los supuestos de recusación previstas en el art. 48, incisos c) y d) del Reglamento”, por lo que solicitó a la Corte rechazar la prueba pericial propuesta por la Comisión “</w:t>
      </w:r>
      <w:r w:rsidRPr="00227A4B">
        <w:t xml:space="preserve">ante la patente falta de objetividad del perito propuesto”. </w:t>
      </w:r>
    </w:p>
    <w:p w14:paraId="7BBD6721" w14:textId="77777777" w:rsidR="00EC57BF" w:rsidRDefault="00EC57BF" w:rsidP="00EC57BF">
      <w:pPr>
        <w:pStyle w:val="NoSpacing"/>
        <w:numPr>
          <w:ilvl w:val="0"/>
          <w:numId w:val="0"/>
        </w:numPr>
      </w:pPr>
    </w:p>
    <w:p w14:paraId="49A9D46B" w14:textId="1B3EAABA" w:rsidR="00576AEA" w:rsidRPr="00EC57BF" w:rsidRDefault="00D81515" w:rsidP="00EC57BF">
      <w:pPr>
        <w:pStyle w:val="NoSpacing"/>
      </w:pPr>
      <w:r w:rsidRPr="00227A4B">
        <w:t xml:space="preserve">Por otro lado, y de manera subsidiaria a la solicitud de recusación, el </w:t>
      </w:r>
      <w:r w:rsidRPr="00EC57BF">
        <w:rPr>
          <w:b/>
          <w:i/>
        </w:rPr>
        <w:t>Estado</w:t>
      </w:r>
      <w:r w:rsidR="008E7E64">
        <w:t xml:space="preserve"> alegó </w:t>
      </w:r>
      <w:r w:rsidRPr="00227A4B">
        <w:t xml:space="preserve">que </w:t>
      </w:r>
      <w:r w:rsidR="00D83B62" w:rsidRPr="00227A4B">
        <w:t>la Comisión no ha expuesto ninguna razón coherente y plausible que fundamente la excepcionalidad de la admisi</w:t>
      </w:r>
      <w:r w:rsidR="008E7E64">
        <w:t>ó</w:t>
      </w:r>
      <w:r w:rsidR="00D83B62" w:rsidRPr="00227A4B">
        <w:t>n de la pericia propuesta, ni mucho menos ha demostrado la supuesta afectación relevante del orden público interamericano de Derechos Humanos”. Además indicó que “</w:t>
      </w:r>
      <w:r w:rsidR="00D83B62" w:rsidRPr="00EC57BF">
        <w:rPr>
          <w:rFonts w:cs="Times New Roman"/>
        </w:rPr>
        <w:t xml:space="preserve">es innecesaria e improcedente que una persona en su calidad de supuesto </w:t>
      </w:r>
      <w:r w:rsidR="00B8492D">
        <w:rPr>
          <w:rFonts w:cs="Times New Roman"/>
        </w:rPr>
        <w:t>‘</w:t>
      </w:r>
      <w:r w:rsidR="00D83B62" w:rsidRPr="00EC57BF">
        <w:rPr>
          <w:rFonts w:cs="Times New Roman"/>
        </w:rPr>
        <w:t>perito</w:t>
      </w:r>
      <w:r w:rsidR="00B8492D">
        <w:rPr>
          <w:rFonts w:cs="Times New Roman"/>
        </w:rPr>
        <w:t>’</w:t>
      </w:r>
      <w:r w:rsidR="00D83B62" w:rsidRPr="00EC57BF">
        <w:rPr>
          <w:rFonts w:cs="Times New Roman"/>
        </w:rPr>
        <w:t xml:space="preserve">, coadyuve a que la Corte IDH profundice en su jurisprudencia sobre casos de desaparición forzada de personas y tortura”. </w:t>
      </w:r>
    </w:p>
    <w:p w14:paraId="5018A27F" w14:textId="77777777" w:rsidR="00EC57BF" w:rsidRPr="00576AEA" w:rsidRDefault="00EC57BF" w:rsidP="00576AEA">
      <w:pPr>
        <w:pStyle w:val="NoSpacing"/>
        <w:numPr>
          <w:ilvl w:val="0"/>
          <w:numId w:val="0"/>
        </w:numPr>
      </w:pPr>
    </w:p>
    <w:p w14:paraId="327AC3E8" w14:textId="7DC9961F" w:rsidR="00C26738" w:rsidRDefault="00227A4B" w:rsidP="00C26738">
      <w:pPr>
        <w:pStyle w:val="NoSpacing"/>
      </w:pPr>
      <w:r>
        <w:rPr>
          <w:bCs w:val="0"/>
          <w:iCs w:val="0"/>
        </w:rPr>
        <w:t>Respecto a la recusación presentada</w:t>
      </w:r>
      <w:r w:rsidR="00C26738">
        <w:rPr>
          <w:bCs w:val="0"/>
          <w:iCs w:val="0"/>
        </w:rPr>
        <w:t xml:space="preserve"> en su contra</w:t>
      </w:r>
      <w:r>
        <w:rPr>
          <w:bCs w:val="0"/>
          <w:iCs w:val="0"/>
        </w:rPr>
        <w:t>, e</w:t>
      </w:r>
      <w:r w:rsidR="00014C78" w:rsidRPr="00576AEA">
        <w:rPr>
          <w:bCs w:val="0"/>
          <w:iCs w:val="0"/>
        </w:rPr>
        <w:t>l señor Madrigal-</w:t>
      </w:r>
      <w:proofErr w:type="spellStart"/>
      <w:r w:rsidR="00014C78" w:rsidRPr="00576AEA">
        <w:rPr>
          <w:bCs w:val="0"/>
          <w:iCs w:val="0"/>
        </w:rPr>
        <w:t>Bor</w:t>
      </w:r>
      <w:r w:rsidR="000870DE">
        <w:rPr>
          <w:bCs w:val="0"/>
          <w:iCs w:val="0"/>
        </w:rPr>
        <w:t>l</w:t>
      </w:r>
      <w:r w:rsidR="00014C78" w:rsidRPr="00576AEA">
        <w:rPr>
          <w:bCs w:val="0"/>
          <w:iCs w:val="0"/>
        </w:rPr>
        <w:t>oz</w:t>
      </w:r>
      <w:proofErr w:type="spellEnd"/>
      <w:r w:rsidR="00014C78" w:rsidRPr="00576AEA">
        <w:rPr>
          <w:bCs w:val="0"/>
          <w:iCs w:val="0"/>
        </w:rPr>
        <w:t xml:space="preserve"> señaló que</w:t>
      </w:r>
      <w:r w:rsidR="00E92AA5" w:rsidRPr="00576AEA">
        <w:t xml:space="preserve"> “la petición inicial del presente caso fue abierta a trámite mediante la notificación al Estado de Paraguay el 20 de mayo de 2003”. Por lo tanto, “el estudio inicial y la decisión de apertura a trámite de la petición tuvo lugar antes de </w:t>
      </w:r>
      <w:r w:rsidR="008E7E64">
        <w:t>[su]</w:t>
      </w:r>
      <w:r w:rsidR="00E92AA5" w:rsidRPr="00576AEA">
        <w:t xml:space="preserve"> incorporación a la Secretaría Ejecutiva” de la Comisión. </w:t>
      </w:r>
      <w:r w:rsidR="00D81515" w:rsidRPr="00C26738">
        <w:rPr>
          <w:bCs w:val="0"/>
          <w:iCs w:val="0"/>
        </w:rPr>
        <w:t xml:space="preserve">El perito señaló que </w:t>
      </w:r>
      <w:r w:rsidR="00E92AA5" w:rsidRPr="00576AEA">
        <w:t xml:space="preserve">como funcionario de la Secretaría Ejecutiva </w:t>
      </w:r>
      <w:r w:rsidR="00D81515" w:rsidRPr="00C26738">
        <w:rPr>
          <w:bCs w:val="0"/>
          <w:iCs w:val="0"/>
        </w:rPr>
        <w:t xml:space="preserve">nunca estuvo a cargo de peticiones </w:t>
      </w:r>
      <w:r w:rsidR="00E92AA5" w:rsidRPr="00576AEA">
        <w:t xml:space="preserve">en etapa de admisibilidad o casos en etapa de fondo. </w:t>
      </w:r>
      <w:r w:rsidR="00D81515" w:rsidRPr="00C26738">
        <w:rPr>
          <w:bCs w:val="0"/>
          <w:iCs w:val="0"/>
        </w:rPr>
        <w:t xml:space="preserve">Agregó que “en ningún momento </w:t>
      </w:r>
      <w:proofErr w:type="spellStart"/>
      <w:r w:rsidR="00D81515" w:rsidRPr="00C26738">
        <w:rPr>
          <w:bCs w:val="0"/>
          <w:iCs w:val="0"/>
        </w:rPr>
        <w:t>tuv</w:t>
      </w:r>
      <w:proofErr w:type="spellEnd"/>
      <w:r w:rsidR="00D81515" w:rsidRPr="00C26738">
        <w:rPr>
          <w:bCs w:val="0"/>
          <w:iCs w:val="0"/>
        </w:rPr>
        <w:t xml:space="preserve">[o] conocimiento ni </w:t>
      </w:r>
      <w:proofErr w:type="spellStart"/>
      <w:proofErr w:type="gramStart"/>
      <w:r w:rsidR="00D81515" w:rsidRPr="00C26738">
        <w:rPr>
          <w:bCs w:val="0"/>
          <w:iCs w:val="0"/>
        </w:rPr>
        <w:t>emit</w:t>
      </w:r>
      <w:proofErr w:type="spellEnd"/>
      <w:r w:rsidR="00D81515" w:rsidRPr="00C26738">
        <w:rPr>
          <w:bCs w:val="0"/>
          <w:iCs w:val="0"/>
        </w:rPr>
        <w:t>[</w:t>
      </w:r>
      <w:proofErr w:type="spellStart"/>
      <w:proofErr w:type="gramEnd"/>
      <w:r w:rsidR="00D81515" w:rsidRPr="00C26738">
        <w:rPr>
          <w:bCs w:val="0"/>
          <w:iCs w:val="0"/>
        </w:rPr>
        <w:t>ió</w:t>
      </w:r>
      <w:proofErr w:type="spellEnd"/>
      <w:r w:rsidR="00D81515" w:rsidRPr="00C26738">
        <w:rPr>
          <w:bCs w:val="0"/>
          <w:iCs w:val="0"/>
        </w:rPr>
        <w:t>] opinión de naturaleza alguna sobre el presente caso en</w:t>
      </w:r>
      <w:r w:rsidR="00913666" w:rsidRPr="00576AEA">
        <w:t xml:space="preserve"> </w:t>
      </w:r>
      <w:r w:rsidR="00D81515" w:rsidRPr="00C26738">
        <w:rPr>
          <w:bCs w:val="0"/>
          <w:iCs w:val="0"/>
        </w:rPr>
        <w:t xml:space="preserve">el cual se </w:t>
      </w:r>
      <w:r w:rsidR="00467E9F" w:rsidRPr="00576AEA">
        <w:t>[le]</w:t>
      </w:r>
      <w:r w:rsidR="00D81515" w:rsidRPr="00C26738">
        <w:rPr>
          <w:bCs w:val="0"/>
          <w:iCs w:val="0"/>
        </w:rPr>
        <w:t xml:space="preserve"> ha ofrecido como perito durante </w:t>
      </w:r>
      <w:r w:rsidR="00467E9F" w:rsidRPr="00576AEA">
        <w:t>[su]</w:t>
      </w:r>
      <w:r w:rsidR="00D81515" w:rsidRPr="00C26738">
        <w:rPr>
          <w:bCs w:val="0"/>
          <w:iCs w:val="0"/>
        </w:rPr>
        <w:t xml:space="preserve"> vinculación con la Secretaría Ejecutiva”.</w:t>
      </w:r>
      <w:r w:rsidR="008D5DDF">
        <w:rPr>
          <w:bCs w:val="0"/>
          <w:iCs w:val="0"/>
        </w:rPr>
        <w:t xml:space="preserve"> </w:t>
      </w:r>
      <w:r w:rsidR="00CC3AD7">
        <w:rPr>
          <w:bCs w:val="0"/>
          <w:iCs w:val="0"/>
        </w:rPr>
        <w:t xml:space="preserve">También señaló que los supuestos </w:t>
      </w:r>
      <w:r w:rsidR="00021B94">
        <w:rPr>
          <w:bCs w:val="0"/>
          <w:iCs w:val="0"/>
        </w:rPr>
        <w:t xml:space="preserve">para </w:t>
      </w:r>
      <w:r w:rsidR="00CC3AD7">
        <w:rPr>
          <w:bCs w:val="0"/>
          <w:iCs w:val="0"/>
        </w:rPr>
        <w:t>que sea procedente la causal de recusación prevista en el artículo 48</w:t>
      </w:r>
      <w:r w:rsidR="000870DE">
        <w:rPr>
          <w:bCs w:val="0"/>
          <w:iCs w:val="0"/>
        </w:rPr>
        <w:t>.1.c</w:t>
      </w:r>
      <w:r w:rsidR="00CC3AD7">
        <w:rPr>
          <w:bCs w:val="0"/>
          <w:iCs w:val="0"/>
        </w:rPr>
        <w:t xml:space="preserve"> no están presentes en este caso. </w:t>
      </w:r>
    </w:p>
    <w:p w14:paraId="06C5A255" w14:textId="3B58387B" w:rsidR="00CC3AD7" w:rsidRDefault="00CC3AD7" w:rsidP="00CC3AD7">
      <w:pPr>
        <w:pStyle w:val="NoSpacing"/>
        <w:numPr>
          <w:ilvl w:val="0"/>
          <w:numId w:val="0"/>
        </w:numPr>
      </w:pPr>
    </w:p>
    <w:p w14:paraId="1B944280" w14:textId="7C4A9545" w:rsidR="00B67F60" w:rsidRDefault="008E7E64" w:rsidP="009E6C4C">
      <w:pPr>
        <w:pStyle w:val="NoSpacing"/>
      </w:pPr>
      <w:r>
        <w:t>El artículo 48.1.d del Reglamento dispone que los peritos podrán ser recusados</w:t>
      </w:r>
      <w:r w:rsidR="00021B94">
        <w:t xml:space="preserve"> </w:t>
      </w:r>
      <w:r>
        <w:t xml:space="preserve">por “ser o haber sido funcionario de la Comisión con conocimiento del caso en litigio en que se solicita su peritaje”. </w:t>
      </w:r>
      <w:r w:rsidR="00CC3AD7">
        <w:t>E</w:t>
      </w:r>
      <w:r w:rsidR="00014C78" w:rsidRPr="00576AEA">
        <w:t xml:space="preserve">sta Presidencia ha constatado </w:t>
      </w:r>
      <w:r w:rsidR="00B67F60">
        <w:t xml:space="preserve">que de la hoja de vida del perito se </w:t>
      </w:r>
      <w:r w:rsidR="00B67F60">
        <w:lastRenderedPageBreak/>
        <w:t xml:space="preserve">desprende que </w:t>
      </w:r>
      <w:r w:rsidR="00014C78" w:rsidRPr="00E949E1">
        <w:t xml:space="preserve">fungió como “Jefe de Litigio” de la Comisión </w:t>
      </w:r>
      <w:r w:rsidR="00B67F60">
        <w:t xml:space="preserve">ante la Corte entre </w:t>
      </w:r>
      <w:r w:rsidR="00014C78" w:rsidRPr="00E949E1">
        <w:t>agosto de 2004 a diciembre de 2006</w:t>
      </w:r>
      <w:r w:rsidR="00B67F60">
        <w:t>, y</w:t>
      </w:r>
      <w:r w:rsidR="00014C78" w:rsidRPr="00E949E1">
        <w:t xml:space="preserve"> </w:t>
      </w:r>
      <w:r w:rsidR="00B67F60" w:rsidRPr="00E949E1">
        <w:t>desde enero de 2007 hasta septiembre del 2013</w:t>
      </w:r>
      <w:r w:rsidR="00B67F60">
        <w:t xml:space="preserve"> ocupó el cargo de </w:t>
      </w:r>
      <w:r w:rsidR="00B67F60" w:rsidRPr="00E949E1">
        <w:t>“Jefe de Sección de Registro y Especialista Principal de Dere</w:t>
      </w:r>
      <w:r w:rsidR="00B67F60">
        <w:t>chos Humanos” de la Comisión, donde supervisaba el estudio inicial realizado a las peticiones.</w:t>
      </w:r>
      <w:r w:rsidR="00B67F60" w:rsidRPr="00E949E1">
        <w:t xml:space="preserve"> </w:t>
      </w:r>
      <w:r w:rsidR="00B67F60" w:rsidRPr="00B67F60">
        <w:t>En el presente caso,</w:t>
      </w:r>
      <w:r w:rsidR="00B67F60">
        <w:rPr>
          <w:b/>
        </w:rPr>
        <w:t xml:space="preserve"> </w:t>
      </w:r>
      <w:r w:rsidR="00EE7921">
        <w:t xml:space="preserve">la Comisión </w:t>
      </w:r>
      <w:r w:rsidR="00EE7921" w:rsidRPr="00576AEA">
        <w:t>dio trámite a la petición el 20 de mayo del 2003</w:t>
      </w:r>
      <w:r w:rsidR="00EE7921" w:rsidRPr="00576AEA">
        <w:rPr>
          <w:rStyle w:val="FootnoteReference"/>
          <w:bCs w:val="0"/>
        </w:rPr>
        <w:footnoteReference w:id="4"/>
      </w:r>
      <w:r w:rsidR="00B67F60">
        <w:t>, por lo que el estudio inicial de la petición</w:t>
      </w:r>
      <w:r w:rsidR="008D5DDF">
        <w:t xml:space="preserve"> se realizó</w:t>
      </w:r>
      <w:r w:rsidR="00B67F60">
        <w:t xml:space="preserve"> años antes que el perito fuese el encargado de supervisar el estudio inicial de las peticiones.</w:t>
      </w:r>
      <w:r w:rsidR="008D5DDF">
        <w:t xml:space="preserve"> </w:t>
      </w:r>
      <w:r w:rsidR="009E6C4C">
        <w:t>Además, s</w:t>
      </w:r>
      <w:r w:rsidR="008D5DDF">
        <w:t xml:space="preserve">e desprende de la hoja de vida del perito que durante su trabajo en la Secretaría Ejecutiva no trabajó en las decisiones de admisibilidad y fondo de casos, así como que su supervisión del litigo de la Comisión ante la Corte se realizó solo hasta el 2006. </w:t>
      </w:r>
      <w:r w:rsidR="00B165E5">
        <w:t>En consecuencia</w:t>
      </w:r>
      <w:r w:rsidR="008D5DDF">
        <w:t xml:space="preserve">, no se ha demostrado que </w:t>
      </w:r>
      <w:r w:rsidR="00B165E5">
        <w:t>el señor Madrigal-</w:t>
      </w:r>
      <w:proofErr w:type="spellStart"/>
      <w:r w:rsidR="008D5DDF" w:rsidRPr="00576AEA">
        <w:t>Borloz</w:t>
      </w:r>
      <w:proofErr w:type="spellEnd"/>
      <w:r w:rsidR="008D5DDF" w:rsidRPr="00576AEA">
        <w:t xml:space="preserve"> haya </w:t>
      </w:r>
      <w:r w:rsidR="008D5DDF">
        <w:t xml:space="preserve">tenido conocimiento o haya emitido criterio alguno sobre el presente caso. </w:t>
      </w:r>
      <w:r w:rsidR="009E6C4C">
        <w:t>Por tanto, se desestima la recu</w:t>
      </w:r>
      <w:r w:rsidR="008D5DDF">
        <w:t>sación planteada por Paraguay</w:t>
      </w:r>
      <w:r w:rsidR="008D5DDF" w:rsidRPr="00576AEA">
        <w:t>.</w:t>
      </w:r>
      <w:r w:rsidR="008D5DDF">
        <w:t xml:space="preserve"> </w:t>
      </w:r>
    </w:p>
    <w:p w14:paraId="086904B9" w14:textId="5CC64C85" w:rsidR="008D5DDF" w:rsidRDefault="008D5DDF" w:rsidP="008D5DDF">
      <w:pPr>
        <w:pStyle w:val="NoSpacing"/>
        <w:numPr>
          <w:ilvl w:val="0"/>
          <w:numId w:val="0"/>
        </w:numPr>
      </w:pPr>
    </w:p>
    <w:p w14:paraId="5C3DB5FA" w14:textId="2AF6A70A" w:rsidR="00913666" w:rsidRPr="00913666" w:rsidRDefault="009E6C4C" w:rsidP="00EC57BF">
      <w:pPr>
        <w:pStyle w:val="NoSpacing"/>
      </w:pPr>
      <w:r>
        <w:t>Respecto a la admisibilidad</w:t>
      </w:r>
      <w:r w:rsidR="008E7E64">
        <w:t xml:space="preserve"> del peritaje,</w:t>
      </w:r>
      <w:r w:rsidR="00913666">
        <w:t xml:space="preserve"> </w:t>
      </w:r>
      <w:r w:rsidR="00913666" w:rsidRPr="00576AEA">
        <w:t xml:space="preserve">el Presidente considera </w:t>
      </w:r>
      <w:r w:rsidR="00EE7921" w:rsidRPr="00576AEA">
        <w:t xml:space="preserve">que el </w:t>
      </w:r>
      <w:r w:rsidR="00913666" w:rsidRPr="00576AEA">
        <w:t xml:space="preserve">objeto </w:t>
      </w:r>
      <w:r w:rsidR="00EE7921" w:rsidRPr="00576AEA">
        <w:t xml:space="preserve">de la pericia </w:t>
      </w:r>
      <w:r w:rsidR="00913666" w:rsidRPr="00576AEA">
        <w:t>resulta relevante para el orden público interamericano, particularmente por referirse a c</w:t>
      </w:r>
      <w:r w:rsidR="00913666" w:rsidRPr="00576AEA">
        <w:rPr>
          <w:rFonts w:cs="Arial"/>
        </w:rPr>
        <w:t xml:space="preserve">asos de desaparición forzada de personas y de tortura, fuera de un contexto dictatorial o de conflicto armado con violaciones sistemáticas de derechos humanos, así como las implicaciones concretas de la ausencia de </w:t>
      </w:r>
      <w:r w:rsidR="00FB55C7">
        <w:rPr>
          <w:rFonts w:cs="Arial"/>
        </w:rPr>
        <w:t xml:space="preserve">una </w:t>
      </w:r>
      <w:r w:rsidR="00913666" w:rsidRPr="00576AEA">
        <w:rPr>
          <w:rFonts w:cs="Arial"/>
        </w:rPr>
        <w:t>investigación seria y diligente de indicios de participación estatal  en relación con el principio de presunción de inocencia en supuestos de declaraciones públicas por parte de diferentes agentes estatales sobre la responsabilidad penal de una persona</w:t>
      </w:r>
      <w:r w:rsidR="00913666" w:rsidRPr="00576AEA">
        <w:t>. En este sentido, trasciende</w:t>
      </w:r>
      <w:r w:rsidR="00FB55C7">
        <w:t xml:space="preserve"> a</w:t>
      </w:r>
      <w:r w:rsidR="00913666" w:rsidRPr="00576AEA">
        <w:t xml:space="preserve"> los intereses específicos de las partes en el proceso y puede, eventualmente, tener impacto sobre situaciones que se presentan en otros Estados Parte </w:t>
      </w:r>
      <w:r w:rsidR="00FB55C7">
        <w:t>de</w:t>
      </w:r>
      <w:r w:rsidR="00913666" w:rsidRPr="00576AEA">
        <w:t xml:space="preserve"> la</w:t>
      </w:r>
      <w:r w:rsidR="00913666">
        <w:t xml:space="preserve"> Convención. En consecuencia, el Presidente estima pertinente admitir el dictamen pericial de </w:t>
      </w:r>
      <w:r w:rsidR="00EE7921">
        <w:t>Víctor Madrigal</w:t>
      </w:r>
      <w:r w:rsidR="00BC1DB2">
        <w:t>-</w:t>
      </w:r>
      <w:proofErr w:type="spellStart"/>
      <w:r w:rsidR="00EE7921">
        <w:t>Borloz</w:t>
      </w:r>
      <w:proofErr w:type="spellEnd"/>
      <w:r w:rsidR="00913666">
        <w:t xml:space="preserve"> ofrecido por la Comisión, según el objeto y modalidad determinados en la parte resolutiva de la presente decisión </w:t>
      </w:r>
    </w:p>
    <w:p w14:paraId="047A29A0" w14:textId="30C9456A" w:rsidR="00BE7FD0" w:rsidRPr="00E949E1" w:rsidRDefault="00BE7FD0" w:rsidP="00EC57BF">
      <w:pPr>
        <w:pStyle w:val="NoSpacing"/>
        <w:numPr>
          <w:ilvl w:val="0"/>
          <w:numId w:val="0"/>
        </w:numPr>
      </w:pPr>
    </w:p>
    <w:p w14:paraId="19EFD558" w14:textId="6A7901CB" w:rsidR="00BE7FD0" w:rsidRPr="00E949E1" w:rsidRDefault="00BE7FD0" w:rsidP="00EC57BF">
      <w:pPr>
        <w:pStyle w:val="Heading1"/>
        <w:ind w:left="993" w:hanging="426"/>
        <w:rPr>
          <w:lang w:val="es-ES_tradnl"/>
        </w:rPr>
      </w:pPr>
      <w:r w:rsidRPr="00E949E1">
        <w:t xml:space="preserve">Recusación del representante </w:t>
      </w:r>
      <w:r w:rsidRPr="00E949E1">
        <w:rPr>
          <w:lang w:val="es-ES_tradnl"/>
        </w:rPr>
        <w:t xml:space="preserve">a los peritos </w:t>
      </w:r>
      <w:r>
        <w:rPr>
          <w:lang w:val="es-ES_tradnl"/>
        </w:rPr>
        <w:t xml:space="preserve">propuestos </w:t>
      </w:r>
      <w:r w:rsidRPr="00E949E1">
        <w:rPr>
          <w:lang w:val="es-ES_tradnl"/>
        </w:rPr>
        <w:t>por el Estado</w:t>
      </w:r>
    </w:p>
    <w:p w14:paraId="20D86198" w14:textId="77777777" w:rsidR="00BE7FD0" w:rsidRPr="00FB55C7" w:rsidRDefault="00BE7FD0" w:rsidP="00EC57BF">
      <w:pPr>
        <w:spacing w:after="0" w:line="240" w:lineRule="auto"/>
        <w:rPr>
          <w:rFonts w:ascii="Verdana" w:hAnsi="Verdana"/>
          <w:sz w:val="20"/>
          <w:szCs w:val="20"/>
          <w:lang w:val="es-ES_tradnl"/>
        </w:rPr>
      </w:pPr>
    </w:p>
    <w:p w14:paraId="39040F84" w14:textId="5372E3BA" w:rsidR="009D194E" w:rsidRPr="00FB55C7" w:rsidRDefault="00BE7FD0" w:rsidP="00EC57BF">
      <w:pPr>
        <w:pStyle w:val="NoSpacing"/>
      </w:pPr>
      <w:r w:rsidRPr="00FB55C7">
        <w:t xml:space="preserve">El </w:t>
      </w:r>
      <w:r w:rsidRPr="00FB55C7">
        <w:rPr>
          <w:b/>
          <w:i/>
        </w:rPr>
        <w:t xml:space="preserve">Estado </w:t>
      </w:r>
      <w:r w:rsidRPr="00FB55C7">
        <w:t>ofreció</w:t>
      </w:r>
      <w:r w:rsidRPr="00FB55C7">
        <w:rPr>
          <w:b/>
          <w:i/>
        </w:rPr>
        <w:t xml:space="preserve"> </w:t>
      </w:r>
      <w:r w:rsidR="009D194E" w:rsidRPr="00FB55C7">
        <w:t>el peritaje</w:t>
      </w:r>
      <w:r w:rsidRPr="00FB55C7">
        <w:t xml:space="preserve"> de Pablo Ernesto </w:t>
      </w:r>
      <w:proofErr w:type="spellStart"/>
      <w:r w:rsidRPr="00FB55C7">
        <w:t>Lemir</w:t>
      </w:r>
      <w:proofErr w:type="spellEnd"/>
      <w:r w:rsidRPr="00FB55C7">
        <w:t xml:space="preserve"> </w:t>
      </w:r>
      <w:proofErr w:type="spellStart"/>
      <w:r w:rsidRPr="00FB55C7">
        <w:t>Marchese</w:t>
      </w:r>
      <w:proofErr w:type="spellEnd"/>
      <w:r w:rsidRPr="00FB55C7">
        <w:t xml:space="preserve"> para realizar “un informe sobre las lesiones en Juan </w:t>
      </w:r>
      <w:proofErr w:type="spellStart"/>
      <w:r w:rsidRPr="00FB55C7">
        <w:t>Arrom</w:t>
      </w:r>
      <w:proofErr w:type="spellEnd"/>
      <w:r w:rsidRPr="00FB55C7">
        <w:t xml:space="preserve"> </w:t>
      </w:r>
      <w:proofErr w:type="spellStart"/>
      <w:r w:rsidRPr="00FB55C7">
        <w:t>Suhurt</w:t>
      </w:r>
      <w:proofErr w:type="spellEnd"/>
      <w:r w:rsidRPr="00FB55C7">
        <w:t xml:space="preserve"> y Anuncio Martí</w:t>
      </w:r>
      <w:r w:rsidR="00EE49ED" w:rsidRPr="00FB55C7">
        <w:t>”</w:t>
      </w:r>
      <w:r w:rsidR="009D194E" w:rsidRPr="00FB55C7">
        <w:t>.</w:t>
      </w:r>
      <w:r w:rsidRPr="00FB55C7">
        <w:t xml:space="preserve"> </w:t>
      </w:r>
    </w:p>
    <w:p w14:paraId="3C09EC90" w14:textId="77777777" w:rsidR="009D194E" w:rsidRPr="00FB55C7" w:rsidRDefault="009D194E" w:rsidP="00EC57BF">
      <w:pPr>
        <w:pStyle w:val="NoSpacing"/>
        <w:numPr>
          <w:ilvl w:val="0"/>
          <w:numId w:val="0"/>
        </w:numPr>
      </w:pPr>
    </w:p>
    <w:p w14:paraId="38D50899" w14:textId="42CDBEE9" w:rsidR="009D194E" w:rsidRPr="00FB55C7" w:rsidRDefault="009D194E" w:rsidP="00EC57BF">
      <w:pPr>
        <w:pStyle w:val="NoSpacing"/>
      </w:pPr>
      <w:r w:rsidRPr="00FB55C7">
        <w:t xml:space="preserve">El </w:t>
      </w:r>
      <w:r w:rsidRPr="00FB55C7">
        <w:rPr>
          <w:b/>
          <w:i/>
        </w:rPr>
        <w:t>representante</w:t>
      </w:r>
      <w:r w:rsidRPr="00FB55C7">
        <w:t xml:space="preserve"> solicitó recusar al perito </w:t>
      </w:r>
      <w:proofErr w:type="spellStart"/>
      <w:r w:rsidRPr="00FB55C7">
        <w:t>Lemir</w:t>
      </w:r>
      <w:proofErr w:type="spellEnd"/>
      <w:r w:rsidRPr="00FB55C7">
        <w:t xml:space="preserve"> </w:t>
      </w:r>
      <w:proofErr w:type="spellStart"/>
      <w:r w:rsidRPr="00FB55C7">
        <w:t>Marchese</w:t>
      </w:r>
      <w:proofErr w:type="spellEnd"/>
      <w:r w:rsidRPr="00FB55C7">
        <w:t xml:space="preserve"> bajo la causal prevista en el artículo 48.1.c del Reglamento, indicando que el perito “es funcionario del Estado Paraguayo, es Director Nacional de Medicina Legal y Ciencias Forenses del Ministerio P</w:t>
      </w:r>
      <w:r w:rsidR="00FB55C7" w:rsidRPr="00FB55C7">
        <w:t>ú</w:t>
      </w:r>
      <w:r w:rsidRPr="00FB55C7">
        <w:t xml:space="preserve">blico”. En virtud de lo anterior, el representante recordó que “la Fiscalía participó en forma directa en la comisión de estos deleznables hechos, ya que se encargó de dar impunidad a los autores materiales y morales en este caso y quienes prosiguen en la presente causa buscando la misma finalidad”. </w:t>
      </w:r>
    </w:p>
    <w:p w14:paraId="349E588F" w14:textId="77777777" w:rsidR="009D194E" w:rsidRPr="00FB55C7" w:rsidRDefault="009D194E" w:rsidP="009D194E">
      <w:pPr>
        <w:pStyle w:val="NoSpacing"/>
        <w:numPr>
          <w:ilvl w:val="0"/>
          <w:numId w:val="0"/>
        </w:numPr>
      </w:pPr>
    </w:p>
    <w:p w14:paraId="490B757A" w14:textId="08511D38" w:rsidR="00BE7FD0" w:rsidRPr="00FB55C7" w:rsidRDefault="00BE7FD0" w:rsidP="00BE7FD0">
      <w:pPr>
        <w:pStyle w:val="NoSpacing"/>
      </w:pPr>
      <w:r w:rsidRPr="00FB55C7">
        <w:t xml:space="preserve">Respondiendo al traslado de la recusación, el señor </w:t>
      </w:r>
      <w:proofErr w:type="spellStart"/>
      <w:r w:rsidRPr="00FB55C7">
        <w:t>Lemir</w:t>
      </w:r>
      <w:proofErr w:type="spellEnd"/>
      <w:r w:rsidRPr="00FB55C7">
        <w:t xml:space="preserve"> </w:t>
      </w:r>
      <w:proofErr w:type="spellStart"/>
      <w:r w:rsidRPr="00FB55C7">
        <w:t>Marchese</w:t>
      </w:r>
      <w:proofErr w:type="spellEnd"/>
      <w:r w:rsidRPr="00FB55C7">
        <w:t xml:space="preserve"> manifestó </w:t>
      </w:r>
      <w:r w:rsidR="00EC24E4" w:rsidRPr="00FB55C7">
        <w:t xml:space="preserve">que la recusación no expresa “de qué forma, o bajo qué supuesto [su] imparcialidad podría estar afectada por el solo hecho de ser dependiente del Ministerio Público, siendo que [su] rol como médico forense es estrictamente profesional y científico, sin subordinación funcional con los agentes fiscales a cargo de las causas”. Además señaló que “no </w:t>
      </w:r>
      <w:proofErr w:type="spellStart"/>
      <w:r w:rsidR="00EC24E4" w:rsidRPr="00FB55C7">
        <w:t>intervin</w:t>
      </w:r>
      <w:proofErr w:type="spellEnd"/>
      <w:r w:rsidR="00EC24E4" w:rsidRPr="00FB55C7">
        <w:t xml:space="preserve">[o] en ningún momento en calidad de perito o [de cualquier otra forma] en la causa abierta en contra de los supuestos agresores de los señores </w:t>
      </w:r>
      <w:proofErr w:type="spellStart"/>
      <w:r w:rsidR="00EC24E4" w:rsidRPr="00FB55C7">
        <w:t>Arrom</w:t>
      </w:r>
      <w:proofErr w:type="spellEnd"/>
      <w:r w:rsidR="00EC24E4" w:rsidRPr="00FB55C7">
        <w:t xml:space="preserve"> y Martí”.</w:t>
      </w:r>
    </w:p>
    <w:p w14:paraId="57A6AA5A" w14:textId="77777777" w:rsidR="00BE7FD0" w:rsidRPr="00E949E1" w:rsidRDefault="00BE7FD0" w:rsidP="00BE7FD0">
      <w:pPr>
        <w:spacing w:after="0" w:line="240" w:lineRule="auto"/>
        <w:contextualSpacing/>
        <w:jc w:val="both"/>
        <w:rPr>
          <w:rFonts w:ascii="Verdana" w:hAnsi="Verdana"/>
          <w:sz w:val="20"/>
          <w:szCs w:val="20"/>
        </w:rPr>
      </w:pPr>
    </w:p>
    <w:p w14:paraId="30BC7C23" w14:textId="2C7EB2F0" w:rsidR="009B5283" w:rsidRDefault="009B5283" w:rsidP="009B5283">
      <w:pPr>
        <w:pStyle w:val="NoSpacing"/>
        <w:rPr>
          <w:lang w:val="es-ES"/>
        </w:rPr>
      </w:pPr>
      <w:bookmarkStart w:id="2" w:name="_Ref532806969"/>
      <w:r>
        <w:rPr>
          <w:lang w:val="es-ES"/>
        </w:rPr>
        <w:t>D</w:t>
      </w:r>
      <w:r w:rsidRPr="00E949E1">
        <w:rPr>
          <w:lang w:val="es-ES"/>
        </w:rPr>
        <w:t>e con</w:t>
      </w:r>
      <w:r w:rsidR="00FB55C7">
        <w:rPr>
          <w:lang w:val="es-ES"/>
        </w:rPr>
        <w:t>formidad con el artículo 48.1.c</w:t>
      </w:r>
      <w:r w:rsidRPr="00E949E1">
        <w:rPr>
          <w:lang w:val="es-ES"/>
        </w:rPr>
        <w:t xml:space="preserve"> del Reglamento</w:t>
      </w:r>
      <w:r w:rsidRPr="00E949E1">
        <w:rPr>
          <w:rFonts w:cs="Verdana"/>
          <w:vertAlign w:val="superscript"/>
          <w:lang w:val="es-ES"/>
        </w:rPr>
        <w:footnoteReference w:id="5"/>
      </w:r>
      <w:r w:rsidRPr="00E949E1">
        <w:rPr>
          <w:lang w:val="es-ES"/>
        </w:rPr>
        <w:t xml:space="preserve">, para que la recusación de un </w:t>
      </w:r>
      <w:r w:rsidRPr="00E949E1">
        <w:rPr>
          <w:lang w:val="es-ES"/>
        </w:rPr>
        <w:lastRenderedPageBreak/>
        <w:t>perito sobre esa base resulte procedente debe estar condicionada a que concurran dos supuestos: la existencia de un vínculo determinado del perito con la parte proponente y que, adicionalmente, esa relación, a criterio del Tribunal, afecte su imparcialidad</w:t>
      </w:r>
      <w:r w:rsidRPr="00E949E1">
        <w:rPr>
          <w:rStyle w:val="FootnoteReference"/>
          <w:lang w:val="es-ES"/>
        </w:rPr>
        <w:footnoteReference w:id="6"/>
      </w:r>
      <w:r w:rsidRPr="009B5283">
        <w:rPr>
          <w:lang w:val="es-ES"/>
        </w:rPr>
        <w:t>.</w:t>
      </w:r>
      <w:bookmarkEnd w:id="2"/>
    </w:p>
    <w:p w14:paraId="111EA292" w14:textId="77777777" w:rsidR="00BE7FD0" w:rsidRPr="00E949E1" w:rsidRDefault="00BE7FD0" w:rsidP="00BE7FD0">
      <w:pPr>
        <w:tabs>
          <w:tab w:val="left" w:pos="567"/>
        </w:tabs>
        <w:spacing w:after="0" w:line="240" w:lineRule="auto"/>
        <w:ind w:right="10"/>
        <w:jc w:val="both"/>
        <w:rPr>
          <w:rFonts w:ascii="Verdana" w:hAnsi="Verdana"/>
          <w:sz w:val="20"/>
          <w:szCs w:val="20"/>
          <w:lang w:val="es-ES"/>
        </w:rPr>
      </w:pPr>
    </w:p>
    <w:p w14:paraId="5F4F86DD" w14:textId="158D1755" w:rsidR="00BE7FD0" w:rsidRPr="00E949E1" w:rsidRDefault="00BE7FD0" w:rsidP="00BE7FD0">
      <w:pPr>
        <w:pStyle w:val="NoSpacing"/>
        <w:rPr>
          <w:lang w:val="es-ES"/>
        </w:rPr>
      </w:pPr>
      <w:bookmarkStart w:id="3" w:name="_Ref532806970"/>
      <w:r w:rsidRPr="00E949E1">
        <w:rPr>
          <w:lang w:val="es-ES"/>
        </w:rPr>
        <w:t xml:space="preserve">El Presidente nota que el representante fundamentó la recusación en una situación de subordinación por ejercer </w:t>
      </w:r>
      <w:r w:rsidR="009D194E">
        <w:rPr>
          <w:lang w:val="es-ES"/>
        </w:rPr>
        <w:t>el</w:t>
      </w:r>
      <w:r w:rsidRPr="00E949E1">
        <w:rPr>
          <w:lang w:val="es-ES"/>
        </w:rPr>
        <w:t xml:space="preserve"> cargo de </w:t>
      </w:r>
      <w:r w:rsidRPr="00E949E1">
        <w:t>Director Nacional de Medicina Legal y Ciencias Forenses del Ministerio P</w:t>
      </w:r>
      <w:r w:rsidR="00A444F8">
        <w:t>ú</w:t>
      </w:r>
      <w:r w:rsidRPr="00E949E1">
        <w:t>blico</w:t>
      </w:r>
      <w:r w:rsidRPr="00E949E1">
        <w:rPr>
          <w:lang w:val="es-ES"/>
        </w:rPr>
        <w:t xml:space="preserve">, lo que afectaría la imparcialidad del perito propuesto. Al respecto, es pertinente reiterar que el hecho de que un perito haya ocupado u ocupe un cargo público, no constituye </w:t>
      </w:r>
      <w:r w:rsidRPr="00E949E1">
        <w:rPr>
          <w:i/>
          <w:lang w:val="es-ES"/>
        </w:rPr>
        <w:t>per se</w:t>
      </w:r>
      <w:r w:rsidRPr="00E949E1">
        <w:rPr>
          <w:lang w:val="es-ES"/>
        </w:rPr>
        <w:t xml:space="preserve"> una causal de impedimento</w:t>
      </w:r>
      <w:r w:rsidRPr="00E949E1">
        <w:rPr>
          <w:rStyle w:val="FootnoteReference"/>
          <w:lang w:val="es-ES"/>
        </w:rPr>
        <w:footnoteReference w:id="7"/>
      </w:r>
      <w:r w:rsidRPr="00E949E1">
        <w:rPr>
          <w:lang w:val="es-ES"/>
        </w:rPr>
        <w:t>, sino que corresponde demostrar que dicho vínculo o relación, “a juicio de la Corte”, pueda “afectar su imparcialidad” o que la persona tenga un interés directo que pueda “afectar su imparcialidad” al emitir una opinión técnica en el presente caso</w:t>
      </w:r>
      <w:r w:rsidRPr="00E949E1">
        <w:rPr>
          <w:rStyle w:val="FootnoteReference"/>
          <w:lang w:val="es-ES"/>
        </w:rPr>
        <w:footnoteReference w:id="8"/>
      </w:r>
      <w:r w:rsidRPr="00E949E1">
        <w:rPr>
          <w:lang w:val="es-ES"/>
        </w:rPr>
        <w:t>.</w:t>
      </w:r>
      <w:bookmarkEnd w:id="3"/>
    </w:p>
    <w:p w14:paraId="08F5C599" w14:textId="77777777" w:rsidR="00BE7FD0" w:rsidRPr="00E949E1" w:rsidRDefault="00BE7FD0" w:rsidP="00BE7FD0">
      <w:pPr>
        <w:pStyle w:val="NoSpacing"/>
        <w:numPr>
          <w:ilvl w:val="0"/>
          <w:numId w:val="0"/>
        </w:numPr>
        <w:rPr>
          <w:lang w:val="es-ES"/>
        </w:rPr>
      </w:pPr>
    </w:p>
    <w:p w14:paraId="27C0234E" w14:textId="31EFB49C" w:rsidR="009D194E" w:rsidRDefault="009D194E" w:rsidP="009D194E">
      <w:pPr>
        <w:pStyle w:val="NoSpacing"/>
        <w:rPr>
          <w:lang w:val="es-ES"/>
        </w:rPr>
      </w:pPr>
      <w:r>
        <w:rPr>
          <w:lang w:val="es-ES"/>
        </w:rPr>
        <w:t>No se desprende de la información aportada que el señor</w:t>
      </w:r>
      <w:r w:rsidR="00BE7FD0" w:rsidRPr="009D194E">
        <w:rPr>
          <w:lang w:val="es-ES"/>
        </w:rPr>
        <w:t xml:space="preserve"> </w:t>
      </w:r>
      <w:proofErr w:type="spellStart"/>
      <w:r w:rsidR="00BE7FD0" w:rsidRPr="009D194E">
        <w:rPr>
          <w:lang w:val="es-ES"/>
        </w:rPr>
        <w:t>Lemir</w:t>
      </w:r>
      <w:proofErr w:type="spellEnd"/>
      <w:r w:rsidR="00BE7FD0" w:rsidRPr="009D194E">
        <w:rPr>
          <w:lang w:val="es-ES"/>
        </w:rPr>
        <w:t xml:space="preserve"> </w:t>
      </w:r>
      <w:proofErr w:type="spellStart"/>
      <w:r w:rsidR="00BE7FD0" w:rsidRPr="009D194E">
        <w:rPr>
          <w:lang w:val="es-ES"/>
        </w:rPr>
        <w:t>Marchese</w:t>
      </w:r>
      <w:proofErr w:type="spellEnd"/>
      <w:r w:rsidRPr="009D194E">
        <w:rPr>
          <w:lang w:val="es-ES"/>
        </w:rPr>
        <w:t xml:space="preserve"> tu</w:t>
      </w:r>
      <w:r>
        <w:rPr>
          <w:lang w:val="es-ES"/>
        </w:rPr>
        <w:t xml:space="preserve">viese </w:t>
      </w:r>
      <w:r>
        <w:t>algún tipo de relación con o participación en los hechos objeto del presente caso, de modo tal que su imparcialidad se vea afectada. Por otra parte, que el perito propuesto actualmente ejerza un cargo público no revela, en ausencia de otros elementos adicionales, una relación estrecha o de subordinación entre éste y la parte que lo propuso. Por tanto, el Presidente desestima la recusación presentada por el representante.</w:t>
      </w:r>
    </w:p>
    <w:p w14:paraId="1CA97084" w14:textId="77777777" w:rsidR="009D194E" w:rsidRPr="009D194E" w:rsidRDefault="009D194E" w:rsidP="009D194E">
      <w:pPr>
        <w:pStyle w:val="NoSpacing"/>
        <w:numPr>
          <w:ilvl w:val="0"/>
          <w:numId w:val="0"/>
        </w:numPr>
        <w:rPr>
          <w:lang w:val="es-ES"/>
        </w:rPr>
      </w:pPr>
    </w:p>
    <w:p w14:paraId="59989B6C" w14:textId="78D45F4C" w:rsidR="009D194E" w:rsidRPr="00E949E1" w:rsidRDefault="009D194E" w:rsidP="009D194E">
      <w:pPr>
        <w:pStyle w:val="NoSpacing"/>
      </w:pPr>
      <w:r>
        <w:rPr>
          <w:lang w:val="es-ES"/>
        </w:rPr>
        <w:t>Por otra parte, e</w:t>
      </w:r>
      <w:r w:rsidRPr="00E949E1">
        <w:t xml:space="preserve">l </w:t>
      </w:r>
      <w:r w:rsidRPr="00E949E1">
        <w:rPr>
          <w:b/>
          <w:i/>
        </w:rPr>
        <w:t xml:space="preserve">Estado </w:t>
      </w:r>
      <w:r w:rsidRPr="00E949E1">
        <w:t>ofreció</w:t>
      </w:r>
      <w:r w:rsidRPr="00E949E1">
        <w:rPr>
          <w:b/>
          <w:i/>
        </w:rPr>
        <w:t xml:space="preserve"> </w:t>
      </w:r>
      <w:r>
        <w:t>el peritaje</w:t>
      </w:r>
      <w:r w:rsidRPr="00E949E1">
        <w:t xml:space="preserve"> de Nicolás </w:t>
      </w:r>
      <w:proofErr w:type="spellStart"/>
      <w:r w:rsidRPr="00E949E1">
        <w:t>Garcete</w:t>
      </w:r>
      <w:proofErr w:type="spellEnd"/>
      <w:r>
        <w:t xml:space="preserve"> para realizar “</w:t>
      </w:r>
      <w:r w:rsidRPr="00BE7FD0">
        <w:t xml:space="preserve">un informe sobre las alegadas secuelas </w:t>
      </w:r>
      <w:r w:rsidR="00440DFC">
        <w:t xml:space="preserve">[psicológicas] </w:t>
      </w:r>
      <w:r w:rsidRPr="00BE7FD0">
        <w:t>de las presuntas víctimas</w:t>
      </w:r>
      <w:r>
        <w:t>”.</w:t>
      </w:r>
    </w:p>
    <w:p w14:paraId="7A9925CC" w14:textId="77777777" w:rsidR="00BE7FD0" w:rsidRPr="00E949E1" w:rsidRDefault="00BE7FD0" w:rsidP="00BE7FD0">
      <w:pPr>
        <w:autoSpaceDE w:val="0"/>
        <w:autoSpaceDN w:val="0"/>
        <w:adjustRightInd w:val="0"/>
        <w:spacing w:after="0" w:line="240" w:lineRule="auto"/>
        <w:rPr>
          <w:rFonts w:ascii="Verdana" w:hAnsi="Verdana" w:cs="Arial"/>
          <w:sz w:val="20"/>
          <w:szCs w:val="20"/>
        </w:rPr>
      </w:pPr>
    </w:p>
    <w:p w14:paraId="604C0555" w14:textId="15E23DD4" w:rsidR="00BE7FD0" w:rsidRPr="00A146BE" w:rsidRDefault="00BE7FD0" w:rsidP="00A146BE">
      <w:pPr>
        <w:pStyle w:val="NoSpacing"/>
      </w:pPr>
      <w:r w:rsidRPr="00E949E1">
        <w:t xml:space="preserve">El </w:t>
      </w:r>
      <w:r w:rsidRPr="00E949E1">
        <w:rPr>
          <w:b/>
          <w:i/>
        </w:rPr>
        <w:t>representante</w:t>
      </w:r>
      <w:r w:rsidRPr="00E949E1">
        <w:t xml:space="preserve"> recusó </w:t>
      </w:r>
      <w:r w:rsidR="009D194E">
        <w:t>este peritaje</w:t>
      </w:r>
      <w:r w:rsidRPr="00E949E1">
        <w:t xml:space="preserve"> bajo la causal prevista en el artículo 48.1.c del Reglamento, señalando</w:t>
      </w:r>
      <w:r w:rsidR="009D194E">
        <w:t xml:space="preserve"> que el perito es “</w:t>
      </w:r>
      <w:r w:rsidRPr="00E949E1">
        <w:t>funcionario del Estado Paraguayo</w:t>
      </w:r>
      <w:r w:rsidR="00A146BE">
        <w:t xml:space="preserve">”, específicamente Jefe del Departamento de Salud Mental del Ministerio Público (Psicología y Psiquiatría). </w:t>
      </w:r>
      <w:r w:rsidR="00A146BE" w:rsidRPr="00A146BE">
        <w:t xml:space="preserve">Indicó que se </w:t>
      </w:r>
      <w:r w:rsidRPr="00E949E1">
        <w:t>l</w:t>
      </w:r>
      <w:r w:rsidR="00A146BE">
        <w:t>e</w:t>
      </w:r>
      <w:r w:rsidRPr="00E949E1">
        <w:t xml:space="preserve"> propone como perito para realizar informes sobre las secuelas de las torturas”</w:t>
      </w:r>
      <w:r w:rsidR="00A146BE">
        <w:t xml:space="preserve">, pero de </w:t>
      </w:r>
      <w:r w:rsidRPr="00E949E1">
        <w:t xml:space="preserve">la hoja de vida del perito </w:t>
      </w:r>
      <w:r w:rsidR="009D194E">
        <w:t>“</w:t>
      </w:r>
      <w:r w:rsidRPr="00E949E1">
        <w:t>no indica que haya estudiado ni trabajado</w:t>
      </w:r>
      <w:r w:rsidR="00CC1779">
        <w:t xml:space="preserve"> ni siquiera en casos similares</w:t>
      </w:r>
      <w:r w:rsidR="00E92AA5">
        <w:t>”</w:t>
      </w:r>
      <w:r w:rsidRPr="00A146BE">
        <w:t xml:space="preserve">. </w:t>
      </w:r>
    </w:p>
    <w:p w14:paraId="5F75823E" w14:textId="77777777" w:rsidR="00BE7FD0" w:rsidRPr="00A146BE" w:rsidRDefault="00BE7FD0" w:rsidP="00BE7FD0">
      <w:pPr>
        <w:pStyle w:val="NoSpacing"/>
        <w:numPr>
          <w:ilvl w:val="0"/>
          <w:numId w:val="0"/>
        </w:numPr>
        <w:rPr>
          <w:b/>
        </w:rPr>
      </w:pPr>
    </w:p>
    <w:p w14:paraId="3A1261BC" w14:textId="145D27AA" w:rsidR="00BE7FD0" w:rsidRPr="00A146BE" w:rsidRDefault="00BE7FD0" w:rsidP="00BE7FD0">
      <w:pPr>
        <w:pStyle w:val="NoSpacing"/>
      </w:pPr>
      <w:r w:rsidRPr="00A146BE">
        <w:t xml:space="preserve">En respuesta a la recusación presentada por el representante, el señor </w:t>
      </w:r>
      <w:proofErr w:type="spellStart"/>
      <w:r w:rsidRPr="00A146BE">
        <w:t>Garcete</w:t>
      </w:r>
      <w:proofErr w:type="spellEnd"/>
      <w:r w:rsidRPr="00A146BE">
        <w:t xml:space="preserve"> manifestó que </w:t>
      </w:r>
      <w:r w:rsidR="00A146BE" w:rsidRPr="00A146BE">
        <w:t>su “condición de funcionario no es limitativa de [su] criterio científico que es específico y no depende de instrucciones de ninguna autoridad superior”. Además indicó que la recusación “no [l]e atribuye ninguna conducta específica que pudiera razonablemente influir de alguna manera sobre [su] opinión”. Resaltó que ha trabajado en un “sinnúmero de causas penales de todo tipo, lo que [le] proporciona una visión general del delito, de la víctima y del victimario”.</w:t>
      </w:r>
    </w:p>
    <w:p w14:paraId="0952D48B" w14:textId="77777777" w:rsidR="00BE7FD0" w:rsidRPr="00E949E1" w:rsidRDefault="00BE7FD0" w:rsidP="00BE7FD0">
      <w:pPr>
        <w:pStyle w:val="NoSpacing"/>
        <w:numPr>
          <w:ilvl w:val="0"/>
          <w:numId w:val="0"/>
        </w:numPr>
      </w:pPr>
    </w:p>
    <w:p w14:paraId="51EA2975" w14:textId="77777777" w:rsidR="00F124D0" w:rsidRPr="00F124D0" w:rsidRDefault="00BE7FD0" w:rsidP="00F124D0">
      <w:pPr>
        <w:pStyle w:val="NoSpacing"/>
        <w:rPr>
          <w:lang w:val="es-ES"/>
        </w:rPr>
      </w:pPr>
      <w:r w:rsidRPr="00E949E1">
        <w:rPr>
          <w:lang w:eastAsia="es-ES"/>
        </w:rPr>
        <w:t>La Presidencia reitera</w:t>
      </w:r>
      <w:r w:rsidRPr="00E949E1">
        <w:t xml:space="preserve"> que </w:t>
      </w:r>
      <w:r w:rsidRPr="00E949E1">
        <w:rPr>
          <w:rFonts w:cstheme="minorHAnsi"/>
          <w:lang w:val="es-ES_tradnl" w:eastAsia="es-ES"/>
        </w:rPr>
        <w:t>e</w:t>
      </w:r>
      <w:r w:rsidRPr="00E949E1">
        <w:rPr>
          <w:rFonts w:cstheme="minorHAnsi"/>
          <w:lang w:eastAsia="es-ES"/>
        </w:rPr>
        <w:t>l</w:t>
      </w:r>
      <w:r w:rsidRPr="00E949E1">
        <w:rPr>
          <w:lang w:eastAsia="es-ES"/>
        </w:rPr>
        <w:t xml:space="preserve"> desempeño de una actividad relacionada con una dependencia que ejerce una función pública no constituye automáticamente una causal de impedimento para ser propuesto como experto pericial</w:t>
      </w:r>
      <w:r w:rsidR="007E04D4">
        <w:rPr>
          <w:lang w:eastAsia="es-ES"/>
        </w:rPr>
        <w:t>, sino que debe haber una afectación a su imparcialidad</w:t>
      </w:r>
      <w:r w:rsidRPr="00E949E1">
        <w:rPr>
          <w:lang w:eastAsia="es-ES"/>
        </w:rPr>
        <w:t xml:space="preserve"> (</w:t>
      </w:r>
      <w:r w:rsidRPr="00E949E1">
        <w:rPr>
          <w:i/>
          <w:lang w:eastAsia="es-ES"/>
        </w:rPr>
        <w:t>supra</w:t>
      </w:r>
      <w:r w:rsidR="007E04D4">
        <w:rPr>
          <w:lang w:eastAsia="es-ES"/>
        </w:rPr>
        <w:t xml:space="preserve"> </w:t>
      </w:r>
      <w:proofErr w:type="spellStart"/>
      <w:r w:rsidR="007E04D4">
        <w:rPr>
          <w:lang w:eastAsia="es-ES"/>
        </w:rPr>
        <w:t>párr</w:t>
      </w:r>
      <w:r w:rsidR="00F124D0">
        <w:rPr>
          <w:lang w:eastAsia="es-ES"/>
        </w:rPr>
        <w:t>s</w:t>
      </w:r>
      <w:proofErr w:type="spellEnd"/>
      <w:r w:rsidR="007E04D4">
        <w:rPr>
          <w:lang w:eastAsia="es-ES"/>
        </w:rPr>
        <w:t>.</w:t>
      </w:r>
      <w:r w:rsidR="00F124D0">
        <w:rPr>
          <w:lang w:eastAsia="es-ES"/>
        </w:rPr>
        <w:t xml:space="preserve"> </w:t>
      </w:r>
      <w:r w:rsidR="00F124D0">
        <w:rPr>
          <w:lang w:eastAsia="es-ES"/>
        </w:rPr>
        <w:fldChar w:fldCharType="begin"/>
      </w:r>
      <w:r w:rsidR="00F124D0">
        <w:rPr>
          <w:lang w:eastAsia="es-ES"/>
        </w:rPr>
        <w:instrText xml:space="preserve"> REF _Ref532806969 \r \h </w:instrText>
      </w:r>
      <w:r w:rsidR="00F124D0">
        <w:rPr>
          <w:lang w:eastAsia="es-ES"/>
        </w:rPr>
      </w:r>
      <w:r w:rsidR="00F124D0">
        <w:rPr>
          <w:lang w:eastAsia="es-ES"/>
        </w:rPr>
        <w:fldChar w:fldCharType="separate"/>
      </w:r>
      <w:r w:rsidR="00D5400D">
        <w:rPr>
          <w:lang w:eastAsia="es-ES"/>
        </w:rPr>
        <w:t>16</w:t>
      </w:r>
      <w:r w:rsidR="00F124D0">
        <w:rPr>
          <w:lang w:eastAsia="es-ES"/>
        </w:rPr>
        <w:fldChar w:fldCharType="end"/>
      </w:r>
      <w:r w:rsidR="00F124D0">
        <w:rPr>
          <w:lang w:eastAsia="es-ES"/>
        </w:rPr>
        <w:t xml:space="preserve"> y </w:t>
      </w:r>
      <w:r w:rsidR="00F124D0">
        <w:rPr>
          <w:lang w:eastAsia="es-ES"/>
        </w:rPr>
        <w:fldChar w:fldCharType="begin"/>
      </w:r>
      <w:r w:rsidR="00F124D0">
        <w:rPr>
          <w:lang w:eastAsia="es-ES"/>
        </w:rPr>
        <w:instrText xml:space="preserve"> REF _Ref532806970 \r \h </w:instrText>
      </w:r>
      <w:r w:rsidR="00F124D0">
        <w:rPr>
          <w:lang w:eastAsia="es-ES"/>
        </w:rPr>
      </w:r>
      <w:r w:rsidR="00F124D0">
        <w:rPr>
          <w:lang w:eastAsia="es-ES"/>
        </w:rPr>
        <w:fldChar w:fldCharType="separate"/>
      </w:r>
      <w:r w:rsidR="00D5400D">
        <w:rPr>
          <w:lang w:eastAsia="es-ES"/>
        </w:rPr>
        <w:t>17</w:t>
      </w:r>
      <w:r w:rsidR="00F124D0">
        <w:rPr>
          <w:lang w:eastAsia="es-ES"/>
        </w:rPr>
        <w:fldChar w:fldCharType="end"/>
      </w:r>
      <w:r w:rsidRPr="00E949E1">
        <w:rPr>
          <w:lang w:eastAsia="es-ES"/>
        </w:rPr>
        <w:t xml:space="preserve">). En tal sentido, no se desprende que </w:t>
      </w:r>
      <w:r w:rsidR="007E04D4">
        <w:rPr>
          <w:lang w:eastAsia="es-ES"/>
        </w:rPr>
        <w:t>e</w:t>
      </w:r>
      <w:r w:rsidRPr="00E949E1">
        <w:rPr>
          <w:lang w:eastAsia="es-ES"/>
        </w:rPr>
        <w:t xml:space="preserve">l perito </w:t>
      </w:r>
      <w:r w:rsidRPr="00E949E1">
        <w:rPr>
          <w:lang w:eastAsia="es-ES"/>
        </w:rPr>
        <w:lastRenderedPageBreak/>
        <w:t xml:space="preserve">recusado </w:t>
      </w:r>
      <w:r w:rsidR="007E04D4">
        <w:rPr>
          <w:lang w:eastAsia="es-ES"/>
        </w:rPr>
        <w:t xml:space="preserve">haya tenido algún tipo de relación o participación </w:t>
      </w:r>
      <w:r w:rsidR="007E04D4">
        <w:t>en los hechos objeto del presente caso</w:t>
      </w:r>
      <w:r w:rsidR="007E04D4">
        <w:rPr>
          <w:lang w:eastAsia="es-ES"/>
        </w:rPr>
        <w:t xml:space="preserve">. Además tampoco se ha demostrado la existencia de otros elementos adicionales que muestren que el cargo que ejerce actualmente el perito implique </w:t>
      </w:r>
      <w:r w:rsidR="007E04D4">
        <w:t xml:space="preserve">una relación estrecha o de subordinación entre éste y el Estado. Por tanto, el Presidente desestima la recusación presentada por el representante. Adicionalmente, esta Presidencia observa que del </w:t>
      </w:r>
      <w:proofErr w:type="spellStart"/>
      <w:r w:rsidR="007E04D4" w:rsidRPr="00576AEA">
        <w:rPr>
          <w:i/>
        </w:rPr>
        <w:t>curriculum</w:t>
      </w:r>
      <w:proofErr w:type="spellEnd"/>
      <w:r w:rsidR="007E04D4" w:rsidRPr="00576AEA">
        <w:rPr>
          <w:i/>
        </w:rPr>
        <w:t xml:space="preserve"> vitae </w:t>
      </w:r>
      <w:r w:rsidR="007E04D4">
        <w:t xml:space="preserve">se desprende que el señor </w:t>
      </w:r>
      <w:r w:rsidR="007E04D4" w:rsidRPr="00E949E1">
        <w:t xml:space="preserve">Nicolás </w:t>
      </w:r>
      <w:proofErr w:type="spellStart"/>
      <w:r w:rsidR="007E04D4" w:rsidRPr="00E949E1">
        <w:t>Garcete</w:t>
      </w:r>
      <w:proofErr w:type="spellEnd"/>
      <w:r w:rsidR="007E04D4">
        <w:t xml:space="preserve"> tiene suficiente experiencia en la materia objeto de su experticia.</w:t>
      </w:r>
      <w:r w:rsidR="00BC1DB2" w:rsidRPr="00BC1DB2">
        <w:t xml:space="preserve"> </w:t>
      </w:r>
    </w:p>
    <w:p w14:paraId="423BB0B5" w14:textId="77777777" w:rsidR="00F124D0" w:rsidRDefault="00F124D0" w:rsidP="00F124D0">
      <w:pPr>
        <w:pStyle w:val="ListParagraph"/>
        <w:spacing w:after="0" w:line="240" w:lineRule="auto"/>
      </w:pPr>
    </w:p>
    <w:p w14:paraId="313F513E" w14:textId="74DFDF53" w:rsidR="007E04D4" w:rsidRPr="007E04D4" w:rsidRDefault="00BC1DB2" w:rsidP="00F124D0">
      <w:pPr>
        <w:pStyle w:val="NoSpacing"/>
        <w:rPr>
          <w:lang w:val="es-ES"/>
        </w:rPr>
      </w:pPr>
      <w:r>
        <w:t xml:space="preserve">En consecuencia, el Presidente estima pertinente </w:t>
      </w:r>
      <w:r w:rsidR="00021B94">
        <w:t>admitir los</w:t>
      </w:r>
      <w:r>
        <w:t xml:space="preserve"> dictámenes periciales ofrecidos por el Estado, según el objeto y modalidad determinados en la parte resolutiva de la presente decisión</w:t>
      </w:r>
      <w:r w:rsidR="00021B94">
        <w:t>.</w:t>
      </w:r>
    </w:p>
    <w:p w14:paraId="17CCBFB1" w14:textId="77777777" w:rsidR="00BE7FD0" w:rsidRPr="00C7574F" w:rsidRDefault="00BE7FD0" w:rsidP="00C7574F">
      <w:pPr>
        <w:pStyle w:val="Header"/>
        <w:tabs>
          <w:tab w:val="clear" w:pos="4680"/>
          <w:tab w:val="clear" w:pos="9360"/>
        </w:tabs>
        <w:rPr>
          <w:lang w:val="es-ES_tradnl"/>
        </w:rPr>
      </w:pPr>
    </w:p>
    <w:p w14:paraId="26E23FFC" w14:textId="5B343E0E" w:rsidR="006954FE" w:rsidRPr="00983032" w:rsidRDefault="00983032" w:rsidP="00C7574F">
      <w:pPr>
        <w:pStyle w:val="Heading1"/>
        <w:tabs>
          <w:tab w:val="left" w:pos="993"/>
        </w:tabs>
        <w:ind w:left="993" w:hanging="426"/>
        <w:rPr>
          <w:lang w:val="es-ES_tradnl"/>
        </w:rPr>
      </w:pPr>
      <w:r>
        <w:t xml:space="preserve">Observaciones y objeciones del representante a testigos ofrecidos por </w:t>
      </w:r>
      <w:r w:rsidR="00557B43" w:rsidRPr="00983032">
        <w:rPr>
          <w:lang w:val="es-ES_tradnl"/>
        </w:rPr>
        <w:t>el Estado</w:t>
      </w:r>
    </w:p>
    <w:p w14:paraId="7A091E46" w14:textId="77777777" w:rsidR="0041579F" w:rsidRPr="00E949E1" w:rsidRDefault="0041579F" w:rsidP="00C7574F">
      <w:pPr>
        <w:pStyle w:val="NoSpacing"/>
        <w:numPr>
          <w:ilvl w:val="0"/>
          <w:numId w:val="0"/>
        </w:numPr>
      </w:pPr>
    </w:p>
    <w:p w14:paraId="2992E3D3" w14:textId="40E319B0" w:rsidR="00EE52D3" w:rsidRPr="00C8018A" w:rsidRDefault="008606A8" w:rsidP="00C8018A">
      <w:pPr>
        <w:pStyle w:val="NoSpacing"/>
        <w:rPr>
          <w:strike/>
        </w:rPr>
      </w:pPr>
      <w:r w:rsidRPr="00E949E1">
        <w:t xml:space="preserve">El </w:t>
      </w:r>
      <w:r w:rsidRPr="00E949E1">
        <w:rPr>
          <w:b/>
          <w:i/>
        </w:rPr>
        <w:t>representante</w:t>
      </w:r>
      <w:r w:rsidRPr="00E949E1">
        <w:t xml:space="preserve"> objetó </w:t>
      </w:r>
      <w:r w:rsidR="00983032">
        <w:t>las</w:t>
      </w:r>
      <w:r w:rsidRPr="00E949E1">
        <w:t xml:space="preserve"> declaraci</w:t>
      </w:r>
      <w:r w:rsidR="00983032">
        <w:t>ones</w:t>
      </w:r>
      <w:r w:rsidRPr="00E949E1">
        <w:t xml:space="preserve"> testimonial</w:t>
      </w:r>
      <w:r w:rsidR="00983032">
        <w:t>es</w:t>
      </w:r>
      <w:r w:rsidRPr="00E949E1">
        <w:t xml:space="preserve"> </w:t>
      </w:r>
      <w:r w:rsidR="00983032">
        <w:t xml:space="preserve">ofrecidas por el Estado. En primer lugar, respecto a </w:t>
      </w:r>
      <w:r w:rsidR="00C8018A">
        <w:t>Ó</w:t>
      </w:r>
      <w:r w:rsidR="00983032">
        <w:t>scar Germ</w:t>
      </w:r>
      <w:r w:rsidR="00C8018A">
        <w:t>á</w:t>
      </w:r>
      <w:r w:rsidR="00983032">
        <w:t xml:space="preserve">n </w:t>
      </w:r>
      <w:r w:rsidR="003B657E" w:rsidRPr="00E949E1">
        <w:t xml:space="preserve">Latorre </w:t>
      </w:r>
      <w:r w:rsidR="00C8018A">
        <w:t>C</w:t>
      </w:r>
      <w:r w:rsidR="003B657E" w:rsidRPr="00E949E1">
        <w:t>añete</w:t>
      </w:r>
      <w:r w:rsidRPr="00E949E1">
        <w:t xml:space="preserve">, </w:t>
      </w:r>
      <w:r w:rsidR="00983032">
        <w:t>alegó que</w:t>
      </w:r>
      <w:r w:rsidRPr="00E949E1">
        <w:t xml:space="preserve"> “es uno de los principales ideólogos y responsable directo de los hechos ocurridos a </w:t>
      </w:r>
      <w:r w:rsidR="00983032">
        <w:t>[las presuntas víctimas</w:t>
      </w:r>
      <w:r w:rsidR="00EC57BF">
        <w:t>]</w:t>
      </w:r>
      <w:r w:rsidRPr="00E949E1">
        <w:t xml:space="preserve">, a pesar que el mismo no fue procesado porque siguió siendo Fiscal General del Estado hasta el 31 de agosto de 2005”. De acuerdo con el representante, lo anterior confirma “el total interés del testigo propuesto en las resultas del presente caso”. </w:t>
      </w:r>
      <w:r w:rsidR="00976EF7" w:rsidRPr="00E949E1">
        <w:t>Asimismo, el representante solicitó rechazar las declaraciones de</w:t>
      </w:r>
      <w:r w:rsidR="003B657E" w:rsidRPr="00E949E1">
        <w:t xml:space="preserve"> Adolfo René Marín Ferreira, Juan Carlos Duarte Martínez, y Edgar Gustavo Sánchez Caballero</w:t>
      </w:r>
      <w:r w:rsidR="00976EF7" w:rsidRPr="00E949E1">
        <w:t xml:space="preserve"> </w:t>
      </w:r>
      <w:r w:rsidR="00EE52D3" w:rsidRPr="00E949E1">
        <w:t>“</w:t>
      </w:r>
      <w:r w:rsidR="00936935" w:rsidRPr="00E949E1">
        <w:t xml:space="preserve">en </w:t>
      </w:r>
      <w:r w:rsidR="00EE52D3" w:rsidRPr="00E949E1">
        <w:t>razó</w:t>
      </w:r>
      <w:r w:rsidR="00936935" w:rsidRPr="00E949E1">
        <w:t>n de ser todos funci</w:t>
      </w:r>
      <w:r w:rsidR="00EE52D3" w:rsidRPr="00E949E1">
        <w:t xml:space="preserve">onarios dependientes del Estado </w:t>
      </w:r>
      <w:r w:rsidR="00936935" w:rsidRPr="00E949E1">
        <w:t xml:space="preserve">Paraguayo, quienes estaban a las </w:t>
      </w:r>
      <w:r w:rsidR="00EE52D3" w:rsidRPr="00E949E1">
        <w:t>ó</w:t>
      </w:r>
      <w:r w:rsidR="00936935" w:rsidRPr="00E949E1">
        <w:t xml:space="preserve">rdenes del ex </w:t>
      </w:r>
      <w:r w:rsidR="00EE52D3" w:rsidRPr="00E949E1">
        <w:t xml:space="preserve">Fiscal General del Estado Oscar </w:t>
      </w:r>
      <w:r w:rsidR="00936935" w:rsidRPr="00E949E1">
        <w:t>German Latorre Ca</w:t>
      </w:r>
      <w:r w:rsidR="00EE52D3" w:rsidRPr="00E949E1">
        <w:t>ñete”</w:t>
      </w:r>
      <w:r w:rsidR="00936935" w:rsidRPr="00E949E1">
        <w:t xml:space="preserve">. </w:t>
      </w:r>
      <w:r w:rsidR="00EE52D3" w:rsidRPr="00E949E1">
        <w:t>El representante alegó que “[e]</w:t>
      </w:r>
      <w:proofErr w:type="spellStart"/>
      <w:r w:rsidR="00936935" w:rsidRPr="00E949E1">
        <w:t>stos</w:t>
      </w:r>
      <w:proofErr w:type="spellEnd"/>
      <w:r w:rsidR="00936935" w:rsidRPr="00E949E1">
        <w:t xml:space="preserve"> funcionarios fueron </w:t>
      </w:r>
      <w:r w:rsidR="00EE52D3" w:rsidRPr="00E949E1">
        <w:t xml:space="preserve">los responsables directos de la </w:t>
      </w:r>
      <w:r w:rsidR="00936935" w:rsidRPr="00E949E1">
        <w:t xml:space="preserve">impunidad de los autores morales y materiales de los delitos de terrorismo de </w:t>
      </w:r>
      <w:r w:rsidR="00C8018A">
        <w:t>E</w:t>
      </w:r>
      <w:r w:rsidR="00936935" w:rsidRPr="00E949E1">
        <w:t>stado</w:t>
      </w:r>
      <w:r w:rsidR="00EE52D3" w:rsidRPr="00E949E1">
        <w:t xml:space="preserve"> </w:t>
      </w:r>
      <w:r w:rsidR="00936935" w:rsidRPr="00E949E1">
        <w:t>cometidos en el presente cas</w:t>
      </w:r>
      <w:r w:rsidR="00EE52D3" w:rsidRPr="00E949E1">
        <w:t>o</w:t>
      </w:r>
      <w:r w:rsidR="00936935" w:rsidRPr="00E949E1">
        <w:t>, quienes buscar</w:t>
      </w:r>
      <w:r w:rsidR="00EE52D3" w:rsidRPr="00E949E1">
        <w:t>á</w:t>
      </w:r>
      <w:r w:rsidR="00936935" w:rsidRPr="00E949E1">
        <w:t>n justificar una supuesta</w:t>
      </w:r>
      <w:r w:rsidR="00EE52D3" w:rsidRPr="00E949E1">
        <w:t xml:space="preserve"> </w:t>
      </w:r>
      <w:r w:rsidR="00936935" w:rsidRPr="00E949E1">
        <w:t>legalidad en las investigaciones realizadas</w:t>
      </w:r>
      <w:r w:rsidR="00EE52D3" w:rsidRPr="00E949E1">
        <w:t>”</w:t>
      </w:r>
      <w:r w:rsidR="00936935" w:rsidRPr="00E949E1">
        <w:t>.</w:t>
      </w:r>
      <w:r w:rsidR="00EE52D3" w:rsidRPr="00E949E1">
        <w:t xml:space="preserve"> El representante inform</w:t>
      </w:r>
      <w:r w:rsidR="003B657E" w:rsidRPr="00E949E1">
        <w:t xml:space="preserve">ó que </w:t>
      </w:r>
      <w:r w:rsidR="00EE52D3" w:rsidRPr="00E949E1">
        <w:t>“</w:t>
      </w:r>
      <w:r w:rsidR="00936935" w:rsidRPr="00E949E1">
        <w:t xml:space="preserve">trabajaron como </w:t>
      </w:r>
      <w:r w:rsidR="00EE52D3" w:rsidRPr="00E949E1">
        <w:t>defensores técnicos</w:t>
      </w:r>
      <w:r w:rsidR="00484610">
        <w:t>” de las personas imputadas en el expediente dónde se investigan los hechos alegados en el presente caso</w:t>
      </w:r>
      <w:r w:rsidR="00EE52D3" w:rsidRPr="00E949E1">
        <w:t xml:space="preserve">. </w:t>
      </w:r>
    </w:p>
    <w:p w14:paraId="317BC51C" w14:textId="77777777" w:rsidR="00EE52D3" w:rsidRPr="00E949E1" w:rsidRDefault="00EE52D3" w:rsidP="00EE52D3">
      <w:pPr>
        <w:pStyle w:val="NoSpacing"/>
        <w:numPr>
          <w:ilvl w:val="0"/>
          <w:numId w:val="0"/>
        </w:numPr>
      </w:pPr>
    </w:p>
    <w:p w14:paraId="55860EED" w14:textId="6FFBE5F7" w:rsidR="00EE52D3" w:rsidRPr="00E949E1" w:rsidRDefault="00EE52D3" w:rsidP="00EE52D3">
      <w:pPr>
        <w:pStyle w:val="NoSpacing"/>
        <w:rPr>
          <w:u w:val="single"/>
        </w:rPr>
      </w:pPr>
      <w:bookmarkStart w:id="4" w:name="_Ref532808047"/>
      <w:r w:rsidRPr="00E949E1">
        <w:rPr>
          <w:lang w:val="es-ES"/>
        </w:rPr>
        <w:t>La Presidencia</w:t>
      </w:r>
      <w:r w:rsidRPr="00E949E1">
        <w:t xml:space="preserve"> recuerda que </w:t>
      </w:r>
      <w:r w:rsidR="00063C33" w:rsidRPr="00E949E1">
        <w:t>los señores</w:t>
      </w:r>
      <w:r w:rsidRPr="00E949E1">
        <w:t xml:space="preserve"> </w:t>
      </w:r>
      <w:r w:rsidR="00063C33" w:rsidRPr="00E949E1">
        <w:t xml:space="preserve">Latorre </w:t>
      </w:r>
      <w:r w:rsidR="00C8018A">
        <w:t>C</w:t>
      </w:r>
      <w:r w:rsidR="00063C33" w:rsidRPr="00E949E1">
        <w:t>añete, M</w:t>
      </w:r>
      <w:r w:rsidR="00C8018A">
        <w:t>arín Ferreira, Duarte Martínez</w:t>
      </w:r>
      <w:r w:rsidR="00063C33" w:rsidRPr="00E949E1">
        <w:t xml:space="preserve"> y Sánchez Caballero</w:t>
      </w:r>
      <w:r w:rsidRPr="00E949E1">
        <w:t xml:space="preserve"> fueron ofrecidos como testigos y no como peritos, por lo que el deber de imparcialidad no les es exigible, como sí lo es respecto a los peritos</w:t>
      </w:r>
      <w:r w:rsidRPr="00E949E1">
        <w:rPr>
          <w:rStyle w:val="FootnoteReference"/>
        </w:rPr>
        <w:footnoteReference w:id="9"/>
      </w:r>
      <w:r w:rsidRPr="00E949E1">
        <w:t xml:space="preserve">. </w:t>
      </w:r>
      <w:r w:rsidR="00063C33" w:rsidRPr="00E949E1">
        <w:t>Por lo tanto</w:t>
      </w:r>
      <w:r w:rsidRPr="00E949E1">
        <w:t xml:space="preserve">, el Presidente estima que lo planteado por </w:t>
      </w:r>
      <w:r w:rsidR="00063C33" w:rsidRPr="00E949E1">
        <w:t>el representante</w:t>
      </w:r>
      <w:r w:rsidRPr="00E949E1">
        <w:t xml:space="preserve"> se relaciona con el valor o peso probatorio de los testimonios propuestos en relación con los hechos establecidos en el marco fáctico del presente caso, pero no afecta su admisibilidad y eventual valoración por parte de la Corte. En efecto, la situación particular de los testigos será tomada en cuenta por el Tribunal a la hora de evaluar el peso probatorio de sus declaraciones. </w:t>
      </w:r>
      <w:r w:rsidR="002B13C6">
        <w:t xml:space="preserve">Los </w:t>
      </w:r>
      <w:r w:rsidRPr="00E949E1">
        <w:t>objeto</w:t>
      </w:r>
      <w:r w:rsidR="002B13C6">
        <w:t>s</w:t>
      </w:r>
      <w:r w:rsidRPr="00E949E1">
        <w:t xml:space="preserve"> y modalidad</w:t>
      </w:r>
      <w:r w:rsidR="002B13C6">
        <w:t>es de estas declaraciones</w:t>
      </w:r>
      <w:r w:rsidRPr="00E949E1">
        <w:t xml:space="preserve"> serán determinados en la parte resolu</w:t>
      </w:r>
      <w:r w:rsidR="002B13C6">
        <w:t>tiva de la presente Resolución</w:t>
      </w:r>
      <w:r w:rsidRPr="00E949E1">
        <w:t>.</w:t>
      </w:r>
      <w:bookmarkEnd w:id="4"/>
    </w:p>
    <w:p w14:paraId="627F86A9" w14:textId="77777777" w:rsidR="00F81ADC" w:rsidRPr="00E949E1" w:rsidRDefault="00F81ADC" w:rsidP="00D83CB9">
      <w:pPr>
        <w:pStyle w:val="NoSpacing"/>
        <w:numPr>
          <w:ilvl w:val="0"/>
          <w:numId w:val="0"/>
        </w:numPr>
      </w:pPr>
    </w:p>
    <w:p w14:paraId="1AF8BC27" w14:textId="1768BB25" w:rsidR="002929AD" w:rsidRPr="002929AD" w:rsidRDefault="002929AD" w:rsidP="002929AD">
      <w:pPr>
        <w:pStyle w:val="Heading1"/>
        <w:ind w:left="993" w:hanging="426"/>
        <w:rPr>
          <w:lang w:val="es-ES_tradnl"/>
        </w:rPr>
      </w:pPr>
      <w:r>
        <w:t xml:space="preserve">Observaciones y objeciones del Estado a </w:t>
      </w:r>
      <w:r w:rsidR="00D24CBB">
        <w:t>la declaración</w:t>
      </w:r>
      <w:r w:rsidR="00EF7992">
        <w:t xml:space="preserve"> de</w:t>
      </w:r>
      <w:r w:rsidR="00D24CBB">
        <w:t xml:space="preserve"> un testig</w:t>
      </w:r>
      <w:r w:rsidR="00822F50">
        <w:t>o ofrecido por el representante</w:t>
      </w:r>
    </w:p>
    <w:p w14:paraId="45185620" w14:textId="77777777" w:rsidR="002929AD" w:rsidRPr="00E949E1" w:rsidRDefault="002929AD" w:rsidP="00C44DAF">
      <w:pPr>
        <w:pStyle w:val="NoSpacing"/>
        <w:numPr>
          <w:ilvl w:val="0"/>
          <w:numId w:val="0"/>
        </w:numPr>
        <w:rPr>
          <w:lang w:val="es-ES_tradnl"/>
        </w:rPr>
      </w:pPr>
    </w:p>
    <w:p w14:paraId="28A92C23" w14:textId="77777777" w:rsidR="00822F50" w:rsidRPr="00822F50" w:rsidRDefault="00C44DAF" w:rsidP="00822F50">
      <w:pPr>
        <w:pStyle w:val="NoSpacing"/>
        <w:rPr>
          <w:b/>
          <w:lang w:val="es-ES_tradnl"/>
        </w:rPr>
      </w:pPr>
      <w:r w:rsidRPr="00E949E1">
        <w:rPr>
          <w:lang w:val="es-ES_tradnl"/>
        </w:rPr>
        <w:t xml:space="preserve">El </w:t>
      </w:r>
      <w:r w:rsidRPr="00D24CBB">
        <w:rPr>
          <w:b/>
          <w:i/>
          <w:lang w:val="es-ES_tradnl"/>
        </w:rPr>
        <w:t>representante</w:t>
      </w:r>
      <w:r w:rsidRPr="00E949E1">
        <w:rPr>
          <w:lang w:val="es-ES_tradnl"/>
        </w:rPr>
        <w:t xml:space="preserve"> ofreció la declaración </w:t>
      </w:r>
      <w:r w:rsidR="0019023E">
        <w:rPr>
          <w:lang w:val="es-ES_tradnl"/>
        </w:rPr>
        <w:t xml:space="preserve">de </w:t>
      </w:r>
      <w:r w:rsidRPr="00E949E1">
        <w:rPr>
          <w:lang w:val="es-ES_tradnl"/>
        </w:rPr>
        <w:t xml:space="preserve">Víctor Antonio Colman Ortega, para que de su testimonio sobre “su detención en fecha 19 </w:t>
      </w:r>
      <w:r w:rsidR="00822F50">
        <w:rPr>
          <w:lang w:val="es-ES_tradnl"/>
        </w:rPr>
        <w:t>[</w:t>
      </w:r>
      <w:r w:rsidRPr="00E949E1">
        <w:rPr>
          <w:lang w:val="es-ES_tradnl"/>
        </w:rPr>
        <w:t>de enero de 2002</w:t>
      </w:r>
      <w:r w:rsidR="00822F50">
        <w:rPr>
          <w:lang w:val="es-ES_tradnl"/>
        </w:rPr>
        <w:t>]</w:t>
      </w:r>
      <w:r w:rsidRPr="00E949E1">
        <w:rPr>
          <w:lang w:val="es-ES_tradnl"/>
        </w:rPr>
        <w:t xml:space="preserve"> y relate la feroz tortura que fue sometido, y para que refiera cuando los miembros de la Policía Nacional le </w:t>
      </w:r>
      <w:r w:rsidRPr="00E949E1">
        <w:rPr>
          <w:lang w:val="es-ES_tradnl"/>
        </w:rPr>
        <w:lastRenderedPageBreak/>
        <w:t xml:space="preserve">señalaron que </w:t>
      </w:r>
      <w:proofErr w:type="spellStart"/>
      <w:r w:rsidRPr="00E949E1">
        <w:rPr>
          <w:lang w:val="es-ES_tradnl"/>
        </w:rPr>
        <w:t>Arrom</w:t>
      </w:r>
      <w:proofErr w:type="spellEnd"/>
      <w:r w:rsidRPr="00E949E1">
        <w:rPr>
          <w:lang w:val="es-ES_tradnl"/>
        </w:rPr>
        <w:t xml:space="preserve"> y Martí estaban en poder de agentes policiales y en pésimas condiciones físicas”. </w:t>
      </w:r>
    </w:p>
    <w:p w14:paraId="4480AC30" w14:textId="77777777" w:rsidR="00822F50" w:rsidRDefault="00822F50" w:rsidP="00822F50">
      <w:pPr>
        <w:pStyle w:val="NoSpacing"/>
        <w:numPr>
          <w:ilvl w:val="0"/>
          <w:numId w:val="0"/>
        </w:numPr>
        <w:rPr>
          <w:b/>
          <w:lang w:val="es-ES_tradnl"/>
        </w:rPr>
      </w:pPr>
    </w:p>
    <w:p w14:paraId="447BF98D" w14:textId="7F0565D1" w:rsidR="0055209C" w:rsidRPr="00822F50" w:rsidRDefault="00C44DAF" w:rsidP="00822F50">
      <w:pPr>
        <w:pStyle w:val="NoSpacing"/>
        <w:rPr>
          <w:b/>
          <w:lang w:val="es-ES_tradnl"/>
        </w:rPr>
      </w:pPr>
      <w:r w:rsidRPr="00E949E1">
        <w:t xml:space="preserve">El </w:t>
      </w:r>
      <w:r w:rsidRPr="00822F50">
        <w:rPr>
          <w:b/>
          <w:i/>
        </w:rPr>
        <w:t>Estado</w:t>
      </w:r>
      <w:r w:rsidRPr="00E949E1">
        <w:t xml:space="preserve"> </w:t>
      </w:r>
      <w:r w:rsidR="00BB2A98">
        <w:t xml:space="preserve">solicitó la exclusión de </w:t>
      </w:r>
      <w:r w:rsidRPr="00E949E1">
        <w:t>la declaración del señor Colman Ortega por ser “</w:t>
      </w:r>
      <w:proofErr w:type="spellStart"/>
      <w:r w:rsidRPr="00E949E1">
        <w:t>inconducent</w:t>
      </w:r>
      <w:proofErr w:type="spellEnd"/>
      <w:r w:rsidR="00822F50">
        <w:t>[</w:t>
      </w:r>
      <w:r w:rsidRPr="00E949E1">
        <w:t>e</w:t>
      </w:r>
      <w:r w:rsidR="00822F50">
        <w:t>]</w:t>
      </w:r>
      <w:r w:rsidRPr="00E949E1">
        <w:t xml:space="preserve">, irrelevante e impertinente con respecto a los hechos y las presuntas violaciones de derechos humanos que son objeto del presente proceso”. De esta manera, el Estado alegó que: (i) el señor Víctor Colman ha sido amigo, compañero político y socio comercial de Juan </w:t>
      </w:r>
      <w:proofErr w:type="spellStart"/>
      <w:r w:rsidRPr="00E949E1">
        <w:t>Arrom</w:t>
      </w:r>
      <w:proofErr w:type="spellEnd"/>
      <w:r w:rsidRPr="00E949E1">
        <w:t xml:space="preserve">; (ii) el señor Víctor Colman no es presunta víctima en el presente caso, </w:t>
      </w:r>
      <w:r w:rsidR="0019023E">
        <w:t>“</w:t>
      </w:r>
      <w:r w:rsidRPr="00E949E1">
        <w:t>por lo que las declaraciones sobre supuestas torturas realizadas por parte del Estado en su persona son inconducentes e irrelevantes para el caso en cuestión</w:t>
      </w:r>
      <w:r w:rsidR="0019023E">
        <w:t>”</w:t>
      </w:r>
      <w:r w:rsidRPr="00E949E1">
        <w:t xml:space="preserve">, y (iii) la Comisión Interamericana ha declarado inadmisible las denuncias efectuadas por </w:t>
      </w:r>
      <w:r w:rsidR="0055209C" w:rsidRPr="00E949E1">
        <w:t>Víctor</w:t>
      </w:r>
      <w:r w:rsidRPr="00E949E1">
        <w:t xml:space="preserve"> Colman, Ana Rosa </w:t>
      </w:r>
      <w:proofErr w:type="spellStart"/>
      <w:r w:rsidRPr="00E949E1">
        <w:t>Samudio</w:t>
      </w:r>
      <w:proofErr w:type="spellEnd"/>
      <w:r w:rsidRPr="00E949E1">
        <w:t xml:space="preserve"> de Colman y Jorge </w:t>
      </w:r>
      <w:proofErr w:type="spellStart"/>
      <w:r w:rsidRPr="00E949E1">
        <w:t>Samudio</w:t>
      </w:r>
      <w:proofErr w:type="spellEnd"/>
      <w:r w:rsidRPr="00E949E1">
        <w:t xml:space="preserve">. </w:t>
      </w:r>
    </w:p>
    <w:p w14:paraId="175A78E5" w14:textId="77777777" w:rsidR="00822F50" w:rsidRPr="00822F50" w:rsidRDefault="00822F50" w:rsidP="00822F50">
      <w:pPr>
        <w:pStyle w:val="NoSpacing"/>
        <w:numPr>
          <w:ilvl w:val="0"/>
          <w:numId w:val="0"/>
        </w:numPr>
        <w:rPr>
          <w:b/>
          <w:lang w:val="es-ES_tradnl"/>
        </w:rPr>
      </w:pPr>
    </w:p>
    <w:p w14:paraId="4C38C126" w14:textId="70A9B665" w:rsidR="0019023E" w:rsidRDefault="00682412" w:rsidP="009551EF">
      <w:pPr>
        <w:pStyle w:val="NoSpacing"/>
      </w:pPr>
      <w:r>
        <w:t>E</w:t>
      </w:r>
      <w:r w:rsidR="0055209C" w:rsidRPr="00E949E1">
        <w:t>l Presidente reitera que el deber de imparcialidad no les es exigible a los testigos, y que las declaraciones de personas con un interés directo en el caso son útiles en la medida en que pueden proporcionar mayor información sobre las alegadas violaciones y sus consecuencias (</w:t>
      </w:r>
      <w:r w:rsidR="0055209C" w:rsidRPr="0019023E">
        <w:rPr>
          <w:i/>
        </w:rPr>
        <w:t>supra</w:t>
      </w:r>
      <w:r w:rsidR="0055209C" w:rsidRPr="00E949E1">
        <w:t xml:space="preserve"> p</w:t>
      </w:r>
      <w:r w:rsidR="00363877">
        <w:t>á</w:t>
      </w:r>
      <w:r w:rsidR="0055209C" w:rsidRPr="00E949E1">
        <w:t xml:space="preserve">rr. </w:t>
      </w:r>
      <w:r>
        <w:fldChar w:fldCharType="begin"/>
      </w:r>
      <w:r>
        <w:instrText xml:space="preserve"> REF _Ref532808047 \r \h </w:instrText>
      </w:r>
      <w:r>
        <w:fldChar w:fldCharType="separate"/>
      </w:r>
      <w:r w:rsidR="00D5400D">
        <w:t>25</w:t>
      </w:r>
      <w:r>
        <w:fldChar w:fldCharType="end"/>
      </w:r>
      <w:r w:rsidR="0055209C" w:rsidRPr="00E949E1">
        <w:t xml:space="preserve">). </w:t>
      </w:r>
      <w:r>
        <w:t>L</w:t>
      </w:r>
      <w:r w:rsidR="0019023E">
        <w:t xml:space="preserve">a Presidencia constata que la declaración </w:t>
      </w:r>
      <w:r w:rsidR="0019023E">
        <w:rPr>
          <w:lang w:val="es-ES_tradnl"/>
        </w:rPr>
        <w:t xml:space="preserve">de </w:t>
      </w:r>
      <w:r w:rsidR="0019023E" w:rsidRPr="00E949E1">
        <w:rPr>
          <w:lang w:val="es-ES_tradnl"/>
        </w:rPr>
        <w:t>Víctor Antonio Colman Ortega</w:t>
      </w:r>
      <w:r w:rsidR="0019023E">
        <w:rPr>
          <w:lang w:val="es-ES_tradnl"/>
        </w:rPr>
        <w:t xml:space="preserve"> </w:t>
      </w:r>
      <w:r w:rsidR="0019023E">
        <w:t>no fue ofrecida en calidad de presunta víctima, sino como testigo con lo cual sus declaraciones podrán referirse a aquellos</w:t>
      </w:r>
      <w:r w:rsidR="006525D2">
        <w:t xml:space="preserve"> hechos o circunstancias que le</w:t>
      </w:r>
      <w:r w:rsidR="0019023E">
        <w:t xml:space="preserve"> constan</w:t>
      </w:r>
      <w:r w:rsidR="0019023E">
        <w:rPr>
          <w:rStyle w:val="FootnoteReference"/>
        </w:rPr>
        <w:footnoteReference w:id="10"/>
      </w:r>
      <w:r w:rsidR="0019023E">
        <w:t>. Por tanto, el Presidente co</w:t>
      </w:r>
      <w:r>
        <w:t>nsidera que el hecho que no sea presunta víctima</w:t>
      </w:r>
      <w:r w:rsidR="0019023E">
        <w:t xml:space="preserve"> de </w:t>
      </w:r>
      <w:r>
        <w:t>este caso no impide que declare</w:t>
      </w:r>
      <w:r w:rsidR="0019023E">
        <w:t xml:space="preserve"> sobre los hechos que, en calidad de testig</w:t>
      </w:r>
      <w:r w:rsidR="002B13C6">
        <w:t>o</w:t>
      </w:r>
      <w:r>
        <w:t>, presuntamente le consta</w:t>
      </w:r>
      <w:r w:rsidR="0019023E">
        <w:t xml:space="preserve"> respecto del marco fáctico del presente caso</w:t>
      </w:r>
      <w:r w:rsidR="002B13C6">
        <w:t>.</w:t>
      </w:r>
      <w:r w:rsidR="002B13C6" w:rsidRPr="002B13C6">
        <w:t xml:space="preserve"> </w:t>
      </w:r>
      <w:r w:rsidR="002B13C6" w:rsidRPr="00E949E1">
        <w:t xml:space="preserve">El objeto y su modalidad </w:t>
      </w:r>
      <w:r w:rsidR="006525D2">
        <w:t xml:space="preserve">de la declaración </w:t>
      </w:r>
      <w:r w:rsidR="002B13C6" w:rsidRPr="00E949E1">
        <w:t>serán determinados en la parte resolutiva de la presente Resolución</w:t>
      </w:r>
      <w:r w:rsidR="002B13C6">
        <w:t xml:space="preserve">. </w:t>
      </w:r>
    </w:p>
    <w:p w14:paraId="3DA83828" w14:textId="77777777" w:rsidR="008B55C3" w:rsidRPr="00E949E1" w:rsidRDefault="008B55C3" w:rsidP="00D83CB9">
      <w:pPr>
        <w:pStyle w:val="NoSpacing"/>
        <w:numPr>
          <w:ilvl w:val="0"/>
          <w:numId w:val="0"/>
        </w:numPr>
      </w:pPr>
    </w:p>
    <w:p w14:paraId="423FE566" w14:textId="486F8DA0" w:rsidR="00160E30" w:rsidRPr="00E949E1" w:rsidRDefault="003729C8" w:rsidP="00363877">
      <w:pPr>
        <w:pStyle w:val="Heading1"/>
        <w:tabs>
          <w:tab w:val="left" w:pos="993"/>
        </w:tabs>
        <w:ind w:hanging="153"/>
      </w:pPr>
      <w:r w:rsidRPr="00E949E1">
        <w:t xml:space="preserve"> </w:t>
      </w:r>
      <w:r w:rsidR="00160E30" w:rsidRPr="00E949E1">
        <w:t>Aplicación del Fondo de Asistencia Legal de Víctimas ante la Corte</w:t>
      </w:r>
    </w:p>
    <w:p w14:paraId="28504822" w14:textId="77777777" w:rsidR="00160E30" w:rsidRPr="00E949E1" w:rsidRDefault="00160E30" w:rsidP="00D83CB9">
      <w:pPr>
        <w:pStyle w:val="ListParagraph"/>
        <w:widowControl w:val="0"/>
        <w:tabs>
          <w:tab w:val="left" w:pos="0"/>
          <w:tab w:val="left" w:pos="567"/>
        </w:tabs>
        <w:autoSpaceDE w:val="0"/>
        <w:autoSpaceDN w:val="0"/>
        <w:adjustRightInd w:val="0"/>
        <w:spacing w:after="0" w:line="240" w:lineRule="auto"/>
        <w:ind w:left="0" w:right="22"/>
        <w:jc w:val="both"/>
        <w:rPr>
          <w:rFonts w:ascii="Verdana" w:hAnsi="Verdana"/>
          <w:bCs/>
          <w:iCs/>
          <w:sz w:val="20"/>
          <w:szCs w:val="20"/>
        </w:rPr>
      </w:pPr>
    </w:p>
    <w:p w14:paraId="452B9F53" w14:textId="2F1878A9" w:rsidR="001A0EFB" w:rsidRPr="00363877" w:rsidRDefault="00C43841" w:rsidP="00363877">
      <w:pPr>
        <w:pStyle w:val="NoSpacing"/>
        <w:rPr>
          <w:rFonts w:cs="Arial"/>
          <w:color w:val="FF0000"/>
        </w:rPr>
      </w:pPr>
      <w:r w:rsidRPr="00E949E1">
        <w:t>Mediante nota de Secretaría de 24 de octubre de 2018, se resolvió declarar procedente la solicitud realizada para acogerse al Fondo de Asistencia Legal de Víctim</w:t>
      </w:r>
      <w:r w:rsidRPr="00363877">
        <w:t>as</w:t>
      </w:r>
      <w:r w:rsidR="00363877" w:rsidRPr="00363877">
        <w:t xml:space="preserve">, </w:t>
      </w:r>
      <w:r w:rsidR="001A0EFB" w:rsidRPr="00363877">
        <w:rPr>
          <w:rFonts w:cs="Arial"/>
        </w:rPr>
        <w:t>de modo que se otorgará el apoyo</w:t>
      </w:r>
      <w:r w:rsidR="001A0EFB" w:rsidRPr="00363877">
        <w:rPr>
          <w:rFonts w:eastAsia="Calibri" w:cs="Times"/>
          <w:lang w:eastAsia="es-ES"/>
        </w:rPr>
        <w:t xml:space="preserve"> </w:t>
      </w:r>
      <w:r w:rsidR="001A0EFB" w:rsidRPr="00363877">
        <w:rPr>
          <w:rFonts w:cs="Arial"/>
        </w:rPr>
        <w:t>económico necesario, con cargo al Fondo, para solventar los gastos que ocasionaría la</w:t>
      </w:r>
      <w:r w:rsidR="001A0EFB" w:rsidRPr="00363877">
        <w:rPr>
          <w:rFonts w:eastAsia="Calibri" w:cs="Times"/>
          <w:lang w:eastAsia="es-ES"/>
        </w:rPr>
        <w:t xml:space="preserve"> </w:t>
      </w:r>
      <w:r w:rsidR="001A0EFB" w:rsidRPr="00363877">
        <w:rPr>
          <w:rFonts w:cs="Arial"/>
        </w:rPr>
        <w:t xml:space="preserve">presentación de un máximo de tres declaraciones, ya sea en audiencia o por </w:t>
      </w:r>
      <w:r w:rsidR="006525D2" w:rsidRPr="006525D2">
        <w:rPr>
          <w:rFonts w:cs="Arial"/>
        </w:rPr>
        <w:t>af</w:t>
      </w:r>
      <w:r w:rsidR="001A0EFB" w:rsidRPr="006525D2">
        <w:rPr>
          <w:rFonts w:cs="Arial"/>
        </w:rPr>
        <w:t>idávit</w:t>
      </w:r>
      <w:r w:rsidR="001A0EFB" w:rsidRPr="00363877">
        <w:rPr>
          <w:rFonts w:cs="Arial"/>
        </w:rPr>
        <w:t xml:space="preserve">. </w:t>
      </w:r>
      <w:r w:rsidR="002B13C6">
        <w:t>Corresponde seguidamente precisar el destino y objeto específicos de dicha asistencia.</w:t>
      </w:r>
    </w:p>
    <w:p w14:paraId="6747D8A0" w14:textId="77777777" w:rsidR="001A0EFB" w:rsidRPr="00E949E1" w:rsidRDefault="001A0EFB" w:rsidP="00C43841">
      <w:pPr>
        <w:pStyle w:val="NoSpacing"/>
        <w:numPr>
          <w:ilvl w:val="0"/>
          <w:numId w:val="0"/>
        </w:numPr>
      </w:pPr>
    </w:p>
    <w:p w14:paraId="75FBF621" w14:textId="33B498E2" w:rsidR="002B13C6" w:rsidRDefault="00C43841" w:rsidP="002B13C6">
      <w:pPr>
        <w:pStyle w:val="NoSpacing"/>
      </w:pPr>
      <w:r w:rsidRPr="00E949E1">
        <w:t xml:space="preserve">El Presidente dispone que la asistencia económica estará asignada para cubrir </w:t>
      </w:r>
      <w:r w:rsidR="002B13C6">
        <w:t xml:space="preserve">los gastos de viaje y estadía necesarios para que la señora </w:t>
      </w:r>
      <w:r w:rsidR="00682412">
        <w:rPr>
          <w:bCs w:val="0"/>
          <w:iCs w:val="0"/>
        </w:rPr>
        <w:t xml:space="preserve">Cristina </w:t>
      </w:r>
      <w:proofErr w:type="spellStart"/>
      <w:r w:rsidR="00682412">
        <w:rPr>
          <w:bCs w:val="0"/>
          <w:iCs w:val="0"/>
        </w:rPr>
        <w:t>Hayd</w:t>
      </w:r>
      <w:r w:rsidR="002B13C6" w:rsidRPr="002B13C6">
        <w:rPr>
          <w:bCs w:val="0"/>
          <w:iCs w:val="0"/>
        </w:rPr>
        <w:t>é</w:t>
      </w:r>
      <w:r w:rsidR="00682412">
        <w:rPr>
          <w:bCs w:val="0"/>
          <w:iCs w:val="0"/>
        </w:rPr>
        <w:t>e</w:t>
      </w:r>
      <w:proofErr w:type="spellEnd"/>
      <w:r w:rsidR="002B13C6" w:rsidRPr="002B13C6">
        <w:rPr>
          <w:bCs w:val="0"/>
          <w:iCs w:val="0"/>
        </w:rPr>
        <w:t xml:space="preserve"> </w:t>
      </w:r>
      <w:proofErr w:type="spellStart"/>
      <w:r w:rsidR="002B13C6" w:rsidRPr="002B13C6">
        <w:rPr>
          <w:bCs w:val="0"/>
          <w:iCs w:val="0"/>
        </w:rPr>
        <w:t>Arrom</w:t>
      </w:r>
      <w:proofErr w:type="spellEnd"/>
      <w:r w:rsidR="002B13C6" w:rsidRPr="002B13C6">
        <w:rPr>
          <w:bCs w:val="0"/>
          <w:iCs w:val="0"/>
        </w:rPr>
        <w:t xml:space="preserve"> </w:t>
      </w:r>
      <w:proofErr w:type="spellStart"/>
      <w:r w:rsidR="002B13C6" w:rsidRPr="002B13C6">
        <w:rPr>
          <w:bCs w:val="0"/>
          <w:iCs w:val="0"/>
        </w:rPr>
        <w:t>Suhurt</w:t>
      </w:r>
      <w:proofErr w:type="spellEnd"/>
      <w:r w:rsidR="002B13C6">
        <w:t xml:space="preserve"> comparezca ante el Tribunal a rendir su declaración en la audiencia pública por celebrarse en el presente caso. Adicionalmente, esta Presidencia determina que los gastos razonables de formalización y envío de los affidávits de dos declaraciones ofrecidos por los representantes, según lo determinen éstos, podrán ser cubiertas con recursos del Fondo de Asistencia Legal de Víctimas. </w:t>
      </w:r>
      <w:r w:rsidR="000F1688">
        <w:t>El representante deberá</w:t>
      </w:r>
      <w:r w:rsidR="002B13C6">
        <w:t xml:space="preserve"> comunicar a la Corte los nombres de los declarantes cuyos </w:t>
      </w:r>
      <w:r w:rsidR="006525D2" w:rsidRPr="006525D2">
        <w:rPr>
          <w:rFonts w:cs="Arial"/>
        </w:rPr>
        <w:t>afidávit</w:t>
      </w:r>
      <w:r w:rsidR="002B13C6">
        <w:t>s serán cubiertos por el Fondo de Asistencia y remitir la cotización del costo de la formalización de las declaraciones juradas en el país de residencia del declarante y de su envío, en el plazo establecido en la parte resolutiva de la presente Resolución.</w:t>
      </w:r>
    </w:p>
    <w:p w14:paraId="44480F90" w14:textId="77777777" w:rsidR="002B13C6" w:rsidRDefault="002B13C6" w:rsidP="002B13C6">
      <w:pPr>
        <w:pStyle w:val="NoSpacing"/>
        <w:numPr>
          <w:ilvl w:val="0"/>
          <w:numId w:val="0"/>
        </w:numPr>
      </w:pPr>
    </w:p>
    <w:p w14:paraId="1C57008C" w14:textId="31B32B89" w:rsidR="00C43841" w:rsidRDefault="002B13C6" w:rsidP="002B13C6">
      <w:pPr>
        <w:pStyle w:val="NoSpacing"/>
      </w:pPr>
      <w:r>
        <w:t>La Corte realizará las gestiones pertinentes y necesarias para cubrir los costos de traslado, alojamie</w:t>
      </w:r>
      <w:r w:rsidR="006525D2">
        <w:t>nto y manutención de la persona</w:t>
      </w:r>
      <w:r>
        <w:t xml:space="preserve"> compareciente con recursos provenientes del Fondo de Asistencia.</w:t>
      </w:r>
    </w:p>
    <w:p w14:paraId="6BDE913A" w14:textId="77777777" w:rsidR="002B13C6" w:rsidRPr="00E949E1" w:rsidRDefault="002B13C6" w:rsidP="002B13C6">
      <w:pPr>
        <w:pStyle w:val="NoSpacing"/>
        <w:numPr>
          <w:ilvl w:val="0"/>
          <w:numId w:val="0"/>
        </w:numPr>
      </w:pPr>
    </w:p>
    <w:p w14:paraId="61528778" w14:textId="0B3A72B7" w:rsidR="00E949E1" w:rsidRDefault="00C43841" w:rsidP="00E949E1">
      <w:pPr>
        <w:pStyle w:val="NoSpacing"/>
      </w:pPr>
      <w:r w:rsidRPr="00E949E1">
        <w:lastRenderedPageBreak/>
        <w:t>Según lo requerido por el artículo 4 del Reglamento de la Corte sobre el Funcionamiento del Fondo de Asistencia, se dispone que la Secretaría abra un expediente de gastos con el fin de llevar la contabilidad y en el cual se documentará cada una de las erogaciones que se realicen en r</w:t>
      </w:r>
      <w:r w:rsidR="00E949E1">
        <w:t xml:space="preserve">elación con el referido Fondo. </w:t>
      </w:r>
    </w:p>
    <w:p w14:paraId="55A6AF34" w14:textId="77777777" w:rsidR="00E949E1" w:rsidRDefault="00E949E1" w:rsidP="00E949E1">
      <w:pPr>
        <w:pStyle w:val="NoSpacing"/>
        <w:numPr>
          <w:ilvl w:val="0"/>
          <w:numId w:val="0"/>
        </w:numPr>
      </w:pPr>
    </w:p>
    <w:p w14:paraId="74D8BB2F" w14:textId="4F66EFB8" w:rsidR="00C43841" w:rsidRPr="00E949E1" w:rsidRDefault="00C43841" w:rsidP="00C43841">
      <w:pPr>
        <w:pStyle w:val="NoSpacing"/>
      </w:pPr>
      <w:r w:rsidRPr="00E949E1">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6B61E304" w14:textId="77777777" w:rsidR="00721EA7" w:rsidRPr="00E949E1" w:rsidRDefault="00721EA7" w:rsidP="00D83CB9">
      <w:pPr>
        <w:tabs>
          <w:tab w:val="left" w:pos="567"/>
        </w:tabs>
        <w:spacing w:after="0" w:line="240" w:lineRule="auto"/>
        <w:jc w:val="both"/>
        <w:rPr>
          <w:rFonts w:ascii="Verdana" w:eastAsia="Calibri" w:hAnsi="Verdana" w:cs="Verdana"/>
          <w:b/>
          <w:bCs/>
          <w:sz w:val="20"/>
          <w:szCs w:val="20"/>
        </w:rPr>
      </w:pPr>
    </w:p>
    <w:p w14:paraId="4E66767B" w14:textId="77777777" w:rsidR="003729C8" w:rsidRPr="00E949E1" w:rsidRDefault="003729C8" w:rsidP="00D83CB9">
      <w:pPr>
        <w:tabs>
          <w:tab w:val="left" w:pos="567"/>
        </w:tabs>
        <w:spacing w:after="0" w:line="240" w:lineRule="auto"/>
        <w:jc w:val="both"/>
        <w:rPr>
          <w:rFonts w:ascii="Verdana" w:eastAsia="Calibri" w:hAnsi="Verdana" w:cs="Verdana"/>
          <w:b/>
          <w:bCs/>
          <w:sz w:val="20"/>
          <w:szCs w:val="20"/>
        </w:rPr>
      </w:pPr>
    </w:p>
    <w:p w14:paraId="2F9F69C2" w14:textId="5BF56DC0" w:rsidR="00ED2EB4" w:rsidRPr="00E949E1" w:rsidRDefault="00802BD5" w:rsidP="00D83CB9">
      <w:pPr>
        <w:tabs>
          <w:tab w:val="left" w:pos="567"/>
        </w:tabs>
        <w:spacing w:after="0" w:line="240" w:lineRule="auto"/>
        <w:jc w:val="both"/>
        <w:rPr>
          <w:rFonts w:ascii="Verdana" w:eastAsia="Calibri" w:hAnsi="Verdana" w:cs="Verdana"/>
          <w:b/>
          <w:bCs/>
          <w:sz w:val="20"/>
          <w:szCs w:val="20"/>
        </w:rPr>
      </w:pPr>
      <w:r w:rsidRPr="00E949E1">
        <w:rPr>
          <w:rFonts w:ascii="Verdana" w:eastAsia="Calibri" w:hAnsi="Verdana" w:cs="Verdana"/>
          <w:b/>
          <w:bCs/>
          <w:sz w:val="20"/>
          <w:szCs w:val="20"/>
        </w:rPr>
        <w:t>POR TANTO:</w:t>
      </w:r>
    </w:p>
    <w:p w14:paraId="254F06D7" w14:textId="77777777" w:rsidR="00721EA7" w:rsidRPr="00E949E1" w:rsidRDefault="00721EA7" w:rsidP="00D83CB9">
      <w:pPr>
        <w:tabs>
          <w:tab w:val="left" w:pos="567"/>
        </w:tabs>
        <w:spacing w:after="0" w:line="240" w:lineRule="auto"/>
        <w:jc w:val="both"/>
        <w:rPr>
          <w:rFonts w:ascii="Verdana" w:eastAsia="Calibri" w:hAnsi="Verdana" w:cs="Verdana"/>
          <w:b/>
          <w:bCs/>
          <w:sz w:val="20"/>
          <w:szCs w:val="20"/>
        </w:rPr>
      </w:pPr>
    </w:p>
    <w:p w14:paraId="308CCB15" w14:textId="77777777" w:rsidR="00802BD5" w:rsidRPr="00E949E1" w:rsidRDefault="00802BD5" w:rsidP="00D83CB9">
      <w:pPr>
        <w:tabs>
          <w:tab w:val="left" w:pos="567"/>
        </w:tabs>
        <w:spacing w:after="0" w:line="240" w:lineRule="auto"/>
        <w:jc w:val="both"/>
        <w:rPr>
          <w:rFonts w:ascii="Verdana" w:eastAsia="Calibri" w:hAnsi="Verdana" w:cs="Verdana"/>
          <w:b/>
          <w:bCs/>
          <w:sz w:val="20"/>
          <w:szCs w:val="20"/>
        </w:rPr>
      </w:pPr>
      <w:r w:rsidRPr="00E949E1">
        <w:rPr>
          <w:rFonts w:ascii="Verdana" w:eastAsia="Calibri" w:hAnsi="Verdana" w:cs="Verdana"/>
          <w:b/>
          <w:bCs/>
          <w:sz w:val="20"/>
          <w:szCs w:val="20"/>
        </w:rPr>
        <w:t xml:space="preserve">EL PRESIDENTE DE LA CORTE INTERAMERICANA DE DERECHOS HUMANOS, </w:t>
      </w:r>
    </w:p>
    <w:p w14:paraId="11A90F4C" w14:textId="77777777" w:rsidR="00ED2EB4" w:rsidRPr="00E949E1" w:rsidRDefault="00ED2EB4" w:rsidP="00D83CB9">
      <w:pPr>
        <w:tabs>
          <w:tab w:val="left" w:pos="567"/>
        </w:tabs>
        <w:spacing w:after="0" w:line="240" w:lineRule="auto"/>
        <w:jc w:val="both"/>
        <w:rPr>
          <w:rFonts w:ascii="Verdana" w:eastAsia="Calibri" w:hAnsi="Verdana" w:cs="Verdana"/>
          <w:b/>
          <w:bCs/>
          <w:sz w:val="20"/>
          <w:szCs w:val="20"/>
        </w:rPr>
      </w:pPr>
    </w:p>
    <w:p w14:paraId="63C63FA5" w14:textId="2BB2DE8C" w:rsidR="00721EA7" w:rsidRPr="00682412" w:rsidRDefault="00682412" w:rsidP="00E32B70">
      <w:pPr>
        <w:pStyle w:val="BodyText"/>
      </w:pPr>
      <w:r w:rsidRPr="00682412">
        <w:t>de conformidad con los artículos 24.1 y 25.2 del Estatuto de la Corte y con los artículos 4, 15.1, 26.1, 31.2, 35.1, 40.2, 41.1, 45, 46 a 48, 50 a 56 y 60 del Reglamento y el Reglamento sobre el Fondo de Asistencia Legal,</w:t>
      </w:r>
    </w:p>
    <w:p w14:paraId="08107AA1" w14:textId="77777777" w:rsidR="00682412" w:rsidRPr="00E949E1" w:rsidRDefault="00682412" w:rsidP="00D83CB9">
      <w:pPr>
        <w:tabs>
          <w:tab w:val="left" w:pos="567"/>
        </w:tabs>
        <w:spacing w:after="0" w:line="240" w:lineRule="auto"/>
        <w:jc w:val="both"/>
        <w:rPr>
          <w:rFonts w:ascii="Verdana" w:eastAsia="Calibri" w:hAnsi="Verdana" w:cs="Verdana"/>
          <w:b/>
          <w:bCs/>
          <w:sz w:val="20"/>
          <w:szCs w:val="20"/>
        </w:rPr>
      </w:pPr>
    </w:p>
    <w:p w14:paraId="75193694" w14:textId="1A834DCE" w:rsidR="00802BD5" w:rsidRPr="00E949E1" w:rsidRDefault="00802BD5" w:rsidP="00D83CB9">
      <w:pPr>
        <w:tabs>
          <w:tab w:val="left" w:pos="567"/>
        </w:tabs>
        <w:spacing w:after="0" w:line="240" w:lineRule="auto"/>
        <w:jc w:val="both"/>
        <w:rPr>
          <w:rFonts w:ascii="Verdana" w:eastAsia="Calibri" w:hAnsi="Verdana" w:cs="Verdana"/>
          <w:b/>
          <w:bCs/>
          <w:sz w:val="20"/>
          <w:szCs w:val="20"/>
        </w:rPr>
      </w:pPr>
      <w:r w:rsidRPr="00E949E1">
        <w:rPr>
          <w:rFonts w:ascii="Verdana" w:eastAsia="Calibri" w:hAnsi="Verdana" w:cs="Verdana"/>
          <w:b/>
          <w:bCs/>
          <w:sz w:val="20"/>
          <w:szCs w:val="20"/>
        </w:rPr>
        <w:t>RESUELVE:</w:t>
      </w:r>
    </w:p>
    <w:p w14:paraId="3A4C931B" w14:textId="77777777" w:rsidR="00CF1C87" w:rsidRPr="00E949E1" w:rsidRDefault="00CF1C87" w:rsidP="00D83CB9">
      <w:pPr>
        <w:tabs>
          <w:tab w:val="left" w:pos="567"/>
        </w:tabs>
        <w:spacing w:after="0" w:line="240" w:lineRule="auto"/>
        <w:jc w:val="both"/>
        <w:rPr>
          <w:rFonts w:ascii="Verdana" w:eastAsia="Calibri" w:hAnsi="Verdana" w:cs="Verdana"/>
          <w:b/>
          <w:bCs/>
          <w:sz w:val="20"/>
          <w:szCs w:val="20"/>
        </w:rPr>
      </w:pPr>
    </w:p>
    <w:p w14:paraId="6E7F62E0" w14:textId="4199F765" w:rsidR="0053557B" w:rsidRPr="00F41E57" w:rsidRDefault="0053557B" w:rsidP="009C14DC">
      <w:pPr>
        <w:pStyle w:val="ListParagraph"/>
        <w:numPr>
          <w:ilvl w:val="0"/>
          <w:numId w:val="5"/>
        </w:numPr>
        <w:tabs>
          <w:tab w:val="left" w:pos="567"/>
        </w:tabs>
        <w:spacing w:after="0" w:line="240" w:lineRule="auto"/>
        <w:ind w:left="0" w:firstLine="0"/>
        <w:jc w:val="both"/>
        <w:rPr>
          <w:rFonts w:ascii="Verdana" w:hAnsi="Verdana"/>
          <w:bCs/>
          <w:iCs/>
          <w:sz w:val="20"/>
          <w:szCs w:val="20"/>
        </w:rPr>
      </w:pPr>
      <w:bookmarkStart w:id="5" w:name="_Ref445286350"/>
      <w:r w:rsidRPr="006F1A47">
        <w:rPr>
          <w:rFonts w:ascii="Verdana" w:hAnsi="Verdana"/>
          <w:bCs/>
          <w:iCs/>
          <w:sz w:val="20"/>
          <w:szCs w:val="20"/>
        </w:rPr>
        <w:t>Convocar al Estado de Paraguay, al representante y a la Comisión Interamericana de Derechos Humanos a una au</w:t>
      </w:r>
      <w:r w:rsidRPr="00467E9F">
        <w:rPr>
          <w:rFonts w:ascii="Verdana" w:hAnsi="Verdana"/>
          <w:bCs/>
          <w:iCs/>
          <w:sz w:val="20"/>
          <w:szCs w:val="20"/>
        </w:rPr>
        <w:t>diencia pública sobre la</w:t>
      </w:r>
      <w:r w:rsidR="00E32B70">
        <w:rPr>
          <w:rFonts w:ascii="Verdana" w:hAnsi="Verdana"/>
          <w:bCs/>
          <w:iCs/>
          <w:sz w:val="20"/>
          <w:szCs w:val="20"/>
        </w:rPr>
        <w:t>s excepcio</w:t>
      </w:r>
      <w:r w:rsidRPr="00467E9F">
        <w:rPr>
          <w:rFonts w:ascii="Verdana" w:hAnsi="Verdana"/>
          <w:bCs/>
          <w:iCs/>
          <w:sz w:val="20"/>
          <w:szCs w:val="20"/>
        </w:rPr>
        <w:t>n</w:t>
      </w:r>
      <w:r w:rsidR="00E32B70">
        <w:rPr>
          <w:rFonts w:ascii="Verdana" w:hAnsi="Verdana"/>
          <w:bCs/>
          <w:iCs/>
          <w:sz w:val="20"/>
          <w:szCs w:val="20"/>
        </w:rPr>
        <w:t>es</w:t>
      </w:r>
      <w:r w:rsidRPr="00467E9F">
        <w:rPr>
          <w:rFonts w:ascii="Verdana" w:hAnsi="Verdana"/>
          <w:bCs/>
          <w:iCs/>
          <w:sz w:val="20"/>
          <w:szCs w:val="20"/>
        </w:rPr>
        <w:t xml:space="preserve"> preliminar</w:t>
      </w:r>
      <w:r w:rsidR="00E32B70">
        <w:rPr>
          <w:rFonts w:ascii="Verdana" w:hAnsi="Verdana"/>
          <w:bCs/>
          <w:iCs/>
          <w:sz w:val="20"/>
          <w:szCs w:val="20"/>
        </w:rPr>
        <w:t>es</w:t>
      </w:r>
      <w:r w:rsidRPr="00467E9F">
        <w:rPr>
          <w:rFonts w:ascii="Verdana" w:hAnsi="Verdana"/>
          <w:bCs/>
          <w:iCs/>
          <w:sz w:val="20"/>
          <w:szCs w:val="20"/>
        </w:rPr>
        <w:t xml:space="preserve"> y eventuales fondo, reparaciones y costas que se celebrará el día </w:t>
      </w:r>
      <w:r w:rsidR="00E206D7" w:rsidRPr="00467E9F">
        <w:rPr>
          <w:rFonts w:ascii="Verdana" w:hAnsi="Verdana"/>
          <w:bCs/>
          <w:iCs/>
          <w:sz w:val="20"/>
          <w:szCs w:val="20"/>
        </w:rPr>
        <w:t>7 de febrero</w:t>
      </w:r>
      <w:r w:rsidRPr="00DA468B">
        <w:rPr>
          <w:rFonts w:ascii="Verdana" w:hAnsi="Verdana"/>
          <w:bCs/>
          <w:iCs/>
          <w:sz w:val="20"/>
          <w:szCs w:val="20"/>
        </w:rPr>
        <w:t xml:space="preserve"> de 201</w:t>
      </w:r>
      <w:r w:rsidR="00E206D7" w:rsidRPr="00DA468B">
        <w:rPr>
          <w:rFonts w:ascii="Verdana" w:hAnsi="Verdana"/>
          <w:bCs/>
          <w:iCs/>
          <w:sz w:val="20"/>
          <w:szCs w:val="20"/>
        </w:rPr>
        <w:t>9</w:t>
      </w:r>
      <w:r w:rsidRPr="006F1A47">
        <w:rPr>
          <w:rFonts w:ascii="Verdana" w:hAnsi="Verdana"/>
          <w:bCs/>
          <w:iCs/>
          <w:sz w:val="20"/>
          <w:szCs w:val="20"/>
        </w:rPr>
        <w:t xml:space="preserve"> a partir de las </w:t>
      </w:r>
      <w:r w:rsidR="00E206D7" w:rsidRPr="006F1A47">
        <w:rPr>
          <w:rFonts w:ascii="Verdana" w:hAnsi="Verdana"/>
          <w:bCs/>
          <w:iCs/>
          <w:sz w:val="20"/>
          <w:szCs w:val="20"/>
        </w:rPr>
        <w:t>9:00</w:t>
      </w:r>
      <w:r w:rsidRPr="006F1A47">
        <w:rPr>
          <w:rFonts w:ascii="Verdana" w:hAnsi="Verdana"/>
          <w:bCs/>
          <w:iCs/>
          <w:sz w:val="20"/>
          <w:szCs w:val="20"/>
        </w:rPr>
        <w:t xml:space="preserve"> horas, durante el 129 Período Ordinario de Sesiones, en la sede de la Corte en San José, Costa Rica para recibir sus alegatos y observaciones finales oral</w:t>
      </w:r>
      <w:r w:rsidR="00F3082B" w:rsidRPr="00484610">
        <w:rPr>
          <w:rFonts w:ascii="Verdana" w:hAnsi="Verdana"/>
          <w:sz w:val="20"/>
          <w:szCs w:val="20"/>
        </w:rPr>
        <w:t>e</w:t>
      </w:r>
      <w:r w:rsidR="00F3082B" w:rsidRPr="00484610">
        <w:rPr>
          <w:rFonts w:ascii="Verdana" w:hAnsi="Verdana"/>
          <w:bCs/>
          <w:iCs/>
          <w:sz w:val="20"/>
          <w:szCs w:val="20"/>
        </w:rPr>
        <w:t>s, respectivamente, sobre las excepciones preliminares, eventuales fondo, reparaciones y costas</w:t>
      </w:r>
      <w:r w:rsidR="00F3082B" w:rsidRPr="006F1A47">
        <w:rPr>
          <w:rFonts w:ascii="Verdana" w:hAnsi="Verdana"/>
          <w:bCs/>
          <w:iCs/>
          <w:sz w:val="20"/>
          <w:szCs w:val="20"/>
        </w:rPr>
        <w:t>, así como las declaraciones de las siguientes personas:</w:t>
      </w:r>
    </w:p>
    <w:p w14:paraId="28012848" w14:textId="77777777" w:rsidR="0053557B" w:rsidRPr="00467E9F" w:rsidRDefault="0053557B" w:rsidP="0053557B">
      <w:pPr>
        <w:pStyle w:val="ListParagraph"/>
        <w:tabs>
          <w:tab w:val="left" w:pos="567"/>
        </w:tabs>
        <w:spacing w:after="0" w:line="240" w:lineRule="auto"/>
        <w:ind w:left="0"/>
        <w:jc w:val="both"/>
        <w:rPr>
          <w:rFonts w:ascii="Verdana" w:hAnsi="Verdana"/>
          <w:bCs/>
          <w:iCs/>
          <w:sz w:val="20"/>
          <w:szCs w:val="20"/>
        </w:rPr>
      </w:pPr>
    </w:p>
    <w:p w14:paraId="4F732434" w14:textId="712CECAD" w:rsidR="0053557B" w:rsidRPr="00E206D7" w:rsidRDefault="00E206D7" w:rsidP="00E206D7">
      <w:pPr>
        <w:pStyle w:val="ListParagraph"/>
        <w:numPr>
          <w:ilvl w:val="0"/>
          <w:numId w:val="24"/>
        </w:numPr>
        <w:tabs>
          <w:tab w:val="left" w:pos="567"/>
        </w:tabs>
        <w:spacing w:after="0" w:line="240" w:lineRule="auto"/>
        <w:jc w:val="both"/>
        <w:rPr>
          <w:rFonts w:ascii="Verdana" w:hAnsi="Verdana"/>
          <w:b/>
          <w:bCs/>
          <w:i/>
          <w:iCs/>
          <w:sz w:val="20"/>
          <w:szCs w:val="20"/>
        </w:rPr>
      </w:pPr>
      <w:r w:rsidRPr="00E206D7">
        <w:rPr>
          <w:rFonts w:ascii="Verdana" w:hAnsi="Verdana"/>
          <w:b/>
          <w:bCs/>
          <w:iCs/>
          <w:sz w:val="20"/>
          <w:szCs w:val="20"/>
        </w:rPr>
        <w:t>Presuntas víctimas</w:t>
      </w:r>
      <w:r w:rsidR="0053557B" w:rsidRPr="00E206D7">
        <w:rPr>
          <w:rFonts w:ascii="Verdana" w:hAnsi="Verdana"/>
          <w:b/>
          <w:bCs/>
          <w:i/>
          <w:iCs/>
          <w:sz w:val="20"/>
          <w:szCs w:val="20"/>
        </w:rPr>
        <w:t xml:space="preserve"> </w:t>
      </w:r>
      <w:r w:rsidR="0053557B" w:rsidRPr="00E206D7">
        <w:rPr>
          <w:rFonts w:ascii="Verdana" w:hAnsi="Verdana"/>
          <w:i/>
          <w:sz w:val="20"/>
          <w:szCs w:val="20"/>
        </w:rPr>
        <w:t>(p</w:t>
      </w:r>
      <w:r w:rsidR="0053557B" w:rsidRPr="00E206D7">
        <w:rPr>
          <w:rFonts w:ascii="Verdana" w:eastAsia="Calibri" w:hAnsi="Verdana" w:cs="Verdana"/>
          <w:i/>
          <w:iCs/>
          <w:sz w:val="20"/>
          <w:szCs w:val="20"/>
        </w:rPr>
        <w:t>ropuestos</w:t>
      </w:r>
      <w:r w:rsidR="0053557B" w:rsidRPr="00E206D7">
        <w:rPr>
          <w:rFonts w:ascii="Verdana" w:hAnsi="Verdana"/>
          <w:i/>
          <w:sz w:val="20"/>
          <w:szCs w:val="20"/>
        </w:rPr>
        <w:t xml:space="preserve"> por el representante)</w:t>
      </w:r>
    </w:p>
    <w:p w14:paraId="0F40B4C3" w14:textId="77777777" w:rsidR="0053557B" w:rsidRPr="00E949E1" w:rsidRDefault="0053557B" w:rsidP="0053557B">
      <w:pPr>
        <w:tabs>
          <w:tab w:val="left" w:pos="567"/>
        </w:tabs>
        <w:spacing w:after="0" w:line="240" w:lineRule="auto"/>
        <w:jc w:val="both"/>
        <w:rPr>
          <w:rFonts w:ascii="Verdana" w:hAnsi="Verdana"/>
          <w:bCs/>
          <w:i/>
          <w:iCs/>
          <w:sz w:val="20"/>
          <w:szCs w:val="20"/>
        </w:rPr>
      </w:pPr>
    </w:p>
    <w:p w14:paraId="6554DBF8" w14:textId="3A4027E8" w:rsidR="00E206D7" w:rsidRPr="00F3082B" w:rsidRDefault="0053557B" w:rsidP="00F3082B">
      <w:pPr>
        <w:tabs>
          <w:tab w:val="left" w:pos="567"/>
        </w:tabs>
        <w:spacing w:after="0" w:line="240" w:lineRule="auto"/>
        <w:ind w:left="709"/>
        <w:jc w:val="both"/>
        <w:rPr>
          <w:rFonts w:ascii="Verdana" w:hAnsi="Verdana" w:cs="Arial"/>
          <w:sz w:val="20"/>
          <w:szCs w:val="20"/>
        </w:rPr>
      </w:pPr>
      <w:r w:rsidRPr="00F3082B">
        <w:rPr>
          <w:rFonts w:ascii="Verdana" w:hAnsi="Verdana" w:cs="Arial"/>
          <w:i/>
          <w:sz w:val="20"/>
          <w:szCs w:val="20"/>
        </w:rPr>
        <w:t xml:space="preserve">Juan Francisco </w:t>
      </w:r>
      <w:proofErr w:type="spellStart"/>
      <w:r w:rsidRPr="00F3082B">
        <w:rPr>
          <w:rFonts w:ascii="Verdana" w:hAnsi="Verdana" w:cs="Arial"/>
          <w:i/>
          <w:sz w:val="20"/>
          <w:szCs w:val="20"/>
        </w:rPr>
        <w:t>Arrom</w:t>
      </w:r>
      <w:proofErr w:type="spellEnd"/>
      <w:r w:rsidRPr="00F3082B">
        <w:rPr>
          <w:rFonts w:ascii="Verdana" w:hAnsi="Verdana" w:cs="Arial"/>
          <w:i/>
          <w:sz w:val="20"/>
          <w:szCs w:val="20"/>
        </w:rPr>
        <w:t xml:space="preserve"> </w:t>
      </w:r>
      <w:proofErr w:type="spellStart"/>
      <w:r w:rsidRPr="00F3082B">
        <w:rPr>
          <w:rFonts w:ascii="Verdana" w:hAnsi="Verdana" w:cs="Arial"/>
          <w:i/>
          <w:sz w:val="20"/>
          <w:szCs w:val="20"/>
        </w:rPr>
        <w:t>Suhurt</w:t>
      </w:r>
      <w:proofErr w:type="spellEnd"/>
      <w:r w:rsidRPr="00F3082B">
        <w:rPr>
          <w:rFonts w:ascii="Verdana" w:hAnsi="Verdana" w:cs="Arial"/>
          <w:sz w:val="20"/>
          <w:szCs w:val="20"/>
        </w:rPr>
        <w:t xml:space="preserve">, </w:t>
      </w:r>
      <w:r w:rsidR="00EB6EDB" w:rsidRPr="000A0FDA">
        <w:rPr>
          <w:rFonts w:ascii="Verdana" w:hAnsi="Verdana"/>
          <w:sz w:val="20"/>
          <w:szCs w:val="20"/>
        </w:rPr>
        <w:t>quien declar</w:t>
      </w:r>
      <w:r w:rsidR="00EB6EDB">
        <w:rPr>
          <w:rFonts w:ascii="Verdana" w:hAnsi="Verdana"/>
          <w:sz w:val="20"/>
          <w:szCs w:val="20"/>
        </w:rPr>
        <w:t>ará sobre los hechos ocurridos entre</w:t>
      </w:r>
      <w:r w:rsidR="00EB6EDB" w:rsidRPr="000A0FDA">
        <w:rPr>
          <w:rFonts w:ascii="Verdana" w:hAnsi="Verdana"/>
          <w:sz w:val="20"/>
          <w:szCs w:val="20"/>
        </w:rPr>
        <w:t xml:space="preserve"> el 17 de enero</w:t>
      </w:r>
      <w:r w:rsidR="00EB6EDB">
        <w:rPr>
          <w:rFonts w:ascii="Verdana" w:hAnsi="Verdana"/>
          <w:sz w:val="20"/>
          <w:szCs w:val="20"/>
        </w:rPr>
        <w:t xml:space="preserve"> y el 30 de enero</w:t>
      </w:r>
      <w:r w:rsidR="00EB6EDB" w:rsidRPr="000A0FDA">
        <w:rPr>
          <w:rFonts w:ascii="Verdana" w:hAnsi="Verdana"/>
          <w:sz w:val="20"/>
          <w:szCs w:val="20"/>
        </w:rPr>
        <w:t xml:space="preserve"> de 2002</w:t>
      </w:r>
      <w:r w:rsidR="00EB6EDB">
        <w:rPr>
          <w:rFonts w:ascii="Verdana" w:hAnsi="Verdana"/>
          <w:sz w:val="20"/>
          <w:szCs w:val="20"/>
        </w:rPr>
        <w:t xml:space="preserve">, así como otros hechos </w:t>
      </w:r>
      <w:r w:rsidR="00E32B70">
        <w:rPr>
          <w:rFonts w:ascii="Verdana" w:hAnsi="Verdana"/>
          <w:sz w:val="20"/>
          <w:szCs w:val="20"/>
        </w:rPr>
        <w:t xml:space="preserve">relevantes </w:t>
      </w:r>
      <w:r w:rsidR="00EB6EDB">
        <w:rPr>
          <w:rFonts w:ascii="Verdana" w:hAnsi="Verdana"/>
          <w:sz w:val="20"/>
          <w:szCs w:val="20"/>
        </w:rPr>
        <w:t>ocurridos</w:t>
      </w:r>
      <w:r w:rsidR="00EB6EDB" w:rsidRPr="000A0FDA">
        <w:rPr>
          <w:rFonts w:ascii="Verdana" w:hAnsi="Verdana"/>
          <w:sz w:val="20"/>
          <w:szCs w:val="20"/>
        </w:rPr>
        <w:t xml:space="preserve"> con posterioridad a esa fecha.</w:t>
      </w:r>
      <w:r w:rsidR="00CD59C4">
        <w:rPr>
          <w:rFonts w:ascii="Verdana" w:hAnsi="Verdana"/>
          <w:sz w:val="20"/>
          <w:szCs w:val="20"/>
        </w:rPr>
        <w:t xml:space="preserve"> Esta declaración se realizará por video conferencia.</w:t>
      </w:r>
    </w:p>
    <w:p w14:paraId="15FC0F5A" w14:textId="77777777" w:rsidR="00F3082B" w:rsidRDefault="00F3082B" w:rsidP="00F3082B">
      <w:pPr>
        <w:pStyle w:val="ListParagraph"/>
        <w:tabs>
          <w:tab w:val="left" w:pos="567"/>
        </w:tabs>
        <w:spacing w:after="0" w:line="240" w:lineRule="auto"/>
        <w:ind w:left="1418"/>
        <w:jc w:val="both"/>
        <w:rPr>
          <w:rFonts w:ascii="Verdana" w:hAnsi="Verdana" w:cs="Arial"/>
          <w:sz w:val="20"/>
          <w:szCs w:val="20"/>
        </w:rPr>
      </w:pPr>
    </w:p>
    <w:p w14:paraId="0F8A36AB" w14:textId="1AB1F8D9" w:rsidR="00E206D7" w:rsidRPr="00F3082B" w:rsidRDefault="00CC713F" w:rsidP="00F3082B">
      <w:pPr>
        <w:tabs>
          <w:tab w:val="left" w:pos="567"/>
        </w:tabs>
        <w:spacing w:after="0" w:line="240" w:lineRule="auto"/>
        <w:ind w:left="709"/>
        <w:jc w:val="both"/>
        <w:rPr>
          <w:rFonts w:ascii="Verdana" w:hAnsi="Verdana" w:cs="Arial"/>
          <w:sz w:val="20"/>
          <w:szCs w:val="20"/>
        </w:rPr>
      </w:pPr>
      <w:r>
        <w:rPr>
          <w:rFonts w:ascii="Verdana" w:hAnsi="Verdana"/>
          <w:bCs/>
          <w:i/>
          <w:iCs/>
          <w:sz w:val="20"/>
          <w:szCs w:val="20"/>
        </w:rPr>
        <w:t xml:space="preserve">Cristina </w:t>
      </w:r>
      <w:proofErr w:type="spellStart"/>
      <w:r>
        <w:rPr>
          <w:rFonts w:ascii="Verdana" w:hAnsi="Verdana"/>
          <w:bCs/>
          <w:i/>
          <w:iCs/>
          <w:sz w:val="20"/>
          <w:szCs w:val="20"/>
        </w:rPr>
        <w:t>Hayd</w:t>
      </w:r>
      <w:r w:rsidR="00E206D7" w:rsidRPr="00F3082B">
        <w:rPr>
          <w:rFonts w:ascii="Verdana" w:hAnsi="Verdana"/>
          <w:bCs/>
          <w:i/>
          <w:iCs/>
          <w:sz w:val="20"/>
          <w:szCs w:val="20"/>
        </w:rPr>
        <w:t>é</w:t>
      </w:r>
      <w:r>
        <w:rPr>
          <w:rFonts w:ascii="Verdana" w:hAnsi="Verdana"/>
          <w:bCs/>
          <w:i/>
          <w:iCs/>
          <w:sz w:val="20"/>
          <w:szCs w:val="20"/>
        </w:rPr>
        <w:t>e</w:t>
      </w:r>
      <w:proofErr w:type="spellEnd"/>
      <w:r>
        <w:rPr>
          <w:rFonts w:ascii="Verdana" w:hAnsi="Verdana"/>
          <w:bCs/>
          <w:i/>
          <w:iCs/>
          <w:sz w:val="20"/>
          <w:szCs w:val="20"/>
        </w:rPr>
        <w:t xml:space="preserve"> </w:t>
      </w:r>
      <w:r w:rsidR="00E206D7" w:rsidRPr="00F3082B">
        <w:rPr>
          <w:rFonts w:ascii="Verdana" w:hAnsi="Verdana"/>
          <w:bCs/>
          <w:i/>
          <w:iCs/>
          <w:sz w:val="20"/>
          <w:szCs w:val="20"/>
        </w:rPr>
        <w:t xml:space="preserve"> </w:t>
      </w:r>
      <w:proofErr w:type="spellStart"/>
      <w:r w:rsidR="00E206D7" w:rsidRPr="00F3082B">
        <w:rPr>
          <w:rFonts w:ascii="Verdana" w:hAnsi="Verdana"/>
          <w:bCs/>
          <w:i/>
          <w:iCs/>
          <w:sz w:val="20"/>
          <w:szCs w:val="20"/>
        </w:rPr>
        <w:t>Arrom</w:t>
      </w:r>
      <w:proofErr w:type="spellEnd"/>
      <w:r w:rsidR="00E206D7" w:rsidRPr="00F3082B">
        <w:rPr>
          <w:rFonts w:ascii="Verdana" w:hAnsi="Verdana"/>
          <w:bCs/>
          <w:i/>
          <w:iCs/>
          <w:sz w:val="20"/>
          <w:szCs w:val="20"/>
        </w:rPr>
        <w:t xml:space="preserve"> </w:t>
      </w:r>
      <w:proofErr w:type="spellStart"/>
      <w:r w:rsidR="00E206D7" w:rsidRPr="00F3082B">
        <w:rPr>
          <w:rFonts w:ascii="Verdana" w:hAnsi="Verdana"/>
          <w:bCs/>
          <w:i/>
          <w:iCs/>
          <w:sz w:val="20"/>
          <w:szCs w:val="20"/>
        </w:rPr>
        <w:t>Suhurt</w:t>
      </w:r>
      <w:proofErr w:type="spellEnd"/>
      <w:r w:rsidR="00E206D7" w:rsidRPr="00F3082B">
        <w:rPr>
          <w:rFonts w:ascii="Verdana" w:hAnsi="Verdana"/>
          <w:bCs/>
          <w:iCs/>
          <w:sz w:val="20"/>
          <w:szCs w:val="20"/>
        </w:rPr>
        <w:t xml:space="preserve">, </w:t>
      </w:r>
      <w:r w:rsidR="00EB6EDB" w:rsidRPr="000A0FDA">
        <w:rPr>
          <w:rFonts w:ascii="Verdana" w:hAnsi="Verdana"/>
          <w:sz w:val="20"/>
          <w:szCs w:val="20"/>
        </w:rPr>
        <w:t>quien declar</w:t>
      </w:r>
      <w:r w:rsidR="00EB6EDB">
        <w:rPr>
          <w:rFonts w:ascii="Verdana" w:hAnsi="Verdana"/>
          <w:sz w:val="20"/>
          <w:szCs w:val="20"/>
        </w:rPr>
        <w:t xml:space="preserve">ará sobre </w:t>
      </w:r>
      <w:r w:rsidR="00E206D7" w:rsidRPr="00F3082B">
        <w:rPr>
          <w:rFonts w:ascii="Verdana" w:hAnsi="Verdana" w:cs="Arial"/>
          <w:sz w:val="20"/>
          <w:szCs w:val="20"/>
        </w:rPr>
        <w:t xml:space="preserve">los hechos ocurridos durante el alegado secuestro y desaparición de Juan </w:t>
      </w:r>
      <w:proofErr w:type="spellStart"/>
      <w:r w:rsidR="00E206D7" w:rsidRPr="00F3082B">
        <w:rPr>
          <w:rFonts w:ascii="Verdana" w:hAnsi="Verdana" w:cs="Arial"/>
          <w:sz w:val="20"/>
          <w:szCs w:val="20"/>
        </w:rPr>
        <w:t>Arrom</w:t>
      </w:r>
      <w:proofErr w:type="spellEnd"/>
      <w:r w:rsidR="00E206D7" w:rsidRPr="00F3082B">
        <w:rPr>
          <w:rFonts w:ascii="Verdana" w:hAnsi="Verdana" w:cs="Arial"/>
          <w:sz w:val="20"/>
          <w:szCs w:val="20"/>
        </w:rPr>
        <w:t xml:space="preserve"> </w:t>
      </w:r>
      <w:r w:rsidR="00E206D7" w:rsidRPr="00F3082B">
        <w:rPr>
          <w:rFonts w:ascii="Verdana" w:hAnsi="Verdana" w:cs="Times New Roman"/>
          <w:sz w:val="20"/>
          <w:szCs w:val="20"/>
        </w:rPr>
        <w:t xml:space="preserve">y </w:t>
      </w:r>
      <w:r w:rsidR="00E206D7" w:rsidRPr="00F3082B">
        <w:rPr>
          <w:rFonts w:ascii="Verdana" w:hAnsi="Verdana" w:cs="Arial"/>
          <w:sz w:val="20"/>
          <w:szCs w:val="20"/>
        </w:rPr>
        <w:t>Anuncio Martí, abarcando el alegado impacto, sufrimiento, búsqueda, acciones, reclamos y rescate de los mismos por parte de sus familiares y los hechos ocurridos con</w:t>
      </w:r>
      <w:r w:rsidR="00E206D7" w:rsidRPr="00F3082B">
        <w:rPr>
          <w:rFonts w:ascii="Verdana" w:hAnsi="Verdana" w:cs="Times New Roman"/>
          <w:sz w:val="20"/>
          <w:szCs w:val="20"/>
        </w:rPr>
        <w:t xml:space="preserve"> </w:t>
      </w:r>
      <w:r w:rsidR="00E206D7" w:rsidRPr="00F3082B">
        <w:rPr>
          <w:rFonts w:ascii="Verdana" w:hAnsi="Verdana" w:cs="Arial"/>
          <w:sz w:val="20"/>
          <w:szCs w:val="20"/>
        </w:rPr>
        <w:t>posterioridad.</w:t>
      </w:r>
    </w:p>
    <w:p w14:paraId="129046B0" w14:textId="77777777" w:rsidR="0053557B" w:rsidRDefault="0053557B" w:rsidP="00E206D7">
      <w:pPr>
        <w:tabs>
          <w:tab w:val="left" w:pos="567"/>
        </w:tabs>
        <w:spacing w:after="0" w:line="240" w:lineRule="auto"/>
        <w:jc w:val="both"/>
        <w:rPr>
          <w:rFonts w:ascii="Verdana" w:hAnsi="Verdana" w:cs="Arial"/>
          <w:sz w:val="20"/>
          <w:szCs w:val="20"/>
        </w:rPr>
      </w:pPr>
    </w:p>
    <w:p w14:paraId="13D240F6" w14:textId="7C08B201" w:rsidR="0053557B" w:rsidRPr="00E949E1" w:rsidRDefault="00F3082B" w:rsidP="00F3082B">
      <w:pPr>
        <w:pStyle w:val="Heading1"/>
        <w:numPr>
          <w:ilvl w:val="0"/>
          <w:numId w:val="24"/>
        </w:numPr>
        <w:rPr>
          <w:b w:val="0"/>
        </w:rPr>
      </w:pPr>
      <w:r w:rsidRPr="00F3082B">
        <w:rPr>
          <w:i w:val="0"/>
        </w:rPr>
        <w:t>Testigo</w:t>
      </w:r>
      <w:r>
        <w:t xml:space="preserve"> </w:t>
      </w:r>
      <w:r w:rsidR="0053557B" w:rsidRPr="00E949E1">
        <w:rPr>
          <w:b w:val="0"/>
        </w:rPr>
        <w:t>(propuesto por el Estado)</w:t>
      </w:r>
    </w:p>
    <w:p w14:paraId="2E750FB8" w14:textId="77777777" w:rsidR="0053557B" w:rsidRPr="00E949E1" w:rsidRDefault="0053557B" w:rsidP="0053557B">
      <w:pPr>
        <w:spacing w:after="0"/>
        <w:rPr>
          <w:rFonts w:ascii="Verdana" w:hAnsi="Verdana"/>
          <w:sz w:val="20"/>
          <w:szCs w:val="20"/>
        </w:rPr>
      </w:pPr>
    </w:p>
    <w:p w14:paraId="02EED513" w14:textId="4EE0FF15" w:rsidR="009C14DC" w:rsidRPr="00CF2AEE" w:rsidRDefault="0053557B" w:rsidP="00CF2AEE">
      <w:pPr>
        <w:autoSpaceDE w:val="0"/>
        <w:autoSpaceDN w:val="0"/>
        <w:adjustRightInd w:val="0"/>
        <w:spacing w:after="0" w:line="240" w:lineRule="auto"/>
        <w:ind w:left="709"/>
        <w:jc w:val="both"/>
        <w:rPr>
          <w:rFonts w:ascii="Verdana" w:hAnsi="Verdana" w:cs="Times New Roman"/>
          <w:sz w:val="20"/>
          <w:szCs w:val="20"/>
        </w:rPr>
      </w:pPr>
      <w:r w:rsidRPr="00CF2AEE">
        <w:rPr>
          <w:rFonts w:ascii="Verdana" w:hAnsi="Verdana" w:cs="Times New Roman"/>
          <w:i/>
          <w:sz w:val="20"/>
          <w:szCs w:val="20"/>
        </w:rPr>
        <w:t xml:space="preserve">Oscar German Latorre </w:t>
      </w:r>
      <w:r w:rsidR="00E949E1" w:rsidRPr="00CF2AEE">
        <w:rPr>
          <w:rFonts w:ascii="Verdana" w:hAnsi="Verdana" w:cs="Times New Roman"/>
          <w:i/>
          <w:sz w:val="20"/>
          <w:szCs w:val="20"/>
        </w:rPr>
        <w:t>Cañete</w:t>
      </w:r>
      <w:r w:rsidRPr="00CF2AEE">
        <w:rPr>
          <w:rFonts w:ascii="Verdana" w:hAnsi="Verdana" w:cs="Times New Roman"/>
          <w:i/>
          <w:sz w:val="20"/>
          <w:szCs w:val="20"/>
        </w:rPr>
        <w:t>,</w:t>
      </w:r>
      <w:r w:rsidRPr="00CF2AEE">
        <w:rPr>
          <w:rFonts w:ascii="Verdana" w:hAnsi="Verdana" w:cs="Times New Roman"/>
          <w:sz w:val="20"/>
          <w:szCs w:val="20"/>
        </w:rPr>
        <w:t xml:space="preserve"> </w:t>
      </w:r>
      <w:r w:rsidR="00CF2AEE" w:rsidRPr="00CF2AEE">
        <w:rPr>
          <w:rFonts w:ascii="Verdana" w:hAnsi="Verdana" w:cs="Times New Roman"/>
          <w:sz w:val="20"/>
          <w:szCs w:val="20"/>
        </w:rPr>
        <w:t xml:space="preserve">quien declarará sobre </w:t>
      </w:r>
      <w:r w:rsidRPr="00CF2AEE">
        <w:rPr>
          <w:rFonts w:ascii="Verdana" w:hAnsi="Verdana" w:cs="Times New Roman"/>
          <w:sz w:val="20"/>
          <w:szCs w:val="20"/>
        </w:rPr>
        <w:t>la alegada regularidad de las investigaciones fiscales.</w:t>
      </w:r>
    </w:p>
    <w:p w14:paraId="3C11C5CF" w14:textId="77777777" w:rsidR="0053557B" w:rsidRPr="00E949E1" w:rsidRDefault="0053557B" w:rsidP="0053557B">
      <w:pPr>
        <w:tabs>
          <w:tab w:val="left" w:pos="567"/>
        </w:tabs>
        <w:spacing w:after="0" w:line="240" w:lineRule="auto"/>
        <w:jc w:val="both"/>
        <w:rPr>
          <w:rFonts w:ascii="Verdana" w:hAnsi="Verdana"/>
          <w:bCs/>
          <w:iCs/>
          <w:sz w:val="20"/>
          <w:szCs w:val="20"/>
        </w:rPr>
      </w:pPr>
      <w:bookmarkStart w:id="6" w:name="_Ref477386390"/>
    </w:p>
    <w:p w14:paraId="10DE7416" w14:textId="297CEF30" w:rsidR="0053557B" w:rsidRPr="00F3082B" w:rsidRDefault="0053557B" w:rsidP="00F3082B">
      <w:pPr>
        <w:pStyle w:val="ListParagraph"/>
        <w:numPr>
          <w:ilvl w:val="0"/>
          <w:numId w:val="5"/>
        </w:numPr>
        <w:tabs>
          <w:tab w:val="left" w:pos="567"/>
        </w:tabs>
        <w:spacing w:after="0" w:line="240" w:lineRule="auto"/>
        <w:ind w:left="0" w:firstLine="0"/>
        <w:jc w:val="both"/>
        <w:rPr>
          <w:rFonts w:ascii="Verdana" w:hAnsi="Verdana"/>
          <w:bCs/>
          <w:iCs/>
          <w:sz w:val="20"/>
          <w:szCs w:val="20"/>
        </w:rPr>
      </w:pPr>
      <w:bookmarkStart w:id="7" w:name="_Ref532315339"/>
      <w:r w:rsidRPr="00F3082B">
        <w:rPr>
          <w:rFonts w:ascii="Verdana" w:eastAsia="Calibri" w:hAnsi="Verdana" w:cs="Verdana"/>
          <w:sz w:val="20"/>
          <w:szCs w:val="20"/>
        </w:rPr>
        <w:t>Requerir, de conformidad con el principio de economía procesal y de la facultad que le otorga el artículo 50.1 del Reglamento de la Corte, que las siguientes personas presten su declaración ante fedatario público:</w:t>
      </w:r>
      <w:bookmarkEnd w:id="5"/>
      <w:bookmarkEnd w:id="6"/>
      <w:bookmarkEnd w:id="7"/>
    </w:p>
    <w:p w14:paraId="41183A52" w14:textId="77777777" w:rsidR="0053557B" w:rsidRDefault="0053557B" w:rsidP="0053557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0D200B13" w14:textId="77777777" w:rsidR="00BB2A98" w:rsidRDefault="00BB2A98" w:rsidP="0053557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21558D07" w14:textId="77777777" w:rsidR="00BB2A98" w:rsidRDefault="00BB2A98" w:rsidP="0053557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6A101710" w14:textId="77777777" w:rsidR="00BB2A98" w:rsidRDefault="00BB2A98" w:rsidP="0053557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0651B2A2" w14:textId="77777777" w:rsidR="00BB2A98" w:rsidRPr="00E949E1" w:rsidRDefault="00BB2A98" w:rsidP="0053557B">
      <w:pPr>
        <w:widowControl w:val="0"/>
        <w:tabs>
          <w:tab w:val="left" w:pos="567"/>
        </w:tabs>
        <w:autoSpaceDE w:val="0"/>
        <w:autoSpaceDN w:val="0"/>
        <w:adjustRightInd w:val="0"/>
        <w:spacing w:after="0" w:line="240" w:lineRule="auto"/>
        <w:ind w:right="22"/>
        <w:jc w:val="both"/>
        <w:rPr>
          <w:rFonts w:ascii="Verdana" w:eastAsia="Calibri" w:hAnsi="Verdana" w:cs="Verdana"/>
          <w:sz w:val="20"/>
          <w:szCs w:val="20"/>
        </w:rPr>
      </w:pPr>
    </w:p>
    <w:p w14:paraId="67078DEB" w14:textId="77777777" w:rsidR="000A0FDA" w:rsidRPr="00E206D7" w:rsidRDefault="000A0FDA" w:rsidP="000A0FDA">
      <w:pPr>
        <w:pStyle w:val="ListParagraph"/>
        <w:numPr>
          <w:ilvl w:val="0"/>
          <w:numId w:val="26"/>
        </w:numPr>
        <w:tabs>
          <w:tab w:val="left" w:pos="567"/>
        </w:tabs>
        <w:spacing w:after="0" w:line="240" w:lineRule="auto"/>
        <w:jc w:val="both"/>
        <w:rPr>
          <w:rFonts w:ascii="Verdana" w:hAnsi="Verdana"/>
          <w:b/>
          <w:bCs/>
          <w:i/>
          <w:iCs/>
          <w:sz w:val="20"/>
          <w:szCs w:val="20"/>
        </w:rPr>
      </w:pPr>
      <w:r w:rsidRPr="00E206D7">
        <w:rPr>
          <w:rFonts w:ascii="Verdana" w:hAnsi="Verdana"/>
          <w:b/>
          <w:bCs/>
          <w:iCs/>
          <w:sz w:val="20"/>
          <w:szCs w:val="20"/>
        </w:rPr>
        <w:lastRenderedPageBreak/>
        <w:t>Presuntas víctimas</w:t>
      </w:r>
      <w:r w:rsidRPr="00E206D7">
        <w:rPr>
          <w:rFonts w:ascii="Verdana" w:hAnsi="Verdana"/>
          <w:b/>
          <w:bCs/>
          <w:i/>
          <w:iCs/>
          <w:sz w:val="20"/>
          <w:szCs w:val="20"/>
        </w:rPr>
        <w:t xml:space="preserve"> </w:t>
      </w:r>
      <w:r w:rsidRPr="00E206D7">
        <w:rPr>
          <w:rFonts w:ascii="Verdana" w:hAnsi="Verdana"/>
          <w:i/>
          <w:sz w:val="20"/>
          <w:szCs w:val="20"/>
        </w:rPr>
        <w:t>(p</w:t>
      </w:r>
      <w:r w:rsidRPr="00E206D7">
        <w:rPr>
          <w:rFonts w:ascii="Verdana" w:eastAsia="Calibri" w:hAnsi="Verdana" w:cs="Verdana"/>
          <w:i/>
          <w:iCs/>
          <w:sz w:val="20"/>
          <w:szCs w:val="20"/>
        </w:rPr>
        <w:t>ropuestos</w:t>
      </w:r>
      <w:r w:rsidRPr="00E206D7">
        <w:rPr>
          <w:rFonts w:ascii="Verdana" w:hAnsi="Verdana"/>
          <w:i/>
          <w:sz w:val="20"/>
          <w:szCs w:val="20"/>
        </w:rPr>
        <w:t xml:space="preserve"> por el representante)</w:t>
      </w:r>
    </w:p>
    <w:p w14:paraId="746426BE" w14:textId="77777777" w:rsidR="0053557B" w:rsidRPr="00E949E1" w:rsidRDefault="0053557B" w:rsidP="000A0FDA">
      <w:pPr>
        <w:tabs>
          <w:tab w:val="left" w:pos="567"/>
        </w:tabs>
        <w:spacing w:after="0" w:line="240" w:lineRule="auto"/>
        <w:jc w:val="both"/>
        <w:rPr>
          <w:rFonts w:ascii="Verdana" w:eastAsia="Calibri" w:hAnsi="Verdana" w:cs="Verdana"/>
          <w:i/>
          <w:iCs/>
          <w:sz w:val="20"/>
          <w:szCs w:val="20"/>
          <w:highlight w:val="green"/>
        </w:rPr>
      </w:pPr>
    </w:p>
    <w:p w14:paraId="6F909ECE" w14:textId="2B6A1A78" w:rsidR="000A0FDA" w:rsidRDefault="00E206D7" w:rsidP="000A0FDA">
      <w:pPr>
        <w:ind w:left="709"/>
        <w:jc w:val="both"/>
        <w:rPr>
          <w:rFonts w:ascii="Verdana" w:hAnsi="Verdana"/>
          <w:sz w:val="20"/>
          <w:szCs w:val="20"/>
        </w:rPr>
      </w:pPr>
      <w:r w:rsidRPr="000A0FDA">
        <w:rPr>
          <w:rFonts w:ascii="Verdana" w:hAnsi="Verdana"/>
          <w:i/>
          <w:sz w:val="20"/>
          <w:szCs w:val="20"/>
        </w:rPr>
        <w:t>Anuncio Martí M</w:t>
      </w:r>
      <w:r w:rsidR="00EB6EDB">
        <w:rPr>
          <w:rFonts w:ascii="Verdana" w:hAnsi="Verdana"/>
          <w:i/>
          <w:sz w:val="20"/>
          <w:szCs w:val="20"/>
        </w:rPr>
        <w:t>é</w:t>
      </w:r>
      <w:r w:rsidRPr="000A0FDA">
        <w:rPr>
          <w:rFonts w:ascii="Verdana" w:hAnsi="Verdana"/>
          <w:i/>
          <w:sz w:val="20"/>
          <w:szCs w:val="20"/>
        </w:rPr>
        <w:t>ndez</w:t>
      </w:r>
      <w:r w:rsidRPr="000A0FDA">
        <w:rPr>
          <w:rFonts w:ascii="Verdana" w:hAnsi="Verdana"/>
          <w:sz w:val="20"/>
          <w:szCs w:val="20"/>
        </w:rPr>
        <w:t>, quien declar</w:t>
      </w:r>
      <w:r w:rsidR="00EB6EDB">
        <w:rPr>
          <w:rFonts w:ascii="Verdana" w:hAnsi="Verdana"/>
          <w:sz w:val="20"/>
          <w:szCs w:val="20"/>
        </w:rPr>
        <w:t>ará sobre los hechos ocurridos entre</w:t>
      </w:r>
      <w:r w:rsidRPr="000A0FDA">
        <w:rPr>
          <w:rFonts w:ascii="Verdana" w:hAnsi="Verdana"/>
          <w:sz w:val="20"/>
          <w:szCs w:val="20"/>
        </w:rPr>
        <w:t xml:space="preserve"> el 17 de enero</w:t>
      </w:r>
      <w:r w:rsidR="00EB6EDB">
        <w:rPr>
          <w:rFonts w:ascii="Verdana" w:hAnsi="Verdana"/>
          <w:sz w:val="20"/>
          <w:szCs w:val="20"/>
        </w:rPr>
        <w:t xml:space="preserve"> y el 30 de enero</w:t>
      </w:r>
      <w:r w:rsidRPr="000A0FDA">
        <w:rPr>
          <w:rFonts w:ascii="Verdana" w:hAnsi="Verdana"/>
          <w:sz w:val="20"/>
          <w:szCs w:val="20"/>
        </w:rPr>
        <w:t xml:space="preserve"> de 2002</w:t>
      </w:r>
      <w:r w:rsidR="00EB6EDB">
        <w:rPr>
          <w:rFonts w:ascii="Verdana" w:hAnsi="Verdana"/>
          <w:sz w:val="20"/>
          <w:szCs w:val="20"/>
        </w:rPr>
        <w:t xml:space="preserve">, así como otros hechos </w:t>
      </w:r>
      <w:r w:rsidR="00E32B70">
        <w:rPr>
          <w:rFonts w:ascii="Verdana" w:hAnsi="Verdana"/>
          <w:sz w:val="20"/>
          <w:szCs w:val="20"/>
        </w:rPr>
        <w:t xml:space="preserve">relevantes </w:t>
      </w:r>
      <w:r w:rsidR="00EB6EDB">
        <w:rPr>
          <w:rFonts w:ascii="Verdana" w:hAnsi="Verdana"/>
          <w:sz w:val="20"/>
          <w:szCs w:val="20"/>
        </w:rPr>
        <w:t>ocurridos</w:t>
      </w:r>
      <w:r w:rsidRPr="000A0FDA">
        <w:rPr>
          <w:rFonts w:ascii="Verdana" w:hAnsi="Verdana"/>
          <w:sz w:val="20"/>
          <w:szCs w:val="20"/>
        </w:rPr>
        <w:t xml:space="preserve"> con posterioridad a esa fecha.</w:t>
      </w:r>
    </w:p>
    <w:p w14:paraId="30C9F660" w14:textId="7B3D289A" w:rsidR="00E83D45" w:rsidRDefault="003729C8" w:rsidP="00E83D45">
      <w:pPr>
        <w:ind w:left="709"/>
        <w:jc w:val="both"/>
        <w:rPr>
          <w:rFonts w:ascii="Verdana" w:hAnsi="Verdana"/>
          <w:sz w:val="20"/>
          <w:szCs w:val="20"/>
        </w:rPr>
      </w:pPr>
      <w:r w:rsidRPr="000A0FDA">
        <w:rPr>
          <w:rFonts w:ascii="Verdana" w:hAnsi="Verdana"/>
          <w:bCs/>
          <w:i/>
          <w:iCs/>
          <w:sz w:val="20"/>
          <w:szCs w:val="20"/>
        </w:rPr>
        <w:t xml:space="preserve">María Auxiliadora </w:t>
      </w:r>
      <w:proofErr w:type="spellStart"/>
      <w:r w:rsidRPr="000A0FDA">
        <w:rPr>
          <w:rFonts w:ascii="Verdana" w:hAnsi="Verdana"/>
          <w:bCs/>
          <w:i/>
          <w:iCs/>
          <w:sz w:val="20"/>
          <w:szCs w:val="20"/>
        </w:rPr>
        <w:t>Arrom</w:t>
      </w:r>
      <w:proofErr w:type="spellEnd"/>
      <w:r w:rsidRPr="000A0FDA">
        <w:rPr>
          <w:rFonts w:ascii="Verdana" w:hAnsi="Verdana"/>
          <w:bCs/>
          <w:i/>
          <w:iCs/>
          <w:sz w:val="20"/>
          <w:szCs w:val="20"/>
        </w:rPr>
        <w:t xml:space="preserve"> de Orrego</w:t>
      </w:r>
      <w:r w:rsidRPr="000A0FDA">
        <w:rPr>
          <w:rFonts w:ascii="Verdana" w:hAnsi="Verdana"/>
          <w:bCs/>
          <w:iCs/>
          <w:sz w:val="20"/>
          <w:szCs w:val="20"/>
        </w:rPr>
        <w:t xml:space="preserve">, </w:t>
      </w:r>
      <w:r w:rsidR="004416D4" w:rsidRPr="000A0FDA">
        <w:rPr>
          <w:rFonts w:ascii="Verdana" w:hAnsi="Verdana"/>
          <w:bCs/>
          <w:iCs/>
          <w:sz w:val="20"/>
          <w:szCs w:val="20"/>
        </w:rPr>
        <w:t xml:space="preserve">quién declarará </w:t>
      </w:r>
      <w:r w:rsidR="004416D4" w:rsidRPr="000A0FDA">
        <w:rPr>
          <w:rFonts w:ascii="Verdana" w:hAnsi="Verdana" w:cs="Arial"/>
          <w:sz w:val="20"/>
          <w:szCs w:val="20"/>
        </w:rPr>
        <w:t xml:space="preserve">sobre los hechos ocurridos durante el alegado secuestro y desaparición de Juan </w:t>
      </w:r>
      <w:proofErr w:type="spellStart"/>
      <w:r w:rsidR="004416D4" w:rsidRPr="000A0FDA">
        <w:rPr>
          <w:rFonts w:ascii="Verdana" w:hAnsi="Verdana" w:cs="Arial"/>
          <w:sz w:val="20"/>
          <w:szCs w:val="20"/>
        </w:rPr>
        <w:t>Arrom</w:t>
      </w:r>
      <w:proofErr w:type="spellEnd"/>
      <w:r w:rsidR="004416D4" w:rsidRPr="000A0FDA">
        <w:rPr>
          <w:rFonts w:ascii="Verdana" w:hAnsi="Verdana" w:cs="Arial"/>
          <w:sz w:val="20"/>
          <w:szCs w:val="20"/>
        </w:rPr>
        <w:t xml:space="preserve"> y Anuncio </w:t>
      </w:r>
      <w:proofErr w:type="spellStart"/>
      <w:r w:rsidR="004416D4" w:rsidRPr="000A0FDA">
        <w:rPr>
          <w:rFonts w:ascii="Verdana" w:hAnsi="Verdana" w:cs="Arial"/>
          <w:sz w:val="20"/>
          <w:szCs w:val="20"/>
        </w:rPr>
        <w:t>Marti</w:t>
      </w:r>
      <w:proofErr w:type="spellEnd"/>
      <w:r w:rsidR="004416D4" w:rsidRPr="000A0FDA">
        <w:rPr>
          <w:rFonts w:ascii="Verdana" w:hAnsi="Verdana" w:cs="Arial"/>
          <w:sz w:val="20"/>
          <w:szCs w:val="20"/>
        </w:rPr>
        <w:t xml:space="preserve">, abarcando el alegado impacto, sufrimiento, </w:t>
      </w:r>
      <w:r w:rsidR="000A0FDA" w:rsidRPr="000A0FDA">
        <w:rPr>
          <w:rFonts w:ascii="Verdana" w:hAnsi="Verdana" w:cs="Arial"/>
          <w:sz w:val="20"/>
          <w:szCs w:val="20"/>
        </w:rPr>
        <w:t>búsqueda</w:t>
      </w:r>
      <w:r w:rsidR="004416D4" w:rsidRPr="000A0FDA">
        <w:rPr>
          <w:rFonts w:ascii="Verdana" w:hAnsi="Verdana" w:cs="Arial"/>
          <w:sz w:val="20"/>
          <w:szCs w:val="20"/>
        </w:rPr>
        <w:t>, acciones, reclamos y rescate de los mismos por parte de sus familiares y los hechos ocurridos con posterioridad.</w:t>
      </w:r>
      <w:r w:rsidR="006525D2">
        <w:rPr>
          <w:rFonts w:ascii="Verdana" w:hAnsi="Verdana" w:cs="Arial"/>
          <w:sz w:val="20"/>
          <w:szCs w:val="20"/>
        </w:rPr>
        <w:t xml:space="preserve"> Asimismo, declarará sobre la alegada campaña de persecución que habría realizado el Estado posteriormente.</w:t>
      </w:r>
    </w:p>
    <w:p w14:paraId="3C9805C7" w14:textId="320CDD90" w:rsidR="00E83D45" w:rsidRDefault="003729C8" w:rsidP="00E83D45">
      <w:pPr>
        <w:autoSpaceDE w:val="0"/>
        <w:autoSpaceDN w:val="0"/>
        <w:adjustRightInd w:val="0"/>
        <w:spacing w:after="0" w:line="240" w:lineRule="auto"/>
        <w:ind w:left="709"/>
        <w:jc w:val="both"/>
        <w:rPr>
          <w:rFonts w:ascii="Verdana" w:hAnsi="Verdana" w:cs="Arial"/>
          <w:sz w:val="20"/>
          <w:szCs w:val="20"/>
        </w:rPr>
      </w:pPr>
      <w:r w:rsidRPr="00E83D45">
        <w:rPr>
          <w:rFonts w:ascii="Verdana" w:hAnsi="Verdana"/>
          <w:bCs/>
          <w:i/>
          <w:iCs/>
          <w:sz w:val="20"/>
          <w:szCs w:val="20"/>
        </w:rPr>
        <w:t xml:space="preserve">Carmen </w:t>
      </w:r>
      <w:proofErr w:type="spellStart"/>
      <w:r w:rsidRPr="00E83D45">
        <w:rPr>
          <w:rFonts w:ascii="Verdana" w:hAnsi="Verdana"/>
          <w:bCs/>
          <w:i/>
          <w:iCs/>
          <w:sz w:val="20"/>
          <w:szCs w:val="20"/>
        </w:rPr>
        <w:t>Edilia</w:t>
      </w:r>
      <w:proofErr w:type="spellEnd"/>
      <w:r w:rsidRPr="00E83D45">
        <w:rPr>
          <w:rFonts w:ascii="Verdana" w:hAnsi="Verdana"/>
          <w:bCs/>
          <w:i/>
          <w:iCs/>
          <w:sz w:val="20"/>
          <w:szCs w:val="20"/>
        </w:rPr>
        <w:t xml:space="preserve"> </w:t>
      </w:r>
      <w:proofErr w:type="spellStart"/>
      <w:r w:rsidRPr="00E83D45">
        <w:rPr>
          <w:rFonts w:ascii="Verdana" w:hAnsi="Verdana"/>
          <w:bCs/>
          <w:i/>
          <w:iCs/>
          <w:sz w:val="20"/>
          <w:szCs w:val="20"/>
        </w:rPr>
        <w:t>Arrom</w:t>
      </w:r>
      <w:proofErr w:type="spellEnd"/>
      <w:r w:rsidRPr="00E83D45">
        <w:rPr>
          <w:rFonts w:ascii="Verdana" w:hAnsi="Verdana"/>
          <w:bCs/>
          <w:i/>
          <w:iCs/>
          <w:sz w:val="20"/>
          <w:szCs w:val="20"/>
        </w:rPr>
        <w:t xml:space="preserve"> de Cabello</w:t>
      </w:r>
      <w:r w:rsidRPr="00E83D45">
        <w:rPr>
          <w:rFonts w:ascii="Verdana" w:hAnsi="Verdana"/>
          <w:bCs/>
          <w:iCs/>
          <w:sz w:val="20"/>
          <w:szCs w:val="20"/>
        </w:rPr>
        <w:t xml:space="preserve">, </w:t>
      </w:r>
      <w:r w:rsidR="00E83D45" w:rsidRPr="000A0FDA">
        <w:rPr>
          <w:rFonts w:ascii="Verdana" w:hAnsi="Verdana"/>
          <w:bCs/>
          <w:iCs/>
          <w:sz w:val="20"/>
          <w:szCs w:val="20"/>
        </w:rPr>
        <w:t xml:space="preserve">quién declarará </w:t>
      </w:r>
      <w:r w:rsidR="00E83D45">
        <w:rPr>
          <w:rFonts w:ascii="Verdana" w:hAnsi="Verdana" w:cs="Arial"/>
          <w:sz w:val="20"/>
          <w:szCs w:val="20"/>
        </w:rPr>
        <w:t>sobre</w:t>
      </w:r>
      <w:r w:rsidR="00EF1BE0" w:rsidRPr="00E83D45">
        <w:rPr>
          <w:rFonts w:ascii="Verdana" w:hAnsi="Verdana" w:cs="Arial"/>
          <w:sz w:val="20"/>
          <w:szCs w:val="20"/>
        </w:rPr>
        <w:t xml:space="preserve"> la alegada afectación </w:t>
      </w:r>
      <w:r w:rsidR="00E83D45">
        <w:rPr>
          <w:rFonts w:ascii="Verdana" w:hAnsi="Verdana" w:cs="Arial"/>
          <w:sz w:val="20"/>
          <w:szCs w:val="20"/>
        </w:rPr>
        <w:t>psicológica y moral causada por</w:t>
      </w:r>
      <w:r w:rsidR="00EF1BE0" w:rsidRPr="00E83D45">
        <w:rPr>
          <w:rFonts w:ascii="Verdana" w:hAnsi="Verdana" w:cs="Arial"/>
          <w:sz w:val="20"/>
          <w:szCs w:val="20"/>
        </w:rPr>
        <w:t xml:space="preserve"> la supuesta desaparición, secuestro y torturas</w:t>
      </w:r>
      <w:r w:rsidR="00E83D45" w:rsidRPr="00E83D45">
        <w:rPr>
          <w:rFonts w:ascii="Verdana" w:hAnsi="Verdana" w:cs="Arial"/>
          <w:sz w:val="20"/>
          <w:szCs w:val="20"/>
        </w:rPr>
        <w:t xml:space="preserve"> </w:t>
      </w:r>
      <w:r w:rsidR="00E83D45" w:rsidRPr="00924F1F">
        <w:rPr>
          <w:rFonts w:ascii="Verdana" w:hAnsi="Verdana" w:cs="Arial"/>
          <w:sz w:val="20"/>
          <w:szCs w:val="20"/>
        </w:rPr>
        <w:t xml:space="preserve">de Juan </w:t>
      </w:r>
      <w:proofErr w:type="spellStart"/>
      <w:r w:rsidR="00E83D45" w:rsidRPr="00924F1F">
        <w:rPr>
          <w:rFonts w:ascii="Verdana" w:hAnsi="Verdana" w:cs="Arial"/>
          <w:sz w:val="20"/>
          <w:szCs w:val="20"/>
        </w:rPr>
        <w:t>Arrom</w:t>
      </w:r>
      <w:proofErr w:type="spellEnd"/>
      <w:r w:rsidR="00E83D45" w:rsidRPr="00924F1F">
        <w:rPr>
          <w:rFonts w:ascii="Verdana" w:hAnsi="Verdana" w:cs="Arial"/>
          <w:sz w:val="20"/>
          <w:szCs w:val="20"/>
        </w:rPr>
        <w:t xml:space="preserve"> y la supuesta presión política y represiva sufrida durante estos hechos</w:t>
      </w:r>
      <w:r w:rsidR="00E83D45">
        <w:rPr>
          <w:rFonts w:ascii="Verdana" w:hAnsi="Verdana" w:cs="Arial"/>
          <w:sz w:val="20"/>
          <w:szCs w:val="20"/>
        </w:rPr>
        <w:t xml:space="preserve"> por parte del Estado paraguayo,</w:t>
      </w:r>
      <w:r w:rsidR="00E83D45" w:rsidRPr="00924F1F">
        <w:rPr>
          <w:rFonts w:ascii="Verdana" w:hAnsi="Verdana" w:cs="Arial"/>
          <w:sz w:val="20"/>
          <w:szCs w:val="20"/>
        </w:rPr>
        <w:t xml:space="preserve"> así como </w:t>
      </w:r>
      <w:r w:rsidR="00E83D45">
        <w:rPr>
          <w:rFonts w:ascii="Verdana" w:hAnsi="Verdana" w:cs="Arial"/>
          <w:sz w:val="20"/>
          <w:szCs w:val="20"/>
        </w:rPr>
        <w:t>la alega</w:t>
      </w:r>
      <w:r w:rsidR="00E32B70">
        <w:rPr>
          <w:rFonts w:ascii="Verdana" w:hAnsi="Verdana" w:cs="Arial"/>
          <w:sz w:val="20"/>
          <w:szCs w:val="20"/>
        </w:rPr>
        <w:t>da campaña</w:t>
      </w:r>
      <w:r w:rsidR="00E83D45">
        <w:rPr>
          <w:rFonts w:ascii="Verdana" w:hAnsi="Verdana" w:cs="Arial"/>
          <w:sz w:val="20"/>
          <w:szCs w:val="20"/>
        </w:rPr>
        <w:t xml:space="preserve"> de persecución que habría realizado el Estado posteriormente. </w:t>
      </w:r>
    </w:p>
    <w:p w14:paraId="4C80C9D8" w14:textId="77777777" w:rsidR="00E83D45" w:rsidRDefault="00E83D45" w:rsidP="00E83D45">
      <w:pPr>
        <w:autoSpaceDE w:val="0"/>
        <w:autoSpaceDN w:val="0"/>
        <w:adjustRightInd w:val="0"/>
        <w:spacing w:after="0" w:line="240" w:lineRule="auto"/>
        <w:ind w:left="709"/>
        <w:jc w:val="both"/>
        <w:rPr>
          <w:rFonts w:ascii="Verdana" w:hAnsi="Verdana" w:cs="Arial"/>
          <w:sz w:val="20"/>
          <w:szCs w:val="20"/>
        </w:rPr>
      </w:pPr>
    </w:p>
    <w:p w14:paraId="43FF946A" w14:textId="559E0CF7" w:rsidR="00E83D45" w:rsidRDefault="00FF2ACE" w:rsidP="00E83D45">
      <w:pPr>
        <w:autoSpaceDE w:val="0"/>
        <w:autoSpaceDN w:val="0"/>
        <w:adjustRightInd w:val="0"/>
        <w:spacing w:after="0" w:line="240" w:lineRule="auto"/>
        <w:ind w:left="709"/>
        <w:jc w:val="both"/>
        <w:rPr>
          <w:rFonts w:ascii="Verdana" w:hAnsi="Verdana" w:cs="Arial"/>
          <w:sz w:val="20"/>
          <w:szCs w:val="20"/>
        </w:rPr>
      </w:pPr>
      <w:r w:rsidRPr="00E83D45">
        <w:rPr>
          <w:rFonts w:ascii="Verdana" w:hAnsi="Verdana"/>
          <w:bCs/>
          <w:i/>
          <w:iCs/>
          <w:sz w:val="20"/>
          <w:szCs w:val="20"/>
        </w:rPr>
        <w:t xml:space="preserve">Carmen Marina </w:t>
      </w:r>
      <w:proofErr w:type="spellStart"/>
      <w:r w:rsidRPr="00E83D45">
        <w:rPr>
          <w:rFonts w:ascii="Verdana" w:hAnsi="Verdana"/>
          <w:bCs/>
          <w:i/>
          <w:iCs/>
          <w:sz w:val="20"/>
          <w:szCs w:val="20"/>
        </w:rPr>
        <w:t>Arrom</w:t>
      </w:r>
      <w:proofErr w:type="spellEnd"/>
      <w:r w:rsidRPr="00E83D45">
        <w:rPr>
          <w:rFonts w:ascii="Verdana" w:hAnsi="Verdana"/>
          <w:bCs/>
          <w:i/>
          <w:iCs/>
          <w:sz w:val="20"/>
          <w:szCs w:val="20"/>
        </w:rPr>
        <w:t xml:space="preserve"> </w:t>
      </w:r>
      <w:proofErr w:type="spellStart"/>
      <w:r w:rsidRPr="00E83D45">
        <w:rPr>
          <w:rFonts w:ascii="Verdana" w:hAnsi="Verdana"/>
          <w:bCs/>
          <w:i/>
          <w:iCs/>
          <w:sz w:val="20"/>
          <w:szCs w:val="20"/>
        </w:rPr>
        <w:t>Suhurt</w:t>
      </w:r>
      <w:proofErr w:type="spellEnd"/>
      <w:r w:rsidRPr="00E83D45">
        <w:rPr>
          <w:rFonts w:ascii="Verdana" w:hAnsi="Verdana"/>
          <w:bCs/>
          <w:i/>
          <w:iCs/>
          <w:sz w:val="20"/>
          <w:szCs w:val="20"/>
        </w:rPr>
        <w:t>,</w:t>
      </w:r>
      <w:r w:rsidRPr="00E83D45">
        <w:rPr>
          <w:rFonts w:ascii="Verdana" w:hAnsi="Verdana"/>
          <w:bCs/>
          <w:iCs/>
          <w:sz w:val="20"/>
          <w:szCs w:val="20"/>
        </w:rPr>
        <w:t xml:space="preserve"> </w:t>
      </w:r>
      <w:r w:rsidR="00E83D45" w:rsidRPr="000A0FDA">
        <w:rPr>
          <w:rFonts w:ascii="Verdana" w:hAnsi="Verdana"/>
          <w:bCs/>
          <w:iCs/>
          <w:sz w:val="20"/>
          <w:szCs w:val="20"/>
        </w:rPr>
        <w:t xml:space="preserve">quién declarará </w:t>
      </w:r>
      <w:r w:rsidR="00E83D45">
        <w:rPr>
          <w:rFonts w:ascii="Verdana" w:hAnsi="Verdana" w:cs="Arial"/>
          <w:sz w:val="20"/>
          <w:szCs w:val="20"/>
        </w:rPr>
        <w:t>sobre</w:t>
      </w:r>
      <w:r w:rsidR="00E83D45" w:rsidRPr="00E83D45">
        <w:rPr>
          <w:rFonts w:ascii="Verdana" w:hAnsi="Verdana" w:cs="Arial"/>
          <w:sz w:val="20"/>
          <w:szCs w:val="20"/>
        </w:rPr>
        <w:t xml:space="preserve"> la alegada afectación </w:t>
      </w:r>
      <w:r w:rsidR="00E83D45">
        <w:rPr>
          <w:rFonts w:ascii="Verdana" w:hAnsi="Verdana" w:cs="Arial"/>
          <w:sz w:val="20"/>
          <w:szCs w:val="20"/>
        </w:rPr>
        <w:t>psicológica y moral causada por</w:t>
      </w:r>
      <w:r w:rsidR="00E83D45" w:rsidRPr="00E83D45">
        <w:rPr>
          <w:rFonts w:ascii="Verdana" w:hAnsi="Verdana" w:cs="Arial"/>
          <w:sz w:val="20"/>
          <w:szCs w:val="20"/>
        </w:rPr>
        <w:t xml:space="preserve"> la supuesta desaparición, secuestro y torturas </w:t>
      </w:r>
      <w:r w:rsidR="00E83D45" w:rsidRPr="00924F1F">
        <w:rPr>
          <w:rFonts w:ascii="Verdana" w:hAnsi="Verdana" w:cs="Arial"/>
          <w:sz w:val="20"/>
          <w:szCs w:val="20"/>
        </w:rPr>
        <w:t xml:space="preserve">de Juan </w:t>
      </w:r>
      <w:proofErr w:type="spellStart"/>
      <w:r w:rsidR="00E83D45" w:rsidRPr="00924F1F">
        <w:rPr>
          <w:rFonts w:ascii="Verdana" w:hAnsi="Verdana" w:cs="Arial"/>
          <w:sz w:val="20"/>
          <w:szCs w:val="20"/>
        </w:rPr>
        <w:t>Arrom</w:t>
      </w:r>
      <w:proofErr w:type="spellEnd"/>
      <w:r w:rsidR="00E83D45" w:rsidRPr="00924F1F">
        <w:rPr>
          <w:rFonts w:ascii="Verdana" w:hAnsi="Verdana" w:cs="Arial"/>
          <w:sz w:val="20"/>
          <w:szCs w:val="20"/>
        </w:rPr>
        <w:t xml:space="preserve"> y la supuesta presión política y represiva sufrida durante estos hechos</w:t>
      </w:r>
      <w:r w:rsidR="00E83D45">
        <w:rPr>
          <w:rFonts w:ascii="Verdana" w:hAnsi="Verdana" w:cs="Arial"/>
          <w:sz w:val="20"/>
          <w:szCs w:val="20"/>
        </w:rPr>
        <w:t xml:space="preserve"> por parte del Estado paraguayo,</w:t>
      </w:r>
      <w:r w:rsidR="00E83D45"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sidR="00E83D45">
        <w:rPr>
          <w:rFonts w:ascii="Verdana" w:hAnsi="Verdana" w:cs="Arial"/>
          <w:sz w:val="20"/>
          <w:szCs w:val="20"/>
        </w:rPr>
        <w:t>de persecución que habría realizado el Estado posteriormente.</w:t>
      </w:r>
    </w:p>
    <w:p w14:paraId="234E2022" w14:textId="77777777" w:rsidR="00E83D45" w:rsidRDefault="00E83D45" w:rsidP="00E83D45">
      <w:pPr>
        <w:autoSpaceDE w:val="0"/>
        <w:autoSpaceDN w:val="0"/>
        <w:adjustRightInd w:val="0"/>
        <w:spacing w:after="0" w:line="240" w:lineRule="auto"/>
        <w:ind w:left="709"/>
        <w:jc w:val="both"/>
        <w:rPr>
          <w:rFonts w:ascii="Verdana" w:hAnsi="Verdana" w:cs="Arial"/>
          <w:sz w:val="20"/>
          <w:szCs w:val="20"/>
        </w:rPr>
      </w:pPr>
    </w:p>
    <w:p w14:paraId="0B1F122B" w14:textId="3F68E30E" w:rsidR="00E83D45" w:rsidRDefault="00FF2ACE" w:rsidP="00E83D45">
      <w:pPr>
        <w:autoSpaceDE w:val="0"/>
        <w:autoSpaceDN w:val="0"/>
        <w:adjustRightInd w:val="0"/>
        <w:spacing w:after="0" w:line="240" w:lineRule="auto"/>
        <w:ind w:left="709"/>
        <w:jc w:val="both"/>
        <w:rPr>
          <w:rFonts w:ascii="Verdana" w:hAnsi="Verdana" w:cs="Arial"/>
          <w:sz w:val="20"/>
          <w:szCs w:val="20"/>
        </w:rPr>
      </w:pPr>
      <w:r w:rsidRPr="00E83D45">
        <w:rPr>
          <w:rFonts w:ascii="Verdana" w:hAnsi="Verdana"/>
          <w:bCs/>
          <w:i/>
          <w:iCs/>
          <w:sz w:val="20"/>
          <w:szCs w:val="20"/>
        </w:rPr>
        <w:t>María Cristina Martí M</w:t>
      </w:r>
      <w:r w:rsidR="00EF1BE0" w:rsidRPr="00E83D45">
        <w:rPr>
          <w:rFonts w:ascii="Verdana" w:hAnsi="Verdana"/>
          <w:bCs/>
          <w:i/>
          <w:iCs/>
          <w:sz w:val="20"/>
          <w:szCs w:val="20"/>
        </w:rPr>
        <w:t>éndez</w:t>
      </w:r>
      <w:r w:rsidR="00EF1BE0" w:rsidRPr="00E83D45">
        <w:rPr>
          <w:rFonts w:ascii="Verdana" w:hAnsi="Verdana"/>
          <w:bCs/>
          <w:iCs/>
          <w:sz w:val="20"/>
          <w:szCs w:val="20"/>
        </w:rPr>
        <w:t>,</w:t>
      </w:r>
      <w:r w:rsidRPr="00E83D45">
        <w:rPr>
          <w:rFonts w:ascii="Verdana" w:hAnsi="Verdana"/>
          <w:bCs/>
          <w:iCs/>
          <w:sz w:val="20"/>
          <w:szCs w:val="20"/>
        </w:rPr>
        <w:t xml:space="preserve"> </w:t>
      </w:r>
      <w:r w:rsidR="00E83D45" w:rsidRPr="00C16549">
        <w:rPr>
          <w:rFonts w:ascii="Verdana" w:hAnsi="Verdana" w:cs="Arial"/>
          <w:sz w:val="20"/>
          <w:szCs w:val="20"/>
        </w:rPr>
        <w:t xml:space="preserve">quien declarará </w:t>
      </w:r>
      <w:r w:rsidR="00E83D45">
        <w:rPr>
          <w:rFonts w:ascii="Verdana" w:hAnsi="Verdana" w:cs="Arial"/>
          <w:sz w:val="20"/>
          <w:szCs w:val="20"/>
        </w:rPr>
        <w:t>sobre</w:t>
      </w:r>
      <w:r w:rsidR="00E83D45" w:rsidRPr="00C16549">
        <w:rPr>
          <w:rFonts w:ascii="Verdana" w:hAnsi="Verdana" w:cs="Arial"/>
          <w:sz w:val="20"/>
          <w:szCs w:val="20"/>
        </w:rPr>
        <w:t xml:space="preserve"> </w:t>
      </w:r>
      <w:r w:rsidR="00E83D45">
        <w:rPr>
          <w:rFonts w:ascii="Verdana" w:hAnsi="Verdana" w:cs="Arial"/>
          <w:sz w:val="20"/>
          <w:szCs w:val="20"/>
        </w:rPr>
        <w:t xml:space="preserve">la </w:t>
      </w:r>
      <w:r w:rsidR="00E83D45" w:rsidRPr="00924F1F">
        <w:rPr>
          <w:rFonts w:ascii="Verdana" w:hAnsi="Verdana" w:cs="Arial"/>
          <w:sz w:val="20"/>
          <w:szCs w:val="20"/>
        </w:rPr>
        <w:t xml:space="preserve">alegada afectación moral y psicológica de la alegada desaparición, secuestro y torturas de </w:t>
      </w:r>
      <w:r w:rsidR="00E83D45">
        <w:rPr>
          <w:rFonts w:ascii="Verdana" w:hAnsi="Verdana" w:cs="Arial"/>
          <w:sz w:val="20"/>
          <w:szCs w:val="20"/>
        </w:rPr>
        <w:t>Anuncio Martí</w:t>
      </w:r>
      <w:r w:rsidR="00E83D45" w:rsidRPr="00924F1F">
        <w:rPr>
          <w:rFonts w:ascii="Verdana" w:hAnsi="Verdana" w:cs="Arial"/>
          <w:sz w:val="20"/>
          <w:szCs w:val="20"/>
        </w:rPr>
        <w:t xml:space="preserve"> y la supuesta presión política y represiva sufrida durante estos hechos</w:t>
      </w:r>
      <w:r w:rsidR="00E83D45">
        <w:rPr>
          <w:rFonts w:ascii="Verdana" w:hAnsi="Verdana" w:cs="Arial"/>
          <w:sz w:val="20"/>
          <w:szCs w:val="20"/>
        </w:rPr>
        <w:t xml:space="preserve"> por parte del Estado paraguayo,</w:t>
      </w:r>
      <w:r w:rsidR="00E83D45"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sidR="00E83D45">
        <w:rPr>
          <w:rFonts w:ascii="Verdana" w:hAnsi="Verdana" w:cs="Arial"/>
          <w:sz w:val="20"/>
          <w:szCs w:val="20"/>
        </w:rPr>
        <w:t>de persecución que habría realizado el Estado posteriormente</w:t>
      </w:r>
      <w:r w:rsidR="00E83D45" w:rsidRPr="00924F1F">
        <w:rPr>
          <w:rFonts w:ascii="Verdana" w:hAnsi="Verdana" w:cs="Arial"/>
          <w:sz w:val="20"/>
          <w:szCs w:val="20"/>
        </w:rPr>
        <w:t>.</w:t>
      </w:r>
    </w:p>
    <w:p w14:paraId="6BBA82BA" w14:textId="77777777" w:rsidR="00E83D45" w:rsidRDefault="00E83D45" w:rsidP="00E83D45">
      <w:pPr>
        <w:autoSpaceDE w:val="0"/>
        <w:autoSpaceDN w:val="0"/>
        <w:adjustRightInd w:val="0"/>
        <w:spacing w:after="0" w:line="240" w:lineRule="auto"/>
        <w:ind w:left="709"/>
        <w:jc w:val="both"/>
        <w:rPr>
          <w:rFonts w:ascii="Verdana" w:hAnsi="Verdana"/>
          <w:bCs/>
          <w:i/>
          <w:iCs/>
          <w:sz w:val="20"/>
          <w:szCs w:val="20"/>
        </w:rPr>
      </w:pPr>
    </w:p>
    <w:p w14:paraId="3CD38112" w14:textId="3E2DB2C0" w:rsidR="00E83D45" w:rsidRPr="00484610" w:rsidRDefault="00FF2ACE" w:rsidP="00484610">
      <w:pPr>
        <w:autoSpaceDE w:val="0"/>
        <w:autoSpaceDN w:val="0"/>
        <w:adjustRightInd w:val="0"/>
        <w:spacing w:after="0" w:line="240" w:lineRule="auto"/>
        <w:ind w:left="709"/>
        <w:jc w:val="both"/>
        <w:rPr>
          <w:rFonts w:ascii="Verdana" w:hAnsi="Verdana" w:cs="Arial"/>
          <w:sz w:val="20"/>
          <w:szCs w:val="20"/>
        </w:rPr>
      </w:pPr>
      <w:r w:rsidRPr="00E83D45">
        <w:rPr>
          <w:rFonts w:ascii="Verdana" w:hAnsi="Verdana"/>
          <w:bCs/>
          <w:i/>
          <w:iCs/>
          <w:sz w:val="20"/>
          <w:szCs w:val="20"/>
        </w:rPr>
        <w:t>Marta Ramona Martí de Páez</w:t>
      </w:r>
      <w:r w:rsidRPr="00E83D45">
        <w:rPr>
          <w:rFonts w:ascii="Verdana" w:hAnsi="Verdana"/>
          <w:bCs/>
          <w:iCs/>
          <w:sz w:val="20"/>
          <w:szCs w:val="20"/>
        </w:rPr>
        <w:t xml:space="preserve">, </w:t>
      </w:r>
      <w:r w:rsidR="00E83D45" w:rsidRPr="00C16549">
        <w:rPr>
          <w:rFonts w:ascii="Verdana" w:hAnsi="Verdana" w:cs="Arial"/>
          <w:sz w:val="20"/>
          <w:szCs w:val="20"/>
        </w:rPr>
        <w:t xml:space="preserve">quien declarará </w:t>
      </w:r>
      <w:r w:rsidR="00E83D45">
        <w:rPr>
          <w:rFonts w:ascii="Verdana" w:hAnsi="Verdana" w:cs="Arial"/>
          <w:sz w:val="20"/>
          <w:szCs w:val="20"/>
        </w:rPr>
        <w:t>sobre</w:t>
      </w:r>
      <w:r w:rsidR="00E83D45" w:rsidRPr="00C16549">
        <w:rPr>
          <w:rFonts w:ascii="Verdana" w:hAnsi="Verdana" w:cs="Arial"/>
          <w:sz w:val="20"/>
          <w:szCs w:val="20"/>
        </w:rPr>
        <w:t xml:space="preserve"> </w:t>
      </w:r>
      <w:r w:rsidR="00E83D45">
        <w:rPr>
          <w:rFonts w:ascii="Verdana" w:hAnsi="Verdana" w:cs="Arial"/>
          <w:sz w:val="20"/>
          <w:szCs w:val="20"/>
        </w:rPr>
        <w:t xml:space="preserve">la </w:t>
      </w:r>
      <w:r w:rsidR="00E83D45" w:rsidRPr="00924F1F">
        <w:rPr>
          <w:rFonts w:ascii="Verdana" w:hAnsi="Verdana" w:cs="Arial"/>
          <w:sz w:val="20"/>
          <w:szCs w:val="20"/>
        </w:rPr>
        <w:t xml:space="preserve">alegada afectación moral y psicológica de la alegada desaparición, secuestro y torturas de </w:t>
      </w:r>
      <w:r w:rsidR="00E83D45">
        <w:rPr>
          <w:rFonts w:ascii="Verdana" w:hAnsi="Verdana" w:cs="Arial"/>
          <w:sz w:val="20"/>
          <w:szCs w:val="20"/>
        </w:rPr>
        <w:t>Anuncio Martí</w:t>
      </w:r>
      <w:r w:rsidR="00E83D45" w:rsidRPr="00924F1F">
        <w:rPr>
          <w:rFonts w:ascii="Verdana" w:hAnsi="Verdana" w:cs="Arial"/>
          <w:sz w:val="20"/>
          <w:szCs w:val="20"/>
        </w:rPr>
        <w:t xml:space="preserve"> y la supuesta presión política y represiva sufrida durante estos hechos</w:t>
      </w:r>
      <w:r w:rsidR="00E83D45">
        <w:rPr>
          <w:rFonts w:ascii="Verdana" w:hAnsi="Verdana" w:cs="Arial"/>
          <w:sz w:val="20"/>
          <w:szCs w:val="20"/>
        </w:rPr>
        <w:t xml:space="preserve"> por parte del Estado paraguayo,</w:t>
      </w:r>
      <w:r w:rsidR="00E83D45"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sidR="00E83D45">
        <w:rPr>
          <w:rFonts w:ascii="Verdana" w:hAnsi="Verdana" w:cs="Arial"/>
          <w:sz w:val="20"/>
          <w:szCs w:val="20"/>
        </w:rPr>
        <w:t>de persecución que habría realizado el Estado posteriormente</w:t>
      </w:r>
      <w:r w:rsidR="00E83D45" w:rsidRPr="00924F1F">
        <w:rPr>
          <w:rFonts w:ascii="Verdana" w:hAnsi="Verdana" w:cs="Arial"/>
          <w:sz w:val="20"/>
          <w:szCs w:val="20"/>
        </w:rPr>
        <w:t>.</w:t>
      </w:r>
    </w:p>
    <w:p w14:paraId="7BFA50A9" w14:textId="77777777" w:rsidR="00FF2ACE" w:rsidRPr="00E949E1" w:rsidRDefault="00FF2ACE" w:rsidP="00FF2ACE">
      <w:pPr>
        <w:tabs>
          <w:tab w:val="left" w:pos="567"/>
          <w:tab w:val="left" w:pos="1440"/>
        </w:tabs>
        <w:spacing w:after="0" w:line="240" w:lineRule="auto"/>
        <w:ind w:left="1702"/>
        <w:jc w:val="both"/>
        <w:rPr>
          <w:rFonts w:ascii="Verdana" w:hAnsi="Verdana"/>
          <w:bCs/>
          <w:i/>
          <w:iCs/>
          <w:sz w:val="20"/>
          <w:szCs w:val="20"/>
        </w:rPr>
      </w:pPr>
    </w:p>
    <w:p w14:paraId="6C7C33F1" w14:textId="77777777" w:rsidR="00CF2AEE" w:rsidRDefault="000A0FDA" w:rsidP="000A0FDA">
      <w:pPr>
        <w:pStyle w:val="ListParagraph"/>
        <w:numPr>
          <w:ilvl w:val="0"/>
          <w:numId w:val="26"/>
        </w:numPr>
        <w:tabs>
          <w:tab w:val="left" w:pos="567"/>
          <w:tab w:val="left" w:pos="993"/>
        </w:tabs>
        <w:spacing w:after="0" w:line="240" w:lineRule="auto"/>
        <w:jc w:val="both"/>
        <w:rPr>
          <w:rFonts w:ascii="Verdana" w:hAnsi="Verdana" w:cs="Arial"/>
          <w:b/>
          <w:sz w:val="20"/>
          <w:szCs w:val="20"/>
        </w:rPr>
      </w:pPr>
      <w:r w:rsidRPr="000A0FDA">
        <w:rPr>
          <w:rFonts w:ascii="Verdana" w:hAnsi="Verdana" w:cs="Arial"/>
          <w:b/>
          <w:sz w:val="20"/>
          <w:szCs w:val="20"/>
        </w:rPr>
        <w:t>Testigos</w:t>
      </w:r>
      <w:r>
        <w:rPr>
          <w:rFonts w:ascii="Verdana" w:hAnsi="Verdana" w:cs="Arial"/>
          <w:b/>
          <w:sz w:val="20"/>
          <w:szCs w:val="20"/>
        </w:rPr>
        <w:t xml:space="preserve"> </w:t>
      </w:r>
    </w:p>
    <w:p w14:paraId="59C6BA43" w14:textId="77777777" w:rsidR="00CF2AEE" w:rsidRDefault="00CF2AEE" w:rsidP="00CF2AEE">
      <w:pPr>
        <w:pStyle w:val="ListParagraph"/>
        <w:tabs>
          <w:tab w:val="left" w:pos="567"/>
          <w:tab w:val="left" w:pos="993"/>
        </w:tabs>
        <w:spacing w:after="0" w:line="240" w:lineRule="auto"/>
        <w:jc w:val="both"/>
        <w:rPr>
          <w:rFonts w:ascii="Verdana" w:hAnsi="Verdana" w:cs="Arial"/>
          <w:b/>
          <w:sz w:val="20"/>
          <w:szCs w:val="20"/>
        </w:rPr>
      </w:pPr>
    </w:p>
    <w:p w14:paraId="69B133BE" w14:textId="17FBD3EF" w:rsidR="000A0FDA" w:rsidRPr="000A0FDA" w:rsidRDefault="000A0FDA" w:rsidP="00CF2AEE">
      <w:pPr>
        <w:pStyle w:val="ListParagraph"/>
        <w:tabs>
          <w:tab w:val="left" w:pos="567"/>
          <w:tab w:val="left" w:pos="993"/>
        </w:tabs>
        <w:spacing w:after="0" w:line="240" w:lineRule="auto"/>
        <w:jc w:val="both"/>
        <w:rPr>
          <w:rFonts w:ascii="Verdana" w:hAnsi="Verdana" w:cs="Arial"/>
          <w:b/>
          <w:sz w:val="20"/>
          <w:szCs w:val="20"/>
        </w:rPr>
      </w:pPr>
      <w:r w:rsidRPr="00E206D7">
        <w:rPr>
          <w:rFonts w:ascii="Verdana" w:hAnsi="Verdana"/>
          <w:i/>
          <w:sz w:val="20"/>
          <w:szCs w:val="20"/>
        </w:rPr>
        <w:t>(</w:t>
      </w:r>
      <w:r w:rsidR="00CF2AEE">
        <w:rPr>
          <w:rFonts w:ascii="Verdana" w:hAnsi="Verdana"/>
          <w:i/>
          <w:sz w:val="20"/>
          <w:szCs w:val="20"/>
        </w:rPr>
        <w:t>P</w:t>
      </w:r>
      <w:r w:rsidRPr="00E206D7">
        <w:rPr>
          <w:rFonts w:ascii="Verdana" w:eastAsia="Calibri" w:hAnsi="Verdana" w:cs="Verdana"/>
          <w:i/>
          <w:iCs/>
          <w:sz w:val="20"/>
          <w:szCs w:val="20"/>
        </w:rPr>
        <w:t>ropuestos</w:t>
      </w:r>
      <w:r w:rsidRPr="00E206D7">
        <w:rPr>
          <w:rFonts w:ascii="Verdana" w:hAnsi="Verdana"/>
          <w:i/>
          <w:sz w:val="20"/>
          <w:szCs w:val="20"/>
        </w:rPr>
        <w:t xml:space="preserve"> por el representante)</w:t>
      </w:r>
    </w:p>
    <w:p w14:paraId="46D0DF91" w14:textId="77777777" w:rsidR="000A0FDA" w:rsidRDefault="000A0FDA" w:rsidP="000A0FDA">
      <w:pPr>
        <w:pStyle w:val="ListParagraph"/>
        <w:tabs>
          <w:tab w:val="left" w:pos="567"/>
          <w:tab w:val="left" w:pos="993"/>
        </w:tabs>
        <w:spacing w:after="0" w:line="240" w:lineRule="auto"/>
        <w:jc w:val="both"/>
        <w:rPr>
          <w:rFonts w:ascii="Verdana" w:hAnsi="Verdana" w:cs="Arial"/>
          <w:b/>
          <w:sz w:val="20"/>
          <w:szCs w:val="20"/>
        </w:rPr>
      </w:pPr>
    </w:p>
    <w:p w14:paraId="235E8504" w14:textId="77777777" w:rsidR="000A0FDA" w:rsidRDefault="000A0FDA" w:rsidP="000A0FDA">
      <w:pPr>
        <w:autoSpaceDE w:val="0"/>
        <w:autoSpaceDN w:val="0"/>
        <w:adjustRightInd w:val="0"/>
        <w:spacing w:after="0" w:line="240" w:lineRule="auto"/>
        <w:ind w:left="709"/>
        <w:jc w:val="both"/>
        <w:rPr>
          <w:rFonts w:ascii="Verdana" w:hAnsi="Verdana" w:cs="Times New Roman"/>
          <w:sz w:val="20"/>
          <w:szCs w:val="20"/>
        </w:rPr>
      </w:pPr>
      <w:r w:rsidRPr="000A0FDA">
        <w:rPr>
          <w:rFonts w:ascii="Verdana" w:hAnsi="Verdana"/>
          <w:bCs/>
          <w:i/>
          <w:iCs/>
          <w:sz w:val="20"/>
          <w:szCs w:val="20"/>
        </w:rPr>
        <w:t>Raúl Marín</w:t>
      </w:r>
      <w:r w:rsidRPr="000A0FDA">
        <w:rPr>
          <w:rFonts w:ascii="Verdana" w:hAnsi="Verdana"/>
          <w:bCs/>
          <w:iCs/>
          <w:sz w:val="20"/>
          <w:szCs w:val="20"/>
        </w:rPr>
        <w:t>,</w:t>
      </w:r>
      <w:r w:rsidRPr="000A0FDA">
        <w:rPr>
          <w:rFonts w:ascii="Verdana" w:hAnsi="Verdana" w:cs="Arial"/>
          <w:sz w:val="20"/>
          <w:szCs w:val="20"/>
        </w:rPr>
        <w:t xml:space="preserve"> ex Defensor del Pueblo Adjunto, quien declarará sobre la</w:t>
      </w:r>
      <w:r>
        <w:rPr>
          <w:rFonts w:ascii="Verdana" w:hAnsi="Verdana" w:cs="Arial"/>
          <w:sz w:val="20"/>
          <w:szCs w:val="20"/>
        </w:rPr>
        <w:t xml:space="preserve"> información recibida sobre </w:t>
      </w:r>
      <w:r w:rsidRPr="000A0FDA">
        <w:rPr>
          <w:rFonts w:ascii="Verdana" w:hAnsi="Verdana" w:cs="Arial"/>
          <w:sz w:val="20"/>
          <w:szCs w:val="20"/>
        </w:rPr>
        <w:t xml:space="preserve">la detención de Juan </w:t>
      </w:r>
      <w:proofErr w:type="spellStart"/>
      <w:r w:rsidRPr="000A0FDA">
        <w:rPr>
          <w:rFonts w:ascii="Verdana" w:hAnsi="Verdana" w:cs="Arial"/>
          <w:sz w:val="20"/>
          <w:szCs w:val="20"/>
        </w:rPr>
        <w:t>Arrom</w:t>
      </w:r>
      <w:proofErr w:type="spellEnd"/>
      <w:r w:rsidRPr="000A0FDA">
        <w:rPr>
          <w:rFonts w:ascii="Verdana" w:hAnsi="Verdana" w:cs="Arial"/>
          <w:sz w:val="20"/>
          <w:szCs w:val="20"/>
        </w:rPr>
        <w:t xml:space="preserve"> y Anuncio Martí. También declarará sobre su participación en el momento del rescate de los mismos el día </w:t>
      </w:r>
      <w:r w:rsidRPr="000A0FDA">
        <w:rPr>
          <w:rFonts w:ascii="Verdana" w:hAnsi="Verdana" w:cs="Times New Roman"/>
          <w:sz w:val="20"/>
          <w:szCs w:val="20"/>
        </w:rPr>
        <w:t xml:space="preserve">30 </w:t>
      </w:r>
      <w:r w:rsidRPr="000A0FDA">
        <w:rPr>
          <w:rFonts w:ascii="Verdana" w:hAnsi="Verdana" w:cs="Arial"/>
          <w:sz w:val="20"/>
          <w:szCs w:val="20"/>
        </w:rPr>
        <w:t xml:space="preserve">de enero de </w:t>
      </w:r>
      <w:r w:rsidRPr="000A0FDA">
        <w:rPr>
          <w:rFonts w:ascii="Verdana" w:hAnsi="Verdana" w:cs="Times New Roman"/>
          <w:sz w:val="20"/>
          <w:szCs w:val="20"/>
        </w:rPr>
        <w:t>2002.</w:t>
      </w:r>
    </w:p>
    <w:p w14:paraId="38A4655D" w14:textId="77777777" w:rsidR="00EB6EDB" w:rsidRDefault="00EB6EDB" w:rsidP="000A0FDA">
      <w:pPr>
        <w:autoSpaceDE w:val="0"/>
        <w:autoSpaceDN w:val="0"/>
        <w:adjustRightInd w:val="0"/>
        <w:spacing w:after="0" w:line="240" w:lineRule="auto"/>
        <w:ind w:left="709"/>
        <w:jc w:val="both"/>
        <w:rPr>
          <w:rFonts w:ascii="Verdana" w:hAnsi="Verdana" w:cs="Times New Roman"/>
          <w:sz w:val="20"/>
          <w:szCs w:val="20"/>
        </w:rPr>
      </w:pPr>
    </w:p>
    <w:p w14:paraId="37428EEE" w14:textId="1F5D292E" w:rsidR="00C16549" w:rsidRDefault="000A0FDA" w:rsidP="00C16549">
      <w:pPr>
        <w:autoSpaceDE w:val="0"/>
        <w:autoSpaceDN w:val="0"/>
        <w:adjustRightInd w:val="0"/>
        <w:spacing w:after="0" w:line="240" w:lineRule="auto"/>
        <w:ind w:left="709"/>
        <w:jc w:val="both"/>
        <w:rPr>
          <w:rFonts w:ascii="Verdana" w:hAnsi="Verdana" w:cs="Times New Roman"/>
          <w:sz w:val="20"/>
          <w:szCs w:val="20"/>
        </w:rPr>
      </w:pPr>
      <w:r w:rsidRPr="000A0FDA">
        <w:rPr>
          <w:rFonts w:ascii="Verdana" w:hAnsi="Verdana"/>
          <w:bCs/>
          <w:i/>
          <w:iCs/>
          <w:sz w:val="20"/>
          <w:szCs w:val="20"/>
        </w:rPr>
        <w:t xml:space="preserve">Aníbal </w:t>
      </w:r>
      <w:proofErr w:type="spellStart"/>
      <w:r w:rsidRPr="000A0FDA">
        <w:rPr>
          <w:rFonts w:ascii="Verdana" w:hAnsi="Verdana"/>
          <w:bCs/>
          <w:i/>
          <w:iCs/>
          <w:sz w:val="20"/>
          <w:szCs w:val="20"/>
        </w:rPr>
        <w:t>Emery</w:t>
      </w:r>
      <w:proofErr w:type="spellEnd"/>
      <w:r w:rsidRPr="000A0FDA">
        <w:rPr>
          <w:rFonts w:ascii="Verdana" w:hAnsi="Verdana"/>
          <w:bCs/>
          <w:iCs/>
          <w:sz w:val="20"/>
          <w:szCs w:val="20"/>
        </w:rPr>
        <w:t xml:space="preserve">, </w:t>
      </w:r>
      <w:r w:rsidRPr="000A0FDA">
        <w:rPr>
          <w:rFonts w:ascii="Verdana" w:hAnsi="Verdana" w:cs="Arial"/>
          <w:sz w:val="20"/>
          <w:szCs w:val="20"/>
        </w:rPr>
        <w:t>quien declarará sobre la</w:t>
      </w:r>
      <w:r w:rsidRPr="000A0FDA">
        <w:rPr>
          <w:rFonts w:ascii="Verdana" w:hAnsi="Verdana" w:cs="Times New Roman"/>
          <w:sz w:val="20"/>
          <w:szCs w:val="20"/>
        </w:rPr>
        <w:t xml:space="preserve"> </w:t>
      </w:r>
      <w:r w:rsidRPr="000A0FDA">
        <w:rPr>
          <w:rFonts w:ascii="Verdana" w:hAnsi="Verdana" w:cs="Arial"/>
          <w:sz w:val="20"/>
          <w:szCs w:val="20"/>
        </w:rPr>
        <w:t xml:space="preserve">cobertura periodística que realizó del rescate de Juan </w:t>
      </w:r>
      <w:proofErr w:type="spellStart"/>
      <w:r w:rsidRPr="000A0FDA">
        <w:rPr>
          <w:rFonts w:ascii="Verdana" w:hAnsi="Verdana" w:cs="Arial"/>
          <w:sz w:val="20"/>
          <w:szCs w:val="20"/>
        </w:rPr>
        <w:t>Arrom</w:t>
      </w:r>
      <w:proofErr w:type="spellEnd"/>
      <w:r w:rsidRPr="000A0FDA">
        <w:rPr>
          <w:rFonts w:ascii="Verdana" w:hAnsi="Verdana" w:cs="Arial"/>
          <w:sz w:val="20"/>
          <w:szCs w:val="20"/>
        </w:rPr>
        <w:t xml:space="preserve"> y Anuncio Martí</w:t>
      </w:r>
      <w:r w:rsidR="00EB6EDB">
        <w:rPr>
          <w:rFonts w:ascii="Verdana" w:hAnsi="Verdana" w:cs="Arial"/>
          <w:sz w:val="20"/>
          <w:szCs w:val="20"/>
        </w:rPr>
        <w:t xml:space="preserve"> el</w:t>
      </w:r>
      <w:r w:rsidRPr="000A0FDA">
        <w:rPr>
          <w:rFonts w:ascii="Verdana" w:hAnsi="Verdana" w:cs="Arial"/>
          <w:sz w:val="20"/>
          <w:szCs w:val="20"/>
        </w:rPr>
        <w:t xml:space="preserve"> </w:t>
      </w:r>
      <w:r w:rsidRPr="000A0FDA">
        <w:rPr>
          <w:rFonts w:ascii="Verdana" w:hAnsi="Verdana" w:cs="Times New Roman"/>
          <w:sz w:val="20"/>
          <w:szCs w:val="20"/>
        </w:rPr>
        <w:t xml:space="preserve">30 </w:t>
      </w:r>
      <w:r w:rsidRPr="000A0FDA">
        <w:rPr>
          <w:rFonts w:ascii="Verdana" w:hAnsi="Verdana" w:cs="Arial"/>
          <w:sz w:val="20"/>
          <w:szCs w:val="20"/>
        </w:rPr>
        <w:t xml:space="preserve">de enero de </w:t>
      </w:r>
      <w:r w:rsidRPr="000A0FDA">
        <w:rPr>
          <w:rFonts w:ascii="Verdana" w:hAnsi="Verdana" w:cs="Times New Roman"/>
          <w:sz w:val="20"/>
          <w:szCs w:val="20"/>
        </w:rPr>
        <w:t>2002.</w:t>
      </w:r>
    </w:p>
    <w:p w14:paraId="4A3E378D" w14:textId="77777777" w:rsidR="00C16549" w:rsidRDefault="00C16549" w:rsidP="00C16549">
      <w:pPr>
        <w:autoSpaceDE w:val="0"/>
        <w:autoSpaceDN w:val="0"/>
        <w:adjustRightInd w:val="0"/>
        <w:spacing w:after="0" w:line="240" w:lineRule="auto"/>
        <w:ind w:left="709"/>
        <w:jc w:val="both"/>
        <w:rPr>
          <w:rFonts w:ascii="Verdana" w:hAnsi="Verdana"/>
          <w:bCs/>
          <w:i/>
          <w:iCs/>
          <w:sz w:val="20"/>
          <w:szCs w:val="20"/>
        </w:rPr>
      </w:pPr>
    </w:p>
    <w:p w14:paraId="11756CAF" w14:textId="746EA3ED" w:rsidR="00C16549" w:rsidRDefault="00C16549" w:rsidP="00C16549">
      <w:pPr>
        <w:autoSpaceDE w:val="0"/>
        <w:autoSpaceDN w:val="0"/>
        <w:adjustRightInd w:val="0"/>
        <w:spacing w:after="0" w:line="240" w:lineRule="auto"/>
        <w:ind w:left="709"/>
        <w:jc w:val="both"/>
        <w:rPr>
          <w:rFonts w:ascii="Verdana" w:hAnsi="Verdana" w:cs="Times New Roman"/>
          <w:sz w:val="20"/>
          <w:szCs w:val="20"/>
        </w:rPr>
      </w:pPr>
      <w:r w:rsidRPr="00C16549">
        <w:rPr>
          <w:rFonts w:ascii="Verdana" w:hAnsi="Verdana"/>
          <w:bCs/>
          <w:i/>
          <w:iCs/>
          <w:sz w:val="20"/>
          <w:szCs w:val="20"/>
        </w:rPr>
        <w:t>Esperanza Martínez</w:t>
      </w:r>
      <w:r>
        <w:rPr>
          <w:rFonts w:ascii="Verdana" w:hAnsi="Verdana" w:cs="Arial"/>
          <w:sz w:val="20"/>
          <w:szCs w:val="20"/>
        </w:rPr>
        <w:t xml:space="preserve">, quien declarará sobre el estado de salud de </w:t>
      </w:r>
      <w:r w:rsidRPr="00C16549">
        <w:rPr>
          <w:rFonts w:ascii="Verdana" w:hAnsi="Verdana" w:cs="Arial"/>
          <w:sz w:val="20"/>
          <w:szCs w:val="20"/>
        </w:rPr>
        <w:t xml:space="preserve">Juan </w:t>
      </w:r>
      <w:proofErr w:type="spellStart"/>
      <w:r w:rsidRPr="00C16549">
        <w:rPr>
          <w:rFonts w:ascii="Verdana" w:hAnsi="Verdana" w:cs="Arial"/>
          <w:sz w:val="20"/>
          <w:szCs w:val="20"/>
        </w:rPr>
        <w:t>Arrom</w:t>
      </w:r>
      <w:proofErr w:type="spellEnd"/>
      <w:r w:rsidRPr="00C16549">
        <w:rPr>
          <w:rFonts w:ascii="Verdana" w:hAnsi="Verdana" w:cs="Arial"/>
          <w:sz w:val="20"/>
          <w:szCs w:val="20"/>
        </w:rPr>
        <w:t xml:space="preserve"> y Anuncio Mart</w:t>
      </w:r>
      <w:r>
        <w:rPr>
          <w:rFonts w:ascii="Verdana" w:hAnsi="Verdana" w:cs="Arial"/>
          <w:sz w:val="20"/>
          <w:szCs w:val="20"/>
        </w:rPr>
        <w:t xml:space="preserve">í </w:t>
      </w:r>
      <w:r w:rsidR="00420DCB">
        <w:rPr>
          <w:rFonts w:ascii="Verdana" w:hAnsi="Verdana" w:cs="Arial"/>
          <w:sz w:val="20"/>
          <w:szCs w:val="20"/>
        </w:rPr>
        <w:t xml:space="preserve">luego del rescate el </w:t>
      </w:r>
      <w:r>
        <w:rPr>
          <w:rFonts w:ascii="Verdana" w:hAnsi="Verdana" w:cs="Arial"/>
          <w:sz w:val="20"/>
          <w:szCs w:val="20"/>
        </w:rPr>
        <w:t>30 de enero de 2002</w:t>
      </w:r>
      <w:r w:rsidRPr="00C16549">
        <w:rPr>
          <w:rFonts w:ascii="Verdana" w:hAnsi="Verdana" w:cs="Arial"/>
          <w:sz w:val="20"/>
          <w:szCs w:val="20"/>
        </w:rPr>
        <w:t>.</w:t>
      </w:r>
    </w:p>
    <w:p w14:paraId="49D1A364" w14:textId="77777777" w:rsidR="00C16549" w:rsidRDefault="00C16549" w:rsidP="00C16549">
      <w:pPr>
        <w:autoSpaceDE w:val="0"/>
        <w:autoSpaceDN w:val="0"/>
        <w:adjustRightInd w:val="0"/>
        <w:spacing w:after="0" w:line="240" w:lineRule="auto"/>
        <w:ind w:left="709"/>
        <w:jc w:val="both"/>
        <w:rPr>
          <w:rFonts w:ascii="Verdana" w:hAnsi="Verdana"/>
          <w:bCs/>
          <w:i/>
          <w:iCs/>
          <w:sz w:val="20"/>
          <w:szCs w:val="20"/>
        </w:rPr>
      </w:pPr>
    </w:p>
    <w:p w14:paraId="3E5EE0AF" w14:textId="6BE027A2" w:rsidR="00C16549" w:rsidRDefault="00C16549" w:rsidP="00C16549">
      <w:pPr>
        <w:autoSpaceDE w:val="0"/>
        <w:autoSpaceDN w:val="0"/>
        <w:adjustRightInd w:val="0"/>
        <w:spacing w:after="0" w:line="240" w:lineRule="auto"/>
        <w:ind w:left="709"/>
        <w:jc w:val="both"/>
        <w:rPr>
          <w:rFonts w:ascii="Verdana" w:hAnsi="Verdana" w:cs="Arial"/>
          <w:sz w:val="20"/>
          <w:szCs w:val="20"/>
        </w:rPr>
      </w:pPr>
      <w:r w:rsidRPr="00C16549">
        <w:rPr>
          <w:rFonts w:ascii="Verdana" w:hAnsi="Verdana"/>
          <w:bCs/>
          <w:i/>
          <w:iCs/>
          <w:sz w:val="20"/>
          <w:szCs w:val="20"/>
        </w:rPr>
        <w:lastRenderedPageBreak/>
        <w:t xml:space="preserve">Carlos Portillo, </w:t>
      </w:r>
      <w:r w:rsidRPr="00C16549">
        <w:rPr>
          <w:rFonts w:ascii="Verdana" w:hAnsi="Verdana" w:cs="Arial"/>
          <w:sz w:val="20"/>
          <w:szCs w:val="20"/>
        </w:rPr>
        <w:t xml:space="preserve">quien declarará </w:t>
      </w:r>
      <w:r>
        <w:rPr>
          <w:rFonts w:ascii="Verdana" w:hAnsi="Verdana" w:cs="Arial"/>
          <w:sz w:val="20"/>
          <w:szCs w:val="20"/>
        </w:rPr>
        <w:t xml:space="preserve">sobre el estado de salud de </w:t>
      </w:r>
      <w:r w:rsidRPr="00C16549">
        <w:rPr>
          <w:rFonts w:ascii="Verdana" w:hAnsi="Verdana" w:cs="Arial"/>
          <w:sz w:val="20"/>
          <w:szCs w:val="20"/>
        </w:rPr>
        <w:t xml:space="preserve">Juan </w:t>
      </w:r>
      <w:proofErr w:type="spellStart"/>
      <w:r w:rsidRPr="00C16549">
        <w:rPr>
          <w:rFonts w:ascii="Verdana" w:hAnsi="Verdana" w:cs="Arial"/>
          <w:sz w:val="20"/>
          <w:szCs w:val="20"/>
        </w:rPr>
        <w:t>Arrom</w:t>
      </w:r>
      <w:proofErr w:type="spellEnd"/>
      <w:r w:rsidRPr="00C16549">
        <w:rPr>
          <w:rFonts w:ascii="Verdana" w:hAnsi="Verdana" w:cs="Arial"/>
          <w:sz w:val="20"/>
          <w:szCs w:val="20"/>
        </w:rPr>
        <w:t xml:space="preserve"> y Anuncio Mart</w:t>
      </w:r>
      <w:r>
        <w:rPr>
          <w:rFonts w:ascii="Verdana" w:hAnsi="Verdana" w:cs="Arial"/>
          <w:sz w:val="20"/>
          <w:szCs w:val="20"/>
        </w:rPr>
        <w:t xml:space="preserve">í </w:t>
      </w:r>
      <w:r w:rsidR="00420DCB">
        <w:rPr>
          <w:rFonts w:ascii="Verdana" w:hAnsi="Verdana" w:cs="Arial"/>
          <w:sz w:val="20"/>
          <w:szCs w:val="20"/>
        </w:rPr>
        <w:t>luego d</w:t>
      </w:r>
      <w:r>
        <w:rPr>
          <w:rFonts w:ascii="Verdana" w:hAnsi="Verdana" w:cs="Arial"/>
          <w:sz w:val="20"/>
          <w:szCs w:val="20"/>
        </w:rPr>
        <w:t xml:space="preserve">el </w:t>
      </w:r>
      <w:r w:rsidR="00420DCB">
        <w:rPr>
          <w:rFonts w:ascii="Verdana" w:hAnsi="Verdana" w:cs="Arial"/>
          <w:sz w:val="20"/>
          <w:szCs w:val="20"/>
        </w:rPr>
        <w:t xml:space="preserve">rescate el </w:t>
      </w:r>
      <w:r>
        <w:rPr>
          <w:rFonts w:ascii="Verdana" w:hAnsi="Verdana" w:cs="Arial"/>
          <w:sz w:val="20"/>
          <w:szCs w:val="20"/>
        </w:rPr>
        <w:t>30 de enero de 2002</w:t>
      </w:r>
      <w:r w:rsidRPr="00C16549">
        <w:rPr>
          <w:rFonts w:ascii="Verdana" w:hAnsi="Verdana" w:cs="Arial"/>
          <w:sz w:val="20"/>
          <w:szCs w:val="20"/>
        </w:rPr>
        <w:t>, así como el seguimiento de la situación de salud física y psiquiátrica de ambos hasta el año 2009.</w:t>
      </w:r>
    </w:p>
    <w:p w14:paraId="22372A13" w14:textId="77777777" w:rsidR="00C16549" w:rsidRDefault="00C16549" w:rsidP="00C16549">
      <w:pPr>
        <w:autoSpaceDE w:val="0"/>
        <w:autoSpaceDN w:val="0"/>
        <w:adjustRightInd w:val="0"/>
        <w:spacing w:after="0" w:line="240" w:lineRule="auto"/>
        <w:ind w:left="709"/>
        <w:jc w:val="both"/>
        <w:rPr>
          <w:rFonts w:ascii="Verdana" w:hAnsi="Verdana" w:cs="Arial"/>
          <w:sz w:val="20"/>
          <w:szCs w:val="20"/>
        </w:rPr>
      </w:pPr>
    </w:p>
    <w:p w14:paraId="5A014F5A" w14:textId="5F9A2E1F" w:rsidR="00924F1F" w:rsidRDefault="00C16549" w:rsidP="00924F1F">
      <w:pPr>
        <w:autoSpaceDE w:val="0"/>
        <w:autoSpaceDN w:val="0"/>
        <w:adjustRightInd w:val="0"/>
        <w:spacing w:after="0" w:line="240" w:lineRule="auto"/>
        <w:ind w:left="709"/>
        <w:jc w:val="both"/>
        <w:rPr>
          <w:rFonts w:ascii="Verdana" w:hAnsi="Verdana" w:cs="Arial"/>
          <w:sz w:val="20"/>
          <w:szCs w:val="20"/>
        </w:rPr>
      </w:pPr>
      <w:r w:rsidRPr="00C16549">
        <w:rPr>
          <w:rFonts w:ascii="Verdana" w:hAnsi="Verdana"/>
          <w:bCs/>
          <w:i/>
          <w:iCs/>
          <w:sz w:val="20"/>
          <w:szCs w:val="20"/>
        </w:rPr>
        <w:t xml:space="preserve">Mario Torres, </w:t>
      </w:r>
      <w:r w:rsidRPr="00C16549">
        <w:rPr>
          <w:rFonts w:ascii="Verdana" w:hAnsi="Verdana" w:cs="Arial"/>
          <w:sz w:val="20"/>
          <w:szCs w:val="20"/>
        </w:rPr>
        <w:t xml:space="preserve">quien declarará </w:t>
      </w:r>
      <w:r>
        <w:rPr>
          <w:rFonts w:ascii="Verdana" w:hAnsi="Verdana" w:cs="Arial"/>
          <w:sz w:val="20"/>
          <w:szCs w:val="20"/>
        </w:rPr>
        <w:t>sobre</w:t>
      </w:r>
      <w:r w:rsidRPr="00C16549">
        <w:rPr>
          <w:rFonts w:ascii="Verdana" w:hAnsi="Verdana" w:cs="Arial"/>
          <w:sz w:val="20"/>
          <w:szCs w:val="20"/>
        </w:rPr>
        <w:t xml:space="preserve"> las secuelas psicológicas que los hijos de Juan </w:t>
      </w:r>
      <w:proofErr w:type="spellStart"/>
      <w:r w:rsidRPr="00C16549">
        <w:rPr>
          <w:rFonts w:ascii="Verdana" w:hAnsi="Verdana" w:cs="Arial"/>
          <w:sz w:val="20"/>
          <w:szCs w:val="20"/>
        </w:rPr>
        <w:t>Arrom</w:t>
      </w:r>
      <w:proofErr w:type="spellEnd"/>
      <w:r w:rsidRPr="00C16549">
        <w:rPr>
          <w:rFonts w:ascii="Verdana" w:hAnsi="Verdana" w:cs="Arial"/>
          <w:sz w:val="20"/>
          <w:szCs w:val="20"/>
        </w:rPr>
        <w:t xml:space="preserve"> </w:t>
      </w:r>
      <w:proofErr w:type="spellStart"/>
      <w:r w:rsidRPr="00C16549">
        <w:rPr>
          <w:rFonts w:ascii="Verdana" w:hAnsi="Verdana" w:cs="Arial"/>
          <w:sz w:val="20"/>
          <w:szCs w:val="20"/>
        </w:rPr>
        <w:t>Suhurt</w:t>
      </w:r>
      <w:proofErr w:type="spellEnd"/>
      <w:r w:rsidRPr="00C16549">
        <w:rPr>
          <w:rFonts w:ascii="Verdana" w:hAnsi="Verdana" w:cs="Arial"/>
          <w:sz w:val="20"/>
          <w:szCs w:val="20"/>
        </w:rPr>
        <w:t xml:space="preserve"> </w:t>
      </w:r>
      <w:proofErr w:type="spellStart"/>
      <w:r w:rsidRPr="00C16549">
        <w:rPr>
          <w:rFonts w:ascii="Verdana" w:hAnsi="Verdana" w:cs="Arial"/>
          <w:sz w:val="20"/>
          <w:szCs w:val="20"/>
        </w:rPr>
        <w:t>alegadamente</w:t>
      </w:r>
      <w:proofErr w:type="spellEnd"/>
      <w:r w:rsidRPr="00C16549">
        <w:rPr>
          <w:rFonts w:ascii="Verdana" w:hAnsi="Verdana" w:cs="Arial"/>
          <w:sz w:val="20"/>
          <w:szCs w:val="20"/>
        </w:rPr>
        <w:t xml:space="preserve"> </w:t>
      </w:r>
      <w:proofErr w:type="gramStart"/>
      <w:r w:rsidRPr="00C16549">
        <w:rPr>
          <w:rFonts w:ascii="Verdana" w:hAnsi="Verdana" w:cs="Arial"/>
          <w:sz w:val="20"/>
          <w:szCs w:val="20"/>
        </w:rPr>
        <w:t>sufrieron</w:t>
      </w:r>
      <w:proofErr w:type="gramEnd"/>
      <w:r w:rsidRPr="00C16549">
        <w:rPr>
          <w:rFonts w:ascii="Verdana" w:hAnsi="Verdana" w:cs="Arial"/>
          <w:sz w:val="20"/>
          <w:szCs w:val="20"/>
        </w:rPr>
        <w:t xml:space="preserve"> por la desaparición, secuestro y torturas de su familiar.</w:t>
      </w:r>
    </w:p>
    <w:p w14:paraId="56BFD4F5" w14:textId="77777777" w:rsidR="00924F1F" w:rsidRDefault="00924F1F" w:rsidP="00924F1F">
      <w:pPr>
        <w:autoSpaceDE w:val="0"/>
        <w:autoSpaceDN w:val="0"/>
        <w:adjustRightInd w:val="0"/>
        <w:spacing w:after="0" w:line="240" w:lineRule="auto"/>
        <w:ind w:left="709"/>
        <w:jc w:val="both"/>
        <w:rPr>
          <w:rFonts w:ascii="Verdana" w:hAnsi="Verdana" w:cs="Arial"/>
          <w:sz w:val="20"/>
          <w:szCs w:val="20"/>
        </w:rPr>
      </w:pPr>
    </w:p>
    <w:p w14:paraId="714B18F6" w14:textId="77777777" w:rsidR="00924F1F" w:rsidRDefault="00924F1F" w:rsidP="00924F1F">
      <w:pPr>
        <w:autoSpaceDE w:val="0"/>
        <w:autoSpaceDN w:val="0"/>
        <w:adjustRightInd w:val="0"/>
        <w:spacing w:after="0" w:line="240" w:lineRule="auto"/>
        <w:ind w:left="709"/>
        <w:jc w:val="both"/>
        <w:rPr>
          <w:rFonts w:ascii="Verdana" w:hAnsi="Verdana"/>
          <w:bCs/>
          <w:iCs/>
          <w:sz w:val="20"/>
          <w:szCs w:val="20"/>
        </w:rPr>
      </w:pPr>
      <w:r w:rsidRPr="00924F1F">
        <w:rPr>
          <w:rFonts w:ascii="Verdana" w:hAnsi="Verdana"/>
          <w:bCs/>
          <w:i/>
          <w:iCs/>
          <w:sz w:val="20"/>
          <w:szCs w:val="20"/>
        </w:rPr>
        <w:t>Víctor Antonio Colman Orteg</w:t>
      </w:r>
      <w:r w:rsidRPr="00E32B70">
        <w:rPr>
          <w:rFonts w:ascii="Verdana" w:hAnsi="Verdana"/>
          <w:bCs/>
          <w:i/>
          <w:iCs/>
          <w:sz w:val="20"/>
          <w:szCs w:val="20"/>
        </w:rPr>
        <w:t>a</w:t>
      </w:r>
      <w:r w:rsidRPr="00924F1F">
        <w:rPr>
          <w:rFonts w:ascii="Verdana" w:hAnsi="Verdana"/>
          <w:bCs/>
          <w:iCs/>
          <w:sz w:val="20"/>
          <w:szCs w:val="20"/>
        </w:rPr>
        <w:t xml:space="preserve">, </w:t>
      </w:r>
      <w:r w:rsidRPr="00C16549">
        <w:rPr>
          <w:rFonts w:ascii="Verdana" w:hAnsi="Verdana" w:cs="Arial"/>
          <w:sz w:val="20"/>
          <w:szCs w:val="20"/>
        </w:rPr>
        <w:t xml:space="preserve">quien declarará </w:t>
      </w:r>
      <w:r>
        <w:rPr>
          <w:rFonts w:ascii="Verdana" w:hAnsi="Verdana" w:cs="Arial"/>
          <w:sz w:val="20"/>
          <w:szCs w:val="20"/>
        </w:rPr>
        <w:t>sobre</w:t>
      </w:r>
      <w:r w:rsidRPr="00C16549">
        <w:rPr>
          <w:rFonts w:ascii="Verdana" w:hAnsi="Verdana" w:cs="Arial"/>
          <w:sz w:val="20"/>
          <w:szCs w:val="20"/>
        </w:rPr>
        <w:t xml:space="preserve"> </w:t>
      </w:r>
      <w:r>
        <w:rPr>
          <w:rFonts w:ascii="Verdana" w:hAnsi="Verdana" w:cs="Arial"/>
          <w:sz w:val="20"/>
          <w:szCs w:val="20"/>
        </w:rPr>
        <w:t xml:space="preserve">las condiciones de su detención el 19 de enero de 2002 y la información recibida sobre las alegadas detenciones de </w:t>
      </w:r>
      <w:r w:rsidRPr="00924F1F">
        <w:rPr>
          <w:rFonts w:ascii="Verdana" w:hAnsi="Verdana" w:cs="Arial"/>
          <w:sz w:val="20"/>
          <w:szCs w:val="20"/>
        </w:rPr>
        <w:t xml:space="preserve">Juan </w:t>
      </w:r>
      <w:proofErr w:type="spellStart"/>
      <w:r w:rsidRPr="00924F1F">
        <w:rPr>
          <w:rFonts w:ascii="Verdana" w:hAnsi="Verdana" w:cs="Arial"/>
          <w:sz w:val="20"/>
          <w:szCs w:val="20"/>
        </w:rPr>
        <w:t>Arrom</w:t>
      </w:r>
      <w:proofErr w:type="spellEnd"/>
      <w:r w:rsidRPr="00924F1F">
        <w:rPr>
          <w:rFonts w:ascii="Verdana" w:hAnsi="Verdana" w:cs="Arial"/>
          <w:sz w:val="20"/>
          <w:szCs w:val="20"/>
        </w:rPr>
        <w:t xml:space="preserve"> </w:t>
      </w:r>
      <w:proofErr w:type="spellStart"/>
      <w:r w:rsidRPr="00924F1F">
        <w:rPr>
          <w:rFonts w:ascii="Verdana" w:hAnsi="Verdana" w:cs="Arial"/>
          <w:sz w:val="20"/>
          <w:szCs w:val="20"/>
        </w:rPr>
        <w:t>Suhurt</w:t>
      </w:r>
      <w:proofErr w:type="spellEnd"/>
      <w:r w:rsidRPr="00924F1F">
        <w:rPr>
          <w:rFonts w:ascii="Verdana" w:hAnsi="Verdana" w:cs="Arial"/>
          <w:sz w:val="20"/>
          <w:szCs w:val="20"/>
        </w:rPr>
        <w:t xml:space="preserve"> y Anuncio Martí Méndez.</w:t>
      </w:r>
      <w:r w:rsidRPr="00924F1F">
        <w:rPr>
          <w:rFonts w:ascii="Verdana" w:hAnsi="Verdana"/>
          <w:bCs/>
          <w:iCs/>
          <w:sz w:val="20"/>
          <w:szCs w:val="20"/>
        </w:rPr>
        <w:t xml:space="preserve"> </w:t>
      </w:r>
    </w:p>
    <w:p w14:paraId="5C948726" w14:textId="77777777" w:rsidR="00924F1F" w:rsidRDefault="00924F1F" w:rsidP="00924F1F">
      <w:pPr>
        <w:autoSpaceDE w:val="0"/>
        <w:autoSpaceDN w:val="0"/>
        <w:adjustRightInd w:val="0"/>
        <w:spacing w:after="0" w:line="240" w:lineRule="auto"/>
        <w:ind w:left="709"/>
        <w:jc w:val="both"/>
        <w:rPr>
          <w:rFonts w:ascii="Verdana" w:hAnsi="Verdana"/>
          <w:bCs/>
          <w:i/>
          <w:iCs/>
          <w:sz w:val="20"/>
          <w:szCs w:val="20"/>
        </w:rPr>
      </w:pPr>
    </w:p>
    <w:p w14:paraId="2665DC31" w14:textId="13EBE215" w:rsidR="00924F1F" w:rsidRDefault="00924F1F" w:rsidP="00924F1F">
      <w:pPr>
        <w:autoSpaceDE w:val="0"/>
        <w:autoSpaceDN w:val="0"/>
        <w:adjustRightInd w:val="0"/>
        <w:spacing w:after="0" w:line="240" w:lineRule="auto"/>
        <w:ind w:left="709"/>
        <w:jc w:val="both"/>
        <w:rPr>
          <w:rFonts w:ascii="Verdana" w:hAnsi="Verdana" w:cs="Arial"/>
          <w:sz w:val="20"/>
          <w:szCs w:val="20"/>
        </w:rPr>
      </w:pPr>
      <w:r w:rsidRPr="00924F1F">
        <w:rPr>
          <w:rFonts w:ascii="Verdana" w:hAnsi="Verdana"/>
          <w:bCs/>
          <w:i/>
          <w:iCs/>
          <w:sz w:val="20"/>
          <w:szCs w:val="20"/>
        </w:rPr>
        <w:t xml:space="preserve">Liza Liana </w:t>
      </w:r>
      <w:proofErr w:type="spellStart"/>
      <w:r w:rsidRPr="00924F1F">
        <w:rPr>
          <w:rFonts w:ascii="Verdana" w:hAnsi="Verdana"/>
          <w:bCs/>
          <w:i/>
          <w:iCs/>
          <w:sz w:val="20"/>
          <w:szCs w:val="20"/>
        </w:rPr>
        <w:t>Larriera</w:t>
      </w:r>
      <w:proofErr w:type="spellEnd"/>
      <w:r w:rsidRPr="00924F1F">
        <w:rPr>
          <w:rFonts w:ascii="Verdana" w:hAnsi="Verdana"/>
          <w:bCs/>
          <w:i/>
          <w:iCs/>
          <w:sz w:val="20"/>
          <w:szCs w:val="20"/>
        </w:rPr>
        <w:t xml:space="preserve"> Rojas</w:t>
      </w:r>
      <w:r w:rsidRPr="00924F1F">
        <w:rPr>
          <w:rFonts w:ascii="Verdana" w:hAnsi="Verdana"/>
          <w:bCs/>
          <w:iCs/>
          <w:sz w:val="20"/>
          <w:szCs w:val="20"/>
        </w:rPr>
        <w:t xml:space="preserve">, </w:t>
      </w:r>
      <w:r w:rsidRPr="00C16549">
        <w:rPr>
          <w:rFonts w:ascii="Verdana" w:hAnsi="Verdana" w:cs="Arial"/>
          <w:sz w:val="20"/>
          <w:szCs w:val="20"/>
        </w:rPr>
        <w:t xml:space="preserve">quien declarará </w:t>
      </w:r>
      <w:r>
        <w:rPr>
          <w:rFonts w:ascii="Verdana" w:hAnsi="Verdana" w:cs="Arial"/>
          <w:sz w:val="20"/>
          <w:szCs w:val="20"/>
        </w:rPr>
        <w:t>sobre</w:t>
      </w:r>
      <w:r w:rsidRPr="00C16549">
        <w:rPr>
          <w:rFonts w:ascii="Verdana" w:hAnsi="Verdana" w:cs="Arial"/>
          <w:sz w:val="20"/>
          <w:szCs w:val="20"/>
        </w:rPr>
        <w:t xml:space="preserve"> </w:t>
      </w:r>
      <w:r>
        <w:rPr>
          <w:rFonts w:ascii="Verdana" w:hAnsi="Verdana" w:cs="Arial"/>
          <w:sz w:val="20"/>
          <w:szCs w:val="20"/>
        </w:rPr>
        <w:t xml:space="preserve">la </w:t>
      </w:r>
      <w:r w:rsidRPr="00924F1F">
        <w:rPr>
          <w:rFonts w:ascii="Verdana" w:hAnsi="Verdana" w:cs="Arial"/>
          <w:sz w:val="20"/>
          <w:szCs w:val="20"/>
        </w:rPr>
        <w:t xml:space="preserve">alegada afectación moral y psicológica de la alegada desaparición, secuestro y torturas de Juan </w:t>
      </w:r>
      <w:proofErr w:type="spellStart"/>
      <w:r w:rsidRPr="00924F1F">
        <w:rPr>
          <w:rFonts w:ascii="Verdana" w:hAnsi="Verdana" w:cs="Arial"/>
          <w:sz w:val="20"/>
          <w:szCs w:val="20"/>
        </w:rPr>
        <w:t>Arrom</w:t>
      </w:r>
      <w:proofErr w:type="spellEnd"/>
      <w:r w:rsidRPr="00924F1F">
        <w:rPr>
          <w:rFonts w:ascii="Verdana" w:hAnsi="Verdana" w:cs="Arial"/>
          <w:sz w:val="20"/>
          <w:szCs w:val="20"/>
        </w:rPr>
        <w:t xml:space="preserve"> y la supuesta presión política y represiva sufrida durante estos hechos</w:t>
      </w:r>
      <w:r>
        <w:rPr>
          <w:rFonts w:ascii="Verdana" w:hAnsi="Verdana" w:cs="Arial"/>
          <w:sz w:val="20"/>
          <w:szCs w:val="20"/>
        </w:rPr>
        <w:t xml:space="preserve"> por parte del Estado paraguayo,</w:t>
      </w:r>
      <w:r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Pr>
          <w:rFonts w:ascii="Verdana" w:hAnsi="Verdana" w:cs="Arial"/>
          <w:sz w:val="20"/>
          <w:szCs w:val="20"/>
        </w:rPr>
        <w:t xml:space="preserve">de persecución que habría realizado el Estado posteriormente. </w:t>
      </w:r>
    </w:p>
    <w:p w14:paraId="69D955A0" w14:textId="77777777" w:rsidR="00924F1F" w:rsidRDefault="00924F1F" w:rsidP="00924F1F">
      <w:pPr>
        <w:autoSpaceDE w:val="0"/>
        <w:autoSpaceDN w:val="0"/>
        <w:adjustRightInd w:val="0"/>
        <w:spacing w:after="0" w:line="240" w:lineRule="auto"/>
        <w:ind w:left="709"/>
        <w:jc w:val="both"/>
        <w:rPr>
          <w:rFonts w:ascii="Verdana" w:hAnsi="Verdana"/>
          <w:bCs/>
          <w:iCs/>
          <w:sz w:val="20"/>
          <w:szCs w:val="20"/>
        </w:rPr>
      </w:pPr>
    </w:p>
    <w:p w14:paraId="617B9ED1" w14:textId="0509E1CE" w:rsidR="00CF2AEE" w:rsidRDefault="00924F1F" w:rsidP="00CF2AEE">
      <w:pPr>
        <w:autoSpaceDE w:val="0"/>
        <w:autoSpaceDN w:val="0"/>
        <w:adjustRightInd w:val="0"/>
        <w:spacing w:after="0" w:line="240" w:lineRule="auto"/>
        <w:ind w:left="709"/>
        <w:jc w:val="both"/>
        <w:rPr>
          <w:rFonts w:ascii="Verdana" w:hAnsi="Verdana"/>
          <w:bCs/>
          <w:iCs/>
          <w:sz w:val="20"/>
          <w:szCs w:val="20"/>
        </w:rPr>
      </w:pPr>
      <w:r w:rsidRPr="00924F1F">
        <w:rPr>
          <w:rFonts w:ascii="Verdana" w:hAnsi="Verdana"/>
          <w:bCs/>
          <w:i/>
          <w:iCs/>
          <w:sz w:val="20"/>
          <w:szCs w:val="20"/>
        </w:rPr>
        <w:t>Gloria Elizabeth Blanco</w:t>
      </w:r>
      <w:r w:rsidRPr="00924F1F">
        <w:rPr>
          <w:rFonts w:ascii="Verdana" w:hAnsi="Verdana"/>
          <w:bCs/>
          <w:iCs/>
          <w:sz w:val="20"/>
          <w:szCs w:val="20"/>
        </w:rPr>
        <w:t xml:space="preserve">, </w:t>
      </w:r>
      <w:r w:rsidRPr="00C16549">
        <w:rPr>
          <w:rFonts w:ascii="Verdana" w:hAnsi="Verdana" w:cs="Arial"/>
          <w:sz w:val="20"/>
          <w:szCs w:val="20"/>
        </w:rPr>
        <w:t xml:space="preserve">quien declarará </w:t>
      </w:r>
      <w:r>
        <w:rPr>
          <w:rFonts w:ascii="Verdana" w:hAnsi="Verdana" w:cs="Arial"/>
          <w:sz w:val="20"/>
          <w:szCs w:val="20"/>
        </w:rPr>
        <w:t>sobre</w:t>
      </w:r>
      <w:r w:rsidRPr="00C16549">
        <w:rPr>
          <w:rFonts w:ascii="Verdana" w:hAnsi="Verdana" w:cs="Arial"/>
          <w:sz w:val="20"/>
          <w:szCs w:val="20"/>
        </w:rPr>
        <w:t xml:space="preserve"> </w:t>
      </w:r>
      <w:r w:rsidR="00E83D45">
        <w:rPr>
          <w:rFonts w:ascii="Verdana" w:hAnsi="Verdana" w:cs="Arial"/>
          <w:sz w:val="20"/>
          <w:szCs w:val="20"/>
        </w:rPr>
        <w:t xml:space="preserve">la </w:t>
      </w:r>
      <w:r w:rsidR="00E83D45" w:rsidRPr="00924F1F">
        <w:rPr>
          <w:rFonts w:ascii="Verdana" w:hAnsi="Verdana" w:cs="Arial"/>
          <w:sz w:val="20"/>
          <w:szCs w:val="20"/>
        </w:rPr>
        <w:t xml:space="preserve">alegada afectación moral y psicológica de la alegada desaparición, secuestro y torturas de </w:t>
      </w:r>
      <w:r w:rsidR="00E83D45">
        <w:rPr>
          <w:rFonts w:ascii="Verdana" w:hAnsi="Verdana" w:cs="Arial"/>
          <w:sz w:val="20"/>
          <w:szCs w:val="20"/>
        </w:rPr>
        <w:t>Anuncio Martí</w:t>
      </w:r>
      <w:r w:rsidR="00E83D45" w:rsidRPr="00924F1F">
        <w:rPr>
          <w:rFonts w:ascii="Verdana" w:hAnsi="Verdana" w:cs="Arial"/>
          <w:sz w:val="20"/>
          <w:szCs w:val="20"/>
        </w:rPr>
        <w:t xml:space="preserve"> y la supuesta presión política y represiva sufrida durante estos hechos</w:t>
      </w:r>
      <w:r w:rsidR="00E83D45">
        <w:rPr>
          <w:rFonts w:ascii="Verdana" w:hAnsi="Verdana" w:cs="Arial"/>
          <w:sz w:val="20"/>
          <w:szCs w:val="20"/>
        </w:rPr>
        <w:t xml:space="preserve"> por parte del Estado paraguayo,</w:t>
      </w:r>
      <w:r w:rsidR="00E83D45"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sidR="00E83D45">
        <w:rPr>
          <w:rFonts w:ascii="Verdana" w:hAnsi="Verdana" w:cs="Arial"/>
          <w:sz w:val="20"/>
          <w:szCs w:val="20"/>
        </w:rPr>
        <w:t>de persecución que habría realizado el Estado posteriormente</w:t>
      </w:r>
      <w:r w:rsidRPr="00924F1F">
        <w:rPr>
          <w:rFonts w:ascii="Verdana" w:hAnsi="Verdana" w:cs="Arial"/>
          <w:sz w:val="20"/>
          <w:szCs w:val="20"/>
        </w:rPr>
        <w:t>.</w:t>
      </w:r>
    </w:p>
    <w:p w14:paraId="091A1588" w14:textId="77777777" w:rsidR="00CF2AEE" w:rsidRPr="00CF2AEE" w:rsidRDefault="00CF2AEE" w:rsidP="00CF2AEE">
      <w:pPr>
        <w:autoSpaceDE w:val="0"/>
        <w:autoSpaceDN w:val="0"/>
        <w:adjustRightInd w:val="0"/>
        <w:spacing w:after="0" w:line="240" w:lineRule="auto"/>
        <w:ind w:left="709"/>
        <w:jc w:val="both"/>
        <w:rPr>
          <w:rFonts w:ascii="Verdana" w:hAnsi="Verdana"/>
          <w:bCs/>
          <w:i/>
          <w:iCs/>
          <w:color w:val="FF0000"/>
          <w:sz w:val="20"/>
          <w:szCs w:val="20"/>
        </w:rPr>
      </w:pPr>
    </w:p>
    <w:p w14:paraId="7BE9A338" w14:textId="1021459E" w:rsidR="00CF2AEE" w:rsidRDefault="00CF2AEE" w:rsidP="00CF2AEE">
      <w:pPr>
        <w:autoSpaceDE w:val="0"/>
        <w:autoSpaceDN w:val="0"/>
        <w:adjustRightInd w:val="0"/>
        <w:spacing w:after="0" w:line="240" w:lineRule="auto"/>
        <w:ind w:left="709"/>
        <w:jc w:val="both"/>
        <w:rPr>
          <w:rFonts w:ascii="Verdana" w:hAnsi="Verdana" w:cs="Arial"/>
          <w:sz w:val="20"/>
          <w:szCs w:val="20"/>
        </w:rPr>
      </w:pPr>
      <w:r w:rsidRPr="00E83D45">
        <w:rPr>
          <w:rFonts w:ascii="Verdana" w:hAnsi="Verdana"/>
          <w:bCs/>
          <w:i/>
          <w:iCs/>
          <w:sz w:val="20"/>
          <w:szCs w:val="20"/>
        </w:rPr>
        <w:t xml:space="preserve">Elena Mendez Vda. </w:t>
      </w:r>
      <w:r>
        <w:rPr>
          <w:rFonts w:ascii="Verdana" w:hAnsi="Verdana"/>
          <w:bCs/>
          <w:i/>
          <w:iCs/>
          <w:sz w:val="20"/>
          <w:szCs w:val="20"/>
        </w:rPr>
        <w:t>d</w:t>
      </w:r>
      <w:r w:rsidRPr="00E83D45">
        <w:rPr>
          <w:rFonts w:ascii="Verdana" w:hAnsi="Verdana"/>
          <w:bCs/>
          <w:i/>
          <w:iCs/>
          <w:sz w:val="20"/>
          <w:szCs w:val="20"/>
        </w:rPr>
        <w:t>e Martí</w:t>
      </w:r>
      <w:r w:rsidRPr="00E83D45">
        <w:rPr>
          <w:rFonts w:ascii="Verdana" w:hAnsi="Verdana"/>
          <w:bCs/>
          <w:iCs/>
          <w:sz w:val="20"/>
          <w:szCs w:val="20"/>
        </w:rPr>
        <w:t xml:space="preserve">, </w:t>
      </w:r>
      <w:r w:rsidRPr="00C16549">
        <w:rPr>
          <w:rFonts w:ascii="Verdana" w:hAnsi="Verdana" w:cs="Arial"/>
          <w:sz w:val="20"/>
          <w:szCs w:val="20"/>
        </w:rPr>
        <w:t xml:space="preserve">quien declarará </w:t>
      </w:r>
      <w:r>
        <w:rPr>
          <w:rFonts w:ascii="Verdana" w:hAnsi="Verdana" w:cs="Arial"/>
          <w:sz w:val="20"/>
          <w:szCs w:val="20"/>
        </w:rPr>
        <w:t>sobre</w:t>
      </w:r>
      <w:r w:rsidRPr="00C16549">
        <w:rPr>
          <w:rFonts w:ascii="Verdana" w:hAnsi="Verdana" w:cs="Arial"/>
          <w:sz w:val="20"/>
          <w:szCs w:val="20"/>
        </w:rPr>
        <w:t xml:space="preserve"> </w:t>
      </w:r>
      <w:r>
        <w:rPr>
          <w:rFonts w:ascii="Verdana" w:hAnsi="Verdana" w:cs="Arial"/>
          <w:sz w:val="20"/>
          <w:szCs w:val="20"/>
        </w:rPr>
        <w:t xml:space="preserve">la </w:t>
      </w:r>
      <w:r w:rsidRPr="00924F1F">
        <w:rPr>
          <w:rFonts w:ascii="Verdana" w:hAnsi="Verdana" w:cs="Arial"/>
          <w:sz w:val="20"/>
          <w:szCs w:val="20"/>
        </w:rPr>
        <w:t xml:space="preserve">alegada afectación moral y psicológica de la alegada desaparición, secuestro y torturas de </w:t>
      </w:r>
      <w:r>
        <w:rPr>
          <w:rFonts w:ascii="Verdana" w:hAnsi="Verdana" w:cs="Arial"/>
          <w:sz w:val="20"/>
          <w:szCs w:val="20"/>
        </w:rPr>
        <w:t>Anuncio Martí</w:t>
      </w:r>
      <w:r w:rsidRPr="00924F1F">
        <w:rPr>
          <w:rFonts w:ascii="Verdana" w:hAnsi="Verdana" w:cs="Arial"/>
          <w:sz w:val="20"/>
          <w:szCs w:val="20"/>
        </w:rPr>
        <w:t xml:space="preserve"> y la supuesta presión política y represiva sufrida durante estos hechos</w:t>
      </w:r>
      <w:r>
        <w:rPr>
          <w:rFonts w:ascii="Verdana" w:hAnsi="Verdana" w:cs="Arial"/>
          <w:sz w:val="20"/>
          <w:szCs w:val="20"/>
        </w:rPr>
        <w:t xml:space="preserve"> por parte del Estado paraguayo,</w:t>
      </w:r>
      <w:r w:rsidRPr="00924F1F">
        <w:rPr>
          <w:rFonts w:ascii="Verdana" w:hAnsi="Verdana" w:cs="Arial"/>
          <w:sz w:val="20"/>
          <w:szCs w:val="20"/>
        </w:rPr>
        <w:t xml:space="preserve"> así como </w:t>
      </w:r>
      <w:r w:rsidR="00E32B70">
        <w:rPr>
          <w:rFonts w:ascii="Verdana" w:hAnsi="Verdana" w:cs="Arial"/>
          <w:sz w:val="20"/>
          <w:szCs w:val="20"/>
        </w:rPr>
        <w:t xml:space="preserve">la alegada campaña </w:t>
      </w:r>
      <w:r>
        <w:rPr>
          <w:rFonts w:ascii="Verdana" w:hAnsi="Verdana" w:cs="Arial"/>
          <w:sz w:val="20"/>
          <w:szCs w:val="20"/>
        </w:rPr>
        <w:t>de persecución que habría realizado el Estado posteriormente</w:t>
      </w:r>
      <w:r w:rsidRPr="00924F1F">
        <w:rPr>
          <w:rFonts w:ascii="Verdana" w:hAnsi="Verdana" w:cs="Arial"/>
          <w:sz w:val="20"/>
          <w:szCs w:val="20"/>
        </w:rPr>
        <w:t>.</w:t>
      </w:r>
    </w:p>
    <w:p w14:paraId="72920420" w14:textId="77777777" w:rsidR="00CF2AEE" w:rsidRDefault="00CF2AEE" w:rsidP="00CF2AEE">
      <w:pPr>
        <w:autoSpaceDE w:val="0"/>
        <w:autoSpaceDN w:val="0"/>
        <w:adjustRightInd w:val="0"/>
        <w:spacing w:after="0" w:line="240" w:lineRule="auto"/>
        <w:ind w:left="709"/>
        <w:jc w:val="both"/>
        <w:rPr>
          <w:rFonts w:ascii="Verdana" w:hAnsi="Verdana"/>
          <w:bCs/>
          <w:i/>
          <w:iCs/>
          <w:color w:val="FF0000"/>
          <w:sz w:val="20"/>
          <w:szCs w:val="20"/>
        </w:rPr>
      </w:pPr>
    </w:p>
    <w:p w14:paraId="53899D3C" w14:textId="3B117900" w:rsidR="00CF2AEE" w:rsidRPr="00CF2AEE" w:rsidRDefault="00CF2AEE" w:rsidP="00CF2AEE">
      <w:pPr>
        <w:autoSpaceDE w:val="0"/>
        <w:autoSpaceDN w:val="0"/>
        <w:adjustRightInd w:val="0"/>
        <w:spacing w:after="0" w:line="240" w:lineRule="auto"/>
        <w:ind w:left="709"/>
        <w:jc w:val="both"/>
        <w:rPr>
          <w:rFonts w:ascii="Verdana" w:hAnsi="Verdana"/>
          <w:bCs/>
          <w:iCs/>
          <w:sz w:val="20"/>
          <w:szCs w:val="20"/>
        </w:rPr>
      </w:pPr>
      <w:r w:rsidRPr="00CF2AEE">
        <w:rPr>
          <w:rFonts w:ascii="Verdana" w:hAnsi="Verdana"/>
          <w:bCs/>
          <w:i/>
          <w:iCs/>
          <w:sz w:val="20"/>
          <w:szCs w:val="20"/>
        </w:rPr>
        <w:t xml:space="preserve">Paulo </w:t>
      </w:r>
      <w:proofErr w:type="spellStart"/>
      <w:r w:rsidRPr="00CF2AEE">
        <w:rPr>
          <w:rFonts w:ascii="Verdana" w:hAnsi="Verdana"/>
          <w:bCs/>
          <w:i/>
          <w:iCs/>
          <w:sz w:val="20"/>
          <w:szCs w:val="20"/>
        </w:rPr>
        <w:t>Ezequias</w:t>
      </w:r>
      <w:proofErr w:type="spellEnd"/>
      <w:r w:rsidRPr="00CF2AEE">
        <w:rPr>
          <w:rFonts w:ascii="Verdana" w:hAnsi="Verdana"/>
          <w:bCs/>
          <w:i/>
          <w:iCs/>
          <w:sz w:val="20"/>
          <w:szCs w:val="20"/>
        </w:rPr>
        <w:t xml:space="preserve"> de Jesús, </w:t>
      </w:r>
      <w:r w:rsidRPr="00CF2AEE">
        <w:rPr>
          <w:rFonts w:ascii="Verdana" w:hAnsi="Verdana" w:cs="Arial"/>
          <w:sz w:val="20"/>
          <w:szCs w:val="20"/>
        </w:rPr>
        <w:t xml:space="preserve">quien declarará sobre la relación entre el señor Juan </w:t>
      </w:r>
      <w:proofErr w:type="spellStart"/>
      <w:r w:rsidRPr="00CF2AEE">
        <w:rPr>
          <w:rFonts w:ascii="Verdana" w:hAnsi="Verdana" w:cs="Arial"/>
          <w:sz w:val="20"/>
          <w:szCs w:val="20"/>
        </w:rPr>
        <w:t>Arrom</w:t>
      </w:r>
      <w:proofErr w:type="spellEnd"/>
      <w:r w:rsidRPr="00CF2AEE">
        <w:rPr>
          <w:rFonts w:ascii="Verdana" w:hAnsi="Verdana" w:cs="Arial"/>
          <w:sz w:val="20"/>
          <w:szCs w:val="20"/>
        </w:rPr>
        <w:t xml:space="preserve"> y el cónsul paraguayo en la ciudad de Curitiba, en los años </w:t>
      </w:r>
      <w:r w:rsidRPr="00CF2AEE">
        <w:rPr>
          <w:rFonts w:ascii="Verdana" w:hAnsi="Verdana" w:cs="Times New Roman"/>
          <w:sz w:val="20"/>
          <w:szCs w:val="20"/>
        </w:rPr>
        <w:t xml:space="preserve">2009 </w:t>
      </w:r>
      <w:r w:rsidRPr="00CF2AEE">
        <w:rPr>
          <w:rFonts w:ascii="Verdana" w:hAnsi="Verdana" w:cs="Arial"/>
          <w:sz w:val="20"/>
          <w:szCs w:val="20"/>
        </w:rPr>
        <w:t xml:space="preserve">y </w:t>
      </w:r>
      <w:r w:rsidRPr="00CF2AEE">
        <w:rPr>
          <w:rFonts w:ascii="Verdana" w:hAnsi="Verdana" w:cs="Times New Roman"/>
          <w:sz w:val="20"/>
          <w:szCs w:val="20"/>
        </w:rPr>
        <w:t>2010.</w:t>
      </w:r>
    </w:p>
    <w:p w14:paraId="6B3AFBA9" w14:textId="77777777" w:rsidR="000A0FDA" w:rsidRPr="00C16549" w:rsidRDefault="000A0FDA" w:rsidP="00C16549">
      <w:pPr>
        <w:tabs>
          <w:tab w:val="left" w:pos="567"/>
          <w:tab w:val="left" w:pos="993"/>
        </w:tabs>
        <w:spacing w:after="0" w:line="240" w:lineRule="auto"/>
        <w:jc w:val="both"/>
        <w:rPr>
          <w:rFonts w:ascii="Verdana" w:hAnsi="Verdana" w:cs="Arial"/>
          <w:b/>
          <w:sz w:val="20"/>
          <w:szCs w:val="20"/>
        </w:rPr>
      </w:pPr>
    </w:p>
    <w:p w14:paraId="1FEF0B5A" w14:textId="4863BFD4" w:rsidR="00CF2AEE" w:rsidRPr="00CF2AEE" w:rsidRDefault="00CF2AEE" w:rsidP="00CF2AEE">
      <w:pPr>
        <w:tabs>
          <w:tab w:val="left" w:pos="709"/>
          <w:tab w:val="left" w:pos="993"/>
        </w:tabs>
        <w:spacing w:after="0" w:line="240" w:lineRule="auto"/>
        <w:jc w:val="both"/>
        <w:rPr>
          <w:rFonts w:ascii="Verdana" w:hAnsi="Verdana" w:cs="Arial"/>
          <w:i/>
          <w:sz w:val="20"/>
          <w:szCs w:val="20"/>
        </w:rPr>
      </w:pPr>
      <w:r>
        <w:rPr>
          <w:rFonts w:ascii="Verdana" w:hAnsi="Verdana" w:cs="Arial"/>
          <w:b/>
          <w:sz w:val="20"/>
          <w:szCs w:val="20"/>
        </w:rPr>
        <w:tab/>
      </w:r>
      <w:r w:rsidRPr="00CF2AEE">
        <w:rPr>
          <w:rFonts w:ascii="Verdana" w:hAnsi="Verdana" w:cs="Arial"/>
          <w:i/>
          <w:sz w:val="20"/>
          <w:szCs w:val="20"/>
        </w:rPr>
        <w:t>(Propuesto</w:t>
      </w:r>
      <w:r w:rsidR="00E32B70">
        <w:rPr>
          <w:rFonts w:ascii="Verdana" w:hAnsi="Verdana" w:cs="Arial"/>
          <w:i/>
          <w:sz w:val="20"/>
          <w:szCs w:val="20"/>
        </w:rPr>
        <w:t>s</w:t>
      </w:r>
      <w:r w:rsidRPr="00CF2AEE">
        <w:rPr>
          <w:rFonts w:ascii="Verdana" w:hAnsi="Verdana" w:cs="Arial"/>
          <w:i/>
          <w:sz w:val="20"/>
          <w:szCs w:val="20"/>
        </w:rPr>
        <w:t xml:space="preserve"> por el Estado)</w:t>
      </w:r>
    </w:p>
    <w:p w14:paraId="598E3F03" w14:textId="77777777" w:rsidR="00CF2AEE" w:rsidRPr="00CF2AEE" w:rsidRDefault="00CF2AEE" w:rsidP="00CF2AEE">
      <w:pPr>
        <w:autoSpaceDE w:val="0"/>
        <w:autoSpaceDN w:val="0"/>
        <w:adjustRightInd w:val="0"/>
        <w:spacing w:after="0" w:line="240" w:lineRule="auto"/>
        <w:jc w:val="both"/>
        <w:rPr>
          <w:rFonts w:ascii="Verdana" w:hAnsi="Verdana" w:cs="Times New Roman"/>
          <w:i/>
          <w:sz w:val="20"/>
          <w:szCs w:val="20"/>
        </w:rPr>
      </w:pPr>
    </w:p>
    <w:p w14:paraId="772F4C60" w14:textId="00997394" w:rsidR="00CF2AEE" w:rsidRPr="00CF2AEE" w:rsidRDefault="00CF2AEE" w:rsidP="00CF2AEE">
      <w:pPr>
        <w:autoSpaceDE w:val="0"/>
        <w:autoSpaceDN w:val="0"/>
        <w:adjustRightInd w:val="0"/>
        <w:spacing w:after="0" w:line="240" w:lineRule="auto"/>
        <w:ind w:left="709"/>
        <w:jc w:val="both"/>
        <w:rPr>
          <w:rFonts w:ascii="Verdana" w:hAnsi="Verdana" w:cs="Times New Roman"/>
          <w:sz w:val="20"/>
          <w:szCs w:val="20"/>
        </w:rPr>
      </w:pPr>
      <w:r w:rsidRPr="00CF2AEE">
        <w:rPr>
          <w:rFonts w:ascii="Verdana" w:hAnsi="Verdana" w:cs="Times New Roman"/>
          <w:i/>
          <w:sz w:val="20"/>
          <w:szCs w:val="20"/>
        </w:rPr>
        <w:t xml:space="preserve">Adolfo René Marín Ferreira, </w:t>
      </w:r>
      <w:r w:rsidRPr="00CF2AEE">
        <w:rPr>
          <w:rFonts w:ascii="Verdana" w:hAnsi="Verdana" w:cs="Times New Roman"/>
          <w:sz w:val="20"/>
          <w:szCs w:val="20"/>
        </w:rPr>
        <w:t>quien declarará sobre la investigación realizada a los hechos denunciados por las presuntas víctimas.</w:t>
      </w:r>
    </w:p>
    <w:p w14:paraId="3FF7DD01" w14:textId="77777777" w:rsidR="00CF2AEE" w:rsidRPr="00CF2AEE" w:rsidRDefault="00CF2AEE" w:rsidP="00CF2AEE">
      <w:pPr>
        <w:autoSpaceDE w:val="0"/>
        <w:autoSpaceDN w:val="0"/>
        <w:adjustRightInd w:val="0"/>
        <w:spacing w:after="0" w:line="240" w:lineRule="auto"/>
        <w:ind w:left="709"/>
        <w:jc w:val="both"/>
        <w:rPr>
          <w:rFonts w:ascii="Verdana" w:hAnsi="Verdana" w:cs="Times New Roman"/>
          <w:i/>
          <w:sz w:val="20"/>
          <w:szCs w:val="20"/>
        </w:rPr>
      </w:pPr>
    </w:p>
    <w:p w14:paraId="5005D5D0" w14:textId="45E3B2F0" w:rsidR="00CF2AEE" w:rsidRPr="00CF2AEE" w:rsidRDefault="00CF2AEE" w:rsidP="00CF2AEE">
      <w:pPr>
        <w:autoSpaceDE w:val="0"/>
        <w:autoSpaceDN w:val="0"/>
        <w:adjustRightInd w:val="0"/>
        <w:spacing w:after="0" w:line="240" w:lineRule="auto"/>
        <w:ind w:left="709"/>
        <w:jc w:val="both"/>
        <w:rPr>
          <w:rFonts w:ascii="Verdana" w:hAnsi="Verdana" w:cs="Times New Roman"/>
          <w:sz w:val="20"/>
          <w:szCs w:val="20"/>
        </w:rPr>
      </w:pPr>
      <w:r w:rsidRPr="00CF2AEE">
        <w:rPr>
          <w:rFonts w:ascii="Verdana" w:hAnsi="Verdana" w:cs="Times New Roman"/>
          <w:i/>
          <w:sz w:val="20"/>
          <w:szCs w:val="20"/>
        </w:rPr>
        <w:t xml:space="preserve">Juan Carlos Duarte Martínez, </w:t>
      </w:r>
      <w:r w:rsidRPr="00CF2AEE">
        <w:rPr>
          <w:rFonts w:ascii="Verdana" w:hAnsi="Verdana" w:cs="Times New Roman"/>
          <w:sz w:val="20"/>
          <w:szCs w:val="20"/>
        </w:rPr>
        <w:t>quien declarará sobre la investigación realizada a los hechos denunciados por las presuntas víctimas.</w:t>
      </w:r>
    </w:p>
    <w:p w14:paraId="19F3AB9E" w14:textId="77777777" w:rsidR="00CF2AEE" w:rsidRPr="00CF2AEE" w:rsidRDefault="00CF2AEE" w:rsidP="00CF2AEE">
      <w:pPr>
        <w:autoSpaceDE w:val="0"/>
        <w:autoSpaceDN w:val="0"/>
        <w:adjustRightInd w:val="0"/>
        <w:spacing w:after="0" w:line="240" w:lineRule="auto"/>
        <w:ind w:left="709"/>
        <w:jc w:val="both"/>
        <w:rPr>
          <w:rFonts w:ascii="Verdana" w:hAnsi="Verdana" w:cs="Arial"/>
          <w:i/>
          <w:sz w:val="20"/>
          <w:szCs w:val="20"/>
        </w:rPr>
      </w:pPr>
    </w:p>
    <w:p w14:paraId="6E893482" w14:textId="38C6B8B1" w:rsidR="00CF2AEE" w:rsidRPr="00CF2AEE" w:rsidRDefault="00CF2AEE" w:rsidP="00CF2AEE">
      <w:pPr>
        <w:autoSpaceDE w:val="0"/>
        <w:autoSpaceDN w:val="0"/>
        <w:adjustRightInd w:val="0"/>
        <w:spacing w:after="0" w:line="240" w:lineRule="auto"/>
        <w:ind w:left="709"/>
        <w:jc w:val="both"/>
        <w:rPr>
          <w:rFonts w:ascii="Verdana" w:hAnsi="Verdana" w:cs="Arial"/>
          <w:i/>
          <w:sz w:val="20"/>
          <w:szCs w:val="20"/>
        </w:rPr>
      </w:pPr>
      <w:r w:rsidRPr="00CF2AEE">
        <w:rPr>
          <w:rFonts w:ascii="Verdana" w:hAnsi="Verdana" w:cs="Arial"/>
          <w:i/>
          <w:sz w:val="20"/>
          <w:szCs w:val="20"/>
        </w:rPr>
        <w:t>Edgar Gustavo Sánchez Caballero</w:t>
      </w:r>
      <w:r w:rsidRPr="00CF2AEE">
        <w:rPr>
          <w:rFonts w:ascii="Verdana" w:hAnsi="Verdana" w:cs="Times New Roman"/>
          <w:sz w:val="20"/>
          <w:szCs w:val="20"/>
        </w:rPr>
        <w:t>,</w:t>
      </w:r>
      <w:r w:rsidRPr="00CF2AEE">
        <w:rPr>
          <w:rFonts w:ascii="Verdana" w:hAnsi="Verdana" w:cs="Times New Roman"/>
          <w:i/>
          <w:sz w:val="20"/>
          <w:szCs w:val="20"/>
        </w:rPr>
        <w:t xml:space="preserve"> </w:t>
      </w:r>
      <w:r w:rsidRPr="00CF2AEE">
        <w:rPr>
          <w:rFonts w:ascii="Verdana" w:hAnsi="Verdana" w:cs="Times New Roman"/>
          <w:sz w:val="20"/>
          <w:szCs w:val="20"/>
        </w:rPr>
        <w:t>quien declarará sobre la investigación realizada a los hechos denunciados por las presuntas víctimas.</w:t>
      </w:r>
    </w:p>
    <w:p w14:paraId="4647F924" w14:textId="77777777" w:rsidR="00CF2AEE" w:rsidRDefault="00CF2AEE" w:rsidP="00CF2AEE">
      <w:pPr>
        <w:pStyle w:val="ListParagraph"/>
        <w:tabs>
          <w:tab w:val="left" w:pos="567"/>
          <w:tab w:val="left" w:pos="993"/>
        </w:tabs>
        <w:spacing w:after="0" w:line="240" w:lineRule="auto"/>
        <w:jc w:val="both"/>
        <w:rPr>
          <w:rFonts w:ascii="Verdana" w:hAnsi="Verdana" w:cs="Arial"/>
          <w:b/>
          <w:sz w:val="20"/>
          <w:szCs w:val="20"/>
        </w:rPr>
      </w:pPr>
    </w:p>
    <w:p w14:paraId="5FEC37E9" w14:textId="77777777" w:rsidR="00CF2AEE" w:rsidRDefault="000A0FDA" w:rsidP="000A0FDA">
      <w:pPr>
        <w:pStyle w:val="ListParagraph"/>
        <w:numPr>
          <w:ilvl w:val="0"/>
          <w:numId w:val="26"/>
        </w:numPr>
        <w:tabs>
          <w:tab w:val="left" w:pos="567"/>
          <w:tab w:val="left" w:pos="993"/>
        </w:tabs>
        <w:spacing w:after="0" w:line="240" w:lineRule="auto"/>
        <w:jc w:val="both"/>
        <w:rPr>
          <w:rFonts w:ascii="Verdana" w:hAnsi="Verdana" w:cs="Arial"/>
          <w:b/>
          <w:sz w:val="20"/>
          <w:szCs w:val="20"/>
        </w:rPr>
      </w:pPr>
      <w:r>
        <w:rPr>
          <w:rFonts w:ascii="Verdana" w:hAnsi="Verdana" w:cs="Arial"/>
          <w:b/>
          <w:sz w:val="20"/>
          <w:szCs w:val="20"/>
        </w:rPr>
        <w:t>Perito</w:t>
      </w:r>
      <w:r w:rsidR="00CF2AEE">
        <w:rPr>
          <w:rFonts w:ascii="Verdana" w:hAnsi="Verdana" w:cs="Arial"/>
          <w:b/>
          <w:sz w:val="20"/>
          <w:szCs w:val="20"/>
        </w:rPr>
        <w:t>s</w:t>
      </w:r>
    </w:p>
    <w:p w14:paraId="2500A0E7" w14:textId="77777777" w:rsidR="00CF2AEE" w:rsidRDefault="00CF2AEE" w:rsidP="00CF2AEE">
      <w:pPr>
        <w:pStyle w:val="ListParagraph"/>
        <w:tabs>
          <w:tab w:val="left" w:pos="567"/>
          <w:tab w:val="left" w:pos="993"/>
        </w:tabs>
        <w:spacing w:after="0" w:line="240" w:lineRule="auto"/>
        <w:jc w:val="both"/>
        <w:rPr>
          <w:rFonts w:ascii="Verdana" w:hAnsi="Verdana" w:cs="Arial"/>
          <w:b/>
          <w:sz w:val="20"/>
          <w:szCs w:val="20"/>
        </w:rPr>
      </w:pPr>
    </w:p>
    <w:p w14:paraId="5FA4B3B7" w14:textId="2BB605C9" w:rsidR="000A0FDA" w:rsidRPr="00CF2AEE" w:rsidRDefault="00CF2AEE" w:rsidP="00CF2AEE">
      <w:pPr>
        <w:pStyle w:val="ListParagraph"/>
        <w:tabs>
          <w:tab w:val="left" w:pos="567"/>
          <w:tab w:val="left" w:pos="993"/>
        </w:tabs>
        <w:spacing w:after="0" w:line="240" w:lineRule="auto"/>
        <w:jc w:val="both"/>
        <w:rPr>
          <w:rFonts w:ascii="Verdana" w:hAnsi="Verdana" w:cs="Arial"/>
          <w:i/>
          <w:sz w:val="20"/>
          <w:szCs w:val="20"/>
        </w:rPr>
      </w:pPr>
      <w:r w:rsidRPr="00CF2AEE">
        <w:rPr>
          <w:rFonts w:ascii="Verdana" w:hAnsi="Verdana" w:cs="Arial"/>
          <w:i/>
          <w:sz w:val="20"/>
          <w:szCs w:val="20"/>
        </w:rPr>
        <w:t>(P</w:t>
      </w:r>
      <w:r w:rsidR="000A0FDA" w:rsidRPr="00CF2AEE">
        <w:rPr>
          <w:rFonts w:ascii="Verdana" w:hAnsi="Verdana" w:cs="Arial"/>
          <w:i/>
          <w:sz w:val="20"/>
          <w:szCs w:val="20"/>
        </w:rPr>
        <w:t>ropuesto por el representante</w:t>
      </w:r>
      <w:r w:rsidRPr="00CF2AEE">
        <w:rPr>
          <w:rFonts w:ascii="Verdana" w:hAnsi="Verdana" w:cs="Arial"/>
          <w:i/>
          <w:sz w:val="20"/>
          <w:szCs w:val="20"/>
        </w:rPr>
        <w:t>)</w:t>
      </w:r>
    </w:p>
    <w:p w14:paraId="4C8E29B0" w14:textId="77777777" w:rsidR="00A138D5" w:rsidRPr="00E949E1" w:rsidRDefault="00A138D5" w:rsidP="00A138D5">
      <w:pPr>
        <w:tabs>
          <w:tab w:val="left" w:pos="567"/>
          <w:tab w:val="left" w:pos="993"/>
        </w:tabs>
        <w:spacing w:after="0" w:line="240" w:lineRule="auto"/>
        <w:jc w:val="both"/>
        <w:rPr>
          <w:rFonts w:ascii="Verdana" w:hAnsi="Verdana" w:cs="Arial"/>
          <w:b/>
          <w:sz w:val="20"/>
          <w:szCs w:val="20"/>
        </w:rPr>
      </w:pPr>
    </w:p>
    <w:p w14:paraId="55DF8CAB" w14:textId="2A58D29F" w:rsidR="00A138D5" w:rsidRDefault="00A138D5" w:rsidP="00C16549">
      <w:pPr>
        <w:autoSpaceDE w:val="0"/>
        <w:autoSpaceDN w:val="0"/>
        <w:adjustRightInd w:val="0"/>
        <w:spacing w:after="0" w:line="240" w:lineRule="auto"/>
        <w:ind w:left="709"/>
        <w:jc w:val="both"/>
        <w:rPr>
          <w:rFonts w:ascii="Verdana" w:hAnsi="Verdana" w:cs="Arial"/>
          <w:sz w:val="20"/>
          <w:szCs w:val="20"/>
        </w:rPr>
      </w:pPr>
      <w:r w:rsidRPr="000A0FDA">
        <w:rPr>
          <w:rFonts w:ascii="Verdana" w:hAnsi="Verdana" w:cs="Arial"/>
          <w:i/>
          <w:sz w:val="20"/>
          <w:szCs w:val="20"/>
        </w:rPr>
        <w:t xml:space="preserve">Marcelo </w:t>
      </w:r>
      <w:proofErr w:type="spellStart"/>
      <w:r w:rsidRPr="000A0FDA">
        <w:rPr>
          <w:rFonts w:ascii="Verdana" w:hAnsi="Verdana" w:cs="Arial"/>
          <w:i/>
          <w:sz w:val="20"/>
          <w:szCs w:val="20"/>
        </w:rPr>
        <w:t>Kimati</w:t>
      </w:r>
      <w:proofErr w:type="spellEnd"/>
      <w:r w:rsidRPr="000A0FDA">
        <w:rPr>
          <w:rFonts w:ascii="Verdana" w:hAnsi="Verdana" w:cs="Arial"/>
          <w:i/>
          <w:sz w:val="20"/>
          <w:szCs w:val="20"/>
        </w:rPr>
        <w:t xml:space="preserve"> </w:t>
      </w:r>
      <w:proofErr w:type="spellStart"/>
      <w:r w:rsidRPr="000A0FDA">
        <w:rPr>
          <w:rFonts w:ascii="Verdana" w:hAnsi="Verdana" w:cs="Arial"/>
          <w:i/>
          <w:sz w:val="20"/>
          <w:szCs w:val="20"/>
        </w:rPr>
        <w:t>Dias</w:t>
      </w:r>
      <w:proofErr w:type="spellEnd"/>
      <w:r w:rsidR="004416D4" w:rsidRPr="000A0FDA">
        <w:rPr>
          <w:rFonts w:ascii="Verdana" w:hAnsi="Verdana" w:cs="Arial"/>
          <w:sz w:val="20"/>
          <w:szCs w:val="20"/>
        </w:rPr>
        <w:t xml:space="preserve">, </w:t>
      </w:r>
      <w:r w:rsidR="00E32B70">
        <w:rPr>
          <w:rFonts w:ascii="Verdana" w:hAnsi="Verdana" w:cs="Arial"/>
          <w:sz w:val="20"/>
          <w:szCs w:val="20"/>
        </w:rPr>
        <w:t>quien</w:t>
      </w:r>
      <w:r w:rsidR="004416D4" w:rsidRPr="000A0FDA">
        <w:rPr>
          <w:rFonts w:ascii="Verdana" w:hAnsi="Verdana" w:cs="Arial"/>
          <w:sz w:val="20"/>
          <w:szCs w:val="20"/>
        </w:rPr>
        <w:t xml:space="preserve"> declar</w:t>
      </w:r>
      <w:r w:rsidR="00E32B70">
        <w:rPr>
          <w:rFonts w:ascii="Verdana" w:hAnsi="Verdana" w:cs="Arial"/>
          <w:sz w:val="20"/>
          <w:szCs w:val="20"/>
        </w:rPr>
        <w:t>ará</w:t>
      </w:r>
      <w:r w:rsidR="004416D4" w:rsidRPr="000A0FDA">
        <w:rPr>
          <w:rFonts w:ascii="Verdana" w:hAnsi="Verdana" w:cs="Arial"/>
          <w:sz w:val="20"/>
          <w:szCs w:val="20"/>
        </w:rPr>
        <w:t xml:space="preserve"> sobre el informe actualizado médico-psiquiátrico de los señores Juan Francisco </w:t>
      </w:r>
      <w:proofErr w:type="spellStart"/>
      <w:r w:rsidR="004416D4" w:rsidRPr="000A0FDA">
        <w:rPr>
          <w:rFonts w:ascii="Verdana" w:hAnsi="Verdana" w:cs="Arial"/>
          <w:sz w:val="20"/>
          <w:szCs w:val="20"/>
        </w:rPr>
        <w:t>Arrom</w:t>
      </w:r>
      <w:proofErr w:type="spellEnd"/>
      <w:r w:rsidR="004416D4" w:rsidRPr="000A0FDA">
        <w:rPr>
          <w:rFonts w:ascii="Verdana" w:hAnsi="Verdana" w:cs="Arial"/>
          <w:sz w:val="20"/>
          <w:szCs w:val="20"/>
        </w:rPr>
        <w:t xml:space="preserve"> </w:t>
      </w:r>
      <w:proofErr w:type="spellStart"/>
      <w:r w:rsidR="004416D4" w:rsidRPr="000A0FDA">
        <w:rPr>
          <w:rFonts w:ascii="Verdana" w:hAnsi="Verdana" w:cs="Arial"/>
          <w:sz w:val="20"/>
          <w:szCs w:val="20"/>
        </w:rPr>
        <w:t>Suhurt</w:t>
      </w:r>
      <w:proofErr w:type="spellEnd"/>
      <w:r w:rsidR="004416D4" w:rsidRPr="000A0FDA">
        <w:rPr>
          <w:rFonts w:ascii="Verdana" w:hAnsi="Verdana" w:cs="Arial"/>
          <w:sz w:val="20"/>
          <w:szCs w:val="20"/>
        </w:rPr>
        <w:t xml:space="preserve"> y Anuncio Martí Mendez.</w:t>
      </w:r>
    </w:p>
    <w:p w14:paraId="67E54433" w14:textId="77777777" w:rsidR="00E32B70" w:rsidRDefault="00E32B70" w:rsidP="00E32B70">
      <w:pPr>
        <w:autoSpaceDE w:val="0"/>
        <w:autoSpaceDN w:val="0"/>
        <w:adjustRightInd w:val="0"/>
        <w:spacing w:after="0" w:line="240" w:lineRule="auto"/>
        <w:ind w:left="720"/>
        <w:jc w:val="both"/>
        <w:rPr>
          <w:rFonts w:ascii="Verdana" w:hAnsi="Verdana" w:cs="Arial"/>
          <w:b/>
          <w:sz w:val="20"/>
          <w:szCs w:val="20"/>
        </w:rPr>
      </w:pPr>
    </w:p>
    <w:p w14:paraId="073EA0F6" w14:textId="77777777" w:rsidR="00BB2A98" w:rsidRDefault="00BB2A98" w:rsidP="00E32B70">
      <w:pPr>
        <w:autoSpaceDE w:val="0"/>
        <w:autoSpaceDN w:val="0"/>
        <w:adjustRightInd w:val="0"/>
        <w:spacing w:after="0" w:line="240" w:lineRule="auto"/>
        <w:ind w:left="720"/>
        <w:jc w:val="both"/>
        <w:rPr>
          <w:rFonts w:ascii="Verdana" w:hAnsi="Verdana" w:cs="Arial"/>
          <w:b/>
          <w:sz w:val="20"/>
          <w:szCs w:val="20"/>
        </w:rPr>
      </w:pPr>
    </w:p>
    <w:p w14:paraId="08B1A203" w14:textId="77777777" w:rsidR="00BB2A98" w:rsidRDefault="00BB2A98" w:rsidP="00E32B70">
      <w:pPr>
        <w:autoSpaceDE w:val="0"/>
        <w:autoSpaceDN w:val="0"/>
        <w:adjustRightInd w:val="0"/>
        <w:spacing w:after="0" w:line="240" w:lineRule="auto"/>
        <w:ind w:left="720"/>
        <w:jc w:val="both"/>
        <w:rPr>
          <w:rFonts w:ascii="Verdana" w:hAnsi="Verdana" w:cs="Arial"/>
          <w:color w:val="0F0F0F"/>
          <w:sz w:val="20"/>
          <w:szCs w:val="20"/>
        </w:rPr>
      </w:pPr>
    </w:p>
    <w:p w14:paraId="617647DE" w14:textId="16F9CB69" w:rsidR="00E32B70" w:rsidRPr="00AC3DFD" w:rsidRDefault="00E32B70" w:rsidP="00E32B70">
      <w:pPr>
        <w:pStyle w:val="ListParagraph"/>
        <w:tabs>
          <w:tab w:val="left" w:pos="567"/>
          <w:tab w:val="left" w:pos="993"/>
        </w:tabs>
        <w:spacing w:after="0" w:line="240" w:lineRule="auto"/>
        <w:jc w:val="both"/>
        <w:rPr>
          <w:rFonts w:ascii="Verdana" w:hAnsi="Verdana" w:cs="Arial"/>
          <w:i/>
          <w:sz w:val="20"/>
          <w:szCs w:val="20"/>
        </w:rPr>
      </w:pPr>
      <w:r w:rsidRPr="00AC3DFD">
        <w:rPr>
          <w:rFonts w:ascii="Verdana" w:hAnsi="Verdana" w:cs="Arial"/>
          <w:i/>
          <w:sz w:val="20"/>
          <w:szCs w:val="20"/>
        </w:rPr>
        <w:lastRenderedPageBreak/>
        <w:t>(Propuesto</w:t>
      </w:r>
      <w:r>
        <w:rPr>
          <w:rFonts w:ascii="Verdana" w:hAnsi="Verdana" w:cs="Arial"/>
          <w:i/>
          <w:sz w:val="20"/>
          <w:szCs w:val="20"/>
        </w:rPr>
        <w:t>s</w:t>
      </w:r>
      <w:r w:rsidRPr="00AC3DFD">
        <w:rPr>
          <w:rFonts w:ascii="Verdana" w:hAnsi="Verdana" w:cs="Arial"/>
          <w:i/>
          <w:sz w:val="20"/>
          <w:szCs w:val="20"/>
        </w:rPr>
        <w:t xml:space="preserve"> por </w:t>
      </w:r>
      <w:r>
        <w:rPr>
          <w:rFonts w:ascii="Verdana" w:hAnsi="Verdana" w:cs="Arial"/>
          <w:i/>
          <w:sz w:val="20"/>
          <w:szCs w:val="20"/>
        </w:rPr>
        <w:t>el Estado</w:t>
      </w:r>
      <w:r w:rsidRPr="00AC3DFD">
        <w:rPr>
          <w:rFonts w:ascii="Verdana" w:hAnsi="Verdana" w:cs="Arial"/>
          <w:i/>
          <w:sz w:val="20"/>
          <w:szCs w:val="20"/>
        </w:rPr>
        <w:t>)</w:t>
      </w:r>
    </w:p>
    <w:p w14:paraId="11B00CB5" w14:textId="77777777" w:rsidR="00E32B70" w:rsidRPr="00484610" w:rsidRDefault="00E32B70" w:rsidP="00E32B70">
      <w:pPr>
        <w:autoSpaceDE w:val="0"/>
        <w:autoSpaceDN w:val="0"/>
        <w:adjustRightInd w:val="0"/>
        <w:spacing w:after="0" w:line="240" w:lineRule="auto"/>
        <w:ind w:left="720"/>
        <w:jc w:val="both"/>
        <w:rPr>
          <w:rFonts w:ascii="Verdana" w:hAnsi="Verdana" w:cs="Arial"/>
          <w:color w:val="0F0F0F"/>
          <w:sz w:val="20"/>
          <w:szCs w:val="20"/>
        </w:rPr>
      </w:pPr>
    </w:p>
    <w:p w14:paraId="07FD4939" w14:textId="5694D9F4" w:rsidR="00E32B70" w:rsidRDefault="00E32B70" w:rsidP="00E32B70">
      <w:pPr>
        <w:pStyle w:val="ListParagraph"/>
        <w:tabs>
          <w:tab w:val="left" w:pos="567"/>
          <w:tab w:val="left" w:pos="993"/>
        </w:tabs>
        <w:spacing w:after="0" w:line="240" w:lineRule="auto"/>
        <w:jc w:val="both"/>
        <w:rPr>
          <w:rFonts w:ascii="Verdana" w:hAnsi="Verdana" w:cs="Arial"/>
          <w:i/>
          <w:sz w:val="20"/>
          <w:szCs w:val="20"/>
        </w:rPr>
      </w:pPr>
      <w:r>
        <w:rPr>
          <w:rFonts w:ascii="Verdana" w:hAnsi="Verdana" w:cs="Arial"/>
          <w:i/>
          <w:sz w:val="20"/>
          <w:szCs w:val="20"/>
        </w:rPr>
        <w:t xml:space="preserve">Pablo Ernesto </w:t>
      </w:r>
      <w:proofErr w:type="spellStart"/>
      <w:r>
        <w:rPr>
          <w:rFonts w:ascii="Verdana" w:hAnsi="Verdana" w:cs="Arial"/>
          <w:i/>
          <w:sz w:val="20"/>
          <w:szCs w:val="20"/>
        </w:rPr>
        <w:t>Lemir</w:t>
      </w:r>
      <w:proofErr w:type="spellEnd"/>
      <w:r>
        <w:rPr>
          <w:rFonts w:ascii="Verdana" w:hAnsi="Verdana" w:cs="Arial"/>
          <w:i/>
          <w:sz w:val="20"/>
          <w:szCs w:val="20"/>
        </w:rPr>
        <w:t xml:space="preserve"> </w:t>
      </w:r>
      <w:proofErr w:type="spellStart"/>
      <w:r>
        <w:rPr>
          <w:rFonts w:ascii="Verdana" w:hAnsi="Verdana" w:cs="Arial"/>
          <w:i/>
          <w:sz w:val="20"/>
          <w:szCs w:val="20"/>
        </w:rPr>
        <w:t>Marchese</w:t>
      </w:r>
      <w:proofErr w:type="spellEnd"/>
      <w:r>
        <w:rPr>
          <w:rFonts w:ascii="Verdana" w:hAnsi="Verdana" w:cs="Arial"/>
          <w:i/>
          <w:sz w:val="20"/>
          <w:szCs w:val="20"/>
        </w:rPr>
        <w:t xml:space="preserve">, </w:t>
      </w:r>
      <w:r>
        <w:rPr>
          <w:rFonts w:ascii="Verdana" w:hAnsi="Verdana" w:cs="Arial"/>
          <w:sz w:val="20"/>
          <w:szCs w:val="20"/>
        </w:rPr>
        <w:t>quien</w:t>
      </w:r>
      <w:r w:rsidRPr="000A0FDA">
        <w:rPr>
          <w:rFonts w:ascii="Verdana" w:hAnsi="Verdana" w:cs="Arial"/>
          <w:sz w:val="20"/>
          <w:szCs w:val="20"/>
        </w:rPr>
        <w:t xml:space="preserve"> declar</w:t>
      </w:r>
      <w:r>
        <w:rPr>
          <w:rFonts w:ascii="Verdana" w:hAnsi="Verdana" w:cs="Arial"/>
          <w:sz w:val="20"/>
          <w:szCs w:val="20"/>
        </w:rPr>
        <w:t>ará</w:t>
      </w:r>
      <w:r w:rsidRPr="000A0FDA">
        <w:rPr>
          <w:rFonts w:ascii="Verdana" w:hAnsi="Verdana" w:cs="Arial"/>
          <w:sz w:val="20"/>
          <w:szCs w:val="20"/>
        </w:rPr>
        <w:t xml:space="preserve"> sobre</w:t>
      </w:r>
      <w:r>
        <w:rPr>
          <w:rFonts w:ascii="Verdana" w:hAnsi="Verdana" w:cs="Arial"/>
          <w:sz w:val="20"/>
          <w:szCs w:val="20"/>
        </w:rPr>
        <w:t xml:space="preserve"> las lesiones sufridas por Juan </w:t>
      </w:r>
      <w:proofErr w:type="spellStart"/>
      <w:r>
        <w:rPr>
          <w:rFonts w:ascii="Verdana" w:hAnsi="Verdana" w:cs="Arial"/>
          <w:sz w:val="20"/>
          <w:szCs w:val="20"/>
        </w:rPr>
        <w:t>Arrom</w:t>
      </w:r>
      <w:proofErr w:type="spellEnd"/>
      <w:r>
        <w:rPr>
          <w:rFonts w:ascii="Verdana" w:hAnsi="Verdana" w:cs="Arial"/>
          <w:sz w:val="20"/>
          <w:szCs w:val="20"/>
        </w:rPr>
        <w:t xml:space="preserve"> y Anuncio Martí.</w:t>
      </w:r>
    </w:p>
    <w:p w14:paraId="564F61E6" w14:textId="77777777" w:rsidR="00E32B70" w:rsidRDefault="00E32B70" w:rsidP="00E32B70">
      <w:pPr>
        <w:pStyle w:val="ListParagraph"/>
        <w:tabs>
          <w:tab w:val="left" w:pos="567"/>
          <w:tab w:val="left" w:pos="993"/>
        </w:tabs>
        <w:spacing w:after="0" w:line="240" w:lineRule="auto"/>
        <w:jc w:val="both"/>
        <w:rPr>
          <w:rFonts w:ascii="Verdana" w:hAnsi="Verdana" w:cs="Arial"/>
          <w:i/>
          <w:sz w:val="20"/>
          <w:szCs w:val="20"/>
        </w:rPr>
      </w:pPr>
    </w:p>
    <w:p w14:paraId="4033FF80" w14:textId="750518C9" w:rsidR="00E32B70" w:rsidRDefault="00E32B70" w:rsidP="00E32B70">
      <w:pPr>
        <w:pStyle w:val="ListParagraph"/>
        <w:tabs>
          <w:tab w:val="left" w:pos="567"/>
          <w:tab w:val="left" w:pos="993"/>
        </w:tabs>
        <w:spacing w:after="0" w:line="240" w:lineRule="auto"/>
        <w:jc w:val="both"/>
        <w:rPr>
          <w:rFonts w:ascii="Verdana" w:hAnsi="Verdana" w:cs="Arial"/>
          <w:i/>
          <w:sz w:val="20"/>
          <w:szCs w:val="20"/>
        </w:rPr>
      </w:pPr>
      <w:r>
        <w:rPr>
          <w:rFonts w:ascii="Verdana" w:hAnsi="Verdana" w:cs="Arial"/>
          <w:i/>
          <w:sz w:val="20"/>
          <w:szCs w:val="20"/>
        </w:rPr>
        <w:t xml:space="preserve">Nicolás </w:t>
      </w:r>
      <w:proofErr w:type="spellStart"/>
      <w:r>
        <w:rPr>
          <w:rFonts w:ascii="Verdana" w:hAnsi="Verdana" w:cs="Arial"/>
          <w:i/>
          <w:sz w:val="20"/>
          <w:szCs w:val="20"/>
        </w:rPr>
        <w:t>Garcete</w:t>
      </w:r>
      <w:proofErr w:type="spellEnd"/>
      <w:r>
        <w:rPr>
          <w:rFonts w:ascii="Verdana" w:hAnsi="Verdana" w:cs="Arial"/>
          <w:i/>
          <w:sz w:val="20"/>
          <w:szCs w:val="20"/>
        </w:rPr>
        <w:t xml:space="preserve">, </w:t>
      </w:r>
      <w:r>
        <w:rPr>
          <w:rFonts w:ascii="Verdana" w:hAnsi="Verdana" w:cs="Arial"/>
          <w:sz w:val="20"/>
          <w:szCs w:val="20"/>
        </w:rPr>
        <w:t>quien</w:t>
      </w:r>
      <w:r w:rsidRPr="000A0FDA">
        <w:rPr>
          <w:rFonts w:ascii="Verdana" w:hAnsi="Verdana" w:cs="Arial"/>
          <w:sz w:val="20"/>
          <w:szCs w:val="20"/>
        </w:rPr>
        <w:t xml:space="preserve"> declar</w:t>
      </w:r>
      <w:r>
        <w:rPr>
          <w:rFonts w:ascii="Verdana" w:hAnsi="Verdana" w:cs="Arial"/>
          <w:sz w:val="20"/>
          <w:szCs w:val="20"/>
        </w:rPr>
        <w:t>ará</w:t>
      </w:r>
      <w:r w:rsidRPr="000A0FDA">
        <w:rPr>
          <w:rFonts w:ascii="Verdana" w:hAnsi="Verdana" w:cs="Arial"/>
          <w:sz w:val="20"/>
          <w:szCs w:val="20"/>
        </w:rPr>
        <w:t xml:space="preserve"> sobre</w:t>
      </w:r>
      <w:r>
        <w:rPr>
          <w:rFonts w:ascii="Verdana" w:hAnsi="Verdana" w:cs="Arial"/>
          <w:sz w:val="20"/>
          <w:szCs w:val="20"/>
        </w:rPr>
        <w:t xml:space="preserve"> las alegadas secuelas psicológicas sufridas por </w:t>
      </w:r>
      <w:proofErr w:type="gramStart"/>
      <w:r>
        <w:rPr>
          <w:rFonts w:ascii="Verdana" w:hAnsi="Verdana" w:cs="Arial"/>
          <w:sz w:val="20"/>
          <w:szCs w:val="20"/>
        </w:rPr>
        <w:t>las</w:t>
      </w:r>
      <w:proofErr w:type="gramEnd"/>
      <w:r>
        <w:rPr>
          <w:rFonts w:ascii="Verdana" w:hAnsi="Verdana" w:cs="Arial"/>
          <w:sz w:val="20"/>
          <w:szCs w:val="20"/>
        </w:rPr>
        <w:t xml:space="preserve"> Juan </w:t>
      </w:r>
      <w:proofErr w:type="spellStart"/>
      <w:r>
        <w:rPr>
          <w:rFonts w:ascii="Verdana" w:hAnsi="Verdana" w:cs="Arial"/>
          <w:sz w:val="20"/>
          <w:szCs w:val="20"/>
        </w:rPr>
        <w:t>Arrom</w:t>
      </w:r>
      <w:proofErr w:type="spellEnd"/>
      <w:r>
        <w:rPr>
          <w:rFonts w:ascii="Verdana" w:hAnsi="Verdana" w:cs="Arial"/>
          <w:sz w:val="20"/>
          <w:szCs w:val="20"/>
        </w:rPr>
        <w:t xml:space="preserve"> y Anuncio Martí.</w:t>
      </w:r>
    </w:p>
    <w:p w14:paraId="43CF3C9B" w14:textId="77777777" w:rsidR="00E32B70" w:rsidRDefault="00E32B70" w:rsidP="00E32B70">
      <w:pPr>
        <w:pStyle w:val="ListParagraph"/>
        <w:tabs>
          <w:tab w:val="left" w:pos="567"/>
          <w:tab w:val="left" w:pos="993"/>
        </w:tabs>
        <w:spacing w:after="0" w:line="240" w:lineRule="auto"/>
        <w:jc w:val="both"/>
        <w:rPr>
          <w:rFonts w:ascii="Verdana" w:hAnsi="Verdana" w:cs="Arial"/>
          <w:i/>
          <w:sz w:val="20"/>
          <w:szCs w:val="20"/>
        </w:rPr>
      </w:pPr>
    </w:p>
    <w:p w14:paraId="6F5777A5" w14:textId="25DDA9FE" w:rsidR="003B3F36" w:rsidRPr="00AC3DFD" w:rsidRDefault="003B3F36" w:rsidP="00E32B70">
      <w:pPr>
        <w:pStyle w:val="ListParagraph"/>
        <w:tabs>
          <w:tab w:val="left" w:pos="567"/>
          <w:tab w:val="left" w:pos="993"/>
        </w:tabs>
        <w:spacing w:after="0" w:line="240" w:lineRule="auto"/>
        <w:jc w:val="both"/>
        <w:rPr>
          <w:rFonts w:ascii="Verdana" w:hAnsi="Verdana" w:cs="Arial"/>
          <w:i/>
          <w:sz w:val="20"/>
          <w:szCs w:val="20"/>
        </w:rPr>
      </w:pPr>
      <w:r w:rsidRPr="00AC3DFD">
        <w:rPr>
          <w:rFonts w:ascii="Verdana" w:hAnsi="Verdana" w:cs="Arial"/>
          <w:i/>
          <w:sz w:val="20"/>
          <w:szCs w:val="20"/>
        </w:rPr>
        <w:t>(Propuesto por la Comisión)</w:t>
      </w:r>
    </w:p>
    <w:p w14:paraId="5D3A320B" w14:textId="77777777" w:rsidR="00F41E57" w:rsidRPr="00AC3DFD" w:rsidRDefault="00F41E57" w:rsidP="003B3F36">
      <w:pPr>
        <w:pStyle w:val="ListParagraph"/>
        <w:tabs>
          <w:tab w:val="left" w:pos="567"/>
          <w:tab w:val="left" w:pos="993"/>
        </w:tabs>
        <w:spacing w:after="0" w:line="240" w:lineRule="auto"/>
        <w:jc w:val="both"/>
        <w:rPr>
          <w:rFonts w:ascii="Verdana" w:hAnsi="Verdana" w:cs="Arial"/>
          <w:i/>
          <w:sz w:val="20"/>
          <w:szCs w:val="20"/>
        </w:rPr>
      </w:pPr>
    </w:p>
    <w:p w14:paraId="61ED0B2E" w14:textId="02F38F9A" w:rsidR="00F41E57" w:rsidRDefault="00F41E57" w:rsidP="00484610">
      <w:pPr>
        <w:autoSpaceDE w:val="0"/>
        <w:autoSpaceDN w:val="0"/>
        <w:adjustRightInd w:val="0"/>
        <w:spacing w:after="0" w:line="240" w:lineRule="auto"/>
        <w:ind w:left="720"/>
        <w:jc w:val="both"/>
        <w:rPr>
          <w:rFonts w:ascii="Verdana" w:hAnsi="Verdana" w:cs="Arial"/>
          <w:color w:val="0F0F0F"/>
          <w:sz w:val="20"/>
          <w:szCs w:val="20"/>
        </w:rPr>
      </w:pPr>
      <w:r w:rsidRPr="00AC3DFD">
        <w:rPr>
          <w:rFonts w:ascii="Verdana" w:hAnsi="Verdana" w:cs="Arial"/>
          <w:i/>
          <w:sz w:val="20"/>
          <w:szCs w:val="20"/>
        </w:rPr>
        <w:t>Víctor Madrigal</w:t>
      </w:r>
      <w:r w:rsidR="00216C80">
        <w:rPr>
          <w:rFonts w:ascii="Verdana" w:hAnsi="Verdana" w:cs="Arial"/>
          <w:i/>
          <w:sz w:val="20"/>
          <w:szCs w:val="20"/>
        </w:rPr>
        <w:t>-</w:t>
      </w:r>
      <w:proofErr w:type="spellStart"/>
      <w:r w:rsidRPr="00AC3DFD">
        <w:rPr>
          <w:rFonts w:ascii="Verdana" w:hAnsi="Verdana" w:cs="Arial"/>
          <w:i/>
          <w:sz w:val="20"/>
          <w:szCs w:val="20"/>
        </w:rPr>
        <w:t>Borloz</w:t>
      </w:r>
      <w:proofErr w:type="spellEnd"/>
      <w:r w:rsidRPr="00AC3DFD">
        <w:rPr>
          <w:rFonts w:ascii="Verdana" w:hAnsi="Verdana" w:cs="Arial"/>
          <w:i/>
          <w:sz w:val="20"/>
          <w:szCs w:val="20"/>
        </w:rPr>
        <w:t xml:space="preserve">, </w:t>
      </w:r>
      <w:r w:rsidR="00ED4988" w:rsidRPr="00AC3DFD">
        <w:rPr>
          <w:rFonts w:ascii="Verdana" w:hAnsi="Verdana" w:cs="Arial"/>
          <w:color w:val="0F0F0F"/>
          <w:sz w:val="20"/>
          <w:szCs w:val="20"/>
        </w:rPr>
        <w:t xml:space="preserve">quien declarará </w:t>
      </w:r>
      <w:r w:rsidR="00ED4988" w:rsidRPr="00AC3DFD">
        <w:rPr>
          <w:rFonts w:ascii="Verdana" w:hAnsi="Verdana" w:cs="Arial"/>
          <w:color w:val="202020"/>
          <w:sz w:val="20"/>
          <w:szCs w:val="20"/>
        </w:rPr>
        <w:t xml:space="preserve">sobre </w:t>
      </w:r>
      <w:r w:rsidR="00ED4988" w:rsidRPr="00AC3DFD">
        <w:rPr>
          <w:rFonts w:ascii="Verdana" w:hAnsi="Verdana" w:cs="Arial"/>
          <w:color w:val="0F0F0F"/>
          <w:sz w:val="20"/>
          <w:szCs w:val="20"/>
        </w:rPr>
        <w:t>los estándares</w:t>
      </w:r>
      <w:r w:rsidR="00467E9F" w:rsidRPr="00AC3DFD">
        <w:rPr>
          <w:rFonts w:ascii="Verdana" w:hAnsi="Verdana" w:cs="Arial"/>
          <w:color w:val="0F0F0F"/>
          <w:sz w:val="20"/>
          <w:szCs w:val="20"/>
        </w:rPr>
        <w:t xml:space="preserve"> </w:t>
      </w:r>
      <w:r w:rsidR="00ED4988" w:rsidRPr="00AC3DFD">
        <w:rPr>
          <w:rFonts w:ascii="Verdana" w:hAnsi="Verdana" w:cs="Arial"/>
          <w:color w:val="0F0F0F"/>
          <w:sz w:val="20"/>
          <w:szCs w:val="20"/>
        </w:rPr>
        <w:t xml:space="preserve">probatorios aplicables </w:t>
      </w:r>
      <w:r w:rsidR="00ED4988" w:rsidRPr="00AC3DFD">
        <w:rPr>
          <w:rFonts w:ascii="Verdana" w:hAnsi="Verdana" w:cs="Arial"/>
          <w:color w:val="202020"/>
          <w:sz w:val="20"/>
          <w:szCs w:val="20"/>
        </w:rPr>
        <w:t xml:space="preserve">en el </w:t>
      </w:r>
      <w:r w:rsidR="00ED4988" w:rsidRPr="00AC3DFD">
        <w:rPr>
          <w:rFonts w:ascii="Verdana" w:hAnsi="Verdana" w:cs="Arial"/>
          <w:color w:val="0F0F0F"/>
          <w:sz w:val="20"/>
          <w:szCs w:val="20"/>
        </w:rPr>
        <w:t xml:space="preserve">derecho internacional de los derechos humanos para </w:t>
      </w:r>
      <w:r w:rsidR="00ED4988" w:rsidRPr="00AC3DFD">
        <w:rPr>
          <w:rFonts w:ascii="Verdana" w:hAnsi="Verdana" w:cs="Arial"/>
          <w:color w:val="202020"/>
          <w:sz w:val="20"/>
          <w:szCs w:val="20"/>
        </w:rPr>
        <w:t xml:space="preserve">establecer </w:t>
      </w:r>
      <w:r w:rsidR="00ED4988" w:rsidRPr="00AC3DFD">
        <w:rPr>
          <w:rFonts w:ascii="Verdana" w:hAnsi="Verdana" w:cs="Arial"/>
          <w:color w:val="0F0F0F"/>
          <w:sz w:val="20"/>
          <w:szCs w:val="20"/>
        </w:rPr>
        <w:t>la</w:t>
      </w:r>
      <w:r w:rsidR="00467E9F" w:rsidRPr="00AC3DFD">
        <w:rPr>
          <w:rFonts w:ascii="Verdana" w:hAnsi="Verdana" w:cs="Arial"/>
          <w:color w:val="0F0F0F"/>
          <w:sz w:val="20"/>
          <w:szCs w:val="20"/>
        </w:rPr>
        <w:t xml:space="preserve"> </w:t>
      </w:r>
      <w:r w:rsidR="00ED4988" w:rsidRPr="00AC3DFD">
        <w:rPr>
          <w:rFonts w:ascii="Verdana" w:hAnsi="Verdana" w:cs="Arial"/>
          <w:color w:val="202020"/>
          <w:sz w:val="20"/>
          <w:szCs w:val="20"/>
        </w:rPr>
        <w:t xml:space="preserve">existencia </w:t>
      </w:r>
      <w:r w:rsidR="00ED4988" w:rsidRPr="00AC3DFD">
        <w:rPr>
          <w:rFonts w:ascii="Verdana" w:hAnsi="Verdana" w:cs="Arial"/>
          <w:color w:val="0F0F0F"/>
          <w:sz w:val="20"/>
          <w:szCs w:val="20"/>
        </w:rPr>
        <w:t xml:space="preserve">de tortura y/o </w:t>
      </w:r>
      <w:r w:rsidR="00ED4988" w:rsidRPr="00AC3DFD">
        <w:rPr>
          <w:rFonts w:ascii="Verdana" w:hAnsi="Verdana" w:cs="Arial"/>
          <w:color w:val="202020"/>
          <w:sz w:val="20"/>
          <w:szCs w:val="20"/>
        </w:rPr>
        <w:t>desaparición</w:t>
      </w:r>
      <w:r w:rsidR="00ED4988" w:rsidRPr="00484610">
        <w:rPr>
          <w:rFonts w:ascii="Verdana" w:hAnsi="Verdana" w:cs="Arial"/>
          <w:color w:val="202020"/>
          <w:sz w:val="20"/>
          <w:szCs w:val="20"/>
        </w:rPr>
        <w:t xml:space="preserve"> forzada en </w:t>
      </w:r>
      <w:r w:rsidR="00ED4988" w:rsidRPr="00484610">
        <w:rPr>
          <w:rFonts w:ascii="Verdana" w:hAnsi="Verdana" w:cs="Arial"/>
          <w:color w:val="0F0F0F"/>
          <w:sz w:val="20"/>
          <w:szCs w:val="20"/>
        </w:rPr>
        <w:t xml:space="preserve">un </w:t>
      </w:r>
      <w:r w:rsidR="00ED4988" w:rsidRPr="00484610">
        <w:rPr>
          <w:rFonts w:ascii="Verdana" w:hAnsi="Verdana" w:cs="Arial"/>
          <w:color w:val="202020"/>
          <w:sz w:val="20"/>
          <w:szCs w:val="20"/>
        </w:rPr>
        <w:t xml:space="preserve">caso </w:t>
      </w:r>
      <w:r w:rsidR="00ED4988" w:rsidRPr="00484610">
        <w:rPr>
          <w:rFonts w:ascii="Verdana" w:hAnsi="Verdana" w:cs="Arial"/>
          <w:color w:val="0F0F0F"/>
          <w:sz w:val="20"/>
          <w:szCs w:val="20"/>
        </w:rPr>
        <w:t>particular. El</w:t>
      </w:r>
      <w:r w:rsidR="00467E9F" w:rsidRPr="00484610">
        <w:rPr>
          <w:rFonts w:ascii="Verdana" w:hAnsi="Verdana" w:cs="Arial"/>
          <w:color w:val="0F0F0F"/>
          <w:sz w:val="20"/>
          <w:szCs w:val="20"/>
        </w:rPr>
        <w:t xml:space="preserve"> perito</w:t>
      </w:r>
      <w:r w:rsidR="00ED4988" w:rsidRPr="00484610">
        <w:rPr>
          <w:rFonts w:ascii="Verdana" w:hAnsi="Verdana" w:cs="Arial"/>
          <w:color w:val="202020"/>
          <w:sz w:val="20"/>
          <w:szCs w:val="20"/>
        </w:rPr>
        <w:t xml:space="preserve"> </w:t>
      </w:r>
      <w:r w:rsidR="00ED4988" w:rsidRPr="00484610">
        <w:rPr>
          <w:rFonts w:ascii="Verdana" w:hAnsi="Verdana" w:cs="Arial"/>
          <w:color w:val="0F0F0F"/>
          <w:sz w:val="20"/>
          <w:szCs w:val="20"/>
        </w:rPr>
        <w:t xml:space="preserve">tomará </w:t>
      </w:r>
      <w:r w:rsidR="00ED4988" w:rsidRPr="00484610">
        <w:rPr>
          <w:rFonts w:ascii="Verdana" w:hAnsi="Verdana" w:cs="Arial"/>
          <w:color w:val="202020"/>
          <w:sz w:val="20"/>
          <w:szCs w:val="20"/>
        </w:rPr>
        <w:t xml:space="preserve">en cuenta </w:t>
      </w:r>
      <w:r w:rsidR="00ED4988" w:rsidRPr="00484610">
        <w:rPr>
          <w:rFonts w:ascii="Verdana" w:hAnsi="Verdana" w:cs="Arial"/>
          <w:color w:val="0F0F0F"/>
          <w:sz w:val="20"/>
          <w:szCs w:val="20"/>
        </w:rPr>
        <w:t>las</w:t>
      </w:r>
      <w:r w:rsidR="00467E9F" w:rsidRPr="00484610">
        <w:rPr>
          <w:rFonts w:ascii="Verdana" w:hAnsi="Verdana" w:cs="Arial"/>
          <w:color w:val="0F0F0F"/>
          <w:sz w:val="20"/>
          <w:szCs w:val="20"/>
        </w:rPr>
        <w:t xml:space="preserve"> implicaciones </w:t>
      </w:r>
      <w:r w:rsidR="00ED4988" w:rsidRPr="00484610">
        <w:rPr>
          <w:rFonts w:ascii="Verdana" w:hAnsi="Verdana" w:cs="Arial"/>
          <w:color w:val="0F0F0F"/>
          <w:sz w:val="20"/>
          <w:szCs w:val="20"/>
        </w:rPr>
        <w:t xml:space="preserve">probatorias </w:t>
      </w:r>
      <w:r w:rsidR="00467E9F" w:rsidRPr="00484610">
        <w:rPr>
          <w:rFonts w:ascii="Verdana" w:hAnsi="Verdana" w:cs="Arial"/>
          <w:color w:val="202020"/>
          <w:sz w:val="20"/>
          <w:szCs w:val="20"/>
        </w:rPr>
        <w:t xml:space="preserve">y </w:t>
      </w:r>
      <w:r w:rsidR="00ED4988" w:rsidRPr="00484610">
        <w:rPr>
          <w:rFonts w:ascii="Verdana" w:hAnsi="Verdana" w:cs="Arial"/>
          <w:color w:val="0F0F0F"/>
          <w:sz w:val="20"/>
          <w:szCs w:val="20"/>
        </w:rPr>
        <w:t xml:space="preserve">el </w:t>
      </w:r>
      <w:r w:rsidR="00ED4988" w:rsidRPr="00484610">
        <w:rPr>
          <w:rFonts w:ascii="Verdana" w:hAnsi="Verdana" w:cs="Arial"/>
          <w:color w:val="202020"/>
          <w:sz w:val="20"/>
          <w:szCs w:val="20"/>
        </w:rPr>
        <w:t xml:space="preserve">alcance </w:t>
      </w:r>
      <w:r w:rsidR="00ED4988" w:rsidRPr="00484610">
        <w:rPr>
          <w:rFonts w:ascii="Verdana" w:hAnsi="Verdana" w:cs="Arial"/>
          <w:color w:val="0F0F0F"/>
          <w:sz w:val="20"/>
          <w:szCs w:val="20"/>
        </w:rPr>
        <w:t xml:space="preserve">de la </w:t>
      </w:r>
      <w:r w:rsidR="00ED4988" w:rsidRPr="00484610">
        <w:rPr>
          <w:rFonts w:ascii="Verdana" w:hAnsi="Verdana" w:cs="Arial"/>
          <w:color w:val="202020"/>
          <w:sz w:val="20"/>
          <w:szCs w:val="20"/>
        </w:rPr>
        <w:t xml:space="preserve">responsabilidad internacional </w:t>
      </w:r>
      <w:r w:rsidR="00ED4988" w:rsidRPr="00484610">
        <w:rPr>
          <w:rFonts w:ascii="Verdana" w:hAnsi="Verdana" w:cs="Arial"/>
          <w:color w:val="0F0F0F"/>
          <w:sz w:val="20"/>
          <w:szCs w:val="20"/>
        </w:rPr>
        <w:t>del</w:t>
      </w:r>
      <w:r w:rsidR="00467E9F" w:rsidRPr="00484610">
        <w:rPr>
          <w:rFonts w:ascii="Verdana" w:hAnsi="Verdana" w:cs="Arial"/>
          <w:color w:val="0F0F0F"/>
          <w:sz w:val="20"/>
          <w:szCs w:val="20"/>
        </w:rPr>
        <w:t xml:space="preserve"> </w:t>
      </w:r>
      <w:r w:rsidR="00ED4988" w:rsidRPr="00484610">
        <w:rPr>
          <w:rFonts w:ascii="Verdana" w:hAnsi="Verdana" w:cs="Arial"/>
          <w:color w:val="202020"/>
          <w:sz w:val="20"/>
          <w:szCs w:val="20"/>
        </w:rPr>
        <w:t>Estado</w:t>
      </w:r>
      <w:r w:rsidR="00ED4988" w:rsidRPr="00484610">
        <w:rPr>
          <w:rFonts w:ascii="Verdana" w:hAnsi="Verdana" w:cs="Arial"/>
          <w:color w:val="3E3E3E"/>
          <w:sz w:val="20"/>
          <w:szCs w:val="20"/>
        </w:rPr>
        <w:t xml:space="preserve"> </w:t>
      </w:r>
      <w:r w:rsidR="00ED4988" w:rsidRPr="00484610">
        <w:rPr>
          <w:rFonts w:ascii="Verdana" w:hAnsi="Verdana" w:cs="Arial"/>
          <w:color w:val="202020"/>
          <w:sz w:val="20"/>
          <w:szCs w:val="20"/>
        </w:rPr>
        <w:t xml:space="preserve">en supuestos </w:t>
      </w:r>
      <w:r w:rsidR="00ED4988" w:rsidRPr="00484610">
        <w:rPr>
          <w:rFonts w:ascii="Verdana" w:hAnsi="Verdana" w:cs="Arial"/>
          <w:color w:val="0F0F0F"/>
          <w:sz w:val="20"/>
          <w:szCs w:val="20"/>
        </w:rPr>
        <w:t xml:space="preserve">de incumplimiento del </w:t>
      </w:r>
      <w:r w:rsidR="00ED4988" w:rsidRPr="00484610">
        <w:rPr>
          <w:rFonts w:ascii="Verdana" w:hAnsi="Verdana" w:cs="Arial"/>
          <w:color w:val="202020"/>
          <w:sz w:val="20"/>
          <w:szCs w:val="20"/>
        </w:rPr>
        <w:t xml:space="preserve">deber </w:t>
      </w:r>
      <w:r w:rsidR="00ED4988" w:rsidRPr="00484610">
        <w:rPr>
          <w:rFonts w:ascii="Verdana" w:hAnsi="Verdana" w:cs="Arial"/>
          <w:color w:val="0F0F0F"/>
          <w:sz w:val="20"/>
          <w:szCs w:val="20"/>
        </w:rPr>
        <w:t xml:space="preserve">de investigar </w:t>
      </w:r>
      <w:r w:rsidR="00ED4988" w:rsidRPr="00484610">
        <w:rPr>
          <w:rFonts w:ascii="Verdana" w:hAnsi="Verdana" w:cs="Arial"/>
          <w:color w:val="202020"/>
          <w:sz w:val="20"/>
          <w:szCs w:val="20"/>
        </w:rPr>
        <w:t xml:space="preserve">con debida </w:t>
      </w:r>
      <w:r w:rsidR="00ED4988" w:rsidRPr="00484610">
        <w:rPr>
          <w:rFonts w:ascii="Verdana" w:hAnsi="Verdana" w:cs="Arial"/>
          <w:color w:val="0F0F0F"/>
          <w:sz w:val="20"/>
          <w:szCs w:val="20"/>
        </w:rPr>
        <w:t xml:space="preserve">diligencia los indicios </w:t>
      </w:r>
      <w:r w:rsidR="00ED4988" w:rsidRPr="00484610">
        <w:rPr>
          <w:rFonts w:ascii="Verdana" w:hAnsi="Verdana" w:cs="Arial"/>
          <w:color w:val="202020"/>
          <w:sz w:val="20"/>
          <w:szCs w:val="20"/>
        </w:rPr>
        <w:t>de</w:t>
      </w:r>
      <w:r w:rsidR="00467E9F" w:rsidRPr="00484610">
        <w:rPr>
          <w:rFonts w:ascii="Verdana" w:hAnsi="Verdana" w:cs="Arial"/>
          <w:color w:val="0F0F0F"/>
          <w:sz w:val="20"/>
          <w:szCs w:val="20"/>
        </w:rPr>
        <w:t xml:space="preserve"> </w:t>
      </w:r>
      <w:r w:rsidR="00ED4988" w:rsidRPr="00484610">
        <w:rPr>
          <w:rFonts w:ascii="Verdana" w:hAnsi="Verdana" w:cs="Arial"/>
          <w:color w:val="202020"/>
          <w:sz w:val="20"/>
          <w:szCs w:val="20"/>
        </w:rPr>
        <w:t xml:space="preserve">participación estatal en </w:t>
      </w:r>
      <w:r w:rsidR="00ED4988" w:rsidRPr="00484610">
        <w:rPr>
          <w:rFonts w:ascii="Verdana" w:hAnsi="Verdana" w:cs="Arial"/>
          <w:color w:val="0F0F0F"/>
          <w:sz w:val="20"/>
          <w:szCs w:val="20"/>
        </w:rPr>
        <w:t xml:space="preserve">los hechos </w:t>
      </w:r>
      <w:r w:rsidR="00ED4988" w:rsidRPr="00484610">
        <w:rPr>
          <w:rFonts w:ascii="Verdana" w:hAnsi="Verdana" w:cs="Arial"/>
          <w:color w:val="202020"/>
          <w:sz w:val="20"/>
          <w:szCs w:val="20"/>
        </w:rPr>
        <w:t xml:space="preserve">denunciados. </w:t>
      </w:r>
      <w:r w:rsidR="00467E9F" w:rsidRPr="00484610">
        <w:rPr>
          <w:rFonts w:ascii="Verdana" w:hAnsi="Verdana" w:cs="Arial"/>
          <w:color w:val="0F0F0F"/>
          <w:sz w:val="20"/>
          <w:szCs w:val="20"/>
        </w:rPr>
        <w:t>Además, el perito se</w:t>
      </w:r>
      <w:r w:rsidR="00ED4988" w:rsidRPr="00484610">
        <w:rPr>
          <w:rFonts w:ascii="Verdana" w:hAnsi="Verdana" w:cs="Arial"/>
          <w:color w:val="202020"/>
          <w:sz w:val="20"/>
          <w:szCs w:val="20"/>
        </w:rPr>
        <w:t xml:space="preserve"> </w:t>
      </w:r>
      <w:r w:rsidR="00ED4988" w:rsidRPr="00484610">
        <w:rPr>
          <w:rFonts w:ascii="Verdana" w:hAnsi="Verdana" w:cs="Arial"/>
          <w:color w:val="0F0F0F"/>
          <w:sz w:val="20"/>
          <w:szCs w:val="20"/>
        </w:rPr>
        <w:t xml:space="preserve">referirá </w:t>
      </w:r>
      <w:r w:rsidR="00ED4988" w:rsidRPr="00484610">
        <w:rPr>
          <w:rFonts w:ascii="Verdana" w:hAnsi="Verdana" w:cs="Arial"/>
          <w:color w:val="202020"/>
          <w:sz w:val="20"/>
          <w:szCs w:val="20"/>
        </w:rPr>
        <w:t xml:space="preserve">a </w:t>
      </w:r>
      <w:r w:rsidR="00ED4988" w:rsidRPr="00484610">
        <w:rPr>
          <w:rFonts w:ascii="Verdana" w:hAnsi="Verdana" w:cs="Arial"/>
          <w:color w:val="0F0F0F"/>
          <w:sz w:val="20"/>
          <w:szCs w:val="20"/>
        </w:rPr>
        <w:t xml:space="preserve">los </w:t>
      </w:r>
      <w:r w:rsidR="00ED4988" w:rsidRPr="00484610">
        <w:rPr>
          <w:rFonts w:ascii="Verdana" w:hAnsi="Verdana" w:cs="Arial"/>
          <w:color w:val="202020"/>
          <w:sz w:val="20"/>
          <w:szCs w:val="20"/>
        </w:rPr>
        <w:t xml:space="preserve">estándares </w:t>
      </w:r>
      <w:r w:rsidR="00ED4988" w:rsidRPr="00484610">
        <w:rPr>
          <w:rFonts w:ascii="Verdana" w:hAnsi="Verdana" w:cs="Arial"/>
          <w:color w:val="0F0F0F"/>
          <w:sz w:val="20"/>
          <w:szCs w:val="20"/>
        </w:rPr>
        <w:t xml:space="preserve">internacionales </w:t>
      </w:r>
      <w:r w:rsidR="00467E9F" w:rsidRPr="00484610">
        <w:rPr>
          <w:rFonts w:ascii="Verdana" w:hAnsi="Verdana" w:cs="Arial"/>
          <w:color w:val="202020"/>
          <w:sz w:val="20"/>
          <w:szCs w:val="20"/>
        </w:rPr>
        <w:t>relevantes para</w:t>
      </w:r>
      <w:r w:rsidR="00ED4988" w:rsidRPr="00484610">
        <w:rPr>
          <w:rFonts w:ascii="Verdana" w:hAnsi="Verdana" w:cs="Arial"/>
          <w:color w:val="202020"/>
          <w:sz w:val="20"/>
          <w:szCs w:val="20"/>
        </w:rPr>
        <w:t xml:space="preserve"> calificar ciertos </w:t>
      </w:r>
      <w:r w:rsidR="00ED4988" w:rsidRPr="00484610">
        <w:rPr>
          <w:rFonts w:ascii="Verdana" w:hAnsi="Verdana" w:cs="Arial"/>
          <w:color w:val="0F0F0F"/>
          <w:sz w:val="20"/>
          <w:szCs w:val="20"/>
        </w:rPr>
        <w:t xml:space="preserve">hechos como </w:t>
      </w:r>
      <w:r w:rsidR="00467E9F" w:rsidRPr="00484610">
        <w:rPr>
          <w:rFonts w:ascii="Verdana" w:hAnsi="Verdana" w:cs="Arial"/>
          <w:color w:val="202020"/>
          <w:sz w:val="20"/>
          <w:szCs w:val="20"/>
        </w:rPr>
        <w:t>desaparición forzada, aun</w:t>
      </w:r>
      <w:r w:rsidR="00ED4988" w:rsidRPr="00484610">
        <w:rPr>
          <w:rFonts w:ascii="Verdana" w:hAnsi="Verdana" w:cs="Arial"/>
          <w:color w:val="202020"/>
          <w:sz w:val="20"/>
          <w:szCs w:val="20"/>
        </w:rPr>
        <w:t xml:space="preserve"> </w:t>
      </w:r>
      <w:r w:rsidR="00ED4988" w:rsidRPr="00484610">
        <w:rPr>
          <w:rFonts w:ascii="Verdana" w:hAnsi="Verdana" w:cs="Arial"/>
          <w:color w:val="0F0F0F"/>
          <w:sz w:val="20"/>
          <w:szCs w:val="20"/>
        </w:rPr>
        <w:t xml:space="preserve">cuando la </w:t>
      </w:r>
      <w:r w:rsidR="00ED4988" w:rsidRPr="00484610">
        <w:rPr>
          <w:rFonts w:ascii="Verdana" w:hAnsi="Verdana" w:cs="Arial"/>
          <w:color w:val="202020"/>
          <w:sz w:val="20"/>
          <w:szCs w:val="20"/>
        </w:rPr>
        <w:t xml:space="preserve">víctima </w:t>
      </w:r>
      <w:r w:rsidR="00ED4988" w:rsidRPr="00484610">
        <w:rPr>
          <w:rFonts w:ascii="Verdana" w:hAnsi="Verdana" w:cs="Arial"/>
          <w:color w:val="0F0F0F"/>
          <w:sz w:val="20"/>
          <w:szCs w:val="20"/>
        </w:rPr>
        <w:t xml:space="preserve">aparece </w:t>
      </w:r>
      <w:r w:rsidR="00ED4988" w:rsidRPr="00484610">
        <w:rPr>
          <w:rFonts w:ascii="Verdana" w:hAnsi="Verdana" w:cs="Arial"/>
          <w:color w:val="202020"/>
          <w:sz w:val="20"/>
          <w:szCs w:val="20"/>
        </w:rPr>
        <w:t>con vida con</w:t>
      </w:r>
      <w:r w:rsidR="00467E9F" w:rsidRPr="00484610">
        <w:rPr>
          <w:rFonts w:ascii="Verdana" w:hAnsi="Verdana" w:cs="Arial"/>
          <w:color w:val="0F0F0F"/>
          <w:sz w:val="20"/>
          <w:szCs w:val="20"/>
        </w:rPr>
        <w:t xml:space="preserve"> </w:t>
      </w:r>
      <w:r w:rsidR="00ED4988" w:rsidRPr="00484610">
        <w:rPr>
          <w:rFonts w:ascii="Verdana" w:hAnsi="Verdana" w:cs="Arial"/>
          <w:color w:val="0F0F0F"/>
          <w:sz w:val="20"/>
          <w:szCs w:val="20"/>
        </w:rPr>
        <w:t xml:space="preserve">posterioridad. </w:t>
      </w:r>
      <w:r w:rsidR="00467E9F" w:rsidRPr="00484610">
        <w:rPr>
          <w:rFonts w:ascii="Verdana" w:hAnsi="Verdana" w:cs="Arial"/>
          <w:color w:val="0F0F0F"/>
          <w:sz w:val="20"/>
          <w:szCs w:val="20"/>
        </w:rPr>
        <w:t>Finalmente, el perito</w:t>
      </w:r>
      <w:r w:rsidR="00ED4988" w:rsidRPr="00484610">
        <w:rPr>
          <w:rFonts w:ascii="Verdana" w:hAnsi="Verdana" w:cs="Arial"/>
          <w:color w:val="0F0F0F"/>
          <w:sz w:val="20"/>
          <w:szCs w:val="20"/>
        </w:rPr>
        <w:t xml:space="preserve"> podrá referirse </w:t>
      </w:r>
      <w:r w:rsidR="00ED4988" w:rsidRPr="00484610">
        <w:rPr>
          <w:rFonts w:ascii="Verdana" w:hAnsi="Verdana" w:cs="Arial"/>
          <w:color w:val="202020"/>
          <w:sz w:val="20"/>
          <w:szCs w:val="20"/>
        </w:rPr>
        <w:t xml:space="preserve">a </w:t>
      </w:r>
      <w:r w:rsidR="00ED4988" w:rsidRPr="00484610">
        <w:rPr>
          <w:rFonts w:ascii="Verdana" w:hAnsi="Verdana" w:cs="Arial"/>
          <w:color w:val="0F0F0F"/>
          <w:sz w:val="20"/>
          <w:szCs w:val="20"/>
        </w:rPr>
        <w:t xml:space="preserve">los hechos del </w:t>
      </w:r>
      <w:r w:rsidR="00ED4988" w:rsidRPr="00484610">
        <w:rPr>
          <w:rFonts w:ascii="Verdana" w:hAnsi="Verdana" w:cs="Arial"/>
          <w:color w:val="202020"/>
          <w:sz w:val="20"/>
          <w:szCs w:val="20"/>
        </w:rPr>
        <w:t xml:space="preserve">caso a </w:t>
      </w:r>
      <w:r w:rsidR="00ED4988" w:rsidRPr="00484610">
        <w:rPr>
          <w:rFonts w:ascii="Verdana" w:hAnsi="Verdana" w:cs="Arial"/>
          <w:color w:val="0F0F0F"/>
          <w:sz w:val="20"/>
          <w:szCs w:val="20"/>
        </w:rPr>
        <w:t xml:space="preserve">modo </w:t>
      </w:r>
      <w:r w:rsidR="00ED4988" w:rsidRPr="00484610">
        <w:rPr>
          <w:rFonts w:ascii="Verdana" w:hAnsi="Verdana" w:cs="Arial"/>
          <w:color w:val="202020"/>
          <w:sz w:val="20"/>
          <w:szCs w:val="20"/>
        </w:rPr>
        <w:t xml:space="preserve">de ejemplificar </w:t>
      </w:r>
      <w:r w:rsidR="00ED4988" w:rsidRPr="00484610">
        <w:rPr>
          <w:rFonts w:ascii="Verdana" w:hAnsi="Verdana" w:cs="Arial"/>
          <w:color w:val="0F0F0F"/>
          <w:sz w:val="20"/>
          <w:szCs w:val="20"/>
        </w:rPr>
        <w:t xml:space="preserve">los </w:t>
      </w:r>
      <w:r w:rsidR="00ED4988" w:rsidRPr="00484610">
        <w:rPr>
          <w:rFonts w:ascii="Verdana" w:hAnsi="Verdana" w:cs="Arial"/>
          <w:color w:val="202020"/>
          <w:sz w:val="20"/>
          <w:szCs w:val="20"/>
        </w:rPr>
        <w:t>aspectos</w:t>
      </w:r>
      <w:r w:rsidR="00467E9F" w:rsidRPr="00484610">
        <w:rPr>
          <w:rFonts w:ascii="Verdana" w:hAnsi="Verdana" w:cs="Arial"/>
          <w:color w:val="0F0F0F"/>
          <w:sz w:val="20"/>
          <w:szCs w:val="20"/>
        </w:rPr>
        <w:t xml:space="preserve"> </w:t>
      </w:r>
      <w:r w:rsidR="00ED4988" w:rsidRPr="00484610">
        <w:rPr>
          <w:rFonts w:ascii="Verdana" w:hAnsi="Verdana" w:cs="Arial"/>
          <w:color w:val="0F0F0F"/>
          <w:sz w:val="20"/>
          <w:szCs w:val="20"/>
        </w:rPr>
        <w:t xml:space="preserve">desarrollados </w:t>
      </w:r>
      <w:r w:rsidR="00ED4988" w:rsidRPr="00484610">
        <w:rPr>
          <w:rFonts w:ascii="Verdana" w:hAnsi="Verdana" w:cs="Arial"/>
          <w:color w:val="202020"/>
          <w:sz w:val="20"/>
          <w:szCs w:val="20"/>
        </w:rPr>
        <w:t xml:space="preserve">en el </w:t>
      </w:r>
      <w:r w:rsidR="00ED4988" w:rsidRPr="00484610">
        <w:rPr>
          <w:rFonts w:ascii="Verdana" w:hAnsi="Verdana" w:cs="Arial"/>
          <w:color w:val="0F0F0F"/>
          <w:sz w:val="20"/>
          <w:szCs w:val="20"/>
        </w:rPr>
        <w:t>peritaje.</w:t>
      </w:r>
    </w:p>
    <w:p w14:paraId="6394DE44" w14:textId="7CAC5A9A" w:rsidR="00A138D5" w:rsidRPr="00484610" w:rsidRDefault="00A138D5" w:rsidP="003E055B">
      <w:pPr>
        <w:pStyle w:val="ListParagraph"/>
        <w:tabs>
          <w:tab w:val="left" w:pos="567"/>
          <w:tab w:val="left" w:pos="993"/>
        </w:tabs>
        <w:spacing w:after="0" w:line="240" w:lineRule="auto"/>
        <w:ind w:left="2062"/>
        <w:jc w:val="both"/>
        <w:rPr>
          <w:rFonts w:ascii="Verdana" w:hAnsi="Verdana" w:cs="Arial"/>
          <w:sz w:val="20"/>
          <w:szCs w:val="20"/>
        </w:rPr>
      </w:pPr>
    </w:p>
    <w:p w14:paraId="2563C62E" w14:textId="32FB6458" w:rsidR="0053557B" w:rsidRPr="00484610" w:rsidRDefault="0053557B" w:rsidP="003E055B">
      <w:pPr>
        <w:pStyle w:val="ListParagraph"/>
        <w:numPr>
          <w:ilvl w:val="0"/>
          <w:numId w:val="5"/>
        </w:numPr>
        <w:tabs>
          <w:tab w:val="left" w:pos="567"/>
        </w:tabs>
        <w:spacing w:after="0" w:line="240" w:lineRule="auto"/>
        <w:ind w:left="0" w:firstLine="0"/>
        <w:jc w:val="both"/>
        <w:rPr>
          <w:rFonts w:ascii="Verdana" w:hAnsi="Verdana"/>
          <w:bCs/>
          <w:iCs/>
          <w:sz w:val="20"/>
          <w:szCs w:val="20"/>
        </w:rPr>
      </w:pPr>
      <w:r w:rsidRPr="00484610">
        <w:rPr>
          <w:rFonts w:ascii="Verdana" w:hAnsi="Verdana"/>
          <w:bCs/>
          <w:iCs/>
          <w:sz w:val="20"/>
          <w:szCs w:val="20"/>
        </w:rPr>
        <w:t xml:space="preserve">Requerir a la Comisión Interamericana y </w:t>
      </w:r>
      <w:r w:rsidR="003E055B" w:rsidRPr="00484610">
        <w:rPr>
          <w:rFonts w:ascii="Verdana" w:hAnsi="Verdana"/>
          <w:bCs/>
          <w:iCs/>
          <w:sz w:val="20"/>
          <w:szCs w:val="20"/>
        </w:rPr>
        <w:t>a las partes</w:t>
      </w:r>
      <w:r w:rsidRPr="00484610">
        <w:rPr>
          <w:rFonts w:ascii="Verdana" w:hAnsi="Verdana"/>
          <w:bCs/>
          <w:iCs/>
          <w:sz w:val="20"/>
          <w:szCs w:val="20"/>
        </w:rPr>
        <w:t xml:space="preserve"> que notifiquen la presente Resolución a las personas por ellos propuestas, respectivamente, que han sido convocados a rendir declaración, de conformidad con lo dispuesto en los artículos 50.2 y 50.4 del Reglamento. </w:t>
      </w:r>
    </w:p>
    <w:p w14:paraId="7FB68A14" w14:textId="77777777" w:rsidR="0053557B" w:rsidRPr="00484610" w:rsidRDefault="0053557B" w:rsidP="003E055B">
      <w:pPr>
        <w:pStyle w:val="ListParagraph"/>
        <w:tabs>
          <w:tab w:val="left" w:pos="567"/>
        </w:tabs>
        <w:spacing w:after="0" w:line="240" w:lineRule="auto"/>
        <w:ind w:left="0"/>
        <w:jc w:val="both"/>
        <w:rPr>
          <w:rFonts w:ascii="Verdana" w:hAnsi="Verdana"/>
          <w:bCs/>
          <w:iCs/>
          <w:sz w:val="20"/>
          <w:szCs w:val="20"/>
        </w:rPr>
      </w:pPr>
    </w:p>
    <w:p w14:paraId="7D349953" w14:textId="7CA9B407" w:rsidR="003E055B" w:rsidRPr="00484610" w:rsidRDefault="0053557B" w:rsidP="003E055B">
      <w:pPr>
        <w:pStyle w:val="Heading1"/>
        <w:numPr>
          <w:ilvl w:val="0"/>
          <w:numId w:val="5"/>
        </w:numPr>
        <w:ind w:left="0" w:firstLine="0"/>
        <w:rPr>
          <w:b w:val="0"/>
          <w:bCs w:val="0"/>
          <w:i w:val="0"/>
          <w:iCs w:val="0"/>
        </w:rPr>
      </w:pPr>
      <w:r w:rsidRPr="00484610">
        <w:rPr>
          <w:b w:val="0"/>
          <w:bCs w:val="0"/>
          <w:i w:val="0"/>
          <w:iCs w:val="0"/>
        </w:rPr>
        <w:t>Requerir al Estado y a</w:t>
      </w:r>
      <w:r w:rsidR="00B379C0" w:rsidRPr="00484610">
        <w:rPr>
          <w:b w:val="0"/>
          <w:bCs w:val="0"/>
          <w:i w:val="0"/>
          <w:iCs w:val="0"/>
        </w:rPr>
        <w:t>l representante</w:t>
      </w:r>
      <w:r w:rsidRPr="00484610">
        <w:rPr>
          <w:b w:val="0"/>
          <w:bCs w:val="0"/>
          <w:i w:val="0"/>
          <w:iCs w:val="0"/>
        </w:rPr>
        <w:t xml:space="preserve"> que remitan, en los términos del artículo 50.5 del Reglamento y de considerarlo pertinente, en el plazo improrrogable que vence el </w:t>
      </w:r>
      <w:r w:rsidR="00B20479">
        <w:rPr>
          <w:b w:val="0"/>
          <w:bCs w:val="0"/>
          <w:i w:val="0"/>
          <w:iCs w:val="0"/>
        </w:rPr>
        <w:t xml:space="preserve">9 de enero </w:t>
      </w:r>
      <w:r w:rsidRPr="00484610">
        <w:rPr>
          <w:b w:val="0"/>
          <w:bCs w:val="0"/>
          <w:i w:val="0"/>
          <w:iCs w:val="0"/>
        </w:rPr>
        <w:t>de 201</w:t>
      </w:r>
      <w:r w:rsidR="003E055B" w:rsidRPr="00484610">
        <w:rPr>
          <w:b w:val="0"/>
          <w:bCs w:val="0"/>
          <w:i w:val="0"/>
          <w:iCs w:val="0"/>
        </w:rPr>
        <w:t>9</w:t>
      </w:r>
      <w:r w:rsidRPr="00484610">
        <w:rPr>
          <w:b w:val="0"/>
          <w:bCs w:val="0"/>
          <w:i w:val="0"/>
          <w:iCs w:val="0"/>
        </w:rPr>
        <w:t xml:space="preserve">, las preguntas que estime pertinente formular, a través de la Corte Interamericana, a los declarantes indicados en el punto resolutivo </w:t>
      </w:r>
      <w:r w:rsidR="003E055B" w:rsidRPr="00484610">
        <w:rPr>
          <w:b w:val="0"/>
          <w:bCs w:val="0"/>
          <w:i w:val="0"/>
          <w:iCs w:val="0"/>
        </w:rPr>
        <w:fldChar w:fldCharType="begin"/>
      </w:r>
      <w:r w:rsidR="003E055B" w:rsidRPr="00484610">
        <w:rPr>
          <w:b w:val="0"/>
          <w:bCs w:val="0"/>
          <w:i w:val="0"/>
          <w:iCs w:val="0"/>
        </w:rPr>
        <w:instrText xml:space="preserve"> REF _Ref532315339 \r \h </w:instrText>
      </w:r>
      <w:r w:rsidR="00484610">
        <w:rPr>
          <w:b w:val="0"/>
          <w:bCs w:val="0"/>
          <w:i w:val="0"/>
          <w:iCs w:val="0"/>
        </w:rPr>
        <w:instrText xml:space="preserve"> \* MERGEFORMAT </w:instrText>
      </w:r>
      <w:r w:rsidR="003E055B" w:rsidRPr="00484610">
        <w:rPr>
          <w:b w:val="0"/>
          <w:bCs w:val="0"/>
          <w:i w:val="0"/>
          <w:iCs w:val="0"/>
        </w:rPr>
      </w:r>
      <w:r w:rsidR="003E055B" w:rsidRPr="00484610">
        <w:rPr>
          <w:b w:val="0"/>
          <w:bCs w:val="0"/>
          <w:i w:val="0"/>
          <w:iCs w:val="0"/>
        </w:rPr>
        <w:fldChar w:fldCharType="separate"/>
      </w:r>
      <w:r w:rsidR="00D5400D">
        <w:rPr>
          <w:b w:val="0"/>
          <w:bCs w:val="0"/>
          <w:i w:val="0"/>
          <w:iCs w:val="0"/>
        </w:rPr>
        <w:t>2</w:t>
      </w:r>
      <w:r w:rsidR="003E055B" w:rsidRPr="00484610">
        <w:rPr>
          <w:b w:val="0"/>
          <w:bCs w:val="0"/>
          <w:i w:val="0"/>
          <w:iCs w:val="0"/>
        </w:rPr>
        <w:fldChar w:fldCharType="end"/>
      </w:r>
      <w:r w:rsidRPr="00484610">
        <w:rPr>
          <w:b w:val="0"/>
          <w:bCs w:val="0"/>
          <w:i w:val="0"/>
          <w:iCs w:val="0"/>
        </w:rPr>
        <w:t xml:space="preserve"> de la presente Resolución, según corresponda.</w:t>
      </w:r>
      <w:r w:rsidR="00B379C0" w:rsidRPr="00484610">
        <w:rPr>
          <w:b w:val="0"/>
          <w:bCs w:val="0"/>
          <w:i w:val="0"/>
          <w:iCs w:val="0"/>
        </w:rPr>
        <w:t xml:space="preserve"> </w:t>
      </w:r>
    </w:p>
    <w:p w14:paraId="1B4CEB48" w14:textId="77777777" w:rsidR="003E055B" w:rsidRPr="00484610" w:rsidRDefault="003E055B" w:rsidP="003E055B">
      <w:pPr>
        <w:pStyle w:val="Header"/>
        <w:tabs>
          <w:tab w:val="clear" w:pos="4680"/>
          <w:tab w:val="clear" w:pos="9360"/>
        </w:tabs>
      </w:pPr>
    </w:p>
    <w:p w14:paraId="72A3A514" w14:textId="17EFF52F" w:rsidR="0053557B" w:rsidRPr="003B3F36" w:rsidRDefault="0053557B" w:rsidP="003E055B">
      <w:pPr>
        <w:pStyle w:val="Heading1"/>
        <w:numPr>
          <w:ilvl w:val="0"/>
          <w:numId w:val="5"/>
        </w:numPr>
        <w:ind w:left="0" w:firstLine="0"/>
        <w:rPr>
          <w:b w:val="0"/>
          <w:bCs w:val="0"/>
          <w:i w:val="0"/>
          <w:iCs w:val="0"/>
        </w:rPr>
      </w:pPr>
      <w:r w:rsidRPr="00484610">
        <w:rPr>
          <w:b w:val="0"/>
          <w:bCs w:val="0"/>
          <w:i w:val="0"/>
          <w:iCs w:val="0"/>
        </w:rPr>
        <w:t xml:space="preserve">Requerir a </w:t>
      </w:r>
      <w:r w:rsidR="003E055B" w:rsidRPr="00484610">
        <w:rPr>
          <w:b w:val="0"/>
          <w:bCs w:val="0"/>
          <w:i w:val="0"/>
          <w:iCs w:val="0"/>
        </w:rPr>
        <w:t>las partes</w:t>
      </w:r>
      <w:r w:rsidRPr="00484610">
        <w:rPr>
          <w:b w:val="0"/>
          <w:bCs w:val="0"/>
          <w:i w:val="0"/>
          <w:iCs w:val="0"/>
        </w:rPr>
        <w:t xml:space="preserve"> y a la Comisión 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w:t>
      </w:r>
      <w:r w:rsidR="00E949E1" w:rsidRPr="00484610">
        <w:rPr>
          <w:b w:val="0"/>
          <w:bCs w:val="0"/>
          <w:i w:val="0"/>
          <w:iCs w:val="0"/>
        </w:rPr>
        <w:t>s declaraciones y peritajes</w:t>
      </w:r>
      <w:r w:rsidRPr="00484610">
        <w:rPr>
          <w:b w:val="0"/>
          <w:bCs w:val="0"/>
          <w:i w:val="0"/>
          <w:iCs w:val="0"/>
        </w:rPr>
        <w:t xml:space="preserve"> requeridos deberán</w:t>
      </w:r>
      <w:r w:rsidRPr="003B3F36">
        <w:rPr>
          <w:b w:val="0"/>
          <w:bCs w:val="0"/>
          <w:i w:val="0"/>
          <w:iCs w:val="0"/>
        </w:rPr>
        <w:t xml:space="preserve"> ser presentados a más tardar el </w:t>
      </w:r>
      <w:r w:rsidR="00B20479">
        <w:rPr>
          <w:b w:val="0"/>
          <w:bCs w:val="0"/>
          <w:i w:val="0"/>
          <w:iCs w:val="0"/>
        </w:rPr>
        <w:t>22 de enero</w:t>
      </w:r>
      <w:r w:rsidRPr="003B3F36">
        <w:rPr>
          <w:b w:val="0"/>
          <w:bCs w:val="0"/>
          <w:i w:val="0"/>
          <w:iCs w:val="0"/>
        </w:rPr>
        <w:t xml:space="preserve"> de 201</w:t>
      </w:r>
      <w:r w:rsidR="003E055B">
        <w:rPr>
          <w:b w:val="0"/>
          <w:bCs w:val="0"/>
          <w:i w:val="0"/>
          <w:iCs w:val="0"/>
        </w:rPr>
        <w:t>9</w:t>
      </w:r>
      <w:r w:rsidRPr="003B3F36">
        <w:rPr>
          <w:b w:val="0"/>
          <w:bCs w:val="0"/>
          <w:i w:val="0"/>
          <w:iCs w:val="0"/>
        </w:rPr>
        <w:t>.</w:t>
      </w:r>
    </w:p>
    <w:p w14:paraId="0B00EB14" w14:textId="77777777" w:rsidR="0053557B" w:rsidRPr="003B3F36" w:rsidRDefault="0053557B" w:rsidP="003E055B">
      <w:pPr>
        <w:pStyle w:val="ListParagraph"/>
        <w:tabs>
          <w:tab w:val="left" w:pos="567"/>
        </w:tabs>
        <w:spacing w:after="0" w:line="240" w:lineRule="auto"/>
        <w:ind w:left="0"/>
        <w:jc w:val="both"/>
        <w:rPr>
          <w:rFonts w:ascii="Verdana" w:hAnsi="Verdana"/>
          <w:bCs/>
          <w:iCs/>
          <w:sz w:val="20"/>
          <w:szCs w:val="20"/>
        </w:rPr>
      </w:pPr>
    </w:p>
    <w:p w14:paraId="3D4706A7" w14:textId="3B7201BE" w:rsidR="0053557B" w:rsidRPr="003B3F36" w:rsidRDefault="0053557B" w:rsidP="003E055B">
      <w:pPr>
        <w:pStyle w:val="Heading1"/>
        <w:numPr>
          <w:ilvl w:val="0"/>
          <w:numId w:val="5"/>
        </w:numPr>
        <w:ind w:left="0" w:firstLine="0"/>
        <w:rPr>
          <w:b w:val="0"/>
          <w:bCs w:val="0"/>
          <w:i w:val="0"/>
          <w:iCs w:val="0"/>
        </w:rPr>
      </w:pPr>
      <w:r w:rsidRPr="003B3F36">
        <w:rPr>
          <w:b w:val="0"/>
          <w:bCs w:val="0"/>
          <w:i w:val="0"/>
          <w:iCs w:val="0"/>
        </w:rPr>
        <w:t>Disponer, conforme al artículo 50.6 del Reglamento que, una vez recibidas las declaraciones, la Secretaría de la Corte Interamericana las transmita al Estado, a</w:t>
      </w:r>
      <w:r w:rsidR="001758C5">
        <w:rPr>
          <w:b w:val="0"/>
          <w:bCs w:val="0"/>
          <w:i w:val="0"/>
          <w:iCs w:val="0"/>
        </w:rPr>
        <w:t>l representante</w:t>
      </w:r>
      <w:r w:rsidRPr="003B3F36">
        <w:rPr>
          <w:b w:val="0"/>
          <w:bCs w:val="0"/>
          <w:i w:val="0"/>
          <w:iCs w:val="0"/>
        </w:rPr>
        <w:t xml:space="preserve"> y a la Comisión para que presenten sus observaciones a más tardar con sus alegatos u observaciones finales escritos, respectivamente.</w:t>
      </w:r>
    </w:p>
    <w:p w14:paraId="68D70AD5" w14:textId="77777777" w:rsidR="0053557B" w:rsidRPr="003B3F36" w:rsidRDefault="0053557B" w:rsidP="003E055B">
      <w:pPr>
        <w:pStyle w:val="ListParagraph"/>
        <w:spacing w:after="0" w:line="240" w:lineRule="auto"/>
        <w:rPr>
          <w:rFonts w:ascii="Verdana" w:hAnsi="Verdana"/>
          <w:bCs/>
          <w:iCs/>
          <w:sz w:val="20"/>
          <w:szCs w:val="20"/>
        </w:rPr>
      </w:pPr>
    </w:p>
    <w:p w14:paraId="1CC7893D" w14:textId="38BD77F5" w:rsidR="0053557B" w:rsidRPr="003B3F36" w:rsidRDefault="0053557B" w:rsidP="003E055B">
      <w:pPr>
        <w:pStyle w:val="Heading1"/>
        <w:numPr>
          <w:ilvl w:val="0"/>
          <w:numId w:val="5"/>
        </w:numPr>
        <w:ind w:left="0" w:firstLine="0"/>
        <w:rPr>
          <w:b w:val="0"/>
          <w:bCs w:val="0"/>
          <w:i w:val="0"/>
          <w:iCs w:val="0"/>
        </w:rPr>
      </w:pPr>
      <w:r w:rsidRPr="003B3F36">
        <w:rPr>
          <w:b w:val="0"/>
          <w:bCs w:val="0"/>
          <w:i w:val="0"/>
          <w:iCs w:val="0"/>
        </w:rPr>
        <w:t xml:space="preserve">Informar a la Comisión y a </w:t>
      </w:r>
      <w:r w:rsidR="003E055B">
        <w:rPr>
          <w:b w:val="0"/>
          <w:bCs w:val="0"/>
          <w:i w:val="0"/>
          <w:iCs w:val="0"/>
        </w:rPr>
        <w:t>las partes</w:t>
      </w:r>
      <w:r w:rsidRPr="003B3F36">
        <w:rPr>
          <w:b w:val="0"/>
          <w:bCs w:val="0"/>
          <w:i w:val="0"/>
          <w:iCs w:val="0"/>
        </w:rPr>
        <w:t xml:space="preserve"> que deben cubrir los gastos que ocasione la aportación o rendición de la prueba propuesta por ellos, de conformidad con lo dispuesto en el artículo 60 del Reglamento, </w:t>
      </w:r>
      <w:r w:rsidRPr="003B3F36">
        <w:rPr>
          <w:b w:val="0"/>
          <w:i w:val="0"/>
        </w:rPr>
        <w:t>sin perjuicio de lo que resulte pertinente en aplicación del Fondo de Asistencia Legal de Víctimas en el presente caso.</w:t>
      </w:r>
    </w:p>
    <w:p w14:paraId="2DE8A64E" w14:textId="77777777" w:rsidR="0053557B" w:rsidRPr="003B3F36" w:rsidRDefault="0053557B" w:rsidP="003E055B">
      <w:pPr>
        <w:pStyle w:val="ListParagraph"/>
        <w:spacing w:after="0" w:line="240" w:lineRule="auto"/>
        <w:rPr>
          <w:rFonts w:ascii="Verdana" w:hAnsi="Verdana"/>
          <w:bCs/>
          <w:iCs/>
          <w:sz w:val="20"/>
          <w:szCs w:val="20"/>
        </w:rPr>
      </w:pPr>
    </w:p>
    <w:p w14:paraId="7D8674D3" w14:textId="058D41CE" w:rsidR="00682412" w:rsidRDefault="001758C5" w:rsidP="00682412">
      <w:pPr>
        <w:pStyle w:val="Heading1"/>
        <w:numPr>
          <w:ilvl w:val="0"/>
          <w:numId w:val="5"/>
        </w:numPr>
        <w:ind w:left="0" w:firstLine="0"/>
        <w:rPr>
          <w:b w:val="0"/>
          <w:i w:val="0"/>
        </w:rPr>
      </w:pPr>
      <w:r>
        <w:rPr>
          <w:b w:val="0"/>
          <w:i w:val="0"/>
        </w:rPr>
        <w:lastRenderedPageBreak/>
        <w:t>Requerir al representante</w:t>
      </w:r>
      <w:r w:rsidR="00682412" w:rsidRPr="00682412">
        <w:rPr>
          <w:b w:val="0"/>
          <w:i w:val="0"/>
        </w:rPr>
        <w:t xml:space="preserve"> que comuniquen a la Corte el nombre de los declarantes cuyos affidavit serán cubiertos por el Fondo de Asistencia, y que remitan una cotización del costo de la formalización de las declaraciones juradas en el país de residencia de los declarantes y de sus respectivos envíos, a más tardar el </w:t>
      </w:r>
      <w:r w:rsidR="00682412">
        <w:rPr>
          <w:b w:val="0"/>
          <w:bCs w:val="0"/>
          <w:i w:val="0"/>
          <w:iCs w:val="0"/>
        </w:rPr>
        <w:t xml:space="preserve">9 de enero </w:t>
      </w:r>
      <w:r w:rsidR="00682412" w:rsidRPr="00484610">
        <w:rPr>
          <w:b w:val="0"/>
          <w:bCs w:val="0"/>
          <w:i w:val="0"/>
          <w:iCs w:val="0"/>
        </w:rPr>
        <w:t>de 2019</w:t>
      </w:r>
      <w:r w:rsidR="00682412">
        <w:rPr>
          <w:b w:val="0"/>
          <w:i w:val="0"/>
        </w:rPr>
        <w:t>.</w:t>
      </w:r>
    </w:p>
    <w:p w14:paraId="53B4142E" w14:textId="77777777" w:rsidR="00682412" w:rsidRPr="00682412" w:rsidRDefault="00682412" w:rsidP="00682412">
      <w:pPr>
        <w:spacing w:after="0" w:line="240" w:lineRule="auto"/>
      </w:pPr>
    </w:p>
    <w:p w14:paraId="5140BA34" w14:textId="406DABE4" w:rsidR="0053557B" w:rsidRPr="003B3F36" w:rsidRDefault="0053557B" w:rsidP="00682412">
      <w:pPr>
        <w:pStyle w:val="Heading1"/>
        <w:numPr>
          <w:ilvl w:val="0"/>
          <w:numId w:val="5"/>
        </w:numPr>
        <w:ind w:left="0" w:firstLine="0"/>
        <w:rPr>
          <w:b w:val="0"/>
          <w:bCs w:val="0"/>
          <w:i w:val="0"/>
          <w:iCs w:val="0"/>
        </w:rPr>
      </w:pPr>
      <w:r w:rsidRPr="003B3F36">
        <w:rPr>
          <w:b w:val="0"/>
          <w:bCs w:val="0"/>
          <w:i w:val="0"/>
          <w:iCs w:val="0"/>
        </w:rPr>
        <w:t xml:space="preserve">Requerir a </w:t>
      </w:r>
      <w:r w:rsidR="003E055B">
        <w:rPr>
          <w:b w:val="0"/>
          <w:bCs w:val="0"/>
          <w:i w:val="0"/>
          <w:iCs w:val="0"/>
        </w:rPr>
        <w:t>las partes</w:t>
      </w:r>
      <w:r w:rsidRPr="003B3F36">
        <w:rPr>
          <w:b w:val="0"/>
          <w:bCs w:val="0"/>
          <w:i w:val="0"/>
          <w:iCs w:val="0"/>
        </w:rPr>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3B343BC0" w14:textId="77777777" w:rsidR="0053557B" w:rsidRPr="003B3F36" w:rsidRDefault="0053557B" w:rsidP="003E055B">
      <w:pPr>
        <w:pStyle w:val="ListParagraph"/>
        <w:spacing w:after="0" w:line="240" w:lineRule="auto"/>
        <w:rPr>
          <w:rFonts w:ascii="Verdana" w:hAnsi="Verdana"/>
          <w:bCs/>
          <w:iCs/>
          <w:sz w:val="20"/>
          <w:szCs w:val="20"/>
        </w:rPr>
      </w:pPr>
    </w:p>
    <w:p w14:paraId="5DE50CF0" w14:textId="5CFAB7F1" w:rsidR="0053557B" w:rsidRPr="003B3F36" w:rsidRDefault="0053557B" w:rsidP="003E055B">
      <w:pPr>
        <w:pStyle w:val="Heading1"/>
        <w:numPr>
          <w:ilvl w:val="0"/>
          <w:numId w:val="5"/>
        </w:numPr>
        <w:ind w:left="0" w:firstLine="0"/>
        <w:rPr>
          <w:b w:val="0"/>
          <w:bCs w:val="0"/>
          <w:i w:val="0"/>
          <w:iCs w:val="0"/>
        </w:rPr>
      </w:pPr>
      <w:r w:rsidRPr="003B3F36">
        <w:rPr>
          <w:b w:val="0"/>
          <w:bCs w:val="0"/>
          <w:i w:val="0"/>
          <w:iCs w:val="0"/>
        </w:rPr>
        <w:t>Informar a</w:t>
      </w:r>
      <w:r w:rsidR="001758C5">
        <w:rPr>
          <w:b w:val="0"/>
          <w:bCs w:val="0"/>
          <w:i w:val="0"/>
          <w:iCs w:val="0"/>
        </w:rPr>
        <w:t>l representante</w:t>
      </w:r>
      <w:r w:rsidRPr="003B3F36">
        <w:rPr>
          <w:b w:val="0"/>
          <w:bCs w:val="0"/>
          <w:i w:val="0"/>
          <w:iCs w:val="0"/>
        </w:rPr>
        <w:t>, al Estado y a la Comisión que, al término de la declaración rendida en la audiencia pública, podrán presentar ante el Tribunal sus alegatos finales orales y observaciones finales orales, respectivamente, sobre la</w:t>
      </w:r>
      <w:r w:rsidR="003E055B">
        <w:rPr>
          <w:b w:val="0"/>
          <w:bCs w:val="0"/>
          <w:i w:val="0"/>
          <w:iCs w:val="0"/>
        </w:rPr>
        <w:t>s</w:t>
      </w:r>
      <w:r w:rsidRPr="003B3F36">
        <w:rPr>
          <w:b w:val="0"/>
          <w:bCs w:val="0"/>
          <w:i w:val="0"/>
          <w:iCs w:val="0"/>
        </w:rPr>
        <w:t xml:space="preserve"> excepci</w:t>
      </w:r>
      <w:r w:rsidR="003E055B">
        <w:rPr>
          <w:b w:val="0"/>
          <w:bCs w:val="0"/>
          <w:i w:val="0"/>
          <w:iCs w:val="0"/>
        </w:rPr>
        <w:t>ones</w:t>
      </w:r>
      <w:r w:rsidRPr="003B3F36">
        <w:rPr>
          <w:b w:val="0"/>
          <w:bCs w:val="0"/>
          <w:i w:val="0"/>
          <w:iCs w:val="0"/>
        </w:rPr>
        <w:t xml:space="preserve"> preliminar</w:t>
      </w:r>
      <w:r w:rsidR="003E055B">
        <w:rPr>
          <w:b w:val="0"/>
          <w:bCs w:val="0"/>
          <w:i w:val="0"/>
          <w:iCs w:val="0"/>
        </w:rPr>
        <w:t>es</w:t>
      </w:r>
      <w:r w:rsidRPr="003B3F36">
        <w:rPr>
          <w:b w:val="0"/>
          <w:bCs w:val="0"/>
          <w:i w:val="0"/>
          <w:iCs w:val="0"/>
        </w:rPr>
        <w:t xml:space="preserve"> y eventuales fondo, reparaciones y costas en el presente caso.</w:t>
      </w:r>
    </w:p>
    <w:p w14:paraId="372E4B60" w14:textId="77777777" w:rsidR="0053557B" w:rsidRPr="003B3F36" w:rsidRDefault="0053557B" w:rsidP="003E055B">
      <w:pPr>
        <w:pStyle w:val="ListParagraph"/>
        <w:spacing w:after="0" w:line="240" w:lineRule="auto"/>
        <w:rPr>
          <w:rFonts w:ascii="Verdana" w:hAnsi="Verdana"/>
          <w:bCs/>
          <w:iCs/>
          <w:sz w:val="20"/>
          <w:szCs w:val="20"/>
        </w:rPr>
      </w:pPr>
    </w:p>
    <w:p w14:paraId="060E62D7" w14:textId="77777777" w:rsidR="0053557B" w:rsidRPr="003B3F36" w:rsidRDefault="0053557B" w:rsidP="003E055B">
      <w:pPr>
        <w:pStyle w:val="Heading1"/>
        <w:numPr>
          <w:ilvl w:val="0"/>
          <w:numId w:val="5"/>
        </w:numPr>
        <w:ind w:left="0" w:firstLine="0"/>
        <w:rPr>
          <w:b w:val="0"/>
          <w:bCs w:val="0"/>
          <w:i w:val="0"/>
          <w:iCs w:val="0"/>
        </w:rPr>
      </w:pPr>
      <w:r w:rsidRPr="003B3F36">
        <w:rPr>
          <w:b w:val="0"/>
          <w:bCs w:val="0"/>
          <w:i w:val="0"/>
          <w:iCs w:val="0"/>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 </w:t>
      </w:r>
    </w:p>
    <w:p w14:paraId="70F29816" w14:textId="77777777" w:rsidR="0053557B" w:rsidRPr="003B3F36" w:rsidRDefault="0053557B" w:rsidP="003E055B">
      <w:pPr>
        <w:pStyle w:val="ListParagraph"/>
        <w:spacing w:after="0" w:line="240" w:lineRule="auto"/>
        <w:rPr>
          <w:rFonts w:ascii="Verdana" w:hAnsi="Verdana"/>
          <w:bCs/>
          <w:iCs/>
          <w:sz w:val="20"/>
          <w:szCs w:val="24"/>
        </w:rPr>
      </w:pPr>
    </w:p>
    <w:p w14:paraId="25C176DC" w14:textId="0A85BD6B" w:rsidR="0053557B" w:rsidRPr="003B3F36" w:rsidRDefault="0053557B" w:rsidP="003E055B">
      <w:pPr>
        <w:pStyle w:val="Heading1"/>
        <w:numPr>
          <w:ilvl w:val="0"/>
          <w:numId w:val="5"/>
        </w:numPr>
        <w:ind w:left="0" w:firstLine="0"/>
        <w:rPr>
          <w:b w:val="0"/>
          <w:bCs w:val="0"/>
          <w:i w:val="0"/>
          <w:iCs w:val="0"/>
          <w:szCs w:val="24"/>
        </w:rPr>
      </w:pPr>
      <w:r w:rsidRPr="003B3F36">
        <w:rPr>
          <w:b w:val="0"/>
          <w:bCs w:val="0"/>
          <w:i w:val="0"/>
          <w:iCs w:val="0"/>
          <w:szCs w:val="24"/>
        </w:rPr>
        <w:t xml:space="preserve">Informar a los representantes, al Estado y a la Comisión Interamericana que cuentan con un plazo hasta el </w:t>
      </w:r>
      <w:r w:rsidR="003E055B">
        <w:rPr>
          <w:b w:val="0"/>
          <w:bCs w:val="0"/>
          <w:i w:val="0"/>
          <w:iCs w:val="0"/>
          <w:szCs w:val="24"/>
        </w:rPr>
        <w:t>8 de marzo</w:t>
      </w:r>
      <w:r w:rsidRPr="003B3F36">
        <w:rPr>
          <w:b w:val="0"/>
          <w:bCs w:val="0"/>
          <w:i w:val="0"/>
          <w:iCs w:val="0"/>
          <w:szCs w:val="24"/>
        </w:rPr>
        <w:t xml:space="preserve"> de 201</w:t>
      </w:r>
      <w:r w:rsidR="003E055B">
        <w:rPr>
          <w:b w:val="0"/>
          <w:bCs w:val="0"/>
          <w:i w:val="0"/>
          <w:iCs w:val="0"/>
          <w:szCs w:val="24"/>
        </w:rPr>
        <w:t>9</w:t>
      </w:r>
      <w:r w:rsidRPr="003B3F36">
        <w:rPr>
          <w:b w:val="0"/>
          <w:bCs w:val="0"/>
          <w:i w:val="0"/>
          <w:iCs w:val="0"/>
          <w:szCs w:val="24"/>
        </w:rPr>
        <w:t xml:space="preserve"> para presentar sus alegatos finales escritos y observaciones finales escritas, respectivamente, en relación con la</w:t>
      </w:r>
      <w:r w:rsidR="003E055B">
        <w:rPr>
          <w:b w:val="0"/>
          <w:bCs w:val="0"/>
          <w:i w:val="0"/>
          <w:iCs w:val="0"/>
          <w:szCs w:val="24"/>
        </w:rPr>
        <w:t>s</w:t>
      </w:r>
      <w:r w:rsidRPr="003B3F36">
        <w:rPr>
          <w:b w:val="0"/>
          <w:bCs w:val="0"/>
          <w:i w:val="0"/>
          <w:iCs w:val="0"/>
          <w:szCs w:val="24"/>
        </w:rPr>
        <w:t xml:space="preserve"> excepci</w:t>
      </w:r>
      <w:r w:rsidR="003E055B">
        <w:rPr>
          <w:b w:val="0"/>
          <w:bCs w:val="0"/>
          <w:i w:val="0"/>
          <w:iCs w:val="0"/>
          <w:szCs w:val="24"/>
        </w:rPr>
        <w:t>ones</w:t>
      </w:r>
      <w:r w:rsidRPr="003B3F36">
        <w:rPr>
          <w:b w:val="0"/>
          <w:bCs w:val="0"/>
          <w:i w:val="0"/>
          <w:iCs w:val="0"/>
          <w:szCs w:val="24"/>
        </w:rPr>
        <w:t xml:space="preserve"> preliminar</w:t>
      </w:r>
      <w:r w:rsidR="003E055B">
        <w:rPr>
          <w:b w:val="0"/>
          <w:bCs w:val="0"/>
          <w:i w:val="0"/>
          <w:iCs w:val="0"/>
          <w:szCs w:val="24"/>
        </w:rPr>
        <w:t>es</w:t>
      </w:r>
      <w:r w:rsidRPr="003B3F36">
        <w:rPr>
          <w:b w:val="0"/>
          <w:bCs w:val="0"/>
          <w:i w:val="0"/>
          <w:iCs w:val="0"/>
          <w:szCs w:val="24"/>
        </w:rPr>
        <w:t xml:space="preserve"> y eventuales fondo, reparaciones y costas en el presente caso. Este plazo es improrrogable e independiente de la puesta a disposición de las partes de la grabación de la audiencia pública. </w:t>
      </w:r>
    </w:p>
    <w:p w14:paraId="09F99AEF" w14:textId="77777777" w:rsidR="0053557B" w:rsidRPr="003B3F36" w:rsidRDefault="0053557B" w:rsidP="003E055B">
      <w:pPr>
        <w:pStyle w:val="ListParagraph"/>
        <w:spacing w:after="0" w:line="240" w:lineRule="auto"/>
        <w:rPr>
          <w:rFonts w:ascii="Verdana" w:hAnsi="Verdana"/>
          <w:sz w:val="20"/>
          <w:szCs w:val="20"/>
        </w:rPr>
      </w:pPr>
    </w:p>
    <w:p w14:paraId="459B074E" w14:textId="27A8DC3F" w:rsidR="001758C5" w:rsidRPr="001758C5" w:rsidRDefault="001758C5" w:rsidP="003E055B">
      <w:pPr>
        <w:pStyle w:val="Heading1"/>
        <w:numPr>
          <w:ilvl w:val="0"/>
          <w:numId w:val="5"/>
        </w:numPr>
        <w:ind w:left="0" w:firstLine="0"/>
        <w:rPr>
          <w:b w:val="0"/>
          <w:bCs w:val="0"/>
          <w:i w:val="0"/>
          <w:iCs w:val="0"/>
          <w:szCs w:val="24"/>
        </w:rPr>
      </w:pPr>
      <w:r w:rsidRPr="001758C5">
        <w:rPr>
          <w:b w:val="0"/>
          <w:i w:val="0"/>
        </w:rPr>
        <w:t xml:space="preserve">Declarar procedente la aplicación del Fondo de Asistencia Legal de Víctimas de la Corte en los términos dispuestos </w:t>
      </w:r>
      <w:r w:rsidR="00B861A2">
        <w:rPr>
          <w:b w:val="0"/>
          <w:i w:val="0"/>
        </w:rPr>
        <w:t>en</w:t>
      </w:r>
      <w:r w:rsidRPr="001758C5">
        <w:rPr>
          <w:b w:val="0"/>
          <w:i w:val="0"/>
        </w:rPr>
        <w:t xml:space="preserve"> esta Resolución.</w:t>
      </w:r>
    </w:p>
    <w:p w14:paraId="69018C2D" w14:textId="77777777" w:rsidR="001758C5" w:rsidRPr="001758C5" w:rsidRDefault="001758C5" w:rsidP="001758C5">
      <w:pPr>
        <w:pStyle w:val="Heading1"/>
        <w:numPr>
          <w:ilvl w:val="0"/>
          <w:numId w:val="0"/>
        </w:numPr>
        <w:rPr>
          <w:b w:val="0"/>
          <w:bCs w:val="0"/>
          <w:i w:val="0"/>
          <w:iCs w:val="0"/>
          <w:szCs w:val="24"/>
        </w:rPr>
      </w:pPr>
    </w:p>
    <w:p w14:paraId="47B98177" w14:textId="67740570" w:rsidR="0053557B" w:rsidRPr="003B3F36" w:rsidRDefault="0053557B" w:rsidP="003E055B">
      <w:pPr>
        <w:pStyle w:val="Heading1"/>
        <w:numPr>
          <w:ilvl w:val="0"/>
          <w:numId w:val="5"/>
        </w:numPr>
        <w:ind w:left="0" w:firstLine="0"/>
        <w:rPr>
          <w:b w:val="0"/>
          <w:bCs w:val="0"/>
          <w:i w:val="0"/>
          <w:iCs w:val="0"/>
          <w:szCs w:val="24"/>
        </w:rPr>
      </w:pPr>
      <w:r w:rsidRPr="003B3F36">
        <w:rPr>
          <w:b w:val="0"/>
          <w:i w:val="0"/>
        </w:rPr>
        <w:t xml:space="preserve">Disponer, de conformidad con el artículo 4 del Reglamento de la Corte sobre el Funcionamiento del Fondo de Asistencia Legal de Víctimas, que la Secretaría del Tribunal abra un expediente de gastos, donde se documentará cada una de las erogaciones que se realicen con el Fondo de Asistencia Legal de Víctimas. </w:t>
      </w:r>
    </w:p>
    <w:p w14:paraId="32A88660" w14:textId="77777777" w:rsidR="0053557B" w:rsidRPr="003B3F36" w:rsidRDefault="0053557B" w:rsidP="003E055B">
      <w:pPr>
        <w:pStyle w:val="ListParagraph"/>
        <w:spacing w:after="0" w:line="240" w:lineRule="auto"/>
        <w:rPr>
          <w:rFonts w:ascii="Verdana" w:hAnsi="Verdana"/>
          <w:bCs/>
          <w:iCs/>
          <w:sz w:val="20"/>
          <w:szCs w:val="24"/>
        </w:rPr>
      </w:pPr>
    </w:p>
    <w:p w14:paraId="0637EA0B" w14:textId="309E2A1E" w:rsidR="0053557B" w:rsidRPr="003B3F36" w:rsidRDefault="0053557B" w:rsidP="003E055B">
      <w:pPr>
        <w:pStyle w:val="Heading1"/>
        <w:numPr>
          <w:ilvl w:val="0"/>
          <w:numId w:val="5"/>
        </w:numPr>
        <w:ind w:left="0" w:firstLine="0"/>
        <w:rPr>
          <w:b w:val="0"/>
          <w:bCs w:val="0"/>
          <w:i w:val="0"/>
          <w:iCs w:val="0"/>
          <w:szCs w:val="24"/>
        </w:rPr>
      </w:pPr>
      <w:r w:rsidRPr="003B3F36">
        <w:rPr>
          <w:b w:val="0"/>
          <w:bCs w:val="0"/>
          <w:i w:val="0"/>
          <w:iCs w:val="0"/>
          <w:szCs w:val="24"/>
        </w:rPr>
        <w:t xml:space="preserve">Disponer que la Secretaría de la Corte </w:t>
      </w:r>
      <w:r w:rsidRPr="003B3F36">
        <w:rPr>
          <w:b w:val="0"/>
          <w:bCs w:val="0"/>
          <w:i w:val="0"/>
          <w:iCs w:val="0"/>
        </w:rPr>
        <w:t>Interamericana notifique la presente Resolución a la Comisión Interamericana de Derechos Humanos, a</w:t>
      </w:r>
      <w:r w:rsidR="003E055B">
        <w:rPr>
          <w:b w:val="0"/>
          <w:bCs w:val="0"/>
          <w:i w:val="0"/>
          <w:iCs w:val="0"/>
        </w:rPr>
        <w:t>l representante</w:t>
      </w:r>
      <w:r w:rsidRPr="003B3F36">
        <w:rPr>
          <w:b w:val="0"/>
          <w:bCs w:val="0"/>
          <w:i w:val="0"/>
          <w:iCs w:val="0"/>
        </w:rPr>
        <w:t xml:space="preserve"> y a P</w:t>
      </w:r>
      <w:r w:rsidR="00FF2ACE" w:rsidRPr="003B3F36">
        <w:rPr>
          <w:b w:val="0"/>
          <w:bCs w:val="0"/>
          <w:i w:val="0"/>
          <w:iCs w:val="0"/>
        </w:rPr>
        <w:t>araguay</w:t>
      </w:r>
      <w:r w:rsidRPr="003B3F36">
        <w:rPr>
          <w:b w:val="0"/>
          <w:bCs w:val="0"/>
          <w:i w:val="0"/>
          <w:iCs w:val="0"/>
        </w:rPr>
        <w:t>.</w:t>
      </w:r>
    </w:p>
    <w:p w14:paraId="2A1A6151" w14:textId="77777777" w:rsidR="0053557B" w:rsidRPr="003B3F36" w:rsidRDefault="0053557B" w:rsidP="003E055B">
      <w:pPr>
        <w:pStyle w:val="ListParagraph"/>
        <w:tabs>
          <w:tab w:val="left" w:pos="567"/>
        </w:tabs>
        <w:spacing w:after="0" w:line="240" w:lineRule="auto"/>
        <w:rPr>
          <w:rFonts w:ascii="Verdana" w:hAnsi="Verdana"/>
          <w:bCs/>
          <w:iCs/>
          <w:sz w:val="20"/>
          <w:szCs w:val="20"/>
        </w:rPr>
      </w:pPr>
    </w:p>
    <w:p w14:paraId="5114388A" w14:textId="77777777" w:rsidR="0053557B" w:rsidRPr="003B3F36" w:rsidRDefault="0053557B" w:rsidP="003E055B">
      <w:pPr>
        <w:pStyle w:val="ListParagraph"/>
        <w:tabs>
          <w:tab w:val="left" w:pos="567"/>
        </w:tabs>
        <w:spacing w:after="0" w:line="240" w:lineRule="auto"/>
        <w:rPr>
          <w:rFonts w:ascii="Verdana" w:hAnsi="Verdana"/>
          <w:bCs/>
          <w:iCs/>
          <w:sz w:val="20"/>
          <w:szCs w:val="20"/>
        </w:rPr>
      </w:pPr>
    </w:p>
    <w:p w14:paraId="0FC9F75A" w14:textId="77777777" w:rsidR="0053557B" w:rsidRDefault="0053557B" w:rsidP="003E055B">
      <w:pPr>
        <w:pStyle w:val="ListParagraph"/>
        <w:tabs>
          <w:tab w:val="left" w:pos="567"/>
        </w:tabs>
        <w:spacing w:after="0" w:line="240" w:lineRule="auto"/>
        <w:rPr>
          <w:rFonts w:ascii="Verdana" w:hAnsi="Verdana"/>
          <w:bCs/>
          <w:iCs/>
          <w:sz w:val="20"/>
          <w:szCs w:val="20"/>
        </w:rPr>
      </w:pPr>
    </w:p>
    <w:p w14:paraId="723F8348" w14:textId="77777777" w:rsidR="006D531B" w:rsidRDefault="006D531B" w:rsidP="003E055B">
      <w:pPr>
        <w:pStyle w:val="ListParagraph"/>
        <w:tabs>
          <w:tab w:val="left" w:pos="567"/>
        </w:tabs>
        <w:spacing w:after="0" w:line="240" w:lineRule="auto"/>
        <w:rPr>
          <w:rFonts w:ascii="Verdana" w:hAnsi="Verdana"/>
          <w:bCs/>
          <w:iCs/>
          <w:sz w:val="20"/>
          <w:szCs w:val="20"/>
        </w:rPr>
      </w:pPr>
    </w:p>
    <w:p w14:paraId="099C523A" w14:textId="77777777" w:rsidR="006D531B" w:rsidRDefault="006D531B" w:rsidP="003E055B">
      <w:pPr>
        <w:pStyle w:val="ListParagraph"/>
        <w:tabs>
          <w:tab w:val="left" w:pos="567"/>
        </w:tabs>
        <w:spacing w:after="0" w:line="240" w:lineRule="auto"/>
        <w:rPr>
          <w:rFonts w:ascii="Verdana" w:hAnsi="Verdana"/>
          <w:bCs/>
          <w:iCs/>
          <w:sz w:val="20"/>
          <w:szCs w:val="20"/>
        </w:rPr>
      </w:pPr>
    </w:p>
    <w:p w14:paraId="4D0B324B" w14:textId="77777777" w:rsidR="006D531B" w:rsidRDefault="006D531B" w:rsidP="003E055B">
      <w:pPr>
        <w:pStyle w:val="ListParagraph"/>
        <w:tabs>
          <w:tab w:val="left" w:pos="567"/>
        </w:tabs>
        <w:spacing w:after="0" w:line="240" w:lineRule="auto"/>
        <w:rPr>
          <w:rFonts w:ascii="Verdana" w:hAnsi="Verdana"/>
          <w:bCs/>
          <w:iCs/>
          <w:sz w:val="20"/>
          <w:szCs w:val="20"/>
        </w:rPr>
      </w:pPr>
    </w:p>
    <w:p w14:paraId="41953C11" w14:textId="77777777" w:rsidR="006D531B" w:rsidRDefault="006D531B" w:rsidP="003E055B">
      <w:pPr>
        <w:pStyle w:val="ListParagraph"/>
        <w:tabs>
          <w:tab w:val="left" w:pos="567"/>
        </w:tabs>
        <w:spacing w:after="0" w:line="240" w:lineRule="auto"/>
        <w:rPr>
          <w:rFonts w:ascii="Verdana" w:hAnsi="Verdana"/>
          <w:bCs/>
          <w:iCs/>
          <w:sz w:val="20"/>
          <w:szCs w:val="20"/>
        </w:rPr>
      </w:pPr>
    </w:p>
    <w:p w14:paraId="152E2355" w14:textId="77777777" w:rsidR="006D531B" w:rsidRDefault="006D531B" w:rsidP="003E055B">
      <w:pPr>
        <w:pStyle w:val="ListParagraph"/>
        <w:tabs>
          <w:tab w:val="left" w:pos="567"/>
        </w:tabs>
        <w:spacing w:after="0" w:line="240" w:lineRule="auto"/>
        <w:rPr>
          <w:rFonts w:ascii="Verdana" w:hAnsi="Verdana"/>
          <w:bCs/>
          <w:iCs/>
          <w:sz w:val="20"/>
          <w:szCs w:val="20"/>
        </w:rPr>
      </w:pPr>
    </w:p>
    <w:p w14:paraId="260E2E7A" w14:textId="77777777" w:rsidR="006D531B" w:rsidRDefault="006D531B" w:rsidP="003E055B">
      <w:pPr>
        <w:pStyle w:val="ListParagraph"/>
        <w:tabs>
          <w:tab w:val="left" w:pos="567"/>
        </w:tabs>
        <w:spacing w:after="0" w:line="240" w:lineRule="auto"/>
        <w:rPr>
          <w:rFonts w:ascii="Verdana" w:hAnsi="Verdana"/>
          <w:bCs/>
          <w:iCs/>
          <w:sz w:val="20"/>
          <w:szCs w:val="20"/>
        </w:rPr>
      </w:pPr>
    </w:p>
    <w:p w14:paraId="0919B373" w14:textId="77777777" w:rsidR="006D531B" w:rsidRDefault="006D531B" w:rsidP="003E055B">
      <w:pPr>
        <w:pStyle w:val="ListParagraph"/>
        <w:tabs>
          <w:tab w:val="left" w:pos="567"/>
        </w:tabs>
        <w:spacing w:after="0" w:line="240" w:lineRule="auto"/>
        <w:rPr>
          <w:rFonts w:ascii="Verdana" w:hAnsi="Verdana"/>
          <w:bCs/>
          <w:iCs/>
          <w:sz w:val="20"/>
          <w:szCs w:val="20"/>
        </w:rPr>
      </w:pPr>
    </w:p>
    <w:p w14:paraId="3A05EDF0" w14:textId="77777777" w:rsidR="006D531B" w:rsidRDefault="006D531B" w:rsidP="003E055B">
      <w:pPr>
        <w:pStyle w:val="ListParagraph"/>
        <w:tabs>
          <w:tab w:val="left" w:pos="567"/>
        </w:tabs>
        <w:spacing w:after="0" w:line="240" w:lineRule="auto"/>
        <w:rPr>
          <w:rFonts w:ascii="Verdana" w:hAnsi="Verdana"/>
          <w:bCs/>
          <w:iCs/>
          <w:sz w:val="20"/>
          <w:szCs w:val="20"/>
        </w:rPr>
      </w:pPr>
    </w:p>
    <w:p w14:paraId="1085DBA5" w14:textId="77777777" w:rsidR="006D531B" w:rsidRDefault="006D531B" w:rsidP="003E055B">
      <w:pPr>
        <w:pStyle w:val="ListParagraph"/>
        <w:tabs>
          <w:tab w:val="left" w:pos="567"/>
        </w:tabs>
        <w:spacing w:after="0" w:line="240" w:lineRule="auto"/>
        <w:rPr>
          <w:rFonts w:ascii="Verdana" w:hAnsi="Verdana"/>
          <w:bCs/>
          <w:iCs/>
          <w:sz w:val="20"/>
          <w:szCs w:val="20"/>
        </w:rPr>
      </w:pPr>
    </w:p>
    <w:p w14:paraId="7A47F90B" w14:textId="77777777" w:rsidR="006D531B" w:rsidRDefault="006D531B" w:rsidP="003E055B">
      <w:pPr>
        <w:pStyle w:val="ListParagraph"/>
        <w:tabs>
          <w:tab w:val="left" w:pos="567"/>
        </w:tabs>
        <w:spacing w:after="0" w:line="240" w:lineRule="auto"/>
        <w:rPr>
          <w:rFonts w:ascii="Verdana" w:hAnsi="Verdana"/>
          <w:bCs/>
          <w:iCs/>
          <w:sz w:val="20"/>
          <w:szCs w:val="20"/>
        </w:rPr>
      </w:pPr>
    </w:p>
    <w:p w14:paraId="362A0C5D" w14:textId="77777777" w:rsidR="006D531B" w:rsidRDefault="006D531B" w:rsidP="003E055B">
      <w:pPr>
        <w:pStyle w:val="ListParagraph"/>
        <w:tabs>
          <w:tab w:val="left" w:pos="567"/>
        </w:tabs>
        <w:spacing w:after="0" w:line="240" w:lineRule="auto"/>
        <w:rPr>
          <w:rFonts w:ascii="Verdana" w:hAnsi="Verdana"/>
          <w:bCs/>
          <w:iCs/>
          <w:sz w:val="20"/>
          <w:szCs w:val="20"/>
        </w:rPr>
      </w:pPr>
    </w:p>
    <w:p w14:paraId="06291EE2" w14:textId="77777777" w:rsidR="006D531B" w:rsidRDefault="006D531B" w:rsidP="003E055B">
      <w:pPr>
        <w:pStyle w:val="ListParagraph"/>
        <w:tabs>
          <w:tab w:val="left" w:pos="567"/>
        </w:tabs>
        <w:spacing w:after="0" w:line="240" w:lineRule="auto"/>
        <w:rPr>
          <w:rFonts w:ascii="Verdana" w:hAnsi="Verdana"/>
          <w:bCs/>
          <w:iCs/>
          <w:sz w:val="20"/>
          <w:szCs w:val="20"/>
        </w:rPr>
      </w:pPr>
    </w:p>
    <w:p w14:paraId="7A88FD56" w14:textId="26036B3B" w:rsidR="006D531B" w:rsidRPr="00365273" w:rsidRDefault="006D531B" w:rsidP="006D531B">
      <w:pPr>
        <w:tabs>
          <w:tab w:val="left" w:pos="567"/>
        </w:tabs>
        <w:spacing w:after="0" w:line="240" w:lineRule="auto"/>
        <w:jc w:val="both"/>
        <w:rPr>
          <w:rFonts w:ascii="Verdana" w:eastAsia="Calibri" w:hAnsi="Verdana" w:cs="Verdana"/>
          <w:bCs/>
          <w:i/>
          <w:sz w:val="20"/>
          <w:szCs w:val="20"/>
          <w:lang w:val="es-ES"/>
        </w:rPr>
      </w:pPr>
      <w:r w:rsidRPr="00AE2198">
        <w:rPr>
          <w:rFonts w:ascii="Verdana" w:eastAsia="Calibri" w:hAnsi="Verdana" w:cs="Verdana"/>
          <w:bCs/>
          <w:sz w:val="20"/>
          <w:szCs w:val="20"/>
          <w:lang w:val="es-ES"/>
        </w:rPr>
        <w:t xml:space="preserve">Resolución del Presidente de la Corte Interamericana de Derechos Humanos. </w:t>
      </w:r>
      <w:r w:rsidRPr="00365273">
        <w:rPr>
          <w:rFonts w:ascii="Verdana" w:eastAsia="Calibri" w:hAnsi="Verdana" w:cs="Verdana"/>
          <w:bCs/>
          <w:i/>
          <w:sz w:val="20"/>
          <w:szCs w:val="20"/>
          <w:lang w:val="es-ES"/>
        </w:rPr>
        <w:t xml:space="preserve">Caso </w:t>
      </w:r>
      <w:proofErr w:type="spellStart"/>
      <w:r w:rsidR="00492C6B">
        <w:rPr>
          <w:rFonts w:ascii="Verdana" w:eastAsia="Calibri" w:hAnsi="Verdana" w:cs="Calibri"/>
          <w:i/>
          <w:sz w:val="20"/>
        </w:rPr>
        <w:t>Arrom</w:t>
      </w:r>
      <w:proofErr w:type="spellEnd"/>
      <w:r w:rsidR="00492C6B">
        <w:rPr>
          <w:rFonts w:ascii="Verdana" w:eastAsia="Calibri" w:hAnsi="Verdana" w:cs="Calibri"/>
          <w:i/>
          <w:sz w:val="20"/>
        </w:rPr>
        <w:t xml:space="preserve"> </w:t>
      </w:r>
      <w:proofErr w:type="spellStart"/>
      <w:r w:rsidR="00492C6B">
        <w:rPr>
          <w:rFonts w:ascii="Verdana" w:eastAsia="Calibri" w:hAnsi="Verdana" w:cs="Calibri"/>
          <w:i/>
          <w:sz w:val="20"/>
        </w:rPr>
        <w:t>Suhurt</w:t>
      </w:r>
      <w:proofErr w:type="spellEnd"/>
      <w:r w:rsidR="00492C6B">
        <w:rPr>
          <w:rFonts w:ascii="Verdana" w:eastAsia="Calibri" w:hAnsi="Verdana" w:cs="Calibri"/>
          <w:i/>
          <w:sz w:val="20"/>
        </w:rPr>
        <w:t xml:space="preserve"> y otros Vs. Paraguay.</w:t>
      </w:r>
      <w:r w:rsidR="003C02D4" w:rsidRPr="003C02D4">
        <w:rPr>
          <w:rFonts w:ascii="Verdana" w:eastAsia="Calibri" w:hAnsi="Verdana" w:cs="Verdana"/>
          <w:bCs/>
          <w:sz w:val="20"/>
          <w:szCs w:val="20"/>
          <w:lang w:val="es-ES"/>
        </w:rPr>
        <w:t xml:space="preserve"> </w:t>
      </w:r>
    </w:p>
    <w:p w14:paraId="65868F0F" w14:textId="77777777" w:rsidR="006D531B" w:rsidRDefault="006D531B" w:rsidP="006D531B">
      <w:pPr>
        <w:tabs>
          <w:tab w:val="left" w:pos="567"/>
          <w:tab w:val="left" w:pos="6663"/>
        </w:tabs>
        <w:spacing w:after="0" w:line="240" w:lineRule="auto"/>
        <w:jc w:val="both"/>
        <w:rPr>
          <w:rFonts w:ascii="Verdana" w:eastAsia="Calibri" w:hAnsi="Verdana" w:cs="Verdana"/>
          <w:bCs/>
          <w:i/>
          <w:sz w:val="20"/>
          <w:szCs w:val="20"/>
          <w:lang w:val="es-ES"/>
        </w:rPr>
      </w:pPr>
    </w:p>
    <w:p w14:paraId="762B0E62" w14:textId="77777777" w:rsidR="006D531B" w:rsidRDefault="006D531B" w:rsidP="006D531B">
      <w:pPr>
        <w:tabs>
          <w:tab w:val="left" w:pos="567"/>
          <w:tab w:val="left" w:pos="6663"/>
        </w:tabs>
        <w:spacing w:after="0" w:line="240" w:lineRule="auto"/>
        <w:jc w:val="both"/>
        <w:rPr>
          <w:rFonts w:ascii="Verdana" w:eastAsia="Calibri" w:hAnsi="Verdana" w:cs="Calibri"/>
          <w:sz w:val="20"/>
          <w:szCs w:val="20"/>
        </w:rPr>
      </w:pPr>
    </w:p>
    <w:p w14:paraId="6CD3C0EE" w14:textId="77777777" w:rsidR="006D531B" w:rsidRDefault="006D531B" w:rsidP="006D531B">
      <w:pPr>
        <w:tabs>
          <w:tab w:val="left" w:pos="567"/>
          <w:tab w:val="left" w:pos="6663"/>
        </w:tabs>
        <w:spacing w:after="0" w:line="240" w:lineRule="auto"/>
        <w:jc w:val="both"/>
        <w:rPr>
          <w:rFonts w:ascii="Verdana" w:eastAsia="Calibri" w:hAnsi="Verdana" w:cs="Calibri"/>
          <w:sz w:val="20"/>
          <w:szCs w:val="20"/>
        </w:rPr>
      </w:pPr>
    </w:p>
    <w:p w14:paraId="5F149A5B" w14:textId="77777777" w:rsidR="00BF402B" w:rsidRDefault="00BF402B" w:rsidP="006D531B">
      <w:pPr>
        <w:tabs>
          <w:tab w:val="left" w:pos="567"/>
          <w:tab w:val="left" w:pos="6663"/>
        </w:tabs>
        <w:spacing w:after="0" w:line="240" w:lineRule="auto"/>
        <w:jc w:val="both"/>
        <w:rPr>
          <w:rFonts w:ascii="Verdana" w:eastAsia="Calibri" w:hAnsi="Verdana" w:cs="Calibri"/>
          <w:sz w:val="20"/>
          <w:szCs w:val="20"/>
        </w:rPr>
      </w:pPr>
    </w:p>
    <w:p w14:paraId="129D69EB" w14:textId="4B875C31" w:rsidR="006D531B" w:rsidRDefault="006D531B" w:rsidP="006D531B">
      <w:pPr>
        <w:tabs>
          <w:tab w:val="left" w:pos="567"/>
          <w:tab w:val="left" w:pos="6663"/>
        </w:tabs>
        <w:spacing w:after="0" w:line="240" w:lineRule="auto"/>
        <w:jc w:val="both"/>
        <w:rPr>
          <w:rFonts w:ascii="Verdana" w:eastAsia="Calibri" w:hAnsi="Verdana" w:cs="Calibri"/>
          <w:sz w:val="20"/>
          <w:szCs w:val="20"/>
        </w:rPr>
      </w:pPr>
    </w:p>
    <w:p w14:paraId="3BF50ECC" w14:textId="5C0CF53A" w:rsidR="006D531B" w:rsidRPr="00AE2198" w:rsidRDefault="006D531B" w:rsidP="006D531B">
      <w:pPr>
        <w:tabs>
          <w:tab w:val="left" w:pos="567"/>
          <w:tab w:val="left" w:pos="6663"/>
        </w:tabs>
        <w:spacing w:after="0" w:line="240" w:lineRule="auto"/>
        <w:ind w:right="1170"/>
        <w:jc w:val="right"/>
        <w:rPr>
          <w:rFonts w:ascii="Verdana" w:eastAsia="Calibri" w:hAnsi="Verdana" w:cs="Calibri"/>
          <w:sz w:val="20"/>
          <w:szCs w:val="20"/>
        </w:rPr>
      </w:pPr>
    </w:p>
    <w:p w14:paraId="43458B51" w14:textId="77777777" w:rsidR="006D531B" w:rsidRPr="00AE2198" w:rsidRDefault="006D531B" w:rsidP="006D531B">
      <w:pPr>
        <w:tabs>
          <w:tab w:val="left" w:pos="567"/>
        </w:tabs>
        <w:spacing w:after="0" w:line="240" w:lineRule="auto"/>
        <w:ind w:left="4253"/>
        <w:jc w:val="center"/>
        <w:rPr>
          <w:rFonts w:ascii="Verdana" w:eastAsia="Calibri" w:hAnsi="Verdana" w:cs="Calibri"/>
          <w:sz w:val="20"/>
          <w:szCs w:val="20"/>
          <w:lang w:val="pt-BR"/>
        </w:rPr>
      </w:pPr>
      <w:r w:rsidRPr="005574E1">
        <w:rPr>
          <w:rFonts w:ascii="Verdana" w:eastAsia="Calibri" w:hAnsi="Verdana" w:cs="Calibri"/>
          <w:sz w:val="20"/>
          <w:szCs w:val="20"/>
        </w:rPr>
        <w:t>Eduardo Ferrer Mac-</w:t>
      </w:r>
      <w:proofErr w:type="spellStart"/>
      <w:r w:rsidRPr="005574E1">
        <w:rPr>
          <w:rFonts w:ascii="Verdana" w:eastAsia="Calibri" w:hAnsi="Verdana" w:cs="Calibri"/>
          <w:sz w:val="20"/>
          <w:szCs w:val="20"/>
        </w:rPr>
        <w:t>Gregor</w:t>
      </w:r>
      <w:proofErr w:type="spellEnd"/>
      <w:r w:rsidRPr="005574E1">
        <w:rPr>
          <w:rFonts w:ascii="Verdana" w:eastAsia="Calibri" w:hAnsi="Verdana" w:cs="Calibri"/>
          <w:sz w:val="20"/>
          <w:szCs w:val="20"/>
        </w:rPr>
        <w:t xml:space="preserve"> </w:t>
      </w:r>
      <w:proofErr w:type="spellStart"/>
      <w:r w:rsidRPr="005574E1">
        <w:rPr>
          <w:rFonts w:ascii="Verdana" w:eastAsia="Calibri" w:hAnsi="Verdana" w:cs="Calibri"/>
          <w:sz w:val="20"/>
          <w:szCs w:val="20"/>
        </w:rPr>
        <w:t>Poisot</w:t>
      </w:r>
      <w:proofErr w:type="spellEnd"/>
    </w:p>
    <w:p w14:paraId="3FC55436" w14:textId="5D4B1F7A" w:rsidR="006D531B" w:rsidRPr="00B53281" w:rsidRDefault="006D531B" w:rsidP="00B53281">
      <w:pPr>
        <w:tabs>
          <w:tab w:val="left" w:pos="567"/>
        </w:tabs>
        <w:spacing w:after="0" w:line="240" w:lineRule="auto"/>
        <w:ind w:left="4253"/>
        <w:jc w:val="center"/>
        <w:rPr>
          <w:rFonts w:ascii="Verdana" w:eastAsia="Calibri" w:hAnsi="Verdana" w:cs="Calibri"/>
          <w:sz w:val="20"/>
          <w:szCs w:val="20"/>
          <w:lang w:val="pt-BR"/>
        </w:rPr>
      </w:pPr>
      <w:r w:rsidRPr="00AE2198">
        <w:rPr>
          <w:rFonts w:ascii="Verdana" w:eastAsia="Calibri" w:hAnsi="Verdana" w:cs="Calibri"/>
          <w:sz w:val="20"/>
          <w:szCs w:val="20"/>
          <w:lang w:val="pt-BR"/>
        </w:rPr>
        <w:t>Presidente</w:t>
      </w:r>
      <w:r>
        <w:rPr>
          <w:rFonts w:ascii="Verdana" w:eastAsia="Calibri" w:hAnsi="Verdana" w:cs="Calibri"/>
          <w:sz w:val="20"/>
          <w:szCs w:val="20"/>
          <w:lang w:val="pt-BR"/>
        </w:rPr>
        <w:t xml:space="preserve"> </w:t>
      </w:r>
    </w:p>
    <w:p w14:paraId="103C6247" w14:textId="77777777" w:rsidR="006D531B" w:rsidRDefault="006D531B" w:rsidP="006D531B">
      <w:pPr>
        <w:tabs>
          <w:tab w:val="left" w:pos="567"/>
          <w:tab w:val="left" w:pos="2835"/>
        </w:tabs>
        <w:spacing w:after="0" w:line="240" w:lineRule="auto"/>
        <w:ind w:right="6003"/>
        <w:rPr>
          <w:rFonts w:ascii="Verdana" w:eastAsia="Calibri" w:hAnsi="Verdana" w:cs="Calibri"/>
          <w:sz w:val="20"/>
          <w:szCs w:val="20"/>
          <w:lang w:val="es-ES"/>
        </w:rPr>
      </w:pPr>
    </w:p>
    <w:p w14:paraId="21494663" w14:textId="77777777" w:rsidR="00B53281" w:rsidRDefault="00B53281" w:rsidP="006D531B">
      <w:pPr>
        <w:tabs>
          <w:tab w:val="left" w:pos="567"/>
          <w:tab w:val="left" w:pos="2835"/>
        </w:tabs>
        <w:spacing w:after="0" w:line="240" w:lineRule="auto"/>
        <w:ind w:right="6003"/>
        <w:rPr>
          <w:rFonts w:ascii="Verdana" w:eastAsia="Calibri" w:hAnsi="Verdana" w:cs="Calibri"/>
          <w:sz w:val="20"/>
          <w:szCs w:val="20"/>
          <w:lang w:val="es-ES"/>
        </w:rPr>
      </w:pPr>
    </w:p>
    <w:p w14:paraId="71806535" w14:textId="77777777" w:rsidR="00BF402B" w:rsidRDefault="00BF402B" w:rsidP="006D531B">
      <w:pPr>
        <w:tabs>
          <w:tab w:val="left" w:pos="567"/>
          <w:tab w:val="left" w:pos="2835"/>
        </w:tabs>
        <w:spacing w:after="0" w:line="240" w:lineRule="auto"/>
        <w:ind w:right="6003"/>
        <w:rPr>
          <w:rFonts w:ascii="Verdana" w:eastAsia="Calibri" w:hAnsi="Verdana" w:cs="Calibri"/>
          <w:sz w:val="20"/>
          <w:szCs w:val="20"/>
          <w:lang w:val="es-ES"/>
        </w:rPr>
      </w:pPr>
    </w:p>
    <w:p w14:paraId="65B79BDC" w14:textId="77777777" w:rsidR="00BF402B" w:rsidRDefault="00BF402B" w:rsidP="006D531B">
      <w:pPr>
        <w:tabs>
          <w:tab w:val="left" w:pos="567"/>
          <w:tab w:val="left" w:pos="2835"/>
        </w:tabs>
        <w:spacing w:after="0" w:line="240" w:lineRule="auto"/>
        <w:ind w:right="6003"/>
        <w:rPr>
          <w:rFonts w:ascii="Verdana" w:eastAsia="Calibri" w:hAnsi="Verdana" w:cs="Calibri"/>
          <w:sz w:val="20"/>
          <w:szCs w:val="20"/>
          <w:lang w:val="es-ES"/>
        </w:rPr>
      </w:pPr>
    </w:p>
    <w:p w14:paraId="7F993C7F" w14:textId="77777777" w:rsidR="00B53281" w:rsidRPr="00AE2198" w:rsidRDefault="00B53281" w:rsidP="006D531B">
      <w:pPr>
        <w:tabs>
          <w:tab w:val="left" w:pos="567"/>
          <w:tab w:val="left" w:pos="2835"/>
        </w:tabs>
        <w:spacing w:after="0" w:line="240" w:lineRule="auto"/>
        <w:ind w:right="6003"/>
        <w:rPr>
          <w:rFonts w:ascii="Verdana" w:eastAsia="Calibri" w:hAnsi="Verdana" w:cs="Calibri"/>
          <w:sz w:val="20"/>
          <w:szCs w:val="20"/>
          <w:lang w:val="es-ES"/>
        </w:rPr>
      </w:pPr>
    </w:p>
    <w:p w14:paraId="7792FC48" w14:textId="40842282" w:rsidR="006D531B" w:rsidRDefault="006D531B" w:rsidP="006D531B">
      <w:pPr>
        <w:tabs>
          <w:tab w:val="left" w:pos="567"/>
          <w:tab w:val="left" w:pos="2835"/>
        </w:tabs>
        <w:spacing w:after="0" w:line="240" w:lineRule="auto"/>
        <w:ind w:right="6003"/>
        <w:rPr>
          <w:rFonts w:ascii="Verdana" w:eastAsia="Calibri" w:hAnsi="Verdana" w:cs="Calibri"/>
          <w:sz w:val="20"/>
          <w:szCs w:val="20"/>
          <w:lang w:val="es-ES"/>
        </w:rPr>
      </w:pPr>
    </w:p>
    <w:p w14:paraId="56B3274F" w14:textId="77777777" w:rsidR="00B53281" w:rsidRPr="00AE2198" w:rsidRDefault="00B53281" w:rsidP="006D531B">
      <w:pPr>
        <w:tabs>
          <w:tab w:val="left" w:pos="567"/>
          <w:tab w:val="left" w:pos="2835"/>
        </w:tabs>
        <w:spacing w:after="0" w:line="240" w:lineRule="auto"/>
        <w:ind w:right="6003"/>
        <w:rPr>
          <w:rFonts w:ascii="Verdana" w:eastAsia="Calibri" w:hAnsi="Verdana" w:cs="Calibri"/>
          <w:sz w:val="20"/>
          <w:szCs w:val="20"/>
          <w:lang w:val="es-ES"/>
        </w:rPr>
      </w:pPr>
    </w:p>
    <w:p w14:paraId="5CE542BA" w14:textId="77777777" w:rsidR="006D531B" w:rsidRPr="00AE2198" w:rsidRDefault="006D531B" w:rsidP="006D531B">
      <w:pPr>
        <w:tabs>
          <w:tab w:val="left" w:pos="567"/>
          <w:tab w:val="left" w:pos="2835"/>
        </w:tabs>
        <w:spacing w:after="0" w:line="240" w:lineRule="auto"/>
        <w:ind w:right="6003"/>
        <w:rPr>
          <w:rFonts w:ascii="Verdana" w:eastAsia="Calibri" w:hAnsi="Verdana" w:cs="Calibri"/>
          <w:sz w:val="20"/>
          <w:szCs w:val="20"/>
          <w:lang w:val="es-ES"/>
        </w:rPr>
      </w:pPr>
      <w:r w:rsidRPr="00AE2198">
        <w:rPr>
          <w:rFonts w:ascii="Verdana" w:eastAsia="Calibri" w:hAnsi="Verdana" w:cs="Calibri"/>
          <w:sz w:val="20"/>
          <w:szCs w:val="20"/>
          <w:lang w:val="es-ES"/>
        </w:rPr>
        <w:t>Pablo Saavedra Alessandri</w:t>
      </w:r>
    </w:p>
    <w:p w14:paraId="623DBB0D" w14:textId="77777777" w:rsidR="006D531B" w:rsidRPr="00AE2198" w:rsidRDefault="006D531B" w:rsidP="006D531B">
      <w:pPr>
        <w:tabs>
          <w:tab w:val="left" w:pos="567"/>
          <w:tab w:val="left" w:pos="2835"/>
        </w:tabs>
        <w:spacing w:after="0" w:line="240" w:lineRule="auto"/>
        <w:ind w:right="6003"/>
        <w:rPr>
          <w:rFonts w:ascii="Verdana" w:eastAsia="Calibri" w:hAnsi="Verdana" w:cs="Calibri"/>
          <w:sz w:val="20"/>
          <w:szCs w:val="20"/>
          <w:lang w:val="es-ES"/>
        </w:rPr>
      </w:pPr>
      <w:r>
        <w:rPr>
          <w:rFonts w:ascii="Verdana" w:eastAsia="Calibri" w:hAnsi="Verdana" w:cs="Calibri"/>
          <w:sz w:val="20"/>
          <w:szCs w:val="20"/>
          <w:lang w:val="es-ES"/>
        </w:rPr>
        <w:tab/>
        <w:t xml:space="preserve">  </w:t>
      </w:r>
      <w:r w:rsidRPr="00AE2198">
        <w:rPr>
          <w:rFonts w:ascii="Verdana" w:eastAsia="Calibri" w:hAnsi="Verdana" w:cs="Calibri"/>
          <w:sz w:val="20"/>
          <w:szCs w:val="20"/>
          <w:lang w:val="es-ES"/>
        </w:rPr>
        <w:t>Secretario</w:t>
      </w:r>
    </w:p>
    <w:p w14:paraId="753DC79F" w14:textId="686856CB" w:rsidR="006D531B" w:rsidRPr="00AE2198" w:rsidRDefault="006D531B" w:rsidP="006D531B">
      <w:pPr>
        <w:tabs>
          <w:tab w:val="left" w:pos="567"/>
        </w:tabs>
        <w:spacing w:after="0" w:line="240" w:lineRule="auto"/>
        <w:jc w:val="both"/>
        <w:rPr>
          <w:rFonts w:ascii="Verdana" w:eastAsia="Calibri" w:hAnsi="Verdana" w:cs="Calibri"/>
          <w:sz w:val="20"/>
          <w:szCs w:val="20"/>
        </w:rPr>
      </w:pPr>
    </w:p>
    <w:p w14:paraId="5E202029" w14:textId="4E1A2D5D" w:rsidR="006D531B" w:rsidRPr="00AE2198" w:rsidRDefault="006D531B" w:rsidP="006D531B">
      <w:pPr>
        <w:tabs>
          <w:tab w:val="left" w:pos="567"/>
        </w:tabs>
        <w:spacing w:after="0" w:line="240" w:lineRule="auto"/>
        <w:jc w:val="both"/>
        <w:rPr>
          <w:rFonts w:ascii="Verdana" w:eastAsia="Calibri" w:hAnsi="Verdana" w:cs="Calibri"/>
          <w:sz w:val="20"/>
          <w:szCs w:val="20"/>
        </w:rPr>
      </w:pPr>
    </w:p>
    <w:p w14:paraId="54BCBD75" w14:textId="12689A42" w:rsidR="006D531B" w:rsidRDefault="006D531B" w:rsidP="00896910">
      <w:pPr>
        <w:tabs>
          <w:tab w:val="left" w:pos="567"/>
        </w:tabs>
        <w:spacing w:after="0" w:line="240" w:lineRule="auto"/>
        <w:jc w:val="both"/>
        <w:rPr>
          <w:rFonts w:ascii="Verdana" w:eastAsia="Calibri" w:hAnsi="Verdana" w:cs="Calibri"/>
          <w:noProof/>
          <w:sz w:val="20"/>
          <w:szCs w:val="20"/>
          <w:lang w:eastAsia="es-CR"/>
        </w:rPr>
      </w:pPr>
      <w:r w:rsidRPr="00AE2198">
        <w:rPr>
          <w:rFonts w:ascii="Verdana" w:eastAsia="Calibri" w:hAnsi="Verdana" w:cs="Calibri"/>
          <w:sz w:val="20"/>
          <w:szCs w:val="20"/>
        </w:rPr>
        <w:t>Comuníquese y ejecútese,</w:t>
      </w:r>
      <w:r w:rsidRPr="00AE2198">
        <w:rPr>
          <w:rFonts w:ascii="Verdana" w:eastAsia="Calibri" w:hAnsi="Verdana" w:cs="Calibri"/>
          <w:noProof/>
          <w:sz w:val="20"/>
          <w:szCs w:val="20"/>
          <w:lang w:eastAsia="es-CR"/>
        </w:rPr>
        <w:t xml:space="preserve"> </w:t>
      </w:r>
    </w:p>
    <w:p w14:paraId="67BD098B" w14:textId="77777777" w:rsidR="006D531B" w:rsidRDefault="006D531B" w:rsidP="006D531B">
      <w:pPr>
        <w:tabs>
          <w:tab w:val="left" w:pos="567"/>
        </w:tabs>
        <w:spacing w:after="0" w:line="240" w:lineRule="auto"/>
        <w:ind w:left="4536"/>
        <w:jc w:val="center"/>
        <w:rPr>
          <w:rFonts w:ascii="Verdana" w:eastAsia="Calibri" w:hAnsi="Verdana" w:cs="Calibri"/>
          <w:noProof/>
          <w:sz w:val="20"/>
          <w:szCs w:val="20"/>
          <w:lang w:eastAsia="es-CR"/>
        </w:rPr>
      </w:pPr>
    </w:p>
    <w:p w14:paraId="5A240F35" w14:textId="6736DF28" w:rsidR="006D531B" w:rsidRDefault="006D531B" w:rsidP="006D531B">
      <w:pPr>
        <w:tabs>
          <w:tab w:val="left" w:pos="567"/>
        </w:tabs>
        <w:spacing w:after="0" w:line="240" w:lineRule="auto"/>
        <w:ind w:left="4536"/>
        <w:jc w:val="center"/>
        <w:rPr>
          <w:rFonts w:ascii="Verdana" w:eastAsia="Calibri" w:hAnsi="Verdana" w:cs="Calibri"/>
          <w:noProof/>
          <w:sz w:val="20"/>
          <w:szCs w:val="20"/>
          <w:lang w:eastAsia="es-CR"/>
        </w:rPr>
      </w:pPr>
    </w:p>
    <w:p w14:paraId="27AB1EED" w14:textId="77777777" w:rsidR="00BF402B" w:rsidRDefault="00BF402B" w:rsidP="006D531B">
      <w:pPr>
        <w:tabs>
          <w:tab w:val="left" w:pos="567"/>
        </w:tabs>
        <w:spacing w:after="0" w:line="240" w:lineRule="auto"/>
        <w:ind w:left="4536"/>
        <w:jc w:val="center"/>
        <w:rPr>
          <w:rFonts w:ascii="Verdana" w:eastAsia="Calibri" w:hAnsi="Verdana" w:cs="Calibri"/>
          <w:noProof/>
          <w:sz w:val="20"/>
          <w:szCs w:val="20"/>
          <w:lang w:eastAsia="es-CR"/>
        </w:rPr>
      </w:pPr>
    </w:p>
    <w:p w14:paraId="34684BCE" w14:textId="59C4C279" w:rsidR="006D531B" w:rsidRDefault="006D531B" w:rsidP="006D531B">
      <w:pPr>
        <w:tabs>
          <w:tab w:val="left" w:pos="567"/>
        </w:tabs>
        <w:spacing w:after="0" w:line="240" w:lineRule="auto"/>
        <w:ind w:left="4536"/>
        <w:jc w:val="center"/>
        <w:rPr>
          <w:rFonts w:ascii="Verdana" w:eastAsia="Calibri" w:hAnsi="Verdana" w:cs="Calibri"/>
          <w:noProof/>
          <w:sz w:val="20"/>
          <w:szCs w:val="20"/>
          <w:lang w:eastAsia="es-CR"/>
        </w:rPr>
      </w:pPr>
    </w:p>
    <w:p w14:paraId="2030F8BA" w14:textId="3A28A645" w:rsidR="006D531B" w:rsidRPr="00AE2198" w:rsidRDefault="006D531B" w:rsidP="006D531B">
      <w:pPr>
        <w:tabs>
          <w:tab w:val="left" w:pos="567"/>
        </w:tabs>
        <w:spacing w:after="0" w:line="240" w:lineRule="auto"/>
        <w:ind w:left="4536"/>
        <w:jc w:val="center"/>
        <w:rPr>
          <w:rFonts w:ascii="Verdana" w:eastAsia="Calibri" w:hAnsi="Verdana" w:cs="Calibri"/>
          <w:sz w:val="20"/>
          <w:szCs w:val="20"/>
          <w:lang w:val="pt-BR"/>
        </w:rPr>
      </w:pPr>
    </w:p>
    <w:p w14:paraId="11C2B7B6" w14:textId="77777777" w:rsidR="006D531B" w:rsidRPr="00FC7FFB" w:rsidRDefault="006D531B" w:rsidP="006D531B">
      <w:pPr>
        <w:tabs>
          <w:tab w:val="left" w:pos="567"/>
        </w:tabs>
        <w:spacing w:after="0" w:line="240" w:lineRule="auto"/>
        <w:ind w:left="4536"/>
        <w:jc w:val="center"/>
        <w:rPr>
          <w:rFonts w:ascii="Verdana" w:eastAsia="Calibri" w:hAnsi="Verdana" w:cs="Calibri"/>
          <w:sz w:val="20"/>
          <w:szCs w:val="20"/>
          <w:lang w:val="pt-BR"/>
        </w:rPr>
      </w:pPr>
      <w:r w:rsidRPr="00FC7FFB">
        <w:rPr>
          <w:rFonts w:ascii="Verdana" w:eastAsia="Calibri" w:hAnsi="Verdana" w:cs="Calibri"/>
          <w:sz w:val="20"/>
          <w:szCs w:val="20"/>
        </w:rPr>
        <w:t>Eduardo Ferrer Mac-</w:t>
      </w:r>
      <w:proofErr w:type="spellStart"/>
      <w:r w:rsidRPr="00FC7FFB">
        <w:rPr>
          <w:rFonts w:ascii="Verdana" w:eastAsia="Calibri" w:hAnsi="Verdana" w:cs="Calibri"/>
          <w:sz w:val="20"/>
          <w:szCs w:val="20"/>
        </w:rPr>
        <w:t>Gregor</w:t>
      </w:r>
      <w:proofErr w:type="spellEnd"/>
      <w:r w:rsidRPr="00FC7FFB">
        <w:rPr>
          <w:rFonts w:ascii="Verdana" w:eastAsia="Calibri" w:hAnsi="Verdana" w:cs="Calibri"/>
          <w:sz w:val="20"/>
          <w:szCs w:val="20"/>
        </w:rPr>
        <w:t xml:space="preserve"> </w:t>
      </w:r>
      <w:proofErr w:type="spellStart"/>
      <w:r w:rsidRPr="00FC7FFB">
        <w:rPr>
          <w:rFonts w:ascii="Verdana" w:eastAsia="Calibri" w:hAnsi="Verdana" w:cs="Calibri"/>
          <w:sz w:val="20"/>
          <w:szCs w:val="20"/>
        </w:rPr>
        <w:t>Poisot</w:t>
      </w:r>
      <w:proofErr w:type="spellEnd"/>
    </w:p>
    <w:p w14:paraId="5DDB4A4D" w14:textId="16D102DF" w:rsidR="006D531B" w:rsidRDefault="006D531B" w:rsidP="00B53281">
      <w:pPr>
        <w:tabs>
          <w:tab w:val="left" w:pos="567"/>
        </w:tabs>
        <w:spacing w:after="0" w:line="240" w:lineRule="auto"/>
        <w:ind w:left="4536"/>
        <w:jc w:val="center"/>
        <w:rPr>
          <w:rFonts w:ascii="Verdana" w:eastAsia="Calibri" w:hAnsi="Verdana" w:cs="Calibri"/>
          <w:sz w:val="20"/>
          <w:szCs w:val="20"/>
        </w:rPr>
      </w:pPr>
      <w:r w:rsidRPr="00FC7FFB">
        <w:rPr>
          <w:rFonts w:ascii="Verdana" w:eastAsia="Calibri" w:hAnsi="Verdana" w:cs="Calibri"/>
          <w:sz w:val="20"/>
          <w:szCs w:val="20"/>
          <w:lang w:val="pt-BR"/>
        </w:rPr>
        <w:t xml:space="preserve">Presidente </w:t>
      </w:r>
    </w:p>
    <w:p w14:paraId="44E6A48E" w14:textId="77777777" w:rsidR="00896910" w:rsidRDefault="00896910" w:rsidP="006D531B">
      <w:pPr>
        <w:tabs>
          <w:tab w:val="left" w:pos="567"/>
        </w:tabs>
        <w:spacing w:after="0" w:line="240" w:lineRule="auto"/>
        <w:ind w:right="6003"/>
        <w:rPr>
          <w:rFonts w:ascii="Verdana" w:eastAsia="Calibri" w:hAnsi="Verdana" w:cs="Calibri"/>
          <w:sz w:val="20"/>
          <w:szCs w:val="20"/>
        </w:rPr>
      </w:pPr>
    </w:p>
    <w:p w14:paraId="5F43A4DD" w14:textId="77777777" w:rsidR="00896910" w:rsidRDefault="00896910" w:rsidP="006D531B">
      <w:pPr>
        <w:tabs>
          <w:tab w:val="left" w:pos="567"/>
        </w:tabs>
        <w:spacing w:after="0" w:line="240" w:lineRule="auto"/>
        <w:ind w:right="6003"/>
        <w:rPr>
          <w:rFonts w:ascii="Verdana" w:eastAsia="Calibri" w:hAnsi="Verdana" w:cs="Calibri"/>
          <w:sz w:val="20"/>
          <w:szCs w:val="20"/>
        </w:rPr>
      </w:pPr>
    </w:p>
    <w:p w14:paraId="4EE4D1EC" w14:textId="77777777" w:rsidR="00BF402B" w:rsidRDefault="00BF402B" w:rsidP="006D531B">
      <w:pPr>
        <w:tabs>
          <w:tab w:val="left" w:pos="567"/>
        </w:tabs>
        <w:spacing w:after="0" w:line="240" w:lineRule="auto"/>
        <w:ind w:right="6003"/>
        <w:rPr>
          <w:rFonts w:ascii="Verdana" w:eastAsia="Calibri" w:hAnsi="Verdana" w:cs="Calibri"/>
          <w:sz w:val="20"/>
          <w:szCs w:val="20"/>
        </w:rPr>
      </w:pPr>
    </w:p>
    <w:p w14:paraId="3B562D6A" w14:textId="77777777" w:rsidR="00BF402B" w:rsidRDefault="00BF402B" w:rsidP="006D531B">
      <w:pPr>
        <w:tabs>
          <w:tab w:val="left" w:pos="567"/>
        </w:tabs>
        <w:spacing w:after="0" w:line="240" w:lineRule="auto"/>
        <w:ind w:right="6003"/>
        <w:rPr>
          <w:rFonts w:ascii="Verdana" w:eastAsia="Calibri" w:hAnsi="Verdana" w:cs="Calibri"/>
          <w:sz w:val="20"/>
          <w:szCs w:val="20"/>
        </w:rPr>
      </w:pPr>
    </w:p>
    <w:p w14:paraId="2019C6BB" w14:textId="77777777" w:rsidR="00896910" w:rsidRDefault="00896910" w:rsidP="006D531B">
      <w:pPr>
        <w:tabs>
          <w:tab w:val="left" w:pos="567"/>
        </w:tabs>
        <w:spacing w:after="0" w:line="240" w:lineRule="auto"/>
        <w:ind w:right="6003"/>
        <w:rPr>
          <w:rFonts w:ascii="Verdana" w:eastAsia="Calibri" w:hAnsi="Verdana" w:cs="Calibri"/>
          <w:sz w:val="20"/>
          <w:szCs w:val="20"/>
        </w:rPr>
      </w:pPr>
    </w:p>
    <w:p w14:paraId="40BE5685" w14:textId="598F6DC1" w:rsidR="006D531B" w:rsidRPr="00AE2198" w:rsidRDefault="006D531B" w:rsidP="006D531B">
      <w:pPr>
        <w:tabs>
          <w:tab w:val="left" w:pos="567"/>
        </w:tabs>
        <w:spacing w:after="0" w:line="240" w:lineRule="auto"/>
        <w:ind w:right="6003"/>
        <w:rPr>
          <w:rFonts w:ascii="Verdana" w:eastAsia="Calibri" w:hAnsi="Verdana" w:cs="Calibri"/>
          <w:sz w:val="20"/>
          <w:szCs w:val="20"/>
        </w:rPr>
      </w:pPr>
    </w:p>
    <w:p w14:paraId="610A1165" w14:textId="77777777" w:rsidR="006D531B" w:rsidRPr="00AE2198" w:rsidRDefault="006D531B" w:rsidP="006D531B">
      <w:pPr>
        <w:tabs>
          <w:tab w:val="left" w:pos="567"/>
        </w:tabs>
        <w:spacing w:after="0" w:line="240" w:lineRule="auto"/>
        <w:ind w:right="6003"/>
        <w:rPr>
          <w:rFonts w:ascii="Verdana" w:eastAsia="Calibri" w:hAnsi="Verdana" w:cs="Calibri"/>
          <w:sz w:val="20"/>
          <w:szCs w:val="20"/>
        </w:rPr>
      </w:pPr>
      <w:r w:rsidRPr="00AE2198">
        <w:rPr>
          <w:rFonts w:ascii="Verdana" w:eastAsia="Calibri" w:hAnsi="Verdana" w:cs="Calibri"/>
          <w:sz w:val="20"/>
          <w:szCs w:val="20"/>
        </w:rPr>
        <w:t>Pablo Saavedra Alessandri</w:t>
      </w:r>
    </w:p>
    <w:p w14:paraId="5A4A2ACE" w14:textId="77777777" w:rsidR="006D531B" w:rsidRDefault="006D531B" w:rsidP="006D531B">
      <w:pPr>
        <w:spacing w:after="0" w:line="240" w:lineRule="auto"/>
        <w:ind w:firstLine="720"/>
      </w:pPr>
      <w:r>
        <w:rPr>
          <w:rFonts w:ascii="Verdana" w:eastAsia="Calibri" w:hAnsi="Verdana" w:cs="Calibri"/>
          <w:sz w:val="20"/>
          <w:szCs w:val="20"/>
        </w:rPr>
        <w:t xml:space="preserve">  </w:t>
      </w:r>
      <w:r w:rsidRPr="00AE2198">
        <w:rPr>
          <w:rFonts w:ascii="Verdana" w:eastAsia="Calibri" w:hAnsi="Verdana" w:cs="Calibri"/>
          <w:sz w:val="20"/>
          <w:szCs w:val="20"/>
        </w:rPr>
        <w:t>Secretario</w:t>
      </w:r>
    </w:p>
    <w:p w14:paraId="7292886F" w14:textId="77777777" w:rsidR="006D531B" w:rsidRPr="003B3F36" w:rsidRDefault="006D531B" w:rsidP="003E055B">
      <w:pPr>
        <w:pStyle w:val="ListParagraph"/>
        <w:tabs>
          <w:tab w:val="left" w:pos="567"/>
        </w:tabs>
        <w:spacing w:after="0" w:line="240" w:lineRule="auto"/>
        <w:rPr>
          <w:rFonts w:ascii="Verdana" w:hAnsi="Verdana"/>
          <w:bCs/>
          <w:iCs/>
          <w:sz w:val="20"/>
          <w:szCs w:val="20"/>
        </w:rPr>
      </w:pPr>
    </w:p>
    <w:p w14:paraId="5222FCC7" w14:textId="77777777" w:rsidR="0053557B" w:rsidRPr="003B3F36" w:rsidRDefault="0053557B" w:rsidP="003E055B">
      <w:pPr>
        <w:pStyle w:val="ListParagraph"/>
        <w:tabs>
          <w:tab w:val="left" w:pos="567"/>
        </w:tabs>
        <w:spacing w:after="0" w:line="240" w:lineRule="auto"/>
        <w:rPr>
          <w:rFonts w:ascii="Verdana" w:hAnsi="Verdana"/>
          <w:bCs/>
          <w:iCs/>
          <w:sz w:val="20"/>
          <w:szCs w:val="20"/>
        </w:rPr>
      </w:pPr>
    </w:p>
    <w:p w14:paraId="23484A44" w14:textId="77777777" w:rsidR="0053557B" w:rsidRPr="003B3F36" w:rsidRDefault="0053557B" w:rsidP="003E055B">
      <w:pPr>
        <w:pStyle w:val="ListParagraph"/>
        <w:tabs>
          <w:tab w:val="left" w:pos="567"/>
        </w:tabs>
        <w:spacing w:after="0" w:line="240" w:lineRule="auto"/>
        <w:rPr>
          <w:rFonts w:ascii="Verdana" w:hAnsi="Verdana"/>
          <w:bCs/>
          <w:iCs/>
          <w:sz w:val="20"/>
          <w:szCs w:val="20"/>
        </w:rPr>
      </w:pPr>
    </w:p>
    <w:p w14:paraId="2390DEA2" w14:textId="77777777" w:rsidR="003E055B" w:rsidRPr="003B3F36" w:rsidRDefault="003E055B">
      <w:pPr>
        <w:tabs>
          <w:tab w:val="left" w:pos="567"/>
        </w:tabs>
        <w:spacing w:after="0" w:line="240" w:lineRule="auto"/>
        <w:ind w:right="6003"/>
        <w:rPr>
          <w:rFonts w:ascii="Verdana" w:eastAsia="Calibri" w:hAnsi="Verdana" w:cs="Calibri"/>
          <w:sz w:val="20"/>
          <w:szCs w:val="20"/>
        </w:rPr>
      </w:pPr>
    </w:p>
    <w:sectPr w:rsidR="003E055B" w:rsidRPr="003B3F36" w:rsidSect="00006CA0">
      <w:headerReference w:type="even" r:id="rId9"/>
      <w:headerReference w:type="default" r:id="rId10"/>
      <w:pgSz w:w="12240" w:h="15840"/>
      <w:pgMar w:top="1440" w:right="1418" w:bottom="1440"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AADAA" w15:done="0"/>
  <w15:commentEx w15:paraId="08999F90" w15:done="0"/>
  <w15:commentEx w15:paraId="53F17E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CC34" w14:textId="77777777" w:rsidR="0048780C" w:rsidRDefault="0048780C" w:rsidP="006A0BE5">
      <w:pPr>
        <w:spacing w:after="0" w:line="240" w:lineRule="auto"/>
      </w:pPr>
      <w:r>
        <w:separator/>
      </w:r>
    </w:p>
  </w:endnote>
  <w:endnote w:type="continuationSeparator" w:id="0">
    <w:p w14:paraId="69A266DD" w14:textId="77777777" w:rsidR="0048780C" w:rsidRDefault="0048780C" w:rsidP="006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FC5D1" w14:textId="77777777" w:rsidR="0048780C" w:rsidRDefault="0048780C" w:rsidP="006A0BE5">
      <w:pPr>
        <w:spacing w:after="0" w:line="240" w:lineRule="auto"/>
      </w:pPr>
      <w:r>
        <w:separator/>
      </w:r>
    </w:p>
  </w:footnote>
  <w:footnote w:type="continuationSeparator" w:id="0">
    <w:p w14:paraId="339FD0CB" w14:textId="77777777" w:rsidR="0048780C" w:rsidRDefault="0048780C" w:rsidP="006A0BE5">
      <w:pPr>
        <w:spacing w:after="0" w:line="240" w:lineRule="auto"/>
      </w:pPr>
      <w:r>
        <w:continuationSeparator/>
      </w:r>
    </w:p>
  </w:footnote>
  <w:footnote w:id="1">
    <w:p w14:paraId="65D4FD10" w14:textId="7D31B814" w:rsidR="00467E9F" w:rsidRPr="001A5338" w:rsidRDefault="00467E9F" w:rsidP="001A5338">
      <w:pPr>
        <w:pStyle w:val="FootnoteText"/>
        <w:tabs>
          <w:tab w:val="left" w:pos="567"/>
        </w:tabs>
        <w:jc w:val="both"/>
        <w:rPr>
          <w:rFonts w:ascii="Verdana" w:hAnsi="Verdana"/>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t xml:space="preserve">Respecto a estos declarantes el Estado solicitó de forma general que </w:t>
      </w:r>
      <w:r w:rsidRPr="001A5338">
        <w:rPr>
          <w:rFonts w:ascii="Verdana" w:hAnsi="Verdana"/>
          <w:sz w:val="16"/>
          <w:szCs w:val="16"/>
          <w:lang w:val="es-ES_tradnl"/>
        </w:rPr>
        <w:t>“</w:t>
      </w:r>
      <w:r w:rsidRPr="001A5338">
        <w:rPr>
          <w:rFonts w:ascii="Verdana" w:hAnsi="Verdana"/>
          <w:sz w:val="16"/>
          <w:szCs w:val="16"/>
        </w:rPr>
        <w:t xml:space="preserve">en su debido momento </w:t>
      </w:r>
      <w:r w:rsidR="00CC713F">
        <w:rPr>
          <w:rFonts w:ascii="Verdana" w:hAnsi="Verdana"/>
          <w:sz w:val="16"/>
          <w:szCs w:val="16"/>
        </w:rPr>
        <w:t xml:space="preserve">[la Corte] </w:t>
      </w:r>
      <w:r w:rsidRPr="001A5338">
        <w:rPr>
          <w:rFonts w:ascii="Verdana" w:hAnsi="Verdana"/>
          <w:sz w:val="16"/>
          <w:szCs w:val="16"/>
        </w:rPr>
        <w:t xml:space="preserve">valor[e] los testimonios ofrecidos teniendo en cuenta las estrechas relaciones entre las presuntas víctimas y los declarantes, en consonancia con la lógica y la sana critica”. </w:t>
      </w:r>
      <w:r w:rsidRPr="001A5338">
        <w:rPr>
          <w:rFonts w:ascii="Verdana" w:hAnsi="Verdana"/>
          <w:sz w:val="16"/>
          <w:szCs w:val="16"/>
          <w:lang w:val="es-ES_tradnl"/>
        </w:rPr>
        <w:t xml:space="preserve">Esta Presidencia toma nota de dicha solicitud. Dichas consideraciones serán tomadas en cuenta </w:t>
      </w:r>
      <w:r w:rsidRPr="001A5338">
        <w:rPr>
          <w:rFonts w:ascii="Verdana" w:hAnsi="Verdana"/>
          <w:sz w:val="16"/>
          <w:szCs w:val="16"/>
        </w:rPr>
        <w:t>a la hora de evaluar el peso probatorio de las declaraciones.</w:t>
      </w:r>
    </w:p>
  </w:footnote>
  <w:footnote w:id="2">
    <w:p w14:paraId="1BEA3A69" w14:textId="51A5AD39" w:rsidR="00467E9F" w:rsidRPr="001A5338" w:rsidRDefault="00467E9F" w:rsidP="001A5338">
      <w:pPr>
        <w:pStyle w:val="FootnoteText"/>
        <w:tabs>
          <w:tab w:val="left" w:pos="567"/>
        </w:tabs>
        <w:jc w:val="both"/>
        <w:rPr>
          <w:rFonts w:ascii="Verdana" w:hAnsi="Verdana"/>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t>Esta Presidencia advierte que representante identificó al perito propuesto mediante comunicación de 4 de mayo de 2018.</w:t>
      </w:r>
      <w:r w:rsidR="00A60AC4">
        <w:rPr>
          <w:rFonts w:ascii="Verdana" w:hAnsi="Verdana"/>
          <w:b/>
          <w:sz w:val="16"/>
          <w:szCs w:val="16"/>
        </w:rPr>
        <w:t xml:space="preserve"> </w:t>
      </w:r>
      <w:r w:rsidRPr="001A5338">
        <w:rPr>
          <w:rFonts w:ascii="Verdana" w:hAnsi="Verdana"/>
          <w:sz w:val="16"/>
          <w:szCs w:val="16"/>
        </w:rPr>
        <w:t>Tomando en cuenta que este ofrecimiento fue realizado dentro</w:t>
      </w:r>
      <w:r w:rsidRPr="001A5338">
        <w:rPr>
          <w:rFonts w:ascii="Verdana" w:hAnsi="Verdana"/>
          <w:b/>
          <w:sz w:val="16"/>
          <w:szCs w:val="16"/>
        </w:rPr>
        <w:t xml:space="preserve"> </w:t>
      </w:r>
      <w:r w:rsidRPr="001A5338">
        <w:rPr>
          <w:rFonts w:ascii="Verdana" w:hAnsi="Verdana"/>
          <w:sz w:val="16"/>
          <w:szCs w:val="16"/>
        </w:rPr>
        <w:t xml:space="preserve">del plazo de 21 días para la presentación de anexos, establecido en el artículo 28.2 del Reglamento, </w:t>
      </w:r>
      <w:r w:rsidR="001C3BCD">
        <w:rPr>
          <w:rFonts w:ascii="Verdana" w:hAnsi="Verdana"/>
          <w:sz w:val="16"/>
          <w:szCs w:val="16"/>
        </w:rPr>
        <w:t>se</w:t>
      </w:r>
      <w:r w:rsidRPr="001A5338">
        <w:rPr>
          <w:rFonts w:ascii="Verdana" w:hAnsi="Verdana"/>
          <w:sz w:val="16"/>
          <w:szCs w:val="16"/>
        </w:rPr>
        <w:t xml:space="preserve"> admite este peritaje. </w:t>
      </w:r>
    </w:p>
  </w:footnote>
  <w:footnote w:id="3">
    <w:p w14:paraId="668A4C36" w14:textId="06805167" w:rsidR="00467E9F" w:rsidRPr="00FD6A62" w:rsidRDefault="00467E9F" w:rsidP="001A5338">
      <w:pPr>
        <w:pStyle w:val="FootnoteText"/>
        <w:tabs>
          <w:tab w:val="left" w:pos="567"/>
        </w:tabs>
        <w:jc w:val="both"/>
        <w:rPr>
          <w:rFonts w:ascii="Verdana" w:hAnsi="Verdana"/>
          <w:sz w:val="16"/>
          <w:szCs w:val="16"/>
          <w:lang w:val="pt-BR"/>
        </w:rPr>
      </w:pPr>
      <w:r w:rsidRPr="001A5338">
        <w:rPr>
          <w:rStyle w:val="FootnoteReference"/>
          <w:rFonts w:ascii="Verdana" w:hAnsi="Verdana"/>
          <w:sz w:val="16"/>
          <w:szCs w:val="16"/>
        </w:rPr>
        <w:footnoteRef/>
      </w:r>
      <w:r w:rsidRPr="001A5338">
        <w:rPr>
          <w:rFonts w:ascii="Verdana" w:hAnsi="Verdana"/>
          <w:sz w:val="16"/>
          <w:szCs w:val="16"/>
          <w:lang w:val="pt-BR"/>
        </w:rPr>
        <w:t xml:space="preserve"> </w:t>
      </w:r>
      <w:r w:rsidRPr="001A5338">
        <w:rPr>
          <w:rFonts w:ascii="Verdana" w:hAnsi="Verdana"/>
          <w:sz w:val="16"/>
          <w:szCs w:val="16"/>
          <w:lang w:val="pt-BR"/>
        </w:rPr>
        <w:tab/>
      </w:r>
      <w:r w:rsidRPr="001A5338">
        <w:rPr>
          <w:rFonts w:ascii="Verdana" w:hAnsi="Verdana"/>
          <w:sz w:val="16"/>
          <w:szCs w:val="16"/>
          <w:lang w:val="pt-BR"/>
        </w:rPr>
        <w:t>Se refiere a las declaraciones de Enrique Cayetano Bellasai Baudo, Jorge Querey Rojas, Carlos Ernesto Arrom Insaurralde, Laura Maria Arrom Insaurralde, Maria Teresa Arrom Suhurt, Carmen Aurora Arrom de Salgado, Rossana Eleuteria Arrom de Escurra, Wenceslao Marcial Arrom, Elizabeth Avelina Arrom, Mercedes Arro</w:t>
      </w:r>
      <w:r w:rsidR="00FD6A62">
        <w:rPr>
          <w:rFonts w:ascii="Verdana" w:hAnsi="Verdana"/>
          <w:sz w:val="16"/>
          <w:szCs w:val="16"/>
          <w:lang w:val="pt-BR"/>
        </w:rPr>
        <w:t>m Leiva, Isabelino Martí Méndez</w:t>
      </w:r>
      <w:r w:rsidRPr="001A5338">
        <w:rPr>
          <w:rFonts w:ascii="Verdana" w:hAnsi="Verdana"/>
          <w:sz w:val="16"/>
          <w:szCs w:val="16"/>
          <w:lang w:val="pt-BR"/>
        </w:rPr>
        <w:t xml:space="preserve"> y Rufina Martí Mendéz. </w:t>
      </w:r>
    </w:p>
  </w:footnote>
  <w:footnote w:id="4">
    <w:p w14:paraId="05C2E4DC" w14:textId="71400662" w:rsidR="00467E9F" w:rsidRPr="00576AEA" w:rsidRDefault="00467E9F" w:rsidP="00B67F60">
      <w:pPr>
        <w:pStyle w:val="FootnoteText"/>
        <w:tabs>
          <w:tab w:val="left" w:pos="567"/>
        </w:tabs>
        <w:jc w:val="both"/>
        <w:rPr>
          <w:rFonts w:ascii="Verdana" w:hAnsi="Verdana"/>
          <w:sz w:val="16"/>
          <w:szCs w:val="16"/>
        </w:rPr>
      </w:pPr>
      <w:r w:rsidRPr="00576AEA">
        <w:rPr>
          <w:rStyle w:val="FootnoteReference"/>
          <w:rFonts w:ascii="Verdana" w:hAnsi="Verdana"/>
          <w:sz w:val="16"/>
          <w:szCs w:val="16"/>
        </w:rPr>
        <w:footnoteRef/>
      </w:r>
      <w:r w:rsidRPr="00576AEA">
        <w:rPr>
          <w:rFonts w:ascii="Verdana" w:hAnsi="Verdana"/>
          <w:sz w:val="16"/>
          <w:szCs w:val="16"/>
        </w:rPr>
        <w:t xml:space="preserve">  </w:t>
      </w:r>
      <w:r w:rsidRPr="00576AEA">
        <w:rPr>
          <w:rFonts w:ascii="Verdana" w:hAnsi="Verdana"/>
          <w:sz w:val="16"/>
          <w:szCs w:val="16"/>
        </w:rPr>
        <w:tab/>
      </w:r>
      <w:r w:rsidR="00B67F60">
        <w:rPr>
          <w:rFonts w:ascii="Verdana" w:hAnsi="Verdana"/>
          <w:i/>
          <w:sz w:val="16"/>
          <w:szCs w:val="16"/>
        </w:rPr>
        <w:t xml:space="preserve">Cfr. </w:t>
      </w:r>
      <w:r w:rsidRPr="00576AEA">
        <w:rPr>
          <w:rFonts w:ascii="Verdana" w:hAnsi="Verdana"/>
          <w:sz w:val="16"/>
          <w:szCs w:val="16"/>
        </w:rPr>
        <w:t xml:space="preserve">Comunicación de la Comisión Interamericana de </w:t>
      </w:r>
      <w:r w:rsidRPr="00576AEA">
        <w:rPr>
          <w:rFonts w:ascii="Verdana" w:hAnsi="Verdana"/>
          <w:bCs/>
          <w:sz w:val="16"/>
          <w:szCs w:val="16"/>
        </w:rPr>
        <w:t>20 de mayo del 2003</w:t>
      </w:r>
      <w:r w:rsidRPr="00576AEA">
        <w:rPr>
          <w:rFonts w:ascii="Verdana" w:hAnsi="Verdana"/>
          <w:sz w:val="16"/>
          <w:szCs w:val="16"/>
        </w:rPr>
        <w:t xml:space="preserve"> mediante la cual notificó al Estado Paraguayo la petición inicial (expediente de prueba, folio 1099)</w:t>
      </w:r>
      <w:r>
        <w:rPr>
          <w:rFonts w:ascii="Verdana" w:hAnsi="Verdana"/>
          <w:sz w:val="16"/>
          <w:szCs w:val="16"/>
        </w:rPr>
        <w:t>.</w:t>
      </w:r>
    </w:p>
  </w:footnote>
  <w:footnote w:id="5">
    <w:p w14:paraId="18BA7172" w14:textId="77777777" w:rsidR="00467E9F" w:rsidRPr="001A5338" w:rsidRDefault="00467E9F" w:rsidP="001A5338">
      <w:pPr>
        <w:pStyle w:val="FootnoteText"/>
        <w:tabs>
          <w:tab w:val="left" w:pos="567"/>
        </w:tabs>
        <w:contextualSpacing/>
        <w:jc w:val="both"/>
        <w:rPr>
          <w:rFonts w:ascii="Verdana" w:hAnsi="Verdana"/>
          <w:sz w:val="16"/>
          <w:szCs w:val="16"/>
          <w:lang w:val="es-ES_tradnl"/>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t>El referido artículo establece que: “1. Los peritos podrán ser recusados cuando incurran en alguna de las siguientes causales: […] c. tener o haber tenido vínculos estrechos o relación de subordinación funcional con la parte que lo propone y que a juicio de la Corte pudiera afectar su imparcialidad”.</w:t>
      </w:r>
    </w:p>
  </w:footnote>
  <w:footnote w:id="6">
    <w:p w14:paraId="439EE639" w14:textId="54177A0A" w:rsidR="00467E9F" w:rsidRPr="001A5338" w:rsidRDefault="00467E9F" w:rsidP="001A5338">
      <w:pPr>
        <w:tabs>
          <w:tab w:val="left" w:pos="567"/>
        </w:tabs>
        <w:spacing w:after="120" w:line="240" w:lineRule="auto"/>
        <w:contextualSpacing/>
        <w:jc w:val="both"/>
        <w:rPr>
          <w:rFonts w:ascii="Verdana" w:hAnsi="Verdana"/>
          <w:b/>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r>
      <w:r w:rsidRPr="001A5338">
        <w:rPr>
          <w:rFonts w:ascii="Verdana" w:hAnsi="Verdana"/>
          <w:i/>
          <w:sz w:val="16"/>
          <w:szCs w:val="16"/>
        </w:rPr>
        <w:t>Cfr.</w:t>
      </w:r>
      <w:r w:rsidRPr="001A5338">
        <w:rPr>
          <w:rFonts w:ascii="Verdana" w:hAnsi="Verdana"/>
          <w:sz w:val="16"/>
          <w:szCs w:val="16"/>
        </w:rPr>
        <w:t xml:space="preserve"> </w:t>
      </w:r>
      <w:r w:rsidRPr="001A5338">
        <w:rPr>
          <w:rFonts w:ascii="Verdana" w:hAnsi="Verdana"/>
          <w:i/>
          <w:sz w:val="16"/>
          <w:szCs w:val="16"/>
        </w:rPr>
        <w:t xml:space="preserve">Caso </w:t>
      </w:r>
      <w:proofErr w:type="spellStart"/>
      <w:r w:rsidRPr="001A5338">
        <w:rPr>
          <w:rFonts w:ascii="Verdana" w:hAnsi="Verdana"/>
          <w:i/>
          <w:sz w:val="16"/>
          <w:szCs w:val="16"/>
        </w:rPr>
        <w:t>Boyce</w:t>
      </w:r>
      <w:proofErr w:type="spellEnd"/>
      <w:r w:rsidRPr="001A5338">
        <w:rPr>
          <w:rFonts w:ascii="Verdana" w:hAnsi="Verdana"/>
          <w:i/>
          <w:sz w:val="16"/>
          <w:szCs w:val="16"/>
        </w:rPr>
        <w:t xml:space="preserve"> y otros Vs. Barbados.</w:t>
      </w:r>
      <w:r w:rsidRPr="001A5338">
        <w:rPr>
          <w:rFonts w:ascii="Verdana" w:hAnsi="Verdana"/>
          <w:sz w:val="16"/>
          <w:szCs w:val="16"/>
        </w:rPr>
        <w:t xml:space="preserve"> </w:t>
      </w:r>
      <w:r w:rsidRPr="001A5338">
        <w:rPr>
          <w:rStyle w:val="Strong"/>
          <w:rFonts w:ascii="Verdana" w:hAnsi="Verdana"/>
          <w:b w:val="0"/>
          <w:sz w:val="16"/>
          <w:szCs w:val="16"/>
          <w:shd w:val="clear" w:color="auto" w:fill="FFFFFF"/>
        </w:rPr>
        <w:t>Convocatoria a audiencia.</w:t>
      </w:r>
      <w:r w:rsidRPr="001A5338">
        <w:rPr>
          <w:rStyle w:val="Strong"/>
          <w:rFonts w:ascii="Verdana" w:hAnsi="Verdana"/>
          <w:sz w:val="16"/>
          <w:szCs w:val="16"/>
          <w:shd w:val="clear" w:color="auto" w:fill="FFFFFF"/>
        </w:rPr>
        <w:t xml:space="preserve"> </w:t>
      </w:r>
      <w:r w:rsidRPr="001A5338">
        <w:rPr>
          <w:rFonts w:ascii="Verdana" w:hAnsi="Verdana"/>
          <w:sz w:val="16"/>
          <w:szCs w:val="16"/>
        </w:rPr>
        <w:t>Resolución del Presidente de la Corte Interamericana de Derechos Humanos de 29 de mayo de 2007, considerando 22, y</w:t>
      </w:r>
      <w:r w:rsidR="00FB55C7">
        <w:rPr>
          <w:rFonts w:ascii="Verdana" w:hAnsi="Verdana"/>
          <w:sz w:val="16"/>
          <w:szCs w:val="16"/>
        </w:rPr>
        <w:t xml:space="preserve"> </w:t>
      </w:r>
      <w:r w:rsidR="00FB55C7" w:rsidRPr="00FB55C7">
        <w:rPr>
          <w:rFonts w:ascii="Verdana" w:hAnsi="Verdana"/>
          <w:i/>
          <w:sz w:val="16"/>
          <w:szCs w:val="16"/>
        </w:rPr>
        <w:t>Caso Terrones Silva y otros Vs. Perú.</w:t>
      </w:r>
      <w:r w:rsidR="00FB55C7" w:rsidRPr="00FB55C7">
        <w:rPr>
          <w:rFonts w:ascii="Verdana" w:hAnsi="Verdana"/>
          <w:sz w:val="16"/>
          <w:szCs w:val="16"/>
        </w:rPr>
        <w:t xml:space="preserve"> Convocatoria a audiencia. Resolución del Presidente de la Corte Interamericana de Derechos H</w:t>
      </w:r>
      <w:r w:rsidR="00FB55C7">
        <w:rPr>
          <w:rFonts w:ascii="Verdana" w:hAnsi="Verdana"/>
          <w:sz w:val="16"/>
          <w:szCs w:val="16"/>
        </w:rPr>
        <w:t>umanos de 20 de febrero de 2018</w:t>
      </w:r>
      <w:r w:rsidRPr="001A5338">
        <w:rPr>
          <w:rStyle w:val="Strong"/>
          <w:rFonts w:ascii="Verdana" w:hAnsi="Verdana"/>
          <w:b w:val="0"/>
          <w:sz w:val="16"/>
          <w:szCs w:val="16"/>
          <w:shd w:val="clear" w:color="auto" w:fill="FFFFFF"/>
        </w:rPr>
        <w:t>, considerando</w:t>
      </w:r>
      <w:r w:rsidRPr="001A5338">
        <w:rPr>
          <w:rStyle w:val="Strong"/>
          <w:rFonts w:ascii="Verdana" w:hAnsi="Verdana"/>
          <w:b w:val="0"/>
          <w:i/>
          <w:sz w:val="16"/>
          <w:szCs w:val="16"/>
          <w:shd w:val="clear" w:color="auto" w:fill="FFFFFF"/>
        </w:rPr>
        <w:t xml:space="preserve"> </w:t>
      </w:r>
      <w:r w:rsidRPr="001A5338">
        <w:rPr>
          <w:rStyle w:val="Strong"/>
          <w:rFonts w:ascii="Verdana" w:hAnsi="Verdana"/>
          <w:b w:val="0"/>
          <w:sz w:val="16"/>
          <w:szCs w:val="16"/>
          <w:shd w:val="clear" w:color="auto" w:fill="FFFFFF"/>
        </w:rPr>
        <w:t>18.</w:t>
      </w:r>
    </w:p>
  </w:footnote>
  <w:footnote w:id="7">
    <w:p w14:paraId="204E698C" w14:textId="77777777" w:rsidR="00467E9F" w:rsidRPr="001A5338" w:rsidRDefault="00467E9F" w:rsidP="001A5338">
      <w:pPr>
        <w:tabs>
          <w:tab w:val="left" w:pos="567"/>
        </w:tabs>
        <w:spacing w:after="120" w:line="240" w:lineRule="auto"/>
        <w:contextualSpacing/>
        <w:jc w:val="both"/>
        <w:rPr>
          <w:rFonts w:ascii="Verdana" w:hAnsi="Verdana"/>
          <w:b/>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r>
      <w:r w:rsidRPr="001A5338">
        <w:rPr>
          <w:rFonts w:ascii="Verdana" w:hAnsi="Verdana"/>
          <w:i/>
          <w:sz w:val="16"/>
          <w:szCs w:val="16"/>
        </w:rPr>
        <w:t xml:space="preserve">Cfr. Caso González y otras (“Campo Algodonero”) Vs. México. </w:t>
      </w:r>
      <w:r w:rsidRPr="001A5338">
        <w:rPr>
          <w:rStyle w:val="Strong"/>
          <w:rFonts w:ascii="Verdana" w:hAnsi="Verdana"/>
          <w:b w:val="0"/>
          <w:sz w:val="16"/>
          <w:szCs w:val="16"/>
          <w:shd w:val="clear" w:color="auto" w:fill="FFFFFF"/>
        </w:rPr>
        <w:t xml:space="preserve">Convocatoria a audiencia. </w:t>
      </w:r>
      <w:r w:rsidRPr="001A5338">
        <w:rPr>
          <w:rFonts w:ascii="Verdana" w:hAnsi="Verdana"/>
          <w:sz w:val="16"/>
          <w:szCs w:val="16"/>
        </w:rPr>
        <w:t xml:space="preserve">Resolución de la Presidenta de la Corte Interamericana de Derechos Humanos de 18 de marzo de 2009, considerando 88, y </w:t>
      </w:r>
      <w:r w:rsidRPr="001A5338">
        <w:rPr>
          <w:rFonts w:ascii="Verdana" w:hAnsi="Verdana"/>
          <w:i/>
          <w:sz w:val="16"/>
          <w:szCs w:val="16"/>
        </w:rPr>
        <w:t xml:space="preserve">Caso </w:t>
      </w:r>
      <w:r w:rsidRPr="001A5338">
        <w:rPr>
          <w:rStyle w:val="Strong"/>
          <w:rFonts w:ascii="Verdana" w:hAnsi="Verdana"/>
          <w:b w:val="0"/>
          <w:i/>
          <w:sz w:val="16"/>
          <w:szCs w:val="16"/>
          <w:shd w:val="clear" w:color="auto" w:fill="FFFFFF"/>
        </w:rPr>
        <w:t>López Soto y otros Vs. Venezuela.</w:t>
      </w:r>
      <w:r w:rsidRPr="001A5338">
        <w:rPr>
          <w:rStyle w:val="Strong"/>
          <w:rFonts w:ascii="Verdana" w:hAnsi="Verdana"/>
          <w:b w:val="0"/>
          <w:sz w:val="16"/>
          <w:szCs w:val="16"/>
          <w:shd w:val="clear" w:color="auto" w:fill="FFFFFF"/>
        </w:rPr>
        <w:t xml:space="preserve"> Convocatoria a audiencia. Resolución del Presidente en ejercicio de la Corte Interamericana de Derechos Humanos de 13 de diciembre de 2017, considerando 19.</w:t>
      </w:r>
    </w:p>
  </w:footnote>
  <w:footnote w:id="8">
    <w:p w14:paraId="7B33F2CD" w14:textId="39A77318" w:rsidR="00467E9F" w:rsidRPr="001A5338" w:rsidRDefault="00467E9F" w:rsidP="001A5338">
      <w:pPr>
        <w:tabs>
          <w:tab w:val="left" w:pos="567"/>
        </w:tabs>
        <w:spacing w:after="120" w:line="240" w:lineRule="auto"/>
        <w:contextualSpacing/>
        <w:jc w:val="both"/>
        <w:rPr>
          <w:rFonts w:ascii="Verdana" w:hAnsi="Verdana"/>
          <w:b/>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r>
      <w:r w:rsidRPr="001A5338">
        <w:rPr>
          <w:rFonts w:ascii="Verdana" w:hAnsi="Verdana"/>
          <w:i/>
          <w:sz w:val="16"/>
          <w:szCs w:val="16"/>
        </w:rPr>
        <w:t xml:space="preserve">Cfr. Caso </w:t>
      </w:r>
      <w:proofErr w:type="spellStart"/>
      <w:r w:rsidRPr="001A5338">
        <w:rPr>
          <w:rFonts w:ascii="Verdana" w:hAnsi="Verdana"/>
          <w:i/>
          <w:sz w:val="16"/>
          <w:szCs w:val="16"/>
        </w:rPr>
        <w:t>Abrill</w:t>
      </w:r>
      <w:proofErr w:type="spellEnd"/>
      <w:r w:rsidRPr="001A5338">
        <w:rPr>
          <w:rFonts w:ascii="Verdana" w:hAnsi="Verdana"/>
          <w:i/>
          <w:sz w:val="16"/>
          <w:szCs w:val="16"/>
        </w:rPr>
        <w:t xml:space="preserve"> </w:t>
      </w:r>
      <w:proofErr w:type="spellStart"/>
      <w:r w:rsidRPr="001A5338">
        <w:rPr>
          <w:rFonts w:ascii="Verdana" w:hAnsi="Verdana"/>
          <w:i/>
          <w:sz w:val="16"/>
          <w:szCs w:val="16"/>
        </w:rPr>
        <w:t>Alosilla</w:t>
      </w:r>
      <w:proofErr w:type="spellEnd"/>
      <w:r w:rsidRPr="001A5338">
        <w:rPr>
          <w:rFonts w:ascii="Verdana" w:hAnsi="Verdana"/>
          <w:i/>
          <w:sz w:val="16"/>
          <w:szCs w:val="16"/>
        </w:rPr>
        <w:t xml:space="preserve"> y otros Vs. Perú. </w:t>
      </w:r>
      <w:r w:rsidRPr="001A5338">
        <w:rPr>
          <w:rStyle w:val="Strong"/>
          <w:rFonts w:ascii="Verdana" w:hAnsi="Verdana"/>
          <w:b w:val="0"/>
          <w:sz w:val="16"/>
          <w:szCs w:val="16"/>
          <w:shd w:val="clear" w:color="auto" w:fill="FFFFFF"/>
        </w:rPr>
        <w:t>Convocatoria a audiencia</w:t>
      </w:r>
      <w:r w:rsidRPr="001A5338">
        <w:rPr>
          <w:rStyle w:val="Strong"/>
          <w:rFonts w:ascii="Verdana" w:hAnsi="Verdana"/>
          <w:sz w:val="16"/>
          <w:szCs w:val="16"/>
          <w:shd w:val="clear" w:color="auto" w:fill="FFFFFF"/>
        </w:rPr>
        <w:t xml:space="preserve">. </w:t>
      </w:r>
      <w:r w:rsidRPr="001A5338">
        <w:rPr>
          <w:rFonts w:ascii="Verdana" w:hAnsi="Verdana"/>
          <w:sz w:val="16"/>
          <w:szCs w:val="16"/>
        </w:rPr>
        <w:t xml:space="preserve">Resolución del Presidente de la Corte Interamericana de Derechos Humanos de 8 de septiembre de 2010, considerando 15, y </w:t>
      </w:r>
      <w:r w:rsidRPr="001A5338">
        <w:rPr>
          <w:rFonts w:ascii="Verdana" w:hAnsi="Verdana"/>
          <w:i/>
          <w:sz w:val="16"/>
          <w:szCs w:val="16"/>
        </w:rPr>
        <w:t xml:space="preserve">Caso </w:t>
      </w:r>
      <w:r w:rsidRPr="001A5338">
        <w:rPr>
          <w:rStyle w:val="Strong"/>
          <w:rFonts w:ascii="Verdana" w:hAnsi="Verdana"/>
          <w:b w:val="0"/>
          <w:i/>
          <w:sz w:val="16"/>
          <w:szCs w:val="16"/>
          <w:shd w:val="clear" w:color="auto" w:fill="FFFFFF"/>
        </w:rPr>
        <w:t>López Soto y otros Vs. Venezuela.</w:t>
      </w:r>
      <w:r w:rsidRPr="001A5338">
        <w:rPr>
          <w:rStyle w:val="Strong"/>
          <w:rFonts w:ascii="Verdana" w:hAnsi="Verdana"/>
          <w:b w:val="0"/>
          <w:sz w:val="16"/>
          <w:szCs w:val="16"/>
          <w:shd w:val="clear" w:color="auto" w:fill="FFFFFF"/>
        </w:rPr>
        <w:t xml:space="preserve"> Convocatoria a audiencia. Resolución del Presidente en ejercicio de la Corte Interamericana de Derechos Humanos de 13 de diciembre de 2017, considerando </w:t>
      </w:r>
      <w:r w:rsidR="00A444F8">
        <w:rPr>
          <w:rStyle w:val="Strong"/>
          <w:rFonts w:ascii="Verdana" w:hAnsi="Verdana"/>
          <w:b w:val="0"/>
          <w:sz w:val="16"/>
          <w:szCs w:val="16"/>
          <w:shd w:val="clear" w:color="auto" w:fill="FFFFFF"/>
        </w:rPr>
        <w:t>19</w:t>
      </w:r>
      <w:r w:rsidRPr="001A5338">
        <w:rPr>
          <w:rStyle w:val="Strong"/>
          <w:rFonts w:ascii="Verdana" w:hAnsi="Verdana"/>
          <w:b w:val="0"/>
          <w:sz w:val="16"/>
          <w:szCs w:val="16"/>
          <w:shd w:val="clear" w:color="auto" w:fill="FFFFFF"/>
        </w:rPr>
        <w:t>.</w:t>
      </w:r>
    </w:p>
  </w:footnote>
  <w:footnote w:id="9">
    <w:p w14:paraId="12F77AC2" w14:textId="32EF661F" w:rsidR="00467E9F" w:rsidRPr="001A5338" w:rsidRDefault="00467E9F" w:rsidP="001A5338">
      <w:pPr>
        <w:pStyle w:val="FootnoteText"/>
        <w:tabs>
          <w:tab w:val="left" w:pos="567"/>
        </w:tabs>
        <w:contextualSpacing/>
        <w:jc w:val="both"/>
        <w:rPr>
          <w:rFonts w:ascii="Verdana" w:hAnsi="Verdana"/>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r>
      <w:r w:rsidRPr="001A5338">
        <w:rPr>
          <w:rFonts w:ascii="Verdana" w:hAnsi="Verdana"/>
          <w:i/>
          <w:sz w:val="16"/>
          <w:szCs w:val="16"/>
        </w:rPr>
        <w:t>Cfr. Caso Gabriela Perozo y otros Vs. Venezuela</w:t>
      </w:r>
      <w:r w:rsidRPr="001A5338">
        <w:rPr>
          <w:rFonts w:ascii="Verdana" w:hAnsi="Verdana"/>
          <w:sz w:val="16"/>
          <w:szCs w:val="16"/>
        </w:rPr>
        <w:t xml:space="preserve">. Convocatoria a audiencia. Resolución de la Corte Interamericana de Derechos Humanos de 2 de mayo de 2008, considerando </w:t>
      </w:r>
      <w:r w:rsidR="00021B94">
        <w:rPr>
          <w:rFonts w:ascii="Verdana" w:hAnsi="Verdana"/>
          <w:sz w:val="16"/>
          <w:szCs w:val="16"/>
        </w:rPr>
        <w:t>14</w:t>
      </w:r>
      <w:r w:rsidRPr="001A5338">
        <w:rPr>
          <w:rFonts w:ascii="Verdana" w:hAnsi="Verdana"/>
          <w:sz w:val="16"/>
          <w:szCs w:val="16"/>
        </w:rPr>
        <w:t xml:space="preserve">, y </w:t>
      </w:r>
      <w:r w:rsidRPr="001A5338">
        <w:rPr>
          <w:rFonts w:ascii="Verdana" w:hAnsi="Verdana"/>
          <w:i/>
          <w:sz w:val="16"/>
          <w:szCs w:val="16"/>
        </w:rPr>
        <w:t xml:space="preserve">Caso </w:t>
      </w:r>
      <w:r w:rsidRPr="001A5338">
        <w:rPr>
          <w:rStyle w:val="Strong"/>
          <w:rFonts w:ascii="Verdana" w:hAnsi="Verdana"/>
          <w:b w:val="0"/>
          <w:i/>
          <w:sz w:val="16"/>
          <w:szCs w:val="16"/>
          <w:shd w:val="clear" w:color="auto" w:fill="FFFFFF"/>
        </w:rPr>
        <w:t>Álvarez Ramos Vs. Venezuela. Convocatoria a audiencia.</w:t>
      </w:r>
      <w:r w:rsidRPr="001A5338">
        <w:rPr>
          <w:rStyle w:val="Strong"/>
          <w:rFonts w:ascii="Verdana" w:hAnsi="Verdana"/>
          <w:b w:val="0"/>
          <w:sz w:val="16"/>
          <w:szCs w:val="16"/>
          <w:shd w:val="clear" w:color="auto" w:fill="FFFFFF"/>
        </w:rPr>
        <w:t xml:space="preserve"> Resolución del Presidente de la Corte Interamericana de Derechos Humanos de 21 de junio de 2018, considerando</w:t>
      </w:r>
      <w:r w:rsidRPr="001A5338">
        <w:rPr>
          <w:rFonts w:ascii="Verdana" w:hAnsi="Verdana"/>
          <w:b/>
          <w:sz w:val="16"/>
          <w:szCs w:val="16"/>
        </w:rPr>
        <w:t xml:space="preserve"> </w:t>
      </w:r>
      <w:r w:rsidRPr="001A5338">
        <w:rPr>
          <w:rFonts w:ascii="Verdana" w:hAnsi="Verdana"/>
          <w:sz w:val="16"/>
          <w:szCs w:val="16"/>
        </w:rPr>
        <w:t>44.</w:t>
      </w:r>
    </w:p>
  </w:footnote>
  <w:footnote w:id="10">
    <w:p w14:paraId="11F93694" w14:textId="1F1977DF" w:rsidR="00467E9F" w:rsidRPr="001A5338" w:rsidRDefault="00467E9F" w:rsidP="001A5338">
      <w:pPr>
        <w:pStyle w:val="FootnoteText"/>
        <w:tabs>
          <w:tab w:val="left" w:pos="567"/>
        </w:tabs>
        <w:jc w:val="both"/>
        <w:rPr>
          <w:rFonts w:ascii="Verdana" w:hAnsi="Verdana"/>
          <w:sz w:val="16"/>
          <w:szCs w:val="16"/>
        </w:rPr>
      </w:pPr>
      <w:r w:rsidRPr="001A5338">
        <w:rPr>
          <w:rStyle w:val="FootnoteReference"/>
          <w:rFonts w:ascii="Verdana" w:hAnsi="Verdana"/>
          <w:sz w:val="16"/>
          <w:szCs w:val="16"/>
        </w:rPr>
        <w:footnoteRef/>
      </w:r>
      <w:r w:rsidRPr="001A5338">
        <w:rPr>
          <w:rFonts w:ascii="Verdana" w:hAnsi="Verdana"/>
          <w:sz w:val="16"/>
          <w:szCs w:val="16"/>
        </w:rPr>
        <w:t xml:space="preserve"> </w:t>
      </w:r>
      <w:r w:rsidRPr="001A5338">
        <w:rPr>
          <w:rFonts w:ascii="Verdana" w:hAnsi="Verdana"/>
          <w:sz w:val="16"/>
          <w:szCs w:val="16"/>
        </w:rPr>
        <w:tab/>
      </w:r>
      <w:r w:rsidRPr="001A5338">
        <w:rPr>
          <w:rFonts w:ascii="Verdana" w:hAnsi="Verdana"/>
          <w:i/>
          <w:sz w:val="16"/>
          <w:szCs w:val="16"/>
        </w:rPr>
        <w:t xml:space="preserve">Cfr. Caso </w:t>
      </w:r>
      <w:proofErr w:type="spellStart"/>
      <w:r w:rsidRPr="001A5338">
        <w:rPr>
          <w:rFonts w:ascii="Verdana" w:hAnsi="Verdana"/>
          <w:i/>
          <w:sz w:val="16"/>
          <w:szCs w:val="16"/>
        </w:rPr>
        <w:t>Reverón</w:t>
      </w:r>
      <w:proofErr w:type="spellEnd"/>
      <w:r w:rsidRPr="001A5338">
        <w:rPr>
          <w:rFonts w:ascii="Verdana" w:hAnsi="Verdana"/>
          <w:i/>
          <w:sz w:val="16"/>
          <w:szCs w:val="16"/>
        </w:rPr>
        <w:t xml:space="preserve"> Trujillo Vs. Venezuela. </w:t>
      </w:r>
      <w:r w:rsidRPr="001A5338">
        <w:rPr>
          <w:rFonts w:ascii="Verdana" w:hAnsi="Verdana"/>
          <w:sz w:val="16"/>
          <w:szCs w:val="16"/>
        </w:rPr>
        <w:t xml:space="preserve">Resolución de la Presidenta de la Corte de 24 de septiembre de 2008, considerando 18, y </w:t>
      </w:r>
      <w:r w:rsidR="006525D2" w:rsidRPr="006525D2">
        <w:rPr>
          <w:rFonts w:ascii="Verdana" w:hAnsi="Verdana"/>
          <w:i/>
          <w:sz w:val="16"/>
          <w:szCs w:val="16"/>
        </w:rPr>
        <w:t xml:space="preserve">Caso </w:t>
      </w:r>
      <w:proofErr w:type="spellStart"/>
      <w:r w:rsidR="006525D2" w:rsidRPr="006525D2">
        <w:rPr>
          <w:rFonts w:ascii="Verdana" w:hAnsi="Verdana"/>
          <w:i/>
          <w:sz w:val="16"/>
          <w:szCs w:val="16"/>
        </w:rPr>
        <w:t>Rosadio</w:t>
      </w:r>
      <w:proofErr w:type="spellEnd"/>
      <w:r w:rsidR="006525D2" w:rsidRPr="006525D2">
        <w:rPr>
          <w:rFonts w:ascii="Verdana" w:hAnsi="Verdana"/>
          <w:i/>
          <w:sz w:val="16"/>
          <w:szCs w:val="16"/>
        </w:rPr>
        <w:t xml:space="preserve"> Villavicencio Vs. Perú.</w:t>
      </w:r>
      <w:r w:rsidR="006525D2" w:rsidRPr="006525D2">
        <w:rPr>
          <w:rFonts w:ascii="Verdana" w:hAnsi="Verdana"/>
          <w:sz w:val="16"/>
          <w:szCs w:val="16"/>
        </w:rPr>
        <w:t xml:space="preserve"> Convocatoria a audiencia. Resolución del Presidente de la Corte Interamericana de Derechos Humanos de 6 de diciembre de 2018</w:t>
      </w:r>
      <w:r w:rsidRPr="001A5338">
        <w:rPr>
          <w:rFonts w:ascii="Verdana" w:hAnsi="Verdana"/>
          <w:sz w:val="16"/>
          <w:szCs w:val="16"/>
        </w:rPr>
        <w:t xml:space="preserve">, </w:t>
      </w:r>
      <w:r w:rsidR="006525D2">
        <w:rPr>
          <w:rFonts w:ascii="Verdana" w:hAnsi="Verdana"/>
          <w:sz w:val="16"/>
          <w:szCs w:val="16"/>
        </w:rPr>
        <w:t>c</w:t>
      </w:r>
      <w:r w:rsidRPr="001A5338">
        <w:rPr>
          <w:rFonts w:ascii="Verdana" w:hAnsi="Verdana"/>
          <w:sz w:val="16"/>
          <w:szCs w:val="16"/>
        </w:rPr>
        <w:t xml:space="preserve">onsiderando </w:t>
      </w:r>
      <w:r w:rsidR="006525D2">
        <w:rPr>
          <w:rFonts w:ascii="Verdana" w:hAnsi="Verdana"/>
          <w:sz w:val="16"/>
          <w:szCs w:val="16"/>
        </w:rPr>
        <w:t>26</w:t>
      </w:r>
      <w:r w:rsidRPr="001A5338">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5D6" w14:textId="77777777" w:rsidR="00467E9F" w:rsidRDefault="00467E9F" w:rsidP="00A827A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3986A" w14:textId="77777777" w:rsidR="00467E9F" w:rsidRDefault="0046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2202" w14:textId="37A4063F" w:rsidR="00467E9F" w:rsidRDefault="00467E9F" w:rsidP="00205583">
    <w:pPr>
      <w:pStyle w:val="Header"/>
      <w:framePr w:wrap="none" w:vAnchor="text" w:hAnchor="margin" w:xAlign="center" w:y="1"/>
      <w:jc w:val="center"/>
      <w:rPr>
        <w:rStyle w:val="PageNumber"/>
      </w:rPr>
    </w:pPr>
    <w:r w:rsidRPr="00205583">
      <w:rPr>
        <w:rStyle w:val="PageNumber"/>
        <w:rFonts w:ascii="Verdana" w:hAnsi="Verdana"/>
        <w:sz w:val="20"/>
        <w:szCs w:val="20"/>
      </w:rPr>
      <w:t xml:space="preserve">- </w:t>
    </w:r>
    <w:r w:rsidRPr="00205583">
      <w:rPr>
        <w:rStyle w:val="PageNumber"/>
        <w:rFonts w:ascii="Verdana" w:hAnsi="Verdana"/>
        <w:sz w:val="20"/>
        <w:szCs w:val="20"/>
      </w:rPr>
      <w:fldChar w:fldCharType="begin"/>
    </w:r>
    <w:r w:rsidRPr="00205583">
      <w:rPr>
        <w:rStyle w:val="PageNumber"/>
        <w:rFonts w:ascii="Verdana" w:hAnsi="Verdana"/>
        <w:sz w:val="20"/>
        <w:szCs w:val="20"/>
      </w:rPr>
      <w:instrText xml:space="preserve">PAGE  </w:instrText>
    </w:r>
    <w:r w:rsidRPr="00205583">
      <w:rPr>
        <w:rStyle w:val="PageNumber"/>
        <w:rFonts w:ascii="Verdana" w:hAnsi="Verdana"/>
        <w:sz w:val="20"/>
        <w:szCs w:val="20"/>
      </w:rPr>
      <w:fldChar w:fldCharType="separate"/>
    </w:r>
    <w:r w:rsidR="00D5400D">
      <w:rPr>
        <w:rStyle w:val="PageNumber"/>
        <w:rFonts w:ascii="Verdana" w:hAnsi="Verdana"/>
        <w:noProof/>
        <w:sz w:val="20"/>
        <w:szCs w:val="20"/>
      </w:rPr>
      <w:t>13</w:t>
    </w:r>
    <w:r w:rsidRPr="00205583">
      <w:rPr>
        <w:rStyle w:val="PageNumber"/>
        <w:rFonts w:ascii="Verdana" w:hAnsi="Verdana"/>
        <w:sz w:val="20"/>
        <w:szCs w:val="20"/>
      </w:rPr>
      <w:fldChar w:fldCharType="end"/>
    </w:r>
    <w:r>
      <w:rPr>
        <w:rStyle w:val="PageNumber"/>
      </w:rPr>
      <w:t xml:space="preserve"> -</w:t>
    </w:r>
  </w:p>
  <w:p w14:paraId="6907126A" w14:textId="77777777" w:rsidR="00467E9F" w:rsidRDefault="00467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3AC"/>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C4C790E"/>
    <w:multiLevelType w:val="hybridMultilevel"/>
    <w:tmpl w:val="D34A4374"/>
    <w:lvl w:ilvl="0" w:tplc="887A47F8">
      <w:start w:val="1"/>
      <w:numFmt w:val="decimal"/>
      <w:pStyle w:val="PrrafodeSentencia"/>
      <w:lvlText w:val="%1."/>
      <w:lvlJc w:val="left"/>
      <w:pPr>
        <w:ind w:left="72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F555492"/>
    <w:multiLevelType w:val="hybridMultilevel"/>
    <w:tmpl w:val="1A36D508"/>
    <w:lvl w:ilvl="0" w:tplc="115EB01E">
      <w:start w:val="1"/>
      <w:numFmt w:val="upperLetter"/>
      <w:pStyle w:val="Heading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6FFC71A2">
      <w:start w:val="1"/>
      <w:numFmt w:val="decimal"/>
      <w:lvlText w:val="%4."/>
      <w:lvlJc w:val="left"/>
      <w:pPr>
        <w:ind w:left="2062" w:hanging="360"/>
      </w:pPr>
      <w:rPr>
        <w:rFonts w:ascii="Verdana" w:eastAsiaTheme="minorHAnsi" w:hAnsi="Verdana" w:cstheme="minorBidi"/>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2062"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972D6A"/>
    <w:multiLevelType w:val="hybridMultilevel"/>
    <w:tmpl w:val="D6762670"/>
    <w:lvl w:ilvl="0" w:tplc="06E03C86">
      <w:start w:val="1"/>
      <w:numFmt w:val="decimal"/>
      <w:lvlText w:val="%1."/>
      <w:lvlJc w:val="left"/>
      <w:pPr>
        <w:ind w:left="1080" w:hanging="360"/>
      </w:pPr>
      <w:rPr>
        <w:rFonts w:ascii="Verdana" w:hAnsi="Verdana" w:cs="Times New Roman" w:hint="default"/>
        <w:b w:val="0"/>
        <w:i w:val="0"/>
        <w:color w:val="auto"/>
        <w:sz w:val="20"/>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4">
    <w:nsid w:val="11B21985"/>
    <w:multiLevelType w:val="hybridMultilevel"/>
    <w:tmpl w:val="6106906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FF478EE"/>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4BE3558"/>
    <w:multiLevelType w:val="hybridMultilevel"/>
    <w:tmpl w:val="7634084E"/>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DC4DDF"/>
    <w:multiLevelType w:val="hybridMultilevel"/>
    <w:tmpl w:val="66622704"/>
    <w:lvl w:ilvl="0" w:tplc="1070EE1C">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88E0878"/>
    <w:multiLevelType w:val="hybridMultilevel"/>
    <w:tmpl w:val="00284C88"/>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AC754BB"/>
    <w:multiLevelType w:val="hybridMultilevel"/>
    <w:tmpl w:val="D84C926E"/>
    <w:lvl w:ilvl="0" w:tplc="BD760412">
      <w:start w:val="1"/>
      <w:numFmt w:val="upperLetter"/>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71BCA76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52A4568">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A63910"/>
    <w:multiLevelType w:val="hybridMultilevel"/>
    <w:tmpl w:val="93187D0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nsid w:val="2F2B4A89"/>
    <w:multiLevelType w:val="hybridMultilevel"/>
    <w:tmpl w:val="82D6BE70"/>
    <w:lvl w:ilvl="0" w:tplc="140A000F">
      <w:start w:val="1"/>
      <w:numFmt w:val="decimal"/>
      <w:lvlText w:val="%1."/>
      <w:lvlJc w:val="left"/>
      <w:pPr>
        <w:ind w:left="1070" w:hanging="360"/>
      </w:pPr>
    </w:lvl>
    <w:lvl w:ilvl="1" w:tplc="140A0019">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2">
    <w:nsid w:val="2FE22B0A"/>
    <w:multiLevelType w:val="hybridMultilevel"/>
    <w:tmpl w:val="AFC2533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1C50316"/>
    <w:multiLevelType w:val="hybridMultilevel"/>
    <w:tmpl w:val="33661D0A"/>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75A2716"/>
    <w:multiLevelType w:val="hybridMultilevel"/>
    <w:tmpl w:val="71D2E05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8525346"/>
    <w:multiLevelType w:val="hybridMultilevel"/>
    <w:tmpl w:val="D7D6A3DA"/>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B5912BD"/>
    <w:multiLevelType w:val="hybridMultilevel"/>
    <w:tmpl w:val="340E8A82"/>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E4E7652"/>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581941"/>
    <w:multiLevelType w:val="hybridMultilevel"/>
    <w:tmpl w:val="32B25844"/>
    <w:lvl w:ilvl="0" w:tplc="ACA2300E">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3D800A3"/>
    <w:multiLevelType w:val="hybridMultilevel"/>
    <w:tmpl w:val="2698EC64"/>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4292299"/>
    <w:multiLevelType w:val="hybridMultilevel"/>
    <w:tmpl w:val="FC9A6096"/>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B5366BF"/>
    <w:multiLevelType w:val="hybridMultilevel"/>
    <w:tmpl w:val="9E8AB1AE"/>
    <w:lvl w:ilvl="0" w:tplc="B7F47E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817A0"/>
    <w:multiLevelType w:val="hybridMultilevel"/>
    <w:tmpl w:val="BE6838E2"/>
    <w:lvl w:ilvl="0" w:tplc="586EF916">
      <w:start w:val="1"/>
      <w:numFmt w:val="upp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nsid w:val="555430E5"/>
    <w:multiLevelType w:val="hybridMultilevel"/>
    <w:tmpl w:val="41D4BFE0"/>
    <w:lvl w:ilvl="0" w:tplc="7E9A7056">
      <w:start w:val="1"/>
      <w:numFmt w:val="decimal"/>
      <w:lvlText w:val="%1."/>
      <w:lvlJc w:val="left"/>
      <w:pPr>
        <w:ind w:left="288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DDB6DC6"/>
    <w:multiLevelType w:val="hybridMultilevel"/>
    <w:tmpl w:val="C35E6726"/>
    <w:lvl w:ilvl="0" w:tplc="7F80C986">
      <w:start w:val="1"/>
      <w:numFmt w:val="decimal"/>
      <w:pStyle w:val="NoSpacing"/>
      <w:lvlText w:val="%1."/>
      <w:lvlJc w:val="left"/>
      <w:pPr>
        <w:ind w:left="360" w:hanging="360"/>
      </w:pPr>
      <w:rPr>
        <w:rFonts w:ascii="Verdana" w:hAnsi="Verdana" w:hint="default"/>
        <w:b w:val="0"/>
        <w:i w:val="0"/>
        <w:strike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5">
    <w:nsid w:val="5E1C2AF2"/>
    <w:multiLevelType w:val="hybridMultilevel"/>
    <w:tmpl w:val="6486D930"/>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062"/>
        </w:tabs>
        <w:ind w:left="206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C8295A"/>
    <w:multiLevelType w:val="hybridMultilevel"/>
    <w:tmpl w:val="66622704"/>
    <w:lvl w:ilvl="0" w:tplc="1070EE1C">
      <w:start w:val="1"/>
      <w:numFmt w:val="upp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77622986"/>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C53B13"/>
    <w:multiLevelType w:val="hybridMultilevel"/>
    <w:tmpl w:val="20B87C36"/>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A26595C"/>
    <w:multiLevelType w:val="hybridMultilevel"/>
    <w:tmpl w:val="D68AF9C0"/>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ECD472B"/>
    <w:multiLevelType w:val="hybridMultilevel"/>
    <w:tmpl w:val="E94A3942"/>
    <w:lvl w:ilvl="0" w:tplc="6FFC71A2">
      <w:start w:val="1"/>
      <w:numFmt w:val="decimal"/>
      <w:lvlText w:val="%1."/>
      <w:lvlJc w:val="left"/>
      <w:pPr>
        <w:ind w:left="2062" w:hanging="360"/>
      </w:pPr>
      <w:rPr>
        <w:rFonts w:ascii="Verdana" w:eastAsiaTheme="minorHAnsi" w:hAnsi="Verdana" w:cstheme="minorBidi"/>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
  </w:num>
  <w:num w:numId="5">
    <w:abstractNumId w:val="17"/>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8"/>
  </w:num>
  <w:num w:numId="13">
    <w:abstractNumId w:val="22"/>
  </w:num>
  <w:num w:numId="14">
    <w:abstractNumId w:val="15"/>
  </w:num>
  <w:num w:numId="15">
    <w:abstractNumId w:val="0"/>
  </w:num>
  <w:num w:numId="16">
    <w:abstractNumId w:val="19"/>
  </w:num>
  <w:num w:numId="17">
    <w:abstractNumId w:val="6"/>
  </w:num>
  <w:num w:numId="18">
    <w:abstractNumId w:val="5"/>
  </w:num>
  <w:num w:numId="19">
    <w:abstractNumId w:val="8"/>
  </w:num>
  <w:num w:numId="20">
    <w:abstractNumId w:val="16"/>
  </w:num>
  <w:num w:numId="21">
    <w:abstractNumId w:val="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7"/>
  </w:num>
  <w:num w:numId="25">
    <w:abstractNumId w:val="18"/>
  </w:num>
  <w:num w:numId="26">
    <w:abstractNumId w:val="7"/>
  </w:num>
  <w:num w:numId="27">
    <w:abstractNumId w:val="30"/>
  </w:num>
  <w:num w:numId="28">
    <w:abstractNumId w:val="13"/>
  </w:num>
  <w:num w:numId="29">
    <w:abstractNumId w:val="20"/>
  </w:num>
  <w:num w:numId="30">
    <w:abstractNumId w:val="29"/>
  </w:num>
  <w:num w:numId="31">
    <w:abstractNumId w:val="31"/>
  </w:num>
  <w:num w:numId="32">
    <w:abstractNumId w:val="25"/>
  </w:num>
  <w:num w:numId="33">
    <w:abstractNumId w:val="12"/>
  </w:num>
  <w:num w:numId="34">
    <w:abstractNumId w:val="14"/>
  </w:num>
  <w:num w:numId="35">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ca Cardenas">
    <w15:presenceInfo w15:providerId="AD" w15:userId="S-1-5-21-817481412-993182657-3041463273-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R"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1"/>
    <w:rsid w:val="000033D7"/>
    <w:rsid w:val="00005C3B"/>
    <w:rsid w:val="00006CA0"/>
    <w:rsid w:val="00010226"/>
    <w:rsid w:val="00014289"/>
    <w:rsid w:val="00014C78"/>
    <w:rsid w:val="00016191"/>
    <w:rsid w:val="00017AD6"/>
    <w:rsid w:val="000205AC"/>
    <w:rsid w:val="00021B94"/>
    <w:rsid w:val="000341DA"/>
    <w:rsid w:val="00035149"/>
    <w:rsid w:val="00043F00"/>
    <w:rsid w:val="0004514C"/>
    <w:rsid w:val="00045F17"/>
    <w:rsid w:val="00047269"/>
    <w:rsid w:val="000572C5"/>
    <w:rsid w:val="00060660"/>
    <w:rsid w:val="00062639"/>
    <w:rsid w:val="00063C33"/>
    <w:rsid w:val="00063E3C"/>
    <w:rsid w:val="00065FFD"/>
    <w:rsid w:val="00066CD6"/>
    <w:rsid w:val="00067B7C"/>
    <w:rsid w:val="000719A4"/>
    <w:rsid w:val="00073E13"/>
    <w:rsid w:val="000759AC"/>
    <w:rsid w:val="0008188C"/>
    <w:rsid w:val="000870DE"/>
    <w:rsid w:val="00087234"/>
    <w:rsid w:val="00094A32"/>
    <w:rsid w:val="000951A5"/>
    <w:rsid w:val="00096CC8"/>
    <w:rsid w:val="00096D19"/>
    <w:rsid w:val="000A0FDA"/>
    <w:rsid w:val="000A4368"/>
    <w:rsid w:val="000B3065"/>
    <w:rsid w:val="000B398F"/>
    <w:rsid w:val="000B61CF"/>
    <w:rsid w:val="000C41A4"/>
    <w:rsid w:val="000C7B74"/>
    <w:rsid w:val="000D0F0E"/>
    <w:rsid w:val="000D3879"/>
    <w:rsid w:val="000D4C2C"/>
    <w:rsid w:val="000D4C8E"/>
    <w:rsid w:val="000D608F"/>
    <w:rsid w:val="000F00E0"/>
    <w:rsid w:val="000F095D"/>
    <w:rsid w:val="000F1688"/>
    <w:rsid w:val="000F1A7C"/>
    <w:rsid w:val="0010097D"/>
    <w:rsid w:val="00101232"/>
    <w:rsid w:val="00102153"/>
    <w:rsid w:val="001031A7"/>
    <w:rsid w:val="00104220"/>
    <w:rsid w:val="0010494F"/>
    <w:rsid w:val="00113F6D"/>
    <w:rsid w:val="0011434A"/>
    <w:rsid w:val="00117C4F"/>
    <w:rsid w:val="00122A75"/>
    <w:rsid w:val="00123C72"/>
    <w:rsid w:val="00126567"/>
    <w:rsid w:val="00133CE7"/>
    <w:rsid w:val="001362D7"/>
    <w:rsid w:val="001369CA"/>
    <w:rsid w:val="00136A3D"/>
    <w:rsid w:val="00136EDC"/>
    <w:rsid w:val="00141F7E"/>
    <w:rsid w:val="00150BD8"/>
    <w:rsid w:val="001517BD"/>
    <w:rsid w:val="00155D07"/>
    <w:rsid w:val="00155FB3"/>
    <w:rsid w:val="00160E30"/>
    <w:rsid w:val="00162BD2"/>
    <w:rsid w:val="0016379E"/>
    <w:rsid w:val="00164C90"/>
    <w:rsid w:val="00165C80"/>
    <w:rsid w:val="00171AAD"/>
    <w:rsid w:val="001735A7"/>
    <w:rsid w:val="001758C5"/>
    <w:rsid w:val="001859C1"/>
    <w:rsid w:val="00187EE7"/>
    <w:rsid w:val="0019023E"/>
    <w:rsid w:val="00191BEF"/>
    <w:rsid w:val="001921B7"/>
    <w:rsid w:val="001A0EFB"/>
    <w:rsid w:val="001A5338"/>
    <w:rsid w:val="001A5456"/>
    <w:rsid w:val="001B475B"/>
    <w:rsid w:val="001B480E"/>
    <w:rsid w:val="001B73FC"/>
    <w:rsid w:val="001C338D"/>
    <w:rsid w:val="001C3BCD"/>
    <w:rsid w:val="001C510E"/>
    <w:rsid w:val="001D221F"/>
    <w:rsid w:val="001D5765"/>
    <w:rsid w:val="001E10EE"/>
    <w:rsid w:val="001E1C89"/>
    <w:rsid w:val="001E35BA"/>
    <w:rsid w:val="001E47F0"/>
    <w:rsid w:val="001E5716"/>
    <w:rsid w:val="001F06EF"/>
    <w:rsid w:val="001F1FFC"/>
    <w:rsid w:val="001F3986"/>
    <w:rsid w:val="00201075"/>
    <w:rsid w:val="002045CB"/>
    <w:rsid w:val="002049B3"/>
    <w:rsid w:val="00205583"/>
    <w:rsid w:val="00205F3D"/>
    <w:rsid w:val="00213D56"/>
    <w:rsid w:val="00216C80"/>
    <w:rsid w:val="00220455"/>
    <w:rsid w:val="00226D4A"/>
    <w:rsid w:val="00227A4B"/>
    <w:rsid w:val="002320B9"/>
    <w:rsid w:val="00237232"/>
    <w:rsid w:val="00241D46"/>
    <w:rsid w:val="00247084"/>
    <w:rsid w:val="00247B1B"/>
    <w:rsid w:val="002509A8"/>
    <w:rsid w:val="00251F34"/>
    <w:rsid w:val="00264697"/>
    <w:rsid w:val="0026641E"/>
    <w:rsid w:val="00266BB1"/>
    <w:rsid w:val="00271CF5"/>
    <w:rsid w:val="002759D8"/>
    <w:rsid w:val="00287B48"/>
    <w:rsid w:val="00292673"/>
    <w:rsid w:val="002929AD"/>
    <w:rsid w:val="0029627E"/>
    <w:rsid w:val="002A1F81"/>
    <w:rsid w:val="002B0877"/>
    <w:rsid w:val="002B0FEB"/>
    <w:rsid w:val="002B13C6"/>
    <w:rsid w:val="002C03B3"/>
    <w:rsid w:val="002C152E"/>
    <w:rsid w:val="002C32E0"/>
    <w:rsid w:val="002D0D39"/>
    <w:rsid w:val="002D5571"/>
    <w:rsid w:val="002D6B08"/>
    <w:rsid w:val="002E27BE"/>
    <w:rsid w:val="002E32C7"/>
    <w:rsid w:val="002E6E4E"/>
    <w:rsid w:val="002F07BD"/>
    <w:rsid w:val="002F1E83"/>
    <w:rsid w:val="002F548B"/>
    <w:rsid w:val="002F6D60"/>
    <w:rsid w:val="00304EF4"/>
    <w:rsid w:val="00305A57"/>
    <w:rsid w:val="00305EFF"/>
    <w:rsid w:val="003071BB"/>
    <w:rsid w:val="00310C35"/>
    <w:rsid w:val="003113F3"/>
    <w:rsid w:val="00311412"/>
    <w:rsid w:val="00312E2A"/>
    <w:rsid w:val="00314476"/>
    <w:rsid w:val="00316B6E"/>
    <w:rsid w:val="00317041"/>
    <w:rsid w:val="00320AD0"/>
    <w:rsid w:val="00327854"/>
    <w:rsid w:val="00332454"/>
    <w:rsid w:val="00332A4B"/>
    <w:rsid w:val="00333A97"/>
    <w:rsid w:val="00341753"/>
    <w:rsid w:val="00342A8B"/>
    <w:rsid w:val="00345597"/>
    <w:rsid w:val="00351965"/>
    <w:rsid w:val="00352332"/>
    <w:rsid w:val="00354CF0"/>
    <w:rsid w:val="00357610"/>
    <w:rsid w:val="00357794"/>
    <w:rsid w:val="00363877"/>
    <w:rsid w:val="00371CC7"/>
    <w:rsid w:val="003729C8"/>
    <w:rsid w:val="0037566C"/>
    <w:rsid w:val="003825E7"/>
    <w:rsid w:val="00384AAA"/>
    <w:rsid w:val="003862C7"/>
    <w:rsid w:val="00387D2B"/>
    <w:rsid w:val="00391C4F"/>
    <w:rsid w:val="00393775"/>
    <w:rsid w:val="003945D3"/>
    <w:rsid w:val="00397E8F"/>
    <w:rsid w:val="003A018B"/>
    <w:rsid w:val="003A2389"/>
    <w:rsid w:val="003A6106"/>
    <w:rsid w:val="003B01EB"/>
    <w:rsid w:val="003B2554"/>
    <w:rsid w:val="003B38A5"/>
    <w:rsid w:val="003B3F36"/>
    <w:rsid w:val="003B657E"/>
    <w:rsid w:val="003B787B"/>
    <w:rsid w:val="003C02D4"/>
    <w:rsid w:val="003C0856"/>
    <w:rsid w:val="003C2C2D"/>
    <w:rsid w:val="003C2E75"/>
    <w:rsid w:val="003C3755"/>
    <w:rsid w:val="003D07FD"/>
    <w:rsid w:val="003D25B3"/>
    <w:rsid w:val="003D3EA0"/>
    <w:rsid w:val="003E055B"/>
    <w:rsid w:val="003E09BD"/>
    <w:rsid w:val="003E1E70"/>
    <w:rsid w:val="003E2807"/>
    <w:rsid w:val="003E520F"/>
    <w:rsid w:val="003E77F1"/>
    <w:rsid w:val="00404DE4"/>
    <w:rsid w:val="004065DD"/>
    <w:rsid w:val="00412A02"/>
    <w:rsid w:val="0041579F"/>
    <w:rsid w:val="00420DCB"/>
    <w:rsid w:val="00421DD4"/>
    <w:rsid w:val="00426042"/>
    <w:rsid w:val="00434006"/>
    <w:rsid w:val="00440DFC"/>
    <w:rsid w:val="004416D4"/>
    <w:rsid w:val="004419E0"/>
    <w:rsid w:val="004522A7"/>
    <w:rsid w:val="00454412"/>
    <w:rsid w:val="00454E64"/>
    <w:rsid w:val="00455B1E"/>
    <w:rsid w:val="00456601"/>
    <w:rsid w:val="00457D89"/>
    <w:rsid w:val="0046106D"/>
    <w:rsid w:val="0046323D"/>
    <w:rsid w:val="00467E9F"/>
    <w:rsid w:val="00470241"/>
    <w:rsid w:val="004718FD"/>
    <w:rsid w:val="00477642"/>
    <w:rsid w:val="004822C3"/>
    <w:rsid w:val="00482A2E"/>
    <w:rsid w:val="00482C53"/>
    <w:rsid w:val="004836BA"/>
    <w:rsid w:val="00484610"/>
    <w:rsid w:val="00485BA2"/>
    <w:rsid w:val="004863CD"/>
    <w:rsid w:val="0048750C"/>
    <w:rsid w:val="0048780C"/>
    <w:rsid w:val="00487AE7"/>
    <w:rsid w:val="00487FF6"/>
    <w:rsid w:val="00492C6B"/>
    <w:rsid w:val="00496EA3"/>
    <w:rsid w:val="00497516"/>
    <w:rsid w:val="00497960"/>
    <w:rsid w:val="00497C16"/>
    <w:rsid w:val="004A08DF"/>
    <w:rsid w:val="004A1516"/>
    <w:rsid w:val="004A48FE"/>
    <w:rsid w:val="004B2167"/>
    <w:rsid w:val="004B3CED"/>
    <w:rsid w:val="004B5999"/>
    <w:rsid w:val="004B7966"/>
    <w:rsid w:val="004C0F6E"/>
    <w:rsid w:val="004C1066"/>
    <w:rsid w:val="004C3045"/>
    <w:rsid w:val="004C3A43"/>
    <w:rsid w:val="004D0562"/>
    <w:rsid w:val="004E3C65"/>
    <w:rsid w:val="004E4058"/>
    <w:rsid w:val="004E76A1"/>
    <w:rsid w:val="004F0195"/>
    <w:rsid w:val="004F5858"/>
    <w:rsid w:val="004F6DA0"/>
    <w:rsid w:val="004F708F"/>
    <w:rsid w:val="004F75CB"/>
    <w:rsid w:val="00501D23"/>
    <w:rsid w:val="005020C1"/>
    <w:rsid w:val="00506B75"/>
    <w:rsid w:val="00512CB8"/>
    <w:rsid w:val="00513D5C"/>
    <w:rsid w:val="00514246"/>
    <w:rsid w:val="005145B8"/>
    <w:rsid w:val="00523AC8"/>
    <w:rsid w:val="005245EB"/>
    <w:rsid w:val="005352E1"/>
    <w:rsid w:val="0053557B"/>
    <w:rsid w:val="00536C09"/>
    <w:rsid w:val="00537B8E"/>
    <w:rsid w:val="00540E03"/>
    <w:rsid w:val="00544E5A"/>
    <w:rsid w:val="00546CE6"/>
    <w:rsid w:val="00547329"/>
    <w:rsid w:val="0055209C"/>
    <w:rsid w:val="00553094"/>
    <w:rsid w:val="00556A78"/>
    <w:rsid w:val="00557B43"/>
    <w:rsid w:val="005620AF"/>
    <w:rsid w:val="00564E82"/>
    <w:rsid w:val="00564EC8"/>
    <w:rsid w:val="0056628D"/>
    <w:rsid w:val="00567C99"/>
    <w:rsid w:val="005704D4"/>
    <w:rsid w:val="00572CAE"/>
    <w:rsid w:val="00575D79"/>
    <w:rsid w:val="00576AEA"/>
    <w:rsid w:val="0057712C"/>
    <w:rsid w:val="00585877"/>
    <w:rsid w:val="0058660B"/>
    <w:rsid w:val="005931DB"/>
    <w:rsid w:val="0059335C"/>
    <w:rsid w:val="005937AA"/>
    <w:rsid w:val="005A21F8"/>
    <w:rsid w:val="005A2E9C"/>
    <w:rsid w:val="005A5A75"/>
    <w:rsid w:val="005B5B88"/>
    <w:rsid w:val="005B6B9A"/>
    <w:rsid w:val="005B701F"/>
    <w:rsid w:val="005C5664"/>
    <w:rsid w:val="005C5EF4"/>
    <w:rsid w:val="005C6C93"/>
    <w:rsid w:val="005D25DF"/>
    <w:rsid w:val="005E1076"/>
    <w:rsid w:val="005E1BF7"/>
    <w:rsid w:val="005E291F"/>
    <w:rsid w:val="005E59AE"/>
    <w:rsid w:val="005E66F8"/>
    <w:rsid w:val="005E698B"/>
    <w:rsid w:val="005F152E"/>
    <w:rsid w:val="005F201B"/>
    <w:rsid w:val="005F4EF2"/>
    <w:rsid w:val="005F548F"/>
    <w:rsid w:val="005F632C"/>
    <w:rsid w:val="005F7B36"/>
    <w:rsid w:val="00601AE8"/>
    <w:rsid w:val="00605EAB"/>
    <w:rsid w:val="0060651A"/>
    <w:rsid w:val="00607755"/>
    <w:rsid w:val="006112B3"/>
    <w:rsid w:val="006145F1"/>
    <w:rsid w:val="00614D4B"/>
    <w:rsid w:val="006157EB"/>
    <w:rsid w:val="00615CCA"/>
    <w:rsid w:val="0061778E"/>
    <w:rsid w:val="006203C4"/>
    <w:rsid w:val="00624328"/>
    <w:rsid w:val="00631E58"/>
    <w:rsid w:val="006328EB"/>
    <w:rsid w:val="006422E8"/>
    <w:rsid w:val="00643A12"/>
    <w:rsid w:val="00645A5F"/>
    <w:rsid w:val="00647660"/>
    <w:rsid w:val="006520ED"/>
    <w:rsid w:val="006525D2"/>
    <w:rsid w:val="00652E83"/>
    <w:rsid w:val="0065468B"/>
    <w:rsid w:val="00654FAD"/>
    <w:rsid w:val="00655850"/>
    <w:rsid w:val="00657EBA"/>
    <w:rsid w:val="00662AE7"/>
    <w:rsid w:val="006637F7"/>
    <w:rsid w:val="0066415E"/>
    <w:rsid w:val="00666A2C"/>
    <w:rsid w:val="00666ABF"/>
    <w:rsid w:val="00666B62"/>
    <w:rsid w:val="006701EE"/>
    <w:rsid w:val="006707EE"/>
    <w:rsid w:val="006709EC"/>
    <w:rsid w:val="006720F9"/>
    <w:rsid w:val="00677DC8"/>
    <w:rsid w:val="00677E19"/>
    <w:rsid w:val="00682412"/>
    <w:rsid w:val="00687787"/>
    <w:rsid w:val="006929A3"/>
    <w:rsid w:val="00695284"/>
    <w:rsid w:val="006954FE"/>
    <w:rsid w:val="00695A38"/>
    <w:rsid w:val="006A0BE5"/>
    <w:rsid w:val="006A380B"/>
    <w:rsid w:val="006A3BB1"/>
    <w:rsid w:val="006B279B"/>
    <w:rsid w:val="006B5876"/>
    <w:rsid w:val="006C7E81"/>
    <w:rsid w:val="006D0C9B"/>
    <w:rsid w:val="006D531B"/>
    <w:rsid w:val="006D565D"/>
    <w:rsid w:val="006D68FA"/>
    <w:rsid w:val="006D7485"/>
    <w:rsid w:val="006E4645"/>
    <w:rsid w:val="006E576F"/>
    <w:rsid w:val="006F168C"/>
    <w:rsid w:val="006F1A47"/>
    <w:rsid w:val="006F7C96"/>
    <w:rsid w:val="00702CEE"/>
    <w:rsid w:val="00704831"/>
    <w:rsid w:val="007051D8"/>
    <w:rsid w:val="007118D1"/>
    <w:rsid w:val="0071192E"/>
    <w:rsid w:val="0071244C"/>
    <w:rsid w:val="00721EA7"/>
    <w:rsid w:val="00727EB6"/>
    <w:rsid w:val="00730250"/>
    <w:rsid w:val="0073089C"/>
    <w:rsid w:val="00735FA8"/>
    <w:rsid w:val="0074090B"/>
    <w:rsid w:val="00740C5E"/>
    <w:rsid w:val="007414E1"/>
    <w:rsid w:val="00743421"/>
    <w:rsid w:val="00745F74"/>
    <w:rsid w:val="0074714D"/>
    <w:rsid w:val="00747EEE"/>
    <w:rsid w:val="007521F8"/>
    <w:rsid w:val="00754DCB"/>
    <w:rsid w:val="00755142"/>
    <w:rsid w:val="007702C3"/>
    <w:rsid w:val="00771038"/>
    <w:rsid w:val="0077293A"/>
    <w:rsid w:val="007743B9"/>
    <w:rsid w:val="00784A6C"/>
    <w:rsid w:val="00787F35"/>
    <w:rsid w:val="00794D07"/>
    <w:rsid w:val="007960FD"/>
    <w:rsid w:val="00796E22"/>
    <w:rsid w:val="007A0FB6"/>
    <w:rsid w:val="007A3312"/>
    <w:rsid w:val="007A4D1E"/>
    <w:rsid w:val="007A581C"/>
    <w:rsid w:val="007A7106"/>
    <w:rsid w:val="007B1D63"/>
    <w:rsid w:val="007B50AF"/>
    <w:rsid w:val="007B5BB0"/>
    <w:rsid w:val="007B6003"/>
    <w:rsid w:val="007B7AB7"/>
    <w:rsid w:val="007C1F48"/>
    <w:rsid w:val="007C32EE"/>
    <w:rsid w:val="007D0789"/>
    <w:rsid w:val="007D1558"/>
    <w:rsid w:val="007D1957"/>
    <w:rsid w:val="007D2464"/>
    <w:rsid w:val="007D3859"/>
    <w:rsid w:val="007E04D4"/>
    <w:rsid w:val="007E1372"/>
    <w:rsid w:val="007E2B3D"/>
    <w:rsid w:val="007E3522"/>
    <w:rsid w:val="007E503E"/>
    <w:rsid w:val="007E5130"/>
    <w:rsid w:val="007E6B9A"/>
    <w:rsid w:val="007E7781"/>
    <w:rsid w:val="007E7815"/>
    <w:rsid w:val="007F5F37"/>
    <w:rsid w:val="00802BD5"/>
    <w:rsid w:val="00815F5A"/>
    <w:rsid w:val="0082056B"/>
    <w:rsid w:val="00822F50"/>
    <w:rsid w:val="00824C61"/>
    <w:rsid w:val="008274AA"/>
    <w:rsid w:val="008279F3"/>
    <w:rsid w:val="00831A60"/>
    <w:rsid w:val="00833277"/>
    <w:rsid w:val="0083405E"/>
    <w:rsid w:val="00844163"/>
    <w:rsid w:val="00854FA7"/>
    <w:rsid w:val="0085713C"/>
    <w:rsid w:val="008606A8"/>
    <w:rsid w:val="00864F68"/>
    <w:rsid w:val="00865380"/>
    <w:rsid w:val="00870BE2"/>
    <w:rsid w:val="00871010"/>
    <w:rsid w:val="00873CFF"/>
    <w:rsid w:val="00880E65"/>
    <w:rsid w:val="0088228E"/>
    <w:rsid w:val="008968A1"/>
    <w:rsid w:val="00896910"/>
    <w:rsid w:val="008974B0"/>
    <w:rsid w:val="008A2D33"/>
    <w:rsid w:val="008B3852"/>
    <w:rsid w:val="008B55C3"/>
    <w:rsid w:val="008B69D6"/>
    <w:rsid w:val="008C0F48"/>
    <w:rsid w:val="008C1B7B"/>
    <w:rsid w:val="008D0467"/>
    <w:rsid w:val="008D2A98"/>
    <w:rsid w:val="008D44FA"/>
    <w:rsid w:val="008D5DDF"/>
    <w:rsid w:val="008D6573"/>
    <w:rsid w:val="008D7101"/>
    <w:rsid w:val="008E7E64"/>
    <w:rsid w:val="008F0658"/>
    <w:rsid w:val="008F7143"/>
    <w:rsid w:val="00901AE0"/>
    <w:rsid w:val="00903EFA"/>
    <w:rsid w:val="009042C4"/>
    <w:rsid w:val="0090445B"/>
    <w:rsid w:val="009050C9"/>
    <w:rsid w:val="00913666"/>
    <w:rsid w:val="00915580"/>
    <w:rsid w:val="00920A63"/>
    <w:rsid w:val="00921C02"/>
    <w:rsid w:val="00924F1F"/>
    <w:rsid w:val="00932A7B"/>
    <w:rsid w:val="00932AE5"/>
    <w:rsid w:val="0093392B"/>
    <w:rsid w:val="009365A1"/>
    <w:rsid w:val="00936935"/>
    <w:rsid w:val="00936BB0"/>
    <w:rsid w:val="009426A8"/>
    <w:rsid w:val="00943C6B"/>
    <w:rsid w:val="00954D63"/>
    <w:rsid w:val="009551EF"/>
    <w:rsid w:val="00955248"/>
    <w:rsid w:val="009557CE"/>
    <w:rsid w:val="00955EE9"/>
    <w:rsid w:val="009604A3"/>
    <w:rsid w:val="00976EF7"/>
    <w:rsid w:val="00977843"/>
    <w:rsid w:val="00981EC7"/>
    <w:rsid w:val="00982D01"/>
    <w:rsid w:val="00983032"/>
    <w:rsid w:val="009855E5"/>
    <w:rsid w:val="00991CA9"/>
    <w:rsid w:val="00992076"/>
    <w:rsid w:val="00995865"/>
    <w:rsid w:val="00995CA4"/>
    <w:rsid w:val="00996530"/>
    <w:rsid w:val="00997ED8"/>
    <w:rsid w:val="009A0C4C"/>
    <w:rsid w:val="009B5283"/>
    <w:rsid w:val="009B617B"/>
    <w:rsid w:val="009B7E8A"/>
    <w:rsid w:val="009C0110"/>
    <w:rsid w:val="009C14DC"/>
    <w:rsid w:val="009C47D0"/>
    <w:rsid w:val="009D0142"/>
    <w:rsid w:val="009D078A"/>
    <w:rsid w:val="009D194E"/>
    <w:rsid w:val="009D2EA3"/>
    <w:rsid w:val="009D6F17"/>
    <w:rsid w:val="009D7164"/>
    <w:rsid w:val="009E5C52"/>
    <w:rsid w:val="009E645F"/>
    <w:rsid w:val="009E6C4C"/>
    <w:rsid w:val="009F0251"/>
    <w:rsid w:val="009F2719"/>
    <w:rsid w:val="009F40AC"/>
    <w:rsid w:val="009F4A9C"/>
    <w:rsid w:val="00A00E05"/>
    <w:rsid w:val="00A01EAC"/>
    <w:rsid w:val="00A0286B"/>
    <w:rsid w:val="00A0297E"/>
    <w:rsid w:val="00A029C1"/>
    <w:rsid w:val="00A138D5"/>
    <w:rsid w:val="00A146BE"/>
    <w:rsid w:val="00A15F82"/>
    <w:rsid w:val="00A20177"/>
    <w:rsid w:val="00A21F4D"/>
    <w:rsid w:val="00A22125"/>
    <w:rsid w:val="00A221A4"/>
    <w:rsid w:val="00A232BF"/>
    <w:rsid w:val="00A25BB2"/>
    <w:rsid w:val="00A35B20"/>
    <w:rsid w:val="00A37A21"/>
    <w:rsid w:val="00A4195E"/>
    <w:rsid w:val="00A444F8"/>
    <w:rsid w:val="00A4549C"/>
    <w:rsid w:val="00A50558"/>
    <w:rsid w:val="00A534C7"/>
    <w:rsid w:val="00A5486B"/>
    <w:rsid w:val="00A5763C"/>
    <w:rsid w:val="00A6030D"/>
    <w:rsid w:val="00A609DE"/>
    <w:rsid w:val="00A60AC4"/>
    <w:rsid w:val="00A60BFB"/>
    <w:rsid w:val="00A62CB6"/>
    <w:rsid w:val="00A64DCF"/>
    <w:rsid w:val="00A673CE"/>
    <w:rsid w:val="00A675BA"/>
    <w:rsid w:val="00A71713"/>
    <w:rsid w:val="00A73EFD"/>
    <w:rsid w:val="00A74BC1"/>
    <w:rsid w:val="00A76228"/>
    <w:rsid w:val="00A81839"/>
    <w:rsid w:val="00A81B57"/>
    <w:rsid w:val="00A81E8A"/>
    <w:rsid w:val="00A822D8"/>
    <w:rsid w:val="00A827A0"/>
    <w:rsid w:val="00A82E3B"/>
    <w:rsid w:val="00A83462"/>
    <w:rsid w:val="00A84670"/>
    <w:rsid w:val="00A862C6"/>
    <w:rsid w:val="00A87E60"/>
    <w:rsid w:val="00A94AF1"/>
    <w:rsid w:val="00A9685E"/>
    <w:rsid w:val="00A9698F"/>
    <w:rsid w:val="00AA337F"/>
    <w:rsid w:val="00AA53AD"/>
    <w:rsid w:val="00AA55AA"/>
    <w:rsid w:val="00AB37F0"/>
    <w:rsid w:val="00AC3DFD"/>
    <w:rsid w:val="00AC5CB4"/>
    <w:rsid w:val="00AD6BA7"/>
    <w:rsid w:val="00AD6E59"/>
    <w:rsid w:val="00AD7167"/>
    <w:rsid w:val="00AE2B46"/>
    <w:rsid w:val="00AE6899"/>
    <w:rsid w:val="00AF0E62"/>
    <w:rsid w:val="00AF1E16"/>
    <w:rsid w:val="00AF28DC"/>
    <w:rsid w:val="00AF3442"/>
    <w:rsid w:val="00B01CEE"/>
    <w:rsid w:val="00B01CFF"/>
    <w:rsid w:val="00B0532B"/>
    <w:rsid w:val="00B05548"/>
    <w:rsid w:val="00B0564F"/>
    <w:rsid w:val="00B07D05"/>
    <w:rsid w:val="00B10052"/>
    <w:rsid w:val="00B10C05"/>
    <w:rsid w:val="00B15143"/>
    <w:rsid w:val="00B157E6"/>
    <w:rsid w:val="00B15EC1"/>
    <w:rsid w:val="00B165E5"/>
    <w:rsid w:val="00B20479"/>
    <w:rsid w:val="00B2418E"/>
    <w:rsid w:val="00B242D1"/>
    <w:rsid w:val="00B26D97"/>
    <w:rsid w:val="00B31CC4"/>
    <w:rsid w:val="00B33E13"/>
    <w:rsid w:val="00B35224"/>
    <w:rsid w:val="00B379C0"/>
    <w:rsid w:val="00B43C78"/>
    <w:rsid w:val="00B47C1E"/>
    <w:rsid w:val="00B51D9B"/>
    <w:rsid w:val="00B53281"/>
    <w:rsid w:val="00B53D50"/>
    <w:rsid w:val="00B57FCA"/>
    <w:rsid w:val="00B64B6F"/>
    <w:rsid w:val="00B64CCB"/>
    <w:rsid w:val="00B67F60"/>
    <w:rsid w:val="00B71B60"/>
    <w:rsid w:val="00B72EB2"/>
    <w:rsid w:val="00B72FBD"/>
    <w:rsid w:val="00B80F9E"/>
    <w:rsid w:val="00B82897"/>
    <w:rsid w:val="00B8492D"/>
    <w:rsid w:val="00B861A2"/>
    <w:rsid w:val="00B952F5"/>
    <w:rsid w:val="00BA00EE"/>
    <w:rsid w:val="00BA0675"/>
    <w:rsid w:val="00BA2335"/>
    <w:rsid w:val="00BA3628"/>
    <w:rsid w:val="00BA6210"/>
    <w:rsid w:val="00BA7C0D"/>
    <w:rsid w:val="00BB2A98"/>
    <w:rsid w:val="00BB44AC"/>
    <w:rsid w:val="00BB7BCF"/>
    <w:rsid w:val="00BC0019"/>
    <w:rsid w:val="00BC1DB2"/>
    <w:rsid w:val="00BC3D03"/>
    <w:rsid w:val="00BC7A7F"/>
    <w:rsid w:val="00BD1D02"/>
    <w:rsid w:val="00BD485A"/>
    <w:rsid w:val="00BD4898"/>
    <w:rsid w:val="00BD530A"/>
    <w:rsid w:val="00BD6995"/>
    <w:rsid w:val="00BE0EEB"/>
    <w:rsid w:val="00BE7FD0"/>
    <w:rsid w:val="00BF2B66"/>
    <w:rsid w:val="00BF402B"/>
    <w:rsid w:val="00BF40FC"/>
    <w:rsid w:val="00BF6548"/>
    <w:rsid w:val="00BF78B5"/>
    <w:rsid w:val="00C07F13"/>
    <w:rsid w:val="00C10454"/>
    <w:rsid w:val="00C12030"/>
    <w:rsid w:val="00C12A5D"/>
    <w:rsid w:val="00C15E17"/>
    <w:rsid w:val="00C16549"/>
    <w:rsid w:val="00C20FE3"/>
    <w:rsid w:val="00C25585"/>
    <w:rsid w:val="00C26738"/>
    <w:rsid w:val="00C26A61"/>
    <w:rsid w:val="00C33F93"/>
    <w:rsid w:val="00C35123"/>
    <w:rsid w:val="00C3598D"/>
    <w:rsid w:val="00C41151"/>
    <w:rsid w:val="00C414A0"/>
    <w:rsid w:val="00C42693"/>
    <w:rsid w:val="00C43841"/>
    <w:rsid w:val="00C44461"/>
    <w:rsid w:val="00C44DAF"/>
    <w:rsid w:val="00C51ED9"/>
    <w:rsid w:val="00C61AC0"/>
    <w:rsid w:val="00C631E0"/>
    <w:rsid w:val="00C67690"/>
    <w:rsid w:val="00C7035C"/>
    <w:rsid w:val="00C73FBA"/>
    <w:rsid w:val="00C74022"/>
    <w:rsid w:val="00C7574F"/>
    <w:rsid w:val="00C77B5B"/>
    <w:rsid w:val="00C8018A"/>
    <w:rsid w:val="00C80327"/>
    <w:rsid w:val="00C8141A"/>
    <w:rsid w:val="00C9221B"/>
    <w:rsid w:val="00C92895"/>
    <w:rsid w:val="00C92D82"/>
    <w:rsid w:val="00C94DEE"/>
    <w:rsid w:val="00CA144D"/>
    <w:rsid w:val="00CA372D"/>
    <w:rsid w:val="00CA488F"/>
    <w:rsid w:val="00CA4BD5"/>
    <w:rsid w:val="00CB1CFE"/>
    <w:rsid w:val="00CB3465"/>
    <w:rsid w:val="00CB74EB"/>
    <w:rsid w:val="00CC1779"/>
    <w:rsid w:val="00CC3AD7"/>
    <w:rsid w:val="00CC3C93"/>
    <w:rsid w:val="00CC4D85"/>
    <w:rsid w:val="00CC713F"/>
    <w:rsid w:val="00CC74FC"/>
    <w:rsid w:val="00CD1842"/>
    <w:rsid w:val="00CD33AA"/>
    <w:rsid w:val="00CD5113"/>
    <w:rsid w:val="00CD59C4"/>
    <w:rsid w:val="00CD77F2"/>
    <w:rsid w:val="00CD7F19"/>
    <w:rsid w:val="00CE16DE"/>
    <w:rsid w:val="00CE1C2A"/>
    <w:rsid w:val="00CE2865"/>
    <w:rsid w:val="00CE647D"/>
    <w:rsid w:val="00CE794A"/>
    <w:rsid w:val="00CF1C87"/>
    <w:rsid w:val="00CF2AEE"/>
    <w:rsid w:val="00CF3CF0"/>
    <w:rsid w:val="00D06FC4"/>
    <w:rsid w:val="00D0766A"/>
    <w:rsid w:val="00D14531"/>
    <w:rsid w:val="00D1644F"/>
    <w:rsid w:val="00D24541"/>
    <w:rsid w:val="00D24CBB"/>
    <w:rsid w:val="00D33298"/>
    <w:rsid w:val="00D336D8"/>
    <w:rsid w:val="00D348BF"/>
    <w:rsid w:val="00D375D1"/>
    <w:rsid w:val="00D43BDF"/>
    <w:rsid w:val="00D44A68"/>
    <w:rsid w:val="00D470B2"/>
    <w:rsid w:val="00D47459"/>
    <w:rsid w:val="00D50BFD"/>
    <w:rsid w:val="00D5400D"/>
    <w:rsid w:val="00D57727"/>
    <w:rsid w:val="00D6345F"/>
    <w:rsid w:val="00D6699F"/>
    <w:rsid w:val="00D66C3C"/>
    <w:rsid w:val="00D724AC"/>
    <w:rsid w:val="00D76AB0"/>
    <w:rsid w:val="00D81515"/>
    <w:rsid w:val="00D81E43"/>
    <w:rsid w:val="00D82234"/>
    <w:rsid w:val="00D828ED"/>
    <w:rsid w:val="00D82D3B"/>
    <w:rsid w:val="00D83B62"/>
    <w:rsid w:val="00D83CB9"/>
    <w:rsid w:val="00D85B24"/>
    <w:rsid w:val="00D86B7F"/>
    <w:rsid w:val="00D9010B"/>
    <w:rsid w:val="00D90640"/>
    <w:rsid w:val="00D909CB"/>
    <w:rsid w:val="00D925BC"/>
    <w:rsid w:val="00D97C4E"/>
    <w:rsid w:val="00DA087C"/>
    <w:rsid w:val="00DA13CC"/>
    <w:rsid w:val="00DA1887"/>
    <w:rsid w:val="00DA468B"/>
    <w:rsid w:val="00DA5B2D"/>
    <w:rsid w:val="00DA7CBA"/>
    <w:rsid w:val="00DB38D3"/>
    <w:rsid w:val="00DB3E4B"/>
    <w:rsid w:val="00DB4289"/>
    <w:rsid w:val="00DB4395"/>
    <w:rsid w:val="00DB649B"/>
    <w:rsid w:val="00DC2403"/>
    <w:rsid w:val="00DC30A0"/>
    <w:rsid w:val="00DC4872"/>
    <w:rsid w:val="00DC6638"/>
    <w:rsid w:val="00DC766E"/>
    <w:rsid w:val="00DD25BE"/>
    <w:rsid w:val="00DD5787"/>
    <w:rsid w:val="00DD647C"/>
    <w:rsid w:val="00DE0C1B"/>
    <w:rsid w:val="00DE3635"/>
    <w:rsid w:val="00DE4095"/>
    <w:rsid w:val="00DE4349"/>
    <w:rsid w:val="00DE50B3"/>
    <w:rsid w:val="00DF0810"/>
    <w:rsid w:val="00DF0EC3"/>
    <w:rsid w:val="00DF5305"/>
    <w:rsid w:val="00DF5B63"/>
    <w:rsid w:val="00DF5C67"/>
    <w:rsid w:val="00DF68EB"/>
    <w:rsid w:val="00DF75C5"/>
    <w:rsid w:val="00E03794"/>
    <w:rsid w:val="00E04AD8"/>
    <w:rsid w:val="00E1130E"/>
    <w:rsid w:val="00E14C6B"/>
    <w:rsid w:val="00E15368"/>
    <w:rsid w:val="00E16756"/>
    <w:rsid w:val="00E206D7"/>
    <w:rsid w:val="00E22361"/>
    <w:rsid w:val="00E23D61"/>
    <w:rsid w:val="00E300F8"/>
    <w:rsid w:val="00E32B70"/>
    <w:rsid w:val="00E340C2"/>
    <w:rsid w:val="00E4080D"/>
    <w:rsid w:val="00E40E0A"/>
    <w:rsid w:val="00E53AA4"/>
    <w:rsid w:val="00E62414"/>
    <w:rsid w:val="00E6434E"/>
    <w:rsid w:val="00E64D54"/>
    <w:rsid w:val="00E6602E"/>
    <w:rsid w:val="00E70596"/>
    <w:rsid w:val="00E71CBE"/>
    <w:rsid w:val="00E743E2"/>
    <w:rsid w:val="00E7515E"/>
    <w:rsid w:val="00E758C6"/>
    <w:rsid w:val="00E760B2"/>
    <w:rsid w:val="00E83D45"/>
    <w:rsid w:val="00E85855"/>
    <w:rsid w:val="00E8671B"/>
    <w:rsid w:val="00E87E21"/>
    <w:rsid w:val="00E91797"/>
    <w:rsid w:val="00E918AD"/>
    <w:rsid w:val="00E92832"/>
    <w:rsid w:val="00E92AA5"/>
    <w:rsid w:val="00E949E1"/>
    <w:rsid w:val="00E97294"/>
    <w:rsid w:val="00EA0F7B"/>
    <w:rsid w:val="00EA71EC"/>
    <w:rsid w:val="00EA7F7F"/>
    <w:rsid w:val="00EB0412"/>
    <w:rsid w:val="00EB6EDB"/>
    <w:rsid w:val="00EC0566"/>
    <w:rsid w:val="00EC1883"/>
    <w:rsid w:val="00EC24E4"/>
    <w:rsid w:val="00EC5169"/>
    <w:rsid w:val="00EC5585"/>
    <w:rsid w:val="00EC57BF"/>
    <w:rsid w:val="00EC5EFF"/>
    <w:rsid w:val="00EC644B"/>
    <w:rsid w:val="00ED13A4"/>
    <w:rsid w:val="00ED13F4"/>
    <w:rsid w:val="00ED2EB4"/>
    <w:rsid w:val="00ED3795"/>
    <w:rsid w:val="00ED3B4E"/>
    <w:rsid w:val="00ED4988"/>
    <w:rsid w:val="00ED7BDD"/>
    <w:rsid w:val="00EE49ED"/>
    <w:rsid w:val="00EE4DBC"/>
    <w:rsid w:val="00EE52D3"/>
    <w:rsid w:val="00EE56A8"/>
    <w:rsid w:val="00EE6554"/>
    <w:rsid w:val="00EE74CF"/>
    <w:rsid w:val="00EE7921"/>
    <w:rsid w:val="00EF17B6"/>
    <w:rsid w:val="00EF1BE0"/>
    <w:rsid w:val="00EF2BDD"/>
    <w:rsid w:val="00EF51DC"/>
    <w:rsid w:val="00EF6C60"/>
    <w:rsid w:val="00EF7992"/>
    <w:rsid w:val="00EF79E9"/>
    <w:rsid w:val="00F00CD6"/>
    <w:rsid w:val="00F02548"/>
    <w:rsid w:val="00F06D4A"/>
    <w:rsid w:val="00F124D0"/>
    <w:rsid w:val="00F13FF4"/>
    <w:rsid w:val="00F206A7"/>
    <w:rsid w:val="00F20F60"/>
    <w:rsid w:val="00F21FF2"/>
    <w:rsid w:val="00F2290E"/>
    <w:rsid w:val="00F254DF"/>
    <w:rsid w:val="00F3082B"/>
    <w:rsid w:val="00F32956"/>
    <w:rsid w:val="00F36125"/>
    <w:rsid w:val="00F364C2"/>
    <w:rsid w:val="00F36D1A"/>
    <w:rsid w:val="00F377DA"/>
    <w:rsid w:val="00F402CB"/>
    <w:rsid w:val="00F41E57"/>
    <w:rsid w:val="00F42DE9"/>
    <w:rsid w:val="00F52407"/>
    <w:rsid w:val="00F66814"/>
    <w:rsid w:val="00F66B9C"/>
    <w:rsid w:val="00F67C76"/>
    <w:rsid w:val="00F7020E"/>
    <w:rsid w:val="00F71F56"/>
    <w:rsid w:val="00F7468B"/>
    <w:rsid w:val="00F81A80"/>
    <w:rsid w:val="00F81ADC"/>
    <w:rsid w:val="00F83459"/>
    <w:rsid w:val="00F91CE5"/>
    <w:rsid w:val="00F923BC"/>
    <w:rsid w:val="00F95EAC"/>
    <w:rsid w:val="00FA3A59"/>
    <w:rsid w:val="00FA56C4"/>
    <w:rsid w:val="00FB0EE1"/>
    <w:rsid w:val="00FB55C7"/>
    <w:rsid w:val="00FB6218"/>
    <w:rsid w:val="00FB70EF"/>
    <w:rsid w:val="00FB7869"/>
    <w:rsid w:val="00FC4252"/>
    <w:rsid w:val="00FC55E6"/>
    <w:rsid w:val="00FC72B9"/>
    <w:rsid w:val="00FD126D"/>
    <w:rsid w:val="00FD1695"/>
    <w:rsid w:val="00FD6873"/>
    <w:rsid w:val="00FD6A62"/>
    <w:rsid w:val="00FE61C7"/>
    <w:rsid w:val="00FE66A7"/>
    <w:rsid w:val="00FF082F"/>
    <w:rsid w:val="00FF08A6"/>
    <w:rsid w:val="00FF2ACE"/>
    <w:rsid w:val="00FF5B5F"/>
    <w:rsid w:val="00FF630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uiPriority w:val="99"/>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paragraph" w:styleId="Title">
    <w:name w:val="Title"/>
    <w:basedOn w:val="Normal"/>
    <w:link w:val="TitleChar"/>
    <w:uiPriority w:val="99"/>
    <w:qFormat/>
    <w:rsid w:val="00796E22"/>
    <w:pPr>
      <w:spacing w:after="0" w:line="240" w:lineRule="auto"/>
      <w:jc w:val="center"/>
    </w:pPr>
    <w:rPr>
      <w:rFonts w:ascii="Garamond" w:eastAsia="Times New Roman" w:hAnsi="Garamond" w:cs="Times New Roman"/>
      <w:b/>
      <w:sz w:val="32"/>
      <w:szCs w:val="20"/>
      <w:lang w:val="es-ES_tradnl" w:eastAsia="es-ES"/>
    </w:rPr>
  </w:style>
  <w:style w:type="character" w:customStyle="1" w:styleId="TitleChar">
    <w:name w:val="Title Char"/>
    <w:basedOn w:val="DefaultParagraphFont"/>
    <w:link w:val="Title"/>
    <w:uiPriority w:val="99"/>
    <w:rsid w:val="00796E22"/>
    <w:rPr>
      <w:rFonts w:ascii="Garamond" w:eastAsia="Times New Roman" w:hAnsi="Garamond" w:cs="Times New Roman"/>
      <w:b/>
      <w:sz w:val="32"/>
      <w:szCs w:val="20"/>
      <w:lang w:val="es-ES_tradnl" w:eastAsia="es-ES"/>
    </w:rPr>
  </w:style>
  <w:style w:type="character" w:styleId="SubtleEmphasis">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4"/>
      </w:numPr>
    </w:pPr>
  </w:style>
  <w:style w:type="character" w:customStyle="1" w:styleId="ListParagraphChar">
    <w:name w:val="List Paragraph Char"/>
    <w:aliases w:val="Footnote Char,List Paragraph2 Char,List Paragraph1 Char,Lista vistosa - Énfasis 11 Char"/>
    <w:link w:val="ListParagraph"/>
    <w:uiPriority w:val="99"/>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33F93"/>
    <w:pPr>
      <w:spacing w:after="0" w:line="240" w:lineRule="auto"/>
      <w:jc w:val="both"/>
    </w:pPr>
    <w:rPr>
      <w:vertAlign w:val="superscript"/>
      <w:lang w:val="en-US"/>
    </w:rPr>
  </w:style>
  <w:style w:type="paragraph" w:styleId="NoSpacing">
    <w:name w:val="No Spacing"/>
    <w:basedOn w:val="ListParagraph"/>
    <w:uiPriority w:val="1"/>
    <w:qFormat/>
    <w:rsid w:val="00F81ADC"/>
    <w:pPr>
      <w:widowControl w:val="0"/>
      <w:numPr>
        <w:numId w:val="2"/>
      </w:numPr>
      <w:tabs>
        <w:tab w:val="left" w:pos="0"/>
        <w:tab w:val="left" w:pos="567"/>
      </w:tabs>
      <w:autoSpaceDE w:val="0"/>
      <w:autoSpaceDN w:val="0"/>
      <w:adjustRightInd w:val="0"/>
      <w:spacing w:after="0" w:line="240" w:lineRule="auto"/>
      <w:ind w:left="0" w:right="22" w:firstLine="0"/>
      <w:jc w:val="both"/>
    </w:pPr>
    <w:rPr>
      <w:rFonts w:ascii="Verdana" w:hAnsi="Verdana"/>
      <w:bCs/>
      <w:iCs/>
      <w:sz w:val="20"/>
      <w:szCs w:val="20"/>
    </w:rPr>
  </w:style>
  <w:style w:type="paragraph" w:styleId="HTMLPreformatted">
    <w:name w:val="HTML Preformatted"/>
    <w:basedOn w:val="Normal"/>
    <w:link w:val="HTMLPreformattedChar"/>
    <w:uiPriority w:val="99"/>
    <w:unhideWhenUsed/>
    <w:rsid w:val="00CE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CE16DE"/>
    <w:rPr>
      <w:rFonts w:ascii="Courier New" w:eastAsia="Times New Roman" w:hAnsi="Courier New" w:cs="Courier New"/>
      <w:sz w:val="20"/>
      <w:szCs w:val="20"/>
      <w:lang w:val="es-CR" w:eastAsia="es-CR"/>
    </w:rPr>
  </w:style>
  <w:style w:type="paragraph" w:customStyle="1" w:styleId="Default">
    <w:name w:val="Default"/>
    <w:rsid w:val="00E14C6B"/>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BodyText">
    <w:name w:val="Body Text"/>
    <w:basedOn w:val="Normal"/>
    <w:link w:val="BodyTextChar"/>
    <w:uiPriority w:val="99"/>
    <w:unhideWhenUsed/>
    <w:rsid w:val="00E32B70"/>
    <w:pPr>
      <w:tabs>
        <w:tab w:val="left" w:pos="567"/>
      </w:tabs>
      <w:spacing w:after="0" w:line="240" w:lineRule="auto"/>
      <w:jc w:val="both"/>
    </w:pPr>
    <w:rPr>
      <w:rFonts w:ascii="Verdana" w:hAnsi="Verdana"/>
      <w:sz w:val="20"/>
      <w:szCs w:val="20"/>
    </w:rPr>
  </w:style>
  <w:style w:type="character" w:customStyle="1" w:styleId="BodyTextChar">
    <w:name w:val="Body Text Char"/>
    <w:basedOn w:val="DefaultParagraphFont"/>
    <w:link w:val="BodyText"/>
    <w:uiPriority w:val="99"/>
    <w:rsid w:val="00E32B70"/>
    <w:rPr>
      <w:rFonts w:ascii="Verdana" w:hAnsi="Verdana"/>
      <w:sz w:val="20"/>
      <w:szCs w:val="20"/>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A8"/>
    <w:rPr>
      <w:lang w:val="es-CR"/>
    </w:rPr>
  </w:style>
  <w:style w:type="paragraph" w:styleId="Heading1">
    <w:name w:val="heading 1"/>
    <w:basedOn w:val="Normal"/>
    <w:next w:val="Normal"/>
    <w:link w:val="Heading1Char"/>
    <w:uiPriority w:val="9"/>
    <w:qFormat/>
    <w:rsid w:val="006637F7"/>
    <w:pPr>
      <w:keepNext/>
      <w:numPr>
        <w:numId w:val="3"/>
      </w:numPr>
      <w:tabs>
        <w:tab w:val="left" w:pos="567"/>
      </w:tabs>
      <w:spacing w:after="0" w:line="240" w:lineRule="auto"/>
      <w:jc w:val="both"/>
      <w:outlineLvl w:val="0"/>
    </w:pPr>
    <w:rPr>
      <w:rFonts w:ascii="Verdana" w:eastAsia="Calibri" w:hAnsi="Verdana" w:cs="Verdana"/>
      <w:b/>
      <w:bCs/>
      <w:i/>
      <w:iCs/>
      <w:sz w:val="20"/>
      <w:szCs w:val="20"/>
    </w:rPr>
  </w:style>
  <w:style w:type="paragraph" w:styleId="Heading2">
    <w:name w:val="heading 2"/>
    <w:basedOn w:val="Normal"/>
    <w:next w:val="Normal"/>
    <w:link w:val="Heading2Char"/>
    <w:uiPriority w:val="9"/>
    <w:unhideWhenUsed/>
    <w:qFormat/>
    <w:rsid w:val="00DF0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uiPriority w:val="34"/>
    <w:qFormat/>
    <w:rsid w:val="00016191"/>
    <w:pPr>
      <w:ind w:left="720"/>
      <w:contextualSpacing/>
    </w:pPr>
  </w:style>
  <w:style w:type="character" w:styleId="CommentReference">
    <w:name w:val="annotation reference"/>
    <w:basedOn w:val="DefaultParagraphFont"/>
    <w:uiPriority w:val="99"/>
    <w:semiHidden/>
    <w:unhideWhenUsed/>
    <w:rsid w:val="00995865"/>
    <w:rPr>
      <w:sz w:val="16"/>
      <w:szCs w:val="16"/>
    </w:rPr>
  </w:style>
  <w:style w:type="paragraph" w:styleId="CommentText">
    <w:name w:val="annotation text"/>
    <w:basedOn w:val="Normal"/>
    <w:link w:val="CommentTextChar"/>
    <w:uiPriority w:val="99"/>
    <w:unhideWhenUsed/>
    <w:rsid w:val="00995865"/>
    <w:pPr>
      <w:spacing w:line="240" w:lineRule="auto"/>
    </w:pPr>
    <w:rPr>
      <w:sz w:val="20"/>
      <w:szCs w:val="20"/>
    </w:rPr>
  </w:style>
  <w:style w:type="character" w:customStyle="1" w:styleId="CommentTextChar">
    <w:name w:val="Comment Text Char"/>
    <w:basedOn w:val="DefaultParagraphFont"/>
    <w:link w:val="CommentText"/>
    <w:uiPriority w:val="99"/>
    <w:rsid w:val="00995865"/>
    <w:rPr>
      <w:sz w:val="20"/>
      <w:szCs w:val="20"/>
      <w:lang w:val="es-CR"/>
    </w:rPr>
  </w:style>
  <w:style w:type="paragraph" w:styleId="CommentSubject">
    <w:name w:val="annotation subject"/>
    <w:basedOn w:val="CommentText"/>
    <w:next w:val="CommentText"/>
    <w:link w:val="CommentSubjectChar"/>
    <w:uiPriority w:val="99"/>
    <w:semiHidden/>
    <w:unhideWhenUsed/>
    <w:rsid w:val="00995865"/>
    <w:rPr>
      <w:b/>
      <w:bCs/>
    </w:rPr>
  </w:style>
  <w:style w:type="character" w:customStyle="1" w:styleId="CommentSubjectChar">
    <w:name w:val="Comment Subject Char"/>
    <w:basedOn w:val="CommentTextChar"/>
    <w:link w:val="CommentSubject"/>
    <w:uiPriority w:val="99"/>
    <w:semiHidden/>
    <w:rsid w:val="00995865"/>
    <w:rPr>
      <w:b/>
      <w:bCs/>
      <w:sz w:val="20"/>
      <w:szCs w:val="20"/>
      <w:lang w:val="es-CR"/>
    </w:rPr>
  </w:style>
  <w:style w:type="paragraph" w:styleId="BalloonText">
    <w:name w:val="Balloon Text"/>
    <w:basedOn w:val="Normal"/>
    <w:link w:val="BalloonTextChar"/>
    <w:uiPriority w:val="99"/>
    <w:semiHidden/>
    <w:unhideWhenUsed/>
    <w:rsid w:val="00995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65"/>
    <w:rPr>
      <w:rFonts w:ascii="Tahoma" w:hAnsi="Tahoma" w:cs="Tahoma"/>
      <w:sz w:val="16"/>
      <w:szCs w:val="16"/>
      <w:lang w:val="es-CR"/>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6A0BE5"/>
    <w:pPr>
      <w:spacing w:after="0" w:line="240" w:lineRule="auto"/>
    </w:pPr>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qFormat/>
    <w:rsid w:val="006A0BE5"/>
    <w:rPr>
      <w:sz w:val="20"/>
      <w:szCs w:val="20"/>
      <w:lang w:val="es-CR"/>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6A0BE5"/>
    <w:rPr>
      <w:vertAlign w:val="superscript"/>
    </w:rPr>
  </w:style>
  <w:style w:type="character" w:styleId="Strong">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uiPriority w:val="99"/>
    <w:locked/>
    <w:rsid w:val="006B279B"/>
    <w:rPr>
      <w:rFonts w:ascii="Verdana" w:hAnsi="Verdana" w:cs="Verdana"/>
      <w:sz w:val="16"/>
      <w:szCs w:val="16"/>
      <w:lang w:val="es-ES_tradnl" w:eastAsia="es-ES"/>
    </w:rPr>
  </w:style>
  <w:style w:type="paragraph" w:styleId="Header">
    <w:name w:val="header"/>
    <w:basedOn w:val="Normal"/>
    <w:link w:val="HeaderChar"/>
    <w:uiPriority w:val="99"/>
    <w:unhideWhenUsed/>
    <w:rsid w:val="007B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AF"/>
    <w:rPr>
      <w:lang w:val="es-CR"/>
    </w:rPr>
  </w:style>
  <w:style w:type="paragraph" w:styleId="Footer">
    <w:name w:val="footer"/>
    <w:basedOn w:val="Normal"/>
    <w:link w:val="FooterChar"/>
    <w:uiPriority w:val="99"/>
    <w:unhideWhenUsed/>
    <w:rsid w:val="007B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Heading2Char">
    <w:name w:val="Heading 2 Char"/>
    <w:basedOn w:val="DefaultParagraphFont"/>
    <w:link w:val="Heading2"/>
    <w:uiPriority w:val="9"/>
    <w:rsid w:val="00DF0EC3"/>
    <w:rPr>
      <w:rFonts w:asciiTheme="majorHAnsi" w:eastAsiaTheme="majorEastAsia" w:hAnsiTheme="majorHAnsi" w:cstheme="majorBidi"/>
      <w:color w:val="365F91" w:themeColor="accent1" w:themeShade="BF"/>
      <w:sz w:val="26"/>
      <w:szCs w:val="26"/>
      <w:lang w:val="es-CR"/>
    </w:rPr>
  </w:style>
  <w:style w:type="character" w:styleId="PageNumber">
    <w:name w:val="page number"/>
    <w:basedOn w:val="DefaultParagraphFont"/>
    <w:uiPriority w:val="99"/>
    <w:semiHidden/>
    <w:unhideWhenUsed/>
    <w:rsid w:val="00205583"/>
  </w:style>
  <w:style w:type="character" w:customStyle="1" w:styleId="Heading1Char">
    <w:name w:val="Heading 1 Char"/>
    <w:basedOn w:val="DefaultParagraphFont"/>
    <w:link w:val="Heading1"/>
    <w:uiPriority w:val="9"/>
    <w:rsid w:val="006637F7"/>
    <w:rPr>
      <w:rFonts w:ascii="Verdana" w:eastAsia="Calibri" w:hAnsi="Verdana" w:cs="Verdana"/>
      <w:b/>
      <w:bCs/>
      <w:i/>
      <w:iCs/>
      <w:sz w:val="20"/>
      <w:szCs w:val="20"/>
      <w:lang w:val="es-CR"/>
    </w:rPr>
  </w:style>
  <w:style w:type="character" w:styleId="Hyperlink">
    <w:name w:val="Hyperlink"/>
    <w:basedOn w:val="DefaultParagraphFont"/>
    <w:uiPriority w:val="99"/>
    <w:unhideWhenUsed/>
    <w:rsid w:val="00E53AA4"/>
    <w:rPr>
      <w:color w:val="0000FF" w:themeColor="hyperlink"/>
      <w:u w:val="single"/>
    </w:rPr>
  </w:style>
  <w:style w:type="character" w:styleId="FollowedHyperlink">
    <w:name w:val="FollowedHyperlink"/>
    <w:basedOn w:val="DefaultParagraphFont"/>
    <w:uiPriority w:val="99"/>
    <w:semiHidden/>
    <w:unhideWhenUsed/>
    <w:rsid w:val="00E53AA4"/>
    <w:rPr>
      <w:color w:val="800080" w:themeColor="followedHyperlink"/>
      <w:u w:val="single"/>
    </w:rPr>
  </w:style>
  <w:style w:type="character" w:styleId="LineNumber">
    <w:name w:val="line number"/>
    <w:basedOn w:val="DefaultParagraphFont"/>
    <w:uiPriority w:val="99"/>
    <w:semiHidden/>
    <w:unhideWhenUsed/>
    <w:rsid w:val="00E6602E"/>
  </w:style>
  <w:style w:type="paragraph" w:styleId="Title">
    <w:name w:val="Title"/>
    <w:basedOn w:val="Normal"/>
    <w:link w:val="TitleChar"/>
    <w:uiPriority w:val="99"/>
    <w:qFormat/>
    <w:rsid w:val="00796E22"/>
    <w:pPr>
      <w:spacing w:after="0" w:line="240" w:lineRule="auto"/>
      <w:jc w:val="center"/>
    </w:pPr>
    <w:rPr>
      <w:rFonts w:ascii="Garamond" w:eastAsia="Times New Roman" w:hAnsi="Garamond" w:cs="Times New Roman"/>
      <w:b/>
      <w:sz w:val="32"/>
      <w:szCs w:val="20"/>
      <w:lang w:val="es-ES_tradnl" w:eastAsia="es-ES"/>
    </w:rPr>
  </w:style>
  <w:style w:type="character" w:customStyle="1" w:styleId="TitleChar">
    <w:name w:val="Title Char"/>
    <w:basedOn w:val="DefaultParagraphFont"/>
    <w:link w:val="Title"/>
    <w:uiPriority w:val="99"/>
    <w:rsid w:val="00796E22"/>
    <w:rPr>
      <w:rFonts w:ascii="Garamond" w:eastAsia="Times New Roman" w:hAnsi="Garamond" w:cs="Times New Roman"/>
      <w:b/>
      <w:sz w:val="32"/>
      <w:szCs w:val="20"/>
      <w:lang w:val="es-ES_tradnl" w:eastAsia="es-ES"/>
    </w:rPr>
  </w:style>
  <w:style w:type="character" w:styleId="SubtleEmphasis">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4"/>
      </w:numPr>
    </w:pPr>
  </w:style>
  <w:style w:type="character" w:customStyle="1" w:styleId="ListParagraphChar">
    <w:name w:val="List Paragraph Char"/>
    <w:aliases w:val="Footnote Char,List Paragraph2 Char,List Paragraph1 Char,Lista vistosa - Énfasis 11 Char"/>
    <w:link w:val="ListParagraph"/>
    <w:uiPriority w:val="99"/>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C33F93"/>
    <w:pPr>
      <w:spacing w:after="0" w:line="240" w:lineRule="auto"/>
      <w:jc w:val="both"/>
    </w:pPr>
    <w:rPr>
      <w:vertAlign w:val="superscript"/>
      <w:lang w:val="en-US"/>
    </w:rPr>
  </w:style>
  <w:style w:type="paragraph" w:styleId="NoSpacing">
    <w:name w:val="No Spacing"/>
    <w:basedOn w:val="ListParagraph"/>
    <w:uiPriority w:val="1"/>
    <w:qFormat/>
    <w:rsid w:val="00F81ADC"/>
    <w:pPr>
      <w:widowControl w:val="0"/>
      <w:numPr>
        <w:numId w:val="2"/>
      </w:numPr>
      <w:tabs>
        <w:tab w:val="left" w:pos="0"/>
        <w:tab w:val="left" w:pos="567"/>
      </w:tabs>
      <w:autoSpaceDE w:val="0"/>
      <w:autoSpaceDN w:val="0"/>
      <w:adjustRightInd w:val="0"/>
      <w:spacing w:after="0" w:line="240" w:lineRule="auto"/>
      <w:ind w:left="0" w:right="22" w:firstLine="0"/>
      <w:jc w:val="both"/>
    </w:pPr>
    <w:rPr>
      <w:rFonts w:ascii="Verdana" w:hAnsi="Verdana"/>
      <w:bCs/>
      <w:iCs/>
      <w:sz w:val="20"/>
      <w:szCs w:val="20"/>
    </w:rPr>
  </w:style>
  <w:style w:type="paragraph" w:styleId="HTMLPreformatted">
    <w:name w:val="HTML Preformatted"/>
    <w:basedOn w:val="Normal"/>
    <w:link w:val="HTMLPreformattedChar"/>
    <w:uiPriority w:val="99"/>
    <w:unhideWhenUsed/>
    <w:rsid w:val="00CE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PreformattedChar">
    <w:name w:val="HTML Preformatted Char"/>
    <w:basedOn w:val="DefaultParagraphFont"/>
    <w:link w:val="HTMLPreformatted"/>
    <w:uiPriority w:val="99"/>
    <w:rsid w:val="00CE16DE"/>
    <w:rPr>
      <w:rFonts w:ascii="Courier New" w:eastAsia="Times New Roman" w:hAnsi="Courier New" w:cs="Courier New"/>
      <w:sz w:val="20"/>
      <w:szCs w:val="20"/>
      <w:lang w:val="es-CR" w:eastAsia="es-CR"/>
    </w:rPr>
  </w:style>
  <w:style w:type="paragraph" w:customStyle="1" w:styleId="Default">
    <w:name w:val="Default"/>
    <w:rsid w:val="00E14C6B"/>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BodyText">
    <w:name w:val="Body Text"/>
    <w:basedOn w:val="Normal"/>
    <w:link w:val="BodyTextChar"/>
    <w:uiPriority w:val="99"/>
    <w:unhideWhenUsed/>
    <w:rsid w:val="00E32B70"/>
    <w:pPr>
      <w:tabs>
        <w:tab w:val="left" w:pos="567"/>
      </w:tabs>
      <w:spacing w:after="0" w:line="240" w:lineRule="auto"/>
      <w:jc w:val="both"/>
    </w:pPr>
    <w:rPr>
      <w:rFonts w:ascii="Verdana" w:hAnsi="Verdana"/>
      <w:sz w:val="20"/>
      <w:szCs w:val="20"/>
    </w:rPr>
  </w:style>
  <w:style w:type="character" w:customStyle="1" w:styleId="BodyTextChar">
    <w:name w:val="Body Text Char"/>
    <w:basedOn w:val="DefaultParagraphFont"/>
    <w:link w:val="BodyText"/>
    <w:uiPriority w:val="99"/>
    <w:rsid w:val="00E32B70"/>
    <w:rPr>
      <w:rFonts w:ascii="Verdana" w:hAnsi="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336998730">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6069">
      <w:bodyDiv w:val="1"/>
      <w:marLeft w:val="0"/>
      <w:marRight w:val="0"/>
      <w:marTop w:val="0"/>
      <w:marBottom w:val="0"/>
      <w:divBdr>
        <w:top w:val="none" w:sz="0" w:space="0" w:color="auto"/>
        <w:left w:val="none" w:sz="0" w:space="0" w:color="auto"/>
        <w:bottom w:val="none" w:sz="0" w:space="0" w:color="auto"/>
        <w:right w:val="none" w:sz="0" w:space="0" w:color="auto"/>
      </w:divBdr>
    </w:div>
    <w:div w:id="519318760">
      <w:bodyDiv w:val="1"/>
      <w:marLeft w:val="0"/>
      <w:marRight w:val="0"/>
      <w:marTop w:val="0"/>
      <w:marBottom w:val="0"/>
      <w:divBdr>
        <w:top w:val="none" w:sz="0" w:space="0" w:color="auto"/>
        <w:left w:val="none" w:sz="0" w:space="0" w:color="auto"/>
        <w:bottom w:val="none" w:sz="0" w:space="0" w:color="auto"/>
        <w:right w:val="none" w:sz="0" w:space="0" w:color="auto"/>
      </w:divBdr>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580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760">
      <w:bodyDiv w:val="1"/>
      <w:marLeft w:val="0"/>
      <w:marRight w:val="0"/>
      <w:marTop w:val="0"/>
      <w:marBottom w:val="0"/>
      <w:divBdr>
        <w:top w:val="none" w:sz="0" w:space="0" w:color="auto"/>
        <w:left w:val="none" w:sz="0" w:space="0" w:color="auto"/>
        <w:bottom w:val="none" w:sz="0" w:space="0" w:color="auto"/>
        <w:right w:val="none" w:sz="0" w:space="0" w:color="auto"/>
      </w:divBdr>
    </w:div>
    <w:div w:id="1080172794">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227302377">
      <w:bodyDiv w:val="1"/>
      <w:marLeft w:val="0"/>
      <w:marRight w:val="0"/>
      <w:marTop w:val="0"/>
      <w:marBottom w:val="0"/>
      <w:divBdr>
        <w:top w:val="none" w:sz="0" w:space="0" w:color="auto"/>
        <w:left w:val="none" w:sz="0" w:space="0" w:color="auto"/>
        <w:bottom w:val="none" w:sz="0" w:space="0" w:color="auto"/>
        <w:right w:val="none" w:sz="0" w:space="0" w:color="auto"/>
      </w:divBdr>
    </w:div>
    <w:div w:id="1294603572">
      <w:bodyDiv w:val="1"/>
      <w:marLeft w:val="0"/>
      <w:marRight w:val="0"/>
      <w:marTop w:val="0"/>
      <w:marBottom w:val="0"/>
      <w:divBdr>
        <w:top w:val="none" w:sz="0" w:space="0" w:color="auto"/>
        <w:left w:val="none" w:sz="0" w:space="0" w:color="auto"/>
        <w:bottom w:val="none" w:sz="0" w:space="0" w:color="auto"/>
        <w:right w:val="none" w:sz="0" w:space="0" w:color="auto"/>
      </w:divBdr>
    </w:div>
    <w:div w:id="132147026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435">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885">
      <w:bodyDiv w:val="1"/>
      <w:marLeft w:val="0"/>
      <w:marRight w:val="0"/>
      <w:marTop w:val="0"/>
      <w:marBottom w:val="0"/>
      <w:divBdr>
        <w:top w:val="none" w:sz="0" w:space="0" w:color="auto"/>
        <w:left w:val="none" w:sz="0" w:space="0" w:color="auto"/>
        <w:bottom w:val="none" w:sz="0" w:space="0" w:color="auto"/>
        <w:right w:val="none" w:sz="0" w:space="0" w:color="auto"/>
      </w:divBdr>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5845">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816557841">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0951">
      <w:bodyDiv w:val="1"/>
      <w:marLeft w:val="0"/>
      <w:marRight w:val="0"/>
      <w:marTop w:val="0"/>
      <w:marBottom w:val="0"/>
      <w:divBdr>
        <w:top w:val="none" w:sz="0" w:space="0" w:color="auto"/>
        <w:left w:val="none" w:sz="0" w:space="0" w:color="auto"/>
        <w:bottom w:val="none" w:sz="0" w:space="0" w:color="auto"/>
        <w:right w:val="none" w:sz="0" w:space="0" w:color="auto"/>
      </w:divBdr>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0EA6-558B-4C46-B5D0-88693DA7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5328</Words>
  <Characters>30376</Characters>
  <Application>Microsoft Office Word</Application>
  <DocSecurity>4</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2018-12-17T23:02:00Z</cp:lastPrinted>
  <dcterms:created xsi:type="dcterms:W3CDTF">2018-12-17T23:03:00Z</dcterms:created>
  <dcterms:modified xsi:type="dcterms:W3CDTF">2018-12-17T23:03:00Z</dcterms:modified>
</cp:coreProperties>
</file>