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48" w:rsidRDefault="00723548" w:rsidP="00723548">
      <w:pPr>
        <w:ind w:right="18"/>
        <w:jc w:val="both"/>
        <w:rPr>
          <w:rFonts w:ascii="Verdana" w:hAnsi="Verdana" w:cs="Verdana"/>
          <w:b/>
          <w:bCs/>
          <w:sz w:val="20"/>
          <w:szCs w:val="20"/>
        </w:rPr>
      </w:pPr>
    </w:p>
    <w:p w:rsidR="00723548" w:rsidRDefault="00723548" w:rsidP="00723548">
      <w:pPr>
        <w:pStyle w:val="Title"/>
        <w:ind w:right="18"/>
        <w:jc w:val="left"/>
        <w:rPr>
          <w:rFonts w:ascii="Verdana" w:hAnsi="Verdana" w:cs="Verdana"/>
          <w:sz w:val="20"/>
          <w:szCs w:val="20"/>
        </w:rPr>
      </w:pPr>
    </w:p>
    <w:p w:rsidR="00BE6952" w:rsidRDefault="00BE6952" w:rsidP="00723548">
      <w:pPr>
        <w:pStyle w:val="Title"/>
        <w:ind w:right="18"/>
        <w:jc w:val="left"/>
        <w:rPr>
          <w:rFonts w:ascii="Verdana" w:hAnsi="Verdana" w:cs="Verdana"/>
          <w:sz w:val="20"/>
          <w:szCs w:val="20"/>
        </w:rPr>
      </w:pPr>
    </w:p>
    <w:p w:rsidR="00BE6952" w:rsidRDefault="00BE6952" w:rsidP="00723548">
      <w:pPr>
        <w:pStyle w:val="Title"/>
        <w:ind w:right="18"/>
        <w:jc w:val="left"/>
        <w:rPr>
          <w:rFonts w:ascii="Verdana" w:hAnsi="Verdana" w:cs="Verdana"/>
          <w:sz w:val="20"/>
          <w:szCs w:val="20"/>
        </w:rPr>
      </w:pPr>
    </w:p>
    <w:p w:rsidR="00BE6952" w:rsidRDefault="00BE6952" w:rsidP="00723548">
      <w:pPr>
        <w:pStyle w:val="Title"/>
        <w:ind w:right="18"/>
        <w:jc w:val="left"/>
        <w:rPr>
          <w:rFonts w:ascii="Verdana" w:hAnsi="Verdana" w:cs="Verdana"/>
          <w:sz w:val="20"/>
          <w:szCs w:val="20"/>
        </w:rPr>
      </w:pPr>
    </w:p>
    <w:p w:rsidR="00BE6952" w:rsidRDefault="00BE6952" w:rsidP="00723548">
      <w:pPr>
        <w:pStyle w:val="Title"/>
        <w:ind w:right="18"/>
        <w:jc w:val="left"/>
        <w:rPr>
          <w:rFonts w:ascii="Verdana" w:hAnsi="Verdana" w:cs="Verdana"/>
          <w:sz w:val="20"/>
          <w:szCs w:val="20"/>
        </w:rPr>
      </w:pPr>
    </w:p>
    <w:p w:rsidR="00723548" w:rsidRPr="005C641D" w:rsidRDefault="00723548" w:rsidP="00723548">
      <w:pPr>
        <w:pStyle w:val="Title"/>
        <w:ind w:right="18"/>
        <w:rPr>
          <w:rFonts w:ascii="Verdana" w:hAnsi="Verdana" w:cs="Verdana"/>
          <w:sz w:val="20"/>
          <w:szCs w:val="20"/>
        </w:rPr>
      </w:pPr>
      <w:r w:rsidRPr="005C641D">
        <w:rPr>
          <w:rFonts w:ascii="Verdana" w:hAnsi="Verdana" w:cs="Verdana"/>
          <w:sz w:val="20"/>
          <w:szCs w:val="20"/>
        </w:rPr>
        <w:t xml:space="preserve">RESOLUCIÓN DE LA </w:t>
      </w:r>
    </w:p>
    <w:p w:rsidR="00723548" w:rsidRPr="005C641D" w:rsidRDefault="00723548" w:rsidP="00723548">
      <w:pPr>
        <w:pStyle w:val="Title"/>
        <w:ind w:right="18"/>
        <w:rPr>
          <w:rFonts w:ascii="Verdana" w:hAnsi="Verdana" w:cs="Verdana"/>
          <w:sz w:val="20"/>
          <w:szCs w:val="20"/>
        </w:rPr>
      </w:pPr>
      <w:r w:rsidRPr="005C641D">
        <w:rPr>
          <w:rFonts w:ascii="Verdana" w:hAnsi="Verdana" w:cs="Verdana"/>
          <w:sz w:val="20"/>
          <w:szCs w:val="20"/>
        </w:rPr>
        <w:t>CORTE INTERAMERICANA DE DERECHOS HUMANOS</w:t>
      </w:r>
      <w:r>
        <w:rPr>
          <w:rStyle w:val="FootnoteReference"/>
          <w:rFonts w:ascii="Verdana" w:hAnsi="Verdana" w:cs="Verdana"/>
          <w:sz w:val="20"/>
          <w:szCs w:val="20"/>
        </w:rPr>
        <w:footnoteReference w:customMarkFollows="1" w:id="1"/>
        <w:t>*</w:t>
      </w:r>
    </w:p>
    <w:p w:rsidR="003A7A68" w:rsidRPr="005C641D" w:rsidRDefault="003A7A68" w:rsidP="00723548">
      <w:pPr>
        <w:pStyle w:val="Title"/>
        <w:ind w:right="18"/>
        <w:jc w:val="left"/>
        <w:rPr>
          <w:rFonts w:ascii="Verdana" w:hAnsi="Verdana" w:cs="Verdana"/>
          <w:sz w:val="20"/>
          <w:szCs w:val="20"/>
        </w:rPr>
      </w:pPr>
    </w:p>
    <w:p w:rsidR="00723548" w:rsidRPr="005C641D" w:rsidRDefault="00E90413" w:rsidP="00723548">
      <w:pPr>
        <w:pStyle w:val="Title"/>
        <w:ind w:right="18"/>
        <w:rPr>
          <w:rFonts w:ascii="Verdana" w:hAnsi="Verdana" w:cs="Verdana"/>
          <w:sz w:val="20"/>
          <w:szCs w:val="20"/>
        </w:rPr>
      </w:pPr>
      <w:r>
        <w:rPr>
          <w:rFonts w:ascii="Verdana" w:hAnsi="Verdana" w:cs="Verdana"/>
          <w:sz w:val="20"/>
          <w:szCs w:val="20"/>
        </w:rPr>
        <w:t>DE 20</w:t>
      </w:r>
      <w:r w:rsidR="00723548" w:rsidRPr="00B94F59">
        <w:rPr>
          <w:rFonts w:ascii="Verdana" w:hAnsi="Verdana" w:cs="Verdana"/>
          <w:sz w:val="20"/>
          <w:szCs w:val="20"/>
        </w:rPr>
        <w:t xml:space="preserve"> DE</w:t>
      </w:r>
      <w:r w:rsidR="00723548">
        <w:rPr>
          <w:rFonts w:ascii="Verdana" w:hAnsi="Verdana" w:cs="Verdana"/>
          <w:sz w:val="20"/>
          <w:szCs w:val="20"/>
        </w:rPr>
        <w:t xml:space="preserve"> AGOSTO DE 2013</w:t>
      </w:r>
    </w:p>
    <w:p w:rsidR="003A7A68" w:rsidRPr="005C641D" w:rsidRDefault="003A7A68" w:rsidP="00723548">
      <w:pPr>
        <w:pStyle w:val="Title"/>
        <w:ind w:right="18"/>
        <w:jc w:val="left"/>
        <w:rPr>
          <w:rFonts w:ascii="Verdana" w:hAnsi="Verdana" w:cs="Verdana"/>
          <w:sz w:val="20"/>
          <w:szCs w:val="20"/>
        </w:rPr>
      </w:pPr>
    </w:p>
    <w:p w:rsidR="00723548" w:rsidRDefault="00723548" w:rsidP="00723548">
      <w:pPr>
        <w:ind w:right="18"/>
        <w:jc w:val="center"/>
        <w:rPr>
          <w:rFonts w:ascii="Verdana" w:hAnsi="Verdana" w:cs="Verdana"/>
          <w:b/>
          <w:bCs/>
          <w:smallCaps/>
          <w:sz w:val="20"/>
          <w:szCs w:val="20"/>
        </w:rPr>
      </w:pPr>
      <w:r w:rsidRPr="005C641D">
        <w:rPr>
          <w:rFonts w:ascii="Verdana" w:hAnsi="Verdana" w:cs="Verdana"/>
          <w:b/>
          <w:bCs/>
          <w:sz w:val="20"/>
          <w:szCs w:val="20"/>
        </w:rPr>
        <w:t xml:space="preserve">CASO </w:t>
      </w:r>
      <w:r>
        <w:rPr>
          <w:rFonts w:ascii="Verdana" w:hAnsi="Verdana" w:cs="Verdana"/>
          <w:b/>
          <w:bCs/>
          <w:sz w:val="20"/>
          <w:szCs w:val="20"/>
        </w:rPr>
        <w:t xml:space="preserve">BREWER CARIAS </w:t>
      </w:r>
      <w:r w:rsidRPr="005C641D">
        <w:rPr>
          <w:rFonts w:ascii="Verdana" w:hAnsi="Verdana" w:cs="Verdana"/>
          <w:b/>
          <w:bCs/>
          <w:i/>
          <w:iCs/>
          <w:sz w:val="20"/>
          <w:szCs w:val="20"/>
        </w:rPr>
        <w:t xml:space="preserve">VS. </w:t>
      </w:r>
      <w:r>
        <w:rPr>
          <w:rFonts w:ascii="Verdana" w:hAnsi="Verdana" w:cs="Verdana"/>
          <w:b/>
          <w:bCs/>
          <w:sz w:val="20"/>
          <w:szCs w:val="20"/>
        </w:rPr>
        <w:t>VENEZUELA</w:t>
      </w:r>
    </w:p>
    <w:p w:rsidR="00723548" w:rsidRDefault="00723548" w:rsidP="00723548">
      <w:pPr>
        <w:ind w:right="18"/>
        <w:jc w:val="both"/>
        <w:rPr>
          <w:rFonts w:ascii="Verdana" w:hAnsi="Verdana" w:cs="Verdana"/>
          <w:b/>
          <w:bCs/>
          <w:smallCaps/>
          <w:sz w:val="20"/>
          <w:szCs w:val="20"/>
        </w:rPr>
      </w:pPr>
    </w:p>
    <w:p w:rsidR="003A7A68" w:rsidRPr="005C641D" w:rsidRDefault="003A7A68" w:rsidP="00723548">
      <w:pPr>
        <w:ind w:right="18"/>
        <w:jc w:val="both"/>
        <w:rPr>
          <w:rFonts w:ascii="Verdana" w:hAnsi="Verdana" w:cs="Verdana"/>
          <w:b/>
          <w:bCs/>
          <w:smallCaps/>
          <w:sz w:val="20"/>
          <w:szCs w:val="20"/>
        </w:rPr>
      </w:pPr>
    </w:p>
    <w:p w:rsidR="00723548" w:rsidRPr="005C641D" w:rsidRDefault="00723548" w:rsidP="00723548">
      <w:pPr>
        <w:ind w:right="18"/>
        <w:jc w:val="both"/>
        <w:rPr>
          <w:rFonts w:ascii="Verdana" w:hAnsi="Verdana" w:cs="Verdana"/>
          <w:b/>
          <w:bCs/>
          <w:smallCaps/>
          <w:sz w:val="20"/>
          <w:szCs w:val="20"/>
        </w:rPr>
      </w:pPr>
      <w:r w:rsidRPr="005C641D">
        <w:rPr>
          <w:rFonts w:ascii="Verdana" w:hAnsi="Verdana" w:cs="Verdana"/>
          <w:b/>
          <w:bCs/>
          <w:smallCaps/>
          <w:sz w:val="20"/>
          <w:szCs w:val="20"/>
        </w:rPr>
        <w:t>VISTO:</w:t>
      </w:r>
    </w:p>
    <w:p w:rsidR="00723548" w:rsidRPr="005C641D" w:rsidRDefault="00723548" w:rsidP="00723548">
      <w:pPr>
        <w:autoSpaceDE w:val="0"/>
        <w:autoSpaceDN w:val="0"/>
        <w:adjustRightInd w:val="0"/>
        <w:ind w:right="18"/>
        <w:jc w:val="both"/>
        <w:rPr>
          <w:rFonts w:ascii="Verdana" w:hAnsi="Verdana" w:cs="Verdana"/>
          <w:sz w:val="20"/>
          <w:szCs w:val="20"/>
        </w:rPr>
      </w:pPr>
    </w:p>
    <w:p w:rsidR="00723548" w:rsidRPr="009655D9" w:rsidRDefault="00723548" w:rsidP="00723548">
      <w:pPr>
        <w:numPr>
          <w:ilvl w:val="0"/>
          <w:numId w:val="2"/>
        </w:numPr>
        <w:tabs>
          <w:tab w:val="clear" w:pos="1247"/>
          <w:tab w:val="num" w:pos="720"/>
        </w:tabs>
        <w:autoSpaceDE w:val="0"/>
        <w:autoSpaceDN w:val="0"/>
        <w:adjustRightInd w:val="0"/>
        <w:ind w:right="18"/>
        <w:jc w:val="both"/>
        <w:rPr>
          <w:rFonts w:ascii="Verdana" w:hAnsi="Verdana" w:cs="Verdana"/>
          <w:sz w:val="20"/>
          <w:szCs w:val="20"/>
        </w:rPr>
      </w:pPr>
      <w:r w:rsidRPr="005C641D">
        <w:rPr>
          <w:rFonts w:ascii="Verdana" w:hAnsi="Verdana" w:cs="Verdana"/>
          <w:sz w:val="20"/>
          <w:szCs w:val="20"/>
        </w:rPr>
        <w:t>La Resolución del Presidente de la Corte Interamericana de Derechos Humanos (en adelante “la Corte Interamericana”</w:t>
      </w:r>
      <w:r>
        <w:rPr>
          <w:rFonts w:ascii="Verdana" w:hAnsi="Verdana" w:cs="Verdana"/>
          <w:sz w:val="20"/>
          <w:szCs w:val="20"/>
        </w:rPr>
        <w:t>,</w:t>
      </w:r>
      <w:r w:rsidRPr="00DD2544">
        <w:rPr>
          <w:rFonts w:ascii="Verdana" w:hAnsi="Verdana" w:cs="Verdana"/>
          <w:sz w:val="20"/>
          <w:szCs w:val="20"/>
        </w:rPr>
        <w:t xml:space="preserve"> </w:t>
      </w:r>
      <w:r w:rsidRPr="005C641D">
        <w:rPr>
          <w:rFonts w:ascii="Verdana" w:hAnsi="Verdana" w:cs="Verdana"/>
          <w:sz w:val="20"/>
          <w:szCs w:val="20"/>
        </w:rPr>
        <w:t xml:space="preserve">“la Corte”, </w:t>
      </w:r>
      <w:r>
        <w:rPr>
          <w:rFonts w:ascii="Verdana" w:hAnsi="Verdana" w:cs="Verdana"/>
          <w:sz w:val="20"/>
          <w:szCs w:val="20"/>
        </w:rPr>
        <w:t>o “el Tribunal”) de 31 de julio de 2013,</w:t>
      </w:r>
      <w:r w:rsidRPr="005C641D">
        <w:rPr>
          <w:rFonts w:ascii="Verdana" w:hAnsi="Verdana" w:cs="Verdana"/>
          <w:sz w:val="20"/>
          <w:szCs w:val="20"/>
        </w:rPr>
        <w:t xml:space="preserve"> mediante la cual, </w:t>
      </w:r>
      <w:r w:rsidRPr="005C641D">
        <w:rPr>
          <w:rFonts w:ascii="Verdana" w:hAnsi="Verdana" w:cs="Verdana"/>
          <w:i/>
          <w:iCs/>
          <w:sz w:val="20"/>
          <w:szCs w:val="20"/>
        </w:rPr>
        <w:t>inter alia</w:t>
      </w:r>
      <w:r w:rsidRPr="005C641D">
        <w:rPr>
          <w:rFonts w:ascii="Verdana" w:hAnsi="Verdana" w:cs="Verdana"/>
          <w:sz w:val="20"/>
          <w:szCs w:val="20"/>
        </w:rPr>
        <w:t xml:space="preserve">, </w:t>
      </w:r>
      <w:r w:rsidRPr="009655D9">
        <w:rPr>
          <w:rFonts w:ascii="Verdana" w:hAnsi="Verdana" w:cs="Verdana"/>
          <w:sz w:val="20"/>
          <w:szCs w:val="20"/>
        </w:rPr>
        <w:t xml:space="preserve">ordenó la recepción </w:t>
      </w:r>
      <w:r>
        <w:rPr>
          <w:rFonts w:ascii="Verdana" w:hAnsi="Verdana" w:cs="Verdana"/>
          <w:sz w:val="20"/>
          <w:szCs w:val="20"/>
        </w:rPr>
        <w:t xml:space="preserve">de declaraciones testimoniales y periciales </w:t>
      </w:r>
      <w:r w:rsidRPr="009655D9">
        <w:rPr>
          <w:rFonts w:ascii="Verdana" w:hAnsi="Verdana" w:cs="Verdana"/>
          <w:sz w:val="20"/>
          <w:szCs w:val="20"/>
        </w:rPr>
        <w:t>mediante affidávits</w:t>
      </w:r>
      <w:r>
        <w:rPr>
          <w:rFonts w:ascii="Verdana" w:hAnsi="Verdana" w:cs="Verdana"/>
          <w:i/>
          <w:iCs/>
          <w:sz w:val="20"/>
          <w:szCs w:val="20"/>
        </w:rPr>
        <w:t>,</w:t>
      </w:r>
      <w:r w:rsidRPr="009655D9">
        <w:rPr>
          <w:rFonts w:ascii="Verdana" w:hAnsi="Verdana" w:cs="Verdana"/>
          <w:sz w:val="20"/>
          <w:szCs w:val="20"/>
        </w:rPr>
        <w:t xml:space="preserve"> y convocó a la Comisión Interamericana de Derechos Humanos (en adelante también “la Comisión Interamericana” o “la Comisió</w:t>
      </w:r>
      <w:r>
        <w:rPr>
          <w:rFonts w:ascii="Verdana" w:hAnsi="Verdana" w:cs="Verdana"/>
          <w:sz w:val="20"/>
          <w:szCs w:val="20"/>
        </w:rPr>
        <w:t>n”), a los representantes de la presunta víctima</w:t>
      </w:r>
      <w:r w:rsidRPr="009655D9">
        <w:rPr>
          <w:rFonts w:ascii="Verdana" w:hAnsi="Verdana" w:cs="Verdana"/>
          <w:sz w:val="20"/>
          <w:szCs w:val="20"/>
        </w:rPr>
        <w:t xml:space="preserve"> (en adelante también “los representantes”) y a </w:t>
      </w:r>
      <w:r>
        <w:rPr>
          <w:rFonts w:ascii="Verdana" w:hAnsi="Verdana" w:cs="Verdana"/>
          <w:sz w:val="20"/>
          <w:szCs w:val="20"/>
          <w:lang w:val="es-ES"/>
        </w:rPr>
        <w:t xml:space="preserve">la República Bolivariana de Venezuela (en adelante “el Estado” o “Venezuela”) </w:t>
      </w:r>
      <w:r w:rsidRPr="009655D9">
        <w:rPr>
          <w:rFonts w:ascii="Verdana" w:hAnsi="Verdana" w:cs="Verdana"/>
          <w:sz w:val="20"/>
          <w:szCs w:val="20"/>
        </w:rPr>
        <w:t xml:space="preserve">a una audiencia pública para recibir sus alegatos finales orales sobre </w:t>
      </w:r>
      <w:r>
        <w:rPr>
          <w:rFonts w:ascii="Verdana" w:hAnsi="Verdana" w:cs="Verdana"/>
          <w:sz w:val="20"/>
          <w:szCs w:val="20"/>
        </w:rPr>
        <w:t xml:space="preserve">la excepción preliminar y eventuales </w:t>
      </w:r>
      <w:r w:rsidRPr="009655D9">
        <w:rPr>
          <w:rFonts w:ascii="Verdana" w:hAnsi="Verdana" w:cs="Verdana"/>
          <w:sz w:val="20"/>
          <w:szCs w:val="20"/>
        </w:rPr>
        <w:t>fondo</w:t>
      </w:r>
      <w:r>
        <w:rPr>
          <w:rFonts w:ascii="Verdana" w:hAnsi="Verdana" w:cs="Verdana"/>
          <w:sz w:val="20"/>
          <w:szCs w:val="20"/>
        </w:rPr>
        <w:t>,</w:t>
      </w:r>
      <w:r w:rsidRPr="009655D9">
        <w:rPr>
          <w:rFonts w:ascii="Verdana" w:hAnsi="Verdana" w:cs="Verdana"/>
          <w:sz w:val="20"/>
          <w:szCs w:val="20"/>
        </w:rPr>
        <w:t xml:space="preserve"> reparaciones y costas en el presente caso, así como </w:t>
      </w:r>
      <w:r>
        <w:rPr>
          <w:rFonts w:ascii="Verdana" w:hAnsi="Verdana" w:cs="Verdana"/>
          <w:sz w:val="20"/>
          <w:szCs w:val="20"/>
        </w:rPr>
        <w:t>también para recibir en dicha audiencia las declaraciones de la presunta víctima, cinco testigos y dos peritos.</w:t>
      </w:r>
    </w:p>
    <w:p w:rsidR="00723548" w:rsidRPr="004F6B7F" w:rsidRDefault="00723548" w:rsidP="00723548">
      <w:pPr>
        <w:autoSpaceDE w:val="0"/>
        <w:autoSpaceDN w:val="0"/>
        <w:adjustRightInd w:val="0"/>
        <w:ind w:right="18"/>
        <w:jc w:val="both"/>
        <w:rPr>
          <w:rFonts w:ascii="Verdana" w:hAnsi="Verdana" w:cs="Verdana"/>
          <w:sz w:val="20"/>
          <w:szCs w:val="20"/>
        </w:rPr>
      </w:pPr>
    </w:p>
    <w:p w:rsidR="00723548" w:rsidRPr="004F6B7F" w:rsidRDefault="00723548" w:rsidP="00723548">
      <w:pPr>
        <w:numPr>
          <w:ilvl w:val="0"/>
          <w:numId w:val="2"/>
        </w:numPr>
        <w:tabs>
          <w:tab w:val="clear" w:pos="1247"/>
          <w:tab w:val="num" w:pos="720"/>
        </w:tabs>
        <w:autoSpaceDE w:val="0"/>
        <w:autoSpaceDN w:val="0"/>
        <w:adjustRightInd w:val="0"/>
        <w:ind w:right="18"/>
        <w:jc w:val="both"/>
        <w:rPr>
          <w:rFonts w:ascii="Verdana" w:hAnsi="Verdana" w:cs="Verdana"/>
          <w:sz w:val="20"/>
          <w:szCs w:val="20"/>
          <w:lang w:val="es-CL"/>
        </w:rPr>
      </w:pPr>
      <w:r w:rsidRPr="004F6B7F">
        <w:rPr>
          <w:rFonts w:ascii="Verdana" w:hAnsi="Verdana" w:cs="Verdana"/>
          <w:sz w:val="20"/>
          <w:szCs w:val="20"/>
        </w:rPr>
        <w:t>El escrito de 2 de agost</w:t>
      </w:r>
      <w:r>
        <w:rPr>
          <w:rFonts w:ascii="Verdana" w:hAnsi="Verdana" w:cs="Verdana"/>
          <w:sz w:val="20"/>
          <w:szCs w:val="20"/>
        </w:rPr>
        <w:t>o de 2013</w:t>
      </w:r>
      <w:r w:rsidRPr="004F6B7F">
        <w:rPr>
          <w:rFonts w:ascii="Verdana" w:hAnsi="Verdana" w:cs="Verdana"/>
          <w:sz w:val="20"/>
          <w:szCs w:val="20"/>
        </w:rPr>
        <w:t xml:space="preserve">, mediante el cual los representantes </w:t>
      </w:r>
      <w:r w:rsidRPr="004F6B7F">
        <w:rPr>
          <w:rFonts w:ascii="Verdana" w:hAnsi="Verdana" w:cs="Verdana"/>
          <w:color w:val="000000"/>
          <w:sz w:val="20"/>
          <w:szCs w:val="20"/>
          <w:lang w:val="es-CL"/>
        </w:rPr>
        <w:t xml:space="preserve">interpusieron una “[a]pelación ante el Pleno de la Corte </w:t>
      </w:r>
      <w:r w:rsidRPr="004F6B7F">
        <w:rPr>
          <w:rFonts w:ascii="Verdana" w:hAnsi="Verdana" w:cs="Verdana"/>
          <w:sz w:val="20"/>
          <w:szCs w:val="20"/>
          <w:lang w:val="es-CR"/>
        </w:rPr>
        <w:t xml:space="preserve">[…] contra la Resolución del Presidente de la Corte de fecha 31 de julio de 2013”. </w:t>
      </w:r>
    </w:p>
    <w:p w:rsidR="00723548" w:rsidRPr="00EE6C0C" w:rsidRDefault="00723548" w:rsidP="00723548">
      <w:pPr>
        <w:autoSpaceDE w:val="0"/>
        <w:autoSpaceDN w:val="0"/>
        <w:adjustRightInd w:val="0"/>
        <w:ind w:right="18"/>
        <w:jc w:val="both"/>
        <w:rPr>
          <w:rFonts w:ascii="Verdana" w:hAnsi="Verdana" w:cs="Verdana"/>
          <w:sz w:val="20"/>
          <w:szCs w:val="20"/>
          <w:lang w:val="es-CL"/>
        </w:rPr>
      </w:pPr>
    </w:p>
    <w:p w:rsidR="00723548" w:rsidRDefault="00723548" w:rsidP="00723548">
      <w:pPr>
        <w:numPr>
          <w:ilvl w:val="0"/>
          <w:numId w:val="2"/>
        </w:numPr>
        <w:tabs>
          <w:tab w:val="clear" w:pos="1247"/>
          <w:tab w:val="num" w:pos="720"/>
        </w:tabs>
        <w:autoSpaceDE w:val="0"/>
        <w:autoSpaceDN w:val="0"/>
        <w:adjustRightInd w:val="0"/>
        <w:ind w:right="18"/>
        <w:jc w:val="both"/>
        <w:rPr>
          <w:rFonts w:ascii="Verdana" w:hAnsi="Verdana" w:cs="Verdana"/>
          <w:sz w:val="20"/>
          <w:szCs w:val="20"/>
        </w:rPr>
      </w:pPr>
      <w:r w:rsidRPr="00700FD8">
        <w:rPr>
          <w:rFonts w:ascii="Verdana" w:hAnsi="Verdana" w:cs="Verdana"/>
          <w:sz w:val="20"/>
          <w:szCs w:val="20"/>
        </w:rPr>
        <w:t xml:space="preserve">Las notas de la Secretaría de la Corte Interamericana (en adelante “la Secretaría”) de </w:t>
      </w:r>
      <w:r>
        <w:rPr>
          <w:rFonts w:ascii="Verdana" w:hAnsi="Verdana" w:cs="Verdana"/>
          <w:sz w:val="20"/>
          <w:szCs w:val="20"/>
        </w:rPr>
        <w:t>5 de agosto de 2013</w:t>
      </w:r>
      <w:r w:rsidRPr="00700FD8">
        <w:rPr>
          <w:rFonts w:ascii="Verdana" w:hAnsi="Verdana" w:cs="Verdana"/>
          <w:sz w:val="20"/>
          <w:szCs w:val="20"/>
        </w:rPr>
        <w:t xml:space="preserve">, mediante las cuales, siguiendo instrucciones del Presidente del Tribunal, </w:t>
      </w:r>
      <w:r>
        <w:rPr>
          <w:rFonts w:ascii="Verdana" w:hAnsi="Verdana" w:cs="Verdana"/>
          <w:sz w:val="20"/>
          <w:szCs w:val="20"/>
        </w:rPr>
        <w:t>comunicó a</w:t>
      </w:r>
      <w:r w:rsidRPr="00700FD8">
        <w:rPr>
          <w:rFonts w:ascii="Verdana" w:hAnsi="Verdana" w:cs="Verdana"/>
          <w:sz w:val="20"/>
          <w:szCs w:val="20"/>
        </w:rPr>
        <w:t>l</w:t>
      </w:r>
      <w:r>
        <w:rPr>
          <w:rFonts w:ascii="Verdana" w:hAnsi="Verdana" w:cs="Verdana"/>
          <w:sz w:val="20"/>
          <w:szCs w:val="20"/>
        </w:rPr>
        <w:t xml:space="preserve"> Estado </w:t>
      </w:r>
      <w:r w:rsidRPr="00700FD8">
        <w:rPr>
          <w:rFonts w:ascii="Verdana" w:hAnsi="Verdana" w:cs="Verdana"/>
          <w:sz w:val="20"/>
          <w:szCs w:val="20"/>
        </w:rPr>
        <w:t xml:space="preserve">y a la Comisión Interamericana que contaban con un plazo improrrogable hasta el 13 de </w:t>
      </w:r>
      <w:r>
        <w:rPr>
          <w:rFonts w:ascii="Verdana" w:hAnsi="Verdana" w:cs="Verdana"/>
          <w:sz w:val="20"/>
          <w:szCs w:val="20"/>
        </w:rPr>
        <w:t>agost</w:t>
      </w:r>
      <w:r w:rsidRPr="00700FD8">
        <w:rPr>
          <w:rFonts w:ascii="Verdana" w:hAnsi="Verdana" w:cs="Verdana"/>
          <w:sz w:val="20"/>
          <w:szCs w:val="20"/>
        </w:rPr>
        <w:t>o de 201</w:t>
      </w:r>
      <w:r>
        <w:rPr>
          <w:rFonts w:ascii="Verdana" w:hAnsi="Verdana" w:cs="Verdana"/>
          <w:sz w:val="20"/>
          <w:szCs w:val="20"/>
        </w:rPr>
        <w:t>3</w:t>
      </w:r>
      <w:r w:rsidRPr="00700FD8">
        <w:rPr>
          <w:rFonts w:ascii="Verdana" w:hAnsi="Verdana" w:cs="Verdana"/>
          <w:sz w:val="20"/>
          <w:szCs w:val="20"/>
        </w:rPr>
        <w:t xml:space="preserve"> para que presentaran </w:t>
      </w:r>
      <w:r>
        <w:rPr>
          <w:rFonts w:ascii="Verdana" w:hAnsi="Verdana" w:cs="Verdana"/>
          <w:sz w:val="20"/>
          <w:szCs w:val="20"/>
        </w:rPr>
        <w:t>las</w:t>
      </w:r>
      <w:r w:rsidRPr="00700FD8">
        <w:rPr>
          <w:rFonts w:ascii="Verdana" w:hAnsi="Verdana" w:cs="Verdana"/>
          <w:sz w:val="20"/>
          <w:szCs w:val="20"/>
        </w:rPr>
        <w:t xml:space="preserve"> observaciones </w:t>
      </w:r>
      <w:r>
        <w:rPr>
          <w:rFonts w:ascii="Verdana" w:hAnsi="Verdana" w:cs="Verdana"/>
          <w:sz w:val="20"/>
          <w:szCs w:val="20"/>
        </w:rPr>
        <w:t>que estimaran pertinentes respecto del</w:t>
      </w:r>
      <w:r w:rsidRPr="00700FD8">
        <w:rPr>
          <w:rFonts w:ascii="Verdana" w:hAnsi="Verdana" w:cs="Verdana"/>
          <w:sz w:val="20"/>
          <w:szCs w:val="20"/>
        </w:rPr>
        <w:t xml:space="preserve"> recurso interpuesto por l</w:t>
      </w:r>
      <w:r>
        <w:rPr>
          <w:rFonts w:ascii="Verdana" w:hAnsi="Verdana" w:cs="Verdana"/>
          <w:sz w:val="20"/>
          <w:szCs w:val="20"/>
        </w:rPr>
        <w:t>os representantes</w:t>
      </w:r>
      <w:r w:rsidRPr="00700FD8">
        <w:rPr>
          <w:rFonts w:ascii="Verdana" w:hAnsi="Verdana" w:cs="Verdana"/>
          <w:sz w:val="20"/>
          <w:szCs w:val="20"/>
        </w:rPr>
        <w:t xml:space="preserve">. </w:t>
      </w:r>
    </w:p>
    <w:p w:rsidR="00723548" w:rsidRPr="0045459E" w:rsidRDefault="00723548" w:rsidP="00723548">
      <w:pPr>
        <w:pStyle w:val="ListParagraph"/>
        <w:rPr>
          <w:rFonts w:ascii="Garamond" w:hAnsi="Garamond" w:cs="Garamond"/>
          <w:color w:val="000000"/>
          <w:lang w:val="es-CL"/>
        </w:rPr>
      </w:pPr>
    </w:p>
    <w:p w:rsidR="00723548" w:rsidRPr="00E62EBE" w:rsidRDefault="00723548" w:rsidP="00723548">
      <w:pPr>
        <w:numPr>
          <w:ilvl w:val="0"/>
          <w:numId w:val="2"/>
        </w:numPr>
        <w:tabs>
          <w:tab w:val="clear" w:pos="1247"/>
          <w:tab w:val="num" w:pos="720"/>
        </w:tabs>
        <w:autoSpaceDE w:val="0"/>
        <w:autoSpaceDN w:val="0"/>
        <w:adjustRightInd w:val="0"/>
        <w:ind w:right="18"/>
        <w:jc w:val="both"/>
        <w:rPr>
          <w:rFonts w:ascii="Verdana" w:hAnsi="Verdana" w:cs="Verdana"/>
          <w:sz w:val="20"/>
          <w:szCs w:val="20"/>
        </w:rPr>
      </w:pPr>
      <w:r w:rsidRPr="00E62EBE">
        <w:rPr>
          <w:rFonts w:ascii="Verdana" w:hAnsi="Verdana" w:cs="Verdana"/>
          <w:color w:val="000000"/>
          <w:sz w:val="20"/>
          <w:szCs w:val="20"/>
          <w:lang w:val="es-CL"/>
        </w:rPr>
        <w:t>El escrito de</w:t>
      </w:r>
      <w:r w:rsidRPr="00E62EBE">
        <w:rPr>
          <w:rFonts w:ascii="Verdana" w:hAnsi="Verdana" w:cs="Verdana"/>
          <w:color w:val="000000"/>
          <w:sz w:val="20"/>
          <w:szCs w:val="20"/>
        </w:rPr>
        <w:t xml:space="preserve"> 12 de agosto de 2013, mediante el cual la Comisión Interamericana presentó sus observaciones al escrito de los representantes de 2 de agosto de 2013. El Estado no presentó observaciones.</w:t>
      </w:r>
    </w:p>
    <w:p w:rsidR="003A7A68" w:rsidRDefault="003A7A68" w:rsidP="00723548">
      <w:pPr>
        <w:ind w:right="18"/>
        <w:jc w:val="both"/>
        <w:rPr>
          <w:rFonts w:ascii="Verdana" w:hAnsi="Verdana" w:cs="Verdana"/>
          <w:b/>
          <w:bCs/>
          <w:sz w:val="20"/>
          <w:szCs w:val="20"/>
        </w:rPr>
      </w:pPr>
    </w:p>
    <w:p w:rsidR="00985DD1" w:rsidRDefault="00985DD1" w:rsidP="00723548">
      <w:pPr>
        <w:ind w:right="18"/>
        <w:jc w:val="both"/>
        <w:rPr>
          <w:rFonts w:ascii="Verdana" w:hAnsi="Verdana" w:cs="Verdana"/>
          <w:b/>
          <w:bCs/>
          <w:sz w:val="20"/>
          <w:szCs w:val="20"/>
        </w:rPr>
      </w:pPr>
    </w:p>
    <w:p w:rsidR="00723548" w:rsidRPr="005C641D" w:rsidRDefault="00723548" w:rsidP="00723548">
      <w:pPr>
        <w:ind w:right="18"/>
        <w:jc w:val="both"/>
        <w:rPr>
          <w:rFonts w:ascii="Verdana" w:hAnsi="Verdana" w:cs="Verdana"/>
          <w:b/>
          <w:bCs/>
          <w:sz w:val="20"/>
          <w:szCs w:val="20"/>
        </w:rPr>
      </w:pPr>
      <w:r w:rsidRPr="005C641D">
        <w:rPr>
          <w:rFonts w:ascii="Verdana" w:hAnsi="Verdana" w:cs="Verdana"/>
          <w:b/>
          <w:bCs/>
          <w:sz w:val="20"/>
          <w:szCs w:val="20"/>
        </w:rPr>
        <w:t>CONSIDERANDO QUE:</w:t>
      </w:r>
    </w:p>
    <w:p w:rsidR="00723548" w:rsidRDefault="00723548" w:rsidP="00723548">
      <w:pPr>
        <w:autoSpaceDE w:val="0"/>
        <w:autoSpaceDN w:val="0"/>
        <w:adjustRightInd w:val="0"/>
        <w:ind w:right="18"/>
        <w:jc w:val="both"/>
        <w:rPr>
          <w:rFonts w:ascii="Verdana" w:hAnsi="Verdana" w:cs="Verdana"/>
          <w:sz w:val="20"/>
          <w:szCs w:val="20"/>
        </w:rPr>
      </w:pPr>
    </w:p>
    <w:p w:rsidR="00723548" w:rsidRDefault="00723548" w:rsidP="00723548">
      <w:pPr>
        <w:numPr>
          <w:ilvl w:val="0"/>
          <w:numId w:val="1"/>
        </w:numPr>
        <w:ind w:right="18"/>
        <w:jc w:val="both"/>
        <w:rPr>
          <w:rFonts w:ascii="Verdana" w:hAnsi="Verdana" w:cs="Verdana"/>
          <w:sz w:val="20"/>
          <w:szCs w:val="20"/>
        </w:rPr>
      </w:pPr>
      <w:r w:rsidRPr="00245F5E">
        <w:rPr>
          <w:rFonts w:ascii="Verdana" w:hAnsi="Verdana" w:cs="Verdana"/>
          <w:sz w:val="20"/>
          <w:szCs w:val="20"/>
        </w:rPr>
        <w:t>Las decisiones del Presidente</w:t>
      </w:r>
      <w:r>
        <w:rPr>
          <w:rFonts w:ascii="Verdana" w:hAnsi="Verdana" w:cs="Verdana"/>
          <w:sz w:val="20"/>
          <w:szCs w:val="20"/>
        </w:rPr>
        <w:t>, que no sean de mero trámite,</w:t>
      </w:r>
      <w:r w:rsidRPr="00245F5E">
        <w:rPr>
          <w:rFonts w:ascii="Verdana" w:hAnsi="Verdana" w:cs="Verdana"/>
          <w:sz w:val="20"/>
          <w:szCs w:val="20"/>
        </w:rPr>
        <w:t xml:space="preserve"> son recurribles ante la Corte, en los términos del artículo 3</w:t>
      </w:r>
      <w:r>
        <w:rPr>
          <w:rFonts w:ascii="Verdana" w:hAnsi="Verdana" w:cs="Verdana"/>
          <w:sz w:val="20"/>
          <w:szCs w:val="20"/>
        </w:rPr>
        <w:t>1</w:t>
      </w:r>
      <w:r w:rsidRPr="00245F5E">
        <w:rPr>
          <w:rFonts w:ascii="Verdana" w:hAnsi="Verdana" w:cs="Verdana"/>
          <w:sz w:val="20"/>
          <w:szCs w:val="20"/>
        </w:rPr>
        <w:t>.2 del Reglamento</w:t>
      </w:r>
      <w:r>
        <w:rPr>
          <w:rFonts w:ascii="Verdana" w:hAnsi="Verdana" w:cs="Verdana"/>
          <w:sz w:val="20"/>
          <w:szCs w:val="20"/>
        </w:rPr>
        <w:t xml:space="preserve"> del Tribunal</w:t>
      </w:r>
      <w:r w:rsidRPr="00B37257">
        <w:rPr>
          <w:rFonts w:ascii="Verdana" w:hAnsi="Verdana" w:cs="Verdana"/>
          <w:sz w:val="20"/>
          <w:szCs w:val="20"/>
          <w:lang w:val="es-CR"/>
        </w:rPr>
        <w:t xml:space="preserve"> (en adelante “el Reglamento”).</w:t>
      </w:r>
    </w:p>
    <w:p w:rsidR="00723548" w:rsidRDefault="00723548" w:rsidP="00723548">
      <w:pPr>
        <w:ind w:right="18"/>
        <w:jc w:val="both"/>
        <w:rPr>
          <w:rFonts w:ascii="Verdana" w:hAnsi="Verdana" w:cs="Verdana"/>
          <w:sz w:val="20"/>
          <w:szCs w:val="20"/>
        </w:rPr>
      </w:pPr>
    </w:p>
    <w:p w:rsidR="00723548" w:rsidRPr="00873F2B" w:rsidRDefault="00723548" w:rsidP="00723548">
      <w:pPr>
        <w:numPr>
          <w:ilvl w:val="0"/>
          <w:numId w:val="1"/>
        </w:numPr>
        <w:ind w:right="18"/>
        <w:jc w:val="both"/>
        <w:rPr>
          <w:rFonts w:ascii="Verdana" w:hAnsi="Verdana" w:cs="Verdana"/>
          <w:sz w:val="20"/>
          <w:szCs w:val="20"/>
        </w:rPr>
      </w:pPr>
      <w:r>
        <w:rPr>
          <w:rFonts w:ascii="Verdana" w:hAnsi="Verdana" w:cs="Verdana"/>
          <w:sz w:val="20"/>
          <w:szCs w:val="20"/>
          <w:lang w:val="es-ES"/>
        </w:rPr>
        <w:t xml:space="preserve">El Tribunal tiene amplias facultades en cuanto a la admisión y a la modalidad de recepción de la prueba, de conformidad con los artículos 50, 57 y 58 de su Reglamento. </w:t>
      </w:r>
    </w:p>
    <w:p w:rsidR="00723548" w:rsidRPr="001C716E" w:rsidRDefault="00723548" w:rsidP="00723548">
      <w:pPr>
        <w:pStyle w:val="ListParagraph"/>
        <w:ind w:right="18"/>
        <w:rPr>
          <w:rFonts w:ascii="Verdana" w:hAnsi="Verdana" w:cs="Verdana"/>
          <w:sz w:val="20"/>
          <w:szCs w:val="20"/>
        </w:rPr>
      </w:pPr>
    </w:p>
    <w:p w:rsidR="00723548" w:rsidRPr="001C716E" w:rsidRDefault="00723548" w:rsidP="00723548">
      <w:pPr>
        <w:numPr>
          <w:ilvl w:val="0"/>
          <w:numId w:val="1"/>
        </w:numPr>
        <w:ind w:right="18"/>
        <w:jc w:val="both"/>
        <w:rPr>
          <w:rFonts w:ascii="Verdana" w:hAnsi="Verdana" w:cs="Verdana"/>
          <w:sz w:val="20"/>
          <w:szCs w:val="20"/>
        </w:rPr>
      </w:pPr>
      <w:r>
        <w:rPr>
          <w:rFonts w:ascii="Verdana" w:hAnsi="Verdana" w:cs="Verdana"/>
          <w:sz w:val="20"/>
          <w:szCs w:val="20"/>
        </w:rPr>
        <w:t>En</w:t>
      </w:r>
      <w:r w:rsidRPr="001C716E">
        <w:rPr>
          <w:rFonts w:ascii="Verdana" w:hAnsi="Verdana" w:cs="Verdana"/>
          <w:sz w:val="20"/>
          <w:szCs w:val="20"/>
        </w:rPr>
        <w:t xml:space="preserve"> </w:t>
      </w:r>
      <w:r>
        <w:rPr>
          <w:rFonts w:ascii="Verdana" w:hAnsi="Verdana" w:cs="Verdana"/>
          <w:sz w:val="20"/>
          <w:szCs w:val="20"/>
        </w:rPr>
        <w:t xml:space="preserve">el </w:t>
      </w:r>
      <w:r w:rsidRPr="001C716E">
        <w:rPr>
          <w:rFonts w:ascii="Verdana" w:hAnsi="Verdana" w:cs="Verdana"/>
          <w:sz w:val="20"/>
          <w:szCs w:val="20"/>
        </w:rPr>
        <w:t xml:space="preserve">recurso interpuesto contra la Resolución del Presidente de la Corte de </w:t>
      </w:r>
      <w:r>
        <w:rPr>
          <w:rFonts w:ascii="Verdana" w:hAnsi="Verdana" w:cs="Verdana"/>
          <w:sz w:val="20"/>
          <w:szCs w:val="20"/>
        </w:rPr>
        <w:t>31</w:t>
      </w:r>
      <w:r w:rsidRPr="001C716E">
        <w:rPr>
          <w:rFonts w:ascii="Verdana" w:hAnsi="Verdana" w:cs="Verdana"/>
          <w:sz w:val="20"/>
          <w:szCs w:val="20"/>
        </w:rPr>
        <w:t xml:space="preserve"> de ju</w:t>
      </w:r>
      <w:r>
        <w:rPr>
          <w:rFonts w:ascii="Verdana" w:hAnsi="Verdana" w:cs="Verdana"/>
          <w:sz w:val="20"/>
          <w:szCs w:val="20"/>
        </w:rPr>
        <w:t>l</w:t>
      </w:r>
      <w:r w:rsidRPr="001C716E">
        <w:rPr>
          <w:rFonts w:ascii="Verdana" w:hAnsi="Verdana" w:cs="Verdana"/>
          <w:sz w:val="20"/>
          <w:szCs w:val="20"/>
        </w:rPr>
        <w:t>io de 201</w:t>
      </w:r>
      <w:r>
        <w:rPr>
          <w:rFonts w:ascii="Verdana" w:hAnsi="Verdana" w:cs="Verdana"/>
          <w:sz w:val="20"/>
          <w:szCs w:val="20"/>
        </w:rPr>
        <w:t>3 (</w:t>
      </w:r>
      <w:r w:rsidRPr="007116BC">
        <w:rPr>
          <w:rFonts w:ascii="Verdana" w:hAnsi="Verdana" w:cs="Verdana"/>
          <w:i/>
          <w:iCs/>
          <w:sz w:val="20"/>
          <w:szCs w:val="20"/>
        </w:rPr>
        <w:t>supra</w:t>
      </w:r>
      <w:r>
        <w:rPr>
          <w:rFonts w:ascii="Verdana" w:hAnsi="Verdana" w:cs="Verdana"/>
          <w:sz w:val="20"/>
          <w:szCs w:val="20"/>
        </w:rPr>
        <w:t xml:space="preserve"> Visto 2), los representantes de la presunta víctima solicitan a la Corte que:</w:t>
      </w:r>
    </w:p>
    <w:p w:rsidR="00723548" w:rsidRDefault="00723548" w:rsidP="00723548">
      <w:pPr>
        <w:ind w:right="18"/>
        <w:jc w:val="both"/>
        <w:rPr>
          <w:rFonts w:ascii="Verdana" w:hAnsi="Verdana" w:cs="Verdana"/>
          <w:sz w:val="20"/>
          <w:szCs w:val="20"/>
        </w:rPr>
      </w:pPr>
    </w:p>
    <w:p w:rsidR="00723548" w:rsidRPr="00CC2D37" w:rsidRDefault="00723548" w:rsidP="00723548">
      <w:pPr>
        <w:ind w:left="720" w:right="720"/>
        <w:jc w:val="both"/>
        <w:rPr>
          <w:sz w:val="16"/>
          <w:szCs w:val="16"/>
        </w:rPr>
      </w:pPr>
      <w:r w:rsidRPr="00CC2D37">
        <w:rPr>
          <w:rFonts w:ascii="Verdana" w:hAnsi="Verdana" w:cs="Verdana"/>
          <w:sz w:val="16"/>
          <w:szCs w:val="16"/>
        </w:rPr>
        <w:t>1.</w:t>
      </w:r>
      <w:r w:rsidRPr="00CC2D37">
        <w:rPr>
          <w:rFonts w:ascii="Verdana" w:hAnsi="Verdana" w:cs="Verdana"/>
          <w:sz w:val="16"/>
          <w:szCs w:val="16"/>
        </w:rPr>
        <w:tab/>
        <w:t xml:space="preserve">Se prolongue el tiempo asignado a la audiencia en el caso </w:t>
      </w:r>
      <w:r w:rsidRPr="00CC2D37">
        <w:rPr>
          <w:rFonts w:ascii="Verdana" w:hAnsi="Verdana" w:cs="Verdana"/>
          <w:i/>
          <w:iCs/>
          <w:sz w:val="16"/>
          <w:szCs w:val="16"/>
        </w:rPr>
        <w:t>Allan Brewer Carías vs. Venezuela</w:t>
      </w:r>
      <w:r w:rsidRPr="00CC2D37">
        <w:rPr>
          <w:rFonts w:ascii="Verdana" w:hAnsi="Verdana" w:cs="Verdana"/>
          <w:sz w:val="16"/>
          <w:szCs w:val="16"/>
        </w:rPr>
        <w:t xml:space="preserve"> todo el tiempo que sea necesario para escuchar presencialmente a los peritos Antonio Canova y Carlos Tiffer Sotomayor.</w:t>
      </w:r>
    </w:p>
    <w:p w:rsidR="00723548" w:rsidRPr="00CC2D37" w:rsidRDefault="00723548" w:rsidP="00723548">
      <w:pPr>
        <w:ind w:left="720" w:right="720"/>
        <w:jc w:val="both"/>
        <w:rPr>
          <w:sz w:val="16"/>
          <w:szCs w:val="16"/>
        </w:rPr>
      </w:pPr>
      <w:r w:rsidRPr="00CC2D37">
        <w:rPr>
          <w:rFonts w:ascii="Verdana" w:hAnsi="Verdana" w:cs="Verdana"/>
          <w:sz w:val="16"/>
          <w:szCs w:val="16"/>
        </w:rPr>
        <w:t>2.</w:t>
      </w:r>
      <w:r w:rsidRPr="00CC2D37">
        <w:rPr>
          <w:rFonts w:ascii="Verdana" w:hAnsi="Verdana" w:cs="Verdana"/>
          <w:sz w:val="16"/>
          <w:szCs w:val="16"/>
        </w:rPr>
        <w:tab/>
      </w:r>
      <w:r w:rsidRPr="00CC2D37">
        <w:rPr>
          <w:rFonts w:ascii="Verdana" w:hAnsi="Verdana" w:cs="Verdana"/>
          <w:b/>
          <w:bCs/>
          <w:sz w:val="16"/>
          <w:szCs w:val="16"/>
        </w:rPr>
        <w:t>Alternativamente,</w:t>
      </w:r>
      <w:r w:rsidRPr="00CC2D37">
        <w:rPr>
          <w:rFonts w:ascii="Verdana" w:hAnsi="Verdana" w:cs="Verdana"/>
          <w:sz w:val="16"/>
          <w:szCs w:val="16"/>
        </w:rPr>
        <w:t xml:space="preserve"> se reciba por affidávit el testimonio de uno de los cuatro testigos promovidos por el Estado a que se refiere el párrafo resolutivo 5(B) de la Resolución del Presidente de la Corte de 31 de julio de 2013 y que se reciba en audiencia la declaración del perito Antonio Canova.</w:t>
      </w:r>
    </w:p>
    <w:p w:rsidR="00723548" w:rsidRPr="00CC2D37" w:rsidRDefault="00723548" w:rsidP="00723548">
      <w:pPr>
        <w:ind w:left="720" w:right="720"/>
        <w:jc w:val="both"/>
        <w:rPr>
          <w:sz w:val="16"/>
          <w:szCs w:val="16"/>
        </w:rPr>
      </w:pPr>
      <w:r w:rsidRPr="00CC2D37">
        <w:rPr>
          <w:rFonts w:ascii="Verdana" w:hAnsi="Verdana" w:cs="Verdana"/>
          <w:sz w:val="16"/>
          <w:szCs w:val="16"/>
        </w:rPr>
        <w:t>3.</w:t>
      </w:r>
      <w:r w:rsidRPr="00CC2D37">
        <w:rPr>
          <w:rFonts w:ascii="Verdana" w:hAnsi="Verdana" w:cs="Verdana"/>
          <w:sz w:val="16"/>
          <w:szCs w:val="16"/>
        </w:rPr>
        <w:tab/>
        <w:t xml:space="preserve">En todo caso, que se contemple una declaración de la víctima […] de quince minutos de duración, antes de ser interrogado por las partes. </w:t>
      </w:r>
    </w:p>
    <w:p w:rsidR="00723548" w:rsidRPr="00CC23AD" w:rsidRDefault="00723548" w:rsidP="00723548">
      <w:pPr>
        <w:ind w:right="18"/>
        <w:jc w:val="both"/>
        <w:rPr>
          <w:rFonts w:ascii="Verdana" w:hAnsi="Verdana" w:cs="Verdana"/>
          <w:sz w:val="20"/>
          <w:szCs w:val="20"/>
          <w:lang w:val="es-CR"/>
        </w:rPr>
      </w:pPr>
    </w:p>
    <w:p w:rsidR="00723548" w:rsidRPr="000B3F38" w:rsidRDefault="00723548" w:rsidP="00723548">
      <w:pPr>
        <w:numPr>
          <w:ilvl w:val="0"/>
          <w:numId w:val="3"/>
        </w:numPr>
        <w:ind w:right="18"/>
        <w:jc w:val="both"/>
        <w:rPr>
          <w:rFonts w:ascii="Verdana" w:hAnsi="Verdana" w:cs="Verdana"/>
          <w:sz w:val="20"/>
          <w:szCs w:val="20"/>
        </w:rPr>
      </w:pPr>
      <w:r>
        <w:rPr>
          <w:rFonts w:ascii="Verdana" w:hAnsi="Verdana" w:cs="Verdana"/>
          <w:b/>
          <w:bCs/>
          <w:sz w:val="20"/>
          <w:szCs w:val="20"/>
          <w:lang w:val="es-CR"/>
        </w:rPr>
        <w:t xml:space="preserve">En relación con los declarantes que fueron convocados por el </w:t>
      </w:r>
      <w:r w:rsidRPr="001824A9">
        <w:rPr>
          <w:rFonts w:ascii="Verdana" w:hAnsi="Verdana" w:cs="Verdana"/>
          <w:b/>
          <w:bCs/>
          <w:sz w:val="20"/>
          <w:szCs w:val="20"/>
          <w:lang w:val="es-CR"/>
        </w:rPr>
        <w:t xml:space="preserve">Presidente </w:t>
      </w:r>
      <w:r>
        <w:rPr>
          <w:rFonts w:ascii="Verdana" w:hAnsi="Verdana" w:cs="Verdana"/>
          <w:b/>
          <w:bCs/>
          <w:sz w:val="20"/>
          <w:szCs w:val="20"/>
          <w:lang w:val="es-CR"/>
        </w:rPr>
        <w:t>a rendir declaración en la audiencia pública</w:t>
      </w:r>
    </w:p>
    <w:p w:rsidR="00723548" w:rsidRPr="00765E1A" w:rsidRDefault="00723548" w:rsidP="00723548">
      <w:pPr>
        <w:ind w:right="18"/>
        <w:rPr>
          <w:rFonts w:ascii="Verdana" w:hAnsi="Verdana" w:cs="Verdana"/>
          <w:sz w:val="20"/>
          <w:szCs w:val="20"/>
          <w:lang w:val="es-CR"/>
        </w:rPr>
      </w:pPr>
    </w:p>
    <w:p w:rsidR="00723548" w:rsidRDefault="00723548" w:rsidP="008E0263">
      <w:pPr>
        <w:widowControl w:val="0"/>
        <w:numPr>
          <w:ilvl w:val="0"/>
          <w:numId w:val="1"/>
        </w:numPr>
        <w:shd w:val="clear" w:color="auto" w:fill="FFFFFF"/>
        <w:autoSpaceDE w:val="0"/>
        <w:autoSpaceDN w:val="0"/>
        <w:adjustRightInd w:val="0"/>
        <w:ind w:right="17"/>
        <w:jc w:val="both"/>
        <w:rPr>
          <w:rFonts w:ascii="Verdana" w:hAnsi="Verdana" w:cs="Verdana"/>
          <w:sz w:val="20"/>
          <w:szCs w:val="20"/>
          <w:lang w:val="es-CR"/>
        </w:rPr>
      </w:pPr>
      <w:r>
        <w:rPr>
          <w:rFonts w:ascii="Verdana" w:hAnsi="Verdana" w:cs="Verdana"/>
          <w:color w:val="000000"/>
          <w:sz w:val="20"/>
          <w:szCs w:val="20"/>
          <w:lang w:val="es-CR"/>
        </w:rPr>
        <w:t xml:space="preserve">En cuanto a los declarantes propuestos, en el sometimiento del caso la Comisión propuso un perito. En el escrito de solicitudes, argumentos y pruebas, los representantes de la presunta víctima ofrecieron la declaración de la presunta víctima, dos testimonios y cinco peritajes, y posteriormente solicitaron la sustitución de dos de esos peritos. El Estado ofreció en su escrito de contestación un peritaje y ocho testimonios. </w:t>
      </w:r>
      <w:r w:rsidRPr="00015340">
        <w:rPr>
          <w:rFonts w:ascii="Verdana" w:hAnsi="Verdana" w:cs="Verdana"/>
          <w:sz w:val="20"/>
          <w:szCs w:val="20"/>
        </w:rPr>
        <w:t xml:space="preserve">En su Resolución de 31 de julio de 2013 </w:t>
      </w:r>
      <w:r>
        <w:rPr>
          <w:rFonts w:ascii="Verdana" w:hAnsi="Verdana" w:cs="Verdana"/>
          <w:sz w:val="20"/>
          <w:szCs w:val="20"/>
        </w:rPr>
        <w:t>(</w:t>
      </w:r>
      <w:r w:rsidRPr="00C3682D">
        <w:rPr>
          <w:rFonts w:ascii="Verdana" w:hAnsi="Verdana" w:cs="Verdana"/>
          <w:i/>
          <w:sz w:val="20"/>
          <w:szCs w:val="20"/>
        </w:rPr>
        <w:t>supra</w:t>
      </w:r>
      <w:r w:rsidR="008E0263">
        <w:rPr>
          <w:rFonts w:ascii="Verdana" w:hAnsi="Verdana" w:cs="Verdana"/>
          <w:sz w:val="20"/>
          <w:szCs w:val="20"/>
        </w:rPr>
        <w:t xml:space="preserve"> Visto 1</w:t>
      </w:r>
      <w:r>
        <w:rPr>
          <w:rFonts w:ascii="Verdana" w:hAnsi="Verdana" w:cs="Verdana"/>
          <w:sz w:val="20"/>
          <w:szCs w:val="20"/>
        </w:rPr>
        <w:t xml:space="preserve">), </w:t>
      </w:r>
      <w:r w:rsidRPr="00015340">
        <w:rPr>
          <w:rFonts w:ascii="Verdana" w:hAnsi="Verdana" w:cs="Verdana"/>
          <w:sz w:val="20"/>
          <w:szCs w:val="20"/>
        </w:rPr>
        <w:t xml:space="preserve">el Presidente decidió </w:t>
      </w:r>
      <w:r w:rsidRPr="00015340">
        <w:rPr>
          <w:rFonts w:ascii="Verdana" w:hAnsi="Verdana" w:cs="Verdana"/>
          <w:color w:val="000000"/>
          <w:sz w:val="20"/>
          <w:szCs w:val="20"/>
          <w:lang w:val="es-CR"/>
        </w:rPr>
        <w:t>convocar a rendir su declaración en la audiencia pública a (3) tres declarantes propuestos por los representantes y a (5) cinco declarantes propuestos por el Estado.</w:t>
      </w:r>
      <w:r>
        <w:rPr>
          <w:rFonts w:ascii="Verdana" w:hAnsi="Verdana" w:cs="Verdana"/>
          <w:sz w:val="20"/>
          <w:szCs w:val="20"/>
          <w:lang w:val="es-CR"/>
        </w:rPr>
        <w:t xml:space="preserve"> A</w:t>
      </w:r>
      <w:r w:rsidRPr="00B237DB">
        <w:rPr>
          <w:rFonts w:ascii="Verdana" w:hAnsi="Verdana" w:cs="Verdana"/>
          <w:sz w:val="20"/>
          <w:szCs w:val="20"/>
          <w:lang w:val="es-CR"/>
        </w:rPr>
        <w:t>simismo,</w:t>
      </w:r>
      <w:r w:rsidRPr="00015340">
        <w:rPr>
          <w:rFonts w:ascii="Verdana" w:hAnsi="Verdana" w:cs="Verdana"/>
          <w:sz w:val="20"/>
          <w:szCs w:val="20"/>
          <w:lang w:val="es-CR"/>
        </w:rPr>
        <w:t xml:space="preserve"> </w:t>
      </w:r>
      <w:r>
        <w:rPr>
          <w:rFonts w:ascii="Verdana" w:hAnsi="Verdana" w:cs="Verdana"/>
          <w:sz w:val="20"/>
          <w:szCs w:val="20"/>
          <w:lang w:val="es-CR"/>
        </w:rPr>
        <w:t xml:space="preserve">requirió </w:t>
      </w:r>
      <w:r w:rsidRPr="00015340">
        <w:rPr>
          <w:rFonts w:ascii="Verdana" w:hAnsi="Verdana" w:cs="Verdana"/>
          <w:sz w:val="20"/>
          <w:szCs w:val="20"/>
          <w:lang w:val="es-CR"/>
        </w:rPr>
        <w:t xml:space="preserve">que presten sus declaraciones </w:t>
      </w:r>
      <w:r w:rsidRPr="00015340">
        <w:rPr>
          <w:rFonts w:ascii="Verdana" w:hAnsi="Verdana" w:cs="Verdana"/>
          <w:color w:val="000000"/>
          <w:sz w:val="20"/>
          <w:szCs w:val="20"/>
          <w:lang w:val="es-ES"/>
        </w:rPr>
        <w:t>ante fedatario público (</w:t>
      </w:r>
      <w:r w:rsidRPr="00015340">
        <w:rPr>
          <w:rFonts w:ascii="Verdana" w:hAnsi="Verdana" w:cs="Verdana"/>
          <w:i/>
          <w:iCs/>
          <w:color w:val="000000"/>
          <w:sz w:val="20"/>
          <w:szCs w:val="20"/>
          <w:lang w:val="es-ES"/>
        </w:rPr>
        <w:t>affidávit</w:t>
      </w:r>
      <w:r w:rsidRPr="00015340">
        <w:rPr>
          <w:rFonts w:ascii="Verdana" w:hAnsi="Verdana" w:cs="Verdana"/>
          <w:color w:val="000000"/>
          <w:sz w:val="20"/>
          <w:szCs w:val="20"/>
          <w:lang w:val="es-ES"/>
        </w:rPr>
        <w:t>): (3) tres declarantes propuestos por l</w:t>
      </w:r>
      <w:r>
        <w:rPr>
          <w:rFonts w:ascii="Verdana" w:hAnsi="Verdana" w:cs="Verdana"/>
          <w:color w:val="000000"/>
          <w:sz w:val="20"/>
          <w:szCs w:val="20"/>
          <w:lang w:val="es-ES"/>
        </w:rPr>
        <w:t>os representantes, uno de ellos testigo y los otros dos</w:t>
      </w:r>
      <w:r w:rsidRPr="00015340">
        <w:rPr>
          <w:rFonts w:ascii="Verdana" w:hAnsi="Verdana" w:cs="Verdana"/>
          <w:color w:val="000000"/>
          <w:sz w:val="20"/>
          <w:szCs w:val="20"/>
          <w:lang w:val="es-ES"/>
        </w:rPr>
        <w:t xml:space="preserve"> los peritos </w:t>
      </w:r>
      <w:r w:rsidRPr="00015340">
        <w:rPr>
          <w:rFonts w:ascii="Verdana" w:hAnsi="Verdana" w:cs="Verdana"/>
          <w:sz w:val="20"/>
          <w:szCs w:val="20"/>
          <w:lang w:val="es-CR"/>
        </w:rPr>
        <w:t>Antonio Canova González</w:t>
      </w:r>
      <w:r>
        <w:rPr>
          <w:rStyle w:val="FootnoteReference"/>
          <w:rFonts w:ascii="Verdana" w:hAnsi="Verdana" w:cs="Verdana"/>
          <w:sz w:val="20"/>
          <w:szCs w:val="20"/>
          <w:lang w:val="es-CR"/>
        </w:rPr>
        <w:footnoteReference w:id="2"/>
      </w:r>
      <w:r w:rsidRPr="00015340">
        <w:rPr>
          <w:rFonts w:ascii="Verdana" w:hAnsi="Verdana" w:cs="Verdana"/>
          <w:sz w:val="20"/>
          <w:szCs w:val="20"/>
          <w:lang w:val="es-CR"/>
        </w:rPr>
        <w:t xml:space="preserve"> y Carlos Tiffer Sotomayor</w:t>
      </w:r>
      <w:r>
        <w:rPr>
          <w:rStyle w:val="FootnoteReference"/>
          <w:rFonts w:ascii="Verdana" w:hAnsi="Verdana" w:cs="Verdana"/>
          <w:sz w:val="20"/>
          <w:szCs w:val="20"/>
          <w:lang w:val="es-CR"/>
        </w:rPr>
        <w:footnoteReference w:id="3"/>
      </w:r>
      <w:r w:rsidRPr="00015340">
        <w:rPr>
          <w:rFonts w:ascii="Verdana" w:hAnsi="Verdana" w:cs="Verdana"/>
          <w:sz w:val="20"/>
          <w:szCs w:val="20"/>
          <w:lang w:val="es-CR"/>
        </w:rPr>
        <w:t>; (6) declarantes propuestos por el Estado, cuatro de ello</w:t>
      </w:r>
      <w:r>
        <w:rPr>
          <w:rFonts w:ascii="Verdana" w:hAnsi="Verdana" w:cs="Verdana"/>
          <w:sz w:val="20"/>
          <w:szCs w:val="20"/>
          <w:lang w:val="es-CR"/>
        </w:rPr>
        <w:t>s</w:t>
      </w:r>
      <w:r w:rsidRPr="00015340">
        <w:rPr>
          <w:rFonts w:ascii="Verdana" w:hAnsi="Verdana" w:cs="Verdana"/>
          <w:sz w:val="20"/>
          <w:szCs w:val="20"/>
          <w:lang w:val="es-CR"/>
        </w:rPr>
        <w:t xml:space="preserve"> en calidad de testigos y dos en calidad de peritos; y un perito propuesto por la </w:t>
      </w:r>
      <w:r w:rsidRPr="00B237DB">
        <w:rPr>
          <w:rFonts w:ascii="Verdana" w:hAnsi="Verdana" w:cs="Verdana"/>
          <w:sz w:val="20"/>
          <w:szCs w:val="20"/>
          <w:lang w:val="es-CR"/>
        </w:rPr>
        <w:t xml:space="preserve">Comisión Interamericana. Adicionalmente, se resolvió sobre las solicitudes de sustitución de dos peritos planteadas por los representantes, decidiendo admitir una de ellas y declarando </w:t>
      </w:r>
      <w:r w:rsidRPr="00B237DB">
        <w:rPr>
          <w:rFonts w:ascii="Verdana" w:hAnsi="Verdana" w:cs="Verdana"/>
          <w:sz w:val="20"/>
          <w:szCs w:val="20"/>
        </w:rPr>
        <w:t>improcedente la otra</w:t>
      </w:r>
      <w:r w:rsidRPr="00B237DB">
        <w:rPr>
          <w:rStyle w:val="FootnoteReference"/>
          <w:rFonts w:ascii="Verdana" w:hAnsi="Verdana" w:cs="Verdana"/>
          <w:sz w:val="20"/>
          <w:szCs w:val="20"/>
        </w:rPr>
        <w:footnoteReference w:id="4"/>
      </w:r>
      <w:r w:rsidRPr="00B237DB">
        <w:rPr>
          <w:rFonts w:ascii="Verdana" w:hAnsi="Verdana" w:cs="Verdana"/>
          <w:sz w:val="20"/>
          <w:szCs w:val="20"/>
        </w:rPr>
        <w:t xml:space="preserve">. </w:t>
      </w:r>
      <w:r w:rsidRPr="00B237DB">
        <w:rPr>
          <w:rFonts w:ascii="Verdana" w:hAnsi="Verdana" w:cs="Verdana"/>
          <w:sz w:val="20"/>
          <w:szCs w:val="20"/>
          <w:lang w:val="es-CR"/>
        </w:rPr>
        <w:t xml:space="preserve">Finalmente, se admitió la recusación interpuesta por Venezuela contra una persona </w:t>
      </w:r>
      <w:r w:rsidRPr="00B237DB">
        <w:rPr>
          <w:rFonts w:ascii="Verdana" w:hAnsi="Verdana" w:cs="Verdana"/>
          <w:sz w:val="20"/>
          <w:szCs w:val="20"/>
          <w:lang w:val="es-CR"/>
        </w:rPr>
        <w:lastRenderedPageBreak/>
        <w:t>propuesta como perito por los representantes</w:t>
      </w:r>
      <w:r w:rsidRPr="00B237DB">
        <w:rPr>
          <w:rStyle w:val="FootnoteReference"/>
          <w:rFonts w:ascii="Verdana" w:hAnsi="Verdana" w:cs="Verdana"/>
          <w:sz w:val="20"/>
          <w:szCs w:val="20"/>
          <w:lang w:val="es-CR"/>
        </w:rPr>
        <w:footnoteReference w:id="5"/>
      </w:r>
      <w:r w:rsidRPr="00B237DB">
        <w:rPr>
          <w:rFonts w:ascii="Verdana" w:hAnsi="Verdana" w:cs="Verdana"/>
          <w:sz w:val="20"/>
          <w:szCs w:val="20"/>
          <w:lang w:val="es-CR"/>
        </w:rPr>
        <w:t>.</w:t>
      </w:r>
      <w:r>
        <w:rPr>
          <w:rFonts w:ascii="Verdana" w:hAnsi="Verdana" w:cs="Verdana"/>
          <w:sz w:val="20"/>
          <w:szCs w:val="20"/>
          <w:lang w:val="es-CR"/>
        </w:rPr>
        <w:t xml:space="preserve"> </w:t>
      </w:r>
    </w:p>
    <w:p w:rsidR="00723548" w:rsidRPr="00330195" w:rsidRDefault="00723548" w:rsidP="008E0263">
      <w:pPr>
        <w:widowControl w:val="0"/>
        <w:shd w:val="clear" w:color="auto" w:fill="FFFFFF"/>
        <w:autoSpaceDE w:val="0"/>
        <w:autoSpaceDN w:val="0"/>
        <w:adjustRightInd w:val="0"/>
        <w:ind w:left="180" w:right="17"/>
        <w:jc w:val="both"/>
        <w:rPr>
          <w:rFonts w:ascii="Verdana" w:hAnsi="Verdana" w:cs="Verdana"/>
          <w:sz w:val="20"/>
          <w:szCs w:val="20"/>
          <w:lang w:val="es-CR"/>
        </w:rPr>
      </w:pPr>
    </w:p>
    <w:p w:rsidR="00723548" w:rsidRPr="00601830" w:rsidRDefault="00723548" w:rsidP="008E0263">
      <w:pPr>
        <w:numPr>
          <w:ilvl w:val="0"/>
          <w:numId w:val="1"/>
        </w:numPr>
        <w:ind w:right="17"/>
        <w:jc w:val="both"/>
        <w:rPr>
          <w:rFonts w:ascii="Verdana" w:hAnsi="Verdana" w:cs="Verdana"/>
          <w:sz w:val="20"/>
          <w:szCs w:val="20"/>
        </w:rPr>
      </w:pPr>
      <w:r w:rsidRPr="00C3682D">
        <w:rPr>
          <w:rFonts w:ascii="Verdana" w:hAnsi="Verdana" w:cs="Verdana"/>
          <w:color w:val="000000"/>
          <w:sz w:val="20"/>
          <w:szCs w:val="20"/>
          <w:lang w:val="es-CR"/>
        </w:rPr>
        <w:t xml:space="preserve">Los declarantes propuestos por los representantes convocados a la audiencia </w:t>
      </w:r>
      <w:r>
        <w:rPr>
          <w:rFonts w:ascii="Verdana" w:hAnsi="Verdana" w:cs="Verdana"/>
          <w:color w:val="000000"/>
          <w:sz w:val="20"/>
          <w:szCs w:val="20"/>
          <w:lang w:val="es-CR"/>
        </w:rPr>
        <w:t xml:space="preserve">pública </w:t>
      </w:r>
      <w:r w:rsidRPr="00C3682D">
        <w:rPr>
          <w:rFonts w:ascii="Verdana" w:hAnsi="Verdana" w:cs="Verdana"/>
          <w:color w:val="000000"/>
          <w:sz w:val="20"/>
          <w:szCs w:val="20"/>
          <w:lang w:val="es-CR"/>
        </w:rPr>
        <w:t>fueron: la presunta víctima Allan Brewer Carías</w:t>
      </w:r>
      <w:r w:rsidRPr="00C3682D">
        <w:rPr>
          <w:rFonts w:ascii="Verdana" w:hAnsi="Verdana" w:cs="Verdana"/>
          <w:sz w:val="20"/>
          <w:szCs w:val="20"/>
          <w:lang w:val="es-CR"/>
        </w:rPr>
        <w:t xml:space="preserve">; el </w:t>
      </w:r>
      <w:r w:rsidRPr="00C3682D">
        <w:rPr>
          <w:rFonts w:ascii="Verdana" w:hAnsi="Verdana" w:cs="Verdana"/>
          <w:color w:val="000000"/>
          <w:sz w:val="20"/>
          <w:szCs w:val="20"/>
          <w:lang w:val="es-CR"/>
        </w:rPr>
        <w:t xml:space="preserve">testigo </w:t>
      </w:r>
      <w:r w:rsidRPr="00C3682D">
        <w:rPr>
          <w:rFonts w:ascii="Verdana" w:hAnsi="Verdana" w:cs="Verdana"/>
          <w:sz w:val="20"/>
          <w:szCs w:val="20"/>
          <w:lang w:val="es-CR"/>
        </w:rPr>
        <w:t xml:space="preserve">León Henrique Cottin, y el </w:t>
      </w:r>
      <w:r w:rsidRPr="00C3682D">
        <w:rPr>
          <w:rFonts w:ascii="Verdana" w:hAnsi="Verdana" w:cs="Verdana"/>
          <w:color w:val="000000"/>
          <w:sz w:val="20"/>
          <w:szCs w:val="20"/>
          <w:lang w:val="es-CR"/>
        </w:rPr>
        <w:t xml:space="preserve">perito </w:t>
      </w:r>
      <w:r w:rsidRPr="00C3682D">
        <w:rPr>
          <w:rFonts w:ascii="Verdana" w:hAnsi="Verdana" w:cs="Verdana"/>
          <w:sz w:val="20"/>
          <w:szCs w:val="20"/>
          <w:lang w:val="es-CR"/>
        </w:rPr>
        <w:t>Jesús Ollarves Irazábal</w:t>
      </w:r>
      <w:r>
        <w:rPr>
          <w:rStyle w:val="FootnoteReference"/>
          <w:rFonts w:ascii="Verdana" w:hAnsi="Verdana" w:cs="Verdana"/>
          <w:sz w:val="20"/>
          <w:szCs w:val="20"/>
          <w:lang w:val="es-CR"/>
        </w:rPr>
        <w:footnoteReference w:id="6"/>
      </w:r>
      <w:r w:rsidRPr="00C3682D">
        <w:rPr>
          <w:rFonts w:ascii="Verdana" w:hAnsi="Verdana" w:cs="Verdana"/>
          <w:sz w:val="20"/>
          <w:szCs w:val="20"/>
          <w:lang w:val="es-CR"/>
        </w:rPr>
        <w:t xml:space="preserve">. Los declarantes propuestos por el Estado </w:t>
      </w:r>
      <w:r w:rsidRPr="00C3682D">
        <w:rPr>
          <w:rFonts w:ascii="Verdana" w:hAnsi="Verdana" w:cs="Verdana"/>
          <w:color w:val="000000"/>
          <w:sz w:val="20"/>
          <w:szCs w:val="20"/>
          <w:lang w:val="es-CR"/>
        </w:rPr>
        <w:t xml:space="preserve">convocados a la audiencia fueron: los </w:t>
      </w:r>
      <w:r w:rsidRPr="00C3682D">
        <w:rPr>
          <w:rFonts w:ascii="Verdana" w:hAnsi="Verdana" w:cs="Verdana"/>
          <w:sz w:val="20"/>
          <w:szCs w:val="20"/>
        </w:rPr>
        <w:t>testigos</w:t>
      </w:r>
      <w:r w:rsidRPr="00C3682D">
        <w:rPr>
          <w:rFonts w:ascii="Verdana" w:hAnsi="Verdana" w:cs="Verdana"/>
          <w:i/>
          <w:iCs/>
          <w:sz w:val="20"/>
          <w:szCs w:val="20"/>
        </w:rPr>
        <w:t xml:space="preserve"> </w:t>
      </w:r>
      <w:r w:rsidRPr="00C3682D">
        <w:rPr>
          <w:rFonts w:ascii="Verdana" w:hAnsi="Verdana" w:cs="Verdana"/>
          <w:sz w:val="20"/>
          <w:szCs w:val="20"/>
          <w:lang w:val="es-CR"/>
        </w:rPr>
        <w:t>Julián Isaías Rodríguez</w:t>
      </w:r>
      <w:r>
        <w:rPr>
          <w:rStyle w:val="FootnoteReference"/>
          <w:rFonts w:ascii="Verdana" w:hAnsi="Verdana" w:cs="Verdana"/>
          <w:sz w:val="20"/>
          <w:szCs w:val="20"/>
          <w:lang w:val="es-CR"/>
        </w:rPr>
        <w:footnoteReference w:id="7"/>
      </w:r>
      <w:r w:rsidRPr="00C3682D">
        <w:rPr>
          <w:rFonts w:ascii="Verdana" w:hAnsi="Verdana" w:cs="Verdana"/>
          <w:sz w:val="20"/>
          <w:szCs w:val="20"/>
          <w:lang w:val="es-CR"/>
        </w:rPr>
        <w:t xml:space="preserve">, Ángel Alberto Bellorín, Néstor Castellanos y Mercedes Prieto, y el perito Octavio José Sisco Ricciardi.  </w:t>
      </w:r>
    </w:p>
    <w:p w:rsidR="00723548" w:rsidRDefault="00723548" w:rsidP="008E0263">
      <w:pPr>
        <w:ind w:right="17"/>
        <w:jc w:val="both"/>
        <w:rPr>
          <w:rFonts w:ascii="Verdana" w:hAnsi="Verdana" w:cs="Verdana"/>
          <w:sz w:val="20"/>
          <w:szCs w:val="20"/>
        </w:rPr>
      </w:pPr>
    </w:p>
    <w:p w:rsidR="00723548" w:rsidRPr="00601830" w:rsidRDefault="00723548" w:rsidP="008E0263">
      <w:pPr>
        <w:numPr>
          <w:ilvl w:val="0"/>
          <w:numId w:val="1"/>
        </w:numPr>
        <w:ind w:right="17"/>
        <w:jc w:val="both"/>
        <w:rPr>
          <w:rFonts w:ascii="Verdana" w:hAnsi="Verdana" w:cs="Verdana"/>
          <w:sz w:val="20"/>
          <w:szCs w:val="20"/>
        </w:rPr>
      </w:pPr>
      <w:r w:rsidRPr="00601830">
        <w:rPr>
          <w:rFonts w:ascii="Verdana" w:hAnsi="Verdana" w:cs="Verdana"/>
          <w:sz w:val="20"/>
          <w:szCs w:val="20"/>
        </w:rPr>
        <w:t>Al plantear el recurso, los representantes sostuvieron, entre otros, los siguientes argumentos:</w:t>
      </w:r>
    </w:p>
    <w:p w:rsidR="00723548" w:rsidRDefault="00723548" w:rsidP="008E0263">
      <w:pPr>
        <w:ind w:right="17"/>
        <w:jc w:val="both"/>
        <w:rPr>
          <w:rFonts w:ascii="Verdana" w:hAnsi="Verdana" w:cs="Verdana"/>
          <w:sz w:val="20"/>
          <w:szCs w:val="20"/>
        </w:rPr>
      </w:pPr>
    </w:p>
    <w:p w:rsidR="00723548" w:rsidRDefault="00723548" w:rsidP="008E0263">
      <w:pPr>
        <w:pStyle w:val="ListParagraph"/>
        <w:numPr>
          <w:ilvl w:val="1"/>
          <w:numId w:val="2"/>
        </w:numPr>
        <w:tabs>
          <w:tab w:val="clear" w:pos="1080"/>
          <w:tab w:val="num" w:pos="709"/>
        </w:tabs>
        <w:ind w:left="709" w:hanging="425"/>
        <w:jc w:val="both"/>
        <w:rPr>
          <w:rFonts w:ascii="Verdana" w:hAnsi="Verdana" w:cs="Verdana"/>
          <w:sz w:val="20"/>
          <w:szCs w:val="20"/>
        </w:rPr>
      </w:pPr>
      <w:r w:rsidRPr="00B90DD3">
        <w:rPr>
          <w:rFonts w:ascii="Verdana" w:hAnsi="Verdana" w:cs="Verdana"/>
          <w:sz w:val="20"/>
          <w:szCs w:val="20"/>
        </w:rPr>
        <w:t>“denunciamos en primer lugar el inevitable desequilibrio que impregna la audiencia”. “</w:t>
      </w:r>
      <w:r>
        <w:rPr>
          <w:rFonts w:ascii="Verdana" w:hAnsi="Verdana" w:cs="Verdana"/>
          <w:sz w:val="20"/>
          <w:szCs w:val="20"/>
        </w:rPr>
        <w:t>[E]</w:t>
      </w:r>
      <w:r w:rsidRPr="00B90DD3">
        <w:rPr>
          <w:rFonts w:ascii="Verdana" w:hAnsi="Verdana" w:cs="Verdana"/>
          <w:sz w:val="20"/>
          <w:szCs w:val="20"/>
        </w:rPr>
        <w:t>n este caso los declarantes promovidos del Estado duplican a los del lado de la víctima; y la CIDH no podrá presentar en la audiencia su perito”</w:t>
      </w:r>
      <w:r>
        <w:rPr>
          <w:rFonts w:ascii="Verdana" w:hAnsi="Verdana" w:cs="Verdana"/>
          <w:sz w:val="20"/>
          <w:szCs w:val="20"/>
        </w:rPr>
        <w:t xml:space="preserve">; </w:t>
      </w:r>
    </w:p>
    <w:p w:rsidR="00723548" w:rsidRDefault="00723548" w:rsidP="008E0263">
      <w:pPr>
        <w:pStyle w:val="ListParagraph"/>
        <w:numPr>
          <w:ilvl w:val="1"/>
          <w:numId w:val="2"/>
        </w:numPr>
        <w:tabs>
          <w:tab w:val="clear" w:pos="1080"/>
          <w:tab w:val="num" w:pos="709"/>
        </w:tabs>
        <w:ind w:left="709" w:hanging="425"/>
        <w:jc w:val="both"/>
        <w:rPr>
          <w:rFonts w:ascii="Verdana" w:hAnsi="Verdana" w:cs="Verdana"/>
          <w:sz w:val="20"/>
          <w:szCs w:val="20"/>
        </w:rPr>
      </w:pPr>
      <w:r>
        <w:rPr>
          <w:rFonts w:ascii="Verdana" w:hAnsi="Verdana" w:cs="Verdana"/>
          <w:sz w:val="20"/>
          <w:szCs w:val="20"/>
        </w:rPr>
        <w:t>i</w:t>
      </w:r>
      <w:r w:rsidRPr="002B17FB">
        <w:rPr>
          <w:rFonts w:ascii="Verdana" w:hAnsi="Verdana" w:cs="Verdana"/>
          <w:sz w:val="20"/>
          <w:szCs w:val="20"/>
        </w:rPr>
        <w:t>ndican que entienden “las insuficiencias materiales que padece la Corte le imponen limitar estrechamente la duración de sus audiencias”, pero consideran que “el sacrificio tiene que ser compartido y no puede imponerse uno mayor a una de las partes”. El Estado podrá presentar en la audiencia (5) cinco declar</w:t>
      </w:r>
      <w:r>
        <w:rPr>
          <w:rFonts w:ascii="Verdana" w:hAnsi="Verdana" w:cs="Verdana"/>
          <w:sz w:val="20"/>
          <w:szCs w:val="20"/>
        </w:rPr>
        <w:t>antes (4 testigos y un perito),</w:t>
      </w:r>
      <w:r w:rsidRPr="002B17FB">
        <w:rPr>
          <w:rFonts w:ascii="Verdana" w:hAnsi="Verdana" w:cs="Verdana"/>
          <w:sz w:val="20"/>
          <w:szCs w:val="20"/>
        </w:rPr>
        <w:t xml:space="preserve"> mientras que los representantes solamente (3) tres (presunta víctima, un testigo y un perito), y la Comisión no podrá presentar a su perito en la audiencia</w:t>
      </w:r>
      <w:r>
        <w:rPr>
          <w:rFonts w:ascii="Verdana" w:hAnsi="Verdana" w:cs="Verdana"/>
          <w:sz w:val="20"/>
          <w:szCs w:val="20"/>
        </w:rPr>
        <w:t>, y</w:t>
      </w:r>
    </w:p>
    <w:p w:rsidR="00723548" w:rsidRDefault="00723548" w:rsidP="008E0263">
      <w:pPr>
        <w:pStyle w:val="ListParagraph"/>
        <w:numPr>
          <w:ilvl w:val="1"/>
          <w:numId w:val="2"/>
        </w:numPr>
        <w:tabs>
          <w:tab w:val="clear" w:pos="1080"/>
          <w:tab w:val="num" w:pos="709"/>
        </w:tabs>
        <w:ind w:left="709" w:hanging="425"/>
        <w:jc w:val="both"/>
        <w:rPr>
          <w:rFonts w:ascii="Verdana" w:hAnsi="Verdana" w:cs="Verdana"/>
          <w:sz w:val="20"/>
          <w:szCs w:val="20"/>
        </w:rPr>
      </w:pPr>
      <w:r w:rsidRPr="00B237DB">
        <w:rPr>
          <w:rFonts w:ascii="Verdana" w:hAnsi="Verdana" w:cs="Verdana"/>
          <w:sz w:val="20"/>
          <w:szCs w:val="20"/>
        </w:rPr>
        <w:t>consideran, además, que se produce</w:t>
      </w:r>
      <w:r w:rsidRPr="002B17FB">
        <w:rPr>
          <w:rFonts w:ascii="Verdana" w:hAnsi="Verdana" w:cs="Verdana"/>
          <w:sz w:val="20"/>
          <w:szCs w:val="20"/>
        </w:rPr>
        <w:t xml:space="preserve"> un </w:t>
      </w:r>
      <w:r>
        <w:rPr>
          <w:rFonts w:ascii="Verdana" w:hAnsi="Verdana" w:cs="Verdana"/>
          <w:sz w:val="20"/>
          <w:szCs w:val="20"/>
        </w:rPr>
        <w:t>“</w:t>
      </w:r>
      <w:r w:rsidRPr="002B17FB">
        <w:rPr>
          <w:rFonts w:ascii="Verdana" w:hAnsi="Verdana" w:cs="Verdana"/>
          <w:sz w:val="20"/>
          <w:szCs w:val="20"/>
        </w:rPr>
        <w:t>desequilibrio cualitativo</w:t>
      </w:r>
      <w:r>
        <w:rPr>
          <w:rFonts w:ascii="Verdana" w:hAnsi="Verdana" w:cs="Verdana"/>
          <w:sz w:val="20"/>
          <w:szCs w:val="20"/>
        </w:rPr>
        <w:t>”</w:t>
      </w:r>
      <w:r w:rsidRPr="002B17FB">
        <w:rPr>
          <w:rFonts w:ascii="Verdana" w:hAnsi="Verdana" w:cs="Verdana"/>
          <w:sz w:val="20"/>
          <w:szCs w:val="20"/>
        </w:rPr>
        <w:t xml:space="preserve">. Impugnan </w:t>
      </w:r>
      <w:r w:rsidRPr="00B237DB">
        <w:rPr>
          <w:rFonts w:ascii="Verdana" w:hAnsi="Verdana" w:cs="Verdana"/>
          <w:sz w:val="20"/>
          <w:szCs w:val="20"/>
        </w:rPr>
        <w:t>que se haya</w:t>
      </w:r>
      <w:r w:rsidRPr="002B17FB">
        <w:rPr>
          <w:rFonts w:ascii="Verdana" w:hAnsi="Verdana" w:cs="Verdana"/>
          <w:sz w:val="20"/>
          <w:szCs w:val="20"/>
        </w:rPr>
        <w:t xml:space="preserve"> convocado a la audiencia a</w:t>
      </w:r>
      <w:r>
        <w:rPr>
          <w:rFonts w:ascii="Verdana" w:hAnsi="Verdana" w:cs="Verdana"/>
          <w:sz w:val="20"/>
          <w:szCs w:val="20"/>
        </w:rPr>
        <w:t xml:space="preserve">l señor </w:t>
      </w:r>
      <w:r w:rsidRPr="00015340">
        <w:rPr>
          <w:rFonts w:ascii="Verdana" w:hAnsi="Verdana" w:cs="Verdana"/>
          <w:sz w:val="20"/>
          <w:szCs w:val="20"/>
          <w:lang w:val="es-CR"/>
        </w:rPr>
        <w:t>Julián Isaías Rodríguez</w:t>
      </w:r>
      <w:r>
        <w:rPr>
          <w:rFonts w:ascii="Verdana" w:hAnsi="Verdana" w:cs="Verdana"/>
          <w:sz w:val="20"/>
          <w:szCs w:val="20"/>
          <w:lang w:val="es-CR"/>
        </w:rPr>
        <w:t>,</w:t>
      </w:r>
      <w:r w:rsidRPr="002B17FB">
        <w:rPr>
          <w:rFonts w:ascii="Verdana" w:hAnsi="Verdana" w:cs="Verdana"/>
          <w:sz w:val="20"/>
          <w:szCs w:val="20"/>
        </w:rPr>
        <w:t xml:space="preserve"> testigo del Estado que se referirá a supuestos hechos que </w:t>
      </w:r>
      <w:r>
        <w:rPr>
          <w:rFonts w:ascii="Verdana" w:hAnsi="Verdana" w:cs="Verdana"/>
          <w:sz w:val="20"/>
          <w:szCs w:val="20"/>
        </w:rPr>
        <w:t xml:space="preserve">los representantes consideran </w:t>
      </w:r>
      <w:r w:rsidRPr="002B17FB">
        <w:rPr>
          <w:rFonts w:ascii="Verdana" w:hAnsi="Verdana" w:cs="Verdana"/>
          <w:sz w:val="20"/>
          <w:szCs w:val="20"/>
        </w:rPr>
        <w:t xml:space="preserve">fuera del objeto del caso y que el Presidente </w:t>
      </w:r>
      <w:r w:rsidRPr="00ED7377">
        <w:rPr>
          <w:rFonts w:ascii="Verdana" w:hAnsi="Verdana" w:cs="Verdana"/>
          <w:sz w:val="20"/>
          <w:szCs w:val="20"/>
        </w:rPr>
        <w:t>consideró que pueden entenderse relacionados con los antecedentes fácticos expuestos por la Comisión en su Informe de fondo. Cuestionan que no se oiga</w:t>
      </w:r>
      <w:r>
        <w:rPr>
          <w:rFonts w:ascii="Verdana" w:hAnsi="Verdana" w:cs="Verdana"/>
          <w:sz w:val="20"/>
          <w:szCs w:val="20"/>
        </w:rPr>
        <w:t xml:space="preserve"> </w:t>
      </w:r>
      <w:r w:rsidRPr="002B17FB">
        <w:rPr>
          <w:rFonts w:ascii="Verdana" w:hAnsi="Verdana" w:cs="Verdana"/>
          <w:sz w:val="20"/>
          <w:szCs w:val="20"/>
        </w:rPr>
        <w:t xml:space="preserve">presencialmente a los peritos </w:t>
      </w:r>
      <w:r w:rsidRPr="00015340">
        <w:rPr>
          <w:rFonts w:ascii="Verdana" w:hAnsi="Verdana" w:cs="Verdana"/>
          <w:sz w:val="20"/>
          <w:szCs w:val="20"/>
          <w:lang w:val="es-CR"/>
        </w:rPr>
        <w:t>Antonio Canova González</w:t>
      </w:r>
      <w:r w:rsidRPr="002B17FB">
        <w:rPr>
          <w:rFonts w:ascii="Verdana" w:hAnsi="Verdana" w:cs="Verdana"/>
          <w:sz w:val="20"/>
          <w:szCs w:val="20"/>
        </w:rPr>
        <w:t xml:space="preserve"> </w:t>
      </w:r>
      <w:r>
        <w:rPr>
          <w:rFonts w:ascii="Verdana" w:hAnsi="Verdana" w:cs="Verdana"/>
          <w:sz w:val="20"/>
          <w:szCs w:val="20"/>
        </w:rPr>
        <w:t xml:space="preserve">y </w:t>
      </w:r>
      <w:r w:rsidRPr="00015340">
        <w:rPr>
          <w:rFonts w:ascii="Verdana" w:hAnsi="Verdana" w:cs="Verdana"/>
          <w:sz w:val="20"/>
          <w:szCs w:val="20"/>
          <w:lang w:val="es-CR"/>
        </w:rPr>
        <w:t>Carlos Tiffer Sotomayor</w:t>
      </w:r>
      <w:r>
        <w:rPr>
          <w:rFonts w:ascii="Verdana" w:hAnsi="Verdana" w:cs="Verdana"/>
          <w:sz w:val="20"/>
          <w:szCs w:val="20"/>
        </w:rPr>
        <w:t xml:space="preserve">, </w:t>
      </w:r>
      <w:r w:rsidRPr="002B17FB">
        <w:rPr>
          <w:rFonts w:ascii="Verdana" w:hAnsi="Verdana" w:cs="Verdana"/>
          <w:sz w:val="20"/>
          <w:szCs w:val="20"/>
        </w:rPr>
        <w:t>propuestos por los representantes, cuyas declaraciones versan sobre “aspectos cardinales del caso”.</w:t>
      </w:r>
    </w:p>
    <w:p w:rsidR="00723548" w:rsidRPr="002C621E" w:rsidRDefault="00723548" w:rsidP="00723548">
      <w:pPr>
        <w:ind w:right="18"/>
        <w:jc w:val="both"/>
        <w:rPr>
          <w:rFonts w:ascii="Verdana" w:hAnsi="Verdana" w:cs="Verdana"/>
          <w:sz w:val="20"/>
          <w:szCs w:val="20"/>
        </w:rPr>
      </w:pPr>
    </w:p>
    <w:p w:rsidR="00723548" w:rsidRPr="002C621E" w:rsidRDefault="00723548" w:rsidP="00723548">
      <w:pPr>
        <w:ind w:right="18"/>
        <w:jc w:val="both"/>
        <w:rPr>
          <w:rFonts w:ascii="Verdana" w:hAnsi="Verdana" w:cs="Verdana"/>
          <w:sz w:val="20"/>
          <w:szCs w:val="20"/>
        </w:rPr>
      </w:pPr>
      <w:r>
        <w:rPr>
          <w:rFonts w:ascii="Verdana" w:hAnsi="Verdana" w:cs="Verdana"/>
          <w:sz w:val="20"/>
          <w:szCs w:val="20"/>
        </w:rPr>
        <w:t>7.</w:t>
      </w:r>
      <w:r>
        <w:rPr>
          <w:rFonts w:ascii="Verdana" w:hAnsi="Verdana" w:cs="Verdana"/>
          <w:sz w:val="20"/>
          <w:szCs w:val="20"/>
        </w:rPr>
        <w:tab/>
      </w:r>
      <w:r w:rsidRPr="002C621E">
        <w:rPr>
          <w:rFonts w:ascii="Verdana" w:hAnsi="Verdana" w:cs="Verdana"/>
          <w:sz w:val="20"/>
          <w:szCs w:val="20"/>
        </w:rPr>
        <w:t>En sus observaciones al recurso de los representantes</w:t>
      </w:r>
      <w:r w:rsidR="00786DC7">
        <w:rPr>
          <w:rFonts w:ascii="Verdana" w:hAnsi="Verdana" w:cs="Verdana"/>
          <w:sz w:val="20"/>
          <w:szCs w:val="20"/>
        </w:rPr>
        <w:t xml:space="preserve"> (</w:t>
      </w:r>
      <w:r w:rsidR="00786DC7" w:rsidRPr="00786DC7">
        <w:rPr>
          <w:rFonts w:ascii="Verdana" w:hAnsi="Verdana" w:cs="Verdana"/>
          <w:i/>
          <w:sz w:val="20"/>
          <w:szCs w:val="20"/>
        </w:rPr>
        <w:t>supra</w:t>
      </w:r>
      <w:r w:rsidR="00786DC7">
        <w:rPr>
          <w:rFonts w:ascii="Verdana" w:hAnsi="Verdana" w:cs="Verdana"/>
          <w:sz w:val="20"/>
          <w:szCs w:val="20"/>
        </w:rPr>
        <w:t xml:space="preserve"> Visto 4)</w:t>
      </w:r>
      <w:r w:rsidRPr="002C621E">
        <w:rPr>
          <w:rFonts w:ascii="Verdana" w:hAnsi="Verdana" w:cs="Verdana"/>
          <w:sz w:val="20"/>
          <w:szCs w:val="20"/>
        </w:rPr>
        <w:t xml:space="preserve">, la Comisión Interamericana señaló que </w:t>
      </w:r>
      <w:r w:rsidRPr="002C621E">
        <w:rPr>
          <w:rFonts w:ascii="Verdana" w:hAnsi="Verdana" w:cs="Verdana"/>
          <w:color w:val="000000"/>
          <w:sz w:val="20"/>
          <w:szCs w:val="20"/>
          <w:lang w:val="es-CR"/>
        </w:rPr>
        <w:t>“los actos de aceptación de pruebas y la definición de la modalidad en la cual serán recibidas, deben estar especialmente regidas por los principios de igualdad pr</w:t>
      </w:r>
      <w:r>
        <w:rPr>
          <w:rFonts w:ascii="Verdana" w:hAnsi="Verdana" w:cs="Verdana"/>
          <w:color w:val="000000"/>
          <w:sz w:val="20"/>
          <w:szCs w:val="20"/>
          <w:lang w:val="es-CR"/>
        </w:rPr>
        <w:t xml:space="preserve">ocesal y contradictorio”. En </w:t>
      </w:r>
      <w:r w:rsidRPr="002C621E">
        <w:rPr>
          <w:rFonts w:ascii="Verdana" w:hAnsi="Verdana" w:cs="Verdana"/>
          <w:color w:val="000000"/>
          <w:sz w:val="20"/>
          <w:szCs w:val="20"/>
          <w:lang w:val="es-CR"/>
        </w:rPr>
        <w:t xml:space="preserve">opinión de la Comisión, “una diferencia sustantiva en la cantidad de pruebas recibidas en audiencia pública bajo el principio de inmediación, puede resultar problemática a la luz de los referidos principios”. Asimismo, argumentó que “en términos </w:t>
      </w:r>
      <w:r w:rsidRPr="00E62EBE">
        <w:rPr>
          <w:rFonts w:ascii="Verdana" w:hAnsi="Verdana" w:cs="Verdana"/>
          <w:color w:val="000000"/>
          <w:sz w:val="20"/>
          <w:szCs w:val="20"/>
          <w:lang w:val="es-CR"/>
        </w:rPr>
        <w:t xml:space="preserve">generales, la práctica de </w:t>
      </w:r>
      <w:r w:rsidRPr="00E62EBE">
        <w:rPr>
          <w:rFonts w:ascii="Verdana" w:hAnsi="Verdana" w:cs="Verdana"/>
          <w:color w:val="000000"/>
          <w:sz w:val="20"/>
          <w:szCs w:val="20"/>
          <w:lang w:val="es-CR"/>
        </w:rPr>
        <w:lastRenderedPageBreak/>
        <w:t>la Presidencia de la Corte ha sido la de aceptar igual o similar cantidad de declarantes en audiencia por cada parte en el proceso. La Comisión nota que en aquellos casos en los cuales se observa una diferencia sustantiva en la cantidad de declarantes de una parte respecto de la otra, ello se debe a que la parte que cuenta con menos declaraciones en audiencias, efectuó un ofrecimiento sustantivamente menor al de la otra parte”.</w:t>
      </w:r>
      <w:r w:rsidRPr="00E62EBE">
        <w:rPr>
          <w:rFonts w:ascii="Verdana" w:hAnsi="Verdana" w:cs="Verdana"/>
          <w:sz w:val="20"/>
          <w:szCs w:val="20"/>
        </w:rPr>
        <w:t xml:space="preserve"> </w:t>
      </w:r>
      <w:r w:rsidRPr="00E62EBE">
        <w:rPr>
          <w:rFonts w:ascii="Verdana" w:hAnsi="Verdana" w:cs="Verdana"/>
          <w:color w:val="000000"/>
          <w:sz w:val="20"/>
          <w:szCs w:val="20"/>
          <w:lang w:val="es-CR"/>
        </w:rPr>
        <w:t>Asimismo, la Comisión hizo notar que el único perito que propuso</w:t>
      </w:r>
      <w:r w:rsidRPr="002C621E">
        <w:rPr>
          <w:rFonts w:ascii="Verdana" w:hAnsi="Verdana" w:cs="Verdana"/>
          <w:color w:val="000000"/>
          <w:sz w:val="20"/>
          <w:szCs w:val="20"/>
          <w:lang w:val="es-CR"/>
        </w:rPr>
        <w:t xml:space="preserve"> fue convocado a declarar por </w:t>
      </w:r>
      <w:r w:rsidRPr="002C621E">
        <w:rPr>
          <w:rFonts w:ascii="Verdana" w:hAnsi="Verdana" w:cs="Verdana"/>
          <w:i/>
          <w:iCs/>
          <w:color w:val="000000"/>
          <w:sz w:val="20"/>
          <w:szCs w:val="20"/>
          <w:lang w:val="es-CR"/>
        </w:rPr>
        <w:t>affidavit,</w:t>
      </w:r>
      <w:r w:rsidRPr="002C621E">
        <w:rPr>
          <w:rFonts w:ascii="Verdana" w:hAnsi="Verdana" w:cs="Verdana"/>
          <w:color w:val="000000"/>
          <w:sz w:val="20"/>
          <w:szCs w:val="20"/>
          <w:lang w:val="es-CR"/>
        </w:rPr>
        <w:t xml:space="preserve"> “no obstante la CIDH había solicitado su recepción en audiencia pública dada la relevancia de su declaración”.</w:t>
      </w:r>
      <w:r w:rsidR="00786DC7">
        <w:rPr>
          <w:rFonts w:ascii="Verdana" w:hAnsi="Verdana" w:cs="Verdana"/>
          <w:color w:val="000000"/>
          <w:sz w:val="20"/>
          <w:szCs w:val="20"/>
          <w:lang w:val="es-CR"/>
        </w:rPr>
        <w:t xml:space="preserve"> </w:t>
      </w:r>
    </w:p>
    <w:p w:rsidR="00723548" w:rsidRDefault="00723548" w:rsidP="00723548">
      <w:pPr>
        <w:ind w:right="18"/>
        <w:jc w:val="both"/>
        <w:rPr>
          <w:rFonts w:ascii="Verdana" w:hAnsi="Verdana" w:cs="Verdana"/>
          <w:sz w:val="20"/>
          <w:szCs w:val="20"/>
          <w:lang w:val="es-CR"/>
        </w:rPr>
      </w:pPr>
    </w:p>
    <w:p w:rsidR="004A7D80" w:rsidRPr="003B0B27" w:rsidRDefault="00723548" w:rsidP="00723548">
      <w:pPr>
        <w:ind w:right="18"/>
        <w:jc w:val="both"/>
        <w:rPr>
          <w:rFonts w:ascii="Verdana" w:hAnsi="Verdana" w:cs="Verdana"/>
          <w:sz w:val="20"/>
          <w:szCs w:val="20"/>
        </w:rPr>
      </w:pPr>
      <w:r w:rsidRPr="003A2CDB">
        <w:rPr>
          <w:rFonts w:ascii="Verdana" w:hAnsi="Verdana" w:cs="Verdana"/>
          <w:sz w:val="20"/>
          <w:szCs w:val="20"/>
        </w:rPr>
        <w:t>8.</w:t>
      </w:r>
      <w:r w:rsidRPr="003A2CDB">
        <w:rPr>
          <w:rFonts w:ascii="Verdana" w:hAnsi="Verdana" w:cs="Verdana"/>
          <w:sz w:val="20"/>
          <w:szCs w:val="20"/>
        </w:rPr>
        <w:tab/>
        <w:t xml:space="preserve">En primer término, </w:t>
      </w:r>
      <w:r w:rsidRPr="003B0B27">
        <w:rPr>
          <w:rFonts w:ascii="Verdana" w:hAnsi="Verdana" w:cs="Verdana"/>
          <w:sz w:val="20"/>
          <w:szCs w:val="20"/>
        </w:rPr>
        <w:t>la Corte</w:t>
      </w:r>
      <w:r w:rsidR="002807D6" w:rsidRPr="003B0B27">
        <w:rPr>
          <w:rFonts w:ascii="Verdana" w:hAnsi="Verdana" w:cs="Verdana"/>
          <w:sz w:val="20"/>
          <w:szCs w:val="20"/>
        </w:rPr>
        <w:t xml:space="preserve"> hace notar que con su impugnación</w:t>
      </w:r>
      <w:r w:rsidRPr="003B0B27">
        <w:rPr>
          <w:rFonts w:ascii="Verdana" w:hAnsi="Verdana" w:cs="Verdana"/>
          <w:sz w:val="20"/>
          <w:szCs w:val="20"/>
        </w:rPr>
        <w:t xml:space="preserve"> los representantes no </w:t>
      </w:r>
      <w:r w:rsidR="002807D6" w:rsidRPr="003B0B27">
        <w:rPr>
          <w:rFonts w:ascii="Verdana" w:hAnsi="Verdana" w:cs="Verdana"/>
          <w:sz w:val="20"/>
          <w:szCs w:val="20"/>
        </w:rPr>
        <w:t>están alegando que se les hubies</w:t>
      </w:r>
      <w:r w:rsidRPr="003B0B27">
        <w:rPr>
          <w:rFonts w:ascii="Verdana" w:hAnsi="Verdana" w:cs="Verdana"/>
          <w:sz w:val="20"/>
          <w:szCs w:val="20"/>
        </w:rPr>
        <w:t xml:space="preserve">e inadmitido prueba relevante para la decisión del caso, sino que están disconformes con la decisión relativa a quiénes fueron llamados a declarar en la audiencia pública y quiénes deberán rendir su declaración por affidávit y consideran </w:t>
      </w:r>
      <w:r w:rsidR="00786DC7">
        <w:rPr>
          <w:rFonts w:ascii="Verdana" w:hAnsi="Verdana" w:cs="Verdana"/>
          <w:sz w:val="20"/>
          <w:szCs w:val="20"/>
        </w:rPr>
        <w:t xml:space="preserve">que tal decisión </w:t>
      </w:r>
      <w:r w:rsidRPr="003B0B27">
        <w:rPr>
          <w:rFonts w:ascii="Verdana" w:hAnsi="Verdana" w:cs="Verdana"/>
          <w:sz w:val="20"/>
          <w:szCs w:val="20"/>
        </w:rPr>
        <w:t xml:space="preserve">vulnera los principios de “igualdad[, … equilibrio procesal [e] igualdad de armas”. Al respecto, el Tribunal enfatiza que el principio de igualdad procesal se garantiza asegurando que las partes cuenten con las mismas oportunidades de presentar argumentos y ofrecer medios de prueba pertinentes dirigidos a fundamentar sus posiciones en este proceso internacional. Corresponde al Tribunal o </w:t>
      </w:r>
      <w:r w:rsidR="002807D6" w:rsidRPr="003B0B27">
        <w:rPr>
          <w:rFonts w:ascii="Verdana" w:hAnsi="Verdana" w:cs="Verdana"/>
          <w:sz w:val="20"/>
          <w:szCs w:val="20"/>
        </w:rPr>
        <w:t xml:space="preserve">a </w:t>
      </w:r>
      <w:r w:rsidRPr="003B0B27">
        <w:rPr>
          <w:rFonts w:ascii="Verdana" w:hAnsi="Verdana" w:cs="Verdana"/>
          <w:sz w:val="20"/>
          <w:szCs w:val="20"/>
        </w:rPr>
        <w:t>su Presidencia decidir sobre la admisibilidad de la prueba propuesta de acuerdo a lo dispuesto en las normas reglamentarias que rigen la materia</w:t>
      </w:r>
      <w:r w:rsidR="00786DC7">
        <w:rPr>
          <w:rFonts w:ascii="Verdana" w:hAnsi="Verdana" w:cs="Verdana"/>
          <w:sz w:val="20"/>
          <w:szCs w:val="20"/>
        </w:rPr>
        <w:t>, así como decidir si recibirla de forma escrita o en audiencia pública</w:t>
      </w:r>
      <w:r w:rsidRPr="003B0B27">
        <w:rPr>
          <w:rFonts w:ascii="Verdana" w:hAnsi="Verdana" w:cs="Verdana"/>
          <w:sz w:val="20"/>
          <w:szCs w:val="20"/>
        </w:rPr>
        <w:t xml:space="preserve">. </w:t>
      </w:r>
    </w:p>
    <w:p w:rsidR="004A7D80" w:rsidRPr="003B0B27" w:rsidRDefault="004A7D80" w:rsidP="00723548">
      <w:pPr>
        <w:ind w:right="18"/>
        <w:jc w:val="both"/>
        <w:rPr>
          <w:rFonts w:ascii="Verdana" w:hAnsi="Verdana" w:cs="Verdana"/>
          <w:sz w:val="20"/>
          <w:szCs w:val="20"/>
        </w:rPr>
      </w:pPr>
    </w:p>
    <w:p w:rsidR="00723548" w:rsidRPr="003A2CDB" w:rsidRDefault="003B0B27" w:rsidP="00723548">
      <w:pPr>
        <w:ind w:right="18"/>
        <w:jc w:val="both"/>
        <w:rPr>
          <w:rFonts w:ascii="Verdana" w:hAnsi="Verdana" w:cs="Verdana"/>
          <w:b/>
          <w:sz w:val="20"/>
          <w:szCs w:val="20"/>
        </w:rPr>
      </w:pPr>
      <w:r w:rsidRPr="003B0B27">
        <w:rPr>
          <w:rFonts w:ascii="Verdana" w:hAnsi="Verdana" w:cs="Verdana"/>
          <w:sz w:val="20"/>
          <w:szCs w:val="20"/>
        </w:rPr>
        <w:t>9</w:t>
      </w:r>
      <w:r w:rsidR="004A7D80" w:rsidRPr="003B0B27">
        <w:rPr>
          <w:rFonts w:ascii="Verdana" w:hAnsi="Verdana" w:cs="Verdana"/>
          <w:sz w:val="20"/>
          <w:szCs w:val="20"/>
        </w:rPr>
        <w:t>.</w:t>
      </w:r>
      <w:r w:rsidR="004A7D80" w:rsidRPr="003B0B27">
        <w:rPr>
          <w:rFonts w:ascii="Verdana" w:hAnsi="Verdana" w:cs="Verdana"/>
          <w:sz w:val="20"/>
          <w:szCs w:val="20"/>
        </w:rPr>
        <w:tab/>
      </w:r>
      <w:r w:rsidR="004A7D80">
        <w:rPr>
          <w:rFonts w:ascii="Verdana" w:hAnsi="Verdana" w:cs="Verdana"/>
          <w:sz w:val="20"/>
          <w:szCs w:val="20"/>
        </w:rPr>
        <w:t xml:space="preserve">El Tribunal destaca que, de acuerdo a lo establecido en </w:t>
      </w:r>
      <w:r w:rsidR="004A7D80" w:rsidRPr="002B0BC2">
        <w:rPr>
          <w:rFonts w:ascii="Verdana" w:hAnsi="Verdana" w:cs="Verdana"/>
          <w:sz w:val="20"/>
          <w:szCs w:val="20"/>
        </w:rPr>
        <w:t>los artículos 50 y 51 del Reglamento de la Corte</w:t>
      </w:r>
      <w:r w:rsidR="004A7D80">
        <w:rPr>
          <w:rFonts w:ascii="Verdana" w:hAnsi="Verdana" w:cs="Verdana"/>
          <w:sz w:val="20"/>
          <w:szCs w:val="20"/>
        </w:rPr>
        <w:t>,</w:t>
      </w:r>
      <w:r w:rsidR="004A7D80" w:rsidRPr="002B0BC2">
        <w:rPr>
          <w:rFonts w:ascii="Verdana" w:hAnsi="Verdana" w:cs="Verdana"/>
          <w:sz w:val="20"/>
          <w:szCs w:val="20"/>
        </w:rPr>
        <w:t xml:space="preserve"> </w:t>
      </w:r>
      <w:r w:rsidR="004A7D80">
        <w:rPr>
          <w:rFonts w:ascii="Verdana" w:hAnsi="Verdana" w:cs="Verdana"/>
          <w:sz w:val="20"/>
          <w:szCs w:val="20"/>
        </w:rPr>
        <w:t>las declaraciones de presuntas víctimas, testigos y peritos</w:t>
      </w:r>
      <w:r w:rsidR="004A7D80" w:rsidRPr="009860AB">
        <w:rPr>
          <w:rFonts w:ascii="Verdana" w:hAnsi="Verdana" w:cs="Verdana"/>
          <w:sz w:val="20"/>
          <w:szCs w:val="20"/>
        </w:rPr>
        <w:t xml:space="preserve"> </w:t>
      </w:r>
      <w:r w:rsidR="004A7D80">
        <w:rPr>
          <w:rFonts w:ascii="Verdana" w:hAnsi="Verdana" w:cs="Verdana"/>
          <w:sz w:val="20"/>
          <w:szCs w:val="20"/>
        </w:rPr>
        <w:t>rendida</w:t>
      </w:r>
      <w:r w:rsidR="004A7D80" w:rsidRPr="009860AB">
        <w:rPr>
          <w:rFonts w:ascii="Verdana" w:hAnsi="Verdana" w:cs="Verdana"/>
          <w:sz w:val="20"/>
          <w:szCs w:val="20"/>
        </w:rPr>
        <w:t>s por</w:t>
      </w:r>
      <w:r w:rsidR="004A7D80" w:rsidRPr="00F04176">
        <w:rPr>
          <w:rFonts w:ascii="Verdana" w:hAnsi="Verdana" w:cs="Verdana"/>
          <w:sz w:val="20"/>
          <w:szCs w:val="20"/>
        </w:rPr>
        <w:t xml:space="preserve"> ambas modalidades </w:t>
      </w:r>
      <w:r w:rsidR="004A7D80">
        <w:rPr>
          <w:rFonts w:ascii="Verdana" w:hAnsi="Verdana" w:cs="Verdana"/>
          <w:sz w:val="20"/>
          <w:szCs w:val="20"/>
        </w:rPr>
        <w:t xml:space="preserve">(affidavit o audiencia) </w:t>
      </w:r>
      <w:r w:rsidR="004A7D80" w:rsidRPr="00F04176">
        <w:rPr>
          <w:rFonts w:ascii="Verdana" w:hAnsi="Verdana" w:cs="Verdana"/>
          <w:sz w:val="20"/>
          <w:szCs w:val="20"/>
        </w:rPr>
        <w:t xml:space="preserve">constituyen de igual forma un medio de prueba que es valorado por la Corte según los </w:t>
      </w:r>
      <w:r w:rsidR="004A7D80" w:rsidRPr="00F04176">
        <w:rPr>
          <w:rFonts w:ascii="Verdana" w:eastAsia="Batang" w:hAnsi="Verdana" w:cs="Verdana"/>
          <w:sz w:val="20"/>
          <w:szCs w:val="20"/>
          <w:lang w:val="es-CR"/>
        </w:rPr>
        <w:t>principios de la sana crítica, dentro del marco normativo correspondiente</w:t>
      </w:r>
      <w:r w:rsidR="004A7D80" w:rsidRPr="003B0B27">
        <w:rPr>
          <w:rFonts w:ascii="Verdana" w:eastAsia="Batang" w:hAnsi="Verdana"/>
          <w:sz w:val="20"/>
          <w:szCs w:val="20"/>
          <w:vertAlign w:val="superscript"/>
          <w:lang w:val="es-CR"/>
        </w:rPr>
        <w:footnoteReference w:id="8"/>
      </w:r>
      <w:r w:rsidR="004A7D80" w:rsidRPr="003B0B27">
        <w:rPr>
          <w:rFonts w:ascii="Verdana" w:eastAsia="Batang" w:hAnsi="Verdana" w:cs="Verdana"/>
          <w:sz w:val="20"/>
          <w:szCs w:val="20"/>
          <w:lang w:val="es-CR"/>
        </w:rPr>
        <w:t>.</w:t>
      </w:r>
      <w:r w:rsidR="004A7D80" w:rsidRPr="003B0B27">
        <w:rPr>
          <w:rFonts w:ascii="Verdana" w:hAnsi="Verdana" w:cs="Verdana"/>
          <w:sz w:val="20"/>
          <w:szCs w:val="20"/>
        </w:rPr>
        <w:t xml:space="preserve"> E</w:t>
      </w:r>
      <w:r w:rsidR="00723548" w:rsidRPr="003B0B27">
        <w:rPr>
          <w:rFonts w:ascii="Verdana" w:hAnsi="Verdana" w:cs="Verdana"/>
          <w:sz w:val="20"/>
          <w:szCs w:val="20"/>
        </w:rPr>
        <w:t xml:space="preserve">n los casos en que la Corte decida convocar a una audiencia pública, </w:t>
      </w:r>
      <w:r w:rsidR="004A7D80" w:rsidRPr="003B0B27">
        <w:rPr>
          <w:rFonts w:ascii="Verdana" w:hAnsi="Verdana" w:cs="Verdana"/>
          <w:sz w:val="20"/>
          <w:szCs w:val="20"/>
        </w:rPr>
        <w:t xml:space="preserve">el </w:t>
      </w:r>
      <w:r w:rsidR="00723548" w:rsidRPr="003A2CDB">
        <w:rPr>
          <w:rFonts w:ascii="Verdana" w:hAnsi="Verdana" w:cs="Verdana"/>
          <w:sz w:val="20"/>
          <w:szCs w:val="20"/>
        </w:rPr>
        <w:t xml:space="preserve">artículo 50.1 del Reglamento estipula como una facultad discrecional de la Corte o </w:t>
      </w:r>
      <w:r w:rsidR="002807D6">
        <w:rPr>
          <w:rFonts w:ascii="Verdana" w:hAnsi="Verdana" w:cs="Verdana"/>
          <w:sz w:val="20"/>
          <w:szCs w:val="20"/>
        </w:rPr>
        <w:t xml:space="preserve">de </w:t>
      </w:r>
      <w:r w:rsidR="00723548" w:rsidRPr="003A2CDB">
        <w:rPr>
          <w:rFonts w:ascii="Verdana" w:hAnsi="Verdana" w:cs="Verdana"/>
          <w:sz w:val="20"/>
          <w:szCs w:val="20"/>
        </w:rPr>
        <w:t>su Presidencia determinar cuáles declaraciones deben ser rendidas ante fedatario público (affidávit) y cuáles estima necesario que sean rendidas en audiencia</w:t>
      </w:r>
      <w:r w:rsidR="00723548" w:rsidRPr="003A2CDB">
        <w:rPr>
          <w:rStyle w:val="FootnoteReference"/>
          <w:rFonts w:ascii="Verdana" w:hAnsi="Verdana" w:cs="Verdana"/>
          <w:sz w:val="20"/>
          <w:szCs w:val="20"/>
        </w:rPr>
        <w:footnoteReference w:id="9"/>
      </w:r>
      <w:r w:rsidR="00723548" w:rsidRPr="003A2CDB">
        <w:rPr>
          <w:rFonts w:ascii="Verdana" w:hAnsi="Verdana" w:cs="Verdana"/>
          <w:sz w:val="20"/>
          <w:szCs w:val="20"/>
        </w:rPr>
        <w:t>.</w:t>
      </w:r>
      <w:r w:rsidR="00723548" w:rsidRPr="003B0B27">
        <w:rPr>
          <w:rFonts w:ascii="Verdana" w:hAnsi="Verdana" w:cs="Verdana"/>
          <w:sz w:val="20"/>
          <w:szCs w:val="20"/>
        </w:rPr>
        <w:t xml:space="preserve"> Para determinar cuáles medios de prueba recibir en la audiencia pública, la Corte o su Presidencia realizan una evaluación basada en criterios de relevancia de la prueba para resolver el caso. Ello puede implicar </w:t>
      </w:r>
      <w:r w:rsidR="00723548" w:rsidRPr="003B0B27">
        <w:rPr>
          <w:rFonts w:ascii="Verdana" w:hAnsi="Verdana" w:cs="Verdana"/>
          <w:color w:val="000000"/>
          <w:sz w:val="20"/>
          <w:szCs w:val="20"/>
          <w:lang w:val="es-CR"/>
        </w:rPr>
        <w:t xml:space="preserve">ordenar </w:t>
      </w:r>
      <w:r w:rsidR="002807D6" w:rsidRPr="003B0B27">
        <w:rPr>
          <w:rFonts w:ascii="Verdana" w:hAnsi="Verdana" w:cs="Verdana"/>
          <w:color w:val="000000"/>
          <w:sz w:val="20"/>
          <w:szCs w:val="20"/>
          <w:lang w:val="es-CR"/>
        </w:rPr>
        <w:t xml:space="preserve">recibir </w:t>
      </w:r>
      <w:r w:rsidR="00723548" w:rsidRPr="003B0B27">
        <w:rPr>
          <w:rFonts w:ascii="Verdana" w:hAnsi="Verdana" w:cs="Verdana"/>
          <w:color w:val="000000"/>
          <w:sz w:val="20"/>
          <w:szCs w:val="20"/>
          <w:lang w:val="es-CR"/>
        </w:rPr>
        <w:t xml:space="preserve">prueba que abarque diferentes objetos en cuanto a los hechos y contextos alegados por ambas partes y expuestos por la Comisión, así como también puede derivar en que, en términos cuantitativos, la Corte escuche un mayor número de declarantes ofrecidos por una de las partes. </w:t>
      </w:r>
    </w:p>
    <w:p w:rsidR="00723548" w:rsidRDefault="00723548" w:rsidP="00723548">
      <w:pPr>
        <w:ind w:right="18"/>
        <w:jc w:val="both"/>
        <w:rPr>
          <w:rFonts w:ascii="Verdana" w:hAnsi="Verdana" w:cs="Verdana"/>
          <w:sz w:val="16"/>
          <w:szCs w:val="16"/>
        </w:rPr>
      </w:pPr>
    </w:p>
    <w:p w:rsidR="00723548" w:rsidRPr="009149A9" w:rsidRDefault="003B0B27" w:rsidP="00723548">
      <w:pPr>
        <w:ind w:right="18"/>
        <w:jc w:val="both"/>
        <w:rPr>
          <w:rFonts w:ascii="Verdana" w:hAnsi="Verdana" w:cs="Verdana"/>
          <w:strike/>
          <w:sz w:val="20"/>
          <w:szCs w:val="20"/>
        </w:rPr>
      </w:pPr>
      <w:r>
        <w:rPr>
          <w:rFonts w:ascii="Verdana" w:hAnsi="Verdana" w:cs="Verdana"/>
          <w:sz w:val="20"/>
          <w:szCs w:val="20"/>
        </w:rPr>
        <w:t>10.</w:t>
      </w:r>
      <w:r>
        <w:rPr>
          <w:rFonts w:ascii="Verdana" w:hAnsi="Verdana" w:cs="Verdana"/>
          <w:sz w:val="20"/>
          <w:szCs w:val="20"/>
        </w:rPr>
        <w:tab/>
      </w:r>
      <w:r w:rsidR="00723548" w:rsidRPr="003B0B27">
        <w:rPr>
          <w:rFonts w:ascii="Verdana" w:hAnsi="Verdana" w:cs="Verdana"/>
          <w:sz w:val="20"/>
          <w:szCs w:val="20"/>
        </w:rPr>
        <w:t>Cuando el Presidente determinó cuáles declarantes rendirían su declaración en la audiencia pública indicó</w:t>
      </w:r>
      <w:r w:rsidR="00723548" w:rsidRPr="003A2CDB">
        <w:rPr>
          <w:rFonts w:ascii="Verdana" w:hAnsi="Verdana" w:cs="Verdana"/>
          <w:sz w:val="20"/>
          <w:szCs w:val="20"/>
        </w:rPr>
        <w:t xml:space="preserve"> consideraciones relevantes en esta materia, entre las cuales destaca la necesidad de asegurar la más amplia presentación de hechos y argumentos por las partes en todo lo que sea pertinente para la solución de las cuestiones controvertidas</w:t>
      </w:r>
      <w:r w:rsidR="00723548" w:rsidRPr="003A2CDB">
        <w:rPr>
          <w:rStyle w:val="FootnoteReference"/>
          <w:rFonts w:ascii="Verdana" w:hAnsi="Verdana" w:cs="Verdana"/>
          <w:sz w:val="20"/>
          <w:szCs w:val="20"/>
        </w:rPr>
        <w:footnoteReference w:id="10"/>
      </w:r>
      <w:r w:rsidR="00723548" w:rsidRPr="003A2CDB">
        <w:rPr>
          <w:rFonts w:ascii="Verdana" w:hAnsi="Verdana" w:cs="Verdana"/>
          <w:sz w:val="20"/>
          <w:szCs w:val="20"/>
        </w:rPr>
        <w:t xml:space="preserve">. El Presidente efectuó dicha decisión tomando en cuenta la cantidad de casos bajo consideración de la Corte, las circunstancias del caso particular, las cuestiones controvertidas en el caso, </w:t>
      </w:r>
      <w:r w:rsidR="00723548" w:rsidRPr="006E29CE">
        <w:rPr>
          <w:rFonts w:ascii="Verdana" w:hAnsi="Verdana" w:cs="Verdana"/>
          <w:sz w:val="20"/>
          <w:szCs w:val="20"/>
        </w:rPr>
        <w:t xml:space="preserve">el orden de prioridad indicado por las partes y </w:t>
      </w:r>
      <w:r w:rsidR="00723548" w:rsidRPr="003A2CDB">
        <w:rPr>
          <w:rFonts w:ascii="Verdana" w:hAnsi="Verdana" w:cs="Verdana"/>
          <w:sz w:val="20"/>
          <w:szCs w:val="20"/>
        </w:rPr>
        <w:t>el objeto de las declaraciones y dictámene</w:t>
      </w:r>
      <w:r w:rsidR="006E29CE">
        <w:rPr>
          <w:rFonts w:ascii="Verdana" w:hAnsi="Verdana" w:cs="Verdana"/>
          <w:sz w:val="20"/>
          <w:szCs w:val="20"/>
        </w:rPr>
        <w:t xml:space="preserve">s. </w:t>
      </w:r>
    </w:p>
    <w:p w:rsidR="00723548" w:rsidRDefault="00723548" w:rsidP="00723548">
      <w:pPr>
        <w:ind w:right="18"/>
        <w:jc w:val="both"/>
        <w:rPr>
          <w:rFonts w:ascii="Verdana" w:hAnsi="Verdana" w:cs="Verdana"/>
          <w:sz w:val="16"/>
          <w:szCs w:val="16"/>
        </w:rPr>
      </w:pPr>
    </w:p>
    <w:p w:rsidR="00723548" w:rsidRPr="009816F3" w:rsidRDefault="006E29CE" w:rsidP="00723548">
      <w:pPr>
        <w:ind w:right="18"/>
        <w:jc w:val="both"/>
        <w:rPr>
          <w:rFonts w:ascii="Verdana" w:hAnsi="Verdana" w:cs="Verdana"/>
          <w:sz w:val="20"/>
          <w:szCs w:val="20"/>
        </w:rPr>
      </w:pPr>
      <w:r>
        <w:rPr>
          <w:rFonts w:ascii="Verdana" w:hAnsi="Verdana" w:cs="Verdana"/>
          <w:sz w:val="20"/>
          <w:szCs w:val="20"/>
        </w:rPr>
        <w:lastRenderedPageBreak/>
        <w:t>11</w:t>
      </w:r>
      <w:r w:rsidR="00723548">
        <w:rPr>
          <w:rFonts w:ascii="Verdana" w:hAnsi="Verdana" w:cs="Verdana"/>
          <w:sz w:val="20"/>
          <w:szCs w:val="20"/>
        </w:rPr>
        <w:t>.</w:t>
      </w:r>
      <w:r w:rsidR="00723548">
        <w:rPr>
          <w:rFonts w:ascii="Verdana" w:hAnsi="Verdana" w:cs="Verdana"/>
          <w:sz w:val="20"/>
          <w:szCs w:val="20"/>
        </w:rPr>
        <w:tab/>
      </w:r>
      <w:r w:rsidR="00723548" w:rsidRPr="006E29CE">
        <w:rPr>
          <w:rFonts w:ascii="Verdana" w:hAnsi="Verdana" w:cs="Verdana"/>
          <w:sz w:val="20"/>
          <w:szCs w:val="20"/>
        </w:rPr>
        <w:t>Además,</w:t>
      </w:r>
      <w:r w:rsidR="00723548">
        <w:rPr>
          <w:rFonts w:ascii="Verdana" w:hAnsi="Verdana" w:cs="Verdana"/>
          <w:sz w:val="20"/>
          <w:szCs w:val="20"/>
        </w:rPr>
        <w:t xml:space="preserve"> </w:t>
      </w:r>
      <w:r w:rsidR="00537EF8">
        <w:rPr>
          <w:rFonts w:ascii="Verdana" w:hAnsi="Verdana" w:cs="Verdana"/>
          <w:sz w:val="20"/>
          <w:szCs w:val="20"/>
        </w:rPr>
        <w:t xml:space="preserve">el </w:t>
      </w:r>
      <w:r w:rsidR="00723548">
        <w:rPr>
          <w:rFonts w:ascii="Verdana" w:hAnsi="Verdana" w:cs="Verdana"/>
          <w:sz w:val="20"/>
          <w:szCs w:val="20"/>
        </w:rPr>
        <w:t xml:space="preserve">Tribunal estima </w:t>
      </w:r>
      <w:r w:rsidR="00723548" w:rsidRPr="009860AB">
        <w:rPr>
          <w:rFonts w:ascii="Verdana" w:hAnsi="Verdana" w:cs="Verdana"/>
          <w:sz w:val="20"/>
          <w:szCs w:val="20"/>
        </w:rPr>
        <w:t>que tratándose</w:t>
      </w:r>
      <w:r w:rsidR="00723548" w:rsidRPr="005179B2">
        <w:rPr>
          <w:rFonts w:ascii="Verdana" w:hAnsi="Verdana" w:cs="Verdana"/>
          <w:sz w:val="20"/>
          <w:szCs w:val="20"/>
        </w:rPr>
        <w:t xml:space="preserve"> de peritos cuya experticia radica en sus conocimientos jurídicos </w:t>
      </w:r>
      <w:r w:rsidR="00723548" w:rsidRPr="005179B2">
        <w:rPr>
          <w:rFonts w:ascii="Verdana" w:hAnsi="Verdana" w:cs="Verdana"/>
          <w:sz w:val="20"/>
          <w:szCs w:val="20"/>
          <w:lang w:val="es-CR"/>
        </w:rPr>
        <w:t xml:space="preserve">como es el caso de los señores </w:t>
      </w:r>
      <w:r w:rsidR="00723548" w:rsidRPr="005179B2">
        <w:rPr>
          <w:rFonts w:ascii="Verdana" w:hAnsi="Verdana" w:cs="Verdana"/>
          <w:sz w:val="20"/>
          <w:szCs w:val="20"/>
        </w:rPr>
        <w:t>Antonio Canova y Carlos Tiffer Sotomayor (</w:t>
      </w:r>
      <w:r w:rsidR="00723548" w:rsidRPr="005179B2">
        <w:rPr>
          <w:rFonts w:ascii="Verdana" w:hAnsi="Verdana" w:cs="Verdana"/>
          <w:i/>
          <w:iCs/>
          <w:sz w:val="20"/>
          <w:szCs w:val="20"/>
        </w:rPr>
        <w:t>supra</w:t>
      </w:r>
      <w:r w:rsidR="00723548" w:rsidRPr="005179B2">
        <w:rPr>
          <w:rFonts w:ascii="Verdana" w:hAnsi="Verdana" w:cs="Verdana"/>
          <w:sz w:val="20"/>
          <w:szCs w:val="20"/>
        </w:rPr>
        <w:t xml:space="preserve"> Considerando</w:t>
      </w:r>
      <w:r w:rsidR="00845FED">
        <w:rPr>
          <w:rFonts w:ascii="Verdana" w:hAnsi="Verdana" w:cs="Verdana"/>
          <w:sz w:val="20"/>
          <w:szCs w:val="20"/>
        </w:rPr>
        <w:t>s</w:t>
      </w:r>
      <w:r w:rsidR="00723548" w:rsidRPr="005179B2">
        <w:rPr>
          <w:rFonts w:ascii="Verdana" w:hAnsi="Verdana" w:cs="Verdana"/>
          <w:sz w:val="20"/>
          <w:szCs w:val="20"/>
        </w:rPr>
        <w:t xml:space="preserve"> 3</w:t>
      </w:r>
      <w:r w:rsidR="00845FED">
        <w:rPr>
          <w:rFonts w:ascii="Verdana" w:hAnsi="Verdana" w:cs="Verdana"/>
          <w:sz w:val="20"/>
          <w:szCs w:val="20"/>
        </w:rPr>
        <w:t xml:space="preserve"> y 4</w:t>
      </w:r>
      <w:r w:rsidR="00723548" w:rsidRPr="005179B2">
        <w:rPr>
          <w:rFonts w:ascii="Verdana" w:hAnsi="Verdana" w:cs="Verdana"/>
          <w:sz w:val="20"/>
          <w:szCs w:val="20"/>
        </w:rPr>
        <w:t xml:space="preserve">), el </w:t>
      </w:r>
      <w:r w:rsidR="00723548" w:rsidRPr="005179B2">
        <w:rPr>
          <w:rFonts w:ascii="Verdana" w:hAnsi="Verdana" w:cs="Verdana"/>
          <w:spacing w:val="-3"/>
          <w:sz w:val="20"/>
          <w:szCs w:val="20"/>
          <w:lang w:eastAsia="es-CR"/>
        </w:rPr>
        <w:t>juicio de valoración de la prueba no depende, en forma directa de la inmediación.</w:t>
      </w:r>
      <w:r w:rsidR="00723548" w:rsidRPr="00F04176">
        <w:rPr>
          <w:rFonts w:ascii="Verdana" w:hAnsi="Verdana" w:cs="Verdana"/>
          <w:spacing w:val="-3"/>
          <w:sz w:val="20"/>
          <w:szCs w:val="20"/>
          <w:lang w:eastAsia="es-CR"/>
        </w:rPr>
        <w:t xml:space="preserve"> </w:t>
      </w:r>
      <w:r w:rsidR="00723548">
        <w:rPr>
          <w:rFonts w:ascii="Verdana" w:hAnsi="Verdana" w:cs="Verdana"/>
          <w:sz w:val="20"/>
          <w:szCs w:val="20"/>
        </w:rPr>
        <w:t xml:space="preserve">Inclusive, </w:t>
      </w:r>
      <w:r w:rsidR="00723548" w:rsidRPr="00F04176">
        <w:rPr>
          <w:rFonts w:ascii="Verdana" w:hAnsi="Verdana" w:cs="Verdana"/>
          <w:sz w:val="20"/>
          <w:szCs w:val="20"/>
        </w:rPr>
        <w:t xml:space="preserve">la Corte hace notar que, </w:t>
      </w:r>
      <w:r w:rsidR="00723548" w:rsidRPr="00572159">
        <w:rPr>
          <w:rFonts w:ascii="Verdana" w:hAnsi="Verdana" w:cs="Verdana"/>
          <w:sz w:val="20"/>
          <w:szCs w:val="20"/>
        </w:rPr>
        <w:t xml:space="preserve">tratándose de transmitir </w:t>
      </w:r>
      <w:r w:rsidR="00723548" w:rsidRPr="00572159">
        <w:rPr>
          <w:rFonts w:ascii="Verdana" w:hAnsi="Verdana" w:cs="Verdana"/>
          <w:sz w:val="20"/>
          <w:szCs w:val="20"/>
          <w:lang w:val="es-CR"/>
        </w:rPr>
        <w:t xml:space="preserve">sus conocimientos jurídicos, un </w:t>
      </w:r>
      <w:r w:rsidR="00723548" w:rsidRPr="00572159">
        <w:rPr>
          <w:rFonts w:ascii="Verdana" w:hAnsi="Verdana" w:cs="Verdana"/>
          <w:sz w:val="20"/>
          <w:szCs w:val="20"/>
        </w:rPr>
        <w:t>peritaje rendido de forma escrita facilita a los representantes</w:t>
      </w:r>
      <w:r w:rsidR="00723548" w:rsidRPr="00F04176">
        <w:rPr>
          <w:rFonts w:ascii="Verdana" w:hAnsi="Verdana" w:cs="Verdana"/>
          <w:sz w:val="20"/>
          <w:szCs w:val="20"/>
        </w:rPr>
        <w:t xml:space="preserve"> de la presunta víctima formular mayor cantidad de preguntas y a los peritos les asegura </w:t>
      </w:r>
      <w:r w:rsidR="00723548" w:rsidRPr="00572159">
        <w:rPr>
          <w:rFonts w:ascii="Verdana" w:hAnsi="Verdana" w:cs="Verdana"/>
          <w:sz w:val="20"/>
          <w:szCs w:val="20"/>
        </w:rPr>
        <w:t>tener una menor constricción en cuanto a la extensión y precisión de su peritaje,</w:t>
      </w:r>
      <w:r w:rsidR="00723548" w:rsidRPr="00F04176">
        <w:rPr>
          <w:rFonts w:ascii="Verdana" w:hAnsi="Verdana" w:cs="Verdana"/>
          <w:sz w:val="20"/>
          <w:szCs w:val="20"/>
        </w:rPr>
        <w:t xml:space="preserve"> al contrario de lo que sucede cuando son convocados a rendir el dictamen en la audiencia pública. </w:t>
      </w:r>
    </w:p>
    <w:p w:rsidR="00723548" w:rsidRDefault="00723548" w:rsidP="00723548">
      <w:pPr>
        <w:shd w:val="clear" w:color="auto" w:fill="FFFFFF"/>
        <w:spacing w:after="120"/>
        <w:jc w:val="both"/>
        <w:rPr>
          <w:rFonts w:ascii="Verdana" w:hAnsi="Verdana" w:cs="Verdana"/>
          <w:color w:val="000000"/>
          <w:sz w:val="20"/>
          <w:szCs w:val="20"/>
        </w:rPr>
      </w:pPr>
    </w:p>
    <w:p w:rsidR="00723548" w:rsidRPr="007A5ED8" w:rsidRDefault="00723548" w:rsidP="00932A62">
      <w:pPr>
        <w:autoSpaceDE w:val="0"/>
        <w:autoSpaceDN w:val="0"/>
        <w:adjustRightInd w:val="0"/>
        <w:jc w:val="both"/>
        <w:rPr>
          <w:rFonts w:ascii="Verdana" w:hAnsi="Verdana" w:cs="Verdana"/>
          <w:sz w:val="20"/>
          <w:szCs w:val="20"/>
          <w:lang w:val="es-CR"/>
        </w:rPr>
      </w:pPr>
      <w:r w:rsidRPr="007A5ED8">
        <w:rPr>
          <w:rFonts w:ascii="Verdana" w:hAnsi="Verdana" w:cs="Verdana"/>
          <w:sz w:val="20"/>
          <w:szCs w:val="20"/>
          <w:lang w:val="es-CR"/>
        </w:rPr>
        <w:t>12.</w:t>
      </w:r>
      <w:r w:rsidRPr="007A5ED8">
        <w:rPr>
          <w:rFonts w:ascii="Verdana" w:hAnsi="Verdana" w:cs="Verdana"/>
          <w:sz w:val="20"/>
          <w:szCs w:val="20"/>
          <w:lang w:val="es-CR"/>
        </w:rPr>
        <w:tab/>
      </w:r>
      <w:r w:rsidRPr="006E29CE">
        <w:rPr>
          <w:rFonts w:ascii="Verdana" w:hAnsi="Verdana" w:cs="Verdana"/>
          <w:sz w:val="20"/>
          <w:szCs w:val="20"/>
        </w:rPr>
        <w:t>La Corte estima que la decisión del Presidente de determinar cuáles declarantes rendirían su declaración en la audiencia pública se encuentra basada en criterios de pertinencia y relevancia del objeto de los medios pro</w:t>
      </w:r>
      <w:r w:rsidR="00614A88" w:rsidRPr="006E29CE">
        <w:rPr>
          <w:rFonts w:ascii="Verdana" w:hAnsi="Verdana" w:cs="Verdana"/>
          <w:sz w:val="20"/>
          <w:szCs w:val="20"/>
        </w:rPr>
        <w:t>batorios para resolver el caso</w:t>
      </w:r>
      <w:r w:rsidRPr="006E29CE">
        <w:rPr>
          <w:rFonts w:ascii="Verdana" w:hAnsi="Verdana" w:cs="Verdana"/>
          <w:sz w:val="20"/>
          <w:szCs w:val="20"/>
        </w:rPr>
        <w:t xml:space="preserve">. </w:t>
      </w:r>
      <w:r>
        <w:rPr>
          <w:rFonts w:ascii="Verdana" w:hAnsi="Verdana" w:cs="Verdana"/>
          <w:color w:val="000000"/>
          <w:sz w:val="20"/>
          <w:szCs w:val="20"/>
          <w:lang w:val="es-CR"/>
        </w:rPr>
        <w:t>E</w:t>
      </w:r>
      <w:r w:rsidRPr="008C7978">
        <w:rPr>
          <w:rFonts w:ascii="Verdana" w:hAnsi="Verdana" w:cs="Verdana"/>
          <w:color w:val="000000"/>
          <w:sz w:val="20"/>
          <w:szCs w:val="20"/>
          <w:lang w:val="es-CR"/>
        </w:rPr>
        <w:t xml:space="preserve">l Presidente mantuvo </w:t>
      </w:r>
      <w:r w:rsidRPr="008C7978">
        <w:rPr>
          <w:rFonts w:ascii="Verdana" w:hAnsi="Verdana" w:cs="Verdana"/>
          <w:sz w:val="20"/>
          <w:szCs w:val="20"/>
          <w:lang w:val="es-CR"/>
        </w:rPr>
        <w:t>un equilibrio adecuado</w:t>
      </w:r>
      <w:r w:rsidRPr="008C7978">
        <w:rPr>
          <w:rFonts w:ascii="Verdana" w:hAnsi="Verdana" w:cs="Verdana"/>
          <w:color w:val="000000"/>
          <w:sz w:val="20"/>
          <w:szCs w:val="20"/>
          <w:lang w:val="es-CR"/>
        </w:rPr>
        <w:t xml:space="preserve"> en ordenar </w:t>
      </w:r>
      <w:r w:rsidRPr="006E29CE">
        <w:rPr>
          <w:rFonts w:ascii="Verdana" w:hAnsi="Verdana" w:cs="Verdana"/>
          <w:color w:val="000000"/>
          <w:sz w:val="20"/>
          <w:szCs w:val="20"/>
          <w:lang w:val="es-CR"/>
        </w:rPr>
        <w:t>que se escuche en la audiencia pública</w:t>
      </w:r>
      <w:r>
        <w:rPr>
          <w:rFonts w:ascii="Verdana" w:hAnsi="Verdana" w:cs="Verdana"/>
          <w:b/>
          <w:color w:val="000000"/>
          <w:sz w:val="20"/>
          <w:szCs w:val="20"/>
          <w:lang w:val="es-CR"/>
        </w:rPr>
        <w:t xml:space="preserve"> </w:t>
      </w:r>
      <w:r w:rsidR="004A0A72" w:rsidRPr="004A0A72">
        <w:rPr>
          <w:rFonts w:ascii="Verdana" w:hAnsi="Verdana" w:cs="Verdana"/>
          <w:color w:val="000000"/>
          <w:sz w:val="20"/>
          <w:szCs w:val="20"/>
          <w:lang w:val="es-CR"/>
        </w:rPr>
        <w:t>medios de</w:t>
      </w:r>
      <w:r w:rsidR="004A0A72">
        <w:rPr>
          <w:rFonts w:ascii="Verdana" w:hAnsi="Verdana" w:cs="Verdana"/>
          <w:b/>
          <w:color w:val="000000"/>
          <w:sz w:val="20"/>
          <w:szCs w:val="20"/>
          <w:lang w:val="es-CR"/>
        </w:rPr>
        <w:t xml:space="preserve"> </w:t>
      </w:r>
      <w:r w:rsidRPr="008C7978">
        <w:rPr>
          <w:rFonts w:ascii="Verdana" w:hAnsi="Verdana" w:cs="Verdana"/>
          <w:color w:val="000000"/>
          <w:sz w:val="20"/>
          <w:szCs w:val="20"/>
          <w:lang w:val="es-CR"/>
        </w:rPr>
        <w:t>prueba que abarque</w:t>
      </w:r>
      <w:r w:rsidR="004A0A72">
        <w:rPr>
          <w:rFonts w:ascii="Verdana" w:hAnsi="Verdana" w:cs="Verdana"/>
          <w:color w:val="000000"/>
          <w:sz w:val="20"/>
          <w:szCs w:val="20"/>
          <w:lang w:val="es-CR"/>
        </w:rPr>
        <w:t>n</w:t>
      </w:r>
      <w:r w:rsidRPr="008C7978">
        <w:rPr>
          <w:rFonts w:ascii="Verdana" w:hAnsi="Verdana" w:cs="Verdana"/>
          <w:color w:val="000000"/>
          <w:sz w:val="20"/>
          <w:szCs w:val="20"/>
          <w:lang w:val="es-CR"/>
        </w:rPr>
        <w:t xml:space="preserve"> diferentes objetos en cuanto a los hechos y contextos alegados por ambas partes y expuestos por la Comisión. No toda la prueba a ser rendida en la audiencia puede versar sobre los hechos y </w:t>
      </w:r>
      <w:r w:rsidR="004A0A72">
        <w:rPr>
          <w:rFonts w:ascii="Verdana" w:hAnsi="Verdana" w:cs="Verdana"/>
          <w:color w:val="000000"/>
          <w:sz w:val="20"/>
          <w:szCs w:val="20"/>
          <w:lang w:val="es-CR"/>
        </w:rPr>
        <w:t xml:space="preserve">aspectos </w:t>
      </w:r>
      <w:r w:rsidRPr="008C7978">
        <w:rPr>
          <w:rFonts w:ascii="Verdana" w:hAnsi="Verdana" w:cs="Verdana"/>
          <w:color w:val="000000"/>
          <w:sz w:val="20"/>
          <w:szCs w:val="20"/>
          <w:lang w:val="es-CR"/>
        </w:rPr>
        <w:t xml:space="preserve">que los representantes estiman </w:t>
      </w:r>
      <w:r w:rsidRPr="00800661">
        <w:rPr>
          <w:rFonts w:ascii="Verdana" w:hAnsi="Verdana" w:cs="Verdana"/>
          <w:color w:val="000000"/>
          <w:sz w:val="20"/>
          <w:szCs w:val="20"/>
          <w:lang w:val="es-CR"/>
        </w:rPr>
        <w:t>“cardinales” para el caso</w:t>
      </w:r>
      <w:r w:rsidR="006E29CE">
        <w:rPr>
          <w:rFonts w:ascii="Verdana" w:hAnsi="Verdana" w:cs="Verdana"/>
          <w:color w:val="000000"/>
          <w:sz w:val="20"/>
          <w:szCs w:val="20"/>
          <w:lang w:val="es-CR"/>
        </w:rPr>
        <w:t xml:space="preserve">. </w:t>
      </w:r>
      <w:r w:rsidRPr="008C7978">
        <w:rPr>
          <w:rFonts w:ascii="Verdana" w:hAnsi="Verdana" w:cs="Verdana"/>
          <w:color w:val="000000"/>
          <w:sz w:val="20"/>
          <w:szCs w:val="20"/>
          <w:lang w:val="es-CR"/>
        </w:rPr>
        <w:t>El Presidente adecuadamente garantizó que en la audiencia pública el Tribunal reciba tres medios de prueba fundamentales en relación con la posición sostenida por los representantes de la presunta víctima en este caso</w:t>
      </w:r>
      <w:r>
        <w:rPr>
          <w:rStyle w:val="FootnoteReference"/>
          <w:rFonts w:ascii="Verdana" w:hAnsi="Verdana" w:cs="Verdana"/>
          <w:color w:val="000000"/>
          <w:sz w:val="20"/>
          <w:szCs w:val="20"/>
          <w:lang w:val="es-CR"/>
        </w:rPr>
        <w:footnoteReference w:id="11"/>
      </w:r>
      <w:r w:rsidRPr="008C7978">
        <w:rPr>
          <w:rFonts w:ascii="Verdana" w:hAnsi="Verdana" w:cs="Verdana"/>
          <w:color w:val="000000"/>
          <w:sz w:val="20"/>
          <w:szCs w:val="20"/>
          <w:lang w:val="es-CR"/>
        </w:rPr>
        <w:t xml:space="preserve">. </w:t>
      </w:r>
      <w:r>
        <w:rPr>
          <w:rFonts w:ascii="Verdana" w:hAnsi="Verdana" w:cs="Verdana"/>
          <w:color w:val="000000"/>
          <w:sz w:val="20"/>
          <w:szCs w:val="20"/>
          <w:lang w:val="es-CR"/>
        </w:rPr>
        <w:t xml:space="preserve">Respecto a la objeción de los representantes sobre haber convocado a la audiencia al </w:t>
      </w:r>
      <w:r>
        <w:rPr>
          <w:rFonts w:ascii="Verdana" w:hAnsi="Verdana" w:cs="Verdana"/>
          <w:sz w:val="20"/>
          <w:szCs w:val="20"/>
        </w:rPr>
        <w:t xml:space="preserve">señor </w:t>
      </w:r>
      <w:r w:rsidRPr="00015340">
        <w:rPr>
          <w:rFonts w:ascii="Verdana" w:hAnsi="Verdana" w:cs="Verdana"/>
          <w:sz w:val="20"/>
          <w:szCs w:val="20"/>
          <w:lang w:val="es-CR"/>
        </w:rPr>
        <w:t>Julián Isaías Rodríguez</w:t>
      </w:r>
      <w:r>
        <w:rPr>
          <w:rFonts w:ascii="Verdana" w:hAnsi="Verdana" w:cs="Verdana"/>
          <w:sz w:val="20"/>
          <w:szCs w:val="20"/>
          <w:lang w:val="es-CR"/>
        </w:rPr>
        <w:t xml:space="preserve"> (</w:t>
      </w:r>
      <w:r w:rsidRPr="0099022A">
        <w:rPr>
          <w:rFonts w:ascii="Verdana" w:hAnsi="Verdana" w:cs="Verdana"/>
          <w:i/>
          <w:iCs/>
          <w:sz w:val="20"/>
          <w:szCs w:val="20"/>
          <w:lang w:val="es-CR"/>
        </w:rPr>
        <w:t>supra</w:t>
      </w:r>
      <w:r w:rsidR="002708F7">
        <w:rPr>
          <w:rFonts w:ascii="Verdana" w:hAnsi="Verdana" w:cs="Verdana"/>
          <w:sz w:val="20"/>
          <w:szCs w:val="20"/>
          <w:lang w:val="es-CR"/>
        </w:rPr>
        <w:t xml:space="preserve"> Considerando 6.c</w:t>
      </w:r>
      <w:r>
        <w:rPr>
          <w:rFonts w:ascii="Verdana" w:hAnsi="Verdana" w:cs="Verdana"/>
          <w:sz w:val="20"/>
          <w:szCs w:val="20"/>
          <w:lang w:val="es-CR"/>
        </w:rPr>
        <w:t>)</w:t>
      </w:r>
      <w:r w:rsidR="002708F7">
        <w:rPr>
          <w:rFonts w:ascii="Verdana" w:hAnsi="Verdana" w:cs="Verdana"/>
          <w:sz w:val="20"/>
          <w:szCs w:val="20"/>
          <w:lang w:val="es-CR"/>
        </w:rPr>
        <w:t>,</w:t>
      </w:r>
      <w:r w:rsidRPr="00CD5D5B">
        <w:rPr>
          <w:rFonts w:ascii="Verdana" w:hAnsi="Verdana" w:cs="Verdana"/>
          <w:color w:val="000000"/>
          <w:sz w:val="20"/>
          <w:szCs w:val="20"/>
          <w:lang w:val="es-CR"/>
        </w:rPr>
        <w:t xml:space="preserve"> esta Corte reitera </w:t>
      </w:r>
      <w:r>
        <w:rPr>
          <w:rFonts w:ascii="Verdana" w:hAnsi="Verdana" w:cs="Verdana"/>
          <w:color w:val="000000"/>
          <w:sz w:val="20"/>
          <w:szCs w:val="20"/>
          <w:lang w:val="es-CR"/>
        </w:rPr>
        <w:t>su jurisprudencia</w:t>
      </w:r>
      <w:r w:rsidRPr="00CD5D5B">
        <w:rPr>
          <w:rFonts w:ascii="Verdana" w:hAnsi="Verdana" w:cs="Verdana"/>
          <w:color w:val="000000"/>
          <w:sz w:val="20"/>
          <w:szCs w:val="20"/>
          <w:lang w:val="es-CR"/>
        </w:rPr>
        <w:t xml:space="preserve"> respecto a que “</w:t>
      </w:r>
      <w:r w:rsidRPr="00CD5D5B">
        <w:rPr>
          <w:rFonts w:ascii="Verdana" w:hAnsi="Verdana" w:cs="Verdana"/>
          <w:color w:val="000000"/>
          <w:sz w:val="20"/>
          <w:szCs w:val="20"/>
          <w:lang w:val="es-ES"/>
        </w:rPr>
        <w:t xml:space="preserve">para resolver los distintos casos sometidos a su conocimiento </w:t>
      </w:r>
      <w:r>
        <w:rPr>
          <w:rFonts w:ascii="Verdana" w:hAnsi="Verdana" w:cs="Verdana"/>
          <w:color w:val="000000"/>
          <w:sz w:val="20"/>
          <w:szCs w:val="20"/>
          <w:lang w:val="es-ES"/>
        </w:rPr>
        <w:t>ha requerido</w:t>
      </w:r>
      <w:r w:rsidRPr="00CD5D5B">
        <w:rPr>
          <w:rFonts w:ascii="Verdana" w:hAnsi="Verdana" w:cs="Verdana"/>
          <w:color w:val="000000"/>
          <w:sz w:val="20"/>
          <w:szCs w:val="20"/>
          <w:lang w:val="es-ES"/>
        </w:rPr>
        <w:t xml:space="preserve"> tomar en cuenta el contexto, pues el entorno político e histórico es determinante para el establecimiento de las consecuencias jurídicas en el caso, comprendiendo tanto la naturaleza de las violaciones a la Convención como las correspondientes reparaciones</w:t>
      </w:r>
      <w:r>
        <w:rPr>
          <w:rFonts w:ascii="Verdana" w:hAnsi="Verdana" w:cs="Verdana"/>
          <w:color w:val="000000"/>
          <w:sz w:val="20"/>
          <w:szCs w:val="20"/>
          <w:lang w:val="es-ES"/>
        </w:rPr>
        <w:t>”</w:t>
      </w:r>
      <w:r w:rsidRPr="00800661">
        <w:rPr>
          <w:rStyle w:val="FootnoteReference"/>
          <w:rFonts w:ascii="Verdana" w:hAnsi="Verdana" w:cs="Verdana"/>
          <w:color w:val="000000"/>
          <w:sz w:val="20"/>
          <w:szCs w:val="20"/>
          <w:lang w:val="es-ES"/>
        </w:rPr>
        <w:footnoteReference w:id="12"/>
      </w:r>
      <w:r>
        <w:rPr>
          <w:rFonts w:ascii="Verdana" w:hAnsi="Verdana" w:cs="Verdana"/>
          <w:color w:val="000000"/>
          <w:sz w:val="20"/>
          <w:szCs w:val="20"/>
          <w:lang w:val="es-ES"/>
        </w:rPr>
        <w:t xml:space="preserve">. El Tribunal reitera lo indicado por el Presidente en el sentido de que </w:t>
      </w:r>
      <w:r w:rsidRPr="00B8062E">
        <w:rPr>
          <w:rFonts w:ascii="Verdana" w:hAnsi="Verdana" w:cs="Verdana"/>
          <w:color w:val="000000"/>
          <w:sz w:val="20"/>
          <w:szCs w:val="20"/>
          <w:lang w:val="es-CR"/>
        </w:rPr>
        <w:t xml:space="preserve">corresponde al Tribunal, en el momento procesal oportuno, determinar </w:t>
      </w:r>
      <w:r w:rsidRPr="00EB21A2">
        <w:rPr>
          <w:rFonts w:ascii="Verdana" w:hAnsi="Verdana" w:cs="Verdana"/>
          <w:color w:val="000000"/>
          <w:sz w:val="20"/>
          <w:szCs w:val="20"/>
          <w:lang w:val="es-CR"/>
        </w:rPr>
        <w:t>el contexto y hechos del presente caso, así como las consecuencias jurídicas que se deriven de los mismos, luego de considerar los argumentos de las partes y en base a la evaluación de la prueba presentada, según las reglas de la sana crítica</w:t>
      </w:r>
      <w:r w:rsidRPr="00EB21A2">
        <w:rPr>
          <w:rStyle w:val="FootnoteReference"/>
          <w:rFonts w:ascii="Verdana" w:hAnsi="Verdana" w:cs="Verdana"/>
          <w:color w:val="000000"/>
          <w:sz w:val="20"/>
          <w:szCs w:val="20"/>
        </w:rPr>
        <w:footnoteReference w:id="13"/>
      </w:r>
      <w:r w:rsidRPr="00EB21A2">
        <w:rPr>
          <w:rFonts w:ascii="Verdana" w:hAnsi="Verdana" w:cs="Verdana"/>
          <w:color w:val="000000"/>
          <w:sz w:val="20"/>
          <w:szCs w:val="20"/>
          <w:lang w:val="es-CR"/>
        </w:rPr>
        <w:t>.</w:t>
      </w:r>
      <w:r>
        <w:rPr>
          <w:rFonts w:ascii="Verdana" w:hAnsi="Verdana" w:cs="Verdana"/>
          <w:color w:val="000000"/>
          <w:sz w:val="20"/>
          <w:szCs w:val="20"/>
          <w:lang w:val="es-CR"/>
        </w:rPr>
        <w:t xml:space="preserve"> Consecuentemente, el Tribunal estima que la declaración en audiencia del señor Julián </w:t>
      </w:r>
      <w:r w:rsidRPr="00800661">
        <w:rPr>
          <w:rFonts w:ascii="Verdana" w:hAnsi="Verdana" w:cs="Verdana"/>
          <w:color w:val="000000"/>
          <w:sz w:val="20"/>
          <w:szCs w:val="20"/>
          <w:lang w:val="es-CR"/>
        </w:rPr>
        <w:t>Isaías Rodríguez, quien podrá ser interrogado por los representantes, permite</w:t>
      </w:r>
      <w:r>
        <w:rPr>
          <w:rFonts w:ascii="Verdana" w:hAnsi="Verdana" w:cs="Verdana"/>
          <w:color w:val="000000"/>
          <w:sz w:val="20"/>
          <w:szCs w:val="20"/>
          <w:lang w:val="es-CR"/>
        </w:rPr>
        <w:t xml:space="preserve"> recibir distinta prueba sobre la posición que sostiene el Estado </w:t>
      </w:r>
      <w:r>
        <w:rPr>
          <w:rFonts w:ascii="Verdana" w:hAnsi="Verdana" w:cs="Verdana"/>
          <w:color w:val="000000"/>
          <w:sz w:val="20"/>
          <w:szCs w:val="20"/>
          <w:lang w:val="es-CR"/>
        </w:rPr>
        <w:lastRenderedPageBreak/>
        <w:t xml:space="preserve">en el presente proceso internacional. </w:t>
      </w:r>
      <w:r w:rsidRPr="002708F7">
        <w:rPr>
          <w:rFonts w:ascii="Verdana" w:hAnsi="Verdana" w:cs="Verdana"/>
          <w:sz w:val="20"/>
          <w:szCs w:val="20"/>
        </w:rPr>
        <w:t>Inclusiv</w:t>
      </w:r>
      <w:r w:rsidR="002708F7" w:rsidRPr="002708F7">
        <w:rPr>
          <w:rFonts w:ascii="Verdana" w:hAnsi="Verdana" w:cs="Verdana"/>
          <w:sz w:val="20"/>
          <w:szCs w:val="20"/>
        </w:rPr>
        <w:t>e, el Tribunal hace notar que los</w:t>
      </w:r>
      <w:r w:rsidRPr="002708F7">
        <w:rPr>
          <w:rFonts w:ascii="Verdana" w:hAnsi="Verdana" w:cs="Verdana"/>
          <w:sz w:val="20"/>
          <w:szCs w:val="20"/>
        </w:rPr>
        <w:t xml:space="preserve"> </w:t>
      </w:r>
      <w:r w:rsidR="00D21B2B" w:rsidRPr="002708F7">
        <w:rPr>
          <w:rFonts w:ascii="Verdana" w:hAnsi="Verdana" w:cs="Verdana"/>
          <w:sz w:val="20"/>
          <w:szCs w:val="20"/>
        </w:rPr>
        <w:t>porcentaje</w:t>
      </w:r>
      <w:r w:rsidR="002708F7" w:rsidRPr="002708F7">
        <w:rPr>
          <w:rFonts w:ascii="Verdana" w:hAnsi="Verdana" w:cs="Verdana"/>
          <w:sz w:val="20"/>
          <w:szCs w:val="20"/>
        </w:rPr>
        <w:t>s</w:t>
      </w:r>
      <w:r w:rsidR="00D21B2B" w:rsidRPr="002708F7">
        <w:rPr>
          <w:rFonts w:ascii="Verdana" w:hAnsi="Verdana" w:cs="Verdana"/>
          <w:sz w:val="20"/>
          <w:szCs w:val="20"/>
        </w:rPr>
        <w:t xml:space="preserve"> </w:t>
      </w:r>
      <w:r w:rsidRPr="002708F7">
        <w:rPr>
          <w:rFonts w:ascii="Verdana" w:hAnsi="Verdana" w:cs="Verdana"/>
          <w:sz w:val="20"/>
          <w:szCs w:val="20"/>
        </w:rPr>
        <w:t>de declarantes del Estado y de los representantes convocados a la audiencia guarda</w:t>
      </w:r>
      <w:r w:rsidR="002708F7" w:rsidRPr="002708F7">
        <w:rPr>
          <w:rFonts w:ascii="Verdana" w:hAnsi="Verdana" w:cs="Verdana"/>
          <w:sz w:val="20"/>
          <w:szCs w:val="20"/>
        </w:rPr>
        <w:t>n</w:t>
      </w:r>
      <w:r w:rsidRPr="002708F7">
        <w:rPr>
          <w:rFonts w:ascii="Verdana" w:hAnsi="Verdana" w:cs="Verdana"/>
          <w:sz w:val="20"/>
          <w:szCs w:val="20"/>
        </w:rPr>
        <w:t xml:space="preserve"> proporción con la cantidad de declarantes de cada parte que fueron admitidos en el proceso.</w:t>
      </w:r>
    </w:p>
    <w:p w:rsidR="00723548" w:rsidRPr="009642BE" w:rsidRDefault="00723548" w:rsidP="00932A62">
      <w:pPr>
        <w:shd w:val="clear" w:color="auto" w:fill="FFFFFF"/>
        <w:jc w:val="both"/>
        <w:rPr>
          <w:rFonts w:ascii="Verdana" w:hAnsi="Verdana" w:cs="Verdana"/>
          <w:color w:val="000000"/>
          <w:sz w:val="20"/>
          <w:szCs w:val="20"/>
          <w:lang w:val="es-CR"/>
        </w:rPr>
      </w:pPr>
    </w:p>
    <w:p w:rsidR="00723548" w:rsidRPr="0021745D" w:rsidRDefault="002708F7" w:rsidP="00932A62">
      <w:pPr>
        <w:shd w:val="clear" w:color="auto" w:fill="FFFFFF"/>
        <w:jc w:val="both"/>
        <w:rPr>
          <w:rFonts w:ascii="Verdana" w:hAnsi="Verdana" w:cs="Verdana"/>
          <w:sz w:val="20"/>
          <w:szCs w:val="20"/>
        </w:rPr>
      </w:pPr>
      <w:r>
        <w:rPr>
          <w:rFonts w:ascii="Verdana" w:hAnsi="Verdana" w:cs="Verdana"/>
          <w:color w:val="000000"/>
          <w:sz w:val="20"/>
          <w:szCs w:val="20"/>
          <w:lang w:val="es-CR"/>
        </w:rPr>
        <w:t>13</w:t>
      </w:r>
      <w:r w:rsidR="00723548" w:rsidRPr="009642BE">
        <w:rPr>
          <w:rFonts w:ascii="Verdana" w:hAnsi="Verdana" w:cs="Verdana"/>
          <w:color w:val="000000"/>
          <w:sz w:val="20"/>
          <w:szCs w:val="20"/>
          <w:lang w:val="es-CR"/>
        </w:rPr>
        <w:t>.</w:t>
      </w:r>
      <w:r w:rsidR="00723548" w:rsidRPr="009642BE">
        <w:rPr>
          <w:rFonts w:ascii="Verdana" w:hAnsi="Verdana" w:cs="Verdana"/>
          <w:color w:val="000000"/>
          <w:sz w:val="20"/>
          <w:szCs w:val="20"/>
          <w:lang w:val="es-CR"/>
        </w:rPr>
        <w:tab/>
        <w:t xml:space="preserve">El Tribunal coincide con el Presidente en las razones en las </w:t>
      </w:r>
      <w:r w:rsidR="004A0A72">
        <w:rPr>
          <w:rFonts w:ascii="Verdana" w:hAnsi="Verdana" w:cs="Verdana"/>
          <w:color w:val="000000"/>
          <w:sz w:val="20"/>
          <w:szCs w:val="20"/>
          <w:lang w:val="es-CR"/>
        </w:rPr>
        <w:t xml:space="preserve">que se basó para determinar </w:t>
      </w:r>
      <w:r w:rsidR="00723548" w:rsidRPr="009642BE">
        <w:rPr>
          <w:rFonts w:ascii="Verdana" w:hAnsi="Verdana" w:cs="Verdana"/>
          <w:color w:val="000000"/>
          <w:sz w:val="20"/>
          <w:szCs w:val="20"/>
          <w:lang w:val="es-CR"/>
        </w:rPr>
        <w:t>quiénes rendirían su declaración en l</w:t>
      </w:r>
      <w:r w:rsidR="004A0A72">
        <w:rPr>
          <w:rFonts w:ascii="Verdana" w:hAnsi="Verdana" w:cs="Verdana"/>
          <w:color w:val="000000"/>
          <w:sz w:val="20"/>
          <w:szCs w:val="20"/>
          <w:lang w:val="es-CR"/>
        </w:rPr>
        <w:t>a audiencia y quié</w:t>
      </w:r>
      <w:r w:rsidR="00723548" w:rsidRPr="009642BE">
        <w:rPr>
          <w:rFonts w:ascii="Verdana" w:hAnsi="Verdana" w:cs="Verdana"/>
          <w:color w:val="000000"/>
          <w:sz w:val="20"/>
          <w:szCs w:val="20"/>
          <w:lang w:val="es-CR"/>
        </w:rPr>
        <w:t xml:space="preserve">nes mediante affidavit, </w:t>
      </w:r>
      <w:r w:rsidR="00723548">
        <w:rPr>
          <w:rFonts w:ascii="Verdana" w:hAnsi="Verdana" w:cs="Verdana"/>
          <w:sz w:val="20"/>
          <w:szCs w:val="20"/>
        </w:rPr>
        <w:t xml:space="preserve">y </w:t>
      </w:r>
      <w:r w:rsidR="00723548" w:rsidRPr="001824A9">
        <w:rPr>
          <w:rFonts w:ascii="Verdana" w:hAnsi="Verdana" w:cs="Verdana"/>
          <w:sz w:val="20"/>
          <w:szCs w:val="20"/>
        </w:rPr>
        <w:t xml:space="preserve">estima que no existen </w:t>
      </w:r>
      <w:r w:rsidR="00723548">
        <w:rPr>
          <w:rFonts w:ascii="Verdana" w:hAnsi="Verdana" w:cs="Verdana"/>
          <w:sz w:val="20"/>
          <w:szCs w:val="20"/>
        </w:rPr>
        <w:t xml:space="preserve">razones </w:t>
      </w:r>
      <w:r w:rsidR="00723548" w:rsidRPr="001824A9">
        <w:rPr>
          <w:rFonts w:ascii="Verdana" w:hAnsi="Verdana" w:cs="Verdana"/>
          <w:sz w:val="20"/>
          <w:szCs w:val="20"/>
        </w:rPr>
        <w:t>para modificar lo resuelto</w:t>
      </w:r>
      <w:r w:rsidR="00723548" w:rsidRPr="00D87B26">
        <w:rPr>
          <w:rFonts w:ascii="Verdana" w:hAnsi="Verdana" w:cs="Verdana"/>
          <w:sz w:val="20"/>
          <w:szCs w:val="20"/>
        </w:rPr>
        <w:t xml:space="preserve"> p</w:t>
      </w:r>
      <w:r w:rsidR="00723548">
        <w:rPr>
          <w:rFonts w:ascii="Verdana" w:hAnsi="Verdana" w:cs="Verdana"/>
          <w:sz w:val="20"/>
          <w:szCs w:val="20"/>
        </w:rPr>
        <w:t>or el Presidente respecto de las personas convocadas a rendir su declaración en la audiencia pública</w:t>
      </w:r>
      <w:r w:rsidR="00723548" w:rsidRPr="00D87B26">
        <w:rPr>
          <w:rFonts w:ascii="Verdana" w:hAnsi="Verdana" w:cs="Verdana"/>
          <w:sz w:val="20"/>
          <w:szCs w:val="20"/>
        </w:rPr>
        <w:t>.</w:t>
      </w:r>
    </w:p>
    <w:p w:rsidR="00723548" w:rsidRDefault="00723548" w:rsidP="00932A62">
      <w:pPr>
        <w:autoSpaceDE w:val="0"/>
        <w:autoSpaceDN w:val="0"/>
        <w:adjustRightInd w:val="0"/>
        <w:ind w:right="18"/>
        <w:jc w:val="both"/>
        <w:rPr>
          <w:rFonts w:ascii="Verdana" w:hAnsi="Verdana" w:cs="Verdana"/>
          <w:sz w:val="20"/>
          <w:szCs w:val="20"/>
          <w:lang w:val="es-CR"/>
        </w:rPr>
      </w:pPr>
    </w:p>
    <w:p w:rsidR="00985DD1" w:rsidRPr="00285E45" w:rsidRDefault="00985DD1" w:rsidP="00932A62">
      <w:pPr>
        <w:autoSpaceDE w:val="0"/>
        <w:autoSpaceDN w:val="0"/>
        <w:adjustRightInd w:val="0"/>
        <w:ind w:right="18"/>
        <w:jc w:val="both"/>
        <w:rPr>
          <w:rFonts w:ascii="Verdana" w:hAnsi="Verdana" w:cs="Verdana"/>
          <w:sz w:val="20"/>
          <w:szCs w:val="20"/>
          <w:lang w:val="es-CR"/>
        </w:rPr>
      </w:pPr>
    </w:p>
    <w:p w:rsidR="00723548" w:rsidRPr="00285E45" w:rsidRDefault="00723548" w:rsidP="00932A62">
      <w:pPr>
        <w:autoSpaceDE w:val="0"/>
        <w:autoSpaceDN w:val="0"/>
        <w:adjustRightInd w:val="0"/>
        <w:ind w:left="708" w:right="18"/>
        <w:jc w:val="both"/>
        <w:rPr>
          <w:rFonts w:ascii="Verdana" w:hAnsi="Verdana" w:cs="Verdana"/>
          <w:b/>
          <w:bCs/>
          <w:sz w:val="20"/>
          <w:szCs w:val="20"/>
          <w:lang w:val="es-CR"/>
        </w:rPr>
      </w:pPr>
      <w:r w:rsidRPr="00285E45">
        <w:rPr>
          <w:rFonts w:ascii="Verdana" w:hAnsi="Verdana" w:cs="Verdana"/>
          <w:b/>
          <w:bCs/>
          <w:sz w:val="20"/>
          <w:szCs w:val="20"/>
          <w:lang w:val="es-CR"/>
        </w:rPr>
        <w:t>B)</w:t>
      </w:r>
      <w:r w:rsidRPr="00285E45">
        <w:rPr>
          <w:rFonts w:ascii="Verdana" w:hAnsi="Verdana" w:cs="Verdana"/>
          <w:b/>
          <w:bCs/>
          <w:sz w:val="20"/>
          <w:szCs w:val="20"/>
          <w:lang w:val="es-CR"/>
        </w:rPr>
        <w:tab/>
        <w:t>D</w:t>
      </w:r>
      <w:r w:rsidRPr="00285E45">
        <w:rPr>
          <w:rFonts w:ascii="Verdana" w:hAnsi="Verdana" w:cs="Verdana"/>
          <w:b/>
          <w:bCs/>
          <w:sz w:val="20"/>
          <w:szCs w:val="20"/>
        </w:rPr>
        <w:t xml:space="preserve">ecisión del Presidente </w:t>
      </w:r>
      <w:r w:rsidRPr="00285E45">
        <w:rPr>
          <w:rFonts w:ascii="Verdana" w:hAnsi="Verdana" w:cs="Verdana"/>
          <w:b/>
          <w:bCs/>
          <w:color w:val="000000"/>
          <w:sz w:val="20"/>
          <w:szCs w:val="20"/>
        </w:rPr>
        <w:t>en relación con la declaración de la presunta víctima en la audiencia</w:t>
      </w:r>
    </w:p>
    <w:p w:rsidR="00723548" w:rsidRPr="001F4D06" w:rsidRDefault="00723548" w:rsidP="00932A62">
      <w:pPr>
        <w:ind w:right="18"/>
        <w:jc w:val="both"/>
        <w:rPr>
          <w:rFonts w:ascii="Garamond" w:hAnsi="Garamond" w:cs="Garamond"/>
          <w:sz w:val="22"/>
          <w:szCs w:val="22"/>
          <w:lang w:val="es-CR"/>
        </w:rPr>
      </w:pPr>
    </w:p>
    <w:p w:rsidR="00723548" w:rsidRDefault="002708F7" w:rsidP="00932A62">
      <w:pPr>
        <w:shd w:val="clear" w:color="auto" w:fill="FFFFFF"/>
        <w:jc w:val="both"/>
        <w:rPr>
          <w:rFonts w:ascii="Verdana" w:hAnsi="Verdana" w:cs="Verdana"/>
          <w:color w:val="000000"/>
          <w:sz w:val="20"/>
          <w:szCs w:val="20"/>
          <w:lang w:val="es-CR"/>
        </w:rPr>
      </w:pPr>
      <w:r>
        <w:rPr>
          <w:rFonts w:ascii="Verdana" w:hAnsi="Verdana" w:cs="Verdana"/>
          <w:sz w:val="20"/>
          <w:szCs w:val="20"/>
          <w:lang w:val="es-CR"/>
        </w:rPr>
        <w:t>14</w:t>
      </w:r>
      <w:r w:rsidR="00723548" w:rsidRPr="001F4D06">
        <w:rPr>
          <w:rFonts w:ascii="Verdana" w:hAnsi="Verdana" w:cs="Verdana"/>
          <w:sz w:val="20"/>
          <w:szCs w:val="20"/>
          <w:lang w:val="es-CR"/>
        </w:rPr>
        <w:t>.</w:t>
      </w:r>
      <w:r w:rsidR="00723548" w:rsidRPr="001F4D06">
        <w:rPr>
          <w:rFonts w:ascii="Verdana" w:hAnsi="Verdana" w:cs="Verdana"/>
          <w:sz w:val="20"/>
          <w:szCs w:val="20"/>
          <w:lang w:val="es-CR"/>
        </w:rPr>
        <w:tab/>
      </w:r>
      <w:r w:rsidR="00723548" w:rsidRPr="001F4D06">
        <w:rPr>
          <w:rFonts w:ascii="Verdana" w:hAnsi="Verdana" w:cs="Verdana"/>
          <w:color w:val="000000"/>
          <w:sz w:val="20"/>
          <w:szCs w:val="20"/>
          <w:lang w:val="es-CR"/>
        </w:rPr>
        <w:t>En las notas de la Secretaría mediante las cuales se notificó la Resolución de convocatoria a audiencia, siguiendo instrucciones del Presidente, se indicó lo siguiente:</w:t>
      </w:r>
    </w:p>
    <w:p w:rsidR="00932A62" w:rsidRPr="001F4D06" w:rsidRDefault="00932A62" w:rsidP="00932A62">
      <w:pPr>
        <w:shd w:val="clear" w:color="auto" w:fill="FFFFFF"/>
        <w:jc w:val="both"/>
        <w:rPr>
          <w:rFonts w:ascii="Verdana" w:hAnsi="Verdana" w:cs="Verdana"/>
          <w:color w:val="000000"/>
          <w:sz w:val="20"/>
          <w:szCs w:val="20"/>
          <w:lang w:val="es-CR"/>
        </w:rPr>
      </w:pPr>
    </w:p>
    <w:p w:rsidR="00723548" w:rsidRPr="001F4D06" w:rsidRDefault="00723548" w:rsidP="00723548">
      <w:pPr>
        <w:spacing w:after="120"/>
        <w:ind w:left="720" w:right="720"/>
        <w:jc w:val="both"/>
        <w:rPr>
          <w:rFonts w:ascii="Verdana" w:hAnsi="Verdana" w:cs="Verdana"/>
          <w:sz w:val="18"/>
          <w:szCs w:val="18"/>
        </w:rPr>
      </w:pPr>
      <w:r w:rsidRPr="001F4D06">
        <w:rPr>
          <w:rFonts w:ascii="Verdana" w:hAnsi="Verdana" w:cs="Verdana"/>
          <w:sz w:val="18"/>
          <w:szCs w:val="18"/>
        </w:rPr>
        <w:t xml:space="preserve">en relación con la modalidad de la audiencia pública a celebrarse en el presente caso, de conformidad con el artículo 51.1 del Reglamento de la Corte, la Comisión iniciará a las 15:00 horas del 3 de septiembre exponiendo los </w:t>
      </w:r>
      <w:r w:rsidRPr="001F5D8C">
        <w:rPr>
          <w:rFonts w:ascii="Verdana" w:hAnsi="Verdana" w:cs="Verdana"/>
          <w:sz w:val="18"/>
          <w:szCs w:val="18"/>
        </w:rPr>
        <w:t xml:space="preserve">fundamentos de la presentación del caso ante la Corte, así como cualquier asunto que considere relevante para su resolución. A continuación </w:t>
      </w:r>
      <w:r w:rsidRPr="001F5D8C">
        <w:rPr>
          <w:rFonts w:ascii="Verdana" w:hAnsi="Verdana" w:cs="Verdana"/>
          <w:bCs/>
          <w:sz w:val="18"/>
          <w:szCs w:val="18"/>
        </w:rPr>
        <w:t>el Presidente llamará a la presunta víctima</w:t>
      </w:r>
      <w:r w:rsidRPr="001F5D8C">
        <w:rPr>
          <w:rFonts w:ascii="Verdana" w:hAnsi="Verdana" w:cs="Verdana"/>
          <w:sz w:val="18"/>
          <w:szCs w:val="18"/>
        </w:rPr>
        <w:t xml:space="preserve">, a los testigos y a los peritos a efectos de que sean interrogados. El orden en que se rendirán tales declaraciones será determinado en la referida reunión previa. </w:t>
      </w:r>
      <w:r w:rsidRPr="001F5D8C">
        <w:rPr>
          <w:rFonts w:ascii="Verdana" w:hAnsi="Verdana" w:cs="Verdana"/>
          <w:bCs/>
          <w:sz w:val="18"/>
          <w:szCs w:val="18"/>
        </w:rPr>
        <w:t>Los representantes de la presunta víctima contarán con un tiempo máximo de 20 minutos para interrogar a la presunta víctima y a los testigos.</w:t>
      </w:r>
      <w:r w:rsidRPr="001F5D8C">
        <w:rPr>
          <w:rFonts w:ascii="Verdana" w:hAnsi="Verdana" w:cs="Verdana"/>
          <w:sz w:val="18"/>
          <w:szCs w:val="18"/>
        </w:rPr>
        <w:t xml:space="preserve"> El Estado también contará con un tiempo máximo de 20 minutos para interrogar a la presunta víctima y a los testigos.</w:t>
      </w:r>
      <w:r w:rsidRPr="001F4D06">
        <w:rPr>
          <w:rFonts w:ascii="Verdana" w:hAnsi="Verdana" w:cs="Verdana"/>
          <w:sz w:val="18"/>
          <w:szCs w:val="18"/>
        </w:rPr>
        <w:t xml:space="preserve"> </w:t>
      </w:r>
    </w:p>
    <w:p w:rsidR="00723548" w:rsidRPr="00DE5661" w:rsidRDefault="006D7EF1" w:rsidP="00723548">
      <w:pPr>
        <w:shd w:val="clear" w:color="auto" w:fill="FFFFFF"/>
        <w:spacing w:after="120"/>
        <w:jc w:val="both"/>
        <w:rPr>
          <w:rFonts w:ascii="Verdana" w:hAnsi="Verdana" w:cs="Verdana"/>
          <w:sz w:val="20"/>
          <w:szCs w:val="20"/>
          <w:lang w:val="es-CR"/>
        </w:rPr>
      </w:pPr>
      <w:r>
        <w:rPr>
          <w:rFonts w:ascii="Verdana" w:hAnsi="Verdana" w:cs="Verdana"/>
          <w:sz w:val="20"/>
          <w:szCs w:val="20"/>
        </w:rPr>
        <w:t>15</w:t>
      </w:r>
      <w:r w:rsidR="00723548" w:rsidRPr="00DE5661">
        <w:rPr>
          <w:rFonts w:ascii="Verdana" w:hAnsi="Verdana" w:cs="Verdana"/>
          <w:sz w:val="20"/>
          <w:szCs w:val="20"/>
        </w:rPr>
        <w:t>.</w:t>
      </w:r>
      <w:r w:rsidR="00723548" w:rsidRPr="00DE5661">
        <w:rPr>
          <w:rFonts w:ascii="Verdana" w:hAnsi="Verdana" w:cs="Verdana"/>
          <w:sz w:val="20"/>
          <w:szCs w:val="20"/>
        </w:rPr>
        <w:tab/>
        <w:t xml:space="preserve">Al recurrir la Resolución del Presidente, los representantes afirmaron que </w:t>
      </w:r>
      <w:r w:rsidR="00723548" w:rsidRPr="00DE5661">
        <w:rPr>
          <w:rFonts w:ascii="Verdana" w:hAnsi="Verdana" w:cs="Verdana"/>
          <w:sz w:val="20"/>
          <w:szCs w:val="20"/>
          <w:lang w:val="es-CR"/>
        </w:rPr>
        <w:t>“la Resolución no contempla declaración alguna de la víctima, sino preguntas por veinte minutos, al igual que cualquier testigo”. Asimismo, hicieron referencia a la jurisprudencia de la Corte que establece que “las manifestaciones de la presunta v</w:t>
      </w:r>
      <w:r w:rsidR="00594628">
        <w:rPr>
          <w:rFonts w:ascii="Verdana" w:hAnsi="Verdana" w:cs="Verdana"/>
          <w:sz w:val="20"/>
          <w:szCs w:val="20"/>
          <w:lang w:val="es-CR"/>
        </w:rPr>
        <w:t>íctima tienen un valor especial</w:t>
      </w:r>
      <w:r w:rsidR="00723548">
        <w:rPr>
          <w:rFonts w:ascii="Verdana" w:hAnsi="Verdana" w:cs="Verdana"/>
          <w:sz w:val="20"/>
          <w:szCs w:val="20"/>
          <w:lang w:val="es-CR"/>
        </w:rPr>
        <w:t>”.</w:t>
      </w:r>
    </w:p>
    <w:p w:rsidR="00723548" w:rsidRPr="00DE5661" w:rsidRDefault="00723548" w:rsidP="00723548">
      <w:pPr>
        <w:ind w:right="18"/>
        <w:jc w:val="both"/>
        <w:rPr>
          <w:rFonts w:ascii="Verdana" w:hAnsi="Verdana" w:cs="Verdana"/>
          <w:sz w:val="20"/>
          <w:szCs w:val="20"/>
        </w:rPr>
      </w:pPr>
    </w:p>
    <w:p w:rsidR="00723548" w:rsidRPr="00DE5661" w:rsidRDefault="006D7EF1" w:rsidP="00723548">
      <w:pPr>
        <w:ind w:right="18"/>
        <w:jc w:val="both"/>
        <w:rPr>
          <w:rFonts w:ascii="Verdana" w:hAnsi="Verdana" w:cs="Verdana"/>
          <w:sz w:val="20"/>
          <w:szCs w:val="20"/>
        </w:rPr>
      </w:pPr>
      <w:r>
        <w:rPr>
          <w:rFonts w:ascii="Verdana" w:hAnsi="Verdana" w:cs="Verdana"/>
          <w:sz w:val="20"/>
          <w:szCs w:val="20"/>
        </w:rPr>
        <w:t>16</w:t>
      </w:r>
      <w:r w:rsidR="00723548" w:rsidRPr="00DE5661">
        <w:rPr>
          <w:rFonts w:ascii="Verdana" w:hAnsi="Verdana" w:cs="Verdana"/>
          <w:sz w:val="20"/>
          <w:szCs w:val="20"/>
        </w:rPr>
        <w:t>.</w:t>
      </w:r>
      <w:r w:rsidR="00723548" w:rsidRPr="00DE5661">
        <w:rPr>
          <w:rFonts w:ascii="Verdana" w:hAnsi="Verdana" w:cs="Verdana"/>
          <w:sz w:val="20"/>
          <w:szCs w:val="20"/>
        </w:rPr>
        <w:tab/>
        <w:t>La Comisión no se refirió a este punto en sus observaciones.</w:t>
      </w:r>
    </w:p>
    <w:p w:rsidR="00723548" w:rsidRPr="00EC6020" w:rsidRDefault="00723548" w:rsidP="00723548">
      <w:pPr>
        <w:ind w:right="18"/>
        <w:jc w:val="both"/>
        <w:rPr>
          <w:rFonts w:ascii="Verdana" w:hAnsi="Verdana" w:cs="Verdana"/>
          <w:sz w:val="20"/>
          <w:szCs w:val="20"/>
        </w:rPr>
      </w:pPr>
    </w:p>
    <w:p w:rsidR="00723548" w:rsidRDefault="006D7EF1" w:rsidP="006E11A8">
      <w:pPr>
        <w:ind w:right="18"/>
        <w:jc w:val="both"/>
        <w:rPr>
          <w:rFonts w:ascii="Verdana" w:hAnsi="Verdana" w:cs="Verdana"/>
          <w:sz w:val="20"/>
          <w:szCs w:val="20"/>
        </w:rPr>
      </w:pPr>
      <w:r>
        <w:rPr>
          <w:rFonts w:ascii="Verdana" w:hAnsi="Verdana" w:cs="Verdana"/>
          <w:sz w:val="20"/>
          <w:szCs w:val="20"/>
          <w:lang w:val="es-CR"/>
        </w:rPr>
        <w:t>17</w:t>
      </w:r>
      <w:r w:rsidR="00723548">
        <w:rPr>
          <w:rFonts w:ascii="Verdana" w:hAnsi="Verdana" w:cs="Verdana"/>
          <w:sz w:val="20"/>
          <w:szCs w:val="20"/>
          <w:lang w:val="es-CR"/>
        </w:rPr>
        <w:t>.</w:t>
      </w:r>
      <w:r w:rsidR="00723548">
        <w:rPr>
          <w:rFonts w:ascii="Verdana" w:hAnsi="Verdana" w:cs="Verdana"/>
          <w:sz w:val="20"/>
          <w:szCs w:val="20"/>
          <w:lang w:val="es-CR"/>
        </w:rPr>
        <w:tab/>
        <w:t xml:space="preserve">La decisión del Presidente es acorde con la </w:t>
      </w:r>
      <w:r w:rsidR="00723548" w:rsidRPr="004B22E0">
        <w:rPr>
          <w:rFonts w:ascii="Verdana" w:hAnsi="Verdana" w:cs="Verdana"/>
          <w:sz w:val="20"/>
          <w:szCs w:val="20"/>
        </w:rPr>
        <w:t xml:space="preserve">práctica </w:t>
      </w:r>
      <w:r w:rsidR="00723548">
        <w:rPr>
          <w:rFonts w:ascii="Verdana" w:hAnsi="Verdana" w:cs="Verdana"/>
          <w:sz w:val="20"/>
          <w:szCs w:val="20"/>
        </w:rPr>
        <w:t xml:space="preserve">constante del Tribunal de recibir la declaración de </w:t>
      </w:r>
      <w:r w:rsidR="00723548" w:rsidRPr="004B22E0">
        <w:rPr>
          <w:rFonts w:ascii="Verdana" w:hAnsi="Verdana" w:cs="Verdana"/>
          <w:sz w:val="20"/>
          <w:szCs w:val="20"/>
        </w:rPr>
        <w:t>las presuntas víctimas en audiencia mediante preguntas efectuadas por las partes</w:t>
      </w:r>
      <w:r w:rsidR="00723548">
        <w:rPr>
          <w:rFonts w:ascii="Verdana" w:hAnsi="Verdana" w:cs="Verdana"/>
          <w:sz w:val="20"/>
          <w:szCs w:val="20"/>
        </w:rPr>
        <w:t>. Esa ha sido</w:t>
      </w:r>
      <w:r w:rsidR="001F111A">
        <w:rPr>
          <w:rFonts w:ascii="Verdana" w:hAnsi="Verdana" w:cs="Verdana"/>
          <w:sz w:val="20"/>
          <w:szCs w:val="20"/>
        </w:rPr>
        <w:t xml:space="preserve"> </w:t>
      </w:r>
      <w:r w:rsidR="00723548" w:rsidRPr="00750F30">
        <w:rPr>
          <w:rFonts w:ascii="Verdana" w:hAnsi="Verdana" w:cs="Verdana"/>
          <w:sz w:val="20"/>
          <w:szCs w:val="20"/>
        </w:rPr>
        <w:t xml:space="preserve">la práctica de </w:t>
      </w:r>
      <w:r w:rsidR="00723548">
        <w:rPr>
          <w:rFonts w:ascii="Verdana" w:hAnsi="Verdana" w:cs="Verdana"/>
          <w:sz w:val="20"/>
          <w:szCs w:val="20"/>
        </w:rPr>
        <w:t xml:space="preserve">la </w:t>
      </w:r>
      <w:r w:rsidR="00723548" w:rsidRPr="006D7EF1">
        <w:rPr>
          <w:rFonts w:ascii="Verdana" w:hAnsi="Verdana" w:cs="Verdana"/>
          <w:sz w:val="20"/>
          <w:szCs w:val="20"/>
        </w:rPr>
        <w:t xml:space="preserve">Corte en todos los casos, incluyendo los relativos a Venezuela </w:t>
      </w:r>
      <w:r w:rsidR="00FD5E0F" w:rsidRPr="006D7EF1">
        <w:rPr>
          <w:rFonts w:ascii="Verdana" w:hAnsi="Verdana" w:cs="Verdana"/>
          <w:sz w:val="20"/>
          <w:szCs w:val="20"/>
        </w:rPr>
        <w:t xml:space="preserve">y otros países </w:t>
      </w:r>
      <w:r w:rsidR="00723548" w:rsidRPr="006D7EF1">
        <w:rPr>
          <w:rFonts w:ascii="Verdana" w:hAnsi="Verdana" w:cs="Verdana"/>
          <w:sz w:val="20"/>
          <w:szCs w:val="20"/>
        </w:rPr>
        <w:t>en los que se desempeñaron</w:t>
      </w:r>
      <w:r w:rsidR="00723548">
        <w:rPr>
          <w:rFonts w:ascii="Verdana" w:hAnsi="Verdana" w:cs="Verdana"/>
          <w:sz w:val="20"/>
          <w:szCs w:val="20"/>
        </w:rPr>
        <w:t xml:space="preserve"> como representantes </w:t>
      </w:r>
      <w:r w:rsidR="00723548" w:rsidRPr="00C7552F">
        <w:rPr>
          <w:rFonts w:ascii="Verdana" w:hAnsi="Verdana" w:cs="Verdana"/>
          <w:sz w:val="20"/>
          <w:szCs w:val="20"/>
        </w:rPr>
        <w:t xml:space="preserve">algún o algunos de los representantes </w:t>
      </w:r>
      <w:r w:rsidR="001A6D49">
        <w:rPr>
          <w:rFonts w:ascii="Verdana" w:hAnsi="Verdana" w:cs="Verdana"/>
          <w:sz w:val="20"/>
          <w:szCs w:val="20"/>
        </w:rPr>
        <w:t xml:space="preserve">de la presunta víctima </w:t>
      </w:r>
      <w:r w:rsidR="00723548" w:rsidRPr="00C7552F">
        <w:rPr>
          <w:rFonts w:ascii="Verdana" w:hAnsi="Verdana" w:cs="Verdana"/>
          <w:sz w:val="20"/>
          <w:szCs w:val="20"/>
        </w:rPr>
        <w:t>en este caso</w:t>
      </w:r>
      <w:r w:rsidR="00594628" w:rsidRPr="00750F30">
        <w:rPr>
          <w:rStyle w:val="FootnoteReference"/>
          <w:rFonts w:ascii="Verdana" w:hAnsi="Verdana" w:cs="Verdana"/>
          <w:sz w:val="20"/>
          <w:szCs w:val="20"/>
        </w:rPr>
        <w:footnoteReference w:id="14"/>
      </w:r>
      <w:r w:rsidR="00723548" w:rsidRPr="00C7552F">
        <w:rPr>
          <w:rFonts w:ascii="Verdana" w:hAnsi="Verdana" w:cs="Verdana"/>
          <w:sz w:val="20"/>
          <w:szCs w:val="20"/>
        </w:rPr>
        <w:t>.</w:t>
      </w:r>
      <w:r w:rsidR="00723548" w:rsidRPr="00750F30">
        <w:rPr>
          <w:rFonts w:ascii="Verdana" w:hAnsi="Verdana" w:cs="Verdana"/>
          <w:sz w:val="20"/>
          <w:szCs w:val="20"/>
        </w:rPr>
        <w:t xml:space="preserve"> El Reglamento de</w:t>
      </w:r>
      <w:r w:rsidR="00723548" w:rsidRPr="004B22E0">
        <w:rPr>
          <w:rFonts w:ascii="Verdana" w:hAnsi="Verdana" w:cs="Verdana"/>
          <w:sz w:val="20"/>
          <w:szCs w:val="20"/>
        </w:rPr>
        <w:t xml:space="preserve"> la Corte </w:t>
      </w:r>
      <w:r w:rsidR="00723548">
        <w:rPr>
          <w:rFonts w:ascii="Verdana" w:hAnsi="Verdana" w:cs="Verdana"/>
          <w:sz w:val="20"/>
          <w:szCs w:val="20"/>
        </w:rPr>
        <w:t xml:space="preserve">establece la modalidad de las declaraciones mediante el interrogatorio, en los términos de los artículos 51.2 a 51.6 y 52.2 del mismo. </w:t>
      </w:r>
      <w:r w:rsidR="00594628">
        <w:rPr>
          <w:rFonts w:ascii="Verdana" w:hAnsi="Verdana" w:cs="Verdana"/>
          <w:sz w:val="20"/>
          <w:szCs w:val="20"/>
        </w:rPr>
        <w:t xml:space="preserve">El interrogatorio lo inicia la parte que propuso al declarante. </w:t>
      </w:r>
      <w:r w:rsidR="00723548">
        <w:rPr>
          <w:rFonts w:ascii="Verdana" w:hAnsi="Verdana" w:cs="Verdana"/>
          <w:sz w:val="20"/>
          <w:szCs w:val="20"/>
        </w:rPr>
        <w:t xml:space="preserve">El hecho que las presuntas víctimas y </w:t>
      </w:r>
      <w:r w:rsidR="00723548" w:rsidRPr="004B22E0">
        <w:rPr>
          <w:rFonts w:ascii="Verdana" w:hAnsi="Verdana" w:cs="Verdana"/>
          <w:sz w:val="20"/>
          <w:szCs w:val="20"/>
        </w:rPr>
        <w:t>l</w:t>
      </w:r>
      <w:r w:rsidR="00723548">
        <w:rPr>
          <w:rFonts w:ascii="Verdana" w:hAnsi="Verdana" w:cs="Verdana"/>
          <w:sz w:val="20"/>
          <w:szCs w:val="20"/>
        </w:rPr>
        <w:t>os</w:t>
      </w:r>
      <w:r w:rsidR="00723548" w:rsidRPr="004B22E0">
        <w:rPr>
          <w:rFonts w:ascii="Verdana" w:hAnsi="Verdana" w:cs="Verdana"/>
          <w:sz w:val="20"/>
          <w:szCs w:val="20"/>
        </w:rPr>
        <w:t xml:space="preserve"> testigo</w:t>
      </w:r>
      <w:r w:rsidR="00723548">
        <w:rPr>
          <w:rFonts w:ascii="Verdana" w:hAnsi="Verdana" w:cs="Verdana"/>
          <w:sz w:val="20"/>
          <w:szCs w:val="20"/>
        </w:rPr>
        <w:t>s</w:t>
      </w:r>
      <w:r w:rsidR="00723548" w:rsidRPr="004B22E0">
        <w:rPr>
          <w:rFonts w:ascii="Verdana" w:hAnsi="Verdana" w:cs="Verdana"/>
          <w:sz w:val="20"/>
          <w:szCs w:val="20"/>
        </w:rPr>
        <w:t xml:space="preserve"> declaran con similar modalidad</w:t>
      </w:r>
      <w:r w:rsidR="00723548">
        <w:rPr>
          <w:rFonts w:ascii="Verdana" w:hAnsi="Verdana" w:cs="Verdana"/>
          <w:sz w:val="20"/>
          <w:szCs w:val="20"/>
        </w:rPr>
        <w:t xml:space="preserve">, con la diferencia que </w:t>
      </w:r>
      <w:r w:rsidR="000F3654">
        <w:rPr>
          <w:rFonts w:ascii="Verdana" w:hAnsi="Verdana" w:cs="Verdana"/>
          <w:sz w:val="20"/>
          <w:szCs w:val="20"/>
        </w:rPr>
        <w:t>la presunta víctima no presta</w:t>
      </w:r>
      <w:r w:rsidR="00723548" w:rsidRPr="004B22E0">
        <w:rPr>
          <w:rFonts w:ascii="Verdana" w:hAnsi="Verdana" w:cs="Verdana"/>
          <w:sz w:val="20"/>
          <w:szCs w:val="20"/>
        </w:rPr>
        <w:t xml:space="preserve"> juramento o declara</w:t>
      </w:r>
      <w:r w:rsidR="00723548">
        <w:rPr>
          <w:rFonts w:ascii="Verdana" w:hAnsi="Verdana" w:cs="Verdana"/>
          <w:sz w:val="20"/>
          <w:szCs w:val="20"/>
        </w:rPr>
        <w:t>ción solemne de decir la verdad</w:t>
      </w:r>
      <w:r w:rsidR="00723548" w:rsidRPr="004B22E0">
        <w:rPr>
          <w:rFonts w:ascii="Verdana" w:hAnsi="Verdana" w:cs="Verdana"/>
          <w:sz w:val="20"/>
          <w:szCs w:val="20"/>
        </w:rPr>
        <w:t xml:space="preserve">, en </w:t>
      </w:r>
      <w:r w:rsidR="00723548" w:rsidRPr="004B22E0">
        <w:rPr>
          <w:rFonts w:ascii="Verdana" w:hAnsi="Verdana" w:cs="Verdana"/>
          <w:sz w:val="20"/>
          <w:szCs w:val="20"/>
        </w:rPr>
        <w:lastRenderedPageBreak/>
        <w:t>ningún sentido significa que el Tribunal está desvalorizando la importancia de las declaraciones de las presuntas víctimas</w:t>
      </w:r>
      <w:r w:rsidR="00723548">
        <w:rPr>
          <w:rFonts w:ascii="Verdana" w:hAnsi="Verdana" w:cs="Verdana"/>
          <w:sz w:val="20"/>
          <w:szCs w:val="20"/>
        </w:rPr>
        <w:t>. Resulta infundado sostener lo contrario. La jurisprudencia constante del Tribunal confirma la importancia de la declaración de la presunta víctima:</w:t>
      </w:r>
    </w:p>
    <w:p w:rsidR="00723548" w:rsidRPr="00893054" w:rsidRDefault="00723548" w:rsidP="00723548">
      <w:pPr>
        <w:rPr>
          <w:rFonts w:ascii="Verdana" w:hAnsi="Verdana" w:cs="Verdana"/>
          <w:sz w:val="20"/>
          <w:szCs w:val="20"/>
          <w:lang w:val="es-CR"/>
        </w:rPr>
      </w:pPr>
    </w:p>
    <w:p w:rsidR="00723548" w:rsidRPr="00A5530A" w:rsidRDefault="00723548" w:rsidP="00151BC5">
      <w:pPr>
        <w:ind w:left="720" w:right="616"/>
        <w:jc w:val="both"/>
        <w:rPr>
          <w:rFonts w:ascii="Verdana" w:hAnsi="Verdana" w:cs="Verdana"/>
          <w:sz w:val="16"/>
          <w:szCs w:val="16"/>
        </w:rPr>
      </w:pPr>
      <w:r w:rsidRPr="00A5530A">
        <w:rPr>
          <w:rFonts w:ascii="Verdana" w:hAnsi="Verdana" w:cs="Verdana"/>
          <w:sz w:val="16"/>
          <w:szCs w:val="16"/>
          <w:lang w:val="es-CR"/>
        </w:rPr>
        <w:t>En cuanto a la declaración de la presunta víctima</w:t>
      </w:r>
      <w:r w:rsidRPr="00A5530A">
        <w:rPr>
          <w:rFonts w:ascii="Verdana" w:hAnsi="Verdana" w:cs="Verdana"/>
          <w:sz w:val="16"/>
          <w:szCs w:val="16"/>
          <w:lang w:val="es-ES"/>
        </w:rPr>
        <w:t>, la Corte ha destacado en forma constante su utilidad en la medida en que puede proporcionar mayor información sobre las violaciones alegadas y sus consecuencias, por lo cual en la medida de lo posible resulta conveniente recibir su declaración en forma oral</w:t>
      </w:r>
      <w:r w:rsidRPr="00A5530A">
        <w:rPr>
          <w:rStyle w:val="FootnoteReference"/>
          <w:rFonts w:ascii="Verdana" w:hAnsi="Verdana" w:cs="Verdana"/>
          <w:sz w:val="16"/>
          <w:szCs w:val="16"/>
          <w:lang w:val="es-ES"/>
        </w:rPr>
        <w:footnoteReference w:id="15"/>
      </w:r>
      <w:r w:rsidRPr="00A5530A">
        <w:rPr>
          <w:rFonts w:ascii="Verdana" w:hAnsi="Verdana" w:cs="Verdana"/>
          <w:sz w:val="16"/>
          <w:szCs w:val="16"/>
          <w:lang w:val="es-ES"/>
        </w:rPr>
        <w:t>.</w:t>
      </w:r>
    </w:p>
    <w:p w:rsidR="00723548" w:rsidRPr="00EC6020" w:rsidRDefault="00723548" w:rsidP="00723548">
      <w:pPr>
        <w:rPr>
          <w:rFonts w:ascii="Verdana" w:hAnsi="Verdana" w:cs="Verdana"/>
          <w:sz w:val="20"/>
          <w:szCs w:val="20"/>
        </w:rPr>
      </w:pPr>
    </w:p>
    <w:p w:rsidR="00723548" w:rsidRPr="00EC6020" w:rsidRDefault="006D7EF1" w:rsidP="00723548">
      <w:pPr>
        <w:ind w:right="18"/>
        <w:jc w:val="both"/>
        <w:rPr>
          <w:rFonts w:ascii="Verdana" w:hAnsi="Verdana" w:cs="Verdana"/>
          <w:sz w:val="20"/>
          <w:szCs w:val="20"/>
        </w:rPr>
      </w:pPr>
      <w:r>
        <w:rPr>
          <w:rFonts w:ascii="Verdana" w:hAnsi="Verdana" w:cs="Verdana"/>
          <w:sz w:val="20"/>
          <w:szCs w:val="20"/>
        </w:rPr>
        <w:t>18</w:t>
      </w:r>
      <w:r w:rsidR="00723548" w:rsidRPr="00EC6020">
        <w:rPr>
          <w:rFonts w:ascii="Verdana" w:hAnsi="Verdana" w:cs="Verdana"/>
          <w:sz w:val="20"/>
          <w:szCs w:val="20"/>
        </w:rPr>
        <w:t>.</w:t>
      </w:r>
      <w:r w:rsidR="00723548" w:rsidRPr="00EC6020">
        <w:rPr>
          <w:rFonts w:ascii="Verdana" w:hAnsi="Verdana" w:cs="Verdana"/>
          <w:sz w:val="20"/>
          <w:szCs w:val="20"/>
        </w:rPr>
        <w:tab/>
        <w:t>Asimismo, el Tribunal ha establecido, en su caso, que “la presunta víctima podrá ilustrar al Tribunal respecto de las medidas de reparación que eventualmente deberá adoptar la Corte en relación con su situación específica”</w:t>
      </w:r>
      <w:r w:rsidR="00723548" w:rsidRPr="00EC6020">
        <w:rPr>
          <w:rStyle w:val="FootnoteReference"/>
          <w:rFonts w:ascii="Verdana" w:hAnsi="Verdana" w:cs="Verdana"/>
          <w:sz w:val="20"/>
          <w:szCs w:val="20"/>
        </w:rPr>
        <w:footnoteReference w:id="16"/>
      </w:r>
      <w:r w:rsidR="00723548" w:rsidRPr="00EC6020">
        <w:rPr>
          <w:rFonts w:ascii="Verdana" w:hAnsi="Verdana" w:cs="Verdana"/>
          <w:sz w:val="20"/>
          <w:szCs w:val="20"/>
        </w:rPr>
        <w:t>. Por lo tanto, no cabe ninguna duda de la relevancia que la Corte otorga a la recepción de la declaración en audiencia de la presunta víctima.</w:t>
      </w:r>
    </w:p>
    <w:p w:rsidR="00723548" w:rsidRPr="00EC6020" w:rsidRDefault="00723548" w:rsidP="00723548">
      <w:pPr>
        <w:ind w:right="18"/>
        <w:jc w:val="both"/>
        <w:rPr>
          <w:rFonts w:ascii="Verdana" w:hAnsi="Verdana" w:cs="Verdana"/>
          <w:sz w:val="20"/>
          <w:szCs w:val="20"/>
          <w:lang w:val="es-CR"/>
        </w:rPr>
      </w:pPr>
    </w:p>
    <w:p w:rsidR="00723548" w:rsidRPr="00EC6020" w:rsidRDefault="006D7EF1" w:rsidP="00723548">
      <w:pPr>
        <w:ind w:right="18"/>
        <w:jc w:val="both"/>
        <w:rPr>
          <w:rFonts w:ascii="Verdana" w:hAnsi="Verdana" w:cs="Verdana"/>
          <w:sz w:val="20"/>
          <w:szCs w:val="20"/>
        </w:rPr>
      </w:pPr>
      <w:r>
        <w:rPr>
          <w:rFonts w:ascii="Verdana" w:hAnsi="Verdana" w:cs="Verdana"/>
          <w:sz w:val="20"/>
          <w:szCs w:val="20"/>
        </w:rPr>
        <w:t>19</w:t>
      </w:r>
      <w:r w:rsidR="00723548" w:rsidRPr="00EC6020">
        <w:rPr>
          <w:rFonts w:ascii="Verdana" w:hAnsi="Verdana" w:cs="Verdana"/>
          <w:sz w:val="20"/>
          <w:szCs w:val="20"/>
        </w:rPr>
        <w:t>.</w:t>
      </w:r>
      <w:r w:rsidR="00723548" w:rsidRPr="00EC6020">
        <w:rPr>
          <w:rFonts w:ascii="Verdana" w:hAnsi="Verdana" w:cs="Verdana"/>
          <w:sz w:val="20"/>
          <w:szCs w:val="20"/>
        </w:rPr>
        <w:tab/>
        <w:t>Con</w:t>
      </w:r>
      <w:r w:rsidR="00723548" w:rsidRPr="00EC6020">
        <w:rPr>
          <w:rFonts w:ascii="Verdana" w:hAnsi="Verdana" w:cs="Verdana"/>
          <w:spacing w:val="33"/>
          <w:sz w:val="20"/>
          <w:szCs w:val="20"/>
        </w:rPr>
        <w:t xml:space="preserve"> </w:t>
      </w:r>
      <w:r w:rsidR="00723548" w:rsidRPr="00EC6020">
        <w:rPr>
          <w:rFonts w:ascii="Verdana" w:hAnsi="Verdana" w:cs="Verdana"/>
          <w:sz w:val="20"/>
          <w:szCs w:val="20"/>
        </w:rPr>
        <w:t>base</w:t>
      </w:r>
      <w:r w:rsidR="00723548" w:rsidRPr="00EC6020">
        <w:rPr>
          <w:rFonts w:ascii="Verdana" w:hAnsi="Verdana" w:cs="Verdana"/>
          <w:spacing w:val="38"/>
          <w:sz w:val="20"/>
          <w:szCs w:val="20"/>
        </w:rPr>
        <w:t xml:space="preserve"> </w:t>
      </w:r>
      <w:r w:rsidR="00723548" w:rsidRPr="00EC6020">
        <w:rPr>
          <w:rFonts w:ascii="Verdana" w:hAnsi="Verdana" w:cs="Verdana"/>
          <w:sz w:val="20"/>
          <w:szCs w:val="20"/>
        </w:rPr>
        <w:t>en</w:t>
      </w:r>
      <w:r w:rsidR="00723548" w:rsidRPr="00EC6020">
        <w:rPr>
          <w:rFonts w:ascii="Verdana" w:hAnsi="Verdana" w:cs="Verdana"/>
          <w:spacing w:val="39"/>
          <w:sz w:val="20"/>
          <w:szCs w:val="20"/>
        </w:rPr>
        <w:t xml:space="preserve"> </w:t>
      </w:r>
      <w:r w:rsidR="00723548" w:rsidRPr="00EC6020">
        <w:rPr>
          <w:rFonts w:ascii="Verdana" w:hAnsi="Verdana" w:cs="Verdana"/>
          <w:sz w:val="20"/>
          <w:szCs w:val="20"/>
        </w:rPr>
        <w:t>las</w:t>
      </w:r>
      <w:r w:rsidR="00723548" w:rsidRPr="00EC6020">
        <w:rPr>
          <w:rFonts w:ascii="Verdana" w:hAnsi="Verdana" w:cs="Verdana"/>
          <w:spacing w:val="37"/>
          <w:sz w:val="20"/>
          <w:szCs w:val="20"/>
        </w:rPr>
        <w:t xml:space="preserve"> </w:t>
      </w:r>
      <w:r w:rsidR="00723548" w:rsidRPr="00EC6020">
        <w:rPr>
          <w:rFonts w:ascii="Verdana" w:hAnsi="Verdana" w:cs="Verdana"/>
          <w:w w:val="111"/>
          <w:sz w:val="20"/>
          <w:szCs w:val="20"/>
        </w:rPr>
        <w:t>anteriores consideraciones,</w:t>
      </w:r>
      <w:r w:rsidR="00723548" w:rsidRPr="00EC6020">
        <w:rPr>
          <w:rFonts w:ascii="Verdana" w:hAnsi="Verdana" w:cs="Verdana"/>
          <w:spacing w:val="-2"/>
          <w:w w:val="111"/>
          <w:sz w:val="20"/>
          <w:szCs w:val="20"/>
        </w:rPr>
        <w:t xml:space="preserve"> </w:t>
      </w:r>
      <w:r w:rsidR="00723548" w:rsidRPr="00EC6020">
        <w:rPr>
          <w:rFonts w:ascii="Verdana" w:hAnsi="Verdana" w:cs="Verdana"/>
          <w:sz w:val="20"/>
          <w:szCs w:val="20"/>
        </w:rPr>
        <w:t>la</w:t>
      </w:r>
      <w:r w:rsidR="00723548" w:rsidRPr="00EC6020">
        <w:rPr>
          <w:rFonts w:ascii="Verdana" w:hAnsi="Verdana" w:cs="Verdana"/>
          <w:spacing w:val="34"/>
          <w:sz w:val="20"/>
          <w:szCs w:val="20"/>
        </w:rPr>
        <w:t xml:space="preserve"> </w:t>
      </w:r>
      <w:r w:rsidR="00723548" w:rsidRPr="00EC6020">
        <w:rPr>
          <w:rFonts w:ascii="Verdana" w:hAnsi="Verdana" w:cs="Verdana"/>
          <w:sz w:val="20"/>
          <w:szCs w:val="20"/>
        </w:rPr>
        <w:t xml:space="preserve">Corte estima que no existen fundamentos para modificar la modalidad de la declaración de la presunta víctima. </w:t>
      </w:r>
    </w:p>
    <w:p w:rsidR="00723548" w:rsidRDefault="00723548" w:rsidP="00723548">
      <w:pPr>
        <w:autoSpaceDE w:val="0"/>
        <w:autoSpaceDN w:val="0"/>
        <w:adjustRightInd w:val="0"/>
        <w:ind w:right="18"/>
        <w:jc w:val="both"/>
        <w:rPr>
          <w:rFonts w:ascii="Garamond" w:hAnsi="Garamond" w:cs="Garamond"/>
          <w:sz w:val="22"/>
          <w:szCs w:val="22"/>
          <w:lang w:val="es-CR"/>
        </w:rPr>
      </w:pPr>
    </w:p>
    <w:p w:rsidR="007300DA" w:rsidRDefault="007300DA" w:rsidP="00723548">
      <w:pPr>
        <w:autoSpaceDE w:val="0"/>
        <w:autoSpaceDN w:val="0"/>
        <w:adjustRightInd w:val="0"/>
        <w:ind w:right="18"/>
        <w:jc w:val="both"/>
        <w:rPr>
          <w:rFonts w:ascii="Garamond" w:hAnsi="Garamond" w:cs="Garamond"/>
          <w:sz w:val="22"/>
          <w:szCs w:val="22"/>
          <w:lang w:val="es-CR"/>
        </w:rPr>
      </w:pPr>
    </w:p>
    <w:p w:rsidR="00723548" w:rsidRPr="005C641D" w:rsidRDefault="00723548" w:rsidP="00723548">
      <w:pPr>
        <w:autoSpaceDE w:val="0"/>
        <w:autoSpaceDN w:val="0"/>
        <w:adjustRightInd w:val="0"/>
        <w:ind w:right="18"/>
        <w:jc w:val="both"/>
        <w:rPr>
          <w:rFonts w:ascii="Verdana" w:hAnsi="Verdana" w:cs="Verdana"/>
          <w:b/>
          <w:bCs/>
          <w:sz w:val="20"/>
          <w:szCs w:val="20"/>
          <w:lang w:val="es-ES"/>
        </w:rPr>
      </w:pPr>
      <w:r w:rsidRPr="005C641D">
        <w:rPr>
          <w:rFonts w:ascii="Verdana" w:hAnsi="Verdana" w:cs="Verdana"/>
          <w:b/>
          <w:bCs/>
          <w:sz w:val="20"/>
          <w:szCs w:val="20"/>
          <w:lang w:val="es-ES"/>
        </w:rPr>
        <w:t>POR TANTO:</w:t>
      </w:r>
    </w:p>
    <w:p w:rsidR="00723548" w:rsidRPr="005C641D" w:rsidRDefault="00723548" w:rsidP="00723548">
      <w:pPr>
        <w:autoSpaceDE w:val="0"/>
        <w:autoSpaceDN w:val="0"/>
        <w:adjustRightInd w:val="0"/>
        <w:ind w:right="18"/>
        <w:jc w:val="both"/>
        <w:rPr>
          <w:rFonts w:ascii="Verdana" w:hAnsi="Verdana" w:cs="Verdana"/>
          <w:b/>
          <w:bCs/>
          <w:sz w:val="20"/>
          <w:szCs w:val="20"/>
          <w:lang w:val="es-ES"/>
        </w:rPr>
      </w:pPr>
    </w:p>
    <w:p w:rsidR="00723548" w:rsidRPr="005C641D" w:rsidRDefault="00723548" w:rsidP="00723548">
      <w:pPr>
        <w:autoSpaceDE w:val="0"/>
        <w:autoSpaceDN w:val="0"/>
        <w:adjustRightInd w:val="0"/>
        <w:ind w:right="18"/>
        <w:jc w:val="both"/>
        <w:rPr>
          <w:rFonts w:ascii="Verdana" w:hAnsi="Verdana" w:cs="Verdana"/>
          <w:b/>
          <w:bCs/>
          <w:sz w:val="20"/>
          <w:szCs w:val="20"/>
          <w:lang w:val="es-ES"/>
        </w:rPr>
      </w:pPr>
      <w:r w:rsidRPr="005C641D">
        <w:rPr>
          <w:rFonts w:ascii="Verdana" w:hAnsi="Verdana" w:cs="Verdana"/>
          <w:b/>
          <w:bCs/>
          <w:sz w:val="20"/>
          <w:szCs w:val="20"/>
          <w:lang w:val="es-ES"/>
        </w:rPr>
        <w:t xml:space="preserve">LA CORTE INTERAMERICANA DE DERECHOS HUMANOS, </w:t>
      </w:r>
    </w:p>
    <w:p w:rsidR="00723548" w:rsidRPr="005C641D" w:rsidRDefault="00723548" w:rsidP="00723548">
      <w:pPr>
        <w:autoSpaceDE w:val="0"/>
        <w:autoSpaceDN w:val="0"/>
        <w:adjustRightInd w:val="0"/>
        <w:ind w:right="18"/>
        <w:jc w:val="both"/>
        <w:rPr>
          <w:rFonts w:ascii="Verdana" w:hAnsi="Verdana" w:cs="Verdana"/>
          <w:b/>
          <w:bCs/>
          <w:sz w:val="20"/>
          <w:szCs w:val="20"/>
          <w:lang w:val="es-ES"/>
        </w:rPr>
      </w:pPr>
    </w:p>
    <w:p w:rsidR="00723548" w:rsidRPr="005C641D" w:rsidRDefault="00723548" w:rsidP="00723548">
      <w:pPr>
        <w:autoSpaceDE w:val="0"/>
        <w:autoSpaceDN w:val="0"/>
        <w:adjustRightInd w:val="0"/>
        <w:ind w:right="18"/>
        <w:jc w:val="both"/>
        <w:rPr>
          <w:rFonts w:ascii="Verdana" w:hAnsi="Verdana" w:cs="Verdana"/>
          <w:b/>
          <w:bCs/>
          <w:sz w:val="20"/>
          <w:szCs w:val="20"/>
          <w:lang w:val="es-ES"/>
        </w:rPr>
      </w:pPr>
      <w:r w:rsidRPr="005C641D">
        <w:rPr>
          <w:rFonts w:ascii="Verdana" w:hAnsi="Verdana" w:cs="Verdana"/>
          <w:sz w:val="20"/>
          <w:szCs w:val="20"/>
          <w:lang w:val="es-ES"/>
        </w:rPr>
        <w:t xml:space="preserve">de conformidad con </w:t>
      </w:r>
      <w:r>
        <w:rPr>
          <w:rFonts w:ascii="Verdana" w:hAnsi="Verdana" w:cs="Verdana"/>
          <w:sz w:val="20"/>
          <w:szCs w:val="20"/>
          <w:lang w:val="es-ES"/>
        </w:rPr>
        <w:t>e</w:t>
      </w:r>
      <w:r w:rsidRPr="005C641D">
        <w:rPr>
          <w:rFonts w:ascii="Verdana" w:hAnsi="Verdana" w:cs="Verdana"/>
          <w:sz w:val="20"/>
          <w:szCs w:val="20"/>
          <w:lang w:val="es-ES"/>
        </w:rPr>
        <w:t xml:space="preserve">l artículo 25.2 del Estatuto de la Corte y con los </w:t>
      </w:r>
      <w:r w:rsidRPr="005C641D">
        <w:rPr>
          <w:rFonts w:ascii="Verdana" w:hAnsi="Verdana" w:cs="Verdana"/>
          <w:sz w:val="20"/>
          <w:szCs w:val="20"/>
        </w:rPr>
        <w:t xml:space="preserve">artículos 31.2, </w:t>
      </w:r>
      <w:r w:rsidRPr="00E30617">
        <w:rPr>
          <w:rFonts w:ascii="Verdana" w:hAnsi="Verdana" w:cs="Verdana"/>
          <w:sz w:val="20"/>
          <w:szCs w:val="20"/>
        </w:rPr>
        <w:t>45, 50 y 51</w:t>
      </w:r>
      <w:r w:rsidRPr="005C641D">
        <w:rPr>
          <w:rFonts w:ascii="Verdana" w:hAnsi="Verdana" w:cs="Verdana"/>
          <w:sz w:val="20"/>
          <w:szCs w:val="20"/>
        </w:rPr>
        <w:t xml:space="preserve"> del Reglamento</w:t>
      </w:r>
      <w:r w:rsidRPr="005C641D">
        <w:rPr>
          <w:rFonts w:ascii="Verdana" w:hAnsi="Verdana" w:cs="Verdana"/>
          <w:sz w:val="20"/>
          <w:szCs w:val="20"/>
          <w:lang w:val="es-ES"/>
        </w:rPr>
        <w:t xml:space="preserve">, </w:t>
      </w:r>
    </w:p>
    <w:p w:rsidR="00723548" w:rsidRDefault="00723548" w:rsidP="00723548">
      <w:pPr>
        <w:autoSpaceDE w:val="0"/>
        <w:autoSpaceDN w:val="0"/>
        <w:adjustRightInd w:val="0"/>
        <w:ind w:right="18"/>
        <w:jc w:val="both"/>
        <w:rPr>
          <w:rFonts w:ascii="Verdana" w:hAnsi="Verdana" w:cs="Verdana"/>
          <w:b/>
          <w:bCs/>
          <w:sz w:val="20"/>
          <w:szCs w:val="20"/>
          <w:lang w:val="es-ES"/>
        </w:rPr>
      </w:pPr>
    </w:p>
    <w:p w:rsidR="003A7A68" w:rsidRPr="005C641D" w:rsidRDefault="003A7A68" w:rsidP="00723548">
      <w:pPr>
        <w:autoSpaceDE w:val="0"/>
        <w:autoSpaceDN w:val="0"/>
        <w:adjustRightInd w:val="0"/>
        <w:ind w:right="18"/>
        <w:jc w:val="both"/>
        <w:rPr>
          <w:rFonts w:ascii="Verdana" w:hAnsi="Verdana" w:cs="Verdana"/>
          <w:b/>
          <w:bCs/>
          <w:sz w:val="20"/>
          <w:szCs w:val="20"/>
          <w:lang w:val="es-ES"/>
        </w:rPr>
      </w:pPr>
    </w:p>
    <w:p w:rsidR="00723548" w:rsidRPr="005C641D" w:rsidRDefault="00723548" w:rsidP="00723548">
      <w:pPr>
        <w:autoSpaceDE w:val="0"/>
        <w:autoSpaceDN w:val="0"/>
        <w:adjustRightInd w:val="0"/>
        <w:ind w:right="18"/>
        <w:jc w:val="both"/>
        <w:rPr>
          <w:rFonts w:ascii="Verdana" w:hAnsi="Verdana" w:cs="Verdana"/>
          <w:b/>
          <w:bCs/>
          <w:sz w:val="20"/>
          <w:szCs w:val="20"/>
          <w:lang w:val="es-ES"/>
        </w:rPr>
      </w:pPr>
      <w:r w:rsidRPr="005C641D">
        <w:rPr>
          <w:rFonts w:ascii="Verdana" w:hAnsi="Verdana" w:cs="Verdana"/>
          <w:b/>
          <w:bCs/>
          <w:sz w:val="20"/>
          <w:szCs w:val="20"/>
          <w:lang w:val="es-ES"/>
        </w:rPr>
        <w:t>RESUELVE:</w:t>
      </w:r>
    </w:p>
    <w:p w:rsidR="00723548" w:rsidRDefault="00723548" w:rsidP="00723548">
      <w:pPr>
        <w:autoSpaceDE w:val="0"/>
        <w:autoSpaceDN w:val="0"/>
        <w:adjustRightInd w:val="0"/>
        <w:ind w:right="18"/>
        <w:jc w:val="both"/>
        <w:rPr>
          <w:rFonts w:ascii="Verdana" w:hAnsi="Verdana" w:cs="Verdana"/>
          <w:sz w:val="20"/>
          <w:szCs w:val="20"/>
          <w:lang w:val="es-ES"/>
        </w:rPr>
      </w:pPr>
    </w:p>
    <w:p w:rsidR="00723548" w:rsidRPr="005C641D" w:rsidRDefault="00723548" w:rsidP="00723548">
      <w:pPr>
        <w:autoSpaceDE w:val="0"/>
        <w:autoSpaceDN w:val="0"/>
        <w:adjustRightInd w:val="0"/>
        <w:ind w:right="18"/>
        <w:jc w:val="both"/>
        <w:rPr>
          <w:rFonts w:ascii="Verdana" w:hAnsi="Verdana" w:cs="Verdana"/>
          <w:sz w:val="20"/>
          <w:szCs w:val="20"/>
          <w:lang w:val="es-ES"/>
        </w:rPr>
      </w:pPr>
    </w:p>
    <w:p w:rsidR="00723548" w:rsidRDefault="00723548" w:rsidP="00723548">
      <w:pPr>
        <w:ind w:right="18"/>
        <w:jc w:val="both"/>
        <w:rPr>
          <w:rFonts w:ascii="Verdana" w:hAnsi="Verdana" w:cs="Verdana"/>
          <w:sz w:val="20"/>
          <w:szCs w:val="20"/>
        </w:rPr>
      </w:pPr>
      <w:r>
        <w:rPr>
          <w:rFonts w:ascii="Verdana" w:hAnsi="Verdana" w:cs="Verdana"/>
          <w:sz w:val="20"/>
          <w:szCs w:val="20"/>
        </w:rPr>
        <w:t>1.</w:t>
      </w:r>
      <w:r>
        <w:rPr>
          <w:rFonts w:ascii="Verdana" w:hAnsi="Verdana" w:cs="Verdana"/>
          <w:sz w:val="20"/>
          <w:szCs w:val="20"/>
        </w:rPr>
        <w:tab/>
        <w:t>Desestimar el recurso interpuesto por los representantes de la presunta víctima y, en consecuencia, ratificar</w:t>
      </w:r>
      <w:r w:rsidRPr="005C641D">
        <w:rPr>
          <w:rFonts w:ascii="Verdana" w:hAnsi="Verdana" w:cs="Verdana"/>
          <w:sz w:val="20"/>
          <w:szCs w:val="20"/>
        </w:rPr>
        <w:t xml:space="preserve"> la Resolución de </w:t>
      </w:r>
      <w:r>
        <w:rPr>
          <w:rFonts w:ascii="Verdana" w:hAnsi="Verdana" w:cs="Verdana"/>
          <w:sz w:val="20"/>
          <w:szCs w:val="20"/>
        </w:rPr>
        <w:t>31 de julio de 2013</w:t>
      </w:r>
      <w:r w:rsidRPr="005C641D">
        <w:rPr>
          <w:rFonts w:ascii="Verdana" w:hAnsi="Verdana" w:cs="Verdana"/>
          <w:sz w:val="20"/>
          <w:szCs w:val="20"/>
        </w:rPr>
        <w:t xml:space="preserve"> del Presidente de la Corte Interamericana de Derechos Humanos</w:t>
      </w:r>
      <w:r>
        <w:rPr>
          <w:rFonts w:ascii="Verdana" w:hAnsi="Verdana" w:cs="Verdana"/>
          <w:sz w:val="20"/>
          <w:szCs w:val="20"/>
        </w:rPr>
        <w:t xml:space="preserve"> en todos sus términos</w:t>
      </w:r>
      <w:r w:rsidRPr="005C641D">
        <w:rPr>
          <w:rFonts w:ascii="Verdana" w:hAnsi="Verdana" w:cs="Verdana"/>
          <w:sz w:val="20"/>
          <w:szCs w:val="20"/>
        </w:rPr>
        <w:t>.</w:t>
      </w:r>
    </w:p>
    <w:p w:rsidR="00723548" w:rsidRDefault="00723548" w:rsidP="00723548">
      <w:pPr>
        <w:ind w:right="18"/>
        <w:jc w:val="both"/>
        <w:rPr>
          <w:rFonts w:ascii="Verdana" w:hAnsi="Verdana" w:cs="Verdana"/>
          <w:sz w:val="20"/>
          <w:szCs w:val="20"/>
        </w:rPr>
      </w:pPr>
    </w:p>
    <w:p w:rsidR="00723548" w:rsidRDefault="00723548" w:rsidP="00723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both"/>
        <w:rPr>
          <w:rFonts w:ascii="Verdana" w:hAnsi="Verdana" w:cs="Verdana"/>
          <w:sz w:val="20"/>
          <w:szCs w:val="20"/>
        </w:rPr>
      </w:pPr>
      <w:r>
        <w:rPr>
          <w:rFonts w:ascii="Verdana" w:hAnsi="Verdana" w:cs="Verdana"/>
          <w:sz w:val="20"/>
          <w:szCs w:val="20"/>
          <w:lang w:val="es-CR"/>
        </w:rPr>
        <w:t>2</w:t>
      </w:r>
      <w:r w:rsidRPr="005C641D">
        <w:rPr>
          <w:rFonts w:ascii="Verdana" w:hAnsi="Verdana" w:cs="Verdana"/>
          <w:sz w:val="20"/>
          <w:szCs w:val="20"/>
          <w:lang w:val="es-CR"/>
        </w:rPr>
        <w:t>.</w:t>
      </w:r>
      <w:r w:rsidRPr="005C641D">
        <w:rPr>
          <w:rFonts w:ascii="Verdana" w:hAnsi="Verdana" w:cs="Verdana"/>
          <w:sz w:val="20"/>
          <w:szCs w:val="20"/>
          <w:lang w:val="es-CR"/>
        </w:rPr>
        <w:tab/>
      </w:r>
      <w:r>
        <w:rPr>
          <w:rFonts w:ascii="Verdana" w:hAnsi="Verdana" w:cs="Verdana"/>
          <w:sz w:val="20"/>
          <w:szCs w:val="20"/>
          <w:lang w:val="es-CR"/>
        </w:rPr>
        <w:t xml:space="preserve">Disponer que </w:t>
      </w:r>
      <w:r w:rsidRPr="005C641D">
        <w:rPr>
          <w:rFonts w:ascii="Verdana" w:hAnsi="Verdana" w:cs="Verdana"/>
          <w:sz w:val="20"/>
          <w:szCs w:val="20"/>
        </w:rPr>
        <w:t>la Secretaría de la Corte not</w:t>
      </w:r>
      <w:r w:rsidR="00407A0C">
        <w:rPr>
          <w:rFonts w:ascii="Verdana" w:hAnsi="Verdana" w:cs="Verdana"/>
          <w:sz w:val="20"/>
          <w:szCs w:val="20"/>
        </w:rPr>
        <w:t xml:space="preserve">ifique la presente Resolución </w:t>
      </w:r>
      <w:r w:rsidRPr="005C641D">
        <w:rPr>
          <w:rFonts w:ascii="Verdana" w:hAnsi="Verdana" w:cs="Verdana"/>
          <w:sz w:val="20"/>
          <w:szCs w:val="20"/>
        </w:rPr>
        <w:t>a</w:t>
      </w:r>
      <w:r>
        <w:rPr>
          <w:rFonts w:ascii="Verdana" w:hAnsi="Verdana" w:cs="Verdana"/>
          <w:sz w:val="20"/>
          <w:szCs w:val="20"/>
        </w:rPr>
        <w:t xml:space="preserve"> </w:t>
      </w:r>
      <w:r w:rsidRPr="005C641D">
        <w:rPr>
          <w:rFonts w:ascii="Verdana" w:hAnsi="Verdana" w:cs="Verdana"/>
          <w:sz w:val="20"/>
          <w:szCs w:val="20"/>
        </w:rPr>
        <w:t>l</w:t>
      </w:r>
      <w:r>
        <w:rPr>
          <w:rFonts w:ascii="Verdana" w:hAnsi="Verdana" w:cs="Verdana"/>
          <w:sz w:val="20"/>
          <w:szCs w:val="20"/>
        </w:rPr>
        <w:t>os</w:t>
      </w:r>
      <w:r w:rsidRPr="005C641D">
        <w:rPr>
          <w:rFonts w:ascii="Verdana" w:hAnsi="Verdana" w:cs="Verdana"/>
          <w:sz w:val="20"/>
          <w:szCs w:val="20"/>
        </w:rPr>
        <w:t xml:space="preserve"> representante</w:t>
      </w:r>
      <w:r>
        <w:rPr>
          <w:rFonts w:ascii="Verdana" w:hAnsi="Verdana" w:cs="Verdana"/>
          <w:sz w:val="20"/>
          <w:szCs w:val="20"/>
        </w:rPr>
        <w:t>s de la presunta víctima</w:t>
      </w:r>
      <w:r w:rsidR="00407A0C">
        <w:rPr>
          <w:rFonts w:ascii="Verdana" w:hAnsi="Verdana" w:cs="Verdana"/>
          <w:sz w:val="20"/>
          <w:szCs w:val="20"/>
        </w:rPr>
        <w:t xml:space="preserve">, a </w:t>
      </w:r>
      <w:r w:rsidR="00407A0C" w:rsidRPr="005C641D">
        <w:rPr>
          <w:rFonts w:ascii="Verdana" w:hAnsi="Verdana" w:cs="Verdana"/>
          <w:sz w:val="20"/>
          <w:szCs w:val="20"/>
        </w:rPr>
        <w:t>l</w:t>
      </w:r>
      <w:r w:rsidR="00407A0C">
        <w:rPr>
          <w:rFonts w:ascii="Verdana" w:hAnsi="Verdana" w:cs="Verdana"/>
          <w:sz w:val="20"/>
          <w:szCs w:val="20"/>
        </w:rPr>
        <w:t>a</w:t>
      </w:r>
      <w:r w:rsidR="00407A0C" w:rsidRPr="005C641D">
        <w:rPr>
          <w:rFonts w:ascii="Verdana" w:hAnsi="Verdana" w:cs="Verdana"/>
          <w:sz w:val="20"/>
          <w:szCs w:val="20"/>
        </w:rPr>
        <w:t xml:space="preserve"> </w:t>
      </w:r>
      <w:r w:rsidR="00407A0C">
        <w:rPr>
          <w:rFonts w:ascii="Verdana" w:hAnsi="Verdana" w:cs="Verdana"/>
          <w:sz w:val="20"/>
          <w:szCs w:val="20"/>
        </w:rPr>
        <w:t>República Bolivariana de Venezuela</w:t>
      </w:r>
      <w:r w:rsidRPr="005C641D">
        <w:rPr>
          <w:rFonts w:ascii="Verdana" w:hAnsi="Verdana" w:cs="Verdana"/>
          <w:sz w:val="20"/>
          <w:szCs w:val="20"/>
        </w:rPr>
        <w:t xml:space="preserve"> y</w:t>
      </w:r>
      <w:r>
        <w:rPr>
          <w:rFonts w:ascii="Verdana" w:hAnsi="Verdana" w:cs="Verdana"/>
          <w:sz w:val="20"/>
          <w:szCs w:val="20"/>
        </w:rPr>
        <w:t xml:space="preserve"> a </w:t>
      </w:r>
      <w:r w:rsidRPr="005C641D">
        <w:rPr>
          <w:rFonts w:ascii="Verdana" w:hAnsi="Verdana" w:cs="Verdana"/>
          <w:sz w:val="20"/>
          <w:szCs w:val="20"/>
        </w:rPr>
        <w:t>la Comisión Interamericana de Derechos Humanos.</w:t>
      </w:r>
    </w:p>
    <w:p w:rsidR="00723548" w:rsidRDefault="00723548" w:rsidP="007235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both"/>
        <w:rPr>
          <w:rFonts w:ascii="Verdana" w:hAnsi="Verdana" w:cs="Verdana"/>
          <w:sz w:val="20"/>
          <w:szCs w:val="20"/>
        </w:rPr>
      </w:pPr>
    </w:p>
    <w:p w:rsidR="00723548" w:rsidRDefault="00723548" w:rsidP="00723548"/>
    <w:p w:rsidR="00E062AC" w:rsidRDefault="00E062AC"/>
    <w:p w:rsidR="000D517D" w:rsidRDefault="000D517D"/>
    <w:p w:rsidR="00824159" w:rsidRPr="007C7838" w:rsidRDefault="00824159" w:rsidP="00824159">
      <w:pPr>
        <w:jc w:val="both"/>
        <w:rPr>
          <w:rFonts w:ascii="Verdana" w:hAnsi="Verdana"/>
          <w:sz w:val="20"/>
        </w:rPr>
      </w:pPr>
    </w:p>
    <w:p w:rsidR="00824159" w:rsidRPr="007C7838" w:rsidRDefault="00824159" w:rsidP="00824159">
      <w:pPr>
        <w:jc w:val="both"/>
        <w:rPr>
          <w:rFonts w:ascii="Verdana" w:hAnsi="Verdana"/>
          <w:sz w:val="20"/>
          <w:lang w:val="es-CR"/>
        </w:rPr>
      </w:pPr>
    </w:p>
    <w:p w:rsidR="00824159" w:rsidRPr="007C7838" w:rsidRDefault="00824159" w:rsidP="00824159">
      <w:pPr>
        <w:jc w:val="both"/>
        <w:rPr>
          <w:rFonts w:ascii="Verdana" w:hAnsi="Verdana"/>
          <w:sz w:val="20"/>
          <w:lang w:val="es-CR"/>
        </w:rPr>
      </w:pPr>
    </w:p>
    <w:p w:rsidR="00824159" w:rsidRPr="007C7838" w:rsidRDefault="00824159" w:rsidP="00824159">
      <w:pPr>
        <w:jc w:val="both"/>
        <w:rPr>
          <w:rFonts w:ascii="Verdana" w:hAnsi="Verdana"/>
          <w:sz w:val="20"/>
          <w:lang w:val="es-CR"/>
        </w:rPr>
      </w:pPr>
    </w:p>
    <w:p w:rsidR="00824159" w:rsidRPr="007C7838" w:rsidRDefault="00824159" w:rsidP="00824159">
      <w:pPr>
        <w:jc w:val="both"/>
        <w:rPr>
          <w:rFonts w:ascii="Verdana" w:hAnsi="Verdana"/>
          <w:sz w:val="20"/>
          <w:lang w:val="es-CR"/>
        </w:rPr>
      </w:pPr>
    </w:p>
    <w:p w:rsidR="00824159" w:rsidRDefault="00824159" w:rsidP="00824159">
      <w:pPr>
        <w:jc w:val="center"/>
        <w:rPr>
          <w:rFonts w:ascii="Verdana" w:hAnsi="Verdana"/>
          <w:sz w:val="20"/>
          <w:lang w:val="es-ES"/>
        </w:rPr>
      </w:pPr>
      <w:r w:rsidRPr="00370276">
        <w:rPr>
          <w:rFonts w:ascii="Verdana" w:hAnsi="Verdana"/>
          <w:sz w:val="20"/>
          <w:lang w:val="es-ES"/>
        </w:rPr>
        <w:t>Diego García-Sayán</w:t>
      </w:r>
      <w:r w:rsidRPr="00370276">
        <w:rPr>
          <w:rFonts w:ascii="Verdana" w:hAnsi="Verdana"/>
          <w:sz w:val="20"/>
          <w:lang w:val="es-ES"/>
        </w:rPr>
        <w:tab/>
      </w:r>
    </w:p>
    <w:p w:rsidR="00824159" w:rsidRPr="00370276" w:rsidRDefault="00824159" w:rsidP="00824159">
      <w:pPr>
        <w:jc w:val="center"/>
        <w:rPr>
          <w:rFonts w:ascii="Verdana" w:hAnsi="Verdana"/>
          <w:sz w:val="20"/>
          <w:lang w:val="es-ES"/>
        </w:rPr>
      </w:pPr>
      <w:r>
        <w:rPr>
          <w:rFonts w:ascii="Verdana" w:hAnsi="Verdana"/>
          <w:sz w:val="20"/>
          <w:lang w:val="es-ES"/>
        </w:rPr>
        <w:t>Presidente</w:t>
      </w: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r w:rsidRPr="00370276">
        <w:rPr>
          <w:rFonts w:ascii="Verdana" w:hAnsi="Verdana"/>
          <w:sz w:val="20"/>
          <w:lang w:val="es-ES"/>
        </w:rPr>
        <w:t>Manuel E. Ventura Robles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Alberto Pérez Pérez</w:t>
      </w:r>
      <w:r>
        <w:rPr>
          <w:rFonts w:ascii="Verdana" w:hAnsi="Verdana"/>
          <w:sz w:val="20"/>
          <w:lang w:val="es-ES"/>
        </w:rPr>
        <w:tab/>
      </w:r>
    </w:p>
    <w:p w:rsidR="00824159" w:rsidRPr="00370276" w:rsidRDefault="00824159" w:rsidP="00824159">
      <w:pPr>
        <w:jc w:val="both"/>
        <w:rPr>
          <w:rFonts w:ascii="Verdana" w:hAnsi="Verdana"/>
          <w:sz w:val="20"/>
          <w:lang w:val="es-ES"/>
        </w:rPr>
      </w:pPr>
    </w:p>
    <w:p w:rsidR="00824159" w:rsidRPr="00370276" w:rsidRDefault="00824159" w:rsidP="00824159">
      <w:pPr>
        <w:rPr>
          <w:rFonts w:ascii="Verdana" w:hAnsi="Verdana"/>
          <w:sz w:val="20"/>
          <w:lang w:val="es-ES"/>
        </w:rPr>
      </w:pPr>
    </w:p>
    <w:p w:rsidR="00824159" w:rsidRDefault="00824159" w:rsidP="00824159">
      <w:pPr>
        <w:rPr>
          <w:rFonts w:ascii="Verdana" w:hAnsi="Verdana"/>
          <w:sz w:val="20"/>
          <w:lang w:val="es-ES"/>
        </w:rPr>
      </w:pPr>
    </w:p>
    <w:p w:rsidR="00824159" w:rsidRDefault="00824159" w:rsidP="00824159">
      <w:pPr>
        <w:rPr>
          <w:rFonts w:ascii="Verdana" w:hAnsi="Verdana"/>
          <w:sz w:val="20"/>
          <w:lang w:val="es-ES"/>
        </w:rPr>
      </w:pPr>
    </w:p>
    <w:p w:rsidR="00824159" w:rsidRDefault="00824159" w:rsidP="00824159">
      <w:pPr>
        <w:rPr>
          <w:rFonts w:ascii="Verdana" w:hAnsi="Verdana"/>
          <w:sz w:val="20"/>
          <w:lang w:val="es-ES"/>
        </w:rPr>
      </w:pPr>
    </w:p>
    <w:p w:rsidR="00824159" w:rsidRDefault="00824159" w:rsidP="00824159">
      <w:pPr>
        <w:rPr>
          <w:rFonts w:ascii="Verdana" w:hAnsi="Verdana"/>
          <w:sz w:val="20"/>
          <w:lang w:val="es-ES"/>
        </w:rPr>
      </w:pPr>
      <w:r>
        <w:rPr>
          <w:rFonts w:ascii="Verdana" w:hAnsi="Verdana"/>
          <w:sz w:val="20"/>
          <w:lang w:val="es-ES"/>
        </w:rPr>
        <w:t>Roberto de Figueiredo Caldas</w:t>
      </w:r>
      <w:r w:rsidRPr="00C25830">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t>Humberto Antonio Sierra Porto</w:t>
      </w:r>
    </w:p>
    <w:p w:rsidR="00824159" w:rsidRDefault="00824159" w:rsidP="00824159">
      <w:pPr>
        <w:rPr>
          <w:rFonts w:ascii="Verdana" w:hAnsi="Verdana"/>
          <w:sz w:val="20"/>
          <w:lang w:val="es-ES"/>
        </w:rPr>
      </w:pPr>
    </w:p>
    <w:p w:rsidR="00824159" w:rsidRDefault="00824159" w:rsidP="00824159">
      <w:pPr>
        <w:rPr>
          <w:rFonts w:ascii="Verdana" w:hAnsi="Verdana"/>
          <w:sz w:val="20"/>
          <w:lang w:val="es-ES"/>
        </w:rPr>
      </w:pPr>
    </w:p>
    <w:p w:rsidR="00824159" w:rsidRDefault="00824159" w:rsidP="00824159">
      <w:pPr>
        <w:rPr>
          <w:rFonts w:ascii="Verdana" w:hAnsi="Verdana"/>
          <w:sz w:val="20"/>
          <w:lang w:val="es-ES"/>
        </w:rPr>
      </w:pPr>
    </w:p>
    <w:p w:rsidR="00824159" w:rsidRDefault="00824159" w:rsidP="00824159">
      <w:pPr>
        <w:rPr>
          <w:rFonts w:ascii="Verdana" w:hAnsi="Verdana"/>
          <w:sz w:val="20"/>
          <w:lang w:val="es-ES"/>
        </w:rPr>
      </w:pPr>
    </w:p>
    <w:p w:rsidR="00824159" w:rsidRDefault="00824159" w:rsidP="00824159">
      <w:pPr>
        <w:rPr>
          <w:rFonts w:ascii="Verdana" w:hAnsi="Verdana"/>
          <w:sz w:val="20"/>
          <w:lang w:val="es-ES"/>
        </w:rPr>
      </w:pPr>
    </w:p>
    <w:p w:rsidR="00824159" w:rsidRPr="00370276" w:rsidRDefault="00824159" w:rsidP="00824159">
      <w:pPr>
        <w:jc w:val="center"/>
        <w:rPr>
          <w:rFonts w:ascii="Verdana" w:hAnsi="Verdana"/>
          <w:sz w:val="20"/>
          <w:lang w:val="es-ES"/>
        </w:rPr>
      </w:pPr>
      <w:r>
        <w:rPr>
          <w:rFonts w:ascii="Verdana" w:hAnsi="Verdana"/>
          <w:sz w:val="20"/>
          <w:lang w:val="es-ES"/>
        </w:rPr>
        <w:t>Eduardo Ferrer Mac-Gregor Poisot</w:t>
      </w:r>
    </w:p>
    <w:p w:rsidR="00824159" w:rsidRPr="001510B7" w:rsidRDefault="00824159" w:rsidP="00824159">
      <w:pPr>
        <w:rPr>
          <w:rFonts w:ascii="Verdana" w:hAnsi="Verdana"/>
          <w:sz w:val="20"/>
          <w:lang w:val="es-ES"/>
        </w:rPr>
      </w:pP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p>
    <w:p w:rsidR="00824159" w:rsidRPr="00154412" w:rsidRDefault="00824159" w:rsidP="00824159">
      <w:pPr>
        <w:rPr>
          <w:rFonts w:ascii="Verdana" w:hAnsi="Verdana"/>
          <w:sz w:val="20"/>
          <w:lang w:val="es-CR"/>
        </w:rPr>
      </w:pPr>
    </w:p>
    <w:p w:rsidR="00824159" w:rsidRPr="00154412" w:rsidRDefault="00824159" w:rsidP="00824159">
      <w:pPr>
        <w:rPr>
          <w:rFonts w:ascii="Verdana" w:hAnsi="Verdana"/>
          <w:sz w:val="20"/>
          <w:lang w:val="es-CR"/>
        </w:rPr>
      </w:pPr>
    </w:p>
    <w:p w:rsidR="00824159" w:rsidRDefault="00824159" w:rsidP="00824159">
      <w:pPr>
        <w:jc w:val="both"/>
        <w:rPr>
          <w:rFonts w:ascii="Verdana" w:hAnsi="Verdana"/>
          <w:sz w:val="20"/>
          <w:lang w:val="es-CR"/>
        </w:rPr>
      </w:pPr>
    </w:p>
    <w:p w:rsidR="00824159" w:rsidRDefault="00824159" w:rsidP="00824159">
      <w:pPr>
        <w:jc w:val="both"/>
        <w:rPr>
          <w:rFonts w:ascii="Verdana" w:hAnsi="Verdana"/>
          <w:sz w:val="20"/>
          <w:lang w:val="es-CR"/>
        </w:rPr>
      </w:pPr>
    </w:p>
    <w:p w:rsidR="00824159" w:rsidRPr="00370276" w:rsidRDefault="00824159" w:rsidP="00824159">
      <w:pPr>
        <w:jc w:val="both"/>
        <w:rPr>
          <w:rFonts w:ascii="Verdana" w:hAnsi="Verdana"/>
          <w:sz w:val="20"/>
          <w:lang w:val="es-ES"/>
        </w:rPr>
      </w:pPr>
    </w:p>
    <w:p w:rsidR="00824159" w:rsidRPr="00370276" w:rsidRDefault="00824159" w:rsidP="00824159">
      <w:pPr>
        <w:jc w:val="center"/>
        <w:rPr>
          <w:rFonts w:ascii="Verdana" w:hAnsi="Verdana"/>
          <w:sz w:val="20"/>
          <w:lang w:val="es-ES"/>
        </w:rPr>
      </w:pPr>
      <w:r w:rsidRPr="00370276">
        <w:rPr>
          <w:rFonts w:ascii="Verdana" w:hAnsi="Verdana"/>
          <w:sz w:val="20"/>
          <w:lang w:val="es-ES"/>
        </w:rPr>
        <w:t>Pablo Saavedra Ales</w:t>
      </w:r>
      <w:r>
        <w:rPr>
          <w:rFonts w:ascii="Verdana" w:hAnsi="Verdana"/>
          <w:sz w:val="20"/>
          <w:lang w:val="es-ES"/>
        </w:rPr>
        <w:t>s</w:t>
      </w:r>
      <w:r w:rsidRPr="00370276">
        <w:rPr>
          <w:rFonts w:ascii="Verdana" w:hAnsi="Verdana"/>
          <w:sz w:val="20"/>
          <w:lang w:val="es-ES"/>
        </w:rPr>
        <w:t>andri</w:t>
      </w:r>
    </w:p>
    <w:p w:rsidR="00824159" w:rsidRPr="00370276" w:rsidRDefault="00824159" w:rsidP="00824159">
      <w:pPr>
        <w:jc w:val="center"/>
        <w:rPr>
          <w:rFonts w:ascii="Verdana" w:hAnsi="Verdana"/>
          <w:sz w:val="20"/>
          <w:lang w:val="es-ES"/>
        </w:rPr>
      </w:pPr>
      <w:r w:rsidRPr="00370276">
        <w:rPr>
          <w:rFonts w:ascii="Verdana" w:hAnsi="Verdana"/>
          <w:sz w:val="20"/>
          <w:lang w:val="es-ES"/>
        </w:rPr>
        <w:t>Secretario</w:t>
      </w:r>
    </w:p>
    <w:p w:rsidR="00824159" w:rsidRPr="00370276" w:rsidRDefault="00824159" w:rsidP="00824159">
      <w:pPr>
        <w:jc w:val="center"/>
        <w:rPr>
          <w:rFonts w:ascii="Verdana" w:hAnsi="Verdana"/>
          <w:sz w:val="20"/>
          <w:lang w:val="es-ES"/>
        </w:rPr>
      </w:pPr>
    </w:p>
    <w:p w:rsidR="00824159" w:rsidRPr="00370276" w:rsidRDefault="00824159" w:rsidP="00824159">
      <w:pPr>
        <w:pStyle w:val="FootnoteText"/>
        <w:rPr>
          <w:rFonts w:ascii="Verdana" w:hAnsi="Verdana"/>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r w:rsidRPr="00370276">
        <w:rPr>
          <w:rFonts w:ascii="Verdana" w:hAnsi="Verdana"/>
          <w:sz w:val="20"/>
          <w:lang w:val="es-ES"/>
        </w:rPr>
        <w:t>Comuníquese y ejecútese,</w:t>
      </w: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1510B7" w:rsidRDefault="00824159" w:rsidP="00824159">
      <w:pPr>
        <w:jc w:val="both"/>
        <w:rPr>
          <w:rFonts w:ascii="Verdana" w:hAnsi="Verdana"/>
          <w:sz w:val="20"/>
          <w:lang w:val="es-CR"/>
        </w:rPr>
      </w:pPr>
    </w:p>
    <w:p w:rsidR="00824159" w:rsidRDefault="00824159" w:rsidP="00824159">
      <w:pPr>
        <w:ind w:left="5760"/>
        <w:jc w:val="center"/>
        <w:rPr>
          <w:rFonts w:ascii="Verdana" w:hAnsi="Verdana"/>
          <w:sz w:val="20"/>
          <w:lang w:val="es-ES"/>
        </w:rPr>
      </w:pPr>
      <w:r w:rsidRPr="00370276">
        <w:rPr>
          <w:rFonts w:ascii="Verdana" w:hAnsi="Verdana"/>
          <w:sz w:val="20"/>
          <w:lang w:val="es-ES"/>
        </w:rPr>
        <w:t>Diego García-Sayán</w:t>
      </w:r>
      <w:r w:rsidRPr="00370276">
        <w:rPr>
          <w:rFonts w:ascii="Verdana" w:hAnsi="Verdana"/>
          <w:sz w:val="20"/>
          <w:lang w:val="es-ES"/>
        </w:rPr>
        <w:tab/>
      </w:r>
    </w:p>
    <w:p w:rsidR="00824159" w:rsidRPr="00370276" w:rsidRDefault="00824159" w:rsidP="00824159">
      <w:pPr>
        <w:ind w:left="5760"/>
        <w:jc w:val="center"/>
        <w:rPr>
          <w:rFonts w:ascii="Verdana" w:hAnsi="Verdana"/>
          <w:sz w:val="20"/>
          <w:lang w:val="es-ES"/>
        </w:rPr>
      </w:pPr>
      <w:r>
        <w:rPr>
          <w:rFonts w:ascii="Verdana" w:hAnsi="Verdana"/>
          <w:sz w:val="20"/>
          <w:lang w:val="es-ES"/>
        </w:rPr>
        <w:t>Presidente</w:t>
      </w: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p>
    <w:p w:rsidR="00824159" w:rsidRPr="00370276" w:rsidRDefault="00824159" w:rsidP="00824159">
      <w:pPr>
        <w:jc w:val="both"/>
        <w:rPr>
          <w:rFonts w:ascii="Verdana" w:hAnsi="Verdana"/>
          <w:sz w:val="20"/>
          <w:lang w:val="es-ES"/>
        </w:rPr>
      </w:pPr>
      <w:r w:rsidRPr="00370276">
        <w:rPr>
          <w:rFonts w:ascii="Verdana" w:hAnsi="Verdana"/>
          <w:sz w:val="20"/>
          <w:lang w:val="es-ES"/>
        </w:rPr>
        <w:t>Pablo Saavedra Alessandri</w:t>
      </w:r>
    </w:p>
    <w:p w:rsidR="00824159" w:rsidRDefault="00824159" w:rsidP="00824159">
      <w:pPr>
        <w:rPr>
          <w:rFonts w:ascii="Verdana" w:hAnsi="Verdana"/>
          <w:sz w:val="20"/>
        </w:rPr>
      </w:pPr>
      <w:r w:rsidRPr="00370276">
        <w:rPr>
          <w:rFonts w:ascii="Verdana" w:hAnsi="Verdana"/>
          <w:sz w:val="20"/>
          <w:lang w:val="es-ES"/>
        </w:rPr>
        <w:tab/>
      </w:r>
      <w:r>
        <w:rPr>
          <w:rFonts w:ascii="Verdana" w:hAnsi="Verdana"/>
          <w:sz w:val="20"/>
        </w:rPr>
        <w:t>Secretario</w:t>
      </w:r>
    </w:p>
    <w:p w:rsidR="000D517D" w:rsidRDefault="000D517D"/>
    <w:sectPr w:rsidR="000D517D" w:rsidSect="00A7045C">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28" w:rsidRDefault="00594628" w:rsidP="00723548">
      <w:r>
        <w:separator/>
      </w:r>
    </w:p>
  </w:endnote>
  <w:endnote w:type="continuationSeparator" w:id="0">
    <w:p w:rsidR="00594628" w:rsidRDefault="00594628" w:rsidP="0072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28" w:rsidRDefault="00594628" w:rsidP="00723548">
      <w:r>
        <w:separator/>
      </w:r>
    </w:p>
  </w:footnote>
  <w:footnote w:type="continuationSeparator" w:id="0">
    <w:p w:rsidR="00594628" w:rsidRDefault="00594628" w:rsidP="00723548">
      <w:r>
        <w:continuationSeparator/>
      </w:r>
    </w:p>
  </w:footnote>
  <w:footnote w:id="1">
    <w:p w:rsidR="00594628" w:rsidRPr="00304D0B" w:rsidRDefault="00594628" w:rsidP="00723548">
      <w:pPr>
        <w:pStyle w:val="FootnoteText"/>
        <w:jc w:val="both"/>
        <w:rPr>
          <w:rFonts w:cs="Times New Roman"/>
          <w:sz w:val="16"/>
          <w:szCs w:val="16"/>
        </w:rPr>
      </w:pPr>
      <w:r w:rsidRPr="00304D0B">
        <w:rPr>
          <w:rStyle w:val="FootnoteReference"/>
          <w:rFonts w:ascii="Verdana" w:hAnsi="Verdana" w:cs="Verdana"/>
          <w:sz w:val="16"/>
          <w:szCs w:val="16"/>
        </w:rPr>
        <w:t>*</w:t>
      </w:r>
      <w:r w:rsidRPr="00304D0B">
        <w:rPr>
          <w:rFonts w:ascii="Verdana" w:hAnsi="Verdana"/>
          <w:sz w:val="16"/>
          <w:szCs w:val="16"/>
          <w:lang w:val="es-CR"/>
        </w:rPr>
        <w:t xml:space="preserve">El Juez </w:t>
      </w:r>
      <w:r>
        <w:rPr>
          <w:rFonts w:ascii="Verdana" w:hAnsi="Verdana"/>
          <w:sz w:val="16"/>
          <w:szCs w:val="16"/>
          <w:lang w:val="es-CR"/>
        </w:rPr>
        <w:t xml:space="preserve">Eduardo </w:t>
      </w:r>
      <w:r w:rsidRPr="00304D0B">
        <w:rPr>
          <w:rFonts w:ascii="Verdana" w:hAnsi="Verdana"/>
          <w:sz w:val="16"/>
          <w:szCs w:val="16"/>
          <w:lang w:val="es-CR"/>
        </w:rPr>
        <w:t>Vio Grossi se excusó de conocer el presente caso, de conformidad con los artículos 19.2 del Estatuto y 21 del Reglamento</w:t>
      </w:r>
      <w:r>
        <w:rPr>
          <w:rFonts w:ascii="Verdana" w:hAnsi="Verdana"/>
          <w:sz w:val="16"/>
          <w:szCs w:val="16"/>
          <w:lang w:val="es-CR"/>
        </w:rPr>
        <w:t xml:space="preserve">, lo cual fue aceptado por </w:t>
      </w:r>
      <w:r w:rsidRPr="00304D0B">
        <w:rPr>
          <w:rFonts w:ascii="Verdana" w:hAnsi="Verdana"/>
          <w:sz w:val="16"/>
          <w:szCs w:val="16"/>
          <w:lang w:val="es-CR"/>
        </w:rPr>
        <w:t>el Presidente, en consulta con</w:t>
      </w:r>
      <w:r>
        <w:rPr>
          <w:rFonts w:ascii="Verdana" w:hAnsi="Verdana"/>
          <w:sz w:val="16"/>
          <w:szCs w:val="16"/>
          <w:lang w:val="es-CR"/>
        </w:rPr>
        <w:t xml:space="preserve"> los demás jueces del Tribunal. </w:t>
      </w:r>
    </w:p>
  </w:footnote>
  <w:footnote w:id="2">
    <w:p w:rsidR="00594628" w:rsidRDefault="00594628" w:rsidP="00723548">
      <w:pPr>
        <w:pStyle w:val="FootnoteText"/>
        <w:jc w:val="both"/>
        <w:rPr>
          <w:rFonts w:cs="Times New Roman"/>
        </w:rPr>
      </w:pPr>
      <w:r w:rsidRPr="00E62EBE">
        <w:rPr>
          <w:rStyle w:val="FootnoteReference"/>
          <w:rFonts w:ascii="Verdana" w:hAnsi="Verdana" w:cs="Verdana"/>
          <w:sz w:val="16"/>
          <w:szCs w:val="16"/>
        </w:rPr>
        <w:footnoteRef/>
      </w:r>
      <w:r w:rsidRPr="00E62EBE">
        <w:rPr>
          <w:rFonts w:ascii="Verdana" w:hAnsi="Verdana" w:cs="Verdana"/>
          <w:sz w:val="16"/>
          <w:szCs w:val="16"/>
        </w:rPr>
        <w:t xml:space="preserve"> </w:t>
      </w:r>
      <w:r w:rsidRPr="00E62EBE">
        <w:rPr>
          <w:rFonts w:ascii="Verdana" w:hAnsi="Verdana" w:cs="Verdana"/>
          <w:sz w:val="16"/>
          <w:szCs w:val="16"/>
        </w:rPr>
        <w:tab/>
      </w:r>
      <w:r w:rsidRPr="00E62EBE">
        <w:rPr>
          <w:rFonts w:ascii="Verdana" w:hAnsi="Verdana" w:cs="Verdana"/>
          <w:sz w:val="16"/>
          <w:szCs w:val="16"/>
          <w:lang w:val="es-CR"/>
        </w:rPr>
        <w:t>Profesor de Derecho Constitucional y Derecho Administrativo de la Universidad Central de Venezuela y la Universidad Católica Andrés Bello de Caracas, quien rendirá peritaje sobre: “el régimen jurídico de la carrera judicial en Venezuela, en particular sobre el régimen Constitucional, el régimen legal, el régimen resultante de la emergencia judicial y el régimen jurídico actual[;] su adecuación a la Constitución y a los requisitos de suficiencia profesional, independencia e imparcialidad conforme a los estándares de una sociedad democrática y su relevancia en el proceso penal contra el profesor Brewer Carías”.</w:t>
      </w:r>
    </w:p>
  </w:footnote>
  <w:footnote w:id="3">
    <w:p w:rsidR="00594628" w:rsidRDefault="00594628" w:rsidP="00723548">
      <w:pPr>
        <w:pStyle w:val="FootnoteText"/>
        <w:jc w:val="both"/>
        <w:rPr>
          <w:rFonts w:cs="Times New Roman"/>
        </w:rPr>
      </w:pPr>
      <w:r w:rsidRPr="00E62EBE">
        <w:rPr>
          <w:rStyle w:val="FootnoteReference"/>
          <w:rFonts w:ascii="Verdana" w:hAnsi="Verdana" w:cs="Verdana"/>
          <w:sz w:val="16"/>
          <w:szCs w:val="16"/>
        </w:rPr>
        <w:footnoteRef/>
      </w:r>
      <w:r w:rsidRPr="00E62EBE">
        <w:rPr>
          <w:rFonts w:ascii="Verdana" w:hAnsi="Verdana" w:cs="Verdana"/>
          <w:sz w:val="16"/>
          <w:szCs w:val="16"/>
        </w:rPr>
        <w:t xml:space="preserve"> </w:t>
      </w:r>
      <w:r w:rsidRPr="00E62EBE">
        <w:rPr>
          <w:rFonts w:ascii="Verdana" w:hAnsi="Verdana" w:cs="Verdana"/>
          <w:sz w:val="16"/>
          <w:szCs w:val="16"/>
        </w:rPr>
        <w:tab/>
      </w:r>
      <w:r w:rsidRPr="00E62EBE">
        <w:rPr>
          <w:rFonts w:ascii="Verdana" w:hAnsi="Verdana" w:cs="Verdana"/>
          <w:sz w:val="16"/>
          <w:szCs w:val="16"/>
          <w:lang w:val="es-CR"/>
        </w:rPr>
        <w:t>Profesor de Derecho Penal de la Universidad de Costa Rica y de Criminología en la Universidad Estatal de Estudios a Distancia de Costa Rica, para rendir dictamen sobre: a) “[l]as garantías debidas al procesado durante las diversas fases del proceso penal en el sistema acusatorio, particularmente en la fase de investigación de ese proceso”; b) “los estándares universales del juez independiente e imparcial y su aplicación concreta en el proceso incoado contra el profesor Allan R. Brewer Carías”; c) “la naturaleza jurídica de la amnistía, con particular referencia al principio de legalidad penal y al principio de igualdad ante la ley”; d) “la protección del abogado en la relación con su cliente, en especial por las opiniones que emita en el marco de una relación profesional”; e) “la emisión de una opinión jurídica por un abogado como ejercicio de la libertad de expresión”, y f) “las denunciadas violaciones a la libertad de expresión del profesor Brewer Carías”.</w:t>
      </w:r>
    </w:p>
  </w:footnote>
  <w:footnote w:id="4">
    <w:p w:rsidR="00594628" w:rsidRDefault="00594628" w:rsidP="00723548">
      <w:pPr>
        <w:pStyle w:val="FootnoteText"/>
        <w:jc w:val="both"/>
        <w:rPr>
          <w:rFonts w:cs="Times New Roman"/>
        </w:rPr>
      </w:pPr>
      <w:r w:rsidRPr="00E62EBE">
        <w:rPr>
          <w:rStyle w:val="FootnoteReference"/>
          <w:rFonts w:ascii="Verdana" w:hAnsi="Verdana" w:cs="Verdana"/>
          <w:sz w:val="16"/>
          <w:szCs w:val="16"/>
        </w:rPr>
        <w:footnoteRef/>
      </w:r>
      <w:r w:rsidRPr="00E62EBE">
        <w:rPr>
          <w:rFonts w:ascii="Verdana" w:hAnsi="Verdana" w:cs="Verdana"/>
          <w:sz w:val="16"/>
          <w:szCs w:val="16"/>
        </w:rPr>
        <w:t xml:space="preserve"> </w:t>
      </w:r>
      <w:r w:rsidRPr="00E62EBE">
        <w:rPr>
          <w:rFonts w:ascii="Verdana" w:hAnsi="Verdana" w:cs="Verdana"/>
          <w:sz w:val="16"/>
          <w:szCs w:val="16"/>
          <w:lang w:val="es-CR"/>
        </w:rPr>
        <w:tab/>
      </w:r>
      <w:r w:rsidRPr="00E62EBE">
        <w:rPr>
          <w:rFonts w:ascii="Verdana" w:hAnsi="Verdana" w:cs="Verdana"/>
          <w:i/>
          <w:iCs/>
          <w:sz w:val="16"/>
          <w:szCs w:val="16"/>
          <w:lang w:val="es-CR"/>
        </w:rPr>
        <w:t>Cfr.</w:t>
      </w:r>
      <w:r w:rsidRPr="00E62EBE">
        <w:rPr>
          <w:rFonts w:ascii="Verdana" w:hAnsi="Verdana" w:cs="Verdana"/>
          <w:sz w:val="16"/>
          <w:szCs w:val="16"/>
          <w:lang w:val="es-CR"/>
        </w:rPr>
        <w:t xml:space="preserve"> </w:t>
      </w:r>
      <w:r w:rsidRPr="00E62EBE">
        <w:rPr>
          <w:rFonts w:ascii="Verdana" w:hAnsi="Verdana" w:cs="Verdana"/>
          <w:i/>
          <w:iCs/>
          <w:sz w:val="16"/>
          <w:szCs w:val="16"/>
          <w:lang w:val="es-CR"/>
        </w:rPr>
        <w:t>Cfr.</w:t>
      </w:r>
      <w:r w:rsidRPr="00E62EBE">
        <w:rPr>
          <w:rFonts w:ascii="Verdana" w:hAnsi="Verdana" w:cs="Verdana"/>
          <w:sz w:val="16"/>
          <w:szCs w:val="16"/>
          <w:lang w:val="es-CR"/>
        </w:rPr>
        <w:t xml:space="preserve"> </w:t>
      </w:r>
      <w:r w:rsidRPr="00E62EBE">
        <w:rPr>
          <w:rFonts w:ascii="Verdana" w:hAnsi="Verdana" w:cs="Verdana"/>
          <w:i/>
          <w:iCs/>
          <w:sz w:val="16"/>
          <w:szCs w:val="16"/>
          <w:lang w:val="es-CR"/>
        </w:rPr>
        <w:t xml:space="preserve">Caso Brewer Carías Vs. Venezuela. </w:t>
      </w:r>
      <w:r w:rsidRPr="00E62EBE">
        <w:rPr>
          <w:rFonts w:ascii="Verdana" w:hAnsi="Verdana" w:cs="Verdana"/>
          <w:sz w:val="16"/>
          <w:szCs w:val="16"/>
          <w:lang w:val="es-CR"/>
        </w:rPr>
        <w:t>Resolución del Presidente de la Corte de 31 de ju</w:t>
      </w:r>
      <w:r>
        <w:rPr>
          <w:rFonts w:ascii="Verdana" w:hAnsi="Verdana" w:cs="Verdana"/>
          <w:sz w:val="16"/>
          <w:szCs w:val="16"/>
          <w:lang w:val="es-CR"/>
        </w:rPr>
        <w:t xml:space="preserve">lio de 2013, </w:t>
      </w:r>
      <w:r w:rsidRPr="00E62EBE">
        <w:rPr>
          <w:rFonts w:ascii="Verdana" w:hAnsi="Verdana" w:cs="Verdana"/>
          <w:sz w:val="16"/>
          <w:szCs w:val="16"/>
          <w:lang w:val="es-CR"/>
        </w:rPr>
        <w:t xml:space="preserve">Considerando 23. El Presidente constató que </w:t>
      </w:r>
      <w:r w:rsidRPr="00E62EBE">
        <w:rPr>
          <w:rFonts w:ascii="Verdana" w:hAnsi="Verdana" w:cs="Verdana"/>
          <w:sz w:val="16"/>
          <w:szCs w:val="16"/>
        </w:rPr>
        <w:t>el objeto de la declaración del perito propuesto como sustituto era sustancialmente diferente del objeto del perito sustituido. Dicho cambio del objeto no era meramente formal, sino que afectaba el contenido esencial del objeto.</w:t>
      </w:r>
    </w:p>
  </w:footnote>
  <w:footnote w:id="5">
    <w:p w:rsidR="00594628" w:rsidRPr="00E835BF" w:rsidRDefault="00594628" w:rsidP="00723548">
      <w:pPr>
        <w:widowControl w:val="0"/>
        <w:shd w:val="clear" w:color="auto" w:fill="FFFFFF"/>
        <w:autoSpaceDE w:val="0"/>
        <w:autoSpaceDN w:val="0"/>
        <w:adjustRightInd w:val="0"/>
        <w:spacing w:after="120"/>
        <w:ind w:right="18"/>
        <w:jc w:val="both"/>
        <w:rPr>
          <w:rFonts w:ascii="Verdana" w:hAnsi="Verdana" w:cs="Verdana"/>
          <w:sz w:val="16"/>
          <w:szCs w:val="16"/>
          <w:lang w:val="es-CR"/>
        </w:rPr>
      </w:pPr>
      <w:r w:rsidRPr="00E62EBE">
        <w:rPr>
          <w:rStyle w:val="FootnoteReference"/>
          <w:rFonts w:ascii="Verdana" w:hAnsi="Verdana" w:cs="Verdana"/>
          <w:sz w:val="16"/>
          <w:szCs w:val="16"/>
        </w:rPr>
        <w:footnoteRef/>
      </w:r>
      <w:r w:rsidRPr="00E62EBE">
        <w:rPr>
          <w:rFonts w:ascii="Verdana" w:hAnsi="Verdana" w:cs="Verdana"/>
          <w:sz w:val="16"/>
          <w:szCs w:val="16"/>
        </w:rPr>
        <w:t xml:space="preserve"> </w:t>
      </w:r>
      <w:r w:rsidRPr="00E62EBE">
        <w:rPr>
          <w:rFonts w:ascii="Verdana" w:hAnsi="Verdana" w:cs="Verdana"/>
          <w:sz w:val="16"/>
          <w:szCs w:val="16"/>
          <w:lang w:val="es-CR"/>
        </w:rPr>
        <w:tab/>
      </w:r>
      <w:r w:rsidRPr="00E62EBE">
        <w:rPr>
          <w:rFonts w:ascii="Verdana" w:hAnsi="Verdana" w:cs="Verdana"/>
          <w:i/>
          <w:iCs/>
          <w:sz w:val="16"/>
          <w:szCs w:val="16"/>
          <w:lang w:val="es-CR"/>
        </w:rPr>
        <w:t>C</w:t>
      </w:r>
      <w:r>
        <w:rPr>
          <w:rFonts w:ascii="Verdana" w:hAnsi="Verdana" w:cs="Verdana"/>
          <w:i/>
          <w:iCs/>
          <w:sz w:val="16"/>
          <w:szCs w:val="16"/>
          <w:lang w:val="es-CR"/>
        </w:rPr>
        <w:t xml:space="preserve">aso Brewer Carías Vs. Venezuela, supra </w:t>
      </w:r>
      <w:r w:rsidRPr="00932A62">
        <w:rPr>
          <w:rFonts w:ascii="Verdana" w:hAnsi="Verdana" w:cs="Verdana"/>
          <w:iCs/>
          <w:sz w:val="16"/>
          <w:szCs w:val="16"/>
          <w:lang w:val="es-CR"/>
        </w:rPr>
        <w:t>nota 3</w:t>
      </w:r>
      <w:r w:rsidRPr="00932A62">
        <w:rPr>
          <w:rFonts w:ascii="Verdana" w:hAnsi="Verdana" w:cs="Verdana"/>
          <w:sz w:val="16"/>
          <w:szCs w:val="16"/>
          <w:lang w:val="es-CR"/>
        </w:rPr>
        <w:t>,</w:t>
      </w:r>
      <w:r>
        <w:rPr>
          <w:rFonts w:ascii="Verdana" w:hAnsi="Verdana" w:cs="Verdana"/>
          <w:sz w:val="16"/>
          <w:szCs w:val="16"/>
          <w:lang w:val="es-CR"/>
        </w:rPr>
        <w:t xml:space="preserve"> </w:t>
      </w:r>
      <w:r w:rsidRPr="00E62EBE">
        <w:rPr>
          <w:rFonts w:ascii="Verdana" w:hAnsi="Verdana" w:cs="Verdana"/>
          <w:sz w:val="16"/>
          <w:szCs w:val="16"/>
          <w:lang w:val="es-CR"/>
        </w:rPr>
        <w:t>Considerandos 38 a 44.</w:t>
      </w:r>
    </w:p>
  </w:footnote>
  <w:footnote w:id="6">
    <w:p w:rsidR="00594628" w:rsidRDefault="00594628" w:rsidP="00723548">
      <w:pPr>
        <w:pStyle w:val="FootnoteText"/>
        <w:jc w:val="both"/>
        <w:rPr>
          <w:rFonts w:cs="Times New Roman"/>
        </w:rPr>
      </w:pPr>
      <w:r w:rsidRPr="00E62EBE">
        <w:rPr>
          <w:rStyle w:val="FootnoteReference"/>
          <w:rFonts w:ascii="Verdana" w:hAnsi="Verdana" w:cs="Verdana"/>
          <w:sz w:val="16"/>
          <w:szCs w:val="16"/>
        </w:rPr>
        <w:footnoteRef/>
      </w:r>
      <w:r w:rsidRPr="00E62EBE">
        <w:rPr>
          <w:rFonts w:ascii="Verdana" w:hAnsi="Verdana" w:cs="Verdana"/>
          <w:sz w:val="16"/>
          <w:szCs w:val="16"/>
        </w:rPr>
        <w:t xml:space="preserve"> </w:t>
      </w:r>
      <w:r w:rsidRPr="00E62EBE">
        <w:rPr>
          <w:rFonts w:ascii="Verdana" w:hAnsi="Verdana" w:cs="Verdana"/>
          <w:sz w:val="16"/>
          <w:szCs w:val="16"/>
        </w:rPr>
        <w:tab/>
      </w:r>
      <w:r>
        <w:rPr>
          <w:rFonts w:ascii="Verdana" w:hAnsi="Verdana" w:cs="Verdana"/>
          <w:sz w:val="16"/>
          <w:szCs w:val="16"/>
        </w:rPr>
        <w:t>P</w:t>
      </w:r>
      <w:r w:rsidRPr="00E62EBE">
        <w:rPr>
          <w:rFonts w:ascii="Verdana" w:hAnsi="Verdana" w:cs="Verdana"/>
          <w:sz w:val="16"/>
          <w:szCs w:val="16"/>
          <w:lang w:val="es-CR"/>
        </w:rPr>
        <w:t>rofesor de Derecho Penal, Derecho Internacional Público y Derechos Humanos en la Universidad Central de Venezuela y la Universidad Católica Andrés Bello de Caracas, quien rendirá dictamen sobre: a) “[l]as distintas fases del proceso penal en Venezuela y sobre sus lapsos teóricos, según el Código Orgánico Procesal Penal, y reales, según la práctica forense, particularmente en lo que hace al lapso entre la presentación de la acusación y la celebración de la audiencia preliminar”; b) “si, de acuerdo con el ordenamiento jurídico venezolano, las garantías del debido proceso plasmadas en la Constitución venezolana y e[n] la Convención Americana sobre Derechos Humanos son exigibles durante las diversas fases de[l] proceso [penal], en particular la de investigación”; c) “la función del Ministerio Público y la del Juez de Control en e[l] proceso [penal]”; d) su opinión “desde la óptica del desarrollo del proceso penal, sobre la oportunidad en que el Juez debe decidir sobre las solicitudes o demandas de nulidad absoluta de actos de dicho proceso, por violación de los derechos humanos de un procesado”, y e) “la naturaleza y efectos de la amnistía en Venezuela, de acuerdo con su régimen jurídico general y su relación con el Decreto 5790, con Rango, Valor y Fuerza de Ley Especial de Amnistía”.</w:t>
      </w:r>
    </w:p>
  </w:footnote>
  <w:footnote w:id="7">
    <w:p w:rsidR="00594628" w:rsidRDefault="00594628" w:rsidP="00723548">
      <w:pPr>
        <w:pStyle w:val="FootnoteText"/>
        <w:jc w:val="both"/>
        <w:rPr>
          <w:rFonts w:cs="Times New Roman"/>
        </w:rPr>
      </w:pPr>
      <w:r w:rsidRPr="00E62EBE">
        <w:rPr>
          <w:rStyle w:val="FootnoteReference"/>
          <w:rFonts w:ascii="Verdana" w:hAnsi="Verdana" w:cs="Verdana"/>
          <w:sz w:val="16"/>
          <w:szCs w:val="16"/>
        </w:rPr>
        <w:footnoteRef/>
      </w:r>
      <w:r w:rsidRPr="00E62EBE">
        <w:rPr>
          <w:rFonts w:ascii="Verdana" w:hAnsi="Verdana" w:cs="Verdana"/>
          <w:sz w:val="16"/>
          <w:szCs w:val="16"/>
        </w:rPr>
        <w:t xml:space="preserve"> </w:t>
      </w:r>
      <w:r w:rsidRPr="00E62EBE">
        <w:rPr>
          <w:rFonts w:ascii="Verdana" w:hAnsi="Verdana" w:cs="Verdana"/>
          <w:sz w:val="16"/>
          <w:szCs w:val="16"/>
        </w:rPr>
        <w:tab/>
      </w:r>
      <w:r w:rsidRPr="00E62EBE">
        <w:rPr>
          <w:rFonts w:ascii="Verdana" w:hAnsi="Verdana" w:cs="Verdana"/>
          <w:sz w:val="16"/>
          <w:szCs w:val="16"/>
          <w:lang w:val="es-CR"/>
        </w:rPr>
        <w:t>Fiscal General de la República en el año 2002, quien declarará sobre “los sucesos que [supuestamente] ocasionaron el Golpe de Estado del 11 de Abril del 2002, y la [alegada] redacción del ‘Decreto de Transición Democrática y de Unidad Nacional’”.</w:t>
      </w:r>
    </w:p>
  </w:footnote>
  <w:footnote w:id="8">
    <w:p w:rsidR="00594628" w:rsidRDefault="00594628" w:rsidP="004A7D80">
      <w:pPr>
        <w:tabs>
          <w:tab w:val="left" w:pos="720"/>
        </w:tabs>
        <w:autoSpaceDE w:val="0"/>
        <w:autoSpaceDN w:val="0"/>
        <w:adjustRightInd w:val="0"/>
        <w:spacing w:before="120" w:after="120"/>
        <w:ind w:right="-90"/>
        <w:jc w:val="both"/>
      </w:pPr>
      <w:r w:rsidRPr="00E62EBE">
        <w:rPr>
          <w:rStyle w:val="FootnoteReference"/>
          <w:rFonts w:ascii="Verdana" w:hAnsi="Verdana" w:cs="Verdana"/>
          <w:sz w:val="16"/>
          <w:szCs w:val="16"/>
          <w:lang w:val="es-CR"/>
        </w:rPr>
        <w:footnoteRef/>
      </w:r>
      <w:r w:rsidRPr="00E62EBE">
        <w:rPr>
          <w:rFonts w:ascii="Verdana" w:hAnsi="Verdana" w:cs="Verdana"/>
          <w:sz w:val="16"/>
          <w:szCs w:val="16"/>
          <w:lang w:val="es-CR"/>
        </w:rPr>
        <w:t xml:space="preserve"> </w:t>
      </w:r>
      <w:r w:rsidRPr="00E62EBE">
        <w:rPr>
          <w:rFonts w:ascii="Verdana" w:hAnsi="Verdana" w:cs="Verdana"/>
          <w:sz w:val="16"/>
          <w:szCs w:val="16"/>
          <w:lang w:val="es-CR"/>
        </w:rPr>
        <w:tab/>
      </w:r>
      <w:r w:rsidRPr="001772C2">
        <w:rPr>
          <w:rFonts w:ascii="Verdana" w:hAnsi="Verdana" w:cs="Verdana"/>
          <w:i/>
          <w:iCs/>
          <w:sz w:val="16"/>
          <w:szCs w:val="16"/>
          <w:lang w:val="es-CR"/>
        </w:rPr>
        <w:t>Cfr.</w:t>
      </w:r>
      <w:r>
        <w:rPr>
          <w:rFonts w:ascii="Verdana" w:hAnsi="Verdana" w:cs="Verdana"/>
          <w:sz w:val="16"/>
          <w:szCs w:val="16"/>
          <w:lang w:val="es-CR"/>
        </w:rPr>
        <w:t xml:space="preserve"> </w:t>
      </w:r>
      <w:r w:rsidRPr="001772C2">
        <w:rPr>
          <w:rFonts w:ascii="Verdana" w:hAnsi="Verdana" w:cs="Verdana"/>
          <w:i/>
          <w:iCs/>
          <w:sz w:val="16"/>
          <w:szCs w:val="16"/>
          <w:lang w:val="es-CR"/>
        </w:rPr>
        <w:t>Caso López Mendoza Vs. Venezuela. Fondo, Reparaciones y Costas</w:t>
      </w:r>
      <w:r w:rsidRPr="001772C2">
        <w:rPr>
          <w:rFonts w:ascii="Verdana" w:hAnsi="Verdana" w:cs="Verdana"/>
          <w:sz w:val="16"/>
          <w:szCs w:val="16"/>
          <w:lang w:val="es-CR"/>
        </w:rPr>
        <w:t>. Sentencia de 1 de septiembre de 2011. Serie C No. 233, párr. 15.</w:t>
      </w:r>
    </w:p>
  </w:footnote>
  <w:footnote w:id="9">
    <w:p w:rsidR="00594628" w:rsidRDefault="00594628" w:rsidP="00723548">
      <w:pPr>
        <w:pStyle w:val="FootnoteText"/>
        <w:jc w:val="both"/>
        <w:rPr>
          <w:rFonts w:cs="Times New Roman"/>
        </w:rPr>
      </w:pPr>
      <w:r w:rsidRPr="00E62EBE">
        <w:rPr>
          <w:rStyle w:val="FootnoteReference"/>
          <w:rFonts w:ascii="Verdana" w:hAnsi="Verdana" w:cs="Verdana"/>
          <w:sz w:val="16"/>
          <w:szCs w:val="16"/>
        </w:rPr>
        <w:footnoteRef/>
      </w:r>
      <w:r w:rsidRPr="00E62EBE">
        <w:rPr>
          <w:rFonts w:ascii="Verdana" w:hAnsi="Verdana" w:cs="Verdana"/>
          <w:sz w:val="16"/>
          <w:szCs w:val="16"/>
        </w:rPr>
        <w:t xml:space="preserve"> </w:t>
      </w:r>
      <w:r w:rsidRPr="00E62EBE">
        <w:rPr>
          <w:rFonts w:ascii="Verdana" w:hAnsi="Verdana" w:cs="Verdana"/>
          <w:sz w:val="16"/>
          <w:szCs w:val="16"/>
          <w:lang w:val="es-CR"/>
        </w:rPr>
        <w:tab/>
      </w:r>
      <w:r w:rsidRPr="00E62EBE">
        <w:rPr>
          <w:rFonts w:ascii="Verdana" w:hAnsi="Verdana" w:cs="Verdana"/>
          <w:i/>
          <w:iCs/>
          <w:sz w:val="16"/>
          <w:szCs w:val="16"/>
          <w:lang w:val="es-CR"/>
        </w:rPr>
        <w:t xml:space="preserve">Cfr. Caso Mohamed vs Argentina. </w:t>
      </w:r>
      <w:r w:rsidRPr="00E62EBE">
        <w:rPr>
          <w:rFonts w:ascii="Verdana" w:hAnsi="Verdana" w:cs="Verdana"/>
          <w:sz w:val="16"/>
          <w:szCs w:val="16"/>
          <w:lang w:val="es-CR"/>
        </w:rPr>
        <w:t>Resolución de la Corte de 18 de junio de 2012, Considerando 26.</w:t>
      </w:r>
    </w:p>
  </w:footnote>
  <w:footnote w:id="10">
    <w:p w:rsidR="00594628" w:rsidRDefault="00594628" w:rsidP="00723548">
      <w:pPr>
        <w:ind w:right="18"/>
        <w:jc w:val="both"/>
      </w:pPr>
      <w:r w:rsidRPr="00E62EBE">
        <w:rPr>
          <w:rStyle w:val="FootnoteReference"/>
          <w:rFonts w:ascii="Verdana" w:hAnsi="Verdana" w:cs="Verdana"/>
          <w:sz w:val="16"/>
          <w:szCs w:val="16"/>
        </w:rPr>
        <w:footnoteRef/>
      </w:r>
      <w:r w:rsidRPr="00E62EBE">
        <w:rPr>
          <w:rFonts w:ascii="Verdana" w:hAnsi="Verdana" w:cs="Verdana"/>
          <w:sz w:val="16"/>
          <w:szCs w:val="16"/>
        </w:rPr>
        <w:t xml:space="preserve"> </w:t>
      </w:r>
      <w:r w:rsidRPr="00E62EBE">
        <w:rPr>
          <w:rFonts w:ascii="Verdana" w:hAnsi="Verdana" w:cs="Verdana"/>
          <w:sz w:val="16"/>
          <w:szCs w:val="16"/>
        </w:rPr>
        <w:tab/>
      </w:r>
      <w:r w:rsidRPr="00E62EBE">
        <w:rPr>
          <w:rFonts w:ascii="Verdana" w:hAnsi="Verdana" w:cs="Verdana"/>
          <w:i/>
          <w:iCs/>
          <w:sz w:val="16"/>
          <w:szCs w:val="16"/>
        </w:rPr>
        <w:t xml:space="preserve">Cfr. </w:t>
      </w:r>
      <w:r>
        <w:rPr>
          <w:rFonts w:ascii="Verdana" w:hAnsi="Verdana" w:cs="Verdana"/>
          <w:i/>
          <w:iCs/>
          <w:sz w:val="16"/>
          <w:szCs w:val="16"/>
          <w:lang w:val="es-CR"/>
        </w:rPr>
        <w:t xml:space="preserve">Caso Mohamed vs Argentina, supra </w:t>
      </w:r>
      <w:r>
        <w:rPr>
          <w:rFonts w:ascii="Verdana" w:hAnsi="Verdana" w:cs="Verdana"/>
          <w:iCs/>
          <w:sz w:val="16"/>
          <w:szCs w:val="16"/>
          <w:lang w:val="es-CR"/>
        </w:rPr>
        <w:t>nota 8</w:t>
      </w:r>
      <w:r w:rsidRPr="009843D4">
        <w:rPr>
          <w:rFonts w:ascii="Verdana" w:hAnsi="Verdana" w:cs="Verdana"/>
          <w:sz w:val="16"/>
          <w:szCs w:val="16"/>
          <w:lang w:val="es-CR"/>
        </w:rPr>
        <w:t>,</w:t>
      </w:r>
      <w:r w:rsidRPr="00E62EBE">
        <w:rPr>
          <w:rFonts w:ascii="Verdana" w:hAnsi="Verdana" w:cs="Verdana"/>
          <w:sz w:val="16"/>
          <w:szCs w:val="16"/>
          <w:lang w:val="es-CR"/>
        </w:rPr>
        <w:t xml:space="preserve"> </w:t>
      </w:r>
      <w:r w:rsidRPr="00E62EBE">
        <w:rPr>
          <w:rFonts w:ascii="Verdana" w:hAnsi="Verdana" w:cs="Verdana"/>
          <w:sz w:val="16"/>
          <w:szCs w:val="16"/>
        </w:rPr>
        <w:t>Considerando 96.</w:t>
      </w:r>
    </w:p>
  </w:footnote>
  <w:footnote w:id="11">
    <w:p w:rsidR="00594628" w:rsidRPr="004612FA" w:rsidRDefault="00594628" w:rsidP="00723548">
      <w:pPr>
        <w:pStyle w:val="FootnoteText"/>
        <w:jc w:val="both"/>
        <w:rPr>
          <w:rFonts w:ascii="Verdana" w:hAnsi="Verdana"/>
          <w:sz w:val="16"/>
          <w:szCs w:val="16"/>
        </w:rPr>
      </w:pPr>
      <w:r w:rsidRPr="004612FA">
        <w:rPr>
          <w:rStyle w:val="FootnoteReference"/>
          <w:rFonts w:ascii="Verdana" w:hAnsi="Verdana"/>
          <w:sz w:val="16"/>
          <w:szCs w:val="16"/>
        </w:rPr>
        <w:footnoteRef/>
      </w:r>
      <w:r w:rsidRPr="004612FA">
        <w:rPr>
          <w:rFonts w:ascii="Verdana" w:hAnsi="Verdana"/>
          <w:sz w:val="16"/>
          <w:szCs w:val="16"/>
        </w:rPr>
        <w:t xml:space="preserve"> </w:t>
      </w:r>
      <w:r w:rsidRPr="004612FA">
        <w:rPr>
          <w:rFonts w:ascii="Verdana" w:hAnsi="Verdana"/>
          <w:sz w:val="16"/>
          <w:szCs w:val="16"/>
        </w:rPr>
        <w:tab/>
      </w:r>
      <w:r w:rsidRPr="004612FA">
        <w:rPr>
          <w:rFonts w:ascii="Verdana" w:hAnsi="Verdana" w:cs="Verdana"/>
          <w:color w:val="000000"/>
          <w:sz w:val="16"/>
          <w:szCs w:val="16"/>
          <w:lang w:val="es-CR"/>
        </w:rPr>
        <w:t xml:space="preserve">Es así que dispuso que comparezcan: la presunta víctima; el testigo </w:t>
      </w:r>
      <w:r w:rsidRPr="004612FA">
        <w:rPr>
          <w:rFonts w:ascii="Verdana" w:hAnsi="Verdana" w:cs="Verdana"/>
          <w:sz w:val="16"/>
          <w:szCs w:val="16"/>
          <w:lang w:val="es-CR"/>
        </w:rPr>
        <w:t>León Henrique Cottin</w:t>
      </w:r>
      <w:r w:rsidRPr="004612FA">
        <w:rPr>
          <w:rFonts w:ascii="Verdana" w:hAnsi="Verdana" w:cs="Verdana"/>
          <w:color w:val="000000"/>
          <w:sz w:val="16"/>
          <w:szCs w:val="16"/>
          <w:lang w:val="es-CR"/>
        </w:rPr>
        <w:t xml:space="preserve">, abogado defensor del señor Brewer Carías en el proceso penal, y el perito </w:t>
      </w:r>
      <w:r w:rsidRPr="004612FA">
        <w:rPr>
          <w:rFonts w:ascii="Verdana" w:hAnsi="Verdana" w:cs="Verdana"/>
          <w:sz w:val="16"/>
          <w:szCs w:val="16"/>
          <w:lang w:val="es-CR"/>
        </w:rPr>
        <w:t>Jesús Ollarves Irazábal, Profesor de Derecho Constitucional y Derecho Administrativo de la Universidad Central de Venezuela y la Universidad Católica Andrés Bello de Caracas, abarcando en el objeto de su dictamen temas relativos al régimen jurídico de la carrera judicial en Venezuela, y a los principios de independencia e imparcialidad y su relevancia en el proceso penal contra el señor Brewer Carías.</w:t>
      </w:r>
    </w:p>
  </w:footnote>
  <w:footnote w:id="12">
    <w:p w:rsidR="00594628" w:rsidRPr="00A14DCF" w:rsidRDefault="00594628" w:rsidP="00723548">
      <w:pPr>
        <w:widowControl w:val="0"/>
        <w:autoSpaceDE w:val="0"/>
        <w:autoSpaceDN w:val="0"/>
        <w:adjustRightInd w:val="0"/>
        <w:spacing w:after="120"/>
        <w:ind w:right="10"/>
        <w:jc w:val="both"/>
        <w:rPr>
          <w:rFonts w:ascii="Verdana" w:hAnsi="Verdana" w:cs="Verdana"/>
          <w:sz w:val="16"/>
          <w:szCs w:val="16"/>
          <w:lang w:val="es-CR"/>
        </w:rPr>
      </w:pPr>
      <w:r w:rsidRPr="00E62EBE">
        <w:rPr>
          <w:rFonts w:ascii="Verdana" w:hAnsi="Verdana" w:cs="Verdana"/>
          <w:sz w:val="16"/>
          <w:szCs w:val="16"/>
          <w:vertAlign w:val="superscript"/>
          <w:lang w:val="es-CR"/>
        </w:rPr>
        <w:footnoteRef/>
      </w:r>
      <w:r w:rsidRPr="00E62EBE">
        <w:rPr>
          <w:rFonts w:ascii="Verdana" w:hAnsi="Verdana" w:cs="Verdana"/>
          <w:sz w:val="16"/>
          <w:szCs w:val="16"/>
          <w:vertAlign w:val="superscript"/>
          <w:lang w:val="es-CR"/>
        </w:rPr>
        <w:t xml:space="preserve"> </w:t>
      </w:r>
      <w:r w:rsidRPr="00E62EBE">
        <w:rPr>
          <w:rFonts w:ascii="Verdana" w:hAnsi="Verdana" w:cs="Verdana"/>
          <w:sz w:val="16"/>
          <w:szCs w:val="16"/>
          <w:lang w:val="es-CR"/>
        </w:rPr>
        <w:tab/>
      </w:r>
      <w:r w:rsidRPr="00E62EBE">
        <w:rPr>
          <w:rFonts w:ascii="Verdana" w:hAnsi="Verdana" w:cs="Verdana"/>
          <w:i/>
          <w:iCs/>
          <w:sz w:val="16"/>
          <w:szCs w:val="16"/>
          <w:lang w:val="es-CR"/>
        </w:rPr>
        <w:t>Cfr</w:t>
      </w:r>
      <w:r w:rsidRPr="00E62EBE">
        <w:rPr>
          <w:rFonts w:ascii="Verdana" w:hAnsi="Verdana" w:cs="Verdana"/>
          <w:sz w:val="16"/>
          <w:szCs w:val="16"/>
          <w:lang w:val="es-CR"/>
        </w:rPr>
        <w:t xml:space="preserve">. </w:t>
      </w:r>
      <w:r w:rsidRPr="00E62EBE">
        <w:rPr>
          <w:rFonts w:ascii="Verdana" w:hAnsi="Verdana" w:cs="Verdana"/>
          <w:i/>
          <w:iCs/>
          <w:sz w:val="16"/>
          <w:szCs w:val="16"/>
          <w:lang w:val="es-CR"/>
        </w:rPr>
        <w:t>Caso de la Masacre de La Rochela Vs. Colombia. Fondo, Reparaciones y Costas</w:t>
      </w:r>
      <w:r w:rsidRPr="00E62EBE">
        <w:rPr>
          <w:rFonts w:ascii="Verdana" w:hAnsi="Verdana" w:cs="Verdana"/>
          <w:sz w:val="16"/>
          <w:szCs w:val="16"/>
          <w:lang w:val="es-CR"/>
        </w:rPr>
        <w:t>. Sentencia de 11 de mayo de 2007. Serie C No. 163, párr. 76</w:t>
      </w:r>
      <w:r>
        <w:rPr>
          <w:rFonts w:ascii="Verdana" w:hAnsi="Verdana" w:cs="Verdana"/>
          <w:sz w:val="16"/>
          <w:szCs w:val="16"/>
          <w:lang w:val="es-CR"/>
        </w:rPr>
        <w:t xml:space="preserve">; </w:t>
      </w:r>
      <w:r w:rsidRPr="00E62EBE">
        <w:rPr>
          <w:rFonts w:ascii="Verdana" w:hAnsi="Verdana" w:cs="Verdana"/>
          <w:i/>
          <w:iCs/>
          <w:sz w:val="16"/>
          <w:szCs w:val="16"/>
          <w:lang w:val="es-CR"/>
        </w:rPr>
        <w:t>Caso del Penal Miguel Castro Castro</w:t>
      </w:r>
      <w:r>
        <w:rPr>
          <w:rFonts w:ascii="Verdana" w:hAnsi="Verdana" w:cs="Verdana"/>
          <w:i/>
          <w:iCs/>
          <w:sz w:val="16"/>
          <w:szCs w:val="16"/>
          <w:lang w:val="es-CR"/>
        </w:rPr>
        <w:t xml:space="preserve"> Vs. Perú</w:t>
      </w:r>
      <w:r w:rsidRPr="00E62EBE">
        <w:rPr>
          <w:rFonts w:ascii="Verdana" w:hAnsi="Verdana" w:cs="Verdana"/>
          <w:i/>
          <w:iCs/>
          <w:sz w:val="16"/>
          <w:szCs w:val="16"/>
          <w:lang w:val="es-CR"/>
        </w:rPr>
        <w:t xml:space="preserve">. </w:t>
      </w:r>
      <w:r>
        <w:rPr>
          <w:rFonts w:ascii="Verdana" w:hAnsi="Verdana" w:cs="Verdana"/>
          <w:i/>
          <w:iCs/>
          <w:sz w:val="16"/>
          <w:szCs w:val="16"/>
          <w:lang w:val="es-CR"/>
        </w:rPr>
        <w:t xml:space="preserve">Fondo, Reparaciones y Costas. </w:t>
      </w:r>
      <w:r w:rsidRPr="00E62EBE">
        <w:rPr>
          <w:rFonts w:ascii="Verdana" w:hAnsi="Verdana" w:cs="Verdana"/>
          <w:sz w:val="16"/>
          <w:szCs w:val="16"/>
          <w:lang w:val="es-CR"/>
        </w:rPr>
        <w:t>Sentencia de 25 de noviembre de 2006. Serie C No. 160, párr. 202;</w:t>
      </w:r>
      <w:r w:rsidRPr="005C23F5">
        <w:rPr>
          <w:rFonts w:ascii="Verdana" w:hAnsi="Verdana" w:cs="Verdana"/>
          <w:i/>
          <w:iCs/>
          <w:sz w:val="16"/>
          <w:szCs w:val="16"/>
          <w:lang w:val="es-CR"/>
        </w:rPr>
        <w:t xml:space="preserve"> </w:t>
      </w:r>
      <w:r w:rsidRPr="00E62EBE">
        <w:rPr>
          <w:rFonts w:ascii="Verdana" w:hAnsi="Verdana" w:cs="Verdana"/>
          <w:i/>
          <w:iCs/>
          <w:sz w:val="16"/>
          <w:szCs w:val="16"/>
          <w:lang w:val="es-CR"/>
        </w:rPr>
        <w:t>Caso Goiburú y otros</w:t>
      </w:r>
      <w:r>
        <w:rPr>
          <w:rFonts w:ascii="Verdana" w:hAnsi="Verdana" w:cs="Verdana"/>
          <w:i/>
          <w:iCs/>
          <w:sz w:val="16"/>
          <w:szCs w:val="16"/>
          <w:lang w:val="es-CR"/>
        </w:rPr>
        <w:t xml:space="preserve"> Vs. Paraguay. Fondo, Reparaciones y Costas</w:t>
      </w:r>
      <w:r w:rsidRPr="00E62EBE">
        <w:rPr>
          <w:rFonts w:ascii="Verdana" w:hAnsi="Verdana" w:cs="Verdana"/>
          <w:i/>
          <w:iCs/>
          <w:sz w:val="16"/>
          <w:szCs w:val="16"/>
          <w:lang w:val="es-CR"/>
        </w:rPr>
        <w:t xml:space="preserve">. </w:t>
      </w:r>
      <w:r w:rsidRPr="00E62EBE">
        <w:rPr>
          <w:rFonts w:ascii="Verdana" w:hAnsi="Verdana" w:cs="Verdana"/>
          <w:sz w:val="16"/>
          <w:szCs w:val="16"/>
          <w:lang w:val="es-CR"/>
        </w:rPr>
        <w:t>Sentencia de 22 de septiembre de 2006. S</w:t>
      </w:r>
      <w:r>
        <w:rPr>
          <w:rFonts w:ascii="Verdana" w:hAnsi="Verdana" w:cs="Verdana"/>
          <w:sz w:val="16"/>
          <w:szCs w:val="16"/>
          <w:lang w:val="es-CR"/>
        </w:rPr>
        <w:t xml:space="preserve">erie C No. 153, párrs. 53 y 63; </w:t>
      </w:r>
      <w:r w:rsidRPr="00E62EBE">
        <w:rPr>
          <w:rFonts w:ascii="Verdana" w:hAnsi="Verdana" w:cs="Verdana"/>
          <w:i/>
          <w:iCs/>
          <w:sz w:val="16"/>
          <w:szCs w:val="16"/>
          <w:lang w:val="es-CR"/>
        </w:rPr>
        <w:t>Caso Radilla Pacheco Vs. México. Excepciones Preliminares, Fondo, Reparaciones y Costas</w:t>
      </w:r>
      <w:r w:rsidRPr="00E62EBE">
        <w:rPr>
          <w:rFonts w:ascii="Verdana" w:hAnsi="Verdana" w:cs="Verdana"/>
          <w:sz w:val="16"/>
          <w:szCs w:val="16"/>
          <w:lang w:val="es-CR"/>
        </w:rPr>
        <w:t>. Sentencia de 23 de noviembre de 2009. Serie C No. 209, párr. 116;</w:t>
      </w:r>
      <w:r w:rsidRPr="00E62EBE">
        <w:rPr>
          <w:rFonts w:ascii="Verdana" w:hAnsi="Verdana" w:cs="Verdana"/>
          <w:i/>
          <w:iCs/>
          <w:sz w:val="16"/>
          <w:szCs w:val="16"/>
          <w:lang w:val="es-CR"/>
        </w:rPr>
        <w:t xml:space="preserve"> Caso Masacres de Río Negro Vs. Guatemala. Excepción preliminar, Fondo</w:t>
      </w:r>
      <w:r w:rsidRPr="00E62EBE">
        <w:rPr>
          <w:rFonts w:ascii="Verdana" w:hAnsi="Verdana" w:cs="Verdana"/>
          <w:i/>
          <w:iCs/>
          <w:sz w:val="16"/>
          <w:szCs w:val="16"/>
          <w:lang w:val="es-ES"/>
        </w:rPr>
        <w:t>, Reparaciones y Costas.</w:t>
      </w:r>
      <w:r w:rsidRPr="00E62EBE">
        <w:rPr>
          <w:rFonts w:ascii="Verdana" w:hAnsi="Verdana" w:cs="Verdana"/>
          <w:sz w:val="16"/>
          <w:szCs w:val="16"/>
          <w:lang w:val="es-ES"/>
        </w:rPr>
        <w:t xml:space="preserve"> Sentencia de 4 de septiembre de 2012. Serie C No. 250, </w:t>
      </w:r>
      <w:r w:rsidRPr="00E62EBE">
        <w:rPr>
          <w:rFonts w:ascii="Verdana" w:hAnsi="Verdana" w:cs="Verdana"/>
          <w:sz w:val="16"/>
          <w:szCs w:val="16"/>
          <w:lang w:val="es-CR"/>
        </w:rPr>
        <w:t xml:space="preserve">párr. </w:t>
      </w:r>
      <w:r w:rsidRPr="00E62EBE">
        <w:rPr>
          <w:rFonts w:ascii="Verdana" w:hAnsi="Verdana" w:cs="Verdana"/>
          <w:sz w:val="16"/>
          <w:szCs w:val="16"/>
          <w:lang w:val="es-UY"/>
        </w:rPr>
        <w:t>55</w:t>
      </w:r>
      <w:r w:rsidRPr="00E62EBE">
        <w:rPr>
          <w:rFonts w:ascii="Verdana" w:hAnsi="Verdana" w:cs="Verdana"/>
          <w:sz w:val="16"/>
          <w:szCs w:val="16"/>
          <w:lang w:val="es-CR"/>
        </w:rPr>
        <w:t xml:space="preserve">, y </w:t>
      </w:r>
      <w:r w:rsidRPr="00E62EBE">
        <w:rPr>
          <w:rFonts w:ascii="Verdana" w:hAnsi="Verdana" w:cs="Verdana"/>
          <w:i/>
          <w:iCs/>
          <w:sz w:val="16"/>
          <w:szCs w:val="16"/>
          <w:lang w:val="es-CR"/>
        </w:rPr>
        <w:t>Caso Gudiel Álvarez (Diario Militar) Vs. Guatemala. Fondo Reparaciones y Costas.</w:t>
      </w:r>
      <w:r w:rsidRPr="00E62EBE">
        <w:rPr>
          <w:rFonts w:ascii="Verdana" w:hAnsi="Verdana" w:cs="Verdana"/>
          <w:sz w:val="16"/>
          <w:szCs w:val="16"/>
          <w:lang w:val="es-CR"/>
        </w:rPr>
        <w:t xml:space="preserve"> Sentencia de 20 noviembre de 2012 Serie C No. 253, párr. 52.</w:t>
      </w:r>
    </w:p>
  </w:footnote>
  <w:footnote w:id="13">
    <w:p w:rsidR="00594628" w:rsidRDefault="00594628" w:rsidP="00723548">
      <w:pPr>
        <w:widowControl w:val="0"/>
        <w:autoSpaceDE w:val="0"/>
        <w:autoSpaceDN w:val="0"/>
        <w:adjustRightInd w:val="0"/>
        <w:spacing w:after="120"/>
        <w:ind w:right="10"/>
        <w:jc w:val="both"/>
      </w:pPr>
      <w:r w:rsidRPr="00E62EBE">
        <w:rPr>
          <w:rStyle w:val="FootnoteReference"/>
          <w:rFonts w:ascii="Verdana" w:hAnsi="Verdana" w:cs="Verdana"/>
          <w:sz w:val="16"/>
          <w:szCs w:val="16"/>
        </w:rPr>
        <w:footnoteRef/>
      </w:r>
      <w:r w:rsidRPr="00E62EBE">
        <w:rPr>
          <w:rFonts w:ascii="Verdana" w:hAnsi="Verdana" w:cs="Verdana"/>
          <w:sz w:val="16"/>
          <w:szCs w:val="16"/>
          <w:lang w:val="es-CR"/>
        </w:rPr>
        <w:t xml:space="preserve"> </w:t>
      </w:r>
      <w:r w:rsidRPr="00E62EBE">
        <w:rPr>
          <w:rFonts w:ascii="Verdana" w:hAnsi="Verdana" w:cs="Verdana"/>
          <w:sz w:val="16"/>
          <w:szCs w:val="16"/>
          <w:lang w:val="es-CR"/>
        </w:rPr>
        <w:tab/>
      </w:r>
      <w:r w:rsidRPr="00E62EBE">
        <w:rPr>
          <w:rFonts w:ascii="Verdana" w:hAnsi="Verdana" w:cs="Verdana"/>
          <w:i/>
          <w:iCs/>
          <w:sz w:val="16"/>
          <w:szCs w:val="16"/>
          <w:lang w:val="es-CR"/>
        </w:rPr>
        <w:t>Cfr.</w:t>
      </w:r>
      <w:r w:rsidRPr="00E62EBE">
        <w:rPr>
          <w:rFonts w:ascii="Verdana" w:hAnsi="Verdana" w:cs="Verdana"/>
          <w:sz w:val="16"/>
          <w:szCs w:val="16"/>
          <w:lang w:val="es-CR"/>
        </w:rPr>
        <w:t xml:space="preserve"> </w:t>
      </w:r>
      <w:r w:rsidRPr="00E62EBE">
        <w:rPr>
          <w:rFonts w:ascii="Verdana" w:hAnsi="Verdana" w:cs="Verdana"/>
          <w:i/>
          <w:iCs/>
          <w:sz w:val="16"/>
          <w:szCs w:val="16"/>
          <w:lang w:val="es-CR"/>
        </w:rPr>
        <w:t>Caso Brewer Carías V</w:t>
      </w:r>
      <w:r>
        <w:rPr>
          <w:rFonts w:ascii="Verdana" w:hAnsi="Verdana" w:cs="Verdana"/>
          <w:i/>
          <w:iCs/>
          <w:sz w:val="16"/>
          <w:szCs w:val="16"/>
          <w:lang w:val="es-CR"/>
        </w:rPr>
        <w:t xml:space="preserve">s. Venezuela, supra </w:t>
      </w:r>
      <w:r w:rsidRPr="00932A62">
        <w:rPr>
          <w:rFonts w:ascii="Verdana" w:hAnsi="Verdana" w:cs="Verdana"/>
          <w:iCs/>
          <w:sz w:val="16"/>
          <w:szCs w:val="16"/>
          <w:lang w:val="es-CR"/>
        </w:rPr>
        <w:t>nota 3</w:t>
      </w:r>
      <w:r w:rsidRPr="00932A62">
        <w:rPr>
          <w:rFonts w:ascii="Verdana" w:hAnsi="Verdana" w:cs="Verdana"/>
          <w:sz w:val="16"/>
          <w:szCs w:val="16"/>
          <w:lang w:val="es-CR"/>
        </w:rPr>
        <w:t xml:space="preserve">, </w:t>
      </w:r>
      <w:r>
        <w:rPr>
          <w:rFonts w:ascii="Verdana" w:hAnsi="Verdana" w:cs="Verdana"/>
          <w:sz w:val="16"/>
          <w:szCs w:val="16"/>
          <w:lang w:val="es-CR"/>
        </w:rPr>
        <w:t>Considerando</w:t>
      </w:r>
      <w:r w:rsidRPr="00E62EBE">
        <w:rPr>
          <w:rFonts w:ascii="Verdana" w:hAnsi="Verdana" w:cs="Verdana"/>
          <w:sz w:val="16"/>
          <w:szCs w:val="16"/>
          <w:lang w:val="es-CR"/>
        </w:rPr>
        <w:t xml:space="preserve"> 62</w:t>
      </w:r>
      <w:r>
        <w:rPr>
          <w:rFonts w:ascii="Verdana" w:hAnsi="Verdana" w:cs="Verdana"/>
          <w:sz w:val="16"/>
          <w:szCs w:val="16"/>
          <w:lang w:val="es-CR"/>
        </w:rPr>
        <w:t xml:space="preserve">. En igual sentido, </w:t>
      </w:r>
      <w:r>
        <w:rPr>
          <w:rFonts w:ascii="Verdana" w:hAnsi="Verdana" w:cs="Verdana"/>
          <w:i/>
          <w:iCs/>
          <w:sz w:val="16"/>
          <w:szCs w:val="16"/>
          <w:lang w:val="es-CR"/>
        </w:rPr>
        <w:t xml:space="preserve">cfr. </w:t>
      </w:r>
      <w:r w:rsidRPr="00E62EBE">
        <w:rPr>
          <w:rFonts w:ascii="Verdana" w:hAnsi="Verdana" w:cs="Verdana"/>
          <w:i/>
          <w:iCs/>
          <w:sz w:val="16"/>
          <w:szCs w:val="16"/>
          <w:lang w:val="es-CR"/>
        </w:rPr>
        <w:t>Caso Cepeda Vargas Vs. Colombia.</w:t>
      </w:r>
      <w:r w:rsidRPr="00E62EBE">
        <w:rPr>
          <w:rFonts w:ascii="Verdana" w:hAnsi="Verdana" w:cs="Verdana"/>
          <w:sz w:val="16"/>
          <w:szCs w:val="16"/>
          <w:lang w:val="es-CR"/>
        </w:rPr>
        <w:t xml:space="preserve"> Resolución de la Presidenta de la Corte de 22 de diciembre de 2009, Considerando 14; </w:t>
      </w:r>
      <w:r w:rsidRPr="00E62EBE">
        <w:rPr>
          <w:rFonts w:ascii="Verdana" w:hAnsi="Verdana" w:cs="Verdana"/>
          <w:i/>
          <w:iCs/>
          <w:sz w:val="16"/>
          <w:szCs w:val="16"/>
          <w:lang w:val="es-CR"/>
        </w:rPr>
        <w:t>caso González Medina y familiares vs República Dominicana</w:t>
      </w:r>
      <w:r w:rsidRPr="00E62EBE">
        <w:rPr>
          <w:rFonts w:ascii="Verdana" w:hAnsi="Verdana" w:cs="Verdana"/>
          <w:sz w:val="16"/>
          <w:szCs w:val="16"/>
          <w:lang w:val="es-CR"/>
        </w:rPr>
        <w:t xml:space="preserve">. Resolución del Presidente de la Corte de 3 junio </w:t>
      </w:r>
      <w:r>
        <w:rPr>
          <w:rFonts w:ascii="Verdana" w:hAnsi="Verdana" w:cs="Verdana"/>
          <w:sz w:val="16"/>
          <w:szCs w:val="16"/>
          <w:lang w:val="es-CR"/>
        </w:rPr>
        <w:t xml:space="preserve">de </w:t>
      </w:r>
      <w:r w:rsidRPr="00E62EBE">
        <w:rPr>
          <w:rFonts w:ascii="Verdana" w:hAnsi="Verdana" w:cs="Verdana"/>
          <w:sz w:val="16"/>
          <w:szCs w:val="16"/>
          <w:lang w:val="es-CR"/>
        </w:rPr>
        <w:t xml:space="preserve">2011, Considerando 17; </w:t>
      </w:r>
      <w:r w:rsidRPr="00E62EBE">
        <w:rPr>
          <w:rFonts w:ascii="Verdana" w:hAnsi="Verdana" w:cs="Verdana"/>
          <w:i/>
          <w:iCs/>
          <w:sz w:val="16"/>
          <w:szCs w:val="16"/>
          <w:lang w:val="es-CR"/>
        </w:rPr>
        <w:t xml:space="preserve">Caso Vélez Restrepo y Familiares Vs. Colombia. </w:t>
      </w:r>
      <w:r w:rsidRPr="00E62EBE">
        <w:rPr>
          <w:rFonts w:ascii="Verdana" w:hAnsi="Verdana" w:cs="Verdana"/>
          <w:sz w:val="16"/>
          <w:szCs w:val="16"/>
          <w:lang w:val="es-CR"/>
        </w:rPr>
        <w:t xml:space="preserve">Resolución del Presidente de la Corte de 25 de enero de 2012, Considerando 25, y Caso </w:t>
      </w:r>
      <w:r w:rsidRPr="00E62EBE">
        <w:rPr>
          <w:rFonts w:ascii="Verdana" w:hAnsi="Verdana" w:cs="Verdana"/>
          <w:i/>
          <w:iCs/>
          <w:sz w:val="16"/>
          <w:szCs w:val="16"/>
          <w:lang w:val="es-CR"/>
        </w:rPr>
        <w:t>J. Vs Perú</w:t>
      </w:r>
      <w:r w:rsidRPr="00E62EBE">
        <w:rPr>
          <w:rFonts w:ascii="Verdana" w:hAnsi="Verdana" w:cs="Verdana"/>
          <w:sz w:val="16"/>
          <w:szCs w:val="16"/>
          <w:lang w:val="es-CR"/>
        </w:rPr>
        <w:t>. Resolución del Presidente de la Corte en ejercicio de 16 abril de 2013, Considerando 17.</w:t>
      </w:r>
    </w:p>
  </w:footnote>
  <w:footnote w:id="14">
    <w:p w:rsidR="00594628" w:rsidRPr="003355CC" w:rsidRDefault="00594628" w:rsidP="00594628">
      <w:pPr>
        <w:spacing w:before="120" w:after="120"/>
        <w:jc w:val="both"/>
        <w:rPr>
          <w:rFonts w:ascii="Verdana" w:hAnsi="Verdana"/>
          <w:sz w:val="16"/>
          <w:szCs w:val="16"/>
          <w:lang w:val="es-CR"/>
        </w:rPr>
      </w:pPr>
      <w:r w:rsidRPr="00D463CD">
        <w:rPr>
          <w:rStyle w:val="FootnoteReference"/>
          <w:rFonts w:ascii="Verdana" w:hAnsi="Verdana"/>
          <w:sz w:val="16"/>
          <w:szCs w:val="16"/>
        </w:rPr>
        <w:footnoteRef/>
      </w:r>
      <w:r w:rsidRPr="00D463CD">
        <w:rPr>
          <w:rFonts w:ascii="Verdana" w:hAnsi="Verdana"/>
          <w:sz w:val="16"/>
          <w:szCs w:val="16"/>
          <w:lang w:val="es-CR"/>
        </w:rPr>
        <w:t xml:space="preserve"> </w:t>
      </w:r>
      <w:r w:rsidRPr="00D463CD">
        <w:rPr>
          <w:rFonts w:ascii="Verdana" w:hAnsi="Verdana"/>
          <w:sz w:val="16"/>
          <w:szCs w:val="16"/>
          <w:lang w:val="es-CR"/>
        </w:rPr>
        <w:tab/>
      </w:r>
      <w:r w:rsidRPr="00D463CD">
        <w:rPr>
          <w:rFonts w:ascii="Verdana" w:hAnsi="Verdana" w:cs="Verdana"/>
          <w:sz w:val="16"/>
          <w:szCs w:val="16"/>
          <w:lang w:val="es-CR"/>
        </w:rPr>
        <w:t>E</w:t>
      </w:r>
      <w:r>
        <w:rPr>
          <w:rFonts w:ascii="Verdana" w:hAnsi="Verdana" w:cs="Verdana"/>
          <w:sz w:val="16"/>
          <w:szCs w:val="16"/>
        </w:rPr>
        <w:t>ntre otros</w:t>
      </w:r>
      <w:r w:rsidRPr="00D463CD">
        <w:rPr>
          <w:rFonts w:ascii="Verdana" w:hAnsi="Verdana" w:cs="Verdana"/>
          <w:sz w:val="16"/>
          <w:szCs w:val="16"/>
        </w:rPr>
        <w:t xml:space="preserve"> </w:t>
      </w:r>
      <w:r>
        <w:rPr>
          <w:rFonts w:ascii="Verdana" w:hAnsi="Verdana"/>
          <w:sz w:val="16"/>
          <w:szCs w:val="16"/>
        </w:rPr>
        <w:t xml:space="preserve">casos: </w:t>
      </w:r>
      <w:r>
        <w:rPr>
          <w:rFonts w:ascii="Verdana" w:hAnsi="Verdana"/>
          <w:i/>
          <w:iCs/>
          <w:sz w:val="16"/>
          <w:szCs w:val="16"/>
        </w:rPr>
        <w:t>Ivcher Bronstein Vs. Perú, Herrera Ulloa Vs. Costa Rica, Tibi Vs. Ecuador, Claude Reyes y otros Vs. Chile, Penal Miguel Castro Castro Vs. Perú, Kimel Vs. Argentina, Apitz Barbera y otros (“Corte Primera de lo Contencioso Administrativo”) Vs. Venezuela, Ríos y otros Vs. Venezuela</w:t>
      </w:r>
      <w:r>
        <w:rPr>
          <w:rFonts w:ascii="Verdana" w:hAnsi="Verdana"/>
          <w:sz w:val="16"/>
          <w:szCs w:val="16"/>
        </w:rPr>
        <w:t xml:space="preserve">, </w:t>
      </w:r>
      <w:r>
        <w:rPr>
          <w:rFonts w:ascii="Verdana" w:hAnsi="Verdana"/>
          <w:i/>
          <w:iCs/>
          <w:sz w:val="16"/>
          <w:szCs w:val="16"/>
        </w:rPr>
        <w:t>Perozo y otros Vs. Venezuela, Reverón Trujillo Vs. Venezuela, Barreto Leiva Vs. Venezuela, Usón Ramírez Vs. Venezuela,</w:t>
      </w:r>
      <w:r>
        <w:rPr>
          <w:rFonts w:ascii="Verdana" w:hAnsi="Verdana"/>
          <w:b/>
          <w:bCs/>
          <w:color w:val="000000"/>
          <w:sz w:val="11"/>
          <w:szCs w:val="11"/>
        </w:rPr>
        <w:t xml:space="preserve"> </w:t>
      </w:r>
      <w:r>
        <w:rPr>
          <w:rFonts w:ascii="Verdana" w:hAnsi="Verdana"/>
          <w:i/>
          <w:iCs/>
          <w:sz w:val="16"/>
          <w:szCs w:val="16"/>
        </w:rPr>
        <w:t xml:space="preserve">Rosendo Cantú y otra Vs. México, Vélez Loor Vs. Panamá, Chocrón Chocrón Vs. Venezuela, López Mendoza Vs. Venezuela, Familia Barrios Vs. Venezuela, Díaz Peña Vs. Venezuela, Uzcátegui y otros Vs. Venezuela, Atala Riffo y Niñas Vs. Chile, Castillo González y otros Vs. </w:t>
      </w:r>
      <w:r>
        <w:rPr>
          <w:rFonts w:ascii="Verdana" w:hAnsi="Verdana"/>
          <w:i/>
          <w:iCs/>
          <w:sz w:val="16"/>
          <w:szCs w:val="16"/>
          <w:lang w:val="es-CR"/>
        </w:rPr>
        <w:t>Venezuela y Norín Catrimán y otros Vs. Chile.</w:t>
      </w:r>
    </w:p>
  </w:footnote>
  <w:footnote w:id="15">
    <w:p w:rsidR="00594628" w:rsidRPr="00415A66" w:rsidRDefault="00594628" w:rsidP="00723548">
      <w:pPr>
        <w:spacing w:after="120"/>
        <w:jc w:val="both"/>
        <w:rPr>
          <w:rFonts w:ascii="Verdana" w:hAnsi="Verdana"/>
          <w:sz w:val="16"/>
          <w:szCs w:val="16"/>
        </w:rPr>
      </w:pPr>
      <w:r w:rsidRPr="00415A66">
        <w:rPr>
          <w:rStyle w:val="FootnoteReference"/>
          <w:rFonts w:ascii="Verdana" w:hAnsi="Verdana"/>
          <w:sz w:val="16"/>
          <w:szCs w:val="16"/>
        </w:rPr>
        <w:footnoteRef/>
      </w:r>
      <w:r w:rsidRPr="00415A66">
        <w:rPr>
          <w:rFonts w:ascii="Verdana" w:hAnsi="Verdana"/>
          <w:sz w:val="16"/>
          <w:szCs w:val="16"/>
        </w:rPr>
        <w:t xml:space="preserve"> </w:t>
      </w:r>
      <w:r w:rsidRPr="00415A66">
        <w:rPr>
          <w:rFonts w:ascii="Verdana" w:hAnsi="Verdana" w:cs="Verdana"/>
          <w:color w:val="000000"/>
          <w:sz w:val="16"/>
          <w:szCs w:val="16"/>
          <w:lang w:val="es-CR"/>
        </w:rPr>
        <w:tab/>
      </w:r>
      <w:r>
        <w:rPr>
          <w:rFonts w:ascii="Verdana" w:hAnsi="Verdana" w:cs="Verdana"/>
          <w:i/>
          <w:color w:val="000000"/>
          <w:sz w:val="16"/>
          <w:szCs w:val="16"/>
          <w:lang w:val="es-CR"/>
        </w:rPr>
        <w:t xml:space="preserve">Cfr. </w:t>
      </w:r>
      <w:r w:rsidRPr="00415A66">
        <w:rPr>
          <w:rFonts w:ascii="Verdana" w:hAnsi="Verdana" w:cs="Verdana"/>
          <w:i/>
          <w:iCs/>
          <w:sz w:val="16"/>
          <w:szCs w:val="16"/>
        </w:rPr>
        <w:t>Caso Contreras y otros Vs. El Salvador. Fondo, Reparaciones y Costas</w:t>
      </w:r>
      <w:r w:rsidRPr="00415A66">
        <w:rPr>
          <w:rFonts w:ascii="Verdana" w:hAnsi="Verdana" w:cs="Verdana"/>
          <w:sz w:val="16"/>
          <w:szCs w:val="16"/>
        </w:rPr>
        <w:t>. Sentencia de 31 de agosto de 2011 Serie C No. 232</w:t>
      </w:r>
      <w:r w:rsidRPr="00415A66">
        <w:rPr>
          <w:rFonts w:ascii="Verdana" w:hAnsi="Verdana" w:cs="Verdana"/>
          <w:sz w:val="16"/>
          <w:szCs w:val="16"/>
          <w:lang w:val="es-CR"/>
        </w:rPr>
        <w:t xml:space="preserve">, párr. 38; </w:t>
      </w:r>
      <w:r w:rsidRPr="00415A66">
        <w:rPr>
          <w:rFonts w:ascii="Verdana" w:hAnsi="Verdana" w:cs="Verdana"/>
          <w:i/>
          <w:iCs/>
          <w:sz w:val="16"/>
          <w:szCs w:val="16"/>
        </w:rPr>
        <w:t xml:space="preserve">Caso Grande Vs. Argentina. Excepciones Preliminares y Fondo. </w:t>
      </w:r>
      <w:r w:rsidRPr="00415A66">
        <w:rPr>
          <w:rFonts w:ascii="Verdana" w:hAnsi="Verdana" w:cs="Verdana"/>
          <w:sz w:val="16"/>
          <w:szCs w:val="16"/>
        </w:rPr>
        <w:t>Sentencia de 31 de agosto de 2011 Serie C No. 231, pá</w:t>
      </w:r>
      <w:r>
        <w:rPr>
          <w:rFonts w:ascii="Verdana" w:hAnsi="Verdana" w:cs="Verdana"/>
          <w:sz w:val="16"/>
          <w:szCs w:val="16"/>
        </w:rPr>
        <w:t xml:space="preserve">rr. 75; </w:t>
      </w:r>
      <w:r w:rsidRPr="00415A66">
        <w:rPr>
          <w:rFonts w:ascii="Verdana" w:hAnsi="Verdana" w:cs="Verdana"/>
          <w:i/>
          <w:iCs/>
          <w:sz w:val="16"/>
          <w:szCs w:val="16"/>
        </w:rPr>
        <w:t xml:space="preserve">Caso de la “Masacre de Pueblo Bello” Vs. Colombia. </w:t>
      </w:r>
      <w:r w:rsidRPr="00415A66">
        <w:rPr>
          <w:rFonts w:ascii="Verdana" w:hAnsi="Verdana" w:cs="Verdana"/>
          <w:sz w:val="16"/>
          <w:szCs w:val="16"/>
        </w:rPr>
        <w:t>Resolución del Presidente de la Corte, 29 de julio de 2005,</w:t>
      </w:r>
      <w:r w:rsidRPr="00415A66">
        <w:rPr>
          <w:rFonts w:ascii="Verdana" w:hAnsi="Verdana" w:cs="Verdana"/>
          <w:i/>
          <w:iCs/>
          <w:sz w:val="16"/>
          <w:szCs w:val="16"/>
        </w:rPr>
        <w:t xml:space="preserve"> </w:t>
      </w:r>
      <w:r w:rsidRPr="00415A66">
        <w:rPr>
          <w:rFonts w:ascii="Verdana" w:hAnsi="Verdana" w:cs="Verdana"/>
          <w:sz w:val="16"/>
          <w:szCs w:val="16"/>
        </w:rPr>
        <w:t xml:space="preserve">Considerando séptimo; </w:t>
      </w:r>
      <w:r w:rsidRPr="00415A66">
        <w:rPr>
          <w:rFonts w:ascii="Verdana" w:hAnsi="Verdana" w:cs="Verdana"/>
          <w:i/>
          <w:iCs/>
          <w:color w:val="000000"/>
          <w:sz w:val="16"/>
          <w:szCs w:val="16"/>
          <w:lang w:val="es-CR"/>
        </w:rPr>
        <w:t xml:space="preserve">Caso Díaz Peña vs Venezuela, </w:t>
      </w:r>
      <w:r w:rsidRPr="00415A66">
        <w:rPr>
          <w:rFonts w:ascii="Verdana" w:hAnsi="Verdana" w:cs="Verdana"/>
          <w:color w:val="000000"/>
          <w:sz w:val="16"/>
          <w:szCs w:val="16"/>
          <w:lang w:val="es-CR"/>
        </w:rPr>
        <w:t xml:space="preserve">Resolución del Presidente de la Corte </w:t>
      </w:r>
      <w:r>
        <w:rPr>
          <w:rFonts w:ascii="Verdana" w:hAnsi="Verdana" w:cs="Verdana"/>
          <w:color w:val="000000"/>
          <w:sz w:val="16"/>
          <w:szCs w:val="16"/>
          <w:lang w:val="es-CR"/>
        </w:rPr>
        <w:t xml:space="preserve">de </w:t>
      </w:r>
      <w:r w:rsidRPr="00415A66">
        <w:rPr>
          <w:rFonts w:ascii="Verdana" w:hAnsi="Verdana" w:cs="Verdana"/>
          <w:color w:val="000000"/>
          <w:sz w:val="16"/>
          <w:szCs w:val="16"/>
          <w:lang w:val="es-CR"/>
        </w:rPr>
        <w:t xml:space="preserve">2 de noviembre de 2011, Considerando trigésimo primero; </w:t>
      </w:r>
      <w:r w:rsidRPr="00415A66">
        <w:rPr>
          <w:rFonts w:ascii="Verdana" w:hAnsi="Verdana" w:cs="Verdana"/>
          <w:i/>
          <w:iCs/>
          <w:sz w:val="16"/>
          <w:szCs w:val="16"/>
        </w:rPr>
        <w:t>Caso Palma Mendoza y otros Vs. Ecuador</w:t>
      </w:r>
      <w:r w:rsidRPr="00415A66">
        <w:rPr>
          <w:rFonts w:ascii="Verdana" w:hAnsi="Verdana" w:cs="Verdana"/>
          <w:sz w:val="16"/>
          <w:szCs w:val="16"/>
        </w:rPr>
        <w:t>. Resolución del Presidente de la Corte, 25 de enero de 2012, Considerando sexto</w:t>
      </w:r>
      <w:r>
        <w:rPr>
          <w:rFonts w:ascii="Verdana" w:hAnsi="Verdana" w:cs="Verdana"/>
          <w:sz w:val="16"/>
          <w:szCs w:val="16"/>
        </w:rPr>
        <w:t xml:space="preserve">, y </w:t>
      </w:r>
      <w:r w:rsidRPr="00415A66">
        <w:rPr>
          <w:rFonts w:ascii="Verdana" w:hAnsi="Verdana" w:cs="Verdana"/>
          <w:i/>
          <w:iCs/>
          <w:color w:val="000000"/>
          <w:sz w:val="16"/>
          <w:szCs w:val="16"/>
          <w:lang w:val="es-CR"/>
        </w:rPr>
        <w:t xml:space="preserve">Caso </w:t>
      </w:r>
      <w:r w:rsidRPr="00660329">
        <w:rPr>
          <w:rFonts w:ascii="Verdana" w:hAnsi="Verdana" w:cs="Verdana"/>
          <w:i/>
          <w:iCs/>
          <w:color w:val="000000"/>
          <w:sz w:val="16"/>
          <w:szCs w:val="16"/>
          <w:lang w:val="es-CR"/>
        </w:rPr>
        <w:t>Masacres de El Mozote y</w:t>
      </w:r>
      <w:r w:rsidRPr="00415A66">
        <w:rPr>
          <w:rFonts w:ascii="Verdana" w:hAnsi="Verdana" w:cs="Verdana"/>
          <w:i/>
          <w:iCs/>
          <w:color w:val="000000"/>
          <w:sz w:val="16"/>
          <w:szCs w:val="16"/>
          <w:lang w:val="es-CR"/>
        </w:rPr>
        <w:t xml:space="preserve"> lugares aledaños vs El Salvador, </w:t>
      </w:r>
      <w:r w:rsidRPr="00415A66">
        <w:rPr>
          <w:rFonts w:ascii="Verdana" w:hAnsi="Verdana" w:cs="Verdana"/>
          <w:color w:val="000000"/>
          <w:sz w:val="16"/>
          <w:szCs w:val="16"/>
          <w:lang w:val="es-CR"/>
        </w:rPr>
        <w:t xml:space="preserve">Resolución del Presidente de la Corte </w:t>
      </w:r>
      <w:r>
        <w:rPr>
          <w:rFonts w:ascii="Verdana" w:hAnsi="Verdana" w:cs="Verdana"/>
          <w:color w:val="000000"/>
          <w:sz w:val="16"/>
          <w:szCs w:val="16"/>
          <w:lang w:val="es-CR"/>
        </w:rPr>
        <w:t xml:space="preserve">de </w:t>
      </w:r>
      <w:r w:rsidRPr="00415A66">
        <w:rPr>
          <w:rFonts w:ascii="Verdana" w:hAnsi="Verdana" w:cs="Verdana"/>
          <w:color w:val="000000"/>
          <w:sz w:val="16"/>
          <w:szCs w:val="16"/>
          <w:lang w:val="es-CR"/>
        </w:rPr>
        <w:t>22 de marzo de 2012, Consideran</w:t>
      </w:r>
      <w:r>
        <w:rPr>
          <w:rFonts w:ascii="Verdana" w:hAnsi="Verdana" w:cs="Verdana"/>
          <w:color w:val="000000"/>
          <w:sz w:val="16"/>
          <w:szCs w:val="16"/>
          <w:lang w:val="es-CR"/>
        </w:rPr>
        <w:t>do noveno.</w:t>
      </w:r>
    </w:p>
  </w:footnote>
  <w:footnote w:id="16">
    <w:p w:rsidR="00594628" w:rsidRDefault="00594628" w:rsidP="00723548">
      <w:pPr>
        <w:pStyle w:val="FootnoteText"/>
        <w:jc w:val="both"/>
        <w:rPr>
          <w:rFonts w:ascii="Verdana" w:hAnsi="Verdana" w:cs="Verdana"/>
          <w:sz w:val="16"/>
          <w:szCs w:val="16"/>
        </w:rPr>
      </w:pPr>
      <w:r w:rsidRPr="00415A66">
        <w:rPr>
          <w:rStyle w:val="FootnoteReference"/>
          <w:rFonts w:ascii="Verdana" w:hAnsi="Verdana" w:cs="Times New Roman"/>
          <w:sz w:val="16"/>
          <w:szCs w:val="16"/>
        </w:rPr>
        <w:footnoteRef/>
      </w:r>
      <w:r w:rsidRPr="00415A66">
        <w:rPr>
          <w:rFonts w:ascii="Verdana" w:hAnsi="Verdana"/>
          <w:sz w:val="16"/>
          <w:szCs w:val="16"/>
        </w:rPr>
        <w:t xml:space="preserve"> </w:t>
      </w:r>
      <w:r w:rsidRPr="00415A66">
        <w:rPr>
          <w:rFonts w:ascii="Verdana" w:hAnsi="Verdana"/>
          <w:sz w:val="16"/>
          <w:szCs w:val="16"/>
        </w:rPr>
        <w:tab/>
        <w:t xml:space="preserve"> </w:t>
      </w:r>
      <w:r w:rsidRPr="00415A66">
        <w:rPr>
          <w:rFonts w:ascii="Verdana" w:hAnsi="Verdana" w:cs="Verdana"/>
          <w:i/>
          <w:iCs/>
          <w:sz w:val="16"/>
          <w:szCs w:val="16"/>
        </w:rPr>
        <w:t>Caso Suárez Peralta vs Ecuador</w:t>
      </w:r>
      <w:r w:rsidRPr="00415A66">
        <w:rPr>
          <w:rFonts w:ascii="Verdana" w:hAnsi="Verdana" w:cs="Verdana"/>
          <w:sz w:val="16"/>
          <w:szCs w:val="16"/>
        </w:rPr>
        <w:t>, Resolución del Presid</w:t>
      </w:r>
      <w:r>
        <w:rPr>
          <w:rFonts w:ascii="Verdana" w:hAnsi="Verdana" w:cs="Verdana"/>
          <w:sz w:val="16"/>
          <w:szCs w:val="16"/>
        </w:rPr>
        <w:t>ente de la Corte de</w:t>
      </w:r>
      <w:r w:rsidRPr="00415A66">
        <w:rPr>
          <w:rFonts w:ascii="Verdana" w:hAnsi="Verdana" w:cs="Verdana"/>
          <w:sz w:val="16"/>
          <w:szCs w:val="16"/>
        </w:rPr>
        <w:t xml:space="preserve"> 20 de diciembre de 2012, Considerando vigésimo segundo.</w:t>
      </w:r>
    </w:p>
    <w:p w:rsidR="00824159" w:rsidRDefault="00824159" w:rsidP="00723548">
      <w:pPr>
        <w:pStyle w:val="FootnoteText"/>
        <w:jc w:val="both"/>
        <w:rPr>
          <w:rFonts w:ascii="Verdana" w:hAnsi="Verdana" w:cs="Verdana"/>
          <w:sz w:val="16"/>
          <w:szCs w:val="16"/>
        </w:rPr>
      </w:pPr>
    </w:p>
    <w:p w:rsidR="00824159" w:rsidRDefault="00824159" w:rsidP="00723548">
      <w:pPr>
        <w:pStyle w:val="FootnoteText"/>
        <w:jc w:val="both"/>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28" w:rsidRPr="00C21B9B" w:rsidRDefault="00594628">
    <w:pPr>
      <w:pStyle w:val="Header"/>
      <w:jc w:val="center"/>
      <w:rPr>
        <w:rFonts w:ascii="Verdana" w:hAnsi="Verdana"/>
        <w:sz w:val="20"/>
        <w:szCs w:val="20"/>
      </w:rPr>
    </w:pPr>
    <w:r>
      <w:rPr>
        <w:rFonts w:ascii="Verdana" w:hAnsi="Verdana"/>
        <w:sz w:val="20"/>
        <w:szCs w:val="20"/>
      </w:rPr>
      <w:t>-</w:t>
    </w:r>
    <w:r w:rsidR="00D66729" w:rsidRPr="00C21B9B">
      <w:rPr>
        <w:rFonts w:ascii="Verdana" w:hAnsi="Verdana"/>
        <w:sz w:val="20"/>
        <w:szCs w:val="20"/>
      </w:rPr>
      <w:fldChar w:fldCharType="begin"/>
    </w:r>
    <w:r w:rsidRPr="00C21B9B">
      <w:rPr>
        <w:rFonts w:ascii="Verdana" w:hAnsi="Verdana"/>
        <w:sz w:val="20"/>
        <w:szCs w:val="20"/>
      </w:rPr>
      <w:instrText xml:space="preserve"> PAGE   \* MERGEFORMAT </w:instrText>
    </w:r>
    <w:r w:rsidR="00D66729" w:rsidRPr="00C21B9B">
      <w:rPr>
        <w:rFonts w:ascii="Verdana" w:hAnsi="Verdana"/>
        <w:sz w:val="20"/>
        <w:szCs w:val="20"/>
      </w:rPr>
      <w:fldChar w:fldCharType="separate"/>
    </w:r>
    <w:r w:rsidR="003C6FDE">
      <w:rPr>
        <w:rFonts w:ascii="Verdana" w:hAnsi="Verdana"/>
        <w:noProof/>
        <w:sz w:val="20"/>
        <w:szCs w:val="20"/>
      </w:rPr>
      <w:t>2</w:t>
    </w:r>
    <w:r w:rsidR="00D66729" w:rsidRPr="00C21B9B">
      <w:rPr>
        <w:rFonts w:ascii="Verdana" w:hAnsi="Verdana"/>
        <w:sz w:val="20"/>
        <w:szCs w:val="20"/>
      </w:rPr>
      <w:fldChar w:fldCharType="end"/>
    </w:r>
    <w:r>
      <w:rPr>
        <w:rFonts w:ascii="Verdana" w:hAnsi="Verdana"/>
        <w:sz w:val="20"/>
        <w:szCs w:val="20"/>
      </w:rPr>
      <w:t>-</w:t>
    </w:r>
  </w:p>
  <w:p w:rsidR="00594628" w:rsidRDefault="00594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65E"/>
    <w:multiLevelType w:val="hybridMultilevel"/>
    <w:tmpl w:val="38487AA0"/>
    <w:lvl w:ilvl="0" w:tplc="AFF8680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154407"/>
    <w:multiLevelType w:val="hybridMultilevel"/>
    <w:tmpl w:val="FFFCF612"/>
    <w:lvl w:ilvl="0" w:tplc="E83A9E88">
      <w:start w:val="1"/>
      <w:numFmt w:val="decimal"/>
      <w:lvlText w:val="%1."/>
      <w:lvlJc w:val="left"/>
      <w:pPr>
        <w:tabs>
          <w:tab w:val="num" w:pos="822"/>
        </w:tabs>
      </w:pPr>
      <w:rPr>
        <w:rFonts w:hint="default"/>
        <w:b w:val="0"/>
        <w:bCs w:val="0"/>
        <w:i w:val="0"/>
        <w:iCs w:val="0"/>
        <w:strike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CE64D32"/>
    <w:multiLevelType w:val="hybridMultilevel"/>
    <w:tmpl w:val="454A8350"/>
    <w:lvl w:ilvl="0" w:tplc="C002A320">
      <w:start w:val="1"/>
      <w:numFmt w:val="decimal"/>
      <w:lvlText w:val="%1."/>
      <w:lvlJc w:val="left"/>
      <w:pPr>
        <w:tabs>
          <w:tab w:val="num" w:pos="1247"/>
        </w:tabs>
      </w:pPr>
      <w:rPr>
        <w:rFonts w:ascii="Verdana" w:hAnsi="Verdana" w:cs="Verdana" w:hint="default"/>
        <w:b w:val="0"/>
        <w:bCs w:val="0"/>
        <w:i w:val="0"/>
        <w:iCs w:val="0"/>
        <w:sz w:val="20"/>
        <w:szCs w:val="20"/>
      </w:rPr>
    </w:lvl>
    <w:lvl w:ilvl="1" w:tplc="91ECB87E">
      <w:start w:val="1"/>
      <w:numFmt w:val="lowerLetter"/>
      <w:lvlText w:val="%2)"/>
      <w:lvlJc w:val="left"/>
      <w:pPr>
        <w:tabs>
          <w:tab w:val="num" w:pos="1080"/>
        </w:tabs>
        <w:ind w:left="1080" w:hanging="360"/>
      </w:pPr>
      <w:rPr>
        <w:rFonts w:hint="default"/>
        <w:b w:val="0"/>
        <w:bCs w:val="0"/>
        <w:i w:val="0"/>
        <w:iCs w:val="0"/>
        <w:sz w:val="20"/>
        <w:szCs w:val="20"/>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3548"/>
    <w:rsid w:val="00012C43"/>
    <w:rsid w:val="00022D24"/>
    <w:rsid w:val="000663CF"/>
    <w:rsid w:val="000D517D"/>
    <w:rsid w:val="000E64AB"/>
    <w:rsid w:val="000F3654"/>
    <w:rsid w:val="001277CA"/>
    <w:rsid w:val="00135125"/>
    <w:rsid w:val="00141F93"/>
    <w:rsid w:val="00151BC5"/>
    <w:rsid w:val="001A6D49"/>
    <w:rsid w:val="001B0BC3"/>
    <w:rsid w:val="001F111A"/>
    <w:rsid w:val="001F5D8C"/>
    <w:rsid w:val="0020537C"/>
    <w:rsid w:val="002708F7"/>
    <w:rsid w:val="002807D6"/>
    <w:rsid w:val="003355CC"/>
    <w:rsid w:val="00344AA7"/>
    <w:rsid w:val="00357F00"/>
    <w:rsid w:val="003A7A68"/>
    <w:rsid w:val="003B0B27"/>
    <w:rsid w:val="003C6FDE"/>
    <w:rsid w:val="003E071E"/>
    <w:rsid w:val="00407A0C"/>
    <w:rsid w:val="004A0A72"/>
    <w:rsid w:val="004A7D80"/>
    <w:rsid w:val="00537EF8"/>
    <w:rsid w:val="00544925"/>
    <w:rsid w:val="00575B8B"/>
    <w:rsid w:val="00594628"/>
    <w:rsid w:val="005B07F2"/>
    <w:rsid w:val="0060267F"/>
    <w:rsid w:val="00614A88"/>
    <w:rsid w:val="00660329"/>
    <w:rsid w:val="006B389A"/>
    <w:rsid w:val="006D7EF1"/>
    <w:rsid w:val="006E11A8"/>
    <w:rsid w:val="006E203F"/>
    <w:rsid w:val="006E29CE"/>
    <w:rsid w:val="00723548"/>
    <w:rsid w:val="007300DA"/>
    <w:rsid w:val="00746D12"/>
    <w:rsid w:val="00785D31"/>
    <w:rsid w:val="00786DC7"/>
    <w:rsid w:val="007F3155"/>
    <w:rsid w:val="00823D74"/>
    <w:rsid w:val="00824159"/>
    <w:rsid w:val="00845FED"/>
    <w:rsid w:val="008E0263"/>
    <w:rsid w:val="00932A62"/>
    <w:rsid w:val="00985DD1"/>
    <w:rsid w:val="00A5530A"/>
    <w:rsid w:val="00A7045C"/>
    <w:rsid w:val="00A90A6B"/>
    <w:rsid w:val="00B80823"/>
    <w:rsid w:val="00BC33E1"/>
    <w:rsid w:val="00BE6952"/>
    <w:rsid w:val="00C21B9B"/>
    <w:rsid w:val="00CB268A"/>
    <w:rsid w:val="00CC2D37"/>
    <w:rsid w:val="00D05F59"/>
    <w:rsid w:val="00D06B49"/>
    <w:rsid w:val="00D21B2B"/>
    <w:rsid w:val="00D41471"/>
    <w:rsid w:val="00D66729"/>
    <w:rsid w:val="00E01E49"/>
    <w:rsid w:val="00E062AC"/>
    <w:rsid w:val="00E90413"/>
    <w:rsid w:val="00EC6F4C"/>
    <w:rsid w:val="00FC1942"/>
    <w:rsid w:val="00FD5E0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48"/>
    <w:pPr>
      <w:spacing w:after="0" w:line="240" w:lineRule="auto"/>
    </w:pPr>
    <w:rPr>
      <w:rFonts w:ascii="Times New Roman" w:eastAsia="MS Mincho"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rsid w:val="00723548"/>
    <w:pPr>
      <w:widowControl w:val="0"/>
    </w:pPr>
    <w:rPr>
      <w:rFonts w:ascii="Garamond" w:hAnsi="Garamond" w:cs="Garamond"/>
      <w:sz w:val="20"/>
      <w:szCs w:val="20"/>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basedOn w:val="DefaultParagraphFont"/>
    <w:link w:val="FootnoteText"/>
    <w:uiPriority w:val="99"/>
    <w:semiHidden/>
    <w:rsid w:val="00723548"/>
    <w:rPr>
      <w:rFonts w:ascii="Garamond" w:eastAsia="MS Mincho" w:hAnsi="Garamond" w:cs="Garamond"/>
      <w:sz w:val="20"/>
      <w:szCs w:val="20"/>
      <w:lang w:val="es-ES_tradn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semiHidden/>
    <w:rsid w:val="00723548"/>
    <w:rPr>
      <w:vertAlign w:val="superscript"/>
    </w:rPr>
  </w:style>
  <w:style w:type="paragraph" w:styleId="ListParagraph">
    <w:name w:val="List Paragraph"/>
    <w:aliases w:val="Footnote"/>
    <w:basedOn w:val="Normal"/>
    <w:uiPriority w:val="99"/>
    <w:qFormat/>
    <w:rsid w:val="00723548"/>
    <w:pPr>
      <w:ind w:left="708"/>
    </w:pPr>
  </w:style>
  <w:style w:type="paragraph" w:styleId="Title">
    <w:name w:val="Title"/>
    <w:basedOn w:val="Normal"/>
    <w:link w:val="TitleChar"/>
    <w:uiPriority w:val="99"/>
    <w:qFormat/>
    <w:rsid w:val="00723548"/>
    <w:pPr>
      <w:jc w:val="center"/>
    </w:pPr>
    <w:rPr>
      <w:b/>
      <w:bCs/>
      <w:lang w:eastAsia="es-ES"/>
    </w:rPr>
  </w:style>
  <w:style w:type="character" w:customStyle="1" w:styleId="TitleChar">
    <w:name w:val="Title Char"/>
    <w:basedOn w:val="DefaultParagraphFont"/>
    <w:link w:val="Title"/>
    <w:uiPriority w:val="99"/>
    <w:rsid w:val="00723548"/>
    <w:rPr>
      <w:rFonts w:ascii="Times New Roman" w:eastAsia="MS Mincho" w:hAnsi="Times New Roman" w:cs="Times New Roman"/>
      <w:b/>
      <w:bCs/>
      <w:sz w:val="24"/>
      <w:szCs w:val="24"/>
      <w:lang w:val="es-ES_tradnl" w:eastAsia="es-ES"/>
    </w:rPr>
  </w:style>
  <w:style w:type="paragraph" w:styleId="Header">
    <w:name w:val="header"/>
    <w:basedOn w:val="Normal"/>
    <w:link w:val="HeaderChar"/>
    <w:uiPriority w:val="99"/>
    <w:rsid w:val="00723548"/>
    <w:pPr>
      <w:tabs>
        <w:tab w:val="center" w:pos="4419"/>
        <w:tab w:val="right" w:pos="8838"/>
      </w:tabs>
    </w:pPr>
  </w:style>
  <w:style w:type="character" w:customStyle="1" w:styleId="HeaderChar">
    <w:name w:val="Header Char"/>
    <w:basedOn w:val="DefaultParagraphFont"/>
    <w:link w:val="Header"/>
    <w:uiPriority w:val="99"/>
    <w:rsid w:val="00723548"/>
    <w:rPr>
      <w:rFonts w:ascii="Times New Roman" w:eastAsia="MS Mincho" w:hAnsi="Times New Roman" w:cs="Times New Roman"/>
      <w:sz w:val="24"/>
      <w:szCs w:val="24"/>
      <w:lang w:val="es-ES_tradnl"/>
    </w:rPr>
  </w:style>
  <w:style w:type="paragraph" w:styleId="BalloonText">
    <w:name w:val="Balloon Text"/>
    <w:basedOn w:val="Normal"/>
    <w:link w:val="BalloonTextChar"/>
    <w:uiPriority w:val="99"/>
    <w:semiHidden/>
    <w:unhideWhenUsed/>
    <w:rsid w:val="00614A88"/>
    <w:rPr>
      <w:rFonts w:ascii="Tahoma" w:hAnsi="Tahoma" w:cs="Tahoma"/>
      <w:sz w:val="16"/>
      <w:szCs w:val="16"/>
    </w:rPr>
  </w:style>
  <w:style w:type="character" w:customStyle="1" w:styleId="BalloonTextChar">
    <w:name w:val="Balloon Text Char"/>
    <w:basedOn w:val="DefaultParagraphFont"/>
    <w:link w:val="BalloonText"/>
    <w:uiPriority w:val="99"/>
    <w:semiHidden/>
    <w:rsid w:val="00614A88"/>
    <w:rPr>
      <w:rFonts w:ascii="Tahoma" w:eastAsia="MS Mincho" w:hAnsi="Tahoma" w:cs="Tahoma"/>
      <w:sz w:val="16"/>
      <w:szCs w:val="16"/>
      <w:lang w:val="es-ES_tradnl"/>
    </w:rPr>
  </w:style>
  <w:style w:type="paragraph" w:styleId="Footer">
    <w:name w:val="footer"/>
    <w:basedOn w:val="Normal"/>
    <w:link w:val="FooterChar"/>
    <w:uiPriority w:val="99"/>
    <w:semiHidden/>
    <w:unhideWhenUsed/>
    <w:rsid w:val="00C21B9B"/>
    <w:pPr>
      <w:tabs>
        <w:tab w:val="center" w:pos="4419"/>
        <w:tab w:val="right" w:pos="8838"/>
      </w:tabs>
    </w:pPr>
  </w:style>
  <w:style w:type="character" w:customStyle="1" w:styleId="FooterChar">
    <w:name w:val="Footer Char"/>
    <w:basedOn w:val="DefaultParagraphFont"/>
    <w:link w:val="Footer"/>
    <w:uiPriority w:val="99"/>
    <w:semiHidden/>
    <w:rsid w:val="00C21B9B"/>
    <w:rPr>
      <w:rFonts w:ascii="Times New Roman" w:eastAsia="MS Mincho" w:hAnsi="Times New Roman" w:cs="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divs>
    <w:div w:id="11950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2730</Words>
  <Characters>15565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Gabriel Alfaro</cp:lastModifiedBy>
  <cp:revision>2</cp:revision>
  <cp:lastPrinted>2013-08-21T01:47:00Z</cp:lastPrinted>
  <dcterms:created xsi:type="dcterms:W3CDTF">2013-08-30T16:08:00Z</dcterms:created>
  <dcterms:modified xsi:type="dcterms:W3CDTF">2013-08-30T16:08:00Z</dcterms:modified>
</cp:coreProperties>
</file>