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1B" w:rsidRPr="00ED3CC9" w:rsidRDefault="00DD161B" w:rsidP="00ED3CC9">
      <w:pPr>
        <w:spacing w:before="120"/>
        <w:ind w:right="-317"/>
        <w:jc w:val="center"/>
        <w:rPr>
          <w:rFonts w:cs="Verdana Bold"/>
          <w:b/>
          <w:bCs/>
          <w:caps/>
          <w:szCs w:val="20"/>
        </w:rPr>
      </w:pPr>
      <w:bookmarkStart w:id="0" w:name="_GoBack"/>
      <w:bookmarkEnd w:id="0"/>
    </w:p>
    <w:p w:rsidR="00DD161B" w:rsidRPr="00ED3CC9" w:rsidRDefault="00DD161B" w:rsidP="00ED3CC9">
      <w:pPr>
        <w:spacing w:before="120"/>
        <w:ind w:right="-317"/>
        <w:jc w:val="center"/>
        <w:rPr>
          <w:rFonts w:cs="Verdana Bold"/>
          <w:b/>
          <w:bCs/>
          <w:caps/>
          <w:szCs w:val="20"/>
        </w:rPr>
      </w:pPr>
    </w:p>
    <w:p w:rsidR="00DD161B" w:rsidRPr="00ED3CC9" w:rsidRDefault="00DD161B" w:rsidP="00ED3CC9">
      <w:pPr>
        <w:spacing w:before="120"/>
        <w:ind w:right="-317"/>
        <w:jc w:val="center"/>
        <w:rPr>
          <w:rFonts w:cs="Verdana Bold"/>
          <w:b/>
          <w:bCs/>
          <w:caps/>
          <w:szCs w:val="20"/>
        </w:rPr>
      </w:pPr>
    </w:p>
    <w:p w:rsidR="00DD161B" w:rsidRPr="00ED3CC9" w:rsidRDefault="00DD161B" w:rsidP="00ED3CC9">
      <w:pPr>
        <w:spacing w:before="120"/>
        <w:ind w:right="-317"/>
        <w:jc w:val="center"/>
        <w:rPr>
          <w:rFonts w:cs="Verdana Bold"/>
          <w:b/>
          <w:bCs/>
          <w:caps/>
          <w:szCs w:val="20"/>
        </w:rPr>
      </w:pPr>
    </w:p>
    <w:p w:rsidR="00031E28" w:rsidRPr="00ED3CC9" w:rsidRDefault="00031E28" w:rsidP="00ED3CC9">
      <w:pPr>
        <w:spacing w:before="120"/>
        <w:ind w:right="-316"/>
        <w:jc w:val="center"/>
        <w:rPr>
          <w:rFonts w:cs="Verdana Bold"/>
          <w:b/>
          <w:bCs/>
          <w:caps/>
          <w:szCs w:val="20"/>
        </w:rPr>
      </w:pPr>
      <w:r w:rsidRPr="00ED3CC9">
        <w:rPr>
          <w:rFonts w:cs="Verdana Bold"/>
          <w:b/>
          <w:bCs/>
          <w:caps/>
          <w:szCs w:val="20"/>
        </w:rPr>
        <w:t>Resolución del Presidente de la</w:t>
      </w:r>
    </w:p>
    <w:p w:rsidR="00031E28" w:rsidRPr="00ED3CC9" w:rsidRDefault="00031E28" w:rsidP="00ED3CC9">
      <w:pPr>
        <w:spacing w:before="120"/>
        <w:ind w:right="-316"/>
        <w:jc w:val="center"/>
        <w:rPr>
          <w:rFonts w:cs="Verdana Bold"/>
          <w:b/>
          <w:bCs/>
          <w:caps/>
          <w:szCs w:val="20"/>
        </w:rPr>
      </w:pPr>
      <w:r w:rsidRPr="00ED3CC9">
        <w:rPr>
          <w:rFonts w:cs="Verdana Bold"/>
          <w:b/>
          <w:bCs/>
          <w:caps/>
          <w:szCs w:val="20"/>
        </w:rPr>
        <w:t>Corte Interamericana de Derechos Humanos</w:t>
      </w:r>
    </w:p>
    <w:p w:rsidR="00DD161B" w:rsidRPr="00ED3CC9" w:rsidRDefault="00DD161B" w:rsidP="00ED3CC9">
      <w:pPr>
        <w:spacing w:before="120"/>
        <w:ind w:right="-316"/>
        <w:rPr>
          <w:rFonts w:cs="Verdana Bold"/>
          <w:b/>
          <w:bCs/>
          <w:caps/>
          <w:szCs w:val="20"/>
        </w:rPr>
      </w:pPr>
    </w:p>
    <w:p w:rsidR="00DD161B" w:rsidRPr="00ED3CC9" w:rsidRDefault="00F805DF" w:rsidP="00ED3CC9">
      <w:pPr>
        <w:spacing w:before="120"/>
        <w:ind w:right="-316"/>
        <w:jc w:val="center"/>
        <w:rPr>
          <w:rFonts w:cs="Verdana Bold"/>
          <w:b/>
          <w:bCs/>
          <w:caps/>
          <w:szCs w:val="20"/>
        </w:rPr>
      </w:pPr>
      <w:r w:rsidRPr="00ED3CC9">
        <w:rPr>
          <w:rFonts w:cs="Verdana Bold"/>
          <w:b/>
          <w:bCs/>
          <w:caps/>
          <w:szCs w:val="20"/>
        </w:rPr>
        <w:t xml:space="preserve">dE </w:t>
      </w:r>
      <w:r w:rsidR="00717FDA">
        <w:rPr>
          <w:rFonts w:cs="Verdana Bold"/>
          <w:b/>
          <w:bCs/>
          <w:caps/>
          <w:szCs w:val="20"/>
        </w:rPr>
        <w:t>06</w:t>
      </w:r>
      <w:r w:rsidR="00717FDA" w:rsidRPr="00ED3CC9">
        <w:rPr>
          <w:rFonts w:cs="Verdana Bold"/>
          <w:b/>
          <w:bCs/>
          <w:caps/>
          <w:szCs w:val="20"/>
        </w:rPr>
        <w:t xml:space="preserve"> </w:t>
      </w:r>
      <w:r w:rsidR="00DD161B" w:rsidRPr="00ED3CC9">
        <w:rPr>
          <w:rFonts w:cs="Verdana Bold"/>
          <w:b/>
          <w:bCs/>
          <w:caps/>
          <w:szCs w:val="20"/>
        </w:rPr>
        <w:t xml:space="preserve">DE </w:t>
      </w:r>
      <w:r w:rsidR="0045219B" w:rsidRPr="00ED3CC9">
        <w:rPr>
          <w:rFonts w:cs="Verdana Bold"/>
          <w:b/>
          <w:bCs/>
          <w:caps/>
          <w:szCs w:val="20"/>
        </w:rPr>
        <w:t>Ju</w:t>
      </w:r>
      <w:r w:rsidR="00CC1448">
        <w:rPr>
          <w:rFonts w:cs="Verdana Bold"/>
          <w:b/>
          <w:bCs/>
          <w:caps/>
          <w:szCs w:val="20"/>
        </w:rPr>
        <w:t>l</w:t>
      </w:r>
      <w:r w:rsidR="0045219B" w:rsidRPr="00ED3CC9">
        <w:rPr>
          <w:rFonts w:cs="Verdana Bold"/>
          <w:b/>
          <w:bCs/>
          <w:caps/>
          <w:szCs w:val="20"/>
        </w:rPr>
        <w:t>io</w:t>
      </w:r>
      <w:r w:rsidR="00DD161B" w:rsidRPr="00ED3CC9">
        <w:rPr>
          <w:rFonts w:cs="Verdana Bold"/>
          <w:b/>
          <w:bCs/>
          <w:caps/>
          <w:szCs w:val="20"/>
        </w:rPr>
        <w:t xml:space="preserve"> </w:t>
      </w:r>
      <w:r w:rsidR="00E553F3" w:rsidRPr="00ED3CC9">
        <w:rPr>
          <w:rFonts w:cs="Verdana Bold"/>
          <w:b/>
          <w:bCs/>
          <w:caps/>
          <w:szCs w:val="20"/>
        </w:rPr>
        <w:t xml:space="preserve">de </w:t>
      </w:r>
      <w:r w:rsidR="0045219B" w:rsidRPr="00ED3CC9">
        <w:rPr>
          <w:rFonts w:cs="Verdana Bold"/>
          <w:b/>
          <w:bCs/>
          <w:caps/>
          <w:szCs w:val="20"/>
        </w:rPr>
        <w:t>2017</w:t>
      </w:r>
    </w:p>
    <w:p w:rsidR="00DD161B" w:rsidRPr="00ED3CC9" w:rsidRDefault="00DD161B" w:rsidP="00ED3CC9">
      <w:pPr>
        <w:spacing w:before="120"/>
        <w:ind w:right="-316"/>
        <w:rPr>
          <w:rFonts w:cs="Verdana Bold"/>
          <w:b/>
          <w:bCs/>
          <w:caps/>
          <w:szCs w:val="20"/>
        </w:rPr>
      </w:pPr>
    </w:p>
    <w:p w:rsidR="00DD161B" w:rsidRPr="00ED3CC9" w:rsidRDefault="000C0157" w:rsidP="00ED3CC9">
      <w:pPr>
        <w:spacing w:before="120"/>
        <w:ind w:right="-316"/>
        <w:jc w:val="center"/>
        <w:rPr>
          <w:rFonts w:cs="Verdana Bold"/>
          <w:b/>
          <w:bCs/>
          <w:caps/>
          <w:szCs w:val="20"/>
        </w:rPr>
      </w:pPr>
      <w:r w:rsidRPr="00ED3CC9">
        <w:rPr>
          <w:rFonts w:cs="Verdana Bold"/>
          <w:b/>
          <w:bCs/>
          <w:caps/>
          <w:szCs w:val="20"/>
        </w:rPr>
        <w:t xml:space="preserve">CASO </w:t>
      </w:r>
      <w:r w:rsidR="00315794" w:rsidRPr="00ED3CC9">
        <w:rPr>
          <w:rFonts w:cs="Verdana Bold"/>
          <w:b/>
          <w:bCs/>
          <w:caps/>
          <w:szCs w:val="20"/>
        </w:rPr>
        <w:t>CARVAJAL CARVAJAL Y FAMILIA</w:t>
      </w:r>
      <w:r w:rsidR="00031E28" w:rsidRPr="00ED3CC9">
        <w:rPr>
          <w:rFonts w:cs="Verdana Bold"/>
          <w:b/>
          <w:bCs/>
          <w:caps/>
          <w:szCs w:val="20"/>
        </w:rPr>
        <w:t xml:space="preserve"> vs. Colombia</w:t>
      </w:r>
      <w:r w:rsidR="0007243F" w:rsidRPr="00ED3CC9">
        <w:rPr>
          <w:rFonts w:cs="Verdana Bold"/>
          <w:b/>
          <w:bCs/>
          <w:caps/>
          <w:szCs w:val="20"/>
        </w:rPr>
        <w:t xml:space="preserve"> </w:t>
      </w:r>
    </w:p>
    <w:p w:rsidR="005573AD" w:rsidRPr="00ED3CC9" w:rsidRDefault="005573AD" w:rsidP="00ED3CC9">
      <w:pPr>
        <w:spacing w:before="120"/>
        <w:jc w:val="center"/>
        <w:rPr>
          <w:b/>
          <w:caps/>
          <w:szCs w:val="20"/>
          <w:lang w:val="es-CR"/>
        </w:rPr>
      </w:pPr>
      <w:r w:rsidRPr="00ED3CC9">
        <w:rPr>
          <w:b/>
          <w:caps/>
          <w:szCs w:val="20"/>
          <w:lang w:val="es-CR"/>
        </w:rPr>
        <w:t>CONVOCATORIA A AUDIENCIA</w:t>
      </w:r>
    </w:p>
    <w:p w:rsidR="00DD161B" w:rsidRPr="00ED3CC9" w:rsidRDefault="00DD161B" w:rsidP="00ED3CC9">
      <w:pPr>
        <w:spacing w:before="120"/>
        <w:rPr>
          <w:rFonts w:cs="Verdana"/>
          <w:b/>
          <w:bCs/>
          <w:caps/>
          <w:szCs w:val="20"/>
        </w:rPr>
      </w:pPr>
    </w:p>
    <w:p w:rsidR="00A6631C" w:rsidRPr="00ED3CC9" w:rsidRDefault="00A6631C" w:rsidP="00ED3CC9">
      <w:pPr>
        <w:spacing w:before="120"/>
        <w:rPr>
          <w:rFonts w:cs="Verdana"/>
          <w:b/>
          <w:bCs/>
          <w:caps/>
          <w:szCs w:val="20"/>
        </w:rPr>
      </w:pPr>
    </w:p>
    <w:p w:rsidR="00DD161B" w:rsidRPr="00ED3CC9" w:rsidRDefault="00DD161B" w:rsidP="00ED3CC9">
      <w:pPr>
        <w:spacing w:before="120"/>
        <w:rPr>
          <w:rFonts w:cs="Verdana"/>
          <w:b/>
          <w:bCs/>
          <w:caps/>
          <w:szCs w:val="20"/>
        </w:rPr>
      </w:pPr>
      <w:r w:rsidRPr="00ED3CC9">
        <w:rPr>
          <w:rFonts w:cs="Verdana"/>
          <w:b/>
          <w:bCs/>
          <w:caps/>
          <w:szCs w:val="20"/>
        </w:rPr>
        <w:t>Visto:</w:t>
      </w:r>
    </w:p>
    <w:p w:rsidR="00DD161B" w:rsidRPr="00ED3CC9" w:rsidRDefault="00DD161B" w:rsidP="00ED3CC9">
      <w:pPr>
        <w:spacing w:before="120"/>
        <w:rPr>
          <w:rFonts w:cs="Verdana"/>
          <w:b/>
          <w:bCs/>
          <w:caps/>
          <w:szCs w:val="20"/>
        </w:rPr>
      </w:pPr>
    </w:p>
    <w:p w:rsidR="00142A36" w:rsidRPr="00ED3CC9" w:rsidRDefault="0063747A" w:rsidP="00ED3CC9">
      <w:pPr>
        <w:pStyle w:val="ListParagraph"/>
        <w:widowControl w:val="0"/>
        <w:numPr>
          <w:ilvl w:val="0"/>
          <w:numId w:val="4"/>
        </w:numPr>
        <w:tabs>
          <w:tab w:val="left" w:pos="567"/>
        </w:tabs>
        <w:autoSpaceDE w:val="0"/>
        <w:autoSpaceDN w:val="0"/>
        <w:adjustRightInd w:val="0"/>
        <w:spacing w:before="120"/>
        <w:ind w:left="0" w:right="22" w:firstLine="0"/>
        <w:contextualSpacing w:val="0"/>
        <w:rPr>
          <w:szCs w:val="20"/>
          <w:lang w:val="es-CR"/>
        </w:rPr>
      </w:pPr>
      <w:bookmarkStart w:id="1" w:name="_Ref393297742"/>
      <w:bookmarkStart w:id="2" w:name="_Ref352676460"/>
      <w:bookmarkStart w:id="3" w:name="_Ref393297780"/>
      <w:bookmarkStart w:id="4" w:name="_Ref393920719"/>
      <w:r w:rsidRPr="00ED3CC9">
        <w:rPr>
          <w:szCs w:val="20"/>
          <w:lang w:val="es-CR"/>
        </w:rPr>
        <w:t>El escrito de sometimiento del caso y el Informe de Fondo de la Comisión Interamericana de Derechos Humanos (en adelante “la Comisión Interamericana” o “la Comisión”)</w:t>
      </w:r>
      <w:bookmarkEnd w:id="1"/>
      <w:r w:rsidRPr="00ED3CC9">
        <w:rPr>
          <w:szCs w:val="20"/>
          <w:lang w:val="es-CR"/>
        </w:rPr>
        <w:t xml:space="preserve">; </w:t>
      </w:r>
      <w:bookmarkStart w:id="5" w:name="_Ref351983508"/>
      <w:bookmarkStart w:id="6" w:name="_Ref393297751"/>
      <w:bookmarkEnd w:id="2"/>
      <w:r w:rsidRPr="00ED3CC9">
        <w:rPr>
          <w:szCs w:val="20"/>
          <w:lang w:val="es-CR"/>
        </w:rPr>
        <w:t>el escrito de solicitudes, argumentos y pruebas (en adelante el “escrito de solicitudes y argumentos”)</w:t>
      </w:r>
      <w:r w:rsidR="00031E28" w:rsidRPr="00ED3CC9">
        <w:rPr>
          <w:szCs w:val="20"/>
          <w:lang w:val="es-CR"/>
        </w:rPr>
        <w:t xml:space="preserve"> </w:t>
      </w:r>
      <w:r w:rsidRPr="00ED3CC9">
        <w:rPr>
          <w:szCs w:val="20"/>
          <w:lang w:val="es-CL" w:eastAsia="en-US"/>
        </w:rPr>
        <w:t>de los representantes</w:t>
      </w:r>
      <w:r w:rsidR="00031E28" w:rsidRPr="00ED3CC9">
        <w:rPr>
          <w:rStyle w:val="FootnoteReference"/>
          <w:szCs w:val="20"/>
          <w:lang w:val="es-CL" w:eastAsia="en-US"/>
        </w:rPr>
        <w:t xml:space="preserve"> </w:t>
      </w:r>
      <w:r w:rsidR="00031E28" w:rsidRPr="00ED3CC9">
        <w:rPr>
          <w:szCs w:val="20"/>
          <w:lang w:val="es-CL" w:eastAsia="en-US"/>
        </w:rPr>
        <w:t>de las presuntas víctimas</w:t>
      </w:r>
      <w:r w:rsidRPr="00ED3CC9">
        <w:rPr>
          <w:szCs w:val="20"/>
          <w:lang w:val="es-CR"/>
        </w:rPr>
        <w:t xml:space="preserve"> (en adelante “</w:t>
      </w:r>
      <w:r w:rsidR="00031E28" w:rsidRPr="00ED3CC9">
        <w:rPr>
          <w:szCs w:val="20"/>
          <w:lang w:val="es-CR"/>
        </w:rPr>
        <w:t>los representantes</w:t>
      </w:r>
      <w:r w:rsidR="00114020" w:rsidRPr="00ED3CC9">
        <w:rPr>
          <w:szCs w:val="20"/>
          <w:lang w:val="es-CR"/>
        </w:rPr>
        <w:t>”), y</w:t>
      </w:r>
      <w:r w:rsidRPr="00ED3CC9">
        <w:rPr>
          <w:szCs w:val="20"/>
          <w:lang w:val="es-CR"/>
        </w:rPr>
        <w:t xml:space="preserve"> </w:t>
      </w:r>
      <w:bookmarkStart w:id="7" w:name="_Ref352676532"/>
      <w:bookmarkEnd w:id="5"/>
      <w:bookmarkEnd w:id="6"/>
      <w:r w:rsidR="00031E28" w:rsidRPr="00ED3CC9">
        <w:rPr>
          <w:szCs w:val="20"/>
          <w:lang w:val="es-CR"/>
        </w:rPr>
        <w:t>e</w:t>
      </w:r>
      <w:r w:rsidRPr="00ED3CC9">
        <w:rPr>
          <w:szCs w:val="20"/>
          <w:lang w:val="es-CR"/>
        </w:rPr>
        <w:t xml:space="preserve">l escrito de contestación al sometimiento del caso y al escrito de solicitudes y argumentos (en adelante “escrito de contestación”) del Estado de </w:t>
      </w:r>
      <w:r w:rsidR="00031E28" w:rsidRPr="00ED3CC9">
        <w:rPr>
          <w:szCs w:val="20"/>
          <w:lang w:val="es-CR"/>
        </w:rPr>
        <w:t>Colombia</w:t>
      </w:r>
      <w:r w:rsidRPr="00ED3CC9">
        <w:rPr>
          <w:szCs w:val="20"/>
          <w:lang w:val="es-CR"/>
        </w:rPr>
        <w:t xml:space="preserve"> (en adelante “</w:t>
      </w:r>
      <w:r w:rsidR="00E44575" w:rsidRPr="00ED3CC9">
        <w:rPr>
          <w:szCs w:val="20"/>
          <w:lang w:val="es-CR"/>
        </w:rPr>
        <w:t>Colombia</w:t>
      </w:r>
      <w:r w:rsidRPr="00ED3CC9">
        <w:rPr>
          <w:szCs w:val="20"/>
          <w:lang w:val="es-CR"/>
        </w:rPr>
        <w:t>” o “el Estado”)</w:t>
      </w:r>
      <w:bookmarkEnd w:id="7"/>
      <w:r w:rsidR="00114020" w:rsidRPr="00ED3CC9">
        <w:rPr>
          <w:szCs w:val="20"/>
          <w:lang w:val="es-CR"/>
        </w:rPr>
        <w:t>.</w:t>
      </w:r>
    </w:p>
    <w:bookmarkEnd w:id="3"/>
    <w:p w:rsidR="00142A36" w:rsidRPr="00ED3CC9" w:rsidRDefault="0063747A" w:rsidP="00ED3CC9">
      <w:pPr>
        <w:pStyle w:val="ListParagraph"/>
        <w:widowControl w:val="0"/>
        <w:numPr>
          <w:ilvl w:val="0"/>
          <w:numId w:val="4"/>
        </w:numPr>
        <w:tabs>
          <w:tab w:val="left" w:pos="567"/>
        </w:tabs>
        <w:autoSpaceDE w:val="0"/>
        <w:autoSpaceDN w:val="0"/>
        <w:adjustRightInd w:val="0"/>
        <w:spacing w:before="120"/>
        <w:ind w:left="0" w:right="22" w:firstLine="0"/>
        <w:contextualSpacing w:val="0"/>
        <w:rPr>
          <w:szCs w:val="20"/>
          <w:lang w:val="es-CR"/>
        </w:rPr>
      </w:pPr>
      <w:r w:rsidRPr="00ED3CC9">
        <w:rPr>
          <w:szCs w:val="20"/>
          <w:lang w:val="es-CR"/>
        </w:rPr>
        <w:t xml:space="preserve">Las listas definitivas de declarantes presentadas por </w:t>
      </w:r>
      <w:r w:rsidR="00031E28" w:rsidRPr="00ED3CC9">
        <w:rPr>
          <w:szCs w:val="20"/>
          <w:lang w:val="es-CR"/>
        </w:rPr>
        <w:t>l</w:t>
      </w:r>
      <w:r w:rsidR="00455881" w:rsidRPr="00ED3CC9">
        <w:rPr>
          <w:szCs w:val="20"/>
          <w:lang w:val="es-CR"/>
        </w:rPr>
        <w:t xml:space="preserve">as partes y </w:t>
      </w:r>
      <w:r w:rsidRPr="00ED3CC9">
        <w:rPr>
          <w:szCs w:val="20"/>
          <w:lang w:val="es-CR"/>
        </w:rPr>
        <w:t>la Comisión y las correspondientes observaciones a dichas listas</w:t>
      </w:r>
      <w:r w:rsidR="006B6B39" w:rsidRPr="00ED3CC9">
        <w:rPr>
          <w:szCs w:val="20"/>
          <w:lang w:val="es-CR"/>
        </w:rPr>
        <w:t xml:space="preserve"> presentadas por el Estado</w:t>
      </w:r>
      <w:r w:rsidR="00085A48" w:rsidRPr="00ED3CC9">
        <w:rPr>
          <w:szCs w:val="20"/>
          <w:lang w:val="es-CR"/>
        </w:rPr>
        <w:t>.</w:t>
      </w:r>
      <w:bookmarkEnd w:id="4"/>
      <w:r w:rsidR="005D31F6" w:rsidRPr="00ED3CC9">
        <w:rPr>
          <w:szCs w:val="20"/>
          <w:lang w:val="es-CR"/>
        </w:rPr>
        <w:t xml:space="preserve"> </w:t>
      </w:r>
      <w:r w:rsidR="00210E2D" w:rsidRPr="00ED3CC9">
        <w:rPr>
          <w:szCs w:val="20"/>
          <w:lang w:val="es-CR"/>
        </w:rPr>
        <w:t xml:space="preserve">La Comisión señaló que “no tiene observaciones a las listas definitivas presentadas por las partes”. </w:t>
      </w:r>
      <w:r w:rsidR="005D31F6" w:rsidRPr="00ED3CC9">
        <w:rPr>
          <w:szCs w:val="20"/>
          <w:lang w:val="es-CR"/>
        </w:rPr>
        <w:t>Los representantes no presentaron observaciones a las mencionadas listas definitivas de declarantes.</w:t>
      </w:r>
    </w:p>
    <w:p w:rsidR="00352E7F" w:rsidRPr="00ED3CC9" w:rsidRDefault="00352E7F" w:rsidP="00ED3CC9">
      <w:pPr>
        <w:spacing w:before="120"/>
        <w:rPr>
          <w:rFonts w:cs="Verdana"/>
          <w:b/>
          <w:bCs/>
          <w:caps/>
          <w:szCs w:val="20"/>
          <w:lang w:val="es-CR"/>
        </w:rPr>
      </w:pPr>
    </w:p>
    <w:p w:rsidR="00DD161B" w:rsidRPr="00ED3CC9" w:rsidRDefault="00DD161B" w:rsidP="00ED3CC9">
      <w:pPr>
        <w:autoSpaceDE w:val="0"/>
        <w:autoSpaceDN w:val="0"/>
        <w:adjustRightInd w:val="0"/>
        <w:spacing w:before="120"/>
        <w:jc w:val="left"/>
        <w:rPr>
          <w:rFonts w:eastAsia="Times New Roman" w:cs="Verdana"/>
          <w:b/>
          <w:bCs/>
          <w:szCs w:val="20"/>
          <w:lang w:val="es-CL" w:eastAsia="en-US"/>
        </w:rPr>
      </w:pPr>
      <w:r w:rsidRPr="00ED3CC9">
        <w:rPr>
          <w:rFonts w:eastAsia="Times New Roman" w:cs="Verdana"/>
          <w:b/>
          <w:bCs/>
          <w:szCs w:val="20"/>
          <w:lang w:val="es-CL" w:eastAsia="en-US"/>
        </w:rPr>
        <w:t>CONSIDERANDO QUE:</w:t>
      </w:r>
    </w:p>
    <w:p w:rsidR="00DD161B" w:rsidRPr="00ED3CC9" w:rsidRDefault="00DD161B" w:rsidP="00ED3CC9">
      <w:pPr>
        <w:autoSpaceDE w:val="0"/>
        <w:autoSpaceDN w:val="0"/>
        <w:adjustRightInd w:val="0"/>
        <w:spacing w:before="120"/>
        <w:jc w:val="left"/>
        <w:rPr>
          <w:rFonts w:eastAsia="Times New Roman" w:cs="Verdana"/>
          <w:b/>
          <w:bCs/>
          <w:szCs w:val="20"/>
          <w:lang w:val="es-CL" w:eastAsia="en-US"/>
        </w:rPr>
      </w:pPr>
    </w:p>
    <w:p w:rsidR="00DD161B" w:rsidRPr="00ED3CC9" w:rsidRDefault="00DD161B" w:rsidP="00ED3CC9">
      <w:pPr>
        <w:numPr>
          <w:ilvl w:val="0"/>
          <w:numId w:val="1"/>
        </w:numPr>
        <w:tabs>
          <w:tab w:val="clear" w:pos="720"/>
        </w:tabs>
        <w:autoSpaceDE w:val="0"/>
        <w:autoSpaceDN w:val="0"/>
        <w:adjustRightInd w:val="0"/>
        <w:spacing w:before="120"/>
        <w:rPr>
          <w:rFonts w:eastAsia="Times New Roman" w:cs="Verdana"/>
          <w:szCs w:val="20"/>
          <w:lang w:val="es-CL" w:eastAsia="en-US"/>
        </w:rPr>
      </w:pPr>
      <w:r w:rsidRPr="00ED3CC9">
        <w:rPr>
          <w:rFonts w:eastAsia="Times New Roman" w:cs="Verdana"/>
          <w:szCs w:val="20"/>
          <w:lang w:val="es-CL" w:eastAsia="en-US"/>
        </w:rPr>
        <w:t>El ofrecimiento y la admisión de la prueba, así como la</w:t>
      </w:r>
      <w:r w:rsidR="00460A53" w:rsidRPr="00ED3CC9">
        <w:rPr>
          <w:rFonts w:eastAsia="Times New Roman" w:cs="Verdana"/>
          <w:szCs w:val="20"/>
          <w:lang w:val="es-CL" w:eastAsia="en-US"/>
        </w:rPr>
        <w:t xml:space="preserve"> citación de testigos y peritos</w:t>
      </w:r>
      <w:r w:rsidRPr="00ED3CC9">
        <w:rPr>
          <w:rFonts w:eastAsia="Times New Roman" w:cs="Verdana"/>
          <w:szCs w:val="20"/>
          <w:lang w:val="es-CL" w:eastAsia="en-US"/>
        </w:rPr>
        <w:t xml:space="preserve"> se encuentran regulados en los artículos 35.1.f, 40.2.c, 41.1.c, 46, 48, 50, y </w:t>
      </w:r>
      <w:r w:rsidR="0054725F">
        <w:rPr>
          <w:rFonts w:eastAsia="Times New Roman" w:cs="Verdana"/>
          <w:szCs w:val="20"/>
          <w:lang w:val="es-CL" w:eastAsia="en-US"/>
        </w:rPr>
        <w:t>57 del Reglamento del Tribunal.</w:t>
      </w:r>
    </w:p>
    <w:p w:rsidR="00210E2D" w:rsidRPr="00ED3CC9" w:rsidRDefault="00A36AD2" w:rsidP="00ED3CC9">
      <w:pPr>
        <w:numPr>
          <w:ilvl w:val="0"/>
          <w:numId w:val="1"/>
        </w:numPr>
        <w:autoSpaceDE w:val="0"/>
        <w:autoSpaceDN w:val="0"/>
        <w:adjustRightInd w:val="0"/>
        <w:spacing w:before="120"/>
        <w:rPr>
          <w:bCs/>
          <w:iCs/>
          <w:szCs w:val="20"/>
          <w:lang w:val="es-CR"/>
        </w:rPr>
      </w:pPr>
      <w:r w:rsidRPr="00ED3CC9">
        <w:rPr>
          <w:bCs/>
          <w:iCs/>
          <w:szCs w:val="20"/>
          <w:lang w:val="es-CR"/>
        </w:rPr>
        <w:t xml:space="preserve">Los representantes ofrecieron las declaraciones </w:t>
      </w:r>
      <w:r w:rsidR="005D31F6" w:rsidRPr="00ED3CC9">
        <w:rPr>
          <w:bCs/>
          <w:iCs/>
          <w:szCs w:val="20"/>
          <w:lang w:val="es-CR"/>
        </w:rPr>
        <w:t xml:space="preserve">de </w:t>
      </w:r>
      <w:r w:rsidR="00C51330" w:rsidRPr="00ED3CC9">
        <w:rPr>
          <w:bCs/>
          <w:iCs/>
          <w:szCs w:val="20"/>
          <w:lang w:val="es-CR"/>
        </w:rPr>
        <w:t>catorce</w:t>
      </w:r>
      <w:r w:rsidR="005D31F6" w:rsidRPr="00ED3CC9">
        <w:rPr>
          <w:bCs/>
          <w:iCs/>
          <w:szCs w:val="20"/>
          <w:lang w:val="es-CR"/>
        </w:rPr>
        <w:t xml:space="preserve"> </w:t>
      </w:r>
      <w:r w:rsidR="00352E7F" w:rsidRPr="00ED3CC9">
        <w:rPr>
          <w:bCs/>
          <w:iCs/>
          <w:szCs w:val="20"/>
          <w:lang w:val="es-CR"/>
        </w:rPr>
        <w:t>(1</w:t>
      </w:r>
      <w:r w:rsidR="00C51330" w:rsidRPr="00ED3CC9">
        <w:rPr>
          <w:bCs/>
          <w:iCs/>
          <w:szCs w:val="20"/>
          <w:lang w:val="es-CR"/>
        </w:rPr>
        <w:t>4</w:t>
      </w:r>
      <w:r w:rsidR="00FA476D" w:rsidRPr="00ED3CC9">
        <w:rPr>
          <w:bCs/>
          <w:iCs/>
          <w:szCs w:val="20"/>
          <w:lang w:val="es-CR"/>
        </w:rPr>
        <w:t>)</w:t>
      </w:r>
      <w:r w:rsidR="00667A03" w:rsidRPr="00ED3CC9">
        <w:rPr>
          <w:bCs/>
          <w:iCs/>
          <w:szCs w:val="20"/>
          <w:lang w:val="es-CR"/>
        </w:rPr>
        <w:t xml:space="preserve"> </w:t>
      </w:r>
      <w:r w:rsidRPr="00ED3CC9">
        <w:rPr>
          <w:bCs/>
          <w:iCs/>
          <w:szCs w:val="20"/>
          <w:lang w:val="es-CR"/>
        </w:rPr>
        <w:t>presunta</w:t>
      </w:r>
      <w:r w:rsidR="00667A03" w:rsidRPr="00ED3CC9">
        <w:rPr>
          <w:bCs/>
          <w:iCs/>
          <w:szCs w:val="20"/>
          <w:lang w:val="es-CR"/>
        </w:rPr>
        <w:t>s</w:t>
      </w:r>
      <w:r w:rsidRPr="00ED3CC9">
        <w:rPr>
          <w:bCs/>
          <w:iCs/>
          <w:szCs w:val="20"/>
          <w:lang w:val="es-CR"/>
        </w:rPr>
        <w:t xml:space="preserve"> víctima</w:t>
      </w:r>
      <w:r w:rsidR="00667A03" w:rsidRPr="00ED3CC9">
        <w:rPr>
          <w:bCs/>
          <w:iCs/>
          <w:szCs w:val="20"/>
          <w:lang w:val="es-CR"/>
        </w:rPr>
        <w:t>s</w:t>
      </w:r>
      <w:r w:rsidR="002A5D95" w:rsidRPr="00ED3CC9">
        <w:rPr>
          <w:bCs/>
          <w:iCs/>
          <w:szCs w:val="20"/>
          <w:lang w:val="es-CR"/>
        </w:rPr>
        <w:t xml:space="preserve">, </w:t>
      </w:r>
      <w:r w:rsidR="00352E7F" w:rsidRPr="00ED3CC9">
        <w:rPr>
          <w:bCs/>
          <w:iCs/>
          <w:szCs w:val="20"/>
          <w:lang w:val="es-CR"/>
        </w:rPr>
        <w:t>tres</w:t>
      </w:r>
      <w:r w:rsidR="002A5D95" w:rsidRPr="00ED3CC9">
        <w:rPr>
          <w:bCs/>
          <w:iCs/>
          <w:szCs w:val="20"/>
          <w:lang w:val="es-CR"/>
        </w:rPr>
        <w:t xml:space="preserve"> (</w:t>
      </w:r>
      <w:r w:rsidR="00352E7F" w:rsidRPr="00ED3CC9">
        <w:rPr>
          <w:bCs/>
          <w:iCs/>
          <w:szCs w:val="20"/>
          <w:lang w:val="es-CR"/>
        </w:rPr>
        <w:t>3</w:t>
      </w:r>
      <w:r w:rsidR="002A5D95" w:rsidRPr="00ED3CC9">
        <w:rPr>
          <w:bCs/>
          <w:iCs/>
          <w:szCs w:val="20"/>
          <w:lang w:val="es-CR"/>
        </w:rPr>
        <w:t>) testigo</w:t>
      </w:r>
      <w:r w:rsidR="00460A53" w:rsidRPr="00ED3CC9">
        <w:rPr>
          <w:bCs/>
          <w:iCs/>
          <w:szCs w:val="20"/>
          <w:lang w:val="es-CR"/>
        </w:rPr>
        <w:t>s</w:t>
      </w:r>
      <w:r w:rsidRPr="00ED3CC9">
        <w:rPr>
          <w:bCs/>
          <w:iCs/>
          <w:szCs w:val="20"/>
          <w:lang w:val="es-CR"/>
        </w:rPr>
        <w:t xml:space="preserve"> y </w:t>
      </w:r>
      <w:r w:rsidR="0017550A" w:rsidRPr="00ED3CC9">
        <w:rPr>
          <w:bCs/>
          <w:iCs/>
          <w:szCs w:val="20"/>
          <w:lang w:val="es-CR"/>
        </w:rPr>
        <w:t>tres</w:t>
      </w:r>
      <w:r w:rsidR="002A5D95" w:rsidRPr="00ED3CC9">
        <w:rPr>
          <w:bCs/>
          <w:iCs/>
          <w:szCs w:val="20"/>
          <w:lang w:val="es-CR"/>
        </w:rPr>
        <w:t xml:space="preserve"> </w:t>
      </w:r>
      <w:r w:rsidR="00667A03" w:rsidRPr="00ED3CC9">
        <w:rPr>
          <w:bCs/>
          <w:iCs/>
          <w:szCs w:val="20"/>
          <w:lang w:val="es-CR"/>
        </w:rPr>
        <w:t>(</w:t>
      </w:r>
      <w:r w:rsidR="0017550A" w:rsidRPr="00ED3CC9">
        <w:rPr>
          <w:bCs/>
          <w:iCs/>
          <w:szCs w:val="20"/>
          <w:lang w:val="es-CR"/>
        </w:rPr>
        <w:t>3</w:t>
      </w:r>
      <w:r w:rsidR="00667A03" w:rsidRPr="00ED3CC9">
        <w:rPr>
          <w:bCs/>
          <w:iCs/>
          <w:szCs w:val="20"/>
          <w:lang w:val="es-CR"/>
        </w:rPr>
        <w:t>)</w:t>
      </w:r>
      <w:r w:rsidRPr="00ED3CC9">
        <w:rPr>
          <w:bCs/>
          <w:iCs/>
          <w:szCs w:val="20"/>
          <w:lang w:val="es-CR"/>
        </w:rPr>
        <w:t xml:space="preserve"> </w:t>
      </w:r>
      <w:r w:rsidR="002B7206" w:rsidRPr="00ED3CC9">
        <w:rPr>
          <w:bCs/>
          <w:iCs/>
          <w:szCs w:val="20"/>
          <w:lang w:val="es-CR"/>
        </w:rPr>
        <w:t>peritos</w:t>
      </w:r>
      <w:r w:rsidRPr="00ED3CC9">
        <w:rPr>
          <w:bCs/>
          <w:iCs/>
          <w:szCs w:val="20"/>
          <w:lang w:val="es-CR"/>
        </w:rPr>
        <w:t>.</w:t>
      </w:r>
      <w:r w:rsidR="00A207B0" w:rsidRPr="00ED3CC9">
        <w:rPr>
          <w:bCs/>
          <w:iCs/>
          <w:szCs w:val="20"/>
          <w:lang w:val="es-CR"/>
        </w:rPr>
        <w:t xml:space="preserve"> </w:t>
      </w:r>
      <w:r w:rsidRPr="00ED3CC9">
        <w:rPr>
          <w:bCs/>
          <w:iCs/>
          <w:szCs w:val="20"/>
          <w:lang w:val="es-CR"/>
        </w:rPr>
        <w:t xml:space="preserve">El Estado ofreció las declaraciones de </w:t>
      </w:r>
      <w:r w:rsidR="005D31F6" w:rsidRPr="00ED3CC9">
        <w:rPr>
          <w:bCs/>
          <w:iCs/>
          <w:szCs w:val="20"/>
          <w:lang w:val="es-CR"/>
        </w:rPr>
        <w:t>cuatro</w:t>
      </w:r>
      <w:r w:rsidRPr="00ED3CC9">
        <w:rPr>
          <w:bCs/>
          <w:iCs/>
          <w:szCs w:val="20"/>
          <w:lang w:val="es-CR"/>
        </w:rPr>
        <w:t xml:space="preserve"> (</w:t>
      </w:r>
      <w:r w:rsidR="005D31F6" w:rsidRPr="00ED3CC9">
        <w:rPr>
          <w:bCs/>
          <w:iCs/>
          <w:szCs w:val="20"/>
          <w:lang w:val="es-CR"/>
        </w:rPr>
        <w:t>4</w:t>
      </w:r>
      <w:r w:rsidR="0017550A" w:rsidRPr="00ED3CC9">
        <w:rPr>
          <w:bCs/>
          <w:iCs/>
          <w:szCs w:val="20"/>
          <w:lang w:val="es-CR"/>
        </w:rPr>
        <w:t>) testigo</w:t>
      </w:r>
      <w:r w:rsidR="005D31F6" w:rsidRPr="00ED3CC9">
        <w:rPr>
          <w:bCs/>
          <w:iCs/>
          <w:szCs w:val="20"/>
          <w:lang w:val="es-CR"/>
        </w:rPr>
        <w:t>s</w:t>
      </w:r>
      <w:r w:rsidRPr="00ED3CC9">
        <w:rPr>
          <w:bCs/>
          <w:iCs/>
          <w:szCs w:val="20"/>
          <w:lang w:val="es-CR"/>
        </w:rPr>
        <w:t xml:space="preserve"> y </w:t>
      </w:r>
      <w:r w:rsidR="005D31F6" w:rsidRPr="00ED3CC9">
        <w:rPr>
          <w:bCs/>
          <w:iCs/>
          <w:szCs w:val="20"/>
          <w:lang w:val="es-CR"/>
        </w:rPr>
        <w:t>dos</w:t>
      </w:r>
      <w:r w:rsidRPr="00ED3CC9">
        <w:rPr>
          <w:bCs/>
          <w:iCs/>
          <w:szCs w:val="20"/>
          <w:lang w:val="es-CR"/>
        </w:rPr>
        <w:t xml:space="preserve"> (</w:t>
      </w:r>
      <w:r w:rsidR="005D31F6" w:rsidRPr="00ED3CC9">
        <w:rPr>
          <w:bCs/>
          <w:iCs/>
          <w:szCs w:val="20"/>
          <w:lang w:val="es-CR"/>
        </w:rPr>
        <w:t>2</w:t>
      </w:r>
      <w:r w:rsidRPr="00ED3CC9">
        <w:rPr>
          <w:bCs/>
          <w:iCs/>
          <w:szCs w:val="20"/>
          <w:lang w:val="es-CR"/>
        </w:rPr>
        <w:t xml:space="preserve">) peritos, mientras que la Comisión ofreció dos (2) dictámenes periciales. </w:t>
      </w:r>
    </w:p>
    <w:p w:rsidR="00A3632D" w:rsidRPr="00ED3CC9" w:rsidRDefault="0017550A" w:rsidP="00ED3CC9">
      <w:pPr>
        <w:numPr>
          <w:ilvl w:val="0"/>
          <w:numId w:val="1"/>
        </w:numPr>
        <w:autoSpaceDE w:val="0"/>
        <w:autoSpaceDN w:val="0"/>
        <w:adjustRightInd w:val="0"/>
        <w:spacing w:before="120"/>
        <w:rPr>
          <w:bCs/>
          <w:iCs/>
          <w:szCs w:val="20"/>
          <w:lang w:val="es-CR"/>
        </w:rPr>
      </w:pPr>
      <w:r w:rsidRPr="00ED3CC9">
        <w:rPr>
          <w:bCs/>
          <w:iCs/>
          <w:szCs w:val="20"/>
          <w:lang w:val="es-CR"/>
        </w:rPr>
        <w:t>El Estado present</w:t>
      </w:r>
      <w:r w:rsidR="004F6008" w:rsidRPr="00ED3CC9">
        <w:rPr>
          <w:bCs/>
          <w:iCs/>
          <w:szCs w:val="20"/>
          <w:lang w:val="es-CR"/>
        </w:rPr>
        <w:t xml:space="preserve">ó </w:t>
      </w:r>
      <w:r w:rsidR="001C1FD0" w:rsidRPr="00ED3CC9">
        <w:rPr>
          <w:bCs/>
          <w:iCs/>
          <w:szCs w:val="20"/>
          <w:lang w:val="es-CR"/>
        </w:rPr>
        <w:t>observaciones relacionadas con el objeto de</w:t>
      </w:r>
      <w:r w:rsidR="008A32FC" w:rsidRPr="00ED3CC9">
        <w:rPr>
          <w:bCs/>
          <w:iCs/>
          <w:szCs w:val="20"/>
          <w:lang w:val="es-CR"/>
        </w:rPr>
        <w:t xml:space="preserve"> las declaraciones periciales propuestas por la Comisión Interamericana, y con el </w:t>
      </w:r>
      <w:r w:rsidR="00187A4E" w:rsidRPr="00ED3CC9">
        <w:rPr>
          <w:bCs/>
          <w:iCs/>
          <w:szCs w:val="20"/>
          <w:lang w:val="es-CR"/>
        </w:rPr>
        <w:t xml:space="preserve">objeto </w:t>
      </w:r>
      <w:r w:rsidR="008A32FC" w:rsidRPr="00ED3CC9">
        <w:rPr>
          <w:bCs/>
          <w:iCs/>
          <w:szCs w:val="20"/>
          <w:lang w:val="es-CR"/>
        </w:rPr>
        <w:t xml:space="preserve">de las declaraciones de las presuntas víctimas, una testigo y un perito propuestas por los representantes. Asimismo, solicitó el rechazo de los peritajes propuestos por la Comisión. </w:t>
      </w:r>
      <w:r w:rsidR="00210E2D" w:rsidRPr="00ED3CC9">
        <w:rPr>
          <w:bCs/>
          <w:iCs/>
          <w:szCs w:val="20"/>
          <w:lang w:val="es-CR"/>
        </w:rPr>
        <w:t>Por su parte, la Comisión solicitó la oportunidad de formular preguntas a una perita propuesta por el Estado y a dos peritos ofrecidos por los representantes.</w:t>
      </w:r>
    </w:p>
    <w:p w:rsidR="00210E2D" w:rsidRPr="00ED3CC9" w:rsidRDefault="00210E2D" w:rsidP="00ED3CC9">
      <w:pPr>
        <w:numPr>
          <w:ilvl w:val="0"/>
          <w:numId w:val="1"/>
        </w:numPr>
        <w:autoSpaceDE w:val="0"/>
        <w:autoSpaceDN w:val="0"/>
        <w:adjustRightInd w:val="0"/>
        <w:spacing w:before="120"/>
        <w:rPr>
          <w:rFonts w:eastAsiaTheme="minorHAnsi" w:cs="Verdana"/>
          <w:color w:val="000000"/>
          <w:szCs w:val="20"/>
          <w:lang w:val="es-CR" w:eastAsia="en-US"/>
        </w:rPr>
      </w:pPr>
      <w:r w:rsidRPr="00ED3CC9">
        <w:rPr>
          <w:rFonts w:eastAsiaTheme="minorHAnsi" w:cs="Verdana"/>
          <w:color w:val="000000"/>
          <w:szCs w:val="20"/>
          <w:lang w:val="es-CR" w:eastAsia="en-US"/>
        </w:rPr>
        <w:t xml:space="preserve">En cuanto a las declaraciones que no han sido objetadas, esta Presidencia considera conveniente recabar dicha prueba, a efectos de que el Tribunal pueda apreciar su valor en la </w:t>
      </w:r>
      <w:r w:rsidRPr="00ED3CC9">
        <w:rPr>
          <w:rFonts w:eastAsiaTheme="minorHAnsi" w:cs="Verdana"/>
          <w:color w:val="000000"/>
          <w:szCs w:val="20"/>
          <w:lang w:val="es-CR" w:eastAsia="en-US"/>
        </w:rPr>
        <w:lastRenderedPageBreak/>
        <w:t xml:space="preserve">debida oportunidad procesal, dentro del contexto del acervo probatorio existente y según las reglas de la sana crítica. Por consiguiente, el Presidente admite las declaraciones de: i) </w:t>
      </w:r>
      <w:r w:rsidR="005D4851" w:rsidRPr="00ED3CC9">
        <w:rPr>
          <w:rFonts w:eastAsiaTheme="minorHAnsi" w:cs="Verdana"/>
          <w:color w:val="000000"/>
          <w:szCs w:val="20"/>
          <w:lang w:val="es-CR" w:eastAsia="en-US"/>
        </w:rPr>
        <w:t xml:space="preserve">los testigos propuestos por los representantes de las presuntas víctimas, los señores Óscar Mauricio Bolaños Carvajal y Diego Fernando Bolaños Carvajal; ii) </w:t>
      </w:r>
      <w:r w:rsidRPr="00ED3CC9">
        <w:rPr>
          <w:rFonts w:eastAsiaTheme="minorHAnsi" w:cs="Verdana"/>
          <w:color w:val="000000"/>
          <w:szCs w:val="20"/>
          <w:lang w:val="es-CR" w:eastAsia="en-US"/>
        </w:rPr>
        <w:t xml:space="preserve">los </w:t>
      </w:r>
      <w:r w:rsidR="005D4851" w:rsidRPr="00ED3CC9">
        <w:rPr>
          <w:rFonts w:eastAsiaTheme="minorHAnsi" w:cs="Verdana"/>
          <w:color w:val="000000"/>
          <w:szCs w:val="20"/>
          <w:lang w:val="es-CR" w:eastAsia="en-US"/>
        </w:rPr>
        <w:t>peritos</w:t>
      </w:r>
      <w:r w:rsidRPr="00ED3CC9">
        <w:rPr>
          <w:rFonts w:eastAsiaTheme="minorHAnsi" w:cs="Verdana"/>
          <w:color w:val="000000"/>
          <w:szCs w:val="20"/>
          <w:lang w:val="es-CR" w:eastAsia="en-US"/>
        </w:rPr>
        <w:t xml:space="preserve"> propuestos por </w:t>
      </w:r>
      <w:r w:rsidR="005D4851" w:rsidRPr="00ED3CC9">
        <w:rPr>
          <w:rFonts w:eastAsiaTheme="minorHAnsi" w:cs="Verdana"/>
          <w:color w:val="000000"/>
          <w:szCs w:val="20"/>
          <w:lang w:val="es-CR" w:eastAsia="en-US"/>
        </w:rPr>
        <w:t>los representantes de las presuntas víctimas, los señores Germán Augusto Rey Beltrán y Guillermo Alberto Puyana Ramos; iii) los testigos propuestos por el</w:t>
      </w:r>
      <w:r w:rsidRPr="00ED3CC9">
        <w:rPr>
          <w:rFonts w:eastAsiaTheme="minorHAnsi" w:cs="Verdana"/>
          <w:color w:val="000000"/>
          <w:szCs w:val="20"/>
          <w:lang w:val="es-CR" w:eastAsia="en-US"/>
        </w:rPr>
        <w:t xml:space="preserve"> Estado, </w:t>
      </w:r>
      <w:r w:rsidR="005D4851" w:rsidRPr="00ED3CC9">
        <w:rPr>
          <w:rFonts w:eastAsiaTheme="minorHAnsi" w:cs="Verdana"/>
          <w:color w:val="000000"/>
          <w:szCs w:val="20"/>
          <w:lang w:val="es-CR" w:eastAsia="en-US"/>
        </w:rPr>
        <w:t xml:space="preserve">las señoras Lilia Yaneth Hernández Ramírez </w:t>
      </w:r>
      <w:r w:rsidR="00434688">
        <w:rPr>
          <w:rFonts w:eastAsiaTheme="minorHAnsi" w:cs="Verdana"/>
          <w:color w:val="000000"/>
          <w:szCs w:val="20"/>
          <w:lang w:val="es-CR" w:eastAsia="en-US"/>
        </w:rPr>
        <w:t>e</w:t>
      </w:r>
      <w:r w:rsidR="005D4851" w:rsidRPr="00ED3CC9">
        <w:rPr>
          <w:rFonts w:eastAsiaTheme="minorHAnsi" w:cs="Verdana"/>
          <w:color w:val="000000"/>
          <w:szCs w:val="20"/>
          <w:lang w:val="es-CR" w:eastAsia="en-US"/>
        </w:rPr>
        <w:t xml:space="preserve"> Ivonne González Rodríguez, y los señores Miguel Emilio La Rota Uprimny y Diego Fernando Mora Arango, y iv) los peritos propuestos por el Estado, la señora María Carmelina Londoño y el señor Héctor Enrique Ordoñez Serrano</w:t>
      </w:r>
      <w:r w:rsidRPr="00ED3CC9">
        <w:rPr>
          <w:rFonts w:eastAsiaTheme="minorHAnsi" w:cs="Verdana"/>
          <w:color w:val="000000"/>
          <w:szCs w:val="20"/>
          <w:lang w:val="es-CR" w:eastAsia="en-US"/>
        </w:rPr>
        <w:t>. El objeto de las referidas declaraciones y la forma en que serán recibidas, se determinará en la parte resolutiva de la presente Resolución (</w:t>
      </w:r>
      <w:r w:rsidRPr="00ED3CC9">
        <w:rPr>
          <w:rFonts w:eastAsiaTheme="minorHAnsi" w:cs="Verdana"/>
          <w:i/>
          <w:color w:val="000000"/>
          <w:szCs w:val="20"/>
          <w:lang w:val="es-CR" w:eastAsia="en-US"/>
        </w:rPr>
        <w:t>infra</w:t>
      </w:r>
      <w:r w:rsidRPr="00ED3CC9">
        <w:rPr>
          <w:rFonts w:eastAsiaTheme="minorHAnsi" w:cs="Verdana"/>
          <w:color w:val="000000"/>
          <w:szCs w:val="20"/>
          <w:lang w:val="es-CR" w:eastAsia="en-US"/>
        </w:rPr>
        <w:t xml:space="preserve"> puntos resolutivos </w:t>
      </w:r>
      <w:r w:rsidR="00EE7412">
        <w:rPr>
          <w:rFonts w:eastAsiaTheme="minorHAnsi" w:cs="Verdana"/>
          <w:color w:val="000000"/>
          <w:szCs w:val="20"/>
          <w:lang w:val="es-CR" w:eastAsia="en-US"/>
        </w:rPr>
        <w:t>1</w:t>
      </w:r>
      <w:r w:rsidRPr="00ED3CC9">
        <w:rPr>
          <w:rFonts w:eastAsiaTheme="minorHAnsi" w:cs="Verdana"/>
          <w:color w:val="000000"/>
          <w:szCs w:val="20"/>
          <w:lang w:val="es-CR" w:eastAsia="en-US"/>
        </w:rPr>
        <w:t xml:space="preserve"> y </w:t>
      </w:r>
      <w:r w:rsidR="00EE7412">
        <w:rPr>
          <w:rFonts w:eastAsiaTheme="minorHAnsi" w:cs="Verdana"/>
          <w:color w:val="000000"/>
          <w:szCs w:val="20"/>
          <w:lang w:val="es-CR" w:eastAsia="en-US"/>
        </w:rPr>
        <w:t>4</w:t>
      </w:r>
      <w:r w:rsidRPr="00ED3CC9">
        <w:rPr>
          <w:rFonts w:eastAsiaTheme="minorHAnsi" w:cs="Verdana"/>
          <w:color w:val="000000"/>
          <w:szCs w:val="20"/>
          <w:lang w:val="es-CR" w:eastAsia="en-US"/>
        </w:rPr>
        <w:t>).</w:t>
      </w:r>
    </w:p>
    <w:p w:rsidR="00306396" w:rsidRPr="00ED3CC9" w:rsidRDefault="00DD161B" w:rsidP="00ED3CC9">
      <w:pPr>
        <w:numPr>
          <w:ilvl w:val="0"/>
          <w:numId w:val="1"/>
        </w:numPr>
        <w:tabs>
          <w:tab w:val="clear" w:pos="720"/>
        </w:tabs>
        <w:autoSpaceDE w:val="0"/>
        <w:autoSpaceDN w:val="0"/>
        <w:adjustRightInd w:val="0"/>
        <w:spacing w:before="120"/>
        <w:rPr>
          <w:bCs/>
          <w:iCs/>
          <w:szCs w:val="20"/>
          <w:lang w:val="es-CR"/>
        </w:rPr>
      </w:pPr>
      <w:r w:rsidRPr="00ED3CC9">
        <w:rPr>
          <w:szCs w:val="20"/>
        </w:rPr>
        <w:t xml:space="preserve">A continuación el Presidente examinará en forma particular: </w:t>
      </w:r>
      <w:r w:rsidR="000C54FA" w:rsidRPr="00ED3CC9">
        <w:rPr>
          <w:szCs w:val="20"/>
        </w:rPr>
        <w:t xml:space="preserve">a) </w:t>
      </w:r>
      <w:r w:rsidR="00210E2D" w:rsidRPr="00ED3CC9">
        <w:rPr>
          <w:szCs w:val="20"/>
        </w:rPr>
        <w:t xml:space="preserve">la admisibilidad de </w:t>
      </w:r>
      <w:r w:rsidR="000C54FA" w:rsidRPr="00ED3CC9">
        <w:rPr>
          <w:szCs w:val="20"/>
        </w:rPr>
        <w:t xml:space="preserve">la prueba pericial ofrecida por la Comisión Interamericana; b) la </w:t>
      </w:r>
      <w:r w:rsidR="00210E2D" w:rsidRPr="00ED3CC9">
        <w:rPr>
          <w:szCs w:val="20"/>
        </w:rPr>
        <w:t xml:space="preserve">admisibilidad de las declaraciones de las presuntas víctimas, testigo y perito ofrecidas por </w:t>
      </w:r>
      <w:r w:rsidR="00A7119E" w:rsidRPr="00ED3CC9">
        <w:rPr>
          <w:szCs w:val="20"/>
        </w:rPr>
        <w:t>los representantes</w:t>
      </w:r>
      <w:r w:rsidR="005863FE">
        <w:rPr>
          <w:szCs w:val="20"/>
        </w:rPr>
        <w:t>, y</w:t>
      </w:r>
      <w:r w:rsidR="00A7119E" w:rsidRPr="00ED3CC9">
        <w:rPr>
          <w:szCs w:val="20"/>
        </w:rPr>
        <w:t xml:space="preserve"> </w:t>
      </w:r>
      <w:r w:rsidR="00334ED7" w:rsidRPr="00ED3CC9">
        <w:rPr>
          <w:szCs w:val="20"/>
        </w:rPr>
        <w:t>c</w:t>
      </w:r>
      <w:r w:rsidR="001834BA" w:rsidRPr="00ED3CC9">
        <w:rPr>
          <w:szCs w:val="20"/>
        </w:rPr>
        <w:t xml:space="preserve">) </w:t>
      </w:r>
      <w:r w:rsidR="004F6008" w:rsidRPr="00ED3CC9">
        <w:rPr>
          <w:szCs w:val="20"/>
        </w:rPr>
        <w:t xml:space="preserve">la </w:t>
      </w:r>
      <w:r w:rsidR="001834BA" w:rsidRPr="00ED3CC9">
        <w:rPr>
          <w:rFonts w:eastAsia="Times New Roman" w:cs="Verdana"/>
          <w:szCs w:val="20"/>
          <w:lang w:val="es-CL" w:eastAsia="en-US"/>
        </w:rPr>
        <w:t>solicitud de la Comisión para formular preguntas</w:t>
      </w:r>
      <w:r w:rsidR="00334ED7" w:rsidRPr="00ED3CC9">
        <w:rPr>
          <w:rFonts w:eastAsia="Times New Roman" w:cs="Verdana"/>
          <w:szCs w:val="20"/>
          <w:lang w:val="es-CL" w:eastAsia="en-US"/>
        </w:rPr>
        <w:t xml:space="preserve"> </w:t>
      </w:r>
      <w:r w:rsidR="00334ED7" w:rsidRPr="00ED3CC9">
        <w:rPr>
          <w:bCs/>
          <w:iCs/>
          <w:szCs w:val="20"/>
          <w:lang w:val="es-CR"/>
        </w:rPr>
        <w:t xml:space="preserve">a una perita propuesta por el Estado y a dos peritos ofrecidos por los representantes de las </w:t>
      </w:r>
      <w:r w:rsidR="00EE7412">
        <w:rPr>
          <w:bCs/>
          <w:iCs/>
          <w:szCs w:val="20"/>
          <w:lang w:val="es-CR"/>
        </w:rPr>
        <w:t xml:space="preserve">presuntas </w:t>
      </w:r>
      <w:r w:rsidR="00334ED7" w:rsidRPr="00ED3CC9">
        <w:rPr>
          <w:bCs/>
          <w:iCs/>
          <w:szCs w:val="20"/>
          <w:lang w:val="es-CR"/>
        </w:rPr>
        <w:t>víctimas</w:t>
      </w:r>
      <w:r w:rsidR="009E173F" w:rsidRPr="00ED3CC9">
        <w:rPr>
          <w:bCs/>
          <w:iCs/>
          <w:szCs w:val="20"/>
          <w:lang w:val="es-CR"/>
        </w:rPr>
        <w:t>.</w:t>
      </w:r>
      <w:r w:rsidR="001A6487" w:rsidRPr="00ED3CC9">
        <w:rPr>
          <w:bCs/>
          <w:iCs/>
          <w:szCs w:val="20"/>
          <w:lang w:val="es-CR"/>
        </w:rPr>
        <w:t xml:space="preserve"> </w:t>
      </w:r>
    </w:p>
    <w:p w:rsidR="000C54FA" w:rsidRPr="00ED3CC9" w:rsidRDefault="00171E5F" w:rsidP="002038A0">
      <w:pPr>
        <w:pStyle w:val="ListParagraph1"/>
        <w:numPr>
          <w:ilvl w:val="0"/>
          <w:numId w:val="3"/>
        </w:numPr>
        <w:spacing w:before="240" w:after="240"/>
        <w:ind w:left="641" w:right="11" w:hanging="357"/>
        <w:jc w:val="both"/>
        <w:rPr>
          <w:rFonts w:ascii="Verdana" w:hAnsi="Verdana" w:cs="Verdana"/>
          <w:b/>
          <w:bCs/>
          <w:i/>
          <w:iCs/>
          <w:sz w:val="20"/>
          <w:szCs w:val="20"/>
        </w:rPr>
      </w:pPr>
      <w:r>
        <w:rPr>
          <w:rFonts w:ascii="Verdana" w:hAnsi="Verdana" w:cs="Verdana"/>
          <w:b/>
          <w:bCs/>
          <w:i/>
          <w:iCs/>
          <w:sz w:val="20"/>
          <w:szCs w:val="20"/>
        </w:rPr>
        <w:t>La admisibilidad de la p</w:t>
      </w:r>
      <w:r w:rsidR="000C54FA" w:rsidRPr="00ED3CC9">
        <w:rPr>
          <w:rFonts w:ascii="Verdana" w:hAnsi="Verdana" w:cs="Verdana"/>
          <w:b/>
          <w:bCs/>
          <w:i/>
          <w:iCs/>
          <w:sz w:val="20"/>
          <w:szCs w:val="20"/>
        </w:rPr>
        <w:t>rueba pericial ofrecida por la Comisión Interamericana</w:t>
      </w:r>
    </w:p>
    <w:p w:rsidR="00D15CC9" w:rsidRPr="00ED3CC9" w:rsidRDefault="000C54FA" w:rsidP="00ED3CC9">
      <w:pPr>
        <w:numPr>
          <w:ilvl w:val="0"/>
          <w:numId w:val="1"/>
        </w:numPr>
        <w:autoSpaceDE w:val="0"/>
        <w:autoSpaceDN w:val="0"/>
        <w:adjustRightInd w:val="0"/>
        <w:spacing w:before="120"/>
        <w:rPr>
          <w:rFonts w:cs="Arial"/>
          <w:szCs w:val="20"/>
        </w:rPr>
      </w:pPr>
      <w:r w:rsidRPr="00ED3CC9">
        <w:rPr>
          <w:rFonts w:cs="Arial"/>
          <w:szCs w:val="20"/>
        </w:rPr>
        <w:t xml:space="preserve">La Comisión ofreció dos dictámenes periciales: </w:t>
      </w:r>
    </w:p>
    <w:p w:rsidR="00237F3F" w:rsidRPr="00ED3CC9" w:rsidRDefault="00237F3F" w:rsidP="0054725F">
      <w:pPr>
        <w:numPr>
          <w:ilvl w:val="0"/>
          <w:numId w:val="6"/>
        </w:numPr>
        <w:autoSpaceDE w:val="0"/>
        <w:autoSpaceDN w:val="0"/>
        <w:adjustRightInd w:val="0"/>
        <w:spacing w:before="120"/>
        <w:ind w:left="567" w:firstLine="0"/>
        <w:rPr>
          <w:rFonts w:cs="Arial"/>
          <w:szCs w:val="20"/>
        </w:rPr>
      </w:pPr>
      <w:r w:rsidRPr="00ED3CC9">
        <w:rPr>
          <w:rFonts w:cs="Arial"/>
          <w:szCs w:val="20"/>
        </w:rPr>
        <w:t>El del señor David Kaye, “sobre los estándares internacionales de derechos humanos aplicables a las circunstancias que contribu</w:t>
      </w:r>
      <w:r w:rsidR="00456EBD">
        <w:rPr>
          <w:rFonts w:cs="Arial"/>
          <w:szCs w:val="20"/>
        </w:rPr>
        <w:t>yeron</w:t>
      </w:r>
      <w:r w:rsidRPr="00ED3CC9">
        <w:rPr>
          <w:rFonts w:cs="Arial"/>
          <w:szCs w:val="20"/>
        </w:rPr>
        <w:t xml:space="preserve"> a la impunidad de los hechos del presente caso”. </w:t>
      </w:r>
      <w:r w:rsidR="000328BD" w:rsidRPr="00ED3CC9">
        <w:rPr>
          <w:rFonts w:cs="Arial"/>
          <w:szCs w:val="20"/>
        </w:rPr>
        <w:t xml:space="preserve">Indicó </w:t>
      </w:r>
      <w:r w:rsidR="000328BD" w:rsidRPr="0054725F">
        <w:rPr>
          <w:rFonts w:eastAsiaTheme="minorHAnsi" w:cs="Tahoma"/>
          <w:szCs w:val="20"/>
          <w:lang w:val="es-CR" w:eastAsia="en-US"/>
        </w:rPr>
        <w:t>asimismo</w:t>
      </w:r>
      <w:r w:rsidR="000328BD" w:rsidRPr="00ED3CC9">
        <w:rPr>
          <w:rFonts w:cs="Arial"/>
          <w:szCs w:val="20"/>
        </w:rPr>
        <w:t xml:space="preserve"> que “</w:t>
      </w:r>
      <w:r w:rsidRPr="00ED3CC9">
        <w:rPr>
          <w:rFonts w:cs="Arial"/>
          <w:szCs w:val="20"/>
        </w:rPr>
        <w:t>se</w:t>
      </w:r>
      <w:r w:rsidR="000328BD" w:rsidRPr="00ED3CC9">
        <w:rPr>
          <w:rFonts w:cs="Arial"/>
          <w:szCs w:val="20"/>
        </w:rPr>
        <w:t xml:space="preserve"> referirá</w:t>
      </w:r>
      <w:r w:rsidRPr="00ED3CC9">
        <w:rPr>
          <w:rFonts w:cs="Arial"/>
          <w:szCs w:val="20"/>
        </w:rPr>
        <w:t xml:space="preserve"> al desarrollo jurisprudencial internacional y comparado respecto de l</w:t>
      </w:r>
      <w:r w:rsidR="000328BD" w:rsidRPr="00ED3CC9">
        <w:rPr>
          <w:rFonts w:cs="Arial"/>
          <w:szCs w:val="20"/>
        </w:rPr>
        <w:t>a obligación de investigación y procuració</w:t>
      </w:r>
      <w:r w:rsidRPr="00ED3CC9">
        <w:rPr>
          <w:rFonts w:cs="Arial"/>
          <w:szCs w:val="20"/>
        </w:rPr>
        <w:t>n de justicia en casos de violencia contra periodistas</w:t>
      </w:r>
      <w:r w:rsidR="000328BD" w:rsidRPr="00ED3CC9">
        <w:rPr>
          <w:rFonts w:cs="Arial"/>
          <w:szCs w:val="20"/>
        </w:rPr>
        <w:t>”, y</w:t>
      </w:r>
    </w:p>
    <w:p w:rsidR="000C54FA" w:rsidRPr="00ED3CC9" w:rsidRDefault="008035EC" w:rsidP="0054725F">
      <w:pPr>
        <w:numPr>
          <w:ilvl w:val="0"/>
          <w:numId w:val="6"/>
        </w:numPr>
        <w:autoSpaceDE w:val="0"/>
        <w:autoSpaceDN w:val="0"/>
        <w:adjustRightInd w:val="0"/>
        <w:spacing w:before="120"/>
        <w:ind w:left="567" w:firstLine="0"/>
        <w:rPr>
          <w:rFonts w:cs="Arial"/>
          <w:szCs w:val="20"/>
        </w:rPr>
      </w:pPr>
      <w:r w:rsidRPr="00ED3CC9">
        <w:rPr>
          <w:rFonts w:cs="Arial"/>
          <w:szCs w:val="20"/>
        </w:rPr>
        <w:t>E</w:t>
      </w:r>
      <w:r w:rsidR="000C54FA" w:rsidRPr="00ED3CC9">
        <w:rPr>
          <w:rFonts w:cs="Arial"/>
          <w:szCs w:val="20"/>
        </w:rPr>
        <w:t xml:space="preserve">l </w:t>
      </w:r>
      <w:r w:rsidR="0054725F">
        <w:rPr>
          <w:rFonts w:cs="Arial"/>
          <w:szCs w:val="20"/>
        </w:rPr>
        <w:t xml:space="preserve">del </w:t>
      </w:r>
      <w:r w:rsidR="000C54FA" w:rsidRPr="00ED3CC9">
        <w:rPr>
          <w:rFonts w:cs="Arial"/>
          <w:szCs w:val="20"/>
        </w:rPr>
        <w:t xml:space="preserve">señor </w:t>
      </w:r>
      <w:r w:rsidR="000328BD" w:rsidRPr="00ED3CC9">
        <w:rPr>
          <w:rFonts w:cs="Arial"/>
          <w:szCs w:val="20"/>
        </w:rPr>
        <w:t>Carlos Lauría</w:t>
      </w:r>
      <w:r w:rsidR="000C54FA" w:rsidRPr="00ED3CC9">
        <w:rPr>
          <w:rFonts w:cs="Arial"/>
          <w:szCs w:val="20"/>
        </w:rPr>
        <w:t>, sobre “</w:t>
      </w:r>
      <w:r w:rsidR="000328BD" w:rsidRPr="00ED3CC9">
        <w:rPr>
          <w:rFonts w:cs="Arial"/>
          <w:szCs w:val="20"/>
        </w:rPr>
        <w:t xml:space="preserve">la relevancia de evaluar los casos de violencia contra periodistas y su situación de impunidad a la luz de los contextos específicos en los que estos hechos </w:t>
      </w:r>
      <w:r w:rsidR="000328BD" w:rsidRPr="0054725F">
        <w:rPr>
          <w:rFonts w:eastAsiaTheme="minorHAnsi" w:cs="Tahoma"/>
          <w:szCs w:val="20"/>
          <w:lang w:val="es-CR" w:eastAsia="en-US"/>
        </w:rPr>
        <w:t>tuvieron</w:t>
      </w:r>
      <w:r w:rsidR="000328BD" w:rsidRPr="00ED3CC9">
        <w:rPr>
          <w:rFonts w:cs="Arial"/>
          <w:szCs w:val="20"/>
        </w:rPr>
        <w:t xml:space="preserve"> lugar”. Agregó que hará referencia “adicionalmente al contexto de violencia contra periodistas y comunicadores que trabajan en zonas rurales y regionales en Colombia en la época de los hechos, y los mecanismos de hecho y de derecho generadores de impunidad que han operado en este tipo de casos y que impiden el esclarecimiento de los hechos y la individualización de los responsables</w:t>
      </w:r>
      <w:r w:rsidRPr="00ED3CC9">
        <w:rPr>
          <w:rFonts w:cs="Arial"/>
          <w:szCs w:val="20"/>
        </w:rPr>
        <w:t>”.</w:t>
      </w:r>
    </w:p>
    <w:p w:rsidR="00FB1480" w:rsidRPr="00ED3CC9" w:rsidRDefault="0079562C" w:rsidP="00ED3CC9">
      <w:pPr>
        <w:numPr>
          <w:ilvl w:val="0"/>
          <w:numId w:val="1"/>
        </w:numPr>
        <w:autoSpaceDE w:val="0"/>
        <w:autoSpaceDN w:val="0"/>
        <w:adjustRightInd w:val="0"/>
        <w:spacing w:before="120"/>
        <w:rPr>
          <w:rFonts w:cs="Arial"/>
          <w:szCs w:val="20"/>
        </w:rPr>
      </w:pPr>
      <w:r w:rsidRPr="00ED3CC9">
        <w:rPr>
          <w:rFonts w:cs="Arial"/>
          <w:szCs w:val="20"/>
        </w:rPr>
        <w:t>La Comisión consideró que los peritajes ofrecidos se refieren a temas de orden público interamericano</w:t>
      </w:r>
      <w:r w:rsidR="00344175" w:rsidRPr="00ED3CC9">
        <w:rPr>
          <w:rFonts w:cs="Arial"/>
          <w:szCs w:val="20"/>
        </w:rPr>
        <w:t>,</w:t>
      </w:r>
      <w:r w:rsidRPr="00ED3CC9">
        <w:rPr>
          <w:rFonts w:cs="Arial"/>
          <w:szCs w:val="20"/>
        </w:rPr>
        <w:t xml:space="preserve"> de acuerdo a lo establecido en el artículo 31.5 f) del Reglamento de la Corte, refiriéndose a que </w:t>
      </w:r>
      <w:r w:rsidR="000328BD" w:rsidRPr="00ED3CC9">
        <w:rPr>
          <w:rFonts w:cs="Arial"/>
          <w:szCs w:val="20"/>
        </w:rPr>
        <w:t xml:space="preserve">“el problema de la violencia contra periodistas en las Américas se ha agravado, vinculado, en muchos casos, con el aumento del crimen organizado”. </w:t>
      </w:r>
      <w:r w:rsidR="00FB1480" w:rsidRPr="00ED3CC9">
        <w:rPr>
          <w:rFonts w:cs="Arial"/>
          <w:szCs w:val="20"/>
        </w:rPr>
        <w:t>A</w:t>
      </w:r>
      <w:r w:rsidR="000328BD" w:rsidRPr="00ED3CC9">
        <w:rPr>
          <w:rFonts w:cs="Arial"/>
          <w:szCs w:val="20"/>
        </w:rPr>
        <w:t>gregó que “[e]sta violencia afecta de manera desproporcionada a periodistas que laboran en zonas rurales o regiones al interior del país y cubren noticias locales sobre corrupción, seguridad pública y delincuencia organizada. A pesar de importantes avances legales impulsados por algunos Estados en la región, como Colombia, la impunidad sigu</w:t>
      </w:r>
      <w:r w:rsidR="00456EBD">
        <w:rPr>
          <w:rFonts w:cs="Arial"/>
          <w:szCs w:val="20"/>
        </w:rPr>
        <w:t>e</w:t>
      </w:r>
      <w:r w:rsidR="000328BD" w:rsidRPr="00ED3CC9">
        <w:rPr>
          <w:rFonts w:cs="Arial"/>
          <w:szCs w:val="20"/>
        </w:rPr>
        <w:t xml:space="preserve"> siendo generalizada”. </w:t>
      </w:r>
    </w:p>
    <w:p w:rsidR="00B653C7" w:rsidRPr="00ED3CC9" w:rsidRDefault="00B653C7" w:rsidP="00ED3CC9">
      <w:pPr>
        <w:numPr>
          <w:ilvl w:val="0"/>
          <w:numId w:val="1"/>
        </w:numPr>
        <w:autoSpaceDE w:val="0"/>
        <w:autoSpaceDN w:val="0"/>
        <w:adjustRightInd w:val="0"/>
        <w:spacing w:before="120"/>
        <w:rPr>
          <w:rFonts w:cs="Arial"/>
          <w:szCs w:val="20"/>
        </w:rPr>
      </w:pPr>
      <w:r w:rsidRPr="00ED3CC9">
        <w:rPr>
          <w:rFonts w:cs="Arial"/>
          <w:szCs w:val="20"/>
        </w:rPr>
        <w:t xml:space="preserve">De acuerdo </w:t>
      </w:r>
      <w:r w:rsidR="00434688">
        <w:rPr>
          <w:rFonts w:cs="Arial"/>
          <w:szCs w:val="20"/>
        </w:rPr>
        <w:t>con</w:t>
      </w:r>
      <w:r w:rsidRPr="00ED3CC9">
        <w:rPr>
          <w:rFonts w:cs="Arial"/>
          <w:szCs w:val="20"/>
        </w:rPr>
        <w:t xml:space="preserve"> lo anterior, la Comisión afirmó que “este caso permitiría a la Corte profundizar su jurisprudencia sobre la obligación de los Estados de investigar de manera diligente los crímenes cometidos contra periodistas que cubren noticias de corrupción local y delincuencia organizada y analizar los mecanismos de impunidad que operan en estos casos. Especialmente, las obligaciones del Estado frente a la presión indebida que se ejerce sobre el sistema judicial local a través de la intimidación a testigos y familiares y en algunos casos, </w:t>
      </w:r>
      <w:r w:rsidR="00FB1480" w:rsidRPr="00ED3CC9">
        <w:rPr>
          <w:rFonts w:cs="Arial"/>
          <w:szCs w:val="20"/>
        </w:rPr>
        <w:t xml:space="preserve">la </w:t>
      </w:r>
      <w:r w:rsidRPr="00ED3CC9">
        <w:rPr>
          <w:rFonts w:cs="Arial"/>
          <w:szCs w:val="20"/>
        </w:rPr>
        <w:t xml:space="preserve">complicidad de </w:t>
      </w:r>
      <w:r w:rsidR="00FB1480" w:rsidRPr="00ED3CC9">
        <w:rPr>
          <w:rFonts w:cs="Arial"/>
          <w:szCs w:val="20"/>
        </w:rPr>
        <w:t>policías</w:t>
      </w:r>
      <w:r w:rsidRPr="00ED3CC9">
        <w:rPr>
          <w:rFonts w:cs="Arial"/>
          <w:szCs w:val="20"/>
        </w:rPr>
        <w:t>, fiscales y jueces</w:t>
      </w:r>
      <w:r w:rsidR="00FB1480" w:rsidRPr="00ED3CC9">
        <w:rPr>
          <w:rFonts w:cs="Arial"/>
          <w:szCs w:val="20"/>
        </w:rPr>
        <w:t>”. Sostuvo también que “la</w:t>
      </w:r>
      <w:r w:rsidRPr="00ED3CC9">
        <w:rPr>
          <w:rFonts w:cs="Arial"/>
          <w:szCs w:val="20"/>
        </w:rPr>
        <w:t xml:space="preserve"> Corte </w:t>
      </w:r>
      <w:r w:rsidR="00FB1480" w:rsidRPr="00ED3CC9">
        <w:rPr>
          <w:rFonts w:cs="Arial"/>
          <w:szCs w:val="20"/>
        </w:rPr>
        <w:t>podrá</w:t>
      </w:r>
      <w:r w:rsidRPr="00ED3CC9">
        <w:rPr>
          <w:rFonts w:cs="Arial"/>
          <w:szCs w:val="20"/>
        </w:rPr>
        <w:t xml:space="preserve"> pronunciarse sobre las</w:t>
      </w:r>
      <w:r w:rsidR="00FB1480" w:rsidRPr="00ED3CC9">
        <w:rPr>
          <w:rFonts w:cs="Arial"/>
          <w:szCs w:val="20"/>
        </w:rPr>
        <w:t xml:space="preserve"> </w:t>
      </w:r>
      <w:r w:rsidRPr="00ED3CC9">
        <w:rPr>
          <w:rFonts w:cs="Arial"/>
          <w:szCs w:val="20"/>
        </w:rPr>
        <w:t xml:space="preserve">consecuencias de </w:t>
      </w:r>
      <w:r w:rsidR="00FB1480" w:rsidRPr="00ED3CC9">
        <w:rPr>
          <w:rFonts w:cs="Arial"/>
          <w:szCs w:val="20"/>
        </w:rPr>
        <w:t>la</w:t>
      </w:r>
      <w:r w:rsidRPr="00ED3CC9">
        <w:rPr>
          <w:rFonts w:cs="Arial"/>
          <w:szCs w:val="20"/>
        </w:rPr>
        <w:t xml:space="preserve"> falta de medidas de protecci</w:t>
      </w:r>
      <w:r w:rsidR="00FB1480" w:rsidRPr="00ED3CC9">
        <w:rPr>
          <w:rFonts w:cs="Arial"/>
          <w:szCs w:val="20"/>
        </w:rPr>
        <w:t>ó</w:t>
      </w:r>
      <w:r w:rsidRPr="00ED3CC9">
        <w:rPr>
          <w:rFonts w:cs="Arial"/>
          <w:szCs w:val="20"/>
        </w:rPr>
        <w:t>n y de una investigaci</w:t>
      </w:r>
      <w:r w:rsidR="00FB1480" w:rsidRPr="00ED3CC9">
        <w:rPr>
          <w:rFonts w:cs="Arial"/>
          <w:szCs w:val="20"/>
        </w:rPr>
        <w:t>ó</w:t>
      </w:r>
      <w:r w:rsidRPr="00ED3CC9">
        <w:rPr>
          <w:rFonts w:cs="Arial"/>
          <w:szCs w:val="20"/>
        </w:rPr>
        <w:t>n adecuada ante las amenazas y actos de</w:t>
      </w:r>
      <w:r w:rsidR="00FB1480" w:rsidRPr="00ED3CC9">
        <w:rPr>
          <w:rFonts w:cs="Arial"/>
          <w:szCs w:val="20"/>
        </w:rPr>
        <w:t xml:space="preserve"> </w:t>
      </w:r>
      <w:r w:rsidRPr="00ED3CC9">
        <w:rPr>
          <w:rFonts w:cs="Arial"/>
          <w:szCs w:val="20"/>
        </w:rPr>
        <w:t>intimidaci</w:t>
      </w:r>
      <w:r w:rsidR="00FB1480" w:rsidRPr="00ED3CC9">
        <w:rPr>
          <w:rFonts w:cs="Arial"/>
          <w:szCs w:val="20"/>
        </w:rPr>
        <w:t>ó</w:t>
      </w:r>
      <w:r w:rsidRPr="00ED3CC9">
        <w:rPr>
          <w:rFonts w:cs="Arial"/>
          <w:szCs w:val="20"/>
        </w:rPr>
        <w:t xml:space="preserve">n de personas vinculadas con </w:t>
      </w:r>
      <w:r w:rsidR="00FB1480" w:rsidRPr="00ED3CC9">
        <w:rPr>
          <w:rFonts w:cs="Arial"/>
          <w:szCs w:val="20"/>
        </w:rPr>
        <w:t>la</w:t>
      </w:r>
      <w:r w:rsidRPr="00ED3CC9">
        <w:rPr>
          <w:rFonts w:cs="Arial"/>
          <w:szCs w:val="20"/>
        </w:rPr>
        <w:t xml:space="preserve"> investigaci</w:t>
      </w:r>
      <w:r w:rsidR="00FB1480" w:rsidRPr="00ED3CC9">
        <w:rPr>
          <w:rFonts w:cs="Arial"/>
          <w:szCs w:val="20"/>
        </w:rPr>
        <w:t>ó</w:t>
      </w:r>
      <w:r w:rsidRPr="00ED3CC9">
        <w:rPr>
          <w:rFonts w:cs="Arial"/>
          <w:szCs w:val="20"/>
        </w:rPr>
        <w:t>n</w:t>
      </w:r>
      <w:r w:rsidR="00FB1480" w:rsidRPr="00ED3CC9">
        <w:rPr>
          <w:rFonts w:cs="Arial"/>
          <w:szCs w:val="20"/>
        </w:rPr>
        <w:t>”</w:t>
      </w:r>
      <w:r w:rsidRPr="00ED3CC9">
        <w:rPr>
          <w:rFonts w:cs="Arial"/>
          <w:szCs w:val="20"/>
        </w:rPr>
        <w:t>.</w:t>
      </w:r>
    </w:p>
    <w:p w:rsidR="00CF2B5C" w:rsidRPr="00ED3CC9" w:rsidRDefault="003223A8" w:rsidP="00ED3CC9">
      <w:pPr>
        <w:numPr>
          <w:ilvl w:val="0"/>
          <w:numId w:val="1"/>
        </w:numPr>
        <w:autoSpaceDE w:val="0"/>
        <w:autoSpaceDN w:val="0"/>
        <w:adjustRightInd w:val="0"/>
        <w:spacing w:before="120"/>
        <w:rPr>
          <w:rFonts w:cs="Arial"/>
          <w:szCs w:val="20"/>
        </w:rPr>
      </w:pPr>
      <w:r w:rsidRPr="00ED3CC9">
        <w:rPr>
          <w:rFonts w:cs="Arial"/>
          <w:szCs w:val="20"/>
        </w:rPr>
        <w:lastRenderedPageBreak/>
        <w:t>El Estado formuló observaciones relacionadas con</w:t>
      </w:r>
      <w:r w:rsidR="00344175" w:rsidRPr="00ED3CC9">
        <w:rPr>
          <w:rFonts w:cs="Arial"/>
          <w:szCs w:val="20"/>
        </w:rPr>
        <w:t>:</w:t>
      </w:r>
      <w:r w:rsidRPr="00ED3CC9">
        <w:rPr>
          <w:rFonts w:cs="Arial"/>
          <w:szCs w:val="20"/>
        </w:rPr>
        <w:t xml:space="preserve"> </w:t>
      </w:r>
      <w:r w:rsidR="008035EC" w:rsidRPr="00ED3CC9">
        <w:rPr>
          <w:rFonts w:cs="Arial"/>
          <w:szCs w:val="20"/>
        </w:rPr>
        <w:t>i</w:t>
      </w:r>
      <w:r w:rsidRPr="00ED3CC9">
        <w:rPr>
          <w:rFonts w:cs="Arial"/>
          <w:szCs w:val="20"/>
        </w:rPr>
        <w:t xml:space="preserve">) </w:t>
      </w:r>
      <w:r w:rsidRPr="00ED3CC9">
        <w:rPr>
          <w:bCs/>
          <w:iCs/>
          <w:szCs w:val="20"/>
          <w:lang w:val="es-CR"/>
        </w:rPr>
        <w:t xml:space="preserve">la motivación para sustentar el ofrecimiento de peritos y su relación con el orden público interamericano y </w:t>
      </w:r>
      <w:r w:rsidR="008035EC" w:rsidRPr="00ED3CC9">
        <w:rPr>
          <w:bCs/>
          <w:iCs/>
          <w:szCs w:val="20"/>
          <w:lang w:val="es-CR"/>
        </w:rPr>
        <w:t>ii</w:t>
      </w:r>
      <w:r w:rsidRPr="00ED3CC9">
        <w:rPr>
          <w:bCs/>
          <w:iCs/>
          <w:szCs w:val="20"/>
          <w:lang w:val="es-CR"/>
        </w:rPr>
        <w:t>) el objeto de esos dictámenes.</w:t>
      </w:r>
    </w:p>
    <w:p w:rsidR="00902D14" w:rsidRPr="00ED3CC9" w:rsidRDefault="003223A8" w:rsidP="00ED3CC9">
      <w:pPr>
        <w:numPr>
          <w:ilvl w:val="0"/>
          <w:numId w:val="1"/>
        </w:numPr>
        <w:autoSpaceDE w:val="0"/>
        <w:autoSpaceDN w:val="0"/>
        <w:adjustRightInd w:val="0"/>
        <w:spacing w:before="120"/>
        <w:rPr>
          <w:rFonts w:cs="Arial"/>
          <w:szCs w:val="20"/>
        </w:rPr>
      </w:pPr>
      <w:r w:rsidRPr="00ED3CC9">
        <w:rPr>
          <w:rFonts w:cs="Arial"/>
          <w:szCs w:val="20"/>
        </w:rPr>
        <w:t xml:space="preserve">Con relación </w:t>
      </w:r>
      <w:r w:rsidR="00CF6E7B" w:rsidRPr="00ED3CC9">
        <w:rPr>
          <w:rFonts w:cs="Arial"/>
          <w:szCs w:val="20"/>
        </w:rPr>
        <w:t xml:space="preserve">a </w:t>
      </w:r>
      <w:r w:rsidR="00CE65FF" w:rsidRPr="00ED3CC9">
        <w:rPr>
          <w:bCs/>
          <w:iCs/>
          <w:szCs w:val="20"/>
          <w:lang w:val="es-CR"/>
        </w:rPr>
        <w:t>la motivación para sustentar el ofrecimiento de peritos y su relación con el orden público interamericano</w:t>
      </w:r>
      <w:r w:rsidRPr="00ED3CC9">
        <w:rPr>
          <w:rFonts w:cs="Arial"/>
          <w:szCs w:val="20"/>
        </w:rPr>
        <w:t>, el Estado</w:t>
      </w:r>
      <w:r w:rsidR="00A91B94" w:rsidRPr="00ED3CC9">
        <w:rPr>
          <w:rFonts w:cs="Arial"/>
          <w:szCs w:val="20"/>
        </w:rPr>
        <w:t xml:space="preserve"> resaltó “que la facultad de la </w:t>
      </w:r>
      <w:r w:rsidR="00BB49BA">
        <w:rPr>
          <w:rFonts w:cs="Arial"/>
          <w:szCs w:val="20"/>
        </w:rPr>
        <w:t>[Comisión]</w:t>
      </w:r>
      <w:r w:rsidR="00BB49BA" w:rsidRPr="00ED3CC9">
        <w:rPr>
          <w:rFonts w:cs="Arial"/>
          <w:szCs w:val="20"/>
        </w:rPr>
        <w:t xml:space="preserve"> </w:t>
      </w:r>
      <w:r w:rsidR="00A91B94" w:rsidRPr="00ED3CC9">
        <w:rPr>
          <w:rFonts w:cs="Arial"/>
          <w:szCs w:val="20"/>
        </w:rPr>
        <w:t>de solicitar un peritaje […] es excepcional y solo se puede fundar en la relevancia de la declaración en el marco del orden público interamericano”. En este sentido,</w:t>
      </w:r>
      <w:r w:rsidRPr="00ED3CC9">
        <w:rPr>
          <w:rFonts w:cs="Arial"/>
          <w:szCs w:val="20"/>
        </w:rPr>
        <w:t xml:space="preserve"> </w:t>
      </w:r>
      <w:r w:rsidR="00A91B94" w:rsidRPr="00ED3CC9">
        <w:rPr>
          <w:rFonts w:cs="Arial"/>
          <w:szCs w:val="20"/>
        </w:rPr>
        <w:t xml:space="preserve">el Estado </w:t>
      </w:r>
      <w:r w:rsidRPr="00ED3CC9">
        <w:rPr>
          <w:rFonts w:cs="Arial"/>
          <w:szCs w:val="20"/>
        </w:rPr>
        <w:t>indicó que</w:t>
      </w:r>
      <w:r w:rsidR="00902D14" w:rsidRPr="00ED3CC9">
        <w:rPr>
          <w:rFonts w:cs="Arial"/>
          <w:szCs w:val="20"/>
        </w:rPr>
        <w:t xml:space="preserve"> en lo relativo al peritaje del señor Carlos Lauría, su “declaración se enfoca en las características que presuntamente habrían rodeado el caso de Nelson Carvajal, y por tanto, no transciende el caso particular”</w:t>
      </w:r>
      <w:r w:rsidR="00A91B94" w:rsidRPr="00ED3CC9">
        <w:rPr>
          <w:rFonts w:cs="Arial"/>
          <w:szCs w:val="20"/>
        </w:rPr>
        <w:t xml:space="preserve">, por lo cual </w:t>
      </w:r>
      <w:r w:rsidR="00902D14" w:rsidRPr="00ED3CC9">
        <w:rPr>
          <w:rFonts w:cs="Arial"/>
          <w:szCs w:val="20"/>
        </w:rPr>
        <w:t xml:space="preserve">“no afectaría de ninguna manera el orden público interamericano, ni muchísimo menos de manera </w:t>
      </w:r>
      <w:r w:rsidR="00B653C7" w:rsidRPr="00ED3CC9">
        <w:rPr>
          <w:rFonts w:cs="Arial"/>
          <w:szCs w:val="20"/>
        </w:rPr>
        <w:t>‘</w:t>
      </w:r>
      <w:r w:rsidR="00902D14" w:rsidRPr="00ED3CC9">
        <w:rPr>
          <w:rFonts w:cs="Arial"/>
          <w:szCs w:val="20"/>
        </w:rPr>
        <w:t>relevante</w:t>
      </w:r>
      <w:r w:rsidR="00B653C7" w:rsidRPr="00ED3CC9">
        <w:rPr>
          <w:rFonts w:cs="Arial"/>
          <w:szCs w:val="20"/>
        </w:rPr>
        <w:t>’</w:t>
      </w:r>
      <w:r w:rsidR="00902D14" w:rsidRPr="00ED3CC9">
        <w:rPr>
          <w:rFonts w:cs="Arial"/>
          <w:szCs w:val="20"/>
        </w:rPr>
        <w:t xml:space="preserve">, que es la exigencia que manifestó la Corte </w:t>
      </w:r>
      <w:r w:rsidR="00A91B94" w:rsidRPr="00ED3CC9">
        <w:rPr>
          <w:rFonts w:cs="Arial"/>
          <w:szCs w:val="20"/>
        </w:rPr>
        <w:t>[…]</w:t>
      </w:r>
      <w:r w:rsidR="00902D14" w:rsidRPr="00ED3CC9">
        <w:rPr>
          <w:rFonts w:cs="Arial"/>
          <w:szCs w:val="20"/>
        </w:rPr>
        <w:t xml:space="preserve">”. Asimismo, agregó que “[s]i bien en el sometimiento del caso ante la Corte </w:t>
      </w:r>
      <w:r w:rsidR="00BB49BA">
        <w:rPr>
          <w:rFonts w:cs="Arial"/>
          <w:szCs w:val="20"/>
        </w:rPr>
        <w:t>[…]</w:t>
      </w:r>
      <w:r w:rsidR="00902D14" w:rsidRPr="00ED3CC9">
        <w:rPr>
          <w:rFonts w:cs="Arial"/>
          <w:szCs w:val="20"/>
        </w:rPr>
        <w:t xml:space="preserve">, la </w:t>
      </w:r>
      <w:r w:rsidR="00BB49BA">
        <w:rPr>
          <w:rFonts w:cs="Arial"/>
          <w:szCs w:val="20"/>
        </w:rPr>
        <w:t>[Comisión]</w:t>
      </w:r>
      <w:r w:rsidR="00BB49BA" w:rsidRPr="00ED3CC9">
        <w:rPr>
          <w:rFonts w:cs="Arial"/>
          <w:szCs w:val="20"/>
        </w:rPr>
        <w:t xml:space="preserve"> </w:t>
      </w:r>
      <w:r w:rsidR="00902D14" w:rsidRPr="00ED3CC9">
        <w:rPr>
          <w:rFonts w:cs="Arial"/>
          <w:szCs w:val="20"/>
        </w:rPr>
        <w:t>se refiere a la relevancia del caso para el orden público interamericano, no se deti</w:t>
      </w:r>
      <w:r w:rsidR="00C214D1" w:rsidRPr="00ED3CC9">
        <w:rPr>
          <w:rFonts w:cs="Arial"/>
          <w:szCs w:val="20"/>
        </w:rPr>
        <w:t>ene a realizar esta argumentació</w:t>
      </w:r>
      <w:r w:rsidR="00902D14" w:rsidRPr="00ED3CC9">
        <w:rPr>
          <w:rFonts w:cs="Arial"/>
          <w:szCs w:val="20"/>
        </w:rPr>
        <w:t>n para los peritajes solicitados</w:t>
      </w:r>
      <w:r w:rsidR="00C214D1" w:rsidRPr="00ED3CC9">
        <w:rPr>
          <w:rFonts w:cs="Arial"/>
          <w:szCs w:val="20"/>
        </w:rPr>
        <w:t>”</w:t>
      </w:r>
      <w:r w:rsidR="00902D14" w:rsidRPr="00ED3CC9">
        <w:rPr>
          <w:rFonts w:cs="Arial"/>
          <w:szCs w:val="20"/>
        </w:rPr>
        <w:t>.</w:t>
      </w:r>
    </w:p>
    <w:p w:rsidR="00CF6E7B" w:rsidRPr="00ED3CC9" w:rsidRDefault="0054725F" w:rsidP="00ED3CC9">
      <w:pPr>
        <w:numPr>
          <w:ilvl w:val="0"/>
          <w:numId w:val="1"/>
        </w:numPr>
        <w:autoSpaceDE w:val="0"/>
        <w:autoSpaceDN w:val="0"/>
        <w:adjustRightInd w:val="0"/>
        <w:spacing w:before="120"/>
        <w:rPr>
          <w:rFonts w:cs="Arial"/>
          <w:szCs w:val="20"/>
        </w:rPr>
      </w:pPr>
      <w:r>
        <w:rPr>
          <w:szCs w:val="20"/>
        </w:rPr>
        <w:t>R</w:t>
      </w:r>
      <w:r w:rsidR="00CF6E7B" w:rsidRPr="00ED3CC9">
        <w:rPr>
          <w:szCs w:val="20"/>
        </w:rPr>
        <w:t xml:space="preserve">especto a la admisibilidad de los alegatos de la Comisión para sustentar la eventual designación de peritos debido a que se afecta de manera relevante el orden público interamericano, el Presidente hace notar que, conforme al artículo 35.1.f) del Reglamento, </w:t>
      </w:r>
      <w:r w:rsidR="00B653C7" w:rsidRPr="00ED3CC9">
        <w:rPr>
          <w:szCs w:val="20"/>
        </w:rPr>
        <w:t>e</w:t>
      </w:r>
      <w:r w:rsidR="00344175" w:rsidRPr="00ED3CC9">
        <w:rPr>
          <w:szCs w:val="20"/>
        </w:rPr>
        <w:t>stos</w:t>
      </w:r>
      <w:r w:rsidR="00CF6E7B" w:rsidRPr="00ED3CC9">
        <w:rPr>
          <w:szCs w:val="20"/>
        </w:rPr>
        <w:t xml:space="preserve"> deben ser presentados en el escrito de sometimiento del caso. No obstante, la presentación de dichos alegatos</w:t>
      </w:r>
      <w:r w:rsidR="00A91B94" w:rsidRPr="00ED3CC9">
        <w:rPr>
          <w:szCs w:val="20"/>
        </w:rPr>
        <w:t xml:space="preserve"> por parte de la Comisión </w:t>
      </w:r>
      <w:r w:rsidR="00CF6E7B" w:rsidRPr="00ED3CC9">
        <w:rPr>
          <w:szCs w:val="20"/>
        </w:rPr>
        <w:t>en su lista definitiva de declarantes no afecta de manera relevante el principio de igualdad entre las partes ni el derecho a la defensa del Estado. Por tanto, el Presidente admite los referidos alegatos presentados por la Comisión Interamericana en su lista definitiva, con posterioridad al sometimiento del caso, y los tomará en cuenta al momento de evaluar la procedencia de las declaraciones periciales respectivas</w:t>
      </w:r>
      <w:r w:rsidR="00CF6E7B" w:rsidRPr="00ED3CC9">
        <w:rPr>
          <w:rStyle w:val="FootnoteReference"/>
          <w:szCs w:val="20"/>
        </w:rPr>
        <w:footnoteReference w:id="1"/>
      </w:r>
      <w:r w:rsidR="00CF6E7B" w:rsidRPr="00ED3CC9">
        <w:rPr>
          <w:szCs w:val="20"/>
        </w:rPr>
        <w:t>.</w:t>
      </w:r>
    </w:p>
    <w:p w:rsidR="00805076" w:rsidRPr="00ED3CC9" w:rsidRDefault="00805076" w:rsidP="00ED3CC9">
      <w:pPr>
        <w:numPr>
          <w:ilvl w:val="0"/>
          <w:numId w:val="1"/>
        </w:numPr>
        <w:autoSpaceDE w:val="0"/>
        <w:autoSpaceDN w:val="0"/>
        <w:adjustRightInd w:val="0"/>
        <w:spacing w:before="120"/>
        <w:rPr>
          <w:rFonts w:cs="Arial"/>
          <w:szCs w:val="20"/>
        </w:rPr>
      </w:pPr>
      <w:r w:rsidRPr="00ED3CC9">
        <w:rPr>
          <w:rFonts w:cs="Arial"/>
          <w:szCs w:val="20"/>
        </w:rPr>
        <w:t xml:space="preserve">Asimismo, </w:t>
      </w:r>
      <w:r w:rsidR="006B1646" w:rsidRPr="00ED3CC9">
        <w:rPr>
          <w:rFonts w:cs="Arial"/>
          <w:szCs w:val="20"/>
        </w:rPr>
        <w:t>el</w:t>
      </w:r>
      <w:r w:rsidR="00DC7A83" w:rsidRPr="00ED3CC9">
        <w:rPr>
          <w:rFonts w:cs="Arial"/>
          <w:szCs w:val="20"/>
        </w:rPr>
        <w:t xml:space="preserve"> Presidente </w:t>
      </w:r>
      <w:r w:rsidRPr="00ED3CC9">
        <w:rPr>
          <w:rFonts w:cs="Arial"/>
          <w:szCs w:val="20"/>
        </w:rPr>
        <w:t xml:space="preserve">nota que los </w:t>
      </w:r>
      <w:r w:rsidR="00CF6E7B" w:rsidRPr="00ED3CC9">
        <w:rPr>
          <w:rFonts w:eastAsia="Times New Roman" w:cs="Verdana"/>
          <w:szCs w:val="20"/>
          <w:lang w:val="es-CL" w:eastAsia="en-US"/>
        </w:rPr>
        <w:t xml:space="preserve">dictámenes de los </w:t>
      </w:r>
      <w:r w:rsidRPr="00ED3CC9">
        <w:rPr>
          <w:rFonts w:eastAsia="Times New Roman" w:cs="Verdana"/>
          <w:szCs w:val="20"/>
          <w:lang w:val="es-CL" w:eastAsia="en-US"/>
        </w:rPr>
        <w:t>dos</w:t>
      </w:r>
      <w:r w:rsidR="00CF6E7B" w:rsidRPr="00ED3CC9">
        <w:rPr>
          <w:rFonts w:eastAsia="Times New Roman" w:cs="Verdana"/>
          <w:szCs w:val="20"/>
          <w:lang w:val="es-CL" w:eastAsia="en-US"/>
        </w:rPr>
        <w:t xml:space="preserve"> peritos pueden resultar útiles y pertinentes en cuanto a los temas referidos por la Comisión, </w:t>
      </w:r>
      <w:r w:rsidR="00794948" w:rsidRPr="00ED3CC9">
        <w:rPr>
          <w:rFonts w:eastAsia="Times New Roman" w:cs="Verdana"/>
          <w:szCs w:val="20"/>
          <w:lang w:val="es-CL" w:eastAsia="en-US"/>
        </w:rPr>
        <w:t>debido a que implican</w:t>
      </w:r>
      <w:r w:rsidR="00D90199" w:rsidRPr="00ED3CC9">
        <w:rPr>
          <w:szCs w:val="20"/>
        </w:rPr>
        <w:t xml:space="preserve"> un análisis y profundización de estándares internacionales frente a diversos supuestos de violencia contra periodistas y comunicadores. En este sentido, los peritajes propuesto</w:t>
      </w:r>
      <w:r w:rsidR="00794948" w:rsidRPr="00ED3CC9">
        <w:rPr>
          <w:szCs w:val="20"/>
        </w:rPr>
        <w:t>s</w:t>
      </w:r>
      <w:r w:rsidR="00D90199" w:rsidRPr="00ED3CC9">
        <w:rPr>
          <w:szCs w:val="20"/>
        </w:rPr>
        <w:t xml:space="preserve"> trasciende</w:t>
      </w:r>
      <w:r w:rsidR="00794948" w:rsidRPr="00ED3CC9">
        <w:rPr>
          <w:szCs w:val="20"/>
        </w:rPr>
        <w:t>n</w:t>
      </w:r>
      <w:r w:rsidR="00D90199" w:rsidRPr="00ED3CC9">
        <w:rPr>
          <w:szCs w:val="20"/>
        </w:rPr>
        <w:t xml:space="preserve"> los intereses específicos de las partes en el proceso y pueden, eventualmente, tener impacto sobre situaciones que se presentan en otros Estados </w:t>
      </w:r>
      <w:r w:rsidR="00794948" w:rsidRPr="00ED3CC9">
        <w:rPr>
          <w:szCs w:val="20"/>
        </w:rPr>
        <w:t>P</w:t>
      </w:r>
      <w:r w:rsidR="00D90199" w:rsidRPr="00ED3CC9">
        <w:rPr>
          <w:szCs w:val="20"/>
        </w:rPr>
        <w:t>arte de la Convención</w:t>
      </w:r>
      <w:r w:rsidR="00794948" w:rsidRPr="00ED3CC9">
        <w:rPr>
          <w:bCs/>
          <w:iCs/>
          <w:szCs w:val="20"/>
          <w:lang w:val="es-CR"/>
        </w:rPr>
        <w:t xml:space="preserve">. </w:t>
      </w:r>
    </w:p>
    <w:p w:rsidR="00C214D1" w:rsidRPr="00ED3CC9" w:rsidRDefault="004346FA" w:rsidP="00ED3CC9">
      <w:pPr>
        <w:numPr>
          <w:ilvl w:val="0"/>
          <w:numId w:val="1"/>
        </w:numPr>
        <w:autoSpaceDE w:val="0"/>
        <w:autoSpaceDN w:val="0"/>
        <w:adjustRightInd w:val="0"/>
        <w:spacing w:before="120"/>
        <w:rPr>
          <w:rFonts w:cs="Arial"/>
          <w:szCs w:val="20"/>
        </w:rPr>
      </w:pPr>
      <w:r w:rsidRPr="00ED3CC9">
        <w:rPr>
          <w:rFonts w:cs="Arial"/>
          <w:szCs w:val="20"/>
        </w:rPr>
        <w:t xml:space="preserve">En </w:t>
      </w:r>
      <w:r w:rsidR="0098192F" w:rsidRPr="00ED3CC9">
        <w:rPr>
          <w:rFonts w:cs="Arial"/>
          <w:szCs w:val="20"/>
        </w:rPr>
        <w:t xml:space="preserve">lo que se refiere </w:t>
      </w:r>
      <w:r w:rsidR="00CE65FF" w:rsidRPr="00ED3CC9">
        <w:rPr>
          <w:bCs/>
          <w:iCs/>
          <w:szCs w:val="20"/>
          <w:lang w:val="es-CR"/>
        </w:rPr>
        <w:t>el objeto de los dictámenes periciales</w:t>
      </w:r>
      <w:r w:rsidRPr="00ED3CC9">
        <w:rPr>
          <w:rFonts w:cs="Arial"/>
          <w:szCs w:val="20"/>
        </w:rPr>
        <w:t xml:space="preserve">, el Estado </w:t>
      </w:r>
      <w:r w:rsidR="00C66738">
        <w:rPr>
          <w:rFonts w:cs="Arial"/>
          <w:szCs w:val="20"/>
        </w:rPr>
        <w:t xml:space="preserve">afirmó que </w:t>
      </w:r>
      <w:r w:rsidR="00C214D1" w:rsidRPr="00ED3CC9">
        <w:rPr>
          <w:rFonts w:cs="Arial"/>
          <w:szCs w:val="20"/>
        </w:rPr>
        <w:t>“</w:t>
      </w:r>
      <w:r w:rsidR="00817B49">
        <w:rPr>
          <w:rFonts w:cs="Arial"/>
          <w:szCs w:val="20"/>
        </w:rPr>
        <w:t>[</w:t>
      </w:r>
      <w:r w:rsidR="00C214D1" w:rsidRPr="00ED3CC9">
        <w:rPr>
          <w:rFonts w:cs="Arial"/>
          <w:szCs w:val="20"/>
        </w:rPr>
        <w:t>d</w:t>
      </w:r>
      <w:r w:rsidR="00817B49">
        <w:rPr>
          <w:rFonts w:cs="Arial"/>
          <w:szCs w:val="20"/>
        </w:rPr>
        <w:t>]</w:t>
      </w:r>
      <w:r w:rsidR="00C214D1" w:rsidRPr="00ED3CC9">
        <w:rPr>
          <w:rFonts w:cs="Arial"/>
          <w:szCs w:val="20"/>
        </w:rPr>
        <w:t>esde el mismo objeto, es clara la carencia de objetividad de las declaraciones que se rendirán, y que resulta contrario a la razón de ser de un pronunciamiento que debería ser objetivo e imparcial, proveniente de un experto internacional”</w:t>
      </w:r>
      <w:r w:rsidR="00C66738">
        <w:rPr>
          <w:rFonts w:cs="Arial"/>
          <w:szCs w:val="20"/>
        </w:rPr>
        <w:t>. Asimismo,</w:t>
      </w:r>
      <w:r w:rsidR="00A91B94" w:rsidRPr="00ED3CC9">
        <w:rPr>
          <w:rFonts w:cs="Arial"/>
          <w:szCs w:val="20"/>
        </w:rPr>
        <w:t xml:space="preserve"> </w:t>
      </w:r>
      <w:r w:rsidR="00C66738">
        <w:rPr>
          <w:rFonts w:cs="Arial"/>
          <w:szCs w:val="20"/>
        </w:rPr>
        <w:t xml:space="preserve">sostuvo que </w:t>
      </w:r>
      <w:r w:rsidR="00C214D1" w:rsidRPr="00ED3CC9">
        <w:rPr>
          <w:rFonts w:cs="Arial"/>
          <w:szCs w:val="20"/>
        </w:rPr>
        <w:t>“</w:t>
      </w:r>
      <w:r w:rsidR="00817B49">
        <w:rPr>
          <w:rFonts w:cs="Arial"/>
          <w:szCs w:val="20"/>
        </w:rPr>
        <w:t>[</w:t>
      </w:r>
      <w:r w:rsidR="00C214D1" w:rsidRPr="00ED3CC9">
        <w:rPr>
          <w:rFonts w:cs="Arial"/>
          <w:szCs w:val="20"/>
        </w:rPr>
        <w:t>a</w:t>
      </w:r>
      <w:r w:rsidR="00817B49">
        <w:rPr>
          <w:rFonts w:cs="Arial"/>
          <w:szCs w:val="20"/>
        </w:rPr>
        <w:t>]</w:t>
      </w:r>
      <w:r w:rsidR="00C214D1" w:rsidRPr="00ED3CC9">
        <w:rPr>
          <w:rFonts w:cs="Arial"/>
          <w:szCs w:val="20"/>
        </w:rPr>
        <w:t xml:space="preserve">mbas declaraciones parten del hecho de la existencia de </w:t>
      </w:r>
      <w:r w:rsidR="00C66738">
        <w:rPr>
          <w:rFonts w:cs="Arial"/>
          <w:szCs w:val="20"/>
        </w:rPr>
        <w:t>‘</w:t>
      </w:r>
      <w:r w:rsidR="00C214D1" w:rsidRPr="00ED3CC9">
        <w:rPr>
          <w:rFonts w:cs="Arial"/>
          <w:szCs w:val="20"/>
        </w:rPr>
        <w:t>impunidad</w:t>
      </w:r>
      <w:r w:rsidR="00C66738">
        <w:rPr>
          <w:rFonts w:cs="Arial"/>
          <w:szCs w:val="20"/>
        </w:rPr>
        <w:t>’</w:t>
      </w:r>
      <w:r w:rsidR="00C214D1" w:rsidRPr="00ED3CC9">
        <w:rPr>
          <w:rFonts w:cs="Arial"/>
          <w:szCs w:val="20"/>
        </w:rPr>
        <w:t xml:space="preserve"> en el caso particular del Nelson Carvajal [lo cual es], el objeto del litigio, y partir de este supuesto es prejuzgar el caso y arremeter contra toda norma de debido proceso en el marco de este proceso</w:t>
      </w:r>
      <w:r w:rsidR="00817B49">
        <w:rPr>
          <w:rFonts w:cs="Arial"/>
          <w:szCs w:val="20"/>
        </w:rPr>
        <w:t xml:space="preserve"> internacional</w:t>
      </w:r>
      <w:r w:rsidR="00C214D1" w:rsidRPr="00ED3CC9">
        <w:rPr>
          <w:rFonts w:cs="Arial"/>
          <w:szCs w:val="20"/>
        </w:rPr>
        <w:t>”</w:t>
      </w:r>
      <w:r w:rsidR="00C66738">
        <w:rPr>
          <w:rFonts w:cs="Arial"/>
          <w:szCs w:val="20"/>
        </w:rPr>
        <w:t>. A</w:t>
      </w:r>
      <w:r w:rsidR="00C214D1" w:rsidRPr="00ED3CC9">
        <w:rPr>
          <w:rFonts w:cs="Arial"/>
          <w:szCs w:val="20"/>
        </w:rPr>
        <w:t>greg</w:t>
      </w:r>
      <w:r w:rsidR="00C66738">
        <w:rPr>
          <w:rFonts w:cs="Arial"/>
          <w:szCs w:val="20"/>
        </w:rPr>
        <w:t>ó</w:t>
      </w:r>
      <w:r w:rsidR="00C214D1" w:rsidRPr="00ED3CC9">
        <w:rPr>
          <w:rFonts w:cs="Arial"/>
          <w:szCs w:val="20"/>
        </w:rPr>
        <w:t xml:space="preserve"> que “[e]l debate jurídico y probatorio que se presenta ante la […]</w:t>
      </w:r>
      <w:r w:rsidR="007034AD" w:rsidRPr="00ED3CC9">
        <w:rPr>
          <w:rFonts w:cs="Arial"/>
          <w:szCs w:val="20"/>
        </w:rPr>
        <w:t xml:space="preserve"> </w:t>
      </w:r>
      <w:r w:rsidR="00C214D1" w:rsidRPr="00ED3CC9">
        <w:rPr>
          <w:rFonts w:cs="Arial"/>
          <w:szCs w:val="20"/>
        </w:rPr>
        <w:t xml:space="preserve">Corte </w:t>
      </w:r>
      <w:r w:rsidR="00BB49BA">
        <w:rPr>
          <w:rFonts w:cs="Arial"/>
          <w:szCs w:val="20"/>
        </w:rPr>
        <w:t>[…]</w:t>
      </w:r>
      <w:r w:rsidR="00BB49BA" w:rsidRPr="00ED3CC9">
        <w:rPr>
          <w:rFonts w:cs="Arial"/>
          <w:szCs w:val="20"/>
        </w:rPr>
        <w:t xml:space="preserve"> </w:t>
      </w:r>
      <w:r w:rsidR="00A91B94" w:rsidRPr="00ED3CC9">
        <w:rPr>
          <w:rFonts w:cs="Arial"/>
          <w:szCs w:val="20"/>
        </w:rPr>
        <w:t>está</w:t>
      </w:r>
      <w:r w:rsidR="00C214D1" w:rsidRPr="00ED3CC9">
        <w:rPr>
          <w:rFonts w:cs="Arial"/>
          <w:szCs w:val="20"/>
        </w:rPr>
        <w:t xml:space="preserve"> encamina</w:t>
      </w:r>
      <w:r w:rsidR="00A91B94" w:rsidRPr="00ED3CC9">
        <w:rPr>
          <w:rFonts w:cs="Arial"/>
          <w:szCs w:val="20"/>
        </w:rPr>
        <w:t>do en gran medida a determinar l</w:t>
      </w:r>
      <w:r w:rsidR="00C214D1" w:rsidRPr="00ED3CC9">
        <w:rPr>
          <w:rFonts w:cs="Arial"/>
          <w:szCs w:val="20"/>
        </w:rPr>
        <w:t xml:space="preserve">a existencia o no de impunidad en el caso del asesinato del </w:t>
      </w:r>
      <w:r w:rsidR="00A91B94" w:rsidRPr="00ED3CC9">
        <w:rPr>
          <w:rFonts w:cs="Arial"/>
          <w:szCs w:val="20"/>
        </w:rPr>
        <w:t>señor</w:t>
      </w:r>
      <w:r w:rsidR="00C214D1" w:rsidRPr="00ED3CC9">
        <w:rPr>
          <w:rFonts w:cs="Arial"/>
          <w:szCs w:val="20"/>
        </w:rPr>
        <w:t xml:space="preserve"> Carvajal, y por tanto, que un peritaje parta de</w:t>
      </w:r>
      <w:r w:rsidR="00B821CF" w:rsidRPr="00ED3CC9">
        <w:rPr>
          <w:rFonts w:cs="Arial"/>
          <w:szCs w:val="20"/>
        </w:rPr>
        <w:t>sde su objeto con esta afirmació</w:t>
      </w:r>
      <w:r w:rsidR="00C214D1" w:rsidRPr="00ED3CC9">
        <w:rPr>
          <w:rFonts w:cs="Arial"/>
          <w:szCs w:val="20"/>
        </w:rPr>
        <w:t>n es flagrantemente ilegal y contrario al fin de los pr</w:t>
      </w:r>
      <w:r w:rsidR="00A91B94" w:rsidRPr="00ED3CC9">
        <w:rPr>
          <w:rFonts w:cs="Arial"/>
          <w:szCs w:val="20"/>
        </w:rPr>
        <w:t>ocedimientos ante la Corte</w:t>
      </w:r>
      <w:r w:rsidR="00817B49">
        <w:rPr>
          <w:rFonts w:cs="Arial"/>
          <w:szCs w:val="20"/>
        </w:rPr>
        <w:t xml:space="preserve"> […]</w:t>
      </w:r>
      <w:r w:rsidR="00A91B94" w:rsidRPr="00ED3CC9">
        <w:rPr>
          <w:rFonts w:cs="Arial"/>
          <w:szCs w:val="20"/>
        </w:rPr>
        <w:t>”.</w:t>
      </w:r>
    </w:p>
    <w:p w:rsidR="00001166" w:rsidRPr="00001166" w:rsidRDefault="00C66738" w:rsidP="00ED3CC9">
      <w:pPr>
        <w:pStyle w:val="BodyTextIndent"/>
        <w:numPr>
          <w:ilvl w:val="0"/>
          <w:numId w:val="1"/>
        </w:numPr>
        <w:tabs>
          <w:tab w:val="left" w:pos="0"/>
          <w:tab w:val="left" w:pos="810"/>
        </w:tabs>
        <w:spacing w:before="120"/>
        <w:ind w:left="0"/>
        <w:rPr>
          <w:rFonts w:cs="Verdana"/>
          <w:szCs w:val="20"/>
          <w:lang w:bidi="en-US"/>
        </w:rPr>
      </w:pPr>
      <w:r w:rsidRPr="00001166">
        <w:rPr>
          <w:szCs w:val="20"/>
          <w:lang w:val="es-CR"/>
        </w:rPr>
        <w:t>Esta Presidencia considera que s</w:t>
      </w:r>
      <w:r w:rsidR="007034AD" w:rsidRPr="00001166">
        <w:rPr>
          <w:szCs w:val="20"/>
          <w:lang w:val="es-CR"/>
        </w:rPr>
        <w:t>i bien e</w:t>
      </w:r>
      <w:r w:rsidR="00340EE0" w:rsidRPr="00001166">
        <w:rPr>
          <w:szCs w:val="20"/>
        </w:rPr>
        <w:t xml:space="preserve">l Estado </w:t>
      </w:r>
      <w:r w:rsidR="007034AD" w:rsidRPr="00001166">
        <w:rPr>
          <w:szCs w:val="20"/>
        </w:rPr>
        <w:t xml:space="preserve">sostuvo </w:t>
      </w:r>
      <w:r w:rsidR="00340EE0" w:rsidRPr="00001166">
        <w:rPr>
          <w:szCs w:val="20"/>
        </w:rPr>
        <w:t>que un peritaje debe ser “objetivo e imparcial”, no afirmó que las personas propuestas como peritos carezcan de objetividad o sea</w:t>
      </w:r>
      <w:r w:rsidR="007034AD" w:rsidRPr="00001166">
        <w:rPr>
          <w:szCs w:val="20"/>
        </w:rPr>
        <w:t>n</w:t>
      </w:r>
      <w:r w:rsidR="00340EE0" w:rsidRPr="00001166">
        <w:rPr>
          <w:szCs w:val="20"/>
        </w:rPr>
        <w:t xml:space="preserve"> parcial</w:t>
      </w:r>
      <w:r w:rsidR="007034AD" w:rsidRPr="00001166">
        <w:rPr>
          <w:szCs w:val="20"/>
        </w:rPr>
        <w:t>es</w:t>
      </w:r>
      <w:r w:rsidR="00340EE0" w:rsidRPr="00001166">
        <w:rPr>
          <w:szCs w:val="20"/>
        </w:rPr>
        <w:t>, sino que entendió que el modo en que está</w:t>
      </w:r>
      <w:r w:rsidR="007034AD" w:rsidRPr="00001166">
        <w:rPr>
          <w:szCs w:val="20"/>
        </w:rPr>
        <w:t>n</w:t>
      </w:r>
      <w:r w:rsidR="00340EE0" w:rsidRPr="00001166">
        <w:rPr>
          <w:szCs w:val="20"/>
        </w:rPr>
        <w:t xml:space="preserve"> propuesto</w:t>
      </w:r>
      <w:r w:rsidR="007034AD" w:rsidRPr="00001166">
        <w:rPr>
          <w:szCs w:val="20"/>
        </w:rPr>
        <w:t>s</w:t>
      </w:r>
      <w:r w:rsidR="00340EE0" w:rsidRPr="00001166">
        <w:rPr>
          <w:szCs w:val="20"/>
        </w:rPr>
        <w:t xml:space="preserve"> </w:t>
      </w:r>
      <w:r w:rsidR="007034AD" w:rsidRPr="00001166">
        <w:rPr>
          <w:szCs w:val="20"/>
        </w:rPr>
        <w:t>los</w:t>
      </w:r>
      <w:r w:rsidR="00340EE0" w:rsidRPr="00001166">
        <w:rPr>
          <w:szCs w:val="20"/>
        </w:rPr>
        <w:t xml:space="preserve"> objeto</w:t>
      </w:r>
      <w:r w:rsidR="007034AD" w:rsidRPr="00001166">
        <w:rPr>
          <w:szCs w:val="20"/>
        </w:rPr>
        <w:t>s</w:t>
      </w:r>
      <w:r w:rsidR="00340EE0" w:rsidRPr="00001166">
        <w:rPr>
          <w:szCs w:val="20"/>
        </w:rPr>
        <w:t xml:space="preserve"> de</w:t>
      </w:r>
      <w:r w:rsidR="007034AD" w:rsidRPr="00001166">
        <w:rPr>
          <w:szCs w:val="20"/>
        </w:rPr>
        <w:t xml:space="preserve"> </w:t>
      </w:r>
      <w:r w:rsidR="00340EE0" w:rsidRPr="00001166">
        <w:rPr>
          <w:szCs w:val="20"/>
        </w:rPr>
        <w:t>l</w:t>
      </w:r>
      <w:r w:rsidR="007034AD" w:rsidRPr="00001166">
        <w:rPr>
          <w:szCs w:val="20"/>
        </w:rPr>
        <w:t>os</w:t>
      </w:r>
      <w:r w:rsidR="00340EE0" w:rsidRPr="00001166">
        <w:rPr>
          <w:szCs w:val="20"/>
        </w:rPr>
        <w:t xml:space="preserve"> peritaje</w:t>
      </w:r>
      <w:r w:rsidR="007034AD" w:rsidRPr="00001166">
        <w:rPr>
          <w:szCs w:val="20"/>
        </w:rPr>
        <w:t>s</w:t>
      </w:r>
      <w:r w:rsidR="00340EE0" w:rsidRPr="00001166">
        <w:rPr>
          <w:szCs w:val="20"/>
        </w:rPr>
        <w:t xml:space="preserve"> implica un prejuzgamiento sobre el caso.</w:t>
      </w:r>
      <w:r w:rsidR="00001166" w:rsidRPr="00001166">
        <w:rPr>
          <w:szCs w:val="20"/>
        </w:rPr>
        <w:t xml:space="preserve"> </w:t>
      </w:r>
    </w:p>
    <w:p w:rsidR="000C54FA" w:rsidRPr="00001166" w:rsidRDefault="003C0D34" w:rsidP="00ED3CC9">
      <w:pPr>
        <w:pStyle w:val="BodyTextIndent"/>
        <w:numPr>
          <w:ilvl w:val="0"/>
          <w:numId w:val="1"/>
        </w:numPr>
        <w:tabs>
          <w:tab w:val="left" w:pos="0"/>
          <w:tab w:val="left" w:pos="810"/>
        </w:tabs>
        <w:spacing w:before="120"/>
        <w:ind w:left="0"/>
        <w:rPr>
          <w:rFonts w:cs="Verdana"/>
          <w:szCs w:val="20"/>
          <w:lang w:bidi="en-US"/>
        </w:rPr>
      </w:pPr>
      <w:r w:rsidRPr="00001166">
        <w:rPr>
          <w:szCs w:val="20"/>
        </w:rPr>
        <w:t xml:space="preserve">De acuerdo a lo anterior, esta Presidencia entiende que el cuestionamiento de Colombia no tiene entidad suficiente para generar la inadmisión de las pericias de los señores Kaye y </w:t>
      </w:r>
      <w:r w:rsidRPr="00001166">
        <w:rPr>
          <w:szCs w:val="20"/>
        </w:rPr>
        <w:lastRenderedPageBreak/>
        <w:t>Lauría</w:t>
      </w:r>
      <w:r w:rsidR="00434688">
        <w:rPr>
          <w:szCs w:val="20"/>
        </w:rPr>
        <w:t>,</w:t>
      </w:r>
      <w:r w:rsidRPr="00001166">
        <w:rPr>
          <w:szCs w:val="20"/>
        </w:rPr>
        <w:t xml:space="preserve"> por lo que </w:t>
      </w:r>
      <w:r w:rsidR="000C54FA" w:rsidRPr="00001166">
        <w:rPr>
          <w:rFonts w:cs="Verdana"/>
          <w:szCs w:val="20"/>
          <w:lang w:bidi="en-US"/>
        </w:rPr>
        <w:t xml:space="preserve">estima conducente </w:t>
      </w:r>
      <w:r w:rsidRPr="00001166">
        <w:rPr>
          <w:rFonts w:eastAsia="Times New Roman" w:cs="Verdana"/>
          <w:szCs w:val="20"/>
          <w:lang w:val="es-CL" w:eastAsia="en-US"/>
        </w:rPr>
        <w:t>su admisión. S</w:t>
      </w:r>
      <w:r w:rsidRPr="00001166">
        <w:rPr>
          <w:szCs w:val="20"/>
        </w:rPr>
        <w:t xml:space="preserve">in perjuicio de </w:t>
      </w:r>
      <w:r w:rsidR="00434688">
        <w:rPr>
          <w:szCs w:val="20"/>
        </w:rPr>
        <w:t>ello</w:t>
      </w:r>
      <w:r w:rsidRPr="00001166">
        <w:rPr>
          <w:szCs w:val="20"/>
        </w:rPr>
        <w:t>, se tendrá en consideración el señalamiento estatal respecto a los objetos de las declaraciones</w:t>
      </w:r>
      <w:r w:rsidRPr="00ED3CC9">
        <w:rPr>
          <w:rStyle w:val="FootnoteReference"/>
          <w:szCs w:val="20"/>
        </w:rPr>
        <w:footnoteReference w:id="2"/>
      </w:r>
      <w:r w:rsidR="00A74B5A" w:rsidRPr="00001166">
        <w:rPr>
          <w:rFonts w:cs="Verdana"/>
          <w:szCs w:val="20"/>
          <w:lang w:bidi="en-US"/>
        </w:rPr>
        <w:t xml:space="preserve">. </w:t>
      </w:r>
      <w:r w:rsidR="00434688">
        <w:rPr>
          <w:rFonts w:cs="Verdana"/>
          <w:szCs w:val="20"/>
          <w:lang w:bidi="en-US"/>
        </w:rPr>
        <w:t>Dichos</w:t>
      </w:r>
      <w:r w:rsidR="00A74B5A" w:rsidRPr="00001166">
        <w:rPr>
          <w:szCs w:val="20"/>
          <w:lang w:val="es-CR"/>
        </w:rPr>
        <w:t xml:space="preserve"> objeto</w:t>
      </w:r>
      <w:r w:rsidR="00434688">
        <w:rPr>
          <w:szCs w:val="20"/>
          <w:lang w:val="es-CR"/>
        </w:rPr>
        <w:t>s</w:t>
      </w:r>
      <w:r w:rsidR="00A74B5A" w:rsidRPr="00001166">
        <w:rPr>
          <w:szCs w:val="20"/>
          <w:lang w:val="es-CR"/>
        </w:rPr>
        <w:t xml:space="preserve"> y </w:t>
      </w:r>
      <w:r w:rsidR="00560471">
        <w:rPr>
          <w:szCs w:val="20"/>
          <w:lang w:val="es-CR"/>
        </w:rPr>
        <w:t>la</w:t>
      </w:r>
      <w:r w:rsidR="00A74B5A" w:rsidRPr="00001166">
        <w:rPr>
          <w:szCs w:val="20"/>
          <w:lang w:val="es-CR"/>
        </w:rPr>
        <w:t xml:space="preserve"> modalidad de </w:t>
      </w:r>
      <w:r w:rsidR="008B0907">
        <w:rPr>
          <w:szCs w:val="20"/>
          <w:lang w:val="es-CR"/>
        </w:rPr>
        <w:t>las mismas</w:t>
      </w:r>
      <w:r w:rsidR="00A74B5A" w:rsidRPr="00001166">
        <w:rPr>
          <w:szCs w:val="20"/>
          <w:lang w:val="es-CR"/>
        </w:rPr>
        <w:t xml:space="preserve"> se determina</w:t>
      </w:r>
      <w:r w:rsidRPr="00001166">
        <w:rPr>
          <w:szCs w:val="20"/>
          <w:lang w:val="es-CR"/>
        </w:rPr>
        <w:t>rá</w:t>
      </w:r>
      <w:r w:rsidR="00434688">
        <w:rPr>
          <w:szCs w:val="20"/>
          <w:lang w:val="es-CR"/>
        </w:rPr>
        <w:t>n</w:t>
      </w:r>
      <w:r w:rsidR="00A74B5A" w:rsidRPr="00001166">
        <w:rPr>
          <w:szCs w:val="20"/>
          <w:lang w:val="es-CR"/>
        </w:rPr>
        <w:t xml:space="preserve"> en la parte resolutiva de la presente Resolución (</w:t>
      </w:r>
      <w:r w:rsidR="00A74B5A" w:rsidRPr="00001166">
        <w:rPr>
          <w:i/>
          <w:iCs/>
          <w:szCs w:val="20"/>
          <w:lang w:val="es-CR"/>
        </w:rPr>
        <w:t>infra</w:t>
      </w:r>
      <w:r w:rsidR="00A74B5A" w:rsidRPr="00001166">
        <w:rPr>
          <w:szCs w:val="20"/>
          <w:lang w:val="es-CR"/>
        </w:rPr>
        <w:t xml:space="preserve"> punto</w:t>
      </w:r>
      <w:r w:rsidR="003061F8" w:rsidRPr="00001166">
        <w:rPr>
          <w:szCs w:val="20"/>
          <w:lang w:val="es-CR"/>
        </w:rPr>
        <w:t>s</w:t>
      </w:r>
      <w:r w:rsidR="00A74B5A" w:rsidRPr="00001166">
        <w:rPr>
          <w:szCs w:val="20"/>
          <w:lang w:val="es-CR"/>
        </w:rPr>
        <w:t xml:space="preserve"> resolutivo</w:t>
      </w:r>
      <w:r w:rsidR="003061F8" w:rsidRPr="00001166">
        <w:rPr>
          <w:szCs w:val="20"/>
          <w:lang w:val="es-CR"/>
        </w:rPr>
        <w:t>s</w:t>
      </w:r>
      <w:r w:rsidR="00A74B5A" w:rsidRPr="00001166">
        <w:rPr>
          <w:szCs w:val="20"/>
          <w:lang w:val="es-CR"/>
        </w:rPr>
        <w:t xml:space="preserve"> </w:t>
      </w:r>
      <w:r w:rsidR="00560471">
        <w:rPr>
          <w:szCs w:val="20"/>
          <w:lang w:val="es-CR"/>
        </w:rPr>
        <w:t>1</w:t>
      </w:r>
      <w:r w:rsidR="00C214D1" w:rsidRPr="00001166">
        <w:rPr>
          <w:szCs w:val="20"/>
          <w:lang w:val="es-CR"/>
        </w:rPr>
        <w:t xml:space="preserve"> y </w:t>
      </w:r>
      <w:r w:rsidR="00560471">
        <w:rPr>
          <w:szCs w:val="20"/>
          <w:lang w:val="es-CR"/>
        </w:rPr>
        <w:t>4</w:t>
      </w:r>
      <w:r w:rsidR="00A74B5A" w:rsidRPr="00001166">
        <w:rPr>
          <w:szCs w:val="20"/>
          <w:lang w:val="es-CR"/>
        </w:rPr>
        <w:t>).</w:t>
      </w:r>
    </w:p>
    <w:p w:rsidR="006D3211" w:rsidRPr="00ED3CC9" w:rsidRDefault="00187A4E" w:rsidP="00ED3CC9">
      <w:pPr>
        <w:pStyle w:val="ListParagraph1"/>
        <w:numPr>
          <w:ilvl w:val="0"/>
          <w:numId w:val="3"/>
        </w:numPr>
        <w:spacing w:before="120" w:after="120"/>
        <w:ind w:right="11"/>
        <w:jc w:val="both"/>
        <w:rPr>
          <w:rFonts w:ascii="Verdana" w:hAnsi="Verdana" w:cs="Verdana"/>
          <w:b/>
          <w:bCs/>
          <w:i/>
          <w:iCs/>
          <w:sz w:val="20"/>
          <w:szCs w:val="20"/>
        </w:rPr>
      </w:pPr>
      <w:r w:rsidRPr="00ED3CC9">
        <w:rPr>
          <w:rFonts w:ascii="Verdana" w:hAnsi="Verdana" w:cs="Verdana"/>
          <w:b/>
          <w:bCs/>
          <w:i/>
          <w:iCs/>
          <w:sz w:val="20"/>
          <w:szCs w:val="20"/>
        </w:rPr>
        <w:t>Admisibilidad de las declaraciones de las presuntas víctimas, testigo y perito ofrecidas por los representantes de las presuntas víctimas</w:t>
      </w:r>
    </w:p>
    <w:p w:rsidR="0054725F" w:rsidRDefault="00187A4E" w:rsidP="002038A0">
      <w:pPr>
        <w:pStyle w:val="BodyTextIndent"/>
        <w:numPr>
          <w:ilvl w:val="0"/>
          <w:numId w:val="1"/>
        </w:numPr>
        <w:tabs>
          <w:tab w:val="left" w:pos="0"/>
          <w:tab w:val="left" w:pos="810"/>
        </w:tabs>
        <w:spacing w:before="120"/>
        <w:ind w:left="0"/>
        <w:rPr>
          <w:rFonts w:cs="Verdana"/>
          <w:szCs w:val="20"/>
          <w:lang w:val="es-ES"/>
        </w:rPr>
      </w:pPr>
      <w:r w:rsidRPr="00187A4E">
        <w:rPr>
          <w:rFonts w:cs="Verdana"/>
          <w:szCs w:val="20"/>
          <w:lang w:val="es-ES"/>
        </w:rPr>
        <w:t>Los representantes ofrecieron las declaraciones testimoniales de</w:t>
      </w:r>
      <w:r w:rsidRPr="00ED3CC9">
        <w:rPr>
          <w:rFonts w:cs="Verdana"/>
          <w:szCs w:val="20"/>
          <w:lang w:val="es-ES"/>
        </w:rPr>
        <w:t xml:space="preserve"> </w:t>
      </w:r>
      <w:r w:rsidR="0054725F">
        <w:rPr>
          <w:rFonts w:cs="Verdana"/>
          <w:szCs w:val="20"/>
          <w:lang w:val="es-ES"/>
        </w:rPr>
        <w:t>catorce</w:t>
      </w:r>
      <w:r w:rsidRPr="00ED3CC9">
        <w:rPr>
          <w:rFonts w:cs="Verdana"/>
          <w:szCs w:val="20"/>
          <w:lang w:val="es-ES"/>
        </w:rPr>
        <w:t xml:space="preserve"> presuntas víctimas</w:t>
      </w:r>
      <w:r w:rsidR="0054725F">
        <w:rPr>
          <w:rFonts w:cs="Verdana"/>
          <w:szCs w:val="20"/>
          <w:lang w:val="es-ES"/>
        </w:rPr>
        <w:t xml:space="preserve">, la declaración testimonial de Diana Calderón y el peritaje de </w:t>
      </w:r>
      <w:r w:rsidR="0054725F" w:rsidRPr="0054725F">
        <w:rPr>
          <w:rFonts w:cs="Verdana"/>
          <w:szCs w:val="20"/>
          <w:lang w:val="es-ES"/>
        </w:rPr>
        <w:t>Pedro José Vaca Villareal</w:t>
      </w:r>
      <w:r w:rsidR="0054725F">
        <w:rPr>
          <w:rFonts w:cs="Verdana"/>
          <w:szCs w:val="20"/>
          <w:lang w:val="es-ES"/>
        </w:rPr>
        <w:t xml:space="preserve">. </w:t>
      </w:r>
      <w:r w:rsidR="0054725F" w:rsidRPr="00ED3CC9">
        <w:rPr>
          <w:rFonts w:cs="Verdana"/>
          <w:szCs w:val="20"/>
          <w:lang w:val="es-ES"/>
        </w:rPr>
        <w:t>El Estado presentó objeciones en relación con el objeto de dichas declaraciones.</w:t>
      </w:r>
    </w:p>
    <w:p w:rsidR="0054725F" w:rsidRPr="0054725F" w:rsidRDefault="0054725F" w:rsidP="00ED3CC9">
      <w:pPr>
        <w:numPr>
          <w:ilvl w:val="0"/>
          <w:numId w:val="1"/>
        </w:numPr>
        <w:autoSpaceDE w:val="0"/>
        <w:autoSpaceDN w:val="0"/>
        <w:adjustRightInd w:val="0"/>
        <w:spacing w:before="120"/>
        <w:rPr>
          <w:rFonts w:cs="Verdana"/>
          <w:szCs w:val="20"/>
          <w:lang w:val="es-ES"/>
        </w:rPr>
      </w:pPr>
      <w:r w:rsidRPr="0054725F">
        <w:rPr>
          <w:szCs w:val="20"/>
        </w:rPr>
        <w:t xml:space="preserve">Los representantes ofrecieron las </w:t>
      </w:r>
      <w:r>
        <w:rPr>
          <w:szCs w:val="20"/>
        </w:rPr>
        <w:t xml:space="preserve">referidas </w:t>
      </w:r>
      <w:r w:rsidRPr="0054725F">
        <w:rPr>
          <w:szCs w:val="20"/>
        </w:rPr>
        <w:t>declaraciones con el propósito de que declararan sobre:</w:t>
      </w:r>
    </w:p>
    <w:p w:rsidR="00187A4E" w:rsidRPr="00ED3CC9" w:rsidRDefault="00187A4E" w:rsidP="0054725F">
      <w:pPr>
        <w:numPr>
          <w:ilvl w:val="0"/>
          <w:numId w:val="25"/>
        </w:numPr>
        <w:autoSpaceDE w:val="0"/>
        <w:autoSpaceDN w:val="0"/>
        <w:adjustRightInd w:val="0"/>
        <w:spacing w:before="120"/>
        <w:ind w:left="567" w:firstLine="0"/>
        <w:rPr>
          <w:szCs w:val="20"/>
        </w:rPr>
      </w:pPr>
      <w:r w:rsidRPr="00ED3CC9">
        <w:rPr>
          <w:i/>
          <w:iCs/>
          <w:szCs w:val="20"/>
        </w:rPr>
        <w:t xml:space="preserve">Luz </w:t>
      </w:r>
      <w:r w:rsidR="002468EE">
        <w:rPr>
          <w:i/>
          <w:iCs/>
          <w:szCs w:val="20"/>
        </w:rPr>
        <w:t>Es</w:t>
      </w:r>
      <w:r w:rsidRPr="00ED3CC9">
        <w:rPr>
          <w:i/>
          <w:iCs/>
          <w:szCs w:val="20"/>
        </w:rPr>
        <w:t>tela Bolaños Rodríguez</w:t>
      </w:r>
      <w:r w:rsidR="009E0E8B" w:rsidRPr="00ED3CC9">
        <w:rPr>
          <w:i/>
          <w:iCs/>
          <w:szCs w:val="20"/>
        </w:rPr>
        <w:t xml:space="preserve"> – </w:t>
      </w:r>
      <w:r w:rsidR="009E0E8B" w:rsidRPr="00ED3CC9">
        <w:rPr>
          <w:rFonts w:eastAsiaTheme="minorHAnsi" w:cs="Tahoma"/>
          <w:szCs w:val="20"/>
          <w:lang w:val="es-CR" w:eastAsia="en-US"/>
        </w:rPr>
        <w:t>“la labor que realizaba su esposo Nelson y su vida familiar. También declarará sobre la forma en que se enteró de la muerte de su esposo; las gestiones realizadas para obtener justicia; los obstáculos enfrentados para participar en el proceso de investigación y las amenazas recibidas; la forma en que estos hechos le han afectado a la declarante y a su familia, en particular sobre la experiencia de tener que huir del país con sus hijas y solicitar asilo en el extranjero como consecuencia de dichas amenazas; así como las medidas que debería adoptar el Estado para reparar el daño causado, entre otros aspectos relevantes para el caso</w:t>
      </w:r>
      <w:r w:rsidR="0054725F">
        <w:rPr>
          <w:rFonts w:eastAsiaTheme="minorHAnsi" w:cs="Tahoma"/>
          <w:szCs w:val="20"/>
          <w:lang w:val="es-CR" w:eastAsia="en-US"/>
        </w:rPr>
        <w:t>”</w:t>
      </w:r>
      <w:r w:rsidR="009E0E8B" w:rsidRPr="00ED3CC9">
        <w:rPr>
          <w:rFonts w:eastAsiaTheme="minorHAnsi" w:cs="Tahoma"/>
          <w:szCs w:val="20"/>
          <w:lang w:val="es-CR" w:eastAsia="en-US"/>
        </w:rPr>
        <w:t>.</w:t>
      </w:r>
    </w:p>
    <w:p w:rsidR="00187A4E" w:rsidRPr="00ED3CC9" w:rsidRDefault="00187A4E" w:rsidP="0054725F">
      <w:pPr>
        <w:numPr>
          <w:ilvl w:val="0"/>
          <w:numId w:val="25"/>
        </w:numPr>
        <w:autoSpaceDE w:val="0"/>
        <w:autoSpaceDN w:val="0"/>
        <w:adjustRightInd w:val="0"/>
        <w:spacing w:before="120"/>
        <w:ind w:left="567" w:firstLine="0"/>
        <w:rPr>
          <w:szCs w:val="20"/>
        </w:rPr>
      </w:pPr>
      <w:r w:rsidRPr="00ED3CC9">
        <w:rPr>
          <w:i/>
          <w:iCs/>
          <w:szCs w:val="20"/>
        </w:rPr>
        <w:t>Paola Andrea Carvajal Bolaños</w:t>
      </w:r>
      <w:r w:rsidR="009E0E8B" w:rsidRPr="00ED3CC9">
        <w:rPr>
          <w:i/>
          <w:iCs/>
          <w:szCs w:val="20"/>
        </w:rPr>
        <w:t xml:space="preserve"> </w:t>
      </w:r>
      <w:r w:rsidR="009E0E8B" w:rsidRPr="00ED3CC9">
        <w:rPr>
          <w:iCs/>
          <w:szCs w:val="20"/>
        </w:rPr>
        <w:t>y</w:t>
      </w:r>
      <w:r w:rsidR="009E0E8B" w:rsidRPr="00ED3CC9">
        <w:rPr>
          <w:i/>
          <w:iCs/>
          <w:szCs w:val="20"/>
        </w:rPr>
        <w:t xml:space="preserve"> María Alejandra Carvajal Bolaños</w:t>
      </w:r>
      <w:r w:rsidR="009E0E8B" w:rsidRPr="00ED3CC9">
        <w:rPr>
          <w:iCs/>
          <w:szCs w:val="20"/>
        </w:rPr>
        <w:t xml:space="preserve"> cuyas declaraciones tienen por objeto declarar sobre </w:t>
      </w:r>
      <w:r w:rsidR="009E0E8B" w:rsidRPr="00ED3CC9">
        <w:rPr>
          <w:i/>
          <w:iCs/>
          <w:szCs w:val="20"/>
        </w:rPr>
        <w:t xml:space="preserve">– </w:t>
      </w:r>
      <w:r w:rsidR="009E0E8B" w:rsidRPr="00ED3CC9">
        <w:rPr>
          <w:rFonts w:eastAsiaTheme="minorHAnsi" w:cs="Tahoma"/>
          <w:szCs w:val="20"/>
          <w:lang w:val="es-CR" w:eastAsia="en-US"/>
        </w:rPr>
        <w:t>“cómo las amenazas sufridas por</w:t>
      </w:r>
      <w:r w:rsidR="009E0E8B" w:rsidRPr="00E64738">
        <w:rPr>
          <w:rFonts w:eastAsiaTheme="minorHAnsi" w:cs="Tahoma"/>
          <w:szCs w:val="20"/>
          <w:lang w:val="es-CR" w:eastAsia="en-US"/>
        </w:rPr>
        <w:t xml:space="preserve"> </w:t>
      </w:r>
      <w:r w:rsidR="009E0E8B" w:rsidRPr="00097299">
        <w:rPr>
          <w:iCs/>
          <w:szCs w:val="20"/>
        </w:rPr>
        <w:t>ella</w:t>
      </w:r>
      <w:r w:rsidR="002468EE" w:rsidRPr="00097299">
        <w:rPr>
          <w:iCs/>
          <w:szCs w:val="20"/>
        </w:rPr>
        <w:t>[s]</w:t>
      </w:r>
      <w:r w:rsidR="009E0E8B" w:rsidRPr="00ED3CC9">
        <w:rPr>
          <w:rFonts w:eastAsiaTheme="minorHAnsi" w:cs="Tahoma"/>
          <w:szCs w:val="20"/>
          <w:lang w:val="es-CR" w:eastAsia="en-US"/>
        </w:rPr>
        <w:t xml:space="preserve"> y su familia la</w:t>
      </w:r>
      <w:r w:rsidR="002468EE">
        <w:rPr>
          <w:rFonts w:eastAsiaTheme="minorHAnsi" w:cs="Tahoma"/>
          <w:szCs w:val="20"/>
          <w:lang w:val="es-CR" w:eastAsia="en-US"/>
        </w:rPr>
        <w:t>[s]</w:t>
      </w:r>
      <w:r w:rsidR="009E0E8B" w:rsidRPr="00ED3CC9">
        <w:rPr>
          <w:rFonts w:eastAsiaTheme="minorHAnsi" w:cs="Tahoma"/>
          <w:szCs w:val="20"/>
          <w:lang w:val="es-CR" w:eastAsia="en-US"/>
        </w:rPr>
        <w:t xml:space="preserve"> afectaron y en particular sobre la experiencia de tener que huir del país y solicitar asilo en el extranjero como consecuencia de dichas amenazas; así como las medidas que debería adoptar el Estado para reparar el daño causado, entre otros aspectos relevantes para el caso”.</w:t>
      </w:r>
    </w:p>
    <w:p w:rsidR="00187A4E" w:rsidRPr="00ED3CC9" w:rsidRDefault="00187A4E" w:rsidP="0054725F">
      <w:pPr>
        <w:numPr>
          <w:ilvl w:val="0"/>
          <w:numId w:val="25"/>
        </w:numPr>
        <w:autoSpaceDE w:val="0"/>
        <w:autoSpaceDN w:val="0"/>
        <w:adjustRightInd w:val="0"/>
        <w:spacing w:before="120"/>
        <w:ind w:left="567" w:firstLine="0"/>
        <w:rPr>
          <w:szCs w:val="20"/>
        </w:rPr>
      </w:pPr>
      <w:r w:rsidRPr="00ED3CC9">
        <w:rPr>
          <w:i/>
          <w:iCs/>
          <w:szCs w:val="20"/>
        </w:rPr>
        <w:t xml:space="preserve">Yaneth Cristina Carvajal </w:t>
      </w:r>
      <w:r w:rsidR="002468EE">
        <w:rPr>
          <w:i/>
          <w:iCs/>
          <w:szCs w:val="20"/>
        </w:rPr>
        <w:t>Ardila</w:t>
      </w:r>
      <w:r w:rsidR="009E0E8B" w:rsidRPr="00ED3CC9">
        <w:rPr>
          <w:i/>
          <w:iCs/>
          <w:szCs w:val="20"/>
        </w:rPr>
        <w:t xml:space="preserve"> </w:t>
      </w:r>
      <w:r w:rsidR="008035EC" w:rsidRPr="00ED3CC9">
        <w:rPr>
          <w:iCs/>
          <w:szCs w:val="20"/>
        </w:rPr>
        <w:t>– “</w:t>
      </w:r>
      <w:r w:rsidR="009E0E8B" w:rsidRPr="00ED3CC9">
        <w:rPr>
          <w:rFonts w:eastAsiaTheme="minorHAnsi" w:cs="Tahoma"/>
          <w:szCs w:val="20"/>
          <w:lang w:val="es-CR" w:eastAsia="en-US"/>
        </w:rPr>
        <w:t xml:space="preserve">la vida familiar con su padre. También declarará sobre la forma en que se enteró de su muerte; la forma en que el asesinato de su padre y la búsqueda de justicia liderada por su familia la afectaron a ella y a los demás miembros; así como las medidas que debería adoptar </w:t>
      </w:r>
      <w:r w:rsidR="009E0E8B" w:rsidRPr="00097299">
        <w:rPr>
          <w:iCs/>
          <w:szCs w:val="20"/>
        </w:rPr>
        <w:t>el</w:t>
      </w:r>
      <w:r w:rsidR="009E0E8B" w:rsidRPr="00E64738">
        <w:rPr>
          <w:rFonts w:eastAsiaTheme="minorHAnsi" w:cs="Tahoma"/>
          <w:szCs w:val="20"/>
          <w:lang w:val="es-CR" w:eastAsia="en-US"/>
        </w:rPr>
        <w:t xml:space="preserve"> </w:t>
      </w:r>
      <w:r w:rsidR="009E0E8B" w:rsidRPr="00ED3CC9">
        <w:rPr>
          <w:rFonts w:eastAsiaTheme="minorHAnsi" w:cs="Tahoma"/>
          <w:szCs w:val="20"/>
          <w:lang w:val="es-CR" w:eastAsia="en-US"/>
        </w:rPr>
        <w:t>Estado para reparar el daño causado, entre otros aspectos relevantes para el caso</w:t>
      </w:r>
      <w:r w:rsidR="008035EC" w:rsidRPr="00ED3CC9">
        <w:rPr>
          <w:rFonts w:eastAsiaTheme="minorHAnsi" w:cs="Tahoma"/>
          <w:szCs w:val="20"/>
          <w:lang w:val="es-CR" w:eastAsia="en-US"/>
        </w:rPr>
        <w:t>”</w:t>
      </w:r>
      <w:r w:rsidR="009E0E8B" w:rsidRPr="00ED3CC9">
        <w:rPr>
          <w:rFonts w:eastAsiaTheme="minorHAnsi" w:cs="Tahoma"/>
          <w:szCs w:val="20"/>
          <w:lang w:val="es-CR" w:eastAsia="en-US"/>
        </w:rPr>
        <w:t>.</w:t>
      </w:r>
    </w:p>
    <w:p w:rsidR="00187A4E" w:rsidRPr="00ED3CC9" w:rsidRDefault="00187A4E" w:rsidP="0054725F">
      <w:pPr>
        <w:numPr>
          <w:ilvl w:val="0"/>
          <w:numId w:val="25"/>
        </w:numPr>
        <w:autoSpaceDE w:val="0"/>
        <w:autoSpaceDN w:val="0"/>
        <w:adjustRightInd w:val="0"/>
        <w:spacing w:before="120"/>
        <w:ind w:left="567" w:firstLine="0"/>
        <w:rPr>
          <w:szCs w:val="20"/>
        </w:rPr>
      </w:pPr>
      <w:r w:rsidRPr="00ED3CC9">
        <w:rPr>
          <w:i/>
          <w:iCs/>
          <w:szCs w:val="20"/>
        </w:rPr>
        <w:t>Judith Carvajal Carvajal</w:t>
      </w:r>
      <w:r w:rsidR="009E0E8B" w:rsidRPr="00ED3CC9">
        <w:rPr>
          <w:i/>
          <w:iCs/>
          <w:szCs w:val="20"/>
        </w:rPr>
        <w:t xml:space="preserve"> - </w:t>
      </w:r>
      <w:r w:rsidR="009E0E8B" w:rsidRPr="00ED3CC9">
        <w:rPr>
          <w:rFonts w:eastAsiaTheme="minorHAnsi" w:cs="Tahoma"/>
          <w:szCs w:val="20"/>
          <w:lang w:val="es-CR" w:eastAsia="en-US"/>
        </w:rPr>
        <w:t xml:space="preserve">“la labor que realizaba su hermano Nelson y su vida familiar. También declarará sobre la forma en que se enteró de la muerte de su hermano; las gestiones realizadas para obtener justicia; los obstáculos enfrentados para participar en el proceso de investigación y las amenazas recibidas; sobre la experiencia de tener que acogerse al programa de protección de testigos de la Fiscalía y luego huir del país con su hijo y solicitar asilo en el extranjero; la forma en que estos hechos le </w:t>
      </w:r>
      <w:r w:rsidR="009E0E8B" w:rsidRPr="00097299">
        <w:rPr>
          <w:iCs/>
          <w:szCs w:val="20"/>
        </w:rPr>
        <w:t>han</w:t>
      </w:r>
      <w:r w:rsidR="009E0E8B" w:rsidRPr="00ED3CC9">
        <w:rPr>
          <w:rFonts w:eastAsiaTheme="minorHAnsi" w:cs="Tahoma"/>
          <w:szCs w:val="20"/>
          <w:lang w:val="es-CR" w:eastAsia="en-US"/>
        </w:rPr>
        <w:t xml:space="preserve"> afectado a la declarante y a su familia, así como las medidas que debería adoptar el Estado para reparar el daño causado, entre otros aspectos relevantes para el caso”.</w:t>
      </w:r>
    </w:p>
    <w:p w:rsidR="00187A4E" w:rsidRPr="00ED3CC9" w:rsidRDefault="00187A4E" w:rsidP="0054725F">
      <w:pPr>
        <w:numPr>
          <w:ilvl w:val="0"/>
          <w:numId w:val="25"/>
        </w:numPr>
        <w:autoSpaceDE w:val="0"/>
        <w:autoSpaceDN w:val="0"/>
        <w:adjustRightInd w:val="0"/>
        <w:spacing w:before="120"/>
        <w:ind w:left="567" w:firstLine="0"/>
        <w:rPr>
          <w:szCs w:val="20"/>
        </w:rPr>
      </w:pPr>
      <w:r w:rsidRPr="00E7595E">
        <w:rPr>
          <w:i/>
          <w:iCs/>
          <w:szCs w:val="20"/>
        </w:rPr>
        <w:t>Gloria Mercedes Carvajal Carvajal</w:t>
      </w:r>
      <w:r w:rsidR="007975E0" w:rsidRPr="00097299">
        <w:rPr>
          <w:i/>
          <w:iCs/>
          <w:szCs w:val="20"/>
        </w:rPr>
        <w:t>,</w:t>
      </w:r>
      <w:r w:rsidR="00D8012B" w:rsidRPr="00097299">
        <w:rPr>
          <w:i/>
          <w:iCs/>
          <w:szCs w:val="20"/>
        </w:rPr>
        <w:t xml:space="preserve"> Ruth Dary Carvajal Carvajal</w:t>
      </w:r>
      <w:r w:rsidR="00D8012B" w:rsidRPr="00097299">
        <w:rPr>
          <w:rFonts w:eastAsiaTheme="minorHAnsi" w:cs="Tahoma"/>
          <w:i/>
          <w:szCs w:val="20"/>
          <w:lang w:val="es-CR" w:eastAsia="en-US"/>
        </w:rPr>
        <w:t xml:space="preserve"> </w:t>
      </w:r>
      <w:r w:rsidR="007975E0" w:rsidRPr="00097299">
        <w:rPr>
          <w:rFonts w:eastAsiaTheme="minorHAnsi" w:cs="Tahoma"/>
          <w:i/>
          <w:szCs w:val="20"/>
          <w:lang w:val="es-CR" w:eastAsia="en-US"/>
        </w:rPr>
        <w:t xml:space="preserve">y </w:t>
      </w:r>
      <w:r w:rsidR="007975E0" w:rsidRPr="00E7595E">
        <w:rPr>
          <w:i/>
          <w:iCs/>
          <w:szCs w:val="20"/>
        </w:rPr>
        <w:t>Fernando Augusto Carvajal Carvajal</w:t>
      </w:r>
      <w:r w:rsidR="007975E0" w:rsidRPr="00ED3CC9">
        <w:rPr>
          <w:iCs/>
          <w:szCs w:val="20"/>
        </w:rPr>
        <w:t xml:space="preserve"> </w:t>
      </w:r>
      <w:r w:rsidR="00D8012B" w:rsidRPr="00ED3CC9">
        <w:rPr>
          <w:iCs/>
          <w:szCs w:val="20"/>
        </w:rPr>
        <w:t xml:space="preserve">cuyas declaraciones tienen por objeto declarar sobre </w:t>
      </w:r>
      <w:r w:rsidR="00CF6881" w:rsidRPr="00ED3CC9">
        <w:rPr>
          <w:rFonts w:eastAsiaTheme="minorHAnsi" w:cs="Tahoma"/>
          <w:szCs w:val="20"/>
          <w:lang w:val="es-CR" w:eastAsia="en-US"/>
        </w:rPr>
        <w:t>–</w:t>
      </w:r>
      <w:r w:rsidR="00EE6B93" w:rsidRPr="00ED3CC9">
        <w:rPr>
          <w:rFonts w:eastAsiaTheme="minorHAnsi" w:cs="Tahoma"/>
          <w:szCs w:val="20"/>
          <w:lang w:val="es-CR" w:eastAsia="en-US"/>
        </w:rPr>
        <w:t xml:space="preserve"> </w:t>
      </w:r>
      <w:r w:rsidR="00CF6881" w:rsidRPr="00ED3CC9">
        <w:rPr>
          <w:rFonts w:eastAsiaTheme="minorHAnsi" w:cs="Tahoma"/>
          <w:szCs w:val="20"/>
          <w:lang w:val="es-CR" w:eastAsia="en-US"/>
        </w:rPr>
        <w:t>“</w:t>
      </w:r>
      <w:r w:rsidR="00EE6B93" w:rsidRPr="00ED3CC9">
        <w:rPr>
          <w:rFonts w:eastAsiaTheme="minorHAnsi" w:cs="Tahoma"/>
          <w:szCs w:val="20"/>
          <w:lang w:val="es-CR" w:eastAsia="en-US"/>
        </w:rPr>
        <w:t>la labor que realizaba su hermano Nelson y su vida familiar. También declarar</w:t>
      </w:r>
      <w:r w:rsidR="00E7595E">
        <w:rPr>
          <w:rFonts w:eastAsiaTheme="minorHAnsi" w:cs="Tahoma"/>
          <w:szCs w:val="20"/>
          <w:lang w:val="es-CR" w:eastAsia="en-US"/>
        </w:rPr>
        <w:t>[an]</w:t>
      </w:r>
      <w:r w:rsidR="00EE6B93" w:rsidRPr="00ED3CC9">
        <w:rPr>
          <w:rFonts w:eastAsiaTheme="minorHAnsi" w:cs="Tahoma"/>
          <w:szCs w:val="20"/>
          <w:lang w:val="es-CR" w:eastAsia="en-US"/>
        </w:rPr>
        <w:t xml:space="preserve"> sobre la forma en que se enter</w:t>
      </w:r>
      <w:r w:rsidR="00E7595E">
        <w:rPr>
          <w:rFonts w:eastAsiaTheme="minorHAnsi" w:cs="Tahoma"/>
          <w:szCs w:val="20"/>
          <w:lang w:val="es-CR" w:eastAsia="en-US"/>
        </w:rPr>
        <w:t>[aron]</w:t>
      </w:r>
      <w:r w:rsidR="00EE6B93" w:rsidRPr="00ED3CC9">
        <w:rPr>
          <w:rFonts w:eastAsiaTheme="minorHAnsi" w:cs="Tahoma"/>
          <w:szCs w:val="20"/>
          <w:lang w:val="es-CR" w:eastAsia="en-US"/>
        </w:rPr>
        <w:t xml:space="preserve"> de la muerte de su hermano; las gestiones realizadas para obtener justicia; los obstáculos enfrentados y las amenazas recibidas; sobre la experiencia de tener que huir del país </w:t>
      </w:r>
      <w:r w:rsidR="007975E0" w:rsidRPr="00ED3CC9">
        <w:rPr>
          <w:rFonts w:eastAsiaTheme="minorHAnsi" w:cs="Tahoma"/>
          <w:szCs w:val="20"/>
          <w:lang w:val="es-CR" w:eastAsia="en-US"/>
        </w:rPr>
        <w:t xml:space="preserve">[con su hijo en el caso de la señora Ruth Dary] </w:t>
      </w:r>
      <w:r w:rsidR="00EE6B93" w:rsidRPr="00ED3CC9">
        <w:rPr>
          <w:rFonts w:eastAsiaTheme="minorHAnsi" w:cs="Tahoma"/>
          <w:szCs w:val="20"/>
          <w:lang w:val="es-CR" w:eastAsia="en-US"/>
        </w:rPr>
        <w:t>y solicitar asilo en el extranjero; la forma en que estos hechos le han afectado a l</w:t>
      </w:r>
      <w:r w:rsidR="007975E0" w:rsidRPr="00ED3CC9">
        <w:rPr>
          <w:rFonts w:eastAsiaTheme="minorHAnsi" w:cs="Tahoma"/>
          <w:szCs w:val="20"/>
          <w:lang w:val="es-CR" w:eastAsia="en-US"/>
        </w:rPr>
        <w:t>[os]</w:t>
      </w:r>
      <w:r w:rsidR="00EE6B93" w:rsidRPr="00ED3CC9">
        <w:rPr>
          <w:rFonts w:eastAsiaTheme="minorHAnsi" w:cs="Tahoma"/>
          <w:szCs w:val="20"/>
          <w:lang w:val="es-CR" w:eastAsia="en-US"/>
        </w:rPr>
        <w:t xml:space="preserve"> declarante</w:t>
      </w:r>
      <w:r w:rsidR="007975E0" w:rsidRPr="00ED3CC9">
        <w:rPr>
          <w:rFonts w:eastAsiaTheme="minorHAnsi" w:cs="Tahoma"/>
          <w:szCs w:val="20"/>
          <w:lang w:val="es-CR" w:eastAsia="en-US"/>
        </w:rPr>
        <w:t>[s]</w:t>
      </w:r>
      <w:r w:rsidR="00EE6B93" w:rsidRPr="00ED3CC9">
        <w:rPr>
          <w:rFonts w:eastAsiaTheme="minorHAnsi" w:cs="Tahoma"/>
          <w:szCs w:val="20"/>
          <w:lang w:val="es-CR" w:eastAsia="en-US"/>
        </w:rPr>
        <w:t xml:space="preserve"> y a su familia, así como las medidas que debería adoptar el Estado para reparar el daño causado, entre otros aspectos relevantes para el caso</w:t>
      </w:r>
      <w:r w:rsidR="00940058" w:rsidRPr="00ED3CC9">
        <w:rPr>
          <w:rFonts w:eastAsiaTheme="minorHAnsi" w:cs="Tahoma"/>
          <w:szCs w:val="20"/>
          <w:lang w:val="es-CR" w:eastAsia="en-US"/>
        </w:rPr>
        <w:t>”</w:t>
      </w:r>
      <w:r w:rsidR="00EE6B93" w:rsidRPr="00ED3CC9">
        <w:rPr>
          <w:rFonts w:eastAsiaTheme="minorHAnsi" w:cs="Tahoma"/>
          <w:szCs w:val="20"/>
          <w:lang w:val="es-CR" w:eastAsia="en-US"/>
        </w:rPr>
        <w:t>.</w:t>
      </w:r>
    </w:p>
    <w:p w:rsidR="00187A4E" w:rsidRPr="00ED3CC9" w:rsidRDefault="00187A4E" w:rsidP="0054725F">
      <w:pPr>
        <w:numPr>
          <w:ilvl w:val="0"/>
          <w:numId w:val="25"/>
        </w:numPr>
        <w:autoSpaceDE w:val="0"/>
        <w:autoSpaceDN w:val="0"/>
        <w:adjustRightInd w:val="0"/>
        <w:spacing w:before="120"/>
        <w:ind w:left="567" w:firstLine="0"/>
        <w:rPr>
          <w:szCs w:val="20"/>
        </w:rPr>
      </w:pPr>
      <w:r w:rsidRPr="00ED3CC9">
        <w:rPr>
          <w:i/>
          <w:iCs/>
          <w:szCs w:val="20"/>
        </w:rPr>
        <w:lastRenderedPageBreak/>
        <w:t>Luz Eny Carvajal Carvajal</w:t>
      </w:r>
      <w:r w:rsidR="007975E0" w:rsidRPr="00ED3CC9">
        <w:rPr>
          <w:iCs/>
          <w:szCs w:val="20"/>
        </w:rPr>
        <w:t xml:space="preserve"> – “</w:t>
      </w:r>
      <w:r w:rsidR="007975E0" w:rsidRPr="00ED3CC9">
        <w:rPr>
          <w:rFonts w:eastAsiaTheme="minorHAnsi" w:cs="Tahoma"/>
          <w:szCs w:val="20"/>
          <w:lang w:val="es-CR" w:eastAsia="en-US"/>
        </w:rPr>
        <w:t>la labor que realizaba su hermano Nelson y su vida familiar. También declarará sobre la forma en que presenció el asesinato de su hermano; las gestiones realizadas para obtener justicia; los obstáculos enfrentados y las amenazas recibidas; la forma en que estos hechos le han afectado a la declarante y a su familia; así como las medidas que debería adoptar el Estado para reparar el daño causado, entre otros aspectos relevantes para el caso”.</w:t>
      </w:r>
    </w:p>
    <w:p w:rsidR="008C364B" w:rsidRPr="00ED3CC9" w:rsidRDefault="008C364B" w:rsidP="0054725F">
      <w:pPr>
        <w:numPr>
          <w:ilvl w:val="0"/>
          <w:numId w:val="25"/>
        </w:numPr>
        <w:autoSpaceDE w:val="0"/>
        <w:autoSpaceDN w:val="0"/>
        <w:adjustRightInd w:val="0"/>
        <w:spacing w:before="120"/>
        <w:ind w:left="567" w:firstLine="0"/>
        <w:rPr>
          <w:szCs w:val="20"/>
        </w:rPr>
      </w:pPr>
      <w:r w:rsidRPr="00ED3CC9">
        <w:rPr>
          <w:i/>
          <w:iCs/>
          <w:szCs w:val="20"/>
        </w:rPr>
        <w:t>Miriam Carvajal Carvajal</w:t>
      </w:r>
      <w:r w:rsidR="00527228" w:rsidRPr="00ED3CC9">
        <w:rPr>
          <w:i/>
          <w:iCs/>
          <w:szCs w:val="20"/>
        </w:rPr>
        <w:t xml:space="preserve">, </w:t>
      </w:r>
      <w:r w:rsidR="005F3A95" w:rsidRPr="00ED3CC9">
        <w:rPr>
          <w:i/>
          <w:iCs/>
          <w:szCs w:val="20"/>
        </w:rPr>
        <w:t>Ana Francisca Carvajal de Carvajal</w:t>
      </w:r>
      <w:r w:rsidR="00CF6881" w:rsidRPr="00ED3CC9">
        <w:rPr>
          <w:i/>
          <w:iCs/>
          <w:szCs w:val="20"/>
        </w:rPr>
        <w:t>,</w:t>
      </w:r>
      <w:r w:rsidR="00527228" w:rsidRPr="00ED3CC9">
        <w:rPr>
          <w:i/>
          <w:iCs/>
          <w:szCs w:val="20"/>
        </w:rPr>
        <w:t xml:space="preserve"> Jairo Carvajal Cabrera</w:t>
      </w:r>
      <w:r w:rsidR="00527228" w:rsidRPr="00ED3CC9">
        <w:rPr>
          <w:iCs/>
          <w:szCs w:val="20"/>
        </w:rPr>
        <w:t xml:space="preserve"> </w:t>
      </w:r>
      <w:r w:rsidR="006A6476" w:rsidRPr="00ED3CC9">
        <w:rPr>
          <w:iCs/>
          <w:szCs w:val="20"/>
        </w:rPr>
        <w:t xml:space="preserve">y </w:t>
      </w:r>
      <w:r w:rsidR="006A6476" w:rsidRPr="00ED3CC9">
        <w:rPr>
          <w:i/>
          <w:iCs/>
          <w:szCs w:val="20"/>
        </w:rPr>
        <w:t xml:space="preserve">Saúl Carvajal Carvajal </w:t>
      </w:r>
      <w:r w:rsidR="005F3A95" w:rsidRPr="00ED3CC9">
        <w:rPr>
          <w:iCs/>
          <w:szCs w:val="20"/>
        </w:rPr>
        <w:t xml:space="preserve">cuyas declaraciones tienen por objeto declarar sobre </w:t>
      </w:r>
      <w:r w:rsidR="005F3A95" w:rsidRPr="00ED3CC9">
        <w:rPr>
          <w:i/>
          <w:iCs/>
          <w:szCs w:val="20"/>
        </w:rPr>
        <w:t xml:space="preserve">– </w:t>
      </w:r>
      <w:r w:rsidR="009E0E8B" w:rsidRPr="00ED3CC9">
        <w:rPr>
          <w:i/>
          <w:iCs/>
          <w:szCs w:val="20"/>
        </w:rPr>
        <w:t>“</w:t>
      </w:r>
      <w:r w:rsidR="009E0E8B" w:rsidRPr="00ED3CC9">
        <w:rPr>
          <w:rFonts w:eastAsiaTheme="minorHAnsi" w:cs="Tahoma"/>
          <w:szCs w:val="20"/>
          <w:lang w:val="es-CR" w:eastAsia="en-US"/>
        </w:rPr>
        <w:t>la labor que realizaba su hermano</w:t>
      </w:r>
      <w:r w:rsidR="005F3A95" w:rsidRPr="00ED3CC9">
        <w:rPr>
          <w:rFonts w:eastAsiaTheme="minorHAnsi" w:cs="Tahoma"/>
          <w:szCs w:val="20"/>
          <w:lang w:val="es-CR" w:eastAsia="en-US"/>
        </w:rPr>
        <w:t>[/hijo]</w:t>
      </w:r>
      <w:r w:rsidR="009E0E8B" w:rsidRPr="00ED3CC9">
        <w:rPr>
          <w:rFonts w:eastAsiaTheme="minorHAnsi" w:cs="Tahoma"/>
          <w:szCs w:val="20"/>
          <w:lang w:val="es-CR" w:eastAsia="en-US"/>
        </w:rPr>
        <w:t xml:space="preserve"> Nelson y su vida familiar. También declarar</w:t>
      </w:r>
      <w:r w:rsidR="00E358B8">
        <w:rPr>
          <w:rFonts w:eastAsiaTheme="minorHAnsi" w:cs="Tahoma"/>
          <w:szCs w:val="20"/>
          <w:lang w:val="es-CR" w:eastAsia="en-US"/>
        </w:rPr>
        <w:t>[an]</w:t>
      </w:r>
      <w:r w:rsidR="009E0E8B" w:rsidRPr="00ED3CC9">
        <w:rPr>
          <w:rFonts w:eastAsiaTheme="minorHAnsi" w:cs="Tahoma"/>
          <w:szCs w:val="20"/>
          <w:lang w:val="es-CR" w:eastAsia="en-US"/>
        </w:rPr>
        <w:t xml:space="preserve"> sobre la forma en que se enteró de</w:t>
      </w:r>
      <w:r w:rsidR="005F3A95" w:rsidRPr="00ED3CC9">
        <w:rPr>
          <w:rFonts w:eastAsiaTheme="minorHAnsi" w:cs="Tahoma"/>
          <w:szCs w:val="20"/>
          <w:lang w:val="es-CR" w:eastAsia="en-US"/>
        </w:rPr>
        <w:t xml:space="preserve"> la muerte</w:t>
      </w:r>
      <w:r w:rsidR="009E0E8B" w:rsidRPr="00ED3CC9">
        <w:rPr>
          <w:rFonts w:eastAsiaTheme="minorHAnsi" w:cs="Tahoma"/>
          <w:szCs w:val="20"/>
          <w:lang w:val="es-CR" w:eastAsia="en-US"/>
        </w:rPr>
        <w:t xml:space="preserve"> de su hermano</w:t>
      </w:r>
      <w:r w:rsidR="005F3A95" w:rsidRPr="00ED3CC9">
        <w:rPr>
          <w:rFonts w:eastAsiaTheme="minorHAnsi" w:cs="Tahoma"/>
          <w:szCs w:val="20"/>
          <w:lang w:val="es-CR" w:eastAsia="en-US"/>
        </w:rPr>
        <w:t>[/hijo]</w:t>
      </w:r>
      <w:r w:rsidR="009E0E8B" w:rsidRPr="00ED3CC9">
        <w:rPr>
          <w:rFonts w:eastAsiaTheme="minorHAnsi" w:cs="Tahoma"/>
          <w:szCs w:val="20"/>
          <w:lang w:val="es-CR" w:eastAsia="en-US"/>
        </w:rPr>
        <w:t>; las gestiones realizadas para obtener justicia; los obstáculos enfrentados y las amenazas recibidas; la forma en que estos hechos le</w:t>
      </w:r>
      <w:r w:rsidR="005F3A95" w:rsidRPr="00ED3CC9">
        <w:rPr>
          <w:rFonts w:eastAsiaTheme="minorHAnsi" w:cs="Tahoma"/>
          <w:szCs w:val="20"/>
          <w:lang w:val="es-CR" w:eastAsia="en-US"/>
        </w:rPr>
        <w:t>[s]</w:t>
      </w:r>
      <w:r w:rsidR="009E0E8B" w:rsidRPr="00ED3CC9">
        <w:rPr>
          <w:rFonts w:eastAsiaTheme="minorHAnsi" w:cs="Tahoma"/>
          <w:szCs w:val="20"/>
          <w:lang w:val="es-CR" w:eastAsia="en-US"/>
        </w:rPr>
        <w:t xml:space="preserve"> han afectado a l</w:t>
      </w:r>
      <w:r w:rsidR="0097388F" w:rsidRPr="00ED3CC9">
        <w:rPr>
          <w:rFonts w:eastAsiaTheme="minorHAnsi" w:cs="Tahoma"/>
          <w:szCs w:val="20"/>
          <w:lang w:val="es-CR" w:eastAsia="en-US"/>
        </w:rPr>
        <w:t>[os]</w:t>
      </w:r>
      <w:r w:rsidR="009E0E8B" w:rsidRPr="00ED3CC9">
        <w:rPr>
          <w:rFonts w:eastAsiaTheme="minorHAnsi" w:cs="Tahoma"/>
          <w:szCs w:val="20"/>
          <w:lang w:val="es-CR" w:eastAsia="en-US"/>
        </w:rPr>
        <w:t xml:space="preserve"> declarante</w:t>
      </w:r>
      <w:r w:rsidR="0097388F" w:rsidRPr="00ED3CC9">
        <w:rPr>
          <w:rFonts w:eastAsiaTheme="minorHAnsi" w:cs="Tahoma"/>
          <w:szCs w:val="20"/>
          <w:lang w:val="es-CR" w:eastAsia="en-US"/>
        </w:rPr>
        <w:t>[s]</w:t>
      </w:r>
      <w:r w:rsidR="009E0E8B" w:rsidRPr="00ED3CC9">
        <w:rPr>
          <w:rFonts w:eastAsiaTheme="minorHAnsi" w:cs="Tahoma"/>
          <w:szCs w:val="20"/>
          <w:lang w:val="es-CR" w:eastAsia="en-US"/>
        </w:rPr>
        <w:t xml:space="preserve"> y a su familia; así como las medidas que debería adoptar el Estado para reparar el daño causado, entre otros aspectos relevantes para el caso”.</w:t>
      </w:r>
    </w:p>
    <w:p w:rsidR="00187A4E" w:rsidRPr="00402141" w:rsidRDefault="0020626A" w:rsidP="0054725F">
      <w:pPr>
        <w:numPr>
          <w:ilvl w:val="0"/>
          <w:numId w:val="25"/>
        </w:numPr>
        <w:autoSpaceDE w:val="0"/>
        <w:autoSpaceDN w:val="0"/>
        <w:adjustRightInd w:val="0"/>
        <w:spacing w:before="120"/>
        <w:ind w:left="567" w:firstLine="0"/>
        <w:rPr>
          <w:szCs w:val="20"/>
        </w:rPr>
      </w:pPr>
      <w:r w:rsidRPr="002038A0">
        <w:rPr>
          <w:i/>
          <w:iCs/>
          <w:szCs w:val="20"/>
        </w:rPr>
        <w:t>C</w:t>
      </w:r>
      <w:r>
        <w:rPr>
          <w:i/>
          <w:iCs/>
          <w:szCs w:val="20"/>
        </w:rPr>
        <w:t>h</w:t>
      </w:r>
      <w:r w:rsidRPr="002038A0">
        <w:rPr>
          <w:i/>
          <w:iCs/>
          <w:szCs w:val="20"/>
        </w:rPr>
        <w:t xml:space="preserve">ristian </w:t>
      </w:r>
      <w:r w:rsidR="00187A4E" w:rsidRPr="00402141">
        <w:rPr>
          <w:i/>
          <w:iCs/>
          <w:szCs w:val="20"/>
        </w:rPr>
        <w:t>Camilo Motta Carvajal</w:t>
      </w:r>
      <w:r w:rsidR="006A6476" w:rsidRPr="00402141">
        <w:rPr>
          <w:i/>
          <w:iCs/>
          <w:szCs w:val="20"/>
        </w:rPr>
        <w:t xml:space="preserve"> </w:t>
      </w:r>
      <w:r w:rsidR="0036123C" w:rsidRPr="00402141">
        <w:rPr>
          <w:i/>
          <w:iCs/>
          <w:szCs w:val="20"/>
        </w:rPr>
        <w:t>–</w:t>
      </w:r>
      <w:r w:rsidR="006A6476" w:rsidRPr="00402141">
        <w:rPr>
          <w:i/>
          <w:iCs/>
          <w:szCs w:val="20"/>
        </w:rPr>
        <w:t xml:space="preserve"> </w:t>
      </w:r>
      <w:r w:rsidR="0036123C" w:rsidRPr="00402141">
        <w:rPr>
          <w:i/>
          <w:iCs/>
          <w:szCs w:val="20"/>
        </w:rPr>
        <w:t>“</w:t>
      </w:r>
      <w:r w:rsidR="006A6476" w:rsidRPr="00402141">
        <w:rPr>
          <w:rFonts w:eastAsiaTheme="minorHAnsi" w:cs="Tahoma"/>
          <w:szCs w:val="20"/>
          <w:lang w:val="es-CR" w:eastAsia="en-US"/>
        </w:rPr>
        <w:t xml:space="preserve">su relación con su tío Nelson. También declarará sobre la forma en que se enteró de la muerte de su tío; las amenazas recibidas y en particular sobre el día en que presenció </w:t>
      </w:r>
      <w:r w:rsidR="0036123C" w:rsidRPr="00402141">
        <w:rPr>
          <w:rFonts w:eastAsiaTheme="minorHAnsi" w:cs="Tahoma"/>
          <w:szCs w:val="20"/>
          <w:lang w:val="es-CR" w:eastAsia="en-US"/>
        </w:rPr>
        <w:t>como</w:t>
      </w:r>
      <w:r w:rsidR="006A6476" w:rsidRPr="00402141">
        <w:rPr>
          <w:rFonts w:eastAsiaTheme="minorHAnsi" w:cs="Tahoma"/>
          <w:szCs w:val="20"/>
          <w:lang w:val="es-CR" w:eastAsia="en-US"/>
        </w:rPr>
        <w:t xml:space="preserve"> un hombre armado se presentaba a su casa con un arma para atentar contra su madre Judith Carvajal Carvajal; sobre la experiencia de tener que acogerse al programa de protección de testigos de la Fiscalía y luego huir del país con su madre y solicitar asilo en el extranjero; la forma en que estos hechos le han afectado al declarante y a su familia, así como las medidas que debería adoptar el Estado para reparar el daño causado, entre otros aspectos relevantes para el caso</w:t>
      </w:r>
      <w:r w:rsidR="008035EC" w:rsidRPr="00402141">
        <w:rPr>
          <w:rFonts w:eastAsiaTheme="minorHAnsi" w:cs="Tahoma"/>
          <w:szCs w:val="20"/>
          <w:lang w:val="es-CR" w:eastAsia="en-US"/>
        </w:rPr>
        <w:t>”</w:t>
      </w:r>
      <w:r w:rsidR="006A6476" w:rsidRPr="00402141">
        <w:rPr>
          <w:rFonts w:eastAsiaTheme="minorHAnsi" w:cs="Tahoma"/>
          <w:szCs w:val="20"/>
          <w:lang w:val="es-CR" w:eastAsia="en-US"/>
        </w:rPr>
        <w:t>.</w:t>
      </w:r>
    </w:p>
    <w:p w:rsidR="0054725F" w:rsidRPr="00402141" w:rsidRDefault="0054725F" w:rsidP="0054725F">
      <w:pPr>
        <w:numPr>
          <w:ilvl w:val="0"/>
          <w:numId w:val="25"/>
        </w:numPr>
        <w:autoSpaceDE w:val="0"/>
        <w:autoSpaceDN w:val="0"/>
        <w:adjustRightInd w:val="0"/>
        <w:spacing w:before="120"/>
        <w:ind w:left="567" w:firstLine="0"/>
        <w:rPr>
          <w:szCs w:val="20"/>
        </w:rPr>
      </w:pPr>
      <w:r w:rsidRPr="00402141">
        <w:rPr>
          <w:i/>
          <w:iCs/>
          <w:szCs w:val="20"/>
        </w:rPr>
        <w:t>Diana Calderón – “</w:t>
      </w:r>
      <w:r w:rsidRPr="00402141">
        <w:rPr>
          <w:rFonts w:eastAsiaTheme="minorHAnsi" w:cs="Tahoma"/>
          <w:szCs w:val="20"/>
          <w:lang w:val="es-CR" w:eastAsia="en-US"/>
        </w:rPr>
        <w:t>su vinculación al caso de Nelson Carvajal Carvajal, el seguimiento que realizó a la investigación de su asesinato como miembro de la Unidad de Respuesta Rápida del proyecto ‘Crímenes sin Castigo contra Periodistas’ de la Sociedad Interamericana de Prensa. La declarante se referirá a la negligencia observada en las autoridades encargadas del proceso y los efectos que tuvo en su seguridad personal el seguimiento realizado al proceso de investigación sobre el asesinato de Nelson Carvajal Carvajal</w:t>
      </w:r>
      <w:r w:rsidR="00402141" w:rsidRPr="00402141">
        <w:rPr>
          <w:rFonts w:eastAsiaTheme="minorHAnsi" w:cs="Tahoma"/>
          <w:szCs w:val="20"/>
          <w:lang w:val="es-CR" w:eastAsia="en-US"/>
        </w:rPr>
        <w:t>”</w:t>
      </w:r>
      <w:r w:rsidR="00E358B8">
        <w:rPr>
          <w:rFonts w:eastAsiaTheme="minorHAnsi" w:cs="Tahoma"/>
          <w:szCs w:val="20"/>
          <w:lang w:val="es-CR" w:eastAsia="en-US"/>
        </w:rPr>
        <w:t>.</w:t>
      </w:r>
    </w:p>
    <w:p w:rsidR="0054725F" w:rsidRPr="00402141" w:rsidRDefault="0054725F" w:rsidP="0054725F">
      <w:pPr>
        <w:numPr>
          <w:ilvl w:val="0"/>
          <w:numId w:val="25"/>
        </w:numPr>
        <w:autoSpaceDE w:val="0"/>
        <w:autoSpaceDN w:val="0"/>
        <w:adjustRightInd w:val="0"/>
        <w:spacing w:before="120"/>
        <w:ind w:left="567" w:firstLine="0"/>
        <w:rPr>
          <w:szCs w:val="20"/>
        </w:rPr>
      </w:pPr>
      <w:r w:rsidRPr="00402141">
        <w:rPr>
          <w:i/>
          <w:iCs/>
          <w:szCs w:val="20"/>
        </w:rPr>
        <w:t>Pedro José Vaca Villareal</w:t>
      </w:r>
      <w:r w:rsidRPr="00402141">
        <w:rPr>
          <w:rFonts w:cs="Verdana"/>
          <w:szCs w:val="20"/>
          <w:lang w:val="es-ES"/>
        </w:rPr>
        <w:t xml:space="preserve"> – “</w:t>
      </w:r>
      <w:r w:rsidRPr="00402141">
        <w:rPr>
          <w:rFonts w:eastAsiaTheme="minorHAnsi" w:cs="Tahoma"/>
          <w:szCs w:val="20"/>
          <w:lang w:val="es-CR" w:eastAsia="en-US"/>
        </w:rPr>
        <w:t>analizará el marco normativo e institucional que existe en Colombia para la protección de periodistas, sus eventuales vacíos y fallas, así como las medidas legislativas y políticas públicas que deberían adoptarse para fortalecer la protección a periodistas en el país, entre otros aspectos relativos al objeto y fin del presente escrito”.</w:t>
      </w:r>
    </w:p>
    <w:p w:rsidR="00001166" w:rsidRDefault="00823F63" w:rsidP="00B1244F">
      <w:pPr>
        <w:numPr>
          <w:ilvl w:val="0"/>
          <w:numId w:val="1"/>
        </w:numPr>
        <w:autoSpaceDE w:val="0"/>
        <w:autoSpaceDN w:val="0"/>
        <w:adjustRightInd w:val="0"/>
        <w:spacing w:before="120"/>
        <w:rPr>
          <w:rFonts w:eastAsia="Times New Roman" w:cs="Times New Roman"/>
          <w:szCs w:val="20"/>
          <w:lang w:val="es-CR" w:eastAsia="en-US"/>
        </w:rPr>
      </w:pPr>
      <w:r>
        <w:rPr>
          <w:szCs w:val="20"/>
        </w:rPr>
        <w:t>Respecto a los objetos de las declaraciones de las presuntas víctimas, e</w:t>
      </w:r>
      <w:r w:rsidR="000B34DB" w:rsidRPr="00001166">
        <w:rPr>
          <w:szCs w:val="20"/>
        </w:rPr>
        <w:t>l Estado sostuvo que “</w:t>
      </w:r>
      <w:r w:rsidR="00001166" w:rsidRPr="00001166">
        <w:rPr>
          <w:rFonts w:eastAsia="Times New Roman" w:cs="Times New Roman"/>
          <w:szCs w:val="20"/>
          <w:lang w:val="es-CR" w:eastAsia="en-US"/>
        </w:rPr>
        <w:t xml:space="preserve">el aparte resaltado ‘los obstaculos enfrentados para participar en el proceso de </w:t>
      </w:r>
      <w:r w:rsidR="00001166" w:rsidRPr="00001166">
        <w:rPr>
          <w:szCs w:val="20"/>
        </w:rPr>
        <w:t xml:space="preserve">investigación’” lo prejuzga respecto al acceso a la justicia de las </w:t>
      </w:r>
      <w:r w:rsidR="00001166" w:rsidRPr="00001166">
        <w:rPr>
          <w:rFonts w:eastAsia="Times New Roman" w:cs="Times New Roman"/>
          <w:szCs w:val="20"/>
          <w:lang w:val="es-CR" w:eastAsia="en-US"/>
        </w:rPr>
        <w:t>presuntas víctimas cuyas declaraciones se propone versen sobre ese tema. En este sentido, indicó que “hablar de los ‘obstáculos’ como un punto de partida, estableciéndolo de esta manera en el objeto, va en detrimento de la objetividad con la que se debería practicar esta prueba”</w:t>
      </w:r>
      <w:r w:rsidR="0025455C">
        <w:rPr>
          <w:rFonts w:eastAsia="Times New Roman" w:cs="Times New Roman"/>
          <w:szCs w:val="20"/>
          <w:lang w:val="es-CR" w:eastAsia="en-US"/>
        </w:rPr>
        <w:t>. Adicionalmente, señaló que la referencia a “‘</w:t>
      </w:r>
      <w:r w:rsidR="0025455C" w:rsidRPr="00001166">
        <w:rPr>
          <w:rFonts w:eastAsia="Times New Roman" w:cs="Times New Roman"/>
          <w:szCs w:val="20"/>
          <w:lang w:val="es-CR" w:eastAsia="en-US"/>
        </w:rPr>
        <w:t>entre otros aspectos relevantes para el caso</w:t>
      </w:r>
      <w:r w:rsidR="0025455C">
        <w:rPr>
          <w:rFonts w:eastAsia="Times New Roman" w:cs="Times New Roman"/>
          <w:szCs w:val="20"/>
          <w:lang w:val="es-CR" w:eastAsia="en-US"/>
        </w:rPr>
        <w:t>’</w:t>
      </w:r>
      <w:r w:rsidR="0025455C" w:rsidRPr="00001166">
        <w:rPr>
          <w:rFonts w:eastAsia="Times New Roman" w:cs="Times New Roman"/>
          <w:szCs w:val="20"/>
          <w:lang w:val="es-CR" w:eastAsia="en-US"/>
        </w:rPr>
        <w:t xml:space="preserve"> permite una amplitud en </w:t>
      </w:r>
      <w:r w:rsidR="0025455C">
        <w:rPr>
          <w:rFonts w:eastAsia="Times New Roman" w:cs="Times New Roman"/>
          <w:szCs w:val="20"/>
          <w:lang w:val="es-CR" w:eastAsia="en-US"/>
        </w:rPr>
        <w:t>l</w:t>
      </w:r>
      <w:r w:rsidR="0025455C" w:rsidRPr="00001166">
        <w:rPr>
          <w:rFonts w:eastAsia="Times New Roman" w:cs="Times New Roman"/>
          <w:szCs w:val="20"/>
          <w:lang w:val="es-CR" w:eastAsia="en-US"/>
        </w:rPr>
        <w:t>a declaraci</w:t>
      </w:r>
      <w:r w:rsidR="0025455C">
        <w:rPr>
          <w:rFonts w:eastAsia="Times New Roman" w:cs="Times New Roman"/>
          <w:szCs w:val="20"/>
          <w:lang w:val="es-CR" w:eastAsia="en-US"/>
        </w:rPr>
        <w:t>ó</w:t>
      </w:r>
      <w:r w:rsidR="0025455C" w:rsidRPr="00001166">
        <w:rPr>
          <w:rFonts w:eastAsia="Times New Roman" w:cs="Times New Roman"/>
          <w:szCs w:val="20"/>
          <w:lang w:val="es-CR" w:eastAsia="en-US"/>
        </w:rPr>
        <w:t>n que no es propia de</w:t>
      </w:r>
      <w:r w:rsidR="0025455C">
        <w:rPr>
          <w:rFonts w:eastAsia="Times New Roman" w:cs="Times New Roman"/>
          <w:szCs w:val="20"/>
          <w:lang w:val="es-CR" w:eastAsia="en-US"/>
        </w:rPr>
        <w:t xml:space="preserve"> [su]</w:t>
      </w:r>
      <w:r w:rsidR="0025455C" w:rsidRPr="00001166">
        <w:rPr>
          <w:rFonts w:eastAsia="Times New Roman" w:cs="Times New Roman"/>
          <w:szCs w:val="20"/>
          <w:lang w:val="es-CR" w:eastAsia="en-US"/>
        </w:rPr>
        <w:t xml:space="preserve"> objeto</w:t>
      </w:r>
      <w:r w:rsidR="0025455C">
        <w:rPr>
          <w:rFonts w:eastAsia="Times New Roman" w:cs="Times New Roman"/>
          <w:szCs w:val="20"/>
          <w:lang w:val="es-CR" w:eastAsia="en-US"/>
        </w:rPr>
        <w:t xml:space="preserve">”. De acuerdo </w:t>
      </w:r>
      <w:r w:rsidR="00434688">
        <w:rPr>
          <w:rFonts w:eastAsia="Times New Roman" w:cs="Times New Roman"/>
          <w:szCs w:val="20"/>
          <w:lang w:val="es-CR" w:eastAsia="en-US"/>
        </w:rPr>
        <w:t>con</w:t>
      </w:r>
      <w:r w:rsidR="0025455C">
        <w:rPr>
          <w:rFonts w:eastAsia="Times New Roman" w:cs="Times New Roman"/>
          <w:szCs w:val="20"/>
          <w:lang w:val="es-CR" w:eastAsia="en-US"/>
        </w:rPr>
        <w:t xml:space="preserve"> lo anterior, solicitó a la Corte que retire dicha referencia de los objetos de las declaraciones de las presuntas víctimas.</w:t>
      </w:r>
    </w:p>
    <w:p w:rsidR="00823F63" w:rsidRDefault="00823F63" w:rsidP="00B1244F">
      <w:pPr>
        <w:numPr>
          <w:ilvl w:val="0"/>
          <w:numId w:val="1"/>
        </w:numPr>
        <w:autoSpaceDE w:val="0"/>
        <w:autoSpaceDN w:val="0"/>
        <w:adjustRightInd w:val="0"/>
        <w:spacing w:before="120"/>
        <w:rPr>
          <w:rFonts w:eastAsia="Times New Roman" w:cs="Times New Roman"/>
          <w:szCs w:val="20"/>
          <w:lang w:val="es-CR" w:eastAsia="en-US"/>
        </w:rPr>
      </w:pPr>
      <w:r>
        <w:rPr>
          <w:rFonts w:eastAsia="Times New Roman" w:cs="Times New Roman"/>
          <w:szCs w:val="20"/>
          <w:lang w:val="es-CR" w:eastAsia="en-US"/>
        </w:rPr>
        <w:t>En relación con la declaración de</w:t>
      </w:r>
      <w:r w:rsidR="00FA4264">
        <w:rPr>
          <w:rFonts w:eastAsia="Times New Roman" w:cs="Times New Roman"/>
          <w:szCs w:val="20"/>
          <w:lang w:val="es-CR" w:eastAsia="en-US"/>
        </w:rPr>
        <w:t xml:space="preserve"> Diana Calderón</w:t>
      </w:r>
      <w:r>
        <w:rPr>
          <w:rFonts w:eastAsia="Times New Roman" w:cs="Times New Roman"/>
          <w:szCs w:val="20"/>
          <w:lang w:val="es-CR" w:eastAsia="en-US"/>
        </w:rPr>
        <w:t>, el</w:t>
      </w:r>
      <w:r w:rsidRPr="00212606">
        <w:rPr>
          <w:szCs w:val="20"/>
        </w:rPr>
        <w:t xml:space="preserve"> Estado sostuvo que su </w:t>
      </w:r>
      <w:r w:rsidR="00FA4264">
        <w:rPr>
          <w:szCs w:val="20"/>
        </w:rPr>
        <w:t>objeto</w:t>
      </w:r>
      <w:r w:rsidRPr="00212606">
        <w:rPr>
          <w:szCs w:val="20"/>
        </w:rPr>
        <w:t xml:space="preserve"> vers</w:t>
      </w:r>
      <w:r w:rsidR="00FA4264">
        <w:rPr>
          <w:szCs w:val="20"/>
        </w:rPr>
        <w:t>e</w:t>
      </w:r>
      <w:r w:rsidRPr="00212606">
        <w:rPr>
          <w:szCs w:val="20"/>
        </w:rPr>
        <w:t xml:space="preserve"> sobre “la negligencia observada en las autoridades encargadas del proceso” lo prejuzga. Ello por cuanto “se está afirmando que los agentes del Estado fueron negligentes, cuestión que acarrearía su responsabilidad </w:t>
      </w:r>
      <w:r w:rsidRPr="00EA0082">
        <w:rPr>
          <w:szCs w:val="20"/>
        </w:rPr>
        <w:t>internacional</w:t>
      </w:r>
      <w:r w:rsidRPr="00212606">
        <w:rPr>
          <w:szCs w:val="20"/>
        </w:rPr>
        <w:t xml:space="preserve"> en el contexto particular que hace referencia al avance de las investigaciones pena</w:t>
      </w:r>
      <w:r w:rsidR="000B01D6">
        <w:rPr>
          <w:szCs w:val="20"/>
        </w:rPr>
        <w:t>l</w:t>
      </w:r>
      <w:r w:rsidRPr="00212606">
        <w:rPr>
          <w:szCs w:val="20"/>
        </w:rPr>
        <w:t>es”. Por consiguiente, solicitó a la Corte “que retire este aparte del objeto de la declaración propuesta”.</w:t>
      </w:r>
    </w:p>
    <w:p w:rsidR="00823F63" w:rsidRPr="00925906" w:rsidRDefault="00823F63" w:rsidP="00B1244F">
      <w:pPr>
        <w:numPr>
          <w:ilvl w:val="0"/>
          <w:numId w:val="1"/>
        </w:numPr>
        <w:autoSpaceDE w:val="0"/>
        <w:autoSpaceDN w:val="0"/>
        <w:adjustRightInd w:val="0"/>
        <w:spacing w:before="120"/>
        <w:rPr>
          <w:rFonts w:eastAsia="Times New Roman" w:cs="Times New Roman"/>
          <w:szCs w:val="20"/>
          <w:lang w:val="es-CR" w:eastAsia="en-US"/>
        </w:rPr>
      </w:pPr>
      <w:r w:rsidRPr="00925906">
        <w:rPr>
          <w:rFonts w:eastAsia="Times New Roman" w:cs="Times New Roman"/>
          <w:szCs w:val="20"/>
          <w:lang w:val="es-CR" w:eastAsia="en-US"/>
        </w:rPr>
        <w:lastRenderedPageBreak/>
        <w:t xml:space="preserve">Por último, </w:t>
      </w:r>
      <w:r w:rsidRPr="00925906">
        <w:rPr>
          <w:szCs w:val="20"/>
        </w:rPr>
        <w:t xml:space="preserve">Colombia consideró que el proponer que la declaración pericial de Pedro José Vaca Villareal verse sobre los </w:t>
      </w:r>
      <w:r w:rsidRPr="00BE5998">
        <w:rPr>
          <w:szCs w:val="20"/>
        </w:rPr>
        <w:t>“</w:t>
      </w:r>
      <w:r w:rsidRPr="00BE5998">
        <w:rPr>
          <w:rFonts w:eastAsia="Times New Roman" w:cs="Times New Roman"/>
          <w:szCs w:val="20"/>
          <w:lang w:val="es-CR" w:eastAsia="en-US"/>
        </w:rPr>
        <w:t xml:space="preserve">eventuales vacíos y fallas [del marco normativo e institucional que existe en Colombia para la protección de periodistas], así como las medidas legislativas y </w:t>
      </w:r>
      <w:r w:rsidR="00925906" w:rsidRPr="00BE5998">
        <w:rPr>
          <w:rFonts w:eastAsia="Times New Roman" w:cs="Times New Roman"/>
          <w:szCs w:val="20"/>
          <w:lang w:val="es-CR" w:eastAsia="en-US"/>
        </w:rPr>
        <w:t>políticas</w:t>
      </w:r>
      <w:r w:rsidRPr="00BE5998">
        <w:rPr>
          <w:rFonts w:eastAsia="Times New Roman" w:cs="Times New Roman"/>
          <w:szCs w:val="20"/>
          <w:lang w:val="es-CR" w:eastAsia="en-US"/>
        </w:rPr>
        <w:t xml:space="preserve"> públicas que deberían adoptarse para fortalecer la protección a periodistas en el país […] </w:t>
      </w:r>
      <w:r w:rsidRPr="00BE5998">
        <w:rPr>
          <w:szCs w:val="20"/>
        </w:rPr>
        <w:t>prejuzga al Estado</w:t>
      </w:r>
      <w:r w:rsidRPr="00BE5998">
        <w:rPr>
          <w:rFonts w:eastAsia="Times New Roman" w:cs="Times New Roman"/>
          <w:szCs w:val="20"/>
          <w:lang w:val="es-CR" w:eastAsia="en-US"/>
        </w:rPr>
        <w:t xml:space="preserve"> </w:t>
      </w:r>
      <w:r w:rsidRPr="00BE5998">
        <w:rPr>
          <w:szCs w:val="20"/>
        </w:rPr>
        <w:t>en términos del cumplimiento de su obligación de garantía en relación con la protección a periodistas y comunicadores”. Sostuvo que ello era así en tanto se parte de “la existencia de vacíos y fallas en los mecanismos, instituciones y procesos en vigor para la época y en la actualidad</w:t>
      </w:r>
      <w:r w:rsidR="00925906" w:rsidRPr="00BE5998">
        <w:rPr>
          <w:szCs w:val="20"/>
        </w:rPr>
        <w:t>”.</w:t>
      </w:r>
      <w:r w:rsidR="00925906">
        <w:rPr>
          <w:szCs w:val="20"/>
        </w:rPr>
        <w:t xml:space="preserve"> Asimismo, el Estado sostuvo que </w:t>
      </w:r>
      <w:r w:rsidR="00925906">
        <w:rPr>
          <w:rFonts w:eastAsia="Times New Roman" w:cs="Times New Roman"/>
          <w:szCs w:val="20"/>
          <w:lang w:val="es-CR" w:eastAsia="en-US"/>
        </w:rPr>
        <w:t>la referencia a “</w:t>
      </w:r>
      <w:r w:rsidRPr="00925906">
        <w:rPr>
          <w:szCs w:val="20"/>
        </w:rPr>
        <w:t>entre otros aspectos relativos al objeto y fin del presente escrito"</w:t>
      </w:r>
      <w:r w:rsidR="00925906">
        <w:rPr>
          <w:szCs w:val="20"/>
        </w:rPr>
        <w:t xml:space="preserve"> era amplia y no delimitaba el objeto del peritaje. Adicional a ello, </w:t>
      </w:r>
      <w:r w:rsidR="00247138">
        <w:rPr>
          <w:szCs w:val="20"/>
        </w:rPr>
        <w:t xml:space="preserve">afirmó que desconocía </w:t>
      </w:r>
      <w:r w:rsidR="00925906">
        <w:rPr>
          <w:szCs w:val="20"/>
        </w:rPr>
        <w:t>a qué “presente escrito” se hacía alusión</w:t>
      </w:r>
      <w:r w:rsidRPr="00925906">
        <w:rPr>
          <w:szCs w:val="20"/>
        </w:rPr>
        <w:t xml:space="preserve">. </w:t>
      </w:r>
      <w:r w:rsidR="00247138">
        <w:rPr>
          <w:szCs w:val="20"/>
        </w:rPr>
        <w:t>S</w:t>
      </w:r>
      <w:r w:rsidRPr="00925906">
        <w:rPr>
          <w:szCs w:val="20"/>
        </w:rPr>
        <w:t>olicit</w:t>
      </w:r>
      <w:r w:rsidR="00247138">
        <w:rPr>
          <w:szCs w:val="20"/>
        </w:rPr>
        <w:t>ó</w:t>
      </w:r>
      <w:r w:rsidRPr="00925906">
        <w:rPr>
          <w:szCs w:val="20"/>
        </w:rPr>
        <w:t xml:space="preserve"> a </w:t>
      </w:r>
      <w:r w:rsidR="00247138">
        <w:rPr>
          <w:szCs w:val="20"/>
        </w:rPr>
        <w:t>la C</w:t>
      </w:r>
      <w:r w:rsidRPr="00925906">
        <w:rPr>
          <w:szCs w:val="20"/>
        </w:rPr>
        <w:t xml:space="preserve">orte retirar del objeto </w:t>
      </w:r>
      <w:r w:rsidR="00247138">
        <w:rPr>
          <w:szCs w:val="20"/>
        </w:rPr>
        <w:t>estos apartados</w:t>
      </w:r>
      <w:r w:rsidRPr="00925906">
        <w:rPr>
          <w:szCs w:val="20"/>
        </w:rPr>
        <w:t>.</w:t>
      </w:r>
    </w:p>
    <w:p w:rsidR="00823F63" w:rsidRDefault="00823F63" w:rsidP="000B34DB">
      <w:pPr>
        <w:numPr>
          <w:ilvl w:val="0"/>
          <w:numId w:val="1"/>
        </w:numPr>
        <w:autoSpaceDE w:val="0"/>
        <w:autoSpaceDN w:val="0"/>
        <w:adjustRightInd w:val="0"/>
        <w:spacing w:before="120"/>
        <w:rPr>
          <w:szCs w:val="20"/>
        </w:rPr>
      </w:pPr>
      <w:r>
        <w:rPr>
          <w:szCs w:val="20"/>
          <w:lang w:val="es-CR"/>
        </w:rPr>
        <w:t>En relación con los argumentos presentados por Colombia, e</w:t>
      </w:r>
      <w:r w:rsidR="000B34DB" w:rsidRPr="00EA0082">
        <w:rPr>
          <w:szCs w:val="20"/>
          <w:lang w:val="es-CR"/>
        </w:rPr>
        <w:t>sta Presidencia considera que e</w:t>
      </w:r>
      <w:r w:rsidR="000B34DB" w:rsidRPr="00EA0082">
        <w:rPr>
          <w:szCs w:val="20"/>
        </w:rPr>
        <w:t>l Estado no objetó que las presuntas víctimas</w:t>
      </w:r>
      <w:r>
        <w:rPr>
          <w:szCs w:val="20"/>
        </w:rPr>
        <w:t>, la testigo y el perito</w:t>
      </w:r>
      <w:r w:rsidR="000B34DB" w:rsidRPr="00EA0082">
        <w:rPr>
          <w:szCs w:val="20"/>
        </w:rPr>
        <w:t xml:space="preserve"> rindieran sus declaraciones sino que </w:t>
      </w:r>
      <w:r w:rsidR="00870DE8">
        <w:rPr>
          <w:szCs w:val="20"/>
        </w:rPr>
        <w:t>sostuvo</w:t>
      </w:r>
      <w:r w:rsidR="000B34DB" w:rsidRPr="00EA0082">
        <w:rPr>
          <w:szCs w:val="20"/>
        </w:rPr>
        <w:t xml:space="preserve"> que el modo en que están propuestos los objetos a los que harán referencia en sus intervenciones implica u</w:t>
      </w:r>
      <w:r w:rsidR="00247138">
        <w:rPr>
          <w:szCs w:val="20"/>
        </w:rPr>
        <w:t>n prejuzgamiento sobre el caso.</w:t>
      </w:r>
    </w:p>
    <w:p w:rsidR="000B34DB" w:rsidRPr="00823F63" w:rsidRDefault="000B34DB" w:rsidP="000B34DB">
      <w:pPr>
        <w:numPr>
          <w:ilvl w:val="0"/>
          <w:numId w:val="1"/>
        </w:numPr>
        <w:autoSpaceDE w:val="0"/>
        <w:autoSpaceDN w:val="0"/>
        <w:adjustRightInd w:val="0"/>
        <w:spacing w:before="120"/>
        <w:rPr>
          <w:szCs w:val="20"/>
        </w:rPr>
      </w:pPr>
      <w:r w:rsidRPr="00EA0082">
        <w:rPr>
          <w:szCs w:val="20"/>
        </w:rPr>
        <w:t xml:space="preserve">De acuerdo </w:t>
      </w:r>
      <w:r w:rsidR="00434688">
        <w:rPr>
          <w:szCs w:val="20"/>
        </w:rPr>
        <w:t>con</w:t>
      </w:r>
      <w:r w:rsidRPr="00EA0082">
        <w:rPr>
          <w:szCs w:val="20"/>
        </w:rPr>
        <w:t xml:space="preserve"> lo anterior, esta Presidencia reitera que el cuestionamiento de Colombia no tiene entidad suficiente para generar la inadmisión de las referidas declaraciones</w:t>
      </w:r>
      <w:r w:rsidR="00434688">
        <w:rPr>
          <w:szCs w:val="20"/>
        </w:rPr>
        <w:t>,</w:t>
      </w:r>
      <w:r w:rsidRPr="00EA0082">
        <w:rPr>
          <w:szCs w:val="20"/>
        </w:rPr>
        <w:t xml:space="preserve"> por lo que </w:t>
      </w:r>
      <w:r w:rsidRPr="00EA0082">
        <w:rPr>
          <w:rFonts w:cs="Verdana"/>
          <w:szCs w:val="20"/>
          <w:lang w:bidi="en-US"/>
        </w:rPr>
        <w:t>estima</w:t>
      </w:r>
      <w:r w:rsidRPr="000B34DB">
        <w:rPr>
          <w:rFonts w:cs="Verdana"/>
          <w:szCs w:val="20"/>
          <w:lang w:bidi="en-US"/>
        </w:rPr>
        <w:t xml:space="preserve"> conducente </w:t>
      </w:r>
      <w:r w:rsidRPr="000B34DB">
        <w:rPr>
          <w:rFonts w:eastAsia="Times New Roman" w:cs="Verdana"/>
          <w:szCs w:val="20"/>
          <w:lang w:val="es-CL" w:eastAsia="en-US"/>
        </w:rPr>
        <w:t>su admisión. S</w:t>
      </w:r>
      <w:r w:rsidRPr="000B34DB">
        <w:rPr>
          <w:szCs w:val="20"/>
        </w:rPr>
        <w:t xml:space="preserve">in perjuicio de </w:t>
      </w:r>
      <w:r w:rsidR="00434688">
        <w:rPr>
          <w:szCs w:val="20"/>
        </w:rPr>
        <w:t>ello</w:t>
      </w:r>
      <w:r w:rsidRPr="000B34DB">
        <w:rPr>
          <w:szCs w:val="20"/>
        </w:rPr>
        <w:t xml:space="preserve">, se tendrá en consideración </w:t>
      </w:r>
      <w:r w:rsidR="00456EBD">
        <w:rPr>
          <w:szCs w:val="20"/>
        </w:rPr>
        <w:t xml:space="preserve">los señalamientos formulados por el Estado </w:t>
      </w:r>
      <w:r w:rsidRPr="000B34DB">
        <w:rPr>
          <w:szCs w:val="20"/>
        </w:rPr>
        <w:t>respecto a los objetos de las declaraciones</w:t>
      </w:r>
      <w:r w:rsidRPr="00ED3CC9">
        <w:rPr>
          <w:rStyle w:val="FootnoteReference"/>
          <w:szCs w:val="20"/>
        </w:rPr>
        <w:footnoteReference w:id="3"/>
      </w:r>
      <w:r w:rsidRPr="000B34DB">
        <w:rPr>
          <w:rFonts w:cs="Verdana"/>
          <w:szCs w:val="20"/>
          <w:lang w:bidi="en-US"/>
        </w:rPr>
        <w:t xml:space="preserve">. </w:t>
      </w:r>
      <w:r w:rsidR="00B1244F">
        <w:rPr>
          <w:rFonts w:cs="Verdana"/>
          <w:szCs w:val="20"/>
          <w:lang w:bidi="en-US"/>
        </w:rPr>
        <w:t xml:space="preserve">En específico, esta Presidencia considera que efectivamente frases como “entre otros aspectos relevantes para el caso” </w:t>
      </w:r>
      <w:r w:rsidR="00247138">
        <w:rPr>
          <w:rFonts w:cs="Verdana"/>
          <w:szCs w:val="20"/>
          <w:lang w:bidi="en-US"/>
        </w:rPr>
        <w:t xml:space="preserve">o </w:t>
      </w:r>
      <w:r w:rsidR="00247138">
        <w:rPr>
          <w:rFonts w:eastAsia="Times New Roman" w:cs="Times New Roman"/>
          <w:szCs w:val="20"/>
          <w:lang w:val="es-CR" w:eastAsia="en-US"/>
        </w:rPr>
        <w:t>“</w:t>
      </w:r>
      <w:r w:rsidR="00247138" w:rsidRPr="00925906">
        <w:rPr>
          <w:szCs w:val="20"/>
        </w:rPr>
        <w:t>entre otros aspectos relativos al objeto y fin del presente escrito"</w:t>
      </w:r>
      <w:r w:rsidR="00247138">
        <w:rPr>
          <w:szCs w:val="20"/>
        </w:rPr>
        <w:t xml:space="preserve"> </w:t>
      </w:r>
      <w:r w:rsidR="00B1244F">
        <w:rPr>
          <w:rFonts w:cs="Verdana"/>
          <w:szCs w:val="20"/>
          <w:lang w:bidi="en-US"/>
        </w:rPr>
        <w:t>no permiten delimitar claramente cuál es el objeto de las declaraciones</w:t>
      </w:r>
      <w:r w:rsidR="00247138">
        <w:rPr>
          <w:rFonts w:cs="Verdana"/>
          <w:szCs w:val="20"/>
          <w:lang w:bidi="en-US"/>
        </w:rPr>
        <w:t xml:space="preserve"> propuestas</w:t>
      </w:r>
      <w:r w:rsidR="00B1244F">
        <w:rPr>
          <w:rFonts w:cs="Verdana"/>
          <w:szCs w:val="20"/>
          <w:lang w:bidi="en-US"/>
        </w:rPr>
        <w:t xml:space="preserve">. </w:t>
      </w:r>
      <w:r w:rsidR="00151DA1">
        <w:rPr>
          <w:rFonts w:cs="Verdana"/>
          <w:szCs w:val="20"/>
          <w:lang w:bidi="en-US"/>
        </w:rPr>
        <w:t xml:space="preserve">Asimismo, </w:t>
      </w:r>
      <w:r w:rsidR="00367A12">
        <w:rPr>
          <w:rFonts w:cs="Verdana"/>
          <w:szCs w:val="20"/>
          <w:lang w:bidi="en-US"/>
        </w:rPr>
        <w:t xml:space="preserve">debe </w:t>
      </w:r>
      <w:r w:rsidR="00456EBD">
        <w:rPr>
          <w:rFonts w:cs="Verdana"/>
          <w:szCs w:val="20"/>
          <w:lang w:bidi="en-US"/>
        </w:rPr>
        <w:t xml:space="preserve">indicarse </w:t>
      </w:r>
      <w:r w:rsidR="00367A12">
        <w:rPr>
          <w:rFonts w:cs="Verdana"/>
          <w:szCs w:val="20"/>
          <w:lang w:bidi="en-US"/>
        </w:rPr>
        <w:t>que los objetos de las declaraciones periciales</w:t>
      </w:r>
      <w:r w:rsidR="008B0C11">
        <w:rPr>
          <w:rFonts w:cs="Verdana"/>
          <w:szCs w:val="20"/>
          <w:lang w:bidi="en-US"/>
        </w:rPr>
        <w:t xml:space="preserve"> propuestas</w:t>
      </w:r>
      <w:r w:rsidR="00367A12">
        <w:rPr>
          <w:rFonts w:cs="Verdana"/>
          <w:szCs w:val="20"/>
          <w:lang w:bidi="en-US"/>
        </w:rPr>
        <w:t xml:space="preserve"> </w:t>
      </w:r>
      <w:r w:rsidR="00870DE8">
        <w:rPr>
          <w:rFonts w:cs="Verdana"/>
          <w:szCs w:val="20"/>
          <w:lang w:bidi="en-US"/>
        </w:rPr>
        <w:t xml:space="preserve">no deben tener </w:t>
      </w:r>
      <w:r w:rsidR="00367A12">
        <w:rPr>
          <w:rFonts w:cs="Verdana"/>
          <w:szCs w:val="20"/>
          <w:lang w:bidi="en-US"/>
        </w:rPr>
        <w:t>contenidos</w:t>
      </w:r>
      <w:r w:rsidR="00151DA1">
        <w:rPr>
          <w:rFonts w:cs="Verdana"/>
          <w:szCs w:val="20"/>
          <w:lang w:bidi="en-US"/>
        </w:rPr>
        <w:t xml:space="preserve"> </w:t>
      </w:r>
      <w:r w:rsidR="00367A12">
        <w:rPr>
          <w:rFonts w:cs="Verdana"/>
          <w:szCs w:val="20"/>
          <w:lang w:bidi="en-US"/>
        </w:rPr>
        <w:t xml:space="preserve">que </w:t>
      </w:r>
      <w:r w:rsidR="008B0C11">
        <w:rPr>
          <w:rFonts w:cs="Verdana"/>
          <w:szCs w:val="20"/>
          <w:lang w:bidi="en-US"/>
        </w:rPr>
        <w:t xml:space="preserve">comprometan </w:t>
      </w:r>
      <w:r w:rsidR="00484AA7">
        <w:rPr>
          <w:rFonts w:cs="Verdana"/>
          <w:szCs w:val="20"/>
          <w:lang w:bidi="en-US"/>
        </w:rPr>
        <w:t>la</w:t>
      </w:r>
      <w:r w:rsidR="00367A12">
        <w:rPr>
          <w:rFonts w:cs="Verdana"/>
          <w:szCs w:val="20"/>
          <w:lang w:bidi="en-US"/>
        </w:rPr>
        <w:t xml:space="preserve"> </w:t>
      </w:r>
      <w:r w:rsidR="00434688">
        <w:rPr>
          <w:rFonts w:cs="Verdana"/>
          <w:szCs w:val="20"/>
          <w:lang w:bidi="en-US"/>
        </w:rPr>
        <w:t>objetividad</w:t>
      </w:r>
      <w:r w:rsidR="00484AA7">
        <w:rPr>
          <w:rFonts w:cs="Verdana"/>
          <w:szCs w:val="20"/>
          <w:lang w:bidi="en-US"/>
        </w:rPr>
        <w:t xml:space="preserve"> de la información a ser presentada a</w:t>
      </w:r>
      <w:r w:rsidR="00870DE8">
        <w:rPr>
          <w:rFonts w:cs="Verdana"/>
          <w:szCs w:val="20"/>
          <w:lang w:bidi="en-US"/>
        </w:rPr>
        <w:t>nte</w:t>
      </w:r>
      <w:r w:rsidR="00484AA7">
        <w:rPr>
          <w:rFonts w:cs="Verdana"/>
          <w:szCs w:val="20"/>
          <w:lang w:bidi="en-US"/>
        </w:rPr>
        <w:t xml:space="preserve"> la Corte</w:t>
      </w:r>
      <w:r w:rsidR="00367A12">
        <w:rPr>
          <w:rFonts w:cs="Verdana"/>
          <w:szCs w:val="20"/>
          <w:lang w:bidi="en-US"/>
        </w:rPr>
        <w:t xml:space="preserve">. </w:t>
      </w:r>
      <w:r w:rsidRPr="000B34DB">
        <w:rPr>
          <w:rFonts w:cs="Verdana"/>
          <w:szCs w:val="20"/>
          <w:lang w:bidi="en-US"/>
        </w:rPr>
        <w:t>En consecuencia, e</w:t>
      </w:r>
      <w:r w:rsidRPr="000B34DB">
        <w:rPr>
          <w:szCs w:val="20"/>
          <w:lang w:val="es-CR"/>
        </w:rPr>
        <w:t xml:space="preserve">l objeto y la modalidad de </w:t>
      </w:r>
      <w:r>
        <w:rPr>
          <w:szCs w:val="20"/>
          <w:lang w:val="es-CR"/>
        </w:rPr>
        <w:t xml:space="preserve">las </w:t>
      </w:r>
      <w:r w:rsidR="00870DE8">
        <w:rPr>
          <w:szCs w:val="20"/>
          <w:lang w:val="es-CR"/>
        </w:rPr>
        <w:t>declaraciones de las presuntas víctimas, la testigo y el perito</w:t>
      </w:r>
      <w:r w:rsidRPr="000B34DB">
        <w:rPr>
          <w:szCs w:val="20"/>
          <w:lang w:val="es-CR"/>
        </w:rPr>
        <w:t xml:space="preserve"> se determinará en la parte resolutiva de la presente Resolución (</w:t>
      </w:r>
      <w:r w:rsidRPr="000B34DB">
        <w:rPr>
          <w:i/>
          <w:iCs/>
          <w:szCs w:val="20"/>
          <w:lang w:val="es-CR"/>
        </w:rPr>
        <w:t>infra</w:t>
      </w:r>
      <w:r w:rsidRPr="000B34DB">
        <w:rPr>
          <w:szCs w:val="20"/>
          <w:lang w:val="es-CR"/>
        </w:rPr>
        <w:t xml:space="preserve"> puntos resolutivos </w:t>
      </w:r>
      <w:r w:rsidR="00B34114">
        <w:rPr>
          <w:szCs w:val="20"/>
          <w:lang w:val="es-CR"/>
        </w:rPr>
        <w:t>1</w:t>
      </w:r>
      <w:r w:rsidRPr="000B34DB">
        <w:rPr>
          <w:szCs w:val="20"/>
          <w:lang w:val="es-CR"/>
        </w:rPr>
        <w:t xml:space="preserve"> y </w:t>
      </w:r>
      <w:r w:rsidR="00B34114">
        <w:rPr>
          <w:szCs w:val="20"/>
          <w:lang w:val="es-CR"/>
        </w:rPr>
        <w:t>4</w:t>
      </w:r>
      <w:r w:rsidRPr="000B34DB">
        <w:rPr>
          <w:szCs w:val="20"/>
          <w:lang w:val="es-CR"/>
        </w:rPr>
        <w:t>).</w:t>
      </w:r>
    </w:p>
    <w:p w:rsidR="00AD27B4" w:rsidRPr="007A33D5" w:rsidRDefault="007A33D5" w:rsidP="007A33D5">
      <w:pPr>
        <w:pStyle w:val="ListParagraph1"/>
        <w:numPr>
          <w:ilvl w:val="0"/>
          <w:numId w:val="3"/>
        </w:numPr>
        <w:spacing w:before="120" w:after="120"/>
        <w:ind w:right="11"/>
        <w:jc w:val="both"/>
        <w:rPr>
          <w:rFonts w:ascii="Verdana" w:hAnsi="Verdana" w:cs="Verdana"/>
          <w:b/>
          <w:bCs/>
          <w:i/>
          <w:iCs/>
          <w:sz w:val="20"/>
          <w:szCs w:val="20"/>
        </w:rPr>
      </w:pPr>
      <w:r w:rsidRPr="007A33D5">
        <w:rPr>
          <w:rFonts w:ascii="Verdana" w:hAnsi="Verdana" w:cs="Verdana"/>
          <w:b/>
          <w:bCs/>
          <w:i/>
          <w:iCs/>
          <w:sz w:val="20"/>
          <w:szCs w:val="20"/>
        </w:rPr>
        <w:t>La solicitud de la Comisión para formular preguntas a una perita propuesta por el Estado y a dos peritos ofrecidos por los representantes de las</w:t>
      </w:r>
      <w:r w:rsidR="00B34114">
        <w:rPr>
          <w:rFonts w:ascii="Verdana" w:hAnsi="Verdana" w:cs="Verdana"/>
          <w:b/>
          <w:bCs/>
          <w:i/>
          <w:iCs/>
          <w:sz w:val="20"/>
          <w:szCs w:val="20"/>
        </w:rPr>
        <w:t xml:space="preserve"> presuntas</w:t>
      </w:r>
      <w:r w:rsidRPr="007A33D5">
        <w:rPr>
          <w:rFonts w:ascii="Verdana" w:hAnsi="Verdana" w:cs="Verdana"/>
          <w:b/>
          <w:bCs/>
          <w:i/>
          <w:iCs/>
          <w:sz w:val="20"/>
          <w:szCs w:val="20"/>
        </w:rPr>
        <w:t xml:space="preserve"> víctimas</w:t>
      </w:r>
    </w:p>
    <w:p w:rsidR="00632FC8" w:rsidRDefault="00AD27B4" w:rsidP="007A33D5">
      <w:pPr>
        <w:numPr>
          <w:ilvl w:val="0"/>
          <w:numId w:val="1"/>
        </w:numPr>
        <w:autoSpaceDE w:val="0"/>
        <w:autoSpaceDN w:val="0"/>
        <w:adjustRightInd w:val="0"/>
        <w:spacing w:before="120"/>
        <w:rPr>
          <w:szCs w:val="20"/>
          <w:lang w:val="es-CR"/>
        </w:rPr>
      </w:pPr>
      <w:r w:rsidRPr="00632FC8">
        <w:rPr>
          <w:szCs w:val="20"/>
          <w:lang w:val="es-CR"/>
        </w:rPr>
        <w:t>La Comisión solicitó a la Corte “la oportunidad verbal o escrita de formular preguntas, en la med</w:t>
      </w:r>
      <w:r w:rsidR="00496191" w:rsidRPr="00632FC8">
        <w:rPr>
          <w:szCs w:val="20"/>
          <w:lang w:val="es-CR"/>
        </w:rPr>
        <w:t>ida de lo relevante y razonable</w:t>
      </w:r>
      <w:r w:rsidR="00184C91">
        <w:rPr>
          <w:szCs w:val="20"/>
          <w:lang w:val="es-CR"/>
        </w:rPr>
        <w:t>,</w:t>
      </w:r>
      <w:r w:rsidRPr="00632FC8">
        <w:rPr>
          <w:szCs w:val="20"/>
          <w:lang w:val="es-CR"/>
        </w:rPr>
        <w:t xml:space="preserve"> </w:t>
      </w:r>
      <w:r w:rsidR="00496191" w:rsidRPr="00632FC8">
        <w:rPr>
          <w:szCs w:val="20"/>
          <w:lang w:val="es-CR"/>
        </w:rPr>
        <w:t xml:space="preserve">a una de las peritas ofrecidas por el Estado de Colombia, así como a dos peritos ofrecidos por los representantes de las </w:t>
      </w:r>
      <w:r w:rsidR="00184C91">
        <w:rPr>
          <w:szCs w:val="20"/>
          <w:lang w:val="es-CR"/>
        </w:rPr>
        <w:t xml:space="preserve">[presuntas] </w:t>
      </w:r>
      <w:r w:rsidR="00496191" w:rsidRPr="00632FC8">
        <w:rPr>
          <w:szCs w:val="20"/>
          <w:lang w:val="es-CR"/>
        </w:rPr>
        <w:t>víctimas</w:t>
      </w:r>
      <w:r w:rsidRPr="00632FC8">
        <w:rPr>
          <w:szCs w:val="20"/>
          <w:lang w:val="es-CR"/>
        </w:rPr>
        <w:t xml:space="preserve">”. </w:t>
      </w:r>
      <w:r w:rsidR="00456EBD">
        <w:rPr>
          <w:szCs w:val="20"/>
          <w:lang w:val="es-CR"/>
        </w:rPr>
        <w:t>E</w:t>
      </w:r>
      <w:r w:rsidRPr="00632FC8">
        <w:rPr>
          <w:szCs w:val="20"/>
          <w:lang w:val="es-CR"/>
        </w:rPr>
        <w:t>xplicó que su “solicitud se basa en la importancia de permitir que las declaraciones periciales que se relacionan entre sí ofrezcan una variedad de perspectivas –distintas o complementarias- sobre los temas que pretenden desarrollar, a fin de enriquecer los elementos de información con los cuales contará el Tribunal al moment</w:t>
      </w:r>
      <w:r w:rsidR="00893B53">
        <w:rPr>
          <w:szCs w:val="20"/>
          <w:lang w:val="es-CR"/>
        </w:rPr>
        <w:t>o de decidir el presente caso”.</w:t>
      </w:r>
    </w:p>
    <w:p w:rsidR="00496191" w:rsidRPr="0035505A" w:rsidRDefault="00632FC8" w:rsidP="0035505A">
      <w:pPr>
        <w:numPr>
          <w:ilvl w:val="0"/>
          <w:numId w:val="1"/>
        </w:numPr>
        <w:autoSpaceDE w:val="0"/>
        <w:autoSpaceDN w:val="0"/>
        <w:adjustRightInd w:val="0"/>
        <w:spacing w:before="120"/>
        <w:rPr>
          <w:szCs w:val="20"/>
          <w:lang w:val="es-CR"/>
        </w:rPr>
      </w:pPr>
      <w:r w:rsidRPr="0035505A">
        <w:rPr>
          <w:szCs w:val="20"/>
          <w:lang w:val="es-CR"/>
        </w:rPr>
        <w:t xml:space="preserve">La Comisión </w:t>
      </w:r>
      <w:r w:rsidR="00AD27B4" w:rsidRPr="0035505A">
        <w:rPr>
          <w:szCs w:val="20"/>
          <w:lang w:val="es-CR"/>
        </w:rPr>
        <w:t>sostuvo que la declaración pericial</w:t>
      </w:r>
      <w:r w:rsidRPr="0035505A">
        <w:rPr>
          <w:szCs w:val="20"/>
          <w:lang w:val="es-CR"/>
        </w:rPr>
        <w:t xml:space="preserve"> de</w:t>
      </w:r>
      <w:r w:rsidR="00AD27B4" w:rsidRPr="0035505A">
        <w:rPr>
          <w:szCs w:val="20"/>
          <w:lang w:val="es-CR"/>
        </w:rPr>
        <w:t xml:space="preserve"> </w:t>
      </w:r>
      <w:r w:rsidRPr="0035505A">
        <w:rPr>
          <w:szCs w:val="20"/>
          <w:lang w:val="es-CR"/>
        </w:rPr>
        <w:t xml:space="preserve">María Carmelina Londoño se relaciona con el peritaje </w:t>
      </w:r>
      <w:r w:rsidR="00893B53">
        <w:rPr>
          <w:szCs w:val="20"/>
          <w:lang w:val="es-CR"/>
        </w:rPr>
        <w:t>de</w:t>
      </w:r>
      <w:r w:rsidRPr="0035505A">
        <w:rPr>
          <w:szCs w:val="20"/>
          <w:lang w:val="es-CR"/>
        </w:rPr>
        <w:t xml:space="preserve"> David Kaye dado que ambos </w:t>
      </w:r>
      <w:r w:rsidR="00893B53">
        <w:rPr>
          <w:szCs w:val="20"/>
          <w:lang w:val="es-CR"/>
        </w:rPr>
        <w:t>se referirán a “</w:t>
      </w:r>
      <w:r w:rsidRPr="0035505A">
        <w:rPr>
          <w:szCs w:val="20"/>
          <w:lang w:val="es-CR"/>
        </w:rPr>
        <w:t>los estándares internacionales en materia de investigación de actos de violencia contra periodistas, lo que a su vez hace parte de las cuestiones de orden público interamericano que plantea el caso”.</w:t>
      </w:r>
      <w:r w:rsidR="0035505A" w:rsidRPr="0035505A">
        <w:rPr>
          <w:szCs w:val="20"/>
          <w:lang w:val="es-CR"/>
        </w:rPr>
        <w:t xml:space="preserve"> Respecto a la declaración pericial de Germán Augusto Rey Beltrán, indicó que “se </w:t>
      </w:r>
      <w:r w:rsidR="00496191" w:rsidRPr="0035505A">
        <w:rPr>
          <w:szCs w:val="20"/>
          <w:lang w:val="es-CR"/>
        </w:rPr>
        <w:t xml:space="preserve">relaciona con el peritaje </w:t>
      </w:r>
      <w:r w:rsidR="00893B53">
        <w:rPr>
          <w:szCs w:val="20"/>
          <w:lang w:val="es-CR"/>
        </w:rPr>
        <w:t>[de]</w:t>
      </w:r>
      <w:r w:rsidR="00496191" w:rsidRPr="0035505A">
        <w:rPr>
          <w:szCs w:val="20"/>
          <w:lang w:val="es-CR"/>
        </w:rPr>
        <w:t xml:space="preserve"> Carlos</w:t>
      </w:r>
      <w:r w:rsidR="0035505A" w:rsidRPr="0035505A">
        <w:rPr>
          <w:szCs w:val="20"/>
          <w:lang w:val="es-CR"/>
        </w:rPr>
        <w:t xml:space="preserve"> </w:t>
      </w:r>
      <w:r w:rsidR="00496191" w:rsidRPr="0035505A">
        <w:rPr>
          <w:szCs w:val="20"/>
          <w:lang w:val="es-CR"/>
        </w:rPr>
        <w:t>Laur</w:t>
      </w:r>
      <w:r w:rsidR="0035505A" w:rsidRPr="0035505A">
        <w:rPr>
          <w:szCs w:val="20"/>
          <w:lang w:val="es-CR"/>
        </w:rPr>
        <w:t>í</w:t>
      </w:r>
      <w:r w:rsidR="00496191" w:rsidRPr="0035505A">
        <w:rPr>
          <w:szCs w:val="20"/>
          <w:lang w:val="es-CR"/>
        </w:rPr>
        <w:t>a</w:t>
      </w:r>
      <w:r w:rsidR="0035505A" w:rsidRPr="0035505A">
        <w:rPr>
          <w:szCs w:val="20"/>
          <w:lang w:val="es-CR"/>
        </w:rPr>
        <w:t xml:space="preserve"> [dado que] </w:t>
      </w:r>
      <w:r w:rsidR="00496191" w:rsidRPr="0035505A">
        <w:rPr>
          <w:szCs w:val="20"/>
          <w:lang w:val="es-CR"/>
        </w:rPr>
        <w:t>una de las cuestiones de orden p</w:t>
      </w:r>
      <w:r w:rsidR="0035505A" w:rsidRPr="0035505A">
        <w:rPr>
          <w:szCs w:val="20"/>
          <w:lang w:val="es-CR"/>
        </w:rPr>
        <w:t>ú</w:t>
      </w:r>
      <w:r w:rsidR="00496191" w:rsidRPr="0035505A">
        <w:rPr>
          <w:szCs w:val="20"/>
          <w:lang w:val="es-CR"/>
        </w:rPr>
        <w:t>blico</w:t>
      </w:r>
      <w:r w:rsidR="0035505A" w:rsidRPr="0035505A">
        <w:rPr>
          <w:szCs w:val="20"/>
          <w:lang w:val="es-CR"/>
        </w:rPr>
        <w:t xml:space="preserve"> </w:t>
      </w:r>
      <w:r w:rsidR="00496191" w:rsidRPr="0035505A">
        <w:rPr>
          <w:szCs w:val="20"/>
          <w:lang w:val="es-CR"/>
        </w:rPr>
        <w:t xml:space="preserve">interamericano presentes en el caso se vincula con </w:t>
      </w:r>
      <w:r w:rsidR="0035505A" w:rsidRPr="0035505A">
        <w:rPr>
          <w:szCs w:val="20"/>
          <w:lang w:val="es-CR"/>
        </w:rPr>
        <w:t>l</w:t>
      </w:r>
      <w:r w:rsidR="00496191" w:rsidRPr="0035505A">
        <w:rPr>
          <w:szCs w:val="20"/>
          <w:lang w:val="es-CR"/>
        </w:rPr>
        <w:t xml:space="preserve">a relevancia de efectuar un </w:t>
      </w:r>
      <w:r w:rsidR="0035505A" w:rsidRPr="0035505A">
        <w:rPr>
          <w:szCs w:val="20"/>
          <w:lang w:val="es-CR"/>
        </w:rPr>
        <w:t>análisis</w:t>
      </w:r>
      <w:r w:rsidR="00496191" w:rsidRPr="0035505A">
        <w:rPr>
          <w:szCs w:val="20"/>
          <w:lang w:val="es-CR"/>
        </w:rPr>
        <w:t xml:space="preserve"> de contexto</w:t>
      </w:r>
      <w:r w:rsidR="00893B53">
        <w:rPr>
          <w:szCs w:val="20"/>
          <w:lang w:val="es-CR"/>
        </w:rPr>
        <w:t>”. Señaló que el peritaje del señor Rey Beltrán</w:t>
      </w:r>
      <w:r w:rsidR="009B69EE">
        <w:rPr>
          <w:szCs w:val="20"/>
          <w:lang w:val="es-CR"/>
        </w:rPr>
        <w:t>,</w:t>
      </w:r>
      <w:r w:rsidR="00893B53">
        <w:rPr>
          <w:szCs w:val="20"/>
          <w:lang w:val="es-CR"/>
        </w:rPr>
        <w:t xml:space="preserve"> </w:t>
      </w:r>
      <w:r w:rsidR="009B69EE">
        <w:rPr>
          <w:szCs w:val="20"/>
          <w:lang w:val="es-CR"/>
        </w:rPr>
        <w:t>“</w:t>
      </w:r>
      <w:r w:rsidR="00496191" w:rsidRPr="0035505A">
        <w:rPr>
          <w:szCs w:val="20"/>
          <w:lang w:val="es-CR"/>
        </w:rPr>
        <w:t>al tratarse de las determinaciones</w:t>
      </w:r>
      <w:r w:rsidR="0035505A" w:rsidRPr="0035505A">
        <w:rPr>
          <w:szCs w:val="20"/>
          <w:lang w:val="es-CR"/>
        </w:rPr>
        <w:t xml:space="preserve"> </w:t>
      </w:r>
      <w:r w:rsidR="00496191" w:rsidRPr="0035505A">
        <w:rPr>
          <w:szCs w:val="20"/>
          <w:lang w:val="es-CR"/>
        </w:rPr>
        <w:t>del Centro Nacional de Memoria Hist</w:t>
      </w:r>
      <w:r w:rsidR="0035505A" w:rsidRPr="0035505A">
        <w:rPr>
          <w:szCs w:val="20"/>
          <w:lang w:val="es-CR"/>
        </w:rPr>
        <w:t>ó</w:t>
      </w:r>
      <w:r w:rsidR="00496191" w:rsidRPr="0035505A">
        <w:rPr>
          <w:szCs w:val="20"/>
          <w:lang w:val="es-CR"/>
        </w:rPr>
        <w:t xml:space="preserve">rica </w:t>
      </w:r>
      <w:r w:rsidR="0035505A" w:rsidRPr="0035505A">
        <w:rPr>
          <w:szCs w:val="20"/>
          <w:lang w:val="es-CR"/>
        </w:rPr>
        <w:t>sobre</w:t>
      </w:r>
      <w:r w:rsidR="00496191" w:rsidRPr="0035505A">
        <w:rPr>
          <w:szCs w:val="20"/>
          <w:lang w:val="es-CR"/>
        </w:rPr>
        <w:t xml:space="preserve"> </w:t>
      </w:r>
      <w:r w:rsidR="0035505A" w:rsidRPr="0035505A">
        <w:rPr>
          <w:szCs w:val="20"/>
          <w:lang w:val="es-CR"/>
        </w:rPr>
        <w:t>l</w:t>
      </w:r>
      <w:r w:rsidR="00496191" w:rsidRPr="0035505A">
        <w:rPr>
          <w:szCs w:val="20"/>
          <w:lang w:val="es-CR"/>
        </w:rPr>
        <w:t>a violencia contra periodistas en Colombia, guarda</w:t>
      </w:r>
      <w:r w:rsidR="0035505A" w:rsidRPr="0035505A">
        <w:rPr>
          <w:szCs w:val="20"/>
          <w:lang w:val="es-CR"/>
        </w:rPr>
        <w:t xml:space="preserve"> </w:t>
      </w:r>
      <w:r w:rsidR="00496191" w:rsidRPr="0035505A">
        <w:rPr>
          <w:szCs w:val="20"/>
          <w:lang w:val="es-CR"/>
        </w:rPr>
        <w:t>relaci</w:t>
      </w:r>
      <w:r w:rsidR="0035505A" w:rsidRPr="0035505A">
        <w:rPr>
          <w:szCs w:val="20"/>
          <w:lang w:val="es-CR"/>
        </w:rPr>
        <w:t>ó</w:t>
      </w:r>
      <w:r w:rsidR="00496191" w:rsidRPr="0035505A">
        <w:rPr>
          <w:szCs w:val="20"/>
          <w:lang w:val="es-CR"/>
        </w:rPr>
        <w:t xml:space="preserve">n con el objeto ofrecido respecto del </w:t>
      </w:r>
      <w:r w:rsidR="0035505A" w:rsidRPr="0035505A">
        <w:rPr>
          <w:szCs w:val="20"/>
          <w:lang w:val="es-CR"/>
        </w:rPr>
        <w:t>señor</w:t>
      </w:r>
      <w:r w:rsidR="00496191" w:rsidRPr="0035505A">
        <w:rPr>
          <w:szCs w:val="20"/>
          <w:lang w:val="es-CR"/>
        </w:rPr>
        <w:t xml:space="preserve"> Laur</w:t>
      </w:r>
      <w:r w:rsidR="0035505A" w:rsidRPr="0035505A">
        <w:rPr>
          <w:szCs w:val="20"/>
          <w:lang w:val="es-CR"/>
        </w:rPr>
        <w:t>í</w:t>
      </w:r>
      <w:r w:rsidR="00496191" w:rsidRPr="0035505A">
        <w:rPr>
          <w:szCs w:val="20"/>
          <w:lang w:val="es-CR"/>
        </w:rPr>
        <w:t>a</w:t>
      </w:r>
      <w:r w:rsidR="009B69EE">
        <w:rPr>
          <w:szCs w:val="20"/>
          <w:lang w:val="es-CR"/>
        </w:rPr>
        <w:t>”</w:t>
      </w:r>
      <w:r w:rsidR="00496191" w:rsidRPr="0035505A">
        <w:rPr>
          <w:szCs w:val="20"/>
          <w:lang w:val="es-CR"/>
        </w:rPr>
        <w:t>.</w:t>
      </w:r>
      <w:r w:rsidR="00893B53">
        <w:rPr>
          <w:szCs w:val="20"/>
          <w:lang w:val="es-CR"/>
        </w:rPr>
        <w:t xml:space="preserve"> Finalmente, respecto al peritaje de </w:t>
      </w:r>
      <w:r w:rsidR="00893B53" w:rsidRPr="00893B53">
        <w:rPr>
          <w:szCs w:val="20"/>
          <w:lang w:val="es-CR"/>
        </w:rPr>
        <w:t>Pedro José Vaca Villareal, la Comisión sostuvo que guarda relación con los</w:t>
      </w:r>
      <w:r w:rsidR="009B69EE">
        <w:rPr>
          <w:szCs w:val="20"/>
          <w:lang w:val="es-CR"/>
        </w:rPr>
        <w:t xml:space="preserve"> dos</w:t>
      </w:r>
      <w:r w:rsidR="00893B53" w:rsidRPr="00893B53">
        <w:rPr>
          <w:szCs w:val="20"/>
          <w:lang w:val="es-CR"/>
        </w:rPr>
        <w:t xml:space="preserve"> peritajes por </w:t>
      </w:r>
      <w:r w:rsidR="00893B53" w:rsidRPr="00893B53">
        <w:rPr>
          <w:szCs w:val="20"/>
          <w:lang w:val="es-CR"/>
        </w:rPr>
        <w:lastRenderedPageBreak/>
        <w:t>ella ofrecidos dado que “existe un vínculo inescindible entre la protección efectiva de periodistas y el cumplimiento del deber de debida diligencia respecto de crímenes cometidos en su contra”. Sostuvo que “una investigación efectiva de las fuentes de riesgo y los móviles de tales crímenes tiene necesariamente un impacto en la idoneidad del diseño de las medidas de protección, lo que a su vez debe tomar en especial consideración el contexto respectivo”.</w:t>
      </w:r>
    </w:p>
    <w:p w:rsidR="00AD27B4" w:rsidRPr="002979D2" w:rsidRDefault="00AD27B4" w:rsidP="007A33D5">
      <w:pPr>
        <w:numPr>
          <w:ilvl w:val="0"/>
          <w:numId w:val="1"/>
        </w:numPr>
        <w:autoSpaceDE w:val="0"/>
        <w:autoSpaceDN w:val="0"/>
        <w:adjustRightInd w:val="0"/>
        <w:spacing w:before="120"/>
        <w:rPr>
          <w:szCs w:val="20"/>
        </w:rPr>
      </w:pPr>
      <w:r w:rsidRPr="00F33D7C">
        <w:rPr>
          <w:szCs w:val="20"/>
        </w:rPr>
        <w:t>El Presidente recuerda las normas del Reglamento del Tribunal en cuanto a la recepción de declaraciones propuestas por la Comisión, así como en relación con la facultad de ésta para interrogar a los declarantes ofrecidos por las partes</w:t>
      </w:r>
      <w:r w:rsidRPr="00F33D7C">
        <w:rPr>
          <w:rStyle w:val="FootnoteReference"/>
          <w:szCs w:val="20"/>
        </w:rPr>
        <w:footnoteReference w:id="4"/>
      </w:r>
      <w:r w:rsidRPr="00F33D7C">
        <w:rPr>
          <w:szCs w:val="20"/>
        </w:rPr>
        <w:t>. En particular, es pertinente recordar lo establecido en los artículos 50.5 y 52.3 del Reglamento, de modo tal que corresponde a la Comisión fundamentar en cada caso cuál es el vínculo tanto con el orden público interamericano como con la materia sobre la que verse un peritaje ofrecido por la misma, para que pueda evaluarse la solicitud oportunamente y, si corresponde, autorizar la posibilidad de que la Comisión haga su interrogatorio.</w:t>
      </w:r>
    </w:p>
    <w:p w:rsidR="00AD27B4" w:rsidRPr="002979D2" w:rsidRDefault="002979D2" w:rsidP="007A33D5">
      <w:pPr>
        <w:numPr>
          <w:ilvl w:val="0"/>
          <w:numId w:val="1"/>
        </w:numPr>
        <w:autoSpaceDE w:val="0"/>
        <w:autoSpaceDN w:val="0"/>
        <w:adjustRightInd w:val="0"/>
        <w:spacing w:before="120"/>
        <w:rPr>
          <w:szCs w:val="20"/>
        </w:rPr>
      </w:pPr>
      <w:r w:rsidRPr="007229B7">
        <w:rPr>
          <w:szCs w:val="20"/>
          <w:lang w:val="es-CR"/>
        </w:rPr>
        <w:t xml:space="preserve">Con respecto a la solicitud de la Comisión, esta Presidencia considera que efectivamente los tres dictámenes se encuentran relacionados </w:t>
      </w:r>
      <w:r>
        <w:rPr>
          <w:szCs w:val="20"/>
          <w:lang w:val="es-CR"/>
        </w:rPr>
        <w:t xml:space="preserve">con uno o ambos peritajes propuestos por la Comisión, </w:t>
      </w:r>
      <w:r w:rsidRPr="002979D2">
        <w:rPr>
          <w:szCs w:val="20"/>
        </w:rPr>
        <w:t>m</w:t>
      </w:r>
      <w:r w:rsidR="009B69EE" w:rsidRPr="002979D2">
        <w:rPr>
          <w:szCs w:val="20"/>
        </w:rPr>
        <w:t xml:space="preserve">otivo por el cual considera procedente, conforme a los artículos 50.5 y 52.3 del Reglamento, conceder oportunidad </w:t>
      </w:r>
      <w:r w:rsidRPr="002979D2">
        <w:rPr>
          <w:szCs w:val="20"/>
        </w:rPr>
        <w:t>a</w:t>
      </w:r>
      <w:r w:rsidR="009B69EE" w:rsidRPr="002979D2">
        <w:rPr>
          <w:szCs w:val="20"/>
        </w:rPr>
        <w:t xml:space="preserve"> la Comisión para formular preguntas </w:t>
      </w:r>
      <w:r w:rsidRPr="002979D2">
        <w:rPr>
          <w:szCs w:val="20"/>
        </w:rPr>
        <w:t>a los mencionados declarantes,</w:t>
      </w:r>
      <w:r w:rsidR="009B69EE" w:rsidRPr="002979D2">
        <w:rPr>
          <w:szCs w:val="20"/>
        </w:rPr>
        <w:t xml:space="preserve"> respecto de los referidos temas relacionados con el orden público interamericano</w:t>
      </w:r>
      <w:r w:rsidRPr="002979D2">
        <w:rPr>
          <w:szCs w:val="20"/>
        </w:rPr>
        <w:t>.</w:t>
      </w:r>
    </w:p>
    <w:p w:rsidR="00AD27B4" w:rsidRPr="002979D2" w:rsidRDefault="00AD27B4" w:rsidP="002979D2">
      <w:pPr>
        <w:autoSpaceDE w:val="0"/>
        <w:autoSpaceDN w:val="0"/>
        <w:adjustRightInd w:val="0"/>
        <w:spacing w:before="120"/>
        <w:rPr>
          <w:szCs w:val="20"/>
        </w:rPr>
      </w:pPr>
    </w:p>
    <w:p w:rsidR="00AD27B4" w:rsidRPr="00ED3CC9" w:rsidRDefault="00AD27B4" w:rsidP="00ED3CC9">
      <w:pPr>
        <w:spacing w:before="120"/>
        <w:rPr>
          <w:rFonts w:cs="Verdana"/>
          <w:b/>
          <w:bCs/>
          <w:szCs w:val="20"/>
          <w:lang w:val="es-CR"/>
        </w:rPr>
      </w:pPr>
      <w:r w:rsidRPr="00ED3CC9">
        <w:rPr>
          <w:rFonts w:cs="Verdana"/>
          <w:b/>
          <w:bCs/>
          <w:szCs w:val="20"/>
          <w:lang w:val="es-CR"/>
        </w:rPr>
        <w:t>POR TANTO:</w:t>
      </w:r>
    </w:p>
    <w:p w:rsidR="00AD27B4" w:rsidRPr="00ED3CC9" w:rsidRDefault="00AD27B4" w:rsidP="00ED3CC9">
      <w:pPr>
        <w:spacing w:before="120"/>
        <w:rPr>
          <w:rFonts w:cs="Verdana"/>
          <w:b/>
          <w:bCs/>
          <w:szCs w:val="20"/>
          <w:lang w:val="es-CR"/>
        </w:rPr>
      </w:pPr>
    </w:p>
    <w:p w:rsidR="00AD27B4" w:rsidRPr="00ED3CC9" w:rsidRDefault="00AD27B4" w:rsidP="00ED3CC9">
      <w:pPr>
        <w:spacing w:before="120"/>
        <w:rPr>
          <w:rFonts w:cs="Verdana"/>
          <w:b/>
          <w:bCs/>
          <w:szCs w:val="20"/>
          <w:lang w:val="es-CR"/>
        </w:rPr>
      </w:pPr>
      <w:r w:rsidRPr="00ED3CC9">
        <w:rPr>
          <w:rFonts w:cs="Verdana"/>
          <w:b/>
          <w:bCs/>
          <w:szCs w:val="20"/>
          <w:lang w:val="es-CR"/>
        </w:rPr>
        <w:t xml:space="preserve">EL PRESIDENTE DE LA CORTE INTERAMERICANA DE DERECHOS HUMANOS, </w:t>
      </w:r>
    </w:p>
    <w:p w:rsidR="00AD27B4" w:rsidRPr="00ED3CC9" w:rsidRDefault="00AD27B4" w:rsidP="00ED3CC9">
      <w:pPr>
        <w:spacing w:before="120"/>
        <w:rPr>
          <w:rFonts w:cs="Verdana"/>
          <w:b/>
          <w:bCs/>
          <w:szCs w:val="20"/>
          <w:lang w:val="es-CR"/>
        </w:rPr>
      </w:pPr>
    </w:p>
    <w:p w:rsidR="00AD27B4" w:rsidRPr="00ED3CC9" w:rsidRDefault="00AD27B4" w:rsidP="00ED3CC9">
      <w:pPr>
        <w:spacing w:before="120"/>
        <w:rPr>
          <w:rFonts w:cs="Verdana"/>
          <w:szCs w:val="20"/>
          <w:lang w:val="es-CR"/>
        </w:rPr>
      </w:pPr>
      <w:r w:rsidRPr="00ED3CC9">
        <w:rPr>
          <w:rFonts w:cs="Verdana"/>
          <w:szCs w:val="20"/>
          <w:lang w:val="es-CR"/>
        </w:rPr>
        <w:t xml:space="preserve">de conformidad con los artículos 24.1 y 25.2 del Estatuto de la Corte y con los artículos 4, 15.1, 26.1, 31.2, 35.1, 40.2, 41.1, 45, 46 a 48, 50 a 56 y 60 del Reglamento, </w:t>
      </w:r>
    </w:p>
    <w:p w:rsidR="00AD27B4" w:rsidRPr="00ED3CC9" w:rsidRDefault="00AD27B4" w:rsidP="00ED3CC9">
      <w:pPr>
        <w:spacing w:before="120"/>
        <w:rPr>
          <w:rFonts w:cs="Verdana"/>
          <w:szCs w:val="20"/>
          <w:lang w:val="es-CR"/>
        </w:rPr>
      </w:pPr>
    </w:p>
    <w:p w:rsidR="00AD27B4" w:rsidRPr="00ED3CC9" w:rsidRDefault="00AD27B4" w:rsidP="00ED3CC9">
      <w:pPr>
        <w:spacing w:before="120"/>
        <w:rPr>
          <w:rFonts w:cs="Verdana"/>
          <w:b/>
          <w:bCs/>
          <w:szCs w:val="20"/>
          <w:lang w:val="es-CR"/>
        </w:rPr>
      </w:pPr>
      <w:r w:rsidRPr="00ED3CC9">
        <w:rPr>
          <w:rFonts w:cs="Verdana"/>
          <w:b/>
          <w:bCs/>
          <w:szCs w:val="20"/>
          <w:lang w:val="es-CR"/>
        </w:rPr>
        <w:t>RESUELVE:</w:t>
      </w:r>
    </w:p>
    <w:p w:rsidR="00AD27B4" w:rsidRPr="00ED3CC9" w:rsidRDefault="00AD27B4" w:rsidP="00ED3CC9">
      <w:pPr>
        <w:pStyle w:val="ListParagraph"/>
        <w:widowControl w:val="0"/>
        <w:numPr>
          <w:ilvl w:val="0"/>
          <w:numId w:val="14"/>
        </w:numPr>
        <w:tabs>
          <w:tab w:val="left" w:pos="708"/>
        </w:tabs>
        <w:autoSpaceDE w:val="0"/>
        <w:autoSpaceDN w:val="0"/>
        <w:adjustRightInd w:val="0"/>
        <w:spacing w:before="120"/>
        <w:ind w:left="0" w:firstLine="0"/>
        <w:contextualSpacing w:val="0"/>
        <w:rPr>
          <w:szCs w:val="20"/>
          <w:lang w:val="es-CR"/>
        </w:rPr>
      </w:pPr>
      <w:bookmarkStart w:id="8" w:name="_Ref230577466"/>
      <w:r w:rsidRPr="00ED3CC9">
        <w:rPr>
          <w:szCs w:val="20"/>
          <w:lang w:val="es-CR"/>
        </w:rPr>
        <w:t xml:space="preserve">Convocar a la República </w:t>
      </w:r>
      <w:r w:rsidR="00ED3CC9">
        <w:rPr>
          <w:szCs w:val="20"/>
          <w:lang w:val="es-CR"/>
        </w:rPr>
        <w:t>de Colombia</w:t>
      </w:r>
      <w:r w:rsidRPr="00ED3CC9">
        <w:rPr>
          <w:szCs w:val="20"/>
          <w:lang w:val="es-CR"/>
        </w:rPr>
        <w:t>, a los representantes de la</w:t>
      </w:r>
      <w:r w:rsidR="00ED3CC9">
        <w:rPr>
          <w:szCs w:val="20"/>
          <w:lang w:val="es-CR"/>
        </w:rPr>
        <w:t>s</w:t>
      </w:r>
      <w:r w:rsidRPr="00ED3CC9">
        <w:rPr>
          <w:szCs w:val="20"/>
          <w:lang w:val="es-CR"/>
        </w:rPr>
        <w:t xml:space="preserve"> presunta</w:t>
      </w:r>
      <w:r w:rsidR="00ED3CC9">
        <w:rPr>
          <w:szCs w:val="20"/>
          <w:lang w:val="es-CR"/>
        </w:rPr>
        <w:t>s</w:t>
      </w:r>
      <w:r w:rsidRPr="00ED3CC9">
        <w:rPr>
          <w:szCs w:val="20"/>
          <w:lang w:val="es-CR"/>
        </w:rPr>
        <w:t xml:space="preserve"> víctima</w:t>
      </w:r>
      <w:r w:rsidR="00ED3CC9">
        <w:rPr>
          <w:szCs w:val="20"/>
          <w:lang w:val="es-CR"/>
        </w:rPr>
        <w:t>s</w:t>
      </w:r>
      <w:r w:rsidRPr="00ED3CC9">
        <w:rPr>
          <w:szCs w:val="20"/>
          <w:lang w:val="es-CR"/>
        </w:rPr>
        <w:t xml:space="preserve"> y a la Comisión Interamericana de Derechos Humanos a una audiencia pública sobre los eventuales fondo, reparaciones y costas que se celebrará durante el </w:t>
      </w:r>
      <w:r w:rsidR="00ED3CC9">
        <w:rPr>
          <w:szCs w:val="20"/>
          <w:lang w:val="es-CR"/>
        </w:rPr>
        <w:t>119</w:t>
      </w:r>
      <w:r w:rsidRPr="00ED3CC9">
        <w:rPr>
          <w:szCs w:val="20"/>
          <w:lang w:val="es-CR"/>
        </w:rPr>
        <w:t xml:space="preserve"> Período </w:t>
      </w:r>
      <w:r w:rsidR="00ED3CC9">
        <w:rPr>
          <w:szCs w:val="20"/>
          <w:lang w:val="es-CR"/>
        </w:rPr>
        <w:t>O</w:t>
      </w:r>
      <w:r w:rsidRPr="00ED3CC9">
        <w:rPr>
          <w:szCs w:val="20"/>
          <w:lang w:val="es-CR"/>
        </w:rPr>
        <w:t xml:space="preserve">rdinario de Sesiones, que se llevará a cabo en la ciudad de </w:t>
      </w:r>
      <w:r w:rsidR="00E00024">
        <w:rPr>
          <w:szCs w:val="20"/>
          <w:lang w:val="es-CR"/>
        </w:rPr>
        <w:t>S</w:t>
      </w:r>
      <w:r w:rsidRPr="00ED3CC9">
        <w:rPr>
          <w:szCs w:val="20"/>
          <w:lang w:val="es-CR"/>
        </w:rPr>
        <w:t xml:space="preserve">an José, Costa Rica, </w:t>
      </w:r>
      <w:r w:rsidR="00ED3CC9">
        <w:rPr>
          <w:szCs w:val="20"/>
          <w:lang w:val="es-CR"/>
        </w:rPr>
        <w:t xml:space="preserve">los días </w:t>
      </w:r>
      <w:r w:rsidRPr="00ED3CC9">
        <w:rPr>
          <w:szCs w:val="20"/>
          <w:lang w:val="es-CR"/>
        </w:rPr>
        <w:t>2</w:t>
      </w:r>
      <w:r w:rsidR="00ED3CC9">
        <w:rPr>
          <w:szCs w:val="20"/>
          <w:lang w:val="es-CR"/>
        </w:rPr>
        <w:t xml:space="preserve">2 de agosto a partir de las 15:00 horas, y 23 de agosto de 2017 a partir de las </w:t>
      </w:r>
      <w:r w:rsidRPr="00ED3CC9">
        <w:rPr>
          <w:szCs w:val="20"/>
          <w:lang w:val="es-CR"/>
        </w:rPr>
        <w:t xml:space="preserve">09:00 horas, para recibir sus alegatos y observaciones finales orales, así como para recibir las declaraciones </w:t>
      </w:r>
      <w:bookmarkEnd w:id="8"/>
      <w:r w:rsidRPr="00ED3CC9">
        <w:rPr>
          <w:szCs w:val="20"/>
          <w:lang w:val="es-CR"/>
        </w:rPr>
        <w:t>de las siguientes personas:</w:t>
      </w:r>
    </w:p>
    <w:p w:rsidR="00AD27B4" w:rsidRPr="00F81E21" w:rsidRDefault="00AD27B4" w:rsidP="002038A0">
      <w:pPr>
        <w:pStyle w:val="ListParagraph"/>
        <w:numPr>
          <w:ilvl w:val="0"/>
          <w:numId w:val="16"/>
        </w:numPr>
        <w:tabs>
          <w:tab w:val="left" w:pos="708"/>
        </w:tabs>
        <w:autoSpaceDN w:val="0"/>
        <w:spacing w:before="120"/>
        <w:contextualSpacing w:val="0"/>
        <w:rPr>
          <w:bCs/>
          <w:i/>
          <w:iCs/>
          <w:szCs w:val="20"/>
          <w:lang w:val="es-CR"/>
        </w:rPr>
      </w:pPr>
      <w:r w:rsidRPr="002038A0">
        <w:rPr>
          <w:bCs/>
          <w:i/>
          <w:iCs/>
          <w:szCs w:val="20"/>
          <w:lang w:val="es-CR"/>
        </w:rPr>
        <w:t>Presunta víctima</w:t>
      </w:r>
      <w:r w:rsidRPr="00F81E21">
        <w:rPr>
          <w:bCs/>
          <w:i/>
          <w:iCs/>
          <w:szCs w:val="20"/>
          <w:lang w:val="es-CR"/>
        </w:rPr>
        <w:t xml:space="preserve"> </w:t>
      </w:r>
      <w:r w:rsidR="00F81E21" w:rsidRPr="00F81E21">
        <w:rPr>
          <w:bCs/>
          <w:i/>
          <w:iCs/>
          <w:szCs w:val="20"/>
          <w:lang w:val="es-CR"/>
        </w:rPr>
        <w:t>(</w:t>
      </w:r>
      <w:r w:rsidR="002D68E9" w:rsidRPr="00F81E21">
        <w:rPr>
          <w:bCs/>
          <w:i/>
          <w:iCs/>
          <w:szCs w:val="20"/>
          <w:lang w:val="es-CR"/>
        </w:rPr>
        <w:t>Propuesta</w:t>
      </w:r>
      <w:r w:rsidRPr="00F81E21">
        <w:rPr>
          <w:bCs/>
          <w:i/>
          <w:iCs/>
          <w:szCs w:val="20"/>
          <w:lang w:val="es-CR"/>
        </w:rPr>
        <w:t xml:space="preserve"> por los representantes</w:t>
      </w:r>
      <w:r w:rsidR="00F81E21">
        <w:rPr>
          <w:bCs/>
          <w:i/>
          <w:iCs/>
          <w:szCs w:val="20"/>
          <w:lang w:val="es-CR"/>
        </w:rPr>
        <w:t>)</w:t>
      </w:r>
    </w:p>
    <w:p w:rsidR="00E31F16" w:rsidRPr="00ED3CC9" w:rsidRDefault="00DA2C7E" w:rsidP="00151DA1">
      <w:pPr>
        <w:numPr>
          <w:ilvl w:val="0"/>
          <w:numId w:val="21"/>
        </w:numPr>
        <w:autoSpaceDE w:val="0"/>
        <w:autoSpaceDN w:val="0"/>
        <w:adjustRightInd w:val="0"/>
        <w:spacing w:before="120"/>
        <w:ind w:left="992" w:firstLine="0"/>
        <w:rPr>
          <w:szCs w:val="20"/>
          <w:lang w:val="es-CR"/>
        </w:rPr>
      </w:pPr>
      <w:r w:rsidRPr="002038A0">
        <w:rPr>
          <w:i/>
          <w:szCs w:val="20"/>
          <w:lang w:val="es-CR"/>
        </w:rPr>
        <w:t>Judith Carvajal Carvajal</w:t>
      </w:r>
      <w:r w:rsidRPr="00ED3CC9">
        <w:rPr>
          <w:szCs w:val="20"/>
          <w:lang w:val="es-CR"/>
        </w:rPr>
        <w:t xml:space="preserve">, quien declarará sobre: i) la labor que realizaba su hermano Nelson y su vida familiar; ii) la forma en que se enteró de la muerte de su hermano; iii) </w:t>
      </w:r>
      <w:r w:rsidR="00713BFF">
        <w:rPr>
          <w:szCs w:val="20"/>
          <w:lang w:val="es-CR"/>
        </w:rPr>
        <w:t>si realizó</w:t>
      </w:r>
      <w:r w:rsidR="00F81E21">
        <w:rPr>
          <w:szCs w:val="20"/>
          <w:lang w:val="es-CR"/>
        </w:rPr>
        <w:t xml:space="preserve"> </w:t>
      </w:r>
      <w:r w:rsidRPr="00ED3CC9">
        <w:rPr>
          <w:szCs w:val="20"/>
          <w:lang w:val="es-CR"/>
        </w:rPr>
        <w:t xml:space="preserve">gestiones para obtener justicia; iv) </w:t>
      </w:r>
      <w:r w:rsidR="00713BFF">
        <w:rPr>
          <w:szCs w:val="20"/>
          <w:lang w:val="es-CR"/>
        </w:rPr>
        <w:t>si enfrentó</w:t>
      </w:r>
      <w:r w:rsidR="00432BCC">
        <w:rPr>
          <w:szCs w:val="20"/>
          <w:lang w:val="es-CR"/>
        </w:rPr>
        <w:t xml:space="preserve"> </w:t>
      </w:r>
      <w:r w:rsidRPr="00ED3CC9">
        <w:rPr>
          <w:szCs w:val="20"/>
          <w:lang w:val="es-CR"/>
        </w:rPr>
        <w:t>obstáculos</w:t>
      </w:r>
      <w:r w:rsidR="00ED3CC9" w:rsidRPr="00ED3CC9">
        <w:rPr>
          <w:szCs w:val="20"/>
          <w:lang w:val="es-CR"/>
        </w:rPr>
        <w:t xml:space="preserve"> </w:t>
      </w:r>
      <w:r w:rsidRPr="00ED3CC9">
        <w:rPr>
          <w:szCs w:val="20"/>
          <w:lang w:val="es-CR"/>
        </w:rPr>
        <w:t xml:space="preserve">para participar en el proceso de investigación y </w:t>
      </w:r>
      <w:r w:rsidR="00713BFF">
        <w:rPr>
          <w:szCs w:val="20"/>
          <w:lang w:val="es-CR"/>
        </w:rPr>
        <w:t>si recibió</w:t>
      </w:r>
      <w:r w:rsidRPr="00ED3CC9">
        <w:rPr>
          <w:szCs w:val="20"/>
          <w:lang w:val="es-CR"/>
        </w:rPr>
        <w:t xml:space="preserve"> amenazas; v) </w:t>
      </w:r>
      <w:r w:rsidR="00713BFF">
        <w:rPr>
          <w:szCs w:val="20"/>
          <w:lang w:val="es-CR"/>
        </w:rPr>
        <w:t xml:space="preserve">si se acogió </w:t>
      </w:r>
      <w:r w:rsidR="00713BFF" w:rsidRPr="00ED3CC9">
        <w:rPr>
          <w:szCs w:val="20"/>
          <w:lang w:val="es-CR"/>
        </w:rPr>
        <w:t>al programa de protección de testigos de la Fiscalía</w:t>
      </w:r>
      <w:r w:rsidR="00713BFF">
        <w:rPr>
          <w:szCs w:val="20"/>
          <w:lang w:val="es-CR"/>
        </w:rPr>
        <w:t xml:space="preserve"> y si solicitó asilo en el extranjero y las razones que habría tenido para ello</w:t>
      </w:r>
      <w:r w:rsidRPr="00ED3CC9">
        <w:rPr>
          <w:szCs w:val="20"/>
          <w:lang w:val="es-CR"/>
        </w:rPr>
        <w:t xml:space="preserve">; vi) la forma en que estos hechos le </w:t>
      </w:r>
      <w:r w:rsidR="009C7D77">
        <w:rPr>
          <w:szCs w:val="20"/>
          <w:lang w:val="es-CR"/>
        </w:rPr>
        <w:t>habrían</w:t>
      </w:r>
      <w:r w:rsidR="009C7D77" w:rsidRPr="00ED3CC9">
        <w:rPr>
          <w:szCs w:val="20"/>
          <w:lang w:val="es-CR"/>
        </w:rPr>
        <w:t xml:space="preserve"> </w:t>
      </w:r>
      <w:r w:rsidRPr="00ED3CC9">
        <w:rPr>
          <w:szCs w:val="20"/>
          <w:lang w:val="es-CR"/>
        </w:rPr>
        <w:t xml:space="preserve">afectado a </w:t>
      </w:r>
      <w:r w:rsidR="00F91DEF">
        <w:rPr>
          <w:szCs w:val="20"/>
          <w:lang w:val="es-CR"/>
        </w:rPr>
        <w:t>ella</w:t>
      </w:r>
      <w:r w:rsidRPr="00ED3CC9">
        <w:rPr>
          <w:szCs w:val="20"/>
          <w:lang w:val="es-CR"/>
        </w:rPr>
        <w:t xml:space="preserve"> y a su familia, y vii) </w:t>
      </w:r>
      <w:r w:rsidR="00713BFF">
        <w:rPr>
          <w:szCs w:val="20"/>
          <w:lang w:val="es-CR"/>
        </w:rPr>
        <w:t xml:space="preserve">si se le causó un daño </w:t>
      </w:r>
      <w:r w:rsidR="00C275F9">
        <w:rPr>
          <w:szCs w:val="20"/>
          <w:lang w:val="es-CR"/>
        </w:rPr>
        <w:t xml:space="preserve">y, de ser ese el caso, </w:t>
      </w:r>
      <w:r w:rsidR="00713BFF">
        <w:rPr>
          <w:szCs w:val="20"/>
          <w:lang w:val="es-CR"/>
        </w:rPr>
        <w:t>si el Estado debería tomar medidas para remediarlo</w:t>
      </w:r>
      <w:r w:rsidR="00ED3CC9" w:rsidRPr="00ED3CC9">
        <w:rPr>
          <w:szCs w:val="20"/>
          <w:lang w:val="es-CR"/>
        </w:rPr>
        <w:t>.</w:t>
      </w:r>
    </w:p>
    <w:p w:rsidR="0022307D" w:rsidRPr="00F81E21" w:rsidRDefault="0022307D" w:rsidP="002038A0">
      <w:pPr>
        <w:pStyle w:val="ListParagraph"/>
        <w:numPr>
          <w:ilvl w:val="0"/>
          <w:numId w:val="16"/>
        </w:numPr>
        <w:tabs>
          <w:tab w:val="left" w:pos="708"/>
        </w:tabs>
        <w:autoSpaceDN w:val="0"/>
        <w:spacing w:before="120"/>
        <w:contextualSpacing w:val="0"/>
        <w:rPr>
          <w:rFonts w:cs="Verdana"/>
          <w:bCs/>
          <w:i/>
          <w:iCs/>
          <w:szCs w:val="20"/>
          <w:lang w:val="es-CR"/>
        </w:rPr>
      </w:pPr>
      <w:r w:rsidRPr="002038A0">
        <w:rPr>
          <w:bCs/>
          <w:i/>
          <w:iCs/>
          <w:szCs w:val="20"/>
          <w:lang w:val="es-CR"/>
        </w:rPr>
        <w:lastRenderedPageBreak/>
        <w:t>Testigo</w:t>
      </w:r>
      <w:r w:rsidR="00F81E21" w:rsidRPr="002038A0">
        <w:rPr>
          <w:bCs/>
          <w:i/>
          <w:iCs/>
          <w:szCs w:val="20"/>
          <w:lang w:val="es-CR"/>
        </w:rPr>
        <w:t xml:space="preserve"> </w:t>
      </w:r>
      <w:r w:rsidR="00F81E21">
        <w:rPr>
          <w:bCs/>
          <w:i/>
          <w:iCs/>
          <w:szCs w:val="20"/>
          <w:lang w:val="es-CR"/>
        </w:rPr>
        <w:t>(</w:t>
      </w:r>
      <w:r w:rsidR="002D68E9" w:rsidRPr="00F81E21">
        <w:rPr>
          <w:bCs/>
          <w:i/>
          <w:iCs/>
          <w:szCs w:val="20"/>
          <w:lang w:val="es-CR"/>
        </w:rPr>
        <w:t>Propuesta</w:t>
      </w:r>
      <w:r w:rsidRPr="00F81E21">
        <w:rPr>
          <w:bCs/>
          <w:i/>
          <w:iCs/>
          <w:szCs w:val="20"/>
          <w:lang w:val="es-CR"/>
        </w:rPr>
        <w:t xml:space="preserve"> por el Estado</w:t>
      </w:r>
      <w:r w:rsidR="00F81E21">
        <w:rPr>
          <w:bCs/>
          <w:i/>
          <w:iCs/>
          <w:szCs w:val="20"/>
          <w:lang w:val="es-CR"/>
        </w:rPr>
        <w:t>)</w:t>
      </w:r>
    </w:p>
    <w:p w:rsidR="0022307D" w:rsidRPr="00895231" w:rsidRDefault="0022307D" w:rsidP="00895231">
      <w:pPr>
        <w:numPr>
          <w:ilvl w:val="0"/>
          <w:numId w:val="21"/>
        </w:numPr>
        <w:autoSpaceDE w:val="0"/>
        <w:autoSpaceDN w:val="0"/>
        <w:adjustRightInd w:val="0"/>
        <w:spacing w:before="120"/>
        <w:ind w:left="992" w:firstLine="0"/>
        <w:rPr>
          <w:szCs w:val="20"/>
          <w:lang w:val="es-CR"/>
        </w:rPr>
      </w:pPr>
      <w:r w:rsidRPr="002038A0">
        <w:rPr>
          <w:i/>
          <w:szCs w:val="20"/>
          <w:lang w:val="es-CR"/>
        </w:rPr>
        <w:t>Lilia Yaneth Hernández Ramírez</w:t>
      </w:r>
      <w:r w:rsidRPr="00895231">
        <w:rPr>
          <w:szCs w:val="20"/>
          <w:lang w:val="es-CR"/>
        </w:rPr>
        <w:t>, quien se referirá a</w:t>
      </w:r>
      <w:r w:rsidR="00895231" w:rsidRPr="00895231">
        <w:rPr>
          <w:szCs w:val="20"/>
          <w:lang w:val="es-CR"/>
        </w:rPr>
        <w:t xml:space="preserve"> las actuaciones realizadas por la Fiscalía General de la Nación con el fin de investigar, juzgar y sancionar a los responsables por el asesinato de Nelson Carvajal Carvajal</w:t>
      </w:r>
      <w:r w:rsidR="00895231">
        <w:rPr>
          <w:szCs w:val="20"/>
          <w:lang w:val="es-CR"/>
        </w:rPr>
        <w:t>.</w:t>
      </w:r>
    </w:p>
    <w:p w:rsidR="00ED3CC9" w:rsidRPr="00151DA1" w:rsidRDefault="009C7D77" w:rsidP="002038A0">
      <w:pPr>
        <w:pStyle w:val="ListParagraph"/>
        <w:numPr>
          <w:ilvl w:val="0"/>
          <w:numId w:val="16"/>
        </w:numPr>
        <w:tabs>
          <w:tab w:val="left" w:pos="708"/>
        </w:tabs>
        <w:autoSpaceDN w:val="0"/>
        <w:spacing w:before="120"/>
        <w:contextualSpacing w:val="0"/>
        <w:rPr>
          <w:rFonts w:cs="Verdana"/>
          <w:bCs/>
          <w:i/>
          <w:iCs/>
          <w:szCs w:val="20"/>
          <w:lang w:val="es-CR"/>
        </w:rPr>
      </w:pPr>
      <w:r>
        <w:rPr>
          <w:bCs/>
          <w:i/>
          <w:iCs/>
          <w:szCs w:val="20"/>
          <w:lang w:val="es-CR"/>
        </w:rPr>
        <w:t>Perito (</w:t>
      </w:r>
      <w:r w:rsidR="002D68E9" w:rsidRPr="00151DA1">
        <w:rPr>
          <w:bCs/>
          <w:i/>
          <w:iCs/>
          <w:szCs w:val="20"/>
          <w:lang w:val="es-CR"/>
        </w:rPr>
        <w:t>Propuesto</w:t>
      </w:r>
      <w:r w:rsidR="00ED3CC9" w:rsidRPr="00151DA1">
        <w:rPr>
          <w:bCs/>
          <w:i/>
          <w:iCs/>
          <w:szCs w:val="20"/>
          <w:lang w:val="es-CR"/>
        </w:rPr>
        <w:t xml:space="preserve"> por la Comisión</w:t>
      </w:r>
      <w:r>
        <w:rPr>
          <w:bCs/>
          <w:i/>
          <w:iCs/>
          <w:szCs w:val="20"/>
          <w:lang w:val="es-CR"/>
        </w:rPr>
        <w:t>)</w:t>
      </w:r>
    </w:p>
    <w:p w:rsidR="00E710D9" w:rsidRPr="00D422C9" w:rsidRDefault="00D422C9" w:rsidP="00E710D9">
      <w:pPr>
        <w:numPr>
          <w:ilvl w:val="0"/>
          <w:numId w:val="21"/>
        </w:numPr>
        <w:autoSpaceDE w:val="0"/>
        <w:autoSpaceDN w:val="0"/>
        <w:adjustRightInd w:val="0"/>
        <w:spacing w:before="120"/>
        <w:ind w:left="992" w:firstLine="0"/>
        <w:rPr>
          <w:szCs w:val="20"/>
          <w:lang w:val="es-CR"/>
        </w:rPr>
      </w:pPr>
      <w:r w:rsidRPr="002038A0">
        <w:rPr>
          <w:rFonts w:eastAsiaTheme="minorHAnsi" w:cs="Tahoma"/>
          <w:i/>
          <w:szCs w:val="20"/>
          <w:lang w:val="es-CR" w:eastAsia="en-US"/>
        </w:rPr>
        <w:t>Carlos Lauría</w:t>
      </w:r>
      <w:r w:rsidRPr="00E710D9">
        <w:rPr>
          <w:rFonts w:eastAsiaTheme="minorHAnsi" w:cs="Tahoma"/>
          <w:szCs w:val="20"/>
          <w:lang w:val="es-CR" w:eastAsia="en-US"/>
        </w:rPr>
        <w:t>, quien declarará sobre: i) la relevancia de evaluar los casos de violencia contra periodistas y su situación de impunidad a la luz de los contextos específicos en los que estos hechos tuvieron lugar</w:t>
      </w:r>
      <w:r w:rsidR="004405B6">
        <w:rPr>
          <w:rFonts w:eastAsiaTheme="minorHAnsi" w:cs="Tahoma"/>
          <w:szCs w:val="20"/>
          <w:lang w:val="es-CR" w:eastAsia="en-US"/>
        </w:rPr>
        <w:t>;</w:t>
      </w:r>
      <w:r w:rsidRPr="00E710D9">
        <w:rPr>
          <w:rFonts w:eastAsiaTheme="minorHAnsi" w:cs="Tahoma"/>
          <w:szCs w:val="20"/>
          <w:lang w:val="es-CR" w:eastAsia="en-US"/>
        </w:rPr>
        <w:t xml:space="preserve"> ii) </w:t>
      </w:r>
      <w:r w:rsidR="004405B6">
        <w:rPr>
          <w:rFonts w:eastAsiaTheme="minorHAnsi" w:cs="Tahoma"/>
          <w:szCs w:val="20"/>
          <w:lang w:val="es-CR" w:eastAsia="en-US"/>
        </w:rPr>
        <w:t xml:space="preserve">si </w:t>
      </w:r>
      <w:r w:rsidR="004405B6" w:rsidRPr="00E710D9">
        <w:rPr>
          <w:rFonts w:eastAsiaTheme="minorHAnsi" w:cs="Tahoma"/>
          <w:szCs w:val="20"/>
          <w:lang w:val="es-CR" w:eastAsia="en-US"/>
        </w:rPr>
        <w:t>en la época de los hechos</w:t>
      </w:r>
      <w:r w:rsidR="004405B6">
        <w:rPr>
          <w:rFonts w:eastAsiaTheme="minorHAnsi" w:cs="Tahoma"/>
          <w:szCs w:val="20"/>
          <w:lang w:val="es-CR" w:eastAsia="en-US"/>
        </w:rPr>
        <w:t xml:space="preserve"> existía un</w:t>
      </w:r>
      <w:r>
        <w:rPr>
          <w:rFonts w:eastAsiaTheme="minorHAnsi" w:cs="Tahoma"/>
          <w:szCs w:val="20"/>
          <w:lang w:val="es-CR" w:eastAsia="en-US"/>
        </w:rPr>
        <w:t xml:space="preserve"> </w:t>
      </w:r>
      <w:r w:rsidRPr="00E710D9">
        <w:rPr>
          <w:rFonts w:eastAsiaTheme="minorHAnsi" w:cs="Tahoma"/>
          <w:szCs w:val="20"/>
          <w:lang w:val="es-CR" w:eastAsia="en-US"/>
        </w:rPr>
        <w:t>contexto</w:t>
      </w:r>
      <w:r w:rsidR="004405B6">
        <w:rPr>
          <w:rFonts w:eastAsiaTheme="minorHAnsi" w:cs="Tahoma"/>
          <w:szCs w:val="20"/>
          <w:lang w:val="es-CR" w:eastAsia="en-US"/>
        </w:rPr>
        <w:t xml:space="preserve"> de violencia contra periodistas y comunicadores que trabajaban </w:t>
      </w:r>
      <w:r w:rsidRPr="00E710D9">
        <w:rPr>
          <w:rFonts w:eastAsiaTheme="minorHAnsi" w:cs="Tahoma"/>
          <w:szCs w:val="20"/>
          <w:lang w:val="es-CR" w:eastAsia="en-US"/>
        </w:rPr>
        <w:t>en zonas rurales y regionales en Colombia</w:t>
      </w:r>
      <w:r w:rsidR="004405B6">
        <w:rPr>
          <w:rFonts w:eastAsiaTheme="minorHAnsi" w:cs="Tahoma"/>
          <w:szCs w:val="20"/>
          <w:lang w:val="es-CR" w:eastAsia="en-US"/>
        </w:rPr>
        <w:t>, y iii) si existen mecanismos de hecho y derecho que generen impunidad e impidan el esclarecimiento de los hechos y la individualización de los responsables en este tipo de casos</w:t>
      </w:r>
      <w:r w:rsidR="009C7D77" w:rsidRPr="00D422C9">
        <w:rPr>
          <w:szCs w:val="20"/>
          <w:lang w:val="es-CR"/>
        </w:rPr>
        <w:t>.</w:t>
      </w:r>
    </w:p>
    <w:p w:rsidR="002D68E9" w:rsidRPr="008943FA" w:rsidRDefault="002D68E9" w:rsidP="002D68E9">
      <w:pPr>
        <w:pStyle w:val="ListParagraph"/>
        <w:widowControl w:val="0"/>
        <w:numPr>
          <w:ilvl w:val="0"/>
          <w:numId w:val="14"/>
        </w:numPr>
        <w:tabs>
          <w:tab w:val="left" w:pos="708"/>
        </w:tabs>
        <w:autoSpaceDE w:val="0"/>
        <w:autoSpaceDN w:val="0"/>
        <w:adjustRightInd w:val="0"/>
        <w:spacing w:before="120"/>
        <w:ind w:left="0" w:firstLine="0"/>
        <w:contextualSpacing w:val="0"/>
        <w:rPr>
          <w:rFonts w:eastAsiaTheme="minorHAnsi" w:cs="Verdana"/>
          <w:color w:val="000000"/>
          <w:szCs w:val="20"/>
          <w:lang w:val="es-CR" w:eastAsia="en-US"/>
        </w:rPr>
      </w:pPr>
      <w:r w:rsidRPr="008943FA">
        <w:rPr>
          <w:rFonts w:eastAsiaTheme="minorHAnsi" w:cs="Verdana"/>
          <w:color w:val="000000"/>
          <w:szCs w:val="20"/>
          <w:lang w:val="es-CR" w:eastAsia="en-US"/>
        </w:rPr>
        <w:t>Requerir a</w:t>
      </w:r>
      <w:r>
        <w:rPr>
          <w:rFonts w:eastAsiaTheme="minorHAnsi" w:cs="Verdana"/>
          <w:color w:val="000000"/>
          <w:szCs w:val="20"/>
          <w:lang w:val="es-CR" w:eastAsia="en-US"/>
        </w:rPr>
        <w:t xml:space="preserve"> </w:t>
      </w:r>
      <w:r w:rsidRPr="008943FA">
        <w:rPr>
          <w:rFonts w:eastAsiaTheme="minorHAnsi" w:cs="Verdana"/>
          <w:color w:val="000000"/>
          <w:szCs w:val="20"/>
          <w:lang w:val="es-CR" w:eastAsia="en-US"/>
        </w:rPr>
        <w:t>l</w:t>
      </w:r>
      <w:r>
        <w:rPr>
          <w:rFonts w:eastAsiaTheme="minorHAnsi" w:cs="Verdana"/>
          <w:color w:val="000000"/>
          <w:szCs w:val="20"/>
          <w:lang w:val="es-CR" w:eastAsia="en-US"/>
        </w:rPr>
        <w:t xml:space="preserve">os </w:t>
      </w:r>
      <w:r w:rsidRPr="008943FA">
        <w:rPr>
          <w:rFonts w:eastAsiaTheme="minorHAnsi" w:cs="Verdana"/>
          <w:color w:val="000000"/>
          <w:szCs w:val="20"/>
          <w:lang w:val="es-CR" w:eastAsia="en-US"/>
        </w:rPr>
        <w:t>perito</w:t>
      </w:r>
      <w:r>
        <w:rPr>
          <w:rFonts w:eastAsiaTheme="minorHAnsi" w:cs="Verdana"/>
          <w:color w:val="000000"/>
          <w:szCs w:val="20"/>
          <w:lang w:val="es-CR" w:eastAsia="en-US"/>
        </w:rPr>
        <w:t>s</w:t>
      </w:r>
      <w:r w:rsidRPr="008943FA">
        <w:rPr>
          <w:rFonts w:eastAsiaTheme="minorHAnsi" w:cs="Verdana"/>
          <w:color w:val="000000"/>
          <w:szCs w:val="20"/>
          <w:lang w:val="es-CR" w:eastAsia="en-US"/>
        </w:rPr>
        <w:t xml:space="preserve"> convocado</w:t>
      </w:r>
      <w:r>
        <w:rPr>
          <w:rFonts w:eastAsiaTheme="minorHAnsi" w:cs="Verdana"/>
          <w:color w:val="000000"/>
          <w:szCs w:val="20"/>
          <w:lang w:val="es-CR" w:eastAsia="en-US"/>
        </w:rPr>
        <w:t>s</w:t>
      </w:r>
      <w:r w:rsidRPr="008943FA">
        <w:rPr>
          <w:rFonts w:eastAsiaTheme="minorHAnsi" w:cs="Verdana"/>
          <w:color w:val="000000"/>
          <w:szCs w:val="20"/>
          <w:lang w:val="es-CR" w:eastAsia="en-US"/>
        </w:rPr>
        <w:t xml:space="preserve"> a declarar en audiencia que, de considerarlo conveniente, aporte</w:t>
      </w:r>
      <w:r>
        <w:rPr>
          <w:rFonts w:eastAsiaTheme="minorHAnsi" w:cs="Verdana"/>
          <w:color w:val="000000"/>
          <w:szCs w:val="20"/>
          <w:lang w:val="es-CR" w:eastAsia="en-US"/>
        </w:rPr>
        <w:t>n</w:t>
      </w:r>
      <w:r w:rsidRPr="008943FA">
        <w:rPr>
          <w:rFonts w:eastAsiaTheme="minorHAnsi" w:cs="Verdana"/>
          <w:color w:val="000000"/>
          <w:szCs w:val="20"/>
          <w:lang w:val="es-CR" w:eastAsia="en-US"/>
        </w:rPr>
        <w:t xml:space="preserve"> una versión escrita de su peritaje a más tardar el </w:t>
      </w:r>
      <w:r w:rsidR="009C7D77" w:rsidRPr="00012E50">
        <w:rPr>
          <w:rFonts w:eastAsiaTheme="minorHAnsi" w:cs="Verdana"/>
          <w:color w:val="000000"/>
          <w:szCs w:val="20"/>
          <w:lang w:val="es-CR" w:eastAsia="en-US"/>
        </w:rPr>
        <w:t>11</w:t>
      </w:r>
      <w:r w:rsidR="009C7D77" w:rsidRPr="008943FA">
        <w:rPr>
          <w:rFonts w:eastAsiaTheme="minorHAnsi" w:cs="Verdana"/>
          <w:color w:val="000000"/>
          <w:szCs w:val="20"/>
          <w:lang w:val="es-CR" w:eastAsia="en-US"/>
        </w:rPr>
        <w:t xml:space="preserve"> </w:t>
      </w:r>
      <w:r w:rsidRPr="008943FA">
        <w:rPr>
          <w:rFonts w:eastAsiaTheme="minorHAnsi" w:cs="Verdana"/>
          <w:color w:val="000000"/>
          <w:szCs w:val="20"/>
          <w:lang w:val="es-CR" w:eastAsia="en-US"/>
        </w:rPr>
        <w:t xml:space="preserve">de </w:t>
      </w:r>
      <w:r w:rsidR="009C7D77">
        <w:rPr>
          <w:rFonts w:eastAsiaTheme="minorHAnsi" w:cs="Verdana"/>
          <w:color w:val="000000"/>
          <w:szCs w:val="20"/>
          <w:lang w:val="es-CR" w:eastAsia="en-US"/>
        </w:rPr>
        <w:t>agosto</w:t>
      </w:r>
      <w:r w:rsidR="009C7D77" w:rsidRPr="008943FA">
        <w:rPr>
          <w:rFonts w:eastAsiaTheme="minorHAnsi" w:cs="Verdana"/>
          <w:color w:val="000000"/>
          <w:szCs w:val="20"/>
          <w:lang w:val="es-CR" w:eastAsia="en-US"/>
        </w:rPr>
        <w:t xml:space="preserve"> </w:t>
      </w:r>
      <w:r w:rsidRPr="008943FA">
        <w:rPr>
          <w:rFonts w:eastAsiaTheme="minorHAnsi" w:cs="Verdana"/>
          <w:color w:val="000000"/>
          <w:szCs w:val="20"/>
          <w:lang w:val="es-CR" w:eastAsia="en-US"/>
        </w:rPr>
        <w:t xml:space="preserve">de </w:t>
      </w:r>
      <w:r w:rsidRPr="008943FA">
        <w:rPr>
          <w:color w:val="000000"/>
          <w:szCs w:val="20"/>
          <w:lang w:val="es-CR"/>
        </w:rPr>
        <w:t>2017</w:t>
      </w:r>
      <w:r w:rsidRPr="008943FA">
        <w:rPr>
          <w:rFonts w:eastAsiaTheme="minorHAnsi" w:cs="Verdana"/>
          <w:color w:val="000000"/>
          <w:szCs w:val="20"/>
          <w:lang w:val="es-CR" w:eastAsia="en-US"/>
        </w:rPr>
        <w:t xml:space="preserve">. </w:t>
      </w:r>
    </w:p>
    <w:p w:rsidR="00AD27B4" w:rsidRPr="002D68E9" w:rsidRDefault="00AD27B4" w:rsidP="00ED3CC9">
      <w:pPr>
        <w:pStyle w:val="ListParagraph"/>
        <w:widowControl w:val="0"/>
        <w:numPr>
          <w:ilvl w:val="0"/>
          <w:numId w:val="14"/>
        </w:numPr>
        <w:tabs>
          <w:tab w:val="left" w:pos="708"/>
        </w:tabs>
        <w:autoSpaceDE w:val="0"/>
        <w:autoSpaceDN w:val="0"/>
        <w:adjustRightInd w:val="0"/>
        <w:spacing w:before="120"/>
        <w:ind w:left="0" w:firstLine="0"/>
        <w:contextualSpacing w:val="0"/>
        <w:rPr>
          <w:szCs w:val="20"/>
          <w:lang w:val="es-CR"/>
        </w:rPr>
      </w:pPr>
      <w:r w:rsidRPr="00ED3CC9">
        <w:rPr>
          <w:color w:val="000000"/>
          <w:szCs w:val="20"/>
          <w:lang w:val="es-CR"/>
        </w:rPr>
        <w:t xml:space="preserve">Requerir a </w:t>
      </w:r>
      <w:r w:rsidR="00E31F16" w:rsidRPr="00ED3CC9">
        <w:rPr>
          <w:color w:val="000000"/>
          <w:szCs w:val="20"/>
          <w:lang w:val="es-CR"/>
        </w:rPr>
        <w:t>Colombia</w:t>
      </w:r>
      <w:r w:rsidRPr="00ED3CC9">
        <w:rPr>
          <w:color w:val="000000"/>
          <w:szCs w:val="20"/>
          <w:lang w:val="es-CR"/>
        </w:rPr>
        <w:t xml:space="preserve"> que facilite la salida y entrada de su territorio de los declarantes, si residen o se encuentran en él, quienes han sido citados en la presente Resolución a rendir declaración en la referida audiencia pública, de conformidad con lo dispuesto en el artículo 2</w:t>
      </w:r>
      <w:r w:rsidR="002D68E9">
        <w:rPr>
          <w:color w:val="000000"/>
          <w:szCs w:val="20"/>
          <w:lang w:val="es-CR"/>
        </w:rPr>
        <w:t>6.1 del Reglamento de la Corte.</w:t>
      </w:r>
    </w:p>
    <w:p w:rsidR="002D68E9" w:rsidRPr="00ED3CC9" w:rsidRDefault="002D68E9" w:rsidP="002D68E9">
      <w:pPr>
        <w:pStyle w:val="ListParagraph"/>
        <w:widowControl w:val="0"/>
        <w:numPr>
          <w:ilvl w:val="0"/>
          <w:numId w:val="14"/>
        </w:numPr>
        <w:tabs>
          <w:tab w:val="left" w:pos="708"/>
        </w:tabs>
        <w:autoSpaceDE w:val="0"/>
        <w:autoSpaceDN w:val="0"/>
        <w:adjustRightInd w:val="0"/>
        <w:spacing w:before="120"/>
        <w:ind w:left="0" w:firstLine="0"/>
        <w:contextualSpacing w:val="0"/>
        <w:rPr>
          <w:rFonts w:cs="Verdana"/>
          <w:szCs w:val="20"/>
          <w:lang w:val="es-CR"/>
        </w:rPr>
      </w:pPr>
      <w:r w:rsidRPr="00ED3CC9">
        <w:rPr>
          <w:szCs w:val="20"/>
          <w:lang w:val="es-CR"/>
        </w:rPr>
        <w:t>Requerir, por las razones expuestas en la presente Resolución, de conformidad con el principio de economía procesal y de la facultad que le otorga el artículo 50.1 del Reglamento de la Corte, que las siguientes personas presten sus declaraciones ante fedatario público</w:t>
      </w:r>
      <w:r w:rsidR="009C7D77">
        <w:rPr>
          <w:szCs w:val="20"/>
          <w:lang w:val="es-CR"/>
        </w:rPr>
        <w:t xml:space="preserve"> (</w:t>
      </w:r>
      <w:r w:rsidR="009C7D77">
        <w:rPr>
          <w:i/>
          <w:szCs w:val="20"/>
          <w:lang w:val="es-CR"/>
        </w:rPr>
        <w:t>A</w:t>
      </w:r>
      <w:r w:rsidR="009C7D77" w:rsidRPr="002038A0">
        <w:rPr>
          <w:i/>
          <w:szCs w:val="20"/>
          <w:lang w:val="es-CR"/>
        </w:rPr>
        <w:t>ffidavit</w:t>
      </w:r>
      <w:r w:rsidR="009C7D77">
        <w:rPr>
          <w:szCs w:val="20"/>
          <w:lang w:val="es-CR"/>
        </w:rPr>
        <w:t>)</w:t>
      </w:r>
      <w:r w:rsidRPr="00ED3CC9">
        <w:rPr>
          <w:szCs w:val="20"/>
          <w:lang w:val="es-CR"/>
        </w:rPr>
        <w:t>:</w:t>
      </w:r>
    </w:p>
    <w:p w:rsidR="002D68E9" w:rsidRPr="009C7D77" w:rsidRDefault="002D68E9" w:rsidP="002038A0">
      <w:pPr>
        <w:pStyle w:val="ListParagraph"/>
        <w:widowControl w:val="0"/>
        <w:numPr>
          <w:ilvl w:val="0"/>
          <w:numId w:val="19"/>
        </w:numPr>
        <w:tabs>
          <w:tab w:val="left" w:pos="708"/>
        </w:tabs>
        <w:autoSpaceDE w:val="0"/>
        <w:autoSpaceDN w:val="0"/>
        <w:adjustRightInd w:val="0"/>
        <w:spacing w:before="120"/>
        <w:contextualSpacing w:val="0"/>
        <w:rPr>
          <w:bCs/>
          <w:i/>
          <w:iCs/>
          <w:szCs w:val="20"/>
          <w:lang w:val="es-CR"/>
        </w:rPr>
      </w:pPr>
      <w:r w:rsidRPr="002038A0">
        <w:rPr>
          <w:bCs/>
          <w:i/>
          <w:iCs/>
          <w:szCs w:val="20"/>
          <w:lang w:val="es-CR"/>
        </w:rPr>
        <w:t>Presuntas víctimas</w:t>
      </w:r>
      <w:r w:rsidR="009C7D77" w:rsidRPr="009C7D77">
        <w:rPr>
          <w:bCs/>
          <w:i/>
          <w:iCs/>
          <w:szCs w:val="20"/>
          <w:lang w:val="es-CR"/>
        </w:rPr>
        <w:t xml:space="preserve"> </w:t>
      </w:r>
      <w:r w:rsidR="009C7D77">
        <w:rPr>
          <w:bCs/>
          <w:i/>
          <w:iCs/>
          <w:szCs w:val="20"/>
          <w:lang w:val="es-CR"/>
        </w:rPr>
        <w:t>(</w:t>
      </w:r>
      <w:r w:rsidRPr="009C7D77">
        <w:rPr>
          <w:bCs/>
          <w:i/>
          <w:iCs/>
          <w:szCs w:val="20"/>
          <w:lang w:val="es-CR"/>
        </w:rPr>
        <w:t>Propuestas por los representantes</w:t>
      </w:r>
      <w:r w:rsidR="009C7D77">
        <w:rPr>
          <w:bCs/>
          <w:i/>
          <w:iCs/>
          <w:szCs w:val="20"/>
          <w:lang w:val="es-CR"/>
        </w:rPr>
        <w:t>)</w:t>
      </w:r>
    </w:p>
    <w:p w:rsidR="00432BCC" w:rsidRPr="00F91DEF" w:rsidRDefault="00432BCC" w:rsidP="00151DA1">
      <w:pPr>
        <w:numPr>
          <w:ilvl w:val="0"/>
          <w:numId w:val="28"/>
        </w:numPr>
        <w:autoSpaceDE w:val="0"/>
        <w:autoSpaceDN w:val="0"/>
        <w:adjustRightInd w:val="0"/>
        <w:spacing w:before="120"/>
        <w:ind w:left="992" w:firstLine="0"/>
        <w:rPr>
          <w:szCs w:val="20"/>
        </w:rPr>
      </w:pPr>
      <w:r w:rsidRPr="002038A0">
        <w:rPr>
          <w:i/>
          <w:iCs/>
          <w:szCs w:val="20"/>
        </w:rPr>
        <w:t xml:space="preserve">Luz </w:t>
      </w:r>
      <w:r w:rsidR="00774C96">
        <w:rPr>
          <w:i/>
          <w:iCs/>
          <w:szCs w:val="20"/>
        </w:rPr>
        <w:t>Es</w:t>
      </w:r>
      <w:r w:rsidRPr="002038A0">
        <w:rPr>
          <w:i/>
          <w:iCs/>
          <w:szCs w:val="20"/>
        </w:rPr>
        <w:t>tela Bolaños Rodríguez</w:t>
      </w:r>
      <w:r w:rsidRPr="00F91DEF">
        <w:rPr>
          <w:szCs w:val="20"/>
          <w:lang w:val="es-CR"/>
        </w:rPr>
        <w:t xml:space="preserve">, quien declarará sobre: i) </w:t>
      </w:r>
      <w:r w:rsidRPr="00F91DEF">
        <w:rPr>
          <w:rFonts w:eastAsiaTheme="minorHAnsi" w:cs="Tahoma"/>
          <w:szCs w:val="20"/>
          <w:lang w:val="es-CR" w:eastAsia="en-US"/>
        </w:rPr>
        <w:t xml:space="preserve">la labor que realizaba su esposo Nelson y su vida familiar; ii) la forma en que se enteró de la muerte de su esposo; iii) </w:t>
      </w:r>
      <w:r w:rsidR="004405B6">
        <w:rPr>
          <w:szCs w:val="20"/>
          <w:lang w:val="es-CR"/>
        </w:rPr>
        <w:t xml:space="preserve">si realizó </w:t>
      </w:r>
      <w:r w:rsidR="004405B6" w:rsidRPr="00ED3CC9">
        <w:rPr>
          <w:szCs w:val="20"/>
          <w:lang w:val="es-CR"/>
        </w:rPr>
        <w:t>gestiones para obtener justicia</w:t>
      </w:r>
      <w:r w:rsidRPr="00F91DEF">
        <w:rPr>
          <w:rFonts w:eastAsiaTheme="minorHAnsi" w:cs="Tahoma"/>
          <w:szCs w:val="20"/>
          <w:lang w:val="es-CR" w:eastAsia="en-US"/>
        </w:rPr>
        <w:t xml:space="preserve">; iv) </w:t>
      </w:r>
      <w:r w:rsidR="004405B6">
        <w:rPr>
          <w:szCs w:val="20"/>
          <w:lang w:val="es-CR"/>
        </w:rPr>
        <w:t xml:space="preserve">si enfrentó </w:t>
      </w:r>
      <w:r w:rsidR="004405B6" w:rsidRPr="00ED3CC9">
        <w:rPr>
          <w:szCs w:val="20"/>
          <w:lang w:val="es-CR"/>
        </w:rPr>
        <w:t xml:space="preserve">obstáculos para participar en el proceso de investigación y </w:t>
      </w:r>
      <w:r w:rsidR="004405B6">
        <w:rPr>
          <w:szCs w:val="20"/>
          <w:lang w:val="es-CR"/>
        </w:rPr>
        <w:t>si recibió</w:t>
      </w:r>
      <w:r w:rsidR="004405B6" w:rsidRPr="00ED3CC9">
        <w:rPr>
          <w:szCs w:val="20"/>
          <w:lang w:val="es-CR"/>
        </w:rPr>
        <w:t xml:space="preserve"> amenazas</w:t>
      </w:r>
      <w:r w:rsidR="00A12BA4" w:rsidRPr="00ED3CC9">
        <w:rPr>
          <w:szCs w:val="20"/>
          <w:lang w:val="es-CR"/>
        </w:rPr>
        <w:t>;</w:t>
      </w:r>
      <w:r w:rsidRPr="00F91DEF">
        <w:rPr>
          <w:rFonts w:eastAsiaTheme="minorHAnsi" w:cs="Tahoma"/>
          <w:szCs w:val="20"/>
          <w:lang w:val="es-CR" w:eastAsia="en-US"/>
        </w:rPr>
        <w:t xml:space="preserve"> v) la forma en que estos hechos l</w:t>
      </w:r>
      <w:r w:rsidR="009C7D77">
        <w:rPr>
          <w:rFonts w:eastAsiaTheme="minorHAnsi" w:cs="Tahoma"/>
          <w:szCs w:val="20"/>
          <w:lang w:val="es-CR" w:eastAsia="en-US"/>
        </w:rPr>
        <w:t>a</w:t>
      </w:r>
      <w:r w:rsidRPr="00F91DEF">
        <w:rPr>
          <w:rFonts w:eastAsiaTheme="minorHAnsi" w:cs="Tahoma"/>
          <w:szCs w:val="20"/>
          <w:lang w:val="es-CR" w:eastAsia="en-US"/>
        </w:rPr>
        <w:t xml:space="preserve"> ha</w:t>
      </w:r>
      <w:r w:rsidR="009C7D77">
        <w:rPr>
          <w:rFonts w:eastAsiaTheme="minorHAnsi" w:cs="Tahoma"/>
          <w:szCs w:val="20"/>
          <w:lang w:val="es-CR" w:eastAsia="en-US"/>
        </w:rPr>
        <w:t>brían</w:t>
      </w:r>
      <w:r w:rsidRPr="00F91DEF">
        <w:rPr>
          <w:rFonts w:eastAsiaTheme="minorHAnsi" w:cs="Tahoma"/>
          <w:szCs w:val="20"/>
          <w:lang w:val="es-CR" w:eastAsia="en-US"/>
        </w:rPr>
        <w:t xml:space="preserve"> afectado a </w:t>
      </w:r>
      <w:r w:rsidR="00F91DEF">
        <w:rPr>
          <w:rFonts w:eastAsiaTheme="minorHAnsi" w:cs="Tahoma"/>
          <w:szCs w:val="20"/>
          <w:lang w:val="es-CR" w:eastAsia="en-US"/>
        </w:rPr>
        <w:t>ella</w:t>
      </w:r>
      <w:r w:rsidRPr="00F91DEF">
        <w:rPr>
          <w:rFonts w:eastAsiaTheme="minorHAnsi" w:cs="Tahoma"/>
          <w:szCs w:val="20"/>
          <w:lang w:val="es-CR" w:eastAsia="en-US"/>
        </w:rPr>
        <w:t xml:space="preserve"> y a su familia, en particular </w:t>
      </w:r>
      <w:r w:rsidR="004405B6">
        <w:rPr>
          <w:szCs w:val="20"/>
          <w:lang w:val="es-CR"/>
        </w:rPr>
        <w:t>si solicitó asilo en el extranjero y las razones que habría tenido para ello</w:t>
      </w:r>
      <w:r w:rsidRPr="00F91DEF">
        <w:rPr>
          <w:rFonts w:eastAsiaTheme="minorHAnsi" w:cs="Tahoma"/>
          <w:szCs w:val="20"/>
          <w:lang w:val="es-CR" w:eastAsia="en-US"/>
        </w:rPr>
        <w:t xml:space="preserve">, y vi) </w:t>
      </w:r>
      <w:r w:rsidR="004405B6">
        <w:rPr>
          <w:szCs w:val="20"/>
          <w:lang w:val="es-CR"/>
        </w:rPr>
        <w:t>si se le causó un daño y</w:t>
      </w:r>
      <w:r w:rsidR="00C275F9">
        <w:rPr>
          <w:szCs w:val="20"/>
          <w:lang w:val="es-CR"/>
        </w:rPr>
        <w:t>, de ser ese el caso,</w:t>
      </w:r>
      <w:r w:rsidR="004405B6">
        <w:rPr>
          <w:szCs w:val="20"/>
          <w:lang w:val="es-CR"/>
        </w:rPr>
        <w:t xml:space="preserve"> si el Estado debería tomar medidas para remediarlo</w:t>
      </w:r>
      <w:r w:rsidRPr="00F91DEF">
        <w:rPr>
          <w:rFonts w:eastAsiaTheme="minorHAnsi" w:cs="Tahoma"/>
          <w:szCs w:val="20"/>
          <w:lang w:val="es-CR" w:eastAsia="en-US"/>
        </w:rPr>
        <w:t>.</w:t>
      </w:r>
    </w:p>
    <w:p w:rsidR="00432BCC" w:rsidRPr="00F91DEF" w:rsidRDefault="00432BCC" w:rsidP="00151DA1">
      <w:pPr>
        <w:numPr>
          <w:ilvl w:val="0"/>
          <w:numId w:val="28"/>
        </w:numPr>
        <w:autoSpaceDE w:val="0"/>
        <w:autoSpaceDN w:val="0"/>
        <w:adjustRightInd w:val="0"/>
        <w:spacing w:before="120"/>
        <w:ind w:left="992" w:firstLine="0"/>
        <w:rPr>
          <w:szCs w:val="20"/>
        </w:rPr>
      </w:pPr>
      <w:r w:rsidRPr="002038A0">
        <w:rPr>
          <w:i/>
          <w:iCs/>
          <w:szCs w:val="20"/>
        </w:rPr>
        <w:t>Paola Andrea Carvajal Bolaños y María Alejandra Carvajal Bolaños</w:t>
      </w:r>
      <w:r w:rsidR="00F91DEF" w:rsidRPr="00F91DEF">
        <w:rPr>
          <w:iCs/>
          <w:szCs w:val="20"/>
        </w:rPr>
        <w:t>,</w:t>
      </w:r>
      <w:r w:rsidRPr="00F91DEF">
        <w:rPr>
          <w:iCs/>
          <w:szCs w:val="20"/>
        </w:rPr>
        <w:t xml:space="preserve"> </w:t>
      </w:r>
      <w:r w:rsidR="0085018C">
        <w:rPr>
          <w:iCs/>
          <w:szCs w:val="20"/>
        </w:rPr>
        <w:t>declararán</w:t>
      </w:r>
      <w:r w:rsidRPr="00F91DEF">
        <w:rPr>
          <w:iCs/>
          <w:szCs w:val="20"/>
        </w:rPr>
        <w:t xml:space="preserve"> sobre</w:t>
      </w:r>
      <w:r w:rsidR="00C275F9">
        <w:rPr>
          <w:iCs/>
          <w:szCs w:val="20"/>
        </w:rPr>
        <w:t>:</w:t>
      </w:r>
      <w:r w:rsidRPr="00F91DEF">
        <w:rPr>
          <w:iCs/>
          <w:szCs w:val="20"/>
        </w:rPr>
        <w:t xml:space="preserve"> </w:t>
      </w:r>
      <w:r w:rsidR="008714FC" w:rsidRPr="00F91DEF">
        <w:rPr>
          <w:iCs/>
          <w:szCs w:val="20"/>
        </w:rPr>
        <w:t xml:space="preserve">i) </w:t>
      </w:r>
      <w:r w:rsidR="00C275F9">
        <w:rPr>
          <w:iCs/>
          <w:szCs w:val="20"/>
        </w:rPr>
        <w:t>si ellas y su familia recibieron amenazas y la forma en que estos hechos las habrían afectado</w:t>
      </w:r>
      <w:r w:rsidR="008714FC" w:rsidRPr="00F91DEF">
        <w:rPr>
          <w:rFonts w:eastAsiaTheme="minorHAnsi" w:cs="Tahoma"/>
          <w:szCs w:val="20"/>
          <w:lang w:val="es-CR" w:eastAsia="en-US"/>
        </w:rPr>
        <w:t>; ii)</w:t>
      </w:r>
      <w:r w:rsidRPr="00F91DEF">
        <w:rPr>
          <w:rFonts w:eastAsiaTheme="minorHAnsi" w:cs="Tahoma"/>
          <w:szCs w:val="20"/>
          <w:lang w:val="es-CR" w:eastAsia="en-US"/>
        </w:rPr>
        <w:t xml:space="preserve"> </w:t>
      </w:r>
      <w:r w:rsidR="00C275F9">
        <w:rPr>
          <w:szCs w:val="20"/>
          <w:lang w:val="es-CR"/>
        </w:rPr>
        <w:t>si solicitaron asilo en el extranjero y las razones que habrían tenido para ello</w:t>
      </w:r>
      <w:r w:rsidR="008714FC" w:rsidRPr="00F91DEF">
        <w:rPr>
          <w:rFonts w:eastAsiaTheme="minorHAnsi" w:cs="Tahoma"/>
          <w:szCs w:val="20"/>
          <w:lang w:val="es-CR" w:eastAsia="en-US"/>
        </w:rPr>
        <w:t>, y iii)</w:t>
      </w:r>
      <w:r w:rsidRPr="00F91DEF">
        <w:rPr>
          <w:rFonts w:eastAsiaTheme="minorHAnsi" w:cs="Tahoma"/>
          <w:szCs w:val="20"/>
          <w:lang w:val="es-CR" w:eastAsia="en-US"/>
        </w:rPr>
        <w:t xml:space="preserve"> las medidas que debería adoptar el Estado </w:t>
      </w:r>
      <w:r w:rsidR="0085018C" w:rsidRPr="00F91DEF">
        <w:rPr>
          <w:rFonts w:eastAsiaTheme="minorHAnsi" w:cs="Tahoma"/>
          <w:szCs w:val="20"/>
          <w:lang w:val="es-CR" w:eastAsia="en-US"/>
        </w:rPr>
        <w:t>para reparar el daño</w:t>
      </w:r>
      <w:r w:rsidR="0085018C">
        <w:rPr>
          <w:rFonts w:eastAsiaTheme="minorHAnsi" w:cs="Tahoma"/>
          <w:szCs w:val="20"/>
          <w:lang w:val="es-CR" w:eastAsia="en-US"/>
        </w:rPr>
        <w:t xml:space="preserve"> presuntamente</w:t>
      </w:r>
      <w:r w:rsidR="0085018C" w:rsidRPr="00F91DEF">
        <w:rPr>
          <w:rFonts w:eastAsiaTheme="minorHAnsi" w:cs="Tahoma"/>
          <w:szCs w:val="20"/>
          <w:lang w:val="es-CR" w:eastAsia="en-US"/>
        </w:rPr>
        <w:t xml:space="preserve"> causado</w:t>
      </w:r>
      <w:r w:rsidR="0085018C">
        <w:rPr>
          <w:rFonts w:eastAsiaTheme="minorHAnsi" w:cs="Tahoma"/>
          <w:szCs w:val="20"/>
          <w:lang w:val="es-CR" w:eastAsia="en-US"/>
        </w:rPr>
        <w:t>”</w:t>
      </w:r>
      <w:r w:rsidRPr="00F91DEF">
        <w:rPr>
          <w:rFonts w:eastAsiaTheme="minorHAnsi" w:cs="Tahoma"/>
          <w:szCs w:val="20"/>
          <w:lang w:val="es-CR" w:eastAsia="en-US"/>
        </w:rPr>
        <w:t>.</w:t>
      </w:r>
    </w:p>
    <w:p w:rsidR="00432BCC" w:rsidRPr="00F91DEF" w:rsidRDefault="00432BCC" w:rsidP="00151DA1">
      <w:pPr>
        <w:numPr>
          <w:ilvl w:val="0"/>
          <w:numId w:val="28"/>
        </w:numPr>
        <w:autoSpaceDE w:val="0"/>
        <w:autoSpaceDN w:val="0"/>
        <w:adjustRightInd w:val="0"/>
        <w:spacing w:before="120"/>
        <w:ind w:left="992" w:firstLine="0"/>
        <w:rPr>
          <w:szCs w:val="20"/>
        </w:rPr>
      </w:pPr>
      <w:r w:rsidRPr="002038A0">
        <w:rPr>
          <w:i/>
          <w:iCs/>
          <w:szCs w:val="20"/>
        </w:rPr>
        <w:t xml:space="preserve">Yaneth Cristina Carvajal </w:t>
      </w:r>
      <w:r w:rsidR="00774C96">
        <w:rPr>
          <w:i/>
          <w:iCs/>
          <w:szCs w:val="20"/>
        </w:rPr>
        <w:t>Ardila</w:t>
      </w:r>
      <w:r w:rsidR="007645EC" w:rsidRPr="00F91DEF">
        <w:rPr>
          <w:szCs w:val="20"/>
          <w:lang w:val="es-CR"/>
        </w:rPr>
        <w:t xml:space="preserve">, quien declarará sobre: </w:t>
      </w:r>
      <w:r w:rsidR="0085018C">
        <w:rPr>
          <w:szCs w:val="20"/>
          <w:lang w:val="es-CR"/>
        </w:rPr>
        <w:t>“</w:t>
      </w:r>
      <w:r w:rsidR="007645EC" w:rsidRPr="00F91DEF">
        <w:rPr>
          <w:szCs w:val="20"/>
          <w:lang w:val="es-CR"/>
        </w:rPr>
        <w:t xml:space="preserve">i) </w:t>
      </w:r>
      <w:r w:rsidRPr="00F91DEF">
        <w:rPr>
          <w:rFonts w:eastAsiaTheme="minorHAnsi" w:cs="Tahoma"/>
          <w:szCs w:val="20"/>
          <w:lang w:val="es-CR" w:eastAsia="en-US"/>
        </w:rPr>
        <w:t>la vida familiar con su padre</w:t>
      </w:r>
      <w:r w:rsidR="007645EC" w:rsidRPr="00F91DEF">
        <w:rPr>
          <w:rFonts w:eastAsiaTheme="minorHAnsi" w:cs="Tahoma"/>
          <w:szCs w:val="20"/>
          <w:lang w:val="es-CR" w:eastAsia="en-US"/>
        </w:rPr>
        <w:t xml:space="preserve">; ii) </w:t>
      </w:r>
      <w:r w:rsidRPr="00F91DEF">
        <w:rPr>
          <w:rFonts w:eastAsiaTheme="minorHAnsi" w:cs="Tahoma"/>
          <w:szCs w:val="20"/>
          <w:lang w:val="es-CR" w:eastAsia="en-US"/>
        </w:rPr>
        <w:t xml:space="preserve">la forma en que se enteró de su muerte; </w:t>
      </w:r>
      <w:r w:rsidR="007645EC" w:rsidRPr="00F91DEF">
        <w:rPr>
          <w:rFonts w:eastAsiaTheme="minorHAnsi" w:cs="Tahoma"/>
          <w:szCs w:val="20"/>
          <w:lang w:val="es-CR" w:eastAsia="en-US"/>
        </w:rPr>
        <w:t xml:space="preserve">iii) </w:t>
      </w:r>
      <w:r w:rsidRPr="00F91DEF">
        <w:rPr>
          <w:rFonts w:eastAsiaTheme="minorHAnsi" w:cs="Tahoma"/>
          <w:szCs w:val="20"/>
          <w:lang w:val="es-CR" w:eastAsia="en-US"/>
        </w:rPr>
        <w:t xml:space="preserve">la forma en que el asesinato de su padre y la búsqueda de justicia liderada por su familia la </w:t>
      </w:r>
      <w:r w:rsidR="0085018C">
        <w:rPr>
          <w:rFonts w:eastAsiaTheme="minorHAnsi" w:cs="Tahoma"/>
          <w:szCs w:val="20"/>
          <w:lang w:val="es-CR" w:eastAsia="en-US"/>
        </w:rPr>
        <w:t xml:space="preserve">habría </w:t>
      </w:r>
      <w:r w:rsidRPr="00F91DEF">
        <w:rPr>
          <w:rFonts w:eastAsiaTheme="minorHAnsi" w:cs="Tahoma"/>
          <w:szCs w:val="20"/>
          <w:lang w:val="es-CR" w:eastAsia="en-US"/>
        </w:rPr>
        <w:t>afecta</w:t>
      </w:r>
      <w:r w:rsidR="0085018C">
        <w:rPr>
          <w:rFonts w:eastAsiaTheme="minorHAnsi" w:cs="Tahoma"/>
          <w:szCs w:val="20"/>
          <w:lang w:val="es-CR" w:eastAsia="en-US"/>
        </w:rPr>
        <w:t>do</w:t>
      </w:r>
      <w:r w:rsidRPr="00F91DEF">
        <w:rPr>
          <w:rFonts w:eastAsiaTheme="minorHAnsi" w:cs="Tahoma"/>
          <w:szCs w:val="20"/>
          <w:lang w:val="es-CR" w:eastAsia="en-US"/>
        </w:rPr>
        <w:t xml:space="preserve"> a ella y a los demás miembros</w:t>
      </w:r>
      <w:r w:rsidR="0085018C">
        <w:rPr>
          <w:rFonts w:eastAsiaTheme="minorHAnsi" w:cs="Tahoma"/>
          <w:szCs w:val="20"/>
          <w:lang w:val="es-CR" w:eastAsia="en-US"/>
        </w:rPr>
        <w:t xml:space="preserve"> de su familia</w:t>
      </w:r>
      <w:r w:rsidR="007645EC" w:rsidRPr="00F91DEF">
        <w:rPr>
          <w:rFonts w:eastAsiaTheme="minorHAnsi" w:cs="Tahoma"/>
          <w:szCs w:val="20"/>
          <w:lang w:val="es-CR" w:eastAsia="en-US"/>
        </w:rPr>
        <w:t>, y iv)</w:t>
      </w:r>
      <w:r w:rsidRPr="00F91DEF">
        <w:rPr>
          <w:rFonts w:eastAsiaTheme="minorHAnsi" w:cs="Tahoma"/>
          <w:szCs w:val="20"/>
          <w:lang w:val="es-CR" w:eastAsia="en-US"/>
        </w:rPr>
        <w:t xml:space="preserve"> </w:t>
      </w:r>
      <w:r w:rsidR="00C275F9">
        <w:rPr>
          <w:szCs w:val="20"/>
          <w:lang w:val="es-CR"/>
        </w:rPr>
        <w:t>si se le causó un daño y, de ser ese el caso, si el Estado debería tomar medidas para remediarlo</w:t>
      </w:r>
      <w:r w:rsidRPr="00F91DEF">
        <w:rPr>
          <w:rFonts w:eastAsiaTheme="minorHAnsi" w:cs="Tahoma"/>
          <w:szCs w:val="20"/>
          <w:lang w:val="es-CR" w:eastAsia="en-US"/>
        </w:rPr>
        <w:t>.</w:t>
      </w:r>
    </w:p>
    <w:p w:rsidR="00432BCC" w:rsidRPr="00F91DEF" w:rsidRDefault="00432BCC" w:rsidP="00151DA1">
      <w:pPr>
        <w:numPr>
          <w:ilvl w:val="0"/>
          <w:numId w:val="28"/>
        </w:numPr>
        <w:autoSpaceDE w:val="0"/>
        <w:autoSpaceDN w:val="0"/>
        <w:adjustRightInd w:val="0"/>
        <w:spacing w:before="120"/>
        <w:ind w:left="992" w:firstLine="0"/>
        <w:rPr>
          <w:szCs w:val="20"/>
        </w:rPr>
      </w:pPr>
      <w:r w:rsidRPr="002038A0">
        <w:rPr>
          <w:i/>
          <w:iCs/>
          <w:szCs w:val="20"/>
        </w:rPr>
        <w:t>Gloria Mercedes Carvajal Carvajal, Ruth Dary Carvajal Carvajal</w:t>
      </w:r>
      <w:r w:rsidRPr="002038A0">
        <w:rPr>
          <w:rFonts w:eastAsiaTheme="minorHAnsi" w:cs="Tahoma"/>
          <w:i/>
          <w:szCs w:val="20"/>
          <w:lang w:val="es-CR" w:eastAsia="en-US"/>
        </w:rPr>
        <w:t xml:space="preserve"> y </w:t>
      </w:r>
      <w:r w:rsidRPr="002038A0">
        <w:rPr>
          <w:i/>
          <w:iCs/>
          <w:szCs w:val="20"/>
        </w:rPr>
        <w:t>Fernando Augusto Carvajal Carvajal</w:t>
      </w:r>
      <w:r w:rsidR="00F91DEF" w:rsidRPr="00F91DEF">
        <w:rPr>
          <w:iCs/>
          <w:szCs w:val="20"/>
        </w:rPr>
        <w:t>,</w:t>
      </w:r>
      <w:r w:rsidRPr="00F91DEF">
        <w:rPr>
          <w:iCs/>
          <w:szCs w:val="20"/>
        </w:rPr>
        <w:t xml:space="preserve"> </w:t>
      </w:r>
      <w:r w:rsidR="002038A0">
        <w:rPr>
          <w:iCs/>
          <w:szCs w:val="20"/>
        </w:rPr>
        <w:t>declararán</w:t>
      </w:r>
      <w:r w:rsidR="00960855">
        <w:rPr>
          <w:iCs/>
          <w:szCs w:val="20"/>
        </w:rPr>
        <w:t xml:space="preserve"> </w:t>
      </w:r>
      <w:r w:rsidR="002E0136" w:rsidRPr="00F91DEF">
        <w:rPr>
          <w:iCs/>
          <w:szCs w:val="20"/>
        </w:rPr>
        <w:t xml:space="preserve">sobre: i) </w:t>
      </w:r>
      <w:r w:rsidRPr="00F91DEF">
        <w:rPr>
          <w:rFonts w:eastAsiaTheme="minorHAnsi" w:cs="Tahoma"/>
          <w:szCs w:val="20"/>
          <w:lang w:val="es-CR" w:eastAsia="en-US"/>
        </w:rPr>
        <w:t>la labor que realizaba su hermano Nelson y su vida familiar</w:t>
      </w:r>
      <w:r w:rsidR="002E0136" w:rsidRPr="00F91DEF">
        <w:rPr>
          <w:rFonts w:eastAsiaTheme="minorHAnsi" w:cs="Tahoma"/>
          <w:szCs w:val="20"/>
          <w:lang w:val="es-CR" w:eastAsia="en-US"/>
        </w:rPr>
        <w:t>; ii)</w:t>
      </w:r>
      <w:r w:rsidRPr="00F91DEF">
        <w:rPr>
          <w:rFonts w:eastAsiaTheme="minorHAnsi" w:cs="Tahoma"/>
          <w:szCs w:val="20"/>
          <w:lang w:val="es-CR" w:eastAsia="en-US"/>
        </w:rPr>
        <w:t xml:space="preserve"> la forma en que se</w:t>
      </w:r>
      <w:r w:rsidR="00960855">
        <w:rPr>
          <w:rFonts w:eastAsiaTheme="minorHAnsi" w:cs="Tahoma"/>
          <w:szCs w:val="20"/>
          <w:lang w:val="es-CR" w:eastAsia="en-US"/>
        </w:rPr>
        <w:t xml:space="preserve"> </w:t>
      </w:r>
      <w:r w:rsidRPr="00F91DEF">
        <w:rPr>
          <w:rFonts w:eastAsiaTheme="minorHAnsi" w:cs="Tahoma"/>
          <w:szCs w:val="20"/>
          <w:lang w:val="es-CR" w:eastAsia="en-US"/>
        </w:rPr>
        <w:t>enter</w:t>
      </w:r>
      <w:r w:rsidR="002E0136" w:rsidRPr="00F91DEF">
        <w:rPr>
          <w:rFonts w:eastAsiaTheme="minorHAnsi" w:cs="Tahoma"/>
          <w:szCs w:val="20"/>
          <w:lang w:val="es-CR" w:eastAsia="en-US"/>
        </w:rPr>
        <w:t>aron</w:t>
      </w:r>
      <w:r w:rsidRPr="00F91DEF">
        <w:rPr>
          <w:rFonts w:eastAsiaTheme="minorHAnsi" w:cs="Tahoma"/>
          <w:szCs w:val="20"/>
          <w:lang w:val="es-CR" w:eastAsia="en-US"/>
        </w:rPr>
        <w:t xml:space="preserve"> de la muerte de su hermano; </w:t>
      </w:r>
      <w:r w:rsidR="002E0136" w:rsidRPr="00F91DEF">
        <w:rPr>
          <w:rFonts w:eastAsiaTheme="minorHAnsi" w:cs="Tahoma"/>
          <w:szCs w:val="20"/>
          <w:lang w:val="es-CR" w:eastAsia="en-US"/>
        </w:rPr>
        <w:t xml:space="preserve">iii) </w:t>
      </w:r>
      <w:r w:rsidR="00C275F9">
        <w:rPr>
          <w:szCs w:val="20"/>
          <w:lang w:val="es-CR"/>
        </w:rPr>
        <w:t xml:space="preserve">si realizaron </w:t>
      </w:r>
      <w:r w:rsidR="00C275F9" w:rsidRPr="00ED3CC9">
        <w:rPr>
          <w:szCs w:val="20"/>
          <w:lang w:val="es-CR"/>
        </w:rPr>
        <w:t>gestiones para obtener justicia</w:t>
      </w:r>
      <w:r w:rsidRPr="00F91DEF">
        <w:rPr>
          <w:rFonts w:eastAsiaTheme="minorHAnsi" w:cs="Tahoma"/>
          <w:szCs w:val="20"/>
          <w:lang w:val="es-CR" w:eastAsia="en-US"/>
        </w:rPr>
        <w:t xml:space="preserve">; </w:t>
      </w:r>
      <w:r w:rsidR="002E0136" w:rsidRPr="00F91DEF">
        <w:rPr>
          <w:rFonts w:eastAsiaTheme="minorHAnsi" w:cs="Tahoma"/>
          <w:szCs w:val="20"/>
          <w:lang w:val="es-CR" w:eastAsia="en-US"/>
        </w:rPr>
        <w:t xml:space="preserve">iv) </w:t>
      </w:r>
      <w:r w:rsidR="00C275F9">
        <w:rPr>
          <w:szCs w:val="20"/>
          <w:lang w:val="es-CR"/>
        </w:rPr>
        <w:t xml:space="preserve">si enfrentaron </w:t>
      </w:r>
      <w:r w:rsidR="00C275F9" w:rsidRPr="00ED3CC9">
        <w:rPr>
          <w:szCs w:val="20"/>
          <w:lang w:val="es-CR"/>
        </w:rPr>
        <w:t xml:space="preserve">obstáculos para participar en el proceso de investigación y </w:t>
      </w:r>
      <w:r w:rsidR="00C275F9">
        <w:rPr>
          <w:szCs w:val="20"/>
          <w:lang w:val="es-CR"/>
        </w:rPr>
        <w:t>si recibieron</w:t>
      </w:r>
      <w:r w:rsidR="00C275F9" w:rsidRPr="00ED3CC9">
        <w:rPr>
          <w:szCs w:val="20"/>
          <w:lang w:val="es-CR"/>
        </w:rPr>
        <w:t xml:space="preserve"> amenazas</w:t>
      </w:r>
      <w:r w:rsidR="00A12BA4" w:rsidRPr="00ED3CC9">
        <w:rPr>
          <w:szCs w:val="20"/>
          <w:lang w:val="es-CR"/>
        </w:rPr>
        <w:t>;</w:t>
      </w:r>
      <w:r w:rsidR="00A12BA4">
        <w:rPr>
          <w:szCs w:val="20"/>
          <w:lang w:val="es-CR"/>
        </w:rPr>
        <w:t xml:space="preserve"> </w:t>
      </w:r>
      <w:r w:rsidR="002E0136" w:rsidRPr="00F91DEF">
        <w:rPr>
          <w:rFonts w:eastAsiaTheme="minorHAnsi" w:cs="Tahoma"/>
          <w:szCs w:val="20"/>
          <w:lang w:val="es-CR" w:eastAsia="en-US"/>
        </w:rPr>
        <w:t>iv)</w:t>
      </w:r>
      <w:r w:rsidRPr="00F91DEF">
        <w:rPr>
          <w:rFonts w:eastAsiaTheme="minorHAnsi" w:cs="Tahoma"/>
          <w:szCs w:val="20"/>
          <w:lang w:val="es-CR" w:eastAsia="en-US"/>
        </w:rPr>
        <w:t xml:space="preserve"> </w:t>
      </w:r>
      <w:r w:rsidR="00C275F9">
        <w:rPr>
          <w:szCs w:val="20"/>
          <w:lang w:val="es-CR"/>
        </w:rPr>
        <w:t>si solicitaron asilo en el extranjero y las razones que habrían tenido para ello</w:t>
      </w:r>
      <w:r w:rsidRPr="00F91DEF">
        <w:rPr>
          <w:rFonts w:eastAsiaTheme="minorHAnsi" w:cs="Tahoma"/>
          <w:szCs w:val="20"/>
          <w:lang w:val="es-CR" w:eastAsia="en-US"/>
        </w:rPr>
        <w:t xml:space="preserve">; </w:t>
      </w:r>
      <w:r w:rsidR="002E0136" w:rsidRPr="00F91DEF">
        <w:rPr>
          <w:rFonts w:eastAsiaTheme="minorHAnsi" w:cs="Tahoma"/>
          <w:szCs w:val="20"/>
          <w:lang w:val="es-CR" w:eastAsia="en-US"/>
        </w:rPr>
        <w:t xml:space="preserve">v) la forma en que estos hechos </w:t>
      </w:r>
      <w:r w:rsidR="00960855">
        <w:rPr>
          <w:rFonts w:eastAsiaTheme="minorHAnsi" w:cs="Tahoma"/>
          <w:szCs w:val="20"/>
          <w:lang w:val="es-CR" w:eastAsia="en-US"/>
        </w:rPr>
        <w:t>los</w:t>
      </w:r>
      <w:r w:rsidRPr="00F91DEF">
        <w:rPr>
          <w:rFonts w:eastAsiaTheme="minorHAnsi" w:cs="Tahoma"/>
          <w:szCs w:val="20"/>
          <w:lang w:val="es-CR" w:eastAsia="en-US"/>
        </w:rPr>
        <w:t xml:space="preserve"> ha</w:t>
      </w:r>
      <w:r w:rsidR="00960855">
        <w:rPr>
          <w:rFonts w:eastAsiaTheme="minorHAnsi" w:cs="Tahoma"/>
          <w:szCs w:val="20"/>
          <w:lang w:val="es-CR" w:eastAsia="en-US"/>
        </w:rPr>
        <w:t>bría</w:t>
      </w:r>
      <w:r w:rsidRPr="00F91DEF">
        <w:rPr>
          <w:rFonts w:eastAsiaTheme="minorHAnsi" w:cs="Tahoma"/>
          <w:szCs w:val="20"/>
          <w:lang w:val="es-CR" w:eastAsia="en-US"/>
        </w:rPr>
        <w:t xml:space="preserve"> afectado a </w:t>
      </w:r>
      <w:r w:rsidR="00F91DEF">
        <w:rPr>
          <w:rFonts w:eastAsiaTheme="minorHAnsi" w:cs="Tahoma"/>
          <w:szCs w:val="20"/>
          <w:lang w:val="es-CR" w:eastAsia="en-US"/>
        </w:rPr>
        <w:t>cada uno de ellos</w:t>
      </w:r>
      <w:r w:rsidRPr="00F91DEF">
        <w:rPr>
          <w:rFonts w:eastAsiaTheme="minorHAnsi" w:cs="Tahoma"/>
          <w:szCs w:val="20"/>
          <w:lang w:val="es-CR" w:eastAsia="en-US"/>
        </w:rPr>
        <w:t xml:space="preserve"> y a su familia, </w:t>
      </w:r>
      <w:r w:rsidR="002E0136" w:rsidRPr="00F91DEF">
        <w:rPr>
          <w:rFonts w:eastAsiaTheme="minorHAnsi" w:cs="Tahoma"/>
          <w:szCs w:val="20"/>
          <w:lang w:val="es-CR" w:eastAsia="en-US"/>
        </w:rPr>
        <w:t xml:space="preserve">y vi) </w:t>
      </w:r>
      <w:r w:rsidR="00C275F9">
        <w:rPr>
          <w:szCs w:val="20"/>
          <w:lang w:val="es-CR"/>
        </w:rPr>
        <w:t>si se le</w:t>
      </w:r>
      <w:r w:rsidR="00981442">
        <w:rPr>
          <w:szCs w:val="20"/>
          <w:lang w:val="es-CR"/>
        </w:rPr>
        <w:t>s</w:t>
      </w:r>
      <w:r w:rsidR="00C275F9">
        <w:rPr>
          <w:szCs w:val="20"/>
          <w:lang w:val="es-CR"/>
        </w:rPr>
        <w:t xml:space="preserve"> causó un daño y, de ser ese el caso, si el Estado debería tomar medidas para remediarlo</w:t>
      </w:r>
      <w:r w:rsidRPr="00F91DEF">
        <w:rPr>
          <w:rFonts w:eastAsiaTheme="minorHAnsi" w:cs="Tahoma"/>
          <w:szCs w:val="20"/>
          <w:lang w:val="es-CR" w:eastAsia="en-US"/>
        </w:rPr>
        <w:t>.</w:t>
      </w:r>
    </w:p>
    <w:p w:rsidR="00432BCC" w:rsidRPr="00F91DEF" w:rsidRDefault="00432BCC" w:rsidP="00151DA1">
      <w:pPr>
        <w:numPr>
          <w:ilvl w:val="0"/>
          <w:numId w:val="28"/>
        </w:numPr>
        <w:autoSpaceDE w:val="0"/>
        <w:autoSpaceDN w:val="0"/>
        <w:adjustRightInd w:val="0"/>
        <w:spacing w:before="120"/>
        <w:ind w:left="992" w:firstLine="0"/>
        <w:rPr>
          <w:szCs w:val="20"/>
        </w:rPr>
      </w:pPr>
      <w:r w:rsidRPr="002038A0">
        <w:rPr>
          <w:i/>
          <w:iCs/>
          <w:szCs w:val="20"/>
        </w:rPr>
        <w:lastRenderedPageBreak/>
        <w:t>Luz Eny Carvajal Carvajal</w:t>
      </w:r>
      <w:r w:rsidR="00F91DEF" w:rsidRPr="00F91DEF">
        <w:rPr>
          <w:iCs/>
          <w:szCs w:val="20"/>
        </w:rPr>
        <w:t>,</w:t>
      </w:r>
      <w:r w:rsidR="002A5B08" w:rsidRPr="00F91DEF">
        <w:rPr>
          <w:szCs w:val="20"/>
          <w:lang w:val="es-CR"/>
        </w:rPr>
        <w:t xml:space="preserve"> quien declarará sobre: i) </w:t>
      </w:r>
      <w:r w:rsidRPr="00F91DEF">
        <w:rPr>
          <w:rFonts w:eastAsiaTheme="minorHAnsi" w:cs="Tahoma"/>
          <w:szCs w:val="20"/>
          <w:lang w:val="es-CR" w:eastAsia="en-US"/>
        </w:rPr>
        <w:t>la labor que realizaba su hermano Nelson y su vida familiar</w:t>
      </w:r>
      <w:r w:rsidR="002A5B08" w:rsidRPr="00F91DEF">
        <w:rPr>
          <w:rFonts w:eastAsiaTheme="minorHAnsi" w:cs="Tahoma"/>
          <w:szCs w:val="20"/>
          <w:lang w:val="es-CR" w:eastAsia="en-US"/>
        </w:rPr>
        <w:t xml:space="preserve">; ii) </w:t>
      </w:r>
      <w:r w:rsidRPr="00F91DEF">
        <w:rPr>
          <w:rFonts w:eastAsiaTheme="minorHAnsi" w:cs="Tahoma"/>
          <w:szCs w:val="20"/>
          <w:lang w:val="es-CR" w:eastAsia="en-US"/>
        </w:rPr>
        <w:t>la forma en que presenció el asesinato de su hermano;</w:t>
      </w:r>
      <w:r w:rsidR="002A5B08" w:rsidRPr="00F91DEF">
        <w:rPr>
          <w:rFonts w:eastAsiaTheme="minorHAnsi" w:cs="Tahoma"/>
          <w:szCs w:val="20"/>
          <w:lang w:val="es-CR" w:eastAsia="en-US"/>
        </w:rPr>
        <w:t xml:space="preserve"> iii)</w:t>
      </w:r>
      <w:r w:rsidRPr="00F91DEF">
        <w:rPr>
          <w:rFonts w:eastAsiaTheme="minorHAnsi" w:cs="Tahoma"/>
          <w:szCs w:val="20"/>
          <w:lang w:val="es-CR" w:eastAsia="en-US"/>
        </w:rPr>
        <w:t xml:space="preserve"> </w:t>
      </w:r>
      <w:r w:rsidR="00C275F9">
        <w:rPr>
          <w:szCs w:val="20"/>
          <w:lang w:val="es-CR"/>
        </w:rPr>
        <w:t xml:space="preserve">si realizó </w:t>
      </w:r>
      <w:r w:rsidR="00C275F9" w:rsidRPr="00ED3CC9">
        <w:rPr>
          <w:szCs w:val="20"/>
          <w:lang w:val="es-CR"/>
        </w:rPr>
        <w:t>gestiones para obtener justicia</w:t>
      </w:r>
      <w:r w:rsidRPr="00F91DEF">
        <w:rPr>
          <w:rFonts w:eastAsiaTheme="minorHAnsi" w:cs="Tahoma"/>
          <w:szCs w:val="20"/>
          <w:lang w:val="es-CR" w:eastAsia="en-US"/>
        </w:rPr>
        <w:t xml:space="preserve">; </w:t>
      </w:r>
      <w:r w:rsidR="002A5B08" w:rsidRPr="00F91DEF">
        <w:rPr>
          <w:rFonts w:eastAsiaTheme="minorHAnsi" w:cs="Tahoma"/>
          <w:szCs w:val="20"/>
          <w:lang w:val="es-CR" w:eastAsia="en-US"/>
        </w:rPr>
        <w:t xml:space="preserve">iv) </w:t>
      </w:r>
      <w:r w:rsidR="00C275F9">
        <w:rPr>
          <w:szCs w:val="20"/>
          <w:lang w:val="es-CR"/>
        </w:rPr>
        <w:t xml:space="preserve">si enfrentó </w:t>
      </w:r>
      <w:r w:rsidR="00C275F9" w:rsidRPr="00ED3CC9">
        <w:rPr>
          <w:szCs w:val="20"/>
          <w:lang w:val="es-CR"/>
        </w:rPr>
        <w:t xml:space="preserve">obstáculos para participar en el proceso de investigación y </w:t>
      </w:r>
      <w:r w:rsidR="00C275F9">
        <w:rPr>
          <w:szCs w:val="20"/>
          <w:lang w:val="es-CR"/>
        </w:rPr>
        <w:t>si recibió</w:t>
      </w:r>
      <w:r w:rsidR="00C275F9" w:rsidRPr="00ED3CC9">
        <w:rPr>
          <w:szCs w:val="20"/>
          <w:lang w:val="es-CR"/>
        </w:rPr>
        <w:t xml:space="preserve"> amenazas</w:t>
      </w:r>
      <w:r w:rsidR="00A12BA4" w:rsidRPr="00ED3CC9">
        <w:rPr>
          <w:szCs w:val="20"/>
          <w:lang w:val="es-CR"/>
        </w:rPr>
        <w:t>;</w:t>
      </w:r>
      <w:r w:rsidR="00A12BA4">
        <w:rPr>
          <w:szCs w:val="20"/>
          <w:lang w:val="es-CR"/>
        </w:rPr>
        <w:t xml:space="preserve"> </w:t>
      </w:r>
      <w:r w:rsidR="00F91DEF" w:rsidRPr="00F91DEF">
        <w:rPr>
          <w:rFonts w:eastAsiaTheme="minorHAnsi" w:cs="Tahoma"/>
          <w:szCs w:val="20"/>
          <w:lang w:val="es-CR" w:eastAsia="en-US"/>
        </w:rPr>
        <w:t xml:space="preserve">v) </w:t>
      </w:r>
      <w:r w:rsidR="00600EF2" w:rsidRPr="00F91DEF">
        <w:rPr>
          <w:rFonts w:eastAsiaTheme="minorHAnsi" w:cs="Tahoma"/>
          <w:szCs w:val="20"/>
          <w:lang w:val="es-CR" w:eastAsia="en-US"/>
        </w:rPr>
        <w:t>la forma en que estos hechos l</w:t>
      </w:r>
      <w:r w:rsidR="00600EF2">
        <w:rPr>
          <w:rFonts w:eastAsiaTheme="minorHAnsi" w:cs="Tahoma"/>
          <w:szCs w:val="20"/>
          <w:lang w:val="es-CR" w:eastAsia="en-US"/>
        </w:rPr>
        <w:t>a</w:t>
      </w:r>
      <w:r w:rsidR="00600EF2" w:rsidRPr="00F91DEF">
        <w:rPr>
          <w:rFonts w:eastAsiaTheme="minorHAnsi" w:cs="Tahoma"/>
          <w:szCs w:val="20"/>
          <w:lang w:val="es-CR" w:eastAsia="en-US"/>
        </w:rPr>
        <w:t xml:space="preserve"> </w:t>
      </w:r>
      <w:r w:rsidR="00600EF2" w:rsidRPr="00F91DEF">
        <w:rPr>
          <w:iCs/>
          <w:szCs w:val="20"/>
        </w:rPr>
        <w:t>ha</w:t>
      </w:r>
      <w:r w:rsidR="00600EF2">
        <w:rPr>
          <w:iCs/>
          <w:szCs w:val="20"/>
        </w:rPr>
        <w:t>brían</w:t>
      </w:r>
      <w:r w:rsidR="00600EF2" w:rsidRPr="00F91DEF">
        <w:rPr>
          <w:rFonts w:eastAsiaTheme="minorHAnsi" w:cs="Tahoma"/>
          <w:szCs w:val="20"/>
          <w:lang w:val="es-CR" w:eastAsia="en-US"/>
        </w:rPr>
        <w:t xml:space="preserve"> afectado a </w:t>
      </w:r>
      <w:r w:rsidR="00600EF2">
        <w:rPr>
          <w:rFonts w:eastAsiaTheme="minorHAnsi" w:cs="Tahoma"/>
          <w:szCs w:val="20"/>
          <w:lang w:val="es-CR" w:eastAsia="en-US"/>
        </w:rPr>
        <w:t>ella</w:t>
      </w:r>
      <w:r w:rsidR="00600EF2" w:rsidRPr="00F91DEF">
        <w:rPr>
          <w:rFonts w:eastAsiaTheme="minorHAnsi" w:cs="Tahoma"/>
          <w:szCs w:val="20"/>
          <w:lang w:val="es-CR" w:eastAsia="en-US"/>
        </w:rPr>
        <w:t xml:space="preserve"> y a su familia</w:t>
      </w:r>
      <w:r w:rsidRPr="00F91DEF">
        <w:rPr>
          <w:rFonts w:eastAsiaTheme="minorHAnsi" w:cs="Tahoma"/>
          <w:szCs w:val="20"/>
          <w:lang w:val="es-CR" w:eastAsia="en-US"/>
        </w:rPr>
        <w:t xml:space="preserve">; </w:t>
      </w:r>
      <w:r w:rsidR="00F91DEF" w:rsidRPr="00F91DEF">
        <w:rPr>
          <w:rFonts w:eastAsiaTheme="minorHAnsi" w:cs="Tahoma"/>
          <w:szCs w:val="20"/>
          <w:lang w:val="es-CR" w:eastAsia="en-US"/>
        </w:rPr>
        <w:t xml:space="preserve">vi) </w:t>
      </w:r>
      <w:r w:rsidR="00C275F9">
        <w:rPr>
          <w:szCs w:val="20"/>
          <w:lang w:val="es-CR"/>
        </w:rPr>
        <w:t>si se le causó un daño y, de ser ese el caso, si el Estado debería tomar medidas para remediarlo</w:t>
      </w:r>
      <w:r w:rsidRPr="00F91DEF">
        <w:rPr>
          <w:rFonts w:eastAsiaTheme="minorHAnsi" w:cs="Tahoma"/>
          <w:szCs w:val="20"/>
          <w:lang w:val="es-CR" w:eastAsia="en-US"/>
        </w:rPr>
        <w:t>.</w:t>
      </w:r>
    </w:p>
    <w:p w:rsidR="00432BCC" w:rsidRPr="00F91DEF" w:rsidRDefault="00432BCC" w:rsidP="00151DA1">
      <w:pPr>
        <w:numPr>
          <w:ilvl w:val="0"/>
          <w:numId w:val="28"/>
        </w:numPr>
        <w:autoSpaceDE w:val="0"/>
        <w:autoSpaceDN w:val="0"/>
        <w:adjustRightInd w:val="0"/>
        <w:spacing w:before="120"/>
        <w:ind w:left="992" w:firstLine="0"/>
        <w:rPr>
          <w:szCs w:val="20"/>
        </w:rPr>
      </w:pPr>
      <w:r w:rsidRPr="002038A0">
        <w:rPr>
          <w:i/>
          <w:iCs/>
          <w:szCs w:val="20"/>
        </w:rPr>
        <w:t>Miriam Carvajal Carvajal, Ana Francisca Carvajal de Carvajal, Jairo Carvajal Cabrera y Saúl Carvajal Carvajal</w:t>
      </w:r>
      <w:r w:rsidRPr="00F91DEF">
        <w:rPr>
          <w:iCs/>
          <w:szCs w:val="20"/>
        </w:rPr>
        <w:t xml:space="preserve"> declara</w:t>
      </w:r>
      <w:r w:rsidR="00960855">
        <w:rPr>
          <w:iCs/>
          <w:szCs w:val="20"/>
        </w:rPr>
        <w:t>rán</w:t>
      </w:r>
      <w:r w:rsidRPr="00F91DEF">
        <w:rPr>
          <w:iCs/>
          <w:szCs w:val="20"/>
        </w:rPr>
        <w:t xml:space="preserve"> sobre</w:t>
      </w:r>
      <w:r w:rsidR="00F91DEF">
        <w:rPr>
          <w:iCs/>
          <w:szCs w:val="20"/>
        </w:rPr>
        <w:t xml:space="preserve">: i) </w:t>
      </w:r>
      <w:r w:rsidRPr="00F91DEF">
        <w:rPr>
          <w:rFonts w:eastAsiaTheme="minorHAnsi" w:cs="Tahoma"/>
          <w:szCs w:val="20"/>
          <w:lang w:val="es-CR" w:eastAsia="en-US"/>
        </w:rPr>
        <w:t>la labor que realizaba su hermano/hijo Nelson y su vida familiar</w:t>
      </w:r>
      <w:r w:rsidR="00F91DEF">
        <w:rPr>
          <w:rFonts w:eastAsiaTheme="minorHAnsi" w:cs="Tahoma"/>
          <w:szCs w:val="20"/>
          <w:lang w:val="es-CR" w:eastAsia="en-US"/>
        </w:rPr>
        <w:t>; ii</w:t>
      </w:r>
      <w:r w:rsidR="00F91DEF">
        <w:rPr>
          <w:szCs w:val="20"/>
        </w:rPr>
        <w:t xml:space="preserve">) </w:t>
      </w:r>
      <w:r w:rsidRPr="00F91DEF">
        <w:rPr>
          <w:rFonts w:eastAsiaTheme="minorHAnsi" w:cs="Tahoma"/>
          <w:szCs w:val="20"/>
          <w:lang w:val="es-CR" w:eastAsia="en-US"/>
        </w:rPr>
        <w:t>la forma en que se enter</w:t>
      </w:r>
      <w:r w:rsidR="00F91DEF">
        <w:rPr>
          <w:rFonts w:eastAsiaTheme="minorHAnsi" w:cs="Tahoma"/>
          <w:szCs w:val="20"/>
          <w:lang w:val="es-CR" w:eastAsia="en-US"/>
        </w:rPr>
        <w:t>aron cada uno de ellos</w:t>
      </w:r>
      <w:r w:rsidRPr="00F91DEF">
        <w:rPr>
          <w:rFonts w:eastAsiaTheme="minorHAnsi" w:cs="Tahoma"/>
          <w:szCs w:val="20"/>
          <w:lang w:val="es-CR" w:eastAsia="en-US"/>
        </w:rPr>
        <w:t xml:space="preserve"> de la muerte de </w:t>
      </w:r>
      <w:r w:rsidR="00960855">
        <w:rPr>
          <w:rFonts w:eastAsiaTheme="minorHAnsi" w:cs="Tahoma"/>
          <w:szCs w:val="20"/>
          <w:lang w:val="es-CR" w:eastAsia="en-US"/>
        </w:rPr>
        <w:t>Nelson Carvajal</w:t>
      </w:r>
      <w:r w:rsidRPr="00F91DEF">
        <w:rPr>
          <w:rFonts w:eastAsiaTheme="minorHAnsi" w:cs="Tahoma"/>
          <w:szCs w:val="20"/>
          <w:lang w:val="es-CR" w:eastAsia="en-US"/>
        </w:rPr>
        <w:t>;</w:t>
      </w:r>
      <w:r w:rsidR="00F91DEF">
        <w:rPr>
          <w:rFonts w:eastAsiaTheme="minorHAnsi" w:cs="Tahoma"/>
          <w:szCs w:val="20"/>
          <w:lang w:val="es-CR" w:eastAsia="en-US"/>
        </w:rPr>
        <w:t xml:space="preserve"> iii)</w:t>
      </w:r>
      <w:r w:rsidRPr="00F91DEF">
        <w:rPr>
          <w:rFonts w:eastAsiaTheme="minorHAnsi" w:cs="Tahoma"/>
          <w:szCs w:val="20"/>
          <w:lang w:val="es-CR" w:eastAsia="en-US"/>
        </w:rPr>
        <w:t xml:space="preserve"> </w:t>
      </w:r>
      <w:r w:rsidR="00981442">
        <w:rPr>
          <w:szCs w:val="20"/>
          <w:lang w:val="es-CR"/>
        </w:rPr>
        <w:t>si realiz</w:t>
      </w:r>
      <w:r w:rsidR="00774C96">
        <w:rPr>
          <w:szCs w:val="20"/>
          <w:lang w:val="es-CR"/>
        </w:rPr>
        <w:t>aron</w:t>
      </w:r>
      <w:r w:rsidR="00981442">
        <w:rPr>
          <w:szCs w:val="20"/>
          <w:lang w:val="es-CR"/>
        </w:rPr>
        <w:t xml:space="preserve"> </w:t>
      </w:r>
      <w:r w:rsidR="00981442" w:rsidRPr="00ED3CC9">
        <w:rPr>
          <w:szCs w:val="20"/>
          <w:lang w:val="es-CR"/>
        </w:rPr>
        <w:t>gestiones para obtener justicia</w:t>
      </w:r>
      <w:r w:rsidRPr="00F91DEF">
        <w:rPr>
          <w:rFonts w:eastAsiaTheme="minorHAnsi" w:cs="Tahoma"/>
          <w:szCs w:val="20"/>
          <w:lang w:val="es-CR" w:eastAsia="en-US"/>
        </w:rPr>
        <w:t xml:space="preserve">; </w:t>
      </w:r>
      <w:r w:rsidR="00F91DEF">
        <w:rPr>
          <w:rFonts w:eastAsiaTheme="minorHAnsi" w:cs="Tahoma"/>
          <w:szCs w:val="20"/>
          <w:lang w:val="es-CR" w:eastAsia="en-US"/>
        </w:rPr>
        <w:t xml:space="preserve">iv) </w:t>
      </w:r>
      <w:r w:rsidR="00981442">
        <w:rPr>
          <w:szCs w:val="20"/>
          <w:lang w:val="es-CR"/>
        </w:rPr>
        <w:t>si enfrent</w:t>
      </w:r>
      <w:r w:rsidR="00774C96">
        <w:rPr>
          <w:szCs w:val="20"/>
          <w:lang w:val="es-CR"/>
        </w:rPr>
        <w:t>aron</w:t>
      </w:r>
      <w:r w:rsidR="00981442">
        <w:rPr>
          <w:szCs w:val="20"/>
          <w:lang w:val="es-CR"/>
        </w:rPr>
        <w:t xml:space="preserve"> </w:t>
      </w:r>
      <w:r w:rsidR="00981442" w:rsidRPr="00ED3CC9">
        <w:rPr>
          <w:szCs w:val="20"/>
          <w:lang w:val="es-CR"/>
        </w:rPr>
        <w:t xml:space="preserve">obstáculos para participar en el proceso de investigación y </w:t>
      </w:r>
      <w:r w:rsidR="00981442">
        <w:rPr>
          <w:szCs w:val="20"/>
          <w:lang w:val="es-CR"/>
        </w:rPr>
        <w:t>si recibi</w:t>
      </w:r>
      <w:r w:rsidR="00774C96">
        <w:rPr>
          <w:szCs w:val="20"/>
          <w:lang w:val="es-CR"/>
        </w:rPr>
        <w:t>eron</w:t>
      </w:r>
      <w:r w:rsidR="00981442" w:rsidRPr="00ED3CC9">
        <w:rPr>
          <w:szCs w:val="20"/>
          <w:lang w:val="es-CR"/>
        </w:rPr>
        <w:t xml:space="preserve"> amenazas</w:t>
      </w:r>
      <w:r w:rsidR="00A12BA4" w:rsidRPr="00ED3CC9">
        <w:rPr>
          <w:szCs w:val="20"/>
          <w:lang w:val="es-CR"/>
        </w:rPr>
        <w:t>;</w:t>
      </w:r>
      <w:r w:rsidR="00A12BA4">
        <w:rPr>
          <w:szCs w:val="20"/>
          <w:lang w:val="es-CR"/>
        </w:rPr>
        <w:t xml:space="preserve"> </w:t>
      </w:r>
      <w:r w:rsidR="00F91DEF">
        <w:rPr>
          <w:rFonts w:eastAsiaTheme="minorHAnsi" w:cs="Tahoma"/>
          <w:szCs w:val="20"/>
          <w:lang w:val="es-CR" w:eastAsia="en-US"/>
        </w:rPr>
        <w:t xml:space="preserve">v) </w:t>
      </w:r>
      <w:r w:rsidRPr="00F91DEF">
        <w:rPr>
          <w:rFonts w:eastAsiaTheme="minorHAnsi" w:cs="Tahoma"/>
          <w:szCs w:val="20"/>
          <w:lang w:val="es-CR" w:eastAsia="en-US"/>
        </w:rPr>
        <w:t xml:space="preserve">la forma en que estos hechos </w:t>
      </w:r>
      <w:r w:rsidR="00600EF2">
        <w:rPr>
          <w:rFonts w:eastAsiaTheme="minorHAnsi" w:cs="Tahoma"/>
          <w:szCs w:val="20"/>
          <w:lang w:val="es-CR" w:eastAsia="en-US"/>
        </w:rPr>
        <w:t>los</w:t>
      </w:r>
      <w:r w:rsidRPr="00F91DEF">
        <w:rPr>
          <w:rFonts w:eastAsiaTheme="minorHAnsi" w:cs="Tahoma"/>
          <w:szCs w:val="20"/>
          <w:lang w:val="es-CR" w:eastAsia="en-US"/>
        </w:rPr>
        <w:t xml:space="preserve"> ha</w:t>
      </w:r>
      <w:r w:rsidR="00600EF2">
        <w:rPr>
          <w:rFonts w:eastAsiaTheme="minorHAnsi" w:cs="Tahoma"/>
          <w:szCs w:val="20"/>
          <w:lang w:val="es-CR" w:eastAsia="en-US"/>
        </w:rPr>
        <w:t>bría</w:t>
      </w:r>
      <w:r w:rsidRPr="00F91DEF">
        <w:rPr>
          <w:rFonts w:eastAsiaTheme="minorHAnsi" w:cs="Tahoma"/>
          <w:szCs w:val="20"/>
          <w:lang w:val="es-CR" w:eastAsia="en-US"/>
        </w:rPr>
        <w:t xml:space="preserve"> afectado a </w:t>
      </w:r>
      <w:r w:rsidR="00F91DEF">
        <w:rPr>
          <w:rFonts w:eastAsiaTheme="minorHAnsi" w:cs="Tahoma"/>
          <w:szCs w:val="20"/>
          <w:lang w:val="es-CR" w:eastAsia="en-US"/>
        </w:rPr>
        <w:t>cada uno de ellos</w:t>
      </w:r>
      <w:r w:rsidRPr="00F91DEF">
        <w:rPr>
          <w:rFonts w:eastAsiaTheme="minorHAnsi" w:cs="Tahoma"/>
          <w:szCs w:val="20"/>
          <w:lang w:val="es-CR" w:eastAsia="en-US"/>
        </w:rPr>
        <w:t xml:space="preserve"> y a su familia</w:t>
      </w:r>
      <w:r w:rsidR="00F91DEF">
        <w:rPr>
          <w:rFonts w:eastAsiaTheme="minorHAnsi" w:cs="Tahoma"/>
          <w:szCs w:val="20"/>
          <w:lang w:val="es-CR" w:eastAsia="en-US"/>
        </w:rPr>
        <w:t xml:space="preserve">, y vi) </w:t>
      </w:r>
      <w:r w:rsidR="00981442">
        <w:rPr>
          <w:szCs w:val="20"/>
          <w:lang w:val="es-CR"/>
        </w:rPr>
        <w:t>si se les causó un daño y, de ser ese el caso, si el Estado debería tomar medidas para remediarlo</w:t>
      </w:r>
      <w:r w:rsidRPr="00F91DEF">
        <w:rPr>
          <w:rFonts w:eastAsiaTheme="minorHAnsi" w:cs="Tahoma"/>
          <w:szCs w:val="20"/>
          <w:lang w:val="es-CR" w:eastAsia="en-US"/>
        </w:rPr>
        <w:t>.</w:t>
      </w:r>
    </w:p>
    <w:p w:rsidR="00432BCC" w:rsidRPr="00F91DEF" w:rsidRDefault="0020626A" w:rsidP="00151DA1">
      <w:pPr>
        <w:numPr>
          <w:ilvl w:val="0"/>
          <w:numId w:val="28"/>
        </w:numPr>
        <w:autoSpaceDE w:val="0"/>
        <w:autoSpaceDN w:val="0"/>
        <w:adjustRightInd w:val="0"/>
        <w:spacing w:before="120"/>
        <w:ind w:left="992" w:firstLine="0"/>
        <w:rPr>
          <w:szCs w:val="20"/>
        </w:rPr>
      </w:pPr>
      <w:r w:rsidRPr="002038A0">
        <w:rPr>
          <w:i/>
          <w:iCs/>
          <w:szCs w:val="20"/>
        </w:rPr>
        <w:t>C</w:t>
      </w:r>
      <w:r>
        <w:rPr>
          <w:i/>
          <w:iCs/>
          <w:szCs w:val="20"/>
        </w:rPr>
        <w:t>h</w:t>
      </w:r>
      <w:r w:rsidRPr="002038A0">
        <w:rPr>
          <w:i/>
          <w:iCs/>
          <w:szCs w:val="20"/>
        </w:rPr>
        <w:t>ristian</w:t>
      </w:r>
      <w:r w:rsidR="00432BCC" w:rsidRPr="002038A0">
        <w:rPr>
          <w:i/>
          <w:iCs/>
          <w:szCs w:val="20"/>
        </w:rPr>
        <w:t xml:space="preserve"> Camilo Motta Car</w:t>
      </w:r>
      <w:r w:rsidR="003D27E4" w:rsidRPr="002038A0">
        <w:rPr>
          <w:i/>
          <w:iCs/>
          <w:szCs w:val="20"/>
        </w:rPr>
        <w:t>vajal</w:t>
      </w:r>
      <w:r w:rsidR="000F7065" w:rsidRPr="00F91DEF">
        <w:rPr>
          <w:iCs/>
          <w:szCs w:val="20"/>
        </w:rPr>
        <w:t>,</w:t>
      </w:r>
      <w:r w:rsidR="000F7065" w:rsidRPr="00F91DEF">
        <w:rPr>
          <w:szCs w:val="20"/>
          <w:lang w:val="es-CR"/>
        </w:rPr>
        <w:t xml:space="preserve"> quien declarará sobre: i) </w:t>
      </w:r>
      <w:r w:rsidR="00432BCC" w:rsidRPr="00F91DEF">
        <w:rPr>
          <w:rFonts w:eastAsiaTheme="minorHAnsi" w:cs="Tahoma"/>
          <w:szCs w:val="20"/>
          <w:lang w:val="es-CR" w:eastAsia="en-US"/>
        </w:rPr>
        <w:t>su relación con su tío Nelson</w:t>
      </w:r>
      <w:r w:rsidR="000F7065">
        <w:rPr>
          <w:rFonts w:eastAsiaTheme="minorHAnsi" w:cs="Tahoma"/>
          <w:szCs w:val="20"/>
          <w:lang w:val="es-CR" w:eastAsia="en-US"/>
        </w:rPr>
        <w:t>; ii)</w:t>
      </w:r>
      <w:r w:rsidR="00432BCC" w:rsidRPr="00F91DEF">
        <w:rPr>
          <w:rFonts w:eastAsiaTheme="minorHAnsi" w:cs="Tahoma"/>
          <w:szCs w:val="20"/>
          <w:lang w:val="es-CR" w:eastAsia="en-US"/>
        </w:rPr>
        <w:t xml:space="preserve"> la forma en que se enteró de la muerte de su tío; </w:t>
      </w:r>
      <w:r w:rsidR="000F7065">
        <w:rPr>
          <w:rFonts w:eastAsiaTheme="minorHAnsi" w:cs="Tahoma"/>
          <w:szCs w:val="20"/>
          <w:lang w:val="es-CR" w:eastAsia="en-US"/>
        </w:rPr>
        <w:t xml:space="preserve">iii) </w:t>
      </w:r>
      <w:r w:rsidR="00981442">
        <w:rPr>
          <w:rFonts w:eastAsiaTheme="minorHAnsi" w:cs="Tahoma"/>
          <w:szCs w:val="20"/>
          <w:lang w:val="es-CR" w:eastAsia="en-US"/>
        </w:rPr>
        <w:t>si recibió</w:t>
      </w:r>
      <w:r w:rsidR="00432BCC" w:rsidRPr="00F91DEF">
        <w:rPr>
          <w:rFonts w:eastAsiaTheme="minorHAnsi" w:cs="Tahoma"/>
          <w:szCs w:val="20"/>
          <w:lang w:val="es-CR" w:eastAsia="en-US"/>
        </w:rPr>
        <w:t xml:space="preserve"> amenazas</w:t>
      </w:r>
      <w:r w:rsidR="000F7065">
        <w:rPr>
          <w:rFonts w:eastAsiaTheme="minorHAnsi" w:cs="Tahoma"/>
          <w:szCs w:val="20"/>
          <w:lang w:val="es-CR" w:eastAsia="en-US"/>
        </w:rPr>
        <w:t>; iv)</w:t>
      </w:r>
      <w:r w:rsidR="00432BCC" w:rsidRPr="00F91DEF">
        <w:rPr>
          <w:rFonts w:eastAsiaTheme="minorHAnsi" w:cs="Tahoma"/>
          <w:szCs w:val="20"/>
          <w:lang w:val="es-CR" w:eastAsia="en-US"/>
        </w:rPr>
        <w:t xml:space="preserve"> </w:t>
      </w:r>
      <w:r w:rsidR="00981442">
        <w:rPr>
          <w:rFonts w:eastAsiaTheme="minorHAnsi" w:cs="Tahoma"/>
          <w:szCs w:val="20"/>
          <w:lang w:val="es-CR" w:eastAsia="en-US"/>
        </w:rPr>
        <w:t>si presenció que personas armadas se presentaran en su casa y, de ser el caso, si conoce el fin que perseguían</w:t>
      </w:r>
      <w:r w:rsidR="00432BCC" w:rsidRPr="00F91DEF">
        <w:rPr>
          <w:rFonts w:eastAsiaTheme="minorHAnsi" w:cs="Tahoma"/>
          <w:szCs w:val="20"/>
          <w:lang w:val="es-CR" w:eastAsia="en-US"/>
        </w:rPr>
        <w:t xml:space="preserve">; </w:t>
      </w:r>
      <w:r w:rsidR="000F7065">
        <w:rPr>
          <w:rFonts w:eastAsiaTheme="minorHAnsi" w:cs="Tahoma"/>
          <w:szCs w:val="20"/>
          <w:lang w:val="es-CR" w:eastAsia="en-US"/>
        </w:rPr>
        <w:t xml:space="preserve">v) </w:t>
      </w:r>
      <w:r w:rsidR="00981442">
        <w:rPr>
          <w:szCs w:val="20"/>
          <w:lang w:val="es-CR"/>
        </w:rPr>
        <w:t xml:space="preserve">si se acogió </w:t>
      </w:r>
      <w:r w:rsidR="00981442" w:rsidRPr="00ED3CC9">
        <w:rPr>
          <w:szCs w:val="20"/>
          <w:lang w:val="es-CR"/>
        </w:rPr>
        <w:t>al programa de protección de testigos de la Fiscalía</w:t>
      </w:r>
      <w:r w:rsidR="00981442">
        <w:rPr>
          <w:szCs w:val="20"/>
          <w:lang w:val="es-CR"/>
        </w:rPr>
        <w:t xml:space="preserve"> y si solicitó asilo en el extranjero y las razones que habría tenido para ello</w:t>
      </w:r>
      <w:r w:rsidR="00432BCC" w:rsidRPr="00F91DEF">
        <w:rPr>
          <w:rFonts w:eastAsiaTheme="minorHAnsi" w:cs="Tahoma"/>
          <w:szCs w:val="20"/>
          <w:lang w:val="es-CR" w:eastAsia="en-US"/>
        </w:rPr>
        <w:t xml:space="preserve">; </w:t>
      </w:r>
      <w:r w:rsidR="000F7065">
        <w:rPr>
          <w:rFonts w:eastAsiaTheme="minorHAnsi" w:cs="Tahoma"/>
          <w:szCs w:val="20"/>
          <w:lang w:val="es-CR" w:eastAsia="en-US"/>
        </w:rPr>
        <w:t xml:space="preserve">vi) </w:t>
      </w:r>
      <w:r w:rsidR="00432BCC" w:rsidRPr="00F91DEF">
        <w:rPr>
          <w:rFonts w:eastAsiaTheme="minorHAnsi" w:cs="Tahoma"/>
          <w:szCs w:val="20"/>
          <w:lang w:val="es-CR" w:eastAsia="en-US"/>
        </w:rPr>
        <w:t xml:space="preserve">la forma en que estos hechos </w:t>
      </w:r>
      <w:r w:rsidR="00960855" w:rsidRPr="00F91DEF">
        <w:rPr>
          <w:rFonts w:eastAsiaTheme="minorHAnsi" w:cs="Tahoma"/>
          <w:szCs w:val="20"/>
          <w:lang w:val="es-CR" w:eastAsia="en-US"/>
        </w:rPr>
        <w:t>l</w:t>
      </w:r>
      <w:r w:rsidR="00960855">
        <w:rPr>
          <w:rFonts w:eastAsiaTheme="minorHAnsi" w:cs="Tahoma"/>
          <w:szCs w:val="20"/>
          <w:lang w:val="es-CR" w:eastAsia="en-US"/>
        </w:rPr>
        <w:t>o habrían</w:t>
      </w:r>
      <w:r w:rsidR="00960855" w:rsidRPr="00F91DEF">
        <w:rPr>
          <w:rFonts w:eastAsiaTheme="minorHAnsi" w:cs="Tahoma"/>
          <w:szCs w:val="20"/>
          <w:lang w:val="es-CR" w:eastAsia="en-US"/>
        </w:rPr>
        <w:t xml:space="preserve"> </w:t>
      </w:r>
      <w:r w:rsidR="000F7065">
        <w:rPr>
          <w:rFonts w:eastAsiaTheme="minorHAnsi" w:cs="Tahoma"/>
          <w:szCs w:val="20"/>
          <w:lang w:val="es-CR" w:eastAsia="en-US"/>
        </w:rPr>
        <w:t>afectado a él</w:t>
      </w:r>
      <w:r w:rsidR="00432BCC" w:rsidRPr="00F91DEF">
        <w:rPr>
          <w:rFonts w:eastAsiaTheme="minorHAnsi" w:cs="Tahoma"/>
          <w:szCs w:val="20"/>
          <w:lang w:val="es-CR" w:eastAsia="en-US"/>
        </w:rPr>
        <w:t xml:space="preserve"> y a su familia, </w:t>
      </w:r>
      <w:r w:rsidR="000F7065">
        <w:rPr>
          <w:rFonts w:eastAsiaTheme="minorHAnsi" w:cs="Tahoma"/>
          <w:szCs w:val="20"/>
          <w:lang w:val="es-CR" w:eastAsia="en-US"/>
        </w:rPr>
        <w:t>y vii)</w:t>
      </w:r>
      <w:r w:rsidR="00600EF2" w:rsidRPr="00600EF2">
        <w:rPr>
          <w:rFonts w:eastAsiaTheme="minorHAnsi" w:cs="Tahoma"/>
          <w:szCs w:val="20"/>
          <w:lang w:val="es-CR" w:eastAsia="en-US"/>
        </w:rPr>
        <w:t xml:space="preserve"> </w:t>
      </w:r>
      <w:r w:rsidR="00981442">
        <w:rPr>
          <w:szCs w:val="20"/>
          <w:lang w:val="es-CR"/>
        </w:rPr>
        <w:t>si se le causó un daño y, de ser ese el caso, si el Estado debería tomar medidas para remediarlo</w:t>
      </w:r>
      <w:r w:rsidR="00432BCC" w:rsidRPr="00F91DEF">
        <w:rPr>
          <w:rFonts w:eastAsiaTheme="minorHAnsi" w:cs="Tahoma"/>
          <w:szCs w:val="20"/>
          <w:lang w:val="es-CR" w:eastAsia="en-US"/>
        </w:rPr>
        <w:t>.</w:t>
      </w:r>
    </w:p>
    <w:p w:rsidR="002D68E9" w:rsidRPr="00960855" w:rsidRDefault="002D68E9" w:rsidP="002038A0">
      <w:pPr>
        <w:pStyle w:val="ListParagraph"/>
        <w:widowControl w:val="0"/>
        <w:numPr>
          <w:ilvl w:val="0"/>
          <w:numId w:val="19"/>
        </w:numPr>
        <w:tabs>
          <w:tab w:val="left" w:pos="708"/>
        </w:tabs>
        <w:autoSpaceDE w:val="0"/>
        <w:autoSpaceDN w:val="0"/>
        <w:adjustRightInd w:val="0"/>
        <w:spacing w:before="120"/>
        <w:contextualSpacing w:val="0"/>
        <w:rPr>
          <w:bCs/>
          <w:i/>
          <w:iCs/>
          <w:szCs w:val="20"/>
          <w:lang w:val="es-CR"/>
        </w:rPr>
      </w:pPr>
      <w:r w:rsidRPr="002038A0">
        <w:rPr>
          <w:bCs/>
          <w:i/>
          <w:iCs/>
          <w:szCs w:val="20"/>
          <w:lang w:val="es-CR"/>
        </w:rPr>
        <w:t>Testigos</w:t>
      </w:r>
      <w:r w:rsidR="00960855" w:rsidRPr="00960855">
        <w:rPr>
          <w:bCs/>
          <w:i/>
          <w:iCs/>
          <w:szCs w:val="20"/>
          <w:lang w:val="es-CR"/>
        </w:rPr>
        <w:t xml:space="preserve"> (</w:t>
      </w:r>
      <w:r w:rsidRPr="00960855">
        <w:rPr>
          <w:bCs/>
          <w:i/>
          <w:iCs/>
          <w:szCs w:val="20"/>
          <w:lang w:val="es-CR"/>
        </w:rPr>
        <w:t>Propuestos por los representantes</w:t>
      </w:r>
      <w:r w:rsidR="00960855">
        <w:rPr>
          <w:bCs/>
          <w:i/>
          <w:iCs/>
          <w:szCs w:val="20"/>
          <w:lang w:val="es-CR"/>
        </w:rPr>
        <w:t>)</w:t>
      </w:r>
    </w:p>
    <w:p w:rsidR="00972B74" w:rsidRPr="00925906" w:rsidRDefault="00972B74" w:rsidP="00151DA1">
      <w:pPr>
        <w:numPr>
          <w:ilvl w:val="0"/>
          <w:numId w:val="28"/>
        </w:numPr>
        <w:autoSpaceDE w:val="0"/>
        <w:autoSpaceDN w:val="0"/>
        <w:adjustRightInd w:val="0"/>
        <w:spacing w:before="120"/>
        <w:ind w:left="992" w:firstLine="0"/>
        <w:rPr>
          <w:szCs w:val="20"/>
        </w:rPr>
      </w:pPr>
      <w:r w:rsidRPr="002038A0">
        <w:rPr>
          <w:i/>
          <w:iCs/>
          <w:szCs w:val="20"/>
        </w:rPr>
        <w:t>Diana Calder</w:t>
      </w:r>
      <w:r w:rsidR="003D27E4" w:rsidRPr="002038A0">
        <w:rPr>
          <w:i/>
          <w:iCs/>
          <w:szCs w:val="20"/>
        </w:rPr>
        <w:t>ón</w:t>
      </w:r>
      <w:r w:rsidR="003D27E4" w:rsidRPr="00925906">
        <w:rPr>
          <w:iCs/>
          <w:szCs w:val="20"/>
        </w:rPr>
        <w:t>,</w:t>
      </w:r>
      <w:r w:rsidR="003D27E4" w:rsidRPr="00925906">
        <w:rPr>
          <w:szCs w:val="20"/>
          <w:lang w:val="es-CR"/>
        </w:rPr>
        <w:t xml:space="preserve"> quien declarará sobre: i) </w:t>
      </w:r>
      <w:r w:rsidRPr="00925906">
        <w:rPr>
          <w:rFonts w:eastAsiaTheme="minorHAnsi" w:cs="Tahoma"/>
          <w:szCs w:val="20"/>
          <w:lang w:val="es-CR" w:eastAsia="en-US"/>
        </w:rPr>
        <w:t>su vinculación al caso de</w:t>
      </w:r>
      <w:r w:rsidR="003D27E4" w:rsidRPr="00925906">
        <w:rPr>
          <w:rFonts w:eastAsiaTheme="minorHAnsi" w:cs="Tahoma"/>
          <w:szCs w:val="20"/>
          <w:lang w:val="es-CR" w:eastAsia="en-US"/>
        </w:rPr>
        <w:t>l señor</w:t>
      </w:r>
      <w:r w:rsidRPr="00925906">
        <w:rPr>
          <w:rFonts w:eastAsiaTheme="minorHAnsi" w:cs="Tahoma"/>
          <w:szCs w:val="20"/>
          <w:lang w:val="es-CR" w:eastAsia="en-US"/>
        </w:rPr>
        <w:t xml:space="preserve"> Nelson Carvajal Carvajal, el seguimiento que realizó a la investigación de su asesinato como miembro de la Unidad de Respuesta Rápida del proyecto </w:t>
      </w:r>
      <w:r w:rsidR="003C4C9D">
        <w:rPr>
          <w:rFonts w:eastAsiaTheme="minorHAnsi" w:cs="Tahoma"/>
          <w:szCs w:val="20"/>
          <w:lang w:val="es-CR" w:eastAsia="en-US"/>
        </w:rPr>
        <w:t>”</w:t>
      </w:r>
      <w:r w:rsidRPr="00925906">
        <w:rPr>
          <w:rFonts w:eastAsiaTheme="minorHAnsi" w:cs="Tahoma"/>
          <w:szCs w:val="20"/>
          <w:lang w:val="es-CR" w:eastAsia="en-US"/>
        </w:rPr>
        <w:t>Crímenes sin Castigo contra Periodistas</w:t>
      </w:r>
      <w:r w:rsidR="003C4C9D">
        <w:rPr>
          <w:rFonts w:eastAsiaTheme="minorHAnsi" w:cs="Tahoma"/>
          <w:szCs w:val="20"/>
          <w:lang w:val="es-CR" w:eastAsia="en-US"/>
        </w:rPr>
        <w:t>”</w:t>
      </w:r>
      <w:r w:rsidRPr="00925906">
        <w:rPr>
          <w:rFonts w:eastAsiaTheme="minorHAnsi" w:cs="Tahoma"/>
          <w:szCs w:val="20"/>
          <w:lang w:val="es-CR" w:eastAsia="en-US"/>
        </w:rPr>
        <w:t xml:space="preserve"> de la Sociedad Interamericana de Prensa</w:t>
      </w:r>
      <w:r w:rsidR="00981442">
        <w:rPr>
          <w:rFonts w:eastAsiaTheme="minorHAnsi" w:cs="Tahoma"/>
          <w:szCs w:val="20"/>
          <w:lang w:val="es-CR" w:eastAsia="en-US"/>
        </w:rPr>
        <w:t>;</w:t>
      </w:r>
      <w:r w:rsidR="003D27E4" w:rsidRPr="00925906">
        <w:rPr>
          <w:rFonts w:eastAsiaTheme="minorHAnsi" w:cs="Tahoma"/>
          <w:szCs w:val="20"/>
          <w:lang w:val="es-CR" w:eastAsia="en-US"/>
        </w:rPr>
        <w:t xml:space="preserve"> ii)</w:t>
      </w:r>
      <w:r w:rsidR="00981442">
        <w:rPr>
          <w:rFonts w:eastAsiaTheme="minorHAnsi" w:cs="Tahoma"/>
          <w:szCs w:val="20"/>
          <w:lang w:val="es-CR" w:eastAsia="en-US"/>
        </w:rPr>
        <w:t xml:space="preserve"> el comportamiento de las autoridades</w:t>
      </w:r>
      <w:r w:rsidRPr="00925906">
        <w:rPr>
          <w:rFonts w:eastAsiaTheme="minorHAnsi" w:cs="Tahoma"/>
          <w:szCs w:val="20"/>
          <w:lang w:val="es-CR" w:eastAsia="en-US"/>
        </w:rPr>
        <w:t xml:space="preserve"> encargadas del proceso y</w:t>
      </w:r>
      <w:r w:rsidR="00981442">
        <w:rPr>
          <w:rFonts w:eastAsiaTheme="minorHAnsi" w:cs="Tahoma"/>
          <w:szCs w:val="20"/>
          <w:lang w:val="es-CR" w:eastAsia="en-US"/>
        </w:rPr>
        <w:t>, iii)</w:t>
      </w:r>
      <w:r w:rsidRPr="00925906">
        <w:rPr>
          <w:rFonts w:eastAsiaTheme="minorHAnsi" w:cs="Tahoma"/>
          <w:szCs w:val="20"/>
          <w:lang w:val="es-CR" w:eastAsia="en-US"/>
        </w:rPr>
        <w:t xml:space="preserve"> los efectos que </w:t>
      </w:r>
      <w:r w:rsidR="00EE1074">
        <w:rPr>
          <w:rFonts w:eastAsiaTheme="minorHAnsi" w:cs="Tahoma"/>
          <w:szCs w:val="20"/>
          <w:lang w:val="es-CR" w:eastAsia="en-US"/>
        </w:rPr>
        <w:t xml:space="preserve">habría tenido </w:t>
      </w:r>
      <w:r w:rsidRPr="00925906">
        <w:rPr>
          <w:rFonts w:eastAsiaTheme="minorHAnsi" w:cs="Tahoma"/>
          <w:szCs w:val="20"/>
          <w:lang w:val="es-CR" w:eastAsia="en-US"/>
        </w:rPr>
        <w:t xml:space="preserve">en su seguridad personal el seguimiento realizado al proceso de investigación sobre el asesinato </w:t>
      </w:r>
      <w:r w:rsidR="003D27E4" w:rsidRPr="00925906">
        <w:rPr>
          <w:rFonts w:eastAsiaTheme="minorHAnsi" w:cs="Tahoma"/>
          <w:szCs w:val="20"/>
          <w:lang w:val="es-CR" w:eastAsia="en-US"/>
        </w:rPr>
        <w:t xml:space="preserve">del señor </w:t>
      </w:r>
      <w:r w:rsidR="00981442">
        <w:rPr>
          <w:rFonts w:eastAsiaTheme="minorHAnsi" w:cs="Tahoma"/>
          <w:szCs w:val="20"/>
          <w:lang w:val="es-CR" w:eastAsia="en-US"/>
        </w:rPr>
        <w:t>Nelson Carvajal Carvajal</w:t>
      </w:r>
      <w:r w:rsidR="003D27E4" w:rsidRPr="00925906">
        <w:rPr>
          <w:rFonts w:eastAsiaTheme="minorHAnsi" w:cs="Tahoma"/>
          <w:szCs w:val="20"/>
          <w:lang w:val="es-CR" w:eastAsia="en-US"/>
        </w:rPr>
        <w:t>.</w:t>
      </w:r>
    </w:p>
    <w:p w:rsidR="00395454" w:rsidRPr="00393A20" w:rsidRDefault="00992DAA" w:rsidP="00393A20">
      <w:pPr>
        <w:numPr>
          <w:ilvl w:val="0"/>
          <w:numId w:val="28"/>
        </w:numPr>
        <w:autoSpaceDE w:val="0"/>
        <w:autoSpaceDN w:val="0"/>
        <w:adjustRightInd w:val="0"/>
        <w:spacing w:before="120"/>
        <w:ind w:left="992" w:firstLine="0"/>
        <w:rPr>
          <w:rFonts w:eastAsiaTheme="minorHAnsi" w:cs="Tahoma"/>
          <w:szCs w:val="20"/>
          <w:lang w:val="es-CR" w:eastAsia="en-US"/>
        </w:rPr>
      </w:pPr>
      <w:r w:rsidRPr="002038A0">
        <w:rPr>
          <w:rFonts w:eastAsiaTheme="minorHAnsi" w:cs="Tahoma"/>
          <w:i/>
          <w:szCs w:val="20"/>
          <w:lang w:val="es-CR" w:eastAsia="en-US"/>
        </w:rPr>
        <w:t>Ó</w:t>
      </w:r>
      <w:r w:rsidR="00395454" w:rsidRPr="002038A0">
        <w:rPr>
          <w:rFonts w:eastAsiaTheme="minorHAnsi" w:cs="Tahoma"/>
          <w:i/>
          <w:szCs w:val="20"/>
          <w:lang w:val="es-CR" w:eastAsia="en-US"/>
        </w:rPr>
        <w:t>scar Mauricio Bolaños Carvajal</w:t>
      </w:r>
      <w:r w:rsidR="00393A20" w:rsidRPr="002038A0">
        <w:rPr>
          <w:rFonts w:eastAsiaTheme="minorHAnsi" w:cs="Tahoma"/>
          <w:i/>
          <w:szCs w:val="20"/>
          <w:lang w:val="es-CR" w:eastAsia="en-US"/>
        </w:rPr>
        <w:t xml:space="preserve"> y Diego Fernando Bolaños Carvajal</w:t>
      </w:r>
      <w:r w:rsidR="00393A20" w:rsidRPr="00393A20">
        <w:rPr>
          <w:rFonts w:eastAsiaTheme="minorHAnsi" w:cs="Tahoma"/>
          <w:szCs w:val="20"/>
          <w:lang w:val="es-CR" w:eastAsia="en-US"/>
        </w:rPr>
        <w:t xml:space="preserve">, </w:t>
      </w:r>
      <w:r w:rsidR="00960855">
        <w:rPr>
          <w:rFonts w:eastAsiaTheme="minorHAnsi" w:cs="Tahoma"/>
          <w:szCs w:val="20"/>
          <w:lang w:val="es-CR" w:eastAsia="en-US"/>
        </w:rPr>
        <w:t xml:space="preserve">declararán </w:t>
      </w:r>
      <w:r w:rsidR="00393A20" w:rsidRPr="00393A20">
        <w:rPr>
          <w:rFonts w:eastAsiaTheme="minorHAnsi" w:cs="Tahoma"/>
          <w:szCs w:val="20"/>
          <w:lang w:val="es-CR" w:eastAsia="en-US"/>
        </w:rPr>
        <w:t xml:space="preserve">sobre </w:t>
      </w:r>
      <w:r w:rsidR="00395454" w:rsidRPr="00393A20">
        <w:rPr>
          <w:rFonts w:eastAsiaTheme="minorHAnsi" w:cs="Tahoma"/>
          <w:szCs w:val="20"/>
          <w:lang w:val="es-CR" w:eastAsia="en-US"/>
        </w:rPr>
        <w:t xml:space="preserve">la forma en que </w:t>
      </w:r>
      <w:r w:rsidR="00960855">
        <w:rPr>
          <w:rFonts w:eastAsiaTheme="minorHAnsi" w:cs="Tahoma"/>
          <w:szCs w:val="20"/>
          <w:lang w:val="es-CR" w:eastAsia="en-US"/>
        </w:rPr>
        <w:t xml:space="preserve">habrían presenciado </w:t>
      </w:r>
      <w:r w:rsidR="00395454" w:rsidRPr="00393A20">
        <w:rPr>
          <w:rFonts w:eastAsiaTheme="minorHAnsi" w:cs="Tahoma"/>
          <w:szCs w:val="20"/>
          <w:lang w:val="es-CR" w:eastAsia="en-US"/>
        </w:rPr>
        <w:t>el asesinato de su tío y cómo</w:t>
      </w:r>
      <w:r w:rsidR="00393A20" w:rsidRPr="00393A20">
        <w:rPr>
          <w:rFonts w:eastAsiaTheme="minorHAnsi" w:cs="Tahoma"/>
          <w:szCs w:val="20"/>
          <w:lang w:val="es-CR" w:eastAsia="en-US"/>
        </w:rPr>
        <w:t xml:space="preserve"> </w:t>
      </w:r>
      <w:r w:rsidR="00395454" w:rsidRPr="00393A20">
        <w:rPr>
          <w:rFonts w:eastAsiaTheme="minorHAnsi" w:cs="Tahoma"/>
          <w:szCs w:val="20"/>
          <w:lang w:val="es-CR" w:eastAsia="en-US"/>
        </w:rPr>
        <w:t>estos he</w:t>
      </w:r>
      <w:r w:rsidR="00393A20" w:rsidRPr="00393A20">
        <w:rPr>
          <w:rFonts w:eastAsiaTheme="minorHAnsi" w:cs="Tahoma"/>
          <w:szCs w:val="20"/>
          <w:lang w:val="es-CR" w:eastAsia="en-US"/>
        </w:rPr>
        <w:t>chos han afectado a su familia.</w:t>
      </w:r>
    </w:p>
    <w:p w:rsidR="002D68E9" w:rsidRDefault="00EE1074" w:rsidP="002038A0">
      <w:pPr>
        <w:pStyle w:val="ListParagraph"/>
        <w:widowControl w:val="0"/>
        <w:numPr>
          <w:ilvl w:val="0"/>
          <w:numId w:val="19"/>
        </w:numPr>
        <w:tabs>
          <w:tab w:val="left" w:pos="708"/>
        </w:tabs>
        <w:autoSpaceDE w:val="0"/>
        <w:autoSpaceDN w:val="0"/>
        <w:adjustRightInd w:val="0"/>
        <w:spacing w:before="120"/>
        <w:contextualSpacing w:val="0"/>
        <w:rPr>
          <w:bCs/>
          <w:i/>
          <w:iCs/>
          <w:szCs w:val="20"/>
          <w:lang w:val="es-CR"/>
        </w:rPr>
      </w:pPr>
      <w:r>
        <w:rPr>
          <w:bCs/>
          <w:i/>
          <w:iCs/>
          <w:szCs w:val="20"/>
          <w:lang w:val="es-CR"/>
        </w:rPr>
        <w:t>Testigos (</w:t>
      </w:r>
      <w:r w:rsidR="002D68E9" w:rsidRPr="002D68E9">
        <w:rPr>
          <w:bCs/>
          <w:i/>
          <w:iCs/>
          <w:szCs w:val="20"/>
          <w:lang w:val="es-CR"/>
        </w:rPr>
        <w:t>P</w:t>
      </w:r>
      <w:r w:rsidR="002D68E9">
        <w:rPr>
          <w:bCs/>
          <w:i/>
          <w:iCs/>
          <w:szCs w:val="20"/>
          <w:lang w:val="es-CR"/>
        </w:rPr>
        <w:t>ropuestos por el Estado</w:t>
      </w:r>
      <w:r>
        <w:rPr>
          <w:bCs/>
          <w:i/>
          <w:iCs/>
          <w:szCs w:val="20"/>
          <w:lang w:val="es-CR"/>
        </w:rPr>
        <w:t>)</w:t>
      </w:r>
    </w:p>
    <w:p w:rsidR="00EB1FD9" w:rsidRPr="00E11D51" w:rsidRDefault="00E11D51" w:rsidP="00EB1FD9">
      <w:pPr>
        <w:numPr>
          <w:ilvl w:val="0"/>
          <w:numId w:val="28"/>
        </w:numPr>
        <w:autoSpaceDE w:val="0"/>
        <w:autoSpaceDN w:val="0"/>
        <w:adjustRightInd w:val="0"/>
        <w:spacing w:before="120"/>
        <w:ind w:left="992" w:firstLine="0"/>
        <w:rPr>
          <w:rFonts w:eastAsiaTheme="minorHAnsi" w:cs="Tahoma"/>
          <w:szCs w:val="20"/>
          <w:lang w:val="es-CR" w:eastAsia="en-US"/>
        </w:rPr>
      </w:pPr>
      <w:r w:rsidRPr="002038A0">
        <w:rPr>
          <w:rFonts w:eastAsiaTheme="minorHAnsi" w:cs="Tahoma"/>
          <w:i/>
          <w:szCs w:val="20"/>
          <w:lang w:val="es-CR" w:eastAsia="en-US"/>
        </w:rPr>
        <w:t>Miguel Emilio La Rota Uprimny</w:t>
      </w:r>
      <w:r w:rsidRPr="00E11D51">
        <w:rPr>
          <w:rFonts w:eastAsiaTheme="minorHAnsi" w:cs="Tahoma"/>
          <w:szCs w:val="20"/>
          <w:lang w:val="es-CR" w:eastAsia="en-US"/>
        </w:rPr>
        <w:t xml:space="preserve">, quien declarará sobre: i) las medidas que </w:t>
      </w:r>
      <w:r w:rsidR="00EE1074">
        <w:rPr>
          <w:rFonts w:eastAsiaTheme="minorHAnsi" w:cs="Tahoma"/>
          <w:szCs w:val="20"/>
          <w:lang w:val="es-CR" w:eastAsia="en-US"/>
        </w:rPr>
        <w:t xml:space="preserve">habrían </w:t>
      </w:r>
      <w:r w:rsidRPr="00E11D51">
        <w:rPr>
          <w:rFonts w:eastAsiaTheme="minorHAnsi" w:cs="Tahoma"/>
          <w:szCs w:val="20"/>
          <w:lang w:val="es-CR" w:eastAsia="en-US"/>
        </w:rPr>
        <w:t>sido tomadas a partir de la década de los 90 hasta la actualidad con el fin de investigar, juzgar y sancionar los crímenes cometidos contra periodistas y comunicadores, y ii) las pautas y características especiales que siguen los funcionarios de la Fiscalía General de la Nación para la investigación de un delito cometido contra un comunicador social, en particular, el delito de homicidio</w:t>
      </w:r>
      <w:r w:rsidR="00EE1074">
        <w:rPr>
          <w:rFonts w:eastAsiaTheme="minorHAnsi" w:cs="Tahoma"/>
          <w:szCs w:val="20"/>
          <w:lang w:val="es-CR" w:eastAsia="en-US"/>
        </w:rPr>
        <w:t>.</w:t>
      </w:r>
    </w:p>
    <w:p w:rsidR="00E11D51" w:rsidRPr="00E11D51" w:rsidRDefault="00E11D51" w:rsidP="00EB1FD9">
      <w:pPr>
        <w:numPr>
          <w:ilvl w:val="0"/>
          <w:numId w:val="28"/>
        </w:numPr>
        <w:autoSpaceDE w:val="0"/>
        <w:autoSpaceDN w:val="0"/>
        <w:adjustRightInd w:val="0"/>
        <w:spacing w:before="120"/>
        <w:ind w:left="992" w:firstLine="0"/>
        <w:rPr>
          <w:rFonts w:eastAsiaTheme="minorHAnsi" w:cs="Tahoma"/>
          <w:szCs w:val="20"/>
          <w:lang w:val="es-CR" w:eastAsia="en-US"/>
        </w:rPr>
      </w:pPr>
      <w:r w:rsidRPr="002038A0">
        <w:rPr>
          <w:rFonts w:eastAsiaTheme="minorHAnsi" w:cs="Tahoma"/>
          <w:i/>
          <w:szCs w:val="20"/>
          <w:lang w:val="es-CR" w:eastAsia="en-US"/>
        </w:rPr>
        <w:t>Diego Fernando Mora Arango</w:t>
      </w:r>
      <w:r w:rsidRPr="00E11D51">
        <w:rPr>
          <w:rFonts w:eastAsiaTheme="minorHAnsi" w:cs="Tahoma"/>
          <w:szCs w:val="20"/>
          <w:lang w:val="es-CR" w:eastAsia="en-US"/>
        </w:rPr>
        <w:t xml:space="preserve">, quien declarará sobre: i) los antecedentes, operación, alcances, resultados y retos del “Programa de Prevención y Protección de los Derechos a la Vida, la Libertad, la Integridad y la Seguridad de personas, grupos y comunidades” y del “Comité de Evaluación de Riesgo y Recomendación de Medidas” (CERREM) aplicado para casos de comunicadores y periodistas, y ii) </w:t>
      </w:r>
      <w:r w:rsidR="00981442">
        <w:rPr>
          <w:rFonts w:eastAsiaTheme="minorHAnsi" w:cs="Tahoma"/>
          <w:szCs w:val="20"/>
          <w:lang w:val="es-CR" w:eastAsia="en-US"/>
        </w:rPr>
        <w:t>si existen</w:t>
      </w:r>
      <w:r w:rsidRPr="00E11D51">
        <w:rPr>
          <w:rFonts w:eastAsiaTheme="minorHAnsi" w:cs="Tahoma"/>
          <w:szCs w:val="20"/>
          <w:lang w:val="es-CR" w:eastAsia="en-US"/>
        </w:rPr>
        <w:t xml:space="preserve"> avances en la creación de un “Protocolo Especial para el análisis de los riesgos de periodistas”.</w:t>
      </w:r>
    </w:p>
    <w:p w:rsidR="00E11D51" w:rsidRPr="00E11D51" w:rsidRDefault="00C236B6" w:rsidP="00EB1FD9">
      <w:pPr>
        <w:numPr>
          <w:ilvl w:val="0"/>
          <w:numId w:val="28"/>
        </w:numPr>
        <w:autoSpaceDE w:val="0"/>
        <w:autoSpaceDN w:val="0"/>
        <w:adjustRightInd w:val="0"/>
        <w:spacing w:before="120"/>
        <w:ind w:left="992" w:firstLine="0"/>
        <w:rPr>
          <w:rFonts w:eastAsiaTheme="minorHAnsi" w:cs="Tahoma"/>
          <w:szCs w:val="20"/>
          <w:lang w:val="es-CR" w:eastAsia="en-US"/>
        </w:rPr>
      </w:pPr>
      <w:r w:rsidRPr="002038A0">
        <w:rPr>
          <w:rFonts w:eastAsiaTheme="minorHAnsi" w:cs="Tahoma"/>
          <w:i/>
          <w:szCs w:val="20"/>
          <w:lang w:val="es-CR" w:eastAsia="en-US"/>
        </w:rPr>
        <w:t>Ivonne González Rodríguez</w:t>
      </w:r>
      <w:r w:rsidRPr="00E11D51">
        <w:rPr>
          <w:rFonts w:eastAsiaTheme="minorHAnsi" w:cs="Tahoma"/>
          <w:szCs w:val="20"/>
          <w:lang w:val="es-CR" w:eastAsia="en-US"/>
        </w:rPr>
        <w:t>, quien declarará sobre: i)</w:t>
      </w:r>
      <w:r w:rsidRPr="00C236B6">
        <w:rPr>
          <w:rFonts w:eastAsiaTheme="minorHAnsi" w:cs="Tahoma"/>
          <w:szCs w:val="20"/>
          <w:lang w:val="es-CR" w:eastAsia="en-US"/>
        </w:rPr>
        <w:t xml:space="preserve"> </w:t>
      </w:r>
      <w:r w:rsidR="00981442">
        <w:rPr>
          <w:rFonts w:eastAsiaTheme="minorHAnsi" w:cs="Tahoma"/>
          <w:szCs w:val="20"/>
          <w:lang w:val="es-CR" w:eastAsia="en-US"/>
        </w:rPr>
        <w:t xml:space="preserve">si el Estado colombiano ha realizado </w:t>
      </w:r>
      <w:r w:rsidRPr="00C236B6">
        <w:rPr>
          <w:rFonts w:eastAsiaTheme="minorHAnsi" w:cs="Tahoma"/>
          <w:szCs w:val="20"/>
          <w:lang w:val="es-CR" w:eastAsia="en-US"/>
        </w:rPr>
        <w:t xml:space="preserve">adelantos para garantizar el derecho a la libertad de expresión, y en </w:t>
      </w:r>
      <w:r w:rsidRPr="00C236B6">
        <w:rPr>
          <w:rFonts w:eastAsiaTheme="minorHAnsi" w:cs="Tahoma"/>
          <w:szCs w:val="20"/>
          <w:lang w:val="es-CR" w:eastAsia="en-US"/>
        </w:rPr>
        <w:lastRenderedPageBreak/>
        <w:t xml:space="preserve">particular, sobre la formulación de la </w:t>
      </w:r>
      <w:r w:rsidR="00981442">
        <w:rPr>
          <w:rFonts w:eastAsiaTheme="minorHAnsi" w:cs="Tahoma"/>
          <w:szCs w:val="20"/>
          <w:lang w:val="es-CR" w:eastAsia="en-US"/>
        </w:rPr>
        <w:t>“</w:t>
      </w:r>
      <w:r w:rsidRPr="00C236B6">
        <w:rPr>
          <w:rFonts w:eastAsiaTheme="minorHAnsi" w:cs="Tahoma"/>
          <w:szCs w:val="20"/>
          <w:lang w:val="es-CR" w:eastAsia="en-US"/>
        </w:rPr>
        <w:t>Política Pública para garantizar la Libertad de Expresión de las personas que ejercen la actividad periodística</w:t>
      </w:r>
      <w:r w:rsidR="00EE1074">
        <w:rPr>
          <w:rFonts w:eastAsiaTheme="minorHAnsi" w:cs="Tahoma"/>
          <w:szCs w:val="20"/>
          <w:lang w:val="es-CR" w:eastAsia="en-US"/>
        </w:rPr>
        <w:t>”</w:t>
      </w:r>
      <w:r w:rsidRPr="00C236B6">
        <w:rPr>
          <w:rFonts w:eastAsiaTheme="minorHAnsi" w:cs="Tahoma"/>
          <w:szCs w:val="20"/>
          <w:lang w:val="es-CR" w:eastAsia="en-US"/>
        </w:rPr>
        <w:t>.</w:t>
      </w:r>
    </w:p>
    <w:p w:rsidR="002D68E9" w:rsidRPr="00EE1074" w:rsidRDefault="002D68E9" w:rsidP="002038A0">
      <w:pPr>
        <w:pStyle w:val="ListParagraph"/>
        <w:widowControl w:val="0"/>
        <w:numPr>
          <w:ilvl w:val="0"/>
          <w:numId w:val="19"/>
        </w:numPr>
        <w:tabs>
          <w:tab w:val="left" w:pos="708"/>
        </w:tabs>
        <w:autoSpaceDE w:val="0"/>
        <w:autoSpaceDN w:val="0"/>
        <w:adjustRightInd w:val="0"/>
        <w:spacing w:before="120"/>
        <w:contextualSpacing w:val="0"/>
        <w:rPr>
          <w:bCs/>
          <w:i/>
          <w:iCs/>
          <w:szCs w:val="20"/>
          <w:lang w:val="es-CR"/>
        </w:rPr>
      </w:pPr>
      <w:r w:rsidRPr="002038A0">
        <w:rPr>
          <w:bCs/>
          <w:i/>
          <w:iCs/>
          <w:szCs w:val="20"/>
          <w:lang w:val="es-CR"/>
        </w:rPr>
        <w:t>Peritos</w:t>
      </w:r>
      <w:r w:rsidR="00EE1074" w:rsidRPr="002038A0">
        <w:rPr>
          <w:bCs/>
          <w:i/>
          <w:iCs/>
          <w:szCs w:val="20"/>
          <w:lang w:val="es-CR"/>
        </w:rPr>
        <w:t xml:space="preserve"> </w:t>
      </w:r>
      <w:r w:rsidR="00EE1074">
        <w:rPr>
          <w:bCs/>
          <w:i/>
          <w:iCs/>
          <w:szCs w:val="20"/>
          <w:lang w:val="es-CR"/>
        </w:rPr>
        <w:t>(</w:t>
      </w:r>
      <w:r w:rsidRPr="00EE1074">
        <w:rPr>
          <w:bCs/>
          <w:i/>
          <w:iCs/>
          <w:szCs w:val="20"/>
          <w:lang w:val="es-CR"/>
        </w:rPr>
        <w:t>Propuesto</w:t>
      </w:r>
      <w:r w:rsidR="00395454" w:rsidRPr="00EE1074">
        <w:rPr>
          <w:bCs/>
          <w:i/>
          <w:iCs/>
          <w:szCs w:val="20"/>
          <w:lang w:val="es-CR"/>
        </w:rPr>
        <w:t>s</w:t>
      </w:r>
      <w:r w:rsidRPr="00EE1074">
        <w:rPr>
          <w:bCs/>
          <w:i/>
          <w:iCs/>
          <w:szCs w:val="20"/>
          <w:lang w:val="es-CR"/>
        </w:rPr>
        <w:t xml:space="preserve"> por </w:t>
      </w:r>
      <w:r w:rsidR="006E4767" w:rsidRPr="00EE1074">
        <w:rPr>
          <w:bCs/>
          <w:i/>
          <w:iCs/>
          <w:szCs w:val="20"/>
          <w:lang w:val="es-CR"/>
        </w:rPr>
        <w:t>los representantes</w:t>
      </w:r>
      <w:r w:rsidR="00EE1074">
        <w:rPr>
          <w:bCs/>
          <w:i/>
          <w:iCs/>
          <w:szCs w:val="20"/>
          <w:lang w:val="es-CR"/>
        </w:rPr>
        <w:t>)</w:t>
      </w:r>
    </w:p>
    <w:p w:rsidR="00E03C38" w:rsidRPr="00E03C38" w:rsidRDefault="00E03C38" w:rsidP="00151DA1">
      <w:pPr>
        <w:numPr>
          <w:ilvl w:val="0"/>
          <w:numId w:val="28"/>
        </w:numPr>
        <w:autoSpaceDE w:val="0"/>
        <w:autoSpaceDN w:val="0"/>
        <w:adjustRightInd w:val="0"/>
        <w:spacing w:before="120"/>
        <w:ind w:left="992" w:firstLine="0"/>
        <w:rPr>
          <w:rFonts w:eastAsiaTheme="minorHAnsi" w:cs="Tahoma"/>
          <w:szCs w:val="20"/>
          <w:lang w:val="es-CR" w:eastAsia="en-US"/>
        </w:rPr>
      </w:pPr>
      <w:r w:rsidRPr="00E03C38">
        <w:rPr>
          <w:i/>
          <w:szCs w:val="20"/>
          <w:lang w:val="es-CR"/>
        </w:rPr>
        <w:t>Germán Augusto Rey Beltrán</w:t>
      </w:r>
      <w:r w:rsidRPr="00E03C38">
        <w:rPr>
          <w:szCs w:val="20"/>
          <w:lang w:val="es-CR"/>
        </w:rPr>
        <w:t xml:space="preserve">, quien declarará sobre: i) los principales hallazgos y conclusiones del informe realizado para el Centro Nacional de Memoria Histórica (CNMH) de Colombia “La palabra y el silencio. La violencia contra periodistas en Colombia (1977-2015)”, del cual fue el Coordinador y Relator; ii) los elementos de contexto, y iii) </w:t>
      </w:r>
      <w:r w:rsidR="00981442">
        <w:rPr>
          <w:szCs w:val="20"/>
          <w:lang w:val="es-CR"/>
        </w:rPr>
        <w:t>si existen</w:t>
      </w:r>
      <w:r w:rsidRPr="00E03C38">
        <w:rPr>
          <w:szCs w:val="20"/>
          <w:lang w:val="es-CR"/>
        </w:rPr>
        <w:t xml:space="preserve"> patrones en la violencia contra periodistas, sus causas y consecuencias</w:t>
      </w:r>
      <w:r w:rsidR="00B45196">
        <w:rPr>
          <w:szCs w:val="20"/>
          <w:lang w:val="es-CR"/>
        </w:rPr>
        <w:t xml:space="preserve"> y, de ser el caso</w:t>
      </w:r>
      <w:r w:rsidRPr="00E03C38">
        <w:rPr>
          <w:szCs w:val="20"/>
          <w:lang w:val="es-CR"/>
        </w:rPr>
        <w:t xml:space="preserve">, </w:t>
      </w:r>
      <w:r w:rsidR="00B45196">
        <w:rPr>
          <w:szCs w:val="20"/>
          <w:lang w:val="es-CR"/>
        </w:rPr>
        <w:t>si existe una</w:t>
      </w:r>
      <w:r w:rsidRPr="00E03C38">
        <w:rPr>
          <w:szCs w:val="20"/>
          <w:lang w:val="es-CR"/>
        </w:rPr>
        <w:t xml:space="preserve"> relación </w:t>
      </w:r>
      <w:r w:rsidR="00B45196">
        <w:rPr>
          <w:szCs w:val="20"/>
          <w:lang w:val="es-CR"/>
        </w:rPr>
        <w:t>entre tales patrones y</w:t>
      </w:r>
      <w:r w:rsidRPr="00E03C38">
        <w:rPr>
          <w:szCs w:val="20"/>
          <w:lang w:val="es-CR"/>
        </w:rPr>
        <w:t xml:space="preserve"> los hechos del presente caso</w:t>
      </w:r>
      <w:r w:rsidR="003C4C9D">
        <w:rPr>
          <w:szCs w:val="20"/>
          <w:lang w:val="es-CR"/>
        </w:rPr>
        <w:t>.</w:t>
      </w:r>
    </w:p>
    <w:p w:rsidR="00925906" w:rsidRDefault="00925906" w:rsidP="00151DA1">
      <w:pPr>
        <w:numPr>
          <w:ilvl w:val="0"/>
          <w:numId w:val="28"/>
        </w:numPr>
        <w:autoSpaceDE w:val="0"/>
        <w:autoSpaceDN w:val="0"/>
        <w:adjustRightInd w:val="0"/>
        <w:spacing w:before="120"/>
        <w:ind w:left="992" w:firstLine="0"/>
        <w:rPr>
          <w:rFonts w:eastAsiaTheme="minorHAnsi" w:cs="Tahoma"/>
          <w:szCs w:val="20"/>
          <w:lang w:val="es-CR" w:eastAsia="en-US"/>
        </w:rPr>
      </w:pPr>
      <w:r w:rsidRPr="002038A0">
        <w:rPr>
          <w:rFonts w:eastAsiaTheme="minorHAnsi" w:cs="Tahoma"/>
          <w:i/>
          <w:szCs w:val="20"/>
          <w:lang w:val="es-CR" w:eastAsia="en-US"/>
        </w:rPr>
        <w:t>Pedro José Vaca Villareal</w:t>
      </w:r>
      <w:r w:rsidRPr="00925906">
        <w:rPr>
          <w:rFonts w:eastAsiaTheme="minorHAnsi" w:cs="Tahoma"/>
          <w:szCs w:val="20"/>
          <w:lang w:val="es-CR" w:eastAsia="en-US"/>
        </w:rPr>
        <w:t>,</w:t>
      </w:r>
      <w:r>
        <w:rPr>
          <w:rFonts w:eastAsiaTheme="minorHAnsi" w:cs="Tahoma"/>
          <w:szCs w:val="20"/>
          <w:lang w:val="es-CR" w:eastAsia="en-US"/>
        </w:rPr>
        <w:t xml:space="preserve"> quien</w:t>
      </w:r>
      <w:r w:rsidR="00EE1074">
        <w:rPr>
          <w:rFonts w:eastAsiaTheme="minorHAnsi" w:cs="Tahoma"/>
          <w:szCs w:val="20"/>
          <w:lang w:val="es-CR" w:eastAsia="en-US"/>
        </w:rPr>
        <w:t xml:space="preserve"> declarará sobre</w:t>
      </w:r>
      <w:r w:rsidRPr="00925906">
        <w:rPr>
          <w:rFonts w:eastAsiaTheme="minorHAnsi" w:cs="Tahoma"/>
          <w:szCs w:val="20"/>
          <w:lang w:val="es-CR" w:eastAsia="en-US"/>
        </w:rPr>
        <w:t xml:space="preserve">: i) </w:t>
      </w:r>
      <w:r w:rsidRPr="00402141">
        <w:rPr>
          <w:rFonts w:eastAsiaTheme="minorHAnsi" w:cs="Tahoma"/>
          <w:szCs w:val="20"/>
          <w:lang w:val="es-CR" w:eastAsia="en-US"/>
        </w:rPr>
        <w:t>el marco normativo e institucional que existe en Colombia para la protección de periodistas</w:t>
      </w:r>
      <w:r w:rsidRPr="00925906">
        <w:rPr>
          <w:rFonts w:eastAsiaTheme="minorHAnsi" w:cs="Tahoma"/>
          <w:szCs w:val="20"/>
          <w:lang w:val="es-CR" w:eastAsia="en-US"/>
        </w:rPr>
        <w:t>,</w:t>
      </w:r>
      <w:r w:rsidRPr="00402141">
        <w:rPr>
          <w:rFonts w:eastAsiaTheme="minorHAnsi" w:cs="Tahoma"/>
          <w:szCs w:val="20"/>
          <w:lang w:val="es-CR" w:eastAsia="en-US"/>
        </w:rPr>
        <w:t xml:space="preserve"> </w:t>
      </w:r>
      <w:r>
        <w:rPr>
          <w:rFonts w:eastAsiaTheme="minorHAnsi" w:cs="Tahoma"/>
          <w:szCs w:val="20"/>
          <w:lang w:val="es-CR" w:eastAsia="en-US"/>
        </w:rPr>
        <w:t xml:space="preserve">y ii) </w:t>
      </w:r>
      <w:r w:rsidR="00B45196">
        <w:rPr>
          <w:rFonts w:eastAsiaTheme="minorHAnsi" w:cs="Tahoma"/>
          <w:szCs w:val="20"/>
          <w:lang w:val="es-CR" w:eastAsia="en-US"/>
        </w:rPr>
        <w:t>l</w:t>
      </w:r>
      <w:r>
        <w:rPr>
          <w:rFonts w:eastAsiaTheme="minorHAnsi" w:cs="Tahoma"/>
          <w:szCs w:val="20"/>
          <w:lang w:val="es-CR" w:eastAsia="en-US"/>
        </w:rPr>
        <w:t>a</w:t>
      </w:r>
      <w:r w:rsidR="00B45196">
        <w:rPr>
          <w:rFonts w:eastAsiaTheme="minorHAnsi" w:cs="Tahoma"/>
          <w:szCs w:val="20"/>
          <w:lang w:val="es-CR" w:eastAsia="en-US"/>
        </w:rPr>
        <w:t>s</w:t>
      </w:r>
      <w:r>
        <w:rPr>
          <w:rFonts w:eastAsiaTheme="minorHAnsi" w:cs="Tahoma"/>
          <w:szCs w:val="20"/>
          <w:lang w:val="es-CR" w:eastAsia="en-US"/>
        </w:rPr>
        <w:t xml:space="preserve"> </w:t>
      </w:r>
      <w:r w:rsidR="008164BC">
        <w:rPr>
          <w:rFonts w:eastAsiaTheme="minorHAnsi" w:cs="Tahoma"/>
          <w:szCs w:val="20"/>
          <w:lang w:val="es-CR" w:eastAsia="en-US"/>
        </w:rPr>
        <w:t xml:space="preserve">propuestas de </w:t>
      </w:r>
      <w:r w:rsidRPr="00402141">
        <w:rPr>
          <w:rFonts w:eastAsiaTheme="minorHAnsi" w:cs="Tahoma"/>
          <w:szCs w:val="20"/>
          <w:lang w:val="es-CR" w:eastAsia="en-US"/>
        </w:rPr>
        <w:t xml:space="preserve">medidas legislativas y políticas públicas para </w:t>
      </w:r>
      <w:r w:rsidR="008164BC">
        <w:rPr>
          <w:rFonts w:eastAsiaTheme="minorHAnsi" w:cs="Tahoma"/>
          <w:szCs w:val="20"/>
          <w:lang w:val="es-CR" w:eastAsia="en-US"/>
        </w:rPr>
        <w:t>el fortalecimiento de</w:t>
      </w:r>
      <w:r w:rsidRPr="00402141">
        <w:rPr>
          <w:rFonts w:eastAsiaTheme="minorHAnsi" w:cs="Tahoma"/>
          <w:szCs w:val="20"/>
          <w:lang w:val="es-CR" w:eastAsia="en-US"/>
        </w:rPr>
        <w:t xml:space="preserve"> la protección a periodistas en el país.</w:t>
      </w:r>
    </w:p>
    <w:p w:rsidR="006A2DE4" w:rsidRDefault="006A2DE4" w:rsidP="006A2DE4">
      <w:pPr>
        <w:numPr>
          <w:ilvl w:val="0"/>
          <w:numId w:val="28"/>
        </w:numPr>
        <w:autoSpaceDE w:val="0"/>
        <w:autoSpaceDN w:val="0"/>
        <w:adjustRightInd w:val="0"/>
        <w:spacing w:before="120"/>
        <w:ind w:left="992" w:firstLine="0"/>
        <w:rPr>
          <w:rFonts w:eastAsiaTheme="minorHAnsi" w:cs="Tahoma"/>
          <w:szCs w:val="20"/>
          <w:lang w:val="es-CR" w:eastAsia="en-US"/>
        </w:rPr>
      </w:pPr>
      <w:r w:rsidRPr="002038A0">
        <w:rPr>
          <w:rFonts w:eastAsiaTheme="minorHAnsi" w:cs="Tahoma"/>
          <w:i/>
          <w:szCs w:val="20"/>
          <w:lang w:val="es-CR" w:eastAsia="en-US"/>
        </w:rPr>
        <w:t>Guillermo Alberto Puyana Ramos</w:t>
      </w:r>
      <w:r w:rsidRPr="006A2DE4">
        <w:rPr>
          <w:rFonts w:eastAsiaTheme="minorHAnsi" w:cs="Tahoma"/>
          <w:szCs w:val="20"/>
          <w:lang w:val="es-CR" w:eastAsia="en-US"/>
        </w:rPr>
        <w:t xml:space="preserve">, quien declarará sobre: i) los estándares mínimos que deben respetarse en la investigación de crímenes contra periodistas; ii) las actuaciones desplegadas por el Estado durante la investigación penal sobre los hechos del presente caso, tanto a la luz del derecho penal y procesal penal de Colombia como de los estándares internacionales aplicables, y iii) </w:t>
      </w:r>
      <w:r w:rsidR="00B45196">
        <w:rPr>
          <w:rFonts w:eastAsiaTheme="minorHAnsi" w:cs="Tahoma"/>
          <w:szCs w:val="20"/>
          <w:lang w:val="es-CR" w:eastAsia="en-US"/>
        </w:rPr>
        <w:t xml:space="preserve">si deben corregirse los </w:t>
      </w:r>
      <w:r w:rsidR="00B45196" w:rsidRPr="006A2DE4">
        <w:rPr>
          <w:rFonts w:eastAsiaTheme="minorHAnsi" w:cs="Tahoma"/>
          <w:szCs w:val="20"/>
          <w:lang w:val="es-CR" w:eastAsia="en-US"/>
        </w:rPr>
        <w:t>procedimientos y prácticas de la investigación penal en Colombia para combatir la impunidad de los crímenes cometidos en contra de periodistas</w:t>
      </w:r>
      <w:r w:rsidR="00B45196">
        <w:rPr>
          <w:rFonts w:eastAsiaTheme="minorHAnsi" w:cs="Tahoma"/>
          <w:szCs w:val="20"/>
          <w:lang w:val="es-CR" w:eastAsia="en-US"/>
        </w:rPr>
        <w:t xml:space="preserve"> y, de ser el caso, si deben adoptarse medidas para corregirlos.</w:t>
      </w:r>
      <w:r w:rsidR="00533787">
        <w:rPr>
          <w:rFonts w:eastAsiaTheme="minorHAnsi" w:cs="Tahoma"/>
          <w:szCs w:val="20"/>
          <w:lang w:val="es-CR" w:eastAsia="en-US"/>
        </w:rPr>
        <w:t xml:space="preserve"> </w:t>
      </w:r>
    </w:p>
    <w:p w:rsidR="002D68E9" w:rsidRPr="002D68E9" w:rsidRDefault="00EE1074" w:rsidP="002038A0">
      <w:pPr>
        <w:pStyle w:val="ListParagraph"/>
        <w:widowControl w:val="0"/>
        <w:numPr>
          <w:ilvl w:val="0"/>
          <w:numId w:val="19"/>
        </w:numPr>
        <w:tabs>
          <w:tab w:val="left" w:pos="708"/>
        </w:tabs>
        <w:autoSpaceDE w:val="0"/>
        <w:autoSpaceDN w:val="0"/>
        <w:adjustRightInd w:val="0"/>
        <w:spacing w:before="120"/>
        <w:contextualSpacing w:val="0"/>
        <w:rPr>
          <w:bCs/>
          <w:i/>
          <w:iCs/>
          <w:szCs w:val="20"/>
          <w:lang w:val="es-CR"/>
        </w:rPr>
      </w:pPr>
      <w:r>
        <w:rPr>
          <w:bCs/>
          <w:i/>
          <w:iCs/>
          <w:szCs w:val="20"/>
          <w:lang w:val="es-CR"/>
        </w:rPr>
        <w:t>Perito</w:t>
      </w:r>
      <w:r w:rsidR="0020626A">
        <w:rPr>
          <w:bCs/>
          <w:i/>
          <w:iCs/>
          <w:szCs w:val="20"/>
          <w:lang w:val="es-CR"/>
        </w:rPr>
        <w:t>s</w:t>
      </w:r>
      <w:r>
        <w:rPr>
          <w:bCs/>
          <w:i/>
          <w:iCs/>
          <w:szCs w:val="20"/>
          <w:lang w:val="es-CR"/>
        </w:rPr>
        <w:t xml:space="preserve"> (</w:t>
      </w:r>
      <w:r w:rsidR="002D68E9" w:rsidRPr="002D68E9">
        <w:rPr>
          <w:bCs/>
          <w:i/>
          <w:iCs/>
          <w:szCs w:val="20"/>
          <w:lang w:val="es-CR"/>
        </w:rPr>
        <w:t>Propuesto por el Estado</w:t>
      </w:r>
      <w:r>
        <w:rPr>
          <w:bCs/>
          <w:i/>
          <w:iCs/>
          <w:szCs w:val="20"/>
          <w:lang w:val="es-CR"/>
        </w:rPr>
        <w:t>)</w:t>
      </w:r>
    </w:p>
    <w:p w:rsidR="008A1635" w:rsidRDefault="008A1635" w:rsidP="008A1635">
      <w:pPr>
        <w:numPr>
          <w:ilvl w:val="0"/>
          <w:numId w:val="28"/>
        </w:numPr>
        <w:autoSpaceDE w:val="0"/>
        <w:autoSpaceDN w:val="0"/>
        <w:adjustRightInd w:val="0"/>
        <w:spacing w:before="120"/>
        <w:ind w:left="992" w:firstLine="0"/>
        <w:rPr>
          <w:rFonts w:eastAsiaTheme="minorHAnsi" w:cs="Tahoma"/>
          <w:szCs w:val="20"/>
          <w:lang w:val="es-CR" w:eastAsia="en-US"/>
        </w:rPr>
      </w:pPr>
      <w:r w:rsidRPr="002038A0">
        <w:rPr>
          <w:rFonts w:eastAsiaTheme="minorHAnsi" w:cs="Tahoma"/>
          <w:i/>
          <w:szCs w:val="20"/>
          <w:lang w:val="es-CR" w:eastAsia="en-US"/>
        </w:rPr>
        <w:t>Héctor Enrique Ordóñez Serrano</w:t>
      </w:r>
      <w:r w:rsidRPr="008A1635">
        <w:rPr>
          <w:rFonts w:eastAsiaTheme="minorHAnsi" w:cs="Tahoma"/>
          <w:szCs w:val="20"/>
          <w:lang w:val="es-CR" w:eastAsia="en-US"/>
        </w:rPr>
        <w:t>, quien declarará sobre: i) los actos investigativos urgentes que se deben llevar a cabo en la escena del crimen de un homicidio agravado, en particular lo relacionado con el levantamiento del cadáver, la inspección de la escena del crimen, entre otros</w:t>
      </w:r>
      <w:r w:rsidR="00D11283">
        <w:rPr>
          <w:rFonts w:eastAsiaTheme="minorHAnsi" w:cs="Tahoma"/>
          <w:szCs w:val="20"/>
          <w:lang w:val="es-CR" w:eastAsia="en-US"/>
        </w:rPr>
        <w:t>.</w:t>
      </w:r>
      <w:r w:rsidRPr="008A1635">
        <w:rPr>
          <w:rFonts w:eastAsiaTheme="minorHAnsi" w:cs="Tahoma"/>
          <w:szCs w:val="20"/>
          <w:lang w:val="es-CR" w:eastAsia="en-US"/>
        </w:rPr>
        <w:t xml:space="preserve"> </w:t>
      </w:r>
      <w:r w:rsidR="00D11283">
        <w:rPr>
          <w:rFonts w:eastAsiaTheme="minorHAnsi" w:cs="Tahoma"/>
          <w:szCs w:val="20"/>
          <w:lang w:val="es-CR" w:eastAsia="en-US"/>
        </w:rPr>
        <w:t>E</w:t>
      </w:r>
      <w:r w:rsidRPr="008A1635">
        <w:rPr>
          <w:rFonts w:eastAsiaTheme="minorHAnsi" w:cs="Tahoma"/>
          <w:szCs w:val="20"/>
          <w:lang w:val="es-CR" w:eastAsia="en-US"/>
        </w:rPr>
        <w:t>l perito se referirá al caso del señor Nelson Carvajal como ejemplo para rendir su declaración</w:t>
      </w:r>
      <w:r w:rsidR="00D11283">
        <w:rPr>
          <w:rFonts w:eastAsiaTheme="minorHAnsi" w:cs="Tahoma"/>
          <w:szCs w:val="20"/>
          <w:lang w:val="es-CR" w:eastAsia="en-US"/>
        </w:rPr>
        <w:t>.</w:t>
      </w:r>
    </w:p>
    <w:p w:rsidR="0020626A" w:rsidRPr="008A1635" w:rsidRDefault="0020626A" w:rsidP="008A1635">
      <w:pPr>
        <w:numPr>
          <w:ilvl w:val="0"/>
          <w:numId w:val="28"/>
        </w:numPr>
        <w:autoSpaceDE w:val="0"/>
        <w:autoSpaceDN w:val="0"/>
        <w:adjustRightInd w:val="0"/>
        <w:spacing w:before="120"/>
        <w:ind w:left="992" w:firstLine="0"/>
        <w:rPr>
          <w:rFonts w:eastAsiaTheme="minorHAnsi" w:cs="Tahoma"/>
          <w:szCs w:val="20"/>
          <w:lang w:val="es-CR" w:eastAsia="en-US"/>
        </w:rPr>
      </w:pPr>
      <w:r w:rsidRPr="0020626A">
        <w:rPr>
          <w:i/>
          <w:szCs w:val="20"/>
          <w:lang w:val="es-CR"/>
        </w:rPr>
        <w:t>María Carmelina Londoño</w:t>
      </w:r>
      <w:r w:rsidRPr="0020626A">
        <w:rPr>
          <w:szCs w:val="20"/>
          <w:lang w:val="es-CR"/>
        </w:rPr>
        <w:t>, quien se referirá a: i) la evolución en el tiempo de los estándares de investigación de crímenes contra periodistas en el derecho internacional, y ii) la vinculatoriedad de dichos estándares para el Estado colombiano desde los años 90 hasta la actualidad</w:t>
      </w:r>
      <w:r>
        <w:rPr>
          <w:szCs w:val="20"/>
          <w:lang w:val="es-CR"/>
        </w:rPr>
        <w:t>.</w:t>
      </w:r>
    </w:p>
    <w:p w:rsidR="006E4767" w:rsidRPr="006E4767" w:rsidRDefault="00D11283" w:rsidP="002038A0">
      <w:pPr>
        <w:pStyle w:val="ListParagraph"/>
        <w:widowControl w:val="0"/>
        <w:numPr>
          <w:ilvl w:val="0"/>
          <w:numId w:val="19"/>
        </w:numPr>
        <w:tabs>
          <w:tab w:val="left" w:pos="708"/>
        </w:tabs>
        <w:autoSpaceDE w:val="0"/>
        <w:autoSpaceDN w:val="0"/>
        <w:adjustRightInd w:val="0"/>
        <w:spacing w:before="120"/>
        <w:contextualSpacing w:val="0"/>
        <w:rPr>
          <w:bCs/>
          <w:i/>
          <w:iCs/>
          <w:szCs w:val="20"/>
          <w:lang w:val="es-CR"/>
        </w:rPr>
      </w:pPr>
      <w:r>
        <w:rPr>
          <w:bCs/>
          <w:i/>
          <w:iCs/>
          <w:szCs w:val="20"/>
          <w:lang w:val="es-CR"/>
        </w:rPr>
        <w:t>Perito (</w:t>
      </w:r>
      <w:r w:rsidR="006E4767" w:rsidRPr="006E4767">
        <w:rPr>
          <w:bCs/>
          <w:i/>
          <w:iCs/>
          <w:szCs w:val="20"/>
          <w:lang w:val="es-CR"/>
        </w:rPr>
        <w:t xml:space="preserve">Propuesto por </w:t>
      </w:r>
      <w:r w:rsidR="006E4767">
        <w:rPr>
          <w:bCs/>
          <w:i/>
          <w:iCs/>
          <w:szCs w:val="20"/>
          <w:lang w:val="es-CR"/>
        </w:rPr>
        <w:t>la Comisión</w:t>
      </w:r>
      <w:r>
        <w:rPr>
          <w:bCs/>
          <w:i/>
          <w:iCs/>
          <w:szCs w:val="20"/>
          <w:lang w:val="es-CR"/>
        </w:rPr>
        <w:t>)</w:t>
      </w:r>
    </w:p>
    <w:p w:rsidR="00151DA1" w:rsidRPr="00E710D9" w:rsidRDefault="00D422C9" w:rsidP="00151DA1">
      <w:pPr>
        <w:numPr>
          <w:ilvl w:val="0"/>
          <w:numId w:val="28"/>
        </w:numPr>
        <w:autoSpaceDE w:val="0"/>
        <w:autoSpaceDN w:val="0"/>
        <w:adjustRightInd w:val="0"/>
        <w:spacing w:before="120"/>
        <w:ind w:left="992" w:firstLine="0"/>
        <w:rPr>
          <w:rFonts w:eastAsiaTheme="minorHAnsi" w:cs="Tahoma"/>
          <w:szCs w:val="20"/>
          <w:lang w:val="es-CR" w:eastAsia="en-US"/>
        </w:rPr>
      </w:pPr>
      <w:r w:rsidRPr="00D422C9">
        <w:rPr>
          <w:szCs w:val="20"/>
          <w:lang w:val="es-CR"/>
        </w:rPr>
        <w:t>David Kaye, quien declarará sobre el desarrollo jurisprudencial internacional y comparado y los estándares en derechos humanos respecto de la obligación de investigación y procuración de justicia en casos de violencia contra periodistas</w:t>
      </w:r>
      <w:r w:rsidR="00D11283">
        <w:rPr>
          <w:rFonts w:eastAsiaTheme="minorHAnsi" w:cs="Tahoma"/>
          <w:szCs w:val="20"/>
          <w:lang w:val="es-CR" w:eastAsia="en-US"/>
        </w:rPr>
        <w:t>.</w:t>
      </w:r>
    </w:p>
    <w:p w:rsidR="002D68E9" w:rsidRPr="00ED3CC9" w:rsidRDefault="002D68E9" w:rsidP="002D68E9">
      <w:pPr>
        <w:pStyle w:val="ListParagraph"/>
        <w:widowControl w:val="0"/>
        <w:numPr>
          <w:ilvl w:val="0"/>
          <w:numId w:val="14"/>
        </w:numPr>
        <w:tabs>
          <w:tab w:val="left" w:pos="708"/>
        </w:tabs>
        <w:autoSpaceDE w:val="0"/>
        <w:autoSpaceDN w:val="0"/>
        <w:adjustRightInd w:val="0"/>
        <w:spacing w:before="120"/>
        <w:ind w:left="0" w:firstLine="0"/>
        <w:contextualSpacing w:val="0"/>
        <w:rPr>
          <w:szCs w:val="20"/>
          <w:lang w:val="es-CR"/>
        </w:rPr>
      </w:pPr>
      <w:bookmarkStart w:id="9" w:name="_Ref393464381"/>
      <w:r w:rsidRPr="00FD62CC">
        <w:rPr>
          <w:szCs w:val="20"/>
          <w:lang w:val="es-CR"/>
        </w:rPr>
        <w:t xml:space="preserve">Requerir a </w:t>
      </w:r>
      <w:r w:rsidR="00FD62CC" w:rsidRPr="00FD62CC">
        <w:rPr>
          <w:color w:val="000000"/>
          <w:szCs w:val="20"/>
          <w:lang w:val="es-CR"/>
        </w:rPr>
        <w:t>las partes y la Comisión</w:t>
      </w:r>
      <w:r w:rsidRPr="00FD62CC">
        <w:rPr>
          <w:szCs w:val="20"/>
          <w:lang w:val="es-CR"/>
        </w:rPr>
        <w:t xml:space="preserve"> que remitan, de considerarlo pertinente, en lo que</w:t>
      </w:r>
      <w:r w:rsidRPr="00ED3CC9">
        <w:rPr>
          <w:szCs w:val="20"/>
          <w:lang w:val="es-CR"/>
        </w:rPr>
        <w:t xml:space="preserve"> les corresponda y en el plazo improrrogable que vence el </w:t>
      </w:r>
      <w:r w:rsidR="00A60D65">
        <w:rPr>
          <w:szCs w:val="20"/>
          <w:lang w:val="es-CR"/>
        </w:rPr>
        <w:t>14</w:t>
      </w:r>
      <w:r w:rsidRPr="00ED3CC9">
        <w:rPr>
          <w:szCs w:val="20"/>
          <w:lang w:val="es-CR"/>
        </w:rPr>
        <w:t xml:space="preserve"> de </w:t>
      </w:r>
      <w:r w:rsidR="00A60D65">
        <w:rPr>
          <w:szCs w:val="20"/>
          <w:lang w:val="es-CR"/>
        </w:rPr>
        <w:t>julio</w:t>
      </w:r>
      <w:r w:rsidRPr="00ED3CC9">
        <w:rPr>
          <w:szCs w:val="20"/>
          <w:lang w:val="es-CR"/>
        </w:rPr>
        <w:t xml:space="preserve"> de 201</w:t>
      </w:r>
      <w:r w:rsidR="003C4C9D">
        <w:rPr>
          <w:szCs w:val="20"/>
          <w:lang w:val="es-CR"/>
        </w:rPr>
        <w:t>7</w:t>
      </w:r>
      <w:r w:rsidRPr="00ED3CC9">
        <w:rPr>
          <w:szCs w:val="20"/>
          <w:lang w:val="es-CR"/>
        </w:rPr>
        <w:t xml:space="preserve">, las preguntas que estimen pertinentes formular a través de la Corte Interamericana al testigo y a los peritos indicados en el punto resolutivo </w:t>
      </w:r>
      <w:r w:rsidR="003C4C9D" w:rsidRPr="00012E50">
        <w:rPr>
          <w:szCs w:val="20"/>
          <w:lang w:val="es-CR"/>
        </w:rPr>
        <w:t>4</w:t>
      </w:r>
      <w:r w:rsidRPr="00ED3CC9">
        <w:rPr>
          <w:szCs w:val="20"/>
          <w:lang w:val="es-CR"/>
        </w:rPr>
        <w:t xml:space="preserve"> de la presente Resolución. La</w:t>
      </w:r>
      <w:r>
        <w:rPr>
          <w:szCs w:val="20"/>
          <w:lang w:val="es-CR"/>
        </w:rPr>
        <w:t>s</w:t>
      </w:r>
      <w:r w:rsidRPr="00ED3CC9">
        <w:rPr>
          <w:szCs w:val="20"/>
          <w:lang w:val="es-CR"/>
        </w:rPr>
        <w:t xml:space="preserve"> declaraci</w:t>
      </w:r>
      <w:r>
        <w:rPr>
          <w:szCs w:val="20"/>
          <w:lang w:val="es-CR"/>
        </w:rPr>
        <w:t>ones</w:t>
      </w:r>
      <w:r w:rsidRPr="00ED3CC9">
        <w:rPr>
          <w:szCs w:val="20"/>
          <w:lang w:val="es-CR"/>
        </w:rPr>
        <w:t xml:space="preserve"> y los peritajes requeridos deberán ser presentados al Tribunal a más tardar el </w:t>
      </w:r>
      <w:bookmarkEnd w:id="9"/>
      <w:r w:rsidR="00A60D65">
        <w:rPr>
          <w:szCs w:val="20"/>
          <w:lang w:val="es-CR"/>
        </w:rPr>
        <w:t>11</w:t>
      </w:r>
      <w:r w:rsidRPr="00ED3CC9">
        <w:rPr>
          <w:szCs w:val="20"/>
          <w:lang w:val="es-CR"/>
        </w:rPr>
        <w:t xml:space="preserve"> de </w:t>
      </w:r>
      <w:r w:rsidR="00A60D65">
        <w:rPr>
          <w:szCs w:val="20"/>
          <w:lang w:val="es-CR"/>
        </w:rPr>
        <w:t>agosto</w:t>
      </w:r>
      <w:r w:rsidRPr="00ED3CC9">
        <w:rPr>
          <w:szCs w:val="20"/>
          <w:lang w:val="es-CR"/>
        </w:rPr>
        <w:t xml:space="preserve"> 201</w:t>
      </w:r>
      <w:r w:rsidR="003C4C9D">
        <w:rPr>
          <w:szCs w:val="20"/>
          <w:lang w:val="es-CR"/>
        </w:rPr>
        <w:t>7</w:t>
      </w:r>
      <w:r w:rsidRPr="00ED3CC9">
        <w:rPr>
          <w:szCs w:val="20"/>
          <w:lang w:val="es-CR"/>
        </w:rPr>
        <w:t>.</w:t>
      </w:r>
    </w:p>
    <w:p w:rsidR="002D68E9" w:rsidRDefault="002D68E9" w:rsidP="002D68E9">
      <w:pPr>
        <w:pStyle w:val="ListParagraph"/>
        <w:widowControl w:val="0"/>
        <w:numPr>
          <w:ilvl w:val="0"/>
          <w:numId w:val="14"/>
        </w:numPr>
        <w:tabs>
          <w:tab w:val="left" w:pos="708"/>
        </w:tabs>
        <w:autoSpaceDE w:val="0"/>
        <w:autoSpaceDN w:val="0"/>
        <w:adjustRightInd w:val="0"/>
        <w:spacing w:before="120"/>
        <w:ind w:left="0" w:firstLine="0"/>
        <w:contextualSpacing w:val="0"/>
        <w:rPr>
          <w:szCs w:val="20"/>
          <w:lang w:val="es-CR"/>
        </w:rPr>
      </w:pPr>
      <w:r w:rsidRPr="00ED3CC9">
        <w:rPr>
          <w:szCs w:val="20"/>
          <w:lang w:val="es-CR"/>
        </w:rPr>
        <w:t xml:space="preserve">Requerir a </w:t>
      </w:r>
      <w:r w:rsidRPr="00ED3CC9">
        <w:rPr>
          <w:color w:val="000000"/>
          <w:szCs w:val="20"/>
          <w:lang w:val="es-CR"/>
        </w:rPr>
        <w:t>los representantes y al Estado q</w:t>
      </w:r>
      <w:r w:rsidRPr="00ED3CC9">
        <w:rPr>
          <w:szCs w:val="20"/>
          <w:lang w:val="es-CR"/>
        </w:rPr>
        <w:t xml:space="preserve">ue coordinen y realicen las diligencias necesarias para que, una vez recibidas las preguntas, </w:t>
      </w:r>
      <w:r>
        <w:rPr>
          <w:szCs w:val="20"/>
          <w:lang w:val="es-CR"/>
        </w:rPr>
        <w:t>si las hubiere, los declarantes propuestos incluyan las respuestas e</w:t>
      </w:r>
      <w:r w:rsidRPr="00ED3CC9">
        <w:rPr>
          <w:szCs w:val="20"/>
          <w:lang w:val="es-CR"/>
        </w:rPr>
        <w:t xml:space="preserve">n sus respectivas declaraciones y dictámenes rendidos ante fedatario público, de conformidad con el </w:t>
      </w:r>
      <w:r w:rsidR="003C4C9D">
        <w:rPr>
          <w:szCs w:val="20"/>
          <w:lang w:val="es-CR"/>
        </w:rPr>
        <w:t>punto resolutivo 4</w:t>
      </w:r>
      <w:r w:rsidRPr="00ED3CC9">
        <w:rPr>
          <w:szCs w:val="20"/>
          <w:lang w:val="es-CR"/>
        </w:rPr>
        <w:t xml:space="preserve"> de la presente Resolución. </w:t>
      </w:r>
    </w:p>
    <w:p w:rsidR="002D68E9" w:rsidRPr="00012E50" w:rsidRDefault="002D68E9" w:rsidP="009F53A4">
      <w:pPr>
        <w:pStyle w:val="ListParagraph"/>
        <w:widowControl w:val="0"/>
        <w:numPr>
          <w:ilvl w:val="0"/>
          <w:numId w:val="14"/>
        </w:numPr>
        <w:tabs>
          <w:tab w:val="left" w:pos="708"/>
        </w:tabs>
        <w:autoSpaceDE w:val="0"/>
        <w:autoSpaceDN w:val="0"/>
        <w:adjustRightInd w:val="0"/>
        <w:spacing w:before="120"/>
        <w:ind w:left="0" w:firstLine="0"/>
        <w:contextualSpacing w:val="0"/>
        <w:rPr>
          <w:szCs w:val="20"/>
          <w:lang w:val="es-CR"/>
        </w:rPr>
      </w:pPr>
      <w:r w:rsidRPr="00012E50">
        <w:rPr>
          <w:szCs w:val="20"/>
          <w:lang w:val="es-CR"/>
        </w:rPr>
        <w:t xml:space="preserve">Disponer que, una vez recibidos los peritajes, las declaraciones y los testimonios requeridos en el punto resolutivo </w:t>
      </w:r>
      <w:r w:rsidR="003C4C9D" w:rsidRPr="00012E50">
        <w:rPr>
          <w:szCs w:val="20"/>
          <w:lang w:val="es-CR"/>
        </w:rPr>
        <w:t>4</w:t>
      </w:r>
      <w:r w:rsidRPr="00012E50">
        <w:rPr>
          <w:szCs w:val="20"/>
          <w:lang w:val="es-CR"/>
        </w:rPr>
        <w:t xml:space="preserve">, la Secretaría de la Corte Interamericana los transmita al Estado, a </w:t>
      </w:r>
      <w:r w:rsidRPr="00012E50">
        <w:rPr>
          <w:color w:val="000000"/>
          <w:szCs w:val="20"/>
          <w:lang w:val="es-CR"/>
        </w:rPr>
        <w:t>los representantes</w:t>
      </w:r>
      <w:r w:rsidRPr="00012E50">
        <w:rPr>
          <w:szCs w:val="20"/>
          <w:lang w:val="es-CR"/>
        </w:rPr>
        <w:t xml:space="preserve"> y a la Comisión para que, si lo estiman necesario y en lo que les </w:t>
      </w:r>
      <w:r w:rsidRPr="00012E50">
        <w:rPr>
          <w:szCs w:val="20"/>
          <w:lang w:val="es-CR"/>
        </w:rPr>
        <w:lastRenderedPageBreak/>
        <w:t>corresponda, presenten sus observaciones a dichos peritajes y testimonio, a más tardar con sus alegatos u observaciones finales escritas</w:t>
      </w:r>
      <w:r w:rsidR="00106075" w:rsidRPr="00012E50">
        <w:rPr>
          <w:szCs w:val="20"/>
          <w:lang w:val="es-CR"/>
        </w:rPr>
        <w:t>, respectivamente</w:t>
      </w:r>
      <w:r w:rsidRPr="00012E50">
        <w:rPr>
          <w:szCs w:val="20"/>
          <w:lang w:val="es-CR"/>
        </w:rPr>
        <w:t>.</w:t>
      </w:r>
    </w:p>
    <w:p w:rsidR="00106075" w:rsidRDefault="00AD27B4" w:rsidP="009F53A4">
      <w:pPr>
        <w:pStyle w:val="ListParagraph"/>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ED3CC9">
        <w:rPr>
          <w:color w:val="000000"/>
          <w:szCs w:val="20"/>
          <w:lang w:val="es-CR"/>
        </w:rPr>
        <w:t>Requerir a la Comisión Interamericana, a los representantes y al Estado que notifiquen la presente Resolución a las personas por ellos propuestas, que han sido convocadas a rendir declaración, de conformidad con lo dispuesto en los artículos 50.2 y 50.4 del Reglamento.</w:t>
      </w:r>
    </w:p>
    <w:p w:rsidR="00AD27B4" w:rsidRPr="00ED3CC9" w:rsidRDefault="00AD27B4" w:rsidP="009F53A4">
      <w:pPr>
        <w:pStyle w:val="ListParagraph"/>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ED3CC9">
        <w:rPr>
          <w:color w:val="000000"/>
          <w:szCs w:val="20"/>
          <w:lang w:val="es-CR"/>
        </w:rPr>
        <w:t>Informar a la Comisión</w:t>
      </w:r>
      <w:r w:rsidR="00106075">
        <w:rPr>
          <w:color w:val="000000"/>
          <w:szCs w:val="20"/>
          <w:lang w:val="es-CR"/>
        </w:rPr>
        <w:t xml:space="preserve"> y a las partes qu</w:t>
      </w:r>
      <w:r w:rsidRPr="00ED3CC9">
        <w:rPr>
          <w:color w:val="000000"/>
          <w:szCs w:val="20"/>
          <w:lang w:val="es-CR"/>
        </w:rPr>
        <w:t>e deben cubrir los gastos que ocasione la aportación o rendición de la prueba propuesta por ellos, de conformidad con lo dispuesto en el artículo 60 del Reglamento</w:t>
      </w:r>
      <w:r w:rsidRPr="00ED3CC9">
        <w:rPr>
          <w:szCs w:val="20"/>
          <w:lang w:val="es-CR"/>
        </w:rPr>
        <w:t>.</w:t>
      </w:r>
    </w:p>
    <w:p w:rsidR="00AD27B4" w:rsidRPr="00ED3CC9" w:rsidRDefault="00AD27B4" w:rsidP="009F53A4">
      <w:pPr>
        <w:pStyle w:val="ListParagraph"/>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ED3CC9">
        <w:rPr>
          <w:color w:val="000000"/>
          <w:szCs w:val="20"/>
          <w:lang w:val="es-CR"/>
        </w:rPr>
        <w:t xml:space="preserve">Requerir a la Comisión, a los representantes y al Estado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AD27B4" w:rsidRPr="00ED3CC9" w:rsidRDefault="00AD27B4" w:rsidP="009F53A4">
      <w:pPr>
        <w:pStyle w:val="ListParagraph"/>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ED3CC9">
        <w:rPr>
          <w:color w:val="000000"/>
          <w:szCs w:val="20"/>
          <w:lang w:val="es-CR"/>
        </w:rPr>
        <w:t xml:space="preserve">Informar a los representantes, al Estado y a la Comisión Interamericana que, al término de las declaraciones rendidas en la audiencia pública, podrán presentar ante el Tribunal sus alegatos finales orales y observaciones finales orales, respectivamente, sobre los eventuales fondo, reparaciones y costas en el presente caso. </w:t>
      </w:r>
    </w:p>
    <w:p w:rsidR="00AD27B4" w:rsidRPr="00ED3CC9" w:rsidRDefault="00AD27B4" w:rsidP="009F53A4">
      <w:pPr>
        <w:pStyle w:val="ListParagraph"/>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ED3CC9">
        <w:rPr>
          <w:color w:val="000000"/>
          <w:szCs w:val="20"/>
          <w:lang w:val="es-CR"/>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sobre los eventuales fondo, reparaciones y costas, a la brevedad posible luego de la celebración de la referida audiencia. </w:t>
      </w:r>
    </w:p>
    <w:p w:rsidR="00AD27B4" w:rsidRPr="00ED3CC9" w:rsidRDefault="00AD27B4" w:rsidP="009F53A4">
      <w:pPr>
        <w:pStyle w:val="ListParagraph"/>
        <w:widowControl w:val="0"/>
        <w:numPr>
          <w:ilvl w:val="0"/>
          <w:numId w:val="14"/>
        </w:numPr>
        <w:tabs>
          <w:tab w:val="left" w:pos="708"/>
        </w:tabs>
        <w:autoSpaceDE w:val="0"/>
        <w:autoSpaceDN w:val="0"/>
        <w:adjustRightInd w:val="0"/>
        <w:spacing w:before="120"/>
        <w:ind w:left="0" w:firstLine="0"/>
        <w:contextualSpacing w:val="0"/>
        <w:rPr>
          <w:color w:val="000000"/>
          <w:szCs w:val="20"/>
          <w:lang w:val="es-CR"/>
        </w:rPr>
      </w:pPr>
      <w:r w:rsidRPr="00ED3CC9">
        <w:rPr>
          <w:color w:val="000000"/>
          <w:szCs w:val="20"/>
          <w:lang w:val="es-CR"/>
        </w:rPr>
        <w:t xml:space="preserve">Informar a los representantes, al Estado y a la Comisión Interamericana que cuentan con un plazo hasta el 25 de </w:t>
      </w:r>
      <w:r w:rsidR="00D11283">
        <w:rPr>
          <w:color w:val="000000"/>
          <w:szCs w:val="20"/>
          <w:lang w:val="es-CR"/>
        </w:rPr>
        <w:t>septiembre</w:t>
      </w:r>
      <w:r w:rsidR="00D11283" w:rsidRPr="00ED3CC9">
        <w:rPr>
          <w:color w:val="000000"/>
          <w:szCs w:val="20"/>
          <w:lang w:val="es-CR"/>
        </w:rPr>
        <w:t xml:space="preserve"> </w:t>
      </w:r>
      <w:r w:rsidRPr="00ED3CC9">
        <w:rPr>
          <w:color w:val="000000"/>
          <w:szCs w:val="20"/>
          <w:lang w:val="es-CR"/>
        </w:rPr>
        <w:t xml:space="preserve">de 2017 para presentar sus alegatos finales escritos y observaciones finales escritas, respectivamente, en relación con los eventuales fondo, reparaciones y costas en el presente caso. Este plazo es improrrogable e independiente de la puesta a disposición de las partes de la grabación de la audiencia pública. </w:t>
      </w:r>
    </w:p>
    <w:p w:rsidR="00AD27B4" w:rsidRPr="00ED3CC9" w:rsidRDefault="00AD27B4" w:rsidP="009F53A4">
      <w:pPr>
        <w:pStyle w:val="ListParagraph"/>
        <w:widowControl w:val="0"/>
        <w:numPr>
          <w:ilvl w:val="0"/>
          <w:numId w:val="14"/>
        </w:numPr>
        <w:tabs>
          <w:tab w:val="left" w:pos="708"/>
        </w:tabs>
        <w:autoSpaceDE w:val="0"/>
        <w:autoSpaceDN w:val="0"/>
        <w:adjustRightInd w:val="0"/>
        <w:spacing w:before="120"/>
        <w:ind w:left="0" w:firstLine="0"/>
        <w:contextualSpacing w:val="0"/>
        <w:rPr>
          <w:szCs w:val="20"/>
          <w:lang w:val="es-MX" w:eastAsia="en-US"/>
        </w:rPr>
      </w:pPr>
      <w:r w:rsidRPr="00ED3CC9">
        <w:rPr>
          <w:color w:val="000000"/>
          <w:szCs w:val="20"/>
          <w:lang w:val="es-CR"/>
        </w:rPr>
        <w:t xml:space="preserve">Disponer que la Secretaría de la Corte Interamericana notifique la presente Resolución a la Comisión Interamericana de Derechos Humanos, a los representantes de las presuntas víctimas y a la República </w:t>
      </w:r>
      <w:r w:rsidRPr="00ED3CC9">
        <w:rPr>
          <w:szCs w:val="20"/>
          <w:lang w:val="es-CR"/>
        </w:rPr>
        <w:t>de Colombia</w:t>
      </w:r>
      <w:r w:rsidR="00106075">
        <w:rPr>
          <w:color w:val="000000"/>
          <w:szCs w:val="20"/>
          <w:lang w:val="es-CR"/>
        </w:rPr>
        <w:t>.</w:t>
      </w:r>
    </w:p>
    <w:p w:rsidR="009F53A4" w:rsidRDefault="009F53A4" w:rsidP="009F53A4">
      <w:pPr>
        <w:spacing w:after="0"/>
        <w:ind w:left="4253"/>
        <w:jc w:val="center"/>
        <w:rPr>
          <w:color w:val="000000"/>
          <w:spacing w:val="-2"/>
          <w:szCs w:val="20"/>
          <w:lang w:val="pt-BR" w:eastAsia="es-CR"/>
        </w:rPr>
      </w:pPr>
    </w:p>
    <w:p w:rsidR="009F53A4" w:rsidRDefault="009F53A4" w:rsidP="009F53A4">
      <w:pPr>
        <w:spacing w:after="0"/>
        <w:ind w:left="4253"/>
        <w:jc w:val="center"/>
        <w:rPr>
          <w:color w:val="000000"/>
          <w:spacing w:val="-2"/>
          <w:szCs w:val="20"/>
          <w:lang w:val="pt-BR" w:eastAsia="es-CR"/>
        </w:rPr>
      </w:pPr>
    </w:p>
    <w:p w:rsidR="00AD27B4" w:rsidRPr="00ED3CC9" w:rsidRDefault="00AD27B4" w:rsidP="009F53A4">
      <w:pPr>
        <w:spacing w:after="0"/>
        <w:ind w:left="4253"/>
        <w:jc w:val="center"/>
        <w:rPr>
          <w:szCs w:val="20"/>
          <w:lang w:val="pt-BR"/>
        </w:rPr>
      </w:pPr>
      <w:r w:rsidRPr="002038A0">
        <w:rPr>
          <w:color w:val="000000"/>
          <w:spacing w:val="-2"/>
          <w:szCs w:val="20"/>
          <w:lang w:val="pt-BR" w:eastAsia="es-CR"/>
        </w:rPr>
        <w:t>Roberto F. Caldas</w:t>
      </w:r>
      <w:r w:rsidRPr="00ED3CC9">
        <w:rPr>
          <w:szCs w:val="20"/>
          <w:lang w:val="pt-BR"/>
        </w:rPr>
        <w:t xml:space="preserve"> </w:t>
      </w:r>
    </w:p>
    <w:p w:rsidR="00AD27B4" w:rsidRPr="00ED3CC9" w:rsidRDefault="00AD27B4" w:rsidP="009F53A4">
      <w:pPr>
        <w:spacing w:after="0"/>
        <w:ind w:left="4253"/>
        <w:jc w:val="center"/>
        <w:rPr>
          <w:szCs w:val="20"/>
          <w:lang w:val="pt-BR"/>
        </w:rPr>
      </w:pPr>
      <w:r w:rsidRPr="00ED3CC9">
        <w:rPr>
          <w:szCs w:val="20"/>
          <w:lang w:val="pt-BR"/>
        </w:rPr>
        <w:t>Presidente</w:t>
      </w:r>
    </w:p>
    <w:p w:rsidR="009F53A4" w:rsidRDefault="009F53A4" w:rsidP="009F53A4">
      <w:pPr>
        <w:tabs>
          <w:tab w:val="left" w:pos="2835"/>
        </w:tabs>
        <w:spacing w:after="0"/>
        <w:ind w:right="6003"/>
        <w:jc w:val="center"/>
        <w:rPr>
          <w:szCs w:val="20"/>
          <w:lang w:val="pt-BR"/>
        </w:rPr>
      </w:pPr>
    </w:p>
    <w:p w:rsidR="009F53A4" w:rsidRPr="002038A0" w:rsidRDefault="009F53A4" w:rsidP="009F53A4">
      <w:pPr>
        <w:tabs>
          <w:tab w:val="left" w:pos="2835"/>
        </w:tabs>
        <w:spacing w:after="0"/>
        <w:ind w:right="6003"/>
        <w:jc w:val="center"/>
        <w:rPr>
          <w:szCs w:val="20"/>
          <w:lang w:val="pt-BR"/>
        </w:rPr>
      </w:pPr>
    </w:p>
    <w:p w:rsidR="00AD27B4" w:rsidRPr="002038A0" w:rsidRDefault="00AD27B4" w:rsidP="009F53A4">
      <w:pPr>
        <w:tabs>
          <w:tab w:val="left" w:pos="2835"/>
        </w:tabs>
        <w:spacing w:after="0"/>
        <w:ind w:right="6003"/>
        <w:jc w:val="center"/>
        <w:rPr>
          <w:szCs w:val="20"/>
          <w:lang w:val="pt-BR"/>
        </w:rPr>
      </w:pPr>
      <w:r w:rsidRPr="002038A0">
        <w:rPr>
          <w:szCs w:val="20"/>
          <w:lang w:val="pt-BR"/>
        </w:rPr>
        <w:t>Pablo Saavedra Alessandri</w:t>
      </w:r>
    </w:p>
    <w:p w:rsidR="00AD27B4" w:rsidRPr="00ED3CC9" w:rsidRDefault="00AD27B4" w:rsidP="009F53A4">
      <w:pPr>
        <w:tabs>
          <w:tab w:val="left" w:pos="2835"/>
        </w:tabs>
        <w:spacing w:after="0"/>
        <w:ind w:right="6003"/>
        <w:jc w:val="center"/>
        <w:rPr>
          <w:szCs w:val="20"/>
          <w:lang w:val="es-ES"/>
        </w:rPr>
      </w:pPr>
      <w:r w:rsidRPr="00ED3CC9">
        <w:rPr>
          <w:szCs w:val="20"/>
          <w:lang w:val="es-ES"/>
        </w:rPr>
        <w:t>Secretario</w:t>
      </w:r>
    </w:p>
    <w:p w:rsidR="009F53A4" w:rsidRDefault="009F53A4" w:rsidP="009F53A4">
      <w:pPr>
        <w:spacing w:after="0"/>
        <w:rPr>
          <w:szCs w:val="20"/>
        </w:rPr>
      </w:pPr>
    </w:p>
    <w:p w:rsidR="009F53A4" w:rsidRPr="00ED3CC9" w:rsidRDefault="009F53A4" w:rsidP="009F53A4">
      <w:pPr>
        <w:spacing w:after="0"/>
        <w:rPr>
          <w:szCs w:val="20"/>
        </w:rPr>
      </w:pPr>
    </w:p>
    <w:p w:rsidR="00AD27B4" w:rsidRPr="00ED3CC9" w:rsidRDefault="00AD27B4" w:rsidP="009F53A4">
      <w:pPr>
        <w:spacing w:after="0"/>
        <w:rPr>
          <w:szCs w:val="20"/>
        </w:rPr>
      </w:pPr>
      <w:r w:rsidRPr="00ED3CC9">
        <w:rPr>
          <w:szCs w:val="20"/>
        </w:rPr>
        <w:t>Comuníquese y ejecútese,</w:t>
      </w:r>
      <w:r w:rsidRPr="00ED3CC9">
        <w:rPr>
          <w:noProof/>
          <w:szCs w:val="20"/>
          <w:lang w:val="es-CR" w:eastAsia="es-CR"/>
        </w:rPr>
        <w:t xml:space="preserve"> </w:t>
      </w:r>
    </w:p>
    <w:p w:rsidR="009F53A4" w:rsidRDefault="009F53A4" w:rsidP="009F53A4">
      <w:pPr>
        <w:spacing w:after="0"/>
        <w:rPr>
          <w:szCs w:val="20"/>
        </w:rPr>
      </w:pPr>
    </w:p>
    <w:p w:rsidR="00AD27B4" w:rsidRPr="00ED3CC9" w:rsidRDefault="00AD27B4" w:rsidP="009F53A4">
      <w:pPr>
        <w:spacing w:after="0"/>
        <w:rPr>
          <w:szCs w:val="20"/>
        </w:rPr>
      </w:pPr>
    </w:p>
    <w:p w:rsidR="00AD27B4" w:rsidRPr="00ED3CC9" w:rsidRDefault="00AD27B4" w:rsidP="009F53A4">
      <w:pPr>
        <w:spacing w:after="0"/>
        <w:ind w:left="4536"/>
        <w:jc w:val="center"/>
        <w:rPr>
          <w:szCs w:val="20"/>
          <w:lang w:val="pt-BR"/>
        </w:rPr>
      </w:pPr>
      <w:r w:rsidRPr="00ED3CC9">
        <w:rPr>
          <w:color w:val="000000"/>
          <w:spacing w:val="-2"/>
          <w:szCs w:val="20"/>
          <w:lang w:eastAsia="es-CR"/>
        </w:rPr>
        <w:t>Roberto F. Caldas</w:t>
      </w:r>
      <w:r w:rsidRPr="00ED3CC9">
        <w:rPr>
          <w:szCs w:val="20"/>
          <w:lang w:val="pt-BR"/>
        </w:rPr>
        <w:t xml:space="preserve"> </w:t>
      </w:r>
    </w:p>
    <w:p w:rsidR="00AD27B4" w:rsidRPr="00ED3CC9" w:rsidRDefault="00AD27B4" w:rsidP="009F53A4">
      <w:pPr>
        <w:spacing w:after="0"/>
        <w:ind w:left="4536"/>
        <w:jc w:val="center"/>
        <w:rPr>
          <w:szCs w:val="20"/>
          <w:lang w:val="es-MX"/>
        </w:rPr>
      </w:pPr>
      <w:r w:rsidRPr="00ED3CC9">
        <w:rPr>
          <w:szCs w:val="20"/>
          <w:lang w:val="pt-BR"/>
        </w:rPr>
        <w:t>Presidente</w:t>
      </w:r>
    </w:p>
    <w:p w:rsidR="00AD27B4" w:rsidRDefault="00AD27B4" w:rsidP="009F53A4">
      <w:pPr>
        <w:spacing w:after="0"/>
        <w:rPr>
          <w:szCs w:val="20"/>
        </w:rPr>
      </w:pPr>
    </w:p>
    <w:p w:rsidR="009F53A4" w:rsidRPr="00ED3CC9" w:rsidRDefault="009F53A4" w:rsidP="009F53A4">
      <w:pPr>
        <w:spacing w:after="0"/>
        <w:rPr>
          <w:szCs w:val="20"/>
        </w:rPr>
      </w:pPr>
    </w:p>
    <w:p w:rsidR="00AD27B4" w:rsidRPr="00ED3CC9" w:rsidRDefault="00AD27B4" w:rsidP="009F53A4">
      <w:pPr>
        <w:spacing w:after="0"/>
        <w:ind w:right="6003"/>
        <w:jc w:val="center"/>
        <w:rPr>
          <w:szCs w:val="20"/>
        </w:rPr>
      </w:pPr>
      <w:r w:rsidRPr="00ED3CC9">
        <w:rPr>
          <w:szCs w:val="20"/>
        </w:rPr>
        <w:t>Pablo Saavedra Alessandri</w:t>
      </w:r>
    </w:p>
    <w:p w:rsidR="00AD27B4" w:rsidRPr="00ED3CC9" w:rsidRDefault="00AD27B4" w:rsidP="009F53A4">
      <w:pPr>
        <w:spacing w:after="0"/>
        <w:ind w:right="6003"/>
        <w:jc w:val="center"/>
        <w:rPr>
          <w:szCs w:val="20"/>
        </w:rPr>
      </w:pPr>
      <w:r w:rsidRPr="00ED3CC9">
        <w:rPr>
          <w:szCs w:val="20"/>
        </w:rPr>
        <w:t>Secretario</w:t>
      </w:r>
    </w:p>
    <w:sectPr w:rsidR="00AD27B4" w:rsidRPr="00ED3CC9" w:rsidSect="00941C58">
      <w:headerReference w:type="default" r:id="rId10"/>
      <w:pgSz w:w="12240" w:h="15840"/>
      <w:pgMar w:top="1135" w:right="1325"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45" w:rsidRDefault="004C2645" w:rsidP="00DD161B">
      <w:pPr>
        <w:spacing w:after="0"/>
      </w:pPr>
      <w:r>
        <w:separator/>
      </w:r>
    </w:p>
  </w:endnote>
  <w:endnote w:type="continuationSeparator" w:id="0">
    <w:p w:rsidR="004C2645" w:rsidRDefault="004C2645" w:rsidP="00DD1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45" w:rsidRDefault="004C2645" w:rsidP="00DD161B">
      <w:pPr>
        <w:spacing w:after="0"/>
      </w:pPr>
      <w:r>
        <w:separator/>
      </w:r>
    </w:p>
  </w:footnote>
  <w:footnote w:type="continuationSeparator" w:id="0">
    <w:p w:rsidR="004C2645" w:rsidRDefault="004C2645" w:rsidP="00DD161B">
      <w:pPr>
        <w:spacing w:after="0"/>
      </w:pPr>
      <w:r>
        <w:continuationSeparator/>
      </w:r>
    </w:p>
  </w:footnote>
  <w:footnote w:id="1">
    <w:p w:rsidR="0053778A" w:rsidRPr="00870DE8" w:rsidRDefault="0053778A" w:rsidP="00870DE8">
      <w:pPr>
        <w:pStyle w:val="FootnoteText"/>
        <w:rPr>
          <w:lang w:val="es-ES"/>
        </w:rPr>
      </w:pPr>
      <w:r w:rsidRPr="00870DE8">
        <w:rPr>
          <w:rStyle w:val="FootnoteReference"/>
        </w:rPr>
        <w:footnoteRef/>
      </w:r>
      <w:r w:rsidRPr="00870DE8">
        <w:t xml:space="preserve"> </w:t>
      </w:r>
      <w:r w:rsidRPr="00870DE8">
        <w:tab/>
      </w:r>
      <w:r w:rsidRPr="00870DE8">
        <w:rPr>
          <w:i/>
        </w:rPr>
        <w:t>Cfr.</w:t>
      </w:r>
      <w:r w:rsidRPr="00870DE8">
        <w:t xml:space="preserve"> </w:t>
      </w:r>
      <w:r w:rsidRPr="00870DE8">
        <w:rPr>
          <w:lang w:val="es-ES"/>
        </w:rPr>
        <w:t xml:space="preserve">Caso </w:t>
      </w:r>
      <w:r w:rsidRPr="00870DE8">
        <w:rPr>
          <w:i/>
          <w:lang w:val="es-ES"/>
        </w:rPr>
        <w:t>Yarce y otras Vs. Colombia,</w:t>
      </w:r>
      <w:r w:rsidRPr="00870DE8">
        <w:rPr>
          <w:lang w:val="es-ES"/>
        </w:rPr>
        <w:t xml:space="preserve"> </w:t>
      </w:r>
      <w:r w:rsidRPr="00870DE8">
        <w:t xml:space="preserve">Resolución del Presidente de la Corte de 26 de mayo de 2015, Considerando </w:t>
      </w:r>
      <w:r w:rsidRPr="00870DE8">
        <w:rPr>
          <w:lang w:val="es-ES"/>
        </w:rPr>
        <w:t>23</w:t>
      </w:r>
      <w:r w:rsidR="00EC3263">
        <w:rPr>
          <w:lang w:val="es-ES"/>
        </w:rPr>
        <w:t xml:space="preserve">, y </w:t>
      </w:r>
      <w:r w:rsidR="00EC3263" w:rsidRPr="00870DE8">
        <w:rPr>
          <w:i/>
        </w:rPr>
        <w:t>Cfr.</w:t>
      </w:r>
      <w:r w:rsidR="00EC3263" w:rsidRPr="00870DE8">
        <w:t xml:space="preserve"> </w:t>
      </w:r>
      <w:r w:rsidR="00EC3263" w:rsidRPr="00870DE8">
        <w:rPr>
          <w:lang w:val="es-ES"/>
        </w:rPr>
        <w:t xml:space="preserve">Caso </w:t>
      </w:r>
      <w:r w:rsidR="00EC3263">
        <w:rPr>
          <w:i/>
          <w:lang w:val="es-ES"/>
        </w:rPr>
        <w:t>Vereda La Esperanza</w:t>
      </w:r>
      <w:r w:rsidR="00EC3263" w:rsidRPr="00870DE8">
        <w:rPr>
          <w:i/>
          <w:lang w:val="es-ES"/>
        </w:rPr>
        <w:t xml:space="preserve"> Vs. Colombia,</w:t>
      </w:r>
      <w:r w:rsidR="00EC3263" w:rsidRPr="00870DE8">
        <w:rPr>
          <w:lang w:val="es-ES"/>
        </w:rPr>
        <w:t xml:space="preserve"> </w:t>
      </w:r>
      <w:r w:rsidR="00EC3263" w:rsidRPr="00870DE8">
        <w:t xml:space="preserve">Resolución del Presidente de la Corte de </w:t>
      </w:r>
      <w:r w:rsidR="00EC3263">
        <w:t>10</w:t>
      </w:r>
      <w:r w:rsidR="00EC3263" w:rsidRPr="00870DE8">
        <w:t xml:space="preserve"> de mayo de 201</w:t>
      </w:r>
      <w:r w:rsidR="00EC3263">
        <w:t>6</w:t>
      </w:r>
      <w:r w:rsidR="00EC3263" w:rsidRPr="00870DE8">
        <w:t xml:space="preserve">, Considerando </w:t>
      </w:r>
      <w:r w:rsidR="00EC3263">
        <w:t>9</w:t>
      </w:r>
      <w:r w:rsidRPr="00870DE8">
        <w:rPr>
          <w:lang w:val="es-ES"/>
        </w:rPr>
        <w:t>.</w:t>
      </w:r>
    </w:p>
  </w:footnote>
  <w:footnote w:id="2">
    <w:p w:rsidR="0053778A" w:rsidRPr="00340EE0" w:rsidRDefault="0053778A" w:rsidP="00870DE8">
      <w:pPr>
        <w:pStyle w:val="FootnoteText"/>
      </w:pPr>
      <w:r>
        <w:rPr>
          <w:rStyle w:val="FootnoteReference"/>
        </w:rPr>
        <w:footnoteRef/>
      </w:r>
      <w:r>
        <w:t xml:space="preserve"> </w:t>
      </w:r>
      <w:r>
        <w:tab/>
      </w:r>
      <w:r w:rsidRPr="00340EE0">
        <w:rPr>
          <w:i/>
        </w:rPr>
        <w:t>Cfr.</w:t>
      </w:r>
      <w:r>
        <w:t xml:space="preserve"> Caso </w:t>
      </w:r>
      <w:r w:rsidRPr="00340EE0">
        <w:rPr>
          <w:i/>
        </w:rPr>
        <w:t>Omeara Carrascal y otros Vs. Colombia</w:t>
      </w:r>
      <w:r>
        <w:t>, Resolución del Presidente de la Corte de 21 de abril de 2017, Considerando 35.</w:t>
      </w:r>
    </w:p>
  </w:footnote>
  <w:footnote w:id="3">
    <w:p w:rsidR="0053778A" w:rsidRPr="00340EE0" w:rsidRDefault="0053778A" w:rsidP="00870DE8">
      <w:pPr>
        <w:pStyle w:val="FootnoteText"/>
      </w:pPr>
      <w:r>
        <w:rPr>
          <w:rStyle w:val="FootnoteReference"/>
        </w:rPr>
        <w:footnoteRef/>
      </w:r>
      <w:r>
        <w:t xml:space="preserve"> </w:t>
      </w:r>
      <w:r>
        <w:tab/>
      </w:r>
      <w:r w:rsidRPr="00340EE0">
        <w:rPr>
          <w:i/>
        </w:rPr>
        <w:t>Cfr.</w:t>
      </w:r>
      <w:r>
        <w:t xml:space="preserve"> Caso </w:t>
      </w:r>
      <w:r w:rsidRPr="00340EE0">
        <w:rPr>
          <w:i/>
        </w:rPr>
        <w:t>Omeara Carrascal y otros Vs. Colombia</w:t>
      </w:r>
      <w:r>
        <w:t xml:space="preserve">, </w:t>
      </w:r>
      <w:r w:rsidR="001F25E4">
        <w:rPr>
          <w:i/>
        </w:rPr>
        <w:t>supra</w:t>
      </w:r>
      <w:r>
        <w:t>, Considerando 35.</w:t>
      </w:r>
    </w:p>
  </w:footnote>
  <w:footnote w:id="4">
    <w:p w:rsidR="0053778A" w:rsidRDefault="0053778A" w:rsidP="00870DE8">
      <w:pPr>
        <w:pStyle w:val="FootnoteText"/>
        <w:rPr>
          <w:szCs w:val="16"/>
          <w:lang w:val="es-CO"/>
        </w:rPr>
      </w:pPr>
      <w:r>
        <w:rPr>
          <w:rStyle w:val="FootnoteReference"/>
        </w:rPr>
        <w:footnoteRef/>
      </w:r>
      <w:r>
        <w:t xml:space="preserve"> </w:t>
      </w:r>
      <w:r>
        <w:tab/>
      </w:r>
      <w:r>
        <w:rPr>
          <w:i/>
        </w:rPr>
        <w:t>Cfr</w:t>
      </w:r>
      <w:r>
        <w:t xml:space="preserve">. </w:t>
      </w:r>
      <w:r w:rsidRPr="005D44F2">
        <w:t>Caso</w:t>
      </w:r>
      <w:r>
        <w:rPr>
          <w:i/>
        </w:rPr>
        <w:t xml:space="preserve"> Barbani Duarte y Otros Vs. Uruguay.</w:t>
      </w:r>
      <w:r>
        <w:t xml:space="preserve"> Resolución del Presidente de la Corte Interamericana de Derechos Humanos de 31 de enero de 2011, Considerando 16</w:t>
      </w:r>
      <w:r w:rsidR="003F2633">
        <w:t>,</w:t>
      </w:r>
      <w:r>
        <w:t xml:space="preserve"> y </w:t>
      </w:r>
      <w:r w:rsidR="003F2633" w:rsidRPr="00870DE8">
        <w:rPr>
          <w:i/>
        </w:rPr>
        <w:t>Cfr.</w:t>
      </w:r>
      <w:r w:rsidR="003F2633" w:rsidRPr="00870DE8">
        <w:t xml:space="preserve"> </w:t>
      </w:r>
      <w:r w:rsidR="003F2633" w:rsidRPr="00870DE8">
        <w:rPr>
          <w:lang w:val="es-ES"/>
        </w:rPr>
        <w:t xml:space="preserve">Caso </w:t>
      </w:r>
      <w:r w:rsidR="003F2633">
        <w:rPr>
          <w:i/>
          <w:lang w:val="es-ES"/>
        </w:rPr>
        <w:t>Vereda La Esperanza</w:t>
      </w:r>
      <w:r w:rsidR="003F2633" w:rsidRPr="00870DE8">
        <w:rPr>
          <w:i/>
          <w:lang w:val="es-ES"/>
        </w:rPr>
        <w:t xml:space="preserve"> Vs. Colombia,</w:t>
      </w:r>
      <w:r w:rsidR="003F2633" w:rsidRPr="00870DE8">
        <w:rPr>
          <w:lang w:val="es-ES"/>
        </w:rPr>
        <w:t xml:space="preserve"> </w:t>
      </w:r>
      <w:r w:rsidR="0055205D" w:rsidRPr="005D44F2">
        <w:rPr>
          <w:i/>
        </w:rPr>
        <w:t>supra</w:t>
      </w:r>
      <w:r w:rsidR="003F2633" w:rsidRPr="00870DE8">
        <w:t>, Considerando</w:t>
      </w:r>
      <w:r w:rsidR="003F2633">
        <w:t xml:space="preserve"> 46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8A" w:rsidRDefault="0053778A">
    <w:pPr>
      <w:pStyle w:val="Header"/>
      <w:jc w:val="center"/>
    </w:pPr>
    <w:r>
      <w:fldChar w:fldCharType="begin"/>
    </w:r>
    <w:r>
      <w:instrText xml:space="preserve"> PAGE   \* MERGEFORMAT </w:instrText>
    </w:r>
    <w:r>
      <w:fldChar w:fldCharType="separate"/>
    </w:r>
    <w:r w:rsidR="004C123E">
      <w:rPr>
        <w:noProof/>
      </w:rPr>
      <w:t>11</w:t>
    </w:r>
    <w:r>
      <w:rPr>
        <w:noProof/>
      </w:rPr>
      <w:fldChar w:fldCharType="end"/>
    </w:r>
  </w:p>
  <w:p w:rsidR="0053778A" w:rsidRDefault="0053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E541AD"/>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5EF334B"/>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9C83564"/>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C4D732F"/>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55448CC"/>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9293BF9"/>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AC754BB"/>
    <w:multiLevelType w:val="hybridMultilevel"/>
    <w:tmpl w:val="9A78990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F84FB0"/>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2C7357A"/>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45A26AB"/>
    <w:multiLevelType w:val="hybridMultilevel"/>
    <w:tmpl w:val="249CD09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4352659A"/>
    <w:multiLevelType w:val="hybridMultilevel"/>
    <w:tmpl w:val="EDE04BB8"/>
    <w:lvl w:ilvl="0" w:tplc="5E6E2D30">
      <w:start w:val="1"/>
      <w:numFmt w:val="upp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3">
    <w:nsid w:val="44B4788E"/>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6253B39"/>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E0600B2"/>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A24631E"/>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ind w:left="0" w:firstLine="0"/>
      </w:pPr>
      <w:rPr>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9">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D8A0A31"/>
    <w:multiLevelType w:val="hybridMultilevel"/>
    <w:tmpl w:val="EC041CD8"/>
    <w:lvl w:ilvl="0" w:tplc="ED0459E8">
      <w:start w:val="1"/>
      <w:numFmt w:val="decimal"/>
      <w:pStyle w:val="Num"/>
      <w:lvlText w:val="%1."/>
      <w:lvlJc w:val="left"/>
      <w:pPr>
        <w:ind w:left="360" w:hanging="360"/>
      </w:pPr>
    </w:lvl>
    <w:lvl w:ilvl="1" w:tplc="323EEAAC" w:tentative="1">
      <w:start w:val="1"/>
      <w:numFmt w:val="lowerLetter"/>
      <w:lvlText w:val="%2."/>
      <w:lvlJc w:val="left"/>
      <w:pPr>
        <w:ind w:left="1530" w:hanging="360"/>
      </w:pPr>
    </w:lvl>
    <w:lvl w:ilvl="2" w:tplc="B96C1A40"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21">
    <w:nsid w:val="6DD96F59"/>
    <w:multiLevelType w:val="hybridMultilevel"/>
    <w:tmpl w:val="3A949B98"/>
    <w:lvl w:ilvl="0" w:tplc="0019040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5FB7C72"/>
    <w:multiLevelType w:val="hybridMultilevel"/>
    <w:tmpl w:val="E1225B1E"/>
    <w:lvl w:ilvl="0" w:tplc="D1901EA4">
      <w:start w:val="1"/>
      <w:numFmt w:val="upperLetter"/>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D7A1238"/>
    <w:multiLevelType w:val="hybridMultilevel"/>
    <w:tmpl w:val="94BECD7E"/>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20"/>
    <w:lvlOverride w:ilvl="0">
      <w:startOverride w:val="1"/>
    </w:lvlOverride>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7"/>
  </w:num>
  <w:num w:numId="8">
    <w:abstractNumId w:val="5"/>
  </w:num>
  <w:num w:numId="9">
    <w:abstractNumId w:val="13"/>
  </w:num>
  <w:num w:numId="10">
    <w:abstractNumId w:val="2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7"/>
  </w:num>
  <w:num w:numId="21">
    <w:abstractNumId w:val="16"/>
  </w:num>
  <w:num w:numId="22">
    <w:abstractNumId w:val="14"/>
  </w:num>
  <w:num w:numId="23">
    <w:abstractNumId w:val="9"/>
  </w:num>
  <w:num w:numId="24">
    <w:abstractNumId w:val="23"/>
  </w:num>
  <w:num w:numId="25">
    <w:abstractNumId w:val="1"/>
  </w:num>
  <w:num w:numId="26">
    <w:abstractNumId w:val="2"/>
  </w:num>
  <w:num w:numId="27">
    <w:abstractNumId w:val="8"/>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1B"/>
    <w:rsid w:val="00001166"/>
    <w:rsid w:val="000029A1"/>
    <w:rsid w:val="00002E9E"/>
    <w:rsid w:val="00003260"/>
    <w:rsid w:val="0001287A"/>
    <w:rsid w:val="00012E50"/>
    <w:rsid w:val="000151C0"/>
    <w:rsid w:val="00016C8D"/>
    <w:rsid w:val="00017A7C"/>
    <w:rsid w:val="00017AA6"/>
    <w:rsid w:val="00020A9A"/>
    <w:rsid w:val="00023332"/>
    <w:rsid w:val="000247C6"/>
    <w:rsid w:val="000247F8"/>
    <w:rsid w:val="00024F56"/>
    <w:rsid w:val="000264C5"/>
    <w:rsid w:val="00026543"/>
    <w:rsid w:val="00026935"/>
    <w:rsid w:val="00026AEE"/>
    <w:rsid w:val="00027244"/>
    <w:rsid w:val="00030FC1"/>
    <w:rsid w:val="000318A6"/>
    <w:rsid w:val="00031E28"/>
    <w:rsid w:val="000328BD"/>
    <w:rsid w:val="000333C8"/>
    <w:rsid w:val="00034057"/>
    <w:rsid w:val="0003571F"/>
    <w:rsid w:val="00036203"/>
    <w:rsid w:val="00036C9A"/>
    <w:rsid w:val="000371AE"/>
    <w:rsid w:val="000376A7"/>
    <w:rsid w:val="00037A14"/>
    <w:rsid w:val="0004129F"/>
    <w:rsid w:val="0004179B"/>
    <w:rsid w:val="00041B5F"/>
    <w:rsid w:val="00042315"/>
    <w:rsid w:val="000429BC"/>
    <w:rsid w:val="0004425E"/>
    <w:rsid w:val="00044DA7"/>
    <w:rsid w:val="000450C7"/>
    <w:rsid w:val="00045217"/>
    <w:rsid w:val="0004561C"/>
    <w:rsid w:val="00047920"/>
    <w:rsid w:val="00052855"/>
    <w:rsid w:val="00053415"/>
    <w:rsid w:val="00053EE2"/>
    <w:rsid w:val="000543AC"/>
    <w:rsid w:val="00056D78"/>
    <w:rsid w:val="00060213"/>
    <w:rsid w:val="00060BA4"/>
    <w:rsid w:val="000619D3"/>
    <w:rsid w:val="0006346C"/>
    <w:rsid w:val="000647D6"/>
    <w:rsid w:val="00065DAD"/>
    <w:rsid w:val="000674D3"/>
    <w:rsid w:val="00067683"/>
    <w:rsid w:val="0007167E"/>
    <w:rsid w:val="0007243F"/>
    <w:rsid w:val="000725D2"/>
    <w:rsid w:val="000729FF"/>
    <w:rsid w:val="00072AB9"/>
    <w:rsid w:val="000732FE"/>
    <w:rsid w:val="00073B55"/>
    <w:rsid w:val="000768D5"/>
    <w:rsid w:val="000804BF"/>
    <w:rsid w:val="00083B23"/>
    <w:rsid w:val="00084E55"/>
    <w:rsid w:val="00085A48"/>
    <w:rsid w:val="00086097"/>
    <w:rsid w:val="00086557"/>
    <w:rsid w:val="000878EB"/>
    <w:rsid w:val="00090228"/>
    <w:rsid w:val="0009435A"/>
    <w:rsid w:val="000953E0"/>
    <w:rsid w:val="00097299"/>
    <w:rsid w:val="00097BCE"/>
    <w:rsid w:val="000A0A08"/>
    <w:rsid w:val="000A2426"/>
    <w:rsid w:val="000A27DE"/>
    <w:rsid w:val="000A48F5"/>
    <w:rsid w:val="000A49DD"/>
    <w:rsid w:val="000A686C"/>
    <w:rsid w:val="000A77BA"/>
    <w:rsid w:val="000B01D6"/>
    <w:rsid w:val="000B021F"/>
    <w:rsid w:val="000B129D"/>
    <w:rsid w:val="000B34DB"/>
    <w:rsid w:val="000B39F2"/>
    <w:rsid w:val="000B3B03"/>
    <w:rsid w:val="000B3CFF"/>
    <w:rsid w:val="000B42F4"/>
    <w:rsid w:val="000B5F44"/>
    <w:rsid w:val="000C0157"/>
    <w:rsid w:val="000C017D"/>
    <w:rsid w:val="000C2626"/>
    <w:rsid w:val="000C33E0"/>
    <w:rsid w:val="000C400E"/>
    <w:rsid w:val="000C40DC"/>
    <w:rsid w:val="000C54FA"/>
    <w:rsid w:val="000C5CFF"/>
    <w:rsid w:val="000D297A"/>
    <w:rsid w:val="000D797E"/>
    <w:rsid w:val="000E10AE"/>
    <w:rsid w:val="000E2E13"/>
    <w:rsid w:val="000E3837"/>
    <w:rsid w:val="000E4D20"/>
    <w:rsid w:val="000E650E"/>
    <w:rsid w:val="000F036A"/>
    <w:rsid w:val="000F5EDE"/>
    <w:rsid w:val="000F6016"/>
    <w:rsid w:val="000F6F51"/>
    <w:rsid w:val="000F7065"/>
    <w:rsid w:val="000F7665"/>
    <w:rsid w:val="000F7AA2"/>
    <w:rsid w:val="00100038"/>
    <w:rsid w:val="00101165"/>
    <w:rsid w:val="001019E2"/>
    <w:rsid w:val="00102796"/>
    <w:rsid w:val="001041C1"/>
    <w:rsid w:val="00104C23"/>
    <w:rsid w:val="001059C8"/>
    <w:rsid w:val="00105B1C"/>
    <w:rsid w:val="00106075"/>
    <w:rsid w:val="001114B3"/>
    <w:rsid w:val="00111DF9"/>
    <w:rsid w:val="00111E6D"/>
    <w:rsid w:val="0011269D"/>
    <w:rsid w:val="00114020"/>
    <w:rsid w:val="0011573D"/>
    <w:rsid w:val="0011687D"/>
    <w:rsid w:val="001216A2"/>
    <w:rsid w:val="00122EC0"/>
    <w:rsid w:val="0012519C"/>
    <w:rsid w:val="00127DF3"/>
    <w:rsid w:val="00130333"/>
    <w:rsid w:val="00131F24"/>
    <w:rsid w:val="00132963"/>
    <w:rsid w:val="00132A54"/>
    <w:rsid w:val="00133334"/>
    <w:rsid w:val="00133BA1"/>
    <w:rsid w:val="00134162"/>
    <w:rsid w:val="00134306"/>
    <w:rsid w:val="00134445"/>
    <w:rsid w:val="00135B03"/>
    <w:rsid w:val="00135B55"/>
    <w:rsid w:val="00136582"/>
    <w:rsid w:val="00136D1F"/>
    <w:rsid w:val="00137467"/>
    <w:rsid w:val="001376BB"/>
    <w:rsid w:val="00137B45"/>
    <w:rsid w:val="00140329"/>
    <w:rsid w:val="001408B6"/>
    <w:rsid w:val="00142A36"/>
    <w:rsid w:val="00143A74"/>
    <w:rsid w:val="00144B55"/>
    <w:rsid w:val="0014550B"/>
    <w:rsid w:val="00146A58"/>
    <w:rsid w:val="00150392"/>
    <w:rsid w:val="00150E99"/>
    <w:rsid w:val="00151365"/>
    <w:rsid w:val="00151DA1"/>
    <w:rsid w:val="00153151"/>
    <w:rsid w:val="001531D0"/>
    <w:rsid w:val="001533D6"/>
    <w:rsid w:val="0015365A"/>
    <w:rsid w:val="00153CD8"/>
    <w:rsid w:val="00155BC9"/>
    <w:rsid w:val="00155DB1"/>
    <w:rsid w:val="001566BA"/>
    <w:rsid w:val="001602D0"/>
    <w:rsid w:val="0016178C"/>
    <w:rsid w:val="0016225B"/>
    <w:rsid w:val="00163965"/>
    <w:rsid w:val="00163A1B"/>
    <w:rsid w:val="00163AF5"/>
    <w:rsid w:val="00163DBD"/>
    <w:rsid w:val="00164064"/>
    <w:rsid w:val="00165DC9"/>
    <w:rsid w:val="0017163D"/>
    <w:rsid w:val="00171E5F"/>
    <w:rsid w:val="00172868"/>
    <w:rsid w:val="001728E4"/>
    <w:rsid w:val="00174570"/>
    <w:rsid w:val="0017550A"/>
    <w:rsid w:val="0017643B"/>
    <w:rsid w:val="001834BA"/>
    <w:rsid w:val="00184146"/>
    <w:rsid w:val="00184C91"/>
    <w:rsid w:val="001878F3"/>
    <w:rsid w:val="00187A4E"/>
    <w:rsid w:val="0019004E"/>
    <w:rsid w:val="001907D5"/>
    <w:rsid w:val="00191BE8"/>
    <w:rsid w:val="0019328D"/>
    <w:rsid w:val="001952D4"/>
    <w:rsid w:val="0019599C"/>
    <w:rsid w:val="001967F2"/>
    <w:rsid w:val="001A0FE8"/>
    <w:rsid w:val="001A2187"/>
    <w:rsid w:val="001A261C"/>
    <w:rsid w:val="001A2848"/>
    <w:rsid w:val="001A31E5"/>
    <w:rsid w:val="001A3BD4"/>
    <w:rsid w:val="001A4247"/>
    <w:rsid w:val="001A4985"/>
    <w:rsid w:val="001A5883"/>
    <w:rsid w:val="001A6487"/>
    <w:rsid w:val="001A673A"/>
    <w:rsid w:val="001A7609"/>
    <w:rsid w:val="001B04CA"/>
    <w:rsid w:val="001B14CF"/>
    <w:rsid w:val="001B1B69"/>
    <w:rsid w:val="001B56A4"/>
    <w:rsid w:val="001B59D3"/>
    <w:rsid w:val="001B5D53"/>
    <w:rsid w:val="001B73C7"/>
    <w:rsid w:val="001B78A8"/>
    <w:rsid w:val="001C0C9D"/>
    <w:rsid w:val="001C1FD0"/>
    <w:rsid w:val="001C325C"/>
    <w:rsid w:val="001C435B"/>
    <w:rsid w:val="001C4712"/>
    <w:rsid w:val="001C5DF1"/>
    <w:rsid w:val="001C6BA3"/>
    <w:rsid w:val="001D1DAB"/>
    <w:rsid w:val="001D2E0B"/>
    <w:rsid w:val="001D490B"/>
    <w:rsid w:val="001D53FE"/>
    <w:rsid w:val="001D57F6"/>
    <w:rsid w:val="001D7292"/>
    <w:rsid w:val="001D7DF7"/>
    <w:rsid w:val="001E1817"/>
    <w:rsid w:val="001E1E35"/>
    <w:rsid w:val="001E3BFD"/>
    <w:rsid w:val="001E48C8"/>
    <w:rsid w:val="001E5C4B"/>
    <w:rsid w:val="001E6063"/>
    <w:rsid w:val="001E6689"/>
    <w:rsid w:val="001F0733"/>
    <w:rsid w:val="001F0895"/>
    <w:rsid w:val="001F0DEC"/>
    <w:rsid w:val="001F1FB3"/>
    <w:rsid w:val="001F25E4"/>
    <w:rsid w:val="001F34D0"/>
    <w:rsid w:val="001F365E"/>
    <w:rsid w:val="001F3FFC"/>
    <w:rsid w:val="001F3FFE"/>
    <w:rsid w:val="001F4815"/>
    <w:rsid w:val="001F4BE8"/>
    <w:rsid w:val="001F5463"/>
    <w:rsid w:val="001F66B8"/>
    <w:rsid w:val="001F79A0"/>
    <w:rsid w:val="00201534"/>
    <w:rsid w:val="00202246"/>
    <w:rsid w:val="00202D70"/>
    <w:rsid w:val="002038A0"/>
    <w:rsid w:val="00203FCE"/>
    <w:rsid w:val="00204F64"/>
    <w:rsid w:val="00205557"/>
    <w:rsid w:val="0020626A"/>
    <w:rsid w:val="002104F5"/>
    <w:rsid w:val="00210E2D"/>
    <w:rsid w:val="0021171E"/>
    <w:rsid w:val="002125B1"/>
    <w:rsid w:val="00212606"/>
    <w:rsid w:val="00213177"/>
    <w:rsid w:val="00213F45"/>
    <w:rsid w:val="00214722"/>
    <w:rsid w:val="00214990"/>
    <w:rsid w:val="00215DEA"/>
    <w:rsid w:val="00216CCF"/>
    <w:rsid w:val="0021713C"/>
    <w:rsid w:val="002175BD"/>
    <w:rsid w:val="002207E0"/>
    <w:rsid w:val="00221170"/>
    <w:rsid w:val="0022307D"/>
    <w:rsid w:val="00223E52"/>
    <w:rsid w:val="0022409B"/>
    <w:rsid w:val="002252AB"/>
    <w:rsid w:val="0022549E"/>
    <w:rsid w:val="00225AB2"/>
    <w:rsid w:val="00231F09"/>
    <w:rsid w:val="00232B22"/>
    <w:rsid w:val="0023386B"/>
    <w:rsid w:val="00234EFB"/>
    <w:rsid w:val="00234FF7"/>
    <w:rsid w:val="0023647A"/>
    <w:rsid w:val="0023696A"/>
    <w:rsid w:val="00236D65"/>
    <w:rsid w:val="00237B2D"/>
    <w:rsid w:val="00237F2A"/>
    <w:rsid w:val="00237F3F"/>
    <w:rsid w:val="00241C1C"/>
    <w:rsid w:val="00242577"/>
    <w:rsid w:val="002446FD"/>
    <w:rsid w:val="002468EE"/>
    <w:rsid w:val="00247138"/>
    <w:rsid w:val="00253793"/>
    <w:rsid w:val="0025381F"/>
    <w:rsid w:val="0025455C"/>
    <w:rsid w:val="00255428"/>
    <w:rsid w:val="0025741A"/>
    <w:rsid w:val="0025757A"/>
    <w:rsid w:val="002604E1"/>
    <w:rsid w:val="002616E4"/>
    <w:rsid w:val="002622B6"/>
    <w:rsid w:val="00264B93"/>
    <w:rsid w:val="00267734"/>
    <w:rsid w:val="00270155"/>
    <w:rsid w:val="00270316"/>
    <w:rsid w:val="00270E89"/>
    <w:rsid w:val="00272481"/>
    <w:rsid w:val="002724B8"/>
    <w:rsid w:val="00274557"/>
    <w:rsid w:val="002746BF"/>
    <w:rsid w:val="00274A32"/>
    <w:rsid w:val="00275C6A"/>
    <w:rsid w:val="0027616B"/>
    <w:rsid w:val="0027794F"/>
    <w:rsid w:val="00280E72"/>
    <w:rsid w:val="002813F4"/>
    <w:rsid w:val="00281745"/>
    <w:rsid w:val="002818D4"/>
    <w:rsid w:val="00282306"/>
    <w:rsid w:val="0028230A"/>
    <w:rsid w:val="0028253D"/>
    <w:rsid w:val="002843F9"/>
    <w:rsid w:val="00287631"/>
    <w:rsid w:val="0028781A"/>
    <w:rsid w:val="00287F29"/>
    <w:rsid w:val="002936FA"/>
    <w:rsid w:val="0029450E"/>
    <w:rsid w:val="00295BC2"/>
    <w:rsid w:val="00296931"/>
    <w:rsid w:val="00296BBE"/>
    <w:rsid w:val="00296FAF"/>
    <w:rsid w:val="002979D2"/>
    <w:rsid w:val="002979DE"/>
    <w:rsid w:val="002A1246"/>
    <w:rsid w:val="002A389D"/>
    <w:rsid w:val="002A3E02"/>
    <w:rsid w:val="002A4150"/>
    <w:rsid w:val="002A578C"/>
    <w:rsid w:val="002A5B08"/>
    <w:rsid w:val="002A5D95"/>
    <w:rsid w:val="002A5FD6"/>
    <w:rsid w:val="002A6792"/>
    <w:rsid w:val="002A7674"/>
    <w:rsid w:val="002A7DB4"/>
    <w:rsid w:val="002B1A8E"/>
    <w:rsid w:val="002B275E"/>
    <w:rsid w:val="002B614E"/>
    <w:rsid w:val="002B7206"/>
    <w:rsid w:val="002C1715"/>
    <w:rsid w:val="002C46AD"/>
    <w:rsid w:val="002C4892"/>
    <w:rsid w:val="002C5F85"/>
    <w:rsid w:val="002C6A42"/>
    <w:rsid w:val="002C72FB"/>
    <w:rsid w:val="002C7CCD"/>
    <w:rsid w:val="002D1451"/>
    <w:rsid w:val="002D1907"/>
    <w:rsid w:val="002D38C8"/>
    <w:rsid w:val="002D3BFE"/>
    <w:rsid w:val="002D41F6"/>
    <w:rsid w:val="002D4FCA"/>
    <w:rsid w:val="002D61ED"/>
    <w:rsid w:val="002D6873"/>
    <w:rsid w:val="002D68E9"/>
    <w:rsid w:val="002D6D8F"/>
    <w:rsid w:val="002D78DD"/>
    <w:rsid w:val="002E0136"/>
    <w:rsid w:val="002E04E1"/>
    <w:rsid w:val="002E36CC"/>
    <w:rsid w:val="002E37BF"/>
    <w:rsid w:val="002E415C"/>
    <w:rsid w:val="002E53F4"/>
    <w:rsid w:val="002E57CA"/>
    <w:rsid w:val="002E6771"/>
    <w:rsid w:val="002E767D"/>
    <w:rsid w:val="002F0553"/>
    <w:rsid w:val="002F27E6"/>
    <w:rsid w:val="002F3CC4"/>
    <w:rsid w:val="002F3DBF"/>
    <w:rsid w:val="002F3EE4"/>
    <w:rsid w:val="002F624E"/>
    <w:rsid w:val="002F650E"/>
    <w:rsid w:val="00300340"/>
    <w:rsid w:val="00300F79"/>
    <w:rsid w:val="00302F00"/>
    <w:rsid w:val="00303736"/>
    <w:rsid w:val="003061F8"/>
    <w:rsid w:val="00306396"/>
    <w:rsid w:val="00307A1A"/>
    <w:rsid w:val="003112E1"/>
    <w:rsid w:val="0031231B"/>
    <w:rsid w:val="0031243B"/>
    <w:rsid w:val="003142CA"/>
    <w:rsid w:val="00314A42"/>
    <w:rsid w:val="00315794"/>
    <w:rsid w:val="00315E59"/>
    <w:rsid w:val="003162D3"/>
    <w:rsid w:val="00317185"/>
    <w:rsid w:val="00321225"/>
    <w:rsid w:val="003216DE"/>
    <w:rsid w:val="003223A8"/>
    <w:rsid w:val="0032302D"/>
    <w:rsid w:val="00323716"/>
    <w:rsid w:val="00324EC4"/>
    <w:rsid w:val="003253D7"/>
    <w:rsid w:val="003260A6"/>
    <w:rsid w:val="0032761C"/>
    <w:rsid w:val="00331500"/>
    <w:rsid w:val="00332081"/>
    <w:rsid w:val="003329BF"/>
    <w:rsid w:val="00333DAA"/>
    <w:rsid w:val="00334ED7"/>
    <w:rsid w:val="003369DC"/>
    <w:rsid w:val="003370AE"/>
    <w:rsid w:val="00340C54"/>
    <w:rsid w:val="00340EE0"/>
    <w:rsid w:val="00340F07"/>
    <w:rsid w:val="003430E4"/>
    <w:rsid w:val="00343855"/>
    <w:rsid w:val="00344175"/>
    <w:rsid w:val="003443D2"/>
    <w:rsid w:val="003444E1"/>
    <w:rsid w:val="003460E3"/>
    <w:rsid w:val="0034683A"/>
    <w:rsid w:val="003500D5"/>
    <w:rsid w:val="0035043C"/>
    <w:rsid w:val="00352E7F"/>
    <w:rsid w:val="0035505A"/>
    <w:rsid w:val="003559C7"/>
    <w:rsid w:val="00355F78"/>
    <w:rsid w:val="0035725C"/>
    <w:rsid w:val="00360C31"/>
    <w:rsid w:val="0036123C"/>
    <w:rsid w:val="0036229B"/>
    <w:rsid w:val="0036658F"/>
    <w:rsid w:val="003676B7"/>
    <w:rsid w:val="00367A12"/>
    <w:rsid w:val="00372CDF"/>
    <w:rsid w:val="003773BD"/>
    <w:rsid w:val="00377886"/>
    <w:rsid w:val="00380215"/>
    <w:rsid w:val="00380217"/>
    <w:rsid w:val="00381BE9"/>
    <w:rsid w:val="003934FD"/>
    <w:rsid w:val="0039389B"/>
    <w:rsid w:val="00393A20"/>
    <w:rsid w:val="00394205"/>
    <w:rsid w:val="003950EC"/>
    <w:rsid w:val="00395454"/>
    <w:rsid w:val="00396B60"/>
    <w:rsid w:val="00397156"/>
    <w:rsid w:val="00397695"/>
    <w:rsid w:val="003A00D0"/>
    <w:rsid w:val="003A072E"/>
    <w:rsid w:val="003A2F11"/>
    <w:rsid w:val="003A2F65"/>
    <w:rsid w:val="003B0177"/>
    <w:rsid w:val="003B13AC"/>
    <w:rsid w:val="003B252D"/>
    <w:rsid w:val="003B2928"/>
    <w:rsid w:val="003B3284"/>
    <w:rsid w:val="003B3AA0"/>
    <w:rsid w:val="003B3F09"/>
    <w:rsid w:val="003B42B3"/>
    <w:rsid w:val="003B5F76"/>
    <w:rsid w:val="003B626C"/>
    <w:rsid w:val="003B649F"/>
    <w:rsid w:val="003B7D23"/>
    <w:rsid w:val="003C0D34"/>
    <w:rsid w:val="003C2213"/>
    <w:rsid w:val="003C4C9D"/>
    <w:rsid w:val="003C6CE6"/>
    <w:rsid w:val="003C71FE"/>
    <w:rsid w:val="003D0127"/>
    <w:rsid w:val="003D0C6B"/>
    <w:rsid w:val="003D27E4"/>
    <w:rsid w:val="003D3A14"/>
    <w:rsid w:val="003D416D"/>
    <w:rsid w:val="003D5514"/>
    <w:rsid w:val="003D5AAE"/>
    <w:rsid w:val="003D7689"/>
    <w:rsid w:val="003E18DC"/>
    <w:rsid w:val="003E4457"/>
    <w:rsid w:val="003E588F"/>
    <w:rsid w:val="003E7D8F"/>
    <w:rsid w:val="003F1B95"/>
    <w:rsid w:val="003F2633"/>
    <w:rsid w:val="003F2A70"/>
    <w:rsid w:val="003F2DB2"/>
    <w:rsid w:val="003F3A70"/>
    <w:rsid w:val="003F6575"/>
    <w:rsid w:val="003F791D"/>
    <w:rsid w:val="003F7B69"/>
    <w:rsid w:val="00400036"/>
    <w:rsid w:val="004004E7"/>
    <w:rsid w:val="004007BE"/>
    <w:rsid w:val="00400FE4"/>
    <w:rsid w:val="00402141"/>
    <w:rsid w:val="00402B90"/>
    <w:rsid w:val="004048D6"/>
    <w:rsid w:val="004055CB"/>
    <w:rsid w:val="00405800"/>
    <w:rsid w:val="004101C5"/>
    <w:rsid w:val="0041029C"/>
    <w:rsid w:val="0041141F"/>
    <w:rsid w:val="00413016"/>
    <w:rsid w:val="00413801"/>
    <w:rsid w:val="00413872"/>
    <w:rsid w:val="004162E4"/>
    <w:rsid w:val="0042008F"/>
    <w:rsid w:val="00420100"/>
    <w:rsid w:val="00420CF2"/>
    <w:rsid w:val="00421529"/>
    <w:rsid w:val="0042295D"/>
    <w:rsid w:val="00423079"/>
    <w:rsid w:val="004244A3"/>
    <w:rsid w:val="004246CB"/>
    <w:rsid w:val="004311D7"/>
    <w:rsid w:val="00431884"/>
    <w:rsid w:val="00432BCC"/>
    <w:rsid w:val="00434531"/>
    <w:rsid w:val="00434688"/>
    <w:rsid w:val="004346FA"/>
    <w:rsid w:val="00435A22"/>
    <w:rsid w:val="00437844"/>
    <w:rsid w:val="004379E8"/>
    <w:rsid w:val="00437F3D"/>
    <w:rsid w:val="004405B6"/>
    <w:rsid w:val="004406FE"/>
    <w:rsid w:val="00441507"/>
    <w:rsid w:val="00441C15"/>
    <w:rsid w:val="00442AB4"/>
    <w:rsid w:val="00444387"/>
    <w:rsid w:val="004444A9"/>
    <w:rsid w:val="00445C8A"/>
    <w:rsid w:val="00446028"/>
    <w:rsid w:val="0045219B"/>
    <w:rsid w:val="004547DF"/>
    <w:rsid w:val="00455881"/>
    <w:rsid w:val="00455A35"/>
    <w:rsid w:val="00456EBD"/>
    <w:rsid w:val="0045778E"/>
    <w:rsid w:val="00460A53"/>
    <w:rsid w:val="00461358"/>
    <w:rsid w:val="00466E19"/>
    <w:rsid w:val="004702BC"/>
    <w:rsid w:val="00470307"/>
    <w:rsid w:val="00471858"/>
    <w:rsid w:val="00472087"/>
    <w:rsid w:val="00476778"/>
    <w:rsid w:val="00477712"/>
    <w:rsid w:val="00482A8D"/>
    <w:rsid w:val="00483184"/>
    <w:rsid w:val="00483EF7"/>
    <w:rsid w:val="0048474B"/>
    <w:rsid w:val="00484AA7"/>
    <w:rsid w:val="00485205"/>
    <w:rsid w:val="004852F4"/>
    <w:rsid w:val="004854B9"/>
    <w:rsid w:val="00486860"/>
    <w:rsid w:val="00491E6F"/>
    <w:rsid w:val="00491E82"/>
    <w:rsid w:val="00492FAF"/>
    <w:rsid w:val="00493B1E"/>
    <w:rsid w:val="00496191"/>
    <w:rsid w:val="00496485"/>
    <w:rsid w:val="004A0035"/>
    <w:rsid w:val="004A0FAB"/>
    <w:rsid w:val="004A2469"/>
    <w:rsid w:val="004A3547"/>
    <w:rsid w:val="004A3702"/>
    <w:rsid w:val="004A4F48"/>
    <w:rsid w:val="004A611D"/>
    <w:rsid w:val="004B20E6"/>
    <w:rsid w:val="004B254A"/>
    <w:rsid w:val="004B4441"/>
    <w:rsid w:val="004B47D7"/>
    <w:rsid w:val="004B558C"/>
    <w:rsid w:val="004B7544"/>
    <w:rsid w:val="004B7765"/>
    <w:rsid w:val="004C0DFB"/>
    <w:rsid w:val="004C0E00"/>
    <w:rsid w:val="004C0F87"/>
    <w:rsid w:val="004C123E"/>
    <w:rsid w:val="004C2254"/>
    <w:rsid w:val="004C2645"/>
    <w:rsid w:val="004C2A9E"/>
    <w:rsid w:val="004C2B4C"/>
    <w:rsid w:val="004C338E"/>
    <w:rsid w:val="004C36B9"/>
    <w:rsid w:val="004C3778"/>
    <w:rsid w:val="004C3D5F"/>
    <w:rsid w:val="004C4051"/>
    <w:rsid w:val="004C504E"/>
    <w:rsid w:val="004C5778"/>
    <w:rsid w:val="004C594C"/>
    <w:rsid w:val="004D01AA"/>
    <w:rsid w:val="004D1C26"/>
    <w:rsid w:val="004D351F"/>
    <w:rsid w:val="004D3ECE"/>
    <w:rsid w:val="004D5170"/>
    <w:rsid w:val="004D5E79"/>
    <w:rsid w:val="004D630B"/>
    <w:rsid w:val="004E1867"/>
    <w:rsid w:val="004E5C00"/>
    <w:rsid w:val="004E66FD"/>
    <w:rsid w:val="004F10D8"/>
    <w:rsid w:val="004F14A4"/>
    <w:rsid w:val="004F2FFC"/>
    <w:rsid w:val="004F4896"/>
    <w:rsid w:val="004F6008"/>
    <w:rsid w:val="004F6E2B"/>
    <w:rsid w:val="004F76D9"/>
    <w:rsid w:val="00503C2D"/>
    <w:rsid w:val="0050504E"/>
    <w:rsid w:val="005066C4"/>
    <w:rsid w:val="005070BE"/>
    <w:rsid w:val="0050746C"/>
    <w:rsid w:val="00511242"/>
    <w:rsid w:val="00512E31"/>
    <w:rsid w:val="00513288"/>
    <w:rsid w:val="00513F98"/>
    <w:rsid w:val="00514453"/>
    <w:rsid w:val="00516045"/>
    <w:rsid w:val="005171F2"/>
    <w:rsid w:val="005206D1"/>
    <w:rsid w:val="0052268E"/>
    <w:rsid w:val="00523747"/>
    <w:rsid w:val="00524D2C"/>
    <w:rsid w:val="00527228"/>
    <w:rsid w:val="00531B7F"/>
    <w:rsid w:val="00533787"/>
    <w:rsid w:val="0053778A"/>
    <w:rsid w:val="00537F6A"/>
    <w:rsid w:val="00540EE1"/>
    <w:rsid w:val="00541829"/>
    <w:rsid w:val="00541DAE"/>
    <w:rsid w:val="00541ECD"/>
    <w:rsid w:val="00542DEF"/>
    <w:rsid w:val="005430BE"/>
    <w:rsid w:val="005436F7"/>
    <w:rsid w:val="005440DD"/>
    <w:rsid w:val="00545B80"/>
    <w:rsid w:val="00545BF2"/>
    <w:rsid w:val="0054725F"/>
    <w:rsid w:val="0055205D"/>
    <w:rsid w:val="0055423B"/>
    <w:rsid w:val="0055495E"/>
    <w:rsid w:val="00555602"/>
    <w:rsid w:val="005559B3"/>
    <w:rsid w:val="005573AD"/>
    <w:rsid w:val="00557658"/>
    <w:rsid w:val="00560471"/>
    <w:rsid w:val="0056196E"/>
    <w:rsid w:val="00561CCF"/>
    <w:rsid w:val="00561D95"/>
    <w:rsid w:val="00561DBA"/>
    <w:rsid w:val="00562636"/>
    <w:rsid w:val="00564883"/>
    <w:rsid w:val="0056568E"/>
    <w:rsid w:val="005656F6"/>
    <w:rsid w:val="00570963"/>
    <w:rsid w:val="00571F6D"/>
    <w:rsid w:val="00575A7E"/>
    <w:rsid w:val="00576486"/>
    <w:rsid w:val="0057684E"/>
    <w:rsid w:val="005771BE"/>
    <w:rsid w:val="0058056E"/>
    <w:rsid w:val="00580F04"/>
    <w:rsid w:val="0058136B"/>
    <w:rsid w:val="00583647"/>
    <w:rsid w:val="00584C3E"/>
    <w:rsid w:val="005863FE"/>
    <w:rsid w:val="005872E0"/>
    <w:rsid w:val="00590260"/>
    <w:rsid w:val="005911A1"/>
    <w:rsid w:val="0059228F"/>
    <w:rsid w:val="0059280C"/>
    <w:rsid w:val="00594270"/>
    <w:rsid w:val="00596580"/>
    <w:rsid w:val="005970C1"/>
    <w:rsid w:val="005A0F1B"/>
    <w:rsid w:val="005A25EC"/>
    <w:rsid w:val="005A3786"/>
    <w:rsid w:val="005A612A"/>
    <w:rsid w:val="005A6393"/>
    <w:rsid w:val="005A6AE1"/>
    <w:rsid w:val="005A71C9"/>
    <w:rsid w:val="005B51AB"/>
    <w:rsid w:val="005B5947"/>
    <w:rsid w:val="005C0D07"/>
    <w:rsid w:val="005C1AB5"/>
    <w:rsid w:val="005C2F5C"/>
    <w:rsid w:val="005C30F7"/>
    <w:rsid w:val="005C33AB"/>
    <w:rsid w:val="005C4790"/>
    <w:rsid w:val="005C4CE2"/>
    <w:rsid w:val="005C50FE"/>
    <w:rsid w:val="005C7D95"/>
    <w:rsid w:val="005C7F5E"/>
    <w:rsid w:val="005D0255"/>
    <w:rsid w:val="005D31F6"/>
    <w:rsid w:val="005D44F2"/>
    <w:rsid w:val="005D4663"/>
    <w:rsid w:val="005D4825"/>
    <w:rsid w:val="005D4851"/>
    <w:rsid w:val="005D6790"/>
    <w:rsid w:val="005D7A0C"/>
    <w:rsid w:val="005D7BC4"/>
    <w:rsid w:val="005E095F"/>
    <w:rsid w:val="005E3E8B"/>
    <w:rsid w:val="005E70E6"/>
    <w:rsid w:val="005E74BA"/>
    <w:rsid w:val="005F0983"/>
    <w:rsid w:val="005F2B15"/>
    <w:rsid w:val="005F3966"/>
    <w:rsid w:val="005F3A95"/>
    <w:rsid w:val="005F4B8C"/>
    <w:rsid w:val="005F5B8C"/>
    <w:rsid w:val="005F64EF"/>
    <w:rsid w:val="005F65AA"/>
    <w:rsid w:val="00600477"/>
    <w:rsid w:val="00600EF2"/>
    <w:rsid w:val="00601B84"/>
    <w:rsid w:val="00602FAF"/>
    <w:rsid w:val="00605D3E"/>
    <w:rsid w:val="00607328"/>
    <w:rsid w:val="006144FF"/>
    <w:rsid w:val="00614805"/>
    <w:rsid w:val="0061615A"/>
    <w:rsid w:val="0061699A"/>
    <w:rsid w:val="0062247E"/>
    <w:rsid w:val="006253A1"/>
    <w:rsid w:val="00630B6D"/>
    <w:rsid w:val="00630D07"/>
    <w:rsid w:val="00632FC8"/>
    <w:rsid w:val="00633FE2"/>
    <w:rsid w:val="0063747A"/>
    <w:rsid w:val="006377CC"/>
    <w:rsid w:val="00637C2B"/>
    <w:rsid w:val="00641B61"/>
    <w:rsid w:val="00642766"/>
    <w:rsid w:val="0064294E"/>
    <w:rsid w:val="006448B0"/>
    <w:rsid w:val="006479B0"/>
    <w:rsid w:val="00647B70"/>
    <w:rsid w:val="00651384"/>
    <w:rsid w:val="006521B2"/>
    <w:rsid w:val="00652814"/>
    <w:rsid w:val="00653122"/>
    <w:rsid w:val="00656B6B"/>
    <w:rsid w:val="00656D34"/>
    <w:rsid w:val="0066140A"/>
    <w:rsid w:val="0066333D"/>
    <w:rsid w:val="00664E85"/>
    <w:rsid w:val="00666766"/>
    <w:rsid w:val="00667A03"/>
    <w:rsid w:val="00670CE3"/>
    <w:rsid w:val="00671704"/>
    <w:rsid w:val="00672AF5"/>
    <w:rsid w:val="00672E33"/>
    <w:rsid w:val="0067311C"/>
    <w:rsid w:val="00674993"/>
    <w:rsid w:val="00675023"/>
    <w:rsid w:val="00676E8B"/>
    <w:rsid w:val="0067773C"/>
    <w:rsid w:val="00681320"/>
    <w:rsid w:val="006828CC"/>
    <w:rsid w:val="00687AFD"/>
    <w:rsid w:val="00690A16"/>
    <w:rsid w:val="00691C7A"/>
    <w:rsid w:val="0069260A"/>
    <w:rsid w:val="00692E2F"/>
    <w:rsid w:val="0069310D"/>
    <w:rsid w:val="006941F1"/>
    <w:rsid w:val="00695B63"/>
    <w:rsid w:val="006A0281"/>
    <w:rsid w:val="006A0ED5"/>
    <w:rsid w:val="006A11DD"/>
    <w:rsid w:val="006A2DE4"/>
    <w:rsid w:val="006A56A9"/>
    <w:rsid w:val="006A5F13"/>
    <w:rsid w:val="006A6476"/>
    <w:rsid w:val="006A6AA8"/>
    <w:rsid w:val="006A6BBF"/>
    <w:rsid w:val="006B090A"/>
    <w:rsid w:val="006B1646"/>
    <w:rsid w:val="006B48A4"/>
    <w:rsid w:val="006B505E"/>
    <w:rsid w:val="006B5438"/>
    <w:rsid w:val="006B68A0"/>
    <w:rsid w:val="006B6B39"/>
    <w:rsid w:val="006B6DA4"/>
    <w:rsid w:val="006B7520"/>
    <w:rsid w:val="006C0C0B"/>
    <w:rsid w:val="006C1393"/>
    <w:rsid w:val="006C2AB4"/>
    <w:rsid w:val="006C51FB"/>
    <w:rsid w:val="006C7A47"/>
    <w:rsid w:val="006D040E"/>
    <w:rsid w:val="006D0A73"/>
    <w:rsid w:val="006D3211"/>
    <w:rsid w:val="006D35B1"/>
    <w:rsid w:val="006D3883"/>
    <w:rsid w:val="006D41D6"/>
    <w:rsid w:val="006D58CF"/>
    <w:rsid w:val="006D6776"/>
    <w:rsid w:val="006E1917"/>
    <w:rsid w:val="006E1C35"/>
    <w:rsid w:val="006E3020"/>
    <w:rsid w:val="006E4767"/>
    <w:rsid w:val="006E4BA8"/>
    <w:rsid w:val="006E5387"/>
    <w:rsid w:val="006E586C"/>
    <w:rsid w:val="006E624B"/>
    <w:rsid w:val="006E670E"/>
    <w:rsid w:val="006E6BAB"/>
    <w:rsid w:val="006E7751"/>
    <w:rsid w:val="006F2DC1"/>
    <w:rsid w:val="006F3251"/>
    <w:rsid w:val="006F4998"/>
    <w:rsid w:val="006F4EA8"/>
    <w:rsid w:val="006F7A9E"/>
    <w:rsid w:val="006F7C28"/>
    <w:rsid w:val="0070302A"/>
    <w:rsid w:val="007034AD"/>
    <w:rsid w:val="00705049"/>
    <w:rsid w:val="00706202"/>
    <w:rsid w:val="00706750"/>
    <w:rsid w:val="00706BCC"/>
    <w:rsid w:val="00710877"/>
    <w:rsid w:val="007115CD"/>
    <w:rsid w:val="00713BFF"/>
    <w:rsid w:val="00713C1D"/>
    <w:rsid w:val="00713CD3"/>
    <w:rsid w:val="00715446"/>
    <w:rsid w:val="00715D5F"/>
    <w:rsid w:val="007167C9"/>
    <w:rsid w:val="00717415"/>
    <w:rsid w:val="00717FDA"/>
    <w:rsid w:val="007203C1"/>
    <w:rsid w:val="007236AF"/>
    <w:rsid w:val="007247EA"/>
    <w:rsid w:val="00725C77"/>
    <w:rsid w:val="0072768C"/>
    <w:rsid w:val="0073058E"/>
    <w:rsid w:val="007307A0"/>
    <w:rsid w:val="0073091F"/>
    <w:rsid w:val="00731333"/>
    <w:rsid w:val="00731956"/>
    <w:rsid w:val="0073701E"/>
    <w:rsid w:val="00737C3D"/>
    <w:rsid w:val="0074010D"/>
    <w:rsid w:val="00741DC3"/>
    <w:rsid w:val="00743BF2"/>
    <w:rsid w:val="007443A0"/>
    <w:rsid w:val="00744BDE"/>
    <w:rsid w:val="00746C95"/>
    <w:rsid w:val="007503A0"/>
    <w:rsid w:val="00751659"/>
    <w:rsid w:val="00753697"/>
    <w:rsid w:val="00753EEA"/>
    <w:rsid w:val="0075634B"/>
    <w:rsid w:val="00757990"/>
    <w:rsid w:val="007610F2"/>
    <w:rsid w:val="007645EC"/>
    <w:rsid w:val="00764654"/>
    <w:rsid w:val="00770D47"/>
    <w:rsid w:val="00774C96"/>
    <w:rsid w:val="00776ACD"/>
    <w:rsid w:val="00777117"/>
    <w:rsid w:val="00783245"/>
    <w:rsid w:val="00784582"/>
    <w:rsid w:val="0078571D"/>
    <w:rsid w:val="00785C4F"/>
    <w:rsid w:val="00790480"/>
    <w:rsid w:val="007927CA"/>
    <w:rsid w:val="00792F72"/>
    <w:rsid w:val="007940F6"/>
    <w:rsid w:val="00794948"/>
    <w:rsid w:val="00794BFA"/>
    <w:rsid w:val="0079562C"/>
    <w:rsid w:val="007975E0"/>
    <w:rsid w:val="00797FF7"/>
    <w:rsid w:val="007A2123"/>
    <w:rsid w:val="007A3096"/>
    <w:rsid w:val="007A3131"/>
    <w:rsid w:val="007A33D5"/>
    <w:rsid w:val="007A3DE7"/>
    <w:rsid w:val="007A4800"/>
    <w:rsid w:val="007A5D09"/>
    <w:rsid w:val="007A7A4A"/>
    <w:rsid w:val="007A7D7A"/>
    <w:rsid w:val="007A7F0F"/>
    <w:rsid w:val="007B0BD6"/>
    <w:rsid w:val="007B1E6D"/>
    <w:rsid w:val="007B2D48"/>
    <w:rsid w:val="007B3214"/>
    <w:rsid w:val="007B3E0E"/>
    <w:rsid w:val="007B4789"/>
    <w:rsid w:val="007B5381"/>
    <w:rsid w:val="007B6D88"/>
    <w:rsid w:val="007B70B9"/>
    <w:rsid w:val="007C061A"/>
    <w:rsid w:val="007C1E7C"/>
    <w:rsid w:val="007C2AA1"/>
    <w:rsid w:val="007C2CB8"/>
    <w:rsid w:val="007C2DFF"/>
    <w:rsid w:val="007C3364"/>
    <w:rsid w:val="007C423A"/>
    <w:rsid w:val="007C433C"/>
    <w:rsid w:val="007C4C84"/>
    <w:rsid w:val="007C706B"/>
    <w:rsid w:val="007D1603"/>
    <w:rsid w:val="007D1C17"/>
    <w:rsid w:val="007D3490"/>
    <w:rsid w:val="007D4350"/>
    <w:rsid w:val="007D5179"/>
    <w:rsid w:val="007D51C1"/>
    <w:rsid w:val="007D68ED"/>
    <w:rsid w:val="007D6BBA"/>
    <w:rsid w:val="007D6C16"/>
    <w:rsid w:val="007D7450"/>
    <w:rsid w:val="007E0B08"/>
    <w:rsid w:val="007E1B74"/>
    <w:rsid w:val="007E21AB"/>
    <w:rsid w:val="007E2D00"/>
    <w:rsid w:val="007E43FD"/>
    <w:rsid w:val="007E4C1A"/>
    <w:rsid w:val="007E4FED"/>
    <w:rsid w:val="007E7C24"/>
    <w:rsid w:val="007F04C8"/>
    <w:rsid w:val="007F128A"/>
    <w:rsid w:val="007F31E6"/>
    <w:rsid w:val="007F449A"/>
    <w:rsid w:val="007F4FBC"/>
    <w:rsid w:val="007F5E97"/>
    <w:rsid w:val="007F5EC2"/>
    <w:rsid w:val="007F6238"/>
    <w:rsid w:val="00801118"/>
    <w:rsid w:val="00801E51"/>
    <w:rsid w:val="00801ED3"/>
    <w:rsid w:val="008035EC"/>
    <w:rsid w:val="00805076"/>
    <w:rsid w:val="0080527F"/>
    <w:rsid w:val="00807C8D"/>
    <w:rsid w:val="00811F38"/>
    <w:rsid w:val="008153AC"/>
    <w:rsid w:val="008164BC"/>
    <w:rsid w:val="00817B49"/>
    <w:rsid w:val="00820CEF"/>
    <w:rsid w:val="008210ED"/>
    <w:rsid w:val="00821A0A"/>
    <w:rsid w:val="00823F63"/>
    <w:rsid w:val="00825DD9"/>
    <w:rsid w:val="00825DE7"/>
    <w:rsid w:val="00830962"/>
    <w:rsid w:val="0083123C"/>
    <w:rsid w:val="008314C9"/>
    <w:rsid w:val="0083158D"/>
    <w:rsid w:val="00834343"/>
    <w:rsid w:val="00834BF8"/>
    <w:rsid w:val="00841203"/>
    <w:rsid w:val="008420F3"/>
    <w:rsid w:val="00843B80"/>
    <w:rsid w:val="00844658"/>
    <w:rsid w:val="00845B21"/>
    <w:rsid w:val="0085018C"/>
    <w:rsid w:val="00853FCB"/>
    <w:rsid w:val="00854978"/>
    <w:rsid w:val="00855109"/>
    <w:rsid w:val="0085635A"/>
    <w:rsid w:val="0085799C"/>
    <w:rsid w:val="00860025"/>
    <w:rsid w:val="008613A8"/>
    <w:rsid w:val="00861C55"/>
    <w:rsid w:val="008663BD"/>
    <w:rsid w:val="00867B85"/>
    <w:rsid w:val="00870A60"/>
    <w:rsid w:val="00870DE8"/>
    <w:rsid w:val="008714FC"/>
    <w:rsid w:val="00871A47"/>
    <w:rsid w:val="00871CD2"/>
    <w:rsid w:val="008724A1"/>
    <w:rsid w:val="008729F0"/>
    <w:rsid w:val="00873E1E"/>
    <w:rsid w:val="00875DCA"/>
    <w:rsid w:val="008764CF"/>
    <w:rsid w:val="00876CCC"/>
    <w:rsid w:val="0088254E"/>
    <w:rsid w:val="00886772"/>
    <w:rsid w:val="00887B36"/>
    <w:rsid w:val="00890830"/>
    <w:rsid w:val="0089108E"/>
    <w:rsid w:val="00891E5C"/>
    <w:rsid w:val="00891F46"/>
    <w:rsid w:val="008925C7"/>
    <w:rsid w:val="0089262A"/>
    <w:rsid w:val="00893B53"/>
    <w:rsid w:val="008942E0"/>
    <w:rsid w:val="008943FA"/>
    <w:rsid w:val="008950E7"/>
    <w:rsid w:val="00895231"/>
    <w:rsid w:val="00895F8E"/>
    <w:rsid w:val="00897936"/>
    <w:rsid w:val="008A0C9F"/>
    <w:rsid w:val="008A1635"/>
    <w:rsid w:val="008A32FC"/>
    <w:rsid w:val="008A61C1"/>
    <w:rsid w:val="008A6A17"/>
    <w:rsid w:val="008A7ABE"/>
    <w:rsid w:val="008B0907"/>
    <w:rsid w:val="008B0C11"/>
    <w:rsid w:val="008B1FEE"/>
    <w:rsid w:val="008B47F6"/>
    <w:rsid w:val="008B4D46"/>
    <w:rsid w:val="008B623F"/>
    <w:rsid w:val="008B770E"/>
    <w:rsid w:val="008C0FF6"/>
    <w:rsid w:val="008C1A68"/>
    <w:rsid w:val="008C2AD2"/>
    <w:rsid w:val="008C315E"/>
    <w:rsid w:val="008C3198"/>
    <w:rsid w:val="008C31DB"/>
    <w:rsid w:val="008C364B"/>
    <w:rsid w:val="008C3CF2"/>
    <w:rsid w:val="008C7B68"/>
    <w:rsid w:val="008D124D"/>
    <w:rsid w:val="008D186F"/>
    <w:rsid w:val="008D288B"/>
    <w:rsid w:val="008D5B40"/>
    <w:rsid w:val="008D5C35"/>
    <w:rsid w:val="008E26D2"/>
    <w:rsid w:val="008E2DCB"/>
    <w:rsid w:val="008E35D4"/>
    <w:rsid w:val="008E3DB4"/>
    <w:rsid w:val="008E4904"/>
    <w:rsid w:val="008E62AF"/>
    <w:rsid w:val="008E6431"/>
    <w:rsid w:val="008E6546"/>
    <w:rsid w:val="008F0AC0"/>
    <w:rsid w:val="00901AEF"/>
    <w:rsid w:val="00902D14"/>
    <w:rsid w:val="00905F86"/>
    <w:rsid w:val="00907A7F"/>
    <w:rsid w:val="0091196F"/>
    <w:rsid w:val="0091324D"/>
    <w:rsid w:val="00913A1F"/>
    <w:rsid w:val="00913CC4"/>
    <w:rsid w:val="00914380"/>
    <w:rsid w:val="00914EF9"/>
    <w:rsid w:val="00914F3E"/>
    <w:rsid w:val="0091757E"/>
    <w:rsid w:val="00920D56"/>
    <w:rsid w:val="00922CB8"/>
    <w:rsid w:val="0092309D"/>
    <w:rsid w:val="00923AFB"/>
    <w:rsid w:val="009249AB"/>
    <w:rsid w:val="00924A10"/>
    <w:rsid w:val="00924DF8"/>
    <w:rsid w:val="00925906"/>
    <w:rsid w:val="00926EFC"/>
    <w:rsid w:val="00930A62"/>
    <w:rsid w:val="00931CD3"/>
    <w:rsid w:val="00931CEB"/>
    <w:rsid w:val="009326D3"/>
    <w:rsid w:val="009327C2"/>
    <w:rsid w:val="009342E8"/>
    <w:rsid w:val="00935131"/>
    <w:rsid w:val="00935B5E"/>
    <w:rsid w:val="0093602B"/>
    <w:rsid w:val="00940058"/>
    <w:rsid w:val="009416A3"/>
    <w:rsid w:val="00941C58"/>
    <w:rsid w:val="00942FBD"/>
    <w:rsid w:val="0094369A"/>
    <w:rsid w:val="00944655"/>
    <w:rsid w:val="00944BCF"/>
    <w:rsid w:val="00945DD2"/>
    <w:rsid w:val="00950087"/>
    <w:rsid w:val="009512CF"/>
    <w:rsid w:val="0095541C"/>
    <w:rsid w:val="00957C05"/>
    <w:rsid w:val="00960855"/>
    <w:rsid w:val="00961A1B"/>
    <w:rsid w:val="00962FD0"/>
    <w:rsid w:val="00964317"/>
    <w:rsid w:val="009650F7"/>
    <w:rsid w:val="00965DCF"/>
    <w:rsid w:val="009667D3"/>
    <w:rsid w:val="00971AF4"/>
    <w:rsid w:val="00971DC7"/>
    <w:rsid w:val="00972B74"/>
    <w:rsid w:val="0097388F"/>
    <w:rsid w:val="009741B2"/>
    <w:rsid w:val="00974A9E"/>
    <w:rsid w:val="00976689"/>
    <w:rsid w:val="0097687C"/>
    <w:rsid w:val="00976BD9"/>
    <w:rsid w:val="009770B7"/>
    <w:rsid w:val="00977A2A"/>
    <w:rsid w:val="0098036D"/>
    <w:rsid w:val="00980949"/>
    <w:rsid w:val="00980F8E"/>
    <w:rsid w:val="00981442"/>
    <w:rsid w:val="0098160A"/>
    <w:rsid w:val="0098192F"/>
    <w:rsid w:val="0098299C"/>
    <w:rsid w:val="009833C3"/>
    <w:rsid w:val="009834CA"/>
    <w:rsid w:val="00983F75"/>
    <w:rsid w:val="0098450C"/>
    <w:rsid w:val="00984AB2"/>
    <w:rsid w:val="00984FEA"/>
    <w:rsid w:val="00990599"/>
    <w:rsid w:val="00990DF3"/>
    <w:rsid w:val="00992DAA"/>
    <w:rsid w:val="00994F3C"/>
    <w:rsid w:val="00995383"/>
    <w:rsid w:val="0099562D"/>
    <w:rsid w:val="00996F4C"/>
    <w:rsid w:val="0099764E"/>
    <w:rsid w:val="009A1728"/>
    <w:rsid w:val="009A2209"/>
    <w:rsid w:val="009A3147"/>
    <w:rsid w:val="009A34B2"/>
    <w:rsid w:val="009A3948"/>
    <w:rsid w:val="009A3C7A"/>
    <w:rsid w:val="009A3E36"/>
    <w:rsid w:val="009A3E37"/>
    <w:rsid w:val="009A51EB"/>
    <w:rsid w:val="009A5D64"/>
    <w:rsid w:val="009A6EB3"/>
    <w:rsid w:val="009A7139"/>
    <w:rsid w:val="009A7DAD"/>
    <w:rsid w:val="009B2326"/>
    <w:rsid w:val="009B3A9A"/>
    <w:rsid w:val="009B581A"/>
    <w:rsid w:val="009B5A6C"/>
    <w:rsid w:val="009B5C08"/>
    <w:rsid w:val="009B69EE"/>
    <w:rsid w:val="009B6CEC"/>
    <w:rsid w:val="009B7950"/>
    <w:rsid w:val="009C0796"/>
    <w:rsid w:val="009C0D25"/>
    <w:rsid w:val="009C2A38"/>
    <w:rsid w:val="009C2EFD"/>
    <w:rsid w:val="009C6220"/>
    <w:rsid w:val="009C7D77"/>
    <w:rsid w:val="009D2ED2"/>
    <w:rsid w:val="009D6B75"/>
    <w:rsid w:val="009D6D83"/>
    <w:rsid w:val="009E05D5"/>
    <w:rsid w:val="009E0E8B"/>
    <w:rsid w:val="009E0FE1"/>
    <w:rsid w:val="009E13E1"/>
    <w:rsid w:val="009E173F"/>
    <w:rsid w:val="009E266A"/>
    <w:rsid w:val="009E2765"/>
    <w:rsid w:val="009E5937"/>
    <w:rsid w:val="009E6451"/>
    <w:rsid w:val="009E69BF"/>
    <w:rsid w:val="009E7C04"/>
    <w:rsid w:val="009F03DC"/>
    <w:rsid w:val="009F0CE7"/>
    <w:rsid w:val="009F11DC"/>
    <w:rsid w:val="009F13C4"/>
    <w:rsid w:val="009F30E2"/>
    <w:rsid w:val="009F3CBA"/>
    <w:rsid w:val="009F4165"/>
    <w:rsid w:val="009F53A4"/>
    <w:rsid w:val="009F5635"/>
    <w:rsid w:val="009F6156"/>
    <w:rsid w:val="009F64C0"/>
    <w:rsid w:val="009F7ACA"/>
    <w:rsid w:val="00A00A63"/>
    <w:rsid w:val="00A01720"/>
    <w:rsid w:val="00A03336"/>
    <w:rsid w:val="00A04812"/>
    <w:rsid w:val="00A05005"/>
    <w:rsid w:val="00A05436"/>
    <w:rsid w:val="00A072E6"/>
    <w:rsid w:val="00A118E9"/>
    <w:rsid w:val="00A12A1F"/>
    <w:rsid w:val="00A12BA4"/>
    <w:rsid w:val="00A16164"/>
    <w:rsid w:val="00A169C5"/>
    <w:rsid w:val="00A17D04"/>
    <w:rsid w:val="00A207B0"/>
    <w:rsid w:val="00A24F03"/>
    <w:rsid w:val="00A25386"/>
    <w:rsid w:val="00A26C14"/>
    <w:rsid w:val="00A26C77"/>
    <w:rsid w:val="00A2752F"/>
    <w:rsid w:val="00A27718"/>
    <w:rsid w:val="00A27E84"/>
    <w:rsid w:val="00A33D38"/>
    <w:rsid w:val="00A3405B"/>
    <w:rsid w:val="00A3632D"/>
    <w:rsid w:val="00A36AD2"/>
    <w:rsid w:val="00A40215"/>
    <w:rsid w:val="00A43104"/>
    <w:rsid w:val="00A43FE1"/>
    <w:rsid w:val="00A44668"/>
    <w:rsid w:val="00A46E46"/>
    <w:rsid w:val="00A51F86"/>
    <w:rsid w:val="00A52F49"/>
    <w:rsid w:val="00A548AB"/>
    <w:rsid w:val="00A558D1"/>
    <w:rsid w:val="00A6099E"/>
    <w:rsid w:val="00A60D65"/>
    <w:rsid w:val="00A612DC"/>
    <w:rsid w:val="00A625E8"/>
    <w:rsid w:val="00A6631C"/>
    <w:rsid w:val="00A66CA1"/>
    <w:rsid w:val="00A6730D"/>
    <w:rsid w:val="00A679D7"/>
    <w:rsid w:val="00A7119E"/>
    <w:rsid w:val="00A728D8"/>
    <w:rsid w:val="00A736BD"/>
    <w:rsid w:val="00A73A95"/>
    <w:rsid w:val="00A744AE"/>
    <w:rsid w:val="00A74B5A"/>
    <w:rsid w:val="00A75F00"/>
    <w:rsid w:val="00A76C2E"/>
    <w:rsid w:val="00A772EE"/>
    <w:rsid w:val="00A81642"/>
    <w:rsid w:val="00A81BD9"/>
    <w:rsid w:val="00A81E94"/>
    <w:rsid w:val="00A83F7F"/>
    <w:rsid w:val="00A84DF1"/>
    <w:rsid w:val="00A85799"/>
    <w:rsid w:val="00A85DF3"/>
    <w:rsid w:val="00A876ED"/>
    <w:rsid w:val="00A87FC7"/>
    <w:rsid w:val="00A9073C"/>
    <w:rsid w:val="00A91B94"/>
    <w:rsid w:val="00A9249B"/>
    <w:rsid w:val="00A93328"/>
    <w:rsid w:val="00A942FF"/>
    <w:rsid w:val="00A94F57"/>
    <w:rsid w:val="00A9551E"/>
    <w:rsid w:val="00A959E9"/>
    <w:rsid w:val="00A9608C"/>
    <w:rsid w:val="00A963EE"/>
    <w:rsid w:val="00A9653C"/>
    <w:rsid w:val="00A966D5"/>
    <w:rsid w:val="00A9793F"/>
    <w:rsid w:val="00A97E70"/>
    <w:rsid w:val="00AA0728"/>
    <w:rsid w:val="00AA1CEC"/>
    <w:rsid w:val="00AA36D2"/>
    <w:rsid w:val="00AA6096"/>
    <w:rsid w:val="00AB0C17"/>
    <w:rsid w:val="00AB45D6"/>
    <w:rsid w:val="00AB545C"/>
    <w:rsid w:val="00AB63A8"/>
    <w:rsid w:val="00AB6404"/>
    <w:rsid w:val="00AB71E4"/>
    <w:rsid w:val="00AC213B"/>
    <w:rsid w:val="00AC3157"/>
    <w:rsid w:val="00AC57BE"/>
    <w:rsid w:val="00AC62A7"/>
    <w:rsid w:val="00AC7FE2"/>
    <w:rsid w:val="00AD01D5"/>
    <w:rsid w:val="00AD0212"/>
    <w:rsid w:val="00AD0774"/>
    <w:rsid w:val="00AD08A2"/>
    <w:rsid w:val="00AD0C2A"/>
    <w:rsid w:val="00AD1370"/>
    <w:rsid w:val="00AD17EB"/>
    <w:rsid w:val="00AD27B4"/>
    <w:rsid w:val="00AD2F83"/>
    <w:rsid w:val="00AD3FAB"/>
    <w:rsid w:val="00AD7613"/>
    <w:rsid w:val="00AD7EE7"/>
    <w:rsid w:val="00AE188C"/>
    <w:rsid w:val="00AE1A53"/>
    <w:rsid w:val="00AE574F"/>
    <w:rsid w:val="00AE57DA"/>
    <w:rsid w:val="00AE7B67"/>
    <w:rsid w:val="00AF071E"/>
    <w:rsid w:val="00AF1AF2"/>
    <w:rsid w:val="00AF2F85"/>
    <w:rsid w:val="00AF5ED5"/>
    <w:rsid w:val="00AF7539"/>
    <w:rsid w:val="00AF7896"/>
    <w:rsid w:val="00AF7B1F"/>
    <w:rsid w:val="00B002DE"/>
    <w:rsid w:val="00B005DE"/>
    <w:rsid w:val="00B01A41"/>
    <w:rsid w:val="00B04472"/>
    <w:rsid w:val="00B052C4"/>
    <w:rsid w:val="00B06F9F"/>
    <w:rsid w:val="00B10715"/>
    <w:rsid w:val="00B1116F"/>
    <w:rsid w:val="00B1144B"/>
    <w:rsid w:val="00B116A0"/>
    <w:rsid w:val="00B116F9"/>
    <w:rsid w:val="00B1244F"/>
    <w:rsid w:val="00B12F16"/>
    <w:rsid w:val="00B1333C"/>
    <w:rsid w:val="00B14846"/>
    <w:rsid w:val="00B15473"/>
    <w:rsid w:val="00B15EC4"/>
    <w:rsid w:val="00B166B8"/>
    <w:rsid w:val="00B17973"/>
    <w:rsid w:val="00B17A79"/>
    <w:rsid w:val="00B216BF"/>
    <w:rsid w:val="00B2248A"/>
    <w:rsid w:val="00B233BB"/>
    <w:rsid w:val="00B2360D"/>
    <w:rsid w:val="00B25938"/>
    <w:rsid w:val="00B261F3"/>
    <w:rsid w:val="00B27CA5"/>
    <w:rsid w:val="00B3218F"/>
    <w:rsid w:val="00B33916"/>
    <w:rsid w:val="00B33B00"/>
    <w:rsid w:val="00B33E48"/>
    <w:rsid w:val="00B34114"/>
    <w:rsid w:val="00B3411B"/>
    <w:rsid w:val="00B34D02"/>
    <w:rsid w:val="00B35933"/>
    <w:rsid w:val="00B4294C"/>
    <w:rsid w:val="00B42E98"/>
    <w:rsid w:val="00B43409"/>
    <w:rsid w:val="00B43B58"/>
    <w:rsid w:val="00B44106"/>
    <w:rsid w:val="00B44AB2"/>
    <w:rsid w:val="00B44C49"/>
    <w:rsid w:val="00B45030"/>
    <w:rsid w:val="00B45196"/>
    <w:rsid w:val="00B46EB6"/>
    <w:rsid w:val="00B50A14"/>
    <w:rsid w:val="00B51ABD"/>
    <w:rsid w:val="00B524C3"/>
    <w:rsid w:val="00B60517"/>
    <w:rsid w:val="00B605BE"/>
    <w:rsid w:val="00B61DE8"/>
    <w:rsid w:val="00B627B5"/>
    <w:rsid w:val="00B6405D"/>
    <w:rsid w:val="00B653C7"/>
    <w:rsid w:val="00B67612"/>
    <w:rsid w:val="00B71568"/>
    <w:rsid w:val="00B71D8F"/>
    <w:rsid w:val="00B71E52"/>
    <w:rsid w:val="00B72F51"/>
    <w:rsid w:val="00B73411"/>
    <w:rsid w:val="00B74F71"/>
    <w:rsid w:val="00B758FE"/>
    <w:rsid w:val="00B764FD"/>
    <w:rsid w:val="00B80BD6"/>
    <w:rsid w:val="00B81634"/>
    <w:rsid w:val="00B821CF"/>
    <w:rsid w:val="00B84C15"/>
    <w:rsid w:val="00B86639"/>
    <w:rsid w:val="00B87297"/>
    <w:rsid w:val="00B91004"/>
    <w:rsid w:val="00B913FF"/>
    <w:rsid w:val="00B91CE1"/>
    <w:rsid w:val="00B926D8"/>
    <w:rsid w:val="00B93F24"/>
    <w:rsid w:val="00B94F80"/>
    <w:rsid w:val="00B95D2B"/>
    <w:rsid w:val="00B95FD1"/>
    <w:rsid w:val="00B97315"/>
    <w:rsid w:val="00B97A3D"/>
    <w:rsid w:val="00BA696F"/>
    <w:rsid w:val="00BB03A4"/>
    <w:rsid w:val="00BB0F84"/>
    <w:rsid w:val="00BB2B6A"/>
    <w:rsid w:val="00BB384A"/>
    <w:rsid w:val="00BB45B8"/>
    <w:rsid w:val="00BB49BA"/>
    <w:rsid w:val="00BB4CCE"/>
    <w:rsid w:val="00BB7717"/>
    <w:rsid w:val="00BB7D0C"/>
    <w:rsid w:val="00BC0329"/>
    <w:rsid w:val="00BC042C"/>
    <w:rsid w:val="00BC099E"/>
    <w:rsid w:val="00BC1493"/>
    <w:rsid w:val="00BC5FAA"/>
    <w:rsid w:val="00BC69C6"/>
    <w:rsid w:val="00BC7D42"/>
    <w:rsid w:val="00BD1145"/>
    <w:rsid w:val="00BD1B97"/>
    <w:rsid w:val="00BD2B75"/>
    <w:rsid w:val="00BD3348"/>
    <w:rsid w:val="00BD4223"/>
    <w:rsid w:val="00BD481E"/>
    <w:rsid w:val="00BD4E44"/>
    <w:rsid w:val="00BD5085"/>
    <w:rsid w:val="00BD50C6"/>
    <w:rsid w:val="00BD764E"/>
    <w:rsid w:val="00BD7C0A"/>
    <w:rsid w:val="00BE167D"/>
    <w:rsid w:val="00BE3834"/>
    <w:rsid w:val="00BE4C24"/>
    <w:rsid w:val="00BE5495"/>
    <w:rsid w:val="00BE5998"/>
    <w:rsid w:val="00BE6121"/>
    <w:rsid w:val="00BE6F60"/>
    <w:rsid w:val="00BF2069"/>
    <w:rsid w:val="00BF2C4D"/>
    <w:rsid w:val="00BF50A3"/>
    <w:rsid w:val="00BF5B32"/>
    <w:rsid w:val="00BF5CA8"/>
    <w:rsid w:val="00C00453"/>
    <w:rsid w:val="00C00766"/>
    <w:rsid w:val="00C02016"/>
    <w:rsid w:val="00C0223A"/>
    <w:rsid w:val="00C02CFA"/>
    <w:rsid w:val="00C03534"/>
    <w:rsid w:val="00C03BEC"/>
    <w:rsid w:val="00C040A7"/>
    <w:rsid w:val="00C06916"/>
    <w:rsid w:val="00C07FBA"/>
    <w:rsid w:val="00C10A07"/>
    <w:rsid w:val="00C1363C"/>
    <w:rsid w:val="00C172BF"/>
    <w:rsid w:val="00C202C9"/>
    <w:rsid w:val="00C214D1"/>
    <w:rsid w:val="00C21D1D"/>
    <w:rsid w:val="00C232CE"/>
    <w:rsid w:val="00C236B6"/>
    <w:rsid w:val="00C24762"/>
    <w:rsid w:val="00C24EFF"/>
    <w:rsid w:val="00C275F9"/>
    <w:rsid w:val="00C31755"/>
    <w:rsid w:val="00C31EDB"/>
    <w:rsid w:val="00C32A0A"/>
    <w:rsid w:val="00C32EC8"/>
    <w:rsid w:val="00C3583F"/>
    <w:rsid w:val="00C36659"/>
    <w:rsid w:val="00C407B1"/>
    <w:rsid w:val="00C40B5A"/>
    <w:rsid w:val="00C4158A"/>
    <w:rsid w:val="00C430BF"/>
    <w:rsid w:val="00C452F6"/>
    <w:rsid w:val="00C45340"/>
    <w:rsid w:val="00C45349"/>
    <w:rsid w:val="00C46EF4"/>
    <w:rsid w:val="00C47EA6"/>
    <w:rsid w:val="00C5021E"/>
    <w:rsid w:val="00C503A3"/>
    <w:rsid w:val="00C51234"/>
    <w:rsid w:val="00C51330"/>
    <w:rsid w:val="00C518D2"/>
    <w:rsid w:val="00C54A95"/>
    <w:rsid w:val="00C55CF2"/>
    <w:rsid w:val="00C57896"/>
    <w:rsid w:val="00C57AE9"/>
    <w:rsid w:val="00C62E34"/>
    <w:rsid w:val="00C64991"/>
    <w:rsid w:val="00C660B7"/>
    <w:rsid w:val="00C66738"/>
    <w:rsid w:val="00C70856"/>
    <w:rsid w:val="00C71BBF"/>
    <w:rsid w:val="00C7307C"/>
    <w:rsid w:val="00C73A90"/>
    <w:rsid w:val="00C740B2"/>
    <w:rsid w:val="00C7521D"/>
    <w:rsid w:val="00C7560F"/>
    <w:rsid w:val="00C756A5"/>
    <w:rsid w:val="00C757ED"/>
    <w:rsid w:val="00C769EF"/>
    <w:rsid w:val="00C80DBA"/>
    <w:rsid w:val="00C8198B"/>
    <w:rsid w:val="00C81C5F"/>
    <w:rsid w:val="00C81D5A"/>
    <w:rsid w:val="00C8277F"/>
    <w:rsid w:val="00C83239"/>
    <w:rsid w:val="00C8336A"/>
    <w:rsid w:val="00C848AB"/>
    <w:rsid w:val="00C84FF8"/>
    <w:rsid w:val="00C90EF0"/>
    <w:rsid w:val="00C9235B"/>
    <w:rsid w:val="00C94FA2"/>
    <w:rsid w:val="00C964E6"/>
    <w:rsid w:val="00C965A1"/>
    <w:rsid w:val="00C9677C"/>
    <w:rsid w:val="00C97426"/>
    <w:rsid w:val="00CA07AE"/>
    <w:rsid w:val="00CA08D2"/>
    <w:rsid w:val="00CA18CC"/>
    <w:rsid w:val="00CA21D5"/>
    <w:rsid w:val="00CA2342"/>
    <w:rsid w:val="00CA54B1"/>
    <w:rsid w:val="00CA6B0C"/>
    <w:rsid w:val="00CA74AA"/>
    <w:rsid w:val="00CB1015"/>
    <w:rsid w:val="00CB19BF"/>
    <w:rsid w:val="00CB50A9"/>
    <w:rsid w:val="00CB53D5"/>
    <w:rsid w:val="00CC1448"/>
    <w:rsid w:val="00CC2237"/>
    <w:rsid w:val="00CC2451"/>
    <w:rsid w:val="00CC281C"/>
    <w:rsid w:val="00CC2F5D"/>
    <w:rsid w:val="00CC3341"/>
    <w:rsid w:val="00CC4995"/>
    <w:rsid w:val="00CC4FC7"/>
    <w:rsid w:val="00CC535E"/>
    <w:rsid w:val="00CC7D22"/>
    <w:rsid w:val="00CD07AE"/>
    <w:rsid w:val="00CD11C5"/>
    <w:rsid w:val="00CD2EA3"/>
    <w:rsid w:val="00CE111E"/>
    <w:rsid w:val="00CE3780"/>
    <w:rsid w:val="00CE3E55"/>
    <w:rsid w:val="00CE4092"/>
    <w:rsid w:val="00CE42B5"/>
    <w:rsid w:val="00CE65FF"/>
    <w:rsid w:val="00CE73D4"/>
    <w:rsid w:val="00CF0C5A"/>
    <w:rsid w:val="00CF28F9"/>
    <w:rsid w:val="00CF2B5C"/>
    <w:rsid w:val="00CF3E09"/>
    <w:rsid w:val="00CF4CB0"/>
    <w:rsid w:val="00CF6881"/>
    <w:rsid w:val="00CF6E7B"/>
    <w:rsid w:val="00CF75B1"/>
    <w:rsid w:val="00D012C3"/>
    <w:rsid w:val="00D01F1B"/>
    <w:rsid w:val="00D05AA0"/>
    <w:rsid w:val="00D05CB1"/>
    <w:rsid w:val="00D06252"/>
    <w:rsid w:val="00D06582"/>
    <w:rsid w:val="00D06646"/>
    <w:rsid w:val="00D10124"/>
    <w:rsid w:val="00D101AB"/>
    <w:rsid w:val="00D11283"/>
    <w:rsid w:val="00D12A89"/>
    <w:rsid w:val="00D147A0"/>
    <w:rsid w:val="00D15CC9"/>
    <w:rsid w:val="00D160E4"/>
    <w:rsid w:val="00D171EE"/>
    <w:rsid w:val="00D17C32"/>
    <w:rsid w:val="00D17F84"/>
    <w:rsid w:val="00D22165"/>
    <w:rsid w:val="00D2320B"/>
    <w:rsid w:val="00D301B8"/>
    <w:rsid w:val="00D31EB4"/>
    <w:rsid w:val="00D320B8"/>
    <w:rsid w:val="00D33F48"/>
    <w:rsid w:val="00D34B02"/>
    <w:rsid w:val="00D34E78"/>
    <w:rsid w:val="00D3516B"/>
    <w:rsid w:val="00D3518F"/>
    <w:rsid w:val="00D35A75"/>
    <w:rsid w:val="00D37582"/>
    <w:rsid w:val="00D37FF5"/>
    <w:rsid w:val="00D40A68"/>
    <w:rsid w:val="00D422C9"/>
    <w:rsid w:val="00D429C8"/>
    <w:rsid w:val="00D46F3E"/>
    <w:rsid w:val="00D47A43"/>
    <w:rsid w:val="00D47C39"/>
    <w:rsid w:val="00D5360B"/>
    <w:rsid w:val="00D540EA"/>
    <w:rsid w:val="00D5433F"/>
    <w:rsid w:val="00D54606"/>
    <w:rsid w:val="00D54E0E"/>
    <w:rsid w:val="00D556FB"/>
    <w:rsid w:val="00D55E59"/>
    <w:rsid w:val="00D57ECF"/>
    <w:rsid w:val="00D6062F"/>
    <w:rsid w:val="00D6219D"/>
    <w:rsid w:val="00D626FE"/>
    <w:rsid w:val="00D64BAF"/>
    <w:rsid w:val="00D65D9A"/>
    <w:rsid w:val="00D66648"/>
    <w:rsid w:val="00D66730"/>
    <w:rsid w:val="00D66801"/>
    <w:rsid w:val="00D714E3"/>
    <w:rsid w:val="00D71741"/>
    <w:rsid w:val="00D71F69"/>
    <w:rsid w:val="00D72F6C"/>
    <w:rsid w:val="00D74CDA"/>
    <w:rsid w:val="00D77014"/>
    <w:rsid w:val="00D772A6"/>
    <w:rsid w:val="00D8012B"/>
    <w:rsid w:val="00D8040A"/>
    <w:rsid w:val="00D836C3"/>
    <w:rsid w:val="00D86160"/>
    <w:rsid w:val="00D8724E"/>
    <w:rsid w:val="00D90199"/>
    <w:rsid w:val="00D909E4"/>
    <w:rsid w:val="00D94237"/>
    <w:rsid w:val="00D9495F"/>
    <w:rsid w:val="00D95DB7"/>
    <w:rsid w:val="00DA2C7E"/>
    <w:rsid w:val="00DA662D"/>
    <w:rsid w:val="00DA71C2"/>
    <w:rsid w:val="00DB260A"/>
    <w:rsid w:val="00DB52AB"/>
    <w:rsid w:val="00DB5348"/>
    <w:rsid w:val="00DB5530"/>
    <w:rsid w:val="00DB55ED"/>
    <w:rsid w:val="00DC0688"/>
    <w:rsid w:val="00DC200E"/>
    <w:rsid w:val="00DC2A92"/>
    <w:rsid w:val="00DC3950"/>
    <w:rsid w:val="00DC4817"/>
    <w:rsid w:val="00DC48CF"/>
    <w:rsid w:val="00DC4A47"/>
    <w:rsid w:val="00DC5DB2"/>
    <w:rsid w:val="00DC5F90"/>
    <w:rsid w:val="00DC6D93"/>
    <w:rsid w:val="00DC7A83"/>
    <w:rsid w:val="00DD161B"/>
    <w:rsid w:val="00DD1C34"/>
    <w:rsid w:val="00DD5D44"/>
    <w:rsid w:val="00DD7670"/>
    <w:rsid w:val="00DE1766"/>
    <w:rsid w:val="00DE22FD"/>
    <w:rsid w:val="00DE4582"/>
    <w:rsid w:val="00DE5640"/>
    <w:rsid w:val="00DE5DBD"/>
    <w:rsid w:val="00DE67DE"/>
    <w:rsid w:val="00DE73DD"/>
    <w:rsid w:val="00DF4E2F"/>
    <w:rsid w:val="00DF5E8E"/>
    <w:rsid w:val="00E00024"/>
    <w:rsid w:val="00E012A0"/>
    <w:rsid w:val="00E01479"/>
    <w:rsid w:val="00E034CE"/>
    <w:rsid w:val="00E03C38"/>
    <w:rsid w:val="00E07EA9"/>
    <w:rsid w:val="00E112DB"/>
    <w:rsid w:val="00E11D51"/>
    <w:rsid w:val="00E12D99"/>
    <w:rsid w:val="00E13D05"/>
    <w:rsid w:val="00E159C4"/>
    <w:rsid w:val="00E167C7"/>
    <w:rsid w:val="00E22CFF"/>
    <w:rsid w:val="00E2384A"/>
    <w:rsid w:val="00E247C3"/>
    <w:rsid w:val="00E251FE"/>
    <w:rsid w:val="00E26C52"/>
    <w:rsid w:val="00E31835"/>
    <w:rsid w:val="00E31F16"/>
    <w:rsid w:val="00E32929"/>
    <w:rsid w:val="00E3392C"/>
    <w:rsid w:val="00E3394B"/>
    <w:rsid w:val="00E3489B"/>
    <w:rsid w:val="00E358B8"/>
    <w:rsid w:val="00E37419"/>
    <w:rsid w:val="00E40186"/>
    <w:rsid w:val="00E407C3"/>
    <w:rsid w:val="00E407D9"/>
    <w:rsid w:val="00E410FC"/>
    <w:rsid w:val="00E4246B"/>
    <w:rsid w:val="00E428C6"/>
    <w:rsid w:val="00E4336E"/>
    <w:rsid w:val="00E43806"/>
    <w:rsid w:val="00E4401B"/>
    <w:rsid w:val="00E44575"/>
    <w:rsid w:val="00E44A85"/>
    <w:rsid w:val="00E46AF1"/>
    <w:rsid w:val="00E4712F"/>
    <w:rsid w:val="00E47756"/>
    <w:rsid w:val="00E47B71"/>
    <w:rsid w:val="00E47CE2"/>
    <w:rsid w:val="00E50121"/>
    <w:rsid w:val="00E545A8"/>
    <w:rsid w:val="00E5523B"/>
    <w:rsid w:val="00E553F3"/>
    <w:rsid w:val="00E554C2"/>
    <w:rsid w:val="00E57DA5"/>
    <w:rsid w:val="00E6097B"/>
    <w:rsid w:val="00E6136C"/>
    <w:rsid w:val="00E61E4D"/>
    <w:rsid w:val="00E64738"/>
    <w:rsid w:val="00E64BAF"/>
    <w:rsid w:val="00E6505C"/>
    <w:rsid w:val="00E654F0"/>
    <w:rsid w:val="00E65A0B"/>
    <w:rsid w:val="00E65B19"/>
    <w:rsid w:val="00E65DA9"/>
    <w:rsid w:val="00E668E4"/>
    <w:rsid w:val="00E668F3"/>
    <w:rsid w:val="00E67E2D"/>
    <w:rsid w:val="00E710D9"/>
    <w:rsid w:val="00E717C5"/>
    <w:rsid w:val="00E726DC"/>
    <w:rsid w:val="00E73C87"/>
    <w:rsid w:val="00E747BD"/>
    <w:rsid w:val="00E74B2B"/>
    <w:rsid w:val="00E7595E"/>
    <w:rsid w:val="00E773F8"/>
    <w:rsid w:val="00E813F1"/>
    <w:rsid w:val="00E85614"/>
    <w:rsid w:val="00E85F19"/>
    <w:rsid w:val="00E865F4"/>
    <w:rsid w:val="00E870D2"/>
    <w:rsid w:val="00E87442"/>
    <w:rsid w:val="00E90307"/>
    <w:rsid w:val="00E906DD"/>
    <w:rsid w:val="00E90868"/>
    <w:rsid w:val="00E94C0F"/>
    <w:rsid w:val="00E95FD4"/>
    <w:rsid w:val="00E962AF"/>
    <w:rsid w:val="00E96CCE"/>
    <w:rsid w:val="00EA0082"/>
    <w:rsid w:val="00EA0363"/>
    <w:rsid w:val="00EA1BE8"/>
    <w:rsid w:val="00EA4290"/>
    <w:rsid w:val="00EA4608"/>
    <w:rsid w:val="00EA4C79"/>
    <w:rsid w:val="00EA5374"/>
    <w:rsid w:val="00EA5F7E"/>
    <w:rsid w:val="00EA5FA8"/>
    <w:rsid w:val="00EB119E"/>
    <w:rsid w:val="00EB1B37"/>
    <w:rsid w:val="00EB1B44"/>
    <w:rsid w:val="00EB1FD9"/>
    <w:rsid w:val="00EB3D47"/>
    <w:rsid w:val="00EB5594"/>
    <w:rsid w:val="00EC0480"/>
    <w:rsid w:val="00EC3263"/>
    <w:rsid w:val="00EC3785"/>
    <w:rsid w:val="00EC3A78"/>
    <w:rsid w:val="00EC4020"/>
    <w:rsid w:val="00EC53E1"/>
    <w:rsid w:val="00EC5D17"/>
    <w:rsid w:val="00EC601E"/>
    <w:rsid w:val="00EC6551"/>
    <w:rsid w:val="00EC678E"/>
    <w:rsid w:val="00ED11E0"/>
    <w:rsid w:val="00ED12CB"/>
    <w:rsid w:val="00ED3CC9"/>
    <w:rsid w:val="00ED58E6"/>
    <w:rsid w:val="00ED5F4F"/>
    <w:rsid w:val="00EE0652"/>
    <w:rsid w:val="00EE0E37"/>
    <w:rsid w:val="00EE1074"/>
    <w:rsid w:val="00EE1137"/>
    <w:rsid w:val="00EE3121"/>
    <w:rsid w:val="00EE39ED"/>
    <w:rsid w:val="00EE4530"/>
    <w:rsid w:val="00EE4E34"/>
    <w:rsid w:val="00EE618E"/>
    <w:rsid w:val="00EE6B93"/>
    <w:rsid w:val="00EE7412"/>
    <w:rsid w:val="00EF1392"/>
    <w:rsid w:val="00EF198F"/>
    <w:rsid w:val="00EF3608"/>
    <w:rsid w:val="00EF4EB6"/>
    <w:rsid w:val="00EF55FB"/>
    <w:rsid w:val="00F01DDB"/>
    <w:rsid w:val="00F03AD4"/>
    <w:rsid w:val="00F04D36"/>
    <w:rsid w:val="00F06746"/>
    <w:rsid w:val="00F06DB6"/>
    <w:rsid w:val="00F107BE"/>
    <w:rsid w:val="00F10F66"/>
    <w:rsid w:val="00F119FF"/>
    <w:rsid w:val="00F11CA6"/>
    <w:rsid w:val="00F126AB"/>
    <w:rsid w:val="00F1728F"/>
    <w:rsid w:val="00F20D2D"/>
    <w:rsid w:val="00F22693"/>
    <w:rsid w:val="00F267BD"/>
    <w:rsid w:val="00F26B88"/>
    <w:rsid w:val="00F2706D"/>
    <w:rsid w:val="00F33D7C"/>
    <w:rsid w:val="00F34A95"/>
    <w:rsid w:val="00F35C0C"/>
    <w:rsid w:val="00F36AD0"/>
    <w:rsid w:val="00F376F4"/>
    <w:rsid w:val="00F42E2A"/>
    <w:rsid w:val="00F43CC6"/>
    <w:rsid w:val="00F46AB3"/>
    <w:rsid w:val="00F47847"/>
    <w:rsid w:val="00F47D75"/>
    <w:rsid w:val="00F5189A"/>
    <w:rsid w:val="00F52CE9"/>
    <w:rsid w:val="00F53446"/>
    <w:rsid w:val="00F53B80"/>
    <w:rsid w:val="00F54C98"/>
    <w:rsid w:val="00F55D35"/>
    <w:rsid w:val="00F56242"/>
    <w:rsid w:val="00F56949"/>
    <w:rsid w:val="00F60B36"/>
    <w:rsid w:val="00F617D7"/>
    <w:rsid w:val="00F634DD"/>
    <w:rsid w:val="00F657D9"/>
    <w:rsid w:val="00F65B81"/>
    <w:rsid w:val="00F6696D"/>
    <w:rsid w:val="00F71177"/>
    <w:rsid w:val="00F7379B"/>
    <w:rsid w:val="00F75601"/>
    <w:rsid w:val="00F77F5F"/>
    <w:rsid w:val="00F805DF"/>
    <w:rsid w:val="00F81E21"/>
    <w:rsid w:val="00F841B0"/>
    <w:rsid w:val="00F84A62"/>
    <w:rsid w:val="00F84BB1"/>
    <w:rsid w:val="00F85661"/>
    <w:rsid w:val="00F87881"/>
    <w:rsid w:val="00F87D0C"/>
    <w:rsid w:val="00F87E4B"/>
    <w:rsid w:val="00F90762"/>
    <w:rsid w:val="00F90F81"/>
    <w:rsid w:val="00F91DEF"/>
    <w:rsid w:val="00F92D75"/>
    <w:rsid w:val="00F92F18"/>
    <w:rsid w:val="00F936A9"/>
    <w:rsid w:val="00F94C71"/>
    <w:rsid w:val="00F950BB"/>
    <w:rsid w:val="00F95FF0"/>
    <w:rsid w:val="00F96799"/>
    <w:rsid w:val="00FA4264"/>
    <w:rsid w:val="00FA44BA"/>
    <w:rsid w:val="00FA476D"/>
    <w:rsid w:val="00FB04BC"/>
    <w:rsid w:val="00FB1480"/>
    <w:rsid w:val="00FB4CD4"/>
    <w:rsid w:val="00FB6333"/>
    <w:rsid w:val="00FB7363"/>
    <w:rsid w:val="00FC0D97"/>
    <w:rsid w:val="00FC3C92"/>
    <w:rsid w:val="00FC4045"/>
    <w:rsid w:val="00FC4DDF"/>
    <w:rsid w:val="00FC54F6"/>
    <w:rsid w:val="00FD04A2"/>
    <w:rsid w:val="00FD087D"/>
    <w:rsid w:val="00FD0CBD"/>
    <w:rsid w:val="00FD1399"/>
    <w:rsid w:val="00FD204F"/>
    <w:rsid w:val="00FD5CA6"/>
    <w:rsid w:val="00FD62CC"/>
    <w:rsid w:val="00FE14B3"/>
    <w:rsid w:val="00FE3080"/>
    <w:rsid w:val="00FE347D"/>
    <w:rsid w:val="00FE3F65"/>
    <w:rsid w:val="00FE41B6"/>
    <w:rsid w:val="00FE4C76"/>
    <w:rsid w:val="00FE5A0B"/>
    <w:rsid w:val="00FE6D09"/>
    <w:rsid w:val="00FE749C"/>
    <w:rsid w:val="00FF2063"/>
    <w:rsid w:val="00FF21DC"/>
    <w:rsid w:val="00FF23C9"/>
    <w:rsid w:val="00FF3582"/>
    <w:rsid w:val="00FF3959"/>
    <w:rsid w:val="00FF46A4"/>
    <w:rsid w:val="00FF63E3"/>
    <w:rsid w:val="00FF6B41"/>
    <w:rsid w:val="00FF6D34"/>
    <w:rsid w:val="00FF7EC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qFormat/>
    <w:rsid w:val="00870DE8"/>
    <w:rPr>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870DE8"/>
    <w:rPr>
      <w:rFonts w:ascii="Verdana" w:eastAsia="Calibri" w:hAnsi="Verdana" w:cs="Times"/>
      <w:sz w:val="16"/>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DD161B"/>
    <w:rPr>
      <w:vertAlign w:val="superscript"/>
    </w:rPr>
  </w:style>
  <w:style w:type="paragraph" w:customStyle="1" w:styleId="Default">
    <w:name w:val="Default"/>
    <w:rsid w:val="00DD161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style>
  <w:style w:type="character" w:customStyle="1" w:styleId="HeaderChar">
    <w:name w:val="Header Char"/>
    <w:basedOn w:val="DefaultParagraphFont"/>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2"/>
      </w:numPr>
      <w:spacing w:before="120"/>
      <w:ind w:right="14"/>
    </w:pPr>
    <w:rPr>
      <w:rFonts w:eastAsia="Times New Roman" w:cs="ArialMT"/>
      <w:szCs w:val="20"/>
      <w:lang w:eastAsia="en-US" w:bidi="en-US"/>
    </w:rPr>
  </w:style>
  <w:style w:type="character" w:customStyle="1" w:styleId="NumChar">
    <w:name w:val="Num Char"/>
    <w:basedOn w:val="DefaultParagraphFont"/>
    <w:link w:val="Num"/>
    <w:rsid w:val="00DD161B"/>
    <w:rPr>
      <w:rFonts w:ascii="Verdana" w:eastAsia="Times New Roman" w:hAnsi="Verdana" w:cs="ArialMT"/>
      <w:sz w:val="20"/>
      <w:szCs w:val="20"/>
      <w:lang w:val="es-ES_tradnl" w:bidi="en-US"/>
    </w:rPr>
  </w:style>
  <w:style w:type="paragraph" w:styleId="ListParagraph">
    <w:name w:val="List Paragraph"/>
    <w:basedOn w:val="Normal"/>
    <w:uiPriority w:val="99"/>
    <w:qFormat/>
    <w:rsid w:val="00172868"/>
    <w:pPr>
      <w:ind w:left="720"/>
      <w:contextualSpacing/>
    </w:pPr>
  </w:style>
  <w:style w:type="paragraph" w:styleId="PlainText">
    <w:name w:val="Plain Text"/>
    <w:basedOn w:val="Normal"/>
    <w:link w:val="PlainTextChar"/>
    <w:uiPriority w:val="99"/>
    <w:semiHidden/>
    <w:unhideWhenUsed/>
    <w:rsid w:val="00AA36D2"/>
    <w:pPr>
      <w:spacing w:after="0"/>
      <w:jc w:val="left"/>
    </w:pPr>
    <w:rPr>
      <w:rFonts w:ascii="Consolas" w:eastAsiaTheme="minorHAnsi" w:hAnsi="Consolas" w:cstheme="minorBidi"/>
      <w:sz w:val="21"/>
      <w:szCs w:val="21"/>
      <w:lang w:val="es-CR" w:eastAsia="en-US"/>
    </w:rPr>
  </w:style>
  <w:style w:type="character" w:customStyle="1" w:styleId="PlainTextChar">
    <w:name w:val="Plain Text Char"/>
    <w:basedOn w:val="DefaultParagraphFont"/>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basedOn w:val="DefaultParagraphFont"/>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semiHidden/>
    <w:unhideWhenUsed/>
    <w:rsid w:val="00A97E70"/>
    <w:pPr>
      <w:tabs>
        <w:tab w:val="center" w:pos="4680"/>
        <w:tab w:val="right" w:pos="9360"/>
      </w:tabs>
      <w:spacing w:after="0"/>
    </w:pPr>
  </w:style>
  <w:style w:type="character" w:customStyle="1" w:styleId="FooterChar">
    <w:name w:val="Footer Char"/>
    <w:basedOn w:val="DefaultParagraphFont"/>
    <w:link w:val="Footer"/>
    <w:uiPriority w:val="99"/>
    <w:semiHidden/>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70"/>
    <w:rPr>
      <w:rFonts w:ascii="Tahoma" w:eastAsia="Calibri" w:hAnsi="Tahoma" w:cs="Tahoma"/>
      <w:sz w:val="16"/>
      <w:szCs w:val="16"/>
      <w:lang w:val="es-ES_tradnl" w:eastAsia="es-ES"/>
    </w:rPr>
  </w:style>
  <w:style w:type="character" w:styleId="SubtleEmphasis">
    <w:name w:val="Subtle Emphasis"/>
    <w:basedOn w:val="DefaultParagraphFont"/>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style>
  <w:style w:type="character" w:customStyle="1" w:styleId="BodyTextIndentChar">
    <w:name w:val="Body Text Indent Char"/>
    <w:basedOn w:val="DefaultParagraphFont"/>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uiPriority w:val="99"/>
    <w:locked/>
    <w:rsid w:val="00801118"/>
    <w:rPr>
      <w:rFonts w:cs="Verdana"/>
      <w:sz w:val="16"/>
      <w:szCs w:val="16"/>
      <w:lang w:val="es-ES_tradnl" w:eastAsia="es-ES"/>
    </w:rPr>
  </w:style>
  <w:style w:type="character" w:styleId="LineNumber">
    <w:name w:val="line number"/>
    <w:basedOn w:val="DefaultParagraphFont"/>
    <w:uiPriority w:val="99"/>
    <w:semiHidden/>
    <w:unhideWhenUsed/>
    <w:rsid w:val="00460A53"/>
  </w:style>
  <w:style w:type="character" w:styleId="CommentReference">
    <w:name w:val="annotation reference"/>
    <w:basedOn w:val="DefaultParagraphFont"/>
    <w:uiPriority w:val="99"/>
    <w:semiHidden/>
    <w:unhideWhenUsed/>
    <w:rsid w:val="00030FC1"/>
    <w:rPr>
      <w:sz w:val="16"/>
      <w:szCs w:val="16"/>
    </w:rPr>
  </w:style>
  <w:style w:type="paragraph" w:styleId="CommentText">
    <w:name w:val="annotation text"/>
    <w:basedOn w:val="Normal"/>
    <w:link w:val="CommentTextChar"/>
    <w:uiPriority w:val="99"/>
    <w:semiHidden/>
    <w:unhideWhenUsed/>
    <w:rsid w:val="00030FC1"/>
    <w:rPr>
      <w:szCs w:val="20"/>
    </w:rPr>
  </w:style>
  <w:style w:type="character" w:customStyle="1" w:styleId="CommentTextChar">
    <w:name w:val="Comment Text Char"/>
    <w:basedOn w:val="DefaultParagraphFont"/>
    <w:link w:val="CommentText"/>
    <w:uiPriority w:val="99"/>
    <w:semiHidden/>
    <w:rsid w:val="00030FC1"/>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030FC1"/>
    <w:rPr>
      <w:b/>
      <w:bCs/>
    </w:rPr>
  </w:style>
  <w:style w:type="character" w:customStyle="1" w:styleId="CommentSubjectChar">
    <w:name w:val="Comment Subject Char"/>
    <w:basedOn w:val="CommentTextChar"/>
    <w:link w:val="CommentSubject"/>
    <w:uiPriority w:val="99"/>
    <w:semiHidden/>
    <w:rsid w:val="00030FC1"/>
    <w:rPr>
      <w:rFonts w:ascii="Verdana" w:eastAsia="Calibri" w:hAnsi="Verdana" w:cs="Times"/>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qFormat/>
    <w:rsid w:val="00870DE8"/>
    <w:rPr>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870DE8"/>
    <w:rPr>
      <w:rFonts w:ascii="Verdana" w:eastAsia="Calibri" w:hAnsi="Verdana" w:cs="Times"/>
      <w:sz w:val="16"/>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DD161B"/>
    <w:rPr>
      <w:vertAlign w:val="superscript"/>
    </w:rPr>
  </w:style>
  <w:style w:type="paragraph" w:customStyle="1" w:styleId="Default">
    <w:name w:val="Default"/>
    <w:rsid w:val="00DD161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style>
  <w:style w:type="character" w:customStyle="1" w:styleId="HeaderChar">
    <w:name w:val="Header Char"/>
    <w:basedOn w:val="DefaultParagraphFont"/>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2"/>
      </w:numPr>
      <w:spacing w:before="120"/>
      <w:ind w:right="14"/>
    </w:pPr>
    <w:rPr>
      <w:rFonts w:eastAsia="Times New Roman" w:cs="ArialMT"/>
      <w:szCs w:val="20"/>
      <w:lang w:eastAsia="en-US" w:bidi="en-US"/>
    </w:rPr>
  </w:style>
  <w:style w:type="character" w:customStyle="1" w:styleId="NumChar">
    <w:name w:val="Num Char"/>
    <w:basedOn w:val="DefaultParagraphFont"/>
    <w:link w:val="Num"/>
    <w:rsid w:val="00DD161B"/>
    <w:rPr>
      <w:rFonts w:ascii="Verdana" w:eastAsia="Times New Roman" w:hAnsi="Verdana" w:cs="ArialMT"/>
      <w:sz w:val="20"/>
      <w:szCs w:val="20"/>
      <w:lang w:val="es-ES_tradnl" w:bidi="en-US"/>
    </w:rPr>
  </w:style>
  <w:style w:type="paragraph" w:styleId="ListParagraph">
    <w:name w:val="List Paragraph"/>
    <w:basedOn w:val="Normal"/>
    <w:uiPriority w:val="99"/>
    <w:qFormat/>
    <w:rsid w:val="00172868"/>
    <w:pPr>
      <w:ind w:left="720"/>
      <w:contextualSpacing/>
    </w:pPr>
  </w:style>
  <w:style w:type="paragraph" w:styleId="PlainText">
    <w:name w:val="Plain Text"/>
    <w:basedOn w:val="Normal"/>
    <w:link w:val="PlainTextChar"/>
    <w:uiPriority w:val="99"/>
    <w:semiHidden/>
    <w:unhideWhenUsed/>
    <w:rsid w:val="00AA36D2"/>
    <w:pPr>
      <w:spacing w:after="0"/>
      <w:jc w:val="left"/>
    </w:pPr>
    <w:rPr>
      <w:rFonts w:ascii="Consolas" w:eastAsiaTheme="minorHAnsi" w:hAnsi="Consolas" w:cstheme="minorBidi"/>
      <w:sz w:val="21"/>
      <w:szCs w:val="21"/>
      <w:lang w:val="es-CR" w:eastAsia="en-US"/>
    </w:rPr>
  </w:style>
  <w:style w:type="character" w:customStyle="1" w:styleId="PlainTextChar">
    <w:name w:val="Plain Text Char"/>
    <w:basedOn w:val="DefaultParagraphFont"/>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basedOn w:val="DefaultParagraphFont"/>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semiHidden/>
    <w:unhideWhenUsed/>
    <w:rsid w:val="00A97E70"/>
    <w:pPr>
      <w:tabs>
        <w:tab w:val="center" w:pos="4680"/>
        <w:tab w:val="right" w:pos="9360"/>
      </w:tabs>
      <w:spacing w:after="0"/>
    </w:pPr>
  </w:style>
  <w:style w:type="character" w:customStyle="1" w:styleId="FooterChar">
    <w:name w:val="Footer Char"/>
    <w:basedOn w:val="DefaultParagraphFont"/>
    <w:link w:val="Footer"/>
    <w:uiPriority w:val="99"/>
    <w:semiHidden/>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70"/>
    <w:rPr>
      <w:rFonts w:ascii="Tahoma" w:eastAsia="Calibri" w:hAnsi="Tahoma" w:cs="Tahoma"/>
      <w:sz w:val="16"/>
      <w:szCs w:val="16"/>
      <w:lang w:val="es-ES_tradnl" w:eastAsia="es-ES"/>
    </w:rPr>
  </w:style>
  <w:style w:type="character" w:styleId="SubtleEmphasis">
    <w:name w:val="Subtle Emphasis"/>
    <w:basedOn w:val="DefaultParagraphFont"/>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style>
  <w:style w:type="character" w:customStyle="1" w:styleId="BodyTextIndentChar">
    <w:name w:val="Body Text Indent Char"/>
    <w:basedOn w:val="DefaultParagraphFont"/>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uiPriority w:val="99"/>
    <w:locked/>
    <w:rsid w:val="00801118"/>
    <w:rPr>
      <w:rFonts w:cs="Verdana"/>
      <w:sz w:val="16"/>
      <w:szCs w:val="16"/>
      <w:lang w:val="es-ES_tradnl" w:eastAsia="es-ES"/>
    </w:rPr>
  </w:style>
  <w:style w:type="character" w:styleId="LineNumber">
    <w:name w:val="line number"/>
    <w:basedOn w:val="DefaultParagraphFont"/>
    <w:uiPriority w:val="99"/>
    <w:semiHidden/>
    <w:unhideWhenUsed/>
    <w:rsid w:val="00460A53"/>
  </w:style>
  <w:style w:type="character" w:styleId="CommentReference">
    <w:name w:val="annotation reference"/>
    <w:basedOn w:val="DefaultParagraphFont"/>
    <w:uiPriority w:val="99"/>
    <w:semiHidden/>
    <w:unhideWhenUsed/>
    <w:rsid w:val="00030FC1"/>
    <w:rPr>
      <w:sz w:val="16"/>
      <w:szCs w:val="16"/>
    </w:rPr>
  </w:style>
  <w:style w:type="paragraph" w:styleId="CommentText">
    <w:name w:val="annotation text"/>
    <w:basedOn w:val="Normal"/>
    <w:link w:val="CommentTextChar"/>
    <w:uiPriority w:val="99"/>
    <w:semiHidden/>
    <w:unhideWhenUsed/>
    <w:rsid w:val="00030FC1"/>
    <w:rPr>
      <w:szCs w:val="20"/>
    </w:rPr>
  </w:style>
  <w:style w:type="character" w:customStyle="1" w:styleId="CommentTextChar">
    <w:name w:val="Comment Text Char"/>
    <w:basedOn w:val="DefaultParagraphFont"/>
    <w:link w:val="CommentText"/>
    <w:uiPriority w:val="99"/>
    <w:semiHidden/>
    <w:rsid w:val="00030FC1"/>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030FC1"/>
    <w:rPr>
      <w:b/>
      <w:bCs/>
    </w:rPr>
  </w:style>
  <w:style w:type="character" w:customStyle="1" w:styleId="CommentSubjectChar">
    <w:name w:val="Comment Subject Char"/>
    <w:basedOn w:val="CommentTextChar"/>
    <w:link w:val="CommentSubject"/>
    <w:uiPriority w:val="99"/>
    <w:semiHidden/>
    <w:rsid w:val="00030FC1"/>
    <w:rPr>
      <w:rFonts w:ascii="Verdana" w:eastAsia="Calibri" w:hAnsi="Verdana" w:cs="Times"/>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993">
      <w:bodyDiv w:val="1"/>
      <w:marLeft w:val="0"/>
      <w:marRight w:val="0"/>
      <w:marTop w:val="0"/>
      <w:marBottom w:val="0"/>
      <w:divBdr>
        <w:top w:val="none" w:sz="0" w:space="0" w:color="auto"/>
        <w:left w:val="none" w:sz="0" w:space="0" w:color="auto"/>
        <w:bottom w:val="none" w:sz="0" w:space="0" w:color="auto"/>
        <w:right w:val="none" w:sz="0" w:space="0" w:color="auto"/>
      </w:divBdr>
    </w:div>
    <w:div w:id="133716788">
      <w:bodyDiv w:val="1"/>
      <w:marLeft w:val="0"/>
      <w:marRight w:val="0"/>
      <w:marTop w:val="0"/>
      <w:marBottom w:val="0"/>
      <w:divBdr>
        <w:top w:val="none" w:sz="0" w:space="0" w:color="auto"/>
        <w:left w:val="none" w:sz="0" w:space="0" w:color="auto"/>
        <w:bottom w:val="none" w:sz="0" w:space="0" w:color="auto"/>
        <w:right w:val="none" w:sz="0" w:space="0" w:color="auto"/>
      </w:divBdr>
    </w:div>
    <w:div w:id="172764342">
      <w:bodyDiv w:val="1"/>
      <w:marLeft w:val="0"/>
      <w:marRight w:val="0"/>
      <w:marTop w:val="0"/>
      <w:marBottom w:val="0"/>
      <w:divBdr>
        <w:top w:val="none" w:sz="0" w:space="0" w:color="auto"/>
        <w:left w:val="none" w:sz="0" w:space="0" w:color="auto"/>
        <w:bottom w:val="none" w:sz="0" w:space="0" w:color="auto"/>
        <w:right w:val="none" w:sz="0" w:space="0" w:color="auto"/>
      </w:divBdr>
    </w:div>
    <w:div w:id="373895728">
      <w:bodyDiv w:val="1"/>
      <w:marLeft w:val="0"/>
      <w:marRight w:val="0"/>
      <w:marTop w:val="0"/>
      <w:marBottom w:val="0"/>
      <w:divBdr>
        <w:top w:val="none" w:sz="0" w:space="0" w:color="auto"/>
        <w:left w:val="none" w:sz="0" w:space="0" w:color="auto"/>
        <w:bottom w:val="none" w:sz="0" w:space="0" w:color="auto"/>
        <w:right w:val="none" w:sz="0" w:space="0" w:color="auto"/>
      </w:divBdr>
    </w:div>
    <w:div w:id="445779731">
      <w:bodyDiv w:val="1"/>
      <w:marLeft w:val="0"/>
      <w:marRight w:val="0"/>
      <w:marTop w:val="0"/>
      <w:marBottom w:val="0"/>
      <w:divBdr>
        <w:top w:val="none" w:sz="0" w:space="0" w:color="auto"/>
        <w:left w:val="none" w:sz="0" w:space="0" w:color="auto"/>
        <w:bottom w:val="none" w:sz="0" w:space="0" w:color="auto"/>
        <w:right w:val="none" w:sz="0" w:space="0" w:color="auto"/>
      </w:divBdr>
    </w:div>
    <w:div w:id="469055492">
      <w:bodyDiv w:val="1"/>
      <w:marLeft w:val="0"/>
      <w:marRight w:val="0"/>
      <w:marTop w:val="0"/>
      <w:marBottom w:val="0"/>
      <w:divBdr>
        <w:top w:val="none" w:sz="0" w:space="0" w:color="auto"/>
        <w:left w:val="none" w:sz="0" w:space="0" w:color="auto"/>
        <w:bottom w:val="none" w:sz="0" w:space="0" w:color="auto"/>
        <w:right w:val="none" w:sz="0" w:space="0" w:color="auto"/>
      </w:divBdr>
    </w:div>
    <w:div w:id="506334988">
      <w:bodyDiv w:val="1"/>
      <w:marLeft w:val="0"/>
      <w:marRight w:val="0"/>
      <w:marTop w:val="0"/>
      <w:marBottom w:val="0"/>
      <w:divBdr>
        <w:top w:val="none" w:sz="0" w:space="0" w:color="auto"/>
        <w:left w:val="none" w:sz="0" w:space="0" w:color="auto"/>
        <w:bottom w:val="none" w:sz="0" w:space="0" w:color="auto"/>
        <w:right w:val="none" w:sz="0" w:space="0" w:color="auto"/>
      </w:divBdr>
    </w:div>
    <w:div w:id="800734921">
      <w:bodyDiv w:val="1"/>
      <w:marLeft w:val="0"/>
      <w:marRight w:val="0"/>
      <w:marTop w:val="0"/>
      <w:marBottom w:val="0"/>
      <w:divBdr>
        <w:top w:val="none" w:sz="0" w:space="0" w:color="auto"/>
        <w:left w:val="none" w:sz="0" w:space="0" w:color="auto"/>
        <w:bottom w:val="none" w:sz="0" w:space="0" w:color="auto"/>
        <w:right w:val="none" w:sz="0" w:space="0" w:color="auto"/>
      </w:divBdr>
    </w:div>
    <w:div w:id="1160267293">
      <w:bodyDiv w:val="1"/>
      <w:marLeft w:val="0"/>
      <w:marRight w:val="0"/>
      <w:marTop w:val="0"/>
      <w:marBottom w:val="0"/>
      <w:divBdr>
        <w:top w:val="none" w:sz="0" w:space="0" w:color="auto"/>
        <w:left w:val="none" w:sz="0" w:space="0" w:color="auto"/>
        <w:bottom w:val="none" w:sz="0" w:space="0" w:color="auto"/>
        <w:right w:val="none" w:sz="0" w:space="0" w:color="auto"/>
      </w:divBdr>
    </w:div>
    <w:div w:id="1610317396">
      <w:bodyDiv w:val="1"/>
      <w:marLeft w:val="0"/>
      <w:marRight w:val="0"/>
      <w:marTop w:val="0"/>
      <w:marBottom w:val="0"/>
      <w:divBdr>
        <w:top w:val="none" w:sz="0" w:space="0" w:color="auto"/>
        <w:left w:val="none" w:sz="0" w:space="0" w:color="auto"/>
        <w:bottom w:val="none" w:sz="0" w:space="0" w:color="auto"/>
        <w:right w:val="none" w:sz="0" w:space="0" w:color="auto"/>
      </w:divBdr>
    </w:div>
    <w:div w:id="2061443505">
      <w:bodyDiv w:val="1"/>
      <w:marLeft w:val="0"/>
      <w:marRight w:val="0"/>
      <w:marTop w:val="0"/>
      <w:marBottom w:val="0"/>
      <w:divBdr>
        <w:top w:val="none" w:sz="0" w:space="0" w:color="auto"/>
        <w:left w:val="none" w:sz="0" w:space="0" w:color="auto"/>
        <w:bottom w:val="none" w:sz="0" w:space="0" w:color="auto"/>
        <w:right w:val="none" w:sz="0" w:space="0" w:color="auto"/>
      </w:divBdr>
    </w:div>
    <w:div w:id="20836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0026D-3251-48E9-AB51-738A1199F02D}">
  <ds:schemaRefs>
    <ds:schemaRef ds:uri="http://schemas.openxmlformats.org/officeDocument/2006/bibliography"/>
  </ds:schemaRefs>
</ds:datastoreItem>
</file>

<file path=customXml/itemProps2.xml><?xml version="1.0" encoding="utf-8"?>
<ds:datastoreItem xmlns:ds="http://schemas.openxmlformats.org/officeDocument/2006/customXml" ds:itemID="{5AC01649-3C74-4416-91ED-FAF83AEF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6018</Words>
  <Characters>33100</Characters>
  <Application>Microsoft Office Word</Application>
  <DocSecurity>0</DocSecurity>
  <Lines>275</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39040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4</cp:revision>
  <cp:lastPrinted>2017-07-06T16:43:00Z</cp:lastPrinted>
  <dcterms:created xsi:type="dcterms:W3CDTF">2017-07-06T18:13:00Z</dcterms:created>
  <dcterms:modified xsi:type="dcterms:W3CDTF">2017-07-06T18:13:00Z</dcterms:modified>
</cp:coreProperties>
</file>