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A17" w:rsidRPr="000402CA" w:rsidRDefault="00C73957" w:rsidP="005735AE">
      <w:pPr>
        <w:spacing w:after="0"/>
        <w:ind w:right="-317"/>
        <w:jc w:val="center"/>
        <w:rPr>
          <w:rFonts w:cs="Verdana Bold"/>
          <w:b/>
          <w:bCs/>
          <w:caps/>
          <w:szCs w:val="20"/>
        </w:rPr>
      </w:pPr>
      <w:r>
        <w:rPr>
          <w:rFonts w:cs="Verdana Bold"/>
          <w:b/>
          <w:bCs/>
          <w:caps/>
          <w:szCs w:val="20"/>
        </w:rPr>
        <w:t xml:space="preserve">    </w:t>
      </w:r>
      <w:bookmarkStart w:id="0" w:name="_GoBack"/>
      <w:bookmarkEnd w:id="0"/>
    </w:p>
    <w:p w:rsidR="00431A17" w:rsidRPr="000402CA" w:rsidRDefault="00431A17" w:rsidP="005735AE">
      <w:pPr>
        <w:spacing w:after="0"/>
        <w:ind w:right="-317"/>
        <w:jc w:val="center"/>
        <w:rPr>
          <w:rFonts w:cs="Verdana Bold"/>
          <w:b/>
          <w:bCs/>
          <w:caps/>
          <w:szCs w:val="20"/>
        </w:rPr>
      </w:pPr>
    </w:p>
    <w:p w:rsidR="00431A17" w:rsidRPr="000402CA" w:rsidRDefault="00431A17" w:rsidP="005735AE">
      <w:pPr>
        <w:spacing w:after="0"/>
        <w:ind w:right="-317"/>
        <w:jc w:val="center"/>
        <w:rPr>
          <w:rFonts w:cs="Verdana Bold"/>
          <w:b/>
          <w:bCs/>
          <w:caps/>
          <w:szCs w:val="20"/>
        </w:rPr>
      </w:pPr>
    </w:p>
    <w:p w:rsidR="00431A17" w:rsidRPr="000402CA" w:rsidRDefault="00431A17" w:rsidP="005735AE">
      <w:pPr>
        <w:spacing w:after="0"/>
        <w:ind w:right="-317"/>
        <w:jc w:val="center"/>
        <w:rPr>
          <w:rFonts w:cs="Verdana Bold"/>
          <w:b/>
          <w:bCs/>
          <w:caps/>
          <w:szCs w:val="20"/>
        </w:rPr>
      </w:pPr>
    </w:p>
    <w:p w:rsidR="00431A17" w:rsidRDefault="00431A17" w:rsidP="005735AE">
      <w:pPr>
        <w:spacing w:after="0"/>
        <w:ind w:right="-317"/>
        <w:jc w:val="center"/>
        <w:rPr>
          <w:rFonts w:cs="Verdana Bold"/>
          <w:b/>
          <w:bCs/>
          <w:caps/>
          <w:szCs w:val="20"/>
        </w:rPr>
      </w:pPr>
    </w:p>
    <w:p w:rsidR="00431A17" w:rsidRDefault="00431A17" w:rsidP="005735AE">
      <w:pPr>
        <w:spacing w:after="0"/>
        <w:ind w:right="-317"/>
        <w:jc w:val="center"/>
        <w:rPr>
          <w:rFonts w:cs="Verdana Bold"/>
          <w:b/>
          <w:bCs/>
          <w:caps/>
          <w:szCs w:val="20"/>
        </w:rPr>
      </w:pPr>
    </w:p>
    <w:p w:rsidR="00431A17" w:rsidRDefault="00431A17" w:rsidP="005735AE">
      <w:pPr>
        <w:spacing w:after="0"/>
        <w:ind w:right="-317"/>
        <w:jc w:val="center"/>
        <w:rPr>
          <w:rFonts w:cs="Verdana Bold"/>
          <w:b/>
          <w:bCs/>
          <w:caps/>
          <w:szCs w:val="20"/>
        </w:rPr>
      </w:pPr>
    </w:p>
    <w:p w:rsidR="00431A17" w:rsidRDefault="00431A17" w:rsidP="005735AE">
      <w:pPr>
        <w:spacing w:after="0"/>
        <w:ind w:right="-317"/>
        <w:jc w:val="center"/>
        <w:rPr>
          <w:rFonts w:cs="Verdana Bold"/>
          <w:b/>
          <w:bCs/>
          <w:caps/>
          <w:szCs w:val="20"/>
        </w:rPr>
      </w:pPr>
    </w:p>
    <w:p w:rsidR="00431A17" w:rsidRDefault="00431A17" w:rsidP="005735AE">
      <w:pPr>
        <w:spacing w:after="0"/>
        <w:ind w:right="-317"/>
        <w:jc w:val="center"/>
        <w:rPr>
          <w:rFonts w:cs="Verdana Bold"/>
          <w:b/>
          <w:bCs/>
          <w:caps/>
          <w:szCs w:val="20"/>
        </w:rPr>
      </w:pPr>
    </w:p>
    <w:p w:rsidR="00431A17" w:rsidRPr="00155DB1" w:rsidRDefault="00431A17" w:rsidP="005735AE">
      <w:pPr>
        <w:spacing w:after="0"/>
        <w:ind w:right="-317"/>
        <w:rPr>
          <w:rFonts w:cs="Verdana Bold"/>
          <w:b/>
          <w:bCs/>
          <w:caps/>
          <w:szCs w:val="20"/>
        </w:rPr>
      </w:pPr>
    </w:p>
    <w:p w:rsidR="00431A17" w:rsidRPr="00994F3C" w:rsidRDefault="00431A17" w:rsidP="005735AE">
      <w:pPr>
        <w:spacing w:after="0"/>
        <w:ind w:right="-316"/>
        <w:jc w:val="center"/>
        <w:rPr>
          <w:rFonts w:cs="Verdana Bold"/>
          <w:b/>
          <w:bCs/>
          <w:caps/>
        </w:rPr>
      </w:pPr>
      <w:r w:rsidRPr="00994F3C">
        <w:rPr>
          <w:rFonts w:cs="Verdana Bold"/>
          <w:b/>
          <w:bCs/>
          <w:caps/>
        </w:rPr>
        <w:t>Resolución del Presidente de la</w:t>
      </w:r>
    </w:p>
    <w:p w:rsidR="00431A17" w:rsidRPr="00BD22C0" w:rsidRDefault="00431A17" w:rsidP="005735AE">
      <w:pPr>
        <w:spacing w:after="0"/>
        <w:ind w:right="-316"/>
        <w:jc w:val="center"/>
        <w:rPr>
          <w:rFonts w:cs="Verdana Bold"/>
          <w:b/>
          <w:bCs/>
          <w:caps/>
        </w:rPr>
      </w:pPr>
      <w:r w:rsidRPr="00BD22C0">
        <w:rPr>
          <w:rFonts w:cs="Verdana Bold"/>
          <w:b/>
          <w:bCs/>
          <w:caps/>
        </w:rPr>
        <w:t>Corte Interamericana de Derechos Humanos</w:t>
      </w:r>
    </w:p>
    <w:p w:rsidR="00431A17" w:rsidRPr="00BD22C0" w:rsidRDefault="00431A17" w:rsidP="005735AE">
      <w:pPr>
        <w:spacing w:after="0"/>
        <w:ind w:right="-316"/>
        <w:rPr>
          <w:rFonts w:cs="Verdana Bold"/>
          <w:b/>
          <w:bCs/>
          <w:caps/>
          <w:szCs w:val="20"/>
        </w:rPr>
      </w:pPr>
    </w:p>
    <w:p w:rsidR="00431A17" w:rsidRPr="00A9080E" w:rsidRDefault="00431A17" w:rsidP="005735AE">
      <w:pPr>
        <w:spacing w:after="0"/>
        <w:ind w:right="-316"/>
        <w:jc w:val="center"/>
        <w:rPr>
          <w:rFonts w:cs="Verdana Bold"/>
          <w:b/>
          <w:bCs/>
          <w:caps/>
          <w:szCs w:val="20"/>
        </w:rPr>
      </w:pPr>
      <w:r w:rsidRPr="00A9080E">
        <w:rPr>
          <w:rFonts w:cs="Verdana Bold"/>
          <w:b/>
          <w:bCs/>
          <w:caps/>
          <w:szCs w:val="20"/>
        </w:rPr>
        <w:t xml:space="preserve">DE </w:t>
      </w:r>
      <w:r w:rsidR="00FE7E0A">
        <w:rPr>
          <w:rFonts w:cs="Verdana Bold"/>
          <w:b/>
          <w:bCs/>
          <w:caps/>
          <w:szCs w:val="20"/>
        </w:rPr>
        <w:t>8</w:t>
      </w:r>
      <w:r w:rsidR="0025008A" w:rsidRPr="00A9080E">
        <w:rPr>
          <w:rFonts w:cs="Verdana Bold"/>
          <w:b/>
          <w:bCs/>
          <w:caps/>
          <w:szCs w:val="20"/>
        </w:rPr>
        <w:t xml:space="preserve"> de </w:t>
      </w:r>
      <w:r w:rsidR="00CC49A0">
        <w:rPr>
          <w:rFonts w:cs="Verdana Bold"/>
          <w:b/>
          <w:bCs/>
          <w:caps/>
          <w:szCs w:val="20"/>
        </w:rPr>
        <w:t>febrero</w:t>
      </w:r>
      <w:r w:rsidR="0025008A" w:rsidRPr="00A9080E">
        <w:rPr>
          <w:rFonts w:cs="Verdana Bold"/>
          <w:b/>
          <w:bCs/>
          <w:caps/>
          <w:szCs w:val="20"/>
        </w:rPr>
        <w:t xml:space="preserve"> de 201</w:t>
      </w:r>
      <w:r w:rsidR="00CC49A0">
        <w:rPr>
          <w:rFonts w:cs="Verdana Bold"/>
          <w:b/>
          <w:bCs/>
          <w:caps/>
          <w:szCs w:val="20"/>
        </w:rPr>
        <w:t>8</w:t>
      </w:r>
    </w:p>
    <w:p w:rsidR="00431A17" w:rsidRPr="00A9080E" w:rsidRDefault="00431A17" w:rsidP="005735AE">
      <w:pPr>
        <w:spacing w:after="0"/>
        <w:ind w:right="-316"/>
        <w:rPr>
          <w:rFonts w:cs="Verdana Bold"/>
          <w:b/>
          <w:bCs/>
          <w:caps/>
          <w:szCs w:val="20"/>
        </w:rPr>
      </w:pPr>
    </w:p>
    <w:p w:rsidR="00350E89" w:rsidRPr="0030019E" w:rsidRDefault="0025008A" w:rsidP="005735AE">
      <w:pPr>
        <w:spacing w:after="0"/>
        <w:ind w:right="-316"/>
        <w:jc w:val="center"/>
        <w:rPr>
          <w:rFonts w:cs="Verdana Bold"/>
          <w:b/>
          <w:bCs/>
          <w:caps/>
          <w:szCs w:val="20"/>
        </w:rPr>
      </w:pPr>
      <w:r w:rsidRPr="00135E8F">
        <w:rPr>
          <w:rFonts w:cs="Verdana Bold"/>
          <w:b/>
          <w:bCs/>
          <w:szCs w:val="20"/>
          <w:lang w:val="es-CR"/>
        </w:rPr>
        <w:t xml:space="preserve">CASO </w:t>
      </w:r>
      <w:r w:rsidR="00CC49A0">
        <w:rPr>
          <w:rFonts w:cs="Arial"/>
          <w:b/>
          <w:lang w:val="es-CR"/>
        </w:rPr>
        <w:t>CUSCÚ</w:t>
      </w:r>
      <w:r w:rsidR="006605B2">
        <w:rPr>
          <w:rFonts w:cs="Arial"/>
          <w:b/>
          <w:lang w:val="es-CR"/>
        </w:rPr>
        <w:t>L PIVARAL</w:t>
      </w:r>
      <w:r w:rsidR="00135E8F" w:rsidRPr="00135E8F">
        <w:rPr>
          <w:rFonts w:cs="Arial"/>
          <w:b/>
          <w:lang w:val="es-CR"/>
        </w:rPr>
        <w:t xml:space="preserve"> Y OTROS </w:t>
      </w:r>
      <w:r w:rsidR="00431A17" w:rsidRPr="00135E8F">
        <w:rPr>
          <w:rFonts w:cs="Verdana Bold"/>
          <w:b/>
          <w:bCs/>
          <w:caps/>
          <w:szCs w:val="20"/>
          <w:lang w:val="es-CR"/>
        </w:rPr>
        <w:t xml:space="preserve">VS. </w:t>
      </w:r>
      <w:r w:rsidR="006605B2">
        <w:rPr>
          <w:rFonts w:cs="Verdana Bold"/>
          <w:b/>
          <w:bCs/>
          <w:caps/>
          <w:szCs w:val="20"/>
        </w:rPr>
        <w:t>GUATEMALA</w:t>
      </w:r>
    </w:p>
    <w:p w:rsidR="00431A17" w:rsidRPr="00BD22C0" w:rsidRDefault="00431A17" w:rsidP="005735AE">
      <w:pPr>
        <w:spacing w:after="0"/>
        <w:rPr>
          <w:rFonts w:cs="Verdana"/>
          <w:b/>
          <w:bCs/>
          <w:caps/>
          <w:szCs w:val="20"/>
        </w:rPr>
      </w:pPr>
    </w:p>
    <w:p w:rsidR="00431A17" w:rsidRPr="00BD22C0" w:rsidRDefault="00431A17" w:rsidP="005735AE">
      <w:pPr>
        <w:spacing w:after="0"/>
        <w:rPr>
          <w:rFonts w:cs="Verdana"/>
          <w:b/>
          <w:bCs/>
          <w:caps/>
          <w:szCs w:val="20"/>
        </w:rPr>
      </w:pPr>
    </w:p>
    <w:p w:rsidR="00431A17" w:rsidRPr="00BD22C0" w:rsidRDefault="00431A17" w:rsidP="005735AE">
      <w:pPr>
        <w:spacing w:after="0"/>
        <w:rPr>
          <w:rFonts w:cs="Verdana"/>
          <w:b/>
          <w:bCs/>
          <w:caps/>
          <w:szCs w:val="20"/>
        </w:rPr>
      </w:pPr>
      <w:r w:rsidRPr="00BD22C0">
        <w:rPr>
          <w:rFonts w:cs="Verdana"/>
          <w:b/>
          <w:bCs/>
          <w:caps/>
          <w:szCs w:val="20"/>
        </w:rPr>
        <w:t>Visto:</w:t>
      </w:r>
    </w:p>
    <w:p w:rsidR="00431A17" w:rsidRPr="00BD22C0" w:rsidRDefault="00431A17" w:rsidP="005735AE">
      <w:pPr>
        <w:spacing w:after="0"/>
        <w:rPr>
          <w:rFonts w:cs="Verdana"/>
          <w:b/>
          <w:bCs/>
          <w:caps/>
          <w:szCs w:val="20"/>
        </w:rPr>
      </w:pPr>
    </w:p>
    <w:p w:rsidR="00431A17" w:rsidRPr="00E44575" w:rsidRDefault="00431A17" w:rsidP="00BC2C91">
      <w:pPr>
        <w:pStyle w:val="Listavistosa-nfasis11"/>
        <w:widowControl w:val="0"/>
        <w:numPr>
          <w:ilvl w:val="0"/>
          <w:numId w:val="5"/>
        </w:numPr>
        <w:tabs>
          <w:tab w:val="left" w:pos="567"/>
          <w:tab w:val="left" w:pos="720"/>
        </w:tabs>
        <w:autoSpaceDE w:val="0"/>
        <w:autoSpaceDN w:val="0"/>
        <w:adjustRightInd w:val="0"/>
        <w:spacing w:after="0"/>
        <w:ind w:left="0" w:right="22" w:firstLine="0"/>
        <w:contextualSpacing w:val="0"/>
        <w:rPr>
          <w:lang w:val="es-CR"/>
        </w:rPr>
      </w:pPr>
      <w:bookmarkStart w:id="1" w:name="_Ref393297742"/>
      <w:bookmarkStart w:id="2" w:name="_Ref352676460"/>
      <w:bookmarkStart w:id="3" w:name="_Ref393297780"/>
      <w:bookmarkStart w:id="4" w:name="_Ref393920719"/>
      <w:r w:rsidRPr="00E44575">
        <w:rPr>
          <w:lang w:val="es-CR"/>
        </w:rPr>
        <w:t>El escrito de sometimiento del caso y el Informe de Fondo de la Comisión Interamericana de Derechos Humanos (en adelante “la Comisión Interamericana” o “la Comisión”)</w:t>
      </w:r>
      <w:bookmarkEnd w:id="1"/>
      <w:r w:rsidRPr="00E44575">
        <w:rPr>
          <w:lang w:val="es-CR"/>
        </w:rPr>
        <w:t xml:space="preserve">; </w:t>
      </w:r>
      <w:bookmarkStart w:id="5" w:name="_Ref351983508"/>
      <w:bookmarkStart w:id="6" w:name="_Ref393297751"/>
      <w:bookmarkEnd w:id="2"/>
      <w:r w:rsidRPr="00E44575">
        <w:rPr>
          <w:lang w:val="es-CR"/>
        </w:rPr>
        <w:t xml:space="preserve">el escrito de solicitudes, argumentos y pruebas (en adelante el “escrito de solicitudes y argumentos”) </w:t>
      </w:r>
      <w:r w:rsidRPr="00E44575">
        <w:rPr>
          <w:szCs w:val="20"/>
          <w:lang w:val="es-CL" w:eastAsia="en-US"/>
        </w:rPr>
        <w:t>de los representantes</w:t>
      </w:r>
      <w:r w:rsidRPr="00E44575">
        <w:rPr>
          <w:rStyle w:val="FootnoteReference"/>
          <w:szCs w:val="20"/>
          <w:lang w:val="es-CL" w:eastAsia="en-US"/>
        </w:rPr>
        <w:t xml:space="preserve"> </w:t>
      </w:r>
      <w:r w:rsidRPr="00E44575">
        <w:rPr>
          <w:szCs w:val="20"/>
          <w:lang w:val="es-CL" w:eastAsia="en-US"/>
        </w:rPr>
        <w:t xml:space="preserve">de las </w:t>
      </w:r>
      <w:r w:rsidR="0025400B">
        <w:rPr>
          <w:szCs w:val="20"/>
          <w:lang w:val="es-CL" w:eastAsia="en-US"/>
        </w:rPr>
        <w:t>presuntas víctimas</w:t>
      </w:r>
      <w:r w:rsidRPr="00E44575">
        <w:rPr>
          <w:lang w:val="es-CR"/>
        </w:rPr>
        <w:t xml:space="preserve"> (en adelante “los representantes”); </w:t>
      </w:r>
      <w:bookmarkStart w:id="7" w:name="_Ref352676532"/>
      <w:bookmarkEnd w:id="5"/>
      <w:bookmarkEnd w:id="6"/>
      <w:r w:rsidRPr="00E44575">
        <w:rPr>
          <w:lang w:val="es-CR"/>
        </w:rPr>
        <w:t>el escrito de excepciones preliminares y contestación al sometimiento del caso y al escrito de solicitudes y argumentos (en adelante “escrito de contestación”) de</w:t>
      </w:r>
      <w:r>
        <w:rPr>
          <w:lang w:val="es-CR"/>
        </w:rPr>
        <w:t xml:space="preserve"> </w:t>
      </w:r>
      <w:r w:rsidRPr="00E44575">
        <w:rPr>
          <w:lang w:val="es-CR"/>
        </w:rPr>
        <w:t>l</w:t>
      </w:r>
      <w:r>
        <w:rPr>
          <w:lang w:val="es-CR"/>
        </w:rPr>
        <w:t xml:space="preserve">a República </w:t>
      </w:r>
      <w:r w:rsidR="006605B2">
        <w:rPr>
          <w:lang w:val="es-CR"/>
        </w:rPr>
        <w:t xml:space="preserve">de Guatemala </w:t>
      </w:r>
      <w:r w:rsidRPr="00E44575">
        <w:rPr>
          <w:lang w:val="es-CR"/>
        </w:rPr>
        <w:t>(en adelante “</w:t>
      </w:r>
      <w:r w:rsidR="006605B2">
        <w:rPr>
          <w:lang w:val="es-CR"/>
        </w:rPr>
        <w:t>Guatemala</w:t>
      </w:r>
      <w:r w:rsidRPr="00E44575">
        <w:rPr>
          <w:lang w:val="es-CR"/>
        </w:rPr>
        <w:t>” o “el Estado”)</w:t>
      </w:r>
      <w:bookmarkEnd w:id="7"/>
      <w:r w:rsidR="00387091">
        <w:rPr>
          <w:lang w:val="es-CR"/>
        </w:rPr>
        <w:t>;</w:t>
      </w:r>
      <w:r w:rsidRPr="00E44575">
        <w:rPr>
          <w:lang w:val="es-CR"/>
        </w:rPr>
        <w:t xml:space="preserve"> así como los escritos de observaciones a las excepciones preliminares presentados por la Comisión y </w:t>
      </w:r>
      <w:r w:rsidR="000402CA">
        <w:rPr>
          <w:lang w:val="es-CR"/>
        </w:rPr>
        <w:t xml:space="preserve">por </w:t>
      </w:r>
      <w:r w:rsidRPr="00E44575">
        <w:rPr>
          <w:lang w:val="es-CR"/>
        </w:rPr>
        <w:t>los representantes.</w:t>
      </w:r>
    </w:p>
    <w:p w:rsidR="00431A17" w:rsidRPr="00E44575" w:rsidRDefault="00431A17" w:rsidP="005735AE">
      <w:pPr>
        <w:pStyle w:val="Listavistosa-nfasis11"/>
        <w:numPr>
          <w:ilvl w:val="0"/>
          <w:numId w:val="0"/>
        </w:numPr>
        <w:tabs>
          <w:tab w:val="left" w:pos="567"/>
          <w:tab w:val="left" w:pos="720"/>
        </w:tabs>
        <w:spacing w:after="0"/>
        <w:contextualSpacing w:val="0"/>
        <w:rPr>
          <w:lang w:val="es-CR"/>
        </w:rPr>
      </w:pPr>
    </w:p>
    <w:bookmarkEnd w:id="3"/>
    <w:p w:rsidR="00637076" w:rsidRPr="00637076" w:rsidRDefault="00431A17" w:rsidP="00637076">
      <w:pPr>
        <w:pStyle w:val="Listavistosa-nfasis11"/>
        <w:widowControl w:val="0"/>
        <w:numPr>
          <w:ilvl w:val="0"/>
          <w:numId w:val="5"/>
        </w:numPr>
        <w:tabs>
          <w:tab w:val="left" w:pos="567"/>
          <w:tab w:val="left" w:pos="720"/>
        </w:tabs>
        <w:autoSpaceDE w:val="0"/>
        <w:autoSpaceDN w:val="0"/>
        <w:adjustRightInd w:val="0"/>
        <w:spacing w:after="0"/>
        <w:ind w:left="0" w:right="22" w:firstLine="0"/>
        <w:contextualSpacing w:val="0"/>
        <w:rPr>
          <w:b/>
          <w:lang w:val="es-CR"/>
        </w:rPr>
      </w:pPr>
      <w:r w:rsidRPr="00806E48">
        <w:rPr>
          <w:lang w:val="es-CR"/>
        </w:rPr>
        <w:t xml:space="preserve">Las listas definitivas de declarantes presentadas por </w:t>
      </w:r>
      <w:r w:rsidR="00AB0BFD" w:rsidRPr="00806E48">
        <w:rPr>
          <w:lang w:val="es-CR"/>
        </w:rPr>
        <w:t xml:space="preserve">los representantes, </w:t>
      </w:r>
      <w:r w:rsidRPr="00806E48">
        <w:rPr>
          <w:lang w:val="es-CR"/>
        </w:rPr>
        <w:t>el Estado y la Comisión</w:t>
      </w:r>
      <w:r w:rsidR="000402CA">
        <w:rPr>
          <w:lang w:val="es-CR"/>
        </w:rPr>
        <w:t>,</w:t>
      </w:r>
      <w:r w:rsidRPr="00806E48">
        <w:rPr>
          <w:lang w:val="es-CR"/>
        </w:rPr>
        <w:t xml:space="preserve"> y las correspondientes observaciones a dichas listas. </w:t>
      </w:r>
      <w:bookmarkEnd w:id="4"/>
    </w:p>
    <w:p w:rsidR="00637076" w:rsidRDefault="00637076" w:rsidP="00637076">
      <w:pPr>
        <w:spacing w:after="0"/>
      </w:pPr>
    </w:p>
    <w:p w:rsidR="00431A17" w:rsidRPr="00637076" w:rsidRDefault="00350E89" w:rsidP="00637076">
      <w:pPr>
        <w:pStyle w:val="Listavistosa-nfasis11"/>
        <w:widowControl w:val="0"/>
        <w:numPr>
          <w:ilvl w:val="0"/>
          <w:numId w:val="5"/>
        </w:numPr>
        <w:tabs>
          <w:tab w:val="left" w:pos="567"/>
          <w:tab w:val="left" w:pos="720"/>
        </w:tabs>
        <w:autoSpaceDE w:val="0"/>
        <w:autoSpaceDN w:val="0"/>
        <w:adjustRightInd w:val="0"/>
        <w:spacing w:after="0"/>
        <w:ind w:left="0" w:right="22" w:firstLine="0"/>
        <w:contextualSpacing w:val="0"/>
        <w:rPr>
          <w:b/>
          <w:lang w:val="es-CR"/>
        </w:rPr>
      </w:pPr>
      <w:r w:rsidRPr="00E23F37">
        <w:t>La Resolución del Presidente</w:t>
      </w:r>
      <w:r w:rsidRPr="00854DE1">
        <w:t xml:space="preserve"> </w:t>
      </w:r>
      <w:r w:rsidR="007E2235">
        <w:t xml:space="preserve">en ejercicio </w:t>
      </w:r>
      <w:r w:rsidRPr="00854DE1">
        <w:t xml:space="preserve">de la Corte Interamericana de Derechos Humanos (en adelante “el Presidente”) de </w:t>
      </w:r>
      <w:r w:rsidR="00A9080E" w:rsidRPr="00637076">
        <w:rPr>
          <w:bCs/>
          <w:lang w:val="es-CL"/>
        </w:rPr>
        <w:t xml:space="preserve">24 de julio de 2017 </w:t>
      </w:r>
      <w:r w:rsidRPr="00A9080E">
        <w:t>sobre</w:t>
      </w:r>
      <w:r w:rsidRPr="00854DE1">
        <w:t xml:space="preserve"> el Fondo de Asistencia Legal de Víctimas.</w:t>
      </w:r>
    </w:p>
    <w:p w:rsidR="00637076" w:rsidRPr="00637076" w:rsidRDefault="00637076" w:rsidP="00637076">
      <w:pPr>
        <w:pStyle w:val="Listavistosa-nfasis11"/>
        <w:widowControl w:val="0"/>
        <w:numPr>
          <w:ilvl w:val="0"/>
          <w:numId w:val="0"/>
        </w:numPr>
        <w:tabs>
          <w:tab w:val="left" w:pos="567"/>
          <w:tab w:val="left" w:pos="720"/>
        </w:tabs>
        <w:autoSpaceDE w:val="0"/>
        <w:autoSpaceDN w:val="0"/>
        <w:adjustRightInd w:val="0"/>
        <w:spacing w:after="0"/>
        <w:ind w:right="22"/>
        <w:contextualSpacing w:val="0"/>
        <w:rPr>
          <w:lang w:val="es-CR"/>
        </w:rPr>
      </w:pPr>
    </w:p>
    <w:p w:rsidR="00431A17" w:rsidRPr="00E44575" w:rsidRDefault="00431A17" w:rsidP="005735AE">
      <w:pPr>
        <w:tabs>
          <w:tab w:val="left" w:pos="720"/>
        </w:tabs>
        <w:autoSpaceDE w:val="0"/>
        <w:autoSpaceDN w:val="0"/>
        <w:adjustRightInd w:val="0"/>
        <w:spacing w:after="0"/>
        <w:jc w:val="left"/>
        <w:rPr>
          <w:rFonts w:eastAsia="Times New Roman" w:cs="Verdana"/>
          <w:b/>
          <w:bCs/>
          <w:szCs w:val="20"/>
          <w:lang w:val="es-CL" w:eastAsia="en-US"/>
        </w:rPr>
      </w:pPr>
      <w:r w:rsidRPr="00E44575">
        <w:rPr>
          <w:rFonts w:eastAsia="Times New Roman" w:cs="Verdana"/>
          <w:b/>
          <w:bCs/>
          <w:szCs w:val="20"/>
          <w:lang w:val="es-CL" w:eastAsia="en-US"/>
        </w:rPr>
        <w:t>CONSIDERANDO QUE:</w:t>
      </w:r>
    </w:p>
    <w:p w:rsidR="00431A17" w:rsidRPr="00FB1AD3" w:rsidRDefault="00431A17" w:rsidP="005735AE">
      <w:pPr>
        <w:pStyle w:val="Listavistosa-nfasis11"/>
        <w:numPr>
          <w:ilvl w:val="0"/>
          <w:numId w:val="0"/>
        </w:numPr>
        <w:autoSpaceDE w:val="0"/>
        <w:autoSpaceDN w:val="0"/>
        <w:adjustRightInd w:val="0"/>
        <w:spacing w:after="0"/>
        <w:ind w:left="180"/>
        <w:contextualSpacing w:val="0"/>
        <w:rPr>
          <w:lang w:val="es-ES"/>
        </w:rPr>
      </w:pPr>
    </w:p>
    <w:p w:rsidR="00431A17" w:rsidRDefault="00431A17" w:rsidP="005735AE">
      <w:pPr>
        <w:numPr>
          <w:ilvl w:val="0"/>
          <w:numId w:val="1"/>
        </w:numPr>
        <w:tabs>
          <w:tab w:val="num" w:pos="720"/>
        </w:tabs>
        <w:autoSpaceDE w:val="0"/>
        <w:autoSpaceDN w:val="0"/>
        <w:adjustRightInd w:val="0"/>
        <w:spacing w:after="0"/>
        <w:rPr>
          <w:rFonts w:eastAsia="Times New Roman" w:cs="Verdana"/>
          <w:szCs w:val="20"/>
          <w:lang w:val="es-CL" w:eastAsia="en-US"/>
        </w:rPr>
      </w:pPr>
      <w:r w:rsidRPr="00E44575">
        <w:rPr>
          <w:rFonts w:eastAsia="Times New Roman" w:cs="Verdana"/>
          <w:szCs w:val="20"/>
          <w:lang w:val="es-CL" w:eastAsia="en-US"/>
        </w:rPr>
        <w:t xml:space="preserve">El ofrecimiento y la admisión de la prueba, así como la citación de </w:t>
      </w:r>
      <w:r w:rsidR="00706F3B">
        <w:rPr>
          <w:rFonts w:eastAsia="Times New Roman" w:cs="Verdana"/>
          <w:szCs w:val="20"/>
          <w:lang w:val="es-CL" w:eastAsia="en-US"/>
        </w:rPr>
        <w:t>presuntas víctimas</w:t>
      </w:r>
      <w:r>
        <w:rPr>
          <w:rFonts w:eastAsia="Times New Roman" w:cs="Verdana"/>
          <w:szCs w:val="20"/>
          <w:lang w:val="es-CL" w:eastAsia="en-US"/>
        </w:rPr>
        <w:t xml:space="preserve">, </w:t>
      </w:r>
      <w:r w:rsidRPr="00E44575">
        <w:rPr>
          <w:rFonts w:eastAsia="Times New Roman" w:cs="Verdana"/>
          <w:szCs w:val="20"/>
          <w:lang w:val="es-CL" w:eastAsia="en-US"/>
        </w:rPr>
        <w:t>testigos y peritos, se encuentran regulados en los artículos 35.1.f, 40.2.c, 41.1.c, 46, 48</w:t>
      </w:r>
      <w:r w:rsidR="00112EAA">
        <w:rPr>
          <w:rFonts w:eastAsia="Times New Roman" w:cs="Verdana"/>
          <w:szCs w:val="20"/>
          <w:lang w:val="es-CL" w:eastAsia="en-US"/>
        </w:rPr>
        <w:t>, 50</w:t>
      </w:r>
      <w:r w:rsidRPr="00E44575">
        <w:rPr>
          <w:rFonts w:eastAsia="Times New Roman" w:cs="Verdana"/>
          <w:szCs w:val="20"/>
          <w:lang w:val="es-CL" w:eastAsia="en-US"/>
        </w:rPr>
        <w:t xml:space="preserve"> y 57 del Reglamento del Tribunal</w:t>
      </w:r>
      <w:r w:rsidRPr="00FC7A43">
        <w:rPr>
          <w:rFonts w:eastAsia="Times New Roman" w:cs="Verdana"/>
          <w:szCs w:val="20"/>
          <w:lang w:val="es-CL" w:eastAsia="en-US"/>
        </w:rPr>
        <w:t>.</w:t>
      </w:r>
      <w:r w:rsidRPr="00E44575">
        <w:rPr>
          <w:rFonts w:eastAsia="Times New Roman" w:cs="Verdana"/>
          <w:szCs w:val="20"/>
          <w:lang w:val="es-CL" w:eastAsia="en-US"/>
        </w:rPr>
        <w:t xml:space="preserve"> </w:t>
      </w:r>
    </w:p>
    <w:p w:rsidR="00431A17" w:rsidRPr="00E44575" w:rsidRDefault="00431A17" w:rsidP="005735AE">
      <w:pPr>
        <w:autoSpaceDE w:val="0"/>
        <w:autoSpaceDN w:val="0"/>
        <w:adjustRightInd w:val="0"/>
        <w:spacing w:after="0"/>
        <w:rPr>
          <w:rFonts w:eastAsia="Times New Roman" w:cs="Verdana"/>
          <w:szCs w:val="20"/>
          <w:lang w:val="es-CL" w:eastAsia="en-US"/>
        </w:rPr>
      </w:pPr>
    </w:p>
    <w:p w:rsidR="00431A17" w:rsidRPr="00A33C99" w:rsidRDefault="00896E57" w:rsidP="005735AE">
      <w:pPr>
        <w:numPr>
          <w:ilvl w:val="0"/>
          <w:numId w:val="1"/>
        </w:numPr>
        <w:tabs>
          <w:tab w:val="num" w:pos="720"/>
        </w:tabs>
        <w:autoSpaceDE w:val="0"/>
        <w:autoSpaceDN w:val="0"/>
        <w:adjustRightInd w:val="0"/>
        <w:spacing w:after="0"/>
        <w:rPr>
          <w:rFonts w:eastAsia="Times New Roman" w:cs="Verdana"/>
          <w:szCs w:val="20"/>
          <w:lang w:val="es-CL" w:eastAsia="en-US"/>
        </w:rPr>
      </w:pPr>
      <w:r w:rsidRPr="00A33C99">
        <w:rPr>
          <w:rFonts w:eastAsia="Times New Roman" w:cs="Verdana"/>
          <w:szCs w:val="20"/>
          <w:lang w:val="es-CL" w:eastAsia="en-US"/>
        </w:rPr>
        <w:t xml:space="preserve">La Comisión ofreció </w:t>
      </w:r>
      <w:r w:rsidR="00387091" w:rsidRPr="00A33C99">
        <w:rPr>
          <w:rFonts w:eastAsia="Times New Roman" w:cs="Verdana"/>
          <w:szCs w:val="20"/>
          <w:lang w:val="es-CL" w:eastAsia="en-US"/>
        </w:rPr>
        <w:t xml:space="preserve">como prueba </w:t>
      </w:r>
      <w:r w:rsidRPr="00A33C99">
        <w:rPr>
          <w:rFonts w:eastAsia="Times New Roman" w:cs="Verdana"/>
          <w:szCs w:val="20"/>
          <w:lang w:val="es-CL" w:eastAsia="en-US"/>
        </w:rPr>
        <w:t>un dictamen pericial; l</w:t>
      </w:r>
      <w:r w:rsidR="00431A17" w:rsidRPr="00A33C99">
        <w:rPr>
          <w:rFonts w:eastAsia="Times New Roman" w:cs="Verdana"/>
          <w:szCs w:val="20"/>
          <w:lang w:val="es-CL" w:eastAsia="en-US"/>
        </w:rPr>
        <w:t>os representantes ofrecieron</w:t>
      </w:r>
      <w:r w:rsidR="00FC7A43">
        <w:rPr>
          <w:rFonts w:eastAsia="Times New Roman" w:cs="Verdana"/>
          <w:szCs w:val="20"/>
          <w:lang w:val="es-CL" w:eastAsia="en-US"/>
        </w:rPr>
        <w:t>,</w:t>
      </w:r>
      <w:r w:rsidR="00431A17" w:rsidRPr="00A33C99">
        <w:rPr>
          <w:rFonts w:eastAsia="Times New Roman" w:cs="Verdana"/>
          <w:szCs w:val="20"/>
          <w:lang w:val="es-CL" w:eastAsia="en-US"/>
        </w:rPr>
        <w:t xml:space="preserve"> </w:t>
      </w:r>
      <w:r w:rsidR="000402CA" w:rsidRPr="00A33C99">
        <w:rPr>
          <w:rFonts w:eastAsia="Times New Roman" w:cs="Verdana"/>
          <w:szCs w:val="20"/>
          <w:lang w:val="es-CL" w:eastAsia="en-US"/>
        </w:rPr>
        <w:t>en su escrito de solicitudes y argumentos</w:t>
      </w:r>
      <w:r w:rsidR="00A33C99">
        <w:rPr>
          <w:rFonts w:eastAsia="Times New Roman" w:cs="Verdana"/>
          <w:szCs w:val="20"/>
          <w:lang w:val="es-CL" w:eastAsia="en-US"/>
        </w:rPr>
        <w:t>,</w:t>
      </w:r>
      <w:r w:rsidR="000402CA" w:rsidRPr="00A33C99">
        <w:rPr>
          <w:rFonts w:eastAsia="Times New Roman" w:cs="Verdana"/>
          <w:szCs w:val="20"/>
          <w:lang w:val="es-CL" w:eastAsia="en-US"/>
        </w:rPr>
        <w:t xml:space="preserve"> </w:t>
      </w:r>
      <w:r w:rsidR="00431A17" w:rsidRPr="00A33C99">
        <w:rPr>
          <w:rFonts w:eastAsia="Times New Roman" w:cs="Verdana"/>
          <w:szCs w:val="20"/>
          <w:lang w:val="es-CL" w:eastAsia="en-US"/>
        </w:rPr>
        <w:t xml:space="preserve">las declaraciones de </w:t>
      </w:r>
      <w:r w:rsidR="00DA7351" w:rsidRPr="00A33C99">
        <w:rPr>
          <w:rFonts w:eastAsia="Times New Roman" w:cs="Verdana"/>
          <w:szCs w:val="20"/>
          <w:lang w:val="es-CL" w:eastAsia="en-US"/>
        </w:rPr>
        <w:t xml:space="preserve">diez </w:t>
      </w:r>
      <w:r w:rsidR="00706F3B">
        <w:rPr>
          <w:rFonts w:eastAsia="Times New Roman" w:cs="Verdana"/>
          <w:szCs w:val="20"/>
          <w:lang w:val="es-CL" w:eastAsia="en-US"/>
        </w:rPr>
        <w:t>presuntas víctimas</w:t>
      </w:r>
      <w:r w:rsidR="007842AB" w:rsidRPr="00A33C99">
        <w:rPr>
          <w:rFonts w:eastAsia="Times New Roman" w:cs="Verdana"/>
          <w:szCs w:val="20"/>
          <w:lang w:val="es-CL" w:eastAsia="en-US"/>
        </w:rPr>
        <w:t xml:space="preserve">, </w:t>
      </w:r>
      <w:r w:rsidR="00A33C99" w:rsidRPr="00A33C99">
        <w:rPr>
          <w:rFonts w:eastAsia="Times New Roman" w:cs="Verdana"/>
          <w:szCs w:val="20"/>
          <w:lang w:val="es-CL" w:eastAsia="en-US"/>
        </w:rPr>
        <w:t>dos declaraciones testimoniales, dos</w:t>
      </w:r>
      <w:r w:rsidR="007842AB" w:rsidRPr="00A33C99">
        <w:rPr>
          <w:rFonts w:eastAsia="Times New Roman" w:cs="Verdana"/>
          <w:szCs w:val="20"/>
          <w:lang w:val="es-CL" w:eastAsia="en-US"/>
        </w:rPr>
        <w:t xml:space="preserve"> declaraciones a título informativo </w:t>
      </w:r>
      <w:r w:rsidR="005B7C90" w:rsidRPr="00A33C99">
        <w:rPr>
          <w:rFonts w:eastAsia="Times New Roman" w:cs="Verdana"/>
          <w:szCs w:val="20"/>
          <w:lang w:val="es-CL" w:eastAsia="en-US"/>
        </w:rPr>
        <w:t xml:space="preserve">y </w:t>
      </w:r>
      <w:r w:rsidR="00F84B72" w:rsidRPr="00A33C99">
        <w:rPr>
          <w:rFonts w:eastAsia="Times New Roman" w:cs="Verdana"/>
          <w:szCs w:val="20"/>
          <w:lang w:val="es-CL" w:eastAsia="en-US"/>
        </w:rPr>
        <w:t>cuatro dictámenes</w:t>
      </w:r>
      <w:r w:rsidR="005B7C90" w:rsidRPr="00A33C99">
        <w:rPr>
          <w:rFonts w:eastAsia="Times New Roman" w:cs="Verdana"/>
          <w:szCs w:val="20"/>
          <w:lang w:val="es-CL" w:eastAsia="en-US"/>
        </w:rPr>
        <w:t xml:space="preserve"> periciales</w:t>
      </w:r>
      <w:r w:rsidRPr="00A33C99">
        <w:rPr>
          <w:rFonts w:eastAsia="Times New Roman" w:cs="Verdana"/>
          <w:szCs w:val="20"/>
          <w:lang w:val="es-CL" w:eastAsia="en-US"/>
        </w:rPr>
        <w:t>; y e</w:t>
      </w:r>
      <w:r w:rsidR="00A33C99">
        <w:rPr>
          <w:rFonts w:eastAsia="Times New Roman" w:cs="Verdana"/>
          <w:szCs w:val="20"/>
          <w:lang w:val="es-CL" w:eastAsia="en-US"/>
        </w:rPr>
        <w:t>l Estado</w:t>
      </w:r>
      <w:r w:rsidR="00A308B4" w:rsidRPr="00A33C99">
        <w:rPr>
          <w:rFonts w:eastAsia="Times New Roman" w:cs="Verdana"/>
          <w:szCs w:val="20"/>
          <w:lang w:val="es-CL" w:eastAsia="en-US"/>
        </w:rPr>
        <w:t xml:space="preserve"> ofreció</w:t>
      </w:r>
      <w:r w:rsidR="00A33C99">
        <w:rPr>
          <w:rFonts w:eastAsia="Times New Roman" w:cs="Verdana"/>
          <w:szCs w:val="20"/>
          <w:lang w:val="es-CL" w:eastAsia="en-US"/>
        </w:rPr>
        <w:t>,</w:t>
      </w:r>
      <w:r w:rsidR="000402CA" w:rsidRPr="00A33C99">
        <w:rPr>
          <w:rFonts w:eastAsia="Times New Roman" w:cs="Verdana"/>
          <w:szCs w:val="20"/>
          <w:lang w:val="es-CL" w:eastAsia="en-US"/>
        </w:rPr>
        <w:t xml:space="preserve"> en su escrito de contestación</w:t>
      </w:r>
      <w:r w:rsidR="00A33C99">
        <w:rPr>
          <w:rFonts w:eastAsia="Times New Roman" w:cs="Verdana"/>
          <w:szCs w:val="20"/>
          <w:lang w:val="es-CL" w:eastAsia="en-US"/>
        </w:rPr>
        <w:t>,</w:t>
      </w:r>
      <w:r w:rsidR="00A308B4" w:rsidRPr="00A33C99">
        <w:rPr>
          <w:rFonts w:eastAsia="Times New Roman" w:cs="Verdana"/>
          <w:szCs w:val="20"/>
          <w:lang w:val="es-CL" w:eastAsia="en-US"/>
        </w:rPr>
        <w:t xml:space="preserve"> </w:t>
      </w:r>
      <w:r w:rsidR="007842AB" w:rsidRPr="00A33C99">
        <w:rPr>
          <w:rFonts w:eastAsia="Times New Roman" w:cs="Verdana"/>
          <w:szCs w:val="20"/>
          <w:lang w:val="es-CL" w:eastAsia="en-US"/>
        </w:rPr>
        <w:t>una prueba declaratoria, una a título informativo y una pericial</w:t>
      </w:r>
      <w:r w:rsidR="001714E9" w:rsidRPr="00A33C99">
        <w:rPr>
          <w:rFonts w:eastAsia="Times New Roman" w:cs="Verdana"/>
          <w:szCs w:val="20"/>
          <w:lang w:val="es-CL" w:eastAsia="en-US"/>
        </w:rPr>
        <w:t>.</w:t>
      </w:r>
    </w:p>
    <w:p w:rsidR="00431A17" w:rsidRDefault="00431A17" w:rsidP="005735AE">
      <w:pPr>
        <w:autoSpaceDE w:val="0"/>
        <w:autoSpaceDN w:val="0"/>
        <w:adjustRightInd w:val="0"/>
        <w:spacing w:after="0"/>
        <w:rPr>
          <w:rFonts w:eastAsia="Times New Roman" w:cs="Verdana"/>
          <w:szCs w:val="20"/>
          <w:lang w:val="es-CL" w:eastAsia="en-US"/>
        </w:rPr>
      </w:pPr>
    </w:p>
    <w:p w:rsidR="00BF2D68" w:rsidRPr="0072145B" w:rsidRDefault="00431A17" w:rsidP="003D6EA5">
      <w:pPr>
        <w:pStyle w:val="Listavistosa-nfasis11"/>
        <w:widowControl w:val="0"/>
        <w:numPr>
          <w:ilvl w:val="0"/>
          <w:numId w:val="1"/>
        </w:numPr>
        <w:tabs>
          <w:tab w:val="num" w:pos="720"/>
        </w:tabs>
        <w:autoSpaceDE w:val="0"/>
        <w:autoSpaceDN w:val="0"/>
        <w:adjustRightInd w:val="0"/>
        <w:spacing w:after="0"/>
        <w:ind w:left="0" w:right="22" w:firstLine="0"/>
        <w:contextualSpacing w:val="0"/>
        <w:rPr>
          <w:color w:val="FF0000"/>
          <w:lang w:val="es-CR"/>
        </w:rPr>
      </w:pPr>
      <w:r w:rsidRPr="0072145B">
        <w:rPr>
          <w:rFonts w:eastAsia="Times New Roman" w:cs="Verdana"/>
          <w:szCs w:val="20"/>
          <w:lang w:val="es-CL" w:eastAsia="en-US"/>
        </w:rPr>
        <w:t>El Es</w:t>
      </w:r>
      <w:r w:rsidR="00F714B4" w:rsidRPr="0072145B">
        <w:rPr>
          <w:rFonts w:eastAsia="Times New Roman" w:cs="Verdana"/>
          <w:szCs w:val="20"/>
          <w:lang w:val="es-CL" w:eastAsia="en-US"/>
        </w:rPr>
        <w:t>tado</w:t>
      </w:r>
      <w:r w:rsidR="00A33C99" w:rsidRPr="0072145B">
        <w:rPr>
          <w:rFonts w:eastAsia="Times New Roman" w:cs="Verdana"/>
          <w:szCs w:val="20"/>
          <w:lang w:val="es-CL" w:eastAsia="en-US"/>
        </w:rPr>
        <w:t>, en su escrito de contestación,</w:t>
      </w:r>
      <w:r w:rsidR="00F714B4" w:rsidRPr="0072145B">
        <w:rPr>
          <w:rFonts w:eastAsia="Times New Roman" w:cs="Verdana"/>
          <w:szCs w:val="20"/>
          <w:lang w:val="es-CL" w:eastAsia="en-US"/>
        </w:rPr>
        <w:t xml:space="preserve"> solicitó a la C</w:t>
      </w:r>
      <w:r w:rsidR="00AC352D" w:rsidRPr="0072145B">
        <w:rPr>
          <w:rFonts w:eastAsia="Times New Roman" w:cs="Verdana"/>
          <w:szCs w:val="20"/>
          <w:lang w:val="es-CL" w:eastAsia="en-US"/>
        </w:rPr>
        <w:t xml:space="preserve">orte limitar a tres personas el número de declarantes </w:t>
      </w:r>
      <w:r w:rsidR="00EB5FB9" w:rsidRPr="0072145B">
        <w:rPr>
          <w:rFonts w:eastAsia="Times New Roman" w:cs="Verdana"/>
          <w:szCs w:val="20"/>
          <w:lang w:val="es-CL" w:eastAsia="en-US"/>
        </w:rPr>
        <w:t>ofrecidos</w:t>
      </w:r>
      <w:r w:rsidR="00AC352D" w:rsidRPr="0072145B">
        <w:rPr>
          <w:rFonts w:eastAsia="Times New Roman" w:cs="Verdana"/>
          <w:szCs w:val="20"/>
          <w:lang w:val="es-CL" w:eastAsia="en-US"/>
        </w:rPr>
        <w:t xml:space="preserve"> por los representantes, o bien que dichas declaraciones sean realizadas por </w:t>
      </w:r>
      <w:r w:rsidR="00A33C99" w:rsidRPr="0072145B">
        <w:rPr>
          <w:rFonts w:eastAsia="Times New Roman" w:cs="Verdana"/>
          <w:szCs w:val="20"/>
          <w:lang w:val="es-CL" w:eastAsia="en-US"/>
        </w:rPr>
        <w:t>declaración jurada (</w:t>
      </w:r>
      <w:r w:rsidR="00AC352D" w:rsidRPr="0072145B">
        <w:rPr>
          <w:rFonts w:eastAsia="Times New Roman" w:cs="Verdana"/>
          <w:i/>
          <w:szCs w:val="20"/>
          <w:lang w:val="es-CL" w:eastAsia="en-US"/>
        </w:rPr>
        <w:t>affidavit</w:t>
      </w:r>
      <w:r w:rsidR="00A33C99" w:rsidRPr="0072145B">
        <w:rPr>
          <w:rFonts w:eastAsia="Times New Roman" w:cs="Verdana"/>
          <w:szCs w:val="20"/>
          <w:lang w:val="es-CL" w:eastAsia="en-US"/>
        </w:rPr>
        <w:t>)</w:t>
      </w:r>
      <w:r w:rsidR="00AC352D" w:rsidRPr="0072145B">
        <w:rPr>
          <w:rFonts w:eastAsia="Times New Roman" w:cs="Verdana"/>
          <w:szCs w:val="20"/>
          <w:lang w:val="es-CL" w:eastAsia="en-US"/>
        </w:rPr>
        <w:t>; asimismo,</w:t>
      </w:r>
      <w:r w:rsidR="003D6EA5" w:rsidRPr="0072145B">
        <w:rPr>
          <w:rFonts w:eastAsia="Times New Roman" w:cs="Verdana"/>
          <w:szCs w:val="20"/>
          <w:lang w:val="es-CL" w:eastAsia="en-US"/>
        </w:rPr>
        <w:t xml:space="preserve"> </w:t>
      </w:r>
      <w:r w:rsidR="00A33C99" w:rsidRPr="0072145B">
        <w:rPr>
          <w:rFonts w:eastAsia="Times New Roman" w:cs="Verdana"/>
          <w:szCs w:val="20"/>
          <w:lang w:val="es-CL" w:eastAsia="en-US"/>
        </w:rPr>
        <w:t>el Estado</w:t>
      </w:r>
      <w:r w:rsidR="00BF2D68" w:rsidRPr="0072145B">
        <w:rPr>
          <w:rFonts w:eastAsia="Times New Roman" w:cs="Verdana"/>
          <w:szCs w:val="20"/>
          <w:lang w:val="es-CL" w:eastAsia="en-US"/>
        </w:rPr>
        <w:t xml:space="preserve"> </w:t>
      </w:r>
      <w:r w:rsidR="00AC352D" w:rsidRPr="0072145B">
        <w:rPr>
          <w:rFonts w:eastAsia="Times New Roman" w:cs="Verdana"/>
          <w:szCs w:val="20"/>
          <w:lang w:val="es-CL" w:eastAsia="en-US"/>
        </w:rPr>
        <w:t xml:space="preserve">manifestó que </w:t>
      </w:r>
      <w:r w:rsidR="0059187C" w:rsidRPr="0072145B">
        <w:rPr>
          <w:rFonts w:eastAsia="Times New Roman" w:cs="Verdana"/>
          <w:szCs w:val="20"/>
          <w:lang w:val="es-CL" w:eastAsia="en-US"/>
        </w:rPr>
        <w:t>uno de los peritos ofrecidos</w:t>
      </w:r>
      <w:r w:rsidR="00AC352D" w:rsidRPr="0072145B">
        <w:rPr>
          <w:rFonts w:eastAsia="Times New Roman" w:cs="Verdana"/>
          <w:szCs w:val="20"/>
          <w:lang w:val="es-CL" w:eastAsia="en-US"/>
        </w:rPr>
        <w:t xml:space="preserve"> por los representantes no brindaría elementos adicionales para la </w:t>
      </w:r>
      <w:r w:rsidR="00AC352D" w:rsidRPr="0072145B">
        <w:rPr>
          <w:rFonts w:eastAsia="Times New Roman" w:cs="Verdana"/>
          <w:szCs w:val="20"/>
          <w:lang w:val="es-CL" w:eastAsia="en-US"/>
        </w:rPr>
        <w:lastRenderedPageBreak/>
        <w:t>resolución del caso</w:t>
      </w:r>
      <w:r w:rsidR="003D6EA5" w:rsidRPr="0072145B">
        <w:rPr>
          <w:rFonts w:eastAsia="Times New Roman" w:cs="Verdana"/>
          <w:szCs w:val="20"/>
          <w:lang w:val="es-CL" w:eastAsia="en-US"/>
        </w:rPr>
        <w:t>; de igual forma</w:t>
      </w:r>
      <w:r w:rsidR="00AC352D" w:rsidRPr="0072145B">
        <w:rPr>
          <w:rFonts w:eastAsia="Times New Roman" w:cs="Verdana"/>
          <w:szCs w:val="20"/>
          <w:lang w:val="es-CL" w:eastAsia="en-US"/>
        </w:rPr>
        <w:t>, respecto a la declaración a título informativo</w:t>
      </w:r>
      <w:r w:rsidR="00A33C99" w:rsidRPr="0072145B">
        <w:rPr>
          <w:rFonts w:eastAsia="Times New Roman" w:cs="Verdana"/>
          <w:szCs w:val="20"/>
          <w:lang w:val="es-CL" w:eastAsia="en-US"/>
        </w:rPr>
        <w:t xml:space="preserve"> ofrecida por los representantes</w:t>
      </w:r>
      <w:r w:rsidR="00AC352D" w:rsidRPr="0072145B">
        <w:rPr>
          <w:rFonts w:eastAsia="Times New Roman" w:cs="Verdana"/>
          <w:szCs w:val="20"/>
          <w:lang w:val="es-CL" w:eastAsia="en-US"/>
        </w:rPr>
        <w:t>,</w:t>
      </w:r>
      <w:r w:rsidR="00BF2D68" w:rsidRPr="0072145B">
        <w:rPr>
          <w:rFonts w:eastAsia="Times New Roman" w:cs="Verdana"/>
          <w:szCs w:val="20"/>
          <w:lang w:val="es-CL" w:eastAsia="en-US"/>
        </w:rPr>
        <w:t xml:space="preserve"> </w:t>
      </w:r>
      <w:r w:rsidR="007948D1" w:rsidRPr="0072145B">
        <w:rPr>
          <w:rFonts w:eastAsia="Times New Roman" w:cs="Verdana"/>
          <w:szCs w:val="20"/>
          <w:lang w:val="es-CL" w:eastAsia="en-US"/>
        </w:rPr>
        <w:t>sostuvo que no son necesarias</w:t>
      </w:r>
      <w:r w:rsidR="00AC352D" w:rsidRPr="0072145B">
        <w:rPr>
          <w:rFonts w:eastAsia="Times New Roman" w:cs="Verdana"/>
          <w:szCs w:val="20"/>
          <w:lang w:val="es-CL" w:eastAsia="en-US"/>
        </w:rPr>
        <w:t xml:space="preserve"> </w:t>
      </w:r>
      <w:r w:rsidR="007948D1" w:rsidRPr="0072145B">
        <w:rPr>
          <w:rFonts w:eastAsia="Times New Roman" w:cs="Verdana"/>
          <w:szCs w:val="20"/>
          <w:lang w:val="es-CL" w:eastAsia="en-US"/>
        </w:rPr>
        <w:t>estas declaraciones</w:t>
      </w:r>
      <w:r w:rsidR="00AC352D" w:rsidRPr="0072145B">
        <w:rPr>
          <w:rFonts w:eastAsia="Times New Roman" w:cs="Verdana"/>
          <w:szCs w:val="20"/>
          <w:lang w:val="es-CL" w:eastAsia="en-US"/>
        </w:rPr>
        <w:t xml:space="preserve">, toda vez que </w:t>
      </w:r>
      <w:r w:rsidR="007948D1" w:rsidRPr="0072145B">
        <w:rPr>
          <w:rFonts w:eastAsia="Times New Roman" w:cs="Verdana"/>
          <w:szCs w:val="20"/>
          <w:lang w:val="es-CL" w:eastAsia="en-US"/>
        </w:rPr>
        <w:t>los declarantes propuestos</w:t>
      </w:r>
      <w:r w:rsidR="00AC352D" w:rsidRPr="0072145B">
        <w:rPr>
          <w:rFonts w:eastAsia="Times New Roman" w:cs="Verdana"/>
          <w:szCs w:val="20"/>
          <w:lang w:val="es-CL" w:eastAsia="en-US"/>
        </w:rPr>
        <w:t xml:space="preserve"> participaron en la elaboración del escrito de argumentos y solicitudes.</w:t>
      </w:r>
      <w:r w:rsidR="007948D1" w:rsidRPr="0072145B">
        <w:rPr>
          <w:rFonts w:eastAsia="Times New Roman" w:cs="Verdana"/>
          <w:szCs w:val="20"/>
          <w:lang w:val="es-CL" w:eastAsia="en-US"/>
        </w:rPr>
        <w:t xml:space="preserve"> </w:t>
      </w:r>
    </w:p>
    <w:p w:rsidR="0072145B" w:rsidRPr="0072145B" w:rsidRDefault="0072145B" w:rsidP="0072145B">
      <w:pPr>
        <w:pStyle w:val="Listavistosa-nfasis11"/>
        <w:widowControl w:val="0"/>
        <w:numPr>
          <w:ilvl w:val="0"/>
          <w:numId w:val="0"/>
        </w:numPr>
        <w:autoSpaceDE w:val="0"/>
        <w:autoSpaceDN w:val="0"/>
        <w:adjustRightInd w:val="0"/>
        <w:spacing w:after="0"/>
        <w:ind w:right="22"/>
        <w:contextualSpacing w:val="0"/>
        <w:rPr>
          <w:color w:val="FF0000"/>
          <w:lang w:val="es-CR"/>
        </w:rPr>
      </w:pPr>
    </w:p>
    <w:p w:rsidR="003D6EA5" w:rsidRPr="003D6EA5" w:rsidRDefault="00BF2D68" w:rsidP="005735AE">
      <w:pPr>
        <w:pStyle w:val="Listavistosa-nfasis11"/>
        <w:widowControl w:val="0"/>
        <w:numPr>
          <w:ilvl w:val="0"/>
          <w:numId w:val="1"/>
        </w:numPr>
        <w:tabs>
          <w:tab w:val="num" w:pos="720"/>
        </w:tabs>
        <w:autoSpaceDE w:val="0"/>
        <w:autoSpaceDN w:val="0"/>
        <w:adjustRightInd w:val="0"/>
        <w:spacing w:after="0"/>
        <w:ind w:left="0" w:right="22" w:firstLine="0"/>
        <w:contextualSpacing w:val="0"/>
        <w:rPr>
          <w:color w:val="FF0000"/>
          <w:lang w:val="es-CR"/>
        </w:rPr>
      </w:pPr>
      <w:r>
        <w:t>La Comisión</w:t>
      </w:r>
      <w:r w:rsidR="007948D1">
        <w:t>, en su lista definitiva,</w:t>
      </w:r>
      <w:r>
        <w:t xml:space="preserve"> informó a la Corte sobre la imposibilidad de que el perito ofrecido en su Informe de Fondo rindiera su peritaje en el presente caso. En consecuencia, solicitó a la Corte la sustitución de dicho perito, adjuntando su nombre y hoja de vida. </w:t>
      </w:r>
    </w:p>
    <w:p w:rsidR="003D6EA5" w:rsidRPr="003D6EA5" w:rsidRDefault="003D6EA5" w:rsidP="003D6EA5">
      <w:pPr>
        <w:pStyle w:val="Listavistosa-nfasis11"/>
        <w:widowControl w:val="0"/>
        <w:numPr>
          <w:ilvl w:val="0"/>
          <w:numId w:val="0"/>
        </w:numPr>
        <w:autoSpaceDE w:val="0"/>
        <w:autoSpaceDN w:val="0"/>
        <w:adjustRightInd w:val="0"/>
        <w:spacing w:after="0"/>
        <w:ind w:right="22"/>
        <w:contextualSpacing w:val="0"/>
        <w:rPr>
          <w:color w:val="FF0000"/>
          <w:lang w:val="es-CR"/>
        </w:rPr>
      </w:pPr>
    </w:p>
    <w:p w:rsidR="007948D1" w:rsidRPr="007948D1" w:rsidRDefault="003D6EA5" w:rsidP="007948D1">
      <w:pPr>
        <w:pStyle w:val="Listavistosa-nfasis11"/>
        <w:widowControl w:val="0"/>
        <w:numPr>
          <w:ilvl w:val="0"/>
          <w:numId w:val="1"/>
        </w:numPr>
        <w:tabs>
          <w:tab w:val="num" w:pos="720"/>
        </w:tabs>
        <w:autoSpaceDE w:val="0"/>
        <w:autoSpaceDN w:val="0"/>
        <w:adjustRightInd w:val="0"/>
        <w:spacing w:after="0"/>
        <w:ind w:left="0" w:right="22" w:firstLine="0"/>
        <w:contextualSpacing w:val="0"/>
        <w:rPr>
          <w:lang w:val="es-CR"/>
        </w:rPr>
      </w:pPr>
      <w:r>
        <w:t>L</w:t>
      </w:r>
      <w:r w:rsidR="00BF2D68">
        <w:t>os representantes</w:t>
      </w:r>
      <w:r w:rsidR="007948D1">
        <w:t>, en su lista definitiva,</w:t>
      </w:r>
      <w:r w:rsidR="00BF2D68">
        <w:t xml:space="preserve"> solicitaron que cinco de las diez declaraciones ofrecidas en su escrito de solicitudes y argumentos se rindieran mediante declaración jurada</w:t>
      </w:r>
      <w:r w:rsidR="00BC0DD6">
        <w:t xml:space="preserve"> (</w:t>
      </w:r>
      <w:r w:rsidR="00BC0DD6" w:rsidRPr="007948D1">
        <w:rPr>
          <w:i/>
        </w:rPr>
        <w:t>affidavit</w:t>
      </w:r>
      <w:r w:rsidR="00BC0DD6">
        <w:t>)</w:t>
      </w:r>
      <w:r w:rsidR="007948D1">
        <w:t>;</w:t>
      </w:r>
      <w:r w:rsidR="00BF2D68">
        <w:t xml:space="preserve"> desistieron de la decl</w:t>
      </w:r>
      <w:r w:rsidR="007948D1">
        <w:t xml:space="preserve">aración de una </w:t>
      </w:r>
      <w:r w:rsidR="00FC7A43">
        <w:t>presunta víctima</w:t>
      </w:r>
      <w:r w:rsidR="007948D1">
        <w:t>;</w:t>
      </w:r>
      <w:r w:rsidR="00BF2D68">
        <w:t xml:space="preserve"> solicitaron la sustitución de dos peritos ofrecidos inicialmente, y desistieron del peritaje de uno de ellos</w:t>
      </w:r>
      <w:r w:rsidR="00BF2D68" w:rsidRPr="003D6EA5">
        <w:t>.</w:t>
      </w:r>
      <w:r w:rsidRPr="007948D1">
        <w:rPr>
          <w:lang w:val="es-CR"/>
        </w:rPr>
        <w:t xml:space="preserve"> Adicionalmente,</w:t>
      </w:r>
      <w:r w:rsidR="007948D1">
        <w:rPr>
          <w:lang w:val="es-CR"/>
        </w:rPr>
        <w:t xml:space="preserve"> en sus observaciones a las listas definitivas,</w:t>
      </w:r>
      <w:r w:rsidRPr="007948D1">
        <w:rPr>
          <w:lang w:val="es-CR"/>
        </w:rPr>
        <w:t xml:space="preserve"> </w:t>
      </w:r>
      <w:r w:rsidR="00E47D4A" w:rsidRPr="007948D1">
        <w:rPr>
          <w:rFonts w:eastAsia="Times New Roman" w:cs="Verdana"/>
          <w:szCs w:val="20"/>
          <w:lang w:val="es-CL" w:eastAsia="en-US"/>
        </w:rPr>
        <w:t>solicitaron que las declaraciones ofrecidas por el Estado en su lista definitiva</w:t>
      </w:r>
      <w:r w:rsidR="00BF2D68" w:rsidRPr="007948D1">
        <w:rPr>
          <w:rFonts w:eastAsia="Times New Roman" w:cs="Verdana"/>
          <w:szCs w:val="20"/>
          <w:lang w:val="es-CL" w:eastAsia="en-US"/>
        </w:rPr>
        <w:t xml:space="preserve"> sean rechazadas</w:t>
      </w:r>
      <w:r w:rsidR="00E47D4A" w:rsidRPr="007948D1">
        <w:rPr>
          <w:rFonts w:eastAsia="Times New Roman" w:cs="Verdana"/>
          <w:szCs w:val="20"/>
          <w:lang w:val="es-CL" w:eastAsia="en-US"/>
        </w:rPr>
        <w:t>.</w:t>
      </w:r>
      <w:r w:rsidR="00AC352D" w:rsidRPr="007948D1">
        <w:rPr>
          <w:rFonts w:eastAsia="Times New Roman" w:cs="Verdana"/>
          <w:szCs w:val="20"/>
          <w:lang w:val="es-CL" w:eastAsia="en-US"/>
        </w:rPr>
        <w:t xml:space="preserve"> </w:t>
      </w:r>
    </w:p>
    <w:p w:rsidR="007948D1" w:rsidRPr="007948D1" w:rsidRDefault="007948D1" w:rsidP="007948D1">
      <w:pPr>
        <w:pStyle w:val="Listavistosa-nfasis11"/>
        <w:widowControl w:val="0"/>
        <w:numPr>
          <w:ilvl w:val="0"/>
          <w:numId w:val="0"/>
        </w:numPr>
        <w:autoSpaceDE w:val="0"/>
        <w:autoSpaceDN w:val="0"/>
        <w:adjustRightInd w:val="0"/>
        <w:spacing w:after="0"/>
        <w:ind w:right="22"/>
        <w:contextualSpacing w:val="0"/>
        <w:rPr>
          <w:lang w:val="es-CR"/>
        </w:rPr>
      </w:pPr>
    </w:p>
    <w:p w:rsidR="002E6DB6" w:rsidRPr="002E6DB6" w:rsidRDefault="002E6DB6" w:rsidP="002E6DB6">
      <w:pPr>
        <w:pStyle w:val="Listavistosa-nfasis11"/>
        <w:widowControl w:val="0"/>
        <w:numPr>
          <w:ilvl w:val="0"/>
          <w:numId w:val="1"/>
        </w:numPr>
        <w:tabs>
          <w:tab w:val="num" w:pos="720"/>
        </w:tabs>
        <w:autoSpaceDE w:val="0"/>
        <w:autoSpaceDN w:val="0"/>
        <w:adjustRightInd w:val="0"/>
        <w:spacing w:after="0"/>
        <w:ind w:left="0" w:right="22" w:firstLine="0"/>
        <w:contextualSpacing w:val="0"/>
        <w:rPr>
          <w:lang w:val="es-CR"/>
        </w:rPr>
      </w:pPr>
      <w:bookmarkStart w:id="8" w:name="_Ref352070057"/>
      <w:r>
        <w:rPr>
          <w:szCs w:val="20"/>
          <w:lang w:val="es-MX"/>
        </w:rPr>
        <w:t>En cuanto a las declaraciones que no han sido objetadas, esta Presidencia considera conveniente recabar dicha prueba, a efectos de que el Tribunal pueda apreciar su valor en la debida oportunidad procesal, dentro del contexto del acervo probatorio existente</w:t>
      </w:r>
      <w:r w:rsidR="00FB3CA3">
        <w:rPr>
          <w:szCs w:val="20"/>
          <w:lang w:val="es-MX"/>
        </w:rPr>
        <w:t>,</w:t>
      </w:r>
      <w:r>
        <w:rPr>
          <w:szCs w:val="20"/>
          <w:lang w:val="es-MX"/>
        </w:rPr>
        <w:t xml:space="preserve"> y según las reglas de la sana crítica. Por consiguiente, el Presidente admite la</w:t>
      </w:r>
      <w:r w:rsidR="00B37222">
        <w:rPr>
          <w:szCs w:val="20"/>
          <w:lang w:val="es-MX"/>
        </w:rPr>
        <w:t xml:space="preserve"> declaración</w:t>
      </w:r>
      <w:r>
        <w:rPr>
          <w:szCs w:val="20"/>
          <w:lang w:val="es-MX"/>
        </w:rPr>
        <w:t xml:space="preserve"> pericial ofrecida por los representantes de</w:t>
      </w:r>
      <w:r w:rsidR="00B37222">
        <w:rPr>
          <w:szCs w:val="20"/>
          <w:lang w:val="es-MX"/>
        </w:rPr>
        <w:t xml:space="preserve"> </w:t>
      </w:r>
      <w:r>
        <w:rPr>
          <w:szCs w:val="20"/>
          <w:lang w:val="es-MX"/>
        </w:rPr>
        <w:t xml:space="preserve">la perito </w:t>
      </w:r>
      <w:r w:rsidRPr="00451037">
        <w:rPr>
          <w:rFonts w:cs="Verdana"/>
          <w:lang w:val="es-CR" w:bidi="en-US"/>
        </w:rPr>
        <w:t>Olga Alicia Paz</w:t>
      </w:r>
      <w:r>
        <w:rPr>
          <w:rFonts w:cs="Verdana"/>
          <w:lang w:val="es-CR" w:bidi="en-US"/>
        </w:rPr>
        <w:t>.</w:t>
      </w:r>
    </w:p>
    <w:p w:rsidR="006A546E" w:rsidRPr="00BF2D68" w:rsidRDefault="006A546E" w:rsidP="006A546E">
      <w:pPr>
        <w:pStyle w:val="Listavistosa-nfasis11"/>
        <w:widowControl w:val="0"/>
        <w:numPr>
          <w:ilvl w:val="0"/>
          <w:numId w:val="0"/>
        </w:numPr>
        <w:autoSpaceDE w:val="0"/>
        <w:autoSpaceDN w:val="0"/>
        <w:adjustRightInd w:val="0"/>
        <w:spacing w:after="0"/>
        <w:ind w:right="22"/>
        <w:contextualSpacing w:val="0"/>
        <w:rPr>
          <w:color w:val="FF0000"/>
          <w:lang w:val="es-CR"/>
        </w:rPr>
      </w:pPr>
    </w:p>
    <w:bookmarkEnd w:id="8"/>
    <w:p w:rsidR="00173EBD" w:rsidRPr="00C43331" w:rsidRDefault="002450E4" w:rsidP="00173EBD">
      <w:pPr>
        <w:pStyle w:val="Listavistosa-nfasis11"/>
        <w:widowControl w:val="0"/>
        <w:numPr>
          <w:ilvl w:val="0"/>
          <w:numId w:val="1"/>
        </w:numPr>
        <w:tabs>
          <w:tab w:val="num" w:pos="720"/>
        </w:tabs>
        <w:autoSpaceDE w:val="0"/>
        <w:autoSpaceDN w:val="0"/>
        <w:adjustRightInd w:val="0"/>
        <w:spacing w:after="0"/>
        <w:ind w:left="0" w:right="22" w:firstLine="0"/>
        <w:contextualSpacing w:val="0"/>
        <w:rPr>
          <w:bCs/>
          <w:iCs/>
          <w:szCs w:val="20"/>
          <w:lang w:val="es-CR"/>
        </w:rPr>
      </w:pPr>
      <w:r>
        <w:rPr>
          <w:rFonts w:eastAsia="Times New Roman" w:cs="Verdana"/>
          <w:szCs w:val="20"/>
          <w:lang w:val="es-CR" w:eastAsia="en-US"/>
        </w:rPr>
        <w:t xml:space="preserve">Tomando en consideración lo anterior, </w:t>
      </w:r>
      <w:r>
        <w:rPr>
          <w:rFonts w:eastAsia="Times New Roman" w:cs="Verdana"/>
          <w:szCs w:val="20"/>
          <w:lang w:val="es-CL" w:eastAsia="en-US"/>
        </w:rPr>
        <w:t>a</w:t>
      </w:r>
      <w:r w:rsidR="00431A17" w:rsidRPr="004A5424">
        <w:rPr>
          <w:szCs w:val="20"/>
        </w:rPr>
        <w:t xml:space="preserve"> continuación</w:t>
      </w:r>
      <w:r w:rsidR="009A5EA7">
        <w:rPr>
          <w:szCs w:val="20"/>
        </w:rPr>
        <w:t>,</w:t>
      </w:r>
      <w:r w:rsidR="00431A17" w:rsidRPr="004A5424">
        <w:rPr>
          <w:szCs w:val="20"/>
        </w:rPr>
        <w:t xml:space="preserve"> el Presidente examinará en forma particular: a</w:t>
      </w:r>
      <w:r w:rsidR="00431A17" w:rsidRPr="004A5424">
        <w:rPr>
          <w:lang w:val="es-CR"/>
        </w:rPr>
        <w:t xml:space="preserve">) la admisibilidad de la prueba pericial ofrecida por </w:t>
      </w:r>
      <w:r w:rsidR="006A546E">
        <w:rPr>
          <w:lang w:val="es-CR"/>
        </w:rPr>
        <w:t>la Comisión</w:t>
      </w:r>
      <w:r w:rsidR="00431A17" w:rsidRPr="004A5424">
        <w:rPr>
          <w:lang w:val="es-CR"/>
        </w:rPr>
        <w:t>;</w:t>
      </w:r>
      <w:r w:rsidR="002534B9">
        <w:rPr>
          <w:lang w:val="es-CR"/>
        </w:rPr>
        <w:t xml:space="preserve"> </w:t>
      </w:r>
      <w:r w:rsidR="00527240">
        <w:rPr>
          <w:lang w:val="es-CR"/>
        </w:rPr>
        <w:t>b</w:t>
      </w:r>
      <w:r w:rsidR="00431A17" w:rsidRPr="004A5424">
        <w:rPr>
          <w:lang w:val="es-CR"/>
        </w:rPr>
        <w:t xml:space="preserve">) </w:t>
      </w:r>
      <w:r w:rsidR="007F4B58">
        <w:rPr>
          <w:lang w:val="es-CR"/>
        </w:rPr>
        <w:t>la admisibilidad de</w:t>
      </w:r>
      <w:r w:rsidR="00431A17" w:rsidRPr="004A5424">
        <w:rPr>
          <w:lang w:val="es-CR"/>
        </w:rPr>
        <w:t xml:space="preserve"> </w:t>
      </w:r>
      <w:r w:rsidR="009D6C4F" w:rsidRPr="004A5424">
        <w:rPr>
          <w:lang w:val="es-CR"/>
        </w:rPr>
        <w:t xml:space="preserve">las </w:t>
      </w:r>
      <w:r w:rsidR="005F577E">
        <w:rPr>
          <w:lang w:val="es-CR"/>
        </w:rPr>
        <w:t xml:space="preserve">declaraciones </w:t>
      </w:r>
      <w:r w:rsidR="009D6C4F" w:rsidRPr="005E5427">
        <w:rPr>
          <w:lang w:val="es-CR"/>
        </w:rPr>
        <w:t>testimonial</w:t>
      </w:r>
      <w:r w:rsidR="007F4B58">
        <w:rPr>
          <w:lang w:val="es-CR"/>
        </w:rPr>
        <w:t>es</w:t>
      </w:r>
      <w:r w:rsidR="00FB3CA3">
        <w:rPr>
          <w:lang w:val="es-CR"/>
        </w:rPr>
        <w:t>, de las declaraciones a título informativo,</w:t>
      </w:r>
      <w:r w:rsidR="007F4B58">
        <w:rPr>
          <w:lang w:val="es-CR"/>
        </w:rPr>
        <w:t xml:space="preserve"> y de</w:t>
      </w:r>
      <w:r w:rsidR="007F6A2A" w:rsidRPr="004A5424">
        <w:rPr>
          <w:lang w:val="es-CR"/>
        </w:rPr>
        <w:t xml:space="preserve"> </w:t>
      </w:r>
      <w:r w:rsidR="006A546E">
        <w:rPr>
          <w:lang w:val="es-CR"/>
        </w:rPr>
        <w:t>los peritajes</w:t>
      </w:r>
      <w:r w:rsidR="00431A17" w:rsidRPr="00BE478D">
        <w:rPr>
          <w:lang w:val="es-CR"/>
        </w:rPr>
        <w:t xml:space="preserve"> ofrecidos por </w:t>
      </w:r>
      <w:r w:rsidR="009D6C4F" w:rsidRPr="00BE478D">
        <w:rPr>
          <w:lang w:val="es-CR"/>
        </w:rPr>
        <w:t>los representantes</w:t>
      </w:r>
      <w:r w:rsidR="004A5424" w:rsidRPr="00BE478D">
        <w:rPr>
          <w:lang w:val="es-CR"/>
        </w:rPr>
        <w:t>;</w:t>
      </w:r>
      <w:r w:rsidR="004A5424" w:rsidRPr="004A5424">
        <w:rPr>
          <w:bCs/>
          <w:iCs/>
          <w:szCs w:val="20"/>
        </w:rPr>
        <w:t xml:space="preserve"> </w:t>
      </w:r>
      <w:r w:rsidR="007F4B58">
        <w:rPr>
          <w:bCs/>
          <w:iCs/>
          <w:szCs w:val="20"/>
        </w:rPr>
        <w:t>c</w:t>
      </w:r>
      <w:r w:rsidR="004A5424" w:rsidRPr="00D107B2">
        <w:rPr>
          <w:bCs/>
          <w:iCs/>
          <w:szCs w:val="20"/>
        </w:rPr>
        <w:t>)</w:t>
      </w:r>
      <w:r w:rsidR="009A5EA7">
        <w:rPr>
          <w:bCs/>
          <w:iCs/>
          <w:szCs w:val="20"/>
        </w:rPr>
        <w:t xml:space="preserve"> la admisibilidad </w:t>
      </w:r>
      <w:r w:rsidR="00FC7A43">
        <w:rPr>
          <w:bCs/>
          <w:iCs/>
          <w:szCs w:val="20"/>
        </w:rPr>
        <w:t>del peritaje, de la declaración a título informativo,</w:t>
      </w:r>
      <w:r w:rsidR="007F4B58">
        <w:rPr>
          <w:bCs/>
          <w:iCs/>
          <w:szCs w:val="20"/>
        </w:rPr>
        <w:t xml:space="preserve"> </w:t>
      </w:r>
      <w:r w:rsidR="0001174B">
        <w:rPr>
          <w:bCs/>
          <w:iCs/>
          <w:szCs w:val="20"/>
        </w:rPr>
        <w:t>y de la declaración testimonial</w:t>
      </w:r>
      <w:r w:rsidR="007F4B58">
        <w:rPr>
          <w:bCs/>
          <w:iCs/>
          <w:szCs w:val="20"/>
        </w:rPr>
        <w:t xml:space="preserve"> </w:t>
      </w:r>
      <w:r w:rsidR="0001174B">
        <w:rPr>
          <w:bCs/>
          <w:iCs/>
          <w:szCs w:val="20"/>
        </w:rPr>
        <w:t>ofrecida</w:t>
      </w:r>
      <w:r w:rsidR="007F4B58">
        <w:rPr>
          <w:bCs/>
          <w:iCs/>
          <w:szCs w:val="20"/>
        </w:rPr>
        <w:t xml:space="preserve"> por el Estado</w:t>
      </w:r>
      <w:r w:rsidR="009A5EA7">
        <w:rPr>
          <w:bCs/>
          <w:iCs/>
          <w:szCs w:val="20"/>
        </w:rPr>
        <w:t xml:space="preserve">; </w:t>
      </w:r>
      <w:r w:rsidR="007F4B58">
        <w:rPr>
          <w:bCs/>
          <w:iCs/>
          <w:szCs w:val="20"/>
        </w:rPr>
        <w:t>y d</w:t>
      </w:r>
      <w:r w:rsidR="009A5EA7">
        <w:rPr>
          <w:bCs/>
          <w:iCs/>
          <w:szCs w:val="20"/>
        </w:rPr>
        <w:t>)</w:t>
      </w:r>
      <w:r w:rsidR="004A5424" w:rsidRPr="00D107B2">
        <w:rPr>
          <w:bCs/>
          <w:iCs/>
          <w:szCs w:val="20"/>
        </w:rPr>
        <w:t xml:space="preserve"> la </w:t>
      </w:r>
      <w:r w:rsidR="004A5424" w:rsidRPr="00D107B2">
        <w:rPr>
          <w:bCs/>
          <w:iCs/>
          <w:szCs w:val="20"/>
          <w:lang w:val="es-CR"/>
        </w:rPr>
        <w:t xml:space="preserve">aplicación del Fondo de Asistencia Legal de Víctimas </w:t>
      </w:r>
      <w:r w:rsidR="00B1490A">
        <w:rPr>
          <w:bCs/>
          <w:iCs/>
          <w:szCs w:val="20"/>
          <w:lang w:val="es-CR"/>
        </w:rPr>
        <w:t>de</w:t>
      </w:r>
      <w:r w:rsidR="004A5424" w:rsidRPr="00D107B2">
        <w:rPr>
          <w:bCs/>
          <w:iCs/>
          <w:szCs w:val="20"/>
          <w:lang w:val="es-CR"/>
        </w:rPr>
        <w:t xml:space="preserve"> la Corte.</w:t>
      </w:r>
    </w:p>
    <w:p w:rsidR="00431A17" w:rsidRPr="00DB281D" w:rsidRDefault="00431A17" w:rsidP="005735AE">
      <w:pPr>
        <w:pStyle w:val="Listavistosa-nfasis11"/>
        <w:numPr>
          <w:ilvl w:val="0"/>
          <w:numId w:val="0"/>
        </w:numPr>
        <w:spacing w:after="0"/>
        <w:ind w:left="720"/>
        <w:contextualSpacing w:val="0"/>
        <w:rPr>
          <w:bCs/>
          <w:iCs/>
          <w:szCs w:val="20"/>
          <w:lang w:val="es-CR"/>
        </w:rPr>
      </w:pPr>
    </w:p>
    <w:p w:rsidR="00431A17" w:rsidRPr="00642EED" w:rsidRDefault="00431A17" w:rsidP="00BC2C91">
      <w:pPr>
        <w:pStyle w:val="ListParagraph1"/>
        <w:numPr>
          <w:ilvl w:val="0"/>
          <w:numId w:val="4"/>
        </w:numPr>
        <w:ind w:right="11"/>
        <w:jc w:val="both"/>
        <w:rPr>
          <w:rFonts w:ascii="Verdana" w:hAnsi="Verdana"/>
          <w:b/>
          <w:i/>
          <w:sz w:val="20"/>
          <w:szCs w:val="20"/>
          <w:lang w:val="es-CR"/>
        </w:rPr>
      </w:pPr>
      <w:r w:rsidRPr="00642EED">
        <w:rPr>
          <w:rFonts w:ascii="Verdana" w:hAnsi="Verdana"/>
          <w:b/>
          <w:i/>
          <w:sz w:val="20"/>
          <w:szCs w:val="20"/>
          <w:lang w:val="es-CR"/>
        </w:rPr>
        <w:t>Admisibilidad de la prueba pericial ofrecida</w:t>
      </w:r>
      <w:r w:rsidR="00173EBD" w:rsidRPr="00642EED">
        <w:rPr>
          <w:rFonts w:ascii="Verdana" w:hAnsi="Verdana"/>
          <w:b/>
          <w:i/>
          <w:sz w:val="20"/>
          <w:szCs w:val="20"/>
          <w:lang w:val="es-CR"/>
        </w:rPr>
        <w:t xml:space="preserve"> por la Comisión Interamericana</w:t>
      </w:r>
    </w:p>
    <w:p w:rsidR="00173EBD" w:rsidRPr="00173EBD" w:rsidRDefault="00173EBD" w:rsidP="00173EBD">
      <w:pPr>
        <w:pStyle w:val="ListParagraph1"/>
        <w:ind w:left="90" w:right="11"/>
        <w:jc w:val="both"/>
        <w:rPr>
          <w:rFonts w:ascii="Verdana" w:hAnsi="Verdana"/>
          <w:b/>
          <w:i/>
          <w:sz w:val="20"/>
          <w:szCs w:val="20"/>
          <w:lang w:val="es-CR"/>
        </w:rPr>
      </w:pPr>
    </w:p>
    <w:p w:rsidR="00642EED" w:rsidRPr="00E56C59" w:rsidRDefault="00431A17" w:rsidP="00173EBD">
      <w:pPr>
        <w:pStyle w:val="ListParagraph"/>
        <w:numPr>
          <w:ilvl w:val="0"/>
          <w:numId w:val="1"/>
        </w:numPr>
        <w:tabs>
          <w:tab w:val="clear" w:pos="3870"/>
          <w:tab w:val="num" w:pos="720"/>
        </w:tabs>
        <w:ind w:left="0"/>
        <w:rPr>
          <w:rFonts w:cs="Arial"/>
          <w:szCs w:val="20"/>
          <w:lang w:val="es-CL"/>
        </w:rPr>
      </w:pPr>
      <w:r w:rsidRPr="00E56C59">
        <w:rPr>
          <w:rFonts w:cs="Arial"/>
          <w:szCs w:val="20"/>
          <w:lang w:val="es-CR"/>
        </w:rPr>
        <w:t xml:space="preserve">La </w:t>
      </w:r>
      <w:r w:rsidRPr="00E56C59">
        <w:rPr>
          <w:rFonts w:cs="Arial"/>
          <w:b/>
          <w:i/>
          <w:szCs w:val="20"/>
          <w:lang w:val="es-CR"/>
        </w:rPr>
        <w:t>Comisión</w:t>
      </w:r>
      <w:r w:rsidRPr="00E56C59">
        <w:rPr>
          <w:rFonts w:cs="Arial"/>
          <w:szCs w:val="20"/>
          <w:lang w:val="es-CR"/>
        </w:rPr>
        <w:t xml:space="preserve"> ofreció</w:t>
      </w:r>
      <w:r w:rsidR="009F3327" w:rsidRPr="00E56C59">
        <w:rPr>
          <w:rFonts w:cs="Arial"/>
          <w:szCs w:val="20"/>
          <w:lang w:val="es-CR"/>
        </w:rPr>
        <w:t>,</w:t>
      </w:r>
      <w:r w:rsidRPr="00E56C59">
        <w:rPr>
          <w:rFonts w:cs="Arial"/>
          <w:szCs w:val="20"/>
          <w:lang w:val="es-CR"/>
        </w:rPr>
        <w:t xml:space="preserve"> </w:t>
      </w:r>
      <w:r w:rsidR="00642EED" w:rsidRPr="00E56C59">
        <w:rPr>
          <w:rFonts w:cs="Arial"/>
          <w:szCs w:val="20"/>
          <w:lang w:val="es-CR"/>
        </w:rPr>
        <w:t>como prueba pericial</w:t>
      </w:r>
      <w:r w:rsidR="009F3327" w:rsidRPr="00E56C59">
        <w:rPr>
          <w:rFonts w:cs="Arial"/>
          <w:szCs w:val="20"/>
          <w:lang w:val="es-CR"/>
        </w:rPr>
        <w:t>,</w:t>
      </w:r>
      <w:r w:rsidR="00642EED" w:rsidRPr="00E56C59">
        <w:rPr>
          <w:rFonts w:cs="Arial"/>
          <w:szCs w:val="20"/>
          <w:lang w:val="es-CR"/>
        </w:rPr>
        <w:t xml:space="preserve"> la declaración del señor Oscar Parra Vera</w:t>
      </w:r>
      <w:r w:rsidR="00532AE6">
        <w:rPr>
          <w:rFonts w:cs="Arial"/>
          <w:szCs w:val="20"/>
          <w:lang w:val="es-CR"/>
        </w:rPr>
        <w:t>, indicó el objeto de su declaración, y adjuntó su hoja de vida</w:t>
      </w:r>
      <w:r w:rsidR="00C43331" w:rsidRPr="00E56C59">
        <w:rPr>
          <w:rStyle w:val="FootnoteReference"/>
          <w:rFonts w:cs="Arial"/>
          <w:szCs w:val="20"/>
          <w:lang w:val="es-CR"/>
        </w:rPr>
        <w:footnoteReference w:id="1"/>
      </w:r>
      <w:r w:rsidR="00642EED" w:rsidRPr="00E56C59">
        <w:rPr>
          <w:rFonts w:cs="Arial"/>
          <w:szCs w:val="20"/>
          <w:lang w:val="es-CR"/>
        </w:rPr>
        <w:t>. Posteriormente,</w:t>
      </w:r>
      <w:r w:rsidR="00E56C59">
        <w:rPr>
          <w:rFonts w:cs="Arial"/>
          <w:szCs w:val="20"/>
          <w:lang w:val="es-CR"/>
        </w:rPr>
        <w:t xml:space="preserve"> en su lista definitiva,</w:t>
      </w:r>
      <w:r w:rsidR="008E7156" w:rsidRPr="00E56C59">
        <w:rPr>
          <w:rFonts w:cs="Arial"/>
          <w:szCs w:val="20"/>
          <w:lang w:val="es-CR"/>
        </w:rPr>
        <w:t xml:space="preserve"> la Comisión</w:t>
      </w:r>
      <w:r w:rsidR="00642EED" w:rsidRPr="00E56C59">
        <w:rPr>
          <w:rFonts w:cs="Arial"/>
          <w:szCs w:val="20"/>
          <w:lang w:val="es-CR"/>
        </w:rPr>
        <w:t xml:space="preserve"> informó a la Corte sobre la </w:t>
      </w:r>
      <w:r w:rsidR="008E7156" w:rsidRPr="00E56C59">
        <w:rPr>
          <w:rFonts w:cs="Arial"/>
          <w:szCs w:val="20"/>
          <w:lang w:val="es-CR"/>
        </w:rPr>
        <w:t>im</w:t>
      </w:r>
      <w:r w:rsidR="00642EED" w:rsidRPr="00E56C59">
        <w:rPr>
          <w:rFonts w:cs="Arial"/>
          <w:szCs w:val="20"/>
          <w:lang w:val="es-CR"/>
        </w:rPr>
        <w:t>posibilidad de que dicho peritaje fuera rendido</w:t>
      </w:r>
      <w:r w:rsidR="008E7156" w:rsidRPr="00E56C59">
        <w:rPr>
          <w:rFonts w:cs="Arial"/>
          <w:szCs w:val="20"/>
          <w:lang w:val="es-CR"/>
        </w:rPr>
        <w:t xml:space="preserve"> por el señor Parra Vera</w:t>
      </w:r>
      <w:r w:rsidR="00642EED" w:rsidRPr="00E56C59">
        <w:rPr>
          <w:rFonts w:cs="Arial"/>
          <w:szCs w:val="20"/>
          <w:lang w:val="es-CR"/>
        </w:rPr>
        <w:t>, y solicit</w:t>
      </w:r>
      <w:r w:rsidR="005119FB" w:rsidRPr="00E56C59">
        <w:rPr>
          <w:rFonts w:cs="Arial"/>
          <w:szCs w:val="20"/>
          <w:lang w:val="es-CR"/>
        </w:rPr>
        <w:t>ó que fuera sustituido por el de</w:t>
      </w:r>
      <w:r w:rsidR="00C43331" w:rsidRPr="00E56C59">
        <w:rPr>
          <w:rFonts w:cs="Arial"/>
          <w:szCs w:val="20"/>
          <w:lang w:val="es-CR"/>
        </w:rPr>
        <w:t>l señor</w:t>
      </w:r>
      <w:r w:rsidR="005119FB" w:rsidRPr="00E56C59">
        <w:rPr>
          <w:rFonts w:cs="Arial"/>
          <w:szCs w:val="20"/>
          <w:lang w:val="es-CR"/>
        </w:rPr>
        <w:t xml:space="preserve"> Oscar A. Cabrera, cuya hoja de vida fue adjuntada a la solicitud</w:t>
      </w:r>
      <w:r w:rsidR="00C43331" w:rsidRPr="00E56C59">
        <w:rPr>
          <w:rStyle w:val="FootnoteReference"/>
          <w:rFonts w:cs="Arial"/>
          <w:b/>
          <w:szCs w:val="20"/>
          <w:lang w:val="es-CR"/>
        </w:rPr>
        <w:footnoteReference w:id="2"/>
      </w:r>
      <w:r w:rsidR="005119FB" w:rsidRPr="00E56C59">
        <w:rPr>
          <w:rFonts w:cs="Arial"/>
          <w:szCs w:val="20"/>
          <w:lang w:val="es-CR"/>
        </w:rPr>
        <w:t xml:space="preserve">. Ni el </w:t>
      </w:r>
      <w:r w:rsidR="005119FB" w:rsidRPr="00E56C59">
        <w:rPr>
          <w:rFonts w:cs="Arial"/>
          <w:b/>
          <w:i/>
          <w:szCs w:val="20"/>
          <w:lang w:val="es-CR"/>
        </w:rPr>
        <w:t>Estado</w:t>
      </w:r>
      <w:r w:rsidR="00486505">
        <w:rPr>
          <w:rFonts w:cs="Arial"/>
          <w:b/>
          <w:szCs w:val="20"/>
          <w:lang w:val="es-CR"/>
        </w:rPr>
        <w:t>,</w:t>
      </w:r>
      <w:r w:rsidR="005119FB" w:rsidRPr="00E56C59">
        <w:rPr>
          <w:rFonts w:cs="Arial"/>
          <w:szCs w:val="20"/>
          <w:lang w:val="es-CR"/>
        </w:rPr>
        <w:t xml:space="preserve"> ni los </w:t>
      </w:r>
      <w:r w:rsidR="005119FB" w:rsidRPr="00E56C59">
        <w:rPr>
          <w:rFonts w:cs="Arial"/>
          <w:b/>
          <w:i/>
          <w:szCs w:val="20"/>
          <w:lang w:val="es-CR"/>
        </w:rPr>
        <w:t>representantes</w:t>
      </w:r>
      <w:r w:rsidR="00486505">
        <w:rPr>
          <w:rFonts w:cs="Arial"/>
          <w:b/>
          <w:szCs w:val="20"/>
          <w:lang w:val="es-CR"/>
        </w:rPr>
        <w:t>,</w:t>
      </w:r>
      <w:r w:rsidR="005119FB" w:rsidRPr="00E56C59">
        <w:rPr>
          <w:rFonts w:cs="Arial"/>
          <w:szCs w:val="20"/>
          <w:lang w:val="es-CR"/>
        </w:rPr>
        <w:t xml:space="preserve"> objetaron el ofrecimiento de </w:t>
      </w:r>
      <w:r w:rsidR="00486505">
        <w:rPr>
          <w:rFonts w:cs="Arial"/>
          <w:szCs w:val="20"/>
          <w:lang w:val="es-CR"/>
        </w:rPr>
        <w:t>dicha</w:t>
      </w:r>
      <w:r w:rsidR="005119FB" w:rsidRPr="00E56C59">
        <w:rPr>
          <w:rFonts w:cs="Arial"/>
          <w:szCs w:val="20"/>
          <w:lang w:val="es-CR"/>
        </w:rPr>
        <w:t xml:space="preserve"> prueba pericial, o la sustitución </w:t>
      </w:r>
      <w:r w:rsidR="00E56C59">
        <w:rPr>
          <w:rFonts w:cs="Arial"/>
          <w:szCs w:val="20"/>
          <w:lang w:val="es-CR"/>
        </w:rPr>
        <w:t>del perito</w:t>
      </w:r>
      <w:r w:rsidR="005119FB" w:rsidRPr="00E56C59">
        <w:rPr>
          <w:rFonts w:cs="Arial"/>
          <w:szCs w:val="20"/>
          <w:lang w:val="es-CR"/>
        </w:rPr>
        <w:t>. En consideración de lo anterior, el Presidente procederá a analizar la admisibilidad del peritaje</w:t>
      </w:r>
      <w:r w:rsidR="006409FB">
        <w:rPr>
          <w:rFonts w:cs="Arial"/>
          <w:szCs w:val="20"/>
          <w:lang w:val="es-CR"/>
        </w:rPr>
        <w:t xml:space="preserve"> y la solicitud de sustitución del perito</w:t>
      </w:r>
      <w:r w:rsidR="005119FB" w:rsidRPr="00E56C59">
        <w:rPr>
          <w:rFonts w:cs="Arial"/>
          <w:szCs w:val="20"/>
          <w:lang w:val="es-CR"/>
        </w:rPr>
        <w:t>.</w:t>
      </w:r>
    </w:p>
    <w:p w:rsidR="0000555A" w:rsidRPr="00A809B9" w:rsidRDefault="0000555A" w:rsidP="0000555A">
      <w:pPr>
        <w:pStyle w:val="ListParagraph"/>
        <w:numPr>
          <w:ilvl w:val="0"/>
          <w:numId w:val="1"/>
        </w:numPr>
        <w:tabs>
          <w:tab w:val="clear" w:pos="3870"/>
          <w:tab w:val="num" w:pos="720"/>
        </w:tabs>
        <w:ind w:left="0"/>
        <w:rPr>
          <w:rFonts w:cs="Arial"/>
          <w:szCs w:val="20"/>
          <w:lang w:val="es-CL"/>
        </w:rPr>
      </w:pPr>
      <w:r>
        <w:rPr>
          <w:rFonts w:cs="Arial"/>
          <w:szCs w:val="20"/>
          <w:lang w:val="es-CR"/>
        </w:rPr>
        <w:t xml:space="preserve">Según la Comisión, este caso involucra cuestiones de orden público interamericano, pues: </w:t>
      </w:r>
    </w:p>
    <w:p w:rsidR="00A81A67" w:rsidRPr="00306BD1" w:rsidRDefault="0000555A" w:rsidP="000548B5">
      <w:pPr>
        <w:pStyle w:val="ListParagraph"/>
        <w:ind w:left="993" w:right="1182"/>
        <w:rPr>
          <w:rFonts w:cs="Arial"/>
          <w:szCs w:val="20"/>
          <w:lang w:val="es-CL"/>
        </w:rPr>
      </w:pPr>
      <w:proofErr w:type="gramStart"/>
      <w:r w:rsidRPr="0000555A">
        <w:rPr>
          <w:rFonts w:cs="Arial"/>
          <w:sz w:val="16"/>
          <w:szCs w:val="16"/>
          <w:lang w:val="es-CL"/>
        </w:rPr>
        <w:lastRenderedPageBreak/>
        <w:t>permitirá</w:t>
      </w:r>
      <w:proofErr w:type="gramEnd"/>
      <w:r w:rsidRPr="0000555A">
        <w:rPr>
          <w:rFonts w:cs="Arial"/>
          <w:sz w:val="16"/>
          <w:szCs w:val="16"/>
          <w:lang w:val="es-CL"/>
        </w:rPr>
        <w:t xml:space="preserve"> a la </w:t>
      </w:r>
      <w:r w:rsidRPr="00306BD1">
        <w:rPr>
          <w:rFonts w:cs="Arial"/>
          <w:sz w:val="16"/>
          <w:szCs w:val="16"/>
          <w:lang w:val="es-CL"/>
        </w:rPr>
        <w:t xml:space="preserve">Corte desarrollar su jurisprudencia sobre las obligaciones internacionales del Estado derivadas del derecho a la vida, integridad y salud, respecto de personas que viven con VIH/SIDA bajo su jurisdicción. </w:t>
      </w:r>
      <w:r w:rsidRPr="00A809B9">
        <w:rPr>
          <w:rFonts w:cs="Arial"/>
          <w:sz w:val="16"/>
          <w:szCs w:val="16"/>
          <w:lang w:val="es-CL"/>
        </w:rPr>
        <w:t>Específicamente, el caso permitirá a la Corte profundizar en las especificidades de la atención integral en salud de que son titulares dichas personas, incluyendo la realización de exámenes de diagnóstico y seguimiento, el otorgamiento de medicamentos antirretrovirales y el seguimiento físico y psicológico necesario. Asimismo, la Corte Interamericana podrá pronunciarse sobre las características con las que debe contar un recurso para proteger la vida, integridad personal y salud de las personas que viven con VIH/SIDA a fin de que sea considerado como sencillo y efectivo en los términos de la Convención.</w:t>
      </w:r>
      <w:r w:rsidR="002615A8" w:rsidRPr="0000555A">
        <w:rPr>
          <w:rFonts w:cs="Arial"/>
          <w:szCs w:val="20"/>
          <w:lang w:val="es-CL"/>
        </w:rPr>
        <w:t xml:space="preserve"> </w:t>
      </w:r>
    </w:p>
    <w:p w:rsidR="001833EE" w:rsidRDefault="00EE59A3" w:rsidP="00486710">
      <w:pPr>
        <w:numPr>
          <w:ilvl w:val="0"/>
          <w:numId w:val="1"/>
        </w:numPr>
        <w:tabs>
          <w:tab w:val="num" w:pos="720"/>
        </w:tabs>
        <w:autoSpaceDE w:val="0"/>
        <w:autoSpaceDN w:val="0"/>
        <w:adjustRightInd w:val="0"/>
        <w:spacing w:after="0"/>
        <w:rPr>
          <w:szCs w:val="20"/>
        </w:rPr>
      </w:pPr>
      <w:r>
        <w:rPr>
          <w:szCs w:val="20"/>
        </w:rPr>
        <w:t>El</w:t>
      </w:r>
      <w:r w:rsidR="00E56C59">
        <w:rPr>
          <w:szCs w:val="20"/>
        </w:rPr>
        <w:t xml:space="preserve"> Presidente recuerda que el</w:t>
      </w:r>
      <w:r>
        <w:rPr>
          <w:szCs w:val="20"/>
        </w:rPr>
        <w:t xml:space="preserve"> ofrecimiento de las declaraciones periciales</w:t>
      </w:r>
      <w:r w:rsidR="00E56C59">
        <w:rPr>
          <w:szCs w:val="20"/>
        </w:rPr>
        <w:t>,</w:t>
      </w:r>
      <w:r>
        <w:rPr>
          <w:szCs w:val="20"/>
        </w:rPr>
        <w:t xml:space="preserve"> por parte de la Comisión</w:t>
      </w:r>
      <w:r w:rsidR="00E56C59">
        <w:rPr>
          <w:szCs w:val="20"/>
        </w:rPr>
        <w:t>,</w:t>
      </w:r>
      <w:r>
        <w:rPr>
          <w:szCs w:val="20"/>
        </w:rPr>
        <w:t xml:space="preserve"> tiene su sustento en el artículo 35.1.f del Reglamento</w:t>
      </w:r>
      <w:r w:rsidR="00532AE6">
        <w:rPr>
          <w:rStyle w:val="FootnoteReference"/>
          <w:szCs w:val="20"/>
        </w:rPr>
        <w:footnoteReference w:id="3"/>
      </w:r>
      <w:r>
        <w:rPr>
          <w:szCs w:val="20"/>
        </w:rPr>
        <w:t xml:space="preserve">, en donde </w:t>
      </w:r>
      <w:r w:rsidR="00E56C59">
        <w:rPr>
          <w:szCs w:val="20"/>
        </w:rPr>
        <w:t>se supedita</w:t>
      </w:r>
      <w:r>
        <w:rPr>
          <w:szCs w:val="20"/>
        </w:rPr>
        <w:t xml:space="preserve"> el eventual ofrecimiento de peritos cuando se afecte de manera relevante el orden público interamericano de los derechos humanos, lo cual corresponde a la Comisión sustentar</w:t>
      </w:r>
      <w:r w:rsidR="001833EE" w:rsidRPr="00885E34">
        <w:rPr>
          <w:rStyle w:val="FootnoteReference"/>
          <w:szCs w:val="20"/>
        </w:rPr>
        <w:footnoteReference w:id="4"/>
      </w:r>
      <w:r w:rsidR="001833EE" w:rsidRPr="00486710">
        <w:rPr>
          <w:szCs w:val="20"/>
        </w:rPr>
        <w:t>.</w:t>
      </w:r>
      <w:r>
        <w:rPr>
          <w:szCs w:val="20"/>
        </w:rPr>
        <w:t xml:space="preserve"> En este sentido, el Presidente considera que el objeto del peritaje propuesto</w:t>
      </w:r>
      <w:r w:rsidR="00532AE6">
        <w:rPr>
          <w:szCs w:val="20"/>
        </w:rPr>
        <w:t>,</w:t>
      </w:r>
      <w:r>
        <w:rPr>
          <w:szCs w:val="20"/>
        </w:rPr>
        <w:t xml:space="preserve"> y su relación con el interés público interamericano</w:t>
      </w:r>
      <w:r w:rsidR="00532AE6">
        <w:rPr>
          <w:szCs w:val="20"/>
        </w:rPr>
        <w:t>,</w:t>
      </w:r>
      <w:r>
        <w:rPr>
          <w:szCs w:val="20"/>
        </w:rPr>
        <w:t xml:space="preserve"> </w:t>
      </w:r>
      <w:r w:rsidR="0013322E">
        <w:rPr>
          <w:szCs w:val="20"/>
        </w:rPr>
        <w:t>trasciende el interés y objeto del presente caso, pues se refiere a los alcances del derecho a la salud de las personas que viven con VIH/SIDA, así como a las consecuentes obligaciones estatales en la materia a la luz del rég</w:t>
      </w:r>
      <w:r w:rsidR="008B7A3E">
        <w:rPr>
          <w:szCs w:val="20"/>
        </w:rPr>
        <w:t>imen de la Convención Americana</w:t>
      </w:r>
      <w:r w:rsidR="0013322E">
        <w:rPr>
          <w:szCs w:val="20"/>
        </w:rPr>
        <w:t>.</w:t>
      </w:r>
      <w:r w:rsidR="0074130E">
        <w:rPr>
          <w:szCs w:val="20"/>
        </w:rPr>
        <w:t xml:space="preserve"> En consecuencia, el </w:t>
      </w:r>
      <w:r w:rsidR="00F2661F">
        <w:rPr>
          <w:szCs w:val="20"/>
        </w:rPr>
        <w:t>Presidente</w:t>
      </w:r>
      <w:r w:rsidR="0074130E">
        <w:rPr>
          <w:szCs w:val="20"/>
        </w:rPr>
        <w:t xml:space="preserve"> advierte que el presente caso involucra cuestiones de orden público interamericano.</w:t>
      </w:r>
    </w:p>
    <w:p w:rsidR="0013322E" w:rsidRDefault="0013322E" w:rsidP="0013322E">
      <w:pPr>
        <w:autoSpaceDE w:val="0"/>
        <w:autoSpaceDN w:val="0"/>
        <w:adjustRightInd w:val="0"/>
        <w:spacing w:after="0"/>
        <w:rPr>
          <w:szCs w:val="20"/>
        </w:rPr>
      </w:pPr>
    </w:p>
    <w:p w:rsidR="00F87BD7" w:rsidRPr="008B7A3E" w:rsidRDefault="0013322E" w:rsidP="00A809B9">
      <w:pPr>
        <w:numPr>
          <w:ilvl w:val="0"/>
          <w:numId w:val="1"/>
        </w:numPr>
        <w:tabs>
          <w:tab w:val="num" w:pos="720"/>
        </w:tabs>
        <w:autoSpaceDE w:val="0"/>
        <w:autoSpaceDN w:val="0"/>
        <w:adjustRightInd w:val="0"/>
        <w:spacing w:after="0"/>
        <w:rPr>
          <w:szCs w:val="20"/>
        </w:rPr>
      </w:pPr>
      <w:r w:rsidRPr="008B7A3E">
        <w:rPr>
          <w:szCs w:val="20"/>
        </w:rPr>
        <w:t xml:space="preserve">Por otro lado, </w:t>
      </w:r>
      <w:r w:rsidR="00BA477F" w:rsidRPr="008B7A3E">
        <w:rPr>
          <w:szCs w:val="20"/>
        </w:rPr>
        <w:t>en lo que respecta a la</w:t>
      </w:r>
      <w:r w:rsidR="009A0E92" w:rsidRPr="008B7A3E">
        <w:rPr>
          <w:szCs w:val="20"/>
        </w:rPr>
        <w:t xml:space="preserve"> solicitud de</w:t>
      </w:r>
      <w:r w:rsidR="00BA477F" w:rsidRPr="008B7A3E">
        <w:rPr>
          <w:szCs w:val="20"/>
        </w:rPr>
        <w:t xml:space="preserve"> sustitución del perito propuesto por la Comisión</w:t>
      </w:r>
      <w:r w:rsidR="006409FB">
        <w:rPr>
          <w:rStyle w:val="FootnoteReference"/>
          <w:szCs w:val="20"/>
        </w:rPr>
        <w:footnoteReference w:id="5"/>
      </w:r>
      <w:r w:rsidR="00BA477F" w:rsidRPr="008B7A3E">
        <w:rPr>
          <w:szCs w:val="20"/>
        </w:rPr>
        <w:t xml:space="preserve">, </w:t>
      </w:r>
      <w:r w:rsidR="00532AE6" w:rsidRPr="008B7A3E">
        <w:rPr>
          <w:szCs w:val="20"/>
        </w:rPr>
        <w:t>el Presidente</w:t>
      </w:r>
      <w:r w:rsidR="009A0E92" w:rsidRPr="008B7A3E">
        <w:rPr>
          <w:szCs w:val="20"/>
        </w:rPr>
        <w:t xml:space="preserve"> considera que la razón por la que el </w:t>
      </w:r>
      <w:r w:rsidR="003C3167" w:rsidRPr="008B7A3E">
        <w:rPr>
          <w:szCs w:val="20"/>
        </w:rPr>
        <w:t xml:space="preserve">perito ofrecido </w:t>
      </w:r>
      <w:r w:rsidR="009A0E92" w:rsidRPr="008B7A3E">
        <w:rPr>
          <w:szCs w:val="20"/>
        </w:rPr>
        <w:t>está imposibilitado para rendir su peritaje ante este Tribunal, es decir su nombramiento como miembro de la Jurisdicción Especial para la Paz en Colombia, es legítima</w:t>
      </w:r>
      <w:r w:rsidR="003C3167" w:rsidRPr="008B7A3E">
        <w:rPr>
          <w:szCs w:val="20"/>
        </w:rPr>
        <w:t xml:space="preserve"> y no era previsible al tiempo de su ofrecimiento</w:t>
      </w:r>
      <w:r w:rsidR="009A0E92" w:rsidRPr="008B7A3E">
        <w:rPr>
          <w:szCs w:val="20"/>
        </w:rPr>
        <w:t xml:space="preserve">; asimismo, </w:t>
      </w:r>
      <w:r w:rsidR="00532AE6" w:rsidRPr="008B7A3E">
        <w:rPr>
          <w:szCs w:val="20"/>
        </w:rPr>
        <w:t>el Presidente</w:t>
      </w:r>
      <w:r w:rsidR="009A0E92" w:rsidRPr="008B7A3E">
        <w:rPr>
          <w:szCs w:val="20"/>
        </w:rPr>
        <w:t xml:space="preserve"> advierte que la solicitud de la Comisión respeta el objeto del peritaje</w:t>
      </w:r>
      <w:r w:rsidR="00532AE6" w:rsidRPr="008B7A3E">
        <w:rPr>
          <w:szCs w:val="20"/>
        </w:rPr>
        <w:t>,</w:t>
      </w:r>
      <w:r w:rsidR="009A0E92" w:rsidRPr="008B7A3E">
        <w:rPr>
          <w:szCs w:val="20"/>
        </w:rPr>
        <w:t xml:space="preserve"> al mantenerse idéntico al originalmente planteado</w:t>
      </w:r>
      <w:r w:rsidR="00532AE6" w:rsidRPr="008B7A3E">
        <w:rPr>
          <w:szCs w:val="20"/>
        </w:rPr>
        <w:t>, y verifica la remisión de la hoja de vida del señor Oscar A. Cabrera</w:t>
      </w:r>
      <w:r w:rsidR="009A0E92" w:rsidRPr="008B7A3E">
        <w:rPr>
          <w:szCs w:val="20"/>
        </w:rPr>
        <w:t>.</w:t>
      </w:r>
      <w:r w:rsidR="00F87BD7" w:rsidRPr="008B7A3E">
        <w:rPr>
          <w:szCs w:val="20"/>
        </w:rPr>
        <w:t xml:space="preserve"> En consecuencia, </w:t>
      </w:r>
      <w:r w:rsidR="004801F2" w:rsidRPr="008B7A3E">
        <w:rPr>
          <w:szCs w:val="20"/>
        </w:rPr>
        <w:t>el Presidente</w:t>
      </w:r>
      <w:r w:rsidR="00F87BD7" w:rsidRPr="008B7A3E">
        <w:rPr>
          <w:szCs w:val="20"/>
        </w:rPr>
        <w:t xml:space="preserve"> admite la sustitución del </w:t>
      </w:r>
      <w:r w:rsidR="00532AE6" w:rsidRPr="008B7A3E">
        <w:rPr>
          <w:szCs w:val="20"/>
        </w:rPr>
        <w:t>señor</w:t>
      </w:r>
      <w:r w:rsidR="00F87BD7" w:rsidRPr="008B7A3E">
        <w:rPr>
          <w:szCs w:val="20"/>
        </w:rPr>
        <w:t xml:space="preserve"> Oscar Parra Vera en los términos solicitados por la Comisión.</w:t>
      </w:r>
    </w:p>
    <w:p w:rsidR="00F87BD7" w:rsidRDefault="00F87BD7" w:rsidP="00F87BD7">
      <w:pPr>
        <w:autoSpaceDE w:val="0"/>
        <w:autoSpaceDN w:val="0"/>
        <w:adjustRightInd w:val="0"/>
        <w:spacing w:after="0"/>
        <w:rPr>
          <w:szCs w:val="20"/>
        </w:rPr>
      </w:pPr>
    </w:p>
    <w:p w:rsidR="00E55DBE" w:rsidRPr="00E9715B" w:rsidRDefault="009A0E92" w:rsidP="00E9715B">
      <w:pPr>
        <w:numPr>
          <w:ilvl w:val="0"/>
          <w:numId w:val="1"/>
        </w:numPr>
        <w:tabs>
          <w:tab w:val="num" w:pos="720"/>
        </w:tabs>
        <w:autoSpaceDE w:val="0"/>
        <w:autoSpaceDN w:val="0"/>
        <w:adjustRightInd w:val="0"/>
        <w:spacing w:after="0"/>
        <w:rPr>
          <w:szCs w:val="20"/>
        </w:rPr>
      </w:pPr>
      <w:r>
        <w:rPr>
          <w:szCs w:val="20"/>
        </w:rPr>
        <w:t xml:space="preserve"> </w:t>
      </w:r>
      <w:r w:rsidR="003C3167">
        <w:rPr>
          <w:szCs w:val="20"/>
        </w:rPr>
        <w:t xml:space="preserve">Por lo anterior, el </w:t>
      </w:r>
      <w:r w:rsidR="00F2661F">
        <w:rPr>
          <w:szCs w:val="20"/>
        </w:rPr>
        <w:t>Presidente</w:t>
      </w:r>
      <w:r w:rsidR="003C3167">
        <w:rPr>
          <w:szCs w:val="20"/>
        </w:rPr>
        <w:t xml:space="preserve"> admite la declaración del señor </w:t>
      </w:r>
      <w:r w:rsidR="003C3167">
        <w:rPr>
          <w:rFonts w:cs="Arial"/>
          <w:szCs w:val="20"/>
          <w:lang w:val="es-CR"/>
        </w:rPr>
        <w:t>Oscar A. Cabrera, cuyo objeto y modalidad se determinarán en la parte resolutiva de la presente Resolución (</w:t>
      </w:r>
      <w:r w:rsidR="003C3167">
        <w:rPr>
          <w:rFonts w:cs="Arial"/>
          <w:i/>
          <w:szCs w:val="20"/>
          <w:lang w:val="es-CR"/>
        </w:rPr>
        <w:t xml:space="preserve">infra </w:t>
      </w:r>
      <w:r w:rsidR="003C3167">
        <w:rPr>
          <w:rFonts w:cs="Arial"/>
          <w:szCs w:val="20"/>
          <w:lang w:val="es-CR"/>
        </w:rPr>
        <w:t xml:space="preserve">punto resolutivo </w:t>
      </w:r>
      <w:r w:rsidR="006D25C9">
        <w:rPr>
          <w:rFonts w:cs="Arial"/>
          <w:szCs w:val="20"/>
          <w:lang w:val="es-CR"/>
        </w:rPr>
        <w:t>1</w:t>
      </w:r>
      <w:r w:rsidR="003C3167">
        <w:rPr>
          <w:rFonts w:cs="Arial"/>
          <w:szCs w:val="20"/>
          <w:lang w:val="es-CR"/>
        </w:rPr>
        <w:t>).</w:t>
      </w:r>
    </w:p>
    <w:p w:rsidR="009E3008" w:rsidRDefault="009E3008" w:rsidP="005735AE">
      <w:pPr>
        <w:pStyle w:val="BodyTextIndent"/>
        <w:tabs>
          <w:tab w:val="left" w:pos="0"/>
          <w:tab w:val="left" w:pos="810"/>
        </w:tabs>
        <w:spacing w:after="0"/>
        <w:ind w:left="0"/>
        <w:rPr>
          <w:rFonts w:cs="Verdana"/>
          <w:lang w:bidi="en-US"/>
        </w:rPr>
      </w:pPr>
    </w:p>
    <w:p w:rsidR="00431A17" w:rsidRPr="00566E49" w:rsidRDefault="00F2661F" w:rsidP="00BC2C91">
      <w:pPr>
        <w:pStyle w:val="ListParagraph1"/>
        <w:numPr>
          <w:ilvl w:val="0"/>
          <w:numId w:val="4"/>
        </w:numPr>
        <w:ind w:right="11"/>
        <w:jc w:val="both"/>
        <w:rPr>
          <w:rFonts w:ascii="Verdana" w:hAnsi="Verdana"/>
          <w:b/>
          <w:i/>
          <w:sz w:val="20"/>
          <w:szCs w:val="20"/>
          <w:lang w:val="es-CR"/>
        </w:rPr>
      </w:pPr>
      <w:r>
        <w:rPr>
          <w:rFonts w:ascii="Verdana" w:hAnsi="Verdana"/>
          <w:b/>
          <w:i/>
          <w:sz w:val="20"/>
          <w:szCs w:val="20"/>
          <w:lang w:val="es-CR"/>
        </w:rPr>
        <w:t xml:space="preserve">Admisibilidad </w:t>
      </w:r>
      <w:r w:rsidR="00566E49" w:rsidRPr="00566E49">
        <w:rPr>
          <w:rFonts w:ascii="Verdana" w:hAnsi="Verdana"/>
          <w:b/>
          <w:i/>
          <w:sz w:val="20"/>
          <w:szCs w:val="20"/>
          <w:lang w:val="es-CR"/>
        </w:rPr>
        <w:t>de las declaraciones testimoniales</w:t>
      </w:r>
      <w:r w:rsidR="00FB3CA3">
        <w:rPr>
          <w:rFonts w:ascii="Verdana" w:hAnsi="Verdana"/>
          <w:b/>
          <w:i/>
          <w:sz w:val="20"/>
          <w:szCs w:val="20"/>
          <w:lang w:val="es-CR"/>
        </w:rPr>
        <w:t>, de las declaraciones a título informativo,</w:t>
      </w:r>
      <w:r w:rsidR="00566E49" w:rsidRPr="00566E49">
        <w:rPr>
          <w:rFonts w:ascii="Verdana" w:hAnsi="Verdana"/>
          <w:b/>
          <w:i/>
          <w:sz w:val="20"/>
          <w:szCs w:val="20"/>
          <w:lang w:val="es-CR"/>
        </w:rPr>
        <w:t xml:space="preserve"> y de los peritajes ofrecidos por los representantes</w:t>
      </w:r>
    </w:p>
    <w:p w:rsidR="008343F5" w:rsidRDefault="008343F5" w:rsidP="008343F5">
      <w:pPr>
        <w:pStyle w:val="BodyTextIndent"/>
        <w:tabs>
          <w:tab w:val="left" w:pos="0"/>
        </w:tabs>
        <w:spacing w:after="0"/>
        <w:ind w:left="0"/>
        <w:rPr>
          <w:rFonts w:cs="Verdana"/>
          <w:lang w:bidi="en-US"/>
        </w:rPr>
      </w:pPr>
    </w:p>
    <w:p w:rsidR="008343F5" w:rsidRDefault="008343F5" w:rsidP="008343F5">
      <w:pPr>
        <w:pStyle w:val="BodyTextIndent"/>
        <w:tabs>
          <w:tab w:val="left" w:pos="0"/>
        </w:tabs>
        <w:spacing w:after="0"/>
        <w:ind w:left="0"/>
        <w:rPr>
          <w:rFonts w:cs="Verdana"/>
          <w:i/>
          <w:lang w:bidi="en-US"/>
        </w:rPr>
      </w:pPr>
      <w:r>
        <w:rPr>
          <w:rFonts w:cs="Verdana"/>
          <w:i/>
          <w:lang w:bidi="en-US"/>
        </w:rPr>
        <w:t>B.1) Objeciones del Estado respecto de las declaraciones testimoniales ofrecidas por los representantes</w:t>
      </w:r>
    </w:p>
    <w:p w:rsidR="008343F5" w:rsidRPr="008343F5" w:rsidRDefault="008343F5" w:rsidP="008343F5">
      <w:pPr>
        <w:pStyle w:val="BodyTextIndent"/>
        <w:tabs>
          <w:tab w:val="left" w:pos="0"/>
        </w:tabs>
        <w:spacing w:after="0"/>
        <w:ind w:left="0"/>
        <w:rPr>
          <w:rFonts w:cs="Verdana"/>
          <w:b/>
          <w:lang w:bidi="en-US"/>
        </w:rPr>
      </w:pPr>
    </w:p>
    <w:p w:rsidR="00142DF5" w:rsidRPr="0062065A" w:rsidRDefault="00C262AD" w:rsidP="0062065A">
      <w:pPr>
        <w:pStyle w:val="BodyTextIndent"/>
        <w:numPr>
          <w:ilvl w:val="0"/>
          <w:numId w:val="1"/>
        </w:numPr>
        <w:tabs>
          <w:tab w:val="left" w:pos="0"/>
          <w:tab w:val="num" w:pos="720"/>
        </w:tabs>
        <w:spacing w:after="0"/>
        <w:ind w:left="0"/>
        <w:rPr>
          <w:rFonts w:cs="Verdana"/>
          <w:b/>
          <w:lang w:bidi="en-US"/>
        </w:rPr>
      </w:pPr>
      <w:r w:rsidRPr="00032B01">
        <w:rPr>
          <w:rFonts w:cs="Verdana"/>
          <w:lang w:bidi="en-US"/>
        </w:rPr>
        <w:lastRenderedPageBreak/>
        <w:t xml:space="preserve">Los </w:t>
      </w:r>
      <w:r w:rsidRPr="00852038">
        <w:rPr>
          <w:rFonts w:cs="Verdana"/>
          <w:b/>
          <w:i/>
          <w:lang w:bidi="en-US"/>
        </w:rPr>
        <w:t>representantes</w:t>
      </w:r>
      <w:r w:rsidRPr="00032B01">
        <w:rPr>
          <w:rFonts w:cs="Verdana"/>
          <w:lang w:bidi="en-US"/>
        </w:rPr>
        <w:t>, en su escrito de solicitudes y argumentos, ofrecieron el testimonio de</w:t>
      </w:r>
      <w:r w:rsidR="00706F3B">
        <w:rPr>
          <w:rFonts w:cs="Verdana"/>
          <w:lang w:bidi="en-US"/>
        </w:rPr>
        <w:t xml:space="preserve"> diez presuntas víctimas</w:t>
      </w:r>
      <w:r w:rsidR="001D09DB">
        <w:rPr>
          <w:rFonts w:cs="Verdana"/>
          <w:lang w:bidi="en-US"/>
        </w:rPr>
        <w:t>:</w:t>
      </w:r>
      <w:r w:rsidRPr="00032B01">
        <w:rPr>
          <w:rFonts w:cs="Verdana"/>
          <w:lang w:bidi="en-US"/>
        </w:rPr>
        <w:t xml:space="preserve"> </w:t>
      </w:r>
      <w:r w:rsidR="000D32C4" w:rsidRPr="00032B01">
        <w:rPr>
          <w:rFonts w:cs="Verdana"/>
          <w:lang w:bidi="en-US"/>
        </w:rPr>
        <w:t>Félix</w:t>
      </w:r>
      <w:r w:rsidR="00946A98" w:rsidRPr="00032B01">
        <w:rPr>
          <w:rFonts w:cs="Verdana"/>
          <w:lang w:bidi="en-US"/>
        </w:rPr>
        <w:t xml:space="preserve"> de Jesús Cabrera</w:t>
      </w:r>
      <w:r w:rsidR="00B37222">
        <w:rPr>
          <w:rFonts w:cs="Verdana"/>
          <w:lang w:bidi="en-US"/>
        </w:rPr>
        <w:t xml:space="preserve"> Morales</w:t>
      </w:r>
      <w:r w:rsidR="00946A98" w:rsidRPr="00032B01">
        <w:rPr>
          <w:rFonts w:cs="Verdana"/>
          <w:lang w:bidi="en-US"/>
        </w:rPr>
        <w:t xml:space="preserve">, Zoila Marina Pérez Ruiz, Sandra Lizbeth Zepeda Herrera, Francisco Sop Quiej, Luis Rolando Cuscul Pivaral, Marina Martínez Sofoija, Ismerai Olivia </w:t>
      </w:r>
      <w:r w:rsidR="000D32C4" w:rsidRPr="00032B01">
        <w:rPr>
          <w:rFonts w:cs="Verdana"/>
          <w:lang w:bidi="en-US"/>
        </w:rPr>
        <w:t>Castañón</w:t>
      </w:r>
      <w:r w:rsidR="000548B5">
        <w:rPr>
          <w:rStyle w:val="FootnoteReference"/>
          <w:rFonts w:cs="Verdana"/>
          <w:lang w:bidi="en-US"/>
        </w:rPr>
        <w:footnoteReference w:id="6"/>
      </w:r>
      <w:r w:rsidR="00946A98" w:rsidRPr="00032B01">
        <w:rPr>
          <w:rFonts w:cs="Verdana"/>
          <w:lang w:bidi="en-US"/>
        </w:rPr>
        <w:t>, Carlos Fernando Coc Chajón</w:t>
      </w:r>
      <w:r w:rsidR="006C293F">
        <w:rPr>
          <w:rStyle w:val="FootnoteReference"/>
          <w:rFonts w:cs="Verdana"/>
          <w:lang w:bidi="en-US"/>
        </w:rPr>
        <w:footnoteReference w:id="7"/>
      </w:r>
      <w:r w:rsidR="00946A98" w:rsidRPr="00032B01">
        <w:rPr>
          <w:rFonts w:cs="Verdana"/>
          <w:lang w:bidi="en-US"/>
        </w:rPr>
        <w:t xml:space="preserve">, Luis Alberto </w:t>
      </w:r>
      <w:r w:rsidR="000D32C4" w:rsidRPr="00032B01">
        <w:rPr>
          <w:rFonts w:cs="Verdana"/>
          <w:lang w:bidi="en-US"/>
        </w:rPr>
        <w:t>Hernández</w:t>
      </w:r>
      <w:r w:rsidR="00946A98" w:rsidRPr="00032B01">
        <w:rPr>
          <w:rFonts w:cs="Verdana"/>
          <w:lang w:bidi="en-US"/>
        </w:rPr>
        <w:t xml:space="preserve"> Estrada</w:t>
      </w:r>
      <w:r w:rsidR="00B37222">
        <w:rPr>
          <w:rFonts w:cs="Verdana"/>
          <w:lang w:bidi="en-US"/>
        </w:rPr>
        <w:t xml:space="preserve"> y</w:t>
      </w:r>
      <w:r w:rsidR="00946A98" w:rsidRPr="00032B01">
        <w:rPr>
          <w:rFonts w:cs="Verdana"/>
          <w:lang w:bidi="en-US"/>
        </w:rPr>
        <w:t xml:space="preserve"> María Magdalena Rodas Mérida</w:t>
      </w:r>
      <w:r w:rsidR="00B37222">
        <w:rPr>
          <w:rStyle w:val="FootnoteReference"/>
          <w:rFonts w:cs="Verdana"/>
          <w:lang w:bidi="en-US"/>
        </w:rPr>
        <w:footnoteReference w:id="8"/>
      </w:r>
      <w:r w:rsidR="00B37222">
        <w:rPr>
          <w:rFonts w:cs="Verdana"/>
          <w:lang w:bidi="en-US"/>
        </w:rPr>
        <w:t xml:space="preserve">, </w:t>
      </w:r>
      <w:r w:rsidR="007F243D" w:rsidRPr="00032B01">
        <w:rPr>
          <w:rFonts w:cs="Verdana"/>
          <w:lang w:bidi="en-US"/>
        </w:rPr>
        <w:t>y</w:t>
      </w:r>
      <w:r w:rsidRPr="00032B01">
        <w:rPr>
          <w:rFonts w:cs="Verdana"/>
          <w:lang w:bidi="en-US"/>
        </w:rPr>
        <w:t xml:space="preserve"> del señor Matthew Anderson</w:t>
      </w:r>
      <w:r w:rsidR="00B37222">
        <w:rPr>
          <w:rStyle w:val="FootnoteReference"/>
          <w:rFonts w:cs="Verdana"/>
          <w:lang w:bidi="en-US"/>
        </w:rPr>
        <w:footnoteReference w:id="9"/>
      </w:r>
      <w:r w:rsidRPr="00032B01">
        <w:rPr>
          <w:rFonts w:cs="Verdana"/>
          <w:lang w:bidi="en-US"/>
        </w:rPr>
        <w:t xml:space="preserve"> y la señora Rocío Samayoa Bran</w:t>
      </w:r>
      <w:r w:rsidR="00B37222">
        <w:rPr>
          <w:rStyle w:val="FootnoteReference"/>
          <w:rFonts w:cs="Verdana"/>
          <w:lang w:bidi="en-US"/>
        </w:rPr>
        <w:footnoteReference w:id="10"/>
      </w:r>
      <w:r w:rsidR="007F243D" w:rsidRPr="00032B01">
        <w:rPr>
          <w:rFonts w:cs="Verdana"/>
          <w:lang w:bidi="en-US"/>
        </w:rPr>
        <w:t xml:space="preserve"> en calidad de testigos</w:t>
      </w:r>
      <w:r w:rsidR="0062065A">
        <w:rPr>
          <w:rFonts w:cs="Verdana"/>
          <w:lang w:bidi="en-US"/>
        </w:rPr>
        <w:t>.</w:t>
      </w:r>
      <w:r w:rsidR="0062065A">
        <w:rPr>
          <w:rFonts w:cs="Verdana"/>
          <w:b/>
          <w:lang w:bidi="en-US"/>
        </w:rPr>
        <w:t xml:space="preserve"> </w:t>
      </w:r>
      <w:r w:rsidRPr="0062065A">
        <w:rPr>
          <w:rFonts w:cs="Verdana"/>
          <w:lang w:bidi="en-US"/>
        </w:rPr>
        <w:t xml:space="preserve">Posteriormente, en su lista definitiva, ofrecieron </w:t>
      </w:r>
      <w:r w:rsidR="0062065A" w:rsidRPr="0062065A">
        <w:rPr>
          <w:rFonts w:cs="Verdana"/>
          <w:lang w:bidi="en-US"/>
        </w:rPr>
        <w:t>los testimonios</w:t>
      </w:r>
      <w:r w:rsidRPr="0062065A">
        <w:rPr>
          <w:rFonts w:cs="Verdana"/>
          <w:lang w:bidi="en-US"/>
        </w:rPr>
        <w:t xml:space="preserve"> de </w:t>
      </w:r>
      <w:r w:rsidR="00946A98" w:rsidRPr="0062065A">
        <w:rPr>
          <w:rFonts w:cs="Verdana"/>
          <w:szCs w:val="20"/>
          <w:lang w:bidi="en-US"/>
        </w:rPr>
        <w:t xml:space="preserve">Félix de Jesús Cabrera Morales, </w:t>
      </w:r>
      <w:r w:rsidR="00946A98" w:rsidRPr="0062065A">
        <w:rPr>
          <w:rFonts w:cs="Arial-BoldMT"/>
          <w:bCs/>
          <w:szCs w:val="20"/>
          <w:lang w:val="es-CR" w:eastAsia="es-CR"/>
        </w:rPr>
        <w:t>Zoila Marina Perez Ruiz, Sandra Lisbeth Zepeda Herrera y Luis Rolando Cuscúl Pivaral</w:t>
      </w:r>
      <w:r w:rsidR="00946A98" w:rsidRPr="0062065A">
        <w:rPr>
          <w:rFonts w:cs="Verdana"/>
          <w:lang w:bidi="en-US"/>
        </w:rPr>
        <w:t xml:space="preserve"> para declarar en audiencia pública</w:t>
      </w:r>
      <w:r w:rsidR="000D4092" w:rsidRPr="0062065A">
        <w:rPr>
          <w:rFonts w:cs="Verdana"/>
          <w:lang w:bidi="en-US"/>
        </w:rPr>
        <w:t xml:space="preserve"> ante la Corte</w:t>
      </w:r>
      <w:r w:rsidR="00946A98" w:rsidRPr="0062065A">
        <w:rPr>
          <w:rFonts w:cs="Verdana"/>
          <w:lang w:bidi="en-US"/>
        </w:rPr>
        <w:t>.</w:t>
      </w:r>
      <w:r w:rsidR="0062065A" w:rsidRPr="0062065A">
        <w:rPr>
          <w:rFonts w:cs="Verdana"/>
          <w:lang w:bidi="en-US"/>
        </w:rPr>
        <w:t xml:space="preserve"> </w:t>
      </w:r>
      <w:r w:rsidR="00142DF5" w:rsidRPr="0062065A">
        <w:rPr>
          <w:rFonts w:cs="Verdana"/>
          <w:lang w:bidi="en-US"/>
        </w:rPr>
        <w:t xml:space="preserve">Asimismo, </w:t>
      </w:r>
      <w:r w:rsidR="0062065A" w:rsidRPr="0062065A">
        <w:rPr>
          <w:rFonts w:cs="Verdana"/>
          <w:lang w:bidi="en-US"/>
        </w:rPr>
        <w:t>en el mismo escrito</w:t>
      </w:r>
      <w:r w:rsidR="00142DF5" w:rsidRPr="0062065A">
        <w:rPr>
          <w:rFonts w:cs="Verdana"/>
          <w:lang w:bidi="en-US"/>
        </w:rPr>
        <w:t>, los representantes solicitaron que Francisco Sop Quiej, Marina Martinez Sofoija, Carlos Fernando Coc Chajón, Luis Alberto Hernández Estrada y María Magdalena Ridas Mérida rindan su testimonio mediante declaración jurada</w:t>
      </w:r>
      <w:r w:rsidR="00946A98" w:rsidRPr="0062065A">
        <w:rPr>
          <w:rFonts w:cs="Verdana"/>
          <w:lang w:bidi="en-US"/>
        </w:rPr>
        <w:t xml:space="preserve"> (</w:t>
      </w:r>
      <w:r w:rsidR="00946A98" w:rsidRPr="0062065A">
        <w:rPr>
          <w:rFonts w:cs="Verdana"/>
          <w:i/>
          <w:lang w:bidi="en-US"/>
        </w:rPr>
        <w:t>affidavit</w:t>
      </w:r>
      <w:r w:rsidR="00946A98" w:rsidRPr="0062065A">
        <w:rPr>
          <w:rFonts w:cs="Verdana"/>
          <w:lang w:bidi="en-US"/>
        </w:rPr>
        <w:t>)</w:t>
      </w:r>
      <w:r w:rsidR="00142DF5" w:rsidRPr="0062065A">
        <w:rPr>
          <w:rFonts w:cs="Verdana"/>
          <w:lang w:bidi="en-US"/>
        </w:rPr>
        <w:t xml:space="preserve">. Adicionalmente, informaron a la Corte sobre el desistimiento de la presentación del testimonio de la </w:t>
      </w:r>
      <w:r w:rsidR="00475EA4" w:rsidRPr="0062065A">
        <w:rPr>
          <w:rFonts w:cs="Verdana"/>
          <w:lang w:bidi="en-US"/>
        </w:rPr>
        <w:t>señora Ismerai Olivia Castañon.</w:t>
      </w:r>
      <w:r w:rsidR="00032B01" w:rsidRPr="0062065A">
        <w:rPr>
          <w:rFonts w:cs="Verdana"/>
          <w:lang w:bidi="en-US"/>
        </w:rPr>
        <w:t xml:space="preserve"> </w:t>
      </w:r>
      <w:r w:rsidR="00142DF5" w:rsidRPr="0062065A">
        <w:rPr>
          <w:rFonts w:cs="Verdana"/>
          <w:lang w:bidi="en-US"/>
        </w:rPr>
        <w:t>Los representantes</w:t>
      </w:r>
      <w:r w:rsidR="00475EA4" w:rsidRPr="0062065A">
        <w:rPr>
          <w:rFonts w:cs="Verdana"/>
          <w:lang w:bidi="en-US"/>
        </w:rPr>
        <w:t>, en su lista definitiva de declarantes,</w:t>
      </w:r>
      <w:r w:rsidR="00142DF5" w:rsidRPr="0062065A">
        <w:rPr>
          <w:rFonts w:cs="Verdana"/>
          <w:lang w:bidi="en-US"/>
        </w:rPr>
        <w:t xml:space="preserve"> ofrecieron las declaraciones del señor Matthew Anderson y la señora Rocío Samayoa Bran</w:t>
      </w:r>
      <w:r w:rsidR="00946A98" w:rsidRPr="0062065A">
        <w:rPr>
          <w:rFonts w:cs="Verdana"/>
          <w:lang w:bidi="en-US"/>
        </w:rPr>
        <w:t>, en calidad de testigos.</w:t>
      </w:r>
    </w:p>
    <w:p w:rsidR="00142DF5" w:rsidRPr="00142DF5" w:rsidRDefault="00142DF5" w:rsidP="00142DF5">
      <w:pPr>
        <w:pStyle w:val="BodyTextIndent"/>
        <w:tabs>
          <w:tab w:val="left" w:pos="0"/>
        </w:tabs>
        <w:spacing w:after="0"/>
        <w:ind w:left="0"/>
        <w:rPr>
          <w:rFonts w:cs="Verdana"/>
          <w:b/>
          <w:lang w:bidi="en-US"/>
        </w:rPr>
      </w:pPr>
    </w:p>
    <w:p w:rsidR="00BC0FE9" w:rsidRDefault="006E16F2" w:rsidP="005735AE">
      <w:pPr>
        <w:pStyle w:val="BodyTextIndent"/>
        <w:numPr>
          <w:ilvl w:val="0"/>
          <w:numId w:val="1"/>
        </w:numPr>
        <w:tabs>
          <w:tab w:val="left" w:pos="0"/>
          <w:tab w:val="num" w:pos="720"/>
        </w:tabs>
        <w:spacing w:after="0"/>
        <w:ind w:left="0"/>
        <w:rPr>
          <w:rFonts w:cs="Verdana"/>
          <w:lang w:bidi="en-US"/>
        </w:rPr>
      </w:pPr>
      <w:r>
        <w:rPr>
          <w:rFonts w:cs="Verdana"/>
          <w:lang w:bidi="en-US"/>
        </w:rPr>
        <w:t xml:space="preserve">Al respecto, el </w:t>
      </w:r>
      <w:r w:rsidRPr="00852038">
        <w:rPr>
          <w:rFonts w:cs="Verdana"/>
          <w:b/>
          <w:i/>
          <w:lang w:bidi="en-US"/>
        </w:rPr>
        <w:t>Estado</w:t>
      </w:r>
      <w:r>
        <w:rPr>
          <w:rFonts w:cs="Verdana"/>
          <w:lang w:bidi="en-US"/>
        </w:rPr>
        <w:t xml:space="preserve"> </w:t>
      </w:r>
      <w:r w:rsidR="007A1B29">
        <w:rPr>
          <w:rFonts w:cs="Verdana"/>
          <w:lang w:bidi="en-US"/>
        </w:rPr>
        <w:t>solicitó a la Corte que</w:t>
      </w:r>
      <w:r>
        <w:rPr>
          <w:rFonts w:cs="Verdana"/>
          <w:lang w:bidi="en-US"/>
        </w:rPr>
        <w:t xml:space="preserve">, </w:t>
      </w:r>
      <w:r w:rsidR="00350E4D">
        <w:rPr>
          <w:rFonts w:cs="Verdana"/>
          <w:lang w:bidi="en-US"/>
        </w:rPr>
        <w:t xml:space="preserve">(i) </w:t>
      </w:r>
      <w:r>
        <w:rPr>
          <w:rFonts w:cs="Verdana"/>
          <w:lang w:bidi="en-US"/>
        </w:rPr>
        <w:t xml:space="preserve">teniendo en cuenta que todas las declaraciones de las </w:t>
      </w:r>
      <w:r w:rsidR="00706F3B">
        <w:rPr>
          <w:rFonts w:cs="Verdana"/>
          <w:lang w:bidi="en-US"/>
        </w:rPr>
        <w:t>presuntas víctimas</w:t>
      </w:r>
      <w:r>
        <w:rPr>
          <w:rFonts w:cs="Verdana"/>
          <w:lang w:bidi="en-US"/>
        </w:rPr>
        <w:t xml:space="preserve"> ofrecidas por los representantes se pronunciar</w:t>
      </w:r>
      <w:r w:rsidR="007A1B29">
        <w:rPr>
          <w:rFonts w:cs="Verdana"/>
          <w:lang w:bidi="en-US"/>
        </w:rPr>
        <w:t>án sobr</w:t>
      </w:r>
      <w:r w:rsidR="00350E4D">
        <w:rPr>
          <w:rFonts w:cs="Verdana"/>
          <w:lang w:bidi="en-US"/>
        </w:rPr>
        <w:t>e temas coincidentes;</w:t>
      </w:r>
      <w:r>
        <w:rPr>
          <w:rFonts w:cs="Verdana"/>
          <w:lang w:bidi="en-US"/>
        </w:rPr>
        <w:t xml:space="preserve"> </w:t>
      </w:r>
      <w:r w:rsidR="00350E4D">
        <w:rPr>
          <w:rFonts w:cs="Verdana"/>
          <w:lang w:bidi="en-US"/>
        </w:rPr>
        <w:t xml:space="preserve">(ii) </w:t>
      </w:r>
      <w:r>
        <w:rPr>
          <w:rFonts w:cs="Verdana"/>
          <w:lang w:bidi="en-US"/>
        </w:rPr>
        <w:t>que la señora Olga Alicia Paz ha sido propuesta para realizar un peritaje sobre los efectos psicosociales que el VIH/SIDA</w:t>
      </w:r>
      <w:r w:rsidR="00AE30E2">
        <w:rPr>
          <w:rFonts w:cs="Verdana"/>
          <w:lang w:bidi="en-US"/>
        </w:rPr>
        <w:t>,</w:t>
      </w:r>
      <w:r>
        <w:rPr>
          <w:rFonts w:cs="Verdana"/>
          <w:lang w:bidi="en-US"/>
        </w:rPr>
        <w:t xml:space="preserve"> y la falta de una atención integral tiene en general, y en particular en </w:t>
      </w:r>
      <w:r w:rsidR="00350E4D">
        <w:rPr>
          <w:rFonts w:cs="Verdana"/>
          <w:lang w:bidi="en-US"/>
        </w:rPr>
        <w:t xml:space="preserve">las </w:t>
      </w:r>
      <w:r w:rsidR="005C3FA3">
        <w:rPr>
          <w:rFonts w:cs="Verdana"/>
          <w:lang w:bidi="en-US"/>
        </w:rPr>
        <w:t>presuntas víctimas</w:t>
      </w:r>
      <w:r w:rsidR="00350E4D">
        <w:rPr>
          <w:rFonts w:cs="Verdana"/>
          <w:lang w:bidi="en-US"/>
        </w:rPr>
        <w:t xml:space="preserve"> del caso;</w:t>
      </w:r>
      <w:r>
        <w:rPr>
          <w:rFonts w:cs="Verdana"/>
          <w:lang w:bidi="en-US"/>
        </w:rPr>
        <w:t xml:space="preserve"> </w:t>
      </w:r>
      <w:r w:rsidR="00350E4D">
        <w:rPr>
          <w:rFonts w:cs="Verdana"/>
          <w:lang w:bidi="en-US"/>
        </w:rPr>
        <w:t xml:space="preserve">(iii) </w:t>
      </w:r>
      <w:r w:rsidR="007A1B29">
        <w:rPr>
          <w:rFonts w:cs="Verdana"/>
          <w:lang w:bidi="en-US"/>
        </w:rPr>
        <w:t>que los representantes presentaron información</w:t>
      </w:r>
      <w:r w:rsidR="00350E4D">
        <w:rPr>
          <w:rFonts w:cs="Verdana"/>
          <w:lang w:bidi="en-US"/>
        </w:rPr>
        <w:t xml:space="preserve"> en su escrito de argumentos y pruebas</w:t>
      </w:r>
      <w:r w:rsidR="007A1B29">
        <w:rPr>
          <w:rFonts w:cs="Verdana"/>
          <w:lang w:bidi="en-US"/>
        </w:rPr>
        <w:t xml:space="preserve"> sobre la situación de salud de las </w:t>
      </w:r>
      <w:r w:rsidR="005C3FA3">
        <w:rPr>
          <w:rFonts w:cs="Verdana"/>
          <w:lang w:bidi="en-US"/>
        </w:rPr>
        <w:t>presuntas víctimas</w:t>
      </w:r>
      <w:r w:rsidR="007A1B29">
        <w:rPr>
          <w:rFonts w:cs="Verdana"/>
          <w:lang w:bidi="en-US"/>
        </w:rPr>
        <w:t xml:space="preserve"> del caso y sus per</w:t>
      </w:r>
      <w:r w:rsidR="00350E4D">
        <w:rPr>
          <w:rFonts w:cs="Verdana"/>
          <w:lang w:bidi="en-US"/>
        </w:rPr>
        <w:t>files socioeconómico y familiar;</w:t>
      </w:r>
      <w:r w:rsidR="007A1B29">
        <w:rPr>
          <w:rFonts w:cs="Verdana"/>
          <w:lang w:bidi="en-US"/>
        </w:rPr>
        <w:t xml:space="preserve"> y </w:t>
      </w:r>
      <w:r w:rsidR="00350E4D">
        <w:rPr>
          <w:rFonts w:cs="Verdana"/>
          <w:lang w:bidi="en-US"/>
        </w:rPr>
        <w:t xml:space="preserve">(iv) </w:t>
      </w:r>
      <w:r w:rsidR="007A1B29">
        <w:rPr>
          <w:rFonts w:cs="Verdana"/>
          <w:lang w:bidi="en-US"/>
        </w:rPr>
        <w:t xml:space="preserve">atendiendo al principio de economía procesal, limite a tres personas las declaraciones de las </w:t>
      </w:r>
      <w:r w:rsidR="005C3FA3">
        <w:rPr>
          <w:rFonts w:cs="Verdana"/>
          <w:lang w:bidi="en-US"/>
        </w:rPr>
        <w:t>presuntas víctimas</w:t>
      </w:r>
      <w:r w:rsidR="007A1B29">
        <w:rPr>
          <w:rFonts w:cs="Verdana"/>
          <w:lang w:bidi="en-US"/>
        </w:rPr>
        <w:t xml:space="preserve"> o bien que estas sean realizadas por</w:t>
      </w:r>
      <w:r w:rsidR="00AE30E2">
        <w:rPr>
          <w:rFonts w:cs="Verdana"/>
          <w:lang w:bidi="en-US"/>
        </w:rPr>
        <w:t xml:space="preserve"> declaración jurada</w:t>
      </w:r>
      <w:r w:rsidR="007A1B29">
        <w:rPr>
          <w:rFonts w:cs="Verdana"/>
          <w:lang w:bidi="en-US"/>
        </w:rPr>
        <w:t xml:space="preserve"> </w:t>
      </w:r>
      <w:r w:rsidR="00AE30E2">
        <w:rPr>
          <w:rFonts w:cs="Verdana"/>
          <w:lang w:bidi="en-US"/>
        </w:rPr>
        <w:t>(</w:t>
      </w:r>
      <w:r w:rsidR="007A1B29">
        <w:rPr>
          <w:rFonts w:cs="Verdana"/>
          <w:i/>
          <w:lang w:bidi="en-US"/>
        </w:rPr>
        <w:t>affidavit</w:t>
      </w:r>
      <w:r w:rsidR="00AE30E2">
        <w:rPr>
          <w:rFonts w:cs="Verdana"/>
          <w:lang w:bidi="en-US"/>
        </w:rPr>
        <w:t>)</w:t>
      </w:r>
      <w:r w:rsidR="007A1B29">
        <w:rPr>
          <w:rFonts w:cs="Verdana"/>
          <w:i/>
          <w:lang w:bidi="en-US"/>
        </w:rPr>
        <w:t>.</w:t>
      </w:r>
      <w:r w:rsidR="007A1B29">
        <w:rPr>
          <w:rFonts w:cs="Verdana"/>
          <w:lang w:bidi="en-US"/>
        </w:rPr>
        <w:t xml:space="preserve"> </w:t>
      </w:r>
      <w:r w:rsidR="00F50398">
        <w:rPr>
          <w:rFonts w:cs="Verdana"/>
          <w:lang w:bidi="en-US"/>
        </w:rPr>
        <w:t xml:space="preserve">Por otro lado, en lo que respecta a las declaraciones del señor Matthew </w:t>
      </w:r>
      <w:r w:rsidR="00F50398">
        <w:rPr>
          <w:rFonts w:cs="Verdana"/>
          <w:lang w:bidi="en-US"/>
        </w:rPr>
        <w:lastRenderedPageBreak/>
        <w:t xml:space="preserve">Anderson y </w:t>
      </w:r>
      <w:r w:rsidR="00AE30E2">
        <w:rPr>
          <w:rFonts w:cs="Verdana"/>
          <w:lang w:bidi="en-US"/>
        </w:rPr>
        <w:t xml:space="preserve">de </w:t>
      </w:r>
      <w:r w:rsidR="00F50398">
        <w:rPr>
          <w:rFonts w:cs="Verdana"/>
          <w:lang w:bidi="en-US"/>
        </w:rPr>
        <w:t>la señora Rocío Samayoa Bran, el Estado solicitó al Tribunal que limite la declaración a un solo testimonio, dada la similitud del objeto de ambas declaraciones.</w:t>
      </w:r>
    </w:p>
    <w:p w:rsidR="00C617B3" w:rsidRPr="00C617B3" w:rsidRDefault="00C617B3" w:rsidP="00C617B3">
      <w:pPr>
        <w:rPr>
          <w:rFonts w:cs="Verdana"/>
          <w:lang w:bidi="en-US"/>
        </w:rPr>
      </w:pPr>
    </w:p>
    <w:p w:rsidR="00C617B3" w:rsidRPr="001D09DB" w:rsidRDefault="00C617B3" w:rsidP="001D09DB">
      <w:pPr>
        <w:pStyle w:val="BodyTextIndent"/>
        <w:numPr>
          <w:ilvl w:val="0"/>
          <w:numId w:val="1"/>
        </w:numPr>
        <w:tabs>
          <w:tab w:val="left" w:pos="0"/>
          <w:tab w:val="num" w:pos="720"/>
        </w:tabs>
        <w:spacing w:after="0"/>
        <w:ind w:left="0"/>
        <w:rPr>
          <w:rFonts w:cs="Verdana"/>
          <w:b/>
          <w:lang w:bidi="en-US"/>
        </w:rPr>
      </w:pPr>
      <w:r>
        <w:rPr>
          <w:rFonts w:cs="Verdana"/>
          <w:lang w:bidi="en-US"/>
        </w:rPr>
        <w:t xml:space="preserve">La </w:t>
      </w:r>
      <w:r>
        <w:rPr>
          <w:rFonts w:cs="Verdana"/>
          <w:b/>
          <w:i/>
          <w:lang w:bidi="en-US"/>
        </w:rPr>
        <w:t xml:space="preserve">Comisión </w:t>
      </w:r>
      <w:r>
        <w:rPr>
          <w:rFonts w:cs="Verdana"/>
          <w:lang w:bidi="en-US"/>
        </w:rPr>
        <w:t>informó que no tiene observaciones a formular respecto a las listas definit</w:t>
      </w:r>
      <w:r w:rsidR="001D09DB">
        <w:rPr>
          <w:rFonts w:cs="Verdana"/>
          <w:lang w:bidi="en-US"/>
        </w:rPr>
        <w:t>ivas presentadas por las partes</w:t>
      </w:r>
      <w:r w:rsidRPr="001D09DB">
        <w:rPr>
          <w:rFonts w:cs="Verdana"/>
          <w:lang w:bidi="en-US"/>
        </w:rPr>
        <w:t>.</w:t>
      </w:r>
    </w:p>
    <w:p w:rsidR="00431A17" w:rsidRPr="00062B44" w:rsidRDefault="00431A17" w:rsidP="005735AE">
      <w:pPr>
        <w:pStyle w:val="BodyTextIndent"/>
        <w:tabs>
          <w:tab w:val="left" w:pos="0"/>
          <w:tab w:val="num" w:pos="720"/>
        </w:tabs>
        <w:spacing w:after="0"/>
        <w:ind w:left="0"/>
        <w:rPr>
          <w:rFonts w:cs="Verdana"/>
          <w:b/>
          <w:lang w:val="es-CR" w:bidi="en-US"/>
        </w:rPr>
      </w:pPr>
    </w:p>
    <w:p w:rsidR="00AE30E2" w:rsidRPr="00D30941" w:rsidRDefault="00AE106D" w:rsidP="0086146C">
      <w:pPr>
        <w:numPr>
          <w:ilvl w:val="0"/>
          <w:numId w:val="1"/>
        </w:numPr>
        <w:tabs>
          <w:tab w:val="num" w:pos="720"/>
        </w:tabs>
        <w:autoSpaceDE w:val="0"/>
        <w:autoSpaceDN w:val="0"/>
        <w:adjustRightInd w:val="0"/>
        <w:spacing w:after="0"/>
        <w:rPr>
          <w:bCs/>
          <w:iCs/>
          <w:szCs w:val="20"/>
          <w:lang w:val="es-CR"/>
        </w:rPr>
      </w:pPr>
      <w:r w:rsidRPr="00D30941">
        <w:rPr>
          <w:bCs/>
          <w:iCs/>
          <w:szCs w:val="20"/>
          <w:lang w:val="es-CR"/>
        </w:rPr>
        <w:t xml:space="preserve">En relación con lo anterior, </w:t>
      </w:r>
      <w:r w:rsidR="00331DD5" w:rsidRPr="00D30941">
        <w:rPr>
          <w:bCs/>
          <w:iCs/>
          <w:szCs w:val="20"/>
          <w:lang w:val="es-CR"/>
        </w:rPr>
        <w:t xml:space="preserve">en virtud de que el objeto de las declaraciones de </w:t>
      </w:r>
      <w:r w:rsidR="002D600F">
        <w:rPr>
          <w:bCs/>
          <w:iCs/>
          <w:szCs w:val="20"/>
          <w:lang w:val="es-CR"/>
        </w:rPr>
        <w:t xml:space="preserve">las </w:t>
      </w:r>
      <w:r w:rsidR="005C3FA3">
        <w:rPr>
          <w:bCs/>
          <w:iCs/>
          <w:szCs w:val="20"/>
          <w:lang w:val="es-CR"/>
        </w:rPr>
        <w:t>presuntas víctimas</w:t>
      </w:r>
      <w:r w:rsidR="00331DD5" w:rsidRPr="00D30941">
        <w:rPr>
          <w:bCs/>
          <w:iCs/>
          <w:szCs w:val="20"/>
          <w:lang w:val="es-CR"/>
        </w:rPr>
        <w:t xml:space="preserve"> ofrecidas por los representantes es </w:t>
      </w:r>
      <w:r w:rsidR="00AE30E2" w:rsidRPr="00D30941">
        <w:rPr>
          <w:bCs/>
          <w:iCs/>
          <w:szCs w:val="20"/>
          <w:lang w:val="es-CR"/>
        </w:rPr>
        <w:t xml:space="preserve">relevante para la resolución del presente caso, pero que son </w:t>
      </w:r>
      <w:r w:rsidR="00347AE4" w:rsidRPr="00D30941">
        <w:rPr>
          <w:bCs/>
          <w:iCs/>
          <w:szCs w:val="20"/>
          <w:lang w:val="es-CR"/>
        </w:rPr>
        <w:t>sustancialmente similar</w:t>
      </w:r>
      <w:r w:rsidR="00AE30E2" w:rsidRPr="00D30941">
        <w:rPr>
          <w:bCs/>
          <w:iCs/>
          <w:szCs w:val="20"/>
          <w:lang w:val="es-CR"/>
        </w:rPr>
        <w:t>es entre sí</w:t>
      </w:r>
      <w:r w:rsidR="00331DD5" w:rsidRPr="00D30941">
        <w:rPr>
          <w:bCs/>
          <w:iCs/>
          <w:szCs w:val="20"/>
          <w:lang w:val="es-CR"/>
        </w:rPr>
        <w:t>, y atendiendo al principio de economía procesal,</w:t>
      </w:r>
      <w:r w:rsidRPr="00D30941">
        <w:rPr>
          <w:bCs/>
          <w:iCs/>
          <w:szCs w:val="20"/>
          <w:lang w:val="es-CR"/>
        </w:rPr>
        <w:t xml:space="preserve"> el Presidente considera conveniente </w:t>
      </w:r>
      <w:r w:rsidR="00331DD5" w:rsidRPr="00D30941">
        <w:rPr>
          <w:bCs/>
          <w:iCs/>
          <w:szCs w:val="20"/>
          <w:lang w:val="es-CR"/>
        </w:rPr>
        <w:t>admitir las declaraciones</w:t>
      </w:r>
      <w:r w:rsidR="005059F9" w:rsidRPr="00D30941">
        <w:rPr>
          <w:bCs/>
          <w:iCs/>
          <w:szCs w:val="20"/>
          <w:lang w:val="es-CR"/>
        </w:rPr>
        <w:t xml:space="preserve"> </w:t>
      </w:r>
      <w:r w:rsidR="00357AE1" w:rsidRPr="00D30941">
        <w:rPr>
          <w:bCs/>
          <w:iCs/>
          <w:szCs w:val="20"/>
          <w:lang w:val="es-CR"/>
        </w:rPr>
        <w:t xml:space="preserve">de </w:t>
      </w:r>
      <w:r w:rsidR="00357AE1" w:rsidRPr="00D30941">
        <w:rPr>
          <w:rFonts w:cs="Arial-BoldMT"/>
          <w:bCs/>
          <w:szCs w:val="20"/>
          <w:lang w:val="es-CR" w:eastAsia="es-CR"/>
        </w:rPr>
        <w:t>Zoila Marina Perez Ruiz y de Luis Rolando Cuscúl Pivaral</w:t>
      </w:r>
      <w:r w:rsidR="005059F9" w:rsidRPr="00D30941">
        <w:rPr>
          <w:rFonts w:cs="Arial-BoldMT"/>
          <w:bCs/>
          <w:szCs w:val="20"/>
          <w:lang w:val="es-CR" w:eastAsia="es-CR"/>
        </w:rPr>
        <w:t xml:space="preserve"> para ser </w:t>
      </w:r>
      <w:r w:rsidR="00DC1A6D" w:rsidRPr="00D30941">
        <w:rPr>
          <w:rFonts w:cs="Arial-BoldMT"/>
          <w:bCs/>
          <w:szCs w:val="20"/>
          <w:lang w:val="es-CR" w:eastAsia="es-CR"/>
        </w:rPr>
        <w:t>rendidas</w:t>
      </w:r>
      <w:r w:rsidR="005059F9" w:rsidRPr="00D30941">
        <w:rPr>
          <w:rFonts w:cs="Arial-BoldMT"/>
          <w:bCs/>
          <w:szCs w:val="20"/>
          <w:lang w:val="es-CR" w:eastAsia="es-CR"/>
        </w:rPr>
        <w:t xml:space="preserve"> en audiencia pública</w:t>
      </w:r>
      <w:r w:rsidRPr="00D30941">
        <w:rPr>
          <w:bCs/>
          <w:iCs/>
          <w:szCs w:val="20"/>
          <w:lang w:val="es-CR"/>
        </w:rPr>
        <w:t xml:space="preserve">, y </w:t>
      </w:r>
      <w:r w:rsidR="00AE30E2" w:rsidRPr="00D30941">
        <w:rPr>
          <w:bCs/>
          <w:iCs/>
          <w:szCs w:val="20"/>
          <w:lang w:val="es-CR"/>
        </w:rPr>
        <w:t>admite</w:t>
      </w:r>
      <w:r w:rsidRPr="00D30941">
        <w:rPr>
          <w:bCs/>
          <w:iCs/>
          <w:szCs w:val="20"/>
          <w:lang w:val="es-CR"/>
        </w:rPr>
        <w:t xml:space="preserve"> las declaraciones de </w:t>
      </w:r>
      <w:r w:rsidRPr="00D30941">
        <w:rPr>
          <w:rFonts w:cs="Verdana"/>
          <w:szCs w:val="20"/>
          <w:lang w:bidi="en-US"/>
        </w:rPr>
        <w:t xml:space="preserve">Félix de Jesús Cabrera Morales, </w:t>
      </w:r>
      <w:r w:rsidRPr="00D30941">
        <w:rPr>
          <w:rFonts w:cs="Arial-BoldMT"/>
          <w:bCs/>
          <w:szCs w:val="20"/>
          <w:lang w:val="es-CR" w:eastAsia="es-CR"/>
        </w:rPr>
        <w:t xml:space="preserve">Sandra Lisbeth Zepeda Herrera, </w:t>
      </w:r>
      <w:r w:rsidRPr="00D30941">
        <w:rPr>
          <w:rFonts w:cs="Verdana"/>
          <w:lang w:bidi="en-US"/>
        </w:rPr>
        <w:t xml:space="preserve">Francisco Sop Quiej, Marina Martinez Sofoija, Carlos Fernando Coc Chajón, Luis Alberto Hernández Estrada y María Magdalena Ridas Mérida </w:t>
      </w:r>
      <w:r w:rsidR="00AE30E2" w:rsidRPr="00D30941">
        <w:rPr>
          <w:rFonts w:cs="Verdana"/>
          <w:lang w:bidi="en-US"/>
        </w:rPr>
        <w:t>para ser</w:t>
      </w:r>
      <w:r w:rsidRPr="00D30941">
        <w:rPr>
          <w:rFonts w:cs="Verdana"/>
          <w:lang w:bidi="en-US"/>
        </w:rPr>
        <w:t xml:space="preserve"> presentadas mediante declaración jurada (</w:t>
      </w:r>
      <w:r w:rsidRPr="00D30941">
        <w:rPr>
          <w:rFonts w:cs="Verdana"/>
          <w:i/>
          <w:lang w:bidi="en-US"/>
        </w:rPr>
        <w:t>affidavit</w:t>
      </w:r>
      <w:r w:rsidR="00AE30E2" w:rsidRPr="00D30941">
        <w:rPr>
          <w:rFonts w:cs="Verdana"/>
          <w:lang w:bidi="en-US"/>
        </w:rPr>
        <w:t>).</w:t>
      </w:r>
    </w:p>
    <w:p w:rsidR="00AE30E2" w:rsidRDefault="00AE30E2" w:rsidP="0086146C">
      <w:pPr>
        <w:pStyle w:val="ListParagraph"/>
        <w:spacing w:after="0"/>
        <w:rPr>
          <w:rFonts w:cs="Verdana"/>
          <w:lang w:bidi="en-US"/>
        </w:rPr>
      </w:pPr>
    </w:p>
    <w:p w:rsidR="004F5A1D" w:rsidRPr="00350E4D" w:rsidRDefault="00AE106D" w:rsidP="0086146C">
      <w:pPr>
        <w:numPr>
          <w:ilvl w:val="0"/>
          <w:numId w:val="1"/>
        </w:numPr>
        <w:tabs>
          <w:tab w:val="num" w:pos="720"/>
        </w:tabs>
        <w:autoSpaceDE w:val="0"/>
        <w:autoSpaceDN w:val="0"/>
        <w:adjustRightInd w:val="0"/>
        <w:spacing w:after="0"/>
        <w:rPr>
          <w:bCs/>
          <w:iCs/>
          <w:szCs w:val="20"/>
          <w:lang w:val="es-CR"/>
        </w:rPr>
      </w:pPr>
      <w:r w:rsidRPr="00350E4D">
        <w:rPr>
          <w:rFonts w:cs="Verdana"/>
          <w:lang w:bidi="en-US"/>
        </w:rPr>
        <w:t>Por otro lado,</w:t>
      </w:r>
      <w:r w:rsidR="00DE56DE" w:rsidRPr="00350E4D">
        <w:rPr>
          <w:rFonts w:cs="Verdana"/>
          <w:lang w:bidi="en-US"/>
        </w:rPr>
        <w:t xml:space="preserve"> el Presidente, con base en el artículo 46.1 del Reglamento</w:t>
      </w:r>
      <w:r w:rsidR="00AE30E2">
        <w:rPr>
          <w:rStyle w:val="FootnoteReference"/>
          <w:rFonts w:cs="Verdana"/>
          <w:lang w:bidi="en-US"/>
        </w:rPr>
        <w:footnoteReference w:id="11"/>
      </w:r>
      <w:r w:rsidR="00DE56DE" w:rsidRPr="00350E4D">
        <w:rPr>
          <w:rFonts w:cs="Verdana"/>
          <w:lang w:bidi="en-US"/>
        </w:rPr>
        <w:t>, admite el desistimiento del</w:t>
      </w:r>
      <w:r w:rsidRPr="00350E4D">
        <w:rPr>
          <w:rFonts w:cs="Verdana"/>
          <w:lang w:bidi="en-US"/>
        </w:rPr>
        <w:t xml:space="preserve"> </w:t>
      </w:r>
      <w:r w:rsidR="00DE56DE" w:rsidRPr="00350E4D">
        <w:rPr>
          <w:rFonts w:cs="Verdana"/>
          <w:lang w:bidi="en-US"/>
        </w:rPr>
        <w:t xml:space="preserve">testimonio de la </w:t>
      </w:r>
      <w:r w:rsidR="00350E4D" w:rsidRPr="00350E4D">
        <w:rPr>
          <w:rFonts w:cs="Verdana"/>
          <w:lang w:bidi="en-US"/>
        </w:rPr>
        <w:t>señora Ismerai Olivia Castañon.</w:t>
      </w:r>
      <w:r w:rsidR="00350E4D">
        <w:rPr>
          <w:rFonts w:cs="Verdana"/>
          <w:lang w:bidi="en-US"/>
        </w:rPr>
        <w:t xml:space="preserve"> </w:t>
      </w:r>
      <w:r w:rsidR="00DE56DE" w:rsidRPr="00350E4D">
        <w:rPr>
          <w:rFonts w:cs="Verdana"/>
          <w:lang w:bidi="en-US"/>
        </w:rPr>
        <w:t xml:space="preserve">Adicionalmente, </w:t>
      </w:r>
      <w:r w:rsidR="00AE30E2">
        <w:rPr>
          <w:rFonts w:cs="Verdana"/>
          <w:lang w:bidi="en-US"/>
        </w:rPr>
        <w:t>el Presidente considera</w:t>
      </w:r>
      <w:r w:rsidRPr="00350E4D">
        <w:rPr>
          <w:rFonts w:cs="Verdana"/>
          <w:lang w:bidi="en-US"/>
        </w:rPr>
        <w:t xml:space="preserve"> </w:t>
      </w:r>
      <w:r w:rsidR="00AE30E2">
        <w:rPr>
          <w:rFonts w:cs="Verdana"/>
          <w:lang w:bidi="en-US"/>
        </w:rPr>
        <w:t>pertinente el objeto de las declaraciones de los testigos ofrecidos por los representantes</w:t>
      </w:r>
      <w:r w:rsidR="00811691">
        <w:rPr>
          <w:rFonts w:cs="Verdana"/>
          <w:lang w:bidi="en-US"/>
        </w:rPr>
        <w:t xml:space="preserve">, por lo que </w:t>
      </w:r>
      <w:r w:rsidR="00B41156">
        <w:rPr>
          <w:rFonts w:cs="Verdana"/>
          <w:lang w:bidi="en-US"/>
        </w:rPr>
        <w:t>admite</w:t>
      </w:r>
      <w:r w:rsidR="00811691">
        <w:rPr>
          <w:rFonts w:cs="Verdana"/>
          <w:lang w:bidi="en-US"/>
        </w:rPr>
        <w:t xml:space="preserve"> las declaraciones de los testigos </w:t>
      </w:r>
      <w:r w:rsidR="00811691" w:rsidRPr="00350E4D">
        <w:rPr>
          <w:rFonts w:cs="Verdana"/>
          <w:szCs w:val="20"/>
          <w:lang w:bidi="en-US"/>
        </w:rPr>
        <w:t>Rocío Samayoa Bran</w:t>
      </w:r>
      <w:r w:rsidR="00811691">
        <w:rPr>
          <w:rFonts w:cs="Verdana"/>
          <w:szCs w:val="20"/>
          <w:lang w:bidi="en-US"/>
        </w:rPr>
        <w:t xml:space="preserve"> y </w:t>
      </w:r>
      <w:r w:rsidR="00811691" w:rsidRPr="00350E4D">
        <w:rPr>
          <w:rFonts w:cs="Verdana"/>
          <w:szCs w:val="20"/>
          <w:lang w:bidi="en-US"/>
        </w:rPr>
        <w:t>Matthew Anderson</w:t>
      </w:r>
      <w:r w:rsidRPr="00350E4D">
        <w:rPr>
          <w:rFonts w:cs="Verdana"/>
          <w:szCs w:val="20"/>
          <w:lang w:bidi="en-US"/>
        </w:rPr>
        <w:t>.</w:t>
      </w:r>
    </w:p>
    <w:p w:rsidR="00BC0FE9" w:rsidRPr="009550F2" w:rsidRDefault="004F5A1D" w:rsidP="0086146C">
      <w:pPr>
        <w:shd w:val="clear" w:color="auto" w:fill="FFFFFF"/>
        <w:autoSpaceDE w:val="0"/>
        <w:autoSpaceDN w:val="0"/>
        <w:adjustRightInd w:val="0"/>
        <w:spacing w:after="0"/>
        <w:rPr>
          <w:rFonts w:ascii="Arial" w:hAnsi="Arial" w:cs="Arial"/>
          <w:color w:val="FF0000"/>
          <w:sz w:val="22"/>
          <w:szCs w:val="22"/>
          <w:lang w:val="es-CR" w:eastAsia="es-CR"/>
        </w:rPr>
      </w:pPr>
      <w:r w:rsidRPr="009550F2">
        <w:rPr>
          <w:rFonts w:ascii="Arial" w:hAnsi="Arial" w:cs="Arial"/>
          <w:color w:val="FF0000"/>
          <w:sz w:val="22"/>
          <w:szCs w:val="22"/>
          <w:lang w:val="es-CR" w:eastAsia="es-CR"/>
        </w:rPr>
        <w:t xml:space="preserve"> </w:t>
      </w:r>
    </w:p>
    <w:p w:rsidR="00431A17" w:rsidRPr="00801CD7" w:rsidRDefault="00CE4922" w:rsidP="0086146C">
      <w:pPr>
        <w:numPr>
          <w:ilvl w:val="0"/>
          <w:numId w:val="1"/>
        </w:numPr>
        <w:tabs>
          <w:tab w:val="num" w:pos="720"/>
        </w:tabs>
        <w:autoSpaceDE w:val="0"/>
        <w:autoSpaceDN w:val="0"/>
        <w:adjustRightInd w:val="0"/>
        <w:spacing w:after="0"/>
        <w:rPr>
          <w:bCs/>
          <w:iCs/>
          <w:szCs w:val="20"/>
          <w:lang w:val="es-CR"/>
        </w:rPr>
      </w:pPr>
      <w:r w:rsidRPr="00801CD7">
        <w:rPr>
          <w:lang w:val="es-CR"/>
        </w:rPr>
        <w:t>El objeto y la modalidad de las declaraciones se determina en la parte resolutiva de la presente Resolución (</w:t>
      </w:r>
      <w:r w:rsidRPr="00801CD7">
        <w:rPr>
          <w:i/>
          <w:iCs/>
          <w:lang w:val="es-CR"/>
        </w:rPr>
        <w:t>infra</w:t>
      </w:r>
      <w:r w:rsidRPr="00801CD7">
        <w:rPr>
          <w:lang w:val="es-CR"/>
        </w:rPr>
        <w:t xml:space="preserve"> puntos resolutivos </w:t>
      </w:r>
      <w:r w:rsidR="006D25C9">
        <w:rPr>
          <w:lang w:val="es-CR"/>
        </w:rPr>
        <w:t>1, 2 y 3</w:t>
      </w:r>
      <w:r w:rsidRPr="00801CD7">
        <w:rPr>
          <w:lang w:val="es-CR"/>
        </w:rPr>
        <w:t>).</w:t>
      </w:r>
    </w:p>
    <w:p w:rsidR="004F5A1D" w:rsidRDefault="004F5A1D" w:rsidP="005735AE">
      <w:pPr>
        <w:pStyle w:val="BodyTextIndent"/>
        <w:tabs>
          <w:tab w:val="left" w:pos="0"/>
          <w:tab w:val="left" w:pos="810"/>
        </w:tabs>
        <w:spacing w:after="0"/>
        <w:ind w:left="0"/>
        <w:rPr>
          <w:rFonts w:cs="Verdana"/>
          <w:lang w:val="es-CR" w:bidi="en-US"/>
        </w:rPr>
      </w:pPr>
    </w:p>
    <w:p w:rsidR="00347AE4" w:rsidRDefault="00347AE4" w:rsidP="005735AE">
      <w:pPr>
        <w:pStyle w:val="BodyTextIndent"/>
        <w:tabs>
          <w:tab w:val="left" w:pos="0"/>
          <w:tab w:val="left" w:pos="810"/>
        </w:tabs>
        <w:spacing w:after="0"/>
        <w:ind w:left="0"/>
        <w:rPr>
          <w:rFonts w:cs="Verdana"/>
          <w:lang w:val="es-CR" w:bidi="en-US"/>
        </w:rPr>
      </w:pPr>
      <w:r w:rsidRPr="00AD732C">
        <w:rPr>
          <w:rFonts w:cs="Verdana"/>
          <w:i/>
          <w:lang w:bidi="en-US"/>
        </w:rPr>
        <w:t xml:space="preserve">B.2) Objeciones del Estado respecto de los dictámenes periciales </w:t>
      </w:r>
      <w:r w:rsidR="00D30941">
        <w:rPr>
          <w:rFonts w:cs="Verdana"/>
          <w:i/>
          <w:lang w:bidi="en-US"/>
        </w:rPr>
        <w:t>y las declaraciones a título informativo ofrecida</w:t>
      </w:r>
      <w:r w:rsidRPr="00AD732C">
        <w:rPr>
          <w:rFonts w:cs="Verdana"/>
          <w:i/>
          <w:lang w:bidi="en-US"/>
        </w:rPr>
        <w:t>s por los representantes</w:t>
      </w:r>
    </w:p>
    <w:p w:rsidR="00347AE4" w:rsidRDefault="00347AE4" w:rsidP="005735AE">
      <w:pPr>
        <w:pStyle w:val="BodyTextIndent"/>
        <w:tabs>
          <w:tab w:val="left" w:pos="0"/>
          <w:tab w:val="left" w:pos="810"/>
        </w:tabs>
        <w:spacing w:after="0"/>
        <w:ind w:left="0"/>
        <w:rPr>
          <w:rFonts w:cs="Verdana"/>
          <w:lang w:val="es-CR" w:bidi="en-US"/>
        </w:rPr>
      </w:pPr>
    </w:p>
    <w:p w:rsidR="004301F3" w:rsidRPr="00451037" w:rsidRDefault="00B03605" w:rsidP="004301F3">
      <w:pPr>
        <w:pStyle w:val="BodyTextIndent"/>
        <w:numPr>
          <w:ilvl w:val="0"/>
          <w:numId w:val="1"/>
        </w:numPr>
        <w:tabs>
          <w:tab w:val="left" w:pos="0"/>
          <w:tab w:val="left" w:pos="810"/>
        </w:tabs>
        <w:autoSpaceDE w:val="0"/>
        <w:autoSpaceDN w:val="0"/>
        <w:adjustRightInd w:val="0"/>
        <w:spacing w:after="0"/>
        <w:ind w:left="0"/>
        <w:rPr>
          <w:bCs/>
          <w:iCs/>
          <w:szCs w:val="20"/>
          <w:lang w:val="es-CR"/>
        </w:rPr>
      </w:pPr>
      <w:r w:rsidRPr="00451037">
        <w:rPr>
          <w:rFonts w:cs="Verdana"/>
          <w:lang w:val="es-CR" w:bidi="en-US"/>
        </w:rPr>
        <w:t>L</w:t>
      </w:r>
      <w:r w:rsidR="004301F3" w:rsidRPr="00451037">
        <w:rPr>
          <w:rFonts w:cs="Verdana"/>
          <w:lang w:val="es-CR" w:bidi="en-US"/>
        </w:rPr>
        <w:t xml:space="preserve">os </w:t>
      </w:r>
      <w:r w:rsidR="004301F3" w:rsidRPr="00451037">
        <w:rPr>
          <w:rFonts w:cs="Verdana"/>
          <w:b/>
          <w:i/>
          <w:lang w:val="es-CR" w:bidi="en-US"/>
        </w:rPr>
        <w:t>representantes</w:t>
      </w:r>
      <w:r w:rsidR="00AD732C">
        <w:rPr>
          <w:rFonts w:cs="Verdana"/>
          <w:lang w:val="es-CR" w:bidi="en-US"/>
        </w:rPr>
        <w:t>, en su escrito de solicitudes y argumentos,</w:t>
      </w:r>
      <w:r w:rsidR="004301F3" w:rsidRPr="00451037">
        <w:rPr>
          <w:rFonts w:cs="Verdana"/>
          <w:lang w:val="es-CR" w:bidi="en-US"/>
        </w:rPr>
        <w:t xml:space="preserve"> ofrecieron las declaraciones periciales de la señora Alicia Ely Yamin</w:t>
      </w:r>
      <w:r w:rsidR="00852038">
        <w:rPr>
          <w:rStyle w:val="FootnoteReference"/>
          <w:rFonts w:cs="Verdana"/>
          <w:lang w:val="es-CR" w:bidi="en-US"/>
        </w:rPr>
        <w:footnoteReference w:id="12"/>
      </w:r>
      <w:r w:rsidR="004301F3" w:rsidRPr="00451037">
        <w:rPr>
          <w:rFonts w:cs="Verdana"/>
          <w:lang w:val="es-CR" w:bidi="en-US"/>
        </w:rPr>
        <w:t>, del señor Antonio Solano Chinchilla</w:t>
      </w:r>
      <w:r w:rsidR="00852038">
        <w:rPr>
          <w:rStyle w:val="FootnoteReference"/>
          <w:rFonts w:cs="Verdana"/>
          <w:lang w:val="es-CR" w:bidi="en-US"/>
        </w:rPr>
        <w:footnoteReference w:id="13"/>
      </w:r>
      <w:r w:rsidR="004301F3" w:rsidRPr="00451037">
        <w:rPr>
          <w:rFonts w:cs="Verdana"/>
          <w:lang w:val="es-CR" w:bidi="en-US"/>
        </w:rPr>
        <w:t>, de la señora Olga Alicia Paz</w:t>
      </w:r>
      <w:r w:rsidR="00852038">
        <w:rPr>
          <w:rStyle w:val="FootnoteReference"/>
          <w:rFonts w:cs="Verdana"/>
          <w:lang w:val="es-CR" w:bidi="en-US"/>
        </w:rPr>
        <w:footnoteReference w:id="14"/>
      </w:r>
      <w:r w:rsidR="004301F3" w:rsidRPr="00451037">
        <w:rPr>
          <w:rFonts w:cs="Verdana"/>
          <w:lang w:val="es-CR" w:bidi="en-US"/>
        </w:rPr>
        <w:t xml:space="preserve"> y de un exp</w:t>
      </w:r>
      <w:r w:rsidR="00451037" w:rsidRPr="00451037">
        <w:rPr>
          <w:rFonts w:cs="Verdana"/>
          <w:lang w:val="es-CR" w:bidi="en-US"/>
        </w:rPr>
        <w:t xml:space="preserve">erto en tratamiento de VIH/SIDA en </w:t>
      </w:r>
      <w:r w:rsidR="00451037" w:rsidRPr="00451037">
        <w:rPr>
          <w:rFonts w:cs="Verdana"/>
          <w:lang w:val="es-CR" w:bidi="en-US"/>
        </w:rPr>
        <w:lastRenderedPageBreak/>
        <w:t>Guatemala</w:t>
      </w:r>
      <w:r w:rsidR="00451037">
        <w:rPr>
          <w:rStyle w:val="FootnoteReference"/>
          <w:rFonts w:cs="Verdana"/>
          <w:lang w:val="es-CR" w:bidi="en-US"/>
        </w:rPr>
        <w:footnoteReference w:id="15"/>
      </w:r>
      <w:r w:rsidR="00451037" w:rsidRPr="00451037">
        <w:rPr>
          <w:rFonts w:cs="Verdana"/>
          <w:lang w:val="es-CR" w:bidi="en-US"/>
        </w:rPr>
        <w:t>.</w:t>
      </w:r>
      <w:r w:rsidR="00451037">
        <w:rPr>
          <w:rFonts w:cs="Verdana"/>
          <w:lang w:val="es-CR" w:bidi="en-US"/>
        </w:rPr>
        <w:t xml:space="preserve"> </w:t>
      </w:r>
      <w:r w:rsidR="004301F3" w:rsidRPr="00451037">
        <w:rPr>
          <w:bCs/>
          <w:iCs/>
          <w:szCs w:val="20"/>
          <w:lang w:val="es-CR"/>
        </w:rPr>
        <w:t>Asimismo, ofrecieron las declaraciones a t</w:t>
      </w:r>
      <w:r w:rsidR="00B32462" w:rsidRPr="00451037">
        <w:rPr>
          <w:bCs/>
          <w:iCs/>
          <w:szCs w:val="20"/>
          <w:lang w:val="es-CR"/>
        </w:rPr>
        <w:t>ítulo informativo del señor Eduardo Arathoon Pérez</w:t>
      </w:r>
      <w:r w:rsidR="00451037">
        <w:rPr>
          <w:rStyle w:val="FootnoteReference"/>
          <w:bCs/>
          <w:iCs/>
          <w:szCs w:val="20"/>
          <w:lang w:val="es-CR"/>
        </w:rPr>
        <w:footnoteReference w:id="16"/>
      </w:r>
      <w:r w:rsidR="00AD732C">
        <w:rPr>
          <w:bCs/>
          <w:iCs/>
          <w:szCs w:val="20"/>
          <w:lang w:val="es-CR"/>
        </w:rPr>
        <w:t>,</w:t>
      </w:r>
      <w:r w:rsidR="00B32462" w:rsidRPr="00451037">
        <w:rPr>
          <w:bCs/>
          <w:iCs/>
          <w:szCs w:val="20"/>
          <w:lang w:val="es-CR"/>
        </w:rPr>
        <w:t xml:space="preserve"> y de la señora Cristina Calderón Melgar</w:t>
      </w:r>
      <w:r w:rsidR="00451037">
        <w:rPr>
          <w:rStyle w:val="FootnoteReference"/>
          <w:bCs/>
          <w:iCs/>
          <w:szCs w:val="20"/>
          <w:lang w:val="es-CR"/>
        </w:rPr>
        <w:footnoteReference w:id="17"/>
      </w:r>
      <w:r w:rsidR="00451037">
        <w:rPr>
          <w:bCs/>
          <w:iCs/>
          <w:szCs w:val="20"/>
          <w:lang w:val="es-CR"/>
        </w:rPr>
        <w:t>.</w:t>
      </w:r>
    </w:p>
    <w:p w:rsidR="00B32462" w:rsidRPr="00B32462" w:rsidRDefault="00B32462" w:rsidP="00B32462">
      <w:pPr>
        <w:autoSpaceDE w:val="0"/>
        <w:autoSpaceDN w:val="0"/>
        <w:adjustRightInd w:val="0"/>
        <w:spacing w:after="0"/>
        <w:rPr>
          <w:bCs/>
          <w:iCs/>
          <w:szCs w:val="20"/>
          <w:lang w:val="es-CR"/>
        </w:rPr>
      </w:pPr>
    </w:p>
    <w:p w:rsidR="0019549D" w:rsidRPr="00B32462" w:rsidRDefault="00B32462" w:rsidP="0019549D">
      <w:pPr>
        <w:numPr>
          <w:ilvl w:val="0"/>
          <w:numId w:val="1"/>
        </w:numPr>
        <w:tabs>
          <w:tab w:val="left" w:pos="0"/>
          <w:tab w:val="num" w:pos="720"/>
          <w:tab w:val="left" w:pos="810"/>
        </w:tabs>
        <w:autoSpaceDE w:val="0"/>
        <w:autoSpaceDN w:val="0"/>
        <w:adjustRightInd w:val="0"/>
        <w:spacing w:after="0"/>
        <w:rPr>
          <w:color w:val="FF0000"/>
          <w:szCs w:val="20"/>
          <w:lang w:val="es-AR"/>
        </w:rPr>
      </w:pPr>
      <w:r>
        <w:rPr>
          <w:szCs w:val="20"/>
          <w:lang w:val="es-AR"/>
        </w:rPr>
        <w:t xml:space="preserve">El </w:t>
      </w:r>
      <w:r w:rsidRPr="00451037">
        <w:rPr>
          <w:b/>
          <w:i/>
          <w:szCs w:val="20"/>
          <w:lang w:val="es-AR"/>
        </w:rPr>
        <w:t>Estado</w:t>
      </w:r>
      <w:r>
        <w:rPr>
          <w:szCs w:val="20"/>
          <w:lang w:val="es-AR"/>
        </w:rPr>
        <w:t xml:space="preserve"> alegó que la pericia propuesta de la señora </w:t>
      </w:r>
      <w:r w:rsidRPr="00B32462">
        <w:rPr>
          <w:rFonts w:cs="Arial"/>
          <w:bCs/>
          <w:szCs w:val="20"/>
          <w:lang w:val="es-CR" w:eastAsia="es-CR"/>
        </w:rPr>
        <w:t>Alicia Ely Yamin</w:t>
      </w:r>
      <w:r>
        <w:rPr>
          <w:rFonts w:cs="Arial"/>
          <w:bCs/>
          <w:szCs w:val="20"/>
          <w:lang w:val="es-CR" w:eastAsia="es-CR"/>
        </w:rPr>
        <w:t xml:space="preserve"> no brindará elementos adicionales a aquellos que ya fueron desarrollados por los representantes en su escrito de solicitudes y argumentos. Por otro lado, respecto a la declaración a título informativo del señor </w:t>
      </w:r>
      <w:r w:rsidRPr="00451037">
        <w:rPr>
          <w:rFonts w:cs="Arial"/>
          <w:bCs/>
          <w:szCs w:val="20"/>
          <w:lang w:val="es-CR" w:eastAsia="es-CR"/>
        </w:rPr>
        <w:t>Eduardo Arathoon Pérez</w:t>
      </w:r>
      <w:r w:rsidR="00AD732C">
        <w:rPr>
          <w:rFonts w:cs="Arial"/>
          <w:bCs/>
          <w:szCs w:val="20"/>
          <w:lang w:val="es-CR" w:eastAsia="es-CR"/>
        </w:rPr>
        <w:t>,</w:t>
      </w:r>
      <w:r w:rsidRPr="00451037">
        <w:rPr>
          <w:rFonts w:cs="Arial"/>
          <w:bCs/>
          <w:szCs w:val="20"/>
          <w:lang w:val="es-CR" w:eastAsia="es-CR"/>
        </w:rPr>
        <w:t xml:space="preserve"> y de la señora Cristina Calderón Melgar,</w:t>
      </w:r>
      <w:r>
        <w:rPr>
          <w:rFonts w:cs="Arial"/>
          <w:b/>
          <w:bCs/>
          <w:szCs w:val="20"/>
          <w:lang w:val="es-CR" w:eastAsia="es-CR"/>
        </w:rPr>
        <w:t xml:space="preserve"> </w:t>
      </w:r>
      <w:r>
        <w:rPr>
          <w:rFonts w:cs="Arial"/>
          <w:bCs/>
          <w:szCs w:val="20"/>
          <w:lang w:val="es-CR" w:eastAsia="es-CR"/>
        </w:rPr>
        <w:t xml:space="preserve">el Estado señaló </w:t>
      </w:r>
      <w:r w:rsidR="00BC2C91">
        <w:rPr>
          <w:rFonts w:cs="Arial"/>
          <w:bCs/>
          <w:szCs w:val="20"/>
          <w:lang w:val="es-CR" w:eastAsia="es-CR"/>
        </w:rPr>
        <w:t>que, dado que ambos participaron en la elaboración del escrito de solicitudes y argumentos, no aportarían nuevos elementos para mejor resolver. En consecuencia, el Estado, en virtud del principio de economía procesal, sostuvo que no es necesario contar con dichas declaraciones</w:t>
      </w:r>
      <w:r w:rsidR="00722AED">
        <w:rPr>
          <w:rFonts w:cs="Arial"/>
          <w:bCs/>
          <w:szCs w:val="20"/>
          <w:lang w:val="es-CR" w:eastAsia="es-CR"/>
        </w:rPr>
        <w:t>.</w:t>
      </w:r>
    </w:p>
    <w:p w:rsidR="0019549D" w:rsidRPr="0019549D" w:rsidRDefault="0019549D" w:rsidP="0019549D">
      <w:pPr>
        <w:tabs>
          <w:tab w:val="left" w:pos="0"/>
          <w:tab w:val="left" w:pos="810"/>
        </w:tabs>
        <w:autoSpaceDE w:val="0"/>
        <w:autoSpaceDN w:val="0"/>
        <w:adjustRightInd w:val="0"/>
        <w:spacing w:after="0"/>
        <w:rPr>
          <w:color w:val="FF0000"/>
          <w:szCs w:val="20"/>
          <w:lang w:val="es-AR"/>
        </w:rPr>
      </w:pPr>
    </w:p>
    <w:p w:rsidR="000527E2" w:rsidRPr="00A809B9" w:rsidRDefault="00867796" w:rsidP="000527E2">
      <w:pPr>
        <w:numPr>
          <w:ilvl w:val="0"/>
          <w:numId w:val="1"/>
        </w:numPr>
        <w:tabs>
          <w:tab w:val="clear" w:pos="3870"/>
          <w:tab w:val="left" w:pos="0"/>
          <w:tab w:val="num" w:pos="720"/>
          <w:tab w:val="left" w:pos="810"/>
        </w:tabs>
        <w:autoSpaceDE w:val="0"/>
        <w:autoSpaceDN w:val="0"/>
        <w:adjustRightInd w:val="0"/>
        <w:spacing w:after="0"/>
        <w:rPr>
          <w:rFonts w:eastAsia="Times New Roman" w:cs="Verdana"/>
          <w:szCs w:val="20"/>
          <w:lang w:val="es-AR" w:eastAsia="en-US"/>
        </w:rPr>
      </w:pPr>
      <w:r w:rsidRPr="00A809B9">
        <w:rPr>
          <w:rFonts w:eastAsia="Times New Roman" w:cs="Verdana"/>
          <w:szCs w:val="20"/>
          <w:lang w:val="es-CR" w:eastAsia="en-US"/>
        </w:rPr>
        <w:t>Los representantes, en su lista definitiva, solicitaron que la señora Olga Alicia Paz sea convocada para rendir su peritaje</w:t>
      </w:r>
      <w:r w:rsidR="00764ABC" w:rsidRPr="00A809B9">
        <w:rPr>
          <w:rFonts w:eastAsia="Times New Roman" w:cs="Verdana"/>
          <w:szCs w:val="20"/>
          <w:lang w:val="es-CR" w:eastAsia="en-US"/>
        </w:rPr>
        <w:t xml:space="preserve"> en audiencia pública</w:t>
      </w:r>
      <w:r w:rsidR="00451037" w:rsidRPr="00A809B9">
        <w:rPr>
          <w:rStyle w:val="FootnoteReference"/>
          <w:rFonts w:eastAsia="Times New Roman" w:cs="Verdana"/>
          <w:szCs w:val="20"/>
          <w:lang w:val="es-CR" w:eastAsia="en-US"/>
        </w:rPr>
        <w:footnoteReference w:id="18"/>
      </w:r>
      <w:r w:rsidR="00451037" w:rsidRPr="00811691">
        <w:rPr>
          <w:szCs w:val="20"/>
          <w:lang w:val="es-AR"/>
        </w:rPr>
        <w:t xml:space="preserve">. </w:t>
      </w:r>
      <w:r w:rsidR="000C1B6B" w:rsidRPr="00811691">
        <w:rPr>
          <w:rFonts w:eastAsia="Times New Roman" w:cs="Verdana"/>
          <w:szCs w:val="20"/>
          <w:lang w:val="es-AR" w:eastAsia="en-US"/>
        </w:rPr>
        <w:t>Por otra parte, s</w:t>
      </w:r>
      <w:r w:rsidR="00451037" w:rsidRPr="00811691">
        <w:rPr>
          <w:rFonts w:eastAsia="Times New Roman" w:cs="Verdana"/>
          <w:szCs w:val="20"/>
          <w:lang w:val="es-AR" w:eastAsia="en-US"/>
        </w:rPr>
        <w:t>olicitaron la sustitución de la señora</w:t>
      </w:r>
      <w:r w:rsidR="000C1B6B" w:rsidRPr="00A809B9">
        <w:rPr>
          <w:rFonts w:eastAsia="Times New Roman" w:cs="Verdana"/>
          <w:szCs w:val="20"/>
          <w:lang w:val="es-AR" w:eastAsia="en-US"/>
        </w:rPr>
        <w:t xml:space="preserve"> Alicia Ely Yamin</w:t>
      </w:r>
      <w:r w:rsidR="009839B4" w:rsidRPr="00A809B9">
        <w:rPr>
          <w:rFonts w:eastAsia="Times New Roman" w:cs="Verdana"/>
          <w:szCs w:val="20"/>
          <w:lang w:val="es-AR" w:eastAsia="en-US"/>
        </w:rPr>
        <w:t>,</w:t>
      </w:r>
      <w:r w:rsidR="000C1B6B" w:rsidRPr="00A809B9">
        <w:rPr>
          <w:rFonts w:eastAsia="Times New Roman" w:cs="Verdana"/>
          <w:szCs w:val="20"/>
          <w:lang w:val="es-AR" w:eastAsia="en-US"/>
        </w:rPr>
        <w:t xml:space="preserve"> y del señor Antonio Solano Chinchilla</w:t>
      </w:r>
      <w:r w:rsidR="009839B4" w:rsidRPr="00A809B9">
        <w:rPr>
          <w:rFonts w:eastAsia="Times New Roman" w:cs="Verdana"/>
          <w:szCs w:val="20"/>
          <w:lang w:val="es-AR" w:eastAsia="en-US"/>
        </w:rPr>
        <w:t>,</w:t>
      </w:r>
      <w:r w:rsidR="000C1B6B" w:rsidRPr="00A809B9">
        <w:rPr>
          <w:rFonts w:eastAsia="Times New Roman" w:cs="Verdana"/>
          <w:szCs w:val="20"/>
          <w:lang w:val="es-AR" w:eastAsia="en-US"/>
        </w:rPr>
        <w:t xml:space="preserve"> como peritos expertos en el presente caso, toda vez que no podrán realizar los peritajes propuestos por distintos compromisos adquiridos y el alto volumen de trabajo con que cuentan. En tal sentido, de conformidad con el artículo 49 del Reglamento, solicitaron que el señor Antonio Solano Chinchilla sea sustituido por el señor Ricardo Boza Cordero</w:t>
      </w:r>
      <w:r w:rsidR="00451037" w:rsidRPr="00A809B9">
        <w:rPr>
          <w:rStyle w:val="FootnoteReference"/>
          <w:rFonts w:eastAsia="Times New Roman" w:cs="Verdana"/>
          <w:szCs w:val="20"/>
          <w:lang w:val="es-AR" w:eastAsia="en-US"/>
        </w:rPr>
        <w:footnoteReference w:id="19"/>
      </w:r>
      <w:r w:rsidR="000C1B6B" w:rsidRPr="00A809B9">
        <w:rPr>
          <w:rFonts w:eastAsia="Times New Roman" w:cs="Verdana"/>
          <w:szCs w:val="20"/>
          <w:lang w:val="es-AR" w:eastAsia="en-US"/>
        </w:rPr>
        <w:t>, y que la señora Alicia Ely Yamin sea sustitui</w:t>
      </w:r>
      <w:r w:rsidR="000527E2" w:rsidRPr="00A809B9">
        <w:rPr>
          <w:rFonts w:eastAsia="Times New Roman" w:cs="Verdana"/>
          <w:szCs w:val="20"/>
          <w:lang w:val="es-AR" w:eastAsia="en-US"/>
        </w:rPr>
        <w:t>da por la señora Paola Bergallo</w:t>
      </w:r>
      <w:r w:rsidR="00451037" w:rsidRPr="00A809B9">
        <w:rPr>
          <w:rStyle w:val="FootnoteReference"/>
          <w:rFonts w:eastAsia="Times New Roman" w:cs="Verdana"/>
          <w:szCs w:val="20"/>
          <w:lang w:val="es-AR" w:eastAsia="en-US"/>
        </w:rPr>
        <w:footnoteReference w:id="20"/>
      </w:r>
      <w:r w:rsidR="000527E2" w:rsidRPr="00A809B9">
        <w:rPr>
          <w:rFonts w:eastAsia="Times New Roman" w:cs="Verdana"/>
          <w:szCs w:val="20"/>
          <w:lang w:val="es-AR" w:eastAsia="en-US"/>
        </w:rPr>
        <w:t xml:space="preserve">, para que rindan sus declaraciones </w:t>
      </w:r>
      <w:r w:rsidR="00451037" w:rsidRPr="00A809B9">
        <w:rPr>
          <w:rFonts w:eastAsia="Times New Roman" w:cs="Verdana"/>
          <w:szCs w:val="20"/>
          <w:lang w:val="es-AR" w:eastAsia="en-US"/>
        </w:rPr>
        <w:t>periciales</w:t>
      </w:r>
      <w:r w:rsidR="00D30941">
        <w:rPr>
          <w:rFonts w:eastAsia="Times New Roman" w:cs="Verdana"/>
          <w:szCs w:val="20"/>
          <w:lang w:val="es-AR" w:eastAsia="en-US"/>
        </w:rPr>
        <w:t xml:space="preserve"> mediante declaración jurada</w:t>
      </w:r>
      <w:r w:rsidR="00451037" w:rsidRPr="00A809B9">
        <w:rPr>
          <w:rFonts w:eastAsia="Times New Roman" w:cs="Verdana"/>
          <w:szCs w:val="20"/>
          <w:lang w:val="es-AR" w:eastAsia="en-US"/>
        </w:rPr>
        <w:t>.</w:t>
      </w:r>
    </w:p>
    <w:p w:rsidR="0019549D" w:rsidRDefault="0019549D" w:rsidP="0019549D">
      <w:pPr>
        <w:tabs>
          <w:tab w:val="left" w:pos="0"/>
          <w:tab w:val="left" w:pos="810"/>
        </w:tabs>
        <w:autoSpaceDE w:val="0"/>
        <w:autoSpaceDN w:val="0"/>
        <w:adjustRightInd w:val="0"/>
        <w:spacing w:after="0"/>
        <w:rPr>
          <w:szCs w:val="20"/>
          <w:lang w:val="es-AR"/>
        </w:rPr>
      </w:pPr>
    </w:p>
    <w:p w:rsidR="000527E2" w:rsidRDefault="000527E2" w:rsidP="000527E2">
      <w:pPr>
        <w:pStyle w:val="ListParagraph"/>
        <w:numPr>
          <w:ilvl w:val="0"/>
          <w:numId w:val="1"/>
        </w:numPr>
        <w:tabs>
          <w:tab w:val="clear" w:pos="3870"/>
          <w:tab w:val="left" w:pos="0"/>
          <w:tab w:val="left" w:pos="709"/>
        </w:tabs>
        <w:autoSpaceDE w:val="0"/>
        <w:autoSpaceDN w:val="0"/>
        <w:adjustRightInd w:val="0"/>
        <w:spacing w:after="0"/>
        <w:ind w:left="0"/>
        <w:rPr>
          <w:rFonts w:eastAsia="Times New Roman" w:cs="Verdana"/>
          <w:szCs w:val="20"/>
          <w:lang w:val="es-AR" w:eastAsia="en-US"/>
        </w:rPr>
      </w:pPr>
      <w:r>
        <w:rPr>
          <w:rFonts w:eastAsia="Times New Roman" w:cs="Verdana"/>
          <w:szCs w:val="20"/>
          <w:lang w:val="es-AR" w:eastAsia="en-US"/>
        </w:rPr>
        <w:lastRenderedPageBreak/>
        <w:t>Adicionalmente, en virtud del artículo 46 del reglamento, los representantes se desistieron del peritaje de un “experto en tratamiento de personas con VIH/SIDA”</w:t>
      </w:r>
      <w:r w:rsidR="00764ABC">
        <w:rPr>
          <w:rFonts w:eastAsia="Times New Roman" w:cs="Verdana"/>
          <w:szCs w:val="20"/>
          <w:lang w:val="es-AR" w:eastAsia="en-US"/>
        </w:rPr>
        <w:t xml:space="preserve">. </w:t>
      </w:r>
      <w:r>
        <w:rPr>
          <w:rFonts w:eastAsia="Times New Roman" w:cs="Verdana"/>
          <w:szCs w:val="20"/>
          <w:lang w:val="es-AR" w:eastAsia="en-US"/>
        </w:rPr>
        <w:t xml:space="preserve">Asimismo, de acuerdo a los términos </w:t>
      </w:r>
      <w:r w:rsidR="009839B4">
        <w:rPr>
          <w:rFonts w:eastAsia="Times New Roman" w:cs="Verdana"/>
          <w:szCs w:val="20"/>
          <w:lang w:val="es-AR" w:eastAsia="en-US"/>
        </w:rPr>
        <w:t>ofrecidos</w:t>
      </w:r>
      <w:r>
        <w:rPr>
          <w:rFonts w:eastAsia="Times New Roman" w:cs="Verdana"/>
          <w:szCs w:val="20"/>
          <w:lang w:val="es-AR" w:eastAsia="en-US"/>
        </w:rPr>
        <w:t xml:space="preserve"> en su escrito de solicitudes y argumentos, solicitaron que se recibieran las declaraciones a título informativo de Eduardo Arathoon Pérez y</w:t>
      </w:r>
      <w:r w:rsidR="00C1243A">
        <w:rPr>
          <w:rFonts w:eastAsia="Times New Roman" w:cs="Verdana"/>
          <w:szCs w:val="20"/>
          <w:lang w:val="es-AR" w:eastAsia="en-US"/>
        </w:rPr>
        <w:t xml:space="preserve"> </w:t>
      </w:r>
      <w:r>
        <w:rPr>
          <w:rFonts w:eastAsia="Times New Roman" w:cs="Verdana"/>
          <w:szCs w:val="20"/>
          <w:lang w:val="es-AR" w:eastAsia="en-US"/>
        </w:rPr>
        <w:t>de Cristina Calderón Melgar</w:t>
      </w:r>
      <w:r w:rsidR="00764ABC">
        <w:rPr>
          <w:rFonts w:eastAsia="Times New Roman" w:cs="Verdana"/>
          <w:szCs w:val="20"/>
          <w:lang w:val="es-AR" w:eastAsia="en-US"/>
        </w:rPr>
        <w:t>.</w:t>
      </w:r>
    </w:p>
    <w:p w:rsidR="00F05FC8" w:rsidRDefault="00F05FC8" w:rsidP="00F05FC8">
      <w:pPr>
        <w:pStyle w:val="ListParagraph"/>
        <w:tabs>
          <w:tab w:val="left" w:pos="0"/>
          <w:tab w:val="left" w:pos="709"/>
        </w:tabs>
        <w:autoSpaceDE w:val="0"/>
        <w:autoSpaceDN w:val="0"/>
        <w:adjustRightInd w:val="0"/>
        <w:spacing w:after="0"/>
        <w:ind w:left="0"/>
        <w:rPr>
          <w:rFonts w:eastAsia="Times New Roman" w:cs="Verdana"/>
          <w:szCs w:val="20"/>
          <w:lang w:val="es-AR" w:eastAsia="en-US"/>
        </w:rPr>
      </w:pPr>
    </w:p>
    <w:p w:rsidR="00F05FC8" w:rsidRPr="00F05FC8" w:rsidRDefault="00F05FC8" w:rsidP="00F05FC8">
      <w:pPr>
        <w:pStyle w:val="BodyTextIndent"/>
        <w:numPr>
          <w:ilvl w:val="0"/>
          <w:numId w:val="1"/>
        </w:numPr>
        <w:tabs>
          <w:tab w:val="left" w:pos="0"/>
          <w:tab w:val="num" w:pos="720"/>
        </w:tabs>
        <w:spacing w:after="0"/>
        <w:ind w:left="0"/>
        <w:rPr>
          <w:rFonts w:cs="Verdana"/>
          <w:b/>
          <w:lang w:bidi="en-US"/>
        </w:rPr>
      </w:pPr>
      <w:r>
        <w:rPr>
          <w:rFonts w:cs="Verdana"/>
          <w:lang w:bidi="en-US"/>
        </w:rPr>
        <w:t xml:space="preserve">La </w:t>
      </w:r>
      <w:r>
        <w:rPr>
          <w:rFonts w:cs="Verdana"/>
          <w:b/>
          <w:i/>
          <w:lang w:bidi="en-US"/>
        </w:rPr>
        <w:t xml:space="preserve">Comisión </w:t>
      </w:r>
      <w:r>
        <w:rPr>
          <w:rFonts w:cs="Verdana"/>
          <w:lang w:bidi="en-US"/>
        </w:rPr>
        <w:t>informó que no tiene observaciones a formular respecto a las listas definitivas presentadas por las partes.</w:t>
      </w:r>
    </w:p>
    <w:p w:rsidR="00C1243A" w:rsidRDefault="00C1243A" w:rsidP="00C1243A">
      <w:pPr>
        <w:pStyle w:val="ListParagraph"/>
        <w:tabs>
          <w:tab w:val="left" w:pos="0"/>
          <w:tab w:val="left" w:pos="709"/>
        </w:tabs>
        <w:autoSpaceDE w:val="0"/>
        <w:autoSpaceDN w:val="0"/>
        <w:adjustRightInd w:val="0"/>
        <w:spacing w:after="0"/>
        <w:ind w:left="0"/>
        <w:rPr>
          <w:rFonts w:eastAsia="Times New Roman" w:cs="Verdana"/>
          <w:szCs w:val="20"/>
          <w:lang w:val="es-AR" w:eastAsia="en-US"/>
        </w:rPr>
      </w:pPr>
    </w:p>
    <w:p w:rsidR="00FE21FD" w:rsidRDefault="002E6DB6" w:rsidP="002E6DB6">
      <w:pPr>
        <w:numPr>
          <w:ilvl w:val="0"/>
          <w:numId w:val="1"/>
        </w:numPr>
        <w:tabs>
          <w:tab w:val="num" w:pos="720"/>
        </w:tabs>
        <w:autoSpaceDE w:val="0"/>
        <w:autoSpaceDN w:val="0"/>
        <w:adjustRightInd w:val="0"/>
        <w:spacing w:after="0"/>
        <w:rPr>
          <w:bCs/>
          <w:iCs/>
          <w:szCs w:val="20"/>
          <w:lang w:val="es-CR"/>
        </w:rPr>
      </w:pPr>
      <w:r w:rsidRPr="00360843">
        <w:rPr>
          <w:bCs/>
          <w:iCs/>
          <w:szCs w:val="20"/>
          <w:lang w:val="es-CR"/>
        </w:rPr>
        <w:t>Al respecto,</w:t>
      </w:r>
      <w:r w:rsidR="00AB4550" w:rsidRPr="00360843">
        <w:rPr>
          <w:bCs/>
          <w:iCs/>
          <w:szCs w:val="20"/>
          <w:lang w:val="es-CR"/>
        </w:rPr>
        <w:t xml:space="preserve"> en primer lugar, en lo que respecta a la</w:t>
      </w:r>
      <w:r w:rsidR="00FE21FD">
        <w:rPr>
          <w:bCs/>
          <w:iCs/>
          <w:szCs w:val="20"/>
          <w:lang w:val="es-CR"/>
        </w:rPr>
        <w:t xml:space="preserve"> admisibilidad de las declaraciones periciales, y de las declaraciones a título informativo, ofrecidas por los representantes, el Presidente </w:t>
      </w:r>
      <w:r w:rsidR="00F04FC1">
        <w:rPr>
          <w:bCs/>
          <w:iCs/>
          <w:szCs w:val="20"/>
          <w:lang w:val="es-CR"/>
        </w:rPr>
        <w:t>advierte que el objeto de</w:t>
      </w:r>
      <w:r w:rsidR="00B37222">
        <w:rPr>
          <w:bCs/>
          <w:iCs/>
          <w:szCs w:val="20"/>
          <w:lang w:val="es-CR"/>
        </w:rPr>
        <w:t xml:space="preserve"> </w:t>
      </w:r>
      <w:r w:rsidR="00F04FC1">
        <w:rPr>
          <w:bCs/>
          <w:iCs/>
          <w:szCs w:val="20"/>
          <w:lang w:val="es-CR"/>
        </w:rPr>
        <w:t>l</w:t>
      </w:r>
      <w:r w:rsidR="00B37222">
        <w:rPr>
          <w:bCs/>
          <w:iCs/>
          <w:szCs w:val="20"/>
          <w:lang w:val="es-CR"/>
        </w:rPr>
        <w:t>os</w:t>
      </w:r>
      <w:r w:rsidR="00F04FC1">
        <w:rPr>
          <w:bCs/>
          <w:iCs/>
          <w:szCs w:val="20"/>
          <w:lang w:val="es-CR"/>
        </w:rPr>
        <w:t xml:space="preserve"> peritaje</w:t>
      </w:r>
      <w:r w:rsidR="00B37222">
        <w:rPr>
          <w:bCs/>
          <w:iCs/>
          <w:szCs w:val="20"/>
          <w:lang w:val="es-CR"/>
        </w:rPr>
        <w:t>s</w:t>
      </w:r>
      <w:r w:rsidR="00F04FC1">
        <w:rPr>
          <w:bCs/>
          <w:iCs/>
          <w:szCs w:val="20"/>
          <w:lang w:val="es-CR"/>
        </w:rPr>
        <w:t xml:space="preserve"> de</w:t>
      </w:r>
      <w:r w:rsidR="00B37222">
        <w:rPr>
          <w:bCs/>
          <w:iCs/>
          <w:szCs w:val="20"/>
          <w:lang w:val="es-CR"/>
        </w:rPr>
        <w:t xml:space="preserve">l señor </w:t>
      </w:r>
      <w:r w:rsidR="00B37222" w:rsidRPr="00451037">
        <w:rPr>
          <w:rFonts w:cs="Verdana"/>
          <w:lang w:val="es-CR" w:bidi="en-US"/>
        </w:rPr>
        <w:t>Antonio Solano Chinchilla</w:t>
      </w:r>
      <w:r w:rsidR="00B37222">
        <w:rPr>
          <w:rFonts w:cs="Verdana"/>
          <w:lang w:val="es-CR" w:bidi="en-US"/>
        </w:rPr>
        <w:t xml:space="preserve"> y de</w:t>
      </w:r>
      <w:r w:rsidR="00F04FC1">
        <w:rPr>
          <w:bCs/>
          <w:iCs/>
          <w:szCs w:val="20"/>
          <w:lang w:val="es-CR"/>
        </w:rPr>
        <w:t xml:space="preserve"> la señora Alicia Ely Yamin se relaciona con aspectos relevantes para la resolución del presente caso, pues versa sobre </w:t>
      </w:r>
      <w:r w:rsidR="00D910A8">
        <w:rPr>
          <w:bCs/>
          <w:iCs/>
          <w:szCs w:val="20"/>
          <w:lang w:val="es-CR"/>
        </w:rPr>
        <w:t>conceptos y aspectos del derecho a la salud poco explorados en la jurisprudencia de la Corte</w:t>
      </w:r>
      <w:r w:rsidR="009839B4">
        <w:rPr>
          <w:bCs/>
          <w:iCs/>
          <w:szCs w:val="20"/>
          <w:lang w:val="es-CR"/>
        </w:rPr>
        <w:t>,</w:t>
      </w:r>
      <w:r w:rsidR="00D910A8">
        <w:rPr>
          <w:bCs/>
          <w:iCs/>
          <w:szCs w:val="20"/>
          <w:lang w:val="es-CR"/>
        </w:rPr>
        <w:t xml:space="preserve"> y en general en el derecho internacional de los derechos humanos</w:t>
      </w:r>
      <w:r w:rsidR="009839B4">
        <w:rPr>
          <w:bCs/>
          <w:iCs/>
          <w:szCs w:val="20"/>
          <w:lang w:val="es-CR"/>
        </w:rPr>
        <w:t>, por lo que decide admitir dicho peritaje</w:t>
      </w:r>
      <w:r w:rsidR="00D910A8">
        <w:rPr>
          <w:bCs/>
          <w:iCs/>
          <w:szCs w:val="20"/>
          <w:lang w:val="es-CR"/>
        </w:rPr>
        <w:t>.</w:t>
      </w:r>
      <w:r w:rsidR="009839B4">
        <w:rPr>
          <w:bCs/>
          <w:iCs/>
          <w:szCs w:val="20"/>
          <w:lang w:val="es-CR"/>
        </w:rPr>
        <w:t xml:space="preserve"> Asimismo, el Presidente verifica la remisión de la hoja de vida de</w:t>
      </w:r>
      <w:r w:rsidR="00B37222">
        <w:rPr>
          <w:bCs/>
          <w:iCs/>
          <w:szCs w:val="20"/>
          <w:lang w:val="es-CR"/>
        </w:rPr>
        <w:t xml:space="preserve">l señor del señor </w:t>
      </w:r>
      <w:r w:rsidR="00B37222" w:rsidRPr="00451037">
        <w:rPr>
          <w:rFonts w:cs="Verdana"/>
          <w:lang w:val="es-CR" w:bidi="en-US"/>
        </w:rPr>
        <w:t>Antonio Solano Chinchilla</w:t>
      </w:r>
      <w:r w:rsidR="00B37222">
        <w:rPr>
          <w:rFonts w:cs="Verdana"/>
          <w:lang w:val="es-CR" w:bidi="en-US"/>
        </w:rPr>
        <w:t xml:space="preserve"> y de</w:t>
      </w:r>
      <w:r w:rsidR="009839B4">
        <w:rPr>
          <w:bCs/>
          <w:iCs/>
          <w:szCs w:val="20"/>
          <w:lang w:val="es-CR"/>
        </w:rPr>
        <w:t xml:space="preserve"> la señora Alicia Ely Yamin. </w:t>
      </w:r>
    </w:p>
    <w:p w:rsidR="00D910A8" w:rsidRDefault="00D910A8" w:rsidP="00D910A8">
      <w:pPr>
        <w:pStyle w:val="ListParagraph"/>
        <w:rPr>
          <w:bCs/>
          <w:iCs/>
          <w:szCs w:val="20"/>
          <w:lang w:val="es-CR"/>
        </w:rPr>
      </w:pPr>
    </w:p>
    <w:p w:rsidR="00D910A8" w:rsidRDefault="006E675B" w:rsidP="0086146C">
      <w:pPr>
        <w:numPr>
          <w:ilvl w:val="0"/>
          <w:numId w:val="1"/>
        </w:numPr>
        <w:tabs>
          <w:tab w:val="num" w:pos="720"/>
        </w:tabs>
        <w:autoSpaceDE w:val="0"/>
        <w:autoSpaceDN w:val="0"/>
        <w:adjustRightInd w:val="0"/>
        <w:spacing w:after="0"/>
        <w:rPr>
          <w:bCs/>
          <w:iCs/>
          <w:szCs w:val="20"/>
          <w:lang w:val="es-CR"/>
        </w:rPr>
      </w:pPr>
      <w:r>
        <w:rPr>
          <w:bCs/>
          <w:iCs/>
          <w:szCs w:val="20"/>
          <w:lang w:val="es-CR"/>
        </w:rPr>
        <w:t>En segundo lugar</w:t>
      </w:r>
      <w:r w:rsidR="00D910A8">
        <w:rPr>
          <w:bCs/>
          <w:iCs/>
          <w:szCs w:val="20"/>
          <w:lang w:val="es-CR"/>
        </w:rPr>
        <w:t>, en lo que respecta a las declaraciones a título informativo</w:t>
      </w:r>
      <w:r w:rsidR="00C22E95">
        <w:rPr>
          <w:bCs/>
          <w:iCs/>
          <w:szCs w:val="20"/>
          <w:lang w:val="es-CR"/>
        </w:rPr>
        <w:t xml:space="preserve"> propuestas por los representantes</w:t>
      </w:r>
      <w:r w:rsidR="00D910A8">
        <w:rPr>
          <w:bCs/>
          <w:iCs/>
          <w:szCs w:val="20"/>
          <w:lang w:val="es-CR"/>
        </w:rPr>
        <w:t xml:space="preserve"> del señor </w:t>
      </w:r>
      <w:r w:rsidR="00D910A8" w:rsidRPr="00451037">
        <w:rPr>
          <w:rFonts w:cs="Arial"/>
          <w:bCs/>
          <w:szCs w:val="20"/>
          <w:lang w:val="es-CR" w:eastAsia="es-CR"/>
        </w:rPr>
        <w:t>Eduardo Arathoon Pérez</w:t>
      </w:r>
      <w:r w:rsidR="005C2194">
        <w:rPr>
          <w:rFonts w:cs="Arial"/>
          <w:bCs/>
          <w:szCs w:val="20"/>
          <w:lang w:val="es-CR" w:eastAsia="es-CR"/>
        </w:rPr>
        <w:t>,</w:t>
      </w:r>
      <w:r w:rsidR="00D910A8">
        <w:rPr>
          <w:rFonts w:cs="Arial"/>
          <w:bCs/>
          <w:szCs w:val="20"/>
          <w:lang w:val="es-CR" w:eastAsia="es-CR"/>
        </w:rPr>
        <w:t xml:space="preserve"> y de la señora </w:t>
      </w:r>
      <w:r w:rsidR="00D910A8" w:rsidRPr="00451037">
        <w:rPr>
          <w:rFonts w:cs="Arial"/>
          <w:bCs/>
          <w:szCs w:val="20"/>
          <w:lang w:val="es-CR" w:eastAsia="es-CR"/>
        </w:rPr>
        <w:t>Cristina Calderón Melgar</w:t>
      </w:r>
      <w:r w:rsidR="00C22E95">
        <w:rPr>
          <w:rFonts w:cs="Arial"/>
          <w:bCs/>
          <w:szCs w:val="20"/>
          <w:lang w:val="es-CR" w:eastAsia="es-CR"/>
        </w:rPr>
        <w:t>, el Presidente advierte que el objeto de dichas declaraciones</w:t>
      </w:r>
      <w:r w:rsidR="005C2194">
        <w:rPr>
          <w:rFonts w:cs="Arial"/>
          <w:bCs/>
          <w:szCs w:val="20"/>
          <w:lang w:val="es-CR" w:eastAsia="es-CR"/>
        </w:rPr>
        <w:t xml:space="preserve"> </w:t>
      </w:r>
      <w:r w:rsidR="00C22E95">
        <w:rPr>
          <w:rFonts w:cs="Arial"/>
          <w:bCs/>
          <w:szCs w:val="20"/>
          <w:lang w:val="es-CR" w:eastAsia="es-CR"/>
        </w:rPr>
        <w:t>coincide sustancialmente con el objeto de</w:t>
      </w:r>
      <w:r>
        <w:rPr>
          <w:rFonts w:cs="Arial"/>
          <w:bCs/>
          <w:szCs w:val="20"/>
          <w:lang w:val="es-CR" w:eastAsia="es-CR"/>
        </w:rPr>
        <w:t>l</w:t>
      </w:r>
      <w:r w:rsidR="00C22E95">
        <w:rPr>
          <w:rFonts w:cs="Arial"/>
          <w:bCs/>
          <w:szCs w:val="20"/>
          <w:lang w:val="es-CR" w:eastAsia="es-CR"/>
        </w:rPr>
        <w:t xml:space="preserve"> escrito de solicitudes y argumentos</w:t>
      </w:r>
      <w:r w:rsidR="00A551BE">
        <w:rPr>
          <w:bCs/>
          <w:iCs/>
          <w:szCs w:val="20"/>
          <w:lang w:val="es-CR"/>
        </w:rPr>
        <w:t xml:space="preserve">, </w:t>
      </w:r>
      <w:r w:rsidR="009839B4">
        <w:rPr>
          <w:bCs/>
          <w:iCs/>
          <w:szCs w:val="20"/>
          <w:lang w:val="es-CR"/>
        </w:rPr>
        <w:t xml:space="preserve">pues se refiere a cuestiones fácticas relacionadas con las alegadas afectaciones a la salud de las </w:t>
      </w:r>
      <w:r w:rsidR="005C3FA3">
        <w:rPr>
          <w:bCs/>
          <w:iCs/>
          <w:szCs w:val="20"/>
          <w:lang w:val="es-CR"/>
        </w:rPr>
        <w:t>presuntas víctimas</w:t>
      </w:r>
      <w:r w:rsidR="009839B4">
        <w:rPr>
          <w:bCs/>
          <w:iCs/>
          <w:szCs w:val="20"/>
          <w:lang w:val="es-CR"/>
        </w:rPr>
        <w:t>, cuestiones que se encuentran desarrolladas con amplitud en el escrito de solicitudes y argumentos</w:t>
      </w:r>
      <w:r w:rsidR="00C22E95">
        <w:rPr>
          <w:rFonts w:cs="Arial"/>
          <w:bCs/>
          <w:szCs w:val="20"/>
          <w:lang w:val="es-CR" w:eastAsia="es-CR"/>
        </w:rPr>
        <w:t>. En ese sentido, y en consideración a que el señor Eduardo Arathoon Pérez y la señora Cristina Calder</w:t>
      </w:r>
      <w:r w:rsidR="005C2194">
        <w:rPr>
          <w:rFonts w:cs="Arial"/>
          <w:bCs/>
          <w:szCs w:val="20"/>
          <w:lang w:val="es-CR" w:eastAsia="es-CR"/>
        </w:rPr>
        <w:t>ón Melgar figura</w:t>
      </w:r>
      <w:r>
        <w:rPr>
          <w:rFonts w:cs="Arial"/>
          <w:bCs/>
          <w:szCs w:val="20"/>
          <w:lang w:val="es-CR" w:eastAsia="es-CR"/>
        </w:rPr>
        <w:t>n</w:t>
      </w:r>
      <w:r w:rsidR="005C2194">
        <w:rPr>
          <w:rFonts w:cs="Arial"/>
          <w:bCs/>
          <w:szCs w:val="20"/>
          <w:lang w:val="es-CR" w:eastAsia="es-CR"/>
        </w:rPr>
        <w:t xml:space="preserve"> como signatarios en el escrito de solicitudes</w:t>
      </w:r>
      <w:r>
        <w:rPr>
          <w:rFonts w:cs="Arial"/>
          <w:bCs/>
          <w:szCs w:val="20"/>
          <w:lang w:val="es-CR" w:eastAsia="es-CR"/>
        </w:rPr>
        <w:t xml:space="preserve"> y argumentos</w:t>
      </w:r>
      <w:r w:rsidR="005C2194">
        <w:rPr>
          <w:rFonts w:cs="Arial"/>
          <w:bCs/>
          <w:szCs w:val="20"/>
          <w:lang w:val="es-CR" w:eastAsia="es-CR"/>
        </w:rPr>
        <w:t>, lo cual demuestra su participación en el mismo, y de la oportunidad que tendrán para formular precisiones en sus alegatos finales, el Presidente rechaza la presentación de dichos declarantes.</w:t>
      </w:r>
    </w:p>
    <w:p w:rsidR="00FE21FD" w:rsidRDefault="00FE21FD" w:rsidP="0086146C">
      <w:pPr>
        <w:pStyle w:val="ListParagraph"/>
        <w:spacing w:after="0"/>
        <w:rPr>
          <w:bCs/>
          <w:iCs/>
          <w:szCs w:val="20"/>
          <w:lang w:val="es-CR"/>
        </w:rPr>
      </w:pPr>
    </w:p>
    <w:p w:rsidR="00AB4550" w:rsidRPr="00360843" w:rsidRDefault="006E675B" w:rsidP="0086146C">
      <w:pPr>
        <w:numPr>
          <w:ilvl w:val="0"/>
          <w:numId w:val="1"/>
        </w:numPr>
        <w:tabs>
          <w:tab w:val="num" w:pos="720"/>
        </w:tabs>
        <w:autoSpaceDE w:val="0"/>
        <w:autoSpaceDN w:val="0"/>
        <w:adjustRightInd w:val="0"/>
        <w:spacing w:after="0"/>
        <w:rPr>
          <w:bCs/>
          <w:iCs/>
          <w:szCs w:val="20"/>
          <w:lang w:val="es-CR"/>
        </w:rPr>
      </w:pPr>
      <w:r>
        <w:rPr>
          <w:bCs/>
          <w:iCs/>
          <w:szCs w:val="20"/>
          <w:lang w:val="es-CR"/>
        </w:rPr>
        <w:t>En tercer lugar</w:t>
      </w:r>
      <w:r w:rsidR="005C2194">
        <w:rPr>
          <w:bCs/>
          <w:iCs/>
          <w:szCs w:val="20"/>
          <w:lang w:val="es-CR"/>
        </w:rPr>
        <w:t>, en relación con la</w:t>
      </w:r>
      <w:r w:rsidR="00AB4550" w:rsidRPr="00360843">
        <w:rPr>
          <w:bCs/>
          <w:iCs/>
          <w:szCs w:val="20"/>
          <w:lang w:val="es-CR"/>
        </w:rPr>
        <w:t xml:space="preserve"> solicitud de los representantes de sustituir a los peritos propuestos originalmente en su escrito solicitudes y argumentos, </w:t>
      </w:r>
      <w:r w:rsidR="00AB4550" w:rsidRPr="00360843">
        <w:rPr>
          <w:szCs w:val="20"/>
        </w:rPr>
        <w:t>el Presidente recuerda que, conforme al artículo 49 del reglamento, la Corte podrá</w:t>
      </w:r>
      <w:r w:rsidR="002B184D">
        <w:rPr>
          <w:szCs w:val="20"/>
        </w:rPr>
        <w:t>,</w:t>
      </w:r>
      <w:r w:rsidR="00FE7DB1" w:rsidRPr="00360843">
        <w:rPr>
          <w:szCs w:val="20"/>
        </w:rPr>
        <w:t xml:space="preserve"> excepcionalmente, aceptar la sustitución de un declarante</w:t>
      </w:r>
      <w:r w:rsidR="00A551BE" w:rsidRPr="00360843">
        <w:rPr>
          <w:szCs w:val="20"/>
        </w:rPr>
        <w:t xml:space="preserve">. </w:t>
      </w:r>
      <w:r w:rsidR="00FE7DB1" w:rsidRPr="00360843">
        <w:rPr>
          <w:szCs w:val="20"/>
        </w:rPr>
        <w:t>En el</w:t>
      </w:r>
      <w:r w:rsidR="00AB4550" w:rsidRPr="00360843">
        <w:rPr>
          <w:szCs w:val="20"/>
        </w:rPr>
        <w:t xml:space="preserve"> presente caso, </w:t>
      </w:r>
      <w:r w:rsidR="00360843">
        <w:rPr>
          <w:szCs w:val="20"/>
        </w:rPr>
        <w:t xml:space="preserve">el Presidente, </w:t>
      </w:r>
      <w:r w:rsidR="004801F2">
        <w:rPr>
          <w:szCs w:val="20"/>
        </w:rPr>
        <w:t>ha considera</w:t>
      </w:r>
      <w:r w:rsidR="00360843">
        <w:rPr>
          <w:szCs w:val="20"/>
        </w:rPr>
        <w:t xml:space="preserve">do las razones por las que los representantes han solicitado la sustitución de los peritos </w:t>
      </w:r>
      <w:r w:rsidR="00360843" w:rsidRPr="00451037">
        <w:rPr>
          <w:rFonts w:eastAsia="Times New Roman" w:cs="Verdana"/>
          <w:szCs w:val="20"/>
          <w:lang w:val="es-AR" w:eastAsia="en-US"/>
        </w:rPr>
        <w:t>Antonio Solano Chinchilla</w:t>
      </w:r>
      <w:r w:rsidR="00360843">
        <w:rPr>
          <w:rFonts w:eastAsia="Times New Roman" w:cs="Verdana"/>
          <w:szCs w:val="20"/>
          <w:lang w:val="es-AR" w:eastAsia="en-US"/>
        </w:rPr>
        <w:t xml:space="preserve"> y </w:t>
      </w:r>
      <w:r w:rsidR="00360843" w:rsidRPr="00451037">
        <w:rPr>
          <w:rFonts w:eastAsia="Times New Roman" w:cs="Verdana"/>
          <w:szCs w:val="20"/>
          <w:lang w:val="es-AR" w:eastAsia="en-US"/>
        </w:rPr>
        <w:t>Alicia Ely Yamin</w:t>
      </w:r>
      <w:r w:rsidR="00360843">
        <w:rPr>
          <w:rFonts w:eastAsia="Times New Roman" w:cs="Verdana"/>
          <w:szCs w:val="20"/>
          <w:lang w:val="es-AR" w:eastAsia="en-US"/>
        </w:rPr>
        <w:t>,</w:t>
      </w:r>
      <w:r w:rsidR="00FE21FD">
        <w:rPr>
          <w:rFonts w:eastAsia="Times New Roman" w:cs="Verdana"/>
          <w:szCs w:val="20"/>
          <w:lang w:val="es-AR" w:eastAsia="en-US"/>
        </w:rPr>
        <w:t xml:space="preserve"> </w:t>
      </w:r>
      <w:r w:rsidR="004801F2">
        <w:rPr>
          <w:rFonts w:eastAsia="Times New Roman" w:cs="Verdana"/>
          <w:szCs w:val="20"/>
          <w:lang w:val="es-AR" w:eastAsia="en-US"/>
        </w:rPr>
        <w:t xml:space="preserve">observa </w:t>
      </w:r>
      <w:r w:rsidR="00FE21FD">
        <w:rPr>
          <w:rFonts w:eastAsia="Times New Roman" w:cs="Verdana"/>
          <w:szCs w:val="20"/>
          <w:lang w:val="es-AR" w:eastAsia="en-US"/>
        </w:rPr>
        <w:t>que no ha variado el objeto de dichos peritajes,</w:t>
      </w:r>
      <w:r w:rsidR="00360843">
        <w:rPr>
          <w:rFonts w:eastAsia="Times New Roman" w:cs="Verdana"/>
          <w:szCs w:val="20"/>
          <w:lang w:val="es-AR" w:eastAsia="en-US"/>
        </w:rPr>
        <w:t xml:space="preserve"> y</w:t>
      </w:r>
      <w:r w:rsidR="004801F2">
        <w:rPr>
          <w:rFonts w:eastAsia="Times New Roman" w:cs="Verdana"/>
          <w:szCs w:val="20"/>
          <w:lang w:val="es-AR" w:eastAsia="en-US"/>
        </w:rPr>
        <w:t xml:space="preserve"> ha toma</w:t>
      </w:r>
      <w:r w:rsidR="00360843">
        <w:rPr>
          <w:rFonts w:eastAsia="Times New Roman" w:cs="Verdana"/>
          <w:szCs w:val="20"/>
          <w:lang w:val="es-AR" w:eastAsia="en-US"/>
        </w:rPr>
        <w:t>do en cuenta que ni la Comisión ni el Estado presentaron objeción alguna en la debida oportunidad procesal</w:t>
      </w:r>
      <w:r w:rsidR="00FE21FD">
        <w:rPr>
          <w:rFonts w:eastAsia="Times New Roman" w:cs="Verdana"/>
          <w:szCs w:val="20"/>
          <w:lang w:val="es-AR" w:eastAsia="en-US"/>
        </w:rPr>
        <w:t>.</w:t>
      </w:r>
      <w:r w:rsidR="0059187C">
        <w:rPr>
          <w:rFonts w:eastAsia="Times New Roman" w:cs="Verdana"/>
          <w:szCs w:val="20"/>
          <w:lang w:val="es-AR" w:eastAsia="en-US"/>
        </w:rPr>
        <w:t xml:space="preserve"> </w:t>
      </w:r>
      <w:r w:rsidR="004801F2" w:rsidRPr="00566E49">
        <w:rPr>
          <w:szCs w:val="20"/>
        </w:rPr>
        <w:t xml:space="preserve">En consecuencia, </w:t>
      </w:r>
      <w:r w:rsidR="004801F2">
        <w:rPr>
          <w:szCs w:val="20"/>
        </w:rPr>
        <w:t>el Presidente</w:t>
      </w:r>
      <w:r w:rsidR="004801F2" w:rsidRPr="00566E49">
        <w:rPr>
          <w:szCs w:val="20"/>
        </w:rPr>
        <w:t xml:space="preserve"> admite la sustitución </w:t>
      </w:r>
      <w:r w:rsidR="004801F2">
        <w:rPr>
          <w:szCs w:val="20"/>
        </w:rPr>
        <w:t xml:space="preserve">del señor Antonio Solano Chinchilla y de la señora Alicia Ely Yamin por el señor </w:t>
      </w:r>
      <w:r w:rsidR="004801F2" w:rsidRPr="00451037">
        <w:rPr>
          <w:rFonts w:eastAsia="Times New Roman" w:cs="Verdana"/>
          <w:szCs w:val="20"/>
          <w:lang w:val="es-AR" w:eastAsia="en-US"/>
        </w:rPr>
        <w:t>Ricardo Boza Cordero</w:t>
      </w:r>
      <w:r w:rsidR="004801F2" w:rsidRPr="00566E49">
        <w:rPr>
          <w:szCs w:val="20"/>
        </w:rPr>
        <w:t xml:space="preserve"> </w:t>
      </w:r>
      <w:r w:rsidR="004801F2">
        <w:rPr>
          <w:szCs w:val="20"/>
        </w:rPr>
        <w:t xml:space="preserve">y la señora </w:t>
      </w:r>
      <w:r w:rsidR="004801F2" w:rsidRPr="00451037">
        <w:rPr>
          <w:rFonts w:eastAsia="Times New Roman" w:cs="Verdana"/>
          <w:szCs w:val="20"/>
          <w:lang w:val="es-AR" w:eastAsia="en-US"/>
        </w:rPr>
        <w:t>Paola Bergallo</w:t>
      </w:r>
      <w:r w:rsidR="005D3A5F">
        <w:rPr>
          <w:rFonts w:eastAsia="Times New Roman" w:cs="Verdana"/>
          <w:szCs w:val="20"/>
          <w:lang w:val="es-AR" w:eastAsia="en-US"/>
        </w:rPr>
        <w:t>, para que sean rendidos mediante declaración jurada (</w:t>
      </w:r>
      <w:r w:rsidR="005D3A5F">
        <w:rPr>
          <w:rFonts w:eastAsia="Times New Roman" w:cs="Verdana"/>
          <w:i/>
          <w:szCs w:val="20"/>
          <w:lang w:val="es-AR" w:eastAsia="en-US"/>
        </w:rPr>
        <w:t>affidavit</w:t>
      </w:r>
      <w:r w:rsidR="005D3A5F">
        <w:rPr>
          <w:rFonts w:eastAsia="Times New Roman" w:cs="Verdana"/>
          <w:szCs w:val="20"/>
          <w:lang w:val="es-AR" w:eastAsia="en-US"/>
        </w:rPr>
        <w:t>)</w:t>
      </w:r>
      <w:r w:rsidR="004801F2" w:rsidRPr="00566E49">
        <w:rPr>
          <w:szCs w:val="20"/>
        </w:rPr>
        <w:t>.</w:t>
      </w:r>
    </w:p>
    <w:p w:rsidR="00AB4550" w:rsidRPr="00AB4550" w:rsidRDefault="00AB4550" w:rsidP="0086146C">
      <w:pPr>
        <w:autoSpaceDE w:val="0"/>
        <w:autoSpaceDN w:val="0"/>
        <w:adjustRightInd w:val="0"/>
        <w:spacing w:after="0"/>
        <w:rPr>
          <w:bCs/>
          <w:iCs/>
          <w:szCs w:val="20"/>
          <w:highlight w:val="yellow"/>
          <w:lang w:val="es-CR"/>
        </w:rPr>
      </w:pPr>
    </w:p>
    <w:p w:rsidR="00AB4550" w:rsidRPr="00D30941" w:rsidRDefault="006E675B" w:rsidP="0086146C">
      <w:pPr>
        <w:numPr>
          <w:ilvl w:val="0"/>
          <w:numId w:val="1"/>
        </w:numPr>
        <w:tabs>
          <w:tab w:val="num" w:pos="720"/>
        </w:tabs>
        <w:autoSpaceDE w:val="0"/>
        <w:autoSpaceDN w:val="0"/>
        <w:adjustRightInd w:val="0"/>
        <w:spacing w:after="0"/>
        <w:rPr>
          <w:szCs w:val="20"/>
        </w:rPr>
      </w:pPr>
      <w:r>
        <w:rPr>
          <w:rFonts w:cs="Verdana"/>
          <w:szCs w:val="20"/>
          <w:lang w:bidi="en-US"/>
        </w:rPr>
        <w:t>En cuarto lugar, e</w:t>
      </w:r>
      <w:r w:rsidR="00DC164A">
        <w:rPr>
          <w:rFonts w:cs="Verdana"/>
          <w:szCs w:val="20"/>
          <w:lang w:bidi="en-US"/>
        </w:rPr>
        <w:t xml:space="preserve">n lo que respecta al desistimiento de los representantes </w:t>
      </w:r>
      <w:r w:rsidR="00DC164A">
        <w:rPr>
          <w:rFonts w:eastAsia="Times New Roman" w:cs="Verdana"/>
          <w:szCs w:val="20"/>
          <w:lang w:val="es-AR" w:eastAsia="en-US"/>
        </w:rPr>
        <w:t>del peritaje de un “experto en tratamiento de personas con VIH/SIDA”</w:t>
      </w:r>
      <w:r w:rsidR="00DC164A">
        <w:rPr>
          <w:rFonts w:cs="Verdana"/>
          <w:szCs w:val="20"/>
          <w:lang w:bidi="en-US"/>
        </w:rPr>
        <w:t xml:space="preserve">, el </w:t>
      </w:r>
      <w:r w:rsidR="00DC164A" w:rsidRPr="0036069A">
        <w:rPr>
          <w:rFonts w:cs="Verdana"/>
          <w:szCs w:val="20"/>
          <w:lang w:bidi="en-US"/>
        </w:rPr>
        <w:t xml:space="preserve">Presidente </w:t>
      </w:r>
      <w:r>
        <w:rPr>
          <w:rFonts w:cs="Verdana"/>
          <w:szCs w:val="20"/>
          <w:lang w:bidi="en-US"/>
        </w:rPr>
        <w:t>t</w:t>
      </w:r>
      <w:r w:rsidR="009839B4">
        <w:rPr>
          <w:rFonts w:cs="Verdana"/>
          <w:szCs w:val="20"/>
          <w:lang w:bidi="en-US"/>
        </w:rPr>
        <w:t xml:space="preserve">oma nota de dicho desistimiento, </w:t>
      </w:r>
      <w:r w:rsidR="00DC164A" w:rsidRPr="0036069A">
        <w:rPr>
          <w:rFonts w:cs="Verdana"/>
          <w:szCs w:val="20"/>
          <w:lang w:bidi="en-US"/>
        </w:rPr>
        <w:t>de conformidad con el artículo 46.1 del Reglamento</w:t>
      </w:r>
      <w:r>
        <w:rPr>
          <w:rFonts w:cs="Verdana"/>
          <w:szCs w:val="20"/>
          <w:lang w:bidi="en-US"/>
        </w:rPr>
        <w:t>.</w:t>
      </w:r>
    </w:p>
    <w:p w:rsidR="00D30941" w:rsidRDefault="00D30941" w:rsidP="0086146C">
      <w:pPr>
        <w:pStyle w:val="ListParagraph"/>
        <w:spacing w:after="0"/>
        <w:rPr>
          <w:szCs w:val="20"/>
        </w:rPr>
      </w:pPr>
    </w:p>
    <w:p w:rsidR="00D30941" w:rsidRPr="00D30941" w:rsidRDefault="00D30941" w:rsidP="0086146C">
      <w:pPr>
        <w:numPr>
          <w:ilvl w:val="0"/>
          <w:numId w:val="1"/>
        </w:numPr>
        <w:tabs>
          <w:tab w:val="num" w:pos="720"/>
        </w:tabs>
        <w:autoSpaceDE w:val="0"/>
        <w:autoSpaceDN w:val="0"/>
        <w:adjustRightInd w:val="0"/>
        <w:spacing w:after="0"/>
        <w:rPr>
          <w:szCs w:val="20"/>
        </w:rPr>
      </w:pPr>
      <w:r w:rsidRPr="00D30941">
        <w:rPr>
          <w:szCs w:val="20"/>
        </w:rPr>
        <w:t>En quinto lugar</w:t>
      </w:r>
      <w:r w:rsidRPr="00D30941">
        <w:rPr>
          <w:bCs/>
          <w:iCs/>
          <w:szCs w:val="20"/>
          <w:lang w:val="es-CR"/>
        </w:rPr>
        <w:t>, en relación con la modalidad de presentación de los peritajes ofrecidos por los representantes,</w:t>
      </w:r>
      <w:r w:rsidR="005D3A5F">
        <w:rPr>
          <w:bCs/>
          <w:iCs/>
          <w:szCs w:val="20"/>
          <w:lang w:val="es-CR"/>
        </w:rPr>
        <w:t xml:space="preserve"> </w:t>
      </w:r>
      <w:r w:rsidR="005D3A5F" w:rsidRPr="00D30941">
        <w:rPr>
          <w:bCs/>
          <w:iCs/>
          <w:szCs w:val="20"/>
          <w:lang w:val="es-CR"/>
        </w:rPr>
        <w:t>el Presidente</w:t>
      </w:r>
      <w:r w:rsidR="005D3A5F">
        <w:rPr>
          <w:bCs/>
          <w:iCs/>
          <w:szCs w:val="20"/>
          <w:lang w:val="es-CR"/>
        </w:rPr>
        <w:t xml:space="preserve"> advierte la relevancia del objeto del peritaje del</w:t>
      </w:r>
      <w:r w:rsidR="005D3A5F">
        <w:rPr>
          <w:szCs w:val="20"/>
        </w:rPr>
        <w:t xml:space="preserve"> señor </w:t>
      </w:r>
      <w:r w:rsidR="005D3A5F" w:rsidRPr="00451037">
        <w:rPr>
          <w:rFonts w:eastAsia="Times New Roman" w:cs="Verdana"/>
          <w:szCs w:val="20"/>
          <w:lang w:val="es-AR" w:eastAsia="en-US"/>
        </w:rPr>
        <w:t>Ricardo Boza Cordero</w:t>
      </w:r>
      <w:r w:rsidR="005D3A5F">
        <w:rPr>
          <w:rFonts w:eastAsia="Times New Roman" w:cs="Verdana"/>
          <w:szCs w:val="20"/>
          <w:lang w:val="es-AR" w:eastAsia="en-US"/>
        </w:rPr>
        <w:t>, ofrecido por los representantes, por lo que solicita que éste sea rendido en audiencia pública. En consecuencia,</w:t>
      </w:r>
      <w:r w:rsidRPr="00D30941">
        <w:rPr>
          <w:bCs/>
          <w:iCs/>
          <w:szCs w:val="20"/>
          <w:lang w:val="es-CR"/>
        </w:rPr>
        <w:t xml:space="preserve"> en virtud del principio de economía p</w:t>
      </w:r>
      <w:r w:rsidR="005D3A5F">
        <w:rPr>
          <w:bCs/>
          <w:iCs/>
          <w:szCs w:val="20"/>
          <w:lang w:val="es-CR"/>
        </w:rPr>
        <w:t>rocesal, el Presidente solicita</w:t>
      </w:r>
      <w:r w:rsidRPr="00D30941">
        <w:rPr>
          <w:bCs/>
          <w:iCs/>
          <w:szCs w:val="20"/>
          <w:lang w:val="es-CR"/>
        </w:rPr>
        <w:t xml:space="preserve"> que </w:t>
      </w:r>
      <w:r w:rsidR="005D3A5F">
        <w:rPr>
          <w:bCs/>
          <w:iCs/>
          <w:szCs w:val="20"/>
          <w:lang w:val="es-CR"/>
        </w:rPr>
        <w:t>el</w:t>
      </w:r>
      <w:r w:rsidR="005D3A5F" w:rsidRPr="00D30941">
        <w:rPr>
          <w:bCs/>
          <w:iCs/>
          <w:szCs w:val="20"/>
          <w:lang w:val="es-CR"/>
        </w:rPr>
        <w:t xml:space="preserve"> peritaje de la señora </w:t>
      </w:r>
      <w:r w:rsidR="005D3A5F">
        <w:rPr>
          <w:rFonts w:cs="Verdana"/>
          <w:lang w:val="es-CR" w:bidi="en-US"/>
        </w:rPr>
        <w:t>Olga Alicia Paz</w:t>
      </w:r>
      <w:r w:rsidR="005D3A5F">
        <w:rPr>
          <w:bCs/>
          <w:iCs/>
          <w:szCs w:val="20"/>
          <w:lang w:val="es-CR"/>
        </w:rPr>
        <w:t xml:space="preserve"> sea presentado</w:t>
      </w:r>
      <w:r w:rsidRPr="00D30941">
        <w:rPr>
          <w:bCs/>
          <w:iCs/>
          <w:szCs w:val="20"/>
          <w:lang w:val="es-CR"/>
        </w:rPr>
        <w:t xml:space="preserve"> mediante declaración jurada (</w:t>
      </w:r>
      <w:r w:rsidRPr="00D30941">
        <w:rPr>
          <w:bCs/>
          <w:i/>
          <w:iCs/>
          <w:szCs w:val="20"/>
          <w:lang w:val="es-CR"/>
        </w:rPr>
        <w:t>affidavit</w:t>
      </w:r>
      <w:r w:rsidR="005D3A5F">
        <w:rPr>
          <w:bCs/>
          <w:iCs/>
          <w:szCs w:val="20"/>
          <w:lang w:val="es-CR"/>
        </w:rPr>
        <w:t>).</w:t>
      </w:r>
    </w:p>
    <w:p w:rsidR="00AB4550" w:rsidRPr="006E675B" w:rsidRDefault="00AB4550" w:rsidP="006E675B">
      <w:pPr>
        <w:rPr>
          <w:bCs/>
          <w:iCs/>
          <w:szCs w:val="20"/>
          <w:highlight w:val="yellow"/>
        </w:rPr>
      </w:pPr>
    </w:p>
    <w:p w:rsidR="00722AED" w:rsidRPr="002B184D" w:rsidRDefault="002B184D" w:rsidP="002B184D">
      <w:pPr>
        <w:numPr>
          <w:ilvl w:val="0"/>
          <w:numId w:val="1"/>
        </w:numPr>
        <w:tabs>
          <w:tab w:val="num" w:pos="720"/>
        </w:tabs>
        <w:autoSpaceDE w:val="0"/>
        <w:autoSpaceDN w:val="0"/>
        <w:adjustRightInd w:val="0"/>
        <w:spacing w:after="0"/>
        <w:rPr>
          <w:bCs/>
          <w:iCs/>
          <w:szCs w:val="20"/>
          <w:lang w:val="es-CR"/>
        </w:rPr>
      </w:pPr>
      <w:r w:rsidRPr="00801CD7">
        <w:rPr>
          <w:lang w:val="es-CR"/>
        </w:rPr>
        <w:lastRenderedPageBreak/>
        <w:t>El objeto y la modalidad de las declaraciones se determina</w:t>
      </w:r>
      <w:r>
        <w:rPr>
          <w:lang w:val="es-CR"/>
        </w:rPr>
        <w:t>rá</w:t>
      </w:r>
      <w:r w:rsidRPr="00801CD7">
        <w:rPr>
          <w:lang w:val="es-CR"/>
        </w:rPr>
        <w:t xml:space="preserve"> en la parte resolutiva de la presente Resolución (</w:t>
      </w:r>
      <w:r w:rsidRPr="00801CD7">
        <w:rPr>
          <w:i/>
          <w:iCs/>
          <w:lang w:val="es-CR"/>
        </w:rPr>
        <w:t>infra</w:t>
      </w:r>
      <w:r w:rsidRPr="00801CD7">
        <w:rPr>
          <w:lang w:val="es-CR"/>
        </w:rPr>
        <w:t xml:space="preserve"> puntos resolutivos </w:t>
      </w:r>
      <w:r w:rsidR="006D25C9">
        <w:rPr>
          <w:lang w:val="es-CR"/>
        </w:rPr>
        <w:t>1, 2 y 3</w:t>
      </w:r>
      <w:r w:rsidRPr="00801CD7">
        <w:rPr>
          <w:lang w:val="es-CR"/>
        </w:rPr>
        <w:t>).</w:t>
      </w:r>
    </w:p>
    <w:p w:rsidR="00722AED" w:rsidRPr="00722AED" w:rsidRDefault="00722AED" w:rsidP="00722AED">
      <w:pPr>
        <w:pStyle w:val="ListParagraph1"/>
        <w:ind w:left="0" w:right="11"/>
        <w:jc w:val="both"/>
        <w:rPr>
          <w:rFonts w:ascii="Verdana" w:hAnsi="Verdana" w:cs="Verdana"/>
          <w:bCs/>
          <w:iCs/>
          <w:sz w:val="20"/>
          <w:szCs w:val="20"/>
        </w:rPr>
      </w:pPr>
    </w:p>
    <w:p w:rsidR="00722AED" w:rsidRPr="00722AED" w:rsidRDefault="003B5506" w:rsidP="00BC2C91">
      <w:pPr>
        <w:pStyle w:val="ListParagraph1"/>
        <w:numPr>
          <w:ilvl w:val="0"/>
          <w:numId w:val="4"/>
        </w:numPr>
        <w:ind w:right="11"/>
        <w:jc w:val="both"/>
        <w:rPr>
          <w:rFonts w:ascii="Verdana" w:hAnsi="Verdana" w:cs="Verdana"/>
          <w:b/>
          <w:bCs/>
          <w:i/>
          <w:iCs/>
          <w:sz w:val="20"/>
          <w:szCs w:val="20"/>
        </w:rPr>
      </w:pPr>
      <w:r>
        <w:rPr>
          <w:rFonts w:ascii="Verdana" w:hAnsi="Verdana"/>
          <w:b/>
          <w:i/>
          <w:sz w:val="20"/>
          <w:szCs w:val="20"/>
          <w:lang w:val="es-ES_tradnl"/>
        </w:rPr>
        <w:t>Admisibilidad</w:t>
      </w:r>
      <w:r w:rsidR="00156C2D">
        <w:rPr>
          <w:rFonts w:ascii="Verdana" w:hAnsi="Verdana"/>
          <w:b/>
          <w:i/>
          <w:sz w:val="20"/>
          <w:szCs w:val="20"/>
          <w:lang w:val="es-CR"/>
        </w:rPr>
        <w:t xml:space="preserve"> de la declaración testimonial</w:t>
      </w:r>
      <w:r w:rsidR="00A12DED">
        <w:rPr>
          <w:rFonts w:ascii="Verdana" w:hAnsi="Verdana"/>
          <w:b/>
          <w:i/>
          <w:sz w:val="20"/>
          <w:szCs w:val="20"/>
          <w:lang w:val="es-CR"/>
        </w:rPr>
        <w:t>, de la declaración a título informativo</w:t>
      </w:r>
      <w:r w:rsidR="00722AED" w:rsidRPr="00566E49">
        <w:rPr>
          <w:rFonts w:ascii="Verdana" w:hAnsi="Verdana"/>
          <w:b/>
          <w:i/>
          <w:sz w:val="20"/>
          <w:szCs w:val="20"/>
          <w:lang w:val="es-CR"/>
        </w:rPr>
        <w:t xml:space="preserve"> y </w:t>
      </w:r>
      <w:r w:rsidR="00A12DED">
        <w:rPr>
          <w:rFonts w:ascii="Verdana" w:hAnsi="Verdana"/>
          <w:b/>
          <w:i/>
          <w:sz w:val="20"/>
          <w:szCs w:val="20"/>
          <w:lang w:val="es-CR"/>
        </w:rPr>
        <w:t xml:space="preserve">del peritaje </w:t>
      </w:r>
      <w:r w:rsidR="00722AED" w:rsidRPr="00566E49">
        <w:rPr>
          <w:rFonts w:ascii="Verdana" w:hAnsi="Verdana"/>
          <w:b/>
          <w:i/>
          <w:sz w:val="20"/>
          <w:szCs w:val="20"/>
          <w:lang w:val="es-CR"/>
        </w:rPr>
        <w:t xml:space="preserve">ofrecidos por </w:t>
      </w:r>
      <w:r w:rsidR="00722AED">
        <w:rPr>
          <w:rFonts w:ascii="Verdana" w:hAnsi="Verdana"/>
          <w:b/>
          <w:i/>
          <w:sz w:val="20"/>
          <w:szCs w:val="20"/>
          <w:lang w:val="es-CR"/>
        </w:rPr>
        <w:t>el Estado</w:t>
      </w:r>
    </w:p>
    <w:p w:rsidR="00722AED" w:rsidRPr="00722AED" w:rsidRDefault="00722AED" w:rsidP="00B47A42">
      <w:pPr>
        <w:pStyle w:val="ListParagraph1"/>
        <w:ind w:left="0" w:right="11"/>
        <w:jc w:val="both"/>
        <w:rPr>
          <w:rFonts w:ascii="Verdana" w:hAnsi="Verdana"/>
          <w:sz w:val="20"/>
          <w:szCs w:val="20"/>
          <w:lang w:val="es-CR"/>
        </w:rPr>
      </w:pPr>
    </w:p>
    <w:p w:rsidR="004D24C9" w:rsidRDefault="00722AED" w:rsidP="004D24C9">
      <w:pPr>
        <w:pStyle w:val="BodyTextIndent"/>
        <w:numPr>
          <w:ilvl w:val="0"/>
          <w:numId w:val="1"/>
        </w:numPr>
        <w:tabs>
          <w:tab w:val="clear" w:pos="3870"/>
          <w:tab w:val="left" w:pos="0"/>
          <w:tab w:val="num" w:pos="709"/>
        </w:tabs>
        <w:spacing w:after="0"/>
        <w:ind w:left="0"/>
        <w:rPr>
          <w:rFonts w:cs="Verdana"/>
          <w:b/>
          <w:lang w:bidi="en-US"/>
        </w:rPr>
      </w:pPr>
      <w:r w:rsidRPr="003B5506">
        <w:rPr>
          <w:rFonts w:cs="Verdana"/>
          <w:lang w:bidi="en-US"/>
        </w:rPr>
        <w:t xml:space="preserve">El </w:t>
      </w:r>
      <w:r w:rsidRPr="003B5506">
        <w:rPr>
          <w:rFonts w:cs="Verdana"/>
          <w:b/>
          <w:i/>
          <w:lang w:bidi="en-US"/>
        </w:rPr>
        <w:t>Estado</w:t>
      </w:r>
      <w:r w:rsidR="00B47A42" w:rsidRPr="003B5506">
        <w:rPr>
          <w:rFonts w:cs="Verdana"/>
          <w:lang w:bidi="en-US"/>
        </w:rPr>
        <w:t xml:space="preserve">, en su </w:t>
      </w:r>
      <w:r w:rsidR="003B5506" w:rsidRPr="003B5506">
        <w:rPr>
          <w:rFonts w:cs="Verdana"/>
          <w:lang w:bidi="en-US"/>
        </w:rPr>
        <w:t xml:space="preserve">escrito de </w:t>
      </w:r>
      <w:r w:rsidR="00B47A42" w:rsidRPr="003B5506">
        <w:rPr>
          <w:rFonts w:cs="Verdana"/>
          <w:lang w:bidi="en-US"/>
        </w:rPr>
        <w:t>contestación,</w:t>
      </w:r>
      <w:r w:rsidRPr="003B5506">
        <w:rPr>
          <w:rFonts w:cs="Verdana"/>
          <w:lang w:bidi="en-US"/>
        </w:rPr>
        <w:t xml:space="preserve"> ofreció </w:t>
      </w:r>
      <w:r w:rsidR="00B47A42" w:rsidRPr="003B5506">
        <w:rPr>
          <w:rFonts w:cs="Verdana"/>
          <w:lang w:bidi="en-US"/>
        </w:rPr>
        <w:t>la declaración de un paciente con VIH/SIDA</w:t>
      </w:r>
      <w:r w:rsidR="003B5506" w:rsidRPr="003B5506">
        <w:rPr>
          <w:rStyle w:val="FootnoteReference"/>
          <w:rFonts w:cs="Verdana"/>
          <w:lang w:bidi="en-US"/>
        </w:rPr>
        <w:footnoteReference w:id="21"/>
      </w:r>
      <w:r w:rsidR="005A680E" w:rsidRPr="003B5506">
        <w:rPr>
          <w:rFonts w:cs="Verdana"/>
          <w:lang w:bidi="en-US"/>
        </w:rPr>
        <w:t>; la declaración pericial de un experto</w:t>
      </w:r>
      <w:r w:rsidR="003B5506" w:rsidRPr="003B5506">
        <w:rPr>
          <w:rStyle w:val="FootnoteReference"/>
          <w:rFonts w:cs="Verdana"/>
          <w:lang w:bidi="en-US"/>
        </w:rPr>
        <w:footnoteReference w:id="22"/>
      </w:r>
      <w:r w:rsidR="005A680E" w:rsidRPr="003B5506">
        <w:rPr>
          <w:rFonts w:cs="Verdana"/>
          <w:lang w:bidi="en-US"/>
        </w:rPr>
        <w:t>; y la declaración a título informativo de un experto</w:t>
      </w:r>
      <w:r w:rsidR="003B5506" w:rsidRPr="00A37B15">
        <w:rPr>
          <w:rStyle w:val="FootnoteReference"/>
          <w:rFonts w:cs="Verdana"/>
          <w:lang w:bidi="en-US"/>
        </w:rPr>
        <w:footnoteReference w:id="23"/>
      </w:r>
      <w:r w:rsidR="005A680E" w:rsidRPr="003B5506">
        <w:rPr>
          <w:rFonts w:cs="Verdana"/>
          <w:lang w:bidi="en-US"/>
        </w:rPr>
        <w:t>.</w:t>
      </w:r>
      <w:r w:rsidR="00A6299B">
        <w:rPr>
          <w:rFonts w:cs="Verdana"/>
          <w:lang w:bidi="en-US"/>
        </w:rPr>
        <w:t xml:space="preserve"> El Estado informó que estas declaraciones serían realizadas por medio de declaración jurada (</w:t>
      </w:r>
      <w:r w:rsidR="00A6299B">
        <w:rPr>
          <w:rFonts w:cs="Verdana"/>
          <w:i/>
          <w:lang w:bidi="en-US"/>
        </w:rPr>
        <w:t>affidavit</w:t>
      </w:r>
      <w:r w:rsidR="00A6299B">
        <w:rPr>
          <w:rFonts w:cs="Verdana"/>
          <w:lang w:bidi="en-US"/>
        </w:rPr>
        <w:t>).</w:t>
      </w:r>
      <w:r w:rsidR="003B5506">
        <w:rPr>
          <w:rFonts w:cs="Verdana"/>
          <w:lang w:bidi="en-US"/>
        </w:rPr>
        <w:t xml:space="preserve"> </w:t>
      </w:r>
      <w:r w:rsidR="00BF6F72" w:rsidRPr="003B5506">
        <w:rPr>
          <w:rFonts w:cs="Verdana"/>
          <w:lang w:bidi="en-US"/>
        </w:rPr>
        <w:t>Posteriormente, al presentar sus listas definitivas, el Estado informó a la Corte que el nombre de las personas que presentarían su declaración como expertos, por medio de fedatario público (</w:t>
      </w:r>
      <w:r w:rsidR="00BF6F72" w:rsidRPr="003B5506">
        <w:rPr>
          <w:rFonts w:cs="Verdana"/>
          <w:i/>
          <w:lang w:bidi="en-US"/>
        </w:rPr>
        <w:t>affidavit</w:t>
      </w:r>
      <w:r w:rsidR="00BF6F72" w:rsidRPr="003B5506">
        <w:rPr>
          <w:rFonts w:cs="Verdana"/>
          <w:lang w:bidi="en-US"/>
        </w:rPr>
        <w:t>)</w:t>
      </w:r>
      <w:r w:rsidR="003B5506">
        <w:rPr>
          <w:rFonts w:cs="Verdana"/>
          <w:lang w:bidi="en-US"/>
        </w:rPr>
        <w:t>,</w:t>
      </w:r>
      <w:r w:rsidR="00BF6F72" w:rsidRPr="003B5506">
        <w:rPr>
          <w:rFonts w:cs="Verdana"/>
          <w:lang w:bidi="en-US"/>
        </w:rPr>
        <w:t xml:space="preserve"> </w:t>
      </w:r>
      <w:r w:rsidR="003B5506">
        <w:rPr>
          <w:rFonts w:cs="Verdana"/>
          <w:lang w:bidi="en-US"/>
        </w:rPr>
        <w:t>son</w:t>
      </w:r>
      <w:r w:rsidR="00BF6F72" w:rsidRPr="003B5506">
        <w:rPr>
          <w:rFonts w:cs="Verdana"/>
          <w:lang w:bidi="en-US"/>
        </w:rPr>
        <w:t xml:space="preserve"> el </w:t>
      </w:r>
      <w:r w:rsidR="003B5506">
        <w:rPr>
          <w:rFonts w:cs="Verdana"/>
          <w:lang w:bidi="en-US"/>
        </w:rPr>
        <w:t>señor</w:t>
      </w:r>
      <w:r w:rsidR="00BF6F72" w:rsidRPr="003B5506">
        <w:rPr>
          <w:rFonts w:cs="Verdana"/>
          <w:lang w:bidi="en-US"/>
        </w:rPr>
        <w:t xml:space="preserve"> Mario Enrique Antón Urbina</w:t>
      </w:r>
      <w:r w:rsidR="003B5506">
        <w:rPr>
          <w:rStyle w:val="FootnoteReference"/>
          <w:rFonts w:cs="Verdana"/>
          <w:lang w:bidi="en-US"/>
        </w:rPr>
        <w:footnoteReference w:id="24"/>
      </w:r>
      <w:r w:rsidR="00BF6F72" w:rsidRPr="003B5506">
        <w:rPr>
          <w:rFonts w:cs="Verdana"/>
          <w:lang w:bidi="en-US"/>
        </w:rPr>
        <w:t>, y la señora Blanca Estela Dardón Gudiel</w:t>
      </w:r>
      <w:r w:rsidR="003B5506" w:rsidRPr="003726D9">
        <w:rPr>
          <w:rStyle w:val="FootnoteReference"/>
          <w:rFonts w:cs="Verdana"/>
          <w:lang w:bidi="en-US"/>
        </w:rPr>
        <w:footnoteReference w:id="25"/>
      </w:r>
      <w:r w:rsidR="00961EDB" w:rsidRPr="003726D9">
        <w:rPr>
          <w:rFonts w:cs="Verdana"/>
          <w:lang w:bidi="en-US"/>
        </w:rPr>
        <w:t>, y remitió sus hojas de vida, a solicitud de la Corte, mediante su escrito de 1 de febrero de 2018</w:t>
      </w:r>
      <w:r w:rsidR="00BF6F72" w:rsidRPr="003726D9">
        <w:rPr>
          <w:rFonts w:cs="Verdana"/>
          <w:lang w:bidi="en-US"/>
        </w:rPr>
        <w:t>.</w:t>
      </w:r>
      <w:r w:rsidR="00BF6F72" w:rsidRPr="003B5506">
        <w:rPr>
          <w:rFonts w:cs="Verdana"/>
          <w:lang w:bidi="en-US"/>
        </w:rPr>
        <w:t xml:space="preserve"> Por otro lado, en relación con la identificación del paciente con VIH/SIDA</w:t>
      </w:r>
      <w:r w:rsidR="003B5506">
        <w:rPr>
          <w:rFonts w:cs="Verdana"/>
          <w:lang w:bidi="en-US"/>
        </w:rPr>
        <w:t xml:space="preserve"> ofrecido en su escrito de contestación</w:t>
      </w:r>
      <w:r w:rsidR="00BF6F72" w:rsidRPr="003B5506">
        <w:rPr>
          <w:rFonts w:cs="Verdana"/>
          <w:lang w:bidi="en-US"/>
        </w:rPr>
        <w:t>, el Estado informó a la Corte que</w:t>
      </w:r>
      <w:r w:rsidR="003B5506">
        <w:rPr>
          <w:rFonts w:cs="Verdana"/>
          <w:lang w:bidi="en-US"/>
        </w:rPr>
        <w:t>,</w:t>
      </w:r>
      <w:r w:rsidR="00BF6F72" w:rsidRPr="003B5506">
        <w:rPr>
          <w:rFonts w:cs="Verdana"/>
          <w:lang w:bidi="en-US"/>
        </w:rPr>
        <w:t xml:space="preserve"> por razones de confidencialidad</w:t>
      </w:r>
      <w:r w:rsidR="003B5506">
        <w:rPr>
          <w:rFonts w:cs="Verdana"/>
          <w:lang w:bidi="en-US"/>
        </w:rPr>
        <w:t>,</w:t>
      </w:r>
      <w:r w:rsidR="00BF6F72" w:rsidRPr="003B5506">
        <w:rPr>
          <w:rFonts w:cs="Verdana"/>
          <w:lang w:bidi="en-US"/>
        </w:rPr>
        <w:t xml:space="preserve"> no era posible proporcionar el nombre de la declarante, pero que ésta se encuentra en disponibilidad para declarar, por lo que solicitó qu</w:t>
      </w:r>
      <w:r w:rsidR="003B5506">
        <w:rPr>
          <w:rFonts w:cs="Verdana"/>
          <w:lang w:bidi="en-US"/>
        </w:rPr>
        <w:t>e sea aceptada como declarante</w:t>
      </w:r>
      <w:r w:rsidR="003B5506" w:rsidRPr="003B5506">
        <w:rPr>
          <w:rStyle w:val="FootnoteReference"/>
          <w:rFonts w:cs="Verdana"/>
          <w:lang w:bidi="en-US"/>
        </w:rPr>
        <w:footnoteReference w:id="26"/>
      </w:r>
      <w:r w:rsidR="00BF6F72" w:rsidRPr="003B5506">
        <w:rPr>
          <w:rFonts w:cs="Verdana"/>
          <w:lang w:bidi="en-US"/>
        </w:rPr>
        <w:t>.</w:t>
      </w:r>
    </w:p>
    <w:p w:rsidR="004D24C9" w:rsidRDefault="004D24C9" w:rsidP="004D24C9">
      <w:pPr>
        <w:pStyle w:val="BodyTextIndent"/>
        <w:tabs>
          <w:tab w:val="left" w:pos="0"/>
        </w:tabs>
        <w:spacing w:after="0"/>
        <w:ind w:left="0"/>
        <w:rPr>
          <w:rFonts w:cs="Verdana"/>
          <w:lang w:bidi="en-US"/>
        </w:rPr>
      </w:pPr>
    </w:p>
    <w:p w:rsidR="005C02FA" w:rsidRDefault="00D15AE5" w:rsidP="004D24C9">
      <w:pPr>
        <w:pStyle w:val="BodyTextIndent"/>
        <w:numPr>
          <w:ilvl w:val="0"/>
          <w:numId w:val="1"/>
        </w:numPr>
        <w:tabs>
          <w:tab w:val="clear" w:pos="3870"/>
          <w:tab w:val="left" w:pos="0"/>
          <w:tab w:val="num" w:pos="709"/>
        </w:tabs>
        <w:spacing w:after="0"/>
        <w:ind w:left="0"/>
        <w:rPr>
          <w:rFonts w:cs="Verdana"/>
          <w:b/>
          <w:lang w:bidi="en-US"/>
        </w:rPr>
      </w:pPr>
      <w:r w:rsidRPr="004D24C9">
        <w:rPr>
          <w:rFonts w:cs="Verdana"/>
          <w:lang w:bidi="en-US"/>
        </w:rPr>
        <w:t xml:space="preserve">Los </w:t>
      </w:r>
      <w:r w:rsidRPr="004D24C9">
        <w:rPr>
          <w:rFonts w:cs="Verdana"/>
          <w:b/>
          <w:i/>
          <w:lang w:bidi="en-US"/>
        </w:rPr>
        <w:t>representantes</w:t>
      </w:r>
      <w:r w:rsidRPr="004D24C9">
        <w:rPr>
          <w:rFonts w:cs="Verdana"/>
          <w:lang w:bidi="en-US"/>
        </w:rPr>
        <w:t xml:space="preserve"> alegaron que las declaraciones incluidas en la lista definitiva de declarantes</w:t>
      </w:r>
      <w:r w:rsidR="00AB3D6F" w:rsidRPr="004D24C9">
        <w:rPr>
          <w:rFonts w:cs="Verdana"/>
          <w:lang w:bidi="en-US"/>
        </w:rPr>
        <w:t>,</w:t>
      </w:r>
      <w:r w:rsidRPr="004D24C9">
        <w:rPr>
          <w:rFonts w:cs="Verdana"/>
          <w:lang w:bidi="en-US"/>
        </w:rPr>
        <w:t xml:space="preserve"> presentada por el Estado</w:t>
      </w:r>
      <w:r w:rsidR="00AB3D6F" w:rsidRPr="004D24C9">
        <w:rPr>
          <w:rFonts w:cs="Verdana"/>
          <w:lang w:bidi="en-US"/>
        </w:rPr>
        <w:t>,</w:t>
      </w:r>
      <w:r w:rsidRPr="004D24C9">
        <w:rPr>
          <w:rFonts w:cs="Verdana"/>
          <w:lang w:bidi="en-US"/>
        </w:rPr>
        <w:t xml:space="preserve"> fueron ofrecidas de manera extemporánea</w:t>
      </w:r>
      <w:r w:rsidR="00AB3D6F" w:rsidRPr="004D24C9">
        <w:rPr>
          <w:rFonts w:cs="Verdana"/>
          <w:lang w:bidi="en-US"/>
        </w:rPr>
        <w:t>,</w:t>
      </w:r>
      <w:r w:rsidRPr="004D24C9">
        <w:rPr>
          <w:rFonts w:cs="Verdana"/>
          <w:lang w:bidi="en-US"/>
        </w:rPr>
        <w:t xml:space="preserve"> y sin la debida forma, por lo que </w:t>
      </w:r>
      <w:r w:rsidR="00AB3D6F" w:rsidRPr="004D24C9">
        <w:rPr>
          <w:rFonts w:cs="Verdana"/>
          <w:lang w:bidi="en-US"/>
        </w:rPr>
        <w:t>debían</w:t>
      </w:r>
      <w:r w:rsidRPr="004D24C9">
        <w:rPr>
          <w:rFonts w:cs="Verdana"/>
          <w:lang w:bidi="en-US"/>
        </w:rPr>
        <w:t xml:space="preserve"> ser excluidas. Al respecto, los representantes alegaron que el artículo 41 del reglamento de la Corte establece que el momento procesal oportuno para identificar a los declarantes y al objeto de su declaración, así como</w:t>
      </w:r>
      <w:r w:rsidR="00AB3D6F" w:rsidRPr="004D24C9">
        <w:rPr>
          <w:rFonts w:cs="Verdana"/>
          <w:lang w:bidi="en-US"/>
        </w:rPr>
        <w:t xml:space="preserve"> para presentar</w:t>
      </w:r>
      <w:r w:rsidRPr="004D24C9">
        <w:rPr>
          <w:rFonts w:cs="Verdana"/>
          <w:lang w:bidi="en-US"/>
        </w:rPr>
        <w:t xml:space="preserve"> las hojas de vida y los datos de contacto de los peritos es en </w:t>
      </w:r>
      <w:r w:rsidR="00AB3D6F" w:rsidRPr="004D24C9">
        <w:rPr>
          <w:rFonts w:cs="Verdana"/>
          <w:lang w:bidi="en-US"/>
        </w:rPr>
        <w:t>el escrito de contestación</w:t>
      </w:r>
      <w:r w:rsidRPr="004D24C9">
        <w:rPr>
          <w:rFonts w:cs="Verdana"/>
          <w:lang w:bidi="en-US"/>
        </w:rPr>
        <w:t xml:space="preserve">. </w:t>
      </w:r>
      <w:r w:rsidR="00AB3D6F" w:rsidRPr="004D24C9">
        <w:rPr>
          <w:rFonts w:cs="Verdana"/>
          <w:lang w:bidi="en-US"/>
        </w:rPr>
        <w:t>A</w:t>
      </w:r>
      <w:r w:rsidRPr="004D24C9">
        <w:rPr>
          <w:rFonts w:cs="Verdana"/>
          <w:lang w:bidi="en-US"/>
        </w:rPr>
        <w:t>dvirtieron que lo anterior no ocurrió en el presente caso</w:t>
      </w:r>
      <w:r w:rsidR="00115A2D" w:rsidRPr="004D24C9">
        <w:rPr>
          <w:rFonts w:cs="Verdana"/>
          <w:lang w:bidi="en-US"/>
        </w:rPr>
        <w:t xml:space="preserve">, pues el Estado no identificó a ninguna de las personas que rendirían las declaraciones ofrecidas en </w:t>
      </w:r>
      <w:r w:rsidR="00AB3D6F" w:rsidRPr="004D24C9">
        <w:rPr>
          <w:rFonts w:cs="Verdana"/>
          <w:lang w:bidi="en-US"/>
        </w:rPr>
        <w:t>el escrito de</w:t>
      </w:r>
      <w:r w:rsidR="00115A2D" w:rsidRPr="004D24C9">
        <w:rPr>
          <w:rFonts w:cs="Verdana"/>
          <w:lang w:bidi="en-US"/>
        </w:rPr>
        <w:t xml:space="preserve"> contestación, ni tampoco aportó la hoja de vida de la persona ofrecida como perito</w:t>
      </w:r>
      <w:r w:rsidR="00AB3D6F" w:rsidRPr="004D24C9">
        <w:rPr>
          <w:rFonts w:cs="Verdana"/>
          <w:lang w:bidi="en-US"/>
        </w:rPr>
        <w:t>,</w:t>
      </w:r>
      <w:r w:rsidR="00115A2D" w:rsidRPr="004D24C9">
        <w:rPr>
          <w:rFonts w:cs="Verdana"/>
          <w:lang w:bidi="en-US"/>
        </w:rPr>
        <w:t xml:space="preserve"> ni de la persona ofrecida c</w:t>
      </w:r>
      <w:r w:rsidR="004D24C9" w:rsidRPr="004D24C9">
        <w:rPr>
          <w:rFonts w:cs="Verdana"/>
          <w:lang w:bidi="en-US"/>
        </w:rPr>
        <w:t xml:space="preserve">omo </w:t>
      </w:r>
      <w:r w:rsidR="00115A2D" w:rsidRPr="004D24C9">
        <w:rPr>
          <w:rFonts w:cs="Verdana"/>
          <w:lang w:bidi="en-US"/>
        </w:rPr>
        <w:t>declarante a título informativo.</w:t>
      </w:r>
    </w:p>
    <w:p w:rsidR="004D24C9" w:rsidRPr="004D24C9" w:rsidRDefault="004D24C9" w:rsidP="004D24C9">
      <w:pPr>
        <w:pStyle w:val="BodyTextIndent"/>
        <w:tabs>
          <w:tab w:val="left" w:pos="0"/>
        </w:tabs>
        <w:spacing w:after="0"/>
        <w:rPr>
          <w:rFonts w:cs="Verdana"/>
          <w:b/>
          <w:lang w:bidi="en-US"/>
        </w:rPr>
      </w:pPr>
    </w:p>
    <w:p w:rsidR="00172FA6" w:rsidRPr="004D24C9" w:rsidRDefault="00115A2D" w:rsidP="005C02FA">
      <w:pPr>
        <w:pStyle w:val="BodyTextIndent"/>
        <w:numPr>
          <w:ilvl w:val="0"/>
          <w:numId w:val="1"/>
        </w:numPr>
        <w:tabs>
          <w:tab w:val="left" w:pos="0"/>
          <w:tab w:val="num" w:pos="720"/>
        </w:tabs>
        <w:spacing w:after="0"/>
        <w:ind w:left="0"/>
        <w:rPr>
          <w:rFonts w:cs="Verdana"/>
          <w:lang w:bidi="en-US"/>
        </w:rPr>
      </w:pPr>
      <w:r w:rsidRPr="005C02FA">
        <w:rPr>
          <w:rFonts w:cs="Verdana"/>
          <w:lang w:bidi="en-US"/>
        </w:rPr>
        <w:t xml:space="preserve">Adicionalmente, los representantes alegaron que el objeto del peritaje y la declaración a título informativo ofrecidas por el Estado resultan demasiado amplios, lo que impide tener claridad sobre su relevancia. En el mismo sentido, alegaron que el Estado no </w:t>
      </w:r>
      <w:r w:rsidRPr="005C02FA">
        <w:rPr>
          <w:rFonts w:cs="Verdana"/>
          <w:lang w:bidi="en-US"/>
        </w:rPr>
        <w:lastRenderedPageBreak/>
        <w:t xml:space="preserve">aportó las hojas de vida de las personas ofrecidas como declarantes, por lo que la Corte no se encuentra en posición de evaluar la idoneidad de los declarantes ofrecidos. </w:t>
      </w:r>
      <w:r w:rsidR="00172FA6" w:rsidRPr="003726D9">
        <w:rPr>
          <w:rFonts w:cs="Verdana"/>
          <w:lang w:bidi="en-US"/>
        </w:rPr>
        <w:t>Asimismo</w:t>
      </w:r>
      <w:r w:rsidRPr="003726D9">
        <w:rPr>
          <w:rFonts w:cs="Verdana"/>
          <w:lang w:bidi="en-US"/>
        </w:rPr>
        <w:t xml:space="preserve">, en relación con </w:t>
      </w:r>
      <w:r w:rsidR="00F05FC8" w:rsidRPr="003726D9">
        <w:rPr>
          <w:rFonts w:cs="Verdana"/>
          <w:lang w:bidi="en-US"/>
        </w:rPr>
        <w:t xml:space="preserve">el declarante ofrecido por el Estado, los representantes alegaron que </w:t>
      </w:r>
      <w:r w:rsidR="00AB3D6F" w:rsidRPr="003726D9">
        <w:rPr>
          <w:rFonts w:cs="Verdana"/>
          <w:lang w:bidi="en-US"/>
        </w:rPr>
        <w:t>dicha declaración</w:t>
      </w:r>
      <w:r w:rsidR="00F05FC8" w:rsidRPr="003726D9">
        <w:rPr>
          <w:rFonts w:cs="Verdana"/>
          <w:lang w:bidi="en-US"/>
        </w:rPr>
        <w:t xml:space="preserve"> es irrelevante para los efectos del presente caso</w:t>
      </w:r>
      <w:r w:rsidR="00AB3D6F" w:rsidRPr="003726D9">
        <w:rPr>
          <w:rFonts w:cs="Verdana"/>
          <w:lang w:bidi="en-US"/>
        </w:rPr>
        <w:t>,</w:t>
      </w:r>
      <w:r w:rsidR="00F05FC8" w:rsidRPr="003726D9">
        <w:rPr>
          <w:rFonts w:cs="Verdana"/>
          <w:lang w:bidi="en-US"/>
        </w:rPr>
        <w:t xml:space="preserve"> pues se refiere a la declaración de un paciente con VIH</w:t>
      </w:r>
      <w:r w:rsidR="00AB3D6F" w:rsidRPr="003726D9">
        <w:rPr>
          <w:rFonts w:cs="Verdana"/>
          <w:lang w:bidi="en-US"/>
        </w:rPr>
        <w:t>,</w:t>
      </w:r>
      <w:r w:rsidR="00F05FC8" w:rsidRPr="003726D9">
        <w:rPr>
          <w:rFonts w:cs="Verdana"/>
          <w:lang w:bidi="en-US"/>
        </w:rPr>
        <w:t xml:space="preserve"> y la atención médica recibida</w:t>
      </w:r>
      <w:r w:rsidR="00AB3D6F" w:rsidRPr="003726D9">
        <w:rPr>
          <w:rFonts w:cs="Verdana"/>
          <w:lang w:bidi="en-US"/>
        </w:rPr>
        <w:t>,</w:t>
      </w:r>
      <w:r w:rsidR="00F05FC8" w:rsidRPr="003726D9">
        <w:rPr>
          <w:rFonts w:cs="Verdana"/>
          <w:lang w:bidi="en-US"/>
        </w:rPr>
        <w:t xml:space="preserve"> y no de la declaración de </w:t>
      </w:r>
      <w:r w:rsidR="00AB3D6F" w:rsidRPr="003726D9">
        <w:rPr>
          <w:rFonts w:cs="Verdana"/>
          <w:lang w:bidi="en-US"/>
        </w:rPr>
        <w:t xml:space="preserve">una </w:t>
      </w:r>
      <w:r w:rsidR="002D600F" w:rsidRPr="003726D9">
        <w:rPr>
          <w:rFonts w:cs="Verdana"/>
          <w:lang w:bidi="en-US"/>
        </w:rPr>
        <w:t>persona reclamante</w:t>
      </w:r>
      <w:r w:rsidR="00F05FC8" w:rsidRPr="003726D9">
        <w:rPr>
          <w:rFonts w:cs="Verdana"/>
          <w:lang w:bidi="en-US"/>
        </w:rPr>
        <w:t xml:space="preserve"> del caso. Por lo anterior, solicitaron que se declare</w:t>
      </w:r>
      <w:r w:rsidR="00AB3D6F" w:rsidRPr="003726D9">
        <w:rPr>
          <w:rFonts w:cs="Verdana"/>
          <w:lang w:bidi="en-US"/>
        </w:rPr>
        <w:t>n</w:t>
      </w:r>
      <w:r w:rsidR="00F05FC8" w:rsidRPr="003726D9">
        <w:rPr>
          <w:rFonts w:cs="Verdana"/>
          <w:lang w:bidi="en-US"/>
        </w:rPr>
        <w:t xml:space="preserve"> inadmisible las declaraciones ofrecidas por el Estado.</w:t>
      </w:r>
      <w:r w:rsidR="005C02FA" w:rsidRPr="003726D9">
        <w:rPr>
          <w:rFonts w:cs="Verdana"/>
          <w:lang w:bidi="en-US"/>
        </w:rPr>
        <w:t xml:space="preserve"> Finalmente, mediante escrito de 6 de febrero de 2018, los representantes reiteraron</w:t>
      </w:r>
      <w:r w:rsidR="004D24C9" w:rsidRPr="003726D9">
        <w:rPr>
          <w:rFonts w:cs="Verdana"/>
          <w:lang w:bidi="en-US"/>
        </w:rPr>
        <w:t>,</w:t>
      </w:r>
      <w:r w:rsidR="005C02FA" w:rsidRPr="003726D9">
        <w:rPr>
          <w:rFonts w:cs="Verdana"/>
          <w:lang w:bidi="en-US"/>
        </w:rPr>
        <w:t xml:space="preserve"> en esencia</w:t>
      </w:r>
      <w:r w:rsidR="004D24C9" w:rsidRPr="003726D9">
        <w:rPr>
          <w:rFonts w:cs="Verdana"/>
          <w:lang w:bidi="en-US"/>
        </w:rPr>
        <w:t>,</w:t>
      </w:r>
      <w:r w:rsidR="005C02FA" w:rsidRPr="003726D9">
        <w:rPr>
          <w:rFonts w:cs="Verdana"/>
          <w:lang w:bidi="en-US"/>
        </w:rPr>
        <w:t xml:space="preserve"> sus alegatos respecto a la inadmisibilidad de las declaraciones incluidas por el Estado en sus listas definitivas, </w:t>
      </w:r>
      <w:r w:rsidR="004D24C9" w:rsidRPr="003726D9">
        <w:rPr>
          <w:rFonts w:cs="Verdana"/>
          <w:lang w:bidi="en-US"/>
        </w:rPr>
        <w:t>agregando que el peritaje del doctor Mario Enrique Antón Urbina debe ser rechazado, pues dicho perito mantiene una relación de subordinación con las autoridades estatales, lo cual afecta su imparcialidad.</w:t>
      </w:r>
      <w:r w:rsidR="005C02FA" w:rsidRPr="005C02FA">
        <w:rPr>
          <w:rFonts w:cs="Verdana"/>
          <w:lang w:bidi="en-US"/>
        </w:rPr>
        <w:t xml:space="preserve"> </w:t>
      </w:r>
    </w:p>
    <w:p w:rsidR="00AB3D6F" w:rsidRPr="00A6299B" w:rsidRDefault="00AB3D6F" w:rsidP="00AB3D6F">
      <w:pPr>
        <w:pStyle w:val="BodyTextIndent"/>
        <w:tabs>
          <w:tab w:val="left" w:pos="0"/>
        </w:tabs>
        <w:spacing w:after="0"/>
        <w:ind w:left="0"/>
        <w:rPr>
          <w:rFonts w:cs="Verdana"/>
          <w:lang w:bidi="en-US"/>
        </w:rPr>
      </w:pPr>
    </w:p>
    <w:p w:rsidR="00AB4239" w:rsidRPr="00A6299B" w:rsidRDefault="00F05FC8" w:rsidP="00A6299B">
      <w:pPr>
        <w:pStyle w:val="BodyTextIndent"/>
        <w:numPr>
          <w:ilvl w:val="0"/>
          <w:numId w:val="1"/>
        </w:numPr>
        <w:tabs>
          <w:tab w:val="left" w:pos="0"/>
          <w:tab w:val="num" w:pos="720"/>
        </w:tabs>
        <w:spacing w:after="0"/>
        <w:ind w:left="0"/>
        <w:rPr>
          <w:rFonts w:cs="Verdana"/>
          <w:b/>
          <w:lang w:bidi="en-US"/>
        </w:rPr>
      </w:pPr>
      <w:r>
        <w:rPr>
          <w:rFonts w:cs="Verdana"/>
          <w:lang w:bidi="en-US"/>
        </w:rPr>
        <w:t xml:space="preserve">La </w:t>
      </w:r>
      <w:r>
        <w:rPr>
          <w:rFonts w:cs="Verdana"/>
          <w:b/>
          <w:i/>
          <w:lang w:bidi="en-US"/>
        </w:rPr>
        <w:t xml:space="preserve">Comisión </w:t>
      </w:r>
      <w:r>
        <w:rPr>
          <w:rFonts w:cs="Verdana"/>
          <w:lang w:bidi="en-US"/>
        </w:rPr>
        <w:t>informó que no tiene observaciones a formular respecto a las listas definitivas presentadas por las partes.</w:t>
      </w:r>
    </w:p>
    <w:p w:rsidR="00A6299B" w:rsidRPr="00A6299B" w:rsidRDefault="00A6299B" w:rsidP="00A6299B">
      <w:pPr>
        <w:pStyle w:val="BodyTextIndent"/>
        <w:tabs>
          <w:tab w:val="left" w:pos="0"/>
        </w:tabs>
        <w:spacing w:after="0"/>
        <w:ind w:left="0"/>
        <w:rPr>
          <w:rFonts w:cs="Verdana"/>
          <w:lang w:bidi="en-US"/>
        </w:rPr>
      </w:pPr>
    </w:p>
    <w:p w:rsidR="00924194" w:rsidRPr="00924194" w:rsidRDefault="00A37B15" w:rsidP="00924194">
      <w:pPr>
        <w:pStyle w:val="BodyTextIndent"/>
        <w:numPr>
          <w:ilvl w:val="0"/>
          <w:numId w:val="1"/>
        </w:numPr>
        <w:tabs>
          <w:tab w:val="left" w:pos="0"/>
          <w:tab w:val="num" w:pos="720"/>
        </w:tabs>
        <w:spacing w:after="0"/>
        <w:ind w:left="0"/>
        <w:rPr>
          <w:bCs/>
          <w:iCs/>
          <w:szCs w:val="20"/>
          <w:lang w:val="es-ES"/>
        </w:rPr>
      </w:pPr>
      <w:r>
        <w:rPr>
          <w:bCs/>
          <w:iCs/>
          <w:szCs w:val="20"/>
        </w:rPr>
        <w:t>E</w:t>
      </w:r>
      <w:r w:rsidR="000F7E74" w:rsidRPr="00AB4239">
        <w:rPr>
          <w:bCs/>
          <w:iCs/>
          <w:szCs w:val="20"/>
        </w:rPr>
        <w:t>sta Presidencia recuerda que la parte que ofrece una prueba debe asegurar que su presentación cumpla con los requisitos reglamentarios y que la falta de remisión de la prueba en el tiempo oportuno y en la forma debida lleva a que la misma sea declarada inadmisible</w:t>
      </w:r>
      <w:r w:rsidR="000F7E74" w:rsidRPr="00410D89">
        <w:rPr>
          <w:vertAlign w:val="superscript"/>
        </w:rPr>
        <w:footnoteReference w:id="27"/>
      </w:r>
      <w:r w:rsidR="000F7E74" w:rsidRPr="00AB4239">
        <w:rPr>
          <w:bCs/>
          <w:iCs/>
          <w:szCs w:val="20"/>
        </w:rPr>
        <w:t>.</w:t>
      </w:r>
      <w:r w:rsidR="00AB4239">
        <w:rPr>
          <w:bCs/>
          <w:iCs/>
          <w:szCs w:val="20"/>
        </w:rPr>
        <w:t xml:space="preserve"> </w:t>
      </w:r>
    </w:p>
    <w:p w:rsidR="00924194" w:rsidRPr="00924194" w:rsidRDefault="00924194" w:rsidP="00924194">
      <w:pPr>
        <w:pStyle w:val="BodyTextIndent"/>
        <w:tabs>
          <w:tab w:val="left" w:pos="0"/>
        </w:tabs>
        <w:spacing w:after="0"/>
        <w:ind w:left="0"/>
        <w:rPr>
          <w:bCs/>
          <w:iCs/>
          <w:szCs w:val="20"/>
          <w:lang w:val="es-ES"/>
        </w:rPr>
      </w:pPr>
    </w:p>
    <w:p w:rsidR="00924194" w:rsidRPr="00924194" w:rsidRDefault="00AB4239" w:rsidP="00924194">
      <w:pPr>
        <w:pStyle w:val="BodyTextIndent"/>
        <w:numPr>
          <w:ilvl w:val="0"/>
          <w:numId w:val="1"/>
        </w:numPr>
        <w:tabs>
          <w:tab w:val="left" w:pos="0"/>
          <w:tab w:val="num" w:pos="720"/>
        </w:tabs>
        <w:spacing w:after="0"/>
        <w:ind w:left="0"/>
        <w:rPr>
          <w:bCs/>
          <w:iCs/>
          <w:szCs w:val="20"/>
          <w:lang w:val="es-ES"/>
        </w:rPr>
      </w:pPr>
      <w:r>
        <w:rPr>
          <w:bCs/>
          <w:iCs/>
          <w:szCs w:val="20"/>
        </w:rPr>
        <w:t xml:space="preserve">En </w:t>
      </w:r>
      <w:r w:rsidR="00BF1994">
        <w:rPr>
          <w:bCs/>
          <w:iCs/>
          <w:szCs w:val="20"/>
        </w:rPr>
        <w:t>relación con lo anterior</w:t>
      </w:r>
      <w:r>
        <w:rPr>
          <w:bCs/>
          <w:iCs/>
          <w:szCs w:val="20"/>
        </w:rPr>
        <w:t xml:space="preserve">, </w:t>
      </w:r>
      <w:r w:rsidR="000F7E74" w:rsidRPr="00AB4239">
        <w:rPr>
          <w:bCs/>
          <w:iCs/>
          <w:szCs w:val="20"/>
        </w:rPr>
        <w:t xml:space="preserve">el pedido de inclusión de </w:t>
      </w:r>
      <w:r w:rsidRPr="003B5506">
        <w:rPr>
          <w:rFonts w:cs="Verdana"/>
          <w:lang w:bidi="en-US"/>
        </w:rPr>
        <w:t>declaración como expertos, por medio de fedatario público (</w:t>
      </w:r>
      <w:r w:rsidRPr="003B5506">
        <w:rPr>
          <w:rFonts w:cs="Verdana"/>
          <w:i/>
          <w:lang w:bidi="en-US"/>
        </w:rPr>
        <w:t>affidavit</w:t>
      </w:r>
      <w:r w:rsidRPr="003B5506">
        <w:rPr>
          <w:rFonts w:cs="Verdana"/>
          <w:lang w:bidi="en-US"/>
        </w:rPr>
        <w:t>)</w:t>
      </w:r>
      <w:r>
        <w:rPr>
          <w:rFonts w:cs="Verdana"/>
          <w:lang w:bidi="en-US"/>
        </w:rPr>
        <w:t>,</w:t>
      </w:r>
      <w:r w:rsidRPr="003B5506">
        <w:rPr>
          <w:rFonts w:cs="Verdana"/>
          <w:lang w:bidi="en-US"/>
        </w:rPr>
        <w:t xml:space="preserve"> </w:t>
      </w:r>
      <w:r>
        <w:rPr>
          <w:rFonts w:cs="Verdana"/>
          <w:lang w:bidi="en-US"/>
        </w:rPr>
        <w:t>del</w:t>
      </w:r>
      <w:r w:rsidRPr="003B5506">
        <w:rPr>
          <w:rFonts w:cs="Verdana"/>
          <w:lang w:bidi="en-US"/>
        </w:rPr>
        <w:t xml:space="preserve"> </w:t>
      </w:r>
      <w:r>
        <w:rPr>
          <w:rFonts w:cs="Verdana"/>
          <w:lang w:bidi="en-US"/>
        </w:rPr>
        <w:t>señor</w:t>
      </w:r>
      <w:r w:rsidRPr="003B5506">
        <w:rPr>
          <w:rFonts w:cs="Verdana"/>
          <w:lang w:bidi="en-US"/>
        </w:rPr>
        <w:t xml:space="preserve"> Mario Enrique Antón Urbina, y</w:t>
      </w:r>
      <w:r>
        <w:rPr>
          <w:rFonts w:cs="Verdana"/>
          <w:lang w:bidi="en-US"/>
        </w:rPr>
        <w:t xml:space="preserve"> de</w:t>
      </w:r>
      <w:r w:rsidRPr="003B5506">
        <w:rPr>
          <w:rFonts w:cs="Verdana"/>
          <w:lang w:bidi="en-US"/>
        </w:rPr>
        <w:t xml:space="preserve"> la señora Blanca Estela Dardón Gudiel</w:t>
      </w:r>
      <w:r>
        <w:rPr>
          <w:rFonts w:cs="Verdana"/>
          <w:lang w:bidi="en-US"/>
        </w:rPr>
        <w:t>,</w:t>
      </w:r>
      <w:r w:rsidR="000F7E74" w:rsidRPr="00AB4239">
        <w:rPr>
          <w:bCs/>
          <w:iCs/>
          <w:szCs w:val="20"/>
        </w:rPr>
        <w:t xml:space="preserve"> es extemporáneo, pues el momento procesal oportuno para la presentación de prueba</w:t>
      </w:r>
      <w:r w:rsidR="00A63B8A">
        <w:rPr>
          <w:bCs/>
          <w:iCs/>
          <w:szCs w:val="20"/>
        </w:rPr>
        <w:t xml:space="preserve"> pericial</w:t>
      </w:r>
      <w:r w:rsidR="000F7E74" w:rsidRPr="00AB4239">
        <w:rPr>
          <w:bCs/>
          <w:iCs/>
          <w:szCs w:val="20"/>
        </w:rPr>
        <w:t xml:space="preserve"> por parte del Estado es su escrito de contestación</w:t>
      </w:r>
      <w:r>
        <w:rPr>
          <w:bCs/>
          <w:iCs/>
          <w:szCs w:val="20"/>
        </w:rPr>
        <w:t>, o bien en el plazo otorgado por este Tribunal</w:t>
      </w:r>
      <w:r w:rsidR="00A63B8A">
        <w:rPr>
          <w:bCs/>
          <w:iCs/>
          <w:szCs w:val="20"/>
        </w:rPr>
        <w:t xml:space="preserve"> en fecha 9 de agosto de 2017</w:t>
      </w:r>
      <w:r>
        <w:rPr>
          <w:bCs/>
          <w:iCs/>
          <w:szCs w:val="20"/>
        </w:rPr>
        <w:t>, el cual venci</w:t>
      </w:r>
      <w:r w:rsidR="00A63B8A">
        <w:rPr>
          <w:bCs/>
          <w:iCs/>
          <w:szCs w:val="20"/>
        </w:rPr>
        <w:t>ó en fecha 16 de agosto de 2017</w:t>
      </w:r>
      <w:r w:rsidR="007A1B5A" w:rsidRPr="00AB4239">
        <w:rPr>
          <w:bCs/>
          <w:iCs/>
          <w:szCs w:val="20"/>
        </w:rPr>
        <w:t>.</w:t>
      </w:r>
      <w:r w:rsidR="007A1B5A">
        <w:rPr>
          <w:bCs/>
          <w:iCs/>
          <w:szCs w:val="20"/>
        </w:rPr>
        <w:t xml:space="preserve"> </w:t>
      </w:r>
      <w:r w:rsidR="00BF1994">
        <w:rPr>
          <w:bCs/>
          <w:iCs/>
          <w:szCs w:val="20"/>
        </w:rPr>
        <w:t xml:space="preserve">Asimismo, el Presidente advierte que el Estado no remitió las hojas de vida </w:t>
      </w:r>
      <w:r w:rsidR="00F7570B">
        <w:rPr>
          <w:bCs/>
          <w:iCs/>
          <w:szCs w:val="20"/>
        </w:rPr>
        <w:t>del perito ni de la declarante a título informativo</w:t>
      </w:r>
      <w:r w:rsidR="004D24C9">
        <w:rPr>
          <w:bCs/>
          <w:iCs/>
          <w:szCs w:val="20"/>
        </w:rPr>
        <w:t xml:space="preserve"> </w:t>
      </w:r>
      <w:r w:rsidR="004D24C9" w:rsidRPr="003726D9">
        <w:rPr>
          <w:bCs/>
          <w:iCs/>
          <w:szCs w:val="20"/>
        </w:rPr>
        <w:t>en el momento procesal oportuno</w:t>
      </w:r>
      <w:r w:rsidR="00BF1994">
        <w:rPr>
          <w:bCs/>
          <w:iCs/>
          <w:szCs w:val="20"/>
        </w:rPr>
        <w:t>.</w:t>
      </w:r>
      <w:r w:rsidR="000F7E74" w:rsidRPr="00AB4239">
        <w:rPr>
          <w:bCs/>
          <w:iCs/>
          <w:szCs w:val="20"/>
        </w:rPr>
        <w:t xml:space="preserve"> </w:t>
      </w:r>
      <w:r w:rsidR="00BF1994">
        <w:rPr>
          <w:bCs/>
          <w:iCs/>
          <w:szCs w:val="20"/>
        </w:rPr>
        <w:t>En este sentido, el Presidente recuerda que l</w:t>
      </w:r>
      <w:r w:rsidR="00A63B8A">
        <w:rPr>
          <w:bCs/>
          <w:iCs/>
          <w:szCs w:val="20"/>
        </w:rPr>
        <w:t xml:space="preserve">a etapa procesal en que el ofrecimiento de la prueba pericial debe ser ofrecida por el Estado </w:t>
      </w:r>
      <w:r w:rsidR="000F7E74" w:rsidRPr="00AB4239">
        <w:rPr>
          <w:bCs/>
          <w:iCs/>
          <w:szCs w:val="20"/>
        </w:rPr>
        <w:t>está prevista en el artículo 41</w:t>
      </w:r>
      <w:r>
        <w:rPr>
          <w:bCs/>
          <w:iCs/>
          <w:szCs w:val="20"/>
        </w:rPr>
        <w:t>.1.c</w:t>
      </w:r>
      <w:r w:rsidR="000F7E74" w:rsidRPr="00AB4239">
        <w:rPr>
          <w:bCs/>
          <w:iCs/>
          <w:szCs w:val="20"/>
        </w:rPr>
        <w:t xml:space="preserve"> del Reglamento del Tribunal</w:t>
      </w:r>
      <w:r>
        <w:rPr>
          <w:bCs/>
          <w:iCs/>
          <w:szCs w:val="20"/>
        </w:rPr>
        <w:t xml:space="preserve">, el cual </w:t>
      </w:r>
      <w:r w:rsidR="00BF1994">
        <w:rPr>
          <w:bCs/>
          <w:iCs/>
          <w:szCs w:val="20"/>
        </w:rPr>
        <w:t>establece</w:t>
      </w:r>
      <w:r>
        <w:rPr>
          <w:bCs/>
          <w:iCs/>
          <w:szCs w:val="20"/>
        </w:rPr>
        <w:t xml:space="preserve"> que</w:t>
      </w:r>
      <w:r w:rsidR="00A63B8A">
        <w:rPr>
          <w:bCs/>
          <w:iCs/>
          <w:szCs w:val="20"/>
        </w:rPr>
        <w:t>,</w:t>
      </w:r>
      <w:r>
        <w:rPr>
          <w:bCs/>
          <w:iCs/>
          <w:szCs w:val="20"/>
        </w:rPr>
        <w:t xml:space="preserve"> en su escrito de contestación</w:t>
      </w:r>
      <w:r w:rsidR="00A63B8A">
        <w:rPr>
          <w:bCs/>
          <w:iCs/>
          <w:szCs w:val="20"/>
        </w:rPr>
        <w:t>,</w:t>
      </w:r>
      <w:r>
        <w:rPr>
          <w:bCs/>
          <w:iCs/>
          <w:szCs w:val="20"/>
        </w:rPr>
        <w:t xml:space="preserve"> el Estado deberá indicar “</w:t>
      </w:r>
      <w:r w:rsidR="00924194">
        <w:rPr>
          <w:bCs/>
          <w:iCs/>
          <w:szCs w:val="20"/>
        </w:rPr>
        <w:t>c. la propuesta e identificación de los declarantes y el objeto de su declaración. En el caso de los peritos, deberán además remitir su hoja de vida y sus datos de contacto</w:t>
      </w:r>
      <w:r w:rsidR="000F7E74" w:rsidRPr="00AB4239">
        <w:rPr>
          <w:bCs/>
          <w:iCs/>
          <w:szCs w:val="20"/>
        </w:rPr>
        <w:t>.</w:t>
      </w:r>
      <w:r w:rsidR="00924194">
        <w:rPr>
          <w:bCs/>
          <w:iCs/>
          <w:szCs w:val="20"/>
        </w:rPr>
        <w:t>”</w:t>
      </w:r>
      <w:r w:rsidR="000F7E74" w:rsidRPr="00AB4239">
        <w:rPr>
          <w:bCs/>
          <w:iCs/>
          <w:szCs w:val="20"/>
        </w:rPr>
        <w:t xml:space="preserve"> En consecuencia,</w:t>
      </w:r>
      <w:r w:rsidR="00924194">
        <w:rPr>
          <w:bCs/>
          <w:iCs/>
          <w:szCs w:val="20"/>
        </w:rPr>
        <w:t xml:space="preserve"> dado que el Estado no cumplió con los requisitos de tiempo y forma previstos en el artículo antes mencionado, pues identificó a sus declarantes hasta la presentación de sus listas definitivas,</w:t>
      </w:r>
      <w:r w:rsidR="000F7E74" w:rsidRPr="00AB4239">
        <w:rPr>
          <w:bCs/>
          <w:iCs/>
          <w:szCs w:val="20"/>
        </w:rPr>
        <w:t xml:space="preserve"> el ofrecimiento de </w:t>
      </w:r>
      <w:r w:rsidR="00F7570B">
        <w:rPr>
          <w:bCs/>
          <w:iCs/>
          <w:szCs w:val="20"/>
        </w:rPr>
        <w:t>dichas declaraciones</w:t>
      </w:r>
      <w:r w:rsidR="000F7E74" w:rsidRPr="00AB4239">
        <w:rPr>
          <w:bCs/>
          <w:iCs/>
          <w:szCs w:val="20"/>
        </w:rPr>
        <w:t xml:space="preserve"> es manifiestamente extempo</w:t>
      </w:r>
      <w:r w:rsidR="00924194">
        <w:rPr>
          <w:bCs/>
          <w:iCs/>
          <w:szCs w:val="20"/>
        </w:rPr>
        <w:t>ráneo y, por ende, inadmisible.</w:t>
      </w:r>
    </w:p>
    <w:p w:rsidR="00924194" w:rsidRPr="00924194" w:rsidRDefault="00924194" w:rsidP="00924194">
      <w:pPr>
        <w:pStyle w:val="BodyTextIndent"/>
        <w:tabs>
          <w:tab w:val="left" w:pos="0"/>
        </w:tabs>
        <w:spacing w:after="0"/>
        <w:ind w:left="0"/>
        <w:rPr>
          <w:bCs/>
          <w:iCs/>
          <w:szCs w:val="20"/>
          <w:lang w:val="es-ES"/>
        </w:rPr>
      </w:pPr>
    </w:p>
    <w:p w:rsidR="0062421C" w:rsidRPr="00BF1994" w:rsidRDefault="0062421C" w:rsidP="00BF1994">
      <w:pPr>
        <w:pStyle w:val="BodyTextIndent"/>
        <w:numPr>
          <w:ilvl w:val="0"/>
          <w:numId w:val="1"/>
        </w:numPr>
        <w:tabs>
          <w:tab w:val="left" w:pos="0"/>
          <w:tab w:val="num" w:pos="720"/>
        </w:tabs>
        <w:spacing w:after="0"/>
        <w:ind w:left="0"/>
        <w:rPr>
          <w:bCs/>
          <w:iCs/>
          <w:szCs w:val="20"/>
          <w:lang w:val="es-ES"/>
        </w:rPr>
      </w:pPr>
      <w:r w:rsidRPr="00BF1994">
        <w:rPr>
          <w:bCs/>
          <w:iCs/>
          <w:szCs w:val="20"/>
          <w:lang w:val="es-ES"/>
        </w:rPr>
        <w:t xml:space="preserve">Adicionalmente, en lo que respecta al ofrecimiento de la prueba declaratoria, consistente en el testimonio de un paciente con VIH/SIDA, </w:t>
      </w:r>
      <w:r w:rsidRPr="00BF1994">
        <w:rPr>
          <w:rFonts w:cs="Verdana"/>
          <w:szCs w:val="20"/>
          <w:lang w:bidi="en-US"/>
        </w:rPr>
        <w:t>el Presidente advierte que el objeto de su eventual declaración, propuesto por el Estado, no guarda relación directa con las presuntas violaciones alegadas por la Comisión o los representantes, y en consecuencia no estima pertinente recibir tal declaración</w:t>
      </w:r>
      <w:r w:rsidRPr="0036069A">
        <w:rPr>
          <w:rStyle w:val="FootnoteReference"/>
          <w:szCs w:val="20"/>
          <w:lang w:bidi="en-US"/>
        </w:rPr>
        <w:footnoteReference w:id="28"/>
      </w:r>
      <w:r w:rsidR="00BF1994">
        <w:rPr>
          <w:rFonts w:cs="Verdana"/>
          <w:szCs w:val="20"/>
          <w:lang w:bidi="en-US"/>
        </w:rPr>
        <w:t>, por lo que resulta inadmisible</w:t>
      </w:r>
      <w:r w:rsidRPr="00BF1994">
        <w:rPr>
          <w:rFonts w:cs="Verdana"/>
          <w:szCs w:val="20"/>
          <w:lang w:bidi="en-US"/>
        </w:rPr>
        <w:t>.</w:t>
      </w:r>
    </w:p>
    <w:p w:rsidR="00BF1994" w:rsidRPr="00BF1994" w:rsidRDefault="00BF1994" w:rsidP="00BF1994">
      <w:pPr>
        <w:pStyle w:val="BodyTextIndent"/>
        <w:tabs>
          <w:tab w:val="left" w:pos="0"/>
        </w:tabs>
        <w:spacing w:after="0"/>
        <w:ind w:left="0"/>
        <w:rPr>
          <w:bCs/>
          <w:iCs/>
          <w:szCs w:val="20"/>
          <w:lang w:val="es-ES"/>
        </w:rPr>
      </w:pPr>
    </w:p>
    <w:p w:rsidR="000E7FDC" w:rsidRPr="00BE2758" w:rsidRDefault="000E7FDC" w:rsidP="00BC2C91">
      <w:pPr>
        <w:pStyle w:val="ListParagraph1"/>
        <w:numPr>
          <w:ilvl w:val="0"/>
          <w:numId w:val="4"/>
        </w:numPr>
        <w:ind w:right="11"/>
        <w:jc w:val="both"/>
        <w:rPr>
          <w:rFonts w:ascii="Verdana" w:hAnsi="Verdana" w:cs="Verdana"/>
          <w:b/>
          <w:bCs/>
          <w:i/>
          <w:iCs/>
          <w:sz w:val="20"/>
          <w:szCs w:val="20"/>
        </w:rPr>
      </w:pPr>
      <w:r w:rsidRPr="00BE2758">
        <w:rPr>
          <w:rFonts w:ascii="Verdana" w:hAnsi="Verdana" w:cs="Verdana"/>
          <w:b/>
          <w:bCs/>
          <w:i/>
          <w:iCs/>
          <w:sz w:val="20"/>
          <w:szCs w:val="20"/>
        </w:rPr>
        <w:t>Aplicación del Fondo de Asistencia Legal de Víctimas ante la Corte</w:t>
      </w:r>
    </w:p>
    <w:p w:rsidR="000E7FDC" w:rsidRDefault="000E7FDC" w:rsidP="00FC71D9">
      <w:pPr>
        <w:pStyle w:val="ListParagraph1"/>
        <w:ind w:left="0" w:right="11"/>
        <w:jc w:val="both"/>
        <w:rPr>
          <w:rFonts w:ascii="Verdana" w:hAnsi="Verdana" w:cs="Verdana"/>
          <w:bCs/>
          <w:iCs/>
          <w:color w:val="FF0000"/>
          <w:sz w:val="20"/>
          <w:szCs w:val="20"/>
        </w:rPr>
      </w:pPr>
    </w:p>
    <w:p w:rsidR="00A7646C" w:rsidRPr="0086146C" w:rsidRDefault="00FC71D9" w:rsidP="0086146C">
      <w:pPr>
        <w:pStyle w:val="ListParagraph"/>
        <w:numPr>
          <w:ilvl w:val="0"/>
          <w:numId w:val="1"/>
        </w:numPr>
        <w:tabs>
          <w:tab w:val="clear" w:pos="3870"/>
          <w:tab w:val="left" w:pos="0"/>
          <w:tab w:val="num" w:pos="709"/>
        </w:tabs>
        <w:autoSpaceDE w:val="0"/>
        <w:autoSpaceDN w:val="0"/>
        <w:adjustRightInd w:val="0"/>
        <w:spacing w:after="0"/>
        <w:ind w:left="0"/>
        <w:rPr>
          <w:rFonts w:cs="Verdana"/>
          <w:szCs w:val="20"/>
        </w:rPr>
      </w:pPr>
      <w:r w:rsidRPr="00FC71D9">
        <w:rPr>
          <w:szCs w:val="20"/>
        </w:rPr>
        <w:lastRenderedPageBreak/>
        <w:t xml:space="preserve">En Resolución adoptada por </w:t>
      </w:r>
      <w:r>
        <w:rPr>
          <w:szCs w:val="20"/>
        </w:rPr>
        <w:t>el Presidente ejercicio el 24</w:t>
      </w:r>
      <w:r w:rsidRPr="00FC71D9">
        <w:rPr>
          <w:szCs w:val="20"/>
        </w:rPr>
        <w:t xml:space="preserve"> de </w:t>
      </w:r>
      <w:r w:rsidR="005467B6">
        <w:rPr>
          <w:szCs w:val="20"/>
        </w:rPr>
        <w:t>julio de 2017,</w:t>
      </w:r>
      <w:r w:rsidRPr="00FC71D9">
        <w:rPr>
          <w:szCs w:val="20"/>
        </w:rPr>
        <w:t xml:space="preserve"> se resolvió </w:t>
      </w:r>
      <w:r w:rsidRPr="00FC71D9">
        <w:rPr>
          <w:rFonts w:cs="Verdana"/>
          <w:szCs w:val="20"/>
        </w:rPr>
        <w:t>declarar</w:t>
      </w:r>
      <w:r w:rsidRPr="00FC71D9">
        <w:rPr>
          <w:szCs w:val="20"/>
        </w:rPr>
        <w:t xml:space="preserve"> procedente la solicitud realizada por las </w:t>
      </w:r>
      <w:r w:rsidR="005C3FA3">
        <w:rPr>
          <w:szCs w:val="20"/>
        </w:rPr>
        <w:t>presuntas víctimas</w:t>
      </w:r>
      <w:r w:rsidRPr="00FC71D9">
        <w:rPr>
          <w:szCs w:val="20"/>
        </w:rPr>
        <w:t>, a través de s</w:t>
      </w:r>
      <w:r w:rsidRPr="00FC71D9">
        <w:rPr>
          <w:rFonts w:cs="Verdana"/>
          <w:szCs w:val="20"/>
        </w:rPr>
        <w:t xml:space="preserve">us representantes, para acogerse al Fondo de Asistencia Legal de Víctimas de la Corte Interamericana, de modo que se otorgaría la asistencia económica necesaria para presentación de un máximo de cinco declaraciones, ya sea en audiencia o por </w:t>
      </w:r>
      <w:r w:rsidRPr="00FC71D9">
        <w:rPr>
          <w:rFonts w:cs="Verdana"/>
          <w:i/>
          <w:szCs w:val="20"/>
        </w:rPr>
        <w:t>affidavit</w:t>
      </w:r>
      <w:r w:rsidRPr="00FC71D9">
        <w:rPr>
          <w:rFonts w:cs="Verdana"/>
          <w:szCs w:val="20"/>
        </w:rPr>
        <w:t>.</w:t>
      </w:r>
      <w:r w:rsidRPr="00FC71D9">
        <w:rPr>
          <w:szCs w:val="20"/>
        </w:rPr>
        <w:t xml:space="preserve"> </w:t>
      </w:r>
      <w:r w:rsidRPr="00A7646C">
        <w:rPr>
          <w:szCs w:val="20"/>
        </w:rPr>
        <w:t>Corresponde seguidamente precisar el destino y objeto específicos de dicha asi</w:t>
      </w:r>
      <w:r w:rsidR="0086146C">
        <w:rPr>
          <w:szCs w:val="20"/>
        </w:rPr>
        <w:t>stencia.</w:t>
      </w:r>
    </w:p>
    <w:p w:rsidR="0086146C" w:rsidRPr="00A7646C" w:rsidRDefault="0086146C" w:rsidP="0086146C">
      <w:pPr>
        <w:pStyle w:val="ListParagraph"/>
        <w:tabs>
          <w:tab w:val="left" w:pos="0"/>
        </w:tabs>
        <w:autoSpaceDE w:val="0"/>
        <w:autoSpaceDN w:val="0"/>
        <w:adjustRightInd w:val="0"/>
        <w:spacing w:after="0"/>
        <w:ind w:left="0"/>
        <w:rPr>
          <w:rFonts w:cs="Verdana"/>
          <w:szCs w:val="20"/>
        </w:rPr>
      </w:pPr>
    </w:p>
    <w:p w:rsidR="00A7646C" w:rsidRPr="0086146C" w:rsidRDefault="00FC71D9" w:rsidP="0086146C">
      <w:pPr>
        <w:pStyle w:val="ListParagraph"/>
        <w:numPr>
          <w:ilvl w:val="0"/>
          <w:numId w:val="1"/>
        </w:numPr>
        <w:tabs>
          <w:tab w:val="clear" w:pos="3870"/>
          <w:tab w:val="left" w:pos="0"/>
          <w:tab w:val="num" w:pos="709"/>
        </w:tabs>
        <w:autoSpaceDE w:val="0"/>
        <w:autoSpaceDN w:val="0"/>
        <w:adjustRightInd w:val="0"/>
        <w:spacing w:after="0"/>
        <w:ind w:left="0"/>
        <w:rPr>
          <w:rFonts w:cs="Verdana"/>
          <w:szCs w:val="20"/>
        </w:rPr>
      </w:pPr>
      <w:r w:rsidRPr="00A7646C">
        <w:rPr>
          <w:szCs w:val="20"/>
        </w:rPr>
        <w:t xml:space="preserve">Al respecto, el Presidente dispone que la asistencia económica estará asignada para cubrir los </w:t>
      </w:r>
      <w:r w:rsidRPr="00A7646C">
        <w:rPr>
          <w:rFonts w:cs="Verdana"/>
          <w:szCs w:val="20"/>
        </w:rPr>
        <w:t>gastos</w:t>
      </w:r>
      <w:r w:rsidRPr="00A7646C">
        <w:rPr>
          <w:szCs w:val="20"/>
        </w:rPr>
        <w:t xml:space="preserve"> de viaje y estadía </w:t>
      </w:r>
      <w:r w:rsidR="00D05478" w:rsidRPr="00A7646C">
        <w:rPr>
          <w:szCs w:val="20"/>
        </w:rPr>
        <w:t>necesaria</w:t>
      </w:r>
      <w:r w:rsidRPr="00A7646C">
        <w:rPr>
          <w:szCs w:val="20"/>
        </w:rPr>
        <w:t xml:space="preserve"> para que las </w:t>
      </w:r>
      <w:r w:rsidR="005C3FA3">
        <w:rPr>
          <w:szCs w:val="20"/>
        </w:rPr>
        <w:t>presuntas víctimas</w:t>
      </w:r>
      <w:r w:rsidRPr="00A7646C">
        <w:rPr>
          <w:szCs w:val="20"/>
        </w:rPr>
        <w:t xml:space="preserve"> </w:t>
      </w:r>
      <w:r w:rsidR="009C4E15" w:rsidRPr="00A7646C">
        <w:rPr>
          <w:rFonts w:cs="Arial-BoldMT"/>
          <w:bCs/>
          <w:szCs w:val="20"/>
          <w:lang w:val="es-CR" w:eastAsia="es-CR"/>
        </w:rPr>
        <w:t>Zoila Marina Perez Ruiz y de Luis Rolando Cuscúl Pivaral</w:t>
      </w:r>
      <w:r w:rsidRPr="00A7646C">
        <w:rPr>
          <w:szCs w:val="20"/>
        </w:rPr>
        <w:t xml:space="preserve"> comparezcan ante el Tribunal a rendir sus respectivas declaraciones en la audiencia pública que se celebrará en el presente caso. Adicionalmente, esta Presidencia determina que los gastos razonables </w:t>
      </w:r>
      <w:r w:rsidRPr="00A7646C">
        <w:rPr>
          <w:szCs w:val="20"/>
          <w:lang w:val="es-CR"/>
        </w:rPr>
        <w:t xml:space="preserve">de formalización y envío de los </w:t>
      </w:r>
      <w:r w:rsidRPr="00A7646C">
        <w:rPr>
          <w:i/>
          <w:iCs/>
          <w:szCs w:val="20"/>
          <w:lang w:val="es-CR"/>
        </w:rPr>
        <w:t xml:space="preserve">affidavits </w:t>
      </w:r>
      <w:r w:rsidRPr="00A7646C">
        <w:rPr>
          <w:szCs w:val="20"/>
          <w:lang w:val="es-CR"/>
        </w:rPr>
        <w:t xml:space="preserve">de </w:t>
      </w:r>
      <w:r w:rsidR="009C4E15" w:rsidRPr="00A7646C">
        <w:rPr>
          <w:szCs w:val="20"/>
          <w:lang w:val="es-CR"/>
        </w:rPr>
        <w:t>tres</w:t>
      </w:r>
      <w:r w:rsidRPr="00A7646C">
        <w:rPr>
          <w:szCs w:val="20"/>
          <w:lang w:val="es-CR"/>
        </w:rPr>
        <w:t xml:space="preserve"> declaraciones de </w:t>
      </w:r>
      <w:r w:rsidR="005C3FA3">
        <w:rPr>
          <w:szCs w:val="20"/>
          <w:lang w:val="es-CR"/>
        </w:rPr>
        <w:t>presuntas víctimas</w:t>
      </w:r>
      <w:r w:rsidRPr="00A7646C">
        <w:rPr>
          <w:szCs w:val="20"/>
        </w:rPr>
        <w:t xml:space="preserve"> ofrecidas por los representantes (</w:t>
      </w:r>
      <w:r w:rsidRPr="00126AD6">
        <w:rPr>
          <w:i/>
          <w:szCs w:val="20"/>
          <w:shd w:val="clear" w:color="auto" w:fill="FFFFFF" w:themeFill="background1"/>
        </w:rPr>
        <w:t xml:space="preserve">infra </w:t>
      </w:r>
      <w:r w:rsidR="00126AD6" w:rsidRPr="00126AD6">
        <w:rPr>
          <w:szCs w:val="20"/>
          <w:shd w:val="clear" w:color="auto" w:fill="FFFFFF" w:themeFill="background1"/>
        </w:rPr>
        <w:t>punto resolutivo 3</w:t>
      </w:r>
      <w:r w:rsidRPr="00A7646C">
        <w:rPr>
          <w:szCs w:val="20"/>
        </w:rPr>
        <w:t xml:space="preserve">), </w:t>
      </w:r>
      <w:r w:rsidRPr="00A7646C">
        <w:rPr>
          <w:color w:val="000000"/>
          <w:szCs w:val="20"/>
          <w:lang w:val="es-CR"/>
        </w:rPr>
        <w:t xml:space="preserve">según lo determinen éstos, </w:t>
      </w:r>
      <w:r w:rsidRPr="00A7646C">
        <w:rPr>
          <w:szCs w:val="20"/>
        </w:rPr>
        <w:t xml:space="preserve">podrán ser </w:t>
      </w:r>
      <w:r w:rsidR="005467B6" w:rsidRPr="00A7646C">
        <w:rPr>
          <w:szCs w:val="20"/>
        </w:rPr>
        <w:t>cubiertos</w:t>
      </w:r>
      <w:r w:rsidRPr="00A7646C">
        <w:rPr>
          <w:szCs w:val="20"/>
        </w:rPr>
        <w:t xml:space="preserve"> con recursos del Fondo de Asistencia Legal de Víctimas.</w:t>
      </w:r>
      <w:r w:rsidRPr="00A7646C">
        <w:rPr>
          <w:color w:val="000000"/>
          <w:szCs w:val="20"/>
          <w:lang w:val="es-CR"/>
        </w:rPr>
        <w:t xml:space="preserve"> Los representantes deberán comunicar a la Corte los nombres de los declarantes cuyos </w:t>
      </w:r>
      <w:r w:rsidRPr="00A7646C">
        <w:rPr>
          <w:i/>
          <w:iCs/>
          <w:szCs w:val="20"/>
          <w:lang w:val="es-CR"/>
        </w:rPr>
        <w:t xml:space="preserve">affidavits </w:t>
      </w:r>
      <w:r w:rsidRPr="00A7646C">
        <w:rPr>
          <w:iCs/>
          <w:szCs w:val="20"/>
          <w:lang w:val="es-CR"/>
        </w:rPr>
        <w:t>serán cubiertos por el Fondo de Asistencia y remitir la cotización del costo de la formalización de las declaraciones juradas en el país de residencia del declarante y de su envío, en el plazo establecido en la parte resolutiva de la presente Resolución (</w:t>
      </w:r>
      <w:r w:rsidRPr="00126AD6">
        <w:rPr>
          <w:i/>
          <w:iCs/>
          <w:szCs w:val="20"/>
          <w:lang w:val="es-CR"/>
        </w:rPr>
        <w:t>infra</w:t>
      </w:r>
      <w:r w:rsidR="00126AD6" w:rsidRPr="00126AD6">
        <w:rPr>
          <w:iCs/>
          <w:szCs w:val="20"/>
          <w:lang w:val="es-CR"/>
        </w:rPr>
        <w:t xml:space="preserve"> punto resolutivo 6</w:t>
      </w:r>
      <w:r w:rsidRPr="00A7646C">
        <w:rPr>
          <w:iCs/>
          <w:szCs w:val="20"/>
          <w:lang w:val="es-CR"/>
        </w:rPr>
        <w:t>).</w:t>
      </w:r>
    </w:p>
    <w:p w:rsidR="0086146C" w:rsidRPr="00A7646C" w:rsidRDefault="0086146C" w:rsidP="0086146C">
      <w:pPr>
        <w:pStyle w:val="ListParagraph"/>
        <w:tabs>
          <w:tab w:val="left" w:pos="0"/>
        </w:tabs>
        <w:autoSpaceDE w:val="0"/>
        <w:autoSpaceDN w:val="0"/>
        <w:adjustRightInd w:val="0"/>
        <w:spacing w:after="0"/>
        <w:ind w:left="0"/>
        <w:rPr>
          <w:rFonts w:cs="Verdana"/>
          <w:szCs w:val="20"/>
        </w:rPr>
      </w:pPr>
    </w:p>
    <w:p w:rsidR="00A7646C" w:rsidRPr="0086146C" w:rsidRDefault="00FC71D9" w:rsidP="0086146C">
      <w:pPr>
        <w:pStyle w:val="ListParagraph"/>
        <w:numPr>
          <w:ilvl w:val="0"/>
          <w:numId w:val="1"/>
        </w:numPr>
        <w:tabs>
          <w:tab w:val="clear" w:pos="3870"/>
          <w:tab w:val="left" w:pos="0"/>
          <w:tab w:val="num" w:pos="709"/>
        </w:tabs>
        <w:autoSpaceDE w:val="0"/>
        <w:autoSpaceDN w:val="0"/>
        <w:adjustRightInd w:val="0"/>
        <w:spacing w:after="0"/>
        <w:ind w:left="0"/>
        <w:rPr>
          <w:rFonts w:cs="Verdana"/>
          <w:szCs w:val="20"/>
        </w:rPr>
      </w:pPr>
      <w:r w:rsidRPr="00A7646C">
        <w:rPr>
          <w:szCs w:val="20"/>
        </w:rPr>
        <w:t>La Corte realizará las gestiones pertinentes y necesarias para cubrir los costos de traslado, alojamiento y manutención de las personas comparecientes con recursos proven</w:t>
      </w:r>
      <w:r w:rsidR="0086146C">
        <w:rPr>
          <w:szCs w:val="20"/>
        </w:rPr>
        <w:t>ientes del Fondo de Asistencia.</w:t>
      </w:r>
    </w:p>
    <w:p w:rsidR="0086146C" w:rsidRPr="00A7646C" w:rsidRDefault="0086146C" w:rsidP="0086146C">
      <w:pPr>
        <w:pStyle w:val="ListParagraph"/>
        <w:tabs>
          <w:tab w:val="left" w:pos="0"/>
        </w:tabs>
        <w:autoSpaceDE w:val="0"/>
        <w:autoSpaceDN w:val="0"/>
        <w:adjustRightInd w:val="0"/>
        <w:spacing w:after="0"/>
        <w:ind w:left="0"/>
        <w:rPr>
          <w:rFonts w:cs="Verdana"/>
          <w:szCs w:val="20"/>
        </w:rPr>
      </w:pPr>
    </w:p>
    <w:p w:rsidR="00A7646C" w:rsidRPr="0086146C" w:rsidRDefault="00FC71D9" w:rsidP="0086146C">
      <w:pPr>
        <w:pStyle w:val="ListParagraph"/>
        <w:numPr>
          <w:ilvl w:val="0"/>
          <w:numId w:val="1"/>
        </w:numPr>
        <w:tabs>
          <w:tab w:val="clear" w:pos="3870"/>
          <w:tab w:val="left" w:pos="0"/>
          <w:tab w:val="num" w:pos="709"/>
        </w:tabs>
        <w:autoSpaceDE w:val="0"/>
        <w:autoSpaceDN w:val="0"/>
        <w:adjustRightInd w:val="0"/>
        <w:spacing w:after="0"/>
        <w:ind w:left="0"/>
        <w:rPr>
          <w:rFonts w:cs="Verdana"/>
          <w:szCs w:val="20"/>
        </w:rPr>
      </w:pPr>
      <w:r w:rsidRPr="00A7646C">
        <w:rPr>
          <w:szCs w:val="20"/>
        </w:rPr>
        <w:t xml:space="preserve">Según lo requerido por el artículo 4 del Reglamento de la Corte sobre el Funcionamiento del Fondo de Asistencia, se dispone que la Secretaría abra un expediente de gastos a los fines de llevar la contabilidad y en el cual se documentará cada una de las erogaciones que se realicen en </w:t>
      </w:r>
      <w:r w:rsidR="0086146C">
        <w:rPr>
          <w:szCs w:val="20"/>
        </w:rPr>
        <w:t>relación con el referido Fondo.</w:t>
      </w:r>
    </w:p>
    <w:p w:rsidR="0086146C" w:rsidRPr="00A7646C" w:rsidRDefault="0086146C" w:rsidP="0086146C">
      <w:pPr>
        <w:pStyle w:val="ListParagraph"/>
        <w:tabs>
          <w:tab w:val="left" w:pos="0"/>
        </w:tabs>
        <w:autoSpaceDE w:val="0"/>
        <w:autoSpaceDN w:val="0"/>
        <w:adjustRightInd w:val="0"/>
        <w:spacing w:after="0"/>
        <w:ind w:left="0"/>
        <w:rPr>
          <w:rFonts w:cs="Verdana"/>
          <w:szCs w:val="20"/>
        </w:rPr>
      </w:pPr>
    </w:p>
    <w:p w:rsidR="00FC71D9" w:rsidRPr="00A7646C" w:rsidRDefault="00FC71D9" w:rsidP="0086146C">
      <w:pPr>
        <w:pStyle w:val="ListParagraph"/>
        <w:numPr>
          <w:ilvl w:val="0"/>
          <w:numId w:val="1"/>
        </w:numPr>
        <w:tabs>
          <w:tab w:val="clear" w:pos="3870"/>
          <w:tab w:val="left" w:pos="0"/>
          <w:tab w:val="num" w:pos="709"/>
        </w:tabs>
        <w:autoSpaceDE w:val="0"/>
        <w:autoSpaceDN w:val="0"/>
        <w:adjustRightInd w:val="0"/>
        <w:spacing w:after="0"/>
        <w:ind w:left="0"/>
        <w:rPr>
          <w:rFonts w:cs="Verdana"/>
          <w:szCs w:val="20"/>
        </w:rPr>
      </w:pPr>
      <w:r w:rsidRPr="00A7646C">
        <w:rPr>
          <w:szCs w:val="20"/>
        </w:rPr>
        <w:t>Finalmente, el Presidente recuerda que, según el artículo 5 del Reglamento del Fondo, se informará oportunamente al Estado las erogaciones realizadas en aplicación del Fondo de Asistencia Legal de Víctimas, para que presente sus observaciones, si así lo desea, dentro del plazo que se establezca al efecto.</w:t>
      </w:r>
    </w:p>
    <w:p w:rsidR="00FC71D9" w:rsidRDefault="00FC71D9" w:rsidP="00FC71D9">
      <w:pPr>
        <w:pStyle w:val="ListParagraph1"/>
        <w:ind w:left="0" w:right="11"/>
        <w:jc w:val="both"/>
        <w:rPr>
          <w:rFonts w:ascii="Verdana" w:hAnsi="Verdana" w:cs="Verdana"/>
          <w:bCs/>
          <w:iCs/>
          <w:sz w:val="20"/>
          <w:szCs w:val="20"/>
          <w:lang w:val="es-ES_tradnl"/>
        </w:rPr>
      </w:pPr>
    </w:p>
    <w:p w:rsidR="00B160F1" w:rsidRPr="005467B6" w:rsidRDefault="00B160F1" w:rsidP="00FC71D9">
      <w:pPr>
        <w:pStyle w:val="ListParagraph1"/>
        <w:ind w:left="0" w:right="11"/>
        <w:jc w:val="both"/>
        <w:rPr>
          <w:rFonts w:ascii="Verdana" w:hAnsi="Verdana" w:cs="Verdana"/>
          <w:bCs/>
          <w:iCs/>
          <w:sz w:val="20"/>
          <w:szCs w:val="20"/>
          <w:lang w:val="es-ES_tradnl"/>
        </w:rPr>
      </w:pPr>
    </w:p>
    <w:p w:rsidR="00431A17" w:rsidRPr="00BE2758" w:rsidRDefault="00312A59" w:rsidP="00573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r>
        <w:rPr>
          <w:rFonts w:cs="Verdana"/>
          <w:b/>
          <w:bCs/>
          <w:szCs w:val="20"/>
          <w:lang w:bidi="en-US"/>
        </w:rPr>
        <w:t>POR TANTO:</w:t>
      </w:r>
    </w:p>
    <w:p w:rsidR="00431A17" w:rsidRPr="00BE2758" w:rsidRDefault="00431A17" w:rsidP="00573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p>
    <w:p w:rsidR="00527A7B" w:rsidRPr="000C41A3" w:rsidRDefault="00527A7B" w:rsidP="00527A7B">
      <w:pPr>
        <w:spacing w:after="0"/>
        <w:rPr>
          <w:rFonts w:eastAsia="Times New Roman"/>
          <w:szCs w:val="20"/>
          <w:lang w:val="es-CR"/>
        </w:rPr>
      </w:pPr>
      <w:r w:rsidRPr="000C41A3">
        <w:rPr>
          <w:rFonts w:eastAsia="Times New Roman"/>
          <w:b/>
          <w:bCs/>
          <w:color w:val="000000"/>
          <w:szCs w:val="20"/>
          <w:lang w:val="es-CR"/>
        </w:rPr>
        <w:t>EL PRESIDENTE</w:t>
      </w:r>
      <w:r>
        <w:rPr>
          <w:rFonts w:eastAsia="Times New Roman"/>
          <w:b/>
          <w:bCs/>
          <w:color w:val="000000"/>
          <w:szCs w:val="20"/>
          <w:lang w:val="es-CR"/>
        </w:rPr>
        <w:t xml:space="preserve"> </w:t>
      </w:r>
      <w:r w:rsidRPr="000C41A3">
        <w:rPr>
          <w:rFonts w:eastAsia="Times New Roman"/>
          <w:b/>
          <w:bCs/>
          <w:color w:val="000000"/>
          <w:szCs w:val="20"/>
          <w:lang w:val="es-CR"/>
        </w:rPr>
        <w:t xml:space="preserve">DE LA CORTE INTERAMERICANA DE DERECHOS HUMANOS, </w:t>
      </w:r>
    </w:p>
    <w:p w:rsidR="00527A7B" w:rsidRPr="000C41A3" w:rsidRDefault="00527A7B" w:rsidP="00527A7B">
      <w:pPr>
        <w:spacing w:after="0"/>
        <w:ind w:left="360"/>
        <w:rPr>
          <w:rFonts w:eastAsia="Times New Roman"/>
          <w:szCs w:val="20"/>
          <w:lang w:val="es-CR"/>
        </w:rPr>
      </w:pPr>
    </w:p>
    <w:p w:rsidR="00527A7B" w:rsidRPr="000C41A3" w:rsidRDefault="00527A7B" w:rsidP="00527A7B">
      <w:pPr>
        <w:spacing w:after="0"/>
        <w:rPr>
          <w:rFonts w:eastAsia="Times New Roman"/>
          <w:szCs w:val="20"/>
          <w:lang w:val="es-CR"/>
        </w:rPr>
      </w:pPr>
      <w:r w:rsidRPr="000C41A3">
        <w:rPr>
          <w:rFonts w:eastAsia="Times New Roman"/>
          <w:color w:val="000000"/>
          <w:szCs w:val="20"/>
          <w:lang w:val="es-CR"/>
        </w:rPr>
        <w:t>de conformidad con los artículos 24.1 y 25.2 del Estatuto de la Corte</w:t>
      </w:r>
      <w:r w:rsidR="00D05478">
        <w:rPr>
          <w:rFonts w:eastAsia="Times New Roman"/>
          <w:color w:val="000000"/>
          <w:szCs w:val="20"/>
          <w:lang w:val="es-CR"/>
        </w:rPr>
        <w:t>,</w:t>
      </w:r>
      <w:r w:rsidRPr="000C41A3">
        <w:rPr>
          <w:rFonts w:eastAsia="Times New Roman"/>
          <w:color w:val="000000"/>
          <w:szCs w:val="20"/>
          <w:lang w:val="es-CR"/>
        </w:rPr>
        <w:t xml:space="preserve"> y con los artículos 4, 15.1</w:t>
      </w:r>
      <w:r w:rsidR="00D05478">
        <w:rPr>
          <w:rFonts w:eastAsia="Times New Roman"/>
          <w:color w:val="000000"/>
          <w:szCs w:val="20"/>
          <w:lang w:val="es-CR"/>
        </w:rPr>
        <w:t>, 26.1, 31.2, 35.1, 40.2, 41.1, 45, 46, 50 a 56 y 60</w:t>
      </w:r>
      <w:r w:rsidRPr="000C41A3">
        <w:rPr>
          <w:rFonts w:eastAsia="Times New Roman"/>
          <w:color w:val="000000"/>
          <w:szCs w:val="20"/>
          <w:lang w:val="es-CR"/>
        </w:rPr>
        <w:t xml:space="preserve"> del Reglamento, </w:t>
      </w:r>
    </w:p>
    <w:p w:rsidR="00527A7B" w:rsidRPr="000C41A3" w:rsidRDefault="00527A7B" w:rsidP="00527A7B">
      <w:pPr>
        <w:spacing w:after="0"/>
        <w:ind w:left="360"/>
        <w:rPr>
          <w:rFonts w:eastAsia="Times New Roman"/>
          <w:szCs w:val="20"/>
          <w:lang w:val="es-CR"/>
        </w:rPr>
      </w:pPr>
    </w:p>
    <w:p w:rsidR="00527A7B" w:rsidRPr="000C41A3" w:rsidRDefault="00527A7B" w:rsidP="00527A7B">
      <w:pPr>
        <w:spacing w:after="0"/>
        <w:rPr>
          <w:rFonts w:eastAsia="Times New Roman"/>
          <w:b/>
          <w:bCs/>
          <w:color w:val="000000"/>
          <w:szCs w:val="20"/>
          <w:lang w:val="es-CR"/>
        </w:rPr>
      </w:pPr>
      <w:r w:rsidRPr="000C41A3">
        <w:rPr>
          <w:rFonts w:eastAsia="Times New Roman"/>
          <w:b/>
          <w:bCs/>
          <w:color w:val="000000"/>
          <w:szCs w:val="20"/>
          <w:lang w:val="es-CR"/>
        </w:rPr>
        <w:t>RESUELVE:</w:t>
      </w:r>
    </w:p>
    <w:p w:rsidR="00527A7B" w:rsidRPr="000C41A3" w:rsidRDefault="00527A7B" w:rsidP="00527A7B">
      <w:pPr>
        <w:spacing w:after="0"/>
        <w:rPr>
          <w:rFonts w:eastAsia="Times New Roman"/>
          <w:b/>
          <w:bCs/>
          <w:color w:val="000000"/>
          <w:szCs w:val="20"/>
          <w:lang w:val="es-CR"/>
        </w:rPr>
      </w:pPr>
    </w:p>
    <w:p w:rsidR="00527A7B" w:rsidRPr="004A2725" w:rsidRDefault="00527A7B" w:rsidP="00527A7B">
      <w:pPr>
        <w:numPr>
          <w:ilvl w:val="0"/>
          <w:numId w:val="22"/>
        </w:numPr>
        <w:spacing w:after="0"/>
        <w:ind w:left="0" w:firstLine="0"/>
        <w:contextualSpacing/>
        <w:rPr>
          <w:rFonts w:eastAsia="Times New Roman"/>
          <w:b/>
          <w:bCs/>
          <w:color w:val="000000"/>
          <w:szCs w:val="20"/>
          <w:lang w:val="es-CR"/>
        </w:rPr>
      </w:pPr>
      <w:r w:rsidRPr="000C41A3">
        <w:rPr>
          <w:rFonts w:eastAsia="Times New Roman"/>
          <w:color w:val="000000"/>
          <w:szCs w:val="20"/>
          <w:lang w:val="es-CR"/>
        </w:rPr>
        <w:t>Convocar al Estado de Guatemala, a los representantes y a la Comisión Interamericana de Derechos Humanos</w:t>
      </w:r>
      <w:r w:rsidR="00D05478">
        <w:rPr>
          <w:rFonts w:eastAsia="Times New Roman"/>
          <w:color w:val="000000"/>
          <w:szCs w:val="20"/>
          <w:lang w:val="es-CR"/>
        </w:rPr>
        <w:t>,</w:t>
      </w:r>
      <w:r w:rsidRPr="000C41A3">
        <w:rPr>
          <w:rFonts w:eastAsia="Times New Roman"/>
          <w:color w:val="000000"/>
          <w:szCs w:val="20"/>
          <w:lang w:val="es-CR"/>
        </w:rPr>
        <w:t xml:space="preserve"> </w:t>
      </w:r>
      <w:r>
        <w:rPr>
          <w:rFonts w:eastAsia="Times New Roman"/>
          <w:color w:val="000000"/>
          <w:szCs w:val="20"/>
          <w:lang w:val="es-CR"/>
        </w:rPr>
        <w:t>a una audiencia pública sobre</w:t>
      </w:r>
      <w:r w:rsidRPr="00094E86">
        <w:rPr>
          <w:rFonts w:eastAsia="Times New Roman"/>
          <w:color w:val="000000"/>
          <w:szCs w:val="20"/>
          <w:lang w:val="es-CR"/>
        </w:rPr>
        <w:t xml:space="preserve"> fondo, y eventuales reparacio</w:t>
      </w:r>
      <w:r w:rsidR="00126AD6">
        <w:rPr>
          <w:rFonts w:eastAsia="Times New Roman"/>
          <w:color w:val="000000"/>
          <w:szCs w:val="20"/>
          <w:lang w:val="es-CR"/>
        </w:rPr>
        <w:t xml:space="preserve">nes y costas que se celebrará </w:t>
      </w:r>
      <w:r w:rsidR="00032555" w:rsidRPr="00032555">
        <w:rPr>
          <w:rFonts w:eastAsia="Times New Roman"/>
          <w:color w:val="000000"/>
          <w:szCs w:val="20"/>
          <w:lang w:val="es-CR"/>
        </w:rPr>
        <w:t>el día</w:t>
      </w:r>
      <w:r w:rsidRPr="00032555">
        <w:rPr>
          <w:rFonts w:eastAsia="Times New Roman"/>
          <w:color w:val="000000"/>
          <w:szCs w:val="20"/>
          <w:lang w:val="es-CR"/>
        </w:rPr>
        <w:t xml:space="preserve"> </w:t>
      </w:r>
      <w:r w:rsidR="00B771C9" w:rsidRPr="00032555">
        <w:rPr>
          <w:rFonts w:eastAsia="Times New Roman"/>
          <w:color w:val="000000"/>
          <w:szCs w:val="20"/>
          <w:lang w:val="es-CR"/>
        </w:rPr>
        <w:t xml:space="preserve">6 </w:t>
      </w:r>
      <w:r w:rsidRPr="00032555">
        <w:rPr>
          <w:rFonts w:eastAsia="Times New Roman"/>
          <w:color w:val="000000"/>
          <w:szCs w:val="20"/>
          <w:lang w:val="es-CR"/>
        </w:rPr>
        <w:t xml:space="preserve">de </w:t>
      </w:r>
      <w:r w:rsidR="00126AD6" w:rsidRPr="00032555">
        <w:rPr>
          <w:rFonts w:eastAsia="Times New Roman"/>
          <w:color w:val="000000"/>
          <w:szCs w:val="20"/>
          <w:lang w:val="es-CR"/>
        </w:rPr>
        <w:t>marzo</w:t>
      </w:r>
      <w:r w:rsidRPr="00032555">
        <w:rPr>
          <w:rFonts w:eastAsia="Times New Roman"/>
          <w:color w:val="000000"/>
          <w:szCs w:val="20"/>
          <w:lang w:val="es-CR"/>
        </w:rPr>
        <w:t xml:space="preserve"> de </w:t>
      </w:r>
      <w:r w:rsidR="00126AD6" w:rsidRPr="00032555">
        <w:rPr>
          <w:rFonts w:eastAsia="Times New Roman"/>
          <w:color w:val="000000"/>
          <w:szCs w:val="20"/>
          <w:lang w:val="es-CR"/>
        </w:rPr>
        <w:t>2018</w:t>
      </w:r>
      <w:r w:rsidRPr="00032555">
        <w:rPr>
          <w:rFonts w:eastAsia="Times New Roman"/>
          <w:color w:val="000000"/>
          <w:szCs w:val="20"/>
          <w:lang w:val="es-CR"/>
        </w:rPr>
        <w:t xml:space="preserve">, de las </w:t>
      </w:r>
      <w:r w:rsidR="00032555" w:rsidRPr="00032555">
        <w:rPr>
          <w:rFonts w:eastAsia="Times New Roman"/>
          <w:bCs/>
          <w:color w:val="000000"/>
          <w:szCs w:val="20"/>
          <w:lang w:val="es-CR"/>
        </w:rPr>
        <w:t>9:00 a las 13</w:t>
      </w:r>
      <w:r w:rsidR="005D1E07" w:rsidRPr="00032555">
        <w:rPr>
          <w:rFonts w:eastAsia="Times New Roman"/>
          <w:bCs/>
          <w:color w:val="000000"/>
          <w:szCs w:val="20"/>
          <w:lang w:val="es-CR"/>
        </w:rPr>
        <w:t>:</w:t>
      </w:r>
      <w:r w:rsidR="00B67F96" w:rsidRPr="00032555">
        <w:rPr>
          <w:rFonts w:eastAsia="Times New Roman"/>
          <w:bCs/>
          <w:color w:val="000000"/>
          <w:szCs w:val="20"/>
          <w:lang w:val="es-CR"/>
        </w:rPr>
        <w:t>00</w:t>
      </w:r>
      <w:r w:rsidR="005D1E07" w:rsidRPr="00032555">
        <w:rPr>
          <w:rFonts w:eastAsia="Times New Roman"/>
          <w:bCs/>
          <w:color w:val="000000"/>
          <w:szCs w:val="20"/>
          <w:lang w:val="es-CR"/>
        </w:rPr>
        <w:t xml:space="preserve"> hrs. y de </w:t>
      </w:r>
      <w:r w:rsidR="00032555" w:rsidRPr="00032555">
        <w:rPr>
          <w:rFonts w:eastAsia="Times New Roman"/>
          <w:bCs/>
          <w:color w:val="000000"/>
          <w:szCs w:val="20"/>
          <w:lang w:val="es-CR"/>
        </w:rPr>
        <w:t>las 15:00 a las 18</w:t>
      </w:r>
      <w:r w:rsidR="005D1E07" w:rsidRPr="00032555">
        <w:rPr>
          <w:rFonts w:eastAsia="Times New Roman"/>
          <w:bCs/>
          <w:color w:val="000000"/>
          <w:szCs w:val="20"/>
          <w:lang w:val="es-CR"/>
        </w:rPr>
        <w:t>:00 hrs.</w:t>
      </w:r>
      <w:r w:rsidRPr="00032555">
        <w:rPr>
          <w:rFonts w:eastAsia="Times New Roman"/>
          <w:color w:val="000000"/>
          <w:szCs w:val="20"/>
          <w:lang w:val="es-CR"/>
        </w:rPr>
        <w:t>,</w:t>
      </w:r>
      <w:r w:rsidRPr="00B160F1">
        <w:rPr>
          <w:rFonts w:eastAsia="Times New Roman"/>
          <w:color w:val="000000"/>
          <w:szCs w:val="20"/>
          <w:lang w:val="es-CR"/>
        </w:rPr>
        <w:t xml:space="preserve"> durante el </w:t>
      </w:r>
      <w:r w:rsidR="005D1E07" w:rsidRPr="00B160F1">
        <w:rPr>
          <w:rFonts w:eastAsia="Times New Roman"/>
          <w:bCs/>
          <w:color w:val="000000"/>
          <w:szCs w:val="20"/>
          <w:lang w:val="es-CR"/>
        </w:rPr>
        <w:t>122</w:t>
      </w:r>
      <w:r w:rsidRPr="00B160F1">
        <w:rPr>
          <w:rFonts w:eastAsia="Times New Roman"/>
          <w:b/>
          <w:bCs/>
          <w:color w:val="000000"/>
          <w:szCs w:val="20"/>
          <w:lang w:val="es-CR"/>
        </w:rPr>
        <w:t xml:space="preserve"> </w:t>
      </w:r>
      <w:r w:rsidRPr="00B160F1">
        <w:rPr>
          <w:rFonts w:eastAsia="Times New Roman"/>
          <w:color w:val="000000"/>
          <w:szCs w:val="20"/>
          <w:lang w:val="es-CR"/>
        </w:rPr>
        <w:t>Período Ordinario de Sesiones,</w:t>
      </w:r>
      <w:r w:rsidRPr="00094E86">
        <w:rPr>
          <w:rFonts w:eastAsia="Times New Roman"/>
          <w:color w:val="000000"/>
          <w:szCs w:val="20"/>
          <w:lang w:val="es-CR"/>
        </w:rPr>
        <w:t xml:space="preserve"> que se llevará a cabo en la sede de la Corte en San José, Costa Rica</w:t>
      </w:r>
      <w:r>
        <w:rPr>
          <w:rFonts w:eastAsia="Times New Roman"/>
          <w:color w:val="000000"/>
          <w:szCs w:val="20"/>
          <w:lang w:val="es-CR"/>
        </w:rPr>
        <w:t>,</w:t>
      </w:r>
      <w:r w:rsidRPr="00094E86">
        <w:rPr>
          <w:rFonts w:eastAsia="Times New Roman"/>
          <w:color w:val="000000"/>
          <w:szCs w:val="20"/>
          <w:lang w:val="es-CR"/>
        </w:rPr>
        <w:t xml:space="preserve"> para recibir sus alegatos y observaciones finales orales, así como para recibir las declaraciones de las siguientes personas:</w:t>
      </w:r>
    </w:p>
    <w:p w:rsidR="00527A7B" w:rsidRDefault="00527A7B" w:rsidP="00527A7B">
      <w:pPr>
        <w:spacing w:after="0"/>
        <w:rPr>
          <w:rFonts w:eastAsia="Times New Roman"/>
          <w:szCs w:val="20"/>
          <w:lang w:val="es-CR"/>
        </w:rPr>
      </w:pPr>
    </w:p>
    <w:p w:rsidR="00490528" w:rsidRPr="000C41A3" w:rsidRDefault="00490528" w:rsidP="00527A7B">
      <w:pPr>
        <w:spacing w:after="0"/>
        <w:rPr>
          <w:rFonts w:eastAsia="Times New Roman"/>
          <w:szCs w:val="20"/>
          <w:lang w:val="es-CR"/>
        </w:rPr>
      </w:pPr>
    </w:p>
    <w:p w:rsidR="00527A7B" w:rsidRPr="000C41A3" w:rsidRDefault="005C3FA3" w:rsidP="00527A7B">
      <w:pPr>
        <w:numPr>
          <w:ilvl w:val="0"/>
          <w:numId w:val="21"/>
        </w:numPr>
        <w:spacing w:after="0"/>
        <w:contextualSpacing/>
        <w:rPr>
          <w:rFonts w:eastAsia="Times New Roman"/>
          <w:b/>
          <w:szCs w:val="20"/>
        </w:rPr>
      </w:pPr>
      <w:r>
        <w:rPr>
          <w:rFonts w:eastAsia="Times New Roman"/>
          <w:b/>
          <w:szCs w:val="20"/>
        </w:rPr>
        <w:lastRenderedPageBreak/>
        <w:t>Presuntas víctimas</w:t>
      </w:r>
      <w:r w:rsidR="00527A7B" w:rsidRPr="000C41A3">
        <w:rPr>
          <w:rFonts w:eastAsia="Times New Roman"/>
          <w:b/>
          <w:szCs w:val="20"/>
        </w:rPr>
        <w:t xml:space="preserve"> </w:t>
      </w:r>
    </w:p>
    <w:p w:rsidR="00527A7B" w:rsidRPr="000C41A3" w:rsidRDefault="00527A7B" w:rsidP="00527A7B">
      <w:pPr>
        <w:spacing w:after="0"/>
        <w:ind w:left="360"/>
        <w:rPr>
          <w:rFonts w:eastAsia="Times New Roman"/>
          <w:b/>
          <w:szCs w:val="20"/>
        </w:rPr>
      </w:pPr>
    </w:p>
    <w:p w:rsidR="00527A7B" w:rsidRPr="000C41A3" w:rsidRDefault="00527A7B" w:rsidP="006C14F3">
      <w:pPr>
        <w:spacing w:after="0"/>
        <w:ind w:left="1440" w:firstLine="720"/>
        <w:rPr>
          <w:rFonts w:eastAsia="Times New Roman"/>
          <w:i/>
          <w:iCs/>
          <w:color w:val="000000"/>
          <w:szCs w:val="20"/>
          <w:lang w:val="es-CR"/>
        </w:rPr>
      </w:pPr>
      <w:r w:rsidRPr="000C41A3">
        <w:rPr>
          <w:rFonts w:eastAsia="Times New Roman"/>
          <w:i/>
          <w:iCs/>
          <w:color w:val="000000"/>
          <w:szCs w:val="20"/>
          <w:lang w:val="es-CR"/>
        </w:rPr>
        <w:t xml:space="preserve">Propuestos por los representantes </w:t>
      </w:r>
    </w:p>
    <w:p w:rsidR="00527A7B" w:rsidRPr="0051149F" w:rsidRDefault="00527A7B" w:rsidP="0051149F">
      <w:pPr>
        <w:spacing w:after="0"/>
        <w:rPr>
          <w:rFonts w:eastAsia="Times New Roman"/>
          <w:szCs w:val="20"/>
        </w:rPr>
      </w:pPr>
    </w:p>
    <w:p w:rsidR="00527A7B" w:rsidRPr="006C14F3" w:rsidRDefault="009C4E15" w:rsidP="006C14F3">
      <w:pPr>
        <w:pStyle w:val="ListParagraph"/>
        <w:numPr>
          <w:ilvl w:val="1"/>
          <w:numId w:val="21"/>
        </w:numPr>
        <w:spacing w:after="0"/>
        <w:ind w:left="709" w:firstLine="0"/>
        <w:contextualSpacing/>
        <w:rPr>
          <w:rFonts w:eastAsia="Times New Roman"/>
          <w:color w:val="000000"/>
          <w:szCs w:val="20"/>
          <w:lang w:val="es-CR"/>
        </w:rPr>
      </w:pPr>
      <w:r w:rsidRPr="006C14F3">
        <w:rPr>
          <w:rFonts w:cs="Arial-BoldMT"/>
          <w:bCs/>
          <w:i/>
          <w:szCs w:val="20"/>
          <w:lang w:val="es-CR" w:eastAsia="es-CR"/>
        </w:rPr>
        <w:t>Zoila Marina Perez Ruiz</w:t>
      </w:r>
      <w:r w:rsidR="00527A7B" w:rsidRPr="006C14F3">
        <w:rPr>
          <w:rFonts w:eastAsia="Times New Roman"/>
          <w:color w:val="000000"/>
          <w:szCs w:val="20"/>
          <w:lang w:val="es-CR"/>
        </w:rPr>
        <w:t xml:space="preserve">, quien declarará sobre </w:t>
      </w:r>
      <w:r w:rsidR="00A7646C" w:rsidRPr="006C14F3">
        <w:rPr>
          <w:rFonts w:cs="ArialMT"/>
          <w:lang w:val="es-CR" w:eastAsia="es-CR"/>
        </w:rPr>
        <w:t>su diagnóstico como persona con VIH y la atención recibida desde ese momento, en particular los distintos obstáculos que ha enfrentado para que el Estado le brinde una atención integral. Asimismo, se referirá a la forma en que la falta de un tratamiento integral como paciente de VIH ha afectado su vida y la de sus familiares</w:t>
      </w:r>
      <w:r w:rsidR="004C6AAD">
        <w:rPr>
          <w:rFonts w:cs="ArialMT"/>
          <w:lang w:val="es-CR" w:eastAsia="es-CR"/>
        </w:rPr>
        <w:t>,</w:t>
      </w:r>
      <w:r w:rsidR="00A7646C" w:rsidRPr="006C14F3">
        <w:rPr>
          <w:rFonts w:cs="ArialMT"/>
          <w:lang w:val="es-CR" w:eastAsia="es-CR"/>
        </w:rPr>
        <w:t xml:space="preserve"> y a las acciones que el Estado debe adoptar para reparar el daño causado</w:t>
      </w:r>
      <w:r w:rsidRPr="006C14F3">
        <w:rPr>
          <w:rFonts w:cs="ArialMT"/>
          <w:lang w:val="es-CR" w:eastAsia="es-CR"/>
        </w:rPr>
        <w:t>.</w:t>
      </w:r>
    </w:p>
    <w:p w:rsidR="00527A7B" w:rsidRPr="000C41A3" w:rsidRDefault="00527A7B" w:rsidP="006C14F3">
      <w:pPr>
        <w:spacing w:after="0"/>
        <w:ind w:left="709"/>
        <w:rPr>
          <w:rFonts w:eastAsia="Times New Roman"/>
          <w:szCs w:val="20"/>
          <w:highlight w:val="yellow"/>
          <w:lang w:val="es-CR"/>
        </w:rPr>
      </w:pPr>
    </w:p>
    <w:p w:rsidR="00527A7B" w:rsidRPr="00A809B9" w:rsidRDefault="009C4E15" w:rsidP="006C14F3">
      <w:pPr>
        <w:pStyle w:val="ListParagraph"/>
        <w:numPr>
          <w:ilvl w:val="1"/>
          <w:numId w:val="21"/>
        </w:numPr>
        <w:spacing w:after="0"/>
        <w:ind w:left="709" w:firstLine="0"/>
        <w:contextualSpacing/>
        <w:rPr>
          <w:rFonts w:eastAsia="Times New Roman"/>
          <w:szCs w:val="20"/>
          <w:lang w:val="es-CR"/>
        </w:rPr>
      </w:pPr>
      <w:r w:rsidRPr="006C14F3">
        <w:rPr>
          <w:rFonts w:cs="Arial-BoldMT"/>
          <w:bCs/>
          <w:i/>
          <w:szCs w:val="20"/>
          <w:lang w:val="es-CR" w:eastAsia="es-CR"/>
        </w:rPr>
        <w:t>Luis Rolando Cuscúl Pivaral</w:t>
      </w:r>
      <w:r w:rsidR="00527A7B" w:rsidRPr="006C14F3">
        <w:rPr>
          <w:rFonts w:eastAsia="Times New Roman"/>
          <w:color w:val="000000"/>
          <w:szCs w:val="20"/>
          <w:lang w:val="es-CR"/>
        </w:rPr>
        <w:t xml:space="preserve">, quien declarará sobre </w:t>
      </w:r>
      <w:r w:rsidR="00A7646C" w:rsidRPr="006C14F3">
        <w:rPr>
          <w:rFonts w:cs="ArialMT"/>
          <w:lang w:val="es-CR" w:eastAsia="es-CR"/>
        </w:rPr>
        <w:t>su diagnóstico como persona con VIH y la atención recibida desde ese momento, en particular, el trato recibido por el personal médico y auxiliar</w:t>
      </w:r>
      <w:r w:rsidR="004C6AAD">
        <w:rPr>
          <w:rFonts w:cs="ArialMT"/>
          <w:lang w:val="es-CR" w:eastAsia="es-CR"/>
        </w:rPr>
        <w:t>,</w:t>
      </w:r>
      <w:r w:rsidR="00A7646C" w:rsidRPr="006C14F3">
        <w:rPr>
          <w:rFonts w:cs="ArialMT"/>
          <w:lang w:val="es-CR" w:eastAsia="es-CR"/>
        </w:rPr>
        <w:t xml:space="preserve"> y a los distintos obstáculos que ha enfrentado para obtener una atención integral por parte del Estado. Asimismo, se referirá a la forma en que la falta de un tratamiento integral como paciente de VIH ha afectado su vida y la de sus familiares</w:t>
      </w:r>
      <w:r w:rsidR="004C6AAD">
        <w:rPr>
          <w:rFonts w:cs="ArialMT"/>
          <w:lang w:val="es-CR" w:eastAsia="es-CR"/>
        </w:rPr>
        <w:t>,</w:t>
      </w:r>
      <w:r w:rsidR="00A7646C" w:rsidRPr="006C14F3">
        <w:rPr>
          <w:rFonts w:cs="ArialMT"/>
          <w:lang w:val="es-CR" w:eastAsia="es-CR"/>
        </w:rPr>
        <w:t xml:space="preserve"> y a las acciones que el Estado debe adoptar para reparar el daño causado</w:t>
      </w:r>
      <w:r w:rsidR="00F36BA3" w:rsidRPr="006C14F3">
        <w:rPr>
          <w:rFonts w:cs="ArialMT"/>
          <w:lang w:val="es-CR" w:eastAsia="es-CR"/>
        </w:rPr>
        <w:t>.</w:t>
      </w:r>
    </w:p>
    <w:p w:rsidR="00527A7B" w:rsidRPr="000C41A3" w:rsidRDefault="00527A7B" w:rsidP="00527A7B">
      <w:pPr>
        <w:spacing w:after="0"/>
        <w:rPr>
          <w:rFonts w:eastAsia="Times New Roman"/>
          <w:color w:val="000000"/>
          <w:szCs w:val="20"/>
          <w:lang w:val="es-CR"/>
        </w:rPr>
      </w:pPr>
    </w:p>
    <w:p w:rsidR="009B2EF4" w:rsidRPr="009B2EF4" w:rsidRDefault="009B2EF4" w:rsidP="009B2EF4">
      <w:pPr>
        <w:pStyle w:val="ListParagraph"/>
        <w:numPr>
          <w:ilvl w:val="0"/>
          <w:numId w:val="21"/>
        </w:numPr>
        <w:spacing w:after="0"/>
        <w:contextualSpacing/>
        <w:rPr>
          <w:rFonts w:eastAsia="Times New Roman"/>
          <w:b/>
          <w:color w:val="000000"/>
          <w:szCs w:val="20"/>
          <w:lang w:val="es-CR"/>
        </w:rPr>
      </w:pPr>
      <w:r w:rsidRPr="009B2EF4">
        <w:rPr>
          <w:rFonts w:eastAsia="Times New Roman"/>
          <w:b/>
          <w:color w:val="000000"/>
          <w:szCs w:val="20"/>
          <w:lang w:val="es-CR"/>
        </w:rPr>
        <w:t>Perito</w:t>
      </w:r>
    </w:p>
    <w:p w:rsidR="009B2EF4" w:rsidRDefault="009B2EF4" w:rsidP="006C14F3">
      <w:pPr>
        <w:spacing w:after="0"/>
        <w:rPr>
          <w:rFonts w:eastAsia="Times New Roman"/>
          <w:color w:val="000000"/>
          <w:szCs w:val="20"/>
          <w:lang w:val="es-CR"/>
        </w:rPr>
      </w:pPr>
    </w:p>
    <w:p w:rsidR="009B2EF4" w:rsidRPr="00B351EF" w:rsidRDefault="006C14F3" w:rsidP="006C14F3">
      <w:pPr>
        <w:spacing w:after="0"/>
        <w:ind w:left="1440" w:firstLine="720"/>
        <w:rPr>
          <w:i/>
          <w:szCs w:val="20"/>
          <w:lang w:val="es-CR"/>
        </w:rPr>
      </w:pPr>
      <w:r>
        <w:rPr>
          <w:i/>
          <w:szCs w:val="20"/>
          <w:lang w:val="es-CR"/>
        </w:rPr>
        <w:t>Propuesto</w:t>
      </w:r>
      <w:r w:rsidR="009B2EF4" w:rsidRPr="00B351EF">
        <w:rPr>
          <w:i/>
          <w:szCs w:val="20"/>
          <w:lang w:val="es-CR"/>
        </w:rPr>
        <w:t xml:space="preserve"> por la Comisión Interamericana</w:t>
      </w:r>
    </w:p>
    <w:p w:rsidR="009B2EF4" w:rsidRDefault="009B2EF4" w:rsidP="006C14F3">
      <w:pPr>
        <w:spacing w:after="0"/>
        <w:ind w:left="1440"/>
        <w:rPr>
          <w:szCs w:val="20"/>
          <w:highlight w:val="yellow"/>
          <w:lang w:val="es-CR"/>
        </w:rPr>
      </w:pPr>
    </w:p>
    <w:p w:rsidR="009B2EF4" w:rsidRDefault="009B2EF4" w:rsidP="006C14F3">
      <w:pPr>
        <w:pStyle w:val="ListParagraph"/>
        <w:numPr>
          <w:ilvl w:val="1"/>
          <w:numId w:val="22"/>
        </w:numPr>
        <w:spacing w:after="0"/>
        <w:ind w:left="709" w:firstLine="0"/>
        <w:rPr>
          <w:szCs w:val="20"/>
          <w:lang w:val="es-CR"/>
        </w:rPr>
      </w:pPr>
      <w:r w:rsidRPr="006C14F3">
        <w:rPr>
          <w:rFonts w:cs="Arial"/>
          <w:i/>
          <w:szCs w:val="20"/>
          <w:lang w:val="es-CR"/>
        </w:rPr>
        <w:t>Oscar A. Cabrera</w:t>
      </w:r>
      <w:r w:rsidRPr="006C14F3">
        <w:rPr>
          <w:szCs w:val="20"/>
          <w:lang w:val="es-CR"/>
        </w:rPr>
        <w:t xml:space="preserve">, quien rendirá dictamen pericial sobre </w:t>
      </w:r>
      <w:r w:rsidR="006C14F3" w:rsidRPr="006C14F3">
        <w:rPr>
          <w:rFonts w:cs="Arial"/>
          <w:szCs w:val="20"/>
          <w:lang w:val="es-CR"/>
        </w:rPr>
        <w:t>l</w:t>
      </w:r>
      <w:r w:rsidRPr="006C14F3">
        <w:rPr>
          <w:rFonts w:cs="Arial"/>
          <w:szCs w:val="20"/>
          <w:lang w:val="es-CR"/>
        </w:rPr>
        <w:t>os estándares internacionales que determinan las obligaciones estatales frente a las personas que viven con VIH/SIDA bajo su jurisdicción. El perito se referirá al alcance de la atención en salud a dichas personas para que pueda considerarse acorde con dichos estándares. Asimismo, el perito se referirá a las obligaciones estatales diferenciadas respecto de las mujeres que viven con VIH/SIDA, particularmente en edad reproductiva. El perito se referirá a las características que debe tener un recurso para ser considerado como sencillo y efectivo para proteger los derechos a la vida e integridad personal en relación con el derecho a la salud, en supuestos de falta de tratamiento adecuados para personas con VIH/SIDA. El perito se referirá, en la medida de lo pertinente, a los hechos del caso a la luz de los estándares desarrollados en el peritaje</w:t>
      </w:r>
      <w:r w:rsidRPr="006C14F3">
        <w:rPr>
          <w:szCs w:val="20"/>
          <w:lang w:val="es-CR"/>
        </w:rPr>
        <w:t>.</w:t>
      </w:r>
    </w:p>
    <w:p w:rsidR="00181892" w:rsidRDefault="00181892" w:rsidP="00181892">
      <w:pPr>
        <w:spacing w:after="0"/>
        <w:rPr>
          <w:szCs w:val="20"/>
          <w:lang w:val="es-CR"/>
        </w:rPr>
      </w:pPr>
    </w:p>
    <w:p w:rsidR="00181892" w:rsidRDefault="005C3FA3" w:rsidP="00181892">
      <w:pPr>
        <w:spacing w:after="0"/>
        <w:ind w:left="2160"/>
        <w:rPr>
          <w:i/>
          <w:szCs w:val="20"/>
          <w:lang w:val="es-CR"/>
        </w:rPr>
      </w:pPr>
      <w:r>
        <w:rPr>
          <w:i/>
          <w:szCs w:val="20"/>
          <w:lang w:val="es-CR"/>
        </w:rPr>
        <w:t>Propuesto</w:t>
      </w:r>
      <w:r w:rsidR="00181892">
        <w:rPr>
          <w:i/>
          <w:szCs w:val="20"/>
          <w:lang w:val="es-CR"/>
        </w:rPr>
        <w:t xml:space="preserve"> por los representantes</w:t>
      </w:r>
    </w:p>
    <w:p w:rsidR="00181892" w:rsidRDefault="00181892" w:rsidP="00181892">
      <w:pPr>
        <w:spacing w:after="0"/>
        <w:rPr>
          <w:i/>
          <w:szCs w:val="20"/>
          <w:lang w:val="es-CR"/>
        </w:rPr>
      </w:pPr>
    </w:p>
    <w:p w:rsidR="00485DAF" w:rsidRPr="004801F2" w:rsidRDefault="00485DAF" w:rsidP="00485DAF">
      <w:pPr>
        <w:pStyle w:val="ListParagraph"/>
        <w:numPr>
          <w:ilvl w:val="1"/>
          <w:numId w:val="21"/>
        </w:numPr>
        <w:autoSpaceDE w:val="0"/>
        <w:autoSpaceDN w:val="0"/>
        <w:adjustRightInd w:val="0"/>
        <w:spacing w:after="0"/>
        <w:ind w:left="709" w:firstLine="0"/>
        <w:rPr>
          <w:szCs w:val="20"/>
          <w:lang w:val="es-CR"/>
        </w:rPr>
      </w:pPr>
      <w:r w:rsidRPr="00485DAF">
        <w:rPr>
          <w:rFonts w:eastAsia="Times New Roman" w:cs="Verdana"/>
          <w:i/>
          <w:szCs w:val="20"/>
          <w:lang w:val="es-AR" w:eastAsia="en-US"/>
        </w:rPr>
        <w:t>Ricardo Boza Cordero</w:t>
      </w:r>
      <w:r>
        <w:rPr>
          <w:rFonts w:eastAsia="Times New Roman" w:cs="Verdana"/>
          <w:szCs w:val="20"/>
          <w:lang w:val="es-AR" w:eastAsia="en-US"/>
        </w:rPr>
        <w:t xml:space="preserve">, quien rendirá dictamen pericial </w:t>
      </w:r>
      <w:r>
        <w:rPr>
          <w:lang w:val="es-CR" w:eastAsia="es-CR"/>
        </w:rPr>
        <w:t>para analizar</w:t>
      </w:r>
      <w:r w:rsidRPr="000527E2">
        <w:rPr>
          <w:lang w:val="es-CR" w:eastAsia="es-CR"/>
        </w:rPr>
        <w:t xml:space="preserve"> los expedientes médicos de las </w:t>
      </w:r>
      <w:r w:rsidR="002D600F">
        <w:rPr>
          <w:lang w:val="es-CR" w:eastAsia="es-CR"/>
        </w:rPr>
        <w:t>personas reclamantes</w:t>
      </w:r>
      <w:r>
        <w:rPr>
          <w:lang w:val="es-CR" w:eastAsia="es-CR"/>
        </w:rPr>
        <w:t xml:space="preserve"> a los que han tenido acceso, </w:t>
      </w:r>
      <w:r w:rsidRPr="000527E2">
        <w:rPr>
          <w:lang w:val="es-CR" w:eastAsia="es-CR"/>
        </w:rPr>
        <w:t xml:space="preserve">con el fin de presentar a la Corte su opinión experta acerca de su adecuación </w:t>
      </w:r>
      <w:r>
        <w:rPr>
          <w:lang w:val="es-CR" w:eastAsia="es-CR"/>
        </w:rPr>
        <w:t>a los estándares médicos</w:t>
      </w:r>
      <w:r w:rsidRPr="000527E2">
        <w:rPr>
          <w:lang w:val="es-CR" w:eastAsia="es-CR"/>
        </w:rPr>
        <w:t xml:space="preserve"> para el tratamiento del VIH</w:t>
      </w:r>
      <w:r>
        <w:rPr>
          <w:lang w:val="es-CR" w:eastAsia="es-CR"/>
        </w:rPr>
        <w:t>/SIDA</w:t>
      </w:r>
      <w:r w:rsidRPr="000527E2">
        <w:rPr>
          <w:lang w:val="es-CR" w:eastAsia="es-CR"/>
        </w:rPr>
        <w:t xml:space="preserve"> y otros padecimientos asociados, así como las consecuencias de la falta de una atención integral, entre otros aspectos del presente caso.</w:t>
      </w:r>
    </w:p>
    <w:p w:rsidR="006D25C9" w:rsidRDefault="006D25C9" w:rsidP="006D25C9">
      <w:pPr>
        <w:spacing w:after="0"/>
        <w:ind w:left="709"/>
        <w:rPr>
          <w:szCs w:val="20"/>
          <w:lang w:val="es-CR"/>
        </w:rPr>
      </w:pPr>
    </w:p>
    <w:p w:rsidR="005B1002" w:rsidRPr="000C41A3" w:rsidRDefault="005B1002" w:rsidP="005B1002">
      <w:pPr>
        <w:numPr>
          <w:ilvl w:val="0"/>
          <w:numId w:val="22"/>
        </w:numPr>
        <w:spacing w:after="0"/>
        <w:ind w:left="0" w:firstLine="0"/>
        <w:contextualSpacing/>
        <w:rPr>
          <w:rFonts w:eastAsia="Times New Roman"/>
          <w:color w:val="000000"/>
          <w:szCs w:val="20"/>
          <w:lang w:val="es-CR"/>
        </w:rPr>
      </w:pPr>
      <w:r w:rsidRPr="000C41A3">
        <w:rPr>
          <w:rFonts w:eastAsia="Times New Roman"/>
          <w:color w:val="000000"/>
          <w:szCs w:val="20"/>
          <w:lang w:val="es-CR"/>
        </w:rPr>
        <w:t xml:space="preserve">Requerir a Guatemala que facilite la salida y entrada de su territorio de los declarantes, si residen o se encuentran en él, quienes han sido citados en la presente Resolución a rendir declaración en la referida audiencia pública, de conformidad con lo dispuesto en el artículo 26.1 del Reglamento de la Corte. </w:t>
      </w:r>
    </w:p>
    <w:p w:rsidR="005B1002" w:rsidRDefault="005B1002" w:rsidP="006C14F3">
      <w:pPr>
        <w:spacing w:after="0"/>
        <w:rPr>
          <w:rFonts w:eastAsia="Times New Roman"/>
          <w:color w:val="000000"/>
          <w:szCs w:val="20"/>
          <w:lang w:val="es-CR"/>
        </w:rPr>
      </w:pPr>
    </w:p>
    <w:p w:rsidR="00527A7B" w:rsidRDefault="00527A7B" w:rsidP="006C14F3">
      <w:pPr>
        <w:numPr>
          <w:ilvl w:val="0"/>
          <w:numId w:val="22"/>
        </w:numPr>
        <w:spacing w:after="0"/>
        <w:ind w:left="0" w:firstLine="0"/>
        <w:contextualSpacing/>
        <w:rPr>
          <w:rFonts w:eastAsia="Times New Roman"/>
          <w:color w:val="000000"/>
          <w:szCs w:val="20"/>
          <w:lang w:val="es-CR"/>
        </w:rPr>
      </w:pPr>
      <w:r w:rsidRPr="000C41A3">
        <w:rPr>
          <w:rFonts w:eastAsia="Times New Roman"/>
          <w:color w:val="000000"/>
          <w:szCs w:val="20"/>
          <w:lang w:val="es-CR"/>
        </w:rPr>
        <w:t>Requerir, por las razones expuestas en la presente Resolución, de conformidad con el principio de economía procesal</w:t>
      </w:r>
      <w:r w:rsidR="006C14F3">
        <w:rPr>
          <w:rFonts w:eastAsia="Times New Roman"/>
          <w:color w:val="000000"/>
          <w:szCs w:val="20"/>
          <w:lang w:val="es-CR"/>
        </w:rPr>
        <w:t>,</w:t>
      </w:r>
      <w:r w:rsidRPr="000C41A3">
        <w:rPr>
          <w:rFonts w:eastAsia="Times New Roman"/>
          <w:color w:val="000000"/>
          <w:szCs w:val="20"/>
          <w:lang w:val="es-CR"/>
        </w:rPr>
        <w:t xml:space="preserve"> y de la facultad que le otorga el artículo 50.1 del </w:t>
      </w:r>
      <w:r w:rsidRPr="000C41A3">
        <w:rPr>
          <w:rFonts w:eastAsia="Times New Roman"/>
          <w:color w:val="000000"/>
          <w:szCs w:val="20"/>
          <w:lang w:val="es-CR"/>
        </w:rPr>
        <w:lastRenderedPageBreak/>
        <w:t>Reglamento de la Corte, que la</w:t>
      </w:r>
      <w:r>
        <w:rPr>
          <w:rFonts w:eastAsia="Times New Roman"/>
          <w:color w:val="000000"/>
          <w:szCs w:val="20"/>
          <w:lang w:val="es-CR"/>
        </w:rPr>
        <w:t>s</w:t>
      </w:r>
      <w:r w:rsidRPr="000C41A3">
        <w:rPr>
          <w:rFonts w:eastAsia="Times New Roman"/>
          <w:color w:val="000000"/>
          <w:szCs w:val="20"/>
          <w:lang w:val="es-CR"/>
        </w:rPr>
        <w:t xml:space="preserve"> siguiente</w:t>
      </w:r>
      <w:r>
        <w:rPr>
          <w:rFonts w:eastAsia="Times New Roman"/>
          <w:color w:val="000000"/>
          <w:szCs w:val="20"/>
          <w:lang w:val="es-CR"/>
        </w:rPr>
        <w:t>s</w:t>
      </w:r>
      <w:r w:rsidRPr="000C41A3">
        <w:rPr>
          <w:rFonts w:eastAsia="Times New Roman"/>
          <w:color w:val="000000"/>
          <w:szCs w:val="20"/>
          <w:lang w:val="es-CR"/>
        </w:rPr>
        <w:t xml:space="preserve"> persona</w:t>
      </w:r>
      <w:r>
        <w:rPr>
          <w:rFonts w:eastAsia="Times New Roman"/>
          <w:color w:val="000000"/>
          <w:szCs w:val="20"/>
          <w:lang w:val="es-CR"/>
        </w:rPr>
        <w:t>s</w:t>
      </w:r>
      <w:r w:rsidRPr="000C41A3">
        <w:rPr>
          <w:rFonts w:eastAsia="Times New Roman"/>
          <w:color w:val="000000"/>
          <w:szCs w:val="20"/>
          <w:lang w:val="es-CR"/>
        </w:rPr>
        <w:t xml:space="preserve"> preste</w:t>
      </w:r>
      <w:r>
        <w:rPr>
          <w:rFonts w:eastAsia="Times New Roman"/>
          <w:color w:val="000000"/>
          <w:szCs w:val="20"/>
          <w:lang w:val="es-CR"/>
        </w:rPr>
        <w:t>n</w:t>
      </w:r>
      <w:r w:rsidRPr="000C41A3">
        <w:rPr>
          <w:rFonts w:eastAsia="Times New Roman"/>
          <w:color w:val="000000"/>
          <w:szCs w:val="20"/>
          <w:lang w:val="es-CR"/>
        </w:rPr>
        <w:t xml:space="preserve"> su declaraci</w:t>
      </w:r>
      <w:r>
        <w:rPr>
          <w:rFonts w:eastAsia="Times New Roman"/>
          <w:color w:val="000000"/>
          <w:szCs w:val="20"/>
          <w:lang w:val="es-CR"/>
        </w:rPr>
        <w:t>ón</w:t>
      </w:r>
      <w:r w:rsidRPr="000C41A3">
        <w:rPr>
          <w:rFonts w:eastAsia="Times New Roman"/>
          <w:color w:val="000000"/>
          <w:szCs w:val="20"/>
          <w:lang w:val="es-CR"/>
        </w:rPr>
        <w:t xml:space="preserve"> ante fedatario público:</w:t>
      </w:r>
    </w:p>
    <w:p w:rsidR="00527A7B" w:rsidRPr="000C41A3" w:rsidRDefault="00527A7B" w:rsidP="006C14F3">
      <w:pPr>
        <w:spacing w:after="0"/>
        <w:rPr>
          <w:rFonts w:eastAsia="Times New Roman"/>
          <w:szCs w:val="20"/>
          <w:lang w:val="es-CR"/>
        </w:rPr>
      </w:pPr>
    </w:p>
    <w:p w:rsidR="00527A7B" w:rsidRDefault="00B67F96" w:rsidP="006C14F3">
      <w:pPr>
        <w:numPr>
          <w:ilvl w:val="0"/>
          <w:numId w:val="21"/>
        </w:numPr>
        <w:spacing w:after="0"/>
        <w:contextualSpacing/>
        <w:rPr>
          <w:b/>
          <w:szCs w:val="20"/>
          <w:lang w:val="es-CR"/>
        </w:rPr>
      </w:pPr>
      <w:r>
        <w:rPr>
          <w:b/>
          <w:szCs w:val="20"/>
          <w:lang w:val="es-CR"/>
        </w:rPr>
        <w:t>Presuntas víctimas</w:t>
      </w:r>
    </w:p>
    <w:p w:rsidR="006C14F3" w:rsidRPr="006C14F3" w:rsidRDefault="006C14F3" w:rsidP="006C14F3">
      <w:pPr>
        <w:spacing w:after="0"/>
        <w:contextualSpacing/>
        <w:rPr>
          <w:szCs w:val="20"/>
          <w:lang w:val="es-CR"/>
        </w:rPr>
      </w:pPr>
    </w:p>
    <w:p w:rsidR="00527A7B" w:rsidRPr="000C41A3" w:rsidRDefault="00527A7B" w:rsidP="006C14F3">
      <w:pPr>
        <w:spacing w:after="0"/>
        <w:ind w:left="1800" w:firstLine="360"/>
        <w:rPr>
          <w:i/>
          <w:szCs w:val="20"/>
          <w:lang w:val="es-CR"/>
        </w:rPr>
      </w:pPr>
      <w:r w:rsidRPr="000C41A3">
        <w:rPr>
          <w:i/>
          <w:szCs w:val="20"/>
          <w:lang w:val="es-CR"/>
        </w:rPr>
        <w:t>Propuesto</w:t>
      </w:r>
      <w:r w:rsidR="009A45C4">
        <w:rPr>
          <w:i/>
          <w:szCs w:val="20"/>
          <w:lang w:val="es-CR"/>
        </w:rPr>
        <w:t>s</w:t>
      </w:r>
      <w:r w:rsidRPr="000C41A3">
        <w:rPr>
          <w:i/>
          <w:szCs w:val="20"/>
          <w:lang w:val="es-CR"/>
        </w:rPr>
        <w:t xml:space="preserve"> por los representantes </w:t>
      </w:r>
    </w:p>
    <w:p w:rsidR="00527A7B" w:rsidRPr="000C41A3" w:rsidRDefault="00527A7B" w:rsidP="006C14F3">
      <w:pPr>
        <w:spacing w:after="0"/>
        <w:rPr>
          <w:rFonts w:eastAsia="Times New Roman"/>
          <w:color w:val="000000"/>
          <w:szCs w:val="20"/>
          <w:lang w:val="es-CR"/>
        </w:rPr>
      </w:pPr>
    </w:p>
    <w:p w:rsidR="00B41CA2" w:rsidRPr="00B41CA2" w:rsidRDefault="00F36BA3" w:rsidP="00156C2D">
      <w:pPr>
        <w:pStyle w:val="ListParagraph"/>
        <w:numPr>
          <w:ilvl w:val="1"/>
          <w:numId w:val="22"/>
        </w:numPr>
        <w:spacing w:after="0"/>
        <w:ind w:left="709" w:firstLine="0"/>
        <w:contextualSpacing/>
        <w:rPr>
          <w:rFonts w:eastAsia="Times New Roman"/>
          <w:color w:val="000000"/>
          <w:szCs w:val="20"/>
          <w:lang w:val="es-CR"/>
        </w:rPr>
      </w:pPr>
      <w:r w:rsidRPr="00B41CA2">
        <w:rPr>
          <w:rFonts w:cs="Verdana"/>
          <w:i/>
          <w:szCs w:val="20"/>
          <w:lang w:bidi="en-US"/>
        </w:rPr>
        <w:t>Félix de Jesús Cabrera Morales</w:t>
      </w:r>
      <w:r w:rsidR="00527A7B" w:rsidRPr="00B41CA2">
        <w:rPr>
          <w:rFonts w:eastAsia="Times New Roman"/>
          <w:color w:val="000000"/>
          <w:szCs w:val="20"/>
          <w:lang w:val="es-CR"/>
        </w:rPr>
        <w:t>,</w:t>
      </w:r>
      <w:r w:rsidR="00B41CA2" w:rsidRPr="00B41CA2">
        <w:rPr>
          <w:rFonts w:eastAsia="Times New Roman"/>
          <w:color w:val="000000"/>
          <w:szCs w:val="20"/>
          <w:lang w:val="es-CR"/>
        </w:rPr>
        <w:t xml:space="preserve"> </w:t>
      </w:r>
      <w:r w:rsidR="00B41CA2" w:rsidRPr="00B41CA2">
        <w:rPr>
          <w:rFonts w:cs="Arial-BoldMT"/>
          <w:bCs/>
          <w:i/>
          <w:szCs w:val="20"/>
          <w:lang w:val="es-CR" w:eastAsia="es-CR"/>
        </w:rPr>
        <w:t xml:space="preserve">Sandra Lisbeth Zepeda Herrera, </w:t>
      </w:r>
      <w:r w:rsidR="00B41CA2" w:rsidRPr="00B41CA2">
        <w:rPr>
          <w:rFonts w:cs="Verdana"/>
          <w:i/>
          <w:szCs w:val="20"/>
          <w:lang w:bidi="en-US"/>
        </w:rPr>
        <w:t>Francisco Sop Quiej</w:t>
      </w:r>
      <w:r w:rsidR="00B41CA2">
        <w:rPr>
          <w:rFonts w:cs="Verdana"/>
          <w:i/>
          <w:szCs w:val="20"/>
          <w:lang w:bidi="en-US"/>
        </w:rPr>
        <w:t xml:space="preserve"> y</w:t>
      </w:r>
      <w:r w:rsidR="00B41CA2" w:rsidRPr="00B41CA2">
        <w:rPr>
          <w:rFonts w:cs="Verdana"/>
          <w:i/>
          <w:szCs w:val="20"/>
          <w:lang w:bidi="en-US"/>
        </w:rPr>
        <w:t xml:space="preserve"> Marina Martinez Sofoija</w:t>
      </w:r>
      <w:r w:rsidR="00B41CA2">
        <w:rPr>
          <w:rFonts w:cs="Verdana"/>
          <w:i/>
          <w:szCs w:val="20"/>
          <w:lang w:bidi="en-US"/>
        </w:rPr>
        <w:t xml:space="preserve">, </w:t>
      </w:r>
      <w:r w:rsidR="00B41CA2">
        <w:rPr>
          <w:rFonts w:cs="Verdana"/>
          <w:szCs w:val="20"/>
          <w:lang w:bidi="en-US"/>
        </w:rPr>
        <w:t>quienes declararán sobre</w:t>
      </w:r>
      <w:r w:rsidR="00B41CA2">
        <w:rPr>
          <w:rFonts w:cs="Verdana"/>
          <w:i/>
          <w:szCs w:val="20"/>
          <w:lang w:bidi="en-US"/>
        </w:rPr>
        <w:t xml:space="preserve"> </w:t>
      </w:r>
      <w:r w:rsidR="00B41CA2">
        <w:t>el diagnóstico como personas con VIH y la atención recibida desde ese momento. En particular, sobre los distintos obstáculos que ha</w:t>
      </w:r>
      <w:r w:rsidR="00F02B6B">
        <w:t>n</w:t>
      </w:r>
      <w:r w:rsidR="00B41CA2">
        <w:t xml:space="preserve"> enfrentado para que el Estado le</w:t>
      </w:r>
      <w:r w:rsidR="00F02B6B">
        <w:t>s</w:t>
      </w:r>
      <w:r w:rsidR="00B41CA2">
        <w:t xml:space="preserve"> brinde una atención integral. Asimismo, se referir</w:t>
      </w:r>
      <w:r w:rsidR="00F02B6B">
        <w:t>án</w:t>
      </w:r>
      <w:r w:rsidR="00B41CA2">
        <w:t xml:space="preserve"> a la forma en que la falta de un tratamiento </w:t>
      </w:r>
      <w:r w:rsidR="00B41CA2" w:rsidRPr="00B41CA2">
        <w:rPr>
          <w:lang w:val="es-CR" w:eastAsia="es-CR"/>
        </w:rPr>
        <w:t>integral como paciente</w:t>
      </w:r>
      <w:r w:rsidR="00F02B6B">
        <w:rPr>
          <w:lang w:val="es-CR" w:eastAsia="es-CR"/>
        </w:rPr>
        <w:t>s</w:t>
      </w:r>
      <w:r w:rsidR="00B41CA2" w:rsidRPr="00B41CA2">
        <w:rPr>
          <w:lang w:val="es-CR" w:eastAsia="es-CR"/>
        </w:rPr>
        <w:t xml:space="preserve"> de VIH ha afectado su</w:t>
      </w:r>
      <w:r w:rsidR="00F02B6B">
        <w:rPr>
          <w:lang w:val="es-CR" w:eastAsia="es-CR"/>
        </w:rPr>
        <w:t>s</w:t>
      </w:r>
      <w:r w:rsidR="00B41CA2" w:rsidRPr="00B41CA2">
        <w:rPr>
          <w:lang w:val="es-CR" w:eastAsia="es-CR"/>
        </w:rPr>
        <w:t xml:space="preserve"> vida</w:t>
      </w:r>
      <w:r w:rsidR="00D05478">
        <w:rPr>
          <w:lang w:val="es-CR" w:eastAsia="es-CR"/>
        </w:rPr>
        <w:t>s</w:t>
      </w:r>
      <w:r w:rsidR="00B41CA2" w:rsidRPr="00B41CA2">
        <w:rPr>
          <w:lang w:val="es-CR" w:eastAsia="es-CR"/>
        </w:rPr>
        <w:t xml:space="preserve"> y la</w:t>
      </w:r>
      <w:r w:rsidR="00D05478">
        <w:rPr>
          <w:lang w:val="es-CR" w:eastAsia="es-CR"/>
        </w:rPr>
        <w:t>s</w:t>
      </w:r>
      <w:r w:rsidR="00B41CA2" w:rsidRPr="00B41CA2">
        <w:rPr>
          <w:lang w:val="es-CR" w:eastAsia="es-CR"/>
        </w:rPr>
        <w:t xml:space="preserve"> de sus familiares y a las acciones que el Estado debe adoptar para reparar el daño causado.</w:t>
      </w:r>
    </w:p>
    <w:p w:rsidR="006C14F3" w:rsidRPr="006C14F3" w:rsidRDefault="006C14F3" w:rsidP="00156C2D">
      <w:pPr>
        <w:spacing w:after="0"/>
        <w:ind w:left="709"/>
        <w:contextualSpacing/>
        <w:rPr>
          <w:rFonts w:eastAsia="Times New Roman"/>
          <w:color w:val="000000"/>
          <w:szCs w:val="20"/>
          <w:lang w:val="es-CR"/>
        </w:rPr>
      </w:pPr>
    </w:p>
    <w:p w:rsidR="006C14F3" w:rsidRPr="006C14F3" w:rsidRDefault="00F36BA3" w:rsidP="00156C2D">
      <w:pPr>
        <w:pStyle w:val="ListParagraph"/>
        <w:numPr>
          <w:ilvl w:val="1"/>
          <w:numId w:val="22"/>
        </w:numPr>
        <w:spacing w:after="0"/>
        <w:ind w:left="709" w:firstLine="0"/>
        <w:contextualSpacing/>
        <w:rPr>
          <w:rFonts w:eastAsia="Times New Roman"/>
          <w:i/>
          <w:color w:val="000000"/>
          <w:szCs w:val="20"/>
          <w:lang w:val="es-CR"/>
        </w:rPr>
      </w:pPr>
      <w:r w:rsidRPr="006C14F3">
        <w:rPr>
          <w:rFonts w:cs="Verdana"/>
          <w:i/>
          <w:szCs w:val="20"/>
          <w:lang w:bidi="en-US"/>
        </w:rPr>
        <w:t>Carlos Fernando Coc Chajón</w:t>
      </w:r>
      <w:r w:rsidR="00A7646C" w:rsidRPr="006C14F3">
        <w:rPr>
          <w:rFonts w:cs="Verdana"/>
          <w:szCs w:val="20"/>
          <w:lang w:bidi="en-US"/>
        </w:rPr>
        <w:t xml:space="preserve">, quien declarará sobre </w:t>
      </w:r>
      <w:r w:rsidR="00A7646C" w:rsidRPr="006C14F3">
        <w:rPr>
          <w:rFonts w:cs="ArialMT"/>
          <w:szCs w:val="20"/>
          <w:lang w:val="es-CR" w:eastAsia="es-CR"/>
        </w:rPr>
        <w:t xml:space="preserve">el diagnóstico recibido por su hermano y la falta de una atención integral recibida por el Estado en su </w:t>
      </w:r>
      <w:r w:rsidR="006C14F3" w:rsidRPr="006C14F3">
        <w:rPr>
          <w:rFonts w:cs="ArialMT"/>
          <w:szCs w:val="20"/>
          <w:lang w:val="es-CR" w:eastAsia="es-CR"/>
        </w:rPr>
        <w:t>condición</w:t>
      </w:r>
      <w:r w:rsidR="00A7646C" w:rsidRPr="006C14F3">
        <w:rPr>
          <w:rFonts w:cs="ArialMT"/>
          <w:szCs w:val="20"/>
          <w:lang w:val="es-CR" w:eastAsia="es-CR"/>
        </w:rPr>
        <w:t xml:space="preserve"> de paciente de VIH, incluyendo el trato que este </w:t>
      </w:r>
      <w:r w:rsidR="006C14F3" w:rsidRPr="006C14F3">
        <w:rPr>
          <w:rFonts w:cs="ArialMT"/>
          <w:szCs w:val="20"/>
          <w:lang w:val="es-CR" w:eastAsia="es-CR"/>
        </w:rPr>
        <w:t>recibió</w:t>
      </w:r>
      <w:r w:rsidR="00A7646C" w:rsidRPr="006C14F3">
        <w:rPr>
          <w:rFonts w:cs="ArialMT"/>
          <w:szCs w:val="20"/>
          <w:lang w:val="es-CR" w:eastAsia="es-CR"/>
        </w:rPr>
        <w:t xml:space="preserve"> por parte del personal a cargo de su cuidado. </w:t>
      </w:r>
      <w:r w:rsidR="006C14F3" w:rsidRPr="006C14F3">
        <w:rPr>
          <w:rFonts w:cs="ArialMT"/>
          <w:szCs w:val="20"/>
          <w:lang w:val="es-CR" w:eastAsia="es-CR"/>
        </w:rPr>
        <w:t>Asimismo</w:t>
      </w:r>
      <w:r w:rsidR="00A7646C" w:rsidRPr="006C14F3">
        <w:rPr>
          <w:rFonts w:cs="ArialMT"/>
          <w:szCs w:val="20"/>
          <w:lang w:val="es-CR" w:eastAsia="es-CR"/>
        </w:rPr>
        <w:t xml:space="preserve">, se referirá a la forma en que la falta de un tratamiento integral como paciente de VIH afectó la vida de su hermano, la suya y la de su familia y como posterior a su muerte les afectó a </w:t>
      </w:r>
      <w:r w:rsidR="006C14F3" w:rsidRPr="006C14F3">
        <w:rPr>
          <w:rFonts w:cs="ArialMT"/>
          <w:szCs w:val="20"/>
          <w:lang w:val="es-CR" w:eastAsia="es-CR"/>
        </w:rPr>
        <w:t>él</w:t>
      </w:r>
      <w:r w:rsidR="00A7646C" w:rsidRPr="006C14F3">
        <w:rPr>
          <w:rFonts w:cs="ArialMT"/>
          <w:szCs w:val="20"/>
          <w:lang w:val="es-CR" w:eastAsia="es-CR"/>
        </w:rPr>
        <w:t xml:space="preserve"> y a su familia. Igualmente, declarará sobre las acciones que el Estado debe adoptar para reparar el daño causado.</w:t>
      </w:r>
    </w:p>
    <w:p w:rsidR="006C14F3" w:rsidRPr="006C14F3" w:rsidRDefault="006C14F3" w:rsidP="00156C2D">
      <w:pPr>
        <w:pStyle w:val="ListParagraph"/>
        <w:spacing w:after="0"/>
        <w:ind w:left="709"/>
        <w:rPr>
          <w:rFonts w:cs="Verdana"/>
          <w:i/>
          <w:szCs w:val="20"/>
          <w:lang w:bidi="en-US"/>
        </w:rPr>
      </w:pPr>
    </w:p>
    <w:p w:rsidR="006C14F3" w:rsidRPr="006C14F3" w:rsidRDefault="00F36BA3" w:rsidP="00156C2D">
      <w:pPr>
        <w:pStyle w:val="ListParagraph"/>
        <w:numPr>
          <w:ilvl w:val="1"/>
          <w:numId w:val="22"/>
        </w:numPr>
        <w:spacing w:after="0"/>
        <w:ind w:left="709" w:firstLine="0"/>
        <w:contextualSpacing/>
        <w:rPr>
          <w:rFonts w:eastAsia="Times New Roman"/>
          <w:i/>
          <w:color w:val="000000"/>
          <w:szCs w:val="20"/>
          <w:lang w:val="es-CR"/>
        </w:rPr>
      </w:pPr>
      <w:r w:rsidRPr="006C14F3">
        <w:rPr>
          <w:rFonts w:cs="Verdana"/>
          <w:i/>
          <w:szCs w:val="20"/>
          <w:lang w:bidi="en-US"/>
        </w:rPr>
        <w:t>Luis Alberto Hernández Estrada</w:t>
      </w:r>
      <w:r w:rsidR="00A7646C" w:rsidRPr="006C14F3">
        <w:rPr>
          <w:rFonts w:cs="Verdana"/>
          <w:szCs w:val="20"/>
          <w:lang w:bidi="en-US"/>
        </w:rPr>
        <w:t xml:space="preserve">, quien declarará sobre </w:t>
      </w:r>
      <w:r w:rsidR="00A7646C" w:rsidRPr="006C14F3">
        <w:rPr>
          <w:rFonts w:cs="ArialMT"/>
          <w:szCs w:val="20"/>
          <w:lang w:val="es-CR" w:eastAsia="es-CR"/>
        </w:rPr>
        <w:t xml:space="preserve">el diagnóstico recibido por su madre y la falta de una atención integral por parte del Estado en su </w:t>
      </w:r>
      <w:r w:rsidR="00126AD6" w:rsidRPr="006C14F3">
        <w:rPr>
          <w:rFonts w:cs="ArialMT"/>
          <w:szCs w:val="20"/>
          <w:lang w:val="es-CR" w:eastAsia="es-CR"/>
        </w:rPr>
        <w:t>condición</w:t>
      </w:r>
      <w:r w:rsidR="00A7646C" w:rsidRPr="006C14F3">
        <w:rPr>
          <w:rFonts w:cs="ArialMT"/>
          <w:szCs w:val="20"/>
          <w:lang w:val="es-CR" w:eastAsia="es-CR"/>
        </w:rPr>
        <w:t xml:space="preserve"> de paciente de VIH. </w:t>
      </w:r>
      <w:r w:rsidR="006C14F3" w:rsidRPr="006C14F3">
        <w:rPr>
          <w:rFonts w:cs="ArialMT"/>
          <w:szCs w:val="20"/>
          <w:lang w:val="es-CR" w:eastAsia="es-CR"/>
        </w:rPr>
        <w:t>Asimismo</w:t>
      </w:r>
      <w:r w:rsidR="00A7646C" w:rsidRPr="006C14F3">
        <w:rPr>
          <w:rFonts w:cs="ArialMT"/>
          <w:szCs w:val="20"/>
          <w:lang w:val="es-CR" w:eastAsia="es-CR"/>
        </w:rPr>
        <w:t>, se referirá a la forma en que la falta de un tratamiento integral como paciente de VIH afectó la vida de su madre, la suya y la de su familia y como posterior a su muerte les afectó a él y a su familia. Igualmente, declarará sobre las acciones que el Estado debe adoptar para reparar el daño causado</w:t>
      </w:r>
      <w:r w:rsidR="00F02B6B">
        <w:rPr>
          <w:rFonts w:cs="ArialMT"/>
          <w:szCs w:val="20"/>
          <w:lang w:val="es-CR" w:eastAsia="es-CR"/>
        </w:rPr>
        <w:t>.</w:t>
      </w:r>
    </w:p>
    <w:p w:rsidR="006C14F3" w:rsidRPr="006C14F3" w:rsidRDefault="006C14F3" w:rsidP="00156C2D">
      <w:pPr>
        <w:pStyle w:val="ListParagraph"/>
        <w:spacing w:after="0"/>
        <w:ind w:left="709"/>
        <w:rPr>
          <w:rFonts w:cs="Verdana"/>
          <w:i/>
          <w:szCs w:val="20"/>
          <w:lang w:bidi="en-US"/>
        </w:rPr>
      </w:pPr>
    </w:p>
    <w:p w:rsidR="00351DE7" w:rsidRPr="00A12DED" w:rsidRDefault="00F36BA3" w:rsidP="00156C2D">
      <w:pPr>
        <w:pStyle w:val="ListParagraph"/>
        <w:numPr>
          <w:ilvl w:val="1"/>
          <w:numId w:val="22"/>
        </w:numPr>
        <w:spacing w:after="0"/>
        <w:ind w:left="709" w:firstLine="0"/>
        <w:contextualSpacing/>
        <w:rPr>
          <w:rFonts w:eastAsia="Times New Roman"/>
          <w:i/>
          <w:color w:val="000000"/>
          <w:szCs w:val="20"/>
          <w:lang w:val="es-CR"/>
        </w:rPr>
      </w:pPr>
      <w:r w:rsidRPr="006C14F3">
        <w:rPr>
          <w:rFonts w:cs="Verdana"/>
          <w:i/>
          <w:szCs w:val="20"/>
          <w:lang w:bidi="en-US"/>
        </w:rPr>
        <w:t>María Magdalena Ridas Mérida</w:t>
      </w:r>
      <w:r w:rsidR="00F74732" w:rsidRPr="006C14F3">
        <w:rPr>
          <w:rFonts w:cs="Verdana"/>
          <w:szCs w:val="20"/>
          <w:lang w:bidi="en-US"/>
        </w:rPr>
        <w:t xml:space="preserve">, quien declarará sobre </w:t>
      </w:r>
      <w:r w:rsidR="00F74732" w:rsidRPr="006C14F3">
        <w:rPr>
          <w:rFonts w:cs="ArialMT"/>
          <w:szCs w:val="20"/>
          <w:lang w:val="es-CR" w:eastAsia="es-CR"/>
        </w:rPr>
        <w:t xml:space="preserve">el diagnóstico recibido por su padre y la falta de una atención integral por parte del Estado en su </w:t>
      </w:r>
      <w:r w:rsidR="00126AD6" w:rsidRPr="006C14F3">
        <w:rPr>
          <w:rFonts w:cs="ArialMT"/>
          <w:szCs w:val="20"/>
          <w:lang w:val="es-CR" w:eastAsia="es-CR"/>
        </w:rPr>
        <w:t>condición</w:t>
      </w:r>
      <w:r w:rsidR="00F74732" w:rsidRPr="006C14F3">
        <w:rPr>
          <w:rFonts w:cs="ArialMT"/>
          <w:szCs w:val="20"/>
          <w:lang w:val="es-CR" w:eastAsia="es-CR"/>
        </w:rPr>
        <w:t xml:space="preserve"> de paciente de VIH. </w:t>
      </w:r>
      <w:r w:rsidR="006C14F3" w:rsidRPr="006C14F3">
        <w:rPr>
          <w:rFonts w:cs="ArialMT"/>
          <w:szCs w:val="20"/>
          <w:lang w:val="es-CR" w:eastAsia="es-CR"/>
        </w:rPr>
        <w:t>Asimismo</w:t>
      </w:r>
      <w:r w:rsidR="00F74732" w:rsidRPr="006C14F3">
        <w:rPr>
          <w:rFonts w:cs="ArialMT"/>
          <w:szCs w:val="20"/>
          <w:lang w:val="es-CR" w:eastAsia="es-CR"/>
        </w:rPr>
        <w:t xml:space="preserve">, se referirá a </w:t>
      </w:r>
      <w:r w:rsidR="00A27F16">
        <w:rPr>
          <w:rFonts w:cs="ArialMT"/>
          <w:szCs w:val="20"/>
          <w:lang w:val="es-CR" w:eastAsia="es-CR"/>
        </w:rPr>
        <w:t>l</w:t>
      </w:r>
      <w:r w:rsidR="00F74732" w:rsidRPr="006C14F3">
        <w:rPr>
          <w:rFonts w:cs="ArialMT"/>
          <w:szCs w:val="20"/>
          <w:lang w:val="es-CR" w:eastAsia="es-CR"/>
        </w:rPr>
        <w:t>a forma en que la falta de un tratamiento integral como paciente de VIH afectó la vida de su madre, la suya y la de su familia y sobre las acciones que el Estado debe adoptar para reparar el daño causado.</w:t>
      </w:r>
    </w:p>
    <w:p w:rsidR="00A12DED" w:rsidRPr="00A12DED" w:rsidRDefault="00A12DED" w:rsidP="00A12DED">
      <w:pPr>
        <w:spacing w:after="0"/>
        <w:contextualSpacing/>
        <w:rPr>
          <w:rFonts w:eastAsia="Times New Roman"/>
          <w:i/>
          <w:color w:val="000000"/>
          <w:szCs w:val="20"/>
          <w:lang w:val="es-CR"/>
        </w:rPr>
      </w:pPr>
    </w:p>
    <w:p w:rsidR="00A12DED" w:rsidRPr="00A12DED" w:rsidRDefault="00A12DED" w:rsidP="00A12DED">
      <w:pPr>
        <w:pStyle w:val="ListParagraph"/>
        <w:numPr>
          <w:ilvl w:val="0"/>
          <w:numId w:val="21"/>
        </w:numPr>
        <w:spacing w:after="0"/>
        <w:rPr>
          <w:rFonts w:eastAsia="Times New Roman"/>
          <w:b/>
          <w:color w:val="000000"/>
          <w:szCs w:val="20"/>
          <w:lang w:val="es-CR"/>
        </w:rPr>
      </w:pPr>
      <w:r>
        <w:rPr>
          <w:rFonts w:eastAsia="Times New Roman"/>
          <w:b/>
          <w:color w:val="000000"/>
          <w:szCs w:val="20"/>
          <w:lang w:val="es-CR"/>
        </w:rPr>
        <w:t>Declarante</w:t>
      </w:r>
      <w:r w:rsidR="009A45C4">
        <w:rPr>
          <w:rFonts w:eastAsia="Times New Roman"/>
          <w:b/>
          <w:color w:val="000000"/>
          <w:szCs w:val="20"/>
          <w:lang w:val="es-CR"/>
        </w:rPr>
        <w:t>s</w:t>
      </w:r>
      <w:r>
        <w:rPr>
          <w:rFonts w:eastAsia="Times New Roman"/>
          <w:b/>
          <w:color w:val="000000"/>
          <w:szCs w:val="20"/>
          <w:lang w:val="es-CR"/>
        </w:rPr>
        <w:t xml:space="preserve"> a título informativo</w:t>
      </w:r>
    </w:p>
    <w:p w:rsidR="00A12DED" w:rsidRDefault="00A12DED" w:rsidP="00A12DED">
      <w:pPr>
        <w:spacing w:after="0"/>
        <w:ind w:left="1440" w:firstLine="720"/>
        <w:rPr>
          <w:i/>
          <w:szCs w:val="20"/>
          <w:lang w:val="es-CR"/>
        </w:rPr>
      </w:pPr>
    </w:p>
    <w:p w:rsidR="00A12DED" w:rsidRDefault="00A12DED" w:rsidP="00A12DED">
      <w:pPr>
        <w:spacing w:after="0"/>
        <w:ind w:left="1440" w:firstLine="720"/>
        <w:rPr>
          <w:i/>
          <w:szCs w:val="20"/>
          <w:lang w:val="es-CR"/>
        </w:rPr>
      </w:pPr>
      <w:r w:rsidRPr="00A12DED">
        <w:rPr>
          <w:i/>
          <w:szCs w:val="20"/>
          <w:lang w:val="es-CR"/>
        </w:rPr>
        <w:t>Propuesto</w:t>
      </w:r>
      <w:r>
        <w:rPr>
          <w:i/>
          <w:szCs w:val="20"/>
          <w:lang w:val="es-CR"/>
        </w:rPr>
        <w:t>s</w:t>
      </w:r>
      <w:r w:rsidRPr="00A12DED">
        <w:rPr>
          <w:i/>
          <w:szCs w:val="20"/>
          <w:lang w:val="es-CR"/>
        </w:rPr>
        <w:t xml:space="preserve"> por los representantes </w:t>
      </w:r>
    </w:p>
    <w:p w:rsidR="00A12DED" w:rsidRPr="00A12DED" w:rsidRDefault="00A12DED" w:rsidP="00A12DED">
      <w:pPr>
        <w:spacing w:after="0"/>
        <w:rPr>
          <w:i/>
          <w:szCs w:val="20"/>
          <w:lang w:val="es-CR"/>
        </w:rPr>
      </w:pPr>
    </w:p>
    <w:p w:rsidR="00485DAF" w:rsidRPr="006C14F3" w:rsidRDefault="00485DAF" w:rsidP="00A12DED">
      <w:pPr>
        <w:pStyle w:val="ListParagraph"/>
        <w:numPr>
          <w:ilvl w:val="0"/>
          <w:numId w:val="28"/>
        </w:numPr>
        <w:spacing w:after="0"/>
        <w:ind w:left="709" w:firstLine="0"/>
        <w:contextualSpacing/>
        <w:rPr>
          <w:rFonts w:eastAsia="Times New Roman"/>
          <w:szCs w:val="20"/>
          <w:lang w:val="es-CR"/>
        </w:rPr>
      </w:pPr>
      <w:r w:rsidRPr="0072145B">
        <w:rPr>
          <w:rFonts w:cs="Verdana"/>
          <w:i/>
          <w:lang w:bidi="en-US"/>
        </w:rPr>
        <w:t>Rocío Samayoa Bran</w:t>
      </w:r>
      <w:r>
        <w:rPr>
          <w:rFonts w:cs="Verdana"/>
          <w:lang w:bidi="en-US"/>
        </w:rPr>
        <w:t xml:space="preserve">, </w:t>
      </w:r>
      <w:r w:rsidR="00156C2D">
        <w:rPr>
          <w:rFonts w:cs="Verdana"/>
          <w:lang w:bidi="en-US"/>
        </w:rPr>
        <w:t xml:space="preserve">quien </w:t>
      </w:r>
      <w:r>
        <w:rPr>
          <w:rFonts w:cs="Verdana"/>
          <w:lang w:bidi="en-US"/>
        </w:rPr>
        <w:t xml:space="preserve">declarará sobre </w:t>
      </w:r>
      <w:r w:rsidRPr="00475EA4">
        <w:rPr>
          <w:lang w:val="es-CR" w:eastAsia="es-CR"/>
        </w:rPr>
        <w:t>el contexto de falta de atención integral a las personas con VIH en Guatemala; los obstáculos para la obtención de este tipo de atención y las medidas que el Esta</w:t>
      </w:r>
      <w:r>
        <w:rPr>
          <w:lang w:val="es-CR" w:eastAsia="es-CR"/>
        </w:rPr>
        <w:t>do debe adoptar para superarlos.</w:t>
      </w:r>
    </w:p>
    <w:p w:rsidR="00351DE7" w:rsidRPr="00351DE7" w:rsidRDefault="00351DE7" w:rsidP="00A809B9">
      <w:pPr>
        <w:pStyle w:val="ListParagraph"/>
        <w:rPr>
          <w:szCs w:val="16"/>
          <w:lang w:val="es-CR"/>
        </w:rPr>
      </w:pPr>
    </w:p>
    <w:p w:rsidR="00A12DED" w:rsidRPr="003726D9" w:rsidRDefault="00351DE7" w:rsidP="003726D9">
      <w:pPr>
        <w:pStyle w:val="ListParagraph"/>
        <w:numPr>
          <w:ilvl w:val="0"/>
          <w:numId w:val="28"/>
        </w:numPr>
        <w:spacing w:after="0"/>
        <w:ind w:left="709" w:firstLine="0"/>
        <w:contextualSpacing/>
        <w:rPr>
          <w:rFonts w:eastAsia="Times New Roman"/>
          <w:i/>
          <w:color w:val="000000"/>
          <w:szCs w:val="20"/>
          <w:lang w:val="es-CR"/>
        </w:rPr>
      </w:pPr>
      <w:r w:rsidRPr="00181892">
        <w:rPr>
          <w:rFonts w:cs="Verdana"/>
          <w:i/>
          <w:lang w:bidi="en-US"/>
        </w:rPr>
        <w:t>Matthew Anderson</w:t>
      </w:r>
      <w:r>
        <w:rPr>
          <w:rFonts w:cs="Verdana"/>
          <w:lang w:bidi="en-US"/>
        </w:rPr>
        <w:t>,</w:t>
      </w:r>
      <w:r w:rsidRPr="00351DE7">
        <w:rPr>
          <w:rFonts w:cs="Verdana"/>
          <w:lang w:bidi="en-US"/>
        </w:rPr>
        <w:t xml:space="preserve"> </w:t>
      </w:r>
      <w:r w:rsidRPr="006C14F3">
        <w:rPr>
          <w:rFonts w:cs="Verdana"/>
          <w:szCs w:val="20"/>
          <w:lang w:bidi="en-US"/>
        </w:rPr>
        <w:t>quien</w:t>
      </w:r>
      <w:r w:rsidRPr="00351DE7">
        <w:rPr>
          <w:rFonts w:cs="Verdana"/>
          <w:lang w:bidi="en-US"/>
        </w:rPr>
        <w:t xml:space="preserve"> decla</w:t>
      </w:r>
      <w:r w:rsidR="00A27F16">
        <w:rPr>
          <w:rFonts w:cs="Verdana"/>
          <w:lang w:bidi="en-US"/>
        </w:rPr>
        <w:t>ra</w:t>
      </w:r>
      <w:r w:rsidRPr="00351DE7">
        <w:rPr>
          <w:rFonts w:cs="Verdana"/>
          <w:lang w:bidi="en-US"/>
        </w:rPr>
        <w:t>r</w:t>
      </w:r>
      <w:r>
        <w:rPr>
          <w:rFonts w:cs="Verdana"/>
          <w:lang w:bidi="en-US"/>
        </w:rPr>
        <w:t xml:space="preserve">á sobre </w:t>
      </w:r>
      <w:r w:rsidRPr="00351DE7">
        <w:rPr>
          <w:lang w:val="es-CR" w:eastAsia="es-CR"/>
        </w:rPr>
        <w:t>su trabajo en Guatemala en la atención a pacientes con VIH a finales de la década de los años noventa y su conocimiento de la situación de la afectación del VIH en atención de su rol de supervisión de prácticas y estudios médicos en Guatemala desde entonces. A partir de ello, declarará sobre los principales obstáculos para una atención integral en dicho país, así como las medidas que el Estado debería adoptar para garantizarla.</w:t>
      </w:r>
    </w:p>
    <w:p w:rsidR="00527A7B" w:rsidRPr="00B351EF" w:rsidRDefault="00527A7B" w:rsidP="006C14F3">
      <w:pPr>
        <w:numPr>
          <w:ilvl w:val="0"/>
          <w:numId w:val="21"/>
        </w:numPr>
        <w:spacing w:after="0"/>
        <w:contextualSpacing/>
        <w:rPr>
          <w:rFonts w:eastAsia="Times New Roman"/>
          <w:b/>
          <w:color w:val="000000"/>
          <w:szCs w:val="20"/>
          <w:lang w:val="es-CR"/>
        </w:rPr>
      </w:pPr>
      <w:r>
        <w:rPr>
          <w:rFonts w:eastAsia="Times New Roman"/>
          <w:b/>
          <w:color w:val="000000"/>
          <w:szCs w:val="20"/>
          <w:lang w:val="es-CR"/>
        </w:rPr>
        <w:lastRenderedPageBreak/>
        <w:t>Perito</w:t>
      </w:r>
      <w:r w:rsidR="005F1F23">
        <w:rPr>
          <w:rFonts w:eastAsia="Times New Roman"/>
          <w:b/>
          <w:color w:val="000000"/>
          <w:szCs w:val="20"/>
          <w:lang w:val="es-CR"/>
        </w:rPr>
        <w:t>s</w:t>
      </w:r>
    </w:p>
    <w:p w:rsidR="00527A7B" w:rsidRDefault="00527A7B" w:rsidP="006C14F3">
      <w:pPr>
        <w:spacing w:after="0"/>
        <w:ind w:left="1440" w:firstLine="720"/>
        <w:rPr>
          <w:i/>
          <w:szCs w:val="20"/>
          <w:lang w:val="es-CR"/>
        </w:rPr>
      </w:pPr>
      <w:r>
        <w:rPr>
          <w:i/>
          <w:szCs w:val="20"/>
          <w:lang w:val="es-CR"/>
        </w:rPr>
        <w:t>Propuesto</w:t>
      </w:r>
      <w:r w:rsidR="005F1F23">
        <w:rPr>
          <w:i/>
          <w:szCs w:val="20"/>
          <w:lang w:val="es-CR"/>
        </w:rPr>
        <w:t>s</w:t>
      </w:r>
      <w:r w:rsidRPr="00B351EF">
        <w:rPr>
          <w:i/>
          <w:szCs w:val="20"/>
          <w:lang w:val="es-CR"/>
        </w:rPr>
        <w:t xml:space="preserve"> por </w:t>
      </w:r>
      <w:r>
        <w:rPr>
          <w:i/>
          <w:szCs w:val="20"/>
          <w:lang w:val="es-CR"/>
        </w:rPr>
        <w:t>los representantes</w:t>
      </w:r>
    </w:p>
    <w:p w:rsidR="00527A7B" w:rsidRPr="00B351EF" w:rsidRDefault="00527A7B" w:rsidP="006C14F3">
      <w:pPr>
        <w:spacing w:after="0"/>
        <w:rPr>
          <w:szCs w:val="20"/>
          <w:lang w:val="es-CR"/>
        </w:rPr>
      </w:pPr>
    </w:p>
    <w:p w:rsidR="00485DAF" w:rsidRPr="00485DAF" w:rsidRDefault="00485DAF" w:rsidP="00156C2D">
      <w:pPr>
        <w:pStyle w:val="ListParagraph"/>
        <w:numPr>
          <w:ilvl w:val="1"/>
          <w:numId w:val="21"/>
        </w:numPr>
        <w:autoSpaceDE w:val="0"/>
        <w:autoSpaceDN w:val="0"/>
        <w:adjustRightInd w:val="0"/>
        <w:spacing w:after="0"/>
        <w:ind w:left="709" w:firstLine="0"/>
        <w:rPr>
          <w:szCs w:val="20"/>
          <w:lang w:val="es-CR"/>
        </w:rPr>
      </w:pPr>
      <w:r w:rsidRPr="006C14F3">
        <w:rPr>
          <w:rFonts w:cs="Verdana"/>
          <w:i/>
          <w:szCs w:val="20"/>
          <w:lang w:val="es-CR" w:bidi="en-US"/>
        </w:rPr>
        <w:t>Olga Alicia Paz</w:t>
      </w:r>
      <w:r w:rsidRPr="006C14F3">
        <w:rPr>
          <w:szCs w:val="20"/>
          <w:lang w:val="es-CR"/>
        </w:rPr>
        <w:t xml:space="preserve">, quien rendirá dictamen pericial sobre </w:t>
      </w:r>
      <w:r w:rsidRPr="006C14F3">
        <w:rPr>
          <w:rFonts w:cs="ArialMT"/>
          <w:szCs w:val="20"/>
          <w:lang w:val="es-CR" w:eastAsia="es-CR"/>
        </w:rPr>
        <w:t>los efectos psicosociales que el VIH/SIDA y la falta de una atención integral tiene en general en los afectados por esta enfermedad y en particular en las víctimas de este caso. También declarará sobre las medidas que el Estado debería adoptar para reparar el daño causado a las víctimas.</w:t>
      </w:r>
    </w:p>
    <w:p w:rsidR="004801F2" w:rsidRPr="004801F2" w:rsidRDefault="004801F2" w:rsidP="00156C2D">
      <w:pPr>
        <w:pStyle w:val="ListParagraph"/>
        <w:spacing w:after="0"/>
        <w:rPr>
          <w:szCs w:val="20"/>
          <w:lang w:val="es-CR"/>
        </w:rPr>
      </w:pPr>
    </w:p>
    <w:p w:rsidR="009B2EF4" w:rsidRPr="003726D9" w:rsidRDefault="004801F2" w:rsidP="003726D9">
      <w:pPr>
        <w:pStyle w:val="ListParagraph"/>
        <w:numPr>
          <w:ilvl w:val="1"/>
          <w:numId w:val="21"/>
        </w:numPr>
        <w:autoSpaceDE w:val="0"/>
        <w:autoSpaceDN w:val="0"/>
        <w:adjustRightInd w:val="0"/>
        <w:spacing w:after="0"/>
        <w:ind w:left="709" w:firstLine="0"/>
        <w:rPr>
          <w:i/>
          <w:szCs w:val="20"/>
          <w:lang w:val="es-CR"/>
        </w:rPr>
      </w:pPr>
      <w:r w:rsidRPr="004801F2">
        <w:rPr>
          <w:rFonts w:eastAsia="Times New Roman" w:cs="Verdana"/>
          <w:i/>
          <w:szCs w:val="20"/>
          <w:lang w:val="es-AR" w:eastAsia="en-US"/>
        </w:rPr>
        <w:t>Paola Bergallo</w:t>
      </w:r>
      <w:r>
        <w:rPr>
          <w:rFonts w:eastAsia="Times New Roman" w:cs="Verdana"/>
          <w:szCs w:val="20"/>
          <w:lang w:val="es-AR" w:eastAsia="en-US"/>
        </w:rPr>
        <w:t xml:space="preserve">, quien rendirá dictamen pericial sobre </w:t>
      </w:r>
      <w:r w:rsidRPr="00C1243A">
        <w:rPr>
          <w:lang w:val="es-CR" w:eastAsia="es-CR"/>
        </w:rPr>
        <w:t>las obligaciones estatales para garantizar el derecho a la salud, desde la perspectiva del derecho internacional de los derechos humanos y el derecho comparado en la región latinoamericana; los estándares internacionales para garantizar atención médica integral de personas que viven con VIH; la prohibición de regresividad en el derecho a la salud y las medidas estructurales que el Estado debería adoptar para garantizar el derecho a la salud de las personas con VIH.</w:t>
      </w:r>
    </w:p>
    <w:p w:rsidR="009B2EF4" w:rsidRPr="009B2EF4" w:rsidRDefault="009B2EF4" w:rsidP="006C14F3">
      <w:pPr>
        <w:spacing w:after="0"/>
        <w:rPr>
          <w:szCs w:val="20"/>
          <w:highlight w:val="yellow"/>
          <w:lang w:val="es-CR"/>
        </w:rPr>
      </w:pPr>
    </w:p>
    <w:p w:rsidR="00527A7B" w:rsidRPr="003803DD" w:rsidRDefault="00527A7B" w:rsidP="006C14F3">
      <w:pPr>
        <w:numPr>
          <w:ilvl w:val="0"/>
          <w:numId w:val="22"/>
        </w:numPr>
        <w:spacing w:after="0"/>
        <w:ind w:left="0" w:firstLine="0"/>
        <w:contextualSpacing/>
        <w:rPr>
          <w:szCs w:val="20"/>
          <w:lang w:val="es-CR"/>
        </w:rPr>
      </w:pPr>
      <w:r w:rsidRPr="003803DD">
        <w:rPr>
          <w:szCs w:val="20"/>
          <w:lang w:val="es-CR"/>
        </w:rPr>
        <w:t xml:space="preserve">Requerir a los representantes y a la Comisión que notifiquen la presente Resolución a las personas por ellos propuestas, que han sido convocados a rendir declaración, de conformidad con lo dispuesto en los artículos 50.2 y 50.4 del Reglamento. </w:t>
      </w:r>
    </w:p>
    <w:p w:rsidR="00527A7B" w:rsidRPr="003803DD" w:rsidRDefault="00527A7B" w:rsidP="006C14F3">
      <w:pPr>
        <w:spacing w:after="0"/>
        <w:rPr>
          <w:szCs w:val="20"/>
          <w:lang w:val="es-CR"/>
        </w:rPr>
      </w:pPr>
    </w:p>
    <w:p w:rsidR="00527A7B" w:rsidRPr="003803DD" w:rsidRDefault="00527A7B" w:rsidP="006C14F3">
      <w:pPr>
        <w:numPr>
          <w:ilvl w:val="0"/>
          <w:numId w:val="22"/>
        </w:numPr>
        <w:spacing w:after="0"/>
        <w:ind w:left="0" w:firstLine="0"/>
        <w:contextualSpacing/>
        <w:rPr>
          <w:szCs w:val="20"/>
          <w:lang w:val="es-CR"/>
        </w:rPr>
      </w:pPr>
      <w:r w:rsidRPr="003803DD">
        <w:rPr>
          <w:szCs w:val="20"/>
          <w:lang w:val="es-CR"/>
        </w:rPr>
        <w:t xml:space="preserve"> Requerir al Estado y a los representantes que remitan, en los términos del artículo 50.5 del Reglamento y de considerarlo pertinente, en el plazo improrrogable que vence el </w:t>
      </w:r>
      <w:r w:rsidR="00FE7E0A">
        <w:rPr>
          <w:szCs w:val="20"/>
          <w:lang w:val="es-CR"/>
        </w:rPr>
        <w:t>16</w:t>
      </w:r>
      <w:r w:rsidRPr="00B160F1">
        <w:rPr>
          <w:szCs w:val="20"/>
          <w:lang w:val="es-CR"/>
        </w:rPr>
        <w:t xml:space="preserve"> de </w:t>
      </w:r>
      <w:r w:rsidR="005D1E07" w:rsidRPr="00B160F1">
        <w:rPr>
          <w:szCs w:val="20"/>
          <w:lang w:val="es-CR"/>
        </w:rPr>
        <w:t>febrero</w:t>
      </w:r>
      <w:r w:rsidRPr="00B160F1">
        <w:rPr>
          <w:szCs w:val="20"/>
          <w:lang w:val="es-CR"/>
        </w:rPr>
        <w:t xml:space="preserve"> de 2018</w:t>
      </w:r>
      <w:r w:rsidRPr="003803DD">
        <w:rPr>
          <w:szCs w:val="20"/>
          <w:lang w:val="es-CR"/>
        </w:rPr>
        <w:t xml:space="preserve">, las preguntas que estimen pertinentes formular, a través de la Corte Interamericana, a los declarantes indicados en el punto resolutivo </w:t>
      </w:r>
      <w:r w:rsidR="006A3357" w:rsidRPr="003803DD">
        <w:rPr>
          <w:szCs w:val="20"/>
          <w:lang w:val="es-CR"/>
        </w:rPr>
        <w:t>tercero</w:t>
      </w:r>
      <w:r w:rsidRPr="003803DD">
        <w:rPr>
          <w:szCs w:val="20"/>
          <w:lang w:val="es-CR"/>
        </w:rPr>
        <w:t xml:space="preserve"> de la presente Resolución.</w:t>
      </w:r>
    </w:p>
    <w:p w:rsidR="00527A7B" w:rsidRPr="003803DD" w:rsidRDefault="00527A7B" w:rsidP="006C14F3">
      <w:pPr>
        <w:spacing w:after="0"/>
        <w:rPr>
          <w:szCs w:val="20"/>
          <w:lang w:val="es-CR"/>
        </w:rPr>
      </w:pPr>
      <w:r w:rsidRPr="003803DD">
        <w:rPr>
          <w:szCs w:val="20"/>
          <w:lang w:val="es-CR"/>
        </w:rPr>
        <w:t xml:space="preserve"> </w:t>
      </w:r>
    </w:p>
    <w:p w:rsidR="00A27F16" w:rsidRPr="0072145B" w:rsidRDefault="00A27F16" w:rsidP="0086146C">
      <w:pPr>
        <w:pStyle w:val="ListParagraph"/>
        <w:numPr>
          <w:ilvl w:val="0"/>
          <w:numId w:val="22"/>
        </w:numPr>
        <w:spacing w:after="0"/>
        <w:ind w:left="0" w:firstLine="0"/>
        <w:contextualSpacing/>
        <w:rPr>
          <w:bCs/>
          <w:iCs/>
        </w:rPr>
      </w:pPr>
      <w:r w:rsidRPr="00713047">
        <w:rPr>
          <w:bCs/>
          <w:iCs/>
        </w:rPr>
        <w:t xml:space="preserve">Requerir a los representantes que remitan a la Corte, a más tardar el </w:t>
      </w:r>
      <w:r w:rsidR="00FE7E0A">
        <w:rPr>
          <w:bCs/>
          <w:iCs/>
        </w:rPr>
        <w:t>16</w:t>
      </w:r>
      <w:r w:rsidRPr="00B160F1">
        <w:rPr>
          <w:bCs/>
          <w:iCs/>
        </w:rPr>
        <w:t xml:space="preserve"> de </w:t>
      </w:r>
      <w:r w:rsidR="0072145B" w:rsidRPr="00B160F1">
        <w:rPr>
          <w:bCs/>
          <w:iCs/>
        </w:rPr>
        <w:t>febrero</w:t>
      </w:r>
      <w:r w:rsidRPr="00B160F1">
        <w:rPr>
          <w:bCs/>
          <w:iCs/>
        </w:rPr>
        <w:t xml:space="preserve"> de 2018</w:t>
      </w:r>
      <w:r w:rsidRPr="00713047">
        <w:rPr>
          <w:bCs/>
          <w:iCs/>
        </w:rPr>
        <w:t>, una cotización del costo de la formalización d</w:t>
      </w:r>
      <w:r>
        <w:rPr>
          <w:bCs/>
          <w:iCs/>
        </w:rPr>
        <w:t>e las declaraciones</w:t>
      </w:r>
      <w:r w:rsidRPr="008A2499">
        <w:rPr>
          <w:bCs/>
          <w:iCs/>
        </w:rPr>
        <w:t xml:space="preserve"> jurada</w:t>
      </w:r>
      <w:r>
        <w:rPr>
          <w:bCs/>
          <w:iCs/>
        </w:rPr>
        <w:t xml:space="preserve">s </w:t>
      </w:r>
      <w:r w:rsidRPr="00713047">
        <w:rPr>
          <w:bCs/>
          <w:iCs/>
        </w:rPr>
        <w:t>en el país de residencia de</w:t>
      </w:r>
      <w:r>
        <w:rPr>
          <w:bCs/>
          <w:iCs/>
        </w:rPr>
        <w:t xml:space="preserve"> </w:t>
      </w:r>
      <w:r w:rsidRPr="00713047">
        <w:rPr>
          <w:bCs/>
          <w:iCs/>
        </w:rPr>
        <w:t>l</w:t>
      </w:r>
      <w:r>
        <w:rPr>
          <w:bCs/>
          <w:iCs/>
        </w:rPr>
        <w:t>os</w:t>
      </w:r>
      <w:r w:rsidRPr="00713047">
        <w:rPr>
          <w:bCs/>
          <w:iCs/>
        </w:rPr>
        <w:t xml:space="preserve"> declarante</w:t>
      </w:r>
      <w:r>
        <w:rPr>
          <w:bCs/>
          <w:iCs/>
        </w:rPr>
        <w:t>s</w:t>
      </w:r>
      <w:r w:rsidRPr="00713047">
        <w:rPr>
          <w:bCs/>
          <w:iCs/>
        </w:rPr>
        <w:t xml:space="preserve"> y de su respectivo envío, </w:t>
      </w:r>
      <w:r>
        <w:rPr>
          <w:bCs/>
          <w:iCs/>
        </w:rPr>
        <w:t>que</w:t>
      </w:r>
      <w:r w:rsidRPr="008A2499">
        <w:rPr>
          <w:bCs/>
          <w:iCs/>
        </w:rPr>
        <w:t xml:space="preserve"> sería</w:t>
      </w:r>
      <w:r>
        <w:rPr>
          <w:bCs/>
          <w:iCs/>
        </w:rPr>
        <w:t xml:space="preserve"> cubierto</w:t>
      </w:r>
      <w:r w:rsidRPr="008A2499">
        <w:rPr>
          <w:bCs/>
          <w:iCs/>
        </w:rPr>
        <w:t xml:space="preserve"> por el Fondo de Asistencia</w:t>
      </w:r>
      <w:r>
        <w:rPr>
          <w:bCs/>
          <w:iCs/>
        </w:rPr>
        <w:t>,</w:t>
      </w:r>
      <w:r w:rsidRPr="008A2499">
        <w:rPr>
          <w:bCs/>
          <w:iCs/>
        </w:rPr>
        <w:t xml:space="preserve"> </w:t>
      </w:r>
      <w:r w:rsidRPr="00713047">
        <w:rPr>
          <w:bCs/>
          <w:iCs/>
        </w:rPr>
        <w:t xml:space="preserve">de conformidad con lo establecido en el </w:t>
      </w:r>
      <w:r w:rsidRPr="00286BA4">
        <w:rPr>
          <w:bCs/>
          <w:iCs/>
        </w:rPr>
        <w:t xml:space="preserve">párrafo considerativo </w:t>
      </w:r>
      <w:r w:rsidR="00286BA4" w:rsidRPr="00286BA4">
        <w:rPr>
          <w:bCs/>
          <w:iCs/>
        </w:rPr>
        <w:t>40</w:t>
      </w:r>
      <w:r w:rsidRPr="00286BA4">
        <w:rPr>
          <w:bCs/>
          <w:iCs/>
        </w:rPr>
        <w:t xml:space="preserve"> </w:t>
      </w:r>
      <w:r w:rsidRPr="00713047">
        <w:rPr>
          <w:bCs/>
          <w:iCs/>
        </w:rPr>
        <w:t xml:space="preserve">de la presente Resolución. </w:t>
      </w:r>
    </w:p>
    <w:p w:rsidR="00A27F16" w:rsidRDefault="00A27F16" w:rsidP="0086146C">
      <w:pPr>
        <w:pStyle w:val="ListParagraph"/>
        <w:spacing w:after="0"/>
        <w:rPr>
          <w:szCs w:val="20"/>
          <w:lang w:val="es-CR"/>
        </w:rPr>
      </w:pPr>
    </w:p>
    <w:p w:rsidR="00527A7B" w:rsidRPr="003803DD" w:rsidRDefault="00527A7B" w:rsidP="006C14F3">
      <w:pPr>
        <w:numPr>
          <w:ilvl w:val="0"/>
          <w:numId w:val="22"/>
        </w:numPr>
        <w:spacing w:after="0"/>
        <w:ind w:left="0" w:firstLine="0"/>
        <w:contextualSpacing/>
        <w:rPr>
          <w:szCs w:val="20"/>
          <w:lang w:val="es-CR"/>
        </w:rPr>
      </w:pPr>
      <w:r w:rsidRPr="003803DD">
        <w:rPr>
          <w:szCs w:val="20"/>
          <w:lang w:val="es-CR"/>
        </w:rPr>
        <w:t xml:space="preserve">Requerir a los representantes y a la Comisión Interamericana que coordinen y realicen las diligencias necesarias para que, una vez recibidas las preguntas de la contraparte, el declarante incluya las respuestas en su respectiva declaración rendida ante fedatario público, salvo que el Presidente disponga lo contrario cuando la Secretaría de la Corte las transmita. Las declaraciones requeridas en el referido punto resolutivo </w:t>
      </w:r>
      <w:r w:rsidR="006A3357" w:rsidRPr="003803DD">
        <w:rPr>
          <w:szCs w:val="20"/>
          <w:lang w:val="es-CR"/>
        </w:rPr>
        <w:t>tercero</w:t>
      </w:r>
      <w:r w:rsidRPr="003803DD">
        <w:rPr>
          <w:szCs w:val="20"/>
          <w:lang w:val="es-CR"/>
        </w:rPr>
        <w:t xml:space="preserve"> deberá</w:t>
      </w:r>
      <w:r w:rsidR="005B1002" w:rsidRPr="003803DD">
        <w:rPr>
          <w:szCs w:val="20"/>
          <w:lang w:val="es-CR"/>
        </w:rPr>
        <w:t>n</w:t>
      </w:r>
      <w:r w:rsidRPr="003803DD">
        <w:rPr>
          <w:szCs w:val="20"/>
          <w:lang w:val="es-CR"/>
        </w:rPr>
        <w:t xml:space="preserve"> ser presentadas a más tardar el </w:t>
      </w:r>
      <w:r w:rsidR="00FE7E0A">
        <w:rPr>
          <w:szCs w:val="20"/>
          <w:lang w:val="es-CR"/>
        </w:rPr>
        <w:t>26</w:t>
      </w:r>
      <w:r w:rsidRPr="00B160F1">
        <w:rPr>
          <w:szCs w:val="20"/>
          <w:lang w:val="es-CR"/>
        </w:rPr>
        <w:t xml:space="preserve"> de </w:t>
      </w:r>
      <w:r w:rsidR="005D1E07" w:rsidRPr="00B160F1">
        <w:rPr>
          <w:szCs w:val="20"/>
          <w:lang w:val="es-CR"/>
        </w:rPr>
        <w:t>febrero</w:t>
      </w:r>
      <w:r w:rsidRPr="00B160F1">
        <w:rPr>
          <w:szCs w:val="20"/>
          <w:lang w:val="es-CR"/>
        </w:rPr>
        <w:t xml:space="preserve"> de 2018</w:t>
      </w:r>
      <w:r w:rsidR="006D25C9" w:rsidRPr="003803DD">
        <w:rPr>
          <w:szCs w:val="20"/>
          <w:lang w:val="es-CR"/>
        </w:rPr>
        <w:t>.</w:t>
      </w:r>
    </w:p>
    <w:p w:rsidR="00527A7B" w:rsidRPr="003803DD" w:rsidRDefault="00527A7B" w:rsidP="006C14F3">
      <w:pPr>
        <w:spacing w:after="0"/>
        <w:rPr>
          <w:szCs w:val="20"/>
          <w:lang w:val="es-CR"/>
        </w:rPr>
      </w:pPr>
    </w:p>
    <w:p w:rsidR="00527A7B" w:rsidRPr="003803DD" w:rsidRDefault="00527A7B" w:rsidP="006C14F3">
      <w:pPr>
        <w:numPr>
          <w:ilvl w:val="0"/>
          <w:numId w:val="22"/>
        </w:numPr>
        <w:spacing w:after="0"/>
        <w:ind w:left="0" w:firstLine="0"/>
        <w:contextualSpacing/>
        <w:rPr>
          <w:szCs w:val="20"/>
          <w:lang w:val="es-CR"/>
        </w:rPr>
      </w:pPr>
      <w:r w:rsidRPr="003803DD">
        <w:rPr>
          <w:szCs w:val="20"/>
          <w:lang w:val="es-CR"/>
        </w:rPr>
        <w:t>Disponer, conforme al artículo 50.6 del Reglamento que, una vez recibidas las declaraciones, la Secretaría de la Corte Interamericana las transmita a las partes y a la Comisión para que presenten, según sea el caso, sus observaciones a más tardar</w:t>
      </w:r>
      <w:r w:rsidR="00F02B6B">
        <w:rPr>
          <w:szCs w:val="20"/>
          <w:lang w:val="es-CR"/>
        </w:rPr>
        <w:t xml:space="preserve"> el </w:t>
      </w:r>
      <w:r w:rsidR="00B160F1" w:rsidRPr="00B160F1">
        <w:rPr>
          <w:szCs w:val="20"/>
          <w:lang w:val="es-CR"/>
        </w:rPr>
        <w:t>9</w:t>
      </w:r>
      <w:r w:rsidR="00F02B6B" w:rsidRPr="00B160F1">
        <w:rPr>
          <w:szCs w:val="20"/>
          <w:lang w:val="es-CR"/>
        </w:rPr>
        <w:t xml:space="preserve"> de abril de 2018</w:t>
      </w:r>
      <w:r w:rsidRPr="003803DD">
        <w:rPr>
          <w:szCs w:val="20"/>
          <w:lang w:val="es-CR"/>
        </w:rPr>
        <w:t xml:space="preserve"> con sus alegatos u observaciones finales escritos.</w:t>
      </w:r>
    </w:p>
    <w:p w:rsidR="00527A7B" w:rsidRPr="003803DD" w:rsidRDefault="00527A7B" w:rsidP="006C14F3">
      <w:pPr>
        <w:spacing w:after="0"/>
        <w:rPr>
          <w:szCs w:val="20"/>
          <w:lang w:val="es-CR"/>
        </w:rPr>
      </w:pPr>
    </w:p>
    <w:p w:rsidR="00A27F16" w:rsidRPr="00A809B9" w:rsidRDefault="00A27F16" w:rsidP="00A809B9">
      <w:pPr>
        <w:numPr>
          <w:ilvl w:val="0"/>
          <w:numId w:val="22"/>
        </w:numPr>
        <w:spacing w:after="0"/>
        <w:ind w:left="0" w:firstLine="0"/>
        <w:contextualSpacing/>
        <w:rPr>
          <w:szCs w:val="20"/>
          <w:lang w:val="es-CR"/>
        </w:rPr>
      </w:pPr>
      <w:r w:rsidRPr="00A27F16">
        <w:rPr>
          <w:bCs/>
          <w:iCs/>
        </w:rPr>
        <w:t xml:space="preserve">Informar a la Comisión, a los representantes y al Estado que deben cubrir los gastos que ocasione la aportación o rendición de la prueba propuesta por ellos, de conformidad con lo dispuesto en el artículo 60 del Reglamento, </w:t>
      </w:r>
      <w:r w:rsidRPr="00A27F16">
        <w:rPr>
          <w:szCs w:val="20"/>
        </w:rPr>
        <w:t>sin perjuicio de lo que resulte pertinente en aplicación del Fondo de Asistencia Legal de Víctimas en el presente caso.</w:t>
      </w:r>
    </w:p>
    <w:p w:rsidR="00A27F16" w:rsidRPr="00A27F16" w:rsidRDefault="00A27F16" w:rsidP="00A809B9">
      <w:pPr>
        <w:spacing w:after="0"/>
        <w:contextualSpacing/>
        <w:rPr>
          <w:szCs w:val="20"/>
          <w:lang w:val="es-CR"/>
        </w:rPr>
      </w:pPr>
    </w:p>
    <w:p w:rsidR="00527A7B" w:rsidRPr="003803DD" w:rsidRDefault="00527A7B" w:rsidP="006C14F3">
      <w:pPr>
        <w:numPr>
          <w:ilvl w:val="0"/>
          <w:numId w:val="22"/>
        </w:numPr>
        <w:spacing w:after="0"/>
        <w:ind w:left="0" w:firstLine="0"/>
        <w:contextualSpacing/>
        <w:rPr>
          <w:szCs w:val="20"/>
          <w:lang w:val="es-CR"/>
        </w:rPr>
      </w:pPr>
      <w:r w:rsidRPr="003803DD">
        <w:rPr>
          <w:szCs w:val="20"/>
          <w:lang w:val="es-CR"/>
        </w:rPr>
        <w:t xml:space="preserve">Requerir a los representantes que informen a las personas convocadas por la Corte para declarar que, según lo dispuesto en el artículo 54 del Reglamento, el Tribunal pondrá en conocimiento del Estado los casos en que las personas requeridas para comparecer o </w:t>
      </w:r>
      <w:r w:rsidRPr="003803DD">
        <w:rPr>
          <w:szCs w:val="20"/>
          <w:lang w:val="es-CR"/>
        </w:rPr>
        <w:lastRenderedPageBreak/>
        <w:t xml:space="preserve">declarar no comparecieren o rehusaren deponer sin motivo legítimo o que, en el parecer de la misma Corte, hayan violado el juramento o la declaración solemne, para los fines previstos en la legislación nacional correspondiente. </w:t>
      </w:r>
    </w:p>
    <w:p w:rsidR="00527A7B" w:rsidRPr="003803DD" w:rsidRDefault="00527A7B" w:rsidP="006C14F3">
      <w:pPr>
        <w:spacing w:after="0"/>
        <w:rPr>
          <w:szCs w:val="20"/>
          <w:lang w:val="es-CR"/>
        </w:rPr>
      </w:pPr>
    </w:p>
    <w:p w:rsidR="00527A7B" w:rsidRPr="003803DD" w:rsidRDefault="00527A7B" w:rsidP="006C14F3">
      <w:pPr>
        <w:numPr>
          <w:ilvl w:val="0"/>
          <w:numId w:val="22"/>
        </w:numPr>
        <w:spacing w:after="0"/>
        <w:ind w:left="0" w:firstLine="0"/>
        <w:contextualSpacing/>
        <w:rPr>
          <w:szCs w:val="20"/>
          <w:lang w:val="es-CR"/>
        </w:rPr>
      </w:pPr>
      <w:r w:rsidRPr="003803DD">
        <w:rPr>
          <w:szCs w:val="20"/>
          <w:lang w:val="es-CR"/>
        </w:rPr>
        <w:t>Informar a los representantes, al Estado y a la Comisión Interamericana que, al término de las declaraciones rendidas en la audiencia pública, podrán presentar ante el Tribunal sus alegatos finales orales y observaciones finales orales, respectivamente, sobre fondo y eventuales reparaciones y costas en el presente caso.</w:t>
      </w:r>
    </w:p>
    <w:p w:rsidR="00527A7B" w:rsidRPr="003803DD" w:rsidRDefault="00527A7B" w:rsidP="006C14F3">
      <w:pPr>
        <w:spacing w:after="0"/>
        <w:rPr>
          <w:szCs w:val="20"/>
          <w:lang w:val="es-CR"/>
        </w:rPr>
      </w:pPr>
    </w:p>
    <w:p w:rsidR="00527A7B" w:rsidRPr="003803DD" w:rsidRDefault="00527A7B" w:rsidP="006C14F3">
      <w:pPr>
        <w:numPr>
          <w:ilvl w:val="0"/>
          <w:numId w:val="22"/>
        </w:numPr>
        <w:spacing w:after="0"/>
        <w:ind w:left="0" w:firstLine="0"/>
        <w:contextualSpacing/>
        <w:rPr>
          <w:szCs w:val="20"/>
          <w:lang w:val="es-CR"/>
        </w:rPr>
      </w:pPr>
      <w:r w:rsidRPr="003803DD">
        <w:rPr>
          <w:szCs w:val="20"/>
          <w:lang w:val="es-CR"/>
        </w:rPr>
        <w:t>Disponer que la Secretaría de la Corte, de conformidad con lo dispuesto en el artículo 55.3 del Reglamento, indique a la Comisión Interamericana, a los representantes y al Estado el enlace donde se encontrará disponible la grabación de la audiencia pública, a la brevedad posible luego de la celebración de la referida audiencia.</w:t>
      </w:r>
    </w:p>
    <w:p w:rsidR="00527A7B" w:rsidRPr="003803DD" w:rsidRDefault="00527A7B" w:rsidP="006C14F3">
      <w:pPr>
        <w:spacing w:after="0"/>
        <w:rPr>
          <w:szCs w:val="20"/>
          <w:lang w:val="es-CR"/>
        </w:rPr>
      </w:pPr>
    </w:p>
    <w:p w:rsidR="00527A7B" w:rsidRDefault="00527A7B" w:rsidP="006C14F3">
      <w:pPr>
        <w:numPr>
          <w:ilvl w:val="0"/>
          <w:numId w:val="22"/>
        </w:numPr>
        <w:spacing w:after="0"/>
        <w:ind w:left="0" w:firstLine="0"/>
        <w:contextualSpacing/>
        <w:rPr>
          <w:szCs w:val="20"/>
          <w:lang w:val="es-CR"/>
        </w:rPr>
      </w:pPr>
      <w:r w:rsidRPr="003803DD">
        <w:rPr>
          <w:szCs w:val="20"/>
          <w:lang w:val="es-CR"/>
        </w:rPr>
        <w:t xml:space="preserve">Informar a los representantes, al Estado y a la Comisión Interamericana que cuentan con un plazo hasta el </w:t>
      </w:r>
      <w:r w:rsidR="00B160F1" w:rsidRPr="00B160F1">
        <w:rPr>
          <w:szCs w:val="20"/>
          <w:lang w:val="es-CR"/>
        </w:rPr>
        <w:t>9</w:t>
      </w:r>
      <w:r w:rsidR="00D148F6" w:rsidRPr="00B160F1">
        <w:rPr>
          <w:szCs w:val="20"/>
          <w:lang w:val="es-CR"/>
        </w:rPr>
        <w:t xml:space="preserve"> de abril</w:t>
      </w:r>
      <w:r w:rsidRPr="00B160F1">
        <w:rPr>
          <w:szCs w:val="20"/>
          <w:lang w:val="es-CR"/>
        </w:rPr>
        <w:t xml:space="preserve"> de 2018</w:t>
      </w:r>
      <w:r w:rsidRPr="003803DD">
        <w:rPr>
          <w:szCs w:val="20"/>
          <w:lang w:val="es-CR"/>
        </w:rPr>
        <w:t xml:space="preserve"> para presentar sus alegatos finales escritos y observaciones finales escritas, respectivamente, en relación con el fondo y eventuales reparaciones y costas en el presente caso. Este plazo es improrrogable e independiente de la puesta a disposición de las partes de la grabación de la audiencia pública.</w:t>
      </w:r>
    </w:p>
    <w:p w:rsidR="00A27F16" w:rsidRDefault="00A27F16" w:rsidP="00A809B9">
      <w:pPr>
        <w:pStyle w:val="ListParagraph"/>
        <w:rPr>
          <w:szCs w:val="20"/>
          <w:lang w:val="es-CR"/>
        </w:rPr>
      </w:pPr>
    </w:p>
    <w:p w:rsidR="00A27F16" w:rsidRPr="00713047" w:rsidRDefault="00A27F16" w:rsidP="00A27F16">
      <w:pPr>
        <w:pStyle w:val="ListParagraph"/>
        <w:numPr>
          <w:ilvl w:val="0"/>
          <w:numId w:val="22"/>
        </w:numPr>
        <w:tabs>
          <w:tab w:val="left" w:pos="0"/>
        </w:tabs>
        <w:spacing w:after="0"/>
        <w:ind w:left="0" w:firstLine="0"/>
        <w:contextualSpacing/>
        <w:rPr>
          <w:bCs/>
          <w:iCs/>
        </w:rPr>
      </w:pPr>
      <w:r w:rsidRPr="00713047">
        <w:rPr>
          <w:bCs/>
          <w:iCs/>
        </w:rPr>
        <w:t xml:space="preserve">Declarar procedente la aplicación del Fondo de Asistencia Legal de Víctimas de la Corte Interamericana en los términos dispuestos en los párrafos considerativos </w:t>
      </w:r>
      <w:r w:rsidR="003726D9">
        <w:rPr>
          <w:bCs/>
          <w:iCs/>
        </w:rPr>
        <w:t>37</w:t>
      </w:r>
      <w:r w:rsidRPr="00B160F1">
        <w:rPr>
          <w:bCs/>
          <w:iCs/>
        </w:rPr>
        <w:t xml:space="preserve"> a </w:t>
      </w:r>
      <w:r w:rsidR="003726D9">
        <w:rPr>
          <w:bCs/>
          <w:iCs/>
        </w:rPr>
        <w:t>41</w:t>
      </w:r>
      <w:r w:rsidRPr="00B160F1">
        <w:rPr>
          <w:bCs/>
          <w:iCs/>
        </w:rPr>
        <w:t xml:space="preserve"> de esta Resolución</w:t>
      </w:r>
      <w:r w:rsidRPr="00713047">
        <w:rPr>
          <w:bCs/>
          <w:iCs/>
        </w:rPr>
        <w:t>.</w:t>
      </w:r>
    </w:p>
    <w:p w:rsidR="00A27F16" w:rsidRPr="00713047" w:rsidRDefault="00A27F16" w:rsidP="00A27F16">
      <w:pPr>
        <w:pStyle w:val="ListParagraph"/>
        <w:tabs>
          <w:tab w:val="left" w:pos="0"/>
        </w:tabs>
        <w:spacing w:after="0"/>
        <w:ind w:left="0"/>
        <w:rPr>
          <w:bCs/>
          <w:iCs/>
        </w:rPr>
      </w:pPr>
    </w:p>
    <w:p w:rsidR="00A27F16" w:rsidRPr="0072145B" w:rsidRDefault="00A27F16" w:rsidP="0072145B">
      <w:pPr>
        <w:pStyle w:val="ListParagraph"/>
        <w:numPr>
          <w:ilvl w:val="0"/>
          <w:numId w:val="22"/>
        </w:numPr>
        <w:tabs>
          <w:tab w:val="left" w:pos="0"/>
        </w:tabs>
        <w:spacing w:after="0"/>
        <w:ind w:left="0" w:firstLine="0"/>
        <w:contextualSpacing/>
        <w:rPr>
          <w:bCs/>
          <w:iCs/>
        </w:rPr>
      </w:pPr>
      <w:r w:rsidRPr="00615CCA">
        <w:rPr>
          <w:szCs w:val="20"/>
        </w:rPr>
        <w:t xml:space="preserve">Disponer, de conformidad con el artículo 4 del Reglamento de la Corte sobre el Funcionamiento del Fondo de Asistencia Legal de </w:t>
      </w:r>
      <w:r>
        <w:rPr>
          <w:szCs w:val="20"/>
        </w:rPr>
        <w:t>Ví</w:t>
      </w:r>
      <w:r w:rsidRPr="00615CCA">
        <w:rPr>
          <w:szCs w:val="20"/>
        </w:rPr>
        <w:t xml:space="preserve">ctimas, que la </w:t>
      </w:r>
      <w:r>
        <w:rPr>
          <w:szCs w:val="20"/>
        </w:rPr>
        <w:t>Secretarí</w:t>
      </w:r>
      <w:r w:rsidRPr="00615CCA">
        <w:rPr>
          <w:szCs w:val="20"/>
        </w:rPr>
        <w:t xml:space="preserve">a del Tribunal abra un expediente de gastos, donde se documentará cada una de las erogaciones que se realicen con el Fondo de Asistencia Legal de Víctimas. </w:t>
      </w:r>
    </w:p>
    <w:p w:rsidR="00527A7B" w:rsidRPr="000C41A3" w:rsidRDefault="00527A7B" w:rsidP="006C14F3">
      <w:pPr>
        <w:spacing w:after="0"/>
        <w:rPr>
          <w:szCs w:val="20"/>
          <w:lang w:val="es-CR"/>
        </w:rPr>
      </w:pPr>
    </w:p>
    <w:p w:rsidR="00527A7B" w:rsidRDefault="00527A7B" w:rsidP="006C14F3">
      <w:pPr>
        <w:numPr>
          <w:ilvl w:val="0"/>
          <w:numId w:val="22"/>
        </w:numPr>
        <w:spacing w:after="0"/>
        <w:ind w:left="0" w:firstLine="0"/>
        <w:contextualSpacing/>
        <w:rPr>
          <w:szCs w:val="20"/>
          <w:lang w:val="es-CR"/>
        </w:rPr>
      </w:pPr>
      <w:r w:rsidRPr="003E0158">
        <w:rPr>
          <w:szCs w:val="20"/>
          <w:lang w:val="es-CR"/>
        </w:rPr>
        <w:t xml:space="preserve"> Disponer que la Secretaría de la Corte Interamericana notifique la presente Resolución a la Comisión Interamericana de Derechos Humanos, a los representantes y a Guatemala. </w:t>
      </w:r>
    </w:p>
    <w:p w:rsidR="00032555" w:rsidRPr="00260A99" w:rsidRDefault="00032555" w:rsidP="00260A99">
      <w:pPr>
        <w:spacing w:after="0"/>
        <w:rPr>
          <w:sz w:val="18"/>
          <w:szCs w:val="18"/>
          <w:lang w:val="es-CR"/>
        </w:rPr>
      </w:pPr>
    </w:p>
    <w:p w:rsidR="00665F9E" w:rsidRPr="00260A99" w:rsidRDefault="00665F9E" w:rsidP="00260A99">
      <w:pPr>
        <w:spacing w:after="0"/>
        <w:rPr>
          <w:sz w:val="18"/>
          <w:szCs w:val="18"/>
          <w:lang w:val="es-CR"/>
        </w:rPr>
      </w:pPr>
    </w:p>
    <w:p w:rsidR="00665F9E" w:rsidRPr="00260A99" w:rsidRDefault="00665F9E" w:rsidP="00260A99">
      <w:pPr>
        <w:spacing w:after="0"/>
        <w:rPr>
          <w:sz w:val="18"/>
          <w:szCs w:val="18"/>
          <w:lang w:val="es-CR"/>
        </w:rPr>
      </w:pPr>
    </w:p>
    <w:p w:rsidR="00527A7B" w:rsidRPr="00260A99" w:rsidRDefault="00527A7B" w:rsidP="00260A99">
      <w:pPr>
        <w:spacing w:after="0"/>
        <w:rPr>
          <w:sz w:val="18"/>
          <w:szCs w:val="18"/>
          <w:lang w:val="es-CR"/>
        </w:rPr>
      </w:pPr>
    </w:p>
    <w:p w:rsidR="00527A7B" w:rsidRPr="00260A99" w:rsidRDefault="00527A7B" w:rsidP="00260A99">
      <w:pPr>
        <w:spacing w:after="0"/>
        <w:ind w:left="360"/>
        <w:jc w:val="right"/>
        <w:rPr>
          <w:sz w:val="18"/>
          <w:szCs w:val="18"/>
          <w:lang w:val="es-CR"/>
        </w:rPr>
      </w:pPr>
      <w:r w:rsidRPr="00260A99">
        <w:rPr>
          <w:sz w:val="18"/>
          <w:szCs w:val="18"/>
          <w:lang w:val="es-CR"/>
        </w:rPr>
        <w:t>Eduardo Ferrer Mac-Gregor Poisot</w:t>
      </w:r>
    </w:p>
    <w:p w:rsidR="00527A7B" w:rsidRPr="00260A99" w:rsidRDefault="00527A7B" w:rsidP="00260A99">
      <w:pPr>
        <w:spacing w:after="0"/>
        <w:ind w:left="360"/>
        <w:jc w:val="center"/>
        <w:rPr>
          <w:sz w:val="18"/>
          <w:szCs w:val="18"/>
          <w:lang w:val="es-CR"/>
        </w:rPr>
      </w:pPr>
      <w:r w:rsidRPr="00260A99">
        <w:rPr>
          <w:sz w:val="18"/>
          <w:szCs w:val="18"/>
          <w:lang w:val="es-CR"/>
        </w:rPr>
        <w:t xml:space="preserve">                                                                             Presidente</w:t>
      </w:r>
    </w:p>
    <w:p w:rsidR="00260A99" w:rsidRDefault="00260A99" w:rsidP="00260A99">
      <w:pPr>
        <w:spacing w:after="0"/>
        <w:ind w:left="360"/>
        <w:rPr>
          <w:sz w:val="18"/>
          <w:szCs w:val="18"/>
          <w:lang w:val="es-CR"/>
        </w:rPr>
      </w:pPr>
    </w:p>
    <w:p w:rsidR="00260A99" w:rsidRPr="00260A99" w:rsidRDefault="00260A99" w:rsidP="00260A99">
      <w:pPr>
        <w:spacing w:after="0"/>
        <w:ind w:left="360"/>
        <w:rPr>
          <w:sz w:val="18"/>
          <w:szCs w:val="18"/>
          <w:lang w:val="es-CR"/>
        </w:rPr>
      </w:pPr>
    </w:p>
    <w:p w:rsidR="00527A7B" w:rsidRPr="00260A99" w:rsidRDefault="00527A7B" w:rsidP="00260A99">
      <w:pPr>
        <w:spacing w:after="0"/>
        <w:ind w:left="360"/>
        <w:rPr>
          <w:sz w:val="18"/>
          <w:szCs w:val="18"/>
          <w:lang w:val="es-CR"/>
        </w:rPr>
      </w:pPr>
      <w:r w:rsidRPr="00260A99">
        <w:rPr>
          <w:sz w:val="18"/>
          <w:szCs w:val="18"/>
          <w:lang w:val="es-CR"/>
        </w:rPr>
        <w:t xml:space="preserve">Pablo Saavedra Alessandri </w:t>
      </w:r>
    </w:p>
    <w:p w:rsidR="00527A7B" w:rsidRPr="00260A99" w:rsidRDefault="00527A7B" w:rsidP="00260A99">
      <w:pPr>
        <w:spacing w:after="0"/>
        <w:ind w:left="360"/>
        <w:rPr>
          <w:sz w:val="18"/>
          <w:szCs w:val="18"/>
          <w:lang w:val="es-CR"/>
        </w:rPr>
      </w:pPr>
      <w:r w:rsidRPr="00260A99">
        <w:rPr>
          <w:sz w:val="18"/>
          <w:szCs w:val="18"/>
          <w:lang w:val="es-CR"/>
        </w:rPr>
        <w:t xml:space="preserve">           Secretario </w:t>
      </w:r>
    </w:p>
    <w:p w:rsidR="00527A7B" w:rsidRDefault="00527A7B" w:rsidP="00260A99">
      <w:pPr>
        <w:spacing w:after="0"/>
        <w:ind w:left="360"/>
        <w:rPr>
          <w:sz w:val="18"/>
          <w:szCs w:val="18"/>
          <w:lang w:val="es-CR"/>
        </w:rPr>
      </w:pPr>
    </w:p>
    <w:p w:rsidR="00260A99" w:rsidRDefault="00260A99" w:rsidP="00260A99">
      <w:pPr>
        <w:spacing w:after="0"/>
        <w:ind w:left="360"/>
        <w:rPr>
          <w:sz w:val="18"/>
          <w:szCs w:val="18"/>
          <w:lang w:val="es-CR"/>
        </w:rPr>
      </w:pPr>
    </w:p>
    <w:p w:rsidR="00527A7B" w:rsidRDefault="00527A7B" w:rsidP="00260A99">
      <w:pPr>
        <w:spacing w:after="0"/>
        <w:ind w:left="360"/>
        <w:rPr>
          <w:sz w:val="18"/>
          <w:szCs w:val="18"/>
          <w:lang w:val="es-CR"/>
        </w:rPr>
      </w:pPr>
    </w:p>
    <w:p w:rsidR="00527A7B" w:rsidRPr="00260A99" w:rsidRDefault="00527A7B" w:rsidP="00260A99">
      <w:pPr>
        <w:spacing w:after="0"/>
        <w:ind w:left="360"/>
        <w:rPr>
          <w:sz w:val="18"/>
          <w:szCs w:val="18"/>
          <w:lang w:val="es-CR"/>
        </w:rPr>
      </w:pPr>
      <w:r w:rsidRPr="00260A99">
        <w:rPr>
          <w:sz w:val="18"/>
          <w:szCs w:val="18"/>
          <w:lang w:val="es-CR"/>
        </w:rPr>
        <w:t xml:space="preserve">Comuníquese y ejecútese, </w:t>
      </w:r>
    </w:p>
    <w:p w:rsidR="00527A7B" w:rsidRPr="00260A99" w:rsidRDefault="00527A7B" w:rsidP="00260A99">
      <w:pPr>
        <w:spacing w:after="0"/>
        <w:ind w:left="360"/>
        <w:rPr>
          <w:sz w:val="18"/>
          <w:szCs w:val="18"/>
          <w:lang w:val="es-CR"/>
        </w:rPr>
      </w:pPr>
    </w:p>
    <w:p w:rsidR="00527A7B" w:rsidRPr="00260A99" w:rsidRDefault="00527A7B" w:rsidP="00260A99">
      <w:pPr>
        <w:spacing w:after="0"/>
        <w:ind w:left="360"/>
        <w:rPr>
          <w:sz w:val="18"/>
          <w:szCs w:val="18"/>
          <w:lang w:val="es-CR"/>
        </w:rPr>
      </w:pPr>
    </w:p>
    <w:p w:rsidR="00527A7B" w:rsidRPr="00260A99" w:rsidRDefault="00527A7B" w:rsidP="00260A99">
      <w:pPr>
        <w:spacing w:after="0"/>
        <w:ind w:left="360"/>
        <w:jc w:val="right"/>
        <w:rPr>
          <w:sz w:val="18"/>
          <w:szCs w:val="18"/>
          <w:lang w:val="es-CR"/>
        </w:rPr>
      </w:pPr>
      <w:r w:rsidRPr="00260A99">
        <w:rPr>
          <w:sz w:val="18"/>
          <w:szCs w:val="18"/>
          <w:lang w:val="es-CR"/>
        </w:rPr>
        <w:t>Eduardo Ferrer Mac-Gregor Poisot</w:t>
      </w:r>
    </w:p>
    <w:p w:rsidR="00527A7B" w:rsidRPr="00260A99" w:rsidRDefault="00527A7B" w:rsidP="00260A99">
      <w:pPr>
        <w:spacing w:after="0"/>
        <w:ind w:left="360"/>
        <w:jc w:val="center"/>
        <w:rPr>
          <w:sz w:val="18"/>
          <w:szCs w:val="18"/>
          <w:lang w:val="es-CR"/>
        </w:rPr>
      </w:pPr>
      <w:r w:rsidRPr="00260A99">
        <w:rPr>
          <w:sz w:val="18"/>
          <w:szCs w:val="18"/>
          <w:lang w:val="es-CR"/>
        </w:rPr>
        <w:t xml:space="preserve">                                                                              Presidente</w:t>
      </w:r>
    </w:p>
    <w:p w:rsidR="00527A7B" w:rsidRPr="00260A99" w:rsidRDefault="00527A7B" w:rsidP="00260A99">
      <w:pPr>
        <w:spacing w:after="0"/>
        <w:ind w:left="360"/>
        <w:rPr>
          <w:sz w:val="18"/>
          <w:szCs w:val="18"/>
          <w:lang w:val="es-CR"/>
        </w:rPr>
      </w:pPr>
    </w:p>
    <w:p w:rsidR="00527A7B" w:rsidRDefault="00527A7B" w:rsidP="00260A99">
      <w:pPr>
        <w:spacing w:after="0"/>
        <w:ind w:left="360"/>
        <w:rPr>
          <w:sz w:val="18"/>
          <w:szCs w:val="18"/>
          <w:lang w:val="es-CR"/>
        </w:rPr>
      </w:pPr>
    </w:p>
    <w:p w:rsidR="00260A99" w:rsidRPr="00260A99" w:rsidRDefault="00260A99" w:rsidP="00260A99">
      <w:pPr>
        <w:spacing w:after="0"/>
        <w:ind w:left="360"/>
        <w:rPr>
          <w:sz w:val="18"/>
          <w:szCs w:val="18"/>
          <w:lang w:val="es-CR"/>
        </w:rPr>
      </w:pPr>
    </w:p>
    <w:p w:rsidR="00527A7B" w:rsidRPr="00260A99" w:rsidRDefault="00527A7B" w:rsidP="00260A99">
      <w:pPr>
        <w:spacing w:after="0"/>
        <w:ind w:left="360"/>
        <w:rPr>
          <w:sz w:val="18"/>
          <w:szCs w:val="18"/>
          <w:lang w:val="es-CR"/>
        </w:rPr>
      </w:pPr>
      <w:r w:rsidRPr="00260A99">
        <w:rPr>
          <w:sz w:val="18"/>
          <w:szCs w:val="18"/>
          <w:lang w:val="es-CR"/>
        </w:rPr>
        <w:t xml:space="preserve">Pablo Saavedra Alessandri </w:t>
      </w:r>
    </w:p>
    <w:p w:rsidR="00527A7B" w:rsidRPr="00260A99" w:rsidRDefault="00527A7B" w:rsidP="00260A99">
      <w:pPr>
        <w:spacing w:after="0"/>
        <w:ind w:left="360"/>
        <w:rPr>
          <w:sz w:val="18"/>
          <w:szCs w:val="18"/>
          <w:lang w:val="es-CR"/>
        </w:rPr>
      </w:pPr>
      <w:r w:rsidRPr="00260A99">
        <w:rPr>
          <w:sz w:val="18"/>
          <w:szCs w:val="18"/>
          <w:lang w:val="es-CR"/>
        </w:rPr>
        <w:t xml:space="preserve">          Secretario</w:t>
      </w:r>
    </w:p>
    <w:sectPr w:rsidR="00527A7B" w:rsidRPr="00260A99" w:rsidSect="0030281E">
      <w:footerReference w:type="default" r:id="rId9"/>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491" w:rsidRDefault="008A2491" w:rsidP="00431A17">
      <w:pPr>
        <w:spacing w:after="0"/>
      </w:pPr>
      <w:r>
        <w:separator/>
      </w:r>
    </w:p>
  </w:endnote>
  <w:endnote w:type="continuationSeparator" w:id="0">
    <w:p w:rsidR="008A2491" w:rsidRDefault="008A2491" w:rsidP="00431A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Verdana Bold">
    <w:altName w:val="Times New Roman"/>
    <w:panose1 w:val="020B0804030504040204"/>
    <w:charset w:val="00"/>
    <w:family w:val="auto"/>
    <w:pitch w:val="variable"/>
    <w:sig w:usb0="00000001"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198000"/>
      <w:docPartObj>
        <w:docPartGallery w:val="Page Numbers (Bottom of Page)"/>
        <w:docPartUnique/>
      </w:docPartObj>
    </w:sdtPr>
    <w:sdtEndPr>
      <w:rPr>
        <w:noProof/>
      </w:rPr>
    </w:sdtEndPr>
    <w:sdtContent>
      <w:p w:rsidR="006C14F3" w:rsidRDefault="006C14F3">
        <w:pPr>
          <w:pStyle w:val="Footer"/>
          <w:jc w:val="center"/>
        </w:pPr>
        <w:r>
          <w:fldChar w:fldCharType="begin"/>
        </w:r>
        <w:r>
          <w:instrText xml:space="preserve"> PAGE   \* MERGEFORMAT </w:instrText>
        </w:r>
        <w:r>
          <w:fldChar w:fldCharType="separate"/>
        </w:r>
        <w:r w:rsidR="00C73957">
          <w:rPr>
            <w:noProof/>
          </w:rPr>
          <w:t>14</w:t>
        </w:r>
        <w:r>
          <w:rPr>
            <w:noProof/>
          </w:rPr>
          <w:fldChar w:fldCharType="end"/>
        </w:r>
      </w:p>
    </w:sdtContent>
  </w:sdt>
  <w:p w:rsidR="006C14F3" w:rsidRDefault="006C14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491" w:rsidRDefault="008A2491" w:rsidP="00431A17">
      <w:pPr>
        <w:spacing w:after="0"/>
      </w:pPr>
      <w:r>
        <w:separator/>
      </w:r>
    </w:p>
  </w:footnote>
  <w:footnote w:type="continuationSeparator" w:id="0">
    <w:p w:rsidR="008A2491" w:rsidRDefault="008A2491" w:rsidP="00431A17">
      <w:pPr>
        <w:spacing w:after="0"/>
      </w:pPr>
      <w:r>
        <w:continuationSeparator/>
      </w:r>
    </w:p>
  </w:footnote>
  <w:footnote w:id="1">
    <w:p w:rsidR="006C14F3" w:rsidRPr="00C43331" w:rsidRDefault="006C14F3" w:rsidP="001B24D7">
      <w:pPr>
        <w:autoSpaceDE w:val="0"/>
        <w:autoSpaceDN w:val="0"/>
        <w:adjustRightInd w:val="0"/>
        <w:spacing w:after="200"/>
        <w:rPr>
          <w:sz w:val="16"/>
          <w:szCs w:val="16"/>
        </w:rPr>
      </w:pPr>
      <w:r w:rsidRPr="00C43331">
        <w:rPr>
          <w:rStyle w:val="FootnoteReference"/>
          <w:sz w:val="16"/>
          <w:szCs w:val="16"/>
        </w:rPr>
        <w:footnoteRef/>
      </w:r>
      <w:r w:rsidRPr="00C43331">
        <w:rPr>
          <w:sz w:val="16"/>
          <w:szCs w:val="16"/>
        </w:rPr>
        <w:t xml:space="preserve"> </w:t>
      </w:r>
      <w:r>
        <w:rPr>
          <w:sz w:val="16"/>
          <w:szCs w:val="16"/>
        </w:rPr>
        <w:tab/>
      </w:r>
      <w:r w:rsidRPr="00C43331">
        <w:rPr>
          <w:sz w:val="16"/>
          <w:szCs w:val="16"/>
        </w:rPr>
        <w:t>La Comisión informó</w:t>
      </w:r>
      <w:r>
        <w:rPr>
          <w:sz w:val="16"/>
          <w:szCs w:val="16"/>
        </w:rPr>
        <w:t xml:space="preserve"> que el perito declararía sobre</w:t>
      </w:r>
      <w:r w:rsidRPr="00C43331">
        <w:rPr>
          <w:sz w:val="16"/>
          <w:szCs w:val="16"/>
        </w:rPr>
        <w:t xml:space="preserve"> </w:t>
      </w:r>
      <w:r>
        <w:rPr>
          <w:sz w:val="16"/>
          <w:szCs w:val="16"/>
        </w:rPr>
        <w:t>“</w:t>
      </w:r>
      <w:r w:rsidRPr="00C43331">
        <w:rPr>
          <w:rFonts w:cs="Arial"/>
          <w:color w:val="111111"/>
          <w:sz w:val="16"/>
          <w:szCs w:val="16"/>
          <w:lang w:val="es-CR" w:eastAsia="es-CR"/>
        </w:rPr>
        <w:t xml:space="preserve">los estándares internacionales que determinan las obligaciones estatales frente a las personas que </w:t>
      </w:r>
      <w:r w:rsidRPr="00C43331">
        <w:rPr>
          <w:rFonts w:cs="Arial"/>
          <w:color w:val="232323"/>
          <w:sz w:val="16"/>
          <w:szCs w:val="16"/>
          <w:lang w:val="es-CR" w:eastAsia="es-CR"/>
        </w:rPr>
        <w:t xml:space="preserve">viven </w:t>
      </w:r>
      <w:r>
        <w:rPr>
          <w:rFonts w:cs="Arial"/>
          <w:color w:val="111111"/>
          <w:sz w:val="16"/>
          <w:szCs w:val="16"/>
          <w:lang w:val="es-CR" w:eastAsia="es-CR"/>
        </w:rPr>
        <w:t>con VIH/SIDA bajo su jurisdicció</w:t>
      </w:r>
      <w:r w:rsidRPr="00C43331">
        <w:rPr>
          <w:rFonts w:cs="Arial"/>
          <w:color w:val="111111"/>
          <w:sz w:val="16"/>
          <w:szCs w:val="16"/>
          <w:lang w:val="es-CR" w:eastAsia="es-CR"/>
        </w:rPr>
        <w:t>n. Se referirá</w:t>
      </w:r>
      <w:r>
        <w:rPr>
          <w:rFonts w:cs="Arial"/>
          <w:color w:val="111111"/>
          <w:sz w:val="16"/>
          <w:szCs w:val="16"/>
          <w:lang w:val="es-CR" w:eastAsia="es-CR"/>
        </w:rPr>
        <w:t xml:space="preserve"> al alcance de la atenció</w:t>
      </w:r>
      <w:r w:rsidRPr="00C43331">
        <w:rPr>
          <w:rFonts w:cs="Arial"/>
          <w:color w:val="111111"/>
          <w:sz w:val="16"/>
          <w:szCs w:val="16"/>
          <w:lang w:val="es-CR" w:eastAsia="es-CR"/>
        </w:rPr>
        <w:t xml:space="preserve">n en </w:t>
      </w:r>
      <w:r w:rsidRPr="00C43331">
        <w:rPr>
          <w:rFonts w:cs="Arial"/>
          <w:color w:val="232323"/>
          <w:sz w:val="16"/>
          <w:szCs w:val="16"/>
          <w:lang w:val="es-CR" w:eastAsia="es-CR"/>
        </w:rPr>
        <w:t xml:space="preserve">salud a </w:t>
      </w:r>
      <w:r w:rsidRPr="00C43331">
        <w:rPr>
          <w:rFonts w:cs="Arial"/>
          <w:color w:val="111111"/>
          <w:sz w:val="16"/>
          <w:szCs w:val="16"/>
          <w:lang w:val="es-CR" w:eastAsia="es-CR"/>
        </w:rPr>
        <w:t xml:space="preserve">dichas personas para que pueda considerarse </w:t>
      </w:r>
      <w:r>
        <w:rPr>
          <w:rFonts w:cs="Arial"/>
          <w:color w:val="111111"/>
          <w:sz w:val="16"/>
          <w:szCs w:val="16"/>
          <w:lang w:val="es-CR" w:eastAsia="es-CR"/>
        </w:rPr>
        <w:t>acorde con dichos está</w:t>
      </w:r>
      <w:r w:rsidRPr="00C43331">
        <w:rPr>
          <w:rFonts w:cs="Arial"/>
          <w:color w:val="111111"/>
          <w:sz w:val="16"/>
          <w:szCs w:val="16"/>
          <w:lang w:val="es-CR" w:eastAsia="es-CR"/>
        </w:rPr>
        <w:t xml:space="preserve">ndares. Asimismo, </w:t>
      </w:r>
      <w:r w:rsidRPr="00C43331">
        <w:rPr>
          <w:rFonts w:cs="Arial"/>
          <w:color w:val="232323"/>
          <w:sz w:val="16"/>
          <w:szCs w:val="16"/>
          <w:lang w:val="es-CR" w:eastAsia="es-CR"/>
        </w:rPr>
        <w:t xml:space="preserve">se </w:t>
      </w:r>
      <w:r>
        <w:rPr>
          <w:rFonts w:cs="Arial"/>
          <w:color w:val="111111"/>
          <w:sz w:val="16"/>
          <w:szCs w:val="16"/>
          <w:lang w:val="es-CR" w:eastAsia="es-CR"/>
        </w:rPr>
        <w:t>referirá</w:t>
      </w:r>
      <w:r w:rsidRPr="00C43331">
        <w:rPr>
          <w:rFonts w:cs="Arial"/>
          <w:color w:val="111111"/>
          <w:sz w:val="16"/>
          <w:szCs w:val="16"/>
          <w:lang w:val="es-CR" w:eastAsia="es-CR"/>
        </w:rPr>
        <w:t xml:space="preserve"> a las obligaciones estatales diferenciadas respecto de </w:t>
      </w:r>
      <w:r w:rsidRPr="00C43331">
        <w:rPr>
          <w:rFonts w:cs="Arial"/>
          <w:color w:val="232323"/>
          <w:sz w:val="16"/>
          <w:szCs w:val="16"/>
          <w:lang w:val="es-CR" w:eastAsia="es-CR"/>
        </w:rPr>
        <w:t xml:space="preserve">las </w:t>
      </w:r>
      <w:r w:rsidRPr="00C43331">
        <w:rPr>
          <w:rFonts w:cs="Arial"/>
          <w:color w:val="111111"/>
          <w:sz w:val="16"/>
          <w:szCs w:val="16"/>
          <w:lang w:val="es-CR" w:eastAsia="es-CR"/>
        </w:rPr>
        <w:t xml:space="preserve">mujeres que viven </w:t>
      </w:r>
      <w:r w:rsidRPr="00C43331">
        <w:rPr>
          <w:rFonts w:cs="Arial"/>
          <w:color w:val="232323"/>
          <w:sz w:val="16"/>
          <w:szCs w:val="16"/>
          <w:lang w:val="es-CR" w:eastAsia="es-CR"/>
        </w:rPr>
        <w:t xml:space="preserve">con </w:t>
      </w:r>
      <w:r w:rsidRPr="00C43331">
        <w:rPr>
          <w:rFonts w:cs="Arial"/>
          <w:color w:val="111111"/>
          <w:sz w:val="16"/>
          <w:szCs w:val="16"/>
          <w:lang w:val="es-CR" w:eastAsia="es-CR"/>
        </w:rPr>
        <w:t xml:space="preserve">VIH/SIDA, particularmente en edad reproductiva. Se </w:t>
      </w:r>
      <w:r>
        <w:rPr>
          <w:rFonts w:cs="Arial"/>
          <w:color w:val="111111"/>
          <w:sz w:val="16"/>
          <w:szCs w:val="16"/>
          <w:lang w:val="es-CR" w:eastAsia="es-CR"/>
        </w:rPr>
        <w:t>referirá</w:t>
      </w:r>
      <w:r w:rsidRPr="00C43331">
        <w:rPr>
          <w:rFonts w:cs="Arial"/>
          <w:color w:val="111111"/>
          <w:sz w:val="16"/>
          <w:szCs w:val="16"/>
          <w:lang w:val="es-CR" w:eastAsia="es-CR"/>
        </w:rPr>
        <w:t xml:space="preserve"> a las </w:t>
      </w:r>
      <w:r>
        <w:rPr>
          <w:rFonts w:cs="Arial"/>
          <w:color w:val="232323"/>
          <w:sz w:val="16"/>
          <w:szCs w:val="16"/>
          <w:lang w:val="es-CR" w:eastAsia="es-CR"/>
        </w:rPr>
        <w:t>caracterí</w:t>
      </w:r>
      <w:r w:rsidRPr="00C43331">
        <w:rPr>
          <w:rFonts w:cs="Arial"/>
          <w:color w:val="232323"/>
          <w:sz w:val="16"/>
          <w:szCs w:val="16"/>
          <w:lang w:val="es-CR" w:eastAsia="es-CR"/>
        </w:rPr>
        <w:t xml:space="preserve">sticas </w:t>
      </w:r>
      <w:r w:rsidRPr="00C43331">
        <w:rPr>
          <w:rFonts w:cs="Arial"/>
          <w:color w:val="111111"/>
          <w:sz w:val="16"/>
          <w:szCs w:val="16"/>
          <w:lang w:val="es-CR" w:eastAsia="es-CR"/>
        </w:rPr>
        <w:t xml:space="preserve">que debe tener un recurso para ser </w:t>
      </w:r>
      <w:r w:rsidRPr="00C43331">
        <w:rPr>
          <w:rFonts w:cs="Arial"/>
          <w:color w:val="232323"/>
          <w:sz w:val="16"/>
          <w:szCs w:val="16"/>
          <w:lang w:val="es-CR" w:eastAsia="es-CR"/>
        </w:rPr>
        <w:t xml:space="preserve">considerado </w:t>
      </w:r>
      <w:r w:rsidRPr="00C43331">
        <w:rPr>
          <w:rFonts w:cs="Arial"/>
          <w:color w:val="111111"/>
          <w:sz w:val="16"/>
          <w:szCs w:val="16"/>
          <w:lang w:val="es-CR" w:eastAsia="es-CR"/>
        </w:rPr>
        <w:t xml:space="preserve">como </w:t>
      </w:r>
      <w:r w:rsidRPr="00C43331">
        <w:rPr>
          <w:rFonts w:cs="Arial"/>
          <w:color w:val="232323"/>
          <w:sz w:val="16"/>
          <w:szCs w:val="16"/>
          <w:lang w:val="es-CR" w:eastAsia="es-CR"/>
        </w:rPr>
        <w:t xml:space="preserve">sencillo </w:t>
      </w:r>
      <w:r w:rsidRPr="00C43331">
        <w:rPr>
          <w:rFonts w:cs="Arial"/>
          <w:color w:val="111111"/>
          <w:sz w:val="16"/>
          <w:szCs w:val="16"/>
          <w:lang w:val="es-CR" w:eastAsia="es-CR"/>
        </w:rPr>
        <w:t>y efectiv</w:t>
      </w:r>
      <w:r>
        <w:rPr>
          <w:rFonts w:cs="Arial"/>
          <w:color w:val="111111"/>
          <w:sz w:val="16"/>
          <w:szCs w:val="16"/>
          <w:lang w:val="es-CR" w:eastAsia="es-CR"/>
        </w:rPr>
        <w:t>o para proteger los derechos a l</w:t>
      </w:r>
      <w:r w:rsidRPr="00C43331">
        <w:rPr>
          <w:rFonts w:cs="Arial"/>
          <w:color w:val="111111"/>
          <w:sz w:val="16"/>
          <w:szCs w:val="16"/>
          <w:lang w:val="es-CR" w:eastAsia="es-CR"/>
        </w:rPr>
        <w:t xml:space="preserve">a </w:t>
      </w:r>
      <w:r w:rsidRPr="00C43331">
        <w:rPr>
          <w:rFonts w:cs="Arial"/>
          <w:color w:val="232323"/>
          <w:sz w:val="16"/>
          <w:szCs w:val="16"/>
          <w:lang w:val="es-CR" w:eastAsia="es-CR"/>
        </w:rPr>
        <w:t xml:space="preserve">vida </w:t>
      </w:r>
      <w:r>
        <w:rPr>
          <w:rFonts w:cs="Arial"/>
          <w:color w:val="111111"/>
          <w:sz w:val="16"/>
          <w:szCs w:val="16"/>
          <w:lang w:val="es-CR" w:eastAsia="es-CR"/>
        </w:rPr>
        <w:t>e integridad personal en relació</w:t>
      </w:r>
      <w:r w:rsidRPr="00C43331">
        <w:rPr>
          <w:rFonts w:cs="Arial"/>
          <w:color w:val="111111"/>
          <w:sz w:val="16"/>
          <w:szCs w:val="16"/>
          <w:lang w:val="es-CR" w:eastAsia="es-CR"/>
        </w:rPr>
        <w:t xml:space="preserve">n con el derecho a </w:t>
      </w:r>
      <w:r>
        <w:rPr>
          <w:rFonts w:cs="Arial"/>
          <w:color w:val="111111"/>
          <w:sz w:val="16"/>
          <w:szCs w:val="16"/>
          <w:lang w:val="es-CR" w:eastAsia="es-CR"/>
        </w:rPr>
        <w:t>l</w:t>
      </w:r>
      <w:r w:rsidRPr="00C43331">
        <w:rPr>
          <w:rFonts w:cs="Arial"/>
          <w:color w:val="111111"/>
          <w:sz w:val="16"/>
          <w:szCs w:val="16"/>
          <w:lang w:val="es-CR" w:eastAsia="es-CR"/>
        </w:rPr>
        <w:t xml:space="preserve">a salud, en </w:t>
      </w:r>
      <w:r w:rsidRPr="00C43331">
        <w:rPr>
          <w:rFonts w:cs="Arial"/>
          <w:color w:val="232323"/>
          <w:sz w:val="16"/>
          <w:szCs w:val="16"/>
          <w:lang w:val="es-CR" w:eastAsia="es-CR"/>
        </w:rPr>
        <w:t xml:space="preserve">supuestos </w:t>
      </w:r>
      <w:r w:rsidRPr="00C43331">
        <w:rPr>
          <w:rFonts w:cs="Arial"/>
          <w:color w:val="111111"/>
          <w:sz w:val="16"/>
          <w:szCs w:val="16"/>
          <w:lang w:val="es-CR" w:eastAsia="es-CR"/>
        </w:rPr>
        <w:t xml:space="preserve">de falta de tratamiento adecuado para personas </w:t>
      </w:r>
      <w:r w:rsidRPr="00C43331">
        <w:rPr>
          <w:rFonts w:cs="Arial"/>
          <w:color w:val="232323"/>
          <w:sz w:val="16"/>
          <w:szCs w:val="16"/>
          <w:lang w:val="es-CR" w:eastAsia="es-CR"/>
        </w:rPr>
        <w:t xml:space="preserve">con </w:t>
      </w:r>
      <w:r w:rsidRPr="00C43331">
        <w:rPr>
          <w:rFonts w:cs="Arial"/>
          <w:color w:val="111111"/>
          <w:sz w:val="16"/>
          <w:szCs w:val="16"/>
          <w:lang w:val="es-CR" w:eastAsia="es-CR"/>
        </w:rPr>
        <w:t xml:space="preserve">VIH/SIDA. El perito </w:t>
      </w:r>
      <w:r>
        <w:rPr>
          <w:rFonts w:cs="Arial"/>
          <w:color w:val="111111"/>
          <w:sz w:val="16"/>
          <w:szCs w:val="16"/>
          <w:lang w:val="es-CR" w:eastAsia="es-CR"/>
        </w:rPr>
        <w:t>se referirá, en l</w:t>
      </w:r>
      <w:r w:rsidRPr="00C43331">
        <w:rPr>
          <w:rFonts w:cs="Arial"/>
          <w:color w:val="111111"/>
          <w:sz w:val="16"/>
          <w:szCs w:val="16"/>
          <w:lang w:val="es-CR" w:eastAsia="es-CR"/>
        </w:rPr>
        <w:t xml:space="preserve">a medida de lo pertinente, a los hechos del </w:t>
      </w:r>
      <w:r w:rsidRPr="00C43331">
        <w:rPr>
          <w:rFonts w:cs="Arial"/>
          <w:color w:val="232323"/>
          <w:sz w:val="16"/>
          <w:szCs w:val="16"/>
          <w:lang w:val="es-CR" w:eastAsia="es-CR"/>
        </w:rPr>
        <w:t xml:space="preserve">caso </w:t>
      </w:r>
      <w:r>
        <w:rPr>
          <w:rFonts w:cs="Arial"/>
          <w:color w:val="111111"/>
          <w:sz w:val="16"/>
          <w:szCs w:val="16"/>
          <w:lang w:val="es-CR" w:eastAsia="es-CR"/>
        </w:rPr>
        <w:t>a l</w:t>
      </w:r>
      <w:r w:rsidRPr="00C43331">
        <w:rPr>
          <w:rFonts w:cs="Arial"/>
          <w:color w:val="111111"/>
          <w:sz w:val="16"/>
          <w:szCs w:val="16"/>
          <w:lang w:val="es-CR" w:eastAsia="es-CR"/>
        </w:rPr>
        <w:t>a luz de los estándares desarrollados en el peritaje.</w:t>
      </w:r>
      <w:r>
        <w:rPr>
          <w:rFonts w:cs="Arial"/>
          <w:color w:val="111111"/>
          <w:sz w:val="16"/>
          <w:szCs w:val="16"/>
          <w:lang w:val="es-CR" w:eastAsia="es-CR"/>
        </w:rPr>
        <w:t>”</w:t>
      </w:r>
    </w:p>
  </w:footnote>
  <w:footnote w:id="2">
    <w:p w:rsidR="006C14F3" w:rsidRPr="00C43331" w:rsidRDefault="006C14F3" w:rsidP="006D25C9">
      <w:pPr>
        <w:pStyle w:val="FootnoteText"/>
      </w:pPr>
      <w:r>
        <w:rPr>
          <w:rStyle w:val="FootnoteReference"/>
        </w:rPr>
        <w:footnoteRef/>
      </w:r>
      <w:r>
        <w:t xml:space="preserve"> </w:t>
      </w:r>
      <w:r>
        <w:tab/>
        <w:t>La Comisión informó que el objeto del peritaje del señor Oscar A. Cabrera sería el mismo que aquel ofrecido en la nota de remisión.</w:t>
      </w:r>
    </w:p>
  </w:footnote>
  <w:footnote w:id="3">
    <w:p w:rsidR="006C14F3" w:rsidRPr="00532AE6" w:rsidRDefault="006C14F3" w:rsidP="006D25C9">
      <w:pPr>
        <w:pStyle w:val="FootnoteText"/>
      </w:pPr>
      <w:r>
        <w:rPr>
          <w:rStyle w:val="FootnoteReference"/>
        </w:rPr>
        <w:footnoteRef/>
      </w:r>
      <w:r>
        <w:t xml:space="preserve"> </w:t>
      </w:r>
      <w:r>
        <w:tab/>
        <w:t>El artículo 35.1.f del Reglamento establece lo siguiente: “1. El caso será sometido a la Corte mediante la presentación del informe al que se refiere el artículo 50 de la Convención, que contenga todos los hechos supuestamente violatorios, inclusive la identificación de las presuntas víctimas. Para que el caso pueda ser examinado, la Corte deberá recibir la siguiente información:… f. cuando se afecte de manera relevante el orden público interamericano de los derechos humanos, la eventual designación de peritos, indicando el objeto de sus declaraciones y acompañando su hoja de vida.”</w:t>
      </w:r>
    </w:p>
  </w:footnote>
  <w:footnote w:id="4">
    <w:p w:rsidR="006C14F3" w:rsidRPr="00D257F1" w:rsidRDefault="006C14F3" w:rsidP="006D25C9">
      <w:pPr>
        <w:pStyle w:val="FootnoteText"/>
      </w:pPr>
      <w:r w:rsidRPr="00D257F1">
        <w:rPr>
          <w:rStyle w:val="FootnoteReference"/>
        </w:rPr>
        <w:footnoteRef/>
      </w:r>
      <w:r w:rsidRPr="00D257F1">
        <w:t xml:space="preserve"> </w:t>
      </w:r>
      <w:r w:rsidRPr="00D257F1">
        <w:tab/>
      </w:r>
      <w:r w:rsidRPr="0072145B">
        <w:rPr>
          <w:i/>
        </w:rPr>
        <w:t xml:space="preserve">Cfr. </w:t>
      </w:r>
      <w:r w:rsidR="00D76C0C" w:rsidRPr="0072145B">
        <w:rPr>
          <w:i/>
        </w:rPr>
        <w:t>Caso Pedro Miguel Vera Vera y otros Vs. Ecuador. Convocatoria a audiencia</w:t>
      </w:r>
      <w:r w:rsidR="00D76C0C">
        <w:t>. Resolución del Presidente de la Corte Interamericana de Derechos Humanos de 23 de diciembre de 2010, considerando 9,</w:t>
      </w:r>
      <w:r w:rsidRPr="0072145B">
        <w:t xml:space="preserve"> y </w:t>
      </w:r>
      <w:r w:rsidRPr="0072145B">
        <w:rPr>
          <w:i/>
        </w:rPr>
        <w:t xml:space="preserve">Caso </w:t>
      </w:r>
      <w:r w:rsidR="00D76C0C" w:rsidRPr="0072145B">
        <w:rPr>
          <w:rStyle w:val="Strong"/>
          <w:b w:val="0"/>
          <w:i/>
          <w:color w:val="000000"/>
          <w:shd w:val="clear" w:color="auto" w:fill="FFFFFF"/>
        </w:rPr>
        <w:t>Coc Max y otros Vs. Guatemala. Convocatoria a audiencia</w:t>
      </w:r>
      <w:r w:rsidR="00D76C0C" w:rsidRPr="00D76C0C">
        <w:rPr>
          <w:rStyle w:val="Strong"/>
          <w:b w:val="0"/>
          <w:color w:val="000000"/>
          <w:shd w:val="clear" w:color="auto" w:fill="FFFFFF"/>
        </w:rPr>
        <w:t>. Resolución del Presidente en ejercicio de la Corte Interamericana de Derechos Humanos de 13 de diciembre de 2017</w:t>
      </w:r>
      <w:r w:rsidRPr="0072145B">
        <w:t xml:space="preserve">, </w:t>
      </w:r>
      <w:r w:rsidR="00D76C0C" w:rsidRPr="0072145B">
        <w:t>considerando 10</w:t>
      </w:r>
      <w:r w:rsidRPr="0072145B">
        <w:t>.</w:t>
      </w:r>
    </w:p>
  </w:footnote>
  <w:footnote w:id="5">
    <w:p w:rsidR="006409FB" w:rsidRPr="006409FB" w:rsidRDefault="006409FB" w:rsidP="006409FB">
      <w:pPr>
        <w:pStyle w:val="FootnoteText"/>
      </w:pPr>
      <w:r>
        <w:rPr>
          <w:rStyle w:val="FootnoteReference"/>
        </w:rPr>
        <w:footnoteRef/>
      </w:r>
      <w:r>
        <w:t xml:space="preserve"> </w:t>
      </w:r>
      <w:r w:rsidR="008B7A3E">
        <w:tab/>
      </w:r>
      <w:r>
        <w:t>El artículo 49 del Reglamento establece que: [e]xcepcionalmente, frente a solicitud fundada y oído el parecer de la contraparte, la Corte podrá aceptar la sustitución de un declarante siempre que se individualice al sustituto y se respete el objeto de la declaración, testimonio o peritaje originalmente ofrecido.</w:t>
      </w:r>
    </w:p>
  </w:footnote>
  <w:footnote w:id="6">
    <w:p w:rsidR="000548B5" w:rsidRPr="00AF772C" w:rsidRDefault="000548B5" w:rsidP="000548B5">
      <w:pPr>
        <w:pStyle w:val="FootnoteText"/>
        <w:rPr>
          <w:lang w:val="es-CR"/>
        </w:rPr>
      </w:pPr>
      <w:r>
        <w:rPr>
          <w:rStyle w:val="FootnoteReference"/>
        </w:rPr>
        <w:footnoteRef/>
      </w:r>
      <w:r>
        <w:t xml:space="preserve"> </w:t>
      </w:r>
      <w:r>
        <w:tab/>
        <w:t xml:space="preserve">Los representantes informaron que, en general, la declaración de los señores Cabrera Morales y Sop Quiej, Cuscul Pivaral, y de las señoras Pérez Ruiz, Zepeda Herrera, Martínez Sofoija y Olivia Castañon, versaría sobre el </w:t>
      </w:r>
      <w:r w:rsidR="00F02B6B">
        <w:t xml:space="preserve"> diagnóstico como personas con VIH y la atención recibida desde ese momento. En particular, sobre los distintos obstáculos que han enfrentado para que el Estado les brinde una atención integral. Asimismo, se referirán a la forma en que la falta de un tratamiento </w:t>
      </w:r>
      <w:r w:rsidR="00F02B6B" w:rsidRPr="00B41CA2">
        <w:rPr>
          <w:lang w:val="es-CR" w:eastAsia="es-CR"/>
        </w:rPr>
        <w:t>integral como paciente</w:t>
      </w:r>
      <w:r w:rsidR="00F02B6B">
        <w:rPr>
          <w:lang w:val="es-CR" w:eastAsia="es-CR"/>
        </w:rPr>
        <w:t>s</w:t>
      </w:r>
      <w:r w:rsidR="00F02B6B" w:rsidRPr="00B41CA2">
        <w:rPr>
          <w:lang w:val="es-CR" w:eastAsia="es-CR"/>
        </w:rPr>
        <w:t xml:space="preserve"> de VIH ha afectado su</w:t>
      </w:r>
      <w:r w:rsidR="00F02B6B">
        <w:rPr>
          <w:lang w:val="es-CR" w:eastAsia="es-CR"/>
        </w:rPr>
        <w:t>s</w:t>
      </w:r>
      <w:r w:rsidR="00F02B6B" w:rsidRPr="00B41CA2">
        <w:rPr>
          <w:lang w:val="es-CR" w:eastAsia="es-CR"/>
        </w:rPr>
        <w:t xml:space="preserve"> vida y la de sus familiares y a las acciones que el Estado debe adoptar para reparar el daño causado.</w:t>
      </w:r>
    </w:p>
  </w:footnote>
  <w:footnote w:id="7">
    <w:p w:rsidR="006C293F" w:rsidRPr="006C293F" w:rsidRDefault="006C293F">
      <w:pPr>
        <w:pStyle w:val="FootnoteText"/>
      </w:pPr>
      <w:r>
        <w:rPr>
          <w:rStyle w:val="FootnoteReference"/>
        </w:rPr>
        <w:footnoteRef/>
      </w:r>
      <w:r>
        <w:t xml:space="preserve"> </w:t>
      </w:r>
      <w:r>
        <w:tab/>
      </w:r>
      <w:r w:rsidRPr="0062065A">
        <w:rPr>
          <w:szCs w:val="16"/>
          <w:lang w:val="es-CR"/>
        </w:rPr>
        <w:t>Los representantes informaron que</w:t>
      </w:r>
      <w:r w:rsidRPr="0062065A">
        <w:rPr>
          <w:szCs w:val="16"/>
        </w:rPr>
        <w:t xml:space="preserve"> el señor </w:t>
      </w:r>
      <w:r w:rsidRPr="0062065A">
        <w:rPr>
          <w:rFonts w:cs="Verdana"/>
          <w:szCs w:val="16"/>
          <w:lang w:bidi="en-US"/>
        </w:rPr>
        <w:t xml:space="preserve">Coc Chajón </w:t>
      </w:r>
      <w:r w:rsidRPr="0062065A">
        <w:rPr>
          <w:rFonts w:cs="ArialMT"/>
          <w:szCs w:val="16"/>
          <w:lang w:val="es-CR" w:eastAsia="es-CR"/>
        </w:rPr>
        <w:t>declarará sobre “el diagnóstico recibido por su hermano y la falta de una atención integral recibida por el Estado en su condición de paciente de VIH, incluyendo el trato que este recibió por parte del personal a cargo de su cuidado. Asimismo, se referirá a la forma en que la falta de un tratamiento integral como paciente de VIH afectó la vida de su hermano, la suya y la de su familia y como posterior a su muerte les afectó a el y a su familia. Igualmente, declarará sobre las acciones que el Estado debe adoptar para reparar el daño causado, entre otros aspectos relacionados con el caso.”</w:t>
      </w:r>
    </w:p>
  </w:footnote>
  <w:footnote w:id="8">
    <w:p w:rsidR="00B37222" w:rsidRPr="00B37222" w:rsidRDefault="00B37222">
      <w:pPr>
        <w:pStyle w:val="FootnoteText"/>
      </w:pPr>
      <w:r>
        <w:rPr>
          <w:rStyle w:val="FootnoteReference"/>
        </w:rPr>
        <w:footnoteRef/>
      </w:r>
      <w:r>
        <w:t xml:space="preserve"> </w:t>
      </w:r>
      <w:r>
        <w:tab/>
      </w:r>
      <w:r w:rsidR="00A809B9" w:rsidRPr="0062065A">
        <w:rPr>
          <w:szCs w:val="16"/>
          <w:lang w:val="es-CR"/>
        </w:rPr>
        <w:t>Los representantes informaron que</w:t>
      </w:r>
      <w:r w:rsidR="00A809B9">
        <w:rPr>
          <w:szCs w:val="16"/>
          <w:lang w:val="es-CR"/>
        </w:rPr>
        <w:t>, en general,</w:t>
      </w:r>
      <w:r w:rsidR="00A809B9" w:rsidRPr="0062065A">
        <w:rPr>
          <w:szCs w:val="16"/>
        </w:rPr>
        <w:t xml:space="preserve"> el señor </w:t>
      </w:r>
      <w:r w:rsidR="00A809B9" w:rsidRPr="0062065A">
        <w:rPr>
          <w:rFonts w:cs="Verdana"/>
          <w:szCs w:val="16"/>
          <w:lang w:bidi="en-US"/>
        </w:rPr>
        <w:t>Hernández Estrada</w:t>
      </w:r>
      <w:r w:rsidR="00A809B9">
        <w:rPr>
          <w:rFonts w:cs="Verdana"/>
          <w:szCs w:val="16"/>
          <w:lang w:bidi="en-US"/>
        </w:rPr>
        <w:t xml:space="preserve"> y </w:t>
      </w:r>
      <w:r w:rsidR="00A809B9" w:rsidRPr="0062065A">
        <w:rPr>
          <w:szCs w:val="16"/>
        </w:rPr>
        <w:t xml:space="preserve">la señora </w:t>
      </w:r>
      <w:r w:rsidR="00A809B9">
        <w:rPr>
          <w:rFonts w:cs="Verdana"/>
          <w:szCs w:val="16"/>
          <w:lang w:bidi="en-US"/>
        </w:rPr>
        <w:t>Ri</w:t>
      </w:r>
      <w:r w:rsidR="00A809B9" w:rsidRPr="0062065A">
        <w:rPr>
          <w:rFonts w:cs="Verdana"/>
          <w:szCs w:val="16"/>
          <w:lang w:bidi="en-US"/>
        </w:rPr>
        <w:t>das Mérida</w:t>
      </w:r>
      <w:r w:rsidR="00A809B9">
        <w:rPr>
          <w:rFonts w:cs="ArialMT"/>
          <w:szCs w:val="16"/>
          <w:lang w:val="es-CR" w:eastAsia="es-CR"/>
        </w:rPr>
        <w:t xml:space="preserve"> declararían sobre </w:t>
      </w:r>
      <w:r w:rsidR="00A809B9" w:rsidRPr="0062065A">
        <w:rPr>
          <w:rFonts w:cs="ArialMT"/>
          <w:szCs w:val="16"/>
          <w:lang w:val="es-CR" w:eastAsia="es-CR"/>
        </w:rPr>
        <w:t>el diagnóstico recibido por su madre</w:t>
      </w:r>
      <w:r w:rsidR="00A809B9">
        <w:rPr>
          <w:rFonts w:cs="ArialMT"/>
          <w:szCs w:val="16"/>
          <w:lang w:val="es-CR" w:eastAsia="es-CR"/>
        </w:rPr>
        <w:t xml:space="preserve"> y su padre, respectivamente,</w:t>
      </w:r>
      <w:r w:rsidR="00A809B9" w:rsidRPr="0062065A">
        <w:rPr>
          <w:rFonts w:cs="ArialMT"/>
          <w:szCs w:val="16"/>
          <w:lang w:val="es-CR" w:eastAsia="es-CR"/>
        </w:rPr>
        <w:t xml:space="preserve"> y la falta de una atención integral por parte del Estado en su condición de paciente de VIH. Asimismo</w:t>
      </w:r>
      <w:r w:rsidR="00A809B9">
        <w:rPr>
          <w:rFonts w:cs="ArialMT"/>
          <w:szCs w:val="16"/>
          <w:lang w:val="es-CR" w:eastAsia="es-CR"/>
        </w:rPr>
        <w:t>, se referirían</w:t>
      </w:r>
      <w:r w:rsidR="00A809B9" w:rsidRPr="0062065A">
        <w:rPr>
          <w:rFonts w:cs="ArialMT"/>
          <w:szCs w:val="16"/>
          <w:lang w:val="es-CR" w:eastAsia="es-CR"/>
        </w:rPr>
        <w:t xml:space="preserve"> a la forma en que la falta de un tratamiento integral como paciente de VIH afectó la vida de su madre</w:t>
      </w:r>
      <w:r w:rsidR="00A809B9">
        <w:rPr>
          <w:rFonts w:cs="ArialMT"/>
          <w:szCs w:val="16"/>
          <w:lang w:val="es-CR" w:eastAsia="es-CR"/>
        </w:rPr>
        <w:t xml:space="preserve"> y padre, respectivamente</w:t>
      </w:r>
      <w:r w:rsidR="00A809B9" w:rsidRPr="0062065A">
        <w:rPr>
          <w:rFonts w:cs="ArialMT"/>
          <w:szCs w:val="16"/>
          <w:lang w:val="es-CR" w:eastAsia="es-CR"/>
        </w:rPr>
        <w:t>, la suya y la de su familia y como posterior a su muerte les afectó a él</w:t>
      </w:r>
      <w:r w:rsidR="00A809B9">
        <w:rPr>
          <w:rFonts w:cs="ArialMT"/>
          <w:szCs w:val="16"/>
          <w:lang w:val="es-CR" w:eastAsia="es-CR"/>
        </w:rPr>
        <w:t xml:space="preserve"> y a ella,</w:t>
      </w:r>
      <w:r w:rsidR="00A809B9" w:rsidRPr="0062065A">
        <w:rPr>
          <w:rFonts w:cs="ArialMT"/>
          <w:szCs w:val="16"/>
          <w:lang w:val="es-CR" w:eastAsia="es-CR"/>
        </w:rPr>
        <w:t xml:space="preserve"> y a s</w:t>
      </w:r>
      <w:r w:rsidR="00A809B9">
        <w:rPr>
          <w:rFonts w:cs="ArialMT"/>
          <w:szCs w:val="16"/>
          <w:lang w:val="es-CR" w:eastAsia="es-CR"/>
        </w:rPr>
        <w:t>u familia. Igualmente, declararía</w:t>
      </w:r>
      <w:r w:rsidR="00A809B9" w:rsidRPr="0062065A">
        <w:rPr>
          <w:rFonts w:cs="ArialMT"/>
          <w:szCs w:val="16"/>
          <w:lang w:val="es-CR" w:eastAsia="es-CR"/>
        </w:rPr>
        <w:t xml:space="preserve"> sobre las acciones que el Estado debe adoptar para reparar el daño causado, entre otros aspectos relacionados con el caso.</w:t>
      </w:r>
    </w:p>
  </w:footnote>
  <w:footnote w:id="9">
    <w:p w:rsidR="00B37222" w:rsidRPr="00B37222" w:rsidRDefault="00B37222">
      <w:pPr>
        <w:pStyle w:val="FootnoteText"/>
        <w:rPr>
          <w:lang w:val="es-CR"/>
        </w:rPr>
      </w:pPr>
      <w:r>
        <w:rPr>
          <w:rStyle w:val="FootnoteReference"/>
        </w:rPr>
        <w:footnoteRef/>
      </w:r>
      <w:r>
        <w:t xml:space="preserve"> </w:t>
      </w:r>
      <w:r>
        <w:tab/>
      </w:r>
      <w:r w:rsidR="000D32C4" w:rsidRPr="0062065A">
        <w:rPr>
          <w:szCs w:val="16"/>
          <w:lang w:val="es-CR"/>
        </w:rPr>
        <w:t>Los representantes informaron que</w:t>
      </w:r>
      <w:r w:rsidR="000D32C4">
        <w:rPr>
          <w:lang w:val="es-CR"/>
        </w:rPr>
        <w:t xml:space="preserve"> el señor </w:t>
      </w:r>
      <w:r w:rsidR="000D32C4" w:rsidRPr="00475EA4">
        <w:rPr>
          <w:rFonts w:cs="Verdana"/>
          <w:lang w:bidi="en-US"/>
        </w:rPr>
        <w:t>Matthew Anderson</w:t>
      </w:r>
      <w:r w:rsidR="000D32C4">
        <w:rPr>
          <w:rFonts w:cs="Verdana"/>
          <w:lang w:bidi="en-US"/>
        </w:rPr>
        <w:t xml:space="preserve"> declararía sobre “</w:t>
      </w:r>
      <w:r w:rsidR="000D32C4" w:rsidRPr="00475EA4">
        <w:rPr>
          <w:lang w:val="es-CR" w:eastAsia="es-CR"/>
        </w:rPr>
        <w:t>su trabajo en Guatemala en la atención a pacientes con VIH a finales de la década de los años noventa y su conocimiento de la situación de la afectación del VIH en atención de su rol de supervisión de prácticas y estudios médicos en Guatemala desde entonces. A partir de ello, declarará sobre los principales obstáculos para una atención integral en dicho país, así como las medidas que el Estado debería adoptar para gara</w:t>
      </w:r>
      <w:r w:rsidR="000D32C4">
        <w:rPr>
          <w:lang w:val="es-CR" w:eastAsia="es-CR"/>
        </w:rPr>
        <w:t>ntizarla</w:t>
      </w:r>
      <w:r w:rsidR="006957F7">
        <w:rPr>
          <w:lang w:val="es-CR" w:eastAsia="es-CR"/>
        </w:rPr>
        <w:t>.</w:t>
      </w:r>
      <w:r w:rsidR="000D32C4">
        <w:rPr>
          <w:lang w:val="es-CR" w:eastAsia="es-CR"/>
        </w:rPr>
        <w:t>”</w:t>
      </w:r>
    </w:p>
  </w:footnote>
  <w:footnote w:id="10">
    <w:p w:rsidR="00B37222" w:rsidRPr="00B37222" w:rsidRDefault="00B37222">
      <w:pPr>
        <w:pStyle w:val="FootnoteText"/>
      </w:pPr>
      <w:r>
        <w:rPr>
          <w:rStyle w:val="FootnoteReference"/>
        </w:rPr>
        <w:footnoteRef/>
      </w:r>
      <w:r>
        <w:t xml:space="preserve"> </w:t>
      </w:r>
      <w:r w:rsidR="000D32C4">
        <w:tab/>
      </w:r>
      <w:r w:rsidR="000D32C4" w:rsidRPr="0062065A">
        <w:rPr>
          <w:szCs w:val="16"/>
          <w:lang w:val="es-CR"/>
        </w:rPr>
        <w:t>Los representantes informaron que</w:t>
      </w:r>
      <w:r w:rsidR="000D32C4">
        <w:rPr>
          <w:lang w:val="es-CR"/>
        </w:rPr>
        <w:t xml:space="preserve"> la señora </w:t>
      </w:r>
      <w:r w:rsidR="000D32C4" w:rsidRPr="00475EA4">
        <w:rPr>
          <w:rFonts w:cs="Verdana"/>
          <w:lang w:bidi="en-US"/>
        </w:rPr>
        <w:t>Rocío Samayoa Bran</w:t>
      </w:r>
      <w:r w:rsidR="000D32C4">
        <w:rPr>
          <w:rFonts w:cs="Verdana"/>
          <w:lang w:bidi="en-US"/>
        </w:rPr>
        <w:t xml:space="preserve"> declararía sobre </w:t>
      </w:r>
      <w:r w:rsidR="000D32C4">
        <w:rPr>
          <w:rFonts w:cs="Arial-BoldMT"/>
          <w:bCs/>
          <w:lang w:val="es-CR" w:eastAsia="es-CR"/>
        </w:rPr>
        <w:t>“</w:t>
      </w:r>
      <w:r w:rsidR="000D32C4" w:rsidRPr="00475EA4">
        <w:rPr>
          <w:lang w:val="es-CR" w:eastAsia="es-CR"/>
        </w:rPr>
        <w:t>el contexto de falta de atención integral a las personas con VIH en Guatemala; los obstáculos para la obtención de este tipo de atención y las medidas que el Esta</w:t>
      </w:r>
      <w:r w:rsidR="000D32C4">
        <w:rPr>
          <w:lang w:val="es-CR" w:eastAsia="es-CR"/>
        </w:rPr>
        <w:t>do debe adoptar para superarlos</w:t>
      </w:r>
      <w:r w:rsidR="006957F7">
        <w:rPr>
          <w:lang w:val="es-CR" w:eastAsia="es-CR"/>
        </w:rPr>
        <w:t>.</w:t>
      </w:r>
      <w:r w:rsidR="000D32C4">
        <w:rPr>
          <w:lang w:val="es-CR" w:eastAsia="es-CR"/>
        </w:rPr>
        <w:t>”</w:t>
      </w:r>
    </w:p>
  </w:footnote>
  <w:footnote w:id="11">
    <w:p w:rsidR="006C14F3" w:rsidRPr="00AE30E2" w:rsidRDefault="006C14F3" w:rsidP="006D25C9">
      <w:pPr>
        <w:pStyle w:val="FootnoteText"/>
      </w:pPr>
      <w:r>
        <w:rPr>
          <w:rStyle w:val="FootnoteReference"/>
        </w:rPr>
        <w:footnoteRef/>
      </w:r>
      <w:r>
        <w:t xml:space="preserve"> </w:t>
      </w:r>
      <w:r>
        <w:tab/>
        <w:t>El artículo 46.1 del Reglamento establece lo siguiente: 1. La Corte solicitará a la Comisión, a las presuntas víctimas o sus representantes, al Estado demandado y, en su caso, al Estado demandante su lista definitiva de declarantes, en la que deberán confirmar o desistir del ofrecimiento de las declaraciones de las presuntas víctimas, testigos y peritos que oportunamente realizaron conforme a los artículos 35.1.f, 36.1.f, 40.2.c y 41.1.c de este Reglamento. Asimismo, deberán indicar quienes de los declarantes ofrecidos consideran deben ser llamados a audiencia, en los casos en que la hubiere, y quienes pueden rendir declaración ante fedatario público (</w:t>
      </w:r>
      <w:r w:rsidRPr="00AE30E2">
        <w:rPr>
          <w:i/>
        </w:rPr>
        <w:t>affidávit</w:t>
      </w:r>
      <w:r>
        <w:t>).</w:t>
      </w:r>
    </w:p>
  </w:footnote>
  <w:footnote w:id="12">
    <w:p w:rsidR="006C14F3" w:rsidRPr="00852038" w:rsidRDefault="006C14F3" w:rsidP="006D25C9">
      <w:pPr>
        <w:pStyle w:val="FootnoteText"/>
        <w:rPr>
          <w:lang w:val="es-CR"/>
        </w:rPr>
      </w:pPr>
      <w:r>
        <w:rPr>
          <w:rStyle w:val="FootnoteReference"/>
        </w:rPr>
        <w:footnoteRef/>
      </w:r>
      <w:r>
        <w:t xml:space="preserve"> </w:t>
      </w:r>
      <w:r>
        <w:rPr>
          <w:lang w:val="es-CR"/>
        </w:rPr>
        <w:tab/>
      </w:r>
      <w:r w:rsidRPr="0062065A">
        <w:rPr>
          <w:szCs w:val="16"/>
          <w:lang w:val="es-CR"/>
        </w:rPr>
        <w:t>Los representantes informaron que</w:t>
      </w:r>
      <w:r>
        <w:rPr>
          <w:lang w:val="es-CR"/>
        </w:rPr>
        <w:t xml:space="preserve"> la señora Ely Yamin declararía sobre “</w:t>
      </w:r>
      <w:r w:rsidRPr="004301F3">
        <w:rPr>
          <w:lang w:val="es-CR" w:eastAsia="es-CR"/>
        </w:rPr>
        <w:t>las obligaciones estatales para garantizar el derecho a la salud, desde la perspectiva del derecho internacional de los derechos humanos y el derecho comparado en la región latinoamericana; los estándares internacionales para garantizar atención médica integral de personas que viven con VIH; la prohibición de regresividad en el derecho a la salud y las medidas estructurales que el Estado debería adoptar para garantizar el derecho a la salud de las personas con VIH, así como otros aspectos del presente caso.</w:t>
      </w:r>
      <w:r>
        <w:rPr>
          <w:lang w:val="es-CR" w:eastAsia="es-CR"/>
        </w:rPr>
        <w:t>”</w:t>
      </w:r>
    </w:p>
  </w:footnote>
  <w:footnote w:id="13">
    <w:p w:rsidR="006C14F3" w:rsidRPr="00852038" w:rsidRDefault="006C14F3" w:rsidP="006D25C9">
      <w:pPr>
        <w:pStyle w:val="FootnoteText"/>
        <w:rPr>
          <w:lang w:val="es-CR"/>
        </w:rPr>
      </w:pPr>
      <w:r>
        <w:rPr>
          <w:rStyle w:val="FootnoteReference"/>
        </w:rPr>
        <w:footnoteRef/>
      </w:r>
      <w:r>
        <w:t xml:space="preserve"> </w:t>
      </w:r>
      <w:r>
        <w:tab/>
      </w:r>
      <w:r w:rsidRPr="0062065A">
        <w:rPr>
          <w:szCs w:val="16"/>
          <w:lang w:val="es-CR"/>
        </w:rPr>
        <w:t>Los representantes informaron que</w:t>
      </w:r>
      <w:r>
        <w:rPr>
          <w:lang w:val="es-CR"/>
        </w:rPr>
        <w:t xml:space="preserve"> el señor Solano Chinchilla declararía sobre “</w:t>
      </w:r>
      <w:r w:rsidRPr="004301F3">
        <w:rPr>
          <w:lang w:val="es-CR" w:eastAsia="es-CR"/>
        </w:rPr>
        <w:t>los expedientes médicos de las víctimas a los que han tenido acceso los representantes con el fin de presentar a la Corte su opinión experta acerca de su adecuación a la normativa y estándares internacionales para el tratamiento del VIH y otros padecimientos asociados, así como las consecuencias de la falta de una atención integral, entre otros aspectos del presente ca</w:t>
      </w:r>
      <w:r>
        <w:rPr>
          <w:lang w:val="es-CR" w:eastAsia="es-CR"/>
        </w:rPr>
        <w:t>so</w:t>
      </w:r>
      <w:r w:rsidRPr="004301F3">
        <w:rPr>
          <w:lang w:val="es-CR" w:eastAsia="es-CR"/>
        </w:rPr>
        <w:t>.</w:t>
      </w:r>
      <w:r>
        <w:rPr>
          <w:lang w:val="es-CR" w:eastAsia="es-CR"/>
        </w:rPr>
        <w:t>”</w:t>
      </w:r>
    </w:p>
  </w:footnote>
  <w:footnote w:id="14">
    <w:p w:rsidR="006C14F3" w:rsidRPr="00852038" w:rsidRDefault="006C14F3" w:rsidP="006D25C9">
      <w:pPr>
        <w:pStyle w:val="FootnoteText"/>
        <w:rPr>
          <w:lang w:val="es-CR"/>
        </w:rPr>
      </w:pPr>
      <w:r>
        <w:rPr>
          <w:rStyle w:val="FootnoteReference"/>
        </w:rPr>
        <w:footnoteRef/>
      </w:r>
      <w:r>
        <w:t xml:space="preserve"> </w:t>
      </w:r>
      <w:r>
        <w:tab/>
      </w:r>
      <w:r w:rsidRPr="0062065A">
        <w:rPr>
          <w:szCs w:val="16"/>
          <w:lang w:val="es-CR"/>
        </w:rPr>
        <w:t>Los representantes informaron que</w:t>
      </w:r>
      <w:r>
        <w:rPr>
          <w:lang w:val="es-CR"/>
        </w:rPr>
        <w:t xml:space="preserve"> la señora Paz declararía sobre “</w:t>
      </w:r>
      <w:r w:rsidRPr="004301F3">
        <w:rPr>
          <w:lang w:val="es-CR" w:eastAsia="es-CR"/>
        </w:rPr>
        <w:t>los efectos psicosociales que el VIH/SIDA y la falta de una atención integral tiene en general en los afectados por esta enfermedad y en particular en las víctimas de este caso. También declarará sobre las medidas que el Estado debería adoptar para reparar el daño causado a las víctimas, así como otros aspectos del presente caso.</w:t>
      </w:r>
      <w:r>
        <w:rPr>
          <w:lang w:val="es-CR" w:eastAsia="es-CR"/>
        </w:rPr>
        <w:t>”</w:t>
      </w:r>
    </w:p>
  </w:footnote>
  <w:footnote w:id="15">
    <w:p w:rsidR="006C14F3" w:rsidRPr="00451037" w:rsidRDefault="006C14F3" w:rsidP="006D25C9">
      <w:pPr>
        <w:pStyle w:val="FootnoteText"/>
        <w:rPr>
          <w:lang w:val="es-CR"/>
        </w:rPr>
      </w:pPr>
      <w:r>
        <w:rPr>
          <w:rStyle w:val="FootnoteReference"/>
        </w:rPr>
        <w:footnoteRef/>
      </w:r>
      <w:r>
        <w:t xml:space="preserve"> </w:t>
      </w:r>
      <w:r>
        <w:tab/>
      </w:r>
      <w:r w:rsidRPr="0062065A">
        <w:rPr>
          <w:szCs w:val="16"/>
          <w:lang w:val="es-CR"/>
        </w:rPr>
        <w:t>Los representantes informaron que</w:t>
      </w:r>
      <w:r>
        <w:t xml:space="preserve"> el experto declararía sobre “</w:t>
      </w:r>
      <w:r w:rsidRPr="004301F3">
        <w:rPr>
          <w:lang w:val="es-CR" w:eastAsia="es-CR"/>
        </w:rPr>
        <w:t>el funcionamiento del sistema de salud guatemalteco durante el período que abarcan los hechos de este caso, en particular en relación al tratamiento de las personas que viven con VIH/SIDA. También se referirá a los obstáculos estructurales para que este tratamiento sea integral y a las medidas que el Estado guatemalteco debería adoptar para superarlos</w:t>
      </w:r>
      <w:r>
        <w:rPr>
          <w:lang w:val="es-CR" w:eastAsia="es-CR"/>
        </w:rPr>
        <w:t>.”</w:t>
      </w:r>
    </w:p>
  </w:footnote>
  <w:footnote w:id="16">
    <w:p w:rsidR="006C14F3" w:rsidRPr="00451037" w:rsidRDefault="006C14F3" w:rsidP="006D25C9">
      <w:pPr>
        <w:pStyle w:val="FootnoteText"/>
        <w:rPr>
          <w:lang w:val="es-CR"/>
        </w:rPr>
      </w:pPr>
      <w:r>
        <w:rPr>
          <w:rStyle w:val="FootnoteReference"/>
        </w:rPr>
        <w:footnoteRef/>
      </w:r>
      <w:r>
        <w:t xml:space="preserve"> </w:t>
      </w:r>
      <w:r>
        <w:tab/>
      </w:r>
      <w:r w:rsidRPr="0062065A">
        <w:rPr>
          <w:szCs w:val="16"/>
          <w:lang w:val="es-CR"/>
        </w:rPr>
        <w:t>Los representantes informaron que</w:t>
      </w:r>
      <w:r>
        <w:rPr>
          <w:lang w:val="es-CR"/>
        </w:rPr>
        <w:t xml:space="preserve"> el señor Arathoon Pérez declararía sobre “</w:t>
      </w:r>
      <w:r w:rsidRPr="00B32462">
        <w:rPr>
          <w:lang w:val="es-CR" w:eastAsia="es-CR"/>
        </w:rPr>
        <w:t>lo que conoce de los hechos de este caso incluyendo, el contexto en el que estos se dieron, la forma en el que monitoreó la situación de salud de algunas de las víctimas de este caso a lo largo de este proceso, las diferentes afectaciones que presentaron las víctimas monitoreadas por él frente a la falta de una atención integral, la situación de la atención de las personas que viven con VIH en Guatemala desde la época en que las víctimas fueron diagnosticadas hasta la actualidad y las medidas que el Estado debería adoptar para garantizar una atención integral a las personas que viven con VIH en Guatemala.</w:t>
      </w:r>
      <w:r>
        <w:rPr>
          <w:lang w:val="es-CR" w:eastAsia="es-CR"/>
        </w:rPr>
        <w:t>”</w:t>
      </w:r>
    </w:p>
  </w:footnote>
  <w:footnote w:id="17">
    <w:p w:rsidR="006C14F3" w:rsidRPr="00451037" w:rsidRDefault="006C14F3" w:rsidP="006D25C9">
      <w:pPr>
        <w:pStyle w:val="FootnoteText"/>
        <w:rPr>
          <w:lang w:val="es-CR"/>
        </w:rPr>
      </w:pPr>
      <w:r>
        <w:rPr>
          <w:rStyle w:val="FootnoteReference"/>
        </w:rPr>
        <w:footnoteRef/>
      </w:r>
      <w:r>
        <w:t xml:space="preserve"> </w:t>
      </w:r>
      <w:r>
        <w:tab/>
      </w:r>
      <w:r w:rsidRPr="0062065A">
        <w:rPr>
          <w:szCs w:val="16"/>
          <w:lang w:val="es-CR"/>
        </w:rPr>
        <w:t>Los representantes informaron que</w:t>
      </w:r>
      <w:r>
        <w:rPr>
          <w:lang w:val="es-CR"/>
        </w:rPr>
        <w:t xml:space="preserve"> la señora </w:t>
      </w:r>
      <w:r w:rsidRPr="00451037">
        <w:rPr>
          <w:bCs/>
          <w:lang w:val="es-CR" w:eastAsia="es-CR"/>
        </w:rPr>
        <w:t>Calderón Melgar</w:t>
      </w:r>
      <w:r>
        <w:rPr>
          <w:lang w:val="es-CR"/>
        </w:rPr>
        <w:t xml:space="preserve"> declararía sobre “</w:t>
      </w:r>
      <w:r w:rsidRPr="00B32462">
        <w:rPr>
          <w:lang w:val="es-CR" w:eastAsia="es-CR"/>
        </w:rPr>
        <w:t>lo que conoce de los hechos de este caso incluyendo, el contexto en el que estos se dieron, la forma en el que monitoreó la situación de salud de algunas las víctimas de este caso a lo largo de este proceso, las diferentes afectaciones que presentaron las víctimas monitoreadas por él frente a la falta de una atención integral, la situación de la atención de las personas que viven con VIH en la actualidad en Guatemala y las medidas que el Estado debería adoptar para garantizar una atención integral a las personas que viven con VIH en Guatemala</w:t>
      </w:r>
      <w:r w:rsidR="006957F7">
        <w:rPr>
          <w:lang w:val="es-CR" w:eastAsia="es-CR"/>
        </w:rPr>
        <w:t>.</w:t>
      </w:r>
      <w:r>
        <w:rPr>
          <w:lang w:val="es-CR" w:eastAsia="es-CR"/>
        </w:rPr>
        <w:t>”</w:t>
      </w:r>
    </w:p>
  </w:footnote>
  <w:footnote w:id="18">
    <w:p w:rsidR="006C14F3" w:rsidRPr="00451037" w:rsidRDefault="006C14F3" w:rsidP="006D25C9">
      <w:pPr>
        <w:pStyle w:val="FootnoteText"/>
        <w:rPr>
          <w:lang w:val="es-CR"/>
        </w:rPr>
      </w:pPr>
      <w:r>
        <w:rPr>
          <w:rStyle w:val="FootnoteReference"/>
        </w:rPr>
        <w:footnoteRef/>
      </w:r>
      <w:r>
        <w:t xml:space="preserve"> </w:t>
      </w:r>
      <w:r>
        <w:tab/>
      </w:r>
      <w:r w:rsidRPr="0062065A">
        <w:rPr>
          <w:szCs w:val="16"/>
          <w:lang w:val="es-CR"/>
        </w:rPr>
        <w:t>Los representantes informaron que</w:t>
      </w:r>
      <w:r>
        <w:rPr>
          <w:lang w:val="es-CR"/>
        </w:rPr>
        <w:t xml:space="preserve"> la señora Paz declararía sobre </w:t>
      </w:r>
      <w:r w:rsidRPr="00451037">
        <w:rPr>
          <w:lang w:val="es-AR"/>
        </w:rPr>
        <w:t>“</w:t>
      </w:r>
      <w:r w:rsidRPr="00451037">
        <w:rPr>
          <w:lang w:val="es-CR" w:eastAsia="es-CR"/>
        </w:rPr>
        <w:t>los efectos psicosociales que el VIH/SIDA y la falta de una atención integral tiene en general en los afectados por esta enfermedad y en particular en las víctimas de este caso. También declarará sobre las medidas que el Estado deb</w:t>
      </w:r>
      <w:r>
        <w:rPr>
          <w:lang w:val="es-CR" w:eastAsia="es-CR"/>
        </w:rPr>
        <w:t>e</w:t>
      </w:r>
      <w:r w:rsidRPr="00451037">
        <w:rPr>
          <w:lang w:val="es-CR" w:eastAsia="es-CR"/>
        </w:rPr>
        <w:t>ría adoptar para reparar el daño causado a las víctimas, así como otros aspectos del presente caso.</w:t>
      </w:r>
      <w:r>
        <w:rPr>
          <w:lang w:val="es-CR" w:eastAsia="es-CR"/>
        </w:rPr>
        <w:t>”</w:t>
      </w:r>
    </w:p>
  </w:footnote>
  <w:footnote w:id="19">
    <w:p w:rsidR="006C14F3" w:rsidRPr="00451037" w:rsidRDefault="006C14F3" w:rsidP="006D25C9">
      <w:pPr>
        <w:pStyle w:val="FootnoteText"/>
        <w:rPr>
          <w:lang w:val="es-CR"/>
        </w:rPr>
      </w:pPr>
      <w:r>
        <w:rPr>
          <w:rStyle w:val="FootnoteReference"/>
        </w:rPr>
        <w:footnoteRef/>
      </w:r>
      <w:r>
        <w:t xml:space="preserve"> </w:t>
      </w:r>
      <w:r>
        <w:tab/>
      </w:r>
      <w:r w:rsidRPr="0062065A">
        <w:rPr>
          <w:szCs w:val="16"/>
          <w:lang w:val="es-CR"/>
        </w:rPr>
        <w:t>Los representantes informaron que</w:t>
      </w:r>
      <w:r>
        <w:t xml:space="preserve"> el señor </w:t>
      </w:r>
      <w:r w:rsidRPr="00C617B3">
        <w:rPr>
          <w:rFonts w:cs="Arial-BoldMT"/>
          <w:bCs/>
          <w:lang w:val="es-CR" w:eastAsia="es-CR"/>
        </w:rPr>
        <w:t>Boza Cordero</w:t>
      </w:r>
      <w:r w:rsidRPr="000527E2">
        <w:rPr>
          <w:lang w:val="es-CR" w:eastAsia="es-CR"/>
        </w:rPr>
        <w:t xml:space="preserve"> </w:t>
      </w:r>
      <w:r>
        <w:rPr>
          <w:lang w:val="es-CR" w:eastAsia="es-CR"/>
        </w:rPr>
        <w:t>“a</w:t>
      </w:r>
      <w:r w:rsidRPr="000527E2">
        <w:rPr>
          <w:lang w:val="es-CR" w:eastAsia="es-CR"/>
        </w:rPr>
        <w:t>nalizará los expedientes médicos de las víctimas a los que han tenido acceso las representantes con el fin de presentar a la Corte su opinión experta acerca de su adecuación a la normativa y estándares internacionales para el tratamiento del VIH y otros padecimientos asociados, así como las consecuencias de la falta de una atención integral, entre otros aspectos del presente caso.</w:t>
      </w:r>
      <w:r>
        <w:rPr>
          <w:lang w:val="es-CR" w:eastAsia="es-CR"/>
        </w:rPr>
        <w:t>”</w:t>
      </w:r>
    </w:p>
  </w:footnote>
  <w:footnote w:id="20">
    <w:p w:rsidR="006C14F3" w:rsidRPr="00451037" w:rsidRDefault="006C14F3" w:rsidP="006D25C9">
      <w:pPr>
        <w:pStyle w:val="FootnoteText"/>
        <w:rPr>
          <w:lang w:val="es-CR"/>
        </w:rPr>
      </w:pPr>
      <w:r>
        <w:rPr>
          <w:rStyle w:val="FootnoteReference"/>
        </w:rPr>
        <w:footnoteRef/>
      </w:r>
      <w:r>
        <w:t xml:space="preserve"> </w:t>
      </w:r>
      <w:r>
        <w:tab/>
      </w:r>
      <w:r w:rsidRPr="0062065A">
        <w:rPr>
          <w:szCs w:val="16"/>
          <w:lang w:val="es-CR"/>
        </w:rPr>
        <w:t>Los representantes informaron que</w:t>
      </w:r>
      <w:r>
        <w:t xml:space="preserve"> la señora </w:t>
      </w:r>
      <w:r w:rsidRPr="00451037">
        <w:rPr>
          <w:rFonts w:eastAsia="Times New Roman" w:cs="Verdana"/>
          <w:lang w:val="es-AR" w:eastAsia="en-US"/>
        </w:rPr>
        <w:t>Bergallo</w:t>
      </w:r>
      <w:r>
        <w:rPr>
          <w:rFonts w:eastAsia="Times New Roman" w:cs="Verdana"/>
          <w:lang w:val="es-AR" w:eastAsia="en-US"/>
        </w:rPr>
        <w:t xml:space="preserve"> declarará</w:t>
      </w:r>
      <w:r>
        <w:t xml:space="preserve"> </w:t>
      </w:r>
      <w:r w:rsidRPr="00C1243A">
        <w:rPr>
          <w:lang w:val="es-CR" w:eastAsia="es-CR"/>
        </w:rPr>
        <w:t xml:space="preserve">sobre </w:t>
      </w:r>
      <w:r>
        <w:rPr>
          <w:lang w:val="es-CR" w:eastAsia="es-CR"/>
        </w:rPr>
        <w:t>“</w:t>
      </w:r>
      <w:r w:rsidRPr="00C1243A">
        <w:rPr>
          <w:lang w:val="es-CR" w:eastAsia="es-CR"/>
        </w:rPr>
        <w:t>las obligaciones estatales para garantizar el derecho a la salud, desde la perspectiva del derecho internacional de los derechos humanos y el derecho comparado en la región latinoamericana; los estándares internacionales para garantizar atención médica integral de personas que viven con VIH; la prohibición de regresividad en el derecho a la salud y las medidas estructurales que el Estado debería adoptar para garantizar el derecho a la salud de las personas con VIH, así como otros aspectos del presente caso.</w:t>
      </w:r>
      <w:r>
        <w:rPr>
          <w:lang w:val="es-CR" w:eastAsia="es-CR"/>
        </w:rPr>
        <w:t>”</w:t>
      </w:r>
    </w:p>
  </w:footnote>
  <w:footnote w:id="21">
    <w:p w:rsidR="006C14F3" w:rsidRPr="003B5506" w:rsidRDefault="006C14F3" w:rsidP="006D25C9">
      <w:pPr>
        <w:pStyle w:val="FootnoteText"/>
        <w:rPr>
          <w:lang w:val="es-CR"/>
        </w:rPr>
      </w:pPr>
      <w:r>
        <w:rPr>
          <w:rStyle w:val="FootnoteReference"/>
        </w:rPr>
        <w:footnoteRef/>
      </w:r>
      <w:r>
        <w:t xml:space="preserve"> </w:t>
      </w:r>
      <w:r>
        <w:tab/>
        <w:t xml:space="preserve">El Estado informó que dicha persona declararía </w:t>
      </w:r>
      <w:r>
        <w:rPr>
          <w:lang w:bidi="en-US"/>
        </w:rPr>
        <w:t>sobre “la atención médica recibida desde que se le diagnosticó como persona con VIH y el trato recibido de personal encargado de su cuidado</w:t>
      </w:r>
      <w:r w:rsidR="006957F7">
        <w:rPr>
          <w:lang w:bidi="en-US"/>
        </w:rPr>
        <w:t>.</w:t>
      </w:r>
      <w:r>
        <w:rPr>
          <w:lang w:bidi="en-US"/>
        </w:rPr>
        <w:t>”</w:t>
      </w:r>
    </w:p>
  </w:footnote>
  <w:footnote w:id="22">
    <w:p w:rsidR="006C14F3" w:rsidRPr="003B5506" w:rsidRDefault="006C14F3" w:rsidP="006D25C9">
      <w:pPr>
        <w:pStyle w:val="FootnoteText"/>
        <w:rPr>
          <w:lang w:val="es-CR"/>
        </w:rPr>
      </w:pPr>
      <w:r>
        <w:rPr>
          <w:rStyle w:val="FootnoteReference"/>
        </w:rPr>
        <w:footnoteRef/>
      </w:r>
      <w:r>
        <w:t xml:space="preserve"> </w:t>
      </w:r>
      <w:r>
        <w:rPr>
          <w:lang w:val="es-CR"/>
        </w:rPr>
        <w:tab/>
        <w:t xml:space="preserve">El Estado informó que dicho experto declararía </w:t>
      </w:r>
      <w:r>
        <w:rPr>
          <w:lang w:bidi="en-US"/>
        </w:rPr>
        <w:t>sobre “las acciones del Estado para garantizar las obligaciones estatales en materia de salud, desde la perspectiva de la legislación interna y del derecho internacional de los derechos humanos</w:t>
      </w:r>
      <w:r w:rsidR="006957F7">
        <w:rPr>
          <w:lang w:bidi="en-US"/>
        </w:rPr>
        <w:t>.</w:t>
      </w:r>
      <w:r>
        <w:rPr>
          <w:lang w:bidi="en-US"/>
        </w:rPr>
        <w:t>”</w:t>
      </w:r>
    </w:p>
  </w:footnote>
  <w:footnote w:id="23">
    <w:p w:rsidR="006C14F3" w:rsidRPr="003B5506" w:rsidRDefault="006C14F3" w:rsidP="006D25C9">
      <w:pPr>
        <w:pStyle w:val="FootnoteText"/>
        <w:rPr>
          <w:lang w:val="es-CR"/>
        </w:rPr>
      </w:pPr>
      <w:r>
        <w:rPr>
          <w:rStyle w:val="FootnoteReference"/>
        </w:rPr>
        <w:footnoteRef/>
      </w:r>
      <w:r>
        <w:t xml:space="preserve"> </w:t>
      </w:r>
      <w:r>
        <w:rPr>
          <w:lang w:val="es-CR"/>
        </w:rPr>
        <w:tab/>
        <w:t xml:space="preserve">El Estado informó que dicho experto </w:t>
      </w:r>
      <w:r>
        <w:rPr>
          <w:lang w:bidi="en-US"/>
        </w:rPr>
        <w:t>declararía sobre “las providencias adoptadas por Guatemala, tanto a nivel interno como mediante la cooperación internacional, especialmente económica y técnica para lograr plenamente la plena efectividad de los derechos económicos y sociales, y en particular el derecho a la salud</w:t>
      </w:r>
      <w:r w:rsidR="006957F7">
        <w:rPr>
          <w:lang w:bidi="en-US"/>
        </w:rPr>
        <w:t>.</w:t>
      </w:r>
      <w:r>
        <w:rPr>
          <w:lang w:bidi="en-US"/>
        </w:rPr>
        <w:t>”</w:t>
      </w:r>
    </w:p>
  </w:footnote>
  <w:footnote w:id="24">
    <w:p w:rsidR="006C14F3" w:rsidRPr="003B5506" w:rsidRDefault="006C14F3" w:rsidP="006D25C9">
      <w:pPr>
        <w:pStyle w:val="FootnoteText"/>
        <w:rPr>
          <w:lang w:val="es-CR"/>
        </w:rPr>
      </w:pPr>
      <w:r>
        <w:rPr>
          <w:rStyle w:val="FootnoteReference"/>
        </w:rPr>
        <w:footnoteRef/>
      </w:r>
      <w:r>
        <w:t xml:space="preserve"> </w:t>
      </w:r>
      <w:r>
        <w:rPr>
          <w:lang w:val="es-CR"/>
        </w:rPr>
        <w:tab/>
        <w:t xml:space="preserve">El Estado informó que el señor Antón Urbina declararía </w:t>
      </w:r>
      <w:r w:rsidRPr="003B5506">
        <w:rPr>
          <w:lang w:bidi="en-US"/>
        </w:rPr>
        <w:t>“respecto a las acciones del Estado para garantizar las obligaciones estatales en materia de salud, desde la perspectiva de la legislación interna y del derecho internacional de los derechos humanos</w:t>
      </w:r>
      <w:r w:rsidR="006957F7">
        <w:rPr>
          <w:lang w:bidi="en-US"/>
        </w:rPr>
        <w:t>.</w:t>
      </w:r>
      <w:r>
        <w:rPr>
          <w:lang w:bidi="en-US"/>
        </w:rPr>
        <w:t>”</w:t>
      </w:r>
    </w:p>
  </w:footnote>
  <w:footnote w:id="25">
    <w:p w:rsidR="006C14F3" w:rsidRPr="003B5506" w:rsidRDefault="006C14F3" w:rsidP="006D25C9">
      <w:pPr>
        <w:pStyle w:val="FootnoteText"/>
        <w:rPr>
          <w:lang w:val="es-CR"/>
        </w:rPr>
      </w:pPr>
      <w:r>
        <w:rPr>
          <w:rStyle w:val="FootnoteReference"/>
        </w:rPr>
        <w:footnoteRef/>
      </w:r>
      <w:r>
        <w:t xml:space="preserve"> </w:t>
      </w:r>
      <w:r>
        <w:tab/>
      </w:r>
      <w:r>
        <w:rPr>
          <w:lang w:val="es-CR"/>
        </w:rPr>
        <w:t xml:space="preserve">El Estado informó que </w:t>
      </w:r>
      <w:r>
        <w:t xml:space="preserve">la señora </w:t>
      </w:r>
      <w:r w:rsidRPr="003B5506">
        <w:rPr>
          <w:lang w:bidi="en-US"/>
        </w:rPr>
        <w:t>Blanca Estela Dardón Gudiel</w:t>
      </w:r>
      <w:r>
        <w:rPr>
          <w:lang w:bidi="en-US"/>
        </w:rPr>
        <w:t xml:space="preserve"> declararía</w:t>
      </w:r>
      <w:r w:rsidRPr="003B5506">
        <w:rPr>
          <w:lang w:bidi="en-US"/>
        </w:rPr>
        <w:t xml:space="preserve"> “en relación a las providencias adoptadas por Guatemala, tanto a nivel interno como mediante la cooperación internacional, especialmente económica y técnica, para lograr progresivamente la plena efectividad de los derechos económicos y sociales y en particular el derecho a la salud</w:t>
      </w:r>
      <w:r w:rsidR="006957F7">
        <w:rPr>
          <w:lang w:bidi="en-US"/>
        </w:rPr>
        <w:t>.</w:t>
      </w:r>
      <w:r w:rsidRPr="003B5506">
        <w:rPr>
          <w:lang w:bidi="en-US"/>
        </w:rPr>
        <w:t>”</w:t>
      </w:r>
    </w:p>
  </w:footnote>
  <w:footnote w:id="26">
    <w:p w:rsidR="006C14F3" w:rsidRPr="003B5506" w:rsidRDefault="006C14F3" w:rsidP="006D25C9">
      <w:pPr>
        <w:pStyle w:val="FootnoteText"/>
        <w:rPr>
          <w:lang w:val="es-CR"/>
        </w:rPr>
      </w:pPr>
      <w:r>
        <w:rPr>
          <w:rStyle w:val="FootnoteReference"/>
        </w:rPr>
        <w:footnoteRef/>
      </w:r>
      <w:r>
        <w:t xml:space="preserve"> </w:t>
      </w:r>
      <w:r>
        <w:rPr>
          <w:lang w:val="es-CR"/>
        </w:rPr>
        <w:tab/>
        <w:t xml:space="preserve">El Estado informó que dicho declarante se referiría a </w:t>
      </w:r>
      <w:r w:rsidRPr="003B5506">
        <w:rPr>
          <w:lang w:bidi="en-US"/>
        </w:rPr>
        <w:t>“la atención recibida desde que se le diagnosticó como persona con VIH y el trato recibido por el personal encargado de su cuidado</w:t>
      </w:r>
      <w:r w:rsidR="006957F7">
        <w:rPr>
          <w:lang w:bidi="en-US"/>
        </w:rPr>
        <w:t>.</w:t>
      </w:r>
      <w:r w:rsidRPr="003B5506">
        <w:rPr>
          <w:lang w:bidi="en-US"/>
        </w:rPr>
        <w:t>”</w:t>
      </w:r>
    </w:p>
  </w:footnote>
  <w:footnote w:id="27">
    <w:p w:rsidR="006C14F3" w:rsidRPr="00E4730E" w:rsidRDefault="006C14F3" w:rsidP="006D25C9">
      <w:pPr>
        <w:pStyle w:val="FootnoteText"/>
        <w:rPr>
          <w:lang w:val="es-ES"/>
        </w:rPr>
      </w:pPr>
      <w:r>
        <w:rPr>
          <w:rStyle w:val="FootnoteReference"/>
        </w:rPr>
        <w:footnoteRef/>
      </w:r>
      <w:r>
        <w:rPr>
          <w:lang w:val="es-ES"/>
        </w:rPr>
        <w:t xml:space="preserve"> </w:t>
      </w:r>
      <w:r>
        <w:rPr>
          <w:lang w:val="es-ES"/>
        </w:rPr>
        <w:tab/>
      </w:r>
      <w:r w:rsidRPr="00044175">
        <w:rPr>
          <w:i/>
          <w:lang w:val="es-ES"/>
        </w:rPr>
        <w:t>C</w:t>
      </w:r>
      <w:r w:rsidRPr="00044175">
        <w:rPr>
          <w:i/>
          <w:lang w:val="es-BO"/>
        </w:rPr>
        <w:t>fr</w:t>
      </w:r>
      <w:r w:rsidRPr="00044175">
        <w:rPr>
          <w:lang w:val="es-BO"/>
        </w:rPr>
        <w:t xml:space="preserve">. </w:t>
      </w:r>
      <w:r w:rsidRPr="00044175">
        <w:rPr>
          <w:i/>
          <w:lang w:val="es-BO"/>
        </w:rPr>
        <w:t>Caso Fontevecchia y D’Amico Vs. Argentina</w:t>
      </w:r>
      <w:r w:rsidRPr="00044175">
        <w:rPr>
          <w:lang w:val="es-BO"/>
        </w:rPr>
        <w:t xml:space="preserve">. Resolución del Presidente de la Corte Interamericana de Derechos Humanos de 27 de julio de 2011, párrafo considerativo 9, y </w:t>
      </w:r>
      <w:r w:rsidRPr="00044175">
        <w:rPr>
          <w:i/>
          <w:lang w:val="es-BO"/>
        </w:rPr>
        <w:t xml:space="preserve">Caso </w:t>
      </w:r>
      <w:r w:rsidR="007A1B5A" w:rsidRPr="0072145B">
        <w:rPr>
          <w:rStyle w:val="Strong"/>
          <w:b w:val="0"/>
          <w:i/>
          <w:color w:val="000000"/>
          <w:shd w:val="clear" w:color="auto" w:fill="FFFFFF"/>
        </w:rPr>
        <w:t>Caso Pacheco León y otros Vs. Honduras. Convocatoria de audiencia</w:t>
      </w:r>
      <w:r w:rsidR="007A1B5A" w:rsidRPr="007A1B5A">
        <w:rPr>
          <w:rStyle w:val="Strong"/>
          <w:b w:val="0"/>
          <w:color w:val="000000"/>
          <w:shd w:val="clear" w:color="auto" w:fill="FFFFFF"/>
        </w:rPr>
        <w:t>. Resolución del Presidente de la Corte Interamericana de Derechos Humanos de 15 de febrero de 2017</w:t>
      </w:r>
      <w:r w:rsidRPr="00044175">
        <w:rPr>
          <w:lang w:val="es-BO"/>
        </w:rPr>
        <w:t xml:space="preserve">, considerando </w:t>
      </w:r>
      <w:r w:rsidRPr="00044175">
        <w:rPr>
          <w:lang w:val="es-ES"/>
        </w:rPr>
        <w:t>1</w:t>
      </w:r>
      <w:r w:rsidR="007A1B5A">
        <w:rPr>
          <w:lang w:val="es-ES"/>
        </w:rPr>
        <w:t>8</w:t>
      </w:r>
      <w:r w:rsidRPr="00044175">
        <w:rPr>
          <w:lang w:val="es-BO"/>
        </w:rPr>
        <w:t>.</w:t>
      </w:r>
    </w:p>
  </w:footnote>
  <w:footnote w:id="28">
    <w:p w:rsidR="006C14F3" w:rsidRPr="000E0453" w:rsidRDefault="006C14F3" w:rsidP="006D25C9">
      <w:pPr>
        <w:pStyle w:val="FootnoteText"/>
      </w:pPr>
      <w:r w:rsidRPr="000E0453">
        <w:rPr>
          <w:rStyle w:val="FootnoteReference"/>
          <w:szCs w:val="16"/>
        </w:rPr>
        <w:footnoteRef/>
      </w:r>
      <w:r w:rsidRPr="000E0453">
        <w:t xml:space="preserve"> </w:t>
      </w:r>
      <w:r w:rsidRPr="000E0453">
        <w:rPr>
          <w:i/>
        </w:rPr>
        <w:t>Cfr. Caso Mejía Idrovo Vs. Ecuador.</w:t>
      </w:r>
      <w:r w:rsidRPr="000E0453">
        <w:t xml:space="preserve"> Resolución del Presidente de la Corte Interamericana de Derechos Humanos de 2 de diciembre de 2010, considerando 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03C2"/>
    <w:multiLevelType w:val="hybridMultilevel"/>
    <w:tmpl w:val="89F620EA"/>
    <w:lvl w:ilvl="0" w:tplc="39A01D00">
      <w:start w:val="1"/>
      <w:numFmt w:val="decimal"/>
      <w:lvlText w:val="%1."/>
      <w:lvlJc w:val="left"/>
      <w:pPr>
        <w:ind w:left="360" w:hanging="360"/>
      </w:pPr>
      <w:rPr>
        <w:rFonts w:hint="default"/>
        <w:b w:val="0"/>
        <w:strike w:val="0"/>
        <w:lang w:val="es-CR"/>
      </w:rPr>
    </w:lvl>
    <w:lvl w:ilvl="1" w:tplc="04090019">
      <w:start w:val="1"/>
      <w:numFmt w:val="lowerLetter"/>
      <w:lvlText w:val="%2."/>
      <w:lvlJc w:val="left"/>
      <w:pPr>
        <w:ind w:left="1080" w:hanging="360"/>
      </w:pPr>
    </w:lvl>
    <w:lvl w:ilvl="2" w:tplc="052823A2">
      <w:start w:val="1"/>
      <w:numFmt w:val="lowerLetter"/>
      <w:lvlText w:val="%3."/>
      <w:lvlJc w:val="left"/>
      <w:pPr>
        <w:ind w:left="1800" w:hanging="180"/>
      </w:pPr>
      <w:rPr>
        <w:strike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0867BD"/>
    <w:multiLevelType w:val="hybridMultilevel"/>
    <w:tmpl w:val="6A887508"/>
    <w:lvl w:ilvl="0" w:tplc="C76AEAF0">
      <w:start w:val="1"/>
      <w:numFmt w:val="decimal"/>
      <w:lvlText w:val="%1."/>
      <w:lvlJc w:val="left"/>
      <w:pPr>
        <w:ind w:left="360" w:hanging="360"/>
      </w:pPr>
      <w:rPr>
        <w:b w:val="0"/>
        <w:color w:val="000000"/>
      </w:rPr>
    </w:lvl>
    <w:lvl w:ilvl="1" w:tplc="3C308C40">
      <w:start w:val="1"/>
      <w:numFmt w:val="lowerLetter"/>
      <w:lvlText w:val="%2."/>
      <w:lvlJc w:val="left"/>
      <w:pPr>
        <w:ind w:left="1080" w:hanging="360"/>
      </w:pPr>
      <w:rPr>
        <w:i w:val="0"/>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286C3432">
      <w:start w:val="1"/>
      <w:numFmt w:val="lowerLetter"/>
      <w:lvlText w:val="%7."/>
      <w:lvlJc w:val="left"/>
      <w:pPr>
        <w:ind w:left="4680" w:hanging="360"/>
      </w:pPr>
      <w:rPr>
        <w:rFonts w:ascii="Verdana" w:eastAsia="Calibri" w:hAnsi="Verdana" w:cs="Verdana"/>
      </w:r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11534498"/>
    <w:multiLevelType w:val="hybridMultilevel"/>
    <w:tmpl w:val="226286B0"/>
    <w:lvl w:ilvl="0" w:tplc="7DA8FFC6">
      <w:start w:val="1"/>
      <w:numFmt w:val="decimal"/>
      <w:lvlText w:val="%1)"/>
      <w:lvlJc w:val="left"/>
      <w:pPr>
        <w:ind w:left="1080" w:hanging="360"/>
      </w:pPr>
      <w:rPr>
        <w:rFonts w:cs="Tahoma" w:hint="default"/>
        <w:i w:val="0"/>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83183B"/>
    <w:multiLevelType w:val="hybridMultilevel"/>
    <w:tmpl w:val="9216DE24"/>
    <w:lvl w:ilvl="0" w:tplc="96607EE2">
      <w:start w:val="1"/>
      <w:numFmt w:val="decimal"/>
      <w:lvlText w:val="%1."/>
      <w:lvlJc w:val="left"/>
      <w:pPr>
        <w:tabs>
          <w:tab w:val="num" w:pos="3870"/>
        </w:tabs>
      </w:pPr>
      <w:rPr>
        <w:rFonts w:ascii="Verdana" w:hAnsi="Verdana" w:cs="Times New Roman" w:hint="default"/>
        <w:b w:val="0"/>
        <w:i w:val="0"/>
        <w:color w:val="auto"/>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1A5E4D08"/>
    <w:multiLevelType w:val="hybridMultilevel"/>
    <w:tmpl w:val="C4268BD4"/>
    <w:lvl w:ilvl="0" w:tplc="286C3432">
      <w:start w:val="1"/>
      <w:numFmt w:val="lowerLetter"/>
      <w:lvlText w:val="%1."/>
      <w:lvlJc w:val="left"/>
      <w:pPr>
        <w:ind w:left="4680" w:hanging="360"/>
      </w:pPr>
      <w:rPr>
        <w:rFonts w:ascii="Verdana" w:eastAsia="Calibri" w:hAnsi="Verdana" w:cs="Verdana"/>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1B7338C6"/>
    <w:multiLevelType w:val="hybridMultilevel"/>
    <w:tmpl w:val="ED627570"/>
    <w:lvl w:ilvl="0" w:tplc="7B7E1F4C">
      <w:start w:val="1"/>
      <w:numFmt w:val="lowerRoman"/>
      <w:lvlText w:val="%1)"/>
      <w:lvlJc w:val="left"/>
      <w:pPr>
        <w:ind w:left="1080" w:hanging="72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26AD77B2"/>
    <w:multiLevelType w:val="hybridMultilevel"/>
    <w:tmpl w:val="DE503078"/>
    <w:lvl w:ilvl="0" w:tplc="10444476">
      <w:start w:val="1"/>
      <w:numFmt w:val="lowerRoman"/>
      <w:lvlText w:val="%1)"/>
      <w:lvlJc w:val="left"/>
      <w:pPr>
        <w:ind w:left="1080" w:hanging="720"/>
      </w:pPr>
      <w:rPr>
        <w:rFonts w:ascii="Verdana" w:hAnsi="Verdana" w:cs="Verdana" w:hint="default"/>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27DC7042"/>
    <w:multiLevelType w:val="hybridMultilevel"/>
    <w:tmpl w:val="4F2CBD70"/>
    <w:lvl w:ilvl="0" w:tplc="0C206A88">
      <w:start w:val="1"/>
      <w:numFmt w:val="decimal"/>
      <w:lvlText w:val="%1)"/>
      <w:lvlJc w:val="left"/>
      <w:pPr>
        <w:ind w:left="1080" w:hanging="360"/>
      </w:pPr>
      <w:rPr>
        <w:i w:val="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8">
    <w:nsid w:val="2B924257"/>
    <w:multiLevelType w:val="hybridMultilevel"/>
    <w:tmpl w:val="5EC29794"/>
    <w:lvl w:ilvl="0" w:tplc="FB80F598">
      <w:start w:val="1"/>
      <w:numFmt w:val="decimal"/>
      <w:lvlText w:val="%1)"/>
      <w:lvlJc w:val="left"/>
      <w:pPr>
        <w:ind w:left="1080" w:hanging="360"/>
      </w:pPr>
      <w:rPr>
        <w:rFonts w:cs="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5E2CC7"/>
    <w:multiLevelType w:val="hybridMultilevel"/>
    <w:tmpl w:val="2D58DBEA"/>
    <w:lvl w:ilvl="0" w:tplc="823A4980">
      <w:start w:val="1"/>
      <w:numFmt w:val="lowerRoman"/>
      <w:lvlText w:val="%1)"/>
      <w:lvlJc w:val="left"/>
      <w:pPr>
        <w:ind w:left="1080" w:hanging="720"/>
      </w:pPr>
      <w:rPr>
        <w:rFonts w:ascii="Arial-BoldMT" w:eastAsia="Calibri" w:hAnsi="Arial-BoldMT" w:cs="Arial-BoldMT" w:hint="default"/>
        <w:b/>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3A38404A"/>
    <w:multiLevelType w:val="hybridMultilevel"/>
    <w:tmpl w:val="FABCC80C"/>
    <w:lvl w:ilvl="0" w:tplc="96607EE2">
      <w:start w:val="1"/>
      <w:numFmt w:val="decimal"/>
      <w:lvlText w:val="%1."/>
      <w:lvlJc w:val="left"/>
      <w:pPr>
        <w:tabs>
          <w:tab w:val="num" w:pos="3870"/>
        </w:tabs>
      </w:pPr>
      <w:rPr>
        <w:rFonts w:ascii="Verdana" w:hAnsi="Verdana" w:cs="Times New Roman" w:hint="default"/>
        <w:b w:val="0"/>
        <w:i w:val="0"/>
        <w:color w:val="auto"/>
        <w:sz w:val="20"/>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1">
    <w:nsid w:val="3E4E7652"/>
    <w:multiLevelType w:val="hybridMultilevel"/>
    <w:tmpl w:val="03F64B50"/>
    <w:lvl w:ilvl="0" w:tplc="06E03C86">
      <w:start w:val="1"/>
      <w:numFmt w:val="decimal"/>
      <w:lvlText w:val="%1."/>
      <w:lvlJc w:val="left"/>
      <w:pPr>
        <w:ind w:left="1440" w:hanging="360"/>
      </w:pPr>
      <w:rPr>
        <w:rFonts w:ascii="Verdana" w:hAnsi="Verdana" w:cs="Times New Roman"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0D32A29"/>
    <w:multiLevelType w:val="hybridMultilevel"/>
    <w:tmpl w:val="DEA87896"/>
    <w:lvl w:ilvl="0" w:tplc="CCA8D22C">
      <w:start w:val="1"/>
      <w:numFmt w:val="lowerRoman"/>
      <w:lvlText w:val="%1)"/>
      <w:lvlJc w:val="left"/>
      <w:pPr>
        <w:ind w:left="1080" w:hanging="720"/>
      </w:pPr>
      <w:rPr>
        <w:rFonts w:cs="Arial"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42004AD5"/>
    <w:multiLevelType w:val="hybridMultilevel"/>
    <w:tmpl w:val="01627CDC"/>
    <w:lvl w:ilvl="0" w:tplc="A3966368">
      <w:start w:val="1"/>
      <w:numFmt w:val="upperLetter"/>
      <w:lvlText w:val="%1."/>
      <w:lvlJc w:val="left"/>
      <w:pPr>
        <w:ind w:left="360" w:hanging="360"/>
      </w:pPr>
      <w:rPr>
        <w:b/>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46F435DD"/>
    <w:multiLevelType w:val="hybridMultilevel"/>
    <w:tmpl w:val="20023216"/>
    <w:lvl w:ilvl="0" w:tplc="54EAF6AE">
      <w:start w:val="1"/>
      <w:numFmt w:val="upperLetter"/>
      <w:lvlText w:val="%1)"/>
      <w:lvlJc w:val="left"/>
      <w:pPr>
        <w:ind w:left="915" w:hanging="360"/>
      </w:pPr>
      <w:rPr>
        <w:rFonts w:hint="default"/>
        <w:i/>
      </w:rPr>
    </w:lvl>
    <w:lvl w:ilvl="1" w:tplc="140A0019" w:tentative="1">
      <w:start w:val="1"/>
      <w:numFmt w:val="lowerLetter"/>
      <w:lvlText w:val="%2."/>
      <w:lvlJc w:val="left"/>
      <w:pPr>
        <w:ind w:left="1635" w:hanging="360"/>
      </w:pPr>
    </w:lvl>
    <w:lvl w:ilvl="2" w:tplc="140A001B" w:tentative="1">
      <w:start w:val="1"/>
      <w:numFmt w:val="lowerRoman"/>
      <w:lvlText w:val="%3."/>
      <w:lvlJc w:val="right"/>
      <w:pPr>
        <w:ind w:left="2355" w:hanging="180"/>
      </w:pPr>
    </w:lvl>
    <w:lvl w:ilvl="3" w:tplc="140A000F" w:tentative="1">
      <w:start w:val="1"/>
      <w:numFmt w:val="decimal"/>
      <w:lvlText w:val="%4."/>
      <w:lvlJc w:val="left"/>
      <w:pPr>
        <w:ind w:left="3075" w:hanging="360"/>
      </w:pPr>
    </w:lvl>
    <w:lvl w:ilvl="4" w:tplc="140A0019" w:tentative="1">
      <w:start w:val="1"/>
      <w:numFmt w:val="lowerLetter"/>
      <w:lvlText w:val="%5."/>
      <w:lvlJc w:val="left"/>
      <w:pPr>
        <w:ind w:left="3795" w:hanging="360"/>
      </w:pPr>
    </w:lvl>
    <w:lvl w:ilvl="5" w:tplc="140A001B" w:tentative="1">
      <w:start w:val="1"/>
      <w:numFmt w:val="lowerRoman"/>
      <w:lvlText w:val="%6."/>
      <w:lvlJc w:val="right"/>
      <w:pPr>
        <w:ind w:left="4515" w:hanging="180"/>
      </w:pPr>
    </w:lvl>
    <w:lvl w:ilvl="6" w:tplc="140A000F" w:tentative="1">
      <w:start w:val="1"/>
      <w:numFmt w:val="decimal"/>
      <w:lvlText w:val="%7."/>
      <w:lvlJc w:val="left"/>
      <w:pPr>
        <w:ind w:left="5235" w:hanging="360"/>
      </w:pPr>
    </w:lvl>
    <w:lvl w:ilvl="7" w:tplc="140A0019" w:tentative="1">
      <w:start w:val="1"/>
      <w:numFmt w:val="lowerLetter"/>
      <w:lvlText w:val="%8."/>
      <w:lvlJc w:val="left"/>
      <w:pPr>
        <w:ind w:left="5955" w:hanging="360"/>
      </w:pPr>
    </w:lvl>
    <w:lvl w:ilvl="8" w:tplc="140A001B" w:tentative="1">
      <w:start w:val="1"/>
      <w:numFmt w:val="lowerRoman"/>
      <w:lvlText w:val="%9."/>
      <w:lvlJc w:val="right"/>
      <w:pPr>
        <w:ind w:left="6675" w:hanging="180"/>
      </w:pPr>
    </w:lvl>
  </w:abstractNum>
  <w:abstractNum w:abstractNumId="15">
    <w:nsid w:val="4C2A2A7E"/>
    <w:multiLevelType w:val="hybridMultilevel"/>
    <w:tmpl w:val="0F8A998A"/>
    <w:lvl w:ilvl="0" w:tplc="FB047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C5A6277"/>
    <w:multiLevelType w:val="hybridMultilevel"/>
    <w:tmpl w:val="677A3D52"/>
    <w:lvl w:ilvl="0" w:tplc="3C308C40">
      <w:start w:val="1"/>
      <w:numFmt w:val="lowerLetter"/>
      <w:lvlText w:val="%1."/>
      <w:lvlJc w:val="left"/>
      <w:pPr>
        <w:ind w:left="1080" w:hanging="360"/>
      </w:pPr>
      <w:rPr>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59E43D69"/>
    <w:multiLevelType w:val="hybridMultilevel"/>
    <w:tmpl w:val="2DE04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8F5232"/>
    <w:multiLevelType w:val="hybridMultilevel"/>
    <w:tmpl w:val="05A4B09A"/>
    <w:lvl w:ilvl="0" w:tplc="140A0011">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9">
    <w:nsid w:val="5D8806CF"/>
    <w:multiLevelType w:val="hybridMultilevel"/>
    <w:tmpl w:val="220EBB5C"/>
    <w:lvl w:ilvl="0" w:tplc="1BA02A08">
      <w:start w:val="1"/>
      <w:numFmt w:val="decimal"/>
      <w:lvlText w:val="%1)"/>
      <w:lvlJc w:val="left"/>
      <w:pPr>
        <w:tabs>
          <w:tab w:val="num" w:pos="1100"/>
        </w:tabs>
        <w:ind w:left="1100" w:hanging="380"/>
      </w:pPr>
      <w:rPr>
        <w:rFonts w:ascii="Verdana" w:eastAsia="Calibri" w:hAnsi="Verdana" w:cs="Times New Roman"/>
        <w:b w:val="0"/>
        <w:i w:val="0"/>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99E8E9BA">
      <w:start w:val="1"/>
      <w:numFmt w:val="decimal"/>
      <w:lvlText w:val="%4."/>
      <w:lvlJc w:val="left"/>
      <w:pPr>
        <w:tabs>
          <w:tab w:val="num" w:pos="450"/>
        </w:tabs>
        <w:ind w:left="450" w:hanging="360"/>
      </w:pPr>
      <w:rPr>
        <w:i w:val="0"/>
      </w:rPr>
    </w:lvl>
    <w:lvl w:ilvl="4" w:tplc="54B4E548">
      <w:start w:val="1"/>
      <w:numFmt w:val="upperLetter"/>
      <w:lvlText w:val="%5)"/>
      <w:lvlJc w:val="left"/>
      <w:pPr>
        <w:ind w:left="360" w:hanging="360"/>
      </w:pPr>
      <w:rPr>
        <w:rFonts w:hint="default"/>
        <w:i/>
      </w:r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0">
    <w:nsid w:val="5DD75065"/>
    <w:multiLevelType w:val="hybridMultilevel"/>
    <w:tmpl w:val="9A2ADA6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EEA02C9"/>
    <w:multiLevelType w:val="hybridMultilevel"/>
    <w:tmpl w:val="DE503078"/>
    <w:lvl w:ilvl="0" w:tplc="10444476">
      <w:start w:val="1"/>
      <w:numFmt w:val="lowerRoman"/>
      <w:lvlText w:val="%1)"/>
      <w:lvlJc w:val="left"/>
      <w:pPr>
        <w:ind w:left="1080" w:hanging="720"/>
      </w:pPr>
      <w:rPr>
        <w:rFonts w:ascii="Verdana" w:hAnsi="Verdana" w:cs="Verdana" w:hint="default"/>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60A44C77"/>
    <w:multiLevelType w:val="hybridMultilevel"/>
    <w:tmpl w:val="D48694C2"/>
    <w:lvl w:ilvl="0" w:tplc="B9404BD0">
      <w:start w:val="1"/>
      <w:numFmt w:val="lowerRoman"/>
      <w:lvlText w:val="%1)"/>
      <w:lvlJc w:val="left"/>
      <w:pPr>
        <w:ind w:left="1080" w:hanging="720"/>
      </w:pPr>
      <w:rPr>
        <w:rFonts w:ascii="Arial-BoldMT" w:hAnsi="Arial-BoldMT" w:cs="Arial-BoldMT" w:hint="default"/>
        <w:b/>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nsid w:val="615D6ECD"/>
    <w:multiLevelType w:val="hybridMultilevel"/>
    <w:tmpl w:val="ED9C2C40"/>
    <w:lvl w:ilvl="0" w:tplc="ED0459E8">
      <w:start w:val="1"/>
      <w:numFmt w:val="lowerLetter"/>
      <w:lvlText w:val="%1)"/>
      <w:lvlJc w:val="left"/>
      <w:pPr>
        <w:ind w:left="1080" w:hanging="360"/>
      </w:pPr>
      <w:rPr>
        <w:rFonts w:ascii="Verdana" w:hAnsi="Verdana" w:cs="Tahoma" w:hint="default"/>
        <w:sz w:val="20"/>
        <w:szCs w:val="20"/>
      </w:rPr>
    </w:lvl>
    <w:lvl w:ilvl="1" w:tplc="323EEAAC">
      <w:start w:val="1"/>
      <w:numFmt w:val="decimal"/>
      <w:pStyle w:val="Listavistosa-nfasis11"/>
      <w:lvlText w:val="%2."/>
      <w:lvlJc w:val="left"/>
      <w:pPr>
        <w:tabs>
          <w:tab w:val="num" w:pos="0"/>
        </w:tabs>
      </w:pPr>
      <w:rPr>
        <w:rFonts w:hint="default"/>
        <w:b w:val="0"/>
        <w:bCs w:val="0"/>
        <w:sz w:val="20"/>
        <w:szCs w:val="20"/>
      </w:rPr>
    </w:lvl>
    <w:lvl w:ilvl="2" w:tplc="B96C1A40">
      <w:start w:val="1"/>
      <w:numFmt w:val="lowerLetter"/>
      <w:lvlText w:val="%3)"/>
      <w:lvlJc w:val="left"/>
      <w:pPr>
        <w:ind w:left="2700" w:hanging="360"/>
      </w:pPr>
      <w:rPr>
        <w:rFonts w:ascii="Verdana" w:hAnsi="Verdana" w:cs="Tahoma" w:hint="default"/>
        <w:b w:val="0"/>
        <w:bCs w:val="0"/>
        <w:sz w:val="20"/>
        <w:szCs w:val="20"/>
      </w:r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24">
    <w:nsid w:val="62C97D24"/>
    <w:multiLevelType w:val="hybridMultilevel"/>
    <w:tmpl w:val="C0FAAC86"/>
    <w:lvl w:ilvl="0" w:tplc="ED0459E8">
      <w:start w:val="1"/>
      <w:numFmt w:val="decimal"/>
      <w:lvlText w:val="%1."/>
      <w:lvlJc w:val="left"/>
      <w:pPr>
        <w:ind w:left="1080" w:hanging="720"/>
      </w:pPr>
      <w:rPr>
        <w:b w:val="0"/>
      </w:rPr>
    </w:lvl>
    <w:lvl w:ilvl="1" w:tplc="323EEAAC">
      <w:start w:val="1"/>
      <w:numFmt w:val="lowerRoman"/>
      <w:lvlText w:val="%2."/>
      <w:lvlJc w:val="left"/>
      <w:pPr>
        <w:ind w:left="1800" w:hanging="720"/>
      </w:pPr>
    </w:lvl>
    <w:lvl w:ilvl="2" w:tplc="B96C1A40">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25">
    <w:nsid w:val="66982649"/>
    <w:multiLevelType w:val="hybridMultilevel"/>
    <w:tmpl w:val="220EBB5C"/>
    <w:lvl w:ilvl="0" w:tplc="1BA02A08">
      <w:start w:val="1"/>
      <w:numFmt w:val="decimal"/>
      <w:lvlText w:val="%1)"/>
      <w:lvlJc w:val="left"/>
      <w:pPr>
        <w:tabs>
          <w:tab w:val="num" w:pos="1100"/>
        </w:tabs>
        <w:ind w:left="1100" w:hanging="380"/>
      </w:pPr>
      <w:rPr>
        <w:rFonts w:ascii="Verdana" w:eastAsia="Calibri" w:hAnsi="Verdana" w:cs="Times New Roman"/>
        <w:b w:val="0"/>
        <w:i w:val="0"/>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99E8E9BA">
      <w:start w:val="1"/>
      <w:numFmt w:val="decimal"/>
      <w:lvlText w:val="%4."/>
      <w:lvlJc w:val="left"/>
      <w:pPr>
        <w:tabs>
          <w:tab w:val="num" w:pos="3240"/>
        </w:tabs>
        <w:ind w:left="3240" w:hanging="360"/>
      </w:pPr>
      <w:rPr>
        <w:i w:val="0"/>
      </w:rPr>
    </w:lvl>
    <w:lvl w:ilvl="4" w:tplc="54B4E548">
      <w:start w:val="1"/>
      <w:numFmt w:val="upperLetter"/>
      <w:lvlText w:val="%5)"/>
      <w:lvlJc w:val="left"/>
      <w:pPr>
        <w:ind w:left="3960" w:hanging="360"/>
      </w:pPr>
      <w:rPr>
        <w:rFonts w:hint="default"/>
        <w:i/>
      </w:r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6">
    <w:nsid w:val="6D8A0A31"/>
    <w:multiLevelType w:val="hybridMultilevel"/>
    <w:tmpl w:val="EC041CD8"/>
    <w:lvl w:ilvl="0" w:tplc="ED0459E8">
      <w:start w:val="1"/>
      <w:numFmt w:val="decimal"/>
      <w:pStyle w:val="Num"/>
      <w:lvlText w:val="%1."/>
      <w:lvlJc w:val="left"/>
      <w:pPr>
        <w:ind w:left="360" w:hanging="360"/>
      </w:pPr>
    </w:lvl>
    <w:lvl w:ilvl="1" w:tplc="323EEAAC" w:tentative="1">
      <w:start w:val="1"/>
      <w:numFmt w:val="lowerLetter"/>
      <w:lvlText w:val="%2."/>
      <w:lvlJc w:val="left"/>
      <w:pPr>
        <w:ind w:left="1530" w:hanging="360"/>
      </w:pPr>
    </w:lvl>
    <w:lvl w:ilvl="2" w:tplc="B96C1A40" w:tentative="1">
      <w:start w:val="1"/>
      <w:numFmt w:val="lowerRoman"/>
      <w:lvlText w:val="%3."/>
      <w:lvlJc w:val="right"/>
      <w:pPr>
        <w:ind w:left="2250" w:hanging="180"/>
      </w:pPr>
    </w:lvl>
    <w:lvl w:ilvl="3" w:tplc="2C0A000F" w:tentative="1">
      <w:start w:val="1"/>
      <w:numFmt w:val="decimal"/>
      <w:lvlText w:val="%4."/>
      <w:lvlJc w:val="left"/>
      <w:pPr>
        <w:ind w:left="2970" w:hanging="360"/>
      </w:pPr>
    </w:lvl>
    <w:lvl w:ilvl="4" w:tplc="2C0A0019" w:tentative="1">
      <w:start w:val="1"/>
      <w:numFmt w:val="lowerLetter"/>
      <w:lvlText w:val="%5."/>
      <w:lvlJc w:val="left"/>
      <w:pPr>
        <w:ind w:left="3690" w:hanging="360"/>
      </w:pPr>
    </w:lvl>
    <w:lvl w:ilvl="5" w:tplc="2C0A001B" w:tentative="1">
      <w:start w:val="1"/>
      <w:numFmt w:val="lowerRoman"/>
      <w:lvlText w:val="%6."/>
      <w:lvlJc w:val="right"/>
      <w:pPr>
        <w:ind w:left="4410" w:hanging="180"/>
      </w:pPr>
    </w:lvl>
    <w:lvl w:ilvl="6" w:tplc="2C0A000F" w:tentative="1">
      <w:start w:val="1"/>
      <w:numFmt w:val="decimal"/>
      <w:lvlText w:val="%7."/>
      <w:lvlJc w:val="left"/>
      <w:pPr>
        <w:ind w:left="5130" w:hanging="360"/>
      </w:pPr>
    </w:lvl>
    <w:lvl w:ilvl="7" w:tplc="2C0A0019" w:tentative="1">
      <w:start w:val="1"/>
      <w:numFmt w:val="lowerLetter"/>
      <w:lvlText w:val="%8."/>
      <w:lvlJc w:val="left"/>
      <w:pPr>
        <w:ind w:left="5850" w:hanging="360"/>
      </w:pPr>
    </w:lvl>
    <w:lvl w:ilvl="8" w:tplc="2C0A001B" w:tentative="1">
      <w:start w:val="1"/>
      <w:numFmt w:val="lowerRoman"/>
      <w:lvlText w:val="%9."/>
      <w:lvlJc w:val="right"/>
      <w:pPr>
        <w:ind w:left="6570" w:hanging="180"/>
      </w:pPr>
    </w:lvl>
  </w:abstractNum>
  <w:abstractNum w:abstractNumId="27">
    <w:nsid w:val="75FB7C72"/>
    <w:multiLevelType w:val="hybridMultilevel"/>
    <w:tmpl w:val="E00CEF96"/>
    <w:lvl w:ilvl="0" w:tplc="140A0015">
      <w:start w:val="1"/>
      <w:numFmt w:val="upperLetter"/>
      <w:lvlText w:val="%1."/>
      <w:lvlJc w:val="left"/>
      <w:pPr>
        <w:ind w:left="450" w:hanging="360"/>
      </w:pPr>
      <w:rPr>
        <w:rFonts w:hint="default"/>
      </w:rPr>
    </w:lvl>
    <w:lvl w:ilvl="1" w:tplc="323EEAAC">
      <w:start w:val="1"/>
      <w:numFmt w:val="lowerLetter"/>
      <w:lvlText w:val="%2."/>
      <w:lvlJc w:val="left"/>
      <w:pPr>
        <w:ind w:left="1440" w:hanging="360"/>
      </w:pPr>
    </w:lvl>
    <w:lvl w:ilvl="2" w:tplc="B96C1A40"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nsid w:val="788854F4"/>
    <w:multiLevelType w:val="hybridMultilevel"/>
    <w:tmpl w:val="634A7FF2"/>
    <w:lvl w:ilvl="0" w:tplc="DCC2B44A">
      <w:start w:val="1"/>
      <w:numFmt w:val="decimal"/>
      <w:lvlText w:val="%1)"/>
      <w:lvlJc w:val="left"/>
      <w:pPr>
        <w:ind w:left="1080" w:hanging="360"/>
      </w:pPr>
      <w:rPr>
        <w:rFonts w:cs="Tahoma"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9"/>
  </w:num>
  <w:num w:numId="3">
    <w:abstractNumId w:val="26"/>
    <w:lvlOverride w:ilvl="0">
      <w:startOverride w:val="1"/>
    </w:lvlOverride>
  </w:num>
  <w:num w:numId="4">
    <w:abstractNumId w:val="27"/>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8"/>
  </w:num>
  <w:num w:numId="8">
    <w:abstractNumId w:val="23"/>
  </w:num>
  <w:num w:numId="9">
    <w:abstractNumId w:val="25"/>
  </w:num>
  <w:num w:numId="10">
    <w:abstractNumId w:val="18"/>
  </w:num>
  <w:num w:numId="11">
    <w:abstractNumId w:val="7"/>
  </w:num>
  <w:num w:numId="12">
    <w:abstractNumId w:val="2"/>
  </w:num>
  <w:num w:numId="13">
    <w:abstractNumId w:val="8"/>
  </w:num>
  <w:num w:numId="14">
    <w:abstractNumId w:val="15"/>
  </w:num>
  <w:num w:numId="15">
    <w:abstractNumId w:val="21"/>
  </w:num>
  <w:num w:numId="16">
    <w:abstractNumId w:val="6"/>
  </w:num>
  <w:num w:numId="17">
    <w:abstractNumId w:val="12"/>
  </w:num>
  <w:num w:numId="18">
    <w:abstractNumId w:val="5"/>
  </w:num>
  <w:num w:numId="19">
    <w:abstractNumId w:val="22"/>
  </w:num>
  <w:num w:numId="20">
    <w:abstractNumId w:val="9"/>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7"/>
  </w:num>
  <w:num w:numId="24">
    <w:abstractNumId w:val="20"/>
  </w:num>
  <w:num w:numId="25">
    <w:abstractNumId w:val="0"/>
  </w:num>
  <w:num w:numId="26">
    <w:abstractNumId w:val="11"/>
  </w:num>
  <w:num w:numId="27">
    <w:abstractNumId w:val="4"/>
  </w:num>
  <w:num w:numId="28">
    <w:abstractNumId w:val="16"/>
  </w:num>
  <w:num w:numId="29">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61B"/>
    <w:rsid w:val="000003DA"/>
    <w:rsid w:val="000006FE"/>
    <w:rsid w:val="00000F6A"/>
    <w:rsid w:val="000010EC"/>
    <w:rsid w:val="00001D9C"/>
    <w:rsid w:val="0000555A"/>
    <w:rsid w:val="00005825"/>
    <w:rsid w:val="0001174B"/>
    <w:rsid w:val="00014C7B"/>
    <w:rsid w:val="000224AD"/>
    <w:rsid w:val="00023403"/>
    <w:rsid w:val="000264B7"/>
    <w:rsid w:val="00032555"/>
    <w:rsid w:val="000326C1"/>
    <w:rsid w:val="00032B01"/>
    <w:rsid w:val="000335E5"/>
    <w:rsid w:val="00036ACE"/>
    <w:rsid w:val="000402CA"/>
    <w:rsid w:val="000427FE"/>
    <w:rsid w:val="00046380"/>
    <w:rsid w:val="0004765D"/>
    <w:rsid w:val="000524D6"/>
    <w:rsid w:val="000527E2"/>
    <w:rsid w:val="00054303"/>
    <w:rsid w:val="000548B5"/>
    <w:rsid w:val="00062B44"/>
    <w:rsid w:val="000652E4"/>
    <w:rsid w:val="00066C02"/>
    <w:rsid w:val="00070FD3"/>
    <w:rsid w:val="00071382"/>
    <w:rsid w:val="00072F72"/>
    <w:rsid w:val="00077269"/>
    <w:rsid w:val="00077F9D"/>
    <w:rsid w:val="00081154"/>
    <w:rsid w:val="00084112"/>
    <w:rsid w:val="0008461F"/>
    <w:rsid w:val="000865C0"/>
    <w:rsid w:val="00086AD6"/>
    <w:rsid w:val="00090AA2"/>
    <w:rsid w:val="0009201F"/>
    <w:rsid w:val="000926B3"/>
    <w:rsid w:val="0009605F"/>
    <w:rsid w:val="00096B70"/>
    <w:rsid w:val="000A72F0"/>
    <w:rsid w:val="000B6781"/>
    <w:rsid w:val="000B749E"/>
    <w:rsid w:val="000C18C5"/>
    <w:rsid w:val="000C1B6B"/>
    <w:rsid w:val="000C1D8F"/>
    <w:rsid w:val="000C3722"/>
    <w:rsid w:val="000C5B28"/>
    <w:rsid w:val="000D0F38"/>
    <w:rsid w:val="000D14FD"/>
    <w:rsid w:val="000D1D57"/>
    <w:rsid w:val="000D32C4"/>
    <w:rsid w:val="000D4092"/>
    <w:rsid w:val="000E78BF"/>
    <w:rsid w:val="000E7FDC"/>
    <w:rsid w:val="000F38E5"/>
    <w:rsid w:val="000F62E6"/>
    <w:rsid w:val="000F7E74"/>
    <w:rsid w:val="00100FC4"/>
    <w:rsid w:val="001063FE"/>
    <w:rsid w:val="001114B6"/>
    <w:rsid w:val="00112EAA"/>
    <w:rsid w:val="00115A2D"/>
    <w:rsid w:val="00116ED1"/>
    <w:rsid w:val="00123DA0"/>
    <w:rsid w:val="00123F65"/>
    <w:rsid w:val="00126AD6"/>
    <w:rsid w:val="00130C68"/>
    <w:rsid w:val="00132067"/>
    <w:rsid w:val="0013322E"/>
    <w:rsid w:val="00134E11"/>
    <w:rsid w:val="00135E8F"/>
    <w:rsid w:val="00142DF5"/>
    <w:rsid w:val="00142EEB"/>
    <w:rsid w:val="00145331"/>
    <w:rsid w:val="00156263"/>
    <w:rsid w:val="00156C2D"/>
    <w:rsid w:val="00157B89"/>
    <w:rsid w:val="001610CC"/>
    <w:rsid w:val="0016280A"/>
    <w:rsid w:val="001714E9"/>
    <w:rsid w:val="00172FA6"/>
    <w:rsid w:val="00173EBD"/>
    <w:rsid w:val="0018149C"/>
    <w:rsid w:val="001817F0"/>
    <w:rsid w:val="00181892"/>
    <w:rsid w:val="001833EE"/>
    <w:rsid w:val="0019154E"/>
    <w:rsid w:val="00191F9D"/>
    <w:rsid w:val="0019302A"/>
    <w:rsid w:val="00193B62"/>
    <w:rsid w:val="0019449C"/>
    <w:rsid w:val="00194FF8"/>
    <w:rsid w:val="0019549D"/>
    <w:rsid w:val="00196114"/>
    <w:rsid w:val="001974C3"/>
    <w:rsid w:val="001A5E39"/>
    <w:rsid w:val="001A7496"/>
    <w:rsid w:val="001B24D7"/>
    <w:rsid w:val="001B3F0F"/>
    <w:rsid w:val="001C71F3"/>
    <w:rsid w:val="001D09DB"/>
    <w:rsid w:val="001D14D4"/>
    <w:rsid w:val="001D18BD"/>
    <w:rsid w:val="001D303C"/>
    <w:rsid w:val="001D4B1C"/>
    <w:rsid w:val="001D6459"/>
    <w:rsid w:val="001E18AD"/>
    <w:rsid w:val="001E758E"/>
    <w:rsid w:val="001F2C37"/>
    <w:rsid w:val="001F7280"/>
    <w:rsid w:val="00201C03"/>
    <w:rsid w:val="00202144"/>
    <w:rsid w:val="00202E0D"/>
    <w:rsid w:val="00206F30"/>
    <w:rsid w:val="00212A67"/>
    <w:rsid w:val="00213EAE"/>
    <w:rsid w:val="00214E0E"/>
    <w:rsid w:val="00220EC2"/>
    <w:rsid w:val="00231C11"/>
    <w:rsid w:val="00235002"/>
    <w:rsid w:val="00236AE0"/>
    <w:rsid w:val="00237AF4"/>
    <w:rsid w:val="00244E0A"/>
    <w:rsid w:val="002450E4"/>
    <w:rsid w:val="0024588D"/>
    <w:rsid w:val="0025008A"/>
    <w:rsid w:val="002529B4"/>
    <w:rsid w:val="002534B9"/>
    <w:rsid w:val="00253CE1"/>
    <w:rsid w:val="0025400B"/>
    <w:rsid w:val="00255AEA"/>
    <w:rsid w:val="00260A99"/>
    <w:rsid w:val="002615A8"/>
    <w:rsid w:val="00263A7A"/>
    <w:rsid w:val="00273623"/>
    <w:rsid w:val="00277860"/>
    <w:rsid w:val="0028222F"/>
    <w:rsid w:val="002838E7"/>
    <w:rsid w:val="002841FF"/>
    <w:rsid w:val="00286BA4"/>
    <w:rsid w:val="0029012B"/>
    <w:rsid w:val="00290404"/>
    <w:rsid w:val="0029230B"/>
    <w:rsid w:val="002A0089"/>
    <w:rsid w:val="002A01AE"/>
    <w:rsid w:val="002A5276"/>
    <w:rsid w:val="002B184D"/>
    <w:rsid w:val="002B670F"/>
    <w:rsid w:val="002C02FC"/>
    <w:rsid w:val="002C1798"/>
    <w:rsid w:val="002C26A9"/>
    <w:rsid w:val="002C5817"/>
    <w:rsid w:val="002D30EC"/>
    <w:rsid w:val="002D3373"/>
    <w:rsid w:val="002D4852"/>
    <w:rsid w:val="002D600F"/>
    <w:rsid w:val="002D7E8D"/>
    <w:rsid w:val="002E22D4"/>
    <w:rsid w:val="002E2E5A"/>
    <w:rsid w:val="002E449E"/>
    <w:rsid w:val="002E530B"/>
    <w:rsid w:val="002E6DB6"/>
    <w:rsid w:val="002E7880"/>
    <w:rsid w:val="002F4040"/>
    <w:rsid w:val="0030019E"/>
    <w:rsid w:val="0030281E"/>
    <w:rsid w:val="00302D33"/>
    <w:rsid w:val="00303C9E"/>
    <w:rsid w:val="00306BD1"/>
    <w:rsid w:val="003122F4"/>
    <w:rsid w:val="00312A59"/>
    <w:rsid w:val="00312E07"/>
    <w:rsid w:val="00313E2B"/>
    <w:rsid w:val="00317E23"/>
    <w:rsid w:val="00321206"/>
    <w:rsid w:val="00331DD5"/>
    <w:rsid w:val="00333477"/>
    <w:rsid w:val="0033435E"/>
    <w:rsid w:val="00342CA5"/>
    <w:rsid w:val="00343498"/>
    <w:rsid w:val="00345EC1"/>
    <w:rsid w:val="00347AE4"/>
    <w:rsid w:val="00347B14"/>
    <w:rsid w:val="003503B4"/>
    <w:rsid w:val="00350E4D"/>
    <w:rsid w:val="00350E89"/>
    <w:rsid w:val="003515AF"/>
    <w:rsid w:val="00351D6A"/>
    <w:rsid w:val="00351DE7"/>
    <w:rsid w:val="0035204A"/>
    <w:rsid w:val="0035445E"/>
    <w:rsid w:val="00357AE1"/>
    <w:rsid w:val="00360843"/>
    <w:rsid w:val="003632C9"/>
    <w:rsid w:val="003637A9"/>
    <w:rsid w:val="003726D9"/>
    <w:rsid w:val="00376B2B"/>
    <w:rsid w:val="0037733C"/>
    <w:rsid w:val="00377ECF"/>
    <w:rsid w:val="003803DD"/>
    <w:rsid w:val="00382914"/>
    <w:rsid w:val="003831A2"/>
    <w:rsid w:val="00383F75"/>
    <w:rsid w:val="00387091"/>
    <w:rsid w:val="003907DE"/>
    <w:rsid w:val="00390C12"/>
    <w:rsid w:val="00392445"/>
    <w:rsid w:val="0039545F"/>
    <w:rsid w:val="003957BD"/>
    <w:rsid w:val="00397463"/>
    <w:rsid w:val="00397697"/>
    <w:rsid w:val="003A1C1B"/>
    <w:rsid w:val="003B4675"/>
    <w:rsid w:val="003B5506"/>
    <w:rsid w:val="003C0912"/>
    <w:rsid w:val="003C2012"/>
    <w:rsid w:val="003C3167"/>
    <w:rsid w:val="003D04E5"/>
    <w:rsid w:val="003D3E2C"/>
    <w:rsid w:val="003D6EA5"/>
    <w:rsid w:val="003E2E7E"/>
    <w:rsid w:val="003E4445"/>
    <w:rsid w:val="003F6FFF"/>
    <w:rsid w:val="004005D5"/>
    <w:rsid w:val="00405B38"/>
    <w:rsid w:val="004069D9"/>
    <w:rsid w:val="00407E3B"/>
    <w:rsid w:val="00410F30"/>
    <w:rsid w:val="0041131E"/>
    <w:rsid w:val="00413FB0"/>
    <w:rsid w:val="0042561A"/>
    <w:rsid w:val="004301F3"/>
    <w:rsid w:val="00431A17"/>
    <w:rsid w:val="00431BCB"/>
    <w:rsid w:val="00432F14"/>
    <w:rsid w:val="0043334F"/>
    <w:rsid w:val="00435CF0"/>
    <w:rsid w:val="00437D62"/>
    <w:rsid w:val="00440840"/>
    <w:rsid w:val="00445290"/>
    <w:rsid w:val="00445FFB"/>
    <w:rsid w:val="00451037"/>
    <w:rsid w:val="00464C86"/>
    <w:rsid w:val="00466EB8"/>
    <w:rsid w:val="00470AA5"/>
    <w:rsid w:val="00475EA4"/>
    <w:rsid w:val="004801F2"/>
    <w:rsid w:val="0048398C"/>
    <w:rsid w:val="00484289"/>
    <w:rsid w:val="00484F1C"/>
    <w:rsid w:val="0048544D"/>
    <w:rsid w:val="00485DAF"/>
    <w:rsid w:val="0048615E"/>
    <w:rsid w:val="00486505"/>
    <w:rsid w:val="00486710"/>
    <w:rsid w:val="00490528"/>
    <w:rsid w:val="00496D2C"/>
    <w:rsid w:val="004A07D2"/>
    <w:rsid w:val="004A2893"/>
    <w:rsid w:val="004A3ECB"/>
    <w:rsid w:val="004A5424"/>
    <w:rsid w:val="004B4611"/>
    <w:rsid w:val="004C3129"/>
    <w:rsid w:val="004C6AAD"/>
    <w:rsid w:val="004D24C9"/>
    <w:rsid w:val="004D25F4"/>
    <w:rsid w:val="004D76D0"/>
    <w:rsid w:val="004E67F2"/>
    <w:rsid w:val="004F3422"/>
    <w:rsid w:val="004F3C91"/>
    <w:rsid w:val="004F5A1D"/>
    <w:rsid w:val="004F6211"/>
    <w:rsid w:val="00503C0A"/>
    <w:rsid w:val="005059F9"/>
    <w:rsid w:val="0051149F"/>
    <w:rsid w:val="005119FB"/>
    <w:rsid w:val="00514B84"/>
    <w:rsid w:val="005231E2"/>
    <w:rsid w:val="00527240"/>
    <w:rsid w:val="00527A7B"/>
    <w:rsid w:val="0053020C"/>
    <w:rsid w:val="00530572"/>
    <w:rsid w:val="005306C0"/>
    <w:rsid w:val="00532AE6"/>
    <w:rsid w:val="00533E2C"/>
    <w:rsid w:val="0053701E"/>
    <w:rsid w:val="005410AE"/>
    <w:rsid w:val="00542752"/>
    <w:rsid w:val="005467B6"/>
    <w:rsid w:val="00550764"/>
    <w:rsid w:val="00554CB5"/>
    <w:rsid w:val="00555A8C"/>
    <w:rsid w:val="00563606"/>
    <w:rsid w:val="00563C7F"/>
    <w:rsid w:val="005652F5"/>
    <w:rsid w:val="00566E49"/>
    <w:rsid w:val="00573260"/>
    <w:rsid w:val="005735AE"/>
    <w:rsid w:val="005755F8"/>
    <w:rsid w:val="005779F4"/>
    <w:rsid w:val="00577C14"/>
    <w:rsid w:val="00584185"/>
    <w:rsid w:val="0059187C"/>
    <w:rsid w:val="00591DE1"/>
    <w:rsid w:val="00594A49"/>
    <w:rsid w:val="00594D7A"/>
    <w:rsid w:val="005978D6"/>
    <w:rsid w:val="005A680E"/>
    <w:rsid w:val="005B1002"/>
    <w:rsid w:val="005B2C76"/>
    <w:rsid w:val="005B2D69"/>
    <w:rsid w:val="005B441D"/>
    <w:rsid w:val="005B7C90"/>
    <w:rsid w:val="005C02FA"/>
    <w:rsid w:val="005C2194"/>
    <w:rsid w:val="005C3FA3"/>
    <w:rsid w:val="005C671B"/>
    <w:rsid w:val="005C6E58"/>
    <w:rsid w:val="005D01A8"/>
    <w:rsid w:val="005D14A0"/>
    <w:rsid w:val="005D1E07"/>
    <w:rsid w:val="005D3A5F"/>
    <w:rsid w:val="005D57F9"/>
    <w:rsid w:val="005D72A9"/>
    <w:rsid w:val="005E5427"/>
    <w:rsid w:val="005E648A"/>
    <w:rsid w:val="005F0601"/>
    <w:rsid w:val="005F1F23"/>
    <w:rsid w:val="005F45F5"/>
    <w:rsid w:val="005F577E"/>
    <w:rsid w:val="00600CB3"/>
    <w:rsid w:val="006020F1"/>
    <w:rsid w:val="0060228F"/>
    <w:rsid w:val="00602A36"/>
    <w:rsid w:val="00606677"/>
    <w:rsid w:val="006076E7"/>
    <w:rsid w:val="00611F03"/>
    <w:rsid w:val="0061438D"/>
    <w:rsid w:val="0062065A"/>
    <w:rsid w:val="006221A2"/>
    <w:rsid w:val="00623480"/>
    <w:rsid w:val="0062421C"/>
    <w:rsid w:val="00626584"/>
    <w:rsid w:val="00626E62"/>
    <w:rsid w:val="00633E1E"/>
    <w:rsid w:val="0063543A"/>
    <w:rsid w:val="00637076"/>
    <w:rsid w:val="00637A7E"/>
    <w:rsid w:val="006409FB"/>
    <w:rsid w:val="00642320"/>
    <w:rsid w:val="0064274C"/>
    <w:rsid w:val="00642EED"/>
    <w:rsid w:val="00644344"/>
    <w:rsid w:val="00651D65"/>
    <w:rsid w:val="00655941"/>
    <w:rsid w:val="00657D87"/>
    <w:rsid w:val="006605B2"/>
    <w:rsid w:val="00665986"/>
    <w:rsid w:val="00665F9E"/>
    <w:rsid w:val="00666289"/>
    <w:rsid w:val="0067033A"/>
    <w:rsid w:val="0067119C"/>
    <w:rsid w:val="00673A02"/>
    <w:rsid w:val="0067793D"/>
    <w:rsid w:val="006814FA"/>
    <w:rsid w:val="00681E44"/>
    <w:rsid w:val="00686DEC"/>
    <w:rsid w:val="006957F7"/>
    <w:rsid w:val="006A0AFE"/>
    <w:rsid w:val="006A3162"/>
    <w:rsid w:val="006A3357"/>
    <w:rsid w:val="006A546E"/>
    <w:rsid w:val="006A5CBB"/>
    <w:rsid w:val="006B20A9"/>
    <w:rsid w:val="006B2214"/>
    <w:rsid w:val="006B4DEB"/>
    <w:rsid w:val="006B694D"/>
    <w:rsid w:val="006B7A07"/>
    <w:rsid w:val="006C14F3"/>
    <w:rsid w:val="006C15F5"/>
    <w:rsid w:val="006C2759"/>
    <w:rsid w:val="006C293F"/>
    <w:rsid w:val="006C53BE"/>
    <w:rsid w:val="006C7BB1"/>
    <w:rsid w:val="006D01E7"/>
    <w:rsid w:val="006D186E"/>
    <w:rsid w:val="006D25C9"/>
    <w:rsid w:val="006D44AD"/>
    <w:rsid w:val="006D6805"/>
    <w:rsid w:val="006E16F2"/>
    <w:rsid w:val="006E1B0A"/>
    <w:rsid w:val="006E2D01"/>
    <w:rsid w:val="006E3530"/>
    <w:rsid w:val="006E50F0"/>
    <w:rsid w:val="006E675B"/>
    <w:rsid w:val="006F05E4"/>
    <w:rsid w:val="006F61E5"/>
    <w:rsid w:val="0070241E"/>
    <w:rsid w:val="007032C2"/>
    <w:rsid w:val="00703C32"/>
    <w:rsid w:val="00705738"/>
    <w:rsid w:val="00706F3B"/>
    <w:rsid w:val="00707290"/>
    <w:rsid w:val="00711324"/>
    <w:rsid w:val="00711D53"/>
    <w:rsid w:val="00714E41"/>
    <w:rsid w:val="0072145B"/>
    <w:rsid w:val="00722AED"/>
    <w:rsid w:val="0072360F"/>
    <w:rsid w:val="00731581"/>
    <w:rsid w:val="00732E82"/>
    <w:rsid w:val="00736694"/>
    <w:rsid w:val="00737BDA"/>
    <w:rsid w:val="0074130E"/>
    <w:rsid w:val="00746101"/>
    <w:rsid w:val="00746C14"/>
    <w:rsid w:val="007516E5"/>
    <w:rsid w:val="007523E6"/>
    <w:rsid w:val="00754231"/>
    <w:rsid w:val="007645A7"/>
    <w:rsid w:val="007648D2"/>
    <w:rsid w:val="00764ABC"/>
    <w:rsid w:val="007748C7"/>
    <w:rsid w:val="00781060"/>
    <w:rsid w:val="00781F08"/>
    <w:rsid w:val="007820C4"/>
    <w:rsid w:val="00783501"/>
    <w:rsid w:val="007842AB"/>
    <w:rsid w:val="00785B6E"/>
    <w:rsid w:val="00787CD9"/>
    <w:rsid w:val="0079168F"/>
    <w:rsid w:val="00793E0D"/>
    <w:rsid w:val="007948D1"/>
    <w:rsid w:val="007A084C"/>
    <w:rsid w:val="007A1A6E"/>
    <w:rsid w:val="007A1B29"/>
    <w:rsid w:val="007A1B5A"/>
    <w:rsid w:val="007A4371"/>
    <w:rsid w:val="007B0692"/>
    <w:rsid w:val="007B1E25"/>
    <w:rsid w:val="007B2229"/>
    <w:rsid w:val="007B4454"/>
    <w:rsid w:val="007B470A"/>
    <w:rsid w:val="007C3A41"/>
    <w:rsid w:val="007C57D3"/>
    <w:rsid w:val="007C78F1"/>
    <w:rsid w:val="007D666C"/>
    <w:rsid w:val="007D70EF"/>
    <w:rsid w:val="007E2235"/>
    <w:rsid w:val="007E5A26"/>
    <w:rsid w:val="007E6583"/>
    <w:rsid w:val="007E7EAA"/>
    <w:rsid w:val="007F140A"/>
    <w:rsid w:val="007F1ECC"/>
    <w:rsid w:val="007F243D"/>
    <w:rsid w:val="007F2DB7"/>
    <w:rsid w:val="007F4B58"/>
    <w:rsid w:val="007F6A2A"/>
    <w:rsid w:val="007F7554"/>
    <w:rsid w:val="0080085B"/>
    <w:rsid w:val="00801CD7"/>
    <w:rsid w:val="00802400"/>
    <w:rsid w:val="008024E5"/>
    <w:rsid w:val="00806BFA"/>
    <w:rsid w:val="00806E48"/>
    <w:rsid w:val="00810E30"/>
    <w:rsid w:val="00811039"/>
    <w:rsid w:val="00811691"/>
    <w:rsid w:val="008129D3"/>
    <w:rsid w:val="008132C9"/>
    <w:rsid w:val="00817D6C"/>
    <w:rsid w:val="008213DD"/>
    <w:rsid w:val="0082311D"/>
    <w:rsid w:val="0082433D"/>
    <w:rsid w:val="00824EA9"/>
    <w:rsid w:val="00825BD9"/>
    <w:rsid w:val="00825C1F"/>
    <w:rsid w:val="008271FD"/>
    <w:rsid w:val="0082765C"/>
    <w:rsid w:val="008343F5"/>
    <w:rsid w:val="008465B2"/>
    <w:rsid w:val="00846A11"/>
    <w:rsid w:val="00846BB1"/>
    <w:rsid w:val="00852038"/>
    <w:rsid w:val="00854DE1"/>
    <w:rsid w:val="00855A5D"/>
    <w:rsid w:val="0086146C"/>
    <w:rsid w:val="00863F36"/>
    <w:rsid w:val="008669C0"/>
    <w:rsid w:val="00867796"/>
    <w:rsid w:val="0087310F"/>
    <w:rsid w:val="00877384"/>
    <w:rsid w:val="0088456E"/>
    <w:rsid w:val="0088555C"/>
    <w:rsid w:val="0089529E"/>
    <w:rsid w:val="00895489"/>
    <w:rsid w:val="00895D82"/>
    <w:rsid w:val="00896E57"/>
    <w:rsid w:val="00896EBA"/>
    <w:rsid w:val="0089703A"/>
    <w:rsid w:val="008A0F55"/>
    <w:rsid w:val="008A2491"/>
    <w:rsid w:val="008B1502"/>
    <w:rsid w:val="008B1854"/>
    <w:rsid w:val="008B2F98"/>
    <w:rsid w:val="008B7A3E"/>
    <w:rsid w:val="008C7B8B"/>
    <w:rsid w:val="008D30F5"/>
    <w:rsid w:val="008E2AC1"/>
    <w:rsid w:val="008E31EE"/>
    <w:rsid w:val="008E7156"/>
    <w:rsid w:val="008F2855"/>
    <w:rsid w:val="008F51C5"/>
    <w:rsid w:val="00900FDD"/>
    <w:rsid w:val="0090127D"/>
    <w:rsid w:val="0090565F"/>
    <w:rsid w:val="0091098F"/>
    <w:rsid w:val="00924194"/>
    <w:rsid w:val="009256D2"/>
    <w:rsid w:val="009262E7"/>
    <w:rsid w:val="00926694"/>
    <w:rsid w:val="0093091F"/>
    <w:rsid w:val="0093160F"/>
    <w:rsid w:val="00937948"/>
    <w:rsid w:val="00941A6D"/>
    <w:rsid w:val="00941D29"/>
    <w:rsid w:val="009421EF"/>
    <w:rsid w:val="00944FB4"/>
    <w:rsid w:val="00946A98"/>
    <w:rsid w:val="00947109"/>
    <w:rsid w:val="00947DBC"/>
    <w:rsid w:val="009550F2"/>
    <w:rsid w:val="009577A8"/>
    <w:rsid w:val="00961EDB"/>
    <w:rsid w:val="00971011"/>
    <w:rsid w:val="00972814"/>
    <w:rsid w:val="00975CE0"/>
    <w:rsid w:val="00982810"/>
    <w:rsid w:val="00982C3A"/>
    <w:rsid w:val="009839B4"/>
    <w:rsid w:val="00987B5A"/>
    <w:rsid w:val="00994909"/>
    <w:rsid w:val="009A0E92"/>
    <w:rsid w:val="009A10A2"/>
    <w:rsid w:val="009A33FC"/>
    <w:rsid w:val="009A40F7"/>
    <w:rsid w:val="009A45C4"/>
    <w:rsid w:val="009A5EA7"/>
    <w:rsid w:val="009A6342"/>
    <w:rsid w:val="009A651C"/>
    <w:rsid w:val="009B04F3"/>
    <w:rsid w:val="009B2E62"/>
    <w:rsid w:val="009B2EF4"/>
    <w:rsid w:val="009B5948"/>
    <w:rsid w:val="009C4E15"/>
    <w:rsid w:val="009C6D0A"/>
    <w:rsid w:val="009D3F7C"/>
    <w:rsid w:val="009D4E68"/>
    <w:rsid w:val="009D6C4F"/>
    <w:rsid w:val="009D7A49"/>
    <w:rsid w:val="009E25DE"/>
    <w:rsid w:val="009E3008"/>
    <w:rsid w:val="009F258B"/>
    <w:rsid w:val="009F3327"/>
    <w:rsid w:val="00A008B7"/>
    <w:rsid w:val="00A0306E"/>
    <w:rsid w:val="00A04DAC"/>
    <w:rsid w:val="00A04F40"/>
    <w:rsid w:val="00A05548"/>
    <w:rsid w:val="00A12832"/>
    <w:rsid w:val="00A12CCC"/>
    <w:rsid w:val="00A12DED"/>
    <w:rsid w:val="00A1364F"/>
    <w:rsid w:val="00A13F71"/>
    <w:rsid w:val="00A159C4"/>
    <w:rsid w:val="00A15AB0"/>
    <w:rsid w:val="00A17CE7"/>
    <w:rsid w:val="00A17E84"/>
    <w:rsid w:val="00A208F9"/>
    <w:rsid w:val="00A22A92"/>
    <w:rsid w:val="00A22E0E"/>
    <w:rsid w:val="00A23A5A"/>
    <w:rsid w:val="00A23B6F"/>
    <w:rsid w:val="00A27F16"/>
    <w:rsid w:val="00A27F83"/>
    <w:rsid w:val="00A308B4"/>
    <w:rsid w:val="00A33C99"/>
    <w:rsid w:val="00A37B15"/>
    <w:rsid w:val="00A41E8A"/>
    <w:rsid w:val="00A42367"/>
    <w:rsid w:val="00A42BB3"/>
    <w:rsid w:val="00A431AA"/>
    <w:rsid w:val="00A47F17"/>
    <w:rsid w:val="00A51579"/>
    <w:rsid w:val="00A52FBC"/>
    <w:rsid w:val="00A532A9"/>
    <w:rsid w:val="00A53F2A"/>
    <w:rsid w:val="00A551BE"/>
    <w:rsid w:val="00A567DE"/>
    <w:rsid w:val="00A6069B"/>
    <w:rsid w:val="00A619D8"/>
    <w:rsid w:val="00A6299B"/>
    <w:rsid w:val="00A63B8A"/>
    <w:rsid w:val="00A7141C"/>
    <w:rsid w:val="00A72358"/>
    <w:rsid w:val="00A7646C"/>
    <w:rsid w:val="00A809B9"/>
    <w:rsid w:val="00A81A67"/>
    <w:rsid w:val="00A8659C"/>
    <w:rsid w:val="00A9080E"/>
    <w:rsid w:val="00A94946"/>
    <w:rsid w:val="00A94F74"/>
    <w:rsid w:val="00AA3694"/>
    <w:rsid w:val="00AA4666"/>
    <w:rsid w:val="00AB0A1F"/>
    <w:rsid w:val="00AB0BFD"/>
    <w:rsid w:val="00AB1FE2"/>
    <w:rsid w:val="00AB3D6F"/>
    <w:rsid w:val="00AB4239"/>
    <w:rsid w:val="00AB4550"/>
    <w:rsid w:val="00AB5223"/>
    <w:rsid w:val="00AC352D"/>
    <w:rsid w:val="00AC4F8C"/>
    <w:rsid w:val="00AC7D21"/>
    <w:rsid w:val="00AD1418"/>
    <w:rsid w:val="00AD705E"/>
    <w:rsid w:val="00AD732C"/>
    <w:rsid w:val="00AE106D"/>
    <w:rsid w:val="00AE2199"/>
    <w:rsid w:val="00AE30E2"/>
    <w:rsid w:val="00AE31D4"/>
    <w:rsid w:val="00AE6630"/>
    <w:rsid w:val="00B00C5A"/>
    <w:rsid w:val="00B03605"/>
    <w:rsid w:val="00B11378"/>
    <w:rsid w:val="00B13A95"/>
    <w:rsid w:val="00B1490A"/>
    <w:rsid w:val="00B160F1"/>
    <w:rsid w:val="00B17808"/>
    <w:rsid w:val="00B22E8E"/>
    <w:rsid w:val="00B2399C"/>
    <w:rsid w:val="00B2740C"/>
    <w:rsid w:val="00B310F4"/>
    <w:rsid w:val="00B32462"/>
    <w:rsid w:val="00B37222"/>
    <w:rsid w:val="00B40769"/>
    <w:rsid w:val="00B41156"/>
    <w:rsid w:val="00B41CA2"/>
    <w:rsid w:val="00B454DA"/>
    <w:rsid w:val="00B47A42"/>
    <w:rsid w:val="00B50456"/>
    <w:rsid w:val="00B53384"/>
    <w:rsid w:val="00B55A9D"/>
    <w:rsid w:val="00B55B1F"/>
    <w:rsid w:val="00B56721"/>
    <w:rsid w:val="00B56BFD"/>
    <w:rsid w:val="00B60F5A"/>
    <w:rsid w:val="00B61431"/>
    <w:rsid w:val="00B67F96"/>
    <w:rsid w:val="00B718C9"/>
    <w:rsid w:val="00B771C9"/>
    <w:rsid w:val="00B82146"/>
    <w:rsid w:val="00B830B3"/>
    <w:rsid w:val="00B837E9"/>
    <w:rsid w:val="00B84811"/>
    <w:rsid w:val="00B86D21"/>
    <w:rsid w:val="00B8722A"/>
    <w:rsid w:val="00B917FA"/>
    <w:rsid w:val="00B92A9C"/>
    <w:rsid w:val="00BA0A94"/>
    <w:rsid w:val="00BA10C6"/>
    <w:rsid w:val="00BA1115"/>
    <w:rsid w:val="00BA2E6D"/>
    <w:rsid w:val="00BA477F"/>
    <w:rsid w:val="00BC0DD6"/>
    <w:rsid w:val="00BC0FE9"/>
    <w:rsid w:val="00BC239C"/>
    <w:rsid w:val="00BC28B4"/>
    <w:rsid w:val="00BC2C91"/>
    <w:rsid w:val="00BC4AAB"/>
    <w:rsid w:val="00BD22C0"/>
    <w:rsid w:val="00BE0DFB"/>
    <w:rsid w:val="00BE2758"/>
    <w:rsid w:val="00BE478D"/>
    <w:rsid w:val="00BE56CA"/>
    <w:rsid w:val="00BE5939"/>
    <w:rsid w:val="00BF1994"/>
    <w:rsid w:val="00BF2D68"/>
    <w:rsid w:val="00BF3EB7"/>
    <w:rsid w:val="00BF4FBD"/>
    <w:rsid w:val="00BF6F72"/>
    <w:rsid w:val="00C00D7A"/>
    <w:rsid w:val="00C05770"/>
    <w:rsid w:val="00C1243A"/>
    <w:rsid w:val="00C150E8"/>
    <w:rsid w:val="00C15751"/>
    <w:rsid w:val="00C22E95"/>
    <w:rsid w:val="00C23ED6"/>
    <w:rsid w:val="00C262AD"/>
    <w:rsid w:val="00C30DBC"/>
    <w:rsid w:val="00C3409E"/>
    <w:rsid w:val="00C37151"/>
    <w:rsid w:val="00C3774E"/>
    <w:rsid w:val="00C41BA5"/>
    <w:rsid w:val="00C43331"/>
    <w:rsid w:val="00C47CCA"/>
    <w:rsid w:val="00C52613"/>
    <w:rsid w:val="00C561AE"/>
    <w:rsid w:val="00C56B05"/>
    <w:rsid w:val="00C572F8"/>
    <w:rsid w:val="00C617B3"/>
    <w:rsid w:val="00C63DA9"/>
    <w:rsid w:val="00C641D0"/>
    <w:rsid w:val="00C73957"/>
    <w:rsid w:val="00C82EF1"/>
    <w:rsid w:val="00C83CF2"/>
    <w:rsid w:val="00C84941"/>
    <w:rsid w:val="00C868F8"/>
    <w:rsid w:val="00C8715F"/>
    <w:rsid w:val="00C92471"/>
    <w:rsid w:val="00C93DB3"/>
    <w:rsid w:val="00C96C66"/>
    <w:rsid w:val="00CA3653"/>
    <w:rsid w:val="00CA3EF3"/>
    <w:rsid w:val="00CA7934"/>
    <w:rsid w:val="00CB2560"/>
    <w:rsid w:val="00CB2647"/>
    <w:rsid w:val="00CB6DDD"/>
    <w:rsid w:val="00CC14AA"/>
    <w:rsid w:val="00CC2EB0"/>
    <w:rsid w:val="00CC34C7"/>
    <w:rsid w:val="00CC49A0"/>
    <w:rsid w:val="00CC54CC"/>
    <w:rsid w:val="00CD2DD8"/>
    <w:rsid w:val="00CE05D9"/>
    <w:rsid w:val="00CE140B"/>
    <w:rsid w:val="00CE3144"/>
    <w:rsid w:val="00CE35F2"/>
    <w:rsid w:val="00CE4922"/>
    <w:rsid w:val="00CE4D0C"/>
    <w:rsid w:val="00CF0982"/>
    <w:rsid w:val="00D018F0"/>
    <w:rsid w:val="00D05478"/>
    <w:rsid w:val="00D06366"/>
    <w:rsid w:val="00D107B2"/>
    <w:rsid w:val="00D1178C"/>
    <w:rsid w:val="00D14325"/>
    <w:rsid w:val="00D148F6"/>
    <w:rsid w:val="00D15404"/>
    <w:rsid w:val="00D15AE5"/>
    <w:rsid w:val="00D22F25"/>
    <w:rsid w:val="00D30941"/>
    <w:rsid w:val="00D34D53"/>
    <w:rsid w:val="00D36CA5"/>
    <w:rsid w:val="00D40873"/>
    <w:rsid w:val="00D41461"/>
    <w:rsid w:val="00D56996"/>
    <w:rsid w:val="00D706C5"/>
    <w:rsid w:val="00D716B9"/>
    <w:rsid w:val="00D725E3"/>
    <w:rsid w:val="00D757FF"/>
    <w:rsid w:val="00D76C0C"/>
    <w:rsid w:val="00D8550D"/>
    <w:rsid w:val="00D86F1D"/>
    <w:rsid w:val="00D910A8"/>
    <w:rsid w:val="00D9202D"/>
    <w:rsid w:val="00D92691"/>
    <w:rsid w:val="00D93159"/>
    <w:rsid w:val="00D95186"/>
    <w:rsid w:val="00DA05EC"/>
    <w:rsid w:val="00DA17EB"/>
    <w:rsid w:val="00DA57F4"/>
    <w:rsid w:val="00DA7351"/>
    <w:rsid w:val="00DA7818"/>
    <w:rsid w:val="00DB1A1A"/>
    <w:rsid w:val="00DB3937"/>
    <w:rsid w:val="00DB5488"/>
    <w:rsid w:val="00DB68AA"/>
    <w:rsid w:val="00DB7A4F"/>
    <w:rsid w:val="00DB7ACB"/>
    <w:rsid w:val="00DC0D8D"/>
    <w:rsid w:val="00DC164A"/>
    <w:rsid w:val="00DC1A6D"/>
    <w:rsid w:val="00DD161B"/>
    <w:rsid w:val="00DD3A47"/>
    <w:rsid w:val="00DD57DD"/>
    <w:rsid w:val="00DD628B"/>
    <w:rsid w:val="00DD687E"/>
    <w:rsid w:val="00DE2C14"/>
    <w:rsid w:val="00DE486A"/>
    <w:rsid w:val="00DE56DE"/>
    <w:rsid w:val="00DE6525"/>
    <w:rsid w:val="00DF1F4B"/>
    <w:rsid w:val="00E00E51"/>
    <w:rsid w:val="00E066F7"/>
    <w:rsid w:val="00E17107"/>
    <w:rsid w:val="00E20F60"/>
    <w:rsid w:val="00E21AB3"/>
    <w:rsid w:val="00E22DFD"/>
    <w:rsid w:val="00E23F37"/>
    <w:rsid w:val="00E25D87"/>
    <w:rsid w:val="00E27ABB"/>
    <w:rsid w:val="00E32DCA"/>
    <w:rsid w:val="00E33CC7"/>
    <w:rsid w:val="00E40234"/>
    <w:rsid w:val="00E40C34"/>
    <w:rsid w:val="00E4730E"/>
    <w:rsid w:val="00E47CDE"/>
    <w:rsid w:val="00E47D4A"/>
    <w:rsid w:val="00E550DC"/>
    <w:rsid w:val="00E55942"/>
    <w:rsid w:val="00E55DBE"/>
    <w:rsid w:val="00E56C59"/>
    <w:rsid w:val="00E64BB3"/>
    <w:rsid w:val="00E679FE"/>
    <w:rsid w:val="00E67F60"/>
    <w:rsid w:val="00E86D92"/>
    <w:rsid w:val="00E917B0"/>
    <w:rsid w:val="00E92A09"/>
    <w:rsid w:val="00E938E2"/>
    <w:rsid w:val="00E9715B"/>
    <w:rsid w:val="00EA2ED2"/>
    <w:rsid w:val="00EB2DC9"/>
    <w:rsid w:val="00EB4FF5"/>
    <w:rsid w:val="00EB5FB9"/>
    <w:rsid w:val="00EB7F4C"/>
    <w:rsid w:val="00EC417C"/>
    <w:rsid w:val="00EC6936"/>
    <w:rsid w:val="00ED0D35"/>
    <w:rsid w:val="00ED1FBA"/>
    <w:rsid w:val="00ED4096"/>
    <w:rsid w:val="00ED4574"/>
    <w:rsid w:val="00EE078A"/>
    <w:rsid w:val="00EE59A3"/>
    <w:rsid w:val="00EF1437"/>
    <w:rsid w:val="00EF23A3"/>
    <w:rsid w:val="00EF2925"/>
    <w:rsid w:val="00EF4359"/>
    <w:rsid w:val="00EF53B0"/>
    <w:rsid w:val="00EF7891"/>
    <w:rsid w:val="00F02B6B"/>
    <w:rsid w:val="00F0324E"/>
    <w:rsid w:val="00F04FC1"/>
    <w:rsid w:val="00F05FC8"/>
    <w:rsid w:val="00F07B1A"/>
    <w:rsid w:val="00F12F7F"/>
    <w:rsid w:val="00F15146"/>
    <w:rsid w:val="00F2661F"/>
    <w:rsid w:val="00F348E2"/>
    <w:rsid w:val="00F35F84"/>
    <w:rsid w:val="00F36BA3"/>
    <w:rsid w:val="00F42A22"/>
    <w:rsid w:val="00F44FD7"/>
    <w:rsid w:val="00F465D7"/>
    <w:rsid w:val="00F50398"/>
    <w:rsid w:val="00F5278D"/>
    <w:rsid w:val="00F56666"/>
    <w:rsid w:val="00F61DA7"/>
    <w:rsid w:val="00F62EDE"/>
    <w:rsid w:val="00F63922"/>
    <w:rsid w:val="00F65EA7"/>
    <w:rsid w:val="00F66042"/>
    <w:rsid w:val="00F714B4"/>
    <w:rsid w:val="00F74732"/>
    <w:rsid w:val="00F7570B"/>
    <w:rsid w:val="00F84781"/>
    <w:rsid w:val="00F84B72"/>
    <w:rsid w:val="00F87BD7"/>
    <w:rsid w:val="00F87CDD"/>
    <w:rsid w:val="00F9246A"/>
    <w:rsid w:val="00F9564B"/>
    <w:rsid w:val="00FA70A5"/>
    <w:rsid w:val="00FB0206"/>
    <w:rsid w:val="00FB0A8A"/>
    <w:rsid w:val="00FB1AD3"/>
    <w:rsid w:val="00FB3CA3"/>
    <w:rsid w:val="00FB76FF"/>
    <w:rsid w:val="00FC0D1E"/>
    <w:rsid w:val="00FC284A"/>
    <w:rsid w:val="00FC2B4F"/>
    <w:rsid w:val="00FC3E75"/>
    <w:rsid w:val="00FC5A82"/>
    <w:rsid w:val="00FC71D9"/>
    <w:rsid w:val="00FC763D"/>
    <w:rsid w:val="00FC7A43"/>
    <w:rsid w:val="00FD0943"/>
    <w:rsid w:val="00FD3A78"/>
    <w:rsid w:val="00FD61AE"/>
    <w:rsid w:val="00FE21FD"/>
    <w:rsid w:val="00FE242E"/>
    <w:rsid w:val="00FE4BC5"/>
    <w:rsid w:val="00FE7DB1"/>
    <w:rsid w:val="00FE7E0A"/>
    <w:rsid w:val="00FF109F"/>
    <w:rsid w:val="00FF157A"/>
    <w:rsid w:val="00FF3AE9"/>
    <w:rsid w:val="00FF3EC8"/>
    <w:rsid w:val="00FF581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61B"/>
    <w:pPr>
      <w:spacing w:after="120"/>
      <w:jc w:val="both"/>
    </w:pPr>
    <w:rPr>
      <w:rFonts w:ascii="Verdana" w:hAnsi="Verdana" w:cs="Times"/>
      <w:szCs w:val="24"/>
      <w:lang w:val="es-ES_tradnl" w:eastAsia="es-ES"/>
    </w:rPr>
  </w:style>
  <w:style w:type="paragraph" w:styleId="Heading1">
    <w:name w:val="heading 1"/>
    <w:basedOn w:val="Normal"/>
    <w:next w:val="Normal"/>
    <w:link w:val="Heading1Char"/>
    <w:uiPriority w:val="9"/>
    <w:qFormat/>
    <w:rsid w:val="00437D62"/>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59593A"/>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59593A"/>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reference,FA Fu,Footnote Text Char Char Char Char Char,Footnote Text Char Char Char Char,Footnote Text Char Char Char,Footnote Text Cha,FA Fußnotentext,FA Fuﬂnotentext,Footnote Text Char Char,FA Fu?notentext,Ca,Texto nota pie Car"/>
    <w:basedOn w:val="Normal"/>
    <w:link w:val="FootnoteTextChar"/>
    <w:autoRedefine/>
    <w:qFormat/>
    <w:rsid w:val="006D25C9"/>
    <w:pPr>
      <w:spacing w:after="200"/>
    </w:pPr>
    <w:rPr>
      <w:rFonts w:cs="Times New Roman"/>
      <w:sz w:val="16"/>
      <w:szCs w:val="20"/>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link w:val="FootnoteText"/>
    <w:rsid w:val="006D25C9"/>
    <w:rPr>
      <w:rFonts w:ascii="Verdana" w:hAnsi="Verdana"/>
      <w:sz w:val="16"/>
      <w:lang w:val="es-ES_tradnl" w:eastAsia="es-ES"/>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uiPriority w:val="99"/>
    <w:qFormat/>
    <w:rsid w:val="00DD161B"/>
    <w:rPr>
      <w:vertAlign w:val="superscript"/>
    </w:rPr>
  </w:style>
  <w:style w:type="paragraph" w:customStyle="1" w:styleId="Default">
    <w:name w:val="Default"/>
    <w:rsid w:val="00DD161B"/>
    <w:pPr>
      <w:autoSpaceDE w:val="0"/>
      <w:autoSpaceDN w:val="0"/>
      <w:adjustRightInd w:val="0"/>
    </w:pPr>
    <w:rPr>
      <w:rFonts w:ascii="Verdana" w:eastAsia="Times New Roman" w:hAnsi="Verdana" w:cs="Verdana"/>
      <w:color w:val="000000"/>
      <w:sz w:val="24"/>
      <w:szCs w:val="24"/>
      <w:lang w:val="en-US" w:eastAsia="en-US"/>
    </w:rPr>
  </w:style>
  <w:style w:type="paragraph" w:customStyle="1" w:styleId="ListParagraph1">
    <w:name w:val="List Paragraph1"/>
    <w:basedOn w:val="Normal"/>
    <w:rsid w:val="00DD161B"/>
    <w:pPr>
      <w:spacing w:after="0"/>
      <w:ind w:left="720"/>
      <w:jc w:val="left"/>
    </w:pPr>
    <w:rPr>
      <w:rFonts w:ascii="Times New Roman" w:hAnsi="Times New Roman" w:cs="Times New Roman"/>
      <w:sz w:val="24"/>
      <w:lang w:val="es-ES"/>
    </w:rPr>
  </w:style>
  <w:style w:type="paragraph" w:styleId="Header">
    <w:name w:val="header"/>
    <w:basedOn w:val="Normal"/>
    <w:link w:val="HeaderChar"/>
    <w:uiPriority w:val="99"/>
    <w:rsid w:val="00DD161B"/>
    <w:pPr>
      <w:tabs>
        <w:tab w:val="center" w:pos="4680"/>
        <w:tab w:val="right" w:pos="9360"/>
      </w:tabs>
    </w:pPr>
    <w:rPr>
      <w:rFonts w:cs="Times New Roman"/>
    </w:rPr>
  </w:style>
  <w:style w:type="character" w:customStyle="1" w:styleId="HeaderChar">
    <w:name w:val="Header Char"/>
    <w:link w:val="Header"/>
    <w:uiPriority w:val="99"/>
    <w:rsid w:val="00DD161B"/>
    <w:rPr>
      <w:rFonts w:ascii="Verdana" w:eastAsia="Calibri" w:hAnsi="Verdana" w:cs="Times"/>
      <w:sz w:val="20"/>
      <w:szCs w:val="24"/>
      <w:lang w:val="es-ES_tradnl" w:eastAsia="es-ES"/>
    </w:rPr>
  </w:style>
  <w:style w:type="paragraph" w:customStyle="1" w:styleId="ListParagraph2">
    <w:name w:val="List Paragraph2"/>
    <w:aliases w:val="Footnote"/>
    <w:basedOn w:val="Normal"/>
    <w:uiPriority w:val="34"/>
    <w:qFormat/>
    <w:rsid w:val="00DD161B"/>
    <w:pPr>
      <w:spacing w:after="0"/>
      <w:contextualSpacing/>
      <w:jc w:val="left"/>
    </w:pPr>
    <w:rPr>
      <w:rFonts w:ascii="Times New Roman" w:eastAsia="Times New Roman" w:hAnsi="Times New Roman" w:cs="Times New Roman"/>
      <w:sz w:val="16"/>
      <w:lang w:val="es-ES"/>
    </w:rPr>
  </w:style>
  <w:style w:type="paragraph" w:customStyle="1" w:styleId="Num">
    <w:name w:val="Num"/>
    <w:basedOn w:val="Normal"/>
    <w:link w:val="NumChar"/>
    <w:qFormat/>
    <w:rsid w:val="00DD161B"/>
    <w:pPr>
      <w:numPr>
        <w:numId w:val="3"/>
      </w:numPr>
      <w:spacing w:before="120"/>
      <w:ind w:right="14"/>
    </w:pPr>
    <w:rPr>
      <w:rFonts w:eastAsia="Times New Roman" w:cs="ArialMT"/>
      <w:szCs w:val="20"/>
      <w:lang w:eastAsia="x-none" w:bidi="en-US"/>
    </w:rPr>
  </w:style>
  <w:style w:type="character" w:customStyle="1" w:styleId="NumChar">
    <w:name w:val="Num Char"/>
    <w:link w:val="Num"/>
    <w:rsid w:val="00DD161B"/>
    <w:rPr>
      <w:rFonts w:ascii="Verdana" w:eastAsia="Times New Roman" w:hAnsi="Verdana" w:cs="ArialMT"/>
      <w:lang w:val="es-ES_tradnl" w:eastAsia="x-none" w:bidi="en-US"/>
    </w:rPr>
  </w:style>
  <w:style w:type="paragraph" w:customStyle="1" w:styleId="Listavistosa-nfasis11">
    <w:name w:val="Lista vistosa - Énfasis 11"/>
    <w:basedOn w:val="Normal"/>
    <w:uiPriority w:val="99"/>
    <w:qFormat/>
    <w:rsid w:val="00172868"/>
    <w:pPr>
      <w:numPr>
        <w:ilvl w:val="1"/>
        <w:numId w:val="8"/>
      </w:numPr>
      <w:contextualSpacing/>
    </w:pPr>
  </w:style>
  <w:style w:type="paragraph" w:styleId="PlainText">
    <w:name w:val="Plain Text"/>
    <w:basedOn w:val="Normal"/>
    <w:link w:val="PlainTextChar"/>
    <w:uiPriority w:val="99"/>
    <w:semiHidden/>
    <w:unhideWhenUsed/>
    <w:rsid w:val="00AA36D2"/>
    <w:pPr>
      <w:spacing w:after="0"/>
      <w:jc w:val="left"/>
    </w:pPr>
    <w:rPr>
      <w:rFonts w:ascii="Consolas" w:hAnsi="Consolas" w:cs="Times New Roman"/>
      <w:sz w:val="21"/>
      <w:szCs w:val="21"/>
      <w:lang w:val="es-CR" w:eastAsia="x-none"/>
    </w:rPr>
  </w:style>
  <w:style w:type="character" w:customStyle="1" w:styleId="PlainTextChar">
    <w:name w:val="Plain Text Char"/>
    <w:link w:val="PlainText"/>
    <w:uiPriority w:val="99"/>
    <w:semiHidden/>
    <w:rsid w:val="00AA36D2"/>
    <w:rPr>
      <w:rFonts w:ascii="Consolas" w:hAnsi="Consolas"/>
      <w:sz w:val="21"/>
      <w:szCs w:val="21"/>
      <w:lang w:val="es-CR"/>
    </w:rPr>
  </w:style>
  <w:style w:type="paragraph" w:styleId="BodyText2">
    <w:name w:val="Body Text 2"/>
    <w:basedOn w:val="Normal"/>
    <w:link w:val="BodyText2Char"/>
    <w:uiPriority w:val="99"/>
    <w:rsid w:val="006D41D6"/>
    <w:pPr>
      <w:tabs>
        <w:tab w:val="left" w:pos="720"/>
        <w:tab w:val="left" w:pos="1440"/>
        <w:tab w:val="left" w:pos="2160"/>
        <w:tab w:val="left" w:pos="2880"/>
        <w:tab w:val="left" w:pos="3600"/>
        <w:tab w:val="left" w:pos="4320"/>
        <w:tab w:val="left" w:pos="5060"/>
        <w:tab w:val="left" w:pos="5760"/>
        <w:tab w:val="left" w:pos="6480"/>
        <w:tab w:val="left" w:pos="7200"/>
        <w:tab w:val="left" w:pos="7920"/>
        <w:tab w:val="left" w:pos="8640"/>
        <w:tab w:val="left" w:pos="9360"/>
      </w:tabs>
      <w:spacing w:after="0"/>
    </w:pPr>
    <w:rPr>
      <w:rFonts w:ascii="Garamond" w:eastAsia="MS Mincho" w:hAnsi="Garamond" w:cs="Times New Roman"/>
      <w:sz w:val="24"/>
      <w:szCs w:val="20"/>
      <w:u w:val="single"/>
      <w:lang w:eastAsia="x-none"/>
    </w:rPr>
  </w:style>
  <w:style w:type="character" w:customStyle="1" w:styleId="BodyText2Char">
    <w:name w:val="Body Text 2 Char"/>
    <w:link w:val="BodyText2"/>
    <w:uiPriority w:val="99"/>
    <w:rsid w:val="006D41D6"/>
    <w:rPr>
      <w:rFonts w:ascii="Garamond" w:eastAsia="MS Mincho" w:hAnsi="Garamond" w:cs="Times New Roman"/>
      <w:sz w:val="24"/>
      <w:szCs w:val="20"/>
      <w:u w:val="single"/>
      <w:lang w:val="es-ES_tradnl"/>
    </w:rPr>
  </w:style>
  <w:style w:type="paragraph" w:customStyle="1" w:styleId="Prrafodelista1">
    <w:name w:val="Párrafo de lista1"/>
    <w:basedOn w:val="Normal"/>
    <w:uiPriority w:val="34"/>
    <w:qFormat/>
    <w:rsid w:val="00A2752F"/>
    <w:pPr>
      <w:spacing w:after="0"/>
      <w:ind w:left="720"/>
      <w:contextualSpacing/>
      <w:jc w:val="left"/>
    </w:pPr>
    <w:rPr>
      <w:rFonts w:ascii="Calibri" w:hAnsi="Calibri" w:cs="Times New Roman"/>
      <w:sz w:val="22"/>
      <w:szCs w:val="22"/>
      <w:lang w:val="es-CO" w:eastAsia="en-US"/>
    </w:rPr>
  </w:style>
  <w:style w:type="paragraph" w:styleId="Footer">
    <w:name w:val="footer"/>
    <w:basedOn w:val="Normal"/>
    <w:link w:val="FooterChar"/>
    <w:uiPriority w:val="99"/>
    <w:unhideWhenUsed/>
    <w:rsid w:val="00A97E70"/>
    <w:pPr>
      <w:tabs>
        <w:tab w:val="center" w:pos="4680"/>
        <w:tab w:val="right" w:pos="9360"/>
      </w:tabs>
      <w:spacing w:after="0"/>
    </w:pPr>
    <w:rPr>
      <w:rFonts w:cs="Times New Roman"/>
    </w:rPr>
  </w:style>
  <w:style w:type="character" w:customStyle="1" w:styleId="FooterChar">
    <w:name w:val="Footer Char"/>
    <w:link w:val="Footer"/>
    <w:uiPriority w:val="99"/>
    <w:rsid w:val="00A97E70"/>
    <w:rPr>
      <w:rFonts w:ascii="Verdana" w:eastAsia="Calibri" w:hAnsi="Verdana" w:cs="Times"/>
      <w:sz w:val="20"/>
      <w:szCs w:val="24"/>
      <w:lang w:val="es-ES_tradnl" w:eastAsia="es-ES"/>
    </w:rPr>
  </w:style>
  <w:style w:type="paragraph" w:styleId="BalloonText">
    <w:name w:val="Balloon Text"/>
    <w:basedOn w:val="Normal"/>
    <w:link w:val="BalloonTextChar"/>
    <w:uiPriority w:val="99"/>
    <w:semiHidden/>
    <w:unhideWhenUsed/>
    <w:rsid w:val="00A97E70"/>
    <w:pPr>
      <w:spacing w:after="0"/>
    </w:pPr>
    <w:rPr>
      <w:rFonts w:ascii="Tahoma" w:hAnsi="Tahoma" w:cs="Times New Roman"/>
      <w:sz w:val="16"/>
      <w:szCs w:val="16"/>
    </w:rPr>
  </w:style>
  <w:style w:type="character" w:customStyle="1" w:styleId="BalloonTextChar">
    <w:name w:val="Balloon Text Char"/>
    <w:link w:val="BalloonText"/>
    <w:uiPriority w:val="99"/>
    <w:semiHidden/>
    <w:rsid w:val="00A97E70"/>
    <w:rPr>
      <w:rFonts w:ascii="Tahoma" w:eastAsia="Calibri" w:hAnsi="Tahoma" w:cs="Tahoma"/>
      <w:sz w:val="16"/>
      <w:szCs w:val="16"/>
      <w:lang w:val="es-ES_tradnl" w:eastAsia="es-ES"/>
    </w:rPr>
  </w:style>
  <w:style w:type="character" w:customStyle="1" w:styleId="nfasissutil1">
    <w:name w:val="Énfasis sutil1"/>
    <w:uiPriority w:val="19"/>
    <w:qFormat/>
    <w:rsid w:val="00F04D36"/>
    <w:rPr>
      <w:rFonts w:ascii="Verdana" w:hAnsi="Verdana"/>
      <w:i/>
      <w:iCs/>
      <w:color w:val="808080"/>
      <w:sz w:val="20"/>
      <w:u w:val="single"/>
    </w:rPr>
  </w:style>
  <w:style w:type="paragraph" w:styleId="BodyTextIndent">
    <w:name w:val="Body Text Indent"/>
    <w:basedOn w:val="Normal"/>
    <w:link w:val="BodyTextIndentChar"/>
    <w:uiPriority w:val="99"/>
    <w:unhideWhenUsed/>
    <w:rsid w:val="00332081"/>
    <w:pPr>
      <w:ind w:left="283"/>
    </w:pPr>
    <w:rPr>
      <w:rFonts w:cs="Times New Roman"/>
    </w:rPr>
  </w:style>
  <w:style w:type="character" w:customStyle="1" w:styleId="BodyTextIndentChar">
    <w:name w:val="Body Text Indent Char"/>
    <w:link w:val="BodyTextIndent"/>
    <w:uiPriority w:val="99"/>
    <w:rsid w:val="00332081"/>
    <w:rPr>
      <w:rFonts w:ascii="Verdana" w:eastAsia="Calibri" w:hAnsi="Verdana" w:cs="Times"/>
      <w:sz w:val="20"/>
      <w:szCs w:val="24"/>
      <w:lang w:val="es-ES_tradnl" w:eastAsia="es-ES"/>
    </w:rPr>
  </w:style>
  <w:style w:type="character" w:customStyle="1" w:styleId="FootnoteTextChar1">
    <w:name w:val="Footnote Text Char1"/>
    <w:aliases w:val="FA Fu Char1,Footnote Text Char Char Char Char Char Char1,Footnote Text Char Char Char Char Char2,Footnote reference Char1,Footnote Text Char Char Char Char2,Texto nota pie Car Char1,FA Fu Car Char1,FA Fu Car Car Char1,Ca Char1"/>
    <w:uiPriority w:val="99"/>
    <w:locked/>
    <w:rsid w:val="008B4FBC"/>
    <w:rPr>
      <w:rFonts w:cs="Verdana"/>
      <w:sz w:val="16"/>
      <w:szCs w:val="16"/>
      <w:lang w:val="es-ES_tradnl" w:eastAsia="es-ES"/>
    </w:rPr>
  </w:style>
  <w:style w:type="character" w:styleId="Strong">
    <w:name w:val="Strong"/>
    <w:uiPriority w:val="22"/>
    <w:qFormat/>
    <w:rsid w:val="00BB33B5"/>
    <w:rPr>
      <w:b/>
      <w:bCs/>
    </w:rPr>
  </w:style>
  <w:style w:type="character" w:styleId="CommentReference">
    <w:name w:val="annotation reference"/>
    <w:uiPriority w:val="99"/>
    <w:semiHidden/>
    <w:unhideWhenUsed/>
    <w:rsid w:val="00E30AC9"/>
    <w:rPr>
      <w:sz w:val="16"/>
      <w:szCs w:val="16"/>
    </w:rPr>
  </w:style>
  <w:style w:type="paragraph" w:styleId="CommentText">
    <w:name w:val="annotation text"/>
    <w:basedOn w:val="Normal"/>
    <w:link w:val="CommentTextChar"/>
    <w:uiPriority w:val="99"/>
    <w:semiHidden/>
    <w:unhideWhenUsed/>
    <w:rsid w:val="00E30AC9"/>
    <w:rPr>
      <w:rFonts w:cs="Times New Roman"/>
      <w:szCs w:val="20"/>
    </w:rPr>
  </w:style>
  <w:style w:type="character" w:customStyle="1" w:styleId="CommentTextChar">
    <w:name w:val="Comment Text Char"/>
    <w:link w:val="CommentText"/>
    <w:uiPriority w:val="99"/>
    <w:semiHidden/>
    <w:rsid w:val="00E30AC9"/>
    <w:rPr>
      <w:rFonts w:ascii="Verdana" w:hAnsi="Verdana" w:cs="Times"/>
      <w:lang w:val="es-ES_tradnl" w:eastAsia="es-ES"/>
    </w:rPr>
  </w:style>
  <w:style w:type="paragraph" w:styleId="CommentSubject">
    <w:name w:val="annotation subject"/>
    <w:basedOn w:val="CommentText"/>
    <w:next w:val="CommentText"/>
    <w:link w:val="CommentSubjectChar"/>
    <w:uiPriority w:val="99"/>
    <w:unhideWhenUsed/>
    <w:rsid w:val="00E30AC9"/>
    <w:rPr>
      <w:b/>
      <w:bCs/>
    </w:rPr>
  </w:style>
  <w:style w:type="character" w:customStyle="1" w:styleId="CommentSubjectChar">
    <w:name w:val="Comment Subject Char"/>
    <w:link w:val="CommentSubject"/>
    <w:uiPriority w:val="99"/>
    <w:rsid w:val="00E30AC9"/>
    <w:rPr>
      <w:rFonts w:ascii="Verdana" w:hAnsi="Verdana" w:cs="Times"/>
      <w:b/>
      <w:bCs/>
      <w:lang w:val="es-ES_tradnl" w:eastAsia="es-ES"/>
    </w:rPr>
  </w:style>
  <w:style w:type="character" w:styleId="Emphasis">
    <w:name w:val="Emphasis"/>
    <w:uiPriority w:val="20"/>
    <w:qFormat/>
    <w:rsid w:val="0039098E"/>
    <w:rPr>
      <w:i/>
      <w:iCs/>
    </w:rPr>
  </w:style>
  <w:style w:type="character" w:customStyle="1" w:styleId="Heading3Char">
    <w:name w:val="Heading 3 Char"/>
    <w:link w:val="Heading3"/>
    <w:uiPriority w:val="9"/>
    <w:rsid w:val="0059593A"/>
    <w:rPr>
      <w:rFonts w:ascii="Cambria" w:eastAsia="Times New Roman" w:hAnsi="Cambria" w:cs="Times New Roman"/>
      <w:b/>
      <w:bCs/>
      <w:sz w:val="26"/>
      <w:szCs w:val="26"/>
      <w:lang w:val="es-ES_tradnl" w:eastAsia="es-ES"/>
    </w:rPr>
  </w:style>
  <w:style w:type="character" w:customStyle="1" w:styleId="Heading2Char">
    <w:name w:val="Heading 2 Char"/>
    <w:link w:val="Heading2"/>
    <w:uiPriority w:val="9"/>
    <w:rsid w:val="0059593A"/>
    <w:rPr>
      <w:rFonts w:ascii="Cambria" w:eastAsia="Times New Roman" w:hAnsi="Cambria" w:cs="Times New Roman"/>
      <w:b/>
      <w:bCs/>
      <w:i/>
      <w:iCs/>
      <w:sz w:val="28"/>
      <w:szCs w:val="28"/>
      <w:lang w:val="es-ES_tradnl" w:eastAsia="es-ES"/>
    </w:rPr>
  </w:style>
  <w:style w:type="paragraph" w:customStyle="1" w:styleId="Sombreadovistoso-nfasis11">
    <w:name w:val="Sombreado vistoso - Énfasis 11"/>
    <w:hidden/>
    <w:uiPriority w:val="99"/>
    <w:semiHidden/>
    <w:rsid w:val="00F14ACA"/>
    <w:rPr>
      <w:rFonts w:ascii="Verdana" w:hAnsi="Verdana" w:cs="Times"/>
      <w:szCs w:val="24"/>
      <w:lang w:val="es-ES_tradnl" w:eastAsia="es-ES"/>
    </w:rPr>
  </w:style>
  <w:style w:type="paragraph" w:styleId="BodyTextIndent2">
    <w:name w:val="Body Text Indent 2"/>
    <w:basedOn w:val="Normal"/>
    <w:link w:val="BodyTextIndent2Char"/>
    <w:uiPriority w:val="99"/>
    <w:unhideWhenUsed/>
    <w:rsid w:val="00D404F5"/>
    <w:pPr>
      <w:autoSpaceDE w:val="0"/>
      <w:autoSpaceDN w:val="0"/>
      <w:adjustRightInd w:val="0"/>
      <w:spacing w:after="0"/>
      <w:ind w:left="709"/>
    </w:pPr>
    <w:rPr>
      <w:rFonts w:cs="Times New Roman"/>
      <w:b/>
      <w:bCs/>
      <w:iCs/>
      <w:szCs w:val="20"/>
      <w:lang w:val="es-CR" w:eastAsia="x-none"/>
    </w:rPr>
  </w:style>
  <w:style w:type="character" w:customStyle="1" w:styleId="BodyTextIndent2Char">
    <w:name w:val="Body Text Indent 2 Char"/>
    <w:link w:val="BodyTextIndent2"/>
    <w:uiPriority w:val="99"/>
    <w:rsid w:val="00D404F5"/>
    <w:rPr>
      <w:rFonts w:ascii="Verdana" w:hAnsi="Verdana" w:cs="Times"/>
      <w:b/>
      <w:bCs/>
      <w:iCs/>
      <w:lang w:val="es-CR"/>
    </w:rPr>
  </w:style>
  <w:style w:type="character" w:customStyle="1" w:styleId="Heading1Char">
    <w:name w:val="Heading 1 Char"/>
    <w:link w:val="Heading1"/>
    <w:uiPriority w:val="9"/>
    <w:rsid w:val="00437D62"/>
    <w:rPr>
      <w:rFonts w:ascii="Cambria" w:eastAsia="Times New Roman" w:hAnsi="Cambria" w:cs="Times New Roman"/>
      <w:b/>
      <w:bCs/>
      <w:kern w:val="32"/>
      <w:sz w:val="32"/>
      <w:szCs w:val="32"/>
      <w:lang w:val="es-ES_tradnl"/>
    </w:rPr>
  </w:style>
  <w:style w:type="paragraph" w:styleId="ListParagraph">
    <w:name w:val="List Paragraph"/>
    <w:basedOn w:val="Normal"/>
    <w:link w:val="ListParagraphChar"/>
    <w:uiPriority w:val="99"/>
    <w:qFormat/>
    <w:rsid w:val="00437D62"/>
    <w:pPr>
      <w:ind w:left="708"/>
    </w:pPr>
  </w:style>
  <w:style w:type="paragraph" w:styleId="HTMLPreformatted">
    <w:name w:val="HTML Preformatted"/>
    <w:basedOn w:val="Normal"/>
    <w:link w:val="HTMLPreformattedChar"/>
    <w:uiPriority w:val="99"/>
    <w:semiHidden/>
    <w:unhideWhenUsed/>
    <w:rsid w:val="00290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Cs w:val="20"/>
      <w:lang w:val="es-CR" w:eastAsia="es-CR"/>
    </w:rPr>
  </w:style>
  <w:style w:type="character" w:customStyle="1" w:styleId="HTMLPreformattedChar">
    <w:name w:val="HTML Preformatted Char"/>
    <w:basedOn w:val="DefaultParagraphFont"/>
    <w:link w:val="HTMLPreformatted"/>
    <w:uiPriority w:val="99"/>
    <w:semiHidden/>
    <w:rsid w:val="0029012B"/>
    <w:rPr>
      <w:rFonts w:ascii="Courier New" w:eastAsia="Times New Roman" w:hAnsi="Courier New" w:cs="Courier New"/>
    </w:rPr>
  </w:style>
  <w:style w:type="paragraph" w:styleId="BodyText">
    <w:name w:val="Body Text"/>
    <w:basedOn w:val="Normal"/>
    <w:link w:val="BodyTextChar"/>
    <w:uiPriority w:val="99"/>
    <w:unhideWhenUsed/>
    <w:rsid w:val="00081154"/>
    <w:pPr>
      <w:tabs>
        <w:tab w:val="left" w:pos="720"/>
      </w:tabs>
      <w:autoSpaceDE w:val="0"/>
      <w:autoSpaceDN w:val="0"/>
      <w:adjustRightInd w:val="0"/>
      <w:spacing w:after="0"/>
    </w:pPr>
    <w:rPr>
      <w:b/>
      <w:szCs w:val="20"/>
      <w:lang w:val="es-CR"/>
    </w:rPr>
  </w:style>
  <w:style w:type="character" w:customStyle="1" w:styleId="BodyTextChar">
    <w:name w:val="Body Text Char"/>
    <w:basedOn w:val="DefaultParagraphFont"/>
    <w:link w:val="BodyText"/>
    <w:uiPriority w:val="99"/>
    <w:rsid w:val="00081154"/>
    <w:rPr>
      <w:rFonts w:ascii="Verdana" w:hAnsi="Verdana" w:cs="Times"/>
      <w:b/>
      <w:lang w:eastAsia="es-ES"/>
    </w:rPr>
  </w:style>
  <w:style w:type="paragraph" w:styleId="EndnoteText">
    <w:name w:val="endnote text"/>
    <w:basedOn w:val="Normal"/>
    <w:link w:val="EndnoteTextChar"/>
    <w:uiPriority w:val="99"/>
    <w:semiHidden/>
    <w:unhideWhenUsed/>
    <w:rsid w:val="00ED4096"/>
    <w:pPr>
      <w:spacing w:after="0"/>
    </w:pPr>
    <w:rPr>
      <w:szCs w:val="20"/>
    </w:rPr>
  </w:style>
  <w:style w:type="character" w:customStyle="1" w:styleId="EndnoteTextChar">
    <w:name w:val="Endnote Text Char"/>
    <w:basedOn w:val="DefaultParagraphFont"/>
    <w:link w:val="EndnoteText"/>
    <w:uiPriority w:val="99"/>
    <w:semiHidden/>
    <w:rsid w:val="00ED4096"/>
    <w:rPr>
      <w:rFonts w:ascii="Verdana" w:hAnsi="Verdana" w:cs="Times"/>
      <w:lang w:val="es-ES_tradnl" w:eastAsia="es-ES"/>
    </w:rPr>
  </w:style>
  <w:style w:type="character" w:styleId="EndnoteReference">
    <w:name w:val="endnote reference"/>
    <w:basedOn w:val="DefaultParagraphFont"/>
    <w:uiPriority w:val="99"/>
    <w:semiHidden/>
    <w:unhideWhenUsed/>
    <w:rsid w:val="00ED4096"/>
    <w:rPr>
      <w:vertAlign w:val="superscript"/>
    </w:rPr>
  </w:style>
  <w:style w:type="paragraph" w:styleId="Revision">
    <w:name w:val="Revision"/>
    <w:hidden/>
    <w:uiPriority w:val="99"/>
    <w:semiHidden/>
    <w:rsid w:val="00DB7ACB"/>
    <w:rPr>
      <w:rFonts w:ascii="Verdana" w:hAnsi="Verdana" w:cs="Times"/>
      <w:szCs w:val="24"/>
      <w:lang w:val="es-ES_tradnl" w:eastAsia="es-ES"/>
    </w:rPr>
  </w:style>
  <w:style w:type="character" w:customStyle="1" w:styleId="st1">
    <w:name w:val="st1"/>
    <w:rsid w:val="00486710"/>
  </w:style>
  <w:style w:type="character" w:customStyle="1" w:styleId="ListParagraphChar">
    <w:name w:val="List Paragraph Char"/>
    <w:link w:val="ListParagraph"/>
    <w:uiPriority w:val="99"/>
    <w:locked/>
    <w:rsid w:val="00486710"/>
    <w:rPr>
      <w:rFonts w:ascii="Verdana" w:hAnsi="Verdana" w:cs="Times"/>
      <w:szCs w:val="24"/>
      <w:lang w:val="es-ES_tradnl" w:eastAsia="es-ES"/>
    </w:rPr>
  </w:style>
  <w:style w:type="character" w:styleId="Hyperlink">
    <w:name w:val="Hyperlink"/>
    <w:basedOn w:val="DefaultParagraphFont"/>
    <w:uiPriority w:val="99"/>
    <w:unhideWhenUsed/>
    <w:rsid w:val="007A1A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61B"/>
    <w:pPr>
      <w:spacing w:after="120"/>
      <w:jc w:val="both"/>
    </w:pPr>
    <w:rPr>
      <w:rFonts w:ascii="Verdana" w:hAnsi="Verdana" w:cs="Times"/>
      <w:szCs w:val="24"/>
      <w:lang w:val="es-ES_tradnl" w:eastAsia="es-ES"/>
    </w:rPr>
  </w:style>
  <w:style w:type="paragraph" w:styleId="Heading1">
    <w:name w:val="heading 1"/>
    <w:basedOn w:val="Normal"/>
    <w:next w:val="Normal"/>
    <w:link w:val="Heading1Char"/>
    <w:uiPriority w:val="9"/>
    <w:qFormat/>
    <w:rsid w:val="00437D62"/>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59593A"/>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59593A"/>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reference,FA Fu,Footnote Text Char Char Char Char Char,Footnote Text Char Char Char Char,Footnote Text Char Char Char,Footnote Text Cha,FA Fußnotentext,FA Fuﬂnotentext,Footnote Text Char Char,FA Fu?notentext,Ca,Texto nota pie Car"/>
    <w:basedOn w:val="Normal"/>
    <w:link w:val="FootnoteTextChar"/>
    <w:autoRedefine/>
    <w:qFormat/>
    <w:rsid w:val="006D25C9"/>
    <w:pPr>
      <w:spacing w:after="200"/>
    </w:pPr>
    <w:rPr>
      <w:rFonts w:cs="Times New Roman"/>
      <w:sz w:val="16"/>
      <w:szCs w:val="20"/>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link w:val="FootnoteText"/>
    <w:rsid w:val="006D25C9"/>
    <w:rPr>
      <w:rFonts w:ascii="Verdana" w:hAnsi="Verdana"/>
      <w:sz w:val="16"/>
      <w:lang w:val="es-ES_tradnl" w:eastAsia="es-ES"/>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uiPriority w:val="99"/>
    <w:qFormat/>
    <w:rsid w:val="00DD161B"/>
    <w:rPr>
      <w:vertAlign w:val="superscript"/>
    </w:rPr>
  </w:style>
  <w:style w:type="paragraph" w:customStyle="1" w:styleId="Default">
    <w:name w:val="Default"/>
    <w:rsid w:val="00DD161B"/>
    <w:pPr>
      <w:autoSpaceDE w:val="0"/>
      <w:autoSpaceDN w:val="0"/>
      <w:adjustRightInd w:val="0"/>
    </w:pPr>
    <w:rPr>
      <w:rFonts w:ascii="Verdana" w:eastAsia="Times New Roman" w:hAnsi="Verdana" w:cs="Verdana"/>
      <w:color w:val="000000"/>
      <w:sz w:val="24"/>
      <w:szCs w:val="24"/>
      <w:lang w:val="en-US" w:eastAsia="en-US"/>
    </w:rPr>
  </w:style>
  <w:style w:type="paragraph" w:customStyle="1" w:styleId="ListParagraph1">
    <w:name w:val="List Paragraph1"/>
    <w:basedOn w:val="Normal"/>
    <w:rsid w:val="00DD161B"/>
    <w:pPr>
      <w:spacing w:after="0"/>
      <w:ind w:left="720"/>
      <w:jc w:val="left"/>
    </w:pPr>
    <w:rPr>
      <w:rFonts w:ascii="Times New Roman" w:hAnsi="Times New Roman" w:cs="Times New Roman"/>
      <w:sz w:val="24"/>
      <w:lang w:val="es-ES"/>
    </w:rPr>
  </w:style>
  <w:style w:type="paragraph" w:styleId="Header">
    <w:name w:val="header"/>
    <w:basedOn w:val="Normal"/>
    <w:link w:val="HeaderChar"/>
    <w:uiPriority w:val="99"/>
    <w:rsid w:val="00DD161B"/>
    <w:pPr>
      <w:tabs>
        <w:tab w:val="center" w:pos="4680"/>
        <w:tab w:val="right" w:pos="9360"/>
      </w:tabs>
    </w:pPr>
    <w:rPr>
      <w:rFonts w:cs="Times New Roman"/>
    </w:rPr>
  </w:style>
  <w:style w:type="character" w:customStyle="1" w:styleId="HeaderChar">
    <w:name w:val="Header Char"/>
    <w:link w:val="Header"/>
    <w:uiPriority w:val="99"/>
    <w:rsid w:val="00DD161B"/>
    <w:rPr>
      <w:rFonts w:ascii="Verdana" w:eastAsia="Calibri" w:hAnsi="Verdana" w:cs="Times"/>
      <w:sz w:val="20"/>
      <w:szCs w:val="24"/>
      <w:lang w:val="es-ES_tradnl" w:eastAsia="es-ES"/>
    </w:rPr>
  </w:style>
  <w:style w:type="paragraph" w:customStyle="1" w:styleId="ListParagraph2">
    <w:name w:val="List Paragraph2"/>
    <w:aliases w:val="Footnote"/>
    <w:basedOn w:val="Normal"/>
    <w:uiPriority w:val="34"/>
    <w:qFormat/>
    <w:rsid w:val="00DD161B"/>
    <w:pPr>
      <w:spacing w:after="0"/>
      <w:contextualSpacing/>
      <w:jc w:val="left"/>
    </w:pPr>
    <w:rPr>
      <w:rFonts w:ascii="Times New Roman" w:eastAsia="Times New Roman" w:hAnsi="Times New Roman" w:cs="Times New Roman"/>
      <w:sz w:val="16"/>
      <w:lang w:val="es-ES"/>
    </w:rPr>
  </w:style>
  <w:style w:type="paragraph" w:customStyle="1" w:styleId="Num">
    <w:name w:val="Num"/>
    <w:basedOn w:val="Normal"/>
    <w:link w:val="NumChar"/>
    <w:qFormat/>
    <w:rsid w:val="00DD161B"/>
    <w:pPr>
      <w:numPr>
        <w:numId w:val="3"/>
      </w:numPr>
      <w:spacing w:before="120"/>
      <w:ind w:right="14"/>
    </w:pPr>
    <w:rPr>
      <w:rFonts w:eastAsia="Times New Roman" w:cs="ArialMT"/>
      <w:szCs w:val="20"/>
      <w:lang w:eastAsia="x-none" w:bidi="en-US"/>
    </w:rPr>
  </w:style>
  <w:style w:type="character" w:customStyle="1" w:styleId="NumChar">
    <w:name w:val="Num Char"/>
    <w:link w:val="Num"/>
    <w:rsid w:val="00DD161B"/>
    <w:rPr>
      <w:rFonts w:ascii="Verdana" w:eastAsia="Times New Roman" w:hAnsi="Verdana" w:cs="ArialMT"/>
      <w:lang w:val="es-ES_tradnl" w:eastAsia="x-none" w:bidi="en-US"/>
    </w:rPr>
  </w:style>
  <w:style w:type="paragraph" w:customStyle="1" w:styleId="Listavistosa-nfasis11">
    <w:name w:val="Lista vistosa - Énfasis 11"/>
    <w:basedOn w:val="Normal"/>
    <w:uiPriority w:val="99"/>
    <w:qFormat/>
    <w:rsid w:val="00172868"/>
    <w:pPr>
      <w:numPr>
        <w:ilvl w:val="1"/>
        <w:numId w:val="8"/>
      </w:numPr>
      <w:contextualSpacing/>
    </w:pPr>
  </w:style>
  <w:style w:type="paragraph" w:styleId="PlainText">
    <w:name w:val="Plain Text"/>
    <w:basedOn w:val="Normal"/>
    <w:link w:val="PlainTextChar"/>
    <w:uiPriority w:val="99"/>
    <w:semiHidden/>
    <w:unhideWhenUsed/>
    <w:rsid w:val="00AA36D2"/>
    <w:pPr>
      <w:spacing w:after="0"/>
      <w:jc w:val="left"/>
    </w:pPr>
    <w:rPr>
      <w:rFonts w:ascii="Consolas" w:hAnsi="Consolas" w:cs="Times New Roman"/>
      <w:sz w:val="21"/>
      <w:szCs w:val="21"/>
      <w:lang w:val="es-CR" w:eastAsia="x-none"/>
    </w:rPr>
  </w:style>
  <w:style w:type="character" w:customStyle="1" w:styleId="PlainTextChar">
    <w:name w:val="Plain Text Char"/>
    <w:link w:val="PlainText"/>
    <w:uiPriority w:val="99"/>
    <w:semiHidden/>
    <w:rsid w:val="00AA36D2"/>
    <w:rPr>
      <w:rFonts w:ascii="Consolas" w:hAnsi="Consolas"/>
      <w:sz w:val="21"/>
      <w:szCs w:val="21"/>
      <w:lang w:val="es-CR"/>
    </w:rPr>
  </w:style>
  <w:style w:type="paragraph" w:styleId="BodyText2">
    <w:name w:val="Body Text 2"/>
    <w:basedOn w:val="Normal"/>
    <w:link w:val="BodyText2Char"/>
    <w:uiPriority w:val="99"/>
    <w:rsid w:val="006D41D6"/>
    <w:pPr>
      <w:tabs>
        <w:tab w:val="left" w:pos="720"/>
        <w:tab w:val="left" w:pos="1440"/>
        <w:tab w:val="left" w:pos="2160"/>
        <w:tab w:val="left" w:pos="2880"/>
        <w:tab w:val="left" w:pos="3600"/>
        <w:tab w:val="left" w:pos="4320"/>
        <w:tab w:val="left" w:pos="5060"/>
        <w:tab w:val="left" w:pos="5760"/>
        <w:tab w:val="left" w:pos="6480"/>
        <w:tab w:val="left" w:pos="7200"/>
        <w:tab w:val="left" w:pos="7920"/>
        <w:tab w:val="left" w:pos="8640"/>
        <w:tab w:val="left" w:pos="9360"/>
      </w:tabs>
      <w:spacing w:after="0"/>
    </w:pPr>
    <w:rPr>
      <w:rFonts w:ascii="Garamond" w:eastAsia="MS Mincho" w:hAnsi="Garamond" w:cs="Times New Roman"/>
      <w:sz w:val="24"/>
      <w:szCs w:val="20"/>
      <w:u w:val="single"/>
      <w:lang w:eastAsia="x-none"/>
    </w:rPr>
  </w:style>
  <w:style w:type="character" w:customStyle="1" w:styleId="BodyText2Char">
    <w:name w:val="Body Text 2 Char"/>
    <w:link w:val="BodyText2"/>
    <w:uiPriority w:val="99"/>
    <w:rsid w:val="006D41D6"/>
    <w:rPr>
      <w:rFonts w:ascii="Garamond" w:eastAsia="MS Mincho" w:hAnsi="Garamond" w:cs="Times New Roman"/>
      <w:sz w:val="24"/>
      <w:szCs w:val="20"/>
      <w:u w:val="single"/>
      <w:lang w:val="es-ES_tradnl"/>
    </w:rPr>
  </w:style>
  <w:style w:type="paragraph" w:customStyle="1" w:styleId="Prrafodelista1">
    <w:name w:val="Párrafo de lista1"/>
    <w:basedOn w:val="Normal"/>
    <w:uiPriority w:val="34"/>
    <w:qFormat/>
    <w:rsid w:val="00A2752F"/>
    <w:pPr>
      <w:spacing w:after="0"/>
      <w:ind w:left="720"/>
      <w:contextualSpacing/>
      <w:jc w:val="left"/>
    </w:pPr>
    <w:rPr>
      <w:rFonts w:ascii="Calibri" w:hAnsi="Calibri" w:cs="Times New Roman"/>
      <w:sz w:val="22"/>
      <w:szCs w:val="22"/>
      <w:lang w:val="es-CO" w:eastAsia="en-US"/>
    </w:rPr>
  </w:style>
  <w:style w:type="paragraph" w:styleId="Footer">
    <w:name w:val="footer"/>
    <w:basedOn w:val="Normal"/>
    <w:link w:val="FooterChar"/>
    <w:uiPriority w:val="99"/>
    <w:unhideWhenUsed/>
    <w:rsid w:val="00A97E70"/>
    <w:pPr>
      <w:tabs>
        <w:tab w:val="center" w:pos="4680"/>
        <w:tab w:val="right" w:pos="9360"/>
      </w:tabs>
      <w:spacing w:after="0"/>
    </w:pPr>
    <w:rPr>
      <w:rFonts w:cs="Times New Roman"/>
    </w:rPr>
  </w:style>
  <w:style w:type="character" w:customStyle="1" w:styleId="FooterChar">
    <w:name w:val="Footer Char"/>
    <w:link w:val="Footer"/>
    <w:uiPriority w:val="99"/>
    <w:rsid w:val="00A97E70"/>
    <w:rPr>
      <w:rFonts w:ascii="Verdana" w:eastAsia="Calibri" w:hAnsi="Verdana" w:cs="Times"/>
      <w:sz w:val="20"/>
      <w:szCs w:val="24"/>
      <w:lang w:val="es-ES_tradnl" w:eastAsia="es-ES"/>
    </w:rPr>
  </w:style>
  <w:style w:type="paragraph" w:styleId="BalloonText">
    <w:name w:val="Balloon Text"/>
    <w:basedOn w:val="Normal"/>
    <w:link w:val="BalloonTextChar"/>
    <w:uiPriority w:val="99"/>
    <w:semiHidden/>
    <w:unhideWhenUsed/>
    <w:rsid w:val="00A97E70"/>
    <w:pPr>
      <w:spacing w:after="0"/>
    </w:pPr>
    <w:rPr>
      <w:rFonts w:ascii="Tahoma" w:hAnsi="Tahoma" w:cs="Times New Roman"/>
      <w:sz w:val="16"/>
      <w:szCs w:val="16"/>
    </w:rPr>
  </w:style>
  <w:style w:type="character" w:customStyle="1" w:styleId="BalloonTextChar">
    <w:name w:val="Balloon Text Char"/>
    <w:link w:val="BalloonText"/>
    <w:uiPriority w:val="99"/>
    <w:semiHidden/>
    <w:rsid w:val="00A97E70"/>
    <w:rPr>
      <w:rFonts w:ascii="Tahoma" w:eastAsia="Calibri" w:hAnsi="Tahoma" w:cs="Tahoma"/>
      <w:sz w:val="16"/>
      <w:szCs w:val="16"/>
      <w:lang w:val="es-ES_tradnl" w:eastAsia="es-ES"/>
    </w:rPr>
  </w:style>
  <w:style w:type="character" w:customStyle="1" w:styleId="nfasissutil1">
    <w:name w:val="Énfasis sutil1"/>
    <w:uiPriority w:val="19"/>
    <w:qFormat/>
    <w:rsid w:val="00F04D36"/>
    <w:rPr>
      <w:rFonts w:ascii="Verdana" w:hAnsi="Verdana"/>
      <w:i/>
      <w:iCs/>
      <w:color w:val="808080"/>
      <w:sz w:val="20"/>
      <w:u w:val="single"/>
    </w:rPr>
  </w:style>
  <w:style w:type="paragraph" w:styleId="BodyTextIndent">
    <w:name w:val="Body Text Indent"/>
    <w:basedOn w:val="Normal"/>
    <w:link w:val="BodyTextIndentChar"/>
    <w:uiPriority w:val="99"/>
    <w:unhideWhenUsed/>
    <w:rsid w:val="00332081"/>
    <w:pPr>
      <w:ind w:left="283"/>
    </w:pPr>
    <w:rPr>
      <w:rFonts w:cs="Times New Roman"/>
    </w:rPr>
  </w:style>
  <w:style w:type="character" w:customStyle="1" w:styleId="BodyTextIndentChar">
    <w:name w:val="Body Text Indent Char"/>
    <w:link w:val="BodyTextIndent"/>
    <w:uiPriority w:val="99"/>
    <w:rsid w:val="00332081"/>
    <w:rPr>
      <w:rFonts w:ascii="Verdana" w:eastAsia="Calibri" w:hAnsi="Verdana" w:cs="Times"/>
      <w:sz w:val="20"/>
      <w:szCs w:val="24"/>
      <w:lang w:val="es-ES_tradnl" w:eastAsia="es-ES"/>
    </w:rPr>
  </w:style>
  <w:style w:type="character" w:customStyle="1" w:styleId="FootnoteTextChar1">
    <w:name w:val="Footnote Text Char1"/>
    <w:aliases w:val="FA Fu Char1,Footnote Text Char Char Char Char Char Char1,Footnote Text Char Char Char Char Char2,Footnote reference Char1,Footnote Text Char Char Char Char2,Texto nota pie Car Char1,FA Fu Car Char1,FA Fu Car Car Char1,Ca Char1"/>
    <w:uiPriority w:val="99"/>
    <w:locked/>
    <w:rsid w:val="008B4FBC"/>
    <w:rPr>
      <w:rFonts w:cs="Verdana"/>
      <w:sz w:val="16"/>
      <w:szCs w:val="16"/>
      <w:lang w:val="es-ES_tradnl" w:eastAsia="es-ES"/>
    </w:rPr>
  </w:style>
  <w:style w:type="character" w:styleId="Strong">
    <w:name w:val="Strong"/>
    <w:uiPriority w:val="22"/>
    <w:qFormat/>
    <w:rsid w:val="00BB33B5"/>
    <w:rPr>
      <w:b/>
      <w:bCs/>
    </w:rPr>
  </w:style>
  <w:style w:type="character" w:styleId="CommentReference">
    <w:name w:val="annotation reference"/>
    <w:uiPriority w:val="99"/>
    <w:semiHidden/>
    <w:unhideWhenUsed/>
    <w:rsid w:val="00E30AC9"/>
    <w:rPr>
      <w:sz w:val="16"/>
      <w:szCs w:val="16"/>
    </w:rPr>
  </w:style>
  <w:style w:type="paragraph" w:styleId="CommentText">
    <w:name w:val="annotation text"/>
    <w:basedOn w:val="Normal"/>
    <w:link w:val="CommentTextChar"/>
    <w:uiPriority w:val="99"/>
    <w:semiHidden/>
    <w:unhideWhenUsed/>
    <w:rsid w:val="00E30AC9"/>
    <w:rPr>
      <w:rFonts w:cs="Times New Roman"/>
      <w:szCs w:val="20"/>
    </w:rPr>
  </w:style>
  <w:style w:type="character" w:customStyle="1" w:styleId="CommentTextChar">
    <w:name w:val="Comment Text Char"/>
    <w:link w:val="CommentText"/>
    <w:uiPriority w:val="99"/>
    <w:semiHidden/>
    <w:rsid w:val="00E30AC9"/>
    <w:rPr>
      <w:rFonts w:ascii="Verdana" w:hAnsi="Verdana" w:cs="Times"/>
      <w:lang w:val="es-ES_tradnl" w:eastAsia="es-ES"/>
    </w:rPr>
  </w:style>
  <w:style w:type="paragraph" w:styleId="CommentSubject">
    <w:name w:val="annotation subject"/>
    <w:basedOn w:val="CommentText"/>
    <w:next w:val="CommentText"/>
    <w:link w:val="CommentSubjectChar"/>
    <w:uiPriority w:val="99"/>
    <w:unhideWhenUsed/>
    <w:rsid w:val="00E30AC9"/>
    <w:rPr>
      <w:b/>
      <w:bCs/>
    </w:rPr>
  </w:style>
  <w:style w:type="character" w:customStyle="1" w:styleId="CommentSubjectChar">
    <w:name w:val="Comment Subject Char"/>
    <w:link w:val="CommentSubject"/>
    <w:uiPriority w:val="99"/>
    <w:rsid w:val="00E30AC9"/>
    <w:rPr>
      <w:rFonts w:ascii="Verdana" w:hAnsi="Verdana" w:cs="Times"/>
      <w:b/>
      <w:bCs/>
      <w:lang w:val="es-ES_tradnl" w:eastAsia="es-ES"/>
    </w:rPr>
  </w:style>
  <w:style w:type="character" w:styleId="Emphasis">
    <w:name w:val="Emphasis"/>
    <w:uiPriority w:val="20"/>
    <w:qFormat/>
    <w:rsid w:val="0039098E"/>
    <w:rPr>
      <w:i/>
      <w:iCs/>
    </w:rPr>
  </w:style>
  <w:style w:type="character" w:customStyle="1" w:styleId="Heading3Char">
    <w:name w:val="Heading 3 Char"/>
    <w:link w:val="Heading3"/>
    <w:uiPriority w:val="9"/>
    <w:rsid w:val="0059593A"/>
    <w:rPr>
      <w:rFonts w:ascii="Cambria" w:eastAsia="Times New Roman" w:hAnsi="Cambria" w:cs="Times New Roman"/>
      <w:b/>
      <w:bCs/>
      <w:sz w:val="26"/>
      <w:szCs w:val="26"/>
      <w:lang w:val="es-ES_tradnl" w:eastAsia="es-ES"/>
    </w:rPr>
  </w:style>
  <w:style w:type="character" w:customStyle="1" w:styleId="Heading2Char">
    <w:name w:val="Heading 2 Char"/>
    <w:link w:val="Heading2"/>
    <w:uiPriority w:val="9"/>
    <w:rsid w:val="0059593A"/>
    <w:rPr>
      <w:rFonts w:ascii="Cambria" w:eastAsia="Times New Roman" w:hAnsi="Cambria" w:cs="Times New Roman"/>
      <w:b/>
      <w:bCs/>
      <w:i/>
      <w:iCs/>
      <w:sz w:val="28"/>
      <w:szCs w:val="28"/>
      <w:lang w:val="es-ES_tradnl" w:eastAsia="es-ES"/>
    </w:rPr>
  </w:style>
  <w:style w:type="paragraph" w:customStyle="1" w:styleId="Sombreadovistoso-nfasis11">
    <w:name w:val="Sombreado vistoso - Énfasis 11"/>
    <w:hidden/>
    <w:uiPriority w:val="99"/>
    <w:semiHidden/>
    <w:rsid w:val="00F14ACA"/>
    <w:rPr>
      <w:rFonts w:ascii="Verdana" w:hAnsi="Verdana" w:cs="Times"/>
      <w:szCs w:val="24"/>
      <w:lang w:val="es-ES_tradnl" w:eastAsia="es-ES"/>
    </w:rPr>
  </w:style>
  <w:style w:type="paragraph" w:styleId="BodyTextIndent2">
    <w:name w:val="Body Text Indent 2"/>
    <w:basedOn w:val="Normal"/>
    <w:link w:val="BodyTextIndent2Char"/>
    <w:uiPriority w:val="99"/>
    <w:unhideWhenUsed/>
    <w:rsid w:val="00D404F5"/>
    <w:pPr>
      <w:autoSpaceDE w:val="0"/>
      <w:autoSpaceDN w:val="0"/>
      <w:adjustRightInd w:val="0"/>
      <w:spacing w:after="0"/>
      <w:ind w:left="709"/>
    </w:pPr>
    <w:rPr>
      <w:rFonts w:cs="Times New Roman"/>
      <w:b/>
      <w:bCs/>
      <w:iCs/>
      <w:szCs w:val="20"/>
      <w:lang w:val="es-CR" w:eastAsia="x-none"/>
    </w:rPr>
  </w:style>
  <w:style w:type="character" w:customStyle="1" w:styleId="BodyTextIndent2Char">
    <w:name w:val="Body Text Indent 2 Char"/>
    <w:link w:val="BodyTextIndent2"/>
    <w:uiPriority w:val="99"/>
    <w:rsid w:val="00D404F5"/>
    <w:rPr>
      <w:rFonts w:ascii="Verdana" w:hAnsi="Verdana" w:cs="Times"/>
      <w:b/>
      <w:bCs/>
      <w:iCs/>
      <w:lang w:val="es-CR"/>
    </w:rPr>
  </w:style>
  <w:style w:type="character" w:customStyle="1" w:styleId="Heading1Char">
    <w:name w:val="Heading 1 Char"/>
    <w:link w:val="Heading1"/>
    <w:uiPriority w:val="9"/>
    <w:rsid w:val="00437D62"/>
    <w:rPr>
      <w:rFonts w:ascii="Cambria" w:eastAsia="Times New Roman" w:hAnsi="Cambria" w:cs="Times New Roman"/>
      <w:b/>
      <w:bCs/>
      <w:kern w:val="32"/>
      <w:sz w:val="32"/>
      <w:szCs w:val="32"/>
      <w:lang w:val="es-ES_tradnl"/>
    </w:rPr>
  </w:style>
  <w:style w:type="paragraph" w:styleId="ListParagraph">
    <w:name w:val="List Paragraph"/>
    <w:basedOn w:val="Normal"/>
    <w:link w:val="ListParagraphChar"/>
    <w:uiPriority w:val="99"/>
    <w:qFormat/>
    <w:rsid w:val="00437D62"/>
    <w:pPr>
      <w:ind w:left="708"/>
    </w:pPr>
  </w:style>
  <w:style w:type="paragraph" w:styleId="HTMLPreformatted">
    <w:name w:val="HTML Preformatted"/>
    <w:basedOn w:val="Normal"/>
    <w:link w:val="HTMLPreformattedChar"/>
    <w:uiPriority w:val="99"/>
    <w:semiHidden/>
    <w:unhideWhenUsed/>
    <w:rsid w:val="00290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Cs w:val="20"/>
      <w:lang w:val="es-CR" w:eastAsia="es-CR"/>
    </w:rPr>
  </w:style>
  <w:style w:type="character" w:customStyle="1" w:styleId="HTMLPreformattedChar">
    <w:name w:val="HTML Preformatted Char"/>
    <w:basedOn w:val="DefaultParagraphFont"/>
    <w:link w:val="HTMLPreformatted"/>
    <w:uiPriority w:val="99"/>
    <w:semiHidden/>
    <w:rsid w:val="0029012B"/>
    <w:rPr>
      <w:rFonts w:ascii="Courier New" w:eastAsia="Times New Roman" w:hAnsi="Courier New" w:cs="Courier New"/>
    </w:rPr>
  </w:style>
  <w:style w:type="paragraph" w:styleId="BodyText">
    <w:name w:val="Body Text"/>
    <w:basedOn w:val="Normal"/>
    <w:link w:val="BodyTextChar"/>
    <w:uiPriority w:val="99"/>
    <w:unhideWhenUsed/>
    <w:rsid w:val="00081154"/>
    <w:pPr>
      <w:tabs>
        <w:tab w:val="left" w:pos="720"/>
      </w:tabs>
      <w:autoSpaceDE w:val="0"/>
      <w:autoSpaceDN w:val="0"/>
      <w:adjustRightInd w:val="0"/>
      <w:spacing w:after="0"/>
    </w:pPr>
    <w:rPr>
      <w:b/>
      <w:szCs w:val="20"/>
      <w:lang w:val="es-CR"/>
    </w:rPr>
  </w:style>
  <w:style w:type="character" w:customStyle="1" w:styleId="BodyTextChar">
    <w:name w:val="Body Text Char"/>
    <w:basedOn w:val="DefaultParagraphFont"/>
    <w:link w:val="BodyText"/>
    <w:uiPriority w:val="99"/>
    <w:rsid w:val="00081154"/>
    <w:rPr>
      <w:rFonts w:ascii="Verdana" w:hAnsi="Verdana" w:cs="Times"/>
      <w:b/>
      <w:lang w:eastAsia="es-ES"/>
    </w:rPr>
  </w:style>
  <w:style w:type="paragraph" w:styleId="EndnoteText">
    <w:name w:val="endnote text"/>
    <w:basedOn w:val="Normal"/>
    <w:link w:val="EndnoteTextChar"/>
    <w:uiPriority w:val="99"/>
    <w:semiHidden/>
    <w:unhideWhenUsed/>
    <w:rsid w:val="00ED4096"/>
    <w:pPr>
      <w:spacing w:after="0"/>
    </w:pPr>
    <w:rPr>
      <w:szCs w:val="20"/>
    </w:rPr>
  </w:style>
  <w:style w:type="character" w:customStyle="1" w:styleId="EndnoteTextChar">
    <w:name w:val="Endnote Text Char"/>
    <w:basedOn w:val="DefaultParagraphFont"/>
    <w:link w:val="EndnoteText"/>
    <w:uiPriority w:val="99"/>
    <w:semiHidden/>
    <w:rsid w:val="00ED4096"/>
    <w:rPr>
      <w:rFonts w:ascii="Verdana" w:hAnsi="Verdana" w:cs="Times"/>
      <w:lang w:val="es-ES_tradnl" w:eastAsia="es-ES"/>
    </w:rPr>
  </w:style>
  <w:style w:type="character" w:styleId="EndnoteReference">
    <w:name w:val="endnote reference"/>
    <w:basedOn w:val="DefaultParagraphFont"/>
    <w:uiPriority w:val="99"/>
    <w:semiHidden/>
    <w:unhideWhenUsed/>
    <w:rsid w:val="00ED4096"/>
    <w:rPr>
      <w:vertAlign w:val="superscript"/>
    </w:rPr>
  </w:style>
  <w:style w:type="paragraph" w:styleId="Revision">
    <w:name w:val="Revision"/>
    <w:hidden/>
    <w:uiPriority w:val="99"/>
    <w:semiHidden/>
    <w:rsid w:val="00DB7ACB"/>
    <w:rPr>
      <w:rFonts w:ascii="Verdana" w:hAnsi="Verdana" w:cs="Times"/>
      <w:szCs w:val="24"/>
      <w:lang w:val="es-ES_tradnl" w:eastAsia="es-ES"/>
    </w:rPr>
  </w:style>
  <w:style w:type="character" w:customStyle="1" w:styleId="st1">
    <w:name w:val="st1"/>
    <w:rsid w:val="00486710"/>
  </w:style>
  <w:style w:type="character" w:customStyle="1" w:styleId="ListParagraphChar">
    <w:name w:val="List Paragraph Char"/>
    <w:link w:val="ListParagraph"/>
    <w:uiPriority w:val="99"/>
    <w:locked/>
    <w:rsid w:val="00486710"/>
    <w:rPr>
      <w:rFonts w:ascii="Verdana" w:hAnsi="Verdana" w:cs="Times"/>
      <w:szCs w:val="24"/>
      <w:lang w:val="es-ES_tradnl" w:eastAsia="es-ES"/>
    </w:rPr>
  </w:style>
  <w:style w:type="character" w:styleId="Hyperlink">
    <w:name w:val="Hyperlink"/>
    <w:basedOn w:val="DefaultParagraphFont"/>
    <w:uiPriority w:val="99"/>
    <w:unhideWhenUsed/>
    <w:rsid w:val="007A1A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00779">
      <w:bodyDiv w:val="1"/>
      <w:marLeft w:val="0"/>
      <w:marRight w:val="0"/>
      <w:marTop w:val="0"/>
      <w:marBottom w:val="0"/>
      <w:divBdr>
        <w:top w:val="none" w:sz="0" w:space="0" w:color="auto"/>
        <w:left w:val="none" w:sz="0" w:space="0" w:color="auto"/>
        <w:bottom w:val="none" w:sz="0" w:space="0" w:color="auto"/>
        <w:right w:val="none" w:sz="0" w:space="0" w:color="auto"/>
      </w:divBdr>
    </w:div>
    <w:div w:id="260914110">
      <w:bodyDiv w:val="1"/>
      <w:marLeft w:val="0"/>
      <w:marRight w:val="0"/>
      <w:marTop w:val="0"/>
      <w:marBottom w:val="0"/>
      <w:divBdr>
        <w:top w:val="none" w:sz="0" w:space="0" w:color="auto"/>
        <w:left w:val="none" w:sz="0" w:space="0" w:color="auto"/>
        <w:bottom w:val="none" w:sz="0" w:space="0" w:color="auto"/>
        <w:right w:val="none" w:sz="0" w:space="0" w:color="auto"/>
      </w:divBdr>
    </w:div>
    <w:div w:id="469055492">
      <w:bodyDiv w:val="1"/>
      <w:marLeft w:val="0"/>
      <w:marRight w:val="0"/>
      <w:marTop w:val="0"/>
      <w:marBottom w:val="0"/>
      <w:divBdr>
        <w:top w:val="none" w:sz="0" w:space="0" w:color="auto"/>
        <w:left w:val="none" w:sz="0" w:space="0" w:color="auto"/>
        <w:bottom w:val="none" w:sz="0" w:space="0" w:color="auto"/>
        <w:right w:val="none" w:sz="0" w:space="0" w:color="auto"/>
      </w:divBdr>
    </w:div>
    <w:div w:id="536165216">
      <w:bodyDiv w:val="1"/>
      <w:marLeft w:val="0"/>
      <w:marRight w:val="0"/>
      <w:marTop w:val="0"/>
      <w:marBottom w:val="0"/>
      <w:divBdr>
        <w:top w:val="none" w:sz="0" w:space="0" w:color="auto"/>
        <w:left w:val="none" w:sz="0" w:space="0" w:color="auto"/>
        <w:bottom w:val="none" w:sz="0" w:space="0" w:color="auto"/>
        <w:right w:val="none" w:sz="0" w:space="0" w:color="auto"/>
      </w:divBdr>
    </w:div>
    <w:div w:id="800734921">
      <w:bodyDiv w:val="1"/>
      <w:marLeft w:val="0"/>
      <w:marRight w:val="0"/>
      <w:marTop w:val="0"/>
      <w:marBottom w:val="0"/>
      <w:divBdr>
        <w:top w:val="none" w:sz="0" w:space="0" w:color="auto"/>
        <w:left w:val="none" w:sz="0" w:space="0" w:color="auto"/>
        <w:bottom w:val="none" w:sz="0" w:space="0" w:color="auto"/>
        <w:right w:val="none" w:sz="0" w:space="0" w:color="auto"/>
      </w:divBdr>
    </w:div>
    <w:div w:id="1106774377">
      <w:bodyDiv w:val="1"/>
      <w:marLeft w:val="0"/>
      <w:marRight w:val="0"/>
      <w:marTop w:val="0"/>
      <w:marBottom w:val="0"/>
      <w:divBdr>
        <w:top w:val="none" w:sz="0" w:space="0" w:color="auto"/>
        <w:left w:val="none" w:sz="0" w:space="0" w:color="auto"/>
        <w:bottom w:val="none" w:sz="0" w:space="0" w:color="auto"/>
        <w:right w:val="none" w:sz="0" w:space="0" w:color="auto"/>
      </w:divBdr>
    </w:div>
    <w:div w:id="1126005416">
      <w:bodyDiv w:val="1"/>
      <w:marLeft w:val="0"/>
      <w:marRight w:val="0"/>
      <w:marTop w:val="0"/>
      <w:marBottom w:val="0"/>
      <w:divBdr>
        <w:top w:val="none" w:sz="0" w:space="0" w:color="auto"/>
        <w:left w:val="none" w:sz="0" w:space="0" w:color="auto"/>
        <w:bottom w:val="none" w:sz="0" w:space="0" w:color="auto"/>
        <w:right w:val="none" w:sz="0" w:space="0" w:color="auto"/>
      </w:divBdr>
      <w:divsChild>
        <w:div w:id="2004122778">
          <w:marLeft w:val="0"/>
          <w:marRight w:val="0"/>
          <w:marTop w:val="0"/>
          <w:marBottom w:val="0"/>
          <w:divBdr>
            <w:top w:val="none" w:sz="0" w:space="0" w:color="auto"/>
            <w:left w:val="none" w:sz="0" w:space="0" w:color="auto"/>
            <w:bottom w:val="none" w:sz="0" w:space="0" w:color="auto"/>
            <w:right w:val="none" w:sz="0" w:space="0" w:color="auto"/>
          </w:divBdr>
        </w:div>
        <w:div w:id="1400012555">
          <w:marLeft w:val="0"/>
          <w:marRight w:val="0"/>
          <w:marTop w:val="0"/>
          <w:marBottom w:val="0"/>
          <w:divBdr>
            <w:top w:val="none" w:sz="0" w:space="0" w:color="auto"/>
            <w:left w:val="none" w:sz="0" w:space="0" w:color="auto"/>
            <w:bottom w:val="none" w:sz="0" w:space="0" w:color="auto"/>
            <w:right w:val="none" w:sz="0" w:space="0" w:color="auto"/>
          </w:divBdr>
        </w:div>
        <w:div w:id="63727277">
          <w:marLeft w:val="0"/>
          <w:marRight w:val="0"/>
          <w:marTop w:val="0"/>
          <w:marBottom w:val="0"/>
          <w:divBdr>
            <w:top w:val="none" w:sz="0" w:space="0" w:color="auto"/>
            <w:left w:val="none" w:sz="0" w:space="0" w:color="auto"/>
            <w:bottom w:val="none" w:sz="0" w:space="0" w:color="auto"/>
            <w:right w:val="none" w:sz="0" w:space="0" w:color="auto"/>
          </w:divBdr>
        </w:div>
        <w:div w:id="557279140">
          <w:marLeft w:val="0"/>
          <w:marRight w:val="0"/>
          <w:marTop w:val="0"/>
          <w:marBottom w:val="0"/>
          <w:divBdr>
            <w:top w:val="none" w:sz="0" w:space="0" w:color="auto"/>
            <w:left w:val="none" w:sz="0" w:space="0" w:color="auto"/>
            <w:bottom w:val="none" w:sz="0" w:space="0" w:color="auto"/>
            <w:right w:val="none" w:sz="0" w:space="0" w:color="auto"/>
          </w:divBdr>
        </w:div>
        <w:div w:id="743455209">
          <w:marLeft w:val="0"/>
          <w:marRight w:val="0"/>
          <w:marTop w:val="0"/>
          <w:marBottom w:val="0"/>
          <w:divBdr>
            <w:top w:val="none" w:sz="0" w:space="0" w:color="auto"/>
            <w:left w:val="none" w:sz="0" w:space="0" w:color="auto"/>
            <w:bottom w:val="none" w:sz="0" w:space="0" w:color="auto"/>
            <w:right w:val="none" w:sz="0" w:space="0" w:color="auto"/>
          </w:divBdr>
        </w:div>
        <w:div w:id="1050157094">
          <w:marLeft w:val="0"/>
          <w:marRight w:val="0"/>
          <w:marTop w:val="0"/>
          <w:marBottom w:val="0"/>
          <w:divBdr>
            <w:top w:val="none" w:sz="0" w:space="0" w:color="auto"/>
            <w:left w:val="none" w:sz="0" w:space="0" w:color="auto"/>
            <w:bottom w:val="none" w:sz="0" w:space="0" w:color="auto"/>
            <w:right w:val="none" w:sz="0" w:space="0" w:color="auto"/>
          </w:divBdr>
        </w:div>
        <w:div w:id="1781559259">
          <w:marLeft w:val="0"/>
          <w:marRight w:val="0"/>
          <w:marTop w:val="0"/>
          <w:marBottom w:val="0"/>
          <w:divBdr>
            <w:top w:val="none" w:sz="0" w:space="0" w:color="auto"/>
            <w:left w:val="none" w:sz="0" w:space="0" w:color="auto"/>
            <w:bottom w:val="none" w:sz="0" w:space="0" w:color="auto"/>
            <w:right w:val="none" w:sz="0" w:space="0" w:color="auto"/>
          </w:divBdr>
        </w:div>
      </w:divsChild>
    </w:div>
    <w:div w:id="1850095169">
      <w:bodyDiv w:val="1"/>
      <w:marLeft w:val="0"/>
      <w:marRight w:val="0"/>
      <w:marTop w:val="0"/>
      <w:marBottom w:val="0"/>
      <w:divBdr>
        <w:top w:val="none" w:sz="0" w:space="0" w:color="auto"/>
        <w:left w:val="none" w:sz="0" w:space="0" w:color="auto"/>
        <w:bottom w:val="none" w:sz="0" w:space="0" w:color="auto"/>
        <w:right w:val="none" w:sz="0" w:space="0" w:color="auto"/>
      </w:divBdr>
    </w:div>
    <w:div w:id="1899509340">
      <w:bodyDiv w:val="1"/>
      <w:marLeft w:val="0"/>
      <w:marRight w:val="0"/>
      <w:marTop w:val="0"/>
      <w:marBottom w:val="0"/>
      <w:divBdr>
        <w:top w:val="none" w:sz="0" w:space="0" w:color="auto"/>
        <w:left w:val="none" w:sz="0" w:space="0" w:color="auto"/>
        <w:bottom w:val="none" w:sz="0" w:space="0" w:color="auto"/>
        <w:right w:val="none" w:sz="0" w:space="0" w:color="auto"/>
      </w:divBdr>
    </w:div>
    <w:div w:id="1944914671">
      <w:bodyDiv w:val="1"/>
      <w:marLeft w:val="0"/>
      <w:marRight w:val="0"/>
      <w:marTop w:val="0"/>
      <w:marBottom w:val="0"/>
      <w:divBdr>
        <w:top w:val="none" w:sz="0" w:space="0" w:color="auto"/>
        <w:left w:val="none" w:sz="0" w:space="0" w:color="auto"/>
        <w:bottom w:val="none" w:sz="0" w:space="0" w:color="auto"/>
        <w:right w:val="none" w:sz="0" w:space="0" w:color="auto"/>
      </w:divBdr>
    </w:div>
    <w:div w:id="2040206226">
      <w:bodyDiv w:val="1"/>
      <w:marLeft w:val="0"/>
      <w:marRight w:val="0"/>
      <w:marTop w:val="0"/>
      <w:marBottom w:val="0"/>
      <w:divBdr>
        <w:top w:val="none" w:sz="0" w:space="0" w:color="auto"/>
        <w:left w:val="none" w:sz="0" w:space="0" w:color="auto"/>
        <w:bottom w:val="none" w:sz="0" w:space="0" w:color="auto"/>
        <w:right w:val="none" w:sz="0" w:space="0" w:color="auto"/>
      </w:divBdr>
      <w:divsChild>
        <w:div w:id="1220479655">
          <w:marLeft w:val="0"/>
          <w:marRight w:val="0"/>
          <w:marTop w:val="0"/>
          <w:marBottom w:val="0"/>
          <w:divBdr>
            <w:top w:val="none" w:sz="0" w:space="0" w:color="auto"/>
            <w:left w:val="none" w:sz="0" w:space="0" w:color="auto"/>
            <w:bottom w:val="none" w:sz="0" w:space="0" w:color="auto"/>
            <w:right w:val="none" w:sz="0" w:space="0" w:color="auto"/>
          </w:divBdr>
        </w:div>
        <w:div w:id="903642810">
          <w:marLeft w:val="0"/>
          <w:marRight w:val="0"/>
          <w:marTop w:val="0"/>
          <w:marBottom w:val="0"/>
          <w:divBdr>
            <w:top w:val="none" w:sz="0" w:space="0" w:color="auto"/>
            <w:left w:val="none" w:sz="0" w:space="0" w:color="auto"/>
            <w:bottom w:val="none" w:sz="0" w:space="0" w:color="auto"/>
            <w:right w:val="none" w:sz="0" w:space="0" w:color="auto"/>
          </w:divBdr>
        </w:div>
        <w:div w:id="1177887801">
          <w:marLeft w:val="0"/>
          <w:marRight w:val="0"/>
          <w:marTop w:val="0"/>
          <w:marBottom w:val="0"/>
          <w:divBdr>
            <w:top w:val="none" w:sz="0" w:space="0" w:color="auto"/>
            <w:left w:val="none" w:sz="0" w:space="0" w:color="auto"/>
            <w:bottom w:val="none" w:sz="0" w:space="0" w:color="auto"/>
            <w:right w:val="none" w:sz="0" w:space="0" w:color="auto"/>
          </w:divBdr>
        </w:div>
        <w:div w:id="923102240">
          <w:marLeft w:val="0"/>
          <w:marRight w:val="0"/>
          <w:marTop w:val="0"/>
          <w:marBottom w:val="0"/>
          <w:divBdr>
            <w:top w:val="none" w:sz="0" w:space="0" w:color="auto"/>
            <w:left w:val="none" w:sz="0" w:space="0" w:color="auto"/>
            <w:bottom w:val="none" w:sz="0" w:space="0" w:color="auto"/>
            <w:right w:val="none" w:sz="0" w:space="0" w:color="auto"/>
          </w:divBdr>
        </w:div>
        <w:div w:id="1005938578">
          <w:marLeft w:val="0"/>
          <w:marRight w:val="0"/>
          <w:marTop w:val="0"/>
          <w:marBottom w:val="0"/>
          <w:divBdr>
            <w:top w:val="none" w:sz="0" w:space="0" w:color="auto"/>
            <w:left w:val="none" w:sz="0" w:space="0" w:color="auto"/>
            <w:bottom w:val="none" w:sz="0" w:space="0" w:color="auto"/>
            <w:right w:val="none" w:sz="0" w:space="0" w:color="auto"/>
          </w:divBdr>
        </w:div>
        <w:div w:id="1802454709">
          <w:marLeft w:val="0"/>
          <w:marRight w:val="0"/>
          <w:marTop w:val="0"/>
          <w:marBottom w:val="0"/>
          <w:divBdr>
            <w:top w:val="none" w:sz="0" w:space="0" w:color="auto"/>
            <w:left w:val="none" w:sz="0" w:space="0" w:color="auto"/>
            <w:bottom w:val="none" w:sz="0" w:space="0" w:color="auto"/>
            <w:right w:val="none" w:sz="0" w:space="0" w:color="auto"/>
          </w:divBdr>
        </w:div>
        <w:div w:id="701633390">
          <w:marLeft w:val="0"/>
          <w:marRight w:val="0"/>
          <w:marTop w:val="0"/>
          <w:marBottom w:val="0"/>
          <w:divBdr>
            <w:top w:val="none" w:sz="0" w:space="0" w:color="auto"/>
            <w:left w:val="none" w:sz="0" w:space="0" w:color="auto"/>
            <w:bottom w:val="none" w:sz="0" w:space="0" w:color="auto"/>
            <w:right w:val="none" w:sz="0" w:space="0" w:color="auto"/>
          </w:divBdr>
        </w:div>
      </w:divsChild>
    </w:div>
    <w:div w:id="2061443505">
      <w:bodyDiv w:val="1"/>
      <w:marLeft w:val="0"/>
      <w:marRight w:val="0"/>
      <w:marTop w:val="0"/>
      <w:marBottom w:val="0"/>
      <w:divBdr>
        <w:top w:val="none" w:sz="0" w:space="0" w:color="auto"/>
        <w:left w:val="none" w:sz="0" w:space="0" w:color="auto"/>
        <w:bottom w:val="none" w:sz="0" w:space="0" w:color="auto"/>
        <w:right w:val="none" w:sz="0" w:space="0" w:color="auto"/>
      </w:divBdr>
    </w:div>
    <w:div w:id="208360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4B1B8-3E27-4294-A3AC-889753E75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5839</Words>
  <Characters>32117</Characters>
  <Application>Microsoft Office Word</Application>
  <DocSecurity>4</DocSecurity>
  <Lines>267</Lines>
  <Paragraphs>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Corte IDH</Company>
  <LinksUpToDate>false</LinksUpToDate>
  <CharactersWithSpaces>37881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Francella Hernandez</cp:lastModifiedBy>
  <cp:revision>2</cp:revision>
  <cp:lastPrinted>2018-02-08T20:35:00Z</cp:lastPrinted>
  <dcterms:created xsi:type="dcterms:W3CDTF">2018-02-19T17:05:00Z</dcterms:created>
  <dcterms:modified xsi:type="dcterms:W3CDTF">2018-02-19T17:05:00Z</dcterms:modified>
</cp:coreProperties>
</file>