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F5" w:rsidRDefault="00600CF5" w:rsidP="00CC1327">
      <w:pPr>
        <w:pStyle w:val="Default"/>
        <w:tabs>
          <w:tab w:val="left" w:pos="567"/>
        </w:tabs>
      </w:pPr>
    </w:p>
    <w:p w:rsidR="007F5C6B" w:rsidRDefault="007F5C6B" w:rsidP="00CC1327">
      <w:pPr>
        <w:pStyle w:val="Default"/>
        <w:tabs>
          <w:tab w:val="left" w:pos="567"/>
        </w:tabs>
        <w:jc w:val="center"/>
        <w:rPr>
          <w:b/>
          <w:bCs/>
          <w:sz w:val="20"/>
          <w:szCs w:val="20"/>
          <w:lang w:val="en-US"/>
        </w:rPr>
      </w:pPr>
    </w:p>
    <w:p w:rsidR="007F5C6B" w:rsidRDefault="007F5C6B" w:rsidP="00CC1327">
      <w:pPr>
        <w:pStyle w:val="Default"/>
        <w:tabs>
          <w:tab w:val="left" w:pos="567"/>
        </w:tabs>
        <w:jc w:val="center"/>
        <w:rPr>
          <w:b/>
          <w:bCs/>
          <w:sz w:val="20"/>
          <w:szCs w:val="20"/>
          <w:lang w:val="en-US"/>
        </w:rPr>
      </w:pPr>
    </w:p>
    <w:p w:rsidR="007F5C6B" w:rsidRDefault="007F5C6B" w:rsidP="00CC1327">
      <w:pPr>
        <w:pStyle w:val="Default"/>
        <w:tabs>
          <w:tab w:val="left" w:pos="567"/>
        </w:tabs>
        <w:jc w:val="center"/>
        <w:rPr>
          <w:b/>
          <w:bCs/>
          <w:sz w:val="20"/>
          <w:szCs w:val="20"/>
          <w:lang w:val="en-US"/>
        </w:rPr>
      </w:pPr>
    </w:p>
    <w:p w:rsidR="007F5C6B" w:rsidRDefault="007F5C6B" w:rsidP="00CC1327">
      <w:pPr>
        <w:pStyle w:val="Default"/>
        <w:tabs>
          <w:tab w:val="left" w:pos="567"/>
        </w:tabs>
        <w:jc w:val="center"/>
        <w:rPr>
          <w:b/>
          <w:bCs/>
          <w:sz w:val="20"/>
          <w:szCs w:val="20"/>
          <w:lang w:val="en-US"/>
        </w:rPr>
      </w:pPr>
    </w:p>
    <w:p w:rsidR="007F5C6B" w:rsidRDefault="007F5C6B" w:rsidP="00CC1327">
      <w:pPr>
        <w:pStyle w:val="Default"/>
        <w:tabs>
          <w:tab w:val="left" w:pos="567"/>
        </w:tabs>
        <w:jc w:val="center"/>
        <w:rPr>
          <w:b/>
          <w:bCs/>
          <w:sz w:val="20"/>
          <w:szCs w:val="20"/>
          <w:lang w:val="en-US"/>
        </w:rPr>
      </w:pPr>
    </w:p>
    <w:p w:rsidR="00F60D41" w:rsidRDefault="00F60D41" w:rsidP="00CC1327">
      <w:pPr>
        <w:pStyle w:val="Default"/>
        <w:tabs>
          <w:tab w:val="left" w:pos="567"/>
        </w:tabs>
        <w:jc w:val="center"/>
        <w:rPr>
          <w:b/>
          <w:bCs/>
          <w:sz w:val="20"/>
          <w:szCs w:val="20"/>
          <w:lang w:val="en-US"/>
        </w:rPr>
      </w:pPr>
    </w:p>
    <w:p w:rsidR="00F60D41" w:rsidRDefault="00F60D41" w:rsidP="00CC1327">
      <w:pPr>
        <w:pStyle w:val="Default"/>
        <w:tabs>
          <w:tab w:val="left" w:pos="567"/>
        </w:tabs>
        <w:jc w:val="center"/>
        <w:rPr>
          <w:b/>
          <w:bCs/>
          <w:sz w:val="20"/>
          <w:szCs w:val="20"/>
          <w:lang w:val="en-US"/>
        </w:rPr>
      </w:pPr>
    </w:p>
    <w:p w:rsidR="007F5C6B" w:rsidRDefault="007F5C6B" w:rsidP="00CC1327">
      <w:pPr>
        <w:pStyle w:val="Default"/>
        <w:tabs>
          <w:tab w:val="left" w:pos="567"/>
        </w:tabs>
        <w:jc w:val="center"/>
        <w:rPr>
          <w:b/>
          <w:bCs/>
          <w:sz w:val="20"/>
          <w:szCs w:val="20"/>
          <w:lang w:val="en-US"/>
        </w:rPr>
      </w:pPr>
    </w:p>
    <w:p w:rsidR="00600CF5" w:rsidRPr="007757B8" w:rsidRDefault="007757B8" w:rsidP="00CC1327">
      <w:pPr>
        <w:pStyle w:val="Default"/>
        <w:tabs>
          <w:tab w:val="left" w:pos="567"/>
        </w:tabs>
        <w:jc w:val="center"/>
        <w:rPr>
          <w:sz w:val="20"/>
          <w:szCs w:val="20"/>
          <w:lang w:val="en-US"/>
        </w:rPr>
      </w:pPr>
      <w:r w:rsidRPr="007757B8">
        <w:rPr>
          <w:b/>
          <w:bCs/>
          <w:sz w:val="20"/>
          <w:szCs w:val="20"/>
          <w:lang w:val="en-US"/>
        </w:rPr>
        <w:t>ORDER OF THE</w:t>
      </w:r>
      <w:r w:rsidR="001B7A0C">
        <w:rPr>
          <w:b/>
          <w:bCs/>
          <w:sz w:val="20"/>
          <w:szCs w:val="20"/>
          <w:lang w:val="en-US"/>
        </w:rPr>
        <w:t xml:space="preserve"> PRESIDENT OF THE</w:t>
      </w:r>
    </w:p>
    <w:p w:rsidR="00600CF5" w:rsidRPr="007757B8" w:rsidRDefault="007757B8" w:rsidP="00CC1327">
      <w:pPr>
        <w:pStyle w:val="Default"/>
        <w:tabs>
          <w:tab w:val="left" w:pos="567"/>
        </w:tabs>
        <w:jc w:val="center"/>
        <w:rPr>
          <w:sz w:val="20"/>
          <w:szCs w:val="20"/>
          <w:lang w:val="en-US"/>
        </w:rPr>
      </w:pPr>
      <w:r w:rsidRPr="007757B8">
        <w:rPr>
          <w:b/>
          <w:bCs/>
          <w:sz w:val="20"/>
          <w:szCs w:val="20"/>
          <w:lang w:val="en-US"/>
        </w:rPr>
        <w:t>INTER-AMERICAN COURT OF HUMAN RIGHTS</w:t>
      </w:r>
    </w:p>
    <w:p w:rsidR="00600CF5" w:rsidRPr="007757B8" w:rsidRDefault="00600CF5" w:rsidP="00CC1327">
      <w:pPr>
        <w:tabs>
          <w:tab w:val="left" w:pos="567"/>
        </w:tabs>
        <w:spacing w:after="0" w:line="240" w:lineRule="auto"/>
        <w:rPr>
          <w:rFonts w:ascii="Verdana" w:hAnsi="Verdana"/>
          <w:b/>
          <w:bCs/>
          <w:sz w:val="20"/>
          <w:szCs w:val="20"/>
          <w:lang w:val="en-US"/>
        </w:rPr>
      </w:pPr>
    </w:p>
    <w:p w:rsidR="007757B8" w:rsidRPr="007757B8" w:rsidRDefault="00C3722F" w:rsidP="00CC1327">
      <w:pPr>
        <w:tabs>
          <w:tab w:val="left" w:pos="567"/>
        </w:tabs>
        <w:spacing w:after="0" w:line="240" w:lineRule="auto"/>
        <w:jc w:val="center"/>
        <w:rPr>
          <w:rFonts w:ascii="Verdana" w:hAnsi="Verdana"/>
          <w:b/>
          <w:bCs/>
          <w:sz w:val="20"/>
          <w:szCs w:val="20"/>
          <w:lang w:val="en-US"/>
        </w:rPr>
      </w:pPr>
      <w:r w:rsidRPr="00FC6379">
        <w:rPr>
          <w:rFonts w:ascii="Verdana" w:hAnsi="Verdana"/>
          <w:b/>
          <w:bCs/>
          <w:sz w:val="20"/>
          <w:szCs w:val="20"/>
          <w:lang w:val="en-US"/>
        </w:rPr>
        <w:t xml:space="preserve">OF </w:t>
      </w:r>
      <w:r w:rsidR="00FC6379" w:rsidRPr="00FC6379">
        <w:rPr>
          <w:rFonts w:ascii="Verdana" w:hAnsi="Verdana"/>
          <w:b/>
          <w:bCs/>
          <w:sz w:val="20"/>
          <w:szCs w:val="20"/>
          <w:lang w:val="en-US"/>
        </w:rPr>
        <w:t>AUGUST 3</w:t>
      </w:r>
      <w:r w:rsidR="0074362E" w:rsidRPr="00FC6379">
        <w:rPr>
          <w:rFonts w:ascii="Verdana" w:hAnsi="Verdana"/>
          <w:b/>
          <w:bCs/>
          <w:sz w:val="20"/>
          <w:szCs w:val="20"/>
          <w:lang w:val="en-US"/>
        </w:rPr>
        <w:t xml:space="preserve">, </w:t>
      </w:r>
      <w:r w:rsidR="007757B8" w:rsidRPr="00FC6379">
        <w:rPr>
          <w:rFonts w:ascii="Verdana" w:hAnsi="Verdana"/>
          <w:b/>
          <w:bCs/>
          <w:sz w:val="20"/>
          <w:szCs w:val="20"/>
          <w:lang w:val="en-US"/>
        </w:rPr>
        <w:t>2015</w:t>
      </w:r>
    </w:p>
    <w:p w:rsidR="007757B8" w:rsidRPr="007757B8" w:rsidRDefault="007757B8" w:rsidP="00CC1327">
      <w:pPr>
        <w:pStyle w:val="Default"/>
        <w:tabs>
          <w:tab w:val="left" w:pos="567"/>
        </w:tabs>
        <w:rPr>
          <w:sz w:val="20"/>
          <w:szCs w:val="20"/>
          <w:lang w:val="en-US"/>
        </w:rPr>
      </w:pPr>
      <w:r w:rsidRPr="007757B8">
        <w:rPr>
          <w:sz w:val="20"/>
          <w:szCs w:val="20"/>
          <w:lang w:val="en-US"/>
        </w:rPr>
        <w:tab/>
      </w:r>
    </w:p>
    <w:p w:rsidR="007757B8" w:rsidRPr="00C3722F" w:rsidRDefault="00C3722F" w:rsidP="00CC1327">
      <w:pPr>
        <w:tabs>
          <w:tab w:val="left" w:pos="567"/>
        </w:tabs>
        <w:spacing w:after="0" w:line="240" w:lineRule="auto"/>
        <w:jc w:val="center"/>
        <w:rPr>
          <w:rFonts w:ascii="Verdana" w:hAnsi="Verdana"/>
          <w:b/>
          <w:sz w:val="20"/>
          <w:szCs w:val="20"/>
          <w:lang w:val="en-US"/>
        </w:rPr>
      </w:pPr>
      <w:r w:rsidRPr="00C3722F">
        <w:rPr>
          <w:rFonts w:ascii="Verdana" w:hAnsi="Verdana"/>
          <w:b/>
          <w:sz w:val="20"/>
          <w:szCs w:val="20"/>
          <w:lang w:val="en-US"/>
        </w:rPr>
        <w:t>VICTIMS' LEGAL ASSISTANCE FUND</w:t>
      </w:r>
    </w:p>
    <w:p w:rsidR="00C3722F" w:rsidRDefault="00C3722F" w:rsidP="00CC1327">
      <w:pPr>
        <w:tabs>
          <w:tab w:val="left" w:pos="567"/>
        </w:tabs>
        <w:spacing w:after="0" w:line="240" w:lineRule="auto"/>
        <w:jc w:val="center"/>
        <w:rPr>
          <w:rFonts w:ascii="Verdana" w:hAnsi="Verdana"/>
          <w:b/>
          <w:sz w:val="20"/>
          <w:szCs w:val="20"/>
          <w:lang w:val="en-US"/>
        </w:rPr>
      </w:pPr>
      <w:r w:rsidRPr="00C3722F">
        <w:rPr>
          <w:rFonts w:ascii="Verdana" w:hAnsi="Verdana"/>
          <w:b/>
          <w:sz w:val="20"/>
          <w:szCs w:val="20"/>
          <w:lang w:val="en-US"/>
        </w:rPr>
        <w:t>REQUESTED BY THE REPRESENTATIVE OF THE VICTIMS</w:t>
      </w:r>
    </w:p>
    <w:p w:rsidR="00222E1A" w:rsidRPr="00C3722F" w:rsidRDefault="00222E1A" w:rsidP="00CC1327">
      <w:pPr>
        <w:tabs>
          <w:tab w:val="left" w:pos="567"/>
        </w:tabs>
        <w:spacing w:after="0" w:line="240" w:lineRule="auto"/>
        <w:jc w:val="center"/>
        <w:rPr>
          <w:rFonts w:ascii="Verdana" w:hAnsi="Verdana"/>
          <w:b/>
          <w:sz w:val="20"/>
          <w:szCs w:val="20"/>
          <w:lang w:val="en-US"/>
        </w:rPr>
      </w:pPr>
    </w:p>
    <w:p w:rsidR="007757B8" w:rsidRPr="007757B8" w:rsidRDefault="007757B8" w:rsidP="00CC1327">
      <w:pPr>
        <w:tabs>
          <w:tab w:val="left" w:pos="567"/>
        </w:tabs>
        <w:spacing w:after="0" w:line="240" w:lineRule="auto"/>
        <w:jc w:val="center"/>
        <w:rPr>
          <w:rFonts w:ascii="Verdana" w:hAnsi="Verdana"/>
          <w:b/>
          <w:sz w:val="20"/>
          <w:szCs w:val="20"/>
          <w:lang w:val="en-US"/>
        </w:rPr>
      </w:pPr>
      <w:r w:rsidRPr="007757B8">
        <w:rPr>
          <w:rFonts w:ascii="Verdana" w:hAnsi="Verdana"/>
          <w:sz w:val="20"/>
          <w:szCs w:val="20"/>
          <w:lang w:val="en-US"/>
        </w:rPr>
        <w:t xml:space="preserve"> </w:t>
      </w:r>
      <w:r w:rsidRPr="007757B8">
        <w:rPr>
          <w:rFonts w:ascii="Verdana" w:hAnsi="Verdana"/>
          <w:b/>
          <w:bCs/>
          <w:sz w:val="20"/>
          <w:szCs w:val="20"/>
          <w:lang w:val="en-US"/>
        </w:rPr>
        <w:t xml:space="preserve">CASE OF </w:t>
      </w:r>
      <w:r w:rsidRPr="007757B8">
        <w:rPr>
          <w:rFonts w:ascii="Verdana" w:hAnsi="Verdana"/>
          <w:b/>
          <w:sz w:val="20"/>
          <w:szCs w:val="20"/>
          <w:lang w:val="en-US"/>
        </w:rPr>
        <w:t xml:space="preserve">DACOSTA CADOGAN AND BOYCE </w:t>
      </w:r>
      <w:r w:rsidRPr="007757B8">
        <w:rPr>
          <w:rFonts w:ascii="Verdana" w:hAnsi="Verdana"/>
          <w:b/>
          <w:i/>
          <w:sz w:val="20"/>
          <w:szCs w:val="20"/>
          <w:lang w:val="en-US"/>
        </w:rPr>
        <w:t>ET AL.</w:t>
      </w:r>
      <w:r w:rsidRPr="007757B8">
        <w:rPr>
          <w:rFonts w:ascii="Verdana" w:hAnsi="Verdana"/>
          <w:b/>
          <w:sz w:val="20"/>
          <w:szCs w:val="20"/>
          <w:lang w:val="en-US"/>
        </w:rPr>
        <w:t xml:space="preserve"> </w:t>
      </w:r>
      <w:r w:rsidRPr="007757B8">
        <w:rPr>
          <w:rFonts w:ascii="Verdana" w:hAnsi="Verdana"/>
          <w:b/>
          <w:i/>
          <w:sz w:val="20"/>
          <w:szCs w:val="20"/>
          <w:lang w:val="en-US"/>
        </w:rPr>
        <w:t>V.</w:t>
      </w:r>
      <w:r w:rsidRPr="007757B8">
        <w:rPr>
          <w:rFonts w:ascii="Verdana" w:hAnsi="Verdana"/>
          <w:b/>
          <w:sz w:val="20"/>
          <w:szCs w:val="20"/>
          <w:lang w:val="en-US"/>
        </w:rPr>
        <w:t xml:space="preserve"> BARBADOS</w:t>
      </w:r>
    </w:p>
    <w:p w:rsidR="007757B8" w:rsidRPr="007757B8" w:rsidRDefault="007757B8" w:rsidP="00CC1327">
      <w:pPr>
        <w:tabs>
          <w:tab w:val="left" w:pos="567"/>
        </w:tabs>
        <w:spacing w:after="0" w:line="240" w:lineRule="auto"/>
        <w:jc w:val="center"/>
        <w:rPr>
          <w:rFonts w:ascii="Verdana" w:hAnsi="Verdana"/>
          <w:b/>
          <w:sz w:val="20"/>
          <w:szCs w:val="20"/>
          <w:lang w:val="en-US"/>
        </w:rPr>
      </w:pPr>
      <w:r w:rsidRPr="007757B8">
        <w:rPr>
          <w:rFonts w:ascii="Verdana" w:hAnsi="Verdana"/>
          <w:b/>
          <w:bCs/>
          <w:sz w:val="20"/>
          <w:szCs w:val="20"/>
          <w:lang w:val="en-US"/>
        </w:rPr>
        <w:t>MONITORING OF COMPLIANCE WITH JUDGMENT</w:t>
      </w:r>
    </w:p>
    <w:p w:rsidR="00C3722F" w:rsidRDefault="00C3722F" w:rsidP="00CC1327">
      <w:pPr>
        <w:tabs>
          <w:tab w:val="left" w:pos="567"/>
          <w:tab w:val="left" w:pos="1304"/>
        </w:tabs>
        <w:spacing w:after="0" w:line="240" w:lineRule="auto"/>
        <w:rPr>
          <w:rFonts w:ascii="Verdana" w:hAnsi="Verdana" w:cs="Verdana"/>
          <w:color w:val="000000"/>
          <w:sz w:val="20"/>
          <w:szCs w:val="20"/>
          <w:lang w:val="en-US"/>
        </w:rPr>
      </w:pPr>
    </w:p>
    <w:p w:rsidR="007F5C6B" w:rsidRDefault="007F5C6B" w:rsidP="00CC1327">
      <w:pPr>
        <w:tabs>
          <w:tab w:val="left" w:pos="567"/>
          <w:tab w:val="left" w:pos="1304"/>
        </w:tabs>
        <w:spacing w:after="0" w:line="240" w:lineRule="auto"/>
        <w:rPr>
          <w:rFonts w:ascii="Verdana" w:hAnsi="Verdana" w:cs="Verdana"/>
          <w:color w:val="000000"/>
          <w:sz w:val="20"/>
          <w:szCs w:val="20"/>
          <w:lang w:val="en-US"/>
        </w:rPr>
      </w:pPr>
    </w:p>
    <w:p w:rsidR="007F5C6B" w:rsidRDefault="007F5C6B" w:rsidP="00CC1327">
      <w:pPr>
        <w:tabs>
          <w:tab w:val="left" w:pos="567"/>
          <w:tab w:val="left" w:pos="1304"/>
        </w:tabs>
        <w:spacing w:after="0" w:line="240" w:lineRule="auto"/>
        <w:rPr>
          <w:rFonts w:ascii="Verdana" w:hAnsi="Verdana" w:cs="Verdana"/>
          <w:color w:val="000000"/>
          <w:sz w:val="20"/>
          <w:szCs w:val="20"/>
          <w:lang w:val="en-US"/>
        </w:rPr>
      </w:pPr>
    </w:p>
    <w:p w:rsidR="00F60D41" w:rsidRDefault="00F60D41" w:rsidP="00CC1327">
      <w:pPr>
        <w:tabs>
          <w:tab w:val="left" w:pos="567"/>
          <w:tab w:val="left" w:pos="1304"/>
        </w:tabs>
        <w:spacing w:after="0" w:line="240" w:lineRule="auto"/>
        <w:rPr>
          <w:rFonts w:ascii="Verdana" w:hAnsi="Verdana" w:cs="Verdana"/>
          <w:color w:val="000000"/>
          <w:sz w:val="20"/>
          <w:szCs w:val="20"/>
          <w:lang w:val="en-US"/>
        </w:rPr>
      </w:pPr>
    </w:p>
    <w:p w:rsidR="007757B8" w:rsidRDefault="00862D68" w:rsidP="00CC1327">
      <w:pPr>
        <w:tabs>
          <w:tab w:val="left" w:pos="567"/>
          <w:tab w:val="left" w:pos="1304"/>
        </w:tabs>
        <w:spacing w:after="0" w:line="240" w:lineRule="auto"/>
        <w:rPr>
          <w:rFonts w:ascii="Verdana" w:hAnsi="Verdana"/>
          <w:b/>
          <w:bCs/>
          <w:sz w:val="20"/>
          <w:szCs w:val="20"/>
          <w:lang w:val="en-US"/>
        </w:rPr>
      </w:pPr>
      <w:r>
        <w:rPr>
          <w:rFonts w:ascii="Verdana" w:hAnsi="Verdana"/>
          <w:b/>
          <w:bCs/>
          <w:sz w:val="20"/>
          <w:szCs w:val="20"/>
          <w:lang w:val="en-US"/>
        </w:rPr>
        <w:t>HAVING SEEN:</w:t>
      </w:r>
    </w:p>
    <w:p w:rsidR="00C3722F" w:rsidRPr="00C3722F" w:rsidRDefault="00C3722F" w:rsidP="00CC1327">
      <w:pPr>
        <w:pStyle w:val="Default"/>
        <w:tabs>
          <w:tab w:val="left" w:pos="567"/>
        </w:tabs>
        <w:rPr>
          <w:lang w:val="en-US"/>
        </w:rPr>
      </w:pPr>
    </w:p>
    <w:p w:rsidR="00C3722F" w:rsidRPr="00B82515" w:rsidRDefault="00C3722F" w:rsidP="0015501E">
      <w:pPr>
        <w:pStyle w:val="Default"/>
        <w:numPr>
          <w:ilvl w:val="0"/>
          <w:numId w:val="1"/>
        </w:numPr>
        <w:tabs>
          <w:tab w:val="left" w:pos="567"/>
        </w:tabs>
        <w:ind w:left="0" w:hanging="11"/>
        <w:jc w:val="both"/>
        <w:rPr>
          <w:color w:val="auto"/>
          <w:sz w:val="20"/>
          <w:szCs w:val="20"/>
          <w:lang w:val="en-US"/>
        </w:rPr>
      </w:pPr>
      <w:r w:rsidRPr="00B82515">
        <w:rPr>
          <w:color w:val="auto"/>
          <w:sz w:val="20"/>
          <w:szCs w:val="20"/>
          <w:lang w:val="en-US"/>
        </w:rPr>
        <w:t>The Judgment</w:t>
      </w:r>
      <w:r w:rsidR="00C95B73" w:rsidRPr="00B82515">
        <w:rPr>
          <w:color w:val="auto"/>
          <w:sz w:val="20"/>
          <w:szCs w:val="20"/>
          <w:lang w:val="en-US"/>
        </w:rPr>
        <w:t>s</w:t>
      </w:r>
      <w:r w:rsidRPr="00B82515">
        <w:rPr>
          <w:color w:val="auto"/>
          <w:sz w:val="20"/>
          <w:szCs w:val="20"/>
          <w:lang w:val="en-US"/>
        </w:rPr>
        <w:t xml:space="preserve"> on the </w:t>
      </w:r>
      <w:r w:rsidR="0015501E">
        <w:rPr>
          <w:color w:val="auto"/>
          <w:sz w:val="20"/>
          <w:szCs w:val="20"/>
          <w:lang w:val="en-US"/>
        </w:rPr>
        <w:t>p</w:t>
      </w:r>
      <w:r w:rsidR="0015501E" w:rsidRPr="0015501E">
        <w:rPr>
          <w:color w:val="auto"/>
          <w:sz w:val="20"/>
          <w:szCs w:val="20"/>
          <w:lang w:val="en-US"/>
        </w:rPr>
        <w:t xml:space="preserve">reliminary </w:t>
      </w:r>
      <w:r w:rsidR="0015501E">
        <w:rPr>
          <w:color w:val="auto"/>
          <w:sz w:val="20"/>
          <w:szCs w:val="20"/>
          <w:lang w:val="en-US"/>
        </w:rPr>
        <w:t>o</w:t>
      </w:r>
      <w:r w:rsidR="0015501E" w:rsidRPr="0015501E">
        <w:rPr>
          <w:color w:val="auto"/>
          <w:sz w:val="20"/>
          <w:szCs w:val="20"/>
          <w:lang w:val="en-US"/>
        </w:rPr>
        <w:t>bjections</w:t>
      </w:r>
      <w:r w:rsidR="0015501E">
        <w:rPr>
          <w:color w:val="auto"/>
          <w:sz w:val="20"/>
          <w:szCs w:val="20"/>
          <w:lang w:val="en-US"/>
        </w:rPr>
        <w:t xml:space="preserve">, </w:t>
      </w:r>
      <w:r w:rsidRPr="00B82515">
        <w:rPr>
          <w:color w:val="auto"/>
          <w:sz w:val="20"/>
          <w:szCs w:val="20"/>
          <w:lang w:val="en-US"/>
        </w:rPr>
        <w:t>merits, reparations and costs (hereinafter “the Judgment</w:t>
      </w:r>
      <w:r w:rsidR="00EB0F59">
        <w:rPr>
          <w:color w:val="auto"/>
          <w:sz w:val="20"/>
          <w:szCs w:val="20"/>
          <w:lang w:val="en-US"/>
        </w:rPr>
        <w:t>s</w:t>
      </w:r>
      <w:r w:rsidRPr="00B82515">
        <w:rPr>
          <w:color w:val="auto"/>
          <w:sz w:val="20"/>
          <w:szCs w:val="20"/>
          <w:lang w:val="en-US"/>
        </w:rPr>
        <w:t xml:space="preserve">”) issued by the Inter-American Court of Human Rights (hereinafter “the Court,” “the Inter-American Court” or “the Tribunal”) </w:t>
      </w:r>
      <w:r w:rsidR="007E53C1" w:rsidRPr="00B82515">
        <w:rPr>
          <w:color w:val="auto"/>
          <w:sz w:val="20"/>
          <w:szCs w:val="20"/>
          <w:lang w:val="en-US"/>
        </w:rPr>
        <w:t>on November 20</w:t>
      </w:r>
      <w:r w:rsidR="00EB0F59">
        <w:rPr>
          <w:color w:val="auto"/>
          <w:sz w:val="20"/>
          <w:szCs w:val="20"/>
          <w:lang w:val="en-US"/>
        </w:rPr>
        <w:t>,</w:t>
      </w:r>
      <w:r w:rsidR="007E53C1" w:rsidRPr="00B82515">
        <w:rPr>
          <w:color w:val="auto"/>
          <w:sz w:val="20"/>
          <w:szCs w:val="20"/>
          <w:lang w:val="en-US"/>
        </w:rPr>
        <w:t xml:space="preserve"> 2007 in the case of </w:t>
      </w:r>
      <w:r w:rsidR="007E53C1" w:rsidRPr="00FB53D8">
        <w:rPr>
          <w:i/>
          <w:color w:val="auto"/>
          <w:sz w:val="20"/>
          <w:szCs w:val="20"/>
          <w:lang w:val="en-US"/>
        </w:rPr>
        <w:t>Boyce et al</w:t>
      </w:r>
      <w:r w:rsidR="00400739" w:rsidRPr="00FB53D8">
        <w:rPr>
          <w:i/>
          <w:color w:val="auto"/>
          <w:sz w:val="20"/>
          <w:szCs w:val="20"/>
          <w:lang w:val="en-US"/>
        </w:rPr>
        <w:t>.</w:t>
      </w:r>
      <w:r w:rsidR="00353E5C" w:rsidRPr="00353E5C">
        <w:rPr>
          <w:color w:val="auto"/>
          <w:sz w:val="20"/>
          <w:szCs w:val="20"/>
          <w:lang w:val="en-US"/>
        </w:rPr>
        <w:t xml:space="preserve"> and</w:t>
      </w:r>
      <w:r w:rsidR="00353E5C">
        <w:rPr>
          <w:i/>
          <w:color w:val="auto"/>
          <w:sz w:val="20"/>
          <w:szCs w:val="20"/>
          <w:lang w:val="en-US"/>
        </w:rPr>
        <w:t xml:space="preserve"> </w:t>
      </w:r>
      <w:r w:rsidR="00353E5C" w:rsidRPr="00B82515">
        <w:rPr>
          <w:color w:val="auto"/>
          <w:sz w:val="20"/>
          <w:szCs w:val="20"/>
          <w:lang w:val="en-US"/>
        </w:rPr>
        <w:t>on September 24</w:t>
      </w:r>
      <w:r w:rsidR="00353E5C">
        <w:rPr>
          <w:color w:val="auto"/>
          <w:sz w:val="20"/>
          <w:szCs w:val="20"/>
          <w:lang w:val="en-US"/>
        </w:rPr>
        <w:t>,</w:t>
      </w:r>
      <w:r w:rsidR="00353E5C" w:rsidRPr="00B82515">
        <w:rPr>
          <w:color w:val="auto"/>
          <w:sz w:val="20"/>
          <w:szCs w:val="20"/>
          <w:lang w:val="en-US"/>
        </w:rPr>
        <w:t xml:space="preserve"> 2009 in the case of </w:t>
      </w:r>
      <w:proofErr w:type="spellStart"/>
      <w:r w:rsidR="00353E5C">
        <w:rPr>
          <w:i/>
          <w:color w:val="auto"/>
          <w:sz w:val="20"/>
          <w:szCs w:val="20"/>
          <w:lang w:val="en-US"/>
        </w:rPr>
        <w:t>Dac</w:t>
      </w:r>
      <w:r w:rsidR="00353E5C" w:rsidRPr="00FB53D8">
        <w:rPr>
          <w:i/>
          <w:color w:val="auto"/>
          <w:sz w:val="20"/>
          <w:szCs w:val="20"/>
          <w:lang w:val="en-US"/>
        </w:rPr>
        <w:t>osta</w:t>
      </w:r>
      <w:proofErr w:type="spellEnd"/>
      <w:r w:rsidR="00353E5C" w:rsidRPr="00FB53D8">
        <w:rPr>
          <w:i/>
          <w:color w:val="auto"/>
          <w:sz w:val="20"/>
          <w:szCs w:val="20"/>
          <w:lang w:val="en-US"/>
        </w:rPr>
        <w:t xml:space="preserve"> </w:t>
      </w:r>
      <w:proofErr w:type="spellStart"/>
      <w:r w:rsidR="00353E5C" w:rsidRPr="00FB53D8">
        <w:rPr>
          <w:i/>
          <w:color w:val="auto"/>
          <w:sz w:val="20"/>
          <w:szCs w:val="20"/>
          <w:lang w:val="en-US"/>
        </w:rPr>
        <w:t>Cadogan</w:t>
      </w:r>
      <w:proofErr w:type="spellEnd"/>
      <w:r w:rsidR="007E53C1" w:rsidRPr="00FB53D8">
        <w:rPr>
          <w:i/>
          <w:color w:val="auto"/>
          <w:sz w:val="20"/>
          <w:szCs w:val="20"/>
          <w:lang w:val="en-US"/>
        </w:rPr>
        <w:t>,</w:t>
      </w:r>
      <w:r w:rsidR="007E53C1" w:rsidRPr="00B82515">
        <w:rPr>
          <w:i/>
          <w:color w:val="auto"/>
          <w:sz w:val="20"/>
          <w:szCs w:val="20"/>
          <w:lang w:val="en-US"/>
        </w:rPr>
        <w:t xml:space="preserve"> </w:t>
      </w:r>
      <w:r w:rsidR="007E53C1" w:rsidRPr="00B82515">
        <w:rPr>
          <w:color w:val="auto"/>
          <w:sz w:val="20"/>
          <w:szCs w:val="20"/>
          <w:lang w:val="en-US"/>
        </w:rPr>
        <w:t xml:space="preserve">both against the State of Barbados (hereinafter “the State” or “Barbados”). Both cases </w:t>
      </w:r>
      <w:r w:rsidR="00EB0F59">
        <w:rPr>
          <w:color w:val="auto"/>
          <w:sz w:val="20"/>
          <w:szCs w:val="20"/>
          <w:lang w:val="en-US"/>
        </w:rPr>
        <w:t>address</w:t>
      </w:r>
      <w:r w:rsidR="007E53C1" w:rsidRPr="00B82515">
        <w:rPr>
          <w:color w:val="auto"/>
          <w:sz w:val="20"/>
          <w:szCs w:val="20"/>
          <w:lang w:val="en-US"/>
        </w:rPr>
        <w:t xml:space="preserve">, </w:t>
      </w:r>
      <w:r w:rsidR="007E53C1" w:rsidRPr="00B82515">
        <w:rPr>
          <w:i/>
          <w:color w:val="auto"/>
          <w:sz w:val="20"/>
          <w:szCs w:val="20"/>
          <w:lang w:val="en-US"/>
        </w:rPr>
        <w:t>inter alia,</w:t>
      </w:r>
      <w:r w:rsidR="007E53C1" w:rsidRPr="00B82515">
        <w:rPr>
          <w:color w:val="auto"/>
          <w:sz w:val="20"/>
          <w:szCs w:val="20"/>
          <w:lang w:val="en-US"/>
        </w:rPr>
        <w:t xml:space="preserve"> </w:t>
      </w:r>
      <w:r w:rsidR="00F96CBE" w:rsidRPr="00B82515">
        <w:rPr>
          <w:color w:val="auto"/>
          <w:sz w:val="20"/>
          <w:szCs w:val="20"/>
          <w:lang w:val="en-US"/>
        </w:rPr>
        <w:t xml:space="preserve">the death penalty to which </w:t>
      </w:r>
      <w:r w:rsidR="00F96CBE" w:rsidRPr="00B82515">
        <w:rPr>
          <w:bCs/>
          <w:color w:val="auto"/>
          <w:sz w:val="20"/>
          <w:szCs w:val="20"/>
          <w:lang w:val="en-US"/>
        </w:rPr>
        <w:t xml:space="preserve">Mr. Tyrone </w:t>
      </w:r>
      <w:proofErr w:type="spellStart"/>
      <w:r w:rsidR="00F96CBE" w:rsidRPr="00B82515">
        <w:rPr>
          <w:bCs/>
          <w:color w:val="auto"/>
          <w:sz w:val="20"/>
          <w:szCs w:val="20"/>
          <w:lang w:val="en-US"/>
        </w:rPr>
        <w:t>DaCosta</w:t>
      </w:r>
      <w:proofErr w:type="spellEnd"/>
      <w:r w:rsidR="00F96CBE" w:rsidRPr="00B82515">
        <w:rPr>
          <w:bCs/>
          <w:color w:val="auto"/>
          <w:sz w:val="20"/>
          <w:szCs w:val="20"/>
          <w:lang w:val="en-US"/>
        </w:rPr>
        <w:t xml:space="preserve"> </w:t>
      </w:r>
      <w:proofErr w:type="spellStart"/>
      <w:r w:rsidR="00F96CBE" w:rsidRPr="00B82515">
        <w:rPr>
          <w:bCs/>
          <w:color w:val="auto"/>
          <w:sz w:val="20"/>
          <w:szCs w:val="20"/>
          <w:lang w:val="en-US"/>
        </w:rPr>
        <w:t>Cadogan</w:t>
      </w:r>
      <w:proofErr w:type="spellEnd"/>
      <w:r w:rsidR="00F96CBE" w:rsidRPr="00B82515">
        <w:rPr>
          <w:bCs/>
          <w:color w:val="auto"/>
          <w:sz w:val="20"/>
          <w:szCs w:val="20"/>
          <w:lang w:val="en-US"/>
        </w:rPr>
        <w:t xml:space="preserve">, as well as </w:t>
      </w:r>
      <w:r w:rsidR="00F96CBE" w:rsidRPr="00B82515">
        <w:rPr>
          <w:color w:val="auto"/>
          <w:sz w:val="20"/>
          <w:szCs w:val="20"/>
          <w:lang w:val="en-US"/>
        </w:rPr>
        <w:t>Lennox Ricardo Boyce, Jeffrey Joseph, Frederick Benjamin Atkins and Michael McDonald Huggins, were sentenced.</w:t>
      </w:r>
      <w:r w:rsidR="007E53C1" w:rsidRPr="00B82515">
        <w:rPr>
          <w:color w:val="auto"/>
          <w:sz w:val="20"/>
          <w:szCs w:val="20"/>
          <w:lang w:val="en-US"/>
        </w:rPr>
        <w:t xml:space="preserve"> </w:t>
      </w:r>
      <w:r w:rsidR="00F96CBE" w:rsidRPr="00B82515">
        <w:rPr>
          <w:color w:val="auto"/>
          <w:sz w:val="20"/>
          <w:szCs w:val="20"/>
          <w:lang w:val="en-US"/>
        </w:rPr>
        <w:t xml:space="preserve">All of the aforementioned </w:t>
      </w:r>
      <w:r w:rsidR="00593DE6">
        <w:rPr>
          <w:color w:val="auto"/>
          <w:sz w:val="20"/>
          <w:szCs w:val="20"/>
          <w:lang w:val="en-US"/>
        </w:rPr>
        <w:t xml:space="preserve">men </w:t>
      </w:r>
      <w:r w:rsidR="00F96CBE" w:rsidRPr="00B82515">
        <w:rPr>
          <w:color w:val="auto"/>
          <w:sz w:val="20"/>
          <w:szCs w:val="20"/>
          <w:lang w:val="en-US"/>
        </w:rPr>
        <w:t xml:space="preserve">were sentenced </w:t>
      </w:r>
      <w:r w:rsidR="00F96CBE" w:rsidRPr="00B82515">
        <w:rPr>
          <w:rFonts w:eastAsia="Times New Roman" w:cs="Arial"/>
          <w:color w:val="auto"/>
          <w:sz w:val="20"/>
          <w:szCs w:val="20"/>
          <w:lang w:val="en-US" w:eastAsia="es-CR"/>
        </w:rPr>
        <w:t>for the commission o</w:t>
      </w:r>
      <w:r w:rsidR="00FE3057" w:rsidRPr="00B82515">
        <w:rPr>
          <w:rFonts w:eastAsia="Times New Roman" w:cs="Arial"/>
          <w:color w:val="auto"/>
          <w:sz w:val="20"/>
          <w:szCs w:val="20"/>
          <w:lang w:val="en-US" w:eastAsia="es-CR"/>
        </w:rPr>
        <w:t>f</w:t>
      </w:r>
      <w:r w:rsidR="00F96CBE" w:rsidRPr="00B82515">
        <w:rPr>
          <w:rFonts w:eastAsia="Times New Roman" w:cs="Arial"/>
          <w:color w:val="auto"/>
          <w:sz w:val="20"/>
          <w:szCs w:val="20"/>
          <w:lang w:val="en-US" w:eastAsia="es-CR"/>
        </w:rPr>
        <w:t xml:space="preserve"> the criminal</w:t>
      </w:r>
      <w:r w:rsidR="00877311">
        <w:rPr>
          <w:rFonts w:eastAsia="Times New Roman" w:cs="Arial"/>
          <w:color w:val="auto"/>
          <w:sz w:val="20"/>
          <w:szCs w:val="20"/>
          <w:lang w:val="en-US" w:eastAsia="es-CR"/>
        </w:rPr>
        <w:t xml:space="preserve"> offence of murder under Section</w:t>
      </w:r>
      <w:r w:rsidR="00F96CBE" w:rsidRPr="00B82515">
        <w:rPr>
          <w:rFonts w:eastAsia="Times New Roman" w:cs="Arial"/>
          <w:color w:val="auto"/>
          <w:sz w:val="20"/>
          <w:szCs w:val="20"/>
          <w:lang w:val="en-US" w:eastAsia="es-CR"/>
        </w:rPr>
        <w:t xml:space="preserve"> </w:t>
      </w:r>
      <w:r w:rsidR="00877311">
        <w:rPr>
          <w:rFonts w:eastAsia="Times New Roman" w:cs="Arial"/>
          <w:color w:val="auto"/>
          <w:sz w:val="20"/>
          <w:szCs w:val="20"/>
          <w:lang w:val="en-US" w:eastAsia="es-CR"/>
        </w:rPr>
        <w:t>2</w:t>
      </w:r>
      <w:r w:rsidR="00FE3057" w:rsidRPr="00B82515">
        <w:rPr>
          <w:rFonts w:eastAsia="Times New Roman" w:cs="Arial"/>
          <w:color w:val="auto"/>
          <w:sz w:val="20"/>
          <w:szCs w:val="20"/>
          <w:lang w:val="en-US" w:eastAsia="es-CR"/>
        </w:rPr>
        <w:t xml:space="preserve"> of the “</w:t>
      </w:r>
      <w:r w:rsidR="00FE3057" w:rsidRPr="00B82515">
        <w:rPr>
          <w:bCs/>
          <w:color w:val="auto"/>
          <w:sz w:val="20"/>
          <w:szCs w:val="20"/>
          <w:lang w:val="en-US"/>
        </w:rPr>
        <w:t xml:space="preserve">Offences </w:t>
      </w:r>
      <w:proofErr w:type="gramStart"/>
      <w:r w:rsidR="00877311">
        <w:rPr>
          <w:bCs/>
          <w:color w:val="auto"/>
          <w:sz w:val="20"/>
          <w:szCs w:val="20"/>
          <w:lang w:val="en-US"/>
        </w:rPr>
        <w:t>A</w:t>
      </w:r>
      <w:r w:rsidR="00FB53D8" w:rsidRPr="00B82515">
        <w:rPr>
          <w:bCs/>
          <w:color w:val="auto"/>
          <w:sz w:val="20"/>
          <w:szCs w:val="20"/>
          <w:lang w:val="en-US"/>
        </w:rPr>
        <w:t>gainst</w:t>
      </w:r>
      <w:proofErr w:type="gramEnd"/>
      <w:r w:rsidR="00FE3057" w:rsidRPr="00B82515">
        <w:rPr>
          <w:bCs/>
          <w:color w:val="auto"/>
          <w:sz w:val="20"/>
          <w:szCs w:val="20"/>
          <w:lang w:val="en-US"/>
        </w:rPr>
        <w:t xml:space="preserve"> </w:t>
      </w:r>
      <w:r w:rsidR="0015501E">
        <w:rPr>
          <w:bCs/>
          <w:color w:val="auto"/>
          <w:sz w:val="20"/>
          <w:szCs w:val="20"/>
          <w:lang w:val="en-US"/>
        </w:rPr>
        <w:t xml:space="preserve">the </w:t>
      </w:r>
      <w:r w:rsidR="00FE3057" w:rsidRPr="00B82515">
        <w:rPr>
          <w:bCs/>
          <w:color w:val="auto"/>
          <w:sz w:val="20"/>
          <w:szCs w:val="20"/>
          <w:lang w:val="en-US"/>
        </w:rPr>
        <w:t>Person Act 1994”,</w:t>
      </w:r>
      <w:r w:rsidR="00FE3057" w:rsidRPr="00B82515">
        <w:rPr>
          <w:color w:val="auto"/>
          <w:sz w:val="20"/>
          <w:szCs w:val="20"/>
          <w:lang w:val="en-US"/>
        </w:rPr>
        <w:t xml:space="preserve"> which prescribed </w:t>
      </w:r>
      <w:r w:rsidR="00877311">
        <w:rPr>
          <w:color w:val="auto"/>
          <w:sz w:val="20"/>
          <w:szCs w:val="20"/>
          <w:lang w:val="en-US"/>
        </w:rPr>
        <w:t xml:space="preserve">death penalty </w:t>
      </w:r>
      <w:r w:rsidR="00FE3057" w:rsidRPr="00B82515">
        <w:rPr>
          <w:color w:val="auto"/>
          <w:sz w:val="20"/>
          <w:szCs w:val="20"/>
          <w:lang w:val="en-US"/>
        </w:rPr>
        <w:t xml:space="preserve">as the mandatory punishment for the crime of murder. </w:t>
      </w:r>
    </w:p>
    <w:p w:rsidR="0091407C" w:rsidRPr="00F02127" w:rsidRDefault="0091407C" w:rsidP="00CC1327">
      <w:pPr>
        <w:pStyle w:val="Default"/>
        <w:tabs>
          <w:tab w:val="left" w:pos="567"/>
        </w:tabs>
        <w:jc w:val="both"/>
        <w:rPr>
          <w:color w:val="auto"/>
          <w:sz w:val="20"/>
          <w:szCs w:val="20"/>
          <w:lang w:val="en-US"/>
        </w:rPr>
      </w:pPr>
    </w:p>
    <w:p w:rsidR="0091407C" w:rsidRPr="00B82515" w:rsidRDefault="001426D6" w:rsidP="00CC1327">
      <w:pPr>
        <w:pStyle w:val="Default"/>
        <w:numPr>
          <w:ilvl w:val="0"/>
          <w:numId w:val="1"/>
        </w:numPr>
        <w:tabs>
          <w:tab w:val="left" w:pos="567"/>
        </w:tabs>
        <w:ind w:left="0" w:hanging="11"/>
        <w:jc w:val="both"/>
        <w:rPr>
          <w:color w:val="auto"/>
          <w:sz w:val="20"/>
          <w:szCs w:val="20"/>
          <w:lang w:val="en-US"/>
        </w:rPr>
      </w:pPr>
      <w:r w:rsidRPr="00B82515">
        <w:rPr>
          <w:color w:val="auto"/>
          <w:sz w:val="20"/>
          <w:szCs w:val="20"/>
          <w:lang w:val="en-US"/>
        </w:rPr>
        <w:t>T</w:t>
      </w:r>
      <w:r w:rsidR="0091407C" w:rsidRPr="00B82515">
        <w:rPr>
          <w:color w:val="auto"/>
          <w:sz w:val="20"/>
          <w:szCs w:val="20"/>
          <w:lang w:val="en-US"/>
        </w:rPr>
        <w:t>he notes of the Secretariat</w:t>
      </w:r>
      <w:r w:rsidR="00EB304A">
        <w:rPr>
          <w:color w:val="auto"/>
          <w:sz w:val="20"/>
          <w:szCs w:val="20"/>
          <w:lang w:val="en-US"/>
        </w:rPr>
        <w:t xml:space="preserve"> of the Court</w:t>
      </w:r>
      <w:r w:rsidR="0091407C" w:rsidRPr="00B82515">
        <w:rPr>
          <w:color w:val="auto"/>
          <w:sz w:val="20"/>
          <w:szCs w:val="20"/>
          <w:lang w:val="en-US"/>
        </w:rPr>
        <w:t xml:space="preserve"> (hereinaft</w:t>
      </w:r>
      <w:r w:rsidR="00C01773">
        <w:rPr>
          <w:color w:val="auto"/>
          <w:sz w:val="20"/>
          <w:szCs w:val="20"/>
          <w:lang w:val="en-US"/>
        </w:rPr>
        <w:t xml:space="preserve">er “the Secretariat”) of April </w:t>
      </w:r>
      <w:r w:rsidR="0091407C" w:rsidRPr="00B82515">
        <w:rPr>
          <w:color w:val="auto"/>
          <w:sz w:val="20"/>
          <w:szCs w:val="20"/>
          <w:lang w:val="en-US"/>
        </w:rPr>
        <w:t>5, 2015, wherein it was communicated to the parties and to the Commission that the President</w:t>
      </w:r>
      <w:r w:rsidR="00EB304A">
        <w:rPr>
          <w:color w:val="auto"/>
          <w:sz w:val="20"/>
          <w:szCs w:val="20"/>
          <w:lang w:val="en-US"/>
        </w:rPr>
        <w:t xml:space="preserve"> of the Court</w:t>
      </w:r>
      <w:r w:rsidR="0091407C" w:rsidRPr="00B82515">
        <w:rPr>
          <w:color w:val="auto"/>
          <w:sz w:val="20"/>
          <w:szCs w:val="20"/>
          <w:lang w:val="en-US"/>
        </w:rPr>
        <w:t xml:space="preserve"> </w:t>
      </w:r>
      <w:r w:rsidRPr="00B82515">
        <w:rPr>
          <w:color w:val="auto"/>
          <w:sz w:val="20"/>
          <w:szCs w:val="20"/>
          <w:lang w:val="en-US"/>
        </w:rPr>
        <w:t xml:space="preserve">considered it necessary to summon them to a private </w:t>
      </w:r>
      <w:r w:rsidR="00400739">
        <w:rPr>
          <w:color w:val="auto"/>
          <w:sz w:val="20"/>
          <w:szCs w:val="20"/>
          <w:lang w:val="en-US"/>
        </w:rPr>
        <w:t xml:space="preserve">hearing on </w:t>
      </w:r>
      <w:r w:rsidRPr="00B82515">
        <w:rPr>
          <w:color w:val="auto"/>
          <w:sz w:val="20"/>
          <w:szCs w:val="20"/>
          <w:lang w:val="en-US"/>
        </w:rPr>
        <w:t xml:space="preserve">monitoring compliance with </w:t>
      </w:r>
      <w:r w:rsidR="00400739">
        <w:rPr>
          <w:color w:val="auto"/>
          <w:sz w:val="20"/>
          <w:szCs w:val="20"/>
          <w:lang w:val="en-US"/>
        </w:rPr>
        <w:t>the J</w:t>
      </w:r>
      <w:r w:rsidRPr="00B82515">
        <w:rPr>
          <w:color w:val="auto"/>
          <w:sz w:val="20"/>
          <w:szCs w:val="20"/>
          <w:lang w:val="en-US"/>
        </w:rPr>
        <w:t>udgment</w:t>
      </w:r>
      <w:r w:rsidR="00400739">
        <w:rPr>
          <w:color w:val="auto"/>
          <w:sz w:val="20"/>
          <w:szCs w:val="20"/>
          <w:lang w:val="en-US"/>
        </w:rPr>
        <w:t>s</w:t>
      </w:r>
      <w:r w:rsidRPr="00B82515">
        <w:rPr>
          <w:color w:val="auto"/>
          <w:sz w:val="20"/>
          <w:szCs w:val="20"/>
          <w:lang w:val="en-US"/>
        </w:rPr>
        <w:t xml:space="preserve"> of both cases, to be held on July 1, 2015, at th</w:t>
      </w:r>
      <w:r w:rsidR="00B82515" w:rsidRPr="00B82515">
        <w:rPr>
          <w:color w:val="auto"/>
          <w:sz w:val="20"/>
          <w:szCs w:val="20"/>
          <w:lang w:val="en-US"/>
        </w:rPr>
        <w:t>e Court</w:t>
      </w:r>
      <w:r w:rsidR="00400739">
        <w:rPr>
          <w:color w:val="auto"/>
          <w:sz w:val="20"/>
          <w:szCs w:val="20"/>
          <w:lang w:val="en-US"/>
        </w:rPr>
        <w:t>’</w:t>
      </w:r>
      <w:r w:rsidR="00B82515" w:rsidRPr="00B82515">
        <w:rPr>
          <w:color w:val="auto"/>
          <w:sz w:val="20"/>
          <w:szCs w:val="20"/>
          <w:lang w:val="en-US"/>
        </w:rPr>
        <w:t>s</w:t>
      </w:r>
      <w:r w:rsidR="0055141A">
        <w:rPr>
          <w:color w:val="auto"/>
          <w:sz w:val="20"/>
          <w:szCs w:val="20"/>
          <w:lang w:val="en-US"/>
        </w:rPr>
        <w:t xml:space="preserve"> seat</w:t>
      </w:r>
      <w:r w:rsidR="00B82515" w:rsidRPr="00B82515">
        <w:rPr>
          <w:color w:val="auto"/>
          <w:sz w:val="20"/>
          <w:szCs w:val="20"/>
          <w:lang w:val="en-US"/>
        </w:rPr>
        <w:t>, during its 109</w:t>
      </w:r>
      <w:r w:rsidR="00EB304A" w:rsidRPr="0015501E">
        <w:rPr>
          <w:color w:val="auto"/>
          <w:sz w:val="20"/>
          <w:szCs w:val="20"/>
          <w:vertAlign w:val="superscript"/>
          <w:lang w:val="en-US"/>
        </w:rPr>
        <w:t>th</w:t>
      </w:r>
      <w:r w:rsidR="00B82515" w:rsidRPr="00B82515">
        <w:rPr>
          <w:color w:val="auto"/>
          <w:sz w:val="20"/>
          <w:szCs w:val="20"/>
          <w:lang w:val="en-US"/>
        </w:rPr>
        <w:t xml:space="preserve"> Regular </w:t>
      </w:r>
      <w:r w:rsidR="007A547B">
        <w:rPr>
          <w:color w:val="auto"/>
          <w:sz w:val="20"/>
          <w:szCs w:val="20"/>
          <w:lang w:val="en-US"/>
        </w:rPr>
        <w:t xml:space="preserve">Period of </w:t>
      </w:r>
      <w:r w:rsidR="00B82515" w:rsidRPr="00B82515">
        <w:rPr>
          <w:color w:val="auto"/>
          <w:sz w:val="20"/>
          <w:szCs w:val="20"/>
          <w:lang w:val="en-US"/>
        </w:rPr>
        <w:t>Session</w:t>
      </w:r>
      <w:r w:rsidR="007A547B">
        <w:rPr>
          <w:color w:val="auto"/>
          <w:sz w:val="20"/>
          <w:szCs w:val="20"/>
          <w:lang w:val="en-US"/>
        </w:rPr>
        <w:t>s</w:t>
      </w:r>
      <w:r w:rsidR="00B82515" w:rsidRPr="00B82515">
        <w:rPr>
          <w:color w:val="auto"/>
          <w:sz w:val="20"/>
          <w:szCs w:val="20"/>
          <w:lang w:val="en-US"/>
        </w:rPr>
        <w:t xml:space="preserve">. </w:t>
      </w:r>
    </w:p>
    <w:p w:rsidR="00B82515" w:rsidRPr="00B82515" w:rsidRDefault="00B82515" w:rsidP="00CC1327">
      <w:pPr>
        <w:pStyle w:val="ListParagraph"/>
        <w:tabs>
          <w:tab w:val="left" w:pos="567"/>
        </w:tabs>
        <w:spacing w:after="0" w:line="240" w:lineRule="auto"/>
        <w:ind w:left="0"/>
        <w:jc w:val="both"/>
        <w:rPr>
          <w:sz w:val="20"/>
          <w:szCs w:val="20"/>
          <w:lang w:val="en-US"/>
        </w:rPr>
      </w:pPr>
    </w:p>
    <w:p w:rsidR="00B82515" w:rsidRPr="00B82515" w:rsidRDefault="00B82515" w:rsidP="00CC1327">
      <w:pPr>
        <w:pStyle w:val="Default"/>
        <w:numPr>
          <w:ilvl w:val="0"/>
          <w:numId w:val="1"/>
        </w:numPr>
        <w:tabs>
          <w:tab w:val="left" w:pos="567"/>
        </w:tabs>
        <w:ind w:left="0" w:firstLine="0"/>
        <w:jc w:val="both"/>
        <w:rPr>
          <w:color w:val="auto"/>
          <w:sz w:val="20"/>
          <w:szCs w:val="20"/>
          <w:lang w:val="en-US"/>
        </w:rPr>
      </w:pPr>
      <w:r w:rsidRPr="00B82515">
        <w:rPr>
          <w:color w:val="auto"/>
          <w:sz w:val="20"/>
          <w:szCs w:val="20"/>
          <w:lang w:val="en-US"/>
        </w:rPr>
        <w:t xml:space="preserve">The brief presented </w:t>
      </w:r>
      <w:r w:rsidR="00400739">
        <w:rPr>
          <w:color w:val="auto"/>
          <w:sz w:val="20"/>
          <w:szCs w:val="20"/>
          <w:lang w:val="en-US"/>
        </w:rPr>
        <w:t>on</w:t>
      </w:r>
      <w:r w:rsidR="00400739" w:rsidRPr="00B82515">
        <w:rPr>
          <w:color w:val="auto"/>
          <w:sz w:val="20"/>
          <w:szCs w:val="20"/>
          <w:lang w:val="en-US"/>
        </w:rPr>
        <w:t xml:space="preserve"> </w:t>
      </w:r>
      <w:r w:rsidRPr="00B82515">
        <w:rPr>
          <w:color w:val="auto"/>
          <w:sz w:val="20"/>
          <w:szCs w:val="20"/>
          <w:lang w:val="en-US"/>
        </w:rPr>
        <w:t>June 25, 2015, wherein Barbados requested</w:t>
      </w:r>
      <w:r w:rsidR="007A547B">
        <w:rPr>
          <w:color w:val="auto"/>
          <w:sz w:val="20"/>
          <w:szCs w:val="20"/>
          <w:lang w:val="en-US"/>
        </w:rPr>
        <w:t xml:space="preserve"> that</w:t>
      </w:r>
      <w:r w:rsidRPr="00B82515">
        <w:rPr>
          <w:color w:val="auto"/>
          <w:sz w:val="20"/>
          <w:szCs w:val="20"/>
          <w:lang w:val="en-US"/>
        </w:rPr>
        <w:t xml:space="preserve">, </w:t>
      </w:r>
      <w:r w:rsidR="007A547B">
        <w:rPr>
          <w:color w:val="auto"/>
          <w:sz w:val="20"/>
          <w:szCs w:val="20"/>
          <w:lang w:val="en-US"/>
        </w:rPr>
        <w:t>“</w:t>
      </w:r>
      <w:r w:rsidRPr="00B82515">
        <w:rPr>
          <w:color w:val="auto"/>
          <w:sz w:val="20"/>
          <w:szCs w:val="20"/>
          <w:lang w:val="en-US"/>
        </w:rPr>
        <w:t>in light of current exigencies of the Government</w:t>
      </w:r>
      <w:r w:rsidR="007A547B">
        <w:rPr>
          <w:color w:val="auto"/>
          <w:sz w:val="20"/>
          <w:szCs w:val="20"/>
          <w:lang w:val="en-US"/>
        </w:rPr>
        <w:t>”</w:t>
      </w:r>
      <w:r w:rsidR="00400739">
        <w:rPr>
          <w:color w:val="auto"/>
          <w:sz w:val="20"/>
          <w:szCs w:val="20"/>
          <w:lang w:val="en-US"/>
        </w:rPr>
        <w:t>,</w:t>
      </w:r>
      <w:r w:rsidRPr="00B82515">
        <w:rPr>
          <w:color w:val="auto"/>
          <w:sz w:val="20"/>
          <w:szCs w:val="20"/>
          <w:lang w:val="en-US"/>
        </w:rPr>
        <w:t xml:space="preserve"> the hearing </w:t>
      </w:r>
      <w:r w:rsidR="007A547B">
        <w:rPr>
          <w:color w:val="auto"/>
          <w:sz w:val="20"/>
          <w:szCs w:val="20"/>
          <w:lang w:val="en-US"/>
        </w:rPr>
        <w:t>“</w:t>
      </w:r>
      <w:r w:rsidRPr="00B82515">
        <w:rPr>
          <w:color w:val="auto"/>
          <w:sz w:val="20"/>
          <w:szCs w:val="20"/>
          <w:lang w:val="en-US"/>
        </w:rPr>
        <w:t>be deferred</w:t>
      </w:r>
      <w:r w:rsidR="007A547B">
        <w:rPr>
          <w:color w:val="auto"/>
          <w:sz w:val="20"/>
          <w:szCs w:val="20"/>
          <w:lang w:val="en-US"/>
        </w:rPr>
        <w:t>”</w:t>
      </w:r>
      <w:r w:rsidRPr="00B82515">
        <w:rPr>
          <w:color w:val="auto"/>
          <w:sz w:val="20"/>
          <w:szCs w:val="20"/>
          <w:lang w:val="en-US"/>
        </w:rPr>
        <w:t xml:space="preserve">. </w:t>
      </w:r>
    </w:p>
    <w:p w:rsidR="00B82515" w:rsidRDefault="00B82515" w:rsidP="00CC1327">
      <w:pPr>
        <w:pStyle w:val="Default"/>
        <w:tabs>
          <w:tab w:val="left" w:pos="567"/>
        </w:tabs>
        <w:rPr>
          <w:lang w:val="en-US"/>
        </w:rPr>
      </w:pPr>
    </w:p>
    <w:p w:rsidR="00B82515" w:rsidRPr="00B82515" w:rsidRDefault="00B82515" w:rsidP="00CC1327">
      <w:pPr>
        <w:pStyle w:val="Default"/>
        <w:numPr>
          <w:ilvl w:val="0"/>
          <w:numId w:val="1"/>
        </w:numPr>
        <w:tabs>
          <w:tab w:val="left" w:pos="567"/>
        </w:tabs>
        <w:ind w:left="0" w:firstLine="0"/>
        <w:jc w:val="both"/>
        <w:rPr>
          <w:lang w:val="en-US"/>
        </w:rPr>
      </w:pPr>
      <w:r>
        <w:rPr>
          <w:color w:val="auto"/>
          <w:sz w:val="20"/>
          <w:szCs w:val="20"/>
          <w:lang w:val="en-US"/>
        </w:rPr>
        <w:t xml:space="preserve">The notes of the Secretariat of June 25, 2015, </w:t>
      </w:r>
      <w:r w:rsidR="00D25F4E">
        <w:rPr>
          <w:sz w:val="20"/>
          <w:szCs w:val="20"/>
          <w:lang w:val="en-US"/>
        </w:rPr>
        <w:t xml:space="preserve">wherein it was communicated to </w:t>
      </w:r>
      <w:r w:rsidRPr="00B82515">
        <w:rPr>
          <w:sz w:val="20"/>
          <w:szCs w:val="20"/>
          <w:lang w:val="en-US"/>
        </w:rPr>
        <w:t>th</w:t>
      </w:r>
      <w:r w:rsidR="00D66BC4">
        <w:rPr>
          <w:sz w:val="20"/>
          <w:szCs w:val="20"/>
          <w:lang w:val="en-US"/>
        </w:rPr>
        <w:t>e parties and to the Commission</w:t>
      </w:r>
      <w:r w:rsidR="00400739">
        <w:rPr>
          <w:sz w:val="20"/>
          <w:szCs w:val="20"/>
          <w:lang w:val="en-US"/>
        </w:rPr>
        <w:t xml:space="preserve"> that</w:t>
      </w:r>
      <w:r w:rsidR="00D66BC4">
        <w:rPr>
          <w:sz w:val="20"/>
          <w:szCs w:val="20"/>
          <w:lang w:val="en-US"/>
        </w:rPr>
        <w:t xml:space="preserve">, </w:t>
      </w:r>
      <w:r w:rsidR="00400739">
        <w:rPr>
          <w:sz w:val="20"/>
          <w:szCs w:val="20"/>
          <w:lang w:val="en-US"/>
        </w:rPr>
        <w:t>at</w:t>
      </w:r>
      <w:r w:rsidR="00D66BC4">
        <w:rPr>
          <w:sz w:val="20"/>
          <w:szCs w:val="20"/>
          <w:lang w:val="en-US"/>
        </w:rPr>
        <w:t xml:space="preserve"> the request of </w:t>
      </w:r>
      <w:r w:rsidR="0097646A">
        <w:rPr>
          <w:sz w:val="20"/>
          <w:szCs w:val="20"/>
          <w:lang w:val="en-US"/>
        </w:rPr>
        <w:t xml:space="preserve">the </w:t>
      </w:r>
      <w:r w:rsidR="00D66BC4">
        <w:rPr>
          <w:sz w:val="20"/>
          <w:szCs w:val="20"/>
          <w:lang w:val="en-US"/>
        </w:rPr>
        <w:t>State</w:t>
      </w:r>
      <w:r w:rsidR="00400739">
        <w:rPr>
          <w:sz w:val="20"/>
          <w:szCs w:val="20"/>
          <w:lang w:val="en-US"/>
        </w:rPr>
        <w:t>,</w:t>
      </w:r>
      <w:r w:rsidR="00D66BC4">
        <w:rPr>
          <w:sz w:val="20"/>
          <w:szCs w:val="20"/>
          <w:lang w:val="en-US"/>
        </w:rPr>
        <w:t xml:space="preserve"> the Court had decided to defer the hearing that was </w:t>
      </w:r>
      <w:r w:rsidR="00400739">
        <w:rPr>
          <w:sz w:val="20"/>
          <w:szCs w:val="20"/>
          <w:lang w:val="en-US"/>
        </w:rPr>
        <w:t xml:space="preserve">scheduled </w:t>
      </w:r>
      <w:r w:rsidR="00D66BC4">
        <w:rPr>
          <w:sz w:val="20"/>
          <w:szCs w:val="20"/>
          <w:lang w:val="en-US"/>
        </w:rPr>
        <w:t xml:space="preserve">for July 1, 2015. </w:t>
      </w:r>
    </w:p>
    <w:p w:rsidR="00B82515" w:rsidRDefault="00B82515" w:rsidP="00CC1327">
      <w:pPr>
        <w:pStyle w:val="Default"/>
        <w:tabs>
          <w:tab w:val="left" w:pos="567"/>
        </w:tabs>
        <w:jc w:val="both"/>
        <w:rPr>
          <w:color w:val="auto"/>
          <w:sz w:val="20"/>
          <w:szCs w:val="20"/>
          <w:lang w:val="en-US"/>
        </w:rPr>
      </w:pPr>
    </w:p>
    <w:p w:rsidR="0091407C" w:rsidRPr="00F02127" w:rsidRDefault="00222E1A" w:rsidP="00CC1327">
      <w:pPr>
        <w:pStyle w:val="Default"/>
        <w:numPr>
          <w:ilvl w:val="0"/>
          <w:numId w:val="1"/>
        </w:numPr>
        <w:tabs>
          <w:tab w:val="left" w:pos="567"/>
        </w:tabs>
        <w:ind w:left="0" w:firstLine="0"/>
        <w:jc w:val="both"/>
        <w:rPr>
          <w:sz w:val="20"/>
          <w:szCs w:val="20"/>
          <w:lang w:val="en-US"/>
        </w:rPr>
      </w:pPr>
      <w:r w:rsidRPr="002338D5">
        <w:rPr>
          <w:sz w:val="20"/>
          <w:szCs w:val="20"/>
          <w:lang w:val="en-US"/>
        </w:rPr>
        <w:lastRenderedPageBreak/>
        <w:t xml:space="preserve">The brief </w:t>
      </w:r>
      <w:r w:rsidR="00400739">
        <w:rPr>
          <w:sz w:val="20"/>
          <w:szCs w:val="20"/>
          <w:lang w:val="en-US"/>
        </w:rPr>
        <w:t>presented on</w:t>
      </w:r>
      <w:r w:rsidR="00400739" w:rsidRPr="002338D5">
        <w:rPr>
          <w:sz w:val="20"/>
          <w:szCs w:val="20"/>
          <w:lang w:val="en-US"/>
        </w:rPr>
        <w:t xml:space="preserve"> </w:t>
      </w:r>
      <w:r w:rsidRPr="002338D5">
        <w:rPr>
          <w:sz w:val="20"/>
          <w:szCs w:val="20"/>
          <w:lang w:val="en-US"/>
        </w:rPr>
        <w:t xml:space="preserve">July 9, 2015, wherein the </w:t>
      </w:r>
      <w:r w:rsidR="00785048">
        <w:rPr>
          <w:sz w:val="20"/>
          <w:szCs w:val="20"/>
          <w:lang w:val="en-US"/>
        </w:rPr>
        <w:t xml:space="preserve">victims’ </w:t>
      </w:r>
      <w:r w:rsidRPr="002338D5">
        <w:rPr>
          <w:sz w:val="20"/>
          <w:szCs w:val="20"/>
          <w:lang w:val="en-US"/>
        </w:rPr>
        <w:t>representative</w:t>
      </w:r>
      <w:r w:rsidR="00F243E5">
        <w:rPr>
          <w:sz w:val="20"/>
          <w:szCs w:val="20"/>
          <w:lang w:val="en-US"/>
        </w:rPr>
        <w:t>s</w:t>
      </w:r>
      <w:r w:rsidR="00F243E5">
        <w:rPr>
          <w:rStyle w:val="FootnoteReference"/>
          <w:sz w:val="20"/>
          <w:szCs w:val="20"/>
          <w:lang w:val="en-US"/>
        </w:rPr>
        <w:footnoteReference w:id="1"/>
      </w:r>
      <w:r w:rsidRPr="002338D5">
        <w:rPr>
          <w:sz w:val="20"/>
          <w:szCs w:val="20"/>
          <w:lang w:val="en-US"/>
        </w:rPr>
        <w:t xml:space="preserve"> </w:t>
      </w:r>
      <w:r w:rsidR="00B76A5C">
        <w:rPr>
          <w:sz w:val="20"/>
          <w:szCs w:val="20"/>
          <w:lang w:val="en-US"/>
        </w:rPr>
        <w:t>in</w:t>
      </w:r>
      <w:r w:rsidR="00B76A5C" w:rsidRPr="002338D5">
        <w:rPr>
          <w:sz w:val="20"/>
          <w:szCs w:val="20"/>
          <w:lang w:val="en-US"/>
        </w:rPr>
        <w:t xml:space="preserve"> </w:t>
      </w:r>
      <w:r w:rsidRPr="002338D5">
        <w:rPr>
          <w:sz w:val="20"/>
          <w:szCs w:val="20"/>
          <w:lang w:val="en-US"/>
        </w:rPr>
        <w:t xml:space="preserve">both cases requested </w:t>
      </w:r>
      <w:r w:rsidR="00386B33" w:rsidRPr="002338D5">
        <w:rPr>
          <w:sz w:val="20"/>
          <w:szCs w:val="20"/>
          <w:lang w:val="en-US"/>
        </w:rPr>
        <w:t>access to</w:t>
      </w:r>
      <w:r w:rsidRPr="002338D5">
        <w:rPr>
          <w:sz w:val="20"/>
          <w:szCs w:val="20"/>
          <w:lang w:val="en-US"/>
        </w:rPr>
        <w:t xml:space="preserve"> the Victims</w:t>
      </w:r>
      <w:r w:rsidR="00B76A5C">
        <w:rPr>
          <w:sz w:val="20"/>
          <w:szCs w:val="20"/>
          <w:lang w:val="en-US"/>
        </w:rPr>
        <w:t>’</w:t>
      </w:r>
      <w:r w:rsidRPr="002338D5">
        <w:rPr>
          <w:sz w:val="20"/>
          <w:szCs w:val="20"/>
          <w:lang w:val="en-US"/>
        </w:rPr>
        <w:t xml:space="preserve"> Legal Assistance Fund</w:t>
      </w:r>
      <w:r w:rsidR="00386B33" w:rsidRPr="002338D5">
        <w:rPr>
          <w:sz w:val="20"/>
          <w:szCs w:val="20"/>
          <w:lang w:val="en-US"/>
        </w:rPr>
        <w:t xml:space="preserve"> </w:t>
      </w:r>
      <w:r w:rsidR="00386B33" w:rsidRPr="002338D5">
        <w:rPr>
          <w:color w:val="auto"/>
          <w:sz w:val="20"/>
          <w:szCs w:val="20"/>
          <w:lang w:val="en-US"/>
        </w:rPr>
        <w:t>(hereinafter “Victims</w:t>
      </w:r>
      <w:r w:rsidR="00B76A5C">
        <w:rPr>
          <w:color w:val="auto"/>
          <w:sz w:val="20"/>
          <w:szCs w:val="20"/>
          <w:lang w:val="en-US"/>
        </w:rPr>
        <w:t>’</w:t>
      </w:r>
      <w:r w:rsidR="00386B33" w:rsidRPr="002338D5">
        <w:rPr>
          <w:color w:val="auto"/>
          <w:sz w:val="20"/>
          <w:szCs w:val="20"/>
          <w:lang w:val="en-US"/>
        </w:rPr>
        <w:t xml:space="preserve"> Fund”) </w:t>
      </w:r>
      <w:r w:rsidR="00785048">
        <w:rPr>
          <w:color w:val="auto"/>
          <w:sz w:val="20"/>
          <w:szCs w:val="20"/>
          <w:lang w:val="en-US"/>
        </w:rPr>
        <w:t xml:space="preserve">in relation to </w:t>
      </w:r>
      <w:r w:rsidR="00B76A5C">
        <w:rPr>
          <w:color w:val="auto"/>
          <w:sz w:val="20"/>
          <w:szCs w:val="20"/>
          <w:lang w:val="en-US"/>
        </w:rPr>
        <w:t xml:space="preserve">the planned appearance of </w:t>
      </w:r>
      <w:r w:rsidR="00400739">
        <w:rPr>
          <w:color w:val="auto"/>
          <w:sz w:val="20"/>
          <w:szCs w:val="20"/>
          <w:lang w:val="en-US"/>
        </w:rPr>
        <w:t>Mr.</w:t>
      </w:r>
      <w:r w:rsidR="00400739" w:rsidRPr="002338D5">
        <w:rPr>
          <w:color w:val="auto"/>
          <w:sz w:val="20"/>
          <w:szCs w:val="20"/>
          <w:lang w:val="en-US"/>
        </w:rPr>
        <w:t xml:space="preserve"> </w:t>
      </w:r>
      <w:r w:rsidR="002338D5" w:rsidRPr="002338D5">
        <w:rPr>
          <w:sz w:val="20"/>
          <w:szCs w:val="20"/>
          <w:lang w:val="en-US"/>
        </w:rPr>
        <w:t xml:space="preserve">Saul Lehrfreund and </w:t>
      </w:r>
      <w:r w:rsidR="00400739">
        <w:rPr>
          <w:sz w:val="20"/>
          <w:szCs w:val="20"/>
          <w:lang w:val="en-US"/>
        </w:rPr>
        <w:t>Mr.</w:t>
      </w:r>
      <w:r w:rsidR="00400739" w:rsidRPr="002338D5">
        <w:rPr>
          <w:sz w:val="20"/>
          <w:szCs w:val="20"/>
          <w:lang w:val="en-US"/>
        </w:rPr>
        <w:t xml:space="preserve"> </w:t>
      </w:r>
      <w:r w:rsidR="002338D5" w:rsidRPr="002338D5">
        <w:rPr>
          <w:sz w:val="20"/>
          <w:szCs w:val="20"/>
          <w:lang w:val="en-US"/>
        </w:rPr>
        <w:t>Andrew Pilgrim QC</w:t>
      </w:r>
      <w:r w:rsidR="00FB53D8">
        <w:rPr>
          <w:sz w:val="20"/>
          <w:szCs w:val="20"/>
          <w:lang w:val="en-US"/>
        </w:rPr>
        <w:t xml:space="preserve"> </w:t>
      </w:r>
      <w:r w:rsidR="002338D5" w:rsidRPr="002338D5">
        <w:rPr>
          <w:sz w:val="20"/>
          <w:szCs w:val="20"/>
          <w:lang w:val="en-US"/>
        </w:rPr>
        <w:t>as the victims</w:t>
      </w:r>
      <w:r w:rsidR="00B76A5C">
        <w:rPr>
          <w:sz w:val="20"/>
          <w:szCs w:val="20"/>
          <w:lang w:val="en-US"/>
        </w:rPr>
        <w:t>’</w:t>
      </w:r>
      <w:r w:rsidR="002338D5" w:rsidRPr="002338D5">
        <w:rPr>
          <w:sz w:val="20"/>
          <w:szCs w:val="20"/>
          <w:lang w:val="en-US"/>
        </w:rPr>
        <w:t xml:space="preserve"> representatives </w:t>
      </w:r>
      <w:r w:rsidR="002338D5">
        <w:rPr>
          <w:sz w:val="20"/>
          <w:szCs w:val="20"/>
          <w:lang w:val="en-US"/>
        </w:rPr>
        <w:t>at</w:t>
      </w:r>
      <w:r w:rsidR="002338D5" w:rsidRPr="002338D5">
        <w:rPr>
          <w:sz w:val="20"/>
          <w:szCs w:val="20"/>
          <w:lang w:val="en-US"/>
        </w:rPr>
        <w:t xml:space="preserve"> the </w:t>
      </w:r>
      <w:r w:rsidR="00785048">
        <w:rPr>
          <w:color w:val="auto"/>
          <w:sz w:val="20"/>
          <w:szCs w:val="20"/>
          <w:lang w:val="en-US"/>
        </w:rPr>
        <w:t>aforementioned</w:t>
      </w:r>
      <w:r w:rsidR="002338D5" w:rsidRPr="002338D5">
        <w:rPr>
          <w:color w:val="auto"/>
          <w:sz w:val="20"/>
          <w:szCs w:val="20"/>
          <w:lang w:val="en-US"/>
        </w:rPr>
        <w:t xml:space="preserve"> hearing</w:t>
      </w:r>
      <w:r w:rsidR="002338D5">
        <w:rPr>
          <w:color w:val="auto"/>
          <w:sz w:val="20"/>
          <w:szCs w:val="20"/>
          <w:lang w:val="en-US"/>
        </w:rPr>
        <w:t>.</w:t>
      </w:r>
    </w:p>
    <w:p w:rsidR="008C4FC0" w:rsidRPr="00807CBD" w:rsidRDefault="008C4FC0" w:rsidP="00CC1327">
      <w:pPr>
        <w:pStyle w:val="Default"/>
        <w:tabs>
          <w:tab w:val="left" w:pos="567"/>
        </w:tabs>
        <w:rPr>
          <w:color w:val="auto"/>
          <w:sz w:val="20"/>
          <w:szCs w:val="20"/>
          <w:lang w:val="en-US"/>
        </w:rPr>
      </w:pPr>
    </w:p>
    <w:p w:rsidR="008C4FC0" w:rsidRPr="00FA2B31" w:rsidRDefault="008C4FC0" w:rsidP="00CC1327">
      <w:pPr>
        <w:pStyle w:val="Default"/>
        <w:numPr>
          <w:ilvl w:val="0"/>
          <w:numId w:val="1"/>
        </w:numPr>
        <w:tabs>
          <w:tab w:val="left" w:pos="567"/>
        </w:tabs>
        <w:ind w:left="0" w:firstLine="0"/>
        <w:jc w:val="both"/>
        <w:rPr>
          <w:lang w:val="en-US"/>
        </w:rPr>
      </w:pPr>
      <w:r w:rsidRPr="008C4FC0">
        <w:rPr>
          <w:color w:val="auto"/>
          <w:sz w:val="20"/>
          <w:szCs w:val="20"/>
          <w:lang w:val="en-US"/>
        </w:rPr>
        <w:t>The notes of the Secretariat of July</w:t>
      </w:r>
      <w:r w:rsidR="00FA2B31">
        <w:rPr>
          <w:color w:val="auto"/>
          <w:sz w:val="20"/>
          <w:szCs w:val="20"/>
          <w:lang w:val="en-US"/>
        </w:rPr>
        <w:t xml:space="preserve"> 9</w:t>
      </w:r>
      <w:r w:rsidRPr="008C4FC0">
        <w:rPr>
          <w:color w:val="auto"/>
          <w:sz w:val="20"/>
          <w:szCs w:val="20"/>
          <w:lang w:val="en-US"/>
        </w:rPr>
        <w:t xml:space="preserve">, 2015, wherein </w:t>
      </w:r>
      <w:r w:rsidRPr="00F02127">
        <w:rPr>
          <w:sz w:val="20"/>
          <w:szCs w:val="20"/>
          <w:lang w:val="en-US"/>
        </w:rPr>
        <w:t xml:space="preserve">it was communicated to the parties and to the Commission that the </w:t>
      </w:r>
      <w:r>
        <w:rPr>
          <w:sz w:val="20"/>
          <w:szCs w:val="20"/>
          <w:lang w:val="en-US"/>
        </w:rPr>
        <w:t>President o</w:t>
      </w:r>
      <w:r w:rsidR="00D929DA">
        <w:rPr>
          <w:sz w:val="20"/>
          <w:szCs w:val="20"/>
          <w:lang w:val="en-US"/>
        </w:rPr>
        <w:t>f the Court had decided to reschedule</w:t>
      </w:r>
      <w:r>
        <w:rPr>
          <w:sz w:val="20"/>
          <w:szCs w:val="20"/>
          <w:lang w:val="en-US"/>
        </w:rPr>
        <w:t xml:space="preserve"> </w:t>
      </w:r>
      <w:r w:rsidRPr="002338D5">
        <w:rPr>
          <w:sz w:val="20"/>
          <w:szCs w:val="20"/>
          <w:lang w:val="en-US"/>
        </w:rPr>
        <w:t xml:space="preserve">the </w:t>
      </w:r>
      <w:r w:rsidRPr="002338D5">
        <w:rPr>
          <w:color w:val="auto"/>
          <w:sz w:val="20"/>
          <w:szCs w:val="20"/>
          <w:lang w:val="en-US"/>
        </w:rPr>
        <w:t xml:space="preserve">private monitoring compliance with </w:t>
      </w:r>
      <w:r w:rsidR="00785048">
        <w:rPr>
          <w:color w:val="auto"/>
          <w:sz w:val="20"/>
          <w:szCs w:val="20"/>
          <w:lang w:val="en-US"/>
        </w:rPr>
        <w:t>the J</w:t>
      </w:r>
      <w:r w:rsidRPr="002338D5">
        <w:rPr>
          <w:color w:val="auto"/>
          <w:sz w:val="20"/>
          <w:szCs w:val="20"/>
          <w:lang w:val="en-US"/>
        </w:rPr>
        <w:t>udgment</w:t>
      </w:r>
      <w:r w:rsidR="00785048">
        <w:rPr>
          <w:color w:val="auto"/>
          <w:sz w:val="20"/>
          <w:szCs w:val="20"/>
          <w:lang w:val="en-US"/>
        </w:rPr>
        <w:t>s</w:t>
      </w:r>
      <w:r w:rsidRPr="002338D5">
        <w:rPr>
          <w:color w:val="auto"/>
          <w:sz w:val="20"/>
          <w:szCs w:val="20"/>
          <w:lang w:val="en-US"/>
        </w:rPr>
        <w:t xml:space="preserve"> hearing</w:t>
      </w:r>
      <w:r>
        <w:rPr>
          <w:color w:val="auto"/>
          <w:sz w:val="20"/>
          <w:szCs w:val="20"/>
          <w:lang w:val="en-US"/>
        </w:rPr>
        <w:t xml:space="preserve"> </w:t>
      </w:r>
      <w:r w:rsidR="00785048">
        <w:rPr>
          <w:color w:val="auto"/>
          <w:sz w:val="20"/>
          <w:szCs w:val="20"/>
          <w:lang w:val="en-US"/>
        </w:rPr>
        <w:t xml:space="preserve">until </w:t>
      </w:r>
      <w:r>
        <w:rPr>
          <w:color w:val="auto"/>
          <w:sz w:val="20"/>
          <w:szCs w:val="20"/>
          <w:lang w:val="en-US"/>
        </w:rPr>
        <w:t xml:space="preserve">September 3, 2015, </w:t>
      </w:r>
      <w:r w:rsidRPr="00B82515">
        <w:rPr>
          <w:color w:val="auto"/>
          <w:sz w:val="20"/>
          <w:szCs w:val="20"/>
          <w:lang w:val="en-US"/>
        </w:rPr>
        <w:t>at the Cour</w:t>
      </w:r>
      <w:r>
        <w:rPr>
          <w:color w:val="auto"/>
          <w:sz w:val="20"/>
          <w:szCs w:val="20"/>
          <w:lang w:val="en-US"/>
        </w:rPr>
        <w:t>t</w:t>
      </w:r>
      <w:r w:rsidR="00785048">
        <w:rPr>
          <w:color w:val="auto"/>
          <w:sz w:val="20"/>
          <w:szCs w:val="20"/>
          <w:lang w:val="en-US"/>
        </w:rPr>
        <w:t>’</w:t>
      </w:r>
      <w:r w:rsidR="0055141A">
        <w:rPr>
          <w:color w:val="auto"/>
          <w:sz w:val="20"/>
          <w:szCs w:val="20"/>
          <w:lang w:val="en-US"/>
        </w:rPr>
        <w:t>s seat</w:t>
      </w:r>
      <w:r>
        <w:rPr>
          <w:color w:val="auto"/>
          <w:sz w:val="20"/>
          <w:szCs w:val="20"/>
          <w:lang w:val="en-US"/>
        </w:rPr>
        <w:t>, during its 110</w:t>
      </w:r>
      <w:r w:rsidR="00B76A5C" w:rsidRPr="0015501E">
        <w:rPr>
          <w:color w:val="auto"/>
          <w:sz w:val="20"/>
          <w:szCs w:val="20"/>
          <w:vertAlign w:val="superscript"/>
          <w:lang w:val="en-US"/>
        </w:rPr>
        <w:t>th</w:t>
      </w:r>
      <w:r w:rsidRPr="00B82515">
        <w:rPr>
          <w:color w:val="auto"/>
          <w:sz w:val="20"/>
          <w:szCs w:val="20"/>
          <w:lang w:val="en-US"/>
        </w:rPr>
        <w:t xml:space="preserve"> Regular </w:t>
      </w:r>
      <w:r w:rsidR="00D929DA">
        <w:rPr>
          <w:color w:val="auto"/>
          <w:sz w:val="20"/>
          <w:szCs w:val="20"/>
          <w:lang w:val="en-US"/>
        </w:rPr>
        <w:t xml:space="preserve">Period of </w:t>
      </w:r>
      <w:r w:rsidRPr="00B82515">
        <w:rPr>
          <w:color w:val="auto"/>
          <w:sz w:val="20"/>
          <w:szCs w:val="20"/>
          <w:lang w:val="en-US"/>
        </w:rPr>
        <w:t>Session</w:t>
      </w:r>
      <w:r w:rsidR="00D929DA">
        <w:rPr>
          <w:color w:val="auto"/>
          <w:sz w:val="20"/>
          <w:szCs w:val="20"/>
          <w:lang w:val="en-US"/>
        </w:rPr>
        <w:t>s</w:t>
      </w:r>
      <w:r w:rsidRPr="00B82515">
        <w:rPr>
          <w:color w:val="auto"/>
          <w:sz w:val="20"/>
          <w:szCs w:val="20"/>
          <w:lang w:val="en-US"/>
        </w:rPr>
        <w:t xml:space="preserve">. </w:t>
      </w:r>
    </w:p>
    <w:p w:rsidR="00FA2B31" w:rsidRDefault="00FA2B31" w:rsidP="00CC1327">
      <w:pPr>
        <w:pStyle w:val="ListParagraph"/>
        <w:tabs>
          <w:tab w:val="left" w:pos="567"/>
        </w:tabs>
        <w:spacing w:after="0" w:line="240" w:lineRule="auto"/>
        <w:ind w:left="0"/>
        <w:rPr>
          <w:lang w:val="en-US"/>
        </w:rPr>
      </w:pPr>
    </w:p>
    <w:p w:rsidR="00FA2B31" w:rsidRPr="00AB4605" w:rsidRDefault="00FA2B31" w:rsidP="00CC1327">
      <w:pPr>
        <w:pStyle w:val="Default"/>
        <w:numPr>
          <w:ilvl w:val="0"/>
          <w:numId w:val="1"/>
        </w:numPr>
        <w:tabs>
          <w:tab w:val="left" w:pos="567"/>
        </w:tabs>
        <w:ind w:left="0" w:firstLine="0"/>
        <w:jc w:val="both"/>
        <w:rPr>
          <w:lang w:val="en-US"/>
        </w:rPr>
      </w:pPr>
      <w:r w:rsidRPr="008C4FC0">
        <w:rPr>
          <w:color w:val="auto"/>
          <w:sz w:val="20"/>
          <w:szCs w:val="20"/>
          <w:lang w:val="en-US"/>
        </w:rPr>
        <w:t>The notes of the Secretariat of July</w:t>
      </w:r>
      <w:r>
        <w:rPr>
          <w:color w:val="auto"/>
          <w:sz w:val="20"/>
          <w:szCs w:val="20"/>
          <w:lang w:val="en-US"/>
        </w:rPr>
        <w:t xml:space="preserve"> 14, 2015, wherein the Court </w:t>
      </w:r>
      <w:r w:rsidR="00AB4605">
        <w:rPr>
          <w:color w:val="auto"/>
          <w:sz w:val="20"/>
          <w:szCs w:val="20"/>
          <w:lang w:val="en-US"/>
        </w:rPr>
        <w:t>forwarded</w:t>
      </w:r>
      <w:r>
        <w:rPr>
          <w:color w:val="auto"/>
          <w:sz w:val="20"/>
          <w:szCs w:val="20"/>
          <w:lang w:val="en-US"/>
        </w:rPr>
        <w:t xml:space="preserve"> </w:t>
      </w:r>
      <w:r w:rsidRPr="00F02127">
        <w:rPr>
          <w:sz w:val="20"/>
          <w:szCs w:val="20"/>
          <w:lang w:val="en-US"/>
        </w:rPr>
        <w:t>to the parties and to the Commission</w:t>
      </w:r>
      <w:r>
        <w:rPr>
          <w:sz w:val="20"/>
          <w:szCs w:val="20"/>
          <w:lang w:val="en-US"/>
        </w:rPr>
        <w:t xml:space="preserve"> the request made by the victims</w:t>
      </w:r>
      <w:r w:rsidR="00B76A5C">
        <w:rPr>
          <w:sz w:val="20"/>
          <w:szCs w:val="20"/>
          <w:lang w:val="en-US"/>
        </w:rPr>
        <w:t>’</w:t>
      </w:r>
      <w:r>
        <w:rPr>
          <w:sz w:val="20"/>
          <w:szCs w:val="20"/>
          <w:lang w:val="en-US"/>
        </w:rPr>
        <w:t xml:space="preserve"> </w:t>
      </w:r>
      <w:r w:rsidR="00AB4605">
        <w:rPr>
          <w:sz w:val="20"/>
          <w:szCs w:val="20"/>
          <w:lang w:val="en-US"/>
        </w:rPr>
        <w:t>representatives (</w:t>
      </w:r>
      <w:r w:rsidR="00AB4605" w:rsidRPr="0015501E">
        <w:rPr>
          <w:i/>
          <w:sz w:val="20"/>
          <w:szCs w:val="20"/>
          <w:lang w:val="en-US"/>
        </w:rPr>
        <w:t>supra</w:t>
      </w:r>
      <w:r w:rsidR="00AB4605">
        <w:rPr>
          <w:sz w:val="20"/>
          <w:szCs w:val="20"/>
          <w:lang w:val="en-US"/>
        </w:rPr>
        <w:t xml:space="preserve"> </w:t>
      </w:r>
      <w:proofErr w:type="gramStart"/>
      <w:r w:rsidR="00B76A5C">
        <w:rPr>
          <w:sz w:val="20"/>
          <w:szCs w:val="20"/>
          <w:lang w:val="en-US"/>
        </w:rPr>
        <w:t>Having</w:t>
      </w:r>
      <w:proofErr w:type="gramEnd"/>
      <w:r w:rsidR="00B76A5C">
        <w:rPr>
          <w:sz w:val="20"/>
          <w:szCs w:val="20"/>
          <w:lang w:val="en-US"/>
        </w:rPr>
        <w:t xml:space="preserve"> S</w:t>
      </w:r>
      <w:r w:rsidR="00AB4605">
        <w:rPr>
          <w:sz w:val="20"/>
          <w:szCs w:val="20"/>
          <w:lang w:val="en-US"/>
        </w:rPr>
        <w:t>een 5)</w:t>
      </w:r>
      <w:r>
        <w:rPr>
          <w:sz w:val="20"/>
          <w:szCs w:val="20"/>
          <w:lang w:val="en-US"/>
        </w:rPr>
        <w:t xml:space="preserve"> and </w:t>
      </w:r>
      <w:r w:rsidR="00AB4605">
        <w:rPr>
          <w:sz w:val="20"/>
          <w:szCs w:val="20"/>
          <w:lang w:val="en-US"/>
        </w:rPr>
        <w:t xml:space="preserve">communicated </w:t>
      </w:r>
      <w:r w:rsidR="00B76A5C">
        <w:rPr>
          <w:sz w:val="20"/>
          <w:szCs w:val="20"/>
          <w:lang w:val="en-US"/>
        </w:rPr>
        <w:t>that the request had been</w:t>
      </w:r>
      <w:r w:rsidR="00AB4605">
        <w:rPr>
          <w:sz w:val="20"/>
          <w:szCs w:val="20"/>
          <w:lang w:val="en-US"/>
        </w:rPr>
        <w:t xml:space="preserve"> put under </w:t>
      </w:r>
      <w:r w:rsidR="00B76A5C">
        <w:rPr>
          <w:sz w:val="20"/>
          <w:szCs w:val="20"/>
          <w:lang w:val="en-US"/>
        </w:rPr>
        <w:t xml:space="preserve">the </w:t>
      </w:r>
      <w:r w:rsidR="00AB4605">
        <w:rPr>
          <w:sz w:val="20"/>
          <w:szCs w:val="20"/>
          <w:lang w:val="en-US"/>
        </w:rPr>
        <w:t xml:space="preserve">advisement of the President of the Court. </w:t>
      </w:r>
    </w:p>
    <w:p w:rsidR="00AB4605" w:rsidRDefault="00AB4605" w:rsidP="00CC1327">
      <w:pPr>
        <w:pStyle w:val="ListParagraph"/>
        <w:tabs>
          <w:tab w:val="left" w:pos="567"/>
        </w:tabs>
        <w:spacing w:after="0" w:line="240" w:lineRule="auto"/>
        <w:ind w:left="0"/>
        <w:rPr>
          <w:lang w:val="en-US"/>
        </w:rPr>
      </w:pPr>
    </w:p>
    <w:p w:rsidR="007F5C6B" w:rsidRDefault="007F5C6B" w:rsidP="00CC1327">
      <w:pPr>
        <w:pStyle w:val="ListParagraph"/>
        <w:tabs>
          <w:tab w:val="left" w:pos="567"/>
        </w:tabs>
        <w:spacing w:after="0" w:line="240" w:lineRule="auto"/>
        <w:ind w:left="0"/>
        <w:rPr>
          <w:lang w:val="en-US"/>
        </w:rPr>
      </w:pPr>
    </w:p>
    <w:p w:rsidR="00AB4605" w:rsidRDefault="00AB4605" w:rsidP="00CC1327">
      <w:pPr>
        <w:pStyle w:val="Default"/>
        <w:tabs>
          <w:tab w:val="left" w:pos="567"/>
        </w:tabs>
        <w:jc w:val="both"/>
        <w:rPr>
          <w:b/>
          <w:bCs/>
          <w:sz w:val="20"/>
          <w:szCs w:val="20"/>
        </w:rPr>
      </w:pPr>
      <w:r>
        <w:rPr>
          <w:b/>
          <w:bCs/>
          <w:sz w:val="20"/>
          <w:szCs w:val="20"/>
        </w:rPr>
        <w:t>CONSIDERING THAT:</w:t>
      </w:r>
    </w:p>
    <w:p w:rsidR="00AB4605" w:rsidRDefault="00AB4605" w:rsidP="00CC1327">
      <w:pPr>
        <w:pStyle w:val="Default"/>
        <w:tabs>
          <w:tab w:val="left" w:pos="567"/>
        </w:tabs>
        <w:jc w:val="both"/>
        <w:rPr>
          <w:b/>
          <w:bCs/>
          <w:sz w:val="20"/>
          <w:szCs w:val="20"/>
        </w:rPr>
      </w:pPr>
    </w:p>
    <w:p w:rsidR="00F875E7" w:rsidRPr="00F875E7" w:rsidRDefault="00AB4605" w:rsidP="00CC1327">
      <w:pPr>
        <w:pStyle w:val="Default"/>
        <w:numPr>
          <w:ilvl w:val="0"/>
          <w:numId w:val="2"/>
        </w:numPr>
        <w:tabs>
          <w:tab w:val="left" w:pos="567"/>
        </w:tabs>
        <w:ind w:left="0" w:firstLine="0"/>
        <w:jc w:val="both"/>
        <w:rPr>
          <w:b/>
          <w:sz w:val="20"/>
          <w:szCs w:val="20"/>
          <w:lang w:val="en-US"/>
        </w:rPr>
      </w:pPr>
      <w:r w:rsidRPr="00B76372">
        <w:rPr>
          <w:bCs/>
          <w:sz w:val="20"/>
          <w:szCs w:val="20"/>
          <w:lang w:val="en-US"/>
        </w:rPr>
        <w:t>In 2007 and 2009 (</w:t>
      </w:r>
      <w:r w:rsidRPr="0015501E">
        <w:rPr>
          <w:bCs/>
          <w:i/>
          <w:sz w:val="20"/>
          <w:szCs w:val="20"/>
          <w:lang w:val="en-US"/>
        </w:rPr>
        <w:t>supra</w:t>
      </w:r>
      <w:r w:rsidRPr="00B76372">
        <w:rPr>
          <w:bCs/>
          <w:sz w:val="20"/>
          <w:szCs w:val="20"/>
          <w:lang w:val="en-US"/>
        </w:rPr>
        <w:t xml:space="preserve"> </w:t>
      </w:r>
      <w:r w:rsidR="00B76A5C">
        <w:rPr>
          <w:bCs/>
          <w:sz w:val="20"/>
          <w:szCs w:val="20"/>
          <w:lang w:val="en-US"/>
        </w:rPr>
        <w:t>Having S</w:t>
      </w:r>
      <w:r w:rsidRPr="00B76372">
        <w:rPr>
          <w:bCs/>
          <w:sz w:val="20"/>
          <w:szCs w:val="20"/>
          <w:lang w:val="en-US"/>
        </w:rPr>
        <w:t>een 1), the Court issued</w:t>
      </w:r>
      <w:r w:rsidRPr="00B76372">
        <w:rPr>
          <w:b/>
          <w:bCs/>
          <w:sz w:val="20"/>
          <w:szCs w:val="20"/>
          <w:lang w:val="en-US"/>
        </w:rPr>
        <w:t xml:space="preserve"> </w:t>
      </w:r>
      <w:r w:rsidRPr="00B76372">
        <w:rPr>
          <w:color w:val="auto"/>
          <w:sz w:val="20"/>
          <w:szCs w:val="20"/>
          <w:lang w:val="en-US"/>
        </w:rPr>
        <w:t xml:space="preserve">the Judgments on the </w:t>
      </w:r>
      <w:r w:rsidR="00D5410B">
        <w:rPr>
          <w:color w:val="auto"/>
          <w:sz w:val="20"/>
          <w:szCs w:val="20"/>
          <w:lang w:val="en-US"/>
        </w:rPr>
        <w:t>p</w:t>
      </w:r>
      <w:r w:rsidR="00D5410B" w:rsidRPr="0015501E">
        <w:rPr>
          <w:color w:val="auto"/>
          <w:sz w:val="20"/>
          <w:szCs w:val="20"/>
          <w:lang w:val="en-US"/>
        </w:rPr>
        <w:t xml:space="preserve">reliminary </w:t>
      </w:r>
      <w:r w:rsidR="00D5410B">
        <w:rPr>
          <w:color w:val="auto"/>
          <w:sz w:val="20"/>
          <w:szCs w:val="20"/>
          <w:lang w:val="en-US"/>
        </w:rPr>
        <w:t>o</w:t>
      </w:r>
      <w:r w:rsidR="00D5410B" w:rsidRPr="0015501E">
        <w:rPr>
          <w:color w:val="auto"/>
          <w:sz w:val="20"/>
          <w:szCs w:val="20"/>
          <w:lang w:val="en-US"/>
        </w:rPr>
        <w:t>bjections</w:t>
      </w:r>
      <w:r w:rsidR="00D5410B">
        <w:rPr>
          <w:color w:val="auto"/>
          <w:sz w:val="20"/>
          <w:szCs w:val="20"/>
          <w:lang w:val="en-US"/>
        </w:rPr>
        <w:t xml:space="preserve">, </w:t>
      </w:r>
      <w:r w:rsidRPr="00B76372">
        <w:rPr>
          <w:color w:val="auto"/>
          <w:sz w:val="20"/>
          <w:szCs w:val="20"/>
          <w:lang w:val="en-US"/>
        </w:rPr>
        <w:t>merits, reparations and costs in the Cases of</w:t>
      </w:r>
      <w:r w:rsidR="00B76A5C">
        <w:rPr>
          <w:color w:val="auto"/>
          <w:sz w:val="20"/>
          <w:szCs w:val="20"/>
          <w:lang w:val="en-US"/>
        </w:rPr>
        <w:t xml:space="preserve"> </w:t>
      </w:r>
      <w:r w:rsidR="00B76A5C" w:rsidRPr="00B76372">
        <w:rPr>
          <w:color w:val="auto"/>
          <w:sz w:val="20"/>
          <w:szCs w:val="20"/>
          <w:lang w:val="en-US"/>
        </w:rPr>
        <w:t xml:space="preserve">Boyce </w:t>
      </w:r>
      <w:r w:rsidR="00B76A5C" w:rsidRPr="00B76372">
        <w:rPr>
          <w:i/>
          <w:color w:val="auto"/>
          <w:sz w:val="20"/>
          <w:szCs w:val="20"/>
          <w:lang w:val="en-US"/>
        </w:rPr>
        <w:t>et al</w:t>
      </w:r>
      <w:r w:rsidR="00B76A5C">
        <w:rPr>
          <w:i/>
          <w:color w:val="auto"/>
          <w:sz w:val="20"/>
          <w:szCs w:val="20"/>
          <w:lang w:val="en-US"/>
        </w:rPr>
        <w:t xml:space="preserve">. </w:t>
      </w:r>
      <w:r w:rsidR="00B76A5C">
        <w:rPr>
          <w:color w:val="auto"/>
          <w:sz w:val="20"/>
          <w:szCs w:val="20"/>
          <w:lang w:val="en-US"/>
        </w:rPr>
        <w:t>and</w:t>
      </w:r>
      <w:r w:rsidRPr="00B76372">
        <w:rPr>
          <w:color w:val="auto"/>
          <w:sz w:val="20"/>
          <w:szCs w:val="20"/>
          <w:lang w:val="en-US"/>
        </w:rPr>
        <w:t xml:space="preserve"> </w:t>
      </w:r>
      <w:proofErr w:type="spellStart"/>
      <w:r w:rsidRPr="00FB53D8">
        <w:rPr>
          <w:i/>
          <w:color w:val="auto"/>
          <w:sz w:val="20"/>
          <w:szCs w:val="20"/>
          <w:lang w:val="en-US"/>
        </w:rPr>
        <w:t>Dacosta</w:t>
      </w:r>
      <w:proofErr w:type="spellEnd"/>
      <w:r w:rsidRPr="00FB53D8">
        <w:rPr>
          <w:i/>
          <w:color w:val="auto"/>
          <w:sz w:val="20"/>
          <w:szCs w:val="20"/>
          <w:lang w:val="en-US"/>
        </w:rPr>
        <w:t xml:space="preserve"> </w:t>
      </w:r>
      <w:proofErr w:type="spellStart"/>
      <w:r w:rsidRPr="00FB53D8">
        <w:rPr>
          <w:i/>
          <w:color w:val="auto"/>
          <w:sz w:val="20"/>
          <w:szCs w:val="20"/>
          <w:lang w:val="en-US"/>
        </w:rPr>
        <w:t>Cadogan</w:t>
      </w:r>
      <w:proofErr w:type="spellEnd"/>
      <w:r w:rsidR="00785048">
        <w:rPr>
          <w:color w:val="auto"/>
          <w:sz w:val="20"/>
          <w:szCs w:val="20"/>
          <w:lang w:val="en-US"/>
        </w:rPr>
        <w:t>, respectively,</w:t>
      </w:r>
      <w:r w:rsidRPr="00B76372">
        <w:rPr>
          <w:color w:val="auto"/>
          <w:sz w:val="20"/>
          <w:szCs w:val="20"/>
          <w:lang w:val="en-US"/>
        </w:rPr>
        <w:t xml:space="preserve"> against the State of Barbados</w:t>
      </w:r>
      <w:r w:rsidR="00DD2270">
        <w:rPr>
          <w:color w:val="auto"/>
          <w:sz w:val="20"/>
          <w:szCs w:val="20"/>
          <w:lang w:val="en-US"/>
        </w:rPr>
        <w:t>.</w:t>
      </w:r>
      <w:r w:rsidRPr="00B76372">
        <w:rPr>
          <w:color w:val="auto"/>
          <w:sz w:val="20"/>
          <w:szCs w:val="20"/>
          <w:lang w:val="en-US"/>
        </w:rPr>
        <w:t xml:space="preserve"> </w:t>
      </w:r>
      <w:r w:rsidR="00DD2270">
        <w:rPr>
          <w:color w:val="auto"/>
          <w:sz w:val="20"/>
          <w:szCs w:val="20"/>
          <w:lang w:val="en-US"/>
        </w:rPr>
        <w:t>Thus,</w:t>
      </w:r>
      <w:r w:rsidR="00B76372" w:rsidRPr="00B76372">
        <w:rPr>
          <w:color w:val="auto"/>
          <w:sz w:val="20"/>
          <w:szCs w:val="20"/>
          <w:lang w:val="en-US"/>
        </w:rPr>
        <w:t xml:space="preserve"> both cases are </w:t>
      </w:r>
      <w:r w:rsidR="00B76372" w:rsidRPr="00B76372">
        <w:rPr>
          <w:sz w:val="20"/>
          <w:szCs w:val="20"/>
          <w:lang w:val="en-US"/>
        </w:rPr>
        <w:t xml:space="preserve">in the stage of </w:t>
      </w:r>
      <w:r w:rsidR="00DD2270">
        <w:rPr>
          <w:sz w:val="20"/>
          <w:szCs w:val="20"/>
          <w:lang w:val="en-US"/>
        </w:rPr>
        <w:t>m</w:t>
      </w:r>
      <w:r w:rsidR="00B76372" w:rsidRPr="00B76372">
        <w:rPr>
          <w:sz w:val="20"/>
          <w:szCs w:val="20"/>
          <w:lang w:val="en-US"/>
        </w:rPr>
        <w:t xml:space="preserve">onitoring </w:t>
      </w:r>
      <w:r w:rsidR="00DD2270">
        <w:rPr>
          <w:sz w:val="20"/>
          <w:szCs w:val="20"/>
          <w:lang w:val="en-US"/>
        </w:rPr>
        <w:t>c</w:t>
      </w:r>
      <w:r w:rsidR="00B76372" w:rsidRPr="00B76372">
        <w:rPr>
          <w:sz w:val="20"/>
          <w:szCs w:val="20"/>
          <w:lang w:val="en-US"/>
        </w:rPr>
        <w:t xml:space="preserve">ompliance </w:t>
      </w:r>
      <w:r w:rsidR="00DD2270">
        <w:rPr>
          <w:sz w:val="20"/>
          <w:szCs w:val="20"/>
          <w:lang w:val="en-US"/>
        </w:rPr>
        <w:t>w</w:t>
      </w:r>
      <w:r w:rsidR="00B76372" w:rsidRPr="00B76372">
        <w:rPr>
          <w:sz w:val="20"/>
          <w:szCs w:val="20"/>
          <w:lang w:val="en-US"/>
        </w:rPr>
        <w:t xml:space="preserve">ith </w:t>
      </w:r>
      <w:r w:rsidR="00DD2270">
        <w:rPr>
          <w:sz w:val="20"/>
          <w:szCs w:val="20"/>
          <w:lang w:val="en-US"/>
        </w:rPr>
        <w:t xml:space="preserve">the </w:t>
      </w:r>
      <w:r w:rsidR="00B76372" w:rsidRPr="00B76372">
        <w:rPr>
          <w:sz w:val="20"/>
          <w:szCs w:val="20"/>
          <w:lang w:val="en-US"/>
        </w:rPr>
        <w:t>Judgment</w:t>
      </w:r>
      <w:r w:rsidR="00587ADA">
        <w:rPr>
          <w:sz w:val="20"/>
          <w:szCs w:val="20"/>
          <w:lang w:val="en-US"/>
        </w:rPr>
        <w:t>s</w:t>
      </w:r>
      <w:r w:rsidR="00B76372" w:rsidRPr="00B76372">
        <w:rPr>
          <w:sz w:val="20"/>
          <w:szCs w:val="20"/>
          <w:lang w:val="en-US"/>
        </w:rPr>
        <w:t>.</w:t>
      </w:r>
    </w:p>
    <w:p w:rsidR="00F875E7" w:rsidRDefault="00F875E7" w:rsidP="00CC1327">
      <w:pPr>
        <w:pStyle w:val="Default"/>
        <w:tabs>
          <w:tab w:val="left" w:pos="567"/>
        </w:tabs>
        <w:jc w:val="both"/>
        <w:rPr>
          <w:b/>
          <w:sz w:val="20"/>
          <w:szCs w:val="20"/>
          <w:lang w:val="en-US"/>
        </w:rPr>
      </w:pPr>
    </w:p>
    <w:p w:rsidR="009B007C" w:rsidRDefault="00B76372" w:rsidP="00CC1327">
      <w:pPr>
        <w:pStyle w:val="Default"/>
        <w:numPr>
          <w:ilvl w:val="0"/>
          <w:numId w:val="2"/>
        </w:numPr>
        <w:tabs>
          <w:tab w:val="left" w:pos="567"/>
        </w:tabs>
        <w:ind w:left="0" w:firstLine="0"/>
        <w:jc w:val="both"/>
        <w:rPr>
          <w:b/>
          <w:sz w:val="20"/>
          <w:szCs w:val="20"/>
          <w:lang w:val="en-US"/>
        </w:rPr>
      </w:pPr>
      <w:r w:rsidRPr="00F875E7">
        <w:rPr>
          <w:sz w:val="20"/>
          <w:szCs w:val="20"/>
          <w:lang w:val="en-US"/>
        </w:rPr>
        <w:t xml:space="preserve">The President of the Court decided to summon the State, the </w:t>
      </w:r>
      <w:r w:rsidR="00587ADA">
        <w:rPr>
          <w:sz w:val="20"/>
          <w:szCs w:val="20"/>
          <w:lang w:val="en-US"/>
        </w:rPr>
        <w:t xml:space="preserve">victims’ </w:t>
      </w:r>
      <w:r w:rsidRPr="00F875E7">
        <w:rPr>
          <w:sz w:val="20"/>
          <w:szCs w:val="20"/>
          <w:lang w:val="en-US"/>
        </w:rPr>
        <w:t xml:space="preserve">representatives, and the Commission to a private </w:t>
      </w:r>
      <w:r w:rsidR="00DD2270">
        <w:rPr>
          <w:sz w:val="20"/>
          <w:szCs w:val="20"/>
          <w:lang w:val="en-US"/>
        </w:rPr>
        <w:t xml:space="preserve">hearing to </w:t>
      </w:r>
      <w:r w:rsidRPr="00F875E7">
        <w:rPr>
          <w:color w:val="auto"/>
          <w:sz w:val="20"/>
          <w:szCs w:val="20"/>
          <w:lang w:val="en-US"/>
        </w:rPr>
        <w:t>monitor</w:t>
      </w:r>
      <w:r w:rsidR="00FB53D8">
        <w:rPr>
          <w:color w:val="auto"/>
          <w:sz w:val="20"/>
          <w:szCs w:val="20"/>
          <w:lang w:val="en-US"/>
        </w:rPr>
        <w:t xml:space="preserve"> </w:t>
      </w:r>
      <w:r w:rsidRPr="00F875E7">
        <w:rPr>
          <w:color w:val="auto"/>
          <w:sz w:val="20"/>
          <w:szCs w:val="20"/>
          <w:lang w:val="en-US"/>
        </w:rPr>
        <w:t>compliance with</w:t>
      </w:r>
      <w:r w:rsidR="00DD2270">
        <w:rPr>
          <w:color w:val="auto"/>
          <w:sz w:val="20"/>
          <w:szCs w:val="20"/>
          <w:lang w:val="en-US"/>
        </w:rPr>
        <w:t xml:space="preserve"> the</w:t>
      </w:r>
      <w:r w:rsidRPr="00F875E7">
        <w:rPr>
          <w:color w:val="auto"/>
          <w:sz w:val="20"/>
          <w:szCs w:val="20"/>
          <w:lang w:val="en-US"/>
        </w:rPr>
        <w:t xml:space="preserve"> </w:t>
      </w:r>
      <w:r w:rsidR="00587ADA">
        <w:rPr>
          <w:color w:val="auto"/>
          <w:sz w:val="20"/>
          <w:szCs w:val="20"/>
          <w:lang w:val="en-US"/>
        </w:rPr>
        <w:t>J</w:t>
      </w:r>
      <w:r w:rsidRPr="00F875E7">
        <w:rPr>
          <w:color w:val="auto"/>
          <w:sz w:val="20"/>
          <w:szCs w:val="20"/>
          <w:lang w:val="en-US"/>
        </w:rPr>
        <w:t>udgment</w:t>
      </w:r>
      <w:r w:rsidR="00587ADA">
        <w:rPr>
          <w:color w:val="auto"/>
          <w:sz w:val="20"/>
          <w:szCs w:val="20"/>
          <w:lang w:val="en-US"/>
        </w:rPr>
        <w:t>s</w:t>
      </w:r>
      <w:r w:rsidRPr="00F875E7">
        <w:rPr>
          <w:color w:val="auto"/>
          <w:sz w:val="20"/>
          <w:szCs w:val="20"/>
          <w:lang w:val="en-US"/>
        </w:rPr>
        <w:t xml:space="preserve"> </w:t>
      </w:r>
      <w:r w:rsidR="00587ADA">
        <w:rPr>
          <w:sz w:val="20"/>
          <w:szCs w:val="20"/>
          <w:lang w:val="en-US"/>
        </w:rPr>
        <w:t>of</w:t>
      </w:r>
      <w:r w:rsidRPr="00F875E7">
        <w:rPr>
          <w:sz w:val="20"/>
          <w:szCs w:val="20"/>
          <w:lang w:val="en-US"/>
        </w:rPr>
        <w:t xml:space="preserve"> both cases, which was to be held on </w:t>
      </w:r>
      <w:r w:rsidR="00C177FB" w:rsidRPr="00F875E7">
        <w:rPr>
          <w:sz w:val="20"/>
          <w:szCs w:val="20"/>
          <w:lang w:val="en-US"/>
        </w:rPr>
        <w:t>July 1, 2015</w:t>
      </w:r>
      <w:r w:rsidRPr="00F875E7">
        <w:rPr>
          <w:sz w:val="20"/>
          <w:szCs w:val="20"/>
          <w:lang w:val="en-US"/>
        </w:rPr>
        <w:t xml:space="preserve">, </w:t>
      </w:r>
      <w:r w:rsidRPr="00F875E7">
        <w:rPr>
          <w:color w:val="auto"/>
          <w:sz w:val="20"/>
          <w:szCs w:val="20"/>
          <w:lang w:val="en-US"/>
        </w:rPr>
        <w:t>at the Cour</w:t>
      </w:r>
      <w:r w:rsidR="00C177FB" w:rsidRPr="00F875E7">
        <w:rPr>
          <w:color w:val="auto"/>
          <w:sz w:val="20"/>
          <w:szCs w:val="20"/>
          <w:lang w:val="en-US"/>
        </w:rPr>
        <w:t>t</w:t>
      </w:r>
      <w:r w:rsidR="00DD2270">
        <w:rPr>
          <w:color w:val="auto"/>
          <w:sz w:val="20"/>
          <w:szCs w:val="20"/>
          <w:lang w:val="en-US"/>
        </w:rPr>
        <w:t>’</w:t>
      </w:r>
      <w:r w:rsidR="00C177FB" w:rsidRPr="00F875E7">
        <w:rPr>
          <w:color w:val="auto"/>
          <w:sz w:val="20"/>
          <w:szCs w:val="20"/>
          <w:lang w:val="en-US"/>
        </w:rPr>
        <w:t>s</w:t>
      </w:r>
      <w:r w:rsidR="0055141A">
        <w:rPr>
          <w:color w:val="auto"/>
          <w:sz w:val="20"/>
          <w:szCs w:val="20"/>
          <w:lang w:val="en-US"/>
        </w:rPr>
        <w:t xml:space="preserve"> seat</w:t>
      </w:r>
      <w:r w:rsidR="00C177FB" w:rsidRPr="00F875E7">
        <w:rPr>
          <w:color w:val="auto"/>
          <w:sz w:val="20"/>
          <w:szCs w:val="20"/>
          <w:lang w:val="en-US"/>
        </w:rPr>
        <w:t xml:space="preserve">. </w:t>
      </w:r>
      <w:r w:rsidR="003B2F31" w:rsidRPr="00F875E7">
        <w:rPr>
          <w:sz w:val="20"/>
          <w:szCs w:val="20"/>
          <w:lang w:val="en-US"/>
        </w:rPr>
        <w:t>The</w:t>
      </w:r>
      <w:r w:rsidR="00B04815">
        <w:rPr>
          <w:sz w:val="20"/>
          <w:szCs w:val="20"/>
          <w:lang w:val="en-US"/>
        </w:rPr>
        <w:t xml:space="preserve"> purpose of the</w:t>
      </w:r>
      <w:r w:rsidR="003B2F31" w:rsidRPr="00F875E7">
        <w:rPr>
          <w:sz w:val="20"/>
          <w:szCs w:val="20"/>
          <w:lang w:val="en-US"/>
        </w:rPr>
        <w:t xml:space="preserve"> hearing </w:t>
      </w:r>
      <w:r w:rsidR="00B04815">
        <w:rPr>
          <w:sz w:val="20"/>
          <w:szCs w:val="20"/>
          <w:lang w:val="en-US"/>
        </w:rPr>
        <w:t>was</w:t>
      </w:r>
      <w:r w:rsidR="003B2F31" w:rsidRPr="00F875E7">
        <w:rPr>
          <w:rFonts w:cs="Arial"/>
          <w:sz w:val="20"/>
          <w:szCs w:val="20"/>
          <w:lang w:val="en-US"/>
        </w:rPr>
        <w:t xml:space="preserve"> to receive complete and updated information from the State and the representatives on the actions taken in</w:t>
      </w:r>
      <w:r w:rsidR="00B04815">
        <w:rPr>
          <w:rFonts w:cs="Arial"/>
          <w:sz w:val="20"/>
          <w:szCs w:val="20"/>
          <w:lang w:val="en-US"/>
        </w:rPr>
        <w:t xml:space="preserve"> both cases</w:t>
      </w:r>
      <w:r w:rsidR="003B2F31" w:rsidRPr="00F875E7">
        <w:rPr>
          <w:rFonts w:cs="Arial"/>
          <w:sz w:val="20"/>
          <w:szCs w:val="20"/>
          <w:lang w:val="en-US"/>
        </w:rPr>
        <w:t>, as well as the observations of the Inter-American Commission (</w:t>
      </w:r>
      <w:r w:rsidR="003B2F31" w:rsidRPr="0015501E">
        <w:rPr>
          <w:rFonts w:cs="Arial"/>
          <w:i/>
          <w:sz w:val="20"/>
          <w:szCs w:val="20"/>
          <w:lang w:val="en-US"/>
        </w:rPr>
        <w:t>supra</w:t>
      </w:r>
      <w:r w:rsidR="003B2F31" w:rsidRPr="00F875E7">
        <w:rPr>
          <w:rFonts w:cs="Arial"/>
          <w:sz w:val="20"/>
          <w:szCs w:val="20"/>
          <w:lang w:val="en-US"/>
        </w:rPr>
        <w:t xml:space="preserve"> </w:t>
      </w:r>
      <w:proofErr w:type="gramStart"/>
      <w:r w:rsidR="00B04815">
        <w:rPr>
          <w:rFonts w:cs="Arial"/>
          <w:sz w:val="20"/>
          <w:szCs w:val="20"/>
          <w:lang w:val="en-US"/>
        </w:rPr>
        <w:t>Having</w:t>
      </w:r>
      <w:proofErr w:type="gramEnd"/>
      <w:r w:rsidR="00B04815">
        <w:rPr>
          <w:rFonts w:cs="Arial"/>
          <w:sz w:val="20"/>
          <w:szCs w:val="20"/>
          <w:lang w:val="en-US"/>
        </w:rPr>
        <w:t xml:space="preserve"> S</w:t>
      </w:r>
      <w:r w:rsidR="003B2F31" w:rsidRPr="00F875E7">
        <w:rPr>
          <w:rFonts w:cs="Arial"/>
          <w:sz w:val="20"/>
          <w:szCs w:val="20"/>
          <w:lang w:val="en-US"/>
        </w:rPr>
        <w:t xml:space="preserve">een 2). </w:t>
      </w:r>
      <w:r w:rsidR="00B04815">
        <w:rPr>
          <w:rFonts w:cs="Arial"/>
          <w:sz w:val="20"/>
          <w:szCs w:val="20"/>
          <w:lang w:val="en-US"/>
        </w:rPr>
        <w:t>However, on June 25</w:t>
      </w:r>
      <w:r w:rsidR="003B2F31" w:rsidRPr="00F875E7">
        <w:rPr>
          <w:rFonts w:cs="Arial"/>
          <w:sz w:val="20"/>
          <w:szCs w:val="20"/>
          <w:lang w:val="en-US"/>
        </w:rPr>
        <w:t xml:space="preserve">, 2015, the State requested that </w:t>
      </w:r>
      <w:r w:rsidR="00E713A2">
        <w:rPr>
          <w:rFonts w:cs="Arial"/>
          <w:sz w:val="20"/>
          <w:szCs w:val="20"/>
          <w:lang w:val="en-US"/>
        </w:rPr>
        <w:t>the hearing be deferred due to “</w:t>
      </w:r>
      <w:r w:rsidR="003B2F31" w:rsidRPr="00F875E7">
        <w:rPr>
          <w:rFonts w:cs="Arial"/>
          <w:sz w:val="20"/>
          <w:szCs w:val="20"/>
          <w:lang w:val="en-US"/>
        </w:rPr>
        <w:t>curre</w:t>
      </w:r>
      <w:r w:rsidR="00E713A2">
        <w:rPr>
          <w:rFonts w:cs="Arial"/>
          <w:sz w:val="20"/>
          <w:szCs w:val="20"/>
          <w:lang w:val="en-US"/>
        </w:rPr>
        <w:t>nt exigencies of the Government”</w:t>
      </w:r>
      <w:r w:rsidR="003B2F31" w:rsidRPr="00F875E7">
        <w:rPr>
          <w:rFonts w:cs="Arial"/>
          <w:sz w:val="20"/>
          <w:szCs w:val="20"/>
          <w:lang w:val="en-US"/>
        </w:rPr>
        <w:t>.</w:t>
      </w:r>
      <w:r w:rsidR="004B7486" w:rsidRPr="00F875E7">
        <w:rPr>
          <w:rFonts w:cs="Arial"/>
          <w:sz w:val="20"/>
          <w:szCs w:val="20"/>
          <w:lang w:val="en-US"/>
        </w:rPr>
        <w:t xml:space="preserve"> </w:t>
      </w:r>
      <w:r w:rsidR="00EB01FF">
        <w:rPr>
          <w:rFonts w:cs="Arial"/>
          <w:sz w:val="20"/>
          <w:szCs w:val="20"/>
          <w:lang w:val="en-US"/>
        </w:rPr>
        <w:t xml:space="preserve">The same day, </w:t>
      </w:r>
      <w:r w:rsidR="00EB01FF">
        <w:rPr>
          <w:sz w:val="20"/>
          <w:szCs w:val="20"/>
          <w:lang w:val="en-US"/>
        </w:rPr>
        <w:t>t</w:t>
      </w:r>
      <w:r w:rsidR="004B7486" w:rsidRPr="00F875E7">
        <w:rPr>
          <w:sz w:val="20"/>
          <w:szCs w:val="20"/>
          <w:lang w:val="en-US"/>
        </w:rPr>
        <w:t>he Secretar</w:t>
      </w:r>
      <w:r w:rsidR="00B04815">
        <w:rPr>
          <w:sz w:val="20"/>
          <w:szCs w:val="20"/>
          <w:lang w:val="en-US"/>
        </w:rPr>
        <w:t>iat</w:t>
      </w:r>
      <w:r w:rsidR="004B7486" w:rsidRPr="00F875E7">
        <w:rPr>
          <w:sz w:val="20"/>
          <w:szCs w:val="20"/>
          <w:lang w:val="en-US"/>
        </w:rPr>
        <w:t xml:space="preserve"> informed the parties and the Commission that following orders from the plenary of the Court, it had decided to suspend the July 1, 2015 private hearing. It also informed them that </w:t>
      </w:r>
      <w:r w:rsidR="00A65CC3">
        <w:rPr>
          <w:sz w:val="20"/>
          <w:szCs w:val="20"/>
          <w:lang w:val="en-US"/>
        </w:rPr>
        <w:t>the hearing</w:t>
      </w:r>
      <w:r w:rsidR="00A65CC3" w:rsidRPr="00F875E7">
        <w:rPr>
          <w:sz w:val="20"/>
          <w:szCs w:val="20"/>
          <w:lang w:val="en-US"/>
        </w:rPr>
        <w:t xml:space="preserve"> </w:t>
      </w:r>
      <w:r w:rsidR="004B7486" w:rsidRPr="00F875E7">
        <w:rPr>
          <w:sz w:val="20"/>
          <w:szCs w:val="20"/>
          <w:lang w:val="en-US"/>
        </w:rPr>
        <w:t xml:space="preserve">would </w:t>
      </w:r>
      <w:r w:rsidR="00A65CC3">
        <w:rPr>
          <w:sz w:val="20"/>
          <w:szCs w:val="20"/>
          <w:lang w:val="en-US"/>
        </w:rPr>
        <w:t xml:space="preserve">be </w:t>
      </w:r>
      <w:r w:rsidR="004B7486" w:rsidRPr="00F875E7">
        <w:rPr>
          <w:sz w:val="20"/>
          <w:szCs w:val="20"/>
          <w:lang w:val="en-US"/>
        </w:rPr>
        <w:t>reschedule</w:t>
      </w:r>
      <w:r w:rsidR="00A65CC3">
        <w:rPr>
          <w:sz w:val="20"/>
          <w:szCs w:val="20"/>
          <w:lang w:val="en-US"/>
        </w:rPr>
        <w:t>d</w:t>
      </w:r>
      <w:r w:rsidR="004B7486" w:rsidRPr="00F875E7">
        <w:rPr>
          <w:sz w:val="20"/>
          <w:szCs w:val="20"/>
          <w:lang w:val="en-US"/>
        </w:rPr>
        <w:t>, taking into account the</w:t>
      </w:r>
      <w:r w:rsidR="00A65CC3">
        <w:rPr>
          <w:sz w:val="20"/>
          <w:szCs w:val="20"/>
          <w:lang w:val="en-US"/>
        </w:rPr>
        <w:t xml:space="preserve"> opinion of the victims’</w:t>
      </w:r>
      <w:r w:rsidR="004B7486" w:rsidRPr="00F875E7">
        <w:rPr>
          <w:sz w:val="20"/>
          <w:szCs w:val="20"/>
          <w:lang w:val="en-US"/>
        </w:rPr>
        <w:t xml:space="preserve"> representatives. </w:t>
      </w:r>
    </w:p>
    <w:p w:rsidR="009B007C" w:rsidRPr="00CA1E15" w:rsidRDefault="009B007C" w:rsidP="00CC1327">
      <w:pPr>
        <w:pStyle w:val="ListParagraph"/>
        <w:tabs>
          <w:tab w:val="left" w:pos="567"/>
        </w:tabs>
        <w:spacing w:after="0" w:line="240" w:lineRule="auto"/>
        <w:ind w:left="0"/>
        <w:jc w:val="both"/>
        <w:rPr>
          <w:rFonts w:ascii="Verdana" w:hAnsi="Verdana" w:cs="Arial"/>
          <w:sz w:val="20"/>
          <w:szCs w:val="20"/>
          <w:lang w:val="en-US"/>
        </w:rPr>
      </w:pPr>
    </w:p>
    <w:p w:rsidR="009B007C" w:rsidRDefault="007040B8" w:rsidP="00CC1327">
      <w:pPr>
        <w:pStyle w:val="ListParagraph"/>
        <w:numPr>
          <w:ilvl w:val="0"/>
          <w:numId w:val="2"/>
        </w:numPr>
        <w:tabs>
          <w:tab w:val="left" w:pos="567"/>
        </w:tabs>
        <w:autoSpaceDE w:val="0"/>
        <w:autoSpaceDN w:val="0"/>
        <w:adjustRightInd w:val="0"/>
        <w:spacing w:after="0" w:line="240" w:lineRule="auto"/>
        <w:ind w:left="0" w:firstLine="0"/>
        <w:jc w:val="both"/>
        <w:rPr>
          <w:rFonts w:ascii="Verdana" w:hAnsi="Verdana" w:cs="Arial"/>
          <w:sz w:val="20"/>
          <w:szCs w:val="20"/>
          <w:lang w:val="en-US"/>
        </w:rPr>
      </w:pPr>
      <w:r w:rsidRPr="00CA1E15">
        <w:rPr>
          <w:rFonts w:ascii="Verdana" w:hAnsi="Verdana" w:cs="Arial"/>
          <w:sz w:val="20"/>
          <w:szCs w:val="20"/>
          <w:lang w:val="en-US"/>
        </w:rPr>
        <w:t xml:space="preserve">On July 9, 2015, the </w:t>
      </w:r>
      <w:r w:rsidR="00587ADA">
        <w:rPr>
          <w:rFonts w:ascii="Verdana" w:hAnsi="Verdana" w:cs="Arial"/>
          <w:sz w:val="20"/>
          <w:szCs w:val="20"/>
          <w:lang w:val="en-US"/>
        </w:rPr>
        <w:t xml:space="preserve">victims’ </w:t>
      </w:r>
      <w:r w:rsidRPr="00CA1E15">
        <w:rPr>
          <w:rFonts w:ascii="Verdana" w:hAnsi="Verdana" w:cs="Arial"/>
          <w:sz w:val="20"/>
          <w:szCs w:val="20"/>
          <w:lang w:val="en-US"/>
        </w:rPr>
        <w:t xml:space="preserve">representatives </w:t>
      </w:r>
      <w:r w:rsidR="00CA1E15">
        <w:rPr>
          <w:rFonts w:ascii="Verdana" w:hAnsi="Verdana" w:cs="Arial"/>
          <w:sz w:val="20"/>
          <w:szCs w:val="20"/>
          <w:lang w:val="en-US"/>
        </w:rPr>
        <w:t xml:space="preserve">filed a request to be granted </w:t>
      </w:r>
      <w:r w:rsidR="009B007C" w:rsidRPr="00CA1E15">
        <w:rPr>
          <w:rFonts w:ascii="Verdana" w:hAnsi="Verdana" w:cs="Arial"/>
          <w:sz w:val="20"/>
          <w:szCs w:val="20"/>
          <w:lang w:val="en-US"/>
        </w:rPr>
        <w:t xml:space="preserve">access to the </w:t>
      </w:r>
      <w:r w:rsidR="009B007C" w:rsidRPr="00CA1E15">
        <w:rPr>
          <w:rFonts w:ascii="Verdana" w:hAnsi="Verdana"/>
          <w:sz w:val="20"/>
          <w:szCs w:val="20"/>
          <w:lang w:val="en-US"/>
        </w:rPr>
        <w:t>Victims</w:t>
      </w:r>
      <w:r w:rsidR="00A65CC3">
        <w:rPr>
          <w:rFonts w:ascii="Verdana" w:hAnsi="Verdana"/>
          <w:sz w:val="20"/>
          <w:szCs w:val="20"/>
          <w:lang w:val="en-US"/>
        </w:rPr>
        <w:t>’</w:t>
      </w:r>
      <w:r w:rsidR="009B007C" w:rsidRPr="00CA1E15">
        <w:rPr>
          <w:rFonts w:ascii="Verdana" w:hAnsi="Verdana"/>
          <w:sz w:val="20"/>
          <w:szCs w:val="20"/>
          <w:lang w:val="en-US"/>
        </w:rPr>
        <w:t xml:space="preserve"> Legal Assistance Fund. They expressed that, in both cases, the victims are </w:t>
      </w:r>
      <w:r w:rsidR="00587ADA">
        <w:rPr>
          <w:rFonts w:ascii="Verdana" w:hAnsi="Verdana"/>
          <w:sz w:val="20"/>
          <w:szCs w:val="20"/>
          <w:lang w:val="en-US"/>
        </w:rPr>
        <w:t xml:space="preserve">being </w:t>
      </w:r>
      <w:r w:rsidR="009B007C" w:rsidRPr="00CA1E15">
        <w:rPr>
          <w:rFonts w:ascii="Verdana" w:hAnsi="Verdana"/>
          <w:sz w:val="20"/>
          <w:szCs w:val="20"/>
          <w:lang w:val="en-US"/>
        </w:rPr>
        <w:t xml:space="preserve">represented </w:t>
      </w:r>
      <w:r w:rsidR="00BA357A" w:rsidRPr="00CA1E15">
        <w:rPr>
          <w:rFonts w:ascii="Verdana" w:hAnsi="Verdana"/>
          <w:sz w:val="20"/>
          <w:szCs w:val="20"/>
          <w:lang w:val="en-US"/>
        </w:rPr>
        <w:t xml:space="preserve">on a </w:t>
      </w:r>
      <w:r w:rsidR="009B007C" w:rsidRPr="0015501E">
        <w:rPr>
          <w:rFonts w:ascii="Verdana" w:hAnsi="Verdana"/>
          <w:i/>
          <w:sz w:val="20"/>
          <w:szCs w:val="20"/>
          <w:lang w:val="en-US"/>
        </w:rPr>
        <w:t>pro bono</w:t>
      </w:r>
      <w:r w:rsidR="00BA357A" w:rsidRPr="00CA1E15">
        <w:rPr>
          <w:rFonts w:ascii="Verdana" w:hAnsi="Verdana"/>
          <w:sz w:val="20"/>
          <w:szCs w:val="20"/>
          <w:lang w:val="en-US"/>
        </w:rPr>
        <w:t xml:space="preserve"> basis</w:t>
      </w:r>
      <w:r w:rsidR="009B007C" w:rsidRPr="00CA1E15">
        <w:rPr>
          <w:rFonts w:ascii="Verdana" w:hAnsi="Verdana"/>
          <w:sz w:val="20"/>
          <w:szCs w:val="20"/>
          <w:lang w:val="en-US"/>
        </w:rPr>
        <w:t xml:space="preserve"> by the </w:t>
      </w:r>
      <w:r w:rsidR="00A65CC3">
        <w:rPr>
          <w:rFonts w:ascii="Verdana" w:hAnsi="Verdana"/>
          <w:sz w:val="20"/>
          <w:szCs w:val="20"/>
          <w:lang w:val="en-US"/>
        </w:rPr>
        <w:t>firm</w:t>
      </w:r>
      <w:r w:rsidR="009B007C" w:rsidRPr="00CA1E15">
        <w:rPr>
          <w:rFonts w:ascii="Verdana" w:hAnsi="Verdana"/>
          <w:sz w:val="20"/>
          <w:szCs w:val="20"/>
          <w:lang w:val="en-US"/>
        </w:rPr>
        <w:t xml:space="preserve"> Simons </w:t>
      </w:r>
      <w:proofErr w:type="spellStart"/>
      <w:r w:rsidR="009B007C" w:rsidRPr="00CA1E15">
        <w:rPr>
          <w:rFonts w:ascii="Verdana" w:hAnsi="Verdana"/>
          <w:sz w:val="20"/>
          <w:szCs w:val="20"/>
          <w:lang w:val="en-US"/>
        </w:rPr>
        <w:t>Muirhead</w:t>
      </w:r>
      <w:proofErr w:type="spellEnd"/>
      <w:r w:rsidR="009B007C" w:rsidRPr="00CA1E15">
        <w:rPr>
          <w:rFonts w:ascii="Verdana" w:hAnsi="Verdana"/>
          <w:sz w:val="20"/>
          <w:szCs w:val="20"/>
          <w:lang w:val="en-US"/>
        </w:rPr>
        <w:t xml:space="preserve"> &amp; Burton and</w:t>
      </w:r>
      <w:r w:rsidR="00587ADA">
        <w:rPr>
          <w:rFonts w:ascii="Verdana" w:hAnsi="Verdana"/>
          <w:sz w:val="20"/>
          <w:szCs w:val="20"/>
          <w:lang w:val="en-US"/>
        </w:rPr>
        <w:t xml:space="preserve"> by</w:t>
      </w:r>
      <w:r w:rsidR="009B007C" w:rsidRPr="00CA1E15">
        <w:rPr>
          <w:rFonts w:ascii="Verdana" w:hAnsi="Verdana"/>
          <w:sz w:val="20"/>
          <w:szCs w:val="20"/>
          <w:lang w:val="en-US"/>
        </w:rPr>
        <w:t xml:space="preserve"> </w:t>
      </w:r>
      <w:r w:rsidR="00BA357A" w:rsidRPr="00CA1E15">
        <w:rPr>
          <w:rFonts w:ascii="Verdana" w:hAnsi="Verdana"/>
          <w:sz w:val="20"/>
          <w:szCs w:val="20"/>
          <w:lang w:val="en-US"/>
        </w:rPr>
        <w:t>Mr. Andrew Pilgrim QC</w:t>
      </w:r>
      <w:r w:rsidR="009B007C" w:rsidRPr="00CA1E15">
        <w:rPr>
          <w:rFonts w:ascii="Verdana" w:hAnsi="Verdana"/>
          <w:sz w:val="20"/>
          <w:szCs w:val="20"/>
          <w:lang w:val="en-US"/>
        </w:rPr>
        <w:t xml:space="preserve">, </w:t>
      </w:r>
      <w:r w:rsidR="00BA357A" w:rsidRPr="00CA1E15">
        <w:rPr>
          <w:rFonts w:ascii="Verdana" w:hAnsi="Verdana" w:cs="Arial"/>
          <w:sz w:val="20"/>
          <w:szCs w:val="20"/>
          <w:lang w:val="en-US"/>
        </w:rPr>
        <w:t>as they are indigent and lack the economic resources necessary to cover the costs of litigation before</w:t>
      </w:r>
      <w:r w:rsidR="00B00F0F">
        <w:rPr>
          <w:rFonts w:ascii="Verdana" w:hAnsi="Verdana" w:cs="Arial"/>
          <w:sz w:val="20"/>
          <w:szCs w:val="20"/>
          <w:lang w:val="en-US"/>
        </w:rPr>
        <w:t xml:space="preserve"> the </w:t>
      </w:r>
      <w:proofErr w:type="spellStart"/>
      <w:r w:rsidR="00B00F0F">
        <w:rPr>
          <w:rFonts w:ascii="Verdana" w:hAnsi="Verdana" w:cs="Arial"/>
          <w:sz w:val="20"/>
          <w:szCs w:val="20"/>
          <w:lang w:val="en-US"/>
        </w:rPr>
        <w:t>lnter</w:t>
      </w:r>
      <w:proofErr w:type="spellEnd"/>
      <w:r w:rsidR="00B00F0F">
        <w:rPr>
          <w:rFonts w:ascii="Verdana" w:hAnsi="Verdana" w:cs="Arial"/>
          <w:sz w:val="20"/>
          <w:szCs w:val="20"/>
          <w:lang w:val="en-US"/>
        </w:rPr>
        <w:t>-American Court. A</w:t>
      </w:r>
      <w:r w:rsidR="00BA357A" w:rsidRPr="00CA1E15">
        <w:rPr>
          <w:rFonts w:ascii="Verdana" w:hAnsi="Verdana" w:cs="Arial"/>
          <w:sz w:val="20"/>
          <w:szCs w:val="20"/>
          <w:lang w:val="en-US"/>
        </w:rPr>
        <w:t xml:space="preserve">ll related costs associated with the litigation are being borne by The Death Penalty Project (DPP) at Simons </w:t>
      </w:r>
      <w:proofErr w:type="spellStart"/>
      <w:r w:rsidR="00BA357A" w:rsidRPr="00CA1E15">
        <w:rPr>
          <w:rFonts w:ascii="Verdana" w:hAnsi="Verdana" w:cs="Arial"/>
          <w:sz w:val="20"/>
          <w:szCs w:val="20"/>
          <w:lang w:val="en-US"/>
        </w:rPr>
        <w:t>Muirhead</w:t>
      </w:r>
      <w:proofErr w:type="spellEnd"/>
      <w:r w:rsidR="00BA357A" w:rsidRPr="00CA1E15">
        <w:rPr>
          <w:rFonts w:ascii="Verdana" w:hAnsi="Verdana" w:cs="Arial"/>
          <w:sz w:val="20"/>
          <w:szCs w:val="20"/>
          <w:lang w:val="en-US"/>
        </w:rPr>
        <w:t xml:space="preserve"> &amp; </w:t>
      </w:r>
      <w:r w:rsidR="00A15480">
        <w:rPr>
          <w:rFonts w:ascii="Verdana" w:hAnsi="Verdana" w:cs="Arial"/>
          <w:sz w:val="20"/>
          <w:szCs w:val="20"/>
          <w:lang w:val="en-US"/>
        </w:rPr>
        <w:t>Burton</w:t>
      </w:r>
      <w:r w:rsidR="00BA357A" w:rsidRPr="00CA1E15">
        <w:rPr>
          <w:rFonts w:ascii="Verdana" w:hAnsi="Verdana" w:cs="Arial"/>
          <w:sz w:val="20"/>
          <w:szCs w:val="20"/>
          <w:lang w:val="en-US"/>
        </w:rPr>
        <w:t xml:space="preserve">. The DPP is a non-governmental organization with charitable status in the United Kingdom. They requested access to the Victims' Legal Assistance Fund to cover costs incurred by the </w:t>
      </w:r>
      <w:r w:rsidR="00587ADA">
        <w:rPr>
          <w:rFonts w:ascii="Verdana" w:hAnsi="Verdana" w:cs="Arial"/>
          <w:sz w:val="20"/>
          <w:szCs w:val="20"/>
          <w:lang w:val="en-US"/>
        </w:rPr>
        <w:t>v</w:t>
      </w:r>
      <w:r w:rsidR="00BA357A" w:rsidRPr="00CA1E15">
        <w:rPr>
          <w:rFonts w:ascii="Verdana" w:hAnsi="Verdana" w:cs="Arial"/>
          <w:sz w:val="20"/>
          <w:szCs w:val="20"/>
          <w:lang w:val="en-US"/>
        </w:rPr>
        <w:t xml:space="preserve">ictims' legal representatives to travel to the Court in order to attend the private hearing which was scheduled </w:t>
      </w:r>
      <w:r w:rsidR="00587ADA">
        <w:rPr>
          <w:rFonts w:ascii="Verdana" w:hAnsi="Verdana" w:cs="Arial"/>
          <w:sz w:val="20"/>
          <w:szCs w:val="20"/>
          <w:lang w:val="en-US"/>
        </w:rPr>
        <w:t>for</w:t>
      </w:r>
      <w:r w:rsidR="00587ADA" w:rsidRPr="00CA1E15">
        <w:rPr>
          <w:rFonts w:ascii="Verdana" w:hAnsi="Verdana" w:cs="Arial"/>
          <w:sz w:val="20"/>
          <w:szCs w:val="20"/>
          <w:lang w:val="en-US"/>
        </w:rPr>
        <w:t xml:space="preserve"> </w:t>
      </w:r>
      <w:r w:rsidR="00BA357A" w:rsidRPr="00CA1E15">
        <w:rPr>
          <w:rFonts w:ascii="Verdana" w:hAnsi="Verdana" w:cs="Arial"/>
          <w:sz w:val="20"/>
          <w:szCs w:val="20"/>
          <w:lang w:val="en-US"/>
        </w:rPr>
        <w:t xml:space="preserve">July </w:t>
      </w:r>
      <w:r w:rsidR="00A15480">
        <w:rPr>
          <w:rFonts w:ascii="Verdana" w:hAnsi="Verdana" w:cs="Arial"/>
          <w:sz w:val="20"/>
          <w:szCs w:val="20"/>
          <w:lang w:val="en-US"/>
        </w:rPr>
        <w:t xml:space="preserve">1, </w:t>
      </w:r>
      <w:r w:rsidR="00BA357A" w:rsidRPr="00CA1E15">
        <w:rPr>
          <w:rFonts w:ascii="Verdana" w:hAnsi="Verdana" w:cs="Arial"/>
          <w:sz w:val="20"/>
          <w:szCs w:val="20"/>
          <w:lang w:val="en-US"/>
        </w:rPr>
        <w:t xml:space="preserve">2015. </w:t>
      </w:r>
      <w:r w:rsidR="00B00F0F">
        <w:rPr>
          <w:rFonts w:ascii="Verdana" w:hAnsi="Verdana" w:cs="Arial"/>
          <w:sz w:val="20"/>
          <w:szCs w:val="20"/>
          <w:lang w:val="en-US"/>
        </w:rPr>
        <w:t>The representatives explained that t</w:t>
      </w:r>
      <w:r w:rsidR="00BA357A" w:rsidRPr="00CA1E15">
        <w:rPr>
          <w:rFonts w:ascii="Verdana" w:hAnsi="Verdana" w:cs="Arial"/>
          <w:sz w:val="20"/>
          <w:szCs w:val="20"/>
          <w:lang w:val="en-US"/>
        </w:rPr>
        <w:t xml:space="preserve">he costs relate to </w:t>
      </w:r>
      <w:r w:rsidR="00587ADA">
        <w:rPr>
          <w:rFonts w:ascii="Verdana" w:hAnsi="Verdana" w:cs="Arial"/>
          <w:sz w:val="20"/>
          <w:szCs w:val="20"/>
          <w:lang w:val="en-US"/>
        </w:rPr>
        <w:t>expenses</w:t>
      </w:r>
      <w:r w:rsidR="00587ADA" w:rsidRPr="00CA1E15">
        <w:rPr>
          <w:rFonts w:ascii="Verdana" w:hAnsi="Verdana" w:cs="Arial"/>
          <w:sz w:val="20"/>
          <w:szCs w:val="20"/>
          <w:lang w:val="en-US"/>
        </w:rPr>
        <w:t xml:space="preserve"> </w:t>
      </w:r>
      <w:r w:rsidR="00587ADA">
        <w:rPr>
          <w:rFonts w:ascii="Verdana" w:hAnsi="Verdana" w:cs="Arial"/>
          <w:sz w:val="20"/>
          <w:szCs w:val="20"/>
          <w:lang w:val="en-US"/>
        </w:rPr>
        <w:t>incurred</w:t>
      </w:r>
      <w:r w:rsidR="00587ADA" w:rsidRPr="00CA1E15">
        <w:rPr>
          <w:rFonts w:ascii="Verdana" w:hAnsi="Verdana" w:cs="Arial"/>
          <w:sz w:val="20"/>
          <w:szCs w:val="20"/>
          <w:lang w:val="en-US"/>
        </w:rPr>
        <w:t xml:space="preserve"> </w:t>
      </w:r>
      <w:r w:rsidR="00BA357A" w:rsidRPr="00CA1E15">
        <w:rPr>
          <w:rFonts w:ascii="Verdana" w:hAnsi="Verdana" w:cs="Arial"/>
          <w:sz w:val="20"/>
          <w:szCs w:val="20"/>
          <w:lang w:val="en-US"/>
        </w:rPr>
        <w:t xml:space="preserve">due to the late cancellation of flights for Saul Lehrfreund and Andrew Pilgrim </w:t>
      </w:r>
      <w:r w:rsidR="00A15480">
        <w:rPr>
          <w:rFonts w:ascii="Verdana" w:hAnsi="Verdana" w:cs="Arial"/>
          <w:sz w:val="20"/>
          <w:szCs w:val="20"/>
          <w:lang w:val="en-US"/>
        </w:rPr>
        <w:t>Q</w:t>
      </w:r>
      <w:r w:rsidR="00BA357A" w:rsidRPr="00CA1E15">
        <w:rPr>
          <w:rFonts w:ascii="Verdana" w:hAnsi="Verdana" w:cs="Arial"/>
          <w:sz w:val="20"/>
          <w:szCs w:val="20"/>
          <w:lang w:val="en-US"/>
        </w:rPr>
        <w:t>C to travel to Costa Rica from the United Kingdom and Barbados</w:t>
      </w:r>
      <w:r w:rsidR="00587ADA">
        <w:rPr>
          <w:rFonts w:ascii="Verdana" w:hAnsi="Verdana" w:cs="Arial"/>
          <w:sz w:val="20"/>
          <w:szCs w:val="20"/>
          <w:lang w:val="en-US"/>
        </w:rPr>
        <w:t>,</w:t>
      </w:r>
      <w:r w:rsidR="00BA357A" w:rsidRPr="00CA1E15">
        <w:rPr>
          <w:rFonts w:ascii="Verdana" w:hAnsi="Verdana" w:cs="Arial"/>
          <w:sz w:val="20"/>
          <w:szCs w:val="20"/>
          <w:lang w:val="en-US"/>
        </w:rPr>
        <w:t xml:space="preserve"> respectively, costs that </w:t>
      </w:r>
      <w:r w:rsidR="00A15480" w:rsidRPr="003A71EF">
        <w:rPr>
          <w:rFonts w:ascii="Verdana" w:hAnsi="Verdana" w:cs="Arial"/>
          <w:sz w:val="20"/>
          <w:szCs w:val="20"/>
          <w:lang w:val="en-US"/>
        </w:rPr>
        <w:t xml:space="preserve">amounted </w:t>
      </w:r>
      <w:r w:rsidR="00BA357A" w:rsidRPr="003A71EF">
        <w:rPr>
          <w:rFonts w:ascii="Verdana" w:hAnsi="Verdana" w:cs="Arial"/>
          <w:sz w:val="20"/>
          <w:szCs w:val="20"/>
          <w:lang w:val="en-US"/>
        </w:rPr>
        <w:t xml:space="preserve">to </w:t>
      </w:r>
      <w:r w:rsidR="003A71EF" w:rsidRPr="003A71EF">
        <w:rPr>
          <w:rFonts w:ascii="Verdana" w:hAnsi="Verdana"/>
          <w:sz w:val="20"/>
          <w:lang w:val="en-US"/>
        </w:rPr>
        <w:t xml:space="preserve">£ </w:t>
      </w:r>
      <w:r w:rsidR="003A71EF" w:rsidRPr="003A71EF">
        <w:rPr>
          <w:rFonts w:ascii="Verdana" w:hAnsi="Verdana"/>
          <w:sz w:val="20"/>
          <w:szCs w:val="20"/>
          <w:lang w:val="en-US"/>
        </w:rPr>
        <w:t>1,252.54 (one thousand two hundred fifty-two British pounds and fifty-four pence)</w:t>
      </w:r>
      <w:r w:rsidR="00BA357A" w:rsidRPr="003A71EF">
        <w:rPr>
          <w:rFonts w:ascii="Verdana" w:hAnsi="Verdana"/>
          <w:i/>
          <w:sz w:val="20"/>
          <w:szCs w:val="20"/>
          <w:lang w:val="en-US"/>
        </w:rPr>
        <w:t>.</w:t>
      </w:r>
      <w:r w:rsidR="00BA357A" w:rsidRPr="00CA1E15">
        <w:rPr>
          <w:rFonts w:ascii="Verdana" w:hAnsi="Verdana"/>
          <w:i/>
          <w:sz w:val="20"/>
          <w:szCs w:val="20"/>
          <w:lang w:val="en-US"/>
        </w:rPr>
        <w:t xml:space="preserve"> </w:t>
      </w:r>
      <w:r w:rsidR="00E3048D" w:rsidRPr="00CA1E15">
        <w:rPr>
          <w:rFonts w:ascii="Verdana" w:hAnsi="Verdana" w:cs="Arial"/>
          <w:sz w:val="20"/>
          <w:szCs w:val="20"/>
          <w:lang w:val="en-US"/>
        </w:rPr>
        <w:t>Finally, they expressed that</w:t>
      </w:r>
      <w:r w:rsidR="00A15480">
        <w:rPr>
          <w:rFonts w:ascii="Verdana" w:hAnsi="Verdana" w:cs="Arial"/>
          <w:sz w:val="20"/>
          <w:szCs w:val="20"/>
          <w:lang w:val="en-US"/>
        </w:rPr>
        <w:t>,</w:t>
      </w:r>
      <w:r w:rsidR="00E3048D" w:rsidRPr="00CA1E15">
        <w:rPr>
          <w:rFonts w:ascii="Verdana" w:hAnsi="Verdana" w:cs="Arial"/>
          <w:sz w:val="20"/>
          <w:szCs w:val="20"/>
          <w:lang w:val="en-US"/>
        </w:rPr>
        <w:t xml:space="preserve"> </w:t>
      </w:r>
      <w:r w:rsidR="00A15480">
        <w:rPr>
          <w:rFonts w:ascii="Verdana" w:hAnsi="Verdana" w:cs="Arial"/>
          <w:sz w:val="20"/>
          <w:szCs w:val="20"/>
          <w:lang w:val="en-US"/>
        </w:rPr>
        <w:t>once</w:t>
      </w:r>
      <w:r w:rsidR="00A15480" w:rsidRPr="00CA1E15">
        <w:rPr>
          <w:rFonts w:ascii="Verdana" w:hAnsi="Verdana" w:cs="Arial"/>
          <w:sz w:val="20"/>
          <w:szCs w:val="20"/>
          <w:lang w:val="en-US"/>
        </w:rPr>
        <w:t xml:space="preserve"> </w:t>
      </w:r>
      <w:r w:rsidR="00E3048D" w:rsidRPr="00CA1E15">
        <w:rPr>
          <w:rFonts w:ascii="Verdana" w:hAnsi="Verdana" w:cs="Arial"/>
          <w:sz w:val="20"/>
          <w:szCs w:val="20"/>
          <w:lang w:val="en-US"/>
        </w:rPr>
        <w:t xml:space="preserve">the Court reschedules the </w:t>
      </w:r>
      <w:r w:rsidR="00E3048D" w:rsidRPr="00CA1E15">
        <w:rPr>
          <w:rFonts w:ascii="Verdana" w:hAnsi="Verdana"/>
          <w:sz w:val="20"/>
          <w:szCs w:val="20"/>
          <w:lang w:val="en-US"/>
        </w:rPr>
        <w:t xml:space="preserve">private </w:t>
      </w:r>
      <w:r w:rsidR="00E3048D" w:rsidRPr="00CA1E15">
        <w:rPr>
          <w:rFonts w:ascii="Verdana" w:hAnsi="Verdana"/>
          <w:sz w:val="20"/>
          <w:szCs w:val="20"/>
          <w:lang w:val="en-US"/>
        </w:rPr>
        <w:lastRenderedPageBreak/>
        <w:t>hearing</w:t>
      </w:r>
      <w:r w:rsidR="00A15480">
        <w:rPr>
          <w:rFonts w:ascii="Verdana" w:hAnsi="Verdana"/>
          <w:sz w:val="20"/>
          <w:szCs w:val="20"/>
          <w:lang w:val="en-US"/>
        </w:rPr>
        <w:t>,</w:t>
      </w:r>
      <w:r w:rsidR="00E3048D" w:rsidRPr="00CA1E15">
        <w:rPr>
          <w:rFonts w:ascii="Verdana" w:hAnsi="Verdana"/>
          <w:sz w:val="20"/>
          <w:szCs w:val="20"/>
          <w:lang w:val="en-US"/>
        </w:rPr>
        <w:t xml:space="preserve"> </w:t>
      </w:r>
      <w:r w:rsidR="00CA1E15" w:rsidRPr="00CA1E15">
        <w:rPr>
          <w:rFonts w:ascii="Verdana" w:hAnsi="Verdana" w:cs="Arial"/>
          <w:sz w:val="20"/>
          <w:szCs w:val="20"/>
          <w:lang w:val="en-US"/>
        </w:rPr>
        <w:t>those</w:t>
      </w:r>
      <w:r w:rsidR="00E3048D" w:rsidRPr="00CA1E15">
        <w:rPr>
          <w:rFonts w:ascii="Verdana" w:hAnsi="Verdana" w:cs="Arial"/>
          <w:sz w:val="20"/>
          <w:szCs w:val="20"/>
          <w:lang w:val="en-US"/>
        </w:rPr>
        <w:t xml:space="preserve"> </w:t>
      </w:r>
      <w:r w:rsidR="00A15480">
        <w:rPr>
          <w:rFonts w:ascii="Verdana" w:hAnsi="Verdana" w:cs="Arial"/>
          <w:sz w:val="20"/>
          <w:szCs w:val="20"/>
          <w:lang w:val="en-US"/>
        </w:rPr>
        <w:t xml:space="preserve">travel </w:t>
      </w:r>
      <w:r w:rsidR="00E3048D" w:rsidRPr="00CA1E15">
        <w:rPr>
          <w:rFonts w:ascii="Verdana" w:hAnsi="Verdana" w:cs="Arial"/>
          <w:sz w:val="20"/>
          <w:szCs w:val="20"/>
          <w:lang w:val="en-US"/>
        </w:rPr>
        <w:t>costs will be paid fo</w:t>
      </w:r>
      <w:r w:rsidR="00CA1E15" w:rsidRPr="00CA1E15">
        <w:rPr>
          <w:rFonts w:ascii="Verdana" w:hAnsi="Verdana" w:cs="Arial"/>
          <w:sz w:val="20"/>
          <w:szCs w:val="20"/>
          <w:lang w:val="en-US"/>
        </w:rPr>
        <w:t xml:space="preserve">r by the DPP at Simons </w:t>
      </w:r>
      <w:proofErr w:type="spellStart"/>
      <w:r w:rsidR="00CA1E15" w:rsidRPr="00CA1E15">
        <w:rPr>
          <w:rFonts w:ascii="Verdana" w:hAnsi="Verdana" w:cs="Arial"/>
          <w:sz w:val="20"/>
          <w:szCs w:val="20"/>
          <w:lang w:val="en-US"/>
        </w:rPr>
        <w:t>Muirhead</w:t>
      </w:r>
      <w:proofErr w:type="spellEnd"/>
      <w:r w:rsidR="00CA1E15" w:rsidRPr="00CA1E15">
        <w:rPr>
          <w:rFonts w:ascii="Verdana" w:hAnsi="Verdana" w:cs="Arial"/>
          <w:sz w:val="20"/>
          <w:szCs w:val="20"/>
          <w:lang w:val="en-US"/>
        </w:rPr>
        <w:t xml:space="preserve"> </w:t>
      </w:r>
      <w:r w:rsidR="00E3048D" w:rsidRPr="00CA1E15">
        <w:rPr>
          <w:rFonts w:ascii="Verdana" w:hAnsi="Verdana" w:cs="Arial"/>
          <w:sz w:val="20"/>
          <w:szCs w:val="20"/>
          <w:lang w:val="en-US"/>
        </w:rPr>
        <w:t>&amp; Burton</w:t>
      </w:r>
      <w:r w:rsidR="00A15480">
        <w:rPr>
          <w:rFonts w:ascii="Verdana" w:hAnsi="Verdana" w:cs="Arial"/>
          <w:sz w:val="20"/>
          <w:szCs w:val="20"/>
          <w:lang w:val="en-US"/>
        </w:rPr>
        <w:t>;</w:t>
      </w:r>
      <w:r w:rsidR="00E3048D" w:rsidRPr="00CA1E15">
        <w:rPr>
          <w:rFonts w:ascii="Verdana" w:hAnsi="Verdana" w:cs="Arial"/>
          <w:sz w:val="20"/>
          <w:szCs w:val="20"/>
          <w:lang w:val="en-US"/>
        </w:rPr>
        <w:t xml:space="preserve"> however, the </w:t>
      </w:r>
      <w:r w:rsidR="00CA1E15" w:rsidRPr="00CA1E15">
        <w:rPr>
          <w:rFonts w:ascii="Verdana" w:hAnsi="Verdana" w:cs="Arial"/>
          <w:sz w:val="20"/>
          <w:szCs w:val="20"/>
          <w:lang w:val="en-US"/>
        </w:rPr>
        <w:t>organization</w:t>
      </w:r>
      <w:r w:rsidR="00E3048D" w:rsidRPr="00CA1E15">
        <w:rPr>
          <w:rFonts w:ascii="Verdana" w:hAnsi="Verdana" w:cs="Arial"/>
          <w:sz w:val="20"/>
          <w:szCs w:val="20"/>
          <w:lang w:val="en-US"/>
        </w:rPr>
        <w:t xml:space="preserve"> has a restricted level of fundi</w:t>
      </w:r>
      <w:r w:rsidR="00CA1E15" w:rsidRPr="00CA1E15">
        <w:rPr>
          <w:rFonts w:ascii="Verdana" w:hAnsi="Verdana" w:cs="Arial"/>
          <w:sz w:val="20"/>
          <w:szCs w:val="20"/>
          <w:lang w:val="en-US"/>
        </w:rPr>
        <w:t xml:space="preserve">ng available to cover the costs </w:t>
      </w:r>
      <w:r w:rsidR="00E3048D" w:rsidRPr="00CA1E15">
        <w:rPr>
          <w:rFonts w:ascii="Verdana" w:hAnsi="Verdana" w:cs="Arial"/>
          <w:sz w:val="20"/>
          <w:szCs w:val="20"/>
          <w:lang w:val="en-US"/>
        </w:rPr>
        <w:t>for the hearing</w:t>
      </w:r>
      <w:r w:rsidR="00A15480">
        <w:rPr>
          <w:rFonts w:ascii="Verdana" w:hAnsi="Verdana" w:cs="Arial"/>
          <w:sz w:val="20"/>
          <w:szCs w:val="20"/>
          <w:lang w:val="en-US"/>
        </w:rPr>
        <w:t>, and t</w:t>
      </w:r>
      <w:r w:rsidR="00E3048D" w:rsidRPr="00CA1E15">
        <w:rPr>
          <w:rFonts w:ascii="Verdana" w:hAnsi="Verdana" w:cs="Arial"/>
          <w:sz w:val="20"/>
          <w:szCs w:val="20"/>
          <w:lang w:val="en-US"/>
        </w:rPr>
        <w:t xml:space="preserve">he </w:t>
      </w:r>
      <w:r w:rsidR="00CA1E15" w:rsidRPr="00CA1E15">
        <w:rPr>
          <w:rFonts w:ascii="Verdana" w:hAnsi="Verdana" w:cs="Arial"/>
          <w:sz w:val="20"/>
          <w:szCs w:val="20"/>
          <w:lang w:val="en-US"/>
        </w:rPr>
        <w:t>organization</w:t>
      </w:r>
      <w:r w:rsidR="00E3048D" w:rsidRPr="00CA1E15">
        <w:rPr>
          <w:rFonts w:ascii="Verdana" w:hAnsi="Verdana" w:cs="Arial"/>
          <w:sz w:val="20"/>
          <w:szCs w:val="20"/>
          <w:lang w:val="en-US"/>
        </w:rPr>
        <w:t xml:space="preserve"> is unable to meet</w:t>
      </w:r>
      <w:r w:rsidR="00CA1E15" w:rsidRPr="00CA1E15">
        <w:rPr>
          <w:rFonts w:ascii="Verdana" w:hAnsi="Verdana" w:cs="Arial"/>
          <w:sz w:val="20"/>
          <w:szCs w:val="20"/>
          <w:lang w:val="en-US"/>
        </w:rPr>
        <w:t xml:space="preserve"> both the costs already spent for the adjourned </w:t>
      </w:r>
      <w:r w:rsidR="00E3048D" w:rsidRPr="00CA1E15">
        <w:rPr>
          <w:rFonts w:ascii="Verdana" w:hAnsi="Verdana" w:cs="Arial"/>
          <w:sz w:val="20"/>
          <w:szCs w:val="20"/>
          <w:lang w:val="en-US"/>
        </w:rPr>
        <w:t xml:space="preserve">hearing </w:t>
      </w:r>
      <w:r w:rsidR="00E3048D" w:rsidRPr="00123367">
        <w:rPr>
          <w:rFonts w:ascii="Verdana" w:hAnsi="Verdana" w:cs="Arial"/>
          <w:iCs/>
          <w:sz w:val="20"/>
          <w:szCs w:val="20"/>
          <w:lang w:val="en-US"/>
        </w:rPr>
        <w:t>and</w:t>
      </w:r>
      <w:r w:rsidR="00E3048D" w:rsidRPr="00CA1E15">
        <w:rPr>
          <w:rFonts w:ascii="Verdana" w:hAnsi="Verdana" w:cs="Arial"/>
          <w:i/>
          <w:iCs/>
          <w:sz w:val="20"/>
          <w:szCs w:val="20"/>
          <w:lang w:val="en-US"/>
        </w:rPr>
        <w:t xml:space="preserve"> </w:t>
      </w:r>
      <w:r w:rsidR="00E3048D" w:rsidRPr="00CA1E15">
        <w:rPr>
          <w:rFonts w:ascii="Verdana" w:hAnsi="Verdana" w:cs="Arial"/>
          <w:sz w:val="20"/>
          <w:szCs w:val="20"/>
          <w:lang w:val="en-US"/>
        </w:rPr>
        <w:t>the additional cost</w:t>
      </w:r>
      <w:r w:rsidR="00CA1E15" w:rsidRPr="00CA1E15">
        <w:rPr>
          <w:rFonts w:ascii="Verdana" w:hAnsi="Verdana" w:cs="Arial"/>
          <w:sz w:val="20"/>
          <w:szCs w:val="20"/>
          <w:lang w:val="en-US"/>
        </w:rPr>
        <w:t>s for the re-scheduled hearing</w:t>
      </w:r>
      <w:r w:rsidR="00CA1E15" w:rsidRPr="00CA1E15">
        <w:rPr>
          <w:rStyle w:val="FootnoteReference"/>
          <w:rFonts w:ascii="Verdana" w:hAnsi="Verdana" w:cs="Arial"/>
          <w:sz w:val="20"/>
          <w:szCs w:val="20"/>
          <w:lang w:val="en-US"/>
        </w:rPr>
        <w:footnoteReference w:id="2"/>
      </w:r>
      <w:r w:rsidR="00CA1E15" w:rsidRPr="00CA1E15">
        <w:rPr>
          <w:rFonts w:ascii="Verdana" w:hAnsi="Verdana" w:cs="Arial"/>
          <w:sz w:val="20"/>
          <w:szCs w:val="20"/>
          <w:lang w:val="en-US"/>
        </w:rPr>
        <w:t xml:space="preserve">. </w:t>
      </w:r>
    </w:p>
    <w:p w:rsidR="00092C8F" w:rsidRDefault="00092C8F" w:rsidP="00CC1327">
      <w:pPr>
        <w:pStyle w:val="ListParagraph"/>
        <w:tabs>
          <w:tab w:val="left" w:pos="567"/>
        </w:tabs>
        <w:autoSpaceDE w:val="0"/>
        <w:autoSpaceDN w:val="0"/>
        <w:adjustRightInd w:val="0"/>
        <w:spacing w:after="0" w:line="240" w:lineRule="auto"/>
        <w:ind w:left="0"/>
        <w:jc w:val="both"/>
        <w:rPr>
          <w:rFonts w:ascii="Verdana" w:hAnsi="Verdana" w:cs="Arial"/>
          <w:sz w:val="20"/>
          <w:szCs w:val="20"/>
          <w:lang w:val="en-US"/>
        </w:rPr>
      </w:pPr>
    </w:p>
    <w:p w:rsidR="00807C51" w:rsidRPr="00092C8F" w:rsidRDefault="00807C51" w:rsidP="00CC1327">
      <w:pPr>
        <w:pStyle w:val="Default"/>
        <w:numPr>
          <w:ilvl w:val="0"/>
          <w:numId w:val="2"/>
        </w:numPr>
        <w:tabs>
          <w:tab w:val="left" w:pos="567"/>
        </w:tabs>
        <w:ind w:left="0" w:firstLine="0"/>
        <w:jc w:val="both"/>
        <w:rPr>
          <w:lang w:val="en-US"/>
        </w:rPr>
      </w:pPr>
      <w:r>
        <w:rPr>
          <w:rFonts w:cs="Arial"/>
          <w:sz w:val="20"/>
          <w:szCs w:val="20"/>
          <w:lang w:val="en-US"/>
        </w:rPr>
        <w:t xml:space="preserve"> </w:t>
      </w:r>
      <w:r w:rsidR="00A47A7C" w:rsidRPr="00A47A7C">
        <w:rPr>
          <w:rFonts w:cs="Arial"/>
          <w:sz w:val="20"/>
          <w:szCs w:val="20"/>
          <w:lang w:val="en-US"/>
        </w:rPr>
        <w:t xml:space="preserve">On July 9, 2015, the Secretary informed </w:t>
      </w:r>
      <w:r w:rsidR="00FB265D">
        <w:rPr>
          <w:rFonts w:cs="Arial"/>
          <w:sz w:val="20"/>
          <w:szCs w:val="20"/>
          <w:lang w:val="en-US"/>
        </w:rPr>
        <w:t xml:space="preserve">the parties </w:t>
      </w:r>
      <w:r w:rsidR="00A47A7C" w:rsidRPr="00A47A7C">
        <w:rPr>
          <w:sz w:val="20"/>
          <w:szCs w:val="20"/>
          <w:lang w:val="en-US"/>
        </w:rPr>
        <w:t xml:space="preserve">and the Commission that the President of the Court had decided to reschedule the </w:t>
      </w:r>
      <w:r w:rsidR="00A47A7C" w:rsidRPr="00A47A7C">
        <w:rPr>
          <w:color w:val="auto"/>
          <w:sz w:val="20"/>
          <w:szCs w:val="20"/>
          <w:lang w:val="en-US"/>
        </w:rPr>
        <w:t xml:space="preserve">private monitoring compliance with </w:t>
      </w:r>
      <w:r w:rsidR="00587ADA">
        <w:rPr>
          <w:color w:val="auto"/>
          <w:sz w:val="20"/>
          <w:szCs w:val="20"/>
          <w:lang w:val="en-US"/>
        </w:rPr>
        <w:t>the J</w:t>
      </w:r>
      <w:r w:rsidR="00A47A7C" w:rsidRPr="00A47A7C">
        <w:rPr>
          <w:color w:val="auto"/>
          <w:sz w:val="20"/>
          <w:szCs w:val="20"/>
          <w:lang w:val="en-US"/>
        </w:rPr>
        <w:t>udgment</w:t>
      </w:r>
      <w:r w:rsidR="00587ADA">
        <w:rPr>
          <w:color w:val="auto"/>
          <w:sz w:val="20"/>
          <w:szCs w:val="20"/>
          <w:lang w:val="en-US"/>
        </w:rPr>
        <w:t>s</w:t>
      </w:r>
      <w:r w:rsidR="00A47A7C" w:rsidRPr="00A47A7C">
        <w:rPr>
          <w:color w:val="auto"/>
          <w:sz w:val="20"/>
          <w:szCs w:val="20"/>
          <w:lang w:val="en-US"/>
        </w:rPr>
        <w:t xml:space="preserve"> </w:t>
      </w:r>
      <w:r w:rsidRPr="00A47A7C">
        <w:rPr>
          <w:color w:val="auto"/>
          <w:sz w:val="20"/>
          <w:szCs w:val="20"/>
          <w:lang w:val="en-US"/>
        </w:rPr>
        <w:t>hearing</w:t>
      </w:r>
      <w:r>
        <w:rPr>
          <w:sz w:val="20"/>
          <w:szCs w:val="20"/>
          <w:lang w:val="en-US"/>
        </w:rPr>
        <w:t xml:space="preserve"> of both </w:t>
      </w:r>
      <w:r w:rsidR="008352CD">
        <w:rPr>
          <w:sz w:val="20"/>
          <w:szCs w:val="20"/>
          <w:lang w:val="en-US"/>
        </w:rPr>
        <w:t xml:space="preserve">cases </w:t>
      </w:r>
      <w:r w:rsidR="00587ADA">
        <w:rPr>
          <w:sz w:val="20"/>
          <w:szCs w:val="20"/>
          <w:lang w:val="en-US"/>
        </w:rPr>
        <w:t xml:space="preserve">for </w:t>
      </w:r>
      <w:r>
        <w:rPr>
          <w:color w:val="auto"/>
          <w:sz w:val="20"/>
          <w:szCs w:val="20"/>
          <w:lang w:val="en-US"/>
        </w:rPr>
        <w:t>September 3, 2015, during its 110</w:t>
      </w:r>
      <w:r w:rsidR="00587ADA" w:rsidRPr="0015501E">
        <w:rPr>
          <w:color w:val="auto"/>
          <w:sz w:val="20"/>
          <w:szCs w:val="20"/>
          <w:vertAlign w:val="superscript"/>
          <w:lang w:val="en-US"/>
        </w:rPr>
        <w:t>th</w:t>
      </w:r>
      <w:r w:rsidRPr="00B82515">
        <w:rPr>
          <w:color w:val="auto"/>
          <w:sz w:val="20"/>
          <w:szCs w:val="20"/>
          <w:lang w:val="en-US"/>
        </w:rPr>
        <w:t xml:space="preserve"> Regular </w:t>
      </w:r>
      <w:r w:rsidR="00B00F0F">
        <w:rPr>
          <w:color w:val="auto"/>
          <w:sz w:val="20"/>
          <w:szCs w:val="20"/>
          <w:lang w:val="en-US"/>
        </w:rPr>
        <w:t xml:space="preserve">Period of </w:t>
      </w:r>
      <w:r w:rsidRPr="00B82515">
        <w:rPr>
          <w:color w:val="auto"/>
          <w:sz w:val="20"/>
          <w:szCs w:val="20"/>
          <w:lang w:val="en-US"/>
        </w:rPr>
        <w:t>Session</w:t>
      </w:r>
      <w:r w:rsidR="00B00F0F">
        <w:rPr>
          <w:color w:val="auto"/>
          <w:sz w:val="20"/>
          <w:szCs w:val="20"/>
          <w:lang w:val="en-US"/>
        </w:rPr>
        <w:t>s</w:t>
      </w:r>
      <w:r w:rsidRPr="00B82515">
        <w:rPr>
          <w:color w:val="auto"/>
          <w:sz w:val="20"/>
          <w:szCs w:val="20"/>
          <w:lang w:val="en-US"/>
        </w:rPr>
        <w:t xml:space="preserve">. </w:t>
      </w:r>
    </w:p>
    <w:p w:rsidR="008C4FC0" w:rsidRPr="00180823" w:rsidRDefault="008C4FC0" w:rsidP="00CC1327">
      <w:pPr>
        <w:pStyle w:val="Default"/>
        <w:tabs>
          <w:tab w:val="left" w:pos="567"/>
        </w:tabs>
        <w:jc w:val="both"/>
        <w:rPr>
          <w:i/>
          <w:sz w:val="20"/>
          <w:szCs w:val="20"/>
          <w:lang w:val="en-US"/>
        </w:rPr>
      </w:pPr>
    </w:p>
    <w:p w:rsidR="00FE3057" w:rsidRPr="00256C2A" w:rsidRDefault="00807CBD" w:rsidP="00CC1327">
      <w:pPr>
        <w:pStyle w:val="Default"/>
        <w:numPr>
          <w:ilvl w:val="0"/>
          <w:numId w:val="2"/>
        </w:numPr>
        <w:tabs>
          <w:tab w:val="left" w:pos="567"/>
        </w:tabs>
        <w:ind w:left="0" w:firstLine="0"/>
        <w:jc w:val="both"/>
        <w:rPr>
          <w:sz w:val="20"/>
          <w:szCs w:val="20"/>
          <w:lang w:val="en-US"/>
        </w:rPr>
      </w:pPr>
      <w:r w:rsidRPr="00180823">
        <w:rPr>
          <w:sz w:val="20"/>
          <w:szCs w:val="20"/>
          <w:lang w:val="en-US"/>
        </w:rPr>
        <w:t xml:space="preserve">In </w:t>
      </w:r>
      <w:r w:rsidR="00C91EE8" w:rsidRPr="00180823">
        <w:rPr>
          <w:sz w:val="20"/>
          <w:szCs w:val="20"/>
          <w:lang w:val="en-US"/>
        </w:rPr>
        <w:t>accordance</w:t>
      </w:r>
      <w:r w:rsidRPr="00180823">
        <w:rPr>
          <w:sz w:val="20"/>
          <w:szCs w:val="20"/>
          <w:lang w:val="en-US"/>
        </w:rPr>
        <w:t xml:space="preserve"> with </w:t>
      </w:r>
      <w:r w:rsidR="00180823" w:rsidRPr="00180823">
        <w:rPr>
          <w:sz w:val="20"/>
          <w:szCs w:val="20"/>
          <w:lang w:val="en-US"/>
        </w:rPr>
        <w:t>A</w:t>
      </w:r>
      <w:r w:rsidRPr="00180823">
        <w:rPr>
          <w:sz w:val="20"/>
          <w:szCs w:val="20"/>
          <w:lang w:val="en-US"/>
        </w:rPr>
        <w:t xml:space="preserve">rticle 3 of the </w:t>
      </w:r>
      <w:r w:rsidR="00180823" w:rsidRPr="00180823">
        <w:rPr>
          <w:sz w:val="20"/>
          <w:szCs w:val="20"/>
          <w:lang w:val="en-US"/>
        </w:rPr>
        <w:t>Rules for the Operation of the Victims’ Legal Assistance Fund</w:t>
      </w:r>
      <w:r w:rsidR="00180823" w:rsidRPr="00180823">
        <w:rPr>
          <w:rStyle w:val="FootnoteReference"/>
          <w:sz w:val="20"/>
          <w:szCs w:val="20"/>
          <w:lang w:val="en-US"/>
        </w:rPr>
        <w:footnoteReference w:id="3"/>
      </w:r>
      <w:r w:rsidR="00180823" w:rsidRPr="00180823">
        <w:rPr>
          <w:sz w:val="20"/>
          <w:szCs w:val="20"/>
          <w:lang w:val="en-US"/>
        </w:rPr>
        <w:t xml:space="preserve"> (hereinafter “the Rules of the Assistance Fund”)</w:t>
      </w:r>
      <w:r w:rsidRPr="00C91EE8">
        <w:rPr>
          <w:sz w:val="20"/>
          <w:szCs w:val="20"/>
          <w:lang w:val="en-US"/>
        </w:rPr>
        <w:t xml:space="preserve">, the </w:t>
      </w:r>
      <w:r w:rsidR="00180823">
        <w:rPr>
          <w:sz w:val="20"/>
          <w:szCs w:val="20"/>
          <w:lang w:val="en-US"/>
        </w:rPr>
        <w:t>request for assistance</w:t>
      </w:r>
      <w:r w:rsidRPr="00C91EE8">
        <w:rPr>
          <w:sz w:val="20"/>
          <w:szCs w:val="20"/>
          <w:lang w:val="en-US"/>
        </w:rPr>
        <w:t xml:space="preserve"> was submitted by the Secretar</w:t>
      </w:r>
      <w:r w:rsidR="00180823">
        <w:rPr>
          <w:sz w:val="20"/>
          <w:szCs w:val="20"/>
          <w:lang w:val="en-US"/>
        </w:rPr>
        <w:t>iat of the Court</w:t>
      </w:r>
      <w:r w:rsidRPr="00C91EE8">
        <w:rPr>
          <w:sz w:val="20"/>
          <w:szCs w:val="20"/>
          <w:lang w:val="en-US"/>
        </w:rPr>
        <w:t xml:space="preserve"> for consideration </w:t>
      </w:r>
      <w:r w:rsidR="00180823">
        <w:rPr>
          <w:sz w:val="20"/>
          <w:szCs w:val="20"/>
          <w:lang w:val="en-US"/>
        </w:rPr>
        <w:t>by</w:t>
      </w:r>
      <w:r w:rsidR="00180823" w:rsidRPr="00C91EE8">
        <w:rPr>
          <w:sz w:val="20"/>
          <w:szCs w:val="20"/>
          <w:lang w:val="en-US"/>
        </w:rPr>
        <w:t xml:space="preserve"> </w:t>
      </w:r>
      <w:r w:rsidR="00C91EE8" w:rsidRPr="00C91EE8">
        <w:rPr>
          <w:sz w:val="20"/>
          <w:szCs w:val="20"/>
          <w:lang w:val="en-US"/>
        </w:rPr>
        <w:t>the President of the Court</w:t>
      </w:r>
      <w:r w:rsidR="00C91EE8" w:rsidRPr="00256C2A">
        <w:rPr>
          <w:sz w:val="20"/>
          <w:szCs w:val="20"/>
          <w:lang w:val="en-US"/>
        </w:rPr>
        <w:t xml:space="preserve">, </w:t>
      </w:r>
      <w:r w:rsidR="00180823" w:rsidRPr="00256C2A">
        <w:rPr>
          <w:sz w:val="20"/>
          <w:szCs w:val="20"/>
          <w:lang w:val="en-US"/>
        </w:rPr>
        <w:t>who is to decide this matter</w:t>
      </w:r>
      <w:r w:rsidR="00C91EE8" w:rsidRPr="00256C2A">
        <w:rPr>
          <w:sz w:val="20"/>
          <w:szCs w:val="20"/>
          <w:lang w:val="en-US"/>
        </w:rPr>
        <w:t xml:space="preserve">. </w:t>
      </w:r>
    </w:p>
    <w:p w:rsidR="00DD47DE" w:rsidRPr="00256C2A" w:rsidRDefault="00DD47DE" w:rsidP="00CC1327">
      <w:pPr>
        <w:tabs>
          <w:tab w:val="left" w:pos="567"/>
        </w:tabs>
        <w:spacing w:after="0" w:line="240" w:lineRule="auto"/>
        <w:jc w:val="both"/>
        <w:rPr>
          <w:rFonts w:ascii="Verdana" w:hAnsi="Verdana"/>
          <w:sz w:val="20"/>
          <w:szCs w:val="20"/>
          <w:lang w:val="en-US"/>
        </w:rPr>
      </w:pPr>
    </w:p>
    <w:p w:rsidR="006B391A" w:rsidRPr="00256C2A" w:rsidRDefault="00DD47DE" w:rsidP="00405CB7">
      <w:pPr>
        <w:pStyle w:val="HTMLPreformatted"/>
        <w:numPr>
          <w:ilvl w:val="0"/>
          <w:numId w:val="2"/>
        </w:numPr>
        <w:shd w:val="clear" w:color="auto" w:fill="FFFFFF"/>
        <w:tabs>
          <w:tab w:val="left" w:pos="567"/>
        </w:tabs>
        <w:ind w:left="0" w:firstLine="0"/>
        <w:jc w:val="both"/>
        <w:rPr>
          <w:rFonts w:ascii="Verdana" w:hAnsi="Verdana"/>
          <w:color w:val="212121"/>
          <w:lang w:val="en-US"/>
        </w:rPr>
      </w:pPr>
      <w:r w:rsidRPr="00256C2A">
        <w:rPr>
          <w:rFonts w:ascii="Verdana" w:hAnsi="Verdana"/>
          <w:lang w:val="en-US"/>
        </w:rPr>
        <w:t xml:space="preserve">In the present </w:t>
      </w:r>
      <w:r w:rsidR="00180823" w:rsidRPr="00256C2A">
        <w:rPr>
          <w:rFonts w:ascii="Verdana" w:hAnsi="Verdana"/>
          <w:lang w:val="en-US"/>
        </w:rPr>
        <w:t>O</w:t>
      </w:r>
      <w:r w:rsidRPr="00256C2A">
        <w:rPr>
          <w:rFonts w:ascii="Verdana" w:hAnsi="Verdana"/>
          <w:lang w:val="en-US"/>
        </w:rPr>
        <w:t xml:space="preserve">rder, the President of the Court shall grant or deny access to the Legal Assistance Fund during the stage of </w:t>
      </w:r>
      <w:r w:rsidR="00180823" w:rsidRPr="00256C2A">
        <w:rPr>
          <w:rFonts w:ascii="Verdana" w:hAnsi="Verdana"/>
          <w:lang w:val="en-US"/>
        </w:rPr>
        <w:t>m</w:t>
      </w:r>
      <w:r w:rsidRPr="00256C2A">
        <w:rPr>
          <w:rFonts w:ascii="Verdana" w:hAnsi="Verdana"/>
          <w:lang w:val="en-US"/>
        </w:rPr>
        <w:t xml:space="preserve">onitoring </w:t>
      </w:r>
      <w:r w:rsidR="00180823" w:rsidRPr="00256C2A">
        <w:rPr>
          <w:rFonts w:ascii="Verdana" w:hAnsi="Verdana"/>
          <w:lang w:val="en-US"/>
        </w:rPr>
        <w:t>c</w:t>
      </w:r>
      <w:r w:rsidRPr="00256C2A">
        <w:rPr>
          <w:rFonts w:ascii="Verdana" w:hAnsi="Verdana"/>
          <w:lang w:val="en-US"/>
        </w:rPr>
        <w:t xml:space="preserve">ompliance with </w:t>
      </w:r>
      <w:r w:rsidR="00180823" w:rsidRPr="00256C2A">
        <w:rPr>
          <w:rFonts w:ascii="Verdana" w:hAnsi="Verdana"/>
          <w:lang w:val="en-US"/>
        </w:rPr>
        <w:t xml:space="preserve">the </w:t>
      </w:r>
      <w:r w:rsidRPr="00256C2A">
        <w:rPr>
          <w:rFonts w:ascii="Verdana" w:hAnsi="Verdana"/>
          <w:lang w:val="en-US"/>
        </w:rPr>
        <w:t xml:space="preserve">Judgment. </w:t>
      </w:r>
      <w:r w:rsidR="00405CB7" w:rsidRPr="00256C2A">
        <w:rPr>
          <w:rFonts w:ascii="Verdana" w:hAnsi="Verdana"/>
          <w:lang w:val="en-US"/>
        </w:rPr>
        <w:t xml:space="preserve">The Court </w:t>
      </w:r>
      <w:r w:rsidR="00FB265D">
        <w:rPr>
          <w:rFonts w:ascii="Verdana" w:hAnsi="Verdana"/>
          <w:lang w:val="en-US"/>
        </w:rPr>
        <w:t xml:space="preserve">has already </w:t>
      </w:r>
      <w:r w:rsidR="00405CB7" w:rsidRPr="00256C2A">
        <w:rPr>
          <w:rFonts w:ascii="Verdana" w:hAnsi="Verdana"/>
          <w:lang w:val="en-US"/>
        </w:rPr>
        <w:t xml:space="preserve">ruled on the scope of its authority to </w:t>
      </w:r>
      <w:r w:rsidR="00C57B91" w:rsidRPr="00256C2A">
        <w:rPr>
          <w:rFonts w:ascii="Verdana" w:hAnsi="Verdana"/>
          <w:lang w:val="en-US"/>
        </w:rPr>
        <w:t>consider,</w:t>
      </w:r>
      <w:r w:rsidR="00DC7709">
        <w:rPr>
          <w:rFonts w:ascii="Verdana" w:hAnsi="Verdana"/>
          <w:lang w:val="en-US"/>
        </w:rPr>
        <w:t xml:space="preserve"> in an exceptional manner</w:t>
      </w:r>
      <w:r w:rsidR="00C57B91" w:rsidRPr="00256C2A">
        <w:rPr>
          <w:rFonts w:ascii="Verdana" w:hAnsi="Verdana"/>
          <w:lang w:val="en-US"/>
        </w:rPr>
        <w:t xml:space="preserve">, </w:t>
      </w:r>
      <w:r w:rsidR="002910D9" w:rsidRPr="00256C2A">
        <w:rPr>
          <w:rFonts w:ascii="Verdana" w:hAnsi="Verdana"/>
          <w:lang w:val="en-US"/>
        </w:rPr>
        <w:t>petitions to access</w:t>
      </w:r>
      <w:r w:rsidR="00C57B91" w:rsidRPr="00256C2A">
        <w:rPr>
          <w:rFonts w:ascii="Verdana" w:hAnsi="Verdana"/>
          <w:lang w:val="en-US"/>
        </w:rPr>
        <w:t xml:space="preserve"> the Legal Assistance Fund outside of the </w:t>
      </w:r>
      <w:r w:rsidR="002910D9" w:rsidRPr="00256C2A">
        <w:rPr>
          <w:rFonts w:ascii="Verdana" w:hAnsi="Verdana"/>
          <w:lang w:val="en-US"/>
        </w:rPr>
        <w:t>context of</w:t>
      </w:r>
      <w:r w:rsidR="00A10977" w:rsidRPr="00256C2A">
        <w:rPr>
          <w:rFonts w:ascii="Verdana" w:hAnsi="Verdana"/>
          <w:lang w:val="en-US"/>
        </w:rPr>
        <w:t xml:space="preserve"> litigation </w:t>
      </w:r>
      <w:r w:rsidR="002910D9" w:rsidRPr="00256C2A">
        <w:rPr>
          <w:rFonts w:ascii="Verdana" w:hAnsi="Verdana"/>
          <w:lang w:val="en-US"/>
        </w:rPr>
        <w:t xml:space="preserve">on the merits </w:t>
      </w:r>
      <w:r w:rsidR="00A10977" w:rsidRPr="00256C2A">
        <w:rPr>
          <w:rFonts w:ascii="Verdana" w:hAnsi="Verdana"/>
          <w:lang w:val="en-US"/>
        </w:rPr>
        <w:t>of contentious cases</w:t>
      </w:r>
      <w:r w:rsidR="00A10977" w:rsidRPr="00256C2A">
        <w:rPr>
          <w:rStyle w:val="FootnoteReference"/>
          <w:rFonts w:ascii="Verdana" w:hAnsi="Verdana"/>
        </w:rPr>
        <w:footnoteReference w:id="4"/>
      </w:r>
      <w:r w:rsidR="00A10977" w:rsidRPr="00256C2A">
        <w:rPr>
          <w:rFonts w:ascii="Verdana" w:hAnsi="Verdana"/>
          <w:lang w:val="en-US"/>
        </w:rPr>
        <w:t>.</w:t>
      </w:r>
      <w:r w:rsidR="00F60D41">
        <w:rPr>
          <w:rFonts w:ascii="Verdana" w:hAnsi="Verdana"/>
          <w:lang w:val="en-US"/>
        </w:rPr>
        <w:t xml:space="preserve"> </w:t>
      </w:r>
      <w:r w:rsidR="004639BA">
        <w:rPr>
          <w:rFonts w:ascii="Verdana" w:hAnsi="Verdana"/>
          <w:color w:val="212121"/>
          <w:lang w:val="en-US"/>
        </w:rPr>
        <w:t>After that</w:t>
      </w:r>
      <w:r w:rsidR="002676F7" w:rsidRPr="00F60D41">
        <w:rPr>
          <w:rFonts w:ascii="Verdana" w:hAnsi="Verdana"/>
          <w:lang w:val="en-US"/>
        </w:rPr>
        <w:t>, the President of the Court has issued Orders</w:t>
      </w:r>
      <w:r w:rsidR="00C909AE" w:rsidRPr="00F60D41">
        <w:rPr>
          <w:rFonts w:ascii="Verdana" w:hAnsi="Verdana"/>
          <w:lang w:val="en-US"/>
        </w:rPr>
        <w:t xml:space="preserve"> </w:t>
      </w:r>
      <w:r w:rsidR="002676F7" w:rsidRPr="00F60D41">
        <w:rPr>
          <w:rFonts w:ascii="Verdana" w:hAnsi="Verdana"/>
          <w:lang w:val="en-US"/>
        </w:rPr>
        <w:t xml:space="preserve">applying the criteria developed by the Court regarding </w:t>
      </w:r>
      <w:r w:rsidR="00256C2A" w:rsidRPr="00F60D41">
        <w:rPr>
          <w:rFonts w:ascii="Verdana" w:hAnsi="Verdana"/>
          <w:lang w:val="en-US"/>
        </w:rPr>
        <w:t>monitoring of compliance</w:t>
      </w:r>
      <w:r w:rsidR="00B8022D" w:rsidRPr="00F60D41">
        <w:rPr>
          <w:rStyle w:val="FootnoteReference"/>
          <w:rFonts w:ascii="Verdana" w:hAnsi="Verdana"/>
        </w:rPr>
        <w:footnoteReference w:id="5"/>
      </w:r>
      <w:r w:rsidR="00C909AE" w:rsidRPr="00F60D41">
        <w:rPr>
          <w:rFonts w:ascii="Verdana" w:hAnsi="Verdana"/>
          <w:lang w:val="en-US"/>
        </w:rPr>
        <w:t xml:space="preserve">. </w:t>
      </w:r>
    </w:p>
    <w:p w:rsidR="005926D5" w:rsidRPr="002676F7" w:rsidRDefault="005926D5" w:rsidP="00CC1327">
      <w:pPr>
        <w:pStyle w:val="Default"/>
        <w:tabs>
          <w:tab w:val="left" w:pos="567"/>
        </w:tabs>
        <w:ind w:right="49"/>
        <w:jc w:val="both"/>
        <w:rPr>
          <w:color w:val="auto"/>
          <w:sz w:val="20"/>
          <w:szCs w:val="20"/>
          <w:lang w:val="en-US"/>
        </w:rPr>
      </w:pPr>
    </w:p>
    <w:p w:rsidR="005926D5" w:rsidRPr="00AB7A9A" w:rsidRDefault="005926D5" w:rsidP="00AB7A9A">
      <w:pPr>
        <w:pStyle w:val="Default"/>
        <w:numPr>
          <w:ilvl w:val="0"/>
          <w:numId w:val="2"/>
        </w:numPr>
        <w:tabs>
          <w:tab w:val="left" w:pos="567"/>
        </w:tabs>
        <w:ind w:left="0" w:firstLine="0"/>
        <w:jc w:val="both"/>
        <w:rPr>
          <w:b/>
          <w:color w:val="auto"/>
          <w:sz w:val="20"/>
          <w:szCs w:val="20"/>
          <w:lang w:val="en-US"/>
        </w:rPr>
      </w:pPr>
      <w:r w:rsidRPr="0015501E">
        <w:rPr>
          <w:sz w:val="20"/>
          <w:szCs w:val="20"/>
          <w:lang w:val="en-US"/>
        </w:rPr>
        <w:t>On this occasion</w:t>
      </w:r>
      <w:r w:rsidRPr="00C02076">
        <w:rPr>
          <w:sz w:val="20"/>
          <w:szCs w:val="20"/>
          <w:lang w:val="en-US"/>
        </w:rPr>
        <w:t>,</w:t>
      </w:r>
      <w:r w:rsidRPr="005926D5">
        <w:rPr>
          <w:sz w:val="20"/>
          <w:szCs w:val="20"/>
          <w:lang w:val="en-US"/>
        </w:rPr>
        <w:t xml:space="preserve"> </w:t>
      </w:r>
      <w:r w:rsidR="004C0A0F">
        <w:rPr>
          <w:sz w:val="20"/>
          <w:szCs w:val="20"/>
          <w:lang w:val="en-US"/>
        </w:rPr>
        <w:t>given</w:t>
      </w:r>
      <w:r w:rsidR="00FB53D8">
        <w:rPr>
          <w:sz w:val="20"/>
          <w:szCs w:val="20"/>
          <w:lang w:val="en-US"/>
        </w:rPr>
        <w:t xml:space="preserve"> </w:t>
      </w:r>
      <w:r w:rsidRPr="005926D5">
        <w:rPr>
          <w:sz w:val="20"/>
          <w:szCs w:val="20"/>
          <w:lang w:val="en-US"/>
        </w:rPr>
        <w:t>the resources currently available in the Assistance Fund, the President deems it feasible to</w:t>
      </w:r>
      <w:r w:rsidR="00885B9B">
        <w:rPr>
          <w:sz w:val="20"/>
          <w:szCs w:val="20"/>
          <w:lang w:val="en-US"/>
        </w:rPr>
        <w:t xml:space="preserve"> examine</w:t>
      </w:r>
      <w:r w:rsidRPr="005926D5">
        <w:rPr>
          <w:sz w:val="20"/>
          <w:szCs w:val="20"/>
          <w:lang w:val="en-US"/>
        </w:rPr>
        <w:t xml:space="preserve"> the request for assistance submitted by </w:t>
      </w:r>
      <w:r>
        <w:rPr>
          <w:sz w:val="20"/>
          <w:szCs w:val="20"/>
          <w:lang w:val="en-US"/>
        </w:rPr>
        <w:t>the representatives of the victims</w:t>
      </w:r>
      <w:r w:rsidRPr="005926D5">
        <w:rPr>
          <w:sz w:val="20"/>
          <w:szCs w:val="20"/>
          <w:lang w:val="en-US"/>
        </w:rPr>
        <w:t xml:space="preserve"> in the current stage of monitoring compliance with</w:t>
      </w:r>
      <w:r w:rsidR="004C0A0F">
        <w:rPr>
          <w:sz w:val="20"/>
          <w:szCs w:val="20"/>
          <w:lang w:val="en-US"/>
        </w:rPr>
        <w:t xml:space="preserve"> the</w:t>
      </w:r>
      <w:r w:rsidRPr="005926D5">
        <w:rPr>
          <w:sz w:val="20"/>
          <w:szCs w:val="20"/>
          <w:lang w:val="en-US"/>
        </w:rPr>
        <w:t xml:space="preserve"> </w:t>
      </w:r>
      <w:r w:rsidR="004C0A0F">
        <w:rPr>
          <w:sz w:val="20"/>
          <w:szCs w:val="20"/>
          <w:lang w:val="en-US"/>
        </w:rPr>
        <w:t>J</w:t>
      </w:r>
      <w:r w:rsidRPr="005926D5">
        <w:rPr>
          <w:sz w:val="20"/>
          <w:szCs w:val="20"/>
          <w:lang w:val="en-US"/>
        </w:rPr>
        <w:t>udgment</w:t>
      </w:r>
      <w:r w:rsidR="004C0A0F">
        <w:rPr>
          <w:sz w:val="20"/>
          <w:szCs w:val="20"/>
          <w:lang w:val="en-US"/>
        </w:rPr>
        <w:t>s</w:t>
      </w:r>
      <w:r w:rsidRPr="005926D5">
        <w:rPr>
          <w:sz w:val="20"/>
          <w:szCs w:val="20"/>
          <w:lang w:val="en-US"/>
        </w:rPr>
        <w:t>, since this would not impair the attention given to requests for support from the Assistance Fund to cover costs related to an effective appearance and presentation of evidence at hearings before the Court in contentious cases currently at the stage of merits, and possible reparations and costs</w:t>
      </w:r>
      <w:r w:rsidR="00885B9B">
        <w:rPr>
          <w:rStyle w:val="FootnoteReference"/>
          <w:color w:val="auto"/>
          <w:sz w:val="20"/>
          <w:szCs w:val="20"/>
          <w:lang w:val="en-US"/>
        </w:rPr>
        <w:footnoteReference w:id="6"/>
      </w:r>
      <w:r w:rsidR="00885B9B" w:rsidRPr="00AB7A9A">
        <w:rPr>
          <w:color w:val="auto"/>
          <w:sz w:val="20"/>
          <w:szCs w:val="20"/>
          <w:lang w:val="en-US"/>
        </w:rPr>
        <w:t>.</w:t>
      </w:r>
      <w:r w:rsidR="00885B9B">
        <w:rPr>
          <w:sz w:val="20"/>
          <w:szCs w:val="20"/>
          <w:lang w:val="en-US"/>
        </w:rPr>
        <w:t xml:space="preserve"> </w:t>
      </w:r>
      <w:r w:rsidR="00AB7A9A" w:rsidRPr="00631EE2">
        <w:rPr>
          <w:color w:val="auto"/>
          <w:sz w:val="20"/>
          <w:szCs w:val="20"/>
          <w:lang w:val="en-US"/>
        </w:rPr>
        <w:t>The President</w:t>
      </w:r>
      <w:r w:rsidR="00AB7A9A">
        <w:rPr>
          <w:color w:val="auto"/>
          <w:sz w:val="20"/>
          <w:szCs w:val="20"/>
          <w:lang w:val="en-US"/>
        </w:rPr>
        <w:t xml:space="preserve"> of the Court</w:t>
      </w:r>
      <w:r w:rsidR="00AB7A9A" w:rsidRPr="00631EE2">
        <w:rPr>
          <w:color w:val="auto"/>
          <w:sz w:val="20"/>
          <w:szCs w:val="20"/>
          <w:lang w:val="en-US"/>
        </w:rPr>
        <w:t xml:space="preserve"> further recalls that the Assistance Fund of the Court does not receive resources form the OAS’ regular budget, but rather is compri</w:t>
      </w:r>
      <w:r w:rsidR="00AB7A9A">
        <w:rPr>
          <w:color w:val="auto"/>
          <w:sz w:val="20"/>
          <w:szCs w:val="20"/>
          <w:lang w:val="en-US"/>
        </w:rPr>
        <w:t xml:space="preserve">sed of voluntary </w:t>
      </w:r>
      <w:r w:rsidR="00AB7A9A" w:rsidRPr="00AB7A9A">
        <w:rPr>
          <w:color w:val="auto"/>
          <w:sz w:val="20"/>
          <w:szCs w:val="20"/>
          <w:lang w:val="en-US"/>
        </w:rPr>
        <w:t>contributions</w:t>
      </w:r>
      <w:r w:rsidR="008D4109" w:rsidRPr="00AB7A9A">
        <w:rPr>
          <w:rStyle w:val="FootnoteReference"/>
          <w:rFonts w:cs="Arial"/>
          <w:sz w:val="20"/>
          <w:szCs w:val="20"/>
          <w:lang w:val="en-US"/>
        </w:rPr>
        <w:footnoteReference w:id="7"/>
      </w:r>
      <w:r w:rsidR="008D4109" w:rsidRPr="00AB7A9A">
        <w:rPr>
          <w:rFonts w:cs="Arial"/>
          <w:sz w:val="20"/>
          <w:szCs w:val="20"/>
          <w:lang w:val="en-US"/>
        </w:rPr>
        <w:t>.</w:t>
      </w:r>
    </w:p>
    <w:p w:rsidR="00B42DEC" w:rsidRDefault="00B42DEC" w:rsidP="00CC1327">
      <w:pPr>
        <w:pStyle w:val="ListParagraph"/>
        <w:tabs>
          <w:tab w:val="left" w:pos="567"/>
        </w:tabs>
        <w:spacing w:after="0" w:line="240" w:lineRule="auto"/>
        <w:ind w:left="0" w:right="49"/>
        <w:rPr>
          <w:sz w:val="20"/>
          <w:szCs w:val="20"/>
          <w:lang w:val="en-US"/>
        </w:rPr>
      </w:pPr>
    </w:p>
    <w:p w:rsidR="00B42DEC" w:rsidRDefault="00B42DEC" w:rsidP="00CC1327">
      <w:pPr>
        <w:pStyle w:val="Default"/>
        <w:numPr>
          <w:ilvl w:val="0"/>
          <w:numId w:val="2"/>
        </w:numPr>
        <w:tabs>
          <w:tab w:val="left" w:pos="567"/>
        </w:tabs>
        <w:ind w:left="0" w:right="49" w:firstLine="0"/>
        <w:jc w:val="both"/>
        <w:rPr>
          <w:color w:val="auto"/>
          <w:sz w:val="20"/>
          <w:szCs w:val="20"/>
          <w:lang w:val="en-US"/>
        </w:rPr>
      </w:pPr>
      <w:r w:rsidRPr="0015501E">
        <w:rPr>
          <w:sz w:val="20"/>
          <w:szCs w:val="20"/>
          <w:lang w:val="en-US"/>
        </w:rPr>
        <w:t>During the</w:t>
      </w:r>
      <w:r w:rsidRPr="00123367">
        <w:rPr>
          <w:sz w:val="20"/>
          <w:szCs w:val="20"/>
          <w:lang w:val="en-US"/>
        </w:rPr>
        <w:t xml:space="preserve"> stage of monitoring compliance </w:t>
      </w:r>
      <w:r w:rsidR="00B44D57">
        <w:rPr>
          <w:sz w:val="20"/>
          <w:szCs w:val="20"/>
          <w:lang w:val="en-US"/>
        </w:rPr>
        <w:t>of both cases</w:t>
      </w:r>
      <w:r w:rsidR="004C0A0F">
        <w:rPr>
          <w:sz w:val="20"/>
          <w:szCs w:val="20"/>
          <w:lang w:val="en-US"/>
        </w:rPr>
        <w:t>,</w:t>
      </w:r>
      <w:r w:rsidR="00B44D57">
        <w:rPr>
          <w:sz w:val="20"/>
          <w:szCs w:val="20"/>
          <w:lang w:val="en-US"/>
        </w:rPr>
        <w:t xml:space="preserve"> </w:t>
      </w:r>
      <w:r w:rsidR="00F60D41">
        <w:rPr>
          <w:sz w:val="20"/>
          <w:szCs w:val="20"/>
          <w:lang w:val="en-US"/>
        </w:rPr>
        <w:t>two</w:t>
      </w:r>
      <w:r w:rsidRPr="00123367">
        <w:rPr>
          <w:sz w:val="20"/>
          <w:szCs w:val="20"/>
          <w:lang w:val="en-US"/>
        </w:rPr>
        <w:t xml:space="preserve"> factors </w:t>
      </w:r>
      <w:proofErr w:type="gramStart"/>
      <w:r w:rsidRPr="00123367">
        <w:rPr>
          <w:sz w:val="20"/>
          <w:szCs w:val="20"/>
          <w:lang w:val="en-US"/>
        </w:rPr>
        <w:t>arise</w:t>
      </w:r>
      <w:proofErr w:type="gramEnd"/>
      <w:r w:rsidRPr="00123367">
        <w:rPr>
          <w:sz w:val="20"/>
          <w:szCs w:val="20"/>
          <w:lang w:val="en-US"/>
        </w:rPr>
        <w:t xml:space="preserve"> </w:t>
      </w:r>
      <w:r w:rsidR="004C0A0F">
        <w:rPr>
          <w:sz w:val="20"/>
          <w:szCs w:val="20"/>
          <w:lang w:val="en-US"/>
        </w:rPr>
        <w:t>that</w:t>
      </w:r>
      <w:r w:rsidR="004C0A0F" w:rsidRPr="00123367">
        <w:rPr>
          <w:sz w:val="20"/>
          <w:szCs w:val="20"/>
          <w:lang w:val="en-US"/>
        </w:rPr>
        <w:t xml:space="preserve"> </w:t>
      </w:r>
      <w:r w:rsidRPr="00123367">
        <w:rPr>
          <w:sz w:val="20"/>
          <w:szCs w:val="20"/>
          <w:lang w:val="en-US"/>
        </w:rPr>
        <w:t xml:space="preserve">together influence the President’s decision to consider the aforementioned request for support from the </w:t>
      </w:r>
      <w:r w:rsidR="00333AB1">
        <w:rPr>
          <w:sz w:val="20"/>
          <w:szCs w:val="20"/>
          <w:lang w:val="en-US"/>
        </w:rPr>
        <w:t xml:space="preserve">Legal </w:t>
      </w:r>
      <w:r w:rsidRPr="00123367">
        <w:rPr>
          <w:sz w:val="20"/>
          <w:szCs w:val="20"/>
          <w:lang w:val="en-US"/>
        </w:rPr>
        <w:t xml:space="preserve">Assistance Fund. The first is that the sum ordered by the Court in the Judgment for reimbursement of costs and expenses did not include any future expenses that might be incurred by victims in the stage of monitoring compliance with </w:t>
      </w:r>
      <w:r w:rsidR="004C0A0F">
        <w:rPr>
          <w:sz w:val="20"/>
          <w:szCs w:val="20"/>
          <w:lang w:val="en-US"/>
        </w:rPr>
        <w:t>the J</w:t>
      </w:r>
      <w:r w:rsidRPr="00123367">
        <w:rPr>
          <w:sz w:val="20"/>
          <w:szCs w:val="20"/>
          <w:lang w:val="en-US"/>
        </w:rPr>
        <w:t>udgment</w:t>
      </w:r>
      <w:r w:rsidR="004C0A0F">
        <w:rPr>
          <w:sz w:val="20"/>
          <w:szCs w:val="20"/>
          <w:lang w:val="en-US"/>
        </w:rPr>
        <w:t>s</w:t>
      </w:r>
      <w:r w:rsidRPr="00123367">
        <w:rPr>
          <w:sz w:val="20"/>
          <w:szCs w:val="20"/>
          <w:lang w:val="en-US"/>
        </w:rPr>
        <w:t>. This Presidency also takes into account the fact that</w:t>
      </w:r>
      <w:r w:rsidR="002075B6" w:rsidRPr="00123367">
        <w:rPr>
          <w:sz w:val="20"/>
          <w:szCs w:val="20"/>
          <w:lang w:val="en-US"/>
        </w:rPr>
        <w:t xml:space="preserve"> the State of Barbados </w:t>
      </w:r>
      <w:r w:rsidR="00123367" w:rsidRPr="00123367">
        <w:rPr>
          <w:sz w:val="20"/>
          <w:szCs w:val="20"/>
          <w:lang w:val="en-US"/>
        </w:rPr>
        <w:t xml:space="preserve">requested the Court to defer the aforementioned </w:t>
      </w:r>
      <w:r w:rsidR="00123367" w:rsidRPr="00B82515">
        <w:rPr>
          <w:color w:val="auto"/>
          <w:sz w:val="20"/>
          <w:szCs w:val="20"/>
          <w:lang w:val="en-US"/>
        </w:rPr>
        <w:t>private monitoring of compliance with judgment hearing</w:t>
      </w:r>
      <w:r w:rsidR="00123367">
        <w:rPr>
          <w:color w:val="auto"/>
          <w:sz w:val="20"/>
          <w:szCs w:val="20"/>
          <w:lang w:val="en-US"/>
        </w:rPr>
        <w:t xml:space="preserve"> on </w:t>
      </w:r>
      <w:r w:rsidR="004C0A0F">
        <w:rPr>
          <w:color w:val="auto"/>
          <w:sz w:val="20"/>
          <w:szCs w:val="20"/>
          <w:lang w:val="en-US"/>
        </w:rPr>
        <w:t xml:space="preserve">June </w:t>
      </w:r>
      <w:r w:rsidR="00123367">
        <w:rPr>
          <w:color w:val="auto"/>
          <w:sz w:val="20"/>
          <w:szCs w:val="20"/>
          <w:lang w:val="en-US"/>
        </w:rPr>
        <w:t>25, 2015</w:t>
      </w:r>
      <w:r w:rsidR="004C0A0F">
        <w:rPr>
          <w:color w:val="auto"/>
          <w:sz w:val="20"/>
          <w:szCs w:val="20"/>
          <w:lang w:val="en-US"/>
        </w:rPr>
        <w:t>;</w:t>
      </w:r>
      <w:r w:rsidR="00123367">
        <w:rPr>
          <w:color w:val="auto"/>
          <w:sz w:val="20"/>
          <w:szCs w:val="20"/>
          <w:lang w:val="en-US"/>
        </w:rPr>
        <w:t xml:space="preserve"> </w:t>
      </w:r>
      <w:r w:rsidR="004C0A0F">
        <w:rPr>
          <w:color w:val="auto"/>
          <w:sz w:val="20"/>
          <w:szCs w:val="20"/>
          <w:lang w:val="en-US"/>
        </w:rPr>
        <w:t>that is</w:t>
      </w:r>
      <w:r w:rsidR="00123367">
        <w:rPr>
          <w:color w:val="auto"/>
          <w:sz w:val="20"/>
          <w:szCs w:val="20"/>
          <w:lang w:val="en-US"/>
        </w:rPr>
        <w:t xml:space="preserve">, </w:t>
      </w:r>
      <w:r w:rsidR="004C0A0F">
        <w:rPr>
          <w:color w:val="auto"/>
          <w:sz w:val="20"/>
          <w:szCs w:val="20"/>
          <w:lang w:val="en-US"/>
        </w:rPr>
        <w:t xml:space="preserve">just </w:t>
      </w:r>
      <w:r w:rsidR="00123367">
        <w:rPr>
          <w:color w:val="auto"/>
          <w:sz w:val="20"/>
          <w:szCs w:val="20"/>
          <w:lang w:val="en-US"/>
        </w:rPr>
        <w:t>six days before it was schedule</w:t>
      </w:r>
      <w:r w:rsidR="004C0A0F">
        <w:rPr>
          <w:color w:val="auto"/>
          <w:sz w:val="20"/>
          <w:szCs w:val="20"/>
          <w:lang w:val="en-US"/>
        </w:rPr>
        <w:t>d</w:t>
      </w:r>
      <w:r w:rsidR="00123367">
        <w:rPr>
          <w:color w:val="auto"/>
          <w:sz w:val="20"/>
          <w:szCs w:val="20"/>
          <w:lang w:val="en-US"/>
        </w:rPr>
        <w:t xml:space="preserve"> to take place on July 1, 2015. </w:t>
      </w:r>
    </w:p>
    <w:p w:rsidR="00B44D57" w:rsidRDefault="00B44D57" w:rsidP="00CC1327">
      <w:pPr>
        <w:pStyle w:val="ListParagraph"/>
        <w:tabs>
          <w:tab w:val="left" w:pos="567"/>
        </w:tabs>
        <w:spacing w:after="0" w:line="240" w:lineRule="auto"/>
        <w:ind w:left="0" w:right="49"/>
        <w:rPr>
          <w:sz w:val="20"/>
          <w:szCs w:val="20"/>
          <w:lang w:val="en-US"/>
        </w:rPr>
      </w:pPr>
    </w:p>
    <w:p w:rsidR="00B44D57" w:rsidRPr="00B44D57" w:rsidRDefault="00B44D57" w:rsidP="00CC1327">
      <w:pPr>
        <w:pStyle w:val="Default"/>
        <w:numPr>
          <w:ilvl w:val="0"/>
          <w:numId w:val="2"/>
        </w:numPr>
        <w:tabs>
          <w:tab w:val="left" w:pos="567"/>
        </w:tabs>
        <w:ind w:left="0" w:right="49" w:firstLine="0"/>
        <w:jc w:val="both"/>
        <w:rPr>
          <w:color w:val="auto"/>
          <w:sz w:val="20"/>
          <w:szCs w:val="20"/>
          <w:lang w:val="en-US"/>
        </w:rPr>
      </w:pPr>
      <w:r w:rsidRPr="0015501E">
        <w:rPr>
          <w:sz w:val="20"/>
          <w:szCs w:val="20"/>
          <w:lang w:val="en-US"/>
        </w:rPr>
        <w:t>In order</w:t>
      </w:r>
      <w:r w:rsidRPr="00B44D57">
        <w:rPr>
          <w:sz w:val="20"/>
          <w:szCs w:val="20"/>
          <w:lang w:val="en-US"/>
        </w:rPr>
        <w:t xml:space="preserve"> to assess the admissibility of the request submitted by </w:t>
      </w:r>
      <w:r>
        <w:rPr>
          <w:sz w:val="20"/>
          <w:szCs w:val="20"/>
          <w:lang w:val="en-US"/>
        </w:rPr>
        <w:t>the representatives of the victims</w:t>
      </w:r>
      <w:r w:rsidRPr="00B44D57">
        <w:rPr>
          <w:sz w:val="20"/>
          <w:szCs w:val="20"/>
          <w:lang w:val="en-US"/>
        </w:rPr>
        <w:t>, this Presidency shall now determine whet</w:t>
      </w:r>
      <w:r w:rsidR="00467B13">
        <w:rPr>
          <w:sz w:val="20"/>
          <w:szCs w:val="20"/>
          <w:lang w:val="en-US"/>
        </w:rPr>
        <w:t>her the requirements indicated</w:t>
      </w:r>
      <w:r w:rsidRPr="00B44D57">
        <w:rPr>
          <w:sz w:val="20"/>
          <w:szCs w:val="20"/>
          <w:lang w:val="en-US"/>
        </w:rPr>
        <w:t xml:space="preserve"> </w:t>
      </w:r>
      <w:r w:rsidR="00EF09EA">
        <w:rPr>
          <w:sz w:val="20"/>
          <w:szCs w:val="20"/>
          <w:lang w:val="en-US"/>
        </w:rPr>
        <w:t xml:space="preserve">on </w:t>
      </w:r>
      <w:r w:rsidR="00EF09EA" w:rsidRPr="00EF09EA">
        <w:rPr>
          <w:sz w:val="20"/>
          <w:szCs w:val="20"/>
          <w:lang w:val="en-US"/>
        </w:rPr>
        <w:t>Article 2 of the Rules of the Fund</w:t>
      </w:r>
      <w:r w:rsidR="00EF09EA">
        <w:rPr>
          <w:rStyle w:val="FootnoteReference"/>
          <w:sz w:val="20"/>
          <w:szCs w:val="20"/>
          <w:lang w:val="en-US"/>
        </w:rPr>
        <w:footnoteReference w:id="8"/>
      </w:r>
      <w:r w:rsidR="00744505">
        <w:rPr>
          <w:sz w:val="20"/>
          <w:szCs w:val="20"/>
          <w:lang w:val="en-US"/>
        </w:rPr>
        <w:t>,</w:t>
      </w:r>
      <w:r w:rsidR="00EF09EA">
        <w:rPr>
          <w:sz w:val="20"/>
          <w:szCs w:val="20"/>
          <w:lang w:val="en-US"/>
        </w:rPr>
        <w:t xml:space="preserve"> </w:t>
      </w:r>
      <w:r w:rsidR="00744505">
        <w:rPr>
          <w:sz w:val="20"/>
          <w:szCs w:val="20"/>
          <w:lang w:val="en-US"/>
        </w:rPr>
        <w:t>as established by the Court regarding monitoring of compliance</w:t>
      </w:r>
      <w:r w:rsidR="00E6786D">
        <w:rPr>
          <w:sz w:val="20"/>
          <w:szCs w:val="20"/>
          <w:lang w:val="en-US"/>
        </w:rPr>
        <w:t xml:space="preserve"> (</w:t>
      </w:r>
      <w:r w:rsidR="00E6786D" w:rsidRPr="00E6786D">
        <w:rPr>
          <w:i/>
          <w:sz w:val="20"/>
          <w:szCs w:val="20"/>
          <w:lang w:val="en-US"/>
        </w:rPr>
        <w:t>supra</w:t>
      </w:r>
      <w:r w:rsidR="00E6786D">
        <w:rPr>
          <w:sz w:val="20"/>
          <w:szCs w:val="20"/>
          <w:lang w:val="en-US"/>
        </w:rPr>
        <w:t xml:space="preserve"> Considering 6)</w:t>
      </w:r>
      <w:r w:rsidR="00744505">
        <w:rPr>
          <w:sz w:val="20"/>
          <w:szCs w:val="20"/>
          <w:lang w:val="en-US"/>
        </w:rPr>
        <w:t>,</w:t>
      </w:r>
      <w:r w:rsidR="00467B13">
        <w:rPr>
          <w:sz w:val="20"/>
          <w:szCs w:val="20"/>
          <w:lang w:val="en-US"/>
        </w:rPr>
        <w:t xml:space="preserve"> </w:t>
      </w:r>
      <w:r w:rsidR="00744505">
        <w:rPr>
          <w:sz w:val="20"/>
          <w:szCs w:val="20"/>
          <w:lang w:val="en-US"/>
        </w:rPr>
        <w:t>have been fulfilled.</w:t>
      </w:r>
    </w:p>
    <w:p w:rsidR="00B44D57" w:rsidRDefault="00B44D57" w:rsidP="00CC1327">
      <w:pPr>
        <w:pStyle w:val="ListParagraph"/>
        <w:tabs>
          <w:tab w:val="left" w:pos="567"/>
        </w:tabs>
        <w:spacing w:after="0" w:line="240" w:lineRule="auto"/>
        <w:ind w:left="0" w:right="49"/>
        <w:rPr>
          <w:sz w:val="20"/>
          <w:szCs w:val="20"/>
          <w:lang w:val="en-US"/>
        </w:rPr>
      </w:pPr>
    </w:p>
    <w:p w:rsidR="00B44D57" w:rsidRPr="007526E6" w:rsidRDefault="00B44D57" w:rsidP="00CC1327">
      <w:pPr>
        <w:pStyle w:val="Default"/>
        <w:numPr>
          <w:ilvl w:val="0"/>
          <w:numId w:val="2"/>
        </w:numPr>
        <w:tabs>
          <w:tab w:val="left" w:pos="567"/>
        </w:tabs>
        <w:ind w:left="0" w:right="49" w:firstLine="0"/>
        <w:jc w:val="both"/>
        <w:rPr>
          <w:color w:val="auto"/>
          <w:sz w:val="20"/>
          <w:szCs w:val="20"/>
          <w:lang w:val="en-US"/>
        </w:rPr>
      </w:pPr>
      <w:r w:rsidRPr="00B553B8">
        <w:rPr>
          <w:sz w:val="20"/>
          <w:szCs w:val="20"/>
          <w:lang w:val="en-US"/>
        </w:rPr>
        <w:t>Regarding</w:t>
      </w:r>
      <w:r w:rsidRPr="00B44D57">
        <w:rPr>
          <w:sz w:val="20"/>
          <w:szCs w:val="20"/>
          <w:lang w:val="en-US"/>
        </w:rPr>
        <w:t xml:space="preserve"> the requirement that any victim requesting support must “lack sufficient economic resources”,</w:t>
      </w:r>
      <w:r>
        <w:rPr>
          <w:sz w:val="20"/>
          <w:szCs w:val="20"/>
          <w:lang w:val="en-US"/>
        </w:rPr>
        <w:t xml:space="preserve"> the representatives of the victims </w:t>
      </w:r>
      <w:r w:rsidR="004C0A0F">
        <w:rPr>
          <w:sz w:val="20"/>
          <w:szCs w:val="20"/>
          <w:lang w:val="en-US"/>
        </w:rPr>
        <w:t>noted</w:t>
      </w:r>
      <w:r w:rsidR="002C544D">
        <w:rPr>
          <w:sz w:val="20"/>
          <w:szCs w:val="20"/>
          <w:lang w:val="en-US"/>
        </w:rPr>
        <w:t xml:space="preserve"> that the v</w:t>
      </w:r>
      <w:r w:rsidR="002C544D" w:rsidRPr="002C544D">
        <w:rPr>
          <w:sz w:val="20"/>
          <w:szCs w:val="20"/>
          <w:lang w:val="en-US"/>
        </w:rPr>
        <w:t xml:space="preserve">ictims are being provided with free legal representation and all related </w:t>
      </w:r>
      <w:r w:rsidR="00C02076">
        <w:rPr>
          <w:sz w:val="20"/>
          <w:szCs w:val="20"/>
          <w:lang w:val="en-US"/>
        </w:rPr>
        <w:t>expenses</w:t>
      </w:r>
      <w:r w:rsidR="00C02076" w:rsidRPr="002C544D">
        <w:rPr>
          <w:sz w:val="20"/>
          <w:szCs w:val="20"/>
          <w:lang w:val="en-US"/>
        </w:rPr>
        <w:t xml:space="preserve"> </w:t>
      </w:r>
      <w:r w:rsidR="002C544D" w:rsidRPr="002C544D">
        <w:rPr>
          <w:sz w:val="20"/>
          <w:szCs w:val="20"/>
          <w:lang w:val="en-US"/>
        </w:rPr>
        <w:t xml:space="preserve">and costs associated with the litigation are being borne by </w:t>
      </w:r>
      <w:r w:rsidR="002C544D">
        <w:rPr>
          <w:sz w:val="20"/>
          <w:szCs w:val="20"/>
          <w:lang w:val="en-US"/>
        </w:rPr>
        <w:t xml:space="preserve">The Death Penalty Project, </w:t>
      </w:r>
      <w:r w:rsidR="002C544D" w:rsidRPr="002C544D">
        <w:rPr>
          <w:sz w:val="20"/>
          <w:szCs w:val="20"/>
          <w:lang w:val="en-US"/>
        </w:rPr>
        <w:t>a non-governmental organization with charitable status in the United Kingdom.</w:t>
      </w:r>
      <w:r w:rsidR="00FF550E">
        <w:rPr>
          <w:sz w:val="20"/>
          <w:szCs w:val="20"/>
          <w:lang w:val="en-US"/>
        </w:rPr>
        <w:t xml:space="preserve"> </w:t>
      </w:r>
      <w:r w:rsidR="00EC4711">
        <w:rPr>
          <w:sz w:val="20"/>
          <w:szCs w:val="20"/>
          <w:lang w:val="en-US"/>
        </w:rPr>
        <w:t>T</w:t>
      </w:r>
      <w:r w:rsidR="00FF550E">
        <w:rPr>
          <w:sz w:val="20"/>
          <w:szCs w:val="20"/>
          <w:lang w:val="en-US"/>
        </w:rPr>
        <w:t>he Court takes note that</w:t>
      </w:r>
      <w:r w:rsidR="00EC4711">
        <w:rPr>
          <w:sz w:val="20"/>
          <w:szCs w:val="20"/>
          <w:lang w:val="en-US"/>
        </w:rPr>
        <w:t>,</w:t>
      </w:r>
      <w:r w:rsidR="00FF550E">
        <w:rPr>
          <w:sz w:val="20"/>
          <w:szCs w:val="20"/>
          <w:lang w:val="en-US"/>
        </w:rPr>
        <w:t xml:space="preserve"> to the present day, the victims of both cases are incarcerated, which evidently does not allow them to procure </w:t>
      </w:r>
      <w:r w:rsidR="008D78FC">
        <w:rPr>
          <w:sz w:val="20"/>
          <w:szCs w:val="20"/>
          <w:lang w:val="en-US"/>
        </w:rPr>
        <w:t>the economic means necessary to cover the cost of the repre</w:t>
      </w:r>
      <w:r w:rsidR="0021163D">
        <w:rPr>
          <w:sz w:val="20"/>
          <w:szCs w:val="20"/>
          <w:lang w:val="en-US"/>
        </w:rPr>
        <w:t>sentatives and others during</w:t>
      </w:r>
      <w:r w:rsidR="008D78FC">
        <w:rPr>
          <w:sz w:val="20"/>
          <w:szCs w:val="20"/>
          <w:lang w:val="en-US"/>
        </w:rPr>
        <w:t xml:space="preserve"> </w:t>
      </w:r>
      <w:r w:rsidR="0021163D" w:rsidRPr="0021163D">
        <w:rPr>
          <w:sz w:val="20"/>
          <w:szCs w:val="20"/>
          <w:lang w:val="en-US"/>
        </w:rPr>
        <w:t>this stage of monitoring compliance with</w:t>
      </w:r>
      <w:r w:rsidR="00EC4711">
        <w:rPr>
          <w:sz w:val="20"/>
          <w:szCs w:val="20"/>
          <w:lang w:val="en-US"/>
        </w:rPr>
        <w:t xml:space="preserve"> the</w:t>
      </w:r>
      <w:r w:rsidR="0021163D" w:rsidRPr="0021163D">
        <w:rPr>
          <w:sz w:val="20"/>
          <w:szCs w:val="20"/>
          <w:lang w:val="en-US"/>
        </w:rPr>
        <w:t xml:space="preserve"> </w:t>
      </w:r>
      <w:r w:rsidR="00EC4711">
        <w:rPr>
          <w:sz w:val="20"/>
          <w:szCs w:val="20"/>
          <w:lang w:val="en-US"/>
        </w:rPr>
        <w:t>J</w:t>
      </w:r>
      <w:r w:rsidR="0021163D" w:rsidRPr="0021163D">
        <w:rPr>
          <w:sz w:val="20"/>
          <w:szCs w:val="20"/>
          <w:lang w:val="en-US"/>
        </w:rPr>
        <w:t>udgment</w:t>
      </w:r>
      <w:r w:rsidR="00EC4711">
        <w:rPr>
          <w:sz w:val="20"/>
          <w:szCs w:val="20"/>
          <w:lang w:val="en-US"/>
        </w:rPr>
        <w:t>s</w:t>
      </w:r>
      <w:r w:rsidR="0021163D">
        <w:rPr>
          <w:sz w:val="20"/>
          <w:szCs w:val="20"/>
          <w:lang w:val="en-US"/>
        </w:rPr>
        <w:t xml:space="preserve"> before the Court. </w:t>
      </w:r>
      <w:r w:rsidR="0021163D" w:rsidRPr="0021163D">
        <w:rPr>
          <w:sz w:val="20"/>
          <w:szCs w:val="20"/>
          <w:lang w:val="en-US"/>
        </w:rPr>
        <w:t>Based on th</w:t>
      </w:r>
      <w:r w:rsidR="0021163D">
        <w:rPr>
          <w:sz w:val="20"/>
          <w:szCs w:val="20"/>
          <w:lang w:val="en-US"/>
        </w:rPr>
        <w:t>e foregoing</w:t>
      </w:r>
      <w:r w:rsidR="00682133">
        <w:rPr>
          <w:sz w:val="20"/>
          <w:szCs w:val="20"/>
          <w:lang w:val="en-US"/>
        </w:rPr>
        <w:t xml:space="preserve"> and taking into account what was asserted by representatives of the victims</w:t>
      </w:r>
      <w:r w:rsidR="0021163D">
        <w:rPr>
          <w:sz w:val="20"/>
          <w:szCs w:val="20"/>
          <w:lang w:val="en-US"/>
        </w:rPr>
        <w:t xml:space="preserve">, the </w:t>
      </w:r>
      <w:r w:rsidR="0021163D" w:rsidRPr="0021163D">
        <w:rPr>
          <w:sz w:val="20"/>
          <w:szCs w:val="20"/>
          <w:lang w:val="en-US"/>
        </w:rPr>
        <w:t>President</w:t>
      </w:r>
      <w:r w:rsidR="0021163D">
        <w:rPr>
          <w:sz w:val="20"/>
          <w:szCs w:val="20"/>
          <w:lang w:val="en-US"/>
        </w:rPr>
        <w:t xml:space="preserve"> of the Court</w:t>
      </w:r>
      <w:r w:rsidR="0021163D" w:rsidRPr="0021163D">
        <w:rPr>
          <w:sz w:val="20"/>
          <w:szCs w:val="20"/>
          <w:lang w:val="en-US"/>
        </w:rPr>
        <w:t xml:space="preserve"> considers </w:t>
      </w:r>
      <w:r w:rsidR="0021163D">
        <w:rPr>
          <w:sz w:val="20"/>
          <w:szCs w:val="20"/>
          <w:lang w:val="en-US"/>
        </w:rPr>
        <w:t xml:space="preserve">proven that </w:t>
      </w:r>
      <w:r w:rsidR="00EC4711">
        <w:rPr>
          <w:sz w:val="20"/>
          <w:szCs w:val="20"/>
          <w:lang w:val="en-US"/>
        </w:rPr>
        <w:t xml:space="preserve">the victims </w:t>
      </w:r>
      <w:r w:rsidR="0021163D">
        <w:rPr>
          <w:sz w:val="20"/>
          <w:szCs w:val="20"/>
          <w:lang w:val="en-US"/>
        </w:rPr>
        <w:t xml:space="preserve">lack </w:t>
      </w:r>
      <w:r w:rsidR="00EC4711">
        <w:rPr>
          <w:sz w:val="20"/>
          <w:szCs w:val="20"/>
          <w:lang w:val="en-US"/>
        </w:rPr>
        <w:t xml:space="preserve">the </w:t>
      </w:r>
      <w:r w:rsidR="0021163D">
        <w:rPr>
          <w:sz w:val="20"/>
          <w:szCs w:val="20"/>
          <w:lang w:val="en-US"/>
        </w:rPr>
        <w:t xml:space="preserve">economic resources to be able to cover the </w:t>
      </w:r>
      <w:r w:rsidR="00C02076">
        <w:rPr>
          <w:sz w:val="20"/>
          <w:szCs w:val="20"/>
          <w:lang w:val="en-US"/>
        </w:rPr>
        <w:t>expenses incurred</w:t>
      </w:r>
      <w:r w:rsidR="0021163D" w:rsidRPr="0021163D">
        <w:rPr>
          <w:sz w:val="20"/>
          <w:szCs w:val="20"/>
          <w:lang w:val="en-US"/>
        </w:rPr>
        <w:t xml:space="preserve"> due to the late cancellation of</w:t>
      </w:r>
      <w:r w:rsidR="00EC4711">
        <w:rPr>
          <w:sz w:val="20"/>
          <w:szCs w:val="20"/>
          <w:lang w:val="en-US"/>
        </w:rPr>
        <w:t xml:space="preserve"> the representatives’</w:t>
      </w:r>
      <w:r w:rsidR="0021163D" w:rsidRPr="0021163D">
        <w:rPr>
          <w:sz w:val="20"/>
          <w:szCs w:val="20"/>
          <w:lang w:val="en-US"/>
        </w:rPr>
        <w:t xml:space="preserve"> flights</w:t>
      </w:r>
      <w:r w:rsidR="0021163D">
        <w:rPr>
          <w:sz w:val="20"/>
          <w:szCs w:val="20"/>
          <w:lang w:val="en-US"/>
        </w:rPr>
        <w:t xml:space="preserve"> to participate in the private hearing</w:t>
      </w:r>
      <w:r w:rsidR="00EC4711">
        <w:rPr>
          <w:sz w:val="20"/>
          <w:szCs w:val="20"/>
          <w:lang w:val="en-US"/>
        </w:rPr>
        <w:t>,</w:t>
      </w:r>
      <w:r w:rsidR="0021163D">
        <w:rPr>
          <w:sz w:val="20"/>
          <w:szCs w:val="20"/>
          <w:lang w:val="en-US"/>
        </w:rPr>
        <w:t xml:space="preserve"> </w:t>
      </w:r>
      <w:r w:rsidR="00EC4711">
        <w:rPr>
          <w:sz w:val="20"/>
          <w:szCs w:val="20"/>
          <w:lang w:val="en-US"/>
        </w:rPr>
        <w:t xml:space="preserve">which </w:t>
      </w:r>
      <w:r w:rsidR="0021163D">
        <w:rPr>
          <w:sz w:val="20"/>
          <w:szCs w:val="20"/>
          <w:lang w:val="en-US"/>
        </w:rPr>
        <w:t xml:space="preserve">was deferred </w:t>
      </w:r>
      <w:r w:rsidR="00E6786D">
        <w:rPr>
          <w:sz w:val="20"/>
          <w:szCs w:val="20"/>
          <w:lang w:val="en-US"/>
        </w:rPr>
        <w:t>due to the State´s request</w:t>
      </w:r>
      <w:r w:rsidR="0021163D">
        <w:rPr>
          <w:sz w:val="20"/>
          <w:szCs w:val="20"/>
          <w:lang w:val="en-US"/>
        </w:rPr>
        <w:t xml:space="preserve">. </w:t>
      </w:r>
    </w:p>
    <w:p w:rsidR="007526E6" w:rsidRDefault="007526E6" w:rsidP="00CC1327">
      <w:pPr>
        <w:pStyle w:val="ListParagraph"/>
        <w:tabs>
          <w:tab w:val="left" w:pos="567"/>
        </w:tabs>
        <w:spacing w:after="0" w:line="240" w:lineRule="auto"/>
        <w:ind w:left="0"/>
        <w:rPr>
          <w:sz w:val="20"/>
          <w:szCs w:val="20"/>
          <w:lang w:val="en-US"/>
        </w:rPr>
      </w:pPr>
    </w:p>
    <w:p w:rsidR="007526E6" w:rsidRPr="00333AB1" w:rsidRDefault="008A62C7" w:rsidP="00CC1327">
      <w:pPr>
        <w:pStyle w:val="Default"/>
        <w:numPr>
          <w:ilvl w:val="0"/>
          <w:numId w:val="2"/>
        </w:numPr>
        <w:tabs>
          <w:tab w:val="left" w:pos="567"/>
        </w:tabs>
        <w:ind w:left="0" w:right="49" w:firstLine="0"/>
        <w:jc w:val="both"/>
        <w:rPr>
          <w:color w:val="auto"/>
          <w:sz w:val="20"/>
          <w:szCs w:val="20"/>
          <w:lang w:val="en-US"/>
        </w:rPr>
      </w:pPr>
      <w:r w:rsidRPr="008A62C7">
        <w:rPr>
          <w:sz w:val="20"/>
          <w:szCs w:val="20"/>
          <w:lang w:val="en-US"/>
        </w:rPr>
        <w:t>The President</w:t>
      </w:r>
      <w:r>
        <w:rPr>
          <w:sz w:val="20"/>
          <w:szCs w:val="20"/>
          <w:lang w:val="en-US"/>
        </w:rPr>
        <w:t xml:space="preserve"> of the Court considers that </w:t>
      </w:r>
      <w:r w:rsidR="00EC4711">
        <w:rPr>
          <w:sz w:val="20"/>
          <w:szCs w:val="20"/>
          <w:lang w:val="en-US"/>
        </w:rPr>
        <w:t>the representatives’</w:t>
      </w:r>
      <w:r w:rsidR="00EC4711" w:rsidRPr="008A62C7">
        <w:rPr>
          <w:sz w:val="20"/>
          <w:szCs w:val="20"/>
          <w:lang w:val="en-US"/>
        </w:rPr>
        <w:t xml:space="preserve"> </w:t>
      </w:r>
      <w:r w:rsidRPr="008A62C7">
        <w:rPr>
          <w:sz w:val="20"/>
          <w:szCs w:val="20"/>
          <w:lang w:val="en-US"/>
        </w:rPr>
        <w:t>application also complies with the requirement that any support requested must be used to cover reasonable and necessary expenses</w:t>
      </w:r>
      <w:r w:rsidR="00EC4711">
        <w:rPr>
          <w:sz w:val="20"/>
          <w:szCs w:val="20"/>
          <w:lang w:val="en-US"/>
        </w:rPr>
        <w:t>, keeping in mind that</w:t>
      </w:r>
      <w:r w:rsidRPr="008A62C7">
        <w:rPr>
          <w:sz w:val="20"/>
          <w:szCs w:val="20"/>
          <w:lang w:val="en-US"/>
        </w:rPr>
        <w:t xml:space="preserve"> </w:t>
      </w:r>
      <w:r w:rsidR="00EC4711">
        <w:rPr>
          <w:sz w:val="20"/>
          <w:szCs w:val="20"/>
          <w:lang w:val="en-US"/>
        </w:rPr>
        <w:t>t</w:t>
      </w:r>
      <w:r>
        <w:rPr>
          <w:sz w:val="20"/>
          <w:szCs w:val="20"/>
          <w:lang w:val="en-US"/>
        </w:rPr>
        <w:t xml:space="preserve">he representatives </w:t>
      </w:r>
      <w:r w:rsidRPr="008A62C7">
        <w:rPr>
          <w:sz w:val="20"/>
          <w:szCs w:val="20"/>
          <w:lang w:val="en-US"/>
        </w:rPr>
        <w:t>requested limited and specific financial assistance to appear at the private hearing</w:t>
      </w:r>
      <w:r>
        <w:rPr>
          <w:sz w:val="20"/>
          <w:szCs w:val="20"/>
          <w:lang w:val="en-US"/>
        </w:rPr>
        <w:t xml:space="preserve">. </w:t>
      </w:r>
      <w:r w:rsidR="00333C96">
        <w:rPr>
          <w:sz w:val="20"/>
          <w:szCs w:val="20"/>
          <w:lang w:val="en-US"/>
        </w:rPr>
        <w:t>The representatives only requ</w:t>
      </w:r>
      <w:r w:rsidR="00201C9E">
        <w:rPr>
          <w:sz w:val="20"/>
          <w:szCs w:val="20"/>
          <w:lang w:val="en-US"/>
        </w:rPr>
        <w:t>ested reimburse</w:t>
      </w:r>
      <w:r w:rsidR="00EC4711">
        <w:rPr>
          <w:sz w:val="20"/>
          <w:szCs w:val="20"/>
          <w:lang w:val="en-US"/>
        </w:rPr>
        <w:t>ment</w:t>
      </w:r>
      <w:r w:rsidR="00201C9E">
        <w:rPr>
          <w:sz w:val="20"/>
          <w:szCs w:val="20"/>
          <w:lang w:val="en-US"/>
        </w:rPr>
        <w:t xml:space="preserve"> for the </w:t>
      </w:r>
      <w:r w:rsidR="00C02076">
        <w:rPr>
          <w:sz w:val="20"/>
          <w:szCs w:val="20"/>
          <w:lang w:val="en-US"/>
        </w:rPr>
        <w:t>expenses incurred</w:t>
      </w:r>
      <w:r w:rsidR="00201C9E" w:rsidRPr="00201C9E">
        <w:rPr>
          <w:sz w:val="20"/>
          <w:szCs w:val="20"/>
          <w:lang w:val="en-US"/>
        </w:rPr>
        <w:t xml:space="preserve"> due to the late cancellation of flights</w:t>
      </w:r>
      <w:r w:rsidR="00201C9E">
        <w:rPr>
          <w:sz w:val="20"/>
          <w:szCs w:val="20"/>
          <w:lang w:val="en-US"/>
        </w:rPr>
        <w:t xml:space="preserve"> because the private hearing was deferred</w:t>
      </w:r>
      <w:r w:rsidR="00201C9E">
        <w:rPr>
          <w:rStyle w:val="FootnoteReference"/>
          <w:sz w:val="20"/>
          <w:szCs w:val="20"/>
          <w:lang w:val="en-US"/>
        </w:rPr>
        <w:footnoteReference w:id="9"/>
      </w:r>
      <w:r w:rsidR="003A71EF">
        <w:rPr>
          <w:sz w:val="20"/>
          <w:szCs w:val="20"/>
          <w:lang w:val="en-US"/>
        </w:rPr>
        <w:t>, g</w:t>
      </w:r>
      <w:r w:rsidR="00EC4711">
        <w:rPr>
          <w:sz w:val="20"/>
          <w:szCs w:val="20"/>
          <w:lang w:val="en-US"/>
        </w:rPr>
        <w:t>iven that</w:t>
      </w:r>
      <w:r w:rsidR="00201C9E">
        <w:rPr>
          <w:sz w:val="20"/>
          <w:szCs w:val="20"/>
          <w:lang w:val="en-US"/>
        </w:rPr>
        <w:t xml:space="preserve"> The Death Penalty Project will be able to </w:t>
      </w:r>
      <w:r w:rsidR="00EC4711">
        <w:rPr>
          <w:sz w:val="20"/>
          <w:szCs w:val="20"/>
          <w:lang w:val="en-US"/>
        </w:rPr>
        <w:t>cover the cost of</w:t>
      </w:r>
      <w:r w:rsidR="00333AB1">
        <w:rPr>
          <w:sz w:val="20"/>
          <w:szCs w:val="20"/>
          <w:lang w:val="en-US"/>
        </w:rPr>
        <w:t xml:space="preserve"> flights to attend the rescheduled private hearing on September 3, 2015. </w:t>
      </w:r>
      <w:r w:rsidR="00EC4711">
        <w:rPr>
          <w:sz w:val="20"/>
          <w:szCs w:val="20"/>
          <w:lang w:val="en-US"/>
        </w:rPr>
        <w:t>Additionally, the President notes that</w:t>
      </w:r>
      <w:r w:rsidR="00333AB1">
        <w:rPr>
          <w:sz w:val="20"/>
          <w:szCs w:val="20"/>
          <w:lang w:val="en-US"/>
        </w:rPr>
        <w:t xml:space="preserve"> this is the first time that the representat</w:t>
      </w:r>
      <w:r w:rsidR="00EC4711">
        <w:rPr>
          <w:sz w:val="20"/>
          <w:szCs w:val="20"/>
          <w:lang w:val="en-US"/>
        </w:rPr>
        <w:t>ives</w:t>
      </w:r>
      <w:r w:rsidR="00333AB1">
        <w:rPr>
          <w:sz w:val="20"/>
          <w:szCs w:val="20"/>
          <w:lang w:val="en-US"/>
        </w:rPr>
        <w:t xml:space="preserve"> </w:t>
      </w:r>
      <w:r w:rsidR="00EC4711">
        <w:rPr>
          <w:sz w:val="20"/>
          <w:szCs w:val="20"/>
          <w:lang w:val="en-US"/>
        </w:rPr>
        <w:t xml:space="preserve">have </w:t>
      </w:r>
      <w:r w:rsidR="00333AB1">
        <w:rPr>
          <w:sz w:val="20"/>
          <w:szCs w:val="20"/>
          <w:lang w:val="en-US"/>
        </w:rPr>
        <w:t>request</w:t>
      </w:r>
      <w:r w:rsidR="00EC4711">
        <w:rPr>
          <w:sz w:val="20"/>
          <w:szCs w:val="20"/>
          <w:lang w:val="en-US"/>
        </w:rPr>
        <w:t>ed</w:t>
      </w:r>
      <w:r w:rsidR="00333AB1">
        <w:rPr>
          <w:sz w:val="20"/>
          <w:szCs w:val="20"/>
          <w:lang w:val="en-US"/>
        </w:rPr>
        <w:t xml:space="preserve"> access to the Legal Assistance Fund. </w:t>
      </w:r>
    </w:p>
    <w:p w:rsidR="00333AB1" w:rsidRDefault="00333AB1" w:rsidP="00CC1327">
      <w:pPr>
        <w:pStyle w:val="ListParagraph"/>
        <w:tabs>
          <w:tab w:val="left" w:pos="567"/>
        </w:tabs>
        <w:spacing w:after="0" w:line="240" w:lineRule="auto"/>
        <w:ind w:left="0"/>
        <w:rPr>
          <w:sz w:val="20"/>
          <w:szCs w:val="20"/>
          <w:lang w:val="en-US"/>
        </w:rPr>
      </w:pPr>
    </w:p>
    <w:p w:rsidR="00CD2893" w:rsidRPr="0068261B" w:rsidRDefault="00DA0352" w:rsidP="00CC1327">
      <w:pPr>
        <w:pStyle w:val="Default"/>
        <w:numPr>
          <w:ilvl w:val="0"/>
          <w:numId w:val="2"/>
        </w:numPr>
        <w:tabs>
          <w:tab w:val="left" w:pos="567"/>
        </w:tabs>
        <w:ind w:left="0" w:right="49" w:firstLine="0"/>
        <w:jc w:val="both"/>
        <w:rPr>
          <w:color w:val="auto"/>
          <w:sz w:val="20"/>
          <w:szCs w:val="20"/>
          <w:lang w:val="en-US"/>
        </w:rPr>
      </w:pPr>
      <w:r>
        <w:rPr>
          <w:color w:val="auto"/>
          <w:sz w:val="20"/>
          <w:szCs w:val="20"/>
          <w:lang w:val="en-US"/>
        </w:rPr>
        <w:t xml:space="preserve"> </w:t>
      </w:r>
      <w:r w:rsidRPr="00DA0352">
        <w:rPr>
          <w:sz w:val="20"/>
          <w:szCs w:val="20"/>
          <w:lang w:val="en-US"/>
        </w:rPr>
        <w:t>Based on the foregoing, the President</w:t>
      </w:r>
      <w:r>
        <w:rPr>
          <w:sz w:val="20"/>
          <w:szCs w:val="20"/>
          <w:lang w:val="en-US"/>
        </w:rPr>
        <w:t xml:space="preserve"> of the Court</w:t>
      </w:r>
      <w:r w:rsidRPr="00DA0352">
        <w:rPr>
          <w:sz w:val="20"/>
          <w:szCs w:val="20"/>
          <w:lang w:val="en-US"/>
        </w:rPr>
        <w:t xml:space="preserve"> considers admissible the request of </w:t>
      </w:r>
      <w:r>
        <w:rPr>
          <w:sz w:val="20"/>
          <w:szCs w:val="20"/>
          <w:lang w:val="en-US"/>
        </w:rPr>
        <w:t>the representatives of the victims</w:t>
      </w:r>
      <w:r w:rsidRPr="00DA0352">
        <w:rPr>
          <w:sz w:val="20"/>
          <w:szCs w:val="20"/>
          <w:lang w:val="en-US"/>
        </w:rPr>
        <w:t xml:space="preserve"> and orders that </w:t>
      </w:r>
      <w:r w:rsidR="00EC4711">
        <w:rPr>
          <w:sz w:val="20"/>
          <w:szCs w:val="20"/>
          <w:lang w:val="en-US"/>
        </w:rPr>
        <w:t>funds</w:t>
      </w:r>
      <w:r w:rsidRPr="00DA0352">
        <w:rPr>
          <w:sz w:val="20"/>
          <w:szCs w:val="20"/>
          <w:lang w:val="en-US"/>
        </w:rPr>
        <w:t xml:space="preserve"> from the Legal Assistance Fund be assigned to cover the</w:t>
      </w:r>
      <w:r>
        <w:rPr>
          <w:sz w:val="20"/>
          <w:szCs w:val="20"/>
          <w:lang w:val="en-US"/>
        </w:rPr>
        <w:t xml:space="preserve"> </w:t>
      </w:r>
      <w:r w:rsidR="005E55D9">
        <w:rPr>
          <w:sz w:val="20"/>
          <w:szCs w:val="20"/>
          <w:lang w:val="en-US"/>
        </w:rPr>
        <w:t>expenses</w:t>
      </w:r>
      <w:r w:rsidRPr="00DA0352">
        <w:rPr>
          <w:sz w:val="20"/>
          <w:szCs w:val="20"/>
          <w:lang w:val="en-US"/>
        </w:rPr>
        <w:t xml:space="preserve"> </w:t>
      </w:r>
      <w:r w:rsidR="00C02076">
        <w:rPr>
          <w:sz w:val="20"/>
          <w:szCs w:val="20"/>
          <w:lang w:val="en-US"/>
        </w:rPr>
        <w:t>incurred</w:t>
      </w:r>
      <w:r w:rsidR="00C02076" w:rsidRPr="00DA0352">
        <w:rPr>
          <w:sz w:val="20"/>
          <w:szCs w:val="20"/>
          <w:lang w:val="en-US"/>
        </w:rPr>
        <w:t xml:space="preserve"> </w:t>
      </w:r>
      <w:r w:rsidR="008B44DF">
        <w:rPr>
          <w:sz w:val="20"/>
          <w:szCs w:val="20"/>
          <w:lang w:val="en-US"/>
        </w:rPr>
        <w:t>by The Death Penalty Project (</w:t>
      </w:r>
      <w:r w:rsidR="008B44DF" w:rsidRPr="008B44DF">
        <w:rPr>
          <w:i/>
          <w:sz w:val="20"/>
          <w:szCs w:val="20"/>
          <w:lang w:val="en-US"/>
        </w:rPr>
        <w:t>supra</w:t>
      </w:r>
      <w:r w:rsidR="008B44DF">
        <w:rPr>
          <w:sz w:val="20"/>
          <w:szCs w:val="20"/>
          <w:lang w:val="en-US"/>
        </w:rPr>
        <w:t xml:space="preserve"> Considering 3 and </w:t>
      </w:r>
      <w:r w:rsidR="00E94C8A">
        <w:rPr>
          <w:sz w:val="20"/>
          <w:szCs w:val="20"/>
          <w:lang w:val="en-US"/>
        </w:rPr>
        <w:t>10</w:t>
      </w:r>
      <w:r w:rsidR="008B44DF">
        <w:rPr>
          <w:sz w:val="20"/>
          <w:szCs w:val="20"/>
          <w:lang w:val="en-US"/>
        </w:rPr>
        <w:t xml:space="preserve">) </w:t>
      </w:r>
      <w:r w:rsidRPr="00DA0352">
        <w:rPr>
          <w:sz w:val="20"/>
          <w:szCs w:val="20"/>
          <w:lang w:val="en-US"/>
        </w:rPr>
        <w:t xml:space="preserve">due to the late cancellation of flights </w:t>
      </w:r>
      <w:r w:rsidR="005E55D9">
        <w:rPr>
          <w:sz w:val="20"/>
          <w:szCs w:val="20"/>
          <w:lang w:val="en-US"/>
        </w:rPr>
        <w:t>after the</w:t>
      </w:r>
      <w:r w:rsidRPr="00DA0352">
        <w:rPr>
          <w:sz w:val="20"/>
          <w:szCs w:val="20"/>
          <w:lang w:val="en-US"/>
        </w:rPr>
        <w:t xml:space="preserve"> July 1, 2015</w:t>
      </w:r>
      <w:r w:rsidR="005E55D9">
        <w:rPr>
          <w:sz w:val="20"/>
          <w:szCs w:val="20"/>
          <w:lang w:val="en-US"/>
        </w:rPr>
        <w:t xml:space="preserve"> hearing</w:t>
      </w:r>
      <w:r w:rsidRPr="00DA0352">
        <w:rPr>
          <w:sz w:val="20"/>
          <w:szCs w:val="20"/>
          <w:lang w:val="en-US"/>
        </w:rPr>
        <w:t xml:space="preserve"> was deferred</w:t>
      </w:r>
      <w:r>
        <w:rPr>
          <w:sz w:val="20"/>
          <w:szCs w:val="20"/>
          <w:lang w:val="en-US"/>
        </w:rPr>
        <w:t xml:space="preserve">. According to the </w:t>
      </w:r>
      <w:r w:rsidR="005E55D9">
        <w:rPr>
          <w:sz w:val="20"/>
          <w:szCs w:val="20"/>
          <w:lang w:val="en-US"/>
        </w:rPr>
        <w:t>documentation provided by the representatives,</w:t>
      </w:r>
      <w:r>
        <w:rPr>
          <w:sz w:val="20"/>
          <w:szCs w:val="20"/>
          <w:lang w:val="en-US"/>
        </w:rPr>
        <w:t xml:space="preserve"> </w:t>
      </w:r>
      <w:r w:rsidR="005E55D9">
        <w:rPr>
          <w:sz w:val="20"/>
          <w:szCs w:val="20"/>
          <w:lang w:val="en-US"/>
        </w:rPr>
        <w:t xml:space="preserve">these costs </w:t>
      </w:r>
      <w:r>
        <w:rPr>
          <w:sz w:val="20"/>
          <w:szCs w:val="20"/>
          <w:lang w:val="en-US"/>
        </w:rPr>
        <w:t xml:space="preserve">amount to </w:t>
      </w:r>
      <w:r w:rsidRPr="00DA0352">
        <w:rPr>
          <w:sz w:val="20"/>
          <w:lang w:val="en-US"/>
        </w:rPr>
        <w:t xml:space="preserve">£ </w:t>
      </w:r>
      <w:r>
        <w:rPr>
          <w:sz w:val="20"/>
          <w:szCs w:val="20"/>
          <w:lang w:val="en-US"/>
        </w:rPr>
        <w:t>1,252.</w:t>
      </w:r>
      <w:r w:rsidR="005E55D9">
        <w:rPr>
          <w:sz w:val="20"/>
          <w:szCs w:val="20"/>
          <w:lang w:val="en-US"/>
        </w:rPr>
        <w:t>54</w:t>
      </w:r>
      <w:r>
        <w:rPr>
          <w:sz w:val="20"/>
          <w:szCs w:val="20"/>
          <w:lang w:val="en-US"/>
        </w:rPr>
        <w:t xml:space="preserve"> (</w:t>
      </w:r>
      <w:r w:rsidR="005E55D9">
        <w:rPr>
          <w:sz w:val="20"/>
          <w:szCs w:val="20"/>
          <w:lang w:val="en-US"/>
        </w:rPr>
        <w:t xml:space="preserve">one </w:t>
      </w:r>
      <w:r>
        <w:rPr>
          <w:sz w:val="20"/>
          <w:szCs w:val="20"/>
          <w:lang w:val="en-US"/>
        </w:rPr>
        <w:t>thousand two hundred fifty</w:t>
      </w:r>
      <w:r w:rsidR="005E55D9">
        <w:rPr>
          <w:sz w:val="20"/>
          <w:szCs w:val="20"/>
          <w:lang w:val="en-US"/>
        </w:rPr>
        <w:t>-</w:t>
      </w:r>
      <w:r>
        <w:rPr>
          <w:sz w:val="20"/>
          <w:szCs w:val="20"/>
          <w:lang w:val="en-US"/>
        </w:rPr>
        <w:t>two</w:t>
      </w:r>
      <w:r w:rsidR="005E55D9">
        <w:rPr>
          <w:sz w:val="20"/>
          <w:szCs w:val="20"/>
          <w:lang w:val="en-US"/>
        </w:rPr>
        <w:t xml:space="preserve"> British</w:t>
      </w:r>
      <w:r>
        <w:rPr>
          <w:sz w:val="20"/>
          <w:szCs w:val="20"/>
          <w:lang w:val="en-US"/>
        </w:rPr>
        <w:t xml:space="preserve"> pounds </w:t>
      </w:r>
      <w:r w:rsidR="005E55D9">
        <w:rPr>
          <w:sz w:val="20"/>
          <w:szCs w:val="20"/>
          <w:lang w:val="en-US"/>
        </w:rPr>
        <w:t>and fifty-four pence</w:t>
      </w:r>
      <w:r>
        <w:rPr>
          <w:sz w:val="20"/>
          <w:szCs w:val="20"/>
          <w:lang w:val="en-US"/>
        </w:rPr>
        <w:t>)</w:t>
      </w:r>
      <w:r w:rsidR="00CD2893">
        <w:rPr>
          <w:sz w:val="20"/>
          <w:szCs w:val="20"/>
          <w:lang w:val="en-US"/>
        </w:rPr>
        <w:t>.</w:t>
      </w:r>
    </w:p>
    <w:p w:rsidR="0068261B" w:rsidRPr="0068261B" w:rsidRDefault="0068261B" w:rsidP="00CC1327">
      <w:pPr>
        <w:pStyle w:val="Default"/>
        <w:tabs>
          <w:tab w:val="left" w:pos="567"/>
        </w:tabs>
        <w:ind w:right="49"/>
        <w:jc w:val="both"/>
        <w:rPr>
          <w:color w:val="auto"/>
          <w:sz w:val="20"/>
          <w:szCs w:val="20"/>
          <w:lang w:val="en-US"/>
        </w:rPr>
      </w:pPr>
    </w:p>
    <w:p w:rsidR="00CD2893" w:rsidRPr="00CD2893" w:rsidRDefault="00CD2893" w:rsidP="00CC1327">
      <w:pPr>
        <w:pStyle w:val="Default"/>
        <w:numPr>
          <w:ilvl w:val="0"/>
          <w:numId w:val="2"/>
        </w:numPr>
        <w:tabs>
          <w:tab w:val="left" w:pos="567"/>
        </w:tabs>
        <w:ind w:left="0" w:firstLine="0"/>
        <w:jc w:val="both"/>
        <w:rPr>
          <w:sz w:val="20"/>
          <w:szCs w:val="20"/>
          <w:lang w:val="en-US"/>
        </w:rPr>
      </w:pPr>
      <w:r w:rsidRPr="0015501E">
        <w:rPr>
          <w:sz w:val="20"/>
          <w:szCs w:val="20"/>
          <w:lang w:val="en-US"/>
        </w:rPr>
        <w:t>The</w:t>
      </w:r>
      <w:r w:rsidRPr="00CD2893">
        <w:rPr>
          <w:sz w:val="20"/>
          <w:szCs w:val="20"/>
          <w:lang w:val="en-US"/>
        </w:rPr>
        <w:t xml:space="preserve"> Court shall take the pertinent and necessary measures to cover </w:t>
      </w:r>
      <w:r w:rsidR="005E55D9">
        <w:rPr>
          <w:sz w:val="20"/>
          <w:szCs w:val="20"/>
          <w:lang w:val="en-US"/>
        </w:rPr>
        <w:t>these costs</w:t>
      </w:r>
      <w:r w:rsidRPr="00CD2893">
        <w:rPr>
          <w:sz w:val="20"/>
          <w:szCs w:val="20"/>
          <w:lang w:val="en-US"/>
        </w:rPr>
        <w:t xml:space="preserve"> with reso</w:t>
      </w:r>
      <w:r>
        <w:rPr>
          <w:sz w:val="20"/>
          <w:szCs w:val="20"/>
          <w:lang w:val="en-US"/>
        </w:rPr>
        <w:t xml:space="preserve">urces from the </w:t>
      </w:r>
      <w:r w:rsidR="005E55D9">
        <w:rPr>
          <w:sz w:val="20"/>
          <w:szCs w:val="20"/>
          <w:lang w:val="en-US"/>
        </w:rPr>
        <w:t xml:space="preserve">Legal </w:t>
      </w:r>
      <w:r>
        <w:rPr>
          <w:sz w:val="20"/>
          <w:szCs w:val="20"/>
          <w:lang w:val="en-US"/>
        </w:rPr>
        <w:t>Assistance Fund</w:t>
      </w:r>
      <w:r w:rsidR="005E55D9">
        <w:rPr>
          <w:sz w:val="20"/>
          <w:szCs w:val="20"/>
          <w:lang w:val="en-US"/>
        </w:rPr>
        <w:t>;</w:t>
      </w:r>
      <w:r>
        <w:rPr>
          <w:sz w:val="20"/>
          <w:szCs w:val="20"/>
          <w:lang w:val="en-US"/>
        </w:rPr>
        <w:t xml:space="preserve"> therefore</w:t>
      </w:r>
      <w:r w:rsidR="005E55D9">
        <w:rPr>
          <w:sz w:val="20"/>
          <w:szCs w:val="20"/>
          <w:lang w:val="en-US"/>
        </w:rPr>
        <w:t>,</w:t>
      </w:r>
      <w:r>
        <w:rPr>
          <w:sz w:val="20"/>
          <w:szCs w:val="20"/>
          <w:lang w:val="en-US"/>
        </w:rPr>
        <w:t xml:space="preserve"> the aforementioned amount will be reimbursed to </w:t>
      </w:r>
      <w:r w:rsidR="005E55D9">
        <w:rPr>
          <w:sz w:val="20"/>
          <w:szCs w:val="20"/>
          <w:lang w:val="en-US"/>
        </w:rPr>
        <w:t xml:space="preserve">The </w:t>
      </w:r>
      <w:r>
        <w:rPr>
          <w:sz w:val="20"/>
          <w:szCs w:val="20"/>
          <w:lang w:val="en-US"/>
        </w:rPr>
        <w:t xml:space="preserve">Death Penalty Project. </w:t>
      </w:r>
    </w:p>
    <w:p w:rsidR="00CD2893" w:rsidRPr="005E55D9" w:rsidRDefault="00CD2893" w:rsidP="00CC1327">
      <w:pPr>
        <w:pStyle w:val="Default"/>
        <w:tabs>
          <w:tab w:val="left" w:pos="567"/>
        </w:tabs>
        <w:rPr>
          <w:sz w:val="20"/>
          <w:szCs w:val="20"/>
          <w:lang w:val="en-US"/>
        </w:rPr>
      </w:pPr>
    </w:p>
    <w:p w:rsidR="00CD2893" w:rsidRPr="00CD2893" w:rsidRDefault="00CD2893" w:rsidP="008B44DF">
      <w:pPr>
        <w:pStyle w:val="ListParagraph"/>
        <w:numPr>
          <w:ilvl w:val="0"/>
          <w:numId w:val="2"/>
        </w:numPr>
        <w:tabs>
          <w:tab w:val="left" w:pos="567"/>
        </w:tabs>
        <w:autoSpaceDE w:val="0"/>
        <w:autoSpaceDN w:val="0"/>
        <w:adjustRightInd w:val="0"/>
        <w:spacing w:after="0" w:line="240" w:lineRule="auto"/>
        <w:ind w:left="0" w:firstLine="0"/>
        <w:jc w:val="both"/>
        <w:rPr>
          <w:rFonts w:ascii="Verdana" w:hAnsi="Verdana" w:cs="Verdana"/>
          <w:color w:val="000000"/>
          <w:sz w:val="20"/>
          <w:szCs w:val="20"/>
          <w:lang w:val="en-US"/>
        </w:rPr>
      </w:pPr>
      <w:r w:rsidRPr="0015501E">
        <w:rPr>
          <w:rFonts w:ascii="Verdana" w:hAnsi="Verdana" w:cs="Verdana"/>
          <w:color w:val="000000"/>
          <w:sz w:val="20"/>
          <w:szCs w:val="20"/>
          <w:lang w:val="en-US"/>
        </w:rPr>
        <w:t>In a</w:t>
      </w:r>
      <w:r w:rsidRPr="00C02076">
        <w:rPr>
          <w:rFonts w:ascii="Verdana" w:hAnsi="Verdana" w:cs="Verdana"/>
          <w:color w:val="000000"/>
          <w:sz w:val="20"/>
          <w:szCs w:val="20"/>
          <w:lang w:val="en-US"/>
        </w:rPr>
        <w:t>ccordance</w:t>
      </w:r>
      <w:r w:rsidRPr="005E55D9">
        <w:rPr>
          <w:rFonts w:ascii="Verdana" w:hAnsi="Verdana" w:cs="Verdana"/>
          <w:color w:val="000000"/>
          <w:sz w:val="20"/>
          <w:szCs w:val="20"/>
          <w:lang w:val="en-US"/>
        </w:rPr>
        <w:t xml:space="preserve"> with Article 4 of the </w:t>
      </w:r>
      <w:r w:rsidR="005E55D9" w:rsidRPr="0015501E">
        <w:rPr>
          <w:rFonts w:ascii="Verdana" w:hAnsi="Verdana"/>
          <w:sz w:val="20"/>
          <w:szCs w:val="20"/>
          <w:lang w:val="en-US"/>
        </w:rPr>
        <w:t>Rules of the Assistance Fund</w:t>
      </w:r>
      <w:r w:rsidRPr="00CD2893">
        <w:rPr>
          <w:rFonts w:ascii="Verdana" w:hAnsi="Verdana" w:cs="Verdana"/>
          <w:color w:val="000000"/>
          <w:sz w:val="20"/>
          <w:szCs w:val="20"/>
          <w:lang w:val="en-US"/>
        </w:rPr>
        <w:t xml:space="preserve">, the Secretariat shall open a file of costs in order to record </w:t>
      </w:r>
      <w:r w:rsidR="00B90F0F">
        <w:rPr>
          <w:rFonts w:ascii="Verdana" w:hAnsi="Verdana" w:cs="Verdana"/>
          <w:color w:val="000000"/>
          <w:sz w:val="20"/>
          <w:szCs w:val="20"/>
          <w:lang w:val="en-US"/>
        </w:rPr>
        <w:t>the</w:t>
      </w:r>
      <w:r w:rsidRPr="00CD2893">
        <w:rPr>
          <w:rFonts w:ascii="Verdana" w:hAnsi="Verdana" w:cs="Verdana"/>
          <w:color w:val="000000"/>
          <w:sz w:val="20"/>
          <w:szCs w:val="20"/>
          <w:lang w:val="en-US"/>
        </w:rPr>
        <w:t xml:space="preserve"> expenditure made in relation to said Fund. </w:t>
      </w:r>
    </w:p>
    <w:p w:rsidR="0068261B" w:rsidRPr="00CD2893" w:rsidRDefault="0068261B" w:rsidP="00CC1327">
      <w:pPr>
        <w:tabs>
          <w:tab w:val="left" w:pos="567"/>
        </w:tabs>
        <w:autoSpaceDE w:val="0"/>
        <w:autoSpaceDN w:val="0"/>
        <w:adjustRightInd w:val="0"/>
        <w:spacing w:after="0" w:line="240" w:lineRule="auto"/>
        <w:rPr>
          <w:rFonts w:ascii="Verdana" w:hAnsi="Verdana" w:cs="Verdana"/>
          <w:color w:val="000000"/>
          <w:sz w:val="20"/>
          <w:szCs w:val="20"/>
          <w:lang w:val="en-US"/>
        </w:rPr>
      </w:pPr>
    </w:p>
    <w:p w:rsidR="00CD2893" w:rsidRPr="00CC1327" w:rsidRDefault="008B44DF" w:rsidP="00CC1327">
      <w:pPr>
        <w:tabs>
          <w:tab w:val="left" w:pos="567"/>
        </w:tabs>
        <w:autoSpaceDE w:val="0"/>
        <w:autoSpaceDN w:val="0"/>
        <w:adjustRightInd w:val="0"/>
        <w:spacing w:after="0" w:line="240" w:lineRule="auto"/>
        <w:jc w:val="both"/>
        <w:rPr>
          <w:rFonts w:ascii="Verdana" w:hAnsi="Verdana" w:cs="Verdana"/>
          <w:color w:val="000000"/>
          <w:sz w:val="20"/>
          <w:szCs w:val="20"/>
          <w:lang w:val="en-US"/>
        </w:rPr>
      </w:pPr>
      <w:r>
        <w:rPr>
          <w:rFonts w:ascii="Verdana" w:hAnsi="Verdana" w:cs="Verdana"/>
          <w:color w:val="000000"/>
          <w:sz w:val="20"/>
          <w:szCs w:val="20"/>
          <w:lang w:val="en-US"/>
        </w:rPr>
        <w:t>15</w:t>
      </w:r>
      <w:r w:rsidR="00CD2893" w:rsidRPr="00CD2893">
        <w:rPr>
          <w:rFonts w:ascii="Verdana" w:hAnsi="Verdana" w:cs="Verdana"/>
          <w:color w:val="000000"/>
          <w:sz w:val="20"/>
          <w:szCs w:val="20"/>
          <w:lang w:val="en-US"/>
        </w:rPr>
        <w:t xml:space="preserve">. </w:t>
      </w:r>
      <w:r>
        <w:rPr>
          <w:rFonts w:ascii="Verdana" w:hAnsi="Verdana" w:cs="Verdana"/>
          <w:color w:val="000000"/>
          <w:sz w:val="20"/>
          <w:szCs w:val="20"/>
          <w:lang w:val="en-US"/>
        </w:rPr>
        <w:tab/>
      </w:r>
      <w:r w:rsidR="00CD2893" w:rsidRPr="0015501E">
        <w:rPr>
          <w:rFonts w:ascii="Verdana" w:hAnsi="Verdana" w:cs="Verdana"/>
          <w:color w:val="000000"/>
          <w:sz w:val="20"/>
          <w:szCs w:val="20"/>
          <w:lang w:val="en-US"/>
        </w:rPr>
        <w:t>Finally</w:t>
      </w:r>
      <w:r w:rsidR="00CD2893" w:rsidRPr="00CD2893">
        <w:rPr>
          <w:rFonts w:ascii="Verdana" w:hAnsi="Verdana" w:cs="Verdana"/>
          <w:color w:val="000000"/>
          <w:sz w:val="20"/>
          <w:szCs w:val="20"/>
          <w:lang w:val="en-US"/>
        </w:rPr>
        <w:t>, the President</w:t>
      </w:r>
      <w:r w:rsidR="0068261B">
        <w:rPr>
          <w:rFonts w:ascii="Verdana" w:hAnsi="Verdana" w:cs="Verdana"/>
          <w:color w:val="000000"/>
          <w:sz w:val="20"/>
          <w:szCs w:val="20"/>
          <w:lang w:val="en-US"/>
        </w:rPr>
        <w:t xml:space="preserve"> of the Court</w:t>
      </w:r>
      <w:r w:rsidR="00CD2893" w:rsidRPr="00CD2893">
        <w:rPr>
          <w:rFonts w:ascii="Verdana" w:hAnsi="Verdana" w:cs="Verdana"/>
          <w:color w:val="000000"/>
          <w:sz w:val="20"/>
          <w:szCs w:val="20"/>
          <w:lang w:val="en-US"/>
        </w:rPr>
        <w:t xml:space="preserve"> recalls that, pursuant to Article 5 of the Ru</w:t>
      </w:r>
      <w:r w:rsidR="0068261B">
        <w:rPr>
          <w:rFonts w:ascii="Verdana" w:hAnsi="Verdana" w:cs="Verdana"/>
          <w:color w:val="000000"/>
          <w:sz w:val="20"/>
          <w:szCs w:val="20"/>
          <w:lang w:val="en-US"/>
        </w:rPr>
        <w:t>les of the Assistance Fund, Barbados</w:t>
      </w:r>
      <w:r w:rsidR="00CD2893" w:rsidRPr="00CD2893">
        <w:rPr>
          <w:rFonts w:ascii="Verdana" w:hAnsi="Verdana" w:cs="Verdana"/>
          <w:color w:val="000000"/>
          <w:sz w:val="20"/>
          <w:szCs w:val="20"/>
          <w:lang w:val="en-US"/>
        </w:rPr>
        <w:t xml:space="preserve"> shall be notified i</w:t>
      </w:r>
      <w:r>
        <w:rPr>
          <w:rFonts w:ascii="Verdana" w:hAnsi="Verdana" w:cs="Verdana"/>
          <w:color w:val="000000"/>
          <w:sz w:val="20"/>
          <w:szCs w:val="20"/>
          <w:lang w:val="en-US"/>
        </w:rPr>
        <w:t>n due course of the expenditure</w:t>
      </w:r>
      <w:r w:rsidR="00CD2893" w:rsidRPr="00CD2893">
        <w:rPr>
          <w:rFonts w:ascii="Verdana" w:hAnsi="Verdana" w:cs="Verdana"/>
          <w:color w:val="000000"/>
          <w:sz w:val="20"/>
          <w:szCs w:val="20"/>
          <w:lang w:val="en-US"/>
        </w:rPr>
        <w:t xml:space="preserve"> made from said Fund so that it may submit any observations, if it so wishes, within the term established for that purpose. </w:t>
      </w:r>
      <w:r w:rsidR="00D50F7A">
        <w:rPr>
          <w:rFonts w:ascii="Verdana" w:hAnsi="Verdana" w:cs="Verdana"/>
          <w:color w:val="000000"/>
          <w:sz w:val="20"/>
          <w:szCs w:val="20"/>
          <w:lang w:val="en-US"/>
        </w:rPr>
        <w:t xml:space="preserve">Once the established term for observations has expired, the President of the Court </w:t>
      </w:r>
      <w:r w:rsidR="00CD2893" w:rsidRPr="00CD2893">
        <w:rPr>
          <w:rFonts w:ascii="Verdana" w:hAnsi="Verdana" w:cs="Verdana"/>
          <w:color w:val="000000"/>
          <w:sz w:val="20"/>
          <w:szCs w:val="20"/>
          <w:lang w:val="en-US"/>
        </w:rPr>
        <w:t>shall then decide whether to order the State to reimburse the Assi</w:t>
      </w:r>
      <w:r>
        <w:rPr>
          <w:rFonts w:ascii="Verdana" w:hAnsi="Verdana" w:cs="Verdana"/>
          <w:color w:val="000000"/>
          <w:sz w:val="20"/>
          <w:szCs w:val="20"/>
          <w:lang w:val="en-US"/>
        </w:rPr>
        <w:t>stance Fund for the expenditure</w:t>
      </w:r>
      <w:r w:rsidR="00CD2893" w:rsidRPr="00CD2893">
        <w:rPr>
          <w:rFonts w:ascii="Verdana" w:hAnsi="Verdana" w:cs="Verdana"/>
          <w:color w:val="000000"/>
          <w:sz w:val="20"/>
          <w:szCs w:val="20"/>
          <w:lang w:val="en-US"/>
        </w:rPr>
        <w:t xml:space="preserve"> incurred.</w:t>
      </w:r>
    </w:p>
    <w:p w:rsidR="00CD2893" w:rsidRDefault="00CD2893" w:rsidP="00CC1327">
      <w:pPr>
        <w:pStyle w:val="Default"/>
        <w:tabs>
          <w:tab w:val="left" w:pos="567"/>
        </w:tabs>
        <w:ind w:right="49"/>
        <w:jc w:val="both"/>
        <w:rPr>
          <w:color w:val="auto"/>
          <w:sz w:val="20"/>
          <w:szCs w:val="20"/>
          <w:lang w:val="en-US"/>
        </w:rPr>
      </w:pPr>
    </w:p>
    <w:p w:rsidR="007F5C6B" w:rsidRDefault="007F5C6B" w:rsidP="00CC1327">
      <w:pPr>
        <w:pStyle w:val="Default"/>
        <w:tabs>
          <w:tab w:val="left" w:pos="567"/>
        </w:tabs>
        <w:ind w:right="49"/>
        <w:jc w:val="both"/>
        <w:rPr>
          <w:color w:val="auto"/>
          <w:sz w:val="20"/>
          <w:szCs w:val="20"/>
          <w:lang w:val="en-US"/>
        </w:rPr>
      </w:pPr>
    </w:p>
    <w:p w:rsidR="0068261B" w:rsidRPr="00CC1327" w:rsidRDefault="0068261B" w:rsidP="00CC1327">
      <w:pPr>
        <w:tabs>
          <w:tab w:val="left" w:pos="567"/>
        </w:tabs>
        <w:autoSpaceDE w:val="0"/>
        <w:autoSpaceDN w:val="0"/>
        <w:adjustRightInd w:val="0"/>
        <w:spacing w:after="0" w:line="240" w:lineRule="auto"/>
        <w:rPr>
          <w:rFonts w:ascii="Verdana" w:hAnsi="Verdana" w:cs="Verdana"/>
          <w:b/>
          <w:bCs/>
          <w:color w:val="000000"/>
          <w:sz w:val="20"/>
          <w:szCs w:val="20"/>
          <w:lang w:val="en-US"/>
        </w:rPr>
      </w:pPr>
      <w:r w:rsidRPr="00CC1327">
        <w:rPr>
          <w:rFonts w:ascii="Verdana" w:hAnsi="Verdana" w:cs="Verdana"/>
          <w:b/>
          <w:bCs/>
          <w:color w:val="000000"/>
          <w:sz w:val="20"/>
          <w:szCs w:val="20"/>
          <w:lang w:val="en-US"/>
        </w:rPr>
        <w:t xml:space="preserve">THEREFORE: </w:t>
      </w:r>
    </w:p>
    <w:p w:rsidR="0068261B" w:rsidRPr="00CC1327" w:rsidRDefault="0068261B" w:rsidP="00CC1327">
      <w:pPr>
        <w:tabs>
          <w:tab w:val="left" w:pos="567"/>
        </w:tabs>
        <w:autoSpaceDE w:val="0"/>
        <w:autoSpaceDN w:val="0"/>
        <w:adjustRightInd w:val="0"/>
        <w:spacing w:after="0" w:line="240" w:lineRule="auto"/>
        <w:rPr>
          <w:rFonts w:ascii="Verdana" w:hAnsi="Verdana" w:cs="Verdana"/>
          <w:color w:val="000000"/>
          <w:sz w:val="20"/>
          <w:szCs w:val="20"/>
          <w:lang w:val="en-US"/>
        </w:rPr>
      </w:pPr>
    </w:p>
    <w:p w:rsidR="0068261B" w:rsidRDefault="0068261B" w:rsidP="00CC1327">
      <w:pPr>
        <w:pStyle w:val="Default"/>
        <w:tabs>
          <w:tab w:val="left" w:pos="567"/>
        </w:tabs>
        <w:ind w:right="49"/>
        <w:jc w:val="both"/>
        <w:rPr>
          <w:b/>
          <w:bCs/>
          <w:sz w:val="20"/>
          <w:szCs w:val="20"/>
          <w:lang w:val="en-US"/>
        </w:rPr>
      </w:pPr>
      <w:r w:rsidRPr="0068261B">
        <w:rPr>
          <w:b/>
          <w:bCs/>
          <w:sz w:val="20"/>
          <w:szCs w:val="20"/>
          <w:lang w:val="en-US"/>
        </w:rPr>
        <w:t xml:space="preserve">THE PRESIDENT </w:t>
      </w:r>
      <w:r>
        <w:rPr>
          <w:b/>
          <w:bCs/>
          <w:sz w:val="20"/>
          <w:szCs w:val="20"/>
          <w:lang w:val="en-US"/>
        </w:rPr>
        <w:t xml:space="preserve">OF THE COURT </w:t>
      </w:r>
      <w:r w:rsidRPr="0068261B">
        <w:rPr>
          <w:b/>
          <w:bCs/>
          <w:sz w:val="20"/>
          <w:szCs w:val="20"/>
          <w:lang w:val="en-US"/>
        </w:rPr>
        <w:t>OF THE INTER-AMERICAN COURT OF HUMAN RIGHTS,</w:t>
      </w:r>
    </w:p>
    <w:p w:rsidR="0068261B" w:rsidRDefault="0068261B" w:rsidP="00CC1327">
      <w:pPr>
        <w:pStyle w:val="Default"/>
        <w:tabs>
          <w:tab w:val="left" w:pos="567"/>
        </w:tabs>
        <w:ind w:right="49"/>
        <w:jc w:val="both"/>
        <w:rPr>
          <w:b/>
          <w:bCs/>
          <w:sz w:val="20"/>
          <w:szCs w:val="20"/>
          <w:lang w:val="en-US"/>
        </w:rPr>
      </w:pPr>
    </w:p>
    <w:p w:rsidR="0068261B" w:rsidRDefault="0068261B" w:rsidP="00CC1327">
      <w:pPr>
        <w:pStyle w:val="Default"/>
        <w:tabs>
          <w:tab w:val="left" w:pos="567"/>
        </w:tabs>
        <w:ind w:right="49"/>
        <w:jc w:val="both"/>
        <w:rPr>
          <w:sz w:val="20"/>
          <w:szCs w:val="20"/>
          <w:lang w:val="en-US"/>
        </w:rPr>
      </w:pPr>
      <w:r w:rsidRPr="0068261B">
        <w:rPr>
          <w:sz w:val="20"/>
          <w:szCs w:val="20"/>
          <w:lang w:val="en-US"/>
        </w:rPr>
        <w:t>in the exercise of his authority in relation to the Victims’ Legal Assistance Fund, and in accordance with Article 31 of the Court’s Rules of Procedure and Articles 2 to 6 of the Rules of the Legal Assistance Fund,</w:t>
      </w:r>
    </w:p>
    <w:p w:rsidR="0068261B" w:rsidRDefault="0068261B" w:rsidP="00CC1327">
      <w:pPr>
        <w:pStyle w:val="Default"/>
        <w:tabs>
          <w:tab w:val="left" w:pos="567"/>
        </w:tabs>
        <w:ind w:right="49"/>
        <w:jc w:val="both"/>
        <w:rPr>
          <w:sz w:val="20"/>
          <w:szCs w:val="20"/>
          <w:lang w:val="en-US"/>
        </w:rPr>
      </w:pPr>
    </w:p>
    <w:p w:rsidR="0068261B" w:rsidRDefault="0068261B" w:rsidP="00CC1327">
      <w:pPr>
        <w:tabs>
          <w:tab w:val="left" w:pos="567"/>
        </w:tabs>
        <w:autoSpaceDE w:val="0"/>
        <w:autoSpaceDN w:val="0"/>
        <w:adjustRightInd w:val="0"/>
        <w:spacing w:after="0" w:line="240" w:lineRule="auto"/>
        <w:rPr>
          <w:rFonts w:ascii="Verdana" w:hAnsi="Verdana" w:cs="Verdana"/>
          <w:b/>
          <w:bCs/>
          <w:color w:val="000000"/>
          <w:sz w:val="20"/>
          <w:szCs w:val="20"/>
          <w:lang w:val="en-US"/>
        </w:rPr>
      </w:pPr>
      <w:r w:rsidRPr="0068261B">
        <w:rPr>
          <w:rFonts w:ascii="Verdana" w:hAnsi="Verdana" w:cs="Verdana"/>
          <w:b/>
          <w:bCs/>
          <w:color w:val="000000"/>
          <w:sz w:val="20"/>
          <w:szCs w:val="20"/>
          <w:lang w:val="en-US"/>
        </w:rPr>
        <w:t xml:space="preserve">DECIDES: </w:t>
      </w:r>
    </w:p>
    <w:p w:rsidR="0068261B" w:rsidRPr="0068261B" w:rsidRDefault="0068261B" w:rsidP="00CC1327">
      <w:pPr>
        <w:tabs>
          <w:tab w:val="left" w:pos="567"/>
        </w:tabs>
        <w:autoSpaceDE w:val="0"/>
        <w:autoSpaceDN w:val="0"/>
        <w:adjustRightInd w:val="0"/>
        <w:spacing w:after="0" w:line="240" w:lineRule="auto"/>
        <w:rPr>
          <w:rFonts w:ascii="Verdana" w:hAnsi="Verdana" w:cs="Verdana"/>
          <w:color w:val="000000"/>
          <w:sz w:val="20"/>
          <w:szCs w:val="20"/>
          <w:lang w:val="en-US"/>
        </w:rPr>
      </w:pPr>
    </w:p>
    <w:p w:rsidR="0068261B" w:rsidRPr="0068261B" w:rsidRDefault="0068261B" w:rsidP="00D5410B">
      <w:pPr>
        <w:pStyle w:val="ListParagraph"/>
        <w:numPr>
          <w:ilvl w:val="0"/>
          <w:numId w:val="3"/>
        </w:numPr>
        <w:tabs>
          <w:tab w:val="left" w:pos="567"/>
        </w:tabs>
        <w:autoSpaceDE w:val="0"/>
        <w:autoSpaceDN w:val="0"/>
        <w:adjustRightInd w:val="0"/>
        <w:spacing w:after="0" w:line="240" w:lineRule="auto"/>
        <w:ind w:left="0" w:firstLine="0"/>
        <w:jc w:val="both"/>
        <w:rPr>
          <w:rFonts w:ascii="Verdana" w:hAnsi="Verdana" w:cs="Verdana"/>
          <w:color w:val="000000"/>
          <w:sz w:val="20"/>
          <w:szCs w:val="20"/>
          <w:lang w:val="en-US"/>
        </w:rPr>
      </w:pPr>
      <w:r w:rsidRPr="0068261B">
        <w:rPr>
          <w:rFonts w:ascii="Verdana" w:hAnsi="Verdana" w:cs="Verdana"/>
          <w:color w:val="000000"/>
          <w:sz w:val="20"/>
          <w:szCs w:val="20"/>
          <w:lang w:val="en-US"/>
        </w:rPr>
        <w:t xml:space="preserve">To declare admissible the request </w:t>
      </w:r>
      <w:r w:rsidR="000D02DE">
        <w:rPr>
          <w:rFonts w:ascii="Verdana" w:hAnsi="Verdana" w:cs="Verdana"/>
          <w:color w:val="000000"/>
          <w:sz w:val="20"/>
          <w:szCs w:val="20"/>
          <w:lang w:val="en-US"/>
        </w:rPr>
        <w:t xml:space="preserve">of </w:t>
      </w:r>
      <w:r w:rsidRPr="0068261B">
        <w:rPr>
          <w:rFonts w:ascii="Verdana" w:hAnsi="Verdana" w:cs="Verdana"/>
          <w:color w:val="000000"/>
          <w:sz w:val="20"/>
          <w:szCs w:val="20"/>
          <w:lang w:val="en-US"/>
        </w:rPr>
        <w:t xml:space="preserve">the </w:t>
      </w:r>
      <w:r w:rsidR="005E55D9">
        <w:rPr>
          <w:rFonts w:ascii="Verdana" w:hAnsi="Verdana" w:cs="Verdana"/>
          <w:color w:val="000000"/>
          <w:sz w:val="20"/>
          <w:szCs w:val="20"/>
          <w:lang w:val="en-US"/>
        </w:rPr>
        <w:t>victims</w:t>
      </w:r>
      <w:r w:rsidR="000D02DE">
        <w:rPr>
          <w:rFonts w:ascii="Verdana" w:hAnsi="Verdana" w:cs="Verdana"/>
          <w:color w:val="000000"/>
          <w:sz w:val="20"/>
          <w:szCs w:val="20"/>
          <w:lang w:val="en-US"/>
        </w:rPr>
        <w:t xml:space="preserve">, </w:t>
      </w:r>
      <w:r w:rsidR="000D02DE" w:rsidRPr="0068261B">
        <w:rPr>
          <w:rFonts w:ascii="Verdana" w:hAnsi="Verdana" w:cs="Verdana"/>
          <w:color w:val="000000"/>
          <w:sz w:val="20"/>
          <w:szCs w:val="20"/>
          <w:lang w:val="en-US"/>
        </w:rPr>
        <w:t>submitted by</w:t>
      </w:r>
      <w:r w:rsidR="000D02DE">
        <w:rPr>
          <w:rFonts w:ascii="Verdana" w:hAnsi="Verdana" w:cs="Verdana"/>
          <w:color w:val="000000"/>
          <w:sz w:val="20"/>
          <w:szCs w:val="20"/>
          <w:lang w:val="en-US"/>
        </w:rPr>
        <w:t xml:space="preserve"> their</w:t>
      </w:r>
      <w:r w:rsidR="005E55D9">
        <w:rPr>
          <w:rFonts w:ascii="Verdana" w:hAnsi="Verdana" w:cs="Verdana"/>
          <w:color w:val="000000"/>
          <w:sz w:val="20"/>
          <w:szCs w:val="20"/>
          <w:lang w:val="en-US"/>
        </w:rPr>
        <w:t xml:space="preserve"> </w:t>
      </w:r>
      <w:r w:rsidRPr="0068261B">
        <w:rPr>
          <w:rFonts w:ascii="Verdana" w:hAnsi="Verdana" w:cs="Verdana"/>
          <w:color w:val="000000"/>
          <w:sz w:val="20"/>
          <w:szCs w:val="20"/>
          <w:lang w:val="en-US"/>
        </w:rPr>
        <w:t>representatives</w:t>
      </w:r>
      <w:r w:rsidR="00601B1D">
        <w:rPr>
          <w:rFonts w:ascii="Verdana" w:hAnsi="Verdana" w:cs="Verdana"/>
          <w:color w:val="000000"/>
          <w:sz w:val="20"/>
          <w:szCs w:val="20"/>
          <w:lang w:val="en-US"/>
        </w:rPr>
        <w:t xml:space="preserve"> during the stage </w:t>
      </w:r>
      <w:r w:rsidR="00601B1D" w:rsidRPr="00601B1D">
        <w:rPr>
          <w:rFonts w:ascii="Verdana" w:hAnsi="Verdana" w:cs="Verdana"/>
          <w:color w:val="000000"/>
          <w:sz w:val="20"/>
          <w:szCs w:val="20"/>
          <w:lang w:val="en-US"/>
        </w:rPr>
        <w:t>of</w:t>
      </w:r>
      <w:r w:rsidR="00F60D41">
        <w:rPr>
          <w:rFonts w:ascii="Verdana" w:hAnsi="Verdana" w:cs="Verdana"/>
          <w:color w:val="000000"/>
          <w:sz w:val="20"/>
          <w:szCs w:val="20"/>
          <w:lang w:val="en-US"/>
        </w:rPr>
        <w:t xml:space="preserve"> </w:t>
      </w:r>
      <w:r w:rsidR="00601B1D" w:rsidRPr="00F60D41">
        <w:rPr>
          <w:rFonts w:ascii="Verdana" w:hAnsi="Verdana"/>
          <w:sz w:val="20"/>
          <w:szCs w:val="20"/>
          <w:lang w:val="en-US"/>
        </w:rPr>
        <w:t xml:space="preserve">monitoring compliance with judgment </w:t>
      </w:r>
      <w:r w:rsidR="00601B1D">
        <w:rPr>
          <w:rFonts w:ascii="Verdana" w:hAnsi="Verdana"/>
          <w:sz w:val="20"/>
          <w:szCs w:val="20"/>
          <w:lang w:val="en-US"/>
        </w:rPr>
        <w:t>in</w:t>
      </w:r>
      <w:r w:rsidR="00601B1D" w:rsidRPr="00F60D41">
        <w:rPr>
          <w:rFonts w:ascii="Verdana" w:hAnsi="Verdana"/>
          <w:sz w:val="20"/>
          <w:szCs w:val="20"/>
          <w:lang w:val="en-US"/>
        </w:rPr>
        <w:t xml:space="preserve"> the</w:t>
      </w:r>
      <w:r w:rsidR="00601B1D">
        <w:rPr>
          <w:rFonts w:ascii="Verdana" w:hAnsi="Verdana"/>
          <w:sz w:val="16"/>
          <w:szCs w:val="16"/>
          <w:lang w:val="en-US"/>
        </w:rPr>
        <w:t xml:space="preserve"> </w:t>
      </w:r>
      <w:r w:rsidR="00601B1D">
        <w:rPr>
          <w:rFonts w:ascii="Verdana" w:hAnsi="Verdana"/>
          <w:i/>
          <w:sz w:val="20"/>
          <w:szCs w:val="20"/>
          <w:lang w:val="en-US"/>
        </w:rPr>
        <w:t>c</w:t>
      </w:r>
      <w:r w:rsidR="00601B1D" w:rsidRPr="0068261B">
        <w:rPr>
          <w:rFonts w:ascii="Verdana" w:hAnsi="Verdana"/>
          <w:i/>
          <w:sz w:val="20"/>
          <w:szCs w:val="20"/>
          <w:lang w:val="en-US"/>
        </w:rPr>
        <w:t>ase</w:t>
      </w:r>
      <w:r w:rsidR="00601B1D">
        <w:rPr>
          <w:rFonts w:ascii="Verdana" w:hAnsi="Verdana"/>
          <w:i/>
          <w:sz w:val="20"/>
          <w:szCs w:val="20"/>
          <w:lang w:val="en-US"/>
        </w:rPr>
        <w:t xml:space="preserve"> of </w:t>
      </w:r>
      <w:r w:rsidR="000D02DE" w:rsidRPr="0068261B">
        <w:rPr>
          <w:rFonts w:ascii="Verdana" w:hAnsi="Verdana"/>
          <w:i/>
          <w:sz w:val="20"/>
          <w:szCs w:val="20"/>
          <w:lang w:val="en-US"/>
        </w:rPr>
        <w:t>Boyce</w:t>
      </w:r>
      <w:r w:rsidR="000D02DE">
        <w:rPr>
          <w:rFonts w:ascii="Verdana" w:hAnsi="Verdana"/>
          <w:i/>
          <w:sz w:val="20"/>
          <w:szCs w:val="20"/>
          <w:lang w:val="en-US"/>
        </w:rPr>
        <w:t>,</w:t>
      </w:r>
      <w:r w:rsidR="000D02DE" w:rsidRPr="0068261B">
        <w:rPr>
          <w:rFonts w:ascii="Verdana" w:hAnsi="Verdana"/>
          <w:i/>
          <w:sz w:val="20"/>
          <w:szCs w:val="20"/>
          <w:lang w:val="en-US"/>
        </w:rPr>
        <w:t xml:space="preserve"> et al</w:t>
      </w:r>
      <w:r w:rsidR="000D02DE">
        <w:rPr>
          <w:rFonts w:ascii="Verdana" w:hAnsi="Verdana"/>
          <w:i/>
          <w:sz w:val="20"/>
          <w:szCs w:val="20"/>
          <w:lang w:val="en-US"/>
        </w:rPr>
        <w:t xml:space="preserve">. </w:t>
      </w:r>
      <w:r w:rsidR="000D02DE" w:rsidRPr="000D02DE">
        <w:rPr>
          <w:rFonts w:ascii="Verdana" w:hAnsi="Verdana"/>
          <w:sz w:val="20"/>
          <w:szCs w:val="20"/>
          <w:lang w:val="en-US"/>
        </w:rPr>
        <w:t xml:space="preserve">and the </w:t>
      </w:r>
      <w:r w:rsidR="000D02DE" w:rsidRPr="000D02DE">
        <w:rPr>
          <w:rFonts w:ascii="Verdana" w:hAnsi="Verdana" w:cs="Verdana"/>
          <w:iCs/>
          <w:color w:val="000000"/>
          <w:sz w:val="20"/>
          <w:szCs w:val="20"/>
          <w:lang w:val="en-US"/>
        </w:rPr>
        <w:t>c</w:t>
      </w:r>
      <w:r w:rsidRPr="000D02DE">
        <w:rPr>
          <w:rFonts w:ascii="Verdana" w:hAnsi="Verdana" w:cs="Verdana"/>
          <w:iCs/>
          <w:color w:val="000000"/>
          <w:sz w:val="20"/>
          <w:szCs w:val="20"/>
          <w:lang w:val="en-US"/>
        </w:rPr>
        <w:t>ase</w:t>
      </w:r>
      <w:r w:rsidRPr="0068261B">
        <w:rPr>
          <w:rFonts w:ascii="Verdana" w:hAnsi="Verdana" w:cs="Verdana"/>
          <w:i/>
          <w:iCs/>
          <w:color w:val="000000"/>
          <w:sz w:val="20"/>
          <w:szCs w:val="20"/>
          <w:lang w:val="en-US"/>
        </w:rPr>
        <w:t xml:space="preserve"> of </w:t>
      </w:r>
      <w:proofErr w:type="spellStart"/>
      <w:r w:rsidR="000D02DE">
        <w:rPr>
          <w:rFonts w:ascii="Verdana" w:hAnsi="Verdana"/>
          <w:i/>
          <w:sz w:val="20"/>
          <w:szCs w:val="20"/>
          <w:lang w:val="en-US"/>
        </w:rPr>
        <w:t>DaCosta</w:t>
      </w:r>
      <w:proofErr w:type="spellEnd"/>
      <w:r w:rsidR="000D02DE">
        <w:rPr>
          <w:rFonts w:ascii="Verdana" w:hAnsi="Verdana"/>
          <w:i/>
          <w:sz w:val="20"/>
          <w:szCs w:val="20"/>
          <w:lang w:val="en-US"/>
        </w:rPr>
        <w:t xml:space="preserve"> </w:t>
      </w:r>
      <w:proofErr w:type="spellStart"/>
      <w:r w:rsidR="000D02DE">
        <w:rPr>
          <w:rFonts w:ascii="Verdana" w:hAnsi="Verdana"/>
          <w:i/>
          <w:sz w:val="20"/>
          <w:szCs w:val="20"/>
          <w:lang w:val="en-US"/>
        </w:rPr>
        <w:t>Cadogan</w:t>
      </w:r>
      <w:proofErr w:type="spellEnd"/>
      <w:r w:rsidRPr="0068261B">
        <w:rPr>
          <w:rFonts w:ascii="Verdana" w:hAnsi="Verdana" w:cs="Verdana"/>
          <w:color w:val="000000"/>
          <w:sz w:val="20"/>
          <w:szCs w:val="20"/>
          <w:lang w:val="en-US"/>
        </w:rPr>
        <w:t xml:space="preserve">, </w:t>
      </w:r>
      <w:r w:rsidR="00D5410B" w:rsidRPr="00D5410B">
        <w:rPr>
          <w:rFonts w:ascii="Verdana" w:hAnsi="Verdana" w:cs="Verdana"/>
          <w:color w:val="000000"/>
          <w:sz w:val="20"/>
          <w:szCs w:val="20"/>
          <w:lang w:val="en-US"/>
        </w:rPr>
        <w:t>both against the State of Barbados</w:t>
      </w:r>
      <w:r w:rsidR="000D02DE">
        <w:rPr>
          <w:rFonts w:ascii="Verdana" w:hAnsi="Verdana" w:cs="Verdana"/>
          <w:color w:val="000000"/>
          <w:sz w:val="20"/>
          <w:szCs w:val="20"/>
          <w:lang w:val="en-US"/>
        </w:rPr>
        <w:t>,</w:t>
      </w:r>
      <w:r w:rsidR="00D5410B" w:rsidRPr="00D5410B">
        <w:rPr>
          <w:rFonts w:ascii="Verdana" w:hAnsi="Verdana" w:cs="Verdana"/>
          <w:color w:val="000000"/>
          <w:sz w:val="20"/>
          <w:szCs w:val="20"/>
          <w:lang w:val="en-US"/>
        </w:rPr>
        <w:t xml:space="preserve"> </w:t>
      </w:r>
      <w:r w:rsidRPr="0068261B">
        <w:rPr>
          <w:rFonts w:ascii="Verdana" w:hAnsi="Verdana" w:cs="Verdana"/>
          <w:color w:val="000000"/>
          <w:sz w:val="20"/>
          <w:szCs w:val="20"/>
          <w:lang w:val="en-US"/>
        </w:rPr>
        <w:t xml:space="preserve">to receive support from the Victims’ Legal Assistance Fund of the Inter-American Court of Human Rights, specifically to cover </w:t>
      </w:r>
      <w:r w:rsidR="005E55D9">
        <w:rPr>
          <w:rFonts w:ascii="Verdana" w:hAnsi="Verdana"/>
          <w:sz w:val="20"/>
          <w:szCs w:val="20"/>
          <w:lang w:val="en-US"/>
        </w:rPr>
        <w:t>the expenses</w:t>
      </w:r>
      <w:r w:rsidRPr="0068261B">
        <w:rPr>
          <w:rFonts w:ascii="Verdana" w:hAnsi="Verdana"/>
          <w:sz w:val="20"/>
          <w:szCs w:val="20"/>
          <w:lang w:val="en-US"/>
        </w:rPr>
        <w:t xml:space="preserve"> </w:t>
      </w:r>
      <w:r w:rsidR="00C02076">
        <w:rPr>
          <w:rFonts w:ascii="Verdana" w:hAnsi="Verdana"/>
          <w:sz w:val="20"/>
          <w:szCs w:val="20"/>
          <w:lang w:val="en-US"/>
        </w:rPr>
        <w:t>incurred</w:t>
      </w:r>
      <w:r w:rsidR="00C02076" w:rsidRPr="0068261B">
        <w:rPr>
          <w:rFonts w:ascii="Verdana" w:hAnsi="Verdana"/>
          <w:sz w:val="20"/>
          <w:szCs w:val="20"/>
          <w:lang w:val="en-US"/>
        </w:rPr>
        <w:t xml:space="preserve"> </w:t>
      </w:r>
      <w:r w:rsidRPr="0068261B">
        <w:rPr>
          <w:rFonts w:ascii="Verdana" w:hAnsi="Verdana"/>
          <w:sz w:val="20"/>
          <w:szCs w:val="20"/>
          <w:lang w:val="en-US"/>
        </w:rPr>
        <w:t xml:space="preserve">due to the late cancellation of </w:t>
      </w:r>
      <w:r w:rsidR="00E94C8A">
        <w:rPr>
          <w:rFonts w:ascii="Verdana" w:hAnsi="Verdana"/>
          <w:sz w:val="20"/>
          <w:szCs w:val="20"/>
          <w:lang w:val="en-US"/>
        </w:rPr>
        <w:t xml:space="preserve">the </w:t>
      </w:r>
      <w:r w:rsidRPr="0068261B">
        <w:rPr>
          <w:rFonts w:ascii="Verdana" w:hAnsi="Verdana"/>
          <w:sz w:val="20"/>
          <w:szCs w:val="20"/>
          <w:lang w:val="en-US"/>
        </w:rPr>
        <w:t xml:space="preserve">flights </w:t>
      </w:r>
      <w:r w:rsidR="005E55D9">
        <w:rPr>
          <w:rFonts w:ascii="Verdana" w:hAnsi="Verdana"/>
          <w:sz w:val="20"/>
          <w:szCs w:val="20"/>
          <w:lang w:val="en-US"/>
        </w:rPr>
        <w:t>after the</w:t>
      </w:r>
      <w:r w:rsidR="00785048">
        <w:rPr>
          <w:rFonts w:ascii="Verdana" w:hAnsi="Verdana"/>
          <w:sz w:val="20"/>
          <w:szCs w:val="20"/>
          <w:lang w:val="en-US"/>
        </w:rPr>
        <w:t xml:space="preserve"> scheduled</w:t>
      </w:r>
      <w:r w:rsidRPr="0068261B">
        <w:rPr>
          <w:rFonts w:ascii="Verdana" w:hAnsi="Verdana"/>
          <w:sz w:val="20"/>
          <w:szCs w:val="20"/>
          <w:lang w:val="en-US"/>
        </w:rPr>
        <w:t xml:space="preserve"> July 1, 2015</w:t>
      </w:r>
      <w:r w:rsidR="005E55D9">
        <w:rPr>
          <w:rFonts w:ascii="Verdana" w:hAnsi="Verdana"/>
          <w:sz w:val="20"/>
          <w:szCs w:val="20"/>
          <w:lang w:val="en-US"/>
        </w:rPr>
        <w:t xml:space="preserve"> hearing on </w:t>
      </w:r>
      <w:r w:rsidR="00785048">
        <w:rPr>
          <w:rFonts w:ascii="Verdana" w:hAnsi="Verdana"/>
          <w:sz w:val="20"/>
          <w:szCs w:val="20"/>
          <w:lang w:val="en-US"/>
        </w:rPr>
        <w:t>monitoring compliance with the Judgments</w:t>
      </w:r>
      <w:r w:rsidRPr="0068261B">
        <w:rPr>
          <w:rFonts w:ascii="Verdana" w:hAnsi="Verdana"/>
          <w:sz w:val="20"/>
          <w:szCs w:val="20"/>
          <w:lang w:val="en-US"/>
        </w:rPr>
        <w:t xml:space="preserve"> was deferred</w:t>
      </w:r>
      <w:r w:rsidRPr="0068261B">
        <w:rPr>
          <w:rFonts w:ascii="Verdana" w:hAnsi="Verdana" w:cs="Verdana"/>
          <w:color w:val="000000"/>
          <w:sz w:val="20"/>
          <w:szCs w:val="20"/>
          <w:lang w:val="en-US"/>
        </w:rPr>
        <w:t>, in accordanc</w:t>
      </w:r>
      <w:r w:rsidR="000D02DE">
        <w:rPr>
          <w:rFonts w:ascii="Verdana" w:hAnsi="Verdana" w:cs="Verdana"/>
          <w:color w:val="000000"/>
          <w:sz w:val="20"/>
          <w:szCs w:val="20"/>
          <w:lang w:val="en-US"/>
        </w:rPr>
        <w:t>e with Considering paragraphs 10 to 14</w:t>
      </w:r>
      <w:r w:rsidRPr="0068261B">
        <w:rPr>
          <w:rFonts w:ascii="Verdana" w:hAnsi="Verdana" w:cs="Verdana"/>
          <w:color w:val="000000"/>
          <w:sz w:val="20"/>
          <w:szCs w:val="20"/>
          <w:lang w:val="en-US"/>
        </w:rPr>
        <w:t xml:space="preserve"> of this Order. </w:t>
      </w:r>
    </w:p>
    <w:p w:rsidR="0068261B" w:rsidRPr="0068261B" w:rsidRDefault="0068261B" w:rsidP="00CC1327">
      <w:pPr>
        <w:tabs>
          <w:tab w:val="left" w:pos="567"/>
        </w:tabs>
        <w:autoSpaceDE w:val="0"/>
        <w:autoSpaceDN w:val="0"/>
        <w:adjustRightInd w:val="0"/>
        <w:spacing w:after="0" w:line="240" w:lineRule="auto"/>
        <w:jc w:val="both"/>
        <w:rPr>
          <w:rFonts w:ascii="Verdana" w:hAnsi="Verdana" w:cs="Verdana"/>
          <w:color w:val="000000"/>
          <w:sz w:val="20"/>
          <w:szCs w:val="20"/>
          <w:lang w:val="en-US"/>
        </w:rPr>
      </w:pPr>
    </w:p>
    <w:p w:rsidR="0068261B" w:rsidRPr="009A1390" w:rsidRDefault="00785048" w:rsidP="00CC1327">
      <w:pPr>
        <w:pStyle w:val="ListParagraph"/>
        <w:numPr>
          <w:ilvl w:val="0"/>
          <w:numId w:val="3"/>
        </w:numPr>
        <w:tabs>
          <w:tab w:val="left" w:pos="567"/>
        </w:tabs>
        <w:autoSpaceDE w:val="0"/>
        <w:autoSpaceDN w:val="0"/>
        <w:adjustRightInd w:val="0"/>
        <w:spacing w:after="0" w:line="240" w:lineRule="auto"/>
        <w:ind w:left="0" w:firstLine="0"/>
        <w:jc w:val="both"/>
        <w:rPr>
          <w:rFonts w:ascii="Verdana" w:hAnsi="Verdana" w:cs="Verdana"/>
          <w:color w:val="000000"/>
          <w:sz w:val="20"/>
          <w:szCs w:val="20"/>
          <w:lang w:val="en-US"/>
        </w:rPr>
      </w:pPr>
      <w:r>
        <w:rPr>
          <w:rFonts w:ascii="Verdana" w:hAnsi="Verdana" w:cs="Verdana"/>
          <w:color w:val="000000"/>
          <w:sz w:val="20"/>
          <w:szCs w:val="20"/>
          <w:lang w:val="en-US"/>
        </w:rPr>
        <w:t>To require, p</w:t>
      </w:r>
      <w:r w:rsidR="0068261B" w:rsidRPr="0068261B">
        <w:rPr>
          <w:rFonts w:ascii="Verdana" w:hAnsi="Verdana" w:cs="Verdana"/>
          <w:color w:val="000000"/>
          <w:sz w:val="20"/>
          <w:szCs w:val="20"/>
          <w:lang w:val="en-US"/>
        </w:rPr>
        <w:t xml:space="preserve">ursuant to Article 4 of the Rules of the Court on the Operation of the Victims’ Legal Assistance Fund, </w:t>
      </w:r>
      <w:r>
        <w:rPr>
          <w:rFonts w:ascii="Verdana" w:hAnsi="Verdana" w:cs="Verdana"/>
          <w:color w:val="000000"/>
          <w:sz w:val="20"/>
          <w:szCs w:val="20"/>
          <w:lang w:val="en-US"/>
        </w:rPr>
        <w:t xml:space="preserve">that </w:t>
      </w:r>
      <w:r w:rsidR="0068261B" w:rsidRPr="0068261B">
        <w:rPr>
          <w:rFonts w:ascii="Verdana" w:hAnsi="Verdana" w:cs="Verdana"/>
          <w:color w:val="000000"/>
          <w:sz w:val="20"/>
          <w:szCs w:val="20"/>
          <w:lang w:val="en-US"/>
        </w:rPr>
        <w:t>the Secretariat of the Court open a file o</w:t>
      </w:r>
      <w:r w:rsidR="000D02DE">
        <w:rPr>
          <w:rFonts w:ascii="Verdana" w:hAnsi="Verdana" w:cs="Verdana"/>
          <w:color w:val="000000"/>
          <w:sz w:val="20"/>
          <w:szCs w:val="20"/>
          <w:lang w:val="en-US"/>
        </w:rPr>
        <w:t>n expenses, documenting the expenditure</w:t>
      </w:r>
      <w:r w:rsidR="0068261B" w:rsidRPr="0068261B">
        <w:rPr>
          <w:rFonts w:ascii="Verdana" w:hAnsi="Verdana" w:cs="Verdana"/>
          <w:color w:val="000000"/>
          <w:sz w:val="20"/>
          <w:szCs w:val="20"/>
          <w:lang w:val="en-US"/>
        </w:rPr>
        <w:t xml:space="preserve"> made in application of said Fund. </w:t>
      </w:r>
    </w:p>
    <w:p w:rsidR="0068261B" w:rsidRPr="0068261B" w:rsidRDefault="0068261B" w:rsidP="00CC1327">
      <w:pPr>
        <w:tabs>
          <w:tab w:val="left" w:pos="567"/>
        </w:tabs>
        <w:autoSpaceDE w:val="0"/>
        <w:autoSpaceDN w:val="0"/>
        <w:adjustRightInd w:val="0"/>
        <w:spacing w:after="0" w:line="240" w:lineRule="auto"/>
        <w:jc w:val="both"/>
        <w:rPr>
          <w:rFonts w:ascii="Verdana" w:hAnsi="Verdana" w:cs="Verdana"/>
          <w:color w:val="000000"/>
          <w:sz w:val="20"/>
          <w:szCs w:val="20"/>
          <w:lang w:val="en-US"/>
        </w:rPr>
      </w:pPr>
    </w:p>
    <w:p w:rsidR="0068261B" w:rsidRPr="0068261B" w:rsidRDefault="007F5C6B" w:rsidP="00CC1327">
      <w:pPr>
        <w:tabs>
          <w:tab w:val="left" w:pos="567"/>
        </w:tabs>
        <w:autoSpaceDE w:val="0"/>
        <w:autoSpaceDN w:val="0"/>
        <w:adjustRightInd w:val="0"/>
        <w:spacing w:after="0" w:line="240" w:lineRule="auto"/>
        <w:jc w:val="both"/>
        <w:rPr>
          <w:rFonts w:ascii="Verdana" w:hAnsi="Verdana" w:cs="Verdana"/>
          <w:color w:val="000000"/>
          <w:sz w:val="20"/>
          <w:szCs w:val="20"/>
          <w:lang w:val="en-US"/>
        </w:rPr>
      </w:pPr>
      <w:r>
        <w:rPr>
          <w:rFonts w:ascii="Verdana" w:hAnsi="Verdana" w:cs="Verdana"/>
          <w:color w:val="000000"/>
          <w:sz w:val="20"/>
          <w:szCs w:val="20"/>
          <w:lang w:val="en-US"/>
        </w:rPr>
        <w:t>3.</w:t>
      </w:r>
      <w:r>
        <w:rPr>
          <w:rFonts w:ascii="Verdana" w:hAnsi="Verdana" w:cs="Verdana"/>
          <w:color w:val="000000"/>
          <w:sz w:val="20"/>
          <w:szCs w:val="20"/>
          <w:lang w:val="en-US"/>
        </w:rPr>
        <w:tab/>
      </w:r>
      <w:r w:rsidR="0068261B" w:rsidRPr="0068261B">
        <w:rPr>
          <w:rFonts w:ascii="Verdana" w:hAnsi="Verdana" w:cs="Verdana"/>
          <w:color w:val="000000"/>
          <w:sz w:val="20"/>
          <w:szCs w:val="20"/>
          <w:lang w:val="en-US"/>
        </w:rPr>
        <w:t xml:space="preserve">To require the Secretariat of the Court </w:t>
      </w:r>
      <w:r w:rsidR="000D02DE">
        <w:rPr>
          <w:rFonts w:ascii="Verdana" w:hAnsi="Verdana" w:cs="Verdana"/>
          <w:color w:val="000000"/>
          <w:sz w:val="20"/>
          <w:szCs w:val="20"/>
          <w:lang w:val="en-US"/>
        </w:rPr>
        <w:t xml:space="preserve">to </w:t>
      </w:r>
      <w:r w:rsidR="0068261B" w:rsidRPr="0068261B">
        <w:rPr>
          <w:rFonts w:ascii="Verdana" w:hAnsi="Verdana" w:cs="Verdana"/>
          <w:color w:val="000000"/>
          <w:sz w:val="20"/>
          <w:szCs w:val="20"/>
          <w:lang w:val="en-US"/>
        </w:rPr>
        <w:t xml:space="preserve">notify this Decision to </w:t>
      </w:r>
      <w:r w:rsidR="009A1390">
        <w:rPr>
          <w:rFonts w:ascii="Verdana" w:hAnsi="Verdana" w:cs="Verdana"/>
          <w:color w:val="000000"/>
          <w:sz w:val="20"/>
          <w:szCs w:val="20"/>
          <w:lang w:val="en-US"/>
        </w:rPr>
        <w:t xml:space="preserve">the </w:t>
      </w:r>
      <w:r w:rsidR="00785048">
        <w:rPr>
          <w:rFonts w:ascii="Verdana" w:hAnsi="Verdana" w:cs="Verdana"/>
          <w:color w:val="000000"/>
          <w:sz w:val="20"/>
          <w:szCs w:val="20"/>
          <w:lang w:val="en-US"/>
        </w:rPr>
        <w:t xml:space="preserve">victims’ </w:t>
      </w:r>
      <w:r w:rsidR="009A1390">
        <w:rPr>
          <w:rFonts w:ascii="Verdana" w:hAnsi="Verdana" w:cs="Verdana"/>
          <w:color w:val="000000"/>
          <w:sz w:val="20"/>
          <w:szCs w:val="20"/>
          <w:lang w:val="en-US"/>
        </w:rPr>
        <w:t>representatives</w:t>
      </w:r>
      <w:r w:rsidR="0068261B" w:rsidRPr="0068261B">
        <w:rPr>
          <w:rFonts w:ascii="Verdana" w:hAnsi="Verdana" w:cs="Verdana"/>
          <w:color w:val="000000"/>
          <w:sz w:val="20"/>
          <w:szCs w:val="20"/>
          <w:lang w:val="en-US"/>
        </w:rPr>
        <w:t>,</w:t>
      </w:r>
      <w:r w:rsidR="009A1390">
        <w:rPr>
          <w:rFonts w:ascii="Verdana" w:hAnsi="Verdana" w:cs="Verdana"/>
          <w:color w:val="000000"/>
          <w:sz w:val="20"/>
          <w:szCs w:val="20"/>
          <w:lang w:val="en-US"/>
        </w:rPr>
        <w:t xml:space="preserve"> </w:t>
      </w:r>
      <w:r w:rsidR="0068261B" w:rsidRPr="0068261B">
        <w:rPr>
          <w:rFonts w:ascii="Verdana" w:hAnsi="Verdana" w:cs="Verdana"/>
          <w:color w:val="000000"/>
          <w:sz w:val="20"/>
          <w:szCs w:val="20"/>
          <w:lang w:val="en-US"/>
        </w:rPr>
        <w:t>to the State of</w:t>
      </w:r>
      <w:r w:rsidR="009A1390">
        <w:rPr>
          <w:rFonts w:ascii="Verdana" w:hAnsi="Verdana" w:cs="Verdana"/>
          <w:color w:val="000000"/>
          <w:sz w:val="20"/>
          <w:szCs w:val="20"/>
          <w:lang w:val="en-US"/>
        </w:rPr>
        <w:t xml:space="preserve"> Barbados</w:t>
      </w:r>
      <w:r w:rsidR="00785048">
        <w:rPr>
          <w:rFonts w:ascii="Verdana" w:hAnsi="Verdana" w:cs="Verdana"/>
          <w:color w:val="000000"/>
          <w:sz w:val="20"/>
          <w:szCs w:val="20"/>
          <w:lang w:val="en-US"/>
        </w:rPr>
        <w:t>,</w:t>
      </w:r>
      <w:r w:rsidR="0068261B" w:rsidRPr="0068261B">
        <w:rPr>
          <w:rFonts w:ascii="Verdana" w:hAnsi="Verdana" w:cs="Verdana"/>
          <w:color w:val="000000"/>
          <w:sz w:val="20"/>
          <w:szCs w:val="20"/>
          <w:lang w:val="en-US"/>
        </w:rPr>
        <w:t xml:space="preserve"> and to the Inter-American Commission on Human Rights. </w:t>
      </w:r>
    </w:p>
    <w:p w:rsidR="0068261B" w:rsidRDefault="0068261B" w:rsidP="00CC1327">
      <w:pPr>
        <w:pStyle w:val="Default"/>
        <w:tabs>
          <w:tab w:val="left" w:pos="567"/>
        </w:tabs>
        <w:ind w:right="49"/>
        <w:jc w:val="both"/>
        <w:rPr>
          <w:color w:val="auto"/>
          <w:sz w:val="20"/>
          <w:szCs w:val="20"/>
          <w:lang w:val="en-US"/>
        </w:rPr>
      </w:pPr>
    </w:p>
    <w:p w:rsidR="001E094F" w:rsidRDefault="001E094F" w:rsidP="00CC1327">
      <w:pPr>
        <w:pStyle w:val="Default"/>
        <w:tabs>
          <w:tab w:val="left" w:pos="567"/>
        </w:tabs>
        <w:ind w:right="49"/>
        <w:jc w:val="both"/>
        <w:rPr>
          <w:color w:val="auto"/>
          <w:sz w:val="20"/>
          <w:szCs w:val="20"/>
          <w:lang w:val="en-US"/>
        </w:rPr>
      </w:pPr>
      <w:bookmarkStart w:id="0" w:name="_GoBack"/>
      <w:bookmarkEnd w:id="0"/>
    </w:p>
    <w:sectPr w:rsidR="001E094F" w:rsidSect="00005B6A">
      <w:head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19" w:rsidRDefault="00AA2A19" w:rsidP="00B82515">
      <w:pPr>
        <w:spacing w:after="0" w:line="240" w:lineRule="auto"/>
      </w:pPr>
      <w:r>
        <w:separator/>
      </w:r>
    </w:p>
  </w:endnote>
  <w:endnote w:type="continuationSeparator" w:id="0">
    <w:p w:rsidR="00AA2A19" w:rsidRDefault="00AA2A19" w:rsidP="00B8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19" w:rsidRDefault="00AA2A19" w:rsidP="00B82515">
      <w:pPr>
        <w:spacing w:after="0" w:line="240" w:lineRule="auto"/>
      </w:pPr>
      <w:r>
        <w:separator/>
      </w:r>
    </w:p>
  </w:footnote>
  <w:footnote w:type="continuationSeparator" w:id="0">
    <w:p w:rsidR="00AA2A19" w:rsidRDefault="00AA2A19" w:rsidP="00B82515">
      <w:pPr>
        <w:spacing w:after="0" w:line="240" w:lineRule="auto"/>
      </w:pPr>
      <w:r>
        <w:continuationSeparator/>
      </w:r>
    </w:p>
  </w:footnote>
  <w:footnote w:id="1">
    <w:p w:rsidR="002910D9" w:rsidRPr="00FB53D8" w:rsidRDefault="002910D9" w:rsidP="00FB53D8">
      <w:pPr>
        <w:pStyle w:val="FootnoteText"/>
        <w:tabs>
          <w:tab w:val="left" w:pos="567"/>
        </w:tabs>
        <w:jc w:val="both"/>
        <w:rPr>
          <w:rFonts w:ascii="Verdana" w:hAnsi="Verdana"/>
          <w:color w:val="00B050"/>
          <w:sz w:val="16"/>
          <w:szCs w:val="16"/>
          <w:lang w:val="en-US"/>
        </w:rPr>
      </w:pPr>
      <w:r w:rsidRPr="00FB53D8">
        <w:rPr>
          <w:rStyle w:val="FootnoteReference"/>
          <w:rFonts w:ascii="Verdana" w:hAnsi="Verdana"/>
          <w:sz w:val="16"/>
          <w:szCs w:val="16"/>
          <w:lang w:val="en-US"/>
        </w:rPr>
        <w:footnoteRef/>
      </w:r>
      <w:r w:rsidRPr="00FB53D8">
        <w:rPr>
          <w:rFonts w:ascii="Verdana" w:hAnsi="Verdana"/>
          <w:sz w:val="16"/>
          <w:szCs w:val="16"/>
          <w:lang w:val="en-US"/>
        </w:rPr>
        <w:t xml:space="preserve"> </w:t>
      </w:r>
      <w:r w:rsidR="00FB53D8" w:rsidRPr="00FB53D8">
        <w:rPr>
          <w:rFonts w:ascii="Verdana" w:hAnsi="Verdana"/>
          <w:sz w:val="16"/>
          <w:szCs w:val="16"/>
          <w:lang w:val="en-US"/>
        </w:rPr>
        <w:tab/>
      </w:r>
      <w:r w:rsidRPr="00FB53D8">
        <w:rPr>
          <w:rFonts w:ascii="Verdana" w:hAnsi="Verdana"/>
          <w:sz w:val="16"/>
          <w:szCs w:val="16"/>
          <w:lang w:val="en-US"/>
        </w:rPr>
        <w:t xml:space="preserve">The representatives of the victims are lawyers </w:t>
      </w:r>
      <w:r w:rsidR="00785048" w:rsidRPr="00FB53D8">
        <w:rPr>
          <w:rFonts w:ascii="Verdana" w:hAnsi="Verdana"/>
          <w:sz w:val="16"/>
          <w:szCs w:val="16"/>
          <w:lang w:val="en-US"/>
        </w:rPr>
        <w:t>of</w:t>
      </w:r>
      <w:r w:rsidRPr="00FB53D8">
        <w:rPr>
          <w:rFonts w:ascii="Verdana" w:hAnsi="Verdana"/>
          <w:sz w:val="16"/>
          <w:szCs w:val="16"/>
          <w:lang w:val="en-US"/>
        </w:rPr>
        <w:t xml:space="preserve"> the firm Simons </w:t>
      </w:r>
      <w:proofErr w:type="spellStart"/>
      <w:r w:rsidRPr="00FB53D8">
        <w:rPr>
          <w:rFonts w:ascii="Verdana" w:hAnsi="Verdana"/>
          <w:sz w:val="16"/>
          <w:szCs w:val="16"/>
          <w:lang w:val="en-US"/>
        </w:rPr>
        <w:t>Muirhead</w:t>
      </w:r>
      <w:proofErr w:type="spellEnd"/>
      <w:r w:rsidRPr="00FB53D8">
        <w:rPr>
          <w:rFonts w:ascii="Verdana" w:hAnsi="Verdana"/>
          <w:sz w:val="16"/>
          <w:szCs w:val="16"/>
          <w:lang w:val="en-US"/>
        </w:rPr>
        <w:t xml:space="preserve"> &amp; Burton, based in London, among them Mr. Saul Lehrfreund. Mr. Andrew Pilgrim QC, a lawyer from Barbados, is also a representative.  </w:t>
      </w:r>
    </w:p>
    <w:p w:rsidR="002910D9" w:rsidRPr="00FB53D8" w:rsidRDefault="002910D9" w:rsidP="00FB53D8">
      <w:pPr>
        <w:pStyle w:val="FootnoteText"/>
        <w:tabs>
          <w:tab w:val="left" w:pos="567"/>
        </w:tabs>
        <w:rPr>
          <w:rFonts w:ascii="Verdana" w:hAnsi="Verdana"/>
          <w:sz w:val="16"/>
          <w:szCs w:val="16"/>
          <w:lang w:val="en-US"/>
        </w:rPr>
      </w:pPr>
    </w:p>
  </w:footnote>
  <w:footnote w:id="2">
    <w:p w:rsidR="002910D9" w:rsidRPr="00FB53D8" w:rsidRDefault="002910D9" w:rsidP="00FB53D8">
      <w:pPr>
        <w:pStyle w:val="FootnoteText"/>
        <w:tabs>
          <w:tab w:val="left" w:pos="567"/>
        </w:tabs>
        <w:jc w:val="both"/>
        <w:rPr>
          <w:rFonts w:ascii="Verdana" w:hAnsi="Verdana"/>
          <w:sz w:val="16"/>
          <w:szCs w:val="16"/>
          <w:lang w:val="en-US"/>
        </w:rPr>
      </w:pPr>
      <w:r w:rsidRPr="00FB53D8">
        <w:rPr>
          <w:rStyle w:val="FootnoteReference"/>
          <w:rFonts w:ascii="Verdana" w:hAnsi="Verdana"/>
          <w:sz w:val="16"/>
          <w:szCs w:val="16"/>
          <w:lang w:val="en-US"/>
        </w:rPr>
        <w:footnoteRef/>
      </w:r>
      <w:r w:rsidRPr="00FB53D8">
        <w:rPr>
          <w:rFonts w:ascii="Verdana" w:hAnsi="Verdana"/>
          <w:sz w:val="16"/>
          <w:szCs w:val="16"/>
          <w:lang w:val="en-US"/>
        </w:rPr>
        <w:t xml:space="preserve"> </w:t>
      </w:r>
      <w:r w:rsidR="00FB53D8">
        <w:rPr>
          <w:rFonts w:ascii="Verdana" w:hAnsi="Verdana"/>
          <w:sz w:val="16"/>
          <w:szCs w:val="16"/>
          <w:lang w:val="en-US"/>
        </w:rPr>
        <w:tab/>
      </w:r>
      <w:r w:rsidRPr="00FB53D8">
        <w:rPr>
          <w:rFonts w:ascii="Verdana" w:hAnsi="Verdana"/>
          <w:sz w:val="16"/>
          <w:szCs w:val="16"/>
          <w:lang w:val="en-US"/>
        </w:rPr>
        <w:t xml:space="preserve">They filed as evidence: the copy of two invoices from June </w:t>
      </w:r>
      <w:r w:rsidR="00FB53D8">
        <w:rPr>
          <w:rFonts w:ascii="Verdana" w:hAnsi="Verdana"/>
          <w:sz w:val="16"/>
          <w:szCs w:val="16"/>
          <w:lang w:val="en-US"/>
        </w:rPr>
        <w:t xml:space="preserve">4, 5 and 30, </w:t>
      </w:r>
      <w:r w:rsidRPr="00FB53D8">
        <w:rPr>
          <w:rFonts w:ascii="Verdana" w:hAnsi="Verdana"/>
          <w:sz w:val="16"/>
          <w:szCs w:val="16"/>
          <w:lang w:val="en-US"/>
        </w:rPr>
        <w:t>2015 issued by the travel agency, Business Travel Direct, Invoices. 1851682, 185217</w:t>
      </w:r>
      <w:r w:rsidR="00FB53D8">
        <w:rPr>
          <w:rFonts w:ascii="Verdana" w:hAnsi="Verdana"/>
          <w:sz w:val="16"/>
          <w:szCs w:val="16"/>
          <w:lang w:val="en-US"/>
        </w:rPr>
        <w:t>8</w:t>
      </w:r>
      <w:r w:rsidRPr="00FB53D8">
        <w:rPr>
          <w:rFonts w:ascii="Verdana" w:hAnsi="Verdana"/>
          <w:sz w:val="16"/>
          <w:szCs w:val="16"/>
          <w:lang w:val="en-US"/>
        </w:rPr>
        <w:t xml:space="preserve"> and 50546</w:t>
      </w:r>
      <w:r w:rsidR="00FB53D8">
        <w:rPr>
          <w:rFonts w:ascii="Verdana" w:hAnsi="Verdana"/>
          <w:sz w:val="16"/>
          <w:szCs w:val="16"/>
          <w:lang w:val="en-US"/>
        </w:rPr>
        <w:t>99</w:t>
      </w:r>
      <w:r w:rsidRPr="00FB53D8">
        <w:rPr>
          <w:rFonts w:ascii="Verdana" w:hAnsi="Verdana"/>
          <w:sz w:val="16"/>
          <w:szCs w:val="16"/>
          <w:lang w:val="en-US"/>
        </w:rPr>
        <w:t xml:space="preserve">, and a chart that indicated how much money they were requesting from the Legal Assistance Fund. </w:t>
      </w:r>
    </w:p>
  </w:footnote>
  <w:footnote w:id="3">
    <w:p w:rsidR="002910D9" w:rsidRPr="00FB53D8" w:rsidRDefault="002910D9" w:rsidP="00FB53D8">
      <w:pPr>
        <w:pStyle w:val="FootnoteText"/>
        <w:tabs>
          <w:tab w:val="left" w:pos="567"/>
        </w:tabs>
        <w:jc w:val="both"/>
        <w:rPr>
          <w:rFonts w:ascii="Verdana" w:hAnsi="Verdana"/>
          <w:sz w:val="16"/>
          <w:szCs w:val="16"/>
          <w:lang w:val="en-US"/>
        </w:rPr>
      </w:pPr>
      <w:r w:rsidRPr="00FB53D8">
        <w:rPr>
          <w:rStyle w:val="FootnoteReference"/>
          <w:rFonts w:ascii="Verdana" w:hAnsi="Verdana"/>
          <w:sz w:val="16"/>
          <w:szCs w:val="16"/>
          <w:lang w:val="en-US"/>
        </w:rPr>
        <w:footnoteRef/>
      </w:r>
      <w:r w:rsidRPr="00FB53D8">
        <w:rPr>
          <w:rFonts w:ascii="Verdana" w:hAnsi="Verdana"/>
          <w:sz w:val="16"/>
          <w:szCs w:val="16"/>
          <w:lang w:val="en-US"/>
        </w:rPr>
        <w:t xml:space="preserve"> </w:t>
      </w:r>
      <w:r w:rsidR="00FB53D8">
        <w:rPr>
          <w:rFonts w:ascii="Verdana" w:hAnsi="Verdana"/>
          <w:sz w:val="16"/>
          <w:szCs w:val="16"/>
          <w:lang w:val="en-US"/>
        </w:rPr>
        <w:tab/>
      </w:r>
      <w:proofErr w:type="gramStart"/>
      <w:r w:rsidRPr="00FB53D8">
        <w:rPr>
          <w:rFonts w:ascii="Verdana" w:hAnsi="Verdana"/>
          <w:sz w:val="16"/>
          <w:szCs w:val="16"/>
          <w:lang w:val="en-US"/>
        </w:rPr>
        <w:t>Rules for the Operation of the Victims’ Legal Assistance Fund of the Inter-American Court of Human Rights, approved on February 4, 2010.</w:t>
      </w:r>
      <w:proofErr w:type="gramEnd"/>
      <w:r w:rsidRPr="00FB53D8">
        <w:rPr>
          <w:rFonts w:ascii="Verdana" w:hAnsi="Verdana"/>
          <w:sz w:val="16"/>
          <w:szCs w:val="16"/>
          <w:lang w:val="en-US"/>
        </w:rPr>
        <w:t xml:space="preserve"> These Rules entered into force on June 1, 2010, and their purpose is to “regulate the operation of and access to the Fund […], for the litigation of cases before it.”  </w:t>
      </w:r>
    </w:p>
  </w:footnote>
  <w:footnote w:id="4">
    <w:p w:rsidR="00C909AE" w:rsidRPr="00F60D41" w:rsidRDefault="002910D9" w:rsidP="00F60D41">
      <w:pPr>
        <w:pStyle w:val="FootnoteText"/>
        <w:tabs>
          <w:tab w:val="left" w:pos="567"/>
        </w:tabs>
        <w:jc w:val="both"/>
        <w:rPr>
          <w:rFonts w:ascii="Verdana" w:hAnsi="Verdana"/>
          <w:sz w:val="16"/>
          <w:szCs w:val="16"/>
          <w:lang w:val="en-US"/>
        </w:rPr>
      </w:pPr>
      <w:r w:rsidRPr="00C909AE">
        <w:rPr>
          <w:rStyle w:val="FootnoteReference"/>
          <w:rFonts w:ascii="Verdana" w:hAnsi="Verdana"/>
          <w:sz w:val="16"/>
          <w:szCs w:val="16"/>
          <w:lang w:val="en-US"/>
        </w:rPr>
        <w:footnoteRef/>
      </w:r>
      <w:r w:rsidRPr="00C909AE">
        <w:rPr>
          <w:rFonts w:ascii="Verdana" w:hAnsi="Verdana"/>
          <w:sz w:val="16"/>
          <w:szCs w:val="16"/>
          <w:lang w:val="en-US"/>
        </w:rPr>
        <w:t xml:space="preserve"> </w:t>
      </w:r>
      <w:r w:rsidR="00FB53D8" w:rsidRPr="00C909AE">
        <w:rPr>
          <w:rFonts w:ascii="Verdana" w:hAnsi="Verdana"/>
          <w:sz w:val="16"/>
          <w:szCs w:val="16"/>
          <w:lang w:val="en-US"/>
        </w:rPr>
        <w:tab/>
      </w:r>
      <w:proofErr w:type="gramStart"/>
      <w:r w:rsidRPr="00C909AE">
        <w:rPr>
          <w:rFonts w:ascii="Verdana" w:hAnsi="Verdana"/>
          <w:i/>
          <w:iCs/>
          <w:sz w:val="16"/>
          <w:szCs w:val="16"/>
          <w:lang w:val="en-US"/>
        </w:rPr>
        <w:t xml:space="preserve">Cf. Case of the Miguel Castro </w:t>
      </w:r>
      <w:proofErr w:type="spellStart"/>
      <w:r w:rsidRPr="00C909AE">
        <w:rPr>
          <w:rFonts w:ascii="Verdana" w:hAnsi="Verdana"/>
          <w:i/>
          <w:iCs/>
          <w:sz w:val="16"/>
          <w:szCs w:val="16"/>
          <w:lang w:val="en-US"/>
        </w:rPr>
        <w:t>Castro</w:t>
      </w:r>
      <w:proofErr w:type="spellEnd"/>
      <w:r w:rsidRPr="00C909AE">
        <w:rPr>
          <w:rFonts w:ascii="Verdana" w:hAnsi="Verdana"/>
          <w:i/>
          <w:iCs/>
          <w:sz w:val="16"/>
          <w:szCs w:val="16"/>
          <w:lang w:val="en-US"/>
        </w:rPr>
        <w:t xml:space="preserve"> Prison v. Peru</w:t>
      </w:r>
      <w:r w:rsidRPr="00C909AE">
        <w:rPr>
          <w:rFonts w:ascii="Verdana" w:hAnsi="Verdana"/>
          <w:sz w:val="16"/>
          <w:szCs w:val="16"/>
          <w:lang w:val="en-US"/>
        </w:rPr>
        <w:t>.</w:t>
      </w:r>
      <w:proofErr w:type="gramEnd"/>
      <w:r w:rsidRPr="00C909AE">
        <w:rPr>
          <w:rFonts w:ascii="Verdana" w:hAnsi="Verdana"/>
          <w:sz w:val="16"/>
          <w:szCs w:val="16"/>
          <w:lang w:val="en-US"/>
        </w:rPr>
        <w:t xml:space="preserve"> Order of the Inter-American Court of Human Rights of September 2, 2010.  Available in: </w:t>
      </w:r>
      <w:hyperlink r:id="rId1" w:history="1">
        <w:r w:rsidR="00405CB7" w:rsidRPr="00C909AE">
          <w:rPr>
            <w:rStyle w:val="Hyperlink"/>
            <w:rFonts w:ascii="Verdana" w:eastAsia="Calibri" w:hAnsi="Verdana" w:cs="Verdana"/>
            <w:sz w:val="16"/>
            <w:szCs w:val="16"/>
            <w:lang w:val="en-US"/>
          </w:rPr>
          <w:t>http://www.corteidh.or.cr/docs/asuntos/castro_fv_10.pdf</w:t>
        </w:r>
      </w:hyperlink>
      <w:r w:rsidR="00C909AE" w:rsidRPr="00C909AE">
        <w:rPr>
          <w:rFonts w:ascii="Verdana" w:eastAsia="Calibri" w:hAnsi="Verdana" w:cs="Verdana"/>
          <w:sz w:val="16"/>
          <w:szCs w:val="16"/>
          <w:lang w:val="en-US"/>
        </w:rPr>
        <w:t xml:space="preserve"> The Court indicated that</w:t>
      </w:r>
      <w:r w:rsidR="00C909AE" w:rsidRPr="00C909AE">
        <w:rPr>
          <w:rFonts w:ascii="Verdana" w:hAnsi="Verdana"/>
          <w:sz w:val="16"/>
          <w:szCs w:val="16"/>
          <w:lang w:val="en-US"/>
        </w:rPr>
        <w:t xml:space="preserve">, pursuant to Article 2 of the Rules of the Assistance Fund, the Fund’s resources are used to cover the cost of litigation before the Court during the processing of a contentious case prior to delivery of the judgment. </w:t>
      </w:r>
      <w:r w:rsidR="00C909AE" w:rsidRPr="00C909AE">
        <w:rPr>
          <w:rFonts w:ascii="Verdana" w:hAnsi="Verdana" w:cs="Verdana"/>
          <w:color w:val="000000"/>
          <w:sz w:val="16"/>
          <w:szCs w:val="16"/>
          <w:lang w:val="en-US"/>
        </w:rPr>
        <w:t xml:space="preserve">The Tribunal established the possibility, as an exception, of considering the admissibility of a request for support from the Assistance Fund outside the framework of the litigation on the merits of contentious cases, in the following terms: </w:t>
      </w:r>
    </w:p>
    <w:p w:rsidR="00C909AE" w:rsidRPr="0055141A" w:rsidRDefault="00C909AE" w:rsidP="00C909AE">
      <w:pPr>
        <w:pStyle w:val="FootnoteText"/>
        <w:tabs>
          <w:tab w:val="left" w:pos="567"/>
        </w:tabs>
        <w:ind w:left="567" w:right="757"/>
        <w:jc w:val="both"/>
        <w:rPr>
          <w:rFonts w:ascii="Verdana" w:hAnsi="Verdana"/>
          <w:sz w:val="16"/>
          <w:szCs w:val="16"/>
        </w:rPr>
      </w:pPr>
      <w:r w:rsidRPr="00C909AE">
        <w:rPr>
          <w:rFonts w:ascii="Verdana" w:hAnsi="Verdana"/>
          <w:sz w:val="16"/>
          <w:szCs w:val="16"/>
          <w:lang w:val="en-US"/>
        </w:rPr>
        <w:t xml:space="preserve">the Court is aware that the amounts ordered for costs and expenses in the Judgment issued by the Court in [the] case [of the Miguel Castro </w:t>
      </w:r>
      <w:proofErr w:type="spellStart"/>
      <w:r w:rsidRPr="00C909AE">
        <w:rPr>
          <w:rFonts w:ascii="Verdana" w:hAnsi="Verdana"/>
          <w:sz w:val="16"/>
          <w:szCs w:val="16"/>
          <w:lang w:val="en-US"/>
        </w:rPr>
        <w:t>Castro</w:t>
      </w:r>
      <w:proofErr w:type="spellEnd"/>
      <w:r w:rsidRPr="00C909AE">
        <w:rPr>
          <w:rFonts w:ascii="Verdana" w:hAnsi="Verdana"/>
          <w:sz w:val="16"/>
          <w:szCs w:val="16"/>
          <w:lang w:val="en-US"/>
        </w:rPr>
        <w:t xml:space="preserve"> Prison] did not include future expenses that the victims or their representatives might incur during the stage of monitoring compliance with judgment, and that Article 69(3) of the Court’s current Rules of Procedure allow the Court to summon hearings during that stage to evaluate the status of compliance with the judgment. Thus, the Court may consider requests for resources from the Assistance Fund outside the framework of the litigation of the merits of contentious cases, provided that the expenses are reasonable and necessary, and duly proven, so that the victims or their representatives who can demonstrate a lack of sufficient economic resources can attend a future hearing. </w:t>
      </w:r>
      <w:r w:rsidRPr="0055141A">
        <w:rPr>
          <w:rFonts w:ascii="Verdana" w:hAnsi="Verdana"/>
          <w:sz w:val="16"/>
          <w:szCs w:val="16"/>
        </w:rPr>
        <w:t>(Considering 16)</w:t>
      </w:r>
    </w:p>
    <w:p w:rsidR="00C909AE" w:rsidRPr="0055141A" w:rsidRDefault="00C909AE" w:rsidP="00C909AE">
      <w:pPr>
        <w:pStyle w:val="FootnoteText"/>
        <w:tabs>
          <w:tab w:val="left" w:pos="567"/>
        </w:tabs>
        <w:jc w:val="both"/>
        <w:rPr>
          <w:rFonts w:ascii="Verdana" w:eastAsia="Calibri" w:hAnsi="Verdana" w:cs="Verdana"/>
          <w:sz w:val="16"/>
          <w:szCs w:val="16"/>
        </w:rPr>
      </w:pPr>
    </w:p>
  </w:footnote>
  <w:footnote w:id="5">
    <w:p w:rsidR="00B8022D" w:rsidRPr="00F60D41" w:rsidRDefault="00B8022D" w:rsidP="006A2B59">
      <w:pPr>
        <w:pStyle w:val="FootnoteText"/>
        <w:jc w:val="both"/>
        <w:rPr>
          <w:rFonts w:ascii="Verdana" w:hAnsi="Verdana"/>
          <w:bCs/>
          <w:color w:val="000000"/>
          <w:sz w:val="16"/>
          <w:szCs w:val="16"/>
          <w:shd w:val="clear" w:color="auto" w:fill="FFFFFF"/>
          <w:lang w:val="en-US"/>
        </w:rPr>
      </w:pPr>
      <w:r w:rsidRPr="00F60D41">
        <w:rPr>
          <w:rStyle w:val="FootnoteReference"/>
          <w:rFonts w:ascii="Verdana" w:hAnsi="Verdana"/>
          <w:sz w:val="16"/>
          <w:szCs w:val="16"/>
        </w:rPr>
        <w:footnoteRef/>
      </w:r>
      <w:r w:rsidRPr="00F60D41">
        <w:rPr>
          <w:rFonts w:ascii="Verdana" w:hAnsi="Verdana"/>
          <w:sz w:val="16"/>
          <w:szCs w:val="16"/>
          <w:lang w:val="en-US"/>
        </w:rPr>
        <w:t xml:space="preserve"> </w:t>
      </w:r>
      <w:r w:rsidR="006A2B59" w:rsidRPr="00F60D41">
        <w:rPr>
          <w:rFonts w:ascii="Verdana" w:hAnsi="Verdana"/>
          <w:sz w:val="16"/>
          <w:szCs w:val="16"/>
          <w:lang w:val="en-US"/>
        </w:rPr>
        <w:tab/>
      </w:r>
      <w:proofErr w:type="gramStart"/>
      <w:r w:rsidR="00CA4788" w:rsidRPr="00F60D41">
        <w:rPr>
          <w:rStyle w:val="Strong"/>
          <w:rFonts w:ascii="Verdana" w:hAnsi="Verdana"/>
          <w:b w:val="0"/>
          <w:color w:val="000000"/>
          <w:sz w:val="16"/>
          <w:szCs w:val="16"/>
          <w:shd w:val="clear" w:color="auto" w:fill="FFFFFF"/>
          <w:lang w:val="en-US"/>
        </w:rPr>
        <w:t xml:space="preserve">Cf. </w:t>
      </w:r>
      <w:r w:rsidR="00CA4788" w:rsidRPr="00F60D41">
        <w:rPr>
          <w:rStyle w:val="Strong"/>
          <w:rFonts w:ascii="Verdana" w:hAnsi="Verdana"/>
          <w:b w:val="0"/>
          <w:i/>
          <w:color w:val="000000"/>
          <w:sz w:val="16"/>
          <w:szCs w:val="16"/>
          <w:shd w:val="clear" w:color="auto" w:fill="FFFFFF"/>
          <w:lang w:val="en-US"/>
        </w:rPr>
        <w:t xml:space="preserve">Case of the Miguel Castro </w:t>
      </w:r>
      <w:proofErr w:type="spellStart"/>
      <w:r w:rsidR="00CA4788" w:rsidRPr="00F60D41">
        <w:rPr>
          <w:rStyle w:val="Strong"/>
          <w:rFonts w:ascii="Verdana" w:hAnsi="Verdana"/>
          <w:b w:val="0"/>
          <w:i/>
          <w:color w:val="000000"/>
          <w:sz w:val="16"/>
          <w:szCs w:val="16"/>
          <w:shd w:val="clear" w:color="auto" w:fill="FFFFFF"/>
          <w:lang w:val="en-US"/>
        </w:rPr>
        <w:t>Castro</w:t>
      </w:r>
      <w:proofErr w:type="spellEnd"/>
      <w:r w:rsidR="00CA4788" w:rsidRPr="00F60D41">
        <w:rPr>
          <w:rStyle w:val="Strong"/>
          <w:rFonts w:ascii="Verdana" w:hAnsi="Verdana"/>
          <w:b w:val="0"/>
          <w:i/>
          <w:color w:val="000000"/>
          <w:sz w:val="16"/>
          <w:szCs w:val="16"/>
          <w:shd w:val="clear" w:color="auto" w:fill="FFFFFF"/>
          <w:lang w:val="en-US"/>
        </w:rPr>
        <w:t xml:space="preserve"> Prison v. Peru.</w:t>
      </w:r>
      <w:proofErr w:type="gramEnd"/>
      <w:r w:rsidR="00CA4788" w:rsidRPr="00F60D41">
        <w:rPr>
          <w:rStyle w:val="Strong"/>
          <w:rFonts w:ascii="Verdana" w:hAnsi="Verdana"/>
          <w:b w:val="0"/>
          <w:color w:val="000000"/>
          <w:sz w:val="16"/>
          <w:szCs w:val="16"/>
          <w:shd w:val="clear" w:color="auto" w:fill="FFFFFF"/>
          <w:lang w:val="en-US"/>
        </w:rPr>
        <w:t xml:space="preserve"> Order of the Acting President of Inter-American Court of Human Rights of July 29, 2013. Available in: </w:t>
      </w:r>
      <w:hyperlink r:id="rId2" w:history="1">
        <w:r w:rsidR="00CA4788" w:rsidRPr="00F60D41">
          <w:rPr>
            <w:rStyle w:val="Hyperlink"/>
            <w:sz w:val="16"/>
            <w:szCs w:val="16"/>
            <w:lang w:val="en-US"/>
          </w:rPr>
          <w:t>http://www.corteidh.or.cr/docs/asuntos/castro_fv_13_ing.pdf</w:t>
        </w:r>
      </w:hyperlink>
      <w:r w:rsidR="00CA4788" w:rsidRPr="00F60D41">
        <w:rPr>
          <w:rStyle w:val="Strong"/>
          <w:rFonts w:ascii="Verdana" w:hAnsi="Verdana"/>
          <w:b w:val="0"/>
          <w:color w:val="000000"/>
          <w:sz w:val="16"/>
          <w:szCs w:val="16"/>
          <w:shd w:val="clear" w:color="auto" w:fill="FFFFFF"/>
          <w:lang w:val="en-US"/>
        </w:rPr>
        <w:t xml:space="preserve"> and </w:t>
      </w:r>
      <w:r w:rsidR="00CA4788" w:rsidRPr="00F60D41">
        <w:rPr>
          <w:rStyle w:val="Strong"/>
          <w:rFonts w:ascii="Verdana" w:hAnsi="Verdana"/>
          <w:b w:val="0"/>
          <w:i/>
          <w:color w:val="000000"/>
          <w:sz w:val="16"/>
          <w:szCs w:val="16"/>
          <w:shd w:val="clear" w:color="auto" w:fill="FFFFFF"/>
          <w:lang w:val="en-US"/>
        </w:rPr>
        <w:t>Case of Barrios Family v. Venezuela.</w:t>
      </w:r>
      <w:r w:rsidR="00CA4788" w:rsidRPr="00F60D41">
        <w:rPr>
          <w:rStyle w:val="Strong"/>
          <w:rFonts w:ascii="Verdana" w:hAnsi="Verdana"/>
          <w:b w:val="0"/>
          <w:color w:val="000000"/>
          <w:sz w:val="16"/>
          <w:szCs w:val="16"/>
          <w:shd w:val="clear" w:color="auto" w:fill="FFFFFF"/>
          <w:lang w:val="en-US"/>
        </w:rPr>
        <w:t xml:space="preserve"> Victims' Legal Assistance Fund of January 09. Available in: </w:t>
      </w:r>
      <w:hyperlink r:id="rId3" w:history="1">
        <w:r w:rsidR="00CA4788" w:rsidRPr="00F60D41">
          <w:rPr>
            <w:rStyle w:val="Hyperlink"/>
            <w:rFonts w:ascii="Verdana" w:hAnsi="Verdana"/>
            <w:sz w:val="16"/>
            <w:szCs w:val="16"/>
            <w:shd w:val="clear" w:color="auto" w:fill="FFFFFF"/>
            <w:lang w:val="en-US"/>
          </w:rPr>
          <w:t>http://www.corteidh.or.cr/docs/asuntos/barrios_fv_15.pdf</w:t>
        </w:r>
      </w:hyperlink>
    </w:p>
  </w:footnote>
  <w:footnote w:id="6">
    <w:p w:rsidR="00885B9B" w:rsidRPr="00885B9B" w:rsidRDefault="00885B9B" w:rsidP="00885B9B">
      <w:pPr>
        <w:pStyle w:val="FootnoteText"/>
        <w:tabs>
          <w:tab w:val="left" w:pos="567"/>
        </w:tabs>
        <w:jc w:val="both"/>
        <w:rPr>
          <w:rFonts w:ascii="Verdana" w:hAnsi="Verdana"/>
          <w:sz w:val="16"/>
          <w:szCs w:val="16"/>
          <w:lang w:val="en-US"/>
        </w:rPr>
      </w:pPr>
      <w:r w:rsidRPr="00885B9B">
        <w:rPr>
          <w:rStyle w:val="FootnoteReference"/>
          <w:rFonts w:ascii="Verdana" w:hAnsi="Verdana"/>
          <w:sz w:val="16"/>
          <w:szCs w:val="16"/>
          <w:lang w:val="en-US"/>
        </w:rPr>
        <w:footnoteRef/>
      </w:r>
      <w:r w:rsidRPr="00885B9B">
        <w:rPr>
          <w:rFonts w:ascii="Verdana" w:hAnsi="Verdana"/>
          <w:sz w:val="16"/>
          <w:szCs w:val="16"/>
          <w:lang w:val="en-US"/>
        </w:rPr>
        <w:t xml:space="preserve"> </w:t>
      </w:r>
      <w:r w:rsidRPr="00885B9B">
        <w:rPr>
          <w:rFonts w:ascii="Verdana" w:hAnsi="Verdana"/>
          <w:sz w:val="16"/>
          <w:szCs w:val="16"/>
          <w:lang w:val="en-US"/>
        </w:rPr>
        <w:tab/>
      </w:r>
      <w:r>
        <w:rPr>
          <w:rFonts w:ascii="Verdana" w:hAnsi="Verdana"/>
          <w:sz w:val="16"/>
          <w:szCs w:val="16"/>
          <w:lang w:val="en-US"/>
        </w:rPr>
        <w:t>T</w:t>
      </w:r>
      <w:r w:rsidRPr="00885B9B">
        <w:rPr>
          <w:rFonts w:ascii="Verdana" w:hAnsi="Verdana"/>
          <w:sz w:val="16"/>
          <w:szCs w:val="16"/>
          <w:lang w:val="en-US"/>
        </w:rPr>
        <w:t xml:space="preserve">he rules and the funds available from the Victims’ Assistance Fund are aimed at covering expenses that could arise during the litigation of the merits and possible reparations and costs in contentious cases before the Court pending a decision, with priority given to expenses related to an effective appearance and presentation of evidence at the hearings before the Court. </w:t>
      </w:r>
      <w:proofErr w:type="gramStart"/>
      <w:r w:rsidRPr="00885B9B">
        <w:rPr>
          <w:rFonts w:ascii="Verdana" w:hAnsi="Verdana"/>
          <w:i/>
          <w:iCs/>
          <w:sz w:val="16"/>
          <w:szCs w:val="16"/>
          <w:lang w:val="en-US"/>
        </w:rPr>
        <w:t xml:space="preserve">Cf. Case of the Miguel Castro </w:t>
      </w:r>
      <w:proofErr w:type="spellStart"/>
      <w:r w:rsidRPr="00885B9B">
        <w:rPr>
          <w:rFonts w:ascii="Verdana" w:hAnsi="Verdana"/>
          <w:i/>
          <w:iCs/>
          <w:sz w:val="16"/>
          <w:szCs w:val="16"/>
          <w:lang w:val="en-US"/>
        </w:rPr>
        <w:t>Castro</w:t>
      </w:r>
      <w:proofErr w:type="spellEnd"/>
      <w:r w:rsidRPr="00885B9B">
        <w:rPr>
          <w:rFonts w:ascii="Verdana" w:hAnsi="Verdana"/>
          <w:i/>
          <w:iCs/>
          <w:sz w:val="16"/>
          <w:szCs w:val="16"/>
          <w:lang w:val="en-US"/>
        </w:rPr>
        <w:t xml:space="preserve"> Prison v. Peru</w:t>
      </w:r>
      <w:r w:rsidRPr="00885B9B">
        <w:rPr>
          <w:rFonts w:ascii="Verdana" w:hAnsi="Verdana"/>
          <w:sz w:val="16"/>
          <w:szCs w:val="16"/>
          <w:lang w:val="en-US"/>
        </w:rPr>
        <w:t>.</w:t>
      </w:r>
      <w:proofErr w:type="gramEnd"/>
      <w:r w:rsidRPr="00885B9B">
        <w:rPr>
          <w:rFonts w:ascii="Verdana" w:hAnsi="Verdana"/>
          <w:sz w:val="16"/>
          <w:szCs w:val="16"/>
          <w:lang w:val="en-US"/>
        </w:rPr>
        <w:t xml:space="preserve"> Order of the Inter-American Court of Human Rights of September 2, 2010, </w:t>
      </w:r>
      <w:proofErr w:type="gramStart"/>
      <w:r w:rsidRPr="00885B9B">
        <w:rPr>
          <w:rFonts w:ascii="Verdana" w:hAnsi="Verdana"/>
          <w:sz w:val="16"/>
          <w:szCs w:val="16"/>
          <w:lang w:val="en-US"/>
        </w:rPr>
        <w:t>Considering</w:t>
      </w:r>
      <w:proofErr w:type="gramEnd"/>
      <w:r w:rsidRPr="00885B9B">
        <w:rPr>
          <w:rFonts w:ascii="Verdana" w:hAnsi="Verdana"/>
          <w:sz w:val="16"/>
          <w:szCs w:val="16"/>
          <w:lang w:val="en-US"/>
        </w:rPr>
        <w:t xml:space="preserve"> para. </w:t>
      </w:r>
      <w:proofErr w:type="gramStart"/>
      <w:r w:rsidRPr="00885B9B">
        <w:rPr>
          <w:rFonts w:ascii="Verdana" w:hAnsi="Verdana"/>
          <w:sz w:val="16"/>
          <w:szCs w:val="16"/>
          <w:lang w:val="en-US"/>
        </w:rPr>
        <w:t>15 and</w:t>
      </w:r>
      <w:r w:rsidRPr="00885B9B">
        <w:rPr>
          <w:rFonts w:ascii="Verdana" w:hAnsi="Verdana"/>
          <w:b/>
          <w:sz w:val="16"/>
          <w:szCs w:val="16"/>
          <w:lang w:val="en-US"/>
        </w:rPr>
        <w:t xml:space="preserve"> </w:t>
      </w:r>
      <w:r w:rsidRPr="00885B9B">
        <w:rPr>
          <w:rStyle w:val="Strong"/>
          <w:rFonts w:ascii="Verdana" w:hAnsi="Verdana"/>
          <w:b w:val="0"/>
          <w:i/>
          <w:color w:val="000000"/>
          <w:sz w:val="16"/>
          <w:szCs w:val="16"/>
          <w:shd w:val="clear" w:color="auto" w:fill="FFFFFF"/>
          <w:lang w:val="en-US"/>
        </w:rPr>
        <w:t xml:space="preserve">Case of the Miguel Castro </w:t>
      </w:r>
      <w:proofErr w:type="spellStart"/>
      <w:r w:rsidRPr="00885B9B">
        <w:rPr>
          <w:rStyle w:val="Strong"/>
          <w:rFonts w:ascii="Verdana" w:hAnsi="Verdana"/>
          <w:b w:val="0"/>
          <w:i/>
          <w:color w:val="000000"/>
          <w:sz w:val="16"/>
          <w:szCs w:val="16"/>
          <w:shd w:val="clear" w:color="auto" w:fill="FFFFFF"/>
          <w:lang w:val="en-US"/>
        </w:rPr>
        <w:t>Castro</w:t>
      </w:r>
      <w:proofErr w:type="spellEnd"/>
      <w:r w:rsidRPr="00885B9B">
        <w:rPr>
          <w:rStyle w:val="Strong"/>
          <w:rFonts w:ascii="Verdana" w:hAnsi="Verdana"/>
          <w:b w:val="0"/>
          <w:i/>
          <w:color w:val="000000"/>
          <w:sz w:val="16"/>
          <w:szCs w:val="16"/>
          <w:shd w:val="clear" w:color="auto" w:fill="FFFFFF"/>
          <w:lang w:val="en-US"/>
        </w:rPr>
        <w:t xml:space="preserve"> Prison v. Peru</w:t>
      </w:r>
      <w:r w:rsidRPr="00885B9B">
        <w:rPr>
          <w:rStyle w:val="Strong"/>
          <w:rFonts w:ascii="Verdana" w:hAnsi="Verdana"/>
          <w:b w:val="0"/>
          <w:color w:val="000000"/>
          <w:sz w:val="16"/>
          <w:szCs w:val="16"/>
          <w:shd w:val="clear" w:color="auto" w:fill="FFFFFF"/>
          <w:lang w:val="en-US"/>
        </w:rPr>
        <w:t>.</w:t>
      </w:r>
      <w:proofErr w:type="gramEnd"/>
      <w:r w:rsidR="00E94C8A">
        <w:rPr>
          <w:rStyle w:val="Strong"/>
          <w:rFonts w:ascii="Verdana" w:hAnsi="Verdana"/>
          <w:b w:val="0"/>
          <w:color w:val="000000"/>
          <w:sz w:val="16"/>
          <w:szCs w:val="16"/>
          <w:shd w:val="clear" w:color="auto" w:fill="FFFFFF"/>
          <w:lang w:val="en-US"/>
        </w:rPr>
        <w:t xml:space="preserve"> </w:t>
      </w:r>
      <w:proofErr w:type="gramStart"/>
      <w:r w:rsidR="00E94C8A" w:rsidRPr="00885B9B">
        <w:rPr>
          <w:rStyle w:val="Strong"/>
          <w:rFonts w:ascii="Verdana" w:hAnsi="Verdana"/>
          <w:b w:val="0"/>
          <w:color w:val="000000"/>
          <w:sz w:val="16"/>
          <w:szCs w:val="16"/>
          <w:shd w:val="clear" w:color="auto" w:fill="FFFFFF"/>
          <w:lang w:val="en-US"/>
        </w:rPr>
        <w:t>Order of the Acting President of Inter-American Court of Human Rights.</w:t>
      </w:r>
      <w:proofErr w:type="gramEnd"/>
      <w:r w:rsidRPr="00885B9B">
        <w:rPr>
          <w:rStyle w:val="Strong"/>
          <w:rFonts w:ascii="Verdana" w:hAnsi="Verdana"/>
          <w:b w:val="0"/>
          <w:color w:val="000000"/>
          <w:sz w:val="16"/>
          <w:szCs w:val="16"/>
          <w:shd w:val="clear" w:color="auto" w:fill="FFFFFF"/>
          <w:lang w:val="en-US"/>
        </w:rPr>
        <w:t xml:space="preserve"> </w:t>
      </w:r>
      <w:proofErr w:type="gramStart"/>
      <w:r w:rsidRPr="00885B9B">
        <w:rPr>
          <w:rStyle w:val="Strong"/>
          <w:rFonts w:ascii="Verdana" w:hAnsi="Verdana"/>
          <w:b w:val="0"/>
          <w:color w:val="000000"/>
          <w:sz w:val="16"/>
          <w:szCs w:val="16"/>
          <w:shd w:val="clear" w:color="auto" w:fill="FFFFFF"/>
          <w:lang w:val="en-US"/>
        </w:rPr>
        <w:t>considering</w:t>
      </w:r>
      <w:proofErr w:type="gramEnd"/>
      <w:r w:rsidRPr="00885B9B">
        <w:rPr>
          <w:rStyle w:val="Strong"/>
          <w:rFonts w:ascii="Verdana" w:hAnsi="Verdana"/>
          <w:b w:val="0"/>
          <w:color w:val="000000"/>
          <w:sz w:val="16"/>
          <w:szCs w:val="16"/>
          <w:shd w:val="clear" w:color="auto" w:fill="FFFFFF"/>
          <w:lang w:val="en-US"/>
        </w:rPr>
        <w:t xml:space="preserve"> 8.</w:t>
      </w:r>
      <w:r w:rsidRPr="00885B9B">
        <w:rPr>
          <w:rStyle w:val="Strong"/>
          <w:rFonts w:ascii="Verdana" w:hAnsi="Verdana"/>
          <w:color w:val="000000"/>
          <w:sz w:val="16"/>
          <w:szCs w:val="16"/>
          <w:shd w:val="clear" w:color="auto" w:fill="FFFFFF"/>
          <w:lang w:val="en-US"/>
        </w:rPr>
        <w:t xml:space="preserve"> </w:t>
      </w:r>
    </w:p>
  </w:footnote>
  <w:footnote w:id="7">
    <w:p w:rsidR="008D4109" w:rsidRPr="00FB53D8" w:rsidRDefault="008D4109" w:rsidP="008D4109">
      <w:pPr>
        <w:pStyle w:val="FootnoteText"/>
        <w:tabs>
          <w:tab w:val="left" w:pos="567"/>
        </w:tabs>
        <w:jc w:val="both"/>
        <w:rPr>
          <w:rFonts w:ascii="Verdana" w:hAnsi="Verdana"/>
          <w:sz w:val="16"/>
          <w:szCs w:val="16"/>
          <w:lang w:val="en-US"/>
        </w:rPr>
      </w:pPr>
      <w:r w:rsidRPr="008D4109">
        <w:rPr>
          <w:rStyle w:val="FootnoteReference"/>
          <w:rFonts w:ascii="Verdana" w:hAnsi="Verdana"/>
          <w:sz w:val="16"/>
          <w:szCs w:val="16"/>
          <w:lang w:val="en-US"/>
        </w:rPr>
        <w:footnoteRef/>
      </w:r>
      <w:r w:rsidRPr="008D4109">
        <w:rPr>
          <w:rFonts w:ascii="Verdana" w:hAnsi="Verdana"/>
          <w:sz w:val="16"/>
          <w:szCs w:val="16"/>
          <w:lang w:val="en-US"/>
        </w:rPr>
        <w:t xml:space="preserve"> </w:t>
      </w:r>
      <w:r w:rsidRPr="008D4109">
        <w:rPr>
          <w:rFonts w:ascii="Verdana" w:hAnsi="Verdana"/>
          <w:sz w:val="16"/>
          <w:szCs w:val="16"/>
          <w:lang w:val="en-US"/>
        </w:rPr>
        <w:tab/>
        <w:t xml:space="preserve">The financing of the Assistance Fund of the Inter-American System depends on </w:t>
      </w:r>
      <w:r w:rsidRPr="008D4109">
        <w:rPr>
          <w:rFonts w:ascii="Verdana" w:hAnsi="Verdana" w:cs="Arial"/>
          <w:color w:val="000000"/>
          <w:sz w:val="16"/>
          <w:szCs w:val="16"/>
          <w:lang w:val="en-US"/>
        </w:rPr>
        <w:t>“[v]</w:t>
      </w:r>
      <w:proofErr w:type="spellStart"/>
      <w:r w:rsidRPr="008D4109">
        <w:rPr>
          <w:rFonts w:ascii="Verdana" w:hAnsi="Verdana" w:cs="Arial"/>
          <w:color w:val="000000"/>
          <w:sz w:val="16"/>
          <w:szCs w:val="16"/>
          <w:lang w:val="en-US"/>
        </w:rPr>
        <w:t>oluntary</w:t>
      </w:r>
      <w:proofErr w:type="spellEnd"/>
      <w:r w:rsidRPr="008D4109">
        <w:rPr>
          <w:rFonts w:ascii="Verdana" w:hAnsi="Verdana" w:cs="Arial"/>
          <w:color w:val="000000"/>
          <w:sz w:val="16"/>
          <w:szCs w:val="16"/>
          <w:lang w:val="en-US"/>
        </w:rPr>
        <w:t xml:space="preserve"> capital contributions from the member states of the OAS, the permanent observer states, and other states and donors that may wish to collaborate with the Fund”. </w:t>
      </w:r>
      <w:r w:rsidRPr="008D4109">
        <w:rPr>
          <w:rFonts w:ascii="Verdana" w:hAnsi="Verdana"/>
          <w:i/>
          <w:iCs/>
          <w:sz w:val="16"/>
          <w:szCs w:val="16"/>
          <w:lang w:val="en-US"/>
        </w:rPr>
        <w:t xml:space="preserve">Cf. </w:t>
      </w:r>
      <w:r w:rsidRPr="008D4109">
        <w:rPr>
          <w:rFonts w:ascii="Verdana" w:hAnsi="Verdana"/>
          <w:sz w:val="16"/>
          <w:szCs w:val="16"/>
          <w:lang w:val="en-US"/>
        </w:rPr>
        <w:t xml:space="preserve">Resolution CP/RES. 963 (1728/09), </w:t>
      </w:r>
      <w:r w:rsidRPr="008D4109">
        <w:rPr>
          <w:rFonts w:ascii="Verdana" w:hAnsi="Verdana"/>
          <w:i/>
          <w:iCs/>
          <w:sz w:val="16"/>
          <w:szCs w:val="16"/>
          <w:lang w:val="en-US"/>
        </w:rPr>
        <w:t xml:space="preserve">supra </w:t>
      </w:r>
      <w:r w:rsidR="00AB7A9A">
        <w:rPr>
          <w:rFonts w:ascii="Verdana" w:hAnsi="Verdana"/>
          <w:sz w:val="16"/>
          <w:szCs w:val="16"/>
          <w:lang w:val="en-US"/>
        </w:rPr>
        <w:t>note</w:t>
      </w:r>
      <w:r w:rsidRPr="008D4109">
        <w:rPr>
          <w:rFonts w:ascii="Verdana" w:hAnsi="Verdana"/>
          <w:sz w:val="16"/>
          <w:szCs w:val="16"/>
          <w:lang w:val="en-US"/>
        </w:rPr>
        <w:t xml:space="preserve">, Article 2(1).  </w:t>
      </w:r>
    </w:p>
  </w:footnote>
  <w:footnote w:id="8">
    <w:p w:rsidR="00EF09EA" w:rsidRPr="00EF09EA" w:rsidRDefault="00EF09EA" w:rsidP="00EF09EA">
      <w:pPr>
        <w:pStyle w:val="Default"/>
        <w:tabs>
          <w:tab w:val="left" w:pos="567"/>
        </w:tabs>
        <w:jc w:val="both"/>
        <w:rPr>
          <w:sz w:val="16"/>
          <w:szCs w:val="16"/>
          <w:lang w:val="en-US"/>
        </w:rPr>
      </w:pPr>
      <w:r w:rsidRPr="00EF09EA">
        <w:rPr>
          <w:rStyle w:val="FootnoteReference"/>
          <w:sz w:val="16"/>
          <w:szCs w:val="16"/>
        </w:rPr>
        <w:footnoteRef/>
      </w:r>
      <w:r w:rsidRPr="00EF09EA">
        <w:rPr>
          <w:sz w:val="16"/>
          <w:szCs w:val="16"/>
          <w:lang w:val="en-US"/>
        </w:rPr>
        <w:t xml:space="preserve"> </w:t>
      </w:r>
      <w:r w:rsidRPr="00EF09EA">
        <w:rPr>
          <w:sz w:val="16"/>
          <w:szCs w:val="16"/>
          <w:lang w:val="en-US"/>
        </w:rPr>
        <w:tab/>
      </w:r>
      <w:r>
        <w:rPr>
          <w:sz w:val="16"/>
          <w:szCs w:val="16"/>
          <w:lang w:val="en-US"/>
        </w:rPr>
        <w:t xml:space="preserve">Establishes that </w:t>
      </w:r>
      <w:r w:rsidRPr="00EF09EA">
        <w:rPr>
          <w:sz w:val="16"/>
          <w:szCs w:val="16"/>
          <w:lang w:val="en-US"/>
        </w:rPr>
        <w:t>alleged victims wishing to have access to the Fund must follow three steps: 1) request assistance in the brief containing pleadings, motions and evidence; 2) demonstrate, by means of a sworn affidavit and other probative evidence that will satisfy the Court, that they lack the financial resources needed to cover the cost of litigation before the Inter-American Court, and 3) state precisely the aspects of their participation in the proceedings that require the use of resources of the Court’s Legal Assistance Fund.</w:t>
      </w:r>
    </w:p>
  </w:footnote>
  <w:footnote w:id="9">
    <w:p w:rsidR="002910D9" w:rsidRPr="00FB53D8" w:rsidRDefault="002910D9" w:rsidP="00FB53D8">
      <w:pPr>
        <w:pStyle w:val="FootnoteText"/>
        <w:tabs>
          <w:tab w:val="left" w:pos="567"/>
        </w:tabs>
        <w:jc w:val="both"/>
        <w:rPr>
          <w:rFonts w:ascii="Verdana" w:hAnsi="Verdana"/>
          <w:sz w:val="16"/>
          <w:szCs w:val="16"/>
          <w:lang w:val="en-US"/>
        </w:rPr>
      </w:pPr>
      <w:r w:rsidRPr="00FB53D8">
        <w:rPr>
          <w:rStyle w:val="FootnoteReference"/>
          <w:rFonts w:ascii="Verdana" w:hAnsi="Verdana"/>
          <w:sz w:val="16"/>
          <w:szCs w:val="16"/>
          <w:lang w:val="en-US"/>
        </w:rPr>
        <w:footnoteRef/>
      </w:r>
      <w:r w:rsidRPr="00FB53D8">
        <w:rPr>
          <w:rFonts w:ascii="Verdana" w:hAnsi="Verdana"/>
          <w:sz w:val="16"/>
          <w:szCs w:val="16"/>
          <w:lang w:val="en-US"/>
        </w:rPr>
        <w:t xml:space="preserve"> </w:t>
      </w:r>
      <w:r w:rsidR="00FB53D8">
        <w:rPr>
          <w:rFonts w:ascii="Verdana" w:hAnsi="Verdana"/>
          <w:sz w:val="16"/>
          <w:szCs w:val="16"/>
          <w:lang w:val="en-US"/>
        </w:rPr>
        <w:tab/>
      </w:r>
      <w:r w:rsidRPr="00FB53D8">
        <w:rPr>
          <w:rFonts w:ascii="Verdana" w:hAnsi="Verdana"/>
          <w:sz w:val="16"/>
          <w:szCs w:val="16"/>
          <w:lang w:val="en-US"/>
        </w:rPr>
        <w:t>In accordance with the evidence filed by the represent</w:t>
      </w:r>
      <w:r w:rsidR="003A71EF">
        <w:rPr>
          <w:rFonts w:ascii="Verdana" w:hAnsi="Verdana"/>
          <w:sz w:val="16"/>
          <w:szCs w:val="16"/>
          <w:lang w:val="en-US"/>
        </w:rPr>
        <w:t xml:space="preserve">atives of the victims, when </w:t>
      </w:r>
      <w:r w:rsidRPr="00FB53D8">
        <w:rPr>
          <w:rFonts w:ascii="Verdana" w:hAnsi="Verdana"/>
          <w:sz w:val="16"/>
          <w:szCs w:val="16"/>
          <w:lang w:val="en-US"/>
        </w:rPr>
        <w:t>Mr. Pilgrim</w:t>
      </w:r>
      <w:r w:rsidR="00785048" w:rsidRPr="00FB53D8">
        <w:rPr>
          <w:rFonts w:ascii="Verdana" w:hAnsi="Verdana"/>
          <w:sz w:val="16"/>
          <w:szCs w:val="16"/>
          <w:lang w:val="en-US"/>
        </w:rPr>
        <w:t>’</w:t>
      </w:r>
      <w:r w:rsidRPr="00FB53D8">
        <w:rPr>
          <w:rFonts w:ascii="Verdana" w:hAnsi="Verdana"/>
          <w:sz w:val="16"/>
          <w:szCs w:val="16"/>
          <w:lang w:val="en-US"/>
        </w:rPr>
        <w:t xml:space="preserve">s flight was cancelled the airline did not reimburse him any of the money. </w:t>
      </w:r>
      <w:proofErr w:type="gramStart"/>
      <w:r w:rsidRPr="00FB53D8">
        <w:rPr>
          <w:rFonts w:ascii="Verdana" w:hAnsi="Verdana"/>
          <w:sz w:val="16"/>
          <w:szCs w:val="16"/>
          <w:lang w:val="en-US"/>
        </w:rPr>
        <w:t xml:space="preserve">As for Mr. </w:t>
      </w:r>
      <w:proofErr w:type="spellStart"/>
      <w:r w:rsidRPr="00FB53D8">
        <w:rPr>
          <w:rFonts w:ascii="Verdana" w:hAnsi="Verdana"/>
          <w:sz w:val="16"/>
          <w:szCs w:val="16"/>
          <w:lang w:val="en-US"/>
        </w:rPr>
        <w:t>Lehrfreund´s</w:t>
      </w:r>
      <w:proofErr w:type="spellEnd"/>
      <w:r w:rsidRPr="00FB53D8">
        <w:rPr>
          <w:rFonts w:ascii="Verdana" w:hAnsi="Verdana"/>
          <w:sz w:val="16"/>
          <w:szCs w:val="16"/>
          <w:lang w:val="en-US"/>
        </w:rPr>
        <w:t xml:space="preserve"> flight, the airline reimburse</w:t>
      </w:r>
      <w:r w:rsidR="00785048" w:rsidRPr="00FB53D8">
        <w:rPr>
          <w:rFonts w:ascii="Verdana" w:hAnsi="Verdana"/>
          <w:sz w:val="16"/>
          <w:szCs w:val="16"/>
          <w:lang w:val="en-US"/>
        </w:rPr>
        <w:t>d</w:t>
      </w:r>
      <w:r w:rsidRPr="00FB53D8">
        <w:rPr>
          <w:rFonts w:ascii="Verdana" w:hAnsi="Verdana"/>
          <w:sz w:val="16"/>
          <w:szCs w:val="16"/>
          <w:lang w:val="en-US"/>
        </w:rPr>
        <w:t xml:space="preserve"> him some of the money, </w:t>
      </w:r>
      <w:r w:rsidR="00785048" w:rsidRPr="00FB53D8">
        <w:rPr>
          <w:rFonts w:ascii="Verdana" w:hAnsi="Verdana"/>
          <w:sz w:val="16"/>
          <w:szCs w:val="16"/>
          <w:lang w:val="en-US"/>
        </w:rPr>
        <w:t>but</w:t>
      </w:r>
      <w:r w:rsidRPr="00FB53D8">
        <w:rPr>
          <w:rFonts w:ascii="Verdana" w:hAnsi="Verdana"/>
          <w:sz w:val="16"/>
          <w:szCs w:val="16"/>
          <w:lang w:val="en-US"/>
        </w:rPr>
        <w:t xml:space="preserve"> did charge a cancelation fee.</w:t>
      </w:r>
      <w:proofErr w:type="gramEnd"/>
      <w:r w:rsidRPr="00FB53D8">
        <w:rPr>
          <w:rFonts w:ascii="Verdana" w:hAnsi="Verdana"/>
          <w:sz w:val="16"/>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85811"/>
      <w:docPartObj>
        <w:docPartGallery w:val="Page Numbers (Top of Page)"/>
        <w:docPartUnique/>
      </w:docPartObj>
    </w:sdtPr>
    <w:sdtEndPr/>
    <w:sdtContent>
      <w:p w:rsidR="002910D9" w:rsidRDefault="002910D9">
        <w:pPr>
          <w:pStyle w:val="Header"/>
          <w:jc w:val="center"/>
        </w:pPr>
        <w:r>
          <w:t>-</w:t>
        </w:r>
        <w:r w:rsidR="00D5410B">
          <w:fldChar w:fldCharType="begin"/>
        </w:r>
        <w:r w:rsidR="00D5410B">
          <w:instrText>PAGE   \* MERGEFORMAT</w:instrText>
        </w:r>
        <w:r w:rsidR="00D5410B">
          <w:fldChar w:fldCharType="separate"/>
        </w:r>
        <w:r w:rsidR="008B6AE3" w:rsidRPr="008B6AE3">
          <w:rPr>
            <w:noProof/>
            <w:lang w:val="es-ES"/>
          </w:rPr>
          <w:t>5</w:t>
        </w:r>
        <w:r w:rsidR="00D5410B">
          <w:rPr>
            <w:noProof/>
            <w:lang w:val="es-ES"/>
          </w:rPr>
          <w:fldChar w:fldCharType="end"/>
        </w:r>
        <w:r>
          <w:t>-</w:t>
        </w:r>
      </w:p>
    </w:sdtContent>
  </w:sdt>
  <w:p w:rsidR="002910D9" w:rsidRDefault="00291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16172"/>
    <w:multiLevelType w:val="hybridMultilevel"/>
    <w:tmpl w:val="246454A2"/>
    <w:lvl w:ilvl="0" w:tplc="1B3AF290">
      <w:start w:val="1"/>
      <w:numFmt w:val="decimal"/>
      <w:lvlText w:val="%1."/>
      <w:lvlJc w:val="left"/>
      <w:pPr>
        <w:ind w:left="502" w:hanging="360"/>
      </w:pPr>
      <w:rPr>
        <w:rFonts w:hint="default"/>
        <w:b w:val="0"/>
        <w:sz w:val="20"/>
      </w:rPr>
    </w:lvl>
    <w:lvl w:ilvl="1" w:tplc="140A0019" w:tentative="1">
      <w:start w:val="1"/>
      <w:numFmt w:val="lowerLetter"/>
      <w:lvlText w:val="%2."/>
      <w:lvlJc w:val="left"/>
      <w:pPr>
        <w:ind w:left="938" w:hanging="360"/>
      </w:pPr>
    </w:lvl>
    <w:lvl w:ilvl="2" w:tplc="140A001B" w:tentative="1">
      <w:start w:val="1"/>
      <w:numFmt w:val="lowerRoman"/>
      <w:lvlText w:val="%3."/>
      <w:lvlJc w:val="right"/>
      <w:pPr>
        <w:ind w:left="1658" w:hanging="180"/>
      </w:pPr>
    </w:lvl>
    <w:lvl w:ilvl="3" w:tplc="140A000F" w:tentative="1">
      <w:start w:val="1"/>
      <w:numFmt w:val="decimal"/>
      <w:lvlText w:val="%4."/>
      <w:lvlJc w:val="left"/>
      <w:pPr>
        <w:ind w:left="2378" w:hanging="360"/>
      </w:pPr>
    </w:lvl>
    <w:lvl w:ilvl="4" w:tplc="140A0019" w:tentative="1">
      <w:start w:val="1"/>
      <w:numFmt w:val="lowerLetter"/>
      <w:lvlText w:val="%5."/>
      <w:lvlJc w:val="left"/>
      <w:pPr>
        <w:ind w:left="3098" w:hanging="360"/>
      </w:pPr>
    </w:lvl>
    <w:lvl w:ilvl="5" w:tplc="140A001B" w:tentative="1">
      <w:start w:val="1"/>
      <w:numFmt w:val="lowerRoman"/>
      <w:lvlText w:val="%6."/>
      <w:lvlJc w:val="right"/>
      <w:pPr>
        <w:ind w:left="3818" w:hanging="180"/>
      </w:pPr>
    </w:lvl>
    <w:lvl w:ilvl="6" w:tplc="140A000F" w:tentative="1">
      <w:start w:val="1"/>
      <w:numFmt w:val="decimal"/>
      <w:lvlText w:val="%7."/>
      <w:lvlJc w:val="left"/>
      <w:pPr>
        <w:ind w:left="4538" w:hanging="360"/>
      </w:pPr>
    </w:lvl>
    <w:lvl w:ilvl="7" w:tplc="140A0019" w:tentative="1">
      <w:start w:val="1"/>
      <w:numFmt w:val="lowerLetter"/>
      <w:lvlText w:val="%8."/>
      <w:lvlJc w:val="left"/>
      <w:pPr>
        <w:ind w:left="5258" w:hanging="360"/>
      </w:pPr>
    </w:lvl>
    <w:lvl w:ilvl="8" w:tplc="140A001B" w:tentative="1">
      <w:start w:val="1"/>
      <w:numFmt w:val="lowerRoman"/>
      <w:lvlText w:val="%9."/>
      <w:lvlJc w:val="right"/>
      <w:pPr>
        <w:ind w:left="5978" w:hanging="180"/>
      </w:pPr>
    </w:lvl>
  </w:abstractNum>
  <w:abstractNum w:abstractNumId="1">
    <w:nsid w:val="566A64A2"/>
    <w:multiLevelType w:val="hybridMultilevel"/>
    <w:tmpl w:val="323A30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61B940A7"/>
    <w:multiLevelType w:val="hybridMultilevel"/>
    <w:tmpl w:val="6E0C2C7A"/>
    <w:lvl w:ilvl="0" w:tplc="E8720E6E">
      <w:start w:val="1"/>
      <w:numFmt w:val="decimal"/>
      <w:lvlText w:val="%1."/>
      <w:lvlJc w:val="left"/>
      <w:pPr>
        <w:ind w:left="786"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F5"/>
    <w:rsid w:val="00005B6A"/>
    <w:rsid w:val="00065239"/>
    <w:rsid w:val="00074E74"/>
    <w:rsid w:val="00092C8F"/>
    <w:rsid w:val="000D02DE"/>
    <w:rsid w:val="00123367"/>
    <w:rsid w:val="001426D6"/>
    <w:rsid w:val="0015501E"/>
    <w:rsid w:val="00180823"/>
    <w:rsid w:val="001A076D"/>
    <w:rsid w:val="001B7A0C"/>
    <w:rsid w:val="001D5152"/>
    <w:rsid w:val="001E094F"/>
    <w:rsid w:val="001E3AB9"/>
    <w:rsid w:val="00201C9E"/>
    <w:rsid w:val="002075B6"/>
    <w:rsid w:val="0021163D"/>
    <w:rsid w:val="00222E1A"/>
    <w:rsid w:val="002338D5"/>
    <w:rsid w:val="00256C2A"/>
    <w:rsid w:val="002676F7"/>
    <w:rsid w:val="002910D9"/>
    <w:rsid w:val="002B7C32"/>
    <w:rsid w:val="002C3C50"/>
    <w:rsid w:val="002C544D"/>
    <w:rsid w:val="0030552A"/>
    <w:rsid w:val="00332025"/>
    <w:rsid w:val="003336E9"/>
    <w:rsid w:val="00333AB1"/>
    <w:rsid w:val="00333C96"/>
    <w:rsid w:val="00353E5C"/>
    <w:rsid w:val="00363A6B"/>
    <w:rsid w:val="00386B33"/>
    <w:rsid w:val="0039569E"/>
    <w:rsid w:val="003A71EF"/>
    <w:rsid w:val="003B2F31"/>
    <w:rsid w:val="00400739"/>
    <w:rsid w:val="00405CB7"/>
    <w:rsid w:val="004639BA"/>
    <w:rsid w:val="00467B13"/>
    <w:rsid w:val="004B7486"/>
    <w:rsid w:val="004C0A0F"/>
    <w:rsid w:val="00505598"/>
    <w:rsid w:val="00513F3A"/>
    <w:rsid w:val="0055141A"/>
    <w:rsid w:val="005676DD"/>
    <w:rsid w:val="00577539"/>
    <w:rsid w:val="00587ADA"/>
    <w:rsid w:val="005926D5"/>
    <w:rsid w:val="00593DE6"/>
    <w:rsid w:val="005B64B9"/>
    <w:rsid w:val="005E55D9"/>
    <w:rsid w:val="00600CF5"/>
    <w:rsid w:val="00601B1D"/>
    <w:rsid w:val="00631EE2"/>
    <w:rsid w:val="00682133"/>
    <w:rsid w:val="0068261B"/>
    <w:rsid w:val="006833B9"/>
    <w:rsid w:val="006A2B59"/>
    <w:rsid w:val="006A53A9"/>
    <w:rsid w:val="006B391A"/>
    <w:rsid w:val="006B6580"/>
    <w:rsid w:val="006C6458"/>
    <w:rsid w:val="006C7D90"/>
    <w:rsid w:val="006F1433"/>
    <w:rsid w:val="006F758D"/>
    <w:rsid w:val="007040B8"/>
    <w:rsid w:val="007100C8"/>
    <w:rsid w:val="007311CC"/>
    <w:rsid w:val="0074362E"/>
    <w:rsid w:val="00744505"/>
    <w:rsid w:val="007526E6"/>
    <w:rsid w:val="007757B8"/>
    <w:rsid w:val="00782473"/>
    <w:rsid w:val="00785048"/>
    <w:rsid w:val="007A547B"/>
    <w:rsid w:val="007E53C1"/>
    <w:rsid w:val="007F5C6B"/>
    <w:rsid w:val="00807C51"/>
    <w:rsid w:val="00807CBD"/>
    <w:rsid w:val="00814C2E"/>
    <w:rsid w:val="008352CD"/>
    <w:rsid w:val="00862D68"/>
    <w:rsid w:val="00877311"/>
    <w:rsid w:val="00885B9B"/>
    <w:rsid w:val="008A62C7"/>
    <w:rsid w:val="008B44DF"/>
    <w:rsid w:val="008B6AE3"/>
    <w:rsid w:val="008C4FC0"/>
    <w:rsid w:val="008D4109"/>
    <w:rsid w:val="008D78FC"/>
    <w:rsid w:val="008F4111"/>
    <w:rsid w:val="0091201A"/>
    <w:rsid w:val="0091407C"/>
    <w:rsid w:val="0097646A"/>
    <w:rsid w:val="009A1390"/>
    <w:rsid w:val="009B007C"/>
    <w:rsid w:val="00A10977"/>
    <w:rsid w:val="00A120ED"/>
    <w:rsid w:val="00A15480"/>
    <w:rsid w:val="00A47A7C"/>
    <w:rsid w:val="00A65CC3"/>
    <w:rsid w:val="00A737E6"/>
    <w:rsid w:val="00AA2A19"/>
    <w:rsid w:val="00AB4605"/>
    <w:rsid w:val="00AB7A9A"/>
    <w:rsid w:val="00B00F0F"/>
    <w:rsid w:val="00B04815"/>
    <w:rsid w:val="00B42DEC"/>
    <w:rsid w:val="00B44D57"/>
    <w:rsid w:val="00B553B8"/>
    <w:rsid w:val="00B76372"/>
    <w:rsid w:val="00B76A5C"/>
    <w:rsid w:val="00B8022D"/>
    <w:rsid w:val="00B82515"/>
    <w:rsid w:val="00B90F0F"/>
    <w:rsid w:val="00BA3489"/>
    <w:rsid w:val="00BA357A"/>
    <w:rsid w:val="00C01773"/>
    <w:rsid w:val="00C02076"/>
    <w:rsid w:val="00C054AD"/>
    <w:rsid w:val="00C177FB"/>
    <w:rsid w:val="00C3722F"/>
    <w:rsid w:val="00C533B8"/>
    <w:rsid w:val="00C57B91"/>
    <w:rsid w:val="00C72DD8"/>
    <w:rsid w:val="00C909AE"/>
    <w:rsid w:val="00C91EE8"/>
    <w:rsid w:val="00C95B73"/>
    <w:rsid w:val="00CA1E15"/>
    <w:rsid w:val="00CA4788"/>
    <w:rsid w:val="00CC1327"/>
    <w:rsid w:val="00CC27F0"/>
    <w:rsid w:val="00CD2893"/>
    <w:rsid w:val="00D25F4E"/>
    <w:rsid w:val="00D50F7A"/>
    <w:rsid w:val="00D5410B"/>
    <w:rsid w:val="00D64255"/>
    <w:rsid w:val="00D66BC4"/>
    <w:rsid w:val="00D75F15"/>
    <w:rsid w:val="00D929DA"/>
    <w:rsid w:val="00DA0352"/>
    <w:rsid w:val="00DC7709"/>
    <w:rsid w:val="00DD2270"/>
    <w:rsid w:val="00DD47DE"/>
    <w:rsid w:val="00DE00FC"/>
    <w:rsid w:val="00E3048D"/>
    <w:rsid w:val="00E6786D"/>
    <w:rsid w:val="00E713A2"/>
    <w:rsid w:val="00E813AD"/>
    <w:rsid w:val="00E94C8A"/>
    <w:rsid w:val="00EA73BD"/>
    <w:rsid w:val="00EB01FF"/>
    <w:rsid w:val="00EB0F59"/>
    <w:rsid w:val="00EB304A"/>
    <w:rsid w:val="00EC1065"/>
    <w:rsid w:val="00EC4711"/>
    <w:rsid w:val="00EF09EA"/>
    <w:rsid w:val="00F00808"/>
    <w:rsid w:val="00F02127"/>
    <w:rsid w:val="00F243E5"/>
    <w:rsid w:val="00F544AE"/>
    <w:rsid w:val="00F601DE"/>
    <w:rsid w:val="00F60D41"/>
    <w:rsid w:val="00F76EF6"/>
    <w:rsid w:val="00F85645"/>
    <w:rsid w:val="00F875E7"/>
    <w:rsid w:val="00F96CBE"/>
    <w:rsid w:val="00FA2B31"/>
    <w:rsid w:val="00FB0EA9"/>
    <w:rsid w:val="00FB265D"/>
    <w:rsid w:val="00FB53D8"/>
    <w:rsid w:val="00FC6379"/>
    <w:rsid w:val="00FE3057"/>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CF5"/>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F96CBE"/>
  </w:style>
  <w:style w:type="paragraph" w:styleId="ListParagraph">
    <w:name w:val="List Paragraph"/>
    <w:basedOn w:val="Normal"/>
    <w:uiPriority w:val="34"/>
    <w:qFormat/>
    <w:rsid w:val="00FE3057"/>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FootnoteTextChar"/>
    <w:uiPriority w:val="99"/>
    <w:unhideWhenUsed/>
    <w:rsid w:val="00B82515"/>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B82515"/>
    <w:rPr>
      <w:sz w:val="20"/>
      <w:szCs w:val="20"/>
    </w:rPr>
  </w:style>
  <w:style w:type="character" w:styleId="FootnoteReference">
    <w:name w:val="footnote reference"/>
    <w:aliases w:val="Texto de nota al pie,Footnotes refss,Appel note de bas de page"/>
    <w:basedOn w:val="DefaultParagraphFont"/>
    <w:uiPriority w:val="99"/>
    <w:unhideWhenUsed/>
    <w:rsid w:val="00B82515"/>
    <w:rPr>
      <w:vertAlign w:val="superscript"/>
    </w:rPr>
  </w:style>
  <w:style w:type="paragraph" w:styleId="NormalWeb">
    <w:name w:val="Normal (Web)"/>
    <w:basedOn w:val="Normal"/>
    <w:uiPriority w:val="99"/>
    <w:semiHidden/>
    <w:unhideWhenUsed/>
    <w:rsid w:val="00814C2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HTMLPreformatted">
    <w:name w:val="HTML Preformatted"/>
    <w:basedOn w:val="Normal"/>
    <w:link w:val="HTMLPreformattedChar"/>
    <w:uiPriority w:val="99"/>
    <w:unhideWhenUsed/>
    <w:rsid w:val="00C57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rsid w:val="00C57B91"/>
    <w:rPr>
      <w:rFonts w:ascii="Courier New" w:eastAsia="Times New Roman" w:hAnsi="Courier New" w:cs="Courier New"/>
      <w:sz w:val="20"/>
      <w:szCs w:val="20"/>
      <w:lang w:eastAsia="es-CR"/>
    </w:rPr>
  </w:style>
  <w:style w:type="character" w:styleId="Hyperlink">
    <w:name w:val="Hyperlink"/>
    <w:basedOn w:val="DefaultParagraphFont"/>
    <w:uiPriority w:val="99"/>
    <w:unhideWhenUsed/>
    <w:rsid w:val="00EC1065"/>
    <w:rPr>
      <w:color w:val="0000FF" w:themeColor="hyperlink"/>
      <w:u w:val="single"/>
    </w:rPr>
  </w:style>
  <w:style w:type="character" w:styleId="Strong">
    <w:name w:val="Strong"/>
    <w:basedOn w:val="DefaultParagraphFont"/>
    <w:uiPriority w:val="22"/>
    <w:qFormat/>
    <w:rsid w:val="00EC1065"/>
    <w:rPr>
      <w:b/>
      <w:bCs/>
    </w:rPr>
  </w:style>
  <w:style w:type="paragraph" w:styleId="Header">
    <w:name w:val="header"/>
    <w:basedOn w:val="Normal"/>
    <w:link w:val="HeaderChar"/>
    <w:uiPriority w:val="99"/>
    <w:unhideWhenUsed/>
    <w:rsid w:val="00005B6A"/>
    <w:pPr>
      <w:tabs>
        <w:tab w:val="center" w:pos="4419"/>
        <w:tab w:val="right" w:pos="8838"/>
      </w:tabs>
      <w:spacing w:after="0" w:line="240" w:lineRule="auto"/>
    </w:pPr>
  </w:style>
  <w:style w:type="character" w:customStyle="1" w:styleId="HeaderChar">
    <w:name w:val="Header Char"/>
    <w:basedOn w:val="DefaultParagraphFont"/>
    <w:link w:val="Header"/>
    <w:uiPriority w:val="99"/>
    <w:rsid w:val="00005B6A"/>
  </w:style>
  <w:style w:type="paragraph" w:styleId="Footer">
    <w:name w:val="footer"/>
    <w:basedOn w:val="Normal"/>
    <w:link w:val="FooterChar"/>
    <w:uiPriority w:val="99"/>
    <w:unhideWhenUsed/>
    <w:rsid w:val="00005B6A"/>
    <w:pPr>
      <w:tabs>
        <w:tab w:val="center" w:pos="4419"/>
        <w:tab w:val="right" w:pos="8838"/>
      </w:tabs>
      <w:spacing w:after="0" w:line="240" w:lineRule="auto"/>
    </w:pPr>
  </w:style>
  <w:style w:type="character" w:customStyle="1" w:styleId="FooterChar">
    <w:name w:val="Footer Char"/>
    <w:basedOn w:val="DefaultParagraphFont"/>
    <w:link w:val="Footer"/>
    <w:uiPriority w:val="99"/>
    <w:rsid w:val="00005B6A"/>
  </w:style>
  <w:style w:type="character" w:styleId="CommentReference">
    <w:name w:val="annotation reference"/>
    <w:basedOn w:val="DefaultParagraphFont"/>
    <w:uiPriority w:val="99"/>
    <w:semiHidden/>
    <w:unhideWhenUsed/>
    <w:rsid w:val="00EB0F59"/>
    <w:rPr>
      <w:sz w:val="16"/>
      <w:szCs w:val="16"/>
    </w:rPr>
  </w:style>
  <w:style w:type="paragraph" w:styleId="CommentText">
    <w:name w:val="annotation text"/>
    <w:basedOn w:val="Normal"/>
    <w:link w:val="CommentTextChar"/>
    <w:uiPriority w:val="99"/>
    <w:semiHidden/>
    <w:unhideWhenUsed/>
    <w:rsid w:val="00EB0F59"/>
    <w:pPr>
      <w:spacing w:line="240" w:lineRule="auto"/>
    </w:pPr>
    <w:rPr>
      <w:sz w:val="20"/>
      <w:szCs w:val="20"/>
    </w:rPr>
  </w:style>
  <w:style w:type="character" w:customStyle="1" w:styleId="CommentTextChar">
    <w:name w:val="Comment Text Char"/>
    <w:basedOn w:val="DefaultParagraphFont"/>
    <w:link w:val="CommentText"/>
    <w:uiPriority w:val="99"/>
    <w:semiHidden/>
    <w:rsid w:val="00EB0F59"/>
    <w:rPr>
      <w:sz w:val="20"/>
      <w:szCs w:val="20"/>
    </w:rPr>
  </w:style>
  <w:style w:type="paragraph" w:styleId="CommentSubject">
    <w:name w:val="annotation subject"/>
    <w:basedOn w:val="CommentText"/>
    <w:next w:val="CommentText"/>
    <w:link w:val="CommentSubjectChar"/>
    <w:uiPriority w:val="99"/>
    <w:semiHidden/>
    <w:unhideWhenUsed/>
    <w:rsid w:val="00EB0F59"/>
    <w:rPr>
      <w:b/>
      <w:bCs/>
    </w:rPr>
  </w:style>
  <w:style w:type="character" w:customStyle="1" w:styleId="CommentSubjectChar">
    <w:name w:val="Comment Subject Char"/>
    <w:basedOn w:val="CommentTextChar"/>
    <w:link w:val="CommentSubject"/>
    <w:uiPriority w:val="99"/>
    <w:semiHidden/>
    <w:rsid w:val="00EB0F59"/>
    <w:rPr>
      <w:b/>
      <w:bCs/>
      <w:sz w:val="20"/>
      <w:szCs w:val="20"/>
    </w:rPr>
  </w:style>
  <w:style w:type="paragraph" w:styleId="BalloonText">
    <w:name w:val="Balloon Text"/>
    <w:basedOn w:val="Normal"/>
    <w:link w:val="BalloonTextChar"/>
    <w:uiPriority w:val="99"/>
    <w:semiHidden/>
    <w:unhideWhenUsed/>
    <w:rsid w:val="00EB0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CF5"/>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F96CBE"/>
  </w:style>
  <w:style w:type="paragraph" w:styleId="ListParagraph">
    <w:name w:val="List Paragraph"/>
    <w:basedOn w:val="Normal"/>
    <w:uiPriority w:val="34"/>
    <w:qFormat/>
    <w:rsid w:val="00FE3057"/>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FootnoteTextChar"/>
    <w:uiPriority w:val="99"/>
    <w:unhideWhenUsed/>
    <w:rsid w:val="00B82515"/>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B82515"/>
    <w:rPr>
      <w:sz w:val="20"/>
      <w:szCs w:val="20"/>
    </w:rPr>
  </w:style>
  <w:style w:type="character" w:styleId="FootnoteReference">
    <w:name w:val="footnote reference"/>
    <w:aliases w:val="Texto de nota al pie,Footnotes refss,Appel note de bas de page"/>
    <w:basedOn w:val="DefaultParagraphFont"/>
    <w:uiPriority w:val="99"/>
    <w:unhideWhenUsed/>
    <w:rsid w:val="00B82515"/>
    <w:rPr>
      <w:vertAlign w:val="superscript"/>
    </w:rPr>
  </w:style>
  <w:style w:type="paragraph" w:styleId="NormalWeb">
    <w:name w:val="Normal (Web)"/>
    <w:basedOn w:val="Normal"/>
    <w:uiPriority w:val="99"/>
    <w:semiHidden/>
    <w:unhideWhenUsed/>
    <w:rsid w:val="00814C2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HTMLPreformatted">
    <w:name w:val="HTML Preformatted"/>
    <w:basedOn w:val="Normal"/>
    <w:link w:val="HTMLPreformattedChar"/>
    <w:uiPriority w:val="99"/>
    <w:unhideWhenUsed/>
    <w:rsid w:val="00C57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rsid w:val="00C57B91"/>
    <w:rPr>
      <w:rFonts w:ascii="Courier New" w:eastAsia="Times New Roman" w:hAnsi="Courier New" w:cs="Courier New"/>
      <w:sz w:val="20"/>
      <w:szCs w:val="20"/>
      <w:lang w:eastAsia="es-CR"/>
    </w:rPr>
  </w:style>
  <w:style w:type="character" w:styleId="Hyperlink">
    <w:name w:val="Hyperlink"/>
    <w:basedOn w:val="DefaultParagraphFont"/>
    <w:uiPriority w:val="99"/>
    <w:unhideWhenUsed/>
    <w:rsid w:val="00EC1065"/>
    <w:rPr>
      <w:color w:val="0000FF" w:themeColor="hyperlink"/>
      <w:u w:val="single"/>
    </w:rPr>
  </w:style>
  <w:style w:type="character" w:styleId="Strong">
    <w:name w:val="Strong"/>
    <w:basedOn w:val="DefaultParagraphFont"/>
    <w:uiPriority w:val="22"/>
    <w:qFormat/>
    <w:rsid w:val="00EC1065"/>
    <w:rPr>
      <w:b/>
      <w:bCs/>
    </w:rPr>
  </w:style>
  <w:style w:type="paragraph" w:styleId="Header">
    <w:name w:val="header"/>
    <w:basedOn w:val="Normal"/>
    <w:link w:val="HeaderChar"/>
    <w:uiPriority w:val="99"/>
    <w:unhideWhenUsed/>
    <w:rsid w:val="00005B6A"/>
    <w:pPr>
      <w:tabs>
        <w:tab w:val="center" w:pos="4419"/>
        <w:tab w:val="right" w:pos="8838"/>
      </w:tabs>
      <w:spacing w:after="0" w:line="240" w:lineRule="auto"/>
    </w:pPr>
  </w:style>
  <w:style w:type="character" w:customStyle="1" w:styleId="HeaderChar">
    <w:name w:val="Header Char"/>
    <w:basedOn w:val="DefaultParagraphFont"/>
    <w:link w:val="Header"/>
    <w:uiPriority w:val="99"/>
    <w:rsid w:val="00005B6A"/>
  </w:style>
  <w:style w:type="paragraph" w:styleId="Footer">
    <w:name w:val="footer"/>
    <w:basedOn w:val="Normal"/>
    <w:link w:val="FooterChar"/>
    <w:uiPriority w:val="99"/>
    <w:unhideWhenUsed/>
    <w:rsid w:val="00005B6A"/>
    <w:pPr>
      <w:tabs>
        <w:tab w:val="center" w:pos="4419"/>
        <w:tab w:val="right" w:pos="8838"/>
      </w:tabs>
      <w:spacing w:after="0" w:line="240" w:lineRule="auto"/>
    </w:pPr>
  </w:style>
  <w:style w:type="character" w:customStyle="1" w:styleId="FooterChar">
    <w:name w:val="Footer Char"/>
    <w:basedOn w:val="DefaultParagraphFont"/>
    <w:link w:val="Footer"/>
    <w:uiPriority w:val="99"/>
    <w:rsid w:val="00005B6A"/>
  </w:style>
  <w:style w:type="character" w:styleId="CommentReference">
    <w:name w:val="annotation reference"/>
    <w:basedOn w:val="DefaultParagraphFont"/>
    <w:uiPriority w:val="99"/>
    <w:semiHidden/>
    <w:unhideWhenUsed/>
    <w:rsid w:val="00EB0F59"/>
    <w:rPr>
      <w:sz w:val="16"/>
      <w:szCs w:val="16"/>
    </w:rPr>
  </w:style>
  <w:style w:type="paragraph" w:styleId="CommentText">
    <w:name w:val="annotation text"/>
    <w:basedOn w:val="Normal"/>
    <w:link w:val="CommentTextChar"/>
    <w:uiPriority w:val="99"/>
    <w:semiHidden/>
    <w:unhideWhenUsed/>
    <w:rsid w:val="00EB0F59"/>
    <w:pPr>
      <w:spacing w:line="240" w:lineRule="auto"/>
    </w:pPr>
    <w:rPr>
      <w:sz w:val="20"/>
      <w:szCs w:val="20"/>
    </w:rPr>
  </w:style>
  <w:style w:type="character" w:customStyle="1" w:styleId="CommentTextChar">
    <w:name w:val="Comment Text Char"/>
    <w:basedOn w:val="DefaultParagraphFont"/>
    <w:link w:val="CommentText"/>
    <w:uiPriority w:val="99"/>
    <w:semiHidden/>
    <w:rsid w:val="00EB0F59"/>
    <w:rPr>
      <w:sz w:val="20"/>
      <w:szCs w:val="20"/>
    </w:rPr>
  </w:style>
  <w:style w:type="paragraph" w:styleId="CommentSubject">
    <w:name w:val="annotation subject"/>
    <w:basedOn w:val="CommentText"/>
    <w:next w:val="CommentText"/>
    <w:link w:val="CommentSubjectChar"/>
    <w:uiPriority w:val="99"/>
    <w:semiHidden/>
    <w:unhideWhenUsed/>
    <w:rsid w:val="00EB0F59"/>
    <w:rPr>
      <w:b/>
      <w:bCs/>
    </w:rPr>
  </w:style>
  <w:style w:type="character" w:customStyle="1" w:styleId="CommentSubjectChar">
    <w:name w:val="Comment Subject Char"/>
    <w:basedOn w:val="CommentTextChar"/>
    <w:link w:val="CommentSubject"/>
    <w:uiPriority w:val="99"/>
    <w:semiHidden/>
    <w:rsid w:val="00EB0F59"/>
    <w:rPr>
      <w:b/>
      <w:bCs/>
      <w:sz w:val="20"/>
      <w:szCs w:val="20"/>
    </w:rPr>
  </w:style>
  <w:style w:type="paragraph" w:styleId="BalloonText">
    <w:name w:val="Balloon Text"/>
    <w:basedOn w:val="Normal"/>
    <w:link w:val="BalloonTextChar"/>
    <w:uiPriority w:val="99"/>
    <w:semiHidden/>
    <w:unhideWhenUsed/>
    <w:rsid w:val="00EB0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9815">
      <w:bodyDiv w:val="1"/>
      <w:marLeft w:val="0"/>
      <w:marRight w:val="0"/>
      <w:marTop w:val="0"/>
      <w:marBottom w:val="0"/>
      <w:divBdr>
        <w:top w:val="none" w:sz="0" w:space="0" w:color="auto"/>
        <w:left w:val="none" w:sz="0" w:space="0" w:color="auto"/>
        <w:bottom w:val="none" w:sz="0" w:space="0" w:color="auto"/>
        <w:right w:val="none" w:sz="0" w:space="0" w:color="auto"/>
      </w:divBdr>
    </w:div>
    <w:div w:id="598484471">
      <w:bodyDiv w:val="1"/>
      <w:marLeft w:val="0"/>
      <w:marRight w:val="0"/>
      <w:marTop w:val="0"/>
      <w:marBottom w:val="0"/>
      <w:divBdr>
        <w:top w:val="none" w:sz="0" w:space="0" w:color="auto"/>
        <w:left w:val="none" w:sz="0" w:space="0" w:color="auto"/>
        <w:bottom w:val="none" w:sz="0" w:space="0" w:color="auto"/>
        <w:right w:val="none" w:sz="0" w:space="0" w:color="auto"/>
      </w:divBdr>
    </w:div>
    <w:div w:id="1565067404">
      <w:bodyDiv w:val="1"/>
      <w:marLeft w:val="0"/>
      <w:marRight w:val="0"/>
      <w:marTop w:val="0"/>
      <w:marBottom w:val="0"/>
      <w:divBdr>
        <w:top w:val="none" w:sz="0" w:space="0" w:color="auto"/>
        <w:left w:val="none" w:sz="0" w:space="0" w:color="auto"/>
        <w:bottom w:val="none" w:sz="0" w:space="0" w:color="auto"/>
        <w:right w:val="none" w:sz="0" w:space="0" w:color="auto"/>
      </w:divBdr>
    </w:div>
    <w:div w:id="21174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barrios_fv_15.pdf" TargetMode="External"/><Relationship Id="rId2" Type="http://schemas.openxmlformats.org/officeDocument/2006/relationships/hyperlink" Target="http://www.corteidh.or.cr/docs/asuntos/castro_fv_13_ing.pdf" TargetMode="External"/><Relationship Id="rId1" Type="http://schemas.openxmlformats.org/officeDocument/2006/relationships/hyperlink" Target="http://www.corteidh.or.cr/docs/asuntos/castro_fv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5175-A682-4E93-BD7D-943C79FE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1968</Words>
  <Characters>11221</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Ligia Vargas</cp:lastModifiedBy>
  <cp:revision>2</cp:revision>
  <cp:lastPrinted>2017-09-20T17:57:00Z</cp:lastPrinted>
  <dcterms:created xsi:type="dcterms:W3CDTF">2017-09-21T21:52:00Z</dcterms:created>
  <dcterms:modified xsi:type="dcterms:W3CDTF">2017-09-21T21:52:00Z</dcterms:modified>
</cp:coreProperties>
</file>