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A3" w:rsidRPr="005127C2" w:rsidRDefault="00CD77A3" w:rsidP="00BB7C08">
      <w:pPr>
        <w:ind w:right="-317"/>
        <w:jc w:val="center"/>
        <w:rPr>
          <w:rFonts w:ascii="Verdana Bold" w:hAnsi="Verdana Bold" w:cs="Verdana Bold"/>
          <w:b/>
          <w:bCs/>
          <w:caps/>
        </w:rPr>
      </w:pPr>
    </w:p>
    <w:p w:rsidR="00CD77A3" w:rsidRDefault="00CD77A3" w:rsidP="00BB7C08">
      <w:pPr>
        <w:ind w:right="-317"/>
        <w:jc w:val="center"/>
        <w:rPr>
          <w:rFonts w:ascii="Verdana Bold" w:hAnsi="Verdana Bold" w:cs="Verdana Bold"/>
          <w:b/>
          <w:bCs/>
          <w:caps/>
        </w:rPr>
      </w:pPr>
    </w:p>
    <w:p w:rsidR="00CD77A3" w:rsidRDefault="00CD77A3" w:rsidP="00BB7C08">
      <w:pPr>
        <w:ind w:right="-317"/>
        <w:jc w:val="center"/>
        <w:rPr>
          <w:rFonts w:ascii="Verdana Bold" w:hAnsi="Verdana Bold" w:cs="Verdana Bold"/>
          <w:b/>
          <w:bCs/>
          <w:caps/>
        </w:rPr>
      </w:pPr>
    </w:p>
    <w:p w:rsidR="00CD77A3" w:rsidRDefault="00CD77A3" w:rsidP="00BB7C08">
      <w:pPr>
        <w:ind w:right="-317"/>
        <w:jc w:val="center"/>
        <w:rPr>
          <w:rFonts w:ascii="Verdana Bold" w:hAnsi="Verdana Bold" w:cs="Verdana Bold"/>
          <w:b/>
          <w:bCs/>
          <w:caps/>
        </w:rPr>
      </w:pPr>
    </w:p>
    <w:p w:rsidR="00CD77A3" w:rsidRDefault="00CD77A3" w:rsidP="00BB7C08">
      <w:pPr>
        <w:ind w:right="-317"/>
        <w:jc w:val="center"/>
        <w:rPr>
          <w:rFonts w:ascii="Verdana Bold" w:hAnsi="Verdana Bold" w:cs="Verdana Bold"/>
          <w:b/>
          <w:bCs/>
          <w:caps/>
        </w:rPr>
      </w:pPr>
    </w:p>
    <w:p w:rsidR="002A2934" w:rsidRDefault="002A2934" w:rsidP="00BB7C08">
      <w:pPr>
        <w:ind w:right="-317"/>
        <w:jc w:val="center"/>
        <w:rPr>
          <w:rFonts w:ascii="Verdana Bold" w:hAnsi="Verdana Bold" w:cs="Verdana Bold"/>
          <w:b/>
          <w:bCs/>
          <w:caps/>
        </w:rPr>
      </w:pPr>
    </w:p>
    <w:p w:rsidR="00CD77A3" w:rsidRPr="005127C2" w:rsidRDefault="00CD77A3" w:rsidP="00BB7C08">
      <w:pPr>
        <w:ind w:right="-317"/>
        <w:rPr>
          <w:rFonts w:ascii="Verdana Bold" w:hAnsi="Verdana Bold" w:cs="Verdana Bold"/>
          <w:b/>
          <w:bCs/>
          <w:caps/>
        </w:rPr>
      </w:pPr>
    </w:p>
    <w:p w:rsidR="00CD77A3" w:rsidRDefault="00CD77A3" w:rsidP="00BB7C08">
      <w:pPr>
        <w:ind w:right="-316"/>
        <w:jc w:val="center"/>
        <w:rPr>
          <w:rFonts w:ascii="Verdana Bold" w:hAnsi="Verdana Bold" w:cs="Verdana Bold"/>
          <w:b/>
          <w:bCs/>
          <w:caps/>
        </w:rPr>
      </w:pPr>
      <w:r w:rsidRPr="005127C2">
        <w:rPr>
          <w:rFonts w:ascii="Verdana Bold" w:hAnsi="Verdana Bold" w:cs="Verdana Bold"/>
          <w:b/>
          <w:bCs/>
          <w:caps/>
        </w:rPr>
        <w:t>Resolución del Presidente de la</w:t>
      </w:r>
    </w:p>
    <w:p w:rsidR="00CD77A3" w:rsidRPr="005127C2" w:rsidRDefault="00CD77A3" w:rsidP="00BB7C08">
      <w:pPr>
        <w:ind w:right="-316"/>
        <w:jc w:val="center"/>
        <w:rPr>
          <w:rFonts w:ascii="Verdana Bold" w:hAnsi="Verdana Bold" w:cs="Verdana Bold"/>
          <w:b/>
          <w:bCs/>
          <w:caps/>
        </w:rPr>
      </w:pPr>
      <w:r w:rsidRPr="005127C2">
        <w:rPr>
          <w:rFonts w:ascii="Verdana Bold" w:hAnsi="Verdana Bold" w:cs="Verdana Bold"/>
          <w:b/>
          <w:bCs/>
          <w:caps/>
        </w:rPr>
        <w:t>Corte Interamericana de Derechos Humanos</w:t>
      </w:r>
    </w:p>
    <w:p w:rsidR="00CD77A3" w:rsidRPr="005127C2" w:rsidRDefault="00161450" w:rsidP="00161450">
      <w:pPr>
        <w:ind w:right="-316"/>
        <w:jc w:val="center"/>
        <w:rPr>
          <w:rFonts w:ascii="Verdana Bold" w:hAnsi="Verdana Bold" w:cs="Verdana Bold"/>
          <w:b/>
          <w:bCs/>
          <w:caps/>
        </w:rPr>
      </w:pPr>
      <w:r w:rsidRPr="00161450">
        <w:rPr>
          <w:rFonts w:ascii="Verdana Bold" w:hAnsi="Verdana Bold" w:cs="Verdana Bold"/>
          <w:b/>
          <w:bCs/>
          <w:caps/>
        </w:rPr>
        <w:t>EN EJERCICIO PARA EL PRESENTE CASO</w:t>
      </w:r>
      <w:r w:rsidRPr="00A667D5">
        <w:rPr>
          <w:rStyle w:val="FootnoteReference"/>
          <w:bCs/>
        </w:rPr>
        <w:footnoteReference w:customMarkFollows="1" w:id="1"/>
        <w:sym w:font="Symbol" w:char="F02A"/>
      </w:r>
    </w:p>
    <w:p w:rsidR="00161450" w:rsidRDefault="00161450" w:rsidP="00BB7C08">
      <w:pPr>
        <w:ind w:right="-316"/>
        <w:jc w:val="center"/>
        <w:rPr>
          <w:rFonts w:ascii="Verdana Bold" w:hAnsi="Verdana Bold" w:cs="Verdana Bold"/>
          <w:b/>
          <w:bCs/>
          <w:caps/>
        </w:rPr>
      </w:pPr>
    </w:p>
    <w:p w:rsidR="00CD77A3" w:rsidRDefault="004B4D26" w:rsidP="00BB7C08">
      <w:pPr>
        <w:ind w:right="-316"/>
        <w:jc w:val="center"/>
        <w:rPr>
          <w:rFonts w:ascii="Verdana Bold" w:hAnsi="Verdana Bold" w:cs="Verdana Bold"/>
          <w:b/>
          <w:bCs/>
          <w:caps/>
        </w:rPr>
      </w:pPr>
      <w:r>
        <w:rPr>
          <w:rFonts w:ascii="Verdana Bold" w:hAnsi="Verdana Bold" w:cs="Verdana Bold"/>
          <w:b/>
          <w:bCs/>
          <w:caps/>
        </w:rPr>
        <w:t xml:space="preserve">DE </w:t>
      </w:r>
      <w:r w:rsidR="007762BF">
        <w:rPr>
          <w:rFonts w:ascii="Verdana Bold" w:hAnsi="Verdana Bold" w:cs="Verdana Bold"/>
          <w:b/>
          <w:bCs/>
          <w:caps/>
        </w:rPr>
        <w:t>5</w:t>
      </w:r>
      <w:r w:rsidR="009336ED">
        <w:rPr>
          <w:rFonts w:ascii="Verdana Bold" w:hAnsi="Verdana Bold" w:cs="Verdana Bold"/>
          <w:b/>
          <w:bCs/>
          <w:caps/>
        </w:rPr>
        <w:t xml:space="preserve"> </w:t>
      </w:r>
      <w:r w:rsidR="00CD77A3" w:rsidRPr="00BB7C08">
        <w:rPr>
          <w:rFonts w:ascii="Verdana Bold" w:hAnsi="Verdana Bold" w:cs="Verdana Bold"/>
          <w:b/>
          <w:bCs/>
          <w:caps/>
        </w:rPr>
        <w:t xml:space="preserve">DE </w:t>
      </w:r>
      <w:r w:rsidR="00162E5D">
        <w:rPr>
          <w:rFonts w:ascii="Verdana Bold" w:hAnsi="Verdana Bold" w:cs="Verdana Bold"/>
          <w:b/>
          <w:bCs/>
          <w:caps/>
        </w:rPr>
        <w:t>mayo</w:t>
      </w:r>
      <w:r w:rsidR="00162E5D" w:rsidRPr="00BB7C08">
        <w:rPr>
          <w:rFonts w:ascii="Verdana Bold" w:hAnsi="Verdana Bold" w:cs="Verdana Bold"/>
          <w:b/>
          <w:bCs/>
          <w:caps/>
        </w:rPr>
        <w:t xml:space="preserve"> </w:t>
      </w:r>
      <w:r w:rsidR="00CD77A3" w:rsidRPr="00BB7C08">
        <w:rPr>
          <w:rFonts w:ascii="Verdana Bold" w:hAnsi="Verdana Bold" w:cs="Verdana Bold"/>
          <w:b/>
          <w:bCs/>
          <w:caps/>
        </w:rPr>
        <w:t>de 201</w:t>
      </w:r>
      <w:r w:rsidR="00161450">
        <w:rPr>
          <w:rFonts w:ascii="Verdana Bold" w:hAnsi="Verdana Bold" w:cs="Verdana Bold"/>
          <w:b/>
          <w:bCs/>
          <w:caps/>
        </w:rPr>
        <w:t>5</w:t>
      </w:r>
    </w:p>
    <w:p w:rsidR="00CD77A3" w:rsidRDefault="00CD77A3" w:rsidP="00BB7C08">
      <w:pPr>
        <w:ind w:right="-316"/>
        <w:jc w:val="center"/>
        <w:rPr>
          <w:rFonts w:ascii="Verdana Bold" w:hAnsi="Verdana Bold" w:cs="Verdana Bold"/>
          <w:b/>
          <w:bCs/>
          <w:caps/>
        </w:rPr>
      </w:pPr>
    </w:p>
    <w:p w:rsidR="00CD77A3" w:rsidRPr="00BB7C08" w:rsidRDefault="00CD77A3" w:rsidP="00BB7C08">
      <w:pPr>
        <w:ind w:right="-316"/>
        <w:jc w:val="center"/>
        <w:rPr>
          <w:rFonts w:ascii="Verdana Bold" w:hAnsi="Verdana Bold" w:cs="Verdana Bold"/>
          <w:b/>
          <w:bCs/>
          <w:caps/>
        </w:rPr>
      </w:pPr>
      <w:r>
        <w:rPr>
          <w:rFonts w:ascii="Verdana Bold" w:hAnsi="Verdana Bold" w:cs="Verdana Bold"/>
          <w:b/>
          <w:bCs/>
          <w:caps/>
        </w:rPr>
        <w:t>FONDO DE ASISTENCIA LEGAL DE VÍCTIMAS</w:t>
      </w:r>
    </w:p>
    <w:p w:rsidR="00CD77A3" w:rsidRPr="005127C2" w:rsidRDefault="00CD77A3" w:rsidP="00BB7C08">
      <w:pPr>
        <w:ind w:right="-316"/>
        <w:rPr>
          <w:rFonts w:ascii="Verdana Bold" w:hAnsi="Verdana Bold" w:cs="Verdana Bold"/>
          <w:b/>
          <w:bCs/>
          <w:caps/>
        </w:rPr>
      </w:pPr>
    </w:p>
    <w:p w:rsidR="00CD77A3" w:rsidRPr="00F67256" w:rsidRDefault="00CD77A3" w:rsidP="00BB7C08">
      <w:pPr>
        <w:jc w:val="center"/>
        <w:rPr>
          <w:rFonts w:ascii="Verdana Bold" w:hAnsi="Verdana Bold" w:cs="Verdana Bold"/>
          <w:b/>
          <w:bCs/>
          <w:caps/>
        </w:rPr>
      </w:pPr>
      <w:r>
        <w:rPr>
          <w:rFonts w:ascii="Verdana Bold" w:hAnsi="Verdana Bold" w:cs="Verdana Bold"/>
          <w:b/>
          <w:bCs/>
          <w:caps/>
        </w:rPr>
        <w:t xml:space="preserve">CASO </w:t>
      </w:r>
      <w:r w:rsidR="00161450">
        <w:rPr>
          <w:rFonts w:ascii="Verdana Bold" w:hAnsi="Verdana Bold" w:cs="Verdana Bold"/>
          <w:b/>
          <w:bCs/>
          <w:caps/>
        </w:rPr>
        <w:t>ÁNGEL ALBERTO DUQUE</w:t>
      </w:r>
      <w:r>
        <w:rPr>
          <w:rFonts w:ascii="Verdana Bold" w:hAnsi="Verdana Bold" w:cs="Verdana Bold"/>
          <w:b/>
          <w:bCs/>
          <w:caps/>
        </w:rPr>
        <w:t xml:space="preserve"> VS. </w:t>
      </w:r>
      <w:r w:rsidR="00161450">
        <w:rPr>
          <w:rFonts w:ascii="Verdana Bold" w:hAnsi="Verdana Bold" w:cs="Verdana Bold"/>
          <w:b/>
          <w:bCs/>
          <w:caps/>
        </w:rPr>
        <w:t>COLOMBIA</w:t>
      </w:r>
    </w:p>
    <w:p w:rsidR="00CD77A3" w:rsidRDefault="00CD77A3" w:rsidP="00BB7C08">
      <w:pPr>
        <w:rPr>
          <w:b/>
          <w:bCs/>
          <w:caps/>
        </w:rPr>
      </w:pPr>
    </w:p>
    <w:p w:rsidR="00CD77A3" w:rsidRPr="00D81042" w:rsidRDefault="00CD77A3" w:rsidP="00BB7C08">
      <w:pPr>
        <w:rPr>
          <w:b/>
          <w:bCs/>
          <w:caps/>
        </w:rPr>
      </w:pPr>
    </w:p>
    <w:p w:rsidR="00CD77A3" w:rsidRPr="00311926" w:rsidRDefault="00CD77A3" w:rsidP="00BB7C08">
      <w:pPr>
        <w:spacing w:after="40"/>
        <w:rPr>
          <w:b/>
          <w:bCs/>
          <w:caps/>
        </w:rPr>
      </w:pPr>
      <w:r w:rsidRPr="00311926">
        <w:rPr>
          <w:b/>
          <w:bCs/>
          <w:caps/>
        </w:rPr>
        <w:t>Visto:</w:t>
      </w:r>
    </w:p>
    <w:p w:rsidR="00CD77A3" w:rsidRPr="00663BA7" w:rsidRDefault="00CD77A3" w:rsidP="00BB7C08">
      <w:pPr>
        <w:spacing w:after="40"/>
        <w:rPr>
          <w:b/>
          <w:bCs/>
          <w:caps/>
        </w:rPr>
      </w:pPr>
    </w:p>
    <w:p w:rsidR="00CD77A3" w:rsidRPr="00663BA7" w:rsidRDefault="00CD77A3" w:rsidP="00BB7C08">
      <w:pPr>
        <w:numPr>
          <w:ilvl w:val="0"/>
          <w:numId w:val="1"/>
        </w:numPr>
        <w:tabs>
          <w:tab w:val="clear" w:pos="360"/>
          <w:tab w:val="num" w:pos="720"/>
        </w:tabs>
        <w:autoSpaceDE w:val="0"/>
        <w:autoSpaceDN w:val="0"/>
        <w:adjustRightInd w:val="0"/>
        <w:ind w:left="0" w:firstLine="0"/>
        <w:rPr>
          <w:lang w:val="es-CL" w:eastAsia="en-US"/>
        </w:rPr>
      </w:pPr>
      <w:r w:rsidRPr="00663BA7">
        <w:rPr>
          <w:lang w:val="es-CL" w:eastAsia="en-US"/>
        </w:rPr>
        <w:t xml:space="preserve">El escrito de </w:t>
      </w:r>
      <w:r w:rsidR="009E6173" w:rsidRPr="00897CBE">
        <w:t xml:space="preserve">21 de </w:t>
      </w:r>
      <w:r w:rsidR="009E6173">
        <w:t>octubre</w:t>
      </w:r>
      <w:r w:rsidR="009E6173" w:rsidRPr="00897CBE">
        <w:t xml:space="preserve"> de 201</w:t>
      </w:r>
      <w:r w:rsidR="009E6173">
        <w:t>4 y su anexo</w:t>
      </w:r>
      <w:r>
        <w:rPr>
          <w:lang w:val="es-CL" w:eastAsia="en-US"/>
        </w:rPr>
        <w:t>, mediante l</w:t>
      </w:r>
      <w:r w:rsidR="009E6173">
        <w:rPr>
          <w:lang w:val="es-CL" w:eastAsia="en-US"/>
        </w:rPr>
        <w:t>os cuales</w:t>
      </w:r>
      <w:r>
        <w:rPr>
          <w:lang w:val="es-CL" w:eastAsia="en-US"/>
        </w:rPr>
        <w:t xml:space="preserve"> </w:t>
      </w:r>
      <w:r w:rsidRPr="00663BA7">
        <w:rPr>
          <w:lang w:val="es-CL" w:eastAsia="en-US"/>
        </w:rPr>
        <w:t>la Comisión Interamericana de Derechos Humanos (en adelante también “la Comisión Interamericana” o “la Comisión”)</w:t>
      </w:r>
      <w:r>
        <w:rPr>
          <w:lang w:val="es-CL" w:eastAsia="en-US"/>
        </w:rPr>
        <w:t xml:space="preserve"> sometió el </w:t>
      </w:r>
      <w:r w:rsidRPr="00B72A33">
        <w:rPr>
          <w:i/>
          <w:iCs/>
          <w:lang w:val="es-CL" w:eastAsia="en-US"/>
        </w:rPr>
        <w:t xml:space="preserve">caso </w:t>
      </w:r>
      <w:r w:rsidR="009E6173">
        <w:rPr>
          <w:i/>
          <w:iCs/>
          <w:lang w:val="es-CL" w:eastAsia="en-US"/>
        </w:rPr>
        <w:t>Ángel Alberto Duque</w:t>
      </w:r>
      <w:r>
        <w:rPr>
          <w:lang w:val="es-CL" w:eastAsia="en-US"/>
        </w:rPr>
        <w:t xml:space="preserve"> </w:t>
      </w:r>
      <w:r w:rsidRPr="00663BA7">
        <w:rPr>
          <w:lang w:val="es-CL" w:eastAsia="en-US"/>
        </w:rPr>
        <w:t>ante la Corte Interamericana de Derechos Humanos (en adelante “la Corte Interamericana”, “la Corte” o “el Tribunal”)</w:t>
      </w:r>
      <w:r>
        <w:rPr>
          <w:lang w:val="es-CL" w:eastAsia="en-US"/>
        </w:rPr>
        <w:t xml:space="preserve">, respecto del Estado de </w:t>
      </w:r>
      <w:r w:rsidR="009E6173">
        <w:rPr>
          <w:lang w:val="es-CL" w:eastAsia="en-US"/>
        </w:rPr>
        <w:t>Colombia</w:t>
      </w:r>
      <w:r>
        <w:rPr>
          <w:lang w:val="es-CL" w:eastAsia="en-US"/>
        </w:rPr>
        <w:t xml:space="preserve"> (en adelante “el Estado” o “</w:t>
      </w:r>
      <w:r w:rsidR="009E6173">
        <w:rPr>
          <w:lang w:val="es-CL" w:eastAsia="en-US"/>
        </w:rPr>
        <w:t>Colombia</w:t>
      </w:r>
      <w:r>
        <w:rPr>
          <w:lang w:val="es-CL" w:eastAsia="en-US"/>
        </w:rPr>
        <w:t>”)</w:t>
      </w:r>
      <w:r w:rsidRPr="00663BA7">
        <w:rPr>
          <w:lang w:val="es-CL" w:eastAsia="en-US"/>
        </w:rPr>
        <w:t>.</w:t>
      </w:r>
    </w:p>
    <w:p w:rsidR="00CD77A3" w:rsidRPr="000D6A70" w:rsidRDefault="00CD77A3" w:rsidP="000D6A70">
      <w:pPr>
        <w:numPr>
          <w:ilvl w:val="0"/>
          <w:numId w:val="1"/>
        </w:numPr>
        <w:tabs>
          <w:tab w:val="clear" w:pos="360"/>
          <w:tab w:val="num" w:pos="720"/>
        </w:tabs>
        <w:autoSpaceDE w:val="0"/>
        <w:autoSpaceDN w:val="0"/>
        <w:adjustRightInd w:val="0"/>
        <w:ind w:left="0" w:firstLine="0"/>
        <w:rPr>
          <w:lang w:val="es-CL" w:eastAsia="en-US"/>
        </w:rPr>
      </w:pPr>
      <w:r w:rsidRPr="001475C8">
        <w:rPr>
          <w:lang w:val="es-CL" w:eastAsia="en-US"/>
        </w:rPr>
        <w:t xml:space="preserve">El escrito de </w:t>
      </w:r>
      <w:r w:rsidR="00162E5D">
        <w:t>28</w:t>
      </w:r>
      <w:r w:rsidR="00162E5D" w:rsidRPr="00897CBE">
        <w:t xml:space="preserve"> </w:t>
      </w:r>
      <w:r w:rsidR="009E6173" w:rsidRPr="00897CBE">
        <w:t xml:space="preserve">de </w:t>
      </w:r>
      <w:r w:rsidR="009E6173">
        <w:t>enero de 2015</w:t>
      </w:r>
      <w:r>
        <w:rPr>
          <w:lang w:val="es-CL" w:eastAsia="en-US"/>
        </w:rPr>
        <w:t xml:space="preserve">, y sus anexos recibidos el día </w:t>
      </w:r>
      <w:r w:rsidR="009E6173">
        <w:rPr>
          <w:szCs w:val="16"/>
        </w:rPr>
        <w:t>30</w:t>
      </w:r>
      <w:r w:rsidR="009E6173" w:rsidRPr="002F1184">
        <w:rPr>
          <w:szCs w:val="16"/>
        </w:rPr>
        <w:t xml:space="preserve"> </w:t>
      </w:r>
      <w:r>
        <w:rPr>
          <w:lang w:val="es-CL" w:eastAsia="en-US"/>
        </w:rPr>
        <w:t>del mismo mes</w:t>
      </w:r>
      <w:r w:rsidR="009E6173">
        <w:rPr>
          <w:lang w:val="es-CL" w:eastAsia="en-US"/>
        </w:rPr>
        <w:t xml:space="preserve"> y año</w:t>
      </w:r>
      <w:r>
        <w:rPr>
          <w:lang w:val="es-CL" w:eastAsia="en-US"/>
        </w:rPr>
        <w:t xml:space="preserve">, mediante los cuales </w:t>
      </w:r>
      <w:r w:rsidR="009E6173">
        <w:rPr>
          <w:lang w:val="es-CL" w:eastAsia="en-US"/>
        </w:rPr>
        <w:t>los representantes de la presunta víctima</w:t>
      </w:r>
      <w:r w:rsidRPr="001475C8">
        <w:rPr>
          <w:lang w:val="es-CL" w:eastAsia="en-US"/>
        </w:rPr>
        <w:t xml:space="preserve"> (en adelante “los representantes”)</w:t>
      </w:r>
      <w:r w:rsidR="00A14859">
        <w:rPr>
          <w:rStyle w:val="FootnoteReference"/>
          <w:lang w:val="es-CL" w:eastAsia="en-US"/>
        </w:rPr>
        <w:footnoteReference w:id="2"/>
      </w:r>
      <w:r w:rsidRPr="001475C8">
        <w:rPr>
          <w:lang w:val="es-CL" w:eastAsia="en-US"/>
        </w:rPr>
        <w:t xml:space="preserve"> </w:t>
      </w:r>
      <w:r>
        <w:rPr>
          <w:lang w:val="es-CL" w:eastAsia="en-US"/>
        </w:rPr>
        <w:t xml:space="preserve">presentaron sus </w:t>
      </w:r>
      <w:r w:rsidRPr="001475C8">
        <w:rPr>
          <w:lang w:val="es-CL" w:eastAsia="en-US"/>
        </w:rPr>
        <w:t>solicitudes, argumentos y pruebas (en adelante “escrit</w:t>
      </w:r>
      <w:r>
        <w:rPr>
          <w:lang w:val="es-CL" w:eastAsia="en-US"/>
        </w:rPr>
        <w:t xml:space="preserve">o de solicitudes y argumentos”), </w:t>
      </w:r>
      <w:r w:rsidRPr="001475C8">
        <w:rPr>
          <w:lang w:val="es-CL" w:eastAsia="en-US"/>
        </w:rPr>
        <w:t xml:space="preserve">ofrecieron </w:t>
      </w:r>
      <w:r w:rsidR="009E6173">
        <w:rPr>
          <w:lang w:val="es-CL" w:eastAsia="en-US"/>
        </w:rPr>
        <w:t xml:space="preserve">la declaración de la presunta víctima y </w:t>
      </w:r>
      <w:r w:rsidRPr="001475C8">
        <w:rPr>
          <w:lang w:val="es-CL" w:eastAsia="en-US"/>
        </w:rPr>
        <w:t xml:space="preserve">cinco </w:t>
      </w:r>
      <w:r w:rsidR="009E6173" w:rsidRPr="001475C8">
        <w:rPr>
          <w:lang w:val="es-CL" w:eastAsia="en-US"/>
        </w:rPr>
        <w:t>d</w:t>
      </w:r>
      <w:r w:rsidR="009E6173">
        <w:rPr>
          <w:lang w:val="es-CL" w:eastAsia="en-US"/>
        </w:rPr>
        <w:t xml:space="preserve">ictámenes periciales </w:t>
      </w:r>
      <w:r>
        <w:rPr>
          <w:lang w:val="es-CL" w:eastAsia="en-US"/>
        </w:rPr>
        <w:t xml:space="preserve">y </w:t>
      </w:r>
      <w:r w:rsidRPr="001475C8">
        <w:rPr>
          <w:lang w:val="es-CL" w:eastAsia="en-US"/>
        </w:rPr>
        <w:t>solicitaron ac</w:t>
      </w:r>
      <w:r>
        <w:rPr>
          <w:lang w:val="es-CL" w:eastAsia="en-US"/>
        </w:rPr>
        <w:t>ogerse al Fondo de Asistencia Legal de Víctimas de</w:t>
      </w:r>
      <w:r w:rsidRPr="001475C8">
        <w:rPr>
          <w:lang w:val="es-CL" w:eastAsia="en-US"/>
        </w:rPr>
        <w:t xml:space="preserve"> la Corte para “</w:t>
      </w:r>
      <w:r w:rsidR="0014289F">
        <w:rPr>
          <w:lang w:val="es-CL" w:eastAsia="en-US"/>
        </w:rPr>
        <w:t>c</w:t>
      </w:r>
      <w:r w:rsidR="0014289F" w:rsidRPr="0014289F">
        <w:rPr>
          <w:lang w:val="es-CL" w:eastAsia="en-US"/>
        </w:rPr>
        <w:t>ubrir algunos costos concretos</w:t>
      </w:r>
      <w:r w:rsidR="0014289F">
        <w:rPr>
          <w:lang w:val="es-CL" w:eastAsia="en-US"/>
        </w:rPr>
        <w:t xml:space="preserve"> </w:t>
      </w:r>
      <w:r w:rsidR="0014289F" w:rsidRPr="0014289F">
        <w:rPr>
          <w:lang w:val="es-CL" w:eastAsia="en-US"/>
        </w:rPr>
        <w:t>relacionados con la producción de prueba durante el proceso del presente caso ante la Corte</w:t>
      </w:r>
      <w:r w:rsidR="0014289F">
        <w:rPr>
          <w:lang w:val="es-CL" w:eastAsia="en-US"/>
        </w:rPr>
        <w:t>”</w:t>
      </w:r>
      <w:r w:rsidR="000D6A70">
        <w:rPr>
          <w:lang w:val="es-CL" w:eastAsia="en-US"/>
        </w:rPr>
        <w:t>, específicamente los “[g]</w:t>
      </w:r>
      <w:proofErr w:type="spellStart"/>
      <w:r w:rsidR="000D6A70" w:rsidRPr="000D6A70">
        <w:rPr>
          <w:lang w:val="es-CL" w:eastAsia="en-US"/>
        </w:rPr>
        <w:t>astos</w:t>
      </w:r>
      <w:proofErr w:type="spellEnd"/>
      <w:r w:rsidR="000D6A70" w:rsidRPr="000D6A70">
        <w:rPr>
          <w:lang w:val="es-CL" w:eastAsia="en-US"/>
        </w:rPr>
        <w:t xml:space="preserve"> de viaje (pasaje, hotel y per diem) de las personas que la Corte llame a declarar en</w:t>
      </w:r>
      <w:r w:rsidR="000D6A70">
        <w:rPr>
          <w:lang w:val="es-CL" w:eastAsia="en-US"/>
        </w:rPr>
        <w:t xml:space="preserve"> </w:t>
      </w:r>
      <w:r w:rsidR="000D6A70" w:rsidRPr="000D6A70">
        <w:rPr>
          <w:lang w:val="es-CL" w:eastAsia="en-US"/>
        </w:rPr>
        <w:t>audiencia</w:t>
      </w:r>
      <w:r w:rsidR="000D6A70">
        <w:rPr>
          <w:lang w:val="es-CL" w:eastAsia="en-US"/>
        </w:rPr>
        <w:t>” y los “[g]</w:t>
      </w:r>
      <w:proofErr w:type="spellStart"/>
      <w:r w:rsidR="000D6A70" w:rsidRPr="000D6A70">
        <w:rPr>
          <w:lang w:val="es-CL" w:eastAsia="en-US"/>
        </w:rPr>
        <w:t>astos</w:t>
      </w:r>
      <w:proofErr w:type="spellEnd"/>
      <w:r w:rsidR="000D6A70" w:rsidRPr="000D6A70">
        <w:rPr>
          <w:lang w:val="es-CL" w:eastAsia="en-US"/>
        </w:rPr>
        <w:t xml:space="preserve"> de notario derivados de las declaraciones</w:t>
      </w:r>
      <w:r w:rsidR="002D2225">
        <w:rPr>
          <w:lang w:val="es-CL" w:eastAsia="en-US"/>
        </w:rPr>
        <w:t>” a ser rendidas ante fedatario público</w:t>
      </w:r>
      <w:r w:rsidR="000D6A70">
        <w:rPr>
          <w:lang w:val="es-CL" w:eastAsia="en-US"/>
        </w:rPr>
        <w:t>.</w:t>
      </w:r>
    </w:p>
    <w:p w:rsidR="00FF6BBC" w:rsidRPr="008964B9" w:rsidRDefault="00FF6BBC" w:rsidP="00BB7C08">
      <w:pPr>
        <w:numPr>
          <w:ilvl w:val="0"/>
          <w:numId w:val="1"/>
        </w:numPr>
        <w:tabs>
          <w:tab w:val="clear" w:pos="360"/>
          <w:tab w:val="num" w:pos="720"/>
        </w:tabs>
        <w:autoSpaceDE w:val="0"/>
        <w:autoSpaceDN w:val="0"/>
        <w:adjustRightInd w:val="0"/>
        <w:ind w:left="0" w:firstLine="0"/>
        <w:rPr>
          <w:lang w:val="es-CL" w:eastAsia="en-US"/>
        </w:rPr>
      </w:pPr>
      <w:r>
        <w:rPr>
          <w:lang w:val="es-CL" w:eastAsia="en-US"/>
        </w:rPr>
        <w:t xml:space="preserve">El escrito de </w:t>
      </w:r>
      <w:r w:rsidR="00365540">
        <w:rPr>
          <w:lang w:val="es-CL" w:eastAsia="en-US"/>
        </w:rPr>
        <w:t>1 de abril de 2015</w:t>
      </w:r>
      <w:r w:rsidR="00162E5D">
        <w:rPr>
          <w:lang w:val="es-CL" w:eastAsia="en-US"/>
        </w:rPr>
        <w:t>, y sus anexos recibidos el día 21 del mismo mes y año</w:t>
      </w:r>
      <w:r>
        <w:rPr>
          <w:lang w:val="es-CL" w:eastAsia="en-US"/>
        </w:rPr>
        <w:t xml:space="preserve">, mediante el cual el Estado de Colombia (en adelante “el Estado”) remitió la contestación al </w:t>
      </w:r>
      <w:r>
        <w:rPr>
          <w:lang w:val="es-CL" w:eastAsia="en-US"/>
        </w:rPr>
        <w:lastRenderedPageBreak/>
        <w:t>escrito de sometimiento del caso y al escrito de solicitudes y argumentos.</w:t>
      </w:r>
      <w:r w:rsidR="00EB7F29" w:rsidRPr="00EB7F29">
        <w:rPr>
          <w:lang w:val="es-ES"/>
        </w:rPr>
        <w:t xml:space="preserve"> </w:t>
      </w:r>
      <w:r w:rsidR="00EB7F29" w:rsidRPr="008964B9">
        <w:rPr>
          <w:lang w:val="es-ES"/>
        </w:rPr>
        <w:t>El Estado no se pronunció en la contestación sobre la solicitud de la presunta víctima respecto al Fondo.</w:t>
      </w:r>
    </w:p>
    <w:p w:rsidR="00CD77A3" w:rsidRPr="005462CE" w:rsidRDefault="00CD77A3" w:rsidP="005462CE">
      <w:pPr>
        <w:numPr>
          <w:ilvl w:val="0"/>
          <w:numId w:val="1"/>
        </w:numPr>
        <w:tabs>
          <w:tab w:val="clear" w:pos="360"/>
          <w:tab w:val="num" w:pos="720"/>
        </w:tabs>
        <w:autoSpaceDE w:val="0"/>
        <w:autoSpaceDN w:val="0"/>
        <w:adjustRightInd w:val="0"/>
        <w:ind w:left="0" w:firstLine="0"/>
        <w:rPr>
          <w:lang w:val="es-CL" w:eastAsia="en-US"/>
        </w:rPr>
      </w:pPr>
      <w:r w:rsidRPr="008964B9">
        <w:rPr>
          <w:lang w:val="es-CL" w:eastAsia="en-US"/>
        </w:rPr>
        <w:t xml:space="preserve">La nota de la Secretaría de la Corte de </w:t>
      </w:r>
      <w:r w:rsidR="008964B9">
        <w:rPr>
          <w:lang w:val="es-CL" w:eastAsia="en-US"/>
        </w:rPr>
        <w:t>7</w:t>
      </w:r>
      <w:r w:rsidRPr="008964B9">
        <w:rPr>
          <w:lang w:val="es-CL" w:eastAsia="en-US"/>
        </w:rPr>
        <w:t xml:space="preserve"> de </w:t>
      </w:r>
      <w:r w:rsidR="008964B9">
        <w:rPr>
          <w:lang w:val="es-CL" w:eastAsia="en-US"/>
        </w:rPr>
        <w:t>abril</w:t>
      </w:r>
      <w:r w:rsidR="001503B6" w:rsidRPr="008964B9">
        <w:rPr>
          <w:lang w:val="es-CL" w:eastAsia="en-US"/>
        </w:rPr>
        <w:t xml:space="preserve"> de 2015</w:t>
      </w:r>
      <w:r w:rsidRPr="008964B9">
        <w:rPr>
          <w:lang w:val="es-CL" w:eastAsia="en-US"/>
        </w:rPr>
        <w:t>, mediante la</w:t>
      </w:r>
      <w:r w:rsidR="005B450F">
        <w:rPr>
          <w:lang w:val="es-CL" w:eastAsia="en-US"/>
        </w:rPr>
        <w:t xml:space="preserve"> cual</w:t>
      </w:r>
      <w:r w:rsidRPr="00580323">
        <w:rPr>
          <w:lang w:val="es-CL" w:eastAsia="en-US"/>
        </w:rPr>
        <w:t xml:space="preserve"> se solicitó a los representantes que, </w:t>
      </w:r>
      <w:r w:rsidRPr="008964B9">
        <w:rPr>
          <w:lang w:val="es-CL" w:eastAsia="en-US"/>
        </w:rPr>
        <w:t xml:space="preserve">a más tardar el </w:t>
      </w:r>
      <w:r w:rsidR="008964B9">
        <w:rPr>
          <w:lang w:val="es-CL" w:eastAsia="en-US"/>
        </w:rPr>
        <w:t>14</w:t>
      </w:r>
      <w:r w:rsidRPr="008964B9">
        <w:rPr>
          <w:lang w:val="es-CL" w:eastAsia="en-US"/>
        </w:rPr>
        <w:t xml:space="preserve"> de </w:t>
      </w:r>
      <w:r w:rsidR="008964B9">
        <w:rPr>
          <w:lang w:val="es-CL" w:eastAsia="en-US"/>
        </w:rPr>
        <w:t>abril</w:t>
      </w:r>
      <w:r w:rsidR="00030DC2" w:rsidRPr="008964B9">
        <w:rPr>
          <w:lang w:val="es-CL" w:eastAsia="en-US"/>
        </w:rPr>
        <w:t xml:space="preserve"> de 2015</w:t>
      </w:r>
      <w:r w:rsidRPr="008964B9">
        <w:rPr>
          <w:lang w:val="es-CL" w:eastAsia="en-US"/>
        </w:rPr>
        <w:t>, aportaran</w:t>
      </w:r>
      <w:r w:rsidRPr="00580323">
        <w:rPr>
          <w:lang w:val="es-CL" w:eastAsia="en-US"/>
        </w:rPr>
        <w:t xml:space="preserve"> </w:t>
      </w:r>
      <w:r w:rsidR="00705B1C">
        <w:rPr>
          <w:lang w:val="es-CL" w:eastAsia="en-US"/>
        </w:rPr>
        <w:t>l</w:t>
      </w:r>
      <w:r w:rsidR="005B66FA" w:rsidRPr="005B66FA">
        <w:rPr>
          <w:lang w:val="es-CL" w:eastAsia="en-US"/>
        </w:rPr>
        <w:t xml:space="preserve">os medios probatorios idóneos para demostrar que </w:t>
      </w:r>
      <w:r w:rsidR="005B66FA">
        <w:rPr>
          <w:lang w:val="es-CL" w:eastAsia="en-US"/>
        </w:rPr>
        <w:t>esta</w:t>
      </w:r>
      <w:r w:rsidR="00030DC2">
        <w:rPr>
          <w:lang w:val="es-CL" w:eastAsia="en-US"/>
        </w:rPr>
        <w:t xml:space="preserve"> </w:t>
      </w:r>
      <w:r w:rsidRPr="00580323">
        <w:rPr>
          <w:lang w:val="es-CL" w:eastAsia="en-US"/>
        </w:rPr>
        <w:t>“carece de recursos económicos suficientes para solventar los costos del litigio ante la Corte”</w:t>
      </w:r>
      <w:r w:rsidR="005B450F">
        <w:rPr>
          <w:rStyle w:val="FootnoteReference"/>
          <w:lang w:val="es-CL" w:eastAsia="en-US"/>
        </w:rPr>
        <w:footnoteReference w:id="3"/>
      </w:r>
      <w:r w:rsidR="005462CE">
        <w:rPr>
          <w:szCs w:val="24"/>
        </w:rPr>
        <w:t>.</w:t>
      </w:r>
    </w:p>
    <w:p w:rsidR="00CD77A3" w:rsidRPr="00C51B56" w:rsidRDefault="00CD77A3" w:rsidP="00C51B56">
      <w:pPr>
        <w:numPr>
          <w:ilvl w:val="0"/>
          <w:numId w:val="1"/>
        </w:numPr>
        <w:tabs>
          <w:tab w:val="clear" w:pos="360"/>
          <w:tab w:val="num" w:pos="720"/>
        </w:tabs>
        <w:autoSpaceDE w:val="0"/>
        <w:autoSpaceDN w:val="0"/>
        <w:adjustRightInd w:val="0"/>
        <w:ind w:left="0" w:firstLine="0"/>
        <w:rPr>
          <w:lang w:val="es-CL" w:eastAsia="en-US"/>
        </w:rPr>
      </w:pPr>
      <w:r>
        <w:rPr>
          <w:lang w:val="es-CL" w:eastAsia="en-US"/>
        </w:rPr>
        <w:t>La c</w:t>
      </w:r>
      <w:r w:rsidRPr="00632492">
        <w:rPr>
          <w:lang w:val="es-CL" w:eastAsia="en-US"/>
        </w:rPr>
        <w:t xml:space="preserve">omunicación de </w:t>
      </w:r>
      <w:r w:rsidR="00C32836">
        <w:rPr>
          <w:lang w:val="es-CL" w:eastAsia="en-US"/>
        </w:rPr>
        <w:t>14</w:t>
      </w:r>
      <w:r w:rsidRPr="00632492">
        <w:rPr>
          <w:lang w:val="es-CL" w:eastAsia="en-US"/>
        </w:rPr>
        <w:t xml:space="preserve"> de </w:t>
      </w:r>
      <w:r w:rsidR="00C32836">
        <w:rPr>
          <w:lang w:val="es-CL" w:eastAsia="en-US"/>
        </w:rPr>
        <w:t>abril</w:t>
      </w:r>
      <w:r w:rsidRPr="00632492">
        <w:rPr>
          <w:lang w:val="es-CL" w:eastAsia="en-US"/>
        </w:rPr>
        <w:t xml:space="preserve"> de 201</w:t>
      </w:r>
      <w:r w:rsidR="00FF6BBC">
        <w:rPr>
          <w:lang w:val="es-CL" w:eastAsia="en-US"/>
        </w:rPr>
        <w:t>5</w:t>
      </w:r>
      <w:r w:rsidRPr="00632492">
        <w:rPr>
          <w:lang w:val="es-CL" w:eastAsia="en-US"/>
        </w:rPr>
        <w:t xml:space="preserve"> y su</w:t>
      </w:r>
      <w:r w:rsidR="00C32836">
        <w:rPr>
          <w:lang w:val="es-CL" w:eastAsia="en-US"/>
        </w:rPr>
        <w:t>s</w:t>
      </w:r>
      <w:r w:rsidRPr="00632492">
        <w:rPr>
          <w:lang w:val="es-CL" w:eastAsia="en-US"/>
        </w:rPr>
        <w:t xml:space="preserve"> anexo</w:t>
      </w:r>
      <w:r w:rsidR="00C32836">
        <w:rPr>
          <w:lang w:val="es-CL" w:eastAsia="en-US"/>
        </w:rPr>
        <w:t>s</w:t>
      </w:r>
      <w:r w:rsidRPr="00632492">
        <w:rPr>
          <w:lang w:val="es-CL" w:eastAsia="en-US"/>
        </w:rPr>
        <w:t>, mediante los cuales los representantes remitieron, en respuesta a lo solicitado</w:t>
      </w:r>
      <w:r>
        <w:rPr>
          <w:lang w:val="es-CL" w:eastAsia="en-US"/>
        </w:rPr>
        <w:t xml:space="preserve"> en la nota anteri</w:t>
      </w:r>
      <w:r w:rsidR="004B4D26">
        <w:rPr>
          <w:lang w:val="es-CL" w:eastAsia="en-US"/>
        </w:rPr>
        <w:t>o</w:t>
      </w:r>
      <w:r>
        <w:rPr>
          <w:lang w:val="es-CL" w:eastAsia="en-US"/>
        </w:rPr>
        <w:t>r</w:t>
      </w:r>
      <w:r w:rsidRPr="00632492">
        <w:rPr>
          <w:lang w:val="es-CL" w:eastAsia="en-US"/>
        </w:rPr>
        <w:t>,</w:t>
      </w:r>
      <w:r w:rsidR="00C32836">
        <w:rPr>
          <w:lang w:val="es-CL" w:eastAsia="en-US"/>
        </w:rPr>
        <w:t xml:space="preserve"> dos declaraciones rendidas ante fedatario público</w:t>
      </w:r>
      <w:r w:rsidR="006528FC">
        <w:rPr>
          <w:rStyle w:val="FootnoteReference"/>
          <w:lang w:val="es-CL" w:eastAsia="en-US"/>
        </w:rPr>
        <w:footnoteReference w:id="4"/>
      </w:r>
      <w:r w:rsidR="00C32836">
        <w:rPr>
          <w:lang w:val="es-CL" w:eastAsia="en-US"/>
        </w:rPr>
        <w:t xml:space="preserve"> y dos comprobantes de pago</w:t>
      </w:r>
      <w:r w:rsidR="006528FC">
        <w:rPr>
          <w:rStyle w:val="FootnoteReference"/>
          <w:lang w:val="es-CL" w:eastAsia="en-US"/>
        </w:rPr>
        <w:footnoteReference w:id="5"/>
      </w:r>
      <w:r w:rsidRPr="00632492">
        <w:rPr>
          <w:lang w:val="es-CL" w:eastAsia="en-US"/>
        </w:rPr>
        <w:t>.</w:t>
      </w:r>
      <w:r>
        <w:rPr>
          <w:lang w:val="es-CL" w:eastAsia="en-US"/>
        </w:rPr>
        <w:t xml:space="preserve"> </w:t>
      </w:r>
    </w:p>
    <w:p w:rsidR="00CD77A3" w:rsidRPr="005847C6" w:rsidRDefault="00CD77A3" w:rsidP="00BB7C08">
      <w:pPr>
        <w:autoSpaceDE w:val="0"/>
        <w:autoSpaceDN w:val="0"/>
        <w:adjustRightInd w:val="0"/>
        <w:rPr>
          <w:color w:val="C00000"/>
          <w:lang w:val="es-CL" w:eastAsia="en-US"/>
        </w:rPr>
      </w:pPr>
    </w:p>
    <w:p w:rsidR="00CD77A3" w:rsidRPr="00FE48AF" w:rsidRDefault="00CD77A3" w:rsidP="00BB7C08">
      <w:pPr>
        <w:autoSpaceDE w:val="0"/>
        <w:autoSpaceDN w:val="0"/>
        <w:adjustRightInd w:val="0"/>
        <w:spacing w:after="0"/>
        <w:jc w:val="left"/>
        <w:rPr>
          <w:b/>
          <w:bCs/>
          <w:lang w:val="es-CL" w:eastAsia="en-US"/>
        </w:rPr>
      </w:pPr>
      <w:r w:rsidRPr="00FE48AF">
        <w:rPr>
          <w:b/>
          <w:bCs/>
          <w:lang w:val="es-CL" w:eastAsia="en-US"/>
        </w:rPr>
        <w:t>CONSIDERANDO QUE:</w:t>
      </w:r>
    </w:p>
    <w:p w:rsidR="00CD77A3" w:rsidRPr="005847C6" w:rsidRDefault="00CD77A3" w:rsidP="00BB7C08">
      <w:pPr>
        <w:autoSpaceDE w:val="0"/>
        <w:autoSpaceDN w:val="0"/>
        <w:adjustRightInd w:val="0"/>
        <w:spacing w:after="0"/>
        <w:jc w:val="left"/>
        <w:rPr>
          <w:b/>
          <w:bCs/>
          <w:color w:val="C00000"/>
          <w:lang w:val="es-CL" w:eastAsia="en-US"/>
        </w:rPr>
      </w:pPr>
    </w:p>
    <w:p w:rsidR="00CD77A3" w:rsidRPr="00F35327" w:rsidRDefault="004A2C71" w:rsidP="005C4CBC">
      <w:pPr>
        <w:numPr>
          <w:ilvl w:val="0"/>
          <w:numId w:val="2"/>
        </w:numPr>
        <w:tabs>
          <w:tab w:val="clear" w:pos="720"/>
        </w:tabs>
        <w:autoSpaceDE w:val="0"/>
        <w:autoSpaceDN w:val="0"/>
        <w:adjustRightInd w:val="0"/>
      </w:pPr>
      <w:r>
        <w:t>Colombia</w:t>
      </w:r>
      <w:r w:rsidR="00CD77A3">
        <w:t xml:space="preserve"> </w:t>
      </w:r>
      <w:r w:rsidR="00CD77A3" w:rsidRPr="008F6E34">
        <w:t xml:space="preserve">es Estado Parte en la Convención Americana </w:t>
      </w:r>
      <w:r w:rsidR="00CD77A3">
        <w:t xml:space="preserve">(en adelante “la Convención Americana” o “la Convención”) </w:t>
      </w:r>
      <w:r w:rsidR="00CD77A3" w:rsidRPr="008F6E34">
        <w:t xml:space="preserve">desde el </w:t>
      </w:r>
      <w:r>
        <w:rPr>
          <w:lang w:val="es-ES"/>
        </w:rPr>
        <w:t>31 de julio de 1973</w:t>
      </w:r>
      <w:r w:rsidRPr="00897CBE">
        <w:rPr>
          <w:lang w:val="es-ES"/>
        </w:rPr>
        <w:t xml:space="preserve"> y reconoció la competencia contenciosa de la Corte el </w:t>
      </w:r>
      <w:r>
        <w:rPr>
          <w:lang w:val="es-ES"/>
        </w:rPr>
        <w:t>21 de junio de 1985</w:t>
      </w:r>
      <w:r w:rsidRPr="00897CBE">
        <w:rPr>
          <w:lang w:val="es-ES"/>
        </w:rPr>
        <w:t>.</w:t>
      </w:r>
    </w:p>
    <w:p w:rsidR="00CD77A3" w:rsidRPr="00B9343A" w:rsidRDefault="00540960" w:rsidP="00724C64">
      <w:pPr>
        <w:numPr>
          <w:ilvl w:val="0"/>
          <w:numId w:val="2"/>
        </w:numPr>
        <w:tabs>
          <w:tab w:val="clear" w:pos="720"/>
        </w:tabs>
        <w:autoSpaceDE w:val="0"/>
        <w:autoSpaceDN w:val="0"/>
        <w:adjustRightInd w:val="0"/>
      </w:pPr>
      <w:r w:rsidRPr="003D50C7">
        <w:rPr>
          <w:lang w:val="es-CR"/>
        </w:rPr>
        <w:t xml:space="preserve">El Presidente </w:t>
      </w:r>
      <w:r>
        <w:rPr>
          <w:lang w:val="es-CR"/>
        </w:rPr>
        <w:t xml:space="preserve">del Tribunal en ejercicio para este caso (en adelante “Presidente en ejercicio”) </w:t>
      </w:r>
      <w:r w:rsidRPr="003D50C7">
        <w:rPr>
          <w:lang w:val="es-CR"/>
        </w:rPr>
        <w:t xml:space="preserve">constata que </w:t>
      </w:r>
      <w:r w:rsidR="00CD77A3">
        <w:t xml:space="preserve">la solicitud para acogerse al Fondo de Asistencia de la Corte fue </w:t>
      </w:r>
      <w:r w:rsidR="00D95836">
        <w:t>formul</w:t>
      </w:r>
      <w:r w:rsidR="00CD77A3">
        <w:t xml:space="preserve">ada oportunamente </w:t>
      </w:r>
      <w:r>
        <w:t xml:space="preserve">por los representantes de la presunta víctima </w:t>
      </w:r>
      <w:r w:rsidR="00CD77A3">
        <w:t xml:space="preserve">en el escrito de solicitudes y argumentos. </w:t>
      </w:r>
      <w:r w:rsidR="00D123A0">
        <w:t xml:space="preserve">Al respecto, </w:t>
      </w:r>
      <w:r w:rsidR="00CD77A3" w:rsidRPr="006D1625">
        <w:rPr>
          <w:lang w:val="es-CR"/>
        </w:rPr>
        <w:t xml:space="preserve">entiende que dicha solicitud </w:t>
      </w:r>
      <w:r w:rsidR="00CD77A3">
        <w:rPr>
          <w:lang w:val="es-CR"/>
        </w:rPr>
        <w:t>fue</w:t>
      </w:r>
      <w:r w:rsidR="00CD77A3" w:rsidRPr="006D1625">
        <w:rPr>
          <w:lang w:val="es-CR"/>
        </w:rPr>
        <w:t xml:space="preserve"> realiz</w:t>
      </w:r>
      <w:r w:rsidR="00D123A0">
        <w:rPr>
          <w:lang w:val="es-CR"/>
        </w:rPr>
        <w:t>ada en nombre de la</w:t>
      </w:r>
      <w:r w:rsidR="00CD77A3" w:rsidRPr="006D1625">
        <w:rPr>
          <w:lang w:val="es-CR"/>
        </w:rPr>
        <w:t xml:space="preserve"> presun</w:t>
      </w:r>
      <w:r w:rsidR="00D123A0">
        <w:rPr>
          <w:lang w:val="es-CR"/>
        </w:rPr>
        <w:t>ta víctima</w:t>
      </w:r>
      <w:r w:rsidR="00CD77A3">
        <w:rPr>
          <w:lang w:val="es-CR"/>
        </w:rPr>
        <w:t xml:space="preserve"> </w:t>
      </w:r>
      <w:r w:rsidR="00CD77A3" w:rsidRPr="00B9343A">
        <w:rPr>
          <w:lang w:val="es-CR"/>
        </w:rPr>
        <w:t xml:space="preserve">y </w:t>
      </w:r>
      <w:r w:rsidR="00CD77A3" w:rsidRPr="00B9343A">
        <w:rPr>
          <w:lang w:val="es-ES"/>
        </w:rPr>
        <w:t>toma nota de su carencia de recursos económicos, respecto de lo cual considera suficiente, como evidencia de ello, la</w:t>
      </w:r>
      <w:r w:rsidR="00B9343A">
        <w:rPr>
          <w:lang w:val="es-ES"/>
        </w:rPr>
        <w:t>s declaracio</w:t>
      </w:r>
      <w:r w:rsidR="00CD77A3" w:rsidRPr="00B9343A">
        <w:rPr>
          <w:lang w:val="es-ES"/>
        </w:rPr>
        <w:t>n</w:t>
      </w:r>
      <w:r w:rsidR="00B9343A">
        <w:rPr>
          <w:lang w:val="es-ES"/>
        </w:rPr>
        <w:t>es</w:t>
      </w:r>
      <w:r w:rsidR="00CD77A3" w:rsidRPr="00B9343A">
        <w:rPr>
          <w:lang w:val="es-ES"/>
        </w:rPr>
        <w:t xml:space="preserve"> </w:t>
      </w:r>
      <w:r w:rsidR="00B9343A">
        <w:rPr>
          <w:lang w:val="es-ES"/>
        </w:rPr>
        <w:t>y comprobantes de pago presentados</w:t>
      </w:r>
      <w:r w:rsidR="00CD77A3" w:rsidRPr="00B9343A">
        <w:rPr>
          <w:lang w:val="es-ES"/>
        </w:rPr>
        <w:t xml:space="preserve"> </w:t>
      </w:r>
      <w:r w:rsidR="00CE6B74">
        <w:rPr>
          <w:lang w:val="es-ES"/>
        </w:rPr>
        <w:t xml:space="preserve">por los representantes </w:t>
      </w:r>
      <w:r w:rsidR="00CD77A3" w:rsidRPr="00B9343A">
        <w:rPr>
          <w:lang w:val="es-ES"/>
        </w:rPr>
        <w:t>de conformidad con el artículo 2 del Reglamento del Fondo de Asistencia de la Corte.</w:t>
      </w:r>
      <w:r w:rsidR="009536BC" w:rsidRPr="00B9343A">
        <w:rPr>
          <w:lang w:val="es-ES"/>
        </w:rPr>
        <w:t xml:space="preserve"> Además, advierte que el Estado no se pronunció en su contestación respecto de la solicitud realizada por la </w:t>
      </w:r>
      <w:r w:rsidR="00D123A0" w:rsidRPr="00B9343A">
        <w:rPr>
          <w:lang w:val="es-ES"/>
        </w:rPr>
        <w:t>presunta víctima</w:t>
      </w:r>
      <w:r w:rsidR="009536BC" w:rsidRPr="00B9343A">
        <w:rPr>
          <w:lang w:val="es-ES"/>
        </w:rPr>
        <w:t>.</w:t>
      </w:r>
    </w:p>
    <w:p w:rsidR="00C9769C" w:rsidRPr="00475025" w:rsidRDefault="00C9769C" w:rsidP="00475025">
      <w:pPr>
        <w:numPr>
          <w:ilvl w:val="0"/>
          <w:numId w:val="2"/>
        </w:numPr>
        <w:tabs>
          <w:tab w:val="clear" w:pos="720"/>
        </w:tabs>
        <w:autoSpaceDE w:val="0"/>
        <w:autoSpaceDN w:val="0"/>
        <w:adjustRightInd w:val="0"/>
        <w:rPr>
          <w:lang w:val="es-ES"/>
        </w:rPr>
      </w:pPr>
      <w:r w:rsidRPr="00F070DD">
        <w:rPr>
          <w:lang w:val="es-CR"/>
        </w:rPr>
        <w:t>En razón de las consideraciones anteriores, el Presidente en ejercicio establece que e</w:t>
      </w:r>
      <w:r w:rsidR="00475025">
        <w:rPr>
          <w:lang w:val="es-CR"/>
        </w:rPr>
        <w:t>s procedente la solicitud de la</w:t>
      </w:r>
      <w:r w:rsidRPr="00F070DD">
        <w:rPr>
          <w:lang w:val="es-CR"/>
        </w:rPr>
        <w:t xml:space="preserve"> </w:t>
      </w:r>
      <w:r w:rsidR="00475025">
        <w:rPr>
          <w:lang w:val="es-CR"/>
        </w:rPr>
        <w:t>presunta víctima</w:t>
      </w:r>
      <w:r w:rsidRPr="00F070DD">
        <w:rPr>
          <w:lang w:val="es-CR"/>
        </w:rPr>
        <w:t xml:space="preserve"> de acog</w:t>
      </w:r>
      <w:r>
        <w:rPr>
          <w:lang w:val="es-CR"/>
        </w:rPr>
        <w:t>erse al Fondo</w:t>
      </w:r>
      <w:r w:rsidRPr="00F070DD">
        <w:rPr>
          <w:lang w:val="es-CR"/>
        </w:rPr>
        <w:t xml:space="preserve">, en el entendido de que sería para solventar los gastos </w:t>
      </w:r>
      <w:r w:rsidRPr="00E13BD7">
        <w:rPr>
          <w:lang w:val="es-CR"/>
        </w:rPr>
        <w:t xml:space="preserve">que ocasionaría </w:t>
      </w:r>
      <w:r>
        <w:rPr>
          <w:lang w:val="es-CR"/>
        </w:rPr>
        <w:t xml:space="preserve">la </w:t>
      </w:r>
      <w:r w:rsidR="00475025" w:rsidRPr="00CE6B74">
        <w:rPr>
          <w:lang w:val="es-CR"/>
        </w:rPr>
        <w:t xml:space="preserve">eventual </w:t>
      </w:r>
      <w:r w:rsidRPr="00CE6B74">
        <w:rPr>
          <w:lang w:val="es-CR"/>
        </w:rPr>
        <w:t>c</w:t>
      </w:r>
      <w:r w:rsidRPr="00EF2887">
        <w:rPr>
          <w:lang w:val="es-CR"/>
        </w:rPr>
        <w:t xml:space="preserve">omparecencia de </w:t>
      </w:r>
      <w:r w:rsidR="00475025" w:rsidRPr="00EF2887">
        <w:rPr>
          <w:lang w:val="es-CR"/>
        </w:rPr>
        <w:t xml:space="preserve">esta </w:t>
      </w:r>
      <w:r w:rsidRPr="00EF2887">
        <w:rPr>
          <w:lang w:val="es-CR"/>
        </w:rPr>
        <w:t xml:space="preserve">y </w:t>
      </w:r>
      <w:r w:rsidR="00EF2887" w:rsidRPr="00EF2887">
        <w:rPr>
          <w:lang w:val="es-CR"/>
        </w:rPr>
        <w:t>otros declarantes</w:t>
      </w:r>
      <w:r w:rsidRPr="00EF2887">
        <w:rPr>
          <w:lang w:val="es-CR"/>
        </w:rPr>
        <w:t xml:space="preserve"> en </w:t>
      </w:r>
      <w:r w:rsidR="00475025" w:rsidRPr="00EF2887">
        <w:rPr>
          <w:lang w:val="es-CR"/>
        </w:rPr>
        <w:t>l</w:t>
      </w:r>
      <w:r w:rsidRPr="00EF2887">
        <w:rPr>
          <w:lang w:val="es-CR"/>
        </w:rPr>
        <w:t>a audiencia pública, así como la pres</w:t>
      </w:r>
      <w:r>
        <w:rPr>
          <w:lang w:val="es-CR"/>
        </w:rPr>
        <w:t>entación de declaraciones juradas a la Corte. En ese sentido, a</w:t>
      </w:r>
      <w:r w:rsidRPr="00926C88">
        <w:rPr>
          <w:lang w:val="es-CR"/>
        </w:rPr>
        <w:t>tendiendo a los recursos actualmente dispo</w:t>
      </w:r>
      <w:r>
        <w:rPr>
          <w:lang w:val="es-CR"/>
        </w:rPr>
        <w:t>nibles en el Fondo</w:t>
      </w:r>
      <w:r w:rsidRPr="00F070DD">
        <w:rPr>
          <w:lang w:val="es-CR"/>
        </w:rPr>
        <w:t xml:space="preserve">, se otorgará a </w:t>
      </w:r>
      <w:r w:rsidR="00475025">
        <w:rPr>
          <w:lang w:val="es-CR"/>
        </w:rPr>
        <w:t>la presunta víctima</w:t>
      </w:r>
      <w:r w:rsidRPr="00F070DD">
        <w:rPr>
          <w:lang w:val="es-CR"/>
        </w:rPr>
        <w:t xml:space="preserve"> la ayuda económica necesaria para la presentación de un </w:t>
      </w:r>
      <w:r w:rsidRPr="007D0DB2">
        <w:rPr>
          <w:lang w:val="es-CR"/>
        </w:rPr>
        <w:t xml:space="preserve">máximo </w:t>
      </w:r>
      <w:r w:rsidRPr="0080391C">
        <w:rPr>
          <w:lang w:val="es-CR"/>
        </w:rPr>
        <w:t xml:space="preserve">de </w:t>
      </w:r>
      <w:r w:rsidR="00705B1C" w:rsidRPr="0080391C">
        <w:rPr>
          <w:lang w:val="es-CR"/>
        </w:rPr>
        <w:t xml:space="preserve">tres </w:t>
      </w:r>
      <w:r w:rsidRPr="0080391C">
        <w:rPr>
          <w:lang w:val="es-CR"/>
        </w:rPr>
        <w:t>declarantes</w:t>
      </w:r>
      <w:r w:rsidRPr="007D0DB2">
        <w:rPr>
          <w:lang w:val="es-CR"/>
        </w:rPr>
        <w:t xml:space="preserve">, ya sea en audiencia o por </w:t>
      </w:r>
      <w:r w:rsidR="008A0827" w:rsidRPr="008A0827">
        <w:rPr>
          <w:i/>
          <w:iCs/>
          <w:lang w:val="es-CR"/>
        </w:rPr>
        <w:t>affidavit</w:t>
      </w:r>
      <w:r w:rsidRPr="007D0DB2">
        <w:rPr>
          <w:lang w:val="es-CR"/>
        </w:rPr>
        <w:t xml:space="preserve">. </w:t>
      </w:r>
    </w:p>
    <w:p w:rsidR="00927D05" w:rsidRPr="00475025" w:rsidRDefault="00C9769C" w:rsidP="00475025">
      <w:pPr>
        <w:numPr>
          <w:ilvl w:val="0"/>
          <w:numId w:val="2"/>
        </w:numPr>
        <w:tabs>
          <w:tab w:val="clear" w:pos="720"/>
        </w:tabs>
        <w:autoSpaceDE w:val="0"/>
        <w:autoSpaceDN w:val="0"/>
        <w:adjustRightInd w:val="0"/>
        <w:rPr>
          <w:lang w:val="es-ES"/>
        </w:rPr>
      </w:pPr>
      <w:r w:rsidRPr="00280332">
        <w:rPr>
          <w:lang w:val="es-CR"/>
        </w:rPr>
        <w:t>Por otra parte, el Presidente en ejercicio estima conveniente postergar la determinación del monto, destino y objeto específicos de la asistencia económica que ser</w:t>
      </w:r>
      <w:r w:rsidR="002205F7">
        <w:rPr>
          <w:lang w:val="es-CR"/>
        </w:rPr>
        <w:t>á brindada a la presunta víctima</w:t>
      </w:r>
      <w:r w:rsidRPr="00280332">
        <w:rPr>
          <w:lang w:val="es-CR"/>
        </w:rPr>
        <w:t xml:space="preserve"> para el momento en el cual esta Presidencia</w:t>
      </w:r>
      <w:r w:rsidR="002205F7">
        <w:rPr>
          <w:lang w:val="es-CR"/>
        </w:rPr>
        <w:t xml:space="preserve"> en ejercicio</w:t>
      </w:r>
      <w:r w:rsidRPr="00280332">
        <w:rPr>
          <w:lang w:val="es-CR"/>
        </w:rPr>
        <w:t xml:space="preserve"> resuelva sobre la procedencia y relevancia de las decl</w:t>
      </w:r>
      <w:r>
        <w:rPr>
          <w:lang w:val="es-CR"/>
        </w:rPr>
        <w:t xml:space="preserve">araciones </w:t>
      </w:r>
      <w:r w:rsidR="002205F7">
        <w:rPr>
          <w:lang w:val="es-CR"/>
        </w:rPr>
        <w:t xml:space="preserve">ofrecidas </w:t>
      </w:r>
      <w:r w:rsidRPr="00280332">
        <w:rPr>
          <w:lang w:val="es-CR"/>
        </w:rPr>
        <w:t>y</w:t>
      </w:r>
      <w:r w:rsidR="002205F7">
        <w:rPr>
          <w:lang w:val="es-CR"/>
        </w:rPr>
        <w:t xml:space="preserve"> </w:t>
      </w:r>
      <w:r w:rsidRPr="00280332">
        <w:rPr>
          <w:lang w:val="es-CR"/>
        </w:rPr>
        <w:t>la apertura del procedimiento oral, conforme al artículo 50.1 del Reglamento de</w:t>
      </w:r>
      <w:r>
        <w:rPr>
          <w:lang w:val="es-CR"/>
        </w:rPr>
        <w:t xml:space="preserve"> este</w:t>
      </w:r>
      <w:r w:rsidRPr="00280332">
        <w:rPr>
          <w:lang w:val="es-CR"/>
        </w:rPr>
        <w:t xml:space="preserve"> Tribunal, de forma tal que se tenga certeza de las que serán recibidas por la Corte, así como de los medios por </w:t>
      </w:r>
      <w:r>
        <w:rPr>
          <w:lang w:val="es-CR"/>
        </w:rPr>
        <w:t>los cuales éstas serán presentadas</w:t>
      </w:r>
      <w:r w:rsidRPr="00280332">
        <w:rPr>
          <w:lang w:val="es-CR"/>
        </w:rPr>
        <w:t xml:space="preserve">. </w:t>
      </w:r>
    </w:p>
    <w:p w:rsidR="00CD77A3" w:rsidRPr="006E7FAE" w:rsidRDefault="00CD77A3" w:rsidP="006E7FAE">
      <w:pPr>
        <w:numPr>
          <w:ilvl w:val="0"/>
          <w:numId w:val="2"/>
        </w:numPr>
        <w:tabs>
          <w:tab w:val="clear" w:pos="720"/>
        </w:tabs>
        <w:autoSpaceDE w:val="0"/>
        <w:autoSpaceDN w:val="0"/>
        <w:adjustRightInd w:val="0"/>
      </w:pPr>
      <w:r w:rsidRPr="006E7FAE">
        <w:rPr>
          <w:color w:val="000000"/>
          <w:lang w:val="es-CR" w:eastAsia="en-US"/>
        </w:rPr>
        <w:t xml:space="preserve">Finalmente, el Presidente </w:t>
      </w:r>
      <w:r w:rsidR="0011657F">
        <w:rPr>
          <w:color w:val="000000"/>
          <w:lang w:val="es-CR" w:eastAsia="en-US"/>
        </w:rPr>
        <w:t xml:space="preserve">en Ejercicio </w:t>
      </w:r>
      <w:r w:rsidRPr="006E7FAE">
        <w:rPr>
          <w:color w:val="000000"/>
          <w:lang w:val="es-CR" w:eastAsia="en-US"/>
        </w:rPr>
        <w:t xml:space="preserve">recuerda que, según el artículo 5 del Reglamento del Fondo, se informará oportunamente al Estado demandado las erogaciones realizadas en </w:t>
      </w:r>
      <w:r w:rsidRPr="006E7FAE">
        <w:rPr>
          <w:color w:val="000000"/>
          <w:lang w:val="es-CR" w:eastAsia="en-US"/>
        </w:rPr>
        <w:lastRenderedPageBreak/>
        <w:t xml:space="preserve">aplicación del Fondo de Asistencia Legal, para que presente sus observaciones, si así lo desea, dentro del plazo que se establezca al efecto.  </w:t>
      </w:r>
    </w:p>
    <w:p w:rsidR="00CD77A3"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CD77A3" w:rsidRPr="00D06134"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06134">
        <w:rPr>
          <w:b/>
          <w:bCs/>
        </w:rPr>
        <w:t xml:space="preserve">POR TANTO:  </w:t>
      </w:r>
    </w:p>
    <w:p w:rsidR="002A2934" w:rsidRDefault="002A2934"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CD77A3" w:rsidRPr="00D06134"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06134">
        <w:rPr>
          <w:b/>
          <w:bCs/>
        </w:rPr>
        <w:t>EL PRESIDENTE DE LA CORTE INTERAMERICANA DE DERECHOS HUMANOS</w:t>
      </w:r>
      <w:r w:rsidR="00F30DE0" w:rsidRPr="00F30DE0">
        <w:rPr>
          <w:b/>
          <w:bCs/>
        </w:rPr>
        <w:t xml:space="preserve"> </w:t>
      </w:r>
      <w:r w:rsidR="00F30DE0">
        <w:rPr>
          <w:b/>
          <w:bCs/>
        </w:rPr>
        <w:t>EN EJERCICIO PARA EL PRESENTE CASO</w:t>
      </w:r>
      <w:r w:rsidRPr="00D06134">
        <w:rPr>
          <w:b/>
          <w:bCs/>
        </w:rPr>
        <w:t xml:space="preserve">,  </w:t>
      </w:r>
    </w:p>
    <w:p w:rsidR="00CD77A3" w:rsidRDefault="00CD77A3" w:rsidP="002A2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D4056">
        <w:t xml:space="preserve">en ejercicio de </w:t>
      </w:r>
      <w:r>
        <w:t>sus atribuciones en relación al Fondo de Asistencia Legal de Víctimas</w:t>
      </w:r>
      <w:r w:rsidRPr="000D4056">
        <w:t xml:space="preserve"> y de conformidad con </w:t>
      </w:r>
      <w:r>
        <w:t>el artículo</w:t>
      </w:r>
      <w:r w:rsidRPr="007214A2">
        <w:t xml:space="preserve"> 31</w:t>
      </w:r>
      <w:r>
        <w:t xml:space="preserve"> </w:t>
      </w:r>
      <w:r w:rsidRPr="000D4056">
        <w:t>de</w:t>
      </w:r>
      <w:r>
        <w:t>l</w:t>
      </w:r>
      <w:r w:rsidRPr="000D4056">
        <w:t xml:space="preserve"> Reglamento</w:t>
      </w:r>
      <w:r>
        <w:t xml:space="preserve"> del Tribunal y el artículo 3 del Reglamento del Fondo de Asistencia, </w:t>
      </w:r>
    </w:p>
    <w:p w:rsidR="00CD77A3" w:rsidRPr="00D06134"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06134">
        <w:t xml:space="preserve"> </w:t>
      </w:r>
    </w:p>
    <w:p w:rsidR="00CD77A3" w:rsidRPr="00D06134"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06134">
        <w:rPr>
          <w:b/>
          <w:bCs/>
        </w:rPr>
        <w:t xml:space="preserve">RESUELVE: </w:t>
      </w:r>
    </w:p>
    <w:p w:rsidR="00CD77A3" w:rsidRPr="005847C6" w:rsidRDefault="00CD77A3" w:rsidP="00BB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C00000"/>
        </w:rPr>
      </w:pPr>
    </w:p>
    <w:p w:rsidR="00CD77A3" w:rsidRDefault="00CD77A3" w:rsidP="00D06134">
      <w:pPr>
        <w:pStyle w:val="Default"/>
        <w:jc w:val="both"/>
        <w:rPr>
          <w:rFonts w:cs="Times New Roman"/>
          <w:sz w:val="20"/>
          <w:szCs w:val="20"/>
          <w:lang w:val="es-CR"/>
        </w:rPr>
      </w:pPr>
      <w:r>
        <w:rPr>
          <w:sz w:val="20"/>
          <w:szCs w:val="20"/>
          <w:lang w:val="es-CR"/>
        </w:rPr>
        <w:t xml:space="preserve">1. </w:t>
      </w:r>
      <w:r>
        <w:rPr>
          <w:sz w:val="20"/>
          <w:szCs w:val="20"/>
          <w:lang w:val="es-CR"/>
        </w:rPr>
        <w:tab/>
      </w:r>
      <w:r w:rsidRPr="008326E3">
        <w:rPr>
          <w:sz w:val="20"/>
          <w:szCs w:val="20"/>
          <w:lang w:val="es-CR"/>
        </w:rPr>
        <w:t xml:space="preserve">Declarar procedente la solicitud interpuesta </w:t>
      </w:r>
      <w:r w:rsidR="00A32673">
        <w:rPr>
          <w:sz w:val="20"/>
          <w:szCs w:val="20"/>
          <w:lang w:val="es-CR"/>
        </w:rPr>
        <w:t>por la presunta víctima</w:t>
      </w:r>
      <w:r w:rsidRPr="00F55A10">
        <w:rPr>
          <w:sz w:val="20"/>
          <w:szCs w:val="20"/>
          <w:lang w:val="es-CR"/>
        </w:rPr>
        <w:t>, a través de sus representantes</w:t>
      </w:r>
      <w:r>
        <w:rPr>
          <w:sz w:val="20"/>
          <w:szCs w:val="20"/>
          <w:lang w:val="es-CR"/>
        </w:rPr>
        <w:t>,</w:t>
      </w:r>
      <w:r w:rsidRPr="008326E3">
        <w:rPr>
          <w:sz w:val="20"/>
          <w:szCs w:val="20"/>
          <w:lang w:val="es-CR"/>
        </w:rPr>
        <w:t xml:space="preserve"> para acogerse al Fondo de Asistencia Legal de Víctimas de la Corte Interamericana de Derechos Humanos, de modo que se </w:t>
      </w:r>
      <w:r w:rsidRPr="00A66C5A">
        <w:rPr>
          <w:sz w:val="20"/>
          <w:szCs w:val="20"/>
          <w:lang w:val="es-CR"/>
        </w:rPr>
        <w:t>otorgará el apoyo económico</w:t>
      </w:r>
      <w:r w:rsidR="0083738E">
        <w:rPr>
          <w:sz w:val="20"/>
          <w:szCs w:val="20"/>
          <w:lang w:val="es-CR"/>
        </w:rPr>
        <w:t xml:space="preserve"> necesario</w:t>
      </w:r>
      <w:r w:rsidRPr="006E7FAE">
        <w:rPr>
          <w:sz w:val="20"/>
          <w:szCs w:val="20"/>
          <w:lang w:val="es-CR"/>
        </w:rPr>
        <w:t xml:space="preserve">, con cargo al Fondo, para la presentación de un máximo </w:t>
      </w:r>
      <w:r w:rsidRPr="0080391C">
        <w:rPr>
          <w:sz w:val="20"/>
          <w:szCs w:val="20"/>
          <w:lang w:val="es-CR"/>
        </w:rPr>
        <w:t>de</w:t>
      </w:r>
      <w:r w:rsidR="00A66C5A" w:rsidRPr="0080391C">
        <w:rPr>
          <w:sz w:val="20"/>
          <w:szCs w:val="20"/>
          <w:lang w:val="es-CR"/>
        </w:rPr>
        <w:t xml:space="preserve"> </w:t>
      </w:r>
      <w:r w:rsidR="00705B1C" w:rsidRPr="0080391C">
        <w:rPr>
          <w:sz w:val="20"/>
          <w:szCs w:val="20"/>
          <w:lang w:val="es-CR"/>
        </w:rPr>
        <w:t>tres</w:t>
      </w:r>
      <w:r w:rsidRPr="006E7FAE">
        <w:rPr>
          <w:sz w:val="20"/>
          <w:szCs w:val="20"/>
          <w:lang w:val="es-CR"/>
        </w:rPr>
        <w:t xml:space="preserve"> declaraciones, ya sea en audiencia o por </w:t>
      </w:r>
      <w:r w:rsidR="008A0827" w:rsidRPr="008A0827">
        <w:rPr>
          <w:i/>
          <w:sz w:val="20"/>
          <w:szCs w:val="20"/>
          <w:lang w:val="es-CR"/>
        </w:rPr>
        <w:t>affidavit</w:t>
      </w:r>
      <w:r>
        <w:rPr>
          <w:sz w:val="20"/>
          <w:szCs w:val="20"/>
          <w:lang w:val="es-CR"/>
        </w:rPr>
        <w:t xml:space="preserve">, </w:t>
      </w:r>
      <w:r w:rsidRPr="008326E3">
        <w:rPr>
          <w:sz w:val="20"/>
          <w:szCs w:val="20"/>
          <w:lang w:val="es-CR"/>
        </w:rPr>
        <w:t>y que el monto, destino y objeto específicos de dicha asistencia serán precisados al momento de decidir sobre la evacuación de prueba pericial y testimonial</w:t>
      </w:r>
      <w:r w:rsidRPr="00A91E03">
        <w:rPr>
          <w:sz w:val="20"/>
          <w:szCs w:val="20"/>
          <w:lang w:val="es-CR"/>
        </w:rPr>
        <w:t>,</w:t>
      </w:r>
      <w:r w:rsidRPr="008326E3">
        <w:rPr>
          <w:sz w:val="20"/>
          <w:szCs w:val="20"/>
          <w:lang w:val="es-CR"/>
        </w:rPr>
        <w:t xml:space="preserve"> y</w:t>
      </w:r>
      <w:r>
        <w:rPr>
          <w:sz w:val="20"/>
          <w:szCs w:val="20"/>
          <w:lang w:val="es-CR"/>
        </w:rPr>
        <w:t xml:space="preserve"> </w:t>
      </w:r>
      <w:r w:rsidRPr="008326E3">
        <w:rPr>
          <w:sz w:val="20"/>
          <w:szCs w:val="20"/>
          <w:lang w:val="es-CR"/>
        </w:rPr>
        <w:t>la apertura del procedimiento oral en los términos del artículo 50 del Reglamento</w:t>
      </w:r>
      <w:r>
        <w:rPr>
          <w:sz w:val="20"/>
          <w:szCs w:val="20"/>
          <w:lang w:val="es-CR"/>
        </w:rPr>
        <w:t xml:space="preserve"> del Tribunal</w:t>
      </w:r>
      <w:r w:rsidRPr="008326E3">
        <w:rPr>
          <w:sz w:val="20"/>
          <w:szCs w:val="20"/>
          <w:lang w:val="es-CR"/>
        </w:rPr>
        <w:t xml:space="preserve">, de conformidad con lo establecido en el párrafo considerativo </w:t>
      </w:r>
      <w:r w:rsidR="0060311D">
        <w:rPr>
          <w:sz w:val="20"/>
          <w:szCs w:val="20"/>
          <w:lang w:val="es-CR"/>
        </w:rPr>
        <w:t>tercero</w:t>
      </w:r>
      <w:r w:rsidRPr="008326E3">
        <w:rPr>
          <w:sz w:val="20"/>
          <w:szCs w:val="20"/>
          <w:lang w:val="es-CR"/>
        </w:rPr>
        <w:t xml:space="preserve"> de esta Resolución.</w:t>
      </w:r>
    </w:p>
    <w:p w:rsidR="00CD77A3" w:rsidRPr="008326E3" w:rsidRDefault="00CD77A3" w:rsidP="00D06134">
      <w:pPr>
        <w:pStyle w:val="Default"/>
        <w:jc w:val="both"/>
        <w:rPr>
          <w:rFonts w:cs="Times New Roman"/>
          <w:b/>
          <w:bCs/>
          <w:sz w:val="20"/>
          <w:szCs w:val="20"/>
          <w:lang w:val="es-CR"/>
        </w:rPr>
      </w:pPr>
    </w:p>
    <w:p w:rsidR="00CD77A3" w:rsidRPr="00567B6D" w:rsidRDefault="00CD77A3" w:rsidP="00D06134">
      <w:pPr>
        <w:widowControl w:val="0"/>
        <w:tabs>
          <w:tab w:val="left" w:pos="720"/>
        </w:tabs>
        <w:autoSpaceDE w:val="0"/>
        <w:autoSpaceDN w:val="0"/>
        <w:adjustRightInd w:val="0"/>
      </w:pPr>
      <w:bookmarkStart w:id="0" w:name="_GoBack"/>
      <w:bookmarkEnd w:id="0"/>
      <w:r>
        <w:t xml:space="preserve">2. </w:t>
      </w:r>
      <w:r>
        <w:tab/>
        <w:t>Disponer que</w:t>
      </w:r>
      <w:r w:rsidRPr="005A2389">
        <w:t xml:space="preserve"> la Secretaría de la Corte</w:t>
      </w:r>
      <w:r w:rsidRPr="005A2389" w:rsidDel="00E33C09">
        <w:t xml:space="preserve"> n</w:t>
      </w:r>
      <w:r w:rsidRPr="005A2389">
        <w:t xml:space="preserve">otifique la presente Resolución </w:t>
      </w:r>
      <w:r w:rsidR="00A32673">
        <w:t>a los representantes de la presunta víctima</w:t>
      </w:r>
      <w:r>
        <w:t xml:space="preserve">, </w:t>
      </w:r>
      <w:r w:rsidRPr="005A2389">
        <w:t>a</w:t>
      </w:r>
      <w:r>
        <w:t xml:space="preserve">l Estado de </w:t>
      </w:r>
      <w:r w:rsidR="00A32673">
        <w:t>Colombia</w:t>
      </w:r>
      <w:r>
        <w:t xml:space="preserve"> y a</w:t>
      </w:r>
      <w:r w:rsidRPr="005A2389">
        <w:t xml:space="preserve"> la Comisión Interamericana de Derechos Humanos.</w:t>
      </w:r>
    </w:p>
    <w:p w:rsidR="00CD77A3" w:rsidRDefault="00CD77A3" w:rsidP="009124F8">
      <w:pPr>
        <w:widowControl w:val="0"/>
        <w:autoSpaceDE w:val="0"/>
        <w:autoSpaceDN w:val="0"/>
        <w:adjustRightInd w:val="0"/>
        <w:spacing w:after="0"/>
        <w:rPr>
          <w:noProof/>
          <w:lang w:val="es-CR" w:eastAsia="es-CR"/>
        </w:rPr>
      </w:pPr>
    </w:p>
    <w:p w:rsidR="00E56BEB" w:rsidRPr="004867F5" w:rsidRDefault="00E56BEB" w:rsidP="002A2934">
      <w:pPr>
        <w:spacing w:after="0"/>
        <w:jc w:val="left"/>
        <w:rPr>
          <w:szCs w:val="22"/>
        </w:rPr>
      </w:pPr>
    </w:p>
    <w:p w:rsidR="002A2934" w:rsidRDefault="002A2934" w:rsidP="002A2934">
      <w:pPr>
        <w:widowControl w:val="0"/>
        <w:autoSpaceDE w:val="0"/>
        <w:autoSpaceDN w:val="0"/>
        <w:adjustRightInd w:val="0"/>
        <w:spacing w:after="0"/>
        <w:ind w:left="5760" w:firstLine="720"/>
        <w:rPr>
          <w:szCs w:val="22"/>
        </w:rPr>
      </w:pPr>
      <w:r>
        <w:rPr>
          <w:szCs w:val="22"/>
        </w:rPr>
        <w:t xml:space="preserve"> </w:t>
      </w:r>
    </w:p>
    <w:p w:rsidR="00E56BEB" w:rsidRPr="004867F5" w:rsidRDefault="00E56BEB" w:rsidP="002A2934">
      <w:pPr>
        <w:widowControl w:val="0"/>
        <w:autoSpaceDE w:val="0"/>
        <w:autoSpaceDN w:val="0"/>
        <w:adjustRightInd w:val="0"/>
        <w:spacing w:after="0"/>
        <w:ind w:left="5760" w:firstLine="720"/>
        <w:rPr>
          <w:szCs w:val="22"/>
        </w:rPr>
      </w:pPr>
      <w:r>
        <w:rPr>
          <w:szCs w:val="22"/>
        </w:rPr>
        <w:t>Roberto F. Caldas</w:t>
      </w:r>
    </w:p>
    <w:p w:rsidR="00E56BEB" w:rsidRPr="004867F5" w:rsidRDefault="00E56BEB" w:rsidP="00451D98">
      <w:pPr>
        <w:widowControl w:val="0"/>
        <w:autoSpaceDE w:val="0"/>
        <w:autoSpaceDN w:val="0"/>
        <w:adjustRightInd w:val="0"/>
        <w:spacing w:after="0"/>
        <w:rPr>
          <w:szCs w:val="22"/>
        </w:rPr>
      </w:pPr>
      <w:r w:rsidRPr="004867F5">
        <w:rPr>
          <w:szCs w:val="22"/>
        </w:rPr>
        <w:t xml:space="preserve">Presidente </w:t>
      </w:r>
      <w:r w:rsidR="00161450">
        <w:rPr>
          <w:szCs w:val="22"/>
        </w:rPr>
        <w:t>en E</w:t>
      </w:r>
      <w:r>
        <w:rPr>
          <w:szCs w:val="22"/>
        </w:rPr>
        <w:t>jercicio</w:t>
      </w:r>
    </w:p>
    <w:p w:rsidR="00E56BEB" w:rsidRPr="004867F5" w:rsidRDefault="00E56BEB" w:rsidP="002A2934">
      <w:pPr>
        <w:widowControl w:val="0"/>
        <w:autoSpaceDE w:val="0"/>
        <w:autoSpaceDN w:val="0"/>
        <w:adjustRightInd w:val="0"/>
        <w:spacing w:after="0"/>
        <w:rPr>
          <w:szCs w:val="22"/>
        </w:rPr>
      </w:pPr>
    </w:p>
    <w:p w:rsidR="002A2934" w:rsidRDefault="002A2934" w:rsidP="002A2934">
      <w:pPr>
        <w:widowControl w:val="0"/>
        <w:autoSpaceDE w:val="0"/>
        <w:autoSpaceDN w:val="0"/>
        <w:adjustRightInd w:val="0"/>
        <w:spacing w:after="0"/>
        <w:rPr>
          <w:szCs w:val="22"/>
        </w:rPr>
      </w:pPr>
    </w:p>
    <w:p w:rsidR="002A2934" w:rsidRDefault="002A2934" w:rsidP="002A2934">
      <w:pPr>
        <w:widowControl w:val="0"/>
        <w:autoSpaceDE w:val="0"/>
        <w:autoSpaceDN w:val="0"/>
        <w:adjustRightInd w:val="0"/>
        <w:spacing w:after="0"/>
        <w:rPr>
          <w:szCs w:val="22"/>
        </w:rPr>
      </w:pPr>
    </w:p>
    <w:p w:rsidR="00E56BEB" w:rsidRPr="004867F5" w:rsidRDefault="00E56BEB" w:rsidP="002A2934">
      <w:pPr>
        <w:widowControl w:val="0"/>
        <w:autoSpaceDE w:val="0"/>
        <w:autoSpaceDN w:val="0"/>
        <w:adjustRightInd w:val="0"/>
        <w:spacing w:after="0"/>
        <w:rPr>
          <w:szCs w:val="22"/>
        </w:rPr>
      </w:pPr>
      <w:r w:rsidRPr="004867F5">
        <w:rPr>
          <w:szCs w:val="22"/>
        </w:rPr>
        <w:t>Pablo Saavedra Alessandri</w:t>
      </w:r>
    </w:p>
    <w:p w:rsidR="00E56BEB" w:rsidRPr="004867F5" w:rsidRDefault="00E56BEB" w:rsidP="002A2934">
      <w:pPr>
        <w:widowControl w:val="0"/>
        <w:autoSpaceDE w:val="0"/>
        <w:autoSpaceDN w:val="0"/>
        <w:adjustRightInd w:val="0"/>
        <w:spacing w:after="0"/>
        <w:ind w:firstLine="720"/>
        <w:rPr>
          <w:szCs w:val="22"/>
        </w:rPr>
      </w:pPr>
      <w:r w:rsidRPr="004867F5">
        <w:rPr>
          <w:szCs w:val="22"/>
        </w:rPr>
        <w:t xml:space="preserve">Secretario </w:t>
      </w:r>
    </w:p>
    <w:p w:rsidR="00E56BEB" w:rsidRPr="004867F5" w:rsidRDefault="00E56BEB" w:rsidP="002A2934">
      <w:pPr>
        <w:widowControl w:val="0"/>
        <w:autoSpaceDE w:val="0"/>
        <w:autoSpaceDN w:val="0"/>
        <w:adjustRightInd w:val="0"/>
        <w:spacing w:after="0"/>
        <w:rPr>
          <w:szCs w:val="22"/>
        </w:rPr>
      </w:pPr>
    </w:p>
    <w:p w:rsidR="00E56BEB" w:rsidRPr="004867F5" w:rsidRDefault="00E56BEB" w:rsidP="002A2934">
      <w:pPr>
        <w:widowControl w:val="0"/>
        <w:autoSpaceDE w:val="0"/>
        <w:autoSpaceDN w:val="0"/>
        <w:adjustRightInd w:val="0"/>
        <w:spacing w:after="0"/>
        <w:rPr>
          <w:szCs w:val="22"/>
        </w:rPr>
      </w:pPr>
    </w:p>
    <w:p w:rsidR="00E56BEB" w:rsidRDefault="00E56BEB" w:rsidP="002A2934">
      <w:pPr>
        <w:widowControl w:val="0"/>
        <w:autoSpaceDE w:val="0"/>
        <w:autoSpaceDN w:val="0"/>
        <w:adjustRightInd w:val="0"/>
        <w:spacing w:after="0"/>
        <w:rPr>
          <w:szCs w:val="22"/>
        </w:rPr>
      </w:pPr>
      <w:r w:rsidRPr="004867F5">
        <w:rPr>
          <w:szCs w:val="22"/>
        </w:rPr>
        <w:t xml:space="preserve">Comuníquese y ejecútese, </w:t>
      </w:r>
    </w:p>
    <w:p w:rsidR="002A2934" w:rsidRPr="004867F5" w:rsidRDefault="002A2934" w:rsidP="002A2934">
      <w:pPr>
        <w:widowControl w:val="0"/>
        <w:autoSpaceDE w:val="0"/>
        <w:autoSpaceDN w:val="0"/>
        <w:adjustRightInd w:val="0"/>
        <w:spacing w:after="0"/>
        <w:rPr>
          <w:szCs w:val="22"/>
        </w:rPr>
      </w:pPr>
    </w:p>
    <w:p w:rsidR="00E56BEB" w:rsidRDefault="00E56BEB" w:rsidP="002A2934">
      <w:pPr>
        <w:widowControl w:val="0"/>
        <w:autoSpaceDE w:val="0"/>
        <w:autoSpaceDN w:val="0"/>
        <w:adjustRightInd w:val="0"/>
        <w:spacing w:after="0"/>
        <w:rPr>
          <w:szCs w:val="22"/>
        </w:rPr>
      </w:pPr>
    </w:p>
    <w:p w:rsidR="00E56BEB" w:rsidRPr="004867F5" w:rsidRDefault="00E56BEB" w:rsidP="002A2934">
      <w:pPr>
        <w:widowControl w:val="0"/>
        <w:autoSpaceDE w:val="0"/>
        <w:autoSpaceDN w:val="0"/>
        <w:adjustRightInd w:val="0"/>
        <w:spacing w:after="0"/>
        <w:rPr>
          <w:szCs w:val="22"/>
        </w:rPr>
      </w:pPr>
    </w:p>
    <w:p w:rsidR="00E56BEB" w:rsidRPr="004867F5" w:rsidRDefault="00E56BEB" w:rsidP="002A2934">
      <w:pPr>
        <w:widowControl w:val="0"/>
        <w:autoSpaceDE w:val="0"/>
        <w:autoSpaceDN w:val="0"/>
        <w:adjustRightInd w:val="0"/>
        <w:spacing w:after="0"/>
        <w:ind w:left="5760" w:firstLine="720"/>
        <w:rPr>
          <w:szCs w:val="22"/>
        </w:rPr>
      </w:pPr>
      <w:r>
        <w:rPr>
          <w:szCs w:val="22"/>
        </w:rPr>
        <w:t>Roberto F. Caldas</w:t>
      </w:r>
    </w:p>
    <w:p w:rsidR="00E56BEB" w:rsidRPr="004867F5" w:rsidRDefault="00E56BEB" w:rsidP="002A2934">
      <w:pPr>
        <w:widowControl w:val="0"/>
        <w:autoSpaceDE w:val="0"/>
        <w:autoSpaceDN w:val="0"/>
        <w:adjustRightInd w:val="0"/>
        <w:spacing w:after="0"/>
        <w:ind w:left="5664" w:firstLine="708"/>
        <w:rPr>
          <w:szCs w:val="22"/>
        </w:rPr>
      </w:pPr>
      <w:r w:rsidRPr="004867F5">
        <w:rPr>
          <w:szCs w:val="22"/>
        </w:rPr>
        <w:t xml:space="preserve">Presidente </w:t>
      </w:r>
      <w:r w:rsidR="00161450">
        <w:rPr>
          <w:szCs w:val="22"/>
        </w:rPr>
        <w:t>en E</w:t>
      </w:r>
      <w:r>
        <w:rPr>
          <w:szCs w:val="22"/>
        </w:rPr>
        <w:t>jercicio</w:t>
      </w:r>
    </w:p>
    <w:p w:rsidR="00E56BEB" w:rsidRPr="004867F5" w:rsidRDefault="00E56BEB" w:rsidP="002A2934">
      <w:pPr>
        <w:widowControl w:val="0"/>
        <w:autoSpaceDE w:val="0"/>
        <w:autoSpaceDN w:val="0"/>
        <w:adjustRightInd w:val="0"/>
        <w:spacing w:after="0"/>
        <w:ind w:left="7080" w:firstLine="708"/>
        <w:rPr>
          <w:szCs w:val="22"/>
        </w:rPr>
      </w:pPr>
    </w:p>
    <w:p w:rsidR="00E56BEB" w:rsidRPr="004867F5" w:rsidRDefault="00E56BEB" w:rsidP="002A2934">
      <w:pPr>
        <w:widowControl w:val="0"/>
        <w:autoSpaceDE w:val="0"/>
        <w:autoSpaceDN w:val="0"/>
        <w:adjustRightInd w:val="0"/>
        <w:spacing w:after="0"/>
        <w:ind w:left="6480" w:firstLine="720"/>
        <w:rPr>
          <w:szCs w:val="22"/>
        </w:rPr>
      </w:pPr>
    </w:p>
    <w:p w:rsidR="002A2934" w:rsidRDefault="002A2934" w:rsidP="002A2934">
      <w:pPr>
        <w:widowControl w:val="0"/>
        <w:autoSpaceDE w:val="0"/>
        <w:autoSpaceDN w:val="0"/>
        <w:adjustRightInd w:val="0"/>
        <w:spacing w:after="0"/>
        <w:rPr>
          <w:szCs w:val="22"/>
        </w:rPr>
      </w:pPr>
    </w:p>
    <w:p w:rsidR="00E56BEB" w:rsidRPr="004867F5" w:rsidRDefault="00E56BEB" w:rsidP="002A2934">
      <w:pPr>
        <w:widowControl w:val="0"/>
        <w:autoSpaceDE w:val="0"/>
        <w:autoSpaceDN w:val="0"/>
        <w:adjustRightInd w:val="0"/>
        <w:spacing w:after="0"/>
        <w:rPr>
          <w:szCs w:val="22"/>
        </w:rPr>
      </w:pPr>
      <w:r w:rsidRPr="004867F5">
        <w:rPr>
          <w:szCs w:val="22"/>
        </w:rPr>
        <w:t>Pablo Saavedra Alessandri</w:t>
      </w:r>
    </w:p>
    <w:p w:rsidR="00CD77A3" w:rsidRPr="005847C6" w:rsidRDefault="00E56BEB" w:rsidP="002A2934">
      <w:pPr>
        <w:widowControl w:val="0"/>
        <w:autoSpaceDE w:val="0"/>
        <w:autoSpaceDN w:val="0"/>
        <w:adjustRightInd w:val="0"/>
        <w:rPr>
          <w:color w:val="C00000"/>
        </w:rPr>
      </w:pPr>
      <w:r w:rsidRPr="004867F5">
        <w:rPr>
          <w:szCs w:val="22"/>
        </w:rPr>
        <w:t xml:space="preserve">          Secretario </w:t>
      </w:r>
    </w:p>
    <w:sectPr w:rsidR="00CD77A3" w:rsidRPr="005847C6" w:rsidSect="00FE48AF">
      <w:headerReference w:type="default" r:id="rId8"/>
      <w:pgSz w:w="12240" w:h="15840"/>
      <w:pgMar w:top="1135" w:right="1325" w:bottom="1135"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22" w:rsidRDefault="00391322" w:rsidP="00BB7C08">
      <w:pPr>
        <w:spacing w:after="0"/>
      </w:pPr>
      <w:r>
        <w:separator/>
      </w:r>
    </w:p>
  </w:endnote>
  <w:endnote w:type="continuationSeparator" w:id="0">
    <w:p w:rsidR="00391322" w:rsidRDefault="00391322" w:rsidP="00BB7C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Bold">
    <w:altName w:val="Tahoma"/>
    <w:panose1 w:val="020B0804030504040204"/>
    <w:charset w:val="00"/>
    <w:family w:val="auto"/>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22" w:rsidRDefault="00391322" w:rsidP="00BB7C08">
      <w:pPr>
        <w:spacing w:after="0"/>
      </w:pPr>
      <w:r>
        <w:separator/>
      </w:r>
    </w:p>
  </w:footnote>
  <w:footnote w:type="continuationSeparator" w:id="0">
    <w:p w:rsidR="00391322" w:rsidRDefault="00391322" w:rsidP="00BB7C08">
      <w:pPr>
        <w:spacing w:after="0"/>
      </w:pPr>
      <w:r>
        <w:continuationSeparator/>
      </w:r>
    </w:p>
  </w:footnote>
  <w:footnote w:id="1">
    <w:p w:rsidR="00162E5D" w:rsidRPr="001509C2" w:rsidRDefault="00162E5D" w:rsidP="008A0827">
      <w:pPr>
        <w:pStyle w:val="FootnoteText"/>
        <w:spacing w:before="120"/>
      </w:pPr>
      <w:r w:rsidRPr="00E162E7">
        <w:rPr>
          <w:rStyle w:val="FootnoteReference"/>
        </w:rPr>
        <w:sym w:font="Symbol" w:char="F02A"/>
      </w:r>
      <w:r w:rsidRPr="00E162E7">
        <w:t xml:space="preserve"> </w:t>
      </w:r>
      <w:r w:rsidRPr="00E162E7">
        <w:tab/>
        <w:t xml:space="preserve">El Presidente de la Corte, Juez </w:t>
      </w:r>
      <w:r>
        <w:t>Humberto Antonio Sierra Porto</w:t>
      </w:r>
      <w:r w:rsidRPr="00E162E7">
        <w:t xml:space="preserve">, de nacionalidad </w:t>
      </w:r>
      <w:r>
        <w:t>colombian</w:t>
      </w:r>
      <w:r w:rsidRPr="00E162E7">
        <w:t xml:space="preserve">a, no participa en el presente caso de conformidad con los artículos 19.2 del Estatuto y 19.1 del Reglamento de la Corte. Por tal motivo, de conformidad con los artículos 4.2 y 5 del Reglamento del Tribunal, el Juez </w:t>
      </w:r>
      <w:r>
        <w:t>Roberto F. Caldas</w:t>
      </w:r>
      <w:r w:rsidRPr="00E162E7">
        <w:t>, Vicepresidente de la Corte, asumió la Presidencia en ejercicio respecto del presente asunto.</w:t>
      </w:r>
    </w:p>
  </w:footnote>
  <w:footnote w:id="2">
    <w:p w:rsidR="00162E5D" w:rsidRPr="00DC5947" w:rsidRDefault="00162E5D" w:rsidP="008A0827">
      <w:pPr>
        <w:pStyle w:val="FootnoteText"/>
        <w:spacing w:before="120"/>
      </w:pPr>
      <w:r>
        <w:rPr>
          <w:rStyle w:val="FootnoteReference"/>
        </w:rPr>
        <w:footnoteRef/>
      </w:r>
      <w:r w:rsidRPr="00DC5947">
        <w:rPr>
          <w:lang w:val="es-CR"/>
        </w:rPr>
        <w:t xml:space="preserve"> </w:t>
      </w:r>
      <w:r>
        <w:rPr>
          <w:lang w:val="es-CR"/>
        </w:rPr>
        <w:tab/>
      </w:r>
      <w:r w:rsidRPr="00DC5947">
        <w:t>Mediante escrito de 7 de noviembre de 2014</w:t>
      </w:r>
      <w:r>
        <w:t>, se informó que los</w:t>
      </w:r>
      <w:r w:rsidRPr="00DC5947">
        <w:t xml:space="preserve"> representa</w:t>
      </w:r>
      <w:r>
        <w:t xml:space="preserve">ntes de la presunta víctima en el caso ante la Corte son </w:t>
      </w:r>
      <w:r w:rsidRPr="00DC5947">
        <w:t xml:space="preserve">Germán Humberto Rincón </w:t>
      </w:r>
      <w:proofErr w:type="spellStart"/>
      <w:r w:rsidRPr="00DC5947">
        <w:t>Perfetti</w:t>
      </w:r>
      <w:proofErr w:type="spellEnd"/>
      <w:r>
        <w:t xml:space="preserve">, </w:t>
      </w:r>
      <w:r w:rsidRPr="00DC5947">
        <w:t>Gustavo Gallón Giraldo</w:t>
      </w:r>
      <w:r>
        <w:t xml:space="preserve"> </w:t>
      </w:r>
      <w:r w:rsidRPr="00DC5947">
        <w:t>y Fredy Alejandro Malambo Ospina</w:t>
      </w:r>
      <w:r>
        <w:t xml:space="preserve"> (los dos últimos de la Comisión Colombiana de Juristas).</w:t>
      </w:r>
    </w:p>
  </w:footnote>
  <w:footnote w:id="3">
    <w:p w:rsidR="00162E5D" w:rsidRPr="0007616F" w:rsidRDefault="00162E5D" w:rsidP="008A0827">
      <w:pPr>
        <w:pStyle w:val="FootnoteText"/>
        <w:spacing w:before="120"/>
      </w:pPr>
      <w:r>
        <w:rPr>
          <w:rStyle w:val="FootnoteReference"/>
        </w:rPr>
        <w:footnoteRef/>
      </w:r>
      <w:r>
        <w:t xml:space="preserve"> </w:t>
      </w:r>
      <w:r>
        <w:rPr>
          <w:lang w:val="es-CR"/>
        </w:rPr>
        <w:tab/>
        <w:t>Los representantes indicaron en el escrito de solicitudes y argumentos que “[a]</w:t>
      </w:r>
      <w:proofErr w:type="spellStart"/>
      <w:r w:rsidRPr="0007616F">
        <w:t>ctualmente</w:t>
      </w:r>
      <w:proofErr w:type="spellEnd"/>
      <w:r w:rsidRPr="0007616F">
        <w:t xml:space="preserve"> Ángel Alberto Duque trabaja como i</w:t>
      </w:r>
      <w:r>
        <w:t xml:space="preserve">ndependiente y únicamente logra </w:t>
      </w:r>
      <w:r w:rsidRPr="0007616F">
        <w:t>ganar un salario mínimo mensual, que equivale a doscientos setenta dólares americanos a la</w:t>
      </w:r>
      <w:r>
        <w:t xml:space="preserve"> </w:t>
      </w:r>
      <w:r w:rsidRPr="0007616F">
        <w:t>tasa de cambio actual</w:t>
      </w:r>
      <w:r>
        <w:t>” y que “[p]</w:t>
      </w:r>
      <w:proofErr w:type="spellStart"/>
      <w:r w:rsidRPr="0007616F">
        <w:t>rácticamente</w:t>
      </w:r>
      <w:proofErr w:type="spellEnd"/>
      <w:r w:rsidRPr="0007616F">
        <w:t xml:space="preserve"> todo su salario lo</w:t>
      </w:r>
      <w:r>
        <w:t xml:space="preserve"> destina a su manutención y con </w:t>
      </w:r>
      <w:r w:rsidRPr="0007616F">
        <w:t>énfasis particular a los gastos propios de su tratamie</w:t>
      </w:r>
      <w:r>
        <w:t xml:space="preserve">nto médico por ser paciente VIH </w:t>
      </w:r>
      <w:r w:rsidRPr="0007616F">
        <w:t>positivo</w:t>
      </w:r>
      <w:r>
        <w:t>”, por lo que “</w:t>
      </w:r>
      <w:r w:rsidRPr="0007616F">
        <w:t>carece</w:t>
      </w:r>
      <w:r>
        <w:t>[ría]</w:t>
      </w:r>
      <w:r w:rsidRPr="0007616F">
        <w:t xml:space="preserve"> de recursos econ</w:t>
      </w:r>
      <w:r>
        <w:t xml:space="preserve">ómicos que le permitan sufragar </w:t>
      </w:r>
      <w:r w:rsidRPr="0007616F">
        <w:t>los emolumentos del proceso</w:t>
      </w:r>
      <w:r>
        <w:t>” ante la Corte.</w:t>
      </w:r>
    </w:p>
  </w:footnote>
  <w:footnote w:id="4">
    <w:p w:rsidR="00162E5D" w:rsidRPr="003805DF" w:rsidRDefault="00162E5D" w:rsidP="008A0827">
      <w:pPr>
        <w:autoSpaceDE w:val="0"/>
        <w:autoSpaceDN w:val="0"/>
        <w:adjustRightInd w:val="0"/>
        <w:spacing w:before="120"/>
        <w:rPr>
          <w:sz w:val="16"/>
          <w:szCs w:val="16"/>
        </w:rPr>
      </w:pPr>
      <w:r w:rsidRPr="00FA0B4A">
        <w:rPr>
          <w:rStyle w:val="FootnoteReference"/>
          <w:sz w:val="16"/>
          <w:szCs w:val="16"/>
        </w:rPr>
        <w:footnoteRef/>
      </w:r>
      <w:r w:rsidRPr="00FA0B4A">
        <w:rPr>
          <w:rStyle w:val="FootnoteReference"/>
          <w:sz w:val="16"/>
          <w:szCs w:val="16"/>
        </w:rPr>
        <w:t xml:space="preserve"> </w:t>
      </w:r>
      <w:r>
        <w:rPr>
          <w:lang w:val="es-CR"/>
        </w:rPr>
        <w:tab/>
      </w:r>
      <w:r w:rsidRPr="003805DF">
        <w:rPr>
          <w:sz w:val="16"/>
          <w:szCs w:val="16"/>
        </w:rPr>
        <w:t xml:space="preserve">Una declaración fue rendida por la presunta víctima y otra por </w:t>
      </w:r>
      <w:proofErr w:type="spellStart"/>
      <w:r w:rsidRPr="003805DF">
        <w:rPr>
          <w:sz w:val="16"/>
          <w:szCs w:val="16"/>
        </w:rPr>
        <w:t>V</w:t>
      </w:r>
      <w:r>
        <w:rPr>
          <w:sz w:val="16"/>
          <w:szCs w:val="16"/>
        </w:rPr>
        <w:t>illanid</w:t>
      </w:r>
      <w:proofErr w:type="spellEnd"/>
      <w:r>
        <w:rPr>
          <w:sz w:val="16"/>
          <w:szCs w:val="16"/>
        </w:rPr>
        <w:t xml:space="preserve"> </w:t>
      </w:r>
      <w:proofErr w:type="spellStart"/>
      <w:r w:rsidRPr="003805DF">
        <w:rPr>
          <w:sz w:val="16"/>
          <w:szCs w:val="16"/>
        </w:rPr>
        <w:t>O</w:t>
      </w:r>
      <w:r>
        <w:rPr>
          <w:sz w:val="16"/>
          <w:szCs w:val="16"/>
        </w:rPr>
        <w:t>rjuela</w:t>
      </w:r>
      <w:proofErr w:type="spellEnd"/>
      <w:r w:rsidRPr="003805DF">
        <w:rPr>
          <w:sz w:val="16"/>
          <w:szCs w:val="16"/>
        </w:rPr>
        <w:t xml:space="preserve"> B</w:t>
      </w:r>
      <w:r>
        <w:rPr>
          <w:sz w:val="16"/>
          <w:szCs w:val="16"/>
        </w:rPr>
        <w:t>ustos, indicando que el señor Duque devengaría</w:t>
      </w:r>
      <w:r w:rsidRPr="003805DF">
        <w:rPr>
          <w:sz w:val="16"/>
          <w:szCs w:val="16"/>
        </w:rPr>
        <w:t xml:space="preserve"> </w:t>
      </w:r>
      <w:r>
        <w:rPr>
          <w:sz w:val="16"/>
          <w:szCs w:val="16"/>
        </w:rPr>
        <w:t>“</w:t>
      </w:r>
      <w:r w:rsidRPr="003805DF">
        <w:rPr>
          <w:sz w:val="16"/>
          <w:szCs w:val="16"/>
        </w:rPr>
        <w:t xml:space="preserve">una </w:t>
      </w:r>
      <w:r>
        <w:rPr>
          <w:sz w:val="16"/>
          <w:szCs w:val="16"/>
        </w:rPr>
        <w:t>pensió</w:t>
      </w:r>
      <w:r w:rsidRPr="003805DF">
        <w:rPr>
          <w:sz w:val="16"/>
          <w:szCs w:val="16"/>
        </w:rPr>
        <w:t xml:space="preserve">n de invalidez de </w:t>
      </w:r>
      <w:r w:rsidR="008A0827" w:rsidRPr="003805DF">
        <w:rPr>
          <w:sz w:val="16"/>
          <w:szCs w:val="16"/>
        </w:rPr>
        <w:t xml:space="preserve">COLPENSIONES </w:t>
      </w:r>
      <w:r w:rsidRPr="003805DF">
        <w:rPr>
          <w:sz w:val="16"/>
          <w:szCs w:val="16"/>
        </w:rPr>
        <w:t xml:space="preserve">por el valor del </w:t>
      </w:r>
      <w:r>
        <w:rPr>
          <w:sz w:val="16"/>
          <w:szCs w:val="16"/>
        </w:rPr>
        <w:t xml:space="preserve">Salario </w:t>
      </w:r>
      <w:r w:rsidRPr="003805DF">
        <w:rPr>
          <w:sz w:val="16"/>
          <w:szCs w:val="16"/>
        </w:rPr>
        <w:t>Mínima Legal Vigente ($644.350)</w:t>
      </w:r>
      <w:r>
        <w:rPr>
          <w:sz w:val="16"/>
          <w:szCs w:val="16"/>
        </w:rPr>
        <w:t xml:space="preserve">, </w:t>
      </w:r>
      <w:r w:rsidRPr="003805DF">
        <w:rPr>
          <w:sz w:val="16"/>
          <w:szCs w:val="16"/>
        </w:rPr>
        <w:t xml:space="preserve">que menos los descuentos de salud equivale </w:t>
      </w:r>
      <w:r>
        <w:rPr>
          <w:sz w:val="16"/>
          <w:szCs w:val="16"/>
        </w:rPr>
        <w:t xml:space="preserve">a $224 dólares </w:t>
      </w:r>
      <w:r w:rsidRPr="003805DF">
        <w:rPr>
          <w:sz w:val="16"/>
          <w:szCs w:val="16"/>
        </w:rPr>
        <w:t>mensuales (569,179.52 pesos colombianos)</w:t>
      </w:r>
      <w:r>
        <w:rPr>
          <w:sz w:val="16"/>
          <w:szCs w:val="16"/>
        </w:rPr>
        <w:t>”.</w:t>
      </w:r>
    </w:p>
  </w:footnote>
  <w:footnote w:id="5">
    <w:p w:rsidR="00162E5D" w:rsidRPr="006528FC" w:rsidRDefault="00162E5D" w:rsidP="008A0827">
      <w:pPr>
        <w:pStyle w:val="FootnoteText"/>
        <w:spacing w:before="120"/>
        <w:rPr>
          <w:lang w:val="es-CR"/>
        </w:rPr>
      </w:pPr>
      <w:r>
        <w:rPr>
          <w:rStyle w:val="FootnoteReference"/>
        </w:rPr>
        <w:footnoteRef/>
      </w:r>
      <w:r>
        <w:t xml:space="preserve"> </w:t>
      </w:r>
      <w:r>
        <w:rPr>
          <w:lang w:val="es-CR"/>
        </w:rPr>
        <w:tab/>
        <w:t>Los comprobantes de pago son de marzo y abril de 2015, respectivamente, y muestran cada uno un total de pago de 560,584.- pesos colombianos.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5D" w:rsidRDefault="0067360A">
    <w:pPr>
      <w:pStyle w:val="Header"/>
      <w:jc w:val="center"/>
    </w:pPr>
    <w:r>
      <w:fldChar w:fldCharType="begin"/>
    </w:r>
    <w:r w:rsidR="008C292F">
      <w:instrText xml:space="preserve"> PAGE   \* MERGEFORMAT </w:instrText>
    </w:r>
    <w:r>
      <w:fldChar w:fldCharType="separate"/>
    </w:r>
    <w:r w:rsidR="0053040E">
      <w:rPr>
        <w:noProof/>
      </w:rPr>
      <w:t>2</w:t>
    </w:r>
    <w:r>
      <w:rPr>
        <w:noProof/>
      </w:rPr>
      <w:fldChar w:fldCharType="end"/>
    </w:r>
  </w:p>
  <w:p w:rsidR="00162E5D" w:rsidRDefault="00162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C54"/>
    <w:multiLevelType w:val="hybridMultilevel"/>
    <w:tmpl w:val="912A6E72"/>
    <w:lvl w:ilvl="0" w:tplc="6496501A">
      <w:start w:val="1"/>
      <w:numFmt w:val="lowerLetter"/>
      <w:lvlText w:val="%1)"/>
      <w:lvlJc w:val="left"/>
      <w:pPr>
        <w:tabs>
          <w:tab w:val="num" w:pos="1440"/>
        </w:tabs>
      </w:pPr>
      <w:rPr>
        <w:rFonts w:hint="default"/>
        <w:b w:val="0"/>
        <w:bCs w:val="0"/>
        <w:i w:val="0"/>
        <w:iCs w:val="0"/>
        <w:color w:val="auto"/>
        <w:sz w:val="16"/>
        <w:szCs w:val="16"/>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1">
    <w:nsid w:val="07002DC7"/>
    <w:multiLevelType w:val="hybridMultilevel"/>
    <w:tmpl w:val="B77A3616"/>
    <w:lvl w:ilvl="0" w:tplc="D1C89F24">
      <w:start w:val="3"/>
      <w:numFmt w:val="bullet"/>
      <w:lvlText w:val=""/>
      <w:lvlJc w:val="left"/>
      <w:pPr>
        <w:ind w:left="720" w:hanging="360"/>
      </w:pPr>
      <w:rPr>
        <w:rFonts w:ascii="Symbol" w:eastAsia="Times New Roman" w:hAnsi="Symbol" w:hint="default"/>
      </w:rPr>
    </w:lvl>
    <w:lvl w:ilvl="1" w:tplc="140A0003">
      <w:start w:val="1"/>
      <w:numFmt w:val="bullet"/>
      <w:lvlText w:val="o"/>
      <w:lvlJc w:val="left"/>
      <w:pPr>
        <w:ind w:left="1440" w:hanging="360"/>
      </w:pPr>
      <w:rPr>
        <w:rFonts w:ascii="Courier New" w:hAnsi="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2">
    <w:nsid w:val="1478038E"/>
    <w:multiLevelType w:val="hybridMultilevel"/>
    <w:tmpl w:val="36E2F91E"/>
    <w:lvl w:ilvl="0" w:tplc="888ABF6E">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D3D5357"/>
    <w:multiLevelType w:val="hybridMultilevel"/>
    <w:tmpl w:val="15D61B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E833FB7"/>
    <w:multiLevelType w:val="hybridMultilevel"/>
    <w:tmpl w:val="9E3E3434"/>
    <w:lvl w:ilvl="0" w:tplc="D7F07548">
      <w:start w:val="1"/>
      <w:numFmt w:val="upperLetter"/>
      <w:lvlText w:val="%1)"/>
      <w:lvlJc w:val="left"/>
      <w:pPr>
        <w:tabs>
          <w:tab w:val="num" w:pos="920"/>
        </w:tabs>
        <w:ind w:left="920" w:hanging="360"/>
      </w:pPr>
      <w:rPr>
        <w:rFonts w:hint="default"/>
      </w:rPr>
    </w:lvl>
    <w:lvl w:ilvl="1" w:tplc="00190409">
      <w:start w:val="1"/>
      <w:numFmt w:val="lowerLetter"/>
      <w:lvlText w:val="%2."/>
      <w:lvlJc w:val="left"/>
      <w:pPr>
        <w:tabs>
          <w:tab w:val="num" w:pos="1640"/>
        </w:tabs>
        <w:ind w:left="1640" w:hanging="360"/>
      </w:pPr>
    </w:lvl>
    <w:lvl w:ilvl="2" w:tplc="001B0409">
      <w:start w:val="1"/>
      <w:numFmt w:val="lowerRoman"/>
      <w:lvlText w:val="%3."/>
      <w:lvlJc w:val="right"/>
      <w:pPr>
        <w:tabs>
          <w:tab w:val="num" w:pos="2360"/>
        </w:tabs>
        <w:ind w:left="2360" w:hanging="180"/>
      </w:p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start w:val="1"/>
      <w:numFmt w:val="lowerRoman"/>
      <w:lvlText w:val="%6."/>
      <w:lvlJc w:val="right"/>
      <w:pPr>
        <w:tabs>
          <w:tab w:val="num" w:pos="4520"/>
        </w:tabs>
        <w:ind w:left="4520" w:hanging="180"/>
      </w:pPr>
    </w:lvl>
    <w:lvl w:ilvl="6" w:tplc="000F0409">
      <w:start w:val="1"/>
      <w:numFmt w:val="decimal"/>
      <w:lvlText w:val="%7."/>
      <w:lvlJc w:val="left"/>
      <w:pPr>
        <w:tabs>
          <w:tab w:val="num" w:pos="5240"/>
        </w:tabs>
        <w:ind w:left="5240" w:hanging="360"/>
      </w:pPr>
    </w:lvl>
    <w:lvl w:ilvl="7" w:tplc="00190409">
      <w:start w:val="1"/>
      <w:numFmt w:val="lowerLetter"/>
      <w:lvlText w:val="%8."/>
      <w:lvlJc w:val="left"/>
      <w:pPr>
        <w:tabs>
          <w:tab w:val="num" w:pos="5960"/>
        </w:tabs>
        <w:ind w:left="5960" w:hanging="360"/>
      </w:pPr>
    </w:lvl>
    <w:lvl w:ilvl="8" w:tplc="001B0409">
      <w:start w:val="1"/>
      <w:numFmt w:val="lowerRoman"/>
      <w:lvlText w:val="%9."/>
      <w:lvlJc w:val="right"/>
      <w:pPr>
        <w:tabs>
          <w:tab w:val="num" w:pos="6680"/>
        </w:tabs>
        <w:ind w:left="6680" w:hanging="180"/>
      </w:pPr>
    </w:lvl>
  </w:abstractNum>
  <w:abstractNum w:abstractNumId="5">
    <w:nsid w:val="2403499F"/>
    <w:multiLevelType w:val="hybridMultilevel"/>
    <w:tmpl w:val="B798DE7E"/>
    <w:lvl w:ilvl="0" w:tplc="0DF00C44">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38404A"/>
    <w:multiLevelType w:val="hybridMultilevel"/>
    <w:tmpl w:val="CAB04AD4"/>
    <w:lvl w:ilvl="0" w:tplc="06E03C86">
      <w:start w:val="1"/>
      <w:numFmt w:val="decimal"/>
      <w:lvlText w:val="%1."/>
      <w:lvlJc w:val="left"/>
      <w:pPr>
        <w:tabs>
          <w:tab w:val="num" w:pos="720"/>
        </w:tabs>
      </w:pPr>
      <w:rPr>
        <w:rFonts w:ascii="Verdana" w:hAnsi="Verdana" w:cs="Verdana" w:hint="default"/>
        <w:b w:val="0"/>
        <w:bCs w:val="0"/>
        <w:i w:val="0"/>
        <w:iCs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552537A9"/>
    <w:multiLevelType w:val="hybridMultilevel"/>
    <w:tmpl w:val="B3F42A4C"/>
    <w:lvl w:ilvl="0" w:tplc="E026B7F4">
      <w:start w:val="1"/>
      <w:numFmt w:val="decimal"/>
      <w:lvlText w:val="%1."/>
      <w:lvlJc w:val="right"/>
      <w:pPr>
        <w:ind w:left="540" w:hanging="360"/>
      </w:pPr>
      <w:rPr>
        <w:rFonts w:ascii="Verdana" w:hAnsi="Verdana" w:cs="Verdana" w:hint="default"/>
        <w:b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D8806CF"/>
    <w:multiLevelType w:val="hybridMultilevel"/>
    <w:tmpl w:val="22522F96"/>
    <w:lvl w:ilvl="0" w:tplc="D7EAE586">
      <w:start w:val="2"/>
      <w:numFmt w:val="upperLetter"/>
      <w:lvlText w:val="%1)"/>
      <w:lvlJc w:val="left"/>
      <w:pPr>
        <w:tabs>
          <w:tab w:val="num" w:pos="960"/>
        </w:tabs>
        <w:ind w:left="960" w:hanging="380"/>
      </w:pPr>
      <w:rPr>
        <w:rFonts w:hint="default"/>
        <w:i w:val="0"/>
        <w:iCs w:val="0"/>
      </w:rPr>
    </w:lvl>
    <w:lvl w:ilvl="1" w:tplc="00190409">
      <w:start w:val="1"/>
      <w:numFmt w:val="lowerLetter"/>
      <w:lvlText w:val="%2."/>
      <w:lvlJc w:val="left"/>
      <w:pPr>
        <w:tabs>
          <w:tab w:val="num" w:pos="1660"/>
        </w:tabs>
        <w:ind w:left="1660" w:hanging="360"/>
      </w:pPr>
    </w:lvl>
    <w:lvl w:ilvl="2" w:tplc="001B0409">
      <w:start w:val="1"/>
      <w:numFmt w:val="lowerRoman"/>
      <w:lvlText w:val="%3."/>
      <w:lvlJc w:val="right"/>
      <w:pPr>
        <w:tabs>
          <w:tab w:val="num" w:pos="2380"/>
        </w:tabs>
        <w:ind w:left="2380" w:hanging="180"/>
      </w:pPr>
    </w:lvl>
    <w:lvl w:ilvl="3" w:tplc="000F0409">
      <w:start w:val="1"/>
      <w:numFmt w:val="decimal"/>
      <w:lvlText w:val="%4."/>
      <w:lvlJc w:val="left"/>
      <w:pPr>
        <w:tabs>
          <w:tab w:val="num" w:pos="3100"/>
        </w:tabs>
        <w:ind w:left="3100" w:hanging="360"/>
      </w:pPr>
    </w:lvl>
    <w:lvl w:ilvl="4" w:tplc="00190409">
      <w:start w:val="1"/>
      <w:numFmt w:val="lowerLetter"/>
      <w:lvlText w:val="%5."/>
      <w:lvlJc w:val="left"/>
      <w:pPr>
        <w:tabs>
          <w:tab w:val="num" w:pos="3820"/>
        </w:tabs>
        <w:ind w:left="3820" w:hanging="360"/>
      </w:pPr>
    </w:lvl>
    <w:lvl w:ilvl="5" w:tplc="001B0409">
      <w:start w:val="1"/>
      <w:numFmt w:val="lowerRoman"/>
      <w:lvlText w:val="%6."/>
      <w:lvlJc w:val="right"/>
      <w:pPr>
        <w:tabs>
          <w:tab w:val="num" w:pos="4540"/>
        </w:tabs>
        <w:ind w:left="4540" w:hanging="180"/>
      </w:pPr>
    </w:lvl>
    <w:lvl w:ilvl="6" w:tplc="000F0409">
      <w:start w:val="1"/>
      <w:numFmt w:val="decimal"/>
      <w:lvlText w:val="%7."/>
      <w:lvlJc w:val="left"/>
      <w:pPr>
        <w:tabs>
          <w:tab w:val="num" w:pos="5260"/>
        </w:tabs>
        <w:ind w:left="5260" w:hanging="360"/>
      </w:pPr>
    </w:lvl>
    <w:lvl w:ilvl="7" w:tplc="00190409">
      <w:start w:val="1"/>
      <w:numFmt w:val="lowerLetter"/>
      <w:lvlText w:val="%8."/>
      <w:lvlJc w:val="left"/>
      <w:pPr>
        <w:tabs>
          <w:tab w:val="num" w:pos="5980"/>
        </w:tabs>
        <w:ind w:left="5980" w:hanging="360"/>
      </w:pPr>
    </w:lvl>
    <w:lvl w:ilvl="8" w:tplc="001B0409">
      <w:start w:val="1"/>
      <w:numFmt w:val="lowerRoman"/>
      <w:lvlText w:val="%9."/>
      <w:lvlJc w:val="right"/>
      <w:pPr>
        <w:tabs>
          <w:tab w:val="num" w:pos="6700"/>
        </w:tabs>
        <w:ind w:left="6700" w:hanging="180"/>
      </w:pPr>
    </w:lvl>
  </w:abstractNum>
  <w:abstractNum w:abstractNumId="9">
    <w:nsid w:val="70B238BB"/>
    <w:multiLevelType w:val="hybridMultilevel"/>
    <w:tmpl w:val="A8622FC4"/>
    <w:lvl w:ilvl="0" w:tplc="634A8A0A">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729E7571"/>
    <w:multiLevelType w:val="hybridMultilevel"/>
    <w:tmpl w:val="BD667300"/>
    <w:lvl w:ilvl="0" w:tplc="567C2B0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BF636F"/>
    <w:multiLevelType w:val="hybridMultilevel"/>
    <w:tmpl w:val="3724A778"/>
    <w:lvl w:ilvl="0" w:tplc="05B689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FC4247"/>
    <w:multiLevelType w:val="hybridMultilevel"/>
    <w:tmpl w:val="7C4AA770"/>
    <w:lvl w:ilvl="0" w:tplc="FA16A95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4"/>
  </w:num>
  <w:num w:numId="6">
    <w:abstractNumId w:val="5"/>
  </w:num>
  <w:num w:numId="7">
    <w:abstractNumId w:val="3"/>
  </w:num>
  <w:num w:numId="8">
    <w:abstractNumId w:val="0"/>
  </w:num>
  <w:num w:numId="9">
    <w:abstractNumId w:val="12"/>
  </w:num>
  <w:num w:numId="10">
    <w:abstractNumId w:val="10"/>
  </w:num>
  <w:num w:numId="11">
    <w:abstractNumId w:val="11"/>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B7C08"/>
    <w:rsid w:val="000278CD"/>
    <w:rsid w:val="00030DC2"/>
    <w:rsid w:val="00035255"/>
    <w:rsid w:val="000616FD"/>
    <w:rsid w:val="0007616F"/>
    <w:rsid w:val="0008465D"/>
    <w:rsid w:val="000D4056"/>
    <w:rsid w:val="000D6A70"/>
    <w:rsid w:val="00110CB4"/>
    <w:rsid w:val="0011657F"/>
    <w:rsid w:val="001258B6"/>
    <w:rsid w:val="0014289F"/>
    <w:rsid w:val="001475C8"/>
    <w:rsid w:val="001503B6"/>
    <w:rsid w:val="001603AE"/>
    <w:rsid w:val="00160C10"/>
    <w:rsid w:val="00161450"/>
    <w:rsid w:val="00162E5D"/>
    <w:rsid w:val="00194783"/>
    <w:rsid w:val="001B7552"/>
    <w:rsid w:val="001C3F1D"/>
    <w:rsid w:val="001E127D"/>
    <w:rsid w:val="001E3525"/>
    <w:rsid w:val="001E799D"/>
    <w:rsid w:val="001F3220"/>
    <w:rsid w:val="001F6344"/>
    <w:rsid w:val="0020252B"/>
    <w:rsid w:val="00216DCC"/>
    <w:rsid w:val="002205F7"/>
    <w:rsid w:val="00227887"/>
    <w:rsid w:val="00231020"/>
    <w:rsid w:val="00243FE8"/>
    <w:rsid w:val="00252417"/>
    <w:rsid w:val="002566F7"/>
    <w:rsid w:val="002A2934"/>
    <w:rsid w:val="002A51DA"/>
    <w:rsid w:val="002D2225"/>
    <w:rsid w:val="00311926"/>
    <w:rsid w:val="00333553"/>
    <w:rsid w:val="00365540"/>
    <w:rsid w:val="00377E06"/>
    <w:rsid w:val="003805DF"/>
    <w:rsid w:val="00391322"/>
    <w:rsid w:val="003B21CE"/>
    <w:rsid w:val="003D74CF"/>
    <w:rsid w:val="003F59C2"/>
    <w:rsid w:val="00423382"/>
    <w:rsid w:val="004457A7"/>
    <w:rsid w:val="00451D98"/>
    <w:rsid w:val="00475025"/>
    <w:rsid w:val="004A2C71"/>
    <w:rsid w:val="004B4D26"/>
    <w:rsid w:val="004D5438"/>
    <w:rsid w:val="004F4D1D"/>
    <w:rsid w:val="00503FE5"/>
    <w:rsid w:val="00506037"/>
    <w:rsid w:val="005127C2"/>
    <w:rsid w:val="0053040E"/>
    <w:rsid w:val="00540960"/>
    <w:rsid w:val="00544955"/>
    <w:rsid w:val="005462CE"/>
    <w:rsid w:val="00567B6D"/>
    <w:rsid w:val="00573269"/>
    <w:rsid w:val="00580323"/>
    <w:rsid w:val="005847C6"/>
    <w:rsid w:val="005A2389"/>
    <w:rsid w:val="005B450F"/>
    <w:rsid w:val="005B66FA"/>
    <w:rsid w:val="005C4CBC"/>
    <w:rsid w:val="005D3351"/>
    <w:rsid w:val="005D383B"/>
    <w:rsid w:val="005E4E7B"/>
    <w:rsid w:val="0060120E"/>
    <w:rsid w:val="0060311D"/>
    <w:rsid w:val="00626259"/>
    <w:rsid w:val="00632492"/>
    <w:rsid w:val="00640BD5"/>
    <w:rsid w:val="006528FC"/>
    <w:rsid w:val="00663BA7"/>
    <w:rsid w:val="0067360A"/>
    <w:rsid w:val="006A6CF2"/>
    <w:rsid w:val="006C3A76"/>
    <w:rsid w:val="006D1625"/>
    <w:rsid w:val="006E7FAE"/>
    <w:rsid w:val="006F11B3"/>
    <w:rsid w:val="006F3470"/>
    <w:rsid w:val="00705B1C"/>
    <w:rsid w:val="007135F7"/>
    <w:rsid w:val="007214A2"/>
    <w:rsid w:val="00724C64"/>
    <w:rsid w:val="00762915"/>
    <w:rsid w:val="007762BF"/>
    <w:rsid w:val="00781AD9"/>
    <w:rsid w:val="00785F1F"/>
    <w:rsid w:val="007C44D3"/>
    <w:rsid w:val="007D206F"/>
    <w:rsid w:val="007D5DF3"/>
    <w:rsid w:val="0080316E"/>
    <w:rsid w:val="0080391C"/>
    <w:rsid w:val="008326E3"/>
    <w:rsid w:val="008349EF"/>
    <w:rsid w:val="0083738E"/>
    <w:rsid w:val="00873ECB"/>
    <w:rsid w:val="008862A3"/>
    <w:rsid w:val="00887628"/>
    <w:rsid w:val="00896369"/>
    <w:rsid w:val="008964B9"/>
    <w:rsid w:val="008A0827"/>
    <w:rsid w:val="008C1132"/>
    <w:rsid w:val="008C292F"/>
    <w:rsid w:val="008F6E34"/>
    <w:rsid w:val="009104A0"/>
    <w:rsid w:val="009124F8"/>
    <w:rsid w:val="00927D05"/>
    <w:rsid w:val="009336ED"/>
    <w:rsid w:val="00950C68"/>
    <w:rsid w:val="009536BC"/>
    <w:rsid w:val="00957C3C"/>
    <w:rsid w:val="0096183B"/>
    <w:rsid w:val="00996342"/>
    <w:rsid w:val="00996467"/>
    <w:rsid w:val="009C5F89"/>
    <w:rsid w:val="009E5B5E"/>
    <w:rsid w:val="009E6173"/>
    <w:rsid w:val="009F2023"/>
    <w:rsid w:val="00A00AB7"/>
    <w:rsid w:val="00A14859"/>
    <w:rsid w:val="00A32673"/>
    <w:rsid w:val="00A36EA9"/>
    <w:rsid w:val="00A37CE5"/>
    <w:rsid w:val="00A56F98"/>
    <w:rsid w:val="00A66C5A"/>
    <w:rsid w:val="00A91E03"/>
    <w:rsid w:val="00A9418C"/>
    <w:rsid w:val="00AB17A4"/>
    <w:rsid w:val="00AF4DD8"/>
    <w:rsid w:val="00B70260"/>
    <w:rsid w:val="00B72A33"/>
    <w:rsid w:val="00B75BFC"/>
    <w:rsid w:val="00B9343A"/>
    <w:rsid w:val="00BA004A"/>
    <w:rsid w:val="00BB7C08"/>
    <w:rsid w:val="00C04AF7"/>
    <w:rsid w:val="00C05877"/>
    <w:rsid w:val="00C25409"/>
    <w:rsid w:val="00C32273"/>
    <w:rsid w:val="00C32836"/>
    <w:rsid w:val="00C51B56"/>
    <w:rsid w:val="00C6395A"/>
    <w:rsid w:val="00C77C8F"/>
    <w:rsid w:val="00C9769C"/>
    <w:rsid w:val="00CD77A3"/>
    <w:rsid w:val="00CE40B6"/>
    <w:rsid w:val="00CE6B74"/>
    <w:rsid w:val="00CF1189"/>
    <w:rsid w:val="00D06134"/>
    <w:rsid w:val="00D123A0"/>
    <w:rsid w:val="00D168F4"/>
    <w:rsid w:val="00D501EB"/>
    <w:rsid w:val="00D64D7B"/>
    <w:rsid w:val="00D67897"/>
    <w:rsid w:val="00D81042"/>
    <w:rsid w:val="00D95836"/>
    <w:rsid w:val="00DA5741"/>
    <w:rsid w:val="00DC5947"/>
    <w:rsid w:val="00DE5B6D"/>
    <w:rsid w:val="00DF07F4"/>
    <w:rsid w:val="00E1690F"/>
    <w:rsid w:val="00E33C09"/>
    <w:rsid w:val="00E41CC4"/>
    <w:rsid w:val="00E56BEB"/>
    <w:rsid w:val="00EA1F5F"/>
    <w:rsid w:val="00EB7F29"/>
    <w:rsid w:val="00ED3B42"/>
    <w:rsid w:val="00ED6949"/>
    <w:rsid w:val="00EF2887"/>
    <w:rsid w:val="00F11ED1"/>
    <w:rsid w:val="00F30DE0"/>
    <w:rsid w:val="00F35327"/>
    <w:rsid w:val="00F4469A"/>
    <w:rsid w:val="00F55A10"/>
    <w:rsid w:val="00F67256"/>
    <w:rsid w:val="00F71BEF"/>
    <w:rsid w:val="00F753A9"/>
    <w:rsid w:val="00F94549"/>
    <w:rsid w:val="00FA0B4A"/>
    <w:rsid w:val="00FE42D6"/>
    <w:rsid w:val="00FE48AF"/>
    <w:rsid w:val="00FF0CA7"/>
    <w:rsid w:val="00FF3121"/>
    <w:rsid w:val="00FF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08"/>
    <w:pPr>
      <w:spacing w:after="120"/>
      <w:jc w:val="both"/>
    </w:pPr>
    <w:rPr>
      <w:rFonts w:ascii="Verdana" w:hAnsi="Verdana" w:cs="Verdana"/>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BB7C08"/>
    <w:rPr>
      <w:sz w:val="16"/>
      <w:szCs w:val="16"/>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locked/>
    <w:rsid w:val="00BB7C08"/>
    <w:rPr>
      <w:rFonts w:ascii="Verdana" w:eastAsia="Times New Roman" w:hAnsi="Verdana" w:cs="Verdana"/>
      <w:sz w:val="20"/>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rsid w:val="00BB7C08"/>
    <w:rPr>
      <w:vertAlign w:val="superscript"/>
    </w:rPr>
  </w:style>
  <w:style w:type="paragraph" w:customStyle="1" w:styleId="Default">
    <w:name w:val="Default"/>
    <w:rsid w:val="00BB7C08"/>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rsid w:val="00BB7C08"/>
    <w:pPr>
      <w:tabs>
        <w:tab w:val="center" w:pos="4680"/>
        <w:tab w:val="right" w:pos="9360"/>
      </w:tabs>
    </w:pPr>
  </w:style>
  <w:style w:type="character" w:customStyle="1" w:styleId="HeaderChar">
    <w:name w:val="Header Char"/>
    <w:basedOn w:val="DefaultParagraphFont"/>
    <w:link w:val="Header"/>
    <w:uiPriority w:val="99"/>
    <w:locked/>
    <w:rsid w:val="00BB7C08"/>
    <w:rPr>
      <w:rFonts w:ascii="Verdana" w:eastAsia="Times New Roman" w:hAnsi="Verdana" w:cs="Verdana"/>
      <w:sz w:val="24"/>
      <w:szCs w:val="24"/>
      <w:lang w:val="es-ES_tradnl" w:eastAsia="es-ES"/>
    </w:rPr>
  </w:style>
  <w:style w:type="paragraph" w:customStyle="1" w:styleId="ListParagraph2">
    <w:name w:val="List Paragraph2"/>
    <w:aliases w:val="Footnote"/>
    <w:basedOn w:val="Normal"/>
    <w:uiPriority w:val="99"/>
    <w:rsid w:val="00BB7C08"/>
    <w:pPr>
      <w:spacing w:after="0"/>
      <w:jc w:val="left"/>
    </w:pPr>
    <w:rPr>
      <w:rFonts w:ascii="Times New Roman" w:eastAsia="Times New Roman" w:hAnsi="Times New Roman" w:cs="Times New Roman"/>
      <w:sz w:val="16"/>
      <w:szCs w:val="16"/>
      <w:lang w:val="es-ES"/>
    </w:rPr>
  </w:style>
  <w:style w:type="paragraph" w:styleId="ListParagraph">
    <w:name w:val="List Paragraph"/>
    <w:basedOn w:val="Normal"/>
    <w:uiPriority w:val="99"/>
    <w:qFormat/>
    <w:rsid w:val="00BB7C08"/>
    <w:pPr>
      <w:ind w:left="720"/>
    </w:pPr>
  </w:style>
  <w:style w:type="paragraph" w:styleId="BodyText">
    <w:name w:val="Body Text"/>
    <w:basedOn w:val="Normal"/>
    <w:link w:val="BodyTextChar"/>
    <w:uiPriority w:val="99"/>
    <w:rsid w:val="00BB7C08"/>
  </w:style>
  <w:style w:type="character" w:customStyle="1" w:styleId="BodyTextChar">
    <w:name w:val="Body Text Char"/>
    <w:basedOn w:val="DefaultParagraphFont"/>
    <w:link w:val="BodyText"/>
    <w:uiPriority w:val="99"/>
    <w:locked/>
    <w:rsid w:val="00BB7C08"/>
    <w:rPr>
      <w:rFonts w:ascii="Verdana" w:eastAsia="Times New Roman" w:hAnsi="Verdana" w:cs="Verdana"/>
      <w:sz w:val="24"/>
      <w:szCs w:val="24"/>
      <w:lang w:val="es-ES_tradnl" w:eastAsia="es-ES"/>
    </w:rPr>
  </w:style>
  <w:style w:type="paragraph" w:styleId="BalloonText">
    <w:name w:val="Balloon Text"/>
    <w:basedOn w:val="Normal"/>
    <w:link w:val="BalloonTextChar"/>
    <w:uiPriority w:val="99"/>
    <w:semiHidden/>
    <w:unhideWhenUsed/>
    <w:rsid w:val="009124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F8"/>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8C248-0860-4F42-B1E8-20C81D61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RESOLUCIÓN DEL PRESIDENTE DE LA</vt:lpstr>
    </vt:vector>
  </TitlesOfParts>
  <Company>diego</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dc:creator>
  <cp:lastModifiedBy>Daniela Rodriguez</cp:lastModifiedBy>
  <cp:revision>2</cp:revision>
  <cp:lastPrinted>2013-12-18T17:30:00Z</cp:lastPrinted>
  <dcterms:created xsi:type="dcterms:W3CDTF">2015-05-07T17:54:00Z</dcterms:created>
  <dcterms:modified xsi:type="dcterms:W3CDTF">2015-05-07T17:54:00Z</dcterms:modified>
</cp:coreProperties>
</file>