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5BC15" w14:textId="77777777" w:rsidR="00EC534B" w:rsidRDefault="00EC534B" w:rsidP="00DA5CA2">
      <w:pPr>
        <w:spacing w:line="360" w:lineRule="auto"/>
        <w:jc w:val="center"/>
        <w:rPr>
          <w:rFonts w:ascii="Verdana" w:hAnsi="Verdana"/>
          <w:b/>
          <w:sz w:val="20"/>
          <w:lang w:val="es-MX"/>
        </w:rPr>
      </w:pPr>
      <w:bookmarkStart w:id="0" w:name="_GoBack"/>
      <w:bookmarkEnd w:id="0"/>
    </w:p>
    <w:p w14:paraId="3B9D65D8" w14:textId="77777777" w:rsidR="005074A1" w:rsidRDefault="005074A1" w:rsidP="00ED0B5F">
      <w:pPr>
        <w:jc w:val="center"/>
        <w:rPr>
          <w:rFonts w:ascii="Verdana" w:hAnsi="Verdana"/>
          <w:b/>
          <w:sz w:val="20"/>
          <w:lang w:val="es-MX"/>
        </w:rPr>
      </w:pPr>
    </w:p>
    <w:p w14:paraId="2058DED2" w14:textId="77777777" w:rsidR="00E55D97" w:rsidRDefault="00E55D97" w:rsidP="00ED0B5F">
      <w:pPr>
        <w:jc w:val="center"/>
        <w:rPr>
          <w:rFonts w:ascii="Verdana" w:hAnsi="Verdana"/>
          <w:b/>
          <w:sz w:val="20"/>
          <w:lang w:val="es-MX"/>
        </w:rPr>
      </w:pPr>
    </w:p>
    <w:p w14:paraId="0C68DF7B" w14:textId="77777777" w:rsidR="00E55D97" w:rsidRDefault="00E55D97" w:rsidP="00ED0B5F">
      <w:pPr>
        <w:jc w:val="center"/>
        <w:rPr>
          <w:rFonts w:ascii="Verdana" w:hAnsi="Verdana"/>
          <w:b/>
          <w:sz w:val="20"/>
          <w:lang w:val="es-MX"/>
        </w:rPr>
      </w:pPr>
    </w:p>
    <w:p w14:paraId="2E522636" w14:textId="77777777" w:rsidR="00E55D97" w:rsidRDefault="00E55D97" w:rsidP="00ED0B5F">
      <w:pPr>
        <w:jc w:val="center"/>
        <w:rPr>
          <w:rFonts w:ascii="Verdana" w:hAnsi="Verdana"/>
          <w:b/>
          <w:sz w:val="20"/>
          <w:lang w:val="es-MX"/>
        </w:rPr>
      </w:pPr>
    </w:p>
    <w:p w14:paraId="2090A5C2" w14:textId="77777777" w:rsidR="00E55D97" w:rsidRDefault="00E55D97" w:rsidP="00ED0B5F">
      <w:pPr>
        <w:jc w:val="center"/>
        <w:rPr>
          <w:rFonts w:ascii="Verdana" w:hAnsi="Verdana"/>
          <w:b/>
          <w:sz w:val="20"/>
          <w:lang w:val="es-MX"/>
        </w:rPr>
      </w:pPr>
    </w:p>
    <w:p w14:paraId="6833C988" w14:textId="77777777" w:rsidR="00E55D97" w:rsidRDefault="00E55D97" w:rsidP="00ED0B5F">
      <w:pPr>
        <w:jc w:val="center"/>
        <w:rPr>
          <w:rFonts w:ascii="Verdana" w:hAnsi="Verdana"/>
          <w:b/>
          <w:sz w:val="20"/>
          <w:lang w:val="es-MX"/>
        </w:rPr>
      </w:pPr>
    </w:p>
    <w:p w14:paraId="25C7603E" w14:textId="77777777" w:rsidR="00DA5CA2" w:rsidRPr="000F1E4F" w:rsidRDefault="00DA5CA2" w:rsidP="00ED0B5F">
      <w:pPr>
        <w:jc w:val="center"/>
        <w:rPr>
          <w:rFonts w:ascii="Verdana" w:hAnsi="Verdana"/>
          <w:b/>
          <w:sz w:val="20"/>
          <w:lang w:val="es-MX"/>
        </w:rPr>
      </w:pPr>
      <w:r w:rsidRPr="000F1E4F">
        <w:rPr>
          <w:rFonts w:ascii="Verdana" w:hAnsi="Verdana"/>
          <w:b/>
          <w:sz w:val="20"/>
          <w:lang w:val="es-MX"/>
        </w:rPr>
        <w:t>RESOLUCIÓN DE LA</w:t>
      </w:r>
    </w:p>
    <w:p w14:paraId="6CC3EB56" w14:textId="77777777" w:rsidR="00DA5CA2" w:rsidRDefault="00DA5CA2" w:rsidP="00ED0B5F">
      <w:pPr>
        <w:jc w:val="center"/>
        <w:rPr>
          <w:rFonts w:eastAsia="Calibri"/>
          <w:lang w:eastAsia="es-CR"/>
        </w:rPr>
      </w:pPr>
      <w:r w:rsidRPr="00B71CCB">
        <w:rPr>
          <w:rFonts w:ascii="Verdana" w:hAnsi="Verdana"/>
          <w:b/>
          <w:sz w:val="20"/>
          <w:lang w:val="es-MX"/>
        </w:rPr>
        <w:t xml:space="preserve">CORTE </w:t>
      </w:r>
      <w:r w:rsidRPr="0017363E">
        <w:rPr>
          <w:rFonts w:ascii="Verdana" w:hAnsi="Verdana"/>
          <w:b/>
          <w:sz w:val="20"/>
          <w:lang w:val="es-MX"/>
        </w:rPr>
        <w:t>INTERAMERICANA</w:t>
      </w:r>
      <w:r w:rsidRPr="00B71CCB">
        <w:rPr>
          <w:rFonts w:ascii="Verdana" w:hAnsi="Verdana"/>
          <w:b/>
          <w:sz w:val="20"/>
          <w:lang w:val="es-MX"/>
        </w:rPr>
        <w:t xml:space="preserve"> DE DERECHOS HUMANOS</w:t>
      </w:r>
      <w:r w:rsidRPr="00826239">
        <w:rPr>
          <w:rStyle w:val="Refdenotaalpie"/>
          <w:rFonts w:ascii="Verdana" w:hAnsi="Verdana"/>
          <w:b/>
          <w:smallCaps/>
          <w:sz w:val="20"/>
          <w:lang w:val="es-CO"/>
        </w:rPr>
        <w:footnoteReference w:customMarkFollows="1" w:id="1"/>
        <w:sym w:font="Symbol" w:char="F02A"/>
      </w:r>
      <w:r>
        <w:rPr>
          <w:rFonts w:eastAsia="Calibri"/>
          <w:lang w:eastAsia="es-CR"/>
        </w:rPr>
        <w:t xml:space="preserve"> </w:t>
      </w:r>
    </w:p>
    <w:p w14:paraId="332820A7" w14:textId="77777777" w:rsidR="00DA5CA2" w:rsidRDefault="00DA5CA2" w:rsidP="00ED0B5F">
      <w:pPr>
        <w:jc w:val="center"/>
        <w:rPr>
          <w:rFonts w:eastAsia="Calibri"/>
          <w:lang w:eastAsia="es-CR"/>
        </w:rPr>
      </w:pPr>
    </w:p>
    <w:p w14:paraId="25797B6A" w14:textId="77777777" w:rsidR="00DA5CA2" w:rsidRDefault="00DA5CA2" w:rsidP="00ED0B5F">
      <w:pPr>
        <w:spacing w:before="60"/>
        <w:jc w:val="center"/>
        <w:rPr>
          <w:rFonts w:ascii="Verdana" w:hAnsi="Verdana"/>
          <w:b/>
          <w:smallCaps/>
          <w:sz w:val="20"/>
        </w:rPr>
      </w:pPr>
      <w:r>
        <w:rPr>
          <w:rFonts w:ascii="Verdana" w:hAnsi="Verdana"/>
          <w:b/>
          <w:smallCaps/>
          <w:sz w:val="20"/>
        </w:rPr>
        <w:t xml:space="preserve">DE </w:t>
      </w:r>
      <w:r w:rsidR="00850D62">
        <w:rPr>
          <w:rFonts w:ascii="Verdana" w:hAnsi="Verdana"/>
          <w:b/>
          <w:smallCaps/>
          <w:sz w:val="20"/>
        </w:rPr>
        <w:t>22</w:t>
      </w:r>
      <w:r w:rsidRPr="00AB04CC">
        <w:rPr>
          <w:rFonts w:ascii="Verdana" w:hAnsi="Verdana"/>
          <w:b/>
          <w:smallCaps/>
          <w:sz w:val="20"/>
        </w:rPr>
        <w:t xml:space="preserve"> DE </w:t>
      </w:r>
      <w:r w:rsidR="0084796A">
        <w:rPr>
          <w:rFonts w:ascii="Verdana" w:hAnsi="Verdana"/>
          <w:b/>
          <w:smallCaps/>
          <w:sz w:val="20"/>
        </w:rPr>
        <w:t xml:space="preserve">NOVIEMBRE </w:t>
      </w:r>
      <w:r w:rsidRPr="00AB04CC">
        <w:rPr>
          <w:rFonts w:ascii="Verdana" w:hAnsi="Verdana"/>
          <w:b/>
          <w:smallCaps/>
          <w:sz w:val="20"/>
        </w:rPr>
        <w:t>DE 201</w:t>
      </w:r>
      <w:r>
        <w:rPr>
          <w:rFonts w:ascii="Verdana" w:hAnsi="Verdana"/>
          <w:b/>
          <w:smallCaps/>
          <w:sz w:val="20"/>
        </w:rPr>
        <w:t>9</w:t>
      </w:r>
    </w:p>
    <w:p w14:paraId="408055B1" w14:textId="77777777" w:rsidR="00ED0B5F" w:rsidRDefault="00ED0B5F" w:rsidP="00ED0B5F">
      <w:pPr>
        <w:spacing w:before="60"/>
        <w:jc w:val="center"/>
        <w:rPr>
          <w:rFonts w:ascii="Verdana" w:hAnsi="Verdana"/>
          <w:b/>
          <w:i/>
          <w:sz w:val="20"/>
          <w:szCs w:val="20"/>
        </w:rPr>
      </w:pPr>
    </w:p>
    <w:p w14:paraId="16644C62" w14:textId="77777777" w:rsidR="00D21802" w:rsidRPr="006D3AC4" w:rsidRDefault="00D21802" w:rsidP="00ED0B5F">
      <w:pPr>
        <w:spacing w:before="60"/>
        <w:jc w:val="center"/>
        <w:rPr>
          <w:rFonts w:ascii="Verdana" w:hAnsi="Verdana"/>
          <w:b/>
          <w:i/>
          <w:sz w:val="20"/>
          <w:szCs w:val="20"/>
        </w:rPr>
      </w:pPr>
      <w:r w:rsidRPr="006D3AC4">
        <w:rPr>
          <w:rFonts w:ascii="Verdana" w:hAnsi="Verdana"/>
          <w:b/>
          <w:i/>
          <w:sz w:val="20"/>
          <w:szCs w:val="20"/>
        </w:rPr>
        <w:t>CASO DUQUE VS. COLOMBIA</w:t>
      </w:r>
    </w:p>
    <w:p w14:paraId="20D3005A" w14:textId="77777777" w:rsidR="00DA5CA2" w:rsidRPr="00F10321" w:rsidRDefault="00DA5CA2" w:rsidP="00ED0B5F">
      <w:pPr>
        <w:jc w:val="center"/>
        <w:rPr>
          <w:rFonts w:ascii="Verdana" w:hAnsi="Verdana"/>
          <w:b/>
          <w:smallCaps/>
          <w:sz w:val="20"/>
        </w:rPr>
      </w:pPr>
    </w:p>
    <w:p w14:paraId="59C151BD" w14:textId="77777777" w:rsidR="009F2E69" w:rsidRPr="00D21802" w:rsidRDefault="009F2E69" w:rsidP="00ED0B5F">
      <w:pPr>
        <w:jc w:val="center"/>
        <w:rPr>
          <w:rFonts w:ascii="Verdana" w:hAnsi="Verdana"/>
          <w:b/>
          <w:sz w:val="20"/>
          <w:lang w:val="es-MX"/>
        </w:rPr>
      </w:pPr>
      <w:r w:rsidRPr="00D21802">
        <w:rPr>
          <w:rFonts w:ascii="Verdana" w:hAnsi="Verdana"/>
          <w:b/>
          <w:sz w:val="20"/>
          <w:lang w:val="es-MX"/>
        </w:rPr>
        <w:t>SUPERVISIÓN DE CUMPLIMIENTO DE SENTENCIA Y</w:t>
      </w:r>
    </w:p>
    <w:p w14:paraId="68699FB7" w14:textId="77777777" w:rsidR="00DA5CA2" w:rsidRPr="00D21802" w:rsidRDefault="00DA5CA2" w:rsidP="00ED0B5F">
      <w:pPr>
        <w:jc w:val="center"/>
        <w:rPr>
          <w:rFonts w:ascii="Verdana" w:hAnsi="Verdana"/>
          <w:b/>
          <w:sz w:val="20"/>
          <w:lang w:val="es-MX"/>
        </w:rPr>
      </w:pPr>
      <w:r w:rsidRPr="00D21802">
        <w:rPr>
          <w:rFonts w:ascii="Verdana" w:hAnsi="Verdana"/>
          <w:b/>
          <w:sz w:val="20"/>
          <w:lang w:val="es-MX"/>
        </w:rPr>
        <w:t xml:space="preserve">REINTEGRO AL FONDO DE ASISTENCIA LEGAL DE VÍCTIMAS </w:t>
      </w:r>
    </w:p>
    <w:p w14:paraId="37212A70" w14:textId="77777777" w:rsidR="007C0E2D" w:rsidRDefault="007C0E2D" w:rsidP="007C0E2D">
      <w:pPr>
        <w:jc w:val="both"/>
        <w:rPr>
          <w:rFonts w:ascii="Verdana" w:hAnsi="Verdana"/>
          <w:sz w:val="20"/>
          <w:szCs w:val="20"/>
        </w:rPr>
      </w:pPr>
    </w:p>
    <w:p w14:paraId="0E65E74D" w14:textId="77777777" w:rsidR="00C44D3E" w:rsidRPr="00066893" w:rsidRDefault="00C44D3E" w:rsidP="007C0E2D">
      <w:pPr>
        <w:jc w:val="both"/>
        <w:rPr>
          <w:rFonts w:ascii="Verdana" w:hAnsi="Verdana"/>
          <w:sz w:val="20"/>
          <w:szCs w:val="20"/>
        </w:rPr>
      </w:pPr>
    </w:p>
    <w:p w14:paraId="76673BED" w14:textId="77777777" w:rsidR="007C0E2D" w:rsidRPr="00162C69" w:rsidRDefault="007C0E2D" w:rsidP="007C0E2D">
      <w:pPr>
        <w:spacing w:after="200"/>
        <w:rPr>
          <w:rFonts w:ascii="Verdana" w:hAnsi="Verdana"/>
          <w:b/>
          <w:sz w:val="20"/>
        </w:rPr>
      </w:pPr>
      <w:r>
        <w:rPr>
          <w:rFonts w:ascii="Verdana" w:hAnsi="Verdana"/>
          <w:b/>
          <w:sz w:val="20"/>
        </w:rPr>
        <w:t>VISTO:</w:t>
      </w:r>
    </w:p>
    <w:p w14:paraId="7172F3D2" w14:textId="77777777" w:rsidR="00DA5BE4" w:rsidRDefault="007C0E2D" w:rsidP="00ED0B5F">
      <w:pPr>
        <w:numPr>
          <w:ilvl w:val="0"/>
          <w:numId w:val="4"/>
        </w:numPr>
        <w:spacing w:before="120" w:after="120"/>
        <w:ind w:left="0" w:firstLine="0"/>
        <w:jc w:val="both"/>
        <w:rPr>
          <w:rFonts w:ascii="Verdana" w:hAnsi="Verdana"/>
          <w:sz w:val="20"/>
          <w:szCs w:val="20"/>
        </w:rPr>
      </w:pPr>
      <w:bookmarkStart w:id="1" w:name="_Ref536711835"/>
      <w:bookmarkStart w:id="2" w:name="_Ref26177734"/>
      <w:r w:rsidRPr="004510E4">
        <w:rPr>
          <w:rFonts w:ascii="Verdana" w:eastAsia="Calibri" w:hAnsi="Verdana"/>
          <w:sz w:val="20"/>
          <w:szCs w:val="20"/>
          <w:lang w:eastAsia="en-US"/>
        </w:rPr>
        <w:t xml:space="preserve">La Sentencia de excepciones preliminares, fondo, reparaciones y costas </w:t>
      </w:r>
      <w:r w:rsidR="00BB0A49" w:rsidRPr="004510E4">
        <w:rPr>
          <w:rFonts w:ascii="Verdana" w:eastAsia="Calibri" w:hAnsi="Verdana"/>
          <w:sz w:val="20"/>
          <w:szCs w:val="20"/>
          <w:lang w:eastAsia="en-US"/>
        </w:rPr>
        <w:t>(en adelante “la Sentencia”</w:t>
      </w:r>
      <w:r w:rsidR="0027195E">
        <w:rPr>
          <w:rFonts w:ascii="Verdana" w:eastAsia="Calibri" w:hAnsi="Verdana"/>
          <w:sz w:val="20"/>
          <w:szCs w:val="20"/>
          <w:lang w:eastAsia="en-US"/>
        </w:rPr>
        <w:t xml:space="preserve"> o “el Fallo”</w:t>
      </w:r>
      <w:r w:rsidR="00BB0A49" w:rsidRPr="004510E4">
        <w:rPr>
          <w:rFonts w:ascii="Verdana" w:eastAsia="Calibri" w:hAnsi="Verdana"/>
          <w:sz w:val="20"/>
          <w:szCs w:val="20"/>
          <w:lang w:eastAsia="en-US"/>
        </w:rPr>
        <w:t xml:space="preserve">) </w:t>
      </w:r>
      <w:r w:rsidRPr="004510E4">
        <w:rPr>
          <w:rFonts w:ascii="Verdana" w:eastAsia="Calibri" w:hAnsi="Verdana"/>
          <w:sz w:val="20"/>
          <w:szCs w:val="20"/>
          <w:lang w:eastAsia="en-US"/>
        </w:rPr>
        <w:t>dictada por la Corte Interamericana de Derechos Humanos (en adelante “la Corte”, “la Corte Interamericana” o “el Tribunal”) el 26 de febrero de 2016</w:t>
      </w:r>
      <w:bookmarkStart w:id="3" w:name="_Ref26181301"/>
      <w:r w:rsidR="00BB0A49">
        <w:rPr>
          <w:rStyle w:val="Refdenotaalpie"/>
          <w:rFonts w:ascii="Verdana" w:eastAsia="Calibri" w:hAnsi="Verdana"/>
          <w:sz w:val="20"/>
          <w:szCs w:val="20"/>
          <w:lang w:eastAsia="en-US"/>
        </w:rPr>
        <w:footnoteReference w:id="2"/>
      </w:r>
      <w:bookmarkEnd w:id="3"/>
      <w:r w:rsidR="00BB0A49" w:rsidRPr="004510E4">
        <w:rPr>
          <w:rFonts w:ascii="Verdana" w:eastAsia="Calibri" w:hAnsi="Verdana"/>
          <w:sz w:val="20"/>
          <w:szCs w:val="20"/>
          <w:lang w:eastAsia="en-US"/>
        </w:rPr>
        <w:t>.</w:t>
      </w:r>
      <w:r w:rsidRPr="004510E4">
        <w:rPr>
          <w:rFonts w:ascii="Verdana" w:eastAsia="Calibri" w:hAnsi="Verdana"/>
          <w:sz w:val="20"/>
          <w:szCs w:val="20"/>
          <w:lang w:eastAsia="en-US"/>
        </w:rPr>
        <w:t xml:space="preserve"> La Corte declaró </w:t>
      </w:r>
      <w:bookmarkEnd w:id="1"/>
      <w:r w:rsidR="00C32540" w:rsidRPr="004510E4">
        <w:rPr>
          <w:rFonts w:ascii="Verdana" w:eastAsia="Calibri" w:hAnsi="Verdana"/>
          <w:sz w:val="20"/>
          <w:szCs w:val="20"/>
          <w:lang w:eastAsia="en-US"/>
        </w:rPr>
        <w:t>que la República de</w:t>
      </w:r>
      <w:r w:rsidR="00C97C73" w:rsidRPr="004510E4">
        <w:rPr>
          <w:rFonts w:ascii="Verdana" w:eastAsia="Calibri" w:hAnsi="Verdana"/>
          <w:sz w:val="20"/>
          <w:szCs w:val="20"/>
          <w:lang w:eastAsia="en-US"/>
        </w:rPr>
        <w:t xml:space="preserve"> Colombia </w:t>
      </w:r>
      <w:r w:rsidRPr="004510E4">
        <w:rPr>
          <w:rFonts w:ascii="Verdana" w:eastAsia="Calibri" w:hAnsi="Verdana"/>
          <w:sz w:val="20"/>
          <w:szCs w:val="20"/>
          <w:lang w:eastAsia="en-US"/>
        </w:rPr>
        <w:t>(en adelante “el Estado” o “</w:t>
      </w:r>
      <w:r w:rsidR="00C97C73" w:rsidRPr="004510E4">
        <w:rPr>
          <w:rFonts w:ascii="Verdana" w:eastAsia="Calibri" w:hAnsi="Verdana"/>
          <w:sz w:val="20"/>
          <w:szCs w:val="20"/>
          <w:lang w:eastAsia="en-US"/>
        </w:rPr>
        <w:t>Colombia</w:t>
      </w:r>
      <w:r w:rsidRPr="004510E4">
        <w:rPr>
          <w:rFonts w:ascii="Verdana" w:eastAsia="Calibri" w:hAnsi="Verdana"/>
          <w:sz w:val="20"/>
          <w:szCs w:val="20"/>
          <w:lang w:eastAsia="en-US"/>
        </w:rPr>
        <w:t xml:space="preserve">”) </w:t>
      </w:r>
      <w:r w:rsidR="004510E4" w:rsidRPr="00DF5EE9">
        <w:rPr>
          <w:rFonts w:ascii="Verdana" w:hAnsi="Verdana"/>
          <w:sz w:val="20"/>
          <w:szCs w:val="20"/>
        </w:rPr>
        <w:t xml:space="preserve">era internacionalmente responsable de haber violado el derecho a la igualdad ante la ley y a la no discriminación en perjuicio de Ángel Alberto Duque, por no haberle permitido acceder en condiciones de igualdad a la pensión de sobrevivencia, luego de la defunción de su pareja, con base en el hecho de que se trataba de una pareja del mismo sexo. La </w:t>
      </w:r>
      <w:r w:rsidR="0027195E" w:rsidRPr="00DF5EE9">
        <w:rPr>
          <w:rFonts w:ascii="Verdana" w:hAnsi="Verdana"/>
          <w:sz w:val="20"/>
          <w:szCs w:val="20"/>
        </w:rPr>
        <w:t>normativ</w:t>
      </w:r>
      <w:r w:rsidR="0027195E">
        <w:rPr>
          <w:rFonts w:ascii="Verdana" w:hAnsi="Verdana"/>
          <w:sz w:val="20"/>
          <w:szCs w:val="20"/>
        </w:rPr>
        <w:t xml:space="preserve">a </w:t>
      </w:r>
      <w:r w:rsidR="004510E4" w:rsidRPr="00DF5EE9">
        <w:rPr>
          <w:rFonts w:ascii="Verdana" w:hAnsi="Verdana"/>
          <w:sz w:val="20"/>
          <w:szCs w:val="20"/>
        </w:rPr>
        <w:t>vigente en el 2002 no permitía el pago de pensiones de sobrevivencia a parejas del mismo sexo.</w:t>
      </w:r>
      <w:r w:rsidR="00850D62">
        <w:rPr>
          <w:rFonts w:ascii="Verdana" w:hAnsi="Verdana"/>
          <w:sz w:val="20"/>
          <w:szCs w:val="20"/>
        </w:rPr>
        <w:t xml:space="preserve"> La Corte estableció que su</w:t>
      </w:r>
      <w:r w:rsidR="004510E4" w:rsidRPr="004510E4">
        <w:rPr>
          <w:rFonts w:ascii="Verdana" w:eastAsia="Calibri" w:hAnsi="Verdana"/>
          <w:sz w:val="20"/>
          <w:szCs w:val="20"/>
          <w:lang w:eastAsia="en-US"/>
        </w:rPr>
        <w:t xml:space="preserve"> </w:t>
      </w:r>
      <w:r w:rsidR="00DA5BE4" w:rsidRPr="004510E4">
        <w:rPr>
          <w:rFonts w:ascii="Verdana" w:eastAsia="Calibri" w:hAnsi="Verdana"/>
          <w:sz w:val="20"/>
          <w:szCs w:val="20"/>
          <w:lang w:eastAsia="en-US"/>
        </w:rPr>
        <w:t xml:space="preserve">Sentencia </w:t>
      </w:r>
      <w:r w:rsidR="00850D62">
        <w:rPr>
          <w:rFonts w:ascii="Verdana" w:eastAsia="Calibri" w:hAnsi="Verdana"/>
          <w:sz w:val="20"/>
          <w:szCs w:val="20"/>
          <w:lang w:eastAsia="en-US"/>
        </w:rPr>
        <w:t xml:space="preserve">constituía por sí misma una forma de reparación y </w:t>
      </w:r>
      <w:r w:rsidR="00DA5BE4" w:rsidRPr="004510E4">
        <w:rPr>
          <w:rFonts w:ascii="Verdana" w:eastAsia="Calibri" w:hAnsi="Verdana"/>
          <w:sz w:val="20"/>
          <w:szCs w:val="20"/>
          <w:lang w:eastAsia="en-US"/>
        </w:rPr>
        <w:t xml:space="preserve"> ordenó al Estado </w:t>
      </w:r>
      <w:r w:rsidR="00850D62">
        <w:rPr>
          <w:rFonts w:ascii="Verdana" w:eastAsia="Calibri" w:hAnsi="Verdana"/>
          <w:sz w:val="20"/>
          <w:szCs w:val="20"/>
          <w:lang w:eastAsia="en-US"/>
        </w:rPr>
        <w:t>la adopción de</w:t>
      </w:r>
      <w:r w:rsidR="00DA5BE4" w:rsidRPr="004510E4">
        <w:rPr>
          <w:rFonts w:ascii="Verdana" w:eastAsia="Calibri" w:hAnsi="Verdana"/>
          <w:sz w:val="20"/>
          <w:szCs w:val="20"/>
          <w:lang w:eastAsia="en-US"/>
        </w:rPr>
        <w:t xml:space="preserve"> medidas </w:t>
      </w:r>
      <w:r w:rsidR="00850D62">
        <w:rPr>
          <w:rFonts w:ascii="Verdana" w:eastAsia="Calibri" w:hAnsi="Verdana"/>
          <w:sz w:val="20"/>
          <w:szCs w:val="20"/>
          <w:lang w:eastAsia="en-US"/>
        </w:rPr>
        <w:t xml:space="preserve">adicionales </w:t>
      </w:r>
      <w:r w:rsidR="00DA5BE4" w:rsidRPr="004510E4">
        <w:rPr>
          <w:rFonts w:ascii="Verdana" w:eastAsia="Calibri" w:hAnsi="Verdana"/>
          <w:sz w:val="20"/>
          <w:szCs w:val="20"/>
          <w:lang w:eastAsia="en-US"/>
        </w:rPr>
        <w:t xml:space="preserve">de reparación, así como el </w:t>
      </w:r>
      <w:r w:rsidR="00DA5BE4" w:rsidRPr="004510E4">
        <w:rPr>
          <w:rFonts w:ascii="Verdana" w:hAnsi="Verdana"/>
          <w:sz w:val="20"/>
          <w:szCs w:val="20"/>
        </w:rPr>
        <w:t xml:space="preserve">reintegro al Fondo de Asistencia Legal de Víctimas de la Corte </w:t>
      </w:r>
      <w:r w:rsidR="004510E4" w:rsidRPr="004510E4">
        <w:rPr>
          <w:rFonts w:ascii="Verdana" w:hAnsi="Verdana"/>
          <w:sz w:val="20"/>
          <w:szCs w:val="20"/>
        </w:rPr>
        <w:t xml:space="preserve">Interamericana </w:t>
      </w:r>
      <w:r w:rsidR="00DA5BE4" w:rsidRPr="004510E4">
        <w:rPr>
          <w:rFonts w:ascii="Verdana" w:hAnsi="Verdana"/>
          <w:sz w:val="20"/>
          <w:szCs w:val="20"/>
        </w:rPr>
        <w:t>(en adelante el “Fondo de Asistencia”)</w:t>
      </w:r>
      <w:r w:rsidR="004510E4" w:rsidRPr="004510E4">
        <w:rPr>
          <w:rFonts w:ascii="Verdana" w:hAnsi="Verdana"/>
          <w:sz w:val="20"/>
          <w:szCs w:val="20"/>
        </w:rPr>
        <w:t xml:space="preserve"> d (</w:t>
      </w:r>
      <w:r w:rsidR="004510E4" w:rsidRPr="00DF5EE9">
        <w:rPr>
          <w:rFonts w:ascii="Verdana" w:hAnsi="Verdana"/>
          <w:i/>
          <w:sz w:val="20"/>
          <w:szCs w:val="20"/>
        </w:rPr>
        <w:t>infra</w:t>
      </w:r>
      <w:r w:rsidR="004510E4" w:rsidRPr="004510E4">
        <w:rPr>
          <w:rFonts w:ascii="Verdana" w:hAnsi="Verdana"/>
          <w:sz w:val="20"/>
          <w:szCs w:val="20"/>
        </w:rPr>
        <w:t xml:space="preserve"> Considerando </w:t>
      </w:r>
      <w:r w:rsidR="00DF4F7F">
        <w:rPr>
          <w:rFonts w:ascii="Verdana" w:hAnsi="Verdana"/>
          <w:sz w:val="20"/>
          <w:szCs w:val="20"/>
        </w:rPr>
        <w:t>10</w:t>
      </w:r>
      <w:r w:rsidR="004510E4" w:rsidRPr="004510E4">
        <w:rPr>
          <w:rFonts w:ascii="Verdana" w:hAnsi="Verdana"/>
          <w:sz w:val="20"/>
          <w:szCs w:val="20"/>
        </w:rPr>
        <w:t>)</w:t>
      </w:r>
      <w:r w:rsidR="00DA5BE4" w:rsidRPr="004510E4">
        <w:rPr>
          <w:rFonts w:ascii="Verdana" w:hAnsi="Verdana"/>
          <w:sz w:val="20"/>
          <w:szCs w:val="20"/>
        </w:rPr>
        <w:t>.</w:t>
      </w:r>
      <w:bookmarkEnd w:id="2"/>
    </w:p>
    <w:p w14:paraId="6200C1E3" w14:textId="77777777" w:rsidR="00156213" w:rsidRPr="00156213" w:rsidRDefault="00156213" w:rsidP="00ED0B5F">
      <w:pPr>
        <w:numPr>
          <w:ilvl w:val="0"/>
          <w:numId w:val="4"/>
        </w:numPr>
        <w:spacing w:before="120" w:after="120"/>
        <w:ind w:left="0" w:firstLine="0"/>
        <w:jc w:val="both"/>
        <w:rPr>
          <w:rFonts w:ascii="Verdana" w:hAnsi="Verdana"/>
          <w:sz w:val="20"/>
          <w:szCs w:val="20"/>
        </w:rPr>
      </w:pPr>
      <w:r w:rsidRPr="00156213">
        <w:rPr>
          <w:rFonts w:ascii="Verdana" w:hAnsi="Verdana"/>
          <w:sz w:val="20"/>
          <w:szCs w:val="20"/>
        </w:rPr>
        <w:t>La Sentencia de interpretación emitida por la Corte el 21 de noviembre de 2016</w:t>
      </w:r>
      <w:r>
        <w:rPr>
          <w:rStyle w:val="Refdenotaalpie"/>
          <w:rFonts w:ascii="Verdana" w:hAnsi="Verdana"/>
          <w:sz w:val="20"/>
          <w:szCs w:val="20"/>
        </w:rPr>
        <w:footnoteReference w:id="3"/>
      </w:r>
      <w:r w:rsidRPr="00156213">
        <w:rPr>
          <w:rFonts w:ascii="Verdana" w:hAnsi="Verdana"/>
          <w:sz w:val="20"/>
          <w:szCs w:val="20"/>
        </w:rPr>
        <w:t>.</w:t>
      </w:r>
    </w:p>
    <w:p w14:paraId="521B1262" w14:textId="77777777" w:rsidR="004510E4" w:rsidRDefault="004510E4" w:rsidP="00ED0B5F">
      <w:pPr>
        <w:numPr>
          <w:ilvl w:val="0"/>
          <w:numId w:val="4"/>
        </w:numPr>
        <w:spacing w:before="120" w:after="120"/>
        <w:ind w:left="0" w:firstLine="0"/>
        <w:jc w:val="both"/>
        <w:rPr>
          <w:rFonts w:ascii="Verdana" w:hAnsi="Verdana"/>
          <w:sz w:val="20"/>
          <w:szCs w:val="20"/>
        </w:rPr>
      </w:pPr>
      <w:bookmarkStart w:id="4" w:name="_Ref26188114"/>
      <w:r>
        <w:rPr>
          <w:rFonts w:ascii="Verdana" w:hAnsi="Verdana"/>
          <w:sz w:val="20"/>
          <w:szCs w:val="20"/>
        </w:rPr>
        <w:t xml:space="preserve">La Resolución sobre reintegro al Fondo de Asistencia Legal de </w:t>
      </w:r>
      <w:r w:rsidR="00DF4F7F">
        <w:rPr>
          <w:rFonts w:ascii="Verdana" w:hAnsi="Verdana"/>
          <w:sz w:val="20"/>
          <w:szCs w:val="20"/>
        </w:rPr>
        <w:t xml:space="preserve">Víctimas </w:t>
      </w:r>
      <w:r>
        <w:rPr>
          <w:rFonts w:ascii="Verdana" w:hAnsi="Verdana"/>
          <w:sz w:val="20"/>
          <w:szCs w:val="20"/>
        </w:rPr>
        <w:t>emitida por el Presidente de la Corte el 7 de octubre de 2016</w:t>
      </w:r>
      <w:r>
        <w:rPr>
          <w:rStyle w:val="Refdenotaalpie"/>
          <w:rFonts w:ascii="Verdana" w:hAnsi="Verdana"/>
          <w:sz w:val="20"/>
          <w:szCs w:val="20"/>
        </w:rPr>
        <w:footnoteReference w:id="4"/>
      </w:r>
      <w:r>
        <w:rPr>
          <w:rFonts w:ascii="Verdana" w:hAnsi="Verdana"/>
          <w:sz w:val="20"/>
          <w:szCs w:val="20"/>
        </w:rPr>
        <w:t>.</w:t>
      </w:r>
      <w:bookmarkEnd w:id="4"/>
    </w:p>
    <w:p w14:paraId="739D092C" w14:textId="77777777" w:rsidR="00DF5EE9" w:rsidRPr="00320ED0" w:rsidRDefault="00DF5EE9" w:rsidP="00ED0B5F">
      <w:pPr>
        <w:numPr>
          <w:ilvl w:val="0"/>
          <w:numId w:val="4"/>
        </w:numPr>
        <w:spacing w:before="120" w:after="120"/>
        <w:ind w:left="0" w:firstLine="0"/>
        <w:jc w:val="both"/>
        <w:rPr>
          <w:rFonts w:ascii="Verdana" w:hAnsi="Verdana"/>
          <w:sz w:val="20"/>
          <w:szCs w:val="20"/>
        </w:rPr>
      </w:pPr>
      <w:bookmarkStart w:id="5" w:name="_Ref26188115"/>
      <w:r>
        <w:rPr>
          <w:rFonts w:ascii="Verdana" w:hAnsi="Verdana"/>
          <w:sz w:val="20"/>
          <w:szCs w:val="20"/>
        </w:rPr>
        <w:lastRenderedPageBreak/>
        <w:t>La Resolución de supervisión de cumplimiento de sentencia emitida el 22 de noviembre de 2018</w:t>
      </w:r>
      <w:r>
        <w:rPr>
          <w:rStyle w:val="Refdenotaalpie"/>
          <w:rFonts w:ascii="Verdana" w:hAnsi="Verdana"/>
          <w:sz w:val="20"/>
          <w:szCs w:val="20"/>
        </w:rPr>
        <w:footnoteReference w:id="5"/>
      </w:r>
      <w:r w:rsidR="000067A7">
        <w:rPr>
          <w:rFonts w:ascii="Verdana" w:hAnsi="Verdana"/>
          <w:sz w:val="20"/>
          <w:szCs w:val="20"/>
        </w:rPr>
        <w:t>, mediante la cual, entre otros aspectos, la Corte determinó que el Estado aún no había dado cumplimiento al rei</w:t>
      </w:r>
      <w:r w:rsidR="00022D1D">
        <w:rPr>
          <w:rFonts w:ascii="Verdana" w:hAnsi="Verdana"/>
          <w:sz w:val="20"/>
          <w:szCs w:val="20"/>
        </w:rPr>
        <w:t>ntegro al Fondo de Asistencia</w:t>
      </w:r>
      <w:r>
        <w:rPr>
          <w:rFonts w:ascii="Verdana" w:hAnsi="Verdana"/>
          <w:sz w:val="20"/>
          <w:szCs w:val="20"/>
        </w:rPr>
        <w:t>.</w:t>
      </w:r>
      <w:bookmarkEnd w:id="5"/>
    </w:p>
    <w:p w14:paraId="6A75D970" w14:textId="19368330" w:rsidR="00022D1D" w:rsidRPr="00FB030C" w:rsidRDefault="00320ED0" w:rsidP="00ED0B5F">
      <w:pPr>
        <w:numPr>
          <w:ilvl w:val="0"/>
          <w:numId w:val="4"/>
        </w:numPr>
        <w:spacing w:before="120" w:after="120"/>
        <w:ind w:left="0" w:firstLine="0"/>
        <w:jc w:val="both"/>
        <w:rPr>
          <w:rFonts w:ascii="Verdana" w:hAnsi="Verdana"/>
          <w:sz w:val="20"/>
          <w:szCs w:val="20"/>
        </w:rPr>
      </w:pPr>
      <w:bookmarkStart w:id="6" w:name="_Ref26188240"/>
      <w:r>
        <w:rPr>
          <w:rFonts w:ascii="Verdana" w:hAnsi="Verdana"/>
          <w:sz w:val="20"/>
          <w:szCs w:val="20"/>
        </w:rPr>
        <w:t xml:space="preserve">Los </w:t>
      </w:r>
      <w:r w:rsidR="00022D1D">
        <w:rPr>
          <w:rFonts w:ascii="Verdana" w:hAnsi="Verdana"/>
          <w:sz w:val="20"/>
          <w:szCs w:val="20"/>
        </w:rPr>
        <w:t>escrito</w:t>
      </w:r>
      <w:r>
        <w:rPr>
          <w:rFonts w:ascii="Verdana" w:hAnsi="Verdana"/>
          <w:sz w:val="20"/>
          <w:szCs w:val="20"/>
        </w:rPr>
        <w:t>s</w:t>
      </w:r>
      <w:r w:rsidR="00022D1D">
        <w:rPr>
          <w:rFonts w:ascii="Verdana" w:hAnsi="Verdana"/>
          <w:sz w:val="20"/>
          <w:szCs w:val="20"/>
        </w:rPr>
        <w:t xml:space="preserve"> presentado</w:t>
      </w:r>
      <w:r>
        <w:rPr>
          <w:rFonts w:ascii="Verdana" w:hAnsi="Verdana"/>
          <w:sz w:val="20"/>
          <w:szCs w:val="20"/>
        </w:rPr>
        <w:t>s</w:t>
      </w:r>
      <w:r w:rsidR="00022D1D">
        <w:rPr>
          <w:rFonts w:ascii="Verdana" w:hAnsi="Verdana"/>
          <w:sz w:val="20"/>
          <w:szCs w:val="20"/>
        </w:rPr>
        <w:t xml:space="preserve"> por el Estado </w:t>
      </w:r>
      <w:r w:rsidR="00DF4F7F">
        <w:rPr>
          <w:rFonts w:ascii="Verdana" w:hAnsi="Verdana"/>
          <w:sz w:val="20"/>
          <w:szCs w:val="20"/>
        </w:rPr>
        <w:t>entre</w:t>
      </w:r>
      <w:r w:rsidR="00022D1D">
        <w:rPr>
          <w:rFonts w:ascii="Verdana" w:hAnsi="Verdana"/>
          <w:sz w:val="20"/>
          <w:szCs w:val="20"/>
        </w:rPr>
        <w:t xml:space="preserve"> enero de 2019</w:t>
      </w:r>
      <w:r>
        <w:rPr>
          <w:rFonts w:ascii="Verdana" w:hAnsi="Verdana"/>
          <w:sz w:val="20"/>
          <w:szCs w:val="20"/>
        </w:rPr>
        <w:t xml:space="preserve"> </w:t>
      </w:r>
      <w:r w:rsidRPr="00320ED0">
        <w:rPr>
          <w:rFonts w:ascii="Verdana" w:hAnsi="Verdana"/>
          <w:sz w:val="20"/>
          <w:szCs w:val="20"/>
        </w:rPr>
        <w:t xml:space="preserve">y </w:t>
      </w:r>
      <w:r w:rsidR="00DF4F7F">
        <w:rPr>
          <w:rFonts w:ascii="Verdana" w:hAnsi="Verdana"/>
          <w:sz w:val="20"/>
          <w:szCs w:val="20"/>
        </w:rPr>
        <w:t>octubre</w:t>
      </w:r>
      <w:r>
        <w:rPr>
          <w:rFonts w:ascii="Verdana" w:hAnsi="Verdana"/>
          <w:sz w:val="20"/>
          <w:szCs w:val="20"/>
        </w:rPr>
        <w:t xml:space="preserve"> de 2019</w:t>
      </w:r>
      <w:r w:rsidR="00DF4F7F" w:rsidRPr="00ED0B5F">
        <w:rPr>
          <w:rFonts w:ascii="Verdana" w:hAnsi="Verdana"/>
          <w:sz w:val="20"/>
          <w:szCs w:val="20"/>
        </w:rPr>
        <w:t>, mediante los cuales, entre otros aspectos,</w:t>
      </w:r>
      <w:r w:rsidR="00DF4F7F">
        <w:rPr>
          <w:rFonts w:ascii="Verdana" w:hAnsi="Verdana"/>
          <w:sz w:val="20"/>
          <w:szCs w:val="20"/>
        </w:rPr>
        <w:t xml:space="preserve"> informó sobre el estado de cumplimiento de las reparaciones pendientes y</w:t>
      </w:r>
      <w:r w:rsidR="00DF4F7F" w:rsidRPr="00ED0B5F">
        <w:rPr>
          <w:rFonts w:ascii="Verdana" w:hAnsi="Verdana"/>
          <w:sz w:val="20"/>
          <w:szCs w:val="20"/>
        </w:rPr>
        <w:t xml:space="preserve"> </w:t>
      </w:r>
      <w:r w:rsidR="00FA2599">
        <w:rPr>
          <w:rFonts w:ascii="Verdana" w:hAnsi="Verdana"/>
          <w:sz w:val="20"/>
          <w:szCs w:val="20"/>
        </w:rPr>
        <w:t xml:space="preserve">comunicó que </w:t>
      </w:r>
      <w:r w:rsidR="00DF4F7F">
        <w:rPr>
          <w:rFonts w:ascii="Verdana" w:hAnsi="Verdana"/>
          <w:sz w:val="20"/>
          <w:szCs w:val="20"/>
        </w:rPr>
        <w:t>en</w:t>
      </w:r>
      <w:r w:rsidR="00163801">
        <w:rPr>
          <w:rFonts w:ascii="Verdana" w:hAnsi="Verdana"/>
          <w:sz w:val="20"/>
          <w:szCs w:val="20"/>
        </w:rPr>
        <w:t xml:space="preserve"> abril de 2019 había realizado el reintegro al Fondo de Asistencia Legal de Víctimas (</w:t>
      </w:r>
      <w:r w:rsidR="00163801" w:rsidRPr="00414985">
        <w:rPr>
          <w:rFonts w:ascii="Verdana" w:hAnsi="Verdana"/>
          <w:i/>
          <w:sz w:val="20"/>
          <w:szCs w:val="20"/>
        </w:rPr>
        <w:t>infra</w:t>
      </w:r>
      <w:r w:rsidR="00163801">
        <w:rPr>
          <w:rFonts w:ascii="Verdana" w:hAnsi="Verdana"/>
          <w:sz w:val="20"/>
          <w:szCs w:val="20"/>
        </w:rPr>
        <w:t xml:space="preserve"> Considerando </w:t>
      </w:r>
      <w:r w:rsidR="00C51B99">
        <w:rPr>
          <w:rFonts w:ascii="Verdana" w:hAnsi="Verdana"/>
          <w:sz w:val="20"/>
          <w:szCs w:val="20"/>
        </w:rPr>
        <w:fldChar w:fldCharType="begin"/>
      </w:r>
      <w:r w:rsidR="00C51B99">
        <w:rPr>
          <w:rFonts w:ascii="Verdana" w:hAnsi="Verdana"/>
          <w:sz w:val="20"/>
          <w:szCs w:val="20"/>
        </w:rPr>
        <w:instrText xml:space="preserve"> REF _Ref26177390 \r \h </w:instrText>
      </w:r>
      <w:r w:rsidR="00C51B99">
        <w:rPr>
          <w:rFonts w:ascii="Verdana" w:hAnsi="Verdana"/>
          <w:sz w:val="20"/>
          <w:szCs w:val="20"/>
        </w:rPr>
      </w:r>
      <w:r w:rsidR="00C51B99">
        <w:rPr>
          <w:rFonts w:ascii="Verdana" w:hAnsi="Verdana"/>
          <w:sz w:val="20"/>
          <w:szCs w:val="20"/>
        </w:rPr>
        <w:fldChar w:fldCharType="separate"/>
      </w:r>
      <w:r w:rsidR="006D69D4">
        <w:rPr>
          <w:rFonts w:ascii="Verdana" w:hAnsi="Verdana"/>
          <w:sz w:val="20"/>
          <w:szCs w:val="20"/>
        </w:rPr>
        <w:t>11</w:t>
      </w:r>
      <w:r w:rsidR="00C51B99">
        <w:rPr>
          <w:rFonts w:ascii="Verdana" w:hAnsi="Verdana"/>
          <w:sz w:val="20"/>
          <w:szCs w:val="20"/>
        </w:rPr>
        <w:fldChar w:fldCharType="end"/>
      </w:r>
      <w:r w:rsidR="00163801">
        <w:rPr>
          <w:rFonts w:ascii="Verdana" w:hAnsi="Verdana"/>
          <w:sz w:val="20"/>
          <w:szCs w:val="20"/>
        </w:rPr>
        <w:t>).</w:t>
      </w:r>
      <w:bookmarkEnd w:id="6"/>
    </w:p>
    <w:p w14:paraId="462392A7" w14:textId="77777777" w:rsidR="00414985" w:rsidRPr="000067A7" w:rsidRDefault="00414985" w:rsidP="00ED0B5F">
      <w:pPr>
        <w:numPr>
          <w:ilvl w:val="0"/>
          <w:numId w:val="4"/>
        </w:numPr>
        <w:spacing w:before="120" w:after="120"/>
        <w:ind w:left="0" w:firstLine="0"/>
        <w:jc w:val="both"/>
        <w:rPr>
          <w:rFonts w:ascii="Verdana" w:hAnsi="Verdana"/>
          <w:sz w:val="20"/>
          <w:szCs w:val="20"/>
        </w:rPr>
      </w:pPr>
      <w:r w:rsidRPr="000067A7">
        <w:rPr>
          <w:rFonts w:ascii="Verdana" w:hAnsi="Verdana"/>
          <w:sz w:val="20"/>
          <w:szCs w:val="20"/>
        </w:rPr>
        <w:t>La nota de Secretaría de</w:t>
      </w:r>
      <w:r>
        <w:rPr>
          <w:rFonts w:ascii="Verdana" w:hAnsi="Verdana"/>
          <w:sz w:val="20"/>
          <w:szCs w:val="20"/>
        </w:rPr>
        <w:t xml:space="preserve"> la Corte (en adelante “la Secretaría”)</w:t>
      </w:r>
      <w:r w:rsidRPr="000067A7">
        <w:rPr>
          <w:rFonts w:ascii="Verdana" w:hAnsi="Verdana"/>
          <w:sz w:val="20"/>
          <w:szCs w:val="20"/>
        </w:rPr>
        <w:t xml:space="preserve"> </w:t>
      </w:r>
      <w:r w:rsidR="00712E12">
        <w:rPr>
          <w:rFonts w:ascii="Verdana" w:hAnsi="Verdana"/>
          <w:sz w:val="20"/>
          <w:szCs w:val="20"/>
        </w:rPr>
        <w:t xml:space="preserve">de </w:t>
      </w:r>
      <w:r w:rsidRPr="000067A7">
        <w:rPr>
          <w:rFonts w:ascii="Verdana" w:hAnsi="Verdana"/>
          <w:sz w:val="20"/>
          <w:szCs w:val="20"/>
        </w:rPr>
        <w:t xml:space="preserve">29 de mayo de 2019, mediante la cual se remitió al Estado el recibo de pago por el </w:t>
      </w:r>
      <w:r>
        <w:rPr>
          <w:rFonts w:ascii="Verdana" w:hAnsi="Verdana"/>
          <w:sz w:val="20"/>
          <w:szCs w:val="20"/>
        </w:rPr>
        <w:t xml:space="preserve">referido </w:t>
      </w:r>
      <w:r w:rsidRPr="000067A7">
        <w:rPr>
          <w:rFonts w:ascii="Verdana" w:hAnsi="Verdana"/>
          <w:sz w:val="20"/>
          <w:szCs w:val="20"/>
        </w:rPr>
        <w:t>reintegro.</w:t>
      </w:r>
    </w:p>
    <w:p w14:paraId="5DBDD8E6" w14:textId="77777777" w:rsidR="00FB030C" w:rsidRPr="00FB030C" w:rsidRDefault="00FB030C" w:rsidP="00ED0B5F">
      <w:pPr>
        <w:numPr>
          <w:ilvl w:val="0"/>
          <w:numId w:val="4"/>
        </w:numPr>
        <w:spacing w:before="120" w:after="120"/>
        <w:ind w:left="0" w:firstLine="0"/>
        <w:jc w:val="both"/>
        <w:rPr>
          <w:rFonts w:ascii="Verdana" w:hAnsi="Verdana"/>
          <w:sz w:val="20"/>
          <w:szCs w:val="20"/>
        </w:rPr>
      </w:pPr>
      <w:r>
        <w:rPr>
          <w:rFonts w:ascii="Verdana" w:hAnsi="Verdana"/>
          <w:sz w:val="20"/>
          <w:szCs w:val="20"/>
        </w:rPr>
        <w:t>El escrito de observaciones presentado por los representantes de la víctima</w:t>
      </w:r>
      <w:r>
        <w:rPr>
          <w:rStyle w:val="Refdenotaalpie"/>
          <w:rFonts w:ascii="Verdana" w:hAnsi="Verdana"/>
          <w:sz w:val="20"/>
          <w:szCs w:val="20"/>
        </w:rPr>
        <w:footnoteReference w:id="6"/>
      </w:r>
      <w:r>
        <w:rPr>
          <w:rFonts w:ascii="Verdana" w:hAnsi="Verdana"/>
          <w:sz w:val="20"/>
          <w:szCs w:val="20"/>
        </w:rPr>
        <w:t xml:space="preserve"> (en adelante “los representantes”) el 30 de mayo de 2019.</w:t>
      </w:r>
    </w:p>
    <w:p w14:paraId="5736CD4A" w14:textId="77777777" w:rsidR="00FB030C" w:rsidRPr="00320ED0" w:rsidRDefault="00FB030C" w:rsidP="00ED0B5F">
      <w:pPr>
        <w:numPr>
          <w:ilvl w:val="0"/>
          <w:numId w:val="4"/>
        </w:numPr>
        <w:spacing w:before="120" w:after="120"/>
        <w:ind w:left="0" w:firstLine="0"/>
        <w:jc w:val="both"/>
        <w:rPr>
          <w:rFonts w:ascii="Verdana" w:hAnsi="Verdana"/>
          <w:sz w:val="20"/>
          <w:szCs w:val="20"/>
        </w:rPr>
      </w:pPr>
      <w:r>
        <w:rPr>
          <w:rFonts w:ascii="Verdana" w:hAnsi="Verdana"/>
          <w:sz w:val="20"/>
          <w:szCs w:val="20"/>
        </w:rPr>
        <w:t>El escrito de observaciones presentado por la Comisión Interamericana de Derechos Humanos (en adelante “la Comisión Interamericana” o “la Comisión”) el 10 de junio de 2019.</w:t>
      </w:r>
    </w:p>
    <w:p w14:paraId="6C6E72A3" w14:textId="77777777" w:rsidR="000F041A" w:rsidRPr="00E55D97" w:rsidRDefault="000F041A" w:rsidP="00ED0B5F">
      <w:pPr>
        <w:tabs>
          <w:tab w:val="left" w:pos="680"/>
        </w:tabs>
        <w:spacing w:before="120" w:after="120"/>
        <w:jc w:val="both"/>
        <w:rPr>
          <w:rFonts w:ascii="Verdana" w:hAnsi="Verdana"/>
          <w:b/>
          <w:sz w:val="10"/>
          <w:szCs w:val="10"/>
        </w:rPr>
      </w:pPr>
    </w:p>
    <w:p w14:paraId="6430C07D" w14:textId="77777777" w:rsidR="006C6FA8" w:rsidRPr="00F4190D" w:rsidRDefault="006C6FA8" w:rsidP="00ED0B5F">
      <w:pPr>
        <w:tabs>
          <w:tab w:val="left" w:pos="680"/>
        </w:tabs>
        <w:spacing w:before="120" w:after="120"/>
        <w:jc w:val="both"/>
        <w:rPr>
          <w:rFonts w:ascii="Verdana" w:hAnsi="Verdana"/>
          <w:sz w:val="20"/>
        </w:rPr>
      </w:pPr>
      <w:r w:rsidRPr="00F4190D">
        <w:rPr>
          <w:rFonts w:ascii="Verdana" w:hAnsi="Verdana"/>
          <w:b/>
          <w:sz w:val="20"/>
        </w:rPr>
        <w:t>CONSIDERANDO QUE:</w:t>
      </w:r>
    </w:p>
    <w:p w14:paraId="3D555D31" w14:textId="30186B67" w:rsidR="00F4190D" w:rsidRPr="009F2E69" w:rsidRDefault="006C6FA8" w:rsidP="00ED0B5F">
      <w:pPr>
        <w:numPr>
          <w:ilvl w:val="0"/>
          <w:numId w:val="9"/>
        </w:numPr>
        <w:spacing w:before="120" w:after="120"/>
        <w:ind w:left="0" w:firstLine="0"/>
        <w:jc w:val="both"/>
        <w:rPr>
          <w:rFonts w:ascii="Verdana" w:hAnsi="Verdana" w:cs="Verdana"/>
          <w:sz w:val="20"/>
          <w:szCs w:val="20"/>
        </w:rPr>
      </w:pPr>
      <w:bookmarkStart w:id="7" w:name="_Ref536717730"/>
      <w:r w:rsidRPr="009F2E69">
        <w:rPr>
          <w:rFonts w:ascii="Verdana" w:hAnsi="Verdana"/>
          <w:sz w:val="20"/>
          <w:szCs w:val="20"/>
        </w:rPr>
        <w:t>En el ejercicio de su función jurisdiccional de supervisar el cumplimiento de sus decisiones</w:t>
      </w:r>
      <w:r w:rsidR="00DB5FB8">
        <w:rPr>
          <w:rStyle w:val="Refdenotaalpie"/>
          <w:rFonts w:ascii="Verdana" w:hAnsi="Verdana"/>
          <w:sz w:val="20"/>
          <w:szCs w:val="20"/>
        </w:rPr>
        <w:footnoteReference w:id="7"/>
      </w:r>
      <w:r w:rsidRPr="009F2E69">
        <w:rPr>
          <w:rFonts w:ascii="Verdana" w:hAnsi="Verdana"/>
          <w:sz w:val="20"/>
          <w:szCs w:val="20"/>
        </w:rPr>
        <w:t xml:space="preserve">, </w:t>
      </w:r>
      <w:r w:rsidR="009F2E69" w:rsidRPr="009F2E69">
        <w:rPr>
          <w:rFonts w:ascii="Verdana" w:hAnsi="Verdana"/>
          <w:sz w:val="20"/>
          <w:szCs w:val="20"/>
        </w:rPr>
        <w:t>la Corte ha venido supervisando la ejecución de la Sentencia emitida en el presente caso en el 2016 (</w:t>
      </w:r>
      <w:r w:rsidR="009F2E69" w:rsidRPr="009F2E69">
        <w:rPr>
          <w:rFonts w:ascii="Verdana" w:hAnsi="Verdana"/>
          <w:i/>
          <w:sz w:val="20"/>
          <w:szCs w:val="20"/>
        </w:rPr>
        <w:t>supra</w:t>
      </w:r>
      <w:r w:rsidR="009F2E69" w:rsidRPr="009F2E69">
        <w:rPr>
          <w:rFonts w:ascii="Verdana" w:hAnsi="Verdana"/>
          <w:sz w:val="20"/>
          <w:szCs w:val="20"/>
        </w:rPr>
        <w:t xml:space="preserve"> Visto </w:t>
      </w:r>
      <w:r w:rsidR="00ED0CAD">
        <w:rPr>
          <w:rFonts w:ascii="Verdana" w:hAnsi="Verdana"/>
          <w:sz w:val="20"/>
          <w:szCs w:val="20"/>
        </w:rPr>
        <w:fldChar w:fldCharType="begin"/>
      </w:r>
      <w:r w:rsidR="00ED0CAD">
        <w:rPr>
          <w:rFonts w:ascii="Verdana" w:hAnsi="Verdana"/>
          <w:sz w:val="20"/>
          <w:szCs w:val="20"/>
        </w:rPr>
        <w:instrText xml:space="preserve"> REF _Ref26177734 \r \h </w:instrText>
      </w:r>
      <w:r w:rsidR="00ED0CAD">
        <w:rPr>
          <w:rFonts w:ascii="Verdana" w:hAnsi="Verdana"/>
          <w:sz w:val="20"/>
          <w:szCs w:val="20"/>
        </w:rPr>
      </w:r>
      <w:r w:rsidR="00ED0CAD">
        <w:rPr>
          <w:rFonts w:ascii="Verdana" w:hAnsi="Verdana"/>
          <w:sz w:val="20"/>
          <w:szCs w:val="20"/>
        </w:rPr>
        <w:fldChar w:fldCharType="separate"/>
      </w:r>
      <w:r w:rsidR="006D69D4">
        <w:rPr>
          <w:rFonts w:ascii="Verdana" w:hAnsi="Verdana"/>
          <w:sz w:val="20"/>
          <w:szCs w:val="20"/>
        </w:rPr>
        <w:t>1</w:t>
      </w:r>
      <w:r w:rsidR="00ED0CAD">
        <w:rPr>
          <w:rFonts w:ascii="Verdana" w:hAnsi="Verdana"/>
          <w:sz w:val="20"/>
          <w:szCs w:val="20"/>
        </w:rPr>
        <w:fldChar w:fldCharType="end"/>
      </w:r>
      <w:r w:rsidR="009F2E69" w:rsidRPr="009F2E69">
        <w:rPr>
          <w:rFonts w:ascii="Verdana" w:hAnsi="Verdana"/>
          <w:sz w:val="20"/>
          <w:szCs w:val="20"/>
        </w:rPr>
        <w:t xml:space="preserve">). En dicho fallo la Corte dispuso </w:t>
      </w:r>
      <w:r w:rsidR="00414985">
        <w:rPr>
          <w:rFonts w:ascii="Verdana" w:hAnsi="Verdana"/>
          <w:sz w:val="20"/>
          <w:szCs w:val="20"/>
        </w:rPr>
        <w:t>cuatro</w:t>
      </w:r>
      <w:r w:rsidR="009F2E69" w:rsidRPr="009F2E69">
        <w:rPr>
          <w:rFonts w:ascii="Verdana" w:hAnsi="Verdana"/>
          <w:sz w:val="20"/>
          <w:szCs w:val="20"/>
        </w:rPr>
        <w:t xml:space="preserve"> medidas de reparación. Además, se dispuso que el Estado debía reintegrar al Fondo de Asistencia Legal de Víctimas de la Corte</w:t>
      </w:r>
      <w:r w:rsidR="00DF4F7F">
        <w:rPr>
          <w:rFonts w:ascii="Verdana" w:hAnsi="Verdana"/>
          <w:sz w:val="20"/>
          <w:szCs w:val="20"/>
        </w:rPr>
        <w:t>,</w:t>
      </w:r>
      <w:r w:rsidR="009F2E69" w:rsidRPr="009F2E69">
        <w:rPr>
          <w:rFonts w:ascii="Verdana" w:hAnsi="Verdana"/>
          <w:sz w:val="20"/>
          <w:szCs w:val="20"/>
        </w:rPr>
        <w:t xml:space="preserve"> la cantidad erogada durante la tramitación de la etapa de fondo del presente caso. </w:t>
      </w:r>
      <w:bookmarkEnd w:id="7"/>
      <w:r w:rsidR="00414985">
        <w:rPr>
          <w:rFonts w:ascii="Verdana" w:hAnsi="Verdana"/>
          <w:sz w:val="20"/>
          <w:szCs w:val="20"/>
        </w:rPr>
        <w:t>En la Resolución de noviembre de 2018 la Corte declaró que el Estado dio cumplimiento total a una medida de reparación</w:t>
      </w:r>
      <w:r w:rsidR="00414985">
        <w:rPr>
          <w:rStyle w:val="Refdenotaalpie"/>
          <w:rFonts w:ascii="Verdana" w:hAnsi="Verdana"/>
          <w:sz w:val="20"/>
          <w:szCs w:val="20"/>
        </w:rPr>
        <w:footnoteReference w:id="8"/>
      </w:r>
      <w:r w:rsidR="00414985">
        <w:rPr>
          <w:rFonts w:ascii="Verdana" w:hAnsi="Verdana"/>
          <w:sz w:val="20"/>
          <w:szCs w:val="20"/>
        </w:rPr>
        <w:t xml:space="preserve"> y cumplimiento parcial a otra medida</w:t>
      </w:r>
      <w:r w:rsidR="00414985">
        <w:rPr>
          <w:rStyle w:val="Refdenotaalpie"/>
          <w:rFonts w:ascii="Verdana" w:hAnsi="Verdana"/>
          <w:sz w:val="20"/>
          <w:szCs w:val="20"/>
        </w:rPr>
        <w:footnoteReference w:id="9"/>
      </w:r>
      <w:r w:rsidR="00414985">
        <w:rPr>
          <w:rFonts w:ascii="Verdana" w:hAnsi="Verdana"/>
          <w:sz w:val="20"/>
          <w:szCs w:val="20"/>
        </w:rPr>
        <w:t>, encontrándose pendientes de cumplimiento tres medidas de reparación y el reintegro al Fondo de Asistencia.</w:t>
      </w:r>
    </w:p>
    <w:p w14:paraId="0EE4FC37" w14:textId="77777777" w:rsidR="009F2E69" w:rsidRPr="00B87F21" w:rsidRDefault="00B87F21" w:rsidP="00ED0B5F">
      <w:pPr>
        <w:numPr>
          <w:ilvl w:val="0"/>
          <w:numId w:val="9"/>
        </w:numPr>
        <w:spacing w:before="120" w:after="120"/>
        <w:ind w:left="0" w:firstLine="0"/>
        <w:jc w:val="both"/>
        <w:rPr>
          <w:rFonts w:ascii="Verdana" w:hAnsi="Verdana" w:cs="Verdana"/>
          <w:sz w:val="20"/>
          <w:szCs w:val="20"/>
        </w:rPr>
      </w:pPr>
      <w:r w:rsidRPr="00B87F21">
        <w:rPr>
          <w:rFonts w:ascii="Verdana" w:hAnsi="Verdana"/>
          <w:sz w:val="20"/>
          <w:szCs w:val="20"/>
        </w:rPr>
        <w:t>De conformidad con lo establecido en el artículo 68.1 de la Convención Americana sobre Derechos Humanos, “[l]os Estados Partes en la Convención se comprometen a cumplir la decisión de la Corte en todo caso en que sean partes”. Esta obligación incluye el deber del Estado de informar a la Corte sobre las medidas adoptadas para cumplir cada uno de los puntos ordenados, lo cual es fundamental para evaluar el estado de cumplimiento de la Sentencia en su conjunto</w:t>
      </w:r>
      <w:r w:rsidRPr="00B87F21">
        <w:rPr>
          <w:rStyle w:val="Refdenotaalpie"/>
          <w:rFonts w:ascii="Verdana" w:hAnsi="Verdana"/>
          <w:sz w:val="20"/>
          <w:szCs w:val="20"/>
        </w:rPr>
        <w:footnoteReference w:id="10"/>
      </w:r>
      <w:r w:rsidRPr="00B87F21">
        <w:rPr>
          <w:rFonts w:ascii="Verdana" w:hAnsi="Verdana"/>
          <w:sz w:val="20"/>
          <w:szCs w:val="20"/>
        </w:rPr>
        <w:t>. Los Estados Parte en la Convención deben garantizar el cumplimiento de las disposiciones convencionales y sus efectos propios (</w:t>
      </w:r>
      <w:proofErr w:type="spellStart"/>
      <w:r w:rsidRPr="00B87F21">
        <w:rPr>
          <w:rFonts w:ascii="Verdana" w:hAnsi="Verdana"/>
          <w:i/>
          <w:sz w:val="20"/>
          <w:szCs w:val="20"/>
        </w:rPr>
        <w:t>effet</w:t>
      </w:r>
      <w:proofErr w:type="spellEnd"/>
      <w:r w:rsidRPr="00B87F21">
        <w:rPr>
          <w:rFonts w:ascii="Verdana" w:hAnsi="Verdana"/>
          <w:i/>
          <w:sz w:val="20"/>
          <w:szCs w:val="20"/>
        </w:rPr>
        <w:t xml:space="preserve"> </w:t>
      </w:r>
      <w:proofErr w:type="spellStart"/>
      <w:r w:rsidRPr="00B87F21">
        <w:rPr>
          <w:rFonts w:ascii="Verdana" w:hAnsi="Verdana"/>
          <w:i/>
          <w:sz w:val="20"/>
          <w:szCs w:val="20"/>
        </w:rPr>
        <w:t>utile</w:t>
      </w:r>
      <w:proofErr w:type="spellEnd"/>
      <w:r w:rsidRPr="00B87F21">
        <w:rPr>
          <w:rFonts w:ascii="Verdana" w:hAnsi="Verdana"/>
          <w:sz w:val="20"/>
          <w:szCs w:val="20"/>
        </w:rPr>
        <w:t xml:space="preserve">) en el plano de sus respectivos </w:t>
      </w:r>
      <w:r w:rsidRPr="00B87F21">
        <w:rPr>
          <w:rFonts w:ascii="Verdana" w:hAnsi="Verdana"/>
          <w:sz w:val="20"/>
          <w:szCs w:val="20"/>
        </w:rPr>
        <w:lastRenderedPageBreak/>
        <w:t>derechos internos. Estas obligaciones deben ser interpretadas y aplicadas de manera que la garantía protegida sea verdaderamente práctica y eficaz, teniendo presente la naturaleza especial de los tratados de derechos humanos</w:t>
      </w:r>
      <w:r w:rsidRPr="00B87F21">
        <w:rPr>
          <w:rStyle w:val="Refdenotaalpie"/>
          <w:rFonts w:ascii="Verdana" w:hAnsi="Verdana"/>
          <w:sz w:val="20"/>
          <w:szCs w:val="20"/>
        </w:rPr>
        <w:footnoteReference w:id="11"/>
      </w:r>
      <w:r w:rsidRPr="00B87F21">
        <w:rPr>
          <w:rFonts w:ascii="Verdana" w:hAnsi="Verdana"/>
          <w:sz w:val="20"/>
          <w:szCs w:val="20"/>
        </w:rPr>
        <w:t>.</w:t>
      </w:r>
    </w:p>
    <w:p w14:paraId="01AC948A" w14:textId="11EEE0F2" w:rsidR="00ED0B5F" w:rsidRPr="00ED0B5F" w:rsidRDefault="00F33D5D" w:rsidP="00ED0B5F">
      <w:pPr>
        <w:numPr>
          <w:ilvl w:val="0"/>
          <w:numId w:val="9"/>
        </w:numPr>
        <w:spacing w:before="120" w:after="120"/>
        <w:ind w:left="0" w:firstLine="0"/>
        <w:jc w:val="both"/>
        <w:rPr>
          <w:rFonts w:ascii="Verdana" w:hAnsi="Verdana"/>
          <w:b/>
          <w:i/>
          <w:sz w:val="10"/>
          <w:szCs w:val="10"/>
        </w:rPr>
      </w:pPr>
      <w:r w:rsidRPr="00F33D5D">
        <w:rPr>
          <w:rFonts w:ascii="Verdana" w:hAnsi="Verdana"/>
          <w:sz w:val="20"/>
          <w:szCs w:val="20"/>
        </w:rPr>
        <w:t xml:space="preserve">Seguidamente, la Corte </w:t>
      </w:r>
      <w:r w:rsidR="00DB5FB8">
        <w:rPr>
          <w:rFonts w:ascii="Verdana" w:hAnsi="Verdana"/>
          <w:sz w:val="20"/>
          <w:szCs w:val="20"/>
        </w:rPr>
        <w:t>se pronunciará sobre dos medidas de reparación respecto de las cuales las partes han aportado suficiente información para valorar su cumplimiento (</w:t>
      </w:r>
      <w:r w:rsidR="00DB5FB8" w:rsidRPr="00ED0B5F">
        <w:rPr>
          <w:rFonts w:ascii="Verdana" w:hAnsi="Verdana"/>
          <w:i/>
          <w:sz w:val="20"/>
          <w:szCs w:val="20"/>
        </w:rPr>
        <w:t>infra</w:t>
      </w:r>
      <w:r w:rsidR="00DB5FB8">
        <w:rPr>
          <w:rFonts w:ascii="Verdana" w:hAnsi="Verdana"/>
          <w:sz w:val="20"/>
          <w:szCs w:val="20"/>
        </w:rPr>
        <w:t xml:space="preserve"> Considerandos </w:t>
      </w:r>
      <w:r w:rsidR="00C51B99">
        <w:rPr>
          <w:rFonts w:ascii="Verdana" w:hAnsi="Verdana"/>
          <w:sz w:val="20"/>
          <w:szCs w:val="20"/>
        </w:rPr>
        <w:fldChar w:fldCharType="begin"/>
      </w:r>
      <w:r w:rsidR="00C51B99">
        <w:rPr>
          <w:rFonts w:ascii="Verdana" w:hAnsi="Verdana"/>
          <w:sz w:val="20"/>
          <w:szCs w:val="20"/>
        </w:rPr>
        <w:instrText xml:space="preserve"> REF _Ref26177747 \r \h </w:instrText>
      </w:r>
      <w:r w:rsidR="00C51B99">
        <w:rPr>
          <w:rFonts w:ascii="Verdana" w:hAnsi="Verdana"/>
          <w:sz w:val="20"/>
          <w:szCs w:val="20"/>
        </w:rPr>
      </w:r>
      <w:r w:rsidR="00C51B99">
        <w:rPr>
          <w:rFonts w:ascii="Verdana" w:hAnsi="Verdana"/>
          <w:sz w:val="20"/>
          <w:szCs w:val="20"/>
        </w:rPr>
        <w:fldChar w:fldCharType="separate"/>
      </w:r>
      <w:r w:rsidR="006D69D4">
        <w:rPr>
          <w:rFonts w:ascii="Verdana" w:hAnsi="Verdana"/>
          <w:sz w:val="20"/>
          <w:szCs w:val="20"/>
        </w:rPr>
        <w:t>4</w:t>
      </w:r>
      <w:r w:rsidR="00C51B99">
        <w:rPr>
          <w:rFonts w:ascii="Verdana" w:hAnsi="Verdana"/>
          <w:sz w:val="20"/>
          <w:szCs w:val="20"/>
        </w:rPr>
        <w:fldChar w:fldCharType="end"/>
      </w:r>
      <w:r w:rsidR="00C51B99">
        <w:rPr>
          <w:rFonts w:ascii="Verdana" w:hAnsi="Verdana"/>
          <w:sz w:val="20"/>
          <w:szCs w:val="20"/>
        </w:rPr>
        <w:t xml:space="preserve"> a </w:t>
      </w:r>
      <w:r w:rsidR="00C51B99">
        <w:rPr>
          <w:rFonts w:ascii="Verdana" w:hAnsi="Verdana"/>
          <w:sz w:val="20"/>
          <w:szCs w:val="20"/>
        </w:rPr>
        <w:fldChar w:fldCharType="begin"/>
      </w:r>
      <w:r w:rsidR="00C51B99">
        <w:rPr>
          <w:rFonts w:ascii="Verdana" w:hAnsi="Verdana"/>
          <w:sz w:val="20"/>
          <w:szCs w:val="20"/>
        </w:rPr>
        <w:instrText xml:space="preserve"> REF _Ref26180390 \r \h </w:instrText>
      </w:r>
      <w:r w:rsidR="00C51B99">
        <w:rPr>
          <w:rFonts w:ascii="Verdana" w:hAnsi="Verdana"/>
          <w:sz w:val="20"/>
          <w:szCs w:val="20"/>
        </w:rPr>
      </w:r>
      <w:r w:rsidR="00C51B99">
        <w:rPr>
          <w:rFonts w:ascii="Verdana" w:hAnsi="Verdana"/>
          <w:sz w:val="20"/>
          <w:szCs w:val="20"/>
        </w:rPr>
        <w:fldChar w:fldCharType="separate"/>
      </w:r>
      <w:r w:rsidR="006D69D4">
        <w:rPr>
          <w:rFonts w:ascii="Verdana" w:hAnsi="Verdana"/>
          <w:sz w:val="20"/>
          <w:szCs w:val="20"/>
        </w:rPr>
        <w:t>9</w:t>
      </w:r>
      <w:r w:rsidR="00C51B99">
        <w:rPr>
          <w:rFonts w:ascii="Verdana" w:hAnsi="Verdana"/>
          <w:sz w:val="20"/>
          <w:szCs w:val="20"/>
        </w:rPr>
        <w:fldChar w:fldCharType="end"/>
      </w:r>
      <w:r w:rsidR="00DB5FB8">
        <w:rPr>
          <w:rFonts w:ascii="Verdana" w:hAnsi="Verdana"/>
          <w:sz w:val="20"/>
          <w:szCs w:val="20"/>
        </w:rPr>
        <w:t xml:space="preserve">). </w:t>
      </w:r>
      <w:r w:rsidRPr="00DB5FB8">
        <w:rPr>
          <w:rFonts w:ascii="Verdana" w:hAnsi="Verdana"/>
          <w:sz w:val="20"/>
          <w:szCs w:val="20"/>
        </w:rPr>
        <w:t>También se pronunciará sobre el reintegro al Fondo de Asistencia Legal de Víctimas</w:t>
      </w:r>
      <w:r w:rsidR="00DF4F7F">
        <w:rPr>
          <w:rFonts w:ascii="Verdana" w:hAnsi="Verdana"/>
          <w:sz w:val="20"/>
          <w:szCs w:val="20"/>
        </w:rPr>
        <w:t xml:space="preserve"> (</w:t>
      </w:r>
      <w:r w:rsidR="00DF4F7F" w:rsidRPr="00ED0B5F">
        <w:rPr>
          <w:rFonts w:ascii="Verdana" w:hAnsi="Verdana"/>
          <w:i/>
          <w:sz w:val="20"/>
          <w:szCs w:val="20"/>
        </w:rPr>
        <w:t>infra</w:t>
      </w:r>
      <w:r w:rsidR="00DF4F7F">
        <w:rPr>
          <w:rFonts w:ascii="Verdana" w:hAnsi="Verdana"/>
          <w:sz w:val="20"/>
          <w:szCs w:val="20"/>
        </w:rPr>
        <w:t xml:space="preserve"> Considerandos 10 a 12)</w:t>
      </w:r>
      <w:r w:rsidRPr="00DB5FB8">
        <w:rPr>
          <w:rFonts w:ascii="Verdana" w:hAnsi="Verdana"/>
          <w:sz w:val="20"/>
          <w:szCs w:val="20"/>
        </w:rPr>
        <w:t xml:space="preserve">. </w:t>
      </w:r>
      <w:r w:rsidR="00DF4F7F">
        <w:rPr>
          <w:rFonts w:ascii="Verdana" w:hAnsi="Verdana"/>
          <w:sz w:val="20"/>
          <w:szCs w:val="20"/>
        </w:rPr>
        <w:t>La Corte se pronunciará sobre el cumplimiento de la restante medida de reparación, ordenada en el punto dispositivo noveno de la Sentencia, en una posterior resolución.  Para ello, se está requiriendo a Colombia que remita información actualizada al respecto (</w:t>
      </w:r>
      <w:r w:rsidR="00DF4F7F" w:rsidRPr="00ED0B5F">
        <w:rPr>
          <w:rFonts w:ascii="Verdana" w:hAnsi="Verdana"/>
          <w:i/>
          <w:sz w:val="20"/>
          <w:szCs w:val="20"/>
        </w:rPr>
        <w:t>infra</w:t>
      </w:r>
      <w:r w:rsidR="00DF4F7F">
        <w:rPr>
          <w:rFonts w:ascii="Verdana" w:hAnsi="Verdana"/>
          <w:sz w:val="20"/>
          <w:szCs w:val="20"/>
        </w:rPr>
        <w:t xml:space="preserve"> puntos resolutivos 3 a 5). </w:t>
      </w:r>
    </w:p>
    <w:p w14:paraId="54CB1B58" w14:textId="77777777" w:rsidR="004379DE" w:rsidRPr="00ED0B5F" w:rsidRDefault="004379DE" w:rsidP="00ED0B5F">
      <w:pPr>
        <w:pStyle w:val="Ttulo1"/>
        <w:spacing w:before="120" w:after="120"/>
        <w:ind w:left="720"/>
        <w:rPr>
          <w:rFonts w:ascii="Verdana" w:hAnsi="Verdana"/>
          <w:b/>
          <w:i/>
          <w:color w:val="auto"/>
          <w:sz w:val="10"/>
          <w:szCs w:val="10"/>
        </w:rPr>
      </w:pPr>
    </w:p>
    <w:p w14:paraId="0EE4D511" w14:textId="77777777" w:rsidR="00F33D5D" w:rsidRDefault="00F33D5D" w:rsidP="00ED0B5F">
      <w:pPr>
        <w:pStyle w:val="Ttulo1"/>
        <w:numPr>
          <w:ilvl w:val="0"/>
          <w:numId w:val="6"/>
        </w:numPr>
        <w:spacing w:before="120" w:after="120"/>
        <w:rPr>
          <w:rFonts w:ascii="Verdana" w:hAnsi="Verdana"/>
          <w:b/>
          <w:i/>
          <w:color w:val="auto"/>
          <w:sz w:val="20"/>
          <w:szCs w:val="20"/>
        </w:rPr>
      </w:pPr>
      <w:bookmarkStart w:id="8" w:name="_Toc26180589"/>
      <w:r>
        <w:rPr>
          <w:rFonts w:ascii="Verdana" w:hAnsi="Verdana"/>
          <w:b/>
          <w:i/>
          <w:color w:val="auto"/>
          <w:sz w:val="20"/>
          <w:szCs w:val="20"/>
        </w:rPr>
        <w:t>Indemnizaci</w:t>
      </w:r>
      <w:r w:rsidR="00DB5FB8">
        <w:rPr>
          <w:rFonts w:ascii="Verdana" w:hAnsi="Verdana"/>
          <w:b/>
          <w:i/>
          <w:color w:val="auto"/>
          <w:sz w:val="20"/>
          <w:szCs w:val="20"/>
        </w:rPr>
        <w:t>ón</w:t>
      </w:r>
      <w:r>
        <w:rPr>
          <w:rFonts w:ascii="Verdana" w:hAnsi="Verdana"/>
          <w:b/>
          <w:i/>
          <w:color w:val="auto"/>
          <w:sz w:val="20"/>
          <w:szCs w:val="20"/>
        </w:rPr>
        <w:t xml:space="preserve"> por daño inmaterial y reintegro de costas y gastos</w:t>
      </w:r>
      <w:bookmarkEnd w:id="8"/>
      <w:r>
        <w:rPr>
          <w:rFonts w:ascii="Verdana" w:hAnsi="Verdana"/>
          <w:b/>
          <w:i/>
          <w:color w:val="auto"/>
          <w:sz w:val="20"/>
          <w:szCs w:val="20"/>
        </w:rPr>
        <w:t xml:space="preserve"> </w:t>
      </w:r>
    </w:p>
    <w:p w14:paraId="7BCEAC56" w14:textId="77777777" w:rsidR="001D2EC0" w:rsidRDefault="001D2EC0" w:rsidP="00ED0B5F">
      <w:pPr>
        <w:spacing w:before="120" w:after="120"/>
        <w:ind w:left="708"/>
        <w:jc w:val="both"/>
        <w:rPr>
          <w:rFonts w:ascii="Verdana" w:hAnsi="Verdana"/>
          <w:i/>
          <w:sz w:val="20"/>
          <w:szCs w:val="20"/>
        </w:rPr>
      </w:pPr>
      <w:r>
        <w:rPr>
          <w:rFonts w:ascii="Verdana" w:hAnsi="Verdana"/>
          <w:i/>
          <w:sz w:val="20"/>
          <w:szCs w:val="20"/>
        </w:rPr>
        <w:t>A.1. Medidas ordenadas por la Corte</w:t>
      </w:r>
      <w:r w:rsidR="00DB5FB8">
        <w:rPr>
          <w:rFonts w:ascii="Verdana" w:hAnsi="Verdana"/>
          <w:i/>
          <w:sz w:val="20"/>
          <w:szCs w:val="20"/>
        </w:rPr>
        <w:t xml:space="preserve"> y supervisión realizada en resolución anterior</w:t>
      </w:r>
    </w:p>
    <w:p w14:paraId="42B6642A" w14:textId="77777777" w:rsidR="00DB5FB8" w:rsidRDefault="00DB5FB8" w:rsidP="00ED0B5F">
      <w:pPr>
        <w:pStyle w:val="Prrafodelista"/>
        <w:numPr>
          <w:ilvl w:val="0"/>
          <w:numId w:val="7"/>
        </w:numPr>
        <w:spacing w:before="120" w:after="120"/>
        <w:ind w:left="0" w:firstLine="0"/>
        <w:contextualSpacing w:val="0"/>
        <w:jc w:val="both"/>
        <w:rPr>
          <w:rFonts w:ascii="Verdana" w:hAnsi="Verdana"/>
          <w:sz w:val="20"/>
          <w:lang w:val="es-MX"/>
        </w:rPr>
      </w:pPr>
      <w:bookmarkStart w:id="9" w:name="_Ref26177747"/>
      <w:r>
        <w:rPr>
          <w:rFonts w:ascii="Verdana" w:hAnsi="Verdana"/>
          <w:sz w:val="20"/>
          <w:lang w:val="es-MX"/>
        </w:rPr>
        <w:t>E</w:t>
      </w:r>
      <w:r w:rsidRPr="00BD6F58">
        <w:rPr>
          <w:rFonts w:ascii="Verdana" w:hAnsi="Verdana"/>
          <w:sz w:val="20"/>
          <w:lang w:val="es-MX"/>
        </w:rPr>
        <w:t xml:space="preserve">n el punto </w:t>
      </w:r>
      <w:r>
        <w:rPr>
          <w:rFonts w:ascii="Verdana" w:hAnsi="Verdana"/>
          <w:sz w:val="20"/>
          <w:lang w:val="es-MX"/>
        </w:rPr>
        <w:t>dispositivo</w:t>
      </w:r>
      <w:r w:rsidRPr="00BD6F58">
        <w:rPr>
          <w:rFonts w:ascii="Verdana" w:hAnsi="Verdana"/>
          <w:sz w:val="20"/>
          <w:lang w:val="es-MX"/>
        </w:rPr>
        <w:t xml:space="preserve"> </w:t>
      </w:r>
      <w:r>
        <w:rPr>
          <w:rFonts w:ascii="Verdana" w:hAnsi="Verdana"/>
          <w:sz w:val="20"/>
          <w:lang w:val="es-MX"/>
        </w:rPr>
        <w:t>décimo</w:t>
      </w:r>
      <w:r w:rsidRPr="00BD6F58">
        <w:rPr>
          <w:rFonts w:ascii="Verdana" w:hAnsi="Verdana"/>
          <w:sz w:val="20"/>
          <w:lang w:val="es-MX"/>
        </w:rPr>
        <w:t xml:space="preserve"> y en los párrafos </w:t>
      </w:r>
      <w:r>
        <w:rPr>
          <w:rFonts w:ascii="Verdana" w:hAnsi="Verdana"/>
          <w:sz w:val="20"/>
          <w:lang w:val="es-MX"/>
        </w:rPr>
        <w:t>221 y 227</w:t>
      </w:r>
      <w:r w:rsidRPr="00BD6F58">
        <w:rPr>
          <w:rFonts w:ascii="Verdana" w:hAnsi="Verdana"/>
          <w:sz w:val="20"/>
          <w:lang w:val="es-MX"/>
        </w:rPr>
        <w:t xml:space="preserve"> de la Sentencia, la Corte </w:t>
      </w:r>
      <w:r>
        <w:rPr>
          <w:rFonts w:ascii="Verdana" w:hAnsi="Verdana"/>
          <w:sz w:val="20"/>
          <w:lang w:val="es-MX"/>
        </w:rPr>
        <w:t xml:space="preserve">estableció </w:t>
      </w:r>
      <w:r w:rsidRPr="00BD6F58">
        <w:rPr>
          <w:rFonts w:ascii="Verdana" w:hAnsi="Verdana"/>
          <w:sz w:val="20"/>
          <w:lang w:val="es-MX"/>
        </w:rPr>
        <w:t xml:space="preserve">que </w:t>
      </w:r>
      <w:r>
        <w:rPr>
          <w:rFonts w:ascii="Verdana" w:hAnsi="Verdana"/>
          <w:sz w:val="20"/>
          <w:lang w:val="es-MX"/>
        </w:rPr>
        <w:t xml:space="preserve">el Estado debía pagar, dentro del plazo de un año contado a partir de la notificación de la Sentencia, una indemnización equivalente a US$ 10.000 (diez mil dólares de los Estados Unidos de América) por concepto de daño inmaterial, así como US$ 10.000 (diez mil dólares de los Estados Unidos de América) como reintegro de costas y gastos. Asimismo, en el párrafo 236 del </w:t>
      </w:r>
      <w:r w:rsidR="00643AA9">
        <w:rPr>
          <w:rFonts w:ascii="Verdana" w:hAnsi="Verdana"/>
          <w:sz w:val="20"/>
          <w:lang w:val="es-MX"/>
        </w:rPr>
        <w:t xml:space="preserve">Fallo </w:t>
      </w:r>
      <w:r>
        <w:rPr>
          <w:rFonts w:ascii="Verdana" w:hAnsi="Verdana"/>
          <w:sz w:val="20"/>
          <w:lang w:val="es-MX"/>
        </w:rPr>
        <w:t>se estableció que, en caso de que el Estado incurriera en mora, deberá pagar un interés sobre la cantidad adeudada, correspondiente al interés bancario moratorio en la República de Colombia.</w:t>
      </w:r>
      <w:bookmarkEnd w:id="9"/>
      <w:r>
        <w:rPr>
          <w:rFonts w:ascii="Verdana" w:hAnsi="Verdana"/>
          <w:sz w:val="20"/>
          <w:lang w:val="es-MX"/>
        </w:rPr>
        <w:t xml:space="preserve"> </w:t>
      </w:r>
    </w:p>
    <w:p w14:paraId="6A2D8216" w14:textId="77777777" w:rsidR="00DB5FB8" w:rsidRDefault="00DB5FB8" w:rsidP="00ED0B5F">
      <w:pPr>
        <w:pStyle w:val="Prrafodelista"/>
        <w:numPr>
          <w:ilvl w:val="0"/>
          <w:numId w:val="7"/>
        </w:numPr>
        <w:spacing w:before="120" w:after="120"/>
        <w:ind w:left="0" w:firstLine="0"/>
        <w:contextualSpacing w:val="0"/>
        <w:jc w:val="both"/>
        <w:rPr>
          <w:rFonts w:ascii="Verdana" w:hAnsi="Verdana"/>
          <w:sz w:val="20"/>
          <w:lang w:val="es-MX"/>
        </w:rPr>
      </w:pPr>
      <w:r>
        <w:rPr>
          <w:rFonts w:ascii="Verdana" w:hAnsi="Verdana"/>
          <w:sz w:val="20"/>
          <w:lang w:val="es-MX"/>
        </w:rPr>
        <w:t>En la Resolución de noviembre de 2018</w:t>
      </w:r>
      <w:r w:rsidR="00643AA9">
        <w:rPr>
          <w:rFonts w:ascii="Verdana" w:hAnsi="Verdana"/>
          <w:sz w:val="20"/>
          <w:lang w:val="es-MX"/>
        </w:rPr>
        <w:t>,</w:t>
      </w:r>
      <w:r>
        <w:rPr>
          <w:rFonts w:ascii="Verdana" w:hAnsi="Verdana"/>
          <w:sz w:val="20"/>
          <w:lang w:val="es-MX"/>
        </w:rPr>
        <w:t xml:space="preserve"> la Corte constató que el Estado “no ha[</w:t>
      </w:r>
      <w:proofErr w:type="spellStart"/>
      <w:r>
        <w:rPr>
          <w:rFonts w:ascii="Verdana" w:hAnsi="Verdana"/>
          <w:sz w:val="20"/>
          <w:lang w:val="es-MX"/>
        </w:rPr>
        <w:t>bía</w:t>
      </w:r>
      <w:proofErr w:type="spellEnd"/>
      <w:r>
        <w:rPr>
          <w:rFonts w:ascii="Verdana" w:hAnsi="Verdana"/>
          <w:sz w:val="20"/>
          <w:lang w:val="es-MX"/>
        </w:rPr>
        <w:t>] dado cumplimiento a [estas] medidas de reparación”, ya que “a más de dos años de emitida la Sentencia, el Estado no ha[</w:t>
      </w:r>
      <w:proofErr w:type="spellStart"/>
      <w:r>
        <w:rPr>
          <w:rFonts w:ascii="Verdana" w:hAnsi="Verdana"/>
          <w:sz w:val="20"/>
          <w:lang w:val="es-MX"/>
        </w:rPr>
        <w:t>bía</w:t>
      </w:r>
      <w:proofErr w:type="spellEnd"/>
      <w:r>
        <w:rPr>
          <w:rFonts w:ascii="Verdana" w:hAnsi="Verdana"/>
          <w:sz w:val="20"/>
          <w:lang w:val="es-MX"/>
        </w:rPr>
        <w:t>] realizado los pagos de la indemnización por concepto del daño inmaterial y el reintegro de costas y gastos”. Al respecto, requirió a Colombia que “</w:t>
      </w:r>
      <w:proofErr w:type="spellStart"/>
      <w:r>
        <w:rPr>
          <w:rFonts w:ascii="Verdana" w:hAnsi="Verdana"/>
          <w:sz w:val="20"/>
          <w:lang w:val="es-MX"/>
        </w:rPr>
        <w:t>reali</w:t>
      </w:r>
      <w:proofErr w:type="spellEnd"/>
      <w:r>
        <w:rPr>
          <w:rFonts w:ascii="Verdana" w:hAnsi="Verdana"/>
          <w:sz w:val="20"/>
          <w:lang w:val="es-MX"/>
        </w:rPr>
        <w:t>[zara] dichos pagos a la mayor brevedad posible, tomando en cuenta los intereses moratorios que se han generado por motivo de su retraso en el cumplimiento de los mismos”</w:t>
      </w:r>
      <w:r w:rsidR="00830F84">
        <w:rPr>
          <w:rStyle w:val="Refdenotaalpie"/>
          <w:rFonts w:ascii="Verdana" w:hAnsi="Verdana"/>
          <w:sz w:val="20"/>
          <w:lang w:val="es-MX"/>
        </w:rPr>
        <w:footnoteReference w:id="12"/>
      </w:r>
      <w:r>
        <w:rPr>
          <w:rFonts w:ascii="Verdana" w:hAnsi="Verdana"/>
          <w:sz w:val="20"/>
          <w:lang w:val="es-MX"/>
        </w:rPr>
        <w:t xml:space="preserve">. </w:t>
      </w:r>
    </w:p>
    <w:p w14:paraId="6EE4763B" w14:textId="77777777" w:rsidR="00ED0B5F" w:rsidRPr="00ED0B5F" w:rsidRDefault="00ED0B5F" w:rsidP="00ED0B5F">
      <w:pPr>
        <w:pStyle w:val="Prrafodelista"/>
        <w:spacing w:before="120" w:after="120"/>
        <w:ind w:left="0"/>
        <w:contextualSpacing w:val="0"/>
        <w:jc w:val="both"/>
        <w:rPr>
          <w:rFonts w:ascii="Verdana" w:hAnsi="Verdana"/>
          <w:sz w:val="4"/>
          <w:szCs w:val="4"/>
          <w:lang w:val="es-MX"/>
        </w:rPr>
      </w:pPr>
    </w:p>
    <w:p w14:paraId="4D98B962" w14:textId="77777777" w:rsidR="0037290D" w:rsidRDefault="0037290D" w:rsidP="00ED0B5F">
      <w:pPr>
        <w:spacing w:before="120" w:after="120"/>
        <w:ind w:left="708"/>
        <w:jc w:val="both"/>
        <w:rPr>
          <w:rFonts w:ascii="Verdana" w:hAnsi="Verdana"/>
          <w:i/>
          <w:sz w:val="20"/>
          <w:szCs w:val="20"/>
        </w:rPr>
      </w:pPr>
      <w:r>
        <w:rPr>
          <w:rFonts w:ascii="Verdana" w:hAnsi="Verdana"/>
          <w:i/>
          <w:sz w:val="20"/>
          <w:szCs w:val="20"/>
        </w:rPr>
        <w:t xml:space="preserve">A.2. </w:t>
      </w:r>
      <w:r w:rsidR="00664D6D">
        <w:rPr>
          <w:rFonts w:ascii="Verdana" w:hAnsi="Verdana"/>
          <w:i/>
          <w:sz w:val="20"/>
          <w:szCs w:val="20"/>
        </w:rPr>
        <w:t>Información y observaciones de las partes y de la Comisión</w:t>
      </w:r>
    </w:p>
    <w:p w14:paraId="770CB97E" w14:textId="77777777" w:rsidR="004379DE" w:rsidRPr="00ED0B5F" w:rsidRDefault="0037290D" w:rsidP="00ED0B5F">
      <w:pPr>
        <w:pStyle w:val="Prrafodelista"/>
        <w:numPr>
          <w:ilvl w:val="0"/>
          <w:numId w:val="7"/>
        </w:numPr>
        <w:spacing w:before="120" w:after="120"/>
        <w:ind w:left="0" w:firstLine="0"/>
        <w:contextualSpacing w:val="0"/>
        <w:jc w:val="both"/>
        <w:rPr>
          <w:rFonts w:ascii="Verdana" w:hAnsi="Verdana"/>
          <w:sz w:val="20"/>
          <w:szCs w:val="20"/>
        </w:rPr>
      </w:pPr>
      <w:r w:rsidRPr="00ED0B5F">
        <w:rPr>
          <w:rFonts w:ascii="Verdana" w:hAnsi="Verdana"/>
          <w:sz w:val="20"/>
          <w:szCs w:val="20"/>
        </w:rPr>
        <w:t xml:space="preserve">El </w:t>
      </w:r>
      <w:r w:rsidRPr="00ED0B5F">
        <w:rPr>
          <w:rFonts w:ascii="Verdana" w:hAnsi="Verdana"/>
          <w:i/>
          <w:sz w:val="20"/>
          <w:szCs w:val="20"/>
        </w:rPr>
        <w:t>Estado</w:t>
      </w:r>
      <w:r w:rsidR="004379DE" w:rsidRPr="00ED0B5F">
        <w:rPr>
          <w:rFonts w:ascii="Verdana" w:hAnsi="Verdana"/>
          <w:i/>
          <w:sz w:val="20"/>
          <w:szCs w:val="20"/>
        </w:rPr>
        <w:t xml:space="preserve"> </w:t>
      </w:r>
      <w:r w:rsidR="004379DE" w:rsidRPr="00ED0B5F">
        <w:rPr>
          <w:rFonts w:ascii="Verdana" w:hAnsi="Verdana"/>
          <w:sz w:val="20"/>
          <w:szCs w:val="20"/>
        </w:rPr>
        <w:t>ha solicitado que se declare el cumplimiento total de esta</w:t>
      </w:r>
      <w:r w:rsidR="00643AA9">
        <w:rPr>
          <w:rFonts w:ascii="Verdana" w:hAnsi="Verdana"/>
          <w:sz w:val="20"/>
          <w:szCs w:val="20"/>
        </w:rPr>
        <w:t>s</w:t>
      </w:r>
      <w:r w:rsidR="004379DE" w:rsidRPr="00ED0B5F">
        <w:rPr>
          <w:rFonts w:ascii="Verdana" w:hAnsi="Verdana"/>
          <w:sz w:val="20"/>
          <w:szCs w:val="20"/>
        </w:rPr>
        <w:t xml:space="preserve"> medida</w:t>
      </w:r>
      <w:r w:rsidR="00643AA9">
        <w:rPr>
          <w:rFonts w:ascii="Verdana" w:hAnsi="Verdana"/>
          <w:sz w:val="20"/>
          <w:szCs w:val="20"/>
        </w:rPr>
        <w:t>s, ya que, mediante depósito en una cuenta bancaria, pagó las cantidades dispuestas en la Sentencia por estos conceptos</w:t>
      </w:r>
      <w:r w:rsidR="00643AA9">
        <w:rPr>
          <w:rStyle w:val="Refdenotaalpie"/>
          <w:rFonts w:ascii="Verdana" w:hAnsi="Verdana"/>
          <w:sz w:val="20"/>
          <w:szCs w:val="20"/>
        </w:rPr>
        <w:footnoteReference w:id="13"/>
      </w:r>
      <w:r w:rsidR="004379DE" w:rsidRPr="00ED0B5F">
        <w:rPr>
          <w:rFonts w:ascii="Verdana" w:hAnsi="Verdana"/>
          <w:sz w:val="20"/>
          <w:szCs w:val="20"/>
        </w:rPr>
        <w:t xml:space="preserve">. </w:t>
      </w:r>
      <w:r w:rsidR="00FE206E" w:rsidRPr="00ED0B5F">
        <w:rPr>
          <w:rFonts w:ascii="Verdana" w:hAnsi="Verdana"/>
          <w:b/>
          <w:sz w:val="20"/>
          <w:szCs w:val="20"/>
        </w:rPr>
        <w:t xml:space="preserve"> </w:t>
      </w:r>
    </w:p>
    <w:p w14:paraId="3E350F42" w14:textId="77777777" w:rsidR="004379DE" w:rsidRPr="004379DE" w:rsidRDefault="00FE206E" w:rsidP="00ED0B5F">
      <w:pPr>
        <w:pStyle w:val="Prrafodelista"/>
        <w:numPr>
          <w:ilvl w:val="0"/>
          <w:numId w:val="7"/>
        </w:numPr>
        <w:spacing w:before="120" w:after="120"/>
        <w:ind w:left="0" w:firstLine="0"/>
        <w:contextualSpacing w:val="0"/>
        <w:jc w:val="both"/>
        <w:rPr>
          <w:rFonts w:ascii="Verdana" w:hAnsi="Verdana"/>
          <w:sz w:val="20"/>
          <w:szCs w:val="20"/>
        </w:rPr>
      </w:pPr>
      <w:r>
        <w:rPr>
          <w:rFonts w:ascii="Verdana" w:hAnsi="Verdana"/>
          <w:sz w:val="20"/>
          <w:szCs w:val="20"/>
        </w:rPr>
        <w:t xml:space="preserve">Los </w:t>
      </w:r>
      <w:r>
        <w:rPr>
          <w:rFonts w:ascii="Verdana" w:hAnsi="Verdana"/>
          <w:i/>
          <w:sz w:val="20"/>
          <w:szCs w:val="20"/>
        </w:rPr>
        <w:t xml:space="preserve">representantes </w:t>
      </w:r>
      <w:r>
        <w:rPr>
          <w:rFonts w:ascii="Verdana" w:hAnsi="Verdana"/>
          <w:sz w:val="20"/>
          <w:szCs w:val="20"/>
        </w:rPr>
        <w:t xml:space="preserve">confirmaron que </w:t>
      </w:r>
      <w:r w:rsidR="00FB030C">
        <w:rPr>
          <w:rFonts w:ascii="Verdana" w:hAnsi="Verdana"/>
          <w:sz w:val="20"/>
          <w:szCs w:val="20"/>
        </w:rPr>
        <w:t xml:space="preserve">“el pago realizado por el </w:t>
      </w:r>
      <w:r w:rsidR="004379DE">
        <w:rPr>
          <w:rFonts w:ascii="Verdana" w:hAnsi="Verdana"/>
          <w:sz w:val="20"/>
          <w:szCs w:val="20"/>
        </w:rPr>
        <w:t>[…]</w:t>
      </w:r>
      <w:r w:rsidR="00FB030C">
        <w:rPr>
          <w:rFonts w:ascii="Verdana" w:hAnsi="Verdana"/>
          <w:sz w:val="20"/>
          <w:szCs w:val="20"/>
        </w:rPr>
        <w:t xml:space="preserve"> Estado a la cuenta en mención se distribuyó entre la víctima y sus representantes, de acuerdo a lo establecido por la […] Corte en su </w:t>
      </w:r>
      <w:r w:rsidR="00643AA9">
        <w:rPr>
          <w:rFonts w:ascii="Verdana" w:hAnsi="Verdana"/>
          <w:sz w:val="20"/>
          <w:szCs w:val="20"/>
        </w:rPr>
        <w:t>[S]entencia</w:t>
      </w:r>
      <w:r w:rsidR="00FB030C">
        <w:rPr>
          <w:rFonts w:ascii="Verdana" w:hAnsi="Verdana"/>
          <w:sz w:val="20"/>
          <w:szCs w:val="20"/>
        </w:rPr>
        <w:t xml:space="preserve">” y consideraron que “la solicitud del </w:t>
      </w:r>
      <w:r w:rsidR="004379DE">
        <w:rPr>
          <w:rFonts w:ascii="Verdana" w:hAnsi="Verdana"/>
          <w:sz w:val="20"/>
          <w:szCs w:val="20"/>
        </w:rPr>
        <w:t>[…]</w:t>
      </w:r>
      <w:r w:rsidR="00FB030C">
        <w:rPr>
          <w:rFonts w:ascii="Verdana" w:hAnsi="Verdana"/>
          <w:sz w:val="20"/>
          <w:szCs w:val="20"/>
        </w:rPr>
        <w:t xml:space="preserve"> Estado de la declaración de cumplimiento del punto resolutivo número 10 de la </w:t>
      </w:r>
      <w:r w:rsidR="00643AA9">
        <w:rPr>
          <w:rFonts w:ascii="Verdana" w:hAnsi="Verdana"/>
          <w:sz w:val="20"/>
          <w:szCs w:val="20"/>
        </w:rPr>
        <w:t>[S]entencia […]</w:t>
      </w:r>
      <w:r w:rsidR="00FB030C">
        <w:rPr>
          <w:rFonts w:ascii="Verdana" w:hAnsi="Verdana"/>
          <w:sz w:val="20"/>
          <w:szCs w:val="20"/>
        </w:rPr>
        <w:t>, es procedente”.</w:t>
      </w:r>
    </w:p>
    <w:p w14:paraId="149733D1" w14:textId="77777777" w:rsidR="0037290D" w:rsidRPr="00755400" w:rsidRDefault="00FB030C" w:rsidP="00ED0B5F">
      <w:pPr>
        <w:pStyle w:val="Prrafodelista"/>
        <w:numPr>
          <w:ilvl w:val="0"/>
          <w:numId w:val="7"/>
        </w:numPr>
        <w:spacing w:before="120" w:after="120"/>
        <w:ind w:left="0" w:firstLine="0"/>
        <w:contextualSpacing w:val="0"/>
        <w:jc w:val="both"/>
        <w:rPr>
          <w:rFonts w:ascii="Verdana" w:hAnsi="Verdana"/>
          <w:sz w:val="20"/>
          <w:szCs w:val="20"/>
        </w:rPr>
      </w:pPr>
      <w:r>
        <w:rPr>
          <w:rFonts w:ascii="Verdana" w:hAnsi="Verdana"/>
          <w:sz w:val="20"/>
          <w:szCs w:val="20"/>
        </w:rPr>
        <w:lastRenderedPageBreak/>
        <w:t xml:space="preserve">La </w:t>
      </w:r>
      <w:r>
        <w:rPr>
          <w:rFonts w:ascii="Verdana" w:hAnsi="Verdana"/>
          <w:i/>
          <w:sz w:val="20"/>
          <w:szCs w:val="20"/>
        </w:rPr>
        <w:t xml:space="preserve">Comisión Interamericana </w:t>
      </w:r>
      <w:r>
        <w:rPr>
          <w:rFonts w:ascii="Verdana" w:hAnsi="Verdana"/>
          <w:sz w:val="20"/>
          <w:szCs w:val="20"/>
        </w:rPr>
        <w:t>“</w:t>
      </w:r>
      <w:proofErr w:type="spellStart"/>
      <w:r>
        <w:rPr>
          <w:rFonts w:ascii="Verdana" w:hAnsi="Verdana"/>
          <w:sz w:val="20"/>
          <w:szCs w:val="20"/>
        </w:rPr>
        <w:t>consider</w:t>
      </w:r>
      <w:proofErr w:type="spellEnd"/>
      <w:r>
        <w:rPr>
          <w:rFonts w:ascii="Verdana" w:hAnsi="Verdana"/>
          <w:sz w:val="20"/>
          <w:szCs w:val="20"/>
        </w:rPr>
        <w:t>[</w:t>
      </w:r>
      <w:proofErr w:type="spellStart"/>
      <w:r>
        <w:rPr>
          <w:rFonts w:ascii="Verdana" w:hAnsi="Verdana"/>
          <w:sz w:val="20"/>
          <w:szCs w:val="20"/>
        </w:rPr>
        <w:t>ó</w:t>
      </w:r>
      <w:proofErr w:type="spellEnd"/>
      <w:r>
        <w:rPr>
          <w:rFonts w:ascii="Verdana" w:hAnsi="Verdana"/>
          <w:sz w:val="20"/>
          <w:szCs w:val="20"/>
        </w:rPr>
        <w:t xml:space="preserve">] que estas reparaciones se </w:t>
      </w:r>
      <w:proofErr w:type="spellStart"/>
      <w:r>
        <w:rPr>
          <w:rFonts w:ascii="Verdana" w:hAnsi="Verdana"/>
          <w:sz w:val="20"/>
          <w:szCs w:val="20"/>
        </w:rPr>
        <w:t>enc</w:t>
      </w:r>
      <w:proofErr w:type="spellEnd"/>
      <w:r>
        <w:rPr>
          <w:rFonts w:ascii="Verdana" w:hAnsi="Verdana"/>
          <w:sz w:val="20"/>
          <w:szCs w:val="20"/>
        </w:rPr>
        <w:t>[</w:t>
      </w:r>
      <w:proofErr w:type="spellStart"/>
      <w:r>
        <w:rPr>
          <w:rFonts w:ascii="Verdana" w:hAnsi="Verdana"/>
          <w:sz w:val="20"/>
          <w:szCs w:val="20"/>
        </w:rPr>
        <w:t>ontraban</w:t>
      </w:r>
      <w:proofErr w:type="spellEnd"/>
      <w:r>
        <w:rPr>
          <w:rFonts w:ascii="Verdana" w:hAnsi="Verdana"/>
          <w:sz w:val="20"/>
          <w:szCs w:val="20"/>
        </w:rPr>
        <w:t xml:space="preserve">] cumplidas”. </w:t>
      </w:r>
    </w:p>
    <w:p w14:paraId="07AB8E6E" w14:textId="77777777" w:rsidR="00E55D97" w:rsidRDefault="00E55D97" w:rsidP="00ED0B5F">
      <w:pPr>
        <w:spacing w:before="120" w:after="120"/>
        <w:ind w:left="708"/>
        <w:jc w:val="both"/>
        <w:rPr>
          <w:rFonts w:ascii="Verdana" w:hAnsi="Verdana"/>
          <w:i/>
          <w:sz w:val="20"/>
          <w:szCs w:val="20"/>
        </w:rPr>
      </w:pPr>
    </w:p>
    <w:p w14:paraId="5B83B999" w14:textId="77777777" w:rsidR="00664D6D" w:rsidRDefault="00664D6D" w:rsidP="00ED0B5F">
      <w:pPr>
        <w:spacing w:before="120" w:after="120"/>
        <w:ind w:left="708"/>
        <w:jc w:val="both"/>
        <w:rPr>
          <w:rFonts w:ascii="Verdana" w:hAnsi="Verdana"/>
          <w:i/>
          <w:sz w:val="20"/>
          <w:szCs w:val="20"/>
        </w:rPr>
      </w:pPr>
      <w:r>
        <w:rPr>
          <w:rFonts w:ascii="Verdana" w:hAnsi="Verdana"/>
          <w:i/>
          <w:sz w:val="20"/>
          <w:szCs w:val="20"/>
        </w:rPr>
        <w:t>A.3. Consideraciones de la Corte</w:t>
      </w:r>
    </w:p>
    <w:p w14:paraId="6773FFCA" w14:textId="77777777" w:rsidR="00755400" w:rsidRPr="00ED0B5F" w:rsidRDefault="00755400" w:rsidP="00ED0B5F">
      <w:pPr>
        <w:pStyle w:val="Prrafodelista"/>
        <w:numPr>
          <w:ilvl w:val="0"/>
          <w:numId w:val="7"/>
        </w:numPr>
        <w:spacing w:before="120" w:after="120"/>
        <w:ind w:left="0" w:firstLine="0"/>
        <w:contextualSpacing w:val="0"/>
        <w:jc w:val="both"/>
        <w:rPr>
          <w:rFonts w:ascii="Verdana" w:hAnsi="Verdana"/>
          <w:sz w:val="20"/>
          <w:szCs w:val="20"/>
        </w:rPr>
      </w:pPr>
      <w:bookmarkStart w:id="10" w:name="_Ref26180390"/>
      <w:r w:rsidRPr="00643AA9">
        <w:rPr>
          <w:rFonts w:ascii="Verdana" w:hAnsi="Verdana"/>
          <w:sz w:val="20"/>
          <w:szCs w:val="20"/>
        </w:rPr>
        <w:t>Con base en la información aportad</w:t>
      </w:r>
      <w:r w:rsidR="00643AA9" w:rsidRPr="00643AA9">
        <w:rPr>
          <w:rFonts w:ascii="Verdana" w:hAnsi="Verdana"/>
          <w:sz w:val="20"/>
          <w:szCs w:val="20"/>
        </w:rPr>
        <w:t>a</w:t>
      </w:r>
      <w:r w:rsidRPr="00643AA9">
        <w:rPr>
          <w:rFonts w:ascii="Verdana" w:hAnsi="Verdana"/>
          <w:sz w:val="20"/>
          <w:szCs w:val="20"/>
        </w:rPr>
        <w:t xml:space="preserve"> por el Estado</w:t>
      </w:r>
      <w:r w:rsidR="00643AA9" w:rsidRPr="00643AA9">
        <w:rPr>
          <w:rFonts w:ascii="Verdana" w:hAnsi="Verdana"/>
          <w:sz w:val="20"/>
          <w:szCs w:val="20"/>
        </w:rPr>
        <w:t>,</w:t>
      </w:r>
      <w:r w:rsidRPr="00643AA9">
        <w:rPr>
          <w:rFonts w:ascii="Verdana" w:hAnsi="Verdana"/>
          <w:sz w:val="20"/>
          <w:szCs w:val="20"/>
        </w:rPr>
        <w:t xml:space="preserve"> </w:t>
      </w:r>
      <w:r w:rsidR="00643AA9" w:rsidRPr="00643AA9">
        <w:rPr>
          <w:rFonts w:ascii="Verdana" w:hAnsi="Verdana"/>
          <w:sz w:val="20"/>
          <w:szCs w:val="20"/>
        </w:rPr>
        <w:t xml:space="preserve">así como </w:t>
      </w:r>
      <w:r w:rsidR="00643AA9" w:rsidRPr="00ED0B5F">
        <w:rPr>
          <w:rFonts w:ascii="Verdana" w:hAnsi="Verdana"/>
          <w:sz w:val="20"/>
          <w:szCs w:val="20"/>
        </w:rPr>
        <w:t xml:space="preserve">lo afirmado por los representantes de las víctimas respecto a que los pagos fueron realizados </w:t>
      </w:r>
      <w:r w:rsidR="004379DE" w:rsidRPr="00643AA9">
        <w:rPr>
          <w:rFonts w:ascii="Verdana" w:hAnsi="Verdana"/>
          <w:sz w:val="20"/>
          <w:szCs w:val="20"/>
        </w:rPr>
        <w:t>y la</w:t>
      </w:r>
      <w:r w:rsidR="00643AA9" w:rsidRPr="00643AA9">
        <w:rPr>
          <w:rFonts w:ascii="Verdana" w:hAnsi="Verdana"/>
          <w:sz w:val="20"/>
          <w:szCs w:val="20"/>
        </w:rPr>
        <w:t>s observaciones de la</w:t>
      </w:r>
      <w:r w:rsidR="004379DE" w:rsidRPr="00ED0B5F">
        <w:rPr>
          <w:rFonts w:ascii="Verdana" w:hAnsi="Verdana"/>
          <w:sz w:val="20"/>
          <w:szCs w:val="20"/>
        </w:rPr>
        <w:t xml:space="preserve"> Comisión</w:t>
      </w:r>
      <w:r w:rsidR="00643AA9" w:rsidRPr="00ED0B5F">
        <w:rPr>
          <w:rFonts w:ascii="Verdana" w:hAnsi="Verdana"/>
          <w:sz w:val="20"/>
          <w:szCs w:val="20"/>
        </w:rPr>
        <w:t xml:space="preserve"> Interamericana</w:t>
      </w:r>
      <w:r w:rsidRPr="00ED0B5F">
        <w:rPr>
          <w:rFonts w:ascii="Verdana" w:hAnsi="Verdana"/>
          <w:sz w:val="20"/>
          <w:szCs w:val="20"/>
        </w:rPr>
        <w:t>, el Tribunal constata que Colombia pagó la indemnizaci</w:t>
      </w:r>
      <w:r w:rsidR="004379DE" w:rsidRPr="00ED0B5F">
        <w:rPr>
          <w:rFonts w:ascii="Verdana" w:hAnsi="Verdana"/>
          <w:sz w:val="20"/>
          <w:szCs w:val="20"/>
        </w:rPr>
        <w:t xml:space="preserve">ón </w:t>
      </w:r>
      <w:r w:rsidRPr="00ED0B5F">
        <w:rPr>
          <w:rFonts w:ascii="Verdana" w:hAnsi="Verdana"/>
          <w:sz w:val="20"/>
          <w:szCs w:val="20"/>
        </w:rPr>
        <w:t>por concepto de daño inmaterial y el reintegro de costas y gastos. En consecuencia, este Tribunal considera que el Estado ha dado cumplimiento total a las medidas de reparación ordenadas en el punto resolutivo décimo de la Sentencia.</w:t>
      </w:r>
      <w:bookmarkEnd w:id="10"/>
    </w:p>
    <w:p w14:paraId="6828E716" w14:textId="77777777" w:rsidR="007E70F3" w:rsidRPr="00ED0B5F" w:rsidRDefault="007E70F3" w:rsidP="00ED0B5F">
      <w:pPr>
        <w:pStyle w:val="Prrafodelista"/>
        <w:spacing w:before="120" w:after="120"/>
        <w:contextualSpacing w:val="0"/>
        <w:rPr>
          <w:rFonts w:ascii="Verdana" w:hAnsi="Verdana"/>
          <w:sz w:val="10"/>
          <w:szCs w:val="10"/>
        </w:rPr>
      </w:pPr>
    </w:p>
    <w:p w14:paraId="043616C1" w14:textId="77777777" w:rsidR="00755400" w:rsidRPr="00755400" w:rsidRDefault="00755400" w:rsidP="00ED0B5F">
      <w:pPr>
        <w:pStyle w:val="Ttulo1"/>
        <w:numPr>
          <w:ilvl w:val="0"/>
          <w:numId w:val="6"/>
        </w:numPr>
        <w:spacing w:before="120" w:after="120"/>
        <w:jc w:val="both"/>
        <w:rPr>
          <w:rFonts w:ascii="Verdana" w:hAnsi="Verdana"/>
          <w:b/>
          <w:i/>
          <w:color w:val="auto"/>
          <w:sz w:val="20"/>
          <w:szCs w:val="20"/>
        </w:rPr>
      </w:pPr>
      <w:bookmarkStart w:id="11" w:name="_Toc26180590"/>
      <w:r>
        <w:rPr>
          <w:rFonts w:ascii="Verdana" w:hAnsi="Verdana"/>
          <w:b/>
          <w:i/>
          <w:color w:val="auto"/>
          <w:sz w:val="20"/>
          <w:szCs w:val="20"/>
        </w:rPr>
        <w:t>Reintegro al Fondo de Asistencia Legal de Víctimas</w:t>
      </w:r>
      <w:bookmarkEnd w:id="11"/>
    </w:p>
    <w:p w14:paraId="2A13A2D6" w14:textId="77777777" w:rsidR="00EC534B" w:rsidRDefault="006C6FA8" w:rsidP="00ED0B5F">
      <w:pPr>
        <w:numPr>
          <w:ilvl w:val="0"/>
          <w:numId w:val="7"/>
        </w:numPr>
        <w:spacing w:before="120" w:after="120"/>
        <w:ind w:left="0" w:firstLine="0"/>
        <w:jc w:val="both"/>
        <w:rPr>
          <w:rFonts w:ascii="Verdana" w:hAnsi="Verdana" w:cs="Verdana"/>
          <w:sz w:val="20"/>
          <w:szCs w:val="20"/>
        </w:rPr>
      </w:pPr>
      <w:bookmarkStart w:id="12" w:name="_Ref26176311"/>
      <w:r w:rsidRPr="00832D78">
        <w:rPr>
          <w:rFonts w:ascii="Verdana" w:hAnsi="Verdana"/>
          <w:sz w:val="20"/>
          <w:szCs w:val="20"/>
        </w:rPr>
        <w:t>En</w:t>
      </w:r>
      <w:r w:rsidR="00FE206E">
        <w:rPr>
          <w:rFonts w:ascii="Verdana" w:hAnsi="Verdana"/>
          <w:sz w:val="20"/>
          <w:szCs w:val="20"/>
        </w:rPr>
        <w:t xml:space="preserve"> el punto resolutivo décimo primero y en el párrafo 230 de la Sentencia, la Corte ordenó al Estado “reintegrar al Fondo de Asistencia Legal de Víctimas de la Corte” “la suma de US$ 2.509,34 (dos mil quinientos nueve dólares y treinta y cuatro centavos de los Estados Unidos de América</w:t>
      </w:r>
      <w:r w:rsidR="00821353">
        <w:rPr>
          <w:rFonts w:ascii="Verdana" w:hAnsi="Verdana"/>
          <w:sz w:val="20"/>
          <w:szCs w:val="20"/>
        </w:rPr>
        <w:t>)</w:t>
      </w:r>
      <w:r w:rsidR="00FE206E">
        <w:rPr>
          <w:rFonts w:ascii="Verdana" w:hAnsi="Verdana"/>
          <w:sz w:val="20"/>
          <w:szCs w:val="20"/>
        </w:rPr>
        <w:t xml:space="preserve"> por los gastos incurridos”</w:t>
      </w:r>
      <w:r w:rsidR="00E52CAE">
        <w:rPr>
          <w:rFonts w:ascii="Verdana" w:hAnsi="Verdana"/>
          <w:sz w:val="20"/>
          <w:szCs w:val="20"/>
        </w:rPr>
        <w:t xml:space="preserve"> durante la tramitación de la etapa de fondo de este caso</w:t>
      </w:r>
      <w:r w:rsidR="00FE206E">
        <w:rPr>
          <w:rFonts w:ascii="Verdana" w:hAnsi="Verdana"/>
          <w:sz w:val="20"/>
          <w:szCs w:val="20"/>
        </w:rPr>
        <w:t xml:space="preserve">. </w:t>
      </w:r>
      <w:r w:rsidR="00237094">
        <w:rPr>
          <w:rFonts w:ascii="Verdana" w:hAnsi="Verdana" w:cs="Verdana"/>
          <w:sz w:val="20"/>
          <w:szCs w:val="20"/>
        </w:rPr>
        <w:t>El Tribunal</w:t>
      </w:r>
      <w:r w:rsidRPr="00832D78">
        <w:rPr>
          <w:rFonts w:ascii="Verdana" w:hAnsi="Verdana" w:cs="Verdana"/>
          <w:sz w:val="20"/>
          <w:szCs w:val="20"/>
        </w:rPr>
        <w:t xml:space="preserve"> dispuso que dicha cantidad debía ser reintegrada en el plazo de </w:t>
      </w:r>
      <w:r w:rsidR="00911B91" w:rsidRPr="00832D78">
        <w:rPr>
          <w:rFonts w:ascii="Verdana" w:hAnsi="Verdana" w:cs="Verdana"/>
          <w:sz w:val="20"/>
          <w:szCs w:val="20"/>
        </w:rPr>
        <w:t>noventa días</w:t>
      </w:r>
      <w:r w:rsidRPr="00832D78">
        <w:rPr>
          <w:rFonts w:ascii="Verdana" w:hAnsi="Verdana" w:cs="Verdana"/>
          <w:sz w:val="20"/>
          <w:szCs w:val="20"/>
        </w:rPr>
        <w:t xml:space="preserve">, contados a partir de la notificación de la Sentencia, plazo que </w:t>
      </w:r>
      <w:r w:rsidR="00237094" w:rsidRPr="00832D78">
        <w:rPr>
          <w:rFonts w:ascii="Verdana" w:hAnsi="Verdana" w:cs="Verdana"/>
          <w:sz w:val="20"/>
          <w:szCs w:val="20"/>
        </w:rPr>
        <w:t>venc</w:t>
      </w:r>
      <w:r w:rsidR="00237094">
        <w:rPr>
          <w:rFonts w:ascii="Verdana" w:hAnsi="Verdana" w:cs="Verdana"/>
          <w:sz w:val="20"/>
          <w:szCs w:val="20"/>
        </w:rPr>
        <w:t>ió</w:t>
      </w:r>
      <w:r w:rsidR="00237094" w:rsidRPr="00832D78">
        <w:rPr>
          <w:rFonts w:ascii="Verdana" w:hAnsi="Verdana" w:cs="Verdana"/>
          <w:sz w:val="20"/>
          <w:szCs w:val="20"/>
        </w:rPr>
        <w:t xml:space="preserve"> </w:t>
      </w:r>
      <w:r w:rsidRPr="00832D78">
        <w:rPr>
          <w:rFonts w:ascii="Verdana" w:hAnsi="Verdana" w:cs="Verdana"/>
          <w:sz w:val="20"/>
          <w:szCs w:val="20"/>
        </w:rPr>
        <w:t xml:space="preserve">el </w:t>
      </w:r>
      <w:r w:rsidR="00911B91" w:rsidRPr="00832D78">
        <w:rPr>
          <w:rFonts w:ascii="Verdana" w:hAnsi="Verdana" w:cs="Verdana"/>
          <w:sz w:val="20"/>
          <w:szCs w:val="20"/>
        </w:rPr>
        <w:t>18</w:t>
      </w:r>
      <w:r w:rsidRPr="00832D78">
        <w:rPr>
          <w:rFonts w:ascii="Verdana" w:hAnsi="Verdana" w:cs="Verdana"/>
          <w:sz w:val="20"/>
          <w:szCs w:val="20"/>
        </w:rPr>
        <w:t xml:space="preserve"> de julio</w:t>
      </w:r>
      <w:r w:rsidR="00911B91" w:rsidRPr="00832D78">
        <w:rPr>
          <w:rFonts w:ascii="Verdana" w:hAnsi="Verdana" w:cs="Verdana"/>
          <w:sz w:val="20"/>
          <w:szCs w:val="20"/>
        </w:rPr>
        <w:t xml:space="preserve"> de 2016.</w:t>
      </w:r>
      <w:r w:rsidR="00911B91" w:rsidRPr="00237094">
        <w:rPr>
          <w:rFonts w:ascii="Verdana" w:hAnsi="Verdana" w:cs="Verdana"/>
          <w:sz w:val="20"/>
          <w:szCs w:val="20"/>
        </w:rPr>
        <w:t xml:space="preserve"> </w:t>
      </w:r>
      <w:r w:rsidR="00237094" w:rsidRPr="00EC534B">
        <w:rPr>
          <w:rFonts w:ascii="Verdana" w:hAnsi="Verdana"/>
          <w:sz w:val="20"/>
          <w:szCs w:val="20"/>
        </w:rPr>
        <w:t xml:space="preserve">Asimismo, en el párrafo 236 de la Sentencia </w:t>
      </w:r>
      <w:r w:rsidR="00E52CAE" w:rsidRPr="00EC534B">
        <w:rPr>
          <w:rFonts w:ascii="Verdana" w:hAnsi="Verdana"/>
          <w:sz w:val="20"/>
          <w:szCs w:val="20"/>
        </w:rPr>
        <w:t xml:space="preserve">estableció </w:t>
      </w:r>
      <w:r w:rsidR="00237094" w:rsidRPr="00EC534B">
        <w:rPr>
          <w:rFonts w:ascii="Verdana" w:hAnsi="Verdana"/>
          <w:sz w:val="20"/>
          <w:szCs w:val="20"/>
        </w:rPr>
        <w:t>que “[e]n caso de que el Estado incurriera en mora, incluyendo en el reintegro de los gastos al Fondo de Asistencia […], deberá pagar un interés sobre la cantidad adeudada, correspondiente al interés bancario moratorio en la República de Colombia”.</w:t>
      </w:r>
      <w:bookmarkStart w:id="13" w:name="_Ref536720100"/>
      <w:bookmarkEnd w:id="12"/>
    </w:p>
    <w:p w14:paraId="4E5AB279" w14:textId="0CC676A4" w:rsidR="006C6FA8" w:rsidRPr="00EC534B" w:rsidRDefault="00237094" w:rsidP="00ED0B5F">
      <w:pPr>
        <w:numPr>
          <w:ilvl w:val="0"/>
          <w:numId w:val="7"/>
        </w:numPr>
        <w:spacing w:before="120" w:after="120"/>
        <w:ind w:left="0" w:firstLine="0"/>
        <w:jc w:val="both"/>
        <w:rPr>
          <w:rFonts w:ascii="Verdana" w:hAnsi="Verdana" w:cs="Verdana"/>
          <w:sz w:val="20"/>
          <w:szCs w:val="20"/>
        </w:rPr>
      </w:pPr>
      <w:bookmarkStart w:id="14" w:name="_Ref26177390"/>
      <w:r w:rsidRPr="00EC534B">
        <w:rPr>
          <w:rFonts w:ascii="Verdana" w:hAnsi="Verdana" w:cs="Verdana"/>
          <w:sz w:val="20"/>
          <w:szCs w:val="20"/>
        </w:rPr>
        <w:t>La Corte realiz</w:t>
      </w:r>
      <w:r w:rsidR="00941E20" w:rsidRPr="00EC534B">
        <w:rPr>
          <w:rFonts w:ascii="Verdana" w:hAnsi="Verdana" w:cs="Verdana"/>
          <w:sz w:val="20"/>
          <w:szCs w:val="20"/>
        </w:rPr>
        <w:t>ó diversos recordatorios al Es</w:t>
      </w:r>
      <w:r w:rsidRPr="00EC534B">
        <w:rPr>
          <w:rFonts w:ascii="Verdana" w:hAnsi="Verdana" w:cs="Verdana"/>
          <w:sz w:val="20"/>
          <w:szCs w:val="20"/>
        </w:rPr>
        <w:t xml:space="preserve">tado en relación con el vencimiento de dicho plazo, los cuales se encuentran recogidos en las </w:t>
      </w:r>
      <w:r w:rsidR="00EC534B">
        <w:rPr>
          <w:rFonts w:ascii="Verdana" w:hAnsi="Verdana" w:cs="Verdana"/>
          <w:sz w:val="20"/>
          <w:szCs w:val="20"/>
        </w:rPr>
        <w:t>R</w:t>
      </w:r>
      <w:r w:rsidRPr="00EC534B">
        <w:rPr>
          <w:rFonts w:ascii="Verdana" w:hAnsi="Verdana" w:cs="Verdana"/>
          <w:sz w:val="20"/>
          <w:szCs w:val="20"/>
        </w:rPr>
        <w:t>esoluciones emitidas en 2016 y 2018 (</w:t>
      </w:r>
      <w:r w:rsidRPr="00EC534B">
        <w:rPr>
          <w:rFonts w:ascii="Verdana" w:hAnsi="Verdana" w:cs="Verdana"/>
          <w:i/>
          <w:sz w:val="20"/>
          <w:szCs w:val="20"/>
        </w:rPr>
        <w:t>supra</w:t>
      </w:r>
      <w:r w:rsidRPr="00EC534B">
        <w:rPr>
          <w:rFonts w:ascii="Verdana" w:hAnsi="Verdana" w:cs="Verdana"/>
          <w:sz w:val="20"/>
          <w:szCs w:val="20"/>
        </w:rPr>
        <w:t xml:space="preserve"> Vistos </w:t>
      </w:r>
      <w:r w:rsidR="00DD7CF5">
        <w:rPr>
          <w:rFonts w:ascii="Verdana" w:hAnsi="Verdana" w:cs="Verdana"/>
          <w:sz w:val="20"/>
          <w:szCs w:val="20"/>
        </w:rPr>
        <w:fldChar w:fldCharType="begin"/>
      </w:r>
      <w:r w:rsidR="00DD7CF5">
        <w:rPr>
          <w:rFonts w:ascii="Verdana" w:hAnsi="Verdana" w:cs="Verdana"/>
          <w:sz w:val="20"/>
          <w:szCs w:val="20"/>
        </w:rPr>
        <w:instrText xml:space="preserve"> REF _Ref26188114 \r \h </w:instrText>
      </w:r>
      <w:r w:rsidR="00DD7CF5">
        <w:rPr>
          <w:rFonts w:ascii="Verdana" w:hAnsi="Verdana" w:cs="Verdana"/>
          <w:sz w:val="20"/>
          <w:szCs w:val="20"/>
        </w:rPr>
      </w:r>
      <w:r w:rsidR="00DD7CF5">
        <w:rPr>
          <w:rFonts w:ascii="Verdana" w:hAnsi="Verdana" w:cs="Verdana"/>
          <w:sz w:val="20"/>
          <w:szCs w:val="20"/>
        </w:rPr>
        <w:fldChar w:fldCharType="separate"/>
      </w:r>
      <w:r w:rsidR="006D69D4">
        <w:rPr>
          <w:rFonts w:ascii="Verdana" w:hAnsi="Verdana" w:cs="Verdana"/>
          <w:sz w:val="20"/>
          <w:szCs w:val="20"/>
        </w:rPr>
        <w:t>3</w:t>
      </w:r>
      <w:r w:rsidR="00DD7CF5">
        <w:rPr>
          <w:rFonts w:ascii="Verdana" w:hAnsi="Verdana" w:cs="Verdana"/>
          <w:sz w:val="20"/>
          <w:szCs w:val="20"/>
        </w:rPr>
        <w:fldChar w:fldCharType="end"/>
      </w:r>
      <w:r w:rsidR="00DD7CF5">
        <w:rPr>
          <w:rFonts w:ascii="Verdana" w:hAnsi="Verdana" w:cs="Verdana"/>
          <w:sz w:val="20"/>
          <w:szCs w:val="20"/>
        </w:rPr>
        <w:t xml:space="preserve"> y </w:t>
      </w:r>
      <w:r w:rsidR="00DD7CF5">
        <w:rPr>
          <w:rFonts w:ascii="Verdana" w:hAnsi="Verdana" w:cs="Verdana"/>
          <w:sz w:val="20"/>
          <w:szCs w:val="20"/>
        </w:rPr>
        <w:fldChar w:fldCharType="begin"/>
      </w:r>
      <w:r w:rsidR="00DD7CF5">
        <w:rPr>
          <w:rFonts w:ascii="Verdana" w:hAnsi="Verdana" w:cs="Verdana"/>
          <w:sz w:val="20"/>
          <w:szCs w:val="20"/>
        </w:rPr>
        <w:instrText xml:space="preserve"> REF _Ref26188115 \r \h </w:instrText>
      </w:r>
      <w:r w:rsidR="00DD7CF5">
        <w:rPr>
          <w:rFonts w:ascii="Verdana" w:hAnsi="Verdana" w:cs="Verdana"/>
          <w:sz w:val="20"/>
          <w:szCs w:val="20"/>
        </w:rPr>
      </w:r>
      <w:r w:rsidR="00DD7CF5">
        <w:rPr>
          <w:rFonts w:ascii="Verdana" w:hAnsi="Verdana" w:cs="Verdana"/>
          <w:sz w:val="20"/>
          <w:szCs w:val="20"/>
        </w:rPr>
        <w:fldChar w:fldCharType="separate"/>
      </w:r>
      <w:r w:rsidR="006D69D4">
        <w:rPr>
          <w:rFonts w:ascii="Verdana" w:hAnsi="Verdana" w:cs="Verdana"/>
          <w:sz w:val="20"/>
          <w:szCs w:val="20"/>
        </w:rPr>
        <w:t>4</w:t>
      </w:r>
      <w:r w:rsidR="00DD7CF5">
        <w:rPr>
          <w:rFonts w:ascii="Verdana" w:hAnsi="Verdana" w:cs="Verdana"/>
          <w:sz w:val="20"/>
          <w:szCs w:val="20"/>
        </w:rPr>
        <w:fldChar w:fldCharType="end"/>
      </w:r>
      <w:r w:rsidRPr="00EC534B">
        <w:rPr>
          <w:rFonts w:ascii="Verdana" w:hAnsi="Verdana" w:cs="Verdana"/>
          <w:sz w:val="20"/>
          <w:szCs w:val="20"/>
        </w:rPr>
        <w:t xml:space="preserve">). Finalmente, </w:t>
      </w:r>
      <w:r w:rsidR="00EC534B">
        <w:rPr>
          <w:rFonts w:ascii="Verdana" w:hAnsi="Verdana" w:cs="Verdana"/>
          <w:sz w:val="20"/>
          <w:szCs w:val="20"/>
        </w:rPr>
        <w:t xml:space="preserve">en mayo de 2019 </w:t>
      </w:r>
      <w:r w:rsidRPr="00EC534B">
        <w:rPr>
          <w:rFonts w:ascii="Verdana" w:hAnsi="Verdana" w:cs="Verdana"/>
          <w:sz w:val="20"/>
          <w:szCs w:val="20"/>
        </w:rPr>
        <w:t>el E</w:t>
      </w:r>
      <w:r w:rsidR="00360CB4" w:rsidRPr="00EC534B">
        <w:rPr>
          <w:rFonts w:ascii="Verdana" w:hAnsi="Verdana" w:cs="Verdana"/>
          <w:sz w:val="20"/>
          <w:szCs w:val="20"/>
        </w:rPr>
        <w:t>s</w:t>
      </w:r>
      <w:r w:rsidRPr="00EC534B">
        <w:rPr>
          <w:rFonts w:ascii="Verdana" w:hAnsi="Verdana" w:cs="Verdana"/>
          <w:sz w:val="20"/>
          <w:szCs w:val="20"/>
        </w:rPr>
        <w:t>tado comunicó que el reintegro había sido realizado (</w:t>
      </w:r>
      <w:r w:rsidRPr="00EC534B">
        <w:rPr>
          <w:rFonts w:ascii="Verdana" w:hAnsi="Verdana" w:cs="Verdana"/>
          <w:i/>
          <w:sz w:val="20"/>
          <w:szCs w:val="20"/>
        </w:rPr>
        <w:t>supra</w:t>
      </w:r>
      <w:r w:rsidRPr="00EC534B">
        <w:rPr>
          <w:rFonts w:ascii="Verdana" w:hAnsi="Verdana" w:cs="Verdana"/>
          <w:sz w:val="20"/>
          <w:szCs w:val="20"/>
        </w:rPr>
        <w:t xml:space="preserve"> Visto </w:t>
      </w:r>
      <w:r w:rsidR="00DD7CF5">
        <w:rPr>
          <w:rFonts w:ascii="Verdana" w:hAnsi="Verdana" w:cs="Verdana"/>
          <w:sz w:val="20"/>
          <w:szCs w:val="20"/>
        </w:rPr>
        <w:fldChar w:fldCharType="begin"/>
      </w:r>
      <w:r w:rsidR="00DD7CF5">
        <w:rPr>
          <w:rFonts w:ascii="Verdana" w:hAnsi="Verdana" w:cs="Verdana"/>
          <w:sz w:val="20"/>
          <w:szCs w:val="20"/>
        </w:rPr>
        <w:instrText xml:space="preserve"> REF _Ref26188240 \r \h </w:instrText>
      </w:r>
      <w:r w:rsidR="00DD7CF5">
        <w:rPr>
          <w:rFonts w:ascii="Verdana" w:hAnsi="Verdana" w:cs="Verdana"/>
          <w:sz w:val="20"/>
          <w:szCs w:val="20"/>
        </w:rPr>
      </w:r>
      <w:r w:rsidR="00DD7CF5">
        <w:rPr>
          <w:rFonts w:ascii="Verdana" w:hAnsi="Verdana" w:cs="Verdana"/>
          <w:sz w:val="20"/>
          <w:szCs w:val="20"/>
        </w:rPr>
        <w:fldChar w:fldCharType="separate"/>
      </w:r>
      <w:r w:rsidR="006D69D4">
        <w:rPr>
          <w:rFonts w:ascii="Verdana" w:hAnsi="Verdana" w:cs="Verdana"/>
          <w:sz w:val="20"/>
          <w:szCs w:val="20"/>
        </w:rPr>
        <w:t>5</w:t>
      </w:r>
      <w:r w:rsidR="00DD7CF5">
        <w:rPr>
          <w:rFonts w:ascii="Verdana" w:hAnsi="Verdana" w:cs="Verdana"/>
          <w:sz w:val="20"/>
          <w:szCs w:val="20"/>
        </w:rPr>
        <w:fldChar w:fldCharType="end"/>
      </w:r>
      <w:r w:rsidRPr="00EC534B">
        <w:rPr>
          <w:rFonts w:ascii="Verdana" w:hAnsi="Verdana" w:cs="Verdana"/>
          <w:sz w:val="20"/>
          <w:szCs w:val="20"/>
        </w:rPr>
        <w:t>). Al respecto, este</w:t>
      </w:r>
      <w:r w:rsidR="006C6FA8" w:rsidRPr="00EC534B">
        <w:rPr>
          <w:rFonts w:ascii="Verdana" w:hAnsi="Verdana" w:cs="Verdana"/>
          <w:sz w:val="20"/>
          <w:szCs w:val="20"/>
        </w:rPr>
        <w:t xml:space="preserve"> Tribunal constata que, mediante transferencia </w:t>
      </w:r>
      <w:r w:rsidR="00360CB4" w:rsidRPr="00EC534B">
        <w:rPr>
          <w:rFonts w:ascii="Verdana" w:hAnsi="Verdana" w:cs="Verdana"/>
          <w:sz w:val="20"/>
          <w:szCs w:val="20"/>
        </w:rPr>
        <w:t xml:space="preserve">bancaria, </w:t>
      </w:r>
      <w:r w:rsidR="006C6FA8" w:rsidRPr="00EC534B">
        <w:rPr>
          <w:rFonts w:ascii="Verdana" w:hAnsi="Verdana" w:cs="Verdana"/>
          <w:sz w:val="20"/>
          <w:szCs w:val="20"/>
        </w:rPr>
        <w:t>realizada el</w:t>
      </w:r>
      <w:r w:rsidR="00C4076F" w:rsidRPr="00EC534B">
        <w:rPr>
          <w:rFonts w:ascii="Verdana" w:hAnsi="Verdana" w:cs="Verdana"/>
          <w:sz w:val="20"/>
          <w:szCs w:val="20"/>
        </w:rPr>
        <w:t xml:space="preserve"> 16</w:t>
      </w:r>
      <w:r w:rsidR="006C6FA8" w:rsidRPr="00EC534B">
        <w:rPr>
          <w:rFonts w:ascii="Verdana" w:hAnsi="Verdana" w:cs="Verdana"/>
          <w:sz w:val="20"/>
          <w:szCs w:val="20"/>
        </w:rPr>
        <w:t xml:space="preserve"> de </w:t>
      </w:r>
      <w:r w:rsidR="00C4076F" w:rsidRPr="00EC534B">
        <w:rPr>
          <w:rFonts w:ascii="Verdana" w:hAnsi="Verdana" w:cs="Verdana"/>
          <w:sz w:val="20"/>
          <w:szCs w:val="20"/>
        </w:rPr>
        <w:t>abril</w:t>
      </w:r>
      <w:r w:rsidR="006C6FA8" w:rsidRPr="00EC534B">
        <w:rPr>
          <w:rFonts w:ascii="Verdana" w:hAnsi="Verdana" w:cs="Verdana"/>
          <w:sz w:val="20"/>
          <w:szCs w:val="20"/>
        </w:rPr>
        <w:t xml:space="preserve"> de 2019, </w:t>
      </w:r>
      <w:r w:rsidR="00360CB4" w:rsidRPr="00EC534B">
        <w:rPr>
          <w:rFonts w:ascii="Verdana" w:hAnsi="Verdana" w:cs="Verdana"/>
          <w:sz w:val="20"/>
          <w:szCs w:val="20"/>
        </w:rPr>
        <w:t>Colombia</w:t>
      </w:r>
      <w:r w:rsidR="006C6FA8" w:rsidRPr="00EC534B">
        <w:rPr>
          <w:rFonts w:ascii="Verdana" w:hAnsi="Verdana" w:cs="Verdana"/>
          <w:sz w:val="20"/>
          <w:szCs w:val="20"/>
        </w:rPr>
        <w:t xml:space="preserve"> reintegró al Fondo de Asistencia </w:t>
      </w:r>
      <w:r w:rsidR="006C6FA8" w:rsidRPr="00EC534B">
        <w:rPr>
          <w:rFonts w:ascii="Verdana" w:hAnsi="Verdana"/>
          <w:bCs/>
          <w:sz w:val="20"/>
          <w:szCs w:val="20"/>
        </w:rPr>
        <w:t xml:space="preserve">la cantidad dispuesta en el </w:t>
      </w:r>
      <w:r w:rsidR="001E2629" w:rsidRPr="00EC534B">
        <w:rPr>
          <w:rFonts w:ascii="Verdana" w:hAnsi="Verdana" w:cs="Verdana"/>
          <w:sz w:val="20"/>
          <w:szCs w:val="20"/>
        </w:rPr>
        <w:t>párrafo 230</w:t>
      </w:r>
      <w:r w:rsidR="006C6FA8" w:rsidRPr="00EC534B">
        <w:rPr>
          <w:rFonts w:ascii="Verdana" w:hAnsi="Verdana" w:cs="Verdana"/>
          <w:sz w:val="20"/>
          <w:szCs w:val="20"/>
        </w:rPr>
        <w:t xml:space="preserve"> de la Sentencia</w:t>
      </w:r>
      <w:r w:rsidR="00360CB4" w:rsidRPr="00EC534B">
        <w:rPr>
          <w:rFonts w:ascii="Verdana" w:hAnsi="Verdana" w:cs="Verdana"/>
          <w:sz w:val="20"/>
          <w:szCs w:val="20"/>
        </w:rPr>
        <w:t xml:space="preserve"> (</w:t>
      </w:r>
      <w:r w:rsidR="00360CB4" w:rsidRPr="00EC534B">
        <w:rPr>
          <w:rFonts w:ascii="Verdana" w:hAnsi="Verdana" w:cs="Verdana"/>
          <w:i/>
          <w:sz w:val="20"/>
          <w:szCs w:val="20"/>
        </w:rPr>
        <w:t xml:space="preserve">supra </w:t>
      </w:r>
      <w:r w:rsidR="00360CB4" w:rsidRPr="00EC534B">
        <w:rPr>
          <w:rFonts w:ascii="Verdana" w:hAnsi="Verdana" w:cs="Verdana"/>
          <w:sz w:val="20"/>
          <w:szCs w:val="20"/>
        </w:rPr>
        <w:t xml:space="preserve">Considerando </w:t>
      </w:r>
      <w:r w:rsidR="00DD7CF5">
        <w:rPr>
          <w:rFonts w:ascii="Verdana" w:hAnsi="Verdana" w:cs="Verdana"/>
          <w:sz w:val="20"/>
          <w:szCs w:val="20"/>
        </w:rPr>
        <w:fldChar w:fldCharType="begin"/>
      </w:r>
      <w:r w:rsidR="00DD7CF5">
        <w:rPr>
          <w:rFonts w:ascii="Verdana" w:hAnsi="Verdana" w:cs="Verdana"/>
          <w:sz w:val="20"/>
          <w:szCs w:val="20"/>
        </w:rPr>
        <w:instrText xml:space="preserve"> REF _Ref26176311 \r \h </w:instrText>
      </w:r>
      <w:r w:rsidR="00DD7CF5">
        <w:rPr>
          <w:rFonts w:ascii="Verdana" w:hAnsi="Verdana" w:cs="Verdana"/>
          <w:sz w:val="20"/>
          <w:szCs w:val="20"/>
        </w:rPr>
      </w:r>
      <w:r w:rsidR="00DD7CF5">
        <w:rPr>
          <w:rFonts w:ascii="Verdana" w:hAnsi="Verdana" w:cs="Verdana"/>
          <w:sz w:val="20"/>
          <w:szCs w:val="20"/>
        </w:rPr>
        <w:fldChar w:fldCharType="separate"/>
      </w:r>
      <w:r w:rsidR="006D69D4">
        <w:rPr>
          <w:rFonts w:ascii="Verdana" w:hAnsi="Verdana" w:cs="Verdana"/>
          <w:sz w:val="20"/>
          <w:szCs w:val="20"/>
        </w:rPr>
        <w:t>10</w:t>
      </w:r>
      <w:r w:rsidR="00DD7CF5">
        <w:rPr>
          <w:rFonts w:ascii="Verdana" w:hAnsi="Verdana" w:cs="Verdana"/>
          <w:sz w:val="20"/>
          <w:szCs w:val="20"/>
        </w:rPr>
        <w:fldChar w:fldCharType="end"/>
      </w:r>
      <w:r w:rsidR="00360CB4" w:rsidRPr="00EC534B">
        <w:rPr>
          <w:rFonts w:ascii="Verdana" w:hAnsi="Verdana" w:cs="Verdana"/>
          <w:sz w:val="20"/>
          <w:szCs w:val="20"/>
        </w:rPr>
        <w:t>)</w:t>
      </w:r>
      <w:r w:rsidR="006C6FA8" w:rsidRPr="00EC534B">
        <w:rPr>
          <w:rFonts w:ascii="Verdana" w:hAnsi="Verdana" w:cs="Verdana"/>
          <w:sz w:val="20"/>
          <w:szCs w:val="20"/>
        </w:rPr>
        <w:t>.</w:t>
      </w:r>
      <w:r w:rsidR="001E2629" w:rsidRPr="00EC534B">
        <w:rPr>
          <w:rFonts w:ascii="Verdana" w:hAnsi="Verdana" w:cs="Verdana"/>
          <w:sz w:val="20"/>
          <w:szCs w:val="20"/>
        </w:rPr>
        <w:t xml:space="preserve"> </w:t>
      </w:r>
      <w:r w:rsidR="00360CB4" w:rsidRPr="00EC534B">
        <w:rPr>
          <w:rFonts w:ascii="Verdana" w:hAnsi="Verdana" w:cs="Verdana"/>
          <w:sz w:val="20"/>
          <w:szCs w:val="20"/>
        </w:rPr>
        <w:t>Además, debido a que</w:t>
      </w:r>
      <w:r w:rsidR="00770907" w:rsidRPr="00EC534B">
        <w:rPr>
          <w:rFonts w:ascii="Verdana" w:hAnsi="Verdana" w:cs="Verdana"/>
          <w:sz w:val="20"/>
          <w:szCs w:val="20"/>
        </w:rPr>
        <w:t xml:space="preserve"> </w:t>
      </w:r>
      <w:r w:rsidR="001E2629" w:rsidRPr="00EC534B">
        <w:rPr>
          <w:rFonts w:ascii="Verdana" w:hAnsi="Verdana" w:cs="Verdana"/>
          <w:sz w:val="20"/>
          <w:szCs w:val="20"/>
        </w:rPr>
        <w:t>rea</w:t>
      </w:r>
      <w:r w:rsidR="00832D78" w:rsidRPr="00EC534B">
        <w:rPr>
          <w:rFonts w:ascii="Verdana" w:hAnsi="Verdana" w:cs="Verdana"/>
          <w:sz w:val="20"/>
          <w:szCs w:val="20"/>
        </w:rPr>
        <w:t>lizó dicho pago después del vencimiento de</w:t>
      </w:r>
      <w:r w:rsidR="00360CB4" w:rsidRPr="00EC534B">
        <w:rPr>
          <w:rFonts w:ascii="Verdana" w:hAnsi="Verdana" w:cs="Verdana"/>
          <w:sz w:val="20"/>
          <w:szCs w:val="20"/>
        </w:rPr>
        <w:t>l plazo</w:t>
      </w:r>
      <w:r w:rsidR="00832D78" w:rsidRPr="00EC534B">
        <w:rPr>
          <w:rFonts w:ascii="Verdana" w:hAnsi="Verdana" w:cs="Verdana"/>
          <w:sz w:val="20"/>
          <w:szCs w:val="20"/>
        </w:rPr>
        <w:t xml:space="preserve"> </w:t>
      </w:r>
      <w:r w:rsidR="00360CB4" w:rsidRPr="00EC534B">
        <w:rPr>
          <w:rFonts w:ascii="Verdana" w:hAnsi="Verdana" w:cs="Verdana"/>
          <w:sz w:val="20"/>
          <w:szCs w:val="20"/>
        </w:rPr>
        <w:t>otorgado en la Sentencia (</w:t>
      </w:r>
      <w:r w:rsidR="00360CB4" w:rsidRPr="00EC534B">
        <w:rPr>
          <w:rFonts w:ascii="Verdana" w:hAnsi="Verdana" w:cs="Verdana"/>
          <w:i/>
          <w:sz w:val="20"/>
          <w:szCs w:val="20"/>
        </w:rPr>
        <w:t xml:space="preserve">supra </w:t>
      </w:r>
      <w:r w:rsidR="00360CB4" w:rsidRPr="00EC534B">
        <w:rPr>
          <w:rFonts w:ascii="Verdana" w:hAnsi="Verdana" w:cs="Verdana"/>
          <w:sz w:val="20"/>
          <w:szCs w:val="20"/>
        </w:rPr>
        <w:t xml:space="preserve">Considerando </w:t>
      </w:r>
      <w:r w:rsidR="00DD7CF5">
        <w:rPr>
          <w:rFonts w:ascii="Verdana" w:hAnsi="Verdana" w:cs="Verdana"/>
          <w:sz w:val="20"/>
          <w:szCs w:val="20"/>
        </w:rPr>
        <w:fldChar w:fldCharType="begin"/>
      </w:r>
      <w:r w:rsidR="00DD7CF5">
        <w:rPr>
          <w:rFonts w:ascii="Verdana" w:hAnsi="Verdana" w:cs="Verdana"/>
          <w:sz w:val="20"/>
          <w:szCs w:val="20"/>
        </w:rPr>
        <w:instrText xml:space="preserve"> REF _Ref26176311 \r \h </w:instrText>
      </w:r>
      <w:r w:rsidR="00DD7CF5">
        <w:rPr>
          <w:rFonts w:ascii="Verdana" w:hAnsi="Verdana" w:cs="Verdana"/>
          <w:sz w:val="20"/>
          <w:szCs w:val="20"/>
        </w:rPr>
      </w:r>
      <w:r w:rsidR="00DD7CF5">
        <w:rPr>
          <w:rFonts w:ascii="Verdana" w:hAnsi="Verdana" w:cs="Verdana"/>
          <w:sz w:val="20"/>
          <w:szCs w:val="20"/>
        </w:rPr>
        <w:fldChar w:fldCharType="separate"/>
      </w:r>
      <w:r w:rsidR="006D69D4">
        <w:rPr>
          <w:rFonts w:ascii="Verdana" w:hAnsi="Verdana" w:cs="Verdana"/>
          <w:sz w:val="20"/>
          <w:szCs w:val="20"/>
        </w:rPr>
        <w:t>10</w:t>
      </w:r>
      <w:r w:rsidR="00DD7CF5">
        <w:rPr>
          <w:rFonts w:ascii="Verdana" w:hAnsi="Verdana" w:cs="Verdana"/>
          <w:sz w:val="20"/>
          <w:szCs w:val="20"/>
        </w:rPr>
        <w:fldChar w:fldCharType="end"/>
      </w:r>
      <w:r w:rsidR="00360CB4" w:rsidRPr="00EC534B">
        <w:rPr>
          <w:rFonts w:ascii="Verdana" w:hAnsi="Verdana" w:cs="Verdana"/>
          <w:sz w:val="20"/>
          <w:szCs w:val="20"/>
        </w:rPr>
        <w:t>)</w:t>
      </w:r>
      <w:r w:rsidR="00832D78" w:rsidRPr="00EC534B">
        <w:rPr>
          <w:rFonts w:ascii="Verdana" w:hAnsi="Verdana" w:cs="Verdana"/>
          <w:sz w:val="20"/>
          <w:szCs w:val="20"/>
        </w:rPr>
        <w:t xml:space="preserve">, el Estado </w:t>
      </w:r>
      <w:r w:rsidR="00360CB4" w:rsidRPr="00EC534B">
        <w:rPr>
          <w:rFonts w:ascii="Verdana" w:hAnsi="Verdana" w:cs="Verdana"/>
          <w:sz w:val="20"/>
          <w:szCs w:val="20"/>
        </w:rPr>
        <w:t>pagó</w:t>
      </w:r>
      <w:r w:rsidR="00832D78" w:rsidRPr="00EC534B">
        <w:rPr>
          <w:rFonts w:ascii="Verdana" w:hAnsi="Verdana" w:cs="Verdana"/>
          <w:sz w:val="20"/>
          <w:szCs w:val="20"/>
        </w:rPr>
        <w:t xml:space="preserve"> </w:t>
      </w:r>
      <w:r w:rsidR="00360CB4" w:rsidRPr="00EC534B">
        <w:rPr>
          <w:rFonts w:ascii="Verdana" w:hAnsi="Verdana" w:cs="Verdana"/>
          <w:sz w:val="20"/>
          <w:szCs w:val="20"/>
        </w:rPr>
        <w:t xml:space="preserve">la suma de </w:t>
      </w:r>
      <w:r w:rsidR="00832D78" w:rsidRPr="00EC534B">
        <w:rPr>
          <w:rFonts w:ascii="Verdana" w:hAnsi="Verdana" w:cs="Verdana"/>
          <w:sz w:val="20"/>
          <w:szCs w:val="20"/>
        </w:rPr>
        <w:t xml:space="preserve">$1,432.96 (mil cuatrocientos treinta y dos dólares y noventa y seis centavos de los Estados Unidos de América), </w:t>
      </w:r>
      <w:r w:rsidR="00360CB4" w:rsidRPr="00EC534B">
        <w:rPr>
          <w:rFonts w:ascii="Verdana" w:hAnsi="Verdana" w:cs="Verdana"/>
          <w:sz w:val="20"/>
          <w:szCs w:val="20"/>
        </w:rPr>
        <w:t>por concepto de</w:t>
      </w:r>
      <w:r w:rsidR="00832D78" w:rsidRPr="00EC534B">
        <w:rPr>
          <w:rFonts w:ascii="Verdana" w:hAnsi="Verdana" w:cs="Verdana"/>
          <w:sz w:val="20"/>
          <w:szCs w:val="20"/>
        </w:rPr>
        <w:t xml:space="preserve"> intereses moratorios. </w:t>
      </w:r>
      <w:r w:rsidR="00360CB4" w:rsidRPr="00EC534B">
        <w:rPr>
          <w:rFonts w:ascii="Verdana" w:hAnsi="Verdana" w:cs="Verdana"/>
          <w:sz w:val="20"/>
          <w:szCs w:val="20"/>
        </w:rPr>
        <w:t>En consecuencia, el Tribunal da por cumplido el punto resolutivo décimo primero de la Sentencia concerniente a dicho reintegro.</w:t>
      </w:r>
      <w:bookmarkEnd w:id="14"/>
    </w:p>
    <w:p w14:paraId="087DB7C8" w14:textId="77777777" w:rsidR="006C6FA8" w:rsidRPr="009C747D" w:rsidRDefault="006C6FA8" w:rsidP="00ED0B5F">
      <w:pPr>
        <w:numPr>
          <w:ilvl w:val="0"/>
          <w:numId w:val="7"/>
        </w:numPr>
        <w:spacing w:before="120" w:after="120"/>
        <w:ind w:left="0" w:firstLine="0"/>
        <w:jc w:val="both"/>
        <w:rPr>
          <w:rFonts w:ascii="Verdana" w:hAnsi="Verdana" w:cs="Verdana"/>
          <w:sz w:val="20"/>
          <w:szCs w:val="20"/>
        </w:rPr>
      </w:pPr>
      <w:bookmarkStart w:id="15" w:name="_Ref26189605"/>
      <w:bookmarkEnd w:id="13"/>
      <w:r w:rsidRPr="009C747D">
        <w:rPr>
          <w:rFonts w:ascii="Verdana" w:hAnsi="Verdana"/>
          <w:sz w:val="20"/>
          <w:szCs w:val="20"/>
        </w:rPr>
        <w:t>El Tribunal recuerda que la creación del Fondo de Asistencia Legal del Sistema Interamericano fue aprobada en el 2008 por la Asamblea General de la OEA</w:t>
      </w:r>
      <w:r w:rsidRPr="009C747D">
        <w:rPr>
          <w:rStyle w:val="Refdenotaalpie"/>
          <w:rFonts w:ascii="Verdana" w:hAnsi="Verdana"/>
          <w:sz w:val="20"/>
          <w:szCs w:val="20"/>
        </w:rPr>
        <w:footnoteReference w:id="14"/>
      </w:r>
      <w:r w:rsidRPr="009C747D">
        <w:rPr>
          <w:rFonts w:ascii="Verdana" w:hAnsi="Verdana"/>
          <w:sz w:val="20"/>
          <w:szCs w:val="20"/>
        </w:rPr>
        <w:t>, y se aprobó que tuviera dos cuentas separadas: una para la Comisión Interamericana y otra para la Corte Interamericana</w:t>
      </w:r>
      <w:r w:rsidRPr="009C747D">
        <w:rPr>
          <w:rStyle w:val="Refdenotaalpie"/>
          <w:rFonts w:ascii="Verdana" w:hAnsi="Verdana"/>
          <w:sz w:val="20"/>
          <w:szCs w:val="20"/>
        </w:rPr>
        <w:footnoteReference w:id="15"/>
      </w:r>
      <w:r w:rsidRPr="009C747D">
        <w:rPr>
          <w:rFonts w:ascii="Verdana" w:hAnsi="Verdana"/>
          <w:sz w:val="20"/>
          <w:szCs w:val="20"/>
        </w:rPr>
        <w:t xml:space="preserve">. En lo que respecta al financiamiento del Fondo de Asistencia de la Corte, el Tribunal recuerda que desde su funcionamiento a partir del 2010, este ha dependido de los </w:t>
      </w:r>
      <w:r w:rsidRPr="009C747D">
        <w:rPr>
          <w:rFonts w:ascii="Verdana" w:hAnsi="Verdana" w:cs="Verdana"/>
          <w:sz w:val="20"/>
          <w:szCs w:val="20"/>
        </w:rPr>
        <w:t xml:space="preserve">aportes de capital voluntarios de fuentes </w:t>
      </w:r>
      <w:r w:rsidRPr="009C747D">
        <w:rPr>
          <w:rFonts w:ascii="Verdana" w:hAnsi="Verdana" w:cs="Verdana"/>
          <w:sz w:val="20"/>
          <w:szCs w:val="20"/>
        </w:rPr>
        <w:lastRenderedPageBreak/>
        <w:t>cooperantes y del aporte de un Estado miembro de la OEA</w:t>
      </w:r>
      <w:r w:rsidRPr="009C747D">
        <w:rPr>
          <w:rStyle w:val="Refdenotaalpie"/>
          <w:rFonts w:ascii="Verdana" w:hAnsi="Verdana" w:cs="Verdana"/>
          <w:sz w:val="20"/>
          <w:szCs w:val="20"/>
        </w:rPr>
        <w:footnoteReference w:id="16"/>
      </w:r>
      <w:r w:rsidRPr="009C747D">
        <w:rPr>
          <w:rFonts w:ascii="Verdana" w:hAnsi="Verdana" w:cs="Verdana"/>
          <w:sz w:val="20"/>
          <w:szCs w:val="20"/>
        </w:rPr>
        <w:t xml:space="preserve">, así como de los reintegros que realicen los Estados responsables, razón por la cual los recursos </w:t>
      </w:r>
      <w:r w:rsidRPr="009C747D">
        <w:rPr>
          <w:rFonts w:ascii="Verdana" w:hAnsi="Verdana" w:cs="Verdana"/>
          <w:bCs/>
          <w:sz w:val="20"/>
          <w:szCs w:val="20"/>
        </w:rPr>
        <w:t xml:space="preserve">disponibles en el mismo son limitados. Es por ello que el </w:t>
      </w:r>
      <w:r w:rsidRPr="009C747D">
        <w:rPr>
          <w:rFonts w:ascii="Verdana" w:hAnsi="Verdana"/>
          <w:sz w:val="20"/>
          <w:szCs w:val="20"/>
        </w:rPr>
        <w:t>Tribunal</w:t>
      </w:r>
      <w:r w:rsidRPr="009C747D">
        <w:rPr>
          <w:rFonts w:ascii="Verdana" w:hAnsi="Verdana" w:cs="Verdana"/>
          <w:bCs/>
          <w:sz w:val="20"/>
          <w:szCs w:val="20"/>
        </w:rPr>
        <w:t xml:space="preserve"> </w:t>
      </w:r>
      <w:r w:rsidRPr="009C747D">
        <w:rPr>
          <w:rFonts w:ascii="Verdana" w:hAnsi="Verdana"/>
          <w:sz w:val="20"/>
          <w:szCs w:val="20"/>
        </w:rPr>
        <w:t>resalta la voluntad de cumplimiento de sus obligaciones internacionales demostrada por el Estado</w:t>
      </w:r>
      <w:r w:rsidR="00360CB4">
        <w:rPr>
          <w:rFonts w:ascii="Verdana" w:hAnsi="Verdana"/>
          <w:sz w:val="20"/>
          <w:szCs w:val="20"/>
        </w:rPr>
        <w:t xml:space="preserve"> de</w:t>
      </w:r>
      <w:r w:rsidRPr="009C747D">
        <w:rPr>
          <w:rFonts w:ascii="Verdana" w:hAnsi="Verdana"/>
          <w:sz w:val="20"/>
          <w:szCs w:val="20"/>
        </w:rPr>
        <w:t xml:space="preserve"> </w:t>
      </w:r>
      <w:r w:rsidR="009C747D" w:rsidRPr="009C747D">
        <w:rPr>
          <w:rFonts w:ascii="Verdana" w:hAnsi="Verdana"/>
          <w:sz w:val="20"/>
          <w:szCs w:val="20"/>
        </w:rPr>
        <w:t>Colombia</w:t>
      </w:r>
      <w:r w:rsidRPr="009C747D">
        <w:rPr>
          <w:rFonts w:ascii="Verdana" w:hAnsi="Verdana"/>
          <w:sz w:val="20"/>
          <w:szCs w:val="20"/>
        </w:rPr>
        <w:t xml:space="preserve"> al reintegrar los recursos al referido Fondo de Asistencia. El reintegro realizado por </w:t>
      </w:r>
      <w:r w:rsidR="009C747D" w:rsidRPr="009C747D">
        <w:rPr>
          <w:rFonts w:ascii="Verdana" w:hAnsi="Verdana"/>
          <w:sz w:val="20"/>
          <w:szCs w:val="20"/>
        </w:rPr>
        <w:t>Colombia</w:t>
      </w:r>
      <w:r w:rsidRPr="009C747D">
        <w:rPr>
          <w:rFonts w:ascii="Verdana" w:hAnsi="Verdana"/>
          <w:sz w:val="20"/>
          <w:szCs w:val="20"/>
        </w:rPr>
        <w:t xml:space="preserve"> contribuirá a la sostenibilidad de dicho Fondo, el cual está dirigido a brindar asistencia económica a las presuntas víctimas que carecen de recursos económicos suficientes para sufragar los gastos del litigio ante la Corte Interamericana, garantizando su acceso a la justicia en términos igualitarios.</w:t>
      </w:r>
      <w:bookmarkEnd w:id="15"/>
    </w:p>
    <w:p w14:paraId="5A0035BE" w14:textId="77777777" w:rsidR="007E70F3" w:rsidRDefault="007E70F3" w:rsidP="00ED0B5F">
      <w:pPr>
        <w:spacing w:before="120" w:after="120"/>
        <w:ind w:right="366"/>
        <w:jc w:val="both"/>
        <w:rPr>
          <w:rFonts w:ascii="Verdana" w:hAnsi="Verdana"/>
          <w:b/>
          <w:sz w:val="4"/>
          <w:szCs w:val="4"/>
        </w:rPr>
      </w:pPr>
    </w:p>
    <w:p w14:paraId="551A9BCE" w14:textId="77777777" w:rsidR="00C44D3E" w:rsidRDefault="00C44D3E" w:rsidP="00ED0B5F">
      <w:pPr>
        <w:spacing w:before="120" w:after="120"/>
        <w:ind w:right="366"/>
        <w:jc w:val="both"/>
        <w:rPr>
          <w:rFonts w:ascii="Verdana" w:hAnsi="Verdana"/>
          <w:b/>
          <w:sz w:val="4"/>
          <w:szCs w:val="4"/>
        </w:rPr>
      </w:pPr>
    </w:p>
    <w:p w14:paraId="78D8093F" w14:textId="77777777" w:rsidR="00E55D97" w:rsidRPr="00ED0B5F" w:rsidRDefault="00E55D97" w:rsidP="00ED0B5F">
      <w:pPr>
        <w:spacing w:before="120" w:after="120"/>
        <w:ind w:right="366"/>
        <w:jc w:val="both"/>
        <w:rPr>
          <w:rFonts w:ascii="Verdana" w:hAnsi="Verdana"/>
          <w:b/>
          <w:sz w:val="4"/>
          <w:szCs w:val="4"/>
        </w:rPr>
      </w:pPr>
    </w:p>
    <w:p w14:paraId="12E7A6CF" w14:textId="77777777" w:rsidR="006C6FA8" w:rsidRPr="009C747D" w:rsidRDefault="006C6FA8" w:rsidP="00ED0B5F">
      <w:pPr>
        <w:spacing w:before="120" w:after="120"/>
        <w:ind w:right="366"/>
        <w:jc w:val="both"/>
        <w:rPr>
          <w:rFonts w:ascii="Verdana" w:hAnsi="Verdana"/>
          <w:b/>
          <w:sz w:val="20"/>
          <w:szCs w:val="20"/>
        </w:rPr>
      </w:pPr>
      <w:r w:rsidRPr="009C747D">
        <w:rPr>
          <w:rFonts w:ascii="Verdana" w:hAnsi="Verdana"/>
          <w:b/>
          <w:sz w:val="20"/>
          <w:szCs w:val="20"/>
        </w:rPr>
        <w:t>POR TANTO:</w:t>
      </w:r>
    </w:p>
    <w:p w14:paraId="5BF6FC7C" w14:textId="77777777" w:rsidR="006C6FA8" w:rsidRPr="009C747D" w:rsidRDefault="006C6FA8" w:rsidP="00ED0B5F">
      <w:pPr>
        <w:spacing w:before="120" w:after="120"/>
        <w:ind w:right="366"/>
        <w:jc w:val="both"/>
        <w:rPr>
          <w:rFonts w:ascii="Verdana" w:hAnsi="Verdana"/>
          <w:sz w:val="20"/>
          <w:szCs w:val="20"/>
        </w:rPr>
      </w:pPr>
      <w:r w:rsidRPr="009C747D">
        <w:rPr>
          <w:rFonts w:ascii="Verdana" w:hAnsi="Verdana"/>
          <w:b/>
          <w:sz w:val="20"/>
          <w:szCs w:val="20"/>
        </w:rPr>
        <w:t>LA CORTE INTERAMERICANA DE DERECHOS HUMANOS,</w:t>
      </w:r>
    </w:p>
    <w:p w14:paraId="2D40FE1C" w14:textId="77777777" w:rsidR="006C6FA8" w:rsidRPr="009C747D" w:rsidRDefault="006973F1" w:rsidP="00ED0B5F">
      <w:pPr>
        <w:spacing w:before="120" w:after="120"/>
        <w:jc w:val="both"/>
        <w:rPr>
          <w:rFonts w:ascii="Verdana" w:hAnsi="Verdana" w:cs="Verdana"/>
          <w:sz w:val="20"/>
        </w:rPr>
      </w:pPr>
      <w:r>
        <w:rPr>
          <w:rFonts w:ascii="Verdana" w:hAnsi="Verdana"/>
          <w:sz w:val="20"/>
        </w:rPr>
        <w:t xml:space="preserve">en el ejercicio de sus atribuciones de supervisión del cumplimiento de sus decisiones, </w:t>
      </w:r>
      <w:r w:rsidR="006C6FA8" w:rsidRPr="009C747D">
        <w:rPr>
          <w:rFonts w:ascii="Verdana" w:hAnsi="Verdana"/>
          <w:sz w:val="20"/>
        </w:rPr>
        <w:t xml:space="preserve">de conformidad con los artículos </w:t>
      </w:r>
      <w:r>
        <w:rPr>
          <w:rFonts w:ascii="Verdana" w:hAnsi="Verdana"/>
          <w:sz w:val="20"/>
        </w:rPr>
        <w:t xml:space="preserve">33, 62.1, 62.3, 65, </w:t>
      </w:r>
      <w:r w:rsidR="006C6FA8" w:rsidRPr="009C747D">
        <w:rPr>
          <w:rFonts w:ascii="Verdana" w:hAnsi="Verdana"/>
          <w:sz w:val="20"/>
        </w:rPr>
        <w:t>67 y 68</w:t>
      </w:r>
      <w:r>
        <w:rPr>
          <w:rFonts w:ascii="Verdana" w:hAnsi="Verdana"/>
          <w:sz w:val="20"/>
        </w:rPr>
        <w:t>.1</w:t>
      </w:r>
      <w:r w:rsidR="006C6FA8" w:rsidRPr="009C747D">
        <w:rPr>
          <w:rFonts w:ascii="Verdana" w:hAnsi="Verdana"/>
          <w:sz w:val="20"/>
        </w:rPr>
        <w:t xml:space="preserve"> de la Convención Americana</w:t>
      </w:r>
      <w:r>
        <w:rPr>
          <w:rFonts w:ascii="Verdana" w:hAnsi="Verdana"/>
          <w:sz w:val="20"/>
        </w:rPr>
        <w:t xml:space="preserve"> sobre Derechos Humanos</w:t>
      </w:r>
      <w:r w:rsidR="006C6FA8" w:rsidRPr="009C747D">
        <w:rPr>
          <w:rFonts w:ascii="Verdana" w:hAnsi="Verdana"/>
          <w:sz w:val="20"/>
        </w:rPr>
        <w:t xml:space="preserve">, </w:t>
      </w:r>
      <w:r>
        <w:rPr>
          <w:rFonts w:ascii="Verdana" w:hAnsi="Verdana"/>
          <w:sz w:val="20"/>
        </w:rPr>
        <w:t xml:space="preserve">24, </w:t>
      </w:r>
      <w:r w:rsidR="006C6FA8" w:rsidRPr="009C747D">
        <w:rPr>
          <w:rFonts w:ascii="Verdana" w:hAnsi="Verdana"/>
          <w:sz w:val="20"/>
        </w:rPr>
        <w:t xml:space="preserve">25 y </w:t>
      </w:r>
      <w:r>
        <w:rPr>
          <w:rFonts w:ascii="Verdana" w:hAnsi="Verdana"/>
          <w:sz w:val="20"/>
        </w:rPr>
        <w:t>30</w:t>
      </w:r>
      <w:r w:rsidR="006C6FA8" w:rsidRPr="009C747D">
        <w:rPr>
          <w:rFonts w:ascii="Verdana" w:hAnsi="Verdana"/>
          <w:sz w:val="20"/>
        </w:rPr>
        <w:t xml:space="preserve"> del Estatuto,</w:t>
      </w:r>
      <w:r w:rsidR="00476406">
        <w:rPr>
          <w:rFonts w:ascii="Verdana" w:hAnsi="Verdana"/>
          <w:sz w:val="20"/>
        </w:rPr>
        <w:t xml:space="preserve"> y 31.2 y</w:t>
      </w:r>
      <w:r w:rsidR="006C6FA8" w:rsidRPr="009C747D">
        <w:rPr>
          <w:rFonts w:ascii="Verdana" w:hAnsi="Verdana"/>
          <w:sz w:val="20"/>
        </w:rPr>
        <w:t xml:space="preserve"> 69 de</w:t>
      </w:r>
      <w:r w:rsidR="00476406">
        <w:rPr>
          <w:rFonts w:ascii="Verdana" w:hAnsi="Verdana"/>
          <w:sz w:val="20"/>
        </w:rPr>
        <w:t xml:space="preserve"> su </w:t>
      </w:r>
      <w:r w:rsidR="006C6FA8" w:rsidRPr="009C747D">
        <w:rPr>
          <w:rFonts w:ascii="Verdana" w:hAnsi="Verdana"/>
          <w:sz w:val="20"/>
        </w:rPr>
        <w:t xml:space="preserve">Reglamento, así como con los artículos 1, 4 y 5 del Reglamento del Fondo de Asistencia Legal de Víctimas, </w:t>
      </w:r>
    </w:p>
    <w:p w14:paraId="31614294" w14:textId="77777777" w:rsidR="008F7281" w:rsidRPr="00ED0B5F" w:rsidRDefault="008F7281" w:rsidP="00ED0B5F">
      <w:pPr>
        <w:spacing w:before="120" w:after="120"/>
        <w:ind w:right="366"/>
        <w:jc w:val="both"/>
        <w:rPr>
          <w:rFonts w:ascii="Verdana" w:hAnsi="Verdana"/>
          <w:b/>
          <w:caps/>
          <w:sz w:val="4"/>
          <w:szCs w:val="4"/>
        </w:rPr>
      </w:pPr>
    </w:p>
    <w:p w14:paraId="7B43E966" w14:textId="77777777" w:rsidR="00E55D97" w:rsidRDefault="00E55D97" w:rsidP="00ED0B5F">
      <w:pPr>
        <w:spacing w:before="120" w:after="120"/>
        <w:ind w:right="366"/>
        <w:jc w:val="both"/>
        <w:rPr>
          <w:rFonts w:ascii="Verdana" w:hAnsi="Verdana"/>
          <w:b/>
          <w:caps/>
          <w:sz w:val="20"/>
          <w:szCs w:val="20"/>
        </w:rPr>
      </w:pPr>
    </w:p>
    <w:p w14:paraId="775DF2C0" w14:textId="77777777" w:rsidR="006C6FA8" w:rsidRPr="004A360F" w:rsidRDefault="006C6FA8" w:rsidP="00ED0B5F">
      <w:pPr>
        <w:spacing w:before="120" w:after="120"/>
        <w:ind w:right="366"/>
        <w:jc w:val="both"/>
        <w:rPr>
          <w:rFonts w:ascii="Verdana" w:hAnsi="Verdana"/>
          <w:b/>
          <w:caps/>
          <w:sz w:val="20"/>
          <w:szCs w:val="20"/>
        </w:rPr>
      </w:pPr>
      <w:r w:rsidRPr="004A360F">
        <w:rPr>
          <w:rFonts w:ascii="Verdana" w:hAnsi="Verdana"/>
          <w:b/>
          <w:caps/>
          <w:sz w:val="20"/>
          <w:szCs w:val="20"/>
        </w:rPr>
        <w:t>Resuelve:</w:t>
      </w:r>
    </w:p>
    <w:p w14:paraId="6A36A3F6" w14:textId="48F0DB4F" w:rsidR="008F7281" w:rsidRPr="008F7281" w:rsidRDefault="00FB030C" w:rsidP="00E55D97">
      <w:pPr>
        <w:numPr>
          <w:ilvl w:val="0"/>
          <w:numId w:val="3"/>
        </w:numPr>
        <w:spacing w:before="120" w:after="120"/>
        <w:ind w:left="0" w:firstLine="0"/>
        <w:contextualSpacing/>
        <w:jc w:val="both"/>
        <w:rPr>
          <w:rFonts w:ascii="Verdana" w:hAnsi="Verdana"/>
          <w:sz w:val="20"/>
          <w:szCs w:val="20"/>
        </w:rPr>
      </w:pPr>
      <w:bookmarkStart w:id="16" w:name="_Ref504383433"/>
      <w:r w:rsidRPr="008F7281">
        <w:rPr>
          <w:rFonts w:ascii="Verdana" w:hAnsi="Verdana"/>
          <w:sz w:val="20"/>
          <w:szCs w:val="20"/>
        </w:rPr>
        <w:t xml:space="preserve">Declarar, de conformidad con lo señalado en </w:t>
      </w:r>
      <w:r w:rsidR="00261FDA">
        <w:rPr>
          <w:rFonts w:ascii="Verdana" w:hAnsi="Verdana"/>
          <w:sz w:val="20"/>
          <w:szCs w:val="20"/>
        </w:rPr>
        <w:t>el</w:t>
      </w:r>
      <w:r w:rsidR="00261FDA" w:rsidRPr="008F7281">
        <w:rPr>
          <w:rFonts w:ascii="Verdana" w:hAnsi="Verdana"/>
          <w:sz w:val="20"/>
          <w:szCs w:val="20"/>
        </w:rPr>
        <w:t xml:space="preserve"> </w:t>
      </w:r>
      <w:r w:rsidRPr="008F7281">
        <w:rPr>
          <w:rFonts w:ascii="Verdana" w:hAnsi="Verdana"/>
          <w:sz w:val="20"/>
          <w:szCs w:val="20"/>
        </w:rPr>
        <w:t xml:space="preserve">Considerando </w:t>
      </w:r>
      <w:r w:rsidR="00476406">
        <w:rPr>
          <w:rFonts w:ascii="Verdana" w:hAnsi="Verdana"/>
          <w:sz w:val="20"/>
          <w:szCs w:val="20"/>
        </w:rPr>
        <w:fldChar w:fldCharType="begin"/>
      </w:r>
      <w:r w:rsidR="00476406">
        <w:rPr>
          <w:rFonts w:ascii="Verdana" w:hAnsi="Verdana"/>
          <w:sz w:val="20"/>
          <w:szCs w:val="20"/>
        </w:rPr>
        <w:instrText xml:space="preserve"> REF _Ref26180390 \r \h </w:instrText>
      </w:r>
      <w:r w:rsidR="00476406">
        <w:rPr>
          <w:rFonts w:ascii="Verdana" w:hAnsi="Verdana"/>
          <w:sz w:val="20"/>
          <w:szCs w:val="20"/>
        </w:rPr>
      </w:r>
      <w:r w:rsidR="00476406">
        <w:rPr>
          <w:rFonts w:ascii="Verdana" w:hAnsi="Verdana"/>
          <w:sz w:val="20"/>
          <w:szCs w:val="20"/>
        </w:rPr>
        <w:fldChar w:fldCharType="separate"/>
      </w:r>
      <w:r w:rsidR="006D69D4">
        <w:rPr>
          <w:rFonts w:ascii="Verdana" w:hAnsi="Verdana"/>
          <w:sz w:val="20"/>
          <w:szCs w:val="20"/>
        </w:rPr>
        <w:t>9</w:t>
      </w:r>
      <w:r w:rsidR="00476406">
        <w:rPr>
          <w:rFonts w:ascii="Verdana" w:hAnsi="Verdana"/>
          <w:sz w:val="20"/>
          <w:szCs w:val="20"/>
        </w:rPr>
        <w:fldChar w:fldCharType="end"/>
      </w:r>
      <w:r w:rsidRPr="008F7281">
        <w:rPr>
          <w:rFonts w:ascii="Verdana" w:hAnsi="Verdana"/>
          <w:sz w:val="20"/>
          <w:szCs w:val="20"/>
        </w:rPr>
        <w:t xml:space="preserve"> de la presente Resolución, que el Estado ha dado cumplimiento total a las medidas de reparación </w:t>
      </w:r>
      <w:r w:rsidR="00261FDA">
        <w:rPr>
          <w:rFonts w:ascii="Verdana" w:hAnsi="Verdana"/>
          <w:sz w:val="20"/>
          <w:szCs w:val="20"/>
        </w:rPr>
        <w:t xml:space="preserve">ordenadas en el punto dispositivo décimo de la Sentencia, </w:t>
      </w:r>
      <w:r w:rsidRPr="008F7281">
        <w:rPr>
          <w:rFonts w:ascii="Verdana" w:hAnsi="Verdana"/>
          <w:sz w:val="20"/>
          <w:szCs w:val="20"/>
        </w:rPr>
        <w:t>relativas a</w:t>
      </w:r>
      <w:r w:rsidR="008F7281" w:rsidRPr="008F7281">
        <w:rPr>
          <w:rFonts w:ascii="Verdana" w:hAnsi="Verdana"/>
          <w:sz w:val="20"/>
          <w:szCs w:val="20"/>
        </w:rPr>
        <w:t>:</w:t>
      </w:r>
    </w:p>
    <w:p w14:paraId="4D3D0A14" w14:textId="77777777" w:rsidR="008F7281" w:rsidRPr="008F7281" w:rsidRDefault="008F7281" w:rsidP="00E55D97">
      <w:pPr>
        <w:pStyle w:val="Prrafodelista"/>
        <w:numPr>
          <w:ilvl w:val="0"/>
          <w:numId w:val="8"/>
        </w:numPr>
        <w:spacing w:before="120" w:after="120"/>
        <w:jc w:val="both"/>
        <w:rPr>
          <w:rFonts w:ascii="Verdana" w:hAnsi="Verdana"/>
          <w:sz w:val="20"/>
          <w:szCs w:val="20"/>
        </w:rPr>
      </w:pPr>
      <w:r>
        <w:rPr>
          <w:rFonts w:ascii="Verdana" w:hAnsi="Verdana"/>
          <w:sz w:val="20"/>
          <w:szCs w:val="20"/>
        </w:rPr>
        <w:t>p</w:t>
      </w:r>
      <w:r w:rsidRPr="008F7281">
        <w:rPr>
          <w:rFonts w:ascii="Verdana" w:hAnsi="Verdana"/>
          <w:sz w:val="20"/>
          <w:szCs w:val="20"/>
        </w:rPr>
        <w:t xml:space="preserve">agar las cantidades fijadas </w:t>
      </w:r>
      <w:r w:rsidR="00261FDA">
        <w:rPr>
          <w:rFonts w:ascii="Verdana" w:hAnsi="Verdana"/>
          <w:sz w:val="20"/>
          <w:szCs w:val="20"/>
        </w:rPr>
        <w:t xml:space="preserve">en la Sentencia </w:t>
      </w:r>
      <w:r w:rsidRPr="008F7281">
        <w:rPr>
          <w:rFonts w:ascii="Verdana" w:hAnsi="Verdana"/>
          <w:sz w:val="20"/>
          <w:szCs w:val="20"/>
        </w:rPr>
        <w:t>por concepto de indemnización de daño inmaterial</w:t>
      </w:r>
      <w:r w:rsidR="00476406">
        <w:rPr>
          <w:rFonts w:ascii="Verdana" w:hAnsi="Verdana"/>
          <w:sz w:val="20"/>
          <w:szCs w:val="20"/>
        </w:rPr>
        <w:t>, y</w:t>
      </w:r>
      <w:r w:rsidRPr="008F7281">
        <w:rPr>
          <w:rFonts w:ascii="Verdana" w:hAnsi="Verdana"/>
          <w:sz w:val="20"/>
          <w:szCs w:val="20"/>
        </w:rPr>
        <w:t xml:space="preserve"> </w:t>
      </w:r>
    </w:p>
    <w:p w14:paraId="39B888D1" w14:textId="77777777" w:rsidR="008F7281" w:rsidRDefault="008F7281" w:rsidP="00E55D97">
      <w:pPr>
        <w:pStyle w:val="Prrafodelista"/>
        <w:numPr>
          <w:ilvl w:val="0"/>
          <w:numId w:val="8"/>
        </w:numPr>
        <w:spacing w:before="120" w:after="120"/>
        <w:jc w:val="both"/>
        <w:rPr>
          <w:rFonts w:ascii="Verdana" w:hAnsi="Verdana"/>
          <w:sz w:val="20"/>
          <w:szCs w:val="20"/>
        </w:rPr>
      </w:pPr>
      <w:r>
        <w:rPr>
          <w:rFonts w:ascii="Verdana" w:hAnsi="Verdana"/>
          <w:sz w:val="20"/>
          <w:szCs w:val="20"/>
        </w:rPr>
        <w:t>r</w:t>
      </w:r>
      <w:r w:rsidRPr="008F7281">
        <w:rPr>
          <w:rFonts w:ascii="Verdana" w:hAnsi="Verdana"/>
          <w:sz w:val="20"/>
          <w:szCs w:val="20"/>
        </w:rPr>
        <w:t>ealizar el reintegro de costas y gastos.</w:t>
      </w:r>
    </w:p>
    <w:p w14:paraId="776594D0" w14:textId="77777777" w:rsidR="00E55D97" w:rsidRPr="008F7281" w:rsidRDefault="00E55D97" w:rsidP="00E55D97">
      <w:pPr>
        <w:pStyle w:val="Prrafodelista"/>
        <w:spacing w:before="120" w:after="120"/>
        <w:jc w:val="both"/>
        <w:rPr>
          <w:rFonts w:ascii="Verdana" w:hAnsi="Verdana"/>
          <w:sz w:val="20"/>
          <w:szCs w:val="20"/>
        </w:rPr>
      </w:pPr>
    </w:p>
    <w:p w14:paraId="0F0AD611" w14:textId="302F7D21" w:rsidR="00E55D97" w:rsidRDefault="006C6FA8" w:rsidP="00E55D97">
      <w:pPr>
        <w:numPr>
          <w:ilvl w:val="0"/>
          <w:numId w:val="3"/>
        </w:numPr>
        <w:spacing w:before="120" w:after="120"/>
        <w:ind w:left="0" w:firstLine="0"/>
        <w:contextualSpacing/>
        <w:jc w:val="both"/>
        <w:rPr>
          <w:rFonts w:ascii="Verdana" w:hAnsi="Verdana"/>
          <w:sz w:val="20"/>
          <w:szCs w:val="20"/>
        </w:rPr>
      </w:pPr>
      <w:r w:rsidRPr="008F7281">
        <w:rPr>
          <w:rFonts w:ascii="Verdana" w:hAnsi="Verdana"/>
          <w:sz w:val="20"/>
        </w:rPr>
        <w:t>Declarar</w:t>
      </w:r>
      <w:r w:rsidR="008F7281">
        <w:rPr>
          <w:rFonts w:ascii="Verdana" w:hAnsi="Verdana"/>
          <w:sz w:val="20"/>
        </w:rPr>
        <w:t xml:space="preserve">, de conformidad con lo señalado en los Considerandos </w:t>
      </w:r>
      <w:r w:rsidR="00476406">
        <w:rPr>
          <w:rFonts w:ascii="Verdana" w:hAnsi="Verdana"/>
          <w:sz w:val="20"/>
        </w:rPr>
        <w:fldChar w:fldCharType="begin"/>
      </w:r>
      <w:r w:rsidR="00476406">
        <w:rPr>
          <w:rFonts w:ascii="Verdana" w:hAnsi="Verdana"/>
          <w:sz w:val="20"/>
        </w:rPr>
        <w:instrText xml:space="preserve"> REF _Ref26176311 \r \h </w:instrText>
      </w:r>
      <w:r w:rsidR="00476406">
        <w:rPr>
          <w:rFonts w:ascii="Verdana" w:hAnsi="Verdana"/>
          <w:sz w:val="20"/>
        </w:rPr>
      </w:r>
      <w:r w:rsidR="00476406">
        <w:rPr>
          <w:rFonts w:ascii="Verdana" w:hAnsi="Verdana"/>
          <w:sz w:val="20"/>
        </w:rPr>
        <w:fldChar w:fldCharType="separate"/>
      </w:r>
      <w:r w:rsidR="006D69D4">
        <w:rPr>
          <w:rFonts w:ascii="Verdana" w:hAnsi="Verdana"/>
          <w:sz w:val="20"/>
        </w:rPr>
        <w:t>10</w:t>
      </w:r>
      <w:r w:rsidR="00476406">
        <w:rPr>
          <w:rFonts w:ascii="Verdana" w:hAnsi="Verdana"/>
          <w:sz w:val="20"/>
        </w:rPr>
        <w:fldChar w:fldCharType="end"/>
      </w:r>
      <w:r w:rsidR="00476406">
        <w:rPr>
          <w:rFonts w:ascii="Verdana" w:hAnsi="Verdana"/>
          <w:sz w:val="20"/>
        </w:rPr>
        <w:t xml:space="preserve"> </w:t>
      </w:r>
      <w:r w:rsidR="008F7281">
        <w:rPr>
          <w:rFonts w:ascii="Verdana" w:hAnsi="Verdana"/>
          <w:sz w:val="20"/>
        </w:rPr>
        <w:t xml:space="preserve">a </w:t>
      </w:r>
      <w:r w:rsidR="00476406">
        <w:rPr>
          <w:rFonts w:ascii="Verdana" w:hAnsi="Verdana"/>
          <w:sz w:val="20"/>
        </w:rPr>
        <w:fldChar w:fldCharType="begin"/>
      </w:r>
      <w:r w:rsidR="00476406">
        <w:rPr>
          <w:rFonts w:ascii="Verdana" w:hAnsi="Verdana"/>
          <w:sz w:val="20"/>
        </w:rPr>
        <w:instrText xml:space="preserve"> REF _Ref26189605 \r \h </w:instrText>
      </w:r>
      <w:r w:rsidR="00476406">
        <w:rPr>
          <w:rFonts w:ascii="Verdana" w:hAnsi="Verdana"/>
          <w:sz w:val="20"/>
        </w:rPr>
      </w:r>
      <w:r w:rsidR="00476406">
        <w:rPr>
          <w:rFonts w:ascii="Verdana" w:hAnsi="Verdana"/>
          <w:sz w:val="20"/>
        </w:rPr>
        <w:fldChar w:fldCharType="separate"/>
      </w:r>
      <w:r w:rsidR="006D69D4">
        <w:rPr>
          <w:rFonts w:ascii="Verdana" w:hAnsi="Verdana"/>
          <w:sz w:val="20"/>
        </w:rPr>
        <w:t>12</w:t>
      </w:r>
      <w:r w:rsidR="00476406">
        <w:rPr>
          <w:rFonts w:ascii="Verdana" w:hAnsi="Verdana"/>
          <w:sz w:val="20"/>
        </w:rPr>
        <w:fldChar w:fldCharType="end"/>
      </w:r>
      <w:r w:rsidR="00476406">
        <w:rPr>
          <w:rFonts w:ascii="Verdana" w:hAnsi="Verdana"/>
          <w:sz w:val="20"/>
        </w:rPr>
        <w:t xml:space="preserve"> </w:t>
      </w:r>
      <w:r w:rsidR="008F7281">
        <w:rPr>
          <w:rFonts w:ascii="Verdana" w:hAnsi="Verdana"/>
          <w:sz w:val="20"/>
        </w:rPr>
        <w:t>de la presente Resolución,</w:t>
      </w:r>
      <w:r w:rsidRPr="008F7281">
        <w:rPr>
          <w:rFonts w:ascii="Verdana" w:hAnsi="Verdana"/>
          <w:sz w:val="20"/>
        </w:rPr>
        <w:t xml:space="preserve"> que </w:t>
      </w:r>
      <w:r w:rsidR="00A05EF8" w:rsidRPr="008F7281">
        <w:rPr>
          <w:rFonts w:ascii="Verdana" w:hAnsi="Verdana"/>
          <w:sz w:val="20"/>
        </w:rPr>
        <w:t>el Estado ha</w:t>
      </w:r>
      <w:r w:rsidRPr="008F7281">
        <w:rPr>
          <w:rFonts w:ascii="Verdana" w:hAnsi="Verdana" w:cs="Verdana"/>
          <w:sz w:val="20"/>
          <w:szCs w:val="20"/>
        </w:rPr>
        <w:t xml:space="preserve"> cumplido con reintegrar al Fondo de Asistencia </w:t>
      </w:r>
      <w:r w:rsidRPr="008F7281">
        <w:rPr>
          <w:rFonts w:ascii="Verdana" w:hAnsi="Verdana"/>
          <w:sz w:val="20"/>
          <w:szCs w:val="20"/>
        </w:rPr>
        <w:t>Legal</w:t>
      </w:r>
      <w:r w:rsidRPr="008F7281">
        <w:rPr>
          <w:rFonts w:ascii="Verdana" w:hAnsi="Verdana" w:cs="Verdana"/>
          <w:sz w:val="20"/>
          <w:szCs w:val="20"/>
        </w:rPr>
        <w:t xml:space="preserve"> de Víctimas de la Corte Interamericana de Derechos Humanos la cantidad dispuesta en </w:t>
      </w:r>
      <w:r w:rsidR="004A360F" w:rsidRPr="008F7281">
        <w:rPr>
          <w:rFonts w:ascii="Verdana" w:hAnsi="Verdana"/>
          <w:sz w:val="20"/>
          <w:szCs w:val="20"/>
        </w:rPr>
        <w:t xml:space="preserve">el </w:t>
      </w:r>
      <w:r w:rsidR="00360CB4" w:rsidRPr="008F7281">
        <w:rPr>
          <w:rFonts w:ascii="Verdana" w:hAnsi="Verdana"/>
          <w:sz w:val="20"/>
          <w:szCs w:val="20"/>
        </w:rPr>
        <w:t xml:space="preserve">punto dispositivo décimo primero y el </w:t>
      </w:r>
      <w:r w:rsidR="004A360F" w:rsidRPr="008F7281">
        <w:rPr>
          <w:rFonts w:ascii="Verdana" w:hAnsi="Verdana"/>
          <w:sz w:val="20"/>
          <w:szCs w:val="20"/>
        </w:rPr>
        <w:t>párrafo</w:t>
      </w:r>
      <w:r w:rsidRPr="008F7281">
        <w:rPr>
          <w:rFonts w:ascii="Verdana" w:hAnsi="Verdana"/>
          <w:sz w:val="20"/>
          <w:szCs w:val="20"/>
        </w:rPr>
        <w:t xml:space="preserve"> </w:t>
      </w:r>
      <w:r w:rsidR="004A360F" w:rsidRPr="008F7281">
        <w:rPr>
          <w:rFonts w:ascii="Verdana" w:hAnsi="Verdana"/>
          <w:sz w:val="20"/>
          <w:szCs w:val="20"/>
        </w:rPr>
        <w:t>230</w:t>
      </w:r>
      <w:r w:rsidRPr="008F7281">
        <w:rPr>
          <w:rFonts w:ascii="Verdana" w:hAnsi="Verdana"/>
          <w:sz w:val="20"/>
          <w:szCs w:val="20"/>
        </w:rPr>
        <w:t xml:space="preserve"> de </w:t>
      </w:r>
      <w:r w:rsidR="00360CB4" w:rsidRPr="008F7281">
        <w:rPr>
          <w:rFonts w:ascii="Verdana" w:hAnsi="Verdana"/>
          <w:sz w:val="20"/>
          <w:szCs w:val="20"/>
        </w:rPr>
        <w:t>la Sentencia</w:t>
      </w:r>
      <w:r w:rsidRPr="008F7281">
        <w:rPr>
          <w:rFonts w:ascii="Verdana" w:hAnsi="Verdana"/>
          <w:sz w:val="20"/>
          <w:szCs w:val="20"/>
        </w:rPr>
        <w:t>.</w:t>
      </w:r>
      <w:bookmarkEnd w:id="16"/>
    </w:p>
    <w:p w14:paraId="2DC3103C" w14:textId="77777777" w:rsidR="008F7281" w:rsidRDefault="006C6FA8" w:rsidP="00E55D97">
      <w:pPr>
        <w:spacing w:before="120" w:after="120"/>
        <w:contextualSpacing/>
        <w:jc w:val="both"/>
        <w:rPr>
          <w:rFonts w:ascii="Verdana" w:hAnsi="Verdana"/>
          <w:sz w:val="20"/>
          <w:szCs w:val="20"/>
        </w:rPr>
      </w:pPr>
      <w:r w:rsidRPr="008F7281">
        <w:rPr>
          <w:rFonts w:ascii="Verdana" w:hAnsi="Verdana"/>
          <w:sz w:val="20"/>
          <w:szCs w:val="20"/>
        </w:rPr>
        <w:t xml:space="preserve">  </w:t>
      </w:r>
    </w:p>
    <w:p w14:paraId="2F52A145" w14:textId="77777777" w:rsidR="006C6FA8" w:rsidRDefault="006C6FA8" w:rsidP="00E55D97">
      <w:pPr>
        <w:numPr>
          <w:ilvl w:val="0"/>
          <w:numId w:val="3"/>
        </w:numPr>
        <w:spacing w:before="120" w:after="120"/>
        <w:ind w:left="0" w:firstLine="0"/>
        <w:contextualSpacing/>
        <w:jc w:val="both"/>
        <w:rPr>
          <w:rFonts w:ascii="Verdana" w:hAnsi="Verdana"/>
          <w:sz w:val="20"/>
          <w:szCs w:val="20"/>
        </w:rPr>
      </w:pPr>
      <w:bookmarkStart w:id="17" w:name="_Ref26177756"/>
      <w:r w:rsidRPr="008F7281">
        <w:rPr>
          <w:rFonts w:ascii="Verdana" w:hAnsi="Verdana"/>
          <w:sz w:val="20"/>
          <w:szCs w:val="20"/>
        </w:rPr>
        <w:t>Mantener abierto el procedimiento de supervisión de cumplimiento de la medida</w:t>
      </w:r>
      <w:r w:rsidR="00FB030C" w:rsidRPr="008F7281">
        <w:rPr>
          <w:rFonts w:ascii="Verdana" w:hAnsi="Verdana"/>
          <w:sz w:val="20"/>
          <w:szCs w:val="20"/>
        </w:rPr>
        <w:t xml:space="preserve"> de reparación ordenada</w:t>
      </w:r>
      <w:r w:rsidRPr="008F7281">
        <w:rPr>
          <w:rFonts w:ascii="Verdana" w:hAnsi="Verdana"/>
          <w:sz w:val="20"/>
          <w:szCs w:val="20"/>
        </w:rPr>
        <w:t xml:space="preserve"> en </w:t>
      </w:r>
      <w:r w:rsidR="00FB030C" w:rsidRPr="008F7281">
        <w:rPr>
          <w:rFonts w:ascii="Verdana" w:hAnsi="Verdana"/>
          <w:sz w:val="20"/>
          <w:szCs w:val="20"/>
        </w:rPr>
        <w:t>e</w:t>
      </w:r>
      <w:r w:rsidRPr="008F7281">
        <w:rPr>
          <w:rFonts w:ascii="Verdana" w:hAnsi="Verdana"/>
          <w:sz w:val="20"/>
          <w:szCs w:val="20"/>
        </w:rPr>
        <w:t xml:space="preserve">l punto </w:t>
      </w:r>
      <w:r w:rsidR="008F7281">
        <w:rPr>
          <w:rFonts w:ascii="Verdana" w:hAnsi="Verdana"/>
          <w:sz w:val="20"/>
          <w:szCs w:val="20"/>
        </w:rPr>
        <w:t>dispositivo</w:t>
      </w:r>
      <w:r w:rsidRPr="008F7281">
        <w:rPr>
          <w:rFonts w:ascii="Verdana" w:hAnsi="Verdana"/>
          <w:sz w:val="20"/>
          <w:szCs w:val="20"/>
        </w:rPr>
        <w:t xml:space="preserve"> </w:t>
      </w:r>
      <w:r w:rsidR="004A360F" w:rsidRPr="008F7281">
        <w:rPr>
          <w:rFonts w:ascii="Verdana" w:hAnsi="Verdana"/>
          <w:sz w:val="20"/>
          <w:szCs w:val="20"/>
        </w:rPr>
        <w:t>noveno</w:t>
      </w:r>
      <w:r w:rsidRPr="008F7281">
        <w:rPr>
          <w:rFonts w:ascii="Verdana" w:hAnsi="Verdana"/>
          <w:sz w:val="20"/>
          <w:szCs w:val="20"/>
        </w:rPr>
        <w:t xml:space="preserve"> de la Sentencia, de conformidad con </w:t>
      </w:r>
      <w:r w:rsidR="00770907" w:rsidRPr="008F7281">
        <w:rPr>
          <w:rFonts w:ascii="Verdana" w:hAnsi="Verdana"/>
          <w:sz w:val="20"/>
          <w:szCs w:val="20"/>
        </w:rPr>
        <w:t xml:space="preserve">lo </w:t>
      </w:r>
      <w:r w:rsidR="00926D4A" w:rsidRPr="008F7281">
        <w:rPr>
          <w:rFonts w:ascii="Verdana" w:hAnsi="Verdana"/>
          <w:sz w:val="20"/>
          <w:szCs w:val="20"/>
        </w:rPr>
        <w:t>resuelto en la</w:t>
      </w:r>
      <w:r w:rsidRPr="008F7281">
        <w:rPr>
          <w:rFonts w:ascii="Verdana" w:hAnsi="Verdana"/>
          <w:sz w:val="20"/>
          <w:szCs w:val="20"/>
        </w:rPr>
        <w:t xml:space="preserve"> Resolución</w:t>
      </w:r>
      <w:r w:rsidR="00261FDA">
        <w:rPr>
          <w:rFonts w:ascii="Verdana" w:hAnsi="Verdana"/>
          <w:sz w:val="20"/>
          <w:szCs w:val="20"/>
        </w:rPr>
        <w:t xml:space="preserve"> de supervisión de cumplimiento</w:t>
      </w:r>
      <w:r w:rsidR="00926D4A" w:rsidRPr="008F7281">
        <w:rPr>
          <w:rFonts w:ascii="Verdana" w:hAnsi="Verdana"/>
          <w:sz w:val="20"/>
          <w:szCs w:val="20"/>
        </w:rPr>
        <w:t xml:space="preserve"> emitida el 22 de noviembre de 2018</w:t>
      </w:r>
      <w:r w:rsidR="008F7281">
        <w:rPr>
          <w:rFonts w:ascii="Verdana" w:hAnsi="Verdana"/>
          <w:sz w:val="20"/>
          <w:szCs w:val="20"/>
        </w:rPr>
        <w:t>, en relaci</w:t>
      </w:r>
      <w:r w:rsidR="008F7281" w:rsidRPr="008F7281">
        <w:rPr>
          <w:rFonts w:ascii="Verdana" w:hAnsi="Verdana"/>
          <w:sz w:val="20"/>
          <w:szCs w:val="20"/>
        </w:rPr>
        <w:t xml:space="preserve">ón a que se encuentra pendiente que el Estado cumpla con “pagar los intereses correspondientes, de conformidad con la normativa interna colombiana, </w:t>
      </w:r>
      <w:r w:rsidR="008F7281" w:rsidRPr="000F041A">
        <w:rPr>
          <w:rFonts w:ascii="Verdana" w:hAnsi="Verdana"/>
          <w:sz w:val="20"/>
          <w:szCs w:val="20"/>
        </w:rPr>
        <w:t>respecto de los pagos de la pensión de sobrevivencia que no se percibieron desde que el señor Duque presentó la solicitud de información a COLFONDOS en marzo de 2002”.</w:t>
      </w:r>
      <w:bookmarkEnd w:id="17"/>
    </w:p>
    <w:p w14:paraId="100194E2" w14:textId="77777777" w:rsidR="00E55D97" w:rsidRDefault="00E55D97" w:rsidP="00E55D97">
      <w:pPr>
        <w:spacing w:before="120" w:after="120"/>
        <w:contextualSpacing/>
        <w:jc w:val="both"/>
        <w:rPr>
          <w:rFonts w:ascii="Verdana" w:hAnsi="Verdana"/>
          <w:sz w:val="20"/>
          <w:szCs w:val="20"/>
        </w:rPr>
      </w:pPr>
    </w:p>
    <w:p w14:paraId="27B95A26" w14:textId="77777777" w:rsidR="008F7281" w:rsidRDefault="008F7281" w:rsidP="00E55D97">
      <w:pPr>
        <w:numPr>
          <w:ilvl w:val="0"/>
          <w:numId w:val="3"/>
        </w:numPr>
        <w:spacing w:before="120" w:after="120"/>
        <w:ind w:left="0" w:firstLine="0"/>
        <w:contextualSpacing/>
        <w:jc w:val="both"/>
        <w:rPr>
          <w:rFonts w:ascii="Verdana" w:hAnsi="Verdana"/>
          <w:sz w:val="20"/>
          <w:szCs w:val="20"/>
        </w:rPr>
      </w:pPr>
      <w:r w:rsidRPr="000F041A">
        <w:rPr>
          <w:rFonts w:ascii="Verdana" w:hAnsi="Verdana"/>
          <w:sz w:val="20"/>
          <w:szCs w:val="20"/>
        </w:rPr>
        <w:t>Disponer que el Estado adopte, en definitiva y a la mayor brevedad, las medidas que sean necesarias para dar efectivo y pronto cumplimiento al único punto pendiente de la Sentencia de excepciones preliminares, fondo, reparaciones y costas emitida en el presente caso, de acuerdo con lo estipulado en el artículo 68.1 de la Convención Americana sobre Derechos Humanos.</w:t>
      </w:r>
    </w:p>
    <w:p w14:paraId="0CC4388D" w14:textId="77777777" w:rsidR="00E55D97" w:rsidRDefault="00E55D97" w:rsidP="00E55D97">
      <w:pPr>
        <w:pStyle w:val="Prrafodelista"/>
        <w:rPr>
          <w:rFonts w:ascii="Verdana" w:hAnsi="Verdana"/>
          <w:sz w:val="20"/>
          <w:szCs w:val="20"/>
        </w:rPr>
      </w:pPr>
    </w:p>
    <w:p w14:paraId="5EBA3D68" w14:textId="77777777" w:rsidR="008F7281" w:rsidRDefault="008F7281" w:rsidP="00E55D97">
      <w:pPr>
        <w:numPr>
          <w:ilvl w:val="0"/>
          <w:numId w:val="3"/>
        </w:numPr>
        <w:spacing w:before="120" w:after="120"/>
        <w:ind w:left="0" w:firstLine="0"/>
        <w:contextualSpacing/>
        <w:jc w:val="both"/>
        <w:rPr>
          <w:rFonts w:ascii="Verdana" w:hAnsi="Verdana"/>
          <w:sz w:val="20"/>
          <w:szCs w:val="20"/>
        </w:rPr>
      </w:pPr>
      <w:r w:rsidRPr="000F041A">
        <w:rPr>
          <w:rFonts w:ascii="Verdana" w:hAnsi="Verdana"/>
          <w:sz w:val="20"/>
          <w:szCs w:val="20"/>
        </w:rPr>
        <w:lastRenderedPageBreak/>
        <w:t xml:space="preserve">Disponer que el Estado presente a la Corte Interamericana de Derechos Humanos, a más tardar el </w:t>
      </w:r>
      <w:r w:rsidR="00261FDA">
        <w:rPr>
          <w:rFonts w:ascii="Verdana" w:hAnsi="Verdana"/>
          <w:sz w:val="20"/>
          <w:szCs w:val="20"/>
        </w:rPr>
        <w:t>13</w:t>
      </w:r>
      <w:r w:rsidR="00261FDA" w:rsidRPr="000F041A">
        <w:rPr>
          <w:rFonts w:ascii="Verdana" w:hAnsi="Verdana"/>
          <w:sz w:val="20"/>
          <w:szCs w:val="20"/>
        </w:rPr>
        <w:t xml:space="preserve"> </w:t>
      </w:r>
      <w:r w:rsidRPr="000F041A">
        <w:rPr>
          <w:rFonts w:ascii="Verdana" w:hAnsi="Verdana"/>
          <w:sz w:val="20"/>
          <w:szCs w:val="20"/>
        </w:rPr>
        <w:t xml:space="preserve">de </w:t>
      </w:r>
      <w:r w:rsidR="00261FDA">
        <w:rPr>
          <w:rFonts w:ascii="Verdana" w:hAnsi="Verdana"/>
          <w:sz w:val="20"/>
          <w:szCs w:val="20"/>
        </w:rPr>
        <w:t>marzo</w:t>
      </w:r>
      <w:r w:rsidR="00261FDA" w:rsidRPr="000F041A">
        <w:rPr>
          <w:rFonts w:ascii="Verdana" w:hAnsi="Verdana"/>
          <w:sz w:val="20"/>
          <w:szCs w:val="20"/>
        </w:rPr>
        <w:t xml:space="preserve"> </w:t>
      </w:r>
      <w:r w:rsidRPr="000F041A">
        <w:rPr>
          <w:rFonts w:ascii="Verdana" w:hAnsi="Verdana"/>
          <w:sz w:val="20"/>
          <w:szCs w:val="20"/>
        </w:rPr>
        <w:t xml:space="preserve">de </w:t>
      </w:r>
      <w:r w:rsidR="00261FDA" w:rsidRPr="000F041A">
        <w:rPr>
          <w:rFonts w:ascii="Verdana" w:hAnsi="Verdana"/>
          <w:sz w:val="20"/>
          <w:szCs w:val="20"/>
        </w:rPr>
        <w:t>20</w:t>
      </w:r>
      <w:r w:rsidR="00261FDA">
        <w:rPr>
          <w:rFonts w:ascii="Verdana" w:hAnsi="Verdana"/>
          <w:sz w:val="20"/>
          <w:szCs w:val="20"/>
        </w:rPr>
        <w:t>20</w:t>
      </w:r>
      <w:r w:rsidRPr="000F041A">
        <w:rPr>
          <w:rFonts w:ascii="Verdana" w:hAnsi="Verdana"/>
          <w:sz w:val="20"/>
          <w:szCs w:val="20"/>
        </w:rPr>
        <w:t>, un informe sobre el cumplimiento de la reparación ordenada por esta Corte que se encuentra pendiente de cumplimiento.</w:t>
      </w:r>
    </w:p>
    <w:p w14:paraId="29D2A3DC" w14:textId="77777777" w:rsidR="00E55D97" w:rsidRDefault="00E55D97" w:rsidP="00E55D97">
      <w:pPr>
        <w:spacing w:before="120" w:after="120"/>
        <w:contextualSpacing/>
        <w:jc w:val="both"/>
        <w:rPr>
          <w:rFonts w:ascii="Verdana" w:hAnsi="Verdana"/>
          <w:sz w:val="20"/>
          <w:szCs w:val="20"/>
        </w:rPr>
      </w:pPr>
    </w:p>
    <w:p w14:paraId="10E50A0A" w14:textId="77777777" w:rsidR="000F041A" w:rsidRDefault="000F041A" w:rsidP="00E55D97">
      <w:pPr>
        <w:numPr>
          <w:ilvl w:val="0"/>
          <w:numId w:val="3"/>
        </w:numPr>
        <w:spacing w:before="120" w:after="120"/>
        <w:ind w:left="0" w:firstLine="0"/>
        <w:contextualSpacing/>
        <w:jc w:val="both"/>
        <w:rPr>
          <w:rFonts w:ascii="Verdana" w:hAnsi="Verdana"/>
          <w:sz w:val="20"/>
          <w:szCs w:val="20"/>
        </w:rPr>
      </w:pPr>
      <w:r w:rsidRPr="000F041A">
        <w:rPr>
          <w:rFonts w:ascii="Verdana" w:hAnsi="Verdana"/>
          <w:sz w:val="20"/>
          <w:szCs w:val="20"/>
        </w:rPr>
        <w:t>Disponer que los representantes de la víctima y la Comisión Interamericana de Derechos Humanos presenten observaciones al informe del Estado mencionado en el punto resolutivo anterior, en los plazos de cuatro y seis semanas, respectivamente, contados a partir de la recepción del informe.</w:t>
      </w:r>
    </w:p>
    <w:p w14:paraId="3DBED050" w14:textId="77777777" w:rsidR="00E55D97" w:rsidRDefault="00E55D97" w:rsidP="00E55D97">
      <w:pPr>
        <w:spacing w:before="120" w:after="120"/>
        <w:contextualSpacing/>
        <w:jc w:val="both"/>
        <w:rPr>
          <w:rFonts w:ascii="Verdana" w:hAnsi="Verdana"/>
          <w:sz w:val="20"/>
          <w:szCs w:val="20"/>
        </w:rPr>
      </w:pPr>
    </w:p>
    <w:p w14:paraId="5C4A6D1F" w14:textId="77777777" w:rsidR="00237EB2" w:rsidRDefault="006C6FA8" w:rsidP="00E55D97">
      <w:pPr>
        <w:numPr>
          <w:ilvl w:val="0"/>
          <w:numId w:val="3"/>
        </w:numPr>
        <w:spacing w:before="120" w:after="120"/>
        <w:ind w:left="0" w:firstLine="0"/>
        <w:contextualSpacing/>
        <w:jc w:val="both"/>
        <w:rPr>
          <w:rFonts w:ascii="Verdana" w:hAnsi="Verdana"/>
          <w:sz w:val="20"/>
          <w:szCs w:val="20"/>
        </w:rPr>
      </w:pPr>
      <w:r w:rsidRPr="000F041A">
        <w:rPr>
          <w:rFonts w:ascii="Verdana" w:hAnsi="Verdana"/>
          <w:sz w:val="20"/>
          <w:szCs w:val="20"/>
        </w:rPr>
        <w:t xml:space="preserve">Disponer que la </w:t>
      </w:r>
      <w:r w:rsidRPr="000F041A">
        <w:rPr>
          <w:rFonts w:ascii="Verdana" w:hAnsi="Verdana" w:cs="Verdana"/>
          <w:sz w:val="20"/>
          <w:szCs w:val="20"/>
        </w:rPr>
        <w:t xml:space="preserve">Secretaría de la Corte Interamericana </w:t>
      </w:r>
      <w:r w:rsidRPr="000F041A">
        <w:rPr>
          <w:rFonts w:ascii="Verdana" w:hAnsi="Verdana" w:cs="TTE3F96A70t00"/>
          <w:sz w:val="20"/>
          <w:szCs w:val="20"/>
        </w:rPr>
        <w:t>de Derechos Humanos</w:t>
      </w:r>
      <w:r w:rsidRPr="000F041A">
        <w:rPr>
          <w:rFonts w:ascii="Verdana" w:hAnsi="Verdana" w:cs="Verdana"/>
          <w:sz w:val="20"/>
          <w:szCs w:val="20"/>
        </w:rPr>
        <w:t xml:space="preserve"> notifique la presente Resolución </w:t>
      </w:r>
      <w:r w:rsidR="00926D4A" w:rsidRPr="000F041A">
        <w:rPr>
          <w:rFonts w:ascii="Verdana" w:hAnsi="Verdana" w:cs="Verdana"/>
          <w:sz w:val="20"/>
          <w:szCs w:val="20"/>
        </w:rPr>
        <w:t>al Estado</w:t>
      </w:r>
      <w:r w:rsidRPr="000F041A">
        <w:rPr>
          <w:rFonts w:ascii="Verdana" w:hAnsi="Verdana" w:cs="Verdana"/>
          <w:sz w:val="20"/>
          <w:szCs w:val="20"/>
        </w:rPr>
        <w:t>, a los representantes de la víctima y a la Comisión Interamericana de Derechos Humanos</w:t>
      </w:r>
      <w:r w:rsidRPr="000F041A">
        <w:rPr>
          <w:rFonts w:ascii="Verdana" w:hAnsi="Verdana"/>
          <w:sz w:val="20"/>
          <w:szCs w:val="20"/>
        </w:rPr>
        <w:t>.</w:t>
      </w:r>
    </w:p>
    <w:p w14:paraId="2E4912DB" w14:textId="77777777" w:rsidR="00237EB2" w:rsidRDefault="00237EB2">
      <w:pPr>
        <w:spacing w:after="160" w:line="259" w:lineRule="auto"/>
        <w:rPr>
          <w:rFonts w:ascii="Verdana" w:hAnsi="Verdana"/>
          <w:sz w:val="20"/>
          <w:szCs w:val="20"/>
        </w:rPr>
      </w:pPr>
      <w:r>
        <w:rPr>
          <w:rFonts w:ascii="Verdana" w:hAnsi="Verdana"/>
          <w:sz w:val="20"/>
          <w:szCs w:val="20"/>
        </w:rPr>
        <w:br w:type="page"/>
      </w:r>
    </w:p>
    <w:p w14:paraId="4465382C" w14:textId="77777777" w:rsidR="00237EB2" w:rsidRPr="00237EB2" w:rsidRDefault="00237EB2" w:rsidP="00237EB2">
      <w:pPr>
        <w:keepNext/>
        <w:jc w:val="both"/>
        <w:outlineLvl w:val="0"/>
        <w:rPr>
          <w:rFonts w:ascii="Verdana" w:eastAsia="Times" w:hAnsi="Verdana" w:cs="Verdana"/>
          <w:b/>
          <w:bCs/>
          <w:sz w:val="20"/>
          <w:szCs w:val="20"/>
          <w:lang w:val="es-ES" w:eastAsia="en-US"/>
        </w:rPr>
      </w:pPr>
      <w:r w:rsidRPr="00237EB2">
        <w:rPr>
          <w:rFonts w:ascii="Verdana" w:eastAsia="Times" w:hAnsi="Verdana" w:cs="Courier New"/>
          <w:noProof/>
          <w:sz w:val="20"/>
          <w:szCs w:val="20"/>
          <w:lang w:val="es-AR" w:eastAsia="en-US"/>
        </w:rPr>
        <w:lastRenderedPageBreak/>
        <w:t xml:space="preserve">Corte IDH. </w:t>
      </w:r>
      <w:r w:rsidRPr="00237EB2">
        <w:rPr>
          <w:rFonts w:ascii="Verdana" w:eastAsia="Times" w:hAnsi="Verdana"/>
          <w:bCs/>
          <w:i/>
          <w:sz w:val="20"/>
          <w:szCs w:val="20"/>
          <w:lang w:eastAsia="en-US"/>
        </w:rPr>
        <w:t xml:space="preserve">Caso Duque Vs. Colombia. </w:t>
      </w:r>
      <w:r w:rsidRPr="00237EB2">
        <w:rPr>
          <w:rFonts w:ascii="Verdana" w:eastAsia="Times" w:hAnsi="Verdana" w:cs="Arial"/>
          <w:sz w:val="20"/>
          <w:szCs w:val="20"/>
          <w:lang w:eastAsia="en-US"/>
        </w:rPr>
        <w:t>Supervisión de Cumplimiento de Sentencia y Reintegro al Fondo de Asistencia Legal de Víctimas.</w:t>
      </w:r>
      <w:r w:rsidRPr="00237EB2">
        <w:rPr>
          <w:rFonts w:ascii="Verdana" w:eastAsia="Times" w:hAnsi="Verdana" w:cs="Arial"/>
          <w:i/>
          <w:sz w:val="20"/>
          <w:szCs w:val="20"/>
          <w:lang w:eastAsia="en-US"/>
        </w:rPr>
        <w:t xml:space="preserve"> </w:t>
      </w:r>
      <w:r w:rsidRPr="00237EB2">
        <w:rPr>
          <w:rFonts w:ascii="Verdana" w:eastAsia="Times" w:hAnsi="Verdana"/>
          <w:sz w:val="20"/>
          <w:szCs w:val="20"/>
          <w:lang w:val="es-ES" w:eastAsia="en-US"/>
        </w:rPr>
        <w:t>Resolución de la Corte Interamericana de Derechos Humanos de 22</w:t>
      </w:r>
      <w:r w:rsidRPr="00237EB2">
        <w:rPr>
          <w:rFonts w:ascii="Verdana" w:eastAsia="Times" w:hAnsi="Verdana"/>
          <w:sz w:val="20"/>
          <w:szCs w:val="20"/>
          <w:lang w:eastAsia="en-US"/>
        </w:rPr>
        <w:t xml:space="preserve"> de noviembre de 2019</w:t>
      </w:r>
      <w:r w:rsidRPr="00237EB2">
        <w:rPr>
          <w:rFonts w:ascii="Verdana" w:eastAsia="Times" w:hAnsi="Verdana"/>
          <w:sz w:val="20"/>
          <w:szCs w:val="20"/>
          <w:lang w:val="es-ES" w:eastAsia="en-US"/>
        </w:rPr>
        <w:t xml:space="preserve">. </w:t>
      </w:r>
    </w:p>
    <w:p w14:paraId="7A28B6F0" w14:textId="77777777" w:rsidR="00237EB2" w:rsidRPr="00237EB2" w:rsidRDefault="00237EB2" w:rsidP="00237EB2">
      <w:pPr>
        <w:jc w:val="center"/>
        <w:rPr>
          <w:rFonts w:ascii="Verdana" w:eastAsia="Times" w:hAnsi="Verdana"/>
          <w:sz w:val="20"/>
          <w:szCs w:val="20"/>
          <w:lang w:val="es-ES" w:eastAsia="en-US"/>
        </w:rPr>
      </w:pPr>
    </w:p>
    <w:p w14:paraId="06FF15EB" w14:textId="77777777" w:rsidR="00237EB2" w:rsidRPr="00237EB2" w:rsidRDefault="00237EB2" w:rsidP="00237EB2">
      <w:pPr>
        <w:jc w:val="center"/>
        <w:rPr>
          <w:rFonts w:ascii="Verdana" w:eastAsia="Times" w:hAnsi="Verdana"/>
          <w:sz w:val="20"/>
          <w:szCs w:val="20"/>
          <w:lang w:val="es-ES" w:eastAsia="en-US"/>
        </w:rPr>
      </w:pPr>
    </w:p>
    <w:p w14:paraId="02F88E40" w14:textId="77777777" w:rsidR="00237EB2" w:rsidRPr="00237EB2" w:rsidRDefault="00237EB2" w:rsidP="00237EB2">
      <w:pPr>
        <w:tabs>
          <w:tab w:val="left" w:pos="567"/>
        </w:tabs>
        <w:ind w:right="4"/>
        <w:jc w:val="center"/>
        <w:rPr>
          <w:rFonts w:ascii="Verdana" w:eastAsia="Times" w:hAnsi="Verdana"/>
          <w:b/>
          <w:smallCaps/>
          <w:sz w:val="20"/>
          <w:szCs w:val="20"/>
          <w:lang w:val="es-CO" w:eastAsia="en-US"/>
        </w:rPr>
      </w:pPr>
    </w:p>
    <w:p w14:paraId="1475D15E" w14:textId="77777777" w:rsidR="00237EB2" w:rsidRPr="00237EB2" w:rsidRDefault="00237EB2" w:rsidP="00237EB2">
      <w:pPr>
        <w:rPr>
          <w:rFonts w:ascii="Verdana" w:eastAsia="Times" w:hAnsi="Verdana"/>
          <w:sz w:val="20"/>
          <w:szCs w:val="20"/>
          <w:lang w:val="es-ES" w:eastAsia="en-US"/>
        </w:rPr>
      </w:pPr>
    </w:p>
    <w:p w14:paraId="06EDCBC3" w14:textId="77777777" w:rsidR="00237EB2" w:rsidRPr="00237EB2" w:rsidRDefault="00237EB2" w:rsidP="00237EB2">
      <w:pPr>
        <w:rPr>
          <w:rFonts w:ascii="Verdana" w:eastAsia="Times" w:hAnsi="Verdana"/>
          <w:sz w:val="20"/>
          <w:szCs w:val="20"/>
          <w:lang w:val="es-ES" w:eastAsia="en-US"/>
        </w:rPr>
      </w:pPr>
    </w:p>
    <w:p w14:paraId="6BAE9C54" w14:textId="77777777" w:rsidR="00237EB2" w:rsidRPr="00237EB2" w:rsidRDefault="00237EB2" w:rsidP="00237EB2">
      <w:pPr>
        <w:rPr>
          <w:rFonts w:ascii="Verdana" w:eastAsia="Times" w:hAnsi="Verdana"/>
          <w:sz w:val="20"/>
          <w:szCs w:val="20"/>
          <w:lang w:val="es-ES" w:eastAsia="en-US"/>
        </w:rPr>
      </w:pPr>
    </w:p>
    <w:p w14:paraId="24B02DF7" w14:textId="77777777" w:rsidR="00237EB2" w:rsidRPr="00237EB2" w:rsidRDefault="00237EB2" w:rsidP="00237EB2">
      <w:pPr>
        <w:jc w:val="center"/>
        <w:rPr>
          <w:rFonts w:ascii="Verdana" w:eastAsia="Times" w:hAnsi="Verdana"/>
          <w:sz w:val="20"/>
          <w:szCs w:val="20"/>
          <w:lang w:val="pt-BR" w:eastAsia="en-US"/>
        </w:rPr>
      </w:pPr>
      <w:r w:rsidRPr="00237EB2">
        <w:rPr>
          <w:rFonts w:ascii="Verdana" w:eastAsia="Times" w:hAnsi="Verdana"/>
          <w:sz w:val="20"/>
          <w:szCs w:val="20"/>
          <w:lang w:val="pt-BR" w:eastAsia="en-US"/>
        </w:rPr>
        <w:t xml:space="preserve">Eduardo Vio Grossi </w:t>
      </w:r>
    </w:p>
    <w:p w14:paraId="15E0227E" w14:textId="77777777" w:rsidR="00237EB2" w:rsidRPr="00237EB2" w:rsidRDefault="00237EB2" w:rsidP="00237EB2">
      <w:pPr>
        <w:jc w:val="center"/>
        <w:rPr>
          <w:rFonts w:ascii="Verdana" w:eastAsia="Times" w:hAnsi="Verdana"/>
          <w:sz w:val="20"/>
          <w:szCs w:val="20"/>
          <w:lang w:val="pt-BR" w:eastAsia="en-US"/>
        </w:rPr>
      </w:pPr>
      <w:r w:rsidRPr="00237EB2">
        <w:rPr>
          <w:rFonts w:ascii="Verdana" w:eastAsia="Times" w:hAnsi="Verdana"/>
          <w:sz w:val="20"/>
          <w:szCs w:val="20"/>
          <w:lang w:val="pt-BR" w:eastAsia="en-US"/>
        </w:rPr>
        <w:t>Presidente en ejercicio</w:t>
      </w:r>
    </w:p>
    <w:p w14:paraId="5297F35F" w14:textId="77777777" w:rsidR="00237EB2" w:rsidRPr="00237EB2" w:rsidRDefault="00237EB2" w:rsidP="00237EB2">
      <w:pPr>
        <w:jc w:val="both"/>
        <w:rPr>
          <w:rFonts w:ascii="Verdana" w:eastAsia="Times" w:hAnsi="Verdana"/>
          <w:sz w:val="20"/>
          <w:szCs w:val="20"/>
          <w:lang w:val="pt-BR" w:eastAsia="en-US"/>
        </w:rPr>
      </w:pPr>
    </w:p>
    <w:p w14:paraId="2A6054D0" w14:textId="77777777" w:rsidR="00237EB2" w:rsidRPr="00237EB2" w:rsidRDefault="00237EB2" w:rsidP="00237EB2">
      <w:pPr>
        <w:jc w:val="both"/>
        <w:rPr>
          <w:rFonts w:ascii="Verdana" w:eastAsia="Times" w:hAnsi="Verdana"/>
          <w:sz w:val="20"/>
          <w:szCs w:val="20"/>
          <w:lang w:val="pt-BR" w:eastAsia="en-US"/>
        </w:rPr>
      </w:pPr>
    </w:p>
    <w:p w14:paraId="4CA2661C" w14:textId="77777777" w:rsidR="00237EB2" w:rsidRPr="00237EB2" w:rsidRDefault="00237EB2" w:rsidP="00237EB2">
      <w:pPr>
        <w:jc w:val="both"/>
        <w:rPr>
          <w:rFonts w:ascii="Verdana" w:eastAsia="Times" w:hAnsi="Verdana"/>
          <w:sz w:val="20"/>
          <w:szCs w:val="20"/>
          <w:lang w:val="pt-BR" w:eastAsia="en-US"/>
        </w:rPr>
      </w:pPr>
    </w:p>
    <w:p w14:paraId="0D342301" w14:textId="77777777" w:rsidR="00237EB2" w:rsidRPr="00237EB2" w:rsidRDefault="00237EB2" w:rsidP="00237EB2">
      <w:pPr>
        <w:jc w:val="both"/>
        <w:rPr>
          <w:rFonts w:ascii="Verdana" w:eastAsia="Times" w:hAnsi="Verdana"/>
          <w:sz w:val="20"/>
          <w:szCs w:val="20"/>
          <w:lang w:val="pt-BR" w:eastAsia="en-US"/>
        </w:rPr>
      </w:pPr>
    </w:p>
    <w:p w14:paraId="242FA73F" w14:textId="77777777" w:rsidR="00237EB2" w:rsidRPr="00237EB2" w:rsidRDefault="00237EB2" w:rsidP="00237EB2">
      <w:pPr>
        <w:jc w:val="both"/>
        <w:rPr>
          <w:rFonts w:ascii="Verdana" w:eastAsia="Times" w:hAnsi="Verdana"/>
          <w:sz w:val="20"/>
          <w:szCs w:val="20"/>
          <w:lang w:val="pt-BR" w:eastAsia="en-US"/>
        </w:rPr>
      </w:pPr>
    </w:p>
    <w:p w14:paraId="532FD31C" w14:textId="77777777" w:rsidR="00237EB2" w:rsidRPr="00237EB2" w:rsidRDefault="00237EB2" w:rsidP="00237EB2">
      <w:pPr>
        <w:rPr>
          <w:rFonts w:ascii="Verdana" w:eastAsia="Times" w:hAnsi="Verdana"/>
          <w:sz w:val="20"/>
          <w:szCs w:val="20"/>
          <w:lang w:val="pt-BR" w:eastAsia="en-US"/>
        </w:rPr>
      </w:pPr>
      <w:r w:rsidRPr="00237EB2">
        <w:rPr>
          <w:rFonts w:ascii="Verdana" w:eastAsia="Times" w:hAnsi="Verdana"/>
          <w:sz w:val="20"/>
          <w:szCs w:val="20"/>
          <w:lang w:val="pt-BR" w:eastAsia="en-US"/>
        </w:rPr>
        <w:t>Elizabeth Odio Benito</w:t>
      </w:r>
      <w:r>
        <w:rPr>
          <w:rFonts w:ascii="Verdana" w:eastAsia="Times" w:hAnsi="Verdana"/>
          <w:sz w:val="20"/>
          <w:szCs w:val="20"/>
          <w:lang w:val="pt-BR" w:eastAsia="en-US"/>
        </w:rPr>
        <w:tab/>
      </w:r>
      <w:r>
        <w:rPr>
          <w:rFonts w:ascii="Verdana" w:eastAsia="Times" w:hAnsi="Verdana"/>
          <w:sz w:val="20"/>
          <w:szCs w:val="20"/>
          <w:lang w:val="pt-BR" w:eastAsia="en-US"/>
        </w:rPr>
        <w:tab/>
      </w:r>
      <w:r>
        <w:rPr>
          <w:rFonts w:ascii="Verdana" w:eastAsia="Times" w:hAnsi="Verdana"/>
          <w:sz w:val="20"/>
          <w:szCs w:val="20"/>
          <w:lang w:val="pt-BR" w:eastAsia="en-US"/>
        </w:rPr>
        <w:tab/>
      </w:r>
      <w:r>
        <w:rPr>
          <w:rFonts w:ascii="Verdana" w:eastAsia="Times" w:hAnsi="Verdana"/>
          <w:sz w:val="20"/>
          <w:szCs w:val="20"/>
          <w:lang w:val="pt-BR" w:eastAsia="en-US"/>
        </w:rPr>
        <w:tab/>
      </w:r>
      <w:r>
        <w:rPr>
          <w:rFonts w:ascii="Verdana" w:eastAsia="Times" w:hAnsi="Verdana"/>
          <w:sz w:val="20"/>
          <w:szCs w:val="20"/>
          <w:lang w:val="pt-BR" w:eastAsia="en-US"/>
        </w:rPr>
        <w:tab/>
      </w:r>
      <w:r w:rsidRPr="00237EB2">
        <w:rPr>
          <w:rFonts w:ascii="Verdana" w:eastAsia="Times" w:hAnsi="Verdana"/>
          <w:sz w:val="20"/>
          <w:szCs w:val="20"/>
          <w:lang w:val="pt-BR" w:eastAsia="en-US"/>
        </w:rPr>
        <w:t>Eugenio Raúl Zaffaroni</w:t>
      </w:r>
    </w:p>
    <w:p w14:paraId="6CC2ADFD" w14:textId="77777777" w:rsidR="00237EB2" w:rsidRPr="00237EB2" w:rsidRDefault="00237EB2" w:rsidP="00237EB2">
      <w:pPr>
        <w:rPr>
          <w:rFonts w:ascii="Verdana" w:eastAsia="Times" w:hAnsi="Verdana"/>
          <w:sz w:val="20"/>
          <w:szCs w:val="20"/>
          <w:lang w:val="pt-BR" w:eastAsia="en-US"/>
        </w:rPr>
      </w:pPr>
    </w:p>
    <w:p w14:paraId="0399B46E" w14:textId="77777777" w:rsidR="00237EB2" w:rsidRPr="00237EB2" w:rsidRDefault="00237EB2" w:rsidP="00237EB2">
      <w:pPr>
        <w:rPr>
          <w:rFonts w:ascii="Verdana" w:eastAsia="Times" w:hAnsi="Verdana"/>
          <w:sz w:val="20"/>
          <w:szCs w:val="20"/>
          <w:lang w:val="pt-BR" w:eastAsia="en-US"/>
        </w:rPr>
      </w:pPr>
    </w:p>
    <w:p w14:paraId="3AAB9AA1" w14:textId="77777777" w:rsidR="00237EB2" w:rsidRPr="00237EB2" w:rsidRDefault="00237EB2" w:rsidP="00237EB2">
      <w:pPr>
        <w:rPr>
          <w:rFonts w:ascii="Verdana" w:eastAsia="Times" w:hAnsi="Verdana"/>
          <w:sz w:val="20"/>
          <w:szCs w:val="20"/>
          <w:lang w:val="pt-BR" w:eastAsia="en-US"/>
        </w:rPr>
      </w:pPr>
    </w:p>
    <w:p w14:paraId="6457F4F1" w14:textId="77777777" w:rsidR="00237EB2" w:rsidRPr="00237EB2" w:rsidRDefault="00237EB2" w:rsidP="00237EB2">
      <w:pPr>
        <w:jc w:val="both"/>
        <w:rPr>
          <w:rFonts w:ascii="Verdana" w:eastAsia="Times" w:hAnsi="Verdana"/>
          <w:sz w:val="20"/>
          <w:szCs w:val="20"/>
          <w:lang w:val="pt-BR" w:eastAsia="en-US"/>
        </w:rPr>
      </w:pPr>
    </w:p>
    <w:p w14:paraId="1D5CB551" w14:textId="77777777" w:rsidR="00237EB2" w:rsidRPr="00237EB2" w:rsidRDefault="00237EB2" w:rsidP="00237EB2">
      <w:pPr>
        <w:jc w:val="both"/>
        <w:rPr>
          <w:rFonts w:ascii="Verdana" w:eastAsia="Times" w:hAnsi="Verdana"/>
          <w:sz w:val="20"/>
          <w:szCs w:val="20"/>
          <w:lang w:val="pt-BR" w:eastAsia="en-US"/>
        </w:rPr>
      </w:pPr>
    </w:p>
    <w:p w14:paraId="08A4B042" w14:textId="77777777" w:rsidR="00237EB2" w:rsidRPr="00237EB2" w:rsidRDefault="00237EB2" w:rsidP="00237EB2">
      <w:pPr>
        <w:rPr>
          <w:rFonts w:ascii="Verdana" w:eastAsia="Times" w:hAnsi="Verdana"/>
          <w:sz w:val="20"/>
          <w:szCs w:val="20"/>
          <w:lang w:eastAsia="en-US"/>
        </w:rPr>
      </w:pPr>
      <w:r w:rsidRPr="00237EB2">
        <w:rPr>
          <w:rFonts w:ascii="Verdana" w:eastAsia="Times" w:hAnsi="Verdana"/>
          <w:sz w:val="20"/>
          <w:szCs w:val="20"/>
          <w:lang w:val="pt-BR" w:eastAsia="en-US"/>
        </w:rPr>
        <w:t>L. Patricio Pazmiño Freire</w:t>
      </w:r>
      <w:r w:rsidRPr="00237EB2">
        <w:rPr>
          <w:rFonts w:ascii="Verdana" w:eastAsia="Times" w:hAnsi="Verdana"/>
          <w:sz w:val="20"/>
          <w:szCs w:val="20"/>
          <w:lang w:eastAsia="en-US"/>
        </w:rPr>
        <w:t xml:space="preserve"> </w:t>
      </w:r>
      <w:r>
        <w:rPr>
          <w:rFonts w:ascii="Verdana" w:eastAsia="Times" w:hAnsi="Verdana"/>
          <w:sz w:val="20"/>
          <w:szCs w:val="20"/>
          <w:lang w:eastAsia="en-US"/>
        </w:rPr>
        <w:tab/>
      </w:r>
      <w:r>
        <w:rPr>
          <w:rFonts w:ascii="Verdana" w:eastAsia="Times" w:hAnsi="Verdana"/>
          <w:sz w:val="20"/>
          <w:szCs w:val="20"/>
          <w:lang w:eastAsia="en-US"/>
        </w:rPr>
        <w:tab/>
      </w:r>
      <w:r>
        <w:rPr>
          <w:rFonts w:ascii="Verdana" w:eastAsia="Times" w:hAnsi="Verdana"/>
          <w:sz w:val="20"/>
          <w:szCs w:val="20"/>
          <w:lang w:eastAsia="en-US"/>
        </w:rPr>
        <w:tab/>
      </w:r>
      <w:r>
        <w:rPr>
          <w:rFonts w:ascii="Verdana" w:eastAsia="Times" w:hAnsi="Verdana"/>
          <w:sz w:val="20"/>
          <w:szCs w:val="20"/>
          <w:lang w:eastAsia="en-US"/>
        </w:rPr>
        <w:tab/>
      </w:r>
      <w:r w:rsidRPr="00237EB2">
        <w:rPr>
          <w:rFonts w:ascii="Verdana" w:eastAsia="Times" w:hAnsi="Verdana"/>
          <w:sz w:val="20"/>
          <w:szCs w:val="20"/>
          <w:lang w:eastAsia="en-US"/>
        </w:rPr>
        <w:t xml:space="preserve">   Ricardo C. Pérez Manrique</w:t>
      </w:r>
    </w:p>
    <w:p w14:paraId="310A808F" w14:textId="77777777" w:rsidR="00237EB2" w:rsidRPr="00237EB2" w:rsidRDefault="00237EB2" w:rsidP="00237EB2">
      <w:pPr>
        <w:rPr>
          <w:rFonts w:ascii="Verdana" w:eastAsia="Times" w:hAnsi="Verdana"/>
          <w:sz w:val="20"/>
          <w:szCs w:val="20"/>
          <w:lang w:val="pt-BR" w:eastAsia="en-US"/>
        </w:rPr>
      </w:pPr>
    </w:p>
    <w:p w14:paraId="7AF2CAB5" w14:textId="77777777" w:rsidR="00237EB2" w:rsidRPr="00237EB2" w:rsidRDefault="00237EB2" w:rsidP="00237EB2">
      <w:pPr>
        <w:rPr>
          <w:rFonts w:ascii="Verdana" w:eastAsia="Times" w:hAnsi="Verdana"/>
          <w:sz w:val="20"/>
          <w:szCs w:val="20"/>
          <w:lang w:val="pt-BR" w:eastAsia="en-US"/>
        </w:rPr>
      </w:pPr>
    </w:p>
    <w:p w14:paraId="4F577D03" w14:textId="77777777" w:rsidR="00237EB2" w:rsidRPr="00237EB2" w:rsidRDefault="00237EB2" w:rsidP="00237EB2">
      <w:pPr>
        <w:rPr>
          <w:rFonts w:ascii="Verdana" w:eastAsia="Times" w:hAnsi="Verdana"/>
          <w:sz w:val="20"/>
          <w:szCs w:val="20"/>
          <w:lang w:val="pt-BR" w:eastAsia="en-US"/>
        </w:rPr>
      </w:pPr>
    </w:p>
    <w:p w14:paraId="6A63AE49" w14:textId="77777777" w:rsidR="00237EB2" w:rsidRPr="00237EB2" w:rsidRDefault="00237EB2" w:rsidP="00237EB2">
      <w:pPr>
        <w:rPr>
          <w:rFonts w:ascii="Verdana" w:eastAsia="Times" w:hAnsi="Verdana"/>
          <w:sz w:val="20"/>
          <w:szCs w:val="20"/>
          <w:lang w:val="pt-BR" w:eastAsia="en-US"/>
        </w:rPr>
      </w:pPr>
    </w:p>
    <w:p w14:paraId="0D220A54" w14:textId="77777777" w:rsidR="00237EB2" w:rsidRPr="00237EB2" w:rsidRDefault="00237EB2" w:rsidP="00237EB2">
      <w:pPr>
        <w:rPr>
          <w:rFonts w:ascii="Verdana" w:eastAsia="Times" w:hAnsi="Verdana"/>
          <w:sz w:val="20"/>
          <w:szCs w:val="20"/>
          <w:lang w:val="pt-BR" w:eastAsia="en-US"/>
        </w:rPr>
      </w:pPr>
    </w:p>
    <w:p w14:paraId="6DF2E9E4" w14:textId="77777777" w:rsidR="00237EB2" w:rsidRPr="00237EB2" w:rsidRDefault="00237EB2" w:rsidP="00237EB2">
      <w:pPr>
        <w:jc w:val="both"/>
        <w:rPr>
          <w:rFonts w:ascii="Verdana" w:eastAsia="Times" w:hAnsi="Verdana"/>
          <w:sz w:val="20"/>
          <w:szCs w:val="20"/>
          <w:lang w:val="pt-BR" w:eastAsia="en-US"/>
        </w:rPr>
      </w:pPr>
    </w:p>
    <w:p w14:paraId="1B03C492" w14:textId="77777777" w:rsidR="00237EB2" w:rsidRPr="00237EB2" w:rsidRDefault="00237EB2" w:rsidP="00237EB2">
      <w:pPr>
        <w:jc w:val="center"/>
        <w:rPr>
          <w:rFonts w:ascii="Verdana" w:eastAsia="Times" w:hAnsi="Verdana"/>
          <w:sz w:val="20"/>
          <w:szCs w:val="20"/>
          <w:lang w:val="pt-BR" w:eastAsia="en-US"/>
        </w:rPr>
      </w:pPr>
      <w:r w:rsidRPr="00237EB2">
        <w:rPr>
          <w:rFonts w:ascii="Verdana" w:eastAsia="Times" w:hAnsi="Verdana"/>
          <w:sz w:val="20"/>
          <w:szCs w:val="20"/>
          <w:lang w:val="pt-BR" w:eastAsia="en-US"/>
        </w:rPr>
        <w:t>Pablo Saavedra Alessandri</w:t>
      </w:r>
    </w:p>
    <w:p w14:paraId="7A98C883" w14:textId="77777777" w:rsidR="00237EB2" w:rsidRPr="00237EB2" w:rsidRDefault="00237EB2" w:rsidP="00237EB2">
      <w:pPr>
        <w:jc w:val="center"/>
        <w:rPr>
          <w:rFonts w:ascii="Verdana" w:eastAsia="Times" w:hAnsi="Verdana"/>
          <w:sz w:val="20"/>
          <w:szCs w:val="20"/>
          <w:lang w:val="pt-BR" w:eastAsia="en-US"/>
        </w:rPr>
      </w:pPr>
      <w:r w:rsidRPr="00237EB2">
        <w:rPr>
          <w:rFonts w:ascii="Verdana" w:eastAsia="Times" w:hAnsi="Verdana"/>
          <w:sz w:val="20"/>
          <w:szCs w:val="20"/>
          <w:lang w:val="pt-BR" w:eastAsia="en-US"/>
        </w:rPr>
        <w:t>Secretario</w:t>
      </w:r>
    </w:p>
    <w:p w14:paraId="525141A0" w14:textId="77777777" w:rsidR="00237EB2" w:rsidRPr="00237EB2" w:rsidRDefault="00237EB2" w:rsidP="00237EB2">
      <w:pPr>
        <w:rPr>
          <w:rFonts w:ascii="Verdana" w:eastAsia="Times" w:hAnsi="Verdana"/>
          <w:sz w:val="20"/>
          <w:szCs w:val="20"/>
          <w:lang w:val="pt-BR" w:eastAsia="en-US"/>
        </w:rPr>
      </w:pPr>
    </w:p>
    <w:p w14:paraId="124F70AB" w14:textId="77777777" w:rsidR="00237EB2" w:rsidRPr="00237EB2" w:rsidRDefault="00237EB2" w:rsidP="00237EB2">
      <w:pPr>
        <w:jc w:val="both"/>
        <w:rPr>
          <w:rFonts w:ascii="Verdana" w:eastAsia="Times" w:hAnsi="Verdana"/>
          <w:sz w:val="20"/>
          <w:szCs w:val="20"/>
          <w:lang w:val="pt-BR" w:eastAsia="en-US"/>
        </w:rPr>
      </w:pPr>
    </w:p>
    <w:p w14:paraId="0CA205EC" w14:textId="77777777" w:rsidR="00237EB2" w:rsidRPr="00237EB2" w:rsidRDefault="00237EB2" w:rsidP="00237EB2">
      <w:pPr>
        <w:rPr>
          <w:rFonts w:ascii="Verdana" w:eastAsia="Times" w:hAnsi="Verdana"/>
          <w:sz w:val="20"/>
          <w:szCs w:val="20"/>
          <w:lang w:val="pt-BR" w:eastAsia="en-US"/>
        </w:rPr>
      </w:pPr>
    </w:p>
    <w:p w14:paraId="3EC9F23F" w14:textId="77777777" w:rsidR="00237EB2" w:rsidRPr="00237EB2" w:rsidRDefault="00237EB2" w:rsidP="00237EB2">
      <w:pPr>
        <w:jc w:val="both"/>
        <w:rPr>
          <w:rFonts w:ascii="Verdana" w:eastAsia="Times" w:hAnsi="Verdana"/>
          <w:sz w:val="20"/>
          <w:szCs w:val="20"/>
          <w:lang w:val="pt-BR" w:eastAsia="en-US"/>
        </w:rPr>
      </w:pPr>
    </w:p>
    <w:p w14:paraId="645F279D" w14:textId="77777777" w:rsidR="00237EB2" w:rsidRPr="00237EB2" w:rsidRDefault="00237EB2" w:rsidP="00237EB2">
      <w:pPr>
        <w:jc w:val="both"/>
        <w:rPr>
          <w:rFonts w:ascii="Verdana" w:eastAsia="Times" w:hAnsi="Verdana"/>
          <w:sz w:val="20"/>
          <w:szCs w:val="20"/>
          <w:lang w:val="pt-BR" w:eastAsia="en-US"/>
        </w:rPr>
      </w:pPr>
      <w:r w:rsidRPr="00237EB2">
        <w:rPr>
          <w:rFonts w:ascii="Verdana" w:eastAsia="Times" w:hAnsi="Verdana"/>
          <w:sz w:val="20"/>
          <w:szCs w:val="20"/>
          <w:lang w:val="pt-BR" w:eastAsia="en-US"/>
        </w:rPr>
        <w:t>Comuníquese y ejecútese,</w:t>
      </w:r>
    </w:p>
    <w:p w14:paraId="317F8BE0" w14:textId="77777777" w:rsidR="00237EB2" w:rsidRPr="00237EB2" w:rsidRDefault="00237EB2" w:rsidP="00237EB2">
      <w:pPr>
        <w:jc w:val="both"/>
        <w:rPr>
          <w:rFonts w:ascii="Verdana" w:eastAsia="Times" w:hAnsi="Verdana"/>
          <w:sz w:val="20"/>
          <w:szCs w:val="20"/>
          <w:lang w:val="pt-BR" w:eastAsia="en-US"/>
        </w:rPr>
      </w:pPr>
    </w:p>
    <w:p w14:paraId="0525E20D" w14:textId="77777777" w:rsidR="00237EB2" w:rsidRPr="00237EB2" w:rsidRDefault="00237EB2" w:rsidP="00237EB2">
      <w:pPr>
        <w:jc w:val="both"/>
        <w:rPr>
          <w:rFonts w:ascii="Verdana" w:eastAsia="Times" w:hAnsi="Verdana"/>
          <w:sz w:val="20"/>
          <w:szCs w:val="20"/>
          <w:lang w:val="pt-BR" w:eastAsia="en-US"/>
        </w:rPr>
      </w:pPr>
    </w:p>
    <w:p w14:paraId="195DBFC0" w14:textId="77777777" w:rsidR="00237EB2" w:rsidRPr="00237EB2" w:rsidRDefault="00237EB2" w:rsidP="00237EB2">
      <w:pPr>
        <w:jc w:val="both"/>
        <w:rPr>
          <w:rFonts w:ascii="Verdana" w:eastAsia="Times" w:hAnsi="Verdana"/>
          <w:sz w:val="20"/>
          <w:szCs w:val="20"/>
          <w:lang w:val="pt-BR" w:eastAsia="en-US"/>
        </w:rPr>
      </w:pPr>
    </w:p>
    <w:p w14:paraId="3C91F6FA" w14:textId="77777777" w:rsidR="00237EB2" w:rsidRPr="00237EB2" w:rsidRDefault="00237EB2" w:rsidP="00237EB2">
      <w:pPr>
        <w:jc w:val="both"/>
        <w:rPr>
          <w:rFonts w:ascii="Verdana" w:eastAsia="Times" w:hAnsi="Verdana"/>
          <w:sz w:val="20"/>
          <w:szCs w:val="20"/>
          <w:lang w:val="pt-BR" w:eastAsia="en-US"/>
        </w:rPr>
      </w:pPr>
    </w:p>
    <w:p w14:paraId="46BCA093" w14:textId="77777777" w:rsidR="00237EB2" w:rsidRPr="00237EB2" w:rsidRDefault="00237EB2" w:rsidP="00237EB2">
      <w:pPr>
        <w:jc w:val="both"/>
        <w:rPr>
          <w:rFonts w:ascii="Verdana" w:eastAsia="Times" w:hAnsi="Verdana"/>
          <w:sz w:val="20"/>
          <w:szCs w:val="20"/>
          <w:lang w:val="pt-BR" w:eastAsia="en-US"/>
        </w:rPr>
      </w:pPr>
    </w:p>
    <w:p w14:paraId="4D68F361" w14:textId="77777777" w:rsidR="00237EB2" w:rsidRPr="00237EB2" w:rsidRDefault="00237EB2" w:rsidP="00237EB2">
      <w:pPr>
        <w:ind w:left="6372"/>
        <w:jc w:val="both"/>
        <w:rPr>
          <w:rFonts w:ascii="Verdana" w:eastAsia="Times" w:hAnsi="Verdana"/>
          <w:sz w:val="20"/>
          <w:szCs w:val="20"/>
          <w:lang w:val="pt-BR" w:eastAsia="en-US"/>
        </w:rPr>
      </w:pPr>
      <w:r w:rsidRPr="00237EB2">
        <w:rPr>
          <w:rFonts w:ascii="Verdana" w:eastAsia="Times" w:hAnsi="Verdana"/>
          <w:sz w:val="20"/>
          <w:szCs w:val="20"/>
          <w:lang w:val="pt-BR" w:eastAsia="en-US"/>
        </w:rPr>
        <w:t xml:space="preserve">Eduardo Vio Grossi </w:t>
      </w:r>
    </w:p>
    <w:p w14:paraId="4E4DB11F" w14:textId="77777777" w:rsidR="00237EB2" w:rsidRPr="00237EB2" w:rsidRDefault="00237EB2" w:rsidP="00237EB2">
      <w:pPr>
        <w:ind w:left="5664"/>
        <w:jc w:val="both"/>
        <w:rPr>
          <w:rFonts w:ascii="Verdana" w:eastAsia="Times" w:hAnsi="Verdana"/>
          <w:sz w:val="20"/>
          <w:szCs w:val="20"/>
          <w:lang w:val="pt-BR" w:eastAsia="en-US"/>
        </w:rPr>
      </w:pPr>
      <w:r w:rsidRPr="00237EB2">
        <w:rPr>
          <w:rFonts w:ascii="Verdana" w:eastAsia="Times" w:hAnsi="Verdana"/>
          <w:sz w:val="20"/>
          <w:szCs w:val="20"/>
          <w:lang w:val="pt-BR" w:eastAsia="en-US"/>
        </w:rPr>
        <w:t xml:space="preserve">        Presidente en ejercicio</w:t>
      </w:r>
    </w:p>
    <w:p w14:paraId="1590C6C9" w14:textId="77777777" w:rsidR="00237EB2" w:rsidRPr="00237EB2" w:rsidRDefault="00237EB2" w:rsidP="00237EB2">
      <w:pPr>
        <w:jc w:val="both"/>
        <w:rPr>
          <w:rFonts w:ascii="Verdana" w:eastAsia="Times" w:hAnsi="Verdana"/>
          <w:sz w:val="20"/>
          <w:szCs w:val="20"/>
          <w:lang w:val="pt-BR" w:eastAsia="en-US"/>
        </w:rPr>
      </w:pPr>
    </w:p>
    <w:p w14:paraId="6E26BC4C" w14:textId="77777777" w:rsidR="00237EB2" w:rsidRPr="00237EB2" w:rsidRDefault="00237EB2" w:rsidP="00237EB2">
      <w:pPr>
        <w:jc w:val="both"/>
        <w:rPr>
          <w:rFonts w:ascii="Verdana" w:eastAsia="Times" w:hAnsi="Verdana"/>
          <w:sz w:val="20"/>
          <w:szCs w:val="20"/>
          <w:lang w:val="pt-BR" w:eastAsia="en-US"/>
        </w:rPr>
      </w:pPr>
    </w:p>
    <w:p w14:paraId="5F12A10D" w14:textId="77777777" w:rsidR="00237EB2" w:rsidRPr="00237EB2" w:rsidRDefault="00237EB2" w:rsidP="00237EB2">
      <w:pPr>
        <w:jc w:val="both"/>
        <w:rPr>
          <w:rFonts w:ascii="Verdana" w:eastAsia="Times" w:hAnsi="Verdana"/>
          <w:sz w:val="20"/>
          <w:szCs w:val="20"/>
          <w:lang w:val="pt-BR" w:eastAsia="en-US"/>
        </w:rPr>
      </w:pPr>
    </w:p>
    <w:p w14:paraId="68B949DC" w14:textId="77777777" w:rsidR="00237EB2" w:rsidRPr="00237EB2" w:rsidRDefault="00237EB2" w:rsidP="00237EB2">
      <w:pPr>
        <w:jc w:val="both"/>
        <w:rPr>
          <w:rFonts w:ascii="Verdana" w:eastAsia="Times" w:hAnsi="Verdana"/>
          <w:sz w:val="20"/>
          <w:szCs w:val="20"/>
          <w:lang w:val="pt-BR" w:eastAsia="en-US"/>
        </w:rPr>
      </w:pPr>
    </w:p>
    <w:p w14:paraId="27536A78" w14:textId="77777777" w:rsidR="00237EB2" w:rsidRPr="00237EB2" w:rsidRDefault="00237EB2" w:rsidP="00237EB2">
      <w:pPr>
        <w:jc w:val="both"/>
        <w:rPr>
          <w:rFonts w:ascii="Verdana" w:eastAsia="Times" w:hAnsi="Verdana"/>
          <w:sz w:val="20"/>
          <w:szCs w:val="20"/>
          <w:lang w:val="pt-BR" w:eastAsia="en-US"/>
        </w:rPr>
      </w:pPr>
    </w:p>
    <w:p w14:paraId="46284680" w14:textId="77777777" w:rsidR="00237EB2" w:rsidRPr="00237EB2" w:rsidRDefault="00237EB2" w:rsidP="00237EB2">
      <w:pPr>
        <w:jc w:val="both"/>
        <w:rPr>
          <w:rFonts w:ascii="Verdana" w:eastAsia="Times" w:hAnsi="Verdana"/>
          <w:sz w:val="20"/>
          <w:szCs w:val="20"/>
          <w:lang w:val="pt-BR" w:eastAsia="en-US"/>
        </w:rPr>
      </w:pPr>
    </w:p>
    <w:p w14:paraId="12256C3A" w14:textId="77777777" w:rsidR="00237EB2" w:rsidRPr="00237EB2" w:rsidRDefault="00237EB2" w:rsidP="00237EB2">
      <w:pPr>
        <w:jc w:val="both"/>
        <w:rPr>
          <w:rFonts w:ascii="Verdana" w:eastAsia="Times" w:hAnsi="Verdana"/>
          <w:sz w:val="20"/>
          <w:szCs w:val="20"/>
          <w:lang w:val="es-ES" w:eastAsia="en-US"/>
        </w:rPr>
      </w:pPr>
      <w:r w:rsidRPr="00237EB2">
        <w:rPr>
          <w:rFonts w:ascii="Verdana" w:eastAsia="Times" w:hAnsi="Verdana"/>
          <w:sz w:val="20"/>
          <w:szCs w:val="20"/>
          <w:lang w:val="es-ES" w:eastAsia="en-US"/>
        </w:rPr>
        <w:t>Pablo Saavedra Alessandri</w:t>
      </w:r>
    </w:p>
    <w:p w14:paraId="40B5AABD" w14:textId="77777777" w:rsidR="00237EB2" w:rsidRPr="00237EB2" w:rsidRDefault="00237EB2" w:rsidP="00237EB2">
      <w:pPr>
        <w:rPr>
          <w:rFonts w:ascii="Verdana" w:eastAsia="Times" w:hAnsi="Verdana"/>
          <w:sz w:val="20"/>
          <w:szCs w:val="20"/>
          <w:lang w:eastAsia="en-US"/>
        </w:rPr>
      </w:pPr>
      <w:r w:rsidRPr="00237EB2">
        <w:rPr>
          <w:rFonts w:ascii="Verdana" w:eastAsia="Times" w:hAnsi="Verdana"/>
          <w:sz w:val="20"/>
          <w:szCs w:val="20"/>
          <w:lang w:val="es-ES" w:eastAsia="en-US"/>
        </w:rPr>
        <w:tab/>
      </w:r>
      <w:r w:rsidRPr="00237EB2">
        <w:rPr>
          <w:rFonts w:ascii="Verdana" w:eastAsia="Times" w:hAnsi="Verdana"/>
          <w:sz w:val="20"/>
          <w:szCs w:val="20"/>
          <w:lang w:eastAsia="en-US"/>
        </w:rPr>
        <w:t>Secretario</w:t>
      </w:r>
    </w:p>
    <w:p w14:paraId="1463DAF2" w14:textId="77777777" w:rsidR="00146757" w:rsidRPr="000F041A" w:rsidRDefault="00146757" w:rsidP="00237EB2">
      <w:pPr>
        <w:spacing w:before="120" w:after="120"/>
        <w:contextualSpacing/>
        <w:jc w:val="both"/>
        <w:rPr>
          <w:rFonts w:ascii="Verdana" w:hAnsi="Verdana"/>
          <w:sz w:val="20"/>
          <w:szCs w:val="20"/>
        </w:rPr>
      </w:pPr>
    </w:p>
    <w:sectPr w:rsidR="00146757" w:rsidRPr="000F041A" w:rsidSect="00ED0B5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D392B" w14:textId="77777777" w:rsidR="005C7492" w:rsidRDefault="005C7492" w:rsidP="00DA5CA2">
      <w:r>
        <w:separator/>
      </w:r>
    </w:p>
  </w:endnote>
  <w:endnote w:type="continuationSeparator" w:id="0">
    <w:p w14:paraId="359D31FC" w14:textId="77777777" w:rsidR="005C7492" w:rsidRDefault="005C7492" w:rsidP="00DA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TE3F96A70t00">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93228"/>
      <w:docPartObj>
        <w:docPartGallery w:val="Page Numbers (Bottom of Page)"/>
        <w:docPartUnique/>
      </w:docPartObj>
    </w:sdtPr>
    <w:sdtEndPr>
      <w:rPr>
        <w:rFonts w:ascii="Verdana" w:hAnsi="Verdana"/>
        <w:sz w:val="20"/>
        <w:szCs w:val="20"/>
      </w:rPr>
    </w:sdtEndPr>
    <w:sdtContent>
      <w:p w14:paraId="44D2A40B" w14:textId="77777777" w:rsidR="006F4C93" w:rsidRPr="006F4C93" w:rsidRDefault="006F4C93">
        <w:pPr>
          <w:pStyle w:val="Piedepgina"/>
          <w:jc w:val="center"/>
          <w:rPr>
            <w:rFonts w:ascii="Verdana" w:hAnsi="Verdana"/>
            <w:sz w:val="20"/>
            <w:szCs w:val="20"/>
          </w:rPr>
        </w:pPr>
        <w:r w:rsidRPr="006F4C93">
          <w:rPr>
            <w:rFonts w:ascii="Verdana" w:hAnsi="Verdana"/>
            <w:sz w:val="20"/>
            <w:szCs w:val="20"/>
          </w:rPr>
          <w:t>-</w:t>
        </w:r>
        <w:r w:rsidRPr="006F4C93">
          <w:rPr>
            <w:rFonts w:ascii="Verdana" w:hAnsi="Verdana"/>
            <w:sz w:val="20"/>
            <w:szCs w:val="20"/>
          </w:rPr>
          <w:fldChar w:fldCharType="begin"/>
        </w:r>
        <w:r w:rsidRPr="006F4C93">
          <w:rPr>
            <w:rFonts w:ascii="Verdana" w:hAnsi="Verdana"/>
            <w:sz w:val="20"/>
            <w:szCs w:val="20"/>
          </w:rPr>
          <w:instrText>PAGE   \* MERGEFORMAT</w:instrText>
        </w:r>
        <w:r w:rsidRPr="006F4C93">
          <w:rPr>
            <w:rFonts w:ascii="Verdana" w:hAnsi="Verdana"/>
            <w:sz w:val="20"/>
            <w:szCs w:val="20"/>
          </w:rPr>
          <w:fldChar w:fldCharType="separate"/>
        </w:r>
        <w:r w:rsidR="00237EB2" w:rsidRPr="00237EB2">
          <w:rPr>
            <w:rFonts w:ascii="Verdana" w:hAnsi="Verdana"/>
            <w:noProof/>
            <w:sz w:val="20"/>
            <w:szCs w:val="20"/>
            <w:lang w:val="es-ES"/>
          </w:rPr>
          <w:t>7</w:t>
        </w:r>
        <w:r w:rsidRPr="006F4C93">
          <w:rPr>
            <w:rFonts w:ascii="Verdana" w:hAnsi="Verdana"/>
            <w:sz w:val="20"/>
            <w:szCs w:val="20"/>
          </w:rPr>
          <w:fldChar w:fldCharType="end"/>
        </w:r>
        <w:r w:rsidRPr="006F4C93">
          <w:rPr>
            <w:rFonts w:ascii="Verdana" w:hAnsi="Verdana"/>
            <w:sz w:val="20"/>
            <w:szCs w:val="20"/>
          </w:rPr>
          <w:t>-</w:t>
        </w:r>
      </w:p>
    </w:sdtContent>
  </w:sdt>
  <w:p w14:paraId="5FEC1A5A" w14:textId="77777777" w:rsidR="006F4C93" w:rsidRDefault="006F4C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E7C38" w14:textId="77777777" w:rsidR="005C7492" w:rsidRDefault="005C7492" w:rsidP="00DA5CA2">
      <w:r>
        <w:separator/>
      </w:r>
    </w:p>
  </w:footnote>
  <w:footnote w:type="continuationSeparator" w:id="0">
    <w:p w14:paraId="100332DA" w14:textId="77777777" w:rsidR="005C7492" w:rsidRDefault="005C7492" w:rsidP="00DA5CA2">
      <w:r>
        <w:continuationSeparator/>
      </w:r>
    </w:p>
  </w:footnote>
  <w:footnote w:id="1">
    <w:p w14:paraId="259A106C" w14:textId="77777777" w:rsidR="00DA5CA2" w:rsidRPr="004510E4" w:rsidRDefault="00DA5CA2" w:rsidP="00DA5CA2">
      <w:pPr>
        <w:pStyle w:val="Textonotapie"/>
        <w:jc w:val="both"/>
        <w:rPr>
          <w:rFonts w:ascii="Verdana" w:hAnsi="Verdana" w:cs="Verdana"/>
          <w:sz w:val="16"/>
          <w:szCs w:val="16"/>
          <w:lang w:val="es-CO"/>
        </w:rPr>
      </w:pPr>
      <w:r w:rsidRPr="004510E4">
        <w:rPr>
          <w:rFonts w:ascii="Verdana" w:hAnsi="Verdana"/>
          <w:sz w:val="16"/>
          <w:szCs w:val="16"/>
          <w:vertAlign w:val="superscript"/>
          <w:lang w:val="es-CR"/>
        </w:rPr>
        <w:t>*</w:t>
      </w:r>
      <w:r w:rsidRPr="004510E4">
        <w:rPr>
          <w:rFonts w:ascii="Verdana" w:hAnsi="Verdana"/>
          <w:sz w:val="16"/>
          <w:szCs w:val="16"/>
          <w:lang w:val="es-CR"/>
        </w:rPr>
        <w:tab/>
      </w:r>
      <w:r w:rsidRPr="004510E4">
        <w:rPr>
          <w:rFonts w:ascii="Verdana" w:hAnsi="Verdana"/>
          <w:sz w:val="16"/>
          <w:szCs w:val="16"/>
        </w:rPr>
        <w:t xml:space="preserve">El Juez </w:t>
      </w:r>
      <w:r w:rsidR="008E150E" w:rsidRPr="004510E4">
        <w:rPr>
          <w:rFonts w:ascii="Verdana" w:hAnsi="Verdana"/>
          <w:sz w:val="16"/>
          <w:szCs w:val="16"/>
          <w:lang w:val="es-CR"/>
        </w:rPr>
        <w:t>Sierra Porto</w:t>
      </w:r>
      <w:r w:rsidRPr="004510E4">
        <w:rPr>
          <w:rFonts w:ascii="Verdana" w:hAnsi="Verdana"/>
          <w:sz w:val="16"/>
          <w:szCs w:val="16"/>
        </w:rPr>
        <w:t xml:space="preserve">, de nacionalidad </w:t>
      </w:r>
      <w:r w:rsidR="008E150E" w:rsidRPr="004510E4">
        <w:rPr>
          <w:rFonts w:ascii="Verdana" w:hAnsi="Verdana"/>
          <w:sz w:val="16"/>
          <w:szCs w:val="16"/>
          <w:lang w:val="es-CR"/>
        </w:rPr>
        <w:t>colombiana</w:t>
      </w:r>
      <w:r w:rsidRPr="004510E4">
        <w:rPr>
          <w:rFonts w:ascii="Verdana" w:hAnsi="Verdana" w:cs="Verdana"/>
          <w:sz w:val="16"/>
          <w:szCs w:val="16"/>
          <w:lang w:val="es-CO"/>
        </w:rPr>
        <w:t xml:space="preserve">, </w:t>
      </w:r>
      <w:r w:rsidRPr="004510E4">
        <w:rPr>
          <w:rFonts w:ascii="Verdana" w:hAnsi="Verdana"/>
          <w:sz w:val="16"/>
          <w:szCs w:val="16"/>
          <w:lang w:val="es-CR"/>
        </w:rPr>
        <w:t xml:space="preserve">no participó en la deliberación y firma de la Sentencia del presente caso, ni en el conocimiento y deliberación de la presente Resolución, de conformidad con lo dispuesto en el artículo </w:t>
      </w:r>
      <w:r w:rsidRPr="004510E4">
        <w:rPr>
          <w:rFonts w:ascii="Verdana" w:hAnsi="Verdana" w:cs="Verdana"/>
          <w:sz w:val="16"/>
          <w:szCs w:val="16"/>
          <w:lang w:val="es-CO"/>
        </w:rPr>
        <w:t>artículos 19.2 del Estatuto y 19.1 del Reglamento de la Corte.</w:t>
      </w:r>
      <w:r w:rsidR="0027195E">
        <w:rPr>
          <w:rFonts w:ascii="Verdana" w:hAnsi="Verdana" w:cs="Verdana"/>
          <w:sz w:val="16"/>
          <w:szCs w:val="16"/>
          <w:lang w:val="es-CO"/>
        </w:rPr>
        <w:t xml:space="preserve"> </w:t>
      </w:r>
      <w:r w:rsidR="0027195E" w:rsidRPr="00224E09">
        <w:rPr>
          <w:rFonts w:ascii="Verdana" w:hAnsi="Verdana"/>
          <w:sz w:val="16"/>
          <w:szCs w:val="16"/>
          <w:lang w:val="es-CR"/>
        </w:rPr>
        <w:t>El Juez Eduardo Ferrer Mac-</w:t>
      </w:r>
      <w:proofErr w:type="spellStart"/>
      <w:r w:rsidR="0027195E" w:rsidRPr="00224E09">
        <w:rPr>
          <w:rFonts w:ascii="Verdana" w:hAnsi="Verdana"/>
          <w:sz w:val="16"/>
          <w:szCs w:val="16"/>
          <w:lang w:val="es-CR"/>
        </w:rPr>
        <w:t>Gregor</w:t>
      </w:r>
      <w:proofErr w:type="spellEnd"/>
      <w:r w:rsidR="0027195E" w:rsidRPr="00224E09">
        <w:rPr>
          <w:rFonts w:ascii="Verdana" w:hAnsi="Verdana"/>
          <w:sz w:val="16"/>
          <w:szCs w:val="16"/>
          <w:lang w:val="es-CR"/>
        </w:rPr>
        <w:t xml:space="preserve"> </w:t>
      </w:r>
      <w:proofErr w:type="spellStart"/>
      <w:r w:rsidR="0027195E" w:rsidRPr="00224E09">
        <w:rPr>
          <w:rFonts w:ascii="Verdana" w:hAnsi="Verdana"/>
          <w:sz w:val="16"/>
          <w:szCs w:val="16"/>
          <w:lang w:val="es-CR"/>
        </w:rPr>
        <w:t>Poisot</w:t>
      </w:r>
      <w:proofErr w:type="spellEnd"/>
      <w:r w:rsidR="0027195E" w:rsidRPr="00224E09">
        <w:rPr>
          <w:rFonts w:ascii="Verdana" w:hAnsi="Verdana"/>
          <w:sz w:val="16"/>
          <w:szCs w:val="16"/>
          <w:lang w:val="es-CR"/>
        </w:rPr>
        <w:t xml:space="preserve"> no participó en la deliberación y firma de la presente Resolución por razones de fuerza mayor.</w:t>
      </w:r>
    </w:p>
  </w:footnote>
  <w:footnote w:id="2">
    <w:p w14:paraId="2274CB83" w14:textId="77777777" w:rsidR="00BB0A49" w:rsidRPr="000067A7" w:rsidRDefault="00BB0A49" w:rsidP="00BB0A49">
      <w:pPr>
        <w:pStyle w:val="Textonotapie"/>
        <w:jc w:val="both"/>
        <w:rPr>
          <w:rFonts w:ascii="Verdana" w:hAnsi="Verdana"/>
          <w:sz w:val="16"/>
          <w:szCs w:val="16"/>
          <w:lang w:val="es-CR"/>
        </w:rPr>
      </w:pPr>
      <w:r w:rsidRPr="004510E4">
        <w:rPr>
          <w:rStyle w:val="Refdenotaalpie"/>
          <w:rFonts w:ascii="Verdana" w:hAnsi="Verdana"/>
          <w:sz w:val="16"/>
          <w:szCs w:val="16"/>
        </w:rPr>
        <w:footnoteRef/>
      </w:r>
      <w:r w:rsidRPr="004510E4">
        <w:rPr>
          <w:rFonts w:ascii="Verdana" w:hAnsi="Verdana"/>
          <w:sz w:val="16"/>
          <w:szCs w:val="16"/>
        </w:rPr>
        <w:t xml:space="preserve"> </w:t>
      </w:r>
      <w:r w:rsidRPr="004510E4">
        <w:rPr>
          <w:rFonts w:ascii="Verdana" w:hAnsi="Verdana"/>
          <w:sz w:val="16"/>
          <w:szCs w:val="16"/>
        </w:rPr>
        <w:tab/>
      </w:r>
      <w:r w:rsidRPr="004510E4">
        <w:rPr>
          <w:rFonts w:ascii="Verdana" w:hAnsi="Verdana"/>
          <w:i/>
          <w:sz w:val="16"/>
          <w:szCs w:val="16"/>
        </w:rPr>
        <w:t>Cfr. Caso Duque Vs. Colombia. Excepciones Preliminares, Fondo, Reparaciones y Costas.</w:t>
      </w:r>
      <w:r w:rsidRPr="004510E4">
        <w:rPr>
          <w:rFonts w:ascii="Verdana" w:hAnsi="Verdana"/>
          <w:sz w:val="16"/>
          <w:szCs w:val="16"/>
        </w:rPr>
        <w:t xml:space="preserve"> Sentencia de 26 de febrero de 2016. Serie C No. 310. </w:t>
      </w:r>
      <w:r w:rsidR="0027195E">
        <w:rPr>
          <w:rFonts w:ascii="Verdana" w:hAnsi="Verdana"/>
          <w:sz w:val="16"/>
          <w:szCs w:val="16"/>
          <w:lang w:val="es-CR"/>
        </w:rPr>
        <w:t>D</w:t>
      </w:r>
      <w:r w:rsidRPr="004510E4">
        <w:rPr>
          <w:rFonts w:ascii="Verdana" w:hAnsi="Verdana"/>
          <w:sz w:val="16"/>
          <w:szCs w:val="16"/>
        </w:rPr>
        <w:t xml:space="preserve">isponible en: </w:t>
      </w:r>
      <w:hyperlink r:id="rId1" w:history="1">
        <w:r w:rsidR="00156213" w:rsidRPr="00F22417">
          <w:rPr>
            <w:rStyle w:val="Hipervnculo"/>
            <w:rFonts w:ascii="Verdana" w:hAnsi="Verdana"/>
            <w:sz w:val="16"/>
            <w:szCs w:val="16"/>
          </w:rPr>
          <w:t>http://www.corteidh.or.cr/docs/casos/articulos/seriec_310_esp.pdf</w:t>
        </w:r>
      </w:hyperlink>
      <w:r w:rsidR="00156213">
        <w:rPr>
          <w:rFonts w:ascii="Verdana" w:hAnsi="Verdana"/>
          <w:sz w:val="16"/>
          <w:szCs w:val="16"/>
          <w:lang w:val="es-CR"/>
        </w:rPr>
        <w:t xml:space="preserve">. </w:t>
      </w:r>
      <w:r w:rsidRPr="00DF5EE9">
        <w:rPr>
          <w:rFonts w:ascii="Verdana" w:hAnsi="Verdana"/>
          <w:sz w:val="16"/>
          <w:szCs w:val="16"/>
        </w:rPr>
        <w:t>La Sentencia fue notificada al Estado el 15 de abril de 2016.</w:t>
      </w:r>
    </w:p>
  </w:footnote>
  <w:footnote w:id="3">
    <w:p w14:paraId="75B036FB" w14:textId="77777777" w:rsidR="00156213" w:rsidRPr="00ED0B5F" w:rsidRDefault="00156213" w:rsidP="00156213">
      <w:pPr>
        <w:pStyle w:val="Textonotapie"/>
        <w:jc w:val="both"/>
        <w:rPr>
          <w:rFonts w:ascii="Verdana" w:hAnsi="Verdana"/>
          <w:sz w:val="16"/>
          <w:szCs w:val="16"/>
        </w:rPr>
      </w:pPr>
      <w:r w:rsidRPr="00156213">
        <w:rPr>
          <w:rStyle w:val="Refdenotaalpie"/>
          <w:rFonts w:ascii="Verdana" w:hAnsi="Verdana"/>
          <w:sz w:val="16"/>
          <w:szCs w:val="16"/>
        </w:rPr>
        <w:footnoteRef/>
      </w:r>
      <w:r w:rsidRPr="00156213">
        <w:rPr>
          <w:rFonts w:ascii="Verdana" w:hAnsi="Verdana"/>
          <w:sz w:val="16"/>
          <w:szCs w:val="16"/>
        </w:rPr>
        <w:t xml:space="preserve"> </w:t>
      </w:r>
      <w:r w:rsidRPr="00156213">
        <w:rPr>
          <w:rFonts w:ascii="Verdana" w:hAnsi="Verdana"/>
          <w:sz w:val="16"/>
          <w:szCs w:val="16"/>
        </w:rPr>
        <w:tab/>
      </w:r>
      <w:r w:rsidRPr="00156213">
        <w:rPr>
          <w:rFonts w:ascii="Verdana" w:hAnsi="Verdana"/>
          <w:i/>
          <w:sz w:val="16"/>
          <w:szCs w:val="16"/>
        </w:rPr>
        <w:t>Cfr. Caso Duque Vs. Colombia. Interpretación de la Sentencia de Excepciones Preliminares, Fondo, Reparaciones y Costas</w:t>
      </w:r>
      <w:r w:rsidRPr="00156213">
        <w:rPr>
          <w:rFonts w:ascii="Verdana" w:hAnsi="Verdana"/>
          <w:sz w:val="16"/>
          <w:szCs w:val="16"/>
        </w:rPr>
        <w:t>. Sentencia de 21 de noviembre de 2016. Serie C No. 322</w:t>
      </w:r>
      <w:r w:rsidR="0027195E">
        <w:rPr>
          <w:rFonts w:ascii="Verdana" w:hAnsi="Verdana"/>
          <w:sz w:val="16"/>
          <w:szCs w:val="16"/>
          <w:lang w:val="es-CR"/>
        </w:rPr>
        <w:t>.</w:t>
      </w:r>
      <w:r w:rsidRPr="00156213">
        <w:rPr>
          <w:rFonts w:ascii="Verdana" w:hAnsi="Verdana"/>
          <w:sz w:val="16"/>
          <w:szCs w:val="16"/>
        </w:rPr>
        <w:t xml:space="preserve"> </w:t>
      </w:r>
      <w:r w:rsidR="0027195E">
        <w:rPr>
          <w:rFonts w:ascii="Verdana" w:hAnsi="Verdana"/>
          <w:sz w:val="16"/>
          <w:szCs w:val="16"/>
          <w:lang w:val="es-CR"/>
        </w:rPr>
        <w:t>D</w:t>
      </w:r>
      <w:r w:rsidRPr="00156213">
        <w:rPr>
          <w:rFonts w:ascii="Verdana" w:hAnsi="Verdana"/>
          <w:sz w:val="16"/>
          <w:szCs w:val="16"/>
        </w:rPr>
        <w:t xml:space="preserve">isponible en: </w:t>
      </w:r>
      <w:hyperlink r:id="rId2" w:history="1">
        <w:r w:rsidRPr="00156213">
          <w:rPr>
            <w:rStyle w:val="Hipervnculo"/>
            <w:rFonts w:ascii="Verdana" w:hAnsi="Verdana"/>
            <w:sz w:val="16"/>
            <w:szCs w:val="16"/>
          </w:rPr>
          <w:t>http://www.corteidh.or.cr/docs/casos/articulos/seriec_322_esp.pdf</w:t>
        </w:r>
      </w:hyperlink>
      <w:r w:rsidRPr="00156213">
        <w:rPr>
          <w:rFonts w:ascii="Verdana" w:hAnsi="Verdana"/>
          <w:sz w:val="16"/>
          <w:szCs w:val="16"/>
          <w:lang w:val="es-CR"/>
        </w:rPr>
        <w:t xml:space="preserve">. </w:t>
      </w:r>
    </w:p>
  </w:footnote>
  <w:footnote w:id="4">
    <w:p w14:paraId="043A2596" w14:textId="77777777" w:rsidR="004510E4" w:rsidRPr="00DF5EE9" w:rsidRDefault="004510E4" w:rsidP="00DF5EE9">
      <w:pPr>
        <w:pStyle w:val="Textonotapie"/>
        <w:jc w:val="both"/>
        <w:rPr>
          <w:rFonts w:ascii="Verdana" w:hAnsi="Verdana"/>
          <w:sz w:val="16"/>
          <w:szCs w:val="16"/>
          <w:lang w:val="es-CR"/>
        </w:rPr>
      </w:pPr>
      <w:r w:rsidRPr="00DF5EE9">
        <w:rPr>
          <w:rStyle w:val="Refdenotaalpie"/>
          <w:rFonts w:ascii="Verdana" w:hAnsi="Verdana"/>
          <w:sz w:val="16"/>
          <w:szCs w:val="16"/>
        </w:rPr>
        <w:footnoteRef/>
      </w:r>
      <w:r w:rsidRPr="00DF5EE9">
        <w:rPr>
          <w:rFonts w:ascii="Verdana" w:hAnsi="Verdana"/>
          <w:sz w:val="16"/>
          <w:szCs w:val="16"/>
        </w:rPr>
        <w:t xml:space="preserve"> </w:t>
      </w:r>
      <w:r w:rsidRPr="004510E4">
        <w:rPr>
          <w:rFonts w:ascii="Verdana" w:hAnsi="Verdana"/>
          <w:sz w:val="16"/>
          <w:szCs w:val="16"/>
        </w:rPr>
        <w:tab/>
      </w:r>
      <w:r>
        <w:rPr>
          <w:rFonts w:ascii="Verdana" w:hAnsi="Verdana"/>
          <w:sz w:val="16"/>
          <w:szCs w:val="16"/>
          <w:lang w:val="es-CR"/>
        </w:rPr>
        <w:t>En esta Resolución, la</w:t>
      </w:r>
      <w:r w:rsidRPr="004510E4">
        <w:rPr>
          <w:rFonts w:ascii="Verdana" w:hAnsi="Verdana"/>
          <w:sz w:val="16"/>
          <w:szCs w:val="16"/>
        </w:rPr>
        <w:t xml:space="preserve"> </w:t>
      </w:r>
      <w:r>
        <w:rPr>
          <w:rFonts w:ascii="Verdana" w:hAnsi="Verdana"/>
          <w:sz w:val="16"/>
          <w:szCs w:val="16"/>
          <w:lang w:val="es-CR"/>
        </w:rPr>
        <w:t xml:space="preserve">Corte consideró improcedente la solicitud planteada por Colombia a fin de </w:t>
      </w:r>
      <w:r w:rsidR="00DF5EE9">
        <w:rPr>
          <w:rFonts w:ascii="Verdana" w:hAnsi="Verdana"/>
          <w:sz w:val="16"/>
          <w:szCs w:val="16"/>
          <w:lang w:val="es-CR"/>
        </w:rPr>
        <w:t xml:space="preserve">prorrogar </w:t>
      </w:r>
      <w:r>
        <w:rPr>
          <w:rFonts w:ascii="Verdana" w:hAnsi="Verdana"/>
          <w:sz w:val="16"/>
          <w:szCs w:val="16"/>
          <w:lang w:val="es-CR"/>
        </w:rPr>
        <w:t xml:space="preserve">el plazo de 90 días otorgado en la Sentencia para </w:t>
      </w:r>
      <w:r w:rsidR="00DF5EE9">
        <w:rPr>
          <w:rFonts w:ascii="Verdana" w:hAnsi="Verdana"/>
          <w:sz w:val="16"/>
          <w:szCs w:val="16"/>
          <w:lang w:val="es-CR"/>
        </w:rPr>
        <w:t>dar cumplimiento al</w:t>
      </w:r>
      <w:r>
        <w:rPr>
          <w:rFonts w:ascii="Verdana" w:hAnsi="Verdana"/>
          <w:sz w:val="16"/>
          <w:szCs w:val="16"/>
          <w:lang w:val="es-CR"/>
        </w:rPr>
        <w:t xml:space="preserve"> reintegro al Fondo de Asistencia.</w:t>
      </w:r>
      <w:r w:rsidR="00DF5EE9">
        <w:rPr>
          <w:rFonts w:ascii="Verdana" w:hAnsi="Verdana"/>
          <w:sz w:val="16"/>
          <w:szCs w:val="16"/>
          <w:lang w:val="es-CR"/>
        </w:rPr>
        <w:t xml:space="preserve"> </w:t>
      </w:r>
      <w:r w:rsidRPr="00DF5EE9">
        <w:rPr>
          <w:rFonts w:ascii="Verdana" w:hAnsi="Verdana"/>
          <w:i/>
          <w:sz w:val="16"/>
          <w:szCs w:val="16"/>
        </w:rPr>
        <w:t xml:space="preserve">Cfr. Caso Duque Vs. Colombia. Fondo de Asistencia Legal de Víctimas. </w:t>
      </w:r>
      <w:r w:rsidRPr="00DF5EE9">
        <w:rPr>
          <w:rFonts w:ascii="Verdana" w:hAnsi="Verdana"/>
          <w:sz w:val="16"/>
          <w:szCs w:val="16"/>
        </w:rPr>
        <w:t>Resolución del Presidente de la Corte Interamericana de Derechos Humanos de 7 de octubre de 2016</w:t>
      </w:r>
      <w:r w:rsidR="0027195E">
        <w:rPr>
          <w:rFonts w:ascii="Verdana" w:hAnsi="Verdana"/>
          <w:sz w:val="16"/>
          <w:szCs w:val="16"/>
          <w:lang w:val="es-CR"/>
        </w:rPr>
        <w:t>.</w:t>
      </w:r>
      <w:r w:rsidRPr="00DF5EE9">
        <w:rPr>
          <w:rFonts w:ascii="Verdana" w:hAnsi="Verdana"/>
          <w:sz w:val="16"/>
          <w:szCs w:val="16"/>
        </w:rPr>
        <w:t xml:space="preserve"> </w:t>
      </w:r>
      <w:r w:rsidR="0027195E">
        <w:rPr>
          <w:rFonts w:ascii="Verdana" w:hAnsi="Verdana"/>
          <w:sz w:val="16"/>
          <w:szCs w:val="16"/>
          <w:lang w:val="es-CR"/>
        </w:rPr>
        <w:t>D</w:t>
      </w:r>
      <w:r w:rsidR="0027195E" w:rsidRPr="00DF5EE9">
        <w:rPr>
          <w:rFonts w:ascii="Verdana" w:hAnsi="Verdana"/>
          <w:sz w:val="16"/>
          <w:szCs w:val="16"/>
        </w:rPr>
        <w:t xml:space="preserve">isponible </w:t>
      </w:r>
      <w:r w:rsidRPr="00DF5EE9">
        <w:rPr>
          <w:rFonts w:ascii="Verdana" w:hAnsi="Verdana"/>
          <w:sz w:val="16"/>
          <w:szCs w:val="16"/>
        </w:rPr>
        <w:t xml:space="preserve">en: </w:t>
      </w:r>
      <w:hyperlink r:id="rId3" w:history="1">
        <w:r w:rsidR="00156213" w:rsidRPr="00F22417">
          <w:rPr>
            <w:rStyle w:val="Hipervnculo"/>
            <w:rFonts w:ascii="Verdana" w:hAnsi="Verdana"/>
            <w:sz w:val="16"/>
            <w:szCs w:val="16"/>
          </w:rPr>
          <w:t>http://www.corteidh.or.cr/docs/asuntos/duque_fv_16.pdf</w:t>
        </w:r>
      </w:hyperlink>
      <w:r w:rsidR="00156213">
        <w:rPr>
          <w:rFonts w:ascii="Verdana" w:hAnsi="Verdana"/>
          <w:sz w:val="16"/>
          <w:szCs w:val="16"/>
          <w:lang w:val="es-CR"/>
        </w:rPr>
        <w:t xml:space="preserve">. </w:t>
      </w:r>
    </w:p>
  </w:footnote>
  <w:footnote w:id="5">
    <w:p w14:paraId="45C09C45" w14:textId="77777777" w:rsidR="00DF5EE9" w:rsidRPr="00DB5FB8" w:rsidRDefault="00DF5EE9" w:rsidP="00414985">
      <w:pPr>
        <w:pStyle w:val="Textonotapie"/>
        <w:jc w:val="both"/>
        <w:rPr>
          <w:rFonts w:ascii="Verdana" w:hAnsi="Verdana"/>
          <w:sz w:val="16"/>
          <w:szCs w:val="16"/>
          <w:lang w:val="es-CR"/>
        </w:rPr>
      </w:pPr>
      <w:r w:rsidRPr="00DF5EE9">
        <w:rPr>
          <w:rStyle w:val="Refdenotaalpie"/>
          <w:rFonts w:ascii="Verdana" w:hAnsi="Verdana"/>
          <w:sz w:val="16"/>
          <w:szCs w:val="16"/>
        </w:rPr>
        <w:footnoteRef/>
      </w:r>
      <w:r w:rsidRPr="00DF5EE9">
        <w:rPr>
          <w:rFonts w:ascii="Verdana" w:hAnsi="Verdana"/>
          <w:sz w:val="16"/>
          <w:szCs w:val="16"/>
        </w:rPr>
        <w:t xml:space="preserve"> </w:t>
      </w:r>
      <w:r w:rsidRPr="00DF5EE9">
        <w:rPr>
          <w:rFonts w:ascii="Verdana" w:hAnsi="Verdana"/>
          <w:sz w:val="16"/>
          <w:szCs w:val="16"/>
          <w:lang w:val="es-CR"/>
        </w:rPr>
        <w:tab/>
      </w:r>
      <w:r>
        <w:rPr>
          <w:rFonts w:ascii="Verdana" w:hAnsi="Verdana"/>
          <w:sz w:val="16"/>
          <w:szCs w:val="16"/>
          <w:lang w:val="es-CR"/>
        </w:rPr>
        <w:t xml:space="preserve">En esta Resolución la Corte </w:t>
      </w:r>
      <w:r w:rsidR="00D93CB5">
        <w:rPr>
          <w:rFonts w:ascii="Verdana" w:hAnsi="Verdana"/>
          <w:sz w:val="16"/>
          <w:szCs w:val="16"/>
          <w:lang w:val="es-CR"/>
        </w:rPr>
        <w:t>“</w:t>
      </w:r>
      <w:proofErr w:type="spellStart"/>
      <w:r w:rsidR="00D93CB5">
        <w:rPr>
          <w:rFonts w:ascii="Verdana" w:hAnsi="Verdana"/>
          <w:sz w:val="16"/>
          <w:szCs w:val="16"/>
          <w:lang w:val="es-CR"/>
        </w:rPr>
        <w:t>observ</w:t>
      </w:r>
      <w:proofErr w:type="spellEnd"/>
      <w:r w:rsidR="00D93CB5">
        <w:rPr>
          <w:rFonts w:ascii="Verdana" w:hAnsi="Verdana"/>
          <w:sz w:val="16"/>
          <w:szCs w:val="16"/>
          <w:lang w:val="es-CR"/>
        </w:rPr>
        <w:t>[</w:t>
      </w:r>
      <w:proofErr w:type="spellStart"/>
      <w:r w:rsidR="00D93CB5">
        <w:rPr>
          <w:rFonts w:ascii="Verdana" w:hAnsi="Verdana"/>
          <w:sz w:val="16"/>
          <w:szCs w:val="16"/>
          <w:lang w:val="es-CR"/>
        </w:rPr>
        <w:t>ó</w:t>
      </w:r>
      <w:proofErr w:type="spellEnd"/>
      <w:r w:rsidR="00D93CB5">
        <w:rPr>
          <w:rFonts w:ascii="Verdana" w:hAnsi="Verdana"/>
          <w:sz w:val="16"/>
          <w:szCs w:val="16"/>
          <w:lang w:val="es-CR"/>
        </w:rPr>
        <w:t>] que desde abril de 2017 el Estado no presenta[</w:t>
      </w:r>
      <w:proofErr w:type="spellStart"/>
      <w:r w:rsidR="00D93CB5">
        <w:rPr>
          <w:rFonts w:ascii="Verdana" w:hAnsi="Verdana"/>
          <w:sz w:val="16"/>
          <w:szCs w:val="16"/>
          <w:lang w:val="es-CR"/>
        </w:rPr>
        <w:t>ba</w:t>
      </w:r>
      <w:proofErr w:type="spellEnd"/>
      <w:r w:rsidR="00D93CB5">
        <w:rPr>
          <w:rFonts w:ascii="Verdana" w:hAnsi="Verdana"/>
          <w:sz w:val="16"/>
          <w:szCs w:val="16"/>
          <w:lang w:val="es-CR"/>
        </w:rPr>
        <w:t xml:space="preserve">] información relativa al reintegro al Fondo de Asistencia Legal de Víctimas y </w:t>
      </w:r>
      <w:proofErr w:type="spellStart"/>
      <w:r w:rsidR="00D93CB5">
        <w:rPr>
          <w:rFonts w:ascii="Verdana" w:hAnsi="Verdana"/>
          <w:sz w:val="16"/>
          <w:szCs w:val="16"/>
          <w:lang w:val="es-CR"/>
        </w:rPr>
        <w:t>constat</w:t>
      </w:r>
      <w:proofErr w:type="spellEnd"/>
      <w:r w:rsidR="00D93CB5">
        <w:rPr>
          <w:rFonts w:ascii="Verdana" w:hAnsi="Verdana"/>
          <w:sz w:val="16"/>
          <w:szCs w:val="16"/>
          <w:lang w:val="es-CR"/>
        </w:rPr>
        <w:t>[</w:t>
      </w:r>
      <w:proofErr w:type="spellStart"/>
      <w:r w:rsidR="00D93CB5">
        <w:rPr>
          <w:rFonts w:ascii="Verdana" w:hAnsi="Verdana"/>
          <w:sz w:val="16"/>
          <w:szCs w:val="16"/>
          <w:lang w:val="es-CR"/>
        </w:rPr>
        <w:t>ó</w:t>
      </w:r>
      <w:proofErr w:type="spellEnd"/>
      <w:r w:rsidR="00D93CB5">
        <w:rPr>
          <w:rFonts w:ascii="Verdana" w:hAnsi="Verdana"/>
          <w:sz w:val="16"/>
          <w:szCs w:val="16"/>
          <w:lang w:val="es-CR"/>
        </w:rPr>
        <w:t>] que Colombia no ha</w:t>
      </w:r>
      <w:r w:rsidR="00156213">
        <w:rPr>
          <w:rFonts w:ascii="Verdana" w:hAnsi="Verdana"/>
          <w:sz w:val="16"/>
          <w:szCs w:val="16"/>
          <w:lang w:val="es-CR"/>
        </w:rPr>
        <w:t>[</w:t>
      </w:r>
      <w:proofErr w:type="spellStart"/>
      <w:r w:rsidR="00D93CB5">
        <w:rPr>
          <w:rFonts w:ascii="Verdana" w:hAnsi="Verdana"/>
          <w:sz w:val="16"/>
          <w:szCs w:val="16"/>
          <w:lang w:val="es-CR"/>
        </w:rPr>
        <w:t>bía</w:t>
      </w:r>
      <w:proofErr w:type="spellEnd"/>
      <w:r w:rsidR="00156213">
        <w:rPr>
          <w:rFonts w:ascii="Verdana" w:hAnsi="Verdana"/>
          <w:sz w:val="16"/>
          <w:szCs w:val="16"/>
          <w:lang w:val="es-CR"/>
        </w:rPr>
        <w:t>]</w:t>
      </w:r>
      <w:r w:rsidR="00D93CB5">
        <w:rPr>
          <w:rFonts w:ascii="Verdana" w:hAnsi="Verdana"/>
          <w:sz w:val="16"/>
          <w:szCs w:val="16"/>
          <w:lang w:val="es-CR"/>
        </w:rPr>
        <w:t xml:space="preserve"> cumplido con realizar el referido reintegro”. Al respecto, le “</w:t>
      </w:r>
      <w:proofErr w:type="spellStart"/>
      <w:r w:rsidR="00D93CB5">
        <w:rPr>
          <w:rFonts w:ascii="Verdana" w:hAnsi="Verdana"/>
          <w:sz w:val="16"/>
          <w:szCs w:val="16"/>
          <w:lang w:val="es-CR"/>
        </w:rPr>
        <w:t>requi</w:t>
      </w:r>
      <w:proofErr w:type="spellEnd"/>
      <w:r w:rsidR="00D93CB5">
        <w:rPr>
          <w:rFonts w:ascii="Verdana" w:hAnsi="Verdana"/>
          <w:sz w:val="16"/>
          <w:szCs w:val="16"/>
          <w:lang w:val="es-CR"/>
        </w:rPr>
        <w:t>[</w:t>
      </w:r>
      <w:proofErr w:type="spellStart"/>
      <w:r w:rsidR="00D93CB5">
        <w:rPr>
          <w:rFonts w:ascii="Verdana" w:hAnsi="Verdana"/>
          <w:sz w:val="16"/>
          <w:szCs w:val="16"/>
          <w:lang w:val="es-CR"/>
        </w:rPr>
        <w:t>rió</w:t>
      </w:r>
      <w:proofErr w:type="spellEnd"/>
      <w:r w:rsidR="00D93CB5">
        <w:rPr>
          <w:rFonts w:ascii="Verdana" w:hAnsi="Verdana"/>
          <w:sz w:val="16"/>
          <w:szCs w:val="16"/>
          <w:lang w:val="es-CR"/>
        </w:rPr>
        <w:t>]</w:t>
      </w:r>
      <w:r w:rsidR="004D7EF5">
        <w:rPr>
          <w:rFonts w:ascii="Verdana" w:hAnsi="Verdana"/>
          <w:sz w:val="16"/>
          <w:szCs w:val="16"/>
          <w:lang w:val="es-CR"/>
        </w:rPr>
        <w:t xml:space="preserve"> que, en cumplimiento de sus obligaciones convencionales, proced[iera] a la mayor brevedad con el referido reintegro”. </w:t>
      </w:r>
      <w:r w:rsidRPr="00320ED0">
        <w:rPr>
          <w:rFonts w:ascii="Verdana" w:hAnsi="Verdana"/>
          <w:i/>
          <w:sz w:val="16"/>
          <w:szCs w:val="16"/>
          <w:lang w:val="es-CR"/>
        </w:rPr>
        <w:t xml:space="preserve">Cfr. </w:t>
      </w:r>
      <w:r w:rsidRPr="00320ED0">
        <w:rPr>
          <w:rStyle w:val="Textoennegrita"/>
          <w:rFonts w:ascii="Verdana" w:hAnsi="Verdana"/>
          <w:b w:val="0"/>
          <w:i/>
          <w:color w:val="000000"/>
          <w:sz w:val="16"/>
          <w:szCs w:val="16"/>
          <w:shd w:val="clear" w:color="auto" w:fill="FFFFFF"/>
        </w:rPr>
        <w:t>Caso Duque Vs. Colombia. Supervisión de Cumplimiento de Sentencia.</w:t>
      </w:r>
      <w:r w:rsidRPr="00320ED0">
        <w:rPr>
          <w:rStyle w:val="Textoennegrita"/>
          <w:rFonts w:ascii="Verdana" w:hAnsi="Verdana"/>
          <w:b w:val="0"/>
          <w:color w:val="000000"/>
          <w:sz w:val="16"/>
          <w:szCs w:val="16"/>
          <w:shd w:val="clear" w:color="auto" w:fill="FFFFFF"/>
        </w:rPr>
        <w:t xml:space="preserve"> Resolución de la Corte </w:t>
      </w:r>
      <w:r w:rsidRPr="00DB5FB8">
        <w:rPr>
          <w:rStyle w:val="Textoennegrita"/>
          <w:rFonts w:ascii="Verdana" w:hAnsi="Verdana"/>
          <w:b w:val="0"/>
          <w:color w:val="000000"/>
          <w:sz w:val="16"/>
          <w:szCs w:val="16"/>
          <w:shd w:val="clear" w:color="auto" w:fill="FFFFFF"/>
        </w:rPr>
        <w:t>Interamericana de Derechos Humanos de 22 de noviembre de 2018</w:t>
      </w:r>
      <w:r w:rsidR="00DF4F7F">
        <w:rPr>
          <w:rStyle w:val="Textoennegrita"/>
          <w:rFonts w:ascii="Verdana" w:hAnsi="Verdana"/>
          <w:b w:val="0"/>
          <w:color w:val="000000"/>
          <w:sz w:val="16"/>
          <w:szCs w:val="16"/>
          <w:shd w:val="clear" w:color="auto" w:fill="FFFFFF"/>
          <w:lang w:val="es-CR"/>
        </w:rPr>
        <w:t>.</w:t>
      </w:r>
      <w:r w:rsidRPr="00DB5FB8">
        <w:rPr>
          <w:rStyle w:val="Textoennegrita"/>
          <w:rFonts w:ascii="Verdana" w:hAnsi="Verdana"/>
          <w:b w:val="0"/>
          <w:color w:val="000000"/>
          <w:sz w:val="16"/>
          <w:szCs w:val="16"/>
          <w:shd w:val="clear" w:color="auto" w:fill="FFFFFF"/>
        </w:rPr>
        <w:t xml:space="preserve"> </w:t>
      </w:r>
      <w:r w:rsidR="00DF4F7F">
        <w:rPr>
          <w:rStyle w:val="Textoennegrita"/>
          <w:rFonts w:ascii="Verdana" w:hAnsi="Verdana"/>
          <w:b w:val="0"/>
          <w:color w:val="000000"/>
          <w:sz w:val="16"/>
          <w:szCs w:val="16"/>
          <w:shd w:val="clear" w:color="auto" w:fill="FFFFFF"/>
          <w:lang w:val="es-CR"/>
        </w:rPr>
        <w:t>D</w:t>
      </w:r>
      <w:r w:rsidR="00DF4F7F" w:rsidRPr="00DB5FB8">
        <w:rPr>
          <w:rStyle w:val="Textoennegrita"/>
          <w:rFonts w:ascii="Verdana" w:hAnsi="Verdana"/>
          <w:b w:val="0"/>
          <w:color w:val="000000"/>
          <w:sz w:val="16"/>
          <w:szCs w:val="16"/>
          <w:shd w:val="clear" w:color="auto" w:fill="FFFFFF"/>
        </w:rPr>
        <w:t xml:space="preserve">isponible </w:t>
      </w:r>
      <w:r w:rsidRPr="00DB5FB8">
        <w:rPr>
          <w:rStyle w:val="Textoennegrita"/>
          <w:rFonts w:ascii="Verdana" w:hAnsi="Verdana"/>
          <w:b w:val="0"/>
          <w:color w:val="000000"/>
          <w:sz w:val="16"/>
          <w:szCs w:val="16"/>
          <w:shd w:val="clear" w:color="auto" w:fill="FFFFFF"/>
        </w:rPr>
        <w:t xml:space="preserve">en: </w:t>
      </w:r>
      <w:hyperlink r:id="rId4" w:history="1">
        <w:r w:rsidRPr="00DB5FB8">
          <w:rPr>
            <w:rStyle w:val="Hipervnculo"/>
            <w:rFonts w:ascii="Verdana" w:hAnsi="Verdana"/>
            <w:sz w:val="16"/>
            <w:szCs w:val="16"/>
          </w:rPr>
          <w:t>http://www.corteidh.or.cr/docs/supervisiones/duque_22_11_18.pdf</w:t>
        </w:r>
      </w:hyperlink>
      <w:r w:rsidRPr="00DB5FB8">
        <w:rPr>
          <w:rFonts w:ascii="Verdana" w:hAnsi="Verdana"/>
          <w:sz w:val="16"/>
          <w:szCs w:val="16"/>
          <w:lang w:val="es-CR"/>
        </w:rPr>
        <w:t>.</w:t>
      </w:r>
    </w:p>
  </w:footnote>
  <w:footnote w:id="6">
    <w:p w14:paraId="0937E66D" w14:textId="77777777" w:rsidR="00FB030C" w:rsidRPr="00DB5FB8" w:rsidRDefault="00FB030C" w:rsidP="00414985">
      <w:pPr>
        <w:pStyle w:val="Textonotapie"/>
        <w:jc w:val="both"/>
        <w:rPr>
          <w:rFonts w:ascii="Verdana" w:hAnsi="Verdana"/>
          <w:sz w:val="16"/>
          <w:szCs w:val="16"/>
          <w:lang w:val="es-CR"/>
        </w:rPr>
      </w:pPr>
      <w:r w:rsidRPr="00DB5FB8">
        <w:rPr>
          <w:rStyle w:val="Refdenotaalpie"/>
          <w:rFonts w:ascii="Verdana" w:hAnsi="Verdana"/>
          <w:sz w:val="16"/>
          <w:szCs w:val="16"/>
        </w:rPr>
        <w:footnoteRef/>
      </w:r>
      <w:r w:rsidRPr="00DB5FB8">
        <w:rPr>
          <w:rFonts w:ascii="Verdana" w:hAnsi="Verdana"/>
          <w:sz w:val="16"/>
          <w:szCs w:val="16"/>
        </w:rPr>
        <w:t xml:space="preserve"> </w:t>
      </w:r>
      <w:r w:rsidRPr="00DB5FB8">
        <w:rPr>
          <w:rFonts w:ascii="Verdana" w:hAnsi="Verdana"/>
          <w:sz w:val="16"/>
          <w:szCs w:val="16"/>
          <w:lang w:val="es-CR"/>
        </w:rPr>
        <w:tab/>
        <w:t xml:space="preserve">La Comisión Colombiana de Juristas. </w:t>
      </w:r>
    </w:p>
  </w:footnote>
  <w:footnote w:id="7">
    <w:p w14:paraId="408F9187" w14:textId="77777777" w:rsidR="00DB5FB8" w:rsidRPr="00DB5FB8" w:rsidRDefault="00DB5FB8" w:rsidP="00ED0B5F">
      <w:pPr>
        <w:pStyle w:val="Textonotapie"/>
        <w:jc w:val="both"/>
        <w:rPr>
          <w:rFonts w:ascii="Verdana" w:hAnsi="Verdana"/>
          <w:sz w:val="16"/>
          <w:szCs w:val="16"/>
        </w:rPr>
      </w:pPr>
      <w:r w:rsidRPr="00DB5FB8">
        <w:rPr>
          <w:rStyle w:val="Refdenotaalpie"/>
          <w:rFonts w:ascii="Verdana" w:hAnsi="Verdana"/>
          <w:sz w:val="16"/>
          <w:szCs w:val="16"/>
        </w:rPr>
        <w:footnoteRef/>
      </w:r>
      <w:r w:rsidRPr="00DB5FB8">
        <w:rPr>
          <w:rFonts w:ascii="Verdana" w:hAnsi="Verdana"/>
          <w:sz w:val="16"/>
          <w:szCs w:val="16"/>
        </w:rPr>
        <w:t xml:space="preserve"> </w:t>
      </w:r>
      <w:r w:rsidRPr="00DB5FB8">
        <w:rPr>
          <w:rFonts w:ascii="Verdana" w:hAnsi="Verdana"/>
          <w:sz w:val="16"/>
          <w:szCs w:val="16"/>
        </w:rPr>
        <w:tab/>
      </w:r>
      <w:r w:rsidRPr="00DB5FB8">
        <w:rPr>
          <w:rFonts w:ascii="Verdana" w:hAnsi="Verdana"/>
          <w:sz w:val="16"/>
          <w:szCs w:val="16"/>
          <w:lang w:val="es-CR"/>
        </w:rPr>
        <w:t xml:space="preserve">Facultad que además se desprende de lo dispuesto en los artículos 33, 62.1, 62.3 y 65 de la Convención Americana </w:t>
      </w:r>
      <w:r w:rsidR="00DF4F7F">
        <w:rPr>
          <w:rFonts w:ascii="Verdana" w:hAnsi="Verdana"/>
          <w:sz w:val="16"/>
          <w:szCs w:val="16"/>
          <w:lang w:val="es-CR"/>
        </w:rPr>
        <w:t xml:space="preserve">sobre Derechos Humanos </w:t>
      </w:r>
      <w:r w:rsidRPr="00DB5FB8">
        <w:rPr>
          <w:rFonts w:ascii="Verdana" w:hAnsi="Verdana"/>
          <w:sz w:val="16"/>
          <w:szCs w:val="16"/>
          <w:lang w:val="es-CR"/>
        </w:rPr>
        <w:t>y 30 de su Estatuto y se encuentra regulada en el artículo 69 de su Reglamento.</w:t>
      </w:r>
    </w:p>
  </w:footnote>
  <w:footnote w:id="8">
    <w:p w14:paraId="5ECECF25" w14:textId="77777777" w:rsidR="00414985" w:rsidRPr="00DB5FB8" w:rsidRDefault="00414985" w:rsidP="00414985">
      <w:pPr>
        <w:pStyle w:val="Textonotapie"/>
        <w:jc w:val="both"/>
        <w:rPr>
          <w:rFonts w:ascii="Verdana" w:hAnsi="Verdana"/>
          <w:sz w:val="16"/>
          <w:szCs w:val="16"/>
          <w:lang w:val="es-CR"/>
        </w:rPr>
      </w:pPr>
      <w:r w:rsidRPr="00DB5FB8">
        <w:rPr>
          <w:rStyle w:val="Refdenotaalpie"/>
          <w:rFonts w:ascii="Verdana" w:hAnsi="Verdana"/>
          <w:sz w:val="16"/>
          <w:szCs w:val="16"/>
        </w:rPr>
        <w:footnoteRef/>
      </w:r>
      <w:r w:rsidRPr="00DB5FB8">
        <w:rPr>
          <w:rFonts w:ascii="Verdana" w:hAnsi="Verdana"/>
          <w:sz w:val="16"/>
          <w:szCs w:val="16"/>
        </w:rPr>
        <w:t xml:space="preserve"> </w:t>
      </w:r>
      <w:r w:rsidRPr="00DB5FB8">
        <w:rPr>
          <w:rFonts w:ascii="Verdana" w:hAnsi="Verdana"/>
          <w:sz w:val="16"/>
          <w:szCs w:val="16"/>
        </w:rPr>
        <w:tab/>
      </w:r>
      <w:r w:rsidRPr="00DB5FB8">
        <w:rPr>
          <w:rFonts w:ascii="Verdana" w:hAnsi="Verdana"/>
          <w:sz w:val="16"/>
          <w:szCs w:val="16"/>
          <w:lang w:val="es-CR"/>
        </w:rPr>
        <w:t xml:space="preserve">El Estado dio cumplimiento total a </w:t>
      </w:r>
      <w:r w:rsidRPr="00DB5FB8">
        <w:rPr>
          <w:rFonts w:ascii="Verdana" w:hAnsi="Verdana"/>
          <w:sz w:val="16"/>
          <w:szCs w:val="16"/>
        </w:rPr>
        <w:t xml:space="preserve">las medidas </w:t>
      </w:r>
      <w:r w:rsidRPr="00DB5FB8">
        <w:rPr>
          <w:rFonts w:ascii="Verdana" w:hAnsi="Verdana"/>
          <w:sz w:val="16"/>
          <w:szCs w:val="16"/>
          <w:lang w:val="es-CR"/>
        </w:rPr>
        <w:t xml:space="preserve">de reparación </w:t>
      </w:r>
      <w:r w:rsidRPr="00DB5FB8">
        <w:rPr>
          <w:rFonts w:ascii="Verdana" w:hAnsi="Verdana"/>
          <w:sz w:val="16"/>
          <w:szCs w:val="16"/>
        </w:rPr>
        <w:t xml:space="preserve">ordenadas en el punto dispositivo octavo de la Sentencia, </w:t>
      </w:r>
      <w:r w:rsidRPr="00DB5FB8">
        <w:rPr>
          <w:rFonts w:ascii="Verdana" w:hAnsi="Verdana"/>
          <w:sz w:val="16"/>
          <w:szCs w:val="16"/>
          <w:lang w:val="es-CR"/>
        </w:rPr>
        <w:t>relativas a la</w:t>
      </w:r>
      <w:r w:rsidRPr="00DB5FB8">
        <w:rPr>
          <w:rFonts w:ascii="Verdana" w:hAnsi="Verdana"/>
          <w:sz w:val="16"/>
          <w:szCs w:val="16"/>
        </w:rPr>
        <w:t xml:space="preserve"> publicación y difusión de la Sentencia</w:t>
      </w:r>
      <w:r w:rsidRPr="00DB5FB8">
        <w:rPr>
          <w:rFonts w:ascii="Verdana" w:hAnsi="Verdana"/>
          <w:sz w:val="16"/>
          <w:szCs w:val="16"/>
          <w:lang w:val="es-CR"/>
        </w:rPr>
        <w:t>.</w:t>
      </w:r>
    </w:p>
  </w:footnote>
  <w:footnote w:id="9">
    <w:p w14:paraId="3EED95E2" w14:textId="77777777" w:rsidR="00414985" w:rsidRPr="00DB5FB8" w:rsidRDefault="00414985" w:rsidP="00414985">
      <w:pPr>
        <w:pStyle w:val="Textonotapie"/>
        <w:jc w:val="both"/>
        <w:rPr>
          <w:rFonts w:ascii="Verdana" w:hAnsi="Verdana"/>
          <w:sz w:val="16"/>
          <w:szCs w:val="16"/>
          <w:lang w:val="es-CR"/>
        </w:rPr>
      </w:pPr>
      <w:r w:rsidRPr="00DB5FB8">
        <w:rPr>
          <w:rStyle w:val="Refdenotaalpie"/>
          <w:rFonts w:ascii="Verdana" w:hAnsi="Verdana"/>
          <w:sz w:val="16"/>
          <w:szCs w:val="16"/>
        </w:rPr>
        <w:footnoteRef/>
      </w:r>
      <w:r w:rsidRPr="00DB5FB8">
        <w:rPr>
          <w:rFonts w:ascii="Verdana" w:hAnsi="Verdana"/>
          <w:sz w:val="16"/>
          <w:szCs w:val="16"/>
        </w:rPr>
        <w:t xml:space="preserve"> </w:t>
      </w:r>
      <w:r w:rsidRPr="00DB5FB8">
        <w:rPr>
          <w:rFonts w:ascii="Verdana" w:hAnsi="Verdana"/>
          <w:sz w:val="16"/>
          <w:szCs w:val="16"/>
        </w:rPr>
        <w:tab/>
      </w:r>
      <w:r w:rsidRPr="00DB5FB8">
        <w:rPr>
          <w:rFonts w:ascii="Verdana" w:hAnsi="Verdana"/>
          <w:sz w:val="16"/>
          <w:szCs w:val="16"/>
          <w:lang w:val="es-CR"/>
        </w:rPr>
        <w:t xml:space="preserve">El Estado dio cumplimiento parcial a </w:t>
      </w:r>
      <w:r w:rsidRPr="00DB5FB8">
        <w:rPr>
          <w:rFonts w:ascii="Verdana" w:hAnsi="Verdana"/>
          <w:sz w:val="16"/>
          <w:szCs w:val="16"/>
        </w:rPr>
        <w:t xml:space="preserve">la medida </w:t>
      </w:r>
      <w:r w:rsidRPr="00DB5FB8">
        <w:rPr>
          <w:rFonts w:ascii="Verdana" w:hAnsi="Verdana"/>
          <w:sz w:val="16"/>
          <w:szCs w:val="16"/>
          <w:lang w:val="es-CR"/>
        </w:rPr>
        <w:t xml:space="preserve">de reparación ordenada en el punto </w:t>
      </w:r>
      <w:r w:rsidRPr="00DB5FB8">
        <w:rPr>
          <w:rFonts w:ascii="Verdana" w:hAnsi="Verdana"/>
          <w:sz w:val="16"/>
          <w:szCs w:val="16"/>
        </w:rPr>
        <w:t>dispositivo noveno de la Sentencia</w:t>
      </w:r>
      <w:r w:rsidRPr="00DB5FB8">
        <w:rPr>
          <w:rFonts w:ascii="Verdana" w:hAnsi="Verdana"/>
          <w:sz w:val="16"/>
          <w:szCs w:val="16"/>
          <w:lang w:val="es-CR"/>
        </w:rPr>
        <w:t>,</w:t>
      </w:r>
      <w:r w:rsidRPr="00DB5FB8">
        <w:rPr>
          <w:rFonts w:ascii="Verdana" w:hAnsi="Verdana"/>
          <w:sz w:val="16"/>
          <w:szCs w:val="16"/>
        </w:rPr>
        <w:t xml:space="preserve"> relativa a garantizar al señor Duque el trámite prioritario de su solicitud a una pensión de sobrevivencia y realizar todos los pagos que no se percibieron desde que el señor</w:t>
      </w:r>
      <w:r w:rsidRPr="00DB5FB8">
        <w:rPr>
          <w:rFonts w:ascii="Verdana" w:hAnsi="Verdana"/>
          <w:sz w:val="16"/>
          <w:szCs w:val="16"/>
          <w:lang w:val="es-CR"/>
        </w:rPr>
        <w:t xml:space="preserve"> </w:t>
      </w:r>
      <w:r w:rsidRPr="00DB5FB8">
        <w:rPr>
          <w:rFonts w:ascii="Verdana" w:hAnsi="Verdana"/>
          <w:sz w:val="16"/>
          <w:szCs w:val="16"/>
        </w:rPr>
        <w:t>Duque presentó la solicitud de información a COLFONDOS en marzo de 2002, encontrándose pendiente de cumplimiento lo correspondiente al pago de los intereses</w:t>
      </w:r>
      <w:r w:rsidRPr="00DB5FB8">
        <w:rPr>
          <w:rFonts w:ascii="Verdana" w:hAnsi="Verdana"/>
          <w:sz w:val="16"/>
          <w:szCs w:val="16"/>
          <w:lang w:val="es-CR"/>
        </w:rPr>
        <w:t>.</w:t>
      </w:r>
    </w:p>
  </w:footnote>
  <w:footnote w:id="10">
    <w:p w14:paraId="3B9BD7F8" w14:textId="77777777" w:rsidR="00B87F21" w:rsidRPr="00DB5FB8" w:rsidRDefault="00B87F21" w:rsidP="00414985">
      <w:pPr>
        <w:pStyle w:val="Textonotapie"/>
        <w:jc w:val="both"/>
        <w:rPr>
          <w:rFonts w:ascii="Verdana" w:hAnsi="Verdana"/>
          <w:sz w:val="16"/>
          <w:szCs w:val="16"/>
          <w:lang w:val="es-CR"/>
        </w:rPr>
      </w:pPr>
      <w:r w:rsidRPr="00DB5FB8">
        <w:rPr>
          <w:rStyle w:val="Refdenotaalpie"/>
          <w:rFonts w:ascii="Verdana" w:hAnsi="Verdana"/>
          <w:sz w:val="16"/>
          <w:szCs w:val="16"/>
        </w:rPr>
        <w:footnoteRef/>
      </w:r>
      <w:r w:rsidRPr="00DB5FB8">
        <w:rPr>
          <w:rFonts w:ascii="Verdana" w:hAnsi="Verdana"/>
          <w:sz w:val="16"/>
          <w:szCs w:val="16"/>
        </w:rPr>
        <w:t xml:space="preserve"> </w:t>
      </w:r>
      <w:r w:rsidRPr="00DB5FB8">
        <w:rPr>
          <w:rFonts w:ascii="Verdana" w:hAnsi="Verdana"/>
          <w:sz w:val="16"/>
          <w:szCs w:val="16"/>
          <w:lang w:val="es-CR"/>
        </w:rPr>
        <w:tab/>
      </w:r>
      <w:r w:rsidRPr="00DB5FB8">
        <w:rPr>
          <w:rFonts w:ascii="Verdana" w:hAnsi="Verdana"/>
          <w:i/>
          <w:sz w:val="16"/>
          <w:szCs w:val="16"/>
        </w:rPr>
        <w:t>Cfr. Caso Cinco Pensionistas Vs. Perú. Supervisión de cumplimiento de Sentencia.</w:t>
      </w:r>
      <w:r w:rsidRPr="00DB5FB8">
        <w:rPr>
          <w:rFonts w:ascii="Verdana" w:hAnsi="Verdana"/>
          <w:sz w:val="16"/>
          <w:szCs w:val="16"/>
        </w:rPr>
        <w:t xml:space="preserve"> Resolución de la Corte Interamericana de Derechos Humanos de 17 de noviembre de 2004, Considerando 5, y</w:t>
      </w:r>
      <w:r w:rsidRPr="00DB5FB8">
        <w:rPr>
          <w:rFonts w:ascii="Verdana" w:hAnsi="Verdana"/>
          <w:sz w:val="16"/>
          <w:szCs w:val="16"/>
          <w:lang w:val="es-CR"/>
        </w:rPr>
        <w:t xml:space="preserve"> </w:t>
      </w:r>
      <w:r w:rsidRPr="00DB5FB8">
        <w:rPr>
          <w:rFonts w:ascii="Verdana" w:hAnsi="Verdana"/>
          <w:i/>
          <w:sz w:val="16"/>
          <w:szCs w:val="16"/>
          <w:lang w:val="es-CR"/>
        </w:rPr>
        <w:t>C</w:t>
      </w:r>
      <w:r w:rsidRPr="00DB5FB8">
        <w:rPr>
          <w:rStyle w:val="Textoennegrita"/>
          <w:rFonts w:ascii="Verdana" w:hAnsi="Verdana"/>
          <w:b w:val="0"/>
          <w:i/>
          <w:color w:val="000000"/>
          <w:sz w:val="16"/>
          <w:szCs w:val="16"/>
          <w:shd w:val="clear" w:color="auto" w:fill="FFFFFF"/>
        </w:rPr>
        <w:t xml:space="preserve">aso Amrhein y otros Vs. Costa Rica. Supervisión de Cumplimiento de Sentencia y Reintegro al Fondo de Asistencia Legal de Víctimas. </w:t>
      </w:r>
      <w:r w:rsidRPr="00DB5FB8">
        <w:rPr>
          <w:rStyle w:val="Textoennegrita"/>
          <w:rFonts w:ascii="Verdana" w:hAnsi="Verdana"/>
          <w:b w:val="0"/>
          <w:color w:val="000000"/>
          <w:sz w:val="16"/>
          <w:szCs w:val="16"/>
          <w:shd w:val="clear" w:color="auto" w:fill="FFFFFF"/>
        </w:rPr>
        <w:t>Resolución de la Corte Interamericana de Derechos Humanos de 7 de octubre de 2019</w:t>
      </w:r>
      <w:r w:rsidRPr="00DB5FB8">
        <w:rPr>
          <w:rStyle w:val="Textoennegrita"/>
          <w:rFonts w:ascii="Verdana" w:hAnsi="Verdana"/>
          <w:b w:val="0"/>
          <w:color w:val="000000"/>
          <w:sz w:val="16"/>
          <w:szCs w:val="16"/>
          <w:shd w:val="clear" w:color="auto" w:fill="FFFFFF"/>
          <w:lang w:val="es-CR"/>
        </w:rPr>
        <w:t xml:space="preserve">, Considerando 2. </w:t>
      </w:r>
    </w:p>
  </w:footnote>
  <w:footnote w:id="11">
    <w:p w14:paraId="64B908E7" w14:textId="77777777" w:rsidR="00B87F21" w:rsidRPr="00830F84" w:rsidRDefault="00B87F21" w:rsidP="00B87F21">
      <w:pPr>
        <w:pStyle w:val="Textonotapie"/>
        <w:jc w:val="both"/>
        <w:rPr>
          <w:rFonts w:ascii="Verdana" w:hAnsi="Verdana"/>
          <w:sz w:val="16"/>
          <w:szCs w:val="16"/>
        </w:rPr>
      </w:pPr>
      <w:r w:rsidRPr="00830F84">
        <w:rPr>
          <w:rStyle w:val="Refdenotaalpie"/>
          <w:rFonts w:ascii="Verdana" w:hAnsi="Verdana"/>
          <w:sz w:val="16"/>
          <w:szCs w:val="16"/>
        </w:rPr>
        <w:footnoteRef/>
      </w:r>
      <w:r w:rsidRPr="00830F84">
        <w:rPr>
          <w:rFonts w:ascii="Verdana" w:hAnsi="Verdana"/>
          <w:sz w:val="16"/>
          <w:szCs w:val="16"/>
        </w:rPr>
        <w:t xml:space="preserve"> </w:t>
      </w:r>
      <w:r w:rsidRPr="00830F84">
        <w:rPr>
          <w:rFonts w:ascii="Verdana" w:hAnsi="Verdana"/>
          <w:sz w:val="16"/>
          <w:szCs w:val="16"/>
        </w:rPr>
        <w:tab/>
      </w:r>
      <w:r w:rsidRPr="00830F84">
        <w:rPr>
          <w:rFonts w:ascii="Verdana" w:hAnsi="Verdana"/>
          <w:i/>
          <w:sz w:val="16"/>
          <w:szCs w:val="16"/>
        </w:rPr>
        <w:t xml:space="preserve">Cfr. Caso </w:t>
      </w:r>
      <w:proofErr w:type="spellStart"/>
      <w:r w:rsidRPr="00830F84">
        <w:rPr>
          <w:rFonts w:ascii="Verdana" w:hAnsi="Verdana"/>
          <w:i/>
          <w:sz w:val="16"/>
          <w:szCs w:val="16"/>
        </w:rPr>
        <w:t>Ivcher</w:t>
      </w:r>
      <w:proofErr w:type="spellEnd"/>
      <w:r w:rsidRPr="00830F84">
        <w:rPr>
          <w:rFonts w:ascii="Verdana" w:hAnsi="Verdana"/>
          <w:i/>
          <w:sz w:val="16"/>
          <w:szCs w:val="16"/>
        </w:rPr>
        <w:t xml:space="preserve"> </w:t>
      </w:r>
      <w:proofErr w:type="spellStart"/>
      <w:r w:rsidRPr="00830F84">
        <w:rPr>
          <w:rFonts w:ascii="Verdana" w:hAnsi="Verdana"/>
          <w:i/>
          <w:sz w:val="16"/>
          <w:szCs w:val="16"/>
        </w:rPr>
        <w:t>Bronstein</w:t>
      </w:r>
      <w:proofErr w:type="spellEnd"/>
      <w:r w:rsidRPr="00830F84">
        <w:rPr>
          <w:rFonts w:ascii="Verdana" w:hAnsi="Verdana"/>
          <w:i/>
          <w:sz w:val="16"/>
          <w:szCs w:val="16"/>
        </w:rPr>
        <w:t xml:space="preserve"> Vs. Perú. Competencia.</w:t>
      </w:r>
      <w:r w:rsidRPr="00830F84">
        <w:rPr>
          <w:rFonts w:ascii="Verdana" w:hAnsi="Verdana"/>
          <w:sz w:val="16"/>
          <w:szCs w:val="16"/>
        </w:rPr>
        <w:t xml:space="preserve"> Sentencia de la Corte Interamericana de Derechos Humanos de 24 de septiembre de 1999. Serie C No. 54, párr. 37, y</w:t>
      </w:r>
      <w:r w:rsidRPr="00830F84">
        <w:rPr>
          <w:rFonts w:ascii="Verdana" w:hAnsi="Verdana"/>
          <w:sz w:val="16"/>
          <w:szCs w:val="16"/>
          <w:lang w:val="es-CR"/>
        </w:rPr>
        <w:t xml:space="preserve"> </w:t>
      </w:r>
      <w:r w:rsidRPr="00830F84">
        <w:rPr>
          <w:rFonts w:ascii="Verdana" w:hAnsi="Verdana"/>
          <w:i/>
          <w:sz w:val="16"/>
          <w:szCs w:val="16"/>
          <w:lang w:val="es-CR"/>
        </w:rPr>
        <w:t>C</w:t>
      </w:r>
      <w:r w:rsidRPr="00830F84">
        <w:rPr>
          <w:rStyle w:val="Textoennegrita"/>
          <w:rFonts w:ascii="Verdana" w:hAnsi="Verdana"/>
          <w:b w:val="0"/>
          <w:i/>
          <w:color w:val="000000"/>
          <w:sz w:val="16"/>
          <w:szCs w:val="16"/>
          <w:shd w:val="clear" w:color="auto" w:fill="FFFFFF"/>
        </w:rPr>
        <w:t>aso Amrhein y otros Vs. Costa Rica</w:t>
      </w:r>
      <w:r w:rsidRPr="00830F84">
        <w:rPr>
          <w:rStyle w:val="Textoennegrita"/>
          <w:rFonts w:ascii="Verdana" w:hAnsi="Verdana"/>
          <w:b w:val="0"/>
          <w:color w:val="000000"/>
          <w:sz w:val="16"/>
          <w:szCs w:val="16"/>
          <w:shd w:val="clear" w:color="auto" w:fill="FFFFFF"/>
          <w:lang w:val="es-CR"/>
        </w:rPr>
        <w:t xml:space="preserve">, </w:t>
      </w:r>
      <w:r w:rsidR="00643AA9">
        <w:rPr>
          <w:rStyle w:val="Textoennegrita"/>
          <w:rFonts w:ascii="Verdana" w:hAnsi="Verdana"/>
          <w:b w:val="0"/>
          <w:i/>
          <w:color w:val="000000"/>
          <w:sz w:val="16"/>
          <w:szCs w:val="16"/>
          <w:shd w:val="clear" w:color="auto" w:fill="FFFFFF"/>
          <w:lang w:val="es-CR"/>
        </w:rPr>
        <w:t xml:space="preserve">supra </w:t>
      </w:r>
      <w:r w:rsidR="00643AA9">
        <w:rPr>
          <w:rStyle w:val="Textoennegrita"/>
          <w:rFonts w:ascii="Verdana" w:hAnsi="Verdana"/>
          <w:b w:val="0"/>
          <w:color w:val="000000"/>
          <w:sz w:val="16"/>
          <w:szCs w:val="16"/>
          <w:shd w:val="clear" w:color="auto" w:fill="FFFFFF"/>
          <w:lang w:val="es-CR"/>
        </w:rPr>
        <w:t xml:space="preserve">nota 9, </w:t>
      </w:r>
      <w:r w:rsidRPr="00830F84">
        <w:rPr>
          <w:rStyle w:val="Textoennegrita"/>
          <w:rFonts w:ascii="Verdana" w:hAnsi="Verdana"/>
          <w:b w:val="0"/>
          <w:color w:val="000000"/>
          <w:sz w:val="16"/>
          <w:szCs w:val="16"/>
          <w:shd w:val="clear" w:color="auto" w:fill="FFFFFF"/>
          <w:lang w:val="es-CR"/>
        </w:rPr>
        <w:t>Considerando 2.</w:t>
      </w:r>
    </w:p>
  </w:footnote>
  <w:footnote w:id="12">
    <w:p w14:paraId="29976E85" w14:textId="77777777" w:rsidR="00830F84" w:rsidRPr="00830F84" w:rsidRDefault="00830F84">
      <w:pPr>
        <w:pStyle w:val="Textonotapie"/>
        <w:rPr>
          <w:lang w:val="es-CR"/>
        </w:rPr>
      </w:pPr>
      <w:r w:rsidRPr="00830F84">
        <w:rPr>
          <w:rStyle w:val="Refdenotaalpie"/>
          <w:rFonts w:ascii="Verdana" w:hAnsi="Verdana"/>
          <w:sz w:val="16"/>
          <w:szCs w:val="16"/>
        </w:rPr>
        <w:footnoteRef/>
      </w:r>
      <w:r w:rsidRPr="00830F84">
        <w:rPr>
          <w:rFonts w:ascii="Verdana" w:hAnsi="Verdana"/>
          <w:sz w:val="16"/>
          <w:szCs w:val="16"/>
        </w:rPr>
        <w:t xml:space="preserve"> </w:t>
      </w:r>
      <w:r w:rsidRPr="00830F84">
        <w:rPr>
          <w:rFonts w:ascii="Verdana" w:hAnsi="Verdana"/>
          <w:sz w:val="16"/>
          <w:szCs w:val="16"/>
          <w:lang w:val="es-CR"/>
        </w:rPr>
        <w:tab/>
        <w:t>Considerandos 19 y 20.</w:t>
      </w:r>
    </w:p>
  </w:footnote>
  <w:footnote w:id="13">
    <w:p w14:paraId="3177ADAC" w14:textId="77777777" w:rsidR="00643AA9" w:rsidRPr="00ED0B5F" w:rsidRDefault="00643AA9" w:rsidP="00ED0B5F">
      <w:pPr>
        <w:pStyle w:val="Textonotapie"/>
        <w:jc w:val="both"/>
        <w:rPr>
          <w:rFonts w:ascii="Verdana" w:hAnsi="Verdana"/>
          <w:sz w:val="16"/>
          <w:szCs w:val="16"/>
          <w:lang w:val="es-CR"/>
        </w:rPr>
      </w:pPr>
      <w:r w:rsidRPr="00ED0B5F">
        <w:rPr>
          <w:rStyle w:val="Refdenotaalpie"/>
          <w:rFonts w:ascii="Verdana" w:hAnsi="Verdana"/>
          <w:sz w:val="16"/>
          <w:szCs w:val="16"/>
        </w:rPr>
        <w:footnoteRef/>
      </w:r>
      <w:r w:rsidRPr="00ED0B5F">
        <w:rPr>
          <w:rFonts w:ascii="Verdana" w:hAnsi="Verdana"/>
          <w:sz w:val="16"/>
          <w:szCs w:val="16"/>
        </w:rPr>
        <w:t xml:space="preserve"> </w:t>
      </w:r>
      <w:r w:rsidRPr="00ED0B5F">
        <w:rPr>
          <w:rFonts w:ascii="Verdana" w:hAnsi="Verdana"/>
          <w:sz w:val="16"/>
          <w:szCs w:val="16"/>
        </w:rPr>
        <w:tab/>
      </w:r>
      <w:r w:rsidRPr="00ED0B5F">
        <w:rPr>
          <w:rFonts w:ascii="Verdana" w:hAnsi="Verdana"/>
          <w:sz w:val="16"/>
          <w:szCs w:val="16"/>
          <w:lang w:val="es-CR"/>
        </w:rPr>
        <w:t>En su informe de 22 de mayo de 2019 el Estado explicó que</w:t>
      </w:r>
      <w:r>
        <w:rPr>
          <w:rFonts w:ascii="Verdana" w:hAnsi="Verdana"/>
          <w:sz w:val="16"/>
          <w:szCs w:val="16"/>
          <w:lang w:val="es-CR"/>
        </w:rPr>
        <w:t xml:space="preserve"> </w:t>
      </w:r>
      <w:r w:rsidRPr="00ED0B5F">
        <w:rPr>
          <w:rFonts w:ascii="Verdana" w:hAnsi="Verdana"/>
          <w:sz w:val="16"/>
          <w:szCs w:val="16"/>
        </w:rPr>
        <w:t>“a través de la Dirección General de Crédito Público y Tesoro Nacional del Ministerio de Hacienda y Crédito Público de Colombia, se pagó a favor del señor Ángel Alberto Duque el monto de veintiséis mil novecientos sesenta y cinco dólares americanos con ochenta y seis centavos (USD$26.965,86), lo que equivalió a ochenta y tres millones cuatrocientos sesenta y siete mil ciento treinta y cuatro pesos colombianos con diecisiete centavos ($ 83.477.134,77) en la cuenta de ahorro […] de Confiar Cooperativa Financiera, según orden de pago presupuestal”.</w:t>
      </w:r>
      <w:r w:rsidRPr="00ED0B5F">
        <w:rPr>
          <w:rFonts w:ascii="Verdana" w:hAnsi="Verdana"/>
          <w:sz w:val="16"/>
          <w:szCs w:val="16"/>
          <w:lang w:val="es-CR"/>
        </w:rPr>
        <w:t xml:space="preserve"> Como comprobante del pago, aportó un documento denominado “Orden de pago presupuestal” “No. 83952419”.</w:t>
      </w:r>
    </w:p>
  </w:footnote>
  <w:footnote w:id="14">
    <w:p w14:paraId="574E72A7" w14:textId="77777777" w:rsidR="006C6FA8" w:rsidRPr="006F4C93" w:rsidRDefault="006C6FA8" w:rsidP="006C6FA8">
      <w:pPr>
        <w:pStyle w:val="Textonotapie"/>
        <w:jc w:val="both"/>
        <w:rPr>
          <w:rFonts w:ascii="Verdana" w:hAnsi="Verdana"/>
          <w:sz w:val="16"/>
          <w:szCs w:val="16"/>
        </w:rPr>
      </w:pPr>
      <w:r w:rsidRPr="006F4C93">
        <w:rPr>
          <w:rStyle w:val="Refdenotaalpie"/>
          <w:rFonts w:ascii="Verdana" w:hAnsi="Verdana"/>
          <w:sz w:val="16"/>
          <w:szCs w:val="16"/>
        </w:rPr>
        <w:footnoteRef/>
      </w:r>
      <w:r w:rsidRPr="006F4C93">
        <w:rPr>
          <w:rFonts w:ascii="Verdana" w:hAnsi="Verdana"/>
          <w:sz w:val="16"/>
          <w:szCs w:val="16"/>
        </w:rPr>
        <w:t xml:space="preserve"> </w:t>
      </w:r>
      <w:r w:rsidRPr="006F4C93">
        <w:rPr>
          <w:rFonts w:ascii="Verdana" w:hAnsi="Verdana"/>
          <w:sz w:val="16"/>
          <w:szCs w:val="16"/>
        </w:rPr>
        <w:tab/>
        <w:t xml:space="preserve">Con el “objeto [de] facilitar acceso al sistema interamericano de derechos humanos a aquellas personas que actualmente no tienen los recursos necesarios para llevar su caso al sistema”. </w:t>
      </w:r>
      <w:r w:rsidR="006973F1">
        <w:rPr>
          <w:rFonts w:ascii="Verdana" w:hAnsi="Verdana"/>
          <w:i/>
          <w:sz w:val="16"/>
          <w:szCs w:val="16"/>
          <w:lang w:val="es-CR"/>
        </w:rPr>
        <w:t xml:space="preserve">Cfr. </w:t>
      </w:r>
      <w:r w:rsidRPr="006F4C93">
        <w:rPr>
          <w:rFonts w:ascii="Verdana" w:hAnsi="Verdana"/>
          <w:sz w:val="16"/>
          <w:szCs w:val="16"/>
        </w:rPr>
        <w:t>AG/RES. 2426 (XXXVIII-O/08) Resolución adoptada por la Asamblea General de la OEA durante la celebración del XXXVIII Período Ordinario de Sesiones de la OEA, en la cuarta sesión plenaria, celebrada el 3 de junio de 2008, “Creación del Fondo de Asistencia Legal del Sistema Interamericano de Derechos Humanos”, párrafo dispositivo 2.</w:t>
      </w:r>
      <w:r w:rsidRPr="006F4C93">
        <w:rPr>
          <w:rFonts w:ascii="Verdana" w:hAnsi="Verdana"/>
          <w:sz w:val="16"/>
          <w:szCs w:val="16"/>
          <w:lang w:val="es-ES"/>
        </w:rPr>
        <w:t>a</w:t>
      </w:r>
      <w:r w:rsidRPr="006F4C93">
        <w:rPr>
          <w:rFonts w:ascii="Verdana" w:hAnsi="Verdana"/>
          <w:sz w:val="16"/>
          <w:szCs w:val="16"/>
        </w:rPr>
        <w:t>.</w:t>
      </w:r>
    </w:p>
  </w:footnote>
  <w:footnote w:id="15">
    <w:p w14:paraId="77916255" w14:textId="77777777" w:rsidR="006C6FA8" w:rsidRPr="00EE4992" w:rsidRDefault="006C6FA8" w:rsidP="006C6FA8">
      <w:pPr>
        <w:pStyle w:val="Textonotapie"/>
        <w:jc w:val="both"/>
        <w:rPr>
          <w:rFonts w:ascii="Verdana" w:hAnsi="Verdana"/>
          <w:sz w:val="16"/>
          <w:szCs w:val="16"/>
        </w:rPr>
      </w:pPr>
      <w:r w:rsidRPr="006F4C93">
        <w:rPr>
          <w:rStyle w:val="Refdenotaalpie"/>
          <w:rFonts w:ascii="Verdana" w:hAnsi="Verdana"/>
          <w:sz w:val="16"/>
          <w:szCs w:val="16"/>
        </w:rPr>
        <w:footnoteRef/>
      </w:r>
      <w:r w:rsidRPr="006F4C93">
        <w:rPr>
          <w:rFonts w:ascii="Verdana" w:hAnsi="Verdana"/>
          <w:sz w:val="16"/>
          <w:szCs w:val="16"/>
        </w:rPr>
        <w:t xml:space="preserve"> </w:t>
      </w:r>
      <w:r w:rsidRPr="006F4C93">
        <w:rPr>
          <w:rFonts w:ascii="Verdana" w:hAnsi="Verdana"/>
          <w:sz w:val="16"/>
          <w:szCs w:val="16"/>
        </w:rPr>
        <w:tab/>
        <w:t xml:space="preserve">El artículo 2.1 del Reglamento del Fondo de Asistencia Legal de Víctimas del Sistema Interamericano, estipuló que éste se financia por medio de los “[a]portes de capital voluntarios de los Estados miembros de la OEA, de los Estados Observadores Permanentes, y de otros Estados y donantes que deseen colaborar”. </w:t>
      </w:r>
      <w:r w:rsidR="006973F1">
        <w:rPr>
          <w:rFonts w:ascii="Verdana" w:hAnsi="Verdana"/>
          <w:i/>
          <w:sz w:val="16"/>
          <w:szCs w:val="16"/>
          <w:lang w:val="es-CR"/>
        </w:rPr>
        <w:t xml:space="preserve">Cfr. </w:t>
      </w:r>
      <w:r w:rsidRPr="006F4C93">
        <w:rPr>
          <w:rFonts w:ascii="Verdana" w:hAnsi="Verdana"/>
          <w:sz w:val="16"/>
          <w:szCs w:val="16"/>
        </w:rPr>
        <w:t>CP/RES. 963 (1728/09), Resolución adoptada el 11 de noviembre de 2009 por el</w:t>
      </w:r>
      <w:r w:rsidRPr="00EE4992">
        <w:rPr>
          <w:rFonts w:ascii="Verdana" w:hAnsi="Verdana"/>
          <w:sz w:val="16"/>
          <w:szCs w:val="16"/>
        </w:rPr>
        <w:t xml:space="preserve"> Consejo Permanente de la OEA, “Reglamento para el Funcionamiento del Fondo de Asistencia Legal del Sistema Interamericano de Derechos Humanos”, artículo 2.1. </w:t>
      </w:r>
    </w:p>
  </w:footnote>
  <w:footnote w:id="16">
    <w:p w14:paraId="1F7645C6" w14:textId="77777777" w:rsidR="006C6FA8" w:rsidRPr="00EE4992" w:rsidRDefault="006C6FA8" w:rsidP="006C6FA8">
      <w:pPr>
        <w:pStyle w:val="Textonotapie"/>
        <w:jc w:val="both"/>
        <w:rPr>
          <w:rFonts w:ascii="Verdana" w:hAnsi="Verdana"/>
          <w:sz w:val="16"/>
          <w:szCs w:val="16"/>
          <w:lang w:val="es-CR"/>
        </w:rPr>
      </w:pPr>
      <w:r w:rsidRPr="00EE4992">
        <w:rPr>
          <w:rStyle w:val="Refdenotaalpie"/>
          <w:rFonts w:ascii="Verdana" w:hAnsi="Verdana"/>
          <w:sz w:val="16"/>
          <w:szCs w:val="16"/>
        </w:rPr>
        <w:footnoteRef/>
      </w:r>
      <w:r w:rsidRPr="00EE4992">
        <w:rPr>
          <w:rFonts w:ascii="Verdana" w:hAnsi="Verdana"/>
          <w:sz w:val="16"/>
          <w:szCs w:val="16"/>
        </w:rPr>
        <w:t xml:space="preserve"> </w:t>
      </w:r>
      <w:r w:rsidRPr="00EE4992">
        <w:rPr>
          <w:rFonts w:ascii="Verdana" w:hAnsi="Verdana"/>
          <w:sz w:val="16"/>
          <w:szCs w:val="16"/>
        </w:rPr>
        <w:tab/>
        <w:t xml:space="preserve">El Fondo de Asistencia Legal de Víctimas de la Corte Interamericana no cuenta con recursos del presupuesto ordinario de la OEA. Hasta la fecha los fondos </w:t>
      </w:r>
      <w:r w:rsidRPr="00EE4992">
        <w:rPr>
          <w:rFonts w:ascii="Verdana" w:hAnsi="Verdana"/>
          <w:sz w:val="16"/>
          <w:szCs w:val="16"/>
          <w:lang w:val="es-CR"/>
        </w:rPr>
        <w:t>han provenido</w:t>
      </w:r>
      <w:r w:rsidRPr="00EE4992">
        <w:rPr>
          <w:rFonts w:ascii="Verdana" w:hAnsi="Verdana"/>
          <w:sz w:val="16"/>
          <w:szCs w:val="16"/>
        </w:rPr>
        <w:t xml:space="preserve"> de proyectos de cooperación firmados por el Tribunal con Noruega y Dinamarca, y del aporte voluntario realizado por Colombia. Al respecto ver: Informe Anual de la Corte Interamericana de Derechos Humanos de 201</w:t>
      </w:r>
      <w:r>
        <w:rPr>
          <w:rFonts w:ascii="Verdana" w:hAnsi="Verdana"/>
          <w:sz w:val="16"/>
          <w:szCs w:val="16"/>
          <w:lang w:val="es-AR"/>
        </w:rPr>
        <w:t>8</w:t>
      </w:r>
      <w:r w:rsidRPr="00EE4992">
        <w:rPr>
          <w:rFonts w:ascii="Verdana" w:hAnsi="Verdana"/>
          <w:sz w:val="16"/>
          <w:szCs w:val="16"/>
        </w:rPr>
        <w:t>, págs.</w:t>
      </w:r>
      <w:r w:rsidRPr="00EE4992">
        <w:rPr>
          <w:rFonts w:ascii="Verdana" w:hAnsi="Verdana"/>
          <w:sz w:val="16"/>
          <w:szCs w:val="16"/>
          <w:lang w:val="es-CR"/>
        </w:rPr>
        <w:t xml:space="preserve"> </w:t>
      </w:r>
      <w:r>
        <w:rPr>
          <w:rFonts w:ascii="Verdana" w:hAnsi="Verdana"/>
          <w:sz w:val="16"/>
          <w:szCs w:val="16"/>
          <w:lang w:val="es-CR"/>
        </w:rPr>
        <w:t>158 a 17</w:t>
      </w:r>
      <w:r w:rsidR="006973F1">
        <w:rPr>
          <w:rFonts w:ascii="Verdana" w:hAnsi="Verdana"/>
          <w:sz w:val="16"/>
          <w:szCs w:val="16"/>
          <w:lang w:val="es-CR"/>
        </w:rPr>
        <w:t>1</w:t>
      </w:r>
      <w:r w:rsidRPr="00EE4992">
        <w:rPr>
          <w:rFonts w:ascii="Verdana" w:hAnsi="Verdana"/>
          <w:sz w:val="16"/>
          <w:szCs w:val="16"/>
        </w:rPr>
        <w:t>, disponible en:</w:t>
      </w:r>
      <w:r w:rsidRPr="00EE4992">
        <w:rPr>
          <w:rFonts w:ascii="Verdana" w:hAnsi="Verdana"/>
          <w:sz w:val="16"/>
          <w:szCs w:val="16"/>
          <w:lang w:val="es-CR"/>
        </w:rPr>
        <w:t xml:space="preserve"> </w:t>
      </w:r>
      <w:hyperlink r:id="rId5" w:history="1">
        <w:r w:rsidRPr="00CE3D52">
          <w:rPr>
            <w:rStyle w:val="Hipervnculo"/>
            <w:rFonts w:ascii="Verdana" w:hAnsi="Verdana"/>
            <w:sz w:val="16"/>
            <w:szCs w:val="16"/>
            <w:lang w:val="es-CR"/>
          </w:rPr>
          <w:t>http://www.corteidh.or.cr/tablas/informe2018/espanol.pdf</w:t>
        </w:r>
      </w:hyperlink>
      <w:r w:rsidRPr="00EE4992">
        <w:rPr>
          <w:rFonts w:ascii="Verdana" w:hAnsi="Verdana"/>
          <w:sz w:val="16"/>
          <w:szCs w:val="16"/>
          <w:lang w:val="es-C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E5119" w14:textId="77777777" w:rsidR="00EC534B" w:rsidRPr="00EC534B" w:rsidRDefault="00EC534B" w:rsidP="00EC534B">
    <w:pPr>
      <w:pStyle w:val="Encabezado"/>
      <w:jc w:val="right"/>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2FAD"/>
    <w:multiLevelType w:val="hybridMultilevel"/>
    <w:tmpl w:val="825A54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88F68DD"/>
    <w:multiLevelType w:val="hybridMultilevel"/>
    <w:tmpl w:val="5EBE15E0"/>
    <w:lvl w:ilvl="0" w:tplc="924E4690">
      <w:start w:val="1"/>
      <w:numFmt w:val="decimal"/>
      <w:lvlText w:val="%1."/>
      <w:lvlJc w:val="left"/>
      <w:pPr>
        <w:ind w:left="144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BD86AD4"/>
    <w:multiLevelType w:val="hybridMultilevel"/>
    <w:tmpl w:val="0E38C9B2"/>
    <w:lvl w:ilvl="0" w:tplc="04BE5374">
      <w:start w:val="1"/>
      <w:numFmt w:val="decimal"/>
      <w:lvlText w:val="%1."/>
      <w:lvlJc w:val="left"/>
      <w:pPr>
        <w:ind w:left="720" w:hanging="360"/>
      </w:pPr>
      <w:rPr>
        <w:rFonts w:eastAsia="Calibri"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1185F3C"/>
    <w:multiLevelType w:val="hybridMultilevel"/>
    <w:tmpl w:val="902A296E"/>
    <w:lvl w:ilvl="0" w:tplc="BAA01236">
      <w:start w:val="1"/>
      <w:numFmt w:val="decimal"/>
      <w:lvlText w:val="%1."/>
      <w:lvlJc w:val="left"/>
      <w:pPr>
        <w:ind w:left="720" w:hanging="360"/>
      </w:pPr>
      <w:rPr>
        <w:rFonts w:hint="default"/>
        <w:b w:val="0"/>
        <w:color w:val="auto"/>
        <w:sz w:val="20"/>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274683C"/>
    <w:multiLevelType w:val="hybridMultilevel"/>
    <w:tmpl w:val="816A393A"/>
    <w:lvl w:ilvl="0" w:tplc="BAA01236">
      <w:start w:val="1"/>
      <w:numFmt w:val="decimal"/>
      <w:lvlText w:val="%1."/>
      <w:lvlJc w:val="left"/>
      <w:pPr>
        <w:ind w:left="720" w:hanging="360"/>
      </w:pPr>
      <w:rPr>
        <w:rFonts w:hint="default"/>
        <w:b w:val="0"/>
        <w:color w:val="auto"/>
        <w:sz w:val="20"/>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0AE4BA0"/>
    <w:multiLevelType w:val="hybridMultilevel"/>
    <w:tmpl w:val="583C7A92"/>
    <w:lvl w:ilvl="0" w:tplc="964EBDA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3C23403"/>
    <w:multiLevelType w:val="hybridMultilevel"/>
    <w:tmpl w:val="3A762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753A80"/>
    <w:multiLevelType w:val="hybridMultilevel"/>
    <w:tmpl w:val="B9B8489E"/>
    <w:lvl w:ilvl="0" w:tplc="5126705A">
      <w:start w:val="1"/>
      <w:numFmt w:val="decimal"/>
      <w:pStyle w:val="PrrafodeSentencia"/>
      <w:lvlText w:val="%1."/>
      <w:lvlJc w:val="left"/>
      <w:pPr>
        <w:ind w:left="0" w:firstLine="0"/>
      </w:pPr>
      <w:rPr>
        <w:rFonts w:ascii="Verdana" w:hAnsi="Verdana" w:hint="default"/>
        <w:b w:val="0"/>
        <w:i w:val="0"/>
        <w:strike w:val="0"/>
        <w:color w:val="auto"/>
        <w:sz w:val="20"/>
        <w:szCs w:val="20"/>
        <w:lang w:val="es-ES"/>
      </w:rPr>
    </w:lvl>
    <w:lvl w:ilvl="1" w:tplc="2C0A0019">
      <w:start w:val="1"/>
      <w:numFmt w:val="lowerLetter"/>
      <w:lvlText w:val="%2."/>
      <w:lvlJc w:val="left"/>
      <w:pPr>
        <w:ind w:left="1298" w:hanging="360"/>
      </w:pPr>
      <w:rPr>
        <w:rFonts w:hint="default"/>
        <w:lang w:val="es-CR"/>
      </w:rPr>
    </w:lvl>
    <w:lvl w:ilvl="2" w:tplc="4202A1AC">
      <w:start w:val="1"/>
      <w:numFmt w:val="lowerRoman"/>
      <w:lvlText w:val="%3."/>
      <w:lvlJc w:val="right"/>
      <w:pPr>
        <w:ind w:left="2018" w:hanging="180"/>
      </w:pPr>
      <w:rPr>
        <w:i/>
      </w:rPr>
    </w:lvl>
    <w:lvl w:ilvl="3" w:tplc="3F0893E6" w:tentative="1">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8" w15:restartNumberingAfterBreak="0">
    <w:nsid w:val="7EA42050"/>
    <w:multiLevelType w:val="hybridMultilevel"/>
    <w:tmpl w:val="A6BE59A0"/>
    <w:lvl w:ilvl="0" w:tplc="1B88ABCA">
      <w:start w:val="4"/>
      <w:numFmt w:val="decimal"/>
      <w:lvlText w:val="%1."/>
      <w:lvlJc w:val="left"/>
      <w:pPr>
        <w:ind w:left="720" w:hanging="360"/>
      </w:pPr>
      <w:rPr>
        <w:rFonts w:hint="default"/>
        <w:b w:val="0"/>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3"/>
  </w:num>
  <w:num w:numId="5">
    <w:abstractNumId w:val="2"/>
  </w:num>
  <w:num w:numId="6">
    <w:abstractNumId w:val="6"/>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CA2"/>
    <w:rsid w:val="000067A7"/>
    <w:rsid w:val="00022D1D"/>
    <w:rsid w:val="000516D3"/>
    <w:rsid w:val="00054F8B"/>
    <w:rsid w:val="000C0133"/>
    <w:rsid w:val="000F041A"/>
    <w:rsid w:val="00146757"/>
    <w:rsid w:val="00156213"/>
    <w:rsid w:val="00163801"/>
    <w:rsid w:val="00166140"/>
    <w:rsid w:val="001D2EC0"/>
    <w:rsid w:val="001E2629"/>
    <w:rsid w:val="001F6943"/>
    <w:rsid w:val="00237094"/>
    <w:rsid w:val="00237EB2"/>
    <w:rsid w:val="00261FDA"/>
    <w:rsid w:val="0027195E"/>
    <w:rsid w:val="002836F4"/>
    <w:rsid w:val="002B0AB6"/>
    <w:rsid w:val="00320ED0"/>
    <w:rsid w:val="003574F1"/>
    <w:rsid w:val="00360CB4"/>
    <w:rsid w:val="0037290D"/>
    <w:rsid w:val="00414985"/>
    <w:rsid w:val="004379DE"/>
    <w:rsid w:val="004510E4"/>
    <w:rsid w:val="00476406"/>
    <w:rsid w:val="004A360F"/>
    <w:rsid w:val="004D7EF5"/>
    <w:rsid w:val="005074A1"/>
    <w:rsid w:val="00562274"/>
    <w:rsid w:val="005C7492"/>
    <w:rsid w:val="00643AA9"/>
    <w:rsid w:val="00664D6D"/>
    <w:rsid w:val="0069627D"/>
    <w:rsid w:val="006973F1"/>
    <w:rsid w:val="006C6FA8"/>
    <w:rsid w:val="006D34CA"/>
    <w:rsid w:val="006D3AC4"/>
    <w:rsid w:val="006D69D4"/>
    <w:rsid w:val="006F4C93"/>
    <w:rsid w:val="00712E12"/>
    <w:rsid w:val="0073184D"/>
    <w:rsid w:val="00755400"/>
    <w:rsid w:val="00770907"/>
    <w:rsid w:val="007C0E2D"/>
    <w:rsid w:val="007E70F3"/>
    <w:rsid w:val="007F1F5D"/>
    <w:rsid w:val="00821353"/>
    <w:rsid w:val="00830F84"/>
    <w:rsid w:val="00832D78"/>
    <w:rsid w:val="0084796A"/>
    <w:rsid w:val="00850D62"/>
    <w:rsid w:val="008E150E"/>
    <w:rsid w:val="008F7281"/>
    <w:rsid w:val="00911B91"/>
    <w:rsid w:val="00926D4A"/>
    <w:rsid w:val="00941E20"/>
    <w:rsid w:val="009B1ED1"/>
    <w:rsid w:val="009B7DB2"/>
    <w:rsid w:val="009C747D"/>
    <w:rsid w:val="009E6A94"/>
    <w:rsid w:val="009F2E69"/>
    <w:rsid w:val="00A05EF8"/>
    <w:rsid w:val="00B42693"/>
    <w:rsid w:val="00B5002B"/>
    <w:rsid w:val="00B87F21"/>
    <w:rsid w:val="00BB0A49"/>
    <w:rsid w:val="00C32540"/>
    <w:rsid w:val="00C4076F"/>
    <w:rsid w:val="00C44D3E"/>
    <w:rsid w:val="00C51B99"/>
    <w:rsid w:val="00C9172C"/>
    <w:rsid w:val="00C97C73"/>
    <w:rsid w:val="00CA0F9E"/>
    <w:rsid w:val="00CB62C2"/>
    <w:rsid w:val="00D21802"/>
    <w:rsid w:val="00D80871"/>
    <w:rsid w:val="00D93CB5"/>
    <w:rsid w:val="00DA57EA"/>
    <w:rsid w:val="00DA5BE4"/>
    <w:rsid w:val="00DA5CA2"/>
    <w:rsid w:val="00DB5FB8"/>
    <w:rsid w:val="00DD7CF5"/>
    <w:rsid w:val="00DF4F7F"/>
    <w:rsid w:val="00DF5EE9"/>
    <w:rsid w:val="00E36D04"/>
    <w:rsid w:val="00E52CAE"/>
    <w:rsid w:val="00E55D97"/>
    <w:rsid w:val="00E6734E"/>
    <w:rsid w:val="00EC534B"/>
    <w:rsid w:val="00ED0B5F"/>
    <w:rsid w:val="00ED0CAD"/>
    <w:rsid w:val="00EE2202"/>
    <w:rsid w:val="00F33D5D"/>
    <w:rsid w:val="00F4190D"/>
    <w:rsid w:val="00F65D4A"/>
    <w:rsid w:val="00FA2599"/>
    <w:rsid w:val="00FB030C"/>
    <w:rsid w:val="00FE20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F82C"/>
  <w15:docId w15:val="{9A07D0BE-0515-4376-B94A-D5758BF2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CA2"/>
    <w:pPr>
      <w:spacing w:after="0" w:line="240" w:lineRule="auto"/>
    </w:pPr>
    <w:rPr>
      <w:rFonts w:ascii="Times New Roman" w:eastAsia="Times New Roman" w:hAnsi="Times New Roman" w:cs="Times New Roman"/>
      <w:sz w:val="24"/>
      <w:szCs w:val="24"/>
      <w:lang w:val="es-CR" w:eastAsia="es-ES"/>
    </w:rPr>
  </w:style>
  <w:style w:type="paragraph" w:styleId="Ttulo1">
    <w:name w:val="heading 1"/>
    <w:basedOn w:val="Normal"/>
    <w:next w:val="Normal"/>
    <w:link w:val="Ttulo1Car"/>
    <w:uiPriority w:val="9"/>
    <w:qFormat/>
    <w:rsid w:val="00F33D5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TextonotapieCar1"/>
    <w:qFormat/>
    <w:rsid w:val="00DA5CA2"/>
    <w:rPr>
      <w:lang w:val="x-none"/>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notentext Car"/>
    <w:basedOn w:val="Fuentedeprrafopredeter"/>
    <w:link w:val="Textonotapie"/>
    <w:qFormat/>
    <w:rsid w:val="00DA5CA2"/>
    <w:rPr>
      <w:rFonts w:ascii="Times New Roman" w:eastAsia="Times New Roman" w:hAnsi="Times New Roman" w:cs="Times New Roman"/>
      <w:sz w:val="24"/>
      <w:szCs w:val="24"/>
      <w:lang w:val="x-none" w:eastAsia="es-ES"/>
    </w:rPr>
  </w:style>
  <w:style w:type="character" w:styleId="Refdenotaalpie">
    <w:name w:val="footnote reference"/>
    <w:aliases w:val="Texto de nota al pie,Footnotes refss,Appel note de bas de page,Footnote number,referencia nota al pie,BVI fnr,f,4_G,16 Point,Superscript 6 Point,Footnote Reference Char3,Footnote Reference Char1 Char,Footnote Reference Char Char Char"/>
    <w:link w:val="4GChar"/>
    <w:qFormat/>
    <w:rsid w:val="00DA5CA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A5CA2"/>
    <w:pPr>
      <w:jc w:val="both"/>
    </w:pPr>
    <w:rPr>
      <w:rFonts w:asciiTheme="minorHAnsi" w:eastAsiaTheme="minorHAnsi" w:hAnsiTheme="minorHAnsi" w:cstheme="minorBidi"/>
      <w:sz w:val="22"/>
      <w:szCs w:val="22"/>
      <w:vertAlign w:val="superscript"/>
      <w:lang w:val="es-ES" w:eastAsia="en-US"/>
    </w:rPr>
  </w:style>
  <w:style w:type="paragraph" w:styleId="Ttulo">
    <w:name w:val="Title"/>
    <w:basedOn w:val="Normal"/>
    <w:link w:val="TtuloCar"/>
    <w:uiPriority w:val="99"/>
    <w:qFormat/>
    <w:rsid w:val="007C0E2D"/>
    <w:pPr>
      <w:jc w:val="center"/>
    </w:pPr>
    <w:rPr>
      <w:rFonts w:ascii="Verdana" w:hAnsi="Verdana"/>
      <w:b/>
      <w:noProof/>
      <w:sz w:val="20"/>
      <w:szCs w:val="20"/>
      <w:lang w:val="es-ES_tradnl" w:eastAsia="x-none"/>
    </w:rPr>
  </w:style>
  <w:style w:type="character" w:customStyle="1" w:styleId="TtuloCar">
    <w:name w:val="Título Car"/>
    <w:basedOn w:val="Fuentedeprrafopredeter"/>
    <w:link w:val="Ttulo"/>
    <w:uiPriority w:val="99"/>
    <w:rsid w:val="007C0E2D"/>
    <w:rPr>
      <w:rFonts w:ascii="Verdana" w:eastAsia="Times New Roman" w:hAnsi="Verdana" w:cs="Times New Roman"/>
      <w:b/>
      <w:noProof/>
      <w:sz w:val="20"/>
      <w:szCs w:val="20"/>
      <w:lang w:val="es-ES_tradnl" w:eastAsia="x-none"/>
    </w:rPr>
  </w:style>
  <w:style w:type="paragraph" w:styleId="Subttulo">
    <w:name w:val="Subtitle"/>
    <w:basedOn w:val="Normal"/>
    <w:next w:val="Normal"/>
    <w:link w:val="SubttuloCar"/>
    <w:qFormat/>
    <w:rsid w:val="007C0E2D"/>
    <w:pPr>
      <w:numPr>
        <w:ilvl w:val="1"/>
      </w:numPr>
      <w:jc w:val="center"/>
    </w:pPr>
    <w:rPr>
      <w:rFonts w:ascii="Verdana" w:hAnsi="Verdana"/>
      <w:b/>
      <w:i/>
      <w:iCs/>
      <w:noProof/>
      <w:spacing w:val="15"/>
      <w:sz w:val="20"/>
      <w:lang w:val="es-ES_tradnl" w:eastAsia="x-none"/>
    </w:rPr>
  </w:style>
  <w:style w:type="character" w:customStyle="1" w:styleId="SubttuloCar">
    <w:name w:val="Subtítulo Car"/>
    <w:basedOn w:val="Fuentedeprrafopredeter"/>
    <w:link w:val="Subttulo"/>
    <w:rsid w:val="007C0E2D"/>
    <w:rPr>
      <w:rFonts w:ascii="Verdana" w:eastAsia="Times New Roman" w:hAnsi="Verdana" w:cs="Times New Roman"/>
      <w:b/>
      <w:i/>
      <w:iCs/>
      <w:noProof/>
      <w:spacing w:val="15"/>
      <w:sz w:val="20"/>
      <w:szCs w:val="24"/>
      <w:lang w:val="es-ES_tradnl" w:eastAsia="x-none"/>
    </w:rPr>
  </w:style>
  <w:style w:type="character" w:styleId="Textoennegrita">
    <w:name w:val="Strong"/>
    <w:uiPriority w:val="22"/>
    <w:qFormat/>
    <w:rsid w:val="007C0E2D"/>
    <w:rPr>
      <w:b/>
      <w:bCs/>
    </w:rPr>
  </w:style>
  <w:style w:type="character" w:styleId="Hipervnculo">
    <w:name w:val="Hyperlink"/>
    <w:uiPriority w:val="99"/>
    <w:unhideWhenUsed/>
    <w:rsid w:val="007C0E2D"/>
    <w:rPr>
      <w:color w:val="0000FF"/>
      <w:u w:val="single"/>
    </w:rPr>
  </w:style>
  <w:style w:type="paragraph" w:styleId="Prrafodelista">
    <w:name w:val="List Paragraph"/>
    <w:aliases w:val="Footnote,Párrafo de lista1"/>
    <w:basedOn w:val="Normal"/>
    <w:link w:val="PrrafodelistaCar"/>
    <w:uiPriority w:val="99"/>
    <w:qFormat/>
    <w:rsid w:val="008E150E"/>
    <w:pPr>
      <w:ind w:left="720"/>
      <w:contextualSpacing/>
    </w:pPr>
  </w:style>
  <w:style w:type="paragraph" w:customStyle="1" w:styleId="PrrafodeSentencia">
    <w:name w:val="*. Párrafo de Sentencia"/>
    <w:basedOn w:val="Textonotapie"/>
    <w:autoRedefine/>
    <w:qFormat/>
    <w:rsid w:val="008E150E"/>
    <w:pPr>
      <w:numPr>
        <w:numId w:val="2"/>
      </w:numPr>
      <w:tabs>
        <w:tab w:val="num" w:pos="360"/>
        <w:tab w:val="left" w:pos="720"/>
      </w:tabs>
      <w:spacing w:before="120" w:after="120"/>
      <w:jc w:val="both"/>
    </w:pPr>
    <w:rPr>
      <w:rFonts w:ascii="Verdana" w:hAnsi="Verdana"/>
      <w:bCs/>
      <w:noProof/>
      <w:sz w:val="20"/>
      <w:szCs w:val="20"/>
      <w:lang w:val="es-ES_tradnl"/>
    </w:rPr>
  </w:style>
  <w:style w:type="character" w:styleId="Refdecomentario">
    <w:name w:val="annotation reference"/>
    <w:uiPriority w:val="99"/>
    <w:semiHidden/>
    <w:unhideWhenUsed/>
    <w:rsid w:val="006C6FA8"/>
    <w:rPr>
      <w:sz w:val="16"/>
      <w:szCs w:val="16"/>
    </w:rPr>
  </w:style>
  <w:style w:type="character" w:styleId="Nmerodelnea">
    <w:name w:val="line number"/>
    <w:basedOn w:val="Fuentedeprrafopredeter"/>
    <w:uiPriority w:val="99"/>
    <w:semiHidden/>
    <w:unhideWhenUsed/>
    <w:rsid w:val="00BB0A49"/>
  </w:style>
  <w:style w:type="paragraph" w:styleId="Textodeglobo">
    <w:name w:val="Balloon Text"/>
    <w:basedOn w:val="Normal"/>
    <w:link w:val="TextodegloboCar"/>
    <w:uiPriority w:val="99"/>
    <w:semiHidden/>
    <w:unhideWhenUsed/>
    <w:rsid w:val="00BB0A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0A49"/>
    <w:rPr>
      <w:rFonts w:ascii="Segoe UI" w:eastAsia="Times New Roman" w:hAnsi="Segoe UI" w:cs="Segoe UI"/>
      <w:sz w:val="18"/>
      <w:szCs w:val="18"/>
      <w:lang w:val="es-CR" w:eastAsia="es-ES"/>
    </w:rPr>
  </w:style>
  <w:style w:type="paragraph" w:styleId="Textocomentario">
    <w:name w:val="annotation text"/>
    <w:basedOn w:val="Normal"/>
    <w:link w:val="TextocomentarioCar"/>
    <w:uiPriority w:val="99"/>
    <w:semiHidden/>
    <w:unhideWhenUsed/>
    <w:rsid w:val="00C32540"/>
    <w:rPr>
      <w:sz w:val="20"/>
      <w:szCs w:val="20"/>
    </w:rPr>
  </w:style>
  <w:style w:type="character" w:customStyle="1" w:styleId="TextocomentarioCar">
    <w:name w:val="Texto comentario Car"/>
    <w:basedOn w:val="Fuentedeprrafopredeter"/>
    <w:link w:val="Textocomentario"/>
    <w:uiPriority w:val="99"/>
    <w:semiHidden/>
    <w:rsid w:val="00C32540"/>
    <w:rPr>
      <w:rFonts w:ascii="Times New Roman" w:eastAsia="Times New Roman" w:hAnsi="Times New Roman" w:cs="Times New Roman"/>
      <w:sz w:val="20"/>
      <w:szCs w:val="20"/>
      <w:lang w:val="es-CR" w:eastAsia="es-ES"/>
    </w:rPr>
  </w:style>
  <w:style w:type="paragraph" w:styleId="Asuntodelcomentario">
    <w:name w:val="annotation subject"/>
    <w:basedOn w:val="Textocomentario"/>
    <w:next w:val="Textocomentario"/>
    <w:link w:val="AsuntodelcomentarioCar"/>
    <w:uiPriority w:val="99"/>
    <w:semiHidden/>
    <w:unhideWhenUsed/>
    <w:rsid w:val="00C32540"/>
    <w:rPr>
      <w:b/>
      <w:bCs/>
    </w:rPr>
  </w:style>
  <w:style w:type="character" w:customStyle="1" w:styleId="AsuntodelcomentarioCar">
    <w:name w:val="Asunto del comentario Car"/>
    <w:basedOn w:val="TextocomentarioCar"/>
    <w:link w:val="Asuntodelcomentario"/>
    <w:uiPriority w:val="99"/>
    <w:semiHidden/>
    <w:rsid w:val="00C32540"/>
    <w:rPr>
      <w:rFonts w:ascii="Times New Roman" w:eastAsia="Times New Roman" w:hAnsi="Times New Roman" w:cs="Times New Roman"/>
      <w:b/>
      <w:bCs/>
      <w:sz w:val="20"/>
      <w:szCs w:val="20"/>
      <w:lang w:val="es-CR" w:eastAsia="es-ES"/>
    </w:rPr>
  </w:style>
  <w:style w:type="paragraph" w:styleId="Encabezado">
    <w:name w:val="header"/>
    <w:basedOn w:val="Normal"/>
    <w:link w:val="EncabezadoCar"/>
    <w:uiPriority w:val="99"/>
    <w:unhideWhenUsed/>
    <w:rsid w:val="00EC534B"/>
    <w:pPr>
      <w:tabs>
        <w:tab w:val="center" w:pos="4419"/>
        <w:tab w:val="right" w:pos="8838"/>
      </w:tabs>
    </w:pPr>
  </w:style>
  <w:style w:type="character" w:customStyle="1" w:styleId="EncabezadoCar">
    <w:name w:val="Encabezado Car"/>
    <w:basedOn w:val="Fuentedeprrafopredeter"/>
    <w:link w:val="Encabezado"/>
    <w:uiPriority w:val="99"/>
    <w:rsid w:val="00EC534B"/>
    <w:rPr>
      <w:rFonts w:ascii="Times New Roman" w:eastAsia="Times New Roman" w:hAnsi="Times New Roman" w:cs="Times New Roman"/>
      <w:sz w:val="24"/>
      <w:szCs w:val="24"/>
      <w:lang w:val="es-CR" w:eastAsia="es-ES"/>
    </w:rPr>
  </w:style>
  <w:style w:type="paragraph" w:styleId="Piedepgina">
    <w:name w:val="footer"/>
    <w:basedOn w:val="Normal"/>
    <w:link w:val="PiedepginaCar"/>
    <w:uiPriority w:val="99"/>
    <w:unhideWhenUsed/>
    <w:rsid w:val="00EC534B"/>
    <w:pPr>
      <w:tabs>
        <w:tab w:val="center" w:pos="4419"/>
        <w:tab w:val="right" w:pos="8838"/>
      </w:tabs>
    </w:pPr>
  </w:style>
  <w:style w:type="character" w:customStyle="1" w:styleId="PiedepginaCar">
    <w:name w:val="Pie de página Car"/>
    <w:basedOn w:val="Fuentedeprrafopredeter"/>
    <w:link w:val="Piedepgina"/>
    <w:uiPriority w:val="99"/>
    <w:rsid w:val="00EC534B"/>
    <w:rPr>
      <w:rFonts w:ascii="Times New Roman" w:eastAsia="Times New Roman" w:hAnsi="Times New Roman" w:cs="Times New Roman"/>
      <w:sz w:val="24"/>
      <w:szCs w:val="24"/>
      <w:lang w:val="es-CR" w:eastAsia="es-ES"/>
    </w:rPr>
  </w:style>
  <w:style w:type="character" w:customStyle="1" w:styleId="Ttulo1Car">
    <w:name w:val="Título 1 Car"/>
    <w:basedOn w:val="Fuentedeprrafopredeter"/>
    <w:link w:val="Ttulo1"/>
    <w:uiPriority w:val="9"/>
    <w:rsid w:val="00F33D5D"/>
    <w:rPr>
      <w:rFonts w:asciiTheme="majorHAnsi" w:eastAsiaTheme="majorEastAsia" w:hAnsiTheme="majorHAnsi" w:cstheme="majorBidi"/>
      <w:color w:val="2E74B5" w:themeColor="accent1" w:themeShade="BF"/>
      <w:sz w:val="32"/>
      <w:szCs w:val="32"/>
      <w:lang w:val="es-CR" w:eastAsia="es-ES"/>
    </w:rPr>
  </w:style>
  <w:style w:type="paragraph" w:styleId="TDC1">
    <w:name w:val="toc 1"/>
    <w:basedOn w:val="Normal"/>
    <w:next w:val="Normal"/>
    <w:autoRedefine/>
    <w:uiPriority w:val="39"/>
    <w:unhideWhenUsed/>
    <w:rsid w:val="00ED0B5F"/>
    <w:pPr>
      <w:tabs>
        <w:tab w:val="left" w:pos="660"/>
        <w:tab w:val="right" w:leader="dot" w:pos="8494"/>
      </w:tabs>
      <w:spacing w:before="120" w:after="120"/>
      <w:ind w:left="660"/>
    </w:pPr>
  </w:style>
  <w:style w:type="character" w:customStyle="1" w:styleId="PrrafodelistaCar">
    <w:name w:val="Párrafo de lista Car"/>
    <w:aliases w:val="Footnote Car,Párrafo de lista1 Car"/>
    <w:link w:val="Prrafodelista"/>
    <w:uiPriority w:val="99"/>
    <w:locked/>
    <w:rsid w:val="00DB5FB8"/>
    <w:rPr>
      <w:rFonts w:ascii="Times New Roman" w:eastAsia="Times New Roman" w:hAnsi="Times New Roman" w:cs="Times New Roman"/>
      <w:sz w:val="24"/>
      <w:szCs w:val="24"/>
      <w:lang w:val="es-C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asuntos/duque_fv_16.pdf" TargetMode="External"/><Relationship Id="rId2" Type="http://schemas.openxmlformats.org/officeDocument/2006/relationships/hyperlink" Target="http://www.corteidh.or.cr/docs/casos/articulos/seriec_322_esp.pdf" TargetMode="External"/><Relationship Id="rId1" Type="http://schemas.openxmlformats.org/officeDocument/2006/relationships/hyperlink" Target="http://www.corteidh.or.cr/docs/casos/articulos/seriec_310_esp.pdf" TargetMode="External"/><Relationship Id="rId5" Type="http://schemas.openxmlformats.org/officeDocument/2006/relationships/hyperlink" Target="http://www.corteidh.or.cr/tablas/informe2018/espanol.pdf" TargetMode="External"/><Relationship Id="rId4" Type="http://schemas.openxmlformats.org/officeDocument/2006/relationships/hyperlink" Target="http://www.corteidh.or.cr/docs/supervisiones/duque_22_11_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3F937-5B56-4F75-A821-7E5AE3A6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2184</Words>
  <Characters>12013</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Hannia Sanchez</cp:lastModifiedBy>
  <cp:revision>3</cp:revision>
  <cp:lastPrinted>2019-12-06T23:39:00Z</cp:lastPrinted>
  <dcterms:created xsi:type="dcterms:W3CDTF">2019-12-06T23:39:00Z</dcterms:created>
  <dcterms:modified xsi:type="dcterms:W3CDTF">2019-12-06T23:39:00Z</dcterms:modified>
</cp:coreProperties>
</file>