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675" w:rsidRDefault="00B10675" w:rsidP="00B10675">
      <w:pPr>
        <w:spacing w:before="120"/>
        <w:ind w:right="-317"/>
        <w:jc w:val="center"/>
        <w:rPr>
          <w:rFonts w:cs="Verdana Bold"/>
          <w:b/>
          <w:bCs/>
          <w:caps/>
          <w:szCs w:val="20"/>
        </w:rPr>
      </w:pPr>
    </w:p>
    <w:p w:rsidR="00B10675" w:rsidRDefault="00B10675" w:rsidP="00B10675">
      <w:pPr>
        <w:spacing w:before="120"/>
        <w:ind w:right="-317"/>
        <w:jc w:val="center"/>
        <w:rPr>
          <w:rFonts w:cs="Verdana Bold"/>
          <w:b/>
          <w:bCs/>
          <w:caps/>
          <w:szCs w:val="20"/>
        </w:rPr>
      </w:pPr>
    </w:p>
    <w:p w:rsidR="00B10675" w:rsidRDefault="00B10675" w:rsidP="00B10675">
      <w:pPr>
        <w:spacing w:before="120"/>
        <w:ind w:right="-317"/>
        <w:jc w:val="center"/>
        <w:rPr>
          <w:rFonts w:cs="Verdana Bold"/>
          <w:b/>
          <w:bCs/>
          <w:caps/>
          <w:szCs w:val="20"/>
        </w:rPr>
      </w:pPr>
    </w:p>
    <w:p w:rsidR="00B10675" w:rsidRDefault="00B10675" w:rsidP="00B10675">
      <w:pPr>
        <w:spacing w:before="120"/>
        <w:ind w:right="-317"/>
        <w:jc w:val="center"/>
        <w:rPr>
          <w:rFonts w:cs="Verdana Bold"/>
          <w:b/>
          <w:bCs/>
          <w:caps/>
          <w:szCs w:val="20"/>
        </w:rPr>
      </w:pPr>
    </w:p>
    <w:p w:rsidR="00B10675" w:rsidRDefault="00B10675" w:rsidP="00B10675">
      <w:pPr>
        <w:spacing w:before="120"/>
        <w:ind w:right="49"/>
        <w:jc w:val="center"/>
        <w:rPr>
          <w:rFonts w:cs="Verdana Bold"/>
          <w:b/>
          <w:bCs/>
          <w:caps/>
          <w:szCs w:val="20"/>
        </w:rPr>
      </w:pPr>
      <w:r>
        <w:rPr>
          <w:rFonts w:cs="Verdana Bold"/>
          <w:b/>
          <w:bCs/>
          <w:caps/>
          <w:szCs w:val="20"/>
        </w:rPr>
        <w:t>Resolución del Presidente de la</w:t>
      </w:r>
    </w:p>
    <w:p w:rsidR="00B10675" w:rsidRDefault="00B10675" w:rsidP="00B10675">
      <w:pPr>
        <w:spacing w:before="120"/>
        <w:ind w:right="-316"/>
        <w:jc w:val="center"/>
        <w:rPr>
          <w:rFonts w:cs="Verdana Bold"/>
          <w:b/>
          <w:bCs/>
          <w:caps/>
          <w:szCs w:val="20"/>
        </w:rPr>
      </w:pPr>
      <w:r>
        <w:rPr>
          <w:rFonts w:cs="Verdana Bold"/>
          <w:b/>
          <w:bCs/>
          <w:caps/>
          <w:szCs w:val="20"/>
        </w:rPr>
        <w:t>Corte Interamericana de Derechos Humanos</w:t>
      </w:r>
    </w:p>
    <w:p w:rsidR="00B10675" w:rsidRDefault="00B10675" w:rsidP="00B10675">
      <w:pPr>
        <w:spacing w:before="120"/>
        <w:ind w:right="-316"/>
        <w:rPr>
          <w:rFonts w:cs="Verdana Bold"/>
          <w:b/>
          <w:bCs/>
          <w:caps/>
          <w:szCs w:val="20"/>
        </w:rPr>
      </w:pPr>
    </w:p>
    <w:p w:rsidR="00B10675" w:rsidRDefault="00B10675" w:rsidP="00B10675">
      <w:pPr>
        <w:spacing w:before="120"/>
        <w:ind w:right="49"/>
        <w:jc w:val="center"/>
        <w:rPr>
          <w:rFonts w:cs="Verdana Bold"/>
          <w:b/>
          <w:bCs/>
          <w:caps/>
          <w:szCs w:val="20"/>
        </w:rPr>
      </w:pPr>
      <w:r>
        <w:rPr>
          <w:rFonts w:cs="Verdana Bold"/>
          <w:b/>
          <w:bCs/>
          <w:caps/>
          <w:szCs w:val="20"/>
        </w:rPr>
        <w:t xml:space="preserve">dE </w:t>
      </w:r>
      <w:r w:rsidR="00625AA1">
        <w:rPr>
          <w:rFonts w:cs="Verdana Bold"/>
          <w:b/>
          <w:bCs/>
          <w:caps/>
          <w:szCs w:val="20"/>
        </w:rPr>
        <w:t>7</w:t>
      </w:r>
      <w:r w:rsidR="00BA2DCB">
        <w:rPr>
          <w:rFonts w:cs="Verdana Bold"/>
          <w:b/>
          <w:bCs/>
          <w:caps/>
          <w:szCs w:val="20"/>
        </w:rPr>
        <w:t xml:space="preserve"> de </w:t>
      </w:r>
      <w:r w:rsidR="00625AA1">
        <w:rPr>
          <w:rFonts w:cs="Verdana Bold"/>
          <w:b/>
          <w:bCs/>
          <w:caps/>
          <w:szCs w:val="20"/>
        </w:rPr>
        <w:t>dic</w:t>
      </w:r>
      <w:r w:rsidR="00BA2DCB">
        <w:rPr>
          <w:rFonts w:cs="Verdana Bold"/>
          <w:b/>
          <w:bCs/>
          <w:caps/>
          <w:szCs w:val="20"/>
        </w:rPr>
        <w:t xml:space="preserve">iembre </w:t>
      </w:r>
      <w:r>
        <w:rPr>
          <w:rFonts w:cs="Verdana Bold"/>
          <w:b/>
          <w:bCs/>
          <w:caps/>
          <w:szCs w:val="20"/>
        </w:rPr>
        <w:t>de 2018</w:t>
      </w:r>
    </w:p>
    <w:p w:rsidR="00B10675" w:rsidRDefault="00B10675" w:rsidP="00B10675">
      <w:pPr>
        <w:spacing w:before="120"/>
        <w:ind w:right="-316"/>
        <w:rPr>
          <w:rFonts w:cs="Verdana Bold"/>
          <w:b/>
          <w:bCs/>
          <w:caps/>
          <w:szCs w:val="20"/>
        </w:rPr>
      </w:pPr>
    </w:p>
    <w:p w:rsidR="00B10675" w:rsidRDefault="00B10675" w:rsidP="00B10675">
      <w:pPr>
        <w:spacing w:before="120"/>
        <w:ind w:right="49"/>
        <w:jc w:val="center"/>
        <w:rPr>
          <w:rFonts w:cs="Verdana Bold"/>
          <w:b/>
          <w:bCs/>
          <w:caps/>
          <w:szCs w:val="20"/>
        </w:rPr>
      </w:pPr>
      <w:bookmarkStart w:id="0" w:name="_GoBack"/>
      <w:r>
        <w:rPr>
          <w:rFonts w:cs="Verdana Bold"/>
          <w:b/>
          <w:bCs/>
          <w:caps/>
          <w:szCs w:val="20"/>
        </w:rPr>
        <w:t xml:space="preserve">CASO </w:t>
      </w:r>
      <w:r w:rsidR="00BA2DCB">
        <w:rPr>
          <w:rFonts w:cs="Verdana Bold"/>
          <w:b/>
          <w:bCs/>
          <w:caps/>
          <w:szCs w:val="20"/>
        </w:rPr>
        <w:t xml:space="preserve">DÍAZ LORETO </w:t>
      </w:r>
      <w:bookmarkEnd w:id="0"/>
      <w:r w:rsidR="00BA2DCB">
        <w:rPr>
          <w:rFonts w:cs="Verdana Bold"/>
          <w:b/>
          <w:bCs/>
          <w:caps/>
          <w:szCs w:val="20"/>
        </w:rPr>
        <w:t xml:space="preserve">Y OTROS </w:t>
      </w:r>
      <w:r>
        <w:rPr>
          <w:rFonts w:cs="Verdana Bold"/>
          <w:b/>
          <w:bCs/>
          <w:caps/>
          <w:szCs w:val="20"/>
        </w:rPr>
        <w:t xml:space="preserve">vs. </w:t>
      </w:r>
      <w:r w:rsidR="00BA2DCB">
        <w:rPr>
          <w:rFonts w:cs="Verdana Bold"/>
          <w:b/>
          <w:bCs/>
          <w:caps/>
          <w:szCs w:val="20"/>
        </w:rPr>
        <w:t>VENEZUELA</w:t>
      </w:r>
    </w:p>
    <w:p w:rsidR="00BA2DCB" w:rsidRDefault="00BA2DCB" w:rsidP="00B10675">
      <w:pPr>
        <w:spacing w:before="120"/>
        <w:ind w:right="49"/>
        <w:jc w:val="center"/>
        <w:rPr>
          <w:b/>
          <w:caps/>
          <w:szCs w:val="20"/>
          <w:lang w:val="es-CR"/>
        </w:rPr>
      </w:pPr>
    </w:p>
    <w:p w:rsidR="00B10675" w:rsidRDefault="00B10675" w:rsidP="00B10675">
      <w:pPr>
        <w:spacing w:before="120"/>
        <w:ind w:right="49"/>
        <w:jc w:val="center"/>
        <w:rPr>
          <w:b/>
          <w:caps/>
          <w:szCs w:val="20"/>
          <w:lang w:val="es-CR"/>
        </w:rPr>
      </w:pPr>
      <w:r>
        <w:rPr>
          <w:b/>
          <w:caps/>
          <w:szCs w:val="20"/>
          <w:lang w:val="es-CR"/>
        </w:rPr>
        <w:t>CONVOCATORIA A AUDIENCIA</w:t>
      </w:r>
    </w:p>
    <w:p w:rsidR="00B10675" w:rsidRDefault="00B10675" w:rsidP="00B10675">
      <w:pPr>
        <w:spacing w:before="120"/>
        <w:rPr>
          <w:rFonts w:cs="Verdana"/>
          <w:b/>
          <w:bCs/>
          <w:caps/>
          <w:szCs w:val="20"/>
        </w:rPr>
      </w:pPr>
    </w:p>
    <w:p w:rsidR="00B10675" w:rsidRDefault="00B10675" w:rsidP="00B10675">
      <w:pPr>
        <w:spacing w:before="120"/>
        <w:rPr>
          <w:rFonts w:cs="Verdana"/>
          <w:b/>
          <w:bCs/>
          <w:caps/>
          <w:szCs w:val="20"/>
        </w:rPr>
      </w:pPr>
    </w:p>
    <w:p w:rsidR="00B10675" w:rsidRDefault="00B10675" w:rsidP="00B10675">
      <w:pPr>
        <w:spacing w:before="120"/>
        <w:rPr>
          <w:rFonts w:cs="Verdana"/>
          <w:b/>
          <w:bCs/>
          <w:caps/>
          <w:szCs w:val="20"/>
        </w:rPr>
      </w:pPr>
      <w:r>
        <w:rPr>
          <w:rFonts w:cs="Verdana"/>
          <w:b/>
          <w:bCs/>
          <w:caps/>
          <w:szCs w:val="20"/>
        </w:rPr>
        <w:t>Visto:</w:t>
      </w:r>
    </w:p>
    <w:p w:rsidR="00B10675" w:rsidRDefault="00B10675" w:rsidP="00B10675">
      <w:pPr>
        <w:pStyle w:val="ListParagraph"/>
        <w:widowControl w:val="0"/>
        <w:numPr>
          <w:ilvl w:val="0"/>
          <w:numId w:val="1"/>
        </w:numPr>
        <w:tabs>
          <w:tab w:val="left" w:pos="567"/>
        </w:tabs>
        <w:autoSpaceDE w:val="0"/>
        <w:autoSpaceDN w:val="0"/>
        <w:adjustRightInd w:val="0"/>
        <w:spacing w:before="120"/>
        <w:ind w:left="0" w:right="23" w:firstLine="0"/>
        <w:contextualSpacing w:val="0"/>
        <w:rPr>
          <w:szCs w:val="20"/>
          <w:lang w:val="es-CR"/>
        </w:rPr>
      </w:pPr>
      <w:bookmarkStart w:id="1" w:name="_Ref393297742"/>
      <w:bookmarkStart w:id="2" w:name="_Ref352676460"/>
      <w:bookmarkStart w:id="3" w:name="_Ref393297780"/>
      <w:bookmarkStart w:id="4" w:name="_Ref393920719"/>
      <w:r>
        <w:rPr>
          <w:szCs w:val="20"/>
          <w:lang w:val="es-CR"/>
        </w:rPr>
        <w:t>El escrito de sometimiento del caso y el Informe de Fondo de la Comisión Interamericana de Derechos Humanos (en adelante “la Comisión Interamericana” o “la Comisión”)</w:t>
      </w:r>
      <w:bookmarkEnd w:id="1"/>
      <w:r>
        <w:rPr>
          <w:szCs w:val="20"/>
          <w:lang w:val="es-CR"/>
        </w:rPr>
        <w:t xml:space="preserve">; </w:t>
      </w:r>
      <w:bookmarkStart w:id="5" w:name="_Ref393297751"/>
      <w:bookmarkStart w:id="6" w:name="_Ref351983508"/>
      <w:bookmarkEnd w:id="2"/>
      <w:r>
        <w:rPr>
          <w:szCs w:val="20"/>
          <w:lang w:val="es-CR"/>
        </w:rPr>
        <w:t xml:space="preserve">el escrito de solicitudes, argumentos y pruebas (en adelante el “escrito de solicitudes y argumentos”) </w:t>
      </w:r>
      <w:r>
        <w:rPr>
          <w:szCs w:val="20"/>
          <w:lang w:val="es-CL" w:eastAsia="en-US"/>
        </w:rPr>
        <w:t>de los representantes</w:t>
      </w:r>
      <w:r>
        <w:rPr>
          <w:rStyle w:val="FootnoteReference"/>
          <w:szCs w:val="20"/>
          <w:lang w:val="es-CL" w:eastAsia="en-US"/>
        </w:rPr>
        <w:t xml:space="preserve"> </w:t>
      </w:r>
      <w:r>
        <w:rPr>
          <w:szCs w:val="20"/>
          <w:lang w:val="es-CL" w:eastAsia="en-US"/>
        </w:rPr>
        <w:t>de las presuntas víctimas</w:t>
      </w:r>
      <w:r>
        <w:rPr>
          <w:szCs w:val="20"/>
          <w:lang w:val="es-CR"/>
        </w:rPr>
        <w:t xml:space="preserve"> (en adelante “los representantes”), y </w:t>
      </w:r>
      <w:bookmarkStart w:id="7" w:name="_Ref352676532"/>
      <w:bookmarkEnd w:id="5"/>
      <w:bookmarkEnd w:id="6"/>
      <w:r>
        <w:rPr>
          <w:szCs w:val="20"/>
          <w:lang w:val="es-CR"/>
        </w:rPr>
        <w:t xml:space="preserve">el escrito de </w:t>
      </w:r>
      <w:r w:rsidR="004E06A2">
        <w:rPr>
          <w:szCs w:val="20"/>
          <w:lang w:val="es-CR"/>
        </w:rPr>
        <w:t xml:space="preserve">presentación de excepción preliminar y </w:t>
      </w:r>
      <w:r>
        <w:rPr>
          <w:szCs w:val="20"/>
          <w:lang w:val="es-CR"/>
        </w:rPr>
        <w:t xml:space="preserve">contestación al sometimiento del caso y al escrito de solicitudes y argumentos (en adelante “escrito de contestación”) del Estado de </w:t>
      </w:r>
      <w:r w:rsidR="004E06A2">
        <w:rPr>
          <w:szCs w:val="20"/>
          <w:lang w:val="es-CR"/>
        </w:rPr>
        <w:t>Venezuela</w:t>
      </w:r>
      <w:r>
        <w:rPr>
          <w:szCs w:val="20"/>
          <w:lang w:val="es-CR"/>
        </w:rPr>
        <w:t xml:space="preserve"> (en adelante “el Estado”)</w:t>
      </w:r>
      <w:bookmarkEnd w:id="7"/>
      <w:r>
        <w:rPr>
          <w:szCs w:val="20"/>
          <w:lang w:val="es-CR"/>
        </w:rPr>
        <w:t>.</w:t>
      </w:r>
    </w:p>
    <w:bookmarkEnd w:id="3"/>
    <w:p w:rsidR="00B10675" w:rsidRDefault="00B10675" w:rsidP="00B10675">
      <w:pPr>
        <w:pStyle w:val="ListParagraph"/>
        <w:widowControl w:val="0"/>
        <w:numPr>
          <w:ilvl w:val="0"/>
          <w:numId w:val="1"/>
        </w:numPr>
        <w:tabs>
          <w:tab w:val="left" w:pos="567"/>
        </w:tabs>
        <w:autoSpaceDE w:val="0"/>
        <w:autoSpaceDN w:val="0"/>
        <w:adjustRightInd w:val="0"/>
        <w:spacing w:before="120"/>
        <w:ind w:left="0" w:right="22" w:firstLine="0"/>
        <w:rPr>
          <w:szCs w:val="20"/>
          <w:lang w:val="es-CR"/>
        </w:rPr>
      </w:pPr>
      <w:r w:rsidRPr="00003D67">
        <w:rPr>
          <w:szCs w:val="20"/>
          <w:lang w:val="es-CR"/>
        </w:rPr>
        <w:t xml:space="preserve">Las listas definitivas de declarantes presentadas por </w:t>
      </w:r>
      <w:r w:rsidR="004E06A2">
        <w:rPr>
          <w:szCs w:val="20"/>
          <w:lang w:val="es-CR"/>
        </w:rPr>
        <w:t>la Comisión,</w:t>
      </w:r>
      <w:r w:rsidR="00003D67" w:rsidRPr="00003D67">
        <w:rPr>
          <w:szCs w:val="20"/>
          <w:lang w:val="es-CR"/>
        </w:rPr>
        <w:t xml:space="preserve"> los representantes</w:t>
      </w:r>
      <w:r w:rsidRPr="00003D67">
        <w:rPr>
          <w:szCs w:val="20"/>
          <w:lang w:val="es-CR"/>
        </w:rPr>
        <w:t xml:space="preserve"> y </w:t>
      </w:r>
      <w:r w:rsidR="004E06A2">
        <w:rPr>
          <w:szCs w:val="20"/>
          <w:lang w:val="es-CR"/>
        </w:rPr>
        <w:t>el Estado</w:t>
      </w:r>
      <w:r w:rsidR="005937E5">
        <w:rPr>
          <w:szCs w:val="20"/>
          <w:lang w:val="es-CR"/>
        </w:rPr>
        <w:t>, quienes no presentaron observaciones al respecto</w:t>
      </w:r>
      <w:r w:rsidR="004E06A2">
        <w:rPr>
          <w:rStyle w:val="FootnoteReference"/>
          <w:szCs w:val="20"/>
          <w:lang w:val="es-CR"/>
        </w:rPr>
        <w:footnoteReference w:id="1"/>
      </w:r>
      <w:r w:rsidR="004E06A2">
        <w:rPr>
          <w:szCs w:val="20"/>
          <w:lang w:val="es-CR"/>
        </w:rPr>
        <w:t xml:space="preserve">. </w:t>
      </w:r>
      <w:bookmarkEnd w:id="4"/>
    </w:p>
    <w:p w:rsidR="00B10675" w:rsidRDefault="00B10675" w:rsidP="00B10675">
      <w:pPr>
        <w:spacing w:before="120"/>
        <w:rPr>
          <w:rFonts w:cs="Verdana"/>
          <w:b/>
          <w:bCs/>
          <w:caps/>
          <w:szCs w:val="20"/>
          <w:lang w:val="es-CR"/>
        </w:rPr>
      </w:pPr>
    </w:p>
    <w:p w:rsidR="00B10675" w:rsidRDefault="00B10675" w:rsidP="00B10675">
      <w:pPr>
        <w:autoSpaceDE w:val="0"/>
        <w:autoSpaceDN w:val="0"/>
        <w:adjustRightInd w:val="0"/>
        <w:spacing w:before="120"/>
        <w:jc w:val="left"/>
        <w:rPr>
          <w:rFonts w:eastAsia="Times New Roman" w:cs="Verdana"/>
          <w:b/>
          <w:bCs/>
          <w:szCs w:val="20"/>
          <w:lang w:val="es-CL" w:eastAsia="en-US"/>
        </w:rPr>
      </w:pPr>
      <w:r>
        <w:rPr>
          <w:rFonts w:eastAsia="Times New Roman" w:cs="Verdana"/>
          <w:b/>
          <w:bCs/>
          <w:szCs w:val="20"/>
          <w:lang w:val="es-CL" w:eastAsia="en-US"/>
        </w:rPr>
        <w:t>CONSIDERANDO QUE:</w:t>
      </w:r>
    </w:p>
    <w:p w:rsidR="00B10675" w:rsidRDefault="00B10675" w:rsidP="00B10675">
      <w:pPr>
        <w:autoSpaceDE w:val="0"/>
        <w:autoSpaceDN w:val="0"/>
        <w:adjustRightInd w:val="0"/>
        <w:spacing w:before="120"/>
        <w:jc w:val="left"/>
        <w:rPr>
          <w:rFonts w:eastAsia="Times New Roman" w:cs="Verdana"/>
          <w:b/>
          <w:bCs/>
          <w:szCs w:val="20"/>
          <w:lang w:val="es-CL" w:eastAsia="en-US"/>
        </w:rPr>
      </w:pPr>
    </w:p>
    <w:p w:rsidR="00B10675" w:rsidRDefault="00B10675" w:rsidP="00B10675">
      <w:pPr>
        <w:numPr>
          <w:ilvl w:val="0"/>
          <w:numId w:val="2"/>
        </w:numPr>
        <w:autoSpaceDE w:val="0"/>
        <w:autoSpaceDN w:val="0"/>
        <w:adjustRightInd w:val="0"/>
        <w:spacing w:before="120"/>
        <w:rPr>
          <w:rFonts w:eastAsia="Times New Roman" w:cs="Verdana"/>
          <w:szCs w:val="20"/>
          <w:lang w:val="es-CL" w:eastAsia="en-US"/>
        </w:rPr>
      </w:pPr>
      <w:r>
        <w:rPr>
          <w:rFonts w:eastAsia="Times New Roman" w:cs="Verdana"/>
          <w:szCs w:val="20"/>
          <w:lang w:val="es-CL" w:eastAsia="en-US"/>
        </w:rPr>
        <w:t xml:space="preserve">El ofrecimiento y la admisión de la prueba, así como la citación de testigos y peritos se encuentran regulados en los artículos 35.1.f, 40.2.c, 41.1.c, 46, 48, 50, y 57 del </w:t>
      </w:r>
      <w:r w:rsidRPr="00A10CD3">
        <w:rPr>
          <w:rFonts w:eastAsia="Times New Roman" w:cs="Verdana"/>
          <w:szCs w:val="20"/>
          <w:lang w:val="es-CL" w:eastAsia="en-US"/>
        </w:rPr>
        <w:t>Reglamento del Tribunal.</w:t>
      </w:r>
    </w:p>
    <w:p w:rsidR="00C3662C" w:rsidRDefault="00C3662C" w:rsidP="00C3662C">
      <w:pPr>
        <w:pStyle w:val="ListParagraph"/>
        <w:tabs>
          <w:tab w:val="left" w:pos="567"/>
        </w:tabs>
        <w:ind w:left="0"/>
        <w:rPr>
          <w:lang w:val="es-CR"/>
        </w:rPr>
      </w:pPr>
    </w:p>
    <w:p w:rsidR="00C3662C" w:rsidRDefault="00C3662C" w:rsidP="00C3662C">
      <w:pPr>
        <w:pStyle w:val="ListParagraph"/>
        <w:widowControl w:val="0"/>
        <w:numPr>
          <w:ilvl w:val="0"/>
          <w:numId w:val="16"/>
        </w:numPr>
        <w:tabs>
          <w:tab w:val="left" w:pos="708"/>
        </w:tabs>
        <w:autoSpaceDE w:val="0"/>
        <w:autoSpaceDN w:val="0"/>
        <w:adjustRightInd w:val="0"/>
        <w:spacing w:after="0"/>
        <w:ind w:right="22" w:hanging="540"/>
        <w:contextualSpacing w:val="0"/>
        <w:rPr>
          <w:b/>
          <w:i/>
          <w:lang w:val="es-CR"/>
        </w:rPr>
      </w:pPr>
      <w:r>
        <w:rPr>
          <w:b/>
          <w:i/>
        </w:rPr>
        <w:t xml:space="preserve">Declaraciones de presuntas víctimas, testigos y peritos </w:t>
      </w:r>
    </w:p>
    <w:p w:rsidR="00B10675" w:rsidRPr="00F84263" w:rsidRDefault="00B10675" w:rsidP="00F84263">
      <w:pPr>
        <w:numPr>
          <w:ilvl w:val="0"/>
          <w:numId w:val="2"/>
        </w:numPr>
        <w:autoSpaceDE w:val="0"/>
        <w:autoSpaceDN w:val="0"/>
        <w:adjustRightInd w:val="0"/>
        <w:spacing w:before="120"/>
        <w:rPr>
          <w:bCs/>
          <w:iCs/>
          <w:szCs w:val="20"/>
          <w:lang w:val="es-CR"/>
        </w:rPr>
      </w:pPr>
      <w:r w:rsidRPr="00F84263">
        <w:rPr>
          <w:bCs/>
          <w:iCs/>
          <w:szCs w:val="20"/>
          <w:lang w:val="es-CR"/>
        </w:rPr>
        <w:t xml:space="preserve">Los representantes ofrecieron las declaraciones de </w:t>
      </w:r>
      <w:r w:rsidR="00322455">
        <w:rPr>
          <w:bCs/>
          <w:iCs/>
          <w:szCs w:val="20"/>
          <w:lang w:val="es-CR"/>
        </w:rPr>
        <w:t xml:space="preserve">cinco </w:t>
      </w:r>
      <w:r w:rsidR="00A10CD3" w:rsidRPr="00F84263">
        <w:rPr>
          <w:bCs/>
          <w:iCs/>
          <w:szCs w:val="20"/>
          <w:lang w:val="es-CR"/>
        </w:rPr>
        <w:t>presunta</w:t>
      </w:r>
      <w:r w:rsidR="00322455">
        <w:rPr>
          <w:bCs/>
          <w:iCs/>
          <w:szCs w:val="20"/>
          <w:lang w:val="es-CR"/>
        </w:rPr>
        <w:t>s</w:t>
      </w:r>
      <w:r w:rsidR="00A10CD3" w:rsidRPr="00F84263">
        <w:rPr>
          <w:bCs/>
          <w:iCs/>
          <w:szCs w:val="20"/>
          <w:lang w:val="es-CR"/>
        </w:rPr>
        <w:t xml:space="preserve"> </w:t>
      </w:r>
      <w:r w:rsidRPr="00F84263">
        <w:rPr>
          <w:bCs/>
          <w:iCs/>
          <w:szCs w:val="20"/>
          <w:lang w:val="es-CR"/>
        </w:rPr>
        <w:t>víctima</w:t>
      </w:r>
      <w:r w:rsidR="00322455">
        <w:rPr>
          <w:bCs/>
          <w:iCs/>
          <w:szCs w:val="20"/>
          <w:lang w:val="es-CR"/>
        </w:rPr>
        <w:t xml:space="preserve">s y tres </w:t>
      </w:r>
      <w:r w:rsidR="00FD55FD">
        <w:rPr>
          <w:bCs/>
          <w:iCs/>
          <w:szCs w:val="20"/>
          <w:lang w:val="es-CR"/>
        </w:rPr>
        <w:t>peritajes</w:t>
      </w:r>
      <w:r w:rsidRPr="00F84263">
        <w:rPr>
          <w:bCs/>
          <w:iCs/>
          <w:szCs w:val="20"/>
          <w:lang w:val="es-CR"/>
        </w:rPr>
        <w:t xml:space="preserve">. </w:t>
      </w:r>
      <w:r w:rsidR="00F84263">
        <w:rPr>
          <w:bCs/>
          <w:iCs/>
          <w:szCs w:val="20"/>
          <w:lang w:val="es-CR"/>
        </w:rPr>
        <w:t xml:space="preserve">El Estado </w:t>
      </w:r>
      <w:r w:rsidR="00322455">
        <w:rPr>
          <w:bCs/>
          <w:iCs/>
          <w:szCs w:val="20"/>
          <w:lang w:val="es-CR"/>
        </w:rPr>
        <w:t>ofreció las declaracione</w:t>
      </w:r>
      <w:r w:rsidR="00FD55FD">
        <w:rPr>
          <w:bCs/>
          <w:iCs/>
          <w:szCs w:val="20"/>
          <w:lang w:val="es-CR"/>
        </w:rPr>
        <w:t>s de tres testigos y dos peritajes</w:t>
      </w:r>
      <w:r w:rsidR="00322455">
        <w:rPr>
          <w:bCs/>
          <w:iCs/>
          <w:szCs w:val="20"/>
          <w:lang w:val="es-CR"/>
        </w:rPr>
        <w:t>.</w:t>
      </w:r>
      <w:r w:rsidRPr="00F84263">
        <w:rPr>
          <w:bCs/>
          <w:iCs/>
          <w:szCs w:val="20"/>
          <w:lang w:val="es-CR"/>
        </w:rPr>
        <w:t xml:space="preserve"> </w:t>
      </w:r>
      <w:r w:rsidR="00322455" w:rsidRPr="00F84263">
        <w:rPr>
          <w:bCs/>
          <w:iCs/>
          <w:szCs w:val="20"/>
          <w:lang w:val="es-CR"/>
        </w:rPr>
        <w:t>La Comisión ofreció un</w:t>
      </w:r>
      <w:r w:rsidR="00322455">
        <w:rPr>
          <w:bCs/>
          <w:iCs/>
          <w:szCs w:val="20"/>
          <w:lang w:val="es-CR"/>
        </w:rPr>
        <w:t xml:space="preserve"> </w:t>
      </w:r>
      <w:r w:rsidR="00322455" w:rsidRPr="00F84263">
        <w:rPr>
          <w:bCs/>
          <w:iCs/>
          <w:szCs w:val="20"/>
          <w:lang w:val="es-CR"/>
        </w:rPr>
        <w:t>dictamen pericial.</w:t>
      </w:r>
    </w:p>
    <w:p w:rsidR="00322455" w:rsidRPr="00322455" w:rsidRDefault="00B10675" w:rsidP="00B10675">
      <w:pPr>
        <w:numPr>
          <w:ilvl w:val="0"/>
          <w:numId w:val="2"/>
        </w:numPr>
        <w:autoSpaceDE w:val="0"/>
        <w:autoSpaceDN w:val="0"/>
        <w:adjustRightInd w:val="0"/>
        <w:spacing w:before="120"/>
        <w:rPr>
          <w:rFonts w:eastAsiaTheme="minorHAnsi" w:cs="Verdana"/>
          <w:color w:val="000000"/>
          <w:szCs w:val="20"/>
          <w:lang w:val="es-CR" w:eastAsia="en-US"/>
        </w:rPr>
      </w:pPr>
      <w:r w:rsidRPr="003D548A">
        <w:rPr>
          <w:rFonts w:eastAsiaTheme="minorHAnsi" w:cs="Verdana"/>
          <w:color w:val="000000"/>
          <w:szCs w:val="20"/>
          <w:lang w:val="es-CR" w:eastAsia="en-US"/>
        </w:rPr>
        <w:t xml:space="preserve">En cuanto a las </w:t>
      </w:r>
      <w:r w:rsidR="0004675C">
        <w:rPr>
          <w:rFonts w:eastAsiaTheme="minorHAnsi" w:cs="Verdana"/>
          <w:color w:val="000000"/>
          <w:szCs w:val="20"/>
          <w:lang w:val="es-CR" w:eastAsia="en-US"/>
        </w:rPr>
        <w:t xml:space="preserve">distintas </w:t>
      </w:r>
      <w:r w:rsidRPr="003D548A">
        <w:rPr>
          <w:rFonts w:eastAsiaTheme="minorHAnsi" w:cs="Verdana"/>
          <w:color w:val="000000"/>
          <w:szCs w:val="20"/>
          <w:lang w:val="es-CR" w:eastAsia="en-US"/>
        </w:rPr>
        <w:t xml:space="preserve">declaraciones </w:t>
      </w:r>
      <w:r w:rsidR="0004675C">
        <w:rPr>
          <w:rFonts w:eastAsiaTheme="minorHAnsi" w:cs="Verdana"/>
          <w:color w:val="000000"/>
          <w:szCs w:val="20"/>
          <w:lang w:val="es-CR" w:eastAsia="en-US"/>
        </w:rPr>
        <w:t xml:space="preserve">ofrecidas </w:t>
      </w:r>
      <w:r w:rsidRPr="003D548A">
        <w:rPr>
          <w:rFonts w:eastAsiaTheme="minorHAnsi" w:cs="Verdana"/>
          <w:color w:val="000000"/>
          <w:szCs w:val="20"/>
          <w:lang w:val="es-CR" w:eastAsia="en-US"/>
        </w:rPr>
        <w:t xml:space="preserve">que no han sido objetadas, esta Presidencia considera </w:t>
      </w:r>
      <w:r w:rsidR="001C462F">
        <w:rPr>
          <w:rFonts w:eastAsiaTheme="minorHAnsi" w:cs="Verdana"/>
          <w:color w:val="000000"/>
          <w:szCs w:val="20"/>
          <w:lang w:val="es-CR" w:eastAsia="en-US"/>
        </w:rPr>
        <w:t>pertinente</w:t>
      </w:r>
      <w:r w:rsidRPr="003D548A">
        <w:rPr>
          <w:rFonts w:eastAsiaTheme="minorHAnsi" w:cs="Verdana"/>
          <w:color w:val="000000"/>
          <w:szCs w:val="20"/>
          <w:lang w:val="es-CR" w:eastAsia="en-US"/>
        </w:rPr>
        <w:t xml:space="preserve"> recabar</w:t>
      </w:r>
      <w:r w:rsidR="001C462F">
        <w:rPr>
          <w:rFonts w:eastAsiaTheme="minorHAnsi" w:cs="Verdana"/>
          <w:color w:val="000000"/>
          <w:szCs w:val="20"/>
          <w:lang w:val="es-CR" w:eastAsia="en-US"/>
        </w:rPr>
        <w:t>las</w:t>
      </w:r>
      <w:r w:rsidRPr="003D548A">
        <w:rPr>
          <w:rFonts w:eastAsiaTheme="minorHAnsi" w:cs="Verdana"/>
          <w:color w:val="000000"/>
          <w:szCs w:val="20"/>
          <w:lang w:val="es-CR" w:eastAsia="en-US"/>
        </w:rPr>
        <w:t>,</w:t>
      </w:r>
      <w:r w:rsidR="001C462F">
        <w:rPr>
          <w:rFonts w:eastAsiaTheme="minorHAnsi" w:cs="Verdana"/>
          <w:color w:val="000000"/>
          <w:szCs w:val="20"/>
          <w:lang w:val="es-CR" w:eastAsia="en-US"/>
        </w:rPr>
        <w:t xml:space="preserve"> en atención al objeto del litigio y los ofrecimientos probatorios, </w:t>
      </w:r>
      <w:r w:rsidRPr="003D548A">
        <w:rPr>
          <w:rFonts w:eastAsiaTheme="minorHAnsi" w:cs="Verdana"/>
          <w:color w:val="000000"/>
          <w:szCs w:val="20"/>
          <w:lang w:val="es-CR" w:eastAsia="en-US"/>
        </w:rPr>
        <w:t>a efectos de que el Tribunal pueda apreciar su valor en</w:t>
      </w:r>
      <w:r w:rsidR="001C462F">
        <w:rPr>
          <w:rFonts w:eastAsiaTheme="minorHAnsi" w:cs="Verdana"/>
          <w:color w:val="000000"/>
          <w:szCs w:val="20"/>
          <w:lang w:val="es-CR" w:eastAsia="en-US"/>
        </w:rPr>
        <w:t xml:space="preserve"> la debida oportunidad procesal</w:t>
      </w:r>
      <w:r w:rsidRPr="003D548A">
        <w:rPr>
          <w:rFonts w:eastAsiaTheme="minorHAnsi" w:cs="Verdana"/>
          <w:color w:val="000000"/>
          <w:szCs w:val="20"/>
          <w:lang w:val="es-CR" w:eastAsia="en-US"/>
        </w:rPr>
        <w:t xml:space="preserve">. Por consiguiente, </w:t>
      </w:r>
      <w:r w:rsidR="00163834" w:rsidRPr="003D548A">
        <w:rPr>
          <w:rFonts w:eastAsiaTheme="minorHAnsi" w:cs="Verdana"/>
          <w:color w:val="000000"/>
          <w:szCs w:val="20"/>
          <w:lang w:val="es-CR" w:eastAsia="en-US"/>
        </w:rPr>
        <w:t>se</w:t>
      </w:r>
      <w:r w:rsidRPr="003D548A">
        <w:rPr>
          <w:rFonts w:eastAsiaTheme="minorHAnsi" w:cs="Verdana"/>
          <w:color w:val="000000"/>
          <w:szCs w:val="20"/>
          <w:lang w:val="es-CR" w:eastAsia="en-US"/>
        </w:rPr>
        <w:t xml:space="preserve"> admite</w:t>
      </w:r>
      <w:r w:rsidR="00163834" w:rsidRPr="003D548A">
        <w:rPr>
          <w:rFonts w:eastAsiaTheme="minorHAnsi" w:cs="Verdana"/>
          <w:color w:val="000000"/>
          <w:szCs w:val="20"/>
          <w:lang w:val="es-CR" w:eastAsia="en-US"/>
        </w:rPr>
        <w:t>n</w:t>
      </w:r>
      <w:r w:rsidR="00322455">
        <w:rPr>
          <w:rFonts w:eastAsiaTheme="minorHAnsi" w:cs="Verdana"/>
          <w:color w:val="000000"/>
          <w:szCs w:val="20"/>
          <w:lang w:val="es-CR" w:eastAsia="en-US"/>
        </w:rPr>
        <w:t xml:space="preserve"> todas </w:t>
      </w:r>
      <w:r w:rsidRPr="003D548A">
        <w:rPr>
          <w:rFonts w:eastAsiaTheme="minorHAnsi" w:cs="Verdana"/>
          <w:color w:val="000000"/>
          <w:szCs w:val="20"/>
          <w:lang w:val="es-CR" w:eastAsia="en-US"/>
        </w:rPr>
        <w:t xml:space="preserve">las declaraciones </w:t>
      </w:r>
      <w:r w:rsidR="00322455">
        <w:rPr>
          <w:rFonts w:eastAsiaTheme="minorHAnsi" w:cs="Verdana"/>
          <w:color w:val="000000"/>
          <w:szCs w:val="20"/>
          <w:lang w:val="es-CR" w:eastAsia="en-US"/>
        </w:rPr>
        <w:t>ofrecidas</w:t>
      </w:r>
      <w:r w:rsidR="00163834" w:rsidRPr="003D548A">
        <w:rPr>
          <w:rFonts w:cs="Arial"/>
          <w:szCs w:val="20"/>
        </w:rPr>
        <w:t xml:space="preserve">. </w:t>
      </w:r>
    </w:p>
    <w:p w:rsidR="003D548A" w:rsidRPr="003D548A" w:rsidRDefault="00322455" w:rsidP="00B10675">
      <w:pPr>
        <w:numPr>
          <w:ilvl w:val="0"/>
          <w:numId w:val="2"/>
        </w:numPr>
        <w:autoSpaceDE w:val="0"/>
        <w:autoSpaceDN w:val="0"/>
        <w:adjustRightInd w:val="0"/>
        <w:spacing w:before="120"/>
        <w:rPr>
          <w:rFonts w:eastAsiaTheme="minorHAnsi" w:cs="Verdana"/>
          <w:color w:val="000000"/>
          <w:szCs w:val="20"/>
          <w:lang w:val="es-CR" w:eastAsia="en-US"/>
        </w:rPr>
      </w:pPr>
      <w:r>
        <w:rPr>
          <w:rFonts w:cs="Arial"/>
          <w:szCs w:val="20"/>
        </w:rPr>
        <w:t xml:space="preserve">Con respecto al dictamen pericial </w:t>
      </w:r>
      <w:r w:rsidR="00AF7835">
        <w:rPr>
          <w:rFonts w:cs="Arial"/>
          <w:szCs w:val="20"/>
        </w:rPr>
        <w:t>propuesto por la Comisión</w:t>
      </w:r>
      <w:r w:rsidR="00163834" w:rsidRPr="003D548A">
        <w:rPr>
          <w:rFonts w:cs="Arial"/>
          <w:szCs w:val="20"/>
        </w:rPr>
        <w:t xml:space="preserve">, </w:t>
      </w:r>
      <w:r w:rsidR="00AF7835">
        <w:rPr>
          <w:rFonts w:cs="Arial"/>
          <w:szCs w:val="20"/>
        </w:rPr>
        <w:t xml:space="preserve">el mismo </w:t>
      </w:r>
      <w:r w:rsidR="00000ABF" w:rsidRPr="003D548A">
        <w:rPr>
          <w:rFonts w:eastAsia="Times New Roman" w:cs="Verdana"/>
          <w:szCs w:val="20"/>
          <w:lang w:val="es-CL" w:eastAsia="en-US"/>
        </w:rPr>
        <w:t xml:space="preserve">puede resultar útil y pertinente </w:t>
      </w:r>
      <w:r w:rsidR="0004675C">
        <w:rPr>
          <w:rFonts w:eastAsia="Times New Roman" w:cs="Verdana"/>
          <w:szCs w:val="20"/>
          <w:lang w:val="es-CL" w:eastAsia="en-US"/>
        </w:rPr>
        <w:t>puesto que</w:t>
      </w:r>
      <w:r w:rsidR="00000ABF" w:rsidRPr="003D548A">
        <w:rPr>
          <w:rFonts w:eastAsia="Times New Roman" w:cs="Verdana"/>
          <w:szCs w:val="20"/>
          <w:lang w:val="es-CL" w:eastAsia="en-US"/>
        </w:rPr>
        <w:t xml:space="preserve"> los temas</w:t>
      </w:r>
      <w:r w:rsidR="0004675C">
        <w:rPr>
          <w:rFonts w:eastAsia="Times New Roman" w:cs="Verdana"/>
          <w:szCs w:val="20"/>
          <w:lang w:val="es-CL" w:eastAsia="en-US"/>
        </w:rPr>
        <w:t xml:space="preserve"> que serían</w:t>
      </w:r>
      <w:r w:rsidR="00000ABF" w:rsidRPr="003D548A">
        <w:rPr>
          <w:rFonts w:eastAsia="Times New Roman" w:cs="Verdana"/>
          <w:szCs w:val="20"/>
          <w:lang w:val="es-CL" w:eastAsia="en-US"/>
        </w:rPr>
        <w:t xml:space="preserve"> referidos por el declarante se relacionan con</w:t>
      </w:r>
      <w:r w:rsidR="00AF7835">
        <w:rPr>
          <w:rFonts w:eastAsia="Times New Roman" w:cs="Verdana"/>
          <w:szCs w:val="20"/>
          <w:lang w:val="es-CL" w:eastAsia="en-US"/>
        </w:rPr>
        <w:t xml:space="preserve"> las obligaciones de los Estados en contextos de ejecuciones extrajudiciales, particularmente</w:t>
      </w:r>
      <w:r w:rsidR="00000ABF" w:rsidRPr="003D548A">
        <w:rPr>
          <w:rFonts w:eastAsia="Times New Roman" w:cs="Verdana"/>
          <w:szCs w:val="20"/>
          <w:lang w:val="es-CL" w:eastAsia="en-US"/>
        </w:rPr>
        <w:t xml:space="preserve"> </w:t>
      </w:r>
      <w:r w:rsidR="00AF7835">
        <w:rPr>
          <w:rFonts w:cs="Arial"/>
          <w:szCs w:val="20"/>
        </w:rPr>
        <w:t xml:space="preserve">la actuación de los cuerpos de seguridad y la respuesta investigativa e institucional debida </w:t>
      </w:r>
      <w:r w:rsidR="00FD55FD">
        <w:rPr>
          <w:rFonts w:cs="Arial"/>
          <w:szCs w:val="20"/>
        </w:rPr>
        <w:t xml:space="preserve">para enfrentar esa problemática </w:t>
      </w:r>
      <w:r w:rsidR="00AF7835">
        <w:rPr>
          <w:rFonts w:cs="Arial"/>
          <w:szCs w:val="20"/>
        </w:rPr>
        <w:t>y situaciones estructurales de impunidad</w:t>
      </w:r>
      <w:r w:rsidR="00FD55FD">
        <w:rPr>
          <w:rFonts w:cs="Arial"/>
          <w:szCs w:val="20"/>
        </w:rPr>
        <w:t>. Tal objeto</w:t>
      </w:r>
      <w:r w:rsidR="003D548A" w:rsidRPr="003D548A">
        <w:rPr>
          <w:rFonts w:cs="Arial"/>
          <w:szCs w:val="20"/>
        </w:rPr>
        <w:t xml:space="preserve"> </w:t>
      </w:r>
      <w:r w:rsidR="003D548A" w:rsidRPr="003D548A">
        <w:rPr>
          <w:szCs w:val="20"/>
        </w:rPr>
        <w:t xml:space="preserve">trasciende los intereses específicos de las partes en el proceso y puede, eventualmente, tener impacto sobre situaciones que se presentan en otros Estados Parte </w:t>
      </w:r>
      <w:r w:rsidR="00AF7835">
        <w:rPr>
          <w:szCs w:val="20"/>
        </w:rPr>
        <w:t>en</w:t>
      </w:r>
      <w:r w:rsidR="003D548A" w:rsidRPr="003D548A">
        <w:rPr>
          <w:szCs w:val="20"/>
        </w:rPr>
        <w:t xml:space="preserve"> la Convención</w:t>
      </w:r>
      <w:r w:rsidR="003D548A" w:rsidRPr="003D548A">
        <w:rPr>
          <w:bCs/>
          <w:iCs/>
          <w:szCs w:val="20"/>
          <w:lang w:val="es-CR"/>
        </w:rPr>
        <w:t>.</w:t>
      </w:r>
      <w:r w:rsidR="003D548A">
        <w:rPr>
          <w:bCs/>
          <w:iCs/>
          <w:szCs w:val="20"/>
          <w:lang w:val="es-CR"/>
        </w:rPr>
        <w:t xml:space="preserve"> </w:t>
      </w:r>
      <w:r w:rsidR="00BF3CD5">
        <w:rPr>
          <w:bCs/>
          <w:iCs/>
          <w:szCs w:val="20"/>
          <w:lang w:val="es-CR"/>
        </w:rPr>
        <w:t xml:space="preserve">Por ende, es procedente admitirlo </w:t>
      </w:r>
      <w:r w:rsidR="00BF3CD5">
        <w:rPr>
          <w:lang w:val="es-CR"/>
        </w:rPr>
        <w:t>con base en el artículo 48.1.c) del Reglamento.</w:t>
      </w:r>
    </w:p>
    <w:p w:rsidR="001C0723" w:rsidRPr="003A6617" w:rsidRDefault="00B10675" w:rsidP="003A6617">
      <w:pPr>
        <w:pStyle w:val="ListParagraph"/>
        <w:numPr>
          <w:ilvl w:val="0"/>
          <w:numId w:val="2"/>
        </w:numPr>
        <w:tabs>
          <w:tab w:val="left" w:pos="0"/>
        </w:tabs>
        <w:autoSpaceDE w:val="0"/>
        <w:autoSpaceDN w:val="0"/>
        <w:adjustRightInd w:val="0"/>
        <w:spacing w:before="120" w:after="0"/>
        <w:rPr>
          <w:szCs w:val="20"/>
        </w:rPr>
      </w:pPr>
      <w:r w:rsidRPr="003A6617">
        <w:rPr>
          <w:rFonts w:eastAsiaTheme="minorHAnsi" w:cs="Verdana"/>
          <w:color w:val="000000"/>
          <w:szCs w:val="20"/>
          <w:lang w:val="es-CR" w:eastAsia="en-US"/>
        </w:rPr>
        <w:t>El objeto de las referidas declaraciones y la forma en que</w:t>
      </w:r>
      <w:r w:rsidR="00FF3671">
        <w:rPr>
          <w:rFonts w:eastAsiaTheme="minorHAnsi" w:cs="Verdana"/>
          <w:color w:val="000000"/>
          <w:szCs w:val="20"/>
          <w:lang w:val="es-CR" w:eastAsia="en-US"/>
        </w:rPr>
        <w:t xml:space="preserve"> serán recibidas, se determinan</w:t>
      </w:r>
      <w:r w:rsidRPr="003A6617">
        <w:rPr>
          <w:rFonts w:eastAsiaTheme="minorHAnsi" w:cs="Verdana"/>
          <w:color w:val="000000"/>
          <w:szCs w:val="20"/>
          <w:lang w:val="es-CR" w:eastAsia="en-US"/>
        </w:rPr>
        <w:t xml:space="preserve"> en la parte resolutiv</w:t>
      </w:r>
      <w:r w:rsidR="00FF3671">
        <w:rPr>
          <w:rFonts w:eastAsiaTheme="minorHAnsi" w:cs="Verdana"/>
          <w:color w:val="000000"/>
          <w:szCs w:val="20"/>
          <w:lang w:val="es-CR" w:eastAsia="en-US"/>
        </w:rPr>
        <w:t>a de la presente Resolución.</w:t>
      </w:r>
    </w:p>
    <w:p w:rsidR="00C3662C" w:rsidRDefault="00C3662C" w:rsidP="00C3662C">
      <w:pPr>
        <w:pStyle w:val="ListParagraph"/>
        <w:tabs>
          <w:tab w:val="left" w:pos="567"/>
        </w:tabs>
        <w:ind w:left="0"/>
        <w:rPr>
          <w:lang w:val="es-CR"/>
        </w:rPr>
      </w:pPr>
    </w:p>
    <w:p w:rsidR="00C3662C" w:rsidRDefault="00C3662C" w:rsidP="00C3662C">
      <w:pPr>
        <w:pStyle w:val="ListParagraph"/>
        <w:widowControl w:val="0"/>
        <w:numPr>
          <w:ilvl w:val="0"/>
          <w:numId w:val="16"/>
        </w:numPr>
        <w:tabs>
          <w:tab w:val="left" w:pos="708"/>
        </w:tabs>
        <w:autoSpaceDE w:val="0"/>
        <w:autoSpaceDN w:val="0"/>
        <w:adjustRightInd w:val="0"/>
        <w:spacing w:after="0"/>
        <w:ind w:right="22" w:hanging="540"/>
        <w:contextualSpacing w:val="0"/>
        <w:rPr>
          <w:b/>
          <w:i/>
          <w:lang w:val="es-CR"/>
        </w:rPr>
      </w:pPr>
      <w:r>
        <w:rPr>
          <w:b/>
          <w:i/>
        </w:rPr>
        <w:t xml:space="preserve">Solicitud de traslado de peritajes  </w:t>
      </w:r>
    </w:p>
    <w:p w:rsidR="00726399" w:rsidRDefault="00FD55FD" w:rsidP="003439BA">
      <w:pPr>
        <w:numPr>
          <w:ilvl w:val="0"/>
          <w:numId w:val="2"/>
        </w:numPr>
        <w:autoSpaceDE w:val="0"/>
        <w:autoSpaceDN w:val="0"/>
        <w:adjustRightInd w:val="0"/>
        <w:spacing w:before="120"/>
        <w:rPr>
          <w:szCs w:val="20"/>
        </w:rPr>
      </w:pPr>
      <w:bookmarkStart w:id="8" w:name="_Ref326590102"/>
      <w:bookmarkEnd w:id="8"/>
      <w:r>
        <w:rPr>
          <w:szCs w:val="20"/>
        </w:rPr>
        <w:t>E</w:t>
      </w:r>
      <w:r w:rsidR="00864C6E" w:rsidRPr="00BF3CD5">
        <w:rPr>
          <w:szCs w:val="20"/>
        </w:rPr>
        <w:t xml:space="preserve">sta Presidencia </w:t>
      </w:r>
      <w:r w:rsidR="00FE3955" w:rsidRPr="00BF3CD5">
        <w:rPr>
          <w:szCs w:val="20"/>
        </w:rPr>
        <w:t xml:space="preserve">recuerda que, </w:t>
      </w:r>
      <w:r w:rsidR="003439BA" w:rsidRPr="00BF3CD5">
        <w:rPr>
          <w:szCs w:val="20"/>
        </w:rPr>
        <w:t xml:space="preserve">en su escrito de solicitudes </w:t>
      </w:r>
      <w:r w:rsidR="004455FA" w:rsidRPr="00BF3CD5">
        <w:rPr>
          <w:szCs w:val="20"/>
        </w:rPr>
        <w:t xml:space="preserve">y argumentos, </w:t>
      </w:r>
      <w:r w:rsidR="00FE3955" w:rsidRPr="00BF3CD5">
        <w:rPr>
          <w:szCs w:val="20"/>
        </w:rPr>
        <w:t xml:space="preserve">los representantes solicitaron </w:t>
      </w:r>
      <w:r w:rsidR="00BF3CD5">
        <w:rPr>
          <w:szCs w:val="20"/>
        </w:rPr>
        <w:t>“</w:t>
      </w:r>
      <w:r w:rsidR="00FE3955" w:rsidRPr="00BF3CD5">
        <w:rPr>
          <w:szCs w:val="20"/>
        </w:rPr>
        <w:t>el traslado</w:t>
      </w:r>
      <w:r w:rsidR="00BF3CD5">
        <w:rPr>
          <w:szCs w:val="20"/>
        </w:rPr>
        <w:t>”</w:t>
      </w:r>
      <w:r w:rsidR="00FE3955" w:rsidRPr="00BF3CD5">
        <w:rPr>
          <w:szCs w:val="20"/>
        </w:rPr>
        <w:t xml:space="preserve"> de dos peritajes rendidos en el </w:t>
      </w:r>
      <w:r w:rsidR="00FE3955" w:rsidRPr="00BF3CD5">
        <w:rPr>
          <w:i/>
          <w:szCs w:val="20"/>
        </w:rPr>
        <w:t>caso Hermanos Landaeta Mejías y otros vs. Venezuela</w:t>
      </w:r>
      <w:r w:rsidR="00BF3CD5" w:rsidRPr="00BF3CD5">
        <w:rPr>
          <w:szCs w:val="20"/>
        </w:rPr>
        <w:t xml:space="preserve">. </w:t>
      </w:r>
      <w:r w:rsidR="00950199" w:rsidRPr="00BF3CD5">
        <w:rPr>
          <w:szCs w:val="20"/>
        </w:rPr>
        <w:t xml:space="preserve">El Estado no presentó observaciones con respecto a esa solicitud. </w:t>
      </w:r>
    </w:p>
    <w:p w:rsidR="00BF3CD5" w:rsidRDefault="00950199" w:rsidP="003439BA">
      <w:pPr>
        <w:numPr>
          <w:ilvl w:val="0"/>
          <w:numId w:val="2"/>
        </w:numPr>
        <w:autoSpaceDE w:val="0"/>
        <w:autoSpaceDN w:val="0"/>
        <w:adjustRightInd w:val="0"/>
        <w:spacing w:before="120"/>
        <w:rPr>
          <w:szCs w:val="20"/>
        </w:rPr>
      </w:pPr>
      <w:r w:rsidRPr="00BF3CD5">
        <w:rPr>
          <w:szCs w:val="20"/>
        </w:rPr>
        <w:t>Esta Presidencia admite dicha solicitud</w:t>
      </w:r>
      <w:r w:rsidR="001517C2">
        <w:rPr>
          <w:szCs w:val="20"/>
        </w:rPr>
        <w:t>.</w:t>
      </w:r>
      <w:r w:rsidRPr="00BF3CD5">
        <w:rPr>
          <w:szCs w:val="20"/>
        </w:rPr>
        <w:t xml:space="preserve"> </w:t>
      </w:r>
      <w:r w:rsidR="00726399">
        <w:rPr>
          <w:szCs w:val="20"/>
        </w:rPr>
        <w:t>En consecuencia, los referidos elementos documentales se incorporan al expediente del presente caso y</w:t>
      </w:r>
      <w:r w:rsidR="001C462F">
        <w:rPr>
          <w:szCs w:val="20"/>
        </w:rPr>
        <w:t>,</w:t>
      </w:r>
      <w:r w:rsidR="00726399">
        <w:rPr>
          <w:szCs w:val="20"/>
        </w:rPr>
        <w:t xml:space="preserve"> en esta oportunidad</w:t>
      </w:r>
      <w:r w:rsidR="001C462F">
        <w:rPr>
          <w:szCs w:val="20"/>
        </w:rPr>
        <w:t>,</w:t>
      </w:r>
      <w:r w:rsidR="00726399">
        <w:rPr>
          <w:szCs w:val="20"/>
        </w:rPr>
        <w:t xml:space="preserve"> la Secretaría transmitirá una copia de los mismos a las partes y a la Comisión, de modo que puedan </w:t>
      </w:r>
      <w:r w:rsidR="00726399" w:rsidRPr="00BF3CD5">
        <w:rPr>
          <w:rFonts w:eastAsia="Times New Roman" w:cs="Verdana"/>
          <w:szCs w:val="20"/>
          <w:lang w:val="es-CL" w:eastAsia="en-US"/>
        </w:rPr>
        <w:t xml:space="preserve">presentar </w:t>
      </w:r>
      <w:r w:rsidR="00726399">
        <w:rPr>
          <w:rFonts w:eastAsia="Times New Roman" w:cs="Verdana"/>
          <w:szCs w:val="20"/>
          <w:lang w:val="es-CL" w:eastAsia="en-US"/>
        </w:rPr>
        <w:t xml:space="preserve">las </w:t>
      </w:r>
      <w:r w:rsidR="00726399" w:rsidRPr="00BF3CD5">
        <w:rPr>
          <w:rFonts w:eastAsia="Times New Roman" w:cs="Verdana"/>
          <w:szCs w:val="20"/>
          <w:lang w:val="es-CL" w:eastAsia="en-US"/>
        </w:rPr>
        <w:t xml:space="preserve">observaciones </w:t>
      </w:r>
      <w:r w:rsidR="00726399">
        <w:rPr>
          <w:rFonts w:eastAsia="Times New Roman" w:cs="Verdana"/>
          <w:szCs w:val="20"/>
          <w:lang w:val="es-CL" w:eastAsia="en-US"/>
        </w:rPr>
        <w:t xml:space="preserve">que estimen pertinentes </w:t>
      </w:r>
      <w:r w:rsidR="00726399" w:rsidRPr="00BF3CD5">
        <w:rPr>
          <w:rFonts w:eastAsia="Times New Roman" w:cs="Verdana"/>
          <w:szCs w:val="20"/>
          <w:lang w:val="es-CL" w:eastAsia="en-US"/>
        </w:rPr>
        <w:t>en sus alegatos finales orales y escritos</w:t>
      </w:r>
      <w:r w:rsidR="001C462F">
        <w:rPr>
          <w:szCs w:val="20"/>
        </w:rPr>
        <w:t>. Tales elementos</w:t>
      </w:r>
      <w:r w:rsidR="00726399">
        <w:rPr>
          <w:szCs w:val="20"/>
        </w:rPr>
        <w:t xml:space="preserve"> serán oportunamente valorados por el Tribunal.</w:t>
      </w:r>
    </w:p>
    <w:p w:rsidR="00C3662C" w:rsidRDefault="00C3662C" w:rsidP="00C3662C">
      <w:pPr>
        <w:pStyle w:val="ListParagraph"/>
        <w:tabs>
          <w:tab w:val="left" w:pos="567"/>
        </w:tabs>
        <w:ind w:left="0"/>
        <w:rPr>
          <w:lang w:val="es-CR"/>
        </w:rPr>
      </w:pPr>
    </w:p>
    <w:p w:rsidR="00C3662C" w:rsidRDefault="00C3662C" w:rsidP="00C3662C">
      <w:pPr>
        <w:pStyle w:val="ListParagraph"/>
        <w:widowControl w:val="0"/>
        <w:numPr>
          <w:ilvl w:val="0"/>
          <w:numId w:val="16"/>
        </w:numPr>
        <w:tabs>
          <w:tab w:val="left" w:pos="708"/>
        </w:tabs>
        <w:autoSpaceDE w:val="0"/>
        <w:autoSpaceDN w:val="0"/>
        <w:adjustRightInd w:val="0"/>
        <w:spacing w:after="0"/>
        <w:ind w:right="22" w:hanging="540"/>
        <w:contextualSpacing w:val="0"/>
        <w:rPr>
          <w:b/>
          <w:i/>
          <w:lang w:val="es-CR"/>
        </w:rPr>
      </w:pPr>
      <w:r>
        <w:rPr>
          <w:b/>
          <w:i/>
        </w:rPr>
        <w:t xml:space="preserve">Aplicación </w:t>
      </w:r>
      <w:r>
        <w:rPr>
          <w:b/>
          <w:i/>
          <w:lang w:val="es-CR"/>
        </w:rPr>
        <w:t>del</w:t>
      </w:r>
      <w:r>
        <w:rPr>
          <w:b/>
          <w:i/>
        </w:rPr>
        <w:t xml:space="preserve"> Fondo de Asistencia Legal de Víctimas ante la Corte </w:t>
      </w:r>
    </w:p>
    <w:p w:rsidR="00A354BC" w:rsidRPr="0038532B" w:rsidRDefault="00A354BC" w:rsidP="00A354BC">
      <w:pPr>
        <w:numPr>
          <w:ilvl w:val="0"/>
          <w:numId w:val="2"/>
        </w:numPr>
        <w:autoSpaceDE w:val="0"/>
        <w:autoSpaceDN w:val="0"/>
        <w:adjustRightInd w:val="0"/>
        <w:spacing w:before="120"/>
        <w:rPr>
          <w:szCs w:val="20"/>
        </w:rPr>
      </w:pPr>
      <w:r w:rsidRPr="0038532B">
        <w:rPr>
          <w:szCs w:val="20"/>
        </w:rPr>
        <w:t>En Resolución adoptada por la Presidencia el 18 de septiembre de 2018, se resolvió declarar procedente la solicitud realizada por las presuntas víctimas, a través de sus representantes, para acogerse al Fondo de Asistencia Legal de Víctimas de la Corte, de modo que se otorgaría la asistencia económica necesaria para la presentación de dos declaraciones, ya sea en audiencia o por afidávit</w:t>
      </w:r>
      <w:r w:rsidRPr="00A354BC">
        <w:rPr>
          <w:rStyle w:val="FootnoteReference"/>
          <w:lang w:val="es-CR"/>
        </w:rPr>
        <w:footnoteReference w:id="2"/>
      </w:r>
      <w:r w:rsidRPr="0038532B">
        <w:rPr>
          <w:szCs w:val="20"/>
        </w:rPr>
        <w:t xml:space="preserve">. </w:t>
      </w:r>
      <w:bookmarkStart w:id="9" w:name="_Ref326591155"/>
      <w:r w:rsidRPr="0038532B">
        <w:rPr>
          <w:szCs w:val="20"/>
        </w:rPr>
        <w:t xml:space="preserve">En consecuencia, la asistencia económica estará asignada para cubrir los gastos de viaje y estadía necesarios para que la presunta víctima Dinorah María Díaz Loreto y </w:t>
      </w:r>
      <w:r w:rsidR="0038532B" w:rsidRPr="0038532B">
        <w:rPr>
          <w:szCs w:val="20"/>
        </w:rPr>
        <w:t>el perito</w:t>
      </w:r>
      <w:r w:rsidRPr="0038532B">
        <w:rPr>
          <w:szCs w:val="20"/>
        </w:rPr>
        <w:t xml:space="preserve"> </w:t>
      </w:r>
      <w:r w:rsidR="0038532B" w:rsidRPr="0038532B">
        <w:rPr>
          <w:szCs w:val="20"/>
        </w:rPr>
        <w:t xml:space="preserve">Lisandro Raúl Cubas </w:t>
      </w:r>
      <w:r w:rsidRPr="0038532B">
        <w:rPr>
          <w:szCs w:val="20"/>
        </w:rPr>
        <w:t xml:space="preserve">comparezcan ante el Tribunal a rendir sus respectivas declaraciones en la audiencia pública por celebrarse en el presente caso. </w:t>
      </w:r>
      <w:bookmarkEnd w:id="9"/>
      <w:r w:rsidRPr="0038532B">
        <w:rPr>
          <w:szCs w:val="20"/>
        </w:rPr>
        <w:t xml:space="preserve">El Tribunal realizará las gestiones pertinentes y necesarias para cubrir los costos de traslado, alojamiento y manutención de dichos comparecientes en la audiencia con recursos </w:t>
      </w:r>
      <w:r w:rsidRPr="0038532B">
        <w:rPr>
          <w:szCs w:val="20"/>
        </w:rPr>
        <w:lastRenderedPageBreak/>
        <w:t xml:space="preserve">provenientes del Fondo. </w:t>
      </w:r>
      <w:bookmarkStart w:id="10" w:name="_Ref326591026"/>
      <w:r w:rsidRPr="0038532B">
        <w:rPr>
          <w:szCs w:val="20"/>
        </w:rPr>
        <w:t>Finalmente, el Presidente recuerda que, según el artículo 5 del Reglamento del Fondo, oportunamente se informará al Estado acerca de las erogaciones realizadas en aplicación del Fondo de Asistencia Legal, para que presente sus observaciones, si así lo desea, dentro del plazo que se establezca al efecto.</w:t>
      </w:r>
      <w:bookmarkEnd w:id="10"/>
      <w:r w:rsidRPr="0038532B">
        <w:rPr>
          <w:szCs w:val="20"/>
        </w:rPr>
        <w:t xml:space="preserve"> </w:t>
      </w:r>
    </w:p>
    <w:p w:rsidR="00C3662C" w:rsidRPr="00BF3CD5" w:rsidRDefault="00C3662C" w:rsidP="00F632FA">
      <w:pPr>
        <w:autoSpaceDE w:val="0"/>
        <w:autoSpaceDN w:val="0"/>
        <w:adjustRightInd w:val="0"/>
        <w:spacing w:before="120"/>
        <w:rPr>
          <w:szCs w:val="20"/>
        </w:rPr>
      </w:pPr>
    </w:p>
    <w:p w:rsidR="00B10675" w:rsidRDefault="00B10675" w:rsidP="00EA41C2">
      <w:pPr>
        <w:spacing w:before="360" w:after="360"/>
        <w:rPr>
          <w:rFonts w:cs="Verdana"/>
          <w:b/>
          <w:bCs/>
          <w:szCs w:val="20"/>
          <w:lang w:val="es-CR"/>
        </w:rPr>
      </w:pPr>
      <w:r w:rsidRPr="00EA41C2">
        <w:rPr>
          <w:rFonts w:cs="Verdana"/>
          <w:b/>
          <w:bCs/>
          <w:szCs w:val="20"/>
          <w:lang w:val="es-CR"/>
        </w:rPr>
        <w:t>POR</w:t>
      </w:r>
      <w:r>
        <w:rPr>
          <w:rFonts w:cs="Verdana"/>
          <w:b/>
          <w:bCs/>
          <w:szCs w:val="20"/>
          <w:lang w:val="es-CR"/>
        </w:rPr>
        <w:t xml:space="preserve"> TANTO:</w:t>
      </w:r>
    </w:p>
    <w:p w:rsidR="00B10675" w:rsidRDefault="00B10675" w:rsidP="00EA41C2">
      <w:pPr>
        <w:spacing w:before="360" w:after="360"/>
        <w:rPr>
          <w:rFonts w:cs="Verdana"/>
          <w:b/>
          <w:bCs/>
          <w:szCs w:val="20"/>
          <w:lang w:val="es-CR"/>
        </w:rPr>
      </w:pPr>
      <w:r>
        <w:rPr>
          <w:rFonts w:cs="Verdana"/>
          <w:b/>
          <w:bCs/>
          <w:szCs w:val="20"/>
          <w:lang w:val="es-CR"/>
        </w:rPr>
        <w:t xml:space="preserve">EL PRESIDENTE DE LA CORTE INTERAMERICANA DE DERECHOS HUMANOS, </w:t>
      </w:r>
    </w:p>
    <w:p w:rsidR="00B10675" w:rsidRDefault="00B10675" w:rsidP="00B10675">
      <w:pPr>
        <w:spacing w:before="120"/>
        <w:rPr>
          <w:rFonts w:cs="Verdana"/>
          <w:szCs w:val="20"/>
          <w:lang w:val="es-CR"/>
        </w:rPr>
      </w:pPr>
      <w:r>
        <w:rPr>
          <w:rFonts w:cs="Verdana"/>
          <w:szCs w:val="20"/>
          <w:lang w:val="es-CR"/>
        </w:rPr>
        <w:t>de conformidad con los artículos 24.1 y 25.2 del Estatuto de la Corte y con los artículos 4, 15.1, 26.1, 31.2, 35.1, 40.2, 41.1, 45, 46 a 48, 50 a 56 y 60 del Reglamento</w:t>
      </w:r>
      <w:r w:rsidR="00F632FA">
        <w:rPr>
          <w:rFonts w:cs="Verdana"/>
          <w:szCs w:val="20"/>
          <w:lang w:val="es-CR"/>
        </w:rPr>
        <w:t xml:space="preserve"> y el Reglamento sobre el Fondo de Asistencia Legal</w:t>
      </w:r>
      <w:r>
        <w:rPr>
          <w:rFonts w:cs="Verdana"/>
          <w:szCs w:val="20"/>
          <w:lang w:val="es-CR"/>
        </w:rPr>
        <w:t xml:space="preserve">, </w:t>
      </w:r>
    </w:p>
    <w:p w:rsidR="00B10675" w:rsidRDefault="00B10675" w:rsidP="00EA41C2">
      <w:pPr>
        <w:spacing w:before="360" w:after="360"/>
        <w:rPr>
          <w:rFonts w:cs="Verdana"/>
          <w:b/>
          <w:bCs/>
          <w:szCs w:val="20"/>
          <w:lang w:val="es-CR"/>
        </w:rPr>
      </w:pPr>
      <w:r>
        <w:rPr>
          <w:rFonts w:cs="Verdana"/>
          <w:b/>
          <w:bCs/>
          <w:szCs w:val="20"/>
          <w:lang w:val="es-CR"/>
        </w:rPr>
        <w:t>RESUELVE:</w:t>
      </w:r>
    </w:p>
    <w:p w:rsidR="00B10675" w:rsidRPr="00CC7F80" w:rsidRDefault="00B10675" w:rsidP="00B10675">
      <w:pPr>
        <w:pStyle w:val="ListParagraph"/>
        <w:widowControl w:val="0"/>
        <w:numPr>
          <w:ilvl w:val="0"/>
          <w:numId w:val="6"/>
        </w:numPr>
        <w:tabs>
          <w:tab w:val="left" w:pos="708"/>
        </w:tabs>
        <w:autoSpaceDE w:val="0"/>
        <w:autoSpaceDN w:val="0"/>
        <w:adjustRightInd w:val="0"/>
        <w:spacing w:before="120"/>
        <w:ind w:left="0" w:firstLine="0"/>
        <w:contextualSpacing w:val="0"/>
        <w:rPr>
          <w:szCs w:val="20"/>
          <w:lang w:val="es-CR"/>
        </w:rPr>
      </w:pPr>
      <w:bookmarkStart w:id="11" w:name="_Ref230577466"/>
      <w:r>
        <w:rPr>
          <w:szCs w:val="20"/>
          <w:lang w:val="es-CR"/>
        </w:rPr>
        <w:t>Convocar a los representantes de las presuntas víctimas</w:t>
      </w:r>
      <w:r w:rsidR="00F632FA">
        <w:rPr>
          <w:szCs w:val="20"/>
          <w:lang w:val="es-CR"/>
        </w:rPr>
        <w:t>, al Estado</w:t>
      </w:r>
      <w:r>
        <w:rPr>
          <w:szCs w:val="20"/>
          <w:lang w:val="es-CR"/>
        </w:rPr>
        <w:t xml:space="preserve"> </w:t>
      </w:r>
      <w:r w:rsidR="00F632FA">
        <w:rPr>
          <w:szCs w:val="20"/>
          <w:lang w:val="es-CR"/>
        </w:rPr>
        <w:t xml:space="preserve">de Venezuela </w:t>
      </w:r>
      <w:r>
        <w:rPr>
          <w:szCs w:val="20"/>
          <w:lang w:val="es-CR"/>
        </w:rPr>
        <w:t xml:space="preserve">y a la Comisión Interamericana de Derechos Humanos a una audiencia pública sobre </w:t>
      </w:r>
      <w:r w:rsidR="00A95362" w:rsidRPr="00A95362">
        <w:rPr>
          <w:rFonts w:eastAsiaTheme="minorHAnsi" w:cs="Verdana"/>
          <w:color w:val="000000"/>
          <w:szCs w:val="20"/>
          <w:lang w:val="es-CR" w:eastAsia="en-US"/>
        </w:rPr>
        <w:t>excepción</w:t>
      </w:r>
      <w:r w:rsidR="00A95362">
        <w:rPr>
          <w:szCs w:val="20"/>
          <w:lang w:val="es-CR"/>
        </w:rPr>
        <w:t xml:space="preserve"> preliminar y </w:t>
      </w:r>
      <w:r>
        <w:rPr>
          <w:szCs w:val="20"/>
          <w:lang w:val="es-CR"/>
        </w:rPr>
        <w:t xml:space="preserve">eventuales fondo, reparaciones y costas que se celebrará durante el </w:t>
      </w:r>
      <w:r w:rsidR="001726E1">
        <w:rPr>
          <w:szCs w:val="20"/>
          <w:lang w:val="es-CR"/>
        </w:rPr>
        <w:t>12</w:t>
      </w:r>
      <w:r w:rsidR="00A95362">
        <w:rPr>
          <w:szCs w:val="20"/>
          <w:lang w:val="es-CR"/>
        </w:rPr>
        <w:t>9°</w:t>
      </w:r>
      <w:r>
        <w:rPr>
          <w:szCs w:val="20"/>
          <w:lang w:val="es-CR"/>
        </w:rPr>
        <w:t xml:space="preserve"> Período </w:t>
      </w:r>
      <w:r w:rsidR="001726E1">
        <w:rPr>
          <w:szCs w:val="20"/>
          <w:lang w:val="es-CR"/>
        </w:rPr>
        <w:t>O</w:t>
      </w:r>
      <w:r>
        <w:rPr>
          <w:szCs w:val="20"/>
          <w:lang w:val="es-CR"/>
        </w:rPr>
        <w:t xml:space="preserve">rdinario de Sesiones, </w:t>
      </w:r>
      <w:r w:rsidR="00FD55FD">
        <w:rPr>
          <w:szCs w:val="20"/>
          <w:lang w:val="es-CR"/>
        </w:rPr>
        <w:t>por llevarse</w:t>
      </w:r>
      <w:r>
        <w:rPr>
          <w:szCs w:val="20"/>
          <w:lang w:val="es-CR"/>
        </w:rPr>
        <w:t xml:space="preserve"> a cabo en la </w:t>
      </w:r>
      <w:r w:rsidR="001726E1">
        <w:rPr>
          <w:szCs w:val="20"/>
          <w:lang w:val="es-CR"/>
        </w:rPr>
        <w:t>sede de la Corte</w:t>
      </w:r>
      <w:r w:rsidR="000265F4">
        <w:rPr>
          <w:szCs w:val="20"/>
          <w:lang w:val="es-CR"/>
        </w:rPr>
        <w:t xml:space="preserve"> en San José, Costa Rica</w:t>
      </w:r>
      <w:r w:rsidRPr="00CC7F80">
        <w:rPr>
          <w:szCs w:val="20"/>
          <w:lang w:val="es-CR"/>
        </w:rPr>
        <w:t xml:space="preserve">, </w:t>
      </w:r>
      <w:r w:rsidR="001726E1">
        <w:rPr>
          <w:szCs w:val="20"/>
          <w:lang w:val="es-CR"/>
        </w:rPr>
        <w:t xml:space="preserve">el </w:t>
      </w:r>
      <w:r w:rsidRPr="00CC7F80">
        <w:rPr>
          <w:szCs w:val="20"/>
          <w:lang w:val="es-CR"/>
        </w:rPr>
        <w:t xml:space="preserve">día </w:t>
      </w:r>
      <w:r w:rsidR="001726E1">
        <w:rPr>
          <w:szCs w:val="20"/>
          <w:lang w:val="es-CR"/>
        </w:rPr>
        <w:t>31 de enero de 2019 a partir de las 09</w:t>
      </w:r>
      <w:r w:rsidRPr="00CC7F80">
        <w:rPr>
          <w:szCs w:val="20"/>
          <w:lang w:val="es-CR"/>
        </w:rPr>
        <w:t>:00 horas, para recibir sus alegatos y observaciones finales orales</w:t>
      </w:r>
      <w:r w:rsidR="00FD55FD">
        <w:rPr>
          <w:szCs w:val="20"/>
          <w:lang w:val="es-CR"/>
        </w:rPr>
        <w:t xml:space="preserve"> y</w:t>
      </w:r>
      <w:r w:rsidRPr="00CC7F80">
        <w:rPr>
          <w:szCs w:val="20"/>
          <w:lang w:val="es-CR"/>
        </w:rPr>
        <w:t xml:space="preserve"> las declaraciones </w:t>
      </w:r>
      <w:bookmarkEnd w:id="11"/>
      <w:r w:rsidRPr="00CC7F80">
        <w:rPr>
          <w:szCs w:val="20"/>
          <w:lang w:val="es-CR"/>
        </w:rPr>
        <w:t>de las siguientes personas:</w:t>
      </w:r>
    </w:p>
    <w:p w:rsidR="00B10675" w:rsidRPr="00CC7F80" w:rsidRDefault="001726E1" w:rsidP="00B10675">
      <w:pPr>
        <w:pStyle w:val="ListParagraph"/>
        <w:numPr>
          <w:ilvl w:val="0"/>
          <w:numId w:val="7"/>
        </w:numPr>
        <w:tabs>
          <w:tab w:val="left" w:pos="708"/>
        </w:tabs>
        <w:autoSpaceDN w:val="0"/>
        <w:spacing w:before="120"/>
        <w:rPr>
          <w:bCs/>
          <w:i/>
          <w:iCs/>
          <w:szCs w:val="20"/>
          <w:lang w:val="es-CR"/>
        </w:rPr>
      </w:pPr>
      <w:r>
        <w:rPr>
          <w:bCs/>
          <w:i/>
          <w:iCs/>
          <w:szCs w:val="20"/>
          <w:lang w:val="es-CR"/>
        </w:rPr>
        <w:t>Presunta víctima (p</w:t>
      </w:r>
      <w:r w:rsidR="00B10675" w:rsidRPr="00CC7F80">
        <w:rPr>
          <w:bCs/>
          <w:i/>
          <w:iCs/>
          <w:szCs w:val="20"/>
          <w:lang w:val="es-CR"/>
        </w:rPr>
        <w:t>ropuesta por los representantes)</w:t>
      </w:r>
    </w:p>
    <w:p w:rsidR="00C50366" w:rsidRPr="00C50366" w:rsidRDefault="001726E1" w:rsidP="00C50366">
      <w:pPr>
        <w:numPr>
          <w:ilvl w:val="0"/>
          <w:numId w:val="8"/>
        </w:numPr>
        <w:autoSpaceDE w:val="0"/>
        <w:autoSpaceDN w:val="0"/>
        <w:adjustRightInd w:val="0"/>
        <w:spacing w:before="120"/>
        <w:ind w:left="992" w:firstLine="0"/>
        <w:rPr>
          <w:szCs w:val="20"/>
          <w:lang w:val="es-CR"/>
        </w:rPr>
      </w:pPr>
      <w:r w:rsidRPr="00C50366">
        <w:rPr>
          <w:i/>
          <w:szCs w:val="20"/>
        </w:rPr>
        <w:t>Dinorah María Díaz Loreto</w:t>
      </w:r>
      <w:r w:rsidR="00B10675" w:rsidRPr="00C50366">
        <w:rPr>
          <w:szCs w:val="20"/>
          <w:lang w:val="es-CR"/>
        </w:rPr>
        <w:t>, quien declarará sobre</w:t>
      </w:r>
      <w:r w:rsidR="007743ED" w:rsidRPr="00C50366">
        <w:rPr>
          <w:szCs w:val="20"/>
          <w:lang w:val="es-CR"/>
        </w:rPr>
        <w:t xml:space="preserve"> “</w:t>
      </w:r>
      <w:r w:rsidR="00C50366" w:rsidRPr="00C50366">
        <w:rPr>
          <w:szCs w:val="20"/>
          <w:lang w:val="es-CR"/>
        </w:rPr>
        <w:t xml:space="preserve">las circunstancias en que perdieron la vida su padre Octavio Díaz Álvarez y sus hermanos Robert Ignacio Díaz Loreto y David Octavio Díaz Loreto, así como las supuestas amenazas y hostigamientos de los que </w:t>
      </w:r>
      <w:r w:rsidR="000778F1">
        <w:rPr>
          <w:szCs w:val="20"/>
          <w:lang w:val="es-CR"/>
        </w:rPr>
        <w:t xml:space="preserve">supuestamente </w:t>
      </w:r>
      <w:r w:rsidR="00C50366" w:rsidRPr="00C50366">
        <w:rPr>
          <w:szCs w:val="20"/>
          <w:lang w:val="es-CR"/>
        </w:rPr>
        <w:t xml:space="preserve">fueron objeto </w:t>
      </w:r>
      <w:r w:rsidR="000778F1">
        <w:rPr>
          <w:szCs w:val="20"/>
          <w:lang w:val="es-CR"/>
        </w:rPr>
        <w:t xml:space="preserve">ella y su familia </w:t>
      </w:r>
      <w:r w:rsidR="00C50366" w:rsidRPr="00C50366">
        <w:rPr>
          <w:szCs w:val="20"/>
          <w:lang w:val="es-CR"/>
        </w:rPr>
        <w:t>con posterioridad a su</w:t>
      </w:r>
      <w:r w:rsidR="000778F1">
        <w:rPr>
          <w:szCs w:val="20"/>
          <w:lang w:val="es-CR"/>
        </w:rPr>
        <w:t>s</w:t>
      </w:r>
      <w:r w:rsidR="00C50366" w:rsidRPr="00C50366">
        <w:rPr>
          <w:szCs w:val="20"/>
          <w:lang w:val="es-CR"/>
        </w:rPr>
        <w:t xml:space="preserve"> muerte</w:t>
      </w:r>
      <w:r w:rsidR="000778F1">
        <w:rPr>
          <w:szCs w:val="20"/>
          <w:lang w:val="es-CR"/>
        </w:rPr>
        <w:t>s</w:t>
      </w:r>
      <w:r w:rsidR="00C50366" w:rsidRPr="00C50366">
        <w:rPr>
          <w:szCs w:val="20"/>
          <w:lang w:val="es-CR"/>
        </w:rPr>
        <w:t xml:space="preserve">; sobre las gestiones que han realizado para denunciar los hechos y exigir justicia </w:t>
      </w:r>
      <w:r w:rsidR="000778F1">
        <w:rPr>
          <w:szCs w:val="20"/>
          <w:lang w:val="es-CR"/>
        </w:rPr>
        <w:t>al respecto</w:t>
      </w:r>
      <w:r w:rsidR="00C50366" w:rsidRPr="00C50366">
        <w:rPr>
          <w:szCs w:val="20"/>
          <w:lang w:val="es-CR"/>
        </w:rPr>
        <w:t>; sobre las secuelas emocionales y físicas que habrían sufrido como consecuencia de los hechos y las supuestas afectaciones a su proyecto de vida. Además, declarará sobre las afectaciones que habría sufrido su madre ya fallecida por la pérdida</w:t>
      </w:r>
      <w:r w:rsidR="000778F1">
        <w:rPr>
          <w:szCs w:val="20"/>
          <w:lang w:val="es-CR"/>
        </w:rPr>
        <w:t>,</w:t>
      </w:r>
      <w:r w:rsidR="00C50366" w:rsidRPr="00C50366">
        <w:rPr>
          <w:szCs w:val="20"/>
          <w:lang w:val="es-CR"/>
        </w:rPr>
        <w:t xml:space="preserve"> al mismo tiempo</w:t>
      </w:r>
      <w:r w:rsidR="000778F1">
        <w:rPr>
          <w:szCs w:val="20"/>
          <w:lang w:val="es-CR"/>
        </w:rPr>
        <w:t>,</w:t>
      </w:r>
      <w:r w:rsidR="00C50366" w:rsidRPr="00C50366">
        <w:rPr>
          <w:szCs w:val="20"/>
          <w:lang w:val="es-CR"/>
        </w:rPr>
        <w:t xml:space="preserve"> de su esposo y dos </w:t>
      </w:r>
      <w:r w:rsidR="000778F1">
        <w:rPr>
          <w:szCs w:val="20"/>
          <w:lang w:val="es-CR"/>
        </w:rPr>
        <w:t xml:space="preserve">de sus </w:t>
      </w:r>
      <w:r w:rsidR="00C50366" w:rsidRPr="00C50366">
        <w:rPr>
          <w:szCs w:val="20"/>
          <w:lang w:val="es-CR"/>
        </w:rPr>
        <w:t>hijos; las gestiones que ella realizó para denunciar los hechos y exigir justicia y las afectaciones que habría sufrido como consecuencia de haber dejado el hogar donde vivió desde que contrajo matrimonio con el señor Octavio</w:t>
      </w:r>
      <w:r w:rsidR="000778F1">
        <w:rPr>
          <w:szCs w:val="20"/>
          <w:lang w:val="es-CR"/>
        </w:rPr>
        <w:t xml:space="preserve"> Díaz Álvarez como consecuencia</w:t>
      </w:r>
      <w:r w:rsidR="00C50366" w:rsidRPr="00C50366">
        <w:rPr>
          <w:szCs w:val="20"/>
          <w:lang w:val="es-CR"/>
        </w:rPr>
        <w:t xml:space="preserve"> de las </w:t>
      </w:r>
      <w:r w:rsidR="00C50366">
        <w:rPr>
          <w:szCs w:val="20"/>
          <w:lang w:val="es-CR"/>
        </w:rPr>
        <w:t xml:space="preserve">supuestas </w:t>
      </w:r>
      <w:r w:rsidR="00C50366" w:rsidRPr="00C50366">
        <w:rPr>
          <w:szCs w:val="20"/>
          <w:lang w:val="es-CR"/>
        </w:rPr>
        <w:t xml:space="preserve">amenazas a ella y a sus hijos </w:t>
      </w:r>
      <w:r w:rsidR="00C50366">
        <w:rPr>
          <w:szCs w:val="20"/>
          <w:lang w:val="es-CR"/>
        </w:rPr>
        <w:t xml:space="preserve">con </w:t>
      </w:r>
      <w:r w:rsidR="00C50366" w:rsidRPr="00C50366">
        <w:rPr>
          <w:szCs w:val="20"/>
          <w:lang w:val="es-CR"/>
        </w:rPr>
        <w:t>posterior</w:t>
      </w:r>
      <w:r w:rsidR="00C50366">
        <w:rPr>
          <w:szCs w:val="20"/>
          <w:lang w:val="es-CR"/>
        </w:rPr>
        <w:t>idad</w:t>
      </w:r>
      <w:r w:rsidR="00C50366" w:rsidRPr="00C50366">
        <w:rPr>
          <w:szCs w:val="20"/>
          <w:lang w:val="es-CR"/>
        </w:rPr>
        <w:t xml:space="preserve"> a los hechos</w:t>
      </w:r>
      <w:r w:rsidR="00C50366">
        <w:rPr>
          <w:szCs w:val="20"/>
          <w:lang w:val="es-CR"/>
        </w:rPr>
        <w:t>.</w:t>
      </w:r>
    </w:p>
    <w:p w:rsidR="00B10675" w:rsidRPr="00CC7F80" w:rsidRDefault="00B10675" w:rsidP="00B10675">
      <w:pPr>
        <w:pStyle w:val="ListParagraph"/>
        <w:numPr>
          <w:ilvl w:val="0"/>
          <w:numId w:val="7"/>
        </w:numPr>
        <w:tabs>
          <w:tab w:val="left" w:pos="708"/>
        </w:tabs>
        <w:autoSpaceDN w:val="0"/>
        <w:spacing w:before="120"/>
        <w:rPr>
          <w:rFonts w:cs="Verdana"/>
          <w:bCs/>
          <w:i/>
          <w:iCs/>
          <w:szCs w:val="20"/>
          <w:lang w:val="es-CR"/>
        </w:rPr>
      </w:pPr>
      <w:r w:rsidRPr="00CC7F80">
        <w:rPr>
          <w:bCs/>
          <w:i/>
          <w:iCs/>
          <w:szCs w:val="20"/>
          <w:lang w:val="es-CR"/>
        </w:rPr>
        <w:t>Perito (</w:t>
      </w:r>
      <w:r w:rsidR="00DA3C5D">
        <w:rPr>
          <w:bCs/>
          <w:i/>
          <w:iCs/>
          <w:szCs w:val="20"/>
          <w:lang w:val="es-CR"/>
        </w:rPr>
        <w:t>propuesto por los representantes</w:t>
      </w:r>
      <w:r w:rsidRPr="00CC7F80">
        <w:rPr>
          <w:bCs/>
          <w:i/>
          <w:iCs/>
          <w:szCs w:val="20"/>
          <w:lang w:val="es-CR"/>
        </w:rPr>
        <w:t>)</w:t>
      </w:r>
    </w:p>
    <w:p w:rsidR="00B10675" w:rsidRDefault="00DA3C5D" w:rsidP="00DA3C5D">
      <w:pPr>
        <w:numPr>
          <w:ilvl w:val="0"/>
          <w:numId w:val="8"/>
        </w:numPr>
        <w:autoSpaceDE w:val="0"/>
        <w:autoSpaceDN w:val="0"/>
        <w:adjustRightInd w:val="0"/>
        <w:spacing w:before="120"/>
        <w:ind w:left="992" w:firstLine="0"/>
        <w:rPr>
          <w:rFonts w:eastAsiaTheme="minorHAnsi" w:cs="Tahoma"/>
          <w:szCs w:val="20"/>
          <w:lang w:val="es-CR" w:eastAsia="en-US"/>
        </w:rPr>
      </w:pPr>
      <w:r w:rsidRPr="00DA3C5D">
        <w:rPr>
          <w:rFonts w:eastAsiaTheme="minorHAnsi" w:cs="Tahoma"/>
          <w:i/>
          <w:szCs w:val="20"/>
          <w:lang w:val="es-CR" w:eastAsia="en-US"/>
        </w:rPr>
        <w:t>Lisandro Raúl Cubas</w:t>
      </w:r>
      <w:r w:rsidR="00547704" w:rsidRPr="00DA3C5D">
        <w:rPr>
          <w:rFonts w:eastAsiaTheme="minorHAnsi" w:cs="Tahoma"/>
          <w:i/>
          <w:szCs w:val="20"/>
          <w:lang w:val="es-CR" w:eastAsia="en-US"/>
        </w:rPr>
        <w:t>,</w:t>
      </w:r>
      <w:r w:rsidR="00A83B21" w:rsidRPr="00DA3C5D">
        <w:rPr>
          <w:rFonts w:eastAsiaTheme="minorHAnsi" w:cs="Tahoma"/>
          <w:i/>
          <w:szCs w:val="20"/>
          <w:lang w:val="es-CR" w:eastAsia="en-US"/>
        </w:rPr>
        <w:t xml:space="preserve"> </w:t>
      </w:r>
      <w:r w:rsidR="00B10675" w:rsidRPr="00DA3C5D">
        <w:rPr>
          <w:rFonts w:eastAsiaTheme="minorHAnsi" w:cs="Tahoma"/>
          <w:szCs w:val="20"/>
          <w:lang w:val="es-CR" w:eastAsia="en-US"/>
        </w:rPr>
        <w:t>quien declarará sobre</w:t>
      </w:r>
      <w:r w:rsidR="00A83B21" w:rsidRPr="00DA3C5D">
        <w:rPr>
          <w:rFonts w:eastAsiaTheme="minorHAnsi" w:cs="Tahoma"/>
          <w:szCs w:val="20"/>
          <w:lang w:val="es-CR" w:eastAsia="en-US"/>
        </w:rPr>
        <w:t xml:space="preserve"> </w:t>
      </w:r>
      <w:r w:rsidRPr="00DA3C5D">
        <w:rPr>
          <w:rFonts w:eastAsiaTheme="minorHAnsi" w:cs="Tahoma"/>
          <w:szCs w:val="20"/>
          <w:lang w:val="es-CR" w:eastAsia="en-US"/>
        </w:rPr>
        <w:t>el supuesto contexto de violencia por parte de cuerpos de seguridad nacionales y estatales en Venezuela, en particular sobre el</w:t>
      </w:r>
      <w:r>
        <w:rPr>
          <w:rFonts w:eastAsiaTheme="minorHAnsi" w:cs="Tahoma"/>
          <w:szCs w:val="20"/>
          <w:lang w:val="es-CR" w:eastAsia="en-US"/>
        </w:rPr>
        <w:t xml:space="preserve"> supuesto</w:t>
      </w:r>
      <w:r w:rsidRPr="00DA3C5D">
        <w:rPr>
          <w:rFonts w:eastAsiaTheme="minorHAnsi" w:cs="Tahoma"/>
          <w:szCs w:val="20"/>
          <w:lang w:val="es-CR" w:eastAsia="en-US"/>
        </w:rPr>
        <w:t xml:space="preserve"> fenómeno de ejecuciones extrajudiciales por parte de agentes policiales y el grado de impunidad que prevalece en relación con estos crímenes</w:t>
      </w:r>
      <w:r>
        <w:rPr>
          <w:rFonts w:eastAsiaTheme="minorHAnsi" w:cs="Tahoma"/>
          <w:szCs w:val="20"/>
          <w:lang w:val="es-CR" w:eastAsia="en-US"/>
        </w:rPr>
        <w:t>, así como sobre medidas pertinentes para evitar que ese tipo de hechos se repitan</w:t>
      </w:r>
      <w:r w:rsidR="00B10675" w:rsidRPr="00DA3C5D">
        <w:rPr>
          <w:rFonts w:eastAsiaTheme="minorHAnsi" w:cs="Tahoma"/>
          <w:szCs w:val="20"/>
          <w:lang w:val="es-CR" w:eastAsia="en-US"/>
        </w:rPr>
        <w:t>.</w:t>
      </w:r>
    </w:p>
    <w:p w:rsidR="00E848C2" w:rsidRDefault="00E848C2" w:rsidP="00E848C2">
      <w:pPr>
        <w:autoSpaceDE w:val="0"/>
        <w:autoSpaceDN w:val="0"/>
        <w:adjustRightInd w:val="0"/>
        <w:spacing w:before="120"/>
        <w:ind w:left="992"/>
        <w:rPr>
          <w:rFonts w:eastAsiaTheme="minorHAnsi" w:cs="Tahoma"/>
          <w:szCs w:val="20"/>
          <w:lang w:val="es-CR" w:eastAsia="en-US"/>
        </w:rPr>
      </w:pPr>
    </w:p>
    <w:p w:rsidR="00DA3C5D" w:rsidRPr="00DA3C5D" w:rsidRDefault="00DA3C5D" w:rsidP="00DA3C5D">
      <w:pPr>
        <w:pStyle w:val="ListParagraph"/>
        <w:numPr>
          <w:ilvl w:val="0"/>
          <w:numId w:val="7"/>
        </w:numPr>
        <w:tabs>
          <w:tab w:val="left" w:pos="708"/>
        </w:tabs>
        <w:autoSpaceDN w:val="0"/>
        <w:spacing w:before="120"/>
        <w:rPr>
          <w:rFonts w:cs="Verdana"/>
          <w:bCs/>
          <w:i/>
          <w:iCs/>
          <w:szCs w:val="20"/>
          <w:lang w:val="es-CR"/>
        </w:rPr>
      </w:pPr>
      <w:r>
        <w:rPr>
          <w:bCs/>
          <w:i/>
          <w:iCs/>
          <w:szCs w:val="20"/>
          <w:lang w:val="es-CR"/>
        </w:rPr>
        <w:lastRenderedPageBreak/>
        <w:t>Testigo</w:t>
      </w:r>
      <w:r w:rsidRPr="00CC7F80">
        <w:rPr>
          <w:bCs/>
          <w:i/>
          <w:iCs/>
          <w:szCs w:val="20"/>
          <w:lang w:val="es-CR"/>
        </w:rPr>
        <w:t xml:space="preserve"> (</w:t>
      </w:r>
      <w:r w:rsidR="00E848C2">
        <w:rPr>
          <w:bCs/>
          <w:i/>
          <w:iCs/>
          <w:szCs w:val="20"/>
          <w:lang w:val="es-CR"/>
        </w:rPr>
        <w:t>propuesta</w:t>
      </w:r>
      <w:r>
        <w:rPr>
          <w:bCs/>
          <w:i/>
          <w:iCs/>
          <w:szCs w:val="20"/>
          <w:lang w:val="es-CR"/>
        </w:rPr>
        <w:t xml:space="preserve"> por el Estado</w:t>
      </w:r>
      <w:r w:rsidRPr="00CC7F80">
        <w:rPr>
          <w:bCs/>
          <w:i/>
          <w:iCs/>
          <w:szCs w:val="20"/>
          <w:lang w:val="es-CR"/>
        </w:rPr>
        <w:t>)</w:t>
      </w:r>
    </w:p>
    <w:p w:rsidR="00DA3C5D" w:rsidRDefault="00DA3C5D" w:rsidP="00DA3C5D">
      <w:pPr>
        <w:numPr>
          <w:ilvl w:val="0"/>
          <w:numId w:val="8"/>
        </w:numPr>
        <w:autoSpaceDE w:val="0"/>
        <w:autoSpaceDN w:val="0"/>
        <w:adjustRightInd w:val="0"/>
        <w:spacing w:before="120"/>
        <w:ind w:left="992" w:firstLine="0"/>
        <w:rPr>
          <w:bCs/>
          <w:i/>
          <w:iCs/>
          <w:szCs w:val="20"/>
          <w:lang w:val="es-CR"/>
        </w:rPr>
      </w:pPr>
      <w:r>
        <w:rPr>
          <w:rFonts w:eastAsiaTheme="minorHAnsi" w:cs="Tahoma"/>
          <w:i/>
          <w:szCs w:val="20"/>
          <w:lang w:val="es-CR" w:eastAsia="en-US"/>
        </w:rPr>
        <w:t xml:space="preserve">Sara Mier y </w:t>
      </w:r>
      <w:proofErr w:type="spellStart"/>
      <w:r>
        <w:rPr>
          <w:rFonts w:eastAsiaTheme="minorHAnsi" w:cs="Tahoma"/>
          <w:i/>
          <w:szCs w:val="20"/>
          <w:lang w:val="es-CR" w:eastAsia="en-US"/>
        </w:rPr>
        <w:t>Teran</w:t>
      </w:r>
      <w:proofErr w:type="spellEnd"/>
      <w:r>
        <w:rPr>
          <w:rFonts w:eastAsiaTheme="minorHAnsi" w:cs="Tahoma"/>
          <w:i/>
          <w:szCs w:val="20"/>
          <w:lang w:val="es-CR" w:eastAsia="en-US"/>
        </w:rPr>
        <w:t xml:space="preserve">, </w:t>
      </w:r>
      <w:r w:rsidRPr="009B2037">
        <w:rPr>
          <w:rFonts w:eastAsiaTheme="minorHAnsi" w:cs="Tahoma"/>
          <w:szCs w:val="20"/>
          <w:lang w:val="es-CR" w:eastAsia="en-US"/>
        </w:rPr>
        <w:t>ex integrante de la organización Comisión de Justicia y Paz del Estado Aragua y representante de las presuntas víctimas en el proceso penal interno, quien declarará sobre la investigación desarrollada por el Ministerio Público en relación con la muerte de los señores Robert Ignacio Díaz Loreto, David Octavio Díaz Loreto y Octavio Ignacio Díaz Álvarez; el desarrollo del proceso penal y la participación de la referida organización y los familiares de las presuntas víctimas en su búsqueda de justicia.</w:t>
      </w:r>
    </w:p>
    <w:p w:rsidR="00B10675" w:rsidRPr="00CC7F80" w:rsidRDefault="00B10675" w:rsidP="00A95362">
      <w:pPr>
        <w:pStyle w:val="ListParagraph"/>
        <w:widowControl w:val="0"/>
        <w:numPr>
          <w:ilvl w:val="0"/>
          <w:numId w:val="6"/>
        </w:numPr>
        <w:tabs>
          <w:tab w:val="left" w:pos="708"/>
        </w:tabs>
        <w:autoSpaceDE w:val="0"/>
        <w:autoSpaceDN w:val="0"/>
        <w:adjustRightInd w:val="0"/>
        <w:spacing w:before="120"/>
        <w:ind w:left="0" w:firstLine="0"/>
        <w:contextualSpacing w:val="0"/>
        <w:rPr>
          <w:rFonts w:eastAsiaTheme="minorHAnsi" w:cs="Verdana"/>
          <w:color w:val="000000"/>
          <w:szCs w:val="20"/>
          <w:lang w:val="es-CR" w:eastAsia="en-US"/>
        </w:rPr>
      </w:pPr>
      <w:r w:rsidRPr="00CC7F80">
        <w:rPr>
          <w:rFonts w:eastAsiaTheme="minorHAnsi" w:cs="Verdana"/>
          <w:color w:val="000000"/>
          <w:szCs w:val="20"/>
          <w:lang w:val="es-CR" w:eastAsia="en-US"/>
        </w:rPr>
        <w:t>Requerir a</w:t>
      </w:r>
      <w:r w:rsidR="00A83B21" w:rsidRPr="00CC7F80">
        <w:rPr>
          <w:rFonts w:eastAsiaTheme="minorHAnsi" w:cs="Verdana"/>
          <w:color w:val="000000"/>
          <w:szCs w:val="20"/>
          <w:lang w:val="es-CR" w:eastAsia="en-US"/>
        </w:rPr>
        <w:t>l</w:t>
      </w:r>
      <w:r w:rsidRPr="00CC7F80">
        <w:rPr>
          <w:rFonts w:eastAsiaTheme="minorHAnsi" w:cs="Verdana"/>
          <w:color w:val="000000"/>
          <w:szCs w:val="20"/>
          <w:lang w:val="es-CR" w:eastAsia="en-US"/>
        </w:rPr>
        <w:t xml:space="preserve"> perito convocado a declarar en audiencia que, de considerarlo conveniente, aporte una versión escrita de su peritaje</w:t>
      </w:r>
      <w:r w:rsidR="004455FA">
        <w:rPr>
          <w:rFonts w:eastAsiaTheme="minorHAnsi" w:cs="Verdana"/>
          <w:color w:val="000000"/>
          <w:szCs w:val="20"/>
          <w:lang w:val="es-CR" w:eastAsia="en-US"/>
        </w:rPr>
        <w:t>,</w:t>
      </w:r>
      <w:r w:rsidRPr="00CC7F80">
        <w:rPr>
          <w:rFonts w:eastAsiaTheme="minorHAnsi" w:cs="Verdana"/>
          <w:color w:val="000000"/>
          <w:szCs w:val="20"/>
          <w:lang w:val="es-CR" w:eastAsia="en-US"/>
        </w:rPr>
        <w:t xml:space="preserve"> a más tardar el </w:t>
      </w:r>
      <w:r w:rsidR="000336A3">
        <w:rPr>
          <w:rFonts w:eastAsiaTheme="minorHAnsi" w:cs="Verdana"/>
          <w:color w:val="000000"/>
          <w:szCs w:val="20"/>
          <w:lang w:val="es-CR" w:eastAsia="en-US"/>
        </w:rPr>
        <w:t>1</w:t>
      </w:r>
      <w:r w:rsidR="00DE35FD">
        <w:rPr>
          <w:rFonts w:eastAsiaTheme="minorHAnsi" w:cs="Verdana"/>
          <w:color w:val="000000"/>
          <w:szCs w:val="20"/>
          <w:lang w:val="es-CR" w:eastAsia="en-US"/>
        </w:rPr>
        <w:t>1</w:t>
      </w:r>
      <w:r w:rsidRPr="00CC7F80">
        <w:rPr>
          <w:rFonts w:eastAsiaTheme="minorHAnsi" w:cs="Verdana"/>
          <w:color w:val="000000"/>
          <w:szCs w:val="20"/>
          <w:lang w:val="es-CR" w:eastAsia="en-US"/>
        </w:rPr>
        <w:t xml:space="preserve"> de </w:t>
      </w:r>
      <w:r w:rsidR="000336A3">
        <w:rPr>
          <w:rFonts w:eastAsiaTheme="minorHAnsi" w:cs="Verdana"/>
          <w:color w:val="000000"/>
          <w:szCs w:val="20"/>
          <w:lang w:val="es-CR" w:eastAsia="en-US"/>
        </w:rPr>
        <w:t xml:space="preserve">enero </w:t>
      </w:r>
      <w:r w:rsidRPr="00CC7F80">
        <w:rPr>
          <w:rFonts w:eastAsiaTheme="minorHAnsi" w:cs="Verdana"/>
          <w:color w:val="000000"/>
          <w:szCs w:val="20"/>
          <w:lang w:val="es-CR" w:eastAsia="en-US"/>
        </w:rPr>
        <w:t xml:space="preserve">de </w:t>
      </w:r>
      <w:r w:rsidR="000336A3">
        <w:rPr>
          <w:color w:val="000000"/>
          <w:szCs w:val="20"/>
          <w:lang w:val="es-CR"/>
        </w:rPr>
        <w:t>2019</w:t>
      </w:r>
      <w:r w:rsidRPr="00CC7F80">
        <w:rPr>
          <w:rFonts w:eastAsiaTheme="minorHAnsi" w:cs="Verdana"/>
          <w:color w:val="000000"/>
          <w:szCs w:val="20"/>
          <w:lang w:val="es-CR" w:eastAsia="en-US"/>
        </w:rPr>
        <w:t xml:space="preserve">. </w:t>
      </w:r>
    </w:p>
    <w:p w:rsidR="00B10675" w:rsidRDefault="00B10675" w:rsidP="00B10675">
      <w:pPr>
        <w:pStyle w:val="ListParagraph"/>
        <w:widowControl w:val="0"/>
        <w:numPr>
          <w:ilvl w:val="0"/>
          <w:numId w:val="6"/>
        </w:numPr>
        <w:tabs>
          <w:tab w:val="left" w:pos="708"/>
        </w:tabs>
        <w:autoSpaceDE w:val="0"/>
        <w:autoSpaceDN w:val="0"/>
        <w:adjustRightInd w:val="0"/>
        <w:spacing w:before="120"/>
        <w:ind w:left="0" w:firstLine="0"/>
        <w:contextualSpacing w:val="0"/>
        <w:rPr>
          <w:szCs w:val="20"/>
          <w:lang w:val="es-CR"/>
        </w:rPr>
      </w:pPr>
      <w:r>
        <w:rPr>
          <w:color w:val="000000"/>
          <w:szCs w:val="20"/>
          <w:lang w:val="es-CR"/>
        </w:rPr>
        <w:t>Requerir a</w:t>
      </w:r>
      <w:r w:rsidR="004455FA">
        <w:rPr>
          <w:color w:val="000000"/>
          <w:szCs w:val="20"/>
          <w:lang w:val="es-CR"/>
        </w:rPr>
        <w:t>l Estado</w:t>
      </w:r>
      <w:r>
        <w:rPr>
          <w:color w:val="000000"/>
          <w:szCs w:val="20"/>
          <w:lang w:val="es-CR"/>
        </w:rPr>
        <w:t xml:space="preserve"> que facilite la salida y entrada de su territorio de</w:t>
      </w:r>
      <w:r w:rsidR="000336A3">
        <w:rPr>
          <w:color w:val="000000"/>
          <w:szCs w:val="20"/>
          <w:lang w:val="es-CR"/>
        </w:rPr>
        <w:t xml:space="preserve"> </w:t>
      </w:r>
      <w:r w:rsidR="00CC7F80">
        <w:rPr>
          <w:color w:val="000000"/>
          <w:szCs w:val="20"/>
          <w:lang w:val="es-CR"/>
        </w:rPr>
        <w:t>l</w:t>
      </w:r>
      <w:r w:rsidR="000336A3">
        <w:rPr>
          <w:color w:val="000000"/>
          <w:szCs w:val="20"/>
          <w:lang w:val="es-CR"/>
        </w:rPr>
        <w:t>os declarantes</w:t>
      </w:r>
      <w:r>
        <w:rPr>
          <w:color w:val="000000"/>
          <w:szCs w:val="20"/>
          <w:lang w:val="es-CR"/>
        </w:rPr>
        <w:t>, si reside</w:t>
      </w:r>
      <w:r w:rsidR="000336A3">
        <w:rPr>
          <w:color w:val="000000"/>
          <w:szCs w:val="20"/>
          <w:lang w:val="es-CR"/>
        </w:rPr>
        <w:t>n</w:t>
      </w:r>
      <w:r>
        <w:rPr>
          <w:color w:val="000000"/>
          <w:szCs w:val="20"/>
          <w:lang w:val="es-CR"/>
        </w:rPr>
        <w:t xml:space="preserve"> o se encuentra</w:t>
      </w:r>
      <w:r w:rsidR="000336A3">
        <w:rPr>
          <w:color w:val="000000"/>
          <w:szCs w:val="20"/>
          <w:lang w:val="es-CR"/>
        </w:rPr>
        <w:t>n</w:t>
      </w:r>
      <w:r>
        <w:rPr>
          <w:color w:val="000000"/>
          <w:szCs w:val="20"/>
          <w:lang w:val="es-CR"/>
        </w:rPr>
        <w:t xml:space="preserve"> en él, </w:t>
      </w:r>
      <w:r w:rsidR="000336A3">
        <w:rPr>
          <w:color w:val="000000"/>
          <w:szCs w:val="20"/>
          <w:lang w:val="es-CR"/>
        </w:rPr>
        <w:t>quienes</w:t>
      </w:r>
      <w:r>
        <w:rPr>
          <w:color w:val="000000"/>
          <w:szCs w:val="20"/>
          <w:lang w:val="es-CR"/>
        </w:rPr>
        <w:t xml:space="preserve"> ha</w:t>
      </w:r>
      <w:r w:rsidR="000336A3">
        <w:rPr>
          <w:color w:val="000000"/>
          <w:szCs w:val="20"/>
          <w:lang w:val="es-CR"/>
        </w:rPr>
        <w:t>n</w:t>
      </w:r>
      <w:r>
        <w:rPr>
          <w:color w:val="000000"/>
          <w:szCs w:val="20"/>
          <w:lang w:val="es-CR"/>
        </w:rPr>
        <w:t xml:space="preserve"> sido citado</w:t>
      </w:r>
      <w:r w:rsidR="000336A3">
        <w:rPr>
          <w:color w:val="000000"/>
          <w:szCs w:val="20"/>
          <w:lang w:val="es-CR"/>
        </w:rPr>
        <w:t>s</w:t>
      </w:r>
      <w:r>
        <w:rPr>
          <w:color w:val="000000"/>
          <w:szCs w:val="20"/>
          <w:lang w:val="es-CR"/>
        </w:rPr>
        <w:t xml:space="preserve"> en la presente Resolución a rendir declaración </w:t>
      </w:r>
      <w:r w:rsidR="00CC7F80">
        <w:rPr>
          <w:color w:val="000000"/>
          <w:szCs w:val="20"/>
          <w:lang w:val="es-CR"/>
        </w:rPr>
        <w:t>durante</w:t>
      </w:r>
      <w:r>
        <w:rPr>
          <w:color w:val="000000"/>
          <w:szCs w:val="20"/>
          <w:lang w:val="es-CR"/>
        </w:rPr>
        <w:t xml:space="preserve"> la referida audiencia pública, de conformidad con lo dispuesto en el artículo 26.1 del Reglamento de la Corte.</w:t>
      </w:r>
    </w:p>
    <w:p w:rsidR="00B10675" w:rsidRPr="00E848C2" w:rsidRDefault="00B10675" w:rsidP="00B10675">
      <w:pPr>
        <w:pStyle w:val="ListParagraph"/>
        <w:widowControl w:val="0"/>
        <w:numPr>
          <w:ilvl w:val="0"/>
          <w:numId w:val="6"/>
        </w:numPr>
        <w:tabs>
          <w:tab w:val="left" w:pos="708"/>
        </w:tabs>
        <w:autoSpaceDE w:val="0"/>
        <w:autoSpaceDN w:val="0"/>
        <w:adjustRightInd w:val="0"/>
        <w:spacing w:before="120"/>
        <w:ind w:left="0" w:firstLine="0"/>
        <w:contextualSpacing w:val="0"/>
        <w:rPr>
          <w:rFonts w:cs="Verdana"/>
          <w:szCs w:val="20"/>
          <w:lang w:val="es-CR"/>
        </w:rPr>
      </w:pPr>
      <w:r>
        <w:rPr>
          <w:szCs w:val="20"/>
          <w:lang w:val="es-CR"/>
        </w:rPr>
        <w:t xml:space="preserve">Requerir, por las razones expuestas en la presente Resolución, de conformidad con el </w:t>
      </w:r>
      <w:r w:rsidRPr="00A95362">
        <w:rPr>
          <w:rFonts w:eastAsiaTheme="minorHAnsi" w:cs="Verdana"/>
          <w:color w:val="000000"/>
          <w:szCs w:val="20"/>
          <w:lang w:val="es-CR" w:eastAsia="en-US"/>
        </w:rPr>
        <w:t>principio</w:t>
      </w:r>
      <w:r>
        <w:rPr>
          <w:szCs w:val="20"/>
          <w:lang w:val="es-CR"/>
        </w:rPr>
        <w:t xml:space="preserve"> de economía procesal y de la facultad que le otorga el artículo 50.1 del Reglamento de la Corte, que las siguientes personas presten sus </w:t>
      </w:r>
      <w:r w:rsidRPr="00217992">
        <w:rPr>
          <w:szCs w:val="20"/>
          <w:lang w:val="es-CR"/>
        </w:rPr>
        <w:t>declaraciones</w:t>
      </w:r>
      <w:r>
        <w:rPr>
          <w:szCs w:val="20"/>
          <w:lang w:val="es-CR"/>
        </w:rPr>
        <w:t xml:space="preserve"> ante fedatario público (</w:t>
      </w:r>
      <w:r w:rsidR="000336A3" w:rsidRPr="000336A3">
        <w:rPr>
          <w:szCs w:val="20"/>
          <w:lang w:val="es-CR"/>
        </w:rPr>
        <w:t>afidá</w:t>
      </w:r>
      <w:r w:rsidRPr="000336A3">
        <w:rPr>
          <w:szCs w:val="20"/>
          <w:lang w:val="es-CR"/>
        </w:rPr>
        <w:t>vit</w:t>
      </w:r>
      <w:r>
        <w:rPr>
          <w:szCs w:val="20"/>
          <w:lang w:val="es-CR"/>
        </w:rPr>
        <w:t>):</w:t>
      </w:r>
    </w:p>
    <w:p w:rsidR="00E848C2" w:rsidRDefault="00E848C2" w:rsidP="00E848C2">
      <w:pPr>
        <w:pStyle w:val="ListParagraph"/>
        <w:widowControl w:val="0"/>
        <w:tabs>
          <w:tab w:val="left" w:pos="708"/>
        </w:tabs>
        <w:autoSpaceDE w:val="0"/>
        <w:autoSpaceDN w:val="0"/>
        <w:adjustRightInd w:val="0"/>
        <w:spacing w:before="120"/>
        <w:ind w:left="0"/>
        <w:contextualSpacing w:val="0"/>
        <w:rPr>
          <w:rFonts w:cs="Verdana"/>
          <w:szCs w:val="20"/>
          <w:lang w:val="es-CR"/>
        </w:rPr>
      </w:pPr>
    </w:p>
    <w:p w:rsidR="007552F5" w:rsidRDefault="007552F5" w:rsidP="00B10675">
      <w:pPr>
        <w:pStyle w:val="ListParagraph"/>
        <w:widowControl w:val="0"/>
        <w:numPr>
          <w:ilvl w:val="0"/>
          <w:numId w:val="9"/>
        </w:numPr>
        <w:tabs>
          <w:tab w:val="left" w:pos="708"/>
        </w:tabs>
        <w:autoSpaceDE w:val="0"/>
        <w:autoSpaceDN w:val="0"/>
        <w:adjustRightInd w:val="0"/>
        <w:spacing w:before="120"/>
        <w:rPr>
          <w:bCs/>
          <w:i/>
          <w:iCs/>
          <w:szCs w:val="20"/>
          <w:lang w:val="es-CR"/>
        </w:rPr>
      </w:pPr>
      <w:r>
        <w:rPr>
          <w:bCs/>
          <w:i/>
          <w:iCs/>
          <w:szCs w:val="20"/>
          <w:lang w:val="es-CR"/>
        </w:rPr>
        <w:t>Presuntas víctimas (propuestos por los representantes)</w:t>
      </w:r>
    </w:p>
    <w:p w:rsidR="007552F5" w:rsidRDefault="007552F5" w:rsidP="007552F5">
      <w:pPr>
        <w:pStyle w:val="ListParagraph"/>
        <w:widowControl w:val="0"/>
        <w:tabs>
          <w:tab w:val="left" w:pos="708"/>
        </w:tabs>
        <w:autoSpaceDE w:val="0"/>
        <w:autoSpaceDN w:val="0"/>
        <w:adjustRightInd w:val="0"/>
        <w:spacing w:before="120"/>
        <w:rPr>
          <w:bCs/>
          <w:i/>
          <w:iCs/>
          <w:szCs w:val="20"/>
          <w:lang w:val="es-CR"/>
        </w:rPr>
      </w:pPr>
    </w:p>
    <w:p w:rsidR="009B2037" w:rsidRDefault="007552F5" w:rsidP="009B2037">
      <w:pPr>
        <w:pStyle w:val="ListParagraph"/>
        <w:widowControl w:val="0"/>
        <w:numPr>
          <w:ilvl w:val="1"/>
          <w:numId w:val="9"/>
        </w:numPr>
        <w:tabs>
          <w:tab w:val="left" w:pos="708"/>
        </w:tabs>
        <w:autoSpaceDE w:val="0"/>
        <w:autoSpaceDN w:val="0"/>
        <w:adjustRightInd w:val="0"/>
        <w:spacing w:before="120"/>
        <w:ind w:left="993"/>
        <w:rPr>
          <w:bCs/>
          <w:i/>
          <w:iCs/>
          <w:szCs w:val="20"/>
          <w:lang w:val="es-CR"/>
        </w:rPr>
      </w:pPr>
      <w:r>
        <w:rPr>
          <w:bCs/>
          <w:i/>
          <w:iCs/>
          <w:szCs w:val="20"/>
          <w:lang w:val="es-CR"/>
        </w:rPr>
        <w:t xml:space="preserve">Miguel Ángel Díaz Loreto, </w:t>
      </w:r>
    </w:p>
    <w:p w:rsidR="009B2037" w:rsidRDefault="007552F5" w:rsidP="009B2037">
      <w:pPr>
        <w:pStyle w:val="ListParagraph"/>
        <w:widowControl w:val="0"/>
        <w:numPr>
          <w:ilvl w:val="1"/>
          <w:numId w:val="9"/>
        </w:numPr>
        <w:tabs>
          <w:tab w:val="left" w:pos="708"/>
        </w:tabs>
        <w:autoSpaceDE w:val="0"/>
        <w:autoSpaceDN w:val="0"/>
        <w:adjustRightInd w:val="0"/>
        <w:spacing w:before="120"/>
        <w:ind w:left="993"/>
        <w:rPr>
          <w:bCs/>
          <w:i/>
          <w:iCs/>
          <w:szCs w:val="20"/>
          <w:lang w:val="es-CR"/>
        </w:rPr>
      </w:pPr>
      <w:r>
        <w:rPr>
          <w:bCs/>
          <w:i/>
          <w:iCs/>
          <w:szCs w:val="20"/>
          <w:lang w:val="es-CR"/>
        </w:rPr>
        <w:t xml:space="preserve">Bladimir Lenin Díaz Loreto y </w:t>
      </w:r>
    </w:p>
    <w:p w:rsidR="009B2037" w:rsidRDefault="007552F5" w:rsidP="009B2037">
      <w:pPr>
        <w:pStyle w:val="ListParagraph"/>
        <w:widowControl w:val="0"/>
        <w:numPr>
          <w:ilvl w:val="1"/>
          <w:numId w:val="9"/>
        </w:numPr>
        <w:tabs>
          <w:tab w:val="left" w:pos="708"/>
        </w:tabs>
        <w:autoSpaceDE w:val="0"/>
        <w:autoSpaceDN w:val="0"/>
        <w:adjustRightInd w:val="0"/>
        <w:spacing w:before="120"/>
        <w:ind w:left="993"/>
        <w:rPr>
          <w:bCs/>
          <w:i/>
          <w:iCs/>
          <w:szCs w:val="20"/>
          <w:lang w:val="es-CR"/>
        </w:rPr>
      </w:pPr>
      <w:r w:rsidRPr="009B2037">
        <w:rPr>
          <w:bCs/>
          <w:i/>
          <w:iCs/>
          <w:szCs w:val="20"/>
          <w:lang w:val="es-CR"/>
        </w:rPr>
        <w:t xml:space="preserve">Jairo Alexis Díaz Loreto, </w:t>
      </w:r>
      <w:r w:rsidRPr="009B2037">
        <w:rPr>
          <w:bCs/>
          <w:iCs/>
          <w:szCs w:val="20"/>
          <w:lang w:val="es-CR"/>
        </w:rPr>
        <w:t xml:space="preserve">quienes declararán </w:t>
      </w:r>
      <w:r w:rsidR="009B2037" w:rsidRPr="009B2037">
        <w:rPr>
          <w:bCs/>
          <w:iCs/>
          <w:szCs w:val="20"/>
          <w:lang w:val="es-CR"/>
        </w:rPr>
        <w:t>sobre los hechos en los que falleció su padre Octavio Díaz Álvarez y sus hermanos Robert Ignacio Díaz Loreto y David Octavio Díaz Loreto; el impacto que sus muertes generaron en su vida y en su entorno familiar; las secuelas emocionales y físicas que habrían sufrido como consecuencia de los hechos; las supuestas afectaciones a su proyecto de vida; y las supuestas amenazas y hostigamientos de los que fueron objeto con posterioridad a su muerte</w:t>
      </w:r>
      <w:r w:rsidR="009B2037">
        <w:rPr>
          <w:bCs/>
          <w:iCs/>
          <w:szCs w:val="20"/>
          <w:lang w:val="es-CR"/>
        </w:rPr>
        <w:t>.</w:t>
      </w:r>
      <w:r w:rsidR="009B2037" w:rsidRPr="009B2037">
        <w:rPr>
          <w:bCs/>
          <w:iCs/>
          <w:szCs w:val="20"/>
          <w:lang w:val="es-CR"/>
        </w:rPr>
        <w:t xml:space="preserve"> </w:t>
      </w:r>
    </w:p>
    <w:p w:rsidR="009B2037" w:rsidRDefault="009B2037" w:rsidP="009B2037">
      <w:pPr>
        <w:pStyle w:val="ListParagraph"/>
        <w:widowControl w:val="0"/>
        <w:tabs>
          <w:tab w:val="left" w:pos="708"/>
        </w:tabs>
        <w:autoSpaceDE w:val="0"/>
        <w:autoSpaceDN w:val="0"/>
        <w:adjustRightInd w:val="0"/>
        <w:spacing w:before="120"/>
        <w:ind w:left="993"/>
        <w:rPr>
          <w:bCs/>
          <w:i/>
          <w:iCs/>
          <w:szCs w:val="20"/>
          <w:lang w:val="es-CR"/>
        </w:rPr>
      </w:pPr>
    </w:p>
    <w:p w:rsidR="009B2037" w:rsidRPr="009B2037" w:rsidRDefault="009B2037" w:rsidP="009B2037">
      <w:pPr>
        <w:pStyle w:val="ListParagraph"/>
        <w:widowControl w:val="0"/>
        <w:numPr>
          <w:ilvl w:val="1"/>
          <w:numId w:val="9"/>
        </w:numPr>
        <w:tabs>
          <w:tab w:val="left" w:pos="708"/>
        </w:tabs>
        <w:autoSpaceDE w:val="0"/>
        <w:autoSpaceDN w:val="0"/>
        <w:adjustRightInd w:val="0"/>
        <w:spacing w:before="120"/>
        <w:ind w:left="993"/>
        <w:rPr>
          <w:bCs/>
          <w:iCs/>
          <w:szCs w:val="20"/>
          <w:lang w:val="es-CR"/>
        </w:rPr>
      </w:pPr>
      <w:proofErr w:type="spellStart"/>
      <w:r w:rsidRPr="009B2037">
        <w:rPr>
          <w:bCs/>
          <w:i/>
          <w:iCs/>
          <w:szCs w:val="20"/>
          <w:lang w:val="es-CR"/>
        </w:rPr>
        <w:t>Arianna</w:t>
      </w:r>
      <w:proofErr w:type="spellEnd"/>
      <w:r w:rsidRPr="009B2037">
        <w:rPr>
          <w:bCs/>
          <w:i/>
          <w:iCs/>
          <w:szCs w:val="20"/>
          <w:lang w:val="es-CR"/>
        </w:rPr>
        <w:t xml:space="preserve"> </w:t>
      </w:r>
      <w:proofErr w:type="spellStart"/>
      <w:r w:rsidRPr="009B2037">
        <w:rPr>
          <w:bCs/>
          <w:i/>
          <w:iCs/>
          <w:szCs w:val="20"/>
          <w:lang w:val="es-CR"/>
        </w:rPr>
        <w:t>Leaneth</w:t>
      </w:r>
      <w:proofErr w:type="spellEnd"/>
      <w:r w:rsidRPr="009B2037">
        <w:rPr>
          <w:bCs/>
          <w:i/>
          <w:iCs/>
          <w:szCs w:val="20"/>
          <w:lang w:val="es-CR"/>
        </w:rPr>
        <w:t xml:space="preserve"> Díaz </w:t>
      </w:r>
      <w:proofErr w:type="spellStart"/>
      <w:r w:rsidRPr="009B2037">
        <w:rPr>
          <w:bCs/>
          <w:i/>
          <w:iCs/>
          <w:szCs w:val="20"/>
          <w:lang w:val="es-CR"/>
        </w:rPr>
        <w:t>Doubain</w:t>
      </w:r>
      <w:proofErr w:type="spellEnd"/>
      <w:r w:rsidRPr="009B2037">
        <w:rPr>
          <w:bCs/>
          <w:i/>
          <w:iCs/>
          <w:szCs w:val="20"/>
          <w:lang w:val="es-CR"/>
        </w:rPr>
        <w:t xml:space="preserve">, </w:t>
      </w:r>
      <w:r w:rsidRPr="009B2037">
        <w:rPr>
          <w:bCs/>
          <w:iCs/>
          <w:szCs w:val="20"/>
          <w:lang w:val="es-CR"/>
        </w:rPr>
        <w:t xml:space="preserve">hija de David Octavio Díaz Loreto y quien era menor de edad al momento de los hechos, </w:t>
      </w:r>
      <w:r>
        <w:rPr>
          <w:bCs/>
          <w:iCs/>
          <w:szCs w:val="20"/>
          <w:lang w:val="es-CR"/>
        </w:rPr>
        <w:t xml:space="preserve">declarará sobre el supuesto </w:t>
      </w:r>
      <w:r w:rsidRPr="009B2037">
        <w:rPr>
          <w:bCs/>
          <w:iCs/>
          <w:szCs w:val="20"/>
          <w:lang w:val="es-CR"/>
        </w:rPr>
        <w:t>impacto en su proyecto de vida y las consecuencias de no haber crecido junto a su padre</w:t>
      </w:r>
      <w:r>
        <w:rPr>
          <w:bCs/>
          <w:iCs/>
          <w:szCs w:val="20"/>
          <w:lang w:val="es-CR"/>
        </w:rPr>
        <w:t>.</w:t>
      </w:r>
    </w:p>
    <w:p w:rsidR="009B2037" w:rsidRDefault="009B2037" w:rsidP="007552F5">
      <w:pPr>
        <w:pStyle w:val="ListParagraph"/>
        <w:widowControl w:val="0"/>
        <w:tabs>
          <w:tab w:val="left" w:pos="708"/>
        </w:tabs>
        <w:autoSpaceDE w:val="0"/>
        <w:autoSpaceDN w:val="0"/>
        <w:adjustRightInd w:val="0"/>
        <w:spacing w:before="120"/>
        <w:rPr>
          <w:bCs/>
          <w:i/>
          <w:iCs/>
          <w:szCs w:val="20"/>
          <w:lang w:val="es-CR"/>
        </w:rPr>
      </w:pPr>
    </w:p>
    <w:p w:rsidR="00B10675" w:rsidRPr="00467AA1" w:rsidRDefault="00B10675" w:rsidP="00B10675">
      <w:pPr>
        <w:pStyle w:val="ListParagraph"/>
        <w:widowControl w:val="0"/>
        <w:numPr>
          <w:ilvl w:val="0"/>
          <w:numId w:val="9"/>
        </w:numPr>
        <w:tabs>
          <w:tab w:val="left" w:pos="708"/>
        </w:tabs>
        <w:autoSpaceDE w:val="0"/>
        <w:autoSpaceDN w:val="0"/>
        <w:adjustRightInd w:val="0"/>
        <w:spacing w:before="120"/>
        <w:rPr>
          <w:bCs/>
          <w:i/>
          <w:iCs/>
          <w:szCs w:val="20"/>
          <w:lang w:val="es-CR"/>
        </w:rPr>
      </w:pPr>
      <w:r w:rsidRPr="00467AA1">
        <w:rPr>
          <w:bCs/>
          <w:i/>
          <w:iCs/>
          <w:szCs w:val="20"/>
          <w:lang w:val="es-CR"/>
        </w:rPr>
        <w:t>Testigo</w:t>
      </w:r>
      <w:r w:rsidR="005E4C34">
        <w:rPr>
          <w:bCs/>
          <w:i/>
          <w:iCs/>
          <w:szCs w:val="20"/>
          <w:lang w:val="es-CR"/>
        </w:rPr>
        <w:t>s</w:t>
      </w:r>
      <w:r w:rsidR="00550BEB">
        <w:rPr>
          <w:bCs/>
          <w:i/>
          <w:iCs/>
          <w:szCs w:val="20"/>
          <w:lang w:val="es-CR"/>
        </w:rPr>
        <w:t xml:space="preserve"> (p</w:t>
      </w:r>
      <w:r w:rsidRPr="00467AA1">
        <w:rPr>
          <w:bCs/>
          <w:i/>
          <w:iCs/>
          <w:szCs w:val="20"/>
          <w:lang w:val="es-CR"/>
        </w:rPr>
        <w:t>ropuesto</w:t>
      </w:r>
      <w:r w:rsidR="00EE5575">
        <w:rPr>
          <w:bCs/>
          <w:i/>
          <w:iCs/>
          <w:szCs w:val="20"/>
          <w:lang w:val="es-CR"/>
        </w:rPr>
        <w:t>s</w:t>
      </w:r>
      <w:r w:rsidRPr="00467AA1">
        <w:rPr>
          <w:bCs/>
          <w:i/>
          <w:iCs/>
          <w:szCs w:val="20"/>
          <w:lang w:val="es-CR"/>
        </w:rPr>
        <w:t xml:space="preserve"> por </w:t>
      </w:r>
      <w:r w:rsidR="00550BEB">
        <w:rPr>
          <w:bCs/>
          <w:i/>
          <w:iCs/>
          <w:szCs w:val="20"/>
          <w:lang w:val="es-CR"/>
        </w:rPr>
        <w:t>el Estado</w:t>
      </w:r>
      <w:r w:rsidRPr="00467AA1">
        <w:rPr>
          <w:bCs/>
          <w:i/>
          <w:iCs/>
          <w:szCs w:val="20"/>
          <w:lang w:val="es-CR"/>
        </w:rPr>
        <w:t>)</w:t>
      </w:r>
    </w:p>
    <w:p w:rsidR="00550BEB" w:rsidRPr="00550BEB" w:rsidRDefault="00550BEB" w:rsidP="00550BEB">
      <w:pPr>
        <w:pStyle w:val="ListParagraph"/>
        <w:widowControl w:val="0"/>
        <w:tabs>
          <w:tab w:val="left" w:pos="708"/>
        </w:tabs>
        <w:autoSpaceDE w:val="0"/>
        <w:autoSpaceDN w:val="0"/>
        <w:adjustRightInd w:val="0"/>
        <w:spacing w:before="120"/>
        <w:ind w:left="993"/>
        <w:rPr>
          <w:rFonts w:eastAsiaTheme="minorHAnsi" w:cs="Tahoma"/>
          <w:szCs w:val="20"/>
          <w:lang w:val="es-CR" w:eastAsia="en-US"/>
        </w:rPr>
      </w:pPr>
    </w:p>
    <w:p w:rsidR="00550BEB" w:rsidRDefault="00550BEB" w:rsidP="00EE5575">
      <w:pPr>
        <w:pStyle w:val="ListParagraph"/>
        <w:widowControl w:val="0"/>
        <w:numPr>
          <w:ilvl w:val="1"/>
          <w:numId w:val="9"/>
        </w:numPr>
        <w:tabs>
          <w:tab w:val="left" w:pos="708"/>
        </w:tabs>
        <w:autoSpaceDE w:val="0"/>
        <w:autoSpaceDN w:val="0"/>
        <w:adjustRightInd w:val="0"/>
        <w:spacing w:before="120"/>
        <w:ind w:left="993"/>
        <w:rPr>
          <w:rFonts w:eastAsiaTheme="minorHAnsi" w:cs="Tahoma"/>
          <w:szCs w:val="20"/>
          <w:lang w:val="es-CR" w:eastAsia="en-US"/>
        </w:rPr>
      </w:pPr>
      <w:r w:rsidRPr="00EE5575">
        <w:rPr>
          <w:bCs/>
          <w:i/>
          <w:iCs/>
          <w:szCs w:val="20"/>
          <w:lang w:val="es-CR"/>
        </w:rPr>
        <w:t>Pablo Fernández Blanco</w:t>
      </w:r>
      <w:r w:rsidR="00B10675" w:rsidRPr="00EE5575">
        <w:rPr>
          <w:rFonts w:eastAsiaTheme="minorHAnsi" w:cs="Tahoma"/>
          <w:szCs w:val="20"/>
          <w:lang w:val="es-CR" w:eastAsia="en-US"/>
        </w:rPr>
        <w:t xml:space="preserve">, quien </w:t>
      </w:r>
      <w:r w:rsidRPr="00EE5575">
        <w:rPr>
          <w:rFonts w:eastAsiaTheme="minorHAnsi" w:cs="Tahoma"/>
          <w:szCs w:val="20"/>
          <w:lang w:val="es-CR" w:eastAsia="en-US"/>
        </w:rPr>
        <w:t xml:space="preserve">se desempeña como Secretario Ejecutivo del Consejo Nacional de Policía, previamente formó parte de la organización Red de Apoyo por la Justicia y la Paz y participó durante el proceso de reforma policial desarrollado en Venezuela, y </w:t>
      </w:r>
      <w:r w:rsidR="00B10675" w:rsidRPr="00EE5575">
        <w:rPr>
          <w:rFonts w:eastAsiaTheme="minorHAnsi" w:cs="Tahoma"/>
          <w:szCs w:val="20"/>
          <w:lang w:val="es-CR" w:eastAsia="en-US"/>
        </w:rPr>
        <w:t>declarará sobre</w:t>
      </w:r>
      <w:r w:rsidR="004F4757" w:rsidRPr="00EE5575">
        <w:rPr>
          <w:rFonts w:eastAsiaTheme="minorHAnsi" w:cs="Tahoma"/>
          <w:szCs w:val="20"/>
          <w:lang w:val="es-CR" w:eastAsia="en-US"/>
        </w:rPr>
        <w:t xml:space="preserve"> </w:t>
      </w:r>
      <w:r w:rsidR="00EE5575" w:rsidRPr="00EE5575">
        <w:rPr>
          <w:rFonts w:eastAsiaTheme="minorHAnsi" w:cs="Tahoma"/>
          <w:szCs w:val="20"/>
          <w:lang w:val="es-CR" w:eastAsia="en-US"/>
        </w:rPr>
        <w:t>las diversas medidas adoptadas por el Estado para la implantación del nuevo modelo policial en Venezuela, incluyendo las iniciativas de formación en materia de derechos humanos para funcionarios policiales, las medidas para asegurar la efectiva rendición de cuentas en casos de presunto abuso de poder p</w:t>
      </w:r>
      <w:r w:rsidR="000778F1">
        <w:rPr>
          <w:rFonts w:eastAsiaTheme="minorHAnsi" w:cs="Tahoma"/>
          <w:szCs w:val="20"/>
          <w:lang w:val="es-CR" w:eastAsia="en-US"/>
        </w:rPr>
        <w:t>or parte de agentes policiales, así como sobre</w:t>
      </w:r>
      <w:r w:rsidR="00EE5575" w:rsidRPr="00EE5575">
        <w:rPr>
          <w:rFonts w:eastAsiaTheme="minorHAnsi" w:cs="Tahoma"/>
          <w:szCs w:val="20"/>
          <w:lang w:val="es-CR" w:eastAsia="en-US"/>
        </w:rPr>
        <w:t xml:space="preserve"> las medidas legislativas, administrativas y de otra índole para asegurar la necesidad y proporcionalidad del uso letal de la fuerza por parte de funcionarios policiales</w:t>
      </w:r>
      <w:r w:rsidR="00EE5575">
        <w:rPr>
          <w:rFonts w:eastAsiaTheme="minorHAnsi" w:cs="Tahoma"/>
          <w:szCs w:val="20"/>
          <w:lang w:val="es-CR" w:eastAsia="en-US"/>
        </w:rPr>
        <w:t>.</w:t>
      </w:r>
    </w:p>
    <w:p w:rsidR="00EE5575" w:rsidRDefault="00EE5575" w:rsidP="00EE5575">
      <w:pPr>
        <w:pStyle w:val="ListParagraph"/>
        <w:widowControl w:val="0"/>
        <w:tabs>
          <w:tab w:val="left" w:pos="708"/>
        </w:tabs>
        <w:autoSpaceDE w:val="0"/>
        <w:autoSpaceDN w:val="0"/>
        <w:adjustRightInd w:val="0"/>
        <w:spacing w:before="120"/>
        <w:ind w:left="993"/>
        <w:rPr>
          <w:rFonts w:eastAsiaTheme="minorHAnsi" w:cs="Tahoma"/>
          <w:i/>
          <w:szCs w:val="20"/>
          <w:lang w:val="es-CR" w:eastAsia="en-US"/>
        </w:rPr>
      </w:pPr>
    </w:p>
    <w:p w:rsidR="00EE5575" w:rsidRPr="00BC138A" w:rsidRDefault="00EE5575" w:rsidP="00EE5575">
      <w:pPr>
        <w:pStyle w:val="ListParagraph"/>
        <w:widowControl w:val="0"/>
        <w:numPr>
          <w:ilvl w:val="1"/>
          <w:numId w:val="9"/>
        </w:numPr>
        <w:tabs>
          <w:tab w:val="left" w:pos="708"/>
        </w:tabs>
        <w:autoSpaceDE w:val="0"/>
        <w:autoSpaceDN w:val="0"/>
        <w:adjustRightInd w:val="0"/>
        <w:spacing w:before="120"/>
        <w:ind w:left="993"/>
        <w:rPr>
          <w:rFonts w:eastAsiaTheme="minorHAnsi" w:cs="Tahoma"/>
          <w:szCs w:val="20"/>
          <w:lang w:val="es-CR" w:eastAsia="en-US"/>
        </w:rPr>
      </w:pPr>
      <w:r w:rsidRPr="00BC138A">
        <w:rPr>
          <w:rFonts w:eastAsiaTheme="minorHAnsi" w:cs="Tahoma"/>
          <w:i/>
          <w:szCs w:val="20"/>
          <w:lang w:val="es-CR" w:eastAsia="en-US"/>
        </w:rPr>
        <w:t>Gregoria Josefina Medina</w:t>
      </w:r>
      <w:r w:rsidRPr="00BC138A">
        <w:rPr>
          <w:rFonts w:eastAsiaTheme="minorHAnsi" w:cs="Tahoma"/>
          <w:szCs w:val="20"/>
          <w:lang w:val="es-CR" w:eastAsia="en-US"/>
        </w:rPr>
        <w:t xml:space="preserve">, quien </w:t>
      </w:r>
      <w:r w:rsidR="00BC138A" w:rsidRPr="00BC138A">
        <w:rPr>
          <w:rFonts w:eastAsiaTheme="minorHAnsi" w:cs="Tahoma"/>
          <w:szCs w:val="20"/>
          <w:lang w:val="es-CR" w:eastAsia="en-US"/>
        </w:rPr>
        <w:t>s</w:t>
      </w:r>
      <w:r w:rsidRPr="00BC138A">
        <w:rPr>
          <w:rFonts w:eastAsiaTheme="minorHAnsi" w:cs="Tahoma"/>
          <w:szCs w:val="20"/>
          <w:lang w:val="es-CR" w:eastAsia="en-US"/>
        </w:rPr>
        <w:t>e desempeñó como Fiscal 9° del estado Aragua</w:t>
      </w:r>
      <w:r w:rsidR="00BC138A" w:rsidRPr="00BC138A">
        <w:rPr>
          <w:rFonts w:eastAsiaTheme="minorHAnsi" w:cs="Tahoma"/>
          <w:szCs w:val="20"/>
          <w:lang w:val="es-CR" w:eastAsia="en-US"/>
        </w:rPr>
        <w:t xml:space="preserve"> </w:t>
      </w:r>
      <w:r w:rsidRPr="00BC138A">
        <w:rPr>
          <w:rFonts w:eastAsiaTheme="minorHAnsi" w:cs="Tahoma"/>
          <w:szCs w:val="20"/>
          <w:lang w:val="es-CR" w:eastAsia="en-US"/>
        </w:rPr>
        <w:t>durante los hechos del presente caso</w:t>
      </w:r>
      <w:r w:rsidR="000778F1">
        <w:rPr>
          <w:rFonts w:eastAsiaTheme="minorHAnsi" w:cs="Tahoma"/>
          <w:szCs w:val="20"/>
          <w:lang w:val="es-CR" w:eastAsia="en-US"/>
        </w:rPr>
        <w:t>,</w:t>
      </w:r>
      <w:r w:rsidR="00BC138A" w:rsidRPr="00BC138A">
        <w:rPr>
          <w:rFonts w:eastAsiaTheme="minorHAnsi" w:cs="Tahoma"/>
          <w:szCs w:val="20"/>
          <w:lang w:val="es-CR" w:eastAsia="en-US"/>
        </w:rPr>
        <w:t xml:space="preserve"> </w:t>
      </w:r>
      <w:r w:rsidRPr="00BC138A">
        <w:rPr>
          <w:rFonts w:eastAsiaTheme="minorHAnsi" w:cs="Tahoma"/>
          <w:szCs w:val="20"/>
          <w:lang w:val="es-CR" w:eastAsia="en-US"/>
        </w:rPr>
        <w:t>declarará sobre la investigación</w:t>
      </w:r>
      <w:r w:rsidR="00BC138A" w:rsidRPr="00BC138A">
        <w:rPr>
          <w:rFonts w:eastAsiaTheme="minorHAnsi" w:cs="Tahoma"/>
          <w:szCs w:val="20"/>
          <w:lang w:val="es-CR" w:eastAsia="en-US"/>
        </w:rPr>
        <w:t xml:space="preserve"> </w:t>
      </w:r>
      <w:r w:rsidRPr="00BC138A">
        <w:rPr>
          <w:rFonts w:eastAsiaTheme="minorHAnsi" w:cs="Tahoma"/>
          <w:szCs w:val="20"/>
          <w:lang w:val="es-CR" w:eastAsia="en-US"/>
        </w:rPr>
        <w:t>desarrollada por el Ministerio Público en relación con la muerte de los señores</w:t>
      </w:r>
      <w:r w:rsidR="00BC138A" w:rsidRPr="00BC138A">
        <w:rPr>
          <w:rFonts w:eastAsiaTheme="minorHAnsi" w:cs="Tahoma"/>
          <w:szCs w:val="20"/>
          <w:lang w:val="es-CR" w:eastAsia="en-US"/>
        </w:rPr>
        <w:t xml:space="preserve"> </w:t>
      </w:r>
      <w:r w:rsidRPr="00BC138A">
        <w:rPr>
          <w:rFonts w:eastAsiaTheme="minorHAnsi" w:cs="Tahoma"/>
          <w:szCs w:val="20"/>
          <w:lang w:val="es-CR" w:eastAsia="en-US"/>
        </w:rPr>
        <w:t>Robert Ignacio Díaz Loreto, David Octavio Díaz Loreto y Octavio Ignacio Díaz</w:t>
      </w:r>
      <w:r w:rsidR="00BC138A" w:rsidRPr="00BC138A">
        <w:rPr>
          <w:rFonts w:eastAsiaTheme="minorHAnsi" w:cs="Tahoma"/>
          <w:szCs w:val="20"/>
          <w:lang w:val="es-CR" w:eastAsia="en-US"/>
        </w:rPr>
        <w:t xml:space="preserve"> </w:t>
      </w:r>
      <w:r w:rsidRPr="00BC138A">
        <w:rPr>
          <w:rFonts w:eastAsiaTheme="minorHAnsi" w:cs="Tahoma"/>
          <w:szCs w:val="20"/>
          <w:lang w:val="es-CR" w:eastAsia="en-US"/>
        </w:rPr>
        <w:t>Álvarez, el desarrollo del proceso penal y la participación de los familiares de las</w:t>
      </w:r>
      <w:r w:rsidR="00BC138A" w:rsidRPr="00BC138A">
        <w:rPr>
          <w:rFonts w:eastAsiaTheme="minorHAnsi" w:cs="Tahoma"/>
          <w:szCs w:val="20"/>
          <w:lang w:val="es-CR" w:eastAsia="en-US"/>
        </w:rPr>
        <w:t xml:space="preserve"> </w:t>
      </w:r>
      <w:r w:rsidRPr="00BC138A">
        <w:rPr>
          <w:rFonts w:eastAsiaTheme="minorHAnsi" w:cs="Tahoma"/>
          <w:szCs w:val="20"/>
          <w:lang w:val="es-CR" w:eastAsia="en-US"/>
        </w:rPr>
        <w:t>presuntas víctimas y sus representantes en dicho proceso</w:t>
      </w:r>
      <w:r w:rsidR="00BC138A">
        <w:rPr>
          <w:rFonts w:eastAsiaTheme="minorHAnsi" w:cs="Tahoma"/>
          <w:szCs w:val="20"/>
          <w:lang w:val="es-CR" w:eastAsia="en-US"/>
        </w:rPr>
        <w:t>.</w:t>
      </w:r>
    </w:p>
    <w:p w:rsidR="00EE5575" w:rsidRDefault="00EE5575" w:rsidP="00EE5575">
      <w:pPr>
        <w:pStyle w:val="ListParagraph"/>
        <w:widowControl w:val="0"/>
        <w:tabs>
          <w:tab w:val="left" w:pos="708"/>
        </w:tabs>
        <w:autoSpaceDE w:val="0"/>
        <w:autoSpaceDN w:val="0"/>
        <w:adjustRightInd w:val="0"/>
        <w:spacing w:before="120"/>
        <w:rPr>
          <w:bCs/>
          <w:i/>
          <w:iCs/>
          <w:szCs w:val="20"/>
          <w:lang w:val="es-CR"/>
        </w:rPr>
      </w:pPr>
    </w:p>
    <w:p w:rsidR="00EE5575" w:rsidRDefault="00B10675" w:rsidP="00550BEB">
      <w:pPr>
        <w:pStyle w:val="ListParagraph"/>
        <w:widowControl w:val="0"/>
        <w:numPr>
          <w:ilvl w:val="0"/>
          <w:numId w:val="9"/>
        </w:numPr>
        <w:tabs>
          <w:tab w:val="left" w:pos="708"/>
        </w:tabs>
        <w:autoSpaceDE w:val="0"/>
        <w:autoSpaceDN w:val="0"/>
        <w:adjustRightInd w:val="0"/>
        <w:spacing w:before="120"/>
        <w:rPr>
          <w:bCs/>
          <w:i/>
          <w:iCs/>
          <w:szCs w:val="20"/>
          <w:lang w:val="es-CR"/>
        </w:rPr>
      </w:pPr>
      <w:r w:rsidRPr="00977507">
        <w:rPr>
          <w:bCs/>
          <w:i/>
          <w:iCs/>
          <w:szCs w:val="20"/>
          <w:lang w:val="es-CR"/>
        </w:rPr>
        <w:t>Perito</w:t>
      </w:r>
      <w:r w:rsidR="00EE5575">
        <w:rPr>
          <w:bCs/>
          <w:i/>
          <w:iCs/>
          <w:szCs w:val="20"/>
          <w:lang w:val="es-CR"/>
        </w:rPr>
        <w:t>s</w:t>
      </w:r>
      <w:r w:rsidRPr="00977507">
        <w:rPr>
          <w:bCs/>
          <w:i/>
          <w:iCs/>
          <w:szCs w:val="20"/>
          <w:lang w:val="es-CR"/>
        </w:rPr>
        <w:t xml:space="preserve"> </w:t>
      </w:r>
    </w:p>
    <w:p w:rsidR="00EE5575" w:rsidRDefault="00EE5575" w:rsidP="00EE5575">
      <w:pPr>
        <w:pStyle w:val="ListParagraph"/>
        <w:widowControl w:val="0"/>
        <w:tabs>
          <w:tab w:val="left" w:pos="708"/>
        </w:tabs>
        <w:autoSpaceDE w:val="0"/>
        <w:autoSpaceDN w:val="0"/>
        <w:adjustRightInd w:val="0"/>
        <w:spacing w:before="120"/>
        <w:rPr>
          <w:bCs/>
          <w:i/>
          <w:iCs/>
          <w:szCs w:val="20"/>
          <w:lang w:val="es-CR"/>
        </w:rPr>
      </w:pPr>
    </w:p>
    <w:p w:rsidR="00B10675" w:rsidRPr="00977507" w:rsidRDefault="00B10675" w:rsidP="00EE5575">
      <w:pPr>
        <w:pStyle w:val="ListParagraph"/>
        <w:widowControl w:val="0"/>
        <w:tabs>
          <w:tab w:val="left" w:pos="708"/>
        </w:tabs>
        <w:autoSpaceDE w:val="0"/>
        <w:autoSpaceDN w:val="0"/>
        <w:adjustRightInd w:val="0"/>
        <w:spacing w:before="120"/>
        <w:rPr>
          <w:bCs/>
          <w:i/>
          <w:iCs/>
          <w:szCs w:val="20"/>
          <w:lang w:val="es-CR"/>
        </w:rPr>
      </w:pPr>
      <w:r w:rsidRPr="00977507">
        <w:rPr>
          <w:bCs/>
          <w:i/>
          <w:iCs/>
          <w:szCs w:val="20"/>
          <w:lang w:val="es-CR"/>
        </w:rPr>
        <w:t>(</w:t>
      </w:r>
      <w:proofErr w:type="gramStart"/>
      <w:r w:rsidR="00EE5575">
        <w:rPr>
          <w:bCs/>
          <w:i/>
          <w:iCs/>
          <w:szCs w:val="20"/>
          <w:lang w:val="es-CR"/>
        </w:rPr>
        <w:t>p</w:t>
      </w:r>
      <w:r w:rsidRPr="00977507">
        <w:rPr>
          <w:bCs/>
          <w:i/>
          <w:iCs/>
          <w:szCs w:val="20"/>
          <w:lang w:val="es-CR"/>
        </w:rPr>
        <w:t>ropuestos</w:t>
      </w:r>
      <w:proofErr w:type="gramEnd"/>
      <w:r w:rsidRPr="00977507">
        <w:rPr>
          <w:bCs/>
          <w:i/>
          <w:iCs/>
          <w:szCs w:val="20"/>
          <w:lang w:val="es-CR"/>
        </w:rPr>
        <w:t xml:space="preserve"> por los representantes)</w:t>
      </w:r>
    </w:p>
    <w:p w:rsidR="00EE5575" w:rsidRPr="00EE5575" w:rsidRDefault="00EE5575" w:rsidP="00EE5575">
      <w:pPr>
        <w:pStyle w:val="ListParagraph"/>
        <w:widowControl w:val="0"/>
        <w:tabs>
          <w:tab w:val="left" w:pos="708"/>
        </w:tabs>
        <w:autoSpaceDE w:val="0"/>
        <w:autoSpaceDN w:val="0"/>
        <w:adjustRightInd w:val="0"/>
        <w:spacing w:before="120"/>
        <w:ind w:left="993"/>
        <w:rPr>
          <w:rFonts w:eastAsiaTheme="minorHAnsi" w:cs="Tahoma"/>
          <w:szCs w:val="20"/>
          <w:lang w:val="es-CR" w:eastAsia="en-US"/>
        </w:rPr>
      </w:pPr>
    </w:p>
    <w:p w:rsidR="00FE127E" w:rsidRDefault="004F4757" w:rsidP="00FE127E">
      <w:pPr>
        <w:pStyle w:val="ListParagraph"/>
        <w:widowControl w:val="0"/>
        <w:numPr>
          <w:ilvl w:val="1"/>
          <w:numId w:val="9"/>
        </w:numPr>
        <w:tabs>
          <w:tab w:val="left" w:pos="708"/>
        </w:tabs>
        <w:autoSpaceDE w:val="0"/>
        <w:autoSpaceDN w:val="0"/>
        <w:adjustRightInd w:val="0"/>
        <w:spacing w:before="120"/>
        <w:ind w:left="993"/>
        <w:rPr>
          <w:szCs w:val="20"/>
          <w:lang w:val="es-CR"/>
        </w:rPr>
      </w:pPr>
      <w:r w:rsidRPr="00FE127E">
        <w:rPr>
          <w:bCs/>
          <w:i/>
          <w:iCs/>
          <w:szCs w:val="20"/>
          <w:lang w:val="es-CR"/>
        </w:rPr>
        <w:t>Fernando</w:t>
      </w:r>
      <w:r w:rsidRPr="00FE127E">
        <w:rPr>
          <w:i/>
          <w:szCs w:val="20"/>
          <w:lang w:val="es-CR"/>
        </w:rPr>
        <w:t xml:space="preserve"> </w:t>
      </w:r>
      <w:r w:rsidR="00EE5575" w:rsidRPr="00FE127E">
        <w:rPr>
          <w:i/>
          <w:szCs w:val="20"/>
          <w:lang w:val="es-CR"/>
        </w:rPr>
        <w:t>Fernández</w:t>
      </w:r>
      <w:r w:rsidR="00B10675" w:rsidRPr="00FE127E">
        <w:rPr>
          <w:szCs w:val="20"/>
          <w:lang w:val="es-CR"/>
        </w:rPr>
        <w:t xml:space="preserve">, </w:t>
      </w:r>
      <w:r w:rsidR="00F74853">
        <w:rPr>
          <w:szCs w:val="20"/>
          <w:lang w:val="es-CR"/>
        </w:rPr>
        <w:t xml:space="preserve">abogado especialista en ciencias penales y criminológicas, </w:t>
      </w:r>
      <w:r w:rsidR="00B10675" w:rsidRPr="00FE127E">
        <w:rPr>
          <w:szCs w:val="20"/>
          <w:lang w:val="es-CR"/>
        </w:rPr>
        <w:t xml:space="preserve">quien declarará </w:t>
      </w:r>
      <w:r w:rsidR="00FE127E" w:rsidRPr="00FE127E">
        <w:rPr>
          <w:szCs w:val="20"/>
          <w:lang w:val="es-CR"/>
        </w:rPr>
        <w:t xml:space="preserve">sobre la normativa que regía el procedimiento penal en Venezuela para el momento </w:t>
      </w:r>
      <w:r w:rsidR="000778F1">
        <w:rPr>
          <w:szCs w:val="20"/>
          <w:lang w:val="es-CR"/>
        </w:rPr>
        <w:t>en que ocurrieron</w:t>
      </w:r>
      <w:r w:rsidR="00FE127E" w:rsidRPr="00FE127E">
        <w:rPr>
          <w:szCs w:val="20"/>
          <w:lang w:val="es-CR"/>
        </w:rPr>
        <w:t xml:space="preserve"> los hechos, con referencia al p</w:t>
      </w:r>
      <w:r w:rsidR="000778F1">
        <w:rPr>
          <w:szCs w:val="20"/>
          <w:lang w:val="es-CR"/>
        </w:rPr>
        <w:t>apel del Estado como garante de los</w:t>
      </w:r>
      <w:r w:rsidR="00FE127E" w:rsidRPr="00FE127E">
        <w:rPr>
          <w:szCs w:val="20"/>
          <w:lang w:val="es-CR"/>
        </w:rPr>
        <w:t xml:space="preserve"> derecho</w:t>
      </w:r>
      <w:r w:rsidR="000778F1">
        <w:rPr>
          <w:szCs w:val="20"/>
          <w:lang w:val="es-CR"/>
        </w:rPr>
        <w:t>s</w:t>
      </w:r>
      <w:r w:rsidR="00FE127E" w:rsidRPr="00FE127E">
        <w:rPr>
          <w:szCs w:val="20"/>
          <w:lang w:val="es-CR"/>
        </w:rPr>
        <w:t xml:space="preserve"> a la vida, a la integridad personal y la libertad personal; sobre la debida diligencia en los procesos penales realizados en los casos del señor Octavio Díaz Álvarez y de los hermanos Díaz Loreto, haciendo énfasis en los obstáculos de hecho y de derecho que se han presentado </w:t>
      </w:r>
      <w:r w:rsidR="00FE127E">
        <w:rPr>
          <w:szCs w:val="20"/>
          <w:lang w:val="es-CR"/>
        </w:rPr>
        <w:t>durante</w:t>
      </w:r>
      <w:r w:rsidR="00FE127E" w:rsidRPr="00FE127E">
        <w:rPr>
          <w:szCs w:val="20"/>
          <w:lang w:val="es-CR"/>
        </w:rPr>
        <w:t xml:space="preserve"> los años que </w:t>
      </w:r>
      <w:r w:rsidR="00FE127E">
        <w:rPr>
          <w:szCs w:val="20"/>
          <w:lang w:val="es-CR"/>
        </w:rPr>
        <w:t>han durado esos procesos.</w:t>
      </w:r>
    </w:p>
    <w:p w:rsidR="00F74853" w:rsidRDefault="00F74853" w:rsidP="00F74853">
      <w:pPr>
        <w:pStyle w:val="ListParagraph"/>
        <w:widowControl w:val="0"/>
        <w:tabs>
          <w:tab w:val="left" w:pos="708"/>
        </w:tabs>
        <w:autoSpaceDE w:val="0"/>
        <w:autoSpaceDN w:val="0"/>
        <w:adjustRightInd w:val="0"/>
        <w:spacing w:before="120"/>
        <w:ind w:left="993"/>
        <w:rPr>
          <w:szCs w:val="20"/>
          <w:lang w:val="es-CR"/>
        </w:rPr>
      </w:pPr>
    </w:p>
    <w:p w:rsidR="00FE127E" w:rsidRPr="00F74853" w:rsidRDefault="00FE127E" w:rsidP="00F74853">
      <w:pPr>
        <w:pStyle w:val="ListParagraph"/>
        <w:widowControl w:val="0"/>
        <w:numPr>
          <w:ilvl w:val="1"/>
          <w:numId w:val="9"/>
        </w:numPr>
        <w:tabs>
          <w:tab w:val="left" w:pos="708"/>
        </w:tabs>
        <w:autoSpaceDE w:val="0"/>
        <w:autoSpaceDN w:val="0"/>
        <w:adjustRightInd w:val="0"/>
        <w:spacing w:before="120"/>
        <w:ind w:left="993"/>
        <w:rPr>
          <w:szCs w:val="20"/>
          <w:lang w:val="es-CR"/>
        </w:rPr>
      </w:pPr>
      <w:r w:rsidRPr="00F74853">
        <w:rPr>
          <w:i/>
          <w:szCs w:val="20"/>
          <w:lang w:val="es-CR"/>
        </w:rPr>
        <w:t>Claudia Carillo</w:t>
      </w:r>
      <w:r w:rsidRPr="00F74853">
        <w:rPr>
          <w:szCs w:val="20"/>
          <w:lang w:val="es-CR"/>
        </w:rPr>
        <w:t>, p</w:t>
      </w:r>
      <w:r w:rsidR="00F74853" w:rsidRPr="00F74853">
        <w:rPr>
          <w:szCs w:val="20"/>
          <w:lang w:val="es-CR"/>
        </w:rPr>
        <w:t>sicóloga, quien</w:t>
      </w:r>
      <w:r w:rsidRPr="00F74853">
        <w:rPr>
          <w:szCs w:val="20"/>
          <w:lang w:val="es-CR"/>
        </w:rPr>
        <w:t xml:space="preserve"> declarará sobre los daños ocasionados a los miembros de la familia Díaz Loreto por las </w:t>
      </w:r>
      <w:r w:rsidR="00F74853" w:rsidRPr="00F74853">
        <w:rPr>
          <w:szCs w:val="20"/>
          <w:lang w:val="es-CR"/>
        </w:rPr>
        <w:t xml:space="preserve">muertes </w:t>
      </w:r>
      <w:r w:rsidRPr="00F74853">
        <w:rPr>
          <w:szCs w:val="20"/>
          <w:lang w:val="es-CR"/>
        </w:rPr>
        <w:t xml:space="preserve">del </w:t>
      </w:r>
      <w:r w:rsidR="00F74853" w:rsidRPr="00F74853">
        <w:rPr>
          <w:szCs w:val="20"/>
          <w:lang w:val="es-CR"/>
        </w:rPr>
        <w:t xml:space="preserve">señor </w:t>
      </w:r>
      <w:r w:rsidRPr="00F74853">
        <w:rPr>
          <w:szCs w:val="20"/>
          <w:lang w:val="es-CR"/>
        </w:rPr>
        <w:t>Octavio</w:t>
      </w:r>
      <w:r w:rsidR="00F74853" w:rsidRPr="00F74853">
        <w:rPr>
          <w:szCs w:val="20"/>
          <w:lang w:val="es-CR"/>
        </w:rPr>
        <w:t xml:space="preserve"> </w:t>
      </w:r>
      <w:r w:rsidRPr="00F74853">
        <w:rPr>
          <w:szCs w:val="20"/>
          <w:lang w:val="es-CR"/>
        </w:rPr>
        <w:t>Díaz Álvarez y de los hermanos Díaz Loreto; las repercusiones que los hechos tuvieron en ellos desde el pu</w:t>
      </w:r>
      <w:r w:rsidR="00F74853" w:rsidRPr="00F74853">
        <w:rPr>
          <w:szCs w:val="20"/>
          <w:lang w:val="es-CR"/>
        </w:rPr>
        <w:t xml:space="preserve">nto de vista familiar y laboral; y </w:t>
      </w:r>
      <w:r w:rsidRPr="00F74853">
        <w:rPr>
          <w:szCs w:val="20"/>
          <w:lang w:val="es-CR"/>
        </w:rPr>
        <w:t>sobre la</w:t>
      </w:r>
      <w:r w:rsidR="00F74853" w:rsidRPr="00F74853">
        <w:rPr>
          <w:szCs w:val="20"/>
          <w:lang w:val="es-CR"/>
        </w:rPr>
        <w:t xml:space="preserve"> </w:t>
      </w:r>
      <w:r w:rsidRPr="00F74853">
        <w:rPr>
          <w:szCs w:val="20"/>
          <w:lang w:val="es-CR"/>
        </w:rPr>
        <w:t xml:space="preserve">importancia de la asistencia psicológica </w:t>
      </w:r>
      <w:r w:rsidR="000778F1">
        <w:rPr>
          <w:szCs w:val="20"/>
          <w:lang w:val="es-CR"/>
        </w:rPr>
        <w:t>en sus casos.</w:t>
      </w:r>
    </w:p>
    <w:p w:rsidR="00FE127E" w:rsidRDefault="00FE127E" w:rsidP="00FE127E">
      <w:pPr>
        <w:pStyle w:val="ListParagraph"/>
        <w:widowControl w:val="0"/>
        <w:tabs>
          <w:tab w:val="left" w:pos="708"/>
        </w:tabs>
        <w:autoSpaceDE w:val="0"/>
        <w:autoSpaceDN w:val="0"/>
        <w:adjustRightInd w:val="0"/>
        <w:spacing w:before="120"/>
        <w:ind w:left="993"/>
        <w:rPr>
          <w:rFonts w:eastAsiaTheme="minorHAnsi" w:cs="Tahoma"/>
          <w:i/>
          <w:szCs w:val="20"/>
          <w:lang w:val="es-CR" w:eastAsia="en-US"/>
        </w:rPr>
      </w:pPr>
    </w:p>
    <w:p w:rsidR="00FE127E" w:rsidRDefault="00FE127E" w:rsidP="00FE127E">
      <w:pPr>
        <w:pStyle w:val="ListParagraph"/>
        <w:widowControl w:val="0"/>
        <w:tabs>
          <w:tab w:val="left" w:pos="708"/>
        </w:tabs>
        <w:autoSpaceDE w:val="0"/>
        <w:autoSpaceDN w:val="0"/>
        <w:adjustRightInd w:val="0"/>
        <w:spacing w:before="120"/>
        <w:rPr>
          <w:rFonts w:eastAsiaTheme="minorHAnsi" w:cs="Tahoma"/>
          <w:i/>
          <w:szCs w:val="20"/>
          <w:lang w:val="es-CR" w:eastAsia="en-US"/>
        </w:rPr>
      </w:pPr>
      <w:r>
        <w:rPr>
          <w:rFonts w:eastAsiaTheme="minorHAnsi" w:cs="Tahoma"/>
          <w:i/>
          <w:szCs w:val="20"/>
          <w:lang w:val="es-CR" w:eastAsia="en-US"/>
        </w:rPr>
        <w:t>(</w:t>
      </w:r>
      <w:proofErr w:type="gramStart"/>
      <w:r w:rsidRPr="00FE127E">
        <w:rPr>
          <w:bCs/>
          <w:i/>
          <w:iCs/>
          <w:szCs w:val="20"/>
          <w:lang w:val="es-CR"/>
        </w:rPr>
        <w:t>propuestos</w:t>
      </w:r>
      <w:proofErr w:type="gramEnd"/>
      <w:r>
        <w:rPr>
          <w:rFonts w:eastAsiaTheme="minorHAnsi" w:cs="Tahoma"/>
          <w:i/>
          <w:szCs w:val="20"/>
          <w:lang w:val="es-CR" w:eastAsia="en-US"/>
        </w:rPr>
        <w:t xml:space="preserve"> por el Estado)</w:t>
      </w:r>
    </w:p>
    <w:p w:rsidR="00FE127E" w:rsidRDefault="00FE127E" w:rsidP="00FE127E">
      <w:pPr>
        <w:pStyle w:val="ListParagraph"/>
        <w:widowControl w:val="0"/>
        <w:tabs>
          <w:tab w:val="left" w:pos="708"/>
        </w:tabs>
        <w:autoSpaceDE w:val="0"/>
        <w:autoSpaceDN w:val="0"/>
        <w:adjustRightInd w:val="0"/>
        <w:spacing w:before="120"/>
        <w:ind w:left="993"/>
        <w:rPr>
          <w:rFonts w:eastAsiaTheme="minorHAnsi" w:cs="Tahoma"/>
          <w:i/>
          <w:szCs w:val="20"/>
          <w:lang w:val="es-CR" w:eastAsia="en-US"/>
        </w:rPr>
      </w:pPr>
    </w:p>
    <w:p w:rsidR="00E038EC" w:rsidRPr="00E038EC" w:rsidRDefault="00EE5575" w:rsidP="00E038EC">
      <w:pPr>
        <w:pStyle w:val="ListParagraph"/>
        <w:widowControl w:val="0"/>
        <w:numPr>
          <w:ilvl w:val="1"/>
          <w:numId w:val="9"/>
        </w:numPr>
        <w:tabs>
          <w:tab w:val="left" w:pos="708"/>
        </w:tabs>
        <w:autoSpaceDE w:val="0"/>
        <w:autoSpaceDN w:val="0"/>
        <w:adjustRightInd w:val="0"/>
        <w:spacing w:before="120"/>
        <w:ind w:left="993"/>
        <w:rPr>
          <w:rFonts w:eastAsiaTheme="minorHAnsi" w:cs="Tahoma"/>
          <w:i/>
          <w:szCs w:val="20"/>
          <w:lang w:val="es-CR" w:eastAsia="en-US"/>
        </w:rPr>
      </w:pPr>
      <w:r w:rsidRPr="00E038EC">
        <w:rPr>
          <w:i/>
          <w:szCs w:val="20"/>
          <w:lang w:val="es-CR"/>
        </w:rPr>
        <w:t>Juan</w:t>
      </w:r>
      <w:r w:rsidRPr="00E038EC">
        <w:rPr>
          <w:rFonts w:eastAsiaTheme="minorHAnsi" w:cs="Tahoma"/>
          <w:i/>
          <w:szCs w:val="20"/>
          <w:lang w:val="es-CR" w:eastAsia="en-US"/>
        </w:rPr>
        <w:t xml:space="preserve"> Carlos Castro Villalobos</w:t>
      </w:r>
      <w:r w:rsidR="00E038EC" w:rsidRPr="00E038EC">
        <w:rPr>
          <w:rFonts w:eastAsiaTheme="minorHAnsi" w:cs="Tahoma"/>
          <w:i/>
          <w:szCs w:val="20"/>
          <w:lang w:val="es-CR" w:eastAsia="en-US"/>
        </w:rPr>
        <w:t>,</w:t>
      </w:r>
      <w:r w:rsidR="00E038EC" w:rsidRPr="001947A5">
        <w:rPr>
          <w:rFonts w:eastAsiaTheme="minorHAnsi" w:cs="Tahoma"/>
          <w:szCs w:val="20"/>
          <w:lang w:val="es-CR" w:eastAsia="en-US"/>
        </w:rPr>
        <w:t xml:space="preserve"> abogad</w:t>
      </w:r>
      <w:r w:rsidR="001947A5">
        <w:rPr>
          <w:rFonts w:eastAsiaTheme="minorHAnsi" w:cs="Tahoma"/>
          <w:szCs w:val="20"/>
          <w:lang w:val="es-CR" w:eastAsia="en-US"/>
        </w:rPr>
        <w:t>o</w:t>
      </w:r>
      <w:r w:rsidR="00E038EC" w:rsidRPr="001947A5">
        <w:rPr>
          <w:rFonts w:eastAsiaTheme="minorHAnsi" w:cs="Tahoma"/>
          <w:szCs w:val="20"/>
          <w:lang w:val="es-CR" w:eastAsia="en-US"/>
        </w:rPr>
        <w:t>, quien declarará sobre las modalidades y patrones característicos de actuación evidenciados en los casos de ejecuciones arbitrarias denunciados en Venezuela y su relación con los hechos del presente caso</w:t>
      </w:r>
      <w:r w:rsidR="000778F1">
        <w:rPr>
          <w:rFonts w:eastAsiaTheme="minorHAnsi" w:cs="Tahoma"/>
          <w:szCs w:val="20"/>
          <w:lang w:val="es-CR" w:eastAsia="en-US"/>
        </w:rPr>
        <w:t>.</w:t>
      </w:r>
    </w:p>
    <w:p w:rsidR="00E038EC" w:rsidRPr="00E038EC" w:rsidRDefault="00E038EC" w:rsidP="00E038EC">
      <w:pPr>
        <w:pStyle w:val="ListParagraph"/>
        <w:widowControl w:val="0"/>
        <w:tabs>
          <w:tab w:val="left" w:pos="708"/>
        </w:tabs>
        <w:autoSpaceDE w:val="0"/>
        <w:autoSpaceDN w:val="0"/>
        <w:adjustRightInd w:val="0"/>
        <w:spacing w:before="120"/>
        <w:ind w:left="993"/>
        <w:rPr>
          <w:rFonts w:eastAsiaTheme="minorHAnsi" w:cs="Tahoma"/>
          <w:i/>
          <w:szCs w:val="20"/>
          <w:lang w:val="es-CR" w:eastAsia="en-US"/>
        </w:rPr>
      </w:pPr>
    </w:p>
    <w:p w:rsidR="00E038EC" w:rsidRPr="001947A5" w:rsidRDefault="00EE5575" w:rsidP="001947A5">
      <w:pPr>
        <w:pStyle w:val="ListParagraph"/>
        <w:widowControl w:val="0"/>
        <w:numPr>
          <w:ilvl w:val="1"/>
          <w:numId w:val="9"/>
        </w:numPr>
        <w:tabs>
          <w:tab w:val="left" w:pos="708"/>
        </w:tabs>
        <w:autoSpaceDE w:val="0"/>
        <w:autoSpaceDN w:val="0"/>
        <w:adjustRightInd w:val="0"/>
        <w:spacing w:before="120"/>
        <w:ind w:left="993"/>
        <w:rPr>
          <w:rFonts w:eastAsiaTheme="minorHAnsi" w:cs="Tahoma"/>
          <w:szCs w:val="20"/>
          <w:lang w:val="es-CR" w:eastAsia="en-US"/>
        </w:rPr>
      </w:pPr>
      <w:r w:rsidRPr="001947A5">
        <w:rPr>
          <w:i/>
          <w:szCs w:val="20"/>
          <w:lang w:val="es-CR"/>
        </w:rPr>
        <w:t>Ana</w:t>
      </w:r>
      <w:r w:rsidRPr="001947A5">
        <w:rPr>
          <w:rFonts w:eastAsiaTheme="minorHAnsi" w:cs="Tahoma"/>
          <w:i/>
          <w:szCs w:val="20"/>
          <w:lang w:val="es-CR" w:eastAsia="en-US"/>
        </w:rPr>
        <w:t xml:space="preserve"> Cristina Bracho</w:t>
      </w:r>
      <w:r w:rsidR="00E038EC" w:rsidRPr="001947A5">
        <w:rPr>
          <w:rFonts w:eastAsiaTheme="minorHAnsi" w:cs="Tahoma"/>
          <w:i/>
          <w:szCs w:val="20"/>
          <w:lang w:val="es-CR" w:eastAsia="en-US"/>
        </w:rPr>
        <w:t xml:space="preserve">, </w:t>
      </w:r>
      <w:r w:rsidR="001947A5" w:rsidRPr="001947A5">
        <w:rPr>
          <w:rFonts w:eastAsiaTheme="minorHAnsi" w:cs="Tahoma"/>
          <w:szCs w:val="20"/>
          <w:lang w:val="es-CR" w:eastAsia="en-US"/>
        </w:rPr>
        <w:t>a</w:t>
      </w:r>
      <w:r w:rsidR="00E038EC" w:rsidRPr="001947A5">
        <w:rPr>
          <w:rFonts w:eastAsiaTheme="minorHAnsi" w:cs="Tahoma"/>
          <w:szCs w:val="20"/>
          <w:lang w:val="es-CR" w:eastAsia="en-US"/>
        </w:rPr>
        <w:t>bogada</w:t>
      </w:r>
      <w:r w:rsidR="001947A5" w:rsidRPr="001947A5">
        <w:rPr>
          <w:rFonts w:eastAsiaTheme="minorHAnsi" w:cs="Tahoma"/>
          <w:szCs w:val="20"/>
          <w:lang w:val="es-CR" w:eastAsia="en-US"/>
        </w:rPr>
        <w:t xml:space="preserve">, quien declarará </w:t>
      </w:r>
      <w:r w:rsidR="00E038EC" w:rsidRPr="001947A5">
        <w:rPr>
          <w:rFonts w:eastAsiaTheme="minorHAnsi" w:cs="Tahoma"/>
          <w:szCs w:val="20"/>
          <w:lang w:val="es-CR" w:eastAsia="en-US"/>
        </w:rPr>
        <w:t>sobre el</w:t>
      </w:r>
      <w:r w:rsidR="001947A5" w:rsidRPr="001947A5">
        <w:rPr>
          <w:rFonts w:eastAsiaTheme="minorHAnsi" w:cs="Tahoma"/>
          <w:szCs w:val="20"/>
          <w:lang w:val="es-CR" w:eastAsia="en-US"/>
        </w:rPr>
        <w:t xml:space="preserve"> </w:t>
      </w:r>
      <w:r w:rsidR="00E038EC" w:rsidRPr="001947A5">
        <w:rPr>
          <w:rFonts w:eastAsiaTheme="minorHAnsi" w:cs="Tahoma"/>
          <w:szCs w:val="20"/>
          <w:lang w:val="es-CR" w:eastAsia="en-US"/>
        </w:rPr>
        <w:t>proceso de implementación de la reforma procesal realizado en Venezuela a partir</w:t>
      </w:r>
      <w:r w:rsidR="001947A5" w:rsidRPr="001947A5">
        <w:rPr>
          <w:rFonts w:eastAsiaTheme="minorHAnsi" w:cs="Tahoma"/>
          <w:szCs w:val="20"/>
          <w:lang w:val="es-CR" w:eastAsia="en-US"/>
        </w:rPr>
        <w:t xml:space="preserve"> </w:t>
      </w:r>
      <w:r w:rsidR="00E038EC" w:rsidRPr="001947A5">
        <w:rPr>
          <w:rFonts w:eastAsiaTheme="minorHAnsi" w:cs="Tahoma"/>
          <w:szCs w:val="20"/>
          <w:lang w:val="es-CR" w:eastAsia="en-US"/>
        </w:rPr>
        <w:t>de la aprobación del Código Orgánico Procesal Penal y las dificultades</w:t>
      </w:r>
      <w:r w:rsidR="001947A5" w:rsidRPr="001947A5">
        <w:rPr>
          <w:rFonts w:eastAsiaTheme="minorHAnsi" w:cs="Tahoma"/>
          <w:szCs w:val="20"/>
          <w:lang w:val="es-CR" w:eastAsia="en-US"/>
        </w:rPr>
        <w:t xml:space="preserve"> </w:t>
      </w:r>
      <w:r w:rsidR="00E038EC" w:rsidRPr="001947A5">
        <w:rPr>
          <w:rFonts w:eastAsiaTheme="minorHAnsi" w:cs="Tahoma"/>
          <w:szCs w:val="20"/>
          <w:lang w:val="es-CR" w:eastAsia="en-US"/>
        </w:rPr>
        <w:t>evidenciadas para la constitución de los tribunales con jurados y tribunales mixtos</w:t>
      </w:r>
      <w:r w:rsidR="001947A5" w:rsidRPr="001947A5">
        <w:rPr>
          <w:rFonts w:eastAsiaTheme="minorHAnsi" w:cs="Tahoma"/>
          <w:szCs w:val="20"/>
          <w:lang w:val="es-CR" w:eastAsia="en-US"/>
        </w:rPr>
        <w:t xml:space="preserve"> </w:t>
      </w:r>
      <w:r w:rsidR="00E038EC" w:rsidRPr="001947A5">
        <w:rPr>
          <w:rFonts w:eastAsiaTheme="minorHAnsi" w:cs="Tahoma"/>
          <w:szCs w:val="20"/>
          <w:lang w:val="es-CR" w:eastAsia="en-US"/>
        </w:rPr>
        <w:t xml:space="preserve">en </w:t>
      </w:r>
      <w:r w:rsidR="001947A5" w:rsidRPr="001947A5">
        <w:rPr>
          <w:rFonts w:eastAsiaTheme="minorHAnsi" w:cs="Tahoma"/>
          <w:szCs w:val="20"/>
          <w:lang w:val="es-CR" w:eastAsia="en-US"/>
        </w:rPr>
        <w:t xml:space="preserve">el </w:t>
      </w:r>
      <w:r w:rsidR="000778F1">
        <w:rPr>
          <w:rFonts w:eastAsiaTheme="minorHAnsi" w:cs="Tahoma"/>
          <w:szCs w:val="20"/>
          <w:lang w:val="es-CR" w:eastAsia="en-US"/>
        </w:rPr>
        <w:t xml:space="preserve">país, así como sobre </w:t>
      </w:r>
      <w:r w:rsidR="00E038EC" w:rsidRPr="001947A5">
        <w:rPr>
          <w:rFonts w:eastAsiaTheme="minorHAnsi" w:cs="Tahoma"/>
          <w:szCs w:val="20"/>
          <w:lang w:val="es-CR" w:eastAsia="en-US"/>
        </w:rPr>
        <w:t>la regulación de la figura de la flagrancia</w:t>
      </w:r>
      <w:r w:rsidR="001947A5" w:rsidRPr="001947A5">
        <w:rPr>
          <w:rFonts w:eastAsiaTheme="minorHAnsi" w:cs="Tahoma"/>
          <w:szCs w:val="20"/>
          <w:lang w:val="es-CR" w:eastAsia="en-US"/>
        </w:rPr>
        <w:t xml:space="preserve"> </w:t>
      </w:r>
      <w:r w:rsidR="00E038EC" w:rsidRPr="001947A5">
        <w:rPr>
          <w:rFonts w:eastAsiaTheme="minorHAnsi" w:cs="Tahoma"/>
          <w:szCs w:val="20"/>
          <w:lang w:val="es-CR" w:eastAsia="en-US"/>
        </w:rPr>
        <w:t>en el ordenamiento jurídico venezolano y su compatibilidad con los estándares</w:t>
      </w:r>
      <w:r w:rsidR="001947A5" w:rsidRPr="001947A5">
        <w:rPr>
          <w:rFonts w:eastAsiaTheme="minorHAnsi" w:cs="Tahoma"/>
          <w:szCs w:val="20"/>
          <w:lang w:val="es-CR" w:eastAsia="en-US"/>
        </w:rPr>
        <w:t xml:space="preserve"> </w:t>
      </w:r>
      <w:r w:rsidR="00E038EC" w:rsidRPr="001947A5">
        <w:rPr>
          <w:rFonts w:eastAsiaTheme="minorHAnsi" w:cs="Tahoma"/>
          <w:szCs w:val="20"/>
          <w:lang w:val="es-CR" w:eastAsia="en-US"/>
        </w:rPr>
        <w:t>internacionales de derechos humanos</w:t>
      </w:r>
      <w:r w:rsidR="000778F1">
        <w:rPr>
          <w:rFonts w:eastAsiaTheme="minorHAnsi" w:cs="Tahoma"/>
          <w:szCs w:val="20"/>
          <w:lang w:val="es-CR" w:eastAsia="en-US"/>
        </w:rPr>
        <w:t>.</w:t>
      </w:r>
    </w:p>
    <w:p w:rsidR="00E038EC" w:rsidRDefault="00E038EC" w:rsidP="00FE127E">
      <w:pPr>
        <w:pStyle w:val="ListParagraph"/>
        <w:widowControl w:val="0"/>
        <w:tabs>
          <w:tab w:val="left" w:pos="708"/>
        </w:tabs>
        <w:autoSpaceDE w:val="0"/>
        <w:autoSpaceDN w:val="0"/>
        <w:adjustRightInd w:val="0"/>
        <w:spacing w:before="120"/>
        <w:ind w:left="993"/>
        <w:rPr>
          <w:rFonts w:eastAsiaTheme="minorHAnsi" w:cs="Tahoma"/>
          <w:i/>
          <w:szCs w:val="20"/>
          <w:lang w:val="es-CR" w:eastAsia="en-US"/>
        </w:rPr>
      </w:pPr>
    </w:p>
    <w:p w:rsidR="00FE127E" w:rsidRDefault="00FE127E" w:rsidP="00FE127E">
      <w:pPr>
        <w:pStyle w:val="ListParagraph"/>
        <w:widowControl w:val="0"/>
        <w:tabs>
          <w:tab w:val="left" w:pos="708"/>
        </w:tabs>
        <w:autoSpaceDE w:val="0"/>
        <w:autoSpaceDN w:val="0"/>
        <w:adjustRightInd w:val="0"/>
        <w:spacing w:before="120"/>
        <w:rPr>
          <w:rFonts w:eastAsiaTheme="minorHAnsi" w:cs="Tahoma"/>
          <w:i/>
          <w:szCs w:val="20"/>
          <w:lang w:val="es-CR" w:eastAsia="en-US"/>
        </w:rPr>
      </w:pPr>
      <w:r>
        <w:rPr>
          <w:rFonts w:eastAsiaTheme="minorHAnsi" w:cs="Tahoma"/>
          <w:i/>
          <w:szCs w:val="20"/>
          <w:lang w:val="es-CR" w:eastAsia="en-US"/>
        </w:rPr>
        <w:t>(</w:t>
      </w:r>
      <w:proofErr w:type="gramStart"/>
      <w:r w:rsidRPr="00FE127E">
        <w:rPr>
          <w:bCs/>
          <w:i/>
          <w:iCs/>
          <w:szCs w:val="20"/>
          <w:lang w:val="es-CR"/>
        </w:rPr>
        <w:t>propuesto</w:t>
      </w:r>
      <w:proofErr w:type="gramEnd"/>
      <w:r>
        <w:rPr>
          <w:rFonts w:eastAsiaTheme="minorHAnsi" w:cs="Tahoma"/>
          <w:i/>
          <w:szCs w:val="20"/>
          <w:lang w:val="es-CR" w:eastAsia="en-US"/>
        </w:rPr>
        <w:t xml:space="preserve"> por la Comisión)</w:t>
      </w:r>
    </w:p>
    <w:p w:rsidR="00FE127E" w:rsidRDefault="00FE127E" w:rsidP="00FE127E">
      <w:pPr>
        <w:pStyle w:val="ListParagraph"/>
        <w:widowControl w:val="0"/>
        <w:tabs>
          <w:tab w:val="left" w:pos="708"/>
        </w:tabs>
        <w:autoSpaceDE w:val="0"/>
        <w:autoSpaceDN w:val="0"/>
        <w:adjustRightInd w:val="0"/>
        <w:spacing w:before="120"/>
        <w:ind w:left="993"/>
        <w:rPr>
          <w:rFonts w:eastAsiaTheme="minorHAnsi" w:cs="Tahoma"/>
          <w:i/>
          <w:szCs w:val="20"/>
          <w:lang w:val="es-CR" w:eastAsia="en-US"/>
        </w:rPr>
      </w:pPr>
    </w:p>
    <w:p w:rsidR="00BC138A" w:rsidRPr="00FE127E" w:rsidRDefault="00FE127E" w:rsidP="00F74853">
      <w:pPr>
        <w:pStyle w:val="ListParagraph"/>
        <w:widowControl w:val="0"/>
        <w:numPr>
          <w:ilvl w:val="1"/>
          <w:numId w:val="9"/>
        </w:numPr>
        <w:tabs>
          <w:tab w:val="left" w:pos="708"/>
        </w:tabs>
        <w:autoSpaceDE w:val="0"/>
        <w:autoSpaceDN w:val="0"/>
        <w:adjustRightInd w:val="0"/>
        <w:spacing w:before="120"/>
        <w:ind w:left="993"/>
        <w:rPr>
          <w:rFonts w:eastAsiaTheme="minorHAnsi" w:cs="Tahoma"/>
          <w:i/>
          <w:szCs w:val="20"/>
          <w:lang w:val="es-CR" w:eastAsia="en-US"/>
        </w:rPr>
      </w:pPr>
      <w:r w:rsidRPr="00F74853">
        <w:rPr>
          <w:i/>
          <w:szCs w:val="20"/>
          <w:lang w:val="es-CR"/>
        </w:rPr>
        <w:t>Camilo</w:t>
      </w:r>
      <w:r w:rsidRPr="00FE127E">
        <w:rPr>
          <w:rFonts w:eastAsiaTheme="minorHAnsi" w:cs="Tahoma"/>
          <w:i/>
          <w:szCs w:val="20"/>
          <w:lang w:val="es-CR" w:eastAsia="en-US"/>
        </w:rPr>
        <w:t xml:space="preserve"> Ernesto Bernal Sarmiento</w:t>
      </w:r>
      <w:r w:rsidR="001947A5">
        <w:rPr>
          <w:rFonts w:eastAsiaTheme="minorHAnsi" w:cs="Tahoma"/>
          <w:i/>
          <w:szCs w:val="20"/>
          <w:lang w:val="es-CR" w:eastAsia="en-US"/>
        </w:rPr>
        <w:t xml:space="preserve">, </w:t>
      </w:r>
      <w:r w:rsidR="001947A5" w:rsidRPr="001947A5">
        <w:rPr>
          <w:rFonts w:eastAsiaTheme="minorHAnsi" w:cs="Tahoma"/>
          <w:szCs w:val="20"/>
          <w:lang w:val="es-CR" w:eastAsia="en-US"/>
        </w:rPr>
        <w:t>abogado</w:t>
      </w:r>
      <w:r w:rsidR="001947A5">
        <w:rPr>
          <w:rFonts w:eastAsiaTheme="minorHAnsi" w:cs="Tahoma"/>
          <w:szCs w:val="20"/>
          <w:lang w:val="es-CR" w:eastAsia="en-US"/>
        </w:rPr>
        <w:t>, quien declarará sobre las obligaciones estatales para responder a contextos generales de ejecuciones extrajudiciales, desde una perspectiva integral, que incluya tanto el actuar de los funcionarios de seguridad inv</w:t>
      </w:r>
      <w:r w:rsidR="000778F1">
        <w:rPr>
          <w:rFonts w:eastAsiaTheme="minorHAnsi" w:cs="Tahoma"/>
          <w:szCs w:val="20"/>
          <w:lang w:val="es-CR" w:eastAsia="en-US"/>
        </w:rPr>
        <w:t>olucrados directamente</w:t>
      </w:r>
      <w:r w:rsidR="001947A5">
        <w:rPr>
          <w:rFonts w:eastAsiaTheme="minorHAnsi" w:cs="Tahoma"/>
          <w:szCs w:val="20"/>
          <w:lang w:val="es-CR" w:eastAsia="en-US"/>
        </w:rPr>
        <w:t xml:space="preserve"> como la respuesta investigativa e institucional </w:t>
      </w:r>
      <w:r w:rsidR="000778F1">
        <w:rPr>
          <w:rFonts w:eastAsiaTheme="minorHAnsi" w:cs="Tahoma"/>
          <w:szCs w:val="20"/>
          <w:lang w:val="es-CR" w:eastAsia="en-US"/>
        </w:rPr>
        <w:t>debida</w:t>
      </w:r>
      <w:r w:rsidR="001947A5">
        <w:rPr>
          <w:rFonts w:eastAsiaTheme="minorHAnsi" w:cs="Tahoma"/>
          <w:szCs w:val="20"/>
          <w:lang w:val="es-CR" w:eastAsia="en-US"/>
        </w:rPr>
        <w:t xml:space="preserve"> para enfrentar los diferentes elementos que favorecen la existencia y permanencia de problemáticas de esta naturales. En particular, se referirá a las obligaciones de los Estados frente a </w:t>
      </w:r>
      <w:r w:rsidR="001947A5">
        <w:rPr>
          <w:rFonts w:eastAsiaTheme="minorHAnsi" w:cs="Tahoma"/>
          <w:szCs w:val="20"/>
          <w:lang w:val="es-CR" w:eastAsia="en-US"/>
        </w:rPr>
        <w:lastRenderedPageBreak/>
        <w:t xml:space="preserve">la identificación de una situación estructural de impunidad que afecta de manera desproporcionada este tipo de casos, la identificación de sus causas y consecuencias, así como el impacto que tiene en las perspectivas de obtención de justicia para las víctimas de ese tipo de hechos. </w:t>
      </w:r>
    </w:p>
    <w:p w:rsidR="00EE5575" w:rsidRDefault="00EE5575" w:rsidP="00EE5575">
      <w:pPr>
        <w:pStyle w:val="ListParagraph"/>
        <w:widowControl w:val="0"/>
        <w:tabs>
          <w:tab w:val="left" w:pos="708"/>
        </w:tabs>
        <w:autoSpaceDE w:val="0"/>
        <w:autoSpaceDN w:val="0"/>
        <w:adjustRightInd w:val="0"/>
        <w:spacing w:before="120"/>
        <w:ind w:left="0"/>
        <w:contextualSpacing w:val="0"/>
        <w:rPr>
          <w:szCs w:val="20"/>
          <w:lang w:val="es-CR"/>
        </w:rPr>
      </w:pPr>
      <w:bookmarkStart w:id="12" w:name="_Ref393464381"/>
    </w:p>
    <w:p w:rsidR="001947A5" w:rsidRPr="00467AA1" w:rsidRDefault="001947A5" w:rsidP="001947A5">
      <w:pPr>
        <w:pStyle w:val="ListParagraph"/>
        <w:widowControl w:val="0"/>
        <w:numPr>
          <w:ilvl w:val="0"/>
          <w:numId w:val="6"/>
        </w:numPr>
        <w:tabs>
          <w:tab w:val="left" w:pos="708"/>
        </w:tabs>
        <w:autoSpaceDE w:val="0"/>
        <w:autoSpaceDN w:val="0"/>
        <w:adjustRightInd w:val="0"/>
        <w:spacing w:before="120"/>
        <w:ind w:left="0" w:firstLine="0"/>
        <w:contextualSpacing w:val="0"/>
        <w:rPr>
          <w:color w:val="000000"/>
          <w:szCs w:val="20"/>
          <w:lang w:val="es-CR"/>
        </w:rPr>
      </w:pPr>
      <w:r w:rsidRPr="00467AA1">
        <w:rPr>
          <w:color w:val="000000"/>
          <w:szCs w:val="20"/>
          <w:lang w:val="es-CR"/>
        </w:rPr>
        <w:t>Requerir a los representantes</w:t>
      </w:r>
      <w:r>
        <w:rPr>
          <w:color w:val="000000"/>
          <w:szCs w:val="20"/>
          <w:lang w:val="es-CR"/>
        </w:rPr>
        <w:t>, al Estado y a</w:t>
      </w:r>
      <w:r w:rsidRPr="00467AA1">
        <w:rPr>
          <w:color w:val="000000"/>
          <w:szCs w:val="20"/>
          <w:lang w:val="es-CR"/>
        </w:rPr>
        <w:t xml:space="preserve"> la Comisión Interamericana que notifiquen la presente Resolución a las personas por ellos propuestas, que han sido convocadas a rendir declaración, de conformidad con lo dispuesto en los artículos 50.2 y 50.4 del Reglamento.</w:t>
      </w:r>
    </w:p>
    <w:p w:rsidR="00B10675" w:rsidRPr="00467AA1" w:rsidRDefault="00B10675" w:rsidP="00B10675">
      <w:pPr>
        <w:pStyle w:val="ListParagraph"/>
        <w:widowControl w:val="0"/>
        <w:numPr>
          <w:ilvl w:val="0"/>
          <w:numId w:val="6"/>
        </w:numPr>
        <w:tabs>
          <w:tab w:val="left" w:pos="708"/>
        </w:tabs>
        <w:autoSpaceDE w:val="0"/>
        <w:autoSpaceDN w:val="0"/>
        <w:adjustRightInd w:val="0"/>
        <w:spacing w:before="120"/>
        <w:ind w:left="0" w:firstLine="0"/>
        <w:contextualSpacing w:val="0"/>
        <w:rPr>
          <w:szCs w:val="20"/>
          <w:lang w:val="es-CR"/>
        </w:rPr>
      </w:pPr>
      <w:r w:rsidRPr="00467AA1">
        <w:rPr>
          <w:szCs w:val="20"/>
          <w:lang w:val="es-CR"/>
        </w:rPr>
        <w:t xml:space="preserve">Requerir </w:t>
      </w:r>
      <w:r w:rsidR="00467AA1" w:rsidRPr="00467AA1">
        <w:rPr>
          <w:szCs w:val="20"/>
          <w:lang w:val="es-CR"/>
        </w:rPr>
        <w:t>al Estado</w:t>
      </w:r>
      <w:r w:rsidR="001947A5">
        <w:rPr>
          <w:szCs w:val="20"/>
          <w:lang w:val="es-CR"/>
        </w:rPr>
        <w:t xml:space="preserve"> y a los representantes</w:t>
      </w:r>
      <w:r w:rsidRPr="00467AA1">
        <w:rPr>
          <w:szCs w:val="20"/>
          <w:lang w:val="es-CR"/>
        </w:rPr>
        <w:t xml:space="preserve"> que remita</w:t>
      </w:r>
      <w:r w:rsidR="001947A5">
        <w:rPr>
          <w:szCs w:val="20"/>
          <w:lang w:val="es-CR"/>
        </w:rPr>
        <w:t>n</w:t>
      </w:r>
      <w:r w:rsidRPr="00467AA1">
        <w:rPr>
          <w:szCs w:val="20"/>
          <w:lang w:val="es-CR"/>
        </w:rPr>
        <w:t>, de considerarlo pertinente, en lo que le</w:t>
      </w:r>
      <w:r w:rsidR="001947A5">
        <w:rPr>
          <w:szCs w:val="20"/>
          <w:lang w:val="es-CR"/>
        </w:rPr>
        <w:t>s</w:t>
      </w:r>
      <w:r w:rsidRPr="00467AA1">
        <w:rPr>
          <w:szCs w:val="20"/>
          <w:lang w:val="es-CR"/>
        </w:rPr>
        <w:t xml:space="preserve"> corresponda y en el plazo improrrogable que vence el </w:t>
      </w:r>
      <w:r w:rsidR="00DE35FD">
        <w:rPr>
          <w:szCs w:val="20"/>
          <w:lang w:val="es-CR"/>
        </w:rPr>
        <w:t>1</w:t>
      </w:r>
      <w:r w:rsidR="000778F1">
        <w:rPr>
          <w:szCs w:val="20"/>
          <w:lang w:val="es-CR"/>
        </w:rPr>
        <w:t>7</w:t>
      </w:r>
      <w:r w:rsidR="00DE35FD">
        <w:rPr>
          <w:szCs w:val="20"/>
          <w:lang w:val="es-CR"/>
        </w:rPr>
        <w:t xml:space="preserve"> de diciembre </w:t>
      </w:r>
      <w:r w:rsidRPr="00467AA1">
        <w:rPr>
          <w:szCs w:val="20"/>
          <w:lang w:val="es-CR"/>
        </w:rPr>
        <w:t xml:space="preserve">de </w:t>
      </w:r>
      <w:r w:rsidR="00604A32" w:rsidRPr="00467AA1">
        <w:rPr>
          <w:szCs w:val="20"/>
          <w:lang w:val="es-CR"/>
        </w:rPr>
        <w:t>2018</w:t>
      </w:r>
      <w:r w:rsidRPr="00467AA1">
        <w:rPr>
          <w:szCs w:val="20"/>
          <w:lang w:val="es-CR"/>
        </w:rPr>
        <w:t xml:space="preserve">, las preguntas </w:t>
      </w:r>
      <w:r w:rsidRPr="00467AA1">
        <w:rPr>
          <w:rFonts w:eastAsiaTheme="minorHAnsi" w:cs="Verdana"/>
          <w:color w:val="000000"/>
          <w:szCs w:val="20"/>
          <w:lang w:val="es-CR" w:eastAsia="en-US"/>
        </w:rPr>
        <w:t>que</w:t>
      </w:r>
      <w:r w:rsidRPr="00467AA1">
        <w:rPr>
          <w:szCs w:val="20"/>
          <w:lang w:val="es-CR"/>
        </w:rPr>
        <w:t xml:space="preserve"> estimen pertinentes formular a través de la Corte Interamericana a</w:t>
      </w:r>
      <w:r w:rsidR="00DE35FD">
        <w:rPr>
          <w:szCs w:val="20"/>
          <w:lang w:val="es-CR"/>
        </w:rPr>
        <w:t xml:space="preserve"> </w:t>
      </w:r>
      <w:r w:rsidRPr="00467AA1">
        <w:rPr>
          <w:szCs w:val="20"/>
          <w:lang w:val="es-CR"/>
        </w:rPr>
        <w:t>l</w:t>
      </w:r>
      <w:r w:rsidR="00DE35FD">
        <w:rPr>
          <w:szCs w:val="20"/>
          <w:lang w:val="es-CR"/>
        </w:rPr>
        <w:t xml:space="preserve">as presuntas víctimas, </w:t>
      </w:r>
      <w:r w:rsidRPr="00467AA1">
        <w:rPr>
          <w:szCs w:val="20"/>
          <w:lang w:val="es-CR"/>
        </w:rPr>
        <w:t>testigo</w:t>
      </w:r>
      <w:r w:rsidR="00DE35FD">
        <w:rPr>
          <w:szCs w:val="20"/>
          <w:lang w:val="es-CR"/>
        </w:rPr>
        <w:t>s</w:t>
      </w:r>
      <w:r w:rsidRPr="00467AA1">
        <w:rPr>
          <w:szCs w:val="20"/>
          <w:lang w:val="es-CR"/>
        </w:rPr>
        <w:t xml:space="preserve"> y perito</w:t>
      </w:r>
      <w:r w:rsidR="00DE35FD">
        <w:rPr>
          <w:szCs w:val="20"/>
          <w:lang w:val="es-CR"/>
        </w:rPr>
        <w:t>s</w:t>
      </w:r>
      <w:r w:rsidRPr="00467AA1">
        <w:rPr>
          <w:szCs w:val="20"/>
          <w:lang w:val="es-CR"/>
        </w:rPr>
        <w:t xml:space="preserve"> indicados en el punto resolutivo 4 de la presente Resolución. </w:t>
      </w:r>
      <w:bookmarkEnd w:id="12"/>
    </w:p>
    <w:p w:rsidR="00B10675" w:rsidRPr="00467AA1" w:rsidRDefault="00B10675" w:rsidP="00B10675">
      <w:pPr>
        <w:pStyle w:val="ListParagraph"/>
        <w:widowControl w:val="0"/>
        <w:numPr>
          <w:ilvl w:val="0"/>
          <w:numId w:val="6"/>
        </w:numPr>
        <w:tabs>
          <w:tab w:val="left" w:pos="708"/>
        </w:tabs>
        <w:autoSpaceDE w:val="0"/>
        <w:autoSpaceDN w:val="0"/>
        <w:adjustRightInd w:val="0"/>
        <w:spacing w:before="120"/>
        <w:ind w:left="0" w:firstLine="0"/>
        <w:contextualSpacing w:val="0"/>
        <w:rPr>
          <w:szCs w:val="20"/>
          <w:lang w:val="es-CR"/>
        </w:rPr>
      </w:pPr>
      <w:r w:rsidRPr="00467AA1">
        <w:rPr>
          <w:szCs w:val="20"/>
          <w:lang w:val="es-CR"/>
        </w:rPr>
        <w:t xml:space="preserve">Requerir a </w:t>
      </w:r>
      <w:r w:rsidR="00DE35FD">
        <w:rPr>
          <w:color w:val="000000"/>
          <w:szCs w:val="20"/>
          <w:lang w:val="es-CR"/>
        </w:rPr>
        <w:t xml:space="preserve">los representantes, al Estado y a la Comisión </w:t>
      </w:r>
      <w:r w:rsidRPr="00467AA1">
        <w:rPr>
          <w:color w:val="000000"/>
          <w:szCs w:val="20"/>
          <w:lang w:val="es-CR"/>
        </w:rPr>
        <w:t>q</w:t>
      </w:r>
      <w:r w:rsidRPr="00467AA1">
        <w:rPr>
          <w:szCs w:val="20"/>
          <w:lang w:val="es-CR"/>
        </w:rPr>
        <w:t xml:space="preserve">ue coordinen y realicen las diligencias necesarias para que, una vez recibidas las preguntas, si las hubiere, los declarantes propuestos incluyan las respuestas en sus respectivas declaraciones </w:t>
      </w:r>
      <w:r w:rsidR="000265F4">
        <w:rPr>
          <w:szCs w:val="20"/>
          <w:lang w:val="es-CR"/>
        </w:rPr>
        <w:t>y dictámenes</w:t>
      </w:r>
      <w:r w:rsidRPr="00467AA1">
        <w:rPr>
          <w:szCs w:val="20"/>
          <w:lang w:val="es-CR"/>
        </w:rPr>
        <w:t xml:space="preserve">, </w:t>
      </w:r>
      <w:r w:rsidR="00DE35FD">
        <w:rPr>
          <w:lang w:val="es-ES"/>
        </w:rPr>
        <w:t>salvo que el Presidente disponga lo contrario cuando la Secretaría de la Corte las transmita</w:t>
      </w:r>
      <w:r w:rsidRPr="00467AA1">
        <w:rPr>
          <w:szCs w:val="20"/>
          <w:lang w:val="es-CR"/>
        </w:rPr>
        <w:t xml:space="preserve">. </w:t>
      </w:r>
      <w:r w:rsidR="00DE35FD" w:rsidRPr="00467AA1">
        <w:rPr>
          <w:szCs w:val="20"/>
          <w:lang w:val="es-CR"/>
        </w:rPr>
        <w:t xml:space="preserve">Las declaraciones requeridas deberán ser presentados al Tribunal a más tardar el </w:t>
      </w:r>
      <w:r w:rsidR="00DE35FD">
        <w:rPr>
          <w:szCs w:val="20"/>
          <w:lang w:val="es-CR"/>
        </w:rPr>
        <w:t>11 de enero de 2019</w:t>
      </w:r>
      <w:r w:rsidR="00DE35FD" w:rsidRPr="00467AA1">
        <w:rPr>
          <w:szCs w:val="20"/>
          <w:lang w:val="es-CR"/>
        </w:rPr>
        <w:t>.</w:t>
      </w:r>
    </w:p>
    <w:p w:rsidR="00B10675" w:rsidRPr="00467AA1" w:rsidRDefault="000265F4" w:rsidP="00B10675">
      <w:pPr>
        <w:pStyle w:val="ListParagraph"/>
        <w:widowControl w:val="0"/>
        <w:numPr>
          <w:ilvl w:val="0"/>
          <w:numId w:val="6"/>
        </w:numPr>
        <w:tabs>
          <w:tab w:val="left" w:pos="708"/>
        </w:tabs>
        <w:autoSpaceDE w:val="0"/>
        <w:autoSpaceDN w:val="0"/>
        <w:adjustRightInd w:val="0"/>
        <w:spacing w:before="120"/>
        <w:ind w:left="0" w:firstLine="0"/>
        <w:contextualSpacing w:val="0"/>
        <w:rPr>
          <w:szCs w:val="20"/>
          <w:lang w:val="es-CR"/>
        </w:rPr>
      </w:pPr>
      <w:r>
        <w:rPr>
          <w:szCs w:val="20"/>
          <w:lang w:val="es-CR"/>
        </w:rPr>
        <w:t xml:space="preserve">Disponer que, </w:t>
      </w:r>
      <w:r>
        <w:rPr>
          <w:lang w:val="es-CR"/>
        </w:rPr>
        <w:t xml:space="preserve">conforme al artículo 50.6 del Reglamento, </w:t>
      </w:r>
      <w:r>
        <w:rPr>
          <w:szCs w:val="20"/>
          <w:lang w:val="es-CR"/>
        </w:rPr>
        <w:t>una vez recibida</w:t>
      </w:r>
      <w:r w:rsidR="00B10675" w:rsidRPr="00467AA1">
        <w:rPr>
          <w:szCs w:val="20"/>
          <w:lang w:val="es-CR"/>
        </w:rPr>
        <w:t>s las declaraciones requerid</w:t>
      </w:r>
      <w:r w:rsidR="00A83B21" w:rsidRPr="00467AA1">
        <w:rPr>
          <w:szCs w:val="20"/>
          <w:lang w:val="es-CR"/>
        </w:rPr>
        <w:t>a</w:t>
      </w:r>
      <w:r w:rsidR="00B10675" w:rsidRPr="00467AA1">
        <w:rPr>
          <w:szCs w:val="20"/>
          <w:lang w:val="es-CR"/>
        </w:rPr>
        <w:t xml:space="preserve">s en el punto resolutivo 4, la Secretaría de la Corte </w:t>
      </w:r>
      <w:r w:rsidR="00DE35FD">
        <w:rPr>
          <w:szCs w:val="20"/>
          <w:lang w:val="es-CR"/>
        </w:rPr>
        <w:t>la</w:t>
      </w:r>
      <w:r w:rsidR="00B10675" w:rsidRPr="00467AA1">
        <w:rPr>
          <w:szCs w:val="20"/>
          <w:lang w:val="es-CR"/>
        </w:rPr>
        <w:t>s transmita a</w:t>
      </w:r>
      <w:r w:rsidR="00DE35FD">
        <w:rPr>
          <w:szCs w:val="20"/>
          <w:lang w:val="es-CR"/>
        </w:rPr>
        <w:t xml:space="preserve"> los representantes, a</w:t>
      </w:r>
      <w:r w:rsidR="00B10675" w:rsidRPr="00467AA1">
        <w:rPr>
          <w:szCs w:val="20"/>
          <w:lang w:val="es-CR"/>
        </w:rPr>
        <w:t xml:space="preserve">l Estado y a la Comisión para que, si lo estiman necesario y en lo que les corresponda, presenten sus observaciones a </w:t>
      </w:r>
      <w:r w:rsidR="00D103B5" w:rsidRPr="00467AA1">
        <w:rPr>
          <w:szCs w:val="20"/>
          <w:lang w:val="es-CR"/>
        </w:rPr>
        <w:t>las mismas</w:t>
      </w:r>
      <w:r w:rsidR="00B10675" w:rsidRPr="00467AA1">
        <w:rPr>
          <w:szCs w:val="20"/>
          <w:lang w:val="es-CR"/>
        </w:rPr>
        <w:t>, a más tardar con sus alegatos u observaciones finales escritas, respectivamente.</w:t>
      </w:r>
      <w:r w:rsidR="00DE35FD">
        <w:rPr>
          <w:szCs w:val="20"/>
          <w:lang w:val="es-CR"/>
        </w:rPr>
        <w:t xml:space="preserve"> </w:t>
      </w:r>
    </w:p>
    <w:p w:rsidR="00B10675" w:rsidRPr="00467AA1" w:rsidRDefault="007D51A0" w:rsidP="00B10675">
      <w:pPr>
        <w:pStyle w:val="ListParagraph"/>
        <w:widowControl w:val="0"/>
        <w:numPr>
          <w:ilvl w:val="0"/>
          <w:numId w:val="6"/>
        </w:numPr>
        <w:tabs>
          <w:tab w:val="left" w:pos="708"/>
        </w:tabs>
        <w:autoSpaceDE w:val="0"/>
        <w:autoSpaceDN w:val="0"/>
        <w:adjustRightInd w:val="0"/>
        <w:spacing w:before="120"/>
        <w:ind w:left="0" w:firstLine="0"/>
        <w:contextualSpacing w:val="0"/>
        <w:rPr>
          <w:color w:val="000000"/>
          <w:szCs w:val="20"/>
          <w:lang w:val="es-CR"/>
        </w:rPr>
      </w:pPr>
      <w:r>
        <w:rPr>
          <w:color w:val="000000"/>
          <w:szCs w:val="20"/>
          <w:lang w:val="es-CR"/>
        </w:rPr>
        <w:t>Recordar</w:t>
      </w:r>
      <w:r w:rsidR="00B10675" w:rsidRPr="00467AA1">
        <w:rPr>
          <w:color w:val="000000"/>
          <w:szCs w:val="20"/>
          <w:lang w:val="es-CR"/>
        </w:rPr>
        <w:t xml:space="preserve"> a la Comisión</w:t>
      </w:r>
      <w:r>
        <w:rPr>
          <w:color w:val="000000"/>
          <w:szCs w:val="20"/>
          <w:lang w:val="es-CR"/>
        </w:rPr>
        <w:t>, al Estado</w:t>
      </w:r>
      <w:r w:rsidR="00B10675" w:rsidRPr="00467AA1">
        <w:rPr>
          <w:color w:val="000000"/>
          <w:szCs w:val="20"/>
          <w:lang w:val="es-CR"/>
        </w:rPr>
        <w:t xml:space="preserve"> y a l</w:t>
      </w:r>
      <w:r w:rsidR="00D103B5" w:rsidRPr="00467AA1">
        <w:rPr>
          <w:color w:val="000000"/>
          <w:szCs w:val="20"/>
          <w:lang w:val="es-CR"/>
        </w:rPr>
        <w:t>o</w:t>
      </w:r>
      <w:r w:rsidR="00B10675" w:rsidRPr="00467AA1">
        <w:rPr>
          <w:color w:val="000000"/>
          <w:szCs w:val="20"/>
          <w:lang w:val="es-CR"/>
        </w:rPr>
        <w:t xml:space="preserve">s </w:t>
      </w:r>
      <w:r w:rsidR="00D103B5" w:rsidRPr="00467AA1">
        <w:rPr>
          <w:color w:val="000000"/>
          <w:szCs w:val="20"/>
          <w:lang w:val="es-CR"/>
        </w:rPr>
        <w:t>representantes</w:t>
      </w:r>
      <w:r w:rsidR="00B10675" w:rsidRPr="00467AA1">
        <w:rPr>
          <w:color w:val="000000"/>
          <w:szCs w:val="20"/>
          <w:lang w:val="es-CR"/>
        </w:rPr>
        <w:t xml:space="preserve"> que deben cubrir los gastos que ocasione la aportación o rendición de la prueba propuesta por ellos, de conformidad con lo dispuesto en el artículo 60 del Reglamento</w:t>
      </w:r>
      <w:r w:rsidR="000265F4">
        <w:rPr>
          <w:color w:val="000000"/>
          <w:szCs w:val="20"/>
          <w:lang w:val="es-CR"/>
        </w:rPr>
        <w:t xml:space="preserve"> y </w:t>
      </w:r>
      <w:r w:rsidR="000265F4">
        <w:t>sin perjuicio de lo que resulte pertinente en aplicación del Fondo de Asistencia Legal de Víctimas en el presente caso</w:t>
      </w:r>
      <w:r w:rsidR="00B10675" w:rsidRPr="00467AA1">
        <w:rPr>
          <w:szCs w:val="20"/>
          <w:lang w:val="es-CR"/>
        </w:rPr>
        <w:t>.</w:t>
      </w:r>
    </w:p>
    <w:p w:rsidR="00B10675" w:rsidRPr="00467AA1" w:rsidRDefault="00B10675" w:rsidP="00B10675">
      <w:pPr>
        <w:pStyle w:val="ListParagraph"/>
        <w:widowControl w:val="0"/>
        <w:numPr>
          <w:ilvl w:val="0"/>
          <w:numId w:val="6"/>
        </w:numPr>
        <w:tabs>
          <w:tab w:val="left" w:pos="708"/>
        </w:tabs>
        <w:autoSpaceDE w:val="0"/>
        <w:autoSpaceDN w:val="0"/>
        <w:adjustRightInd w:val="0"/>
        <w:spacing w:before="120"/>
        <w:ind w:left="0" w:firstLine="0"/>
        <w:contextualSpacing w:val="0"/>
        <w:rPr>
          <w:color w:val="000000"/>
          <w:szCs w:val="20"/>
          <w:lang w:val="es-CR"/>
        </w:rPr>
      </w:pPr>
      <w:r w:rsidRPr="00467AA1">
        <w:rPr>
          <w:color w:val="000000"/>
          <w:szCs w:val="20"/>
          <w:lang w:val="es-CR"/>
        </w:rPr>
        <w:t>Requerir a la Comisión,</w:t>
      </w:r>
      <w:r w:rsidR="007D51A0">
        <w:rPr>
          <w:color w:val="000000"/>
          <w:szCs w:val="20"/>
          <w:lang w:val="es-CR"/>
        </w:rPr>
        <w:t xml:space="preserve"> al Estado</w:t>
      </w:r>
      <w:r w:rsidRPr="00467AA1">
        <w:rPr>
          <w:color w:val="000000"/>
          <w:szCs w:val="20"/>
          <w:lang w:val="es-CR"/>
        </w:rPr>
        <w:t xml:space="preserve"> </w:t>
      </w:r>
      <w:r w:rsidR="00D103B5" w:rsidRPr="00467AA1">
        <w:rPr>
          <w:color w:val="000000"/>
          <w:szCs w:val="20"/>
          <w:lang w:val="es-CR"/>
        </w:rPr>
        <w:t xml:space="preserve">y </w:t>
      </w:r>
      <w:r w:rsidRPr="00467AA1">
        <w:rPr>
          <w:color w:val="000000"/>
          <w:szCs w:val="20"/>
          <w:lang w:val="es-CR"/>
        </w:rPr>
        <w:t xml:space="preserve">a los representantes que informen a las personas convocadas por la Corte para declarar que, según lo dispuesto en el artículo 54 del Reglamento, el Tribunal pondrá en conocimiento del Estado los casos en que las personas requeridas para comparecer o declarar no comparecieren o rehusaren deponer sin motivo legítimo o que, en el parecer de la misma Corte, hayan violado el juramento o la declaración solemne, para los fines previstos en la legislación nacional correspondiente. </w:t>
      </w:r>
    </w:p>
    <w:p w:rsidR="00EA345D" w:rsidRDefault="001947A5" w:rsidP="00B10675">
      <w:pPr>
        <w:pStyle w:val="ListParagraph"/>
        <w:widowControl w:val="0"/>
        <w:numPr>
          <w:ilvl w:val="0"/>
          <w:numId w:val="6"/>
        </w:numPr>
        <w:tabs>
          <w:tab w:val="left" w:pos="708"/>
        </w:tabs>
        <w:autoSpaceDE w:val="0"/>
        <w:autoSpaceDN w:val="0"/>
        <w:adjustRightInd w:val="0"/>
        <w:spacing w:before="120"/>
        <w:ind w:left="0" w:firstLine="0"/>
        <w:contextualSpacing w:val="0"/>
        <w:rPr>
          <w:color w:val="000000"/>
          <w:szCs w:val="20"/>
          <w:lang w:val="es-CR"/>
        </w:rPr>
      </w:pPr>
      <w:r>
        <w:rPr>
          <w:szCs w:val="20"/>
        </w:rPr>
        <w:t xml:space="preserve">Incorporar los </w:t>
      </w:r>
      <w:r w:rsidRPr="00BF3CD5">
        <w:rPr>
          <w:szCs w:val="20"/>
        </w:rPr>
        <w:t>peritajes rendidos</w:t>
      </w:r>
      <w:r>
        <w:rPr>
          <w:szCs w:val="20"/>
        </w:rPr>
        <w:t xml:space="preserve"> ante este Tribunal por los señores Calixto Ávila y José Pablo </w:t>
      </w:r>
      <w:proofErr w:type="spellStart"/>
      <w:r>
        <w:rPr>
          <w:szCs w:val="20"/>
        </w:rPr>
        <w:t>Baraybar</w:t>
      </w:r>
      <w:proofErr w:type="spellEnd"/>
      <w:r w:rsidRPr="00BF3CD5">
        <w:rPr>
          <w:szCs w:val="20"/>
        </w:rPr>
        <w:t xml:space="preserve"> en el </w:t>
      </w:r>
      <w:r w:rsidRPr="00BF3CD5">
        <w:rPr>
          <w:i/>
          <w:szCs w:val="20"/>
        </w:rPr>
        <w:t>caso Hermanos Landaeta Mejías y otros vs. Venezuela</w:t>
      </w:r>
      <w:r>
        <w:rPr>
          <w:szCs w:val="20"/>
        </w:rPr>
        <w:t xml:space="preserve"> al expediente del presente caso, en los términos del párrafo considerativo séptimo de </w:t>
      </w:r>
      <w:r w:rsidR="00EA345D">
        <w:rPr>
          <w:rFonts w:cs="Verdana"/>
          <w:szCs w:val="20"/>
          <w:lang w:bidi="en-US"/>
        </w:rPr>
        <w:t>la presente Resolución</w:t>
      </w:r>
      <w:r>
        <w:rPr>
          <w:rFonts w:cs="Verdana"/>
          <w:szCs w:val="20"/>
          <w:lang w:bidi="en-US"/>
        </w:rPr>
        <w:t>, y disponer que la Secretaría de la Corte los transmita a las partes y a la Comisión junto con la notificación de la presente Resolución.</w:t>
      </w:r>
    </w:p>
    <w:p w:rsidR="00B10675" w:rsidRDefault="00B10675" w:rsidP="00B10675">
      <w:pPr>
        <w:pStyle w:val="ListParagraph"/>
        <w:widowControl w:val="0"/>
        <w:numPr>
          <w:ilvl w:val="0"/>
          <w:numId w:val="6"/>
        </w:numPr>
        <w:tabs>
          <w:tab w:val="left" w:pos="708"/>
        </w:tabs>
        <w:autoSpaceDE w:val="0"/>
        <w:autoSpaceDN w:val="0"/>
        <w:adjustRightInd w:val="0"/>
        <w:spacing w:before="120"/>
        <w:ind w:left="0" w:firstLine="0"/>
        <w:contextualSpacing w:val="0"/>
        <w:rPr>
          <w:color w:val="000000"/>
          <w:szCs w:val="20"/>
          <w:lang w:val="es-CR"/>
        </w:rPr>
      </w:pPr>
      <w:r>
        <w:rPr>
          <w:color w:val="000000"/>
          <w:szCs w:val="20"/>
          <w:lang w:val="es-CR"/>
        </w:rPr>
        <w:t xml:space="preserve">Informar a los representantes, al Estado y a la Comisión Interamericana que, al término de las declaraciones rendidas en la audiencia pública, podrán presentar ante el Tribunal sus alegatos finales orales y observaciones finales orales, respectivamente, sobre los eventuales fondo, reparaciones y costas en el presente caso. </w:t>
      </w:r>
    </w:p>
    <w:p w:rsidR="00B10675" w:rsidRDefault="00B10675" w:rsidP="00B10675">
      <w:pPr>
        <w:pStyle w:val="ListParagraph"/>
        <w:widowControl w:val="0"/>
        <w:numPr>
          <w:ilvl w:val="0"/>
          <w:numId w:val="6"/>
        </w:numPr>
        <w:tabs>
          <w:tab w:val="left" w:pos="708"/>
        </w:tabs>
        <w:autoSpaceDE w:val="0"/>
        <w:autoSpaceDN w:val="0"/>
        <w:adjustRightInd w:val="0"/>
        <w:spacing w:before="120"/>
        <w:ind w:left="0" w:firstLine="0"/>
        <w:contextualSpacing w:val="0"/>
        <w:rPr>
          <w:color w:val="000000"/>
          <w:szCs w:val="20"/>
          <w:lang w:val="es-CR"/>
        </w:rPr>
      </w:pPr>
      <w:r>
        <w:rPr>
          <w:color w:val="000000"/>
          <w:szCs w:val="20"/>
          <w:lang w:val="es-CR"/>
        </w:rPr>
        <w:t xml:space="preserve">Disponer que la Secretaría de la Corte, de conformidad con lo dispuesto en el artículo 55.3 del Reglamento, indique a la Comisión Interamericana, a los representantes y al Estado el enlace donde se encontrará disponible la grabación de la </w:t>
      </w:r>
      <w:r>
        <w:rPr>
          <w:color w:val="000000"/>
          <w:szCs w:val="20"/>
          <w:lang w:val="es-CR"/>
        </w:rPr>
        <w:lastRenderedPageBreak/>
        <w:t xml:space="preserve">audiencia pública sobre </w:t>
      </w:r>
      <w:r w:rsidR="00DE35FD">
        <w:rPr>
          <w:color w:val="000000"/>
          <w:szCs w:val="20"/>
          <w:lang w:val="es-CR"/>
        </w:rPr>
        <w:t xml:space="preserve">la excepción preliminar y </w:t>
      </w:r>
      <w:r>
        <w:rPr>
          <w:color w:val="000000"/>
          <w:szCs w:val="20"/>
          <w:lang w:val="es-CR"/>
        </w:rPr>
        <w:t xml:space="preserve">eventuales fondo, reparaciones y costas, a la brevedad posible luego de la celebración de la audiencia. </w:t>
      </w:r>
    </w:p>
    <w:p w:rsidR="00B10675" w:rsidRDefault="00B10675" w:rsidP="00B10675">
      <w:pPr>
        <w:pStyle w:val="ListParagraph"/>
        <w:widowControl w:val="0"/>
        <w:numPr>
          <w:ilvl w:val="0"/>
          <w:numId w:val="6"/>
        </w:numPr>
        <w:tabs>
          <w:tab w:val="left" w:pos="708"/>
        </w:tabs>
        <w:autoSpaceDE w:val="0"/>
        <w:autoSpaceDN w:val="0"/>
        <w:adjustRightInd w:val="0"/>
        <w:spacing w:before="120"/>
        <w:ind w:left="0" w:firstLine="0"/>
        <w:contextualSpacing w:val="0"/>
        <w:rPr>
          <w:color w:val="000000"/>
          <w:szCs w:val="20"/>
          <w:lang w:val="es-CR"/>
        </w:rPr>
      </w:pPr>
      <w:r>
        <w:rPr>
          <w:color w:val="000000"/>
          <w:szCs w:val="20"/>
          <w:lang w:val="es-CR"/>
        </w:rPr>
        <w:t xml:space="preserve">Informar a los representantes, al Estado y a la Comisión Interamericana que cuentan con un plazo hasta el </w:t>
      </w:r>
      <w:r w:rsidR="00DE35FD">
        <w:rPr>
          <w:color w:val="000000"/>
          <w:szCs w:val="20"/>
          <w:lang w:val="es-CR"/>
        </w:rPr>
        <w:t>4 de marzo</w:t>
      </w:r>
      <w:r>
        <w:rPr>
          <w:color w:val="000000"/>
          <w:szCs w:val="20"/>
          <w:lang w:val="es-CR"/>
        </w:rPr>
        <w:t xml:space="preserve"> de </w:t>
      </w:r>
      <w:r w:rsidR="00DE35FD">
        <w:rPr>
          <w:color w:val="000000"/>
          <w:szCs w:val="20"/>
          <w:lang w:val="es-CR"/>
        </w:rPr>
        <w:t>2019</w:t>
      </w:r>
      <w:r>
        <w:rPr>
          <w:color w:val="000000"/>
          <w:szCs w:val="20"/>
          <w:lang w:val="es-CR"/>
        </w:rPr>
        <w:t xml:space="preserve"> para presentar sus alegatos finales escritos y observaciones finales escritas, respectivamente, en relación con </w:t>
      </w:r>
      <w:r w:rsidR="00DE35FD">
        <w:rPr>
          <w:color w:val="000000"/>
          <w:szCs w:val="20"/>
          <w:lang w:val="es-CR"/>
        </w:rPr>
        <w:t xml:space="preserve">la excepción preliminar y eventuales </w:t>
      </w:r>
      <w:r>
        <w:rPr>
          <w:color w:val="000000"/>
          <w:szCs w:val="20"/>
          <w:lang w:val="es-CR"/>
        </w:rPr>
        <w:t xml:space="preserve">fondo, reparaciones y costas en el presente caso. Este plazo es improrrogable e independiente de la puesta a disposición de las partes de la grabación de la audiencia pública. </w:t>
      </w:r>
    </w:p>
    <w:p w:rsidR="000265F4" w:rsidRPr="000265F4" w:rsidRDefault="000265F4" w:rsidP="000265F4">
      <w:pPr>
        <w:pStyle w:val="ListParagraph"/>
        <w:widowControl w:val="0"/>
        <w:numPr>
          <w:ilvl w:val="0"/>
          <w:numId w:val="6"/>
        </w:numPr>
        <w:tabs>
          <w:tab w:val="left" w:pos="708"/>
        </w:tabs>
        <w:autoSpaceDE w:val="0"/>
        <w:autoSpaceDN w:val="0"/>
        <w:adjustRightInd w:val="0"/>
        <w:spacing w:before="120"/>
        <w:ind w:left="0" w:firstLine="0"/>
        <w:contextualSpacing w:val="0"/>
        <w:rPr>
          <w:color w:val="000000"/>
          <w:szCs w:val="20"/>
          <w:lang w:val="es-CR"/>
        </w:rPr>
      </w:pPr>
      <w:r w:rsidRPr="000265F4">
        <w:rPr>
          <w:color w:val="000000"/>
          <w:szCs w:val="20"/>
          <w:lang w:val="es-CR"/>
        </w:rPr>
        <w:t xml:space="preserve">Declarar procedente la aplicación del Fondo de Asistencia Legal de Víctimas de la Corte en los términos dispuestos en </w:t>
      </w:r>
      <w:r>
        <w:rPr>
          <w:color w:val="000000"/>
          <w:szCs w:val="20"/>
          <w:lang w:val="es-CR"/>
        </w:rPr>
        <w:t>el párrafo considerativo 8</w:t>
      </w:r>
      <w:r w:rsidRPr="000265F4">
        <w:rPr>
          <w:color w:val="000000"/>
          <w:szCs w:val="20"/>
          <w:lang w:val="es-CR"/>
        </w:rPr>
        <w:t xml:space="preserve"> de</w:t>
      </w:r>
      <w:r>
        <w:rPr>
          <w:color w:val="000000"/>
          <w:szCs w:val="20"/>
          <w:lang w:val="es-CR"/>
        </w:rPr>
        <w:t xml:space="preserve"> esta Resolución.</w:t>
      </w:r>
    </w:p>
    <w:p w:rsidR="000265F4" w:rsidRDefault="000265F4" w:rsidP="000265F4">
      <w:pPr>
        <w:pStyle w:val="ListParagraph"/>
        <w:widowControl w:val="0"/>
        <w:numPr>
          <w:ilvl w:val="0"/>
          <w:numId w:val="6"/>
        </w:numPr>
        <w:tabs>
          <w:tab w:val="left" w:pos="708"/>
        </w:tabs>
        <w:autoSpaceDE w:val="0"/>
        <w:autoSpaceDN w:val="0"/>
        <w:adjustRightInd w:val="0"/>
        <w:spacing w:before="120"/>
        <w:ind w:left="0" w:firstLine="0"/>
        <w:contextualSpacing w:val="0"/>
        <w:rPr>
          <w:color w:val="000000"/>
          <w:szCs w:val="20"/>
          <w:lang w:val="es-CR"/>
        </w:rPr>
      </w:pPr>
      <w:r w:rsidRPr="000265F4">
        <w:rPr>
          <w:color w:val="000000"/>
          <w:szCs w:val="20"/>
          <w:lang w:val="es-CR"/>
        </w:rPr>
        <w:t xml:space="preserve">Disponer, de conformidad con el artículo 4 del Reglamento de la Corte sobre el Funcionamiento del Fondo de Asistencia Legal, que la Secretaría del Tribunal abra un expediente de gastos, donde se documentará cada una de las erogaciones que se realicen </w:t>
      </w:r>
      <w:r>
        <w:rPr>
          <w:color w:val="000000"/>
          <w:szCs w:val="20"/>
          <w:lang w:val="es-CR"/>
        </w:rPr>
        <w:t>en aplicación d</w:t>
      </w:r>
      <w:r w:rsidRPr="000265F4">
        <w:rPr>
          <w:color w:val="000000"/>
          <w:szCs w:val="20"/>
          <w:lang w:val="es-CR"/>
        </w:rPr>
        <w:t>el Fondo.</w:t>
      </w:r>
    </w:p>
    <w:p w:rsidR="00B10675" w:rsidRDefault="00B10675" w:rsidP="00B10675">
      <w:pPr>
        <w:pStyle w:val="ListParagraph"/>
        <w:widowControl w:val="0"/>
        <w:numPr>
          <w:ilvl w:val="0"/>
          <w:numId w:val="6"/>
        </w:numPr>
        <w:tabs>
          <w:tab w:val="left" w:pos="708"/>
        </w:tabs>
        <w:autoSpaceDE w:val="0"/>
        <w:autoSpaceDN w:val="0"/>
        <w:adjustRightInd w:val="0"/>
        <w:spacing w:before="120"/>
        <w:ind w:left="0" w:firstLine="0"/>
        <w:rPr>
          <w:szCs w:val="20"/>
          <w:lang w:val="es-MX" w:eastAsia="en-US"/>
        </w:rPr>
      </w:pPr>
      <w:r>
        <w:rPr>
          <w:color w:val="000000"/>
          <w:szCs w:val="20"/>
          <w:lang w:val="es-CR"/>
        </w:rPr>
        <w:t>Disponer que la Secretaría de la Corte Interamericana notifique la presente Resolución a la Comisión Interamericana de Derechos Humanos, a los representantes de las presuntas víctimas y a</w:t>
      </w:r>
      <w:r w:rsidR="000265F4">
        <w:rPr>
          <w:color w:val="000000"/>
          <w:szCs w:val="20"/>
          <w:lang w:val="es-CR"/>
        </w:rPr>
        <w:t>l Estado</w:t>
      </w:r>
      <w:r>
        <w:rPr>
          <w:color w:val="000000"/>
          <w:szCs w:val="20"/>
          <w:lang w:val="es-CR"/>
        </w:rPr>
        <w:t>.</w:t>
      </w:r>
    </w:p>
    <w:p w:rsidR="00490486" w:rsidRDefault="00490486" w:rsidP="00120E74">
      <w:pPr>
        <w:spacing w:after="0"/>
        <w:rPr>
          <w:color w:val="000000"/>
          <w:spacing w:val="-2"/>
          <w:szCs w:val="20"/>
          <w:lang w:val="es-ES" w:eastAsia="es-CR"/>
        </w:rPr>
      </w:pPr>
    </w:p>
    <w:p w:rsidR="00120E74" w:rsidRDefault="00120E74" w:rsidP="00120E74">
      <w:pPr>
        <w:spacing w:after="0"/>
        <w:rPr>
          <w:color w:val="000000"/>
          <w:spacing w:val="-2"/>
          <w:szCs w:val="20"/>
          <w:lang w:val="es-ES" w:eastAsia="es-CR"/>
        </w:rPr>
      </w:pPr>
    </w:p>
    <w:p w:rsidR="00120E74" w:rsidRDefault="00120E74" w:rsidP="00120E74">
      <w:pPr>
        <w:spacing w:after="0"/>
        <w:rPr>
          <w:color w:val="000000"/>
          <w:spacing w:val="-2"/>
          <w:szCs w:val="20"/>
          <w:lang w:val="es-ES" w:eastAsia="es-CR"/>
        </w:rPr>
      </w:pPr>
    </w:p>
    <w:p w:rsidR="00120E74" w:rsidRPr="00B10675" w:rsidRDefault="00120E74" w:rsidP="00120E74">
      <w:pPr>
        <w:spacing w:after="0"/>
        <w:rPr>
          <w:color w:val="000000"/>
          <w:spacing w:val="-2"/>
          <w:szCs w:val="20"/>
          <w:lang w:val="es-ES" w:eastAsia="es-CR"/>
        </w:rPr>
      </w:pPr>
    </w:p>
    <w:p w:rsidR="00B10675" w:rsidRPr="00B10675" w:rsidRDefault="00B10675" w:rsidP="00B10675">
      <w:pPr>
        <w:spacing w:after="0"/>
        <w:ind w:left="4253"/>
        <w:jc w:val="center"/>
        <w:rPr>
          <w:color w:val="000000"/>
          <w:spacing w:val="-2"/>
          <w:szCs w:val="20"/>
          <w:lang w:val="es-ES" w:eastAsia="es-CR"/>
        </w:rPr>
      </w:pPr>
    </w:p>
    <w:p w:rsidR="00B10675" w:rsidRDefault="00D103B5" w:rsidP="00B10675">
      <w:pPr>
        <w:spacing w:after="0"/>
        <w:ind w:left="4253"/>
        <w:jc w:val="center"/>
        <w:rPr>
          <w:szCs w:val="20"/>
          <w:lang w:val="pt-BR"/>
        </w:rPr>
      </w:pPr>
      <w:r w:rsidRPr="00D103B5">
        <w:rPr>
          <w:color w:val="000000"/>
          <w:spacing w:val="-2"/>
          <w:szCs w:val="20"/>
          <w:lang w:val="pt-BR" w:eastAsia="es-CR"/>
        </w:rPr>
        <w:t>Eduardo Ferrer Mac-Gregor Poisot</w:t>
      </w:r>
      <w:r w:rsidR="00B10675">
        <w:rPr>
          <w:szCs w:val="20"/>
          <w:lang w:val="pt-BR"/>
        </w:rPr>
        <w:t xml:space="preserve"> </w:t>
      </w:r>
    </w:p>
    <w:p w:rsidR="00B10675" w:rsidRDefault="00B10675" w:rsidP="00B10675">
      <w:pPr>
        <w:spacing w:after="0"/>
        <w:ind w:left="4253"/>
        <w:jc w:val="center"/>
        <w:rPr>
          <w:szCs w:val="20"/>
          <w:lang w:val="pt-BR"/>
        </w:rPr>
      </w:pPr>
      <w:r>
        <w:rPr>
          <w:szCs w:val="20"/>
          <w:lang w:val="pt-BR"/>
        </w:rPr>
        <w:t>Presidente</w:t>
      </w:r>
    </w:p>
    <w:p w:rsidR="00490486" w:rsidRDefault="00490486" w:rsidP="00120E74">
      <w:pPr>
        <w:tabs>
          <w:tab w:val="left" w:pos="2835"/>
        </w:tabs>
        <w:spacing w:after="0"/>
        <w:ind w:right="6003"/>
        <w:jc w:val="center"/>
        <w:rPr>
          <w:szCs w:val="20"/>
          <w:lang w:val="pt-BR"/>
        </w:rPr>
      </w:pPr>
    </w:p>
    <w:p w:rsidR="00490486" w:rsidRDefault="00490486" w:rsidP="00B10675">
      <w:pPr>
        <w:tabs>
          <w:tab w:val="left" w:pos="2835"/>
        </w:tabs>
        <w:spacing w:after="0"/>
        <w:ind w:right="6003"/>
        <w:jc w:val="center"/>
        <w:rPr>
          <w:szCs w:val="20"/>
          <w:lang w:val="pt-BR"/>
        </w:rPr>
      </w:pPr>
    </w:p>
    <w:p w:rsidR="00490486" w:rsidRDefault="00490486" w:rsidP="00B10675">
      <w:pPr>
        <w:tabs>
          <w:tab w:val="left" w:pos="2835"/>
        </w:tabs>
        <w:spacing w:after="0"/>
        <w:ind w:right="6003"/>
        <w:jc w:val="center"/>
        <w:rPr>
          <w:szCs w:val="20"/>
          <w:lang w:val="pt-BR"/>
        </w:rPr>
      </w:pPr>
    </w:p>
    <w:p w:rsidR="00B10675" w:rsidRDefault="00B10675" w:rsidP="00B10675">
      <w:pPr>
        <w:tabs>
          <w:tab w:val="left" w:pos="2835"/>
        </w:tabs>
        <w:spacing w:after="0"/>
        <w:ind w:right="6003"/>
        <w:jc w:val="center"/>
        <w:rPr>
          <w:szCs w:val="20"/>
          <w:lang w:val="pt-BR"/>
        </w:rPr>
      </w:pPr>
    </w:p>
    <w:p w:rsidR="00120E74" w:rsidRDefault="00120E74" w:rsidP="00B10675">
      <w:pPr>
        <w:tabs>
          <w:tab w:val="left" w:pos="2835"/>
        </w:tabs>
        <w:spacing w:after="0"/>
        <w:ind w:right="6003"/>
        <w:jc w:val="center"/>
        <w:rPr>
          <w:szCs w:val="20"/>
          <w:lang w:val="pt-BR"/>
        </w:rPr>
      </w:pPr>
    </w:p>
    <w:p w:rsidR="00120E74" w:rsidRDefault="00120E74" w:rsidP="00B10675">
      <w:pPr>
        <w:tabs>
          <w:tab w:val="left" w:pos="2835"/>
        </w:tabs>
        <w:spacing w:after="0"/>
        <w:ind w:right="6003"/>
        <w:jc w:val="center"/>
        <w:rPr>
          <w:szCs w:val="20"/>
          <w:lang w:val="pt-BR"/>
        </w:rPr>
      </w:pPr>
    </w:p>
    <w:p w:rsidR="00B10675" w:rsidRDefault="00B10675" w:rsidP="00B10675">
      <w:pPr>
        <w:tabs>
          <w:tab w:val="left" w:pos="2835"/>
        </w:tabs>
        <w:spacing w:after="0"/>
        <w:ind w:right="6003"/>
        <w:jc w:val="center"/>
        <w:rPr>
          <w:szCs w:val="20"/>
          <w:lang w:val="pt-BR"/>
        </w:rPr>
      </w:pPr>
      <w:r>
        <w:rPr>
          <w:szCs w:val="20"/>
          <w:lang w:val="pt-BR"/>
        </w:rPr>
        <w:t>Pablo Saavedra Alessandri</w:t>
      </w:r>
    </w:p>
    <w:p w:rsidR="00B10675" w:rsidRDefault="00B10675" w:rsidP="00B10675">
      <w:pPr>
        <w:tabs>
          <w:tab w:val="left" w:pos="2835"/>
        </w:tabs>
        <w:spacing w:after="0"/>
        <w:ind w:right="6003"/>
        <w:jc w:val="center"/>
        <w:rPr>
          <w:szCs w:val="20"/>
          <w:lang w:val="es-ES"/>
        </w:rPr>
      </w:pPr>
      <w:r>
        <w:rPr>
          <w:szCs w:val="20"/>
          <w:lang w:val="es-ES"/>
        </w:rPr>
        <w:t>Secretario</w:t>
      </w:r>
    </w:p>
    <w:p w:rsidR="00B10675" w:rsidRDefault="00B10675" w:rsidP="00B10675">
      <w:pPr>
        <w:spacing w:after="0"/>
        <w:rPr>
          <w:szCs w:val="20"/>
        </w:rPr>
      </w:pPr>
    </w:p>
    <w:p w:rsidR="00B10675" w:rsidRPr="00A35EDF" w:rsidRDefault="00B10675" w:rsidP="00B10675">
      <w:pPr>
        <w:spacing w:after="0"/>
        <w:rPr>
          <w:szCs w:val="20"/>
        </w:rPr>
      </w:pPr>
    </w:p>
    <w:p w:rsidR="00B10675" w:rsidRDefault="00B10675" w:rsidP="00B10675">
      <w:pPr>
        <w:spacing w:after="0"/>
        <w:rPr>
          <w:szCs w:val="20"/>
        </w:rPr>
      </w:pPr>
      <w:r>
        <w:rPr>
          <w:szCs w:val="20"/>
        </w:rPr>
        <w:t>Comuníquese y ejecútese,</w:t>
      </w:r>
      <w:r>
        <w:rPr>
          <w:noProof/>
          <w:szCs w:val="20"/>
          <w:lang w:val="es-CR" w:eastAsia="es-CR"/>
        </w:rPr>
        <w:t xml:space="preserve"> </w:t>
      </w:r>
    </w:p>
    <w:p w:rsidR="00B10675" w:rsidRDefault="00B10675" w:rsidP="00B10675">
      <w:pPr>
        <w:spacing w:after="0"/>
        <w:rPr>
          <w:szCs w:val="20"/>
        </w:rPr>
      </w:pPr>
    </w:p>
    <w:p w:rsidR="00B10675" w:rsidRDefault="00B10675" w:rsidP="00B10675">
      <w:pPr>
        <w:spacing w:after="0"/>
        <w:rPr>
          <w:szCs w:val="20"/>
        </w:rPr>
      </w:pPr>
    </w:p>
    <w:p w:rsidR="00120E74" w:rsidRDefault="00120E74" w:rsidP="00B10675">
      <w:pPr>
        <w:spacing w:after="0"/>
        <w:rPr>
          <w:szCs w:val="20"/>
        </w:rPr>
      </w:pPr>
    </w:p>
    <w:p w:rsidR="00120E74" w:rsidRDefault="00120E74" w:rsidP="00B10675">
      <w:pPr>
        <w:spacing w:after="0"/>
        <w:rPr>
          <w:szCs w:val="20"/>
        </w:rPr>
      </w:pPr>
    </w:p>
    <w:p w:rsidR="00B10675" w:rsidRDefault="00D103B5" w:rsidP="00B10675">
      <w:pPr>
        <w:spacing w:after="0"/>
        <w:ind w:left="4536"/>
        <w:jc w:val="center"/>
        <w:rPr>
          <w:szCs w:val="20"/>
          <w:lang w:val="pt-BR"/>
        </w:rPr>
      </w:pPr>
      <w:r w:rsidRPr="00D103B5">
        <w:rPr>
          <w:color w:val="000000"/>
          <w:spacing w:val="-2"/>
          <w:szCs w:val="20"/>
          <w:lang w:eastAsia="es-CR"/>
        </w:rPr>
        <w:t>Eduardo Ferrer Mac-Gregor Poisot</w:t>
      </w:r>
      <w:r w:rsidR="00B10675">
        <w:rPr>
          <w:szCs w:val="20"/>
          <w:lang w:val="pt-BR"/>
        </w:rPr>
        <w:t xml:space="preserve"> </w:t>
      </w:r>
    </w:p>
    <w:p w:rsidR="00B10675" w:rsidRDefault="00B10675" w:rsidP="00B10675">
      <w:pPr>
        <w:spacing w:after="0"/>
        <w:ind w:left="4536"/>
        <w:jc w:val="center"/>
        <w:rPr>
          <w:szCs w:val="20"/>
          <w:lang w:val="es-MX"/>
        </w:rPr>
      </w:pPr>
      <w:r>
        <w:rPr>
          <w:szCs w:val="20"/>
          <w:lang w:val="pt-BR"/>
        </w:rPr>
        <w:t>Presidente</w:t>
      </w:r>
    </w:p>
    <w:p w:rsidR="00B10675" w:rsidRDefault="00B10675" w:rsidP="00B10675">
      <w:pPr>
        <w:spacing w:after="0"/>
        <w:rPr>
          <w:szCs w:val="20"/>
        </w:rPr>
      </w:pPr>
    </w:p>
    <w:p w:rsidR="00490486" w:rsidRDefault="00490486" w:rsidP="00B10675">
      <w:pPr>
        <w:spacing w:after="0"/>
        <w:rPr>
          <w:szCs w:val="20"/>
        </w:rPr>
      </w:pPr>
    </w:p>
    <w:p w:rsidR="00490486" w:rsidRDefault="00490486" w:rsidP="00B10675">
      <w:pPr>
        <w:spacing w:after="0"/>
        <w:rPr>
          <w:szCs w:val="20"/>
        </w:rPr>
      </w:pPr>
    </w:p>
    <w:p w:rsidR="00490486" w:rsidRDefault="00490486" w:rsidP="00B10675">
      <w:pPr>
        <w:spacing w:after="0"/>
        <w:rPr>
          <w:szCs w:val="20"/>
        </w:rPr>
      </w:pPr>
    </w:p>
    <w:p w:rsidR="00B10675" w:rsidRDefault="00B10675" w:rsidP="00B10675">
      <w:pPr>
        <w:spacing w:after="0"/>
        <w:rPr>
          <w:szCs w:val="20"/>
        </w:rPr>
      </w:pPr>
    </w:p>
    <w:p w:rsidR="00B10675" w:rsidRDefault="00B10675" w:rsidP="00B10675">
      <w:pPr>
        <w:spacing w:after="0"/>
        <w:ind w:right="6003"/>
        <w:jc w:val="center"/>
        <w:rPr>
          <w:szCs w:val="20"/>
        </w:rPr>
      </w:pPr>
      <w:r>
        <w:rPr>
          <w:szCs w:val="20"/>
        </w:rPr>
        <w:t>Pablo Saavedra Alessandri</w:t>
      </w:r>
    </w:p>
    <w:p w:rsidR="00B10675" w:rsidRDefault="00B10675" w:rsidP="00B10675">
      <w:pPr>
        <w:spacing w:after="0"/>
        <w:ind w:right="6003"/>
        <w:jc w:val="center"/>
        <w:rPr>
          <w:szCs w:val="20"/>
        </w:rPr>
      </w:pPr>
      <w:r>
        <w:rPr>
          <w:szCs w:val="20"/>
        </w:rPr>
        <w:t>Secretario</w:t>
      </w:r>
    </w:p>
    <w:p w:rsidR="00076BA7" w:rsidRDefault="00076BA7"/>
    <w:sectPr w:rsidR="00076BA7" w:rsidSect="00605CDC">
      <w:headerReference w:type="default" r:id="rId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77F" w:rsidRDefault="002E677F" w:rsidP="00B10675">
      <w:pPr>
        <w:spacing w:after="0"/>
      </w:pPr>
      <w:r>
        <w:separator/>
      </w:r>
    </w:p>
  </w:endnote>
  <w:endnote w:type="continuationSeparator" w:id="0">
    <w:p w:rsidR="002E677F" w:rsidRDefault="002E677F" w:rsidP="00B106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Bold">
    <w:altName w:val="Times New Roman"/>
    <w:panose1 w:val="020B0804030504040204"/>
    <w:charset w:val="00"/>
    <w:family w:val="auto"/>
    <w:pitch w:val="variable"/>
    <w:sig w:usb0="00000001"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77F" w:rsidRDefault="002E677F" w:rsidP="00B10675">
      <w:pPr>
        <w:spacing w:after="0"/>
      </w:pPr>
      <w:r>
        <w:separator/>
      </w:r>
    </w:p>
  </w:footnote>
  <w:footnote w:type="continuationSeparator" w:id="0">
    <w:p w:rsidR="002E677F" w:rsidRDefault="002E677F" w:rsidP="00B10675">
      <w:pPr>
        <w:spacing w:after="0"/>
      </w:pPr>
      <w:r>
        <w:continuationSeparator/>
      </w:r>
    </w:p>
  </w:footnote>
  <w:footnote w:id="1">
    <w:p w:rsidR="004E06A2" w:rsidRPr="00585A87" w:rsidRDefault="004E06A2" w:rsidP="00585A87">
      <w:pPr>
        <w:rPr>
          <w:sz w:val="16"/>
          <w:szCs w:val="16"/>
          <w:lang w:val="es-CR"/>
        </w:rPr>
      </w:pPr>
      <w:r w:rsidRPr="00585A87">
        <w:rPr>
          <w:rStyle w:val="FootnoteReference"/>
          <w:sz w:val="16"/>
          <w:szCs w:val="16"/>
        </w:rPr>
        <w:footnoteRef/>
      </w:r>
      <w:r w:rsidRPr="00585A87">
        <w:rPr>
          <w:sz w:val="16"/>
          <w:szCs w:val="16"/>
        </w:rPr>
        <w:t xml:space="preserve"> </w:t>
      </w:r>
      <w:r w:rsidRPr="00A354BC">
        <w:rPr>
          <w:spacing w:val="-12"/>
          <w:sz w:val="16"/>
          <w:szCs w:val="16"/>
          <w:lang w:val="es-CR"/>
        </w:rPr>
        <w:tab/>
        <w:t>Mediante nota de Secretaría de 26 de octubre de 2018, las listas definitivas de declarantes remitidas por</w:t>
      </w:r>
      <w:r w:rsidR="00585A87" w:rsidRPr="00A354BC">
        <w:rPr>
          <w:spacing w:val="-12"/>
          <w:sz w:val="16"/>
          <w:szCs w:val="16"/>
          <w:lang w:val="es-CR"/>
        </w:rPr>
        <w:t xml:space="preserve"> los representantes,</w:t>
      </w:r>
      <w:r w:rsidRPr="00A354BC">
        <w:rPr>
          <w:spacing w:val="-12"/>
          <w:sz w:val="16"/>
          <w:szCs w:val="16"/>
          <w:lang w:val="es-CR"/>
        </w:rPr>
        <w:t xml:space="preserve"> </w:t>
      </w:r>
      <w:r w:rsidR="00585A87" w:rsidRPr="00A354BC">
        <w:rPr>
          <w:spacing w:val="-12"/>
          <w:sz w:val="16"/>
          <w:szCs w:val="16"/>
          <w:lang w:val="es-CR"/>
        </w:rPr>
        <w:t xml:space="preserve">el Estado y </w:t>
      </w:r>
      <w:r w:rsidRPr="00A354BC">
        <w:rPr>
          <w:spacing w:val="-12"/>
          <w:sz w:val="16"/>
          <w:szCs w:val="16"/>
          <w:lang w:val="es-CR"/>
        </w:rPr>
        <w:t xml:space="preserve">la Comisión fueron debidamente transmitidas </w:t>
      </w:r>
      <w:r w:rsidR="00585A87" w:rsidRPr="00A354BC">
        <w:rPr>
          <w:spacing w:val="-12"/>
          <w:sz w:val="16"/>
          <w:szCs w:val="16"/>
          <w:lang w:val="es-CR"/>
        </w:rPr>
        <w:t xml:space="preserve">a ésta y a las partes y, de conformidad con el artículo 46.2 del Reglamento de la Corte y siguiendo instrucciones del Presidente, </w:t>
      </w:r>
      <w:r w:rsidRPr="00A354BC">
        <w:rPr>
          <w:spacing w:val="-12"/>
          <w:sz w:val="16"/>
          <w:szCs w:val="16"/>
          <w:lang w:val="es-CR"/>
        </w:rPr>
        <w:t xml:space="preserve">se otorgó plazo hasta el 2 de noviembre </w:t>
      </w:r>
      <w:r w:rsidR="00585A87" w:rsidRPr="00A354BC">
        <w:rPr>
          <w:spacing w:val="-12"/>
          <w:sz w:val="16"/>
          <w:szCs w:val="16"/>
          <w:lang w:val="es-CR"/>
        </w:rPr>
        <w:t xml:space="preserve">siguiente </w:t>
      </w:r>
      <w:r w:rsidRPr="00A354BC">
        <w:rPr>
          <w:spacing w:val="-12"/>
          <w:sz w:val="16"/>
          <w:szCs w:val="16"/>
          <w:lang w:val="es-CR"/>
        </w:rPr>
        <w:t>para que remitieran observaciones sobre dichas listas</w:t>
      </w:r>
      <w:r w:rsidR="00BC1C2C">
        <w:rPr>
          <w:spacing w:val="-12"/>
          <w:sz w:val="16"/>
          <w:szCs w:val="16"/>
          <w:lang w:val="es-CR"/>
        </w:rPr>
        <w:t>. Dentro del plazo señalado, l</w:t>
      </w:r>
      <w:r w:rsidR="00585A87" w:rsidRPr="00A354BC">
        <w:rPr>
          <w:spacing w:val="-12"/>
          <w:sz w:val="16"/>
          <w:szCs w:val="16"/>
          <w:lang w:val="es-CR"/>
        </w:rPr>
        <w:t>a Comisión manifestó</w:t>
      </w:r>
      <w:r w:rsidR="00BC1C2C">
        <w:rPr>
          <w:spacing w:val="-12"/>
          <w:sz w:val="16"/>
          <w:szCs w:val="16"/>
          <w:lang w:val="es-CR"/>
        </w:rPr>
        <w:t xml:space="preserve"> que no tenía observaciones. E</w:t>
      </w:r>
      <w:r w:rsidR="00585A87" w:rsidRPr="00A354BC">
        <w:rPr>
          <w:spacing w:val="-12"/>
          <w:sz w:val="16"/>
          <w:szCs w:val="16"/>
          <w:lang w:val="es-CR"/>
        </w:rPr>
        <w:t xml:space="preserve">l 6 de noviembre siguiente se comunicó que el Estado y los representantes no habían presentado observaciones. En esta última fecha, el Estado manifestó que no había recibido las listas referidas, por lo que no había tenido oportunidad de remitir observaciones; que “en varias ocasiones la Corte ha constatado las dificultadas para la transmisión de documentos a través de medios electrónicos” y </w:t>
      </w:r>
      <w:r w:rsidR="00BC1C2C">
        <w:rPr>
          <w:spacing w:val="-12"/>
          <w:sz w:val="16"/>
          <w:szCs w:val="16"/>
          <w:lang w:val="es-CR"/>
        </w:rPr>
        <w:t xml:space="preserve">solicitó </w:t>
      </w:r>
      <w:r w:rsidR="00585A87" w:rsidRPr="00A354BC">
        <w:rPr>
          <w:spacing w:val="-12"/>
          <w:sz w:val="16"/>
          <w:szCs w:val="16"/>
          <w:lang w:val="es-CR"/>
        </w:rPr>
        <w:t xml:space="preserve">que se “reabra el plazo reglamentario para formular las observaciones en aras de garantizar el derecho de defensa y debido proceso regular”. El 15 de noviembre siguiente </w:t>
      </w:r>
      <w:r w:rsidR="00FD55FD" w:rsidRPr="00A354BC">
        <w:rPr>
          <w:spacing w:val="-12"/>
          <w:sz w:val="16"/>
          <w:szCs w:val="16"/>
          <w:lang w:val="es-CR"/>
        </w:rPr>
        <w:t xml:space="preserve">la Secretaría </w:t>
      </w:r>
      <w:r w:rsidR="00585A87" w:rsidRPr="00A354BC">
        <w:rPr>
          <w:spacing w:val="-12"/>
          <w:sz w:val="16"/>
          <w:szCs w:val="16"/>
          <w:lang w:val="es-CR"/>
        </w:rPr>
        <w:t>informó que hacía constar que las listas definitivas fueron debidamente transmitidas a los dos correos electrónicos</w:t>
      </w:r>
      <w:r w:rsidR="00FD55FD">
        <w:rPr>
          <w:spacing w:val="-12"/>
          <w:sz w:val="16"/>
          <w:szCs w:val="16"/>
          <w:lang w:val="es-CR"/>
        </w:rPr>
        <w:t xml:space="preserve"> señalados </w:t>
      </w:r>
      <w:r w:rsidR="00FD55FD" w:rsidRPr="00A354BC">
        <w:rPr>
          <w:spacing w:val="-12"/>
          <w:sz w:val="16"/>
          <w:szCs w:val="16"/>
          <w:lang w:val="es-CR"/>
        </w:rPr>
        <w:t xml:space="preserve">oportunamente </w:t>
      </w:r>
      <w:r w:rsidR="00FD55FD">
        <w:rPr>
          <w:spacing w:val="-12"/>
          <w:sz w:val="16"/>
          <w:szCs w:val="16"/>
          <w:lang w:val="es-CR"/>
        </w:rPr>
        <w:t>por</w:t>
      </w:r>
      <w:r w:rsidR="00585A87" w:rsidRPr="00A354BC">
        <w:rPr>
          <w:spacing w:val="-12"/>
          <w:sz w:val="16"/>
          <w:szCs w:val="16"/>
          <w:lang w:val="es-CR"/>
        </w:rPr>
        <w:t xml:space="preserve"> el Estado y el señor Agente para recibir notificaciones y comunicaciones oficiales, tal como se ha</w:t>
      </w:r>
      <w:r w:rsidR="00FD55FD">
        <w:rPr>
          <w:spacing w:val="-12"/>
          <w:sz w:val="16"/>
          <w:szCs w:val="16"/>
          <w:lang w:val="es-CR"/>
        </w:rPr>
        <w:t>bía</w:t>
      </w:r>
      <w:r w:rsidR="00585A87" w:rsidRPr="00A354BC">
        <w:rPr>
          <w:spacing w:val="-12"/>
          <w:sz w:val="16"/>
          <w:szCs w:val="16"/>
          <w:lang w:val="es-CR"/>
        </w:rPr>
        <w:t xml:space="preserve"> hecho anteriormente con las comunicaciones dirigidas al Estado en el presente caso; que las dificultades de comunicación indicadas por </w:t>
      </w:r>
      <w:r w:rsidR="00FD55FD">
        <w:rPr>
          <w:spacing w:val="-12"/>
          <w:sz w:val="16"/>
          <w:szCs w:val="16"/>
          <w:lang w:val="es-CR"/>
        </w:rPr>
        <w:t>éste</w:t>
      </w:r>
      <w:r w:rsidR="00585A87" w:rsidRPr="00A354BC">
        <w:rPr>
          <w:spacing w:val="-12"/>
          <w:sz w:val="16"/>
          <w:szCs w:val="16"/>
          <w:lang w:val="es-CR"/>
        </w:rPr>
        <w:t xml:space="preserve"> no son atribuibles al servidor de la Corte; y que, siguiendo instrucciones del Presidente, la solicitud del Estado no era procedente.</w:t>
      </w:r>
    </w:p>
  </w:footnote>
  <w:footnote w:id="2">
    <w:p w:rsidR="00A354BC" w:rsidRDefault="00A354BC" w:rsidP="00A354BC">
      <w:pPr>
        <w:pStyle w:val="FootnoteText"/>
        <w:rPr>
          <w:lang w:val="es-CR"/>
        </w:rPr>
      </w:pPr>
      <w:r>
        <w:rPr>
          <w:rStyle w:val="FootnoteReference"/>
        </w:rPr>
        <w:footnoteRef/>
      </w:r>
      <w:r>
        <w:t xml:space="preserve"> </w:t>
      </w:r>
      <w:r>
        <w:rPr>
          <w:lang w:val="es-CR"/>
        </w:rPr>
        <w:tab/>
      </w:r>
      <w:r>
        <w:rPr>
          <w:i/>
          <w:lang w:val="es-CR"/>
        </w:rPr>
        <w:t xml:space="preserve">Cfr. </w:t>
      </w:r>
      <w:r>
        <w:rPr>
          <w:lang w:val="es-CR"/>
        </w:rPr>
        <w:t xml:space="preserve">Resolución del Presidente de la Corte de 18 de septiembre de 2018, disponible en: </w:t>
      </w:r>
      <w:hyperlink r:id="rId1" w:history="1">
        <w:r w:rsidRPr="00AD3C05">
          <w:rPr>
            <w:rStyle w:val="Hyperlink"/>
            <w:lang w:val="es-CR"/>
          </w:rPr>
          <w:t>http://www.corteidh.or.cr/docs/asuntos/diazloreto_fv_18.pdf</w:t>
        </w:r>
      </w:hyperlink>
      <w:r>
        <w:rPr>
          <w:lang w:val="es-C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704" w:rsidRDefault="00605CDC">
    <w:pPr>
      <w:pStyle w:val="Header"/>
      <w:jc w:val="center"/>
    </w:pPr>
    <w:r>
      <w:t>-</w:t>
    </w:r>
    <w:sdt>
      <w:sdtPr>
        <w:id w:val="-1718731216"/>
        <w:docPartObj>
          <w:docPartGallery w:val="Page Numbers (Top of Page)"/>
          <w:docPartUnique/>
        </w:docPartObj>
      </w:sdtPr>
      <w:sdtEndPr>
        <w:rPr>
          <w:noProof/>
        </w:rPr>
      </w:sdtEndPr>
      <w:sdtContent>
        <w:r w:rsidR="00547704">
          <w:fldChar w:fldCharType="begin"/>
        </w:r>
        <w:r w:rsidR="00547704">
          <w:instrText xml:space="preserve"> PAGE   \* MERGEFORMAT </w:instrText>
        </w:r>
        <w:r w:rsidR="00547704">
          <w:fldChar w:fldCharType="separate"/>
        </w:r>
        <w:r w:rsidR="00E47C03">
          <w:rPr>
            <w:noProof/>
          </w:rPr>
          <w:t>7</w:t>
        </w:r>
        <w:r w:rsidR="00547704">
          <w:rPr>
            <w:noProof/>
          </w:rPr>
          <w:fldChar w:fldCharType="end"/>
        </w:r>
        <w:r>
          <w:rPr>
            <w:noProof/>
          </w:rPr>
          <w:t>-</w:t>
        </w:r>
      </w:sdtContent>
    </w:sdt>
  </w:p>
  <w:p w:rsidR="00547704" w:rsidRDefault="005477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2600"/>
    <w:multiLevelType w:val="hybridMultilevel"/>
    <w:tmpl w:val="F0DCEC8C"/>
    <w:lvl w:ilvl="0" w:tplc="FD72A19E">
      <w:start w:val="1"/>
      <w:numFmt w:val="decimal"/>
      <w:lvlText w:val="%1)"/>
      <w:lvlJc w:val="left"/>
      <w:pPr>
        <w:ind w:left="1353" w:hanging="360"/>
      </w:pPr>
      <w:rPr>
        <w:b w:val="0"/>
        <w:bCs/>
        <w:i w:val="0"/>
        <w:i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20B1BFF"/>
    <w:multiLevelType w:val="hybridMultilevel"/>
    <w:tmpl w:val="B668313C"/>
    <w:lvl w:ilvl="0" w:tplc="42E26D32">
      <w:start w:val="1"/>
      <w:numFmt w:val="upperLetter"/>
      <w:lvlText w:val="%1."/>
      <w:lvlJc w:val="left"/>
      <w:pPr>
        <w:ind w:left="720" w:hanging="360"/>
      </w:pPr>
      <w:rPr>
        <w:b w:val="0"/>
      </w:rPr>
    </w:lvl>
    <w:lvl w:ilvl="1" w:tplc="47002368">
      <w:start w:val="1"/>
      <w:numFmt w:val="decimal"/>
      <w:lvlText w:val="%2)"/>
      <w:lvlJc w:val="left"/>
      <w:pPr>
        <w:ind w:left="1440" w:hanging="360"/>
      </w:pPr>
      <w:rPr>
        <w:rFonts w:ascii="Verdana" w:eastAsia="Batang" w:hAnsi="Verdana" w:cs="Calibri"/>
        <w:b/>
        <w:bCs/>
        <w:i w:val="0"/>
        <w:iCs w:val="0"/>
      </w:rPr>
    </w:lvl>
    <w:lvl w:ilvl="2" w:tplc="0409001B">
      <w:start w:val="1"/>
      <w:numFmt w:val="lowerRoman"/>
      <w:lvlText w:val="%3."/>
      <w:lvlJc w:val="right"/>
      <w:pPr>
        <w:ind w:left="2160" w:hanging="180"/>
      </w:pPr>
    </w:lvl>
    <w:lvl w:ilvl="3" w:tplc="01E62360">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554BC6"/>
    <w:multiLevelType w:val="hybridMultilevel"/>
    <w:tmpl w:val="1C6E20A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1E541AD"/>
    <w:multiLevelType w:val="hybridMultilevel"/>
    <w:tmpl w:val="F54AC4DA"/>
    <w:lvl w:ilvl="0" w:tplc="00190409">
      <w:start w:val="1"/>
      <w:numFmt w:val="lowerLetter"/>
      <w:lvlText w:val="%1."/>
      <w:lvlJc w:val="left"/>
      <w:pPr>
        <w:tabs>
          <w:tab w:val="num" w:pos="1440"/>
        </w:tabs>
        <w:ind w:left="1440" w:hanging="360"/>
      </w:pPr>
      <w:rPr>
        <w:rFonts w:cs="Times New Roman"/>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nsid w:val="19C83564"/>
    <w:multiLevelType w:val="hybridMultilevel"/>
    <w:tmpl w:val="94BECD7E"/>
    <w:lvl w:ilvl="0" w:tplc="FD72A19E">
      <w:start w:val="1"/>
      <w:numFmt w:val="decimal"/>
      <w:lvlText w:val="%1)"/>
      <w:lvlJc w:val="left"/>
      <w:pPr>
        <w:ind w:left="1353" w:hanging="360"/>
      </w:pPr>
      <w:rPr>
        <w:b w:val="0"/>
        <w:bCs/>
        <w:i w:val="0"/>
        <w:iCs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
    <w:nsid w:val="210F06CE"/>
    <w:multiLevelType w:val="hybridMultilevel"/>
    <w:tmpl w:val="C5EEF3BC"/>
    <w:lvl w:ilvl="0" w:tplc="204685C2">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293BF9"/>
    <w:multiLevelType w:val="hybridMultilevel"/>
    <w:tmpl w:val="F54AC4DA"/>
    <w:lvl w:ilvl="0" w:tplc="00190409">
      <w:start w:val="1"/>
      <w:numFmt w:val="lowerLetter"/>
      <w:lvlText w:val="%1."/>
      <w:lvlJc w:val="left"/>
      <w:pPr>
        <w:tabs>
          <w:tab w:val="num" w:pos="1440"/>
        </w:tabs>
        <w:ind w:left="1440" w:hanging="360"/>
      </w:pPr>
      <w:rPr>
        <w:rFonts w:cs="Times New Roman"/>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
    <w:nsid w:val="2A780770"/>
    <w:multiLevelType w:val="hybridMultilevel"/>
    <w:tmpl w:val="3DC8A7FE"/>
    <w:lvl w:ilvl="0" w:tplc="67E07D4A">
      <w:start w:val="1"/>
      <w:numFmt w:val="decimal"/>
      <w:lvlText w:val="%1."/>
      <w:lvlJc w:val="left"/>
      <w:pPr>
        <w:ind w:left="1800" w:hanging="720"/>
      </w:pPr>
      <w:rPr>
        <w:b w:val="0"/>
        <w:i w:val="0"/>
        <w:color w:val="auto"/>
      </w:rPr>
    </w:lvl>
    <w:lvl w:ilvl="1" w:tplc="7C2C13CE">
      <w:start w:val="1"/>
      <w:numFmt w:val="lowerRoman"/>
      <w:lvlText w:val="%2."/>
      <w:lvlJc w:val="left"/>
      <w:pPr>
        <w:ind w:left="1800" w:hanging="720"/>
      </w:pPr>
    </w:lvl>
    <w:lvl w:ilvl="2" w:tplc="841219D4">
      <w:start w:val="1"/>
      <w:numFmt w:val="upp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45A26AB"/>
    <w:multiLevelType w:val="hybridMultilevel"/>
    <w:tmpl w:val="D9A29B7A"/>
    <w:lvl w:ilvl="0" w:tplc="04090015">
      <w:start w:val="1"/>
      <w:numFmt w:val="upperLetter"/>
      <w:lvlText w:val="%1."/>
      <w:lvlJc w:val="left"/>
      <w:pPr>
        <w:ind w:left="720" w:hanging="360"/>
      </w:pPr>
    </w:lvl>
    <w:lvl w:ilvl="1" w:tplc="FD72A19E">
      <w:start w:val="1"/>
      <w:numFmt w:val="decimal"/>
      <w:lvlText w:val="%2)"/>
      <w:lvlJc w:val="left"/>
      <w:pPr>
        <w:ind w:left="1353" w:hanging="360"/>
      </w:pPr>
      <w:rPr>
        <w:b w:val="0"/>
        <w:bCs/>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A38404A"/>
    <w:multiLevelType w:val="hybridMultilevel"/>
    <w:tmpl w:val="484625C4"/>
    <w:lvl w:ilvl="0" w:tplc="43D0D0D0">
      <w:start w:val="1"/>
      <w:numFmt w:val="decimal"/>
      <w:lvlText w:val="%1."/>
      <w:lvlJc w:val="left"/>
      <w:pPr>
        <w:tabs>
          <w:tab w:val="num" w:pos="720"/>
        </w:tabs>
        <w:ind w:left="0" w:firstLine="0"/>
      </w:pPr>
      <w:rPr>
        <w:rFonts w:ascii="Verdana" w:hAnsi="Verdana" w:cs="Times New Roman" w:hint="default"/>
        <w:b w:val="0"/>
        <w:i w:val="0"/>
        <w:sz w:val="20"/>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0">
    <w:nsid w:val="3E9B7ACA"/>
    <w:multiLevelType w:val="hybridMultilevel"/>
    <w:tmpl w:val="C53E571E"/>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FC57B8"/>
    <w:multiLevelType w:val="hybridMultilevel"/>
    <w:tmpl w:val="B69064D8"/>
    <w:lvl w:ilvl="0" w:tplc="9A22BA8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E0600B2"/>
    <w:multiLevelType w:val="hybridMultilevel"/>
    <w:tmpl w:val="94BECD7E"/>
    <w:lvl w:ilvl="0" w:tplc="FD72A19E">
      <w:start w:val="1"/>
      <w:numFmt w:val="decimal"/>
      <w:lvlText w:val="%1)"/>
      <w:lvlJc w:val="left"/>
      <w:pPr>
        <w:ind w:left="1353" w:hanging="360"/>
      </w:pPr>
      <w:rPr>
        <w:b w:val="0"/>
        <w:bCs/>
        <w:i w:val="0"/>
        <w:iCs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3">
    <w:nsid w:val="615D6ECD"/>
    <w:multiLevelType w:val="hybridMultilevel"/>
    <w:tmpl w:val="70BA2DC8"/>
    <w:lvl w:ilvl="0" w:tplc="ED0459E8">
      <w:start w:val="1"/>
      <w:numFmt w:val="lowerLetter"/>
      <w:lvlText w:val="%1)"/>
      <w:lvlJc w:val="left"/>
      <w:pPr>
        <w:ind w:left="1080" w:hanging="360"/>
      </w:pPr>
      <w:rPr>
        <w:rFonts w:ascii="Verdana" w:hAnsi="Verdana" w:cs="Verdana" w:hint="default"/>
        <w:sz w:val="20"/>
        <w:szCs w:val="20"/>
      </w:rPr>
    </w:lvl>
    <w:lvl w:ilvl="1" w:tplc="7ED89FC2">
      <w:start w:val="1"/>
      <w:numFmt w:val="decimal"/>
      <w:lvlText w:val="%2."/>
      <w:lvlJc w:val="left"/>
      <w:pPr>
        <w:tabs>
          <w:tab w:val="num" w:pos="993"/>
        </w:tabs>
        <w:ind w:left="0" w:firstLine="0"/>
      </w:pPr>
      <w:rPr>
        <w:b/>
        <w:bCs w:val="0"/>
        <w:sz w:val="20"/>
        <w:szCs w:val="20"/>
      </w:rPr>
    </w:lvl>
    <w:lvl w:ilvl="2" w:tplc="B96C1A40">
      <w:start w:val="1"/>
      <w:numFmt w:val="lowerLetter"/>
      <w:lvlText w:val="%3)"/>
      <w:lvlJc w:val="left"/>
      <w:pPr>
        <w:ind w:left="2700" w:hanging="360"/>
      </w:pPr>
      <w:rPr>
        <w:rFonts w:ascii="Verdana" w:hAnsi="Verdana" w:cs="Verdana" w:hint="default"/>
        <w:b w:val="0"/>
        <w:bCs w:val="0"/>
        <w:sz w:val="20"/>
        <w:szCs w:val="20"/>
      </w:rPr>
    </w:lvl>
    <w:lvl w:ilvl="3" w:tplc="DF4032A0">
      <w:start w:val="1"/>
      <w:numFmt w:val="decimal"/>
      <w:lvlText w:val="%4."/>
      <w:lvlJc w:val="left"/>
      <w:pPr>
        <w:ind w:left="3240" w:hanging="360"/>
      </w:pPr>
      <w:rPr>
        <w:b w:val="0"/>
      </w:r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14">
    <w:nsid w:val="62C97D24"/>
    <w:multiLevelType w:val="hybridMultilevel"/>
    <w:tmpl w:val="C0FAAC86"/>
    <w:lvl w:ilvl="0" w:tplc="3F2CF080">
      <w:start w:val="1"/>
      <w:numFmt w:val="decimal"/>
      <w:lvlText w:val="%1."/>
      <w:lvlJc w:val="left"/>
      <w:pPr>
        <w:ind w:left="1080" w:hanging="720"/>
      </w:pPr>
      <w:rPr>
        <w:b w:val="0"/>
      </w:rPr>
    </w:lvl>
    <w:lvl w:ilvl="1" w:tplc="B08C5A98">
      <w:start w:val="1"/>
      <w:numFmt w:val="lowerRoman"/>
      <w:lvlText w:val="%2."/>
      <w:lvlJc w:val="left"/>
      <w:pPr>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44167C5"/>
    <w:multiLevelType w:val="hybridMultilevel"/>
    <w:tmpl w:val="56E2A2AE"/>
    <w:lvl w:ilvl="0" w:tplc="0FD0E226">
      <w:start w:val="2"/>
      <w:numFmt w:val="decimal"/>
      <w:lvlText w:val="%1."/>
      <w:lvlJc w:val="left"/>
      <w:pPr>
        <w:tabs>
          <w:tab w:val="num" w:pos="1440"/>
        </w:tabs>
        <w:ind w:left="0" w:firstLine="0"/>
      </w:pPr>
      <w:rPr>
        <w:rFonts w:ascii="Verdana" w:hAnsi="Verdana" w:cs="Times New Roman" w:hint="default"/>
        <w:b w:val="0"/>
        <w:i w:val="0"/>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701E7730"/>
    <w:multiLevelType w:val="hybridMultilevel"/>
    <w:tmpl w:val="44EC8F8A"/>
    <w:lvl w:ilvl="0" w:tplc="687274CC">
      <w:start w:val="1"/>
      <w:numFmt w:val="upperLetter"/>
      <w:lvlText w:val="%1."/>
      <w:lvlJc w:val="left"/>
      <w:pPr>
        <w:ind w:left="1080" w:hanging="720"/>
      </w:pPr>
      <w:rPr>
        <w:i/>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4A64D9D"/>
    <w:multiLevelType w:val="hybridMultilevel"/>
    <w:tmpl w:val="D47AFC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FB7C72"/>
    <w:multiLevelType w:val="hybridMultilevel"/>
    <w:tmpl w:val="E1225B1E"/>
    <w:lvl w:ilvl="0" w:tplc="D1901EA4">
      <w:start w:val="1"/>
      <w:numFmt w:val="upperLetter"/>
      <w:lvlText w:val="%1)"/>
      <w:lvlJc w:val="left"/>
      <w:pPr>
        <w:ind w:left="644"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9">
    <w:nsid w:val="773339A0"/>
    <w:multiLevelType w:val="hybridMultilevel"/>
    <w:tmpl w:val="44EC8F8A"/>
    <w:lvl w:ilvl="0" w:tplc="687274CC">
      <w:start w:val="1"/>
      <w:numFmt w:val="upperLetter"/>
      <w:lvlText w:val="%1."/>
      <w:lvlJc w:val="left"/>
      <w:pPr>
        <w:ind w:left="1080" w:hanging="720"/>
      </w:pPr>
      <w:rPr>
        <w:i/>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7"/>
  </w:num>
  <w:num w:numId="13">
    <w:abstractNumId w:val="10"/>
  </w:num>
  <w:num w:numId="14">
    <w:abstractNumId w:val="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9"/>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0"/>
  </w:num>
  <w:num w:numId="2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675"/>
    <w:rsid w:val="00000ABF"/>
    <w:rsid w:val="00000E2C"/>
    <w:rsid w:val="00003D67"/>
    <w:rsid w:val="000265F4"/>
    <w:rsid w:val="000336A3"/>
    <w:rsid w:val="0004648D"/>
    <w:rsid w:val="0004675C"/>
    <w:rsid w:val="0007188E"/>
    <w:rsid w:val="00076BA7"/>
    <w:rsid w:val="000778F1"/>
    <w:rsid w:val="000A61F1"/>
    <w:rsid w:val="000D213C"/>
    <w:rsid w:val="00107395"/>
    <w:rsid w:val="00120E74"/>
    <w:rsid w:val="001517C2"/>
    <w:rsid w:val="00163834"/>
    <w:rsid w:val="001726E1"/>
    <w:rsid w:val="0018390D"/>
    <w:rsid w:val="001947A5"/>
    <w:rsid w:val="001B02B3"/>
    <w:rsid w:val="001C0723"/>
    <w:rsid w:val="001C462F"/>
    <w:rsid w:val="00204BFF"/>
    <w:rsid w:val="00217992"/>
    <w:rsid w:val="00282066"/>
    <w:rsid w:val="002A4FC7"/>
    <w:rsid w:val="002A764B"/>
    <w:rsid w:val="002E677F"/>
    <w:rsid w:val="002F2625"/>
    <w:rsid w:val="00300A4A"/>
    <w:rsid w:val="00304462"/>
    <w:rsid w:val="00320167"/>
    <w:rsid w:val="00322455"/>
    <w:rsid w:val="003439BA"/>
    <w:rsid w:val="00356488"/>
    <w:rsid w:val="0038532B"/>
    <w:rsid w:val="003A6617"/>
    <w:rsid w:val="003D548A"/>
    <w:rsid w:val="00400470"/>
    <w:rsid w:val="004455FA"/>
    <w:rsid w:val="00466B2B"/>
    <w:rsid w:val="00467AA1"/>
    <w:rsid w:val="00490486"/>
    <w:rsid w:val="004E06A2"/>
    <w:rsid w:val="004F4757"/>
    <w:rsid w:val="004F50C1"/>
    <w:rsid w:val="00515ABF"/>
    <w:rsid w:val="00523FEF"/>
    <w:rsid w:val="00547704"/>
    <w:rsid w:val="00550BEB"/>
    <w:rsid w:val="005755A8"/>
    <w:rsid w:val="00585A87"/>
    <w:rsid w:val="005937E5"/>
    <w:rsid w:val="00596B42"/>
    <w:rsid w:val="005E3C1A"/>
    <w:rsid w:val="005E4C34"/>
    <w:rsid w:val="00604A32"/>
    <w:rsid w:val="00605CDC"/>
    <w:rsid w:val="00607314"/>
    <w:rsid w:val="00625AA1"/>
    <w:rsid w:val="006449B0"/>
    <w:rsid w:val="00690984"/>
    <w:rsid w:val="006C327E"/>
    <w:rsid w:val="006C51D5"/>
    <w:rsid w:val="006D762E"/>
    <w:rsid w:val="00726399"/>
    <w:rsid w:val="007552F5"/>
    <w:rsid w:val="007743ED"/>
    <w:rsid w:val="007D51A0"/>
    <w:rsid w:val="00853EEB"/>
    <w:rsid w:val="00864C6E"/>
    <w:rsid w:val="00877E09"/>
    <w:rsid w:val="008C1688"/>
    <w:rsid w:val="008D69EC"/>
    <w:rsid w:val="00906BF7"/>
    <w:rsid w:val="0092372F"/>
    <w:rsid w:val="00950199"/>
    <w:rsid w:val="00977507"/>
    <w:rsid w:val="0098626F"/>
    <w:rsid w:val="009B10C0"/>
    <w:rsid w:val="009B2037"/>
    <w:rsid w:val="009E4BD2"/>
    <w:rsid w:val="00A10CD3"/>
    <w:rsid w:val="00A242C2"/>
    <w:rsid w:val="00A25927"/>
    <w:rsid w:val="00A354BC"/>
    <w:rsid w:val="00A35EDF"/>
    <w:rsid w:val="00A52F55"/>
    <w:rsid w:val="00A55F28"/>
    <w:rsid w:val="00A77B0D"/>
    <w:rsid w:val="00A83B21"/>
    <w:rsid w:val="00A95362"/>
    <w:rsid w:val="00AF7835"/>
    <w:rsid w:val="00B10675"/>
    <w:rsid w:val="00B10F4D"/>
    <w:rsid w:val="00B121C6"/>
    <w:rsid w:val="00B3560B"/>
    <w:rsid w:val="00BA2DCB"/>
    <w:rsid w:val="00BB3B49"/>
    <w:rsid w:val="00BC138A"/>
    <w:rsid w:val="00BC1C2C"/>
    <w:rsid w:val="00BF3CD5"/>
    <w:rsid w:val="00BF4B82"/>
    <w:rsid w:val="00C3662C"/>
    <w:rsid w:val="00C50366"/>
    <w:rsid w:val="00C80B0F"/>
    <w:rsid w:val="00CB5DAE"/>
    <w:rsid w:val="00CB7520"/>
    <w:rsid w:val="00CC7F80"/>
    <w:rsid w:val="00CD344F"/>
    <w:rsid w:val="00CD3944"/>
    <w:rsid w:val="00D02735"/>
    <w:rsid w:val="00D061FB"/>
    <w:rsid w:val="00D103B5"/>
    <w:rsid w:val="00D9059A"/>
    <w:rsid w:val="00DA3C5D"/>
    <w:rsid w:val="00DE35FD"/>
    <w:rsid w:val="00E038EC"/>
    <w:rsid w:val="00E23E2A"/>
    <w:rsid w:val="00E47C03"/>
    <w:rsid w:val="00E848C2"/>
    <w:rsid w:val="00E933BA"/>
    <w:rsid w:val="00EA100C"/>
    <w:rsid w:val="00EA345D"/>
    <w:rsid w:val="00EA41C2"/>
    <w:rsid w:val="00EC429C"/>
    <w:rsid w:val="00ED7F0C"/>
    <w:rsid w:val="00EE5575"/>
    <w:rsid w:val="00EF0AB0"/>
    <w:rsid w:val="00F36470"/>
    <w:rsid w:val="00F4202C"/>
    <w:rsid w:val="00F5382C"/>
    <w:rsid w:val="00F632FA"/>
    <w:rsid w:val="00F74853"/>
    <w:rsid w:val="00F84263"/>
    <w:rsid w:val="00F93E27"/>
    <w:rsid w:val="00FA1A53"/>
    <w:rsid w:val="00FB77E5"/>
    <w:rsid w:val="00FC771F"/>
    <w:rsid w:val="00FD55FD"/>
    <w:rsid w:val="00FE0B2F"/>
    <w:rsid w:val="00FE127E"/>
    <w:rsid w:val="00FE3955"/>
    <w:rsid w:val="00FE69DA"/>
    <w:rsid w:val="00FE6C79"/>
    <w:rsid w:val="00FF3671"/>
    <w:rsid w:val="00FF52B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675"/>
    <w:pPr>
      <w:spacing w:after="120" w:line="240" w:lineRule="auto"/>
      <w:jc w:val="both"/>
    </w:pPr>
    <w:rPr>
      <w:rFonts w:ascii="Verdana" w:eastAsia="Calibri" w:hAnsi="Verdana" w:cs="Times"/>
      <w:sz w:val="20"/>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
    <w:basedOn w:val="DefaultParagraphFont"/>
    <w:link w:val="FootnoteText"/>
    <w:locked/>
    <w:rsid w:val="004E06A2"/>
    <w:rPr>
      <w:rFonts w:ascii="Verdana" w:eastAsia="Calibri" w:hAnsi="Verdana" w:cs="Times"/>
      <w:sz w:val="16"/>
      <w:szCs w:val="16"/>
      <w:lang w:val="es-ES_tradnl" w:eastAsia="es-ES"/>
    </w:rPr>
  </w:style>
  <w:style w:type="paragraph" w:styleId="FootnoteText">
    <w:name w:val="footnote text"/>
    <w:aliases w:val="Footnote reference,FA Fu,Footnote Text Char Char Char Char Char,Footnote Text Char Char Char Char,Footnote Text Char Char Char,Footnote Text Cha,FA Fußnotentext,FA Fuﬂnotentext,Footnote Text Char Char,FA Fu?notentext,Ca,Texto nota pie Car"/>
    <w:basedOn w:val="Normal"/>
    <w:link w:val="FootnoteTextChar"/>
    <w:autoRedefine/>
    <w:unhideWhenUsed/>
    <w:qFormat/>
    <w:rsid w:val="004E06A2"/>
    <w:rPr>
      <w:sz w:val="16"/>
      <w:szCs w:val="16"/>
    </w:rPr>
  </w:style>
  <w:style w:type="character" w:customStyle="1" w:styleId="FootnoteTextChar1">
    <w:name w:val="Footnote Text Char1"/>
    <w:aliases w:val="Texto nota pie Car Char,FA Fu Car Char,FA Fu Car Car Char"/>
    <w:basedOn w:val="DefaultParagraphFont"/>
    <w:semiHidden/>
    <w:rsid w:val="00B10675"/>
    <w:rPr>
      <w:rFonts w:ascii="Verdana" w:eastAsia="Calibri" w:hAnsi="Verdana" w:cs="Times"/>
      <w:sz w:val="20"/>
      <w:szCs w:val="20"/>
      <w:lang w:val="es-ES_tradnl" w:eastAsia="es-ES"/>
    </w:rPr>
  </w:style>
  <w:style w:type="paragraph" w:styleId="BodyTextIndent">
    <w:name w:val="Body Text Indent"/>
    <w:basedOn w:val="Normal"/>
    <w:link w:val="BodyTextIndentChar"/>
    <w:uiPriority w:val="99"/>
    <w:semiHidden/>
    <w:unhideWhenUsed/>
    <w:rsid w:val="00B10675"/>
    <w:pPr>
      <w:ind w:left="283"/>
    </w:pPr>
  </w:style>
  <w:style w:type="character" w:customStyle="1" w:styleId="BodyTextIndentChar">
    <w:name w:val="Body Text Indent Char"/>
    <w:basedOn w:val="DefaultParagraphFont"/>
    <w:link w:val="BodyTextIndent"/>
    <w:uiPriority w:val="99"/>
    <w:semiHidden/>
    <w:rsid w:val="00B10675"/>
    <w:rPr>
      <w:rFonts w:ascii="Verdana" w:eastAsia="Calibri" w:hAnsi="Verdana" w:cs="Times"/>
      <w:sz w:val="20"/>
      <w:szCs w:val="24"/>
      <w:lang w:val="es-ES_tradnl" w:eastAsia="es-ES"/>
    </w:rPr>
  </w:style>
  <w:style w:type="paragraph" w:styleId="ListParagraph">
    <w:name w:val="List Paragraph"/>
    <w:aliases w:val="Footnote,List Paragraph2,Lista vistosa - Énfasis 11"/>
    <w:basedOn w:val="Normal"/>
    <w:link w:val="ListParagraphChar"/>
    <w:uiPriority w:val="99"/>
    <w:qFormat/>
    <w:rsid w:val="00B10675"/>
    <w:pPr>
      <w:ind w:left="720"/>
      <w:contextualSpacing/>
    </w:pPr>
  </w:style>
  <w:style w:type="paragraph" w:customStyle="1" w:styleId="ListParagraph1">
    <w:name w:val="List Paragraph1"/>
    <w:basedOn w:val="Normal"/>
    <w:rsid w:val="00B10675"/>
    <w:pPr>
      <w:spacing w:after="0"/>
      <w:ind w:left="720"/>
      <w:jc w:val="left"/>
    </w:pPr>
    <w:rPr>
      <w:rFonts w:ascii="Times New Roman" w:hAnsi="Times New Roman" w:cs="Times New Roman"/>
      <w:sz w:val="24"/>
      <w:lang w:val="es-ES"/>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basedOn w:val="DefaultParagraphFont"/>
    <w:semiHidden/>
    <w:unhideWhenUsed/>
    <w:qFormat/>
    <w:rsid w:val="00B10675"/>
    <w:rPr>
      <w:vertAlign w:val="superscript"/>
    </w:rPr>
  </w:style>
  <w:style w:type="paragraph" w:styleId="BalloonText">
    <w:name w:val="Balloon Text"/>
    <w:basedOn w:val="Normal"/>
    <w:link w:val="BalloonTextChar"/>
    <w:uiPriority w:val="99"/>
    <w:semiHidden/>
    <w:unhideWhenUsed/>
    <w:rsid w:val="00E23E2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E2A"/>
    <w:rPr>
      <w:rFonts w:ascii="Tahoma" w:eastAsia="Calibri" w:hAnsi="Tahoma" w:cs="Tahoma"/>
      <w:sz w:val="16"/>
      <w:szCs w:val="16"/>
      <w:lang w:val="es-ES_tradnl" w:eastAsia="es-ES"/>
    </w:rPr>
  </w:style>
  <w:style w:type="character" w:customStyle="1" w:styleId="ListParagraphChar">
    <w:name w:val="List Paragraph Char"/>
    <w:aliases w:val="Footnote Char,List Paragraph2 Char,Lista vistosa - Énfasis 11 Char"/>
    <w:link w:val="ListParagraph"/>
    <w:locked/>
    <w:rsid w:val="001C0723"/>
    <w:rPr>
      <w:rFonts w:ascii="Verdana" w:eastAsia="Calibri" w:hAnsi="Verdana" w:cs="Times"/>
      <w:sz w:val="20"/>
      <w:szCs w:val="24"/>
      <w:lang w:val="es-ES_tradnl" w:eastAsia="es-ES"/>
    </w:rPr>
  </w:style>
  <w:style w:type="character" w:styleId="CommentReference">
    <w:name w:val="annotation reference"/>
    <w:basedOn w:val="DefaultParagraphFont"/>
    <w:uiPriority w:val="99"/>
    <w:semiHidden/>
    <w:unhideWhenUsed/>
    <w:rsid w:val="00A77B0D"/>
    <w:rPr>
      <w:sz w:val="16"/>
      <w:szCs w:val="16"/>
    </w:rPr>
  </w:style>
  <w:style w:type="paragraph" w:styleId="CommentText">
    <w:name w:val="annotation text"/>
    <w:basedOn w:val="Normal"/>
    <w:link w:val="CommentTextChar"/>
    <w:uiPriority w:val="99"/>
    <w:semiHidden/>
    <w:unhideWhenUsed/>
    <w:rsid w:val="00A77B0D"/>
    <w:rPr>
      <w:szCs w:val="20"/>
    </w:rPr>
  </w:style>
  <w:style w:type="character" w:customStyle="1" w:styleId="CommentTextChar">
    <w:name w:val="Comment Text Char"/>
    <w:basedOn w:val="DefaultParagraphFont"/>
    <w:link w:val="CommentText"/>
    <w:uiPriority w:val="99"/>
    <w:semiHidden/>
    <w:rsid w:val="00A77B0D"/>
    <w:rPr>
      <w:rFonts w:ascii="Verdana" w:eastAsia="Calibri" w:hAnsi="Verdana" w:cs="Times"/>
      <w:sz w:val="20"/>
      <w:szCs w:val="20"/>
      <w:lang w:val="es-ES_tradnl" w:eastAsia="es-ES"/>
    </w:rPr>
  </w:style>
  <w:style w:type="paragraph" w:styleId="CommentSubject">
    <w:name w:val="annotation subject"/>
    <w:basedOn w:val="CommentText"/>
    <w:next w:val="CommentText"/>
    <w:link w:val="CommentSubjectChar"/>
    <w:uiPriority w:val="99"/>
    <w:semiHidden/>
    <w:unhideWhenUsed/>
    <w:rsid w:val="00A77B0D"/>
    <w:rPr>
      <w:b/>
      <w:bCs/>
    </w:rPr>
  </w:style>
  <w:style w:type="character" w:customStyle="1" w:styleId="CommentSubjectChar">
    <w:name w:val="Comment Subject Char"/>
    <w:basedOn w:val="CommentTextChar"/>
    <w:link w:val="CommentSubject"/>
    <w:uiPriority w:val="99"/>
    <w:semiHidden/>
    <w:rsid w:val="00A77B0D"/>
    <w:rPr>
      <w:rFonts w:ascii="Verdana" w:eastAsia="Calibri" w:hAnsi="Verdana" w:cs="Times"/>
      <w:b/>
      <w:bCs/>
      <w:sz w:val="20"/>
      <w:szCs w:val="20"/>
      <w:lang w:val="es-ES_tradnl" w:eastAsia="es-ES"/>
    </w:rPr>
  </w:style>
  <w:style w:type="paragraph" w:styleId="Header">
    <w:name w:val="header"/>
    <w:basedOn w:val="Normal"/>
    <w:link w:val="HeaderChar"/>
    <w:uiPriority w:val="99"/>
    <w:unhideWhenUsed/>
    <w:rsid w:val="00547704"/>
    <w:pPr>
      <w:tabs>
        <w:tab w:val="center" w:pos="4419"/>
        <w:tab w:val="right" w:pos="8838"/>
      </w:tabs>
      <w:spacing w:after="0"/>
    </w:pPr>
  </w:style>
  <w:style w:type="character" w:customStyle="1" w:styleId="HeaderChar">
    <w:name w:val="Header Char"/>
    <w:basedOn w:val="DefaultParagraphFont"/>
    <w:link w:val="Header"/>
    <w:uiPriority w:val="99"/>
    <w:rsid w:val="00547704"/>
    <w:rPr>
      <w:rFonts w:ascii="Verdana" w:eastAsia="Calibri" w:hAnsi="Verdana" w:cs="Times"/>
      <w:sz w:val="20"/>
      <w:szCs w:val="24"/>
      <w:lang w:val="es-ES_tradnl" w:eastAsia="es-ES"/>
    </w:rPr>
  </w:style>
  <w:style w:type="paragraph" w:styleId="Footer">
    <w:name w:val="footer"/>
    <w:basedOn w:val="Normal"/>
    <w:link w:val="FooterChar"/>
    <w:uiPriority w:val="99"/>
    <w:unhideWhenUsed/>
    <w:rsid w:val="00547704"/>
    <w:pPr>
      <w:tabs>
        <w:tab w:val="center" w:pos="4419"/>
        <w:tab w:val="right" w:pos="8838"/>
      </w:tabs>
      <w:spacing w:after="0"/>
    </w:pPr>
  </w:style>
  <w:style w:type="character" w:customStyle="1" w:styleId="FooterChar">
    <w:name w:val="Footer Char"/>
    <w:basedOn w:val="DefaultParagraphFont"/>
    <w:link w:val="Footer"/>
    <w:uiPriority w:val="99"/>
    <w:rsid w:val="00547704"/>
    <w:rPr>
      <w:rFonts w:ascii="Verdana" w:eastAsia="Calibri" w:hAnsi="Verdana" w:cs="Times"/>
      <w:sz w:val="20"/>
      <w:szCs w:val="24"/>
      <w:lang w:val="es-ES_tradnl" w:eastAsia="es-ES"/>
    </w:rPr>
  </w:style>
  <w:style w:type="table" w:styleId="LightList-Accent3">
    <w:name w:val="Light List Accent 3"/>
    <w:basedOn w:val="TableNormal"/>
    <w:uiPriority w:val="61"/>
    <w:rsid w:val="00585A87"/>
    <w:pPr>
      <w:spacing w:after="0" w:line="240" w:lineRule="auto"/>
    </w:pPr>
    <w:rPr>
      <w:rFonts w:eastAsiaTheme="minorEastAsia"/>
      <w:lang w:eastAsia="es-CR"/>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yperlink">
    <w:name w:val="Hyperlink"/>
    <w:uiPriority w:val="99"/>
    <w:unhideWhenUsed/>
    <w:rsid w:val="00A354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675"/>
    <w:pPr>
      <w:spacing w:after="120" w:line="240" w:lineRule="auto"/>
      <w:jc w:val="both"/>
    </w:pPr>
    <w:rPr>
      <w:rFonts w:ascii="Verdana" w:eastAsia="Calibri" w:hAnsi="Verdana" w:cs="Times"/>
      <w:sz w:val="20"/>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
    <w:basedOn w:val="DefaultParagraphFont"/>
    <w:link w:val="FootnoteText"/>
    <w:locked/>
    <w:rsid w:val="004E06A2"/>
    <w:rPr>
      <w:rFonts w:ascii="Verdana" w:eastAsia="Calibri" w:hAnsi="Verdana" w:cs="Times"/>
      <w:sz w:val="16"/>
      <w:szCs w:val="16"/>
      <w:lang w:val="es-ES_tradnl" w:eastAsia="es-ES"/>
    </w:rPr>
  </w:style>
  <w:style w:type="paragraph" w:styleId="FootnoteText">
    <w:name w:val="footnote text"/>
    <w:aliases w:val="Footnote reference,FA Fu,Footnote Text Char Char Char Char Char,Footnote Text Char Char Char Char,Footnote Text Char Char Char,Footnote Text Cha,FA Fußnotentext,FA Fuﬂnotentext,Footnote Text Char Char,FA Fu?notentext,Ca,Texto nota pie Car"/>
    <w:basedOn w:val="Normal"/>
    <w:link w:val="FootnoteTextChar"/>
    <w:autoRedefine/>
    <w:unhideWhenUsed/>
    <w:qFormat/>
    <w:rsid w:val="004E06A2"/>
    <w:rPr>
      <w:sz w:val="16"/>
      <w:szCs w:val="16"/>
    </w:rPr>
  </w:style>
  <w:style w:type="character" w:customStyle="1" w:styleId="FootnoteTextChar1">
    <w:name w:val="Footnote Text Char1"/>
    <w:aliases w:val="Texto nota pie Car Char,FA Fu Car Char,FA Fu Car Car Char"/>
    <w:basedOn w:val="DefaultParagraphFont"/>
    <w:semiHidden/>
    <w:rsid w:val="00B10675"/>
    <w:rPr>
      <w:rFonts w:ascii="Verdana" w:eastAsia="Calibri" w:hAnsi="Verdana" w:cs="Times"/>
      <w:sz w:val="20"/>
      <w:szCs w:val="20"/>
      <w:lang w:val="es-ES_tradnl" w:eastAsia="es-ES"/>
    </w:rPr>
  </w:style>
  <w:style w:type="paragraph" w:styleId="BodyTextIndent">
    <w:name w:val="Body Text Indent"/>
    <w:basedOn w:val="Normal"/>
    <w:link w:val="BodyTextIndentChar"/>
    <w:uiPriority w:val="99"/>
    <w:semiHidden/>
    <w:unhideWhenUsed/>
    <w:rsid w:val="00B10675"/>
    <w:pPr>
      <w:ind w:left="283"/>
    </w:pPr>
  </w:style>
  <w:style w:type="character" w:customStyle="1" w:styleId="BodyTextIndentChar">
    <w:name w:val="Body Text Indent Char"/>
    <w:basedOn w:val="DefaultParagraphFont"/>
    <w:link w:val="BodyTextIndent"/>
    <w:uiPriority w:val="99"/>
    <w:semiHidden/>
    <w:rsid w:val="00B10675"/>
    <w:rPr>
      <w:rFonts w:ascii="Verdana" w:eastAsia="Calibri" w:hAnsi="Verdana" w:cs="Times"/>
      <w:sz w:val="20"/>
      <w:szCs w:val="24"/>
      <w:lang w:val="es-ES_tradnl" w:eastAsia="es-ES"/>
    </w:rPr>
  </w:style>
  <w:style w:type="paragraph" w:styleId="ListParagraph">
    <w:name w:val="List Paragraph"/>
    <w:aliases w:val="Footnote,List Paragraph2,Lista vistosa - Énfasis 11"/>
    <w:basedOn w:val="Normal"/>
    <w:link w:val="ListParagraphChar"/>
    <w:uiPriority w:val="99"/>
    <w:qFormat/>
    <w:rsid w:val="00B10675"/>
    <w:pPr>
      <w:ind w:left="720"/>
      <w:contextualSpacing/>
    </w:pPr>
  </w:style>
  <w:style w:type="paragraph" w:customStyle="1" w:styleId="ListParagraph1">
    <w:name w:val="List Paragraph1"/>
    <w:basedOn w:val="Normal"/>
    <w:rsid w:val="00B10675"/>
    <w:pPr>
      <w:spacing w:after="0"/>
      <w:ind w:left="720"/>
      <w:jc w:val="left"/>
    </w:pPr>
    <w:rPr>
      <w:rFonts w:ascii="Times New Roman" w:hAnsi="Times New Roman" w:cs="Times New Roman"/>
      <w:sz w:val="24"/>
      <w:lang w:val="es-ES"/>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basedOn w:val="DefaultParagraphFont"/>
    <w:semiHidden/>
    <w:unhideWhenUsed/>
    <w:qFormat/>
    <w:rsid w:val="00B10675"/>
    <w:rPr>
      <w:vertAlign w:val="superscript"/>
    </w:rPr>
  </w:style>
  <w:style w:type="paragraph" w:styleId="BalloonText">
    <w:name w:val="Balloon Text"/>
    <w:basedOn w:val="Normal"/>
    <w:link w:val="BalloonTextChar"/>
    <w:uiPriority w:val="99"/>
    <w:semiHidden/>
    <w:unhideWhenUsed/>
    <w:rsid w:val="00E23E2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E2A"/>
    <w:rPr>
      <w:rFonts w:ascii="Tahoma" w:eastAsia="Calibri" w:hAnsi="Tahoma" w:cs="Tahoma"/>
      <w:sz w:val="16"/>
      <w:szCs w:val="16"/>
      <w:lang w:val="es-ES_tradnl" w:eastAsia="es-ES"/>
    </w:rPr>
  </w:style>
  <w:style w:type="character" w:customStyle="1" w:styleId="ListParagraphChar">
    <w:name w:val="List Paragraph Char"/>
    <w:aliases w:val="Footnote Char,List Paragraph2 Char,Lista vistosa - Énfasis 11 Char"/>
    <w:link w:val="ListParagraph"/>
    <w:locked/>
    <w:rsid w:val="001C0723"/>
    <w:rPr>
      <w:rFonts w:ascii="Verdana" w:eastAsia="Calibri" w:hAnsi="Verdana" w:cs="Times"/>
      <w:sz w:val="20"/>
      <w:szCs w:val="24"/>
      <w:lang w:val="es-ES_tradnl" w:eastAsia="es-ES"/>
    </w:rPr>
  </w:style>
  <w:style w:type="character" w:styleId="CommentReference">
    <w:name w:val="annotation reference"/>
    <w:basedOn w:val="DefaultParagraphFont"/>
    <w:uiPriority w:val="99"/>
    <w:semiHidden/>
    <w:unhideWhenUsed/>
    <w:rsid w:val="00A77B0D"/>
    <w:rPr>
      <w:sz w:val="16"/>
      <w:szCs w:val="16"/>
    </w:rPr>
  </w:style>
  <w:style w:type="paragraph" w:styleId="CommentText">
    <w:name w:val="annotation text"/>
    <w:basedOn w:val="Normal"/>
    <w:link w:val="CommentTextChar"/>
    <w:uiPriority w:val="99"/>
    <w:semiHidden/>
    <w:unhideWhenUsed/>
    <w:rsid w:val="00A77B0D"/>
    <w:rPr>
      <w:szCs w:val="20"/>
    </w:rPr>
  </w:style>
  <w:style w:type="character" w:customStyle="1" w:styleId="CommentTextChar">
    <w:name w:val="Comment Text Char"/>
    <w:basedOn w:val="DefaultParagraphFont"/>
    <w:link w:val="CommentText"/>
    <w:uiPriority w:val="99"/>
    <w:semiHidden/>
    <w:rsid w:val="00A77B0D"/>
    <w:rPr>
      <w:rFonts w:ascii="Verdana" w:eastAsia="Calibri" w:hAnsi="Verdana" w:cs="Times"/>
      <w:sz w:val="20"/>
      <w:szCs w:val="20"/>
      <w:lang w:val="es-ES_tradnl" w:eastAsia="es-ES"/>
    </w:rPr>
  </w:style>
  <w:style w:type="paragraph" w:styleId="CommentSubject">
    <w:name w:val="annotation subject"/>
    <w:basedOn w:val="CommentText"/>
    <w:next w:val="CommentText"/>
    <w:link w:val="CommentSubjectChar"/>
    <w:uiPriority w:val="99"/>
    <w:semiHidden/>
    <w:unhideWhenUsed/>
    <w:rsid w:val="00A77B0D"/>
    <w:rPr>
      <w:b/>
      <w:bCs/>
    </w:rPr>
  </w:style>
  <w:style w:type="character" w:customStyle="1" w:styleId="CommentSubjectChar">
    <w:name w:val="Comment Subject Char"/>
    <w:basedOn w:val="CommentTextChar"/>
    <w:link w:val="CommentSubject"/>
    <w:uiPriority w:val="99"/>
    <w:semiHidden/>
    <w:rsid w:val="00A77B0D"/>
    <w:rPr>
      <w:rFonts w:ascii="Verdana" w:eastAsia="Calibri" w:hAnsi="Verdana" w:cs="Times"/>
      <w:b/>
      <w:bCs/>
      <w:sz w:val="20"/>
      <w:szCs w:val="20"/>
      <w:lang w:val="es-ES_tradnl" w:eastAsia="es-ES"/>
    </w:rPr>
  </w:style>
  <w:style w:type="paragraph" w:styleId="Header">
    <w:name w:val="header"/>
    <w:basedOn w:val="Normal"/>
    <w:link w:val="HeaderChar"/>
    <w:uiPriority w:val="99"/>
    <w:unhideWhenUsed/>
    <w:rsid w:val="00547704"/>
    <w:pPr>
      <w:tabs>
        <w:tab w:val="center" w:pos="4419"/>
        <w:tab w:val="right" w:pos="8838"/>
      </w:tabs>
      <w:spacing w:after="0"/>
    </w:pPr>
  </w:style>
  <w:style w:type="character" w:customStyle="1" w:styleId="HeaderChar">
    <w:name w:val="Header Char"/>
    <w:basedOn w:val="DefaultParagraphFont"/>
    <w:link w:val="Header"/>
    <w:uiPriority w:val="99"/>
    <w:rsid w:val="00547704"/>
    <w:rPr>
      <w:rFonts w:ascii="Verdana" w:eastAsia="Calibri" w:hAnsi="Verdana" w:cs="Times"/>
      <w:sz w:val="20"/>
      <w:szCs w:val="24"/>
      <w:lang w:val="es-ES_tradnl" w:eastAsia="es-ES"/>
    </w:rPr>
  </w:style>
  <w:style w:type="paragraph" w:styleId="Footer">
    <w:name w:val="footer"/>
    <w:basedOn w:val="Normal"/>
    <w:link w:val="FooterChar"/>
    <w:uiPriority w:val="99"/>
    <w:unhideWhenUsed/>
    <w:rsid w:val="00547704"/>
    <w:pPr>
      <w:tabs>
        <w:tab w:val="center" w:pos="4419"/>
        <w:tab w:val="right" w:pos="8838"/>
      </w:tabs>
      <w:spacing w:after="0"/>
    </w:pPr>
  </w:style>
  <w:style w:type="character" w:customStyle="1" w:styleId="FooterChar">
    <w:name w:val="Footer Char"/>
    <w:basedOn w:val="DefaultParagraphFont"/>
    <w:link w:val="Footer"/>
    <w:uiPriority w:val="99"/>
    <w:rsid w:val="00547704"/>
    <w:rPr>
      <w:rFonts w:ascii="Verdana" w:eastAsia="Calibri" w:hAnsi="Verdana" w:cs="Times"/>
      <w:sz w:val="20"/>
      <w:szCs w:val="24"/>
      <w:lang w:val="es-ES_tradnl" w:eastAsia="es-ES"/>
    </w:rPr>
  </w:style>
  <w:style w:type="table" w:styleId="LightList-Accent3">
    <w:name w:val="Light List Accent 3"/>
    <w:basedOn w:val="TableNormal"/>
    <w:uiPriority w:val="61"/>
    <w:rsid w:val="00585A87"/>
    <w:pPr>
      <w:spacing w:after="0" w:line="240" w:lineRule="auto"/>
    </w:pPr>
    <w:rPr>
      <w:rFonts w:eastAsiaTheme="minorEastAsia"/>
      <w:lang w:eastAsia="es-CR"/>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yperlink">
    <w:name w:val="Hyperlink"/>
    <w:uiPriority w:val="99"/>
    <w:unhideWhenUsed/>
    <w:rsid w:val="00A354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82117">
      <w:bodyDiv w:val="1"/>
      <w:marLeft w:val="0"/>
      <w:marRight w:val="0"/>
      <w:marTop w:val="0"/>
      <w:marBottom w:val="0"/>
      <w:divBdr>
        <w:top w:val="none" w:sz="0" w:space="0" w:color="auto"/>
        <w:left w:val="none" w:sz="0" w:space="0" w:color="auto"/>
        <w:bottom w:val="none" w:sz="0" w:space="0" w:color="auto"/>
        <w:right w:val="none" w:sz="0" w:space="0" w:color="auto"/>
      </w:divBdr>
    </w:div>
    <w:div w:id="525796440">
      <w:bodyDiv w:val="1"/>
      <w:marLeft w:val="0"/>
      <w:marRight w:val="0"/>
      <w:marTop w:val="0"/>
      <w:marBottom w:val="0"/>
      <w:divBdr>
        <w:top w:val="none" w:sz="0" w:space="0" w:color="auto"/>
        <w:left w:val="none" w:sz="0" w:space="0" w:color="auto"/>
        <w:bottom w:val="none" w:sz="0" w:space="0" w:color="auto"/>
        <w:right w:val="none" w:sz="0" w:space="0" w:color="auto"/>
      </w:divBdr>
    </w:div>
    <w:div w:id="1084031513">
      <w:bodyDiv w:val="1"/>
      <w:marLeft w:val="0"/>
      <w:marRight w:val="0"/>
      <w:marTop w:val="0"/>
      <w:marBottom w:val="0"/>
      <w:divBdr>
        <w:top w:val="none" w:sz="0" w:space="0" w:color="auto"/>
        <w:left w:val="none" w:sz="0" w:space="0" w:color="auto"/>
        <w:bottom w:val="none" w:sz="0" w:space="0" w:color="auto"/>
        <w:right w:val="none" w:sz="0" w:space="0" w:color="auto"/>
      </w:divBdr>
    </w:div>
    <w:div w:id="159247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idh.or.cr/docs/asuntos/diazloreto_fv_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0BE8B-963F-431E-9312-C6AFE6BA4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2659</Words>
  <Characters>15158</Characters>
  <Application>Microsoft Office Word</Application>
  <DocSecurity>0</DocSecurity>
  <Lines>126</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Mabel Fernandez</cp:lastModifiedBy>
  <cp:revision>2</cp:revision>
  <cp:lastPrinted>2018-12-07T23:17:00Z</cp:lastPrinted>
  <dcterms:created xsi:type="dcterms:W3CDTF">2018-12-07T23:23:00Z</dcterms:created>
  <dcterms:modified xsi:type="dcterms:W3CDTF">2018-12-07T23:23:00Z</dcterms:modified>
</cp:coreProperties>
</file>