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FFD3" w14:textId="77777777" w:rsidR="00431A17" w:rsidRPr="000402CA" w:rsidRDefault="00431A17" w:rsidP="005735AE">
      <w:pPr>
        <w:spacing w:after="0"/>
        <w:ind w:right="-317"/>
        <w:jc w:val="center"/>
        <w:rPr>
          <w:rFonts w:cs="Verdana Bold"/>
          <w:b/>
          <w:bCs/>
          <w:caps/>
          <w:szCs w:val="20"/>
        </w:rPr>
      </w:pPr>
    </w:p>
    <w:p w14:paraId="15ECE985" w14:textId="77777777" w:rsidR="00431A17" w:rsidRPr="000402CA" w:rsidRDefault="00431A17" w:rsidP="005735AE">
      <w:pPr>
        <w:spacing w:after="0"/>
        <w:ind w:right="-317"/>
        <w:jc w:val="center"/>
        <w:rPr>
          <w:rFonts w:cs="Verdana Bold"/>
          <w:b/>
          <w:bCs/>
          <w:caps/>
          <w:szCs w:val="20"/>
        </w:rPr>
      </w:pPr>
    </w:p>
    <w:p w14:paraId="3CC74435" w14:textId="77777777" w:rsidR="00431A17" w:rsidRPr="000402CA" w:rsidRDefault="00431A17" w:rsidP="005735AE">
      <w:pPr>
        <w:spacing w:after="0"/>
        <w:ind w:right="-317"/>
        <w:jc w:val="center"/>
        <w:rPr>
          <w:rFonts w:cs="Verdana Bold"/>
          <w:b/>
          <w:bCs/>
          <w:caps/>
          <w:szCs w:val="20"/>
        </w:rPr>
      </w:pPr>
    </w:p>
    <w:p w14:paraId="43907FE1" w14:textId="77777777" w:rsidR="00431A17" w:rsidRDefault="00431A17" w:rsidP="005735AE">
      <w:pPr>
        <w:spacing w:after="0"/>
        <w:ind w:right="-317"/>
        <w:jc w:val="center"/>
        <w:rPr>
          <w:rFonts w:cs="Verdana Bold"/>
          <w:b/>
          <w:bCs/>
          <w:caps/>
          <w:szCs w:val="20"/>
        </w:rPr>
      </w:pPr>
    </w:p>
    <w:p w14:paraId="1986BBFF" w14:textId="77777777" w:rsidR="00431A17" w:rsidRDefault="00431A17" w:rsidP="005735AE">
      <w:pPr>
        <w:spacing w:after="0"/>
        <w:ind w:right="-317"/>
        <w:jc w:val="center"/>
        <w:rPr>
          <w:rFonts w:cs="Verdana Bold"/>
          <w:b/>
          <w:bCs/>
          <w:caps/>
          <w:szCs w:val="20"/>
        </w:rPr>
      </w:pPr>
    </w:p>
    <w:p w14:paraId="60E6F6A2" w14:textId="77777777" w:rsidR="00431A17" w:rsidRDefault="00431A17" w:rsidP="005735AE">
      <w:pPr>
        <w:spacing w:after="0"/>
        <w:ind w:right="-317"/>
        <w:jc w:val="center"/>
        <w:rPr>
          <w:rFonts w:cs="Verdana Bold"/>
          <w:b/>
          <w:bCs/>
          <w:caps/>
          <w:szCs w:val="20"/>
        </w:rPr>
      </w:pPr>
    </w:p>
    <w:p w14:paraId="17908C41" w14:textId="77777777" w:rsidR="00431A17" w:rsidRDefault="00431A17" w:rsidP="005735AE">
      <w:pPr>
        <w:spacing w:after="0"/>
        <w:ind w:right="-317"/>
        <w:jc w:val="center"/>
        <w:rPr>
          <w:rFonts w:cs="Verdana Bold"/>
          <w:b/>
          <w:bCs/>
          <w:caps/>
          <w:szCs w:val="20"/>
        </w:rPr>
      </w:pPr>
    </w:p>
    <w:p w14:paraId="1F616691" w14:textId="77777777" w:rsidR="00431A17" w:rsidRDefault="00431A17" w:rsidP="005735AE">
      <w:pPr>
        <w:spacing w:after="0"/>
        <w:ind w:right="-317"/>
        <w:jc w:val="center"/>
        <w:rPr>
          <w:rFonts w:cs="Verdana Bold"/>
          <w:b/>
          <w:bCs/>
          <w:caps/>
          <w:szCs w:val="20"/>
        </w:rPr>
      </w:pPr>
    </w:p>
    <w:p w14:paraId="76A8910E" w14:textId="77777777" w:rsidR="00431A17" w:rsidRPr="00155DB1" w:rsidRDefault="00431A17" w:rsidP="005735AE">
      <w:pPr>
        <w:spacing w:after="0"/>
        <w:ind w:right="-317"/>
        <w:rPr>
          <w:rFonts w:cs="Verdana Bold"/>
          <w:b/>
          <w:bCs/>
          <w:caps/>
          <w:szCs w:val="20"/>
        </w:rPr>
      </w:pPr>
    </w:p>
    <w:p w14:paraId="3BD1B1C2" w14:textId="77777777" w:rsidR="00431A17" w:rsidRPr="00994F3C" w:rsidRDefault="00431A17" w:rsidP="005735AE">
      <w:pPr>
        <w:spacing w:after="0"/>
        <w:ind w:right="-316"/>
        <w:jc w:val="center"/>
        <w:rPr>
          <w:rFonts w:cs="Verdana Bold"/>
          <w:b/>
          <w:bCs/>
          <w:caps/>
        </w:rPr>
      </w:pPr>
      <w:r w:rsidRPr="00994F3C">
        <w:rPr>
          <w:rFonts w:cs="Verdana Bold"/>
          <w:b/>
          <w:bCs/>
          <w:caps/>
        </w:rPr>
        <w:t xml:space="preserve">Resolución </w:t>
      </w:r>
      <w:r w:rsidR="003B3C50">
        <w:rPr>
          <w:rFonts w:cs="Verdana Bold"/>
          <w:b/>
          <w:bCs/>
          <w:caps/>
        </w:rPr>
        <w:t>DE LA PRESIDENTA</w:t>
      </w:r>
      <w:r w:rsidRPr="00994F3C">
        <w:rPr>
          <w:rFonts w:cs="Verdana Bold"/>
          <w:b/>
          <w:bCs/>
          <w:caps/>
        </w:rPr>
        <w:t xml:space="preserve"> de la</w:t>
      </w:r>
    </w:p>
    <w:p w14:paraId="769D3A10" w14:textId="77777777" w:rsidR="00431A17" w:rsidRPr="00BD22C0" w:rsidRDefault="00431A17" w:rsidP="005735AE">
      <w:pPr>
        <w:spacing w:after="0"/>
        <w:ind w:right="-316"/>
        <w:jc w:val="center"/>
        <w:rPr>
          <w:rFonts w:cs="Verdana Bold"/>
          <w:b/>
          <w:bCs/>
          <w:caps/>
        </w:rPr>
      </w:pPr>
      <w:r w:rsidRPr="00BD22C0">
        <w:rPr>
          <w:rFonts w:cs="Verdana Bold"/>
          <w:b/>
          <w:bCs/>
          <w:caps/>
        </w:rPr>
        <w:t>Corte Interamericana de Derechos Humanos</w:t>
      </w:r>
    </w:p>
    <w:p w14:paraId="08C968CF" w14:textId="77777777" w:rsidR="00431A17" w:rsidRPr="00BD22C0" w:rsidRDefault="00431A17" w:rsidP="005735AE">
      <w:pPr>
        <w:spacing w:after="0"/>
        <w:ind w:right="-316"/>
        <w:rPr>
          <w:rFonts w:cs="Verdana Bold"/>
          <w:b/>
          <w:bCs/>
          <w:caps/>
          <w:szCs w:val="20"/>
        </w:rPr>
      </w:pPr>
    </w:p>
    <w:p w14:paraId="31C67D61" w14:textId="77777777" w:rsidR="00431A17" w:rsidRPr="00A9080E" w:rsidRDefault="00431A17" w:rsidP="005735AE">
      <w:pPr>
        <w:spacing w:after="0"/>
        <w:ind w:right="-316"/>
        <w:jc w:val="center"/>
        <w:rPr>
          <w:rFonts w:cs="Verdana Bold"/>
          <w:b/>
          <w:bCs/>
          <w:caps/>
          <w:szCs w:val="20"/>
        </w:rPr>
      </w:pPr>
      <w:r w:rsidRPr="002B01BB">
        <w:rPr>
          <w:rFonts w:cs="Verdana Bold"/>
          <w:b/>
          <w:bCs/>
          <w:caps/>
          <w:szCs w:val="20"/>
        </w:rPr>
        <w:t xml:space="preserve">DE </w:t>
      </w:r>
      <w:r w:rsidR="00E41BBD" w:rsidRPr="002B01BB">
        <w:rPr>
          <w:rFonts w:cs="Verdana Bold"/>
          <w:b/>
          <w:bCs/>
          <w:caps/>
          <w:szCs w:val="20"/>
        </w:rPr>
        <w:t>12</w:t>
      </w:r>
      <w:r w:rsidR="0025008A" w:rsidRPr="002B01BB">
        <w:rPr>
          <w:rFonts w:cs="Verdana Bold"/>
          <w:b/>
          <w:bCs/>
          <w:caps/>
          <w:szCs w:val="20"/>
        </w:rPr>
        <w:t xml:space="preserve"> de </w:t>
      </w:r>
      <w:r w:rsidR="00CC49A0" w:rsidRPr="002B01BB">
        <w:rPr>
          <w:rFonts w:cs="Verdana Bold"/>
          <w:b/>
          <w:bCs/>
          <w:caps/>
          <w:szCs w:val="20"/>
        </w:rPr>
        <w:t>febrero</w:t>
      </w:r>
      <w:r w:rsidR="003B3C50" w:rsidRPr="002B01BB">
        <w:rPr>
          <w:rFonts w:cs="Verdana Bold"/>
          <w:b/>
          <w:bCs/>
          <w:caps/>
          <w:szCs w:val="20"/>
        </w:rPr>
        <w:t xml:space="preserve"> de 2020</w:t>
      </w:r>
    </w:p>
    <w:p w14:paraId="26C4C436" w14:textId="77777777" w:rsidR="00431A17" w:rsidRPr="00A9080E" w:rsidRDefault="00431A17" w:rsidP="005735AE">
      <w:pPr>
        <w:spacing w:after="0"/>
        <w:ind w:right="-316"/>
        <w:rPr>
          <w:rFonts w:cs="Verdana Bold"/>
          <w:b/>
          <w:bCs/>
          <w:caps/>
          <w:szCs w:val="20"/>
        </w:rPr>
      </w:pPr>
    </w:p>
    <w:p w14:paraId="65A81A84" w14:textId="77777777" w:rsidR="00350E89" w:rsidRPr="0030019E" w:rsidRDefault="0025008A" w:rsidP="005735AE">
      <w:pPr>
        <w:spacing w:after="0"/>
        <w:ind w:right="-316"/>
        <w:jc w:val="center"/>
        <w:rPr>
          <w:rFonts w:cs="Verdana Bold"/>
          <w:b/>
          <w:bCs/>
          <w:caps/>
          <w:szCs w:val="20"/>
        </w:rPr>
      </w:pPr>
      <w:r w:rsidRPr="00135E8F">
        <w:rPr>
          <w:rFonts w:cs="Verdana Bold"/>
          <w:b/>
          <w:bCs/>
          <w:szCs w:val="20"/>
          <w:lang w:val="es-CR"/>
        </w:rPr>
        <w:t xml:space="preserve">CASO </w:t>
      </w:r>
      <w:r w:rsidR="003B3C50">
        <w:rPr>
          <w:rFonts w:cs="Arial"/>
          <w:b/>
          <w:lang w:val="es-CR"/>
        </w:rPr>
        <w:t>FERNANDEZ PRIETO Y OTRO VS. ARGENTINA</w:t>
      </w:r>
    </w:p>
    <w:p w14:paraId="7D0E1E0E" w14:textId="77777777" w:rsidR="00431A17" w:rsidRPr="00BD22C0" w:rsidRDefault="00431A17" w:rsidP="005735AE">
      <w:pPr>
        <w:spacing w:after="0"/>
        <w:rPr>
          <w:rFonts w:cs="Verdana"/>
          <w:b/>
          <w:bCs/>
          <w:caps/>
          <w:szCs w:val="20"/>
        </w:rPr>
      </w:pPr>
    </w:p>
    <w:p w14:paraId="21A3F2B4" w14:textId="77777777" w:rsidR="00431A17" w:rsidRPr="00BD22C0" w:rsidRDefault="00431A17" w:rsidP="005735AE">
      <w:pPr>
        <w:spacing w:after="0"/>
        <w:rPr>
          <w:rFonts w:cs="Verdana"/>
          <w:b/>
          <w:bCs/>
          <w:caps/>
          <w:szCs w:val="20"/>
        </w:rPr>
      </w:pPr>
    </w:p>
    <w:p w14:paraId="29A2A15C" w14:textId="77777777" w:rsidR="00431A17" w:rsidRPr="00BD22C0" w:rsidRDefault="00431A17" w:rsidP="005735AE">
      <w:pPr>
        <w:spacing w:after="0"/>
        <w:rPr>
          <w:rFonts w:cs="Verdana"/>
          <w:b/>
          <w:bCs/>
          <w:caps/>
          <w:szCs w:val="20"/>
        </w:rPr>
      </w:pPr>
      <w:r w:rsidRPr="00BD22C0">
        <w:rPr>
          <w:rFonts w:cs="Verdana"/>
          <w:b/>
          <w:bCs/>
          <w:caps/>
          <w:szCs w:val="20"/>
        </w:rPr>
        <w:t>Visto:</w:t>
      </w:r>
    </w:p>
    <w:p w14:paraId="5F150237" w14:textId="77777777" w:rsidR="00431A17" w:rsidRPr="00BD22C0" w:rsidRDefault="00431A17" w:rsidP="005735AE">
      <w:pPr>
        <w:spacing w:after="0"/>
        <w:rPr>
          <w:rFonts w:cs="Verdana"/>
          <w:b/>
          <w:bCs/>
          <w:caps/>
          <w:szCs w:val="20"/>
        </w:rPr>
      </w:pPr>
    </w:p>
    <w:p w14:paraId="4402CFDF" w14:textId="77777777" w:rsidR="00431A17" w:rsidRPr="00E44575" w:rsidRDefault="00431A17" w:rsidP="00BC2C91">
      <w:pPr>
        <w:pStyle w:val="Listavistosa-nfasis11"/>
        <w:widowControl w:val="0"/>
        <w:numPr>
          <w:ilvl w:val="0"/>
          <w:numId w:val="5"/>
        </w:numPr>
        <w:tabs>
          <w:tab w:val="left" w:pos="567"/>
          <w:tab w:val="left" w:pos="720"/>
        </w:tabs>
        <w:autoSpaceDE w:val="0"/>
        <w:autoSpaceDN w:val="0"/>
        <w:adjustRightInd w:val="0"/>
        <w:spacing w:after="0"/>
        <w:ind w:left="0" w:right="22" w:firstLine="0"/>
        <w:contextualSpacing w:val="0"/>
        <w:rPr>
          <w:lang w:val="es-CR"/>
        </w:rPr>
      </w:pPr>
      <w:bookmarkStart w:id="0" w:name="_Ref393297742"/>
      <w:bookmarkStart w:id="1" w:name="_Ref352676460"/>
      <w:bookmarkStart w:id="2" w:name="_Ref393297780"/>
      <w:bookmarkStart w:id="3" w:name="_Ref393920719"/>
      <w:r w:rsidRPr="00E44575">
        <w:rPr>
          <w:lang w:val="es-CR"/>
        </w:rPr>
        <w:t>El escrito de sometimiento del caso y el Informe de Fondo de la Comisión Interamericana de Derechos Humanos (en adelante “la Comisión Interamericana” o “la Comisión”)</w:t>
      </w:r>
      <w:bookmarkEnd w:id="0"/>
      <w:r w:rsidRPr="00E44575">
        <w:rPr>
          <w:lang w:val="es-CR"/>
        </w:rPr>
        <w:t xml:space="preserve">; </w:t>
      </w:r>
      <w:bookmarkStart w:id="4" w:name="_Ref351983508"/>
      <w:bookmarkStart w:id="5" w:name="_Ref393297751"/>
      <w:bookmarkEnd w:id="1"/>
      <w:r w:rsidRPr="00E44575">
        <w:rPr>
          <w:lang w:val="es-CR"/>
        </w:rPr>
        <w:t xml:space="preserve">el escrito de solicitudes, argumentos y pruebas (en adelante el “escrito de solicitudes y argumentos”) </w:t>
      </w:r>
      <w:r w:rsidRPr="00E44575">
        <w:rPr>
          <w:szCs w:val="20"/>
          <w:lang w:val="es-CL" w:eastAsia="en-US"/>
        </w:rPr>
        <w:t xml:space="preserve">de </w:t>
      </w:r>
      <w:r w:rsidR="00263473">
        <w:rPr>
          <w:szCs w:val="20"/>
          <w:lang w:val="es-CL" w:eastAsia="en-US"/>
        </w:rPr>
        <w:t>la representante de</w:t>
      </w:r>
      <w:r w:rsidRPr="00E44575">
        <w:rPr>
          <w:szCs w:val="20"/>
          <w:lang w:val="es-CL" w:eastAsia="en-US"/>
        </w:rPr>
        <w:t xml:space="preserve"> las </w:t>
      </w:r>
      <w:r w:rsidR="0025400B">
        <w:rPr>
          <w:szCs w:val="20"/>
          <w:lang w:val="es-CL" w:eastAsia="en-US"/>
        </w:rPr>
        <w:t>presuntas víctimas</w:t>
      </w:r>
      <w:r w:rsidRPr="00E44575">
        <w:rPr>
          <w:lang w:val="es-CR"/>
        </w:rPr>
        <w:t xml:space="preserve"> (en adelante “</w:t>
      </w:r>
      <w:r w:rsidR="00263473">
        <w:rPr>
          <w:lang w:val="es-CR"/>
        </w:rPr>
        <w:t>la representante</w:t>
      </w:r>
      <w:r w:rsidRPr="00E44575">
        <w:rPr>
          <w:lang w:val="es-CR"/>
        </w:rPr>
        <w:t xml:space="preserve">”); </w:t>
      </w:r>
      <w:bookmarkStart w:id="6" w:name="_Ref352676532"/>
      <w:bookmarkEnd w:id="4"/>
      <w:bookmarkEnd w:id="5"/>
      <w:r w:rsidRPr="00E44575">
        <w:rPr>
          <w:lang w:val="es-CR"/>
        </w:rPr>
        <w:t>el escrito de contestación al sometimiento del caso y al escrito de solicitudes y argumentos (en adelante “escrito de contestación”) de</w:t>
      </w:r>
      <w:r>
        <w:rPr>
          <w:lang w:val="es-CR"/>
        </w:rPr>
        <w:t xml:space="preserve"> </w:t>
      </w:r>
      <w:r w:rsidRPr="00E44575">
        <w:rPr>
          <w:lang w:val="es-CR"/>
        </w:rPr>
        <w:t>l</w:t>
      </w:r>
      <w:r>
        <w:rPr>
          <w:lang w:val="es-CR"/>
        </w:rPr>
        <w:t xml:space="preserve">a República </w:t>
      </w:r>
      <w:r w:rsidR="006605B2">
        <w:rPr>
          <w:lang w:val="es-CR"/>
        </w:rPr>
        <w:t xml:space="preserve">de </w:t>
      </w:r>
      <w:r w:rsidR="00267F61">
        <w:rPr>
          <w:lang w:val="es-CR"/>
        </w:rPr>
        <w:t>Argentina</w:t>
      </w:r>
      <w:r w:rsidR="006605B2">
        <w:rPr>
          <w:lang w:val="es-CR"/>
        </w:rPr>
        <w:t xml:space="preserve"> </w:t>
      </w:r>
      <w:r w:rsidRPr="00E44575">
        <w:rPr>
          <w:lang w:val="es-CR"/>
        </w:rPr>
        <w:t>(en adelante “</w:t>
      </w:r>
      <w:r w:rsidR="00267F61">
        <w:rPr>
          <w:lang w:val="es-CR"/>
        </w:rPr>
        <w:t>Argentina</w:t>
      </w:r>
      <w:r w:rsidRPr="00E44575">
        <w:rPr>
          <w:lang w:val="es-CR"/>
        </w:rPr>
        <w:t>” o “el Estado”)</w:t>
      </w:r>
      <w:bookmarkEnd w:id="6"/>
      <w:r w:rsidRPr="00E44575">
        <w:rPr>
          <w:lang w:val="es-CR"/>
        </w:rPr>
        <w:t>.</w:t>
      </w:r>
    </w:p>
    <w:p w14:paraId="3AED7A53" w14:textId="77777777" w:rsidR="00431A17" w:rsidRPr="00E44575" w:rsidRDefault="00431A17" w:rsidP="005735AE">
      <w:pPr>
        <w:pStyle w:val="Listavistosa-nfasis11"/>
        <w:numPr>
          <w:ilvl w:val="0"/>
          <w:numId w:val="0"/>
        </w:numPr>
        <w:tabs>
          <w:tab w:val="left" w:pos="567"/>
          <w:tab w:val="left" w:pos="720"/>
        </w:tabs>
        <w:spacing w:after="0"/>
        <w:contextualSpacing w:val="0"/>
        <w:rPr>
          <w:lang w:val="es-CR"/>
        </w:rPr>
      </w:pPr>
    </w:p>
    <w:bookmarkEnd w:id="2"/>
    <w:p w14:paraId="437A9399" w14:textId="77777777" w:rsidR="00637076" w:rsidRPr="00637076" w:rsidRDefault="00431A17" w:rsidP="00637076">
      <w:pPr>
        <w:pStyle w:val="Listavistosa-nfasis11"/>
        <w:widowControl w:val="0"/>
        <w:numPr>
          <w:ilvl w:val="0"/>
          <w:numId w:val="5"/>
        </w:numPr>
        <w:tabs>
          <w:tab w:val="left" w:pos="567"/>
          <w:tab w:val="left" w:pos="720"/>
        </w:tabs>
        <w:autoSpaceDE w:val="0"/>
        <w:autoSpaceDN w:val="0"/>
        <w:adjustRightInd w:val="0"/>
        <w:spacing w:after="0"/>
        <w:ind w:left="0" w:right="22" w:firstLine="0"/>
        <w:contextualSpacing w:val="0"/>
        <w:rPr>
          <w:b/>
          <w:lang w:val="es-CR"/>
        </w:rPr>
      </w:pPr>
      <w:r w:rsidRPr="00806E48">
        <w:rPr>
          <w:lang w:val="es-CR"/>
        </w:rPr>
        <w:t xml:space="preserve">Las listas definitivas de declarantes presentadas por </w:t>
      </w:r>
      <w:r w:rsidR="00E755F1">
        <w:rPr>
          <w:lang w:val="es-CR"/>
        </w:rPr>
        <w:t>la representante</w:t>
      </w:r>
      <w:r w:rsidR="00267F61">
        <w:rPr>
          <w:lang w:val="es-CR"/>
        </w:rPr>
        <w:t xml:space="preserve"> </w:t>
      </w:r>
      <w:r w:rsidRPr="00806E48">
        <w:rPr>
          <w:lang w:val="es-CR"/>
        </w:rPr>
        <w:t>y la Comisión</w:t>
      </w:r>
      <w:r w:rsidR="000402CA">
        <w:rPr>
          <w:lang w:val="es-CR"/>
        </w:rPr>
        <w:t>,</w:t>
      </w:r>
      <w:r w:rsidRPr="00806E48">
        <w:rPr>
          <w:lang w:val="es-CR"/>
        </w:rPr>
        <w:t xml:space="preserve"> y las correspondientes observaciones a dichas listas. </w:t>
      </w:r>
      <w:bookmarkEnd w:id="3"/>
    </w:p>
    <w:p w14:paraId="507D3F6E" w14:textId="77777777" w:rsidR="00637076" w:rsidRDefault="00637076" w:rsidP="00637076">
      <w:pPr>
        <w:spacing w:after="0"/>
      </w:pPr>
    </w:p>
    <w:p w14:paraId="6FF7398C" w14:textId="77777777" w:rsidR="00AB729D" w:rsidRPr="003F1B9E" w:rsidRDefault="00267F61" w:rsidP="00AB729D">
      <w:pPr>
        <w:pStyle w:val="Listavistosa-nfasis11"/>
        <w:widowControl w:val="0"/>
        <w:numPr>
          <w:ilvl w:val="0"/>
          <w:numId w:val="5"/>
        </w:numPr>
        <w:tabs>
          <w:tab w:val="left" w:pos="567"/>
          <w:tab w:val="left" w:pos="720"/>
        </w:tabs>
        <w:autoSpaceDE w:val="0"/>
        <w:autoSpaceDN w:val="0"/>
        <w:adjustRightInd w:val="0"/>
        <w:spacing w:after="0"/>
        <w:ind w:left="0" w:right="22" w:firstLine="0"/>
        <w:contextualSpacing w:val="0"/>
        <w:rPr>
          <w:b/>
          <w:lang w:val="es-CR"/>
        </w:rPr>
      </w:pPr>
      <w:r w:rsidRPr="003F1B9E">
        <w:t xml:space="preserve">La </w:t>
      </w:r>
      <w:r w:rsidR="00A37638" w:rsidRPr="003F1B9E">
        <w:t>nota</w:t>
      </w:r>
      <w:r w:rsidR="00A67689" w:rsidRPr="003F1B9E">
        <w:t xml:space="preserve"> de Secretaría de 3 de febrero</w:t>
      </w:r>
      <w:r w:rsidRPr="003F1B9E">
        <w:rPr>
          <w:bCs/>
          <w:lang w:val="es-CL"/>
        </w:rPr>
        <w:t xml:space="preserve"> de 2020</w:t>
      </w:r>
      <w:r w:rsidR="00A9080E" w:rsidRPr="003F1B9E">
        <w:rPr>
          <w:bCs/>
          <w:lang w:val="es-CL"/>
        </w:rPr>
        <w:t xml:space="preserve"> </w:t>
      </w:r>
      <w:r w:rsidR="00A37638" w:rsidRPr="003F1B9E">
        <w:rPr>
          <w:szCs w:val="20"/>
        </w:rPr>
        <w:t>relativa a la procedencia del Fondo de Asistencia Legal de Víctimas de la Corte Interamericana de Derechos Humanos (en adelante “Fondo de Asistencia Legal de Víctimas”)</w:t>
      </w:r>
      <w:r w:rsidR="00AB729D" w:rsidRPr="003F1B9E">
        <w:rPr>
          <w:szCs w:val="20"/>
        </w:rPr>
        <w:t xml:space="preserve"> y la comunicación de la representante de 6 de febrero de 2020 </w:t>
      </w:r>
      <w:r w:rsidR="003F1B9E" w:rsidRPr="003F1B9E">
        <w:rPr>
          <w:szCs w:val="20"/>
        </w:rPr>
        <w:t>en la que se informó sobre el fallecimiento del señor Carlos Alberto Fernández Prieto.</w:t>
      </w:r>
    </w:p>
    <w:p w14:paraId="7A67A0D9" w14:textId="77777777" w:rsidR="00637076" w:rsidRPr="00637076" w:rsidRDefault="00637076" w:rsidP="00637076">
      <w:pPr>
        <w:pStyle w:val="Listavistosa-nfasis11"/>
        <w:widowControl w:val="0"/>
        <w:numPr>
          <w:ilvl w:val="0"/>
          <w:numId w:val="0"/>
        </w:numPr>
        <w:tabs>
          <w:tab w:val="left" w:pos="567"/>
          <w:tab w:val="left" w:pos="720"/>
        </w:tabs>
        <w:autoSpaceDE w:val="0"/>
        <w:autoSpaceDN w:val="0"/>
        <w:adjustRightInd w:val="0"/>
        <w:spacing w:after="0"/>
        <w:ind w:right="22"/>
        <w:contextualSpacing w:val="0"/>
        <w:rPr>
          <w:lang w:val="es-CR"/>
        </w:rPr>
      </w:pPr>
    </w:p>
    <w:p w14:paraId="7492A1BC" w14:textId="77777777" w:rsidR="00431A17" w:rsidRPr="00E44575" w:rsidRDefault="00431A17" w:rsidP="005735AE">
      <w:pPr>
        <w:tabs>
          <w:tab w:val="left" w:pos="720"/>
        </w:tabs>
        <w:autoSpaceDE w:val="0"/>
        <w:autoSpaceDN w:val="0"/>
        <w:adjustRightInd w:val="0"/>
        <w:spacing w:after="0"/>
        <w:jc w:val="left"/>
        <w:rPr>
          <w:rFonts w:eastAsia="Times New Roman" w:cs="Verdana"/>
          <w:b/>
          <w:bCs/>
          <w:szCs w:val="20"/>
          <w:lang w:val="es-CL" w:eastAsia="en-US"/>
        </w:rPr>
      </w:pPr>
      <w:r w:rsidRPr="00E44575">
        <w:rPr>
          <w:rFonts w:eastAsia="Times New Roman" w:cs="Verdana"/>
          <w:b/>
          <w:bCs/>
          <w:szCs w:val="20"/>
          <w:lang w:val="es-CL" w:eastAsia="en-US"/>
        </w:rPr>
        <w:t>CONSIDERANDO QUE:</w:t>
      </w:r>
    </w:p>
    <w:p w14:paraId="3853A1B5" w14:textId="77777777" w:rsidR="00431A17" w:rsidRPr="00FB1AD3" w:rsidRDefault="00431A17" w:rsidP="005735AE">
      <w:pPr>
        <w:pStyle w:val="Listavistosa-nfasis11"/>
        <w:numPr>
          <w:ilvl w:val="0"/>
          <w:numId w:val="0"/>
        </w:numPr>
        <w:autoSpaceDE w:val="0"/>
        <w:autoSpaceDN w:val="0"/>
        <w:adjustRightInd w:val="0"/>
        <w:spacing w:after="0"/>
        <w:ind w:left="180"/>
        <w:contextualSpacing w:val="0"/>
        <w:rPr>
          <w:lang w:val="es-ES"/>
        </w:rPr>
      </w:pPr>
    </w:p>
    <w:p w14:paraId="7B6F72B1" w14:textId="77777777" w:rsidR="00431A17" w:rsidRDefault="00431A17" w:rsidP="005735AE">
      <w:pPr>
        <w:numPr>
          <w:ilvl w:val="0"/>
          <w:numId w:val="1"/>
        </w:numPr>
        <w:tabs>
          <w:tab w:val="num" w:pos="720"/>
        </w:tabs>
        <w:autoSpaceDE w:val="0"/>
        <w:autoSpaceDN w:val="0"/>
        <w:adjustRightInd w:val="0"/>
        <w:spacing w:after="0"/>
        <w:rPr>
          <w:rFonts w:eastAsia="Times New Roman" w:cs="Verdana"/>
          <w:szCs w:val="20"/>
          <w:lang w:val="es-CL" w:eastAsia="en-US"/>
        </w:rPr>
      </w:pPr>
      <w:r w:rsidRPr="00E44575">
        <w:rPr>
          <w:rFonts w:eastAsia="Times New Roman" w:cs="Verdana"/>
          <w:szCs w:val="20"/>
          <w:lang w:val="es-CL" w:eastAsia="en-US"/>
        </w:rPr>
        <w:t xml:space="preserve">El ofrecimiento y la admisión de la prueba, así como la citación de </w:t>
      </w:r>
      <w:r w:rsidR="00706F3B">
        <w:rPr>
          <w:rFonts w:eastAsia="Times New Roman" w:cs="Verdana"/>
          <w:szCs w:val="20"/>
          <w:lang w:val="es-CL" w:eastAsia="en-US"/>
        </w:rPr>
        <w:t>presuntas víctimas</w:t>
      </w:r>
      <w:r>
        <w:rPr>
          <w:rFonts w:eastAsia="Times New Roman" w:cs="Verdana"/>
          <w:szCs w:val="20"/>
          <w:lang w:val="es-CL" w:eastAsia="en-US"/>
        </w:rPr>
        <w:t xml:space="preserve">, </w:t>
      </w:r>
      <w:r w:rsidRPr="00E44575">
        <w:rPr>
          <w:rFonts w:eastAsia="Times New Roman" w:cs="Verdana"/>
          <w:szCs w:val="20"/>
          <w:lang w:val="es-CL" w:eastAsia="en-US"/>
        </w:rPr>
        <w:t>testigos y peritos, se encuentran regulados en los artículos 35.1.f, 40.2.c, 41.1.c, 46, 48</w:t>
      </w:r>
      <w:r w:rsidR="00112EAA">
        <w:rPr>
          <w:rFonts w:eastAsia="Times New Roman" w:cs="Verdana"/>
          <w:szCs w:val="20"/>
          <w:lang w:val="es-CL" w:eastAsia="en-US"/>
        </w:rPr>
        <w:t>, 50</w:t>
      </w:r>
      <w:r w:rsidRPr="00E44575">
        <w:rPr>
          <w:rFonts w:eastAsia="Times New Roman" w:cs="Verdana"/>
          <w:szCs w:val="20"/>
          <w:lang w:val="es-CL" w:eastAsia="en-US"/>
        </w:rPr>
        <w:t xml:space="preserve"> y 57 del Reglamento del Tribunal</w:t>
      </w:r>
      <w:r w:rsidRPr="00FC7A43">
        <w:rPr>
          <w:rFonts w:eastAsia="Times New Roman" w:cs="Verdana"/>
          <w:szCs w:val="20"/>
          <w:lang w:val="es-CL" w:eastAsia="en-US"/>
        </w:rPr>
        <w:t>.</w:t>
      </w:r>
      <w:r w:rsidRPr="00E44575">
        <w:rPr>
          <w:rFonts w:eastAsia="Times New Roman" w:cs="Verdana"/>
          <w:szCs w:val="20"/>
          <w:lang w:val="es-CL" w:eastAsia="en-US"/>
        </w:rPr>
        <w:t xml:space="preserve"> </w:t>
      </w:r>
    </w:p>
    <w:p w14:paraId="7D8FFD9D" w14:textId="77777777" w:rsidR="00431A17" w:rsidRPr="00E44575" w:rsidRDefault="00431A17" w:rsidP="005735AE">
      <w:pPr>
        <w:autoSpaceDE w:val="0"/>
        <w:autoSpaceDN w:val="0"/>
        <w:adjustRightInd w:val="0"/>
        <w:spacing w:after="0"/>
        <w:rPr>
          <w:rFonts w:eastAsia="Times New Roman" w:cs="Verdana"/>
          <w:szCs w:val="20"/>
          <w:lang w:val="es-CL" w:eastAsia="en-US"/>
        </w:rPr>
      </w:pPr>
    </w:p>
    <w:p w14:paraId="1801600E" w14:textId="77777777" w:rsidR="00431A17" w:rsidRPr="00A33C99" w:rsidRDefault="00896E57" w:rsidP="005735AE">
      <w:pPr>
        <w:numPr>
          <w:ilvl w:val="0"/>
          <w:numId w:val="1"/>
        </w:numPr>
        <w:tabs>
          <w:tab w:val="num" w:pos="720"/>
        </w:tabs>
        <w:autoSpaceDE w:val="0"/>
        <w:autoSpaceDN w:val="0"/>
        <w:adjustRightInd w:val="0"/>
        <w:spacing w:after="0"/>
        <w:rPr>
          <w:rFonts w:eastAsia="Times New Roman" w:cs="Verdana"/>
          <w:szCs w:val="20"/>
          <w:lang w:val="es-CL" w:eastAsia="en-US"/>
        </w:rPr>
      </w:pPr>
      <w:r w:rsidRPr="00A33C99">
        <w:rPr>
          <w:rFonts w:eastAsia="Times New Roman" w:cs="Verdana"/>
          <w:szCs w:val="20"/>
          <w:lang w:val="es-CL" w:eastAsia="en-US"/>
        </w:rPr>
        <w:t xml:space="preserve">La Comisión ofreció </w:t>
      </w:r>
      <w:r w:rsidR="00387091" w:rsidRPr="00A33C99">
        <w:rPr>
          <w:rFonts w:eastAsia="Times New Roman" w:cs="Verdana"/>
          <w:szCs w:val="20"/>
          <w:lang w:val="es-CL" w:eastAsia="en-US"/>
        </w:rPr>
        <w:t xml:space="preserve">como prueba </w:t>
      </w:r>
      <w:r w:rsidRPr="00A33C99">
        <w:rPr>
          <w:rFonts w:eastAsia="Times New Roman" w:cs="Verdana"/>
          <w:szCs w:val="20"/>
          <w:lang w:val="es-CL" w:eastAsia="en-US"/>
        </w:rPr>
        <w:t xml:space="preserve">un dictamen pericial; </w:t>
      </w:r>
      <w:r w:rsidR="00E755F1">
        <w:rPr>
          <w:rFonts w:eastAsia="Times New Roman" w:cs="Verdana"/>
          <w:szCs w:val="20"/>
          <w:lang w:val="es-CL" w:eastAsia="en-US"/>
        </w:rPr>
        <w:t>la representante</w:t>
      </w:r>
      <w:r w:rsidR="00431A17" w:rsidRPr="00A33C99">
        <w:rPr>
          <w:rFonts w:eastAsia="Times New Roman" w:cs="Verdana"/>
          <w:szCs w:val="20"/>
          <w:lang w:val="es-CL" w:eastAsia="en-US"/>
        </w:rPr>
        <w:t xml:space="preserve"> </w:t>
      </w:r>
      <w:r w:rsidR="00E755F1">
        <w:rPr>
          <w:rFonts w:eastAsia="Times New Roman" w:cs="Verdana"/>
          <w:szCs w:val="20"/>
          <w:lang w:val="es-CL" w:eastAsia="en-US"/>
        </w:rPr>
        <w:t>ofreció</w:t>
      </w:r>
      <w:r w:rsidR="00FC7A43">
        <w:rPr>
          <w:rFonts w:eastAsia="Times New Roman" w:cs="Verdana"/>
          <w:szCs w:val="20"/>
          <w:lang w:val="es-CL" w:eastAsia="en-US"/>
        </w:rPr>
        <w:t>,</w:t>
      </w:r>
      <w:r w:rsidR="00431A17" w:rsidRPr="00A33C99">
        <w:rPr>
          <w:rFonts w:eastAsia="Times New Roman" w:cs="Verdana"/>
          <w:szCs w:val="20"/>
          <w:lang w:val="es-CL" w:eastAsia="en-US"/>
        </w:rPr>
        <w:t xml:space="preserve"> </w:t>
      </w:r>
      <w:r w:rsidR="000402CA" w:rsidRPr="00A33C99">
        <w:rPr>
          <w:rFonts w:eastAsia="Times New Roman" w:cs="Verdana"/>
          <w:szCs w:val="20"/>
          <w:lang w:val="es-CL" w:eastAsia="en-US"/>
        </w:rPr>
        <w:t>en su escrito de solicitudes y argumentos</w:t>
      </w:r>
      <w:r w:rsidR="00A33C99">
        <w:rPr>
          <w:rFonts w:eastAsia="Times New Roman" w:cs="Verdana"/>
          <w:szCs w:val="20"/>
          <w:lang w:val="es-CL" w:eastAsia="en-US"/>
        </w:rPr>
        <w:t>,</w:t>
      </w:r>
      <w:r w:rsidR="000402CA" w:rsidRPr="00A33C99">
        <w:rPr>
          <w:rFonts w:eastAsia="Times New Roman" w:cs="Verdana"/>
          <w:szCs w:val="20"/>
          <w:lang w:val="es-CL" w:eastAsia="en-US"/>
        </w:rPr>
        <w:t xml:space="preserve"> </w:t>
      </w:r>
      <w:r w:rsidR="00431A17" w:rsidRPr="00A33C99">
        <w:rPr>
          <w:rFonts w:eastAsia="Times New Roman" w:cs="Verdana"/>
          <w:szCs w:val="20"/>
          <w:lang w:val="es-CL" w:eastAsia="en-US"/>
        </w:rPr>
        <w:t xml:space="preserve">las declaraciones de </w:t>
      </w:r>
      <w:r w:rsidR="00267F61">
        <w:rPr>
          <w:rFonts w:eastAsia="Times New Roman" w:cs="Verdana"/>
          <w:szCs w:val="20"/>
          <w:lang w:val="es-CL" w:eastAsia="en-US"/>
        </w:rPr>
        <w:t>una presunta víctima</w:t>
      </w:r>
      <w:r w:rsidR="007842AB" w:rsidRPr="00A33C99">
        <w:rPr>
          <w:rFonts w:eastAsia="Times New Roman" w:cs="Verdana"/>
          <w:szCs w:val="20"/>
          <w:lang w:val="es-CL" w:eastAsia="en-US"/>
        </w:rPr>
        <w:t xml:space="preserve">, </w:t>
      </w:r>
      <w:r w:rsidR="00A33C99" w:rsidRPr="00A33C99">
        <w:rPr>
          <w:rFonts w:eastAsia="Times New Roman" w:cs="Verdana"/>
          <w:szCs w:val="20"/>
          <w:lang w:val="es-CL" w:eastAsia="en-US"/>
        </w:rPr>
        <w:t xml:space="preserve">dos declaraciones testimoniales, </w:t>
      </w:r>
      <w:r w:rsidR="005B7C90" w:rsidRPr="00A33C99">
        <w:rPr>
          <w:rFonts w:eastAsia="Times New Roman" w:cs="Verdana"/>
          <w:szCs w:val="20"/>
          <w:lang w:val="es-CL" w:eastAsia="en-US"/>
        </w:rPr>
        <w:t xml:space="preserve">y </w:t>
      </w:r>
      <w:r w:rsidR="00267F61">
        <w:rPr>
          <w:rFonts w:eastAsia="Times New Roman" w:cs="Verdana"/>
          <w:szCs w:val="20"/>
          <w:lang w:val="es-CL" w:eastAsia="en-US"/>
        </w:rPr>
        <w:t>dos</w:t>
      </w:r>
      <w:r w:rsidR="00F84B72" w:rsidRPr="00A33C99">
        <w:rPr>
          <w:rFonts w:eastAsia="Times New Roman" w:cs="Verdana"/>
          <w:szCs w:val="20"/>
          <w:lang w:val="es-CL" w:eastAsia="en-US"/>
        </w:rPr>
        <w:t xml:space="preserve"> dictámenes</w:t>
      </w:r>
      <w:r w:rsidR="005B7C90" w:rsidRPr="00A33C99">
        <w:rPr>
          <w:rFonts w:eastAsia="Times New Roman" w:cs="Verdana"/>
          <w:szCs w:val="20"/>
          <w:lang w:val="es-CL" w:eastAsia="en-US"/>
        </w:rPr>
        <w:t xml:space="preserve"> periciales</w:t>
      </w:r>
      <w:r w:rsidR="00267F61">
        <w:rPr>
          <w:rFonts w:eastAsia="Times New Roman" w:cs="Verdana"/>
          <w:szCs w:val="20"/>
          <w:lang w:val="es-CL" w:eastAsia="en-US"/>
        </w:rPr>
        <w:t>.</w:t>
      </w:r>
      <w:r w:rsidR="004609C8">
        <w:rPr>
          <w:rFonts w:eastAsia="Times New Roman" w:cs="Verdana"/>
          <w:szCs w:val="20"/>
          <w:lang w:val="es-CL" w:eastAsia="en-US"/>
        </w:rPr>
        <w:t xml:space="preserve"> El Estado no ofreció prueba alguna.</w:t>
      </w:r>
    </w:p>
    <w:p w14:paraId="07CEC1D8" w14:textId="77777777" w:rsidR="00431A17" w:rsidRDefault="00431A17" w:rsidP="005735AE">
      <w:pPr>
        <w:autoSpaceDE w:val="0"/>
        <w:autoSpaceDN w:val="0"/>
        <w:adjustRightInd w:val="0"/>
        <w:spacing w:after="0"/>
        <w:rPr>
          <w:rFonts w:eastAsia="Times New Roman" w:cs="Verdana"/>
          <w:szCs w:val="20"/>
          <w:lang w:val="es-CL" w:eastAsia="en-US"/>
        </w:rPr>
      </w:pPr>
    </w:p>
    <w:p w14:paraId="21EF3D42" w14:textId="77777777" w:rsidR="003D6EA5" w:rsidRPr="004B52AF" w:rsidRDefault="00BF2D68" w:rsidP="005735AE">
      <w:pPr>
        <w:pStyle w:val="Listavistosa-nfasis11"/>
        <w:widowControl w:val="0"/>
        <w:numPr>
          <w:ilvl w:val="0"/>
          <w:numId w:val="1"/>
        </w:numPr>
        <w:tabs>
          <w:tab w:val="num" w:pos="720"/>
        </w:tabs>
        <w:autoSpaceDE w:val="0"/>
        <w:autoSpaceDN w:val="0"/>
        <w:adjustRightInd w:val="0"/>
        <w:spacing w:after="0"/>
        <w:ind w:left="0" w:right="22" w:firstLine="0"/>
        <w:contextualSpacing w:val="0"/>
        <w:rPr>
          <w:lang w:val="es-CR"/>
        </w:rPr>
      </w:pPr>
      <w:r w:rsidRPr="004B52AF">
        <w:t>La Comisión</w:t>
      </w:r>
      <w:r w:rsidR="007948D1" w:rsidRPr="004B52AF">
        <w:t>, en su</w:t>
      </w:r>
      <w:r w:rsidR="00267F61" w:rsidRPr="004B52AF">
        <w:t>s observaciones a las</w:t>
      </w:r>
      <w:r w:rsidR="007948D1" w:rsidRPr="004B52AF">
        <w:t xml:space="preserve"> lista</w:t>
      </w:r>
      <w:r w:rsidR="00267F61" w:rsidRPr="004B52AF">
        <w:t>s</w:t>
      </w:r>
      <w:r w:rsidR="007948D1" w:rsidRPr="004B52AF">
        <w:t xml:space="preserve"> definitiva</w:t>
      </w:r>
      <w:r w:rsidR="00267F61" w:rsidRPr="004B52AF">
        <w:t>s</w:t>
      </w:r>
      <w:r w:rsidR="007948D1" w:rsidRPr="004B52AF">
        <w:t>,</w:t>
      </w:r>
      <w:r w:rsidRPr="004B52AF">
        <w:t xml:space="preserve"> </w:t>
      </w:r>
      <w:r w:rsidR="00267F61" w:rsidRPr="004B52AF">
        <w:t>reiteró su solicitud para</w:t>
      </w:r>
      <w:r w:rsidR="004609C8" w:rsidRPr="004B52AF">
        <w:t xml:space="preserve"> que el peritaje ofrecido por ella fuera recibido en audiencia pública</w:t>
      </w:r>
      <w:r w:rsidRPr="004B52AF">
        <w:t xml:space="preserve">. </w:t>
      </w:r>
      <w:r w:rsidR="004609C8" w:rsidRPr="004B52AF">
        <w:t xml:space="preserve">Adicionalmente, en sus observaciones a las listas definitivas, solicitó la oportunidad verbal o escrita de formular preguntas a un perito ofrecido por </w:t>
      </w:r>
      <w:r w:rsidR="00E755F1" w:rsidRPr="004B52AF">
        <w:t>la representante</w:t>
      </w:r>
      <w:r w:rsidR="004609C8" w:rsidRPr="004B52AF">
        <w:t>.</w:t>
      </w:r>
    </w:p>
    <w:p w14:paraId="720DD2E2" w14:textId="77777777" w:rsidR="003D6EA5" w:rsidRPr="004B52AF" w:rsidRDefault="003D6EA5" w:rsidP="003D6EA5">
      <w:pPr>
        <w:pStyle w:val="Listavistosa-nfasis11"/>
        <w:widowControl w:val="0"/>
        <w:numPr>
          <w:ilvl w:val="0"/>
          <w:numId w:val="0"/>
        </w:numPr>
        <w:autoSpaceDE w:val="0"/>
        <w:autoSpaceDN w:val="0"/>
        <w:adjustRightInd w:val="0"/>
        <w:spacing w:after="0"/>
        <w:ind w:right="22"/>
        <w:contextualSpacing w:val="0"/>
        <w:rPr>
          <w:lang w:val="es-CR"/>
        </w:rPr>
      </w:pPr>
    </w:p>
    <w:p w14:paraId="17601400" w14:textId="77777777" w:rsidR="007948D1" w:rsidRPr="003F1B9E" w:rsidRDefault="00E755F1" w:rsidP="007948D1">
      <w:pPr>
        <w:pStyle w:val="Listavistosa-nfasis11"/>
        <w:widowControl w:val="0"/>
        <w:numPr>
          <w:ilvl w:val="0"/>
          <w:numId w:val="1"/>
        </w:numPr>
        <w:tabs>
          <w:tab w:val="num" w:pos="720"/>
        </w:tabs>
        <w:autoSpaceDE w:val="0"/>
        <w:autoSpaceDN w:val="0"/>
        <w:adjustRightInd w:val="0"/>
        <w:spacing w:after="0"/>
        <w:ind w:left="0" w:right="22" w:firstLine="0"/>
        <w:contextualSpacing w:val="0"/>
        <w:rPr>
          <w:lang w:val="es-CR"/>
        </w:rPr>
      </w:pPr>
      <w:r w:rsidRPr="004B52AF">
        <w:t>La representante</w:t>
      </w:r>
      <w:r w:rsidR="007948D1" w:rsidRPr="004B52AF">
        <w:t>, en su lista definitiva,</w:t>
      </w:r>
      <w:r w:rsidR="00BF2D68" w:rsidRPr="004B52AF">
        <w:t xml:space="preserve"> solicitaron que </w:t>
      </w:r>
      <w:r w:rsidR="004609C8" w:rsidRPr="004B52AF">
        <w:t>la declaración de una presunta víctima y el dictamen de dos peritos se recibieran en audiencia pública, y</w:t>
      </w:r>
      <w:r w:rsidR="00BF2D68" w:rsidRPr="004B52AF">
        <w:t xml:space="preserve"> </w:t>
      </w:r>
      <w:r w:rsidR="004609C8" w:rsidRPr="004B52AF">
        <w:t xml:space="preserve">que la declaración </w:t>
      </w:r>
      <w:r w:rsidR="004609C8">
        <w:t xml:space="preserve">de dos testigos se recibiera por </w:t>
      </w:r>
      <w:r w:rsidR="004609C8">
        <w:rPr>
          <w:i/>
        </w:rPr>
        <w:t>affidavit</w:t>
      </w:r>
      <w:r w:rsidR="00BF2D68" w:rsidRPr="003D6EA5">
        <w:t>.</w:t>
      </w:r>
    </w:p>
    <w:p w14:paraId="5BEC0D0E" w14:textId="77777777" w:rsidR="003F1B9E" w:rsidRDefault="003F1B9E" w:rsidP="003F1B9E">
      <w:pPr>
        <w:pStyle w:val="Prrafodelista"/>
        <w:rPr>
          <w:lang w:val="es-CR"/>
        </w:rPr>
      </w:pPr>
    </w:p>
    <w:p w14:paraId="09BDAFC0" w14:textId="77777777" w:rsidR="003F1B9E" w:rsidRPr="003F1B9E" w:rsidRDefault="003F1B9E" w:rsidP="007948D1">
      <w:pPr>
        <w:pStyle w:val="Listavistosa-nfasis11"/>
        <w:widowControl w:val="0"/>
        <w:numPr>
          <w:ilvl w:val="0"/>
          <w:numId w:val="1"/>
        </w:numPr>
        <w:tabs>
          <w:tab w:val="num" w:pos="720"/>
        </w:tabs>
        <w:autoSpaceDE w:val="0"/>
        <w:autoSpaceDN w:val="0"/>
        <w:adjustRightInd w:val="0"/>
        <w:spacing w:after="0"/>
        <w:ind w:left="0" w:right="22" w:firstLine="0"/>
        <w:contextualSpacing w:val="0"/>
        <w:rPr>
          <w:lang w:val="es-CR"/>
        </w:rPr>
      </w:pPr>
      <w:r w:rsidRPr="003F1B9E">
        <w:rPr>
          <w:lang w:val="es-CR"/>
        </w:rPr>
        <w:t xml:space="preserve">La representante, en su comunicación de 6 de febrero de 2020, informó sobre el fallecimiento del señor </w:t>
      </w:r>
      <w:r w:rsidRPr="003F1B9E">
        <w:rPr>
          <w:szCs w:val="20"/>
        </w:rPr>
        <w:t xml:space="preserve">Carlos Alberto Fernández Prieto, quien había sido ofrecido como declarante en el </w:t>
      </w:r>
      <w:r>
        <w:rPr>
          <w:szCs w:val="20"/>
        </w:rPr>
        <w:t>escrito de solicitudes y argumentos</w:t>
      </w:r>
      <w:r w:rsidRPr="003F1B9E">
        <w:rPr>
          <w:szCs w:val="20"/>
        </w:rPr>
        <w:t>.</w:t>
      </w:r>
    </w:p>
    <w:p w14:paraId="4D0C0E2C" w14:textId="77777777" w:rsidR="007948D1" w:rsidRPr="007948D1" w:rsidRDefault="007948D1" w:rsidP="007948D1">
      <w:pPr>
        <w:pStyle w:val="Listavistosa-nfasis11"/>
        <w:widowControl w:val="0"/>
        <w:numPr>
          <w:ilvl w:val="0"/>
          <w:numId w:val="0"/>
        </w:numPr>
        <w:autoSpaceDE w:val="0"/>
        <w:autoSpaceDN w:val="0"/>
        <w:adjustRightInd w:val="0"/>
        <w:spacing w:after="0"/>
        <w:ind w:right="22"/>
        <w:contextualSpacing w:val="0"/>
        <w:rPr>
          <w:lang w:val="es-CR"/>
        </w:rPr>
      </w:pPr>
    </w:p>
    <w:p w14:paraId="62889B61" w14:textId="77777777" w:rsidR="002E6DB6" w:rsidRPr="002E6DB6" w:rsidRDefault="002E6DB6" w:rsidP="002E6DB6">
      <w:pPr>
        <w:pStyle w:val="Listavistosa-nfasis11"/>
        <w:widowControl w:val="0"/>
        <w:numPr>
          <w:ilvl w:val="0"/>
          <w:numId w:val="1"/>
        </w:numPr>
        <w:tabs>
          <w:tab w:val="num" w:pos="720"/>
        </w:tabs>
        <w:autoSpaceDE w:val="0"/>
        <w:autoSpaceDN w:val="0"/>
        <w:adjustRightInd w:val="0"/>
        <w:spacing w:after="0"/>
        <w:ind w:left="0" w:right="22" w:firstLine="0"/>
        <w:contextualSpacing w:val="0"/>
        <w:rPr>
          <w:lang w:val="es-CR"/>
        </w:rPr>
      </w:pPr>
      <w:bookmarkStart w:id="7" w:name="_Ref352070057"/>
      <w:r>
        <w:rPr>
          <w:szCs w:val="20"/>
          <w:lang w:val="es-MX"/>
        </w:rPr>
        <w:t xml:space="preserve">En cuanto a las declaraciones que no han sido objetadas, </w:t>
      </w:r>
      <w:r w:rsidR="004609C8">
        <w:rPr>
          <w:szCs w:val="20"/>
          <w:lang w:val="es-MX"/>
        </w:rPr>
        <w:t>la Presidenta</w:t>
      </w:r>
      <w:r>
        <w:rPr>
          <w:szCs w:val="20"/>
          <w:lang w:val="es-MX"/>
        </w:rPr>
        <w:t xml:space="preserve"> considera conveniente recabar dicha prueba, a efectos de que el Tribunal pueda apreciar su valor en la debida oportunidad procesal, dentro del contexto del acervo probatorio existente</w:t>
      </w:r>
      <w:r w:rsidR="00FB3CA3">
        <w:rPr>
          <w:szCs w:val="20"/>
          <w:lang w:val="es-MX"/>
        </w:rPr>
        <w:t>,</w:t>
      </w:r>
      <w:r>
        <w:rPr>
          <w:szCs w:val="20"/>
          <w:lang w:val="es-MX"/>
        </w:rPr>
        <w:t xml:space="preserve"> y según las reglas de la sana crítica. Por consiguiente, </w:t>
      </w:r>
      <w:r w:rsidR="004609C8">
        <w:rPr>
          <w:szCs w:val="20"/>
          <w:lang w:val="es-MX"/>
        </w:rPr>
        <w:t>la Presidenta</w:t>
      </w:r>
      <w:r>
        <w:rPr>
          <w:szCs w:val="20"/>
          <w:lang w:val="es-MX"/>
        </w:rPr>
        <w:t xml:space="preserve"> admite </w:t>
      </w:r>
      <w:r w:rsidR="004609C8">
        <w:rPr>
          <w:szCs w:val="20"/>
          <w:lang w:val="es-MX"/>
        </w:rPr>
        <w:t xml:space="preserve">la declaración testimonial del señor Carlos Alejandro </w:t>
      </w:r>
      <w:proofErr w:type="spellStart"/>
      <w:r w:rsidR="004609C8">
        <w:rPr>
          <w:szCs w:val="20"/>
          <w:lang w:val="es-MX"/>
        </w:rPr>
        <w:t>Tumbeiro</w:t>
      </w:r>
      <w:proofErr w:type="spellEnd"/>
      <w:r w:rsidR="004609C8">
        <w:rPr>
          <w:szCs w:val="20"/>
          <w:lang w:val="es-MX"/>
        </w:rPr>
        <w:t xml:space="preserve"> y de la señora Fátima Adriana Castro; y las declaraciones periciales del señor Hernán Víctor </w:t>
      </w:r>
      <w:proofErr w:type="spellStart"/>
      <w:r w:rsidR="004609C8">
        <w:rPr>
          <w:szCs w:val="20"/>
          <w:lang w:val="es-MX"/>
        </w:rPr>
        <w:t>Gullco</w:t>
      </w:r>
      <w:proofErr w:type="spellEnd"/>
      <w:r w:rsidR="004609C8">
        <w:rPr>
          <w:szCs w:val="20"/>
          <w:lang w:val="es-MX"/>
        </w:rPr>
        <w:t xml:space="preserve"> y de la señora Sofía </w:t>
      </w:r>
      <w:proofErr w:type="spellStart"/>
      <w:r w:rsidR="004609C8">
        <w:rPr>
          <w:szCs w:val="20"/>
          <w:lang w:val="es-MX"/>
        </w:rPr>
        <w:t>Tiscornia</w:t>
      </w:r>
      <w:proofErr w:type="spellEnd"/>
      <w:r>
        <w:rPr>
          <w:rFonts w:cs="Verdana"/>
          <w:lang w:val="es-CR" w:bidi="en-US"/>
        </w:rPr>
        <w:t>.</w:t>
      </w:r>
    </w:p>
    <w:p w14:paraId="2DBDB992" w14:textId="77777777" w:rsidR="006A546E" w:rsidRPr="00D5100C" w:rsidRDefault="006A546E" w:rsidP="006A546E">
      <w:pPr>
        <w:pStyle w:val="Listavistosa-nfasis11"/>
        <w:widowControl w:val="0"/>
        <w:numPr>
          <w:ilvl w:val="0"/>
          <w:numId w:val="0"/>
        </w:numPr>
        <w:autoSpaceDE w:val="0"/>
        <w:autoSpaceDN w:val="0"/>
        <w:adjustRightInd w:val="0"/>
        <w:spacing w:after="0"/>
        <w:ind w:right="22"/>
        <w:contextualSpacing w:val="0"/>
        <w:rPr>
          <w:lang w:val="es-CR"/>
        </w:rPr>
      </w:pPr>
    </w:p>
    <w:bookmarkEnd w:id="7"/>
    <w:p w14:paraId="6284EE01" w14:textId="77777777" w:rsidR="00173EBD" w:rsidRPr="00C43331" w:rsidRDefault="002450E4" w:rsidP="00173EBD">
      <w:pPr>
        <w:pStyle w:val="Listavistosa-nfasis11"/>
        <w:widowControl w:val="0"/>
        <w:numPr>
          <w:ilvl w:val="0"/>
          <w:numId w:val="1"/>
        </w:numPr>
        <w:tabs>
          <w:tab w:val="num" w:pos="720"/>
        </w:tabs>
        <w:autoSpaceDE w:val="0"/>
        <w:autoSpaceDN w:val="0"/>
        <w:adjustRightInd w:val="0"/>
        <w:spacing w:after="0"/>
        <w:ind w:left="0" w:right="22" w:firstLine="0"/>
        <w:contextualSpacing w:val="0"/>
        <w:rPr>
          <w:bCs/>
          <w:iCs/>
          <w:szCs w:val="20"/>
          <w:lang w:val="es-CR"/>
        </w:rPr>
      </w:pPr>
      <w:r>
        <w:rPr>
          <w:rFonts w:eastAsia="Times New Roman" w:cs="Verdana"/>
          <w:szCs w:val="20"/>
          <w:lang w:val="es-CR" w:eastAsia="en-US"/>
        </w:rPr>
        <w:t xml:space="preserve">Tomando en consideración lo anterior, </w:t>
      </w:r>
      <w:r>
        <w:rPr>
          <w:rFonts w:eastAsia="Times New Roman" w:cs="Verdana"/>
          <w:szCs w:val="20"/>
          <w:lang w:val="es-CL" w:eastAsia="en-US"/>
        </w:rPr>
        <w:t>a</w:t>
      </w:r>
      <w:r w:rsidR="00431A17" w:rsidRPr="004A5424">
        <w:rPr>
          <w:szCs w:val="20"/>
        </w:rPr>
        <w:t xml:space="preserve"> continuación</w:t>
      </w:r>
      <w:r w:rsidR="009A5EA7">
        <w:rPr>
          <w:szCs w:val="20"/>
        </w:rPr>
        <w:t>,</w:t>
      </w:r>
      <w:r w:rsidR="00431A17" w:rsidRPr="004A5424">
        <w:rPr>
          <w:szCs w:val="20"/>
        </w:rPr>
        <w:t xml:space="preserve"> </w:t>
      </w:r>
      <w:r w:rsidR="00E755F1">
        <w:rPr>
          <w:szCs w:val="20"/>
        </w:rPr>
        <w:t>la Presidenta</w:t>
      </w:r>
      <w:r w:rsidR="00431A17" w:rsidRPr="004A5424">
        <w:rPr>
          <w:szCs w:val="20"/>
        </w:rPr>
        <w:t xml:space="preserve"> examinará en forma particular: a</w:t>
      </w:r>
      <w:r w:rsidR="00431A17" w:rsidRPr="004A5424">
        <w:rPr>
          <w:lang w:val="es-CR"/>
        </w:rPr>
        <w:t xml:space="preserve">) la admisibilidad de la prueba pericial ofrecida por </w:t>
      </w:r>
      <w:r w:rsidR="006A546E">
        <w:rPr>
          <w:lang w:val="es-CR"/>
        </w:rPr>
        <w:t>la Comisión</w:t>
      </w:r>
      <w:r w:rsidR="004609C8">
        <w:rPr>
          <w:lang w:val="es-CR"/>
        </w:rPr>
        <w:t xml:space="preserve"> y b</w:t>
      </w:r>
      <w:r w:rsidR="009A5EA7">
        <w:rPr>
          <w:bCs/>
          <w:iCs/>
          <w:szCs w:val="20"/>
        </w:rPr>
        <w:t>)</w:t>
      </w:r>
      <w:r w:rsidR="004A5424" w:rsidRPr="00D107B2">
        <w:rPr>
          <w:bCs/>
          <w:iCs/>
          <w:szCs w:val="20"/>
        </w:rPr>
        <w:t xml:space="preserve"> la </w:t>
      </w:r>
      <w:r w:rsidR="004A5424" w:rsidRPr="00D107B2">
        <w:rPr>
          <w:bCs/>
          <w:iCs/>
          <w:szCs w:val="20"/>
          <w:lang w:val="es-CR"/>
        </w:rPr>
        <w:t xml:space="preserve">aplicación del Fondo de Asistencia Legal de Víctimas </w:t>
      </w:r>
      <w:r w:rsidR="00B1490A">
        <w:rPr>
          <w:bCs/>
          <w:iCs/>
          <w:szCs w:val="20"/>
          <w:lang w:val="es-CR"/>
        </w:rPr>
        <w:t>de</w:t>
      </w:r>
      <w:r w:rsidR="004A5424" w:rsidRPr="00D107B2">
        <w:rPr>
          <w:bCs/>
          <w:iCs/>
          <w:szCs w:val="20"/>
          <w:lang w:val="es-CR"/>
        </w:rPr>
        <w:t xml:space="preserve"> la Corte.</w:t>
      </w:r>
    </w:p>
    <w:p w14:paraId="20AB7FA5" w14:textId="77777777" w:rsidR="00431A17" w:rsidRPr="00DB281D" w:rsidRDefault="00431A17" w:rsidP="005735AE">
      <w:pPr>
        <w:pStyle w:val="Listavistosa-nfasis11"/>
        <w:numPr>
          <w:ilvl w:val="0"/>
          <w:numId w:val="0"/>
        </w:numPr>
        <w:spacing w:after="0"/>
        <w:ind w:left="720"/>
        <w:contextualSpacing w:val="0"/>
        <w:rPr>
          <w:bCs/>
          <w:iCs/>
          <w:szCs w:val="20"/>
          <w:lang w:val="es-CR"/>
        </w:rPr>
      </w:pPr>
    </w:p>
    <w:p w14:paraId="6E4CAA44" w14:textId="77777777" w:rsidR="00431A17" w:rsidRPr="00642EED" w:rsidRDefault="00431A17" w:rsidP="00BC2C91">
      <w:pPr>
        <w:pStyle w:val="ListParagraph1"/>
        <w:numPr>
          <w:ilvl w:val="0"/>
          <w:numId w:val="4"/>
        </w:numPr>
        <w:ind w:right="11"/>
        <w:jc w:val="both"/>
        <w:rPr>
          <w:rFonts w:ascii="Verdana" w:hAnsi="Verdana"/>
          <w:b/>
          <w:i/>
          <w:sz w:val="20"/>
          <w:szCs w:val="20"/>
          <w:lang w:val="es-CR"/>
        </w:rPr>
      </w:pPr>
      <w:r w:rsidRPr="00642EED">
        <w:rPr>
          <w:rFonts w:ascii="Verdana" w:hAnsi="Verdana"/>
          <w:b/>
          <w:i/>
          <w:sz w:val="20"/>
          <w:szCs w:val="20"/>
          <w:lang w:val="es-CR"/>
        </w:rPr>
        <w:t>Admisibilidad de la prueba pericial ofrecida</w:t>
      </w:r>
      <w:r w:rsidR="00173EBD" w:rsidRPr="00642EED">
        <w:rPr>
          <w:rFonts w:ascii="Verdana" w:hAnsi="Verdana"/>
          <w:b/>
          <w:i/>
          <w:sz w:val="20"/>
          <w:szCs w:val="20"/>
          <w:lang w:val="es-CR"/>
        </w:rPr>
        <w:t xml:space="preserve"> por la Comisión Interamericana</w:t>
      </w:r>
    </w:p>
    <w:p w14:paraId="0E2CDDEE" w14:textId="77777777" w:rsidR="00F9177D" w:rsidRPr="00F23581" w:rsidRDefault="00F9177D" w:rsidP="00F9177D">
      <w:pPr>
        <w:pStyle w:val="ListParagraph1"/>
        <w:ind w:left="0" w:right="11"/>
        <w:jc w:val="both"/>
        <w:rPr>
          <w:rFonts w:ascii="Verdana" w:hAnsi="Verdana"/>
          <w:sz w:val="20"/>
          <w:szCs w:val="20"/>
          <w:lang w:val="es-CR"/>
        </w:rPr>
      </w:pPr>
    </w:p>
    <w:p w14:paraId="6A4AA43D" w14:textId="77777777" w:rsidR="00F9177D" w:rsidRPr="008627AF" w:rsidRDefault="00F9177D" w:rsidP="008627AF">
      <w:pPr>
        <w:pStyle w:val="Prrafodelista"/>
        <w:numPr>
          <w:ilvl w:val="0"/>
          <w:numId w:val="1"/>
        </w:numPr>
        <w:tabs>
          <w:tab w:val="clear" w:pos="3870"/>
        </w:tabs>
        <w:spacing w:after="0"/>
        <w:ind w:left="0"/>
        <w:rPr>
          <w:rFonts w:cs="Arial"/>
          <w:szCs w:val="20"/>
          <w:lang w:val="es-CL"/>
        </w:rPr>
      </w:pPr>
      <w:r w:rsidRPr="008627AF">
        <w:rPr>
          <w:rFonts w:cs="Arial"/>
          <w:szCs w:val="20"/>
          <w:lang w:val="es-CR"/>
        </w:rPr>
        <w:t xml:space="preserve">La </w:t>
      </w:r>
      <w:r w:rsidRPr="008627AF">
        <w:rPr>
          <w:rFonts w:cs="Arial"/>
          <w:b/>
          <w:i/>
          <w:szCs w:val="20"/>
          <w:lang w:val="es-CR"/>
        </w:rPr>
        <w:t>Comisión</w:t>
      </w:r>
      <w:r w:rsidRPr="008627AF">
        <w:rPr>
          <w:rFonts w:cs="Arial"/>
          <w:szCs w:val="20"/>
          <w:lang w:val="es-CR"/>
        </w:rPr>
        <w:t xml:space="preserve"> ofreció, como prueba pericial, la declaración del señor </w:t>
      </w:r>
      <w:r w:rsidR="00063CAE" w:rsidRPr="008627AF">
        <w:rPr>
          <w:rFonts w:cs="Arial"/>
          <w:szCs w:val="20"/>
          <w:lang w:val="es-CR"/>
        </w:rPr>
        <w:t xml:space="preserve">Juan Pablo </w:t>
      </w:r>
      <w:proofErr w:type="spellStart"/>
      <w:r w:rsidR="00063CAE" w:rsidRPr="008627AF">
        <w:rPr>
          <w:rFonts w:cs="Arial"/>
          <w:szCs w:val="20"/>
          <w:lang w:val="es-CR"/>
        </w:rPr>
        <w:t>Gomara</w:t>
      </w:r>
      <w:proofErr w:type="spellEnd"/>
      <w:r w:rsidRPr="009A4354">
        <w:rPr>
          <w:rStyle w:val="Refdenotaalpie"/>
          <w:rFonts w:cs="Arial"/>
          <w:szCs w:val="20"/>
          <w:lang w:val="es-CR"/>
        </w:rPr>
        <w:footnoteReference w:id="1"/>
      </w:r>
      <w:r w:rsidRPr="008627AF">
        <w:rPr>
          <w:rFonts w:cs="Arial"/>
          <w:szCs w:val="20"/>
          <w:lang w:val="es-CR"/>
        </w:rPr>
        <w:t>, indicó el objeto de su declaración, y adjuntó su hoja de vida.</w:t>
      </w:r>
      <w:r w:rsidRPr="008627AF">
        <w:rPr>
          <w:rFonts w:cs="Verdana"/>
          <w:szCs w:val="20"/>
          <w:lang w:val="es-CR" w:bidi="en-US"/>
        </w:rPr>
        <w:t xml:space="preserve"> </w:t>
      </w:r>
      <w:r w:rsidRPr="008627AF">
        <w:rPr>
          <w:rFonts w:cs="Arial"/>
          <w:szCs w:val="20"/>
          <w:lang w:val="es-CR"/>
        </w:rPr>
        <w:t xml:space="preserve">Ni el </w:t>
      </w:r>
      <w:r w:rsidRPr="008627AF">
        <w:rPr>
          <w:rFonts w:cs="Arial"/>
          <w:b/>
          <w:i/>
          <w:szCs w:val="20"/>
          <w:lang w:val="es-CR"/>
        </w:rPr>
        <w:t>Estado</w:t>
      </w:r>
      <w:r w:rsidRPr="008627AF">
        <w:rPr>
          <w:rFonts w:cs="Arial"/>
          <w:b/>
          <w:szCs w:val="20"/>
          <w:lang w:val="es-CR"/>
        </w:rPr>
        <w:t>,</w:t>
      </w:r>
      <w:r w:rsidR="00E755F1" w:rsidRPr="008627AF">
        <w:rPr>
          <w:rFonts w:cs="Arial"/>
          <w:szCs w:val="20"/>
          <w:lang w:val="es-CR"/>
        </w:rPr>
        <w:t xml:space="preserve"> ni la</w:t>
      </w:r>
      <w:r w:rsidRPr="008627AF">
        <w:rPr>
          <w:rFonts w:cs="Arial"/>
          <w:szCs w:val="20"/>
          <w:lang w:val="es-CR"/>
        </w:rPr>
        <w:t xml:space="preserve"> </w:t>
      </w:r>
      <w:r w:rsidR="00E755F1" w:rsidRPr="008627AF">
        <w:rPr>
          <w:rFonts w:cs="Arial"/>
          <w:b/>
          <w:i/>
          <w:szCs w:val="20"/>
          <w:lang w:val="es-CR"/>
        </w:rPr>
        <w:t>representante</w:t>
      </w:r>
      <w:r w:rsidRPr="008627AF">
        <w:rPr>
          <w:rFonts w:cs="Arial"/>
          <w:szCs w:val="20"/>
          <w:lang w:val="es-CR"/>
        </w:rPr>
        <w:t xml:space="preserve">, objetaron el ofrecimiento de dicha prueba pericial. Por lo tanto, </w:t>
      </w:r>
      <w:r w:rsidR="00E755F1" w:rsidRPr="008627AF">
        <w:rPr>
          <w:rFonts w:cs="Arial"/>
          <w:szCs w:val="20"/>
          <w:lang w:val="es-CR"/>
        </w:rPr>
        <w:t>la Presidenta</w:t>
      </w:r>
      <w:r w:rsidRPr="008627AF">
        <w:rPr>
          <w:rFonts w:cs="Arial"/>
          <w:szCs w:val="20"/>
          <w:lang w:val="es-CR"/>
        </w:rPr>
        <w:t xml:space="preserve"> procederá a analizar la admisibilidad del peritaje </w:t>
      </w:r>
      <w:r w:rsidRPr="008627AF">
        <w:rPr>
          <w:rFonts w:cs="Arial"/>
          <w:szCs w:val="20"/>
        </w:rPr>
        <w:t>con fundamento en el artículo 35.1.f del Reglamento de la Corte</w:t>
      </w:r>
      <w:r w:rsidRPr="00227CAB">
        <w:rPr>
          <w:vertAlign w:val="superscript"/>
        </w:rPr>
        <w:footnoteReference w:id="2"/>
      </w:r>
      <w:r w:rsidRPr="008627AF">
        <w:rPr>
          <w:rFonts w:cs="Arial"/>
          <w:szCs w:val="20"/>
        </w:rPr>
        <w:t>, en donde se supedita el eventual ofrecimiento de peritos cuando se afecte de manera relevante el orden público interamericano de los derechos humanos, lo cual corresponde a la Comisión sustentar</w:t>
      </w:r>
      <w:r w:rsidRPr="00227CAB">
        <w:rPr>
          <w:vertAlign w:val="superscript"/>
        </w:rPr>
        <w:footnoteReference w:id="3"/>
      </w:r>
      <w:r w:rsidRPr="008627AF">
        <w:rPr>
          <w:rFonts w:cs="Arial"/>
          <w:szCs w:val="20"/>
          <w:lang w:val="es-CR"/>
        </w:rPr>
        <w:t>.</w:t>
      </w:r>
    </w:p>
    <w:p w14:paraId="4C8B9B84" w14:textId="77777777" w:rsidR="00F9177D" w:rsidRPr="009A4354" w:rsidRDefault="00F9177D" w:rsidP="00BF3A99">
      <w:pPr>
        <w:pStyle w:val="Prrafodelista"/>
        <w:spacing w:after="0"/>
        <w:ind w:left="0"/>
        <w:rPr>
          <w:rFonts w:cs="Arial"/>
          <w:szCs w:val="20"/>
          <w:lang w:val="es-CL"/>
        </w:rPr>
      </w:pPr>
    </w:p>
    <w:p w14:paraId="22D9EB40" w14:textId="77777777" w:rsidR="00F9177D" w:rsidRPr="002933BD" w:rsidRDefault="00F9177D" w:rsidP="008627AF">
      <w:pPr>
        <w:pStyle w:val="Prrafodelista"/>
        <w:numPr>
          <w:ilvl w:val="0"/>
          <w:numId w:val="1"/>
        </w:numPr>
        <w:tabs>
          <w:tab w:val="clear" w:pos="3870"/>
          <w:tab w:val="num" w:pos="709"/>
        </w:tabs>
        <w:spacing w:after="0"/>
        <w:ind w:left="0"/>
        <w:rPr>
          <w:rFonts w:cs="Arial"/>
          <w:szCs w:val="20"/>
          <w:lang w:val="es-CL"/>
        </w:rPr>
      </w:pPr>
      <w:r w:rsidRPr="009A4354">
        <w:rPr>
          <w:rFonts w:cs="Arial"/>
          <w:szCs w:val="20"/>
          <w:lang w:val="es-CR"/>
        </w:rPr>
        <w:t>Según la Comisión, este caso involucra cuestiones de orde</w:t>
      </w:r>
      <w:r>
        <w:rPr>
          <w:rFonts w:cs="Arial"/>
          <w:szCs w:val="20"/>
          <w:lang w:val="es-CR"/>
        </w:rPr>
        <w:t>n público interamericano, pues:</w:t>
      </w:r>
    </w:p>
    <w:p w14:paraId="1D22B6FE" w14:textId="77777777" w:rsidR="00F9177D" w:rsidRPr="009A4354" w:rsidRDefault="00F9177D" w:rsidP="00BF3A99">
      <w:pPr>
        <w:pStyle w:val="Prrafodelista"/>
        <w:spacing w:after="0"/>
        <w:ind w:left="0"/>
        <w:rPr>
          <w:rFonts w:cs="Arial"/>
          <w:szCs w:val="20"/>
          <w:lang w:val="es-CL"/>
        </w:rPr>
      </w:pPr>
    </w:p>
    <w:p w14:paraId="57D2DF5A" w14:textId="77777777" w:rsidR="00F9177D" w:rsidRPr="003978A7" w:rsidRDefault="00186516" w:rsidP="00BF3A99">
      <w:pPr>
        <w:pStyle w:val="Prrafodelista"/>
        <w:spacing w:after="0"/>
        <w:ind w:left="709" w:right="1182"/>
        <w:rPr>
          <w:rFonts w:cs="Arial"/>
          <w:sz w:val="18"/>
          <w:szCs w:val="18"/>
          <w:lang w:val="es-CL"/>
        </w:rPr>
      </w:pPr>
      <w:r>
        <w:rPr>
          <w:rFonts w:cs="Arial"/>
          <w:sz w:val="18"/>
          <w:szCs w:val="18"/>
          <w:lang w:val="es-CL"/>
        </w:rPr>
        <w:t>“permitirá a la Corte profundizar su jurisprudencia sobre los requisitos y condiciones en las cuales las personas pueden ser detenidas por agentes policiales cuando no exista una orden judicial ni flagrancia. Particularmente, las salvaguardas para asegurar la legalidad y no arbitrariedad de facultades policiales de detención en base al criterio de “sospecha”; y la validez bajo la Convención Americana, del uso en proceso penal de las pruebas obtenidas durante dicho acto”.</w:t>
      </w:r>
    </w:p>
    <w:p w14:paraId="4FCF588F" w14:textId="77777777" w:rsidR="00F9177D" w:rsidRPr="009A4354" w:rsidRDefault="00F9177D" w:rsidP="00BF3A99">
      <w:pPr>
        <w:spacing w:after="0"/>
        <w:ind w:right="1182"/>
        <w:rPr>
          <w:rFonts w:cs="Arial"/>
          <w:szCs w:val="20"/>
          <w:lang w:val="es-CL"/>
        </w:rPr>
      </w:pPr>
    </w:p>
    <w:p w14:paraId="6085501F" w14:textId="77777777" w:rsidR="00F9177D" w:rsidRPr="009A4354" w:rsidRDefault="00F9177D" w:rsidP="008627AF">
      <w:pPr>
        <w:numPr>
          <w:ilvl w:val="0"/>
          <w:numId w:val="1"/>
        </w:numPr>
        <w:tabs>
          <w:tab w:val="clear" w:pos="3870"/>
          <w:tab w:val="num" w:pos="709"/>
        </w:tabs>
        <w:autoSpaceDE w:val="0"/>
        <w:autoSpaceDN w:val="0"/>
        <w:adjustRightInd w:val="0"/>
        <w:spacing w:after="0"/>
        <w:rPr>
          <w:szCs w:val="20"/>
        </w:rPr>
      </w:pPr>
      <w:r w:rsidRPr="009A4354">
        <w:rPr>
          <w:szCs w:val="20"/>
        </w:rPr>
        <w:t xml:space="preserve">En este sentido, </w:t>
      </w:r>
      <w:r w:rsidR="00E755F1">
        <w:rPr>
          <w:szCs w:val="20"/>
        </w:rPr>
        <w:t>la Presidenta</w:t>
      </w:r>
      <w:r w:rsidRPr="009A4354">
        <w:rPr>
          <w:szCs w:val="20"/>
        </w:rPr>
        <w:t xml:space="preserve"> considera que el objeto </w:t>
      </w:r>
      <w:r>
        <w:rPr>
          <w:szCs w:val="20"/>
        </w:rPr>
        <w:t>del peritaje propuesto</w:t>
      </w:r>
      <w:r w:rsidRPr="009A4354">
        <w:rPr>
          <w:szCs w:val="20"/>
        </w:rPr>
        <w:t xml:space="preserve"> trasciende el interés y objeto del presente caso, pues se refiere a </w:t>
      </w:r>
      <w:r>
        <w:rPr>
          <w:szCs w:val="20"/>
        </w:rPr>
        <w:t xml:space="preserve">las obligaciones </w:t>
      </w:r>
      <w:r w:rsidR="00186516">
        <w:rPr>
          <w:szCs w:val="20"/>
        </w:rPr>
        <w:t xml:space="preserve">de los Estados en </w:t>
      </w:r>
      <w:r w:rsidR="00186516">
        <w:rPr>
          <w:szCs w:val="20"/>
        </w:rPr>
        <w:lastRenderedPageBreak/>
        <w:t>relación con los límites de la discrecionalidad policial relacionadas con la detención personas que sean consideradas “sospechosas”</w:t>
      </w:r>
      <w:r>
        <w:rPr>
          <w:szCs w:val="20"/>
        </w:rPr>
        <w:t>, lo cual</w:t>
      </w:r>
      <w:r w:rsidR="00186516">
        <w:rPr>
          <w:szCs w:val="20"/>
        </w:rPr>
        <w:t xml:space="preserve"> tiene una trascendencia en materia de la política de los Estados en materia de seguridad e</w:t>
      </w:r>
      <w:r>
        <w:rPr>
          <w:szCs w:val="20"/>
        </w:rPr>
        <w:t xml:space="preserve"> implica también interpretar los alcances de</w:t>
      </w:r>
      <w:r w:rsidR="00186516">
        <w:rPr>
          <w:szCs w:val="20"/>
        </w:rPr>
        <w:t xml:space="preserve"> </w:t>
      </w:r>
      <w:r>
        <w:rPr>
          <w:szCs w:val="20"/>
        </w:rPr>
        <w:t>l</w:t>
      </w:r>
      <w:r w:rsidR="00186516">
        <w:rPr>
          <w:szCs w:val="20"/>
        </w:rPr>
        <w:t>os</w:t>
      </w:r>
      <w:r>
        <w:rPr>
          <w:szCs w:val="20"/>
        </w:rPr>
        <w:t xml:space="preserve"> artículo</w:t>
      </w:r>
      <w:r w:rsidR="00186516">
        <w:rPr>
          <w:szCs w:val="20"/>
        </w:rPr>
        <w:t>s</w:t>
      </w:r>
      <w:r>
        <w:rPr>
          <w:szCs w:val="20"/>
        </w:rPr>
        <w:t xml:space="preserve"> </w:t>
      </w:r>
      <w:r w:rsidR="00186516">
        <w:rPr>
          <w:szCs w:val="20"/>
        </w:rPr>
        <w:t>7 y 11</w:t>
      </w:r>
      <w:r>
        <w:rPr>
          <w:szCs w:val="20"/>
        </w:rPr>
        <w:t xml:space="preserve"> de la Convención Americana</w:t>
      </w:r>
      <w:r w:rsidRPr="00B20D9C">
        <w:rPr>
          <w:szCs w:val="20"/>
        </w:rPr>
        <w:t>.</w:t>
      </w:r>
      <w:r w:rsidRPr="009A4354">
        <w:rPr>
          <w:szCs w:val="20"/>
        </w:rPr>
        <w:t xml:space="preserve"> </w:t>
      </w:r>
      <w:r w:rsidR="00186516">
        <w:rPr>
          <w:szCs w:val="20"/>
        </w:rPr>
        <w:t>La Presidenta</w:t>
      </w:r>
      <w:r w:rsidRPr="009A4354">
        <w:rPr>
          <w:szCs w:val="20"/>
        </w:rPr>
        <w:t xml:space="preserve"> advierte que</w:t>
      </w:r>
      <w:r>
        <w:rPr>
          <w:szCs w:val="20"/>
        </w:rPr>
        <w:t xml:space="preserve"> esta cuestión es relevante no solo para el caso particular,</w:t>
      </w:r>
      <w:r w:rsidRPr="009A4354">
        <w:rPr>
          <w:szCs w:val="20"/>
        </w:rPr>
        <w:t xml:space="preserve"> </w:t>
      </w:r>
      <w:r>
        <w:rPr>
          <w:szCs w:val="20"/>
        </w:rPr>
        <w:t>sino que involucra un supuesto que puede tener impacto sobre situaciones ocurridas en otros Estados, por lo que son</w:t>
      </w:r>
      <w:r w:rsidRPr="009A4354">
        <w:rPr>
          <w:szCs w:val="20"/>
        </w:rPr>
        <w:t xml:space="preserve"> de orden público interamericano.</w:t>
      </w:r>
    </w:p>
    <w:p w14:paraId="755F9DDC" w14:textId="77777777" w:rsidR="00F9177D" w:rsidRPr="009A4354" w:rsidRDefault="00F9177D" w:rsidP="008627AF">
      <w:pPr>
        <w:tabs>
          <w:tab w:val="num" w:pos="709"/>
        </w:tabs>
        <w:autoSpaceDE w:val="0"/>
        <w:autoSpaceDN w:val="0"/>
        <w:adjustRightInd w:val="0"/>
        <w:spacing w:after="0"/>
        <w:rPr>
          <w:szCs w:val="20"/>
        </w:rPr>
      </w:pPr>
    </w:p>
    <w:p w14:paraId="7037F0A3" w14:textId="77777777" w:rsidR="00F9177D" w:rsidRPr="004A2139" w:rsidRDefault="00F9177D" w:rsidP="008627AF">
      <w:pPr>
        <w:numPr>
          <w:ilvl w:val="0"/>
          <w:numId w:val="1"/>
        </w:numPr>
        <w:tabs>
          <w:tab w:val="clear" w:pos="3870"/>
          <w:tab w:val="num" w:pos="709"/>
        </w:tabs>
        <w:autoSpaceDE w:val="0"/>
        <w:autoSpaceDN w:val="0"/>
        <w:adjustRightInd w:val="0"/>
        <w:spacing w:after="0"/>
        <w:rPr>
          <w:szCs w:val="20"/>
        </w:rPr>
      </w:pPr>
      <w:r w:rsidRPr="009A4354">
        <w:rPr>
          <w:szCs w:val="20"/>
        </w:rPr>
        <w:t>Por lo an</w:t>
      </w:r>
      <w:r>
        <w:rPr>
          <w:szCs w:val="20"/>
        </w:rPr>
        <w:t xml:space="preserve">terior, </w:t>
      </w:r>
      <w:r w:rsidR="00186516">
        <w:rPr>
          <w:szCs w:val="20"/>
        </w:rPr>
        <w:t>la Presidenta</w:t>
      </w:r>
      <w:r>
        <w:rPr>
          <w:szCs w:val="20"/>
        </w:rPr>
        <w:t xml:space="preserve"> admite la declaración</w:t>
      </w:r>
      <w:r w:rsidRPr="009A4354">
        <w:rPr>
          <w:szCs w:val="20"/>
        </w:rPr>
        <w:t xml:space="preserve"> </w:t>
      </w:r>
      <w:r>
        <w:rPr>
          <w:rFonts w:cs="Arial"/>
          <w:szCs w:val="20"/>
          <w:lang w:val="es-CR"/>
        </w:rPr>
        <w:t xml:space="preserve">del señor </w:t>
      </w:r>
      <w:r w:rsidR="00186516">
        <w:rPr>
          <w:rFonts w:cs="Arial"/>
          <w:szCs w:val="20"/>
          <w:lang w:val="es-CR"/>
        </w:rPr>
        <w:t xml:space="preserve">Juan Pablo </w:t>
      </w:r>
      <w:proofErr w:type="spellStart"/>
      <w:r w:rsidR="00186516">
        <w:rPr>
          <w:rFonts w:cs="Arial"/>
          <w:szCs w:val="20"/>
          <w:lang w:val="es-CR"/>
        </w:rPr>
        <w:t>Gomara</w:t>
      </w:r>
      <w:proofErr w:type="spellEnd"/>
      <w:r w:rsidRPr="009A4354">
        <w:rPr>
          <w:rFonts w:cs="Arial"/>
          <w:szCs w:val="20"/>
          <w:lang w:val="es-CR"/>
        </w:rPr>
        <w:t xml:space="preserve">, cuyo objeto y modalidad se determinarán en la parte resolutiva de la presente Resolución </w:t>
      </w:r>
      <w:r w:rsidRPr="008644C2">
        <w:rPr>
          <w:rFonts w:cs="Arial"/>
          <w:szCs w:val="20"/>
          <w:lang w:val="es-CR"/>
        </w:rPr>
        <w:t>(</w:t>
      </w:r>
      <w:r w:rsidRPr="008644C2">
        <w:rPr>
          <w:rFonts w:cs="Arial"/>
          <w:i/>
          <w:szCs w:val="20"/>
          <w:lang w:val="es-CR"/>
        </w:rPr>
        <w:t xml:space="preserve">infra </w:t>
      </w:r>
      <w:r>
        <w:rPr>
          <w:rFonts w:cs="Arial"/>
          <w:szCs w:val="20"/>
          <w:lang w:val="es-CR"/>
        </w:rPr>
        <w:t>punto resolutivo 1</w:t>
      </w:r>
      <w:r w:rsidRPr="008644C2">
        <w:rPr>
          <w:rFonts w:cs="Arial"/>
          <w:szCs w:val="20"/>
          <w:lang w:val="es-CR"/>
        </w:rPr>
        <w:t>).</w:t>
      </w:r>
    </w:p>
    <w:p w14:paraId="2D1796D3" w14:textId="77777777" w:rsidR="004A2139" w:rsidRDefault="004A2139" w:rsidP="00BF3A99">
      <w:pPr>
        <w:spacing w:after="0"/>
        <w:rPr>
          <w:szCs w:val="20"/>
        </w:rPr>
      </w:pPr>
    </w:p>
    <w:p w14:paraId="7D01EEFF" w14:textId="77777777" w:rsidR="004A2139" w:rsidRPr="00CD7774" w:rsidRDefault="004A2139" w:rsidP="00BF3A99">
      <w:pPr>
        <w:pStyle w:val="Sangradetextonormal"/>
        <w:numPr>
          <w:ilvl w:val="0"/>
          <w:numId w:val="4"/>
        </w:numPr>
        <w:tabs>
          <w:tab w:val="left" w:pos="0"/>
        </w:tabs>
        <w:spacing w:after="0"/>
        <w:ind w:left="0" w:firstLine="0"/>
        <w:rPr>
          <w:rFonts w:eastAsia="Cambria" w:cs="Cambria"/>
          <w:b/>
          <w:bCs/>
          <w:i/>
          <w:iCs/>
          <w:color w:val="000000"/>
          <w:szCs w:val="20"/>
          <w:u w:color="000000"/>
          <w:lang w:val="es-ES"/>
        </w:rPr>
      </w:pPr>
      <w:r w:rsidRPr="00CD7774">
        <w:rPr>
          <w:rFonts w:eastAsia="Cambria" w:cs="Cambria"/>
          <w:b/>
          <w:bCs/>
          <w:i/>
          <w:iCs/>
          <w:color w:val="000000"/>
          <w:szCs w:val="20"/>
          <w:u w:color="000000"/>
          <w:lang w:val="es-ES"/>
        </w:rPr>
        <w:t xml:space="preserve">La solicitud de la Comisión para formular preguntas </w:t>
      </w:r>
      <w:r>
        <w:rPr>
          <w:rFonts w:eastAsia="Cambria" w:cs="Cambria"/>
          <w:b/>
          <w:bCs/>
          <w:i/>
          <w:iCs/>
          <w:color w:val="000000"/>
          <w:szCs w:val="20"/>
          <w:u w:color="000000"/>
          <w:lang w:val="es-ES"/>
        </w:rPr>
        <w:t xml:space="preserve">al perito ofrecido por </w:t>
      </w:r>
      <w:r w:rsidR="00E755F1">
        <w:rPr>
          <w:rFonts w:eastAsia="Cambria" w:cs="Cambria"/>
          <w:b/>
          <w:bCs/>
          <w:i/>
          <w:iCs/>
          <w:color w:val="000000"/>
          <w:szCs w:val="20"/>
          <w:u w:color="000000"/>
          <w:lang w:val="es-ES"/>
        </w:rPr>
        <w:t>la representante</w:t>
      </w:r>
    </w:p>
    <w:p w14:paraId="4E3A9E61" w14:textId="77777777" w:rsidR="004A2139" w:rsidRPr="004A2139" w:rsidRDefault="004A2139" w:rsidP="00BF3A99">
      <w:pPr>
        <w:spacing w:after="0"/>
        <w:rPr>
          <w:szCs w:val="20"/>
          <w:lang w:val="es-ES"/>
        </w:rPr>
      </w:pPr>
    </w:p>
    <w:p w14:paraId="39DABEE3" w14:textId="77777777" w:rsidR="004A2139" w:rsidRDefault="004A2139" w:rsidP="008627AF">
      <w:pPr>
        <w:pStyle w:val="Sangradetextonormal"/>
        <w:numPr>
          <w:ilvl w:val="0"/>
          <w:numId w:val="1"/>
        </w:numPr>
        <w:tabs>
          <w:tab w:val="clear" w:pos="3870"/>
          <w:tab w:val="left" w:pos="0"/>
          <w:tab w:val="num" w:pos="709"/>
        </w:tabs>
        <w:spacing w:after="0"/>
        <w:ind w:left="0"/>
        <w:rPr>
          <w:rFonts w:eastAsia="Cambria" w:cs="Cambria"/>
          <w:bCs/>
          <w:iCs/>
          <w:color w:val="000000"/>
          <w:szCs w:val="20"/>
          <w:u w:color="000000"/>
          <w:lang w:val="es-ES"/>
        </w:rPr>
      </w:pPr>
      <w:r>
        <w:rPr>
          <w:rFonts w:eastAsia="Cambria" w:cs="Cambria"/>
          <w:bCs/>
          <w:iCs/>
          <w:color w:val="000000"/>
          <w:szCs w:val="20"/>
          <w:u w:color="000000"/>
          <w:lang w:val="es-ES"/>
        </w:rPr>
        <w:t xml:space="preserve">La </w:t>
      </w:r>
      <w:r>
        <w:rPr>
          <w:rFonts w:eastAsia="Cambria" w:cs="Cambria"/>
          <w:b/>
          <w:bCs/>
          <w:i/>
          <w:iCs/>
          <w:color w:val="000000"/>
          <w:szCs w:val="20"/>
          <w:u w:color="000000"/>
          <w:lang w:val="es-ES"/>
        </w:rPr>
        <w:t xml:space="preserve">Comisión </w:t>
      </w:r>
      <w:r>
        <w:rPr>
          <w:rFonts w:eastAsia="Cambria" w:cs="Cambria"/>
          <w:bCs/>
          <w:iCs/>
          <w:color w:val="000000"/>
          <w:szCs w:val="20"/>
          <w:u w:color="000000"/>
          <w:lang w:val="es-ES"/>
        </w:rPr>
        <w:t xml:space="preserve">solicitó a la Corte “la oportunidad verbal o escrita de formular preguntas” al perito </w:t>
      </w:r>
      <w:r w:rsidR="00E7202C">
        <w:rPr>
          <w:rFonts w:eastAsia="Cambria" w:cs="Cambria"/>
          <w:bCs/>
          <w:iCs/>
          <w:color w:val="000000"/>
          <w:szCs w:val="20"/>
          <w:u w:color="000000"/>
          <w:lang w:val="es-ES"/>
        </w:rPr>
        <w:t xml:space="preserve">Hernán </w:t>
      </w:r>
      <w:proofErr w:type="spellStart"/>
      <w:r w:rsidR="00E7202C">
        <w:rPr>
          <w:rFonts w:eastAsia="Cambria" w:cs="Cambria"/>
          <w:bCs/>
          <w:iCs/>
          <w:color w:val="000000"/>
          <w:szCs w:val="20"/>
          <w:u w:color="000000"/>
          <w:lang w:val="es-ES"/>
        </w:rPr>
        <w:t>Gullco</w:t>
      </w:r>
      <w:proofErr w:type="spellEnd"/>
      <w:r>
        <w:rPr>
          <w:rFonts w:eastAsia="Cambria" w:cs="Cambria"/>
          <w:bCs/>
          <w:iCs/>
          <w:color w:val="000000"/>
          <w:szCs w:val="20"/>
          <w:u w:color="000000"/>
          <w:lang w:val="es-ES"/>
        </w:rPr>
        <w:t xml:space="preserve">, ofrecido por </w:t>
      </w:r>
      <w:r w:rsidR="00E755F1">
        <w:rPr>
          <w:rFonts w:eastAsia="Cambria" w:cs="Cambria"/>
          <w:bCs/>
          <w:iCs/>
          <w:color w:val="000000"/>
          <w:szCs w:val="20"/>
          <w:u w:color="000000"/>
          <w:lang w:val="es-ES"/>
        </w:rPr>
        <w:t>la representante</w:t>
      </w:r>
      <w:r>
        <w:rPr>
          <w:rFonts w:eastAsia="Cambria" w:cs="Cambria"/>
          <w:bCs/>
          <w:iCs/>
          <w:color w:val="000000"/>
          <w:szCs w:val="20"/>
          <w:u w:color="000000"/>
          <w:lang w:val="es-ES"/>
        </w:rPr>
        <w:t>. Explicó que “</w:t>
      </w:r>
      <w:r w:rsidR="00E7202C">
        <w:rPr>
          <w:rFonts w:eastAsia="Cambria" w:cs="Cambria"/>
          <w:bCs/>
          <w:iCs/>
          <w:color w:val="000000"/>
          <w:szCs w:val="20"/>
          <w:u w:color="000000"/>
          <w:lang w:val="es-ES"/>
        </w:rPr>
        <w:t xml:space="preserve">el objeto del peritaje del señor </w:t>
      </w:r>
      <w:proofErr w:type="spellStart"/>
      <w:r w:rsidR="00E7202C">
        <w:rPr>
          <w:rFonts w:eastAsia="Cambria" w:cs="Cambria"/>
          <w:bCs/>
          <w:iCs/>
          <w:color w:val="000000"/>
          <w:szCs w:val="20"/>
          <w:u w:color="000000"/>
          <w:lang w:val="es-ES"/>
        </w:rPr>
        <w:t>Gullco</w:t>
      </w:r>
      <w:proofErr w:type="spellEnd"/>
      <w:r w:rsidR="00E7202C">
        <w:rPr>
          <w:rFonts w:eastAsia="Cambria" w:cs="Cambria"/>
          <w:bCs/>
          <w:iCs/>
          <w:color w:val="000000"/>
          <w:szCs w:val="20"/>
          <w:u w:color="000000"/>
          <w:lang w:val="es-ES"/>
        </w:rPr>
        <w:t xml:space="preserve"> se relaciona tanto con el orden público interamericano como con la materia sobre la cual versa el peritaje de Juan Pablo </w:t>
      </w:r>
      <w:proofErr w:type="spellStart"/>
      <w:r w:rsidR="00E7202C">
        <w:rPr>
          <w:rFonts w:eastAsia="Cambria" w:cs="Cambria"/>
          <w:bCs/>
          <w:iCs/>
          <w:color w:val="000000"/>
          <w:szCs w:val="20"/>
          <w:u w:color="000000"/>
          <w:lang w:val="es-ES"/>
        </w:rPr>
        <w:t>Gomara</w:t>
      </w:r>
      <w:proofErr w:type="spellEnd"/>
      <w:r w:rsidR="00E7202C">
        <w:rPr>
          <w:rFonts w:eastAsia="Cambria" w:cs="Cambria"/>
          <w:bCs/>
          <w:iCs/>
          <w:color w:val="000000"/>
          <w:szCs w:val="20"/>
          <w:u w:color="000000"/>
          <w:lang w:val="es-ES"/>
        </w:rPr>
        <w:t>”.</w:t>
      </w:r>
    </w:p>
    <w:p w14:paraId="17D9E787" w14:textId="77777777" w:rsidR="004A2139" w:rsidRDefault="004A2139" w:rsidP="008627AF">
      <w:pPr>
        <w:pStyle w:val="Sangradetextonormal"/>
        <w:tabs>
          <w:tab w:val="left" w:pos="0"/>
          <w:tab w:val="num" w:pos="709"/>
        </w:tabs>
        <w:spacing w:after="0"/>
        <w:ind w:left="0"/>
        <w:rPr>
          <w:rFonts w:eastAsia="Cambria" w:cs="Cambria"/>
          <w:bCs/>
          <w:iCs/>
          <w:color w:val="000000"/>
          <w:szCs w:val="20"/>
          <w:u w:color="000000"/>
          <w:lang w:val="es-ES"/>
        </w:rPr>
      </w:pPr>
    </w:p>
    <w:p w14:paraId="1D93F073" w14:textId="77777777" w:rsidR="004A2139" w:rsidRPr="00C906BB" w:rsidRDefault="00E755F1" w:rsidP="008627AF">
      <w:pPr>
        <w:pStyle w:val="Sangradetextonormal"/>
        <w:numPr>
          <w:ilvl w:val="0"/>
          <w:numId w:val="1"/>
        </w:numPr>
        <w:tabs>
          <w:tab w:val="clear" w:pos="3870"/>
          <w:tab w:val="left" w:pos="0"/>
          <w:tab w:val="num" w:pos="709"/>
        </w:tabs>
        <w:spacing w:after="0"/>
        <w:ind w:left="0"/>
        <w:rPr>
          <w:rFonts w:eastAsia="Cambria" w:cs="Cambria"/>
          <w:bCs/>
          <w:iCs/>
          <w:color w:val="000000"/>
          <w:szCs w:val="20"/>
          <w:u w:color="000000"/>
          <w:lang w:val="es-ES"/>
        </w:rPr>
      </w:pPr>
      <w:r>
        <w:t>La Presidenta</w:t>
      </w:r>
      <w:r w:rsidR="004A2139">
        <w:t xml:space="preserve"> recuerda las normas del Reglamento del Tribunal en cuanto a la recepción de declaraciones propuestas por la Comisión, así como en relación con la facultad de ésta para interrogar a los declarantes ofrecidos por las partes</w:t>
      </w:r>
      <w:r w:rsidR="004A2139">
        <w:rPr>
          <w:rStyle w:val="Refdenotaalpie"/>
        </w:rPr>
        <w:footnoteReference w:id="4"/>
      </w:r>
      <w:r w:rsidR="004A2139">
        <w:t xml:space="preserve">. En particular, es pertinente recordar lo establecido en los artículos 50.5 y 52.3 del Reglamento, de modo tal que corresponde a la Comisión fundamentar en cada caso cuál es el vínculo tanto con el orden público interamericano como con la materia sobre la que verse un peritaje ofrecido por la misma, para que pueda evaluarse la solicitud oportunamente y, si corresponde, autorizar la posibilidad de que la Comisión haga su interrogatorio. </w:t>
      </w:r>
    </w:p>
    <w:p w14:paraId="4F7C2D6A" w14:textId="77777777" w:rsidR="004A2139" w:rsidRPr="001A53E8" w:rsidRDefault="004A2139" w:rsidP="008627AF">
      <w:pPr>
        <w:pStyle w:val="Prrafodelista"/>
        <w:tabs>
          <w:tab w:val="num" w:pos="709"/>
        </w:tabs>
        <w:spacing w:after="0"/>
        <w:rPr>
          <w:lang w:val="es-CR"/>
        </w:rPr>
      </w:pPr>
    </w:p>
    <w:p w14:paraId="69E719D7" w14:textId="77777777" w:rsidR="004A2139" w:rsidRPr="00E7202C" w:rsidRDefault="004A2139" w:rsidP="008627AF">
      <w:pPr>
        <w:pStyle w:val="Sangradetextonormal"/>
        <w:numPr>
          <w:ilvl w:val="0"/>
          <w:numId w:val="1"/>
        </w:numPr>
        <w:tabs>
          <w:tab w:val="clear" w:pos="3870"/>
          <w:tab w:val="left" w:pos="0"/>
          <w:tab w:val="num" w:pos="709"/>
        </w:tabs>
        <w:spacing w:after="0"/>
        <w:ind w:left="0"/>
        <w:rPr>
          <w:rFonts w:eastAsia="Cambria" w:cs="Cambria"/>
          <w:bCs/>
          <w:iCs/>
          <w:color w:val="000000"/>
          <w:szCs w:val="20"/>
          <w:u w:color="000000"/>
          <w:lang w:val="es-ES"/>
        </w:rPr>
      </w:pPr>
      <w:r>
        <w:t xml:space="preserve">Con respecto a la solicitud de la Comisión, esta Presidencia considera que efectivamente el dictamen </w:t>
      </w:r>
      <w:r w:rsidR="00C64A37">
        <w:t>ofrecido por la representante</w:t>
      </w:r>
      <w:r>
        <w:t xml:space="preserve"> se encuentra relacionado con el peritaje propuestos por la Comisión, motivo por el cual considera procedente, conforme a los artículos 50.5 y 52.3 del Reglamento, conceder oportunidad a la Comisión para formular preguntas al señor </w:t>
      </w:r>
      <w:r w:rsidR="00E7202C">
        <w:rPr>
          <w:rFonts w:eastAsia="Cambria" w:cs="Cambria"/>
          <w:bCs/>
          <w:iCs/>
          <w:color w:val="000000"/>
          <w:szCs w:val="20"/>
          <w:u w:color="000000"/>
          <w:lang w:val="es-ES"/>
        </w:rPr>
        <w:t xml:space="preserve">Hernán </w:t>
      </w:r>
      <w:proofErr w:type="spellStart"/>
      <w:r w:rsidR="00E7202C">
        <w:rPr>
          <w:rFonts w:eastAsia="Cambria" w:cs="Cambria"/>
          <w:bCs/>
          <w:iCs/>
          <w:color w:val="000000"/>
          <w:szCs w:val="20"/>
          <w:u w:color="000000"/>
          <w:lang w:val="es-ES"/>
        </w:rPr>
        <w:t>Gullco</w:t>
      </w:r>
      <w:proofErr w:type="spellEnd"/>
      <w:r>
        <w:t>.</w:t>
      </w:r>
    </w:p>
    <w:p w14:paraId="61D7413E" w14:textId="77777777" w:rsidR="009E3008" w:rsidRDefault="009E3008" w:rsidP="00BF3A99">
      <w:pPr>
        <w:pStyle w:val="Sangradetextonormal"/>
        <w:tabs>
          <w:tab w:val="left" w:pos="0"/>
          <w:tab w:val="left" w:pos="810"/>
        </w:tabs>
        <w:spacing w:after="0"/>
        <w:ind w:left="0"/>
        <w:rPr>
          <w:rFonts w:cs="Verdana"/>
          <w:lang w:bidi="en-US"/>
        </w:rPr>
      </w:pPr>
    </w:p>
    <w:p w14:paraId="19EED632" w14:textId="77777777" w:rsidR="000E7FDC" w:rsidRPr="00BE2758" w:rsidRDefault="000E7FDC" w:rsidP="00BF3A99">
      <w:pPr>
        <w:pStyle w:val="ListParagraph1"/>
        <w:numPr>
          <w:ilvl w:val="0"/>
          <w:numId w:val="4"/>
        </w:numPr>
        <w:ind w:right="11"/>
        <w:jc w:val="both"/>
        <w:rPr>
          <w:rFonts w:ascii="Verdana" w:hAnsi="Verdana" w:cs="Verdana"/>
          <w:b/>
          <w:bCs/>
          <w:i/>
          <w:iCs/>
          <w:sz w:val="20"/>
          <w:szCs w:val="20"/>
        </w:rPr>
      </w:pPr>
      <w:r w:rsidRPr="00BE2758">
        <w:rPr>
          <w:rFonts w:ascii="Verdana" w:hAnsi="Verdana" w:cs="Verdana"/>
          <w:b/>
          <w:bCs/>
          <w:i/>
          <w:iCs/>
          <w:sz w:val="20"/>
          <w:szCs w:val="20"/>
        </w:rPr>
        <w:t>Aplicación del Fondo de Asistencia Legal de Víctimas ante la Corte</w:t>
      </w:r>
    </w:p>
    <w:p w14:paraId="7A9BFA80" w14:textId="77777777" w:rsidR="000E7FDC" w:rsidRDefault="000E7FDC" w:rsidP="00BF3A99">
      <w:pPr>
        <w:pStyle w:val="ListParagraph1"/>
        <w:ind w:left="0" w:right="11"/>
        <w:jc w:val="both"/>
        <w:rPr>
          <w:rFonts w:ascii="Verdana" w:hAnsi="Verdana" w:cs="Verdana"/>
          <w:bCs/>
          <w:iCs/>
          <w:color w:val="FF0000"/>
          <w:sz w:val="20"/>
          <w:szCs w:val="20"/>
        </w:rPr>
      </w:pPr>
    </w:p>
    <w:p w14:paraId="4CE6057F" w14:textId="77777777" w:rsidR="00A7646C" w:rsidRPr="0086146C" w:rsidRDefault="00A37638" w:rsidP="00BF3A99">
      <w:pPr>
        <w:pStyle w:val="Prrafodelista"/>
        <w:numPr>
          <w:ilvl w:val="0"/>
          <w:numId w:val="1"/>
        </w:numPr>
        <w:tabs>
          <w:tab w:val="clear" w:pos="3870"/>
          <w:tab w:val="left" w:pos="0"/>
          <w:tab w:val="num" w:pos="709"/>
        </w:tabs>
        <w:autoSpaceDE w:val="0"/>
        <w:autoSpaceDN w:val="0"/>
        <w:adjustRightInd w:val="0"/>
        <w:spacing w:after="0"/>
        <w:ind w:left="0"/>
        <w:rPr>
          <w:rFonts w:cs="Verdana"/>
          <w:szCs w:val="20"/>
        </w:rPr>
      </w:pPr>
      <w:r>
        <w:rPr>
          <w:szCs w:val="20"/>
        </w:rPr>
        <w:t xml:space="preserve">Mediante </w:t>
      </w:r>
      <w:r w:rsidRPr="00A37638">
        <w:rPr>
          <w:szCs w:val="20"/>
        </w:rPr>
        <w:t>nota de</w:t>
      </w:r>
      <w:r w:rsidR="00A67689" w:rsidRPr="00A37638">
        <w:rPr>
          <w:szCs w:val="20"/>
        </w:rPr>
        <w:t xml:space="preserve"> Secretaría de 3 de febrero de 2020</w:t>
      </w:r>
      <w:r w:rsidR="00FC71D9" w:rsidRPr="00A37638">
        <w:rPr>
          <w:szCs w:val="20"/>
        </w:rPr>
        <w:t xml:space="preserve"> s</w:t>
      </w:r>
      <w:r w:rsidR="00FC71D9" w:rsidRPr="00FC71D9">
        <w:rPr>
          <w:szCs w:val="20"/>
        </w:rPr>
        <w:t xml:space="preserve">e resolvió </w:t>
      </w:r>
      <w:r w:rsidR="00FC71D9" w:rsidRPr="00FC71D9">
        <w:rPr>
          <w:rFonts w:cs="Verdana"/>
          <w:szCs w:val="20"/>
        </w:rPr>
        <w:t>declarar</w:t>
      </w:r>
      <w:r w:rsidR="00FC71D9" w:rsidRPr="00FC71D9">
        <w:rPr>
          <w:szCs w:val="20"/>
        </w:rPr>
        <w:t xml:space="preserve"> procedente la solicitud realizada por las </w:t>
      </w:r>
      <w:r w:rsidR="005C3FA3">
        <w:rPr>
          <w:szCs w:val="20"/>
        </w:rPr>
        <w:t>presuntas víctimas</w:t>
      </w:r>
      <w:r w:rsidR="00FC71D9" w:rsidRPr="00FC71D9">
        <w:rPr>
          <w:szCs w:val="20"/>
        </w:rPr>
        <w:t>, a través de s</w:t>
      </w:r>
      <w:r w:rsidR="008510F0">
        <w:rPr>
          <w:rFonts w:cs="Verdana"/>
          <w:szCs w:val="20"/>
        </w:rPr>
        <w:t>u representante</w:t>
      </w:r>
      <w:r w:rsidR="00FC71D9" w:rsidRPr="00FC71D9">
        <w:rPr>
          <w:rFonts w:cs="Verdana"/>
          <w:szCs w:val="20"/>
        </w:rPr>
        <w:t xml:space="preserve">, para acogerse al Fondo de Asistencia Legal de Víctimas de la Corte Interamericana, de modo que se otorgaría la asistencia económica necesaria para presentación de un máximo de cinco declaraciones, ya sea en audiencia o por </w:t>
      </w:r>
      <w:r w:rsidR="00FC71D9" w:rsidRPr="00FC71D9">
        <w:rPr>
          <w:rFonts w:cs="Verdana"/>
          <w:i/>
          <w:szCs w:val="20"/>
        </w:rPr>
        <w:t>affidavit</w:t>
      </w:r>
      <w:r w:rsidR="00FC71D9" w:rsidRPr="00FC71D9">
        <w:rPr>
          <w:rFonts w:cs="Verdana"/>
          <w:szCs w:val="20"/>
        </w:rPr>
        <w:t>.</w:t>
      </w:r>
      <w:r w:rsidR="00FC71D9" w:rsidRPr="00FC71D9">
        <w:rPr>
          <w:szCs w:val="20"/>
        </w:rPr>
        <w:t xml:space="preserve"> </w:t>
      </w:r>
      <w:r w:rsidR="00FC71D9" w:rsidRPr="00A7646C">
        <w:rPr>
          <w:szCs w:val="20"/>
        </w:rPr>
        <w:t>Corresponde seguidamente precisar el destino y objeto específicos de dicha asi</w:t>
      </w:r>
      <w:r w:rsidR="0086146C">
        <w:rPr>
          <w:szCs w:val="20"/>
        </w:rPr>
        <w:t>stencia.</w:t>
      </w:r>
    </w:p>
    <w:p w14:paraId="2F6DC2DD" w14:textId="77777777" w:rsidR="0086146C" w:rsidRPr="00A7646C" w:rsidRDefault="0086146C" w:rsidP="00BF3A99">
      <w:pPr>
        <w:pStyle w:val="Prrafodelista"/>
        <w:tabs>
          <w:tab w:val="left" w:pos="0"/>
        </w:tabs>
        <w:autoSpaceDE w:val="0"/>
        <w:autoSpaceDN w:val="0"/>
        <w:adjustRightInd w:val="0"/>
        <w:spacing w:after="0"/>
        <w:ind w:left="0"/>
        <w:rPr>
          <w:rFonts w:cs="Verdana"/>
          <w:szCs w:val="20"/>
        </w:rPr>
      </w:pPr>
    </w:p>
    <w:p w14:paraId="20D95714" w14:textId="77777777" w:rsidR="00A7646C" w:rsidRPr="004A2139" w:rsidRDefault="00FC71D9" w:rsidP="00BF3A99">
      <w:pPr>
        <w:pStyle w:val="Prrafodelista"/>
        <w:numPr>
          <w:ilvl w:val="0"/>
          <w:numId w:val="1"/>
        </w:numPr>
        <w:tabs>
          <w:tab w:val="clear" w:pos="3870"/>
          <w:tab w:val="left" w:pos="0"/>
          <w:tab w:val="num" w:pos="709"/>
        </w:tabs>
        <w:autoSpaceDE w:val="0"/>
        <w:autoSpaceDN w:val="0"/>
        <w:adjustRightInd w:val="0"/>
        <w:spacing w:after="0"/>
        <w:ind w:left="0"/>
        <w:rPr>
          <w:rFonts w:cs="Verdana"/>
          <w:szCs w:val="20"/>
        </w:rPr>
      </w:pPr>
      <w:r w:rsidRPr="00A7646C">
        <w:rPr>
          <w:szCs w:val="20"/>
        </w:rPr>
        <w:t xml:space="preserve">Al respecto, </w:t>
      </w:r>
      <w:r w:rsidR="00E755F1">
        <w:rPr>
          <w:szCs w:val="20"/>
        </w:rPr>
        <w:t>la Presidenta</w:t>
      </w:r>
      <w:r w:rsidRPr="00A7646C">
        <w:rPr>
          <w:szCs w:val="20"/>
        </w:rPr>
        <w:t xml:space="preserve"> dispone que la asistencia económica estará asignada para cubrir los </w:t>
      </w:r>
      <w:r w:rsidRPr="00A7646C">
        <w:rPr>
          <w:rFonts w:cs="Verdana"/>
          <w:szCs w:val="20"/>
        </w:rPr>
        <w:t>gastos</w:t>
      </w:r>
      <w:r w:rsidRPr="00A7646C">
        <w:rPr>
          <w:szCs w:val="20"/>
        </w:rPr>
        <w:t xml:space="preserve"> de viaje y estadía </w:t>
      </w:r>
      <w:r w:rsidR="00D05478" w:rsidRPr="00A7646C">
        <w:rPr>
          <w:szCs w:val="20"/>
        </w:rPr>
        <w:t>necesaria</w:t>
      </w:r>
      <w:r w:rsidR="008510F0">
        <w:rPr>
          <w:szCs w:val="20"/>
        </w:rPr>
        <w:t xml:space="preserve"> para que </w:t>
      </w:r>
      <w:r w:rsidR="004A2139">
        <w:rPr>
          <w:szCs w:val="20"/>
          <w:lang w:val="es-MX"/>
        </w:rPr>
        <w:t xml:space="preserve">la señora Sofía </w:t>
      </w:r>
      <w:proofErr w:type="spellStart"/>
      <w:r w:rsidR="004A2139">
        <w:rPr>
          <w:szCs w:val="20"/>
          <w:lang w:val="es-MX"/>
        </w:rPr>
        <w:t>Tiscornia</w:t>
      </w:r>
      <w:proofErr w:type="spellEnd"/>
      <w:r w:rsidR="005D497E">
        <w:rPr>
          <w:szCs w:val="20"/>
          <w:lang w:val="es-MX"/>
        </w:rPr>
        <w:t xml:space="preserve"> y el señor </w:t>
      </w:r>
      <w:r w:rsidR="005D497E" w:rsidRPr="005D497E">
        <w:rPr>
          <w:rFonts w:cs="Verdana"/>
          <w:szCs w:val="20"/>
          <w:lang w:val="es-CR" w:bidi="en-US"/>
        </w:rPr>
        <w:t xml:space="preserve">Hernán Victor </w:t>
      </w:r>
      <w:proofErr w:type="spellStart"/>
      <w:r w:rsidR="005D497E" w:rsidRPr="005D497E">
        <w:rPr>
          <w:rFonts w:cs="Verdana"/>
          <w:szCs w:val="20"/>
          <w:lang w:val="es-CR" w:bidi="en-US"/>
        </w:rPr>
        <w:t>Gullco</w:t>
      </w:r>
      <w:proofErr w:type="spellEnd"/>
      <w:r w:rsidRPr="00A7646C">
        <w:rPr>
          <w:szCs w:val="20"/>
        </w:rPr>
        <w:t xml:space="preserve"> comparezca</w:t>
      </w:r>
      <w:r w:rsidR="004A2139">
        <w:rPr>
          <w:szCs w:val="20"/>
        </w:rPr>
        <w:t>n</w:t>
      </w:r>
      <w:r w:rsidR="008510F0">
        <w:rPr>
          <w:szCs w:val="20"/>
        </w:rPr>
        <w:t xml:space="preserve"> ante el Tribunal a rendir su</w:t>
      </w:r>
      <w:r w:rsidR="003F1B9E">
        <w:rPr>
          <w:szCs w:val="20"/>
        </w:rPr>
        <w:t>s</w:t>
      </w:r>
      <w:r w:rsidRPr="00A7646C">
        <w:rPr>
          <w:szCs w:val="20"/>
        </w:rPr>
        <w:t xml:space="preserve"> </w:t>
      </w:r>
      <w:r w:rsidR="008510F0">
        <w:rPr>
          <w:szCs w:val="20"/>
        </w:rPr>
        <w:t>declaraci</w:t>
      </w:r>
      <w:r w:rsidR="005D497E">
        <w:rPr>
          <w:szCs w:val="20"/>
        </w:rPr>
        <w:t>ones</w:t>
      </w:r>
      <w:r w:rsidRPr="00A7646C">
        <w:rPr>
          <w:szCs w:val="20"/>
        </w:rPr>
        <w:t xml:space="preserve"> en la audiencia pública que se celebrará en el presente caso. Adicionalmente, esta Presidencia determina que </w:t>
      </w:r>
      <w:r w:rsidRPr="00A7646C">
        <w:rPr>
          <w:szCs w:val="20"/>
        </w:rPr>
        <w:lastRenderedPageBreak/>
        <w:t xml:space="preserve">los gastos razonables </w:t>
      </w:r>
      <w:r w:rsidRPr="00A7646C">
        <w:rPr>
          <w:szCs w:val="20"/>
          <w:lang w:val="es-CR"/>
        </w:rPr>
        <w:t xml:space="preserve">de formalización y envío de los </w:t>
      </w:r>
      <w:r w:rsidRPr="00A7646C">
        <w:rPr>
          <w:i/>
          <w:iCs/>
          <w:szCs w:val="20"/>
          <w:lang w:val="es-CR"/>
        </w:rPr>
        <w:t xml:space="preserve">affidavits </w:t>
      </w:r>
      <w:r w:rsidRPr="00A7646C">
        <w:rPr>
          <w:szCs w:val="20"/>
          <w:lang w:val="es-CR"/>
        </w:rPr>
        <w:t xml:space="preserve">de </w:t>
      </w:r>
      <w:r w:rsidR="004A2139">
        <w:rPr>
          <w:szCs w:val="20"/>
          <w:lang w:val="es-CR"/>
        </w:rPr>
        <w:t>las</w:t>
      </w:r>
      <w:r w:rsidRPr="00A7646C">
        <w:rPr>
          <w:szCs w:val="20"/>
          <w:lang w:val="es-CR"/>
        </w:rPr>
        <w:t xml:space="preserve"> declaraciones </w:t>
      </w:r>
      <w:r w:rsidR="004A2139">
        <w:rPr>
          <w:szCs w:val="20"/>
          <w:lang w:val="es-CR"/>
        </w:rPr>
        <w:t xml:space="preserve">testimoniales </w:t>
      </w:r>
      <w:r w:rsidR="004A2139">
        <w:rPr>
          <w:szCs w:val="20"/>
          <w:lang w:val="es-MX"/>
        </w:rPr>
        <w:t xml:space="preserve">del señor Carlos Alejandro </w:t>
      </w:r>
      <w:proofErr w:type="spellStart"/>
      <w:r w:rsidR="004A2139">
        <w:rPr>
          <w:szCs w:val="20"/>
          <w:lang w:val="es-MX"/>
        </w:rPr>
        <w:t>Tumbeiro</w:t>
      </w:r>
      <w:proofErr w:type="spellEnd"/>
      <w:r w:rsidR="004A2139">
        <w:rPr>
          <w:szCs w:val="20"/>
          <w:lang w:val="es-MX"/>
        </w:rPr>
        <w:t xml:space="preserve"> y de la señora Fátima Adriana Castro</w:t>
      </w:r>
      <w:r w:rsidRPr="00A7646C">
        <w:rPr>
          <w:szCs w:val="20"/>
        </w:rPr>
        <w:t xml:space="preserve"> </w:t>
      </w:r>
      <w:r w:rsidR="00E755F1" w:rsidRPr="00A7646C">
        <w:rPr>
          <w:szCs w:val="20"/>
        </w:rPr>
        <w:t>ofrecidos</w:t>
      </w:r>
      <w:r w:rsidRPr="00A7646C">
        <w:rPr>
          <w:szCs w:val="20"/>
        </w:rPr>
        <w:t xml:space="preserve"> por </w:t>
      </w:r>
      <w:r w:rsidR="00E755F1">
        <w:rPr>
          <w:szCs w:val="20"/>
        </w:rPr>
        <w:t>la representante</w:t>
      </w:r>
      <w:r w:rsidR="004A2139">
        <w:rPr>
          <w:szCs w:val="20"/>
        </w:rPr>
        <w:t xml:space="preserve"> </w:t>
      </w:r>
      <w:r w:rsidRPr="00A7646C">
        <w:rPr>
          <w:szCs w:val="20"/>
        </w:rPr>
        <w:t xml:space="preserve">podrán ser </w:t>
      </w:r>
      <w:r w:rsidR="005467B6" w:rsidRPr="00A7646C">
        <w:rPr>
          <w:szCs w:val="20"/>
        </w:rPr>
        <w:t>cubiertos</w:t>
      </w:r>
      <w:r w:rsidRPr="00A7646C">
        <w:rPr>
          <w:szCs w:val="20"/>
        </w:rPr>
        <w:t xml:space="preserve"> con recursos del Fondo de Asistencia Legal de Víctimas.</w:t>
      </w:r>
      <w:r w:rsidRPr="00A7646C">
        <w:rPr>
          <w:color w:val="000000"/>
          <w:szCs w:val="20"/>
          <w:lang w:val="es-CR"/>
        </w:rPr>
        <w:t xml:space="preserve"> </w:t>
      </w:r>
      <w:r w:rsidR="00E755F1">
        <w:rPr>
          <w:color w:val="000000"/>
          <w:szCs w:val="20"/>
          <w:lang w:val="es-CR"/>
        </w:rPr>
        <w:t>La representante deberá</w:t>
      </w:r>
      <w:r w:rsidRPr="00A7646C">
        <w:rPr>
          <w:color w:val="000000"/>
          <w:szCs w:val="20"/>
          <w:lang w:val="es-CR"/>
        </w:rPr>
        <w:t xml:space="preserve"> </w:t>
      </w:r>
      <w:r w:rsidRPr="00A7646C">
        <w:rPr>
          <w:iCs/>
          <w:szCs w:val="20"/>
          <w:lang w:val="es-CR"/>
        </w:rPr>
        <w:t>remitir</w:t>
      </w:r>
      <w:r w:rsidR="004A2139">
        <w:rPr>
          <w:iCs/>
          <w:szCs w:val="20"/>
          <w:lang w:val="es-CR"/>
        </w:rPr>
        <w:t xml:space="preserve"> a la Corte</w:t>
      </w:r>
      <w:r w:rsidRPr="00A7646C">
        <w:rPr>
          <w:iCs/>
          <w:szCs w:val="20"/>
          <w:lang w:val="es-CR"/>
        </w:rPr>
        <w:t xml:space="preserve"> la cotización del costo de la formalización de las declaraciones juradas en el país de residencia del declarante y de su envío, en el plazo establecido en la parte resolutiva de la presente Resolución </w:t>
      </w:r>
      <w:r w:rsidRPr="00E755F1">
        <w:rPr>
          <w:iCs/>
          <w:szCs w:val="20"/>
          <w:lang w:val="es-CR"/>
        </w:rPr>
        <w:t>(</w:t>
      </w:r>
      <w:r w:rsidRPr="00E755F1">
        <w:rPr>
          <w:i/>
          <w:iCs/>
          <w:szCs w:val="20"/>
          <w:lang w:val="es-CR"/>
        </w:rPr>
        <w:t>infra</w:t>
      </w:r>
      <w:r w:rsidR="00126AD6" w:rsidRPr="00E755F1">
        <w:rPr>
          <w:iCs/>
          <w:szCs w:val="20"/>
          <w:lang w:val="es-CR"/>
        </w:rPr>
        <w:t xml:space="preserve"> punto resolutivo 6</w:t>
      </w:r>
      <w:r w:rsidRPr="00E755F1">
        <w:rPr>
          <w:iCs/>
          <w:szCs w:val="20"/>
          <w:lang w:val="es-CR"/>
        </w:rPr>
        <w:t>).</w:t>
      </w:r>
    </w:p>
    <w:p w14:paraId="4CEE55FC" w14:textId="77777777" w:rsidR="004A2139" w:rsidRPr="008510F0" w:rsidRDefault="004A2139" w:rsidP="00BF3A99">
      <w:pPr>
        <w:pStyle w:val="Prrafodelista"/>
        <w:tabs>
          <w:tab w:val="left" w:pos="0"/>
        </w:tabs>
        <w:autoSpaceDE w:val="0"/>
        <w:autoSpaceDN w:val="0"/>
        <w:adjustRightInd w:val="0"/>
        <w:spacing w:after="0"/>
        <w:ind w:left="0"/>
        <w:rPr>
          <w:rFonts w:cs="Verdana"/>
          <w:szCs w:val="20"/>
        </w:rPr>
      </w:pPr>
    </w:p>
    <w:p w14:paraId="6E657578" w14:textId="77777777" w:rsidR="00A7646C" w:rsidRPr="0086146C" w:rsidRDefault="00FC71D9" w:rsidP="00BF3A99">
      <w:pPr>
        <w:pStyle w:val="Prrafodelista"/>
        <w:numPr>
          <w:ilvl w:val="0"/>
          <w:numId w:val="1"/>
        </w:numPr>
        <w:tabs>
          <w:tab w:val="clear" w:pos="3870"/>
          <w:tab w:val="left" w:pos="0"/>
          <w:tab w:val="num" w:pos="709"/>
        </w:tabs>
        <w:autoSpaceDE w:val="0"/>
        <w:autoSpaceDN w:val="0"/>
        <w:adjustRightInd w:val="0"/>
        <w:spacing w:after="0"/>
        <w:ind w:left="0"/>
        <w:rPr>
          <w:rFonts w:cs="Verdana"/>
          <w:szCs w:val="20"/>
        </w:rPr>
      </w:pPr>
      <w:r w:rsidRPr="00A7646C">
        <w:rPr>
          <w:szCs w:val="20"/>
        </w:rPr>
        <w:t>La Corte realizará las gestiones pertinentes y necesarias para cubrir los costos de traslado, alojamiento y manutención de las personas comparecientes con recursos proven</w:t>
      </w:r>
      <w:r w:rsidR="0086146C">
        <w:rPr>
          <w:szCs w:val="20"/>
        </w:rPr>
        <w:t>ientes del Fondo de Asistencia.</w:t>
      </w:r>
    </w:p>
    <w:p w14:paraId="45585D07" w14:textId="77777777" w:rsidR="0086146C" w:rsidRPr="00A7646C" w:rsidRDefault="0086146C" w:rsidP="00BF3A99">
      <w:pPr>
        <w:pStyle w:val="Prrafodelista"/>
        <w:tabs>
          <w:tab w:val="left" w:pos="0"/>
        </w:tabs>
        <w:autoSpaceDE w:val="0"/>
        <w:autoSpaceDN w:val="0"/>
        <w:adjustRightInd w:val="0"/>
        <w:spacing w:after="0"/>
        <w:ind w:left="0"/>
        <w:rPr>
          <w:rFonts w:cs="Verdana"/>
          <w:szCs w:val="20"/>
        </w:rPr>
      </w:pPr>
    </w:p>
    <w:p w14:paraId="69F5A6B0" w14:textId="77777777" w:rsidR="00A7646C" w:rsidRPr="0086146C" w:rsidRDefault="00FC71D9" w:rsidP="00BF3A99">
      <w:pPr>
        <w:pStyle w:val="Prrafodelista"/>
        <w:numPr>
          <w:ilvl w:val="0"/>
          <w:numId w:val="1"/>
        </w:numPr>
        <w:tabs>
          <w:tab w:val="clear" w:pos="3870"/>
          <w:tab w:val="left" w:pos="0"/>
          <w:tab w:val="num" w:pos="709"/>
        </w:tabs>
        <w:autoSpaceDE w:val="0"/>
        <w:autoSpaceDN w:val="0"/>
        <w:adjustRightInd w:val="0"/>
        <w:spacing w:after="0"/>
        <w:ind w:left="0"/>
        <w:rPr>
          <w:rFonts w:cs="Verdana"/>
          <w:szCs w:val="20"/>
        </w:rPr>
      </w:pPr>
      <w:r w:rsidRPr="00A7646C">
        <w:rPr>
          <w:szCs w:val="20"/>
        </w:rPr>
        <w:t xml:space="preserve">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w:t>
      </w:r>
      <w:r w:rsidR="0086146C">
        <w:rPr>
          <w:szCs w:val="20"/>
        </w:rPr>
        <w:t>relación con el referido Fondo.</w:t>
      </w:r>
    </w:p>
    <w:p w14:paraId="1008A347" w14:textId="77777777" w:rsidR="0086146C" w:rsidRPr="00A7646C" w:rsidRDefault="0086146C" w:rsidP="00BF3A99">
      <w:pPr>
        <w:pStyle w:val="Prrafodelista"/>
        <w:tabs>
          <w:tab w:val="left" w:pos="0"/>
        </w:tabs>
        <w:autoSpaceDE w:val="0"/>
        <w:autoSpaceDN w:val="0"/>
        <w:adjustRightInd w:val="0"/>
        <w:spacing w:after="0"/>
        <w:ind w:left="0"/>
        <w:rPr>
          <w:rFonts w:cs="Verdana"/>
          <w:szCs w:val="20"/>
        </w:rPr>
      </w:pPr>
    </w:p>
    <w:p w14:paraId="366C9F81" w14:textId="77777777" w:rsidR="00FC71D9" w:rsidRPr="00A7646C" w:rsidRDefault="00FC71D9" w:rsidP="00BF3A99">
      <w:pPr>
        <w:pStyle w:val="Prrafodelista"/>
        <w:numPr>
          <w:ilvl w:val="0"/>
          <w:numId w:val="1"/>
        </w:numPr>
        <w:tabs>
          <w:tab w:val="clear" w:pos="3870"/>
          <w:tab w:val="left" w:pos="0"/>
          <w:tab w:val="num" w:pos="709"/>
        </w:tabs>
        <w:autoSpaceDE w:val="0"/>
        <w:autoSpaceDN w:val="0"/>
        <w:adjustRightInd w:val="0"/>
        <w:spacing w:after="0"/>
        <w:ind w:left="0"/>
        <w:rPr>
          <w:rFonts w:cs="Verdana"/>
          <w:szCs w:val="20"/>
        </w:rPr>
      </w:pPr>
      <w:r w:rsidRPr="00A7646C">
        <w:rPr>
          <w:szCs w:val="20"/>
        </w:rPr>
        <w:t xml:space="preserve">Finalmente, </w:t>
      </w:r>
      <w:r w:rsidR="004A2139">
        <w:rPr>
          <w:szCs w:val="20"/>
        </w:rPr>
        <w:t>la Presidenta</w:t>
      </w:r>
      <w:r w:rsidRPr="00A7646C">
        <w:rPr>
          <w:szCs w:val="20"/>
        </w:rPr>
        <w:t xml:space="preserve"> recuerda que, según el artículo 5 del Reglamento del Fondo, se informará oportunamente al Estado las erogaciones realizadas en aplicación del Fondo de Asistencia Legal de Víctimas, para que presente sus observaciones, si así lo desea, dentro del plazo que se establezca al efecto.</w:t>
      </w:r>
    </w:p>
    <w:p w14:paraId="002FE0FF" w14:textId="77777777" w:rsidR="00B160F1" w:rsidRDefault="00B160F1" w:rsidP="00BF3A99">
      <w:pPr>
        <w:pStyle w:val="ListParagraph1"/>
        <w:ind w:left="0" w:right="11"/>
        <w:jc w:val="both"/>
        <w:rPr>
          <w:rFonts w:ascii="Verdana" w:hAnsi="Verdana" w:cs="Verdana"/>
          <w:bCs/>
          <w:iCs/>
          <w:sz w:val="20"/>
          <w:szCs w:val="20"/>
          <w:lang w:val="es-ES_tradnl"/>
        </w:rPr>
      </w:pPr>
    </w:p>
    <w:p w14:paraId="47D754E7" w14:textId="77777777" w:rsidR="00E7202C" w:rsidRPr="005467B6" w:rsidRDefault="00E7202C" w:rsidP="00BF3A99">
      <w:pPr>
        <w:pStyle w:val="ListParagraph1"/>
        <w:ind w:left="0" w:right="11"/>
        <w:jc w:val="both"/>
        <w:rPr>
          <w:rFonts w:ascii="Verdana" w:hAnsi="Verdana" w:cs="Verdana"/>
          <w:bCs/>
          <w:iCs/>
          <w:sz w:val="20"/>
          <w:szCs w:val="20"/>
          <w:lang w:val="es-ES_tradnl"/>
        </w:rPr>
      </w:pPr>
    </w:p>
    <w:p w14:paraId="2AE0F996" w14:textId="77777777" w:rsidR="00431A17" w:rsidRPr="00BE2758" w:rsidRDefault="00312A59" w:rsidP="00BF3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Pr>
          <w:rFonts w:cs="Verdana"/>
          <w:b/>
          <w:bCs/>
          <w:szCs w:val="20"/>
          <w:lang w:bidi="en-US"/>
        </w:rPr>
        <w:t>POR TANTO:</w:t>
      </w:r>
    </w:p>
    <w:p w14:paraId="13D3C54A" w14:textId="77777777" w:rsidR="00431A17" w:rsidRPr="00BE2758" w:rsidRDefault="00431A17" w:rsidP="00BF3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14:paraId="3E445A89" w14:textId="77777777" w:rsidR="00527A7B" w:rsidRPr="000C41A3" w:rsidRDefault="00E7202C" w:rsidP="00BF3A99">
      <w:pPr>
        <w:spacing w:after="0"/>
        <w:rPr>
          <w:rFonts w:eastAsia="Times New Roman"/>
          <w:szCs w:val="20"/>
          <w:lang w:val="es-CR"/>
        </w:rPr>
      </w:pPr>
      <w:r>
        <w:rPr>
          <w:rFonts w:eastAsia="Times New Roman"/>
          <w:b/>
          <w:bCs/>
          <w:color w:val="000000"/>
          <w:szCs w:val="20"/>
          <w:lang w:val="es-CR"/>
        </w:rPr>
        <w:t>LA PRESIDENTA</w:t>
      </w:r>
      <w:r w:rsidR="00527A7B">
        <w:rPr>
          <w:rFonts w:eastAsia="Times New Roman"/>
          <w:b/>
          <w:bCs/>
          <w:color w:val="000000"/>
          <w:szCs w:val="20"/>
          <w:lang w:val="es-CR"/>
        </w:rPr>
        <w:t xml:space="preserve"> </w:t>
      </w:r>
      <w:r w:rsidR="00527A7B" w:rsidRPr="000C41A3">
        <w:rPr>
          <w:rFonts w:eastAsia="Times New Roman"/>
          <w:b/>
          <w:bCs/>
          <w:color w:val="000000"/>
          <w:szCs w:val="20"/>
          <w:lang w:val="es-CR"/>
        </w:rPr>
        <w:t xml:space="preserve">DE LA CORTE INTERAMERICANA DE DERECHOS HUMANOS, </w:t>
      </w:r>
    </w:p>
    <w:p w14:paraId="5F520B84" w14:textId="77777777" w:rsidR="00527A7B" w:rsidRPr="000C41A3" w:rsidRDefault="00527A7B" w:rsidP="00BF3A99">
      <w:pPr>
        <w:spacing w:after="0"/>
        <w:ind w:left="360"/>
        <w:rPr>
          <w:rFonts w:eastAsia="Times New Roman"/>
          <w:szCs w:val="20"/>
          <w:lang w:val="es-CR"/>
        </w:rPr>
      </w:pPr>
    </w:p>
    <w:p w14:paraId="6990A74F" w14:textId="77777777" w:rsidR="00527A7B" w:rsidRPr="000C41A3" w:rsidRDefault="00527A7B" w:rsidP="00BF3A99">
      <w:pPr>
        <w:spacing w:after="0"/>
        <w:rPr>
          <w:rFonts w:eastAsia="Times New Roman"/>
          <w:szCs w:val="20"/>
          <w:lang w:val="es-CR"/>
        </w:rPr>
      </w:pPr>
      <w:r w:rsidRPr="000C41A3">
        <w:rPr>
          <w:rFonts w:eastAsia="Times New Roman"/>
          <w:color w:val="000000"/>
          <w:szCs w:val="20"/>
          <w:lang w:val="es-CR"/>
        </w:rPr>
        <w:t>de conformidad con los artículos 24.1 y 25.2 del Estatuto de la Corte</w:t>
      </w:r>
      <w:r w:rsidR="00D05478">
        <w:rPr>
          <w:rFonts w:eastAsia="Times New Roman"/>
          <w:color w:val="000000"/>
          <w:szCs w:val="20"/>
          <w:lang w:val="es-CR"/>
        </w:rPr>
        <w:t>,</w:t>
      </w:r>
      <w:r w:rsidRPr="000C41A3">
        <w:rPr>
          <w:rFonts w:eastAsia="Times New Roman"/>
          <w:color w:val="000000"/>
          <w:szCs w:val="20"/>
          <w:lang w:val="es-CR"/>
        </w:rPr>
        <w:t xml:space="preserve"> y con los artículos 4, 15.1</w:t>
      </w:r>
      <w:r w:rsidR="00D05478">
        <w:rPr>
          <w:rFonts w:eastAsia="Times New Roman"/>
          <w:color w:val="000000"/>
          <w:szCs w:val="20"/>
          <w:lang w:val="es-CR"/>
        </w:rPr>
        <w:t>, 26.1, 31.2, 35.1, 40.2, 41.1, 45, 46, 50 a 56 y 60</w:t>
      </w:r>
      <w:r w:rsidRPr="000C41A3">
        <w:rPr>
          <w:rFonts w:eastAsia="Times New Roman"/>
          <w:color w:val="000000"/>
          <w:szCs w:val="20"/>
          <w:lang w:val="es-CR"/>
        </w:rPr>
        <w:t xml:space="preserve"> del Reglamento, </w:t>
      </w:r>
    </w:p>
    <w:p w14:paraId="6D6F722A" w14:textId="77777777" w:rsidR="00527A7B" w:rsidRPr="000C41A3" w:rsidRDefault="00527A7B" w:rsidP="00BF3A99">
      <w:pPr>
        <w:spacing w:after="0"/>
        <w:ind w:left="360"/>
        <w:rPr>
          <w:rFonts w:eastAsia="Times New Roman"/>
          <w:szCs w:val="20"/>
          <w:lang w:val="es-CR"/>
        </w:rPr>
      </w:pPr>
    </w:p>
    <w:p w14:paraId="677BA7BF" w14:textId="77777777" w:rsidR="00527A7B" w:rsidRPr="000C41A3" w:rsidRDefault="00527A7B" w:rsidP="00BF3A99">
      <w:pPr>
        <w:spacing w:after="0"/>
        <w:rPr>
          <w:rFonts w:eastAsia="Times New Roman"/>
          <w:b/>
          <w:bCs/>
          <w:color w:val="000000"/>
          <w:szCs w:val="20"/>
          <w:lang w:val="es-CR"/>
        </w:rPr>
      </w:pPr>
      <w:r w:rsidRPr="000C41A3">
        <w:rPr>
          <w:rFonts w:eastAsia="Times New Roman"/>
          <w:b/>
          <w:bCs/>
          <w:color w:val="000000"/>
          <w:szCs w:val="20"/>
          <w:lang w:val="es-CR"/>
        </w:rPr>
        <w:t>RESUELVE:</w:t>
      </w:r>
    </w:p>
    <w:p w14:paraId="0DDF3936" w14:textId="77777777" w:rsidR="00527A7B" w:rsidRPr="000C41A3" w:rsidRDefault="00527A7B" w:rsidP="00BF3A99">
      <w:pPr>
        <w:spacing w:after="0"/>
        <w:rPr>
          <w:rFonts w:eastAsia="Times New Roman"/>
          <w:b/>
          <w:bCs/>
          <w:color w:val="000000"/>
          <w:szCs w:val="20"/>
          <w:lang w:val="es-CR"/>
        </w:rPr>
      </w:pPr>
    </w:p>
    <w:p w14:paraId="47A27288" w14:textId="77777777" w:rsidR="00527A7B" w:rsidRPr="002B01BB" w:rsidRDefault="00527A7B" w:rsidP="00BF3A99">
      <w:pPr>
        <w:numPr>
          <w:ilvl w:val="0"/>
          <w:numId w:val="22"/>
        </w:numPr>
        <w:spacing w:after="0"/>
        <w:ind w:left="0" w:firstLine="0"/>
        <w:contextualSpacing/>
        <w:rPr>
          <w:rFonts w:eastAsia="Times New Roman"/>
          <w:b/>
          <w:bCs/>
          <w:color w:val="000000"/>
          <w:szCs w:val="20"/>
          <w:lang w:val="es-CR"/>
        </w:rPr>
      </w:pPr>
      <w:r w:rsidRPr="002B01BB">
        <w:rPr>
          <w:rFonts w:eastAsia="Times New Roman"/>
          <w:color w:val="000000"/>
          <w:szCs w:val="20"/>
          <w:lang w:val="es-CR"/>
        </w:rPr>
        <w:t xml:space="preserve">Convocar al Estado de </w:t>
      </w:r>
      <w:r w:rsidR="00E7202C" w:rsidRPr="002B01BB">
        <w:rPr>
          <w:rFonts w:eastAsia="Times New Roman"/>
          <w:color w:val="000000"/>
          <w:szCs w:val="20"/>
          <w:lang w:val="es-CR"/>
        </w:rPr>
        <w:t>Argentina</w:t>
      </w:r>
      <w:r w:rsidRPr="002B01BB">
        <w:rPr>
          <w:rFonts w:eastAsia="Times New Roman"/>
          <w:color w:val="000000"/>
          <w:szCs w:val="20"/>
          <w:lang w:val="es-CR"/>
        </w:rPr>
        <w:t xml:space="preserve">, a </w:t>
      </w:r>
      <w:r w:rsidR="00E7202C" w:rsidRPr="002B01BB">
        <w:rPr>
          <w:rFonts w:eastAsia="Times New Roman"/>
          <w:color w:val="000000"/>
          <w:szCs w:val="20"/>
          <w:lang w:val="es-CR"/>
        </w:rPr>
        <w:t>la representante</w:t>
      </w:r>
      <w:r w:rsidRPr="002B01BB">
        <w:rPr>
          <w:rFonts w:eastAsia="Times New Roman"/>
          <w:color w:val="000000"/>
          <w:szCs w:val="20"/>
          <w:lang w:val="es-CR"/>
        </w:rPr>
        <w:t xml:space="preserve"> y a la Comisión Interamericana de Derechos Humanos</w:t>
      </w:r>
      <w:r w:rsidR="00D05478" w:rsidRPr="002B01BB">
        <w:rPr>
          <w:rFonts w:eastAsia="Times New Roman"/>
          <w:color w:val="000000"/>
          <w:szCs w:val="20"/>
          <w:lang w:val="es-CR"/>
        </w:rPr>
        <w:t>,</w:t>
      </w:r>
      <w:r w:rsidRPr="002B01BB">
        <w:rPr>
          <w:rFonts w:eastAsia="Times New Roman"/>
          <w:color w:val="000000"/>
          <w:szCs w:val="20"/>
          <w:lang w:val="es-CR"/>
        </w:rPr>
        <w:t xml:space="preserve"> a una audiencia pública sobre fondo, y eventuales reparacio</w:t>
      </w:r>
      <w:r w:rsidR="00126AD6" w:rsidRPr="002B01BB">
        <w:rPr>
          <w:rFonts w:eastAsia="Times New Roman"/>
          <w:color w:val="000000"/>
          <w:szCs w:val="20"/>
          <w:lang w:val="es-CR"/>
        </w:rPr>
        <w:t xml:space="preserve">nes y costas que se celebrará </w:t>
      </w:r>
      <w:r w:rsidR="00E41BBD" w:rsidRPr="002B01BB">
        <w:rPr>
          <w:rFonts w:eastAsia="Times New Roman"/>
          <w:color w:val="000000"/>
          <w:szCs w:val="20"/>
          <w:lang w:val="es-CR"/>
        </w:rPr>
        <w:t xml:space="preserve">los días 12 y 13 de marzo de 2020, de 15:00 a 18:00 </w:t>
      </w:r>
      <w:proofErr w:type="spellStart"/>
      <w:r w:rsidR="00E41BBD" w:rsidRPr="002B01BB">
        <w:rPr>
          <w:rFonts w:eastAsia="Times New Roman"/>
          <w:color w:val="000000"/>
          <w:szCs w:val="20"/>
          <w:lang w:val="es-CR"/>
        </w:rPr>
        <w:t>hrs</w:t>
      </w:r>
      <w:proofErr w:type="spellEnd"/>
      <w:r w:rsidR="00E41BBD" w:rsidRPr="002B01BB">
        <w:rPr>
          <w:rFonts w:eastAsia="Times New Roman"/>
          <w:bCs/>
          <w:color w:val="000000"/>
          <w:szCs w:val="20"/>
          <w:lang w:val="es-CR"/>
        </w:rPr>
        <w:t xml:space="preserve">. y de las 9:00 a las 12:00 </w:t>
      </w:r>
      <w:proofErr w:type="spellStart"/>
      <w:r w:rsidR="00E41BBD" w:rsidRPr="002B01BB">
        <w:rPr>
          <w:rFonts w:eastAsia="Times New Roman"/>
          <w:bCs/>
          <w:color w:val="000000"/>
          <w:szCs w:val="20"/>
          <w:lang w:val="es-CR"/>
        </w:rPr>
        <w:t>hrs</w:t>
      </w:r>
      <w:proofErr w:type="spellEnd"/>
      <w:r w:rsidR="00E41BBD" w:rsidRPr="002B01BB">
        <w:rPr>
          <w:rFonts w:eastAsia="Times New Roman"/>
          <w:bCs/>
          <w:color w:val="000000"/>
          <w:szCs w:val="20"/>
          <w:lang w:val="es-CR"/>
        </w:rPr>
        <w:t>.</w:t>
      </w:r>
      <w:r w:rsidRPr="002B01BB">
        <w:rPr>
          <w:rFonts w:eastAsia="Times New Roman"/>
          <w:color w:val="000000"/>
          <w:szCs w:val="20"/>
          <w:lang w:val="es-CR"/>
        </w:rPr>
        <w:t xml:space="preserve">, durante el </w:t>
      </w:r>
      <w:r w:rsidR="00E7202C" w:rsidRPr="002B01BB">
        <w:rPr>
          <w:rFonts w:eastAsia="Times New Roman"/>
          <w:bCs/>
          <w:color w:val="000000"/>
          <w:szCs w:val="20"/>
          <w:lang w:val="es-CR"/>
        </w:rPr>
        <w:t>134</w:t>
      </w:r>
      <w:r w:rsidRPr="002B01BB">
        <w:rPr>
          <w:rFonts w:eastAsia="Times New Roman"/>
          <w:b/>
          <w:bCs/>
          <w:color w:val="000000"/>
          <w:szCs w:val="20"/>
          <w:lang w:val="es-CR"/>
        </w:rPr>
        <w:t xml:space="preserve"> </w:t>
      </w:r>
      <w:r w:rsidRPr="002B01BB">
        <w:rPr>
          <w:rFonts w:eastAsia="Times New Roman"/>
          <w:color w:val="000000"/>
          <w:szCs w:val="20"/>
          <w:lang w:val="es-CR"/>
        </w:rPr>
        <w:t>Período Ordinario de Sesiones, que se llevará a cabo en la sede de la Corte en San José, Costa Rica, para recibir sus alegatos y observaciones finales orales, así como para recibir las declaraciones de las siguientes personas:</w:t>
      </w:r>
    </w:p>
    <w:p w14:paraId="3E10A1CD" w14:textId="77777777" w:rsidR="00490528" w:rsidRDefault="00490528" w:rsidP="00BF3A99">
      <w:pPr>
        <w:spacing w:after="0"/>
        <w:rPr>
          <w:rFonts w:eastAsia="Times New Roman"/>
          <w:szCs w:val="20"/>
          <w:lang w:val="es-CR"/>
        </w:rPr>
      </w:pPr>
    </w:p>
    <w:p w14:paraId="1F1BF983" w14:textId="77777777" w:rsidR="00E7202C" w:rsidRPr="006838A5" w:rsidRDefault="004B52AF" w:rsidP="00BF3A99">
      <w:pPr>
        <w:pStyle w:val="Prrafodelista"/>
        <w:numPr>
          <w:ilvl w:val="0"/>
          <w:numId w:val="21"/>
        </w:numPr>
        <w:spacing w:after="0"/>
        <w:contextualSpacing/>
        <w:jc w:val="left"/>
        <w:rPr>
          <w:rFonts w:eastAsia="Times New Roman"/>
          <w:b/>
          <w:szCs w:val="20"/>
          <w:lang w:val="es-CR"/>
        </w:rPr>
      </w:pPr>
      <w:r>
        <w:rPr>
          <w:rFonts w:eastAsia="Times New Roman"/>
          <w:b/>
          <w:szCs w:val="20"/>
          <w:lang w:val="es-CR"/>
        </w:rPr>
        <w:t>Peritos</w:t>
      </w:r>
      <w:r w:rsidR="00E7202C">
        <w:rPr>
          <w:rFonts w:eastAsia="Times New Roman"/>
          <w:b/>
          <w:szCs w:val="20"/>
          <w:lang w:val="es-CR"/>
        </w:rPr>
        <w:t xml:space="preserve"> </w:t>
      </w:r>
    </w:p>
    <w:p w14:paraId="0F3FC75F" w14:textId="77777777" w:rsidR="00E7202C" w:rsidRDefault="00E7202C" w:rsidP="00BF3A99">
      <w:pPr>
        <w:spacing w:after="0"/>
        <w:rPr>
          <w:rFonts w:eastAsia="Times New Roman"/>
          <w:color w:val="000000"/>
          <w:szCs w:val="20"/>
          <w:lang w:val="es-CR"/>
        </w:rPr>
      </w:pPr>
    </w:p>
    <w:p w14:paraId="1CD04481" w14:textId="77777777" w:rsidR="00A7756C" w:rsidRPr="00B351EF" w:rsidRDefault="004B52AF" w:rsidP="00BF3A99">
      <w:pPr>
        <w:spacing w:after="0"/>
        <w:ind w:firstLine="360"/>
        <w:rPr>
          <w:i/>
          <w:szCs w:val="20"/>
          <w:lang w:val="es-CR"/>
        </w:rPr>
      </w:pPr>
      <w:r>
        <w:rPr>
          <w:i/>
          <w:szCs w:val="20"/>
          <w:lang w:val="es-CR"/>
        </w:rPr>
        <w:t>Propuestos</w:t>
      </w:r>
      <w:r w:rsidR="00A7756C" w:rsidRPr="00B351EF">
        <w:rPr>
          <w:i/>
          <w:szCs w:val="20"/>
          <w:lang w:val="es-CR"/>
        </w:rPr>
        <w:t xml:space="preserve"> por </w:t>
      </w:r>
      <w:r w:rsidR="00E755F1">
        <w:rPr>
          <w:i/>
          <w:szCs w:val="20"/>
          <w:lang w:val="es-CR"/>
        </w:rPr>
        <w:t>la representante</w:t>
      </w:r>
    </w:p>
    <w:p w14:paraId="7CE0DD27" w14:textId="77777777" w:rsidR="00A7756C" w:rsidRDefault="00A7756C" w:rsidP="00E7202C">
      <w:pPr>
        <w:spacing w:after="0"/>
        <w:rPr>
          <w:rFonts w:eastAsia="Times New Roman"/>
          <w:color w:val="000000"/>
          <w:szCs w:val="20"/>
          <w:lang w:val="es-CR"/>
        </w:rPr>
      </w:pPr>
    </w:p>
    <w:p w14:paraId="59912EA2" w14:textId="77777777" w:rsidR="00A7756C" w:rsidRDefault="00A7756C" w:rsidP="00A7756C">
      <w:pPr>
        <w:spacing w:after="0"/>
        <w:ind w:left="720"/>
        <w:rPr>
          <w:szCs w:val="20"/>
          <w:lang w:val="es-CR"/>
        </w:rPr>
      </w:pPr>
      <w:r w:rsidRPr="00BA31C7">
        <w:rPr>
          <w:rFonts w:cs="Arial"/>
          <w:szCs w:val="20"/>
          <w:lang w:val="es-CR"/>
        </w:rPr>
        <w:t>(</w:t>
      </w:r>
      <w:r w:rsidR="00BF3A99">
        <w:rPr>
          <w:rFonts w:cs="Arial"/>
          <w:szCs w:val="20"/>
          <w:lang w:val="es-CR"/>
        </w:rPr>
        <w:t>1</w:t>
      </w:r>
      <w:r w:rsidRPr="00BA31C7">
        <w:rPr>
          <w:rFonts w:cs="Arial"/>
          <w:szCs w:val="20"/>
          <w:lang w:val="es-CR"/>
        </w:rPr>
        <w:t>)</w:t>
      </w:r>
      <w:r>
        <w:rPr>
          <w:rFonts w:cs="Arial"/>
          <w:i/>
          <w:szCs w:val="20"/>
          <w:lang w:val="es-CR"/>
        </w:rPr>
        <w:t xml:space="preserve"> Sofía </w:t>
      </w:r>
      <w:proofErr w:type="spellStart"/>
      <w:r>
        <w:rPr>
          <w:rFonts w:cs="Arial"/>
          <w:i/>
          <w:szCs w:val="20"/>
          <w:lang w:val="es-CR"/>
        </w:rPr>
        <w:t>Tiscornia</w:t>
      </w:r>
      <w:proofErr w:type="spellEnd"/>
      <w:r w:rsidRPr="007974FF">
        <w:rPr>
          <w:szCs w:val="20"/>
          <w:lang w:val="es-CR"/>
        </w:rPr>
        <w:t xml:space="preserve">, quien rendirá dictamen pericial </w:t>
      </w:r>
      <w:r>
        <w:rPr>
          <w:szCs w:val="20"/>
          <w:lang w:val="es-CR"/>
        </w:rPr>
        <w:t>para aportar una perspectiva antropológica acerca de las prácticas de las fuerzas de seguridad y de los operadores judiciales en la época de los hechos denunciados, así como respecto de su evolución posterior y el estado actual de la cuestión. En particular, ofrecerá un panorama general sobre las intervenciones de las fuerzas de seguridad sin orden judicial, en el marco de procedimientos de detención y requisa en la vía pública. También declarará sobre la existencia de patrones de comportamiento policial en las distintas jurisdicciones del país, y respecto de la forma en que las prácticas de las fuerzas de seguridad se articulan con la labor de los operadores del sistema de administración de justicia.</w:t>
      </w:r>
    </w:p>
    <w:p w14:paraId="31B6D44B" w14:textId="77777777" w:rsidR="004B52AF" w:rsidRDefault="004B52AF" w:rsidP="00A7756C">
      <w:pPr>
        <w:spacing w:after="0"/>
        <w:ind w:left="720"/>
        <w:rPr>
          <w:rFonts w:cs="Arial"/>
          <w:szCs w:val="20"/>
          <w:lang w:val="es-CR"/>
        </w:rPr>
      </w:pPr>
    </w:p>
    <w:p w14:paraId="4DFB1A1C" w14:textId="77777777" w:rsidR="004B52AF" w:rsidRDefault="004B52AF" w:rsidP="00A7756C">
      <w:pPr>
        <w:spacing w:after="0"/>
        <w:ind w:left="720"/>
        <w:rPr>
          <w:rFonts w:cs="Arial"/>
          <w:szCs w:val="20"/>
          <w:lang w:val="es-CR"/>
        </w:rPr>
      </w:pPr>
      <w:r>
        <w:rPr>
          <w:rFonts w:cs="Arial"/>
          <w:szCs w:val="20"/>
          <w:lang w:val="es-CR"/>
        </w:rPr>
        <w:lastRenderedPageBreak/>
        <w:t xml:space="preserve">(2) </w:t>
      </w:r>
      <w:r>
        <w:rPr>
          <w:rFonts w:cs="Verdana"/>
          <w:i/>
          <w:szCs w:val="20"/>
          <w:lang w:val="es-CR" w:bidi="en-US"/>
        </w:rPr>
        <w:t xml:space="preserve">Hernán Victor </w:t>
      </w:r>
      <w:proofErr w:type="spellStart"/>
      <w:r>
        <w:rPr>
          <w:rFonts w:cs="Verdana"/>
          <w:i/>
          <w:szCs w:val="20"/>
          <w:lang w:val="es-CR" w:bidi="en-US"/>
        </w:rPr>
        <w:t>Gullco</w:t>
      </w:r>
      <w:proofErr w:type="spellEnd"/>
      <w:r w:rsidRPr="00BA31C7">
        <w:rPr>
          <w:szCs w:val="20"/>
          <w:lang w:val="es-CR"/>
        </w:rPr>
        <w:t xml:space="preserve">, quien rendirá dictamen pericial sobre </w:t>
      </w:r>
      <w:r>
        <w:rPr>
          <w:szCs w:val="20"/>
          <w:lang w:val="es-CR"/>
        </w:rPr>
        <w:t>el alcance de los derechos a la libertad personal, vida privada, honra, dignidad y garantías judiciales en casos que involucran detenciones y requisas por parte de las fuerzas de seguridad sin orden judicial, a la luz de los estándares internacionales y regionales aplicables en la materia. En particular, ofrecerá una perspectiva comparada en los sistemas internacionales de protección de derechos humanos, y en la labor de los principales tribunales supremos y constitucionales de la región. Por otra parte, rendirá su dictamen sobre el impacto que los casos “Fernández Prieto” y “</w:t>
      </w:r>
      <w:proofErr w:type="spellStart"/>
      <w:r>
        <w:rPr>
          <w:szCs w:val="20"/>
          <w:lang w:val="es-CR"/>
        </w:rPr>
        <w:t>Tumbeiro</w:t>
      </w:r>
      <w:proofErr w:type="spellEnd"/>
      <w:r>
        <w:rPr>
          <w:szCs w:val="20"/>
          <w:lang w:val="es-CR"/>
        </w:rPr>
        <w:t>” han tenido en el ámbito local, e informará sobre las críticas que las decisiones judiciales recaídas en ellos recibieron por parte de la doctrina penal y constitucional especializada</w:t>
      </w:r>
      <w:r w:rsidRPr="00BA31C7">
        <w:rPr>
          <w:rFonts w:cs="ArialMT"/>
          <w:szCs w:val="20"/>
          <w:lang w:val="es-CR" w:eastAsia="es-CR"/>
        </w:rPr>
        <w:t>.</w:t>
      </w:r>
    </w:p>
    <w:p w14:paraId="35258E59" w14:textId="77777777" w:rsidR="00E7202C" w:rsidRDefault="00E7202C" w:rsidP="00E7202C">
      <w:pPr>
        <w:spacing w:after="0"/>
        <w:rPr>
          <w:szCs w:val="20"/>
          <w:lang w:val="es-CR"/>
        </w:rPr>
      </w:pPr>
    </w:p>
    <w:p w14:paraId="7CD2AE91" w14:textId="77777777" w:rsidR="00E7202C" w:rsidRPr="002B01BB" w:rsidRDefault="00E7202C" w:rsidP="00E7202C">
      <w:pPr>
        <w:pStyle w:val="Prrafodelista"/>
        <w:numPr>
          <w:ilvl w:val="0"/>
          <w:numId w:val="22"/>
        </w:numPr>
        <w:spacing w:after="0"/>
        <w:ind w:left="0" w:firstLine="0"/>
        <w:rPr>
          <w:szCs w:val="20"/>
          <w:lang w:val="es-CR"/>
        </w:rPr>
      </w:pPr>
      <w:r w:rsidRPr="002B01BB">
        <w:rPr>
          <w:szCs w:val="20"/>
          <w:lang w:val="es-CR"/>
        </w:rPr>
        <w:t xml:space="preserve">Requerir a </w:t>
      </w:r>
      <w:r w:rsidR="004B52AF" w:rsidRPr="002B01BB">
        <w:rPr>
          <w:szCs w:val="20"/>
          <w:lang w:val="es-CR"/>
        </w:rPr>
        <w:t>los peritos convocados</w:t>
      </w:r>
      <w:r w:rsidRPr="002B01BB">
        <w:rPr>
          <w:szCs w:val="20"/>
          <w:lang w:val="es-CR"/>
        </w:rPr>
        <w:t xml:space="preserve"> a declarar en audiencia que, de c</w:t>
      </w:r>
      <w:r w:rsidR="00BF3A99" w:rsidRPr="002B01BB">
        <w:rPr>
          <w:szCs w:val="20"/>
          <w:lang w:val="es-CR"/>
        </w:rPr>
        <w:t>onsiderarlo conveniente, aporte</w:t>
      </w:r>
      <w:r w:rsidR="004B52AF" w:rsidRPr="002B01BB">
        <w:rPr>
          <w:szCs w:val="20"/>
          <w:lang w:val="es-CR"/>
        </w:rPr>
        <w:t>n</w:t>
      </w:r>
      <w:r w:rsidRPr="002B01BB">
        <w:rPr>
          <w:szCs w:val="20"/>
          <w:lang w:val="es-CR"/>
        </w:rPr>
        <w:t xml:space="preserve"> una versión escrita de su peritaje a más tardar el </w:t>
      </w:r>
      <w:r w:rsidR="00E41BBD" w:rsidRPr="002B01BB">
        <w:rPr>
          <w:szCs w:val="20"/>
          <w:lang w:val="es-CR"/>
        </w:rPr>
        <w:t>5</w:t>
      </w:r>
      <w:r w:rsidRPr="002B01BB">
        <w:rPr>
          <w:szCs w:val="20"/>
          <w:lang w:val="es-CR"/>
        </w:rPr>
        <w:t xml:space="preserve"> de </w:t>
      </w:r>
      <w:r w:rsidR="00A7756C" w:rsidRPr="002B01BB">
        <w:rPr>
          <w:szCs w:val="20"/>
          <w:lang w:val="es-CR"/>
        </w:rPr>
        <w:t>marzo</w:t>
      </w:r>
      <w:r w:rsidRPr="002B01BB">
        <w:rPr>
          <w:szCs w:val="20"/>
          <w:lang w:val="es-CR"/>
        </w:rPr>
        <w:t xml:space="preserve"> de 2020.</w:t>
      </w:r>
    </w:p>
    <w:p w14:paraId="397FE065" w14:textId="77777777" w:rsidR="00E7202C" w:rsidRPr="002720C2" w:rsidRDefault="00E7202C" w:rsidP="00E7202C">
      <w:pPr>
        <w:spacing w:after="0"/>
        <w:rPr>
          <w:szCs w:val="20"/>
          <w:lang w:val="es-CR"/>
        </w:rPr>
      </w:pPr>
    </w:p>
    <w:p w14:paraId="79D055EF" w14:textId="77777777" w:rsidR="00E7202C" w:rsidRPr="002720C2" w:rsidRDefault="00E7202C" w:rsidP="00E7202C">
      <w:pPr>
        <w:pStyle w:val="Prrafodelista"/>
        <w:numPr>
          <w:ilvl w:val="0"/>
          <w:numId w:val="22"/>
        </w:numPr>
        <w:spacing w:after="0"/>
        <w:ind w:left="0" w:firstLine="0"/>
        <w:contextualSpacing/>
        <w:rPr>
          <w:rFonts w:eastAsia="Times New Roman"/>
          <w:szCs w:val="20"/>
          <w:lang w:val="es-CR"/>
        </w:rPr>
      </w:pPr>
      <w:r w:rsidRPr="002720C2">
        <w:rPr>
          <w:rFonts w:eastAsia="Times New Roman"/>
          <w:szCs w:val="20"/>
          <w:lang w:val="es-CR"/>
        </w:rPr>
        <w:t xml:space="preserve">Requerir a </w:t>
      </w:r>
      <w:r w:rsidR="00A7756C">
        <w:rPr>
          <w:rFonts w:eastAsia="Times New Roman"/>
          <w:szCs w:val="20"/>
          <w:lang w:val="es-CR"/>
        </w:rPr>
        <w:t>Argentina</w:t>
      </w:r>
      <w:r w:rsidRPr="002720C2">
        <w:rPr>
          <w:rFonts w:eastAsia="Times New Roman"/>
          <w:szCs w:val="20"/>
          <w:lang w:val="es-CR"/>
        </w:rPr>
        <w:t xml:space="preserve">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w:t>
      </w:r>
    </w:p>
    <w:p w14:paraId="487DAA75" w14:textId="77777777" w:rsidR="00E7202C" w:rsidRDefault="00E7202C" w:rsidP="00E7202C">
      <w:pPr>
        <w:pStyle w:val="Prrafodelista"/>
        <w:ind w:left="0"/>
        <w:contextualSpacing/>
        <w:rPr>
          <w:rFonts w:eastAsia="Times New Roman"/>
          <w:szCs w:val="20"/>
          <w:lang w:val="es-CR"/>
        </w:rPr>
      </w:pPr>
    </w:p>
    <w:p w14:paraId="1801356E" w14:textId="77777777" w:rsidR="00E7202C" w:rsidRPr="00BA31C7" w:rsidRDefault="00E7202C" w:rsidP="00E7202C">
      <w:pPr>
        <w:pStyle w:val="Prrafodelista"/>
        <w:numPr>
          <w:ilvl w:val="0"/>
          <w:numId w:val="22"/>
        </w:numPr>
        <w:spacing w:after="0"/>
        <w:ind w:left="0" w:firstLine="0"/>
        <w:contextualSpacing/>
        <w:rPr>
          <w:rFonts w:eastAsia="Times New Roman"/>
          <w:szCs w:val="20"/>
          <w:lang w:val="es-CR"/>
        </w:rPr>
      </w:pPr>
      <w:r w:rsidRPr="00BA31C7">
        <w:rPr>
          <w:rFonts w:eastAsia="Times New Roman"/>
          <w:szCs w:val="20"/>
          <w:lang w:val="es-CR"/>
        </w:rPr>
        <w:t>Requerir, por las razones expuestas en la presente Resolución, de conformidad con el principio de economía procesal, y de la facultad que le otorga el artículo 50.1 del Reglamento de la Corte, que las siguientes personas presten su declaración ante fedatario público</w:t>
      </w:r>
      <w:r>
        <w:rPr>
          <w:rFonts w:eastAsia="Times New Roman"/>
          <w:szCs w:val="20"/>
          <w:lang w:val="es-CR"/>
        </w:rPr>
        <w:t xml:space="preserve"> </w:t>
      </w:r>
      <w:r>
        <w:rPr>
          <w:rFonts w:eastAsia="Times New Roman"/>
          <w:i/>
          <w:szCs w:val="20"/>
          <w:lang w:val="es-CR"/>
        </w:rPr>
        <w:t>(Affidavit)</w:t>
      </w:r>
      <w:r w:rsidRPr="00BA31C7">
        <w:rPr>
          <w:rFonts w:eastAsia="Times New Roman"/>
          <w:szCs w:val="20"/>
          <w:lang w:val="es-CR"/>
        </w:rPr>
        <w:t>:</w:t>
      </w:r>
    </w:p>
    <w:p w14:paraId="016B7829" w14:textId="77777777" w:rsidR="00E7202C" w:rsidRPr="00A12DED" w:rsidRDefault="00E7202C" w:rsidP="00E7202C">
      <w:pPr>
        <w:spacing w:after="0"/>
        <w:contextualSpacing/>
        <w:rPr>
          <w:rFonts w:eastAsia="Times New Roman"/>
          <w:i/>
          <w:color w:val="000000"/>
          <w:szCs w:val="20"/>
          <w:lang w:val="es-CR"/>
        </w:rPr>
      </w:pPr>
    </w:p>
    <w:p w14:paraId="12ED5D0B" w14:textId="77777777" w:rsidR="00E7202C" w:rsidRPr="000F09E8" w:rsidRDefault="00E7202C" w:rsidP="00E7202C">
      <w:pPr>
        <w:spacing w:after="0"/>
        <w:rPr>
          <w:rFonts w:eastAsia="Times New Roman"/>
          <w:b/>
          <w:szCs w:val="20"/>
          <w:lang w:val="es-CR"/>
        </w:rPr>
      </w:pPr>
      <w:r>
        <w:rPr>
          <w:rFonts w:eastAsia="Times New Roman"/>
          <w:b/>
          <w:szCs w:val="20"/>
          <w:lang w:val="es-CR"/>
        </w:rPr>
        <w:t>A. Testigo</w:t>
      </w:r>
      <w:r w:rsidR="00A7756C">
        <w:rPr>
          <w:rFonts w:eastAsia="Times New Roman"/>
          <w:b/>
          <w:szCs w:val="20"/>
          <w:lang w:val="es-CR"/>
        </w:rPr>
        <w:t>s</w:t>
      </w:r>
    </w:p>
    <w:p w14:paraId="37171F8D" w14:textId="77777777" w:rsidR="00E7202C" w:rsidRPr="00BA31C7" w:rsidRDefault="00E7202C" w:rsidP="00E7202C">
      <w:pPr>
        <w:spacing w:after="0"/>
        <w:ind w:left="1440" w:firstLine="720"/>
        <w:rPr>
          <w:i/>
          <w:szCs w:val="20"/>
          <w:lang w:val="es-CR"/>
        </w:rPr>
      </w:pPr>
    </w:p>
    <w:p w14:paraId="0D223E2D" w14:textId="77777777" w:rsidR="00E7202C" w:rsidRPr="00BA31C7" w:rsidRDefault="00E7202C" w:rsidP="00E7202C">
      <w:pPr>
        <w:spacing w:after="0"/>
        <w:ind w:firstLine="426"/>
        <w:rPr>
          <w:i/>
          <w:szCs w:val="20"/>
          <w:lang w:val="es-CR"/>
        </w:rPr>
      </w:pPr>
      <w:r w:rsidRPr="00BA31C7">
        <w:rPr>
          <w:i/>
          <w:szCs w:val="20"/>
          <w:lang w:val="es-CR"/>
        </w:rPr>
        <w:t>Propuesto</w:t>
      </w:r>
      <w:r w:rsidR="004B52AF">
        <w:rPr>
          <w:i/>
          <w:szCs w:val="20"/>
          <w:lang w:val="es-CR"/>
        </w:rPr>
        <w:t>s</w:t>
      </w:r>
      <w:r w:rsidRPr="00BA31C7">
        <w:rPr>
          <w:i/>
          <w:szCs w:val="20"/>
          <w:lang w:val="es-CR"/>
        </w:rPr>
        <w:t xml:space="preserve"> por </w:t>
      </w:r>
      <w:r w:rsidR="00E755F1">
        <w:rPr>
          <w:i/>
          <w:szCs w:val="20"/>
          <w:lang w:val="es-CR"/>
        </w:rPr>
        <w:t>la representante</w:t>
      </w:r>
      <w:r w:rsidRPr="00BA31C7">
        <w:rPr>
          <w:i/>
          <w:szCs w:val="20"/>
          <w:lang w:val="es-CR"/>
        </w:rPr>
        <w:t xml:space="preserve"> </w:t>
      </w:r>
    </w:p>
    <w:p w14:paraId="75B80D53" w14:textId="77777777" w:rsidR="00E7202C" w:rsidRPr="008A21DC" w:rsidRDefault="00E7202C" w:rsidP="00E7202C">
      <w:pPr>
        <w:spacing w:after="0"/>
        <w:rPr>
          <w:szCs w:val="20"/>
          <w:lang w:val="es-CR"/>
        </w:rPr>
      </w:pPr>
    </w:p>
    <w:p w14:paraId="30E42635" w14:textId="77777777" w:rsidR="00E7202C" w:rsidRDefault="00747C60" w:rsidP="00E7202C">
      <w:pPr>
        <w:pStyle w:val="Prrafodelista"/>
        <w:ind w:left="709"/>
        <w:contextualSpacing/>
        <w:rPr>
          <w:rFonts w:cs="Verdana"/>
          <w:szCs w:val="20"/>
          <w:lang w:val="es-CR" w:bidi="en-US"/>
        </w:rPr>
      </w:pPr>
      <w:r>
        <w:rPr>
          <w:rFonts w:cs="Verdana"/>
          <w:szCs w:val="20"/>
          <w:lang w:val="es-CR" w:bidi="en-US"/>
        </w:rPr>
        <w:t>(3</w:t>
      </w:r>
      <w:r w:rsidR="00E7202C" w:rsidRPr="00207FDB">
        <w:rPr>
          <w:rFonts w:cs="Verdana"/>
          <w:szCs w:val="20"/>
          <w:lang w:val="es-CR" w:bidi="en-US"/>
        </w:rPr>
        <w:t xml:space="preserve">) </w:t>
      </w:r>
      <w:r w:rsidR="00A7756C">
        <w:rPr>
          <w:rFonts w:cs="Verdana"/>
          <w:i/>
          <w:szCs w:val="20"/>
          <w:lang w:val="es-CR" w:bidi="en-US"/>
        </w:rPr>
        <w:t xml:space="preserve">Carlos Alejandro </w:t>
      </w:r>
      <w:proofErr w:type="spellStart"/>
      <w:r w:rsidR="00A7756C">
        <w:rPr>
          <w:rFonts w:cs="Verdana"/>
          <w:i/>
          <w:szCs w:val="20"/>
          <w:lang w:val="es-CR" w:bidi="en-US"/>
        </w:rPr>
        <w:t>Tumbeiro</w:t>
      </w:r>
      <w:proofErr w:type="spellEnd"/>
      <w:r w:rsidR="00E7202C" w:rsidRPr="00207FDB">
        <w:rPr>
          <w:rFonts w:cs="Verdana"/>
          <w:szCs w:val="20"/>
          <w:lang w:val="es-CR" w:bidi="en-US"/>
        </w:rPr>
        <w:t>, quien declarará sobre</w:t>
      </w:r>
      <w:r w:rsidR="008A21DC">
        <w:rPr>
          <w:rFonts w:cs="Verdana"/>
          <w:szCs w:val="20"/>
          <w:lang w:val="es-CR" w:bidi="en-US"/>
        </w:rPr>
        <w:t xml:space="preserve"> las violaciones a derechos humanos que sufrió su padre en el marco del procedimiento policial y judicial analizado en el caso. Además, declarará sobre</w:t>
      </w:r>
      <w:r w:rsidR="00E7202C" w:rsidRPr="00207FDB">
        <w:rPr>
          <w:rFonts w:cs="Verdana"/>
          <w:szCs w:val="20"/>
          <w:lang w:val="es-CR" w:bidi="en-US"/>
        </w:rPr>
        <w:t xml:space="preserve"> </w:t>
      </w:r>
      <w:r w:rsidR="00A7756C">
        <w:rPr>
          <w:rFonts w:cs="Verdana"/>
          <w:szCs w:val="20"/>
          <w:lang w:val="es-CR" w:bidi="en-US"/>
        </w:rPr>
        <w:t xml:space="preserve">el impacto que </w:t>
      </w:r>
      <w:r w:rsidR="008A21DC">
        <w:rPr>
          <w:rFonts w:cs="Verdana"/>
          <w:szCs w:val="20"/>
          <w:lang w:val="es-CR" w:bidi="en-US"/>
        </w:rPr>
        <w:t>estas violaciones tuvo en su familia,</w:t>
      </w:r>
      <w:r w:rsidR="00A7756C">
        <w:rPr>
          <w:rFonts w:cs="Verdana"/>
          <w:szCs w:val="20"/>
          <w:lang w:val="es-CR" w:bidi="en-US"/>
        </w:rPr>
        <w:t xml:space="preserve"> y </w:t>
      </w:r>
      <w:r w:rsidR="008A21DC">
        <w:rPr>
          <w:rFonts w:cs="Verdana"/>
          <w:szCs w:val="20"/>
          <w:lang w:val="es-CR" w:bidi="en-US"/>
        </w:rPr>
        <w:t>específicamente aportará información sobre el impacto que tuvo en su vida laboral, personal y en la relación con su padre y en las dinámicas de su familia</w:t>
      </w:r>
      <w:r w:rsidR="00E7202C" w:rsidRPr="00207FDB">
        <w:rPr>
          <w:rFonts w:cs="Verdana"/>
          <w:szCs w:val="20"/>
          <w:lang w:val="es-CR" w:bidi="en-US"/>
        </w:rPr>
        <w:t>.</w:t>
      </w:r>
    </w:p>
    <w:p w14:paraId="3B9A9F3D" w14:textId="77777777" w:rsidR="008A21DC" w:rsidRDefault="008A21DC" w:rsidP="00E7202C">
      <w:pPr>
        <w:pStyle w:val="Prrafodelista"/>
        <w:ind w:left="709"/>
        <w:contextualSpacing/>
        <w:rPr>
          <w:rFonts w:cs="Verdana"/>
          <w:szCs w:val="20"/>
          <w:lang w:val="es-CR" w:bidi="en-US"/>
        </w:rPr>
      </w:pPr>
    </w:p>
    <w:p w14:paraId="35DBB4C9" w14:textId="77777777" w:rsidR="008A21DC" w:rsidRDefault="00747C60" w:rsidP="008A21DC">
      <w:pPr>
        <w:pStyle w:val="Prrafodelista"/>
        <w:ind w:left="709"/>
        <w:contextualSpacing/>
        <w:rPr>
          <w:rFonts w:cs="Verdana"/>
          <w:szCs w:val="20"/>
          <w:lang w:val="es-CR" w:bidi="en-US"/>
        </w:rPr>
      </w:pPr>
      <w:r>
        <w:rPr>
          <w:rFonts w:cs="Verdana"/>
          <w:szCs w:val="20"/>
          <w:lang w:val="es-CR" w:bidi="en-US"/>
        </w:rPr>
        <w:t>(4</w:t>
      </w:r>
      <w:r w:rsidR="008A21DC" w:rsidRPr="00207FDB">
        <w:rPr>
          <w:rFonts w:cs="Verdana"/>
          <w:szCs w:val="20"/>
          <w:lang w:val="es-CR" w:bidi="en-US"/>
        </w:rPr>
        <w:t xml:space="preserve">) </w:t>
      </w:r>
      <w:r w:rsidR="008A21DC">
        <w:rPr>
          <w:rFonts w:cs="Verdana"/>
          <w:i/>
          <w:szCs w:val="20"/>
          <w:lang w:val="es-CR" w:bidi="en-US"/>
        </w:rPr>
        <w:t>Fátima Adriana Castro</w:t>
      </w:r>
      <w:r w:rsidR="008A21DC" w:rsidRPr="008A21DC">
        <w:rPr>
          <w:rFonts w:cs="Verdana"/>
          <w:szCs w:val="20"/>
          <w:lang w:val="es-CR" w:bidi="en-US"/>
        </w:rPr>
        <w:t xml:space="preserve"> </w:t>
      </w:r>
      <w:r w:rsidR="008A21DC" w:rsidRPr="00207FDB">
        <w:rPr>
          <w:rFonts w:cs="Verdana"/>
          <w:szCs w:val="20"/>
          <w:lang w:val="es-CR" w:bidi="en-US"/>
        </w:rPr>
        <w:t>quien declarará sobre</w:t>
      </w:r>
      <w:r w:rsidR="008A21DC">
        <w:rPr>
          <w:rFonts w:cs="Verdana"/>
          <w:szCs w:val="20"/>
          <w:lang w:val="es-CR" w:bidi="en-US"/>
        </w:rPr>
        <w:t xml:space="preserve"> las violaciones a derechos humanos que sufrió su ex esposo en el marco del procedimiento policial y judicial analizado en el caso. Además, declarará sobre</w:t>
      </w:r>
      <w:r w:rsidR="008A21DC" w:rsidRPr="00207FDB">
        <w:rPr>
          <w:rFonts w:cs="Verdana"/>
          <w:szCs w:val="20"/>
          <w:lang w:val="es-CR" w:bidi="en-US"/>
        </w:rPr>
        <w:t xml:space="preserve"> </w:t>
      </w:r>
      <w:r w:rsidR="008A21DC">
        <w:rPr>
          <w:rFonts w:cs="Verdana"/>
          <w:szCs w:val="20"/>
          <w:lang w:val="es-CR" w:bidi="en-US"/>
        </w:rPr>
        <w:t>el impacto que estas violaciones tuvo en su familia, y específicamente aportará información sobre el impacto que tuvo en su vida laboral, personal y en la relación con su padre y en las dinámicas de su familia</w:t>
      </w:r>
      <w:r w:rsidR="008A21DC" w:rsidRPr="00207FDB">
        <w:rPr>
          <w:rFonts w:cs="Verdana"/>
          <w:szCs w:val="20"/>
          <w:lang w:val="es-CR" w:bidi="en-US"/>
        </w:rPr>
        <w:t>.</w:t>
      </w:r>
    </w:p>
    <w:p w14:paraId="48B363C0" w14:textId="77777777" w:rsidR="00E7202C" w:rsidRPr="008A21DC" w:rsidRDefault="00E7202C" w:rsidP="008A21DC">
      <w:pPr>
        <w:contextualSpacing/>
        <w:rPr>
          <w:rFonts w:eastAsia="Times New Roman"/>
          <w:szCs w:val="20"/>
          <w:lang w:val="es-CR"/>
        </w:rPr>
      </w:pPr>
    </w:p>
    <w:p w14:paraId="2506A9B3" w14:textId="77777777" w:rsidR="00E7202C" w:rsidRPr="00BA31C7" w:rsidRDefault="00E7202C" w:rsidP="00E7202C">
      <w:pPr>
        <w:spacing w:after="0"/>
        <w:contextualSpacing/>
        <w:rPr>
          <w:rFonts w:eastAsia="Times New Roman"/>
          <w:b/>
          <w:color w:val="000000"/>
          <w:szCs w:val="20"/>
          <w:lang w:val="es-CR"/>
        </w:rPr>
      </w:pPr>
      <w:r>
        <w:rPr>
          <w:rFonts w:eastAsia="Times New Roman"/>
          <w:b/>
          <w:color w:val="000000"/>
          <w:szCs w:val="20"/>
          <w:lang w:val="es-CR"/>
        </w:rPr>
        <w:t xml:space="preserve">C. </w:t>
      </w:r>
      <w:r w:rsidR="008A21DC">
        <w:rPr>
          <w:rFonts w:eastAsia="Times New Roman"/>
          <w:b/>
          <w:color w:val="000000"/>
          <w:szCs w:val="20"/>
          <w:lang w:val="es-CR"/>
        </w:rPr>
        <w:t>Perito</w:t>
      </w:r>
    </w:p>
    <w:p w14:paraId="0BA8EF8D" w14:textId="77777777" w:rsidR="00E7202C" w:rsidRPr="00BA31C7" w:rsidRDefault="00E7202C" w:rsidP="00E7202C">
      <w:pPr>
        <w:spacing w:after="0"/>
        <w:ind w:left="360"/>
        <w:contextualSpacing/>
        <w:rPr>
          <w:rFonts w:eastAsia="Times New Roman"/>
          <w:b/>
          <w:color w:val="000000"/>
          <w:szCs w:val="20"/>
          <w:lang w:val="es-CR"/>
        </w:rPr>
      </w:pPr>
    </w:p>
    <w:p w14:paraId="6AFABE8D" w14:textId="77777777" w:rsidR="00BF3A99" w:rsidRPr="00B351EF" w:rsidRDefault="00BF3A99" w:rsidP="00BF3A99">
      <w:pPr>
        <w:spacing w:after="0"/>
        <w:ind w:firstLine="360"/>
        <w:rPr>
          <w:i/>
          <w:szCs w:val="20"/>
          <w:lang w:val="es-CR"/>
        </w:rPr>
      </w:pPr>
      <w:r>
        <w:rPr>
          <w:i/>
          <w:szCs w:val="20"/>
          <w:lang w:val="es-CR"/>
        </w:rPr>
        <w:t>Propuesto</w:t>
      </w:r>
      <w:r w:rsidRPr="00B351EF">
        <w:rPr>
          <w:i/>
          <w:szCs w:val="20"/>
          <w:lang w:val="es-CR"/>
        </w:rPr>
        <w:t xml:space="preserve"> por la Comisión Interamericana</w:t>
      </w:r>
    </w:p>
    <w:p w14:paraId="306D0842" w14:textId="77777777" w:rsidR="00BF3A99" w:rsidRDefault="00BF3A99" w:rsidP="00BF3A99">
      <w:pPr>
        <w:spacing w:after="0"/>
        <w:ind w:left="1440"/>
        <w:rPr>
          <w:szCs w:val="20"/>
          <w:highlight w:val="yellow"/>
          <w:lang w:val="es-CR"/>
        </w:rPr>
      </w:pPr>
    </w:p>
    <w:p w14:paraId="61E28824" w14:textId="77777777" w:rsidR="00BF3A99" w:rsidRPr="007974FF" w:rsidRDefault="00BF3A99" w:rsidP="00BF3A99">
      <w:pPr>
        <w:pStyle w:val="Prrafodelista"/>
        <w:spacing w:after="0"/>
        <w:ind w:left="709"/>
        <w:rPr>
          <w:szCs w:val="20"/>
          <w:lang w:val="es-CR"/>
        </w:rPr>
      </w:pPr>
      <w:r>
        <w:rPr>
          <w:rFonts w:cs="Arial"/>
          <w:szCs w:val="20"/>
          <w:lang w:val="es-CR"/>
        </w:rPr>
        <w:t>(5</w:t>
      </w:r>
      <w:r w:rsidRPr="00BA31C7">
        <w:rPr>
          <w:rFonts w:cs="Arial"/>
          <w:szCs w:val="20"/>
          <w:lang w:val="es-CR"/>
        </w:rPr>
        <w:t>)</w:t>
      </w:r>
      <w:r>
        <w:rPr>
          <w:rFonts w:cs="Arial"/>
          <w:i/>
          <w:szCs w:val="20"/>
          <w:lang w:val="es-CR"/>
        </w:rPr>
        <w:t xml:space="preserve"> Juan Pablo </w:t>
      </w:r>
      <w:proofErr w:type="spellStart"/>
      <w:r>
        <w:rPr>
          <w:rFonts w:cs="Arial"/>
          <w:i/>
          <w:szCs w:val="20"/>
          <w:lang w:val="es-CR"/>
        </w:rPr>
        <w:t>Gomara</w:t>
      </w:r>
      <w:proofErr w:type="spellEnd"/>
      <w:r w:rsidRPr="007974FF">
        <w:rPr>
          <w:szCs w:val="20"/>
          <w:lang w:val="es-CR"/>
        </w:rPr>
        <w:t xml:space="preserve">, quien rendirá dictamen pericial sobre </w:t>
      </w:r>
      <w:r w:rsidRPr="00063CAE">
        <w:rPr>
          <w:szCs w:val="16"/>
        </w:rPr>
        <w:t xml:space="preserve">las obligaciones internacionales de los Estados que resultan exigibles en el marco otorgamiento de facultades </w:t>
      </w:r>
      <w:r>
        <w:rPr>
          <w:szCs w:val="16"/>
        </w:rPr>
        <w:t>de detención a cuerpos de seguridad cuando no exista orden de autoridad competente ni flagrancia, sino con base en la posible sospecha de cometer un delito. El perito se pronunciará sobre estándares de legalidad y no arbitrariedad para detener a persona bajo sospecha, así como la validez de uso en el proceso penal de las pruebas obtenidas durante dicho acto</w:t>
      </w:r>
      <w:r w:rsidRPr="007974FF">
        <w:rPr>
          <w:rFonts w:cs="Arial"/>
          <w:szCs w:val="20"/>
          <w:lang w:val="es-CR"/>
        </w:rPr>
        <w:t>.</w:t>
      </w:r>
    </w:p>
    <w:p w14:paraId="4A8DC7CF" w14:textId="77777777" w:rsidR="00BF3A99" w:rsidRDefault="00BF3A99" w:rsidP="00E7202C">
      <w:pPr>
        <w:spacing w:after="0"/>
        <w:rPr>
          <w:szCs w:val="20"/>
          <w:highlight w:val="yellow"/>
          <w:lang w:val="es-CR"/>
        </w:rPr>
      </w:pPr>
    </w:p>
    <w:p w14:paraId="3C373E45" w14:textId="77777777" w:rsidR="00E7202C" w:rsidRPr="002B01BB" w:rsidRDefault="00E7202C" w:rsidP="00232DD3">
      <w:pPr>
        <w:pStyle w:val="Prrafodelista"/>
        <w:numPr>
          <w:ilvl w:val="0"/>
          <w:numId w:val="31"/>
        </w:numPr>
        <w:spacing w:after="0"/>
        <w:ind w:left="0" w:firstLine="0"/>
        <w:rPr>
          <w:szCs w:val="20"/>
          <w:lang w:val="es-CR"/>
        </w:rPr>
      </w:pPr>
      <w:r w:rsidRPr="002B01BB">
        <w:rPr>
          <w:szCs w:val="20"/>
          <w:lang w:val="es-CR"/>
        </w:rPr>
        <w:lastRenderedPageBreak/>
        <w:t xml:space="preserve">Requerir a las partes y la Comisión que remitan, de considerarlo pertinente, en lo que les corresponda y en el plazo improrrogable que vence el </w:t>
      </w:r>
      <w:r w:rsidR="00E41BBD" w:rsidRPr="002B01BB">
        <w:rPr>
          <w:szCs w:val="20"/>
          <w:lang w:val="es-CR"/>
        </w:rPr>
        <w:t>19</w:t>
      </w:r>
      <w:r w:rsidR="00232DD3" w:rsidRPr="002B01BB">
        <w:rPr>
          <w:szCs w:val="20"/>
          <w:lang w:val="es-CR"/>
        </w:rPr>
        <w:t xml:space="preserve"> de febrero</w:t>
      </w:r>
      <w:r w:rsidRPr="002B01BB">
        <w:rPr>
          <w:szCs w:val="20"/>
          <w:lang w:val="es-CR"/>
        </w:rPr>
        <w:t xml:space="preserve"> de 2020, las preguntas que estimen pertinentes formular a través de la Corte Interamericana a los declarantes y </w:t>
      </w:r>
      <w:r w:rsidR="00232DD3" w:rsidRPr="002B01BB">
        <w:rPr>
          <w:szCs w:val="20"/>
          <w:lang w:val="es-CR"/>
        </w:rPr>
        <w:t>el perito</w:t>
      </w:r>
      <w:r w:rsidRPr="002B01BB">
        <w:rPr>
          <w:szCs w:val="20"/>
          <w:lang w:val="es-CR"/>
        </w:rPr>
        <w:t xml:space="preserve"> indicados en el punto resolutivo 4 de la presente Resolución. Las declaraciones y </w:t>
      </w:r>
      <w:r w:rsidR="00232DD3" w:rsidRPr="002B01BB">
        <w:rPr>
          <w:szCs w:val="20"/>
          <w:lang w:val="es-CR"/>
        </w:rPr>
        <w:t>el peritaje</w:t>
      </w:r>
      <w:r w:rsidRPr="002B01BB">
        <w:rPr>
          <w:szCs w:val="20"/>
          <w:lang w:val="es-CR"/>
        </w:rPr>
        <w:t xml:space="preserve"> requeridos deberán ser presentados al Tribunal a más tardar el </w:t>
      </w:r>
      <w:r w:rsidR="00E41BBD" w:rsidRPr="002B01BB">
        <w:rPr>
          <w:szCs w:val="20"/>
          <w:lang w:val="es-CR"/>
        </w:rPr>
        <w:t>5</w:t>
      </w:r>
      <w:r w:rsidR="00232DD3" w:rsidRPr="002B01BB">
        <w:rPr>
          <w:szCs w:val="20"/>
          <w:lang w:val="es-CR"/>
        </w:rPr>
        <w:t xml:space="preserve"> de </w:t>
      </w:r>
      <w:r w:rsidR="00747C60" w:rsidRPr="002B01BB">
        <w:rPr>
          <w:szCs w:val="20"/>
          <w:lang w:val="es-CR"/>
        </w:rPr>
        <w:t>marzo</w:t>
      </w:r>
      <w:r w:rsidRPr="002B01BB">
        <w:rPr>
          <w:szCs w:val="20"/>
          <w:lang w:val="es-CR"/>
        </w:rPr>
        <w:t xml:space="preserve"> de 2020.</w:t>
      </w:r>
    </w:p>
    <w:p w14:paraId="2E5CB063" w14:textId="77777777" w:rsidR="00E7202C" w:rsidRPr="002B01BB" w:rsidRDefault="00E7202C" w:rsidP="00232DD3">
      <w:pPr>
        <w:pStyle w:val="Prrafodelista"/>
        <w:spacing w:after="0"/>
        <w:ind w:left="0"/>
        <w:rPr>
          <w:szCs w:val="20"/>
          <w:lang w:val="es-CR"/>
        </w:rPr>
      </w:pPr>
    </w:p>
    <w:p w14:paraId="34E79F35" w14:textId="77777777" w:rsidR="00E7202C" w:rsidRPr="002B01BB" w:rsidRDefault="00E7202C" w:rsidP="00232DD3">
      <w:pPr>
        <w:pStyle w:val="Prrafodelista"/>
        <w:numPr>
          <w:ilvl w:val="0"/>
          <w:numId w:val="31"/>
        </w:numPr>
        <w:spacing w:after="0"/>
        <w:ind w:left="0" w:firstLine="0"/>
        <w:rPr>
          <w:szCs w:val="20"/>
          <w:lang w:val="es-CR"/>
        </w:rPr>
      </w:pPr>
      <w:r w:rsidRPr="002B01BB">
        <w:rPr>
          <w:szCs w:val="20"/>
          <w:lang w:val="es-CR"/>
        </w:rPr>
        <w:t xml:space="preserve">Requerir a </w:t>
      </w:r>
      <w:r w:rsidR="004E2974" w:rsidRPr="002B01BB">
        <w:rPr>
          <w:szCs w:val="20"/>
          <w:lang w:val="es-CR"/>
        </w:rPr>
        <w:t>la representante</w:t>
      </w:r>
      <w:r w:rsidRPr="002B01BB">
        <w:rPr>
          <w:szCs w:val="20"/>
          <w:lang w:val="es-CR"/>
        </w:rPr>
        <w:t xml:space="preserve"> </w:t>
      </w:r>
      <w:r w:rsidR="004E2974" w:rsidRPr="002B01BB">
        <w:rPr>
          <w:szCs w:val="20"/>
          <w:lang w:val="es-CR"/>
        </w:rPr>
        <w:t>que coordine y realice</w:t>
      </w:r>
      <w:r w:rsidRPr="002B01BB">
        <w:rPr>
          <w:szCs w:val="20"/>
          <w:lang w:val="es-CR"/>
        </w:rPr>
        <w:t xml:space="preserve"> las diligencias necesarias para que, una vez recibidas las preguntas, si las hubiere, los declarantes propuestos incluyan las respuestas en sus respectivas declaraciones y dictámenes rendidos ante fedatario público, de conformidad con el punto resolutivo 4 de la presente Resolución.</w:t>
      </w:r>
    </w:p>
    <w:p w14:paraId="34D3748B" w14:textId="77777777" w:rsidR="00E7202C" w:rsidRPr="002B01BB" w:rsidRDefault="00E7202C" w:rsidP="00232DD3">
      <w:pPr>
        <w:pStyle w:val="Prrafodelista"/>
        <w:spacing w:after="0"/>
        <w:rPr>
          <w:szCs w:val="20"/>
          <w:lang w:val="es-CR"/>
        </w:rPr>
      </w:pPr>
    </w:p>
    <w:p w14:paraId="2F2ACC7E" w14:textId="77777777" w:rsidR="00E7202C" w:rsidRPr="002B01BB" w:rsidRDefault="00E7202C" w:rsidP="00232DD3">
      <w:pPr>
        <w:pStyle w:val="Prrafodelista"/>
        <w:numPr>
          <w:ilvl w:val="0"/>
          <w:numId w:val="31"/>
        </w:numPr>
        <w:spacing w:after="0"/>
        <w:ind w:left="0" w:firstLine="0"/>
        <w:rPr>
          <w:szCs w:val="20"/>
          <w:lang w:val="es-CR"/>
        </w:rPr>
      </w:pPr>
      <w:r w:rsidRPr="002B01BB">
        <w:rPr>
          <w:szCs w:val="20"/>
          <w:lang w:val="es-CR"/>
        </w:rPr>
        <w:t>Disponer que, una vez recibido</w:t>
      </w:r>
      <w:r w:rsidR="004E2974" w:rsidRPr="002B01BB">
        <w:rPr>
          <w:szCs w:val="20"/>
          <w:lang w:val="es-CR"/>
        </w:rPr>
        <w:t xml:space="preserve"> el peritaje</w:t>
      </w:r>
      <w:r w:rsidRPr="002B01BB">
        <w:rPr>
          <w:szCs w:val="20"/>
          <w:lang w:val="es-CR"/>
        </w:rPr>
        <w:t xml:space="preserve"> y los testimonios requeridos en el punto resolutivo 4, la Secretaría de la Corte Interamericana los transmita al Estado y a la Comisión para que, si lo estiman necesario y en lo que les corresponda, presenten sus observaciones a dichos peritajes y testimonio, a más tardar con sus alegatos u observaciones fin</w:t>
      </w:r>
      <w:r w:rsidR="004E2974" w:rsidRPr="002B01BB">
        <w:rPr>
          <w:szCs w:val="20"/>
          <w:lang w:val="es-CR"/>
        </w:rPr>
        <w:t>ales escritas, respectivamente.</w:t>
      </w:r>
    </w:p>
    <w:p w14:paraId="17F3C901" w14:textId="77777777" w:rsidR="00E7202C" w:rsidRPr="002B01BB" w:rsidRDefault="00E7202C" w:rsidP="00232DD3">
      <w:pPr>
        <w:pStyle w:val="Prrafodelista"/>
        <w:spacing w:after="0"/>
        <w:rPr>
          <w:szCs w:val="20"/>
          <w:lang w:val="es-CR"/>
        </w:rPr>
      </w:pPr>
    </w:p>
    <w:p w14:paraId="7E72ECEC" w14:textId="77777777" w:rsidR="00E7202C" w:rsidRPr="002B01BB" w:rsidRDefault="00E7202C" w:rsidP="00232DD3">
      <w:pPr>
        <w:pStyle w:val="Prrafodelista"/>
        <w:numPr>
          <w:ilvl w:val="0"/>
          <w:numId w:val="31"/>
        </w:numPr>
        <w:spacing w:after="0"/>
        <w:ind w:left="0" w:firstLine="0"/>
        <w:rPr>
          <w:szCs w:val="20"/>
          <w:lang w:val="es-CR"/>
        </w:rPr>
      </w:pPr>
      <w:r w:rsidRPr="002B01BB">
        <w:rPr>
          <w:szCs w:val="20"/>
          <w:lang w:val="es-CR"/>
        </w:rPr>
        <w:t>Requerir a la Comisión Interamericana</w:t>
      </w:r>
      <w:r w:rsidR="004E2974" w:rsidRPr="002B01BB">
        <w:rPr>
          <w:szCs w:val="20"/>
          <w:lang w:val="es-CR"/>
        </w:rPr>
        <w:t xml:space="preserve"> y</w:t>
      </w:r>
      <w:r w:rsidRPr="002B01BB">
        <w:rPr>
          <w:szCs w:val="20"/>
          <w:lang w:val="es-CR"/>
        </w:rPr>
        <w:t xml:space="preserve"> a </w:t>
      </w:r>
      <w:r w:rsidR="004E2974" w:rsidRPr="002B01BB">
        <w:rPr>
          <w:szCs w:val="20"/>
          <w:lang w:val="es-CR"/>
        </w:rPr>
        <w:t>la representante</w:t>
      </w:r>
      <w:r w:rsidRPr="002B01BB">
        <w:rPr>
          <w:szCs w:val="20"/>
          <w:lang w:val="es-CR"/>
        </w:rPr>
        <w:t xml:space="preserve"> que notifiquen la presente Resolución a las personas por ellos propuestas, que han sido convocadas a rendir declaración, de conformidad con lo dispuesto en los artículos 50.2 y 50.4 del Reglamento.</w:t>
      </w:r>
    </w:p>
    <w:p w14:paraId="19F81777" w14:textId="77777777" w:rsidR="00E7202C" w:rsidRPr="002B01BB" w:rsidRDefault="00E7202C" w:rsidP="00232DD3">
      <w:pPr>
        <w:pStyle w:val="Prrafodelista"/>
        <w:spacing w:after="0"/>
        <w:rPr>
          <w:szCs w:val="20"/>
          <w:lang w:val="es-CR"/>
        </w:rPr>
      </w:pPr>
    </w:p>
    <w:p w14:paraId="5DA90247" w14:textId="77777777" w:rsidR="00E7202C" w:rsidRPr="002B01BB" w:rsidRDefault="00E7202C" w:rsidP="00232DD3">
      <w:pPr>
        <w:pStyle w:val="Prrafodelista"/>
        <w:numPr>
          <w:ilvl w:val="0"/>
          <w:numId w:val="31"/>
        </w:numPr>
        <w:spacing w:after="0"/>
        <w:ind w:left="0" w:firstLine="0"/>
        <w:rPr>
          <w:szCs w:val="20"/>
          <w:lang w:val="es-CR"/>
        </w:rPr>
      </w:pPr>
      <w:r w:rsidRPr="002B01BB">
        <w:rPr>
          <w:szCs w:val="20"/>
          <w:lang w:val="es-CR"/>
        </w:rPr>
        <w:t xml:space="preserve">Informar a la Comisión y a las partes que deben cubrir los gastos que ocasione la aportación o rendición de la prueba propuesta por ellos, de conformidad con lo dispuesto en el artículo 60 del Reglamento. </w:t>
      </w:r>
    </w:p>
    <w:p w14:paraId="37C933A9" w14:textId="77777777" w:rsidR="00E7202C" w:rsidRPr="002B01BB" w:rsidRDefault="00E7202C" w:rsidP="00232DD3">
      <w:pPr>
        <w:pStyle w:val="Prrafodelista"/>
        <w:spacing w:after="0"/>
        <w:rPr>
          <w:szCs w:val="20"/>
          <w:lang w:val="es-ES"/>
        </w:rPr>
      </w:pPr>
    </w:p>
    <w:p w14:paraId="3CCFBA61" w14:textId="77777777" w:rsidR="00E7202C" w:rsidRPr="002B01BB" w:rsidRDefault="00E7202C" w:rsidP="00232DD3">
      <w:pPr>
        <w:pStyle w:val="Prrafodelista"/>
        <w:numPr>
          <w:ilvl w:val="0"/>
          <w:numId w:val="31"/>
        </w:numPr>
        <w:spacing w:after="0"/>
        <w:ind w:left="0" w:firstLine="0"/>
        <w:rPr>
          <w:szCs w:val="20"/>
          <w:lang w:val="es-CR"/>
        </w:rPr>
      </w:pPr>
      <w:r w:rsidRPr="002B01BB">
        <w:rPr>
          <w:szCs w:val="20"/>
          <w:lang w:val="es-CR"/>
        </w:rPr>
        <w:t xml:space="preserve">Requerir a la Comisión, a </w:t>
      </w:r>
      <w:r w:rsidR="004E2974" w:rsidRPr="002B01BB">
        <w:rPr>
          <w:szCs w:val="20"/>
          <w:lang w:val="es-CR"/>
        </w:rPr>
        <w:t>la representante</w:t>
      </w:r>
      <w:r w:rsidRPr="002B01BB">
        <w:rPr>
          <w:szCs w:val="20"/>
          <w:lang w:val="es-CR"/>
        </w:rPr>
        <w:t xml:space="preserve"> y al Estado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14:paraId="082DE8DE" w14:textId="77777777" w:rsidR="00E7202C" w:rsidRPr="002B01BB" w:rsidRDefault="00E7202C" w:rsidP="00232DD3">
      <w:pPr>
        <w:pStyle w:val="Prrafodelista"/>
        <w:spacing w:after="0"/>
        <w:rPr>
          <w:szCs w:val="20"/>
          <w:lang w:val="es-CR"/>
        </w:rPr>
      </w:pPr>
    </w:p>
    <w:p w14:paraId="644B4704" w14:textId="77777777" w:rsidR="00E7202C" w:rsidRPr="002B01BB" w:rsidRDefault="00E7202C" w:rsidP="00232DD3">
      <w:pPr>
        <w:pStyle w:val="Prrafodelista"/>
        <w:numPr>
          <w:ilvl w:val="0"/>
          <w:numId w:val="31"/>
        </w:numPr>
        <w:spacing w:after="0"/>
        <w:ind w:left="0" w:firstLine="0"/>
        <w:rPr>
          <w:szCs w:val="20"/>
          <w:lang w:val="es-CR"/>
        </w:rPr>
      </w:pPr>
      <w:r w:rsidRPr="002B01BB">
        <w:rPr>
          <w:szCs w:val="20"/>
          <w:lang w:val="es-CR"/>
        </w:rPr>
        <w:t xml:space="preserve">Informar a </w:t>
      </w:r>
      <w:r w:rsidR="004E2974" w:rsidRPr="002B01BB">
        <w:rPr>
          <w:szCs w:val="20"/>
          <w:lang w:val="es-CR"/>
        </w:rPr>
        <w:t>la representante</w:t>
      </w:r>
      <w:r w:rsidRPr="002B01BB">
        <w:rPr>
          <w:szCs w:val="20"/>
          <w:lang w:val="es-CR"/>
        </w:rPr>
        <w:t>, al Estado y a la Comisión Interamericana que, al término de las declaraciones rendidas en la audiencia pública, podrán presentar ante el Tribunal sus alegatos finales orales y observaciones finales orales, respectivamente, sobre los eventuales fondo, reparaciones y costas en el presente caso.</w:t>
      </w:r>
    </w:p>
    <w:p w14:paraId="36F05166" w14:textId="77777777" w:rsidR="00E7202C" w:rsidRPr="002B01BB" w:rsidRDefault="00E7202C" w:rsidP="00232DD3">
      <w:pPr>
        <w:pStyle w:val="Prrafodelista"/>
        <w:spacing w:after="0"/>
        <w:rPr>
          <w:szCs w:val="20"/>
          <w:lang w:val="es-CR"/>
        </w:rPr>
      </w:pPr>
    </w:p>
    <w:p w14:paraId="3C6F93F1" w14:textId="77777777" w:rsidR="00E7202C" w:rsidRPr="002B01BB" w:rsidRDefault="00E7202C" w:rsidP="00232DD3">
      <w:pPr>
        <w:pStyle w:val="Prrafodelista"/>
        <w:numPr>
          <w:ilvl w:val="0"/>
          <w:numId w:val="31"/>
        </w:numPr>
        <w:spacing w:after="0"/>
        <w:ind w:left="0" w:firstLine="0"/>
        <w:rPr>
          <w:szCs w:val="20"/>
          <w:lang w:val="es-CR"/>
        </w:rPr>
      </w:pPr>
      <w:r w:rsidRPr="002B01BB">
        <w:rPr>
          <w:szCs w:val="20"/>
          <w:lang w:val="es-CR"/>
        </w:rPr>
        <w:t xml:space="preserve">Disponer que la Secretaría de la Corte, de conformidad con lo dispuesto en el artículo 55.3 del Reglamento, indique a la Comisión Interamericana, a </w:t>
      </w:r>
      <w:r w:rsidR="00E755F1" w:rsidRPr="002B01BB">
        <w:rPr>
          <w:szCs w:val="20"/>
          <w:lang w:val="es-CR"/>
        </w:rPr>
        <w:t>la representante</w:t>
      </w:r>
      <w:r w:rsidRPr="002B01BB">
        <w:rPr>
          <w:szCs w:val="20"/>
          <w:lang w:val="es-CR"/>
        </w:rPr>
        <w:t xml:space="preserve"> y al Estado el enlace donde se encontrará disponible la grabación de la audiencia pública sobre los eventuales fondo, reparaciones y costas, a la brevedad posible luego de la celebración de la referida audiencia. </w:t>
      </w:r>
    </w:p>
    <w:p w14:paraId="1F8B4EE2" w14:textId="77777777" w:rsidR="00E7202C" w:rsidRPr="002B01BB" w:rsidRDefault="00E7202C" w:rsidP="00232DD3">
      <w:pPr>
        <w:pStyle w:val="Prrafodelista"/>
        <w:spacing w:after="0"/>
        <w:rPr>
          <w:szCs w:val="20"/>
          <w:lang w:val="es-ES"/>
        </w:rPr>
      </w:pPr>
    </w:p>
    <w:p w14:paraId="3E5DEEC5" w14:textId="77777777" w:rsidR="00447F94" w:rsidRPr="002B01BB" w:rsidRDefault="00E7202C" w:rsidP="00447F94">
      <w:pPr>
        <w:pStyle w:val="Prrafodelista"/>
        <w:numPr>
          <w:ilvl w:val="0"/>
          <w:numId w:val="31"/>
        </w:numPr>
        <w:spacing w:after="0"/>
        <w:ind w:left="0" w:firstLine="0"/>
        <w:rPr>
          <w:szCs w:val="20"/>
          <w:lang w:val="es-CR"/>
        </w:rPr>
      </w:pPr>
      <w:r w:rsidRPr="002B01BB">
        <w:rPr>
          <w:szCs w:val="20"/>
          <w:lang w:val="es-CR"/>
        </w:rPr>
        <w:t xml:space="preserve">Informar a </w:t>
      </w:r>
      <w:r w:rsidR="004E2974" w:rsidRPr="002B01BB">
        <w:rPr>
          <w:szCs w:val="20"/>
          <w:lang w:val="es-CR"/>
        </w:rPr>
        <w:t>la representante</w:t>
      </w:r>
      <w:r w:rsidRPr="002B01BB">
        <w:rPr>
          <w:szCs w:val="20"/>
          <w:lang w:val="es-CR"/>
        </w:rPr>
        <w:t xml:space="preserve">, al Estado y a la Comisión Interamericana que cuentan con un plazo hasta el </w:t>
      </w:r>
      <w:r w:rsidR="00747C60" w:rsidRPr="002B01BB">
        <w:rPr>
          <w:szCs w:val="20"/>
          <w:lang w:val="es-CR"/>
        </w:rPr>
        <w:t>15</w:t>
      </w:r>
      <w:r w:rsidRPr="002B01BB">
        <w:rPr>
          <w:szCs w:val="20"/>
          <w:lang w:val="es-CR"/>
        </w:rPr>
        <w:t xml:space="preserve"> de </w:t>
      </w:r>
      <w:r w:rsidR="004E2974" w:rsidRPr="002B01BB">
        <w:rPr>
          <w:szCs w:val="20"/>
          <w:lang w:val="es-CR"/>
        </w:rPr>
        <w:t>abril</w:t>
      </w:r>
      <w:r w:rsidRPr="002B01BB">
        <w:rPr>
          <w:szCs w:val="20"/>
          <w:lang w:val="es-CR"/>
        </w:rPr>
        <w:t xml:space="preserve"> de 2020 para presentar sus alegatos finales escritos y observaciones finales escritas, respectivamente, en relación con los eventuales fondo, reparaciones y costas en el presente caso. Este plazo es improrrogable e independiente de la puesta a disposición de las partes de la gra</w:t>
      </w:r>
      <w:r w:rsidR="00447F94" w:rsidRPr="002B01BB">
        <w:rPr>
          <w:szCs w:val="20"/>
          <w:lang w:val="es-CR"/>
        </w:rPr>
        <w:t>bación de la audiencia pública.</w:t>
      </w:r>
    </w:p>
    <w:p w14:paraId="349DDE06" w14:textId="77777777" w:rsidR="00447F94" w:rsidRPr="00447F94" w:rsidRDefault="00447F94" w:rsidP="00447F94">
      <w:pPr>
        <w:pStyle w:val="Prrafodelista"/>
        <w:spacing w:after="0"/>
        <w:rPr>
          <w:bCs/>
          <w:iCs/>
        </w:rPr>
      </w:pPr>
    </w:p>
    <w:p w14:paraId="275B5995" w14:textId="77777777" w:rsidR="00447F94" w:rsidRPr="00447F94" w:rsidRDefault="00447F94" w:rsidP="00447F94">
      <w:pPr>
        <w:pStyle w:val="Prrafodelista"/>
        <w:numPr>
          <w:ilvl w:val="0"/>
          <w:numId w:val="31"/>
        </w:numPr>
        <w:spacing w:after="0"/>
        <w:ind w:left="0" w:firstLine="0"/>
        <w:rPr>
          <w:szCs w:val="20"/>
          <w:lang w:val="es-CR"/>
        </w:rPr>
      </w:pPr>
      <w:r w:rsidRPr="00447F94">
        <w:rPr>
          <w:bCs/>
          <w:iCs/>
        </w:rPr>
        <w:t xml:space="preserve">Declarar procedente la aplicación del Fondo de Asistencia Legal de Víctimas de la Corte Interamericana en los términos dispuestos en los párrafos considerativos </w:t>
      </w:r>
      <w:r>
        <w:rPr>
          <w:bCs/>
          <w:iCs/>
        </w:rPr>
        <w:t>7</w:t>
      </w:r>
      <w:r w:rsidRPr="00447F94">
        <w:rPr>
          <w:bCs/>
          <w:iCs/>
        </w:rPr>
        <w:t xml:space="preserve"> a </w:t>
      </w:r>
      <w:r>
        <w:rPr>
          <w:bCs/>
          <w:iCs/>
        </w:rPr>
        <w:t>11</w:t>
      </w:r>
      <w:r w:rsidRPr="00447F94">
        <w:rPr>
          <w:bCs/>
          <w:iCs/>
        </w:rPr>
        <w:t xml:space="preserve"> de esta Resolución.</w:t>
      </w:r>
    </w:p>
    <w:p w14:paraId="768874F4" w14:textId="77777777" w:rsidR="00447F94" w:rsidRPr="00447F94" w:rsidRDefault="00447F94" w:rsidP="00447F94">
      <w:pPr>
        <w:pStyle w:val="Prrafodelista"/>
        <w:spacing w:after="0"/>
        <w:rPr>
          <w:szCs w:val="20"/>
        </w:rPr>
      </w:pPr>
    </w:p>
    <w:p w14:paraId="6BFBADF2" w14:textId="77777777" w:rsidR="00447F94" w:rsidRPr="00447F94" w:rsidRDefault="00447F94" w:rsidP="00447F94">
      <w:pPr>
        <w:pStyle w:val="Prrafodelista"/>
        <w:numPr>
          <w:ilvl w:val="0"/>
          <w:numId w:val="31"/>
        </w:numPr>
        <w:spacing w:after="0"/>
        <w:ind w:left="0" w:firstLine="0"/>
        <w:rPr>
          <w:szCs w:val="20"/>
          <w:lang w:val="es-CR"/>
        </w:rPr>
      </w:pPr>
      <w:r w:rsidRPr="00447F94">
        <w:rPr>
          <w:szCs w:val="20"/>
        </w:rPr>
        <w:lastRenderedPageBreak/>
        <w:t xml:space="preserve">Disponer, de conformidad con el artículo 4 del Reglamento de la Corte sobre el Funcionamiento del Fondo de Asistencia Legal de Víctimas, que la Secretaría del Tribunal abra un expediente de gastos, donde se documentará cada una de las erogaciones que se realicen con el Fondo de Asistencia Legal de Víctimas. </w:t>
      </w:r>
    </w:p>
    <w:p w14:paraId="314D201D" w14:textId="77777777" w:rsidR="00E7202C" w:rsidRPr="00227CAB" w:rsidRDefault="00E7202C" w:rsidP="00232DD3">
      <w:pPr>
        <w:pStyle w:val="Prrafodelista"/>
        <w:spacing w:after="0"/>
        <w:rPr>
          <w:szCs w:val="20"/>
          <w:lang w:val="es-ES"/>
        </w:rPr>
      </w:pPr>
    </w:p>
    <w:p w14:paraId="76D5D478" w14:textId="2CB04733" w:rsidR="00E7202C" w:rsidRPr="002933BD" w:rsidRDefault="00E7202C" w:rsidP="00232DD3">
      <w:pPr>
        <w:pStyle w:val="Prrafodelista"/>
        <w:numPr>
          <w:ilvl w:val="0"/>
          <w:numId w:val="31"/>
        </w:numPr>
        <w:spacing w:after="0"/>
        <w:ind w:left="0" w:firstLine="0"/>
        <w:rPr>
          <w:szCs w:val="20"/>
          <w:lang w:val="es-CR"/>
        </w:rPr>
      </w:pPr>
      <w:r w:rsidRPr="002933BD">
        <w:rPr>
          <w:szCs w:val="20"/>
          <w:lang w:val="es-CR"/>
        </w:rPr>
        <w:t xml:space="preserve">Disponer que la Secretaría de la Corte Interamericana notifique la presente Resolución a la Comisión Interamericana de Derechos Humanos, a </w:t>
      </w:r>
      <w:r w:rsidR="00E755F1">
        <w:rPr>
          <w:szCs w:val="20"/>
          <w:lang w:val="es-CR"/>
        </w:rPr>
        <w:t>la representante</w:t>
      </w:r>
      <w:r w:rsidRPr="002933BD">
        <w:rPr>
          <w:szCs w:val="20"/>
          <w:lang w:val="es-CR"/>
        </w:rPr>
        <w:t xml:space="preserve"> de las presuntas víctimas y a la República de </w:t>
      </w:r>
      <w:r w:rsidR="004E2974">
        <w:rPr>
          <w:szCs w:val="20"/>
          <w:lang w:val="es-CR"/>
        </w:rPr>
        <w:t>Argentina</w:t>
      </w:r>
      <w:r w:rsidRPr="002933BD">
        <w:rPr>
          <w:szCs w:val="20"/>
          <w:lang w:val="es-CR"/>
        </w:rPr>
        <w:t>.</w:t>
      </w:r>
    </w:p>
    <w:p w14:paraId="0444FAEE" w14:textId="77777777" w:rsidR="00E7202C" w:rsidRDefault="00E7202C" w:rsidP="00E7202C">
      <w:pPr>
        <w:spacing w:after="0"/>
        <w:rPr>
          <w:szCs w:val="20"/>
          <w:lang w:val="es-CR"/>
        </w:rPr>
      </w:pPr>
    </w:p>
    <w:p w14:paraId="655B2F56" w14:textId="77777777" w:rsidR="00E7202C" w:rsidRDefault="00E7202C" w:rsidP="00E7202C">
      <w:pPr>
        <w:spacing w:after="0"/>
        <w:rPr>
          <w:szCs w:val="20"/>
          <w:lang w:val="es-CR"/>
        </w:rPr>
      </w:pPr>
    </w:p>
    <w:p w14:paraId="7633DCE4" w14:textId="77777777" w:rsidR="00E7202C" w:rsidRDefault="00E7202C" w:rsidP="00E7202C">
      <w:pPr>
        <w:spacing w:after="0"/>
        <w:rPr>
          <w:szCs w:val="20"/>
          <w:lang w:val="es-CR"/>
        </w:rPr>
      </w:pPr>
    </w:p>
    <w:p w14:paraId="3EAE1130" w14:textId="5A91F6A7" w:rsidR="00E7202C" w:rsidRDefault="00E7202C" w:rsidP="00E7202C">
      <w:pPr>
        <w:spacing w:after="0"/>
        <w:rPr>
          <w:szCs w:val="20"/>
          <w:lang w:val="es-CR"/>
        </w:rPr>
      </w:pPr>
    </w:p>
    <w:p w14:paraId="36D629BE" w14:textId="77777777" w:rsidR="00E7202C" w:rsidRPr="002933BD" w:rsidRDefault="00E7202C" w:rsidP="00E7202C">
      <w:pPr>
        <w:spacing w:after="0"/>
        <w:rPr>
          <w:szCs w:val="20"/>
          <w:lang w:val="es-CR"/>
        </w:rPr>
      </w:pPr>
    </w:p>
    <w:p w14:paraId="510C268E" w14:textId="77777777" w:rsidR="00E7202C" w:rsidRPr="002933BD" w:rsidRDefault="004E2974" w:rsidP="00E7202C">
      <w:pPr>
        <w:spacing w:after="0"/>
        <w:ind w:left="360"/>
        <w:jc w:val="right"/>
        <w:rPr>
          <w:szCs w:val="20"/>
          <w:lang w:val="es-CR"/>
        </w:rPr>
      </w:pPr>
      <w:r>
        <w:rPr>
          <w:szCs w:val="20"/>
          <w:lang w:val="es-CR"/>
        </w:rPr>
        <w:t>Elizabeth Odio Benito</w:t>
      </w:r>
    </w:p>
    <w:p w14:paraId="5A2FE8D4" w14:textId="77777777" w:rsidR="00E7202C" w:rsidRPr="002933BD" w:rsidRDefault="00E7202C" w:rsidP="00E7202C">
      <w:pPr>
        <w:spacing w:after="0"/>
        <w:ind w:left="360"/>
        <w:jc w:val="center"/>
        <w:rPr>
          <w:szCs w:val="20"/>
          <w:lang w:val="es-CR"/>
        </w:rPr>
      </w:pPr>
      <w:r w:rsidRPr="002933BD">
        <w:rPr>
          <w:szCs w:val="20"/>
          <w:lang w:val="es-CR"/>
        </w:rPr>
        <w:t xml:space="preserve">                                                                    </w:t>
      </w:r>
      <w:r w:rsidR="004E2974">
        <w:rPr>
          <w:szCs w:val="20"/>
          <w:lang w:val="es-CR"/>
        </w:rPr>
        <w:t xml:space="preserve">                                Presidenta</w:t>
      </w:r>
    </w:p>
    <w:p w14:paraId="7B0405A6" w14:textId="77777777" w:rsidR="00E7202C" w:rsidRPr="002933BD" w:rsidRDefault="00E7202C" w:rsidP="00E7202C">
      <w:pPr>
        <w:spacing w:after="0"/>
        <w:ind w:left="360"/>
        <w:rPr>
          <w:szCs w:val="20"/>
          <w:lang w:val="es-CR"/>
        </w:rPr>
      </w:pPr>
    </w:p>
    <w:p w14:paraId="64599C13" w14:textId="77777777" w:rsidR="00E7202C" w:rsidRDefault="00E7202C" w:rsidP="00E7202C">
      <w:pPr>
        <w:spacing w:after="0"/>
        <w:ind w:left="360"/>
        <w:rPr>
          <w:szCs w:val="20"/>
          <w:lang w:val="es-CR"/>
        </w:rPr>
      </w:pPr>
    </w:p>
    <w:p w14:paraId="5CC57EF6" w14:textId="77777777" w:rsidR="00E7202C" w:rsidRDefault="00E7202C" w:rsidP="00E7202C">
      <w:pPr>
        <w:spacing w:after="0"/>
        <w:ind w:left="360"/>
        <w:rPr>
          <w:szCs w:val="20"/>
          <w:lang w:val="es-CR"/>
        </w:rPr>
      </w:pPr>
    </w:p>
    <w:p w14:paraId="1FA47916" w14:textId="77777777" w:rsidR="00321859" w:rsidRDefault="00321859" w:rsidP="00E7202C">
      <w:pPr>
        <w:spacing w:after="0"/>
        <w:ind w:left="360"/>
        <w:rPr>
          <w:szCs w:val="20"/>
          <w:lang w:val="es-CR"/>
        </w:rPr>
      </w:pPr>
    </w:p>
    <w:p w14:paraId="03C6130B" w14:textId="77777777" w:rsidR="00E7202C" w:rsidRPr="002933BD" w:rsidRDefault="00E7202C" w:rsidP="00E7202C">
      <w:pPr>
        <w:spacing w:after="0"/>
        <w:ind w:left="360"/>
        <w:rPr>
          <w:szCs w:val="20"/>
          <w:lang w:val="es-CR"/>
        </w:rPr>
      </w:pPr>
    </w:p>
    <w:p w14:paraId="60D53C80" w14:textId="77777777" w:rsidR="00E7202C" w:rsidRPr="002933BD" w:rsidRDefault="00E7202C" w:rsidP="00E7202C">
      <w:pPr>
        <w:spacing w:after="0"/>
        <w:ind w:left="360"/>
        <w:rPr>
          <w:szCs w:val="20"/>
          <w:lang w:val="es-CR"/>
        </w:rPr>
      </w:pPr>
      <w:r w:rsidRPr="002933BD">
        <w:rPr>
          <w:szCs w:val="20"/>
          <w:lang w:val="es-CR"/>
        </w:rPr>
        <w:t xml:space="preserve">Pablo Saavedra Alessandri </w:t>
      </w:r>
    </w:p>
    <w:p w14:paraId="6F7EDA7B" w14:textId="77777777" w:rsidR="00E7202C" w:rsidRPr="002933BD" w:rsidRDefault="00E7202C" w:rsidP="00E7202C">
      <w:pPr>
        <w:spacing w:after="0"/>
        <w:ind w:left="360"/>
        <w:rPr>
          <w:szCs w:val="20"/>
          <w:lang w:val="es-CR"/>
        </w:rPr>
      </w:pPr>
      <w:r w:rsidRPr="002933BD">
        <w:rPr>
          <w:szCs w:val="20"/>
          <w:lang w:val="es-CR"/>
        </w:rPr>
        <w:t xml:space="preserve">           Secretario </w:t>
      </w:r>
    </w:p>
    <w:p w14:paraId="709094AC" w14:textId="77777777" w:rsidR="00E7202C" w:rsidRPr="002933BD" w:rsidRDefault="00E7202C" w:rsidP="00E7202C">
      <w:pPr>
        <w:spacing w:after="0"/>
        <w:ind w:left="360"/>
        <w:rPr>
          <w:szCs w:val="20"/>
          <w:lang w:val="es-CR"/>
        </w:rPr>
      </w:pPr>
    </w:p>
    <w:p w14:paraId="75A46B37" w14:textId="77777777" w:rsidR="00E7202C" w:rsidRDefault="00E7202C" w:rsidP="00E7202C">
      <w:pPr>
        <w:spacing w:after="0"/>
        <w:ind w:left="360"/>
        <w:rPr>
          <w:szCs w:val="20"/>
          <w:lang w:val="es-CR"/>
        </w:rPr>
      </w:pPr>
    </w:p>
    <w:p w14:paraId="3FB20A00" w14:textId="77777777" w:rsidR="00E7202C" w:rsidRDefault="00E7202C" w:rsidP="00E7202C">
      <w:pPr>
        <w:spacing w:after="0"/>
        <w:ind w:left="360"/>
        <w:rPr>
          <w:szCs w:val="20"/>
          <w:lang w:val="es-CR"/>
        </w:rPr>
      </w:pPr>
    </w:p>
    <w:p w14:paraId="2C3686EE" w14:textId="77777777" w:rsidR="00321859" w:rsidRDefault="00321859" w:rsidP="00E7202C">
      <w:pPr>
        <w:spacing w:after="0"/>
        <w:ind w:left="360"/>
        <w:rPr>
          <w:szCs w:val="20"/>
          <w:lang w:val="es-CR"/>
        </w:rPr>
      </w:pPr>
    </w:p>
    <w:p w14:paraId="42E325A3" w14:textId="77777777" w:rsidR="00321859" w:rsidRPr="002933BD" w:rsidRDefault="00321859" w:rsidP="00E7202C">
      <w:pPr>
        <w:spacing w:after="0"/>
        <w:ind w:left="360"/>
        <w:rPr>
          <w:szCs w:val="20"/>
          <w:lang w:val="es-CR"/>
        </w:rPr>
      </w:pPr>
    </w:p>
    <w:p w14:paraId="1F27BB81" w14:textId="77777777" w:rsidR="00E7202C" w:rsidRPr="002933BD" w:rsidRDefault="00E7202C" w:rsidP="00E7202C">
      <w:pPr>
        <w:spacing w:after="0"/>
        <w:ind w:left="360"/>
        <w:rPr>
          <w:szCs w:val="20"/>
          <w:lang w:val="es-CR"/>
        </w:rPr>
      </w:pPr>
      <w:r w:rsidRPr="002933BD">
        <w:rPr>
          <w:szCs w:val="20"/>
          <w:lang w:val="es-CR"/>
        </w:rPr>
        <w:t xml:space="preserve">Comuníquese y ejecútese, </w:t>
      </w:r>
    </w:p>
    <w:p w14:paraId="5250FCCF" w14:textId="2F419643" w:rsidR="00E7202C" w:rsidRDefault="00E7202C" w:rsidP="00E7202C">
      <w:pPr>
        <w:spacing w:after="0"/>
        <w:ind w:left="360"/>
        <w:rPr>
          <w:szCs w:val="20"/>
          <w:lang w:val="es-CR"/>
        </w:rPr>
      </w:pPr>
      <w:bookmarkStart w:id="8" w:name="_GoBack"/>
      <w:bookmarkEnd w:id="8"/>
    </w:p>
    <w:p w14:paraId="07FF6CD7" w14:textId="77777777" w:rsidR="00321859" w:rsidRDefault="00321859" w:rsidP="00E7202C">
      <w:pPr>
        <w:spacing w:after="0"/>
        <w:ind w:left="360"/>
        <w:rPr>
          <w:szCs w:val="20"/>
          <w:lang w:val="es-CR"/>
        </w:rPr>
      </w:pPr>
    </w:p>
    <w:p w14:paraId="6CFF2D33" w14:textId="77777777" w:rsidR="00E7202C" w:rsidRDefault="00E7202C" w:rsidP="00E7202C">
      <w:pPr>
        <w:spacing w:after="0"/>
        <w:ind w:left="360"/>
        <w:rPr>
          <w:szCs w:val="20"/>
          <w:lang w:val="es-CR"/>
        </w:rPr>
      </w:pPr>
    </w:p>
    <w:p w14:paraId="1475E71B" w14:textId="01A843E7" w:rsidR="00E7202C" w:rsidRDefault="00E7202C" w:rsidP="00E7202C">
      <w:pPr>
        <w:spacing w:after="0"/>
        <w:ind w:left="360"/>
        <w:rPr>
          <w:szCs w:val="20"/>
          <w:lang w:val="es-CR"/>
        </w:rPr>
      </w:pPr>
    </w:p>
    <w:p w14:paraId="0A2FA7BE" w14:textId="77777777" w:rsidR="00E7202C" w:rsidRPr="002933BD" w:rsidRDefault="00E7202C" w:rsidP="00E7202C">
      <w:pPr>
        <w:spacing w:after="0"/>
        <w:ind w:left="360"/>
        <w:rPr>
          <w:szCs w:val="20"/>
          <w:lang w:val="es-CR"/>
        </w:rPr>
      </w:pPr>
    </w:p>
    <w:p w14:paraId="6142C896" w14:textId="77777777" w:rsidR="004E2974" w:rsidRPr="002933BD" w:rsidRDefault="004E2974" w:rsidP="004E2974">
      <w:pPr>
        <w:spacing w:after="0"/>
        <w:ind w:left="360"/>
        <w:jc w:val="right"/>
        <w:rPr>
          <w:szCs w:val="20"/>
          <w:lang w:val="es-CR"/>
        </w:rPr>
      </w:pPr>
      <w:r>
        <w:rPr>
          <w:szCs w:val="20"/>
          <w:lang w:val="es-CR"/>
        </w:rPr>
        <w:t>Elizabeth Odio Benito</w:t>
      </w:r>
    </w:p>
    <w:p w14:paraId="5A1614E8" w14:textId="77777777" w:rsidR="00E7202C" w:rsidRPr="002933BD" w:rsidRDefault="004E2974" w:rsidP="004E2974">
      <w:pPr>
        <w:spacing w:after="0"/>
        <w:ind w:left="360"/>
        <w:jc w:val="center"/>
        <w:rPr>
          <w:szCs w:val="20"/>
          <w:lang w:val="es-CR"/>
        </w:rPr>
      </w:pPr>
      <w:r w:rsidRPr="002933BD">
        <w:rPr>
          <w:szCs w:val="20"/>
          <w:lang w:val="es-CR"/>
        </w:rPr>
        <w:t xml:space="preserve">                                                                    </w:t>
      </w:r>
      <w:r>
        <w:rPr>
          <w:szCs w:val="20"/>
          <w:lang w:val="es-CR"/>
        </w:rPr>
        <w:t xml:space="preserve">                                Presidenta</w:t>
      </w:r>
    </w:p>
    <w:p w14:paraId="1C2CF022" w14:textId="77777777" w:rsidR="00E7202C" w:rsidRPr="002933BD" w:rsidRDefault="00E7202C" w:rsidP="00E7202C">
      <w:pPr>
        <w:spacing w:after="0"/>
        <w:ind w:left="360"/>
        <w:rPr>
          <w:szCs w:val="20"/>
          <w:lang w:val="es-CR"/>
        </w:rPr>
      </w:pPr>
    </w:p>
    <w:p w14:paraId="030518C1" w14:textId="77777777" w:rsidR="00E7202C" w:rsidRPr="002933BD" w:rsidRDefault="00E7202C" w:rsidP="00E7202C">
      <w:pPr>
        <w:spacing w:after="0"/>
        <w:ind w:left="360"/>
        <w:rPr>
          <w:szCs w:val="20"/>
          <w:lang w:val="es-CR"/>
        </w:rPr>
      </w:pPr>
    </w:p>
    <w:p w14:paraId="759353C4" w14:textId="77777777" w:rsidR="00E7202C" w:rsidRDefault="00E7202C" w:rsidP="00E7202C">
      <w:pPr>
        <w:spacing w:after="0"/>
        <w:ind w:left="360"/>
        <w:rPr>
          <w:szCs w:val="20"/>
          <w:lang w:val="es-CR"/>
        </w:rPr>
      </w:pPr>
    </w:p>
    <w:p w14:paraId="30017420" w14:textId="77777777" w:rsidR="00E7202C" w:rsidRDefault="00E7202C" w:rsidP="00E7202C">
      <w:pPr>
        <w:spacing w:after="0"/>
        <w:ind w:left="360"/>
        <w:rPr>
          <w:szCs w:val="20"/>
          <w:lang w:val="es-CR"/>
        </w:rPr>
      </w:pPr>
    </w:p>
    <w:p w14:paraId="42D0CC03" w14:textId="77777777" w:rsidR="00E7202C" w:rsidRPr="002933BD" w:rsidRDefault="00E7202C" w:rsidP="00E7202C">
      <w:pPr>
        <w:spacing w:after="0"/>
        <w:ind w:left="360"/>
        <w:rPr>
          <w:szCs w:val="20"/>
          <w:lang w:val="es-CR"/>
        </w:rPr>
      </w:pPr>
    </w:p>
    <w:p w14:paraId="5F2F6781" w14:textId="77777777" w:rsidR="00E7202C" w:rsidRPr="002933BD" w:rsidRDefault="00E7202C" w:rsidP="00E7202C">
      <w:pPr>
        <w:spacing w:after="0"/>
        <w:ind w:left="360"/>
        <w:rPr>
          <w:szCs w:val="20"/>
          <w:lang w:val="es-CR"/>
        </w:rPr>
      </w:pPr>
      <w:r w:rsidRPr="002933BD">
        <w:rPr>
          <w:szCs w:val="20"/>
          <w:lang w:val="es-CR"/>
        </w:rPr>
        <w:t xml:space="preserve">Pablo Saavedra Alessandri </w:t>
      </w:r>
    </w:p>
    <w:p w14:paraId="38A2A697" w14:textId="77777777" w:rsidR="00E7202C" w:rsidRPr="002933BD" w:rsidRDefault="00E7202C" w:rsidP="00E7202C">
      <w:pPr>
        <w:spacing w:after="0"/>
        <w:ind w:left="360"/>
        <w:rPr>
          <w:szCs w:val="20"/>
          <w:lang w:val="es-CR"/>
        </w:rPr>
      </w:pPr>
      <w:r w:rsidRPr="002933BD">
        <w:rPr>
          <w:szCs w:val="20"/>
          <w:lang w:val="es-CR"/>
        </w:rPr>
        <w:t xml:space="preserve">          Secretario</w:t>
      </w:r>
    </w:p>
    <w:sectPr w:rsidR="00E7202C" w:rsidRPr="002933BD" w:rsidSect="0030281E">
      <w:footerReference w:type="defaul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4EB2" w14:textId="77777777" w:rsidR="008A21DC" w:rsidRDefault="008A21DC" w:rsidP="00431A17">
      <w:pPr>
        <w:spacing w:after="0"/>
      </w:pPr>
      <w:r>
        <w:separator/>
      </w:r>
    </w:p>
  </w:endnote>
  <w:endnote w:type="continuationSeparator" w:id="0">
    <w:p w14:paraId="09C52C67" w14:textId="77777777" w:rsidR="008A21DC" w:rsidRDefault="008A21DC" w:rsidP="00431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Bold">
    <w:altName w:val="Times New Roman"/>
    <w:charset w:val="00"/>
    <w:family w:val="auto"/>
    <w:pitch w:val="variable"/>
    <w:sig w:usb0="00000001"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198000"/>
      <w:docPartObj>
        <w:docPartGallery w:val="Page Numbers (Bottom of Page)"/>
        <w:docPartUnique/>
      </w:docPartObj>
    </w:sdtPr>
    <w:sdtEndPr>
      <w:rPr>
        <w:noProof/>
      </w:rPr>
    </w:sdtEndPr>
    <w:sdtContent>
      <w:p w14:paraId="3576A991" w14:textId="77777777" w:rsidR="008A21DC" w:rsidRDefault="008A21DC">
        <w:pPr>
          <w:pStyle w:val="Piedepgina"/>
          <w:jc w:val="center"/>
        </w:pPr>
        <w:r>
          <w:fldChar w:fldCharType="begin"/>
        </w:r>
        <w:r>
          <w:instrText xml:space="preserve"> PAGE   \* MERGEFORMAT </w:instrText>
        </w:r>
        <w:r>
          <w:fldChar w:fldCharType="separate"/>
        </w:r>
        <w:r w:rsidR="002B01BB">
          <w:rPr>
            <w:noProof/>
          </w:rPr>
          <w:t>7</w:t>
        </w:r>
        <w:r>
          <w:rPr>
            <w:noProof/>
          </w:rPr>
          <w:fldChar w:fldCharType="end"/>
        </w:r>
      </w:p>
    </w:sdtContent>
  </w:sdt>
  <w:p w14:paraId="2453F938" w14:textId="77777777" w:rsidR="008A21DC" w:rsidRDefault="008A21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FA356" w14:textId="77777777" w:rsidR="008A21DC" w:rsidRDefault="008A21DC" w:rsidP="00431A17">
      <w:pPr>
        <w:spacing w:after="0"/>
      </w:pPr>
      <w:r>
        <w:separator/>
      </w:r>
    </w:p>
  </w:footnote>
  <w:footnote w:type="continuationSeparator" w:id="0">
    <w:p w14:paraId="12CDC904" w14:textId="77777777" w:rsidR="008A21DC" w:rsidRDefault="008A21DC" w:rsidP="00431A17">
      <w:pPr>
        <w:spacing w:after="0"/>
      </w:pPr>
      <w:r>
        <w:continuationSeparator/>
      </w:r>
    </w:p>
  </w:footnote>
  <w:footnote w:id="1">
    <w:p w14:paraId="715AFA5D" w14:textId="77777777" w:rsidR="008A21DC" w:rsidRPr="009504CB" w:rsidRDefault="008A21DC" w:rsidP="00F9177D">
      <w:pPr>
        <w:pStyle w:val="Textonotapie"/>
        <w:rPr>
          <w:szCs w:val="16"/>
        </w:rPr>
      </w:pPr>
      <w:r w:rsidRPr="00063CAE">
        <w:rPr>
          <w:rStyle w:val="Refdenotaalpie"/>
          <w:rFonts w:eastAsia="Batang"/>
        </w:rPr>
        <w:footnoteRef/>
      </w:r>
      <w:r w:rsidRPr="00063CAE">
        <w:rPr>
          <w:szCs w:val="16"/>
        </w:rPr>
        <w:t xml:space="preserve"> </w:t>
      </w:r>
      <w:r w:rsidRPr="00063CAE">
        <w:rPr>
          <w:szCs w:val="16"/>
        </w:rPr>
        <w:tab/>
        <w:t xml:space="preserve">La Comisión informó que el perito declararía sobre “las obligaciones internacionales de los Estados que resultan exigibles en el marco otorgamiento de facultades </w:t>
      </w:r>
      <w:r>
        <w:rPr>
          <w:szCs w:val="16"/>
        </w:rPr>
        <w:t>de detención a cuerpos de seguridad cuando no exista orden de autoridad competente ni flagrancia, sino con base en la posible sospecha de cometer un delito. La persona experta se pronunciará sobre estándares de legalidad y no arbitrariedad para detener a persona bajo sospecha, así como la validez de uso en el proceso penal de las pruebas obtenidas durante dicho acto</w:t>
      </w:r>
      <w:r w:rsidRPr="00063CAE">
        <w:rPr>
          <w:szCs w:val="16"/>
        </w:rPr>
        <w:t>”.</w:t>
      </w:r>
    </w:p>
  </w:footnote>
  <w:footnote w:id="2">
    <w:p w14:paraId="4A43C1FD" w14:textId="77777777" w:rsidR="008A21DC" w:rsidRPr="009504CB" w:rsidRDefault="008A21DC" w:rsidP="00F9177D">
      <w:pPr>
        <w:pStyle w:val="Textonotapie"/>
        <w:rPr>
          <w:szCs w:val="16"/>
        </w:rPr>
      </w:pPr>
      <w:r w:rsidRPr="00063CAE">
        <w:rPr>
          <w:rStyle w:val="Refdenotaalpie"/>
          <w:rFonts w:eastAsia="Batang"/>
        </w:rPr>
        <w:footnoteRef/>
      </w:r>
      <w:r w:rsidRPr="00063CAE">
        <w:rPr>
          <w:szCs w:val="16"/>
        </w:rPr>
        <w:t xml:space="preserve"> </w:t>
      </w:r>
      <w:r w:rsidRPr="00063CAE">
        <w:rPr>
          <w:szCs w:val="16"/>
        </w:rPr>
        <w:tab/>
        <w:t>El artículo 35.1.f del Reglamento establece lo siguiente: “1. El caso será sometido a la Corte mediante la presentación del informe al que del se refiere el artículo 50 de la Convención, que contenga todos los hechos supuestamente violatorios, inclusive la identificación de las presuntas víctimas. Para que el caso pueda ser examinado, la Corte deberá recibir la siguiente información: […] f. cuando se afecte de manera relevante el orden público interamericano de los derechos humanos, la eventual designación de peritos, indicando el objeto de sus declaraciones y acompañando su hoja de vida”.</w:t>
      </w:r>
    </w:p>
  </w:footnote>
  <w:footnote w:id="3">
    <w:p w14:paraId="2475D8A9" w14:textId="77777777" w:rsidR="008A21DC" w:rsidRPr="009504CB" w:rsidRDefault="008A21DC" w:rsidP="00F9177D">
      <w:pPr>
        <w:pStyle w:val="Textonotapie"/>
        <w:rPr>
          <w:szCs w:val="16"/>
        </w:rPr>
      </w:pPr>
      <w:r w:rsidRPr="009504CB">
        <w:rPr>
          <w:rStyle w:val="Refdenotaalpie"/>
          <w:rFonts w:eastAsia="Batang"/>
        </w:rPr>
        <w:footnoteRef/>
      </w:r>
      <w:r w:rsidRPr="009504CB">
        <w:rPr>
          <w:szCs w:val="16"/>
        </w:rPr>
        <w:t xml:space="preserve"> </w:t>
      </w:r>
      <w:r w:rsidRPr="009504CB">
        <w:rPr>
          <w:szCs w:val="16"/>
        </w:rPr>
        <w:tab/>
      </w:r>
      <w:r w:rsidRPr="009504CB">
        <w:rPr>
          <w:i/>
          <w:szCs w:val="16"/>
        </w:rPr>
        <w:t xml:space="preserve">Cfr. Caso Pedro Miguel Vera </w:t>
      </w:r>
      <w:proofErr w:type="spellStart"/>
      <w:r w:rsidRPr="009504CB">
        <w:rPr>
          <w:i/>
          <w:szCs w:val="16"/>
        </w:rPr>
        <w:t>Vera</w:t>
      </w:r>
      <w:proofErr w:type="spellEnd"/>
      <w:r w:rsidRPr="009504CB">
        <w:rPr>
          <w:i/>
          <w:szCs w:val="16"/>
        </w:rPr>
        <w:t xml:space="preserve"> y otros Vs. Ecuador. Convocatoria a audiencia</w:t>
      </w:r>
      <w:r w:rsidRPr="009504CB">
        <w:rPr>
          <w:szCs w:val="16"/>
        </w:rPr>
        <w:t xml:space="preserve">. Resolución del Presidente de la Corte Interamericana de Derechos Humanos de 23 de diciembre de 2010, Considerando 9, y </w:t>
      </w:r>
      <w:r w:rsidRPr="00186516">
        <w:rPr>
          <w:rStyle w:val="Textoennegrita"/>
          <w:b w:val="0"/>
          <w:i/>
          <w:color w:val="000000"/>
          <w:szCs w:val="16"/>
          <w:shd w:val="clear" w:color="auto" w:fill="FFFFFF"/>
        </w:rPr>
        <w:t>Caso Noguera y otros Vs. Paraguay. Convocatoria a audiencia.</w:t>
      </w:r>
      <w:r w:rsidRPr="00186516">
        <w:rPr>
          <w:rStyle w:val="Textoennegrita"/>
          <w:b w:val="0"/>
          <w:color w:val="000000"/>
          <w:szCs w:val="16"/>
          <w:shd w:val="clear" w:color="auto" w:fill="FFFFFF"/>
        </w:rPr>
        <w:t xml:space="preserve"> Resolución del Presidente de la Corte Interamericana de Derechos Humanos de 8 de julio de 2019, párr. 9.</w:t>
      </w:r>
    </w:p>
  </w:footnote>
  <w:footnote w:id="4">
    <w:p w14:paraId="58058563" w14:textId="77777777" w:rsidR="008A21DC" w:rsidRPr="009504CB" w:rsidRDefault="008A21DC" w:rsidP="004A2139">
      <w:pPr>
        <w:pStyle w:val="Textonotapie"/>
        <w:rPr>
          <w:szCs w:val="16"/>
          <w:lang w:val="es-CR"/>
        </w:rPr>
      </w:pPr>
      <w:r w:rsidRPr="009504CB">
        <w:rPr>
          <w:rStyle w:val="Refdenotaalpie"/>
        </w:rPr>
        <w:footnoteRef/>
      </w:r>
      <w:r w:rsidRPr="009504CB">
        <w:rPr>
          <w:szCs w:val="16"/>
        </w:rPr>
        <w:t xml:space="preserve"> </w:t>
      </w:r>
      <w:r w:rsidRPr="009504CB">
        <w:rPr>
          <w:szCs w:val="16"/>
          <w:lang w:val="es-CR"/>
        </w:rPr>
        <w:tab/>
      </w:r>
      <w:r w:rsidRPr="00794C78">
        <w:rPr>
          <w:i/>
          <w:szCs w:val="16"/>
        </w:rPr>
        <w:t xml:space="preserve">Cfr. Caso </w:t>
      </w:r>
      <w:proofErr w:type="spellStart"/>
      <w:r w:rsidRPr="00794C78">
        <w:rPr>
          <w:i/>
          <w:szCs w:val="16"/>
        </w:rPr>
        <w:t>Barbani</w:t>
      </w:r>
      <w:proofErr w:type="spellEnd"/>
      <w:r w:rsidRPr="00794C78">
        <w:rPr>
          <w:i/>
          <w:szCs w:val="16"/>
        </w:rPr>
        <w:t xml:space="preserve"> Duarte y Otros Vs. Uruguay. Resolución del Presidente de la Corte Interamericana de Derechos Humanos de 31 de enero de 2011</w:t>
      </w:r>
      <w:r w:rsidRPr="009504CB">
        <w:rPr>
          <w:szCs w:val="16"/>
        </w:rPr>
        <w:t xml:space="preserve">, Considerando 16, y </w:t>
      </w:r>
      <w:r w:rsidRPr="00E7202C">
        <w:rPr>
          <w:rStyle w:val="Textoennegrita"/>
          <w:b w:val="0"/>
          <w:i/>
          <w:color w:val="000000"/>
          <w:shd w:val="clear" w:color="auto" w:fill="FFFFFF"/>
        </w:rPr>
        <w:t>Caso Petro Urrego Vs. Colombia. Convocatoria a audiencia. Resolución del Presidente de la Corte Interamericana de Derechos Humanos de 12 de diciembre de 2019</w:t>
      </w:r>
      <w:r w:rsidRPr="00E7202C">
        <w:rPr>
          <w:rStyle w:val="Textoennegrita"/>
          <w:b w:val="0"/>
          <w:color w:val="000000"/>
          <w:shd w:val="clear" w:color="auto" w:fill="FFFFFF"/>
        </w:rPr>
        <w:t>.</w:t>
      </w:r>
      <w:r>
        <w:rPr>
          <w:rStyle w:val="Textoennegrita"/>
          <w:color w:val="000000"/>
          <w:shd w:val="clear" w:color="auto" w:fill="FFFFFF"/>
        </w:rPr>
        <w:t xml:space="preserve"> </w:t>
      </w:r>
      <w:r>
        <w:rPr>
          <w:szCs w:val="16"/>
        </w:rPr>
        <w:t>Considerando 31</w:t>
      </w:r>
      <w:r w:rsidRPr="009504CB">
        <w:rPr>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3C2"/>
    <w:multiLevelType w:val="hybridMultilevel"/>
    <w:tmpl w:val="89F620EA"/>
    <w:lvl w:ilvl="0" w:tplc="39A01D00">
      <w:start w:val="1"/>
      <w:numFmt w:val="decimal"/>
      <w:lvlText w:val="%1."/>
      <w:lvlJc w:val="left"/>
      <w:pPr>
        <w:ind w:left="360" w:hanging="360"/>
      </w:pPr>
      <w:rPr>
        <w:rFonts w:hint="default"/>
        <w:b w:val="0"/>
        <w:strike w:val="0"/>
        <w:lang w:val="es-CR"/>
      </w:rPr>
    </w:lvl>
    <w:lvl w:ilvl="1" w:tplc="04090019">
      <w:start w:val="1"/>
      <w:numFmt w:val="lowerLetter"/>
      <w:lvlText w:val="%2."/>
      <w:lvlJc w:val="left"/>
      <w:pPr>
        <w:ind w:left="1080" w:hanging="360"/>
      </w:pPr>
    </w:lvl>
    <w:lvl w:ilvl="2" w:tplc="052823A2">
      <w:start w:val="1"/>
      <w:numFmt w:val="lowerLetter"/>
      <w:lvlText w:val="%3."/>
      <w:lvlJc w:val="lef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867BD"/>
    <w:multiLevelType w:val="hybridMultilevel"/>
    <w:tmpl w:val="6A887508"/>
    <w:lvl w:ilvl="0" w:tplc="C76AEAF0">
      <w:start w:val="1"/>
      <w:numFmt w:val="decimal"/>
      <w:lvlText w:val="%1."/>
      <w:lvlJc w:val="left"/>
      <w:pPr>
        <w:ind w:left="360" w:hanging="360"/>
      </w:pPr>
      <w:rPr>
        <w:b w:val="0"/>
        <w:color w:val="000000"/>
      </w:rPr>
    </w:lvl>
    <w:lvl w:ilvl="1" w:tplc="3C308C40">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286C3432">
      <w:start w:val="1"/>
      <w:numFmt w:val="lowerLetter"/>
      <w:lvlText w:val="%7."/>
      <w:lvlJc w:val="left"/>
      <w:pPr>
        <w:ind w:left="4680" w:hanging="360"/>
      </w:pPr>
      <w:rPr>
        <w:rFonts w:ascii="Verdana" w:eastAsia="Calibri" w:hAnsi="Verdana" w:cs="Verdana"/>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534498"/>
    <w:multiLevelType w:val="hybridMultilevel"/>
    <w:tmpl w:val="226286B0"/>
    <w:lvl w:ilvl="0" w:tplc="7DA8FFC6">
      <w:start w:val="1"/>
      <w:numFmt w:val="decimal"/>
      <w:lvlText w:val="%1)"/>
      <w:lvlJc w:val="left"/>
      <w:pPr>
        <w:ind w:left="1080" w:hanging="360"/>
      </w:pPr>
      <w:rPr>
        <w:rFonts w:cs="Tahoma" w:hint="default"/>
        <w:i w:val="0"/>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3183B"/>
    <w:multiLevelType w:val="hybridMultilevel"/>
    <w:tmpl w:val="9216DE24"/>
    <w:lvl w:ilvl="0" w:tplc="96607EE2">
      <w:start w:val="1"/>
      <w:numFmt w:val="decimal"/>
      <w:lvlText w:val="%1."/>
      <w:lvlJc w:val="left"/>
      <w:pPr>
        <w:tabs>
          <w:tab w:val="num" w:pos="3870"/>
        </w:tabs>
      </w:pPr>
      <w:rPr>
        <w:rFonts w:ascii="Verdana" w:hAnsi="Verdana" w:cs="Times New Roman" w:hint="default"/>
        <w:b w:val="0"/>
        <w:i w:val="0"/>
        <w:color w:val="auto"/>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A5E4D08"/>
    <w:multiLevelType w:val="hybridMultilevel"/>
    <w:tmpl w:val="C4268BD4"/>
    <w:lvl w:ilvl="0" w:tplc="286C3432">
      <w:start w:val="1"/>
      <w:numFmt w:val="lowerLetter"/>
      <w:lvlText w:val="%1."/>
      <w:lvlJc w:val="left"/>
      <w:pPr>
        <w:ind w:left="4680" w:hanging="360"/>
      </w:pPr>
      <w:rPr>
        <w:rFonts w:ascii="Verdana" w:eastAsia="Calibr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7338C6"/>
    <w:multiLevelType w:val="hybridMultilevel"/>
    <w:tmpl w:val="ED627570"/>
    <w:lvl w:ilvl="0" w:tplc="7B7E1F4C">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6AD77B2"/>
    <w:multiLevelType w:val="hybridMultilevel"/>
    <w:tmpl w:val="DE503078"/>
    <w:lvl w:ilvl="0" w:tplc="10444476">
      <w:start w:val="1"/>
      <w:numFmt w:val="lowerRoman"/>
      <w:lvlText w:val="%1)"/>
      <w:lvlJc w:val="left"/>
      <w:pPr>
        <w:ind w:left="1080" w:hanging="720"/>
      </w:pPr>
      <w:rPr>
        <w:rFonts w:ascii="Verdana" w:hAnsi="Verdana" w:cs="Verdana"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DC7042"/>
    <w:multiLevelType w:val="hybridMultilevel"/>
    <w:tmpl w:val="4F2CBD70"/>
    <w:lvl w:ilvl="0" w:tplc="0C206A88">
      <w:start w:val="1"/>
      <w:numFmt w:val="decimal"/>
      <w:lvlText w:val="%1)"/>
      <w:lvlJc w:val="left"/>
      <w:pPr>
        <w:ind w:left="1080" w:hanging="360"/>
      </w:pPr>
      <w:rPr>
        <w:i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B924257"/>
    <w:multiLevelType w:val="hybridMultilevel"/>
    <w:tmpl w:val="5EC29794"/>
    <w:lvl w:ilvl="0" w:tplc="FB80F598">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E2CC7"/>
    <w:multiLevelType w:val="hybridMultilevel"/>
    <w:tmpl w:val="2D58DBEA"/>
    <w:lvl w:ilvl="0" w:tplc="823A4980">
      <w:start w:val="1"/>
      <w:numFmt w:val="lowerRoman"/>
      <w:lvlText w:val="%1)"/>
      <w:lvlJc w:val="left"/>
      <w:pPr>
        <w:ind w:left="1080" w:hanging="720"/>
      </w:pPr>
      <w:rPr>
        <w:rFonts w:ascii="Arial-BoldMT" w:eastAsia="Calibri" w:hAnsi="Arial-BoldMT" w:cs="Arial-BoldMT"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A38404A"/>
    <w:multiLevelType w:val="hybridMultilevel"/>
    <w:tmpl w:val="FABCC80C"/>
    <w:lvl w:ilvl="0" w:tplc="96607EE2">
      <w:start w:val="1"/>
      <w:numFmt w:val="decimal"/>
      <w:lvlText w:val="%1."/>
      <w:lvlJc w:val="left"/>
      <w:pPr>
        <w:tabs>
          <w:tab w:val="num" w:pos="387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D32A29"/>
    <w:multiLevelType w:val="hybridMultilevel"/>
    <w:tmpl w:val="DEA87896"/>
    <w:lvl w:ilvl="0" w:tplc="CCA8D22C">
      <w:start w:val="1"/>
      <w:numFmt w:val="lowerRoman"/>
      <w:lvlText w:val="%1)"/>
      <w:lvlJc w:val="left"/>
      <w:pPr>
        <w:ind w:left="1080" w:hanging="720"/>
      </w:pPr>
      <w:rPr>
        <w:rFonts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2004AD5"/>
    <w:multiLevelType w:val="hybridMultilevel"/>
    <w:tmpl w:val="01627CDC"/>
    <w:lvl w:ilvl="0" w:tplc="A3966368">
      <w:start w:val="1"/>
      <w:numFmt w:val="upperLetter"/>
      <w:lvlText w:val="%1."/>
      <w:lvlJc w:val="left"/>
      <w:pPr>
        <w:ind w:left="360" w:hanging="360"/>
      </w:pPr>
      <w:rPr>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6F435DD"/>
    <w:multiLevelType w:val="hybridMultilevel"/>
    <w:tmpl w:val="20023216"/>
    <w:lvl w:ilvl="0" w:tplc="54EAF6AE">
      <w:start w:val="1"/>
      <w:numFmt w:val="upperLetter"/>
      <w:lvlText w:val="%1)"/>
      <w:lvlJc w:val="left"/>
      <w:pPr>
        <w:ind w:left="915" w:hanging="360"/>
      </w:pPr>
      <w:rPr>
        <w:rFonts w:hint="default"/>
        <w:i/>
      </w:rPr>
    </w:lvl>
    <w:lvl w:ilvl="1" w:tplc="140A0019" w:tentative="1">
      <w:start w:val="1"/>
      <w:numFmt w:val="lowerLetter"/>
      <w:lvlText w:val="%2."/>
      <w:lvlJc w:val="left"/>
      <w:pPr>
        <w:ind w:left="1635" w:hanging="360"/>
      </w:pPr>
    </w:lvl>
    <w:lvl w:ilvl="2" w:tplc="140A001B" w:tentative="1">
      <w:start w:val="1"/>
      <w:numFmt w:val="lowerRoman"/>
      <w:lvlText w:val="%3."/>
      <w:lvlJc w:val="right"/>
      <w:pPr>
        <w:ind w:left="2355" w:hanging="180"/>
      </w:pPr>
    </w:lvl>
    <w:lvl w:ilvl="3" w:tplc="140A000F" w:tentative="1">
      <w:start w:val="1"/>
      <w:numFmt w:val="decimal"/>
      <w:lvlText w:val="%4."/>
      <w:lvlJc w:val="left"/>
      <w:pPr>
        <w:ind w:left="3075" w:hanging="360"/>
      </w:pPr>
    </w:lvl>
    <w:lvl w:ilvl="4" w:tplc="140A0019" w:tentative="1">
      <w:start w:val="1"/>
      <w:numFmt w:val="lowerLetter"/>
      <w:lvlText w:val="%5."/>
      <w:lvlJc w:val="left"/>
      <w:pPr>
        <w:ind w:left="3795" w:hanging="360"/>
      </w:pPr>
    </w:lvl>
    <w:lvl w:ilvl="5" w:tplc="140A001B" w:tentative="1">
      <w:start w:val="1"/>
      <w:numFmt w:val="lowerRoman"/>
      <w:lvlText w:val="%6."/>
      <w:lvlJc w:val="right"/>
      <w:pPr>
        <w:ind w:left="4515" w:hanging="180"/>
      </w:pPr>
    </w:lvl>
    <w:lvl w:ilvl="6" w:tplc="140A000F" w:tentative="1">
      <w:start w:val="1"/>
      <w:numFmt w:val="decimal"/>
      <w:lvlText w:val="%7."/>
      <w:lvlJc w:val="left"/>
      <w:pPr>
        <w:ind w:left="5235" w:hanging="360"/>
      </w:pPr>
    </w:lvl>
    <w:lvl w:ilvl="7" w:tplc="140A0019" w:tentative="1">
      <w:start w:val="1"/>
      <w:numFmt w:val="lowerLetter"/>
      <w:lvlText w:val="%8."/>
      <w:lvlJc w:val="left"/>
      <w:pPr>
        <w:ind w:left="5955" w:hanging="360"/>
      </w:pPr>
    </w:lvl>
    <w:lvl w:ilvl="8" w:tplc="140A001B" w:tentative="1">
      <w:start w:val="1"/>
      <w:numFmt w:val="lowerRoman"/>
      <w:lvlText w:val="%9."/>
      <w:lvlJc w:val="right"/>
      <w:pPr>
        <w:ind w:left="6675" w:hanging="180"/>
      </w:pPr>
    </w:lvl>
  </w:abstractNum>
  <w:abstractNum w:abstractNumId="15" w15:restartNumberingAfterBreak="0">
    <w:nsid w:val="4C2A2A7E"/>
    <w:multiLevelType w:val="hybridMultilevel"/>
    <w:tmpl w:val="0F8A998A"/>
    <w:lvl w:ilvl="0" w:tplc="FB047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5A6277"/>
    <w:multiLevelType w:val="hybridMultilevel"/>
    <w:tmpl w:val="677A3D52"/>
    <w:lvl w:ilvl="0" w:tplc="3C308C40">
      <w:start w:val="1"/>
      <w:numFmt w:val="lowerLetter"/>
      <w:lvlText w:val="%1."/>
      <w:lvlJc w:val="left"/>
      <w:pPr>
        <w:ind w:left="1080" w:hanging="360"/>
      </w:pPr>
      <w:rPr>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3761D39"/>
    <w:multiLevelType w:val="hybridMultilevel"/>
    <w:tmpl w:val="9584698E"/>
    <w:lvl w:ilvl="0" w:tplc="011CED58">
      <w:start w:val="4"/>
      <w:numFmt w:val="decimal"/>
      <w:lvlText w:val="%1."/>
      <w:lvlJc w:val="left"/>
      <w:pPr>
        <w:ind w:left="1069" w:hanging="360"/>
      </w:pPr>
      <w:rPr>
        <w:rFonts w:eastAsia="Times New Roman" w:cs="Verdana" w:hint="default"/>
        <w:i w:val="0"/>
      </w:r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8" w15:restartNumberingAfterBreak="0">
    <w:nsid w:val="59E43D69"/>
    <w:multiLevelType w:val="hybridMultilevel"/>
    <w:tmpl w:val="2DE0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F5232"/>
    <w:multiLevelType w:val="hybridMultilevel"/>
    <w:tmpl w:val="05A4B09A"/>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5D8806CF"/>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450"/>
        </w:tabs>
        <w:ind w:left="450" w:hanging="360"/>
      </w:pPr>
      <w:rPr>
        <w:i w:val="0"/>
      </w:rPr>
    </w:lvl>
    <w:lvl w:ilvl="4" w:tplc="54B4E548">
      <w:start w:val="1"/>
      <w:numFmt w:val="upperLetter"/>
      <w:lvlText w:val="%5)"/>
      <w:lvlJc w:val="left"/>
      <w:pPr>
        <w:ind w:left="3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5DD75065"/>
    <w:multiLevelType w:val="hybridMultilevel"/>
    <w:tmpl w:val="9A2ADA6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EA02C9"/>
    <w:multiLevelType w:val="hybridMultilevel"/>
    <w:tmpl w:val="DE503078"/>
    <w:lvl w:ilvl="0" w:tplc="10444476">
      <w:start w:val="1"/>
      <w:numFmt w:val="lowerRoman"/>
      <w:lvlText w:val="%1)"/>
      <w:lvlJc w:val="left"/>
      <w:pPr>
        <w:ind w:left="1080" w:hanging="720"/>
      </w:pPr>
      <w:rPr>
        <w:rFonts w:ascii="Verdana" w:hAnsi="Verdana" w:cs="Verdana"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0A44C77"/>
    <w:multiLevelType w:val="hybridMultilevel"/>
    <w:tmpl w:val="D48694C2"/>
    <w:lvl w:ilvl="0" w:tplc="B9404BD0">
      <w:start w:val="1"/>
      <w:numFmt w:val="lowerRoman"/>
      <w:lvlText w:val="%1)"/>
      <w:lvlJc w:val="left"/>
      <w:pPr>
        <w:ind w:left="1080" w:hanging="720"/>
      </w:pPr>
      <w:rPr>
        <w:rFonts w:ascii="Arial-BoldMT" w:hAnsi="Arial-BoldMT" w:cs="Arial-BoldMT"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5" w15:restartNumberingAfterBreak="0">
    <w:nsid w:val="62C97D24"/>
    <w:multiLevelType w:val="hybridMultilevel"/>
    <w:tmpl w:val="C038D29A"/>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6" w15:restartNumberingAfterBreak="0">
    <w:nsid w:val="66982649"/>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15:restartNumberingAfterBreak="0">
    <w:nsid w:val="6D8A0A31"/>
    <w:multiLevelType w:val="hybridMultilevel"/>
    <w:tmpl w:val="EC041CD8"/>
    <w:lvl w:ilvl="0" w:tplc="ED0459E8">
      <w:start w:val="1"/>
      <w:numFmt w:val="decimal"/>
      <w:pStyle w:val="Num"/>
      <w:lvlText w:val="%1."/>
      <w:lvlJc w:val="left"/>
      <w:pPr>
        <w:ind w:left="360" w:hanging="360"/>
      </w:pPr>
    </w:lvl>
    <w:lvl w:ilvl="1" w:tplc="323EEAAC" w:tentative="1">
      <w:start w:val="1"/>
      <w:numFmt w:val="lowerLetter"/>
      <w:lvlText w:val="%2."/>
      <w:lvlJc w:val="left"/>
      <w:pPr>
        <w:ind w:left="1530" w:hanging="360"/>
      </w:pPr>
    </w:lvl>
    <w:lvl w:ilvl="2" w:tplc="B96C1A40"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28" w15:restartNumberingAfterBreak="0">
    <w:nsid w:val="75FB7C72"/>
    <w:multiLevelType w:val="hybridMultilevel"/>
    <w:tmpl w:val="E00CEF96"/>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88854F4"/>
    <w:multiLevelType w:val="hybridMultilevel"/>
    <w:tmpl w:val="634A7FF2"/>
    <w:lvl w:ilvl="0" w:tplc="DCC2B44A">
      <w:start w:val="1"/>
      <w:numFmt w:val="decimal"/>
      <w:lvlText w:val="%1)"/>
      <w:lvlJc w:val="left"/>
      <w:pPr>
        <w:ind w:left="1080" w:hanging="360"/>
      </w:pPr>
      <w:rPr>
        <w:rFonts w:cs="Tahom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27"/>
    <w:lvlOverride w:ilvl="0">
      <w:startOverride w:val="1"/>
    </w:lvlOverride>
  </w:num>
  <w:num w:numId="4">
    <w:abstractNumId w:val="2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24"/>
  </w:num>
  <w:num w:numId="9">
    <w:abstractNumId w:val="26"/>
  </w:num>
  <w:num w:numId="10">
    <w:abstractNumId w:val="19"/>
  </w:num>
  <w:num w:numId="11">
    <w:abstractNumId w:val="7"/>
  </w:num>
  <w:num w:numId="12">
    <w:abstractNumId w:val="2"/>
  </w:num>
  <w:num w:numId="13">
    <w:abstractNumId w:val="8"/>
  </w:num>
  <w:num w:numId="14">
    <w:abstractNumId w:val="15"/>
  </w:num>
  <w:num w:numId="15">
    <w:abstractNumId w:val="22"/>
  </w:num>
  <w:num w:numId="16">
    <w:abstractNumId w:val="6"/>
  </w:num>
  <w:num w:numId="17">
    <w:abstractNumId w:val="12"/>
  </w:num>
  <w:num w:numId="18">
    <w:abstractNumId w:val="5"/>
  </w:num>
  <w:num w:numId="19">
    <w:abstractNumId w:val="23"/>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1"/>
  </w:num>
  <w:num w:numId="25">
    <w:abstractNumId w:val="0"/>
  </w:num>
  <w:num w:numId="26">
    <w:abstractNumId w:val="11"/>
  </w:num>
  <w:num w:numId="27">
    <w:abstractNumId w:val="4"/>
  </w:num>
  <w:num w:numId="28">
    <w:abstractNumId w:val="16"/>
  </w:num>
  <w:num w:numId="29">
    <w:abstractNumId w:val="3"/>
  </w:num>
  <w:num w:numId="30">
    <w:abstractNumId w:val="25"/>
  </w:num>
  <w:num w:numId="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1B"/>
    <w:rsid w:val="000003DA"/>
    <w:rsid w:val="000006FE"/>
    <w:rsid w:val="00000F6A"/>
    <w:rsid w:val="000010EC"/>
    <w:rsid w:val="00001D9C"/>
    <w:rsid w:val="0000555A"/>
    <w:rsid w:val="00005825"/>
    <w:rsid w:val="0001174B"/>
    <w:rsid w:val="00014C7B"/>
    <w:rsid w:val="000224AD"/>
    <w:rsid w:val="00023403"/>
    <w:rsid w:val="000264B7"/>
    <w:rsid w:val="00032555"/>
    <w:rsid w:val="000326C1"/>
    <w:rsid w:val="00032B01"/>
    <w:rsid w:val="000335E5"/>
    <w:rsid w:val="00036ACE"/>
    <w:rsid w:val="000402CA"/>
    <w:rsid w:val="000427FE"/>
    <w:rsid w:val="00046380"/>
    <w:rsid w:val="0004765D"/>
    <w:rsid w:val="000524D6"/>
    <w:rsid w:val="000527E2"/>
    <w:rsid w:val="00054303"/>
    <w:rsid w:val="000548B5"/>
    <w:rsid w:val="00062B44"/>
    <w:rsid w:val="00063CAE"/>
    <w:rsid w:val="000652E4"/>
    <w:rsid w:val="00066C02"/>
    <w:rsid w:val="00070FD3"/>
    <w:rsid w:val="00071382"/>
    <w:rsid w:val="00072F72"/>
    <w:rsid w:val="00077269"/>
    <w:rsid w:val="00077F9D"/>
    <w:rsid w:val="00081154"/>
    <w:rsid w:val="00084112"/>
    <w:rsid w:val="0008461F"/>
    <w:rsid w:val="000865C0"/>
    <w:rsid w:val="00086AD6"/>
    <w:rsid w:val="00090AA2"/>
    <w:rsid w:val="0009201F"/>
    <w:rsid w:val="000926B3"/>
    <w:rsid w:val="0009605F"/>
    <w:rsid w:val="00096B70"/>
    <w:rsid w:val="000A72F0"/>
    <w:rsid w:val="000B6781"/>
    <w:rsid w:val="000B749E"/>
    <w:rsid w:val="000C18C5"/>
    <w:rsid w:val="000C1B6B"/>
    <w:rsid w:val="000C1D8F"/>
    <w:rsid w:val="000C3722"/>
    <w:rsid w:val="000C5B28"/>
    <w:rsid w:val="000D0F38"/>
    <w:rsid w:val="000D14FD"/>
    <w:rsid w:val="000D1D57"/>
    <w:rsid w:val="000D32C4"/>
    <w:rsid w:val="000D4092"/>
    <w:rsid w:val="000E78BF"/>
    <w:rsid w:val="000E7FDC"/>
    <w:rsid w:val="000F38E5"/>
    <w:rsid w:val="000F62E6"/>
    <w:rsid w:val="000F7E74"/>
    <w:rsid w:val="00100FC4"/>
    <w:rsid w:val="001063FE"/>
    <w:rsid w:val="001114B6"/>
    <w:rsid w:val="001115C0"/>
    <w:rsid w:val="00112EAA"/>
    <w:rsid w:val="00115A2D"/>
    <w:rsid w:val="00116ED1"/>
    <w:rsid w:val="00123DA0"/>
    <w:rsid w:val="00123F65"/>
    <w:rsid w:val="00126AD6"/>
    <w:rsid w:val="00130C68"/>
    <w:rsid w:val="00132067"/>
    <w:rsid w:val="0013322E"/>
    <w:rsid w:val="00134E11"/>
    <w:rsid w:val="00135E8F"/>
    <w:rsid w:val="00142DF5"/>
    <w:rsid w:val="00142EEB"/>
    <w:rsid w:val="00145331"/>
    <w:rsid w:val="00156263"/>
    <w:rsid w:val="00156C2D"/>
    <w:rsid w:val="00157B89"/>
    <w:rsid w:val="001610CC"/>
    <w:rsid w:val="0016280A"/>
    <w:rsid w:val="001714E9"/>
    <w:rsid w:val="00172FA6"/>
    <w:rsid w:val="00173EBD"/>
    <w:rsid w:val="0018149C"/>
    <w:rsid w:val="001817F0"/>
    <w:rsid w:val="00181892"/>
    <w:rsid w:val="001833EE"/>
    <w:rsid w:val="00186516"/>
    <w:rsid w:val="0019154E"/>
    <w:rsid w:val="00191F9D"/>
    <w:rsid w:val="0019302A"/>
    <w:rsid w:val="00193B62"/>
    <w:rsid w:val="0019449C"/>
    <w:rsid w:val="00194FF8"/>
    <w:rsid w:val="0019549D"/>
    <w:rsid w:val="00196114"/>
    <w:rsid w:val="001974C3"/>
    <w:rsid w:val="001A5E39"/>
    <w:rsid w:val="001A7496"/>
    <w:rsid w:val="001B24D7"/>
    <w:rsid w:val="001B3F0F"/>
    <w:rsid w:val="001C71F3"/>
    <w:rsid w:val="001D09DB"/>
    <w:rsid w:val="001D14D4"/>
    <w:rsid w:val="001D18BD"/>
    <w:rsid w:val="001D303C"/>
    <w:rsid w:val="001D4B1C"/>
    <w:rsid w:val="001D6459"/>
    <w:rsid w:val="001E18AD"/>
    <w:rsid w:val="001E758E"/>
    <w:rsid w:val="001F2C37"/>
    <w:rsid w:val="001F7280"/>
    <w:rsid w:val="002000D6"/>
    <w:rsid w:val="00201C03"/>
    <w:rsid w:val="00202144"/>
    <w:rsid w:val="00202E0D"/>
    <w:rsid w:val="00206F30"/>
    <w:rsid w:val="00212A67"/>
    <w:rsid w:val="00213EAE"/>
    <w:rsid w:val="00214E0E"/>
    <w:rsid w:val="00220EC2"/>
    <w:rsid w:val="00231C11"/>
    <w:rsid w:val="00232DD3"/>
    <w:rsid w:val="00235002"/>
    <w:rsid w:val="00236AE0"/>
    <w:rsid w:val="00237AF4"/>
    <w:rsid w:val="00244E0A"/>
    <w:rsid w:val="002450E4"/>
    <w:rsid w:val="0024588D"/>
    <w:rsid w:val="0025008A"/>
    <w:rsid w:val="002529B4"/>
    <w:rsid w:val="002534B9"/>
    <w:rsid w:val="00253CE1"/>
    <w:rsid w:val="0025400B"/>
    <w:rsid w:val="00255AEA"/>
    <w:rsid w:val="00260A99"/>
    <w:rsid w:val="002615A8"/>
    <w:rsid w:val="00263473"/>
    <w:rsid w:val="00263A7A"/>
    <w:rsid w:val="00267F61"/>
    <w:rsid w:val="00273623"/>
    <w:rsid w:val="00277860"/>
    <w:rsid w:val="0028222F"/>
    <w:rsid w:val="002838E7"/>
    <w:rsid w:val="002841FF"/>
    <w:rsid w:val="00286BA4"/>
    <w:rsid w:val="0029012B"/>
    <w:rsid w:val="00290404"/>
    <w:rsid w:val="0029230B"/>
    <w:rsid w:val="002A0089"/>
    <w:rsid w:val="002A01AE"/>
    <w:rsid w:val="002A5276"/>
    <w:rsid w:val="002B01BB"/>
    <w:rsid w:val="002B184D"/>
    <w:rsid w:val="002B670F"/>
    <w:rsid w:val="002C02FC"/>
    <w:rsid w:val="002C1798"/>
    <w:rsid w:val="002C26A9"/>
    <w:rsid w:val="002C5817"/>
    <w:rsid w:val="002D30EC"/>
    <w:rsid w:val="002D3373"/>
    <w:rsid w:val="002D4852"/>
    <w:rsid w:val="002D600F"/>
    <w:rsid w:val="002D7E8D"/>
    <w:rsid w:val="002E22D4"/>
    <w:rsid w:val="002E2E5A"/>
    <w:rsid w:val="002E449E"/>
    <w:rsid w:val="002E530B"/>
    <w:rsid w:val="002E6DB6"/>
    <w:rsid w:val="002E7880"/>
    <w:rsid w:val="002F4040"/>
    <w:rsid w:val="0030019E"/>
    <w:rsid w:val="0030281E"/>
    <w:rsid w:val="00302D33"/>
    <w:rsid w:val="00303C9E"/>
    <w:rsid w:val="00306BD1"/>
    <w:rsid w:val="003122F4"/>
    <w:rsid w:val="00312A59"/>
    <w:rsid w:val="00312E07"/>
    <w:rsid w:val="00313E2B"/>
    <w:rsid w:val="00317E23"/>
    <w:rsid w:val="00321206"/>
    <w:rsid w:val="00321859"/>
    <w:rsid w:val="00331DD5"/>
    <w:rsid w:val="00333477"/>
    <w:rsid w:val="0033435E"/>
    <w:rsid w:val="00342CA5"/>
    <w:rsid w:val="00343498"/>
    <w:rsid w:val="00345EC1"/>
    <w:rsid w:val="00347AE4"/>
    <w:rsid w:val="00347B14"/>
    <w:rsid w:val="003503B4"/>
    <w:rsid w:val="00350E4D"/>
    <w:rsid w:val="00350E89"/>
    <w:rsid w:val="003515AF"/>
    <w:rsid w:val="00351D6A"/>
    <w:rsid w:val="00351DE7"/>
    <w:rsid w:val="0035204A"/>
    <w:rsid w:val="0035445E"/>
    <w:rsid w:val="00357AE1"/>
    <w:rsid w:val="00360843"/>
    <w:rsid w:val="003632C9"/>
    <w:rsid w:val="003637A9"/>
    <w:rsid w:val="003726D9"/>
    <w:rsid w:val="00376B2B"/>
    <w:rsid w:val="0037733C"/>
    <w:rsid w:val="00377ECF"/>
    <w:rsid w:val="003803DD"/>
    <w:rsid w:val="00382914"/>
    <w:rsid w:val="003831A2"/>
    <w:rsid w:val="00383F75"/>
    <w:rsid w:val="00387091"/>
    <w:rsid w:val="003907DE"/>
    <w:rsid w:val="00390C12"/>
    <w:rsid w:val="00392445"/>
    <w:rsid w:val="0039545F"/>
    <w:rsid w:val="003957BD"/>
    <w:rsid w:val="00397463"/>
    <w:rsid w:val="00397697"/>
    <w:rsid w:val="003A1C1B"/>
    <w:rsid w:val="003B3C50"/>
    <w:rsid w:val="003B4675"/>
    <w:rsid w:val="003B5506"/>
    <w:rsid w:val="003C0912"/>
    <w:rsid w:val="003C2012"/>
    <w:rsid w:val="003C3167"/>
    <w:rsid w:val="003D04E5"/>
    <w:rsid w:val="003D3E2C"/>
    <w:rsid w:val="003D6EA5"/>
    <w:rsid w:val="003E2E7E"/>
    <w:rsid w:val="003E4445"/>
    <w:rsid w:val="003F1B9E"/>
    <w:rsid w:val="003F6FFF"/>
    <w:rsid w:val="004005D5"/>
    <w:rsid w:val="00405B38"/>
    <w:rsid w:val="004069D9"/>
    <w:rsid w:val="00407E3B"/>
    <w:rsid w:val="00410F30"/>
    <w:rsid w:val="0041131E"/>
    <w:rsid w:val="00413FB0"/>
    <w:rsid w:val="0042561A"/>
    <w:rsid w:val="004301F3"/>
    <w:rsid w:val="00431A17"/>
    <w:rsid w:val="00431BCB"/>
    <w:rsid w:val="00432F14"/>
    <w:rsid w:val="0043334F"/>
    <w:rsid w:val="00435CF0"/>
    <w:rsid w:val="00437D62"/>
    <w:rsid w:val="00440840"/>
    <w:rsid w:val="00445290"/>
    <w:rsid w:val="00445FFB"/>
    <w:rsid w:val="00447F94"/>
    <w:rsid w:val="00451037"/>
    <w:rsid w:val="004609C8"/>
    <w:rsid w:val="00464C86"/>
    <w:rsid w:val="00466EB8"/>
    <w:rsid w:val="00470AA5"/>
    <w:rsid w:val="00475EA4"/>
    <w:rsid w:val="004801F2"/>
    <w:rsid w:val="0048398C"/>
    <w:rsid w:val="00484289"/>
    <w:rsid w:val="00484F1C"/>
    <w:rsid w:val="0048544D"/>
    <w:rsid w:val="00485DAF"/>
    <w:rsid w:val="0048615E"/>
    <w:rsid w:val="00486505"/>
    <w:rsid w:val="00486710"/>
    <w:rsid w:val="00490528"/>
    <w:rsid w:val="00496D2C"/>
    <w:rsid w:val="004A07D2"/>
    <w:rsid w:val="004A2139"/>
    <w:rsid w:val="004A2893"/>
    <w:rsid w:val="004A3ECB"/>
    <w:rsid w:val="004A5424"/>
    <w:rsid w:val="004B4611"/>
    <w:rsid w:val="004B52AF"/>
    <w:rsid w:val="004C3129"/>
    <w:rsid w:val="004C6AAD"/>
    <w:rsid w:val="004D24C9"/>
    <w:rsid w:val="004D25F4"/>
    <w:rsid w:val="004D76D0"/>
    <w:rsid w:val="004E2974"/>
    <w:rsid w:val="004E67F2"/>
    <w:rsid w:val="004F3422"/>
    <w:rsid w:val="004F3C91"/>
    <w:rsid w:val="004F5A1D"/>
    <w:rsid w:val="004F6211"/>
    <w:rsid w:val="00503C0A"/>
    <w:rsid w:val="005059F9"/>
    <w:rsid w:val="0051149F"/>
    <w:rsid w:val="005119FB"/>
    <w:rsid w:val="00514B84"/>
    <w:rsid w:val="005231E2"/>
    <w:rsid w:val="005251DA"/>
    <w:rsid w:val="00527240"/>
    <w:rsid w:val="00527A7B"/>
    <w:rsid w:val="0053020C"/>
    <w:rsid w:val="00530572"/>
    <w:rsid w:val="005306C0"/>
    <w:rsid w:val="00532AE6"/>
    <w:rsid w:val="00533E2C"/>
    <w:rsid w:val="0053701E"/>
    <w:rsid w:val="005410AE"/>
    <w:rsid w:val="00542752"/>
    <w:rsid w:val="005467B6"/>
    <w:rsid w:val="00550764"/>
    <w:rsid w:val="00554CB5"/>
    <w:rsid w:val="00555A8C"/>
    <w:rsid w:val="00563606"/>
    <w:rsid w:val="00563C7F"/>
    <w:rsid w:val="005652F5"/>
    <w:rsid w:val="00566E49"/>
    <w:rsid w:val="00573260"/>
    <w:rsid w:val="005735AE"/>
    <w:rsid w:val="005755F8"/>
    <w:rsid w:val="005779F4"/>
    <w:rsid w:val="00577C14"/>
    <w:rsid w:val="00584185"/>
    <w:rsid w:val="0059187C"/>
    <w:rsid w:val="00591DE1"/>
    <w:rsid w:val="00594A49"/>
    <w:rsid w:val="00594D7A"/>
    <w:rsid w:val="005978D6"/>
    <w:rsid w:val="005A680E"/>
    <w:rsid w:val="005B1002"/>
    <w:rsid w:val="005B2C76"/>
    <w:rsid w:val="005B2D69"/>
    <w:rsid w:val="005B441D"/>
    <w:rsid w:val="005B7C90"/>
    <w:rsid w:val="005C02FA"/>
    <w:rsid w:val="005C2194"/>
    <w:rsid w:val="005C3FA3"/>
    <w:rsid w:val="005C671B"/>
    <w:rsid w:val="005C6E58"/>
    <w:rsid w:val="005D01A8"/>
    <w:rsid w:val="005D14A0"/>
    <w:rsid w:val="005D1E07"/>
    <w:rsid w:val="005D3A5F"/>
    <w:rsid w:val="005D497E"/>
    <w:rsid w:val="005D57F9"/>
    <w:rsid w:val="005D72A9"/>
    <w:rsid w:val="005E5427"/>
    <w:rsid w:val="005E648A"/>
    <w:rsid w:val="005F0601"/>
    <w:rsid w:val="005F1F23"/>
    <w:rsid w:val="005F45F5"/>
    <w:rsid w:val="005F577E"/>
    <w:rsid w:val="00600CB3"/>
    <w:rsid w:val="006020F1"/>
    <w:rsid w:val="0060228F"/>
    <w:rsid w:val="00602A36"/>
    <w:rsid w:val="00606677"/>
    <w:rsid w:val="006076E7"/>
    <w:rsid w:val="00611F03"/>
    <w:rsid w:val="0061438D"/>
    <w:rsid w:val="0062065A"/>
    <w:rsid w:val="006221A2"/>
    <w:rsid w:val="00623480"/>
    <w:rsid w:val="0062421C"/>
    <w:rsid w:val="00626584"/>
    <w:rsid w:val="00626E62"/>
    <w:rsid w:val="00633E1E"/>
    <w:rsid w:val="0063543A"/>
    <w:rsid w:val="00637076"/>
    <w:rsid w:val="00637A7E"/>
    <w:rsid w:val="006409FB"/>
    <w:rsid w:val="00642320"/>
    <w:rsid w:val="0064274C"/>
    <w:rsid w:val="00642EED"/>
    <w:rsid w:val="00644344"/>
    <w:rsid w:val="00651D65"/>
    <w:rsid w:val="00655941"/>
    <w:rsid w:val="00657D87"/>
    <w:rsid w:val="006605B2"/>
    <w:rsid w:val="00665986"/>
    <w:rsid w:val="00665F9E"/>
    <w:rsid w:val="00666289"/>
    <w:rsid w:val="0067033A"/>
    <w:rsid w:val="0067119C"/>
    <w:rsid w:val="00673A02"/>
    <w:rsid w:val="0067793D"/>
    <w:rsid w:val="006814FA"/>
    <w:rsid w:val="00681E44"/>
    <w:rsid w:val="00686DEC"/>
    <w:rsid w:val="006957F7"/>
    <w:rsid w:val="006A0AFE"/>
    <w:rsid w:val="006A3162"/>
    <w:rsid w:val="006A3357"/>
    <w:rsid w:val="006A546E"/>
    <w:rsid w:val="006A5CBB"/>
    <w:rsid w:val="006B20A9"/>
    <w:rsid w:val="006B2214"/>
    <w:rsid w:val="006B4DEB"/>
    <w:rsid w:val="006B694D"/>
    <w:rsid w:val="006B7A07"/>
    <w:rsid w:val="006C14F3"/>
    <w:rsid w:val="006C15F5"/>
    <w:rsid w:val="006C2759"/>
    <w:rsid w:val="006C293F"/>
    <w:rsid w:val="006C53BE"/>
    <w:rsid w:val="006C7BB1"/>
    <w:rsid w:val="006D01E7"/>
    <w:rsid w:val="006D186E"/>
    <w:rsid w:val="006D25C9"/>
    <w:rsid w:val="006D44AD"/>
    <w:rsid w:val="006D6805"/>
    <w:rsid w:val="006E16F2"/>
    <w:rsid w:val="006E1B0A"/>
    <w:rsid w:val="006E2D01"/>
    <w:rsid w:val="006E3530"/>
    <w:rsid w:val="006E50F0"/>
    <w:rsid w:val="006E675B"/>
    <w:rsid w:val="006F05E4"/>
    <w:rsid w:val="006F61E5"/>
    <w:rsid w:val="0070241E"/>
    <w:rsid w:val="007032C2"/>
    <w:rsid w:val="00703C32"/>
    <w:rsid w:val="00705738"/>
    <w:rsid w:val="00706F3B"/>
    <w:rsid w:val="00707290"/>
    <w:rsid w:val="00711324"/>
    <w:rsid w:val="00711D53"/>
    <w:rsid w:val="00714E41"/>
    <w:rsid w:val="0072145B"/>
    <w:rsid w:val="00722AED"/>
    <w:rsid w:val="0072360F"/>
    <w:rsid w:val="00731581"/>
    <w:rsid w:val="00732E82"/>
    <w:rsid w:val="00736694"/>
    <w:rsid w:val="00737BDA"/>
    <w:rsid w:val="0074130E"/>
    <w:rsid w:val="00746101"/>
    <w:rsid w:val="00746C14"/>
    <w:rsid w:val="00747C60"/>
    <w:rsid w:val="007516E5"/>
    <w:rsid w:val="007523E6"/>
    <w:rsid w:val="00754231"/>
    <w:rsid w:val="007645A7"/>
    <w:rsid w:val="007648D2"/>
    <w:rsid w:val="00764ABC"/>
    <w:rsid w:val="007748C7"/>
    <w:rsid w:val="00781060"/>
    <w:rsid w:val="00781F08"/>
    <w:rsid w:val="007820C4"/>
    <w:rsid w:val="00783501"/>
    <w:rsid w:val="007842AB"/>
    <w:rsid w:val="00785B6E"/>
    <w:rsid w:val="00787CD9"/>
    <w:rsid w:val="0079168F"/>
    <w:rsid w:val="00793E0D"/>
    <w:rsid w:val="007948D1"/>
    <w:rsid w:val="007A084C"/>
    <w:rsid w:val="007A1A6E"/>
    <w:rsid w:val="007A1B29"/>
    <w:rsid w:val="007A1B5A"/>
    <w:rsid w:val="007A4371"/>
    <w:rsid w:val="007B0692"/>
    <w:rsid w:val="007B1E25"/>
    <w:rsid w:val="007B2229"/>
    <w:rsid w:val="007B4454"/>
    <w:rsid w:val="007B470A"/>
    <w:rsid w:val="007C3A41"/>
    <w:rsid w:val="007C57D3"/>
    <w:rsid w:val="007C78F1"/>
    <w:rsid w:val="007D666C"/>
    <w:rsid w:val="007D70EF"/>
    <w:rsid w:val="007E2235"/>
    <w:rsid w:val="007E5A26"/>
    <w:rsid w:val="007E6583"/>
    <w:rsid w:val="007E7EAA"/>
    <w:rsid w:val="007F140A"/>
    <w:rsid w:val="007F1ECC"/>
    <w:rsid w:val="007F243D"/>
    <w:rsid w:val="007F2DB7"/>
    <w:rsid w:val="007F4B58"/>
    <w:rsid w:val="007F6A2A"/>
    <w:rsid w:val="007F7554"/>
    <w:rsid w:val="0080085B"/>
    <w:rsid w:val="00801CD7"/>
    <w:rsid w:val="00802400"/>
    <w:rsid w:val="008024E5"/>
    <w:rsid w:val="00806BFA"/>
    <w:rsid w:val="00806E48"/>
    <w:rsid w:val="00810E30"/>
    <w:rsid w:val="00811039"/>
    <w:rsid w:val="00811691"/>
    <w:rsid w:val="008129D3"/>
    <w:rsid w:val="008132C9"/>
    <w:rsid w:val="00817D6C"/>
    <w:rsid w:val="008213DD"/>
    <w:rsid w:val="0082311D"/>
    <w:rsid w:val="0082433D"/>
    <w:rsid w:val="00824EA9"/>
    <w:rsid w:val="00825BD9"/>
    <w:rsid w:val="00825C1F"/>
    <w:rsid w:val="008271FD"/>
    <w:rsid w:val="0082765C"/>
    <w:rsid w:val="008343F5"/>
    <w:rsid w:val="008465B2"/>
    <w:rsid w:val="00846A11"/>
    <w:rsid w:val="00846BB1"/>
    <w:rsid w:val="008510F0"/>
    <w:rsid w:val="00852038"/>
    <w:rsid w:val="00854DE1"/>
    <w:rsid w:val="00855A5D"/>
    <w:rsid w:val="0086146C"/>
    <w:rsid w:val="008627AF"/>
    <w:rsid w:val="00863E5E"/>
    <w:rsid w:val="00863F36"/>
    <w:rsid w:val="008669C0"/>
    <w:rsid w:val="00867796"/>
    <w:rsid w:val="0087310F"/>
    <w:rsid w:val="00877384"/>
    <w:rsid w:val="0088456E"/>
    <w:rsid w:val="0088555C"/>
    <w:rsid w:val="0089529E"/>
    <w:rsid w:val="00895489"/>
    <w:rsid w:val="00895D82"/>
    <w:rsid w:val="00896E57"/>
    <w:rsid w:val="00896EBA"/>
    <w:rsid w:val="0089703A"/>
    <w:rsid w:val="008A0F55"/>
    <w:rsid w:val="008A21DC"/>
    <w:rsid w:val="008B1502"/>
    <w:rsid w:val="008B1854"/>
    <w:rsid w:val="008B2F98"/>
    <w:rsid w:val="008B7A3E"/>
    <w:rsid w:val="008C7B8B"/>
    <w:rsid w:val="008D0B2A"/>
    <w:rsid w:val="008D30F5"/>
    <w:rsid w:val="008E2AC1"/>
    <w:rsid w:val="008E31EE"/>
    <w:rsid w:val="008E7156"/>
    <w:rsid w:val="008F2855"/>
    <w:rsid w:val="008F51C5"/>
    <w:rsid w:val="00900FDD"/>
    <w:rsid w:val="0090127D"/>
    <w:rsid w:val="0090565F"/>
    <w:rsid w:val="0091098F"/>
    <w:rsid w:val="00924194"/>
    <w:rsid w:val="009256D2"/>
    <w:rsid w:val="009262E7"/>
    <w:rsid w:val="00926694"/>
    <w:rsid w:val="0093091F"/>
    <w:rsid w:val="0093160F"/>
    <w:rsid w:val="00937948"/>
    <w:rsid w:val="00941A6D"/>
    <w:rsid w:val="00941D29"/>
    <w:rsid w:val="009421EF"/>
    <w:rsid w:val="00944FB4"/>
    <w:rsid w:val="00946A98"/>
    <w:rsid w:val="00947109"/>
    <w:rsid w:val="00947DBC"/>
    <w:rsid w:val="009550F2"/>
    <w:rsid w:val="009577A8"/>
    <w:rsid w:val="00961EDB"/>
    <w:rsid w:val="00971011"/>
    <w:rsid w:val="00972814"/>
    <w:rsid w:val="00975CE0"/>
    <w:rsid w:val="00982810"/>
    <w:rsid w:val="00982C3A"/>
    <w:rsid w:val="009839B4"/>
    <w:rsid w:val="00987B5A"/>
    <w:rsid w:val="00987EAD"/>
    <w:rsid w:val="00994909"/>
    <w:rsid w:val="009A0E92"/>
    <w:rsid w:val="009A10A2"/>
    <w:rsid w:val="009A33FC"/>
    <w:rsid w:val="009A40F7"/>
    <w:rsid w:val="009A45C4"/>
    <w:rsid w:val="009A5EA7"/>
    <w:rsid w:val="009A6342"/>
    <w:rsid w:val="009A651C"/>
    <w:rsid w:val="009B04F3"/>
    <w:rsid w:val="009B2E62"/>
    <w:rsid w:val="009B2EF4"/>
    <w:rsid w:val="009B5948"/>
    <w:rsid w:val="009C4E15"/>
    <w:rsid w:val="009C6D0A"/>
    <w:rsid w:val="009D3F7C"/>
    <w:rsid w:val="009D4E68"/>
    <w:rsid w:val="009D6C4F"/>
    <w:rsid w:val="009D7A49"/>
    <w:rsid w:val="009E25DE"/>
    <w:rsid w:val="009E3008"/>
    <w:rsid w:val="009F258B"/>
    <w:rsid w:val="009F3327"/>
    <w:rsid w:val="00A008B7"/>
    <w:rsid w:val="00A0306E"/>
    <w:rsid w:val="00A04DAC"/>
    <w:rsid w:val="00A04F40"/>
    <w:rsid w:val="00A05548"/>
    <w:rsid w:val="00A12832"/>
    <w:rsid w:val="00A12CCC"/>
    <w:rsid w:val="00A12DED"/>
    <w:rsid w:val="00A1364F"/>
    <w:rsid w:val="00A13F71"/>
    <w:rsid w:val="00A159C4"/>
    <w:rsid w:val="00A15AB0"/>
    <w:rsid w:val="00A17CE7"/>
    <w:rsid w:val="00A17E84"/>
    <w:rsid w:val="00A208F9"/>
    <w:rsid w:val="00A22A92"/>
    <w:rsid w:val="00A22E0E"/>
    <w:rsid w:val="00A23A5A"/>
    <w:rsid w:val="00A23B6F"/>
    <w:rsid w:val="00A27F16"/>
    <w:rsid w:val="00A27F83"/>
    <w:rsid w:val="00A308B4"/>
    <w:rsid w:val="00A33C99"/>
    <w:rsid w:val="00A37638"/>
    <w:rsid w:val="00A37B15"/>
    <w:rsid w:val="00A41E8A"/>
    <w:rsid w:val="00A42367"/>
    <w:rsid w:val="00A42BB3"/>
    <w:rsid w:val="00A431AA"/>
    <w:rsid w:val="00A47F17"/>
    <w:rsid w:val="00A51579"/>
    <w:rsid w:val="00A52FBC"/>
    <w:rsid w:val="00A532A9"/>
    <w:rsid w:val="00A53F2A"/>
    <w:rsid w:val="00A551BE"/>
    <w:rsid w:val="00A567DE"/>
    <w:rsid w:val="00A6069B"/>
    <w:rsid w:val="00A619D8"/>
    <w:rsid w:val="00A6299B"/>
    <w:rsid w:val="00A63B8A"/>
    <w:rsid w:val="00A67689"/>
    <w:rsid w:val="00A7141C"/>
    <w:rsid w:val="00A72358"/>
    <w:rsid w:val="00A7646C"/>
    <w:rsid w:val="00A7756C"/>
    <w:rsid w:val="00A809B9"/>
    <w:rsid w:val="00A81A67"/>
    <w:rsid w:val="00A8659C"/>
    <w:rsid w:val="00A9080E"/>
    <w:rsid w:val="00A94946"/>
    <w:rsid w:val="00A94F74"/>
    <w:rsid w:val="00AA3694"/>
    <w:rsid w:val="00AA4666"/>
    <w:rsid w:val="00AB0A1F"/>
    <w:rsid w:val="00AB0BFD"/>
    <w:rsid w:val="00AB1FE2"/>
    <w:rsid w:val="00AB3D6F"/>
    <w:rsid w:val="00AB4239"/>
    <w:rsid w:val="00AB4550"/>
    <w:rsid w:val="00AB5223"/>
    <w:rsid w:val="00AB729D"/>
    <w:rsid w:val="00AC352D"/>
    <w:rsid w:val="00AC4F8C"/>
    <w:rsid w:val="00AC7D21"/>
    <w:rsid w:val="00AD1418"/>
    <w:rsid w:val="00AD580A"/>
    <w:rsid w:val="00AD705E"/>
    <w:rsid w:val="00AD732C"/>
    <w:rsid w:val="00AE106D"/>
    <w:rsid w:val="00AE2199"/>
    <w:rsid w:val="00AE30E2"/>
    <w:rsid w:val="00AE31D4"/>
    <w:rsid w:val="00AE6630"/>
    <w:rsid w:val="00B00C5A"/>
    <w:rsid w:val="00B03605"/>
    <w:rsid w:val="00B11378"/>
    <w:rsid w:val="00B13A95"/>
    <w:rsid w:val="00B1490A"/>
    <w:rsid w:val="00B160F1"/>
    <w:rsid w:val="00B17808"/>
    <w:rsid w:val="00B22E8E"/>
    <w:rsid w:val="00B2399C"/>
    <w:rsid w:val="00B2740C"/>
    <w:rsid w:val="00B310F4"/>
    <w:rsid w:val="00B32462"/>
    <w:rsid w:val="00B37222"/>
    <w:rsid w:val="00B40769"/>
    <w:rsid w:val="00B41156"/>
    <w:rsid w:val="00B41CA2"/>
    <w:rsid w:val="00B454DA"/>
    <w:rsid w:val="00B47A42"/>
    <w:rsid w:val="00B50456"/>
    <w:rsid w:val="00B53384"/>
    <w:rsid w:val="00B55A9D"/>
    <w:rsid w:val="00B55B1F"/>
    <w:rsid w:val="00B56721"/>
    <w:rsid w:val="00B56BFD"/>
    <w:rsid w:val="00B60F5A"/>
    <w:rsid w:val="00B61431"/>
    <w:rsid w:val="00B67F96"/>
    <w:rsid w:val="00B718C9"/>
    <w:rsid w:val="00B771C9"/>
    <w:rsid w:val="00B82146"/>
    <w:rsid w:val="00B830B3"/>
    <w:rsid w:val="00B837E9"/>
    <w:rsid w:val="00B84811"/>
    <w:rsid w:val="00B86D21"/>
    <w:rsid w:val="00B8722A"/>
    <w:rsid w:val="00B917FA"/>
    <w:rsid w:val="00B92A9C"/>
    <w:rsid w:val="00BA0A94"/>
    <w:rsid w:val="00BA10C6"/>
    <w:rsid w:val="00BA1115"/>
    <w:rsid w:val="00BA2E6D"/>
    <w:rsid w:val="00BA477F"/>
    <w:rsid w:val="00BC0DD6"/>
    <w:rsid w:val="00BC0FE9"/>
    <w:rsid w:val="00BC239C"/>
    <w:rsid w:val="00BC28B4"/>
    <w:rsid w:val="00BC2C91"/>
    <w:rsid w:val="00BC4AAB"/>
    <w:rsid w:val="00BD22C0"/>
    <w:rsid w:val="00BE0DFB"/>
    <w:rsid w:val="00BE2758"/>
    <w:rsid w:val="00BE478D"/>
    <w:rsid w:val="00BE56CA"/>
    <w:rsid w:val="00BE5939"/>
    <w:rsid w:val="00BF1994"/>
    <w:rsid w:val="00BF2D68"/>
    <w:rsid w:val="00BF3A99"/>
    <w:rsid w:val="00BF3EB7"/>
    <w:rsid w:val="00BF4FBD"/>
    <w:rsid w:val="00BF6F72"/>
    <w:rsid w:val="00C00D7A"/>
    <w:rsid w:val="00C05770"/>
    <w:rsid w:val="00C1243A"/>
    <w:rsid w:val="00C150E8"/>
    <w:rsid w:val="00C15751"/>
    <w:rsid w:val="00C22E95"/>
    <w:rsid w:val="00C23ED6"/>
    <w:rsid w:val="00C262AD"/>
    <w:rsid w:val="00C30DBC"/>
    <w:rsid w:val="00C3409E"/>
    <w:rsid w:val="00C37151"/>
    <w:rsid w:val="00C3774E"/>
    <w:rsid w:val="00C41BA5"/>
    <w:rsid w:val="00C43331"/>
    <w:rsid w:val="00C47CCA"/>
    <w:rsid w:val="00C52613"/>
    <w:rsid w:val="00C561AE"/>
    <w:rsid w:val="00C56B05"/>
    <w:rsid w:val="00C572F8"/>
    <w:rsid w:val="00C617B3"/>
    <w:rsid w:val="00C63DA9"/>
    <w:rsid w:val="00C641D0"/>
    <w:rsid w:val="00C64A37"/>
    <w:rsid w:val="00C82EF1"/>
    <w:rsid w:val="00C83CF2"/>
    <w:rsid w:val="00C84941"/>
    <w:rsid w:val="00C868F8"/>
    <w:rsid w:val="00C8715F"/>
    <w:rsid w:val="00C92471"/>
    <w:rsid w:val="00C93DB3"/>
    <w:rsid w:val="00C96C66"/>
    <w:rsid w:val="00CA3653"/>
    <w:rsid w:val="00CA3EF3"/>
    <w:rsid w:val="00CA7934"/>
    <w:rsid w:val="00CB2560"/>
    <w:rsid w:val="00CB2647"/>
    <w:rsid w:val="00CB6DDD"/>
    <w:rsid w:val="00CC14AA"/>
    <w:rsid w:val="00CC2EB0"/>
    <w:rsid w:val="00CC34C7"/>
    <w:rsid w:val="00CC49A0"/>
    <w:rsid w:val="00CC54CC"/>
    <w:rsid w:val="00CD2DD8"/>
    <w:rsid w:val="00CE05D9"/>
    <w:rsid w:val="00CE140B"/>
    <w:rsid w:val="00CE3144"/>
    <w:rsid w:val="00CE35F2"/>
    <w:rsid w:val="00CE4922"/>
    <w:rsid w:val="00CE4D0C"/>
    <w:rsid w:val="00CF0982"/>
    <w:rsid w:val="00D018F0"/>
    <w:rsid w:val="00D05478"/>
    <w:rsid w:val="00D06366"/>
    <w:rsid w:val="00D107B2"/>
    <w:rsid w:val="00D1178C"/>
    <w:rsid w:val="00D14325"/>
    <w:rsid w:val="00D148F6"/>
    <w:rsid w:val="00D15404"/>
    <w:rsid w:val="00D15AE5"/>
    <w:rsid w:val="00D22F25"/>
    <w:rsid w:val="00D30941"/>
    <w:rsid w:val="00D34D53"/>
    <w:rsid w:val="00D36CA5"/>
    <w:rsid w:val="00D40873"/>
    <w:rsid w:val="00D41461"/>
    <w:rsid w:val="00D5100C"/>
    <w:rsid w:val="00D56996"/>
    <w:rsid w:val="00D706C5"/>
    <w:rsid w:val="00D716B9"/>
    <w:rsid w:val="00D725E3"/>
    <w:rsid w:val="00D757FF"/>
    <w:rsid w:val="00D76C0C"/>
    <w:rsid w:val="00D8550D"/>
    <w:rsid w:val="00D86F1D"/>
    <w:rsid w:val="00D910A8"/>
    <w:rsid w:val="00D9202D"/>
    <w:rsid w:val="00D92691"/>
    <w:rsid w:val="00D93159"/>
    <w:rsid w:val="00D95186"/>
    <w:rsid w:val="00DA05EC"/>
    <w:rsid w:val="00DA17EB"/>
    <w:rsid w:val="00DA57F4"/>
    <w:rsid w:val="00DA7351"/>
    <w:rsid w:val="00DA7818"/>
    <w:rsid w:val="00DB1A1A"/>
    <w:rsid w:val="00DB3937"/>
    <w:rsid w:val="00DB5488"/>
    <w:rsid w:val="00DB68AA"/>
    <w:rsid w:val="00DB7A4F"/>
    <w:rsid w:val="00DB7ACB"/>
    <w:rsid w:val="00DC0D8D"/>
    <w:rsid w:val="00DC164A"/>
    <w:rsid w:val="00DC1A6D"/>
    <w:rsid w:val="00DD161B"/>
    <w:rsid w:val="00DD3A47"/>
    <w:rsid w:val="00DD57DD"/>
    <w:rsid w:val="00DD628B"/>
    <w:rsid w:val="00DD687E"/>
    <w:rsid w:val="00DE2C14"/>
    <w:rsid w:val="00DE486A"/>
    <w:rsid w:val="00DE56DE"/>
    <w:rsid w:val="00DE6525"/>
    <w:rsid w:val="00DF1F4B"/>
    <w:rsid w:val="00E00E51"/>
    <w:rsid w:val="00E066F7"/>
    <w:rsid w:val="00E17107"/>
    <w:rsid w:val="00E20F60"/>
    <w:rsid w:val="00E21AB3"/>
    <w:rsid w:val="00E22DFD"/>
    <w:rsid w:val="00E23F37"/>
    <w:rsid w:val="00E25D87"/>
    <w:rsid w:val="00E27ABB"/>
    <w:rsid w:val="00E32DCA"/>
    <w:rsid w:val="00E33CC7"/>
    <w:rsid w:val="00E400BD"/>
    <w:rsid w:val="00E40234"/>
    <w:rsid w:val="00E40C34"/>
    <w:rsid w:val="00E41BBD"/>
    <w:rsid w:val="00E4730E"/>
    <w:rsid w:val="00E47CDE"/>
    <w:rsid w:val="00E47D4A"/>
    <w:rsid w:val="00E550DC"/>
    <w:rsid w:val="00E55942"/>
    <w:rsid w:val="00E55DBE"/>
    <w:rsid w:val="00E56C59"/>
    <w:rsid w:val="00E64BB3"/>
    <w:rsid w:val="00E679FE"/>
    <w:rsid w:val="00E67F60"/>
    <w:rsid w:val="00E7202C"/>
    <w:rsid w:val="00E755F1"/>
    <w:rsid w:val="00E86D92"/>
    <w:rsid w:val="00E917B0"/>
    <w:rsid w:val="00E92A09"/>
    <w:rsid w:val="00E938E2"/>
    <w:rsid w:val="00E9715B"/>
    <w:rsid w:val="00EA2ED2"/>
    <w:rsid w:val="00EB2DC9"/>
    <w:rsid w:val="00EB4FF5"/>
    <w:rsid w:val="00EB5FB9"/>
    <w:rsid w:val="00EB7F4C"/>
    <w:rsid w:val="00EC417C"/>
    <w:rsid w:val="00EC6936"/>
    <w:rsid w:val="00ED0D35"/>
    <w:rsid w:val="00ED1FBA"/>
    <w:rsid w:val="00ED4096"/>
    <w:rsid w:val="00ED4574"/>
    <w:rsid w:val="00EE078A"/>
    <w:rsid w:val="00EE59A3"/>
    <w:rsid w:val="00EF1437"/>
    <w:rsid w:val="00EF23A3"/>
    <w:rsid w:val="00EF2925"/>
    <w:rsid w:val="00EF4359"/>
    <w:rsid w:val="00EF53B0"/>
    <w:rsid w:val="00EF7891"/>
    <w:rsid w:val="00F02B6B"/>
    <w:rsid w:val="00F0324E"/>
    <w:rsid w:val="00F04FC1"/>
    <w:rsid w:val="00F05FC8"/>
    <w:rsid w:val="00F07B1A"/>
    <w:rsid w:val="00F12F7F"/>
    <w:rsid w:val="00F15146"/>
    <w:rsid w:val="00F2661F"/>
    <w:rsid w:val="00F348E2"/>
    <w:rsid w:val="00F36BA3"/>
    <w:rsid w:val="00F42A22"/>
    <w:rsid w:val="00F44FD7"/>
    <w:rsid w:val="00F465D7"/>
    <w:rsid w:val="00F50398"/>
    <w:rsid w:val="00F5278D"/>
    <w:rsid w:val="00F56666"/>
    <w:rsid w:val="00F61DA7"/>
    <w:rsid w:val="00F62EDE"/>
    <w:rsid w:val="00F63922"/>
    <w:rsid w:val="00F65EA7"/>
    <w:rsid w:val="00F66042"/>
    <w:rsid w:val="00F714B4"/>
    <w:rsid w:val="00F74732"/>
    <w:rsid w:val="00F7570B"/>
    <w:rsid w:val="00F84781"/>
    <w:rsid w:val="00F84B72"/>
    <w:rsid w:val="00F87BD7"/>
    <w:rsid w:val="00F87CDD"/>
    <w:rsid w:val="00F9177D"/>
    <w:rsid w:val="00F9246A"/>
    <w:rsid w:val="00F9564B"/>
    <w:rsid w:val="00FA70A5"/>
    <w:rsid w:val="00FB0206"/>
    <w:rsid w:val="00FB0A8A"/>
    <w:rsid w:val="00FB1AD3"/>
    <w:rsid w:val="00FB3CA3"/>
    <w:rsid w:val="00FB76FF"/>
    <w:rsid w:val="00FC0D1E"/>
    <w:rsid w:val="00FC284A"/>
    <w:rsid w:val="00FC2B4F"/>
    <w:rsid w:val="00FC3E75"/>
    <w:rsid w:val="00FC5A82"/>
    <w:rsid w:val="00FC71D9"/>
    <w:rsid w:val="00FC763D"/>
    <w:rsid w:val="00FC7A43"/>
    <w:rsid w:val="00FD0943"/>
    <w:rsid w:val="00FD3A78"/>
    <w:rsid w:val="00FD61AE"/>
    <w:rsid w:val="00FE21FD"/>
    <w:rsid w:val="00FE242E"/>
    <w:rsid w:val="00FE4BC5"/>
    <w:rsid w:val="00FE7DB1"/>
    <w:rsid w:val="00FE7E0A"/>
    <w:rsid w:val="00FF109F"/>
    <w:rsid w:val="00FF157A"/>
    <w:rsid w:val="00FF3AE9"/>
    <w:rsid w:val="00FF3EC8"/>
    <w:rsid w:val="00FF58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2F98"/>
  <w15:docId w15:val="{6E46632E-47BF-4CE6-9DED-08F06307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1B"/>
    <w:pPr>
      <w:spacing w:after="120"/>
      <w:jc w:val="both"/>
    </w:pPr>
    <w:rPr>
      <w:rFonts w:ascii="Verdana" w:hAnsi="Verdana" w:cs="Times"/>
      <w:szCs w:val="24"/>
      <w:lang w:val="es-ES_tradnl" w:eastAsia="es-ES"/>
    </w:rPr>
  </w:style>
  <w:style w:type="paragraph" w:styleId="Ttulo1">
    <w:name w:val="heading 1"/>
    <w:basedOn w:val="Normal"/>
    <w:next w:val="Normal"/>
    <w:link w:val="Ttulo1Car"/>
    <w:uiPriority w:val="9"/>
    <w:qFormat/>
    <w:rsid w:val="00437D62"/>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59593A"/>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qFormat/>
    <w:rsid w:val="0059593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TextonotapieCar1"/>
    <w:autoRedefine/>
    <w:qFormat/>
    <w:rsid w:val="006D25C9"/>
    <w:pPr>
      <w:spacing w:after="200"/>
    </w:pPr>
    <w:rPr>
      <w:rFonts w:cs="Times New Roman"/>
      <w:sz w:val="16"/>
      <w:szCs w:val="20"/>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notentext Car"/>
    <w:link w:val="Textonotapie"/>
    <w:qFormat/>
    <w:rsid w:val="006D25C9"/>
    <w:rPr>
      <w:rFonts w:ascii="Verdana" w:hAnsi="Verdana"/>
      <w:sz w:val="16"/>
      <w:lang w:val="es-ES_tradnl"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DD161B"/>
    <w:rPr>
      <w:vertAlign w:val="superscript"/>
    </w:rPr>
  </w:style>
  <w:style w:type="paragraph" w:customStyle="1" w:styleId="Default">
    <w:name w:val="Default"/>
    <w:rsid w:val="00DD161B"/>
    <w:pPr>
      <w:autoSpaceDE w:val="0"/>
      <w:autoSpaceDN w:val="0"/>
      <w:adjustRightInd w:val="0"/>
    </w:pPr>
    <w:rPr>
      <w:rFonts w:ascii="Verdana" w:eastAsia="Times New Roman" w:hAnsi="Verdana" w:cs="Verdana"/>
      <w:color w:val="000000"/>
      <w:sz w:val="24"/>
      <w:szCs w:val="24"/>
      <w:lang w:val="en-US" w:eastAsia="en-US"/>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Encabezado">
    <w:name w:val="header"/>
    <w:basedOn w:val="Normal"/>
    <w:link w:val="EncabezadoCar"/>
    <w:uiPriority w:val="99"/>
    <w:rsid w:val="00DD161B"/>
    <w:pPr>
      <w:tabs>
        <w:tab w:val="center" w:pos="4680"/>
        <w:tab w:val="right" w:pos="9360"/>
      </w:tabs>
    </w:pPr>
    <w:rPr>
      <w:rFonts w:cs="Times New Roman"/>
    </w:rPr>
  </w:style>
  <w:style w:type="character" w:customStyle="1" w:styleId="EncabezadoCar">
    <w:name w:val="Encabezado Car"/>
    <w:link w:val="Encabezado"/>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3"/>
      </w:numPr>
      <w:spacing w:before="120"/>
      <w:ind w:right="14"/>
    </w:pPr>
    <w:rPr>
      <w:rFonts w:eastAsia="Times New Roman" w:cs="ArialMT"/>
      <w:szCs w:val="20"/>
      <w:lang w:eastAsia="x-none" w:bidi="en-US"/>
    </w:rPr>
  </w:style>
  <w:style w:type="character" w:customStyle="1" w:styleId="NumChar">
    <w:name w:val="Num Char"/>
    <w:link w:val="Num"/>
    <w:rsid w:val="00DD161B"/>
    <w:rPr>
      <w:rFonts w:ascii="Verdana" w:eastAsia="Times New Roman" w:hAnsi="Verdana" w:cs="ArialMT"/>
      <w:lang w:val="es-ES_tradnl" w:eastAsia="x-none" w:bidi="en-US"/>
    </w:rPr>
  </w:style>
  <w:style w:type="paragraph" w:customStyle="1" w:styleId="Listavistosa-nfasis11">
    <w:name w:val="Lista vistosa - Énfasis 11"/>
    <w:basedOn w:val="Normal"/>
    <w:uiPriority w:val="99"/>
    <w:qFormat/>
    <w:rsid w:val="00172868"/>
    <w:pPr>
      <w:numPr>
        <w:ilvl w:val="1"/>
        <w:numId w:val="8"/>
      </w:numPr>
      <w:contextualSpacing/>
    </w:pPr>
  </w:style>
  <w:style w:type="paragraph" w:styleId="Textosinformato">
    <w:name w:val="Plain Text"/>
    <w:basedOn w:val="Normal"/>
    <w:link w:val="TextosinformatoCar"/>
    <w:uiPriority w:val="99"/>
    <w:semiHidden/>
    <w:unhideWhenUsed/>
    <w:rsid w:val="00AA36D2"/>
    <w:pPr>
      <w:spacing w:after="0"/>
      <w:jc w:val="left"/>
    </w:pPr>
    <w:rPr>
      <w:rFonts w:ascii="Consolas" w:hAnsi="Consolas" w:cs="Times New Roman"/>
      <w:sz w:val="21"/>
      <w:szCs w:val="21"/>
      <w:lang w:val="es-CR" w:eastAsia="x-none"/>
    </w:rPr>
  </w:style>
  <w:style w:type="character" w:customStyle="1" w:styleId="TextosinformatoCar">
    <w:name w:val="Texto sin formato Car"/>
    <w:link w:val="Textosinformato"/>
    <w:uiPriority w:val="99"/>
    <w:semiHidden/>
    <w:rsid w:val="00AA36D2"/>
    <w:rPr>
      <w:rFonts w:ascii="Consolas" w:hAnsi="Consolas"/>
      <w:sz w:val="21"/>
      <w:szCs w:val="21"/>
      <w:lang w:val="es-CR"/>
    </w:rPr>
  </w:style>
  <w:style w:type="paragraph" w:styleId="Textoindependiente2">
    <w:name w:val="Body Text 2"/>
    <w:basedOn w:val="Normal"/>
    <w:link w:val="Textoindependiente2C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x-none"/>
    </w:rPr>
  </w:style>
  <w:style w:type="character" w:customStyle="1" w:styleId="Textoindependiente2Car">
    <w:name w:val="Texto independiente 2 Car"/>
    <w:link w:val="Textoindependiente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Piedepgina">
    <w:name w:val="footer"/>
    <w:basedOn w:val="Normal"/>
    <w:link w:val="PiedepginaCar"/>
    <w:uiPriority w:val="99"/>
    <w:unhideWhenUsed/>
    <w:rsid w:val="00A97E70"/>
    <w:pPr>
      <w:tabs>
        <w:tab w:val="center" w:pos="4680"/>
        <w:tab w:val="right" w:pos="9360"/>
      </w:tabs>
      <w:spacing w:after="0"/>
    </w:pPr>
    <w:rPr>
      <w:rFonts w:cs="Times New Roman"/>
    </w:rPr>
  </w:style>
  <w:style w:type="character" w:customStyle="1" w:styleId="PiedepginaCar">
    <w:name w:val="Pie de página Car"/>
    <w:link w:val="Piedepgina"/>
    <w:uiPriority w:val="99"/>
    <w:rsid w:val="00A97E70"/>
    <w:rPr>
      <w:rFonts w:ascii="Verdana" w:eastAsia="Calibri" w:hAnsi="Verdana" w:cs="Times"/>
      <w:sz w:val="20"/>
      <w:szCs w:val="24"/>
      <w:lang w:val="es-ES_tradnl" w:eastAsia="es-ES"/>
    </w:rPr>
  </w:style>
  <w:style w:type="paragraph" w:styleId="Textodeglobo">
    <w:name w:val="Balloon Text"/>
    <w:basedOn w:val="Normal"/>
    <w:link w:val="TextodegloboCar"/>
    <w:uiPriority w:val="99"/>
    <w:semiHidden/>
    <w:unhideWhenUsed/>
    <w:rsid w:val="00A97E70"/>
    <w:pPr>
      <w:spacing w:after="0"/>
    </w:pPr>
    <w:rPr>
      <w:rFonts w:ascii="Tahoma" w:hAnsi="Tahoma" w:cs="Times New Roman"/>
      <w:sz w:val="16"/>
      <w:szCs w:val="16"/>
    </w:rPr>
  </w:style>
  <w:style w:type="character" w:customStyle="1" w:styleId="TextodegloboCar">
    <w:name w:val="Texto de globo Car"/>
    <w:link w:val="Textodeglobo"/>
    <w:uiPriority w:val="99"/>
    <w:semiHidden/>
    <w:rsid w:val="00A97E70"/>
    <w:rPr>
      <w:rFonts w:ascii="Tahoma" w:eastAsia="Calibri" w:hAnsi="Tahoma" w:cs="Tahoma"/>
      <w:sz w:val="16"/>
      <w:szCs w:val="16"/>
      <w:lang w:val="es-ES_tradnl" w:eastAsia="es-ES"/>
    </w:rPr>
  </w:style>
  <w:style w:type="character" w:customStyle="1" w:styleId="nfasissutil1">
    <w:name w:val="Énfasis sutil1"/>
    <w:uiPriority w:val="19"/>
    <w:qFormat/>
    <w:rsid w:val="00F04D36"/>
    <w:rPr>
      <w:rFonts w:ascii="Verdana" w:hAnsi="Verdana"/>
      <w:i/>
      <w:iCs/>
      <w:color w:val="808080"/>
      <w:sz w:val="20"/>
      <w:u w:val="single"/>
    </w:rPr>
  </w:style>
  <w:style w:type="paragraph" w:styleId="Sangradetextonormal">
    <w:name w:val="Body Text Indent"/>
    <w:basedOn w:val="Normal"/>
    <w:link w:val="SangradetextonormalCar"/>
    <w:uiPriority w:val="99"/>
    <w:unhideWhenUsed/>
    <w:rsid w:val="00332081"/>
    <w:pPr>
      <w:ind w:left="283"/>
    </w:pPr>
    <w:rPr>
      <w:rFonts w:cs="Times New Roman"/>
    </w:rPr>
  </w:style>
  <w:style w:type="character" w:customStyle="1" w:styleId="SangradetextonormalCar">
    <w:name w:val="Sangría de texto normal Car"/>
    <w:link w:val="Sangradetextonormal"/>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uiPriority w:val="99"/>
    <w:locked/>
    <w:rsid w:val="008B4FBC"/>
    <w:rPr>
      <w:rFonts w:cs="Verdana"/>
      <w:sz w:val="16"/>
      <w:szCs w:val="16"/>
      <w:lang w:val="es-ES_tradnl" w:eastAsia="es-ES"/>
    </w:rPr>
  </w:style>
  <w:style w:type="character" w:styleId="Textoennegrita">
    <w:name w:val="Strong"/>
    <w:uiPriority w:val="22"/>
    <w:qFormat/>
    <w:rsid w:val="00BB33B5"/>
    <w:rPr>
      <w:b/>
      <w:bCs/>
    </w:rPr>
  </w:style>
  <w:style w:type="character" w:styleId="Refdecomentario">
    <w:name w:val="annotation reference"/>
    <w:uiPriority w:val="99"/>
    <w:semiHidden/>
    <w:unhideWhenUsed/>
    <w:rsid w:val="00E30AC9"/>
    <w:rPr>
      <w:sz w:val="16"/>
      <w:szCs w:val="16"/>
    </w:rPr>
  </w:style>
  <w:style w:type="paragraph" w:styleId="Textocomentario">
    <w:name w:val="annotation text"/>
    <w:basedOn w:val="Normal"/>
    <w:link w:val="TextocomentarioCar"/>
    <w:uiPriority w:val="99"/>
    <w:semiHidden/>
    <w:unhideWhenUsed/>
    <w:rsid w:val="00E30AC9"/>
    <w:rPr>
      <w:rFonts w:cs="Times New Roman"/>
      <w:szCs w:val="20"/>
    </w:rPr>
  </w:style>
  <w:style w:type="character" w:customStyle="1" w:styleId="TextocomentarioCar">
    <w:name w:val="Texto comentario Car"/>
    <w:link w:val="Textocomentario"/>
    <w:uiPriority w:val="99"/>
    <w:semiHidden/>
    <w:rsid w:val="00E30AC9"/>
    <w:rPr>
      <w:rFonts w:ascii="Verdana" w:hAnsi="Verdana" w:cs="Times"/>
      <w:lang w:val="es-ES_tradnl" w:eastAsia="es-ES"/>
    </w:rPr>
  </w:style>
  <w:style w:type="paragraph" w:styleId="Asuntodelcomentario">
    <w:name w:val="annotation subject"/>
    <w:basedOn w:val="Textocomentario"/>
    <w:next w:val="Textocomentario"/>
    <w:link w:val="AsuntodelcomentarioCar"/>
    <w:uiPriority w:val="99"/>
    <w:unhideWhenUsed/>
    <w:rsid w:val="00E30AC9"/>
    <w:rPr>
      <w:b/>
      <w:bCs/>
    </w:rPr>
  </w:style>
  <w:style w:type="character" w:customStyle="1" w:styleId="AsuntodelcomentarioCar">
    <w:name w:val="Asunto del comentario Car"/>
    <w:link w:val="Asuntodelcomentario"/>
    <w:uiPriority w:val="99"/>
    <w:rsid w:val="00E30AC9"/>
    <w:rPr>
      <w:rFonts w:ascii="Verdana" w:hAnsi="Verdana" w:cs="Times"/>
      <w:b/>
      <w:bCs/>
      <w:lang w:val="es-ES_tradnl" w:eastAsia="es-ES"/>
    </w:rPr>
  </w:style>
  <w:style w:type="character" w:styleId="nfasis">
    <w:name w:val="Emphasis"/>
    <w:uiPriority w:val="20"/>
    <w:qFormat/>
    <w:rsid w:val="0039098E"/>
    <w:rPr>
      <w:i/>
      <w:iCs/>
    </w:rPr>
  </w:style>
  <w:style w:type="character" w:customStyle="1" w:styleId="Ttulo3Car">
    <w:name w:val="Título 3 Car"/>
    <w:link w:val="Ttulo3"/>
    <w:uiPriority w:val="9"/>
    <w:rsid w:val="0059593A"/>
    <w:rPr>
      <w:rFonts w:ascii="Cambria" w:eastAsia="Times New Roman" w:hAnsi="Cambria" w:cs="Times New Roman"/>
      <w:b/>
      <w:bCs/>
      <w:sz w:val="26"/>
      <w:szCs w:val="26"/>
      <w:lang w:val="es-ES_tradnl" w:eastAsia="es-ES"/>
    </w:rPr>
  </w:style>
  <w:style w:type="character" w:customStyle="1" w:styleId="Ttulo2Car">
    <w:name w:val="Título 2 Car"/>
    <w:link w:val="Ttulo2"/>
    <w:uiPriority w:val="9"/>
    <w:rsid w:val="0059593A"/>
    <w:rPr>
      <w:rFonts w:ascii="Cambria" w:eastAsia="Times New Roman" w:hAnsi="Cambria" w:cs="Times New Roman"/>
      <w:b/>
      <w:bCs/>
      <w:i/>
      <w:iCs/>
      <w:sz w:val="28"/>
      <w:szCs w:val="28"/>
      <w:lang w:val="es-ES_tradnl" w:eastAsia="es-ES"/>
    </w:rPr>
  </w:style>
  <w:style w:type="paragraph" w:customStyle="1" w:styleId="Sombreadovistoso-nfasis11">
    <w:name w:val="Sombreado vistoso - Énfasis 11"/>
    <w:hidden/>
    <w:uiPriority w:val="99"/>
    <w:semiHidden/>
    <w:rsid w:val="00F14ACA"/>
    <w:rPr>
      <w:rFonts w:ascii="Verdana" w:hAnsi="Verdana" w:cs="Times"/>
      <w:szCs w:val="24"/>
      <w:lang w:val="es-ES_tradnl" w:eastAsia="es-ES"/>
    </w:rPr>
  </w:style>
  <w:style w:type="paragraph" w:styleId="Sangra2detindependiente">
    <w:name w:val="Body Text Indent 2"/>
    <w:basedOn w:val="Normal"/>
    <w:link w:val="Sangra2detindependienteCar"/>
    <w:uiPriority w:val="99"/>
    <w:unhideWhenUsed/>
    <w:rsid w:val="00D404F5"/>
    <w:pPr>
      <w:autoSpaceDE w:val="0"/>
      <w:autoSpaceDN w:val="0"/>
      <w:adjustRightInd w:val="0"/>
      <w:spacing w:after="0"/>
      <w:ind w:left="709"/>
    </w:pPr>
    <w:rPr>
      <w:rFonts w:cs="Times New Roman"/>
      <w:b/>
      <w:bCs/>
      <w:iCs/>
      <w:szCs w:val="20"/>
      <w:lang w:val="es-CR" w:eastAsia="x-none"/>
    </w:rPr>
  </w:style>
  <w:style w:type="character" w:customStyle="1" w:styleId="Sangra2detindependienteCar">
    <w:name w:val="Sangría 2 de t. independiente Car"/>
    <w:link w:val="Sangra2detindependiente"/>
    <w:uiPriority w:val="99"/>
    <w:rsid w:val="00D404F5"/>
    <w:rPr>
      <w:rFonts w:ascii="Verdana" w:hAnsi="Verdana" w:cs="Times"/>
      <w:b/>
      <w:bCs/>
      <w:iCs/>
      <w:lang w:val="es-CR"/>
    </w:rPr>
  </w:style>
  <w:style w:type="character" w:customStyle="1" w:styleId="Ttulo1Car">
    <w:name w:val="Título 1 Car"/>
    <w:link w:val="Ttulo1"/>
    <w:uiPriority w:val="9"/>
    <w:rsid w:val="00437D62"/>
    <w:rPr>
      <w:rFonts w:ascii="Cambria" w:eastAsia="Times New Roman" w:hAnsi="Cambria" w:cs="Times New Roman"/>
      <w:b/>
      <w:bCs/>
      <w:kern w:val="32"/>
      <w:sz w:val="32"/>
      <w:szCs w:val="32"/>
      <w:lang w:val="es-ES_tradnl"/>
    </w:rPr>
  </w:style>
  <w:style w:type="paragraph" w:styleId="Prrafodelista">
    <w:name w:val="List Paragraph"/>
    <w:aliases w:val="Colorful List - Accent 11"/>
    <w:basedOn w:val="Normal"/>
    <w:link w:val="PrrafodelistaCar"/>
    <w:uiPriority w:val="99"/>
    <w:qFormat/>
    <w:rsid w:val="00437D62"/>
    <w:pPr>
      <w:ind w:left="708"/>
    </w:pPr>
  </w:style>
  <w:style w:type="paragraph" w:styleId="HTMLconformatoprevio">
    <w:name w:val="HTML Preformatted"/>
    <w:basedOn w:val="Normal"/>
    <w:link w:val="HTMLconformatoprevioCar"/>
    <w:uiPriority w:val="99"/>
    <w:semiHidden/>
    <w:unhideWhenUsed/>
    <w:rsid w:val="0029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CR" w:eastAsia="es-CR"/>
    </w:rPr>
  </w:style>
  <w:style w:type="character" w:customStyle="1" w:styleId="HTMLconformatoprevioCar">
    <w:name w:val="HTML con formato previo Car"/>
    <w:basedOn w:val="Fuentedeprrafopredeter"/>
    <w:link w:val="HTMLconformatoprevio"/>
    <w:uiPriority w:val="99"/>
    <w:semiHidden/>
    <w:rsid w:val="0029012B"/>
    <w:rPr>
      <w:rFonts w:ascii="Courier New" w:eastAsia="Times New Roman" w:hAnsi="Courier New" w:cs="Courier New"/>
    </w:rPr>
  </w:style>
  <w:style w:type="paragraph" w:styleId="Textoindependiente">
    <w:name w:val="Body Text"/>
    <w:basedOn w:val="Normal"/>
    <w:link w:val="TextoindependienteCar"/>
    <w:uiPriority w:val="99"/>
    <w:unhideWhenUsed/>
    <w:rsid w:val="00081154"/>
    <w:pPr>
      <w:tabs>
        <w:tab w:val="left" w:pos="720"/>
      </w:tabs>
      <w:autoSpaceDE w:val="0"/>
      <w:autoSpaceDN w:val="0"/>
      <w:adjustRightInd w:val="0"/>
      <w:spacing w:after="0"/>
    </w:pPr>
    <w:rPr>
      <w:b/>
      <w:szCs w:val="20"/>
      <w:lang w:val="es-CR"/>
    </w:rPr>
  </w:style>
  <w:style w:type="character" w:customStyle="1" w:styleId="TextoindependienteCar">
    <w:name w:val="Texto independiente Car"/>
    <w:basedOn w:val="Fuentedeprrafopredeter"/>
    <w:link w:val="Textoindependiente"/>
    <w:uiPriority w:val="99"/>
    <w:rsid w:val="00081154"/>
    <w:rPr>
      <w:rFonts w:ascii="Verdana" w:hAnsi="Verdana" w:cs="Times"/>
      <w:b/>
      <w:lang w:eastAsia="es-ES"/>
    </w:rPr>
  </w:style>
  <w:style w:type="paragraph" w:styleId="Textonotaalfinal">
    <w:name w:val="endnote text"/>
    <w:basedOn w:val="Normal"/>
    <w:link w:val="TextonotaalfinalCar"/>
    <w:uiPriority w:val="99"/>
    <w:semiHidden/>
    <w:unhideWhenUsed/>
    <w:rsid w:val="00ED4096"/>
    <w:pPr>
      <w:spacing w:after="0"/>
    </w:pPr>
    <w:rPr>
      <w:szCs w:val="20"/>
    </w:rPr>
  </w:style>
  <w:style w:type="character" w:customStyle="1" w:styleId="TextonotaalfinalCar">
    <w:name w:val="Texto nota al final Car"/>
    <w:basedOn w:val="Fuentedeprrafopredeter"/>
    <w:link w:val="Textonotaalfinal"/>
    <w:uiPriority w:val="99"/>
    <w:semiHidden/>
    <w:rsid w:val="00ED4096"/>
    <w:rPr>
      <w:rFonts w:ascii="Verdana" w:hAnsi="Verdana" w:cs="Times"/>
      <w:lang w:val="es-ES_tradnl" w:eastAsia="es-ES"/>
    </w:rPr>
  </w:style>
  <w:style w:type="character" w:styleId="Refdenotaalfinal">
    <w:name w:val="endnote reference"/>
    <w:basedOn w:val="Fuentedeprrafopredeter"/>
    <w:uiPriority w:val="99"/>
    <w:semiHidden/>
    <w:unhideWhenUsed/>
    <w:rsid w:val="00ED4096"/>
    <w:rPr>
      <w:vertAlign w:val="superscript"/>
    </w:rPr>
  </w:style>
  <w:style w:type="paragraph" w:styleId="Revisin">
    <w:name w:val="Revision"/>
    <w:hidden/>
    <w:uiPriority w:val="99"/>
    <w:semiHidden/>
    <w:rsid w:val="00DB7ACB"/>
    <w:rPr>
      <w:rFonts w:ascii="Verdana" w:hAnsi="Verdana" w:cs="Times"/>
      <w:szCs w:val="24"/>
      <w:lang w:val="es-ES_tradnl" w:eastAsia="es-ES"/>
    </w:rPr>
  </w:style>
  <w:style w:type="character" w:customStyle="1" w:styleId="st1">
    <w:name w:val="st1"/>
    <w:rsid w:val="00486710"/>
  </w:style>
  <w:style w:type="character" w:customStyle="1" w:styleId="PrrafodelistaCar">
    <w:name w:val="Párrafo de lista Car"/>
    <w:aliases w:val="Colorful List - Accent 11 Car"/>
    <w:link w:val="Prrafodelista"/>
    <w:uiPriority w:val="99"/>
    <w:locked/>
    <w:rsid w:val="00486710"/>
    <w:rPr>
      <w:rFonts w:ascii="Verdana" w:hAnsi="Verdana" w:cs="Times"/>
      <w:szCs w:val="24"/>
      <w:lang w:val="es-ES_tradnl" w:eastAsia="es-ES"/>
    </w:rPr>
  </w:style>
  <w:style w:type="character" w:styleId="Hipervnculo">
    <w:name w:val="Hyperlink"/>
    <w:basedOn w:val="Fuentedeprrafopredeter"/>
    <w:uiPriority w:val="99"/>
    <w:unhideWhenUsed/>
    <w:rsid w:val="007A1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0779">
      <w:bodyDiv w:val="1"/>
      <w:marLeft w:val="0"/>
      <w:marRight w:val="0"/>
      <w:marTop w:val="0"/>
      <w:marBottom w:val="0"/>
      <w:divBdr>
        <w:top w:val="none" w:sz="0" w:space="0" w:color="auto"/>
        <w:left w:val="none" w:sz="0" w:space="0" w:color="auto"/>
        <w:bottom w:val="none" w:sz="0" w:space="0" w:color="auto"/>
        <w:right w:val="none" w:sz="0" w:space="0" w:color="auto"/>
      </w:divBdr>
    </w:div>
    <w:div w:id="260914110">
      <w:bodyDiv w:val="1"/>
      <w:marLeft w:val="0"/>
      <w:marRight w:val="0"/>
      <w:marTop w:val="0"/>
      <w:marBottom w:val="0"/>
      <w:divBdr>
        <w:top w:val="none" w:sz="0" w:space="0" w:color="auto"/>
        <w:left w:val="none" w:sz="0" w:space="0" w:color="auto"/>
        <w:bottom w:val="none" w:sz="0" w:space="0" w:color="auto"/>
        <w:right w:val="none" w:sz="0" w:space="0" w:color="auto"/>
      </w:divBdr>
    </w:div>
    <w:div w:id="469055492">
      <w:bodyDiv w:val="1"/>
      <w:marLeft w:val="0"/>
      <w:marRight w:val="0"/>
      <w:marTop w:val="0"/>
      <w:marBottom w:val="0"/>
      <w:divBdr>
        <w:top w:val="none" w:sz="0" w:space="0" w:color="auto"/>
        <w:left w:val="none" w:sz="0" w:space="0" w:color="auto"/>
        <w:bottom w:val="none" w:sz="0" w:space="0" w:color="auto"/>
        <w:right w:val="none" w:sz="0" w:space="0" w:color="auto"/>
      </w:divBdr>
    </w:div>
    <w:div w:id="536165216">
      <w:bodyDiv w:val="1"/>
      <w:marLeft w:val="0"/>
      <w:marRight w:val="0"/>
      <w:marTop w:val="0"/>
      <w:marBottom w:val="0"/>
      <w:divBdr>
        <w:top w:val="none" w:sz="0" w:space="0" w:color="auto"/>
        <w:left w:val="none" w:sz="0" w:space="0" w:color="auto"/>
        <w:bottom w:val="none" w:sz="0" w:space="0" w:color="auto"/>
        <w:right w:val="none" w:sz="0" w:space="0" w:color="auto"/>
      </w:divBdr>
    </w:div>
    <w:div w:id="800734921">
      <w:bodyDiv w:val="1"/>
      <w:marLeft w:val="0"/>
      <w:marRight w:val="0"/>
      <w:marTop w:val="0"/>
      <w:marBottom w:val="0"/>
      <w:divBdr>
        <w:top w:val="none" w:sz="0" w:space="0" w:color="auto"/>
        <w:left w:val="none" w:sz="0" w:space="0" w:color="auto"/>
        <w:bottom w:val="none" w:sz="0" w:space="0" w:color="auto"/>
        <w:right w:val="none" w:sz="0" w:space="0" w:color="auto"/>
      </w:divBdr>
    </w:div>
    <w:div w:id="1106774377">
      <w:bodyDiv w:val="1"/>
      <w:marLeft w:val="0"/>
      <w:marRight w:val="0"/>
      <w:marTop w:val="0"/>
      <w:marBottom w:val="0"/>
      <w:divBdr>
        <w:top w:val="none" w:sz="0" w:space="0" w:color="auto"/>
        <w:left w:val="none" w:sz="0" w:space="0" w:color="auto"/>
        <w:bottom w:val="none" w:sz="0" w:space="0" w:color="auto"/>
        <w:right w:val="none" w:sz="0" w:space="0" w:color="auto"/>
      </w:divBdr>
    </w:div>
    <w:div w:id="1126005416">
      <w:bodyDiv w:val="1"/>
      <w:marLeft w:val="0"/>
      <w:marRight w:val="0"/>
      <w:marTop w:val="0"/>
      <w:marBottom w:val="0"/>
      <w:divBdr>
        <w:top w:val="none" w:sz="0" w:space="0" w:color="auto"/>
        <w:left w:val="none" w:sz="0" w:space="0" w:color="auto"/>
        <w:bottom w:val="none" w:sz="0" w:space="0" w:color="auto"/>
        <w:right w:val="none" w:sz="0" w:space="0" w:color="auto"/>
      </w:divBdr>
      <w:divsChild>
        <w:div w:id="2004122778">
          <w:marLeft w:val="0"/>
          <w:marRight w:val="0"/>
          <w:marTop w:val="0"/>
          <w:marBottom w:val="0"/>
          <w:divBdr>
            <w:top w:val="none" w:sz="0" w:space="0" w:color="auto"/>
            <w:left w:val="none" w:sz="0" w:space="0" w:color="auto"/>
            <w:bottom w:val="none" w:sz="0" w:space="0" w:color="auto"/>
            <w:right w:val="none" w:sz="0" w:space="0" w:color="auto"/>
          </w:divBdr>
        </w:div>
        <w:div w:id="1400012555">
          <w:marLeft w:val="0"/>
          <w:marRight w:val="0"/>
          <w:marTop w:val="0"/>
          <w:marBottom w:val="0"/>
          <w:divBdr>
            <w:top w:val="none" w:sz="0" w:space="0" w:color="auto"/>
            <w:left w:val="none" w:sz="0" w:space="0" w:color="auto"/>
            <w:bottom w:val="none" w:sz="0" w:space="0" w:color="auto"/>
            <w:right w:val="none" w:sz="0" w:space="0" w:color="auto"/>
          </w:divBdr>
        </w:div>
        <w:div w:id="63727277">
          <w:marLeft w:val="0"/>
          <w:marRight w:val="0"/>
          <w:marTop w:val="0"/>
          <w:marBottom w:val="0"/>
          <w:divBdr>
            <w:top w:val="none" w:sz="0" w:space="0" w:color="auto"/>
            <w:left w:val="none" w:sz="0" w:space="0" w:color="auto"/>
            <w:bottom w:val="none" w:sz="0" w:space="0" w:color="auto"/>
            <w:right w:val="none" w:sz="0" w:space="0" w:color="auto"/>
          </w:divBdr>
        </w:div>
        <w:div w:id="557279140">
          <w:marLeft w:val="0"/>
          <w:marRight w:val="0"/>
          <w:marTop w:val="0"/>
          <w:marBottom w:val="0"/>
          <w:divBdr>
            <w:top w:val="none" w:sz="0" w:space="0" w:color="auto"/>
            <w:left w:val="none" w:sz="0" w:space="0" w:color="auto"/>
            <w:bottom w:val="none" w:sz="0" w:space="0" w:color="auto"/>
            <w:right w:val="none" w:sz="0" w:space="0" w:color="auto"/>
          </w:divBdr>
        </w:div>
        <w:div w:id="743455209">
          <w:marLeft w:val="0"/>
          <w:marRight w:val="0"/>
          <w:marTop w:val="0"/>
          <w:marBottom w:val="0"/>
          <w:divBdr>
            <w:top w:val="none" w:sz="0" w:space="0" w:color="auto"/>
            <w:left w:val="none" w:sz="0" w:space="0" w:color="auto"/>
            <w:bottom w:val="none" w:sz="0" w:space="0" w:color="auto"/>
            <w:right w:val="none" w:sz="0" w:space="0" w:color="auto"/>
          </w:divBdr>
        </w:div>
        <w:div w:id="1050157094">
          <w:marLeft w:val="0"/>
          <w:marRight w:val="0"/>
          <w:marTop w:val="0"/>
          <w:marBottom w:val="0"/>
          <w:divBdr>
            <w:top w:val="none" w:sz="0" w:space="0" w:color="auto"/>
            <w:left w:val="none" w:sz="0" w:space="0" w:color="auto"/>
            <w:bottom w:val="none" w:sz="0" w:space="0" w:color="auto"/>
            <w:right w:val="none" w:sz="0" w:space="0" w:color="auto"/>
          </w:divBdr>
        </w:div>
        <w:div w:id="1781559259">
          <w:marLeft w:val="0"/>
          <w:marRight w:val="0"/>
          <w:marTop w:val="0"/>
          <w:marBottom w:val="0"/>
          <w:divBdr>
            <w:top w:val="none" w:sz="0" w:space="0" w:color="auto"/>
            <w:left w:val="none" w:sz="0" w:space="0" w:color="auto"/>
            <w:bottom w:val="none" w:sz="0" w:space="0" w:color="auto"/>
            <w:right w:val="none" w:sz="0" w:space="0" w:color="auto"/>
          </w:divBdr>
        </w:div>
      </w:divsChild>
    </w:div>
    <w:div w:id="1850095169">
      <w:bodyDiv w:val="1"/>
      <w:marLeft w:val="0"/>
      <w:marRight w:val="0"/>
      <w:marTop w:val="0"/>
      <w:marBottom w:val="0"/>
      <w:divBdr>
        <w:top w:val="none" w:sz="0" w:space="0" w:color="auto"/>
        <w:left w:val="none" w:sz="0" w:space="0" w:color="auto"/>
        <w:bottom w:val="none" w:sz="0" w:space="0" w:color="auto"/>
        <w:right w:val="none" w:sz="0" w:space="0" w:color="auto"/>
      </w:divBdr>
    </w:div>
    <w:div w:id="1899509340">
      <w:bodyDiv w:val="1"/>
      <w:marLeft w:val="0"/>
      <w:marRight w:val="0"/>
      <w:marTop w:val="0"/>
      <w:marBottom w:val="0"/>
      <w:divBdr>
        <w:top w:val="none" w:sz="0" w:space="0" w:color="auto"/>
        <w:left w:val="none" w:sz="0" w:space="0" w:color="auto"/>
        <w:bottom w:val="none" w:sz="0" w:space="0" w:color="auto"/>
        <w:right w:val="none" w:sz="0" w:space="0" w:color="auto"/>
      </w:divBdr>
    </w:div>
    <w:div w:id="1944914671">
      <w:bodyDiv w:val="1"/>
      <w:marLeft w:val="0"/>
      <w:marRight w:val="0"/>
      <w:marTop w:val="0"/>
      <w:marBottom w:val="0"/>
      <w:divBdr>
        <w:top w:val="none" w:sz="0" w:space="0" w:color="auto"/>
        <w:left w:val="none" w:sz="0" w:space="0" w:color="auto"/>
        <w:bottom w:val="none" w:sz="0" w:space="0" w:color="auto"/>
        <w:right w:val="none" w:sz="0" w:space="0" w:color="auto"/>
      </w:divBdr>
    </w:div>
    <w:div w:id="2040206226">
      <w:bodyDiv w:val="1"/>
      <w:marLeft w:val="0"/>
      <w:marRight w:val="0"/>
      <w:marTop w:val="0"/>
      <w:marBottom w:val="0"/>
      <w:divBdr>
        <w:top w:val="none" w:sz="0" w:space="0" w:color="auto"/>
        <w:left w:val="none" w:sz="0" w:space="0" w:color="auto"/>
        <w:bottom w:val="none" w:sz="0" w:space="0" w:color="auto"/>
        <w:right w:val="none" w:sz="0" w:space="0" w:color="auto"/>
      </w:divBdr>
      <w:divsChild>
        <w:div w:id="1220479655">
          <w:marLeft w:val="0"/>
          <w:marRight w:val="0"/>
          <w:marTop w:val="0"/>
          <w:marBottom w:val="0"/>
          <w:divBdr>
            <w:top w:val="none" w:sz="0" w:space="0" w:color="auto"/>
            <w:left w:val="none" w:sz="0" w:space="0" w:color="auto"/>
            <w:bottom w:val="none" w:sz="0" w:space="0" w:color="auto"/>
            <w:right w:val="none" w:sz="0" w:space="0" w:color="auto"/>
          </w:divBdr>
        </w:div>
        <w:div w:id="903642810">
          <w:marLeft w:val="0"/>
          <w:marRight w:val="0"/>
          <w:marTop w:val="0"/>
          <w:marBottom w:val="0"/>
          <w:divBdr>
            <w:top w:val="none" w:sz="0" w:space="0" w:color="auto"/>
            <w:left w:val="none" w:sz="0" w:space="0" w:color="auto"/>
            <w:bottom w:val="none" w:sz="0" w:space="0" w:color="auto"/>
            <w:right w:val="none" w:sz="0" w:space="0" w:color="auto"/>
          </w:divBdr>
        </w:div>
        <w:div w:id="1177887801">
          <w:marLeft w:val="0"/>
          <w:marRight w:val="0"/>
          <w:marTop w:val="0"/>
          <w:marBottom w:val="0"/>
          <w:divBdr>
            <w:top w:val="none" w:sz="0" w:space="0" w:color="auto"/>
            <w:left w:val="none" w:sz="0" w:space="0" w:color="auto"/>
            <w:bottom w:val="none" w:sz="0" w:space="0" w:color="auto"/>
            <w:right w:val="none" w:sz="0" w:space="0" w:color="auto"/>
          </w:divBdr>
        </w:div>
        <w:div w:id="923102240">
          <w:marLeft w:val="0"/>
          <w:marRight w:val="0"/>
          <w:marTop w:val="0"/>
          <w:marBottom w:val="0"/>
          <w:divBdr>
            <w:top w:val="none" w:sz="0" w:space="0" w:color="auto"/>
            <w:left w:val="none" w:sz="0" w:space="0" w:color="auto"/>
            <w:bottom w:val="none" w:sz="0" w:space="0" w:color="auto"/>
            <w:right w:val="none" w:sz="0" w:space="0" w:color="auto"/>
          </w:divBdr>
        </w:div>
        <w:div w:id="1005938578">
          <w:marLeft w:val="0"/>
          <w:marRight w:val="0"/>
          <w:marTop w:val="0"/>
          <w:marBottom w:val="0"/>
          <w:divBdr>
            <w:top w:val="none" w:sz="0" w:space="0" w:color="auto"/>
            <w:left w:val="none" w:sz="0" w:space="0" w:color="auto"/>
            <w:bottom w:val="none" w:sz="0" w:space="0" w:color="auto"/>
            <w:right w:val="none" w:sz="0" w:space="0" w:color="auto"/>
          </w:divBdr>
        </w:div>
        <w:div w:id="1802454709">
          <w:marLeft w:val="0"/>
          <w:marRight w:val="0"/>
          <w:marTop w:val="0"/>
          <w:marBottom w:val="0"/>
          <w:divBdr>
            <w:top w:val="none" w:sz="0" w:space="0" w:color="auto"/>
            <w:left w:val="none" w:sz="0" w:space="0" w:color="auto"/>
            <w:bottom w:val="none" w:sz="0" w:space="0" w:color="auto"/>
            <w:right w:val="none" w:sz="0" w:space="0" w:color="auto"/>
          </w:divBdr>
        </w:div>
        <w:div w:id="701633390">
          <w:marLeft w:val="0"/>
          <w:marRight w:val="0"/>
          <w:marTop w:val="0"/>
          <w:marBottom w:val="0"/>
          <w:divBdr>
            <w:top w:val="none" w:sz="0" w:space="0" w:color="auto"/>
            <w:left w:val="none" w:sz="0" w:space="0" w:color="auto"/>
            <w:bottom w:val="none" w:sz="0" w:space="0" w:color="auto"/>
            <w:right w:val="none" w:sz="0" w:space="0" w:color="auto"/>
          </w:divBdr>
        </w:div>
      </w:divsChild>
    </w:div>
    <w:div w:id="2061443505">
      <w:bodyDiv w:val="1"/>
      <w:marLeft w:val="0"/>
      <w:marRight w:val="0"/>
      <w:marTop w:val="0"/>
      <w:marBottom w:val="0"/>
      <w:divBdr>
        <w:top w:val="none" w:sz="0" w:space="0" w:color="auto"/>
        <w:left w:val="none" w:sz="0" w:space="0" w:color="auto"/>
        <w:bottom w:val="none" w:sz="0" w:space="0" w:color="auto"/>
        <w:right w:val="none" w:sz="0" w:space="0" w:color="auto"/>
      </w:divBdr>
    </w:div>
    <w:div w:id="20836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1F7B-8CD5-405F-8B2A-A74A1E18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2815</Words>
  <Characters>15488</Characters>
  <Application>Microsoft Office Word</Application>
  <DocSecurity>4</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Corte IDH</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2020-02-13T23:11:00Z</cp:lastPrinted>
  <dcterms:created xsi:type="dcterms:W3CDTF">2020-02-13T23:22:00Z</dcterms:created>
  <dcterms:modified xsi:type="dcterms:W3CDTF">2020-02-13T23:22:00Z</dcterms:modified>
</cp:coreProperties>
</file>