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E64" w:rsidRDefault="00114E64" w:rsidP="006518E4">
      <w:pPr>
        <w:jc w:val="center"/>
        <w:rPr>
          <w:rFonts w:ascii="Verdana" w:hAnsi="Verdana" w:cs="Verdana"/>
          <w:b/>
          <w:bCs/>
          <w:smallCaps/>
          <w:sz w:val="20"/>
          <w:szCs w:val="20"/>
          <w:lang w:val="es-ES_tradnl"/>
        </w:rPr>
      </w:pPr>
    </w:p>
    <w:p w:rsidR="00BC0497" w:rsidRDefault="00BC0497" w:rsidP="006518E4">
      <w:pPr>
        <w:jc w:val="center"/>
        <w:rPr>
          <w:rFonts w:ascii="Verdana" w:hAnsi="Verdana" w:cs="Verdana"/>
          <w:b/>
          <w:bCs/>
          <w:smallCaps/>
          <w:sz w:val="20"/>
          <w:szCs w:val="20"/>
          <w:lang w:val="es-ES_tradnl"/>
        </w:rPr>
      </w:pPr>
    </w:p>
    <w:p w:rsidR="00BC0497" w:rsidRDefault="00BC0497" w:rsidP="006518E4">
      <w:pPr>
        <w:jc w:val="center"/>
        <w:rPr>
          <w:rFonts w:ascii="Verdana" w:hAnsi="Verdana" w:cs="Verdana"/>
          <w:b/>
          <w:bCs/>
          <w:smallCaps/>
          <w:sz w:val="20"/>
          <w:szCs w:val="20"/>
          <w:lang w:val="es-ES_tradnl"/>
        </w:rPr>
      </w:pPr>
    </w:p>
    <w:p w:rsidR="00137ADD" w:rsidRDefault="00137ADD" w:rsidP="006518E4">
      <w:pPr>
        <w:jc w:val="center"/>
        <w:rPr>
          <w:rFonts w:ascii="Verdana" w:hAnsi="Verdana" w:cs="Verdana"/>
          <w:b/>
          <w:bCs/>
          <w:smallCaps/>
          <w:sz w:val="20"/>
          <w:szCs w:val="20"/>
          <w:lang w:val="es-ES_tradnl"/>
        </w:rPr>
      </w:pPr>
    </w:p>
    <w:p w:rsidR="00137ADD" w:rsidRDefault="00137ADD" w:rsidP="006518E4">
      <w:pPr>
        <w:jc w:val="center"/>
        <w:rPr>
          <w:rFonts w:ascii="Verdana" w:hAnsi="Verdana" w:cs="Verdana"/>
          <w:b/>
          <w:bCs/>
          <w:smallCaps/>
          <w:sz w:val="20"/>
          <w:szCs w:val="20"/>
          <w:lang w:val="es-ES_tradnl"/>
        </w:rPr>
      </w:pPr>
    </w:p>
    <w:p w:rsidR="00114E64" w:rsidRDefault="00114E64" w:rsidP="006518E4">
      <w:pPr>
        <w:jc w:val="center"/>
        <w:rPr>
          <w:rFonts w:ascii="Verdana" w:hAnsi="Verdana" w:cs="Verdana"/>
          <w:b/>
          <w:bCs/>
          <w:smallCaps/>
          <w:sz w:val="20"/>
          <w:szCs w:val="20"/>
          <w:lang w:val="es-ES_tradnl"/>
        </w:rPr>
      </w:pPr>
    </w:p>
    <w:p w:rsidR="00853121" w:rsidRDefault="00853121" w:rsidP="006518E4">
      <w:pPr>
        <w:jc w:val="center"/>
        <w:rPr>
          <w:rFonts w:ascii="Verdana" w:hAnsi="Verdana" w:cs="Verdana"/>
          <w:b/>
          <w:bCs/>
          <w:smallCaps/>
          <w:sz w:val="20"/>
          <w:szCs w:val="20"/>
          <w:lang w:val="es-ES_tradnl"/>
        </w:rPr>
      </w:pPr>
      <w:r>
        <w:rPr>
          <w:rFonts w:ascii="Verdana" w:hAnsi="Verdana" w:cs="Verdana"/>
          <w:b/>
          <w:bCs/>
          <w:smallCaps/>
          <w:sz w:val="20"/>
          <w:szCs w:val="20"/>
          <w:lang w:val="es-ES_tradnl"/>
        </w:rPr>
        <w:t>RESOLUCIÓN DEL PRESIDENTE DE LA</w:t>
      </w:r>
    </w:p>
    <w:p w:rsidR="00853121" w:rsidRDefault="00853121" w:rsidP="006518E4">
      <w:pPr>
        <w:jc w:val="center"/>
        <w:rPr>
          <w:rFonts w:ascii="Verdana" w:hAnsi="Verdana" w:cs="Verdana"/>
          <w:b/>
          <w:bCs/>
          <w:smallCaps/>
          <w:sz w:val="20"/>
          <w:szCs w:val="20"/>
          <w:lang w:val="es-ES_tradnl"/>
        </w:rPr>
      </w:pPr>
    </w:p>
    <w:p w:rsidR="00853121" w:rsidRDefault="00853121" w:rsidP="006518E4">
      <w:pPr>
        <w:jc w:val="center"/>
        <w:rPr>
          <w:rFonts w:ascii="Verdana" w:hAnsi="Verdana" w:cs="Verdana"/>
          <w:b/>
          <w:bCs/>
          <w:smallCaps/>
          <w:sz w:val="20"/>
          <w:szCs w:val="20"/>
          <w:lang w:val="es-ES_tradnl"/>
        </w:rPr>
      </w:pPr>
    </w:p>
    <w:p w:rsidR="00853121" w:rsidRDefault="00853121" w:rsidP="006518E4">
      <w:pPr>
        <w:jc w:val="center"/>
        <w:rPr>
          <w:lang w:val="es-ES_tradnl"/>
        </w:rPr>
      </w:pPr>
      <w:r>
        <w:rPr>
          <w:rFonts w:ascii="Verdana" w:hAnsi="Verdana" w:cs="Verdana"/>
          <w:b/>
          <w:bCs/>
          <w:smallCaps/>
          <w:sz w:val="20"/>
          <w:szCs w:val="20"/>
          <w:lang w:val="es-ES_tradnl"/>
        </w:rPr>
        <w:t>CORTE INTERAMERICANA DE DERECHOS HUMANOS</w:t>
      </w:r>
    </w:p>
    <w:p w:rsidR="00853121" w:rsidRDefault="00853121" w:rsidP="006518E4">
      <w:pPr>
        <w:spacing w:before="60"/>
        <w:rPr>
          <w:rFonts w:ascii="Verdana" w:hAnsi="Verdana" w:cs="Verdana"/>
          <w:b/>
          <w:bCs/>
          <w:smallCaps/>
          <w:sz w:val="20"/>
          <w:szCs w:val="20"/>
          <w:lang w:val="es-ES_tradnl"/>
        </w:rPr>
      </w:pPr>
    </w:p>
    <w:p w:rsidR="00853121" w:rsidRDefault="00223644" w:rsidP="006518E4">
      <w:pPr>
        <w:spacing w:before="60"/>
        <w:jc w:val="center"/>
        <w:rPr>
          <w:rFonts w:ascii="Verdana" w:hAnsi="Verdana" w:cs="Verdana"/>
          <w:b/>
          <w:bCs/>
          <w:smallCaps/>
          <w:sz w:val="20"/>
          <w:szCs w:val="20"/>
          <w:lang w:val="es-ES_tradnl"/>
        </w:rPr>
      </w:pPr>
      <w:r>
        <w:rPr>
          <w:rFonts w:ascii="Verdana" w:hAnsi="Verdana" w:cs="Verdana"/>
          <w:b/>
          <w:bCs/>
          <w:smallCaps/>
          <w:sz w:val="20"/>
          <w:szCs w:val="20"/>
          <w:lang w:val="es-ES_tradnl"/>
        </w:rPr>
        <w:t>DE 24</w:t>
      </w:r>
      <w:r w:rsidR="00853121">
        <w:rPr>
          <w:rFonts w:ascii="Verdana" w:hAnsi="Verdana" w:cs="Verdana"/>
          <w:b/>
          <w:bCs/>
          <w:smallCaps/>
          <w:sz w:val="20"/>
          <w:szCs w:val="20"/>
          <w:lang w:val="es-ES_tradnl"/>
        </w:rPr>
        <w:t xml:space="preserve"> DE ENERO DE 2012</w:t>
      </w:r>
    </w:p>
    <w:p w:rsidR="00853121" w:rsidRDefault="00853121" w:rsidP="006518E4">
      <w:pPr>
        <w:spacing w:before="60"/>
        <w:rPr>
          <w:rFonts w:ascii="Verdana" w:hAnsi="Verdana" w:cs="Verdana"/>
          <w:b/>
          <w:bCs/>
          <w:smallCaps/>
          <w:sz w:val="20"/>
          <w:szCs w:val="20"/>
          <w:lang w:val="es-ES_tradnl"/>
        </w:rPr>
      </w:pPr>
    </w:p>
    <w:p w:rsidR="00853121" w:rsidRDefault="00853121" w:rsidP="006518E4">
      <w:pPr>
        <w:spacing w:before="60"/>
        <w:jc w:val="center"/>
        <w:rPr>
          <w:rFonts w:ascii="Verdana" w:hAnsi="Verdana" w:cs="Verdana"/>
          <w:b/>
          <w:bCs/>
          <w:smallCaps/>
          <w:sz w:val="20"/>
          <w:szCs w:val="20"/>
          <w:lang w:val="es-ES_tradnl"/>
        </w:rPr>
      </w:pPr>
      <w:r>
        <w:rPr>
          <w:rFonts w:ascii="Verdana" w:hAnsi="Verdana" w:cs="Verdana"/>
          <w:b/>
          <w:bCs/>
          <w:smallCaps/>
          <w:sz w:val="20"/>
          <w:szCs w:val="20"/>
          <w:lang w:val="es-ES_tradnl"/>
        </w:rPr>
        <w:t xml:space="preserve">CASO FURLAN Y FAMILIARES </w:t>
      </w:r>
      <w:r w:rsidRPr="007937A0">
        <w:rPr>
          <w:rFonts w:ascii="Verdana" w:hAnsi="Verdana" w:cs="Verdana"/>
          <w:b/>
          <w:bCs/>
          <w:i/>
          <w:caps/>
          <w:sz w:val="20"/>
          <w:szCs w:val="20"/>
          <w:lang w:val="es-ES_tradnl"/>
        </w:rPr>
        <w:t>vs.</w:t>
      </w:r>
      <w:r>
        <w:rPr>
          <w:rFonts w:ascii="Verdana" w:hAnsi="Verdana" w:cs="Verdana"/>
          <w:b/>
          <w:bCs/>
          <w:caps/>
          <w:sz w:val="20"/>
          <w:szCs w:val="20"/>
          <w:lang w:val="es-ES_tradnl"/>
        </w:rPr>
        <w:t xml:space="preserve"> ARGENTINA</w:t>
      </w:r>
    </w:p>
    <w:p w:rsidR="00853121" w:rsidRDefault="00853121" w:rsidP="006518E4">
      <w:pPr>
        <w:spacing w:before="60"/>
        <w:jc w:val="center"/>
      </w:pPr>
    </w:p>
    <w:p w:rsidR="00853121" w:rsidRDefault="00853121" w:rsidP="006518E4">
      <w:pPr>
        <w:rPr>
          <w:rFonts w:ascii="Verdana" w:hAnsi="Verdana" w:cs="Verdana"/>
          <w:b/>
          <w:bCs/>
          <w:sz w:val="20"/>
          <w:szCs w:val="20"/>
          <w:lang w:val="es-ES_tradnl"/>
        </w:rPr>
      </w:pPr>
      <w:r>
        <w:rPr>
          <w:rFonts w:ascii="Verdana" w:hAnsi="Verdana" w:cs="Verdana"/>
          <w:b/>
          <w:bCs/>
          <w:sz w:val="20"/>
          <w:szCs w:val="20"/>
          <w:lang w:val="es-ES_tradnl"/>
        </w:rPr>
        <w:t>VISTO:</w:t>
      </w:r>
    </w:p>
    <w:p w:rsidR="00853121" w:rsidRDefault="00853121" w:rsidP="006518E4"/>
    <w:p w:rsidR="00853121" w:rsidRDefault="00853121" w:rsidP="006518E4"/>
    <w:p w:rsidR="00853121" w:rsidRPr="00BA2104" w:rsidRDefault="00853121" w:rsidP="00407E11">
      <w:pPr>
        <w:numPr>
          <w:ilvl w:val="0"/>
          <w:numId w:val="1"/>
        </w:numPr>
        <w:ind w:left="0" w:firstLine="0"/>
        <w:jc w:val="both"/>
        <w:rPr>
          <w:rFonts w:ascii="Verdana" w:hAnsi="Verdana" w:cs="Verdana"/>
          <w:sz w:val="20"/>
          <w:szCs w:val="20"/>
          <w:lang w:val="es-CR"/>
        </w:rPr>
      </w:pPr>
      <w:r>
        <w:rPr>
          <w:rFonts w:ascii="Verdana" w:hAnsi="Verdana" w:cs="Verdana"/>
          <w:sz w:val="20"/>
          <w:szCs w:val="20"/>
        </w:rPr>
        <w:t xml:space="preserve">El escrito de </w:t>
      </w:r>
      <w:r>
        <w:rPr>
          <w:rFonts w:ascii="Verdana" w:hAnsi="Verdana" w:cs="Verdana"/>
          <w:sz w:val="20"/>
          <w:szCs w:val="20"/>
          <w:lang w:val="es-ES_tradnl"/>
        </w:rPr>
        <w:t>15</w:t>
      </w:r>
      <w:r w:rsidRPr="00EA42D3">
        <w:rPr>
          <w:rFonts w:ascii="Verdana" w:hAnsi="Verdana" w:cs="Verdana"/>
          <w:sz w:val="20"/>
          <w:szCs w:val="20"/>
          <w:lang w:val="es-ES_tradnl"/>
        </w:rPr>
        <w:t xml:space="preserve"> de </w:t>
      </w:r>
      <w:r>
        <w:rPr>
          <w:rFonts w:ascii="Verdana" w:hAnsi="Verdana" w:cs="Verdana"/>
          <w:sz w:val="20"/>
          <w:szCs w:val="20"/>
          <w:lang w:val="es-ES_tradnl"/>
        </w:rPr>
        <w:t xml:space="preserve">marzo </w:t>
      </w:r>
      <w:r w:rsidRPr="00EA42D3">
        <w:rPr>
          <w:rFonts w:ascii="Verdana" w:hAnsi="Verdana" w:cs="Verdana"/>
          <w:sz w:val="20"/>
          <w:szCs w:val="20"/>
          <w:lang w:val="es-ES_tradnl"/>
        </w:rPr>
        <w:t>de 201</w:t>
      </w:r>
      <w:r>
        <w:rPr>
          <w:rFonts w:ascii="Verdana" w:hAnsi="Verdana" w:cs="Verdana"/>
          <w:sz w:val="20"/>
          <w:szCs w:val="20"/>
          <w:lang w:val="es-ES_tradnl"/>
        </w:rPr>
        <w:t xml:space="preserve">1 mediante el cual la Comisión Interamericana de Derechos Humanos (en adelante “la Comisión Interamericana” o “la Comisión”) sometió a </w:t>
      </w:r>
      <w:r w:rsidRPr="00BF0D4D">
        <w:rPr>
          <w:rFonts w:ascii="Verdana" w:hAnsi="Verdana" w:cs="Verdana"/>
          <w:sz w:val="20"/>
          <w:szCs w:val="20"/>
        </w:rPr>
        <w:t xml:space="preserve">la Corte Interamericana de Derechos </w:t>
      </w:r>
      <w:r w:rsidRPr="00BA2104">
        <w:rPr>
          <w:rFonts w:ascii="Verdana" w:hAnsi="Verdana" w:cs="Verdana"/>
          <w:sz w:val="20"/>
          <w:szCs w:val="20"/>
        </w:rPr>
        <w:t xml:space="preserve">Humanos (en adelante “la Corte Interamericana”, “la Corte” o “el Tribunal”) </w:t>
      </w:r>
      <w:r>
        <w:rPr>
          <w:rFonts w:ascii="Verdana" w:hAnsi="Verdana" w:cs="Verdana"/>
          <w:sz w:val="20"/>
          <w:szCs w:val="20"/>
        </w:rPr>
        <w:t>un caso</w:t>
      </w:r>
      <w:r w:rsidRPr="00BA2104">
        <w:rPr>
          <w:rFonts w:ascii="Verdana" w:hAnsi="Verdana" w:cs="Verdana"/>
          <w:sz w:val="20"/>
          <w:szCs w:val="20"/>
          <w:lang w:val="es-ES_tradnl"/>
        </w:rPr>
        <w:t xml:space="preserve"> en contra de la República </w:t>
      </w:r>
      <w:r>
        <w:rPr>
          <w:rFonts w:ascii="Verdana" w:hAnsi="Verdana" w:cs="Verdana"/>
          <w:sz w:val="20"/>
          <w:szCs w:val="20"/>
          <w:lang w:val="es-ES_tradnl"/>
        </w:rPr>
        <w:t>Argentina</w:t>
      </w:r>
      <w:r w:rsidRPr="00BA2104">
        <w:rPr>
          <w:rFonts w:ascii="Verdana" w:hAnsi="Verdana" w:cs="Verdana"/>
          <w:sz w:val="20"/>
          <w:szCs w:val="20"/>
          <w:lang w:val="es-ES_tradnl"/>
        </w:rPr>
        <w:t xml:space="preserve"> </w:t>
      </w:r>
      <w:r w:rsidRPr="00BA2104">
        <w:rPr>
          <w:rFonts w:ascii="Verdana" w:hAnsi="Verdana" w:cs="Verdana"/>
          <w:sz w:val="20"/>
          <w:szCs w:val="20"/>
          <w:lang w:val="es-CR"/>
        </w:rPr>
        <w:t>(en adelante “</w:t>
      </w:r>
      <w:r>
        <w:rPr>
          <w:rFonts w:ascii="Verdana" w:hAnsi="Verdana" w:cs="Verdana"/>
          <w:sz w:val="20"/>
          <w:szCs w:val="20"/>
          <w:lang w:val="es-CR"/>
        </w:rPr>
        <w:t>Argentina</w:t>
      </w:r>
      <w:r w:rsidRPr="00BA2104">
        <w:rPr>
          <w:rFonts w:ascii="Verdana" w:hAnsi="Verdana" w:cs="Verdana"/>
          <w:sz w:val="20"/>
          <w:szCs w:val="20"/>
          <w:lang w:val="es-CR"/>
        </w:rPr>
        <w:t>” o “el Estado”)</w:t>
      </w:r>
      <w:r>
        <w:rPr>
          <w:rFonts w:ascii="Verdana" w:hAnsi="Verdana" w:cs="Verdana"/>
          <w:sz w:val="20"/>
          <w:szCs w:val="20"/>
          <w:lang w:val="es-CR"/>
        </w:rPr>
        <w:t>.</w:t>
      </w:r>
      <w:r w:rsidRPr="00BA2104">
        <w:rPr>
          <w:rFonts w:ascii="Verdana" w:hAnsi="Verdana" w:cs="Verdana"/>
          <w:sz w:val="20"/>
          <w:szCs w:val="20"/>
          <w:lang w:val="es-CR"/>
        </w:rPr>
        <w:t xml:space="preserve"> </w:t>
      </w:r>
      <w:r>
        <w:rPr>
          <w:rFonts w:ascii="Verdana" w:hAnsi="Verdana" w:cs="Verdana"/>
          <w:sz w:val="20"/>
          <w:szCs w:val="20"/>
          <w:lang w:val="es-CR"/>
        </w:rPr>
        <w:t>En esa oportunidad la Comisión indicó el nombre de uno de los peritos y el objeto de los dos peritajes propuestos.</w:t>
      </w:r>
    </w:p>
    <w:p w:rsidR="00853121" w:rsidRPr="00CE411E" w:rsidRDefault="00853121" w:rsidP="006518E4">
      <w:pPr>
        <w:jc w:val="both"/>
        <w:rPr>
          <w:rFonts w:ascii="Verdana" w:hAnsi="Verdana" w:cs="Verdana"/>
          <w:sz w:val="20"/>
          <w:szCs w:val="20"/>
          <w:lang w:val="es-CR"/>
        </w:rPr>
      </w:pPr>
    </w:p>
    <w:p w:rsidR="00853121" w:rsidRPr="00CE411E" w:rsidRDefault="00853121" w:rsidP="006518E4">
      <w:pPr>
        <w:numPr>
          <w:ilvl w:val="0"/>
          <w:numId w:val="1"/>
        </w:numPr>
        <w:ind w:left="0" w:firstLine="0"/>
        <w:jc w:val="both"/>
        <w:rPr>
          <w:rFonts w:ascii="Verdana" w:hAnsi="Verdana" w:cs="Verdana"/>
          <w:sz w:val="20"/>
          <w:szCs w:val="20"/>
          <w:lang w:val="es-CR"/>
        </w:rPr>
      </w:pPr>
      <w:bookmarkStart w:id="0" w:name="_Ref292291520"/>
      <w:r w:rsidRPr="00CE411E">
        <w:rPr>
          <w:rFonts w:ascii="Verdana" w:hAnsi="Verdana" w:cs="Verdana"/>
          <w:sz w:val="20"/>
          <w:szCs w:val="20"/>
          <w:lang w:val="es-CR"/>
        </w:rPr>
        <w:t xml:space="preserve">El escrito de </w:t>
      </w:r>
      <w:r w:rsidR="00CE631F">
        <w:rPr>
          <w:rFonts w:ascii="Verdana" w:hAnsi="Verdana" w:cs="Verdana"/>
          <w:sz w:val="20"/>
          <w:szCs w:val="20"/>
          <w:lang w:val="es-CR"/>
        </w:rPr>
        <w:t>31</w:t>
      </w:r>
      <w:r>
        <w:rPr>
          <w:rFonts w:ascii="Verdana" w:hAnsi="Verdana" w:cs="Verdana"/>
          <w:sz w:val="20"/>
          <w:szCs w:val="20"/>
          <w:lang w:val="es-CR"/>
        </w:rPr>
        <w:t xml:space="preserve"> de marzo de 2011 y sus anexos, mediante los</w:t>
      </w:r>
      <w:r w:rsidRPr="00CE411E">
        <w:rPr>
          <w:rFonts w:ascii="Verdana" w:hAnsi="Verdana" w:cs="Verdana"/>
          <w:sz w:val="20"/>
          <w:szCs w:val="20"/>
          <w:lang w:val="es-CR"/>
        </w:rPr>
        <w:t xml:space="preserve"> cual</w:t>
      </w:r>
      <w:r>
        <w:rPr>
          <w:rFonts w:ascii="Verdana" w:hAnsi="Verdana" w:cs="Verdana"/>
          <w:sz w:val="20"/>
          <w:szCs w:val="20"/>
          <w:lang w:val="es-CR"/>
        </w:rPr>
        <w:t>es</w:t>
      </w:r>
      <w:r w:rsidRPr="00CE411E">
        <w:rPr>
          <w:rFonts w:ascii="Verdana" w:hAnsi="Verdana" w:cs="Verdana"/>
          <w:sz w:val="20"/>
          <w:szCs w:val="20"/>
          <w:lang w:val="es-CR"/>
        </w:rPr>
        <w:t xml:space="preserve"> la Comisión Interamericana</w:t>
      </w:r>
      <w:r>
        <w:rPr>
          <w:rFonts w:ascii="Verdana" w:hAnsi="Verdana" w:cs="Verdana"/>
          <w:sz w:val="20"/>
          <w:szCs w:val="20"/>
          <w:lang w:val="es-CR"/>
        </w:rPr>
        <w:t xml:space="preserve"> </w:t>
      </w:r>
      <w:r w:rsidRPr="00CE411E">
        <w:rPr>
          <w:rFonts w:ascii="Verdana" w:hAnsi="Verdana" w:cs="Verdana"/>
          <w:sz w:val="20"/>
          <w:szCs w:val="20"/>
          <w:lang w:val="es-CR"/>
        </w:rPr>
        <w:t xml:space="preserve">precisó el nombre de uno de los peritos ofrecidos en su escrito de </w:t>
      </w:r>
      <w:r w:rsidR="00A63E3D">
        <w:rPr>
          <w:rFonts w:ascii="Verdana" w:hAnsi="Verdana" w:cs="Verdana"/>
          <w:sz w:val="20"/>
          <w:szCs w:val="20"/>
          <w:lang w:val="es-CR"/>
        </w:rPr>
        <w:t xml:space="preserve">sometimiento del caso </w:t>
      </w:r>
      <w:r>
        <w:rPr>
          <w:rFonts w:ascii="Verdana" w:hAnsi="Verdana" w:cs="Verdana"/>
          <w:sz w:val="20"/>
          <w:szCs w:val="20"/>
          <w:lang w:val="es-CR"/>
        </w:rPr>
        <w:t>y remitió las hojas de vida de los dos peritos propuestos</w:t>
      </w:r>
      <w:r w:rsidRPr="00CE411E">
        <w:rPr>
          <w:rFonts w:ascii="Verdana" w:hAnsi="Verdana" w:cs="Verdana"/>
          <w:sz w:val="20"/>
          <w:szCs w:val="20"/>
          <w:lang w:val="es-CR"/>
        </w:rPr>
        <w:t>.</w:t>
      </w:r>
      <w:bookmarkEnd w:id="0"/>
      <w:r w:rsidRPr="00CE411E">
        <w:rPr>
          <w:rFonts w:ascii="Verdana" w:hAnsi="Verdana" w:cs="Verdana"/>
          <w:sz w:val="20"/>
          <w:szCs w:val="20"/>
          <w:lang w:val="es-CR"/>
        </w:rPr>
        <w:t xml:space="preserve"> </w:t>
      </w:r>
    </w:p>
    <w:p w:rsidR="00853121" w:rsidRPr="00EA178D" w:rsidRDefault="00853121" w:rsidP="006518E4">
      <w:pPr>
        <w:jc w:val="both"/>
        <w:rPr>
          <w:rFonts w:ascii="Verdana" w:hAnsi="Verdana" w:cs="Verdana"/>
          <w:sz w:val="20"/>
          <w:szCs w:val="20"/>
        </w:rPr>
      </w:pPr>
    </w:p>
    <w:p w:rsidR="00853121" w:rsidRDefault="00853121" w:rsidP="00240EAB">
      <w:pPr>
        <w:numPr>
          <w:ilvl w:val="0"/>
          <w:numId w:val="1"/>
        </w:numPr>
        <w:ind w:left="0" w:firstLine="0"/>
        <w:jc w:val="both"/>
        <w:rPr>
          <w:rFonts w:ascii="Verdana" w:hAnsi="Verdana" w:cs="Verdana"/>
          <w:sz w:val="20"/>
          <w:szCs w:val="20"/>
        </w:rPr>
      </w:pPr>
      <w:bookmarkStart w:id="1" w:name="_Ref292121709"/>
      <w:bookmarkStart w:id="2" w:name="_Ref283046427"/>
      <w:r w:rsidRPr="00EA178D">
        <w:rPr>
          <w:rFonts w:ascii="Verdana" w:hAnsi="Verdana" w:cs="Verdana"/>
          <w:sz w:val="20"/>
          <w:szCs w:val="20"/>
        </w:rPr>
        <w:t>El escrito de solicitudes, argumentos y pruebas (en adelante el “escrito de solicitudes y argumentos”)</w:t>
      </w:r>
      <w:r>
        <w:rPr>
          <w:rFonts w:ascii="Verdana" w:hAnsi="Verdana" w:cs="Verdana"/>
          <w:sz w:val="20"/>
          <w:szCs w:val="20"/>
        </w:rPr>
        <w:t xml:space="preserve"> presentado el 26</w:t>
      </w:r>
      <w:r w:rsidRPr="00EA178D">
        <w:rPr>
          <w:rFonts w:ascii="Verdana" w:hAnsi="Verdana" w:cs="Verdana"/>
          <w:sz w:val="20"/>
          <w:szCs w:val="20"/>
        </w:rPr>
        <w:t xml:space="preserve"> de </w:t>
      </w:r>
      <w:r>
        <w:rPr>
          <w:rFonts w:ascii="Verdana" w:hAnsi="Verdana" w:cs="Verdana"/>
          <w:sz w:val="20"/>
          <w:szCs w:val="20"/>
        </w:rPr>
        <w:t xml:space="preserve">julio de 2011 remitido por </w:t>
      </w:r>
      <w:r w:rsidRPr="00EA178D">
        <w:rPr>
          <w:rFonts w:ascii="Verdana" w:hAnsi="Verdana" w:cs="Verdana"/>
          <w:sz w:val="20"/>
          <w:szCs w:val="20"/>
        </w:rPr>
        <w:t xml:space="preserve">los representantes de las </w:t>
      </w:r>
      <w:r w:rsidRPr="00C87ED3">
        <w:rPr>
          <w:rFonts w:ascii="Verdana" w:hAnsi="Verdana" w:cs="Verdana"/>
          <w:sz w:val="20"/>
          <w:szCs w:val="20"/>
        </w:rPr>
        <w:t>presuntas víctimas</w:t>
      </w:r>
      <w:r>
        <w:rPr>
          <w:rStyle w:val="FootnoteReference"/>
          <w:rFonts w:ascii="Verdana" w:hAnsi="Verdana" w:cs="Verdana"/>
          <w:sz w:val="20"/>
          <w:szCs w:val="20"/>
        </w:rPr>
        <w:footnoteReference w:id="1"/>
      </w:r>
      <w:r>
        <w:rPr>
          <w:rFonts w:ascii="Verdana" w:hAnsi="Verdana" w:cs="Verdana"/>
          <w:sz w:val="20"/>
          <w:szCs w:val="20"/>
        </w:rPr>
        <w:t xml:space="preserve"> </w:t>
      </w:r>
      <w:r w:rsidRPr="00EA178D">
        <w:rPr>
          <w:rFonts w:ascii="Verdana" w:hAnsi="Verdana" w:cs="Verdana"/>
          <w:sz w:val="20"/>
          <w:szCs w:val="20"/>
        </w:rPr>
        <w:t>(en adelante “los representantes”)</w:t>
      </w:r>
      <w:r>
        <w:rPr>
          <w:rFonts w:ascii="Verdana" w:hAnsi="Verdana" w:cs="Verdana"/>
          <w:sz w:val="20"/>
          <w:szCs w:val="20"/>
        </w:rPr>
        <w:t>, mediante el cual</w:t>
      </w:r>
      <w:r w:rsidRPr="00EA178D">
        <w:rPr>
          <w:rFonts w:ascii="Verdana" w:hAnsi="Verdana" w:cs="Verdana"/>
          <w:sz w:val="20"/>
          <w:szCs w:val="20"/>
        </w:rPr>
        <w:t xml:space="preserve"> ofrecieron </w:t>
      </w:r>
      <w:r>
        <w:rPr>
          <w:rFonts w:ascii="Verdana" w:hAnsi="Verdana" w:cs="Verdana"/>
          <w:sz w:val="20"/>
          <w:szCs w:val="20"/>
        </w:rPr>
        <w:t>cinco</w:t>
      </w:r>
      <w:r w:rsidRPr="00EA178D">
        <w:rPr>
          <w:rFonts w:ascii="Verdana" w:hAnsi="Verdana" w:cs="Verdana"/>
          <w:sz w:val="20"/>
          <w:szCs w:val="20"/>
        </w:rPr>
        <w:t xml:space="preserve"> declaraciones y </w:t>
      </w:r>
      <w:r>
        <w:rPr>
          <w:rFonts w:ascii="Verdana" w:hAnsi="Verdana" w:cs="Verdana"/>
          <w:sz w:val="20"/>
          <w:szCs w:val="20"/>
        </w:rPr>
        <w:t>cuatro</w:t>
      </w:r>
      <w:r w:rsidRPr="00EA178D">
        <w:rPr>
          <w:rFonts w:ascii="Verdana" w:hAnsi="Verdana" w:cs="Verdana"/>
          <w:sz w:val="20"/>
          <w:szCs w:val="20"/>
        </w:rPr>
        <w:t xml:space="preserve"> peritajes. Asimismo, solicitaron, </w:t>
      </w:r>
      <w:r w:rsidRPr="00741228">
        <w:rPr>
          <w:rFonts w:ascii="Verdana" w:hAnsi="Verdana" w:cs="Verdana"/>
          <w:sz w:val="20"/>
          <w:szCs w:val="20"/>
        </w:rPr>
        <w:t>en nombre de las presuntas víctimas,</w:t>
      </w:r>
      <w:r w:rsidRPr="00EA178D">
        <w:rPr>
          <w:rFonts w:ascii="Verdana" w:hAnsi="Verdana" w:cs="Verdana"/>
          <w:sz w:val="20"/>
          <w:szCs w:val="20"/>
        </w:rPr>
        <w:t xml:space="preserve"> acogerse al Fondo de Asistencia Legal de Víctimas de la Corte Interamericana </w:t>
      </w:r>
      <w:r w:rsidRPr="00EA178D">
        <w:rPr>
          <w:rFonts w:ascii="Verdana" w:hAnsi="Verdana" w:cs="Verdana"/>
          <w:sz w:val="20"/>
          <w:szCs w:val="20"/>
          <w:lang w:val="es-ES_tradnl"/>
        </w:rPr>
        <w:t>(en adelante “el Fondo de Asistencia de Víctimas”, “el Fondo de Asistencia” o “</w:t>
      </w:r>
      <w:r>
        <w:rPr>
          <w:rFonts w:ascii="Verdana" w:hAnsi="Verdana" w:cs="Verdana"/>
          <w:sz w:val="20"/>
          <w:szCs w:val="20"/>
          <w:lang w:val="es-ES_tradnl"/>
        </w:rPr>
        <w:t xml:space="preserve">el </w:t>
      </w:r>
      <w:r w:rsidRPr="00EA178D">
        <w:rPr>
          <w:rFonts w:ascii="Verdana" w:hAnsi="Verdana" w:cs="Verdana"/>
          <w:sz w:val="20"/>
          <w:szCs w:val="20"/>
          <w:lang w:val="es-ES_tradnl"/>
        </w:rPr>
        <w:t xml:space="preserve">Fondo”) </w:t>
      </w:r>
      <w:bookmarkEnd w:id="1"/>
      <w:bookmarkEnd w:id="2"/>
      <w:r w:rsidRPr="00240EAB">
        <w:rPr>
          <w:rFonts w:ascii="Verdana" w:hAnsi="Verdana" w:cs="Verdana"/>
          <w:sz w:val="20"/>
          <w:szCs w:val="20"/>
        </w:rPr>
        <w:t>con el fin de realizar la “defensa en el proceso internacional [y] para los gastos que demande la intervención de los defensores interamericanos”, aspectos que fueron especificados y respecto a los cuales se adjuntó cierto soporte documental.</w:t>
      </w:r>
    </w:p>
    <w:p w:rsidR="00853121" w:rsidRDefault="00853121" w:rsidP="001B76BF">
      <w:pPr>
        <w:pStyle w:val="ListParagraph"/>
        <w:rPr>
          <w:rFonts w:ascii="Verdana" w:hAnsi="Verdana" w:cs="Verdana"/>
          <w:sz w:val="20"/>
          <w:szCs w:val="20"/>
        </w:rPr>
      </w:pPr>
    </w:p>
    <w:p w:rsidR="00853121" w:rsidRPr="00240EAB" w:rsidRDefault="00596E34" w:rsidP="00240EAB">
      <w:pPr>
        <w:numPr>
          <w:ilvl w:val="0"/>
          <w:numId w:val="1"/>
        </w:numPr>
        <w:ind w:left="0" w:firstLine="0"/>
        <w:jc w:val="both"/>
        <w:rPr>
          <w:rFonts w:ascii="Verdana" w:hAnsi="Verdana" w:cs="Verdana"/>
          <w:sz w:val="20"/>
          <w:szCs w:val="20"/>
        </w:rPr>
      </w:pPr>
      <w:r>
        <w:rPr>
          <w:rFonts w:ascii="Verdana" w:hAnsi="Verdana" w:cs="Verdana"/>
          <w:sz w:val="20"/>
          <w:szCs w:val="20"/>
        </w:rPr>
        <w:t>La comunicación de 10</w:t>
      </w:r>
      <w:r w:rsidR="00853121">
        <w:rPr>
          <w:rFonts w:ascii="Verdana" w:hAnsi="Verdana" w:cs="Verdana"/>
          <w:sz w:val="20"/>
          <w:szCs w:val="20"/>
        </w:rPr>
        <w:t xml:space="preserve"> de agosto de 2011 y sus anexos, mediante los cuales los representantes remitieron las hojas de vida y los datos de contacto de los cuatro peritos propuestos.</w:t>
      </w:r>
    </w:p>
    <w:p w:rsidR="00853121" w:rsidRPr="00EA178D" w:rsidRDefault="00853121" w:rsidP="006518E4">
      <w:pPr>
        <w:pStyle w:val="ListParagraph1"/>
        <w:ind w:left="0"/>
        <w:rPr>
          <w:rFonts w:ascii="Verdana" w:hAnsi="Verdana" w:cs="Verdana"/>
          <w:sz w:val="20"/>
          <w:szCs w:val="20"/>
        </w:rPr>
      </w:pPr>
    </w:p>
    <w:p w:rsidR="00853121" w:rsidRPr="00EA178D" w:rsidRDefault="00853121" w:rsidP="006518E4">
      <w:pPr>
        <w:numPr>
          <w:ilvl w:val="0"/>
          <w:numId w:val="1"/>
        </w:numPr>
        <w:ind w:left="0" w:firstLine="0"/>
        <w:jc w:val="both"/>
        <w:rPr>
          <w:rFonts w:ascii="Verdana" w:hAnsi="Verdana" w:cs="Verdana"/>
          <w:sz w:val="20"/>
          <w:szCs w:val="20"/>
        </w:rPr>
      </w:pPr>
      <w:bookmarkStart w:id="3" w:name="_Ref292291491"/>
      <w:r w:rsidRPr="00EA178D">
        <w:rPr>
          <w:rFonts w:ascii="Verdana" w:hAnsi="Verdana" w:cs="Verdana"/>
          <w:sz w:val="20"/>
          <w:szCs w:val="20"/>
        </w:rPr>
        <w:t xml:space="preserve">El escrito de excepciones preliminares y contestación a la demanda y observaciones al escrito de solicitudes y argumentos </w:t>
      </w:r>
      <w:r>
        <w:rPr>
          <w:rFonts w:ascii="Verdana" w:hAnsi="Verdana" w:cs="Verdana"/>
          <w:sz w:val="20"/>
          <w:szCs w:val="20"/>
        </w:rPr>
        <w:t xml:space="preserve">(en adelante “la contestación de la demanda”) presentado  el </w:t>
      </w:r>
      <w:r w:rsidRPr="00EA178D">
        <w:rPr>
          <w:rFonts w:ascii="Verdana" w:hAnsi="Verdana" w:cs="Verdana"/>
          <w:sz w:val="20"/>
          <w:szCs w:val="20"/>
        </w:rPr>
        <w:t xml:space="preserve">28 de </w:t>
      </w:r>
      <w:r>
        <w:rPr>
          <w:rFonts w:ascii="Verdana" w:hAnsi="Verdana" w:cs="Verdana"/>
          <w:sz w:val="20"/>
          <w:szCs w:val="20"/>
        </w:rPr>
        <w:t>octubre de 2011 por</w:t>
      </w:r>
      <w:r w:rsidR="00E03CB7">
        <w:rPr>
          <w:rFonts w:ascii="Verdana" w:hAnsi="Verdana" w:cs="Verdana"/>
          <w:sz w:val="20"/>
          <w:szCs w:val="20"/>
        </w:rPr>
        <w:t xml:space="preserve"> Argentina, en el que no ofreció declarantes</w:t>
      </w:r>
      <w:r w:rsidRPr="00EA178D">
        <w:rPr>
          <w:rFonts w:ascii="Verdana" w:hAnsi="Verdana" w:cs="Verdana"/>
          <w:sz w:val="20"/>
          <w:szCs w:val="20"/>
        </w:rPr>
        <w:t>.</w:t>
      </w:r>
      <w:bookmarkEnd w:id="3"/>
      <w:r w:rsidRPr="00EA178D">
        <w:rPr>
          <w:rFonts w:ascii="Verdana" w:hAnsi="Verdana" w:cs="Verdana"/>
          <w:sz w:val="20"/>
          <w:szCs w:val="20"/>
        </w:rPr>
        <w:t xml:space="preserve"> </w:t>
      </w:r>
      <w:r>
        <w:rPr>
          <w:rFonts w:ascii="Verdana" w:hAnsi="Verdana" w:cs="Verdana"/>
          <w:sz w:val="20"/>
          <w:szCs w:val="20"/>
        </w:rPr>
        <w:t>Asimismo, el Estado objetó un peritaje propuesto por los representantes.</w:t>
      </w:r>
    </w:p>
    <w:p w:rsidR="00853121" w:rsidRPr="00EA178D" w:rsidRDefault="00853121" w:rsidP="006518E4">
      <w:pPr>
        <w:jc w:val="both"/>
        <w:rPr>
          <w:rFonts w:ascii="Verdana" w:hAnsi="Verdana" w:cs="Verdana"/>
          <w:sz w:val="20"/>
          <w:szCs w:val="20"/>
        </w:rPr>
      </w:pPr>
    </w:p>
    <w:p w:rsidR="00853121" w:rsidRPr="00EA178D" w:rsidRDefault="00853121" w:rsidP="006518E4">
      <w:pPr>
        <w:numPr>
          <w:ilvl w:val="0"/>
          <w:numId w:val="1"/>
        </w:numPr>
        <w:ind w:left="0" w:firstLine="0"/>
        <w:jc w:val="both"/>
        <w:rPr>
          <w:rFonts w:ascii="Verdana" w:hAnsi="Verdana" w:cs="Verdana"/>
          <w:sz w:val="20"/>
          <w:szCs w:val="20"/>
        </w:rPr>
      </w:pPr>
      <w:bookmarkStart w:id="4" w:name="_Ref292815256"/>
      <w:r w:rsidRPr="00EA178D">
        <w:rPr>
          <w:rFonts w:ascii="Verdana" w:hAnsi="Verdana" w:cs="Verdana"/>
          <w:sz w:val="20"/>
          <w:szCs w:val="20"/>
        </w:rPr>
        <w:lastRenderedPageBreak/>
        <w:t xml:space="preserve">La Resolución del Presidente de la Corte </w:t>
      </w:r>
      <w:r w:rsidRPr="006E0B37">
        <w:rPr>
          <w:rFonts w:ascii="Verdana" w:hAnsi="Verdana" w:cs="Verdana"/>
          <w:sz w:val="20"/>
          <w:szCs w:val="20"/>
        </w:rPr>
        <w:t>(en adelante “el Presidente”)</w:t>
      </w:r>
      <w:r w:rsidRPr="00EA178D">
        <w:rPr>
          <w:rFonts w:ascii="Verdana" w:hAnsi="Verdana" w:cs="Verdana"/>
          <w:sz w:val="20"/>
          <w:szCs w:val="20"/>
        </w:rPr>
        <w:t xml:space="preserve"> de 23 de </w:t>
      </w:r>
      <w:r>
        <w:rPr>
          <w:rFonts w:ascii="Verdana" w:hAnsi="Verdana" w:cs="Verdana"/>
          <w:sz w:val="20"/>
          <w:szCs w:val="20"/>
        </w:rPr>
        <w:t xml:space="preserve">noviembre </w:t>
      </w:r>
      <w:r w:rsidRPr="00EA178D">
        <w:rPr>
          <w:rFonts w:ascii="Verdana" w:hAnsi="Verdana" w:cs="Verdana"/>
          <w:sz w:val="20"/>
          <w:szCs w:val="20"/>
        </w:rPr>
        <w:t xml:space="preserve">de 2011 sobre la solicitud de las presuntas víctimas de acogerse al </w:t>
      </w:r>
      <w:r w:rsidRPr="00EA178D">
        <w:rPr>
          <w:rFonts w:ascii="Verdana" w:hAnsi="Verdana" w:cs="Verdana"/>
          <w:sz w:val="20"/>
          <w:szCs w:val="20"/>
          <w:lang w:val="es-ES_tradnl"/>
        </w:rPr>
        <w:t>Fondo de Asistencia de Víctimas (</w:t>
      </w:r>
      <w:r w:rsidRPr="00EA178D">
        <w:rPr>
          <w:rFonts w:ascii="Verdana" w:hAnsi="Verdana" w:cs="Verdana"/>
          <w:i/>
          <w:iCs/>
          <w:sz w:val="20"/>
          <w:szCs w:val="20"/>
          <w:lang w:val="es-ES_tradnl"/>
        </w:rPr>
        <w:t xml:space="preserve">supra </w:t>
      </w:r>
      <w:r w:rsidRPr="00EA178D">
        <w:rPr>
          <w:rFonts w:ascii="Verdana" w:hAnsi="Verdana" w:cs="Verdana"/>
          <w:sz w:val="20"/>
          <w:szCs w:val="20"/>
          <w:lang w:val="es-ES_tradnl"/>
        </w:rPr>
        <w:t xml:space="preserve">Visto </w:t>
      </w:r>
      <w:r>
        <w:rPr>
          <w:rFonts w:ascii="Verdana" w:hAnsi="Verdana" w:cs="Verdana"/>
          <w:sz w:val="20"/>
          <w:szCs w:val="20"/>
          <w:lang w:val="es-ES_tradnl"/>
        </w:rPr>
        <w:t>3</w:t>
      </w:r>
      <w:r w:rsidRPr="00EA178D">
        <w:rPr>
          <w:rFonts w:ascii="Verdana" w:hAnsi="Verdana" w:cs="Verdana"/>
          <w:sz w:val="20"/>
          <w:szCs w:val="20"/>
          <w:lang w:val="es-ES_tradnl"/>
        </w:rPr>
        <w:t>).</w:t>
      </w:r>
      <w:bookmarkEnd w:id="4"/>
    </w:p>
    <w:p w:rsidR="00853121" w:rsidRPr="00EA178D" w:rsidRDefault="00853121" w:rsidP="006518E4">
      <w:pPr>
        <w:jc w:val="both"/>
        <w:rPr>
          <w:rFonts w:ascii="Verdana" w:hAnsi="Verdana" w:cs="Verdana"/>
          <w:sz w:val="20"/>
          <w:szCs w:val="20"/>
        </w:rPr>
      </w:pPr>
    </w:p>
    <w:p w:rsidR="00853121" w:rsidRPr="00EA178D" w:rsidRDefault="00853121" w:rsidP="006518E4">
      <w:pPr>
        <w:numPr>
          <w:ilvl w:val="0"/>
          <w:numId w:val="1"/>
        </w:numPr>
        <w:ind w:left="0" w:firstLine="0"/>
        <w:jc w:val="both"/>
        <w:rPr>
          <w:rFonts w:ascii="Verdana" w:hAnsi="Verdana"/>
          <w:sz w:val="20"/>
          <w:szCs w:val="20"/>
          <w:lang w:val="es-ES_tradnl" w:eastAsia="en-US"/>
        </w:rPr>
      </w:pPr>
      <w:bookmarkStart w:id="5" w:name="_Ref292292567"/>
      <w:bookmarkStart w:id="6" w:name="_Ref292700362"/>
      <w:r>
        <w:rPr>
          <w:rFonts w:ascii="Verdana" w:hAnsi="Verdana"/>
          <w:sz w:val="20"/>
          <w:szCs w:val="20"/>
          <w:lang w:val="es-CR" w:eastAsia="en-US"/>
        </w:rPr>
        <w:t>Los escritos de 9 y 10</w:t>
      </w:r>
      <w:r w:rsidRPr="00EA178D">
        <w:rPr>
          <w:rFonts w:ascii="Verdana" w:hAnsi="Verdana"/>
          <w:sz w:val="20"/>
          <w:szCs w:val="20"/>
          <w:lang w:val="es-CR" w:eastAsia="en-US"/>
        </w:rPr>
        <w:t xml:space="preserve"> de </w:t>
      </w:r>
      <w:r>
        <w:rPr>
          <w:rFonts w:ascii="Verdana" w:hAnsi="Verdana"/>
          <w:sz w:val="20"/>
          <w:szCs w:val="20"/>
          <w:lang w:val="es-CR" w:eastAsia="en-US"/>
        </w:rPr>
        <w:t xml:space="preserve">diciembre </w:t>
      </w:r>
      <w:r w:rsidRPr="00EA178D">
        <w:rPr>
          <w:rFonts w:ascii="Verdana" w:hAnsi="Verdana"/>
          <w:sz w:val="20"/>
          <w:szCs w:val="20"/>
          <w:lang w:val="es-CR" w:eastAsia="en-US"/>
        </w:rPr>
        <w:t xml:space="preserve">de 2011, mediante los cuales </w:t>
      </w:r>
      <w:r>
        <w:rPr>
          <w:rFonts w:ascii="Verdana" w:hAnsi="Verdana"/>
          <w:sz w:val="20"/>
          <w:szCs w:val="20"/>
          <w:lang w:val="es-CR" w:eastAsia="en-US"/>
        </w:rPr>
        <w:t xml:space="preserve">los representantes y </w:t>
      </w:r>
      <w:r w:rsidRPr="00EA178D">
        <w:rPr>
          <w:rFonts w:ascii="Verdana" w:hAnsi="Verdana"/>
          <w:sz w:val="20"/>
          <w:szCs w:val="20"/>
          <w:lang w:val="es-CR" w:eastAsia="en-US"/>
        </w:rPr>
        <w:t xml:space="preserve">la Comisión Interamericana presentaron, respectivamente, sus </w:t>
      </w:r>
      <w:r w:rsidRPr="001A174F">
        <w:rPr>
          <w:rFonts w:ascii="Verdana" w:hAnsi="Verdana"/>
          <w:sz w:val="20"/>
          <w:szCs w:val="20"/>
          <w:lang w:val="es-CR" w:eastAsia="en-US"/>
        </w:rPr>
        <w:t>observaciones</w:t>
      </w:r>
      <w:r w:rsidRPr="00EA178D">
        <w:rPr>
          <w:rFonts w:ascii="Verdana" w:hAnsi="Verdana"/>
          <w:sz w:val="20"/>
          <w:szCs w:val="20"/>
          <w:lang w:val="es-CR" w:eastAsia="en-US"/>
        </w:rPr>
        <w:t xml:space="preserve"> a las excepciones preliminares interpuestas por el Estado.</w:t>
      </w:r>
      <w:bookmarkEnd w:id="5"/>
      <w:r w:rsidRPr="00EA178D">
        <w:rPr>
          <w:rFonts w:ascii="Verdana" w:hAnsi="Verdana"/>
          <w:sz w:val="20"/>
          <w:szCs w:val="20"/>
          <w:lang w:val="es-CR" w:eastAsia="en-US"/>
        </w:rPr>
        <w:t xml:space="preserve"> </w:t>
      </w:r>
      <w:bookmarkEnd w:id="6"/>
    </w:p>
    <w:p w:rsidR="00853121" w:rsidRPr="00EA178D" w:rsidRDefault="00853121" w:rsidP="006518E4">
      <w:pPr>
        <w:jc w:val="both"/>
        <w:rPr>
          <w:rFonts w:ascii="Verdana" w:hAnsi="Verdana" w:cs="Verdana"/>
          <w:sz w:val="20"/>
          <w:szCs w:val="20"/>
        </w:rPr>
      </w:pPr>
    </w:p>
    <w:p w:rsidR="00853121" w:rsidRDefault="00853121" w:rsidP="006518E4">
      <w:pPr>
        <w:numPr>
          <w:ilvl w:val="0"/>
          <w:numId w:val="1"/>
        </w:numPr>
        <w:ind w:left="0" w:firstLine="0"/>
        <w:jc w:val="both"/>
        <w:rPr>
          <w:rFonts w:ascii="Verdana" w:hAnsi="Verdana" w:cs="Verdana"/>
          <w:sz w:val="20"/>
          <w:szCs w:val="20"/>
        </w:rPr>
      </w:pPr>
      <w:r w:rsidRPr="00EA178D">
        <w:rPr>
          <w:rFonts w:ascii="Verdana" w:hAnsi="Verdana" w:cs="Verdana"/>
          <w:sz w:val="20"/>
          <w:szCs w:val="20"/>
        </w:rPr>
        <w:t xml:space="preserve">Las notas de la Secretaría de </w:t>
      </w:r>
      <w:r>
        <w:rPr>
          <w:rFonts w:ascii="Verdana" w:hAnsi="Verdana" w:cs="Verdana"/>
          <w:sz w:val="20"/>
          <w:szCs w:val="20"/>
        </w:rPr>
        <w:t xml:space="preserve">25 de noviembre </w:t>
      </w:r>
      <w:r w:rsidRPr="00EA178D">
        <w:rPr>
          <w:rFonts w:ascii="Verdana" w:hAnsi="Verdana" w:cs="Verdana"/>
          <w:sz w:val="20"/>
          <w:szCs w:val="20"/>
        </w:rPr>
        <w:t xml:space="preserve">de 2011, mediante las cuales, siguiendo instrucciones del Presidente </w:t>
      </w:r>
      <w:r w:rsidRPr="006E0B37">
        <w:rPr>
          <w:rFonts w:ascii="Verdana" w:hAnsi="Verdana" w:cs="Verdana"/>
          <w:sz w:val="20"/>
          <w:szCs w:val="20"/>
        </w:rPr>
        <w:t xml:space="preserve">del Tribunal </w:t>
      </w:r>
      <w:r w:rsidRPr="00EA178D">
        <w:rPr>
          <w:rFonts w:ascii="Verdana" w:hAnsi="Verdana" w:cs="Verdana"/>
          <w:sz w:val="20"/>
          <w:szCs w:val="20"/>
        </w:rPr>
        <w:t>y de conformidad con el artículo 46.1 del Reglamento de la Corte aplicable al presente caso</w:t>
      </w:r>
      <w:r w:rsidRPr="00A571B9">
        <w:rPr>
          <w:rStyle w:val="FootnoteReference"/>
          <w:rFonts w:ascii="Verdana" w:hAnsi="Verdana"/>
          <w:sz w:val="16"/>
          <w:szCs w:val="16"/>
        </w:rPr>
        <w:footnoteReference w:id="2"/>
      </w:r>
      <w:r w:rsidRPr="00EA178D">
        <w:rPr>
          <w:rFonts w:ascii="Verdana" w:hAnsi="Verdana" w:cs="Verdana"/>
          <w:sz w:val="20"/>
          <w:szCs w:val="20"/>
        </w:rPr>
        <w:t xml:space="preserve"> (en adelante “el Reglamento de la Corte” o “el Reglamento”), se solicitó a los representantes y a la Comisión Interamericana que remitieran, a más tardar el </w:t>
      </w:r>
      <w:r>
        <w:rPr>
          <w:rFonts w:ascii="Verdana" w:hAnsi="Verdana" w:cs="Verdana"/>
          <w:sz w:val="20"/>
          <w:szCs w:val="20"/>
        </w:rPr>
        <w:t xml:space="preserve">2 de diciembre </w:t>
      </w:r>
      <w:r w:rsidRPr="00EA178D">
        <w:rPr>
          <w:rFonts w:ascii="Verdana" w:hAnsi="Verdana" w:cs="Verdana"/>
          <w:sz w:val="20"/>
          <w:szCs w:val="20"/>
        </w:rPr>
        <w:t>de 2011, sus respectivas listas definitivas de declarantes, con el fin de programar la audiencia pública sobre las excepciones preliminares y eventuales fondo, reparaciones y costas que se celebrará en este caso. Asimismo, en</w:t>
      </w:r>
      <w:r w:rsidRPr="00256BD4">
        <w:rPr>
          <w:rFonts w:ascii="Verdana" w:hAnsi="Verdana" w:cs="Verdana"/>
          <w:sz w:val="20"/>
          <w:szCs w:val="20"/>
        </w:rPr>
        <w:t xml:space="preserve"> razón del principio de economía procesal, se </w:t>
      </w:r>
      <w:r>
        <w:rPr>
          <w:rFonts w:ascii="Verdana" w:hAnsi="Verdana" w:cs="Verdana"/>
          <w:sz w:val="20"/>
          <w:szCs w:val="20"/>
        </w:rPr>
        <w:t xml:space="preserve">les </w:t>
      </w:r>
      <w:r w:rsidRPr="00256BD4">
        <w:rPr>
          <w:rFonts w:ascii="Verdana" w:hAnsi="Verdana" w:cs="Verdana"/>
          <w:sz w:val="20"/>
          <w:szCs w:val="20"/>
        </w:rPr>
        <w:t>solicitó que indicaran cuáles declarantes podían rendir declaración ante fedatario público (</w:t>
      </w:r>
      <w:r w:rsidRPr="00256BD4">
        <w:rPr>
          <w:rFonts w:ascii="Verdana" w:hAnsi="Verdana" w:cs="Verdana"/>
          <w:i/>
          <w:iCs/>
          <w:sz w:val="20"/>
          <w:szCs w:val="20"/>
        </w:rPr>
        <w:t>affidávit</w:t>
      </w:r>
      <w:r w:rsidRPr="00256BD4">
        <w:rPr>
          <w:rFonts w:ascii="Verdana" w:hAnsi="Verdana" w:cs="Verdana"/>
          <w:sz w:val="20"/>
          <w:szCs w:val="20"/>
        </w:rPr>
        <w:t xml:space="preserve">), y quiénes </w:t>
      </w:r>
      <w:r>
        <w:rPr>
          <w:rFonts w:ascii="Verdana" w:hAnsi="Verdana" w:cs="Verdana"/>
          <w:sz w:val="20"/>
          <w:szCs w:val="20"/>
        </w:rPr>
        <w:t xml:space="preserve">consideraban que </w:t>
      </w:r>
      <w:r w:rsidRPr="00256BD4">
        <w:rPr>
          <w:rFonts w:ascii="Verdana" w:hAnsi="Verdana" w:cs="Verdana"/>
          <w:sz w:val="20"/>
          <w:szCs w:val="20"/>
        </w:rPr>
        <w:t xml:space="preserve">debían ser llamados a declarar en audiencia pública. </w:t>
      </w:r>
    </w:p>
    <w:p w:rsidR="00853121" w:rsidRPr="00A12F92" w:rsidRDefault="00853121" w:rsidP="006518E4">
      <w:pPr>
        <w:jc w:val="both"/>
        <w:rPr>
          <w:rFonts w:ascii="Verdana" w:hAnsi="Verdana" w:cs="Verdana"/>
          <w:sz w:val="20"/>
          <w:szCs w:val="20"/>
          <w:lang w:val="es-CR"/>
        </w:rPr>
      </w:pPr>
    </w:p>
    <w:p w:rsidR="00853121" w:rsidRPr="004B45FD" w:rsidRDefault="00853121" w:rsidP="006518E4">
      <w:pPr>
        <w:numPr>
          <w:ilvl w:val="0"/>
          <w:numId w:val="1"/>
        </w:numPr>
        <w:ind w:left="0" w:firstLine="0"/>
        <w:jc w:val="both"/>
        <w:rPr>
          <w:rFonts w:ascii="Verdana" w:hAnsi="Verdana" w:cs="Verdana"/>
          <w:sz w:val="20"/>
          <w:szCs w:val="20"/>
          <w:lang w:val="es-CR"/>
        </w:rPr>
      </w:pPr>
      <w:bookmarkStart w:id="7" w:name="_Ref292266352"/>
      <w:r w:rsidRPr="00592C8E">
        <w:rPr>
          <w:rFonts w:ascii="Verdana" w:hAnsi="Verdana" w:cs="Verdana"/>
          <w:sz w:val="20"/>
          <w:szCs w:val="20"/>
        </w:rPr>
        <w:t xml:space="preserve">El escrito de </w:t>
      </w:r>
      <w:r>
        <w:rPr>
          <w:rFonts w:ascii="Verdana" w:hAnsi="Verdana" w:cs="Verdana"/>
          <w:sz w:val="20"/>
          <w:szCs w:val="20"/>
        </w:rPr>
        <w:t>9</w:t>
      </w:r>
      <w:r w:rsidRPr="00592C8E">
        <w:rPr>
          <w:rFonts w:ascii="Verdana" w:hAnsi="Verdana" w:cs="Verdana"/>
          <w:sz w:val="20"/>
          <w:szCs w:val="20"/>
        </w:rPr>
        <w:t xml:space="preserve"> de </w:t>
      </w:r>
      <w:r>
        <w:rPr>
          <w:rFonts w:ascii="Verdana" w:hAnsi="Verdana" w:cs="Verdana"/>
          <w:sz w:val="20"/>
          <w:szCs w:val="20"/>
        </w:rPr>
        <w:t xml:space="preserve">diciembre </w:t>
      </w:r>
      <w:r w:rsidRPr="00592C8E">
        <w:rPr>
          <w:rFonts w:ascii="Verdana" w:hAnsi="Verdana" w:cs="Verdana"/>
          <w:sz w:val="20"/>
          <w:szCs w:val="20"/>
        </w:rPr>
        <w:t xml:space="preserve">de 2011, mediante el cual </w:t>
      </w:r>
      <w:r w:rsidRPr="00592C8E">
        <w:rPr>
          <w:rFonts w:ascii="Verdana" w:hAnsi="Verdana" w:cs="Verdana"/>
          <w:sz w:val="20"/>
          <w:szCs w:val="20"/>
          <w:lang w:val="es-ES_tradnl"/>
        </w:rPr>
        <w:t>la Comisión Interamericana</w:t>
      </w:r>
      <w:r>
        <w:rPr>
          <w:rFonts w:ascii="Verdana" w:hAnsi="Verdana" w:cs="Verdana"/>
          <w:sz w:val="20"/>
          <w:szCs w:val="20"/>
          <w:lang w:val="es-ES_tradnl"/>
        </w:rPr>
        <w:t>, luego de una solicitud de prórroga que fue concedida,</w:t>
      </w:r>
      <w:r w:rsidRPr="00592C8E">
        <w:rPr>
          <w:rFonts w:ascii="Verdana" w:hAnsi="Verdana" w:cs="Verdana"/>
          <w:sz w:val="20"/>
          <w:szCs w:val="20"/>
          <w:lang w:val="es-ES_tradnl"/>
        </w:rPr>
        <w:t xml:space="preserve"> </w:t>
      </w:r>
      <w:r>
        <w:rPr>
          <w:rFonts w:ascii="Verdana" w:hAnsi="Verdana" w:cs="Verdana"/>
          <w:sz w:val="20"/>
          <w:szCs w:val="20"/>
          <w:lang w:val="es-ES_tradnl"/>
        </w:rPr>
        <w:t xml:space="preserve">presentó su lista definitiva de declarantes. La Comisión </w:t>
      </w:r>
      <w:r w:rsidRPr="00592C8E">
        <w:rPr>
          <w:rFonts w:ascii="Verdana" w:hAnsi="Verdana" w:cs="Verdana"/>
          <w:sz w:val="20"/>
          <w:szCs w:val="20"/>
          <w:lang w:val="es-ES_tradnl"/>
        </w:rPr>
        <w:t>confirmó el ofrecimiento de los</w:t>
      </w:r>
      <w:r>
        <w:rPr>
          <w:rFonts w:ascii="Verdana" w:hAnsi="Verdana" w:cs="Verdana"/>
          <w:sz w:val="20"/>
          <w:szCs w:val="20"/>
          <w:lang w:val="es-ES_tradnl"/>
        </w:rPr>
        <w:t xml:space="preserve"> dos peritos propuestos</w:t>
      </w:r>
      <w:r w:rsidRPr="00592C8E">
        <w:rPr>
          <w:rFonts w:ascii="Verdana" w:hAnsi="Verdana" w:cs="Verdana"/>
          <w:sz w:val="20"/>
          <w:szCs w:val="20"/>
          <w:lang w:val="es-ES_tradnl"/>
        </w:rPr>
        <w:t xml:space="preserve"> </w:t>
      </w:r>
      <w:r>
        <w:rPr>
          <w:rFonts w:ascii="Verdana" w:hAnsi="Verdana" w:cs="Verdana"/>
          <w:sz w:val="20"/>
          <w:szCs w:val="20"/>
          <w:lang w:val="es-ES_tradnl"/>
        </w:rPr>
        <w:t>(</w:t>
      </w:r>
      <w:r w:rsidRPr="00E25ADC">
        <w:rPr>
          <w:rFonts w:ascii="Verdana" w:hAnsi="Verdana" w:cs="Verdana"/>
          <w:i/>
          <w:iCs/>
          <w:sz w:val="20"/>
          <w:szCs w:val="20"/>
          <w:lang w:val="es-ES_tradnl"/>
        </w:rPr>
        <w:t>supra</w:t>
      </w:r>
      <w:r>
        <w:rPr>
          <w:rFonts w:ascii="Verdana" w:hAnsi="Verdana" w:cs="Verdana"/>
          <w:sz w:val="20"/>
          <w:szCs w:val="20"/>
          <w:lang w:val="es-ES_tradnl"/>
        </w:rPr>
        <w:t xml:space="preserve"> Vistos 1 y 2)</w:t>
      </w:r>
      <w:r w:rsidRPr="00592C8E">
        <w:rPr>
          <w:rFonts w:ascii="Verdana" w:hAnsi="Verdana" w:cs="Verdana"/>
          <w:sz w:val="20"/>
          <w:szCs w:val="20"/>
          <w:lang w:val="es-ES_tradnl"/>
        </w:rPr>
        <w:t xml:space="preserve"> </w:t>
      </w:r>
      <w:r>
        <w:rPr>
          <w:rFonts w:ascii="Verdana" w:hAnsi="Verdana" w:cs="Verdana"/>
          <w:sz w:val="20"/>
          <w:szCs w:val="20"/>
          <w:lang w:val="es-ES_tradnl"/>
        </w:rPr>
        <w:t xml:space="preserve">y solicitó que ambos fueran llamados </w:t>
      </w:r>
      <w:r w:rsidRPr="00592C8E">
        <w:rPr>
          <w:rFonts w:ascii="Verdana" w:hAnsi="Verdana" w:cs="Verdana"/>
          <w:sz w:val="20"/>
          <w:szCs w:val="20"/>
          <w:lang w:val="es-ES_tradnl"/>
        </w:rPr>
        <w:t>a</w:t>
      </w:r>
      <w:r>
        <w:rPr>
          <w:rFonts w:ascii="Verdana" w:hAnsi="Verdana" w:cs="Verdana"/>
          <w:sz w:val="20"/>
          <w:szCs w:val="20"/>
          <w:lang w:val="es-ES_tradnl"/>
        </w:rPr>
        <w:t xml:space="preserve"> declarar en audiencia pública.</w:t>
      </w:r>
    </w:p>
    <w:p w:rsidR="00853121" w:rsidRDefault="00853121" w:rsidP="006518E4">
      <w:pPr>
        <w:pStyle w:val="Prrafodelista1"/>
        <w:rPr>
          <w:rFonts w:ascii="Verdana" w:hAnsi="Verdana" w:cs="Verdana"/>
          <w:sz w:val="20"/>
          <w:szCs w:val="20"/>
        </w:rPr>
      </w:pPr>
    </w:p>
    <w:p w:rsidR="00853121" w:rsidRPr="00212D91" w:rsidRDefault="00853121" w:rsidP="006518E4">
      <w:pPr>
        <w:numPr>
          <w:ilvl w:val="0"/>
          <w:numId w:val="1"/>
        </w:numPr>
        <w:ind w:left="0" w:firstLine="0"/>
        <w:jc w:val="both"/>
        <w:rPr>
          <w:rFonts w:ascii="Verdana" w:hAnsi="Verdana" w:cs="Verdana"/>
          <w:sz w:val="20"/>
          <w:szCs w:val="20"/>
          <w:lang w:val="es-CR"/>
        </w:rPr>
      </w:pPr>
      <w:bookmarkStart w:id="8" w:name="_Ref294804381"/>
      <w:bookmarkEnd w:id="7"/>
      <w:r>
        <w:rPr>
          <w:rFonts w:ascii="Verdana" w:hAnsi="Verdana" w:cs="Verdana"/>
          <w:sz w:val="20"/>
          <w:szCs w:val="20"/>
          <w:lang w:val="es-ES_tradnl"/>
        </w:rPr>
        <w:t>El escrito</w:t>
      </w:r>
      <w:r w:rsidRPr="00592C8E">
        <w:rPr>
          <w:rFonts w:ascii="Verdana" w:hAnsi="Verdana" w:cs="Verdana"/>
          <w:sz w:val="20"/>
          <w:szCs w:val="20"/>
          <w:lang w:val="es-ES_tradnl"/>
        </w:rPr>
        <w:t xml:space="preserve"> de </w:t>
      </w:r>
      <w:r>
        <w:rPr>
          <w:rFonts w:ascii="Verdana" w:hAnsi="Verdana" w:cs="Verdana"/>
          <w:sz w:val="20"/>
          <w:szCs w:val="20"/>
          <w:lang w:val="es-ES_tradnl"/>
        </w:rPr>
        <w:t>2 de diciembre de 2011, mediante el</w:t>
      </w:r>
      <w:r w:rsidRPr="00592C8E">
        <w:rPr>
          <w:rFonts w:ascii="Verdana" w:hAnsi="Verdana" w:cs="Verdana"/>
          <w:sz w:val="20"/>
          <w:szCs w:val="20"/>
          <w:lang w:val="es-ES_tradnl"/>
        </w:rPr>
        <w:t xml:space="preserve"> cu</w:t>
      </w:r>
      <w:r>
        <w:rPr>
          <w:rFonts w:ascii="Verdana" w:hAnsi="Verdana" w:cs="Verdana"/>
          <w:sz w:val="20"/>
          <w:szCs w:val="20"/>
          <w:lang w:val="es-ES_tradnl"/>
        </w:rPr>
        <w:t>al</w:t>
      </w:r>
      <w:r w:rsidRPr="00592C8E">
        <w:rPr>
          <w:rFonts w:ascii="Verdana" w:hAnsi="Verdana" w:cs="Verdana"/>
          <w:sz w:val="20"/>
          <w:szCs w:val="20"/>
          <w:lang w:val="es-ES_tradnl"/>
        </w:rPr>
        <w:t xml:space="preserve"> los representantes </w:t>
      </w:r>
      <w:r>
        <w:rPr>
          <w:rFonts w:ascii="Verdana" w:hAnsi="Verdana" w:cs="Verdana"/>
          <w:sz w:val="20"/>
          <w:szCs w:val="20"/>
          <w:lang w:val="es-ES_tradnl"/>
        </w:rPr>
        <w:t>remitieron su lista definitiva</w:t>
      </w:r>
      <w:r w:rsidRPr="00592C8E">
        <w:rPr>
          <w:rFonts w:ascii="Verdana" w:hAnsi="Verdana" w:cs="Verdana"/>
          <w:sz w:val="20"/>
          <w:szCs w:val="20"/>
          <w:lang w:val="es-ES_tradnl"/>
        </w:rPr>
        <w:t xml:space="preserve"> de declarantes</w:t>
      </w:r>
      <w:r>
        <w:rPr>
          <w:rFonts w:ascii="Verdana" w:hAnsi="Verdana" w:cs="Verdana"/>
          <w:sz w:val="20"/>
          <w:szCs w:val="20"/>
          <w:lang w:val="es-ES_tradnl"/>
        </w:rPr>
        <w:t xml:space="preserve"> y presentaron observaciones respecto a la objeción de prueba presentada por el Estado (</w:t>
      </w:r>
      <w:r>
        <w:rPr>
          <w:rFonts w:ascii="Verdana" w:hAnsi="Verdana" w:cs="Verdana"/>
          <w:i/>
          <w:iCs/>
          <w:sz w:val="20"/>
          <w:szCs w:val="20"/>
          <w:lang w:val="es-ES_tradnl"/>
        </w:rPr>
        <w:t xml:space="preserve">supra </w:t>
      </w:r>
      <w:r>
        <w:rPr>
          <w:rFonts w:ascii="Verdana" w:hAnsi="Verdana" w:cs="Verdana"/>
          <w:sz w:val="20"/>
          <w:szCs w:val="20"/>
          <w:lang w:val="es-ES_tradnl"/>
        </w:rPr>
        <w:t>Visto 5). Los representantes desistieron de un perito</w:t>
      </w:r>
      <w:r>
        <w:rPr>
          <w:rStyle w:val="FootnoteReference"/>
          <w:rFonts w:ascii="Verdana" w:hAnsi="Verdana" w:cs="Verdana"/>
          <w:sz w:val="20"/>
          <w:szCs w:val="20"/>
          <w:lang w:val="es-ES_tradnl"/>
        </w:rPr>
        <w:footnoteReference w:id="3"/>
      </w:r>
      <w:r>
        <w:rPr>
          <w:rFonts w:ascii="Verdana" w:hAnsi="Verdana" w:cs="Verdana"/>
          <w:sz w:val="20"/>
          <w:szCs w:val="20"/>
          <w:lang w:val="es-ES_tradnl"/>
        </w:rPr>
        <w:t xml:space="preserve"> y confirmaron las demás declaraciones testimoniales y peritajes ofrecidos (</w:t>
      </w:r>
      <w:r w:rsidRPr="004B45FD">
        <w:rPr>
          <w:rFonts w:ascii="Verdana" w:hAnsi="Verdana" w:cs="Verdana"/>
          <w:i/>
          <w:iCs/>
          <w:sz w:val="20"/>
          <w:szCs w:val="20"/>
          <w:lang w:val="es-ES_tradnl"/>
        </w:rPr>
        <w:t>supra</w:t>
      </w:r>
      <w:r>
        <w:rPr>
          <w:rFonts w:ascii="Verdana" w:hAnsi="Verdana" w:cs="Verdana"/>
          <w:sz w:val="20"/>
          <w:szCs w:val="20"/>
          <w:lang w:val="es-ES_tradnl"/>
        </w:rPr>
        <w:t xml:space="preserve"> Visto </w:t>
      </w:r>
      <w:r w:rsidR="0064380B">
        <w:rPr>
          <w:rFonts w:ascii="Verdana" w:hAnsi="Verdana" w:cs="Verdana"/>
          <w:sz w:val="20"/>
          <w:szCs w:val="20"/>
          <w:lang w:val="es-ES_tradnl"/>
        </w:rPr>
        <w:fldChar w:fldCharType="begin"/>
      </w:r>
      <w:r>
        <w:rPr>
          <w:rFonts w:ascii="Verdana" w:hAnsi="Verdana" w:cs="Verdana"/>
          <w:sz w:val="20"/>
          <w:szCs w:val="20"/>
          <w:lang w:val="es-ES_tradnl"/>
        </w:rPr>
        <w:instrText xml:space="preserve"> REF _Ref292121709 \r \h </w:instrText>
      </w:r>
      <w:r w:rsidR="0064380B">
        <w:rPr>
          <w:rFonts w:ascii="Verdana" w:hAnsi="Verdana" w:cs="Verdana"/>
          <w:sz w:val="20"/>
          <w:szCs w:val="20"/>
          <w:lang w:val="es-ES_tradnl"/>
        </w:rPr>
      </w:r>
      <w:r w:rsidR="0064380B">
        <w:rPr>
          <w:rFonts w:ascii="Verdana" w:hAnsi="Verdana" w:cs="Verdana"/>
          <w:sz w:val="20"/>
          <w:szCs w:val="20"/>
          <w:lang w:val="es-ES_tradnl"/>
        </w:rPr>
        <w:fldChar w:fldCharType="separate"/>
      </w:r>
      <w:r w:rsidR="00B8317A">
        <w:rPr>
          <w:rFonts w:ascii="Verdana" w:hAnsi="Verdana" w:cs="Verdana"/>
          <w:sz w:val="20"/>
          <w:szCs w:val="20"/>
          <w:lang w:val="es-ES_tradnl"/>
        </w:rPr>
        <w:t>3</w:t>
      </w:r>
      <w:r w:rsidR="0064380B">
        <w:rPr>
          <w:rFonts w:ascii="Verdana" w:hAnsi="Verdana" w:cs="Verdana"/>
          <w:sz w:val="20"/>
          <w:szCs w:val="20"/>
          <w:lang w:val="es-ES_tradnl"/>
        </w:rPr>
        <w:fldChar w:fldCharType="end"/>
      </w:r>
      <w:r>
        <w:rPr>
          <w:rFonts w:ascii="Verdana" w:hAnsi="Verdana" w:cs="Verdana"/>
          <w:sz w:val="20"/>
          <w:szCs w:val="20"/>
          <w:lang w:val="es-ES_tradnl"/>
        </w:rPr>
        <w:t>). Además, indicaron quié</w:t>
      </w:r>
      <w:r w:rsidRPr="00592C8E">
        <w:rPr>
          <w:rFonts w:ascii="Verdana" w:hAnsi="Verdana" w:cs="Verdana"/>
          <w:sz w:val="20"/>
          <w:szCs w:val="20"/>
          <w:lang w:val="es-ES_tradnl"/>
        </w:rPr>
        <w:t xml:space="preserve">nes </w:t>
      </w:r>
      <w:r w:rsidRPr="00592C8E">
        <w:rPr>
          <w:rFonts w:ascii="Verdana" w:hAnsi="Verdana" w:cs="Verdana"/>
          <w:sz w:val="20"/>
          <w:szCs w:val="20"/>
        </w:rPr>
        <w:t>podrían rendir declaración ante fedatario público (</w:t>
      </w:r>
      <w:r w:rsidRPr="00592C8E">
        <w:rPr>
          <w:rFonts w:ascii="Verdana" w:hAnsi="Verdana" w:cs="Verdana"/>
          <w:i/>
          <w:iCs/>
          <w:sz w:val="20"/>
          <w:szCs w:val="20"/>
        </w:rPr>
        <w:t>affidávit</w:t>
      </w:r>
      <w:r w:rsidRPr="00592C8E">
        <w:rPr>
          <w:rFonts w:ascii="Verdana" w:hAnsi="Verdana" w:cs="Verdana"/>
          <w:sz w:val="20"/>
          <w:szCs w:val="20"/>
        </w:rPr>
        <w:t xml:space="preserve">), y quiénes </w:t>
      </w:r>
      <w:r>
        <w:rPr>
          <w:rFonts w:ascii="Verdana" w:hAnsi="Verdana" w:cs="Verdana"/>
          <w:sz w:val="20"/>
          <w:szCs w:val="20"/>
        </w:rPr>
        <w:t xml:space="preserve">consideraban </w:t>
      </w:r>
      <w:r w:rsidRPr="00592C8E">
        <w:rPr>
          <w:rFonts w:ascii="Verdana" w:hAnsi="Verdana" w:cs="Verdana"/>
          <w:sz w:val="20"/>
          <w:szCs w:val="20"/>
        </w:rPr>
        <w:t>debían ser llamados a declarar en audiencia pública.</w:t>
      </w:r>
      <w:bookmarkEnd w:id="8"/>
      <w:r w:rsidRPr="00592C8E">
        <w:rPr>
          <w:rFonts w:ascii="Verdana" w:hAnsi="Verdana" w:cs="Verdana"/>
          <w:sz w:val="20"/>
          <w:szCs w:val="20"/>
        </w:rPr>
        <w:t xml:space="preserve"> </w:t>
      </w:r>
    </w:p>
    <w:p w:rsidR="00853121" w:rsidRDefault="00853121" w:rsidP="00212D91">
      <w:pPr>
        <w:pStyle w:val="ListParagraph"/>
        <w:rPr>
          <w:rFonts w:ascii="Verdana" w:hAnsi="Verdana" w:cs="Verdana"/>
          <w:sz w:val="20"/>
          <w:szCs w:val="20"/>
          <w:lang w:val="es-CR"/>
        </w:rPr>
      </w:pPr>
    </w:p>
    <w:p w:rsidR="00853121" w:rsidRPr="00212D91" w:rsidRDefault="00853121" w:rsidP="00212D91">
      <w:pPr>
        <w:numPr>
          <w:ilvl w:val="0"/>
          <w:numId w:val="1"/>
        </w:numPr>
        <w:ind w:left="0" w:firstLine="0"/>
        <w:jc w:val="both"/>
        <w:rPr>
          <w:rFonts w:ascii="Verdana" w:hAnsi="Verdana" w:cs="Verdana"/>
          <w:sz w:val="20"/>
          <w:szCs w:val="20"/>
          <w:lang w:val="es-CR"/>
        </w:rPr>
      </w:pPr>
      <w:r w:rsidRPr="00212D91">
        <w:rPr>
          <w:rFonts w:ascii="Verdana" w:hAnsi="Verdana" w:cs="Verdana"/>
          <w:sz w:val="20"/>
          <w:szCs w:val="20"/>
          <w:lang w:val="es-CR"/>
        </w:rPr>
        <w:t xml:space="preserve">Las notas de la Secretaría de 9 de diciembre de 2011, mediante las cuales transmitió las listas definitivas </w:t>
      </w:r>
      <w:r w:rsidRPr="00212D91">
        <w:rPr>
          <w:rFonts w:ascii="Verdana" w:hAnsi="Verdana" w:cs="Verdana"/>
          <w:sz w:val="20"/>
          <w:szCs w:val="20"/>
        </w:rPr>
        <w:t xml:space="preserve">a las partes y les informó que contaban con un plazo hasta el 19 de diciembre de 2011 para presentar las observaciones que estimaran pertinentes. </w:t>
      </w:r>
    </w:p>
    <w:p w:rsidR="00853121" w:rsidRPr="004B45FD" w:rsidRDefault="00853121" w:rsidP="006518E4">
      <w:pPr>
        <w:jc w:val="both"/>
        <w:rPr>
          <w:rFonts w:ascii="Verdana" w:hAnsi="Verdana" w:cs="Verdana"/>
          <w:sz w:val="20"/>
          <w:szCs w:val="20"/>
          <w:lang w:val="es-CR"/>
        </w:rPr>
      </w:pPr>
    </w:p>
    <w:p w:rsidR="00853121" w:rsidRPr="00890DEE" w:rsidRDefault="00853121" w:rsidP="006518E4">
      <w:pPr>
        <w:numPr>
          <w:ilvl w:val="0"/>
          <w:numId w:val="1"/>
        </w:numPr>
        <w:ind w:left="0" w:firstLine="0"/>
        <w:jc w:val="both"/>
        <w:rPr>
          <w:rFonts w:ascii="Verdana" w:hAnsi="Verdana" w:cs="Verdana"/>
          <w:sz w:val="20"/>
          <w:szCs w:val="20"/>
        </w:rPr>
      </w:pPr>
      <w:bookmarkStart w:id="9" w:name="_Ref292272929"/>
      <w:bookmarkStart w:id="10" w:name="_Ref292292587"/>
      <w:r>
        <w:rPr>
          <w:rFonts w:ascii="Verdana" w:hAnsi="Verdana" w:cs="Verdana"/>
          <w:sz w:val="20"/>
          <w:szCs w:val="20"/>
          <w:lang w:val="es-ES_tradnl"/>
        </w:rPr>
        <w:t>El escrito de 19</w:t>
      </w:r>
      <w:r w:rsidRPr="00FF46F3">
        <w:rPr>
          <w:rFonts w:ascii="Verdana" w:hAnsi="Verdana" w:cs="Verdana"/>
          <w:sz w:val="20"/>
          <w:szCs w:val="20"/>
          <w:lang w:val="es-ES_tradnl"/>
        </w:rPr>
        <w:t xml:space="preserve"> de </w:t>
      </w:r>
      <w:r>
        <w:rPr>
          <w:rFonts w:ascii="Verdana" w:hAnsi="Verdana" w:cs="Verdana"/>
          <w:sz w:val="20"/>
          <w:szCs w:val="20"/>
          <w:lang w:val="es-ES_tradnl"/>
        </w:rPr>
        <w:t xml:space="preserve">diciembre </w:t>
      </w:r>
      <w:r w:rsidRPr="00FF46F3">
        <w:rPr>
          <w:rFonts w:ascii="Verdana" w:hAnsi="Verdana" w:cs="Verdana"/>
          <w:sz w:val="20"/>
          <w:szCs w:val="20"/>
          <w:lang w:val="es-ES_tradnl"/>
        </w:rPr>
        <w:t>de 2011, mediante el cual la Comisión Interamericana</w:t>
      </w:r>
      <w:r>
        <w:rPr>
          <w:rFonts w:ascii="Verdana" w:hAnsi="Verdana" w:cs="Verdana"/>
          <w:sz w:val="20"/>
          <w:szCs w:val="20"/>
          <w:lang w:val="es-ES_tradnl"/>
        </w:rPr>
        <w:t xml:space="preserve"> indicó que no tenía observaciones que formular a la lista definitiva de declarantes presentada por los representantes</w:t>
      </w:r>
      <w:r>
        <w:rPr>
          <w:rFonts w:ascii="Verdana" w:hAnsi="Verdana" w:cs="Verdana"/>
          <w:i/>
          <w:iCs/>
          <w:sz w:val="20"/>
          <w:szCs w:val="20"/>
          <w:lang w:val="es-ES_tradnl"/>
        </w:rPr>
        <w:t xml:space="preserve">. </w:t>
      </w:r>
      <w:r w:rsidRPr="00674DEB">
        <w:rPr>
          <w:rFonts w:ascii="Verdana" w:hAnsi="Verdana" w:cs="Verdana"/>
          <w:sz w:val="20"/>
          <w:szCs w:val="20"/>
          <w:lang w:val="es-ES_tradnl"/>
        </w:rPr>
        <w:t>Asimismo, la Comisión</w:t>
      </w:r>
      <w:r w:rsidRPr="00674DEB">
        <w:rPr>
          <w:rFonts w:ascii="Verdana" w:hAnsi="Verdana" w:cs="Verdana"/>
          <w:color w:val="000000"/>
          <w:sz w:val="20"/>
          <w:szCs w:val="20"/>
        </w:rPr>
        <w:t xml:space="preserve"> </w:t>
      </w:r>
      <w:r w:rsidRPr="00FF46F3">
        <w:rPr>
          <w:rFonts w:ascii="Verdana" w:hAnsi="Verdana" w:cs="Verdana"/>
          <w:color w:val="000000"/>
          <w:sz w:val="20"/>
          <w:szCs w:val="20"/>
        </w:rPr>
        <w:t>solicitó que se le permitiera formular preguntas a</w:t>
      </w:r>
      <w:r>
        <w:rPr>
          <w:rFonts w:ascii="Verdana" w:hAnsi="Verdana" w:cs="Verdana"/>
          <w:color w:val="000000"/>
          <w:sz w:val="20"/>
          <w:szCs w:val="20"/>
        </w:rPr>
        <w:t xml:space="preserve"> dos peritos propuestos por los representantes. </w:t>
      </w:r>
      <w:bookmarkEnd w:id="9"/>
    </w:p>
    <w:p w:rsidR="00853121" w:rsidRDefault="00853121" w:rsidP="00890DEE">
      <w:pPr>
        <w:pStyle w:val="ListParagraph"/>
        <w:rPr>
          <w:rFonts w:ascii="Verdana" w:hAnsi="Verdana" w:cs="Verdana"/>
          <w:sz w:val="20"/>
          <w:szCs w:val="20"/>
          <w:lang w:val="es-ES_tradnl"/>
        </w:rPr>
      </w:pPr>
    </w:p>
    <w:p w:rsidR="00853121" w:rsidRPr="00FC0FD8" w:rsidRDefault="00853121" w:rsidP="006518E4">
      <w:pPr>
        <w:numPr>
          <w:ilvl w:val="0"/>
          <w:numId w:val="1"/>
        </w:numPr>
        <w:ind w:left="0" w:firstLine="0"/>
        <w:jc w:val="both"/>
        <w:rPr>
          <w:rFonts w:ascii="Verdana" w:hAnsi="Verdana" w:cs="Verdana"/>
          <w:sz w:val="20"/>
          <w:szCs w:val="20"/>
        </w:rPr>
      </w:pPr>
      <w:r>
        <w:rPr>
          <w:rFonts w:ascii="Verdana" w:hAnsi="Verdana" w:cs="Verdana"/>
          <w:sz w:val="20"/>
          <w:szCs w:val="20"/>
          <w:lang w:val="es-ES_tradnl"/>
        </w:rPr>
        <w:t>La nota de Secretaría de 21 de diciembre de 2011, mediante la cual se transmitieron las observaciones presentadas por la Comisión (</w:t>
      </w:r>
      <w:r>
        <w:rPr>
          <w:rFonts w:ascii="Verdana" w:hAnsi="Verdana" w:cs="Verdana"/>
          <w:i/>
          <w:iCs/>
          <w:sz w:val="20"/>
          <w:szCs w:val="20"/>
          <w:lang w:val="es-ES_tradnl"/>
        </w:rPr>
        <w:t xml:space="preserve">supra </w:t>
      </w:r>
      <w:r>
        <w:rPr>
          <w:rFonts w:ascii="Verdana" w:hAnsi="Verdana" w:cs="Verdana"/>
          <w:sz w:val="20"/>
          <w:szCs w:val="20"/>
          <w:lang w:val="es-ES_tradnl"/>
        </w:rPr>
        <w:t>Visto 12) y se dejó constancia que los representantes y e</w:t>
      </w:r>
      <w:r>
        <w:rPr>
          <w:rFonts w:ascii="Verdana" w:hAnsi="Verdana" w:cs="Verdana"/>
          <w:sz w:val="20"/>
          <w:szCs w:val="20"/>
        </w:rPr>
        <w:t>l Estado no presentaron</w:t>
      </w:r>
      <w:r w:rsidRPr="00FC0FD8">
        <w:rPr>
          <w:rFonts w:ascii="Verdana" w:hAnsi="Verdana" w:cs="Verdana"/>
          <w:sz w:val="20"/>
          <w:szCs w:val="20"/>
        </w:rPr>
        <w:t xml:space="preserve"> observaciones a las listas definitivas de declarantes </w:t>
      </w:r>
      <w:r>
        <w:rPr>
          <w:rFonts w:ascii="Verdana" w:hAnsi="Verdana" w:cs="Verdana"/>
          <w:sz w:val="20"/>
          <w:szCs w:val="20"/>
        </w:rPr>
        <w:t>remitidas, según el caso, por los representantes y la Comisión Interamericana</w:t>
      </w:r>
      <w:r w:rsidRPr="00FC0FD8">
        <w:rPr>
          <w:rFonts w:ascii="Verdana" w:hAnsi="Verdana" w:cs="Verdana"/>
          <w:sz w:val="20"/>
          <w:szCs w:val="20"/>
        </w:rPr>
        <w:t>.</w:t>
      </w:r>
      <w:bookmarkEnd w:id="10"/>
      <w:r w:rsidRPr="00FC0FD8">
        <w:rPr>
          <w:rFonts w:ascii="Verdana" w:hAnsi="Verdana" w:cs="Verdana"/>
          <w:sz w:val="20"/>
          <w:szCs w:val="20"/>
        </w:rPr>
        <w:t xml:space="preserve"> </w:t>
      </w:r>
    </w:p>
    <w:p w:rsidR="00853121" w:rsidRDefault="00853121" w:rsidP="006518E4">
      <w:pPr>
        <w:jc w:val="both"/>
        <w:rPr>
          <w:rFonts w:ascii="Verdana" w:hAnsi="Verdana" w:cs="Verdana"/>
          <w:sz w:val="20"/>
          <w:szCs w:val="20"/>
        </w:rPr>
      </w:pPr>
    </w:p>
    <w:p w:rsidR="00853121" w:rsidRPr="00FC0FD8" w:rsidRDefault="00853121" w:rsidP="006518E4">
      <w:pPr>
        <w:jc w:val="both"/>
        <w:rPr>
          <w:rFonts w:ascii="Verdana" w:hAnsi="Verdana" w:cs="Verdana"/>
          <w:sz w:val="20"/>
          <w:szCs w:val="20"/>
        </w:rPr>
      </w:pPr>
    </w:p>
    <w:p w:rsidR="00853121" w:rsidRDefault="00853121" w:rsidP="006518E4">
      <w:pPr>
        <w:pStyle w:val="Textoindependiente1"/>
        <w:widowControl/>
        <w:rPr>
          <w:rFonts w:cs="Times New Roman"/>
        </w:rPr>
      </w:pPr>
    </w:p>
    <w:p w:rsidR="00853121" w:rsidRDefault="00853121" w:rsidP="006518E4">
      <w:pPr>
        <w:tabs>
          <w:tab w:val="left" w:pos="680"/>
        </w:tabs>
        <w:jc w:val="both"/>
        <w:rPr>
          <w:rFonts w:ascii="Verdana" w:hAnsi="Verdana" w:cs="Verdana"/>
          <w:b/>
          <w:bCs/>
          <w:sz w:val="20"/>
          <w:szCs w:val="20"/>
          <w:lang w:val="es-ES_tradnl"/>
        </w:rPr>
      </w:pPr>
      <w:r>
        <w:rPr>
          <w:rFonts w:ascii="Verdana" w:hAnsi="Verdana" w:cs="Verdana"/>
          <w:b/>
          <w:bCs/>
          <w:sz w:val="20"/>
          <w:szCs w:val="20"/>
          <w:lang w:val="es-ES_tradnl"/>
        </w:rPr>
        <w:lastRenderedPageBreak/>
        <w:t>CONSIDERANDO QUE:</w:t>
      </w:r>
    </w:p>
    <w:p w:rsidR="00853121" w:rsidRDefault="00853121" w:rsidP="006518E4">
      <w:pPr>
        <w:tabs>
          <w:tab w:val="left" w:pos="680"/>
        </w:tabs>
        <w:jc w:val="both"/>
        <w:rPr>
          <w:rFonts w:ascii="Verdana" w:hAnsi="Verdana" w:cs="Verdana"/>
          <w:sz w:val="20"/>
          <w:szCs w:val="20"/>
          <w:lang w:val="es-ES_tradnl"/>
        </w:rPr>
      </w:pPr>
    </w:p>
    <w:p w:rsidR="00853121" w:rsidRPr="00262771" w:rsidRDefault="00853121" w:rsidP="006518E4">
      <w:pPr>
        <w:tabs>
          <w:tab w:val="left" w:pos="680"/>
        </w:tabs>
        <w:jc w:val="both"/>
        <w:rPr>
          <w:rFonts w:ascii="Verdana" w:hAnsi="Verdana" w:cs="Verdana"/>
          <w:sz w:val="20"/>
          <w:szCs w:val="20"/>
          <w:lang w:val="es-ES_tradnl"/>
        </w:rPr>
      </w:pPr>
    </w:p>
    <w:p w:rsidR="00853121" w:rsidRPr="00262771" w:rsidRDefault="00853121" w:rsidP="006518E4">
      <w:pPr>
        <w:pStyle w:val="Default"/>
        <w:numPr>
          <w:ilvl w:val="0"/>
          <w:numId w:val="3"/>
        </w:numPr>
        <w:jc w:val="both"/>
        <w:rPr>
          <w:sz w:val="20"/>
          <w:szCs w:val="20"/>
          <w:lang w:val="es-CR"/>
        </w:rPr>
      </w:pPr>
      <w:r>
        <w:rPr>
          <w:sz w:val="20"/>
          <w:szCs w:val="20"/>
          <w:lang w:val="es-CR"/>
        </w:rPr>
        <w:t>El ofrecimiento y l</w:t>
      </w:r>
      <w:r w:rsidRPr="00262771">
        <w:rPr>
          <w:sz w:val="20"/>
          <w:szCs w:val="20"/>
          <w:lang w:val="es-CR"/>
        </w:rPr>
        <w:t>a admisión de la prueba</w:t>
      </w:r>
      <w:r>
        <w:rPr>
          <w:sz w:val="20"/>
          <w:szCs w:val="20"/>
          <w:lang w:val="es-CR"/>
        </w:rPr>
        <w:t>, así como</w:t>
      </w:r>
      <w:r w:rsidRPr="00262771">
        <w:rPr>
          <w:sz w:val="20"/>
          <w:szCs w:val="20"/>
          <w:lang w:val="es-CR"/>
        </w:rPr>
        <w:t xml:space="preserve"> la citación de presuntas víctimas, testigos y peritos se encuentran regulados en los artículos </w:t>
      </w:r>
      <w:r>
        <w:rPr>
          <w:sz w:val="20"/>
          <w:szCs w:val="20"/>
          <w:lang w:val="es-CR"/>
        </w:rPr>
        <w:t xml:space="preserve">35.1.f, 40.2.c, 41.1.c, 42.2, </w:t>
      </w:r>
      <w:r w:rsidRPr="00262771">
        <w:rPr>
          <w:sz w:val="20"/>
          <w:szCs w:val="20"/>
          <w:lang w:val="es-CR"/>
        </w:rPr>
        <w:t>46.1</w:t>
      </w:r>
      <w:r>
        <w:rPr>
          <w:sz w:val="20"/>
          <w:szCs w:val="20"/>
          <w:lang w:val="es-CR"/>
        </w:rPr>
        <w:t xml:space="preserve">, </w:t>
      </w:r>
      <w:r w:rsidRPr="00262771">
        <w:rPr>
          <w:sz w:val="20"/>
          <w:szCs w:val="20"/>
          <w:lang w:val="es-CR"/>
        </w:rPr>
        <w:t>50</w:t>
      </w:r>
      <w:r>
        <w:rPr>
          <w:sz w:val="20"/>
          <w:szCs w:val="20"/>
          <w:lang w:val="es-CR"/>
        </w:rPr>
        <w:t xml:space="preserve">, 57 y 58 </w:t>
      </w:r>
      <w:r w:rsidRPr="00262771">
        <w:rPr>
          <w:sz w:val="20"/>
          <w:szCs w:val="20"/>
          <w:lang w:val="es-CR"/>
        </w:rPr>
        <w:t xml:space="preserve">del Reglamento del Tribunal. </w:t>
      </w:r>
    </w:p>
    <w:p w:rsidR="00853121" w:rsidRPr="00262771" w:rsidRDefault="00853121" w:rsidP="006518E4">
      <w:pPr>
        <w:jc w:val="both"/>
        <w:rPr>
          <w:rFonts w:ascii="Verdana" w:hAnsi="Verdana" w:cs="Verdana"/>
          <w:sz w:val="20"/>
          <w:szCs w:val="20"/>
        </w:rPr>
      </w:pPr>
    </w:p>
    <w:p w:rsidR="00853121" w:rsidRPr="009D659A" w:rsidRDefault="00853121" w:rsidP="006518E4">
      <w:pPr>
        <w:numPr>
          <w:ilvl w:val="0"/>
          <w:numId w:val="3"/>
        </w:numPr>
        <w:jc w:val="both"/>
        <w:rPr>
          <w:rFonts w:ascii="Verdana" w:hAnsi="Verdana" w:cs="Verdana"/>
          <w:sz w:val="20"/>
          <w:szCs w:val="20"/>
        </w:rPr>
      </w:pPr>
      <w:bookmarkStart w:id="11" w:name="_Ref292891250"/>
      <w:r>
        <w:rPr>
          <w:rFonts w:ascii="Verdana" w:hAnsi="Verdana" w:cs="Verdana"/>
          <w:sz w:val="20"/>
          <w:szCs w:val="20"/>
        </w:rPr>
        <w:t>La Comisión propuso la recepción de dos dictámenes</w:t>
      </w:r>
      <w:r w:rsidRPr="00C7435A">
        <w:rPr>
          <w:rFonts w:ascii="Verdana" w:hAnsi="Verdana" w:cs="Verdana"/>
          <w:sz w:val="20"/>
          <w:szCs w:val="20"/>
        </w:rPr>
        <w:t xml:space="preserve"> pericial</w:t>
      </w:r>
      <w:r>
        <w:rPr>
          <w:rFonts w:ascii="Verdana" w:hAnsi="Verdana" w:cs="Verdana"/>
          <w:sz w:val="20"/>
          <w:szCs w:val="20"/>
        </w:rPr>
        <w:t>es. L</w:t>
      </w:r>
      <w:r w:rsidRPr="00C7435A">
        <w:rPr>
          <w:rFonts w:ascii="Verdana" w:hAnsi="Verdana" w:cs="Verdana"/>
          <w:sz w:val="20"/>
          <w:szCs w:val="20"/>
        </w:rPr>
        <w:t xml:space="preserve">os representantes ofrecieron como prueba declaraciones de </w:t>
      </w:r>
      <w:r>
        <w:rPr>
          <w:rFonts w:ascii="Verdana" w:hAnsi="Verdana" w:cs="Verdana"/>
          <w:sz w:val="20"/>
          <w:szCs w:val="20"/>
        </w:rPr>
        <w:t xml:space="preserve">tres </w:t>
      </w:r>
      <w:r w:rsidRPr="00C7435A">
        <w:rPr>
          <w:rFonts w:ascii="Verdana" w:hAnsi="Verdana" w:cs="Verdana"/>
          <w:sz w:val="20"/>
          <w:szCs w:val="20"/>
        </w:rPr>
        <w:t>presuntas ví</w:t>
      </w:r>
      <w:r>
        <w:rPr>
          <w:rFonts w:ascii="Verdana" w:hAnsi="Verdana" w:cs="Verdana"/>
          <w:sz w:val="20"/>
          <w:szCs w:val="20"/>
        </w:rPr>
        <w:t xml:space="preserve">ctimas, dos testigos y cuatro peritos. La prueba ofrecida por la Comisión y los representantes fue indicada </w:t>
      </w:r>
      <w:r w:rsidRPr="00C7435A">
        <w:rPr>
          <w:rFonts w:ascii="Verdana" w:hAnsi="Verdana" w:cs="Verdana"/>
          <w:sz w:val="20"/>
          <w:szCs w:val="20"/>
        </w:rPr>
        <w:t>en la debida oportunidad procesal</w:t>
      </w:r>
      <w:r>
        <w:rPr>
          <w:rFonts w:ascii="Verdana" w:hAnsi="Verdana" w:cs="Verdana"/>
          <w:sz w:val="20"/>
          <w:szCs w:val="20"/>
        </w:rPr>
        <w:t>. El Estado no presentó prueba testimonial ni pericial (</w:t>
      </w:r>
      <w:r w:rsidRPr="00C7435A">
        <w:rPr>
          <w:rFonts w:ascii="Verdana" w:hAnsi="Verdana" w:cs="Verdana"/>
          <w:i/>
          <w:iCs/>
          <w:sz w:val="20"/>
          <w:szCs w:val="20"/>
        </w:rPr>
        <w:t xml:space="preserve">supra </w:t>
      </w:r>
      <w:r w:rsidRPr="00C7435A">
        <w:rPr>
          <w:rFonts w:ascii="Verdana" w:hAnsi="Verdana" w:cs="Verdana"/>
          <w:sz w:val="20"/>
          <w:szCs w:val="20"/>
        </w:rPr>
        <w:t>Visto</w:t>
      </w:r>
      <w:r w:rsidR="007817C5">
        <w:rPr>
          <w:rFonts w:ascii="Verdana" w:hAnsi="Verdana" w:cs="Verdana"/>
          <w:sz w:val="20"/>
          <w:szCs w:val="20"/>
        </w:rPr>
        <w:t>s 1</w:t>
      </w:r>
      <w:r>
        <w:rPr>
          <w:rFonts w:ascii="Verdana" w:hAnsi="Verdana" w:cs="Verdana"/>
          <w:sz w:val="20"/>
          <w:szCs w:val="20"/>
          <w:lang w:val="es-CR"/>
        </w:rPr>
        <w:t xml:space="preserve">, 2, 3 y </w:t>
      </w:r>
      <w:r w:rsidR="0064380B">
        <w:rPr>
          <w:rFonts w:ascii="Verdana" w:hAnsi="Verdana" w:cs="Verdana"/>
          <w:sz w:val="20"/>
          <w:szCs w:val="20"/>
          <w:lang w:val="es-CR"/>
        </w:rPr>
        <w:fldChar w:fldCharType="begin"/>
      </w:r>
      <w:r>
        <w:rPr>
          <w:rFonts w:ascii="Verdana" w:hAnsi="Verdana" w:cs="Verdana"/>
          <w:sz w:val="20"/>
          <w:szCs w:val="20"/>
          <w:lang w:val="es-CR"/>
        </w:rPr>
        <w:instrText xml:space="preserve"> REF _Ref292291491 \r \h </w:instrText>
      </w:r>
      <w:r w:rsidR="0064380B">
        <w:rPr>
          <w:rFonts w:ascii="Verdana" w:hAnsi="Verdana" w:cs="Verdana"/>
          <w:sz w:val="20"/>
          <w:szCs w:val="20"/>
          <w:lang w:val="es-CR"/>
        </w:rPr>
      </w:r>
      <w:r w:rsidR="0064380B">
        <w:rPr>
          <w:rFonts w:ascii="Verdana" w:hAnsi="Verdana" w:cs="Verdana"/>
          <w:sz w:val="20"/>
          <w:szCs w:val="20"/>
          <w:lang w:val="es-CR"/>
        </w:rPr>
        <w:fldChar w:fldCharType="separate"/>
      </w:r>
      <w:r w:rsidR="00B8317A">
        <w:rPr>
          <w:rFonts w:ascii="Verdana" w:hAnsi="Verdana" w:cs="Verdana"/>
          <w:sz w:val="20"/>
          <w:szCs w:val="20"/>
          <w:lang w:val="es-CR"/>
        </w:rPr>
        <w:t>5</w:t>
      </w:r>
      <w:r w:rsidR="0064380B">
        <w:rPr>
          <w:rFonts w:ascii="Verdana" w:hAnsi="Verdana" w:cs="Verdana"/>
          <w:sz w:val="20"/>
          <w:szCs w:val="20"/>
          <w:lang w:val="es-CR"/>
        </w:rPr>
        <w:fldChar w:fldCharType="end"/>
      </w:r>
      <w:r w:rsidRPr="00C7435A">
        <w:rPr>
          <w:rFonts w:ascii="Verdana" w:hAnsi="Verdana" w:cs="Verdana"/>
          <w:sz w:val="20"/>
          <w:szCs w:val="20"/>
        </w:rPr>
        <w:t>).</w:t>
      </w:r>
      <w:bookmarkEnd w:id="11"/>
      <w:r w:rsidRPr="00C7435A">
        <w:rPr>
          <w:rFonts w:ascii="Verdana" w:hAnsi="Verdana" w:cs="Verdana"/>
          <w:sz w:val="20"/>
          <w:szCs w:val="20"/>
        </w:rPr>
        <w:t xml:space="preserve"> </w:t>
      </w:r>
    </w:p>
    <w:p w:rsidR="00853121" w:rsidRPr="00E46631" w:rsidRDefault="00853121" w:rsidP="006518E4">
      <w:pPr>
        <w:jc w:val="both"/>
        <w:rPr>
          <w:rFonts w:ascii="Verdana" w:hAnsi="Verdana" w:cs="Verdana"/>
          <w:sz w:val="20"/>
          <w:szCs w:val="20"/>
        </w:rPr>
      </w:pPr>
    </w:p>
    <w:p w:rsidR="00853121" w:rsidRPr="00191150" w:rsidRDefault="00853121" w:rsidP="006518E4">
      <w:pPr>
        <w:numPr>
          <w:ilvl w:val="0"/>
          <w:numId w:val="3"/>
        </w:numPr>
        <w:ind w:right="10"/>
        <w:jc w:val="both"/>
        <w:rPr>
          <w:rFonts w:ascii="Verdana" w:hAnsi="Verdana" w:cs="Verdana"/>
          <w:b/>
          <w:bCs/>
          <w:sz w:val="20"/>
          <w:szCs w:val="20"/>
        </w:rPr>
      </w:pPr>
      <w:r w:rsidRPr="002D7D68">
        <w:rPr>
          <w:rFonts w:ascii="Verdana" w:hAnsi="Verdana" w:cs="Verdana"/>
          <w:sz w:val="20"/>
          <w:szCs w:val="20"/>
          <w:lang w:val="es-ES_tradnl"/>
        </w:rPr>
        <w:t xml:space="preserve">Se ha otorgado a </w:t>
      </w:r>
      <w:r>
        <w:rPr>
          <w:rFonts w:ascii="Verdana" w:hAnsi="Verdana" w:cs="Verdana"/>
          <w:sz w:val="20"/>
          <w:szCs w:val="20"/>
          <w:lang w:val="es-ES_tradnl"/>
        </w:rPr>
        <w:t xml:space="preserve">las partes </w:t>
      </w:r>
      <w:r w:rsidRPr="002D7D68">
        <w:rPr>
          <w:rFonts w:ascii="Verdana" w:hAnsi="Verdana" w:cs="Verdana"/>
          <w:sz w:val="20"/>
          <w:szCs w:val="20"/>
          <w:lang w:val="es-ES_tradnl"/>
        </w:rPr>
        <w:t>el derecho de defensa respecto de los ofrecimientos probatorios realizados por cada uno de ellos</w:t>
      </w:r>
      <w:r>
        <w:rPr>
          <w:rFonts w:ascii="Verdana" w:hAnsi="Verdana" w:cs="Verdana"/>
          <w:sz w:val="20"/>
          <w:szCs w:val="20"/>
          <w:lang w:val="es-ES_tradnl"/>
        </w:rPr>
        <w:t xml:space="preserve"> </w:t>
      </w:r>
      <w:r w:rsidRPr="002D7D68">
        <w:rPr>
          <w:rFonts w:ascii="Verdana" w:hAnsi="Verdana" w:cs="Verdana"/>
          <w:sz w:val="20"/>
          <w:szCs w:val="20"/>
          <w:lang w:val="es-ES_tradnl"/>
        </w:rPr>
        <w:t xml:space="preserve">en sus escritos de </w:t>
      </w:r>
      <w:r>
        <w:rPr>
          <w:rFonts w:ascii="Verdana" w:hAnsi="Verdana" w:cs="Verdana"/>
          <w:sz w:val="20"/>
          <w:szCs w:val="20"/>
          <w:lang w:val="es-ES_tradnl" w:eastAsia="en-US"/>
        </w:rPr>
        <w:t>sometimiento del caso</w:t>
      </w:r>
      <w:r w:rsidRPr="002D7D68">
        <w:rPr>
          <w:rFonts w:ascii="Verdana" w:hAnsi="Verdana" w:cs="Verdana"/>
          <w:sz w:val="20"/>
          <w:szCs w:val="20"/>
          <w:lang w:val="es-ES_tradnl" w:eastAsia="en-US"/>
        </w:rPr>
        <w:t xml:space="preserve">, </w:t>
      </w:r>
      <w:r>
        <w:rPr>
          <w:rFonts w:ascii="Verdana" w:hAnsi="Verdana" w:cs="Verdana"/>
          <w:sz w:val="20"/>
          <w:szCs w:val="20"/>
          <w:lang w:val="es-ES_tradnl" w:eastAsia="en-US"/>
        </w:rPr>
        <w:t>y de solic</w:t>
      </w:r>
      <w:r w:rsidRPr="002D7D68">
        <w:rPr>
          <w:rFonts w:ascii="Verdana" w:hAnsi="Verdana" w:cs="Verdana"/>
          <w:sz w:val="20"/>
          <w:szCs w:val="20"/>
          <w:lang w:val="es-ES_tradnl" w:eastAsia="en-US"/>
        </w:rPr>
        <w:t xml:space="preserve">itudes y argumentos, </w:t>
      </w:r>
      <w:r w:rsidRPr="00191150">
        <w:rPr>
          <w:rFonts w:ascii="Verdana" w:hAnsi="Verdana" w:cs="Verdana"/>
          <w:sz w:val="20"/>
          <w:szCs w:val="20"/>
          <w:lang w:val="es-ES_tradnl" w:eastAsia="en-US"/>
        </w:rPr>
        <w:t xml:space="preserve">así como en </w:t>
      </w:r>
      <w:r w:rsidRPr="00191150" w:rsidDel="00A2649F">
        <w:rPr>
          <w:rFonts w:ascii="Verdana" w:hAnsi="Verdana" w:cs="Verdana"/>
          <w:sz w:val="20"/>
          <w:szCs w:val="20"/>
          <w:lang w:val="es-ES_tradnl" w:eastAsia="en-US"/>
        </w:rPr>
        <w:t xml:space="preserve">sus </w:t>
      </w:r>
      <w:r w:rsidRPr="00191150">
        <w:rPr>
          <w:rFonts w:ascii="Verdana" w:hAnsi="Verdana" w:cs="Verdana"/>
          <w:sz w:val="20"/>
          <w:szCs w:val="20"/>
          <w:lang w:val="es-ES_tradnl" w:eastAsia="en-US"/>
        </w:rPr>
        <w:t>lista</w:t>
      </w:r>
      <w:r w:rsidRPr="00191150" w:rsidDel="00A2649F">
        <w:rPr>
          <w:rFonts w:ascii="Verdana" w:hAnsi="Verdana" w:cs="Verdana"/>
          <w:sz w:val="20"/>
          <w:szCs w:val="20"/>
          <w:lang w:val="es-ES_tradnl" w:eastAsia="en-US"/>
        </w:rPr>
        <w:t>s</w:t>
      </w:r>
      <w:r w:rsidRPr="00191150">
        <w:rPr>
          <w:rFonts w:ascii="Verdana" w:hAnsi="Verdana" w:cs="Verdana"/>
          <w:sz w:val="20"/>
          <w:szCs w:val="20"/>
          <w:lang w:val="es-ES_tradnl" w:eastAsia="en-US"/>
        </w:rPr>
        <w:t xml:space="preserve"> definitiva</w:t>
      </w:r>
      <w:r w:rsidRPr="00191150" w:rsidDel="00A2649F">
        <w:rPr>
          <w:rFonts w:ascii="Verdana" w:hAnsi="Verdana" w:cs="Verdana"/>
          <w:sz w:val="20"/>
          <w:szCs w:val="20"/>
          <w:lang w:val="es-ES_tradnl" w:eastAsia="en-US"/>
        </w:rPr>
        <w:t>s</w:t>
      </w:r>
      <w:r w:rsidRPr="00191150">
        <w:rPr>
          <w:rFonts w:ascii="Verdana" w:hAnsi="Verdana" w:cs="Verdana"/>
          <w:sz w:val="20"/>
          <w:szCs w:val="20"/>
          <w:lang w:val="es-ES_tradnl" w:eastAsia="en-US"/>
        </w:rPr>
        <w:t xml:space="preserve"> de declarantes (</w:t>
      </w:r>
      <w:r w:rsidRPr="00191150">
        <w:rPr>
          <w:rFonts w:ascii="Verdana" w:hAnsi="Verdana" w:cs="Verdana"/>
          <w:i/>
          <w:iCs/>
          <w:sz w:val="20"/>
          <w:szCs w:val="20"/>
          <w:lang w:val="es-ES_tradnl" w:eastAsia="en-US"/>
        </w:rPr>
        <w:t xml:space="preserve">supra </w:t>
      </w:r>
      <w:r w:rsidRPr="00191150">
        <w:rPr>
          <w:rFonts w:ascii="Verdana" w:hAnsi="Verdana" w:cs="Verdana"/>
          <w:sz w:val="20"/>
          <w:szCs w:val="20"/>
          <w:lang w:val="es-ES_tradnl" w:eastAsia="en-US"/>
        </w:rPr>
        <w:t>Visto</w:t>
      </w:r>
      <w:r>
        <w:rPr>
          <w:rFonts w:ascii="Verdana" w:hAnsi="Verdana" w:cs="Verdana"/>
          <w:sz w:val="20"/>
          <w:szCs w:val="20"/>
          <w:lang w:val="es-ES_tradnl" w:eastAsia="en-US"/>
        </w:rPr>
        <w:t xml:space="preserve">s </w:t>
      </w:r>
      <w:r w:rsidR="00E74C11">
        <w:rPr>
          <w:rFonts w:ascii="Verdana" w:hAnsi="Verdana" w:cs="Verdana"/>
          <w:sz w:val="20"/>
          <w:szCs w:val="20"/>
          <w:lang w:val="es-ES_tradnl" w:eastAsia="en-US"/>
        </w:rPr>
        <w:t xml:space="preserve">1, 2, 3, 5 </w:t>
      </w:r>
      <w:r>
        <w:rPr>
          <w:rFonts w:ascii="Verdana" w:hAnsi="Verdana" w:cs="Verdana"/>
          <w:sz w:val="20"/>
          <w:szCs w:val="20"/>
          <w:lang w:val="es-CR"/>
        </w:rPr>
        <w:t>y 10</w:t>
      </w:r>
      <w:r w:rsidRPr="00191150">
        <w:rPr>
          <w:rFonts w:ascii="Verdana" w:hAnsi="Verdana" w:cs="Verdana"/>
          <w:sz w:val="20"/>
          <w:szCs w:val="20"/>
          <w:lang w:val="es-ES_tradnl" w:eastAsia="en-US"/>
        </w:rPr>
        <w:t>).</w:t>
      </w:r>
    </w:p>
    <w:p w:rsidR="00853121" w:rsidRPr="0090686A" w:rsidRDefault="00853121" w:rsidP="006518E4">
      <w:pPr>
        <w:jc w:val="both"/>
        <w:rPr>
          <w:rFonts w:ascii="Verdana" w:hAnsi="Verdana" w:cs="Verdana"/>
          <w:sz w:val="20"/>
          <w:szCs w:val="20"/>
          <w:lang w:val="es-ES_tradnl"/>
        </w:rPr>
      </w:pPr>
    </w:p>
    <w:p w:rsidR="00853121" w:rsidRDefault="00853121" w:rsidP="006518E4">
      <w:pPr>
        <w:numPr>
          <w:ilvl w:val="0"/>
          <w:numId w:val="3"/>
        </w:numPr>
        <w:tabs>
          <w:tab w:val="left" w:pos="1440"/>
          <w:tab w:val="left" w:pos="2160"/>
          <w:tab w:val="left" w:pos="2880"/>
          <w:tab w:val="left" w:pos="3600"/>
          <w:tab w:val="left" w:pos="4320"/>
          <w:tab w:val="left" w:pos="5060"/>
          <w:tab w:val="left" w:pos="5760"/>
          <w:tab w:val="left" w:pos="6480"/>
          <w:tab w:val="left" w:pos="7200"/>
          <w:tab w:val="left" w:pos="7920"/>
          <w:tab w:val="left" w:pos="8640"/>
          <w:tab w:val="left" w:pos="9360"/>
        </w:tabs>
        <w:ind w:right="10"/>
        <w:jc w:val="both"/>
        <w:rPr>
          <w:rFonts w:ascii="Verdana" w:hAnsi="Verdana" w:cs="Verdana"/>
          <w:sz w:val="20"/>
          <w:szCs w:val="20"/>
        </w:rPr>
      </w:pPr>
      <w:r w:rsidRPr="00F473FE">
        <w:rPr>
          <w:rFonts w:ascii="Verdana" w:hAnsi="Verdana" w:cs="Verdana"/>
          <w:sz w:val="20"/>
          <w:szCs w:val="20"/>
        </w:rPr>
        <w:t xml:space="preserve">La </w:t>
      </w:r>
      <w:r w:rsidRPr="00F473FE">
        <w:rPr>
          <w:rFonts w:ascii="Verdana" w:hAnsi="Verdana" w:cs="Verdana"/>
          <w:sz w:val="20"/>
          <w:szCs w:val="20"/>
          <w:lang w:eastAsia="en-US"/>
        </w:rPr>
        <w:t xml:space="preserve">Comisión </w:t>
      </w:r>
      <w:r>
        <w:rPr>
          <w:rFonts w:ascii="Verdana" w:hAnsi="Verdana" w:cs="Verdana"/>
          <w:sz w:val="20"/>
          <w:szCs w:val="20"/>
          <w:lang w:eastAsia="en-US"/>
        </w:rPr>
        <w:t>señaló que no tenía</w:t>
      </w:r>
      <w:r w:rsidRPr="00F473FE">
        <w:rPr>
          <w:rFonts w:ascii="Verdana" w:hAnsi="Verdana" w:cs="Verdana"/>
          <w:sz w:val="20"/>
          <w:szCs w:val="20"/>
          <w:lang w:eastAsia="en-US"/>
        </w:rPr>
        <w:t xml:space="preserve"> observaciones a las declaraciones y peritajes ofrecidos </w:t>
      </w:r>
      <w:r>
        <w:rPr>
          <w:rFonts w:ascii="Verdana" w:hAnsi="Verdana" w:cs="Verdana"/>
          <w:sz w:val="20"/>
          <w:szCs w:val="20"/>
          <w:lang w:eastAsia="en-US"/>
        </w:rPr>
        <w:t xml:space="preserve">por los representantes </w:t>
      </w:r>
      <w:r w:rsidRPr="00F473FE">
        <w:rPr>
          <w:rFonts w:ascii="Verdana" w:hAnsi="Verdana" w:cs="Verdana"/>
          <w:sz w:val="20"/>
          <w:szCs w:val="20"/>
          <w:lang w:eastAsia="en-US"/>
        </w:rPr>
        <w:t>(</w:t>
      </w:r>
      <w:r w:rsidRPr="00F473FE">
        <w:rPr>
          <w:rFonts w:ascii="Verdana" w:hAnsi="Verdana" w:cs="Verdana"/>
          <w:i/>
          <w:iCs/>
          <w:sz w:val="20"/>
          <w:szCs w:val="20"/>
          <w:lang w:eastAsia="en-US"/>
        </w:rPr>
        <w:t>supra</w:t>
      </w:r>
      <w:r w:rsidRPr="00F473FE">
        <w:rPr>
          <w:rFonts w:ascii="Verdana" w:hAnsi="Verdana" w:cs="Verdana"/>
          <w:sz w:val="20"/>
          <w:szCs w:val="20"/>
          <w:lang w:eastAsia="en-US"/>
        </w:rPr>
        <w:t xml:space="preserve"> Visto</w:t>
      </w:r>
      <w:r>
        <w:rPr>
          <w:rFonts w:ascii="Verdana" w:hAnsi="Verdana" w:cs="Verdana"/>
          <w:sz w:val="20"/>
          <w:szCs w:val="20"/>
          <w:lang w:eastAsia="en-US"/>
        </w:rPr>
        <w:t xml:space="preserve"> 12</w:t>
      </w:r>
      <w:r w:rsidRPr="00F473FE">
        <w:rPr>
          <w:rFonts w:ascii="Verdana" w:hAnsi="Verdana" w:cs="Verdana"/>
          <w:sz w:val="20"/>
          <w:szCs w:val="20"/>
          <w:lang w:eastAsia="en-US"/>
        </w:rPr>
        <w:t>). Por su parte, el Estado</w:t>
      </w:r>
      <w:r w:rsidRPr="00F473FE">
        <w:rPr>
          <w:rFonts w:ascii="Verdana" w:hAnsi="Verdana" w:cs="Verdana"/>
          <w:sz w:val="20"/>
          <w:szCs w:val="20"/>
        </w:rPr>
        <w:t xml:space="preserve"> </w:t>
      </w:r>
      <w:r>
        <w:rPr>
          <w:rFonts w:ascii="Verdana" w:hAnsi="Verdana" w:cs="Verdana"/>
          <w:sz w:val="20"/>
          <w:szCs w:val="20"/>
        </w:rPr>
        <w:t>y los representantes no presentaron</w:t>
      </w:r>
      <w:r w:rsidRPr="00F473FE">
        <w:rPr>
          <w:rFonts w:ascii="Verdana" w:hAnsi="Verdana" w:cs="Verdana"/>
          <w:sz w:val="20"/>
          <w:szCs w:val="20"/>
        </w:rPr>
        <w:t xml:space="preserve"> observaciones a las listas definitivas </w:t>
      </w:r>
      <w:r>
        <w:rPr>
          <w:rFonts w:ascii="Verdana" w:hAnsi="Verdana" w:cs="Verdana"/>
          <w:sz w:val="20"/>
          <w:szCs w:val="20"/>
        </w:rPr>
        <w:t xml:space="preserve">de la Comisión </w:t>
      </w:r>
      <w:r w:rsidRPr="00F473FE">
        <w:rPr>
          <w:rFonts w:ascii="Verdana" w:hAnsi="Verdana" w:cs="Verdana"/>
          <w:sz w:val="20"/>
          <w:szCs w:val="20"/>
        </w:rPr>
        <w:t>(</w:t>
      </w:r>
      <w:r w:rsidRPr="00F473FE">
        <w:rPr>
          <w:rFonts w:ascii="Verdana" w:hAnsi="Verdana" w:cs="Verdana"/>
          <w:i/>
          <w:iCs/>
          <w:sz w:val="20"/>
          <w:szCs w:val="20"/>
        </w:rPr>
        <w:t xml:space="preserve">supra </w:t>
      </w:r>
      <w:r w:rsidRPr="00F473FE">
        <w:rPr>
          <w:rFonts w:ascii="Verdana" w:hAnsi="Verdana" w:cs="Verdana"/>
          <w:sz w:val="20"/>
          <w:szCs w:val="20"/>
        </w:rPr>
        <w:t>Visto</w:t>
      </w:r>
      <w:r>
        <w:rPr>
          <w:rFonts w:ascii="Verdana" w:hAnsi="Verdana" w:cs="Verdana"/>
          <w:sz w:val="20"/>
          <w:szCs w:val="20"/>
        </w:rPr>
        <w:t xml:space="preserve"> 13</w:t>
      </w:r>
      <w:r w:rsidRPr="00F473FE">
        <w:rPr>
          <w:rFonts w:ascii="Verdana" w:hAnsi="Verdana" w:cs="Verdana"/>
          <w:sz w:val="20"/>
          <w:szCs w:val="20"/>
        </w:rPr>
        <w:t xml:space="preserve">). </w:t>
      </w:r>
    </w:p>
    <w:p w:rsidR="00853121" w:rsidRPr="00F473FE" w:rsidRDefault="00853121" w:rsidP="006518E4">
      <w:pPr>
        <w:pStyle w:val="BodyText2"/>
        <w:tabs>
          <w:tab w:val="left" w:pos="1440"/>
          <w:tab w:val="left" w:pos="2160"/>
          <w:tab w:val="left" w:pos="2880"/>
          <w:tab w:val="left" w:pos="3600"/>
          <w:tab w:val="left" w:pos="4320"/>
          <w:tab w:val="left" w:pos="5060"/>
          <w:tab w:val="left" w:pos="5760"/>
          <w:tab w:val="left" w:pos="6480"/>
          <w:tab w:val="left" w:pos="7200"/>
          <w:tab w:val="left" w:pos="7920"/>
          <w:tab w:val="left" w:pos="8640"/>
          <w:tab w:val="left" w:pos="9360"/>
        </w:tabs>
        <w:ind w:right="10"/>
        <w:rPr>
          <w:rFonts w:ascii="Verdana" w:hAnsi="Verdana" w:cs="Verdana"/>
          <w:sz w:val="20"/>
          <w:szCs w:val="20"/>
        </w:rPr>
      </w:pPr>
    </w:p>
    <w:p w:rsidR="00853121" w:rsidRPr="00D76353" w:rsidRDefault="00853121" w:rsidP="006518E4">
      <w:pPr>
        <w:numPr>
          <w:ilvl w:val="0"/>
          <w:numId w:val="3"/>
        </w:numPr>
        <w:ind w:right="10"/>
        <w:jc w:val="both"/>
        <w:rPr>
          <w:rFonts w:ascii="Verdana" w:hAnsi="Verdana" w:cs="Verdana"/>
          <w:sz w:val="20"/>
          <w:szCs w:val="20"/>
          <w:u w:val="single"/>
          <w:lang w:val="es-ES_tradnl"/>
        </w:rPr>
      </w:pPr>
      <w:r w:rsidRPr="00D76353">
        <w:rPr>
          <w:rFonts w:ascii="Verdana" w:hAnsi="Verdana" w:cs="Verdana"/>
          <w:sz w:val="20"/>
          <w:szCs w:val="20"/>
        </w:rPr>
        <w:t xml:space="preserve">En cuanto a las </w:t>
      </w:r>
      <w:r>
        <w:rPr>
          <w:rFonts w:ascii="Verdana" w:hAnsi="Verdana" w:cs="Verdana"/>
          <w:sz w:val="20"/>
          <w:szCs w:val="20"/>
        </w:rPr>
        <w:t xml:space="preserve">declaraciones y dictámenes periciales ofrecidos </w:t>
      </w:r>
      <w:r w:rsidRPr="00D76353">
        <w:rPr>
          <w:rFonts w:ascii="Verdana" w:hAnsi="Verdana" w:cs="Verdana"/>
          <w:sz w:val="20"/>
          <w:szCs w:val="20"/>
        </w:rPr>
        <w:t xml:space="preserve">por </w:t>
      </w:r>
      <w:r w:rsidRPr="006D68BE">
        <w:rPr>
          <w:rFonts w:ascii="Verdana" w:hAnsi="Verdana" w:cs="Verdana"/>
          <w:sz w:val="20"/>
          <w:szCs w:val="20"/>
        </w:rPr>
        <w:t>los representantes</w:t>
      </w:r>
      <w:r w:rsidR="006D68BE" w:rsidRPr="006D68BE">
        <w:rPr>
          <w:rFonts w:ascii="Verdana" w:hAnsi="Verdana" w:cs="Verdana"/>
          <w:sz w:val="20"/>
          <w:szCs w:val="20"/>
        </w:rPr>
        <w:t xml:space="preserve"> y que </w:t>
      </w:r>
      <w:r w:rsidRPr="006D68BE">
        <w:rPr>
          <w:rFonts w:ascii="Verdana" w:hAnsi="Verdana" w:cs="Verdana"/>
          <w:sz w:val="20"/>
          <w:szCs w:val="20"/>
        </w:rPr>
        <w:t xml:space="preserve">no han sido objetados, </w:t>
      </w:r>
      <w:r w:rsidRPr="00D76353">
        <w:rPr>
          <w:rFonts w:ascii="Verdana" w:hAnsi="Verdana" w:cs="Verdana"/>
          <w:sz w:val="20"/>
          <w:szCs w:val="20"/>
        </w:rPr>
        <w:t xml:space="preserve">esta Presidencia considera conveniente recabar dicha prueba, a efectos de que el Tribunal pueda apreciar su valor en la debida oportunidad procesal, dentro del contexto del acervo probatorio existente y según las reglas de la sana crítica. </w:t>
      </w:r>
      <w:r>
        <w:rPr>
          <w:rFonts w:ascii="Verdana" w:hAnsi="Verdana" w:cs="Verdana"/>
          <w:sz w:val="20"/>
          <w:szCs w:val="20"/>
        </w:rPr>
        <w:t xml:space="preserve">Se trata de las declaraciones de dos presuntas víctimas: </w:t>
      </w:r>
      <w:r>
        <w:rPr>
          <w:rFonts w:ascii="Verdana" w:hAnsi="Verdana" w:cs="Verdana"/>
          <w:sz w:val="20"/>
          <w:szCs w:val="20"/>
          <w:lang w:val="es-CR"/>
        </w:rPr>
        <w:t>Claudio Furlan y</w:t>
      </w:r>
      <w:r w:rsidRPr="00D76353">
        <w:rPr>
          <w:rFonts w:ascii="Verdana" w:hAnsi="Verdana" w:cs="Verdana"/>
          <w:sz w:val="20"/>
          <w:szCs w:val="20"/>
          <w:lang w:val="es-CR"/>
        </w:rPr>
        <w:t xml:space="preserve"> </w:t>
      </w:r>
      <w:r>
        <w:rPr>
          <w:rFonts w:ascii="Verdana" w:hAnsi="Verdana" w:cs="Verdana"/>
          <w:sz w:val="20"/>
          <w:szCs w:val="20"/>
          <w:lang w:val="es-CR"/>
        </w:rPr>
        <w:t>Danilo Pedro Furlan</w:t>
      </w:r>
      <w:r w:rsidRPr="00D76353">
        <w:rPr>
          <w:rFonts w:ascii="Verdana" w:hAnsi="Verdana" w:cs="Verdana"/>
          <w:sz w:val="20"/>
          <w:szCs w:val="20"/>
          <w:lang w:val="es-CR"/>
        </w:rPr>
        <w:t>;</w:t>
      </w:r>
      <w:r w:rsidRPr="00D76353">
        <w:rPr>
          <w:rFonts w:ascii="Verdana" w:hAnsi="Verdana" w:cs="Verdana"/>
          <w:sz w:val="20"/>
          <w:szCs w:val="20"/>
        </w:rPr>
        <w:t xml:space="preserve"> </w:t>
      </w:r>
      <w:r>
        <w:rPr>
          <w:rFonts w:ascii="Verdana" w:hAnsi="Verdana" w:cs="Verdana"/>
          <w:sz w:val="20"/>
          <w:szCs w:val="20"/>
        </w:rPr>
        <w:t xml:space="preserve">las declaraciones de dos testigos: </w:t>
      </w:r>
      <w:r>
        <w:rPr>
          <w:rFonts w:ascii="Verdana" w:hAnsi="Verdana" w:cs="Verdana"/>
          <w:sz w:val="20"/>
          <w:szCs w:val="20"/>
          <w:lang w:val="es-CR"/>
        </w:rPr>
        <w:t>María Teresa Grossi y Violeta Florinda Jano</w:t>
      </w:r>
      <w:r>
        <w:rPr>
          <w:rFonts w:ascii="Verdana" w:hAnsi="Verdana" w:cs="Verdana"/>
          <w:sz w:val="20"/>
          <w:szCs w:val="20"/>
        </w:rPr>
        <w:t xml:space="preserve">, </w:t>
      </w:r>
      <w:r w:rsidRPr="00D76353">
        <w:rPr>
          <w:rFonts w:ascii="Verdana" w:hAnsi="Verdana" w:cs="Verdana"/>
          <w:sz w:val="20"/>
          <w:szCs w:val="20"/>
        </w:rPr>
        <w:t xml:space="preserve">y </w:t>
      </w:r>
      <w:r>
        <w:rPr>
          <w:rFonts w:ascii="Verdana" w:hAnsi="Verdana" w:cs="Verdana"/>
          <w:sz w:val="20"/>
          <w:szCs w:val="20"/>
        </w:rPr>
        <w:t xml:space="preserve">los dictámenes de dos peritos: </w:t>
      </w:r>
      <w:r>
        <w:rPr>
          <w:rFonts w:ascii="Verdana" w:hAnsi="Verdana" w:cs="Verdana"/>
          <w:sz w:val="20"/>
          <w:szCs w:val="20"/>
          <w:lang w:val="es-CR"/>
        </w:rPr>
        <w:t>Estela del Carmen Rodríguez y Gustavo Daniel Moreno</w:t>
      </w:r>
      <w:r w:rsidRPr="00D76353">
        <w:rPr>
          <w:rFonts w:ascii="Verdana" w:hAnsi="Verdana" w:cs="Verdana"/>
          <w:sz w:val="20"/>
          <w:szCs w:val="20"/>
          <w:lang w:val="es-CR"/>
        </w:rPr>
        <w:t>.</w:t>
      </w:r>
      <w:r w:rsidRPr="00D76353">
        <w:rPr>
          <w:rFonts w:ascii="Verdana" w:hAnsi="Verdana" w:cs="Verdana"/>
          <w:sz w:val="20"/>
          <w:szCs w:val="20"/>
          <w:lang w:val="es-ES_tradnl"/>
        </w:rPr>
        <w:t xml:space="preserve"> </w:t>
      </w:r>
      <w:r w:rsidRPr="006F0188">
        <w:rPr>
          <w:rFonts w:ascii="Verdana" w:hAnsi="Verdana" w:cs="Verdana"/>
          <w:sz w:val="20"/>
          <w:szCs w:val="20"/>
        </w:rPr>
        <w:t xml:space="preserve">El objeto de estas declaraciones y la forma en que serán recibidas </w:t>
      </w:r>
      <w:r w:rsidRPr="006D68BE">
        <w:rPr>
          <w:rFonts w:ascii="Verdana" w:hAnsi="Verdana" w:cs="Verdana"/>
          <w:sz w:val="20"/>
          <w:szCs w:val="20"/>
        </w:rPr>
        <w:t>se determinan</w:t>
      </w:r>
      <w:r w:rsidRPr="006F0188">
        <w:rPr>
          <w:rFonts w:ascii="Verdana" w:hAnsi="Verdana" w:cs="Verdana"/>
          <w:sz w:val="20"/>
          <w:szCs w:val="20"/>
        </w:rPr>
        <w:t xml:space="preserve"> en la parte resolutiva de la presente Resolución (</w:t>
      </w:r>
      <w:r w:rsidRPr="006F0188">
        <w:rPr>
          <w:rFonts w:ascii="Verdana" w:hAnsi="Verdana" w:cs="Verdana"/>
          <w:i/>
          <w:iCs/>
          <w:sz w:val="20"/>
          <w:szCs w:val="20"/>
        </w:rPr>
        <w:t>infra</w:t>
      </w:r>
      <w:r w:rsidRPr="006F0188">
        <w:rPr>
          <w:rFonts w:ascii="Verdana" w:hAnsi="Verdana" w:cs="Verdana"/>
          <w:sz w:val="20"/>
          <w:szCs w:val="20"/>
        </w:rPr>
        <w:t xml:space="preserve"> puntos resolutivos primero y </w:t>
      </w:r>
      <w:r w:rsidRPr="00050576">
        <w:rPr>
          <w:rFonts w:ascii="Verdana" w:hAnsi="Verdana" w:cs="Verdana"/>
          <w:sz w:val="20"/>
          <w:szCs w:val="20"/>
        </w:rPr>
        <w:t>quinto</w:t>
      </w:r>
      <w:r w:rsidRPr="006F0188">
        <w:rPr>
          <w:rFonts w:ascii="Verdana" w:hAnsi="Verdana" w:cs="Verdana"/>
          <w:sz w:val="20"/>
          <w:szCs w:val="20"/>
        </w:rPr>
        <w:t xml:space="preserve">). </w:t>
      </w:r>
    </w:p>
    <w:p w:rsidR="00853121" w:rsidRDefault="00853121" w:rsidP="006518E4">
      <w:pPr>
        <w:ind w:right="10"/>
        <w:jc w:val="both"/>
        <w:rPr>
          <w:rFonts w:ascii="Verdana" w:hAnsi="Verdana" w:cs="Verdana"/>
          <w:sz w:val="20"/>
          <w:szCs w:val="20"/>
          <w:lang w:val="es-ES_tradnl"/>
        </w:rPr>
      </w:pPr>
    </w:p>
    <w:p w:rsidR="00853121" w:rsidRDefault="00853121" w:rsidP="006518E4">
      <w:pPr>
        <w:pStyle w:val="ListParagraph1"/>
        <w:numPr>
          <w:ilvl w:val="0"/>
          <w:numId w:val="2"/>
        </w:numPr>
        <w:ind w:right="10"/>
        <w:jc w:val="both"/>
        <w:rPr>
          <w:rFonts w:ascii="Verdana" w:hAnsi="Verdana" w:cs="Verdana"/>
          <w:b/>
          <w:bCs/>
          <w:i/>
          <w:iCs/>
          <w:sz w:val="20"/>
          <w:szCs w:val="20"/>
        </w:rPr>
      </w:pPr>
      <w:r>
        <w:rPr>
          <w:rFonts w:ascii="Verdana" w:hAnsi="Verdana" w:cs="Verdana"/>
          <w:b/>
          <w:bCs/>
          <w:i/>
          <w:iCs/>
          <w:sz w:val="20"/>
          <w:szCs w:val="20"/>
        </w:rPr>
        <w:t>Declaración de una presunta víctima adjuntada como anexo al escrito de solicitudes y argumentos</w:t>
      </w:r>
    </w:p>
    <w:p w:rsidR="00853121" w:rsidRDefault="00853121" w:rsidP="006518E4">
      <w:pPr>
        <w:pStyle w:val="ListParagraph1"/>
        <w:ind w:right="10"/>
        <w:jc w:val="both"/>
        <w:rPr>
          <w:rFonts w:ascii="Verdana" w:hAnsi="Verdana" w:cs="Verdana"/>
          <w:b/>
          <w:bCs/>
          <w:i/>
          <w:iCs/>
          <w:sz w:val="20"/>
          <w:szCs w:val="20"/>
        </w:rPr>
      </w:pPr>
    </w:p>
    <w:p w:rsidR="00853121" w:rsidRPr="0080271F" w:rsidRDefault="00853121" w:rsidP="0080271F">
      <w:pPr>
        <w:numPr>
          <w:ilvl w:val="0"/>
          <w:numId w:val="3"/>
        </w:numPr>
        <w:ind w:right="10"/>
        <w:jc w:val="both"/>
        <w:rPr>
          <w:rFonts w:ascii="Verdana" w:hAnsi="Verdana" w:cs="Verdana"/>
          <w:sz w:val="20"/>
          <w:szCs w:val="20"/>
          <w:u w:val="single"/>
          <w:lang w:val="es-CR"/>
        </w:rPr>
      </w:pPr>
      <w:r w:rsidRPr="0080271F">
        <w:rPr>
          <w:rFonts w:ascii="Verdana" w:hAnsi="Verdana" w:cs="Verdana"/>
          <w:sz w:val="20"/>
          <w:szCs w:val="20"/>
        </w:rPr>
        <w:t>En el apartado denominado “prueba testimonial”, incluido en su escrito de solicitudes y argumentos, los representantes señalaron que “debido a las dificultades y angustia que provoca en Sebastián Furlan remitirse al accidente y demás aspectos ligados al trauma que sufrió a sus 14 años, y con el fin de evitar una mayor victimización”, solicitaron a la Corte “que reciba la declaración de Sebastián que se remite en video filmación” a través de uno de los anexos a dicho escrito.</w:t>
      </w:r>
      <w:r>
        <w:rPr>
          <w:rFonts w:ascii="Verdana" w:hAnsi="Verdana" w:cs="Verdana"/>
          <w:sz w:val="20"/>
          <w:szCs w:val="20"/>
        </w:rPr>
        <w:t xml:space="preserve"> </w:t>
      </w:r>
      <w:r w:rsidRPr="0080271F">
        <w:rPr>
          <w:rFonts w:ascii="Verdana" w:hAnsi="Verdana" w:cs="Verdana"/>
          <w:sz w:val="20"/>
          <w:szCs w:val="20"/>
        </w:rPr>
        <w:t>Dicho anexo fue transmitido a la Comisión y al Estado</w:t>
      </w:r>
      <w:r>
        <w:rPr>
          <w:rFonts w:ascii="Verdana" w:hAnsi="Verdana" w:cs="Verdana"/>
          <w:sz w:val="20"/>
          <w:szCs w:val="20"/>
        </w:rPr>
        <w:t>,</w:t>
      </w:r>
      <w:r w:rsidRPr="0080271F">
        <w:rPr>
          <w:rFonts w:ascii="Verdana" w:hAnsi="Verdana" w:cs="Verdana"/>
          <w:sz w:val="20"/>
          <w:szCs w:val="20"/>
        </w:rPr>
        <w:t xml:space="preserve"> y no fue objeto de observaciones.</w:t>
      </w:r>
    </w:p>
    <w:p w:rsidR="00853121" w:rsidRDefault="00853121" w:rsidP="0080271F">
      <w:pPr>
        <w:pStyle w:val="ListParagraph"/>
        <w:rPr>
          <w:rFonts w:ascii="Verdana" w:hAnsi="Verdana" w:cs="Verdana"/>
          <w:sz w:val="20"/>
          <w:szCs w:val="20"/>
        </w:rPr>
      </w:pPr>
    </w:p>
    <w:p w:rsidR="00853121" w:rsidRPr="0080271F" w:rsidRDefault="00853121" w:rsidP="0080271F">
      <w:pPr>
        <w:numPr>
          <w:ilvl w:val="0"/>
          <w:numId w:val="3"/>
        </w:numPr>
        <w:ind w:right="10"/>
        <w:jc w:val="both"/>
        <w:rPr>
          <w:rFonts w:ascii="Verdana" w:hAnsi="Verdana" w:cs="Verdana"/>
          <w:sz w:val="20"/>
          <w:szCs w:val="20"/>
          <w:u w:val="single"/>
          <w:lang w:val="es-CR"/>
        </w:rPr>
      </w:pPr>
      <w:r>
        <w:rPr>
          <w:rFonts w:ascii="Verdana" w:hAnsi="Verdana" w:cs="Verdana"/>
          <w:sz w:val="20"/>
          <w:szCs w:val="20"/>
        </w:rPr>
        <w:t xml:space="preserve">Al presentar su lista definitiva de declarantes, los representantes solicitaron que se reciba su declaración “formulada en video filmación que fuera oportunamente remitida”. Ni la Comisión ni el Estado presentaron observaciones frente a la ratificación de esta propuesta. </w:t>
      </w:r>
    </w:p>
    <w:p w:rsidR="00853121" w:rsidRPr="008C1F63" w:rsidRDefault="00853121" w:rsidP="0080271F">
      <w:pPr>
        <w:pStyle w:val="BodyText2"/>
        <w:numPr>
          <w:ilvl w:val="0"/>
          <w:numId w:val="3"/>
        </w:numPr>
        <w:tabs>
          <w:tab w:val="left" w:pos="1440"/>
          <w:tab w:val="left" w:pos="2160"/>
          <w:tab w:val="left" w:pos="2880"/>
          <w:tab w:val="left" w:pos="3600"/>
          <w:tab w:val="left" w:pos="4320"/>
          <w:tab w:val="left" w:pos="5060"/>
          <w:tab w:val="left" w:pos="5760"/>
          <w:tab w:val="left" w:pos="6480"/>
          <w:tab w:val="left" w:pos="7200"/>
          <w:tab w:val="left" w:pos="7920"/>
          <w:tab w:val="left" w:pos="8640"/>
          <w:tab w:val="left" w:pos="9360"/>
        </w:tabs>
        <w:spacing w:before="240" w:after="120"/>
        <w:rPr>
          <w:rFonts w:ascii="Verdana" w:hAnsi="Verdana" w:cs="Verdana"/>
          <w:color w:val="000000"/>
          <w:sz w:val="20"/>
          <w:szCs w:val="20"/>
        </w:rPr>
      </w:pPr>
      <w:r>
        <w:rPr>
          <w:rFonts w:ascii="Verdana" w:hAnsi="Verdana" w:cs="Verdana"/>
          <w:color w:val="000000"/>
          <w:sz w:val="20"/>
          <w:szCs w:val="20"/>
          <w:lang w:val="es-ES"/>
        </w:rPr>
        <w:lastRenderedPageBreak/>
        <w:t>E</w:t>
      </w:r>
      <w:r>
        <w:rPr>
          <w:rFonts w:ascii="Verdana" w:hAnsi="Verdana" w:cs="Verdana"/>
          <w:color w:val="000000"/>
          <w:sz w:val="20"/>
          <w:szCs w:val="20"/>
        </w:rPr>
        <w:t>l Tribunal hace notar que dicha</w:t>
      </w:r>
      <w:r w:rsidRPr="008C1F63">
        <w:rPr>
          <w:rFonts w:ascii="Verdana" w:hAnsi="Verdana" w:cs="Verdana"/>
          <w:color w:val="000000"/>
          <w:sz w:val="20"/>
          <w:szCs w:val="20"/>
        </w:rPr>
        <w:t xml:space="preserve"> declaraci</w:t>
      </w:r>
      <w:r>
        <w:rPr>
          <w:rFonts w:ascii="Verdana" w:hAnsi="Verdana" w:cs="Verdana"/>
          <w:color w:val="000000"/>
          <w:sz w:val="20"/>
          <w:szCs w:val="20"/>
        </w:rPr>
        <w:t xml:space="preserve">ón </w:t>
      </w:r>
      <w:r w:rsidRPr="008C1F63">
        <w:rPr>
          <w:rFonts w:ascii="Verdana" w:hAnsi="Verdana" w:cs="Verdana"/>
          <w:color w:val="000000"/>
          <w:sz w:val="20"/>
          <w:szCs w:val="20"/>
        </w:rPr>
        <w:t>tiene carácter de prueba doc</w:t>
      </w:r>
      <w:r>
        <w:rPr>
          <w:rFonts w:ascii="Verdana" w:hAnsi="Verdana" w:cs="Verdana"/>
          <w:color w:val="000000"/>
          <w:sz w:val="20"/>
          <w:szCs w:val="20"/>
        </w:rPr>
        <w:t>umental y, en ese sentido, será valorada</w:t>
      </w:r>
      <w:r w:rsidRPr="008C1F63">
        <w:rPr>
          <w:rFonts w:ascii="Verdana" w:hAnsi="Verdana" w:cs="Verdana"/>
          <w:color w:val="000000"/>
          <w:sz w:val="20"/>
          <w:szCs w:val="20"/>
        </w:rPr>
        <w:t xml:space="preserve"> en la debida oportunidad, dentro del contexto del acervo probatorio existente y según las reglas de la sana crítica</w:t>
      </w:r>
      <w:r>
        <w:rPr>
          <w:rStyle w:val="FootnoteReference"/>
          <w:rFonts w:ascii="Verdana" w:hAnsi="Verdana" w:cs="Verdana"/>
          <w:color w:val="000000"/>
          <w:sz w:val="20"/>
          <w:szCs w:val="20"/>
        </w:rPr>
        <w:footnoteReference w:id="4"/>
      </w:r>
      <w:r w:rsidRPr="008C1F63">
        <w:rPr>
          <w:rFonts w:ascii="Verdana" w:hAnsi="Verdana" w:cs="Verdana"/>
          <w:color w:val="000000"/>
          <w:sz w:val="20"/>
          <w:szCs w:val="20"/>
        </w:rPr>
        <w:t xml:space="preserve">. </w:t>
      </w:r>
    </w:p>
    <w:p w:rsidR="00853121" w:rsidRPr="00D01504" w:rsidRDefault="00853121" w:rsidP="0080271F">
      <w:pPr>
        <w:ind w:right="10"/>
        <w:jc w:val="both"/>
        <w:rPr>
          <w:rFonts w:ascii="Verdana" w:hAnsi="Verdana" w:cs="Verdana"/>
          <w:sz w:val="20"/>
          <w:szCs w:val="20"/>
          <w:u w:val="single"/>
        </w:rPr>
      </w:pPr>
    </w:p>
    <w:p w:rsidR="00853121" w:rsidRPr="00AE7E60" w:rsidRDefault="00853121" w:rsidP="006518E4">
      <w:pPr>
        <w:pStyle w:val="ListParagraph1"/>
        <w:numPr>
          <w:ilvl w:val="0"/>
          <w:numId w:val="2"/>
        </w:numPr>
        <w:ind w:right="10"/>
        <w:rPr>
          <w:rFonts w:ascii="Verdana" w:hAnsi="Verdana" w:cs="Verdana"/>
          <w:b/>
          <w:bCs/>
          <w:i/>
          <w:iCs/>
          <w:sz w:val="20"/>
          <w:szCs w:val="20"/>
        </w:rPr>
      </w:pPr>
      <w:r>
        <w:rPr>
          <w:rFonts w:ascii="Verdana" w:hAnsi="Verdana" w:cs="Verdana"/>
          <w:b/>
          <w:bCs/>
          <w:i/>
          <w:iCs/>
          <w:sz w:val="20"/>
          <w:szCs w:val="20"/>
        </w:rPr>
        <w:t>Objeción de prueba pericial presentada por los representantes</w:t>
      </w:r>
    </w:p>
    <w:p w:rsidR="00853121" w:rsidRPr="00A949A2" w:rsidRDefault="00853121" w:rsidP="006518E4">
      <w:pPr>
        <w:pStyle w:val="Default"/>
        <w:jc w:val="both"/>
        <w:rPr>
          <w:sz w:val="20"/>
          <w:szCs w:val="20"/>
          <w:lang w:val="es-ES"/>
        </w:rPr>
      </w:pPr>
    </w:p>
    <w:p w:rsidR="00853121" w:rsidRPr="00856D80" w:rsidRDefault="00853121" w:rsidP="002F18A1">
      <w:pPr>
        <w:pStyle w:val="Default"/>
        <w:numPr>
          <w:ilvl w:val="0"/>
          <w:numId w:val="3"/>
        </w:numPr>
        <w:ind w:right="10"/>
        <w:jc w:val="both"/>
        <w:rPr>
          <w:b/>
          <w:bCs/>
          <w:i/>
          <w:iCs/>
          <w:sz w:val="20"/>
          <w:szCs w:val="20"/>
          <w:lang w:val="es-CR"/>
        </w:rPr>
      </w:pPr>
      <w:r w:rsidRPr="00F74454">
        <w:rPr>
          <w:sz w:val="20"/>
          <w:szCs w:val="20"/>
          <w:lang w:val="es-ES"/>
        </w:rPr>
        <w:t xml:space="preserve">El Estado </w:t>
      </w:r>
      <w:r w:rsidR="00071C09">
        <w:rPr>
          <w:sz w:val="20"/>
          <w:szCs w:val="20"/>
          <w:lang w:val="es-ES"/>
        </w:rPr>
        <w:t xml:space="preserve">objetó </w:t>
      </w:r>
      <w:r w:rsidRPr="00F74454">
        <w:rPr>
          <w:sz w:val="20"/>
          <w:szCs w:val="20"/>
          <w:lang w:val="es-ES"/>
        </w:rPr>
        <w:t>el peritaje de la señora María Laura Subies, propuesta por los representantes. El Estado alegó que "los términos del informe pericial" de la señora Subies "responden a las características propias de una declaración testimonial más que de una declaración pericial experta". Al respecto, el Estado señaló que el objeto de la declaración de la señora Subies se refiere "a su experiencia como madre de un niño con discapacidad mental, en relación a las posibilidades de cobertura en materia de salud pública y seguridad social para niños discapacitados, relatando situaciones vivenciales de los padres que deben atravesar es</w:t>
      </w:r>
      <w:r w:rsidR="00DE3B1E">
        <w:rPr>
          <w:sz w:val="20"/>
          <w:szCs w:val="20"/>
          <w:lang w:val="es-ES"/>
        </w:rPr>
        <w:t>t</w:t>
      </w:r>
      <w:r w:rsidRPr="00F74454">
        <w:rPr>
          <w:sz w:val="20"/>
          <w:szCs w:val="20"/>
          <w:lang w:val="es-ES"/>
        </w:rPr>
        <w:t>as instancias y a las respuestas del Estado en relación con la información sobre las prestaciones". El Estado indicó que "el hecho de que la Dra. Subies sea abogada no modifica esta posición, ya que la misma es citada en virtud de su experiencia personal como madre de un niño con discapacidad".</w:t>
      </w:r>
    </w:p>
    <w:p w:rsidR="00853121" w:rsidRPr="00F74454" w:rsidRDefault="00853121" w:rsidP="00856D80">
      <w:pPr>
        <w:pStyle w:val="Default"/>
        <w:ind w:right="10"/>
        <w:jc w:val="both"/>
        <w:rPr>
          <w:sz w:val="20"/>
          <w:szCs w:val="20"/>
          <w:lang w:val="es-ES"/>
        </w:rPr>
      </w:pPr>
    </w:p>
    <w:p w:rsidR="00610E70" w:rsidRPr="00B3583E" w:rsidRDefault="00853121" w:rsidP="00610E70">
      <w:pPr>
        <w:pStyle w:val="Default"/>
        <w:numPr>
          <w:ilvl w:val="0"/>
          <w:numId w:val="3"/>
        </w:numPr>
        <w:ind w:right="10"/>
        <w:jc w:val="both"/>
        <w:rPr>
          <w:b/>
          <w:bCs/>
          <w:i/>
          <w:iCs/>
          <w:sz w:val="20"/>
          <w:szCs w:val="20"/>
          <w:lang w:val="es-CR"/>
        </w:rPr>
      </w:pPr>
      <w:r>
        <w:rPr>
          <w:sz w:val="20"/>
          <w:szCs w:val="20"/>
          <w:lang w:val="es-CR"/>
        </w:rPr>
        <w:t>Los representantes alegaron que el Est</w:t>
      </w:r>
      <w:r w:rsidR="00DE3B1E">
        <w:rPr>
          <w:sz w:val="20"/>
          <w:szCs w:val="20"/>
          <w:lang w:val="es-CR"/>
        </w:rPr>
        <w:t>ado “soslaya de manera absoluta</w:t>
      </w:r>
      <w:r>
        <w:rPr>
          <w:sz w:val="20"/>
          <w:szCs w:val="20"/>
          <w:lang w:val="es-CR"/>
        </w:rPr>
        <w:t xml:space="preserve"> el objeto de peritaje propuesto</w:t>
      </w:r>
      <w:r w:rsidR="00DE3B1E">
        <w:rPr>
          <w:sz w:val="20"/>
          <w:szCs w:val="20"/>
          <w:lang w:val="es-CR"/>
        </w:rPr>
        <w:t>”</w:t>
      </w:r>
      <w:r>
        <w:rPr>
          <w:sz w:val="20"/>
          <w:szCs w:val="20"/>
          <w:lang w:val="es-CR"/>
        </w:rPr>
        <w:t xml:space="preserve"> para la señora Subies “en virtud de su rol profesional como abogada con experticia en materia de discapacidad, conforme surge de manera evidente y precisa en [su] hoja de vida”. Agregaron que “perito es quien en virtud de sus conocimientos científicos y/o experiencia, puede acercar al Tribunal información que le resulte valiosa para la comprensión de algún aspecto del caso que exija un conocimiento experto, cualidades que dis</w:t>
      </w:r>
      <w:r w:rsidRPr="00B3583E">
        <w:rPr>
          <w:sz w:val="20"/>
          <w:szCs w:val="20"/>
          <w:lang w:val="es-CR"/>
        </w:rPr>
        <w:t>tinguen y califican la declaración de la Dra. Subies”.</w:t>
      </w:r>
    </w:p>
    <w:p w:rsidR="00610E70" w:rsidRPr="00B3583E" w:rsidRDefault="00610E70" w:rsidP="00610E70">
      <w:pPr>
        <w:pStyle w:val="Default"/>
        <w:ind w:right="10"/>
        <w:jc w:val="both"/>
        <w:rPr>
          <w:b/>
          <w:bCs/>
          <w:i/>
          <w:iCs/>
          <w:sz w:val="20"/>
          <w:szCs w:val="20"/>
          <w:lang w:val="es-CR"/>
        </w:rPr>
      </w:pPr>
    </w:p>
    <w:p w:rsidR="00853121" w:rsidRPr="00B3583E" w:rsidRDefault="00853121" w:rsidP="00D42000">
      <w:pPr>
        <w:pStyle w:val="Default"/>
        <w:numPr>
          <w:ilvl w:val="0"/>
          <w:numId w:val="3"/>
        </w:numPr>
        <w:ind w:right="10"/>
        <w:jc w:val="both"/>
        <w:rPr>
          <w:b/>
          <w:bCs/>
          <w:i/>
          <w:iCs/>
          <w:sz w:val="20"/>
          <w:szCs w:val="20"/>
          <w:lang w:val="es-CR"/>
        </w:rPr>
      </w:pPr>
      <w:r w:rsidRPr="00B3583E">
        <w:rPr>
          <w:sz w:val="20"/>
          <w:szCs w:val="20"/>
          <w:lang w:val="es-CR"/>
        </w:rPr>
        <w:t xml:space="preserve">El Presidente observa que el objeto propuesto para la declaración pericial de la señora Subies tiene dos componentes. En primer lugar, los representantes proponen que ella se refiera, “desde su lugar de abogada litigante en materia de discapacidad, a mecanismos de resolución y prácticas tribunalicias de casos que </w:t>
      </w:r>
      <w:r w:rsidR="00DE3B1E">
        <w:rPr>
          <w:sz w:val="20"/>
          <w:szCs w:val="20"/>
          <w:lang w:val="es-CR"/>
        </w:rPr>
        <w:t>[</w:t>
      </w:r>
      <w:r w:rsidRPr="00B3583E">
        <w:rPr>
          <w:sz w:val="20"/>
          <w:szCs w:val="20"/>
          <w:lang w:val="es-CR"/>
        </w:rPr>
        <w:t>se</w:t>
      </w:r>
      <w:r w:rsidR="00DE3B1E">
        <w:rPr>
          <w:sz w:val="20"/>
          <w:szCs w:val="20"/>
          <w:lang w:val="es-CR"/>
        </w:rPr>
        <w:t>]</w:t>
      </w:r>
      <w:r w:rsidRPr="00B3583E">
        <w:rPr>
          <w:sz w:val="20"/>
          <w:szCs w:val="20"/>
          <w:lang w:val="es-CR"/>
        </w:rPr>
        <w:t xml:space="preserve"> tramitan en los juzgados con igual competencia material y territorial que el interviniente en la causa de daños y perjuicios por el accidente de Sebastian Furlan”. En segundo lugar, se propone que se refiera “a su experiencia como madre de un niño con discapacidad mental, en relación a las posibilidades de cobertura en materia de salud pública y seguridad social para niños discapacitados, relatando situaciones vivenciales de los padres que deben atravesar estas instancias y a las respuestas del Estado en relación con la información sobre prestaciones”. </w:t>
      </w:r>
    </w:p>
    <w:p w:rsidR="00853121" w:rsidRPr="00B3583E" w:rsidRDefault="00853121" w:rsidP="00D42000">
      <w:pPr>
        <w:pStyle w:val="ListParagraph"/>
        <w:rPr>
          <w:sz w:val="20"/>
          <w:szCs w:val="20"/>
          <w:lang w:val="es-CR"/>
        </w:rPr>
      </w:pPr>
    </w:p>
    <w:p w:rsidR="00853121" w:rsidRPr="00B3583E" w:rsidRDefault="00853121" w:rsidP="00CA35A1">
      <w:pPr>
        <w:pStyle w:val="Default"/>
        <w:numPr>
          <w:ilvl w:val="0"/>
          <w:numId w:val="3"/>
        </w:numPr>
        <w:ind w:right="10"/>
        <w:jc w:val="both"/>
        <w:rPr>
          <w:b/>
          <w:bCs/>
          <w:i/>
          <w:iCs/>
          <w:sz w:val="20"/>
          <w:szCs w:val="20"/>
          <w:lang w:val="es-CR"/>
        </w:rPr>
      </w:pPr>
      <w:r w:rsidRPr="00B3583E">
        <w:rPr>
          <w:sz w:val="20"/>
          <w:szCs w:val="20"/>
          <w:lang w:val="es-CR"/>
        </w:rPr>
        <w:t xml:space="preserve">Teniendo en cuenta lo anterior, el Presidente </w:t>
      </w:r>
      <w:r w:rsidRPr="00B3583E">
        <w:rPr>
          <w:sz w:val="20"/>
          <w:szCs w:val="20"/>
          <w:lang w:val="es-ES"/>
        </w:rPr>
        <w:t xml:space="preserve">estima que, del análisis del objeto de dicho dictamen, éste puede contribuir a esclarecer los hechos del presente caso. En cuanto a su rol como perito, el Estado no alega que la señora Subies haya intervenido anteriormente en los procesos judiciales internos o en otros aspectos del presente caso. Respecto de las alegaciones sobre la experiencia de la señora Subies como madre de un niño con discapacidad, el Presidente no estima acreditado que dicha circunstancia signifique que la señora Subies tenga un interés directo o vaya a ser de alguna forma beneficiada por la resolución del presente caso, y que por ello se encuentre impedida de participar en la calidad propuesta, en los términos del artículo 19 del Estatuto. En efecto, los peritos no están impedidos de utilizar sus experiencias personales como parte de su exposición técnica. Las fortalezas o insuficiencias que ello pueda generar para alcanzar conclusiones debidamente documentadas sobre el objeto respecto al cual son convocados, es un tema que corresponde al fondo del caso. La Corte apreciará el valor de dicha declaración, así </w:t>
      </w:r>
      <w:r w:rsidRPr="00B3583E">
        <w:rPr>
          <w:sz w:val="20"/>
          <w:szCs w:val="20"/>
          <w:lang w:val="es-ES"/>
        </w:rPr>
        <w:lastRenderedPageBreak/>
        <w:t>como las observaciones de las partes al respecto, en la debida oportunidad, dentro del contexto del acervo probatorio existente y según las reglas de la sana crítica. En razón de lo anterior, el Presidente estima conveniente recabar dicha prueba y determinará el objeto del informe pericial, y la forma en que será recibido, según los términos dispuestos en la parte resolutiva de esta decisión (</w:t>
      </w:r>
      <w:r w:rsidRPr="00B3583E">
        <w:rPr>
          <w:i/>
          <w:iCs/>
          <w:sz w:val="20"/>
          <w:szCs w:val="20"/>
          <w:lang w:val="es-ES"/>
        </w:rPr>
        <w:t>infra</w:t>
      </w:r>
      <w:r w:rsidR="00274254">
        <w:rPr>
          <w:sz w:val="20"/>
          <w:szCs w:val="20"/>
          <w:lang w:val="es-ES"/>
        </w:rPr>
        <w:t xml:space="preserve"> punto resolutivo 5</w:t>
      </w:r>
      <w:r w:rsidRPr="00B3583E">
        <w:rPr>
          <w:sz w:val="20"/>
          <w:szCs w:val="20"/>
          <w:lang w:val="es-ES"/>
        </w:rPr>
        <w:t>).</w:t>
      </w:r>
    </w:p>
    <w:p w:rsidR="00853121" w:rsidRPr="001C1458" w:rsidRDefault="00853121" w:rsidP="00D42000">
      <w:pPr>
        <w:rPr>
          <w:rFonts w:ascii="Verdana" w:hAnsi="Verdana" w:cs="Verdana"/>
          <w:i/>
          <w:iCs/>
          <w:sz w:val="20"/>
          <w:szCs w:val="20"/>
        </w:rPr>
      </w:pPr>
    </w:p>
    <w:p w:rsidR="00853121" w:rsidRPr="000402D1" w:rsidRDefault="00853121" w:rsidP="006518E4">
      <w:pPr>
        <w:pStyle w:val="ListParagraph1"/>
        <w:numPr>
          <w:ilvl w:val="0"/>
          <w:numId w:val="2"/>
        </w:numPr>
        <w:ind w:right="10"/>
        <w:rPr>
          <w:rFonts w:ascii="Verdana" w:hAnsi="Verdana" w:cs="Verdana"/>
          <w:b/>
          <w:bCs/>
          <w:i/>
          <w:iCs/>
          <w:sz w:val="20"/>
          <w:szCs w:val="20"/>
        </w:rPr>
      </w:pPr>
      <w:r w:rsidRPr="000402D1">
        <w:rPr>
          <w:rFonts w:ascii="Verdana" w:hAnsi="Verdana" w:cs="Verdana"/>
          <w:b/>
          <w:bCs/>
          <w:i/>
          <w:iCs/>
          <w:sz w:val="20"/>
          <w:szCs w:val="20"/>
        </w:rPr>
        <w:t>Prueba pericial ofrecida por la Comisión Interamericana</w:t>
      </w:r>
    </w:p>
    <w:p w:rsidR="00853121" w:rsidRPr="000402D1" w:rsidRDefault="00853121" w:rsidP="006518E4">
      <w:pPr>
        <w:pStyle w:val="Default"/>
        <w:ind w:right="10"/>
        <w:jc w:val="both"/>
        <w:rPr>
          <w:sz w:val="20"/>
          <w:szCs w:val="20"/>
          <w:lang w:val="es-CR"/>
        </w:rPr>
      </w:pPr>
    </w:p>
    <w:p w:rsidR="00853121" w:rsidRDefault="00853121" w:rsidP="006518E4">
      <w:pPr>
        <w:pStyle w:val="Default"/>
        <w:numPr>
          <w:ilvl w:val="0"/>
          <w:numId w:val="3"/>
        </w:numPr>
        <w:ind w:right="10"/>
        <w:jc w:val="both"/>
        <w:rPr>
          <w:sz w:val="20"/>
          <w:szCs w:val="20"/>
          <w:lang w:val="es-CR"/>
        </w:rPr>
      </w:pPr>
      <w:r>
        <w:rPr>
          <w:sz w:val="20"/>
          <w:szCs w:val="20"/>
          <w:lang w:val="es-CR"/>
        </w:rPr>
        <w:t>De acuerdo a</w:t>
      </w:r>
      <w:r w:rsidRPr="00AD6D7D">
        <w:rPr>
          <w:sz w:val="20"/>
          <w:szCs w:val="20"/>
          <w:lang w:val="es-CR"/>
        </w:rPr>
        <w:t xml:space="preserve"> lo establecido en el artículo 35.1.f del Reglamento, la “eventual designación de peritos” podrá ser hecha por la Comisión Interamericana “cuando se afecte de manera relevante el orden público interamericano de los derechos humanos”, cuyo fundamento y objeto tienen que ser adecuadamente sustentados. </w:t>
      </w:r>
      <w:r w:rsidRPr="008C5D0E">
        <w:rPr>
          <w:sz w:val="20"/>
          <w:szCs w:val="20"/>
          <w:lang w:val="es-ES"/>
        </w:rPr>
        <w:t xml:space="preserve">El sentido de esta disposición hace de la designación de peritos por parte de la Comisión </w:t>
      </w:r>
      <w:r w:rsidRPr="00E6058C">
        <w:rPr>
          <w:sz w:val="20"/>
          <w:szCs w:val="20"/>
          <w:lang w:val="es-ES"/>
        </w:rPr>
        <w:t>una oportunidad excepcional</w:t>
      </w:r>
      <w:r w:rsidRPr="008C5D0E">
        <w:rPr>
          <w:sz w:val="20"/>
          <w:szCs w:val="20"/>
          <w:lang w:val="es-ES"/>
        </w:rPr>
        <w:t xml:space="preserve"> sujeta a ese requisito</w:t>
      </w:r>
      <w:r>
        <w:rPr>
          <w:sz w:val="20"/>
          <w:szCs w:val="20"/>
          <w:lang w:val="es-ES"/>
        </w:rPr>
        <w:t>,</w:t>
      </w:r>
      <w:r w:rsidRPr="008C5D0E">
        <w:rPr>
          <w:sz w:val="20"/>
          <w:szCs w:val="20"/>
          <w:lang w:val="es-ES"/>
        </w:rPr>
        <w:t xml:space="preserve"> que no se cumple por el solo hecho de que el peritaje que se procura producir tenga relación con una alegada violación de derechos humanos. </w:t>
      </w:r>
      <w:r w:rsidRPr="003A296F">
        <w:rPr>
          <w:sz w:val="20"/>
          <w:szCs w:val="20"/>
          <w:lang w:val="es-CR"/>
        </w:rPr>
        <w:t>Tiene que estar afectado de “manera relevante el orden público interamericano de los derechos humanos”, correspondiendo a la Comisión sustentar tal situación</w:t>
      </w:r>
      <w:bookmarkStart w:id="12" w:name="_Ref294815862"/>
      <w:r w:rsidRPr="003A296F">
        <w:rPr>
          <w:rStyle w:val="FootnoteReference"/>
          <w:sz w:val="16"/>
          <w:szCs w:val="16"/>
        </w:rPr>
        <w:footnoteReference w:id="5"/>
      </w:r>
      <w:bookmarkEnd w:id="12"/>
      <w:r w:rsidRPr="003A296F">
        <w:rPr>
          <w:sz w:val="20"/>
          <w:szCs w:val="20"/>
          <w:lang w:val="es-CR"/>
        </w:rPr>
        <w:t>.</w:t>
      </w:r>
    </w:p>
    <w:p w:rsidR="00853121" w:rsidRPr="004A3679" w:rsidRDefault="00853121" w:rsidP="006518E4">
      <w:pPr>
        <w:pStyle w:val="Default"/>
        <w:ind w:right="10"/>
        <w:jc w:val="both"/>
        <w:rPr>
          <w:sz w:val="20"/>
          <w:szCs w:val="20"/>
          <w:lang w:val="es-CR"/>
        </w:rPr>
      </w:pPr>
    </w:p>
    <w:p w:rsidR="00853121" w:rsidRPr="00237095" w:rsidRDefault="00853121" w:rsidP="006518E4">
      <w:pPr>
        <w:pStyle w:val="Default"/>
        <w:numPr>
          <w:ilvl w:val="0"/>
          <w:numId w:val="3"/>
        </w:numPr>
        <w:tabs>
          <w:tab w:val="left" w:pos="720"/>
        </w:tabs>
        <w:ind w:right="10"/>
        <w:jc w:val="both"/>
        <w:rPr>
          <w:sz w:val="20"/>
          <w:szCs w:val="20"/>
          <w:lang w:val="es-CR"/>
        </w:rPr>
      </w:pPr>
      <w:r w:rsidRPr="004A3679">
        <w:rPr>
          <w:sz w:val="20"/>
          <w:szCs w:val="20"/>
          <w:lang w:val="es-CR"/>
        </w:rPr>
        <w:t>En el presente caso</w:t>
      </w:r>
      <w:r w:rsidR="001802C8">
        <w:rPr>
          <w:sz w:val="20"/>
          <w:szCs w:val="20"/>
          <w:lang w:val="es-CR"/>
        </w:rPr>
        <w:t>,</w:t>
      </w:r>
      <w:r w:rsidRPr="004A3679">
        <w:rPr>
          <w:sz w:val="20"/>
          <w:szCs w:val="20"/>
          <w:lang w:val="es-CR"/>
        </w:rPr>
        <w:t xml:space="preserve"> la Comisión ofreció</w:t>
      </w:r>
      <w:r>
        <w:rPr>
          <w:sz w:val="20"/>
          <w:szCs w:val="20"/>
          <w:lang w:val="es-CR"/>
        </w:rPr>
        <w:t xml:space="preserve"> el peritaje de </w:t>
      </w:r>
      <w:r>
        <w:rPr>
          <w:sz w:val="20"/>
          <w:szCs w:val="20"/>
          <w:lang w:val="es-ES_tradnl"/>
        </w:rPr>
        <w:t xml:space="preserve">Hernán Gullco para que declare </w:t>
      </w:r>
      <w:r>
        <w:rPr>
          <w:sz w:val="20"/>
          <w:szCs w:val="20"/>
          <w:lang w:val="es-ES"/>
        </w:rPr>
        <w:t xml:space="preserve">sobre </w:t>
      </w:r>
      <w:r w:rsidRPr="00702D87">
        <w:rPr>
          <w:sz w:val="20"/>
          <w:szCs w:val="20"/>
          <w:lang w:val="es-ES"/>
        </w:rPr>
        <w:t>“</w:t>
      </w:r>
      <w:r>
        <w:rPr>
          <w:sz w:val="20"/>
          <w:szCs w:val="20"/>
          <w:lang w:val="es-ES"/>
        </w:rPr>
        <w:t xml:space="preserve">el marco legal argentino que regula las acciones civiles contra el Estado, las etapas y plazos procesales, incluyendo la ejecución de una decisión favorable que ordena una reparación a cargo del Estado”. La Comisión agregó que “el peritaje se referirá a si en el marco de dichos procesos se prevé un tratamiento expedito o diferenciado cuando los intereses en juego requieren una respuesta con el fin de proteger derechos fundamentales”. Asimismo, el perito se referiría a “los principales problemas que generan la demora en las decisiones y en la materialización de reparaciones ordenadas a la luz de las obligaciones internacionales del Estado”. </w:t>
      </w:r>
    </w:p>
    <w:p w:rsidR="00853121" w:rsidRDefault="00853121" w:rsidP="00237095">
      <w:pPr>
        <w:pStyle w:val="ListParagraph"/>
        <w:rPr>
          <w:sz w:val="20"/>
          <w:szCs w:val="20"/>
        </w:rPr>
      </w:pPr>
    </w:p>
    <w:p w:rsidR="00853121" w:rsidRPr="004F4288" w:rsidRDefault="00853121" w:rsidP="006518E4">
      <w:pPr>
        <w:pStyle w:val="Default"/>
        <w:numPr>
          <w:ilvl w:val="0"/>
          <w:numId w:val="3"/>
        </w:numPr>
        <w:tabs>
          <w:tab w:val="left" w:pos="720"/>
        </w:tabs>
        <w:ind w:right="10"/>
        <w:jc w:val="both"/>
        <w:rPr>
          <w:sz w:val="20"/>
          <w:szCs w:val="20"/>
          <w:lang w:val="es-CR"/>
        </w:rPr>
      </w:pPr>
      <w:r>
        <w:rPr>
          <w:sz w:val="20"/>
          <w:szCs w:val="20"/>
          <w:lang w:val="es-ES"/>
        </w:rPr>
        <w:t>La Comisión señaló que este peritaje se relaciona con el orden público interamericano, toda vez que “además de plantear el panorama en Argentina, ofrecerá elementos fundamentales sobre los principales problemas que generan la demora en las decisiones judiciales y en la materialización de reparaciones ordenadas a la luz de las obligaciones internacionales del Estado” y “aportará sobre los principios de la tutela judicial efectiva y de los remedios que pueden adoptar los tribunales en los procesos para asegurar el goce efectivo de los derechos”. La Comisión indicó que “estos estándares trascienden a la situación de las víctimas del caso y pueden tener un impacto en el abordaje de situaciones similares en otros Estados de la región”, a la vez que permitirá establecer “estándares más específicos” en la materia objeto del peritaje.</w:t>
      </w:r>
    </w:p>
    <w:p w:rsidR="00853121" w:rsidRPr="004F4288" w:rsidRDefault="00853121" w:rsidP="004F4288">
      <w:pPr>
        <w:pStyle w:val="Default"/>
        <w:ind w:right="10"/>
        <w:jc w:val="both"/>
        <w:rPr>
          <w:sz w:val="20"/>
          <w:szCs w:val="20"/>
          <w:lang w:val="es-CR"/>
        </w:rPr>
      </w:pPr>
    </w:p>
    <w:p w:rsidR="00AF7FE7" w:rsidRPr="00AF7FE7" w:rsidRDefault="00853121" w:rsidP="00AF7FE7">
      <w:pPr>
        <w:pStyle w:val="Default"/>
        <w:numPr>
          <w:ilvl w:val="0"/>
          <w:numId w:val="3"/>
        </w:numPr>
        <w:tabs>
          <w:tab w:val="left" w:pos="720"/>
        </w:tabs>
        <w:ind w:right="10"/>
        <w:jc w:val="both"/>
        <w:rPr>
          <w:sz w:val="20"/>
          <w:szCs w:val="20"/>
          <w:lang w:val="es-CR"/>
        </w:rPr>
      </w:pPr>
      <w:r w:rsidRPr="00AF7FE7">
        <w:rPr>
          <w:sz w:val="20"/>
          <w:szCs w:val="20"/>
          <w:lang w:val="es-ES"/>
        </w:rPr>
        <w:t xml:space="preserve">El Presidente nota que el objeto del peritaje propuesto se relaciona con la regulación procesal civil en Argentina, en particular, las etapas procesales y la ejecución de sentencias en dicho país. </w:t>
      </w:r>
      <w:r w:rsidR="00AF7FE7" w:rsidRPr="00AF7FE7">
        <w:rPr>
          <w:sz w:val="20"/>
          <w:szCs w:val="20"/>
          <w:lang w:val="es-ES"/>
        </w:rPr>
        <w:t>Dicho objeto está</w:t>
      </w:r>
      <w:r w:rsidRPr="00AF7FE7">
        <w:rPr>
          <w:sz w:val="20"/>
          <w:szCs w:val="20"/>
          <w:lang w:val="es-ES"/>
        </w:rPr>
        <w:t xml:space="preserve"> limitado a la situación particular de Argentina</w:t>
      </w:r>
      <w:r w:rsidR="00AF7FE7" w:rsidRPr="00AF7FE7">
        <w:rPr>
          <w:sz w:val="20"/>
          <w:szCs w:val="20"/>
          <w:lang w:val="es-ES"/>
        </w:rPr>
        <w:t>,</w:t>
      </w:r>
      <w:r w:rsidRPr="00AF7FE7">
        <w:rPr>
          <w:sz w:val="20"/>
          <w:szCs w:val="20"/>
          <w:lang w:val="es-ES"/>
        </w:rPr>
        <w:t xml:space="preserve"> y no se desprende de ello que </w:t>
      </w:r>
      <w:r w:rsidR="00AF7FE7" w:rsidRPr="00AF7FE7">
        <w:rPr>
          <w:sz w:val="20"/>
          <w:szCs w:val="20"/>
          <w:lang w:val="es-ES"/>
        </w:rPr>
        <w:t xml:space="preserve">se </w:t>
      </w:r>
      <w:r w:rsidRPr="00AF7FE7">
        <w:rPr>
          <w:sz w:val="20"/>
          <w:szCs w:val="20"/>
          <w:lang w:val="es-ES"/>
        </w:rPr>
        <w:t xml:space="preserve">atañe al orden público interamericano. Por ello, no corresponde admitir la declaración pericial de Hernán Gullco ofrecida por la Comisión Interamericana sobre la base de la afectación del orden público interamericano. </w:t>
      </w:r>
    </w:p>
    <w:p w:rsidR="00AF7FE7" w:rsidRPr="00AF7FE7" w:rsidRDefault="00AF7FE7" w:rsidP="00AF7FE7">
      <w:pPr>
        <w:pStyle w:val="Default"/>
        <w:ind w:right="10"/>
        <w:jc w:val="both"/>
        <w:rPr>
          <w:sz w:val="20"/>
          <w:szCs w:val="20"/>
          <w:lang w:val="es-CR"/>
        </w:rPr>
      </w:pPr>
    </w:p>
    <w:p w:rsidR="00853121" w:rsidRPr="00E90E7A" w:rsidRDefault="00853121" w:rsidP="00AF7FE7">
      <w:pPr>
        <w:pStyle w:val="Default"/>
        <w:numPr>
          <w:ilvl w:val="0"/>
          <w:numId w:val="3"/>
        </w:numPr>
        <w:tabs>
          <w:tab w:val="left" w:pos="720"/>
        </w:tabs>
        <w:ind w:right="10"/>
        <w:jc w:val="both"/>
        <w:rPr>
          <w:sz w:val="20"/>
          <w:szCs w:val="20"/>
          <w:lang w:val="es-CR"/>
        </w:rPr>
      </w:pPr>
      <w:r w:rsidRPr="00E90E7A">
        <w:rPr>
          <w:sz w:val="20"/>
          <w:szCs w:val="20"/>
          <w:lang w:val="es-CR"/>
        </w:rPr>
        <w:t xml:space="preserve">Sin perjuicio de lo anterior, el objeto de la declaración a cargo del referido perito podría proporcionar al Tribunal información útil para el examen del caso sometido a su </w:t>
      </w:r>
      <w:r w:rsidRPr="00E90E7A">
        <w:rPr>
          <w:sz w:val="20"/>
          <w:szCs w:val="20"/>
          <w:lang w:val="es-CR"/>
        </w:rPr>
        <w:lastRenderedPageBreak/>
        <w:t>conocimiento respecto a las acciones civiles contra el Estado y la ejecución de decisiones judiciales en Argentina. Por ello, en aplicación de lo establecido en el artículo 58.a del Reglamento del Tribunal, el Presidente considera pertinente disponer de oficio que se reciba el dictamen pericial del señor Hernán Gullco.</w:t>
      </w:r>
      <w:r w:rsidRPr="00631777">
        <w:rPr>
          <w:sz w:val="20"/>
          <w:szCs w:val="20"/>
          <w:lang w:val="es-CO"/>
        </w:rPr>
        <w:t xml:space="preserve"> El valor de este peritaje será apreciado por la Corte en la debida oportunidad, dentro del contexto del acervo probatorio existente y según las reglas de la sana crítica. El objeto y la modalidad del dictamen se determina en la presente Resolución (</w:t>
      </w:r>
      <w:r w:rsidRPr="00631777">
        <w:rPr>
          <w:i/>
          <w:iCs/>
          <w:sz w:val="20"/>
          <w:szCs w:val="20"/>
          <w:lang w:val="es-CO"/>
        </w:rPr>
        <w:t>infra</w:t>
      </w:r>
      <w:r w:rsidRPr="00631777">
        <w:rPr>
          <w:sz w:val="20"/>
          <w:szCs w:val="20"/>
          <w:lang w:val="es-CO"/>
        </w:rPr>
        <w:t xml:space="preserve"> punto resolutivo primero). </w:t>
      </w:r>
    </w:p>
    <w:p w:rsidR="00853121" w:rsidRDefault="00853121" w:rsidP="00866602">
      <w:pPr>
        <w:pStyle w:val="ListParagraph"/>
        <w:rPr>
          <w:rFonts w:ascii="Verdana" w:hAnsi="Verdana" w:cs="Verdana"/>
          <w:sz w:val="20"/>
          <w:szCs w:val="20"/>
          <w:lang w:val="es-CR"/>
        </w:rPr>
      </w:pPr>
    </w:p>
    <w:p w:rsidR="00853121" w:rsidRPr="00237095" w:rsidRDefault="00853121" w:rsidP="006518E4">
      <w:pPr>
        <w:numPr>
          <w:ilvl w:val="0"/>
          <w:numId w:val="3"/>
        </w:numPr>
        <w:ind w:right="10"/>
        <w:jc w:val="both"/>
        <w:rPr>
          <w:rFonts w:ascii="Verdana" w:hAnsi="Verdana" w:cs="Verdana"/>
          <w:sz w:val="20"/>
          <w:szCs w:val="20"/>
        </w:rPr>
      </w:pPr>
      <w:r w:rsidRPr="00866602">
        <w:rPr>
          <w:rFonts w:ascii="Verdana" w:hAnsi="Verdana" w:cs="Verdana"/>
          <w:sz w:val="20"/>
          <w:szCs w:val="20"/>
          <w:lang w:val="es-CR"/>
        </w:rPr>
        <w:t xml:space="preserve">Por otra parte, la Comisión ofreció el peritaje de Alejandro Morlachetti para que declare sobre “los estándares internacionales en materia de protección judicial de niños y niñas en situación de discapacidad y las medidas especiales que deben adoptarse cuando el resultado del debate judicial tiene relación con su derecho a la integridad personal”. </w:t>
      </w:r>
      <w:r>
        <w:rPr>
          <w:rFonts w:ascii="Verdana" w:hAnsi="Verdana" w:cs="Verdana"/>
          <w:sz w:val="20"/>
          <w:szCs w:val="20"/>
          <w:lang w:val="es-CR"/>
        </w:rPr>
        <w:t>La Comisión señaló que e</w:t>
      </w:r>
      <w:r w:rsidRPr="00866602">
        <w:rPr>
          <w:rFonts w:ascii="Verdana" w:hAnsi="Verdana" w:cs="Verdana"/>
          <w:sz w:val="20"/>
          <w:szCs w:val="20"/>
          <w:lang w:val="es-CR"/>
        </w:rPr>
        <w:t xml:space="preserve">l peritaje también se referiría a “la aplicación de dichos estándares a los hechos del caso”. </w:t>
      </w:r>
    </w:p>
    <w:p w:rsidR="00853121" w:rsidRDefault="00853121" w:rsidP="00237095">
      <w:pPr>
        <w:pStyle w:val="ListParagraph"/>
        <w:rPr>
          <w:rFonts w:ascii="Verdana" w:hAnsi="Verdana" w:cs="Verdana"/>
          <w:sz w:val="20"/>
          <w:szCs w:val="20"/>
          <w:lang w:val="es-CR"/>
        </w:rPr>
      </w:pPr>
    </w:p>
    <w:p w:rsidR="00853121" w:rsidRPr="00237095" w:rsidRDefault="00853121" w:rsidP="006518E4">
      <w:pPr>
        <w:numPr>
          <w:ilvl w:val="0"/>
          <w:numId w:val="3"/>
        </w:numPr>
        <w:ind w:right="10"/>
        <w:jc w:val="both"/>
        <w:rPr>
          <w:rFonts w:ascii="Verdana" w:hAnsi="Verdana" w:cs="Verdana"/>
          <w:sz w:val="20"/>
          <w:szCs w:val="20"/>
        </w:rPr>
      </w:pPr>
      <w:r w:rsidRPr="00866602">
        <w:rPr>
          <w:rFonts w:ascii="Verdana" w:hAnsi="Verdana" w:cs="Verdana"/>
          <w:sz w:val="20"/>
          <w:szCs w:val="20"/>
          <w:lang w:val="es-CR"/>
        </w:rPr>
        <w:t>La Comisión señaló que este peritaje se relaciona con el orden público interamericano</w:t>
      </w:r>
      <w:r>
        <w:rPr>
          <w:rFonts w:ascii="Verdana" w:hAnsi="Verdana" w:cs="Verdana"/>
          <w:sz w:val="20"/>
          <w:szCs w:val="20"/>
          <w:lang w:val="es-CR"/>
        </w:rPr>
        <w:t>,</w:t>
      </w:r>
      <w:r w:rsidRPr="00866602">
        <w:rPr>
          <w:rFonts w:ascii="Verdana" w:hAnsi="Verdana" w:cs="Verdana"/>
          <w:sz w:val="20"/>
          <w:szCs w:val="20"/>
          <w:lang w:val="es-CR"/>
        </w:rPr>
        <w:t xml:space="preserve"> toda vez que “trasciende a las víctimas del caso” y “permitirá un análisis del caso desde la perspectiva de los derechos de los niños y niñas en situación de discapacidad”</w:t>
      </w:r>
      <w:r>
        <w:rPr>
          <w:rFonts w:ascii="Verdana" w:hAnsi="Verdana" w:cs="Verdana"/>
          <w:sz w:val="20"/>
          <w:szCs w:val="20"/>
          <w:lang w:val="es-CR"/>
        </w:rPr>
        <w:t xml:space="preserve"> y contribuirá con</w:t>
      </w:r>
      <w:r w:rsidRPr="00866602">
        <w:rPr>
          <w:rFonts w:ascii="Verdana" w:hAnsi="Verdana" w:cs="Verdana"/>
          <w:sz w:val="20"/>
          <w:szCs w:val="20"/>
          <w:lang w:val="es-CR"/>
        </w:rPr>
        <w:t xml:space="preserve"> la aplicación de los estándares me</w:t>
      </w:r>
      <w:r>
        <w:rPr>
          <w:rFonts w:ascii="Verdana" w:hAnsi="Verdana" w:cs="Verdana"/>
          <w:sz w:val="20"/>
          <w:szCs w:val="20"/>
          <w:lang w:val="es-CR"/>
        </w:rPr>
        <w:t>ncionados a nivel nacional.</w:t>
      </w:r>
    </w:p>
    <w:p w:rsidR="00853121" w:rsidRDefault="00853121" w:rsidP="00237095">
      <w:pPr>
        <w:pStyle w:val="ListParagraph"/>
        <w:rPr>
          <w:rFonts w:ascii="Verdana" w:hAnsi="Verdana" w:cs="Verdana"/>
          <w:sz w:val="20"/>
          <w:szCs w:val="20"/>
        </w:rPr>
      </w:pPr>
    </w:p>
    <w:p w:rsidR="00853121" w:rsidRPr="00237095" w:rsidRDefault="00853121" w:rsidP="00237095">
      <w:pPr>
        <w:numPr>
          <w:ilvl w:val="0"/>
          <w:numId w:val="3"/>
        </w:numPr>
        <w:ind w:right="10"/>
        <w:jc w:val="both"/>
        <w:rPr>
          <w:rFonts w:ascii="Verdana" w:hAnsi="Verdana" w:cs="Verdana"/>
          <w:sz w:val="20"/>
          <w:szCs w:val="20"/>
        </w:rPr>
      </w:pPr>
      <w:r w:rsidRPr="00237095">
        <w:rPr>
          <w:rFonts w:ascii="Verdana" w:hAnsi="Verdana" w:cs="Verdana"/>
          <w:sz w:val="20"/>
          <w:szCs w:val="20"/>
        </w:rPr>
        <w:t xml:space="preserve">En atención al objeto propuesto para el peritaje del señor </w:t>
      </w:r>
      <w:r>
        <w:rPr>
          <w:rFonts w:ascii="Verdana" w:hAnsi="Verdana" w:cs="Verdana"/>
          <w:sz w:val="20"/>
          <w:szCs w:val="20"/>
        </w:rPr>
        <w:t>Morlachetti</w:t>
      </w:r>
      <w:r w:rsidRPr="00237095">
        <w:rPr>
          <w:rFonts w:ascii="Verdana" w:hAnsi="Verdana" w:cs="Verdana"/>
          <w:sz w:val="20"/>
          <w:szCs w:val="20"/>
        </w:rPr>
        <w:t>, el Presidente considera que el mismo trasciende el interés y objeto del presente caso para abarcar aspectos que</w:t>
      </w:r>
      <w:r>
        <w:rPr>
          <w:rFonts w:ascii="Verdana" w:hAnsi="Verdana" w:cs="Verdana"/>
          <w:sz w:val="20"/>
          <w:szCs w:val="20"/>
        </w:rPr>
        <w:t xml:space="preserve">, como los derechos de las niñas y niños con discapacidad, constituyen una temática novedosa en el litigio ante la Corte Interamericana y una materia relevante para el orden público interamericano. </w:t>
      </w:r>
      <w:r w:rsidRPr="00237095">
        <w:rPr>
          <w:rFonts w:ascii="Verdana" w:hAnsi="Verdana" w:cs="Verdana"/>
          <w:sz w:val="20"/>
          <w:szCs w:val="20"/>
        </w:rPr>
        <w:t>En virtud de lo anterior, el Presidente estima procedente admitir la declaración pericial del señor</w:t>
      </w:r>
      <w:r w:rsidRPr="00237095">
        <w:rPr>
          <w:rFonts w:ascii="Verdana" w:hAnsi="Verdana" w:cs="Verdana"/>
          <w:i/>
          <w:iCs/>
          <w:sz w:val="20"/>
          <w:szCs w:val="20"/>
        </w:rPr>
        <w:t xml:space="preserve"> </w:t>
      </w:r>
      <w:r>
        <w:rPr>
          <w:rFonts w:ascii="Verdana" w:hAnsi="Verdana" w:cs="Verdana"/>
          <w:sz w:val="20"/>
          <w:szCs w:val="20"/>
        </w:rPr>
        <w:t>Morlachetti</w:t>
      </w:r>
      <w:r w:rsidRPr="00237095">
        <w:rPr>
          <w:rFonts w:ascii="Verdana" w:hAnsi="Verdana" w:cs="Verdana"/>
          <w:sz w:val="20"/>
          <w:szCs w:val="20"/>
        </w:rPr>
        <w:t>, según el objeto y modalidad determinados en la parte resolutiva de esta decisión</w:t>
      </w:r>
      <w:r w:rsidR="00EE5AD2">
        <w:rPr>
          <w:rFonts w:ascii="Verdana" w:hAnsi="Verdana" w:cs="Verdana"/>
          <w:sz w:val="20"/>
          <w:szCs w:val="20"/>
        </w:rPr>
        <w:t xml:space="preserve"> (</w:t>
      </w:r>
      <w:r w:rsidR="00EE5AD2">
        <w:rPr>
          <w:rFonts w:ascii="Verdana" w:hAnsi="Verdana" w:cs="Verdana"/>
          <w:i/>
          <w:sz w:val="20"/>
          <w:szCs w:val="20"/>
        </w:rPr>
        <w:t>infra</w:t>
      </w:r>
      <w:r w:rsidR="00EE5AD2">
        <w:rPr>
          <w:rFonts w:ascii="Verdana" w:hAnsi="Verdana" w:cs="Verdana"/>
          <w:sz w:val="20"/>
          <w:szCs w:val="20"/>
        </w:rPr>
        <w:t xml:space="preserve"> punto resolutivo quinto)</w:t>
      </w:r>
      <w:r w:rsidRPr="00237095">
        <w:rPr>
          <w:rFonts w:ascii="Verdana" w:hAnsi="Verdana" w:cs="Verdana"/>
          <w:sz w:val="20"/>
          <w:szCs w:val="20"/>
        </w:rPr>
        <w:t>.</w:t>
      </w:r>
    </w:p>
    <w:p w:rsidR="00853121" w:rsidRPr="00237095" w:rsidRDefault="00853121" w:rsidP="00237095">
      <w:pPr>
        <w:ind w:right="10"/>
        <w:jc w:val="both"/>
        <w:rPr>
          <w:rFonts w:ascii="Verdana" w:hAnsi="Verdana" w:cs="Verdana"/>
          <w:sz w:val="20"/>
          <w:szCs w:val="20"/>
        </w:rPr>
      </w:pPr>
    </w:p>
    <w:p w:rsidR="00853121" w:rsidRDefault="00853121" w:rsidP="00A973B8">
      <w:pPr>
        <w:pStyle w:val="ListParagraph1"/>
        <w:ind w:left="360" w:right="10"/>
        <w:rPr>
          <w:rFonts w:ascii="Verdana" w:hAnsi="Verdana" w:cs="Verdana"/>
          <w:b/>
          <w:bCs/>
          <w:i/>
          <w:iCs/>
          <w:sz w:val="20"/>
          <w:szCs w:val="20"/>
        </w:rPr>
      </w:pPr>
      <w:r>
        <w:rPr>
          <w:rFonts w:ascii="Verdana" w:hAnsi="Verdana" w:cs="Verdana"/>
          <w:b/>
          <w:bCs/>
          <w:i/>
          <w:iCs/>
          <w:sz w:val="20"/>
          <w:szCs w:val="20"/>
        </w:rPr>
        <w:t>d) M</w:t>
      </w:r>
      <w:r w:rsidRPr="006F4C95">
        <w:rPr>
          <w:rFonts w:ascii="Verdana" w:hAnsi="Verdana" w:cs="Verdana"/>
          <w:b/>
          <w:bCs/>
          <w:i/>
          <w:iCs/>
          <w:sz w:val="20"/>
          <w:szCs w:val="20"/>
        </w:rPr>
        <w:t>odalidad de las declaraciones y dictámenes periciales</w:t>
      </w:r>
    </w:p>
    <w:p w:rsidR="00853121" w:rsidRPr="004E7CB5" w:rsidRDefault="00853121" w:rsidP="006518E4">
      <w:pPr>
        <w:pStyle w:val="Default"/>
        <w:ind w:right="10"/>
        <w:jc w:val="both"/>
        <w:rPr>
          <w:sz w:val="20"/>
          <w:szCs w:val="20"/>
          <w:lang w:val="es-ES"/>
        </w:rPr>
      </w:pPr>
    </w:p>
    <w:p w:rsidR="002F6F06" w:rsidRDefault="00853121" w:rsidP="002F6F06">
      <w:pPr>
        <w:pStyle w:val="Default"/>
        <w:numPr>
          <w:ilvl w:val="0"/>
          <w:numId w:val="3"/>
        </w:numPr>
        <w:tabs>
          <w:tab w:val="left" w:pos="720"/>
        </w:tabs>
        <w:ind w:right="10"/>
        <w:jc w:val="both"/>
        <w:rPr>
          <w:sz w:val="20"/>
          <w:szCs w:val="20"/>
          <w:lang w:val="es-CR"/>
        </w:rPr>
      </w:pPr>
      <w:r w:rsidRPr="004E7CB5">
        <w:rPr>
          <w:sz w:val="20"/>
          <w:szCs w:val="20"/>
          <w:lang w:val="es-CR"/>
        </w:rPr>
        <w:t>Es necesario asegurar</w:t>
      </w:r>
      <w:r>
        <w:rPr>
          <w:sz w:val="20"/>
          <w:szCs w:val="20"/>
          <w:lang w:val="es-CR"/>
        </w:rPr>
        <w:t xml:space="preserve"> el conocimiento de la verdad y</w:t>
      </w:r>
      <w:r w:rsidRPr="004E7CB5">
        <w:rPr>
          <w:sz w:val="20"/>
          <w:szCs w:val="20"/>
          <w:lang w:val="es-CR"/>
        </w:rPr>
        <w:t xml:space="preserve"> la más amplia presentación de hechos y argumentos por las partes, en todo lo que sea pertinente para la solución de las cuestiones controvertidas, garantizando a éstas tanto el derecho a la defensa de sus respectivas posiciones como la posibilidad de atender adecuadamente los casos sujetos a consideración de la Corte, teniendo en cuenta que su número ha crecido considerablemente y se incrementa de manera constante. </w:t>
      </w:r>
      <w:r w:rsidRPr="00B852FF">
        <w:rPr>
          <w:sz w:val="20"/>
          <w:szCs w:val="20"/>
          <w:lang w:val="es-CR"/>
        </w:rPr>
        <w:t>Asimismo, es necesario que se garantice un plazo razonable en la duración del proceso, como lo requiere el efectivo acceso a la justicia. En razón de lo anterior, es preciso recibir por declaración rendida ante fedatario público (</w:t>
      </w:r>
      <w:r w:rsidRPr="00B852FF">
        <w:rPr>
          <w:i/>
          <w:iCs/>
          <w:sz w:val="20"/>
          <w:szCs w:val="20"/>
          <w:lang w:val="es-CR"/>
        </w:rPr>
        <w:t>affidávit</w:t>
      </w:r>
      <w:r w:rsidRPr="00B852FF">
        <w:rPr>
          <w:sz w:val="20"/>
          <w:szCs w:val="20"/>
          <w:lang w:val="es-CR"/>
        </w:rPr>
        <w:t>) el mayor número posible de declaraciones, y escuchar en audiencia pública a las presuntas víctimas, testigos y peritos cuya declaración directa resulte verdaderamente indispensable, tomando en cuenta las circunstancias del caso y el objeto de las declaraciones y dictámenes.</w:t>
      </w:r>
      <w:bookmarkStart w:id="13" w:name="_Ref292893314"/>
    </w:p>
    <w:p w:rsidR="002F6F06" w:rsidRDefault="002F6F06" w:rsidP="002F6F06">
      <w:pPr>
        <w:pStyle w:val="Default"/>
        <w:ind w:right="10"/>
        <w:jc w:val="both"/>
        <w:rPr>
          <w:sz w:val="20"/>
          <w:szCs w:val="20"/>
          <w:lang w:val="es-CR"/>
        </w:rPr>
      </w:pPr>
    </w:p>
    <w:p w:rsidR="002F6F06" w:rsidRDefault="002F6F06" w:rsidP="002F6F06">
      <w:pPr>
        <w:ind w:left="720" w:right="10"/>
        <w:jc w:val="both"/>
        <w:rPr>
          <w:rFonts w:ascii="Verdana" w:hAnsi="Verdana" w:cs="Verdana"/>
          <w:b/>
          <w:bCs/>
          <w:i/>
          <w:iCs/>
          <w:sz w:val="20"/>
          <w:szCs w:val="20"/>
        </w:rPr>
      </w:pPr>
      <w:r>
        <w:rPr>
          <w:rFonts w:ascii="Verdana" w:hAnsi="Verdana" w:cs="Verdana"/>
          <w:b/>
          <w:bCs/>
          <w:i/>
          <w:iCs/>
          <w:sz w:val="20"/>
          <w:szCs w:val="20"/>
        </w:rPr>
        <w:t>d</w:t>
      </w:r>
      <w:r w:rsidRPr="0094285F">
        <w:rPr>
          <w:rFonts w:ascii="Verdana" w:hAnsi="Verdana" w:cs="Verdana"/>
          <w:b/>
          <w:bCs/>
          <w:i/>
          <w:iCs/>
          <w:sz w:val="20"/>
          <w:szCs w:val="20"/>
        </w:rPr>
        <w:t xml:space="preserve">.1) </w:t>
      </w:r>
      <w:r>
        <w:rPr>
          <w:rFonts w:ascii="Verdana" w:hAnsi="Verdana" w:cs="Verdana"/>
          <w:b/>
          <w:bCs/>
          <w:i/>
          <w:iCs/>
          <w:sz w:val="20"/>
          <w:szCs w:val="20"/>
        </w:rPr>
        <w:t>D</w:t>
      </w:r>
      <w:r w:rsidRPr="0094285F">
        <w:rPr>
          <w:rFonts w:ascii="Verdana" w:hAnsi="Verdana" w:cs="Verdana"/>
          <w:b/>
          <w:bCs/>
          <w:i/>
          <w:iCs/>
          <w:sz w:val="20"/>
          <w:szCs w:val="20"/>
        </w:rPr>
        <w:t xml:space="preserve">eclaraciones </w:t>
      </w:r>
      <w:r>
        <w:rPr>
          <w:rFonts w:ascii="Verdana" w:hAnsi="Verdana" w:cs="Verdana"/>
          <w:b/>
          <w:bCs/>
          <w:i/>
          <w:iCs/>
          <w:sz w:val="20"/>
          <w:szCs w:val="20"/>
        </w:rPr>
        <w:t xml:space="preserve">y dictámenes periciales a ser </w:t>
      </w:r>
      <w:r w:rsidRPr="0094285F">
        <w:rPr>
          <w:rFonts w:ascii="Verdana" w:hAnsi="Verdana" w:cs="Verdana"/>
          <w:b/>
          <w:bCs/>
          <w:i/>
          <w:iCs/>
          <w:sz w:val="20"/>
          <w:szCs w:val="20"/>
        </w:rPr>
        <w:t>rendid</w:t>
      </w:r>
      <w:r>
        <w:rPr>
          <w:rFonts w:ascii="Verdana" w:hAnsi="Verdana" w:cs="Verdana"/>
          <w:b/>
          <w:bCs/>
          <w:i/>
          <w:iCs/>
          <w:sz w:val="20"/>
          <w:szCs w:val="20"/>
        </w:rPr>
        <w:t>o</w:t>
      </w:r>
      <w:r w:rsidRPr="0094285F">
        <w:rPr>
          <w:rFonts w:ascii="Verdana" w:hAnsi="Verdana" w:cs="Verdana"/>
          <w:b/>
          <w:bCs/>
          <w:i/>
          <w:iCs/>
          <w:sz w:val="20"/>
          <w:szCs w:val="20"/>
        </w:rPr>
        <w:t>s ante fedatario público (affidávit)</w:t>
      </w:r>
    </w:p>
    <w:p w:rsidR="002F6F06" w:rsidRDefault="002F6F06" w:rsidP="002F6F06">
      <w:pPr>
        <w:pStyle w:val="Default"/>
        <w:ind w:right="10"/>
        <w:jc w:val="both"/>
        <w:rPr>
          <w:sz w:val="20"/>
          <w:szCs w:val="20"/>
          <w:lang w:val="es-CR"/>
        </w:rPr>
      </w:pPr>
    </w:p>
    <w:p w:rsidR="00177775" w:rsidRPr="00177775" w:rsidRDefault="00853121" w:rsidP="00177775">
      <w:pPr>
        <w:pStyle w:val="Default"/>
        <w:numPr>
          <w:ilvl w:val="0"/>
          <w:numId w:val="3"/>
        </w:numPr>
        <w:tabs>
          <w:tab w:val="left" w:pos="720"/>
        </w:tabs>
        <w:ind w:right="10"/>
        <w:jc w:val="both"/>
        <w:rPr>
          <w:sz w:val="20"/>
          <w:szCs w:val="20"/>
          <w:lang w:val="es-CR"/>
        </w:rPr>
      </w:pPr>
      <w:r w:rsidRPr="00631777">
        <w:rPr>
          <w:sz w:val="20"/>
          <w:szCs w:val="20"/>
          <w:lang w:val="es-CO"/>
        </w:rPr>
        <w:t>Teniendo en cuenta lo estipulado en el artículo 50.1 del Reglamento, lo indicado por las partes en sus listas definitivas de declarantes, el objeto de las declaraciones ofrecidas y su relación con los hechos del caso, así como el principio de economía procesal, el Presidente estima conveniente recibir, por medio de declaración rendida ante fedatario público (</w:t>
      </w:r>
      <w:r w:rsidRPr="00631777">
        <w:rPr>
          <w:i/>
          <w:iCs/>
          <w:sz w:val="20"/>
          <w:szCs w:val="20"/>
          <w:lang w:val="es-CO"/>
        </w:rPr>
        <w:t>affidávit</w:t>
      </w:r>
      <w:r w:rsidRPr="00631777">
        <w:rPr>
          <w:sz w:val="20"/>
          <w:szCs w:val="20"/>
          <w:lang w:val="es-CO"/>
        </w:rPr>
        <w:t xml:space="preserve">), las siguientes declaraciones y peritajes: declaración de la presunta víctima Danilo Pedro Furlan, </w:t>
      </w:r>
      <w:r w:rsidRPr="002F6F06">
        <w:rPr>
          <w:sz w:val="20"/>
          <w:szCs w:val="20"/>
          <w:lang w:val="es-ES_tradnl"/>
        </w:rPr>
        <w:t>propuesta por los representantes;</w:t>
      </w:r>
      <w:r w:rsidRPr="002F6F06">
        <w:rPr>
          <w:color w:val="FF0000"/>
          <w:sz w:val="20"/>
          <w:szCs w:val="20"/>
          <w:lang w:val="es-ES_tradnl"/>
        </w:rPr>
        <w:t xml:space="preserve"> </w:t>
      </w:r>
      <w:r w:rsidRPr="002F6F06">
        <w:rPr>
          <w:sz w:val="20"/>
          <w:szCs w:val="20"/>
          <w:lang w:val="es-CR"/>
        </w:rPr>
        <w:t xml:space="preserve">declaraciones testimoniales de María Teresa Grossi y Violeta Florinda Jano, propuestas por los representantes; peritaje </w:t>
      </w:r>
      <w:r w:rsidRPr="002F6F06">
        <w:rPr>
          <w:sz w:val="20"/>
          <w:szCs w:val="20"/>
          <w:lang w:val="es-CR"/>
        </w:rPr>
        <w:lastRenderedPageBreak/>
        <w:t>de Estela del Carmen Rodríguez</w:t>
      </w:r>
      <w:r w:rsidRPr="002F6F06">
        <w:rPr>
          <w:sz w:val="20"/>
          <w:szCs w:val="20"/>
          <w:lang w:val="es-ES_tradnl"/>
        </w:rPr>
        <w:t>, propuesta por los representantes</w:t>
      </w:r>
      <w:r w:rsidR="00D71E95" w:rsidRPr="002F6F06">
        <w:rPr>
          <w:sz w:val="20"/>
          <w:szCs w:val="20"/>
          <w:lang w:val="es-ES_tradnl"/>
        </w:rPr>
        <w:t>, y peritaje de Hernán Gullco, inicialmente propuesto por la Comisión y dispuesto de oficio por la Presidencia</w:t>
      </w:r>
      <w:r w:rsidRPr="002F6F06">
        <w:rPr>
          <w:sz w:val="20"/>
          <w:szCs w:val="20"/>
          <w:lang w:val="es-CR"/>
        </w:rPr>
        <w:t>.</w:t>
      </w:r>
      <w:r w:rsidRPr="00631777">
        <w:rPr>
          <w:sz w:val="20"/>
          <w:szCs w:val="20"/>
          <w:lang w:val="es-CO"/>
        </w:rPr>
        <w:t xml:space="preserve"> El Presidente resalta que el artículo 50.5 del Reglamento de la Corte aplicable al presente caso contempla la posibilidad de que las presuntas víctimas o sus representantes y el Estado demandado aporten un listado de preguntas por realizar a aquellas personas citadas a rendir declaraciones ante fedatario público.</w:t>
      </w:r>
      <w:bookmarkEnd w:id="13"/>
      <w:r w:rsidRPr="00631777">
        <w:rPr>
          <w:sz w:val="20"/>
          <w:szCs w:val="20"/>
          <w:lang w:val="es-CO"/>
        </w:rPr>
        <w:t xml:space="preserve"> </w:t>
      </w:r>
      <w:r w:rsidR="00177775" w:rsidRPr="00177775">
        <w:rPr>
          <w:sz w:val="20"/>
          <w:szCs w:val="20"/>
          <w:lang w:val="es-CO"/>
        </w:rPr>
        <w:t>Asimismo, a efectos de realizar su dictamen, el señor Hernán Gullco, convocado de oficio por el Presidente, deberá remitir a la Corte una cotización del costo de la formalización de una declaración jurada en Argentina y de su envío, en el plazo establecido en la parte resolutiva de la presente Resolución (</w:t>
      </w:r>
      <w:r w:rsidR="00177775" w:rsidRPr="00177775">
        <w:rPr>
          <w:i/>
          <w:iCs/>
          <w:sz w:val="20"/>
          <w:szCs w:val="20"/>
          <w:lang w:val="es-CO"/>
        </w:rPr>
        <w:t xml:space="preserve">infra </w:t>
      </w:r>
      <w:r w:rsidR="00177775" w:rsidRPr="00177775">
        <w:rPr>
          <w:sz w:val="20"/>
          <w:szCs w:val="20"/>
          <w:lang w:val="es-CO"/>
        </w:rPr>
        <w:t>punto resolutivo primero).</w:t>
      </w:r>
    </w:p>
    <w:p w:rsidR="00177775" w:rsidRPr="002D02AF" w:rsidRDefault="00177775" w:rsidP="006518E4">
      <w:pPr>
        <w:jc w:val="both"/>
        <w:rPr>
          <w:rFonts w:ascii="Verdana" w:hAnsi="Verdana" w:cs="Verdana"/>
          <w:color w:val="000000"/>
          <w:sz w:val="20"/>
          <w:szCs w:val="20"/>
        </w:rPr>
      </w:pPr>
    </w:p>
    <w:p w:rsidR="00853121" w:rsidRDefault="00853121" w:rsidP="006518E4">
      <w:pPr>
        <w:numPr>
          <w:ilvl w:val="0"/>
          <w:numId w:val="3"/>
        </w:numPr>
        <w:jc w:val="both"/>
        <w:rPr>
          <w:rFonts w:ascii="Verdana" w:hAnsi="Verdana" w:cs="Verdana"/>
          <w:i/>
          <w:iCs/>
          <w:color w:val="000000"/>
          <w:sz w:val="20"/>
          <w:szCs w:val="20"/>
        </w:rPr>
      </w:pPr>
      <w:bookmarkStart w:id="14" w:name="_Ref292893322"/>
      <w:r w:rsidRPr="002D6900">
        <w:rPr>
          <w:rFonts w:ascii="Verdana" w:hAnsi="Verdana" w:cs="Verdana"/>
          <w:sz w:val="20"/>
          <w:szCs w:val="20"/>
        </w:rPr>
        <w:t>En aplicación de lo dispuesto en la norma reglamentaria mencionada, el Presidente procede a otorgar una oportunidad para que el Estado presente</w:t>
      </w:r>
      <w:r>
        <w:rPr>
          <w:rFonts w:ascii="Verdana" w:hAnsi="Verdana" w:cs="Verdana"/>
          <w:sz w:val="20"/>
          <w:szCs w:val="20"/>
        </w:rPr>
        <w:t>, si así lo desea</w:t>
      </w:r>
      <w:r w:rsidR="00C7729B">
        <w:rPr>
          <w:rFonts w:ascii="Verdana" w:hAnsi="Verdana" w:cs="Verdana"/>
          <w:sz w:val="20"/>
          <w:szCs w:val="20"/>
        </w:rPr>
        <w:t>, las preguntas que estime</w:t>
      </w:r>
      <w:r w:rsidRPr="002D6900">
        <w:rPr>
          <w:rFonts w:ascii="Verdana" w:hAnsi="Verdana" w:cs="Verdana"/>
          <w:sz w:val="20"/>
          <w:szCs w:val="20"/>
        </w:rPr>
        <w:t xml:space="preserve"> per</w:t>
      </w:r>
      <w:r>
        <w:rPr>
          <w:rFonts w:ascii="Verdana" w:hAnsi="Verdana" w:cs="Verdana"/>
          <w:sz w:val="20"/>
          <w:szCs w:val="20"/>
        </w:rPr>
        <w:t xml:space="preserve">tinentes a los declarantes y </w:t>
      </w:r>
      <w:r w:rsidRPr="002D6900">
        <w:rPr>
          <w:rFonts w:ascii="Verdana" w:hAnsi="Verdana" w:cs="Verdana"/>
          <w:sz w:val="20"/>
          <w:szCs w:val="20"/>
        </w:rPr>
        <w:t>perito</w:t>
      </w:r>
      <w:r w:rsidR="004F7B60">
        <w:rPr>
          <w:rFonts w:ascii="Verdana" w:hAnsi="Verdana" w:cs="Verdana"/>
          <w:sz w:val="20"/>
          <w:szCs w:val="20"/>
        </w:rPr>
        <w:t>s</w:t>
      </w:r>
      <w:r w:rsidRPr="002D6900">
        <w:rPr>
          <w:rFonts w:ascii="Verdana" w:hAnsi="Verdana" w:cs="Verdana"/>
          <w:sz w:val="20"/>
          <w:szCs w:val="20"/>
        </w:rPr>
        <w:t xml:space="preserve"> referidos en el párrafo anterior. Al rendir su declaración ante fedatario público, </w:t>
      </w:r>
      <w:r>
        <w:rPr>
          <w:rFonts w:ascii="Verdana" w:hAnsi="Verdana" w:cs="Verdana"/>
          <w:sz w:val="20"/>
          <w:szCs w:val="20"/>
        </w:rPr>
        <w:t xml:space="preserve">los declarantes </w:t>
      </w:r>
      <w:r w:rsidRPr="002D6900">
        <w:rPr>
          <w:rFonts w:ascii="Verdana" w:hAnsi="Verdana" w:cs="Verdana"/>
          <w:sz w:val="20"/>
          <w:szCs w:val="20"/>
        </w:rPr>
        <w:t xml:space="preserve">deberán responder a dichas preguntas, salvo que el Presidente disponga lo contrario. Los plazos correspondientes serán precisados </w:t>
      </w:r>
      <w:r w:rsidRPr="000378E1">
        <w:rPr>
          <w:rFonts w:ascii="Verdana" w:hAnsi="Verdana" w:cs="Verdana"/>
          <w:i/>
          <w:iCs/>
          <w:sz w:val="20"/>
          <w:szCs w:val="20"/>
        </w:rPr>
        <w:t xml:space="preserve">infra, </w:t>
      </w:r>
      <w:r w:rsidRPr="000378E1">
        <w:rPr>
          <w:rFonts w:ascii="Verdana" w:hAnsi="Verdana" w:cs="Verdana"/>
          <w:sz w:val="20"/>
          <w:szCs w:val="20"/>
        </w:rPr>
        <w:t>en los puntos resolutivos primero y segundo de la presente Resolución.</w:t>
      </w:r>
      <w:r w:rsidRPr="000378E1">
        <w:rPr>
          <w:rFonts w:ascii="Verdana" w:hAnsi="Verdana" w:cs="Verdana"/>
          <w:b/>
          <w:bCs/>
          <w:sz w:val="20"/>
          <w:szCs w:val="20"/>
        </w:rPr>
        <w:t xml:space="preserve"> </w:t>
      </w:r>
      <w:r w:rsidRPr="000378E1">
        <w:rPr>
          <w:rFonts w:ascii="Verdana" w:hAnsi="Verdana" w:cs="Verdana"/>
          <w:sz w:val="20"/>
          <w:szCs w:val="20"/>
        </w:rPr>
        <w:t xml:space="preserve">Las declaraciones y </w:t>
      </w:r>
      <w:r>
        <w:rPr>
          <w:rFonts w:ascii="Verdana" w:hAnsi="Verdana" w:cs="Verdana"/>
          <w:sz w:val="20"/>
          <w:szCs w:val="20"/>
        </w:rPr>
        <w:t>peritaje</w:t>
      </w:r>
      <w:r w:rsidR="001D00FB">
        <w:rPr>
          <w:rFonts w:ascii="Verdana" w:hAnsi="Verdana" w:cs="Verdana"/>
          <w:sz w:val="20"/>
          <w:szCs w:val="20"/>
        </w:rPr>
        <w:t>s</w:t>
      </w:r>
      <w:r>
        <w:rPr>
          <w:rFonts w:ascii="Verdana" w:hAnsi="Verdana" w:cs="Verdana"/>
          <w:sz w:val="20"/>
          <w:szCs w:val="20"/>
        </w:rPr>
        <w:t xml:space="preserve"> </w:t>
      </w:r>
      <w:r w:rsidRPr="000378E1">
        <w:rPr>
          <w:rFonts w:ascii="Verdana" w:hAnsi="Verdana" w:cs="Verdana"/>
          <w:sz w:val="20"/>
          <w:szCs w:val="20"/>
        </w:rPr>
        <w:t>antes mencionados serán transmitidos a la Comisión</w:t>
      </w:r>
      <w:r>
        <w:rPr>
          <w:rFonts w:ascii="Verdana" w:hAnsi="Verdana" w:cs="Verdana"/>
          <w:sz w:val="20"/>
          <w:szCs w:val="20"/>
        </w:rPr>
        <w:t xml:space="preserve"> y</w:t>
      </w:r>
      <w:r w:rsidRPr="000378E1">
        <w:rPr>
          <w:rFonts w:ascii="Verdana" w:hAnsi="Verdana" w:cs="Verdana"/>
          <w:sz w:val="20"/>
          <w:szCs w:val="20"/>
        </w:rPr>
        <w:t xml:space="preserve"> al Estado. A su vez, </w:t>
      </w:r>
      <w:r>
        <w:rPr>
          <w:rFonts w:ascii="Verdana" w:hAnsi="Verdana" w:cs="Verdana"/>
          <w:sz w:val="20"/>
          <w:szCs w:val="20"/>
        </w:rPr>
        <w:t xml:space="preserve">la Comisión y </w:t>
      </w:r>
      <w:r w:rsidRPr="000378E1">
        <w:rPr>
          <w:rFonts w:ascii="Verdana" w:hAnsi="Verdana" w:cs="Verdana"/>
          <w:sz w:val="20"/>
          <w:szCs w:val="20"/>
        </w:rPr>
        <w:t>el Estado podrán presentar las observaciones que estimen pertinentes en el plazo indicado en la parte resolutiva de la presente Resolución (</w:t>
      </w:r>
      <w:r w:rsidRPr="000378E1">
        <w:rPr>
          <w:rFonts w:ascii="Verdana" w:hAnsi="Verdana" w:cs="Verdana"/>
          <w:i/>
          <w:iCs/>
          <w:sz w:val="20"/>
          <w:szCs w:val="20"/>
        </w:rPr>
        <w:t xml:space="preserve">infra </w:t>
      </w:r>
      <w:r w:rsidRPr="000378E1">
        <w:rPr>
          <w:rFonts w:ascii="Verdana" w:hAnsi="Verdana" w:cs="Verdana"/>
          <w:sz w:val="20"/>
          <w:szCs w:val="20"/>
        </w:rPr>
        <w:t xml:space="preserve">punto resolutivo cuarto). El valor probatorio de dichas declaraciones será determinado en su oportunidad por el Tribunal, el cual tomará en cuenta los puntos de vista, en su caso, expresados por </w:t>
      </w:r>
      <w:r>
        <w:rPr>
          <w:rFonts w:ascii="Verdana" w:hAnsi="Verdana" w:cs="Verdana"/>
          <w:sz w:val="20"/>
          <w:szCs w:val="20"/>
        </w:rPr>
        <w:t xml:space="preserve">las partes </w:t>
      </w:r>
      <w:r w:rsidRPr="002D6900">
        <w:rPr>
          <w:rFonts w:ascii="Verdana" w:hAnsi="Verdana" w:cs="Verdana"/>
          <w:sz w:val="20"/>
          <w:szCs w:val="20"/>
        </w:rPr>
        <w:t>en ejercicio de su derecho a la defensa.</w:t>
      </w:r>
      <w:bookmarkEnd w:id="14"/>
    </w:p>
    <w:p w:rsidR="00853121" w:rsidRPr="0075315B" w:rsidRDefault="00853121" w:rsidP="006518E4">
      <w:pPr>
        <w:jc w:val="both"/>
        <w:rPr>
          <w:rFonts w:ascii="Verdana" w:hAnsi="Verdana" w:cs="Verdana"/>
          <w:i/>
          <w:iCs/>
          <w:color w:val="000000"/>
          <w:sz w:val="20"/>
          <w:szCs w:val="20"/>
        </w:rPr>
      </w:pPr>
    </w:p>
    <w:p w:rsidR="00853121" w:rsidRPr="0037698E" w:rsidRDefault="00853121" w:rsidP="006518E4">
      <w:pPr>
        <w:ind w:right="10" w:firstLine="720"/>
        <w:jc w:val="both"/>
        <w:rPr>
          <w:rFonts w:ascii="Verdana" w:hAnsi="Verdana" w:cs="Verdana"/>
          <w:b/>
          <w:bCs/>
          <w:i/>
          <w:iCs/>
          <w:sz w:val="20"/>
          <w:szCs w:val="20"/>
        </w:rPr>
      </w:pPr>
      <w:r>
        <w:rPr>
          <w:rFonts w:ascii="Verdana" w:hAnsi="Verdana" w:cs="Verdana"/>
          <w:b/>
          <w:bCs/>
          <w:i/>
          <w:iCs/>
          <w:sz w:val="20"/>
          <w:szCs w:val="20"/>
        </w:rPr>
        <w:t>d</w:t>
      </w:r>
      <w:r w:rsidRPr="00D07448">
        <w:rPr>
          <w:rFonts w:ascii="Verdana" w:hAnsi="Verdana" w:cs="Verdana"/>
          <w:b/>
          <w:bCs/>
          <w:i/>
          <w:iCs/>
          <w:sz w:val="20"/>
          <w:szCs w:val="20"/>
        </w:rPr>
        <w:t>.2</w:t>
      </w:r>
      <w:r w:rsidRPr="00EA3ECC">
        <w:rPr>
          <w:rFonts w:ascii="Verdana" w:hAnsi="Verdana" w:cs="Verdana"/>
          <w:b/>
          <w:bCs/>
          <w:i/>
          <w:iCs/>
          <w:sz w:val="20"/>
          <w:szCs w:val="20"/>
        </w:rPr>
        <w:t xml:space="preserve">) </w:t>
      </w:r>
      <w:r>
        <w:rPr>
          <w:rFonts w:ascii="Verdana" w:hAnsi="Verdana" w:cs="Verdana"/>
          <w:b/>
          <w:bCs/>
          <w:i/>
          <w:iCs/>
          <w:sz w:val="20"/>
          <w:szCs w:val="20"/>
        </w:rPr>
        <w:t>Declaracio</w:t>
      </w:r>
      <w:r w:rsidRPr="00EA3ECC">
        <w:rPr>
          <w:rFonts w:ascii="Verdana" w:hAnsi="Verdana" w:cs="Verdana"/>
          <w:b/>
          <w:bCs/>
          <w:i/>
          <w:iCs/>
          <w:sz w:val="20"/>
          <w:szCs w:val="20"/>
        </w:rPr>
        <w:t>n</w:t>
      </w:r>
      <w:r>
        <w:rPr>
          <w:rFonts w:ascii="Verdana" w:hAnsi="Verdana" w:cs="Verdana"/>
          <w:b/>
          <w:bCs/>
          <w:i/>
          <w:iCs/>
          <w:sz w:val="20"/>
          <w:szCs w:val="20"/>
        </w:rPr>
        <w:t>es y dictámenes periciales</w:t>
      </w:r>
      <w:r w:rsidRPr="00EA3ECC">
        <w:rPr>
          <w:rFonts w:ascii="Verdana" w:hAnsi="Verdana" w:cs="Verdana"/>
          <w:b/>
          <w:bCs/>
          <w:i/>
          <w:iCs/>
          <w:sz w:val="20"/>
          <w:szCs w:val="20"/>
        </w:rPr>
        <w:t xml:space="preserve"> </w:t>
      </w:r>
      <w:r>
        <w:rPr>
          <w:rFonts w:ascii="Verdana" w:hAnsi="Verdana" w:cs="Verdana"/>
          <w:b/>
          <w:bCs/>
          <w:i/>
          <w:iCs/>
          <w:sz w:val="20"/>
          <w:szCs w:val="20"/>
        </w:rPr>
        <w:t>a ser recibidos en audiencia</w:t>
      </w:r>
    </w:p>
    <w:p w:rsidR="00853121" w:rsidRPr="0037698E" w:rsidRDefault="00853121" w:rsidP="006518E4">
      <w:pPr>
        <w:jc w:val="both"/>
        <w:rPr>
          <w:rFonts w:ascii="Verdana" w:hAnsi="Verdana" w:cs="Verdana"/>
          <w:b/>
          <w:bCs/>
          <w:i/>
          <w:iCs/>
          <w:color w:val="00B050"/>
          <w:sz w:val="16"/>
          <w:szCs w:val="16"/>
        </w:rPr>
      </w:pPr>
    </w:p>
    <w:p w:rsidR="00853121" w:rsidRPr="007E4851" w:rsidRDefault="00853121" w:rsidP="006518E4">
      <w:pPr>
        <w:numPr>
          <w:ilvl w:val="0"/>
          <w:numId w:val="3"/>
        </w:numPr>
        <w:jc w:val="both"/>
        <w:rPr>
          <w:rFonts w:ascii="Verdana" w:hAnsi="Verdana" w:cs="Verdana"/>
          <w:i/>
          <w:iCs/>
          <w:color w:val="000000"/>
          <w:sz w:val="20"/>
          <w:szCs w:val="20"/>
        </w:rPr>
      </w:pPr>
      <w:r w:rsidRPr="0037698E">
        <w:rPr>
          <w:rFonts w:ascii="Verdana" w:hAnsi="Verdana" w:cs="Verdana"/>
          <w:sz w:val="20"/>
          <w:szCs w:val="20"/>
        </w:rPr>
        <w:t xml:space="preserve">Los autos en el presente caso se encuentran listos para la apertura del procedimiento oral en cuanto </w:t>
      </w:r>
      <w:r>
        <w:rPr>
          <w:rFonts w:ascii="Verdana" w:hAnsi="Verdana" w:cs="Verdana"/>
          <w:sz w:val="20"/>
          <w:szCs w:val="20"/>
        </w:rPr>
        <w:t xml:space="preserve">a las excepciones preliminares y eventuales fondo, </w:t>
      </w:r>
      <w:r w:rsidRPr="0037698E">
        <w:rPr>
          <w:rFonts w:ascii="Verdana" w:hAnsi="Verdana" w:cs="Verdana"/>
          <w:sz w:val="20"/>
          <w:szCs w:val="20"/>
        </w:rPr>
        <w:t>reparaciones y costas, por lo que el Presidente estima pertinente convocar a una audiencia pública para recibir la</w:t>
      </w:r>
      <w:r>
        <w:rPr>
          <w:rFonts w:ascii="Verdana" w:hAnsi="Verdana" w:cs="Verdana"/>
          <w:sz w:val="20"/>
          <w:szCs w:val="20"/>
        </w:rPr>
        <w:t xml:space="preserve">s siguientes </w:t>
      </w:r>
      <w:r w:rsidRPr="00A54DDF">
        <w:rPr>
          <w:rFonts w:ascii="Verdana" w:hAnsi="Verdana" w:cs="Verdana"/>
          <w:sz w:val="20"/>
          <w:szCs w:val="20"/>
        </w:rPr>
        <w:t>cuatro</w:t>
      </w:r>
      <w:r>
        <w:rPr>
          <w:rFonts w:ascii="Verdana" w:hAnsi="Verdana" w:cs="Verdana"/>
          <w:sz w:val="20"/>
          <w:szCs w:val="20"/>
        </w:rPr>
        <w:t xml:space="preserve"> declaraciones:</w:t>
      </w:r>
      <w:r w:rsidRPr="0037698E">
        <w:rPr>
          <w:rFonts w:ascii="Verdana" w:hAnsi="Verdana" w:cs="Verdana"/>
          <w:sz w:val="20"/>
          <w:szCs w:val="20"/>
        </w:rPr>
        <w:t xml:space="preserve"> declaración de </w:t>
      </w:r>
      <w:r>
        <w:rPr>
          <w:rFonts w:ascii="Verdana" w:hAnsi="Verdana" w:cs="Verdana"/>
          <w:sz w:val="20"/>
          <w:szCs w:val="20"/>
        </w:rPr>
        <w:t>la presunta víctima</w:t>
      </w:r>
      <w:r w:rsidR="00850CBF">
        <w:rPr>
          <w:rFonts w:ascii="Verdana" w:hAnsi="Verdana" w:cs="Verdana"/>
          <w:sz w:val="20"/>
          <w:szCs w:val="20"/>
        </w:rPr>
        <w:t>,</w:t>
      </w:r>
      <w:r>
        <w:rPr>
          <w:rFonts w:ascii="Verdana" w:hAnsi="Verdana" w:cs="Verdana"/>
          <w:sz w:val="20"/>
          <w:szCs w:val="20"/>
        </w:rPr>
        <w:t xml:space="preserve"> </w:t>
      </w:r>
      <w:r>
        <w:rPr>
          <w:rFonts w:ascii="Verdana" w:hAnsi="Verdana" w:cs="Verdana"/>
          <w:sz w:val="20"/>
          <w:szCs w:val="20"/>
          <w:lang w:val="es-CR"/>
        </w:rPr>
        <w:t>Claudio Furlan</w:t>
      </w:r>
      <w:r w:rsidR="00510C04">
        <w:rPr>
          <w:rFonts w:ascii="Verdana" w:hAnsi="Verdana" w:cs="Verdana"/>
          <w:sz w:val="20"/>
          <w:szCs w:val="20"/>
          <w:lang w:val="es-CR"/>
        </w:rPr>
        <w:t xml:space="preserve">; </w:t>
      </w:r>
      <w:r>
        <w:rPr>
          <w:rFonts w:ascii="Verdana" w:hAnsi="Verdana" w:cs="Verdana"/>
          <w:sz w:val="20"/>
          <w:szCs w:val="20"/>
          <w:lang w:val="es-CR"/>
        </w:rPr>
        <w:t xml:space="preserve"> declaración pericial de Gustavo Daniel Moreno y María Laura Subies, pr</w:t>
      </w:r>
      <w:r w:rsidR="00D71E95">
        <w:rPr>
          <w:rFonts w:ascii="Verdana" w:hAnsi="Verdana" w:cs="Verdana"/>
          <w:sz w:val="20"/>
          <w:szCs w:val="20"/>
          <w:lang w:val="es-CR"/>
        </w:rPr>
        <w:t>opuestos por los representantes,</w:t>
      </w:r>
      <w:r>
        <w:rPr>
          <w:rFonts w:ascii="Verdana" w:hAnsi="Verdana" w:cs="Verdana"/>
          <w:sz w:val="20"/>
          <w:szCs w:val="20"/>
          <w:lang w:val="es-CR"/>
        </w:rPr>
        <w:t xml:space="preserve"> y declaración pericial de Alejandro Morlachetti,  </w:t>
      </w:r>
      <w:r w:rsidRPr="00A54DDF">
        <w:rPr>
          <w:rFonts w:ascii="Verdana" w:hAnsi="Verdana" w:cs="Verdana"/>
          <w:sz w:val="20"/>
          <w:szCs w:val="20"/>
          <w:lang w:val="es-CR"/>
        </w:rPr>
        <w:t>propuesto por la Comisión</w:t>
      </w:r>
      <w:r w:rsidRPr="00AF6799">
        <w:rPr>
          <w:rFonts w:ascii="Verdana" w:hAnsi="Verdana" w:cs="Verdana"/>
          <w:sz w:val="20"/>
          <w:szCs w:val="20"/>
          <w:lang w:val="es-CR"/>
        </w:rPr>
        <w:t>.</w:t>
      </w:r>
      <w:r w:rsidRPr="00E976D5">
        <w:rPr>
          <w:rFonts w:ascii="Verdana" w:hAnsi="Verdana" w:cs="Verdana"/>
          <w:sz w:val="20"/>
          <w:szCs w:val="20"/>
          <w:lang w:val="es-CR"/>
        </w:rPr>
        <w:t xml:space="preserve"> </w:t>
      </w:r>
      <w:r w:rsidRPr="0037698E">
        <w:rPr>
          <w:rFonts w:ascii="Verdana" w:hAnsi="Verdana" w:cs="Verdana"/>
          <w:sz w:val="20"/>
          <w:szCs w:val="20"/>
        </w:rPr>
        <w:t>Del mismo modo, se recibirán los alegatos finales orales de los representantes y del Estado, así como las observaciones finales orales de la Comisión.</w:t>
      </w:r>
      <w:r w:rsidRPr="007E4851">
        <w:rPr>
          <w:rFonts w:ascii="Verdana" w:hAnsi="Verdana" w:cs="Verdana"/>
          <w:color w:val="00B050"/>
          <w:sz w:val="20"/>
          <w:szCs w:val="20"/>
        </w:rPr>
        <w:t xml:space="preserve"> </w:t>
      </w:r>
    </w:p>
    <w:p w:rsidR="00853121" w:rsidRDefault="00853121" w:rsidP="00A973B8">
      <w:pPr>
        <w:pStyle w:val="BodyText2"/>
        <w:ind w:right="10"/>
        <w:rPr>
          <w:rFonts w:ascii="Verdana" w:hAnsi="Verdana" w:cs="Verdana"/>
          <w:b/>
          <w:bCs/>
          <w:i/>
          <w:iCs/>
          <w:sz w:val="20"/>
          <w:szCs w:val="20"/>
        </w:rPr>
      </w:pPr>
    </w:p>
    <w:p w:rsidR="00853121" w:rsidRDefault="00853121" w:rsidP="00A973B8">
      <w:pPr>
        <w:pStyle w:val="BodyText2"/>
        <w:ind w:left="720" w:right="10"/>
        <w:rPr>
          <w:rFonts w:ascii="Verdana" w:hAnsi="Verdana" w:cs="Verdana"/>
          <w:b/>
          <w:bCs/>
          <w:i/>
          <w:iCs/>
          <w:sz w:val="20"/>
          <w:szCs w:val="20"/>
        </w:rPr>
      </w:pPr>
      <w:r w:rsidRPr="00600549">
        <w:rPr>
          <w:rFonts w:ascii="Verdana" w:hAnsi="Verdana" w:cs="Verdana"/>
          <w:b/>
          <w:bCs/>
          <w:i/>
          <w:iCs/>
          <w:sz w:val="20"/>
          <w:szCs w:val="20"/>
        </w:rPr>
        <w:t xml:space="preserve">d.3) </w:t>
      </w:r>
      <w:r w:rsidRPr="00600549">
        <w:rPr>
          <w:rFonts w:ascii="Verdana" w:hAnsi="Verdana" w:cs="Verdana"/>
          <w:b/>
          <w:bCs/>
          <w:i/>
          <w:iCs/>
          <w:sz w:val="20"/>
          <w:szCs w:val="20"/>
        </w:rPr>
        <w:tab/>
        <w:t>Solicitud de la Comisión para formular preguntas a dos peritos ofrecidos por los representantes</w:t>
      </w:r>
      <w:r>
        <w:rPr>
          <w:rFonts w:ascii="Verdana" w:hAnsi="Verdana" w:cs="Verdana"/>
          <w:b/>
          <w:bCs/>
          <w:i/>
          <w:iCs/>
          <w:sz w:val="20"/>
          <w:szCs w:val="20"/>
        </w:rPr>
        <w:tab/>
        <w:t xml:space="preserve"> </w:t>
      </w:r>
    </w:p>
    <w:p w:rsidR="00853121" w:rsidRDefault="00853121" w:rsidP="00A973B8">
      <w:pPr>
        <w:pStyle w:val="BodyText2"/>
        <w:ind w:right="10"/>
        <w:rPr>
          <w:rFonts w:ascii="Verdana" w:hAnsi="Verdana" w:cs="Verdana"/>
          <w:b/>
          <w:bCs/>
          <w:i/>
          <w:iCs/>
          <w:sz w:val="20"/>
          <w:szCs w:val="20"/>
        </w:rPr>
      </w:pPr>
    </w:p>
    <w:p w:rsidR="00853121" w:rsidRPr="00B30558" w:rsidRDefault="00853121" w:rsidP="00A973B8">
      <w:pPr>
        <w:numPr>
          <w:ilvl w:val="0"/>
          <w:numId w:val="3"/>
        </w:numPr>
        <w:ind w:right="10"/>
        <w:jc w:val="both"/>
        <w:rPr>
          <w:rFonts w:ascii="Verdana" w:hAnsi="Verdana" w:cs="Verdana"/>
          <w:sz w:val="20"/>
          <w:szCs w:val="20"/>
        </w:rPr>
      </w:pPr>
      <w:r>
        <w:rPr>
          <w:rFonts w:ascii="Verdana" w:hAnsi="Verdana" w:cs="Verdana"/>
          <w:sz w:val="20"/>
          <w:szCs w:val="20"/>
        </w:rPr>
        <w:t xml:space="preserve">La Comisión </w:t>
      </w:r>
      <w:r w:rsidRPr="002158F4">
        <w:rPr>
          <w:rFonts w:ascii="Verdana" w:hAnsi="Verdana" w:cs="Verdana"/>
          <w:sz w:val="20"/>
          <w:szCs w:val="20"/>
        </w:rPr>
        <w:t xml:space="preserve">solicitó </w:t>
      </w:r>
      <w:r w:rsidRPr="006C1D84">
        <w:rPr>
          <w:rFonts w:ascii="Verdana" w:hAnsi="Verdana" w:cs="Verdana"/>
          <w:sz w:val="20"/>
          <w:szCs w:val="20"/>
        </w:rPr>
        <w:t>“</w:t>
      </w:r>
      <w:r>
        <w:rPr>
          <w:rFonts w:ascii="Verdana" w:hAnsi="Verdana" w:cs="Verdana"/>
          <w:sz w:val="20"/>
          <w:szCs w:val="20"/>
        </w:rPr>
        <w:t xml:space="preserve">poder interrogar al Dr. Gustavo Daniel Moreno, cuyo peritaje versa sobre temas de interés público interamericano” y quien se referirá, entre otros, “al procedimiento civil y comercial de la justicia nacional, a las facultades ordenatorias de los jueces en el sistema procesal, a cuándo un caso de daños y perjuicios puede considerarse complejo y a los periodos usuales que lleva su tramitación”. Al respecto, la Comisión solicitó interrogar a dicho jurista en específico sobre “aquéllos temas que se relacionen directamente con el objeto del peritaje de Hernán Gullco, a saber, los principales problemas que generan la demora en las decisiones y en la materialización de reparaciones ordenadas a la luz de las obligaciones internacionales del Estado, y con el peritaje de Alejandro Morlachetti”. La Comisión consideró que que “el Dr. Moreno ofrecería información sobre la interrelación entre los estándares internacionales referidos y la aplicación de los mismos a nivel nacional”. </w:t>
      </w:r>
    </w:p>
    <w:p w:rsidR="00853121" w:rsidRPr="00B30558" w:rsidRDefault="00853121" w:rsidP="00A973B8">
      <w:pPr>
        <w:ind w:right="10"/>
        <w:jc w:val="both"/>
        <w:rPr>
          <w:rFonts w:ascii="Verdana" w:hAnsi="Verdana" w:cs="Verdana"/>
          <w:sz w:val="20"/>
          <w:szCs w:val="20"/>
        </w:rPr>
      </w:pPr>
      <w:r>
        <w:rPr>
          <w:rFonts w:ascii="Verdana" w:hAnsi="Verdana" w:cs="Verdana"/>
          <w:sz w:val="20"/>
          <w:szCs w:val="20"/>
        </w:rPr>
        <w:t xml:space="preserve"> </w:t>
      </w:r>
    </w:p>
    <w:p w:rsidR="00853121" w:rsidRDefault="00853121" w:rsidP="00A973B8">
      <w:pPr>
        <w:numPr>
          <w:ilvl w:val="0"/>
          <w:numId w:val="3"/>
        </w:numPr>
        <w:ind w:right="10"/>
        <w:jc w:val="both"/>
        <w:rPr>
          <w:rFonts w:ascii="Verdana" w:hAnsi="Verdana" w:cs="Verdana"/>
          <w:sz w:val="20"/>
          <w:szCs w:val="20"/>
        </w:rPr>
      </w:pPr>
      <w:r w:rsidRPr="00882603">
        <w:rPr>
          <w:rFonts w:ascii="Verdana" w:hAnsi="Verdana" w:cs="Verdana"/>
          <w:sz w:val="20"/>
          <w:szCs w:val="20"/>
        </w:rPr>
        <w:lastRenderedPageBreak/>
        <w:t xml:space="preserve">Respecto a la referida solicitud de la Comisión, el Presidente recuerda las </w:t>
      </w:r>
      <w:r w:rsidRPr="00AD70C9">
        <w:rPr>
          <w:rFonts w:ascii="Verdana" w:hAnsi="Verdana" w:cs="Verdana"/>
          <w:sz w:val="20"/>
          <w:szCs w:val="20"/>
        </w:rPr>
        <w:t>limitaciones</w:t>
      </w:r>
      <w:r w:rsidRPr="00882603">
        <w:rPr>
          <w:rFonts w:ascii="Verdana" w:hAnsi="Verdana" w:cs="Verdana"/>
          <w:sz w:val="20"/>
          <w:szCs w:val="20"/>
        </w:rPr>
        <w:t xml:space="preserve"> establecidas en el Reglamento actualmente vigente en cuanto a la recepción de declaraciones </w:t>
      </w:r>
      <w:r>
        <w:rPr>
          <w:rFonts w:ascii="Verdana" w:hAnsi="Verdana" w:cs="Verdana"/>
          <w:sz w:val="20"/>
          <w:szCs w:val="20"/>
        </w:rPr>
        <w:t>propuestas</w:t>
      </w:r>
      <w:r w:rsidRPr="00882603">
        <w:rPr>
          <w:rFonts w:ascii="Verdana" w:hAnsi="Verdana" w:cs="Verdana"/>
          <w:sz w:val="20"/>
          <w:szCs w:val="20"/>
        </w:rPr>
        <w:t xml:space="preserve"> </w:t>
      </w:r>
      <w:r>
        <w:rPr>
          <w:rFonts w:ascii="Verdana" w:hAnsi="Verdana" w:cs="Verdana"/>
          <w:sz w:val="20"/>
          <w:szCs w:val="20"/>
        </w:rPr>
        <w:t>por</w:t>
      </w:r>
      <w:r w:rsidRPr="00882603">
        <w:rPr>
          <w:rFonts w:ascii="Verdana" w:hAnsi="Verdana" w:cs="Verdana"/>
          <w:sz w:val="20"/>
          <w:szCs w:val="20"/>
        </w:rPr>
        <w:t xml:space="preserve"> la Comisión, así como en relación con la facultad de la misma para interrogar a los declarantes ofrecidos por las demás partes</w:t>
      </w:r>
      <w:r>
        <w:rPr>
          <w:rStyle w:val="FootnoteReference"/>
          <w:rFonts w:ascii="Verdana" w:hAnsi="Verdana" w:cs="Verdana"/>
          <w:sz w:val="20"/>
          <w:szCs w:val="20"/>
        </w:rPr>
        <w:footnoteReference w:id="6"/>
      </w:r>
      <w:r w:rsidRPr="00882603">
        <w:rPr>
          <w:rFonts w:ascii="Verdana" w:hAnsi="Verdana" w:cs="Verdana"/>
          <w:sz w:val="20"/>
          <w:szCs w:val="20"/>
        </w:rPr>
        <w:t xml:space="preserve">. </w:t>
      </w:r>
    </w:p>
    <w:p w:rsidR="00853121" w:rsidRDefault="00853121" w:rsidP="00A973B8">
      <w:pPr>
        <w:pStyle w:val="ListParagraph"/>
        <w:rPr>
          <w:rFonts w:ascii="Verdana" w:hAnsi="Verdana" w:cs="Verdana"/>
          <w:sz w:val="20"/>
          <w:szCs w:val="20"/>
        </w:rPr>
      </w:pPr>
    </w:p>
    <w:p w:rsidR="00853121" w:rsidRPr="005E056E" w:rsidRDefault="00853121" w:rsidP="00A973B8">
      <w:pPr>
        <w:numPr>
          <w:ilvl w:val="0"/>
          <w:numId w:val="3"/>
        </w:numPr>
        <w:ind w:right="10"/>
        <w:jc w:val="both"/>
        <w:rPr>
          <w:rFonts w:ascii="Verdana" w:hAnsi="Verdana" w:cs="Verdana"/>
          <w:sz w:val="20"/>
          <w:szCs w:val="20"/>
        </w:rPr>
      </w:pPr>
      <w:r w:rsidRPr="00882603">
        <w:rPr>
          <w:rFonts w:ascii="Verdana" w:hAnsi="Verdana" w:cs="Verdana"/>
          <w:sz w:val="20"/>
          <w:szCs w:val="20"/>
        </w:rPr>
        <w:t>En particular, es pertinente recordar lo establecido en el artículo 50.5 del Reglamento, el cual establece que “[l]as presuntas víctimas o sus representantes, el Estado demandado y, en su caso, el Estado demandante podrán formular preguntas por escrito a los declarantes ofrecidos por la contraparte y, en su caso, por la Comisión, que hayan sido llamados a prestar declaración ante fedatario público (</w:t>
      </w:r>
      <w:r w:rsidRPr="00F536D6">
        <w:rPr>
          <w:rFonts w:ascii="Verdana" w:hAnsi="Verdana" w:cs="Verdana"/>
          <w:i/>
          <w:iCs/>
          <w:sz w:val="20"/>
          <w:szCs w:val="20"/>
        </w:rPr>
        <w:t>affidávit</w:t>
      </w:r>
      <w:r w:rsidRPr="00882603">
        <w:rPr>
          <w:rFonts w:ascii="Verdana" w:hAnsi="Verdana" w:cs="Verdana"/>
          <w:sz w:val="20"/>
          <w:szCs w:val="20"/>
        </w:rPr>
        <w:t xml:space="preserve">)”, </w:t>
      </w:r>
      <w:r w:rsidRPr="005E056E">
        <w:rPr>
          <w:rFonts w:ascii="Verdana" w:hAnsi="Verdana" w:cs="Verdana"/>
          <w:sz w:val="20"/>
          <w:szCs w:val="20"/>
        </w:rPr>
        <w:t>el cual debe ser leído en conjunto con el artículo 52.3 del Reglamento, que prevé la posibilidad de que la Comisión interrogue a los peritos declarantes presentados por las demás partes, “si la Corte lo autoriza a solicitud fundada de la Comisión, cuando se afecte de manera relevante el orden público interamericano de los derechos humanos y su declaración verse sobre alguna materia contenida en un peritaje ofrecido por la Comisión”. De modo tal, que le corresponde a la Comisión fundamentar en cada caso cuál es la vinculación tanto con el orden público interamericano como con la materia sobre la que verse un peritaje ofrecido por la misma, para que la Corte o su Presidencia pueda evaluar la solicitud oportunamente y, si corresponde, autorizar la posibilidad de que la Comisión haga su interrogatorio.</w:t>
      </w:r>
    </w:p>
    <w:p w:rsidR="00853121" w:rsidRPr="005E056E" w:rsidRDefault="00853121" w:rsidP="00A973B8">
      <w:pPr>
        <w:ind w:right="10"/>
        <w:jc w:val="both"/>
        <w:rPr>
          <w:rFonts w:ascii="Verdana" w:hAnsi="Verdana" w:cs="Verdana"/>
          <w:sz w:val="20"/>
          <w:szCs w:val="20"/>
        </w:rPr>
      </w:pPr>
    </w:p>
    <w:p w:rsidR="00853121" w:rsidRPr="004B4F29" w:rsidRDefault="00853121" w:rsidP="00A973B8">
      <w:pPr>
        <w:numPr>
          <w:ilvl w:val="0"/>
          <w:numId w:val="3"/>
        </w:numPr>
        <w:ind w:right="10"/>
        <w:jc w:val="both"/>
        <w:rPr>
          <w:rFonts w:ascii="Verdana" w:hAnsi="Verdana" w:cs="Verdana"/>
          <w:sz w:val="20"/>
          <w:szCs w:val="20"/>
        </w:rPr>
      </w:pPr>
      <w:r w:rsidRPr="004B4F29">
        <w:rPr>
          <w:rFonts w:ascii="Verdana" w:hAnsi="Verdana" w:cs="Verdana"/>
          <w:sz w:val="20"/>
          <w:szCs w:val="20"/>
          <w:lang w:val="es-CR"/>
        </w:rPr>
        <w:t xml:space="preserve">Esta Presidencia observa que </w:t>
      </w:r>
      <w:r>
        <w:rPr>
          <w:rFonts w:ascii="Verdana" w:hAnsi="Verdana" w:cs="Verdana"/>
          <w:sz w:val="20"/>
          <w:szCs w:val="20"/>
          <w:lang w:val="es-CR"/>
        </w:rPr>
        <w:t xml:space="preserve">algunos de los aspectos de vinculación entre la solicitud de interrogatorio y el orden público interamericano </w:t>
      </w:r>
      <w:r w:rsidRPr="004B4F29">
        <w:rPr>
          <w:rFonts w:ascii="Verdana" w:hAnsi="Verdana" w:cs="Verdana"/>
          <w:sz w:val="20"/>
          <w:szCs w:val="20"/>
          <w:lang w:val="es-CR"/>
        </w:rPr>
        <w:t xml:space="preserve">se relaciona con el objeto del peritaje de </w:t>
      </w:r>
      <w:r>
        <w:rPr>
          <w:rFonts w:ascii="Verdana" w:hAnsi="Verdana" w:cs="Verdana"/>
          <w:sz w:val="20"/>
          <w:szCs w:val="20"/>
          <w:lang w:val="es-CR"/>
        </w:rPr>
        <w:t>Hernán Gullco</w:t>
      </w:r>
      <w:r w:rsidRPr="004B4F29">
        <w:rPr>
          <w:rFonts w:ascii="Verdana" w:hAnsi="Verdana" w:cs="Verdana"/>
          <w:sz w:val="20"/>
          <w:szCs w:val="20"/>
          <w:lang w:val="es-CR"/>
        </w:rPr>
        <w:t>, ofrecido por la Comisión. Al respecto, el Presidente reitera lo considerado</w:t>
      </w:r>
      <w:r>
        <w:rPr>
          <w:rFonts w:ascii="Verdana" w:hAnsi="Verdana" w:cs="Verdana"/>
          <w:sz w:val="20"/>
          <w:szCs w:val="20"/>
          <w:lang w:val="es-CR"/>
        </w:rPr>
        <w:t xml:space="preserve"> previamente </w:t>
      </w:r>
      <w:r w:rsidRPr="004B4F29">
        <w:rPr>
          <w:rFonts w:ascii="Verdana" w:hAnsi="Verdana" w:cs="Verdana"/>
          <w:sz w:val="20"/>
          <w:szCs w:val="20"/>
          <w:lang w:val="es-CR"/>
        </w:rPr>
        <w:t xml:space="preserve">al pronunciarse sobre la inadmisibilidad de dicho peritaje, en el sentido de que </w:t>
      </w:r>
      <w:r w:rsidRPr="004B4F29">
        <w:rPr>
          <w:rFonts w:ascii="Verdana" w:hAnsi="Verdana" w:cs="Verdana"/>
          <w:sz w:val="20"/>
          <w:szCs w:val="20"/>
        </w:rPr>
        <w:t xml:space="preserve">no se desprende </w:t>
      </w:r>
      <w:r w:rsidRPr="004B4F29">
        <w:rPr>
          <w:rFonts w:ascii="Verdana" w:hAnsi="Verdana" w:cs="Verdana"/>
          <w:sz w:val="20"/>
          <w:szCs w:val="20"/>
          <w:lang w:val="es-CR"/>
        </w:rPr>
        <w:t xml:space="preserve">que su objeto abarque información, conocimientos o parámetros en materia de protección de derechos humanos que puedan afectar de manera relevante el orden público interamericano. </w:t>
      </w:r>
      <w:r w:rsidRPr="004B4F29">
        <w:rPr>
          <w:rFonts w:ascii="Verdana" w:hAnsi="Verdana" w:cs="Verdana"/>
          <w:sz w:val="20"/>
          <w:szCs w:val="20"/>
          <w:lang w:eastAsia="es-MX"/>
        </w:rPr>
        <w:t xml:space="preserve">Esta Presidencia se remite a las consideraciones expuestas </w:t>
      </w:r>
      <w:r w:rsidRPr="004B4F29">
        <w:rPr>
          <w:rFonts w:ascii="Verdana" w:hAnsi="Verdana" w:cs="Verdana"/>
          <w:i/>
          <w:iCs/>
          <w:sz w:val="20"/>
          <w:szCs w:val="20"/>
          <w:lang w:eastAsia="es-MX"/>
        </w:rPr>
        <w:t xml:space="preserve">supra </w:t>
      </w:r>
      <w:r w:rsidRPr="004B4F29">
        <w:rPr>
          <w:rFonts w:ascii="Verdana" w:hAnsi="Verdana" w:cs="Verdana"/>
          <w:sz w:val="20"/>
          <w:szCs w:val="20"/>
          <w:lang w:eastAsia="es-MX"/>
        </w:rPr>
        <w:t>en este sentido, por lo cual estima que no procede analizar este extremo de la solicitud de la Comisión.</w:t>
      </w:r>
    </w:p>
    <w:p w:rsidR="00853121" w:rsidRDefault="00853121" w:rsidP="00A973B8">
      <w:pPr>
        <w:pStyle w:val="ListParagraph"/>
        <w:rPr>
          <w:rFonts w:ascii="Verdana" w:hAnsi="Verdana" w:cs="Verdana"/>
          <w:sz w:val="20"/>
          <w:szCs w:val="20"/>
        </w:rPr>
      </w:pPr>
    </w:p>
    <w:p w:rsidR="00853121" w:rsidRPr="0030470C" w:rsidRDefault="00853121" w:rsidP="00A973B8">
      <w:pPr>
        <w:numPr>
          <w:ilvl w:val="0"/>
          <w:numId w:val="3"/>
        </w:numPr>
        <w:ind w:right="10"/>
        <w:jc w:val="both"/>
        <w:rPr>
          <w:rFonts w:ascii="Verdana" w:hAnsi="Verdana" w:cs="Verdana"/>
          <w:sz w:val="20"/>
          <w:szCs w:val="20"/>
          <w:lang w:val="es-CR"/>
        </w:rPr>
      </w:pPr>
      <w:r w:rsidRPr="0030470C">
        <w:rPr>
          <w:rFonts w:ascii="Verdana" w:hAnsi="Verdana" w:cs="Verdana"/>
          <w:sz w:val="20"/>
          <w:szCs w:val="20"/>
          <w:lang w:val="es-CR"/>
        </w:rPr>
        <w:t xml:space="preserve">En cuanto a la vinculación entre el peritaje propuesto para el señor Moreno y el objeto del peritaje de Alejandro Morlachetti, el Presidente constata que el objeto del peritaje del señor Moreno hace </w:t>
      </w:r>
      <w:r w:rsidRPr="0030470C">
        <w:rPr>
          <w:rFonts w:ascii="Verdana" w:hAnsi="Verdana" w:cs="Verdana"/>
          <w:sz w:val="20"/>
          <w:szCs w:val="20"/>
          <w:lang w:eastAsia="es-MX"/>
        </w:rPr>
        <w:t>referencia a la legislación interna en materia procesal civil y comercial lo que no da cuenta de un interés público interamericano por lo que no es procedente la solicitud presentada por la Comisión para realizar preguntas al perito Moreno.</w:t>
      </w:r>
    </w:p>
    <w:p w:rsidR="00853121" w:rsidRDefault="00853121" w:rsidP="00A973B8">
      <w:pPr>
        <w:pStyle w:val="ListParagraph"/>
        <w:rPr>
          <w:rFonts w:ascii="Verdana" w:hAnsi="Verdana" w:cs="Verdana"/>
          <w:sz w:val="20"/>
          <w:szCs w:val="20"/>
          <w:lang w:val="es-CR"/>
        </w:rPr>
      </w:pPr>
    </w:p>
    <w:p w:rsidR="00853121" w:rsidRPr="001B7A3F" w:rsidRDefault="00853121" w:rsidP="00A973B8">
      <w:pPr>
        <w:numPr>
          <w:ilvl w:val="0"/>
          <w:numId w:val="3"/>
        </w:numPr>
        <w:ind w:right="10"/>
        <w:jc w:val="both"/>
        <w:rPr>
          <w:rFonts w:ascii="Verdana" w:hAnsi="Verdana" w:cs="Verdana"/>
          <w:sz w:val="20"/>
          <w:szCs w:val="20"/>
          <w:lang w:val="es-CR"/>
        </w:rPr>
      </w:pPr>
      <w:r>
        <w:rPr>
          <w:rFonts w:ascii="Verdana" w:hAnsi="Verdana" w:cs="Verdana"/>
          <w:sz w:val="20"/>
          <w:szCs w:val="20"/>
          <w:lang w:val="es-CR"/>
        </w:rPr>
        <w:t xml:space="preserve">Por otra parte, la Comisión solicitó interrogar a la Dra. María Laura Subies, en relación con los mecanismos de resolución y prácticas [de los tribunales]” en casos relacionados con niños y niñas con discapacidad, toda vez que “su peritaje versará sobre cuestiones de interés público interamericano, particularmente sobre algunos puntos del contenido del peritaje del doctor Morlachetti”. </w:t>
      </w:r>
    </w:p>
    <w:p w:rsidR="00853121" w:rsidRDefault="00853121" w:rsidP="00A973B8">
      <w:pPr>
        <w:pStyle w:val="ListParagraph"/>
        <w:rPr>
          <w:rFonts w:ascii="Verdana" w:hAnsi="Verdana" w:cs="Verdana"/>
          <w:sz w:val="20"/>
          <w:szCs w:val="20"/>
          <w:lang w:val="es-CR"/>
        </w:rPr>
      </w:pPr>
    </w:p>
    <w:p w:rsidR="00853121" w:rsidRDefault="00853121" w:rsidP="00A72C5D">
      <w:pPr>
        <w:numPr>
          <w:ilvl w:val="0"/>
          <w:numId w:val="3"/>
        </w:numPr>
        <w:ind w:right="10"/>
        <w:jc w:val="both"/>
        <w:rPr>
          <w:rFonts w:ascii="Verdana" w:hAnsi="Verdana" w:cs="Verdana"/>
          <w:sz w:val="20"/>
          <w:szCs w:val="20"/>
        </w:rPr>
      </w:pPr>
      <w:r>
        <w:rPr>
          <w:rFonts w:ascii="Verdana" w:hAnsi="Verdana" w:cs="Verdana"/>
          <w:sz w:val="20"/>
          <w:szCs w:val="20"/>
          <w:lang w:val="es-CR"/>
        </w:rPr>
        <w:t xml:space="preserve">Respecto a la relación entre los peritajes de la señora Subies y del señor Morlachetti, </w:t>
      </w:r>
      <w:r w:rsidRPr="00070E00">
        <w:rPr>
          <w:rFonts w:ascii="Verdana" w:hAnsi="Verdana" w:cs="Verdana"/>
          <w:sz w:val="20"/>
          <w:szCs w:val="20"/>
          <w:lang w:val="es-CR"/>
        </w:rPr>
        <w:t>el Presidente</w:t>
      </w:r>
      <w:r>
        <w:rPr>
          <w:rFonts w:ascii="Verdana" w:hAnsi="Verdana" w:cs="Verdana"/>
          <w:sz w:val="20"/>
          <w:szCs w:val="20"/>
          <w:lang w:val="es-CR"/>
        </w:rPr>
        <w:t xml:space="preserve"> resalta lo considerado sobre el </w:t>
      </w:r>
      <w:r w:rsidRPr="00070E00">
        <w:rPr>
          <w:rFonts w:ascii="Verdana" w:hAnsi="Verdana" w:cs="Verdana"/>
          <w:sz w:val="20"/>
          <w:szCs w:val="20"/>
          <w:lang w:val="es-CR"/>
        </w:rPr>
        <w:t xml:space="preserve">objeto del </w:t>
      </w:r>
      <w:r>
        <w:rPr>
          <w:rFonts w:ascii="Verdana" w:hAnsi="Verdana" w:cs="Verdana"/>
          <w:sz w:val="20"/>
          <w:szCs w:val="20"/>
          <w:lang w:val="es-CR"/>
        </w:rPr>
        <w:t xml:space="preserve">señor Morlachetti en el sentido de relacionarse con </w:t>
      </w:r>
      <w:r w:rsidRPr="00070E00">
        <w:rPr>
          <w:rFonts w:ascii="Verdana" w:hAnsi="Verdana" w:cs="Verdana"/>
          <w:sz w:val="20"/>
          <w:szCs w:val="20"/>
          <w:lang w:val="es-CR"/>
        </w:rPr>
        <w:t>el orden público interamericano (</w:t>
      </w:r>
      <w:r w:rsidRPr="00070E00">
        <w:rPr>
          <w:rFonts w:ascii="Verdana" w:hAnsi="Verdana" w:cs="Verdana"/>
          <w:i/>
          <w:iCs/>
          <w:sz w:val="20"/>
          <w:szCs w:val="20"/>
          <w:lang w:val="es-CR"/>
        </w:rPr>
        <w:t>supra</w:t>
      </w:r>
      <w:r w:rsidRPr="00070E00">
        <w:rPr>
          <w:rFonts w:ascii="Verdana" w:hAnsi="Verdana" w:cs="Verdana"/>
          <w:sz w:val="20"/>
          <w:szCs w:val="20"/>
          <w:lang w:val="es-CR"/>
        </w:rPr>
        <w:t xml:space="preserve"> Considerando </w:t>
      </w:r>
      <w:r w:rsidR="003B3ADD">
        <w:rPr>
          <w:rFonts w:ascii="Verdana" w:hAnsi="Verdana" w:cs="Verdana"/>
          <w:sz w:val="20"/>
          <w:szCs w:val="20"/>
          <w:lang w:val="es-CR"/>
        </w:rPr>
        <w:t>20</w:t>
      </w:r>
      <w:r w:rsidRPr="00070E00">
        <w:rPr>
          <w:rFonts w:ascii="Verdana" w:hAnsi="Verdana" w:cs="Verdana"/>
          <w:sz w:val="20"/>
          <w:szCs w:val="20"/>
          <w:lang w:val="es-CR"/>
        </w:rPr>
        <w:t>). De una comparación de los dos objetos</w:t>
      </w:r>
      <w:r>
        <w:rPr>
          <w:rFonts w:ascii="Verdana" w:hAnsi="Verdana" w:cs="Verdana"/>
          <w:sz w:val="20"/>
          <w:szCs w:val="20"/>
          <w:lang w:val="es-CR"/>
        </w:rPr>
        <w:t xml:space="preserve"> de los peritajes</w:t>
      </w:r>
      <w:r w:rsidRPr="00070E00">
        <w:rPr>
          <w:rFonts w:ascii="Verdana" w:hAnsi="Verdana" w:cs="Verdana"/>
          <w:sz w:val="20"/>
          <w:szCs w:val="20"/>
          <w:lang w:val="es-CR"/>
        </w:rPr>
        <w:t xml:space="preserve"> se concluye que los dos </w:t>
      </w:r>
      <w:r>
        <w:rPr>
          <w:rFonts w:ascii="Verdana" w:hAnsi="Verdana" w:cs="Verdana"/>
          <w:sz w:val="20"/>
          <w:szCs w:val="20"/>
          <w:lang w:val="es-CR"/>
        </w:rPr>
        <w:t xml:space="preserve">analizan aspectos relevantes sobre los derechos de las niñas y los niños en situación de discapacidad, </w:t>
      </w:r>
      <w:r w:rsidRPr="00070E00">
        <w:rPr>
          <w:rFonts w:ascii="Verdana" w:hAnsi="Verdana" w:cs="Verdana"/>
          <w:sz w:val="20"/>
          <w:szCs w:val="20"/>
          <w:lang w:val="es-CR"/>
        </w:rPr>
        <w:t>por lo que</w:t>
      </w:r>
      <w:r>
        <w:rPr>
          <w:rFonts w:ascii="Verdana" w:hAnsi="Verdana" w:cs="Verdana"/>
          <w:sz w:val="20"/>
          <w:szCs w:val="20"/>
          <w:lang w:val="es-CR"/>
        </w:rPr>
        <w:t>, conforme a los artículos 50.5 y 52.3,</w:t>
      </w:r>
      <w:r w:rsidRPr="00070E00">
        <w:rPr>
          <w:rFonts w:ascii="Verdana" w:hAnsi="Verdana" w:cs="Verdana"/>
          <w:sz w:val="20"/>
          <w:szCs w:val="20"/>
          <w:lang w:val="es-CR"/>
        </w:rPr>
        <w:t xml:space="preserve"> se acepta que la Comisión realice preguntas </w:t>
      </w:r>
      <w:r>
        <w:rPr>
          <w:rFonts w:ascii="Verdana" w:hAnsi="Verdana" w:cs="Verdana"/>
          <w:sz w:val="20"/>
          <w:szCs w:val="20"/>
          <w:lang w:val="es-CR"/>
        </w:rPr>
        <w:t xml:space="preserve">a la </w:t>
      </w:r>
      <w:r>
        <w:rPr>
          <w:rFonts w:ascii="Verdana" w:hAnsi="Verdana" w:cs="Verdana"/>
          <w:sz w:val="20"/>
          <w:szCs w:val="20"/>
          <w:lang w:val="es-CR"/>
        </w:rPr>
        <w:lastRenderedPageBreak/>
        <w:t>perito Subies</w:t>
      </w:r>
      <w:r w:rsidRPr="00070E00">
        <w:rPr>
          <w:rFonts w:ascii="Verdana" w:hAnsi="Verdana" w:cs="Verdana"/>
          <w:sz w:val="20"/>
          <w:szCs w:val="20"/>
          <w:lang w:val="es-CR"/>
        </w:rPr>
        <w:t>,</w:t>
      </w:r>
      <w:r>
        <w:rPr>
          <w:rFonts w:ascii="Verdana" w:hAnsi="Verdana" w:cs="Verdana"/>
          <w:sz w:val="20"/>
          <w:szCs w:val="20"/>
          <w:lang w:val="es-CR"/>
        </w:rPr>
        <w:t xml:space="preserve"> cuyo dictamen será recibido en audiencia pública,</w:t>
      </w:r>
      <w:r w:rsidRPr="00070E00">
        <w:rPr>
          <w:rFonts w:ascii="Verdana" w:hAnsi="Verdana" w:cs="Verdana"/>
          <w:sz w:val="20"/>
          <w:szCs w:val="20"/>
          <w:lang w:val="es-CR"/>
        </w:rPr>
        <w:t xml:space="preserve"> ya que </w:t>
      </w:r>
      <w:r>
        <w:rPr>
          <w:rFonts w:ascii="Verdana" w:hAnsi="Verdana" w:cs="Verdana"/>
          <w:sz w:val="20"/>
          <w:szCs w:val="20"/>
          <w:lang w:val="es-CR"/>
        </w:rPr>
        <w:t xml:space="preserve">dichas preguntas </w:t>
      </w:r>
      <w:r w:rsidRPr="00070E00">
        <w:rPr>
          <w:rFonts w:ascii="Verdana" w:hAnsi="Verdana" w:cs="Verdana"/>
          <w:sz w:val="20"/>
          <w:szCs w:val="20"/>
          <w:lang w:val="es-CR"/>
        </w:rPr>
        <w:t>podría</w:t>
      </w:r>
      <w:r>
        <w:rPr>
          <w:rFonts w:ascii="Verdana" w:hAnsi="Verdana" w:cs="Verdana"/>
          <w:sz w:val="20"/>
          <w:szCs w:val="20"/>
          <w:lang w:val="es-CR"/>
        </w:rPr>
        <w:t>n</w:t>
      </w:r>
      <w:r w:rsidRPr="00070E00">
        <w:rPr>
          <w:rFonts w:ascii="Verdana" w:hAnsi="Verdana" w:cs="Verdana"/>
          <w:sz w:val="20"/>
          <w:szCs w:val="20"/>
          <w:lang w:val="es-CR"/>
        </w:rPr>
        <w:t xml:space="preserve"> tener incidencia en el orden público interamericano. </w:t>
      </w:r>
    </w:p>
    <w:p w:rsidR="00853121" w:rsidRDefault="00853121" w:rsidP="00A72C5D">
      <w:pPr>
        <w:pStyle w:val="ListParagraph"/>
      </w:pPr>
    </w:p>
    <w:p w:rsidR="00853121" w:rsidRPr="00DE6653" w:rsidRDefault="00853121" w:rsidP="00777F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sz w:val="20"/>
          <w:szCs w:val="20"/>
          <w:lang w:val="es-ES_tradnl"/>
        </w:rPr>
      </w:pPr>
      <w:r>
        <w:rPr>
          <w:rFonts w:ascii="Verdana" w:hAnsi="Verdana" w:cs="Verdana"/>
          <w:b/>
          <w:bCs/>
          <w:sz w:val="20"/>
          <w:szCs w:val="20"/>
          <w:lang w:val="es-ES_tradnl"/>
        </w:rPr>
        <w:tab/>
        <w:t>e</w:t>
      </w:r>
      <w:r w:rsidRPr="00DE6653">
        <w:rPr>
          <w:rFonts w:ascii="Verdana" w:hAnsi="Verdana" w:cs="Verdana"/>
          <w:b/>
          <w:bCs/>
          <w:sz w:val="20"/>
          <w:szCs w:val="20"/>
          <w:lang w:val="es-ES_tradnl"/>
        </w:rPr>
        <w:t>)</w:t>
      </w:r>
      <w:r w:rsidRPr="00DE6653">
        <w:rPr>
          <w:rFonts w:ascii="Verdana" w:hAnsi="Verdana" w:cs="Verdana"/>
          <w:b/>
          <w:bCs/>
          <w:sz w:val="20"/>
          <w:szCs w:val="20"/>
          <w:lang w:val="es-ES_tradnl"/>
        </w:rPr>
        <w:tab/>
        <w:t xml:space="preserve"> </w:t>
      </w:r>
      <w:r>
        <w:rPr>
          <w:rFonts w:ascii="Verdana" w:hAnsi="Verdana" w:cs="Verdana"/>
          <w:b/>
          <w:bCs/>
          <w:sz w:val="20"/>
          <w:szCs w:val="20"/>
          <w:lang w:val="es-ES_tradnl"/>
        </w:rPr>
        <w:t>A</w:t>
      </w:r>
      <w:r w:rsidRPr="00DE6653">
        <w:rPr>
          <w:rFonts w:ascii="Verdana" w:hAnsi="Verdana" w:cs="Verdana"/>
          <w:b/>
          <w:bCs/>
          <w:sz w:val="20"/>
          <w:szCs w:val="20"/>
          <w:lang w:val="es-ES_tradnl"/>
        </w:rPr>
        <w:t xml:space="preserve">plicación del </w:t>
      </w:r>
      <w:r>
        <w:rPr>
          <w:rFonts w:ascii="Verdana" w:hAnsi="Verdana" w:cs="Verdana"/>
          <w:b/>
          <w:bCs/>
          <w:sz w:val="20"/>
          <w:szCs w:val="20"/>
          <w:lang w:val="es-ES_tradnl"/>
        </w:rPr>
        <w:t>F</w:t>
      </w:r>
      <w:r w:rsidRPr="00DE6653">
        <w:rPr>
          <w:rFonts w:ascii="Verdana" w:hAnsi="Verdana" w:cs="Verdana"/>
          <w:b/>
          <w:bCs/>
          <w:sz w:val="20"/>
          <w:szCs w:val="20"/>
          <w:lang w:val="es-ES_tradnl"/>
        </w:rPr>
        <w:t xml:space="preserve">ondo de </w:t>
      </w:r>
      <w:r>
        <w:rPr>
          <w:rFonts w:ascii="Verdana" w:hAnsi="Verdana" w:cs="Verdana"/>
          <w:b/>
          <w:bCs/>
          <w:sz w:val="20"/>
          <w:szCs w:val="20"/>
          <w:lang w:val="es-ES_tradnl"/>
        </w:rPr>
        <w:t>A</w:t>
      </w:r>
      <w:r w:rsidRPr="00DE6653">
        <w:rPr>
          <w:rFonts w:ascii="Verdana" w:hAnsi="Verdana" w:cs="Verdana"/>
          <w:b/>
          <w:bCs/>
          <w:sz w:val="20"/>
          <w:szCs w:val="20"/>
          <w:lang w:val="es-ES_tradnl"/>
        </w:rPr>
        <w:t>sistencia</w:t>
      </w:r>
    </w:p>
    <w:p w:rsidR="00853121" w:rsidRPr="000D5395" w:rsidRDefault="00853121" w:rsidP="00A72C5D">
      <w:pPr>
        <w:pStyle w:val="ListParagraph"/>
        <w:rPr>
          <w:rFonts w:ascii="Verdana" w:hAnsi="Verdana" w:cs="Verdana"/>
          <w:sz w:val="20"/>
          <w:szCs w:val="20"/>
        </w:rPr>
      </w:pPr>
    </w:p>
    <w:p w:rsidR="00853121" w:rsidRPr="000D5395" w:rsidRDefault="00853121" w:rsidP="000D5395">
      <w:pPr>
        <w:numPr>
          <w:ilvl w:val="0"/>
          <w:numId w:val="3"/>
        </w:numPr>
        <w:ind w:right="10"/>
        <w:jc w:val="both"/>
        <w:rPr>
          <w:rFonts w:ascii="Verdana" w:hAnsi="Verdana" w:cs="Verdana"/>
          <w:sz w:val="20"/>
          <w:szCs w:val="20"/>
        </w:rPr>
      </w:pPr>
      <w:r w:rsidRPr="000D5395">
        <w:rPr>
          <w:rFonts w:ascii="Verdana" w:hAnsi="Verdana" w:cs="Verdana"/>
          <w:sz w:val="20"/>
          <w:szCs w:val="20"/>
        </w:rPr>
        <w:t>En la Resolución adoptada por el Presidente el 23 de noviembre de 2011 (</w:t>
      </w:r>
      <w:r w:rsidRPr="000D5395">
        <w:rPr>
          <w:rFonts w:ascii="Verdana" w:hAnsi="Verdana" w:cs="Verdana"/>
          <w:i/>
          <w:iCs/>
          <w:sz w:val="20"/>
          <w:szCs w:val="20"/>
        </w:rPr>
        <w:t>supra</w:t>
      </w:r>
      <w:r w:rsidR="00BD200C">
        <w:rPr>
          <w:rFonts w:ascii="Verdana" w:hAnsi="Verdana" w:cs="Verdana"/>
          <w:sz w:val="20"/>
          <w:szCs w:val="20"/>
        </w:rPr>
        <w:t xml:space="preserve"> Visto 6</w:t>
      </w:r>
      <w:r w:rsidRPr="000D5395">
        <w:rPr>
          <w:rFonts w:ascii="Verdana" w:hAnsi="Verdana" w:cs="Verdana"/>
          <w:sz w:val="20"/>
          <w:szCs w:val="20"/>
        </w:rPr>
        <w:t xml:space="preserve">), se resolvió declarar procedente la solicitud interpuesta por los defensores interamericanos para acogerse al Fondo de Asistencia Legal de Víctimas de la Corte Interamericana, de modo que se otorgaría </w:t>
      </w:r>
      <w:r w:rsidRPr="000D5395">
        <w:rPr>
          <w:rFonts w:ascii="Verdana" w:hAnsi="Verdana" w:cs="Verdana"/>
          <w:sz w:val="20"/>
          <w:szCs w:val="20"/>
          <w:lang w:val="es-CR"/>
        </w:rPr>
        <w:t xml:space="preserve">la asistencia económica necesaria para solventar los gastos </w:t>
      </w:r>
      <w:r w:rsidRPr="000D5395">
        <w:rPr>
          <w:rFonts w:ascii="Verdana" w:hAnsi="Verdana" w:cs="Verdana"/>
          <w:sz w:val="20"/>
          <w:szCs w:val="20"/>
          <w:lang w:val="es-CO"/>
        </w:rPr>
        <w:t>razonables y necesarios que han sido acreditados y que sean acreditados por los defensores con el fin de llevar a cabo la tramitación del caso ante este Tribunal</w:t>
      </w:r>
      <w:r w:rsidRPr="000D5395">
        <w:rPr>
          <w:rFonts w:ascii="Verdana" w:hAnsi="Verdana" w:cs="Verdana"/>
          <w:sz w:val="20"/>
          <w:szCs w:val="20"/>
          <w:lang w:val="es-CR"/>
        </w:rPr>
        <w:t xml:space="preserve">, y que el monto, destino y objeto específicos de dicha asistencia serán precisados al momento de decidir sobre la evacuación de prueba pericial y testimonial y, en su caso, la apertura del procedimiento oral. </w:t>
      </w:r>
    </w:p>
    <w:p w:rsidR="00853121" w:rsidRPr="000D5395" w:rsidRDefault="00853121" w:rsidP="000D5395">
      <w:pPr>
        <w:ind w:right="10"/>
        <w:jc w:val="both"/>
        <w:rPr>
          <w:rFonts w:ascii="Verdana" w:hAnsi="Verdana" w:cs="Verdana"/>
          <w:sz w:val="20"/>
          <w:szCs w:val="20"/>
        </w:rPr>
      </w:pPr>
    </w:p>
    <w:p w:rsidR="00853121" w:rsidRDefault="00853121" w:rsidP="000D5395">
      <w:pPr>
        <w:numPr>
          <w:ilvl w:val="0"/>
          <w:numId w:val="3"/>
        </w:numPr>
        <w:ind w:right="10"/>
        <w:jc w:val="both"/>
        <w:rPr>
          <w:rFonts w:ascii="Verdana" w:hAnsi="Verdana" w:cs="Verdana"/>
          <w:sz w:val="20"/>
          <w:szCs w:val="20"/>
        </w:rPr>
      </w:pPr>
      <w:r w:rsidRPr="000D5395">
        <w:rPr>
          <w:rFonts w:ascii="Verdana" w:hAnsi="Verdana" w:cs="Verdana"/>
          <w:sz w:val="20"/>
          <w:szCs w:val="20"/>
        </w:rPr>
        <w:t xml:space="preserve">Habiéndose determinado que las declaraciones ofrecidas por los defensores interamericanos serán recibidas por el Tribunal y el medio por el cual se realizarán, corresponde en este momento precisar el destino y objeto específicos de dicha asistencia. </w:t>
      </w:r>
    </w:p>
    <w:p w:rsidR="00853121" w:rsidRDefault="00853121" w:rsidP="000D5395">
      <w:pPr>
        <w:pStyle w:val="ListParagraph"/>
        <w:rPr>
          <w:rFonts w:ascii="Verdana" w:hAnsi="Verdana" w:cs="Verdana"/>
          <w:sz w:val="20"/>
          <w:szCs w:val="20"/>
          <w:lang w:val="es-CR"/>
        </w:rPr>
      </w:pPr>
    </w:p>
    <w:p w:rsidR="00853121" w:rsidRPr="00813342" w:rsidRDefault="00853121" w:rsidP="000D5395">
      <w:pPr>
        <w:numPr>
          <w:ilvl w:val="0"/>
          <w:numId w:val="3"/>
        </w:numPr>
        <w:ind w:right="10"/>
        <w:jc w:val="both"/>
        <w:rPr>
          <w:rFonts w:ascii="Verdana" w:hAnsi="Verdana" w:cs="Verdana"/>
          <w:sz w:val="20"/>
          <w:szCs w:val="20"/>
        </w:rPr>
      </w:pPr>
      <w:r w:rsidRPr="00813342">
        <w:rPr>
          <w:rFonts w:ascii="Verdana" w:hAnsi="Verdana" w:cs="Verdana"/>
          <w:sz w:val="20"/>
          <w:szCs w:val="20"/>
          <w:lang w:val="es-CR"/>
        </w:rPr>
        <w:t xml:space="preserve">Al respecto, el Presidente dispone que la asistencia económica estará asignada para cubrir los gastos de viaje y estadía necesarios para que los dos defensores interamericanos (María Fernanda López Puleio y Andrés Mariño), Claudio Furlan, Gustavo Daniel Moreno y María Laura Subies comparezcan en la sede del Tribunal y puedan rendir sus declaraciones en la audiencia pública que se celebrará en el presente caso. </w:t>
      </w:r>
      <w:r w:rsidRPr="00813342">
        <w:rPr>
          <w:rFonts w:ascii="Verdana" w:hAnsi="Verdana" w:cs="Verdana"/>
          <w:sz w:val="20"/>
          <w:szCs w:val="20"/>
        </w:rPr>
        <w:t xml:space="preserve">Asimismo, se brindará asistencia económica para cubrir los </w:t>
      </w:r>
      <w:r w:rsidRPr="00813342">
        <w:rPr>
          <w:rFonts w:ascii="Verdana" w:hAnsi="Verdana" w:cs="Verdana"/>
          <w:sz w:val="20"/>
          <w:szCs w:val="20"/>
          <w:lang w:val="es-CR"/>
        </w:rPr>
        <w:t xml:space="preserve">gastos de formalización y envío de las declaraciones presentadas mediante fedatario público </w:t>
      </w:r>
      <w:r w:rsidRPr="00813342">
        <w:rPr>
          <w:rFonts w:ascii="Verdana" w:hAnsi="Verdana" w:cs="Verdana"/>
          <w:sz w:val="20"/>
          <w:szCs w:val="20"/>
        </w:rPr>
        <w:t xml:space="preserve">de acuerdo a lo dispuesto en el punto resolutivo primero de esta Resolución. Finalmente, se brindará asistencia económica para cubrir </w:t>
      </w:r>
      <w:r w:rsidRPr="00813342">
        <w:rPr>
          <w:rFonts w:ascii="Verdana" w:hAnsi="Verdana"/>
          <w:color w:val="000000"/>
          <w:sz w:val="20"/>
          <w:szCs w:val="20"/>
          <w:lang w:val="es-CR"/>
        </w:rPr>
        <w:t>el pago del monto total de los gastos que hasta el momento han sido acreditados por los defensores interamericanos</w:t>
      </w:r>
      <w:r w:rsidRPr="00813342">
        <w:rPr>
          <w:rFonts w:ascii="Verdana" w:hAnsi="Verdana" w:cs="Verdana"/>
          <w:sz w:val="20"/>
          <w:szCs w:val="20"/>
        </w:rPr>
        <w:t xml:space="preserve">. También se sufragarán los demás gastos razonables y necesarios en que puedan incurrir los defensores interamericanos en el futuro, para lo cual deberán allegar al Tribunal la documentación pertinente. </w:t>
      </w:r>
    </w:p>
    <w:p w:rsidR="00853121" w:rsidRPr="00910FF4" w:rsidRDefault="00853121" w:rsidP="000D5395">
      <w:pPr>
        <w:ind w:right="10"/>
        <w:jc w:val="both"/>
        <w:rPr>
          <w:rFonts w:ascii="Verdana" w:hAnsi="Verdana" w:cs="Verdana"/>
          <w:sz w:val="20"/>
          <w:szCs w:val="20"/>
        </w:rPr>
      </w:pPr>
    </w:p>
    <w:p w:rsidR="00853121" w:rsidRPr="00910FF4" w:rsidRDefault="00853121" w:rsidP="000D5395">
      <w:pPr>
        <w:numPr>
          <w:ilvl w:val="0"/>
          <w:numId w:val="3"/>
        </w:numPr>
        <w:ind w:right="10"/>
        <w:jc w:val="both"/>
        <w:rPr>
          <w:rFonts w:ascii="Verdana" w:hAnsi="Verdana" w:cs="Verdana"/>
          <w:sz w:val="20"/>
          <w:szCs w:val="20"/>
        </w:rPr>
      </w:pPr>
      <w:r w:rsidRPr="00910FF4">
        <w:rPr>
          <w:rFonts w:ascii="Verdana" w:hAnsi="Verdana" w:cs="Verdana"/>
          <w:sz w:val="20"/>
          <w:szCs w:val="20"/>
        </w:rPr>
        <w:t xml:space="preserve">Los defensores interamericanos deberán remitir a la Corte una cotización del costo de la formalización de una declaración jurada en Argentina y de su envío, en el plazo establecido en la parte resolutiva de la presente Resolución. </w:t>
      </w:r>
      <w:r w:rsidRPr="00910FF4">
        <w:rPr>
          <w:rFonts w:ascii="Verdana" w:hAnsi="Verdana" w:cs="Verdana"/>
          <w:sz w:val="20"/>
          <w:szCs w:val="20"/>
          <w:lang w:val="es-CR"/>
        </w:rPr>
        <w:t xml:space="preserve">En cuanto a los </w:t>
      </w:r>
      <w:r w:rsidR="008740BD">
        <w:rPr>
          <w:rFonts w:ascii="Verdana" w:hAnsi="Verdana" w:cs="Verdana"/>
          <w:sz w:val="20"/>
          <w:szCs w:val="20"/>
          <w:lang w:val="es-CR"/>
        </w:rPr>
        <w:t xml:space="preserve">defensores interamericanos y los </w:t>
      </w:r>
      <w:r w:rsidRPr="00910FF4">
        <w:rPr>
          <w:rFonts w:ascii="Verdana" w:hAnsi="Verdana" w:cs="Verdana"/>
          <w:sz w:val="20"/>
          <w:szCs w:val="20"/>
          <w:lang w:val="es-CR"/>
        </w:rPr>
        <w:t xml:space="preserve">comparecientes en audiencia pública, el Tribunal realizará las gestiones pertinentes y necesarias para cubrir los costos de traslado, alojamiento y manutención de dichos </w:t>
      </w:r>
      <w:r w:rsidRPr="00910FF4">
        <w:rPr>
          <w:rFonts w:ascii="Verdana" w:hAnsi="Verdana" w:cs="Verdana"/>
          <w:sz w:val="20"/>
          <w:szCs w:val="20"/>
        </w:rPr>
        <w:t xml:space="preserve">comparecientes con recursos provenientes del Fondo de Asistencia de Víctimas. </w:t>
      </w:r>
    </w:p>
    <w:p w:rsidR="00853121" w:rsidRPr="00910FF4" w:rsidRDefault="00853121" w:rsidP="000D5395">
      <w:pPr>
        <w:pStyle w:val="ListParagraph"/>
        <w:rPr>
          <w:rFonts w:ascii="Verdana" w:hAnsi="Verdana" w:cs="Verdana"/>
          <w:sz w:val="20"/>
          <w:szCs w:val="20"/>
        </w:rPr>
      </w:pPr>
    </w:p>
    <w:p w:rsidR="00853121" w:rsidRPr="00910FF4" w:rsidRDefault="00853121" w:rsidP="000D5395">
      <w:pPr>
        <w:numPr>
          <w:ilvl w:val="0"/>
          <w:numId w:val="3"/>
        </w:numPr>
        <w:ind w:right="10"/>
        <w:jc w:val="both"/>
        <w:rPr>
          <w:rFonts w:ascii="Verdana" w:hAnsi="Verdana" w:cs="Verdana"/>
          <w:sz w:val="20"/>
          <w:szCs w:val="20"/>
        </w:rPr>
      </w:pPr>
      <w:r w:rsidRPr="00910FF4">
        <w:rPr>
          <w:rFonts w:ascii="Verdana" w:hAnsi="Verdana" w:cs="Verdana"/>
          <w:sz w:val="20"/>
          <w:szCs w:val="20"/>
        </w:rPr>
        <w:t xml:space="preserve">Según lo requerido por el artículo 4 del Reglamento de la Corte sobre el Funcionamiento del Fondo de Asistencia (en adelante el “Reglamento del Fondo de Asistencia”), se dispone que la Secretaría abra un expediente de gastos a los fines de llevar la contabilidad y en el cual se documentará cada una de las erogaciones que se realice en relación con el referido Fondo. </w:t>
      </w:r>
    </w:p>
    <w:p w:rsidR="00853121" w:rsidRPr="00910FF4" w:rsidRDefault="00853121" w:rsidP="000D5395">
      <w:pPr>
        <w:pStyle w:val="ListParagraph"/>
        <w:rPr>
          <w:rFonts w:ascii="Verdana" w:hAnsi="Verdana" w:cs="Verdana"/>
          <w:sz w:val="20"/>
          <w:szCs w:val="20"/>
        </w:rPr>
      </w:pPr>
    </w:p>
    <w:p w:rsidR="00853121" w:rsidRPr="00910FF4" w:rsidRDefault="00853121" w:rsidP="000D5395">
      <w:pPr>
        <w:numPr>
          <w:ilvl w:val="0"/>
          <w:numId w:val="3"/>
        </w:numPr>
        <w:ind w:right="10"/>
        <w:jc w:val="both"/>
        <w:rPr>
          <w:rFonts w:ascii="Verdana" w:hAnsi="Verdana" w:cs="Verdana"/>
          <w:sz w:val="20"/>
          <w:szCs w:val="20"/>
        </w:rPr>
      </w:pPr>
      <w:r w:rsidRPr="00910FF4">
        <w:rPr>
          <w:rFonts w:ascii="Verdana" w:hAnsi="Verdana" w:cs="Verdana"/>
          <w:sz w:val="20"/>
          <w:szCs w:val="20"/>
        </w:rPr>
        <w:t xml:space="preserve">Finalmente, el Presidente recuerda que, según el artículo 5 del Reglamento del Fondo, se informará oportunamente al Estado demandado las erogaciones realizadas en aplicación del Fondo de Asistencia Legal, para que presente sus observaciones, si así lo desea, dentro del plazo que se establezca al efecto. </w:t>
      </w:r>
    </w:p>
    <w:p w:rsidR="00853121" w:rsidRDefault="00853121" w:rsidP="00A72C5D">
      <w:pPr>
        <w:pStyle w:val="BodyText2"/>
        <w:ind w:right="10"/>
        <w:rPr>
          <w:rFonts w:ascii="Verdana" w:hAnsi="Verdana" w:cs="Verdana"/>
          <w:i/>
          <w:iCs/>
          <w:color w:val="000000"/>
          <w:sz w:val="20"/>
          <w:szCs w:val="20"/>
        </w:rPr>
      </w:pPr>
    </w:p>
    <w:p w:rsidR="00B559C5" w:rsidRDefault="00B559C5" w:rsidP="005C051B">
      <w:pPr>
        <w:pStyle w:val="BodyText2"/>
        <w:ind w:left="360" w:right="10"/>
        <w:rPr>
          <w:rFonts w:ascii="Verdana" w:hAnsi="Verdana" w:cs="Verdana"/>
          <w:b/>
          <w:bCs/>
          <w:i/>
          <w:iCs/>
          <w:sz w:val="20"/>
          <w:szCs w:val="20"/>
        </w:rPr>
      </w:pPr>
    </w:p>
    <w:p w:rsidR="00B559C5" w:rsidRDefault="00B559C5" w:rsidP="005C051B">
      <w:pPr>
        <w:pStyle w:val="BodyText2"/>
        <w:ind w:left="360" w:right="10"/>
        <w:rPr>
          <w:rFonts w:ascii="Verdana" w:hAnsi="Verdana" w:cs="Verdana"/>
          <w:b/>
          <w:bCs/>
          <w:i/>
          <w:iCs/>
          <w:sz w:val="20"/>
          <w:szCs w:val="20"/>
        </w:rPr>
      </w:pPr>
    </w:p>
    <w:p w:rsidR="00853121" w:rsidRDefault="005C051B" w:rsidP="005C051B">
      <w:pPr>
        <w:pStyle w:val="BodyText2"/>
        <w:ind w:left="360" w:right="10"/>
        <w:rPr>
          <w:rFonts w:ascii="Verdana" w:hAnsi="Verdana" w:cs="Verdana"/>
          <w:b/>
          <w:bCs/>
          <w:i/>
          <w:iCs/>
          <w:sz w:val="20"/>
          <w:szCs w:val="20"/>
        </w:rPr>
      </w:pPr>
      <w:r>
        <w:rPr>
          <w:rFonts w:ascii="Verdana" w:hAnsi="Verdana" w:cs="Verdana"/>
          <w:b/>
          <w:bCs/>
          <w:i/>
          <w:iCs/>
          <w:sz w:val="20"/>
          <w:szCs w:val="20"/>
        </w:rPr>
        <w:lastRenderedPageBreak/>
        <w:t xml:space="preserve">f)  </w:t>
      </w:r>
      <w:r>
        <w:rPr>
          <w:rFonts w:ascii="Verdana" w:hAnsi="Verdana" w:cs="Verdana"/>
          <w:b/>
          <w:bCs/>
          <w:i/>
          <w:iCs/>
          <w:sz w:val="20"/>
          <w:szCs w:val="20"/>
        </w:rPr>
        <w:tab/>
      </w:r>
      <w:r w:rsidR="00853121">
        <w:rPr>
          <w:rFonts w:ascii="Verdana" w:hAnsi="Verdana" w:cs="Verdana"/>
          <w:b/>
          <w:bCs/>
          <w:i/>
          <w:iCs/>
          <w:sz w:val="20"/>
          <w:szCs w:val="20"/>
        </w:rPr>
        <w:t>Alegatos y observaciones finales orales y escritos</w:t>
      </w:r>
    </w:p>
    <w:p w:rsidR="00853121" w:rsidRPr="00590D53" w:rsidRDefault="00853121" w:rsidP="006518E4">
      <w:pPr>
        <w:jc w:val="both"/>
        <w:rPr>
          <w:rFonts w:ascii="Verdana" w:hAnsi="Verdana" w:cs="Verdana"/>
          <w:i/>
          <w:iCs/>
          <w:color w:val="000000"/>
          <w:sz w:val="20"/>
          <w:szCs w:val="20"/>
          <w:lang w:val="es-ES_tradnl"/>
        </w:rPr>
      </w:pPr>
    </w:p>
    <w:p w:rsidR="00853121" w:rsidRPr="00590D53" w:rsidRDefault="00853121" w:rsidP="006518E4">
      <w:pPr>
        <w:numPr>
          <w:ilvl w:val="0"/>
          <w:numId w:val="3"/>
        </w:numPr>
        <w:jc w:val="both"/>
        <w:rPr>
          <w:rFonts w:ascii="Verdana" w:hAnsi="Verdana" w:cs="Verdana"/>
          <w:i/>
          <w:iCs/>
          <w:color w:val="000000"/>
          <w:sz w:val="20"/>
          <w:szCs w:val="20"/>
        </w:rPr>
      </w:pPr>
      <w:r w:rsidRPr="00590D53">
        <w:rPr>
          <w:rFonts w:ascii="Verdana" w:hAnsi="Verdana" w:cs="Verdana"/>
          <w:sz w:val="20"/>
          <w:szCs w:val="20"/>
        </w:rPr>
        <w:t xml:space="preserve"> Los representantes y el Estado podrán presentar ante el Tribunal sus alegatos finales orales sobre </w:t>
      </w:r>
      <w:r>
        <w:rPr>
          <w:rFonts w:ascii="Verdana" w:hAnsi="Verdana" w:cs="Verdana"/>
          <w:sz w:val="20"/>
          <w:szCs w:val="20"/>
        </w:rPr>
        <w:t>las excepciones preliminares</w:t>
      </w:r>
      <w:r w:rsidRPr="00590D53">
        <w:rPr>
          <w:rFonts w:ascii="Verdana" w:hAnsi="Verdana" w:cs="Verdana"/>
          <w:sz w:val="20"/>
          <w:szCs w:val="20"/>
        </w:rPr>
        <w:t xml:space="preserve"> y eventual</w:t>
      </w:r>
      <w:r>
        <w:rPr>
          <w:rFonts w:ascii="Verdana" w:hAnsi="Verdana" w:cs="Verdana"/>
          <w:sz w:val="20"/>
          <w:szCs w:val="20"/>
        </w:rPr>
        <w:t>es</w:t>
      </w:r>
      <w:r w:rsidRPr="00590D53">
        <w:rPr>
          <w:rFonts w:ascii="Verdana" w:hAnsi="Verdana" w:cs="Verdana"/>
          <w:sz w:val="20"/>
          <w:szCs w:val="20"/>
        </w:rPr>
        <w:t xml:space="preserve"> fondo, reparaciones y costas en este caso, respectivamente, al término de las declaraciones</w:t>
      </w:r>
      <w:r w:rsidRPr="00997B86">
        <w:rPr>
          <w:rFonts w:ascii="Verdana" w:hAnsi="Verdana" w:cs="Verdana"/>
          <w:sz w:val="20"/>
          <w:szCs w:val="20"/>
        </w:rPr>
        <w:t>.</w:t>
      </w:r>
      <w:r w:rsidRPr="00590D53">
        <w:rPr>
          <w:rFonts w:ascii="Verdana" w:hAnsi="Verdana" w:cs="Verdana"/>
          <w:sz w:val="20"/>
          <w:szCs w:val="20"/>
        </w:rPr>
        <w:t xml:space="preserve"> Como se establece en el Reglamento, concluidos los alegatos la Comisión Interamericana presentará sus observaciones finales orales.</w:t>
      </w:r>
    </w:p>
    <w:p w:rsidR="00853121" w:rsidRPr="00590D53" w:rsidRDefault="00853121" w:rsidP="006518E4">
      <w:pPr>
        <w:jc w:val="both"/>
        <w:rPr>
          <w:rFonts w:ascii="Verdana" w:hAnsi="Verdana" w:cs="Verdana"/>
          <w:i/>
          <w:iCs/>
          <w:color w:val="000000"/>
          <w:sz w:val="20"/>
          <w:szCs w:val="20"/>
        </w:rPr>
      </w:pPr>
    </w:p>
    <w:p w:rsidR="00853121" w:rsidRPr="00590D53" w:rsidRDefault="00853121" w:rsidP="006518E4">
      <w:pPr>
        <w:numPr>
          <w:ilvl w:val="0"/>
          <w:numId w:val="3"/>
        </w:numPr>
        <w:jc w:val="both"/>
        <w:rPr>
          <w:rFonts w:ascii="Verdana" w:hAnsi="Verdana" w:cs="Verdana"/>
          <w:i/>
          <w:iCs/>
          <w:color w:val="000000"/>
          <w:sz w:val="20"/>
          <w:szCs w:val="20"/>
        </w:rPr>
      </w:pPr>
      <w:r w:rsidRPr="00590D53">
        <w:rPr>
          <w:rFonts w:ascii="Verdana" w:hAnsi="Verdana" w:cs="Verdana"/>
          <w:sz w:val="20"/>
          <w:szCs w:val="20"/>
        </w:rPr>
        <w:t xml:space="preserve">De acuerdo con el artículo 56 del Reglamento, los representantes, el Estado y la Comisión podrán presentar sus alegatos finales escritos y observaciones finales escritas, respectivamente, en relación con </w:t>
      </w:r>
      <w:r>
        <w:rPr>
          <w:rFonts w:ascii="Verdana" w:hAnsi="Verdana" w:cs="Verdana"/>
          <w:sz w:val="20"/>
          <w:szCs w:val="20"/>
        </w:rPr>
        <w:t>las excepciones preliminares</w:t>
      </w:r>
      <w:r w:rsidRPr="00590D53">
        <w:rPr>
          <w:rFonts w:ascii="Verdana" w:hAnsi="Verdana" w:cs="Verdana"/>
          <w:sz w:val="20"/>
          <w:szCs w:val="20"/>
        </w:rPr>
        <w:t xml:space="preserve"> y eventual</w:t>
      </w:r>
      <w:r>
        <w:rPr>
          <w:rFonts w:ascii="Verdana" w:hAnsi="Verdana" w:cs="Verdana"/>
          <w:sz w:val="20"/>
          <w:szCs w:val="20"/>
        </w:rPr>
        <w:t>es</w:t>
      </w:r>
      <w:r w:rsidRPr="00590D53">
        <w:rPr>
          <w:rFonts w:ascii="Verdana" w:hAnsi="Verdana" w:cs="Verdana"/>
          <w:sz w:val="20"/>
          <w:szCs w:val="20"/>
        </w:rPr>
        <w:t xml:space="preserve"> fondo, reparaciones y costas, en el plazo fijado en el punto resolutivo </w:t>
      </w:r>
      <w:r w:rsidR="00B81069">
        <w:rPr>
          <w:rFonts w:ascii="Verdana" w:hAnsi="Verdana" w:cs="Verdana"/>
          <w:sz w:val="20"/>
          <w:szCs w:val="20"/>
        </w:rPr>
        <w:t>13</w:t>
      </w:r>
      <w:r>
        <w:rPr>
          <w:rFonts w:ascii="Verdana" w:hAnsi="Verdana" w:cs="Verdana"/>
          <w:sz w:val="20"/>
          <w:szCs w:val="20"/>
        </w:rPr>
        <w:t xml:space="preserve"> </w:t>
      </w:r>
      <w:r w:rsidRPr="00590D53">
        <w:rPr>
          <w:rFonts w:ascii="Verdana" w:hAnsi="Verdana" w:cs="Verdana"/>
          <w:sz w:val="20"/>
          <w:szCs w:val="20"/>
        </w:rPr>
        <w:t xml:space="preserve">de esta Resolución. </w:t>
      </w:r>
    </w:p>
    <w:p w:rsidR="00853121" w:rsidRDefault="00853121" w:rsidP="006518E4">
      <w:pPr>
        <w:rPr>
          <w:rFonts w:ascii="Verdana" w:hAnsi="Verdana" w:cs="Verdana"/>
          <w:sz w:val="20"/>
          <w:szCs w:val="20"/>
          <w:lang w:val="es-ES_tradnl"/>
        </w:rPr>
      </w:pPr>
    </w:p>
    <w:p w:rsidR="00853121" w:rsidRPr="00B840B1" w:rsidRDefault="00853121" w:rsidP="006518E4">
      <w:pPr>
        <w:rPr>
          <w:rFonts w:ascii="Verdana" w:hAnsi="Verdana" w:cs="Verdana"/>
          <w:sz w:val="20"/>
          <w:szCs w:val="20"/>
          <w:lang w:val="es-ES_tradnl"/>
        </w:rPr>
      </w:pPr>
    </w:p>
    <w:p w:rsidR="00853121" w:rsidRPr="00B840B1" w:rsidRDefault="00853121" w:rsidP="006518E4">
      <w:pPr>
        <w:ind w:right="366"/>
        <w:jc w:val="both"/>
        <w:rPr>
          <w:rFonts w:ascii="Verdana" w:hAnsi="Verdana" w:cs="Verdana"/>
          <w:b/>
          <w:bCs/>
          <w:sz w:val="20"/>
          <w:szCs w:val="20"/>
          <w:lang w:val="es-ES_tradnl"/>
        </w:rPr>
      </w:pPr>
      <w:r w:rsidRPr="00B840B1">
        <w:rPr>
          <w:rFonts w:ascii="Verdana" w:hAnsi="Verdana" w:cs="Verdana"/>
          <w:b/>
          <w:bCs/>
          <w:sz w:val="20"/>
          <w:szCs w:val="20"/>
          <w:lang w:val="es-ES_tradnl"/>
        </w:rPr>
        <w:t>POR TANTO:</w:t>
      </w:r>
    </w:p>
    <w:p w:rsidR="00853121" w:rsidRDefault="00853121" w:rsidP="006518E4">
      <w:pPr>
        <w:ind w:right="366"/>
        <w:jc w:val="both"/>
        <w:rPr>
          <w:rFonts w:ascii="Verdana" w:hAnsi="Verdana" w:cs="Verdana"/>
          <w:sz w:val="20"/>
          <w:szCs w:val="20"/>
        </w:rPr>
      </w:pPr>
    </w:p>
    <w:p w:rsidR="00853121" w:rsidRPr="00B840B1" w:rsidRDefault="00853121" w:rsidP="006518E4">
      <w:pPr>
        <w:ind w:right="366"/>
        <w:jc w:val="both"/>
        <w:rPr>
          <w:rFonts w:ascii="Verdana" w:hAnsi="Verdana" w:cs="Verdana"/>
          <w:sz w:val="20"/>
          <w:szCs w:val="20"/>
        </w:rPr>
      </w:pPr>
    </w:p>
    <w:p w:rsidR="00853121" w:rsidRPr="00B840B1" w:rsidRDefault="00853121" w:rsidP="006518E4">
      <w:pPr>
        <w:ind w:right="366"/>
        <w:jc w:val="both"/>
        <w:rPr>
          <w:rFonts w:ascii="Verdana" w:hAnsi="Verdana" w:cs="Verdana"/>
          <w:sz w:val="20"/>
          <w:szCs w:val="20"/>
          <w:lang w:val="es-ES_tradnl"/>
        </w:rPr>
      </w:pPr>
      <w:r w:rsidRPr="00B840B1">
        <w:rPr>
          <w:rFonts w:ascii="Verdana" w:hAnsi="Verdana" w:cs="Verdana"/>
          <w:b/>
          <w:bCs/>
          <w:sz w:val="20"/>
          <w:szCs w:val="20"/>
          <w:lang w:val="es-ES_tradnl"/>
        </w:rPr>
        <w:t>EL PRESIDENTE DE LA CORTE INTERAMERICANA DE DERECHOS HUMANOS,</w:t>
      </w:r>
    </w:p>
    <w:p w:rsidR="00853121" w:rsidRDefault="00853121" w:rsidP="006518E4">
      <w:pPr>
        <w:ind w:right="366"/>
        <w:jc w:val="both"/>
        <w:rPr>
          <w:rFonts w:ascii="Verdana" w:hAnsi="Verdana" w:cs="Verdana"/>
          <w:sz w:val="20"/>
          <w:szCs w:val="20"/>
          <w:lang w:val="es-ES_tradnl"/>
        </w:rPr>
      </w:pPr>
    </w:p>
    <w:p w:rsidR="00853121" w:rsidRPr="00B840B1" w:rsidRDefault="00853121" w:rsidP="006518E4">
      <w:pPr>
        <w:ind w:right="366"/>
        <w:jc w:val="both"/>
        <w:rPr>
          <w:rFonts w:ascii="Verdana" w:hAnsi="Verdana" w:cs="Verdana"/>
          <w:sz w:val="20"/>
          <w:szCs w:val="20"/>
          <w:lang w:val="es-ES_tradnl"/>
        </w:rPr>
      </w:pPr>
    </w:p>
    <w:p w:rsidR="00853121" w:rsidRPr="00B840B1" w:rsidRDefault="00853121" w:rsidP="006518E4">
      <w:pPr>
        <w:jc w:val="both"/>
        <w:rPr>
          <w:rFonts w:ascii="Verdana" w:hAnsi="Verdana" w:cs="Verdana"/>
          <w:sz w:val="20"/>
          <w:szCs w:val="20"/>
        </w:rPr>
      </w:pPr>
      <w:r w:rsidRPr="00B840B1">
        <w:rPr>
          <w:rFonts w:ascii="Verdana" w:hAnsi="Verdana" w:cs="Verdana"/>
          <w:sz w:val="20"/>
          <w:szCs w:val="20"/>
        </w:rPr>
        <w:t>de conformidad con los artículos 24.1 y</w:t>
      </w:r>
      <w:r>
        <w:rPr>
          <w:rFonts w:ascii="Verdana" w:hAnsi="Verdana" w:cs="Verdana"/>
          <w:sz w:val="20"/>
          <w:szCs w:val="20"/>
        </w:rPr>
        <w:t xml:space="preserve"> 25.2 del Estatuto de la Corte,</w:t>
      </w:r>
      <w:r w:rsidRPr="00B840B1">
        <w:rPr>
          <w:rFonts w:ascii="Verdana" w:hAnsi="Verdana" w:cs="Verdana"/>
          <w:sz w:val="20"/>
          <w:szCs w:val="20"/>
        </w:rPr>
        <w:t xml:space="preserve"> con </w:t>
      </w:r>
      <w:r>
        <w:rPr>
          <w:rFonts w:ascii="Verdana" w:hAnsi="Verdana" w:cs="Verdana"/>
          <w:sz w:val="20"/>
          <w:szCs w:val="20"/>
        </w:rPr>
        <w:t xml:space="preserve">el </w:t>
      </w:r>
      <w:r w:rsidRPr="00B840B1">
        <w:rPr>
          <w:rFonts w:ascii="Verdana" w:hAnsi="Verdana" w:cs="Verdana"/>
          <w:sz w:val="20"/>
          <w:szCs w:val="20"/>
        </w:rPr>
        <w:t xml:space="preserve">artículo 34 del Reglamento anteriormente vigente, y </w:t>
      </w:r>
      <w:r>
        <w:rPr>
          <w:rFonts w:ascii="Verdana" w:hAnsi="Verdana" w:cs="Verdana"/>
          <w:sz w:val="20"/>
          <w:szCs w:val="20"/>
        </w:rPr>
        <w:t xml:space="preserve">los artículos </w:t>
      </w:r>
      <w:r w:rsidRPr="00B840B1">
        <w:rPr>
          <w:rFonts w:ascii="Verdana" w:hAnsi="Verdana" w:cs="Verdana"/>
          <w:sz w:val="20"/>
          <w:szCs w:val="20"/>
        </w:rPr>
        <w:t xml:space="preserve">4, 15.1, 26.1, 31.2, 35.1, 40.2, 41.1, 45, 46, </w:t>
      </w:r>
      <w:r>
        <w:rPr>
          <w:rFonts w:ascii="Verdana" w:hAnsi="Verdana" w:cs="Verdana"/>
          <w:sz w:val="20"/>
          <w:szCs w:val="20"/>
        </w:rPr>
        <w:t>48, 50 a 56,</w:t>
      </w:r>
      <w:r w:rsidRPr="00B840B1">
        <w:rPr>
          <w:rFonts w:ascii="Verdana" w:hAnsi="Verdana" w:cs="Verdana"/>
          <w:sz w:val="20"/>
          <w:szCs w:val="20"/>
        </w:rPr>
        <w:t xml:space="preserve"> </w:t>
      </w:r>
      <w:r w:rsidR="0083460E">
        <w:rPr>
          <w:rFonts w:ascii="Verdana" w:hAnsi="Verdana" w:cs="Verdana"/>
          <w:sz w:val="20"/>
          <w:szCs w:val="20"/>
        </w:rPr>
        <w:t>58 y</w:t>
      </w:r>
      <w:r>
        <w:rPr>
          <w:rFonts w:ascii="Verdana" w:hAnsi="Verdana" w:cs="Verdana"/>
          <w:sz w:val="20"/>
          <w:szCs w:val="20"/>
        </w:rPr>
        <w:t xml:space="preserve"> </w:t>
      </w:r>
      <w:r w:rsidRPr="00B840B1">
        <w:rPr>
          <w:rFonts w:ascii="Verdana" w:hAnsi="Verdana" w:cs="Verdana"/>
          <w:sz w:val="20"/>
          <w:szCs w:val="20"/>
        </w:rPr>
        <w:t xml:space="preserve">60 del Reglamento del Tribunal, así como con el Reglamento del Fondo de Asistencia Legal de Víctimas, </w:t>
      </w:r>
    </w:p>
    <w:p w:rsidR="00853121" w:rsidRPr="00B840B1" w:rsidRDefault="00853121" w:rsidP="006518E4">
      <w:pPr>
        <w:ind w:right="366"/>
        <w:jc w:val="both"/>
        <w:rPr>
          <w:rFonts w:ascii="Verdana" w:hAnsi="Verdana" w:cs="Verdana"/>
          <w:sz w:val="20"/>
          <w:szCs w:val="20"/>
        </w:rPr>
      </w:pPr>
    </w:p>
    <w:p w:rsidR="00853121" w:rsidRPr="00B840B1" w:rsidRDefault="00853121" w:rsidP="006518E4">
      <w:pPr>
        <w:ind w:right="366"/>
        <w:jc w:val="both"/>
        <w:rPr>
          <w:rFonts w:ascii="Verdana" w:hAnsi="Verdana" w:cs="Verdana"/>
          <w:b/>
          <w:bCs/>
          <w:caps/>
          <w:sz w:val="20"/>
          <w:szCs w:val="20"/>
          <w:lang w:val="es-ES_tradnl"/>
        </w:rPr>
      </w:pPr>
      <w:r w:rsidRPr="00B840B1">
        <w:rPr>
          <w:rFonts w:ascii="Verdana" w:hAnsi="Verdana" w:cs="Verdana"/>
          <w:b/>
          <w:bCs/>
          <w:caps/>
          <w:sz w:val="20"/>
          <w:szCs w:val="20"/>
          <w:lang w:val="es-ES_tradnl"/>
        </w:rPr>
        <w:t>Resuelve:</w:t>
      </w:r>
    </w:p>
    <w:p w:rsidR="003924C9" w:rsidRDefault="003924C9" w:rsidP="003924C9">
      <w:pPr>
        <w:jc w:val="both"/>
        <w:rPr>
          <w:rFonts w:ascii="Verdana" w:hAnsi="Verdana" w:cs="Verdana"/>
          <w:sz w:val="20"/>
          <w:szCs w:val="20"/>
        </w:rPr>
      </w:pPr>
      <w:bookmarkStart w:id="15" w:name="_Ref283810693"/>
    </w:p>
    <w:p w:rsidR="00853121" w:rsidRPr="00191150" w:rsidRDefault="00853121" w:rsidP="006518E4">
      <w:pPr>
        <w:numPr>
          <w:ilvl w:val="0"/>
          <w:numId w:val="5"/>
        </w:numPr>
        <w:ind w:left="0" w:firstLine="0"/>
        <w:jc w:val="both"/>
        <w:rPr>
          <w:rFonts w:ascii="Verdana" w:hAnsi="Verdana" w:cs="Verdana"/>
          <w:sz w:val="20"/>
          <w:szCs w:val="20"/>
        </w:rPr>
      </w:pPr>
      <w:r w:rsidRPr="00191150">
        <w:rPr>
          <w:rFonts w:ascii="Verdana" w:hAnsi="Verdana" w:cs="Verdana"/>
          <w:sz w:val="20"/>
          <w:szCs w:val="20"/>
        </w:rPr>
        <w:t>Requerir, por las razones expuestas en la presente Resolución (</w:t>
      </w:r>
      <w:r w:rsidRPr="00191150">
        <w:rPr>
          <w:rFonts w:ascii="Verdana" w:hAnsi="Verdana" w:cs="Verdana"/>
          <w:i/>
          <w:iCs/>
          <w:sz w:val="20"/>
          <w:szCs w:val="20"/>
        </w:rPr>
        <w:t xml:space="preserve">supra </w:t>
      </w:r>
      <w:r w:rsidRPr="00191150">
        <w:rPr>
          <w:rFonts w:ascii="Verdana" w:hAnsi="Verdana" w:cs="Verdana"/>
          <w:sz w:val="20"/>
          <w:szCs w:val="20"/>
        </w:rPr>
        <w:t xml:space="preserve">Considerandos </w:t>
      </w:r>
      <w:r w:rsidR="0064380B">
        <w:rPr>
          <w:rFonts w:ascii="Verdana" w:hAnsi="Verdana" w:cs="Verdana"/>
          <w:sz w:val="20"/>
          <w:szCs w:val="20"/>
        </w:rPr>
        <w:fldChar w:fldCharType="begin"/>
      </w:r>
      <w:r>
        <w:rPr>
          <w:rFonts w:ascii="Verdana" w:hAnsi="Verdana" w:cs="Verdana"/>
          <w:sz w:val="20"/>
          <w:szCs w:val="20"/>
        </w:rPr>
        <w:instrText xml:space="preserve"> REF _Ref292893314 \r \h </w:instrText>
      </w:r>
      <w:r w:rsidR="0064380B">
        <w:rPr>
          <w:rFonts w:ascii="Verdana" w:hAnsi="Verdana" w:cs="Verdana"/>
          <w:sz w:val="20"/>
          <w:szCs w:val="20"/>
        </w:rPr>
      </w:r>
      <w:r w:rsidR="0064380B">
        <w:rPr>
          <w:rFonts w:ascii="Verdana" w:hAnsi="Verdana" w:cs="Verdana"/>
          <w:sz w:val="20"/>
          <w:szCs w:val="20"/>
        </w:rPr>
        <w:fldChar w:fldCharType="separate"/>
      </w:r>
      <w:r w:rsidR="00B8317A">
        <w:rPr>
          <w:rFonts w:ascii="Verdana" w:hAnsi="Verdana" w:cs="Verdana"/>
          <w:sz w:val="20"/>
          <w:szCs w:val="20"/>
        </w:rPr>
        <w:t>21</w:t>
      </w:r>
      <w:r w:rsidR="0064380B">
        <w:rPr>
          <w:rFonts w:ascii="Verdana" w:hAnsi="Verdana" w:cs="Verdana"/>
          <w:sz w:val="20"/>
          <w:szCs w:val="20"/>
        </w:rPr>
        <w:fldChar w:fldCharType="end"/>
      </w:r>
      <w:r w:rsidRPr="00191150">
        <w:rPr>
          <w:rFonts w:ascii="Verdana" w:hAnsi="Verdana" w:cs="Verdana"/>
          <w:sz w:val="20"/>
          <w:szCs w:val="20"/>
        </w:rPr>
        <w:t xml:space="preserve"> a</w:t>
      </w:r>
      <w:r>
        <w:rPr>
          <w:rFonts w:ascii="Verdana" w:hAnsi="Verdana" w:cs="Verdana"/>
          <w:sz w:val="20"/>
          <w:szCs w:val="20"/>
        </w:rPr>
        <w:t xml:space="preserve"> </w:t>
      </w:r>
      <w:r w:rsidR="0064380B">
        <w:rPr>
          <w:rFonts w:ascii="Verdana" w:hAnsi="Verdana" w:cs="Verdana"/>
          <w:sz w:val="20"/>
          <w:szCs w:val="20"/>
        </w:rPr>
        <w:fldChar w:fldCharType="begin"/>
      </w:r>
      <w:r>
        <w:rPr>
          <w:rFonts w:ascii="Verdana" w:hAnsi="Verdana" w:cs="Verdana"/>
          <w:sz w:val="20"/>
          <w:szCs w:val="20"/>
        </w:rPr>
        <w:instrText xml:space="preserve"> REF _Ref292893322 \r \h </w:instrText>
      </w:r>
      <w:r w:rsidR="0064380B">
        <w:rPr>
          <w:rFonts w:ascii="Verdana" w:hAnsi="Verdana" w:cs="Verdana"/>
          <w:sz w:val="20"/>
          <w:szCs w:val="20"/>
        </w:rPr>
      </w:r>
      <w:r w:rsidR="0064380B">
        <w:rPr>
          <w:rFonts w:ascii="Verdana" w:hAnsi="Verdana" w:cs="Verdana"/>
          <w:sz w:val="20"/>
          <w:szCs w:val="20"/>
        </w:rPr>
        <w:fldChar w:fldCharType="separate"/>
      </w:r>
      <w:r w:rsidR="00B8317A">
        <w:rPr>
          <w:rFonts w:ascii="Verdana" w:hAnsi="Verdana" w:cs="Verdana"/>
          <w:sz w:val="20"/>
          <w:szCs w:val="20"/>
        </w:rPr>
        <w:t>23</w:t>
      </w:r>
      <w:r w:rsidR="0064380B">
        <w:rPr>
          <w:rFonts w:ascii="Verdana" w:hAnsi="Verdana" w:cs="Verdana"/>
          <w:sz w:val="20"/>
          <w:szCs w:val="20"/>
        </w:rPr>
        <w:fldChar w:fldCharType="end"/>
      </w:r>
      <w:r w:rsidRPr="00191150">
        <w:rPr>
          <w:rFonts w:ascii="Verdana" w:hAnsi="Verdana" w:cs="Verdana"/>
          <w:sz w:val="20"/>
          <w:szCs w:val="20"/>
        </w:rPr>
        <w:t xml:space="preserve">), de conformidad con el principio de economía procesal y en ejercicio de la facultad que le otorga el artículo 50.1 del Reglamento de la Corte, que las siguientes personas presten sus </w:t>
      </w:r>
      <w:r>
        <w:rPr>
          <w:rFonts w:ascii="Verdana" w:hAnsi="Verdana" w:cs="Verdana"/>
          <w:sz w:val="20"/>
          <w:szCs w:val="20"/>
        </w:rPr>
        <w:t>declaracio</w:t>
      </w:r>
      <w:r w:rsidRPr="00191150">
        <w:rPr>
          <w:rFonts w:ascii="Verdana" w:hAnsi="Verdana" w:cs="Verdana"/>
          <w:sz w:val="20"/>
          <w:szCs w:val="20"/>
        </w:rPr>
        <w:t>n</w:t>
      </w:r>
      <w:r>
        <w:rPr>
          <w:rFonts w:ascii="Verdana" w:hAnsi="Verdana" w:cs="Verdana"/>
          <w:sz w:val="20"/>
          <w:szCs w:val="20"/>
        </w:rPr>
        <w:t>es</w:t>
      </w:r>
      <w:r w:rsidRPr="00191150">
        <w:rPr>
          <w:rFonts w:ascii="Verdana" w:hAnsi="Verdana" w:cs="Verdana"/>
          <w:sz w:val="20"/>
          <w:szCs w:val="20"/>
        </w:rPr>
        <w:t xml:space="preserve"> ante fedatario público (</w:t>
      </w:r>
      <w:r w:rsidRPr="00191150">
        <w:rPr>
          <w:rFonts w:ascii="Verdana" w:hAnsi="Verdana" w:cs="Verdana"/>
          <w:i/>
          <w:iCs/>
          <w:sz w:val="20"/>
          <w:szCs w:val="20"/>
        </w:rPr>
        <w:t>affidávit</w:t>
      </w:r>
      <w:r w:rsidRPr="00191150">
        <w:rPr>
          <w:rFonts w:ascii="Verdana" w:hAnsi="Verdana" w:cs="Verdana"/>
          <w:sz w:val="20"/>
          <w:szCs w:val="20"/>
        </w:rPr>
        <w:t>):</w:t>
      </w:r>
      <w:bookmarkEnd w:id="15"/>
    </w:p>
    <w:p w:rsidR="00853121" w:rsidRPr="00191150" w:rsidRDefault="00853121" w:rsidP="006518E4">
      <w:pPr>
        <w:jc w:val="both"/>
        <w:rPr>
          <w:rFonts w:ascii="Verdana" w:hAnsi="Verdana" w:cs="Verdana"/>
          <w:sz w:val="20"/>
          <w:szCs w:val="20"/>
        </w:rPr>
      </w:pPr>
    </w:p>
    <w:p w:rsidR="00853121" w:rsidRDefault="00853121" w:rsidP="006518E4">
      <w:pPr>
        <w:numPr>
          <w:ilvl w:val="1"/>
          <w:numId w:val="4"/>
        </w:numPr>
        <w:tabs>
          <w:tab w:val="clear" w:pos="1800"/>
          <w:tab w:val="left" w:pos="1440"/>
        </w:tabs>
        <w:ind w:left="720" w:firstLine="0"/>
        <w:jc w:val="both"/>
        <w:rPr>
          <w:rFonts w:ascii="Verdana" w:hAnsi="Verdana" w:cs="Verdana"/>
          <w:b/>
          <w:bCs/>
          <w:i/>
          <w:iCs/>
          <w:sz w:val="20"/>
          <w:szCs w:val="20"/>
        </w:rPr>
      </w:pPr>
      <w:r>
        <w:rPr>
          <w:rFonts w:ascii="Verdana" w:hAnsi="Verdana" w:cs="Verdana"/>
          <w:b/>
          <w:bCs/>
          <w:i/>
          <w:iCs/>
          <w:sz w:val="20"/>
          <w:szCs w:val="20"/>
        </w:rPr>
        <w:t>Presunta víctima</w:t>
      </w:r>
    </w:p>
    <w:p w:rsidR="00853121" w:rsidRDefault="00853121" w:rsidP="006518E4">
      <w:pPr>
        <w:pStyle w:val="Prrafodelista1"/>
        <w:jc w:val="both"/>
        <w:rPr>
          <w:rFonts w:ascii="Verdana" w:hAnsi="Verdana" w:cs="Verdana"/>
          <w:i/>
          <w:iCs/>
          <w:sz w:val="20"/>
          <w:szCs w:val="20"/>
          <w:u w:val="single"/>
        </w:rPr>
      </w:pPr>
    </w:p>
    <w:p w:rsidR="00853121" w:rsidRDefault="00853121" w:rsidP="006518E4">
      <w:pPr>
        <w:pStyle w:val="Prrafodelista1"/>
        <w:jc w:val="both"/>
        <w:rPr>
          <w:rFonts w:ascii="Verdana" w:hAnsi="Verdana" w:cs="Verdana"/>
          <w:i/>
          <w:iCs/>
          <w:sz w:val="20"/>
          <w:szCs w:val="20"/>
          <w:u w:val="single"/>
        </w:rPr>
      </w:pPr>
      <w:r>
        <w:rPr>
          <w:rFonts w:ascii="Verdana" w:hAnsi="Verdana" w:cs="Verdana"/>
          <w:i/>
          <w:iCs/>
          <w:sz w:val="20"/>
          <w:szCs w:val="20"/>
          <w:u w:val="single"/>
        </w:rPr>
        <w:t>Propuesta por los representantes</w:t>
      </w:r>
      <w:r w:rsidRPr="00191150">
        <w:rPr>
          <w:rFonts w:ascii="Verdana" w:hAnsi="Verdana" w:cs="Verdana"/>
          <w:i/>
          <w:iCs/>
          <w:sz w:val="20"/>
          <w:szCs w:val="20"/>
          <w:u w:val="single"/>
        </w:rPr>
        <w:t>:</w:t>
      </w:r>
    </w:p>
    <w:p w:rsidR="00853121" w:rsidRPr="00425263" w:rsidRDefault="00853121" w:rsidP="006518E4">
      <w:pPr>
        <w:pStyle w:val="Default"/>
        <w:jc w:val="both"/>
        <w:rPr>
          <w:sz w:val="20"/>
          <w:szCs w:val="20"/>
          <w:lang w:val="es-CR"/>
        </w:rPr>
      </w:pPr>
      <w:r w:rsidRPr="00425263">
        <w:rPr>
          <w:sz w:val="20"/>
          <w:szCs w:val="20"/>
          <w:lang w:val="es-CR"/>
        </w:rPr>
        <w:t xml:space="preserve"> </w:t>
      </w:r>
    </w:p>
    <w:p w:rsidR="00853121" w:rsidRPr="006A5CB2" w:rsidRDefault="00853121" w:rsidP="006518E4">
      <w:pPr>
        <w:pStyle w:val="Prrafodelista1"/>
        <w:numPr>
          <w:ilvl w:val="0"/>
          <w:numId w:val="7"/>
        </w:numPr>
        <w:ind w:left="720" w:hanging="360"/>
        <w:jc w:val="both"/>
        <w:rPr>
          <w:rFonts w:ascii="Verdana" w:hAnsi="Verdana" w:cs="Verdana"/>
          <w:sz w:val="20"/>
          <w:szCs w:val="20"/>
          <w:lang w:val="es-CR"/>
        </w:rPr>
      </w:pPr>
      <w:r>
        <w:rPr>
          <w:rFonts w:ascii="Verdana" w:hAnsi="Verdana" w:cs="Verdana"/>
          <w:sz w:val="20"/>
          <w:szCs w:val="20"/>
          <w:lang w:val="es-CR"/>
        </w:rPr>
        <w:t>Danilo Pedro Furlan</w:t>
      </w:r>
      <w:r w:rsidRPr="006A5CB2">
        <w:rPr>
          <w:rFonts w:ascii="Verdana" w:hAnsi="Verdana" w:cs="Verdana"/>
          <w:sz w:val="20"/>
          <w:szCs w:val="20"/>
          <w:lang w:val="es-CR"/>
        </w:rPr>
        <w:t xml:space="preserve">, </w:t>
      </w:r>
      <w:r w:rsidR="0083460E">
        <w:rPr>
          <w:rFonts w:ascii="Verdana" w:hAnsi="Verdana" w:cs="Verdana"/>
          <w:sz w:val="20"/>
          <w:szCs w:val="20"/>
          <w:lang w:val="es-CR"/>
        </w:rPr>
        <w:t>padre de Sebastiá</w:t>
      </w:r>
      <w:r>
        <w:rPr>
          <w:rFonts w:ascii="Verdana" w:hAnsi="Verdana" w:cs="Verdana"/>
          <w:sz w:val="20"/>
          <w:szCs w:val="20"/>
          <w:lang w:val="es-CR"/>
        </w:rPr>
        <w:t>n Claus Furlan</w:t>
      </w:r>
      <w:r w:rsidRPr="006A5CB2">
        <w:rPr>
          <w:rFonts w:ascii="Verdana" w:hAnsi="Verdana" w:cs="Verdana"/>
          <w:sz w:val="20"/>
          <w:szCs w:val="20"/>
          <w:lang w:val="es-CR"/>
        </w:rPr>
        <w:t>, quien declarará sobre</w:t>
      </w:r>
      <w:r w:rsidR="0083460E">
        <w:rPr>
          <w:rFonts w:ascii="Verdana" w:hAnsi="Verdana" w:cs="Verdana"/>
          <w:sz w:val="20"/>
          <w:szCs w:val="20"/>
          <w:lang w:val="es-CR"/>
        </w:rPr>
        <w:t xml:space="preserve"> todos los acontecimientos que siguieron al accidente de Sebastián, en particular</w:t>
      </w:r>
      <w:r>
        <w:rPr>
          <w:rFonts w:ascii="Verdana" w:hAnsi="Verdana" w:cs="Verdana"/>
          <w:sz w:val="20"/>
          <w:szCs w:val="20"/>
          <w:lang w:val="es-CR"/>
        </w:rPr>
        <w:t>:</w:t>
      </w:r>
      <w:r w:rsidRPr="006A5CB2">
        <w:rPr>
          <w:rFonts w:ascii="Verdana" w:hAnsi="Verdana" w:cs="Verdana"/>
          <w:sz w:val="20"/>
          <w:szCs w:val="20"/>
          <w:lang w:val="es-CR"/>
        </w:rPr>
        <w:t xml:space="preserve"> </w:t>
      </w:r>
      <w:r>
        <w:rPr>
          <w:rFonts w:ascii="Verdana" w:hAnsi="Verdana" w:cs="Verdana"/>
          <w:sz w:val="20"/>
          <w:szCs w:val="20"/>
          <w:lang w:val="es-CR"/>
        </w:rPr>
        <w:t>i) “el trámite del expediente de daños y perjuicios y demás circunstancias relativas al trato recibido por las autoridades estatales desde el día del accidente [de Sebasti</w:t>
      </w:r>
      <w:r w:rsidR="006A577D">
        <w:rPr>
          <w:rFonts w:ascii="Verdana" w:hAnsi="Verdana" w:cs="Verdana"/>
          <w:sz w:val="20"/>
          <w:szCs w:val="20"/>
          <w:lang w:val="es-CR"/>
        </w:rPr>
        <w:t>án Furlan] hasta la actualidad”;</w:t>
      </w:r>
      <w:r>
        <w:rPr>
          <w:rFonts w:ascii="Verdana" w:hAnsi="Verdana" w:cs="Verdana"/>
          <w:sz w:val="20"/>
          <w:szCs w:val="20"/>
          <w:lang w:val="es-CR"/>
        </w:rPr>
        <w:t xml:space="preserve"> ii) las alegadas “consecuencias que la demora en el procedimiento judicial y el diferimiento del pago de la indemnización ordenada produjeron en Sebastián, su familia y él mismo”, y iii) “acerca de las condiciones de vida que han tenido, y tienen en la actualidad, todos los miembros de la familia Furlan”.</w:t>
      </w:r>
      <w:r w:rsidRPr="006A5CB2">
        <w:rPr>
          <w:rFonts w:ascii="Verdana" w:hAnsi="Verdana" w:cs="Verdana"/>
          <w:sz w:val="20"/>
          <w:szCs w:val="20"/>
          <w:lang w:val="es-CR"/>
        </w:rPr>
        <w:t xml:space="preserve"> </w:t>
      </w:r>
    </w:p>
    <w:p w:rsidR="00853121" w:rsidRPr="006A5CB2" w:rsidRDefault="00853121" w:rsidP="006518E4">
      <w:pPr>
        <w:pStyle w:val="Prrafodelista1"/>
        <w:jc w:val="both"/>
        <w:rPr>
          <w:rFonts w:ascii="Verdana" w:hAnsi="Verdana" w:cs="Verdana"/>
          <w:sz w:val="20"/>
          <w:szCs w:val="20"/>
          <w:lang w:val="es-CR"/>
        </w:rPr>
      </w:pPr>
    </w:p>
    <w:p w:rsidR="00853121" w:rsidRDefault="00853121" w:rsidP="006518E4">
      <w:pPr>
        <w:numPr>
          <w:ilvl w:val="1"/>
          <w:numId w:val="4"/>
        </w:numPr>
        <w:tabs>
          <w:tab w:val="clear" w:pos="1800"/>
          <w:tab w:val="left" w:pos="1440"/>
        </w:tabs>
        <w:ind w:left="720" w:firstLine="0"/>
        <w:jc w:val="both"/>
        <w:rPr>
          <w:rFonts w:ascii="Verdana" w:hAnsi="Verdana" w:cs="Verdana"/>
          <w:b/>
          <w:bCs/>
          <w:i/>
          <w:iCs/>
          <w:sz w:val="20"/>
          <w:szCs w:val="20"/>
        </w:rPr>
      </w:pPr>
      <w:r>
        <w:rPr>
          <w:rFonts w:ascii="Verdana" w:hAnsi="Verdana" w:cs="Verdana"/>
          <w:b/>
          <w:bCs/>
          <w:i/>
          <w:iCs/>
          <w:sz w:val="20"/>
          <w:szCs w:val="20"/>
        </w:rPr>
        <w:t xml:space="preserve">Testigos </w:t>
      </w:r>
    </w:p>
    <w:p w:rsidR="00853121" w:rsidRDefault="00853121" w:rsidP="006518E4">
      <w:pPr>
        <w:tabs>
          <w:tab w:val="left" w:pos="1440"/>
        </w:tabs>
        <w:ind w:left="720"/>
        <w:jc w:val="both"/>
        <w:rPr>
          <w:rFonts w:ascii="Verdana" w:hAnsi="Verdana" w:cs="Verdana"/>
          <w:b/>
          <w:bCs/>
          <w:i/>
          <w:iCs/>
          <w:sz w:val="20"/>
          <w:szCs w:val="20"/>
        </w:rPr>
      </w:pPr>
    </w:p>
    <w:p w:rsidR="00853121" w:rsidRDefault="00853121" w:rsidP="006518E4">
      <w:pPr>
        <w:pStyle w:val="Prrafodelista1"/>
        <w:jc w:val="both"/>
        <w:rPr>
          <w:rFonts w:ascii="Verdana" w:hAnsi="Verdana" w:cs="Verdana"/>
          <w:i/>
          <w:iCs/>
          <w:sz w:val="20"/>
          <w:szCs w:val="20"/>
          <w:u w:val="single"/>
        </w:rPr>
      </w:pPr>
      <w:r>
        <w:rPr>
          <w:rFonts w:ascii="Verdana" w:hAnsi="Verdana" w:cs="Verdana"/>
          <w:i/>
          <w:iCs/>
          <w:sz w:val="20"/>
          <w:szCs w:val="20"/>
          <w:u w:val="single"/>
        </w:rPr>
        <w:t>Propuestos por los representantes</w:t>
      </w:r>
      <w:r w:rsidRPr="00191150">
        <w:rPr>
          <w:rFonts w:ascii="Verdana" w:hAnsi="Verdana" w:cs="Verdana"/>
          <w:i/>
          <w:iCs/>
          <w:sz w:val="20"/>
          <w:szCs w:val="20"/>
          <w:u w:val="single"/>
        </w:rPr>
        <w:t>:</w:t>
      </w:r>
    </w:p>
    <w:p w:rsidR="00853121" w:rsidRDefault="00853121" w:rsidP="006518E4">
      <w:pPr>
        <w:tabs>
          <w:tab w:val="left" w:pos="1440"/>
        </w:tabs>
        <w:jc w:val="both"/>
        <w:rPr>
          <w:rFonts w:ascii="Verdana" w:hAnsi="Verdana" w:cs="Verdana"/>
          <w:b/>
          <w:bCs/>
          <w:i/>
          <w:iCs/>
          <w:sz w:val="20"/>
          <w:szCs w:val="20"/>
        </w:rPr>
      </w:pPr>
    </w:p>
    <w:p w:rsidR="00853121" w:rsidRDefault="00853121" w:rsidP="0075421E">
      <w:pPr>
        <w:pStyle w:val="Prrafodelista1"/>
        <w:numPr>
          <w:ilvl w:val="0"/>
          <w:numId w:val="23"/>
        </w:numPr>
        <w:jc w:val="both"/>
        <w:rPr>
          <w:rFonts w:ascii="Verdana" w:hAnsi="Verdana" w:cs="Verdana"/>
          <w:sz w:val="20"/>
          <w:szCs w:val="20"/>
          <w:lang w:val="es-CR"/>
        </w:rPr>
      </w:pPr>
      <w:r>
        <w:rPr>
          <w:rFonts w:ascii="Verdana" w:hAnsi="Verdana" w:cs="Verdana"/>
          <w:sz w:val="20"/>
          <w:szCs w:val="20"/>
          <w:lang w:val="es-CR"/>
        </w:rPr>
        <w:t>María Teresa Grossi</w:t>
      </w:r>
      <w:r w:rsidRPr="00710353">
        <w:rPr>
          <w:rFonts w:ascii="Verdana" w:hAnsi="Verdana" w:cs="Verdana"/>
          <w:sz w:val="20"/>
          <w:szCs w:val="20"/>
          <w:lang w:val="es-CR"/>
        </w:rPr>
        <w:t xml:space="preserve">, </w:t>
      </w:r>
      <w:r>
        <w:rPr>
          <w:rFonts w:ascii="Verdana" w:hAnsi="Verdana" w:cs="Verdana"/>
          <w:sz w:val="20"/>
          <w:szCs w:val="20"/>
          <w:lang w:val="es-CR"/>
        </w:rPr>
        <w:t>regente de la Escuela Secundaria Técnica en la cual Sebastián Claus Furlan cursaba sus estudios secundarios al momento de sufrir su accidente, quien d</w:t>
      </w:r>
      <w:r w:rsidRPr="00710353">
        <w:rPr>
          <w:rFonts w:ascii="Verdana" w:hAnsi="Verdana" w:cs="Verdana"/>
          <w:sz w:val="20"/>
          <w:szCs w:val="20"/>
          <w:lang w:val="es-CR"/>
        </w:rPr>
        <w:t xml:space="preserve">eclarará sobre </w:t>
      </w:r>
      <w:r>
        <w:rPr>
          <w:rFonts w:ascii="Verdana" w:hAnsi="Verdana" w:cs="Verdana"/>
          <w:sz w:val="20"/>
          <w:szCs w:val="20"/>
          <w:lang w:val="es-CR"/>
        </w:rPr>
        <w:t xml:space="preserve">el alegado “impacto que el accidente tuvo en la persona y </w:t>
      </w:r>
      <w:r>
        <w:rPr>
          <w:rFonts w:ascii="Verdana" w:hAnsi="Verdana" w:cs="Verdana"/>
          <w:sz w:val="20"/>
          <w:szCs w:val="20"/>
          <w:lang w:val="es-CR"/>
        </w:rPr>
        <w:lastRenderedPageBreak/>
        <w:t>rendimiento escolar de Sebastián, en su comportamiento y su vida social en la escuela”, y</w:t>
      </w:r>
      <w:r w:rsidRPr="00710353">
        <w:rPr>
          <w:rFonts w:ascii="Verdana" w:hAnsi="Verdana" w:cs="Verdana"/>
          <w:sz w:val="20"/>
          <w:szCs w:val="20"/>
          <w:lang w:val="es-CR"/>
        </w:rPr>
        <w:t xml:space="preserve"> </w:t>
      </w:r>
    </w:p>
    <w:p w:rsidR="00853121" w:rsidRDefault="00853121" w:rsidP="0075421E">
      <w:pPr>
        <w:pStyle w:val="Prrafodelista1"/>
        <w:jc w:val="both"/>
        <w:rPr>
          <w:rFonts w:ascii="Verdana" w:hAnsi="Verdana" w:cs="Verdana"/>
          <w:sz w:val="20"/>
          <w:szCs w:val="20"/>
          <w:lang w:val="es-CR"/>
        </w:rPr>
      </w:pPr>
    </w:p>
    <w:p w:rsidR="00853121" w:rsidRPr="0075421E" w:rsidRDefault="00853121" w:rsidP="0075421E">
      <w:pPr>
        <w:pStyle w:val="Prrafodelista1"/>
        <w:numPr>
          <w:ilvl w:val="0"/>
          <w:numId w:val="23"/>
        </w:numPr>
        <w:jc w:val="both"/>
        <w:rPr>
          <w:rFonts w:ascii="Verdana" w:hAnsi="Verdana" w:cs="Verdana"/>
          <w:sz w:val="20"/>
          <w:szCs w:val="20"/>
          <w:lang w:val="es-CR"/>
        </w:rPr>
      </w:pPr>
      <w:r w:rsidRPr="0075421E">
        <w:rPr>
          <w:rFonts w:ascii="Verdana" w:hAnsi="Verdana" w:cs="Verdana"/>
          <w:sz w:val="20"/>
          <w:szCs w:val="20"/>
          <w:lang w:val="es-CR"/>
        </w:rPr>
        <w:t xml:space="preserve">Violeta Florinda Jano, vecina de la familia Furlan al momento del accidente y durante los años posteriores, quien declarará sobre el alegado “impacto que produjo el accidente y la prolongada búsqueda de asistencia en Sebastián Furlan y su familia”, en particular, “los cambios en la vida de relación de Sebastián y su familia, sus condiciones de vida antes y después del accidente, y las </w:t>
      </w:r>
      <w:r w:rsidR="009709BA">
        <w:rPr>
          <w:rFonts w:ascii="Verdana" w:hAnsi="Verdana" w:cs="Verdana"/>
          <w:sz w:val="20"/>
          <w:szCs w:val="20"/>
          <w:lang w:val="es-CR"/>
        </w:rPr>
        <w:t>[</w:t>
      </w:r>
      <w:r>
        <w:rPr>
          <w:rFonts w:ascii="Verdana" w:hAnsi="Verdana" w:cs="Verdana"/>
          <w:sz w:val="20"/>
          <w:szCs w:val="20"/>
          <w:lang w:val="es-CR"/>
        </w:rPr>
        <w:t>presuntas</w:t>
      </w:r>
      <w:r w:rsidR="009709BA">
        <w:rPr>
          <w:rFonts w:ascii="Verdana" w:hAnsi="Verdana" w:cs="Verdana"/>
          <w:sz w:val="20"/>
          <w:szCs w:val="20"/>
          <w:lang w:val="es-CR"/>
        </w:rPr>
        <w:t>]</w:t>
      </w:r>
      <w:r>
        <w:rPr>
          <w:rFonts w:ascii="Verdana" w:hAnsi="Verdana" w:cs="Verdana"/>
          <w:sz w:val="20"/>
          <w:szCs w:val="20"/>
          <w:lang w:val="es-CR"/>
        </w:rPr>
        <w:t xml:space="preserve"> </w:t>
      </w:r>
      <w:r w:rsidRPr="0075421E">
        <w:rPr>
          <w:rFonts w:ascii="Verdana" w:hAnsi="Verdana" w:cs="Verdana"/>
          <w:sz w:val="20"/>
          <w:szCs w:val="20"/>
          <w:lang w:val="es-CR"/>
        </w:rPr>
        <w:t>consecuencias que produjo en los miembros de la familia el hecho y la falta de respuestas estatales a sus distintas demandas”.</w:t>
      </w:r>
    </w:p>
    <w:p w:rsidR="00853121" w:rsidRPr="00D11DB1" w:rsidRDefault="00853121" w:rsidP="006518E4">
      <w:pPr>
        <w:pStyle w:val="ListParagraph1"/>
        <w:ind w:left="0"/>
        <w:rPr>
          <w:rFonts w:ascii="Verdana" w:hAnsi="Verdana" w:cs="Verdana"/>
          <w:sz w:val="20"/>
          <w:szCs w:val="20"/>
          <w:lang w:val="es-ES_tradnl" w:eastAsia="en-US"/>
        </w:rPr>
      </w:pPr>
    </w:p>
    <w:p w:rsidR="00853121" w:rsidRDefault="00853121" w:rsidP="006518E4">
      <w:pPr>
        <w:numPr>
          <w:ilvl w:val="1"/>
          <w:numId w:val="4"/>
        </w:numPr>
        <w:tabs>
          <w:tab w:val="clear" w:pos="1800"/>
          <w:tab w:val="left" w:pos="1440"/>
        </w:tabs>
        <w:ind w:left="720" w:firstLine="0"/>
        <w:jc w:val="both"/>
        <w:rPr>
          <w:rFonts w:ascii="Verdana" w:hAnsi="Verdana" w:cs="Verdana"/>
          <w:b/>
          <w:bCs/>
          <w:i/>
          <w:iCs/>
          <w:sz w:val="20"/>
          <w:szCs w:val="20"/>
        </w:rPr>
      </w:pPr>
      <w:r>
        <w:rPr>
          <w:rFonts w:ascii="Verdana" w:hAnsi="Verdana" w:cs="Verdana"/>
          <w:b/>
          <w:bCs/>
          <w:i/>
          <w:iCs/>
          <w:sz w:val="20"/>
          <w:szCs w:val="20"/>
        </w:rPr>
        <w:t>Perito</w:t>
      </w:r>
      <w:r w:rsidR="00093531">
        <w:rPr>
          <w:rFonts w:ascii="Verdana" w:hAnsi="Verdana" w:cs="Verdana"/>
          <w:b/>
          <w:bCs/>
          <w:i/>
          <w:iCs/>
          <w:sz w:val="20"/>
          <w:szCs w:val="20"/>
        </w:rPr>
        <w:t>s</w:t>
      </w:r>
    </w:p>
    <w:p w:rsidR="00853121" w:rsidRDefault="00853121" w:rsidP="006518E4">
      <w:pPr>
        <w:pStyle w:val="Header"/>
        <w:jc w:val="both"/>
        <w:rPr>
          <w:rFonts w:ascii="Verdana" w:hAnsi="Verdana" w:cs="Verdana"/>
          <w:i/>
          <w:iCs/>
          <w:sz w:val="20"/>
          <w:szCs w:val="20"/>
          <w:u w:val="single"/>
        </w:rPr>
      </w:pPr>
    </w:p>
    <w:p w:rsidR="00853121" w:rsidRPr="00323CE7" w:rsidRDefault="00853121" w:rsidP="006518E4">
      <w:pPr>
        <w:pStyle w:val="Header"/>
        <w:ind w:left="720"/>
        <w:jc w:val="both"/>
        <w:rPr>
          <w:rFonts w:ascii="Verdana" w:hAnsi="Verdana" w:cs="Verdana"/>
          <w:i/>
          <w:iCs/>
          <w:sz w:val="20"/>
          <w:szCs w:val="20"/>
          <w:u w:val="single"/>
        </w:rPr>
      </w:pPr>
      <w:r>
        <w:rPr>
          <w:rFonts w:ascii="Verdana" w:hAnsi="Verdana" w:cs="Verdana"/>
          <w:i/>
          <w:iCs/>
          <w:sz w:val="20"/>
          <w:szCs w:val="20"/>
          <w:u w:val="single"/>
        </w:rPr>
        <w:t>Propuesta por lo</w:t>
      </w:r>
      <w:r w:rsidRPr="00191150">
        <w:rPr>
          <w:rFonts w:ascii="Verdana" w:hAnsi="Verdana" w:cs="Verdana"/>
          <w:i/>
          <w:iCs/>
          <w:sz w:val="20"/>
          <w:szCs w:val="20"/>
          <w:u w:val="single"/>
        </w:rPr>
        <w:t>s representantes:</w:t>
      </w:r>
    </w:p>
    <w:p w:rsidR="00853121" w:rsidRPr="00425263" w:rsidRDefault="00853121" w:rsidP="006518E4">
      <w:pPr>
        <w:ind w:left="720" w:hanging="360"/>
        <w:jc w:val="both"/>
        <w:rPr>
          <w:rFonts w:ascii="Verdana" w:hAnsi="Verdana" w:cs="Verdana"/>
          <w:sz w:val="20"/>
          <w:szCs w:val="20"/>
          <w:lang w:val="es-CR"/>
        </w:rPr>
      </w:pPr>
    </w:p>
    <w:p w:rsidR="00853121" w:rsidRPr="00052336" w:rsidRDefault="00853121" w:rsidP="006518E4">
      <w:pPr>
        <w:pStyle w:val="Prrafodelista1"/>
        <w:numPr>
          <w:ilvl w:val="0"/>
          <w:numId w:val="16"/>
        </w:numPr>
        <w:tabs>
          <w:tab w:val="left" w:pos="720"/>
        </w:tabs>
        <w:ind w:left="720" w:hanging="360"/>
        <w:jc w:val="both"/>
        <w:rPr>
          <w:rFonts w:ascii="Verdana" w:hAnsi="Verdana" w:cs="Verdana"/>
          <w:color w:val="00B050"/>
          <w:sz w:val="18"/>
          <w:szCs w:val="18"/>
          <w:lang w:val="es-CR"/>
        </w:rPr>
      </w:pPr>
      <w:r>
        <w:rPr>
          <w:rFonts w:ascii="Verdana" w:hAnsi="Verdana" w:cs="Verdana"/>
          <w:sz w:val="20"/>
          <w:szCs w:val="20"/>
          <w:lang w:val="es-CR"/>
        </w:rPr>
        <w:t>Estela del Carmen Rodríguez, médica con especialidad en neurología infantil</w:t>
      </w:r>
      <w:r w:rsidRPr="00113335">
        <w:rPr>
          <w:rFonts w:ascii="Verdana" w:hAnsi="Verdana" w:cs="Verdana"/>
          <w:sz w:val="20"/>
          <w:szCs w:val="20"/>
          <w:lang w:val="es-CR"/>
        </w:rPr>
        <w:t>, quien realizará un peritaje</w:t>
      </w:r>
      <w:r>
        <w:rPr>
          <w:rFonts w:ascii="Verdana" w:hAnsi="Verdana" w:cs="Verdana"/>
          <w:sz w:val="20"/>
          <w:szCs w:val="20"/>
          <w:lang w:val="es-CR"/>
        </w:rPr>
        <w:t>, “en virtud de la mecánica del accidente, de las historias clínicas agregadas, peritajes oficiales e informes expertos, y demás constancias adjuntadas al caso” sobre: i) las alegadas “consecuencias de un hecho como el sufrido como Sebastián Furlan, su nexo con los tratamientos recibidos, la incidencia del paso del tiempo y la relación con alternativas de rehabilitación de pacientes en casos como el presente”; ii) “los objetivos perseguidos con esos tratamientos, costos y condiciones para su práctica en esos años, en el contexto argentino”; iii) “prestaciones del sistema público de salud y de la atención privada en los años de tramitación del proceso por daños y perjuicios”; iv) las alegadas consecuencias de cumplimentación de los tratamientos ordenados por los peritajes oficiales en la causa tramitada en el juzgado en lo civil y comercial federal de la ciudad de Buenos Aires”</w:t>
      </w:r>
      <w:r w:rsidRPr="00113335">
        <w:rPr>
          <w:rFonts w:ascii="Verdana" w:hAnsi="Verdana" w:cs="Verdana"/>
          <w:sz w:val="20"/>
          <w:szCs w:val="20"/>
          <w:lang w:val="es-CR"/>
        </w:rPr>
        <w:t>;</w:t>
      </w:r>
      <w:r>
        <w:rPr>
          <w:rFonts w:ascii="Verdana" w:hAnsi="Verdana" w:cs="Verdana"/>
          <w:sz w:val="20"/>
          <w:szCs w:val="20"/>
          <w:lang w:val="es-CR"/>
        </w:rPr>
        <w:t xml:space="preserve"> y v) las normas, protocolos y resoluciones hospitalarias sobre derecho a la información y demás asistencia que corresponde brindar en casos de niños y personas con discapacidades, la tabulación de porcentajes de incapacidad y exigencias desde el punto de vista médico para la concesión del certificado de discapacidad”. </w:t>
      </w:r>
    </w:p>
    <w:p w:rsidR="00853121" w:rsidRDefault="00853121" w:rsidP="006518E4">
      <w:pPr>
        <w:pStyle w:val="Prrafodelista1"/>
        <w:tabs>
          <w:tab w:val="left" w:pos="720"/>
        </w:tabs>
        <w:ind w:hanging="360"/>
        <w:jc w:val="both"/>
        <w:rPr>
          <w:rFonts w:ascii="Verdana" w:hAnsi="Verdana" w:cs="Verdana"/>
          <w:sz w:val="20"/>
          <w:szCs w:val="20"/>
          <w:lang w:val="es-CR"/>
        </w:rPr>
      </w:pPr>
    </w:p>
    <w:p w:rsidR="00716B20" w:rsidRPr="00323CE7" w:rsidRDefault="00716B20" w:rsidP="00716B20">
      <w:pPr>
        <w:pStyle w:val="Header"/>
        <w:ind w:left="720"/>
        <w:jc w:val="both"/>
        <w:rPr>
          <w:rFonts w:ascii="Verdana" w:hAnsi="Verdana" w:cs="Verdana"/>
          <w:i/>
          <w:iCs/>
          <w:sz w:val="20"/>
          <w:szCs w:val="20"/>
          <w:u w:val="single"/>
        </w:rPr>
      </w:pPr>
      <w:r>
        <w:rPr>
          <w:rFonts w:ascii="Verdana" w:hAnsi="Verdana" w:cs="Verdana"/>
          <w:i/>
          <w:iCs/>
          <w:sz w:val="20"/>
          <w:szCs w:val="20"/>
          <w:u w:val="single"/>
        </w:rPr>
        <w:t>Dispuesto de oficio por el Presidente</w:t>
      </w:r>
      <w:r w:rsidRPr="00191150">
        <w:rPr>
          <w:rFonts w:ascii="Verdana" w:hAnsi="Verdana" w:cs="Verdana"/>
          <w:i/>
          <w:iCs/>
          <w:sz w:val="20"/>
          <w:szCs w:val="20"/>
          <w:u w:val="single"/>
        </w:rPr>
        <w:t>:</w:t>
      </w:r>
    </w:p>
    <w:p w:rsidR="00716B20" w:rsidRDefault="00716B20" w:rsidP="006518E4">
      <w:pPr>
        <w:pStyle w:val="Prrafodelista1"/>
        <w:tabs>
          <w:tab w:val="left" w:pos="720"/>
        </w:tabs>
        <w:ind w:hanging="360"/>
        <w:jc w:val="both"/>
        <w:rPr>
          <w:rFonts w:ascii="Verdana" w:hAnsi="Verdana" w:cs="Verdana"/>
          <w:sz w:val="20"/>
          <w:szCs w:val="20"/>
          <w:lang w:val="es-CR"/>
        </w:rPr>
      </w:pPr>
    </w:p>
    <w:p w:rsidR="00093531" w:rsidRDefault="00093531" w:rsidP="006518E4">
      <w:pPr>
        <w:pStyle w:val="Prrafodelista1"/>
        <w:tabs>
          <w:tab w:val="left" w:pos="720"/>
        </w:tabs>
        <w:ind w:hanging="360"/>
        <w:jc w:val="both"/>
        <w:rPr>
          <w:rFonts w:ascii="Verdana" w:hAnsi="Verdana" w:cs="Verdana"/>
          <w:sz w:val="20"/>
          <w:szCs w:val="20"/>
          <w:lang w:val="es-CR"/>
        </w:rPr>
      </w:pPr>
      <w:r>
        <w:rPr>
          <w:rFonts w:ascii="Verdana" w:hAnsi="Verdana" w:cs="Verdana"/>
          <w:sz w:val="20"/>
          <w:szCs w:val="20"/>
          <w:lang w:val="es-CR"/>
        </w:rPr>
        <w:t xml:space="preserve">2) </w:t>
      </w:r>
      <w:r w:rsidRPr="00B0166B">
        <w:rPr>
          <w:rFonts w:ascii="Verdana" w:hAnsi="Verdana" w:cs="Verdana"/>
          <w:sz w:val="20"/>
          <w:szCs w:val="20"/>
          <w:lang w:val="es-CR"/>
        </w:rPr>
        <w:t>Hernán Gullco, quien declarará sobr</w:t>
      </w:r>
      <w:r w:rsidRPr="00093531">
        <w:rPr>
          <w:rFonts w:ascii="Verdana" w:hAnsi="Verdana" w:cs="Verdana"/>
          <w:sz w:val="20"/>
          <w:szCs w:val="20"/>
          <w:lang w:val="es-CR"/>
        </w:rPr>
        <w:t>e</w:t>
      </w:r>
      <w:r w:rsidR="006E71C2">
        <w:rPr>
          <w:rFonts w:ascii="Verdana" w:hAnsi="Verdana" w:cs="Verdana"/>
          <w:sz w:val="20"/>
          <w:szCs w:val="20"/>
          <w:lang w:val="es-CR"/>
        </w:rPr>
        <w:t>: i)</w:t>
      </w:r>
      <w:r w:rsidRPr="00093531">
        <w:rPr>
          <w:rFonts w:ascii="Verdana" w:hAnsi="Verdana" w:cs="Verdana"/>
          <w:sz w:val="20"/>
          <w:szCs w:val="20"/>
          <w:lang w:val="es-CR"/>
        </w:rPr>
        <w:t xml:space="preserve"> </w:t>
      </w:r>
      <w:r w:rsidRPr="00093531">
        <w:rPr>
          <w:rFonts w:ascii="Verdana" w:hAnsi="Verdana" w:cs="Verdana"/>
          <w:sz w:val="20"/>
          <w:szCs w:val="20"/>
          <w:lang w:val="es-ES"/>
        </w:rPr>
        <w:t xml:space="preserve">“el </w:t>
      </w:r>
      <w:r w:rsidRPr="00093531">
        <w:rPr>
          <w:rFonts w:ascii="Verdana" w:hAnsi="Verdana" w:cs="Verdana"/>
          <w:bCs/>
          <w:sz w:val="20"/>
          <w:szCs w:val="20"/>
          <w:lang w:val="es-ES"/>
        </w:rPr>
        <w:t>marco legal argentino</w:t>
      </w:r>
      <w:r w:rsidRPr="00093531">
        <w:rPr>
          <w:rFonts w:ascii="Verdana" w:hAnsi="Verdana" w:cs="Verdana"/>
          <w:sz w:val="20"/>
          <w:szCs w:val="20"/>
          <w:lang w:val="es-ES"/>
        </w:rPr>
        <w:t xml:space="preserve"> que regula las acciones civiles contra el Estado, las etapas </w:t>
      </w:r>
      <w:r w:rsidRPr="00B0166B">
        <w:rPr>
          <w:rFonts w:ascii="Verdana" w:hAnsi="Verdana" w:cs="Verdana"/>
          <w:sz w:val="20"/>
          <w:szCs w:val="20"/>
          <w:lang w:val="es-ES"/>
        </w:rPr>
        <w:t xml:space="preserve">y plazos procesales, incluyendo la ejecución de una decisión favorable que ordena una reparación a cargo del Estado”; </w:t>
      </w:r>
      <w:r w:rsidR="006E71C2">
        <w:rPr>
          <w:rFonts w:ascii="Verdana" w:hAnsi="Verdana" w:cs="Verdana"/>
          <w:sz w:val="20"/>
          <w:szCs w:val="20"/>
          <w:lang w:val="es-ES"/>
        </w:rPr>
        <w:t xml:space="preserve">ii) </w:t>
      </w:r>
      <w:r w:rsidRPr="00B0166B">
        <w:rPr>
          <w:rFonts w:ascii="Verdana" w:hAnsi="Verdana" w:cs="Verdana"/>
          <w:sz w:val="20"/>
          <w:szCs w:val="20"/>
          <w:lang w:val="es-ES"/>
        </w:rPr>
        <w:t xml:space="preserve">“si en el marco de dichos procesos se prevé un tratamiento expedito o diferenciado cuando los intereses en juego requieren una respuesta con el fin de proteger derechos fundamentales”, y </w:t>
      </w:r>
      <w:r w:rsidR="006E71C2">
        <w:rPr>
          <w:rFonts w:ascii="Verdana" w:hAnsi="Verdana" w:cs="Verdana"/>
          <w:sz w:val="20"/>
          <w:szCs w:val="20"/>
          <w:lang w:val="es-ES"/>
        </w:rPr>
        <w:t xml:space="preserve">iii) </w:t>
      </w:r>
      <w:r w:rsidRPr="00B0166B">
        <w:rPr>
          <w:rFonts w:ascii="Verdana" w:hAnsi="Verdana" w:cs="Verdana"/>
          <w:sz w:val="20"/>
          <w:szCs w:val="20"/>
          <w:lang w:val="es-ES"/>
        </w:rPr>
        <w:t>“los principales problemas que generan la demora en las decisiones y en la materialización de reparaciones ordenadas a la luz de las obligaciones internacionales del Estado”.</w:t>
      </w:r>
    </w:p>
    <w:p w:rsidR="00716B20" w:rsidRDefault="00716B20" w:rsidP="006518E4">
      <w:pPr>
        <w:pStyle w:val="Prrafodelista1"/>
        <w:tabs>
          <w:tab w:val="left" w:pos="720"/>
        </w:tabs>
        <w:ind w:hanging="360"/>
        <w:jc w:val="both"/>
        <w:rPr>
          <w:rFonts w:ascii="Verdana" w:hAnsi="Verdana" w:cs="Verdana"/>
          <w:sz w:val="20"/>
          <w:szCs w:val="20"/>
          <w:lang w:val="es-CR"/>
        </w:rPr>
      </w:pPr>
    </w:p>
    <w:p w:rsidR="00853121" w:rsidRPr="003F1197" w:rsidRDefault="00853121" w:rsidP="006518E4">
      <w:pPr>
        <w:numPr>
          <w:ilvl w:val="0"/>
          <w:numId w:val="5"/>
        </w:numPr>
        <w:ind w:left="0" w:firstLine="0"/>
        <w:jc w:val="both"/>
        <w:rPr>
          <w:rFonts w:ascii="Verdana" w:hAnsi="Verdana" w:cs="Verdana"/>
          <w:sz w:val="20"/>
          <w:szCs w:val="20"/>
          <w:u w:val="single"/>
        </w:rPr>
      </w:pPr>
      <w:bookmarkStart w:id="16" w:name="_Ref283813433"/>
      <w:r w:rsidRPr="00191150">
        <w:rPr>
          <w:rFonts w:ascii="Verdana" w:hAnsi="Verdana" w:cs="Verdana"/>
          <w:sz w:val="20"/>
          <w:szCs w:val="20"/>
        </w:rPr>
        <w:t>Requerir a</w:t>
      </w:r>
      <w:r>
        <w:rPr>
          <w:rFonts w:ascii="Verdana" w:hAnsi="Verdana" w:cs="Verdana"/>
          <w:sz w:val="20"/>
          <w:szCs w:val="20"/>
        </w:rPr>
        <w:t>l Estado</w:t>
      </w:r>
      <w:r w:rsidRPr="00191150">
        <w:rPr>
          <w:rFonts w:ascii="Verdana" w:hAnsi="Verdana" w:cs="Verdana"/>
          <w:sz w:val="20"/>
          <w:szCs w:val="20"/>
        </w:rPr>
        <w:t xml:space="preserve"> que remita, de considerarlo pertinente, en lo que le corresponda</w:t>
      </w:r>
      <w:r>
        <w:rPr>
          <w:rFonts w:ascii="Verdana" w:hAnsi="Verdana" w:cs="Verdana"/>
          <w:sz w:val="20"/>
          <w:szCs w:val="20"/>
        </w:rPr>
        <w:t>,</w:t>
      </w:r>
      <w:r w:rsidRPr="00191150">
        <w:rPr>
          <w:rFonts w:ascii="Verdana" w:hAnsi="Verdana" w:cs="Verdana"/>
          <w:sz w:val="20"/>
          <w:szCs w:val="20"/>
        </w:rPr>
        <w:t xml:space="preserve"> y en el </w:t>
      </w:r>
      <w:r>
        <w:rPr>
          <w:rFonts w:ascii="Verdana" w:hAnsi="Verdana" w:cs="Verdana"/>
          <w:sz w:val="20"/>
          <w:szCs w:val="20"/>
        </w:rPr>
        <w:t>plazo</w:t>
      </w:r>
      <w:r w:rsidRPr="00191150">
        <w:rPr>
          <w:rFonts w:ascii="Verdana" w:hAnsi="Verdana" w:cs="Verdana"/>
          <w:sz w:val="20"/>
          <w:szCs w:val="20"/>
        </w:rPr>
        <w:t xml:space="preserve"> improrrogable </w:t>
      </w:r>
      <w:r>
        <w:rPr>
          <w:rFonts w:ascii="Verdana" w:hAnsi="Verdana" w:cs="Verdana"/>
          <w:sz w:val="20"/>
          <w:szCs w:val="20"/>
        </w:rPr>
        <w:t>que vence el 6 de febrero de 2012</w:t>
      </w:r>
      <w:r w:rsidRPr="00191150">
        <w:rPr>
          <w:rFonts w:ascii="Verdana" w:hAnsi="Verdana" w:cs="Verdana"/>
          <w:sz w:val="20"/>
          <w:szCs w:val="20"/>
        </w:rPr>
        <w:t xml:space="preserve">, las preguntas que estime pertinente formular a través de la Corte Interamericana a </w:t>
      </w:r>
      <w:bookmarkEnd w:id="16"/>
      <w:r w:rsidR="00A97B0E">
        <w:rPr>
          <w:rFonts w:ascii="Verdana" w:hAnsi="Verdana" w:cs="Verdana"/>
          <w:sz w:val="20"/>
          <w:szCs w:val="20"/>
        </w:rPr>
        <w:t>la presunta víctima, testigos y peritos mencionados en el punto resolutivo primero de la presente Resolución.</w:t>
      </w:r>
      <w:r>
        <w:rPr>
          <w:rFonts w:ascii="Verdana" w:hAnsi="Verdana" w:cs="Verdana"/>
          <w:sz w:val="20"/>
          <w:szCs w:val="20"/>
          <w:lang w:val="es-CR"/>
        </w:rPr>
        <w:t xml:space="preserve"> </w:t>
      </w:r>
      <w:r>
        <w:rPr>
          <w:rFonts w:ascii="Verdana" w:hAnsi="Verdana" w:cs="Verdana"/>
          <w:sz w:val="20"/>
          <w:szCs w:val="20"/>
        </w:rPr>
        <w:t>La</w:t>
      </w:r>
      <w:r w:rsidRPr="00191150">
        <w:rPr>
          <w:rFonts w:ascii="Verdana" w:hAnsi="Verdana" w:cs="Verdana"/>
          <w:sz w:val="20"/>
          <w:szCs w:val="20"/>
        </w:rPr>
        <w:t>s</w:t>
      </w:r>
      <w:r>
        <w:rPr>
          <w:rFonts w:ascii="Verdana" w:hAnsi="Verdana" w:cs="Verdana"/>
          <w:sz w:val="20"/>
          <w:szCs w:val="20"/>
        </w:rPr>
        <w:t xml:space="preserve"> declaraciones y peritaje</w:t>
      </w:r>
      <w:r w:rsidR="00A97B0E">
        <w:rPr>
          <w:rFonts w:ascii="Verdana" w:hAnsi="Verdana" w:cs="Verdana"/>
          <w:sz w:val="20"/>
          <w:szCs w:val="20"/>
        </w:rPr>
        <w:t>s</w:t>
      </w:r>
      <w:r w:rsidRPr="00191150">
        <w:rPr>
          <w:rFonts w:ascii="Verdana" w:hAnsi="Verdana" w:cs="Verdana"/>
          <w:sz w:val="20"/>
          <w:szCs w:val="20"/>
        </w:rPr>
        <w:t xml:space="preserve"> requeridos en el punto resolutivo </w:t>
      </w:r>
      <w:r>
        <w:rPr>
          <w:rFonts w:ascii="Verdana" w:hAnsi="Verdana" w:cs="Verdana"/>
          <w:sz w:val="20"/>
          <w:szCs w:val="20"/>
        </w:rPr>
        <w:t>primero</w:t>
      </w:r>
      <w:r w:rsidRPr="00191150">
        <w:rPr>
          <w:rFonts w:ascii="Verdana" w:hAnsi="Verdana" w:cs="Verdana"/>
          <w:sz w:val="20"/>
          <w:szCs w:val="20"/>
        </w:rPr>
        <w:t xml:space="preserve"> deberán ser presentados </w:t>
      </w:r>
      <w:r w:rsidR="005262E0">
        <w:rPr>
          <w:rFonts w:ascii="Verdana" w:hAnsi="Verdana" w:cs="Verdana"/>
          <w:sz w:val="20"/>
          <w:szCs w:val="20"/>
        </w:rPr>
        <w:t>a más tardar el 14</w:t>
      </w:r>
      <w:r w:rsidRPr="00C30A77">
        <w:rPr>
          <w:rFonts w:ascii="Verdana" w:hAnsi="Verdana" w:cs="Verdana"/>
          <w:sz w:val="20"/>
          <w:szCs w:val="20"/>
        </w:rPr>
        <w:t xml:space="preserve"> de </w:t>
      </w:r>
      <w:r>
        <w:rPr>
          <w:rFonts w:ascii="Verdana" w:hAnsi="Verdana" w:cs="Verdana"/>
          <w:sz w:val="20"/>
          <w:szCs w:val="20"/>
        </w:rPr>
        <w:t>febrero de 2012</w:t>
      </w:r>
      <w:r w:rsidRPr="00C30A77">
        <w:rPr>
          <w:rFonts w:ascii="Verdana" w:hAnsi="Verdana" w:cs="Verdana"/>
          <w:sz w:val="20"/>
          <w:szCs w:val="20"/>
        </w:rPr>
        <w:t>.</w:t>
      </w:r>
    </w:p>
    <w:p w:rsidR="00853121" w:rsidRPr="0077351A" w:rsidRDefault="00853121" w:rsidP="006518E4">
      <w:pPr>
        <w:jc w:val="both"/>
        <w:rPr>
          <w:rFonts w:ascii="Verdana" w:hAnsi="Verdana" w:cs="Verdana"/>
          <w:sz w:val="14"/>
          <w:szCs w:val="14"/>
          <w:u w:val="single"/>
        </w:rPr>
      </w:pPr>
    </w:p>
    <w:p w:rsidR="00853121" w:rsidRPr="00AF5EFC" w:rsidRDefault="00853121" w:rsidP="006518E4">
      <w:pPr>
        <w:numPr>
          <w:ilvl w:val="0"/>
          <w:numId w:val="5"/>
        </w:numPr>
        <w:ind w:left="0" w:firstLine="0"/>
        <w:jc w:val="both"/>
        <w:rPr>
          <w:rFonts w:ascii="Verdana" w:hAnsi="Verdana" w:cs="Verdana"/>
          <w:sz w:val="20"/>
          <w:szCs w:val="20"/>
          <w:u w:val="single"/>
        </w:rPr>
      </w:pPr>
      <w:bookmarkStart w:id="17" w:name="_Ref283813515"/>
      <w:r w:rsidRPr="00F72C75">
        <w:rPr>
          <w:rFonts w:ascii="Verdana" w:hAnsi="Verdana" w:cs="Verdana"/>
          <w:sz w:val="20"/>
          <w:szCs w:val="20"/>
        </w:rPr>
        <w:t>Requerir a los representantes y a la Secretaría del Tribunal que coordinen y realicen las diligencias necesarias para que, una vez recibidas las preguntas del Estado, los declarantes y perito</w:t>
      </w:r>
      <w:r w:rsidR="00A97B0E" w:rsidRPr="00F72C75">
        <w:rPr>
          <w:rFonts w:ascii="Verdana" w:hAnsi="Verdana" w:cs="Verdana"/>
          <w:sz w:val="20"/>
          <w:szCs w:val="20"/>
        </w:rPr>
        <w:t>s</w:t>
      </w:r>
      <w:r w:rsidRPr="00F72C75">
        <w:rPr>
          <w:rFonts w:ascii="Verdana" w:hAnsi="Verdana" w:cs="Verdana"/>
          <w:sz w:val="20"/>
          <w:szCs w:val="20"/>
        </w:rPr>
        <w:t xml:space="preserve"> propuestos incluyan las respuestas respectivas en sus declaraciones </w:t>
      </w:r>
      <w:r w:rsidRPr="00F72C75">
        <w:rPr>
          <w:rFonts w:ascii="Verdana" w:hAnsi="Verdana" w:cs="Verdana"/>
          <w:sz w:val="20"/>
          <w:szCs w:val="20"/>
        </w:rPr>
        <w:lastRenderedPageBreak/>
        <w:t xml:space="preserve">rendidas ante fedatario público, de conformidad con </w:t>
      </w:r>
      <w:r w:rsidR="00F72C75" w:rsidRPr="00F72C75">
        <w:rPr>
          <w:rFonts w:ascii="Verdana" w:hAnsi="Verdana" w:cs="Verdana"/>
          <w:sz w:val="20"/>
          <w:szCs w:val="20"/>
        </w:rPr>
        <w:t>los</w:t>
      </w:r>
      <w:r w:rsidRPr="00F72C75">
        <w:rPr>
          <w:rFonts w:ascii="Verdana" w:hAnsi="Verdana" w:cs="Verdana"/>
          <w:sz w:val="20"/>
          <w:szCs w:val="20"/>
        </w:rPr>
        <w:t xml:space="preserve"> párrafo</w:t>
      </w:r>
      <w:r w:rsidR="00F72C75" w:rsidRPr="00F72C75">
        <w:rPr>
          <w:rFonts w:ascii="Verdana" w:hAnsi="Verdana" w:cs="Verdana"/>
          <w:sz w:val="20"/>
          <w:szCs w:val="20"/>
        </w:rPr>
        <w:t>s considerativo 22 y 23</w:t>
      </w:r>
      <w:r>
        <w:rPr>
          <w:rFonts w:ascii="Verdana" w:hAnsi="Verdana" w:cs="Verdana"/>
          <w:sz w:val="20"/>
          <w:szCs w:val="20"/>
        </w:rPr>
        <w:t xml:space="preserve"> de la presente Resolución. </w:t>
      </w:r>
      <w:bookmarkEnd w:id="17"/>
    </w:p>
    <w:p w:rsidR="00853121" w:rsidRDefault="00853121" w:rsidP="006518E4">
      <w:pPr>
        <w:pStyle w:val="ListParagraph1"/>
        <w:rPr>
          <w:rFonts w:ascii="Verdana" w:hAnsi="Verdana" w:cs="Verdana"/>
          <w:sz w:val="20"/>
          <w:szCs w:val="20"/>
          <w:highlight w:val="yellow"/>
          <w:lang w:val="es-CR"/>
        </w:rPr>
      </w:pPr>
    </w:p>
    <w:p w:rsidR="00853121" w:rsidRPr="001A6C30" w:rsidRDefault="00853121" w:rsidP="006518E4">
      <w:pPr>
        <w:numPr>
          <w:ilvl w:val="0"/>
          <w:numId w:val="5"/>
        </w:numPr>
        <w:ind w:left="0" w:firstLine="0"/>
        <w:jc w:val="both"/>
        <w:rPr>
          <w:rFonts w:ascii="Verdana" w:hAnsi="Verdana" w:cs="Verdana"/>
          <w:sz w:val="20"/>
          <w:szCs w:val="20"/>
        </w:rPr>
      </w:pPr>
      <w:bookmarkStart w:id="18" w:name="_Ref283813506"/>
      <w:r w:rsidRPr="001A6C30">
        <w:rPr>
          <w:rFonts w:ascii="Verdana" w:hAnsi="Verdana" w:cs="Verdana"/>
          <w:sz w:val="20"/>
          <w:szCs w:val="20"/>
        </w:rPr>
        <w:t>Disponer que, una vez recibid</w:t>
      </w:r>
      <w:r>
        <w:rPr>
          <w:rFonts w:ascii="Verdana" w:hAnsi="Verdana" w:cs="Verdana"/>
          <w:sz w:val="20"/>
          <w:szCs w:val="20"/>
        </w:rPr>
        <w:t>as las declaraciones y peritaje</w:t>
      </w:r>
      <w:r w:rsidR="008E29A8">
        <w:rPr>
          <w:rFonts w:ascii="Verdana" w:hAnsi="Verdana" w:cs="Verdana"/>
          <w:sz w:val="20"/>
          <w:szCs w:val="20"/>
        </w:rPr>
        <w:t>s</w:t>
      </w:r>
      <w:r w:rsidRPr="001A6C30">
        <w:rPr>
          <w:rFonts w:ascii="Verdana" w:hAnsi="Verdana" w:cs="Verdana"/>
          <w:sz w:val="20"/>
          <w:szCs w:val="20"/>
        </w:rPr>
        <w:t xml:space="preserve"> requeridos en el punto resolutivo primero</w:t>
      </w:r>
      <w:r w:rsidRPr="001A6C30">
        <w:rPr>
          <w:rFonts w:ascii="Verdana" w:hAnsi="Verdana" w:cs="Verdana"/>
          <w:i/>
          <w:iCs/>
          <w:sz w:val="20"/>
          <w:szCs w:val="20"/>
        </w:rPr>
        <w:t>,</w:t>
      </w:r>
      <w:r w:rsidRPr="001A6C30">
        <w:rPr>
          <w:rFonts w:ascii="Verdana" w:hAnsi="Verdana" w:cs="Verdana"/>
          <w:sz w:val="20"/>
          <w:szCs w:val="20"/>
        </w:rPr>
        <w:t xml:space="preserve"> la Secretaría de la Corte Interamericana los transmita a las otras partes para que presenten sus observaciones a dichas declaraciones </w:t>
      </w:r>
      <w:r>
        <w:rPr>
          <w:rFonts w:ascii="Verdana" w:hAnsi="Verdana" w:cs="Verdana"/>
          <w:sz w:val="20"/>
          <w:szCs w:val="20"/>
        </w:rPr>
        <w:t xml:space="preserve">y peritaje </w:t>
      </w:r>
      <w:r w:rsidRPr="001A6C30">
        <w:rPr>
          <w:rFonts w:ascii="Verdana" w:hAnsi="Verdana" w:cs="Verdana"/>
          <w:sz w:val="20"/>
          <w:szCs w:val="20"/>
          <w:lang w:val="es-ES_tradnl"/>
        </w:rPr>
        <w:t xml:space="preserve">a más tardar </w:t>
      </w:r>
      <w:r w:rsidR="00DB24E6">
        <w:rPr>
          <w:rFonts w:ascii="Verdana" w:hAnsi="Verdana" w:cs="Verdana"/>
          <w:sz w:val="20"/>
          <w:szCs w:val="20"/>
          <w:lang w:val="es-ES_tradnl"/>
        </w:rPr>
        <w:t>el 24</w:t>
      </w:r>
      <w:r w:rsidR="00806068">
        <w:rPr>
          <w:rFonts w:ascii="Verdana" w:hAnsi="Verdana" w:cs="Verdana"/>
          <w:sz w:val="20"/>
          <w:szCs w:val="20"/>
          <w:lang w:val="es-ES_tradnl"/>
        </w:rPr>
        <w:t xml:space="preserve"> de febrero de 2012</w:t>
      </w:r>
      <w:r w:rsidRPr="001A6C30">
        <w:rPr>
          <w:rFonts w:ascii="Verdana" w:hAnsi="Verdana" w:cs="Verdana"/>
          <w:sz w:val="20"/>
          <w:szCs w:val="20"/>
          <w:lang w:val="es-ES_tradnl"/>
        </w:rPr>
        <w:t>.</w:t>
      </w:r>
      <w:r w:rsidRPr="001A6C30">
        <w:rPr>
          <w:rFonts w:ascii="Verdana" w:hAnsi="Verdana" w:cs="Verdana"/>
          <w:sz w:val="20"/>
          <w:szCs w:val="20"/>
        </w:rPr>
        <w:t xml:space="preserve"> </w:t>
      </w:r>
    </w:p>
    <w:bookmarkEnd w:id="18"/>
    <w:p w:rsidR="00853121" w:rsidRPr="00191150" w:rsidRDefault="00853121" w:rsidP="006518E4">
      <w:pPr>
        <w:jc w:val="both"/>
        <w:rPr>
          <w:rFonts w:ascii="Verdana" w:hAnsi="Verdana" w:cs="Verdana"/>
          <w:sz w:val="20"/>
          <w:szCs w:val="20"/>
          <w:u w:val="single"/>
        </w:rPr>
      </w:pPr>
    </w:p>
    <w:p w:rsidR="00853121" w:rsidRPr="00191150" w:rsidRDefault="00853121" w:rsidP="006518E4">
      <w:pPr>
        <w:numPr>
          <w:ilvl w:val="0"/>
          <w:numId w:val="5"/>
        </w:numPr>
        <w:ind w:left="0" w:firstLine="0"/>
        <w:jc w:val="both"/>
        <w:rPr>
          <w:rFonts w:ascii="Verdana" w:hAnsi="Verdana" w:cs="Verdana"/>
          <w:sz w:val="20"/>
          <w:szCs w:val="20"/>
          <w:u w:val="single"/>
        </w:rPr>
      </w:pPr>
      <w:bookmarkStart w:id="19" w:name="_Ref283810702"/>
      <w:r w:rsidRPr="00191150">
        <w:rPr>
          <w:rFonts w:ascii="Verdana" w:hAnsi="Verdana" w:cs="Verdana"/>
          <w:sz w:val="20"/>
          <w:szCs w:val="20"/>
        </w:rPr>
        <w:t>Convocar a l</w:t>
      </w:r>
      <w:r>
        <w:rPr>
          <w:rFonts w:ascii="Verdana" w:hAnsi="Verdana" w:cs="Verdana"/>
          <w:sz w:val="20"/>
          <w:szCs w:val="20"/>
        </w:rPr>
        <w:t>o</w:t>
      </w:r>
      <w:r w:rsidRPr="00191150">
        <w:rPr>
          <w:rFonts w:ascii="Verdana" w:hAnsi="Verdana" w:cs="Verdana"/>
          <w:sz w:val="20"/>
          <w:szCs w:val="20"/>
        </w:rPr>
        <w:t>s representantes</w:t>
      </w:r>
      <w:r>
        <w:rPr>
          <w:rFonts w:ascii="Verdana" w:hAnsi="Verdana" w:cs="Verdana"/>
          <w:sz w:val="20"/>
          <w:szCs w:val="20"/>
        </w:rPr>
        <w:t>,</w:t>
      </w:r>
      <w:r w:rsidRPr="00191150">
        <w:rPr>
          <w:rFonts w:ascii="Verdana" w:hAnsi="Verdana" w:cs="Verdana"/>
          <w:sz w:val="20"/>
          <w:szCs w:val="20"/>
        </w:rPr>
        <w:t xml:space="preserve"> </w:t>
      </w:r>
      <w:r w:rsidRPr="00191150">
        <w:rPr>
          <w:rFonts w:ascii="Verdana" w:hAnsi="Verdana" w:cs="Verdana"/>
          <w:sz w:val="20"/>
          <w:szCs w:val="20"/>
          <w:lang w:val="es-CR"/>
        </w:rPr>
        <w:t>a</w:t>
      </w:r>
      <w:r>
        <w:rPr>
          <w:rFonts w:ascii="Verdana" w:hAnsi="Verdana" w:cs="Verdana"/>
          <w:sz w:val="20"/>
          <w:szCs w:val="20"/>
          <w:lang w:val="es-CR"/>
        </w:rPr>
        <w:t>l Estado</w:t>
      </w:r>
      <w:r w:rsidRPr="00191150">
        <w:rPr>
          <w:rFonts w:ascii="Verdana" w:hAnsi="Verdana" w:cs="Verdana"/>
          <w:sz w:val="20"/>
          <w:szCs w:val="20"/>
          <w:lang w:val="es-CR"/>
        </w:rPr>
        <w:t xml:space="preserve"> </w:t>
      </w:r>
      <w:r>
        <w:rPr>
          <w:rFonts w:ascii="Verdana" w:hAnsi="Verdana" w:cs="Verdana"/>
          <w:sz w:val="20"/>
          <w:szCs w:val="20"/>
          <w:lang w:val="es-CR"/>
        </w:rPr>
        <w:t xml:space="preserve">y </w:t>
      </w:r>
      <w:r>
        <w:rPr>
          <w:rFonts w:ascii="Verdana" w:hAnsi="Verdana" w:cs="Verdana"/>
          <w:sz w:val="20"/>
          <w:szCs w:val="20"/>
        </w:rPr>
        <w:t xml:space="preserve">a la Comisión Interamericana </w:t>
      </w:r>
      <w:r w:rsidRPr="00191150">
        <w:rPr>
          <w:rFonts w:ascii="Verdana" w:hAnsi="Verdana" w:cs="Verdana"/>
          <w:sz w:val="20"/>
          <w:szCs w:val="20"/>
        </w:rPr>
        <w:t xml:space="preserve">a una audiencia pública que se celebrará durante el </w:t>
      </w:r>
      <w:r>
        <w:rPr>
          <w:rFonts w:ascii="Verdana" w:hAnsi="Verdana" w:cs="Verdana"/>
          <w:sz w:val="20"/>
          <w:szCs w:val="20"/>
        </w:rPr>
        <w:t xml:space="preserve">94 Período Ordinario </w:t>
      </w:r>
      <w:r w:rsidRPr="00191150">
        <w:rPr>
          <w:rFonts w:ascii="Verdana" w:hAnsi="Verdana" w:cs="Verdana"/>
          <w:sz w:val="20"/>
          <w:szCs w:val="20"/>
        </w:rPr>
        <w:t>de Sesiones</w:t>
      </w:r>
      <w:r>
        <w:rPr>
          <w:rFonts w:ascii="Verdana" w:hAnsi="Verdana" w:cs="Verdana"/>
          <w:sz w:val="20"/>
          <w:szCs w:val="20"/>
        </w:rPr>
        <w:t xml:space="preserve"> de la Corte</w:t>
      </w:r>
      <w:r w:rsidRPr="00191150">
        <w:rPr>
          <w:rFonts w:ascii="Verdana" w:hAnsi="Verdana" w:cs="Verdana"/>
          <w:sz w:val="20"/>
          <w:szCs w:val="20"/>
        </w:rPr>
        <w:t xml:space="preserve">, </w:t>
      </w:r>
      <w:r>
        <w:rPr>
          <w:rFonts w:ascii="Verdana" w:hAnsi="Verdana" w:cs="Verdana"/>
          <w:sz w:val="20"/>
          <w:szCs w:val="20"/>
        </w:rPr>
        <w:t xml:space="preserve">que se realizará </w:t>
      </w:r>
      <w:r w:rsidRPr="00CC60D4">
        <w:rPr>
          <w:rFonts w:ascii="Verdana" w:hAnsi="Verdana" w:cs="Verdana"/>
          <w:sz w:val="20"/>
          <w:szCs w:val="20"/>
        </w:rPr>
        <w:t xml:space="preserve">en </w:t>
      </w:r>
      <w:r>
        <w:rPr>
          <w:rFonts w:ascii="Verdana" w:hAnsi="Verdana" w:cs="Verdana"/>
          <w:sz w:val="20"/>
          <w:szCs w:val="20"/>
        </w:rPr>
        <w:t>la sede de</w:t>
      </w:r>
      <w:r w:rsidRPr="008638E1">
        <w:rPr>
          <w:rFonts w:ascii="Verdana" w:hAnsi="Verdana" w:cs="Verdana"/>
          <w:sz w:val="20"/>
          <w:szCs w:val="20"/>
        </w:rPr>
        <w:t xml:space="preserve">l Tribunal, </w:t>
      </w:r>
      <w:r>
        <w:rPr>
          <w:rFonts w:ascii="Verdana" w:hAnsi="Verdana" w:cs="Verdana"/>
          <w:sz w:val="20"/>
          <w:szCs w:val="20"/>
        </w:rPr>
        <w:t>el 27</w:t>
      </w:r>
      <w:r w:rsidRPr="00897459">
        <w:rPr>
          <w:rFonts w:ascii="Verdana" w:hAnsi="Verdana" w:cs="Verdana"/>
          <w:sz w:val="20"/>
          <w:szCs w:val="20"/>
        </w:rPr>
        <w:t xml:space="preserve"> de </w:t>
      </w:r>
      <w:r>
        <w:rPr>
          <w:rFonts w:ascii="Verdana" w:hAnsi="Verdana" w:cs="Verdana"/>
          <w:sz w:val="20"/>
          <w:szCs w:val="20"/>
        </w:rPr>
        <w:t>febrero de 2012</w:t>
      </w:r>
      <w:r w:rsidRPr="00897459">
        <w:rPr>
          <w:rFonts w:ascii="Verdana" w:hAnsi="Verdana" w:cs="Verdana"/>
          <w:sz w:val="20"/>
          <w:szCs w:val="20"/>
        </w:rPr>
        <w:t xml:space="preserve"> a </w:t>
      </w:r>
      <w:r>
        <w:rPr>
          <w:rFonts w:ascii="Verdana" w:hAnsi="Verdana" w:cs="Verdana"/>
          <w:sz w:val="20"/>
          <w:szCs w:val="20"/>
        </w:rPr>
        <w:t>partir de las 9</w:t>
      </w:r>
      <w:r w:rsidRPr="00897459">
        <w:rPr>
          <w:rFonts w:ascii="Verdana" w:hAnsi="Verdana" w:cs="Verdana"/>
          <w:sz w:val="20"/>
          <w:szCs w:val="20"/>
        </w:rPr>
        <w:t>:00 horas</w:t>
      </w:r>
      <w:r>
        <w:rPr>
          <w:rFonts w:ascii="Verdana" w:hAnsi="Verdana" w:cs="Verdana"/>
          <w:sz w:val="20"/>
          <w:szCs w:val="20"/>
        </w:rPr>
        <w:t xml:space="preserve"> y el 28 de febrero de 2012 a partir de las 9:00 horas</w:t>
      </w:r>
      <w:r w:rsidRPr="00CC60D4">
        <w:rPr>
          <w:rFonts w:ascii="Verdana" w:hAnsi="Verdana" w:cs="Verdana"/>
          <w:sz w:val="20"/>
          <w:szCs w:val="20"/>
        </w:rPr>
        <w:t>,</w:t>
      </w:r>
      <w:r w:rsidRPr="00193659">
        <w:rPr>
          <w:rFonts w:ascii="Verdana" w:hAnsi="Verdana" w:cs="Verdana"/>
          <w:sz w:val="20"/>
          <w:szCs w:val="20"/>
        </w:rPr>
        <w:t xml:space="preserve"> </w:t>
      </w:r>
      <w:r w:rsidRPr="00191150">
        <w:rPr>
          <w:rFonts w:ascii="Verdana" w:hAnsi="Verdana" w:cs="Verdana"/>
          <w:sz w:val="20"/>
          <w:szCs w:val="20"/>
        </w:rPr>
        <w:t xml:space="preserve">para </w:t>
      </w:r>
      <w:r>
        <w:rPr>
          <w:rFonts w:ascii="Verdana" w:hAnsi="Verdana" w:cs="Verdana"/>
          <w:sz w:val="20"/>
          <w:szCs w:val="20"/>
        </w:rPr>
        <w:t>recibir</w:t>
      </w:r>
      <w:r w:rsidRPr="00191150">
        <w:rPr>
          <w:rFonts w:ascii="Verdana" w:hAnsi="Verdana" w:cs="Verdana"/>
          <w:sz w:val="20"/>
          <w:szCs w:val="20"/>
        </w:rPr>
        <w:t xml:space="preserve"> sus alegatos finales orales</w:t>
      </w:r>
      <w:r w:rsidRPr="00572D4B">
        <w:rPr>
          <w:rFonts w:ascii="Verdana" w:hAnsi="Verdana" w:cs="Verdana"/>
          <w:sz w:val="20"/>
          <w:szCs w:val="20"/>
        </w:rPr>
        <w:t xml:space="preserve"> </w:t>
      </w:r>
      <w:r>
        <w:rPr>
          <w:rFonts w:ascii="Verdana" w:hAnsi="Verdana" w:cs="Verdana"/>
          <w:sz w:val="20"/>
          <w:szCs w:val="20"/>
        </w:rPr>
        <w:t xml:space="preserve">y </w:t>
      </w:r>
      <w:r w:rsidRPr="00191150">
        <w:rPr>
          <w:rFonts w:ascii="Verdana" w:hAnsi="Verdana" w:cs="Verdana"/>
          <w:sz w:val="20"/>
          <w:szCs w:val="20"/>
        </w:rPr>
        <w:t xml:space="preserve">observaciones finales orales, </w:t>
      </w:r>
      <w:r>
        <w:rPr>
          <w:rFonts w:ascii="Verdana" w:hAnsi="Verdana" w:cs="Verdana"/>
          <w:sz w:val="20"/>
          <w:szCs w:val="20"/>
        </w:rPr>
        <w:t xml:space="preserve">respectivamente, sobre las excepciones preliminares y eventuales fondo, </w:t>
      </w:r>
      <w:r w:rsidRPr="00191150">
        <w:rPr>
          <w:rFonts w:ascii="Verdana" w:hAnsi="Verdana" w:cs="Verdana"/>
          <w:sz w:val="20"/>
          <w:szCs w:val="20"/>
        </w:rPr>
        <w:t>reparaciones y costas, así como las declaraciones de las siguientes personas:</w:t>
      </w:r>
      <w:bookmarkEnd w:id="19"/>
      <w:r w:rsidRPr="00191150">
        <w:rPr>
          <w:rFonts w:ascii="Verdana" w:hAnsi="Verdana" w:cs="Verdana"/>
          <w:sz w:val="20"/>
          <w:szCs w:val="20"/>
        </w:rPr>
        <w:t xml:space="preserve">  </w:t>
      </w:r>
    </w:p>
    <w:p w:rsidR="00853121" w:rsidRPr="0032746C" w:rsidRDefault="00853121" w:rsidP="006518E4">
      <w:pPr>
        <w:jc w:val="both"/>
        <w:rPr>
          <w:rFonts w:ascii="Verdana" w:hAnsi="Verdana" w:cs="Verdana"/>
          <w:sz w:val="20"/>
          <w:szCs w:val="20"/>
        </w:rPr>
      </w:pPr>
    </w:p>
    <w:p w:rsidR="00853121" w:rsidRPr="00191150" w:rsidRDefault="00853121" w:rsidP="006518E4">
      <w:pPr>
        <w:numPr>
          <w:ilvl w:val="0"/>
          <w:numId w:val="6"/>
        </w:numPr>
        <w:tabs>
          <w:tab w:val="clear" w:pos="1800"/>
          <w:tab w:val="left" w:pos="1440"/>
        </w:tabs>
        <w:ind w:left="720" w:firstLine="0"/>
        <w:jc w:val="both"/>
        <w:rPr>
          <w:rFonts w:ascii="Verdana" w:hAnsi="Verdana" w:cs="Verdana"/>
          <w:b/>
          <w:bCs/>
          <w:i/>
          <w:iCs/>
          <w:sz w:val="20"/>
          <w:szCs w:val="20"/>
        </w:rPr>
      </w:pPr>
      <w:r>
        <w:rPr>
          <w:rFonts w:ascii="Verdana" w:hAnsi="Verdana" w:cs="Verdana"/>
          <w:b/>
          <w:bCs/>
          <w:i/>
          <w:iCs/>
          <w:sz w:val="20"/>
          <w:szCs w:val="20"/>
        </w:rPr>
        <w:t>Presunta víctima propuesta por los representantes</w:t>
      </w:r>
    </w:p>
    <w:p w:rsidR="00853121" w:rsidRDefault="00853121" w:rsidP="006518E4">
      <w:pPr>
        <w:pStyle w:val="Default"/>
        <w:jc w:val="both"/>
        <w:rPr>
          <w:sz w:val="20"/>
          <w:szCs w:val="20"/>
          <w:lang w:val="es-CR"/>
        </w:rPr>
      </w:pPr>
    </w:p>
    <w:p w:rsidR="00853121" w:rsidRPr="00425263" w:rsidRDefault="00853121" w:rsidP="006518E4">
      <w:pPr>
        <w:pStyle w:val="Default"/>
        <w:numPr>
          <w:ilvl w:val="1"/>
          <w:numId w:val="9"/>
        </w:numPr>
        <w:tabs>
          <w:tab w:val="left" w:pos="720"/>
        </w:tabs>
        <w:ind w:left="720" w:hanging="360"/>
        <w:jc w:val="both"/>
        <w:rPr>
          <w:sz w:val="20"/>
          <w:szCs w:val="20"/>
          <w:lang w:val="es-CR"/>
        </w:rPr>
      </w:pPr>
      <w:r>
        <w:rPr>
          <w:sz w:val="20"/>
          <w:szCs w:val="20"/>
          <w:lang w:val="es-CR"/>
        </w:rPr>
        <w:t>Claudio Furlan, hermano de Sebastián Claus Furlan, quien</w:t>
      </w:r>
      <w:r w:rsidRPr="00425263">
        <w:rPr>
          <w:sz w:val="20"/>
          <w:szCs w:val="20"/>
          <w:lang w:val="es-CR"/>
        </w:rPr>
        <w:t xml:space="preserve"> </w:t>
      </w:r>
      <w:r>
        <w:rPr>
          <w:sz w:val="20"/>
          <w:szCs w:val="20"/>
          <w:lang w:val="es-CR"/>
        </w:rPr>
        <w:t>d</w:t>
      </w:r>
      <w:r w:rsidRPr="00425263">
        <w:rPr>
          <w:sz w:val="20"/>
          <w:szCs w:val="20"/>
          <w:lang w:val="es-CR"/>
        </w:rPr>
        <w:t>eclarará sobre</w:t>
      </w:r>
      <w:r>
        <w:rPr>
          <w:sz w:val="20"/>
          <w:szCs w:val="20"/>
          <w:lang w:val="es-CR"/>
        </w:rPr>
        <w:t>:</w:t>
      </w:r>
      <w:r w:rsidRPr="00425263">
        <w:rPr>
          <w:sz w:val="20"/>
          <w:szCs w:val="20"/>
          <w:lang w:val="es-CR"/>
        </w:rPr>
        <w:t xml:space="preserve"> </w:t>
      </w:r>
      <w:r>
        <w:rPr>
          <w:sz w:val="20"/>
          <w:szCs w:val="20"/>
          <w:lang w:val="es-CR"/>
        </w:rPr>
        <w:t>i) “las circunstancias de modo, tiempo y lugar relacionadas con el accidente sufrido por su hermano, y sobre el [alegado] impacto que éste tuvo en la vida pers</w:t>
      </w:r>
      <w:r w:rsidR="00050BF3">
        <w:rPr>
          <w:sz w:val="20"/>
          <w:szCs w:val="20"/>
          <w:lang w:val="es-CR"/>
        </w:rPr>
        <w:t>onal y de relación de Sebastián,</w:t>
      </w:r>
      <w:r>
        <w:rPr>
          <w:sz w:val="20"/>
          <w:szCs w:val="20"/>
          <w:lang w:val="es-CR"/>
        </w:rPr>
        <w:t xml:space="preserve"> en sus estudios y en el desarrollo de su trabajo”</w:t>
      </w:r>
      <w:r w:rsidR="00050BF3">
        <w:rPr>
          <w:sz w:val="20"/>
          <w:szCs w:val="20"/>
          <w:lang w:val="es-CR"/>
        </w:rPr>
        <w:t>; ii)</w:t>
      </w:r>
      <w:r>
        <w:rPr>
          <w:sz w:val="20"/>
          <w:szCs w:val="20"/>
          <w:lang w:val="es-CR"/>
        </w:rPr>
        <w:t xml:space="preserve"> las alegadas “consecuencias del accidente en los miembros de su familia”; </w:t>
      </w:r>
      <w:r w:rsidR="00050BF3">
        <w:rPr>
          <w:sz w:val="20"/>
          <w:szCs w:val="20"/>
          <w:lang w:val="es-CR"/>
        </w:rPr>
        <w:t xml:space="preserve">iii) las </w:t>
      </w:r>
      <w:r>
        <w:rPr>
          <w:sz w:val="20"/>
          <w:szCs w:val="20"/>
          <w:lang w:val="es-CR"/>
        </w:rPr>
        <w:t xml:space="preserve">“distintas vicisitudes de la vida de su hermano y sus sobrinos”; </w:t>
      </w:r>
      <w:r w:rsidR="00050BF3">
        <w:rPr>
          <w:sz w:val="20"/>
          <w:szCs w:val="20"/>
          <w:lang w:val="es-CR"/>
        </w:rPr>
        <w:t xml:space="preserve">iv) las </w:t>
      </w:r>
      <w:r>
        <w:rPr>
          <w:sz w:val="20"/>
          <w:szCs w:val="20"/>
          <w:lang w:val="es-CR"/>
        </w:rPr>
        <w:t>“gestiones y actuaciones ligadas a reclamos y solicitudes sobre la salud de Sebastián, tratamientos médicos, psicológicos y acceso a la seguridad social”</w:t>
      </w:r>
      <w:r w:rsidR="00050BF3">
        <w:rPr>
          <w:sz w:val="20"/>
          <w:szCs w:val="20"/>
          <w:lang w:val="es-CR"/>
        </w:rPr>
        <w:t>,</w:t>
      </w:r>
      <w:r>
        <w:rPr>
          <w:sz w:val="20"/>
          <w:szCs w:val="20"/>
          <w:lang w:val="es-CR"/>
        </w:rPr>
        <w:t xml:space="preserve"> y </w:t>
      </w:r>
      <w:r w:rsidR="00050BF3">
        <w:rPr>
          <w:sz w:val="20"/>
          <w:szCs w:val="20"/>
          <w:lang w:val="es-CR"/>
        </w:rPr>
        <w:t xml:space="preserve">v) </w:t>
      </w:r>
      <w:r>
        <w:rPr>
          <w:sz w:val="20"/>
          <w:szCs w:val="20"/>
          <w:lang w:val="es-CR"/>
        </w:rPr>
        <w:t>la alegada “desprotección judicial y diferimiento indemnizatorio, y cómo repercutió ello en la vida de su familia”</w:t>
      </w:r>
      <w:r w:rsidR="00656828">
        <w:rPr>
          <w:sz w:val="20"/>
          <w:szCs w:val="20"/>
          <w:lang w:val="es-CR"/>
        </w:rPr>
        <w:t>.</w:t>
      </w:r>
      <w:r w:rsidRPr="00425263">
        <w:rPr>
          <w:sz w:val="20"/>
          <w:szCs w:val="20"/>
          <w:lang w:val="es-CR"/>
        </w:rPr>
        <w:t xml:space="preserve"> </w:t>
      </w:r>
    </w:p>
    <w:p w:rsidR="00853121" w:rsidRPr="00C81925" w:rsidRDefault="00853121" w:rsidP="006518E4">
      <w:pPr>
        <w:pStyle w:val="Header"/>
        <w:tabs>
          <w:tab w:val="clear" w:pos="4680"/>
          <w:tab w:val="clear" w:pos="9360"/>
          <w:tab w:val="left" w:pos="1440"/>
        </w:tabs>
        <w:ind w:left="720"/>
        <w:jc w:val="both"/>
        <w:rPr>
          <w:rFonts w:ascii="Verdana" w:hAnsi="Verdana" w:cs="Verdana"/>
          <w:b/>
          <w:bCs/>
          <w:i/>
          <w:iCs/>
          <w:sz w:val="20"/>
          <w:szCs w:val="20"/>
          <w:u w:val="single"/>
          <w:lang w:val="es-CR"/>
        </w:rPr>
      </w:pPr>
    </w:p>
    <w:p w:rsidR="00853121" w:rsidRPr="00AC4253" w:rsidRDefault="00853121" w:rsidP="006518E4">
      <w:pPr>
        <w:pStyle w:val="Header"/>
        <w:numPr>
          <w:ilvl w:val="0"/>
          <w:numId w:val="6"/>
        </w:numPr>
        <w:tabs>
          <w:tab w:val="clear" w:pos="4680"/>
          <w:tab w:val="clear" w:pos="9360"/>
          <w:tab w:val="left" w:pos="1440"/>
        </w:tabs>
        <w:ind w:left="720" w:firstLine="0"/>
        <w:jc w:val="both"/>
        <w:rPr>
          <w:rFonts w:ascii="Verdana" w:hAnsi="Verdana" w:cs="Verdana"/>
          <w:b/>
          <w:bCs/>
          <w:i/>
          <w:iCs/>
          <w:sz w:val="20"/>
          <w:szCs w:val="20"/>
        </w:rPr>
      </w:pPr>
      <w:r>
        <w:rPr>
          <w:rFonts w:ascii="Verdana" w:hAnsi="Verdana" w:cs="Verdana"/>
          <w:b/>
          <w:bCs/>
          <w:i/>
          <w:iCs/>
          <w:sz w:val="20"/>
          <w:szCs w:val="20"/>
        </w:rPr>
        <w:t xml:space="preserve">Peritos </w:t>
      </w:r>
      <w:r w:rsidRPr="00AC4253">
        <w:rPr>
          <w:rFonts w:ascii="Verdana" w:hAnsi="Verdana" w:cs="Verdana"/>
          <w:b/>
          <w:bCs/>
          <w:i/>
          <w:iCs/>
          <w:sz w:val="20"/>
          <w:szCs w:val="20"/>
        </w:rPr>
        <w:t>propuesto</w:t>
      </w:r>
      <w:r>
        <w:rPr>
          <w:rFonts w:ascii="Verdana" w:hAnsi="Verdana" w:cs="Verdana"/>
          <w:b/>
          <w:bCs/>
          <w:i/>
          <w:iCs/>
          <w:sz w:val="20"/>
          <w:szCs w:val="20"/>
        </w:rPr>
        <w:t>s</w:t>
      </w:r>
      <w:r w:rsidRPr="00AC4253">
        <w:rPr>
          <w:rFonts w:ascii="Verdana" w:hAnsi="Verdana" w:cs="Verdana"/>
          <w:b/>
          <w:bCs/>
          <w:i/>
          <w:iCs/>
          <w:sz w:val="20"/>
          <w:szCs w:val="20"/>
        </w:rPr>
        <w:t xml:space="preserve"> por los representantes </w:t>
      </w:r>
    </w:p>
    <w:p w:rsidR="00853121" w:rsidRPr="00D0269C" w:rsidRDefault="00853121" w:rsidP="006518E4">
      <w:pPr>
        <w:pStyle w:val="EndnoteText"/>
        <w:ind w:left="720"/>
        <w:rPr>
          <w:rFonts w:ascii="Verdana" w:hAnsi="Verdana" w:cs="Verdana"/>
          <w:sz w:val="20"/>
          <w:szCs w:val="20"/>
        </w:rPr>
      </w:pPr>
    </w:p>
    <w:p w:rsidR="00853121" w:rsidRPr="00B0166B" w:rsidRDefault="00853121" w:rsidP="00B0166B">
      <w:pPr>
        <w:pStyle w:val="Prrafodelista1"/>
        <w:numPr>
          <w:ilvl w:val="0"/>
          <w:numId w:val="24"/>
        </w:numPr>
        <w:jc w:val="both"/>
        <w:rPr>
          <w:rFonts w:ascii="Verdana" w:hAnsi="Verdana" w:cs="Verdana"/>
          <w:sz w:val="20"/>
          <w:szCs w:val="20"/>
          <w:lang w:val="es-CR"/>
        </w:rPr>
      </w:pPr>
      <w:r w:rsidRPr="00B0166B">
        <w:rPr>
          <w:rFonts w:ascii="Verdana" w:hAnsi="Verdana" w:cs="Verdana"/>
          <w:sz w:val="20"/>
          <w:szCs w:val="20"/>
          <w:lang w:val="es-CR"/>
        </w:rPr>
        <w:t>María Laura Subies, quien declarará sobre</w:t>
      </w:r>
      <w:r>
        <w:rPr>
          <w:rFonts w:ascii="Verdana" w:hAnsi="Verdana" w:cs="Verdana"/>
          <w:sz w:val="20"/>
          <w:szCs w:val="20"/>
          <w:lang w:val="es-CR"/>
        </w:rPr>
        <w:t>:</w:t>
      </w:r>
      <w:r w:rsidRPr="00B0166B">
        <w:rPr>
          <w:rFonts w:ascii="Verdana" w:hAnsi="Verdana" w:cs="Verdana"/>
          <w:sz w:val="20"/>
          <w:szCs w:val="20"/>
          <w:lang w:val="es-CR"/>
        </w:rPr>
        <w:t xml:space="preserve"> i) “mecanismos de resolución y prácticas tribunalicias de casos que se tramitan en los juzgados con igual competencia material y territorial que el interviniente en la causa de daños y perjuicios por el accidente de Sebastian Furlan”</w:t>
      </w:r>
      <w:r w:rsidR="00AB0FA5">
        <w:rPr>
          <w:rFonts w:ascii="Verdana" w:hAnsi="Verdana" w:cs="Verdana"/>
          <w:sz w:val="20"/>
          <w:szCs w:val="20"/>
          <w:lang w:val="es-CR"/>
        </w:rPr>
        <w:t>;</w:t>
      </w:r>
      <w:r w:rsidRPr="00B0166B">
        <w:rPr>
          <w:rFonts w:ascii="Verdana" w:hAnsi="Verdana" w:cs="Verdana"/>
          <w:sz w:val="20"/>
          <w:szCs w:val="20"/>
          <w:lang w:val="es-CR"/>
        </w:rPr>
        <w:t xml:space="preserve"> ii) “las posibilidades de cobertura en materia de salud pública y seguridad social para niños discapacitados</w:t>
      </w:r>
      <w:r w:rsidR="00D24F9E">
        <w:rPr>
          <w:rFonts w:ascii="Verdana" w:hAnsi="Verdana" w:cs="Verdana"/>
          <w:sz w:val="20"/>
          <w:szCs w:val="20"/>
          <w:lang w:val="es-CR"/>
        </w:rPr>
        <w:t>"</w:t>
      </w:r>
      <w:r w:rsidR="00AB0FA5">
        <w:rPr>
          <w:rFonts w:ascii="Verdana" w:hAnsi="Verdana" w:cs="Verdana"/>
          <w:sz w:val="20"/>
          <w:szCs w:val="20"/>
          <w:lang w:val="es-CR"/>
        </w:rPr>
        <w:t>,</w:t>
      </w:r>
      <w:r w:rsidR="00610E70">
        <w:rPr>
          <w:rFonts w:ascii="Verdana" w:hAnsi="Verdana" w:cs="Verdana"/>
          <w:sz w:val="20"/>
          <w:szCs w:val="20"/>
          <w:lang w:val="es-CR"/>
        </w:rPr>
        <w:t xml:space="preserve"> </w:t>
      </w:r>
      <w:r w:rsidRPr="00B0166B">
        <w:rPr>
          <w:rFonts w:ascii="Verdana" w:hAnsi="Verdana" w:cs="Verdana"/>
          <w:sz w:val="20"/>
          <w:szCs w:val="20"/>
          <w:lang w:val="es-CR"/>
        </w:rPr>
        <w:t xml:space="preserve">y </w:t>
      </w:r>
      <w:r w:rsidR="00D24F9E">
        <w:rPr>
          <w:rFonts w:ascii="Verdana" w:hAnsi="Verdana" w:cs="Verdana"/>
          <w:sz w:val="20"/>
          <w:szCs w:val="20"/>
          <w:lang w:val="es-CR"/>
        </w:rPr>
        <w:t>iii) "</w:t>
      </w:r>
      <w:r w:rsidRPr="00B0166B">
        <w:rPr>
          <w:rFonts w:ascii="Verdana" w:hAnsi="Verdana" w:cs="Verdana"/>
          <w:sz w:val="20"/>
          <w:szCs w:val="20"/>
          <w:lang w:val="es-CR"/>
        </w:rPr>
        <w:t xml:space="preserve">las respuestas del Estado en relación con la información sobre prestaciones”, y </w:t>
      </w:r>
    </w:p>
    <w:p w:rsidR="00853121" w:rsidRDefault="00853121" w:rsidP="00B0166B">
      <w:pPr>
        <w:pStyle w:val="Prrafodelista1"/>
        <w:ind w:left="735"/>
        <w:jc w:val="both"/>
        <w:rPr>
          <w:rFonts w:ascii="Verdana" w:hAnsi="Verdana" w:cs="Verdana"/>
          <w:sz w:val="20"/>
          <w:szCs w:val="20"/>
          <w:lang w:val="es-CR"/>
        </w:rPr>
      </w:pPr>
    </w:p>
    <w:p w:rsidR="00853121" w:rsidRPr="006354B8" w:rsidRDefault="00853121" w:rsidP="006354B8">
      <w:pPr>
        <w:pStyle w:val="Prrafodelista1"/>
        <w:numPr>
          <w:ilvl w:val="0"/>
          <w:numId w:val="24"/>
        </w:numPr>
        <w:jc w:val="both"/>
        <w:rPr>
          <w:color w:val="FF0000"/>
          <w:sz w:val="20"/>
          <w:szCs w:val="20"/>
          <w:lang w:val="es-CR"/>
        </w:rPr>
      </w:pPr>
      <w:r w:rsidRPr="00B0166B">
        <w:rPr>
          <w:rFonts w:ascii="Verdana" w:hAnsi="Verdana" w:cs="Verdana"/>
          <w:sz w:val="20"/>
          <w:szCs w:val="20"/>
          <w:lang w:val="es-CR"/>
        </w:rPr>
        <w:t xml:space="preserve">Gustavo Daniel Moreno, quien </w:t>
      </w:r>
      <w:r w:rsidR="00AD5AFF">
        <w:rPr>
          <w:rFonts w:ascii="Verdana" w:hAnsi="Verdana" w:cs="Verdana"/>
          <w:sz w:val="20"/>
          <w:szCs w:val="20"/>
          <w:lang w:val="es-CR"/>
        </w:rPr>
        <w:t xml:space="preserve">declarará sobre: i) </w:t>
      </w:r>
      <w:r w:rsidRPr="00B0166B">
        <w:rPr>
          <w:rFonts w:ascii="Verdana" w:hAnsi="Verdana" w:cs="Verdana"/>
          <w:sz w:val="20"/>
          <w:szCs w:val="20"/>
        </w:rPr>
        <w:t xml:space="preserve">“la institución del defensor público de menores e incapaces en el derecho argentino, en la jurisprudencia de la Corte Suprema y en la práctica de los tribunales”; </w:t>
      </w:r>
      <w:r w:rsidR="00AD5AFF">
        <w:rPr>
          <w:rFonts w:ascii="Verdana" w:hAnsi="Verdana" w:cs="Verdana"/>
          <w:sz w:val="20"/>
          <w:szCs w:val="20"/>
        </w:rPr>
        <w:t xml:space="preserve">ii) </w:t>
      </w:r>
      <w:r w:rsidRPr="00B0166B">
        <w:rPr>
          <w:rFonts w:ascii="Verdana" w:hAnsi="Verdana" w:cs="Verdana"/>
          <w:sz w:val="20"/>
          <w:szCs w:val="20"/>
        </w:rPr>
        <w:t xml:space="preserve">“las actuaciones en las que interviene en protección de derechos económicos, sociales y culturales y su desempeño extrajudicial”; </w:t>
      </w:r>
      <w:r w:rsidR="00AD5AFF">
        <w:rPr>
          <w:rFonts w:ascii="Verdana" w:hAnsi="Verdana" w:cs="Verdana"/>
          <w:sz w:val="20"/>
          <w:szCs w:val="20"/>
        </w:rPr>
        <w:t xml:space="preserve">iii) </w:t>
      </w:r>
      <w:r w:rsidRPr="00B0166B">
        <w:rPr>
          <w:rFonts w:ascii="Verdana" w:hAnsi="Verdana" w:cs="Verdana"/>
          <w:sz w:val="20"/>
          <w:szCs w:val="20"/>
        </w:rPr>
        <w:t xml:space="preserve">el “rol del Asesor de Menores e Incapaces a la luz de los deberes de especial protección impuestos por la Convención Americana sobre Derechos Humanos y la Convención sobre los Derechos del Niño”, </w:t>
      </w:r>
      <w:r w:rsidR="00AD5AFF">
        <w:rPr>
          <w:rFonts w:ascii="Verdana" w:hAnsi="Verdana" w:cs="Verdana"/>
          <w:sz w:val="20"/>
          <w:szCs w:val="20"/>
        </w:rPr>
        <w:t xml:space="preserve">iv) el </w:t>
      </w:r>
      <w:r w:rsidRPr="00B0166B">
        <w:rPr>
          <w:rFonts w:ascii="Verdana" w:hAnsi="Verdana" w:cs="Verdana"/>
          <w:sz w:val="20"/>
          <w:szCs w:val="20"/>
        </w:rPr>
        <w:t>“procedimiento civil y comercial de la justicia nacional</w:t>
      </w:r>
      <w:r w:rsidR="00AD5AFF">
        <w:rPr>
          <w:rFonts w:ascii="Verdana" w:hAnsi="Verdana" w:cs="Verdana"/>
          <w:sz w:val="20"/>
          <w:szCs w:val="20"/>
        </w:rPr>
        <w:t>”;</w:t>
      </w:r>
      <w:r w:rsidRPr="00B0166B">
        <w:rPr>
          <w:rFonts w:ascii="Verdana" w:hAnsi="Verdana" w:cs="Verdana"/>
          <w:sz w:val="20"/>
          <w:szCs w:val="20"/>
        </w:rPr>
        <w:t xml:space="preserve"> </w:t>
      </w:r>
      <w:r w:rsidR="00AD5AFF">
        <w:rPr>
          <w:rFonts w:ascii="Verdana" w:hAnsi="Verdana" w:cs="Verdana"/>
          <w:sz w:val="20"/>
          <w:szCs w:val="20"/>
        </w:rPr>
        <w:t xml:space="preserve">v) </w:t>
      </w:r>
      <w:r w:rsidRPr="00B0166B">
        <w:rPr>
          <w:rFonts w:ascii="Verdana" w:hAnsi="Verdana" w:cs="Verdana"/>
          <w:sz w:val="20"/>
          <w:szCs w:val="20"/>
        </w:rPr>
        <w:t xml:space="preserve">las </w:t>
      </w:r>
      <w:r w:rsidR="00AD5AFF">
        <w:rPr>
          <w:rFonts w:ascii="Verdana" w:hAnsi="Verdana" w:cs="Verdana"/>
          <w:sz w:val="20"/>
          <w:szCs w:val="20"/>
        </w:rPr>
        <w:t>“</w:t>
      </w:r>
      <w:r w:rsidRPr="00B0166B">
        <w:rPr>
          <w:rFonts w:ascii="Verdana" w:hAnsi="Verdana" w:cs="Verdana"/>
          <w:sz w:val="20"/>
          <w:szCs w:val="20"/>
        </w:rPr>
        <w:t>facultades ordenatorias de los jueces en el sistema procesal</w:t>
      </w:r>
      <w:r w:rsidR="00AD5AFF">
        <w:rPr>
          <w:rFonts w:ascii="Verdana" w:hAnsi="Verdana" w:cs="Verdana"/>
          <w:sz w:val="20"/>
          <w:szCs w:val="20"/>
        </w:rPr>
        <w:t>”; vi)</w:t>
      </w:r>
      <w:r w:rsidRPr="00B0166B">
        <w:rPr>
          <w:rFonts w:ascii="Verdana" w:hAnsi="Verdana" w:cs="Verdana"/>
          <w:sz w:val="20"/>
          <w:szCs w:val="20"/>
        </w:rPr>
        <w:t xml:space="preserve"> cuándo un caso de daños y perjuicios puede considerarse complejo</w:t>
      </w:r>
      <w:r w:rsidR="00AD5AFF">
        <w:rPr>
          <w:rFonts w:ascii="Verdana" w:hAnsi="Verdana" w:cs="Verdana"/>
          <w:sz w:val="20"/>
          <w:szCs w:val="20"/>
        </w:rPr>
        <w:t>,</w:t>
      </w:r>
      <w:r w:rsidRPr="00B0166B">
        <w:rPr>
          <w:rFonts w:ascii="Verdana" w:hAnsi="Verdana" w:cs="Verdana"/>
          <w:sz w:val="20"/>
          <w:szCs w:val="20"/>
        </w:rPr>
        <w:t xml:space="preserve"> y </w:t>
      </w:r>
      <w:r w:rsidR="00AD5AFF">
        <w:rPr>
          <w:rFonts w:ascii="Verdana" w:hAnsi="Verdana" w:cs="Verdana"/>
          <w:sz w:val="20"/>
          <w:szCs w:val="20"/>
        </w:rPr>
        <w:t xml:space="preserve">vii) </w:t>
      </w:r>
      <w:r w:rsidRPr="00B0166B">
        <w:rPr>
          <w:rFonts w:ascii="Verdana" w:hAnsi="Verdana" w:cs="Verdana"/>
          <w:sz w:val="20"/>
          <w:szCs w:val="20"/>
        </w:rPr>
        <w:t>los periodos usuales que lleva su tramitación”.</w:t>
      </w:r>
    </w:p>
    <w:p w:rsidR="00853121" w:rsidRDefault="00853121" w:rsidP="00B0166B">
      <w:pPr>
        <w:pStyle w:val="ListParagraph"/>
        <w:rPr>
          <w:color w:val="FF0000"/>
          <w:sz w:val="20"/>
          <w:szCs w:val="20"/>
          <w:lang w:val="es-CR"/>
        </w:rPr>
      </w:pPr>
    </w:p>
    <w:p w:rsidR="00853121" w:rsidRPr="00AC4253" w:rsidRDefault="00853121" w:rsidP="006518E4">
      <w:pPr>
        <w:pStyle w:val="Header"/>
        <w:numPr>
          <w:ilvl w:val="0"/>
          <w:numId w:val="6"/>
        </w:numPr>
        <w:tabs>
          <w:tab w:val="clear" w:pos="1800"/>
          <w:tab w:val="clear" w:pos="4680"/>
          <w:tab w:val="clear" w:pos="9360"/>
          <w:tab w:val="num" w:pos="1440"/>
        </w:tabs>
        <w:ind w:left="720" w:firstLine="0"/>
        <w:jc w:val="both"/>
        <w:rPr>
          <w:rFonts w:ascii="Verdana" w:hAnsi="Verdana" w:cs="Verdana"/>
          <w:b/>
          <w:bCs/>
          <w:i/>
          <w:iCs/>
          <w:sz w:val="20"/>
          <w:szCs w:val="20"/>
        </w:rPr>
      </w:pPr>
      <w:r w:rsidRPr="00AC4253">
        <w:rPr>
          <w:rFonts w:ascii="Verdana" w:hAnsi="Verdana" w:cs="Verdana"/>
          <w:b/>
          <w:bCs/>
          <w:i/>
          <w:iCs/>
          <w:sz w:val="20"/>
          <w:szCs w:val="20"/>
        </w:rPr>
        <w:t>Perito propuesto por la Comisión</w:t>
      </w:r>
    </w:p>
    <w:p w:rsidR="00853121" w:rsidRPr="00863387" w:rsidRDefault="00853121" w:rsidP="006518E4">
      <w:pPr>
        <w:pStyle w:val="Default"/>
        <w:jc w:val="both"/>
        <w:rPr>
          <w:color w:val="auto"/>
          <w:sz w:val="20"/>
          <w:szCs w:val="20"/>
          <w:lang w:val="es-ES"/>
        </w:rPr>
      </w:pPr>
    </w:p>
    <w:p w:rsidR="00853121" w:rsidRPr="00B70891" w:rsidRDefault="00853121" w:rsidP="000F1B34">
      <w:pPr>
        <w:pStyle w:val="Default"/>
        <w:numPr>
          <w:ilvl w:val="0"/>
          <w:numId w:val="25"/>
        </w:numPr>
        <w:jc w:val="both"/>
        <w:rPr>
          <w:color w:val="auto"/>
          <w:sz w:val="20"/>
          <w:szCs w:val="20"/>
          <w:lang w:val="es-CR"/>
        </w:rPr>
      </w:pPr>
      <w:r>
        <w:rPr>
          <w:color w:val="auto"/>
          <w:sz w:val="20"/>
          <w:szCs w:val="20"/>
          <w:lang w:val="es-CR"/>
        </w:rPr>
        <w:t>Alejandro Morlachetti</w:t>
      </w:r>
      <w:r w:rsidRPr="00863387">
        <w:rPr>
          <w:color w:val="auto"/>
          <w:sz w:val="20"/>
          <w:szCs w:val="20"/>
          <w:lang w:val="es-CR"/>
        </w:rPr>
        <w:t xml:space="preserve">, quien </w:t>
      </w:r>
      <w:r>
        <w:rPr>
          <w:color w:val="auto"/>
          <w:sz w:val="20"/>
          <w:szCs w:val="20"/>
          <w:lang w:val="es-CR"/>
        </w:rPr>
        <w:t>declarará sobre</w:t>
      </w:r>
      <w:r w:rsidR="00AD5AFF">
        <w:rPr>
          <w:color w:val="auto"/>
          <w:sz w:val="20"/>
          <w:szCs w:val="20"/>
          <w:lang w:val="es-CR"/>
        </w:rPr>
        <w:t>:</w:t>
      </w:r>
      <w:r>
        <w:rPr>
          <w:color w:val="auto"/>
          <w:sz w:val="20"/>
          <w:szCs w:val="20"/>
          <w:lang w:val="es-CR"/>
        </w:rPr>
        <w:t xml:space="preserve"> i) </w:t>
      </w:r>
      <w:r w:rsidRPr="00B70891">
        <w:rPr>
          <w:sz w:val="20"/>
          <w:szCs w:val="20"/>
          <w:lang w:val="es-CR"/>
        </w:rPr>
        <w:t xml:space="preserve">“los estándares internacionales en materia de protección judicial de niños y niñas en situación de discapacidad y las </w:t>
      </w:r>
      <w:r w:rsidRPr="00B70891">
        <w:rPr>
          <w:sz w:val="20"/>
          <w:szCs w:val="20"/>
          <w:lang w:val="es-CR"/>
        </w:rPr>
        <w:lastRenderedPageBreak/>
        <w:t>medidas especiales que deben adoptarse cuando el resultado del debate judicial tiene relación con su derecho a la integridad personal”</w:t>
      </w:r>
      <w:r w:rsidR="00C3521C">
        <w:rPr>
          <w:sz w:val="20"/>
          <w:szCs w:val="20"/>
          <w:lang w:val="es-CR"/>
        </w:rPr>
        <w:t>,</w:t>
      </w:r>
      <w:r>
        <w:rPr>
          <w:sz w:val="20"/>
          <w:szCs w:val="20"/>
          <w:lang w:val="es-CR"/>
        </w:rPr>
        <w:t xml:space="preserve"> y </w:t>
      </w:r>
      <w:r w:rsidRPr="00507C67">
        <w:rPr>
          <w:bCs/>
          <w:sz w:val="20"/>
          <w:szCs w:val="20"/>
          <w:lang w:val="es-CR"/>
        </w:rPr>
        <w:t>ii) “la aplicación de dichos estándares a los hechos del caso”.</w:t>
      </w:r>
      <w:r w:rsidRPr="00B70891">
        <w:rPr>
          <w:sz w:val="20"/>
          <w:szCs w:val="20"/>
          <w:lang w:val="es-CR"/>
        </w:rPr>
        <w:t xml:space="preserve"> </w:t>
      </w:r>
    </w:p>
    <w:p w:rsidR="00853121" w:rsidRPr="00A73D50" w:rsidRDefault="00853121" w:rsidP="006518E4">
      <w:pPr>
        <w:pStyle w:val="Prrafodelista1"/>
        <w:tabs>
          <w:tab w:val="left" w:pos="720"/>
        </w:tabs>
        <w:autoSpaceDE w:val="0"/>
        <w:autoSpaceDN w:val="0"/>
        <w:adjustRightInd w:val="0"/>
        <w:jc w:val="both"/>
        <w:rPr>
          <w:rFonts w:ascii="Verdana" w:hAnsi="Verdana" w:cs="Verdana"/>
          <w:color w:val="00B050"/>
          <w:sz w:val="20"/>
          <w:szCs w:val="20"/>
          <w:lang w:val="es-ES"/>
        </w:rPr>
      </w:pPr>
    </w:p>
    <w:p w:rsidR="00853121" w:rsidRDefault="00853121" w:rsidP="006518E4">
      <w:pPr>
        <w:numPr>
          <w:ilvl w:val="0"/>
          <w:numId w:val="5"/>
        </w:numPr>
        <w:ind w:left="0" w:firstLine="0"/>
        <w:jc w:val="both"/>
        <w:rPr>
          <w:rFonts w:ascii="Verdana" w:hAnsi="Verdana" w:cs="Verdana"/>
          <w:sz w:val="20"/>
          <w:szCs w:val="20"/>
        </w:rPr>
      </w:pPr>
      <w:r w:rsidRPr="0032746C">
        <w:rPr>
          <w:rFonts w:ascii="Verdana" w:hAnsi="Verdana" w:cs="Verdana"/>
          <w:sz w:val="20"/>
          <w:szCs w:val="20"/>
          <w:lang w:val="es-CR"/>
        </w:rPr>
        <w:t xml:space="preserve">Requerir al Estado que facilite la salida y entrada de su territorio de los declarantes, si residen o se encuentran en él, quienes han sido citados en la presente Resolución a rendir declaración en la audiencia pública sobre </w:t>
      </w:r>
      <w:r>
        <w:rPr>
          <w:rFonts w:ascii="Verdana" w:hAnsi="Verdana" w:cs="Verdana"/>
          <w:sz w:val="20"/>
          <w:szCs w:val="20"/>
          <w:lang w:val="es-CR"/>
        </w:rPr>
        <w:t xml:space="preserve">las excepciones preliminares y eventuales fondo, </w:t>
      </w:r>
      <w:r w:rsidRPr="0032746C">
        <w:rPr>
          <w:rFonts w:ascii="Verdana" w:hAnsi="Verdana" w:cs="Verdana"/>
          <w:sz w:val="20"/>
          <w:szCs w:val="20"/>
          <w:lang w:val="es-CR"/>
        </w:rPr>
        <w:t xml:space="preserve">reparaciones y costas en este caso, de conformidad con lo dispuesto en el artículo </w:t>
      </w:r>
      <w:r w:rsidRPr="0032746C">
        <w:rPr>
          <w:rFonts w:ascii="Verdana" w:hAnsi="Verdana" w:cs="Verdana"/>
          <w:sz w:val="20"/>
          <w:szCs w:val="20"/>
        </w:rPr>
        <w:t>26.1 del Reglamento de la Corte.</w:t>
      </w:r>
    </w:p>
    <w:p w:rsidR="00853121" w:rsidRPr="007053FC" w:rsidRDefault="00853121" w:rsidP="006518E4">
      <w:pPr>
        <w:jc w:val="both"/>
        <w:rPr>
          <w:rFonts w:ascii="Verdana" w:hAnsi="Verdana" w:cs="Verdana"/>
          <w:sz w:val="20"/>
          <w:szCs w:val="20"/>
        </w:rPr>
      </w:pPr>
    </w:p>
    <w:p w:rsidR="00853121" w:rsidRPr="0032746C" w:rsidRDefault="00853121" w:rsidP="006518E4">
      <w:pPr>
        <w:numPr>
          <w:ilvl w:val="0"/>
          <w:numId w:val="5"/>
        </w:numPr>
        <w:ind w:left="0" w:firstLine="0"/>
        <w:jc w:val="both"/>
        <w:rPr>
          <w:rFonts w:ascii="Verdana" w:hAnsi="Verdana" w:cs="Verdana"/>
          <w:sz w:val="20"/>
          <w:szCs w:val="20"/>
        </w:rPr>
      </w:pPr>
      <w:r w:rsidRPr="0032746C">
        <w:rPr>
          <w:rFonts w:ascii="Verdana" w:hAnsi="Verdana" w:cs="Verdana"/>
          <w:sz w:val="20"/>
          <w:szCs w:val="20"/>
        </w:rPr>
        <w:t xml:space="preserve">Requerir </w:t>
      </w:r>
      <w:r>
        <w:rPr>
          <w:rFonts w:ascii="Verdana" w:hAnsi="Verdana" w:cs="Verdana"/>
          <w:sz w:val="20"/>
          <w:szCs w:val="20"/>
        </w:rPr>
        <w:t xml:space="preserve">a los representantes, al Estado, </w:t>
      </w:r>
      <w:r w:rsidRPr="0032746C">
        <w:rPr>
          <w:rFonts w:ascii="Verdana" w:hAnsi="Verdana" w:cs="Verdana"/>
          <w:sz w:val="20"/>
          <w:szCs w:val="20"/>
        </w:rPr>
        <w:t>a la Comisión Interamericana</w:t>
      </w:r>
      <w:r>
        <w:rPr>
          <w:rFonts w:ascii="Verdana" w:hAnsi="Verdana" w:cs="Verdana"/>
          <w:sz w:val="20"/>
          <w:szCs w:val="20"/>
        </w:rPr>
        <w:t xml:space="preserve"> </w:t>
      </w:r>
      <w:r w:rsidRPr="00863387">
        <w:rPr>
          <w:rFonts w:ascii="Verdana" w:hAnsi="Verdana" w:cs="Verdana"/>
          <w:sz w:val="20"/>
          <w:szCs w:val="20"/>
        </w:rPr>
        <w:t xml:space="preserve">y a la Secretaría de la Corte que notifiquen la presente Resolución a las personas por ellos propuestas, </w:t>
      </w:r>
      <w:r w:rsidRPr="00C1015B">
        <w:rPr>
          <w:rFonts w:ascii="Verdana" w:hAnsi="Verdana"/>
          <w:sz w:val="20"/>
          <w:szCs w:val="20"/>
          <w:lang w:val="es-CR" w:eastAsia="en-US"/>
        </w:rPr>
        <w:t>así como</w:t>
      </w:r>
      <w:r>
        <w:rPr>
          <w:rFonts w:ascii="Verdana" w:hAnsi="Verdana"/>
          <w:sz w:val="20"/>
          <w:szCs w:val="20"/>
          <w:lang w:val="es-CR" w:eastAsia="en-US"/>
        </w:rPr>
        <w:t xml:space="preserve"> al </w:t>
      </w:r>
      <w:r w:rsidRPr="00C1015B">
        <w:rPr>
          <w:rFonts w:ascii="Verdana" w:hAnsi="Verdana"/>
          <w:sz w:val="20"/>
          <w:szCs w:val="20"/>
          <w:lang w:val="es-CR" w:eastAsia="en-US"/>
        </w:rPr>
        <w:t xml:space="preserve">perito dispuesto de oficio por </w:t>
      </w:r>
      <w:r>
        <w:rPr>
          <w:rFonts w:ascii="Verdana" w:hAnsi="Verdana"/>
          <w:sz w:val="20"/>
          <w:szCs w:val="20"/>
          <w:lang w:val="es-CR" w:eastAsia="en-US"/>
        </w:rPr>
        <w:t>el Presidente</w:t>
      </w:r>
      <w:r w:rsidRPr="00863387">
        <w:rPr>
          <w:rFonts w:ascii="Verdana" w:hAnsi="Verdana" w:cs="Verdana"/>
          <w:sz w:val="20"/>
          <w:szCs w:val="20"/>
        </w:rPr>
        <w:t xml:space="preserve">, </w:t>
      </w:r>
      <w:r>
        <w:rPr>
          <w:rFonts w:ascii="Verdana" w:hAnsi="Verdana" w:cs="Verdana"/>
          <w:sz w:val="20"/>
          <w:szCs w:val="20"/>
        </w:rPr>
        <w:t xml:space="preserve">respectivamente, </w:t>
      </w:r>
      <w:r w:rsidRPr="0032746C">
        <w:rPr>
          <w:rFonts w:ascii="Verdana" w:hAnsi="Verdana" w:cs="Verdana"/>
          <w:sz w:val="20"/>
          <w:szCs w:val="20"/>
        </w:rPr>
        <w:t>que han sido convocadas a rendir declaración, de conformidad con lo dispuesto en el artículo 50.2 y 50.4 del Reglamento.</w:t>
      </w:r>
    </w:p>
    <w:p w:rsidR="00853121" w:rsidRPr="0032746C" w:rsidRDefault="00853121" w:rsidP="006518E4">
      <w:pPr>
        <w:jc w:val="both"/>
        <w:rPr>
          <w:rFonts w:ascii="Verdana" w:hAnsi="Verdana" w:cs="Verdana"/>
          <w:sz w:val="20"/>
          <w:szCs w:val="20"/>
        </w:rPr>
      </w:pPr>
    </w:p>
    <w:p w:rsidR="00853121" w:rsidRPr="00A35B5D" w:rsidRDefault="00853121" w:rsidP="006518E4">
      <w:pPr>
        <w:numPr>
          <w:ilvl w:val="0"/>
          <w:numId w:val="5"/>
        </w:numPr>
        <w:ind w:left="0" w:firstLine="0"/>
        <w:jc w:val="both"/>
        <w:rPr>
          <w:rFonts w:ascii="Verdana" w:hAnsi="Verdana" w:cs="Verdana"/>
          <w:sz w:val="20"/>
          <w:szCs w:val="20"/>
        </w:rPr>
      </w:pPr>
      <w:r w:rsidRPr="00A35B5D">
        <w:rPr>
          <w:rFonts w:ascii="Verdana" w:hAnsi="Verdana" w:cs="Verdana"/>
          <w:sz w:val="20"/>
          <w:szCs w:val="20"/>
        </w:rPr>
        <w:t>Informar a los representantes y a la Comisión Interamericana que deben cubrir los gastos que ocasione la aportación o rendición de la prueba propuesta por ellos, de conformidad con lo dispuesto en el artículo 60 del Reglamento.</w:t>
      </w:r>
    </w:p>
    <w:p w:rsidR="00853121" w:rsidRPr="00A35B5D" w:rsidRDefault="00853121" w:rsidP="006518E4">
      <w:pPr>
        <w:jc w:val="both"/>
        <w:rPr>
          <w:rFonts w:ascii="Verdana" w:hAnsi="Verdana" w:cs="Verdana"/>
          <w:sz w:val="20"/>
          <w:szCs w:val="20"/>
        </w:rPr>
      </w:pPr>
    </w:p>
    <w:p w:rsidR="00853121" w:rsidRPr="00A35B5D" w:rsidRDefault="00853121" w:rsidP="006518E4">
      <w:pPr>
        <w:numPr>
          <w:ilvl w:val="0"/>
          <w:numId w:val="5"/>
        </w:numPr>
        <w:autoSpaceDE w:val="0"/>
        <w:autoSpaceDN w:val="0"/>
        <w:ind w:left="0" w:firstLine="0"/>
        <w:jc w:val="both"/>
        <w:rPr>
          <w:rFonts w:ascii="Verdana" w:hAnsi="Verdana" w:cs="Verdana"/>
          <w:color w:val="000000"/>
          <w:sz w:val="20"/>
          <w:szCs w:val="20"/>
        </w:rPr>
      </w:pPr>
      <w:r w:rsidRPr="00A35B5D">
        <w:rPr>
          <w:rFonts w:ascii="Verdana" w:hAnsi="Verdana" w:cs="Verdana"/>
          <w:color w:val="000000"/>
          <w:sz w:val="20"/>
          <w:szCs w:val="20"/>
        </w:rPr>
        <w:t xml:space="preserve">Requerir a los representantes </w:t>
      </w:r>
      <w:r w:rsidR="00837477">
        <w:rPr>
          <w:rFonts w:ascii="Verdana" w:hAnsi="Verdana" w:cs="Verdana"/>
          <w:color w:val="000000"/>
          <w:sz w:val="20"/>
          <w:szCs w:val="20"/>
        </w:rPr>
        <w:t xml:space="preserve">y al perito Hernán Gullco, convocado de oficio por el Presidente, </w:t>
      </w:r>
      <w:r w:rsidRPr="00A35B5D">
        <w:rPr>
          <w:rFonts w:ascii="Verdana" w:hAnsi="Verdana" w:cs="Verdana"/>
          <w:color w:val="000000"/>
          <w:sz w:val="20"/>
          <w:szCs w:val="20"/>
        </w:rPr>
        <w:t xml:space="preserve">que </w:t>
      </w:r>
      <w:r w:rsidRPr="00A35B5D">
        <w:rPr>
          <w:rFonts w:ascii="Verdana" w:hAnsi="Verdana" w:cs="Verdana"/>
          <w:sz w:val="20"/>
          <w:szCs w:val="20"/>
          <w:lang w:val="es-ES_tradnl"/>
        </w:rPr>
        <w:t xml:space="preserve">remitan a la Corte una cotización del costo de la formalización de una declaración jurada en Argentina </w:t>
      </w:r>
      <w:r w:rsidR="00837477">
        <w:rPr>
          <w:rFonts w:ascii="Verdana" w:hAnsi="Verdana" w:cs="Verdana"/>
          <w:sz w:val="20"/>
          <w:szCs w:val="20"/>
          <w:lang w:val="es-ES_tradnl"/>
        </w:rPr>
        <w:t>y de su envío</w:t>
      </w:r>
      <w:r w:rsidR="0016156B">
        <w:rPr>
          <w:rFonts w:ascii="Verdana" w:hAnsi="Verdana" w:cs="Verdana"/>
          <w:sz w:val="20"/>
          <w:szCs w:val="20"/>
          <w:lang w:val="es-ES_tradnl"/>
        </w:rPr>
        <w:t xml:space="preserve"> a la sede de la Corte Interamericana de Derechos Humanos</w:t>
      </w:r>
      <w:r w:rsidR="00837477">
        <w:rPr>
          <w:rFonts w:ascii="Verdana" w:hAnsi="Verdana" w:cs="Verdana"/>
          <w:sz w:val="20"/>
          <w:szCs w:val="20"/>
          <w:lang w:val="es-ES_tradnl"/>
        </w:rPr>
        <w:t xml:space="preserve">, a más tardar el </w:t>
      </w:r>
      <w:r w:rsidR="006C5423">
        <w:rPr>
          <w:rFonts w:ascii="Verdana" w:hAnsi="Verdana" w:cs="Verdana"/>
          <w:sz w:val="20"/>
          <w:szCs w:val="20"/>
          <w:lang w:val="es-ES_tradnl"/>
        </w:rPr>
        <w:t>7</w:t>
      </w:r>
      <w:r w:rsidR="00414B8E">
        <w:rPr>
          <w:rFonts w:ascii="Verdana" w:hAnsi="Verdana" w:cs="Verdana"/>
          <w:sz w:val="20"/>
          <w:szCs w:val="20"/>
          <w:lang w:val="es-ES_tradnl"/>
        </w:rPr>
        <w:t xml:space="preserve"> de febrero </w:t>
      </w:r>
      <w:r w:rsidR="00837477">
        <w:rPr>
          <w:rFonts w:ascii="Verdana" w:hAnsi="Verdana" w:cs="Verdana"/>
          <w:sz w:val="20"/>
          <w:szCs w:val="20"/>
          <w:lang w:val="es-ES_tradnl"/>
        </w:rPr>
        <w:t>de 2012</w:t>
      </w:r>
      <w:r w:rsidRPr="00A35B5D">
        <w:rPr>
          <w:rFonts w:ascii="Verdana" w:hAnsi="Verdana" w:cs="Verdana"/>
          <w:sz w:val="20"/>
          <w:szCs w:val="20"/>
          <w:lang w:val="es-ES_tradnl"/>
        </w:rPr>
        <w:t>, así como los demás</w:t>
      </w:r>
      <w:r w:rsidR="00837477">
        <w:rPr>
          <w:rFonts w:ascii="Verdana" w:hAnsi="Verdana" w:cs="Verdana"/>
          <w:sz w:val="20"/>
          <w:szCs w:val="20"/>
          <w:lang w:val="es-ES_tradnl"/>
        </w:rPr>
        <w:t xml:space="preserve"> comprobantes de gastos </w:t>
      </w:r>
      <w:r w:rsidR="001134A1">
        <w:rPr>
          <w:rFonts w:ascii="Verdana" w:hAnsi="Verdana" w:cs="Verdana"/>
          <w:sz w:val="20"/>
          <w:szCs w:val="20"/>
          <w:lang w:val="es-ES_tradnl"/>
        </w:rPr>
        <w:t>pertinentes</w:t>
      </w:r>
      <w:r w:rsidRPr="00A35B5D">
        <w:rPr>
          <w:rFonts w:ascii="Verdana" w:hAnsi="Verdana" w:cs="Verdana"/>
          <w:sz w:val="20"/>
          <w:szCs w:val="20"/>
          <w:lang w:val="es-ES_tradnl"/>
        </w:rPr>
        <w:t>.</w:t>
      </w:r>
    </w:p>
    <w:p w:rsidR="00853121" w:rsidRPr="0032746C" w:rsidRDefault="00853121" w:rsidP="006518E4">
      <w:pPr>
        <w:jc w:val="both"/>
        <w:rPr>
          <w:rFonts w:ascii="Verdana" w:hAnsi="Verdana" w:cs="Verdana"/>
          <w:sz w:val="20"/>
          <w:szCs w:val="20"/>
        </w:rPr>
      </w:pPr>
    </w:p>
    <w:p w:rsidR="00853121" w:rsidRPr="0032746C" w:rsidRDefault="00853121" w:rsidP="006518E4">
      <w:pPr>
        <w:numPr>
          <w:ilvl w:val="0"/>
          <w:numId w:val="5"/>
        </w:numPr>
        <w:ind w:left="0" w:firstLine="0"/>
        <w:jc w:val="both"/>
        <w:rPr>
          <w:rFonts w:ascii="Verdana" w:hAnsi="Verdana" w:cs="Verdana"/>
          <w:sz w:val="20"/>
          <w:szCs w:val="20"/>
        </w:rPr>
      </w:pPr>
      <w:r w:rsidRPr="0032746C">
        <w:rPr>
          <w:rFonts w:ascii="Verdana" w:hAnsi="Verdana" w:cs="Verdana"/>
          <w:sz w:val="20"/>
          <w:szCs w:val="20"/>
        </w:rPr>
        <w:t xml:space="preserve">Requerir </w:t>
      </w:r>
      <w:r>
        <w:rPr>
          <w:rFonts w:ascii="Verdana" w:hAnsi="Verdana" w:cs="Verdana"/>
          <w:sz w:val="20"/>
          <w:szCs w:val="20"/>
        </w:rPr>
        <w:t xml:space="preserve">a los representantes, al Estado, </w:t>
      </w:r>
      <w:r w:rsidRPr="0032746C">
        <w:rPr>
          <w:rFonts w:ascii="Verdana" w:hAnsi="Verdana" w:cs="Verdana"/>
          <w:sz w:val="20"/>
          <w:szCs w:val="20"/>
        </w:rPr>
        <w:t>a la Comisión Interamericana</w:t>
      </w:r>
      <w:r>
        <w:rPr>
          <w:rFonts w:ascii="Verdana" w:hAnsi="Verdana" w:cs="Verdana"/>
          <w:sz w:val="20"/>
          <w:szCs w:val="20"/>
        </w:rPr>
        <w:t xml:space="preserve"> y a la Secretaría de la Corte </w:t>
      </w:r>
      <w:r w:rsidRPr="0032746C">
        <w:rPr>
          <w:rFonts w:ascii="Verdana" w:hAnsi="Verdana" w:cs="Verdana"/>
          <w:sz w:val="20"/>
          <w:szCs w:val="20"/>
        </w:rPr>
        <w:t xml:space="preserve">que informen a </w:t>
      </w:r>
      <w:r w:rsidRPr="00051541">
        <w:rPr>
          <w:rFonts w:ascii="Verdana" w:hAnsi="Verdana" w:cs="Verdana"/>
          <w:sz w:val="20"/>
          <w:szCs w:val="20"/>
        </w:rPr>
        <w:t>los declarantes</w:t>
      </w:r>
      <w:r w:rsidRPr="0032746C">
        <w:rPr>
          <w:rFonts w:ascii="Verdana" w:hAnsi="Verdana" w:cs="Verdana"/>
          <w:sz w:val="20"/>
          <w:szCs w:val="20"/>
        </w:rPr>
        <w:t xml:space="preserve"> convocados por la Corte para declarar que, según lo dispuesto en el artículo 54 del Reglamento, el Tribunal pondrá en conocimiento de</w:t>
      </w:r>
      <w:r>
        <w:rPr>
          <w:rFonts w:ascii="Verdana" w:hAnsi="Verdana" w:cs="Verdana"/>
          <w:sz w:val="20"/>
          <w:szCs w:val="20"/>
        </w:rPr>
        <w:t>l Estado</w:t>
      </w:r>
      <w:r w:rsidRPr="0032746C">
        <w:rPr>
          <w:rFonts w:ascii="Verdana" w:hAnsi="Verdana" w:cs="Verdana"/>
          <w:sz w:val="20"/>
          <w:szCs w:val="20"/>
        </w:rPr>
        <w:t xml:space="preserve"> los casos en que las personas requeridas para comparecer o declarar no comparecieren o rehusaren deponer sin motivo legítimo o que, en el parecer de la misma Corte, hayan violado el juramento o la declaración solemne, para los fines previstos en la legislación nacional correspondiente.</w:t>
      </w:r>
    </w:p>
    <w:p w:rsidR="00853121" w:rsidRPr="0032746C" w:rsidRDefault="00853121" w:rsidP="006518E4">
      <w:pPr>
        <w:jc w:val="both"/>
        <w:rPr>
          <w:rFonts w:ascii="Verdana" w:hAnsi="Verdana" w:cs="Verdana"/>
          <w:sz w:val="20"/>
          <w:szCs w:val="20"/>
        </w:rPr>
      </w:pPr>
    </w:p>
    <w:p w:rsidR="00853121" w:rsidRPr="0032746C" w:rsidRDefault="00853121" w:rsidP="006518E4">
      <w:pPr>
        <w:numPr>
          <w:ilvl w:val="0"/>
          <w:numId w:val="5"/>
        </w:numPr>
        <w:ind w:left="0" w:firstLine="0"/>
        <w:jc w:val="both"/>
        <w:rPr>
          <w:rFonts w:ascii="Verdana" w:hAnsi="Verdana" w:cs="Verdana"/>
          <w:sz w:val="20"/>
          <w:szCs w:val="20"/>
        </w:rPr>
      </w:pPr>
      <w:r w:rsidRPr="0032746C">
        <w:rPr>
          <w:rFonts w:ascii="Verdana" w:hAnsi="Verdana" w:cs="Verdana"/>
          <w:sz w:val="20"/>
          <w:szCs w:val="20"/>
        </w:rPr>
        <w:t>Informar a los representantes</w:t>
      </w:r>
      <w:r>
        <w:rPr>
          <w:rFonts w:ascii="Verdana" w:hAnsi="Verdana" w:cs="Verdana"/>
          <w:sz w:val="20"/>
          <w:szCs w:val="20"/>
        </w:rPr>
        <w:t>,</w:t>
      </w:r>
      <w:r w:rsidRPr="0032746C">
        <w:rPr>
          <w:rFonts w:ascii="Verdana" w:hAnsi="Verdana" w:cs="Verdana"/>
          <w:sz w:val="20"/>
          <w:szCs w:val="20"/>
        </w:rPr>
        <w:t xml:space="preserve"> </w:t>
      </w:r>
      <w:r w:rsidRPr="0032746C">
        <w:rPr>
          <w:rFonts w:ascii="Verdana" w:hAnsi="Verdana" w:cs="Verdana"/>
          <w:sz w:val="20"/>
          <w:szCs w:val="20"/>
          <w:lang w:val="es-CR"/>
        </w:rPr>
        <w:t xml:space="preserve">al Estado </w:t>
      </w:r>
      <w:r>
        <w:rPr>
          <w:rFonts w:ascii="Verdana" w:hAnsi="Verdana" w:cs="Verdana"/>
          <w:sz w:val="20"/>
          <w:szCs w:val="20"/>
          <w:lang w:val="es-CR"/>
        </w:rPr>
        <w:t xml:space="preserve">y a </w:t>
      </w:r>
      <w:r w:rsidRPr="0032746C">
        <w:rPr>
          <w:rFonts w:ascii="Verdana" w:hAnsi="Verdana" w:cs="Verdana"/>
          <w:sz w:val="20"/>
          <w:szCs w:val="20"/>
        </w:rPr>
        <w:t>la Comisión Interamericana</w:t>
      </w:r>
      <w:r>
        <w:rPr>
          <w:rFonts w:ascii="Verdana" w:hAnsi="Verdana" w:cs="Verdana"/>
          <w:sz w:val="20"/>
          <w:szCs w:val="20"/>
        </w:rPr>
        <w:t xml:space="preserve"> </w:t>
      </w:r>
      <w:r w:rsidRPr="0032746C">
        <w:rPr>
          <w:rFonts w:ascii="Verdana" w:hAnsi="Verdana" w:cs="Verdana"/>
          <w:sz w:val="20"/>
          <w:szCs w:val="20"/>
        </w:rPr>
        <w:t>que</w:t>
      </w:r>
      <w:r>
        <w:rPr>
          <w:rFonts w:ascii="Verdana" w:hAnsi="Verdana" w:cs="Verdana"/>
          <w:sz w:val="20"/>
          <w:szCs w:val="20"/>
        </w:rPr>
        <w:t>,</w:t>
      </w:r>
      <w:r w:rsidRPr="0032746C">
        <w:rPr>
          <w:rFonts w:ascii="Verdana" w:hAnsi="Verdana" w:cs="Verdana"/>
          <w:sz w:val="20"/>
          <w:szCs w:val="20"/>
        </w:rPr>
        <w:t xml:space="preserve"> al término de las declaraciones rendidas en la audiencia pública, podrán presentar ante el Tribunal sus alegatos finales orales</w:t>
      </w:r>
      <w:r w:rsidRPr="001D5CFE">
        <w:rPr>
          <w:rFonts w:ascii="Verdana" w:hAnsi="Verdana" w:cs="Verdana"/>
          <w:sz w:val="20"/>
          <w:szCs w:val="20"/>
        </w:rPr>
        <w:t xml:space="preserve"> </w:t>
      </w:r>
      <w:r>
        <w:rPr>
          <w:rFonts w:ascii="Verdana" w:hAnsi="Verdana" w:cs="Verdana"/>
          <w:sz w:val="20"/>
          <w:szCs w:val="20"/>
        </w:rPr>
        <w:t xml:space="preserve">y </w:t>
      </w:r>
      <w:r w:rsidRPr="0032746C">
        <w:rPr>
          <w:rFonts w:ascii="Verdana" w:hAnsi="Verdana" w:cs="Verdana"/>
          <w:sz w:val="20"/>
          <w:szCs w:val="20"/>
        </w:rPr>
        <w:t xml:space="preserve">observaciones finales orales, respectivamente, sobre </w:t>
      </w:r>
      <w:r>
        <w:rPr>
          <w:rFonts w:ascii="Verdana" w:hAnsi="Verdana" w:cs="Verdana"/>
          <w:sz w:val="20"/>
          <w:szCs w:val="20"/>
        </w:rPr>
        <w:t xml:space="preserve">las excepciones preliminares y eventuales </w:t>
      </w:r>
      <w:r w:rsidRPr="0032746C">
        <w:rPr>
          <w:rFonts w:ascii="Verdana" w:hAnsi="Verdana" w:cs="Verdana"/>
          <w:sz w:val="20"/>
          <w:szCs w:val="20"/>
        </w:rPr>
        <w:t>fondo</w:t>
      </w:r>
      <w:r>
        <w:rPr>
          <w:rFonts w:ascii="Verdana" w:hAnsi="Verdana" w:cs="Verdana"/>
          <w:sz w:val="20"/>
          <w:szCs w:val="20"/>
        </w:rPr>
        <w:t>,</w:t>
      </w:r>
      <w:r w:rsidRPr="0032746C">
        <w:rPr>
          <w:rFonts w:ascii="Verdana" w:hAnsi="Verdana" w:cs="Verdana"/>
          <w:sz w:val="20"/>
          <w:szCs w:val="20"/>
        </w:rPr>
        <w:t xml:space="preserve"> reparaciones y costas en el presente caso.</w:t>
      </w:r>
    </w:p>
    <w:p w:rsidR="00853121" w:rsidRPr="0032746C" w:rsidRDefault="00853121" w:rsidP="006518E4">
      <w:pPr>
        <w:jc w:val="both"/>
        <w:rPr>
          <w:rFonts w:ascii="Verdana" w:hAnsi="Verdana" w:cs="Verdana"/>
          <w:sz w:val="20"/>
          <w:szCs w:val="20"/>
        </w:rPr>
      </w:pPr>
    </w:p>
    <w:p w:rsidR="00853121" w:rsidRPr="0032746C" w:rsidRDefault="00853121" w:rsidP="006518E4">
      <w:pPr>
        <w:numPr>
          <w:ilvl w:val="0"/>
          <w:numId w:val="5"/>
        </w:numPr>
        <w:ind w:left="0" w:firstLine="0"/>
        <w:jc w:val="both"/>
        <w:rPr>
          <w:rFonts w:ascii="Verdana" w:hAnsi="Verdana" w:cs="Verdana"/>
          <w:sz w:val="20"/>
          <w:szCs w:val="20"/>
        </w:rPr>
      </w:pPr>
      <w:r w:rsidRPr="0032746C">
        <w:rPr>
          <w:rFonts w:ascii="Verdana" w:hAnsi="Verdana" w:cs="Verdana"/>
          <w:sz w:val="20"/>
          <w:szCs w:val="20"/>
        </w:rPr>
        <w:t>Disponer que la Secretaría de la Corte, de conformidad con lo dispuesto en el artículo 55.3 del Reglamento, remita a los representantes</w:t>
      </w:r>
      <w:r>
        <w:rPr>
          <w:rFonts w:ascii="Verdana" w:hAnsi="Verdana" w:cs="Verdana"/>
          <w:sz w:val="20"/>
          <w:szCs w:val="20"/>
        </w:rPr>
        <w:t>, al Estado y a</w:t>
      </w:r>
      <w:r w:rsidRPr="0032746C">
        <w:rPr>
          <w:rFonts w:ascii="Verdana" w:hAnsi="Verdana" w:cs="Verdana"/>
          <w:sz w:val="20"/>
          <w:szCs w:val="20"/>
        </w:rPr>
        <w:t xml:space="preserve"> la Comisión Interamericana</w:t>
      </w:r>
      <w:r w:rsidRPr="0032746C">
        <w:rPr>
          <w:rFonts w:ascii="Verdana" w:hAnsi="Verdana" w:cs="Verdana"/>
          <w:sz w:val="20"/>
          <w:szCs w:val="20"/>
          <w:lang w:val="es-CR"/>
        </w:rPr>
        <w:t xml:space="preserve"> </w:t>
      </w:r>
      <w:r w:rsidRPr="0032746C">
        <w:rPr>
          <w:rFonts w:ascii="Verdana" w:hAnsi="Verdana" w:cs="Verdana"/>
          <w:sz w:val="20"/>
          <w:szCs w:val="20"/>
        </w:rPr>
        <w:t xml:space="preserve">una copia de la grabación de la audiencia pública sobre </w:t>
      </w:r>
      <w:r>
        <w:rPr>
          <w:rFonts w:ascii="Verdana" w:hAnsi="Verdana" w:cs="Verdana"/>
          <w:sz w:val="20"/>
          <w:szCs w:val="20"/>
        </w:rPr>
        <w:t xml:space="preserve">las excepciones preliminares y eventuales </w:t>
      </w:r>
      <w:r w:rsidRPr="0032746C">
        <w:rPr>
          <w:rFonts w:ascii="Verdana" w:hAnsi="Verdana" w:cs="Verdana"/>
          <w:sz w:val="20"/>
          <w:szCs w:val="20"/>
        </w:rPr>
        <w:t>fondo</w:t>
      </w:r>
      <w:r>
        <w:rPr>
          <w:rFonts w:ascii="Verdana" w:hAnsi="Verdana" w:cs="Verdana"/>
          <w:sz w:val="20"/>
          <w:szCs w:val="20"/>
        </w:rPr>
        <w:t>,</w:t>
      </w:r>
      <w:r w:rsidRPr="0032746C">
        <w:rPr>
          <w:rFonts w:ascii="Verdana" w:hAnsi="Verdana" w:cs="Verdana"/>
          <w:sz w:val="20"/>
          <w:szCs w:val="20"/>
        </w:rPr>
        <w:t xml:space="preserve"> reparaciones y costas, a la brevedad posible. </w:t>
      </w:r>
    </w:p>
    <w:p w:rsidR="00853121" w:rsidRPr="0032746C" w:rsidRDefault="00853121" w:rsidP="006518E4">
      <w:pPr>
        <w:jc w:val="both"/>
        <w:rPr>
          <w:rFonts w:ascii="Verdana" w:hAnsi="Verdana" w:cs="Verdana"/>
          <w:sz w:val="20"/>
          <w:szCs w:val="20"/>
        </w:rPr>
      </w:pPr>
    </w:p>
    <w:p w:rsidR="00853121" w:rsidRPr="0081340E" w:rsidRDefault="00853121" w:rsidP="006518E4">
      <w:pPr>
        <w:numPr>
          <w:ilvl w:val="0"/>
          <w:numId w:val="5"/>
        </w:numPr>
        <w:ind w:left="0" w:firstLine="0"/>
        <w:jc w:val="both"/>
        <w:rPr>
          <w:rFonts w:ascii="Verdana" w:hAnsi="Verdana" w:cs="Verdana"/>
          <w:sz w:val="20"/>
          <w:szCs w:val="20"/>
        </w:rPr>
      </w:pPr>
      <w:bookmarkStart w:id="20" w:name="_Ref283811836"/>
      <w:r w:rsidRPr="0032746C">
        <w:rPr>
          <w:rFonts w:ascii="Verdana" w:hAnsi="Verdana" w:cs="Verdana"/>
          <w:sz w:val="20"/>
          <w:szCs w:val="20"/>
        </w:rPr>
        <w:t xml:space="preserve">Informar a </w:t>
      </w:r>
      <w:r w:rsidRPr="00914828">
        <w:rPr>
          <w:rFonts w:ascii="Verdana" w:hAnsi="Verdana" w:cs="Verdana"/>
          <w:sz w:val="20"/>
          <w:szCs w:val="20"/>
        </w:rPr>
        <w:t xml:space="preserve">los representantes, </w:t>
      </w:r>
      <w:r w:rsidRPr="00914828">
        <w:rPr>
          <w:rFonts w:ascii="Verdana" w:hAnsi="Verdana" w:cs="Verdana"/>
          <w:sz w:val="20"/>
          <w:szCs w:val="20"/>
          <w:lang w:val="es-CR"/>
        </w:rPr>
        <w:t xml:space="preserve">al Estado y </w:t>
      </w:r>
      <w:r w:rsidRPr="00914828">
        <w:rPr>
          <w:rFonts w:ascii="Verdana" w:hAnsi="Verdana" w:cs="Verdana"/>
          <w:sz w:val="20"/>
          <w:szCs w:val="20"/>
        </w:rPr>
        <w:t xml:space="preserve">a la Comisión Interamericana que cuentan con un plazo hasta el </w:t>
      </w:r>
      <w:r w:rsidR="00A63E3D">
        <w:rPr>
          <w:rFonts w:ascii="Verdana" w:hAnsi="Verdana" w:cs="Verdana"/>
          <w:bCs/>
          <w:sz w:val="20"/>
          <w:szCs w:val="20"/>
        </w:rPr>
        <w:t>28 de abril de 2012</w:t>
      </w:r>
      <w:r w:rsidRPr="00914828">
        <w:rPr>
          <w:rFonts w:ascii="Verdana" w:hAnsi="Verdana" w:cs="Verdana"/>
          <w:sz w:val="20"/>
          <w:szCs w:val="20"/>
        </w:rPr>
        <w:t xml:space="preserve"> para presentar sus</w:t>
      </w:r>
      <w:r w:rsidRPr="00914828" w:rsidDel="00DD08AA">
        <w:rPr>
          <w:rFonts w:ascii="Verdana" w:hAnsi="Verdana" w:cs="Verdana"/>
          <w:sz w:val="20"/>
          <w:szCs w:val="20"/>
        </w:rPr>
        <w:t xml:space="preserve"> </w:t>
      </w:r>
      <w:r w:rsidRPr="00914828">
        <w:rPr>
          <w:rFonts w:ascii="Verdana" w:hAnsi="Verdana" w:cs="Verdana"/>
          <w:sz w:val="20"/>
          <w:szCs w:val="20"/>
        </w:rPr>
        <w:t>alegatos finales escritos y observaciones finales escritas, respectivamente, en relación con las excepciones preliminares y eventuales fondo, reparaciones y costas</w:t>
      </w:r>
      <w:r w:rsidRPr="0032746C">
        <w:rPr>
          <w:rFonts w:ascii="Verdana" w:hAnsi="Verdana" w:cs="Verdana"/>
          <w:sz w:val="20"/>
          <w:szCs w:val="20"/>
        </w:rPr>
        <w:t xml:space="preserve"> en el presente caso. Este plazo es improrrogable e independiente de la remisión de la copia de la grabación de la audiencia pública.</w:t>
      </w:r>
      <w:bookmarkEnd w:id="20"/>
    </w:p>
    <w:p w:rsidR="00853121" w:rsidRPr="0081340E" w:rsidRDefault="00853121" w:rsidP="006518E4">
      <w:pPr>
        <w:jc w:val="both"/>
        <w:rPr>
          <w:rFonts w:ascii="Verdana" w:hAnsi="Verdana" w:cs="Verdana"/>
          <w:sz w:val="20"/>
          <w:szCs w:val="20"/>
        </w:rPr>
      </w:pPr>
    </w:p>
    <w:p w:rsidR="00853121" w:rsidRPr="003D3763" w:rsidRDefault="00853121" w:rsidP="006518E4">
      <w:pPr>
        <w:numPr>
          <w:ilvl w:val="0"/>
          <w:numId w:val="5"/>
        </w:numPr>
        <w:ind w:left="0" w:firstLine="0"/>
        <w:jc w:val="both"/>
        <w:rPr>
          <w:rFonts w:ascii="Verdana" w:hAnsi="Verdana" w:cs="Verdana"/>
          <w:sz w:val="20"/>
          <w:szCs w:val="20"/>
        </w:rPr>
      </w:pPr>
      <w:r w:rsidRPr="003D3763">
        <w:rPr>
          <w:rFonts w:ascii="Verdana" w:hAnsi="Verdana" w:cs="Verdana"/>
          <w:sz w:val="20"/>
          <w:szCs w:val="20"/>
        </w:rPr>
        <w:t xml:space="preserve">Disponer, de conformidad con el artículo 4 del Reglamento de la Corte sobre el Funcionamiento del Fondo de Asistencia Legal de Víctimas, que la Secretaría del Tribunal </w:t>
      </w:r>
      <w:r w:rsidRPr="003D3763">
        <w:rPr>
          <w:rFonts w:ascii="Verdana" w:hAnsi="Verdana" w:cs="Verdana"/>
          <w:sz w:val="20"/>
          <w:szCs w:val="20"/>
        </w:rPr>
        <w:lastRenderedPageBreak/>
        <w:t>abra un expediente de gastos, donde se documentará cada una de las erogaciones que se realicen en relación con el Fondo de Asistencia Legal de Víctimas.</w:t>
      </w:r>
    </w:p>
    <w:p w:rsidR="00853121" w:rsidRPr="0032746C" w:rsidRDefault="00853121" w:rsidP="006518E4">
      <w:pPr>
        <w:autoSpaceDE w:val="0"/>
        <w:autoSpaceDN w:val="0"/>
        <w:adjustRightInd w:val="0"/>
        <w:jc w:val="both"/>
        <w:rPr>
          <w:rFonts w:ascii="Verdana" w:hAnsi="Verdana" w:cs="Verdana"/>
          <w:sz w:val="20"/>
          <w:szCs w:val="20"/>
        </w:rPr>
      </w:pPr>
    </w:p>
    <w:p w:rsidR="00853121" w:rsidRPr="00137ADD" w:rsidRDefault="00853121" w:rsidP="00722639">
      <w:pPr>
        <w:numPr>
          <w:ilvl w:val="0"/>
          <w:numId w:val="5"/>
        </w:numPr>
        <w:ind w:left="0" w:firstLine="0"/>
        <w:jc w:val="both"/>
        <w:rPr>
          <w:rFonts w:ascii="Verdana" w:hAnsi="Verdana" w:cs="Verdana"/>
          <w:sz w:val="20"/>
          <w:szCs w:val="20"/>
        </w:rPr>
      </w:pPr>
      <w:r w:rsidRPr="0032746C">
        <w:rPr>
          <w:rFonts w:ascii="Verdana" w:hAnsi="Verdana" w:cs="Verdana"/>
          <w:sz w:val="20"/>
          <w:szCs w:val="20"/>
        </w:rPr>
        <w:t>Disponer que la Secretaría de la Corte Interamericana notifique la presente Resolución a los representantes de las presuntas víctimas</w:t>
      </w:r>
      <w:r>
        <w:rPr>
          <w:rFonts w:ascii="Verdana" w:hAnsi="Verdana" w:cs="Verdana"/>
          <w:sz w:val="20"/>
          <w:szCs w:val="20"/>
        </w:rPr>
        <w:t>,</w:t>
      </w:r>
      <w:r w:rsidRPr="0032746C">
        <w:rPr>
          <w:rFonts w:ascii="Verdana" w:hAnsi="Verdana" w:cs="Verdana"/>
          <w:sz w:val="20"/>
          <w:szCs w:val="20"/>
        </w:rPr>
        <w:t xml:space="preserve"> </w:t>
      </w:r>
      <w:r w:rsidRPr="0032746C">
        <w:rPr>
          <w:rFonts w:ascii="Verdana" w:hAnsi="Verdana" w:cs="Verdana"/>
          <w:sz w:val="20"/>
          <w:szCs w:val="20"/>
          <w:lang w:val="es-CR"/>
        </w:rPr>
        <w:t xml:space="preserve">a </w:t>
      </w:r>
      <w:r>
        <w:rPr>
          <w:rFonts w:ascii="Verdana" w:hAnsi="Verdana" w:cs="Verdana"/>
          <w:sz w:val="20"/>
          <w:szCs w:val="20"/>
          <w:lang w:val="es-CR"/>
        </w:rPr>
        <w:t xml:space="preserve">la </w:t>
      </w:r>
      <w:r w:rsidRPr="0032746C">
        <w:rPr>
          <w:rFonts w:ascii="Verdana" w:hAnsi="Verdana" w:cs="Verdana"/>
          <w:sz w:val="20"/>
          <w:szCs w:val="20"/>
          <w:lang w:val="es-CR"/>
        </w:rPr>
        <w:t xml:space="preserve">República </w:t>
      </w:r>
      <w:r>
        <w:rPr>
          <w:rFonts w:ascii="Verdana" w:hAnsi="Verdana" w:cs="Verdana"/>
          <w:sz w:val="20"/>
          <w:szCs w:val="20"/>
          <w:lang w:val="es-CR"/>
        </w:rPr>
        <w:t xml:space="preserve">Argentina </w:t>
      </w:r>
      <w:r>
        <w:rPr>
          <w:rFonts w:ascii="Verdana" w:hAnsi="Verdana" w:cs="Verdana"/>
          <w:sz w:val="20"/>
          <w:szCs w:val="20"/>
        </w:rPr>
        <w:t xml:space="preserve">y a </w:t>
      </w:r>
      <w:r w:rsidRPr="0032746C">
        <w:rPr>
          <w:rFonts w:ascii="Verdana" w:hAnsi="Verdana" w:cs="Verdana"/>
          <w:sz w:val="20"/>
          <w:szCs w:val="20"/>
        </w:rPr>
        <w:t>la Comisión Int</w:t>
      </w:r>
      <w:r>
        <w:rPr>
          <w:rFonts w:ascii="Verdana" w:hAnsi="Verdana" w:cs="Verdana"/>
          <w:sz w:val="20"/>
          <w:szCs w:val="20"/>
        </w:rPr>
        <w:t>eramericana de Derechos Humanos</w:t>
      </w:r>
      <w:r w:rsidRPr="0032746C">
        <w:rPr>
          <w:rFonts w:ascii="Verdana" w:hAnsi="Verdana" w:cs="Verdana"/>
          <w:sz w:val="20"/>
          <w:szCs w:val="20"/>
          <w:lang w:val="es-CR"/>
        </w:rPr>
        <w:t>.</w:t>
      </w:r>
    </w:p>
    <w:p w:rsidR="00137ADD" w:rsidRDefault="00137ADD" w:rsidP="00137ADD">
      <w:pPr>
        <w:pStyle w:val="ListParagraph"/>
        <w:rPr>
          <w:rFonts w:ascii="Verdana" w:hAnsi="Verdana" w:cs="Verdana"/>
          <w:sz w:val="20"/>
          <w:szCs w:val="20"/>
        </w:rPr>
      </w:pPr>
    </w:p>
    <w:p w:rsidR="00137ADD" w:rsidRDefault="00137ADD" w:rsidP="00137ADD">
      <w:pPr>
        <w:ind w:left="5040"/>
        <w:jc w:val="right"/>
        <w:rPr>
          <w:rFonts w:ascii="Verdana" w:hAnsi="Verdana"/>
          <w:sz w:val="20"/>
        </w:rPr>
      </w:pPr>
    </w:p>
    <w:p w:rsidR="00137ADD" w:rsidRDefault="00137ADD" w:rsidP="00137ADD">
      <w:pPr>
        <w:ind w:left="5040"/>
        <w:jc w:val="right"/>
        <w:rPr>
          <w:rFonts w:ascii="Verdana" w:hAnsi="Verdana"/>
          <w:sz w:val="20"/>
        </w:rPr>
      </w:pPr>
    </w:p>
    <w:p w:rsidR="00137ADD" w:rsidRDefault="00137ADD" w:rsidP="00137ADD">
      <w:pPr>
        <w:ind w:left="5040"/>
        <w:jc w:val="right"/>
        <w:rPr>
          <w:rFonts w:ascii="Verdana" w:hAnsi="Verdana"/>
          <w:sz w:val="20"/>
        </w:rPr>
      </w:pPr>
    </w:p>
    <w:p w:rsidR="00137ADD" w:rsidRDefault="00137ADD" w:rsidP="00137ADD">
      <w:pPr>
        <w:ind w:left="5040"/>
        <w:jc w:val="right"/>
        <w:rPr>
          <w:rFonts w:ascii="Verdana" w:hAnsi="Verdana"/>
          <w:sz w:val="20"/>
        </w:rPr>
      </w:pPr>
    </w:p>
    <w:p w:rsidR="00137ADD" w:rsidRDefault="00137ADD" w:rsidP="00137ADD">
      <w:pPr>
        <w:ind w:left="5040"/>
        <w:jc w:val="right"/>
        <w:rPr>
          <w:rFonts w:ascii="Verdana" w:hAnsi="Verdana"/>
          <w:sz w:val="20"/>
        </w:rPr>
      </w:pPr>
    </w:p>
    <w:p w:rsidR="00137ADD" w:rsidRDefault="00137ADD" w:rsidP="00137ADD">
      <w:pPr>
        <w:ind w:left="5040"/>
        <w:jc w:val="right"/>
        <w:rPr>
          <w:rFonts w:ascii="Verdana" w:hAnsi="Verdana"/>
          <w:sz w:val="20"/>
        </w:rPr>
      </w:pPr>
    </w:p>
    <w:p w:rsidR="00137ADD" w:rsidRDefault="00137ADD" w:rsidP="00137ADD">
      <w:pPr>
        <w:ind w:left="5040"/>
        <w:jc w:val="right"/>
        <w:rPr>
          <w:rFonts w:ascii="Verdana" w:hAnsi="Verdana"/>
          <w:sz w:val="20"/>
        </w:rPr>
      </w:pPr>
    </w:p>
    <w:p w:rsidR="00137ADD" w:rsidRDefault="00137ADD" w:rsidP="00137ADD">
      <w:pPr>
        <w:ind w:left="5040"/>
        <w:jc w:val="right"/>
        <w:rPr>
          <w:rFonts w:ascii="Verdana" w:hAnsi="Verdana"/>
          <w:sz w:val="20"/>
        </w:rPr>
      </w:pPr>
    </w:p>
    <w:p w:rsidR="00137ADD" w:rsidRDefault="00137ADD" w:rsidP="00137ADD">
      <w:pPr>
        <w:ind w:left="5040"/>
        <w:jc w:val="right"/>
        <w:rPr>
          <w:rFonts w:ascii="Verdana" w:hAnsi="Verdana"/>
          <w:sz w:val="20"/>
        </w:rPr>
      </w:pPr>
    </w:p>
    <w:p w:rsidR="00137ADD" w:rsidRDefault="00137ADD" w:rsidP="00137ADD">
      <w:pPr>
        <w:ind w:left="5040"/>
        <w:jc w:val="right"/>
        <w:rPr>
          <w:rFonts w:ascii="Verdana" w:hAnsi="Verdana"/>
          <w:sz w:val="20"/>
        </w:rPr>
      </w:pPr>
    </w:p>
    <w:p w:rsidR="00137ADD" w:rsidRDefault="00137ADD" w:rsidP="00137ADD">
      <w:pPr>
        <w:ind w:left="5040"/>
        <w:jc w:val="center"/>
        <w:rPr>
          <w:rFonts w:ascii="Verdana" w:hAnsi="Verdana"/>
          <w:sz w:val="20"/>
        </w:rPr>
      </w:pPr>
    </w:p>
    <w:p w:rsidR="00137ADD" w:rsidRDefault="00137ADD" w:rsidP="00137ADD">
      <w:pPr>
        <w:ind w:left="5040"/>
        <w:jc w:val="center"/>
        <w:rPr>
          <w:rFonts w:ascii="Verdana" w:hAnsi="Verdana"/>
          <w:sz w:val="20"/>
        </w:rPr>
      </w:pPr>
    </w:p>
    <w:p w:rsidR="00137ADD" w:rsidRDefault="00137ADD" w:rsidP="00137ADD">
      <w:pPr>
        <w:ind w:left="5040"/>
        <w:jc w:val="right"/>
        <w:rPr>
          <w:rFonts w:ascii="Verdana" w:hAnsi="Verdana"/>
          <w:sz w:val="20"/>
        </w:rPr>
      </w:pPr>
    </w:p>
    <w:p w:rsidR="00137ADD" w:rsidRPr="00FB3CC9" w:rsidRDefault="00137ADD" w:rsidP="00137ADD">
      <w:pPr>
        <w:ind w:left="5040"/>
        <w:jc w:val="right"/>
        <w:rPr>
          <w:rFonts w:ascii="Verdana" w:hAnsi="Verdana"/>
          <w:sz w:val="20"/>
        </w:rPr>
      </w:pPr>
      <w:r>
        <w:rPr>
          <w:rFonts w:ascii="Verdana" w:hAnsi="Verdana"/>
          <w:sz w:val="20"/>
        </w:rPr>
        <w:t>Diego García-Sayán</w:t>
      </w:r>
    </w:p>
    <w:p w:rsidR="00137ADD" w:rsidRPr="00FB3CC9" w:rsidRDefault="00137ADD" w:rsidP="00137ADD">
      <w:pPr>
        <w:ind w:right="630"/>
        <w:jc w:val="right"/>
        <w:rPr>
          <w:rFonts w:ascii="Verdana" w:hAnsi="Verdana"/>
          <w:sz w:val="20"/>
        </w:rPr>
      </w:pPr>
      <w:r w:rsidRPr="00FB3CC9">
        <w:rPr>
          <w:rFonts w:ascii="Verdana" w:hAnsi="Verdana"/>
          <w:sz w:val="20"/>
        </w:rPr>
        <w:t xml:space="preserve">                  President</w:t>
      </w:r>
      <w:r>
        <w:rPr>
          <w:rFonts w:ascii="Verdana" w:hAnsi="Verdana"/>
          <w:sz w:val="20"/>
        </w:rPr>
        <w:t>e</w:t>
      </w:r>
    </w:p>
    <w:p w:rsidR="00137ADD" w:rsidRPr="00FB3CC9" w:rsidRDefault="00137ADD" w:rsidP="00137ADD">
      <w:pPr>
        <w:jc w:val="both"/>
        <w:rPr>
          <w:rFonts w:ascii="Verdana" w:hAnsi="Verdana"/>
          <w:sz w:val="20"/>
        </w:rPr>
      </w:pPr>
    </w:p>
    <w:p w:rsidR="00137ADD" w:rsidRPr="00FB3CC9" w:rsidRDefault="00137ADD" w:rsidP="00137ADD">
      <w:pPr>
        <w:jc w:val="both"/>
        <w:rPr>
          <w:rFonts w:ascii="Verdana" w:hAnsi="Verdana"/>
          <w:sz w:val="20"/>
        </w:rPr>
      </w:pPr>
    </w:p>
    <w:p w:rsidR="00137ADD" w:rsidRPr="00FB3CC9" w:rsidRDefault="00137ADD" w:rsidP="00137ADD">
      <w:pPr>
        <w:jc w:val="both"/>
        <w:rPr>
          <w:rFonts w:ascii="Verdana" w:hAnsi="Verdana"/>
          <w:sz w:val="20"/>
        </w:rPr>
      </w:pPr>
    </w:p>
    <w:p w:rsidR="00137ADD" w:rsidRPr="00FB3CC9" w:rsidRDefault="00137ADD" w:rsidP="00137ADD">
      <w:pPr>
        <w:jc w:val="both"/>
        <w:rPr>
          <w:rFonts w:ascii="Verdana" w:hAnsi="Verdana"/>
          <w:sz w:val="20"/>
        </w:rPr>
      </w:pPr>
    </w:p>
    <w:p w:rsidR="00137ADD" w:rsidRPr="00FB3CC9" w:rsidRDefault="00137ADD" w:rsidP="00137ADD">
      <w:pPr>
        <w:jc w:val="both"/>
        <w:rPr>
          <w:rFonts w:ascii="Verdana" w:hAnsi="Verdana"/>
          <w:sz w:val="20"/>
        </w:rPr>
      </w:pPr>
    </w:p>
    <w:p w:rsidR="00137ADD" w:rsidRDefault="00137ADD" w:rsidP="00137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r>
        <w:rPr>
          <w:rFonts w:ascii="Verdana" w:hAnsi="Verdana"/>
          <w:sz w:val="20"/>
        </w:rPr>
        <w:t>Pablo Saavedra Alessandri</w:t>
      </w:r>
    </w:p>
    <w:p w:rsidR="00137ADD" w:rsidRDefault="00137ADD" w:rsidP="00137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r>
        <w:rPr>
          <w:rFonts w:ascii="Verdana" w:hAnsi="Verdana"/>
          <w:sz w:val="20"/>
        </w:rPr>
        <w:tab/>
        <w:t xml:space="preserve">  Secretario</w:t>
      </w:r>
    </w:p>
    <w:p w:rsidR="00137ADD" w:rsidRDefault="00137ADD" w:rsidP="00137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137ADD" w:rsidRDefault="00137ADD" w:rsidP="00137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137ADD" w:rsidRDefault="00137ADD" w:rsidP="00137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137ADD" w:rsidRDefault="00137ADD" w:rsidP="00137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137ADD" w:rsidRDefault="00137ADD" w:rsidP="00137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p>
    <w:p w:rsidR="00137ADD" w:rsidRDefault="00137ADD" w:rsidP="00137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sz w:val="20"/>
        </w:rPr>
      </w:pPr>
      <w:r>
        <w:rPr>
          <w:rFonts w:ascii="Verdana" w:hAnsi="Verdana"/>
          <w:sz w:val="20"/>
        </w:rPr>
        <w:t>Comuníquese y ejecútese,</w:t>
      </w:r>
    </w:p>
    <w:p w:rsidR="00137ADD" w:rsidRPr="00FB3CC9" w:rsidRDefault="00137ADD" w:rsidP="00137ADD">
      <w:pPr>
        <w:jc w:val="both"/>
        <w:rPr>
          <w:rFonts w:ascii="Verdana" w:hAnsi="Verdana"/>
          <w:sz w:val="20"/>
        </w:rPr>
      </w:pPr>
    </w:p>
    <w:p w:rsidR="00137ADD" w:rsidRPr="00FB3CC9" w:rsidRDefault="00137ADD" w:rsidP="00137ADD">
      <w:pPr>
        <w:jc w:val="both"/>
        <w:rPr>
          <w:rFonts w:ascii="Verdana" w:hAnsi="Verdana"/>
          <w:sz w:val="20"/>
        </w:rPr>
      </w:pPr>
    </w:p>
    <w:p w:rsidR="00137ADD" w:rsidRPr="00FB3CC9" w:rsidRDefault="00137ADD" w:rsidP="00137ADD">
      <w:pPr>
        <w:jc w:val="both"/>
        <w:rPr>
          <w:rFonts w:ascii="Verdana" w:hAnsi="Verdana"/>
          <w:sz w:val="20"/>
        </w:rPr>
      </w:pPr>
    </w:p>
    <w:p w:rsidR="00137ADD" w:rsidRPr="00FB3CC9" w:rsidRDefault="00137ADD" w:rsidP="00137ADD">
      <w:pPr>
        <w:jc w:val="both"/>
        <w:rPr>
          <w:rFonts w:ascii="Verdana" w:hAnsi="Verdana"/>
          <w:sz w:val="20"/>
        </w:rPr>
      </w:pPr>
    </w:p>
    <w:p w:rsidR="00137ADD" w:rsidRPr="00FB3CC9" w:rsidRDefault="00137ADD" w:rsidP="00137ADD">
      <w:pPr>
        <w:jc w:val="both"/>
        <w:rPr>
          <w:rFonts w:ascii="Verdana" w:hAnsi="Verdana"/>
          <w:sz w:val="20"/>
        </w:rPr>
      </w:pPr>
    </w:p>
    <w:p w:rsidR="00137ADD" w:rsidRPr="00FB3CC9" w:rsidRDefault="00137ADD" w:rsidP="00137ADD">
      <w:pPr>
        <w:ind w:left="5040"/>
        <w:jc w:val="right"/>
        <w:rPr>
          <w:rFonts w:ascii="Verdana" w:hAnsi="Verdana"/>
          <w:sz w:val="20"/>
        </w:rPr>
      </w:pPr>
      <w:r>
        <w:rPr>
          <w:rFonts w:ascii="Verdana" w:hAnsi="Verdana"/>
          <w:sz w:val="20"/>
        </w:rPr>
        <w:t>Diego García-Sayán</w:t>
      </w:r>
    </w:p>
    <w:p w:rsidR="00137ADD" w:rsidRPr="004132D1" w:rsidRDefault="00137ADD" w:rsidP="00137ADD">
      <w:pPr>
        <w:ind w:right="630"/>
        <w:jc w:val="right"/>
        <w:rPr>
          <w:rFonts w:ascii="Verdana" w:hAnsi="Verdana"/>
          <w:sz w:val="20"/>
        </w:rPr>
      </w:pPr>
      <w:r w:rsidRPr="00FB3CC9">
        <w:rPr>
          <w:rFonts w:ascii="Verdana" w:hAnsi="Verdana"/>
          <w:sz w:val="20"/>
        </w:rPr>
        <w:t xml:space="preserve">                  </w:t>
      </w:r>
      <w:r w:rsidRPr="004132D1">
        <w:rPr>
          <w:rFonts w:ascii="Verdana" w:hAnsi="Verdana"/>
          <w:sz w:val="20"/>
        </w:rPr>
        <w:t>President</w:t>
      </w:r>
      <w:r w:rsidR="00B559C5">
        <w:rPr>
          <w:rFonts w:ascii="Verdana" w:hAnsi="Verdana"/>
          <w:sz w:val="20"/>
        </w:rPr>
        <w:t>e</w:t>
      </w:r>
    </w:p>
    <w:p w:rsidR="00137ADD" w:rsidRPr="004132D1" w:rsidRDefault="00137ADD" w:rsidP="00137ADD">
      <w:pPr>
        <w:jc w:val="both"/>
        <w:rPr>
          <w:rFonts w:ascii="Verdana" w:hAnsi="Verdana"/>
          <w:sz w:val="20"/>
        </w:rPr>
      </w:pPr>
    </w:p>
    <w:p w:rsidR="00137ADD" w:rsidRPr="004132D1" w:rsidRDefault="00137ADD" w:rsidP="00137ADD">
      <w:pPr>
        <w:jc w:val="both"/>
        <w:rPr>
          <w:rFonts w:ascii="Verdana" w:hAnsi="Verdana"/>
          <w:sz w:val="20"/>
        </w:rPr>
      </w:pPr>
    </w:p>
    <w:p w:rsidR="00137ADD" w:rsidRPr="004132D1" w:rsidRDefault="00137ADD" w:rsidP="00137ADD">
      <w:pPr>
        <w:jc w:val="both"/>
        <w:rPr>
          <w:rFonts w:ascii="Verdana" w:hAnsi="Verdana"/>
          <w:sz w:val="20"/>
        </w:rPr>
      </w:pPr>
    </w:p>
    <w:p w:rsidR="00137ADD" w:rsidRPr="004132D1" w:rsidRDefault="00137ADD" w:rsidP="00137ADD">
      <w:pPr>
        <w:jc w:val="both"/>
        <w:rPr>
          <w:rFonts w:ascii="Verdana" w:hAnsi="Verdana"/>
          <w:sz w:val="20"/>
        </w:rPr>
      </w:pPr>
    </w:p>
    <w:p w:rsidR="00137ADD" w:rsidRDefault="00137ADD" w:rsidP="00137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r>
        <w:rPr>
          <w:rFonts w:ascii="Verdana" w:hAnsi="Verdana"/>
          <w:sz w:val="20"/>
        </w:rPr>
        <w:t>Pablo Saavedra Alessandri</w:t>
      </w:r>
    </w:p>
    <w:p w:rsidR="00137ADD" w:rsidRDefault="00137ADD" w:rsidP="00137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0"/>
        <w:jc w:val="both"/>
        <w:rPr>
          <w:rFonts w:ascii="Verdana" w:hAnsi="Verdana"/>
          <w:sz w:val="20"/>
        </w:rPr>
      </w:pPr>
      <w:r>
        <w:rPr>
          <w:rFonts w:ascii="Verdana" w:hAnsi="Verdana"/>
          <w:sz w:val="20"/>
        </w:rPr>
        <w:tab/>
        <w:t xml:space="preserve">  Secretario</w:t>
      </w:r>
    </w:p>
    <w:p w:rsidR="00137ADD" w:rsidRPr="00722639" w:rsidRDefault="00137ADD" w:rsidP="00137ADD">
      <w:pPr>
        <w:jc w:val="both"/>
        <w:rPr>
          <w:rFonts w:ascii="Verdana" w:hAnsi="Verdana" w:cs="Verdana"/>
          <w:sz w:val="20"/>
          <w:szCs w:val="20"/>
        </w:rPr>
      </w:pPr>
    </w:p>
    <w:sectPr w:rsidR="00137ADD" w:rsidRPr="00722639" w:rsidSect="00407E11">
      <w:headerReference w:type="default" r:id="rId7"/>
      <w:pgSz w:w="12240" w:h="15840"/>
      <w:pgMar w:top="1417" w:right="1440" w:bottom="1417"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491" w:rsidRDefault="000D3491" w:rsidP="006518E4">
      <w:r>
        <w:separator/>
      </w:r>
    </w:p>
  </w:endnote>
  <w:endnote w:type="continuationSeparator" w:id="0">
    <w:p w:rsidR="000D3491" w:rsidRDefault="000D3491" w:rsidP="006518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491" w:rsidRDefault="000D3491" w:rsidP="006518E4">
      <w:r>
        <w:separator/>
      </w:r>
    </w:p>
  </w:footnote>
  <w:footnote w:type="continuationSeparator" w:id="0">
    <w:p w:rsidR="000D3491" w:rsidRDefault="000D3491" w:rsidP="006518E4">
      <w:r>
        <w:continuationSeparator/>
      </w:r>
    </w:p>
  </w:footnote>
  <w:footnote w:id="1">
    <w:p w:rsidR="00853121" w:rsidRDefault="00853121" w:rsidP="00240EAB">
      <w:pPr>
        <w:pStyle w:val="FootnoteText"/>
        <w:spacing w:after="60"/>
        <w:jc w:val="both"/>
      </w:pPr>
      <w:r w:rsidRPr="007C055A">
        <w:rPr>
          <w:rStyle w:val="FootnoteReference"/>
          <w:rFonts w:ascii="Verdana" w:hAnsi="Verdana" w:cs="Verdana"/>
          <w:sz w:val="16"/>
          <w:szCs w:val="16"/>
        </w:rPr>
        <w:footnoteRef/>
      </w:r>
      <w:r w:rsidRPr="007C055A">
        <w:rPr>
          <w:rFonts w:ascii="Verdana" w:hAnsi="Verdana" w:cs="Verdana"/>
          <w:sz w:val="16"/>
          <w:szCs w:val="16"/>
        </w:rPr>
        <w:t xml:space="preserve"> </w:t>
      </w:r>
      <w:r w:rsidRPr="007C055A">
        <w:rPr>
          <w:rFonts w:ascii="Verdana" w:hAnsi="Verdana" w:cs="Verdana"/>
          <w:sz w:val="16"/>
          <w:szCs w:val="16"/>
        </w:rPr>
        <w:tab/>
      </w:r>
      <w:r>
        <w:rPr>
          <w:rFonts w:ascii="Verdana" w:hAnsi="Verdana" w:cs="Verdana"/>
          <w:sz w:val="16"/>
          <w:szCs w:val="16"/>
        </w:rPr>
        <w:t xml:space="preserve">El señor Danilo Furlan, en representación de Sebastian Furlan y sus familiares, designó como sus </w:t>
      </w:r>
      <w:r w:rsidRPr="00D76F97">
        <w:rPr>
          <w:rFonts w:ascii="Verdana" w:hAnsi="Verdana" w:cs="Verdana"/>
          <w:sz w:val="16"/>
          <w:szCs w:val="16"/>
        </w:rPr>
        <w:t>representa</w:t>
      </w:r>
      <w:r>
        <w:rPr>
          <w:rFonts w:ascii="Verdana" w:hAnsi="Verdana" w:cs="Verdana"/>
          <w:sz w:val="16"/>
          <w:szCs w:val="16"/>
        </w:rPr>
        <w:t>ntes a los defensores interamericanos María Fernanda López Puleio y Andrés Mariño.</w:t>
      </w:r>
      <w:r w:rsidRPr="00D76F97">
        <w:rPr>
          <w:rFonts w:ascii="Verdana" w:hAnsi="Verdana" w:cs="Verdana"/>
          <w:sz w:val="16"/>
          <w:szCs w:val="16"/>
        </w:rPr>
        <w:t xml:space="preserve"> </w:t>
      </w:r>
    </w:p>
  </w:footnote>
  <w:footnote w:id="2">
    <w:p w:rsidR="00853121" w:rsidRDefault="00853121" w:rsidP="006518E4">
      <w:pPr>
        <w:pStyle w:val="FootnoteText"/>
        <w:jc w:val="both"/>
        <w:rPr>
          <w:rFonts w:ascii="Verdana" w:hAnsi="Verdana" w:cs="Verdana"/>
          <w:sz w:val="16"/>
          <w:szCs w:val="16"/>
        </w:rPr>
      </w:pPr>
      <w:r w:rsidRPr="00845CBC">
        <w:rPr>
          <w:rStyle w:val="FootnoteReference"/>
          <w:rFonts w:ascii="Verdana" w:hAnsi="Verdana"/>
          <w:sz w:val="16"/>
          <w:szCs w:val="16"/>
        </w:rPr>
        <w:footnoteRef/>
      </w:r>
      <w:r w:rsidRPr="00845CBC">
        <w:rPr>
          <w:rFonts w:ascii="Verdana" w:hAnsi="Verdana" w:cs="Verdana"/>
          <w:sz w:val="16"/>
          <w:szCs w:val="16"/>
        </w:rPr>
        <w:t xml:space="preserve"> </w:t>
      </w:r>
      <w:r w:rsidRPr="00845CBC">
        <w:rPr>
          <w:rFonts w:ascii="Verdana" w:hAnsi="Verdana" w:cs="Verdana"/>
          <w:sz w:val="16"/>
          <w:szCs w:val="16"/>
        </w:rPr>
        <w:tab/>
        <w:t xml:space="preserve">Reglamento aprobado por la Corte en su LXXXV Período Ordinario de Sesiones celebrado del 16 al 28 de noviembre de 2009. </w:t>
      </w:r>
    </w:p>
    <w:p w:rsidR="00853121" w:rsidRDefault="00853121" w:rsidP="006518E4">
      <w:pPr>
        <w:pStyle w:val="FootnoteText"/>
        <w:jc w:val="both"/>
      </w:pPr>
    </w:p>
  </w:footnote>
  <w:footnote w:id="3">
    <w:p w:rsidR="00853121" w:rsidRDefault="00853121" w:rsidP="0027170C">
      <w:pPr>
        <w:pStyle w:val="FootnoteText"/>
        <w:jc w:val="both"/>
      </w:pPr>
      <w:r w:rsidRPr="0027170C">
        <w:rPr>
          <w:rStyle w:val="FootnoteReference"/>
          <w:rFonts w:ascii="Verdana" w:hAnsi="Verdana" w:cs="Verdana"/>
          <w:sz w:val="16"/>
          <w:szCs w:val="16"/>
        </w:rPr>
        <w:footnoteRef/>
      </w:r>
      <w:r w:rsidRPr="0027170C">
        <w:rPr>
          <w:rFonts w:ascii="Verdana" w:hAnsi="Verdana" w:cs="Verdana"/>
          <w:sz w:val="16"/>
          <w:szCs w:val="16"/>
        </w:rPr>
        <w:t xml:space="preserve"> </w:t>
      </w:r>
      <w:r w:rsidRPr="0027170C">
        <w:rPr>
          <w:rFonts w:ascii="Verdana" w:hAnsi="Verdana" w:cs="Verdana"/>
          <w:sz w:val="16"/>
          <w:szCs w:val="16"/>
          <w:lang w:val="es-CO"/>
        </w:rPr>
        <w:tab/>
        <w:t>Los representantes indicaron que “en tanto la declaración del Dr. Alejandro Morlachetti, perito ofrecido por la Comisión Interamericana” coincide “en lo sustancial con el propuesto por esta parte respecto del Dr. Pablo Oscar Corrales” decidieron “desistir de sus declaración en el presente caso”.</w:t>
      </w:r>
    </w:p>
  </w:footnote>
  <w:footnote w:id="4">
    <w:p w:rsidR="00853121" w:rsidRDefault="00853121" w:rsidP="002172A5">
      <w:pPr>
        <w:pStyle w:val="FootnoteText"/>
        <w:jc w:val="both"/>
      </w:pPr>
      <w:r w:rsidRPr="002172A5">
        <w:rPr>
          <w:rStyle w:val="FootnoteReference"/>
          <w:rFonts w:ascii="Verdana" w:hAnsi="Verdana" w:cs="Verdana"/>
          <w:sz w:val="16"/>
          <w:szCs w:val="16"/>
        </w:rPr>
        <w:footnoteRef/>
      </w:r>
      <w:r w:rsidRPr="002172A5">
        <w:rPr>
          <w:rFonts w:ascii="Verdana" w:hAnsi="Verdana" w:cs="Verdana"/>
          <w:sz w:val="16"/>
          <w:szCs w:val="16"/>
        </w:rPr>
        <w:t xml:space="preserve"> </w:t>
      </w:r>
      <w:r w:rsidRPr="002172A5">
        <w:rPr>
          <w:rFonts w:ascii="Verdana" w:hAnsi="Verdana" w:cs="Verdana"/>
          <w:sz w:val="16"/>
          <w:szCs w:val="16"/>
          <w:lang w:val="es-CO"/>
        </w:rPr>
        <w:tab/>
        <w:t xml:space="preserve">En similar sentido, ver </w:t>
      </w:r>
      <w:r w:rsidRPr="002172A5">
        <w:rPr>
          <w:rFonts w:ascii="Verdana" w:hAnsi="Verdana" w:cs="Verdana"/>
          <w:i/>
          <w:iCs/>
          <w:sz w:val="16"/>
          <w:szCs w:val="16"/>
          <w:lang w:val="es-CO"/>
        </w:rPr>
        <w:t>Caso Abrill Alosilla y otros Vs. Perú</w:t>
      </w:r>
      <w:r w:rsidRPr="002172A5">
        <w:rPr>
          <w:rFonts w:ascii="Verdana" w:hAnsi="Verdana" w:cs="Verdana"/>
          <w:sz w:val="16"/>
          <w:szCs w:val="16"/>
          <w:lang w:val="es-CO"/>
        </w:rPr>
        <w:t>. Resolución del Presidente en ejercicio para el presente caso de la Corte Interamericana de Derechos Humanos</w:t>
      </w:r>
      <w:r w:rsidR="001802C8">
        <w:rPr>
          <w:rFonts w:ascii="Verdana" w:hAnsi="Verdana" w:cs="Verdana"/>
          <w:sz w:val="16"/>
          <w:szCs w:val="16"/>
          <w:lang w:val="es-CO"/>
        </w:rPr>
        <w:t xml:space="preserve"> de 8 de septiembre de 2010</w:t>
      </w:r>
      <w:r w:rsidRPr="002172A5">
        <w:rPr>
          <w:rFonts w:ascii="Verdana" w:hAnsi="Verdana" w:cs="Verdana"/>
          <w:sz w:val="16"/>
          <w:szCs w:val="16"/>
          <w:lang w:val="es-CO"/>
        </w:rPr>
        <w:t>, considerando 24.</w:t>
      </w:r>
    </w:p>
  </w:footnote>
  <w:footnote w:id="5">
    <w:p w:rsidR="00853121" w:rsidRDefault="00853121" w:rsidP="006518E4">
      <w:pPr>
        <w:pStyle w:val="FootnoteText"/>
        <w:jc w:val="both"/>
        <w:rPr>
          <w:rFonts w:ascii="Verdana" w:hAnsi="Verdana" w:cs="Verdana"/>
          <w:sz w:val="16"/>
          <w:szCs w:val="16"/>
        </w:rPr>
      </w:pPr>
      <w:r w:rsidRPr="00845CBC">
        <w:rPr>
          <w:rStyle w:val="FootnoteReference"/>
          <w:rFonts w:ascii="Verdana" w:hAnsi="Verdana"/>
          <w:sz w:val="16"/>
          <w:szCs w:val="16"/>
        </w:rPr>
        <w:footnoteRef/>
      </w:r>
      <w:r w:rsidRPr="00845CBC">
        <w:rPr>
          <w:rFonts w:ascii="Verdana" w:hAnsi="Verdana" w:cs="Verdana"/>
          <w:sz w:val="16"/>
          <w:szCs w:val="16"/>
        </w:rPr>
        <w:t xml:space="preserve"> </w:t>
      </w:r>
      <w:r w:rsidRPr="00845CBC">
        <w:rPr>
          <w:rFonts w:ascii="Verdana" w:hAnsi="Verdana" w:cs="Verdana"/>
          <w:sz w:val="16"/>
          <w:szCs w:val="16"/>
        </w:rPr>
        <w:tab/>
      </w:r>
      <w:r w:rsidR="0096160D">
        <w:rPr>
          <w:rFonts w:ascii="Verdana" w:hAnsi="Verdana" w:cs="Verdana"/>
          <w:i/>
          <w:iCs/>
          <w:sz w:val="16"/>
          <w:szCs w:val="16"/>
        </w:rPr>
        <w:t>Cfr. Caso Vera Vera y otros V</w:t>
      </w:r>
      <w:r w:rsidRPr="00845CBC">
        <w:rPr>
          <w:rFonts w:ascii="Verdana" w:hAnsi="Verdana" w:cs="Verdana"/>
          <w:i/>
          <w:iCs/>
          <w:sz w:val="16"/>
          <w:szCs w:val="16"/>
        </w:rPr>
        <w:t>s. Ecuador.</w:t>
      </w:r>
      <w:r w:rsidRPr="00845CBC">
        <w:rPr>
          <w:rFonts w:ascii="Verdana" w:hAnsi="Verdana" w:cs="Verdana"/>
          <w:sz w:val="16"/>
          <w:szCs w:val="16"/>
        </w:rPr>
        <w:t xml:space="preserve"> Resolución del Presidente de la Corte de 23 de diciembre de 2010, Considerando noveno; </w:t>
      </w:r>
      <w:r w:rsidRPr="00845CBC">
        <w:rPr>
          <w:rFonts w:ascii="Verdana" w:hAnsi="Verdana" w:cs="Verdana"/>
          <w:i/>
          <w:iCs/>
          <w:sz w:val="16"/>
          <w:szCs w:val="16"/>
        </w:rPr>
        <w:t>Caso Torres</w:t>
      </w:r>
      <w:r w:rsidR="00D224E7">
        <w:rPr>
          <w:rFonts w:ascii="Verdana" w:hAnsi="Verdana" w:cs="Verdana"/>
          <w:i/>
          <w:iCs/>
          <w:sz w:val="16"/>
          <w:szCs w:val="16"/>
        </w:rPr>
        <w:t xml:space="preserve"> y otros</w:t>
      </w:r>
      <w:r w:rsidRPr="00845CBC">
        <w:rPr>
          <w:rFonts w:ascii="Verdana" w:hAnsi="Verdana" w:cs="Verdana"/>
          <w:i/>
          <w:iCs/>
          <w:sz w:val="16"/>
          <w:szCs w:val="16"/>
        </w:rPr>
        <w:t xml:space="preserve"> Vs. Argentina</w:t>
      </w:r>
      <w:r w:rsidRPr="00845CBC">
        <w:rPr>
          <w:rFonts w:ascii="Verdana" w:hAnsi="Verdana" w:cs="Verdana"/>
          <w:sz w:val="16"/>
          <w:szCs w:val="16"/>
        </w:rPr>
        <w:t xml:space="preserve">. Resolución del Presidente de la Corte de 29 de abril de 2011, Considerando octavo, y </w:t>
      </w:r>
      <w:r w:rsidRPr="00845CBC">
        <w:rPr>
          <w:rFonts w:ascii="Verdana" w:hAnsi="Verdana" w:cs="Verdana"/>
          <w:i/>
          <w:iCs/>
          <w:sz w:val="16"/>
          <w:szCs w:val="16"/>
        </w:rPr>
        <w:t>Caso Familia Barrios Vs. Venezuela</w:t>
      </w:r>
      <w:r w:rsidRPr="00845CBC">
        <w:rPr>
          <w:rFonts w:ascii="Verdana" w:hAnsi="Verdana" w:cs="Verdana"/>
          <w:sz w:val="16"/>
          <w:szCs w:val="16"/>
        </w:rPr>
        <w:t xml:space="preserve">. Resolución del Presidente de la Corte de 1 de junio de 2011, Considerando séptimo. </w:t>
      </w:r>
    </w:p>
    <w:p w:rsidR="00853121" w:rsidRDefault="00853121" w:rsidP="006518E4">
      <w:pPr>
        <w:pStyle w:val="FootnoteText"/>
        <w:jc w:val="both"/>
      </w:pPr>
    </w:p>
  </w:footnote>
  <w:footnote w:id="6">
    <w:p w:rsidR="00853121" w:rsidRPr="004F1DAB" w:rsidRDefault="00853121" w:rsidP="00A973B8">
      <w:pPr>
        <w:jc w:val="both"/>
        <w:rPr>
          <w:rFonts w:ascii="Verdana" w:hAnsi="Verdana" w:cs="Verdana"/>
          <w:sz w:val="16"/>
          <w:szCs w:val="16"/>
        </w:rPr>
      </w:pPr>
      <w:r w:rsidRPr="004F1DAB">
        <w:rPr>
          <w:rStyle w:val="FootnoteReference"/>
          <w:rFonts w:ascii="Verdana" w:hAnsi="Verdana" w:cs="Verdana"/>
          <w:sz w:val="16"/>
          <w:szCs w:val="16"/>
        </w:rPr>
        <w:footnoteRef/>
      </w:r>
      <w:r w:rsidRPr="004F1DAB">
        <w:rPr>
          <w:rFonts w:ascii="Verdana" w:hAnsi="Verdana" w:cs="Verdana"/>
          <w:sz w:val="16"/>
          <w:szCs w:val="16"/>
        </w:rPr>
        <w:t xml:space="preserve"> </w:t>
      </w:r>
      <w:r w:rsidRPr="004F1DAB">
        <w:rPr>
          <w:rFonts w:ascii="Verdana" w:hAnsi="Verdana" w:cs="Verdana"/>
          <w:sz w:val="16"/>
          <w:szCs w:val="16"/>
        </w:rPr>
        <w:tab/>
      </w:r>
      <w:r w:rsidRPr="004F1DAB">
        <w:rPr>
          <w:rFonts w:ascii="Verdana" w:hAnsi="Verdana" w:cs="Verdana"/>
          <w:i/>
          <w:iCs/>
          <w:sz w:val="16"/>
          <w:szCs w:val="16"/>
        </w:rPr>
        <w:t>Cfr. Caso González Medina y Familiares vs. República Dominicana.</w:t>
      </w:r>
      <w:r w:rsidRPr="004F1DAB">
        <w:rPr>
          <w:rFonts w:ascii="Verdana" w:hAnsi="Verdana" w:cs="Verdana"/>
          <w:sz w:val="16"/>
          <w:szCs w:val="16"/>
        </w:rPr>
        <w:t xml:space="preserve"> Resolución del Presidente de la Corte </w:t>
      </w:r>
      <w:r>
        <w:rPr>
          <w:rFonts w:ascii="Verdana" w:hAnsi="Verdana" w:cs="Verdana"/>
          <w:sz w:val="16"/>
          <w:szCs w:val="16"/>
        </w:rPr>
        <w:t xml:space="preserve">Interamericana de Derechos Humanos </w:t>
      </w:r>
      <w:r w:rsidRPr="004F1DAB">
        <w:rPr>
          <w:rFonts w:ascii="Verdana" w:hAnsi="Verdana" w:cs="Verdana"/>
          <w:sz w:val="16"/>
          <w:szCs w:val="16"/>
        </w:rPr>
        <w:t xml:space="preserve">de 3 de junio de 2011, Considerando cuadragésimo cuarto. </w:t>
      </w:r>
    </w:p>
    <w:p w:rsidR="00853121" w:rsidRDefault="00853121" w:rsidP="00A973B8">
      <w:pPr>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121" w:rsidRDefault="0064380B">
    <w:pPr>
      <w:pStyle w:val="Header"/>
      <w:jc w:val="center"/>
    </w:pPr>
    <w:r w:rsidRPr="00220F44">
      <w:rPr>
        <w:rFonts w:ascii="Verdana" w:hAnsi="Verdana" w:cs="Verdana"/>
        <w:sz w:val="20"/>
        <w:szCs w:val="20"/>
      </w:rPr>
      <w:fldChar w:fldCharType="begin"/>
    </w:r>
    <w:r w:rsidR="00853121" w:rsidRPr="00220F44">
      <w:rPr>
        <w:rFonts w:ascii="Verdana" w:hAnsi="Verdana" w:cs="Verdana"/>
        <w:sz w:val="20"/>
        <w:szCs w:val="20"/>
      </w:rPr>
      <w:instrText xml:space="preserve"> PAGE   \* MERGEFORMAT </w:instrText>
    </w:r>
    <w:r w:rsidRPr="00220F44">
      <w:rPr>
        <w:rFonts w:ascii="Verdana" w:hAnsi="Verdana" w:cs="Verdana"/>
        <w:sz w:val="20"/>
        <w:szCs w:val="20"/>
      </w:rPr>
      <w:fldChar w:fldCharType="separate"/>
    </w:r>
    <w:r w:rsidR="00B3467C">
      <w:rPr>
        <w:rFonts w:ascii="Verdana" w:hAnsi="Verdana" w:cs="Verdana"/>
        <w:noProof/>
        <w:sz w:val="20"/>
        <w:szCs w:val="20"/>
      </w:rPr>
      <w:t>14</w:t>
    </w:r>
    <w:r w:rsidRPr="00220F44">
      <w:rPr>
        <w:rFonts w:ascii="Verdana" w:hAnsi="Verdana" w:cs="Verdana"/>
        <w:sz w:val="20"/>
        <w:szCs w:val="20"/>
      </w:rPr>
      <w:fldChar w:fldCharType="end"/>
    </w:r>
  </w:p>
  <w:p w:rsidR="00853121" w:rsidRDefault="008531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E62F2"/>
    <w:multiLevelType w:val="hybridMultilevel"/>
    <w:tmpl w:val="54CC85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D1057BE"/>
    <w:multiLevelType w:val="hybridMultilevel"/>
    <w:tmpl w:val="232A7990"/>
    <w:lvl w:ilvl="0" w:tplc="04090011">
      <w:start w:val="1"/>
      <w:numFmt w:val="decimal"/>
      <w:lvlText w:val="%1)"/>
      <w:lvlJc w:val="left"/>
      <w:pPr>
        <w:ind w:left="1080" w:hanging="720"/>
      </w:pPr>
      <w:rPr>
        <w:rFonts w:hint="default"/>
        <w:b w:val="0"/>
        <w:bCs w:val="0"/>
        <w:i w:val="0"/>
        <w:iCs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EA61DA2"/>
    <w:multiLevelType w:val="hybridMultilevel"/>
    <w:tmpl w:val="1C32218E"/>
    <w:lvl w:ilvl="0" w:tplc="EF0C46B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EC55856"/>
    <w:multiLevelType w:val="hybridMultilevel"/>
    <w:tmpl w:val="AF223D54"/>
    <w:lvl w:ilvl="0" w:tplc="59600B4C">
      <w:start w:val="1"/>
      <w:numFmt w:val="decimal"/>
      <w:lvlText w:val="%1."/>
      <w:lvlJc w:val="left"/>
      <w:pPr>
        <w:tabs>
          <w:tab w:val="num" w:pos="720"/>
        </w:tabs>
        <w:ind w:left="720" w:hanging="360"/>
      </w:pPr>
      <w:rPr>
        <w:b w:val="0"/>
        <w:bCs w:val="0"/>
      </w:rPr>
    </w:lvl>
    <w:lvl w:ilvl="1" w:tplc="B5AADDB4">
      <w:start w:val="1"/>
      <w:numFmt w:val="decimal"/>
      <w:lvlText w:val="%2."/>
      <w:lvlJc w:val="left"/>
      <w:pPr>
        <w:tabs>
          <w:tab w:val="num" w:pos="1440"/>
        </w:tabs>
        <w:ind w:left="1440" w:hanging="360"/>
      </w:pPr>
      <w:rPr>
        <w:rFonts w:ascii="Verdana" w:hAnsi="Verdana" w:cs="Verdana" w:hint="default"/>
        <w:b w:val="0"/>
        <w:bCs w:val="0"/>
        <w:sz w:val="20"/>
        <w:szCs w:val="20"/>
      </w:rPr>
    </w:lvl>
    <w:lvl w:ilvl="2" w:tplc="0409001B">
      <w:start w:val="1"/>
      <w:numFmt w:val="lowerRoman"/>
      <w:lvlText w:val="%3."/>
      <w:lvlJc w:val="right"/>
      <w:pPr>
        <w:tabs>
          <w:tab w:val="num" w:pos="2160"/>
        </w:tabs>
        <w:ind w:left="2160" w:hanging="180"/>
      </w:pPr>
      <w:rPr>
        <w:b w:val="0"/>
        <w:bCs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03E5FEE"/>
    <w:multiLevelType w:val="hybridMultilevel"/>
    <w:tmpl w:val="EDFEE50A"/>
    <w:lvl w:ilvl="0" w:tplc="6E5AF628">
      <w:start w:val="1"/>
      <w:numFmt w:val="decimal"/>
      <w:lvlText w:val="%1."/>
      <w:lvlJc w:val="left"/>
      <w:pPr>
        <w:ind w:left="540" w:hanging="360"/>
      </w:pPr>
      <w:rPr>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88F68DD"/>
    <w:multiLevelType w:val="hybridMultilevel"/>
    <w:tmpl w:val="5EBE15E0"/>
    <w:lvl w:ilvl="0" w:tplc="924E4690">
      <w:start w:val="1"/>
      <w:numFmt w:val="decimal"/>
      <w:lvlText w:val="%1."/>
      <w:lvlJc w:val="left"/>
      <w:pPr>
        <w:ind w:left="144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7D6756F"/>
    <w:multiLevelType w:val="hybridMultilevel"/>
    <w:tmpl w:val="F68630FC"/>
    <w:lvl w:ilvl="0" w:tplc="A9860D12">
      <w:start w:val="1"/>
      <w:numFmt w:val="upperLetter"/>
      <w:lvlText w:val="%1)"/>
      <w:lvlJc w:val="left"/>
      <w:pPr>
        <w:tabs>
          <w:tab w:val="num" w:pos="1800"/>
        </w:tabs>
        <w:ind w:left="1800" w:hanging="720"/>
      </w:pPr>
      <w:rPr>
        <w:rFonts w:hint="default"/>
        <w:b/>
        <w:bCs/>
        <w:i/>
        <w:iCs/>
        <w:sz w:val="20"/>
        <w:szCs w:val="2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7FB0F4B"/>
    <w:multiLevelType w:val="hybridMultilevel"/>
    <w:tmpl w:val="31003FD6"/>
    <w:lvl w:ilvl="0" w:tplc="639486E6">
      <w:start w:val="1"/>
      <w:numFmt w:val="decimal"/>
      <w:lvlText w:val="%1)"/>
      <w:lvlJc w:val="left"/>
      <w:pPr>
        <w:ind w:left="1080" w:hanging="720"/>
      </w:pPr>
      <w:rPr>
        <w:rFonts w:hint="default"/>
        <w:b w:val="0"/>
        <w:bCs w:val="0"/>
        <w:i w:val="0"/>
        <w:iCs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8DB0918"/>
    <w:multiLevelType w:val="hybridMultilevel"/>
    <w:tmpl w:val="2B7466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A617E06"/>
    <w:multiLevelType w:val="hybridMultilevel"/>
    <w:tmpl w:val="1646EDC2"/>
    <w:lvl w:ilvl="0" w:tplc="B45477C6">
      <w:start w:val="3"/>
      <w:numFmt w:val="decimal"/>
      <w:lvlText w:val="%1)"/>
      <w:lvlJc w:val="left"/>
      <w:pPr>
        <w:ind w:left="1080" w:hanging="720"/>
      </w:pPr>
      <w:rPr>
        <w:rFonts w:hint="default"/>
        <w:b w:val="0"/>
        <w:bCs w:val="0"/>
        <w:i w:val="0"/>
        <w:iCs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A38404A"/>
    <w:multiLevelType w:val="hybridMultilevel"/>
    <w:tmpl w:val="1CC04DC4"/>
    <w:lvl w:ilvl="0" w:tplc="E7FE8E94">
      <w:start w:val="1"/>
      <w:numFmt w:val="decimal"/>
      <w:lvlText w:val="%1."/>
      <w:lvlJc w:val="left"/>
      <w:pPr>
        <w:tabs>
          <w:tab w:val="num" w:pos="720"/>
        </w:tabs>
      </w:pPr>
      <w:rPr>
        <w:rFonts w:ascii="Verdana" w:hAnsi="Verdana" w:cs="Verdana" w:hint="default"/>
        <w:b w:val="0"/>
        <w:bCs w:val="0"/>
        <w:i w:val="0"/>
        <w:iCs w:val="0"/>
        <w:strike w:val="0"/>
        <w:color w:val="auto"/>
        <w:sz w:val="20"/>
        <w:szCs w:val="2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1">
    <w:nsid w:val="3F5445AB"/>
    <w:multiLevelType w:val="hybridMultilevel"/>
    <w:tmpl w:val="7220BFF4"/>
    <w:lvl w:ilvl="0" w:tplc="AD0651A6">
      <w:start w:val="1"/>
      <w:numFmt w:val="decimal"/>
      <w:lvlText w:val="%1)"/>
      <w:lvlJc w:val="left"/>
      <w:pPr>
        <w:ind w:left="735" w:hanging="375"/>
      </w:pPr>
      <w:rPr>
        <w:rFonts w:ascii="Verdana" w:hAnsi="Verdana" w:cs="Verdana"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0437C03"/>
    <w:multiLevelType w:val="hybridMultilevel"/>
    <w:tmpl w:val="C2D4D736"/>
    <w:lvl w:ilvl="0" w:tplc="B774746A">
      <w:start w:val="1"/>
      <w:numFmt w:val="decimal"/>
      <w:lvlText w:val="%1)"/>
      <w:lvlJc w:val="left"/>
      <w:pPr>
        <w:ind w:left="1080" w:hanging="720"/>
      </w:pPr>
      <w:rPr>
        <w:rFonts w:hint="default"/>
        <w:b w:val="0"/>
        <w:bCs w:val="0"/>
        <w:i w:val="0"/>
        <w:iCs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4AD7558"/>
    <w:multiLevelType w:val="hybridMultilevel"/>
    <w:tmpl w:val="35B234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9323F04"/>
    <w:multiLevelType w:val="hybridMultilevel"/>
    <w:tmpl w:val="EC04FCFA"/>
    <w:lvl w:ilvl="0" w:tplc="B774746A">
      <w:start w:val="1"/>
      <w:numFmt w:val="decimal"/>
      <w:lvlText w:val="%1)"/>
      <w:lvlJc w:val="left"/>
      <w:pPr>
        <w:ind w:left="1080" w:hanging="720"/>
      </w:pPr>
      <w:rPr>
        <w:rFonts w:hint="default"/>
        <w:b w:val="0"/>
        <w:bCs w:val="0"/>
        <w:i w:val="0"/>
        <w:iCs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77279A9"/>
    <w:multiLevelType w:val="hybridMultilevel"/>
    <w:tmpl w:val="361AF06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590E462E"/>
    <w:multiLevelType w:val="hybridMultilevel"/>
    <w:tmpl w:val="6B2C106C"/>
    <w:lvl w:ilvl="0" w:tplc="0409000F">
      <w:start w:val="1"/>
      <w:numFmt w:val="decimal"/>
      <w:lvlText w:val="%1."/>
      <w:lvlJc w:val="left"/>
      <w:pPr>
        <w:ind w:left="720" w:hanging="360"/>
      </w:pPr>
    </w:lvl>
    <w:lvl w:ilvl="1" w:tplc="173E2102">
      <w:start w:val="1"/>
      <w:numFmt w:val="decimal"/>
      <w:lvlText w:val="%2)"/>
      <w:lvlJc w:val="left"/>
      <w:pPr>
        <w:ind w:left="1800" w:hanging="720"/>
      </w:pPr>
      <w:rPr>
        <w:rFonts w:hint="default"/>
        <w:b w:val="0"/>
        <w:bCs w:val="0"/>
        <w:i w:val="0"/>
        <w:iCs w:val="0"/>
        <w:color w:val="auto"/>
        <w:sz w:val="20"/>
        <w:szCs w:val="20"/>
      </w:rPr>
    </w:lvl>
    <w:lvl w:ilvl="2" w:tplc="6E0AE9A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EC27779"/>
    <w:multiLevelType w:val="multilevel"/>
    <w:tmpl w:val="34E0BF7C"/>
    <w:lvl w:ilvl="0">
      <w:start w:val="1"/>
      <w:numFmt w:val="decimal"/>
      <w:lvlText w:val="%1."/>
      <w:lvlJc w:val="left"/>
      <w:pPr>
        <w:tabs>
          <w:tab w:val="num" w:pos="360"/>
        </w:tabs>
        <w:ind w:left="360" w:hanging="360"/>
      </w:pPr>
      <w:rPr>
        <w:rFonts w:hint="default"/>
        <w:b w:val="0"/>
        <w:bCs w:val="0"/>
        <w:i w:val="0"/>
        <w:iCs w:val="0"/>
        <w:sz w:val="20"/>
        <w:szCs w:val="20"/>
      </w:rPr>
    </w:lvl>
    <w:lvl w:ilvl="1">
      <w:start w:val="1"/>
      <w:numFmt w:val="lowerLetter"/>
      <w:lvlText w:val="%2)"/>
      <w:lvlJc w:val="left"/>
      <w:pPr>
        <w:tabs>
          <w:tab w:val="num" w:pos="720"/>
        </w:tabs>
        <w:ind w:left="720" w:hanging="360"/>
      </w:pPr>
      <w:rPr>
        <w:rFonts w:ascii="Verdana" w:hAnsi="Verdana" w:cs="Verdana" w:hint="default"/>
        <w:b w:val="0"/>
        <w:bCs w:val="0"/>
        <w:i/>
        <w:iCs/>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63533E99"/>
    <w:multiLevelType w:val="hybridMultilevel"/>
    <w:tmpl w:val="1F569F28"/>
    <w:lvl w:ilvl="0" w:tplc="C41037A6">
      <w:start w:val="1"/>
      <w:numFmt w:val="decimal"/>
      <w:lvlText w:val="%1."/>
      <w:lvlJc w:val="left"/>
      <w:pPr>
        <w:tabs>
          <w:tab w:val="num" w:pos="720"/>
        </w:tabs>
      </w:pPr>
      <w:rPr>
        <w:rFonts w:ascii="Verdana" w:hAnsi="Verdana" w:cs="Verdana" w:hint="default"/>
        <w:b w:val="0"/>
        <w:bCs w:val="0"/>
        <w:i w:val="0"/>
        <w:iCs w:val="0"/>
        <w:sz w:val="20"/>
        <w:szCs w:val="20"/>
      </w:rPr>
    </w:lvl>
    <w:lvl w:ilvl="1" w:tplc="A9860D12">
      <w:start w:val="1"/>
      <w:numFmt w:val="upperLetter"/>
      <w:lvlText w:val="%2)"/>
      <w:lvlJc w:val="left"/>
      <w:pPr>
        <w:tabs>
          <w:tab w:val="num" w:pos="1800"/>
        </w:tabs>
        <w:ind w:left="1800" w:hanging="720"/>
      </w:pPr>
      <w:rPr>
        <w:rFonts w:hint="default"/>
        <w:b/>
        <w:bCs/>
        <w:i/>
        <w:iCs/>
        <w:sz w:val="20"/>
        <w:szCs w:val="20"/>
        <w:u w:val="none"/>
      </w:rPr>
    </w:lvl>
    <w:lvl w:ilvl="2" w:tplc="5B9E247E">
      <w:start w:val="1"/>
      <w:numFmt w:val="decimal"/>
      <w:lvlText w:val="%3)"/>
      <w:lvlJc w:val="left"/>
      <w:pPr>
        <w:ind w:left="2340" w:hanging="360"/>
      </w:pPr>
      <w:rPr>
        <w:rFonts w:hint="default"/>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9">
    <w:nsid w:val="66EA6F9D"/>
    <w:multiLevelType w:val="hybridMultilevel"/>
    <w:tmpl w:val="1C32EBE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D8A0A31"/>
    <w:multiLevelType w:val="hybridMultilevel"/>
    <w:tmpl w:val="4184B1D6"/>
    <w:lvl w:ilvl="0" w:tplc="137A8318">
      <w:start w:val="1"/>
      <w:numFmt w:val="decimal"/>
      <w:pStyle w:val="Num"/>
      <w:lvlText w:val="%1."/>
      <w:lvlJc w:val="left"/>
      <w:pPr>
        <w:ind w:left="36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1">
    <w:nsid w:val="7115151E"/>
    <w:multiLevelType w:val="hybridMultilevel"/>
    <w:tmpl w:val="E55A47F8"/>
    <w:lvl w:ilvl="0" w:tplc="B774746A">
      <w:start w:val="1"/>
      <w:numFmt w:val="decimal"/>
      <w:lvlText w:val="%1)"/>
      <w:lvlJc w:val="left"/>
      <w:pPr>
        <w:ind w:left="1080" w:hanging="720"/>
      </w:pPr>
      <w:rPr>
        <w:rFonts w:hint="default"/>
        <w:b w:val="0"/>
        <w:bCs w:val="0"/>
        <w:i w:val="0"/>
        <w:iCs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4703DED"/>
    <w:multiLevelType w:val="hybridMultilevel"/>
    <w:tmpl w:val="B87E6AF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BE25B24"/>
    <w:multiLevelType w:val="hybridMultilevel"/>
    <w:tmpl w:val="568A433C"/>
    <w:lvl w:ilvl="0" w:tplc="6EAADE76">
      <w:start w:val="17"/>
      <w:numFmt w:val="decimal"/>
      <w:lvlText w:val="%1."/>
      <w:lvlJc w:val="left"/>
      <w:pPr>
        <w:tabs>
          <w:tab w:val="num" w:pos="142"/>
        </w:tabs>
        <w:ind w:left="142"/>
      </w:pPr>
      <w:rPr>
        <w:b w:val="0"/>
        <w:bCs w:val="0"/>
        <w:strike w:val="0"/>
        <w:dstrike w:val="0"/>
        <w:u w:val="none"/>
        <w:effect w:val="none"/>
      </w:rPr>
    </w:lvl>
    <w:lvl w:ilvl="1" w:tplc="340A0019">
      <w:start w:val="1"/>
      <w:numFmt w:val="decimal"/>
      <w:lvlText w:val="%2."/>
      <w:lvlJc w:val="left"/>
      <w:pPr>
        <w:tabs>
          <w:tab w:val="num" w:pos="1582"/>
        </w:tabs>
        <w:ind w:left="1582" w:hanging="360"/>
      </w:pPr>
    </w:lvl>
    <w:lvl w:ilvl="2" w:tplc="340A001B">
      <w:start w:val="1"/>
      <w:numFmt w:val="decimal"/>
      <w:lvlText w:val="%3."/>
      <w:lvlJc w:val="left"/>
      <w:pPr>
        <w:tabs>
          <w:tab w:val="num" w:pos="2302"/>
        </w:tabs>
        <w:ind w:left="2302" w:hanging="360"/>
      </w:pPr>
    </w:lvl>
    <w:lvl w:ilvl="3" w:tplc="340A000F">
      <w:start w:val="1"/>
      <w:numFmt w:val="decimal"/>
      <w:lvlText w:val="%4."/>
      <w:lvlJc w:val="left"/>
      <w:pPr>
        <w:tabs>
          <w:tab w:val="num" w:pos="3022"/>
        </w:tabs>
        <w:ind w:left="3022" w:hanging="360"/>
      </w:pPr>
    </w:lvl>
    <w:lvl w:ilvl="4" w:tplc="340A0019">
      <w:start w:val="1"/>
      <w:numFmt w:val="decimal"/>
      <w:lvlText w:val="%5."/>
      <w:lvlJc w:val="left"/>
      <w:pPr>
        <w:tabs>
          <w:tab w:val="num" w:pos="3742"/>
        </w:tabs>
        <w:ind w:left="3742" w:hanging="360"/>
      </w:pPr>
    </w:lvl>
    <w:lvl w:ilvl="5" w:tplc="340A001B">
      <w:start w:val="1"/>
      <w:numFmt w:val="decimal"/>
      <w:lvlText w:val="%6."/>
      <w:lvlJc w:val="left"/>
      <w:pPr>
        <w:tabs>
          <w:tab w:val="num" w:pos="4462"/>
        </w:tabs>
        <w:ind w:left="4462" w:hanging="360"/>
      </w:pPr>
    </w:lvl>
    <w:lvl w:ilvl="6" w:tplc="340A000F">
      <w:start w:val="1"/>
      <w:numFmt w:val="decimal"/>
      <w:lvlText w:val="%7."/>
      <w:lvlJc w:val="left"/>
      <w:pPr>
        <w:tabs>
          <w:tab w:val="num" w:pos="5182"/>
        </w:tabs>
        <w:ind w:left="5182" w:hanging="360"/>
      </w:pPr>
    </w:lvl>
    <w:lvl w:ilvl="7" w:tplc="340A0019">
      <w:start w:val="1"/>
      <w:numFmt w:val="decimal"/>
      <w:lvlText w:val="%8."/>
      <w:lvlJc w:val="left"/>
      <w:pPr>
        <w:tabs>
          <w:tab w:val="num" w:pos="5902"/>
        </w:tabs>
        <w:ind w:left="5902" w:hanging="360"/>
      </w:pPr>
    </w:lvl>
    <w:lvl w:ilvl="8" w:tplc="340A001B">
      <w:start w:val="1"/>
      <w:numFmt w:val="decimal"/>
      <w:lvlText w:val="%9."/>
      <w:lvlJc w:val="left"/>
      <w:pPr>
        <w:tabs>
          <w:tab w:val="num" w:pos="6622"/>
        </w:tabs>
        <w:ind w:left="6622" w:hanging="360"/>
      </w:pPr>
    </w:lvl>
  </w:abstractNum>
  <w:num w:numId="1">
    <w:abstractNumId w:val="4"/>
  </w:num>
  <w:num w:numId="2">
    <w:abstractNumId w:val="22"/>
  </w:num>
  <w:num w:numId="3">
    <w:abstractNumId w:val="10"/>
  </w:num>
  <w:num w:numId="4">
    <w:abstractNumId w:val="18"/>
  </w:num>
  <w:num w:numId="5">
    <w:abstractNumId w:val="5"/>
  </w:num>
  <w:num w:numId="6">
    <w:abstractNumId w:val="6"/>
  </w:num>
  <w:num w:numId="7">
    <w:abstractNumId w:val="14"/>
  </w:num>
  <w:num w:numId="8">
    <w:abstractNumId w:val="7"/>
  </w:num>
  <w:num w:numId="9">
    <w:abstractNumId w:val="16"/>
  </w:num>
  <w:num w:numId="10">
    <w:abstractNumId w:val="12"/>
  </w:num>
  <w:num w:numId="11">
    <w:abstractNumId w:val="0"/>
  </w:num>
  <w:num w:numId="12">
    <w:abstractNumId w:val="15"/>
  </w:num>
  <w:num w:numId="13">
    <w:abstractNumId w:val="1"/>
  </w:num>
  <w:num w:numId="14">
    <w:abstractNumId w:val="19"/>
  </w:num>
  <w:num w:numId="15">
    <w:abstractNumId w:val="2"/>
  </w:num>
  <w:num w:numId="16">
    <w:abstractNumId w:val="21"/>
  </w:num>
  <w:num w:numId="17">
    <w:abstractNumId w:val="9"/>
  </w:num>
  <w:num w:numId="18">
    <w:abstractNumId w:val="2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0"/>
  </w:num>
  <w:num w:numId="21">
    <w:abstractNumId w:val="20"/>
    <w:lvlOverride w:ilvl="0">
      <w:startOverride w:val="1"/>
    </w:lvlOverride>
  </w:num>
  <w:num w:numId="22">
    <w:abstractNumId w:val="17"/>
  </w:num>
  <w:num w:numId="23">
    <w:abstractNumId w:val="8"/>
  </w:num>
  <w:num w:numId="24">
    <w:abstractNumId w:val="11"/>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rsids>
    <w:rsidRoot w:val="006518E4"/>
    <w:rsid w:val="000169F2"/>
    <w:rsid w:val="00025AE8"/>
    <w:rsid w:val="000378E1"/>
    <w:rsid w:val="000402D1"/>
    <w:rsid w:val="00047A28"/>
    <w:rsid w:val="00047FA7"/>
    <w:rsid w:val="00050576"/>
    <w:rsid w:val="00050BF3"/>
    <w:rsid w:val="00051541"/>
    <w:rsid w:val="00052336"/>
    <w:rsid w:val="00055D52"/>
    <w:rsid w:val="000637D1"/>
    <w:rsid w:val="0006428B"/>
    <w:rsid w:val="00066087"/>
    <w:rsid w:val="000674AA"/>
    <w:rsid w:val="00070171"/>
    <w:rsid w:val="00070E00"/>
    <w:rsid w:val="00071C09"/>
    <w:rsid w:val="00083D1C"/>
    <w:rsid w:val="00084CDF"/>
    <w:rsid w:val="00086BE1"/>
    <w:rsid w:val="000902EA"/>
    <w:rsid w:val="00093531"/>
    <w:rsid w:val="00095CFB"/>
    <w:rsid w:val="000A0023"/>
    <w:rsid w:val="000A7222"/>
    <w:rsid w:val="000B0DAA"/>
    <w:rsid w:val="000B63E5"/>
    <w:rsid w:val="000B78B7"/>
    <w:rsid w:val="000C5222"/>
    <w:rsid w:val="000D3295"/>
    <w:rsid w:val="000D3491"/>
    <w:rsid w:val="000D50B7"/>
    <w:rsid w:val="000D5395"/>
    <w:rsid w:val="000D6B23"/>
    <w:rsid w:val="000E6AF0"/>
    <w:rsid w:val="000F1B34"/>
    <w:rsid w:val="000F64CB"/>
    <w:rsid w:val="000F6A30"/>
    <w:rsid w:val="00102ED2"/>
    <w:rsid w:val="00103C94"/>
    <w:rsid w:val="00113335"/>
    <w:rsid w:val="001134A1"/>
    <w:rsid w:val="00114D5B"/>
    <w:rsid w:val="00114E64"/>
    <w:rsid w:val="001157A1"/>
    <w:rsid w:val="00124DF3"/>
    <w:rsid w:val="0013147D"/>
    <w:rsid w:val="00137ADD"/>
    <w:rsid w:val="001453A3"/>
    <w:rsid w:val="001523C2"/>
    <w:rsid w:val="0015714C"/>
    <w:rsid w:val="00160D1F"/>
    <w:rsid w:val="0016156B"/>
    <w:rsid w:val="0016271E"/>
    <w:rsid w:val="001706D9"/>
    <w:rsid w:val="00171985"/>
    <w:rsid w:val="0017536E"/>
    <w:rsid w:val="00177775"/>
    <w:rsid w:val="001802C8"/>
    <w:rsid w:val="00183B46"/>
    <w:rsid w:val="0018499A"/>
    <w:rsid w:val="00185C87"/>
    <w:rsid w:val="00191150"/>
    <w:rsid w:val="00193659"/>
    <w:rsid w:val="001948E4"/>
    <w:rsid w:val="001A174F"/>
    <w:rsid w:val="001A4808"/>
    <w:rsid w:val="001A57A4"/>
    <w:rsid w:val="001A6C30"/>
    <w:rsid w:val="001B4606"/>
    <w:rsid w:val="001B61AD"/>
    <w:rsid w:val="001B76BF"/>
    <w:rsid w:val="001B7A3F"/>
    <w:rsid w:val="001C0FFC"/>
    <w:rsid w:val="001C1458"/>
    <w:rsid w:val="001C5BAE"/>
    <w:rsid w:val="001C7EB3"/>
    <w:rsid w:val="001D00FB"/>
    <w:rsid w:val="001D2413"/>
    <w:rsid w:val="001D2ECF"/>
    <w:rsid w:val="001D420E"/>
    <w:rsid w:val="001D5CFE"/>
    <w:rsid w:val="001E1BC4"/>
    <w:rsid w:val="001E2ED6"/>
    <w:rsid w:val="001E3693"/>
    <w:rsid w:val="001F21BE"/>
    <w:rsid w:val="00206021"/>
    <w:rsid w:val="002078E2"/>
    <w:rsid w:val="00212D91"/>
    <w:rsid w:val="002158F4"/>
    <w:rsid w:val="00215C87"/>
    <w:rsid w:val="002172A5"/>
    <w:rsid w:val="00220F44"/>
    <w:rsid w:val="00223644"/>
    <w:rsid w:val="002255C0"/>
    <w:rsid w:val="00230308"/>
    <w:rsid w:val="00232E97"/>
    <w:rsid w:val="00237095"/>
    <w:rsid w:val="002375CE"/>
    <w:rsid w:val="00240EAB"/>
    <w:rsid w:val="00243958"/>
    <w:rsid w:val="0024694E"/>
    <w:rsid w:val="002554C0"/>
    <w:rsid w:val="00256075"/>
    <w:rsid w:val="00256BD4"/>
    <w:rsid w:val="00260178"/>
    <w:rsid w:val="0026057A"/>
    <w:rsid w:val="00260F16"/>
    <w:rsid w:val="00262771"/>
    <w:rsid w:val="0026445B"/>
    <w:rsid w:val="002647FB"/>
    <w:rsid w:val="00270EC2"/>
    <w:rsid w:val="0027170C"/>
    <w:rsid w:val="00274254"/>
    <w:rsid w:val="002919EE"/>
    <w:rsid w:val="00296AC1"/>
    <w:rsid w:val="00296AF4"/>
    <w:rsid w:val="002975FC"/>
    <w:rsid w:val="002A4060"/>
    <w:rsid w:val="002B79E6"/>
    <w:rsid w:val="002C41DB"/>
    <w:rsid w:val="002D02AF"/>
    <w:rsid w:val="002D512D"/>
    <w:rsid w:val="002D656A"/>
    <w:rsid w:val="002D6900"/>
    <w:rsid w:val="002D7D68"/>
    <w:rsid w:val="002E78FD"/>
    <w:rsid w:val="002F18A1"/>
    <w:rsid w:val="002F6F06"/>
    <w:rsid w:val="0030103A"/>
    <w:rsid w:val="0030470C"/>
    <w:rsid w:val="00304F79"/>
    <w:rsid w:val="0030514C"/>
    <w:rsid w:val="0030628B"/>
    <w:rsid w:val="003128D3"/>
    <w:rsid w:val="0031348C"/>
    <w:rsid w:val="00314DB9"/>
    <w:rsid w:val="00323CE7"/>
    <w:rsid w:val="00326ACD"/>
    <w:rsid w:val="0032746C"/>
    <w:rsid w:val="00327EAD"/>
    <w:rsid w:val="00345C38"/>
    <w:rsid w:val="00353F04"/>
    <w:rsid w:val="0035793C"/>
    <w:rsid w:val="00364C16"/>
    <w:rsid w:val="0037236D"/>
    <w:rsid w:val="0037698E"/>
    <w:rsid w:val="00381910"/>
    <w:rsid w:val="003828F6"/>
    <w:rsid w:val="00384A4F"/>
    <w:rsid w:val="003857D1"/>
    <w:rsid w:val="00385E7A"/>
    <w:rsid w:val="003875C7"/>
    <w:rsid w:val="003924C9"/>
    <w:rsid w:val="003A0108"/>
    <w:rsid w:val="003A296F"/>
    <w:rsid w:val="003A2F9B"/>
    <w:rsid w:val="003A5CA5"/>
    <w:rsid w:val="003A7684"/>
    <w:rsid w:val="003B3ADD"/>
    <w:rsid w:val="003B530F"/>
    <w:rsid w:val="003C7C7C"/>
    <w:rsid w:val="003D3763"/>
    <w:rsid w:val="003D71D4"/>
    <w:rsid w:val="003F1197"/>
    <w:rsid w:val="003F2FFD"/>
    <w:rsid w:val="003F7875"/>
    <w:rsid w:val="00407E11"/>
    <w:rsid w:val="00411236"/>
    <w:rsid w:val="00413A6C"/>
    <w:rsid w:val="004145FC"/>
    <w:rsid w:val="00414B8E"/>
    <w:rsid w:val="00416E16"/>
    <w:rsid w:val="0041745F"/>
    <w:rsid w:val="00422E3B"/>
    <w:rsid w:val="00425263"/>
    <w:rsid w:val="00425DA5"/>
    <w:rsid w:val="004301EE"/>
    <w:rsid w:val="00430BCA"/>
    <w:rsid w:val="00433F63"/>
    <w:rsid w:val="00435180"/>
    <w:rsid w:val="004353BF"/>
    <w:rsid w:val="00437965"/>
    <w:rsid w:val="0045277A"/>
    <w:rsid w:val="00456B66"/>
    <w:rsid w:val="00460D69"/>
    <w:rsid w:val="004653C6"/>
    <w:rsid w:val="00467ECA"/>
    <w:rsid w:val="00474824"/>
    <w:rsid w:val="004830D8"/>
    <w:rsid w:val="004928D5"/>
    <w:rsid w:val="0049326F"/>
    <w:rsid w:val="004A1942"/>
    <w:rsid w:val="004A3679"/>
    <w:rsid w:val="004A3709"/>
    <w:rsid w:val="004A75E7"/>
    <w:rsid w:val="004B43CE"/>
    <w:rsid w:val="004B45FD"/>
    <w:rsid w:val="004B4F29"/>
    <w:rsid w:val="004C2752"/>
    <w:rsid w:val="004D6D89"/>
    <w:rsid w:val="004E7CB5"/>
    <w:rsid w:val="004F1DAB"/>
    <w:rsid w:val="004F4288"/>
    <w:rsid w:val="004F4C1D"/>
    <w:rsid w:val="004F7B60"/>
    <w:rsid w:val="0050260F"/>
    <w:rsid w:val="00507C67"/>
    <w:rsid w:val="005103EA"/>
    <w:rsid w:val="00510C04"/>
    <w:rsid w:val="00525783"/>
    <w:rsid w:val="005262E0"/>
    <w:rsid w:val="0052649F"/>
    <w:rsid w:val="00526D6B"/>
    <w:rsid w:val="00561AA6"/>
    <w:rsid w:val="00572D4B"/>
    <w:rsid w:val="005756DE"/>
    <w:rsid w:val="005802D3"/>
    <w:rsid w:val="005820C6"/>
    <w:rsid w:val="00584B54"/>
    <w:rsid w:val="005852FC"/>
    <w:rsid w:val="005876A0"/>
    <w:rsid w:val="00590D53"/>
    <w:rsid w:val="00591C32"/>
    <w:rsid w:val="00592587"/>
    <w:rsid w:val="00592C8E"/>
    <w:rsid w:val="00593C6E"/>
    <w:rsid w:val="00596E34"/>
    <w:rsid w:val="005A4EBA"/>
    <w:rsid w:val="005B3F9D"/>
    <w:rsid w:val="005C051B"/>
    <w:rsid w:val="005C0F32"/>
    <w:rsid w:val="005C1BF1"/>
    <w:rsid w:val="005C35C2"/>
    <w:rsid w:val="005C4FBD"/>
    <w:rsid w:val="005C6F6D"/>
    <w:rsid w:val="005C7E3A"/>
    <w:rsid w:val="005D3AFB"/>
    <w:rsid w:val="005E056E"/>
    <w:rsid w:val="005E3867"/>
    <w:rsid w:val="005E720E"/>
    <w:rsid w:val="005E7499"/>
    <w:rsid w:val="005F4C23"/>
    <w:rsid w:val="00600549"/>
    <w:rsid w:val="00603EBD"/>
    <w:rsid w:val="00605572"/>
    <w:rsid w:val="006062B2"/>
    <w:rsid w:val="00610E70"/>
    <w:rsid w:val="006204EE"/>
    <w:rsid w:val="00624095"/>
    <w:rsid w:val="00631777"/>
    <w:rsid w:val="006354B8"/>
    <w:rsid w:val="00641285"/>
    <w:rsid w:val="00642BFB"/>
    <w:rsid w:val="0064380B"/>
    <w:rsid w:val="006472FB"/>
    <w:rsid w:val="006518E4"/>
    <w:rsid w:val="00656828"/>
    <w:rsid w:val="00662092"/>
    <w:rsid w:val="00665929"/>
    <w:rsid w:val="00674DEB"/>
    <w:rsid w:val="00676CB9"/>
    <w:rsid w:val="0068386B"/>
    <w:rsid w:val="00684C31"/>
    <w:rsid w:val="00684DF6"/>
    <w:rsid w:val="006930A9"/>
    <w:rsid w:val="006A230E"/>
    <w:rsid w:val="006A3957"/>
    <w:rsid w:val="006A3D46"/>
    <w:rsid w:val="006A577D"/>
    <w:rsid w:val="006A5ACB"/>
    <w:rsid w:val="006A5CB2"/>
    <w:rsid w:val="006A5E55"/>
    <w:rsid w:val="006B1B46"/>
    <w:rsid w:val="006B24F8"/>
    <w:rsid w:val="006B2F34"/>
    <w:rsid w:val="006B74DF"/>
    <w:rsid w:val="006B7FD9"/>
    <w:rsid w:val="006C1087"/>
    <w:rsid w:val="006C1D84"/>
    <w:rsid w:val="006C3216"/>
    <w:rsid w:val="006C4089"/>
    <w:rsid w:val="006C5423"/>
    <w:rsid w:val="006C62B5"/>
    <w:rsid w:val="006D32A1"/>
    <w:rsid w:val="006D68BE"/>
    <w:rsid w:val="006E0B37"/>
    <w:rsid w:val="006E5BCF"/>
    <w:rsid w:val="006E71C2"/>
    <w:rsid w:val="006F0188"/>
    <w:rsid w:val="006F205D"/>
    <w:rsid w:val="006F4641"/>
    <w:rsid w:val="006F4C95"/>
    <w:rsid w:val="006F5CD8"/>
    <w:rsid w:val="00702D87"/>
    <w:rsid w:val="00703BD0"/>
    <w:rsid w:val="007053FC"/>
    <w:rsid w:val="00710353"/>
    <w:rsid w:val="00710FC0"/>
    <w:rsid w:val="00715679"/>
    <w:rsid w:val="00716B20"/>
    <w:rsid w:val="00722639"/>
    <w:rsid w:val="00723464"/>
    <w:rsid w:val="00736920"/>
    <w:rsid w:val="00737B19"/>
    <w:rsid w:val="00737DBD"/>
    <w:rsid w:val="00741228"/>
    <w:rsid w:val="007427B3"/>
    <w:rsid w:val="00752693"/>
    <w:rsid w:val="0075315B"/>
    <w:rsid w:val="0075421E"/>
    <w:rsid w:val="00754F9D"/>
    <w:rsid w:val="007560AE"/>
    <w:rsid w:val="00756B9C"/>
    <w:rsid w:val="007626A7"/>
    <w:rsid w:val="00765DDA"/>
    <w:rsid w:val="0077351A"/>
    <w:rsid w:val="00777FAC"/>
    <w:rsid w:val="007817C5"/>
    <w:rsid w:val="00785F8F"/>
    <w:rsid w:val="007932EE"/>
    <w:rsid w:val="007937A0"/>
    <w:rsid w:val="007A2FD4"/>
    <w:rsid w:val="007B07BF"/>
    <w:rsid w:val="007C055A"/>
    <w:rsid w:val="007D2C5E"/>
    <w:rsid w:val="007D51F4"/>
    <w:rsid w:val="007D7544"/>
    <w:rsid w:val="007D7A73"/>
    <w:rsid w:val="007E114D"/>
    <w:rsid w:val="007E2AB1"/>
    <w:rsid w:val="007E2B88"/>
    <w:rsid w:val="007E4851"/>
    <w:rsid w:val="007E7D59"/>
    <w:rsid w:val="007F2A67"/>
    <w:rsid w:val="007F2FA5"/>
    <w:rsid w:val="007F402D"/>
    <w:rsid w:val="0080043B"/>
    <w:rsid w:val="008009DA"/>
    <w:rsid w:val="008019FA"/>
    <w:rsid w:val="0080271F"/>
    <w:rsid w:val="00806068"/>
    <w:rsid w:val="008119E9"/>
    <w:rsid w:val="00813039"/>
    <w:rsid w:val="00813342"/>
    <w:rsid w:val="0081340E"/>
    <w:rsid w:val="00814BCE"/>
    <w:rsid w:val="00830502"/>
    <w:rsid w:val="00830D8A"/>
    <w:rsid w:val="0083460E"/>
    <w:rsid w:val="00835706"/>
    <w:rsid w:val="00837477"/>
    <w:rsid w:val="00843A4A"/>
    <w:rsid w:val="00845CBC"/>
    <w:rsid w:val="00850CBF"/>
    <w:rsid w:val="00853121"/>
    <w:rsid w:val="008531F4"/>
    <w:rsid w:val="00856D80"/>
    <w:rsid w:val="00857745"/>
    <w:rsid w:val="00862033"/>
    <w:rsid w:val="00862FCB"/>
    <w:rsid w:val="00863387"/>
    <w:rsid w:val="008638E1"/>
    <w:rsid w:val="00866602"/>
    <w:rsid w:val="008719EE"/>
    <w:rsid w:val="008740BD"/>
    <w:rsid w:val="00877786"/>
    <w:rsid w:val="00881561"/>
    <w:rsid w:val="00882603"/>
    <w:rsid w:val="008826A3"/>
    <w:rsid w:val="00882F50"/>
    <w:rsid w:val="00884177"/>
    <w:rsid w:val="00885AE0"/>
    <w:rsid w:val="008874FF"/>
    <w:rsid w:val="00890DEE"/>
    <w:rsid w:val="00893BBA"/>
    <w:rsid w:val="008967DF"/>
    <w:rsid w:val="00897459"/>
    <w:rsid w:val="008A4169"/>
    <w:rsid w:val="008A654B"/>
    <w:rsid w:val="008B15C9"/>
    <w:rsid w:val="008C0413"/>
    <w:rsid w:val="008C1F63"/>
    <w:rsid w:val="008C5AE8"/>
    <w:rsid w:val="008C5D0E"/>
    <w:rsid w:val="008C5ECF"/>
    <w:rsid w:val="008D2E7D"/>
    <w:rsid w:val="008E29A8"/>
    <w:rsid w:val="008E3C08"/>
    <w:rsid w:val="008E4567"/>
    <w:rsid w:val="00903A86"/>
    <w:rsid w:val="0090686A"/>
    <w:rsid w:val="00910FF4"/>
    <w:rsid w:val="0091213C"/>
    <w:rsid w:val="00914828"/>
    <w:rsid w:val="00914839"/>
    <w:rsid w:val="0091491C"/>
    <w:rsid w:val="00931CF7"/>
    <w:rsid w:val="00931DDF"/>
    <w:rsid w:val="0093569D"/>
    <w:rsid w:val="0094285F"/>
    <w:rsid w:val="00943A08"/>
    <w:rsid w:val="009518F6"/>
    <w:rsid w:val="00953FE3"/>
    <w:rsid w:val="00956D3E"/>
    <w:rsid w:val="0096160D"/>
    <w:rsid w:val="00967F0F"/>
    <w:rsid w:val="009709BA"/>
    <w:rsid w:val="0098374F"/>
    <w:rsid w:val="00983AD7"/>
    <w:rsid w:val="0098485C"/>
    <w:rsid w:val="00985870"/>
    <w:rsid w:val="009902FD"/>
    <w:rsid w:val="0099099A"/>
    <w:rsid w:val="00996873"/>
    <w:rsid w:val="00997B86"/>
    <w:rsid w:val="009A3B11"/>
    <w:rsid w:val="009A6364"/>
    <w:rsid w:val="009B6C42"/>
    <w:rsid w:val="009B72B7"/>
    <w:rsid w:val="009C1AF1"/>
    <w:rsid w:val="009D2F57"/>
    <w:rsid w:val="009D34DC"/>
    <w:rsid w:val="009D659A"/>
    <w:rsid w:val="009D6D1F"/>
    <w:rsid w:val="009E08E7"/>
    <w:rsid w:val="009E211C"/>
    <w:rsid w:val="009E3C74"/>
    <w:rsid w:val="00A030E8"/>
    <w:rsid w:val="00A04A3B"/>
    <w:rsid w:val="00A1043F"/>
    <w:rsid w:val="00A12F92"/>
    <w:rsid w:val="00A13AD1"/>
    <w:rsid w:val="00A23A59"/>
    <w:rsid w:val="00A2649F"/>
    <w:rsid w:val="00A32EEF"/>
    <w:rsid w:val="00A35B5D"/>
    <w:rsid w:val="00A435E5"/>
    <w:rsid w:val="00A54DDF"/>
    <w:rsid w:val="00A571B9"/>
    <w:rsid w:val="00A57AE2"/>
    <w:rsid w:val="00A61786"/>
    <w:rsid w:val="00A63E3D"/>
    <w:rsid w:val="00A72C5D"/>
    <w:rsid w:val="00A72E70"/>
    <w:rsid w:val="00A73D50"/>
    <w:rsid w:val="00A7419A"/>
    <w:rsid w:val="00A777D4"/>
    <w:rsid w:val="00A82A5D"/>
    <w:rsid w:val="00A8302C"/>
    <w:rsid w:val="00A900BE"/>
    <w:rsid w:val="00A949A2"/>
    <w:rsid w:val="00A973B8"/>
    <w:rsid w:val="00A97B0E"/>
    <w:rsid w:val="00AA214F"/>
    <w:rsid w:val="00AA33B4"/>
    <w:rsid w:val="00AA4020"/>
    <w:rsid w:val="00AA538C"/>
    <w:rsid w:val="00AB0FA5"/>
    <w:rsid w:val="00AC22BB"/>
    <w:rsid w:val="00AC4253"/>
    <w:rsid w:val="00AD34FB"/>
    <w:rsid w:val="00AD5AFF"/>
    <w:rsid w:val="00AD6AB3"/>
    <w:rsid w:val="00AD6D7D"/>
    <w:rsid w:val="00AD70C9"/>
    <w:rsid w:val="00AE22AC"/>
    <w:rsid w:val="00AE7E60"/>
    <w:rsid w:val="00AF3790"/>
    <w:rsid w:val="00AF5EFC"/>
    <w:rsid w:val="00AF6799"/>
    <w:rsid w:val="00AF7FE7"/>
    <w:rsid w:val="00B0166B"/>
    <w:rsid w:val="00B01C21"/>
    <w:rsid w:val="00B0355F"/>
    <w:rsid w:val="00B03AFC"/>
    <w:rsid w:val="00B0479A"/>
    <w:rsid w:val="00B20EFC"/>
    <w:rsid w:val="00B2132E"/>
    <w:rsid w:val="00B25B7D"/>
    <w:rsid w:val="00B30558"/>
    <w:rsid w:val="00B33132"/>
    <w:rsid w:val="00B3467C"/>
    <w:rsid w:val="00B34B80"/>
    <w:rsid w:val="00B3583E"/>
    <w:rsid w:val="00B35DE8"/>
    <w:rsid w:val="00B40827"/>
    <w:rsid w:val="00B47FC7"/>
    <w:rsid w:val="00B559C5"/>
    <w:rsid w:val="00B56AF5"/>
    <w:rsid w:val="00B61A87"/>
    <w:rsid w:val="00B63967"/>
    <w:rsid w:val="00B70891"/>
    <w:rsid w:val="00B77CBA"/>
    <w:rsid w:val="00B81069"/>
    <w:rsid w:val="00B8317A"/>
    <w:rsid w:val="00B840B1"/>
    <w:rsid w:val="00B852FF"/>
    <w:rsid w:val="00B96B6D"/>
    <w:rsid w:val="00BA2104"/>
    <w:rsid w:val="00BC0497"/>
    <w:rsid w:val="00BC3DB4"/>
    <w:rsid w:val="00BD200C"/>
    <w:rsid w:val="00BD3FD3"/>
    <w:rsid w:val="00BD74AB"/>
    <w:rsid w:val="00BD782C"/>
    <w:rsid w:val="00BF0D4D"/>
    <w:rsid w:val="00BF63C4"/>
    <w:rsid w:val="00C061AF"/>
    <w:rsid w:val="00C1015B"/>
    <w:rsid w:val="00C176AD"/>
    <w:rsid w:val="00C20176"/>
    <w:rsid w:val="00C30A77"/>
    <w:rsid w:val="00C316ED"/>
    <w:rsid w:val="00C33A2F"/>
    <w:rsid w:val="00C3410E"/>
    <w:rsid w:val="00C3521C"/>
    <w:rsid w:val="00C4000A"/>
    <w:rsid w:val="00C402BD"/>
    <w:rsid w:val="00C4333F"/>
    <w:rsid w:val="00C51F33"/>
    <w:rsid w:val="00C54E5F"/>
    <w:rsid w:val="00C604FE"/>
    <w:rsid w:val="00C62060"/>
    <w:rsid w:val="00C7435A"/>
    <w:rsid w:val="00C76E73"/>
    <w:rsid w:val="00C7729B"/>
    <w:rsid w:val="00C77EBC"/>
    <w:rsid w:val="00C81925"/>
    <w:rsid w:val="00C87ED3"/>
    <w:rsid w:val="00C9329C"/>
    <w:rsid w:val="00CA1A1B"/>
    <w:rsid w:val="00CA2544"/>
    <w:rsid w:val="00CA35A1"/>
    <w:rsid w:val="00CB31C8"/>
    <w:rsid w:val="00CB43A7"/>
    <w:rsid w:val="00CC0D27"/>
    <w:rsid w:val="00CC60D4"/>
    <w:rsid w:val="00CD4617"/>
    <w:rsid w:val="00CD7762"/>
    <w:rsid w:val="00CE411E"/>
    <w:rsid w:val="00CE563B"/>
    <w:rsid w:val="00CE631F"/>
    <w:rsid w:val="00CF073D"/>
    <w:rsid w:val="00CF0E9F"/>
    <w:rsid w:val="00CF2C5A"/>
    <w:rsid w:val="00CF32D4"/>
    <w:rsid w:val="00CF5B6C"/>
    <w:rsid w:val="00CF65E6"/>
    <w:rsid w:val="00CF679C"/>
    <w:rsid w:val="00CF7044"/>
    <w:rsid w:val="00D01504"/>
    <w:rsid w:val="00D0269C"/>
    <w:rsid w:val="00D03C7E"/>
    <w:rsid w:val="00D07448"/>
    <w:rsid w:val="00D100DE"/>
    <w:rsid w:val="00D11379"/>
    <w:rsid w:val="00D11DB1"/>
    <w:rsid w:val="00D15549"/>
    <w:rsid w:val="00D224E7"/>
    <w:rsid w:val="00D24F9E"/>
    <w:rsid w:val="00D26A54"/>
    <w:rsid w:val="00D3357A"/>
    <w:rsid w:val="00D42000"/>
    <w:rsid w:val="00D454DF"/>
    <w:rsid w:val="00D61709"/>
    <w:rsid w:val="00D70DBB"/>
    <w:rsid w:val="00D71BE4"/>
    <w:rsid w:val="00D71E95"/>
    <w:rsid w:val="00D74787"/>
    <w:rsid w:val="00D76353"/>
    <w:rsid w:val="00D76F97"/>
    <w:rsid w:val="00D85618"/>
    <w:rsid w:val="00D867F0"/>
    <w:rsid w:val="00D94257"/>
    <w:rsid w:val="00D9675E"/>
    <w:rsid w:val="00DA7121"/>
    <w:rsid w:val="00DB24E6"/>
    <w:rsid w:val="00DB3FB1"/>
    <w:rsid w:val="00DB6CB0"/>
    <w:rsid w:val="00DD08AA"/>
    <w:rsid w:val="00DD5034"/>
    <w:rsid w:val="00DD51C2"/>
    <w:rsid w:val="00DE3AAE"/>
    <w:rsid w:val="00DE3B1E"/>
    <w:rsid w:val="00DE6653"/>
    <w:rsid w:val="00DF7CC2"/>
    <w:rsid w:val="00E00D72"/>
    <w:rsid w:val="00E02784"/>
    <w:rsid w:val="00E03CB7"/>
    <w:rsid w:val="00E04633"/>
    <w:rsid w:val="00E068C0"/>
    <w:rsid w:val="00E10304"/>
    <w:rsid w:val="00E104DE"/>
    <w:rsid w:val="00E11615"/>
    <w:rsid w:val="00E14AE2"/>
    <w:rsid w:val="00E21A35"/>
    <w:rsid w:val="00E232F4"/>
    <w:rsid w:val="00E25ADC"/>
    <w:rsid w:val="00E41FB4"/>
    <w:rsid w:val="00E43354"/>
    <w:rsid w:val="00E450BC"/>
    <w:rsid w:val="00E46631"/>
    <w:rsid w:val="00E6058C"/>
    <w:rsid w:val="00E74C11"/>
    <w:rsid w:val="00E752FC"/>
    <w:rsid w:val="00E90E7A"/>
    <w:rsid w:val="00E93169"/>
    <w:rsid w:val="00E976D5"/>
    <w:rsid w:val="00EA178D"/>
    <w:rsid w:val="00EA3ECC"/>
    <w:rsid w:val="00EA42D3"/>
    <w:rsid w:val="00EA7A7C"/>
    <w:rsid w:val="00EB1695"/>
    <w:rsid w:val="00EB48C6"/>
    <w:rsid w:val="00EB5E87"/>
    <w:rsid w:val="00EC33C0"/>
    <w:rsid w:val="00ED2D75"/>
    <w:rsid w:val="00ED4608"/>
    <w:rsid w:val="00ED7255"/>
    <w:rsid w:val="00EE5AD2"/>
    <w:rsid w:val="00EF25DE"/>
    <w:rsid w:val="00EF39A7"/>
    <w:rsid w:val="00F020F9"/>
    <w:rsid w:val="00F0577B"/>
    <w:rsid w:val="00F134EE"/>
    <w:rsid w:val="00F1509C"/>
    <w:rsid w:val="00F24030"/>
    <w:rsid w:val="00F318BB"/>
    <w:rsid w:val="00F37DF5"/>
    <w:rsid w:val="00F44BD0"/>
    <w:rsid w:val="00F45E06"/>
    <w:rsid w:val="00F473FE"/>
    <w:rsid w:val="00F52AEE"/>
    <w:rsid w:val="00F536D6"/>
    <w:rsid w:val="00F549A9"/>
    <w:rsid w:val="00F56823"/>
    <w:rsid w:val="00F72C75"/>
    <w:rsid w:val="00F74454"/>
    <w:rsid w:val="00F8377C"/>
    <w:rsid w:val="00F87EBB"/>
    <w:rsid w:val="00F900B7"/>
    <w:rsid w:val="00F9126B"/>
    <w:rsid w:val="00F92462"/>
    <w:rsid w:val="00F93A82"/>
    <w:rsid w:val="00FA065F"/>
    <w:rsid w:val="00FA242E"/>
    <w:rsid w:val="00FB6402"/>
    <w:rsid w:val="00FC0FD8"/>
    <w:rsid w:val="00FC37AB"/>
    <w:rsid w:val="00FC5068"/>
    <w:rsid w:val="00FC571D"/>
    <w:rsid w:val="00FD13FF"/>
    <w:rsid w:val="00FD16C2"/>
    <w:rsid w:val="00FD6DF4"/>
    <w:rsid w:val="00FE6868"/>
    <w:rsid w:val="00FF46F3"/>
    <w:rsid w:val="00FF5923"/>
    <w:rsid w:val="00FF7F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518E4"/>
    <w:rPr>
      <w:rFonts w:ascii="Times New Roman" w:eastAsia="Times New Roman" w:hAnsi="Times New Roman"/>
      <w:sz w:val="24"/>
      <w:szCs w:val="24"/>
      <w:lang w:val="es-ES" w:eastAsia="es-ES"/>
    </w:rPr>
  </w:style>
  <w:style w:type="paragraph" w:styleId="Heading1">
    <w:name w:val="heading 1"/>
    <w:basedOn w:val="Normal"/>
    <w:next w:val="Normal"/>
    <w:link w:val="Heading1Char"/>
    <w:uiPriority w:val="99"/>
    <w:qFormat/>
    <w:rsid w:val="002375CE"/>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2375CE"/>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2375CE"/>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2375CE"/>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2375CE"/>
    <w:pPr>
      <w:keepNext/>
      <w:keepLines/>
      <w:spacing w:before="200"/>
      <w:outlineLvl w:val="4"/>
    </w:pPr>
    <w:rPr>
      <w:rFonts w:ascii="Cambria" w:hAnsi="Cambria" w:cs="Cambria"/>
      <w:color w:val="243F60"/>
    </w:rPr>
  </w:style>
  <w:style w:type="paragraph" w:styleId="Heading6">
    <w:name w:val="heading 6"/>
    <w:basedOn w:val="Normal"/>
    <w:next w:val="Normal"/>
    <w:link w:val="Heading6Char"/>
    <w:uiPriority w:val="99"/>
    <w:qFormat/>
    <w:rsid w:val="002375CE"/>
    <w:pPr>
      <w:keepNext/>
      <w:keepLines/>
      <w:spacing w:before="200"/>
      <w:outlineLvl w:val="5"/>
    </w:pPr>
    <w:rPr>
      <w:rFonts w:ascii="Cambria" w:hAnsi="Cambria" w:cs="Cambria"/>
      <w:i/>
      <w:iCs/>
      <w:color w:val="243F60"/>
    </w:rPr>
  </w:style>
  <w:style w:type="paragraph" w:styleId="Heading7">
    <w:name w:val="heading 7"/>
    <w:basedOn w:val="Normal"/>
    <w:next w:val="Normal"/>
    <w:link w:val="Heading7Char"/>
    <w:uiPriority w:val="99"/>
    <w:qFormat/>
    <w:rsid w:val="002375CE"/>
    <w:pPr>
      <w:keepNext/>
      <w:keepLines/>
      <w:spacing w:before="200"/>
      <w:outlineLvl w:val="6"/>
    </w:pPr>
    <w:rPr>
      <w:rFonts w:ascii="Cambria" w:hAnsi="Cambria" w:cs="Cambria"/>
      <w:i/>
      <w:iCs/>
      <w:color w:val="404040"/>
    </w:rPr>
  </w:style>
  <w:style w:type="paragraph" w:styleId="Heading8">
    <w:name w:val="heading 8"/>
    <w:basedOn w:val="Normal"/>
    <w:next w:val="Normal"/>
    <w:link w:val="Heading8Char"/>
    <w:uiPriority w:val="99"/>
    <w:qFormat/>
    <w:rsid w:val="002375CE"/>
    <w:pPr>
      <w:keepNext/>
      <w:keepLines/>
      <w:spacing w:before="200"/>
      <w:outlineLvl w:val="7"/>
    </w:pPr>
    <w:rPr>
      <w:rFonts w:ascii="Cambria" w:hAnsi="Cambria" w:cs="Cambria"/>
      <w:color w:val="4F81BD"/>
      <w:sz w:val="20"/>
      <w:szCs w:val="20"/>
    </w:rPr>
  </w:style>
  <w:style w:type="paragraph" w:styleId="Heading9">
    <w:name w:val="heading 9"/>
    <w:basedOn w:val="Normal"/>
    <w:next w:val="Normal"/>
    <w:link w:val="Heading9Char"/>
    <w:uiPriority w:val="99"/>
    <w:qFormat/>
    <w:rsid w:val="002375CE"/>
    <w:pPr>
      <w:keepNext/>
      <w:keepLines/>
      <w:spacing w:before="20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75CE"/>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2375CE"/>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2375CE"/>
    <w:rPr>
      <w:rFonts w:ascii="Cambria" w:hAnsi="Cambria" w:cs="Cambria"/>
      <w:b/>
      <w:bCs/>
      <w:color w:val="4F81BD"/>
    </w:rPr>
  </w:style>
  <w:style w:type="character" w:customStyle="1" w:styleId="Heading4Char">
    <w:name w:val="Heading 4 Char"/>
    <w:basedOn w:val="DefaultParagraphFont"/>
    <w:link w:val="Heading4"/>
    <w:uiPriority w:val="99"/>
    <w:locked/>
    <w:rsid w:val="002375CE"/>
    <w:rPr>
      <w:rFonts w:ascii="Cambria" w:hAnsi="Cambria" w:cs="Cambria"/>
      <w:b/>
      <w:bCs/>
      <w:i/>
      <w:iCs/>
      <w:color w:val="4F81BD"/>
    </w:rPr>
  </w:style>
  <w:style w:type="character" w:customStyle="1" w:styleId="Heading5Char">
    <w:name w:val="Heading 5 Char"/>
    <w:basedOn w:val="DefaultParagraphFont"/>
    <w:link w:val="Heading5"/>
    <w:uiPriority w:val="99"/>
    <w:locked/>
    <w:rsid w:val="002375CE"/>
    <w:rPr>
      <w:rFonts w:ascii="Cambria" w:hAnsi="Cambria" w:cs="Cambria"/>
      <w:color w:val="243F60"/>
    </w:rPr>
  </w:style>
  <w:style w:type="character" w:customStyle="1" w:styleId="Heading6Char">
    <w:name w:val="Heading 6 Char"/>
    <w:basedOn w:val="DefaultParagraphFont"/>
    <w:link w:val="Heading6"/>
    <w:uiPriority w:val="99"/>
    <w:locked/>
    <w:rsid w:val="002375CE"/>
    <w:rPr>
      <w:rFonts w:ascii="Cambria" w:hAnsi="Cambria" w:cs="Cambria"/>
      <w:i/>
      <w:iCs/>
      <w:color w:val="243F60"/>
    </w:rPr>
  </w:style>
  <w:style w:type="character" w:customStyle="1" w:styleId="Heading7Char">
    <w:name w:val="Heading 7 Char"/>
    <w:basedOn w:val="DefaultParagraphFont"/>
    <w:link w:val="Heading7"/>
    <w:uiPriority w:val="99"/>
    <w:locked/>
    <w:rsid w:val="002375CE"/>
    <w:rPr>
      <w:rFonts w:ascii="Cambria" w:hAnsi="Cambria" w:cs="Cambria"/>
      <w:i/>
      <w:iCs/>
      <w:color w:val="404040"/>
    </w:rPr>
  </w:style>
  <w:style w:type="character" w:customStyle="1" w:styleId="Heading8Char">
    <w:name w:val="Heading 8 Char"/>
    <w:basedOn w:val="DefaultParagraphFont"/>
    <w:link w:val="Heading8"/>
    <w:uiPriority w:val="99"/>
    <w:locked/>
    <w:rsid w:val="002375CE"/>
    <w:rPr>
      <w:rFonts w:ascii="Cambria" w:hAnsi="Cambria" w:cs="Cambria"/>
      <w:color w:val="4F81BD"/>
      <w:sz w:val="20"/>
      <w:szCs w:val="20"/>
    </w:rPr>
  </w:style>
  <w:style w:type="character" w:customStyle="1" w:styleId="Heading9Char">
    <w:name w:val="Heading 9 Char"/>
    <w:basedOn w:val="DefaultParagraphFont"/>
    <w:link w:val="Heading9"/>
    <w:uiPriority w:val="99"/>
    <w:locked/>
    <w:rsid w:val="002375CE"/>
    <w:rPr>
      <w:rFonts w:ascii="Cambria" w:hAnsi="Cambria" w:cs="Cambria"/>
      <w:i/>
      <w:iCs/>
      <w:color w:val="404040"/>
      <w:sz w:val="20"/>
      <w:szCs w:val="20"/>
    </w:rPr>
  </w:style>
  <w:style w:type="paragraph" w:styleId="Caption">
    <w:name w:val="caption"/>
    <w:basedOn w:val="Normal"/>
    <w:next w:val="Normal"/>
    <w:uiPriority w:val="99"/>
    <w:qFormat/>
    <w:rsid w:val="002375CE"/>
    <w:rPr>
      <w:b/>
      <w:bCs/>
      <w:color w:val="4F81BD"/>
      <w:sz w:val="18"/>
      <w:szCs w:val="18"/>
    </w:rPr>
  </w:style>
  <w:style w:type="paragraph" w:styleId="Title">
    <w:name w:val="Title"/>
    <w:basedOn w:val="Normal"/>
    <w:next w:val="Normal"/>
    <w:link w:val="TitleChar"/>
    <w:uiPriority w:val="99"/>
    <w:qFormat/>
    <w:rsid w:val="002375CE"/>
    <w:pPr>
      <w:pBdr>
        <w:bottom w:val="single" w:sz="8" w:space="4" w:color="4F81BD"/>
      </w:pBdr>
      <w:spacing w:after="300"/>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2375CE"/>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2375CE"/>
    <w:pPr>
      <w:numPr>
        <w:ilvl w:val="1"/>
      </w:numPr>
    </w:pPr>
    <w:rPr>
      <w:rFonts w:ascii="Cambria" w:hAnsi="Cambria" w:cs="Cambria"/>
      <w:i/>
      <w:iCs/>
      <w:color w:val="4F81BD"/>
      <w:spacing w:val="15"/>
    </w:rPr>
  </w:style>
  <w:style w:type="character" w:customStyle="1" w:styleId="SubtitleChar">
    <w:name w:val="Subtitle Char"/>
    <w:basedOn w:val="DefaultParagraphFont"/>
    <w:link w:val="Subtitle"/>
    <w:uiPriority w:val="99"/>
    <w:locked/>
    <w:rsid w:val="002375CE"/>
    <w:rPr>
      <w:rFonts w:ascii="Cambria" w:hAnsi="Cambria" w:cs="Cambria"/>
      <w:i/>
      <w:iCs/>
      <w:color w:val="4F81BD"/>
      <w:spacing w:val="15"/>
      <w:sz w:val="24"/>
      <w:szCs w:val="24"/>
    </w:rPr>
  </w:style>
  <w:style w:type="character" w:styleId="Strong">
    <w:name w:val="Strong"/>
    <w:basedOn w:val="DefaultParagraphFont"/>
    <w:uiPriority w:val="99"/>
    <w:qFormat/>
    <w:rsid w:val="002375CE"/>
    <w:rPr>
      <w:b/>
      <w:bCs/>
    </w:rPr>
  </w:style>
  <w:style w:type="character" w:styleId="Emphasis">
    <w:name w:val="Emphasis"/>
    <w:basedOn w:val="DefaultParagraphFont"/>
    <w:uiPriority w:val="99"/>
    <w:qFormat/>
    <w:rsid w:val="002375CE"/>
    <w:rPr>
      <w:i/>
      <w:iCs/>
    </w:rPr>
  </w:style>
  <w:style w:type="paragraph" w:styleId="NoSpacing">
    <w:name w:val="No Spacing"/>
    <w:uiPriority w:val="99"/>
    <w:qFormat/>
    <w:rsid w:val="002375CE"/>
    <w:rPr>
      <w:rFonts w:cs="Calibri"/>
      <w:sz w:val="22"/>
      <w:szCs w:val="22"/>
      <w:lang w:val="en-US" w:eastAsia="en-US"/>
    </w:rPr>
  </w:style>
  <w:style w:type="paragraph" w:styleId="ListParagraph">
    <w:name w:val="List Paragraph"/>
    <w:basedOn w:val="Normal"/>
    <w:uiPriority w:val="99"/>
    <w:qFormat/>
    <w:rsid w:val="002375CE"/>
    <w:pPr>
      <w:ind w:left="720"/>
    </w:pPr>
  </w:style>
  <w:style w:type="paragraph" w:styleId="Quote">
    <w:name w:val="Quote"/>
    <w:basedOn w:val="Normal"/>
    <w:next w:val="Normal"/>
    <w:link w:val="QuoteChar"/>
    <w:uiPriority w:val="99"/>
    <w:qFormat/>
    <w:rsid w:val="002375CE"/>
    <w:rPr>
      <w:i/>
      <w:iCs/>
      <w:color w:val="000000"/>
    </w:rPr>
  </w:style>
  <w:style w:type="character" w:customStyle="1" w:styleId="QuoteChar">
    <w:name w:val="Quote Char"/>
    <w:basedOn w:val="DefaultParagraphFont"/>
    <w:link w:val="Quote"/>
    <w:uiPriority w:val="99"/>
    <w:locked/>
    <w:rsid w:val="002375CE"/>
    <w:rPr>
      <w:i/>
      <w:iCs/>
      <w:color w:val="000000"/>
    </w:rPr>
  </w:style>
  <w:style w:type="paragraph" w:styleId="IntenseQuote">
    <w:name w:val="Intense Quote"/>
    <w:basedOn w:val="Normal"/>
    <w:next w:val="Normal"/>
    <w:link w:val="IntenseQuoteChar"/>
    <w:uiPriority w:val="99"/>
    <w:qFormat/>
    <w:rsid w:val="002375C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2375CE"/>
    <w:rPr>
      <w:b/>
      <w:bCs/>
      <w:i/>
      <w:iCs/>
      <w:color w:val="4F81BD"/>
    </w:rPr>
  </w:style>
  <w:style w:type="character" w:styleId="SubtleEmphasis">
    <w:name w:val="Subtle Emphasis"/>
    <w:basedOn w:val="DefaultParagraphFont"/>
    <w:uiPriority w:val="99"/>
    <w:qFormat/>
    <w:rsid w:val="002375CE"/>
    <w:rPr>
      <w:i/>
      <w:iCs/>
      <w:color w:val="808080"/>
    </w:rPr>
  </w:style>
  <w:style w:type="character" w:styleId="IntenseEmphasis">
    <w:name w:val="Intense Emphasis"/>
    <w:basedOn w:val="DefaultParagraphFont"/>
    <w:uiPriority w:val="99"/>
    <w:qFormat/>
    <w:rsid w:val="002375CE"/>
    <w:rPr>
      <w:b/>
      <w:bCs/>
      <w:i/>
      <w:iCs/>
      <w:color w:val="4F81BD"/>
    </w:rPr>
  </w:style>
  <w:style w:type="character" w:styleId="SubtleReference">
    <w:name w:val="Subtle Reference"/>
    <w:basedOn w:val="DefaultParagraphFont"/>
    <w:uiPriority w:val="99"/>
    <w:qFormat/>
    <w:rsid w:val="002375CE"/>
    <w:rPr>
      <w:smallCaps/>
      <w:color w:val="auto"/>
      <w:u w:val="single"/>
    </w:rPr>
  </w:style>
  <w:style w:type="character" w:styleId="IntenseReference">
    <w:name w:val="Intense Reference"/>
    <w:basedOn w:val="DefaultParagraphFont"/>
    <w:uiPriority w:val="99"/>
    <w:qFormat/>
    <w:rsid w:val="002375CE"/>
    <w:rPr>
      <w:b/>
      <w:bCs/>
      <w:smallCaps/>
      <w:color w:val="auto"/>
      <w:spacing w:val="5"/>
      <w:u w:val="single"/>
    </w:rPr>
  </w:style>
  <w:style w:type="character" w:styleId="BookTitle">
    <w:name w:val="Book Title"/>
    <w:basedOn w:val="DefaultParagraphFont"/>
    <w:uiPriority w:val="99"/>
    <w:qFormat/>
    <w:rsid w:val="002375CE"/>
    <w:rPr>
      <w:b/>
      <w:bCs/>
      <w:smallCaps/>
      <w:spacing w:val="5"/>
    </w:rPr>
  </w:style>
  <w:style w:type="paragraph" w:styleId="TOCHeading">
    <w:name w:val="TOC Heading"/>
    <w:basedOn w:val="Heading1"/>
    <w:next w:val="Normal"/>
    <w:uiPriority w:val="99"/>
    <w:qFormat/>
    <w:rsid w:val="002375CE"/>
    <w:pPr>
      <w:outlineLvl w:val="9"/>
    </w:p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uiPriority w:val="99"/>
    <w:locked/>
    <w:rsid w:val="006518E4"/>
    <w:rPr>
      <w:rFonts w:ascii="Times New Roman" w:hAnsi="Times New Roman" w:cs="Times New Roman"/>
      <w:sz w:val="24"/>
      <w:szCs w:val="24"/>
      <w:lang w:val="es-ES" w:eastAsia="es-ES"/>
    </w:rPr>
  </w:style>
  <w:style w:type="paragraph" w:styleId="FootnoteText">
    <w:name w:val="footnote text"/>
    <w:aliases w:val="Footnote reference,FA Fu,Footnote Text Char Char Char Char Char,Footnote Text Char Char Char Char,Footnote Text Char Char Char,Footnote Text Cha,FA Fußnotentext,FA Fuﬂnotentext,Footnote Text Char Char,FA Fu?notentext,Ca"/>
    <w:basedOn w:val="Normal"/>
    <w:link w:val="FootnoteTextChar2"/>
    <w:rsid w:val="006518E4"/>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 Char1,FA Fußnotentext Char1,FA Fuﬂnotentext Char1,Ca Char1"/>
    <w:basedOn w:val="DefaultParagraphFont"/>
    <w:link w:val="FootnoteText"/>
    <w:uiPriority w:val="99"/>
    <w:semiHidden/>
    <w:rsid w:val="00151B3F"/>
    <w:rPr>
      <w:rFonts w:ascii="Times New Roman" w:eastAsia="Times New Roman" w:hAnsi="Times New Roman"/>
      <w:sz w:val="20"/>
      <w:szCs w:val="20"/>
      <w:lang w:val="es-ES" w:eastAsia="es-ES"/>
    </w:rPr>
  </w:style>
  <w:style w:type="character" w:customStyle="1" w:styleId="FootnoteTextChar2">
    <w:name w:val="Footnote Text Char2"/>
    <w:aliases w:val="Footnote reference Char2,FA Fu Char2,Footnote Text Char Char Char Char Char Char2,Footnote Text Char Char Char Char Char3,Footnote Text Char Char Char Char3,Footnote Text Cha Char2,FA Fußnotentext Char2,FA Fuﬂnotentext Char2,Ca Char2"/>
    <w:basedOn w:val="DefaultParagraphFont"/>
    <w:link w:val="FootnoteText"/>
    <w:uiPriority w:val="99"/>
    <w:locked/>
    <w:rsid w:val="006518E4"/>
    <w:rPr>
      <w:rFonts w:ascii="Times New Roman" w:hAnsi="Times New Roman" w:cs="Times New Roman"/>
      <w:sz w:val="24"/>
      <w:szCs w:val="24"/>
      <w:lang w:val="es-ES" w:eastAsia="es-ES"/>
    </w:rPr>
  </w:style>
  <w:style w:type="character" w:customStyle="1" w:styleId="TextonotapieCar">
    <w:name w:val="Texto nota pie Car"/>
    <w:basedOn w:val="DefaultParagraphFont"/>
    <w:uiPriority w:val="99"/>
    <w:rsid w:val="006518E4"/>
    <w:rPr>
      <w:rFonts w:ascii="Times New Roman" w:hAnsi="Times New Roman" w:cs="Times New Roman"/>
      <w:sz w:val="20"/>
      <w:szCs w:val="20"/>
      <w:lang w:val="es-ES" w:eastAsia="es-ES"/>
    </w:rPr>
  </w:style>
  <w:style w:type="paragraph" w:customStyle="1" w:styleId="ListParagraph1">
    <w:name w:val="List Paragraph1"/>
    <w:basedOn w:val="Normal"/>
    <w:uiPriority w:val="99"/>
    <w:rsid w:val="006518E4"/>
    <w:pPr>
      <w:ind w:left="720"/>
    </w:pPr>
  </w:style>
  <w:style w:type="paragraph" w:customStyle="1" w:styleId="Textoindependiente1">
    <w:name w:val="Texto independiente1"/>
    <w:basedOn w:val="Normal"/>
    <w:uiPriority w:val="99"/>
    <w:rsid w:val="006518E4"/>
    <w:pPr>
      <w:widowControl w:val="0"/>
      <w:jc w:val="both"/>
    </w:pPr>
    <w:rPr>
      <w:rFonts w:ascii="New York" w:hAnsi="New York" w:cs="New York"/>
      <w:lang w:val="es-ES_tradnl" w:eastAsia="en-US"/>
    </w:rPr>
  </w:style>
  <w:style w:type="character" w:styleId="FootnoteReference">
    <w:name w:val="footnote reference"/>
    <w:aliases w:val="Texto de nota al pie,Footnotes refss,Appel note de bas de page"/>
    <w:basedOn w:val="DefaultParagraphFont"/>
    <w:uiPriority w:val="99"/>
    <w:semiHidden/>
    <w:rsid w:val="006518E4"/>
    <w:rPr>
      <w:vertAlign w:val="superscript"/>
    </w:rPr>
  </w:style>
  <w:style w:type="paragraph" w:styleId="Header">
    <w:name w:val="header"/>
    <w:basedOn w:val="Normal"/>
    <w:link w:val="HeaderChar"/>
    <w:uiPriority w:val="99"/>
    <w:rsid w:val="006518E4"/>
    <w:pPr>
      <w:tabs>
        <w:tab w:val="center" w:pos="4680"/>
        <w:tab w:val="right" w:pos="9360"/>
      </w:tabs>
    </w:pPr>
  </w:style>
  <w:style w:type="character" w:customStyle="1" w:styleId="HeaderChar">
    <w:name w:val="Header Char"/>
    <w:basedOn w:val="DefaultParagraphFont"/>
    <w:link w:val="Header"/>
    <w:uiPriority w:val="99"/>
    <w:locked/>
    <w:rsid w:val="006518E4"/>
    <w:rPr>
      <w:rFonts w:ascii="Times New Roman" w:hAnsi="Times New Roman" w:cs="Times New Roman"/>
      <w:sz w:val="24"/>
      <w:szCs w:val="24"/>
      <w:lang w:val="es-ES" w:eastAsia="es-ES"/>
    </w:rPr>
  </w:style>
  <w:style w:type="paragraph" w:styleId="Footer">
    <w:name w:val="footer"/>
    <w:basedOn w:val="Normal"/>
    <w:link w:val="FooterChar"/>
    <w:uiPriority w:val="99"/>
    <w:semiHidden/>
    <w:rsid w:val="006518E4"/>
    <w:pPr>
      <w:tabs>
        <w:tab w:val="center" w:pos="4680"/>
        <w:tab w:val="right" w:pos="9360"/>
      </w:tabs>
    </w:pPr>
  </w:style>
  <w:style w:type="character" w:customStyle="1" w:styleId="FooterChar">
    <w:name w:val="Footer Char"/>
    <w:basedOn w:val="DefaultParagraphFont"/>
    <w:link w:val="Footer"/>
    <w:uiPriority w:val="99"/>
    <w:semiHidden/>
    <w:locked/>
    <w:rsid w:val="006518E4"/>
    <w:rPr>
      <w:rFonts w:ascii="Times New Roman" w:hAnsi="Times New Roman" w:cs="Times New Roman"/>
      <w:sz w:val="24"/>
      <w:szCs w:val="24"/>
      <w:lang w:val="es-ES" w:eastAsia="es-ES"/>
    </w:rPr>
  </w:style>
  <w:style w:type="paragraph" w:styleId="BodyText2">
    <w:name w:val="Body Text 2"/>
    <w:basedOn w:val="Normal"/>
    <w:link w:val="BodyText2Char"/>
    <w:uiPriority w:val="99"/>
    <w:rsid w:val="006518E4"/>
    <w:pPr>
      <w:jc w:val="both"/>
    </w:pPr>
    <w:rPr>
      <w:rFonts w:ascii="Garamond" w:hAnsi="Garamond" w:cs="Garamond"/>
      <w:lang w:val="es-ES_tradnl"/>
    </w:rPr>
  </w:style>
  <w:style w:type="character" w:customStyle="1" w:styleId="BodyText2Char">
    <w:name w:val="Body Text 2 Char"/>
    <w:basedOn w:val="DefaultParagraphFont"/>
    <w:link w:val="BodyText2"/>
    <w:uiPriority w:val="99"/>
    <w:locked/>
    <w:rsid w:val="006518E4"/>
    <w:rPr>
      <w:rFonts w:ascii="Garamond" w:hAnsi="Garamond" w:cs="Garamond"/>
      <w:sz w:val="20"/>
      <w:szCs w:val="20"/>
      <w:lang w:val="es-ES_tradnl" w:eastAsia="es-ES"/>
    </w:rPr>
  </w:style>
  <w:style w:type="paragraph" w:styleId="BodyText">
    <w:name w:val="Body Text"/>
    <w:basedOn w:val="Normal"/>
    <w:link w:val="BodyTextChar"/>
    <w:uiPriority w:val="99"/>
    <w:semiHidden/>
    <w:rsid w:val="006518E4"/>
    <w:pPr>
      <w:spacing w:after="120"/>
    </w:pPr>
  </w:style>
  <w:style w:type="character" w:customStyle="1" w:styleId="BodyTextChar">
    <w:name w:val="Body Text Char"/>
    <w:basedOn w:val="DefaultParagraphFont"/>
    <w:link w:val="BodyText"/>
    <w:uiPriority w:val="99"/>
    <w:semiHidden/>
    <w:locked/>
    <w:rsid w:val="006518E4"/>
    <w:rPr>
      <w:rFonts w:ascii="Times New Roman" w:hAnsi="Times New Roman" w:cs="Times New Roman"/>
      <w:sz w:val="24"/>
      <w:szCs w:val="24"/>
      <w:lang w:val="es-ES" w:eastAsia="es-ES"/>
    </w:rPr>
  </w:style>
  <w:style w:type="paragraph" w:styleId="EndnoteText">
    <w:name w:val="endnote text"/>
    <w:basedOn w:val="Normal"/>
    <w:link w:val="EndnoteTextChar"/>
    <w:uiPriority w:val="99"/>
    <w:semiHidden/>
    <w:rsid w:val="006518E4"/>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cs="CG Times"/>
      <w:sz w:val="22"/>
      <w:szCs w:val="22"/>
      <w:lang w:eastAsia="en-US"/>
    </w:rPr>
  </w:style>
  <w:style w:type="character" w:customStyle="1" w:styleId="EndnoteTextChar">
    <w:name w:val="Endnote Text Char"/>
    <w:basedOn w:val="DefaultParagraphFont"/>
    <w:link w:val="EndnoteText"/>
    <w:uiPriority w:val="99"/>
    <w:locked/>
    <w:rsid w:val="006518E4"/>
    <w:rPr>
      <w:rFonts w:ascii="CG Times" w:hAnsi="CG Times" w:cs="CG Times"/>
      <w:sz w:val="20"/>
      <w:szCs w:val="20"/>
      <w:lang w:val="es-ES"/>
    </w:rPr>
  </w:style>
  <w:style w:type="paragraph" w:styleId="BalloonText">
    <w:name w:val="Balloon Text"/>
    <w:basedOn w:val="Normal"/>
    <w:link w:val="BalloonTextChar"/>
    <w:uiPriority w:val="99"/>
    <w:semiHidden/>
    <w:rsid w:val="006518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18E4"/>
    <w:rPr>
      <w:rFonts w:ascii="Tahoma" w:hAnsi="Tahoma" w:cs="Tahoma"/>
      <w:sz w:val="16"/>
      <w:szCs w:val="16"/>
      <w:lang w:val="es-ES" w:eastAsia="es-ES"/>
    </w:rPr>
  </w:style>
  <w:style w:type="paragraph" w:customStyle="1" w:styleId="Prrafodelista1">
    <w:name w:val="Párrafo de lista1"/>
    <w:basedOn w:val="Normal"/>
    <w:uiPriority w:val="99"/>
    <w:rsid w:val="006518E4"/>
    <w:pPr>
      <w:ind w:left="720"/>
    </w:pPr>
    <w:rPr>
      <w:rFonts w:ascii="Times" w:eastAsia="Calibri" w:hAnsi="Times" w:cs="Times"/>
      <w:lang w:val="es-ES_tradnl" w:eastAsia="en-US"/>
    </w:rPr>
  </w:style>
  <w:style w:type="paragraph" w:customStyle="1" w:styleId="Default">
    <w:name w:val="Default"/>
    <w:uiPriority w:val="99"/>
    <w:rsid w:val="006518E4"/>
    <w:pPr>
      <w:autoSpaceDE w:val="0"/>
      <w:autoSpaceDN w:val="0"/>
      <w:adjustRightInd w:val="0"/>
    </w:pPr>
    <w:rPr>
      <w:rFonts w:ascii="Verdana" w:hAnsi="Verdana" w:cs="Verdana"/>
      <w:color w:val="000000"/>
      <w:sz w:val="24"/>
      <w:szCs w:val="24"/>
      <w:lang w:val="en-US" w:eastAsia="en-US"/>
    </w:rPr>
  </w:style>
  <w:style w:type="character" w:styleId="Hyperlink">
    <w:name w:val="Hyperlink"/>
    <w:basedOn w:val="DefaultParagraphFont"/>
    <w:uiPriority w:val="99"/>
    <w:rsid w:val="006518E4"/>
    <w:rPr>
      <w:color w:val="0000FF"/>
      <w:u w:val="single"/>
    </w:rPr>
  </w:style>
  <w:style w:type="paragraph" w:customStyle="1" w:styleId="style2">
    <w:name w:val="style2"/>
    <w:basedOn w:val="Normal"/>
    <w:uiPriority w:val="99"/>
    <w:rsid w:val="006518E4"/>
    <w:pPr>
      <w:spacing w:before="100" w:beforeAutospacing="1" w:after="100" w:afterAutospacing="1" w:line="251" w:lineRule="atLeast"/>
      <w:jc w:val="both"/>
    </w:pPr>
    <w:rPr>
      <w:rFonts w:ascii="Verdana" w:hAnsi="Verdana" w:cs="Verdana"/>
      <w:color w:val="000000"/>
      <w:sz w:val="18"/>
      <w:szCs w:val="18"/>
      <w:lang w:val="en-US" w:eastAsia="en-US"/>
    </w:rPr>
  </w:style>
  <w:style w:type="paragraph" w:customStyle="1" w:styleId="ColorfulList-Accent11">
    <w:name w:val="Colorful List - Accent 11"/>
    <w:basedOn w:val="Normal"/>
    <w:uiPriority w:val="99"/>
    <w:rsid w:val="006518E4"/>
    <w:pPr>
      <w:ind w:left="720"/>
    </w:pPr>
    <w:rPr>
      <w:rFonts w:ascii="Times" w:eastAsia="Calibri" w:hAnsi="Times" w:cs="Times"/>
      <w:lang w:val="en-US" w:eastAsia="en-US"/>
    </w:rPr>
  </w:style>
  <w:style w:type="paragraph" w:customStyle="1" w:styleId="Num">
    <w:name w:val="Num"/>
    <w:basedOn w:val="Normal"/>
    <w:uiPriority w:val="99"/>
    <w:rsid w:val="00237095"/>
    <w:pPr>
      <w:numPr>
        <w:numId w:val="20"/>
      </w:numPr>
      <w:jc w:val="both"/>
    </w:pPr>
    <w:rPr>
      <w:rFonts w:ascii="Verdana" w:hAnsi="Verdana" w:cs="Verdana"/>
      <w:sz w:val="20"/>
      <w:szCs w:val="20"/>
      <w:lang w:val="es-ES_tradnl" w:eastAsia="en-US"/>
    </w:rPr>
  </w:style>
</w:styles>
</file>

<file path=word/webSettings.xml><?xml version="1.0" encoding="utf-8"?>
<w:webSettings xmlns:r="http://schemas.openxmlformats.org/officeDocument/2006/relationships" xmlns:w="http://schemas.openxmlformats.org/wordprocessingml/2006/main">
  <w:divs>
    <w:div w:id="897283777">
      <w:bodyDiv w:val="1"/>
      <w:marLeft w:val="0"/>
      <w:marRight w:val="0"/>
      <w:marTop w:val="0"/>
      <w:marBottom w:val="0"/>
      <w:divBdr>
        <w:top w:val="none" w:sz="0" w:space="0" w:color="auto"/>
        <w:left w:val="none" w:sz="0" w:space="0" w:color="auto"/>
        <w:bottom w:val="none" w:sz="0" w:space="0" w:color="auto"/>
        <w:right w:val="none" w:sz="0" w:space="0" w:color="auto"/>
      </w:divBdr>
    </w:div>
    <w:div w:id="203804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6784</Words>
  <Characters>36619</Characters>
  <Application>Microsoft Office Word</Application>
  <DocSecurity>4</DocSecurity>
  <Lines>305</Lines>
  <Paragraphs>86</Paragraphs>
  <ScaleCrop>false</ScaleCrop>
  <Company>Corte IDH</Company>
  <LinksUpToDate>false</LinksUpToDate>
  <CharactersWithSpaces>43317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DEL PRESIDENTE DE LA</dc:title>
  <dc:creator>Corteidh</dc:creator>
  <cp:lastModifiedBy>Gabriel Alfaro</cp:lastModifiedBy>
  <cp:revision>2</cp:revision>
  <cp:lastPrinted>2013-08-23T17:57:00Z</cp:lastPrinted>
  <dcterms:created xsi:type="dcterms:W3CDTF">2013-08-23T18:00:00Z</dcterms:created>
  <dcterms:modified xsi:type="dcterms:W3CDTF">2013-08-23T18:00:00Z</dcterms:modified>
</cp:coreProperties>
</file>