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CD7" w:rsidRDefault="00675EC8" w:rsidP="00675EC8">
      <w:pPr>
        <w:spacing w:after="0"/>
        <w:ind w:right="-316"/>
        <w:rPr>
          <w:rFonts w:cs="Verdana Bold"/>
          <w:b/>
          <w:bCs/>
          <w:caps/>
        </w:rPr>
      </w:pPr>
      <w:r>
        <w:rPr>
          <w:rFonts w:cs="Verdana Bold"/>
          <w:b/>
          <w:bCs/>
          <w:caps/>
        </w:rPr>
        <w:t xml:space="preserve"> </w:t>
      </w:r>
    </w:p>
    <w:p w:rsidR="00017CD7" w:rsidRDefault="00017CD7" w:rsidP="007403DD">
      <w:pPr>
        <w:spacing w:after="0"/>
        <w:ind w:right="-316"/>
        <w:jc w:val="center"/>
        <w:rPr>
          <w:rFonts w:cs="Verdana Bold"/>
          <w:b/>
          <w:bCs/>
          <w:caps/>
        </w:rPr>
      </w:pPr>
    </w:p>
    <w:p w:rsidR="00017CD7" w:rsidRDefault="00017CD7" w:rsidP="007403DD">
      <w:pPr>
        <w:spacing w:after="0"/>
        <w:ind w:right="-316"/>
        <w:jc w:val="center"/>
        <w:rPr>
          <w:rFonts w:cs="Verdana Bold"/>
          <w:b/>
          <w:bCs/>
          <w:caps/>
        </w:rPr>
      </w:pPr>
    </w:p>
    <w:p w:rsidR="00017CD7" w:rsidRDefault="00017CD7" w:rsidP="007403DD">
      <w:pPr>
        <w:spacing w:after="0"/>
        <w:ind w:right="-316"/>
        <w:jc w:val="center"/>
        <w:rPr>
          <w:rFonts w:cs="Verdana Bold"/>
          <w:b/>
          <w:bCs/>
          <w:caps/>
        </w:rPr>
      </w:pPr>
    </w:p>
    <w:p w:rsidR="00017CD7" w:rsidRDefault="00017CD7" w:rsidP="007403DD">
      <w:pPr>
        <w:spacing w:after="0"/>
        <w:ind w:right="-316"/>
        <w:jc w:val="center"/>
        <w:rPr>
          <w:rFonts w:cs="Verdana Bold"/>
          <w:b/>
          <w:bCs/>
          <w:caps/>
        </w:rPr>
      </w:pPr>
    </w:p>
    <w:p w:rsidR="00017CD7" w:rsidRDefault="00017CD7" w:rsidP="007403DD">
      <w:pPr>
        <w:spacing w:after="0"/>
        <w:ind w:right="-316"/>
        <w:jc w:val="center"/>
        <w:rPr>
          <w:rFonts w:cs="Verdana Bold"/>
          <w:b/>
          <w:bCs/>
          <w:caps/>
        </w:rPr>
      </w:pPr>
    </w:p>
    <w:p w:rsidR="007D2FC8" w:rsidRDefault="007D2FC8" w:rsidP="007403DD">
      <w:pPr>
        <w:spacing w:after="0"/>
        <w:jc w:val="center"/>
        <w:rPr>
          <w:rFonts w:cs="Verdana"/>
          <w:b/>
          <w:bCs/>
          <w:caps/>
          <w:szCs w:val="20"/>
          <w:lang w:val="es-ES"/>
        </w:rPr>
      </w:pPr>
    </w:p>
    <w:p w:rsidR="007D2FC8" w:rsidRDefault="007D2FC8" w:rsidP="007403DD">
      <w:pPr>
        <w:spacing w:after="0"/>
        <w:jc w:val="center"/>
        <w:rPr>
          <w:rFonts w:cs="Verdana"/>
          <w:b/>
          <w:bCs/>
          <w:caps/>
          <w:szCs w:val="20"/>
          <w:lang w:val="es-ES"/>
        </w:rPr>
      </w:pPr>
    </w:p>
    <w:p w:rsidR="007D2FC8" w:rsidRDefault="007D2FC8" w:rsidP="007403DD">
      <w:pPr>
        <w:spacing w:after="0"/>
        <w:jc w:val="center"/>
        <w:rPr>
          <w:rFonts w:cs="Verdana"/>
          <w:b/>
          <w:bCs/>
          <w:caps/>
          <w:szCs w:val="20"/>
          <w:lang w:val="es-ES"/>
        </w:rPr>
      </w:pPr>
    </w:p>
    <w:p w:rsidR="00326C06" w:rsidRDefault="00326C06" w:rsidP="007403DD">
      <w:pPr>
        <w:spacing w:after="0"/>
        <w:jc w:val="center"/>
        <w:rPr>
          <w:rFonts w:cs="Verdana"/>
          <w:b/>
          <w:bCs/>
          <w:caps/>
          <w:szCs w:val="20"/>
          <w:lang w:val="es-ES"/>
        </w:rPr>
      </w:pPr>
    </w:p>
    <w:p w:rsidR="00017CD7" w:rsidRPr="0003632E" w:rsidRDefault="00017CD7" w:rsidP="007403DD">
      <w:pPr>
        <w:spacing w:after="0"/>
        <w:jc w:val="center"/>
        <w:rPr>
          <w:rFonts w:cs="Verdana"/>
          <w:b/>
          <w:bCs/>
          <w:caps/>
          <w:szCs w:val="20"/>
          <w:lang w:val="es-ES"/>
        </w:rPr>
      </w:pPr>
      <w:r w:rsidRPr="0003632E">
        <w:rPr>
          <w:rFonts w:cs="Verdana"/>
          <w:b/>
          <w:bCs/>
          <w:caps/>
          <w:szCs w:val="20"/>
          <w:lang w:val="es-ES"/>
        </w:rPr>
        <w:t>RESOLUCIÓN DE</w:t>
      </w:r>
      <w:r>
        <w:rPr>
          <w:rFonts w:cs="Verdana"/>
          <w:b/>
          <w:bCs/>
          <w:caps/>
          <w:szCs w:val="20"/>
          <w:lang w:val="es-ES"/>
        </w:rPr>
        <w:t xml:space="preserve"> </w:t>
      </w:r>
      <w:r w:rsidRPr="0003632E">
        <w:rPr>
          <w:rFonts w:cs="Verdana"/>
          <w:b/>
          <w:bCs/>
          <w:caps/>
          <w:szCs w:val="20"/>
          <w:lang w:val="es-ES"/>
        </w:rPr>
        <w:t>L</w:t>
      </w:r>
      <w:r>
        <w:rPr>
          <w:rFonts w:cs="Verdana"/>
          <w:b/>
          <w:bCs/>
          <w:caps/>
          <w:szCs w:val="20"/>
          <w:lang w:val="es-ES"/>
        </w:rPr>
        <w:t>a</w:t>
      </w:r>
      <w:r w:rsidRPr="0003632E">
        <w:rPr>
          <w:rFonts w:cs="Verdana"/>
          <w:b/>
          <w:bCs/>
          <w:caps/>
          <w:szCs w:val="20"/>
          <w:lang w:val="es-ES"/>
        </w:rPr>
        <w:t xml:space="preserve"> </w:t>
      </w:r>
      <w:r>
        <w:rPr>
          <w:rFonts w:cs="Verdana"/>
          <w:b/>
          <w:bCs/>
          <w:caps/>
          <w:szCs w:val="20"/>
          <w:lang w:val="es-ES"/>
        </w:rPr>
        <w:t>corte</w:t>
      </w:r>
    </w:p>
    <w:p w:rsidR="00017CD7" w:rsidRDefault="00017CD7" w:rsidP="007403DD">
      <w:pPr>
        <w:spacing w:after="0"/>
        <w:jc w:val="center"/>
        <w:rPr>
          <w:rFonts w:cs="Verdana"/>
          <w:b/>
          <w:bCs/>
          <w:caps/>
          <w:szCs w:val="20"/>
          <w:lang w:val="es-ES"/>
        </w:rPr>
      </w:pPr>
      <w:r w:rsidRPr="0003632E">
        <w:rPr>
          <w:rFonts w:cs="Verdana"/>
          <w:b/>
          <w:bCs/>
          <w:caps/>
          <w:szCs w:val="20"/>
          <w:lang w:val="es-ES"/>
        </w:rPr>
        <w:t xml:space="preserve"> INTERAMERICANA</w:t>
      </w:r>
      <w:r>
        <w:rPr>
          <w:rFonts w:cs="Verdana"/>
          <w:b/>
          <w:bCs/>
          <w:caps/>
          <w:szCs w:val="20"/>
          <w:lang w:val="es-ES"/>
        </w:rPr>
        <w:t xml:space="preserve"> </w:t>
      </w:r>
      <w:r w:rsidRPr="0003632E">
        <w:rPr>
          <w:rFonts w:cs="Verdana"/>
          <w:b/>
          <w:bCs/>
          <w:caps/>
          <w:szCs w:val="20"/>
          <w:lang w:val="es-ES"/>
        </w:rPr>
        <w:t>DE DERECHOS HUMANOS</w:t>
      </w:r>
      <w:r w:rsidRPr="003B027A">
        <w:rPr>
          <w:rStyle w:val="FootnoteReference"/>
          <w:b/>
          <w:bCs/>
          <w:caps/>
          <w:lang w:val="es-ES"/>
        </w:rPr>
        <w:footnoteReference w:customMarkFollows="1" w:id="1"/>
        <w:sym w:font="Symbol" w:char="F02A"/>
      </w:r>
    </w:p>
    <w:p w:rsidR="00017CD7" w:rsidRDefault="00017CD7" w:rsidP="007403DD">
      <w:pPr>
        <w:spacing w:after="0"/>
        <w:jc w:val="center"/>
        <w:rPr>
          <w:rFonts w:cs="Verdana"/>
          <w:b/>
          <w:bCs/>
          <w:caps/>
          <w:szCs w:val="20"/>
          <w:lang w:val="es-ES"/>
        </w:rPr>
      </w:pPr>
    </w:p>
    <w:p w:rsidR="00017CD7" w:rsidRPr="0003632E" w:rsidRDefault="00017CD7" w:rsidP="007403DD">
      <w:pPr>
        <w:spacing w:after="0"/>
        <w:jc w:val="center"/>
        <w:rPr>
          <w:rFonts w:cs="Verdana"/>
          <w:b/>
          <w:bCs/>
          <w:caps/>
          <w:szCs w:val="20"/>
          <w:lang w:val="es-ES"/>
        </w:rPr>
      </w:pPr>
      <w:r w:rsidRPr="0003632E">
        <w:rPr>
          <w:rFonts w:cs="Verdana"/>
          <w:b/>
          <w:bCs/>
          <w:caps/>
          <w:szCs w:val="20"/>
          <w:lang w:val="es-ES"/>
        </w:rPr>
        <w:t xml:space="preserve">DE </w:t>
      </w:r>
      <w:r w:rsidR="00920D4C">
        <w:rPr>
          <w:rFonts w:cs="Verdana"/>
          <w:b/>
          <w:bCs/>
          <w:caps/>
          <w:szCs w:val="20"/>
          <w:lang w:val="es-ES"/>
        </w:rPr>
        <w:t>10</w:t>
      </w:r>
      <w:r>
        <w:rPr>
          <w:rFonts w:cs="Verdana"/>
          <w:b/>
          <w:bCs/>
          <w:caps/>
          <w:szCs w:val="20"/>
          <w:lang w:val="es-ES"/>
        </w:rPr>
        <w:t xml:space="preserve"> DE </w:t>
      </w:r>
      <w:r w:rsidR="00920D4C">
        <w:rPr>
          <w:rFonts w:cs="Verdana"/>
          <w:b/>
          <w:bCs/>
          <w:caps/>
          <w:szCs w:val="20"/>
          <w:lang w:val="es-ES"/>
        </w:rPr>
        <w:t>OCTUBRE</w:t>
      </w:r>
      <w:r>
        <w:rPr>
          <w:rFonts w:cs="Verdana"/>
          <w:b/>
          <w:bCs/>
          <w:caps/>
          <w:szCs w:val="20"/>
          <w:lang w:val="es-ES"/>
        </w:rPr>
        <w:t xml:space="preserve"> DE 2016</w:t>
      </w:r>
    </w:p>
    <w:p w:rsidR="00F90477" w:rsidRPr="00BD22C0" w:rsidRDefault="00F90477" w:rsidP="007403DD">
      <w:pPr>
        <w:spacing w:after="0"/>
        <w:ind w:right="-316"/>
        <w:jc w:val="center"/>
        <w:rPr>
          <w:rFonts w:cs="Verdana Bold"/>
          <w:b/>
          <w:bCs/>
          <w:caps/>
          <w:szCs w:val="20"/>
        </w:rPr>
      </w:pPr>
    </w:p>
    <w:p w:rsidR="00F90477" w:rsidRPr="00BD22C0" w:rsidRDefault="00F90477" w:rsidP="007403DD">
      <w:pPr>
        <w:spacing w:after="0"/>
        <w:ind w:right="-316"/>
        <w:rPr>
          <w:rFonts w:cs="Verdana Bold"/>
          <w:b/>
          <w:bCs/>
          <w:caps/>
          <w:szCs w:val="20"/>
        </w:rPr>
      </w:pPr>
    </w:p>
    <w:p w:rsidR="00F90477" w:rsidRPr="006C2759" w:rsidRDefault="00F90477" w:rsidP="007403DD">
      <w:pPr>
        <w:spacing w:after="0"/>
        <w:ind w:right="-316"/>
        <w:jc w:val="center"/>
        <w:rPr>
          <w:rFonts w:cs="Verdana Bold"/>
          <w:b/>
          <w:bCs/>
          <w:caps/>
          <w:szCs w:val="20"/>
        </w:rPr>
      </w:pPr>
      <w:r w:rsidRPr="006C2759">
        <w:rPr>
          <w:rFonts w:cs="Verdana Bold"/>
          <w:b/>
          <w:bCs/>
          <w:szCs w:val="20"/>
        </w:rPr>
        <w:t xml:space="preserve">CASO </w:t>
      </w:r>
      <w:r w:rsidRPr="006C2759">
        <w:rPr>
          <w:rFonts w:cs="Arial"/>
          <w:b/>
        </w:rPr>
        <w:t xml:space="preserve">GENOVEVA Y OTROS </w:t>
      </w:r>
      <w:r w:rsidR="00D3370F">
        <w:rPr>
          <w:rFonts w:cs="Arial"/>
          <w:b/>
        </w:rPr>
        <w:t>(FAVELA NOVA BRASI</w:t>
      </w:r>
      <w:r w:rsidRPr="006C2759">
        <w:rPr>
          <w:rFonts w:cs="Arial"/>
          <w:b/>
        </w:rPr>
        <w:t>LIA)</w:t>
      </w:r>
      <w:r w:rsidRPr="006C2759">
        <w:rPr>
          <w:rFonts w:cs="Verdana Bold"/>
          <w:b/>
          <w:bCs/>
          <w:szCs w:val="20"/>
        </w:rPr>
        <w:t xml:space="preserve"> </w:t>
      </w:r>
      <w:r w:rsidRPr="006C2759">
        <w:rPr>
          <w:rFonts w:cs="Verdana Bold"/>
          <w:b/>
          <w:bCs/>
          <w:caps/>
          <w:szCs w:val="20"/>
        </w:rPr>
        <w:t>VS. BRASIL</w:t>
      </w:r>
    </w:p>
    <w:p w:rsidR="00F90477" w:rsidRPr="00BD22C0" w:rsidRDefault="00F90477" w:rsidP="007403DD">
      <w:pPr>
        <w:spacing w:after="0"/>
        <w:ind w:right="-316"/>
        <w:jc w:val="center"/>
        <w:rPr>
          <w:rFonts w:cs="Verdana Bold"/>
          <w:b/>
          <w:bCs/>
          <w:caps/>
          <w:szCs w:val="20"/>
        </w:rPr>
      </w:pPr>
    </w:p>
    <w:p w:rsidR="00F90477" w:rsidRPr="00BD22C0" w:rsidRDefault="00F90477" w:rsidP="007403DD">
      <w:pPr>
        <w:spacing w:after="0"/>
        <w:rPr>
          <w:rFonts w:cs="Verdana"/>
          <w:b/>
          <w:bCs/>
          <w:caps/>
          <w:szCs w:val="20"/>
        </w:rPr>
      </w:pPr>
    </w:p>
    <w:p w:rsidR="00F90477" w:rsidRPr="00BD22C0" w:rsidRDefault="00F90477" w:rsidP="007403DD">
      <w:pPr>
        <w:spacing w:after="0"/>
        <w:rPr>
          <w:rFonts w:cs="Verdana"/>
          <w:b/>
          <w:bCs/>
          <w:caps/>
          <w:szCs w:val="20"/>
        </w:rPr>
      </w:pPr>
    </w:p>
    <w:p w:rsidR="00F90477" w:rsidRPr="00BD22C0" w:rsidRDefault="00F90477" w:rsidP="007403DD">
      <w:pPr>
        <w:spacing w:after="0"/>
        <w:rPr>
          <w:rFonts w:cs="Verdana"/>
          <w:b/>
          <w:bCs/>
          <w:caps/>
          <w:szCs w:val="20"/>
        </w:rPr>
      </w:pPr>
      <w:r w:rsidRPr="00BD22C0">
        <w:rPr>
          <w:rFonts w:cs="Verdana"/>
          <w:b/>
          <w:bCs/>
          <w:caps/>
          <w:szCs w:val="20"/>
        </w:rPr>
        <w:t>Visto:</w:t>
      </w:r>
    </w:p>
    <w:p w:rsidR="00F90477" w:rsidRPr="00BD22C0" w:rsidRDefault="00F90477" w:rsidP="007403DD">
      <w:pPr>
        <w:spacing w:after="0"/>
        <w:rPr>
          <w:rFonts w:cs="Verdana"/>
          <w:b/>
          <w:bCs/>
          <w:caps/>
          <w:szCs w:val="20"/>
        </w:rPr>
      </w:pPr>
    </w:p>
    <w:p w:rsidR="001F6312" w:rsidRPr="00E7665B" w:rsidRDefault="001F6312" w:rsidP="007403DD">
      <w:pPr>
        <w:numPr>
          <w:ilvl w:val="0"/>
          <w:numId w:val="4"/>
        </w:numPr>
        <w:autoSpaceDE w:val="0"/>
        <w:autoSpaceDN w:val="0"/>
        <w:adjustRightInd w:val="0"/>
        <w:spacing w:after="0"/>
        <w:ind w:left="0" w:right="18" w:firstLine="0"/>
        <w:rPr>
          <w:rFonts w:cs="Verdana"/>
          <w:szCs w:val="20"/>
        </w:rPr>
      </w:pPr>
      <w:r w:rsidRPr="00E7665B">
        <w:rPr>
          <w:rFonts w:cs="Verdana"/>
          <w:szCs w:val="20"/>
        </w:rPr>
        <w:t xml:space="preserve">La Resolución del Presidente de la Corte Interamericana de Derechos Humanos (en adelante “el Presidente”) de </w:t>
      </w:r>
      <w:r>
        <w:rPr>
          <w:rFonts w:cs="Verdana"/>
          <w:szCs w:val="20"/>
        </w:rPr>
        <w:t xml:space="preserve">4 de agosto </w:t>
      </w:r>
      <w:r w:rsidRPr="00E7665B">
        <w:rPr>
          <w:rFonts w:cs="Verdana"/>
          <w:szCs w:val="20"/>
        </w:rPr>
        <w:t>de 201</w:t>
      </w:r>
      <w:r>
        <w:rPr>
          <w:rFonts w:cs="Verdana"/>
          <w:szCs w:val="20"/>
        </w:rPr>
        <w:t>6</w:t>
      </w:r>
      <w:r w:rsidRPr="00E7665B">
        <w:rPr>
          <w:rFonts w:cs="Verdana"/>
          <w:szCs w:val="20"/>
        </w:rPr>
        <w:t xml:space="preserve"> (en adelante “la Resolución del Presidente”) mediante la cual, </w:t>
      </w:r>
      <w:r w:rsidRPr="00E7665B">
        <w:rPr>
          <w:rFonts w:cs="Verdana"/>
          <w:i/>
          <w:iCs/>
          <w:szCs w:val="20"/>
        </w:rPr>
        <w:t>inter alia</w:t>
      </w:r>
      <w:r w:rsidRPr="00E7665B">
        <w:rPr>
          <w:rFonts w:cs="Verdana"/>
          <w:szCs w:val="20"/>
        </w:rPr>
        <w:t xml:space="preserve">, ordenó la recepción de diversas declaraciones </w:t>
      </w:r>
      <w:r>
        <w:rPr>
          <w:rFonts w:cs="Verdana"/>
          <w:szCs w:val="20"/>
        </w:rPr>
        <w:t xml:space="preserve">testimoniales y </w:t>
      </w:r>
      <w:r w:rsidRPr="00E7665B">
        <w:rPr>
          <w:rFonts w:cs="Verdana"/>
          <w:szCs w:val="20"/>
        </w:rPr>
        <w:t xml:space="preserve">periciales mediante </w:t>
      </w:r>
      <w:r w:rsidR="007D2FC8" w:rsidRPr="007D2FC8">
        <w:rPr>
          <w:rFonts w:cs="Verdana"/>
          <w:iCs/>
          <w:szCs w:val="20"/>
        </w:rPr>
        <w:t>afidá</w:t>
      </w:r>
      <w:r w:rsidRPr="007D2FC8">
        <w:rPr>
          <w:rFonts w:cs="Verdana"/>
          <w:iCs/>
          <w:szCs w:val="20"/>
        </w:rPr>
        <w:t>vit</w:t>
      </w:r>
      <w:r>
        <w:rPr>
          <w:rFonts w:cs="Verdana"/>
          <w:iCs/>
          <w:szCs w:val="20"/>
        </w:rPr>
        <w:t>, rechazó la sustitución de una declaración pericial y la incorporación de nuevos peritajes,</w:t>
      </w:r>
      <w:r w:rsidRPr="00E7665B">
        <w:rPr>
          <w:rFonts w:cs="Verdana"/>
          <w:szCs w:val="20"/>
        </w:rPr>
        <w:t xml:space="preserve"> y convocó a la Comisión Interamericana de Derechos Humanos (en adelante “la Comisión Interamericana” o “la Comisión”), a l</w:t>
      </w:r>
      <w:r>
        <w:rPr>
          <w:rFonts w:cs="Verdana"/>
          <w:szCs w:val="20"/>
        </w:rPr>
        <w:t>o</w:t>
      </w:r>
      <w:r w:rsidRPr="00E7665B">
        <w:rPr>
          <w:rFonts w:cs="Verdana"/>
          <w:szCs w:val="20"/>
        </w:rPr>
        <w:t>s representantes de las presuntas víctimas (en adelante “l</w:t>
      </w:r>
      <w:r>
        <w:rPr>
          <w:rFonts w:cs="Verdana"/>
          <w:szCs w:val="20"/>
        </w:rPr>
        <w:t>o</w:t>
      </w:r>
      <w:r w:rsidRPr="00E7665B">
        <w:rPr>
          <w:rFonts w:cs="Verdana"/>
          <w:szCs w:val="20"/>
        </w:rPr>
        <w:t xml:space="preserve">s representantes”) y a </w:t>
      </w:r>
      <w:r w:rsidRPr="00E7665B">
        <w:rPr>
          <w:rFonts w:cs="Verdana"/>
          <w:lang w:val="es-ES"/>
        </w:rPr>
        <w:t xml:space="preserve">la República </w:t>
      </w:r>
      <w:r>
        <w:rPr>
          <w:rFonts w:cs="Verdana"/>
          <w:lang w:val="es-ES"/>
        </w:rPr>
        <w:t xml:space="preserve">Federativa de Brasil </w:t>
      </w:r>
      <w:r w:rsidRPr="00E7665B">
        <w:rPr>
          <w:rFonts w:cs="Verdana"/>
          <w:lang w:val="es-ES"/>
        </w:rPr>
        <w:t>(en adelante “el Estado” o “</w:t>
      </w:r>
      <w:r>
        <w:rPr>
          <w:rFonts w:cs="Verdana"/>
          <w:lang w:val="es-ES"/>
        </w:rPr>
        <w:t>Brasil</w:t>
      </w:r>
      <w:r w:rsidRPr="00E7665B">
        <w:rPr>
          <w:rFonts w:cs="Verdana"/>
          <w:lang w:val="es-ES"/>
        </w:rPr>
        <w:t xml:space="preserve">”) </w:t>
      </w:r>
      <w:r w:rsidRPr="00E7665B">
        <w:rPr>
          <w:rFonts w:cs="Verdana"/>
          <w:szCs w:val="20"/>
        </w:rPr>
        <w:t xml:space="preserve">a una audiencia pública a celebrarse </w:t>
      </w:r>
      <w:r>
        <w:rPr>
          <w:rFonts w:cs="Verdana"/>
          <w:szCs w:val="20"/>
          <w:lang w:bidi="en-US"/>
        </w:rPr>
        <w:t xml:space="preserve">los días 10 y 11 de octubre de 2016 </w:t>
      </w:r>
      <w:r w:rsidRPr="00DD687E">
        <w:rPr>
          <w:rFonts w:cs="Verdana"/>
          <w:szCs w:val="20"/>
          <w:lang w:bidi="en-US"/>
        </w:rPr>
        <w:t>en la ciudad de Quito</w:t>
      </w:r>
      <w:r>
        <w:rPr>
          <w:rFonts w:cs="Verdana"/>
          <w:szCs w:val="20"/>
          <w:lang w:bidi="en-US"/>
        </w:rPr>
        <w:t>, Ecuador</w:t>
      </w:r>
      <w:r>
        <w:rPr>
          <w:rStyle w:val="FootnoteReference"/>
          <w:rFonts w:cs="Verdana"/>
          <w:szCs w:val="20"/>
          <w:lang w:bidi="en-US"/>
        </w:rPr>
        <w:footnoteReference w:id="2"/>
      </w:r>
      <w:r>
        <w:rPr>
          <w:rFonts w:cs="Verdana"/>
          <w:szCs w:val="20"/>
          <w:lang w:bidi="en-US"/>
        </w:rPr>
        <w:t>,</w:t>
      </w:r>
      <w:r>
        <w:rPr>
          <w:rFonts w:cs="Verdana"/>
          <w:szCs w:val="20"/>
        </w:rPr>
        <w:t xml:space="preserve"> </w:t>
      </w:r>
      <w:r w:rsidRPr="00E7665B">
        <w:rPr>
          <w:rFonts w:cs="Verdana"/>
          <w:szCs w:val="20"/>
        </w:rPr>
        <w:t>para recibir</w:t>
      </w:r>
      <w:r>
        <w:rPr>
          <w:rFonts w:cs="Verdana"/>
          <w:szCs w:val="20"/>
        </w:rPr>
        <w:t xml:space="preserve"> </w:t>
      </w:r>
      <w:r w:rsidRPr="00E7665B">
        <w:rPr>
          <w:rFonts w:cs="Verdana"/>
          <w:szCs w:val="20"/>
        </w:rPr>
        <w:t>sus alegatos finales orales sobre la</w:t>
      </w:r>
      <w:r>
        <w:rPr>
          <w:rFonts w:cs="Verdana"/>
          <w:szCs w:val="20"/>
        </w:rPr>
        <w:t>s</w:t>
      </w:r>
      <w:r w:rsidRPr="00E7665B">
        <w:rPr>
          <w:rFonts w:cs="Verdana"/>
          <w:szCs w:val="20"/>
        </w:rPr>
        <w:t xml:space="preserve"> excepci</w:t>
      </w:r>
      <w:r>
        <w:rPr>
          <w:rFonts w:cs="Verdana"/>
          <w:szCs w:val="20"/>
        </w:rPr>
        <w:t>o</w:t>
      </w:r>
      <w:r w:rsidRPr="00E7665B">
        <w:rPr>
          <w:rFonts w:cs="Verdana"/>
          <w:szCs w:val="20"/>
        </w:rPr>
        <w:t>n</w:t>
      </w:r>
      <w:r>
        <w:rPr>
          <w:rFonts w:cs="Verdana"/>
          <w:szCs w:val="20"/>
        </w:rPr>
        <w:t xml:space="preserve">es </w:t>
      </w:r>
      <w:r w:rsidRPr="00E7665B">
        <w:rPr>
          <w:rFonts w:cs="Verdana"/>
          <w:szCs w:val="20"/>
        </w:rPr>
        <w:t>preliminar</w:t>
      </w:r>
      <w:r>
        <w:rPr>
          <w:rFonts w:cs="Verdana"/>
          <w:szCs w:val="20"/>
        </w:rPr>
        <w:t>es</w:t>
      </w:r>
      <w:r w:rsidRPr="00E7665B">
        <w:rPr>
          <w:rFonts w:cs="Verdana"/>
          <w:szCs w:val="20"/>
        </w:rPr>
        <w:t>, l</w:t>
      </w:r>
      <w:r>
        <w:rPr>
          <w:rFonts w:cs="Verdana"/>
          <w:szCs w:val="20"/>
        </w:rPr>
        <w:t>o</w:t>
      </w:r>
      <w:r w:rsidRPr="00E7665B">
        <w:rPr>
          <w:rFonts w:cs="Verdana"/>
          <w:szCs w:val="20"/>
        </w:rPr>
        <w:t xml:space="preserve">s eventuales fondo, reparaciones y costas en el presente caso, así como, </w:t>
      </w:r>
      <w:r w:rsidRPr="00E7665B">
        <w:rPr>
          <w:rFonts w:cs="Verdana"/>
          <w:i/>
          <w:szCs w:val="20"/>
        </w:rPr>
        <w:t>inter alia</w:t>
      </w:r>
      <w:r w:rsidRPr="00E7665B">
        <w:rPr>
          <w:rFonts w:cs="Verdana"/>
          <w:szCs w:val="20"/>
        </w:rPr>
        <w:t xml:space="preserve">, </w:t>
      </w:r>
      <w:r>
        <w:rPr>
          <w:rFonts w:cs="Verdana"/>
          <w:szCs w:val="20"/>
        </w:rPr>
        <w:t>recibir tres peritajes y dos declaraciones testimoniales</w:t>
      </w:r>
      <w:r w:rsidRPr="00E7665B">
        <w:rPr>
          <w:rFonts w:cs="Verdana"/>
          <w:szCs w:val="20"/>
        </w:rPr>
        <w:t>.</w:t>
      </w:r>
    </w:p>
    <w:p w:rsidR="001F6312" w:rsidRPr="001339A0" w:rsidRDefault="001F6312" w:rsidP="007403DD">
      <w:pPr>
        <w:autoSpaceDE w:val="0"/>
        <w:autoSpaceDN w:val="0"/>
        <w:adjustRightInd w:val="0"/>
        <w:spacing w:after="0"/>
        <w:ind w:right="18"/>
        <w:rPr>
          <w:rFonts w:cs="Verdana"/>
          <w:szCs w:val="20"/>
        </w:rPr>
      </w:pPr>
    </w:p>
    <w:p w:rsidR="001F6312" w:rsidRDefault="001F6312" w:rsidP="007403DD">
      <w:pPr>
        <w:numPr>
          <w:ilvl w:val="0"/>
          <w:numId w:val="4"/>
        </w:numPr>
        <w:autoSpaceDE w:val="0"/>
        <w:autoSpaceDN w:val="0"/>
        <w:adjustRightInd w:val="0"/>
        <w:spacing w:after="0"/>
        <w:ind w:left="0" w:right="18" w:firstLine="0"/>
        <w:rPr>
          <w:rFonts w:cs="Verdana"/>
          <w:szCs w:val="20"/>
          <w:lang w:val="es-ES"/>
        </w:rPr>
      </w:pPr>
      <w:r>
        <w:rPr>
          <w:rFonts w:cs="Verdana"/>
          <w:szCs w:val="20"/>
        </w:rPr>
        <w:t xml:space="preserve">La comunicación de </w:t>
      </w:r>
      <w:r w:rsidR="003E5534" w:rsidRPr="008A0F66">
        <w:rPr>
          <w:szCs w:val="20"/>
          <w:lang w:val="es-CL"/>
        </w:rPr>
        <w:t>18 de agosto</w:t>
      </w:r>
      <w:r w:rsidR="00696224">
        <w:rPr>
          <w:szCs w:val="20"/>
          <w:lang w:val="es-CL"/>
        </w:rPr>
        <w:t>,</w:t>
      </w:r>
      <w:r w:rsidR="003E5534" w:rsidRPr="008A0F66">
        <w:rPr>
          <w:szCs w:val="20"/>
          <w:lang w:val="es-CL"/>
        </w:rPr>
        <w:t xml:space="preserve"> </w:t>
      </w:r>
      <w:r w:rsidR="003E5534">
        <w:rPr>
          <w:szCs w:val="20"/>
          <w:lang w:val="es-CL"/>
        </w:rPr>
        <w:t xml:space="preserve">mediante la cual </w:t>
      </w:r>
      <w:r w:rsidR="003E5534" w:rsidRPr="008A0F66">
        <w:rPr>
          <w:szCs w:val="20"/>
          <w:lang w:val="es-CL"/>
        </w:rPr>
        <w:t xml:space="preserve">los representantes presentaron una solicitud de reconsideración respecto a la sustitución de la perito </w:t>
      </w:r>
      <w:r w:rsidR="00163898">
        <w:rPr>
          <w:szCs w:val="20"/>
          <w:lang w:val="es-CL"/>
        </w:rPr>
        <w:t xml:space="preserve">Betty </w:t>
      </w:r>
      <w:r w:rsidR="003E5534" w:rsidRPr="008A0F66">
        <w:rPr>
          <w:szCs w:val="20"/>
          <w:lang w:val="es-CL"/>
        </w:rPr>
        <w:t>Bernardo Fuks</w:t>
      </w:r>
      <w:r>
        <w:rPr>
          <w:rFonts w:cs="Times New Roman"/>
          <w:szCs w:val="20"/>
          <w:lang w:val="es-ES"/>
        </w:rPr>
        <w:t>.</w:t>
      </w:r>
      <w:r>
        <w:rPr>
          <w:rFonts w:cs="Verdana"/>
          <w:szCs w:val="20"/>
          <w:lang w:val="es-ES"/>
        </w:rPr>
        <w:t xml:space="preserve"> </w:t>
      </w:r>
    </w:p>
    <w:p w:rsidR="00E84793" w:rsidRPr="00E84793" w:rsidRDefault="00E84793" w:rsidP="007403DD">
      <w:pPr>
        <w:autoSpaceDE w:val="0"/>
        <w:autoSpaceDN w:val="0"/>
        <w:adjustRightInd w:val="0"/>
        <w:spacing w:after="0"/>
        <w:ind w:right="18"/>
        <w:rPr>
          <w:rFonts w:cs="Verdana"/>
          <w:szCs w:val="20"/>
          <w:lang w:val="es-ES"/>
        </w:rPr>
      </w:pPr>
    </w:p>
    <w:p w:rsidR="001F6312" w:rsidRPr="00D726C4" w:rsidRDefault="001F6312" w:rsidP="007403DD">
      <w:pPr>
        <w:numPr>
          <w:ilvl w:val="0"/>
          <w:numId w:val="4"/>
        </w:numPr>
        <w:autoSpaceDE w:val="0"/>
        <w:autoSpaceDN w:val="0"/>
        <w:adjustRightInd w:val="0"/>
        <w:spacing w:after="0"/>
        <w:ind w:left="0" w:right="18" w:firstLine="0"/>
        <w:rPr>
          <w:rFonts w:cs="Verdana"/>
          <w:szCs w:val="20"/>
          <w:lang w:val="es-ES"/>
        </w:rPr>
      </w:pPr>
      <w:r>
        <w:rPr>
          <w:rFonts w:cs="Verdana"/>
          <w:szCs w:val="20"/>
          <w:lang w:val="es-ES"/>
        </w:rPr>
        <w:t xml:space="preserve">La Nota de la </w:t>
      </w:r>
      <w:r w:rsidRPr="00700FD8">
        <w:rPr>
          <w:rFonts w:cs="Verdana"/>
          <w:szCs w:val="20"/>
        </w:rPr>
        <w:t>Secretaría de la Corte Interamericana</w:t>
      </w:r>
      <w:r>
        <w:rPr>
          <w:rFonts w:cs="Verdana"/>
          <w:szCs w:val="20"/>
        </w:rPr>
        <w:t xml:space="preserve"> de Derechos Humanos</w:t>
      </w:r>
      <w:r w:rsidRPr="00700FD8">
        <w:rPr>
          <w:rFonts w:cs="Verdana"/>
          <w:szCs w:val="20"/>
        </w:rPr>
        <w:t xml:space="preserve"> (en adelante “la Secretaría”) </w:t>
      </w:r>
      <w:r>
        <w:rPr>
          <w:rFonts w:cs="Verdana"/>
          <w:szCs w:val="20"/>
          <w:lang w:val="es-ES"/>
        </w:rPr>
        <w:t>de 2</w:t>
      </w:r>
      <w:r w:rsidR="00CF74B5">
        <w:rPr>
          <w:rFonts w:cs="Verdana"/>
          <w:szCs w:val="20"/>
          <w:lang w:val="es-ES"/>
        </w:rPr>
        <w:t>2</w:t>
      </w:r>
      <w:r>
        <w:rPr>
          <w:rFonts w:cs="Verdana"/>
          <w:szCs w:val="20"/>
          <w:lang w:val="es-ES"/>
        </w:rPr>
        <w:t xml:space="preserve"> de </w:t>
      </w:r>
      <w:r w:rsidR="00CF74B5">
        <w:rPr>
          <w:rFonts w:cs="Verdana"/>
          <w:szCs w:val="20"/>
          <w:lang w:val="es-ES"/>
        </w:rPr>
        <w:t>agosto</w:t>
      </w:r>
      <w:r>
        <w:rPr>
          <w:rFonts w:cs="Verdana"/>
          <w:szCs w:val="20"/>
          <w:lang w:val="es-ES"/>
        </w:rPr>
        <w:t xml:space="preserve"> de 2016, mediante la cual se transmitió al Estado y a la Comisión la solicitud planteada por los representantes; y se les otorgó un plazo </w:t>
      </w:r>
      <w:r w:rsidR="00CF74B5">
        <w:rPr>
          <w:rFonts w:cs="Verdana"/>
          <w:szCs w:val="20"/>
          <w:lang w:val="es-ES"/>
        </w:rPr>
        <w:t>de siete días</w:t>
      </w:r>
      <w:r>
        <w:rPr>
          <w:rFonts w:cs="Verdana"/>
          <w:szCs w:val="20"/>
          <w:lang w:val="es-ES"/>
        </w:rPr>
        <w:t xml:space="preserve"> para presentar sus observaciones al respecto. </w:t>
      </w:r>
    </w:p>
    <w:p w:rsidR="001F6312" w:rsidRDefault="001F6312" w:rsidP="007403DD">
      <w:pPr>
        <w:autoSpaceDE w:val="0"/>
        <w:autoSpaceDN w:val="0"/>
        <w:adjustRightInd w:val="0"/>
        <w:spacing w:after="0"/>
        <w:ind w:right="18"/>
        <w:rPr>
          <w:rFonts w:cs="Verdana"/>
          <w:szCs w:val="20"/>
          <w:lang w:val="es-ES"/>
        </w:rPr>
      </w:pPr>
    </w:p>
    <w:p w:rsidR="001F6312" w:rsidRPr="00326C06" w:rsidRDefault="00333F33" w:rsidP="007403DD">
      <w:pPr>
        <w:numPr>
          <w:ilvl w:val="0"/>
          <w:numId w:val="4"/>
        </w:numPr>
        <w:autoSpaceDE w:val="0"/>
        <w:autoSpaceDN w:val="0"/>
        <w:adjustRightInd w:val="0"/>
        <w:spacing w:after="0"/>
        <w:ind w:left="0" w:right="18" w:firstLine="0"/>
        <w:rPr>
          <w:rFonts w:cs="Verdana"/>
          <w:szCs w:val="20"/>
          <w:lang w:val="es-ES"/>
        </w:rPr>
      </w:pPr>
      <w:r>
        <w:rPr>
          <w:rFonts w:cs="Verdana"/>
          <w:szCs w:val="20"/>
          <w:lang w:val="es-ES"/>
        </w:rPr>
        <w:t xml:space="preserve">La comunicación de la Comisión </w:t>
      </w:r>
      <w:r w:rsidR="001F6312">
        <w:rPr>
          <w:rFonts w:cs="Verdana"/>
          <w:szCs w:val="20"/>
          <w:lang w:val="es-ES"/>
        </w:rPr>
        <w:t>de</w:t>
      </w:r>
      <w:r w:rsidR="004564F8">
        <w:rPr>
          <w:rFonts w:cs="Verdana"/>
          <w:szCs w:val="20"/>
          <w:lang w:val="es-ES"/>
        </w:rPr>
        <w:t xml:space="preserve"> 29 </w:t>
      </w:r>
      <w:r w:rsidR="001F6312">
        <w:rPr>
          <w:rFonts w:cs="Verdana"/>
          <w:szCs w:val="20"/>
          <w:lang w:val="es-ES"/>
        </w:rPr>
        <w:t xml:space="preserve">de </w:t>
      </w:r>
      <w:r w:rsidR="004564F8">
        <w:rPr>
          <w:rFonts w:cs="Verdana"/>
          <w:szCs w:val="20"/>
          <w:lang w:val="es-ES"/>
        </w:rPr>
        <w:t>agosto</w:t>
      </w:r>
      <w:r w:rsidR="001F6312">
        <w:rPr>
          <w:rFonts w:cs="Verdana"/>
          <w:szCs w:val="20"/>
          <w:lang w:val="es-ES"/>
        </w:rPr>
        <w:t xml:space="preserve"> de 2016, mediante la cual presentó observaciones sobre la solicitud de los representantes</w:t>
      </w:r>
      <w:r>
        <w:rPr>
          <w:rFonts w:cs="Verdana"/>
          <w:szCs w:val="20"/>
          <w:lang w:val="es-ES"/>
        </w:rPr>
        <w:t xml:space="preserve"> y señaló que </w:t>
      </w:r>
      <w:r w:rsidRPr="008A0F66">
        <w:rPr>
          <w:szCs w:val="20"/>
          <w:lang w:val="es-CL"/>
        </w:rPr>
        <w:t>no se oponía a la solicitud de reconsideración</w:t>
      </w:r>
      <w:r>
        <w:rPr>
          <w:szCs w:val="20"/>
          <w:lang w:val="es-CL"/>
        </w:rPr>
        <w:t>.</w:t>
      </w:r>
    </w:p>
    <w:p w:rsidR="00F90477" w:rsidRDefault="004564F8" w:rsidP="007403DD">
      <w:pPr>
        <w:numPr>
          <w:ilvl w:val="0"/>
          <w:numId w:val="4"/>
        </w:numPr>
        <w:autoSpaceDE w:val="0"/>
        <w:autoSpaceDN w:val="0"/>
        <w:adjustRightInd w:val="0"/>
        <w:spacing w:after="0"/>
        <w:ind w:left="0" w:right="18" w:firstLine="0"/>
        <w:rPr>
          <w:rFonts w:cs="Verdana"/>
          <w:szCs w:val="20"/>
          <w:lang w:val="es-ES"/>
        </w:rPr>
      </w:pPr>
      <w:r>
        <w:rPr>
          <w:rFonts w:cs="Verdana"/>
          <w:szCs w:val="20"/>
          <w:lang w:val="es-ES"/>
        </w:rPr>
        <w:lastRenderedPageBreak/>
        <w:t>La comunicación del Estado de 29 de agosto de 2016</w:t>
      </w:r>
      <w:r w:rsidR="001F6312" w:rsidRPr="001F6312">
        <w:rPr>
          <w:rFonts w:cs="Verdana"/>
          <w:szCs w:val="20"/>
          <w:lang w:val="es-ES"/>
        </w:rPr>
        <w:t>, mediante la cual presentó observaciones sobre la solicitud de los representantes</w:t>
      </w:r>
      <w:r w:rsidR="00741A91">
        <w:rPr>
          <w:rFonts w:cs="Verdana"/>
          <w:szCs w:val="20"/>
          <w:lang w:val="es-ES"/>
        </w:rPr>
        <w:t xml:space="preserve"> y </w:t>
      </w:r>
      <w:r w:rsidR="00741A91" w:rsidRPr="008A0F66">
        <w:rPr>
          <w:szCs w:val="20"/>
          <w:lang w:val="es-CL"/>
        </w:rPr>
        <w:t>comunicó su conformidad con la reconsideración solicitada, pero solicitó que también se reconsiderara el rechazo a la incorporación de los cuatro nuevos peritos ofrecidos por el Estado que habían sido rechazados en la Resolución de Convocatoria a Audiencia</w:t>
      </w:r>
      <w:r w:rsidR="00741A91">
        <w:rPr>
          <w:szCs w:val="20"/>
          <w:lang w:val="es-CL"/>
        </w:rPr>
        <w:t>.</w:t>
      </w:r>
    </w:p>
    <w:p w:rsidR="0018203B" w:rsidRDefault="0018203B" w:rsidP="007403DD">
      <w:pPr>
        <w:autoSpaceDE w:val="0"/>
        <w:autoSpaceDN w:val="0"/>
        <w:adjustRightInd w:val="0"/>
        <w:spacing w:after="0"/>
        <w:ind w:right="18"/>
        <w:rPr>
          <w:rFonts w:cs="Verdana"/>
          <w:szCs w:val="20"/>
          <w:lang w:val="es-ES"/>
        </w:rPr>
      </w:pPr>
    </w:p>
    <w:p w:rsidR="0018203B" w:rsidRPr="007403DD" w:rsidRDefault="0018203B" w:rsidP="007403DD">
      <w:pPr>
        <w:numPr>
          <w:ilvl w:val="0"/>
          <w:numId w:val="4"/>
        </w:numPr>
        <w:autoSpaceDE w:val="0"/>
        <w:autoSpaceDN w:val="0"/>
        <w:adjustRightInd w:val="0"/>
        <w:spacing w:after="0"/>
        <w:ind w:left="0" w:right="18" w:firstLine="0"/>
        <w:rPr>
          <w:rFonts w:cs="Verdana"/>
          <w:szCs w:val="20"/>
          <w:lang w:val="es-ES"/>
        </w:rPr>
      </w:pPr>
      <w:r w:rsidRPr="007403DD">
        <w:rPr>
          <w:rFonts w:cs="Verdana"/>
          <w:szCs w:val="20"/>
        </w:rPr>
        <w:t xml:space="preserve">La comunicación de </w:t>
      </w:r>
      <w:r w:rsidRPr="007403DD">
        <w:rPr>
          <w:szCs w:val="20"/>
          <w:lang w:val="es-CL"/>
        </w:rPr>
        <w:t>8 de septiembre</w:t>
      </w:r>
      <w:r w:rsidR="00696224">
        <w:rPr>
          <w:szCs w:val="20"/>
          <w:lang w:val="es-CL"/>
        </w:rPr>
        <w:t>,</w:t>
      </w:r>
      <w:r w:rsidRPr="007403DD">
        <w:rPr>
          <w:szCs w:val="20"/>
          <w:lang w:val="es-CL"/>
        </w:rPr>
        <w:t xml:space="preserve"> mediante la cual los representantes </w:t>
      </w:r>
      <w:r w:rsidR="007403DD" w:rsidRPr="007403DD">
        <w:rPr>
          <w:szCs w:val="20"/>
          <w:lang w:val="es-CL"/>
        </w:rPr>
        <w:t xml:space="preserve">reiteraron </w:t>
      </w:r>
      <w:r w:rsidRPr="007403DD">
        <w:rPr>
          <w:szCs w:val="20"/>
          <w:lang w:val="es-CL"/>
        </w:rPr>
        <w:t>la solicitud de reconsideración respecto a la sustitución de la perit</w:t>
      </w:r>
      <w:r w:rsidR="007403DD" w:rsidRPr="007403DD">
        <w:rPr>
          <w:szCs w:val="20"/>
          <w:lang w:val="es-CL"/>
        </w:rPr>
        <w:t>a</w:t>
      </w:r>
      <w:r w:rsidRPr="007403DD">
        <w:rPr>
          <w:szCs w:val="20"/>
          <w:lang w:val="es-CL"/>
        </w:rPr>
        <w:t xml:space="preserve"> Fuks, y enviaron sus observaciones respecto a la petición del Estado de incluir cuatro nuevos peritos.</w:t>
      </w:r>
    </w:p>
    <w:p w:rsidR="001F6312" w:rsidRPr="001F6312" w:rsidRDefault="001F6312" w:rsidP="007403DD">
      <w:pPr>
        <w:autoSpaceDE w:val="0"/>
        <w:autoSpaceDN w:val="0"/>
        <w:adjustRightInd w:val="0"/>
        <w:spacing w:after="0"/>
        <w:ind w:right="18"/>
        <w:rPr>
          <w:rFonts w:cs="Verdana"/>
          <w:szCs w:val="20"/>
          <w:lang w:val="es-ES"/>
        </w:rPr>
      </w:pPr>
    </w:p>
    <w:p w:rsidR="005F4381" w:rsidRDefault="00F90477" w:rsidP="007403DD">
      <w:pPr>
        <w:spacing w:after="0"/>
        <w:rPr>
          <w:rFonts w:eastAsia="Times New Roman" w:cs="Verdana"/>
          <w:b/>
          <w:bCs/>
          <w:szCs w:val="20"/>
          <w:lang w:val="es-CL" w:eastAsia="en-US"/>
        </w:rPr>
      </w:pPr>
      <w:r w:rsidRPr="00E44575">
        <w:rPr>
          <w:rFonts w:eastAsia="Times New Roman" w:cs="Verdana"/>
          <w:b/>
          <w:bCs/>
          <w:szCs w:val="20"/>
          <w:lang w:val="es-CL" w:eastAsia="en-US"/>
        </w:rPr>
        <w:t>CONSIDERANDO QUE:</w:t>
      </w:r>
    </w:p>
    <w:p w:rsidR="007403DD" w:rsidRDefault="007403DD" w:rsidP="007403DD">
      <w:pPr>
        <w:spacing w:after="0"/>
        <w:rPr>
          <w:rFonts w:eastAsia="Times New Roman" w:cs="Verdana"/>
          <w:b/>
          <w:bCs/>
          <w:szCs w:val="20"/>
          <w:lang w:val="es-CL" w:eastAsia="en-US"/>
        </w:rPr>
      </w:pPr>
    </w:p>
    <w:p w:rsidR="001D4D49" w:rsidRPr="00E17BE7" w:rsidRDefault="001D4D49" w:rsidP="007403DD">
      <w:pPr>
        <w:numPr>
          <w:ilvl w:val="0"/>
          <w:numId w:val="3"/>
        </w:numPr>
        <w:spacing w:after="0"/>
        <w:ind w:right="18"/>
        <w:rPr>
          <w:rFonts w:cs="Verdana"/>
          <w:szCs w:val="20"/>
        </w:rPr>
      </w:pPr>
      <w:r w:rsidRPr="005C641D">
        <w:rPr>
          <w:rFonts w:cs="Verdana"/>
          <w:szCs w:val="20"/>
        </w:rPr>
        <w:tab/>
      </w:r>
      <w:r w:rsidRPr="00245F5E">
        <w:rPr>
          <w:rFonts w:cs="Verdana"/>
          <w:szCs w:val="20"/>
        </w:rPr>
        <w:t>Las decisiones del Presidente</w:t>
      </w:r>
      <w:r>
        <w:rPr>
          <w:rFonts w:cs="Verdana"/>
          <w:szCs w:val="20"/>
        </w:rPr>
        <w:t>, que no sean de mero trámite,</w:t>
      </w:r>
      <w:r w:rsidRPr="00245F5E">
        <w:rPr>
          <w:rFonts w:cs="Verdana"/>
          <w:szCs w:val="20"/>
        </w:rPr>
        <w:t xml:space="preserve"> son recurribles ante la Corte</w:t>
      </w:r>
      <w:r>
        <w:rPr>
          <w:rFonts w:cs="Verdana"/>
          <w:szCs w:val="20"/>
        </w:rPr>
        <w:t xml:space="preserve"> Interamericana de Derechos Humanos (en adelante “la Corte” o “el Tribunal”</w:t>
      </w:r>
      <w:r w:rsidRPr="00245F5E">
        <w:rPr>
          <w:rFonts w:cs="Verdana"/>
          <w:szCs w:val="20"/>
        </w:rPr>
        <w:t>, en los términos del artículo 3</w:t>
      </w:r>
      <w:r>
        <w:rPr>
          <w:rFonts w:cs="Verdana"/>
          <w:szCs w:val="20"/>
        </w:rPr>
        <w:t>1</w:t>
      </w:r>
      <w:r w:rsidRPr="00245F5E">
        <w:rPr>
          <w:rFonts w:cs="Verdana"/>
          <w:szCs w:val="20"/>
        </w:rPr>
        <w:t>.2 del Reglamento</w:t>
      </w:r>
      <w:r>
        <w:rPr>
          <w:rFonts w:cs="Verdana"/>
          <w:szCs w:val="20"/>
        </w:rPr>
        <w:t xml:space="preserve"> de este Tribunal</w:t>
      </w:r>
      <w:r w:rsidRPr="00B37257">
        <w:rPr>
          <w:rFonts w:cs="Verdana"/>
          <w:szCs w:val="20"/>
          <w:lang w:val="es-CR"/>
        </w:rPr>
        <w:t xml:space="preserve"> (en adelante “el Reglamento”).</w:t>
      </w:r>
    </w:p>
    <w:p w:rsidR="00E17BE7" w:rsidRPr="00F262C0" w:rsidRDefault="00E17BE7" w:rsidP="007403DD">
      <w:pPr>
        <w:spacing w:after="0"/>
        <w:ind w:right="18"/>
        <w:rPr>
          <w:rFonts w:cs="Verdana"/>
          <w:szCs w:val="20"/>
        </w:rPr>
      </w:pPr>
    </w:p>
    <w:p w:rsidR="001D4D49" w:rsidRPr="008432B1" w:rsidRDefault="001D4D49" w:rsidP="007403DD">
      <w:pPr>
        <w:numPr>
          <w:ilvl w:val="0"/>
          <w:numId w:val="3"/>
        </w:numPr>
        <w:spacing w:after="0"/>
        <w:ind w:right="18"/>
        <w:rPr>
          <w:rFonts w:cs="Verdana"/>
          <w:szCs w:val="20"/>
        </w:rPr>
      </w:pPr>
      <w:r w:rsidRPr="00F262C0">
        <w:rPr>
          <w:rFonts w:cs="Verdana"/>
          <w:szCs w:val="20"/>
          <w:lang w:val="es-ES"/>
        </w:rPr>
        <w:t>La Corte tiene amplias facultades en cuanto a la admisión y a la modalidad de recepción de la prueba, de conformidad con los artículos 50, 57 y 58 del Reglamento.</w:t>
      </w:r>
    </w:p>
    <w:p w:rsidR="008432B1" w:rsidRDefault="008432B1" w:rsidP="007403DD">
      <w:pPr>
        <w:pStyle w:val="ListParagraph"/>
        <w:spacing w:after="0"/>
        <w:ind w:left="709"/>
        <w:rPr>
          <w:rFonts w:cs="Verdana"/>
          <w:szCs w:val="20"/>
        </w:rPr>
      </w:pPr>
    </w:p>
    <w:p w:rsidR="008432B1" w:rsidRPr="008432B1" w:rsidRDefault="008432B1" w:rsidP="007403DD">
      <w:pPr>
        <w:spacing w:after="0"/>
        <w:ind w:left="720" w:right="18"/>
        <w:rPr>
          <w:rFonts w:cs="Verdana"/>
          <w:b/>
          <w:i/>
          <w:szCs w:val="20"/>
        </w:rPr>
      </w:pPr>
      <w:r w:rsidRPr="008432B1">
        <w:rPr>
          <w:rFonts w:cs="Verdana"/>
          <w:b/>
          <w:i/>
          <w:szCs w:val="20"/>
        </w:rPr>
        <w:t>S</w:t>
      </w:r>
      <w:r>
        <w:rPr>
          <w:rFonts w:cs="Verdana"/>
          <w:b/>
          <w:i/>
          <w:szCs w:val="20"/>
        </w:rPr>
        <w:t>olicitud de s</w:t>
      </w:r>
      <w:r w:rsidRPr="008432B1">
        <w:rPr>
          <w:rFonts w:cs="Verdana"/>
          <w:b/>
          <w:i/>
          <w:szCs w:val="20"/>
        </w:rPr>
        <w:t xml:space="preserve">ustitución de la perito Betty Bernardo </w:t>
      </w:r>
      <w:proofErr w:type="spellStart"/>
      <w:r w:rsidRPr="008432B1">
        <w:rPr>
          <w:rFonts w:cs="Verdana"/>
          <w:b/>
          <w:i/>
          <w:szCs w:val="20"/>
        </w:rPr>
        <w:t>Fuks</w:t>
      </w:r>
      <w:proofErr w:type="spellEnd"/>
    </w:p>
    <w:p w:rsidR="00E17BE7" w:rsidRPr="00017CD7" w:rsidRDefault="00E17BE7" w:rsidP="007403DD">
      <w:pPr>
        <w:spacing w:after="0"/>
        <w:ind w:right="18"/>
        <w:rPr>
          <w:rFonts w:cs="Verdana"/>
          <w:szCs w:val="20"/>
        </w:rPr>
      </w:pPr>
    </w:p>
    <w:p w:rsidR="00A336C6" w:rsidRPr="00E96BEF" w:rsidRDefault="00EC6F70" w:rsidP="007403DD">
      <w:pPr>
        <w:numPr>
          <w:ilvl w:val="0"/>
          <w:numId w:val="3"/>
        </w:numPr>
        <w:spacing w:after="0"/>
        <w:ind w:right="18"/>
        <w:rPr>
          <w:rFonts w:cs="Verdana"/>
          <w:szCs w:val="20"/>
          <w:lang w:val="es-ES"/>
        </w:rPr>
      </w:pPr>
      <w:r>
        <w:rPr>
          <w:rFonts w:cs="Times New Roman"/>
          <w:szCs w:val="20"/>
          <w:lang w:val="es-ES"/>
        </w:rPr>
        <w:t xml:space="preserve">En su escrito de solicitudes y argumentos los representantes ofrecieron, entre otros, la declaración pericial de la señora Betty Bernardo </w:t>
      </w:r>
      <w:proofErr w:type="spellStart"/>
      <w:r>
        <w:rPr>
          <w:rFonts w:cs="Times New Roman"/>
          <w:szCs w:val="20"/>
          <w:lang w:val="es-ES"/>
        </w:rPr>
        <w:t>Fuks</w:t>
      </w:r>
      <w:proofErr w:type="spellEnd"/>
      <w:r>
        <w:rPr>
          <w:rFonts w:cs="Times New Roman"/>
          <w:szCs w:val="20"/>
          <w:lang w:val="es-ES"/>
        </w:rPr>
        <w:t xml:space="preserve">, sobre </w:t>
      </w:r>
      <w:r w:rsidRPr="00EC6F70">
        <w:rPr>
          <w:rFonts w:cs="Times New Roman"/>
          <w:bCs/>
          <w:iCs/>
          <w:szCs w:val="20"/>
        </w:rPr>
        <w:t>traumas de las presuntas víctimas de violencia sexual</w:t>
      </w:r>
      <w:r>
        <w:rPr>
          <w:rFonts w:cs="Times New Roman"/>
          <w:szCs w:val="20"/>
          <w:lang w:val="es-ES"/>
        </w:rPr>
        <w:t xml:space="preserve">. En su lista definitiva de declarantes confirmaron dicho ofrecimiento. </w:t>
      </w:r>
      <w:r w:rsidRPr="00EC6F70">
        <w:rPr>
          <w:rFonts w:cs="Times New Roman"/>
          <w:bCs/>
          <w:iCs/>
          <w:szCs w:val="20"/>
        </w:rPr>
        <w:t xml:space="preserve">El 23 de junio de 2016 los representantes informaron que la perito </w:t>
      </w:r>
      <w:proofErr w:type="spellStart"/>
      <w:r w:rsidRPr="00EC6F70">
        <w:rPr>
          <w:rFonts w:cs="Times New Roman"/>
          <w:bCs/>
          <w:iCs/>
          <w:szCs w:val="20"/>
        </w:rPr>
        <w:t>Fuks</w:t>
      </w:r>
      <w:proofErr w:type="spellEnd"/>
      <w:r w:rsidRPr="00EC6F70">
        <w:rPr>
          <w:rFonts w:cs="Times New Roman"/>
          <w:bCs/>
          <w:iCs/>
          <w:szCs w:val="20"/>
        </w:rPr>
        <w:t xml:space="preserve"> no podrá realizar el peritaje</w:t>
      </w:r>
      <w:r w:rsidR="00696224">
        <w:rPr>
          <w:rFonts w:cs="Times New Roman"/>
          <w:bCs/>
          <w:iCs/>
          <w:szCs w:val="20"/>
        </w:rPr>
        <w:t>,</w:t>
      </w:r>
      <w:r w:rsidRPr="00EC6F70">
        <w:rPr>
          <w:rFonts w:cs="Times New Roman"/>
          <w:bCs/>
          <w:iCs/>
          <w:szCs w:val="20"/>
        </w:rPr>
        <w:t xml:space="preserve"> “en virtud de compromisos profesionales adquiridos recientemente”</w:t>
      </w:r>
      <w:r w:rsidR="00A336C6">
        <w:rPr>
          <w:rFonts w:cs="Times New Roman"/>
          <w:bCs/>
          <w:iCs/>
          <w:szCs w:val="20"/>
        </w:rPr>
        <w:t xml:space="preserve"> y </w:t>
      </w:r>
      <w:r w:rsidRPr="00EC6F70">
        <w:rPr>
          <w:rFonts w:cs="Times New Roman"/>
          <w:bCs/>
          <w:iCs/>
          <w:szCs w:val="20"/>
        </w:rPr>
        <w:t xml:space="preserve">solicitaron </w:t>
      </w:r>
      <w:r w:rsidR="00A336C6">
        <w:rPr>
          <w:rFonts w:cs="Times New Roman"/>
          <w:bCs/>
          <w:iCs/>
          <w:szCs w:val="20"/>
        </w:rPr>
        <w:t>su</w:t>
      </w:r>
      <w:r w:rsidRPr="00EC6F70">
        <w:rPr>
          <w:rFonts w:cs="Times New Roman"/>
          <w:bCs/>
          <w:iCs/>
          <w:szCs w:val="20"/>
        </w:rPr>
        <w:t xml:space="preserve"> remplazo por el señor Carlos Martin </w:t>
      </w:r>
      <w:proofErr w:type="spellStart"/>
      <w:r w:rsidRPr="00EC6F70">
        <w:rPr>
          <w:rFonts w:cs="Times New Roman"/>
          <w:bCs/>
          <w:iCs/>
          <w:szCs w:val="20"/>
        </w:rPr>
        <w:t>Beristain</w:t>
      </w:r>
      <w:proofErr w:type="spellEnd"/>
      <w:r w:rsidRPr="00EC6F70">
        <w:rPr>
          <w:rFonts w:cs="Times New Roman"/>
          <w:bCs/>
          <w:iCs/>
          <w:szCs w:val="20"/>
        </w:rPr>
        <w:t>, manteniendo el mismo objeto del peritaje</w:t>
      </w:r>
      <w:r w:rsidR="00A336C6">
        <w:rPr>
          <w:rFonts w:cs="Times New Roman"/>
          <w:bCs/>
          <w:iCs/>
          <w:szCs w:val="20"/>
        </w:rPr>
        <w:t>. En la Resolución de 4 de agosto de 2016 el Presidente resolvió dicha solicitud negativamente, pues consideró que “</w:t>
      </w:r>
      <w:r w:rsidR="00A336C6" w:rsidRPr="00A336C6">
        <w:rPr>
          <w:rFonts w:cs="Times New Roman"/>
          <w:bCs/>
          <w:iCs/>
          <w:szCs w:val="20"/>
        </w:rPr>
        <w:t xml:space="preserve">la justificación invocada por los representantes para la no participación de la perita </w:t>
      </w:r>
      <w:proofErr w:type="spellStart"/>
      <w:r w:rsidR="00A336C6" w:rsidRPr="00A336C6">
        <w:rPr>
          <w:rFonts w:cs="Times New Roman"/>
          <w:bCs/>
          <w:iCs/>
          <w:szCs w:val="20"/>
        </w:rPr>
        <w:t>Fuks</w:t>
      </w:r>
      <w:proofErr w:type="spellEnd"/>
      <w:r w:rsidR="00A336C6" w:rsidRPr="00A336C6">
        <w:rPr>
          <w:rFonts w:cs="Times New Roman"/>
          <w:bCs/>
          <w:iCs/>
          <w:szCs w:val="20"/>
        </w:rPr>
        <w:t xml:space="preserve"> no cumple con el requisito de excepcionalidad para la sustitución de declarantes dispuesto en el artículo 49 del Reglamento. Al respecto, e</w:t>
      </w:r>
      <w:r w:rsidR="00A336C6" w:rsidRPr="00A336C6">
        <w:rPr>
          <w:rFonts w:cs="Times New Roman"/>
          <w:bCs/>
          <w:iCs/>
          <w:szCs w:val="20"/>
          <w:lang w:val="es-CR"/>
        </w:rPr>
        <w:t>s pertinente recordar que la parte que ofrece una prueba debe asegurar que su presentación cumpla con los requisitos reglamentarios</w:t>
      </w:r>
      <w:r w:rsidR="00A336C6">
        <w:rPr>
          <w:rFonts w:cs="Times New Roman"/>
          <w:bCs/>
          <w:iCs/>
          <w:szCs w:val="20"/>
        </w:rPr>
        <w:t>”</w:t>
      </w:r>
      <w:r w:rsidR="00A336C6">
        <w:rPr>
          <w:rStyle w:val="FootnoteReference"/>
          <w:rFonts w:cs="Times New Roman"/>
          <w:bCs/>
          <w:iCs/>
          <w:szCs w:val="20"/>
        </w:rPr>
        <w:footnoteReference w:id="3"/>
      </w:r>
      <w:r w:rsidR="00A336C6">
        <w:rPr>
          <w:rFonts w:cs="Times New Roman"/>
          <w:bCs/>
          <w:iCs/>
          <w:szCs w:val="20"/>
        </w:rPr>
        <w:t>.</w:t>
      </w:r>
    </w:p>
    <w:p w:rsidR="00A336C6" w:rsidRPr="00A336C6" w:rsidRDefault="00A336C6" w:rsidP="007403DD">
      <w:pPr>
        <w:spacing w:after="0"/>
        <w:ind w:right="18"/>
        <w:rPr>
          <w:rFonts w:cs="Verdana"/>
          <w:szCs w:val="20"/>
          <w:lang w:val="es-ES"/>
        </w:rPr>
      </w:pPr>
    </w:p>
    <w:p w:rsidR="0093539C" w:rsidRPr="00747353" w:rsidRDefault="00EC6F70" w:rsidP="007403DD">
      <w:pPr>
        <w:numPr>
          <w:ilvl w:val="0"/>
          <w:numId w:val="3"/>
        </w:numPr>
        <w:spacing w:after="0"/>
        <w:ind w:right="18"/>
        <w:rPr>
          <w:rFonts w:cs="Verdana"/>
          <w:szCs w:val="20"/>
          <w:lang w:val="es-ES"/>
        </w:rPr>
      </w:pPr>
      <w:r>
        <w:rPr>
          <w:rFonts w:cs="Times New Roman"/>
          <w:szCs w:val="20"/>
          <w:lang w:val="es-ES"/>
        </w:rPr>
        <w:t xml:space="preserve"> </w:t>
      </w:r>
      <w:r w:rsidR="0093539C" w:rsidRPr="008A0F66">
        <w:rPr>
          <w:rFonts w:cs="Times New Roman"/>
          <w:szCs w:val="20"/>
          <w:lang w:val="es-ES"/>
        </w:rPr>
        <w:t xml:space="preserve">El </w:t>
      </w:r>
      <w:r w:rsidR="0093539C" w:rsidRPr="008A0F66">
        <w:rPr>
          <w:szCs w:val="20"/>
          <w:lang w:val="es-CL"/>
        </w:rPr>
        <w:t>18 de agosto los representantes presentaron una solicitud de reconsideración respecto a la sustitución de la perit</w:t>
      </w:r>
      <w:r w:rsidR="00A336C6">
        <w:rPr>
          <w:szCs w:val="20"/>
          <w:lang w:val="es-CL"/>
        </w:rPr>
        <w:t>a</w:t>
      </w:r>
      <w:r w:rsidR="0093539C" w:rsidRPr="008A0F66">
        <w:rPr>
          <w:szCs w:val="20"/>
          <w:lang w:val="es-CL"/>
        </w:rPr>
        <w:t xml:space="preserve"> Fuks</w:t>
      </w:r>
      <w:r w:rsidR="00A336C6">
        <w:rPr>
          <w:szCs w:val="20"/>
          <w:lang w:val="es-CL"/>
        </w:rPr>
        <w:t xml:space="preserve">, fundamentando dicha solicitud </w:t>
      </w:r>
      <w:r w:rsidR="0093539C" w:rsidRPr="008A0F66">
        <w:rPr>
          <w:szCs w:val="20"/>
          <w:lang w:val="es-CL"/>
        </w:rPr>
        <w:t>en dos circunstancias: i) la nueva situación de vulnerabilidad de las víctimas y la rel</w:t>
      </w:r>
      <w:r w:rsidR="007E4790">
        <w:rPr>
          <w:szCs w:val="20"/>
          <w:lang w:val="es-CL"/>
        </w:rPr>
        <w:t xml:space="preserve">evancia </w:t>
      </w:r>
      <w:r w:rsidR="00A336C6">
        <w:rPr>
          <w:szCs w:val="20"/>
          <w:lang w:val="es-CL"/>
        </w:rPr>
        <w:t xml:space="preserve">del peritaje </w:t>
      </w:r>
      <w:r w:rsidR="007E4790">
        <w:rPr>
          <w:szCs w:val="20"/>
          <w:lang w:val="es-CL"/>
        </w:rPr>
        <w:t>para el caso</w:t>
      </w:r>
      <w:r w:rsidR="00A336C6">
        <w:rPr>
          <w:szCs w:val="20"/>
          <w:lang w:val="es-CL"/>
        </w:rPr>
        <w:t xml:space="preserve"> y para </w:t>
      </w:r>
      <w:r w:rsidR="007E4790">
        <w:rPr>
          <w:szCs w:val="20"/>
          <w:lang w:val="es-CL"/>
        </w:rPr>
        <w:t>las víctimas;</w:t>
      </w:r>
      <w:r w:rsidR="0093539C" w:rsidRPr="008A0F66">
        <w:rPr>
          <w:szCs w:val="20"/>
          <w:lang w:val="es-CL"/>
        </w:rPr>
        <w:t xml:space="preserve"> y</w:t>
      </w:r>
      <w:r w:rsidR="007E4790">
        <w:rPr>
          <w:szCs w:val="20"/>
          <w:lang w:val="es-CL"/>
        </w:rPr>
        <w:t xml:space="preserve"> ii) </w:t>
      </w:r>
      <w:r w:rsidR="0093539C" w:rsidRPr="008A0F66">
        <w:rPr>
          <w:szCs w:val="20"/>
          <w:lang w:val="es-CL"/>
        </w:rPr>
        <w:t>los compromisos profesionales de la perit</w:t>
      </w:r>
      <w:r w:rsidR="00A336C6">
        <w:rPr>
          <w:szCs w:val="20"/>
          <w:lang w:val="es-CL"/>
        </w:rPr>
        <w:t>a</w:t>
      </w:r>
      <w:r w:rsidR="0093539C" w:rsidRPr="008A0F66">
        <w:rPr>
          <w:szCs w:val="20"/>
          <w:lang w:val="es-CL"/>
        </w:rPr>
        <w:t xml:space="preserve"> a sustituir. </w:t>
      </w:r>
      <w:r w:rsidR="007403DD">
        <w:rPr>
          <w:szCs w:val="20"/>
          <w:lang w:val="es-CL"/>
        </w:rPr>
        <w:t xml:space="preserve">Asimismo, el 8 de septiembre señalaron que </w:t>
      </w:r>
      <w:r w:rsidR="007403DD" w:rsidRPr="007403DD">
        <w:rPr>
          <w:szCs w:val="20"/>
          <w:lang w:val="es-CL"/>
        </w:rPr>
        <w:t>el peritaje era fundamental para que la Corte analizara la afectación psicológica de las presuntas víctimas</w:t>
      </w:r>
      <w:r w:rsidR="007403DD">
        <w:rPr>
          <w:szCs w:val="20"/>
          <w:lang w:val="es-CL"/>
        </w:rPr>
        <w:t>.</w:t>
      </w:r>
      <w:r w:rsidR="007403DD" w:rsidRPr="008A0F66">
        <w:rPr>
          <w:szCs w:val="20"/>
          <w:lang w:val="es-CL"/>
        </w:rPr>
        <w:t xml:space="preserve"> </w:t>
      </w:r>
      <w:r w:rsidR="0093539C" w:rsidRPr="008A0F66">
        <w:rPr>
          <w:szCs w:val="20"/>
          <w:lang w:val="es-CL"/>
        </w:rPr>
        <w:t>Los representantes enviaron en anexo una carta de la perit</w:t>
      </w:r>
      <w:r w:rsidR="00A336C6">
        <w:rPr>
          <w:szCs w:val="20"/>
          <w:lang w:val="es-CL"/>
        </w:rPr>
        <w:t>a</w:t>
      </w:r>
      <w:r w:rsidR="0093539C" w:rsidRPr="008A0F66">
        <w:rPr>
          <w:szCs w:val="20"/>
          <w:lang w:val="es-CL"/>
        </w:rPr>
        <w:t xml:space="preserve"> Fuks en la que detalla los nuevos compromisos laborales que asumió recientemente y su incompatibilidad con la metodología que considera más adecuada para llevar a cabo el peritaje. La perit</w:t>
      </w:r>
      <w:r w:rsidR="00A336C6">
        <w:rPr>
          <w:szCs w:val="20"/>
          <w:lang w:val="es-CL"/>
        </w:rPr>
        <w:t>a</w:t>
      </w:r>
      <w:r w:rsidR="0093539C" w:rsidRPr="008A0F66">
        <w:rPr>
          <w:szCs w:val="20"/>
          <w:lang w:val="es-CL"/>
        </w:rPr>
        <w:t xml:space="preserve"> señaló que previamente no tenía claridad sobre los detalles de estos nuevos compromisos.</w:t>
      </w:r>
    </w:p>
    <w:p w:rsidR="00747353" w:rsidRDefault="00747353" w:rsidP="007403DD">
      <w:pPr>
        <w:pStyle w:val="ListParagraph"/>
        <w:spacing w:after="0"/>
        <w:rPr>
          <w:rFonts w:cs="Verdana"/>
          <w:szCs w:val="20"/>
          <w:lang w:val="es-ES"/>
        </w:rPr>
      </w:pPr>
    </w:p>
    <w:p w:rsidR="008432B1" w:rsidRDefault="00FA4E30" w:rsidP="007403DD">
      <w:pPr>
        <w:numPr>
          <w:ilvl w:val="0"/>
          <w:numId w:val="3"/>
        </w:numPr>
        <w:spacing w:after="0"/>
        <w:ind w:right="18"/>
        <w:rPr>
          <w:rFonts w:cs="Verdana"/>
          <w:szCs w:val="20"/>
          <w:lang w:val="es-ES"/>
        </w:rPr>
      </w:pPr>
      <w:r>
        <w:rPr>
          <w:rFonts w:cs="Verdana"/>
          <w:szCs w:val="20"/>
          <w:lang w:val="es-ES"/>
        </w:rPr>
        <w:t>La Corte nota</w:t>
      </w:r>
      <w:r w:rsidRPr="008A0F66">
        <w:rPr>
          <w:szCs w:val="20"/>
          <w:lang w:val="es-ES"/>
        </w:rPr>
        <w:t xml:space="preserve"> que</w:t>
      </w:r>
      <w:r w:rsidR="00696224">
        <w:rPr>
          <w:szCs w:val="20"/>
          <w:lang w:val="es-ES"/>
        </w:rPr>
        <w:t>,</w:t>
      </w:r>
      <w:r w:rsidRPr="008A0F66">
        <w:rPr>
          <w:szCs w:val="20"/>
          <w:lang w:val="es-ES"/>
        </w:rPr>
        <w:t xml:space="preserve"> en su solicitud de reconsideración</w:t>
      </w:r>
      <w:r w:rsidR="00696224">
        <w:rPr>
          <w:szCs w:val="20"/>
          <w:lang w:val="es-ES"/>
        </w:rPr>
        <w:t>,</w:t>
      </w:r>
      <w:r w:rsidRPr="008A0F66">
        <w:rPr>
          <w:szCs w:val="20"/>
          <w:lang w:val="es-ES"/>
        </w:rPr>
        <w:t xml:space="preserve"> los </w:t>
      </w:r>
      <w:r w:rsidRPr="008A0F66">
        <w:rPr>
          <w:szCs w:val="20"/>
          <w:lang w:val="es-CL"/>
        </w:rPr>
        <w:t xml:space="preserve">representantes no agregaron nuevos antecedentes </w:t>
      </w:r>
      <w:r w:rsidR="00C42C70">
        <w:rPr>
          <w:szCs w:val="20"/>
          <w:lang w:val="es-CL"/>
        </w:rPr>
        <w:t xml:space="preserve">que resulten </w:t>
      </w:r>
      <w:r w:rsidRPr="008A0F66">
        <w:rPr>
          <w:szCs w:val="20"/>
          <w:lang w:val="es-CL"/>
        </w:rPr>
        <w:t xml:space="preserve">relevantes. En su solicitud inicial de sustitución </w:t>
      </w:r>
      <w:r w:rsidR="00C42C70">
        <w:rPr>
          <w:szCs w:val="20"/>
          <w:lang w:val="es-CL"/>
        </w:rPr>
        <w:t>hicieron</w:t>
      </w:r>
      <w:r>
        <w:rPr>
          <w:szCs w:val="20"/>
          <w:lang w:val="es-CL"/>
        </w:rPr>
        <w:t xml:space="preserve"> </w:t>
      </w:r>
      <w:r w:rsidRPr="008A0F66">
        <w:rPr>
          <w:szCs w:val="20"/>
          <w:lang w:val="es-CL"/>
        </w:rPr>
        <w:t xml:space="preserve">referencia, de manera genérica, a nuevos compromisos profesionales de la perito; y posteriormente en su solicitud de reconsideración únicamente especificaron cuáles eran estos compromisos pero no agregaron información nueva que impacte en el </w:t>
      </w:r>
      <w:r w:rsidRPr="008A0F66">
        <w:rPr>
          <w:szCs w:val="20"/>
          <w:lang w:val="es-CL"/>
        </w:rPr>
        <w:lastRenderedPageBreak/>
        <w:t xml:space="preserve">análisis de la Corte. En consecuencia, la situación </w:t>
      </w:r>
      <w:r w:rsidR="00125B7E">
        <w:rPr>
          <w:szCs w:val="20"/>
          <w:lang w:val="es-CL"/>
        </w:rPr>
        <w:t>continúa</w:t>
      </w:r>
      <w:r w:rsidRPr="008A0F66">
        <w:rPr>
          <w:szCs w:val="20"/>
          <w:lang w:val="es-CL"/>
        </w:rPr>
        <w:t xml:space="preserve"> siendo la misma que </w:t>
      </w:r>
      <w:r w:rsidR="00326186">
        <w:rPr>
          <w:szCs w:val="20"/>
          <w:lang w:val="es-CL"/>
        </w:rPr>
        <w:t xml:space="preserve">el Presidente </w:t>
      </w:r>
      <w:r w:rsidRPr="008A0F66">
        <w:rPr>
          <w:szCs w:val="20"/>
          <w:lang w:val="es-CL"/>
        </w:rPr>
        <w:t>ya consideró insuficiente en la Resolución de Convocatoria a Audiencia del presente caso</w:t>
      </w:r>
      <w:r w:rsidR="00163898">
        <w:rPr>
          <w:szCs w:val="20"/>
          <w:lang w:val="es-CL"/>
        </w:rPr>
        <w:t xml:space="preserve">, por lo que </w:t>
      </w:r>
      <w:r w:rsidR="00326186">
        <w:rPr>
          <w:szCs w:val="20"/>
          <w:lang w:val="es-CL"/>
        </w:rPr>
        <w:t xml:space="preserve">considera que </w:t>
      </w:r>
      <w:r w:rsidR="00163898">
        <w:rPr>
          <w:szCs w:val="20"/>
          <w:lang w:val="es-CL"/>
        </w:rPr>
        <w:t xml:space="preserve">no hay elementos para decidir algo diferente a lo ya señalado en dicha Resolución. Por lo anterior, la Corte </w:t>
      </w:r>
      <w:r w:rsidR="008039C7">
        <w:rPr>
          <w:szCs w:val="20"/>
          <w:lang w:val="es-CL"/>
        </w:rPr>
        <w:t xml:space="preserve">confirma </w:t>
      </w:r>
      <w:r w:rsidR="00696224">
        <w:rPr>
          <w:szCs w:val="20"/>
          <w:lang w:val="es-CL"/>
        </w:rPr>
        <w:t>improcedente la</w:t>
      </w:r>
      <w:r w:rsidR="00163898">
        <w:rPr>
          <w:szCs w:val="20"/>
          <w:lang w:val="es-CL"/>
        </w:rPr>
        <w:t xml:space="preserve"> sustitución de la perit</w:t>
      </w:r>
      <w:r w:rsidR="00326186">
        <w:rPr>
          <w:szCs w:val="20"/>
          <w:lang w:val="es-CL"/>
        </w:rPr>
        <w:t>a</w:t>
      </w:r>
      <w:r w:rsidR="00163898">
        <w:rPr>
          <w:szCs w:val="20"/>
          <w:lang w:val="es-CL"/>
        </w:rPr>
        <w:t xml:space="preserve"> Betty Bernardo Fucks.</w:t>
      </w:r>
    </w:p>
    <w:p w:rsidR="008432B1" w:rsidRPr="008432B1" w:rsidRDefault="008432B1" w:rsidP="007403DD">
      <w:pPr>
        <w:spacing w:after="0"/>
        <w:ind w:right="18"/>
        <w:rPr>
          <w:rFonts w:cs="Verdana"/>
          <w:szCs w:val="20"/>
          <w:lang w:val="es-ES"/>
        </w:rPr>
      </w:pPr>
    </w:p>
    <w:p w:rsidR="008432B1" w:rsidRPr="008432B1" w:rsidRDefault="008432B1" w:rsidP="007403DD">
      <w:pPr>
        <w:spacing w:after="0"/>
        <w:ind w:left="720" w:right="18"/>
        <w:rPr>
          <w:rFonts w:cs="Verdana"/>
          <w:b/>
          <w:i/>
          <w:szCs w:val="20"/>
        </w:rPr>
      </w:pPr>
      <w:r w:rsidRPr="002B670F">
        <w:rPr>
          <w:rFonts w:cs="Verdana"/>
          <w:b/>
          <w:bCs/>
          <w:i/>
          <w:iCs/>
          <w:szCs w:val="20"/>
        </w:rPr>
        <w:t>Solicitud del Estado de inclusión de cuatro nuevos peritos</w:t>
      </w:r>
    </w:p>
    <w:p w:rsidR="008432B1" w:rsidRDefault="008432B1" w:rsidP="007403DD">
      <w:pPr>
        <w:pStyle w:val="ListParagraph"/>
        <w:spacing w:after="0"/>
        <w:rPr>
          <w:rFonts w:cs="Verdana"/>
          <w:szCs w:val="20"/>
          <w:lang w:val="es-ES"/>
        </w:rPr>
      </w:pPr>
    </w:p>
    <w:p w:rsidR="00DB6221" w:rsidRPr="003D3798" w:rsidRDefault="002A1C73" w:rsidP="007403DD">
      <w:pPr>
        <w:numPr>
          <w:ilvl w:val="0"/>
          <w:numId w:val="3"/>
        </w:numPr>
        <w:spacing w:after="0"/>
        <w:ind w:right="18"/>
        <w:rPr>
          <w:rFonts w:cs="Verdana"/>
          <w:szCs w:val="20"/>
          <w:lang w:val="es-ES"/>
        </w:rPr>
      </w:pPr>
      <w:r w:rsidRPr="008A0F66">
        <w:rPr>
          <w:szCs w:val="20"/>
          <w:lang w:val="es-ES"/>
        </w:rPr>
        <w:t>En lo que respecta a la solicitud del Estado</w:t>
      </w:r>
      <w:r w:rsidR="00326186">
        <w:rPr>
          <w:szCs w:val="20"/>
          <w:lang w:val="es-ES"/>
        </w:rPr>
        <w:t xml:space="preserve"> de reconsideración de la decisión que rechazó </w:t>
      </w:r>
      <w:r w:rsidR="00326186" w:rsidRPr="008A0F66">
        <w:rPr>
          <w:szCs w:val="20"/>
          <w:lang w:val="es-CL"/>
        </w:rPr>
        <w:t xml:space="preserve">la incorporación de cuatro nuevos peritos ofrecidos </w:t>
      </w:r>
      <w:r w:rsidR="00326186">
        <w:rPr>
          <w:szCs w:val="20"/>
          <w:lang w:val="es-CL"/>
        </w:rPr>
        <w:t xml:space="preserve">extemporáneamente </w:t>
      </w:r>
      <w:r w:rsidR="00326186" w:rsidRPr="008A0F66">
        <w:rPr>
          <w:szCs w:val="20"/>
          <w:lang w:val="es-CL"/>
        </w:rPr>
        <w:t>por el Estado</w:t>
      </w:r>
      <w:r w:rsidRPr="008A0F66">
        <w:rPr>
          <w:szCs w:val="20"/>
          <w:lang w:val="es-ES"/>
        </w:rPr>
        <w:t xml:space="preserve">, </w:t>
      </w:r>
      <w:r>
        <w:rPr>
          <w:szCs w:val="20"/>
          <w:lang w:val="es-ES"/>
        </w:rPr>
        <w:t>la Corte</w:t>
      </w:r>
      <w:r w:rsidRPr="008A0F66">
        <w:rPr>
          <w:szCs w:val="20"/>
          <w:lang w:val="es-ES"/>
        </w:rPr>
        <w:t xml:space="preserve"> considera que el </w:t>
      </w:r>
      <w:r w:rsidRPr="008A0F66">
        <w:rPr>
          <w:szCs w:val="20"/>
          <w:lang w:val="es-CL"/>
        </w:rPr>
        <w:t xml:space="preserve">Estado no proporcionó ninguna razón adicional para </w:t>
      </w:r>
      <w:r w:rsidR="00326186">
        <w:rPr>
          <w:szCs w:val="20"/>
          <w:lang w:val="es-CL"/>
        </w:rPr>
        <w:t>la inclusión al proceso</w:t>
      </w:r>
      <w:r w:rsidRPr="008A0F66">
        <w:rPr>
          <w:szCs w:val="20"/>
          <w:lang w:val="es-CL"/>
        </w:rPr>
        <w:t xml:space="preserve">, de manera extemporánea, </w:t>
      </w:r>
      <w:r w:rsidR="00696224">
        <w:rPr>
          <w:szCs w:val="20"/>
          <w:lang w:val="es-CL"/>
        </w:rPr>
        <w:t>a</w:t>
      </w:r>
      <w:r w:rsidRPr="008A0F66">
        <w:rPr>
          <w:szCs w:val="20"/>
          <w:lang w:val="es-CL"/>
        </w:rPr>
        <w:t xml:space="preserve"> cuatro nuevos peritos. El único argumento para solicitar la </w:t>
      </w:r>
      <w:r w:rsidRPr="00AF36B7">
        <w:rPr>
          <w:szCs w:val="20"/>
          <w:lang w:val="es-CL"/>
        </w:rPr>
        <w:t xml:space="preserve">reconsideración es la </w:t>
      </w:r>
      <w:r w:rsidR="00326186" w:rsidRPr="00AF36B7">
        <w:rPr>
          <w:szCs w:val="20"/>
          <w:lang w:val="es-CL"/>
        </w:rPr>
        <w:t xml:space="preserve">supuesta similitud a la </w:t>
      </w:r>
      <w:r w:rsidRPr="00AF36B7">
        <w:rPr>
          <w:szCs w:val="20"/>
          <w:lang w:val="es-CL"/>
        </w:rPr>
        <w:t>solicitud de los representantes respecto de la sustitución de la perit</w:t>
      </w:r>
      <w:r w:rsidR="00326186" w:rsidRPr="00AF36B7">
        <w:rPr>
          <w:szCs w:val="20"/>
          <w:lang w:val="es-CL"/>
        </w:rPr>
        <w:t>a</w:t>
      </w:r>
      <w:r w:rsidRPr="00AF36B7">
        <w:rPr>
          <w:szCs w:val="20"/>
          <w:lang w:val="es-CL"/>
        </w:rPr>
        <w:t xml:space="preserve"> Fuks</w:t>
      </w:r>
      <w:r w:rsidR="00BA2B21" w:rsidRPr="00AF36B7">
        <w:rPr>
          <w:szCs w:val="20"/>
          <w:lang w:val="es-CL"/>
        </w:rPr>
        <w:t xml:space="preserve">. </w:t>
      </w:r>
      <w:r w:rsidR="00DB6221" w:rsidRPr="00AF36B7">
        <w:rPr>
          <w:rFonts w:cs="Verdana"/>
          <w:szCs w:val="20"/>
        </w:rPr>
        <w:t xml:space="preserve">Por su parte, el </w:t>
      </w:r>
      <w:r w:rsidR="00DB6221" w:rsidRPr="00AF36B7">
        <w:rPr>
          <w:szCs w:val="20"/>
          <w:lang w:val="es-CL"/>
        </w:rPr>
        <w:t xml:space="preserve">8 de septiembre los representantes presentaron </w:t>
      </w:r>
      <w:r w:rsidR="003D3798" w:rsidRPr="00AF36B7">
        <w:rPr>
          <w:szCs w:val="20"/>
          <w:lang w:val="es-CL"/>
        </w:rPr>
        <w:t>sus observaciones respecto a la petición del Estado</w:t>
      </w:r>
      <w:r w:rsidR="00FF17CA" w:rsidRPr="00AF36B7">
        <w:rPr>
          <w:szCs w:val="20"/>
          <w:lang w:val="es-CL"/>
        </w:rPr>
        <w:t xml:space="preserve"> y señalaron que era improcedente debido a que los peritajes no fueron presentados en el momento procesal oportuno</w:t>
      </w:r>
      <w:r w:rsidR="00DB6221" w:rsidRPr="00AF36B7">
        <w:rPr>
          <w:szCs w:val="20"/>
          <w:lang w:val="es-CL"/>
        </w:rPr>
        <w:t>.</w:t>
      </w:r>
    </w:p>
    <w:p w:rsidR="003D3798" w:rsidRPr="003D3798" w:rsidRDefault="003D3798" w:rsidP="007403DD">
      <w:pPr>
        <w:spacing w:after="0"/>
        <w:ind w:right="18"/>
        <w:rPr>
          <w:rFonts w:cs="Verdana"/>
          <w:szCs w:val="20"/>
          <w:lang w:val="es-ES"/>
        </w:rPr>
      </w:pPr>
    </w:p>
    <w:p w:rsidR="008432B1" w:rsidRPr="003D3798" w:rsidRDefault="00326186" w:rsidP="007403DD">
      <w:pPr>
        <w:numPr>
          <w:ilvl w:val="0"/>
          <w:numId w:val="3"/>
        </w:numPr>
        <w:spacing w:after="0"/>
        <w:ind w:right="18"/>
        <w:rPr>
          <w:rFonts w:cs="Verdana"/>
          <w:szCs w:val="20"/>
          <w:lang w:val="es-ES"/>
        </w:rPr>
      </w:pPr>
      <w:r w:rsidRPr="003D3798">
        <w:rPr>
          <w:szCs w:val="20"/>
          <w:lang w:val="es-CL"/>
        </w:rPr>
        <w:t xml:space="preserve">Al respecto, la Corte considera que se trata de supuestos completamente distintos, </w:t>
      </w:r>
      <w:r w:rsidR="00696224">
        <w:rPr>
          <w:szCs w:val="20"/>
          <w:lang w:val="es-CL"/>
        </w:rPr>
        <w:t>ya</w:t>
      </w:r>
      <w:r w:rsidRPr="003D3798">
        <w:rPr>
          <w:szCs w:val="20"/>
          <w:lang w:val="es-CL"/>
        </w:rPr>
        <w:t xml:space="preserve"> que los representantes s</w:t>
      </w:r>
      <w:r w:rsidR="00696224">
        <w:rPr>
          <w:szCs w:val="20"/>
          <w:lang w:val="es-CL"/>
        </w:rPr>
        <w:t>í</w:t>
      </w:r>
      <w:r w:rsidRPr="003D3798">
        <w:rPr>
          <w:szCs w:val="20"/>
          <w:lang w:val="es-CL"/>
        </w:rPr>
        <w:t xml:space="preserve"> ofrecieron la referida declaración pericial oportunamente, en su escrito de solicitudes y argumentos, y el Estado dejó de ofrecer las cuatro declaraciones que en esa oportunidad reivindica en su escrito de contestación y posteriormente en su lista definitiva de declarantes. </w:t>
      </w:r>
      <w:r w:rsidR="00BA2B21" w:rsidRPr="003D3798">
        <w:rPr>
          <w:szCs w:val="20"/>
          <w:lang w:val="es-CL"/>
        </w:rPr>
        <w:t xml:space="preserve">Por lo anterior, la Corte </w:t>
      </w:r>
      <w:r w:rsidRPr="003D3798">
        <w:rPr>
          <w:szCs w:val="20"/>
          <w:lang w:val="es-CL"/>
        </w:rPr>
        <w:t xml:space="preserve">no encuentra motivos para apartarse de la decisión del Presidente y, por lo tanto, </w:t>
      </w:r>
      <w:r w:rsidR="00BA2B21" w:rsidRPr="003D3798">
        <w:rPr>
          <w:szCs w:val="20"/>
          <w:lang w:val="es-CL"/>
        </w:rPr>
        <w:t xml:space="preserve">confirma </w:t>
      </w:r>
      <w:r w:rsidR="001711AE" w:rsidRPr="003D3798">
        <w:rPr>
          <w:szCs w:val="20"/>
          <w:lang w:val="es-CL"/>
        </w:rPr>
        <w:t>la</w:t>
      </w:r>
      <w:r w:rsidR="00BA2B21" w:rsidRPr="003D3798">
        <w:rPr>
          <w:szCs w:val="20"/>
          <w:lang w:val="es-CL"/>
        </w:rPr>
        <w:t xml:space="preserve"> negativa </w:t>
      </w:r>
      <w:r w:rsidR="001711AE" w:rsidRPr="003D3798">
        <w:rPr>
          <w:szCs w:val="20"/>
          <w:lang w:val="es-CL"/>
        </w:rPr>
        <w:t>respecto</w:t>
      </w:r>
      <w:r w:rsidR="00BA2B21" w:rsidRPr="003D3798">
        <w:rPr>
          <w:szCs w:val="20"/>
          <w:lang w:val="es-CL"/>
        </w:rPr>
        <w:t xml:space="preserve"> a </w:t>
      </w:r>
      <w:r w:rsidR="00BA2B21">
        <w:t>la incorporación de cuatro nuevos peritos ofrecidos extemporáneamente por el Estado</w:t>
      </w:r>
      <w:r w:rsidR="00BA2B21" w:rsidRPr="003D3798">
        <w:rPr>
          <w:szCs w:val="20"/>
          <w:lang w:val="es-CL"/>
        </w:rPr>
        <w:t>.</w:t>
      </w:r>
    </w:p>
    <w:p w:rsidR="0093539C" w:rsidRPr="0093539C" w:rsidRDefault="0093539C" w:rsidP="007403DD">
      <w:pPr>
        <w:spacing w:after="0"/>
        <w:ind w:right="18"/>
        <w:rPr>
          <w:rFonts w:cs="Verdana"/>
          <w:szCs w:val="20"/>
          <w:lang w:val="es-ES"/>
        </w:rPr>
      </w:pPr>
    </w:p>
    <w:p w:rsidR="00017CD7" w:rsidRPr="0003632E" w:rsidRDefault="00017CD7" w:rsidP="007403DD">
      <w:pPr>
        <w:spacing w:after="0"/>
        <w:rPr>
          <w:rFonts w:cs="Verdana"/>
          <w:b/>
          <w:bCs/>
          <w:szCs w:val="20"/>
          <w:lang w:val="es-CR"/>
        </w:rPr>
      </w:pPr>
      <w:r w:rsidRPr="0003632E">
        <w:rPr>
          <w:rFonts w:cs="Verdana"/>
          <w:b/>
          <w:bCs/>
          <w:szCs w:val="20"/>
          <w:lang w:val="es-CR"/>
        </w:rPr>
        <w:t>POR TANTO:</w:t>
      </w:r>
    </w:p>
    <w:p w:rsidR="00017CD7" w:rsidRPr="0003632E" w:rsidRDefault="00017CD7" w:rsidP="007403DD">
      <w:pPr>
        <w:spacing w:after="0"/>
        <w:rPr>
          <w:rFonts w:cs="Verdana"/>
          <w:b/>
          <w:bCs/>
          <w:szCs w:val="20"/>
          <w:lang w:val="es-CR"/>
        </w:rPr>
      </w:pPr>
    </w:p>
    <w:p w:rsidR="00017CD7" w:rsidRDefault="00017CD7" w:rsidP="007403DD">
      <w:pPr>
        <w:spacing w:after="0"/>
        <w:rPr>
          <w:rFonts w:cs="Verdana"/>
          <w:b/>
          <w:bCs/>
          <w:szCs w:val="20"/>
          <w:lang w:val="es-CR"/>
        </w:rPr>
      </w:pPr>
      <w:r w:rsidRPr="0003632E">
        <w:rPr>
          <w:rFonts w:cs="Verdana"/>
          <w:b/>
          <w:bCs/>
          <w:szCs w:val="20"/>
          <w:lang w:val="es-CR"/>
        </w:rPr>
        <w:t xml:space="preserve">LA CORTE INTERAMERICANA DE DERECHOS HUMANOS, </w:t>
      </w:r>
    </w:p>
    <w:p w:rsidR="00017CD7" w:rsidRDefault="00017CD7" w:rsidP="007403DD">
      <w:pPr>
        <w:autoSpaceDE w:val="0"/>
        <w:autoSpaceDN w:val="0"/>
        <w:adjustRightInd w:val="0"/>
        <w:spacing w:after="0"/>
        <w:ind w:right="18"/>
        <w:rPr>
          <w:rFonts w:ascii="Garamond" w:hAnsi="Garamond"/>
          <w:lang w:val="es-CR"/>
        </w:rPr>
      </w:pPr>
    </w:p>
    <w:p w:rsidR="00017CD7" w:rsidRPr="005C641D" w:rsidRDefault="0057785F" w:rsidP="007403DD">
      <w:pPr>
        <w:autoSpaceDE w:val="0"/>
        <w:autoSpaceDN w:val="0"/>
        <w:adjustRightInd w:val="0"/>
        <w:spacing w:after="0"/>
        <w:ind w:right="18"/>
        <w:rPr>
          <w:rFonts w:cs="Verdana"/>
          <w:b/>
          <w:bCs/>
          <w:szCs w:val="20"/>
          <w:lang w:val="es-ES"/>
        </w:rPr>
      </w:pPr>
      <w:r>
        <w:rPr>
          <w:rFonts w:cs="Verdana"/>
          <w:szCs w:val="20"/>
          <w:lang w:val="es-CR"/>
        </w:rPr>
        <w:t>D</w:t>
      </w:r>
      <w:r w:rsidR="00017CD7" w:rsidRPr="005C641D">
        <w:rPr>
          <w:rFonts w:cs="Verdana"/>
          <w:szCs w:val="20"/>
          <w:lang w:val="es-ES"/>
        </w:rPr>
        <w:t xml:space="preserve">e conformidad con </w:t>
      </w:r>
      <w:r w:rsidR="00017CD7">
        <w:rPr>
          <w:rFonts w:cs="Verdana"/>
          <w:szCs w:val="20"/>
          <w:lang w:val="es-ES"/>
        </w:rPr>
        <w:t>e</w:t>
      </w:r>
      <w:r w:rsidR="00017CD7" w:rsidRPr="005C641D">
        <w:rPr>
          <w:rFonts w:cs="Verdana"/>
          <w:szCs w:val="20"/>
          <w:lang w:val="es-ES"/>
        </w:rPr>
        <w:t xml:space="preserve">l artículo 25.2 del Estatuto de la Corte y con los </w:t>
      </w:r>
      <w:r w:rsidR="00017CD7" w:rsidRPr="005C641D">
        <w:rPr>
          <w:rFonts w:cs="Verdana"/>
          <w:szCs w:val="20"/>
        </w:rPr>
        <w:t xml:space="preserve">artículos 31.2, </w:t>
      </w:r>
      <w:r w:rsidR="00F70B30">
        <w:rPr>
          <w:rFonts w:cs="Verdana"/>
          <w:szCs w:val="20"/>
        </w:rPr>
        <w:t xml:space="preserve">49 </w:t>
      </w:r>
      <w:r w:rsidR="00017CD7">
        <w:rPr>
          <w:rFonts w:cs="Verdana"/>
          <w:szCs w:val="20"/>
        </w:rPr>
        <w:t>y</w:t>
      </w:r>
      <w:r w:rsidR="00017CD7" w:rsidRPr="00E30617">
        <w:rPr>
          <w:rFonts w:cs="Verdana"/>
          <w:szCs w:val="20"/>
        </w:rPr>
        <w:t xml:space="preserve"> 50</w:t>
      </w:r>
      <w:r w:rsidR="00017CD7" w:rsidRPr="005C641D">
        <w:rPr>
          <w:rFonts w:cs="Verdana"/>
          <w:szCs w:val="20"/>
        </w:rPr>
        <w:t xml:space="preserve"> del Reglamento</w:t>
      </w:r>
      <w:r w:rsidR="00017CD7" w:rsidRPr="005C641D">
        <w:rPr>
          <w:rFonts w:cs="Verdana"/>
          <w:szCs w:val="20"/>
          <w:lang w:val="es-ES"/>
        </w:rPr>
        <w:t xml:space="preserve">, </w:t>
      </w:r>
    </w:p>
    <w:p w:rsidR="00017CD7" w:rsidRPr="005C641D" w:rsidRDefault="00017CD7" w:rsidP="007403DD">
      <w:pPr>
        <w:autoSpaceDE w:val="0"/>
        <w:autoSpaceDN w:val="0"/>
        <w:adjustRightInd w:val="0"/>
        <w:spacing w:after="0"/>
        <w:ind w:right="18"/>
        <w:rPr>
          <w:rFonts w:cs="Verdana"/>
          <w:b/>
          <w:bCs/>
          <w:szCs w:val="20"/>
          <w:lang w:val="es-ES"/>
        </w:rPr>
      </w:pPr>
    </w:p>
    <w:p w:rsidR="00017CD7" w:rsidRPr="005C641D" w:rsidRDefault="00017CD7" w:rsidP="007403DD">
      <w:pPr>
        <w:autoSpaceDE w:val="0"/>
        <w:autoSpaceDN w:val="0"/>
        <w:adjustRightInd w:val="0"/>
        <w:spacing w:after="0"/>
        <w:ind w:right="18"/>
        <w:rPr>
          <w:rFonts w:cs="Verdana"/>
          <w:b/>
          <w:bCs/>
          <w:szCs w:val="20"/>
          <w:lang w:val="es-ES"/>
        </w:rPr>
      </w:pPr>
      <w:r w:rsidRPr="005C641D">
        <w:rPr>
          <w:rFonts w:cs="Verdana"/>
          <w:b/>
          <w:bCs/>
          <w:szCs w:val="20"/>
          <w:lang w:val="es-ES"/>
        </w:rPr>
        <w:t>RESUELVE:</w:t>
      </w:r>
    </w:p>
    <w:p w:rsidR="00017CD7" w:rsidRPr="005C641D" w:rsidRDefault="00017CD7" w:rsidP="007403DD">
      <w:pPr>
        <w:autoSpaceDE w:val="0"/>
        <w:autoSpaceDN w:val="0"/>
        <w:adjustRightInd w:val="0"/>
        <w:spacing w:after="0"/>
        <w:ind w:right="18"/>
        <w:rPr>
          <w:rFonts w:cs="Verdana"/>
          <w:szCs w:val="20"/>
          <w:lang w:val="es-ES"/>
        </w:rPr>
      </w:pPr>
    </w:p>
    <w:p w:rsidR="00017CD7" w:rsidRDefault="00017CD7" w:rsidP="007403DD">
      <w:pPr>
        <w:widowControl w:val="0"/>
        <w:numPr>
          <w:ilvl w:val="0"/>
          <w:numId w:val="5"/>
        </w:numPr>
        <w:autoSpaceDE w:val="0"/>
        <w:autoSpaceDN w:val="0"/>
        <w:adjustRightInd w:val="0"/>
        <w:spacing w:after="0"/>
        <w:ind w:left="0" w:right="18" w:firstLine="0"/>
        <w:rPr>
          <w:lang w:val="es-CR"/>
        </w:rPr>
      </w:pPr>
      <w:r w:rsidRPr="008B7C02">
        <w:t>Desestimar el recurso</w:t>
      </w:r>
      <w:r>
        <w:t xml:space="preserve"> de reconsideración</w:t>
      </w:r>
      <w:r w:rsidRPr="008B7C02">
        <w:t xml:space="preserve"> interpuesto por l</w:t>
      </w:r>
      <w:r>
        <w:t>o</w:t>
      </w:r>
      <w:r w:rsidRPr="008B7C02">
        <w:t xml:space="preserve">s representantes, y en consecuencia, ratificar la Resolución del Presidente de </w:t>
      </w:r>
      <w:r w:rsidR="00096B97">
        <w:t>4 de agosto de 2016</w:t>
      </w:r>
      <w:r>
        <w:t>,</w:t>
      </w:r>
      <w:r w:rsidRPr="008B7C02">
        <w:t xml:space="preserve"> en cuanto a </w:t>
      </w:r>
      <w:r>
        <w:t xml:space="preserve">no autorizar la </w:t>
      </w:r>
      <w:r w:rsidR="00D92738">
        <w:t xml:space="preserve">sustitución del peritaje de la señora Betty Bernardo </w:t>
      </w:r>
      <w:proofErr w:type="spellStart"/>
      <w:r w:rsidR="00D92738">
        <w:t>Fuks</w:t>
      </w:r>
      <w:proofErr w:type="spellEnd"/>
      <w:r>
        <w:t>.</w:t>
      </w:r>
    </w:p>
    <w:p w:rsidR="00017CD7" w:rsidRDefault="00017CD7" w:rsidP="007403DD">
      <w:pPr>
        <w:spacing w:after="0"/>
        <w:rPr>
          <w:lang w:val="es-CR"/>
        </w:rPr>
      </w:pPr>
    </w:p>
    <w:p w:rsidR="00017CD7" w:rsidRPr="00C61C97" w:rsidRDefault="00E14A9A" w:rsidP="007403DD">
      <w:pPr>
        <w:widowControl w:val="0"/>
        <w:numPr>
          <w:ilvl w:val="0"/>
          <w:numId w:val="5"/>
        </w:numPr>
        <w:autoSpaceDE w:val="0"/>
        <w:autoSpaceDN w:val="0"/>
        <w:adjustRightInd w:val="0"/>
        <w:spacing w:after="0"/>
        <w:ind w:left="0" w:right="18" w:firstLine="0"/>
        <w:rPr>
          <w:lang w:val="es-CR"/>
        </w:rPr>
      </w:pPr>
      <w:r w:rsidRPr="008B7C02">
        <w:t>Desestimar el recurso</w:t>
      </w:r>
      <w:r>
        <w:t xml:space="preserve"> de reconsideración</w:t>
      </w:r>
      <w:r w:rsidRPr="008B7C02">
        <w:t xml:space="preserve"> interpuesto por </w:t>
      </w:r>
      <w:r>
        <w:t>el Estado</w:t>
      </w:r>
      <w:r w:rsidRPr="008B7C02">
        <w:t xml:space="preserve">, y en consecuencia, ratificar la Resolución del Presidente de </w:t>
      </w:r>
      <w:r>
        <w:t>4 de agosto de 2016,</w:t>
      </w:r>
      <w:r w:rsidRPr="008B7C02">
        <w:t xml:space="preserve"> en cuanto a </w:t>
      </w:r>
      <w:r>
        <w:t>no autorizar la incorporación de cuatro nuevos peritos ofrecidos extemporáneamente por el Estado</w:t>
      </w:r>
      <w:r w:rsidR="00017CD7">
        <w:rPr>
          <w:rFonts w:eastAsia="Arial" w:cs="Arial"/>
        </w:rPr>
        <w:t>.</w:t>
      </w:r>
    </w:p>
    <w:p w:rsidR="00017CD7" w:rsidRPr="00945879" w:rsidRDefault="00017CD7" w:rsidP="007403DD">
      <w:pPr>
        <w:spacing w:after="0"/>
        <w:ind w:right="18"/>
      </w:pPr>
    </w:p>
    <w:p w:rsidR="00017CD7" w:rsidRDefault="00017CD7" w:rsidP="007403DD">
      <w:pPr>
        <w:widowControl w:val="0"/>
        <w:numPr>
          <w:ilvl w:val="0"/>
          <w:numId w:val="5"/>
        </w:numPr>
        <w:autoSpaceDE w:val="0"/>
        <w:autoSpaceDN w:val="0"/>
        <w:adjustRightInd w:val="0"/>
        <w:spacing w:after="0"/>
        <w:ind w:left="0" w:right="18" w:firstLine="0"/>
      </w:pPr>
      <w:r w:rsidRPr="008B7C02">
        <w:rPr>
          <w:color w:val="000000"/>
          <w:lang w:val="es-CR"/>
        </w:rPr>
        <w:t>Disponer que la Secretaría de la Corte Interamericana notifique la presente Resolución a la Comisión Interamericana de Derechos Humanos, a l</w:t>
      </w:r>
      <w:r>
        <w:rPr>
          <w:color w:val="000000"/>
          <w:lang w:val="es-CR"/>
        </w:rPr>
        <w:t>o</w:t>
      </w:r>
      <w:r w:rsidRPr="008B7C02">
        <w:rPr>
          <w:color w:val="000000"/>
          <w:lang w:val="es-CR"/>
        </w:rPr>
        <w:t>s representantes de las presuntas víctimas y a</w:t>
      </w:r>
      <w:r>
        <w:rPr>
          <w:color w:val="000000"/>
          <w:lang w:val="es-CR"/>
        </w:rPr>
        <w:t xml:space="preserve"> </w:t>
      </w:r>
      <w:r w:rsidRPr="008B7C02">
        <w:rPr>
          <w:color w:val="000000"/>
          <w:lang w:val="es-CR"/>
        </w:rPr>
        <w:t>l</w:t>
      </w:r>
      <w:r>
        <w:rPr>
          <w:color w:val="000000"/>
          <w:lang w:val="es-CR"/>
        </w:rPr>
        <w:t>a</w:t>
      </w:r>
      <w:r w:rsidRPr="008B7C02">
        <w:rPr>
          <w:color w:val="000000"/>
          <w:lang w:val="es-CR"/>
        </w:rPr>
        <w:t xml:space="preserve"> </w:t>
      </w:r>
      <w:r>
        <w:rPr>
          <w:color w:val="000000"/>
          <w:lang w:val="es-CR"/>
        </w:rPr>
        <w:t>República Federativa de Brasil.</w:t>
      </w:r>
      <w:r>
        <w:t xml:space="preserve"> </w:t>
      </w:r>
    </w:p>
    <w:p w:rsidR="00017CD7" w:rsidRDefault="00017CD7" w:rsidP="007403DD">
      <w:pPr>
        <w:spacing w:after="0"/>
      </w:pPr>
    </w:p>
    <w:p w:rsidR="002C3BE9" w:rsidRDefault="002C3BE9" w:rsidP="007403DD">
      <w:pPr>
        <w:spacing w:after="0"/>
      </w:pPr>
    </w:p>
    <w:p w:rsidR="002C3BE9" w:rsidRDefault="002C3BE9" w:rsidP="007403DD">
      <w:pPr>
        <w:spacing w:after="0"/>
      </w:pPr>
    </w:p>
    <w:p w:rsidR="002C3BE9" w:rsidRDefault="002C3BE9" w:rsidP="007403DD">
      <w:pPr>
        <w:spacing w:after="0"/>
      </w:pPr>
    </w:p>
    <w:p w:rsidR="002C3BE9" w:rsidRDefault="002C3BE9" w:rsidP="007403DD">
      <w:pPr>
        <w:spacing w:after="0"/>
      </w:pPr>
    </w:p>
    <w:p w:rsidR="002C3BE9" w:rsidRDefault="002C3BE9" w:rsidP="007403DD">
      <w:pPr>
        <w:spacing w:after="0"/>
      </w:pPr>
    </w:p>
    <w:p w:rsidR="00017CD7" w:rsidRDefault="00017CD7" w:rsidP="007403DD">
      <w:pPr>
        <w:spacing w:after="0"/>
        <w:rPr>
          <w:lang w:val="es-CR"/>
        </w:rPr>
      </w:pPr>
      <w:r w:rsidRPr="00355747">
        <w:rPr>
          <w:lang w:val="es-CR"/>
        </w:rPr>
        <w:lastRenderedPageBreak/>
        <w:t>Resolución de la Corte Inter</w:t>
      </w:r>
      <w:r w:rsidR="008D01C2">
        <w:rPr>
          <w:lang w:val="es-CR"/>
        </w:rPr>
        <w:t>americana de Derechos Humanos, C</w:t>
      </w:r>
      <w:r w:rsidRPr="00355747">
        <w:rPr>
          <w:lang w:val="es-CR"/>
        </w:rPr>
        <w:t xml:space="preserve">aso </w:t>
      </w:r>
      <w:r w:rsidR="002127CA">
        <w:rPr>
          <w:rFonts w:cs="Arial"/>
        </w:rPr>
        <w:t>Genoveva y</w:t>
      </w:r>
      <w:r w:rsidR="002127CA" w:rsidRPr="002127CA">
        <w:rPr>
          <w:rFonts w:cs="Arial"/>
        </w:rPr>
        <w:t xml:space="preserve"> Otros (Favela Nova Brasilia)</w:t>
      </w:r>
      <w:r w:rsidR="002127CA" w:rsidRPr="002127CA">
        <w:rPr>
          <w:rFonts w:cs="Verdana Bold"/>
          <w:bCs/>
          <w:szCs w:val="20"/>
        </w:rPr>
        <w:t xml:space="preserve"> Vs. Brasil</w:t>
      </w:r>
      <w:r w:rsidR="002127CA" w:rsidRPr="002127CA">
        <w:rPr>
          <w:lang w:val="es-CR"/>
        </w:rPr>
        <w:t>.</w:t>
      </w:r>
    </w:p>
    <w:p w:rsidR="00E12E6A" w:rsidRDefault="00E12E6A" w:rsidP="00E12E6A">
      <w:pPr>
        <w:spacing w:after="0"/>
        <w:jc w:val="left"/>
        <w:rPr>
          <w:lang w:val="es-ES"/>
        </w:rPr>
      </w:pPr>
      <w:bookmarkStart w:id="0" w:name="_GoBack"/>
      <w:bookmarkEnd w:id="0"/>
    </w:p>
    <w:p w:rsidR="00E12E6A" w:rsidRDefault="00E12E6A" w:rsidP="007403DD">
      <w:pPr>
        <w:spacing w:after="0"/>
        <w:jc w:val="center"/>
        <w:rPr>
          <w:lang w:val="es-ES"/>
        </w:rPr>
      </w:pPr>
    </w:p>
    <w:p w:rsidR="00E12E6A" w:rsidRDefault="00E12E6A" w:rsidP="007403DD">
      <w:pPr>
        <w:spacing w:after="0"/>
        <w:jc w:val="center"/>
        <w:rPr>
          <w:lang w:val="es-ES"/>
        </w:rPr>
      </w:pPr>
    </w:p>
    <w:p w:rsidR="00E12E6A" w:rsidRDefault="00E12E6A" w:rsidP="007403DD">
      <w:pPr>
        <w:spacing w:after="0"/>
        <w:jc w:val="center"/>
        <w:rPr>
          <w:lang w:val="es-ES"/>
        </w:rPr>
      </w:pPr>
    </w:p>
    <w:p w:rsidR="00017CD7" w:rsidRPr="0072149E" w:rsidRDefault="00017CD7" w:rsidP="007403DD">
      <w:pPr>
        <w:spacing w:after="0"/>
        <w:jc w:val="center"/>
      </w:pPr>
      <w:r w:rsidRPr="0072149E">
        <w:t>Eduardo Ferrer Mac-Gregor Poisot</w:t>
      </w:r>
    </w:p>
    <w:p w:rsidR="00017CD7" w:rsidRPr="00370276" w:rsidRDefault="00017CD7" w:rsidP="007403DD">
      <w:pPr>
        <w:spacing w:after="0"/>
        <w:jc w:val="center"/>
        <w:rPr>
          <w:lang w:val="es-ES"/>
        </w:rPr>
      </w:pPr>
      <w:r>
        <w:rPr>
          <w:lang w:val="es-ES"/>
        </w:rPr>
        <w:t>Presidente en ejercicio</w:t>
      </w:r>
    </w:p>
    <w:p w:rsidR="00017CD7" w:rsidRDefault="00017CD7" w:rsidP="007403DD">
      <w:pPr>
        <w:spacing w:after="0"/>
        <w:rPr>
          <w:lang w:val="es-ES"/>
        </w:rPr>
      </w:pPr>
    </w:p>
    <w:p w:rsidR="000B60E7" w:rsidRDefault="000B60E7" w:rsidP="007403DD">
      <w:pPr>
        <w:spacing w:after="0"/>
        <w:rPr>
          <w:lang w:val="es-ES"/>
        </w:rPr>
      </w:pPr>
    </w:p>
    <w:p w:rsidR="000B60E7" w:rsidRDefault="000B60E7" w:rsidP="007403DD">
      <w:pPr>
        <w:spacing w:after="0"/>
        <w:rPr>
          <w:lang w:val="es-ES"/>
        </w:rPr>
      </w:pPr>
    </w:p>
    <w:p w:rsidR="00017CD7" w:rsidRDefault="00017CD7" w:rsidP="007403DD">
      <w:pPr>
        <w:spacing w:after="0"/>
        <w:rPr>
          <w:lang w:val="es-ES"/>
        </w:rPr>
      </w:pPr>
    </w:p>
    <w:p w:rsidR="00017CD7" w:rsidRPr="0072149E" w:rsidRDefault="00017CD7" w:rsidP="007403DD">
      <w:pPr>
        <w:spacing w:after="0"/>
      </w:pPr>
      <w:r w:rsidRPr="0072149E">
        <w:t>Eduardo Vio Grossi</w:t>
      </w:r>
      <w:r w:rsidRPr="0072149E">
        <w:tab/>
      </w:r>
      <w:r w:rsidRPr="0072149E">
        <w:tab/>
      </w:r>
      <w:r w:rsidRPr="0072149E">
        <w:tab/>
      </w:r>
      <w:r w:rsidRPr="0072149E">
        <w:tab/>
      </w:r>
      <w:r w:rsidRPr="0072149E">
        <w:tab/>
      </w:r>
      <w:r w:rsidRPr="0072149E">
        <w:tab/>
      </w:r>
      <w:r w:rsidRPr="0072149E">
        <w:tab/>
        <w:t>Humberto Sierra Porto</w:t>
      </w:r>
      <w:r w:rsidRPr="0072149E">
        <w:tab/>
      </w:r>
    </w:p>
    <w:p w:rsidR="00017CD7" w:rsidRPr="0072149E" w:rsidRDefault="00017CD7" w:rsidP="007403DD">
      <w:pPr>
        <w:spacing w:after="0"/>
      </w:pPr>
    </w:p>
    <w:p w:rsidR="00017CD7" w:rsidRPr="0072149E" w:rsidRDefault="00017CD7" w:rsidP="007403DD">
      <w:pPr>
        <w:spacing w:after="0"/>
      </w:pPr>
    </w:p>
    <w:p w:rsidR="00017CD7" w:rsidRPr="0072149E" w:rsidRDefault="00017CD7" w:rsidP="007403DD">
      <w:pPr>
        <w:spacing w:after="0"/>
      </w:pPr>
    </w:p>
    <w:p w:rsidR="000B60E7" w:rsidRPr="0072149E" w:rsidRDefault="000B60E7" w:rsidP="007403DD">
      <w:pPr>
        <w:spacing w:after="0"/>
      </w:pPr>
    </w:p>
    <w:p w:rsidR="000B60E7" w:rsidRPr="0072149E" w:rsidRDefault="000B60E7" w:rsidP="007403DD">
      <w:pPr>
        <w:spacing w:after="0"/>
      </w:pPr>
    </w:p>
    <w:p w:rsidR="00017CD7" w:rsidRPr="0072149E" w:rsidRDefault="00017CD7" w:rsidP="007403DD">
      <w:pPr>
        <w:spacing w:after="0"/>
      </w:pPr>
      <w:r w:rsidRPr="0072149E">
        <w:t>Elizabeth Odio</w:t>
      </w:r>
      <w:r w:rsidR="0057785F">
        <w:t xml:space="preserve"> </w:t>
      </w:r>
      <w:r w:rsidRPr="0072149E">
        <w:t>Benito</w:t>
      </w:r>
      <w:r w:rsidR="000B60E7" w:rsidRPr="0072149E">
        <w:t xml:space="preserve">  </w:t>
      </w:r>
      <w:r w:rsidR="000B60E7" w:rsidRPr="0072149E">
        <w:tab/>
      </w:r>
      <w:r w:rsidR="000B60E7" w:rsidRPr="0072149E">
        <w:tab/>
      </w:r>
      <w:r w:rsidR="000B60E7" w:rsidRPr="0072149E">
        <w:tab/>
      </w:r>
      <w:r w:rsidR="000B60E7" w:rsidRPr="0072149E">
        <w:tab/>
      </w:r>
      <w:r w:rsidR="000B60E7" w:rsidRPr="0072149E">
        <w:tab/>
        <w:t xml:space="preserve">      </w:t>
      </w:r>
      <w:r w:rsidRPr="0072149E">
        <w:t xml:space="preserve">Eugenio </w:t>
      </w:r>
      <w:r w:rsidR="0057785F" w:rsidRPr="0072149E">
        <w:t>Raúl</w:t>
      </w:r>
      <w:r w:rsidRPr="0072149E">
        <w:t xml:space="preserve"> Zaffaroni</w:t>
      </w:r>
    </w:p>
    <w:p w:rsidR="00017CD7" w:rsidRPr="0072149E" w:rsidRDefault="00017CD7" w:rsidP="007403DD">
      <w:pPr>
        <w:spacing w:after="0"/>
      </w:pPr>
    </w:p>
    <w:p w:rsidR="00017CD7" w:rsidRPr="0072149E" w:rsidRDefault="00017CD7" w:rsidP="007403DD">
      <w:pPr>
        <w:spacing w:after="0"/>
      </w:pPr>
    </w:p>
    <w:p w:rsidR="000B60E7" w:rsidRPr="0072149E" w:rsidRDefault="000B60E7" w:rsidP="007403DD">
      <w:pPr>
        <w:spacing w:after="0"/>
        <w:jc w:val="center"/>
      </w:pPr>
    </w:p>
    <w:p w:rsidR="000B60E7" w:rsidRPr="0072149E" w:rsidRDefault="000B60E7" w:rsidP="007403DD">
      <w:pPr>
        <w:spacing w:after="0"/>
        <w:jc w:val="center"/>
      </w:pPr>
    </w:p>
    <w:p w:rsidR="00017CD7" w:rsidRPr="0057785F" w:rsidRDefault="0057785F" w:rsidP="007403DD">
      <w:pPr>
        <w:spacing w:after="0"/>
        <w:jc w:val="center"/>
      </w:pPr>
      <w:r w:rsidRPr="0057785F">
        <w:t xml:space="preserve">L. </w:t>
      </w:r>
      <w:r w:rsidR="00017CD7" w:rsidRPr="0057785F">
        <w:t>Patricio Pazmiño Freire</w:t>
      </w:r>
    </w:p>
    <w:p w:rsidR="00017CD7" w:rsidRPr="0057785F" w:rsidRDefault="00017CD7" w:rsidP="007403DD">
      <w:pPr>
        <w:spacing w:after="0"/>
      </w:pPr>
    </w:p>
    <w:p w:rsidR="00017CD7" w:rsidRPr="0057785F" w:rsidRDefault="00017CD7" w:rsidP="007403DD">
      <w:pPr>
        <w:spacing w:after="0"/>
      </w:pPr>
    </w:p>
    <w:p w:rsidR="000B60E7" w:rsidRPr="0057785F" w:rsidRDefault="000B60E7" w:rsidP="007403DD">
      <w:pPr>
        <w:spacing w:after="0"/>
      </w:pPr>
    </w:p>
    <w:p w:rsidR="000B60E7" w:rsidRPr="0057785F" w:rsidRDefault="000B60E7" w:rsidP="007403DD">
      <w:pPr>
        <w:spacing w:after="0"/>
      </w:pPr>
    </w:p>
    <w:p w:rsidR="000B60E7" w:rsidRPr="0057785F" w:rsidRDefault="000B60E7" w:rsidP="007403DD">
      <w:pPr>
        <w:spacing w:after="0"/>
      </w:pPr>
    </w:p>
    <w:p w:rsidR="000B60E7" w:rsidRPr="0057785F" w:rsidRDefault="000B60E7" w:rsidP="007403DD">
      <w:pPr>
        <w:spacing w:after="0"/>
      </w:pPr>
    </w:p>
    <w:p w:rsidR="00017CD7" w:rsidRPr="0057785F" w:rsidRDefault="00017CD7" w:rsidP="007403DD">
      <w:pPr>
        <w:spacing w:after="0"/>
        <w:jc w:val="center"/>
      </w:pPr>
      <w:r w:rsidRPr="0057785F">
        <w:t>Pablo Saavedra Alessandri</w:t>
      </w:r>
    </w:p>
    <w:p w:rsidR="00361AEE" w:rsidRPr="0072149E" w:rsidRDefault="00017CD7" w:rsidP="007403DD">
      <w:pPr>
        <w:spacing w:after="0"/>
        <w:jc w:val="center"/>
        <w:rPr>
          <w:lang w:val="es-ES"/>
        </w:rPr>
      </w:pPr>
      <w:r w:rsidRPr="0072149E">
        <w:rPr>
          <w:lang w:val="es-ES"/>
        </w:rPr>
        <w:t>Secretario</w:t>
      </w:r>
    </w:p>
    <w:p w:rsidR="000B60E7" w:rsidRPr="0072149E" w:rsidRDefault="000B60E7" w:rsidP="007403DD">
      <w:pPr>
        <w:spacing w:after="0"/>
        <w:jc w:val="center"/>
        <w:rPr>
          <w:lang w:val="es-ES"/>
        </w:rPr>
      </w:pPr>
    </w:p>
    <w:p w:rsidR="00017CD7" w:rsidRPr="0072149E" w:rsidRDefault="00017CD7" w:rsidP="007403DD">
      <w:pPr>
        <w:spacing w:after="0"/>
        <w:rPr>
          <w:lang w:val="es-ES"/>
        </w:rPr>
      </w:pPr>
      <w:r w:rsidRPr="0072149E">
        <w:rPr>
          <w:lang w:val="es-ES"/>
        </w:rPr>
        <w:t>Comuníquese y ejecútese,</w:t>
      </w:r>
    </w:p>
    <w:p w:rsidR="00017CD7" w:rsidRPr="0072149E" w:rsidRDefault="00017CD7" w:rsidP="007403DD">
      <w:pPr>
        <w:spacing w:after="0"/>
        <w:rPr>
          <w:lang w:val="es-ES"/>
        </w:rPr>
      </w:pPr>
    </w:p>
    <w:p w:rsidR="00361AEE" w:rsidRPr="0072149E" w:rsidRDefault="00361AEE" w:rsidP="007403DD">
      <w:pPr>
        <w:spacing w:after="0"/>
        <w:ind w:left="5760"/>
        <w:rPr>
          <w:lang w:val="es-ES"/>
        </w:rPr>
      </w:pPr>
    </w:p>
    <w:p w:rsidR="00361AEE" w:rsidRPr="0072149E" w:rsidRDefault="00361AEE" w:rsidP="007403DD">
      <w:pPr>
        <w:spacing w:after="0"/>
        <w:rPr>
          <w:lang w:val="es-ES"/>
        </w:rPr>
      </w:pPr>
    </w:p>
    <w:p w:rsidR="00017CD7" w:rsidRPr="000B60E7" w:rsidRDefault="00017CD7" w:rsidP="007403DD">
      <w:pPr>
        <w:spacing w:after="0"/>
        <w:ind w:left="5760"/>
        <w:rPr>
          <w:lang w:val="es-ES"/>
        </w:rPr>
      </w:pPr>
      <w:r w:rsidRPr="000B60E7">
        <w:rPr>
          <w:lang w:val="es-ES"/>
        </w:rPr>
        <w:t>Eduardo Ferrer Mac-Gregor Poisot</w:t>
      </w:r>
    </w:p>
    <w:p w:rsidR="00017CD7" w:rsidRPr="000B60E7" w:rsidRDefault="00017CD7" w:rsidP="007403DD">
      <w:pPr>
        <w:spacing w:after="0"/>
        <w:jc w:val="center"/>
        <w:rPr>
          <w:lang w:val="es-ES"/>
        </w:rPr>
      </w:pPr>
      <w:r w:rsidRPr="000B60E7">
        <w:rPr>
          <w:lang w:val="es-ES"/>
        </w:rPr>
        <w:t xml:space="preserve">                                                                                         Presidente en ejercicio  </w:t>
      </w:r>
    </w:p>
    <w:p w:rsidR="00017CD7" w:rsidRPr="000B60E7" w:rsidRDefault="00017CD7" w:rsidP="007403DD">
      <w:pPr>
        <w:spacing w:after="0"/>
        <w:ind w:left="5040" w:firstLine="720"/>
        <w:jc w:val="center"/>
        <w:rPr>
          <w:lang w:val="es-ES"/>
        </w:rPr>
      </w:pPr>
    </w:p>
    <w:p w:rsidR="00361AEE" w:rsidRDefault="00361AEE" w:rsidP="007403DD">
      <w:pPr>
        <w:spacing w:after="0"/>
        <w:rPr>
          <w:lang w:val="es-ES"/>
        </w:rPr>
      </w:pPr>
    </w:p>
    <w:p w:rsidR="00361AEE" w:rsidRDefault="00361AEE" w:rsidP="007403DD">
      <w:pPr>
        <w:spacing w:after="0"/>
        <w:rPr>
          <w:lang w:val="es-ES"/>
        </w:rPr>
      </w:pPr>
    </w:p>
    <w:p w:rsidR="00017CD7" w:rsidRDefault="00017CD7" w:rsidP="007403DD">
      <w:pPr>
        <w:spacing w:after="0"/>
        <w:rPr>
          <w:lang w:val="es-ES"/>
        </w:rPr>
      </w:pPr>
      <w:r>
        <w:rPr>
          <w:lang w:val="es-ES"/>
        </w:rPr>
        <w:t>P</w:t>
      </w:r>
      <w:r w:rsidRPr="00370276">
        <w:rPr>
          <w:lang w:val="es-ES"/>
        </w:rPr>
        <w:t>ablo Saavedra Alessandri</w:t>
      </w:r>
    </w:p>
    <w:p w:rsidR="00017CD7" w:rsidRPr="00361AEE" w:rsidRDefault="00017CD7" w:rsidP="007403DD">
      <w:pPr>
        <w:spacing w:after="0"/>
      </w:pPr>
      <w:r w:rsidRPr="00370276">
        <w:rPr>
          <w:lang w:val="es-ES"/>
        </w:rPr>
        <w:tab/>
      </w:r>
      <w:r w:rsidRPr="00355747">
        <w:rPr>
          <w:lang w:val="es-CR"/>
        </w:rPr>
        <w:t>Secretario</w:t>
      </w:r>
    </w:p>
    <w:p w:rsidR="001D4D49" w:rsidRDefault="001D4D49" w:rsidP="007403DD">
      <w:pPr>
        <w:spacing w:after="0"/>
      </w:pPr>
    </w:p>
    <w:sectPr w:rsidR="001D4D49" w:rsidSect="007403DD">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3B1" w:rsidRDefault="00DA03B1" w:rsidP="001F6312">
      <w:pPr>
        <w:spacing w:after="0"/>
      </w:pPr>
      <w:r>
        <w:separator/>
      </w:r>
    </w:p>
  </w:endnote>
  <w:endnote w:type="continuationSeparator" w:id="0">
    <w:p w:rsidR="00DA03B1" w:rsidRDefault="00DA03B1" w:rsidP="001F631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Bold">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2745459"/>
      <w:docPartObj>
        <w:docPartGallery w:val="Page Numbers (Bottom of Page)"/>
        <w:docPartUnique/>
      </w:docPartObj>
    </w:sdtPr>
    <w:sdtEndPr>
      <w:rPr>
        <w:noProof/>
      </w:rPr>
    </w:sdtEndPr>
    <w:sdtContent>
      <w:p w:rsidR="00BE5161" w:rsidRDefault="00CE64A1">
        <w:pPr>
          <w:pStyle w:val="Footer"/>
          <w:jc w:val="center"/>
        </w:pPr>
        <w:r>
          <w:fldChar w:fldCharType="begin"/>
        </w:r>
        <w:r w:rsidR="00BE5161">
          <w:instrText xml:space="preserve"> PAGE   \* MERGEFORMAT </w:instrText>
        </w:r>
        <w:r>
          <w:fldChar w:fldCharType="separate"/>
        </w:r>
        <w:r w:rsidR="00675EC8">
          <w:rPr>
            <w:noProof/>
          </w:rPr>
          <w:t>4</w:t>
        </w:r>
        <w:r>
          <w:rPr>
            <w:noProof/>
          </w:rPr>
          <w:fldChar w:fldCharType="end"/>
        </w:r>
      </w:p>
    </w:sdtContent>
  </w:sdt>
  <w:p w:rsidR="00BE5161" w:rsidRDefault="00BE51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3DD" w:rsidRDefault="007403DD">
    <w:pPr>
      <w:pStyle w:val="Footer"/>
      <w:jc w:val="center"/>
    </w:pPr>
  </w:p>
  <w:p w:rsidR="007403DD" w:rsidRDefault="007403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3B1" w:rsidRDefault="00DA03B1" w:rsidP="001F6312">
      <w:pPr>
        <w:spacing w:after="0"/>
      </w:pPr>
      <w:r>
        <w:separator/>
      </w:r>
    </w:p>
  </w:footnote>
  <w:footnote w:type="continuationSeparator" w:id="0">
    <w:p w:rsidR="00DA03B1" w:rsidRDefault="00DA03B1" w:rsidP="001F6312">
      <w:pPr>
        <w:spacing w:after="0"/>
      </w:pPr>
      <w:r>
        <w:continuationSeparator/>
      </w:r>
    </w:p>
  </w:footnote>
  <w:footnote w:id="1">
    <w:p w:rsidR="00017CD7" w:rsidRPr="000D32C6" w:rsidRDefault="00017CD7" w:rsidP="00017CD7">
      <w:pPr>
        <w:pStyle w:val="FootnoteText"/>
        <w:rPr>
          <w:sz w:val="16"/>
          <w:szCs w:val="16"/>
          <w:lang w:val="es-ES"/>
        </w:rPr>
      </w:pPr>
      <w:r w:rsidRPr="000D32C6">
        <w:rPr>
          <w:rStyle w:val="FootnoteReference"/>
          <w:sz w:val="16"/>
          <w:szCs w:val="16"/>
          <w:lang w:val="es-ES"/>
        </w:rPr>
        <w:sym w:font="Symbol" w:char="F02A"/>
      </w:r>
      <w:r w:rsidR="00BC1A80">
        <w:rPr>
          <w:sz w:val="16"/>
          <w:szCs w:val="16"/>
          <w:lang w:val="es-ES"/>
        </w:rPr>
        <w:t xml:space="preserve"> </w:t>
      </w:r>
      <w:r w:rsidRPr="000D32C6">
        <w:rPr>
          <w:sz w:val="16"/>
          <w:szCs w:val="16"/>
          <w:lang w:val="es-ES"/>
        </w:rPr>
        <w:t>El Presidente de la Corte,</w:t>
      </w:r>
      <w:r w:rsidRPr="000D32C6">
        <w:rPr>
          <w:rFonts w:cs="Times New Roman"/>
          <w:sz w:val="16"/>
          <w:szCs w:val="16"/>
          <w:lang w:val="es-ES"/>
        </w:rPr>
        <w:t xml:space="preserve"> </w:t>
      </w:r>
      <w:r w:rsidRPr="000D32C6">
        <w:rPr>
          <w:sz w:val="16"/>
          <w:szCs w:val="16"/>
          <w:lang w:val="es-ES"/>
        </w:rPr>
        <w:t>Juez Roberto Caldas, de nacionalidad brasileña, no participó en el conocimiento y deliberación de la presente Resolución, de conformidad con lo dispuesto en el artículo 19.1 del Reglamento de la Corte. Por tal motivo, de conformidad con los artículos 4.2 y 5 del Reglamento de este Tribunal, el Juez Eduardo Ferrer</w:t>
      </w:r>
      <w:r w:rsidR="00BA7CC6">
        <w:rPr>
          <w:sz w:val="16"/>
          <w:szCs w:val="16"/>
          <w:lang w:val="es-ES"/>
        </w:rPr>
        <w:t xml:space="preserve"> </w:t>
      </w:r>
      <w:r w:rsidRPr="000D32C6">
        <w:rPr>
          <w:sz w:val="16"/>
          <w:szCs w:val="16"/>
          <w:lang w:val="es-ES"/>
        </w:rPr>
        <w:t>Mac</w:t>
      </w:r>
      <w:r w:rsidR="00BA7CC6">
        <w:rPr>
          <w:sz w:val="16"/>
          <w:szCs w:val="16"/>
          <w:lang w:val="es-ES"/>
        </w:rPr>
        <w:t>-</w:t>
      </w:r>
      <w:r w:rsidRPr="000D32C6">
        <w:rPr>
          <w:sz w:val="16"/>
          <w:szCs w:val="16"/>
          <w:lang w:val="es-ES"/>
        </w:rPr>
        <w:t>Gregor, Vicepresidente de la Corte, asumió la Presidencia en ejercicio respecto del presente caso.</w:t>
      </w:r>
    </w:p>
  </w:footnote>
  <w:footnote w:id="2">
    <w:p w:rsidR="001F6312" w:rsidRPr="00F850D2" w:rsidRDefault="001F6312" w:rsidP="001F6312">
      <w:pPr>
        <w:pStyle w:val="FootnoteText"/>
        <w:rPr>
          <w:lang w:val="es-ES"/>
        </w:rPr>
      </w:pPr>
      <w:r w:rsidRPr="000D32C6">
        <w:rPr>
          <w:rStyle w:val="FootnoteReference"/>
          <w:sz w:val="16"/>
          <w:szCs w:val="16"/>
        </w:rPr>
        <w:footnoteRef/>
      </w:r>
      <w:r w:rsidRPr="000D32C6">
        <w:rPr>
          <w:sz w:val="16"/>
          <w:szCs w:val="16"/>
        </w:rPr>
        <w:t xml:space="preserve"> </w:t>
      </w:r>
      <w:r w:rsidRPr="000D32C6">
        <w:rPr>
          <w:sz w:val="16"/>
          <w:szCs w:val="16"/>
          <w:lang w:val="es-ES"/>
        </w:rPr>
        <w:t>En una comunicación posterior se notificó a la Comisión y a las partes que la audiencia pública se realizaría los días 12 y 13 de octubre de 2016, en Quito, Ecuador.</w:t>
      </w:r>
    </w:p>
  </w:footnote>
  <w:footnote w:id="3">
    <w:p w:rsidR="00A336C6" w:rsidRPr="00E96BEF" w:rsidRDefault="00A336C6">
      <w:pPr>
        <w:pStyle w:val="FootnoteText"/>
        <w:rPr>
          <w:sz w:val="16"/>
          <w:szCs w:val="16"/>
          <w:lang w:val="es-ES"/>
        </w:rPr>
      </w:pPr>
      <w:r w:rsidRPr="00E96BEF">
        <w:rPr>
          <w:rStyle w:val="FootnoteReference"/>
          <w:sz w:val="16"/>
          <w:szCs w:val="16"/>
        </w:rPr>
        <w:footnoteRef/>
      </w:r>
      <w:r w:rsidRPr="00E96BEF">
        <w:rPr>
          <w:sz w:val="16"/>
          <w:szCs w:val="16"/>
        </w:rPr>
        <w:t xml:space="preserve"> </w:t>
      </w:r>
      <w:r w:rsidRPr="00E96BEF">
        <w:rPr>
          <w:i/>
          <w:sz w:val="16"/>
          <w:szCs w:val="16"/>
        </w:rPr>
        <w:t xml:space="preserve">Caso Genoveva y otros (Favela Nova Brasilia) Vs. Brasil. </w:t>
      </w:r>
      <w:r w:rsidRPr="00E96BEF">
        <w:rPr>
          <w:sz w:val="16"/>
          <w:szCs w:val="16"/>
          <w:lang w:val="es-ES"/>
        </w:rPr>
        <w:t xml:space="preserve">Resolución del Presidente de la Corte Interamericana de Derechos Humanos de 4 de agosto de 2016, Considerando 54.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EFE" w:rsidRDefault="00296EFE">
    <w:pPr>
      <w:pStyle w:val="Header"/>
      <w:jc w:val="center"/>
    </w:pPr>
  </w:p>
  <w:p w:rsidR="00296EFE" w:rsidRDefault="00296E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25513"/>
    <w:multiLevelType w:val="hybridMultilevel"/>
    <w:tmpl w:val="3C30622E"/>
    <w:lvl w:ilvl="0" w:tplc="D118455C">
      <w:start w:val="1"/>
      <w:numFmt w:val="decimal"/>
      <w:lvlText w:val="%1."/>
      <w:lvlJc w:val="left"/>
      <w:pPr>
        <w:ind w:left="1065" w:hanging="705"/>
      </w:pPr>
      <w:rPr>
        <w:rFonts w:cs="Verdana"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542C5A46"/>
    <w:multiLevelType w:val="hybridMultilevel"/>
    <w:tmpl w:val="C088D672"/>
    <w:lvl w:ilvl="0" w:tplc="647C7CB4">
      <w:start w:val="1"/>
      <w:numFmt w:val="decimal"/>
      <w:lvlText w:val="%1."/>
      <w:lvlJc w:val="left"/>
      <w:pPr>
        <w:ind w:left="644" w:hanging="360"/>
      </w:pPr>
      <w:rPr>
        <w:rFonts w:ascii="Verdana" w:hAnsi="Verdana" w:hint="default"/>
        <w:sz w:val="20"/>
        <w:szCs w:val="20"/>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2">
    <w:nsid w:val="615D6ECD"/>
    <w:multiLevelType w:val="hybridMultilevel"/>
    <w:tmpl w:val="ED9C2C40"/>
    <w:lvl w:ilvl="0" w:tplc="ED0459E8">
      <w:start w:val="1"/>
      <w:numFmt w:val="lowerLetter"/>
      <w:lvlText w:val="%1)"/>
      <w:lvlJc w:val="left"/>
      <w:pPr>
        <w:ind w:left="1080" w:hanging="360"/>
      </w:pPr>
      <w:rPr>
        <w:rFonts w:ascii="Verdana" w:hAnsi="Verdana" w:cs="Tahoma" w:hint="default"/>
        <w:sz w:val="20"/>
        <w:szCs w:val="20"/>
      </w:rPr>
    </w:lvl>
    <w:lvl w:ilvl="1" w:tplc="323EEAAC">
      <w:start w:val="1"/>
      <w:numFmt w:val="decimal"/>
      <w:pStyle w:val="Listavistosa-nfasis11"/>
      <w:lvlText w:val="%2."/>
      <w:lvlJc w:val="left"/>
      <w:pPr>
        <w:tabs>
          <w:tab w:val="num" w:pos="0"/>
        </w:tabs>
      </w:pPr>
      <w:rPr>
        <w:rFonts w:hint="default"/>
        <w:b w:val="0"/>
        <w:bCs w:val="0"/>
        <w:sz w:val="20"/>
        <w:szCs w:val="20"/>
      </w:rPr>
    </w:lvl>
    <w:lvl w:ilvl="2" w:tplc="B96C1A40">
      <w:start w:val="1"/>
      <w:numFmt w:val="lowerLetter"/>
      <w:lvlText w:val="%3)"/>
      <w:lvlJc w:val="left"/>
      <w:pPr>
        <w:ind w:left="2700" w:hanging="360"/>
      </w:pPr>
      <w:rPr>
        <w:rFonts w:ascii="Verdana" w:hAnsi="Verdana" w:cs="Tahoma" w:hint="default"/>
        <w:b w:val="0"/>
        <w:bCs w:val="0"/>
        <w:sz w:val="20"/>
        <w:szCs w:val="20"/>
      </w:rPr>
    </w:lvl>
    <w:lvl w:ilvl="3" w:tplc="2C0A000F">
      <w:start w:val="1"/>
      <w:numFmt w:val="decimal"/>
      <w:lvlText w:val="%4."/>
      <w:lvlJc w:val="left"/>
      <w:pPr>
        <w:ind w:left="3240" w:hanging="360"/>
      </w:p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3">
    <w:nsid w:val="62C97D24"/>
    <w:multiLevelType w:val="hybridMultilevel"/>
    <w:tmpl w:val="C0FAAC86"/>
    <w:lvl w:ilvl="0" w:tplc="ED0459E8">
      <w:start w:val="1"/>
      <w:numFmt w:val="decimal"/>
      <w:lvlText w:val="%1."/>
      <w:lvlJc w:val="left"/>
      <w:pPr>
        <w:ind w:left="1080" w:hanging="720"/>
      </w:pPr>
      <w:rPr>
        <w:b w:val="0"/>
      </w:rPr>
    </w:lvl>
    <w:lvl w:ilvl="1" w:tplc="323EEAAC">
      <w:start w:val="1"/>
      <w:numFmt w:val="lowerRoman"/>
      <w:lvlText w:val="%2."/>
      <w:lvlJc w:val="left"/>
      <w:pPr>
        <w:ind w:left="1800" w:hanging="720"/>
      </w:pPr>
    </w:lvl>
    <w:lvl w:ilvl="2" w:tplc="B96C1A40">
      <w:start w:val="1"/>
      <w:numFmt w:val="decimal"/>
      <w:lvlText w:val="%3."/>
      <w:lvlJc w:val="left"/>
      <w:pPr>
        <w:tabs>
          <w:tab w:val="num" w:pos="2160"/>
        </w:tabs>
        <w:ind w:left="2160" w:hanging="360"/>
      </w:pPr>
    </w:lvl>
    <w:lvl w:ilvl="3" w:tplc="2C0A000F">
      <w:start w:val="1"/>
      <w:numFmt w:val="decimal"/>
      <w:lvlText w:val="%4."/>
      <w:lvlJc w:val="left"/>
      <w:pPr>
        <w:tabs>
          <w:tab w:val="num" w:pos="2880"/>
        </w:tabs>
        <w:ind w:left="2880" w:hanging="360"/>
      </w:pPr>
    </w:lvl>
    <w:lvl w:ilvl="4" w:tplc="2C0A0019">
      <w:start w:val="1"/>
      <w:numFmt w:val="decimal"/>
      <w:lvlText w:val="%5."/>
      <w:lvlJc w:val="left"/>
      <w:pPr>
        <w:tabs>
          <w:tab w:val="num" w:pos="3600"/>
        </w:tabs>
        <w:ind w:left="3600" w:hanging="360"/>
      </w:pPr>
    </w:lvl>
    <w:lvl w:ilvl="5" w:tplc="2C0A001B">
      <w:start w:val="1"/>
      <w:numFmt w:val="decimal"/>
      <w:lvlText w:val="%6."/>
      <w:lvlJc w:val="left"/>
      <w:pPr>
        <w:tabs>
          <w:tab w:val="num" w:pos="4320"/>
        </w:tabs>
        <w:ind w:left="4320" w:hanging="360"/>
      </w:pPr>
    </w:lvl>
    <w:lvl w:ilvl="6" w:tplc="2C0A000F">
      <w:start w:val="1"/>
      <w:numFmt w:val="decimal"/>
      <w:lvlText w:val="%7."/>
      <w:lvlJc w:val="left"/>
      <w:pPr>
        <w:tabs>
          <w:tab w:val="num" w:pos="5040"/>
        </w:tabs>
        <w:ind w:left="5040" w:hanging="360"/>
      </w:pPr>
    </w:lvl>
    <w:lvl w:ilvl="7" w:tplc="2C0A0019">
      <w:start w:val="1"/>
      <w:numFmt w:val="decimal"/>
      <w:lvlText w:val="%8."/>
      <w:lvlJc w:val="left"/>
      <w:pPr>
        <w:tabs>
          <w:tab w:val="num" w:pos="5760"/>
        </w:tabs>
        <w:ind w:left="5760" w:hanging="360"/>
      </w:pPr>
    </w:lvl>
    <w:lvl w:ilvl="8" w:tplc="2C0A001B">
      <w:start w:val="1"/>
      <w:numFmt w:val="decimal"/>
      <w:lvlText w:val="%9."/>
      <w:lvlJc w:val="left"/>
      <w:pPr>
        <w:tabs>
          <w:tab w:val="num" w:pos="6480"/>
        </w:tabs>
        <w:ind w:left="6480" w:hanging="360"/>
      </w:pPr>
    </w:lvl>
  </w:abstractNum>
  <w:abstractNum w:abstractNumId="4">
    <w:nsid w:val="677F4948"/>
    <w:multiLevelType w:val="hybridMultilevel"/>
    <w:tmpl w:val="62BE8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154407"/>
    <w:multiLevelType w:val="hybridMultilevel"/>
    <w:tmpl w:val="8F16D208"/>
    <w:lvl w:ilvl="0" w:tplc="FD88E018">
      <w:start w:val="1"/>
      <w:numFmt w:val="decimal"/>
      <w:lvlText w:val="%1."/>
      <w:lvlJc w:val="left"/>
      <w:pPr>
        <w:tabs>
          <w:tab w:val="num" w:pos="680"/>
        </w:tabs>
      </w:pPr>
      <w:rPr>
        <w:rFonts w:hint="default"/>
        <w:b w:val="0"/>
        <w:bCs w:val="0"/>
        <w:i w:val="0"/>
        <w:iCs w:val="0"/>
        <w:strike w:val="0"/>
        <w:sz w:val="20"/>
        <w:szCs w:val="20"/>
        <w:lang w:val="es-CR"/>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F90477"/>
    <w:rsid w:val="00017CD7"/>
    <w:rsid w:val="00096837"/>
    <w:rsid w:val="00096B97"/>
    <w:rsid w:val="000B60E7"/>
    <w:rsid w:val="000D32C6"/>
    <w:rsid w:val="00102E1F"/>
    <w:rsid w:val="00113CF3"/>
    <w:rsid w:val="00125B7E"/>
    <w:rsid w:val="00142903"/>
    <w:rsid w:val="00155C63"/>
    <w:rsid w:val="00163898"/>
    <w:rsid w:val="001663FC"/>
    <w:rsid w:val="001711AE"/>
    <w:rsid w:val="0018203B"/>
    <w:rsid w:val="001D4D49"/>
    <w:rsid w:val="001F6312"/>
    <w:rsid w:val="002127CA"/>
    <w:rsid w:val="002260FB"/>
    <w:rsid w:val="00252871"/>
    <w:rsid w:val="00296EFE"/>
    <w:rsid w:val="002A1C73"/>
    <w:rsid w:val="002C3BE9"/>
    <w:rsid w:val="00326186"/>
    <w:rsid w:val="00326C06"/>
    <w:rsid w:val="00333F33"/>
    <w:rsid w:val="00361AEE"/>
    <w:rsid w:val="003D3798"/>
    <w:rsid w:val="003E5534"/>
    <w:rsid w:val="004564F8"/>
    <w:rsid w:val="00482BB9"/>
    <w:rsid w:val="00496337"/>
    <w:rsid w:val="005661FE"/>
    <w:rsid w:val="0057785F"/>
    <w:rsid w:val="005F4381"/>
    <w:rsid w:val="00675EC8"/>
    <w:rsid w:val="00693822"/>
    <w:rsid w:val="00696224"/>
    <w:rsid w:val="006E3E92"/>
    <w:rsid w:val="0072149E"/>
    <w:rsid w:val="007403DD"/>
    <w:rsid w:val="00741A91"/>
    <w:rsid w:val="00747353"/>
    <w:rsid w:val="00775E98"/>
    <w:rsid w:val="007D2FC8"/>
    <w:rsid w:val="007E4790"/>
    <w:rsid w:val="008039C7"/>
    <w:rsid w:val="00830324"/>
    <w:rsid w:val="008432B1"/>
    <w:rsid w:val="008A2591"/>
    <w:rsid w:val="008C042F"/>
    <w:rsid w:val="008D01C2"/>
    <w:rsid w:val="00906308"/>
    <w:rsid w:val="0090667A"/>
    <w:rsid w:val="00920D4C"/>
    <w:rsid w:val="0093539C"/>
    <w:rsid w:val="009D1DF5"/>
    <w:rsid w:val="009D1F63"/>
    <w:rsid w:val="00A336C6"/>
    <w:rsid w:val="00AF36B7"/>
    <w:rsid w:val="00B03051"/>
    <w:rsid w:val="00BA2B21"/>
    <w:rsid w:val="00BA7CC6"/>
    <w:rsid w:val="00BC1A80"/>
    <w:rsid w:val="00BE5161"/>
    <w:rsid w:val="00C42C70"/>
    <w:rsid w:val="00CE64A1"/>
    <w:rsid w:val="00CF74B5"/>
    <w:rsid w:val="00D25499"/>
    <w:rsid w:val="00D3370F"/>
    <w:rsid w:val="00D40513"/>
    <w:rsid w:val="00D92738"/>
    <w:rsid w:val="00D94877"/>
    <w:rsid w:val="00DA03B1"/>
    <w:rsid w:val="00DB6221"/>
    <w:rsid w:val="00DE1D08"/>
    <w:rsid w:val="00E12E6A"/>
    <w:rsid w:val="00E14A9A"/>
    <w:rsid w:val="00E17BE7"/>
    <w:rsid w:val="00E24F24"/>
    <w:rsid w:val="00E84793"/>
    <w:rsid w:val="00E96BEF"/>
    <w:rsid w:val="00EC6F70"/>
    <w:rsid w:val="00F262C0"/>
    <w:rsid w:val="00F61A3E"/>
    <w:rsid w:val="00F70B30"/>
    <w:rsid w:val="00F90477"/>
    <w:rsid w:val="00FA4E30"/>
    <w:rsid w:val="00FF17C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77"/>
    <w:pPr>
      <w:spacing w:after="120" w:line="240" w:lineRule="auto"/>
      <w:jc w:val="both"/>
    </w:pPr>
    <w:rPr>
      <w:rFonts w:ascii="Verdana" w:eastAsia="Calibri" w:hAnsi="Verdana" w:cs="Times"/>
      <w:sz w:val="20"/>
      <w:szCs w:val="24"/>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uiPriority w:val="99"/>
    <w:qFormat/>
    <w:rsid w:val="00F90477"/>
    <w:rPr>
      <w:vertAlign w:val="superscript"/>
    </w:rPr>
  </w:style>
  <w:style w:type="paragraph" w:customStyle="1" w:styleId="Listavistosa-nfasis11">
    <w:name w:val="Lista vistosa - Énfasis 11"/>
    <w:basedOn w:val="Normal"/>
    <w:uiPriority w:val="99"/>
    <w:qFormat/>
    <w:rsid w:val="00F90477"/>
    <w:pPr>
      <w:numPr>
        <w:ilvl w:val="1"/>
        <w:numId w:val="2"/>
      </w:numPr>
      <w:contextualSpacing/>
    </w:pPr>
  </w:style>
  <w:style w:type="paragraph" w:styleId="ListParagraph">
    <w:name w:val="List Paragraph"/>
    <w:basedOn w:val="Normal"/>
    <w:uiPriority w:val="99"/>
    <w:qFormat/>
    <w:rsid w:val="00F90477"/>
    <w:pPr>
      <w:ind w:left="708"/>
    </w:pPr>
  </w:style>
  <w:style w:type="paragraph" w:styleId="FootnoteText">
    <w:name w:val="footnote text"/>
    <w:aliases w:val="FA Fu,Footnote Text Char Char Char Char Char,Footnote Text Char Char Char Char,Footnote reference,Footnote Text Char Char Char,Texto nota pie Car,FA Fu Car,FA Fu Car Car,Footnote Text Cha,FA Fußnotentext,FA Fuﬂnotentext,FA Fu?notentext,Ca"/>
    <w:basedOn w:val="Normal"/>
    <w:link w:val="FootnoteTextChar"/>
    <w:uiPriority w:val="99"/>
    <w:unhideWhenUsed/>
    <w:qFormat/>
    <w:rsid w:val="001F6312"/>
    <w:pPr>
      <w:spacing w:after="0"/>
    </w:pPr>
    <w:rPr>
      <w:szCs w:val="20"/>
    </w:rPr>
  </w:style>
  <w:style w:type="character" w:customStyle="1" w:styleId="FootnoteTextChar">
    <w:name w:val="Footnote Text Char"/>
    <w:aliases w:val="FA Fu Char1,Footnote Text Char Char Char Char Char Char1,Footnote Text Char Char Char Char Char2,Footnote reference Char1,Footnote Text Char Char Char Char2,Texto nota pie Car Char1,FA Fu Car Char1,FA Fu Car Car Char1,Ca Char"/>
    <w:basedOn w:val="DefaultParagraphFont"/>
    <w:link w:val="FootnoteText"/>
    <w:uiPriority w:val="99"/>
    <w:semiHidden/>
    <w:rsid w:val="001F6312"/>
    <w:rPr>
      <w:rFonts w:ascii="Verdana" w:eastAsia="Calibri" w:hAnsi="Verdana" w:cs="Times"/>
      <w:sz w:val="20"/>
      <w:szCs w:val="20"/>
      <w:lang w:val="es-ES_tradnl" w:eastAsia="es-ES"/>
    </w:rPr>
  </w:style>
  <w:style w:type="character" w:customStyle="1" w:styleId="FootnoteTextChar1">
    <w:name w:val="Footnote Text Char1"/>
    <w:aliases w:val="FA Fu Char,Footnote Text Char Char Char Char Char Char,Footnote Text Char Char Char Char Char1,Footnote reference Char,Footnote Text Char Char Char Char1,Texto nota pie Car Char,FA Fu Car Char,FA Fu Car Car Char,FA Fußnotentext Char"/>
    <w:locked/>
    <w:rsid w:val="00017CD7"/>
    <w:rPr>
      <w:rFonts w:ascii="Verdana" w:eastAsia="Calibri" w:hAnsi="Verdana" w:cs="Verdana"/>
      <w:sz w:val="16"/>
      <w:szCs w:val="16"/>
      <w:lang w:val="es-ES_tradnl" w:eastAsia="es-ES"/>
    </w:rPr>
  </w:style>
  <w:style w:type="paragraph" w:styleId="Header">
    <w:name w:val="header"/>
    <w:basedOn w:val="Normal"/>
    <w:link w:val="HeaderChar"/>
    <w:uiPriority w:val="99"/>
    <w:unhideWhenUsed/>
    <w:rsid w:val="00296EFE"/>
    <w:pPr>
      <w:tabs>
        <w:tab w:val="center" w:pos="4680"/>
        <w:tab w:val="right" w:pos="9360"/>
      </w:tabs>
      <w:spacing w:after="0"/>
    </w:pPr>
  </w:style>
  <w:style w:type="character" w:customStyle="1" w:styleId="HeaderChar">
    <w:name w:val="Header Char"/>
    <w:basedOn w:val="DefaultParagraphFont"/>
    <w:link w:val="Header"/>
    <w:uiPriority w:val="99"/>
    <w:rsid w:val="00296EFE"/>
    <w:rPr>
      <w:rFonts w:ascii="Verdana" w:eastAsia="Calibri" w:hAnsi="Verdana" w:cs="Times"/>
      <w:sz w:val="20"/>
      <w:szCs w:val="24"/>
      <w:lang w:val="es-ES_tradnl" w:eastAsia="es-ES"/>
    </w:rPr>
  </w:style>
  <w:style w:type="paragraph" w:styleId="Footer">
    <w:name w:val="footer"/>
    <w:basedOn w:val="Normal"/>
    <w:link w:val="FooterChar"/>
    <w:uiPriority w:val="99"/>
    <w:unhideWhenUsed/>
    <w:rsid w:val="00296EFE"/>
    <w:pPr>
      <w:tabs>
        <w:tab w:val="center" w:pos="4680"/>
        <w:tab w:val="right" w:pos="9360"/>
      </w:tabs>
      <w:spacing w:after="0"/>
    </w:pPr>
  </w:style>
  <w:style w:type="character" w:customStyle="1" w:styleId="FooterChar">
    <w:name w:val="Footer Char"/>
    <w:basedOn w:val="DefaultParagraphFont"/>
    <w:link w:val="Footer"/>
    <w:uiPriority w:val="99"/>
    <w:rsid w:val="00296EFE"/>
    <w:rPr>
      <w:rFonts w:ascii="Verdana" w:eastAsia="Calibri" w:hAnsi="Verdana" w:cs="Times"/>
      <w:sz w:val="20"/>
      <w:szCs w:val="24"/>
      <w:lang w:val="es-ES_tradnl" w:eastAsia="es-ES"/>
    </w:rPr>
  </w:style>
  <w:style w:type="paragraph" w:styleId="BalloonText">
    <w:name w:val="Balloon Text"/>
    <w:basedOn w:val="Normal"/>
    <w:link w:val="BalloonTextChar"/>
    <w:uiPriority w:val="99"/>
    <w:semiHidden/>
    <w:unhideWhenUsed/>
    <w:rsid w:val="00EC6F7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F70"/>
    <w:rPr>
      <w:rFonts w:ascii="Tahoma" w:eastAsia="Calibri" w:hAnsi="Tahoma" w:cs="Tahoma"/>
      <w:sz w:val="16"/>
      <w:szCs w:val="1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77"/>
    <w:pPr>
      <w:spacing w:after="120" w:line="240" w:lineRule="auto"/>
      <w:jc w:val="both"/>
    </w:pPr>
    <w:rPr>
      <w:rFonts w:ascii="Verdana" w:eastAsia="Calibri" w:hAnsi="Verdana" w:cs="Times"/>
      <w:sz w:val="20"/>
      <w:szCs w:val="24"/>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uiPriority w:val="99"/>
    <w:qFormat/>
    <w:rsid w:val="00F90477"/>
    <w:rPr>
      <w:vertAlign w:val="superscript"/>
    </w:rPr>
  </w:style>
  <w:style w:type="paragraph" w:customStyle="1" w:styleId="Listavistosa-nfasis11">
    <w:name w:val="Lista vistosa - Énfasis 11"/>
    <w:basedOn w:val="Normal"/>
    <w:uiPriority w:val="99"/>
    <w:qFormat/>
    <w:rsid w:val="00F90477"/>
    <w:pPr>
      <w:numPr>
        <w:ilvl w:val="1"/>
        <w:numId w:val="2"/>
      </w:numPr>
      <w:contextualSpacing/>
    </w:pPr>
  </w:style>
  <w:style w:type="paragraph" w:styleId="ListParagraph">
    <w:name w:val="List Paragraph"/>
    <w:basedOn w:val="Normal"/>
    <w:uiPriority w:val="99"/>
    <w:qFormat/>
    <w:rsid w:val="00F90477"/>
    <w:pPr>
      <w:ind w:left="708"/>
    </w:pPr>
  </w:style>
  <w:style w:type="paragraph" w:styleId="FootnoteText">
    <w:name w:val="footnote text"/>
    <w:aliases w:val="FA Fu,Footnote Text Char Char Char Char Char,Footnote Text Char Char Char Char,Footnote reference,Footnote Text Char Char Char,Texto nota pie Car,FA Fu Car,FA Fu Car Car,Footnote Text Cha,FA Fußnotentext,FA Fuﬂnotentext,FA Fu?notentext,Ca"/>
    <w:basedOn w:val="Normal"/>
    <w:link w:val="FootnoteTextChar"/>
    <w:uiPriority w:val="99"/>
    <w:unhideWhenUsed/>
    <w:qFormat/>
    <w:rsid w:val="001F6312"/>
    <w:pPr>
      <w:spacing w:after="0"/>
    </w:pPr>
    <w:rPr>
      <w:szCs w:val="20"/>
    </w:rPr>
  </w:style>
  <w:style w:type="character" w:customStyle="1" w:styleId="FootnoteTextChar">
    <w:name w:val="Footnote Text Char"/>
    <w:aliases w:val="FA Fu Char1,Footnote Text Char Char Char Char Char Char1,Footnote Text Char Char Char Char Char2,Footnote reference Char1,Footnote Text Char Char Char Char2,Texto nota pie Car Char1,FA Fu Car Char1,FA Fu Car Car Char1,Ca Char"/>
    <w:basedOn w:val="DefaultParagraphFont"/>
    <w:link w:val="FootnoteText"/>
    <w:uiPriority w:val="99"/>
    <w:semiHidden/>
    <w:rsid w:val="001F6312"/>
    <w:rPr>
      <w:rFonts w:ascii="Verdana" w:eastAsia="Calibri" w:hAnsi="Verdana" w:cs="Times"/>
      <w:sz w:val="20"/>
      <w:szCs w:val="20"/>
      <w:lang w:val="es-ES_tradnl" w:eastAsia="es-ES"/>
    </w:rPr>
  </w:style>
  <w:style w:type="character" w:customStyle="1" w:styleId="FootnoteTextChar1">
    <w:name w:val="Footnote Text Char1"/>
    <w:aliases w:val="FA Fu Char,Footnote Text Char Char Char Char Char Char,Footnote Text Char Char Char Char Char1,Footnote reference Char,Footnote Text Char Char Char Char1,Texto nota pie Car Char,FA Fu Car Char,FA Fu Car Car Char,FA Fußnotentext Char"/>
    <w:locked/>
    <w:rsid w:val="00017CD7"/>
    <w:rPr>
      <w:rFonts w:ascii="Verdana" w:eastAsia="Calibri" w:hAnsi="Verdana" w:cs="Verdana"/>
      <w:sz w:val="16"/>
      <w:szCs w:val="16"/>
      <w:lang w:val="es-ES_tradnl" w:eastAsia="es-ES"/>
    </w:rPr>
  </w:style>
  <w:style w:type="paragraph" w:styleId="Header">
    <w:name w:val="header"/>
    <w:basedOn w:val="Normal"/>
    <w:link w:val="HeaderChar"/>
    <w:uiPriority w:val="99"/>
    <w:unhideWhenUsed/>
    <w:rsid w:val="00296EFE"/>
    <w:pPr>
      <w:tabs>
        <w:tab w:val="center" w:pos="4680"/>
        <w:tab w:val="right" w:pos="9360"/>
      </w:tabs>
      <w:spacing w:after="0"/>
    </w:pPr>
  </w:style>
  <w:style w:type="character" w:customStyle="1" w:styleId="HeaderChar">
    <w:name w:val="Header Char"/>
    <w:basedOn w:val="DefaultParagraphFont"/>
    <w:link w:val="Header"/>
    <w:uiPriority w:val="99"/>
    <w:rsid w:val="00296EFE"/>
    <w:rPr>
      <w:rFonts w:ascii="Verdana" w:eastAsia="Calibri" w:hAnsi="Verdana" w:cs="Times"/>
      <w:sz w:val="20"/>
      <w:szCs w:val="24"/>
      <w:lang w:val="es-ES_tradnl" w:eastAsia="es-ES"/>
    </w:rPr>
  </w:style>
  <w:style w:type="paragraph" w:styleId="Footer">
    <w:name w:val="footer"/>
    <w:basedOn w:val="Normal"/>
    <w:link w:val="FooterChar"/>
    <w:uiPriority w:val="99"/>
    <w:unhideWhenUsed/>
    <w:rsid w:val="00296EFE"/>
    <w:pPr>
      <w:tabs>
        <w:tab w:val="center" w:pos="4680"/>
        <w:tab w:val="right" w:pos="9360"/>
      </w:tabs>
      <w:spacing w:after="0"/>
    </w:pPr>
  </w:style>
  <w:style w:type="character" w:customStyle="1" w:styleId="FooterChar">
    <w:name w:val="Footer Char"/>
    <w:basedOn w:val="DefaultParagraphFont"/>
    <w:link w:val="Footer"/>
    <w:uiPriority w:val="99"/>
    <w:rsid w:val="00296EFE"/>
    <w:rPr>
      <w:rFonts w:ascii="Verdana" w:eastAsia="Calibri" w:hAnsi="Verdana" w:cs="Times"/>
      <w:sz w:val="20"/>
      <w:szCs w:val="24"/>
      <w:lang w:val="es-ES_tradnl" w:eastAsia="es-ES"/>
    </w:rPr>
  </w:style>
  <w:style w:type="paragraph" w:styleId="BalloonText">
    <w:name w:val="Balloon Text"/>
    <w:basedOn w:val="Normal"/>
    <w:link w:val="BalloonTextChar"/>
    <w:uiPriority w:val="99"/>
    <w:semiHidden/>
    <w:unhideWhenUsed/>
    <w:rsid w:val="00EC6F7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F70"/>
    <w:rPr>
      <w:rFonts w:ascii="Tahoma" w:eastAsia="Calibri" w:hAnsi="Tahoma" w:cs="Tahoma"/>
      <w:sz w:val="16"/>
      <w:szCs w:val="16"/>
      <w:lang w:val="es-ES_tradnl"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72285-C7D4-4EEF-A069-9BB6764D4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1324</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CorteIDH</dc:creator>
  <cp:lastModifiedBy>Francella Hernandez</cp:lastModifiedBy>
  <cp:revision>2</cp:revision>
  <dcterms:created xsi:type="dcterms:W3CDTF">2016-12-08T15:22:00Z</dcterms:created>
  <dcterms:modified xsi:type="dcterms:W3CDTF">2016-12-08T15:22:00Z</dcterms:modified>
</cp:coreProperties>
</file>