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27" w:rsidRDefault="00EF44EB" w:rsidP="00CA2F39">
      <w:pPr>
        <w:jc w:val="center"/>
        <w:rPr>
          <w:b/>
          <w:szCs w:val="20"/>
          <w:lang w:val="es-CR"/>
        </w:rPr>
      </w:pPr>
      <w:bookmarkStart w:id="0" w:name="_GoBack"/>
      <w:bookmarkEnd w:id="0"/>
      <w:r>
        <w:rPr>
          <w:b/>
          <w:szCs w:val="20"/>
          <w:lang w:val="es-CR"/>
        </w:rPr>
        <w:t xml:space="preserve">    </w:t>
      </w:r>
    </w:p>
    <w:p w:rsidR="00E35D27" w:rsidRDefault="00E35D27" w:rsidP="00CA2F39">
      <w:pPr>
        <w:jc w:val="center"/>
        <w:rPr>
          <w:b/>
          <w:szCs w:val="20"/>
          <w:lang w:val="es-CR"/>
        </w:rPr>
      </w:pPr>
    </w:p>
    <w:p w:rsidR="00E35D27" w:rsidRDefault="00E35D27" w:rsidP="00CA2F39">
      <w:pPr>
        <w:jc w:val="center"/>
        <w:rPr>
          <w:b/>
          <w:szCs w:val="20"/>
          <w:lang w:val="es-CR"/>
        </w:rPr>
      </w:pPr>
    </w:p>
    <w:p w:rsidR="00E35D27" w:rsidRDefault="00E35D27" w:rsidP="00CA2F39">
      <w:pPr>
        <w:jc w:val="center"/>
        <w:rPr>
          <w:b/>
          <w:szCs w:val="20"/>
          <w:lang w:val="es-CR"/>
        </w:rPr>
      </w:pPr>
    </w:p>
    <w:p w:rsidR="00E35D27" w:rsidRDefault="00E35D27" w:rsidP="00CA2F39">
      <w:pPr>
        <w:jc w:val="center"/>
        <w:rPr>
          <w:b/>
          <w:szCs w:val="20"/>
          <w:lang w:val="es-CR"/>
        </w:rPr>
      </w:pPr>
    </w:p>
    <w:p w:rsidR="00CA2F39" w:rsidRDefault="00CA2F39" w:rsidP="00CA2F39">
      <w:pPr>
        <w:jc w:val="center"/>
        <w:rPr>
          <w:b/>
          <w:szCs w:val="20"/>
          <w:lang w:val="es-CR"/>
        </w:rPr>
      </w:pPr>
      <w:r w:rsidRPr="00F4757D">
        <w:rPr>
          <w:b/>
          <w:szCs w:val="20"/>
          <w:lang w:val="es-CR"/>
        </w:rPr>
        <w:t xml:space="preserve">RESOLUCIÓN DEL PRESIDENTE DE LA </w:t>
      </w:r>
      <w:r>
        <w:rPr>
          <w:b/>
          <w:szCs w:val="20"/>
          <w:lang w:val="es-CR"/>
        </w:rPr>
        <w:br/>
      </w:r>
      <w:r w:rsidRPr="00F4757D">
        <w:rPr>
          <w:b/>
          <w:szCs w:val="20"/>
          <w:lang w:val="es-CR"/>
        </w:rPr>
        <w:t xml:space="preserve">CORTE INTERAMERICANA DE DERECHOS HUMANOS </w:t>
      </w:r>
      <w:r>
        <w:rPr>
          <w:b/>
          <w:szCs w:val="20"/>
          <w:lang w:val="es-CR"/>
        </w:rPr>
        <w:br/>
      </w:r>
    </w:p>
    <w:p w:rsidR="00CA2F39" w:rsidRDefault="00CA2F39" w:rsidP="00CA2F39">
      <w:pPr>
        <w:jc w:val="center"/>
        <w:rPr>
          <w:b/>
          <w:szCs w:val="20"/>
          <w:lang w:val="es-CR"/>
        </w:rPr>
      </w:pPr>
      <w:r w:rsidRPr="00F4757D">
        <w:rPr>
          <w:b/>
          <w:szCs w:val="20"/>
          <w:lang w:val="es-CR"/>
        </w:rPr>
        <w:t xml:space="preserve">DE </w:t>
      </w:r>
      <w:r w:rsidR="00E3616E" w:rsidRPr="00883EB3">
        <w:rPr>
          <w:b/>
          <w:szCs w:val="20"/>
          <w:lang w:val="es-CR"/>
        </w:rPr>
        <w:t>14</w:t>
      </w:r>
      <w:r w:rsidRPr="00883EB3">
        <w:rPr>
          <w:b/>
          <w:szCs w:val="20"/>
          <w:lang w:val="es-CR"/>
        </w:rPr>
        <w:t xml:space="preserve"> DE</w:t>
      </w:r>
      <w:r w:rsidRPr="00F4757D">
        <w:rPr>
          <w:b/>
          <w:szCs w:val="20"/>
          <w:lang w:val="es-CR"/>
        </w:rPr>
        <w:t xml:space="preserve"> </w:t>
      </w:r>
      <w:r w:rsidR="00E00628">
        <w:rPr>
          <w:b/>
          <w:szCs w:val="20"/>
          <w:lang w:val="es-CR"/>
        </w:rPr>
        <w:t>FEBRERO</w:t>
      </w:r>
      <w:r>
        <w:rPr>
          <w:b/>
          <w:szCs w:val="20"/>
          <w:lang w:val="es-CR"/>
        </w:rPr>
        <w:t xml:space="preserve"> DE 2019</w:t>
      </w:r>
    </w:p>
    <w:p w:rsidR="00CA2F39" w:rsidRDefault="00CA2F39" w:rsidP="00CA2F39">
      <w:pPr>
        <w:jc w:val="center"/>
        <w:rPr>
          <w:b/>
          <w:szCs w:val="20"/>
          <w:lang w:val="es-CR"/>
        </w:rPr>
      </w:pPr>
    </w:p>
    <w:p w:rsidR="00CA2F39" w:rsidRDefault="00CA2F39" w:rsidP="00CA2F39">
      <w:pPr>
        <w:jc w:val="center"/>
        <w:rPr>
          <w:b/>
          <w:szCs w:val="20"/>
          <w:lang w:val="es-CR"/>
        </w:rPr>
      </w:pPr>
      <w:r w:rsidRPr="00F4757D">
        <w:rPr>
          <w:b/>
          <w:szCs w:val="20"/>
          <w:lang w:val="es-CR"/>
        </w:rPr>
        <w:t xml:space="preserve"> CASO </w:t>
      </w:r>
      <w:r>
        <w:rPr>
          <w:b/>
          <w:szCs w:val="20"/>
          <w:lang w:val="es-CR"/>
        </w:rPr>
        <w:t xml:space="preserve">GIRÓN Y CASTILLO </w:t>
      </w:r>
      <w:r w:rsidRPr="00F4757D">
        <w:rPr>
          <w:b/>
          <w:szCs w:val="20"/>
          <w:lang w:val="es-CR"/>
        </w:rPr>
        <w:t xml:space="preserve">VS. </w:t>
      </w:r>
      <w:r>
        <w:rPr>
          <w:b/>
          <w:szCs w:val="20"/>
          <w:lang w:val="es-CR"/>
        </w:rPr>
        <w:t>GUATEMALA</w:t>
      </w:r>
    </w:p>
    <w:p w:rsidR="00E35D27" w:rsidRDefault="00E35D27" w:rsidP="00CA2F39">
      <w:pPr>
        <w:jc w:val="center"/>
        <w:rPr>
          <w:b/>
          <w:szCs w:val="20"/>
          <w:lang w:val="es-CR"/>
        </w:rPr>
      </w:pPr>
    </w:p>
    <w:p w:rsidR="00E35D27" w:rsidRDefault="00E35D27" w:rsidP="00CA2F39">
      <w:pPr>
        <w:jc w:val="center"/>
        <w:rPr>
          <w:b/>
          <w:szCs w:val="20"/>
          <w:lang w:val="es-CR"/>
        </w:rPr>
      </w:pPr>
    </w:p>
    <w:p w:rsidR="00CA2F39" w:rsidRPr="00DC6807" w:rsidRDefault="00CA2F39" w:rsidP="00CA2F39">
      <w:pPr>
        <w:rPr>
          <w:b/>
          <w:szCs w:val="20"/>
          <w:lang w:val="es-CR"/>
        </w:rPr>
      </w:pPr>
    </w:p>
    <w:p w:rsidR="00CA2F39" w:rsidRDefault="00CA2F39" w:rsidP="00CA2F39">
      <w:pPr>
        <w:rPr>
          <w:b/>
          <w:szCs w:val="20"/>
          <w:lang w:val="es-CR"/>
        </w:rPr>
      </w:pPr>
      <w:r w:rsidRPr="00DC6807">
        <w:rPr>
          <w:b/>
          <w:szCs w:val="20"/>
          <w:lang w:val="es-CR"/>
        </w:rPr>
        <w:t>VISTO:</w:t>
      </w:r>
    </w:p>
    <w:p w:rsidR="00CA2F39" w:rsidRPr="00DC6807" w:rsidRDefault="00CA2F39" w:rsidP="00CA2F39">
      <w:pPr>
        <w:rPr>
          <w:b/>
          <w:szCs w:val="20"/>
          <w:lang w:val="es-CR"/>
        </w:rPr>
      </w:pPr>
    </w:p>
    <w:p w:rsidR="00CA2F39" w:rsidRDefault="00CA2F39" w:rsidP="00CA2F39">
      <w:pPr>
        <w:pStyle w:val="Normal1"/>
        <w:widowControl/>
        <w:numPr>
          <w:ilvl w:val="0"/>
          <w:numId w:val="10"/>
        </w:numPr>
        <w:ind w:left="0" w:firstLine="0"/>
        <w:contextualSpacing/>
        <w:jc w:val="both"/>
        <w:rPr>
          <w:rFonts w:ascii="Verdana" w:eastAsia="Verdana" w:hAnsi="Verdana" w:cs="Verdana"/>
          <w:color w:val="000000"/>
          <w:sz w:val="20"/>
          <w:szCs w:val="20"/>
        </w:rPr>
      </w:pPr>
      <w:r w:rsidRPr="00DC6807">
        <w:rPr>
          <w:rFonts w:ascii="Verdana" w:hAnsi="Verdana"/>
          <w:sz w:val="20"/>
          <w:szCs w:val="20"/>
        </w:rPr>
        <w:t xml:space="preserve">El escrito de sometimiento del caso y el Informe de Admisibilidad </w:t>
      </w:r>
      <w:r>
        <w:rPr>
          <w:rFonts w:ascii="Verdana" w:hAnsi="Verdana"/>
          <w:sz w:val="20"/>
          <w:szCs w:val="20"/>
        </w:rPr>
        <w:t xml:space="preserve">y </w:t>
      </w:r>
      <w:r w:rsidRPr="00DC6807">
        <w:rPr>
          <w:rFonts w:ascii="Verdana" w:hAnsi="Verdana"/>
          <w:sz w:val="20"/>
          <w:szCs w:val="20"/>
        </w:rPr>
        <w:t xml:space="preserve">Fondo de la Comisión Interamericana de Derechos Humanos (en adelante “la Comisión Interamericana” o “la Comisión”); el escrito de solicitudes, argumentos y pruebas (en adelante el “escrito de </w:t>
      </w:r>
      <w:r>
        <w:rPr>
          <w:rFonts w:ascii="Verdana" w:hAnsi="Verdana"/>
          <w:sz w:val="20"/>
          <w:szCs w:val="20"/>
        </w:rPr>
        <w:t>solicitudes y argumentos”) de l</w:t>
      </w:r>
      <w:r w:rsidR="000413A1">
        <w:rPr>
          <w:rFonts w:ascii="Verdana" w:hAnsi="Verdana"/>
          <w:sz w:val="20"/>
          <w:szCs w:val="20"/>
        </w:rPr>
        <w:t>as representantes</w:t>
      </w:r>
      <w:r w:rsidR="0033328B">
        <w:rPr>
          <w:rFonts w:ascii="Verdana" w:hAnsi="Verdana"/>
          <w:sz w:val="20"/>
          <w:szCs w:val="20"/>
        </w:rPr>
        <w:t xml:space="preserve"> de las presuntas</w:t>
      </w:r>
      <w:r w:rsidR="00E3616E">
        <w:rPr>
          <w:rFonts w:ascii="Verdana" w:hAnsi="Verdana"/>
          <w:sz w:val="20"/>
          <w:szCs w:val="20"/>
        </w:rPr>
        <w:t xml:space="preserve"> víctimas</w:t>
      </w:r>
      <w:r>
        <w:rPr>
          <w:rStyle w:val="FootnoteReference"/>
          <w:rFonts w:ascii="Verdana" w:hAnsi="Verdana"/>
          <w:sz w:val="20"/>
          <w:szCs w:val="20"/>
        </w:rPr>
        <w:footnoteReference w:id="1"/>
      </w:r>
      <w:r w:rsidRPr="00DC6807">
        <w:rPr>
          <w:rFonts w:ascii="Verdana" w:hAnsi="Verdana"/>
          <w:sz w:val="20"/>
          <w:szCs w:val="20"/>
        </w:rPr>
        <w:t xml:space="preserve"> (en adelante “</w:t>
      </w:r>
      <w:r>
        <w:rPr>
          <w:rFonts w:ascii="Verdana" w:hAnsi="Verdana"/>
          <w:sz w:val="20"/>
          <w:szCs w:val="20"/>
        </w:rPr>
        <w:t>l</w:t>
      </w:r>
      <w:r w:rsidR="00F10BA6">
        <w:rPr>
          <w:rFonts w:ascii="Verdana" w:hAnsi="Verdana"/>
          <w:sz w:val="20"/>
          <w:szCs w:val="20"/>
        </w:rPr>
        <w:t>a</w:t>
      </w:r>
      <w:r w:rsidR="00CC5521">
        <w:rPr>
          <w:rFonts w:ascii="Verdana" w:hAnsi="Verdana"/>
          <w:sz w:val="20"/>
          <w:szCs w:val="20"/>
        </w:rPr>
        <w:t>s</w:t>
      </w:r>
      <w:r w:rsidR="000413A1">
        <w:rPr>
          <w:rFonts w:ascii="Verdana" w:hAnsi="Verdana"/>
          <w:sz w:val="20"/>
          <w:szCs w:val="20"/>
        </w:rPr>
        <w:t xml:space="preserve"> repres</w:t>
      </w:r>
      <w:r w:rsidR="0033328B">
        <w:rPr>
          <w:rFonts w:ascii="Verdana" w:hAnsi="Verdana"/>
          <w:sz w:val="20"/>
          <w:szCs w:val="20"/>
        </w:rPr>
        <w:t>e</w:t>
      </w:r>
      <w:r w:rsidR="000413A1">
        <w:rPr>
          <w:rFonts w:ascii="Verdana" w:hAnsi="Verdana"/>
          <w:sz w:val="20"/>
          <w:szCs w:val="20"/>
        </w:rPr>
        <w:t>ntantes</w:t>
      </w:r>
      <w:r w:rsidRPr="00DC6807">
        <w:rPr>
          <w:rFonts w:ascii="Verdana" w:hAnsi="Verdana"/>
          <w:sz w:val="20"/>
          <w:szCs w:val="20"/>
        </w:rPr>
        <w:t>”</w:t>
      </w:r>
      <w:r w:rsidR="001665B7">
        <w:rPr>
          <w:rFonts w:ascii="Verdana" w:hAnsi="Verdana"/>
          <w:sz w:val="20"/>
          <w:szCs w:val="20"/>
        </w:rPr>
        <w:t xml:space="preserve"> o “las defensoras"</w:t>
      </w:r>
      <w:r w:rsidRPr="00DC6807">
        <w:rPr>
          <w:rFonts w:ascii="Verdana" w:hAnsi="Verdana"/>
          <w:sz w:val="20"/>
          <w:szCs w:val="20"/>
        </w:rPr>
        <w:t>); el escrito de contestación al sometimiento del caso y al escrito de solicitudes y argumentos (en adelante “escrito de contestación”) de la República de Guatemala (en adelante “Guatemala</w:t>
      </w:r>
      <w:r>
        <w:rPr>
          <w:rFonts w:ascii="Verdana" w:hAnsi="Verdana"/>
          <w:sz w:val="20"/>
          <w:szCs w:val="20"/>
        </w:rPr>
        <w:t>” o “el Estado”).</w:t>
      </w:r>
    </w:p>
    <w:p w:rsidR="00CA2F39" w:rsidRDefault="00CA2F39" w:rsidP="00CA2F39">
      <w:pPr>
        <w:pStyle w:val="Normal1"/>
        <w:widowControl/>
        <w:contextualSpacing/>
        <w:jc w:val="both"/>
        <w:rPr>
          <w:rFonts w:ascii="Verdana" w:eastAsia="Verdana" w:hAnsi="Verdana" w:cs="Verdana"/>
          <w:color w:val="000000"/>
          <w:sz w:val="20"/>
          <w:szCs w:val="20"/>
        </w:rPr>
      </w:pPr>
    </w:p>
    <w:p w:rsidR="00CA2F39" w:rsidRPr="00A53D21" w:rsidRDefault="00CA2F39" w:rsidP="00CA2F39">
      <w:pPr>
        <w:pStyle w:val="Normal1"/>
        <w:widowControl/>
        <w:numPr>
          <w:ilvl w:val="0"/>
          <w:numId w:val="10"/>
        </w:numPr>
        <w:ind w:left="0" w:firstLine="0"/>
        <w:contextualSpacing/>
        <w:jc w:val="both"/>
        <w:rPr>
          <w:rFonts w:ascii="Verdana" w:eastAsia="Verdana" w:hAnsi="Verdana" w:cs="Verdana"/>
          <w:color w:val="000000"/>
          <w:sz w:val="20"/>
          <w:szCs w:val="20"/>
        </w:rPr>
      </w:pPr>
      <w:r>
        <w:rPr>
          <w:rFonts w:ascii="Verdana" w:hAnsi="Verdana"/>
          <w:sz w:val="20"/>
          <w:szCs w:val="20"/>
        </w:rPr>
        <w:t>La comunicación</w:t>
      </w:r>
      <w:r w:rsidRPr="00B62CF5">
        <w:rPr>
          <w:rFonts w:ascii="Verdana" w:hAnsi="Verdana"/>
          <w:sz w:val="20"/>
          <w:szCs w:val="20"/>
        </w:rPr>
        <w:t xml:space="preserve"> de </w:t>
      </w:r>
      <w:r>
        <w:rPr>
          <w:rFonts w:ascii="Verdana" w:hAnsi="Verdana"/>
          <w:sz w:val="20"/>
          <w:szCs w:val="20"/>
        </w:rPr>
        <w:t xml:space="preserve">la </w:t>
      </w:r>
      <w:r w:rsidRPr="00B62CF5">
        <w:rPr>
          <w:rFonts w:ascii="Verdana" w:hAnsi="Verdana"/>
          <w:sz w:val="20"/>
          <w:szCs w:val="20"/>
        </w:rPr>
        <w:t xml:space="preserve">Secretaría de </w:t>
      </w:r>
      <w:r>
        <w:rPr>
          <w:rFonts w:ascii="Verdana" w:hAnsi="Verdana"/>
          <w:sz w:val="20"/>
          <w:szCs w:val="20"/>
        </w:rPr>
        <w:t>6</w:t>
      </w:r>
      <w:r w:rsidRPr="00B62CF5">
        <w:rPr>
          <w:rFonts w:ascii="Verdana" w:hAnsi="Verdana"/>
          <w:sz w:val="20"/>
          <w:szCs w:val="20"/>
        </w:rPr>
        <w:t xml:space="preserve"> de </w:t>
      </w:r>
      <w:r>
        <w:rPr>
          <w:rFonts w:ascii="Verdana" w:hAnsi="Verdana"/>
          <w:sz w:val="20"/>
          <w:szCs w:val="20"/>
        </w:rPr>
        <w:t>junio</w:t>
      </w:r>
      <w:r w:rsidRPr="00B62CF5">
        <w:rPr>
          <w:rFonts w:ascii="Verdana" w:hAnsi="Verdana"/>
          <w:sz w:val="20"/>
          <w:szCs w:val="20"/>
        </w:rPr>
        <w:t xml:space="preserve"> de 201</w:t>
      </w:r>
      <w:r>
        <w:rPr>
          <w:rFonts w:ascii="Verdana" w:hAnsi="Verdana"/>
          <w:sz w:val="20"/>
          <w:szCs w:val="20"/>
        </w:rPr>
        <w:t>8</w:t>
      </w:r>
      <w:r w:rsidRPr="00B62CF5">
        <w:rPr>
          <w:rFonts w:ascii="Verdana" w:hAnsi="Verdana"/>
          <w:sz w:val="20"/>
          <w:szCs w:val="20"/>
        </w:rPr>
        <w:t xml:space="preserve"> relativa a la procedencia del Fondo de Asistencia Legal de Víctimas de la Corte Interamericana de Derechos Humanos (en adelante “Fondo de </w:t>
      </w:r>
      <w:r w:rsidR="00B265EC">
        <w:rPr>
          <w:rFonts w:ascii="Verdana" w:hAnsi="Verdana"/>
          <w:sz w:val="20"/>
          <w:szCs w:val="20"/>
        </w:rPr>
        <w:t>Asistencia Legal de Víctimas”).</w:t>
      </w:r>
    </w:p>
    <w:p w:rsidR="00CA2F39" w:rsidRPr="00B62CF5" w:rsidRDefault="00CA2F39" w:rsidP="00CA2F39">
      <w:pPr>
        <w:pStyle w:val="Normal1"/>
        <w:widowControl/>
        <w:contextualSpacing/>
        <w:jc w:val="both"/>
        <w:rPr>
          <w:rFonts w:ascii="Verdana" w:eastAsia="Verdana" w:hAnsi="Verdana" w:cs="Verdana"/>
          <w:color w:val="000000"/>
          <w:sz w:val="20"/>
          <w:szCs w:val="20"/>
        </w:rPr>
      </w:pPr>
    </w:p>
    <w:p w:rsidR="00CA2F39" w:rsidRPr="00E77AED" w:rsidRDefault="00CA2F39" w:rsidP="00CA2F39">
      <w:pPr>
        <w:pStyle w:val="Normal1"/>
        <w:widowControl/>
        <w:numPr>
          <w:ilvl w:val="0"/>
          <w:numId w:val="10"/>
        </w:numPr>
        <w:ind w:left="0" w:firstLine="0"/>
        <w:contextualSpacing/>
        <w:jc w:val="both"/>
        <w:rPr>
          <w:rFonts w:ascii="Verdana" w:hAnsi="Verdana"/>
          <w:sz w:val="20"/>
          <w:szCs w:val="20"/>
        </w:rPr>
      </w:pPr>
      <w:r w:rsidRPr="00E77AED">
        <w:rPr>
          <w:rFonts w:ascii="Verdana" w:hAnsi="Verdana"/>
          <w:sz w:val="20"/>
          <w:szCs w:val="20"/>
        </w:rPr>
        <w:t>Las listas definitivas de declarantes presenta</w:t>
      </w:r>
      <w:r w:rsidR="00CC5521">
        <w:rPr>
          <w:rFonts w:ascii="Verdana" w:hAnsi="Verdana"/>
          <w:sz w:val="20"/>
          <w:szCs w:val="20"/>
        </w:rPr>
        <w:t>das por l</w:t>
      </w:r>
      <w:r w:rsidR="00F10BA6">
        <w:rPr>
          <w:rFonts w:ascii="Verdana" w:hAnsi="Verdana"/>
          <w:sz w:val="20"/>
          <w:szCs w:val="20"/>
        </w:rPr>
        <w:t>a</w:t>
      </w:r>
      <w:r w:rsidR="00CC5521">
        <w:rPr>
          <w:rFonts w:ascii="Verdana" w:hAnsi="Verdana"/>
          <w:sz w:val="20"/>
          <w:szCs w:val="20"/>
        </w:rPr>
        <w:t>s defensor</w:t>
      </w:r>
      <w:r w:rsidR="00F10BA6">
        <w:rPr>
          <w:rFonts w:ascii="Verdana" w:hAnsi="Verdana"/>
          <w:sz w:val="20"/>
          <w:szCs w:val="20"/>
        </w:rPr>
        <w:t>a</w:t>
      </w:r>
      <w:r w:rsidR="00CC5521">
        <w:rPr>
          <w:rFonts w:ascii="Verdana" w:hAnsi="Verdana"/>
          <w:sz w:val="20"/>
          <w:szCs w:val="20"/>
        </w:rPr>
        <w:t>s</w:t>
      </w:r>
      <w:r w:rsidR="0032158C">
        <w:rPr>
          <w:rFonts w:ascii="Verdana" w:hAnsi="Verdana"/>
          <w:sz w:val="20"/>
          <w:szCs w:val="20"/>
        </w:rPr>
        <w:t xml:space="preserve"> </w:t>
      </w:r>
      <w:r w:rsidR="00194BCD">
        <w:rPr>
          <w:rFonts w:ascii="Verdana" w:hAnsi="Verdana"/>
          <w:sz w:val="20"/>
          <w:szCs w:val="20"/>
        </w:rPr>
        <w:t xml:space="preserve">públicas </w:t>
      </w:r>
      <w:r w:rsidR="0032158C">
        <w:rPr>
          <w:rFonts w:ascii="Verdana" w:hAnsi="Verdana"/>
          <w:sz w:val="20"/>
          <w:szCs w:val="20"/>
        </w:rPr>
        <w:t>interamericanas</w:t>
      </w:r>
      <w:r w:rsidRPr="00E77AED">
        <w:rPr>
          <w:rFonts w:ascii="Verdana" w:hAnsi="Verdana"/>
          <w:sz w:val="20"/>
          <w:szCs w:val="20"/>
        </w:rPr>
        <w:t>, la Comisión y el Estado</w:t>
      </w:r>
      <w:r w:rsidR="00DF434C">
        <w:rPr>
          <w:rFonts w:ascii="Verdana" w:hAnsi="Verdana"/>
          <w:sz w:val="20"/>
          <w:szCs w:val="20"/>
        </w:rPr>
        <w:t xml:space="preserve"> y las correspondientes observaciones del Estado y de la Comisión</w:t>
      </w:r>
      <w:r w:rsidRPr="00E77AED">
        <w:rPr>
          <w:rFonts w:ascii="Verdana" w:hAnsi="Verdana"/>
          <w:sz w:val="20"/>
          <w:szCs w:val="20"/>
        </w:rPr>
        <w:t>.</w:t>
      </w:r>
    </w:p>
    <w:p w:rsidR="00CA2F39" w:rsidRPr="00DC6807" w:rsidRDefault="00CA2F39" w:rsidP="00CA2F39">
      <w:pPr>
        <w:pStyle w:val="Normal1"/>
        <w:widowControl/>
        <w:contextualSpacing/>
        <w:jc w:val="both"/>
        <w:rPr>
          <w:rFonts w:ascii="Verdana" w:eastAsiaTheme="minorHAnsi" w:hAnsi="Verdana" w:cstheme="minorBidi"/>
          <w:b/>
          <w:sz w:val="20"/>
          <w:szCs w:val="20"/>
        </w:rPr>
      </w:pPr>
    </w:p>
    <w:p w:rsidR="00CA2F39" w:rsidRPr="00E757B6" w:rsidRDefault="00CA2F39" w:rsidP="00CA2F39">
      <w:pPr>
        <w:pStyle w:val="Normal1"/>
        <w:widowControl/>
        <w:contextualSpacing/>
        <w:jc w:val="both"/>
        <w:rPr>
          <w:rFonts w:ascii="Verdana" w:hAnsi="Verdana"/>
          <w:b/>
          <w:sz w:val="20"/>
          <w:szCs w:val="20"/>
        </w:rPr>
      </w:pPr>
      <w:r w:rsidRPr="00E757B6">
        <w:rPr>
          <w:rFonts w:ascii="Verdana" w:hAnsi="Verdana"/>
          <w:b/>
          <w:sz w:val="20"/>
          <w:szCs w:val="20"/>
        </w:rPr>
        <w:t>CONSIDERANDO QUE:</w:t>
      </w:r>
    </w:p>
    <w:p w:rsidR="00CA2F39" w:rsidRPr="00E757B6" w:rsidRDefault="00CA2F39" w:rsidP="00CA2F39">
      <w:pPr>
        <w:pStyle w:val="Normal1"/>
        <w:widowControl/>
        <w:contextualSpacing/>
        <w:jc w:val="both"/>
        <w:rPr>
          <w:rFonts w:ascii="Verdana" w:hAnsi="Verdana"/>
          <w:sz w:val="20"/>
          <w:szCs w:val="20"/>
        </w:rPr>
      </w:pPr>
    </w:p>
    <w:p w:rsidR="00CA2F39" w:rsidRPr="00325560" w:rsidRDefault="00CA2F39" w:rsidP="00CA2F39">
      <w:pPr>
        <w:pStyle w:val="Normal1"/>
        <w:widowControl/>
        <w:numPr>
          <w:ilvl w:val="0"/>
          <w:numId w:val="4"/>
        </w:numPr>
        <w:ind w:left="0" w:firstLine="0"/>
        <w:contextualSpacing/>
        <w:jc w:val="both"/>
        <w:rPr>
          <w:rFonts w:ascii="Verdana" w:eastAsia="Verdana" w:hAnsi="Verdana" w:cs="Verdana"/>
          <w:color w:val="000000"/>
          <w:sz w:val="20"/>
          <w:szCs w:val="20"/>
        </w:rPr>
      </w:pPr>
      <w:r w:rsidRPr="009059E9">
        <w:rPr>
          <w:rFonts w:ascii="Verdana" w:hAnsi="Verdana"/>
          <w:sz w:val="20"/>
          <w:szCs w:val="20"/>
        </w:rPr>
        <w:t xml:space="preserve">El ofrecimiento y la admisión de la prueba, así como la citación de declarantes se encuentran </w:t>
      </w:r>
      <w:r w:rsidRPr="00CE51A5">
        <w:rPr>
          <w:rFonts w:ascii="Verdana" w:hAnsi="Verdana"/>
          <w:sz w:val="20"/>
          <w:szCs w:val="20"/>
        </w:rPr>
        <w:t xml:space="preserve">regulados en los artículos </w:t>
      </w:r>
      <w:r w:rsidRPr="001D2750">
        <w:rPr>
          <w:rFonts w:ascii="Verdana" w:hAnsi="Verdana"/>
          <w:sz w:val="20"/>
          <w:szCs w:val="20"/>
        </w:rPr>
        <w:t xml:space="preserve">35.1.f, 40.2.c, 41.1.c, </w:t>
      </w:r>
      <w:r w:rsidRPr="004004F6">
        <w:rPr>
          <w:rFonts w:ascii="Verdana" w:hAnsi="Verdana"/>
          <w:sz w:val="20"/>
          <w:szCs w:val="20"/>
        </w:rPr>
        <w:t xml:space="preserve">46, 47, </w:t>
      </w:r>
      <w:r w:rsidRPr="001D2750">
        <w:rPr>
          <w:rFonts w:ascii="Verdana" w:hAnsi="Verdana"/>
          <w:sz w:val="20"/>
          <w:szCs w:val="20"/>
        </w:rPr>
        <w:t>50,</w:t>
      </w:r>
      <w:r w:rsidR="007A014F">
        <w:rPr>
          <w:rFonts w:ascii="Verdana" w:hAnsi="Verdana"/>
          <w:sz w:val="20"/>
          <w:szCs w:val="20"/>
        </w:rPr>
        <w:t xml:space="preserve"> </w:t>
      </w:r>
      <w:r w:rsidR="00814D7C">
        <w:rPr>
          <w:rFonts w:ascii="Verdana" w:hAnsi="Verdana"/>
          <w:sz w:val="20"/>
          <w:szCs w:val="20"/>
        </w:rPr>
        <w:t>52.3</w:t>
      </w:r>
      <w:r w:rsidRPr="00923F9E">
        <w:rPr>
          <w:rFonts w:ascii="Verdana" w:hAnsi="Verdana"/>
          <w:sz w:val="20"/>
          <w:szCs w:val="20"/>
        </w:rPr>
        <w:t xml:space="preserve"> del Reglamento de la Corte Interamericana de Derechos Humanos (en adelante</w:t>
      </w:r>
      <w:r>
        <w:rPr>
          <w:rFonts w:ascii="Verdana" w:hAnsi="Verdana"/>
          <w:sz w:val="20"/>
          <w:szCs w:val="20"/>
        </w:rPr>
        <w:t xml:space="preserve"> también</w:t>
      </w:r>
      <w:r w:rsidRPr="00CE51A5">
        <w:rPr>
          <w:rFonts w:ascii="Verdana" w:hAnsi="Verdana"/>
          <w:sz w:val="20"/>
          <w:szCs w:val="20"/>
        </w:rPr>
        <w:t xml:space="preserve"> “la Corte Interamericana”, “la Corte” o “el Tribunal”).</w:t>
      </w:r>
    </w:p>
    <w:p w:rsidR="00CA2F39" w:rsidRDefault="00CA2F39" w:rsidP="00CA2F39">
      <w:pPr>
        <w:pStyle w:val="Normal1"/>
        <w:widowControl/>
        <w:contextualSpacing/>
        <w:jc w:val="both"/>
        <w:rPr>
          <w:rFonts w:ascii="Verdana" w:eastAsia="Verdana" w:hAnsi="Verdana" w:cs="Verdana"/>
          <w:color w:val="000000"/>
          <w:sz w:val="20"/>
          <w:szCs w:val="20"/>
        </w:rPr>
      </w:pPr>
    </w:p>
    <w:p w:rsidR="00CA2F39" w:rsidRPr="00194BCD" w:rsidRDefault="00CA2F39" w:rsidP="00CA2F39">
      <w:pPr>
        <w:pStyle w:val="Normal1"/>
        <w:widowControl/>
        <w:numPr>
          <w:ilvl w:val="0"/>
          <w:numId w:val="4"/>
        </w:numPr>
        <w:ind w:left="0" w:firstLine="0"/>
        <w:contextualSpacing/>
        <w:jc w:val="both"/>
        <w:rPr>
          <w:rFonts w:ascii="Verdana" w:eastAsia="Verdana" w:hAnsi="Verdana" w:cs="Verdana"/>
          <w:color w:val="000000"/>
          <w:sz w:val="20"/>
          <w:szCs w:val="20"/>
        </w:rPr>
      </w:pPr>
      <w:r w:rsidRPr="00325560">
        <w:rPr>
          <w:rFonts w:ascii="Verdana" w:hAnsi="Verdana"/>
          <w:sz w:val="20"/>
          <w:szCs w:val="20"/>
        </w:rPr>
        <w:t xml:space="preserve">La </w:t>
      </w:r>
      <w:r w:rsidRPr="00325560">
        <w:rPr>
          <w:rFonts w:ascii="Verdana" w:hAnsi="Verdana"/>
          <w:b/>
          <w:i/>
          <w:sz w:val="20"/>
          <w:szCs w:val="20"/>
        </w:rPr>
        <w:t>Comisión</w:t>
      </w:r>
      <w:r w:rsidRPr="00325560">
        <w:rPr>
          <w:rFonts w:ascii="Verdana" w:hAnsi="Verdana"/>
          <w:sz w:val="20"/>
          <w:szCs w:val="20"/>
        </w:rPr>
        <w:t xml:space="preserve"> ofreció </w:t>
      </w:r>
      <w:r w:rsidR="0032158C">
        <w:rPr>
          <w:rFonts w:ascii="Verdana" w:hAnsi="Verdana"/>
          <w:sz w:val="20"/>
          <w:szCs w:val="20"/>
        </w:rPr>
        <w:t xml:space="preserve">dos peritos, quienes rendirán un peritaje conjunto, </w:t>
      </w:r>
      <w:r w:rsidR="0032158C" w:rsidRPr="00325560">
        <w:rPr>
          <w:rFonts w:ascii="Verdana" w:hAnsi="Verdana"/>
          <w:sz w:val="20"/>
          <w:szCs w:val="20"/>
        </w:rPr>
        <w:t xml:space="preserve">para los casos </w:t>
      </w:r>
      <w:r w:rsidR="0032158C" w:rsidRPr="00325560">
        <w:rPr>
          <w:rFonts w:ascii="Verdana" w:hAnsi="Verdana"/>
          <w:i/>
          <w:sz w:val="20"/>
          <w:szCs w:val="20"/>
        </w:rPr>
        <w:t xml:space="preserve">Girón Castillo y otro, Martínez Coronado y Ruiz </w:t>
      </w:r>
      <w:r w:rsidR="0032158C" w:rsidRPr="00717F67">
        <w:rPr>
          <w:rFonts w:ascii="Verdana" w:hAnsi="Verdana"/>
          <w:sz w:val="20"/>
          <w:szCs w:val="20"/>
        </w:rPr>
        <w:t>Fuentes</w:t>
      </w:r>
      <w:r w:rsidR="00717F67" w:rsidRPr="00717F67">
        <w:rPr>
          <w:rFonts w:ascii="Verdana" w:hAnsi="Verdana"/>
          <w:sz w:val="20"/>
          <w:szCs w:val="20"/>
        </w:rPr>
        <w:t>, todos contra Guatemala</w:t>
      </w:r>
      <w:r w:rsidR="0032158C" w:rsidRPr="00717F67">
        <w:rPr>
          <w:rFonts w:ascii="Verdana" w:hAnsi="Verdana"/>
          <w:sz w:val="20"/>
          <w:szCs w:val="20"/>
        </w:rPr>
        <w:t>.</w:t>
      </w:r>
      <w:r w:rsidR="0032158C">
        <w:rPr>
          <w:rFonts w:ascii="Verdana" w:hAnsi="Verdana"/>
          <w:sz w:val="20"/>
          <w:szCs w:val="20"/>
        </w:rPr>
        <w:t xml:space="preserve"> Además</w:t>
      </w:r>
      <w:r w:rsidR="000413A1">
        <w:rPr>
          <w:rFonts w:ascii="Verdana" w:hAnsi="Verdana"/>
          <w:sz w:val="20"/>
          <w:szCs w:val="20"/>
        </w:rPr>
        <w:t>,</w:t>
      </w:r>
      <w:r w:rsidR="0032158C">
        <w:rPr>
          <w:rFonts w:ascii="Verdana" w:hAnsi="Verdana"/>
          <w:sz w:val="20"/>
          <w:szCs w:val="20"/>
        </w:rPr>
        <w:t xml:space="preserve"> las</w:t>
      </w:r>
      <w:r w:rsidRPr="00325560">
        <w:rPr>
          <w:rFonts w:ascii="Verdana" w:hAnsi="Verdana"/>
          <w:sz w:val="20"/>
          <w:szCs w:val="20"/>
        </w:rPr>
        <w:t xml:space="preserve"> </w:t>
      </w:r>
      <w:r w:rsidR="000413A1">
        <w:rPr>
          <w:rFonts w:ascii="Verdana" w:hAnsi="Verdana"/>
          <w:b/>
          <w:i/>
          <w:sz w:val="20"/>
          <w:szCs w:val="20"/>
        </w:rPr>
        <w:t xml:space="preserve">representantes </w:t>
      </w:r>
      <w:r w:rsidRPr="00325560">
        <w:rPr>
          <w:rFonts w:ascii="Verdana" w:hAnsi="Verdana"/>
          <w:sz w:val="20"/>
          <w:szCs w:val="20"/>
        </w:rPr>
        <w:t xml:space="preserve">ofrecieron </w:t>
      </w:r>
      <w:r w:rsidR="00DF434C">
        <w:rPr>
          <w:rFonts w:ascii="Verdana" w:hAnsi="Verdana"/>
          <w:sz w:val="20"/>
          <w:szCs w:val="20"/>
        </w:rPr>
        <w:t xml:space="preserve">las declaraciones de </w:t>
      </w:r>
      <w:r w:rsidRPr="00325560">
        <w:rPr>
          <w:rFonts w:ascii="Verdana" w:hAnsi="Verdana"/>
          <w:sz w:val="20"/>
          <w:szCs w:val="20"/>
        </w:rPr>
        <w:t>dos famil</w:t>
      </w:r>
      <w:r w:rsidR="00B265EC">
        <w:rPr>
          <w:rFonts w:ascii="Verdana" w:hAnsi="Verdana"/>
          <w:sz w:val="20"/>
          <w:szCs w:val="20"/>
        </w:rPr>
        <w:t>iares de las presuntas víctimas</w:t>
      </w:r>
      <w:r w:rsidRPr="00A25C9B">
        <w:rPr>
          <w:rFonts w:ascii="Verdana" w:hAnsi="Verdana"/>
          <w:sz w:val="16"/>
          <w:szCs w:val="20"/>
        </w:rPr>
        <w:t xml:space="preserve">, </w:t>
      </w:r>
      <w:r w:rsidR="00DF434C">
        <w:rPr>
          <w:rFonts w:ascii="Verdana" w:hAnsi="Verdana"/>
          <w:sz w:val="20"/>
          <w:szCs w:val="20"/>
        </w:rPr>
        <w:t xml:space="preserve">la declaración </w:t>
      </w:r>
      <w:r>
        <w:rPr>
          <w:rFonts w:ascii="Verdana" w:hAnsi="Verdana"/>
          <w:sz w:val="20"/>
          <w:szCs w:val="20"/>
        </w:rPr>
        <w:t>de un testigo</w:t>
      </w:r>
      <w:r w:rsidRPr="00A25C9B">
        <w:rPr>
          <w:rFonts w:ascii="Verdana" w:hAnsi="Verdana"/>
          <w:sz w:val="16"/>
          <w:szCs w:val="20"/>
        </w:rPr>
        <w:t xml:space="preserve"> </w:t>
      </w:r>
      <w:r w:rsidR="00B265EC">
        <w:rPr>
          <w:rFonts w:ascii="Verdana" w:hAnsi="Verdana"/>
          <w:sz w:val="20"/>
          <w:szCs w:val="20"/>
        </w:rPr>
        <w:t>y cuatro peritos.</w:t>
      </w:r>
      <w:r w:rsidRPr="00A25C9B">
        <w:rPr>
          <w:rFonts w:ascii="Verdana" w:hAnsi="Verdana"/>
          <w:sz w:val="16"/>
          <w:szCs w:val="20"/>
        </w:rPr>
        <w:t xml:space="preserve"> </w:t>
      </w:r>
      <w:r w:rsidRPr="00325560">
        <w:rPr>
          <w:rFonts w:ascii="Verdana" w:hAnsi="Verdana"/>
          <w:sz w:val="20"/>
          <w:szCs w:val="20"/>
        </w:rPr>
        <w:t>Por su parte</w:t>
      </w:r>
      <w:r w:rsidRPr="00717F67">
        <w:rPr>
          <w:rFonts w:ascii="Verdana" w:hAnsi="Verdana"/>
          <w:sz w:val="20"/>
          <w:szCs w:val="20"/>
        </w:rPr>
        <w:t xml:space="preserve">, el </w:t>
      </w:r>
      <w:r w:rsidRPr="00717F67">
        <w:rPr>
          <w:rFonts w:ascii="Verdana" w:hAnsi="Verdana"/>
          <w:b/>
          <w:i/>
          <w:sz w:val="20"/>
          <w:szCs w:val="20"/>
        </w:rPr>
        <w:t>Estado</w:t>
      </w:r>
      <w:r w:rsidR="00DF434C" w:rsidRPr="00717F67">
        <w:rPr>
          <w:rFonts w:ascii="Verdana" w:hAnsi="Verdana"/>
          <w:sz w:val="20"/>
          <w:szCs w:val="20"/>
        </w:rPr>
        <w:t xml:space="preserve"> </w:t>
      </w:r>
      <w:r w:rsidRPr="00717F67">
        <w:rPr>
          <w:rFonts w:ascii="Verdana" w:hAnsi="Verdana"/>
          <w:sz w:val="20"/>
          <w:szCs w:val="20"/>
        </w:rPr>
        <w:t>ofreció</w:t>
      </w:r>
      <w:r w:rsidRPr="00194BCD">
        <w:rPr>
          <w:rFonts w:ascii="Verdana" w:hAnsi="Verdana"/>
          <w:sz w:val="20"/>
          <w:szCs w:val="20"/>
        </w:rPr>
        <w:t xml:space="preserve"> </w:t>
      </w:r>
      <w:r w:rsidR="00DF434C" w:rsidRPr="00194BCD">
        <w:rPr>
          <w:rFonts w:ascii="Verdana" w:hAnsi="Verdana"/>
          <w:sz w:val="20"/>
          <w:szCs w:val="20"/>
        </w:rPr>
        <w:t xml:space="preserve">en su contestación </w:t>
      </w:r>
      <w:r w:rsidRPr="00194BCD">
        <w:rPr>
          <w:rFonts w:ascii="Verdana" w:hAnsi="Verdana"/>
          <w:sz w:val="20"/>
          <w:szCs w:val="20"/>
        </w:rPr>
        <w:t>como prueba testimonial a los padres de la sindicada como víctima de violación calificada en el proceso llevado a cabo por Guatemala. Sin embargo, el Estado no observó el momento procesal oportuno para hacer llegar la lista definitiva de declarantes precluyendo de esa manera el derecho para poder s</w:t>
      </w:r>
      <w:r w:rsidR="004D5666">
        <w:rPr>
          <w:rFonts w:ascii="Verdana" w:hAnsi="Verdana"/>
          <w:sz w:val="20"/>
          <w:szCs w:val="20"/>
        </w:rPr>
        <w:t xml:space="preserve">er presentados ante este </w:t>
      </w:r>
      <w:r w:rsidRPr="00194BCD">
        <w:rPr>
          <w:rFonts w:ascii="Verdana" w:hAnsi="Verdana"/>
          <w:sz w:val="20"/>
          <w:szCs w:val="20"/>
        </w:rPr>
        <w:t>Tribunal.</w:t>
      </w:r>
    </w:p>
    <w:p w:rsidR="00CA2F39" w:rsidRPr="00325560" w:rsidRDefault="00CA2F39" w:rsidP="00CA2F39">
      <w:pPr>
        <w:pStyle w:val="Normal1"/>
        <w:widowControl/>
        <w:contextualSpacing/>
        <w:jc w:val="both"/>
        <w:rPr>
          <w:rFonts w:ascii="Verdana" w:eastAsia="Verdana" w:hAnsi="Verdana" w:cs="Verdana"/>
          <w:color w:val="000000"/>
          <w:sz w:val="20"/>
          <w:szCs w:val="20"/>
        </w:rPr>
      </w:pPr>
    </w:p>
    <w:p w:rsidR="00717F67" w:rsidRPr="00A937FA" w:rsidRDefault="00CA2F39" w:rsidP="00717F67">
      <w:pPr>
        <w:pStyle w:val="Normal1"/>
        <w:widowControl/>
        <w:numPr>
          <w:ilvl w:val="0"/>
          <w:numId w:val="4"/>
        </w:numPr>
        <w:ind w:left="0" w:firstLine="0"/>
        <w:contextualSpacing/>
        <w:jc w:val="both"/>
        <w:rPr>
          <w:szCs w:val="20"/>
        </w:rPr>
      </w:pPr>
      <w:r w:rsidRPr="00194BCD">
        <w:rPr>
          <w:rFonts w:ascii="Verdana" w:eastAsia="Verdana" w:hAnsi="Verdana" w:cs="Verdana"/>
          <w:color w:val="000000"/>
          <w:sz w:val="20"/>
          <w:szCs w:val="20"/>
        </w:rPr>
        <w:t xml:space="preserve">La Corte garantizó a las partes el derecho de defensa respecto de los ofrecimientos probatorios oportunamente realizados. </w:t>
      </w:r>
      <w:r w:rsidR="00194BCD" w:rsidRPr="00194BCD">
        <w:rPr>
          <w:rFonts w:ascii="Verdana" w:hAnsi="Verdana"/>
          <w:sz w:val="20"/>
          <w:szCs w:val="20"/>
        </w:rPr>
        <w:t>La Comisión señaló que no tenía observaciones a la lista definitiva presentada por</w:t>
      </w:r>
      <w:r w:rsidR="00D427A0">
        <w:rPr>
          <w:rFonts w:ascii="Verdana" w:hAnsi="Verdana"/>
          <w:sz w:val="20"/>
          <w:szCs w:val="20"/>
        </w:rPr>
        <w:t xml:space="preserve"> las representantes</w:t>
      </w:r>
      <w:r w:rsidR="00194BCD" w:rsidRPr="00194BCD">
        <w:rPr>
          <w:rFonts w:ascii="Verdana" w:hAnsi="Verdana"/>
          <w:sz w:val="20"/>
          <w:szCs w:val="20"/>
        </w:rPr>
        <w:t>,</w:t>
      </w:r>
      <w:r w:rsidR="00936F60">
        <w:rPr>
          <w:rFonts w:ascii="Verdana" w:hAnsi="Verdana"/>
          <w:sz w:val="20"/>
          <w:szCs w:val="20"/>
        </w:rPr>
        <w:t xml:space="preserve"> pero solicitó formular preguntas a un perito ofrecido por ellas,</w:t>
      </w:r>
      <w:r w:rsidR="00194BCD" w:rsidRPr="00194BCD">
        <w:rPr>
          <w:rFonts w:ascii="Verdana" w:hAnsi="Verdana"/>
          <w:sz w:val="20"/>
          <w:szCs w:val="20"/>
        </w:rPr>
        <w:t xml:space="preserve"> mientras que l</w:t>
      </w:r>
      <w:r w:rsidR="0031004C">
        <w:rPr>
          <w:rFonts w:ascii="Verdana" w:hAnsi="Verdana"/>
          <w:sz w:val="20"/>
          <w:szCs w:val="20"/>
        </w:rPr>
        <w:t>a</w:t>
      </w:r>
      <w:r w:rsidR="00194BCD" w:rsidRPr="00194BCD">
        <w:rPr>
          <w:rFonts w:ascii="Verdana" w:hAnsi="Verdana"/>
          <w:sz w:val="20"/>
          <w:szCs w:val="20"/>
        </w:rPr>
        <w:t xml:space="preserve">s </w:t>
      </w:r>
      <w:r w:rsidR="00D427A0">
        <w:rPr>
          <w:rFonts w:ascii="Verdana" w:hAnsi="Verdana"/>
          <w:sz w:val="20"/>
          <w:szCs w:val="20"/>
        </w:rPr>
        <w:t xml:space="preserve">representantes </w:t>
      </w:r>
      <w:r w:rsidR="00194BCD" w:rsidRPr="00194BCD">
        <w:rPr>
          <w:rFonts w:ascii="Verdana" w:hAnsi="Verdana"/>
          <w:sz w:val="20"/>
          <w:szCs w:val="20"/>
        </w:rPr>
        <w:t xml:space="preserve">no presentaron observaciones </w:t>
      </w:r>
      <w:r w:rsidR="00DF434C" w:rsidRPr="00194BCD">
        <w:rPr>
          <w:rFonts w:ascii="Verdana" w:eastAsia="Verdana" w:hAnsi="Verdana" w:cs="Verdana"/>
          <w:color w:val="000000"/>
          <w:sz w:val="20"/>
          <w:szCs w:val="20"/>
        </w:rPr>
        <w:t>en cuanto a los ofrecimientos probatorios.</w:t>
      </w:r>
      <w:r w:rsidR="00194BCD" w:rsidRPr="00194BCD">
        <w:rPr>
          <w:rFonts w:ascii="Verdana" w:eastAsia="Verdana" w:hAnsi="Verdana" w:cs="Verdana"/>
          <w:color w:val="000000"/>
          <w:sz w:val="20"/>
          <w:szCs w:val="20"/>
        </w:rPr>
        <w:t xml:space="preserve"> </w:t>
      </w:r>
      <w:r w:rsidR="00DD0086" w:rsidRPr="00194BCD">
        <w:rPr>
          <w:rFonts w:ascii="Verdana" w:hAnsi="Verdana"/>
          <w:sz w:val="20"/>
          <w:szCs w:val="20"/>
        </w:rPr>
        <w:t xml:space="preserve">Por su parte, el Estado </w:t>
      </w:r>
      <w:r w:rsidR="00FE7594" w:rsidRPr="00194BCD">
        <w:rPr>
          <w:rFonts w:ascii="Verdana" w:hAnsi="Verdana"/>
          <w:sz w:val="20"/>
          <w:szCs w:val="20"/>
        </w:rPr>
        <w:t>hizo obs</w:t>
      </w:r>
      <w:r w:rsidR="00194BCD" w:rsidRPr="00194BCD">
        <w:rPr>
          <w:rFonts w:ascii="Verdana" w:hAnsi="Verdana"/>
          <w:sz w:val="20"/>
          <w:szCs w:val="20"/>
        </w:rPr>
        <w:t>ervaciones</w:t>
      </w:r>
      <w:r w:rsidR="00DD0086" w:rsidRPr="00194BCD">
        <w:rPr>
          <w:rFonts w:ascii="Verdana" w:hAnsi="Verdana"/>
          <w:sz w:val="20"/>
          <w:szCs w:val="20"/>
        </w:rPr>
        <w:t xml:space="preserve"> </w:t>
      </w:r>
      <w:r w:rsidR="00FE7594" w:rsidRPr="00194BCD">
        <w:rPr>
          <w:rFonts w:ascii="Verdana" w:hAnsi="Verdana"/>
          <w:sz w:val="20"/>
          <w:szCs w:val="20"/>
        </w:rPr>
        <w:t>respecto a la admisi</w:t>
      </w:r>
      <w:r w:rsidR="003435DE" w:rsidRPr="00194BCD">
        <w:rPr>
          <w:rFonts w:ascii="Verdana" w:hAnsi="Verdana"/>
          <w:sz w:val="20"/>
          <w:szCs w:val="20"/>
        </w:rPr>
        <w:t xml:space="preserve">ón de algunos </w:t>
      </w:r>
      <w:r w:rsidR="00FE7594" w:rsidRPr="00194BCD">
        <w:rPr>
          <w:rFonts w:ascii="Verdana" w:hAnsi="Verdana"/>
          <w:sz w:val="20"/>
          <w:szCs w:val="20"/>
        </w:rPr>
        <w:t>declarantes y peritos.</w:t>
      </w:r>
    </w:p>
    <w:p w:rsidR="00A937FA" w:rsidRPr="00717F67" w:rsidRDefault="00A937FA" w:rsidP="00A937FA">
      <w:pPr>
        <w:pStyle w:val="Normal1"/>
        <w:widowControl/>
        <w:contextualSpacing/>
        <w:jc w:val="both"/>
        <w:rPr>
          <w:szCs w:val="20"/>
        </w:rPr>
      </w:pPr>
    </w:p>
    <w:p w:rsidR="00CA2F39" w:rsidRPr="00717F67" w:rsidRDefault="00CF7C36" w:rsidP="00717F67">
      <w:pPr>
        <w:pStyle w:val="Normal1"/>
        <w:widowControl/>
        <w:numPr>
          <w:ilvl w:val="0"/>
          <w:numId w:val="4"/>
        </w:numPr>
        <w:ind w:left="0" w:firstLine="0"/>
        <w:contextualSpacing/>
        <w:jc w:val="both"/>
        <w:rPr>
          <w:rFonts w:ascii="Verdana" w:eastAsia="Verdana" w:hAnsi="Verdana" w:cs="Verdana"/>
          <w:color w:val="000000"/>
          <w:sz w:val="20"/>
          <w:szCs w:val="20"/>
        </w:rPr>
      </w:pPr>
      <w:r>
        <w:rPr>
          <w:rFonts w:ascii="Verdana" w:hAnsi="Verdana"/>
          <w:sz w:val="20"/>
          <w:szCs w:val="20"/>
          <w:lang w:val="es-MX"/>
        </w:rPr>
        <w:t>Dado que ni el Estado ni la Comisión objetaron</w:t>
      </w:r>
      <w:r w:rsidR="00717F67" w:rsidRPr="00717F67">
        <w:rPr>
          <w:rFonts w:ascii="Verdana" w:hAnsi="Verdana"/>
          <w:sz w:val="20"/>
          <w:szCs w:val="20"/>
          <w:lang w:val="es-MX"/>
        </w:rPr>
        <w:t xml:space="preserve"> uno de los dictámenes pericia</w:t>
      </w:r>
      <w:r w:rsidR="00D427A0">
        <w:rPr>
          <w:rFonts w:ascii="Verdana" w:hAnsi="Verdana"/>
          <w:sz w:val="20"/>
          <w:szCs w:val="20"/>
          <w:lang w:val="es-MX"/>
        </w:rPr>
        <w:t>les ofrecidos por las representantes</w:t>
      </w:r>
      <w:r w:rsidR="00717F67" w:rsidRPr="00717F67">
        <w:rPr>
          <w:rFonts w:ascii="Verdana" w:hAnsi="Verdana"/>
          <w:sz w:val="20"/>
          <w:szCs w:val="20"/>
          <w:lang w:val="es-MX"/>
        </w:rPr>
        <w:t>, esta Presidencia considera conveniente recabar dicha prueba, a efectos de que el Tribunal pueda apreciar su valor en la debida oportunidad procesal, dentro del contexto del acervo probatorio existente y según las reglas de la sana crítica. Por consiguiente, el Presidente admite el per</w:t>
      </w:r>
      <w:r w:rsidR="00E3616E">
        <w:rPr>
          <w:rFonts w:ascii="Verdana" w:hAnsi="Verdana"/>
          <w:sz w:val="20"/>
          <w:szCs w:val="20"/>
          <w:lang w:val="es-MX"/>
        </w:rPr>
        <w:t>itaje de María Fernanda López Pu</w:t>
      </w:r>
      <w:r w:rsidR="00717F67" w:rsidRPr="00717F67">
        <w:rPr>
          <w:rFonts w:ascii="Verdana" w:hAnsi="Verdana"/>
          <w:sz w:val="20"/>
          <w:szCs w:val="20"/>
          <w:lang w:val="es-MX"/>
        </w:rPr>
        <w:t>leilo</w:t>
      </w:r>
      <w:r w:rsidR="00717F67" w:rsidRPr="00717F67">
        <w:rPr>
          <w:rStyle w:val="FootnoteReference"/>
          <w:rFonts w:ascii="Verdana" w:hAnsi="Verdana"/>
          <w:sz w:val="20"/>
          <w:szCs w:val="20"/>
        </w:rPr>
        <w:footnoteReference w:id="2"/>
      </w:r>
      <w:r w:rsidR="00717F67" w:rsidRPr="00717F67">
        <w:rPr>
          <w:rFonts w:ascii="Verdana" w:hAnsi="Verdana" w:cs="Arial"/>
          <w:sz w:val="20"/>
          <w:szCs w:val="20"/>
        </w:rPr>
        <w:t xml:space="preserve">, quien declarará </w:t>
      </w:r>
      <w:r w:rsidR="00717F67" w:rsidRPr="00717F67">
        <w:rPr>
          <w:rFonts w:ascii="Verdana" w:hAnsi="Verdana"/>
          <w:sz w:val="20"/>
          <w:szCs w:val="20"/>
          <w:lang w:val="es-MX"/>
        </w:rPr>
        <w:t>según el objeto y modalidad determinados en la parte resolutiva de esta decisión.</w:t>
      </w:r>
    </w:p>
    <w:p w:rsidR="00614B5A" w:rsidRPr="00614B5A" w:rsidRDefault="00614B5A" w:rsidP="00614B5A">
      <w:pPr>
        <w:pStyle w:val="Normal1"/>
        <w:widowControl/>
        <w:autoSpaceDE w:val="0"/>
        <w:autoSpaceDN w:val="0"/>
        <w:adjustRightInd w:val="0"/>
        <w:contextualSpacing/>
        <w:jc w:val="both"/>
        <w:rPr>
          <w:szCs w:val="20"/>
        </w:rPr>
      </w:pPr>
    </w:p>
    <w:p w:rsidR="00921CB4" w:rsidRDefault="00CA2F39" w:rsidP="001B0FC2">
      <w:pPr>
        <w:pStyle w:val="Normal1"/>
        <w:widowControl/>
        <w:numPr>
          <w:ilvl w:val="0"/>
          <w:numId w:val="4"/>
        </w:numPr>
        <w:ind w:left="0" w:firstLine="0"/>
        <w:contextualSpacing/>
        <w:jc w:val="both"/>
        <w:rPr>
          <w:rFonts w:ascii="Verdana" w:eastAsia="Verdana" w:hAnsi="Verdana" w:cs="Verdana"/>
          <w:b/>
          <w:color w:val="000000"/>
          <w:sz w:val="20"/>
          <w:szCs w:val="20"/>
        </w:rPr>
      </w:pPr>
      <w:r w:rsidRPr="00130130">
        <w:rPr>
          <w:rFonts w:ascii="Verdana" w:hAnsi="Verdana"/>
          <w:sz w:val="20"/>
          <w:szCs w:val="20"/>
        </w:rPr>
        <w:t>A continuación, el Presidente</w:t>
      </w:r>
      <w:r>
        <w:rPr>
          <w:rFonts w:ascii="Verdana" w:hAnsi="Verdana"/>
          <w:sz w:val="20"/>
          <w:szCs w:val="20"/>
        </w:rPr>
        <w:t xml:space="preserve"> de la Corte (en adelante “el Presidente” o “esta Presidencia”)</w:t>
      </w:r>
      <w:r w:rsidRPr="00130130">
        <w:rPr>
          <w:rFonts w:ascii="Verdana" w:hAnsi="Verdana"/>
          <w:sz w:val="20"/>
          <w:szCs w:val="20"/>
        </w:rPr>
        <w:t xml:space="preserve"> analizará en forma particular: a)</w:t>
      </w:r>
      <w:r w:rsidR="0018211E">
        <w:rPr>
          <w:rFonts w:ascii="Verdana" w:hAnsi="Verdana"/>
          <w:sz w:val="20"/>
          <w:szCs w:val="20"/>
        </w:rPr>
        <w:t xml:space="preserve"> </w:t>
      </w:r>
      <w:r w:rsidR="00DF434C">
        <w:rPr>
          <w:rFonts w:ascii="Verdana" w:hAnsi="Verdana"/>
          <w:sz w:val="20"/>
          <w:szCs w:val="20"/>
        </w:rPr>
        <w:t>n</w:t>
      </w:r>
      <w:r w:rsidR="00114790">
        <w:rPr>
          <w:rFonts w:ascii="Verdana" w:hAnsi="Verdana"/>
          <w:sz w:val="20"/>
          <w:szCs w:val="20"/>
        </w:rPr>
        <w:t xml:space="preserve">ecesidad de convocar a audiencia pública en el presente caso; b) </w:t>
      </w:r>
      <w:r>
        <w:rPr>
          <w:rFonts w:ascii="Verdana" w:hAnsi="Verdana"/>
          <w:sz w:val="20"/>
          <w:szCs w:val="20"/>
        </w:rPr>
        <w:t xml:space="preserve">admisibilidad de las declaraciones y dictámenes periciales </w:t>
      </w:r>
      <w:r w:rsidR="00CC5521">
        <w:rPr>
          <w:rFonts w:ascii="Verdana" w:hAnsi="Verdana"/>
          <w:sz w:val="20"/>
          <w:szCs w:val="20"/>
        </w:rPr>
        <w:t>ofrecidos por l</w:t>
      </w:r>
      <w:r w:rsidR="00D427A0">
        <w:rPr>
          <w:rFonts w:ascii="Verdana" w:hAnsi="Verdana"/>
          <w:sz w:val="20"/>
          <w:szCs w:val="20"/>
        </w:rPr>
        <w:t>a</w:t>
      </w:r>
      <w:r w:rsidR="00DF434C">
        <w:rPr>
          <w:rFonts w:ascii="Verdana" w:hAnsi="Verdana"/>
          <w:sz w:val="20"/>
          <w:szCs w:val="20"/>
        </w:rPr>
        <w:t>s representantes</w:t>
      </w:r>
      <w:r>
        <w:rPr>
          <w:rFonts w:ascii="Verdana" w:hAnsi="Verdana"/>
          <w:sz w:val="20"/>
          <w:szCs w:val="20"/>
        </w:rPr>
        <w:t xml:space="preserve">; </w:t>
      </w:r>
      <w:r w:rsidR="00114790">
        <w:rPr>
          <w:rFonts w:ascii="Verdana" w:hAnsi="Verdana"/>
          <w:sz w:val="20"/>
          <w:szCs w:val="20"/>
        </w:rPr>
        <w:t>c</w:t>
      </w:r>
      <w:r>
        <w:rPr>
          <w:rFonts w:ascii="Verdana" w:hAnsi="Verdana"/>
          <w:sz w:val="20"/>
          <w:szCs w:val="20"/>
        </w:rPr>
        <w:t>) admisibilidad de la prueba pericial ofrecida p</w:t>
      </w:r>
      <w:r w:rsidR="004949FA">
        <w:rPr>
          <w:rFonts w:ascii="Verdana" w:hAnsi="Verdana"/>
          <w:sz w:val="20"/>
          <w:szCs w:val="20"/>
        </w:rPr>
        <w:t xml:space="preserve">or la Comisión Interamericana; </w:t>
      </w:r>
      <w:r w:rsidR="00114790" w:rsidRPr="004949FA">
        <w:rPr>
          <w:rFonts w:ascii="Verdana" w:hAnsi="Verdana"/>
          <w:sz w:val="20"/>
          <w:szCs w:val="20"/>
        </w:rPr>
        <w:t>d</w:t>
      </w:r>
      <w:r w:rsidR="00E3616E">
        <w:rPr>
          <w:rFonts w:ascii="Verdana" w:hAnsi="Verdana"/>
          <w:sz w:val="20"/>
          <w:szCs w:val="20"/>
        </w:rPr>
        <w:t>)</w:t>
      </w:r>
      <w:r w:rsidR="0018211E">
        <w:rPr>
          <w:rFonts w:ascii="Verdana" w:hAnsi="Verdana"/>
          <w:sz w:val="20"/>
          <w:szCs w:val="20"/>
        </w:rPr>
        <w:t xml:space="preserve"> </w:t>
      </w:r>
      <w:r w:rsidR="004949FA" w:rsidRPr="004949FA">
        <w:rPr>
          <w:rFonts w:ascii="Verdana" w:hAnsi="Verdana"/>
          <w:sz w:val="20"/>
          <w:szCs w:val="20"/>
        </w:rPr>
        <w:t>solicitud de la Comisión para f</w:t>
      </w:r>
      <w:r w:rsidR="008A136E">
        <w:rPr>
          <w:rFonts w:ascii="Verdana" w:hAnsi="Verdana"/>
          <w:sz w:val="20"/>
          <w:szCs w:val="20"/>
        </w:rPr>
        <w:t>ormular preguntas respecto a un dictamen</w:t>
      </w:r>
      <w:r w:rsidR="00EE4811">
        <w:rPr>
          <w:rFonts w:ascii="Verdana" w:hAnsi="Verdana"/>
          <w:sz w:val="20"/>
          <w:szCs w:val="20"/>
        </w:rPr>
        <w:t xml:space="preserve"> pericial ofrecido</w:t>
      </w:r>
      <w:r w:rsidR="00D427A0">
        <w:rPr>
          <w:rFonts w:ascii="Verdana" w:hAnsi="Verdana"/>
          <w:sz w:val="20"/>
          <w:szCs w:val="20"/>
        </w:rPr>
        <w:t xml:space="preserve"> por la</w:t>
      </w:r>
      <w:r w:rsidR="004949FA" w:rsidRPr="004949FA">
        <w:rPr>
          <w:rFonts w:ascii="Verdana" w:hAnsi="Verdana"/>
          <w:sz w:val="20"/>
          <w:szCs w:val="20"/>
        </w:rPr>
        <w:t xml:space="preserve">s representantes, y e) </w:t>
      </w:r>
      <w:r w:rsidRPr="004949FA">
        <w:rPr>
          <w:rFonts w:ascii="Verdana" w:hAnsi="Verdana"/>
          <w:sz w:val="20"/>
          <w:szCs w:val="20"/>
        </w:rPr>
        <w:t>aplicación</w:t>
      </w:r>
      <w:r w:rsidRPr="00F70598">
        <w:rPr>
          <w:rFonts w:ascii="Verdana" w:hAnsi="Verdana"/>
          <w:sz w:val="20"/>
          <w:szCs w:val="20"/>
        </w:rPr>
        <w:t xml:space="preserve"> del Fondo de Asistencia</w:t>
      </w:r>
      <w:r w:rsidR="00AA5142">
        <w:rPr>
          <w:rFonts w:ascii="Verdana" w:hAnsi="Verdana"/>
          <w:sz w:val="20"/>
          <w:szCs w:val="20"/>
        </w:rPr>
        <w:t xml:space="preserve"> Legal de Víctimas ante la Corte</w:t>
      </w:r>
      <w:r w:rsidRPr="00F70598">
        <w:rPr>
          <w:rFonts w:ascii="Verdana" w:hAnsi="Verdana"/>
          <w:sz w:val="20"/>
          <w:szCs w:val="20"/>
        </w:rPr>
        <w:t>.</w:t>
      </w:r>
    </w:p>
    <w:p w:rsidR="001B0FC2" w:rsidRPr="001B0FC2" w:rsidRDefault="001B0FC2" w:rsidP="001B0FC2">
      <w:pPr>
        <w:pStyle w:val="Normal1"/>
        <w:widowControl/>
        <w:contextualSpacing/>
        <w:jc w:val="both"/>
        <w:rPr>
          <w:rFonts w:ascii="Verdana" w:eastAsia="Verdana" w:hAnsi="Verdana" w:cs="Verdana"/>
          <w:b/>
          <w:color w:val="000000"/>
          <w:sz w:val="20"/>
          <w:szCs w:val="20"/>
        </w:rPr>
      </w:pPr>
    </w:p>
    <w:p w:rsidR="00921CB4" w:rsidRDefault="00E3616E" w:rsidP="00921CB4">
      <w:pPr>
        <w:pStyle w:val="ListParagraph"/>
        <w:numPr>
          <w:ilvl w:val="0"/>
          <w:numId w:val="16"/>
        </w:numPr>
        <w:spacing w:after="200" w:line="276" w:lineRule="auto"/>
        <w:ind w:right="0"/>
        <w:jc w:val="center"/>
        <w:rPr>
          <w:rFonts w:eastAsiaTheme="minorHAnsi" w:cstheme="minorBidi"/>
          <w:b/>
          <w:i/>
          <w:color w:val="auto"/>
          <w:szCs w:val="20"/>
          <w:lang w:val="es-CR"/>
        </w:rPr>
      </w:pPr>
      <w:r>
        <w:rPr>
          <w:b/>
          <w:i/>
          <w:szCs w:val="20"/>
          <w:lang w:val="es-CR"/>
        </w:rPr>
        <w:t>N</w:t>
      </w:r>
      <w:r w:rsidR="00921CB4">
        <w:rPr>
          <w:b/>
          <w:i/>
          <w:szCs w:val="20"/>
          <w:lang w:val="es-CR"/>
        </w:rPr>
        <w:t>ecesidad de convocar a audiencia pública en el presente caso</w:t>
      </w:r>
    </w:p>
    <w:p w:rsidR="00921CB4" w:rsidRDefault="00921CB4" w:rsidP="001C165B">
      <w:pPr>
        <w:pStyle w:val="Normal1"/>
        <w:widowControl/>
        <w:numPr>
          <w:ilvl w:val="0"/>
          <w:numId w:val="4"/>
        </w:numPr>
        <w:ind w:left="0" w:firstLine="0"/>
        <w:contextualSpacing/>
        <w:jc w:val="both"/>
        <w:rPr>
          <w:rFonts w:ascii="Verdana" w:hAnsi="Verdana"/>
          <w:sz w:val="20"/>
          <w:szCs w:val="20"/>
        </w:rPr>
      </w:pPr>
      <w:r>
        <w:rPr>
          <w:rFonts w:ascii="Verdana" w:hAnsi="Verdana"/>
          <w:sz w:val="20"/>
          <w:szCs w:val="20"/>
        </w:rPr>
        <w:t xml:space="preserve">El Presidente de la Corte recuerda que el artículo 15 del Reglamento de este Tribunal </w:t>
      </w:r>
      <w:r w:rsidR="00242BD8">
        <w:rPr>
          <w:rFonts w:ascii="Verdana" w:hAnsi="Verdana"/>
          <w:sz w:val="20"/>
          <w:szCs w:val="20"/>
        </w:rPr>
        <w:t xml:space="preserve">(en adelante también “el Reglamento”) </w:t>
      </w:r>
      <w:r>
        <w:rPr>
          <w:rFonts w:ascii="Verdana" w:hAnsi="Verdana"/>
          <w:sz w:val="20"/>
          <w:szCs w:val="20"/>
        </w:rPr>
        <w:t>señala que “la Corte celebrará audiencias cuando lo estime pertinente”. Así, los artícu</w:t>
      </w:r>
      <w:r w:rsidR="00867B3A">
        <w:rPr>
          <w:rFonts w:ascii="Verdana" w:hAnsi="Verdana"/>
          <w:sz w:val="20"/>
          <w:szCs w:val="20"/>
        </w:rPr>
        <w:t>los 45</w:t>
      </w:r>
      <w:r>
        <w:rPr>
          <w:rFonts w:ascii="Verdana" w:hAnsi="Verdana"/>
          <w:sz w:val="20"/>
          <w:szCs w:val="20"/>
        </w:rPr>
        <w:t xml:space="preserve"> y 50.1 del Reglamento facultan a la Corte o su Presidencia a convocar a audiencias cuando lo estimen necesario. A la luz de estos </w:t>
      </w:r>
      <w:r>
        <w:rPr>
          <w:rFonts w:ascii="Verdana" w:hAnsi="Verdana"/>
          <w:sz w:val="20"/>
          <w:szCs w:val="20"/>
        </w:rPr>
        <w:lastRenderedPageBreak/>
        <w:t xml:space="preserve">elementos, la Corte o su Presidente determinarán la pertinencia y necesidad de convocar a audiencia pública. </w:t>
      </w:r>
    </w:p>
    <w:p w:rsidR="00921CB4" w:rsidRDefault="00921CB4" w:rsidP="00921CB4">
      <w:pPr>
        <w:pStyle w:val="Normal1"/>
        <w:widowControl/>
        <w:jc w:val="both"/>
        <w:rPr>
          <w:rFonts w:ascii="Verdana" w:hAnsi="Verdana"/>
          <w:sz w:val="20"/>
          <w:szCs w:val="20"/>
        </w:rPr>
      </w:pPr>
    </w:p>
    <w:p w:rsidR="00921CB4" w:rsidRDefault="00921CB4" w:rsidP="00921CB4">
      <w:pPr>
        <w:pStyle w:val="Normal1"/>
        <w:widowControl/>
        <w:numPr>
          <w:ilvl w:val="0"/>
          <w:numId w:val="17"/>
        </w:numPr>
        <w:ind w:left="0" w:firstLine="0"/>
        <w:contextualSpacing/>
        <w:jc w:val="both"/>
        <w:rPr>
          <w:rFonts w:ascii="Verdana" w:hAnsi="Verdana"/>
          <w:sz w:val="20"/>
          <w:szCs w:val="20"/>
        </w:rPr>
      </w:pPr>
      <w:r>
        <w:rPr>
          <w:rFonts w:ascii="Verdana" w:hAnsi="Verdana"/>
          <w:sz w:val="20"/>
          <w:szCs w:val="20"/>
        </w:rPr>
        <w:t xml:space="preserve">El Presidente toma nota de la situación del presente caso, </w:t>
      </w:r>
      <w:r w:rsidR="00883EB3">
        <w:rPr>
          <w:rFonts w:ascii="Verdana" w:hAnsi="Verdana"/>
          <w:sz w:val="20"/>
          <w:szCs w:val="20"/>
        </w:rPr>
        <w:t xml:space="preserve">dado </w:t>
      </w:r>
      <w:r>
        <w:rPr>
          <w:rFonts w:ascii="Verdana" w:hAnsi="Verdana"/>
          <w:sz w:val="20"/>
          <w:szCs w:val="20"/>
        </w:rPr>
        <w:t xml:space="preserve">que </w:t>
      </w:r>
      <w:r>
        <w:rPr>
          <w:rFonts w:ascii="Verdana" w:hAnsi="Verdana" w:cs="Arial"/>
          <w:sz w:val="20"/>
          <w:szCs w:val="20"/>
        </w:rPr>
        <w:t>l</w:t>
      </w:r>
      <w:r>
        <w:rPr>
          <w:rFonts w:ascii="Verdana" w:hAnsi="Verdana"/>
          <w:sz w:val="20"/>
          <w:szCs w:val="20"/>
        </w:rPr>
        <w:t>a</w:t>
      </w:r>
      <w:r w:rsidR="00194BCD">
        <w:rPr>
          <w:rFonts w:ascii="Verdana" w:hAnsi="Verdana"/>
          <w:sz w:val="20"/>
          <w:szCs w:val="20"/>
        </w:rPr>
        <w:t>s</w:t>
      </w:r>
      <w:r>
        <w:rPr>
          <w:rFonts w:ascii="Verdana" w:hAnsi="Verdana"/>
          <w:sz w:val="20"/>
          <w:szCs w:val="20"/>
        </w:rPr>
        <w:t xml:space="preserve"> presunta</w:t>
      </w:r>
      <w:r w:rsidR="00194BCD">
        <w:rPr>
          <w:rFonts w:ascii="Verdana" w:hAnsi="Verdana"/>
          <w:sz w:val="20"/>
          <w:szCs w:val="20"/>
        </w:rPr>
        <w:t>s</w:t>
      </w:r>
      <w:r>
        <w:rPr>
          <w:rFonts w:ascii="Verdana" w:hAnsi="Verdana"/>
          <w:sz w:val="20"/>
          <w:szCs w:val="20"/>
        </w:rPr>
        <w:t xml:space="preserve"> víctima</w:t>
      </w:r>
      <w:r w:rsidR="00194BCD">
        <w:rPr>
          <w:rFonts w:ascii="Verdana" w:hAnsi="Verdana"/>
          <w:sz w:val="20"/>
          <w:szCs w:val="20"/>
        </w:rPr>
        <w:t>s</w:t>
      </w:r>
      <w:r>
        <w:rPr>
          <w:rFonts w:ascii="Verdana" w:hAnsi="Verdana"/>
          <w:sz w:val="20"/>
          <w:szCs w:val="20"/>
        </w:rPr>
        <w:t xml:space="preserve"> se e</w:t>
      </w:r>
      <w:r w:rsidR="00580E32">
        <w:rPr>
          <w:rFonts w:ascii="Verdana" w:hAnsi="Verdana"/>
          <w:sz w:val="20"/>
          <w:szCs w:val="20"/>
        </w:rPr>
        <w:t>ncuentra</w:t>
      </w:r>
      <w:r w:rsidR="00194BCD">
        <w:rPr>
          <w:rFonts w:ascii="Verdana" w:hAnsi="Verdana"/>
          <w:sz w:val="20"/>
          <w:szCs w:val="20"/>
        </w:rPr>
        <w:t>n</w:t>
      </w:r>
      <w:r w:rsidR="00580E32">
        <w:rPr>
          <w:rFonts w:ascii="Verdana" w:hAnsi="Verdana"/>
          <w:sz w:val="20"/>
          <w:szCs w:val="20"/>
        </w:rPr>
        <w:t xml:space="preserve"> fallecida</w:t>
      </w:r>
      <w:r w:rsidR="00194BCD">
        <w:rPr>
          <w:rFonts w:ascii="Verdana" w:hAnsi="Verdana"/>
          <w:sz w:val="20"/>
          <w:szCs w:val="20"/>
        </w:rPr>
        <w:t>s</w:t>
      </w:r>
      <w:r w:rsidR="00580E32">
        <w:rPr>
          <w:rFonts w:ascii="Verdana" w:hAnsi="Verdana"/>
          <w:sz w:val="20"/>
          <w:szCs w:val="20"/>
        </w:rPr>
        <w:t>, ya que el 13 de septiembre de 1996 a los señores Roberto Girón y Pedro Castillo</w:t>
      </w:r>
      <w:r>
        <w:rPr>
          <w:rFonts w:ascii="Verdana" w:hAnsi="Verdana"/>
          <w:sz w:val="20"/>
          <w:szCs w:val="20"/>
        </w:rPr>
        <w:t xml:space="preserve"> </w:t>
      </w:r>
      <w:r w:rsidR="0033328B">
        <w:rPr>
          <w:rFonts w:ascii="Verdana" w:hAnsi="Verdana"/>
          <w:sz w:val="20"/>
          <w:szCs w:val="20"/>
        </w:rPr>
        <w:t>Mendoza</w:t>
      </w:r>
      <w:r w:rsidR="00D427A0">
        <w:rPr>
          <w:rFonts w:ascii="Verdana" w:hAnsi="Verdana"/>
          <w:sz w:val="20"/>
          <w:szCs w:val="20"/>
        </w:rPr>
        <w:t xml:space="preserve"> </w:t>
      </w:r>
      <w:r>
        <w:rPr>
          <w:rFonts w:ascii="Verdana" w:hAnsi="Verdana"/>
          <w:sz w:val="20"/>
          <w:szCs w:val="20"/>
        </w:rPr>
        <w:t xml:space="preserve">(en </w:t>
      </w:r>
      <w:r w:rsidR="00580E32">
        <w:rPr>
          <w:rFonts w:ascii="Verdana" w:hAnsi="Verdana"/>
          <w:sz w:val="20"/>
          <w:szCs w:val="20"/>
        </w:rPr>
        <w:t>adelante también “señores Girón y Castillo</w:t>
      </w:r>
      <w:r>
        <w:rPr>
          <w:rFonts w:ascii="Verdana" w:hAnsi="Verdana"/>
          <w:sz w:val="20"/>
          <w:szCs w:val="20"/>
        </w:rPr>
        <w:t>”) le</w:t>
      </w:r>
      <w:r w:rsidR="00B9790E">
        <w:rPr>
          <w:rFonts w:ascii="Verdana" w:hAnsi="Verdana"/>
          <w:sz w:val="20"/>
          <w:szCs w:val="20"/>
        </w:rPr>
        <w:t>s</w:t>
      </w:r>
      <w:r>
        <w:rPr>
          <w:rFonts w:ascii="Verdana" w:hAnsi="Verdana"/>
          <w:sz w:val="20"/>
          <w:szCs w:val="20"/>
        </w:rPr>
        <w:t xml:space="preserve"> fue aplicada la pena de muerte.</w:t>
      </w:r>
      <w:r w:rsidRPr="00582851">
        <w:rPr>
          <w:rFonts w:ascii="Verdana" w:hAnsi="Verdana"/>
          <w:sz w:val="20"/>
          <w:szCs w:val="20"/>
          <w:lang w:val="es-CL"/>
        </w:rPr>
        <w:t xml:space="preserve"> </w:t>
      </w:r>
      <w:r>
        <w:rPr>
          <w:rFonts w:ascii="Verdana" w:hAnsi="Verdana"/>
          <w:sz w:val="20"/>
          <w:szCs w:val="20"/>
          <w:lang w:val="es-CL"/>
        </w:rPr>
        <w:t>Por otro lado, existe una a</w:t>
      </w:r>
      <w:r>
        <w:rPr>
          <w:rFonts w:ascii="Verdana" w:hAnsi="Verdana"/>
          <w:sz w:val="20"/>
          <w:szCs w:val="20"/>
        </w:rPr>
        <w:t>usencia de controversia fáctica, ya que los hechos no son controvertidos por el Estado, sino que la discusión jurídica gira en torno a la responsabilidad internacional de Guatemala.</w:t>
      </w:r>
    </w:p>
    <w:p w:rsidR="001E35DD" w:rsidRDefault="001E35DD" w:rsidP="001E35DD">
      <w:pPr>
        <w:pStyle w:val="Normal1"/>
        <w:widowControl/>
        <w:contextualSpacing/>
        <w:jc w:val="both"/>
        <w:rPr>
          <w:rFonts w:ascii="Verdana" w:hAnsi="Verdana"/>
          <w:sz w:val="20"/>
          <w:szCs w:val="20"/>
        </w:rPr>
      </w:pPr>
    </w:p>
    <w:p w:rsidR="00921CB4" w:rsidRPr="0032158C" w:rsidRDefault="00921CB4" w:rsidP="0032158C">
      <w:pPr>
        <w:pStyle w:val="Normal1"/>
        <w:widowControl/>
        <w:numPr>
          <w:ilvl w:val="0"/>
          <w:numId w:val="4"/>
        </w:numPr>
        <w:ind w:left="0" w:firstLine="0"/>
        <w:contextualSpacing/>
        <w:jc w:val="both"/>
        <w:rPr>
          <w:rFonts w:ascii="Verdana" w:hAnsi="Verdana"/>
          <w:sz w:val="20"/>
          <w:szCs w:val="20"/>
        </w:rPr>
      </w:pPr>
      <w:r>
        <w:rPr>
          <w:rFonts w:ascii="Verdana" w:hAnsi="Verdana"/>
          <w:sz w:val="20"/>
          <w:szCs w:val="20"/>
        </w:rPr>
        <w:t>La Comis</w:t>
      </w:r>
      <w:r w:rsidR="00D427A0">
        <w:rPr>
          <w:rFonts w:ascii="Verdana" w:hAnsi="Verdana"/>
          <w:sz w:val="20"/>
          <w:szCs w:val="20"/>
        </w:rPr>
        <w:t xml:space="preserve">ión propuso </w:t>
      </w:r>
      <w:r>
        <w:rPr>
          <w:rFonts w:ascii="Verdana" w:hAnsi="Verdana"/>
          <w:sz w:val="20"/>
          <w:szCs w:val="20"/>
        </w:rPr>
        <w:t>un peritaje sobre estándares internacionales sobre la pena de muerte y aspectos de debido proceso penal, que podrían recabarse por escrito ya que dichas temáticas ya han sido analizadas por la Corte. Adicionalm</w:t>
      </w:r>
      <w:r w:rsidR="00617DA2">
        <w:rPr>
          <w:rFonts w:ascii="Verdana" w:hAnsi="Verdana"/>
          <w:sz w:val="20"/>
          <w:szCs w:val="20"/>
        </w:rPr>
        <w:t>ente, la</w:t>
      </w:r>
      <w:r>
        <w:rPr>
          <w:rFonts w:ascii="Verdana" w:hAnsi="Verdana"/>
          <w:sz w:val="20"/>
          <w:szCs w:val="20"/>
        </w:rPr>
        <w:t>s r</w:t>
      </w:r>
      <w:r w:rsidR="001E35DD">
        <w:rPr>
          <w:rFonts w:ascii="Verdana" w:hAnsi="Verdana"/>
          <w:sz w:val="20"/>
          <w:szCs w:val="20"/>
        </w:rPr>
        <w:t>epresentantes propusieron tres</w:t>
      </w:r>
      <w:r>
        <w:rPr>
          <w:rFonts w:ascii="Verdana" w:hAnsi="Verdana"/>
          <w:sz w:val="20"/>
          <w:szCs w:val="20"/>
        </w:rPr>
        <w:t xml:space="preserve"> declarantes, </w:t>
      </w:r>
      <w:r w:rsidR="001E35DD">
        <w:rPr>
          <w:rFonts w:ascii="Verdana" w:hAnsi="Verdana"/>
          <w:sz w:val="20"/>
          <w:szCs w:val="20"/>
        </w:rPr>
        <w:t xml:space="preserve">dos ellos </w:t>
      </w:r>
      <w:r w:rsidR="00B9790E">
        <w:rPr>
          <w:rFonts w:ascii="Verdana" w:hAnsi="Verdana"/>
          <w:sz w:val="20"/>
          <w:szCs w:val="20"/>
        </w:rPr>
        <w:t>familiares de una</w:t>
      </w:r>
      <w:r>
        <w:rPr>
          <w:rFonts w:ascii="Verdana" w:hAnsi="Verdana"/>
          <w:sz w:val="20"/>
          <w:szCs w:val="20"/>
        </w:rPr>
        <w:t xml:space="preserve"> presunta víctima</w:t>
      </w:r>
      <w:r w:rsidR="001E35DD">
        <w:rPr>
          <w:rFonts w:ascii="Verdana" w:hAnsi="Verdana"/>
          <w:sz w:val="20"/>
          <w:szCs w:val="20"/>
        </w:rPr>
        <w:t xml:space="preserve"> y un testigo</w:t>
      </w:r>
      <w:r>
        <w:rPr>
          <w:rFonts w:ascii="Verdana" w:hAnsi="Verdana"/>
          <w:sz w:val="20"/>
          <w:szCs w:val="20"/>
        </w:rPr>
        <w:t>, para declarar principalmente sobre los hechos del caso, los cuales como se indicó pre</w:t>
      </w:r>
      <w:r w:rsidR="00D427A0">
        <w:rPr>
          <w:rFonts w:ascii="Verdana" w:hAnsi="Verdana"/>
          <w:sz w:val="20"/>
          <w:szCs w:val="20"/>
        </w:rPr>
        <w:t>viamente, no son controvertidos</w:t>
      </w:r>
      <w:r w:rsidR="00617DA2">
        <w:rPr>
          <w:rFonts w:ascii="Verdana" w:hAnsi="Verdana"/>
          <w:sz w:val="20"/>
          <w:szCs w:val="20"/>
        </w:rPr>
        <w:t>. Además</w:t>
      </w:r>
      <w:r w:rsidR="0033328B">
        <w:rPr>
          <w:rFonts w:ascii="Verdana" w:hAnsi="Verdana"/>
          <w:sz w:val="20"/>
          <w:szCs w:val="20"/>
        </w:rPr>
        <w:t>,</w:t>
      </w:r>
      <w:r w:rsidR="00617DA2">
        <w:rPr>
          <w:rFonts w:ascii="Verdana" w:hAnsi="Verdana"/>
          <w:sz w:val="20"/>
          <w:szCs w:val="20"/>
        </w:rPr>
        <w:t xml:space="preserve"> ofrecieron cuatro peritajes sobre </w:t>
      </w:r>
      <w:r w:rsidR="00D427A0">
        <w:rPr>
          <w:rFonts w:ascii="Verdana" w:hAnsi="Verdana"/>
          <w:sz w:val="20"/>
          <w:szCs w:val="20"/>
        </w:rPr>
        <w:t xml:space="preserve">distintos </w:t>
      </w:r>
      <w:r w:rsidR="0033328B">
        <w:rPr>
          <w:rFonts w:ascii="Verdana" w:hAnsi="Verdana"/>
          <w:sz w:val="20"/>
          <w:szCs w:val="20"/>
        </w:rPr>
        <w:t xml:space="preserve">temas </w:t>
      </w:r>
      <w:r w:rsidR="00D427A0">
        <w:rPr>
          <w:rFonts w:ascii="Verdana" w:hAnsi="Verdana"/>
          <w:sz w:val="20"/>
          <w:szCs w:val="20"/>
        </w:rPr>
        <w:t>relacionados con el debido proceso penal, la pena de muerte, la normativa vigente al momento de los hechos, la situación jurídica de las personas condenadas</w:t>
      </w:r>
      <w:r w:rsidR="00617DA2">
        <w:rPr>
          <w:rFonts w:ascii="Verdana" w:hAnsi="Verdana"/>
          <w:sz w:val="20"/>
          <w:szCs w:val="20"/>
        </w:rPr>
        <w:t>, los efectos psicológicos y psiquiátricos en las perso</w:t>
      </w:r>
      <w:r w:rsidR="0033328B">
        <w:rPr>
          <w:rFonts w:ascii="Verdana" w:hAnsi="Verdana"/>
          <w:sz w:val="20"/>
          <w:szCs w:val="20"/>
        </w:rPr>
        <w:t>nas sometidas a pena de muerte</w:t>
      </w:r>
      <w:r w:rsidR="00617DA2">
        <w:rPr>
          <w:rFonts w:ascii="Verdana" w:hAnsi="Verdana"/>
          <w:sz w:val="20"/>
          <w:szCs w:val="20"/>
        </w:rPr>
        <w:t>, entre otros</w:t>
      </w:r>
      <w:r w:rsidR="00D427A0">
        <w:rPr>
          <w:rFonts w:ascii="Verdana" w:hAnsi="Verdana"/>
          <w:sz w:val="20"/>
          <w:szCs w:val="20"/>
        </w:rPr>
        <w:t>.</w:t>
      </w:r>
      <w:r>
        <w:rPr>
          <w:rFonts w:ascii="Verdana" w:hAnsi="Verdana"/>
          <w:sz w:val="20"/>
          <w:szCs w:val="20"/>
        </w:rPr>
        <w:t xml:space="preserve"> El Estado no propuso pru</w:t>
      </w:r>
      <w:r w:rsidR="00CD605A">
        <w:rPr>
          <w:rFonts w:ascii="Verdana" w:hAnsi="Verdana"/>
          <w:sz w:val="20"/>
          <w:szCs w:val="20"/>
        </w:rPr>
        <w:t>eba testimonial ni</w:t>
      </w:r>
      <w:r>
        <w:rPr>
          <w:rFonts w:ascii="Verdana" w:hAnsi="Verdana"/>
          <w:sz w:val="20"/>
          <w:szCs w:val="20"/>
        </w:rPr>
        <w:t xml:space="preserve"> pericial. De acuerdo a lo anterior, y teniendo en cuenta lo estipulado en el artículo 50.1 del Reglamento, el objeto de las declaraciones ofrecidas, así como el principio de economía procesal, el Presidente estima conveniente recibir, por medio de declaración rendida ante fedatario público, la prue</w:t>
      </w:r>
      <w:r w:rsidR="00B9790E">
        <w:rPr>
          <w:rFonts w:ascii="Verdana" w:hAnsi="Verdana"/>
          <w:sz w:val="20"/>
          <w:szCs w:val="20"/>
        </w:rPr>
        <w:t>ba de los declarantes y peritos</w:t>
      </w:r>
      <w:r w:rsidR="0032158C">
        <w:rPr>
          <w:rFonts w:ascii="Verdana" w:hAnsi="Verdana"/>
          <w:sz w:val="20"/>
          <w:szCs w:val="20"/>
        </w:rPr>
        <w:t xml:space="preserve"> ofrecido</w:t>
      </w:r>
      <w:r w:rsidR="0061211D">
        <w:rPr>
          <w:rFonts w:ascii="Verdana" w:hAnsi="Verdana"/>
          <w:sz w:val="20"/>
          <w:szCs w:val="20"/>
        </w:rPr>
        <w:t>s por la</w:t>
      </w:r>
      <w:r w:rsidR="0032158C" w:rsidRPr="007A055E">
        <w:rPr>
          <w:rFonts w:ascii="Verdana" w:hAnsi="Verdana"/>
          <w:sz w:val="20"/>
          <w:szCs w:val="20"/>
        </w:rPr>
        <w:t>s representantes y la Comisión</w:t>
      </w:r>
      <w:r w:rsidR="0032158C" w:rsidRPr="00D15B49">
        <w:rPr>
          <w:rFonts w:ascii="Verdana" w:hAnsi="Verdana"/>
          <w:sz w:val="20"/>
          <w:szCs w:val="20"/>
        </w:rPr>
        <w:t>.</w:t>
      </w:r>
      <w:r w:rsidR="0032158C" w:rsidRPr="00207781">
        <w:rPr>
          <w:rFonts w:ascii="Verdana" w:hAnsi="Verdana"/>
          <w:sz w:val="20"/>
          <w:szCs w:val="20"/>
        </w:rPr>
        <w:t xml:space="preserve"> </w:t>
      </w:r>
    </w:p>
    <w:p w:rsidR="00921CB4" w:rsidRDefault="00921CB4" w:rsidP="00921CB4">
      <w:pPr>
        <w:pStyle w:val="Normal1"/>
        <w:widowControl/>
        <w:tabs>
          <w:tab w:val="left" w:pos="5876"/>
        </w:tabs>
        <w:jc w:val="both"/>
        <w:rPr>
          <w:rFonts w:ascii="Verdana" w:hAnsi="Verdana"/>
          <w:sz w:val="20"/>
          <w:szCs w:val="20"/>
        </w:rPr>
      </w:pPr>
      <w:r>
        <w:rPr>
          <w:rFonts w:ascii="Verdana" w:hAnsi="Verdana"/>
          <w:sz w:val="20"/>
          <w:szCs w:val="20"/>
        </w:rPr>
        <w:tab/>
      </w:r>
    </w:p>
    <w:p w:rsidR="001E35DD" w:rsidRPr="00DD0086" w:rsidRDefault="00921CB4" w:rsidP="00CA2F39">
      <w:pPr>
        <w:pStyle w:val="Normal1"/>
        <w:widowControl/>
        <w:numPr>
          <w:ilvl w:val="0"/>
          <w:numId w:val="17"/>
        </w:numPr>
        <w:ind w:left="0" w:firstLine="0"/>
        <w:contextualSpacing/>
        <w:jc w:val="both"/>
        <w:rPr>
          <w:rFonts w:ascii="Verdana" w:hAnsi="Verdana"/>
          <w:sz w:val="20"/>
          <w:szCs w:val="20"/>
        </w:rPr>
      </w:pPr>
      <w:r>
        <w:rPr>
          <w:rFonts w:ascii="Verdana" w:hAnsi="Verdana"/>
          <w:sz w:val="20"/>
          <w:szCs w:val="20"/>
        </w:rPr>
        <w:t>En razón de lo anterior y tras el análisis de los escritos principales presentados por la Comisión y por las partes, el Presidente, en consulta con el pleno de la Corte, ha decidido que no es necesario convocar a una</w:t>
      </w:r>
      <w:r w:rsidR="00894C8C">
        <w:rPr>
          <w:rFonts w:ascii="Verdana" w:hAnsi="Verdana"/>
          <w:sz w:val="20"/>
          <w:szCs w:val="20"/>
        </w:rPr>
        <w:t xml:space="preserve"> audiencia pública en este caso</w:t>
      </w:r>
      <w:r>
        <w:rPr>
          <w:rFonts w:ascii="Verdana" w:hAnsi="Verdana"/>
          <w:sz w:val="20"/>
          <w:szCs w:val="20"/>
        </w:rPr>
        <w:t>. Las declaraciones y dictámen</w:t>
      </w:r>
      <w:r w:rsidR="0061211D">
        <w:rPr>
          <w:rFonts w:ascii="Verdana" w:hAnsi="Verdana"/>
          <w:sz w:val="20"/>
          <w:szCs w:val="20"/>
        </w:rPr>
        <w:t xml:space="preserve">es periciales </w:t>
      </w:r>
      <w:r>
        <w:rPr>
          <w:rFonts w:ascii="Verdana" w:hAnsi="Verdana"/>
          <w:sz w:val="20"/>
          <w:szCs w:val="20"/>
        </w:rPr>
        <w:t>se recibirán</w:t>
      </w:r>
      <w:r w:rsidR="001E35DD">
        <w:rPr>
          <w:rFonts w:ascii="Verdana" w:hAnsi="Verdana"/>
          <w:sz w:val="20"/>
          <w:szCs w:val="20"/>
        </w:rPr>
        <w:t xml:space="preserve"> </w:t>
      </w:r>
      <w:r w:rsidR="001E35DD">
        <w:rPr>
          <w:rFonts w:ascii="Verdana" w:hAnsi="Verdana"/>
          <w:sz w:val="19"/>
          <w:szCs w:val="19"/>
        </w:rPr>
        <w:t>en la manera anteriormente indicada</w:t>
      </w:r>
      <w:r>
        <w:rPr>
          <w:rFonts w:ascii="Verdana" w:hAnsi="Verdana"/>
          <w:sz w:val="19"/>
          <w:szCs w:val="19"/>
        </w:rPr>
        <w:t>.</w:t>
      </w:r>
    </w:p>
    <w:p w:rsidR="001E35DD" w:rsidRPr="00AE0641" w:rsidRDefault="001E35DD" w:rsidP="00CA2F39">
      <w:pPr>
        <w:pStyle w:val="Normal1"/>
        <w:widowControl/>
        <w:contextualSpacing/>
        <w:jc w:val="both"/>
        <w:rPr>
          <w:rFonts w:ascii="Verdana" w:eastAsia="Verdana" w:hAnsi="Verdana" w:cs="Verdana"/>
          <w:b/>
          <w:color w:val="000000"/>
          <w:sz w:val="20"/>
          <w:szCs w:val="20"/>
        </w:rPr>
      </w:pPr>
    </w:p>
    <w:p w:rsidR="00CA2F39" w:rsidRPr="009E6643" w:rsidRDefault="00AA5142" w:rsidP="0030049B">
      <w:pPr>
        <w:pStyle w:val="ListParagraph"/>
        <w:numPr>
          <w:ilvl w:val="0"/>
          <w:numId w:val="18"/>
        </w:numPr>
        <w:spacing w:line="240" w:lineRule="auto"/>
        <w:rPr>
          <w:b/>
          <w:i/>
          <w:szCs w:val="20"/>
          <w:lang w:val="es-CR"/>
        </w:rPr>
      </w:pPr>
      <w:r>
        <w:rPr>
          <w:b/>
          <w:i/>
          <w:szCs w:val="20"/>
          <w:lang w:val="es-CR"/>
        </w:rPr>
        <w:t>Admisibilidad de los declaraciones</w:t>
      </w:r>
      <w:r w:rsidR="00CA2F39" w:rsidRPr="009E6643">
        <w:rPr>
          <w:b/>
          <w:i/>
          <w:szCs w:val="20"/>
          <w:lang w:val="es-CR"/>
        </w:rPr>
        <w:t xml:space="preserve"> y dictámenes periciales </w:t>
      </w:r>
      <w:r w:rsidR="00CC5521">
        <w:rPr>
          <w:b/>
          <w:i/>
          <w:szCs w:val="20"/>
          <w:lang w:val="es-CR"/>
        </w:rPr>
        <w:t>ofrecidos por l</w:t>
      </w:r>
      <w:r w:rsidR="00F10BA6">
        <w:rPr>
          <w:b/>
          <w:i/>
          <w:szCs w:val="20"/>
          <w:lang w:val="es-CR"/>
        </w:rPr>
        <w:t>a</w:t>
      </w:r>
      <w:r w:rsidR="00CC5521">
        <w:rPr>
          <w:b/>
          <w:i/>
          <w:szCs w:val="20"/>
          <w:lang w:val="es-CR"/>
        </w:rPr>
        <w:t xml:space="preserve">s </w:t>
      </w:r>
      <w:r w:rsidR="00D77DE7">
        <w:rPr>
          <w:b/>
          <w:i/>
          <w:szCs w:val="20"/>
          <w:lang w:val="es-CR"/>
        </w:rPr>
        <w:t>representantes</w:t>
      </w:r>
    </w:p>
    <w:p w:rsidR="00CA2F39" w:rsidRPr="009E6643" w:rsidRDefault="00CA2F39" w:rsidP="00CA2F39">
      <w:pPr>
        <w:pStyle w:val="ListParagraph"/>
        <w:spacing w:line="240" w:lineRule="auto"/>
        <w:ind w:left="1070" w:firstLine="0"/>
        <w:rPr>
          <w:b/>
          <w:i/>
          <w:szCs w:val="20"/>
          <w:lang w:val="es-CR"/>
        </w:rPr>
      </w:pPr>
    </w:p>
    <w:p w:rsidR="00CA2F39" w:rsidRDefault="001C165B" w:rsidP="00CA2F39">
      <w:pPr>
        <w:spacing w:line="240" w:lineRule="auto"/>
        <w:rPr>
          <w:i/>
          <w:szCs w:val="20"/>
          <w:lang w:val="es-CR"/>
        </w:rPr>
      </w:pPr>
      <w:r>
        <w:rPr>
          <w:i/>
          <w:szCs w:val="20"/>
          <w:lang w:val="es-CR"/>
        </w:rPr>
        <w:t>B</w:t>
      </w:r>
      <w:r w:rsidR="00CA2F39">
        <w:rPr>
          <w:i/>
          <w:szCs w:val="20"/>
          <w:lang w:val="es-CR"/>
        </w:rPr>
        <w:t>.1) Admisibilidad de los declarantes ofrecido</w:t>
      </w:r>
      <w:r w:rsidR="00CA2F39" w:rsidRPr="00E81E5D">
        <w:rPr>
          <w:i/>
          <w:szCs w:val="20"/>
          <w:lang w:val="es-CR"/>
        </w:rPr>
        <w:t>s por l</w:t>
      </w:r>
      <w:r w:rsidR="00F10BA6">
        <w:rPr>
          <w:i/>
          <w:szCs w:val="20"/>
          <w:lang w:val="es-CR"/>
        </w:rPr>
        <w:t>a</w:t>
      </w:r>
      <w:r w:rsidR="00CA2F39" w:rsidRPr="00E81E5D">
        <w:rPr>
          <w:i/>
          <w:szCs w:val="20"/>
          <w:lang w:val="es-CR"/>
        </w:rPr>
        <w:t xml:space="preserve">s </w:t>
      </w:r>
      <w:r w:rsidR="00D77DE7">
        <w:rPr>
          <w:i/>
          <w:szCs w:val="20"/>
          <w:lang w:val="es-CR"/>
        </w:rPr>
        <w:t>representantes</w:t>
      </w:r>
    </w:p>
    <w:p w:rsidR="00CA2F39" w:rsidRPr="00E81E5D" w:rsidRDefault="00CA2F39" w:rsidP="00CA2F39">
      <w:pPr>
        <w:spacing w:line="240" w:lineRule="auto"/>
        <w:rPr>
          <w:i/>
          <w:szCs w:val="20"/>
          <w:lang w:val="es-CR"/>
        </w:rPr>
      </w:pPr>
    </w:p>
    <w:p w:rsidR="00CA2F39" w:rsidRDefault="00CA2F39" w:rsidP="00CA2F39">
      <w:pPr>
        <w:pStyle w:val="Normal1"/>
        <w:numPr>
          <w:ilvl w:val="0"/>
          <w:numId w:val="4"/>
        </w:numPr>
        <w:ind w:left="0" w:firstLine="0"/>
        <w:contextualSpacing/>
        <w:jc w:val="both"/>
        <w:rPr>
          <w:rFonts w:ascii="Verdana" w:hAnsi="Verdana"/>
          <w:sz w:val="20"/>
          <w:szCs w:val="20"/>
        </w:rPr>
      </w:pPr>
      <w:r w:rsidRPr="00C11585">
        <w:rPr>
          <w:rFonts w:ascii="Verdana" w:hAnsi="Verdana"/>
          <w:sz w:val="20"/>
          <w:szCs w:val="20"/>
        </w:rPr>
        <w:t>L</w:t>
      </w:r>
      <w:r w:rsidR="00F10BA6">
        <w:rPr>
          <w:rFonts w:ascii="Verdana" w:hAnsi="Verdana"/>
          <w:sz w:val="20"/>
          <w:szCs w:val="20"/>
        </w:rPr>
        <w:t>a</w:t>
      </w:r>
      <w:r w:rsidRPr="00C11585">
        <w:rPr>
          <w:rFonts w:ascii="Verdana" w:hAnsi="Verdana"/>
          <w:sz w:val="20"/>
          <w:szCs w:val="20"/>
        </w:rPr>
        <w:t xml:space="preserve">s </w:t>
      </w:r>
      <w:r w:rsidR="00EE4811">
        <w:rPr>
          <w:rFonts w:ascii="Verdana" w:hAnsi="Verdana"/>
          <w:b/>
          <w:i/>
          <w:sz w:val="20"/>
          <w:szCs w:val="20"/>
        </w:rPr>
        <w:t>representantes</w:t>
      </w:r>
      <w:r w:rsidRPr="00C11585">
        <w:rPr>
          <w:rFonts w:ascii="Verdana" w:hAnsi="Verdana"/>
          <w:sz w:val="20"/>
          <w:szCs w:val="20"/>
        </w:rPr>
        <w:t xml:space="preserve"> ofrecieron las declaraciones de</w:t>
      </w:r>
      <w:r>
        <w:rPr>
          <w:rFonts w:ascii="Verdana" w:hAnsi="Verdana"/>
          <w:sz w:val="20"/>
          <w:szCs w:val="20"/>
        </w:rPr>
        <w:t>:</w:t>
      </w:r>
      <w:r w:rsidRPr="00C11585">
        <w:rPr>
          <w:rFonts w:ascii="Verdana" w:hAnsi="Verdana"/>
          <w:sz w:val="20"/>
          <w:szCs w:val="20"/>
        </w:rPr>
        <w:t xml:space="preserve"> i) Dora Alicia Castillo</w:t>
      </w:r>
      <w:r w:rsidR="00EE4811">
        <w:rPr>
          <w:rFonts w:ascii="Verdana" w:hAnsi="Verdana"/>
          <w:sz w:val="20"/>
          <w:szCs w:val="20"/>
        </w:rPr>
        <w:t xml:space="preserve"> Mendoza de Luna</w:t>
      </w:r>
      <w:r w:rsidR="00761607">
        <w:rPr>
          <w:rFonts w:ascii="Verdana" w:hAnsi="Verdana"/>
          <w:sz w:val="20"/>
          <w:szCs w:val="20"/>
        </w:rPr>
        <w:t xml:space="preserve"> (en adelante también “Dora Alicia Castillo”)</w:t>
      </w:r>
      <w:r>
        <w:rPr>
          <w:rStyle w:val="FootnoteReference"/>
          <w:rFonts w:ascii="Verdana" w:hAnsi="Verdana"/>
          <w:sz w:val="20"/>
          <w:szCs w:val="20"/>
        </w:rPr>
        <w:footnoteReference w:id="3"/>
      </w:r>
      <w:r>
        <w:rPr>
          <w:rFonts w:ascii="Verdana" w:hAnsi="Verdana"/>
          <w:sz w:val="20"/>
          <w:szCs w:val="20"/>
        </w:rPr>
        <w:t>;</w:t>
      </w:r>
      <w:r w:rsidRPr="00C11585">
        <w:rPr>
          <w:rFonts w:ascii="Verdana" w:hAnsi="Verdana"/>
          <w:sz w:val="20"/>
          <w:szCs w:val="20"/>
        </w:rPr>
        <w:t xml:space="preserve"> ii) Berta Lidia Mendoza</w:t>
      </w:r>
      <w:r>
        <w:rPr>
          <w:rStyle w:val="FootnoteReference"/>
          <w:rFonts w:ascii="Verdana" w:hAnsi="Verdana"/>
          <w:sz w:val="20"/>
          <w:szCs w:val="20"/>
        </w:rPr>
        <w:footnoteReference w:id="4"/>
      </w:r>
      <w:r w:rsidR="005467D5">
        <w:rPr>
          <w:rFonts w:ascii="Verdana" w:hAnsi="Verdana"/>
          <w:sz w:val="20"/>
          <w:szCs w:val="20"/>
        </w:rPr>
        <w:t>,</w:t>
      </w:r>
      <w:r>
        <w:rPr>
          <w:rFonts w:ascii="Verdana" w:hAnsi="Verdana"/>
          <w:sz w:val="20"/>
          <w:szCs w:val="20"/>
        </w:rPr>
        <w:t xml:space="preserve"> y</w:t>
      </w:r>
      <w:r w:rsidRPr="00C11585">
        <w:rPr>
          <w:rFonts w:ascii="Verdana" w:hAnsi="Verdana"/>
          <w:sz w:val="20"/>
          <w:szCs w:val="20"/>
        </w:rPr>
        <w:t xml:space="preserve"> iii) Edy Iván Bocanegra Conde</w:t>
      </w:r>
      <w:r>
        <w:rPr>
          <w:rStyle w:val="FootnoteReference"/>
          <w:rFonts w:ascii="Verdana" w:hAnsi="Verdana"/>
          <w:sz w:val="20"/>
          <w:szCs w:val="20"/>
        </w:rPr>
        <w:footnoteReference w:id="5"/>
      </w:r>
      <w:r w:rsidRPr="00C11585">
        <w:rPr>
          <w:rFonts w:ascii="Verdana" w:hAnsi="Verdana"/>
          <w:sz w:val="20"/>
          <w:szCs w:val="20"/>
        </w:rPr>
        <w:t>.</w:t>
      </w:r>
    </w:p>
    <w:p w:rsidR="00CF0605" w:rsidRPr="00C23A89" w:rsidRDefault="00CF0605" w:rsidP="00CF0605">
      <w:pPr>
        <w:pStyle w:val="Normal1"/>
        <w:contextualSpacing/>
        <w:jc w:val="both"/>
        <w:rPr>
          <w:rFonts w:ascii="Verdana" w:hAnsi="Verdana"/>
          <w:sz w:val="20"/>
          <w:szCs w:val="20"/>
        </w:rPr>
      </w:pPr>
    </w:p>
    <w:p w:rsidR="00DD0086" w:rsidRDefault="00CA2F39" w:rsidP="00531DEF">
      <w:pPr>
        <w:pStyle w:val="Normal1"/>
        <w:numPr>
          <w:ilvl w:val="0"/>
          <w:numId w:val="4"/>
        </w:numPr>
        <w:ind w:left="0" w:firstLine="0"/>
        <w:contextualSpacing/>
        <w:jc w:val="both"/>
        <w:rPr>
          <w:rFonts w:ascii="Verdana" w:hAnsi="Verdana"/>
          <w:sz w:val="20"/>
          <w:szCs w:val="20"/>
        </w:rPr>
      </w:pPr>
      <w:r w:rsidRPr="00FE7594">
        <w:rPr>
          <w:rFonts w:ascii="Verdana" w:hAnsi="Verdana"/>
          <w:sz w:val="20"/>
          <w:szCs w:val="20"/>
        </w:rPr>
        <w:t xml:space="preserve">Al respecto, </w:t>
      </w:r>
      <w:r w:rsidR="00A22095" w:rsidRPr="00FE7594">
        <w:rPr>
          <w:rFonts w:ascii="Verdana" w:hAnsi="Verdana"/>
          <w:sz w:val="20"/>
          <w:szCs w:val="20"/>
        </w:rPr>
        <w:t xml:space="preserve">la </w:t>
      </w:r>
      <w:r w:rsidR="00083DA6" w:rsidRPr="00FE7594">
        <w:rPr>
          <w:rFonts w:ascii="Verdana" w:hAnsi="Verdana"/>
          <w:b/>
          <w:i/>
          <w:sz w:val="20"/>
          <w:szCs w:val="20"/>
        </w:rPr>
        <w:t>C</w:t>
      </w:r>
      <w:r w:rsidR="00081EEB" w:rsidRPr="00FE7594">
        <w:rPr>
          <w:rFonts w:ascii="Verdana" w:hAnsi="Verdana"/>
          <w:b/>
          <w:i/>
          <w:sz w:val="20"/>
          <w:szCs w:val="20"/>
        </w:rPr>
        <w:t>omisión</w:t>
      </w:r>
      <w:r w:rsidR="00A22095" w:rsidRPr="00FE7594">
        <w:rPr>
          <w:rFonts w:ascii="Verdana" w:hAnsi="Verdana"/>
          <w:b/>
          <w:i/>
          <w:sz w:val="20"/>
          <w:szCs w:val="20"/>
        </w:rPr>
        <w:t xml:space="preserve"> </w:t>
      </w:r>
      <w:r w:rsidR="00A22095" w:rsidRPr="00FE7594">
        <w:rPr>
          <w:rFonts w:ascii="Verdana" w:hAnsi="Verdana"/>
          <w:sz w:val="20"/>
          <w:szCs w:val="20"/>
        </w:rPr>
        <w:t>no presentó observacio</w:t>
      </w:r>
      <w:r w:rsidR="0033328B">
        <w:rPr>
          <w:rFonts w:ascii="Verdana" w:hAnsi="Verdana"/>
          <w:sz w:val="20"/>
          <w:szCs w:val="20"/>
        </w:rPr>
        <w:t xml:space="preserve">nes respecto de los declarantes. Por su parte, </w:t>
      </w:r>
      <w:r w:rsidR="00081EEB" w:rsidRPr="00D77DE7">
        <w:rPr>
          <w:rFonts w:ascii="Verdana" w:hAnsi="Verdana"/>
          <w:sz w:val="20"/>
          <w:szCs w:val="20"/>
        </w:rPr>
        <w:t>e</w:t>
      </w:r>
      <w:r w:rsidR="00081EEB" w:rsidRPr="00FE7594">
        <w:rPr>
          <w:rFonts w:ascii="Verdana" w:hAnsi="Verdana"/>
          <w:sz w:val="20"/>
          <w:szCs w:val="20"/>
        </w:rPr>
        <w:t xml:space="preserve">l </w:t>
      </w:r>
      <w:r w:rsidR="00081EEB" w:rsidRPr="00FE7594">
        <w:rPr>
          <w:rFonts w:ascii="Verdana" w:hAnsi="Verdana"/>
          <w:b/>
          <w:i/>
          <w:sz w:val="20"/>
          <w:szCs w:val="20"/>
        </w:rPr>
        <w:t xml:space="preserve">Estado </w:t>
      </w:r>
      <w:r w:rsidR="00081EEB" w:rsidRPr="00FE7594">
        <w:rPr>
          <w:rFonts w:ascii="Verdana" w:hAnsi="Verdana"/>
          <w:sz w:val="20"/>
          <w:szCs w:val="20"/>
        </w:rPr>
        <w:t>present</w:t>
      </w:r>
      <w:r w:rsidR="00EB38B2" w:rsidRPr="00FE7594">
        <w:rPr>
          <w:rFonts w:ascii="Verdana" w:hAnsi="Verdana"/>
          <w:sz w:val="20"/>
          <w:szCs w:val="20"/>
        </w:rPr>
        <w:t>ó</w:t>
      </w:r>
      <w:r w:rsidR="00081EEB" w:rsidRPr="00FE7594">
        <w:rPr>
          <w:rFonts w:ascii="Verdana" w:hAnsi="Verdana"/>
          <w:sz w:val="20"/>
          <w:szCs w:val="20"/>
        </w:rPr>
        <w:t xml:space="preserve"> </w:t>
      </w:r>
      <w:r w:rsidR="0033328B">
        <w:rPr>
          <w:rFonts w:ascii="Verdana" w:hAnsi="Verdana"/>
          <w:sz w:val="20"/>
          <w:szCs w:val="20"/>
        </w:rPr>
        <w:t xml:space="preserve">las siguientes </w:t>
      </w:r>
      <w:r w:rsidR="00081EEB" w:rsidRPr="00FE7594">
        <w:rPr>
          <w:rFonts w:ascii="Verdana" w:hAnsi="Verdana"/>
          <w:sz w:val="20"/>
          <w:szCs w:val="20"/>
        </w:rPr>
        <w:t>observaciones.</w:t>
      </w:r>
      <w:r w:rsidR="00FE7594">
        <w:rPr>
          <w:rFonts w:ascii="Verdana" w:hAnsi="Verdana"/>
          <w:sz w:val="20"/>
          <w:szCs w:val="20"/>
        </w:rPr>
        <w:t xml:space="preserve"> </w:t>
      </w:r>
      <w:r w:rsidR="00162737">
        <w:rPr>
          <w:rFonts w:ascii="Verdana" w:hAnsi="Verdana"/>
          <w:sz w:val="20"/>
          <w:szCs w:val="20"/>
        </w:rPr>
        <w:t xml:space="preserve">En </w:t>
      </w:r>
      <w:r w:rsidR="004949FA">
        <w:rPr>
          <w:rFonts w:ascii="Verdana" w:hAnsi="Verdana"/>
          <w:sz w:val="20"/>
          <w:szCs w:val="20"/>
        </w:rPr>
        <w:t xml:space="preserve">cuanto al </w:t>
      </w:r>
      <w:r w:rsidR="00FE7594">
        <w:rPr>
          <w:rFonts w:ascii="Verdana" w:hAnsi="Verdana"/>
          <w:sz w:val="20"/>
          <w:szCs w:val="20"/>
        </w:rPr>
        <w:t>señor</w:t>
      </w:r>
      <w:r w:rsidR="00EB38B2" w:rsidRPr="00FE7594">
        <w:rPr>
          <w:rFonts w:ascii="Verdana" w:hAnsi="Verdana"/>
          <w:sz w:val="20"/>
          <w:szCs w:val="20"/>
        </w:rPr>
        <w:t xml:space="preserve"> Edy Iván Bocanegra Conde</w:t>
      </w:r>
      <w:r w:rsidR="00B9790E">
        <w:rPr>
          <w:rFonts w:ascii="Verdana" w:hAnsi="Verdana"/>
          <w:sz w:val="20"/>
          <w:szCs w:val="20"/>
        </w:rPr>
        <w:t xml:space="preserve"> </w:t>
      </w:r>
      <w:r w:rsidR="00162737">
        <w:rPr>
          <w:rFonts w:ascii="Verdana" w:hAnsi="Verdana"/>
          <w:sz w:val="20"/>
          <w:szCs w:val="20"/>
        </w:rPr>
        <w:t xml:space="preserve">el Estado </w:t>
      </w:r>
      <w:r w:rsidR="00B9790E">
        <w:rPr>
          <w:rFonts w:ascii="Verdana" w:hAnsi="Verdana"/>
          <w:sz w:val="20"/>
          <w:szCs w:val="20"/>
        </w:rPr>
        <w:t>señaló,</w:t>
      </w:r>
      <w:r w:rsidR="00FE7594">
        <w:rPr>
          <w:rFonts w:ascii="Verdana" w:hAnsi="Verdana"/>
          <w:sz w:val="20"/>
          <w:szCs w:val="20"/>
        </w:rPr>
        <w:t xml:space="preserve"> </w:t>
      </w:r>
      <w:r w:rsidR="00EB38B2" w:rsidRPr="00FE7594">
        <w:rPr>
          <w:rFonts w:ascii="Verdana" w:hAnsi="Verdana"/>
          <w:sz w:val="20"/>
          <w:szCs w:val="20"/>
        </w:rPr>
        <w:t>fundado en argumentos de fondo, que</w:t>
      </w:r>
      <w:r w:rsidR="00FE7594">
        <w:rPr>
          <w:rFonts w:ascii="Verdana" w:hAnsi="Verdana"/>
          <w:sz w:val="20"/>
          <w:szCs w:val="20"/>
        </w:rPr>
        <w:t xml:space="preserve"> su </w:t>
      </w:r>
      <w:r w:rsidR="001B0FC2" w:rsidRPr="00FE7594">
        <w:rPr>
          <w:rFonts w:ascii="Verdana" w:hAnsi="Verdana"/>
          <w:sz w:val="20"/>
          <w:szCs w:val="20"/>
        </w:rPr>
        <w:t xml:space="preserve">actuar </w:t>
      </w:r>
      <w:r w:rsidR="00EF5C77">
        <w:rPr>
          <w:rFonts w:ascii="Verdana" w:hAnsi="Verdana"/>
          <w:sz w:val="20"/>
          <w:szCs w:val="20"/>
        </w:rPr>
        <w:t xml:space="preserve">se llevó a cabo apegado </w:t>
      </w:r>
      <w:r w:rsidR="001B0FC2" w:rsidRPr="00FE7594">
        <w:rPr>
          <w:rFonts w:ascii="Verdana" w:hAnsi="Verdana"/>
          <w:sz w:val="20"/>
          <w:szCs w:val="20"/>
        </w:rPr>
        <w:t>al derecho positivo del país y</w:t>
      </w:r>
      <w:r w:rsidR="00FE7594">
        <w:rPr>
          <w:rFonts w:ascii="Verdana" w:hAnsi="Verdana"/>
          <w:sz w:val="20"/>
          <w:szCs w:val="20"/>
        </w:rPr>
        <w:t>,</w:t>
      </w:r>
      <w:r w:rsidR="001B0FC2" w:rsidRPr="00FE7594">
        <w:rPr>
          <w:rFonts w:ascii="Verdana" w:hAnsi="Verdana"/>
          <w:sz w:val="20"/>
          <w:szCs w:val="20"/>
        </w:rPr>
        <w:t xml:space="preserve"> por otro lado</w:t>
      </w:r>
      <w:r w:rsidR="00FE7594">
        <w:rPr>
          <w:rFonts w:ascii="Verdana" w:hAnsi="Verdana"/>
          <w:sz w:val="20"/>
          <w:szCs w:val="20"/>
        </w:rPr>
        <w:t>,</w:t>
      </w:r>
      <w:r w:rsidR="00B9790E">
        <w:rPr>
          <w:rFonts w:ascii="Verdana" w:hAnsi="Verdana"/>
          <w:sz w:val="20"/>
          <w:szCs w:val="20"/>
        </w:rPr>
        <w:t xml:space="preserve"> que el</w:t>
      </w:r>
      <w:r w:rsidR="001B0FC2" w:rsidRPr="00FE7594">
        <w:rPr>
          <w:rFonts w:ascii="Verdana" w:hAnsi="Verdana"/>
          <w:sz w:val="20"/>
          <w:szCs w:val="20"/>
        </w:rPr>
        <w:t xml:space="preserve"> momento para hacer los descargos por parte del declarante fue al tomar conocimiento del caso</w:t>
      </w:r>
      <w:r w:rsidR="00B9790E">
        <w:rPr>
          <w:rFonts w:ascii="Verdana" w:hAnsi="Verdana"/>
          <w:sz w:val="20"/>
          <w:szCs w:val="20"/>
        </w:rPr>
        <w:t xml:space="preserve"> en la jurisdicción interna</w:t>
      </w:r>
      <w:r w:rsidR="001B0FC2" w:rsidRPr="00FE7594">
        <w:rPr>
          <w:rFonts w:ascii="Verdana" w:hAnsi="Verdana"/>
          <w:sz w:val="20"/>
          <w:szCs w:val="20"/>
        </w:rPr>
        <w:t>, por tanto, su declaración carecería de relevancia para la percepción del Estado.</w:t>
      </w:r>
      <w:r w:rsidR="00FE7594">
        <w:rPr>
          <w:rFonts w:ascii="Verdana" w:hAnsi="Verdana"/>
          <w:sz w:val="20"/>
          <w:szCs w:val="20"/>
        </w:rPr>
        <w:t xml:space="preserve"> En cuanto a las señoras Dora Alicia Castillo y </w:t>
      </w:r>
      <w:r w:rsidR="00FE7594" w:rsidRPr="0073760A">
        <w:rPr>
          <w:rFonts w:ascii="Verdana" w:hAnsi="Verdana"/>
          <w:sz w:val="20"/>
          <w:szCs w:val="20"/>
        </w:rPr>
        <w:t>Berta Lidia Mendoza</w:t>
      </w:r>
      <w:r w:rsidR="00B9790E">
        <w:rPr>
          <w:rFonts w:ascii="Verdana" w:hAnsi="Verdana"/>
          <w:sz w:val="20"/>
          <w:szCs w:val="20"/>
        </w:rPr>
        <w:t>,</w:t>
      </w:r>
      <w:r w:rsidR="00FE7594">
        <w:rPr>
          <w:rFonts w:ascii="Verdana" w:hAnsi="Verdana"/>
          <w:sz w:val="20"/>
          <w:szCs w:val="20"/>
        </w:rPr>
        <w:t xml:space="preserve"> </w:t>
      </w:r>
      <w:r w:rsidR="00B9790E">
        <w:rPr>
          <w:rFonts w:ascii="Verdana" w:hAnsi="Verdana"/>
          <w:sz w:val="20"/>
          <w:szCs w:val="20"/>
        </w:rPr>
        <w:t xml:space="preserve">el Estado </w:t>
      </w:r>
      <w:r w:rsidR="00FE7594">
        <w:rPr>
          <w:rFonts w:ascii="Verdana" w:hAnsi="Verdana"/>
          <w:sz w:val="20"/>
          <w:szCs w:val="20"/>
        </w:rPr>
        <w:t>manifestó que sus declaraciones representan “</w:t>
      </w:r>
      <w:r w:rsidR="004949FA">
        <w:rPr>
          <w:rFonts w:ascii="Verdana" w:hAnsi="Verdana"/>
          <w:sz w:val="20"/>
          <w:szCs w:val="20"/>
        </w:rPr>
        <w:t xml:space="preserve">manifiestamente </w:t>
      </w:r>
      <w:r w:rsidR="00FE7594">
        <w:rPr>
          <w:rFonts w:ascii="Verdana" w:hAnsi="Verdana"/>
          <w:sz w:val="20"/>
          <w:szCs w:val="20"/>
        </w:rPr>
        <w:t>un interés</w:t>
      </w:r>
      <w:r w:rsidR="008E4B20">
        <w:rPr>
          <w:rFonts w:ascii="Verdana" w:hAnsi="Verdana"/>
          <w:sz w:val="20"/>
          <w:szCs w:val="20"/>
        </w:rPr>
        <w:t xml:space="preserve"> </w:t>
      </w:r>
      <w:r w:rsidR="00FE7594">
        <w:rPr>
          <w:rFonts w:ascii="Verdana" w:hAnsi="Verdana"/>
          <w:sz w:val="20"/>
          <w:szCs w:val="20"/>
        </w:rPr>
        <w:t>directo</w:t>
      </w:r>
      <w:r w:rsidR="008E4B20">
        <w:rPr>
          <w:rFonts w:ascii="Verdana" w:hAnsi="Verdana"/>
          <w:sz w:val="20"/>
          <w:szCs w:val="20"/>
        </w:rPr>
        <w:t xml:space="preserve"> en el presente asunto”.</w:t>
      </w:r>
    </w:p>
    <w:p w:rsidR="00937DD9" w:rsidRDefault="00937DD9" w:rsidP="00937DD9">
      <w:pPr>
        <w:pStyle w:val="ListParagraph"/>
        <w:rPr>
          <w:szCs w:val="20"/>
        </w:rPr>
      </w:pPr>
    </w:p>
    <w:p w:rsidR="004B0FBB" w:rsidRPr="004B0FBB" w:rsidRDefault="00FE7594" w:rsidP="004B0FBB">
      <w:pPr>
        <w:pStyle w:val="Normal1"/>
        <w:numPr>
          <w:ilvl w:val="0"/>
          <w:numId w:val="4"/>
        </w:numPr>
        <w:ind w:left="0" w:firstLine="0"/>
        <w:contextualSpacing/>
        <w:jc w:val="both"/>
        <w:rPr>
          <w:rFonts w:ascii="Verdana" w:hAnsi="Verdana"/>
          <w:sz w:val="20"/>
          <w:szCs w:val="20"/>
        </w:rPr>
      </w:pPr>
      <w:r w:rsidRPr="00937DD9">
        <w:rPr>
          <w:rFonts w:ascii="Verdana" w:hAnsi="Verdana"/>
          <w:sz w:val="20"/>
          <w:szCs w:val="20"/>
        </w:rPr>
        <w:t>E</w:t>
      </w:r>
      <w:r w:rsidR="00CA2F39" w:rsidRPr="00937DD9">
        <w:rPr>
          <w:rFonts w:ascii="Verdana" w:hAnsi="Verdana"/>
          <w:sz w:val="20"/>
          <w:szCs w:val="20"/>
        </w:rPr>
        <w:t xml:space="preserve">n relación con la declaración de </w:t>
      </w:r>
      <w:r w:rsidR="005467D5" w:rsidRPr="00937DD9">
        <w:rPr>
          <w:rFonts w:ascii="Verdana" w:hAnsi="Verdana"/>
          <w:sz w:val="20"/>
          <w:szCs w:val="20"/>
        </w:rPr>
        <w:t xml:space="preserve">las señoras </w:t>
      </w:r>
      <w:r w:rsidR="00162737" w:rsidRPr="00C11585">
        <w:rPr>
          <w:rFonts w:ascii="Verdana" w:hAnsi="Verdana"/>
          <w:sz w:val="20"/>
          <w:szCs w:val="20"/>
        </w:rPr>
        <w:t>Dora Alicia Castillo</w:t>
      </w:r>
      <w:r w:rsidR="00162737">
        <w:rPr>
          <w:rFonts w:ascii="Verdana" w:hAnsi="Verdana"/>
          <w:sz w:val="20"/>
          <w:szCs w:val="20"/>
        </w:rPr>
        <w:t xml:space="preserve"> Mendoza de Luna</w:t>
      </w:r>
      <w:r w:rsidR="00162737" w:rsidRPr="00937DD9">
        <w:rPr>
          <w:rFonts w:ascii="Verdana" w:hAnsi="Verdana"/>
          <w:sz w:val="20"/>
          <w:szCs w:val="20"/>
        </w:rPr>
        <w:t xml:space="preserve"> </w:t>
      </w:r>
      <w:r w:rsidR="005467D5" w:rsidRPr="00937DD9">
        <w:rPr>
          <w:rFonts w:ascii="Verdana" w:hAnsi="Verdana"/>
          <w:sz w:val="20"/>
          <w:szCs w:val="20"/>
        </w:rPr>
        <w:t>y</w:t>
      </w:r>
      <w:r w:rsidR="00CA2F39" w:rsidRPr="00937DD9">
        <w:rPr>
          <w:rFonts w:ascii="Verdana" w:hAnsi="Verdana"/>
          <w:sz w:val="20"/>
          <w:szCs w:val="20"/>
        </w:rPr>
        <w:t xml:space="preserve"> Berta Lidia Mendoza y </w:t>
      </w:r>
      <w:r w:rsidR="005467D5" w:rsidRPr="00937DD9">
        <w:rPr>
          <w:rFonts w:ascii="Verdana" w:hAnsi="Verdana"/>
          <w:sz w:val="20"/>
          <w:szCs w:val="20"/>
        </w:rPr>
        <w:t xml:space="preserve">el señor </w:t>
      </w:r>
      <w:r w:rsidR="00CA2F39" w:rsidRPr="00937DD9">
        <w:rPr>
          <w:rFonts w:ascii="Verdana" w:hAnsi="Verdana"/>
          <w:sz w:val="20"/>
          <w:szCs w:val="20"/>
        </w:rPr>
        <w:t xml:space="preserve">Edy Iván Bocanegra Conde, el Presidente nota que el objeto de dichas declaraciones </w:t>
      </w:r>
      <w:r w:rsidR="00CA2F39" w:rsidRPr="0073760A">
        <w:rPr>
          <w:rFonts w:ascii="Verdana" w:hAnsi="Verdana"/>
          <w:sz w:val="20"/>
        </w:rPr>
        <w:t>pueden contribuir a esclarecer los hechos del presente caso</w:t>
      </w:r>
      <w:r w:rsidR="00CA2F39">
        <w:rPr>
          <w:rFonts w:ascii="Verdana" w:hAnsi="Verdana"/>
          <w:sz w:val="20"/>
        </w:rPr>
        <w:t>, asimismo</w:t>
      </w:r>
      <w:r w:rsidR="00CA2F39" w:rsidRPr="0073760A">
        <w:rPr>
          <w:rFonts w:ascii="Verdana" w:hAnsi="Verdana"/>
          <w:sz w:val="20"/>
        </w:rPr>
        <w:t xml:space="preserve"> </w:t>
      </w:r>
      <w:r w:rsidR="00D37714">
        <w:rPr>
          <w:rFonts w:ascii="Verdana" w:hAnsi="Verdana"/>
          <w:sz w:val="20"/>
        </w:rPr>
        <w:t>contribuir a un mejor análisis de la controversia y las pretensiones planteadas en el presente caso.</w:t>
      </w:r>
      <w:r w:rsidR="00327600">
        <w:rPr>
          <w:rFonts w:ascii="Verdana" w:hAnsi="Verdana"/>
          <w:sz w:val="20"/>
        </w:rPr>
        <w:t xml:space="preserve"> Respecto a los </w:t>
      </w:r>
      <w:r w:rsidR="00327600" w:rsidRPr="00937DD9">
        <w:rPr>
          <w:rFonts w:ascii="Verdana" w:hAnsi="Verdana"/>
          <w:sz w:val="20"/>
          <w:szCs w:val="20"/>
        </w:rPr>
        <w:t>familiares de</w:t>
      </w:r>
      <w:r w:rsidR="004B0FBB">
        <w:rPr>
          <w:rFonts w:ascii="Verdana" w:hAnsi="Verdana"/>
          <w:sz w:val="20"/>
          <w:szCs w:val="20"/>
        </w:rPr>
        <w:t>l señor Castillo Mendoza</w:t>
      </w:r>
      <w:r w:rsidR="00327600" w:rsidRPr="00937DD9">
        <w:rPr>
          <w:rFonts w:ascii="Verdana" w:hAnsi="Verdana"/>
          <w:sz w:val="20"/>
          <w:szCs w:val="20"/>
        </w:rPr>
        <w:t>,</w:t>
      </w:r>
      <w:r w:rsidR="00245535">
        <w:rPr>
          <w:rFonts w:ascii="Verdana" w:hAnsi="Verdana"/>
          <w:sz w:val="20"/>
          <w:szCs w:val="20"/>
        </w:rPr>
        <w:t xml:space="preserve"> </w:t>
      </w:r>
      <w:r w:rsidR="004B0FBB" w:rsidRPr="00787910">
        <w:rPr>
          <w:rFonts w:ascii="Verdana" w:hAnsi="Verdana"/>
          <w:sz w:val="20"/>
          <w:szCs w:val="20"/>
        </w:rPr>
        <w:t xml:space="preserve">el Presidente estima que lo planteado por el Estado se relaciona con el valor o peso probatorio </w:t>
      </w:r>
      <w:r w:rsidR="004B0FBB">
        <w:rPr>
          <w:rFonts w:ascii="Verdana" w:hAnsi="Verdana"/>
          <w:sz w:val="20"/>
          <w:szCs w:val="20"/>
        </w:rPr>
        <w:t>de las declaraciones propuestas</w:t>
      </w:r>
      <w:r w:rsidR="004B0FBB" w:rsidRPr="00787910">
        <w:rPr>
          <w:rFonts w:ascii="Verdana" w:hAnsi="Verdana"/>
          <w:sz w:val="20"/>
          <w:szCs w:val="20"/>
        </w:rPr>
        <w:t>, pero no afecta su admisibilidad y eventual v</w:t>
      </w:r>
      <w:r w:rsidR="004B0FBB">
        <w:rPr>
          <w:rFonts w:ascii="Verdana" w:hAnsi="Verdana"/>
          <w:sz w:val="20"/>
          <w:szCs w:val="20"/>
        </w:rPr>
        <w:t>aloración por parte de la Corte. En este sentido,</w:t>
      </w:r>
      <w:r w:rsidR="004B0FBB" w:rsidRPr="00937DD9">
        <w:rPr>
          <w:rFonts w:ascii="Verdana" w:hAnsi="Verdana"/>
          <w:sz w:val="20"/>
          <w:szCs w:val="20"/>
        </w:rPr>
        <w:t xml:space="preserve"> cabe recordar lo señalado por la Corte reiteradamente que </w:t>
      </w:r>
      <w:r w:rsidR="004B0FBB" w:rsidRPr="00937DD9">
        <w:rPr>
          <w:rFonts w:ascii="Verdana" w:hAnsi="Verdana"/>
          <w:sz w:val="20"/>
          <w:szCs w:val="20"/>
          <w:lang w:eastAsia="es-ES"/>
        </w:rPr>
        <w:t>para la valoración de sus declaraciones se tomará en cuenta su condición de familiar de la presunta víctima, así como el conjunto del acervo probatorio</w:t>
      </w:r>
      <w:r w:rsidR="004B0FBB" w:rsidRPr="00937DD9">
        <w:rPr>
          <w:rStyle w:val="FootnoteReference"/>
          <w:rFonts w:ascii="Verdana" w:hAnsi="Verdana"/>
          <w:sz w:val="20"/>
          <w:szCs w:val="20"/>
          <w:lang w:eastAsia="es-ES"/>
        </w:rPr>
        <w:footnoteReference w:id="6"/>
      </w:r>
      <w:r w:rsidR="004B0FBB" w:rsidRPr="00937DD9">
        <w:rPr>
          <w:rFonts w:ascii="Verdana" w:hAnsi="Verdana"/>
          <w:sz w:val="20"/>
          <w:szCs w:val="20"/>
          <w:lang w:eastAsia="es-ES"/>
        </w:rPr>
        <w:t>.</w:t>
      </w:r>
      <w:r w:rsidR="004B0FBB">
        <w:rPr>
          <w:rFonts w:ascii="Verdana" w:hAnsi="Verdana"/>
          <w:sz w:val="20"/>
          <w:szCs w:val="20"/>
        </w:rPr>
        <w:t xml:space="preserve"> </w:t>
      </w:r>
      <w:r w:rsidR="004B0FBB" w:rsidRPr="004B0FBB">
        <w:rPr>
          <w:rFonts w:ascii="Verdana" w:hAnsi="Verdana"/>
          <w:sz w:val="20"/>
          <w:szCs w:val="20"/>
        </w:rPr>
        <w:t>De acuerdo a lo anterior, esta Presidencia considera conveniente recabar dicha prueba, a efectos de que el Tribunal pueda apreciar su valor en la debida oportunidad procesal, dentro del contexto del acervo probatorio existente y según las reglas de la sana crítica.</w:t>
      </w:r>
    </w:p>
    <w:p w:rsidR="00937DD9" w:rsidRPr="008A2E8A" w:rsidRDefault="00937DD9" w:rsidP="00937DD9">
      <w:pPr>
        <w:pStyle w:val="ListParagraph"/>
        <w:widowControl w:val="0"/>
        <w:tabs>
          <w:tab w:val="left" w:pos="0"/>
        </w:tabs>
        <w:adjustRightInd w:val="0"/>
        <w:spacing w:after="0" w:line="240" w:lineRule="auto"/>
        <w:ind w:left="0" w:right="0" w:firstLine="0"/>
        <w:rPr>
          <w:szCs w:val="20"/>
        </w:rPr>
      </w:pPr>
    </w:p>
    <w:p w:rsidR="00CA2F39" w:rsidRDefault="00CA2F39" w:rsidP="00CA2F39">
      <w:pPr>
        <w:pStyle w:val="Normal1"/>
        <w:numPr>
          <w:ilvl w:val="0"/>
          <w:numId w:val="4"/>
        </w:numPr>
        <w:ind w:left="0" w:firstLine="0"/>
        <w:contextualSpacing/>
        <w:jc w:val="both"/>
        <w:rPr>
          <w:rFonts w:ascii="Verdana" w:hAnsi="Verdana"/>
          <w:sz w:val="20"/>
          <w:szCs w:val="20"/>
        </w:rPr>
      </w:pPr>
      <w:r w:rsidRPr="0073760A">
        <w:rPr>
          <w:rFonts w:ascii="Verdana" w:hAnsi="Verdana"/>
          <w:sz w:val="20"/>
        </w:rPr>
        <w:t>Por ende,</w:t>
      </w:r>
      <w:r w:rsidR="005467D5">
        <w:rPr>
          <w:rFonts w:ascii="Verdana" w:hAnsi="Verdana"/>
          <w:sz w:val="20"/>
        </w:rPr>
        <w:t xml:space="preserve"> esta Presidencia </w:t>
      </w:r>
      <w:r w:rsidRPr="0073760A">
        <w:rPr>
          <w:rFonts w:ascii="Verdana" w:hAnsi="Verdana"/>
          <w:sz w:val="20"/>
        </w:rPr>
        <w:t>admite la</w:t>
      </w:r>
      <w:r>
        <w:rPr>
          <w:rFonts w:ascii="Verdana" w:hAnsi="Verdana"/>
          <w:sz w:val="20"/>
        </w:rPr>
        <w:t xml:space="preserve">s declaraciones </w:t>
      </w:r>
      <w:r w:rsidR="008E4B20">
        <w:rPr>
          <w:rFonts w:ascii="Verdana" w:hAnsi="Verdana"/>
          <w:sz w:val="20"/>
        </w:rPr>
        <w:t xml:space="preserve">de las </w:t>
      </w:r>
      <w:r w:rsidR="004B0FBB">
        <w:rPr>
          <w:rFonts w:ascii="Verdana" w:hAnsi="Verdana"/>
          <w:sz w:val="20"/>
        </w:rPr>
        <w:t xml:space="preserve">dos </w:t>
      </w:r>
      <w:r w:rsidR="008E4B20">
        <w:rPr>
          <w:rFonts w:ascii="Verdana" w:hAnsi="Verdana"/>
          <w:sz w:val="20"/>
        </w:rPr>
        <w:t xml:space="preserve">familiares de </w:t>
      </w:r>
      <w:r w:rsidR="00DA4EE2">
        <w:rPr>
          <w:rFonts w:ascii="Verdana" w:hAnsi="Verdana"/>
          <w:sz w:val="20"/>
        </w:rPr>
        <w:t xml:space="preserve">Pedro Castillo Mendoza </w:t>
      </w:r>
      <w:r w:rsidR="008E4B20">
        <w:rPr>
          <w:rFonts w:ascii="Verdana" w:hAnsi="Verdana"/>
          <w:sz w:val="20"/>
        </w:rPr>
        <w:t xml:space="preserve">y la declaración testimonial del señor Bocanegra Conde, </w:t>
      </w:r>
      <w:r w:rsidRPr="0073760A">
        <w:rPr>
          <w:rFonts w:ascii="Verdana" w:hAnsi="Verdana"/>
          <w:sz w:val="20"/>
        </w:rPr>
        <w:t xml:space="preserve">según el objeto definido </w:t>
      </w:r>
      <w:r w:rsidR="005467D5" w:rsidRPr="007A6929">
        <w:rPr>
          <w:rFonts w:ascii="Verdana" w:hAnsi="Verdana"/>
          <w:sz w:val="20"/>
          <w:szCs w:val="20"/>
        </w:rPr>
        <w:t xml:space="preserve">y modalidad </w:t>
      </w:r>
      <w:r w:rsidR="005467D5">
        <w:rPr>
          <w:rFonts w:ascii="Verdana" w:hAnsi="Verdana"/>
          <w:sz w:val="20"/>
          <w:szCs w:val="20"/>
        </w:rPr>
        <w:t xml:space="preserve">de presentación </w:t>
      </w:r>
      <w:r w:rsidR="005467D5" w:rsidRPr="007A6929">
        <w:rPr>
          <w:rFonts w:ascii="Verdana" w:hAnsi="Verdana"/>
          <w:sz w:val="20"/>
          <w:szCs w:val="20"/>
        </w:rPr>
        <w:t xml:space="preserve">de las declaraciones </w:t>
      </w:r>
      <w:r w:rsidRPr="0073760A">
        <w:rPr>
          <w:rFonts w:ascii="Verdana" w:hAnsi="Verdana"/>
          <w:sz w:val="20"/>
        </w:rPr>
        <w:t>en la parte resolutiva de la presente resolución (</w:t>
      </w:r>
      <w:r w:rsidRPr="0073760A">
        <w:rPr>
          <w:rFonts w:ascii="Verdana" w:hAnsi="Verdana"/>
          <w:i/>
          <w:sz w:val="20"/>
        </w:rPr>
        <w:t>infra</w:t>
      </w:r>
      <w:r w:rsidR="00937DD9">
        <w:rPr>
          <w:rFonts w:ascii="Verdana" w:hAnsi="Verdana"/>
          <w:sz w:val="20"/>
        </w:rPr>
        <w:t xml:space="preserve"> punto resolutivo 1</w:t>
      </w:r>
      <w:r w:rsidRPr="0073760A">
        <w:rPr>
          <w:rFonts w:ascii="Verdana" w:hAnsi="Verdana"/>
          <w:sz w:val="20"/>
        </w:rPr>
        <w:t>).</w:t>
      </w:r>
      <w:r w:rsidRPr="0073760A">
        <w:rPr>
          <w:rFonts w:ascii="Verdana" w:hAnsi="Verdana"/>
          <w:sz w:val="20"/>
          <w:szCs w:val="20"/>
        </w:rPr>
        <w:t xml:space="preserve"> </w:t>
      </w:r>
    </w:p>
    <w:p w:rsidR="00CA2F39" w:rsidRDefault="00CA2F39" w:rsidP="00CA2F39">
      <w:pPr>
        <w:pStyle w:val="Normal1"/>
        <w:contextualSpacing/>
        <w:jc w:val="both"/>
        <w:rPr>
          <w:rFonts w:ascii="Verdana" w:hAnsi="Verdana"/>
          <w:sz w:val="20"/>
          <w:szCs w:val="20"/>
        </w:rPr>
      </w:pPr>
    </w:p>
    <w:p w:rsidR="00CA2F39" w:rsidRDefault="001C165B" w:rsidP="00CA2F39">
      <w:pPr>
        <w:spacing w:line="240" w:lineRule="auto"/>
        <w:rPr>
          <w:i/>
          <w:szCs w:val="20"/>
          <w:lang w:val="es-CR"/>
        </w:rPr>
      </w:pPr>
      <w:r>
        <w:rPr>
          <w:i/>
          <w:szCs w:val="20"/>
          <w:lang w:val="es-CR"/>
        </w:rPr>
        <w:t>B</w:t>
      </w:r>
      <w:r w:rsidR="00CA2F39">
        <w:rPr>
          <w:i/>
          <w:szCs w:val="20"/>
          <w:lang w:val="es-CR"/>
        </w:rPr>
        <w:t xml:space="preserve">.2) Admisibilidad de los dictámenes periciales </w:t>
      </w:r>
      <w:r w:rsidR="00CC5521">
        <w:rPr>
          <w:i/>
          <w:szCs w:val="20"/>
          <w:lang w:val="es-CR"/>
        </w:rPr>
        <w:t>ofrecidos por l</w:t>
      </w:r>
      <w:r w:rsidR="00F10BA6">
        <w:rPr>
          <w:i/>
          <w:szCs w:val="20"/>
          <w:lang w:val="es-CR"/>
        </w:rPr>
        <w:t>a</w:t>
      </w:r>
      <w:r w:rsidR="00CC5521">
        <w:rPr>
          <w:i/>
          <w:szCs w:val="20"/>
          <w:lang w:val="es-CR"/>
        </w:rPr>
        <w:t xml:space="preserve">s </w:t>
      </w:r>
      <w:r w:rsidR="00D77DE7">
        <w:rPr>
          <w:i/>
          <w:szCs w:val="20"/>
          <w:lang w:val="es-CR"/>
        </w:rPr>
        <w:t>representantes</w:t>
      </w:r>
    </w:p>
    <w:p w:rsidR="00CA2F39" w:rsidRPr="0033670D" w:rsidRDefault="00CA2F39" w:rsidP="00CA2F39">
      <w:pPr>
        <w:spacing w:line="240" w:lineRule="auto"/>
        <w:rPr>
          <w:i/>
          <w:szCs w:val="20"/>
          <w:lang w:val="es-CR"/>
        </w:rPr>
      </w:pPr>
    </w:p>
    <w:p w:rsidR="00CA2F39" w:rsidRPr="004B0FBB" w:rsidRDefault="00CA2F39" w:rsidP="00CA2F39">
      <w:pPr>
        <w:pStyle w:val="Normal1"/>
        <w:widowControl/>
        <w:numPr>
          <w:ilvl w:val="0"/>
          <w:numId w:val="4"/>
        </w:numPr>
        <w:autoSpaceDE w:val="0"/>
        <w:autoSpaceDN w:val="0"/>
        <w:adjustRightInd w:val="0"/>
        <w:ind w:left="0" w:firstLine="0"/>
        <w:contextualSpacing/>
        <w:jc w:val="both"/>
        <w:rPr>
          <w:rFonts w:ascii="Verdana" w:hAnsi="Verdana"/>
          <w:sz w:val="16"/>
          <w:szCs w:val="20"/>
        </w:rPr>
      </w:pPr>
      <w:r w:rsidRPr="00C11585">
        <w:rPr>
          <w:rFonts w:ascii="Verdana" w:hAnsi="Verdana"/>
          <w:sz w:val="20"/>
          <w:szCs w:val="20"/>
        </w:rPr>
        <w:t>L</w:t>
      </w:r>
      <w:r w:rsidR="00F10BA6">
        <w:rPr>
          <w:rFonts w:ascii="Verdana" w:hAnsi="Verdana"/>
          <w:sz w:val="20"/>
          <w:szCs w:val="20"/>
        </w:rPr>
        <w:t>a</w:t>
      </w:r>
      <w:r w:rsidRPr="00C11585">
        <w:rPr>
          <w:rFonts w:ascii="Verdana" w:hAnsi="Verdana"/>
          <w:sz w:val="20"/>
          <w:szCs w:val="20"/>
        </w:rPr>
        <w:t xml:space="preserve">s </w:t>
      </w:r>
      <w:r w:rsidR="004B0FBB">
        <w:rPr>
          <w:rFonts w:ascii="Verdana" w:hAnsi="Verdana"/>
          <w:b/>
          <w:i/>
          <w:sz w:val="20"/>
        </w:rPr>
        <w:t xml:space="preserve">representantes </w:t>
      </w:r>
      <w:r w:rsidRPr="00C11585">
        <w:rPr>
          <w:rFonts w:ascii="Verdana" w:hAnsi="Verdana"/>
          <w:sz w:val="20"/>
        </w:rPr>
        <w:t>ofrecieron</w:t>
      </w:r>
      <w:r w:rsidR="00D27641">
        <w:rPr>
          <w:rFonts w:ascii="Verdana" w:hAnsi="Verdana"/>
          <w:sz w:val="20"/>
        </w:rPr>
        <w:t xml:space="preserve"> además</w:t>
      </w:r>
      <w:r w:rsidRPr="00C11585">
        <w:rPr>
          <w:rFonts w:ascii="Verdana" w:hAnsi="Verdana"/>
          <w:sz w:val="20"/>
        </w:rPr>
        <w:t xml:space="preserve"> como prueba los dictámenes periciales de</w:t>
      </w:r>
      <w:r>
        <w:rPr>
          <w:rFonts w:ascii="Verdana" w:hAnsi="Verdana"/>
          <w:sz w:val="20"/>
        </w:rPr>
        <w:t>:</w:t>
      </w:r>
      <w:r w:rsidRPr="00C11585">
        <w:rPr>
          <w:rFonts w:ascii="Verdana" w:hAnsi="Verdana"/>
          <w:sz w:val="20"/>
        </w:rPr>
        <w:t xml:space="preserve"> i) Luis Arroyo </w:t>
      </w:r>
      <w:r w:rsidRPr="002F60B3">
        <w:rPr>
          <w:rFonts w:ascii="Verdana" w:hAnsi="Verdana"/>
          <w:sz w:val="20"/>
          <w:szCs w:val="20"/>
        </w:rPr>
        <w:t>Zapatero</w:t>
      </w:r>
      <w:r w:rsidRPr="002F60B3">
        <w:rPr>
          <w:rStyle w:val="FootnoteReference"/>
          <w:rFonts w:ascii="Verdana" w:hAnsi="Verdana"/>
          <w:sz w:val="20"/>
          <w:szCs w:val="20"/>
        </w:rPr>
        <w:footnoteReference w:id="7"/>
      </w:r>
      <w:r w:rsidRPr="002F60B3">
        <w:rPr>
          <w:rFonts w:ascii="Verdana" w:hAnsi="Verdana"/>
          <w:sz w:val="20"/>
          <w:szCs w:val="20"/>
        </w:rPr>
        <w:t>; ii) Enrique Oscar Stola</w:t>
      </w:r>
      <w:r w:rsidRPr="002F60B3">
        <w:rPr>
          <w:rStyle w:val="FootnoteReference"/>
          <w:rFonts w:ascii="Verdana" w:hAnsi="Verdana"/>
          <w:sz w:val="20"/>
          <w:szCs w:val="20"/>
        </w:rPr>
        <w:footnoteReference w:id="8"/>
      </w:r>
      <w:r w:rsidR="00D27641">
        <w:rPr>
          <w:rFonts w:ascii="Verdana" w:hAnsi="Verdana"/>
          <w:sz w:val="20"/>
          <w:szCs w:val="20"/>
        </w:rPr>
        <w:t>, y iii</w:t>
      </w:r>
      <w:r w:rsidRPr="002F60B3">
        <w:rPr>
          <w:rFonts w:ascii="Verdana" w:hAnsi="Verdana"/>
          <w:sz w:val="20"/>
          <w:szCs w:val="20"/>
        </w:rPr>
        <w:t>) Alejandro Rodríguez Barillas</w:t>
      </w:r>
      <w:r w:rsidRPr="002F60B3">
        <w:rPr>
          <w:rStyle w:val="FootnoteReference"/>
          <w:rFonts w:ascii="Verdana" w:hAnsi="Verdana"/>
          <w:sz w:val="20"/>
          <w:szCs w:val="20"/>
        </w:rPr>
        <w:footnoteReference w:id="9"/>
      </w:r>
      <w:r w:rsidRPr="002F60B3">
        <w:rPr>
          <w:rFonts w:ascii="Verdana" w:hAnsi="Verdana"/>
          <w:sz w:val="20"/>
          <w:szCs w:val="20"/>
        </w:rPr>
        <w:t>.</w:t>
      </w:r>
      <w:r w:rsidR="00937DD9">
        <w:rPr>
          <w:rFonts w:ascii="Verdana" w:hAnsi="Verdana"/>
          <w:sz w:val="20"/>
        </w:rPr>
        <w:t xml:space="preserve"> </w:t>
      </w:r>
    </w:p>
    <w:p w:rsidR="004B0FBB" w:rsidRPr="00C23A89" w:rsidRDefault="004B0FBB" w:rsidP="004B0FBB">
      <w:pPr>
        <w:pStyle w:val="Normal1"/>
        <w:widowControl/>
        <w:autoSpaceDE w:val="0"/>
        <w:autoSpaceDN w:val="0"/>
        <w:adjustRightInd w:val="0"/>
        <w:contextualSpacing/>
        <w:jc w:val="both"/>
        <w:rPr>
          <w:rFonts w:ascii="Verdana" w:hAnsi="Verdana"/>
          <w:sz w:val="16"/>
          <w:szCs w:val="20"/>
        </w:rPr>
      </w:pPr>
    </w:p>
    <w:p w:rsidR="00CA2F39" w:rsidRPr="00CF7C36" w:rsidRDefault="00937DD9" w:rsidP="00CF7C36">
      <w:pPr>
        <w:pStyle w:val="Normal1"/>
        <w:numPr>
          <w:ilvl w:val="0"/>
          <w:numId w:val="4"/>
        </w:numPr>
        <w:ind w:left="0" w:firstLine="0"/>
        <w:contextualSpacing/>
        <w:jc w:val="both"/>
        <w:rPr>
          <w:rFonts w:ascii="Verdana" w:hAnsi="Verdana"/>
          <w:sz w:val="20"/>
          <w:szCs w:val="20"/>
        </w:rPr>
      </w:pPr>
      <w:r w:rsidRPr="00436F08">
        <w:rPr>
          <w:rFonts w:ascii="Verdana" w:hAnsi="Verdana"/>
          <w:sz w:val="20"/>
        </w:rPr>
        <w:t xml:space="preserve">El </w:t>
      </w:r>
      <w:r w:rsidRPr="00436F08">
        <w:rPr>
          <w:rFonts w:ascii="Verdana" w:hAnsi="Verdana"/>
          <w:b/>
          <w:i/>
          <w:sz w:val="20"/>
        </w:rPr>
        <w:t>Estado</w:t>
      </w:r>
      <w:r w:rsidRPr="00436F08">
        <w:rPr>
          <w:rFonts w:ascii="Verdana" w:hAnsi="Verdana"/>
          <w:sz w:val="20"/>
        </w:rPr>
        <w:t xml:space="preserve"> presentó varias observaciones a los dictámenes periciales propuestos por las defensoras.</w:t>
      </w:r>
      <w:r w:rsidR="00BC1799" w:rsidRPr="00436F08">
        <w:rPr>
          <w:rFonts w:ascii="Verdana" w:hAnsi="Verdana"/>
          <w:b/>
          <w:i/>
          <w:sz w:val="20"/>
          <w:szCs w:val="20"/>
        </w:rPr>
        <w:t xml:space="preserve"> </w:t>
      </w:r>
      <w:r w:rsidRPr="00436F08">
        <w:rPr>
          <w:rFonts w:ascii="Verdana" w:hAnsi="Verdana"/>
          <w:sz w:val="20"/>
          <w:szCs w:val="20"/>
        </w:rPr>
        <w:t>E</w:t>
      </w:r>
      <w:r w:rsidR="00BC1799" w:rsidRPr="00436F08">
        <w:rPr>
          <w:rFonts w:ascii="Verdana" w:hAnsi="Verdana"/>
          <w:sz w:val="20"/>
          <w:szCs w:val="20"/>
        </w:rPr>
        <w:t>n primer lugar</w:t>
      </w:r>
      <w:r w:rsidRPr="00436F08">
        <w:rPr>
          <w:rFonts w:ascii="Verdana" w:hAnsi="Verdana"/>
          <w:sz w:val="20"/>
          <w:szCs w:val="20"/>
        </w:rPr>
        <w:t xml:space="preserve">, en cuanto al </w:t>
      </w:r>
      <w:r w:rsidR="00436F08" w:rsidRPr="00436F08">
        <w:rPr>
          <w:rFonts w:ascii="Verdana" w:hAnsi="Verdana"/>
          <w:sz w:val="20"/>
          <w:szCs w:val="20"/>
        </w:rPr>
        <w:t xml:space="preserve">peritaje del </w:t>
      </w:r>
      <w:r w:rsidRPr="00436F08">
        <w:rPr>
          <w:rFonts w:ascii="Verdana" w:hAnsi="Verdana"/>
          <w:sz w:val="20"/>
          <w:szCs w:val="20"/>
        </w:rPr>
        <w:t xml:space="preserve">señor </w:t>
      </w:r>
      <w:r w:rsidR="0058134A" w:rsidRPr="00436F08">
        <w:rPr>
          <w:rFonts w:ascii="Verdana" w:hAnsi="Verdana"/>
          <w:sz w:val="20"/>
          <w:szCs w:val="20"/>
        </w:rPr>
        <w:t xml:space="preserve">Luis Arroyo Zapatero, </w:t>
      </w:r>
      <w:r w:rsidRPr="00436F08">
        <w:rPr>
          <w:rFonts w:ascii="Verdana" w:hAnsi="Verdana"/>
          <w:sz w:val="20"/>
          <w:szCs w:val="20"/>
        </w:rPr>
        <w:t xml:space="preserve">señaló que a pesar </w:t>
      </w:r>
      <w:r w:rsidR="0058134A" w:rsidRPr="00436F08">
        <w:rPr>
          <w:rFonts w:ascii="Verdana" w:hAnsi="Verdana"/>
          <w:sz w:val="20"/>
          <w:szCs w:val="20"/>
        </w:rPr>
        <w:t xml:space="preserve">de contar con una </w:t>
      </w:r>
      <w:r w:rsidR="007E5D4E">
        <w:rPr>
          <w:rFonts w:ascii="Verdana" w:hAnsi="Verdana"/>
          <w:sz w:val="20"/>
          <w:szCs w:val="20"/>
        </w:rPr>
        <w:t>v</w:t>
      </w:r>
      <w:r w:rsidR="0058134A" w:rsidRPr="00436F08">
        <w:rPr>
          <w:rFonts w:ascii="Verdana" w:hAnsi="Verdana"/>
          <w:sz w:val="20"/>
          <w:szCs w:val="20"/>
        </w:rPr>
        <w:t>asta trayectoria como profesional del d</w:t>
      </w:r>
      <w:r w:rsidR="00436F08">
        <w:rPr>
          <w:rFonts w:ascii="Verdana" w:hAnsi="Verdana"/>
          <w:sz w:val="20"/>
          <w:szCs w:val="20"/>
        </w:rPr>
        <w:t>erecho, solo recientemente “se</w:t>
      </w:r>
      <w:r w:rsidR="0058134A" w:rsidRPr="00436F08">
        <w:rPr>
          <w:rFonts w:ascii="Verdana" w:hAnsi="Verdana"/>
          <w:sz w:val="20"/>
          <w:szCs w:val="20"/>
        </w:rPr>
        <w:t xml:space="preserve"> </w:t>
      </w:r>
      <w:r w:rsidR="006E6112">
        <w:rPr>
          <w:rFonts w:ascii="Verdana" w:hAnsi="Verdana"/>
          <w:sz w:val="20"/>
          <w:szCs w:val="20"/>
        </w:rPr>
        <w:t>entroniza</w:t>
      </w:r>
      <w:r w:rsidR="0058134A" w:rsidRPr="00436F08">
        <w:rPr>
          <w:rFonts w:ascii="Verdana" w:hAnsi="Verdana"/>
          <w:sz w:val="20"/>
          <w:szCs w:val="20"/>
        </w:rPr>
        <w:t xml:space="preserve"> en el campo de la pena de muerte</w:t>
      </w:r>
      <w:r w:rsidR="00436F08">
        <w:rPr>
          <w:rFonts w:ascii="Verdana" w:hAnsi="Verdana"/>
          <w:sz w:val="20"/>
          <w:szCs w:val="20"/>
        </w:rPr>
        <w:t>”</w:t>
      </w:r>
      <w:r w:rsidR="000A1784">
        <w:rPr>
          <w:rFonts w:ascii="Verdana" w:hAnsi="Verdana"/>
          <w:sz w:val="20"/>
          <w:szCs w:val="20"/>
        </w:rPr>
        <w:t xml:space="preserve">, </w:t>
      </w:r>
      <w:r w:rsidR="0058134A" w:rsidRPr="00436F08">
        <w:rPr>
          <w:rFonts w:ascii="Verdana" w:hAnsi="Verdana"/>
          <w:sz w:val="20"/>
          <w:szCs w:val="20"/>
        </w:rPr>
        <w:t>y que</w:t>
      </w:r>
      <w:r w:rsidR="000A1784">
        <w:rPr>
          <w:rFonts w:ascii="Verdana" w:hAnsi="Verdana"/>
          <w:sz w:val="20"/>
          <w:szCs w:val="20"/>
        </w:rPr>
        <w:t>,</w:t>
      </w:r>
      <w:r w:rsidR="0058134A" w:rsidRPr="00436F08">
        <w:rPr>
          <w:rFonts w:ascii="Verdana" w:hAnsi="Verdana"/>
          <w:sz w:val="20"/>
          <w:szCs w:val="20"/>
        </w:rPr>
        <w:t xml:space="preserve"> por lo demás </w:t>
      </w:r>
      <w:r w:rsidR="006E6112">
        <w:rPr>
          <w:rFonts w:ascii="Verdana" w:hAnsi="Verdana"/>
          <w:sz w:val="20"/>
          <w:szCs w:val="20"/>
        </w:rPr>
        <w:t>no está familiarizado con e</w:t>
      </w:r>
      <w:r w:rsidR="0058134A" w:rsidRPr="00436F08">
        <w:rPr>
          <w:rFonts w:ascii="Verdana" w:hAnsi="Verdana"/>
          <w:sz w:val="20"/>
          <w:szCs w:val="20"/>
        </w:rPr>
        <w:t>l contexto y características d</w:t>
      </w:r>
      <w:r w:rsidRPr="00436F08">
        <w:rPr>
          <w:rFonts w:ascii="Verdana" w:hAnsi="Verdana"/>
          <w:sz w:val="20"/>
          <w:szCs w:val="20"/>
        </w:rPr>
        <w:t xml:space="preserve">el sistema penal guatemalteco. En segundo lugar, en cuanto al </w:t>
      </w:r>
      <w:r w:rsidR="00436F08" w:rsidRPr="00436F08">
        <w:rPr>
          <w:rFonts w:ascii="Verdana" w:hAnsi="Verdana"/>
          <w:sz w:val="20"/>
          <w:szCs w:val="20"/>
        </w:rPr>
        <w:t xml:space="preserve">dictamen del </w:t>
      </w:r>
      <w:r w:rsidRPr="00436F08">
        <w:rPr>
          <w:rFonts w:ascii="Verdana" w:hAnsi="Verdana"/>
          <w:sz w:val="20"/>
          <w:szCs w:val="20"/>
        </w:rPr>
        <w:t xml:space="preserve">señor </w:t>
      </w:r>
      <w:r w:rsidR="0058134A" w:rsidRPr="00436F08">
        <w:rPr>
          <w:rFonts w:ascii="Verdana" w:hAnsi="Verdana"/>
          <w:sz w:val="20"/>
          <w:szCs w:val="20"/>
        </w:rPr>
        <w:t xml:space="preserve">Enrique Oscar Stola, </w:t>
      </w:r>
      <w:r w:rsidRPr="00436F08">
        <w:rPr>
          <w:rFonts w:ascii="Verdana" w:hAnsi="Verdana"/>
          <w:sz w:val="20"/>
          <w:szCs w:val="20"/>
        </w:rPr>
        <w:t xml:space="preserve">manifestó que su experticia es en </w:t>
      </w:r>
      <w:r w:rsidR="0058134A" w:rsidRPr="00436F08">
        <w:rPr>
          <w:rFonts w:ascii="Verdana" w:hAnsi="Verdana"/>
          <w:sz w:val="20"/>
          <w:szCs w:val="20"/>
        </w:rPr>
        <w:t xml:space="preserve">psicología clínica, más no en lo que respecta específicamente </w:t>
      </w:r>
      <w:r w:rsidR="006E6112">
        <w:rPr>
          <w:rFonts w:ascii="Verdana" w:hAnsi="Verdana"/>
          <w:sz w:val="20"/>
          <w:szCs w:val="20"/>
        </w:rPr>
        <w:t xml:space="preserve">a </w:t>
      </w:r>
      <w:r w:rsidR="0058134A" w:rsidRPr="00436F08">
        <w:rPr>
          <w:rFonts w:ascii="Verdana" w:hAnsi="Verdana"/>
          <w:sz w:val="20"/>
          <w:szCs w:val="20"/>
        </w:rPr>
        <w:t>la pena d</w:t>
      </w:r>
      <w:r w:rsidRPr="00436F08">
        <w:rPr>
          <w:rFonts w:ascii="Verdana" w:hAnsi="Verdana"/>
          <w:sz w:val="20"/>
          <w:szCs w:val="20"/>
        </w:rPr>
        <w:t>e muerte</w:t>
      </w:r>
      <w:r w:rsidR="00B9790E">
        <w:rPr>
          <w:rFonts w:ascii="Verdana" w:hAnsi="Verdana"/>
          <w:sz w:val="20"/>
          <w:szCs w:val="20"/>
        </w:rPr>
        <w:t xml:space="preserve">. </w:t>
      </w:r>
      <w:r w:rsidR="00B9790E" w:rsidRPr="00A64BAC">
        <w:rPr>
          <w:rFonts w:ascii="Verdana" w:hAnsi="Verdana"/>
          <w:sz w:val="20"/>
          <w:szCs w:val="20"/>
        </w:rPr>
        <w:t>F</w:t>
      </w:r>
      <w:r w:rsidR="0044698C" w:rsidRPr="00A64BAC">
        <w:rPr>
          <w:rFonts w:ascii="Verdana" w:hAnsi="Verdana"/>
          <w:sz w:val="20"/>
          <w:szCs w:val="20"/>
        </w:rPr>
        <w:t>inalmente</w:t>
      </w:r>
      <w:r w:rsidR="00B9790E" w:rsidRPr="00A64BAC">
        <w:rPr>
          <w:rFonts w:ascii="Verdana" w:hAnsi="Verdana"/>
          <w:sz w:val="20"/>
          <w:szCs w:val="20"/>
        </w:rPr>
        <w:t>,</w:t>
      </w:r>
      <w:r w:rsidR="0044698C" w:rsidRPr="00A64BAC">
        <w:rPr>
          <w:rFonts w:ascii="Verdana" w:hAnsi="Verdana"/>
          <w:sz w:val="20"/>
          <w:szCs w:val="20"/>
        </w:rPr>
        <w:t xml:space="preserve"> </w:t>
      </w:r>
      <w:r w:rsidRPr="00A64BAC">
        <w:rPr>
          <w:rFonts w:ascii="Verdana" w:hAnsi="Verdana"/>
          <w:sz w:val="20"/>
          <w:szCs w:val="20"/>
        </w:rPr>
        <w:t>en cuanto al</w:t>
      </w:r>
      <w:r w:rsidR="00436F08" w:rsidRPr="00A64BAC">
        <w:rPr>
          <w:rFonts w:ascii="Verdana" w:hAnsi="Verdana"/>
          <w:sz w:val="20"/>
          <w:szCs w:val="20"/>
        </w:rPr>
        <w:t xml:space="preserve"> </w:t>
      </w:r>
      <w:r w:rsidR="0044698C" w:rsidRPr="00A64BAC">
        <w:rPr>
          <w:rFonts w:ascii="Verdana" w:hAnsi="Verdana"/>
          <w:sz w:val="20"/>
          <w:szCs w:val="20"/>
        </w:rPr>
        <w:t xml:space="preserve">dictamen pericial del señor Alejandro Rodríguez Barillas, </w:t>
      </w:r>
      <w:r w:rsidR="00436F08" w:rsidRPr="00A64BAC">
        <w:rPr>
          <w:rFonts w:ascii="Verdana" w:hAnsi="Verdana"/>
          <w:sz w:val="20"/>
          <w:szCs w:val="20"/>
        </w:rPr>
        <w:t>anotó</w:t>
      </w:r>
      <w:r w:rsidR="0044698C" w:rsidRPr="00A64BAC">
        <w:rPr>
          <w:rFonts w:ascii="Verdana" w:hAnsi="Verdana"/>
          <w:sz w:val="20"/>
          <w:szCs w:val="20"/>
        </w:rPr>
        <w:t xml:space="preserve"> la existencia de una sola publicación relativa a la pena de muert</w:t>
      </w:r>
      <w:r w:rsidR="004B0FBB" w:rsidRPr="00A64BAC">
        <w:rPr>
          <w:rFonts w:ascii="Verdana" w:hAnsi="Verdana"/>
          <w:sz w:val="20"/>
          <w:szCs w:val="20"/>
        </w:rPr>
        <w:t>e de autoría del perito</w:t>
      </w:r>
      <w:r w:rsidR="004B0FBB">
        <w:rPr>
          <w:rFonts w:ascii="Verdana" w:hAnsi="Verdana"/>
          <w:sz w:val="20"/>
          <w:szCs w:val="20"/>
        </w:rPr>
        <w:t xml:space="preserve"> propuesto</w:t>
      </w:r>
      <w:r w:rsidR="006E6112">
        <w:rPr>
          <w:rFonts w:ascii="Verdana" w:hAnsi="Verdana"/>
          <w:sz w:val="20"/>
          <w:szCs w:val="20"/>
        </w:rPr>
        <w:t>, aunque estaría familiarizado con el entorno jurídico guatemalteco</w:t>
      </w:r>
      <w:r w:rsidR="0044698C" w:rsidRPr="00436F08">
        <w:rPr>
          <w:rFonts w:ascii="Verdana" w:hAnsi="Verdana"/>
          <w:sz w:val="20"/>
          <w:szCs w:val="20"/>
        </w:rPr>
        <w:t xml:space="preserve">. </w:t>
      </w:r>
      <w:r w:rsidR="00436F08">
        <w:rPr>
          <w:rFonts w:ascii="Verdana" w:hAnsi="Verdana"/>
          <w:sz w:val="20"/>
          <w:szCs w:val="20"/>
        </w:rPr>
        <w:t>Por lo que consideró que respecto al primero “su exposición estaría prácticamente basada en literatura jurídica relacionada” y respecto a los otros dos no aportarán elementos nuevos que coadyuven al conocimiento del Tribunal</w:t>
      </w:r>
      <w:r w:rsidR="00B9790E">
        <w:rPr>
          <w:rFonts w:ascii="Verdana" w:hAnsi="Verdana"/>
          <w:sz w:val="20"/>
          <w:szCs w:val="20"/>
        </w:rPr>
        <w:t>.</w:t>
      </w:r>
      <w:r w:rsidR="006E6112" w:rsidRPr="006E6112">
        <w:rPr>
          <w:b/>
          <w:sz w:val="16"/>
          <w:szCs w:val="16"/>
        </w:rPr>
        <w:t xml:space="preserve"> </w:t>
      </w:r>
    </w:p>
    <w:p w:rsidR="00CF7C36" w:rsidRPr="00CF7C36" w:rsidRDefault="00CF7C36" w:rsidP="00CF7C36">
      <w:pPr>
        <w:pStyle w:val="Normal1"/>
        <w:contextualSpacing/>
        <w:jc w:val="both"/>
        <w:rPr>
          <w:rFonts w:ascii="Verdana" w:hAnsi="Verdana"/>
          <w:sz w:val="20"/>
          <w:szCs w:val="20"/>
        </w:rPr>
      </w:pPr>
    </w:p>
    <w:p w:rsidR="00CA2F39" w:rsidRPr="00C23A89" w:rsidRDefault="00525D19" w:rsidP="00CA2F39">
      <w:pPr>
        <w:pStyle w:val="Normal1"/>
        <w:widowControl/>
        <w:numPr>
          <w:ilvl w:val="0"/>
          <w:numId w:val="4"/>
        </w:numPr>
        <w:autoSpaceDE w:val="0"/>
        <w:autoSpaceDN w:val="0"/>
        <w:adjustRightInd w:val="0"/>
        <w:ind w:left="0" w:firstLine="0"/>
        <w:contextualSpacing/>
        <w:jc w:val="both"/>
        <w:rPr>
          <w:rFonts w:ascii="Verdana" w:hAnsi="Verdana"/>
          <w:sz w:val="20"/>
          <w:szCs w:val="20"/>
        </w:rPr>
      </w:pPr>
      <w:r>
        <w:rPr>
          <w:rFonts w:ascii="Verdana" w:hAnsi="Verdana"/>
          <w:sz w:val="20"/>
          <w:szCs w:val="20"/>
        </w:rPr>
        <w:t>E</w:t>
      </w:r>
      <w:r w:rsidR="0033328B" w:rsidRPr="00C23A89">
        <w:rPr>
          <w:rFonts w:ascii="Verdana" w:hAnsi="Verdana"/>
          <w:sz w:val="20"/>
          <w:szCs w:val="20"/>
        </w:rPr>
        <w:t xml:space="preserve">l Presidente </w:t>
      </w:r>
      <w:r>
        <w:rPr>
          <w:rFonts w:ascii="Verdana" w:hAnsi="Verdana"/>
          <w:sz w:val="20"/>
          <w:szCs w:val="20"/>
        </w:rPr>
        <w:t>hace notar</w:t>
      </w:r>
      <w:r w:rsidR="0033328B">
        <w:rPr>
          <w:rFonts w:ascii="Verdana" w:hAnsi="Verdana"/>
          <w:sz w:val="20"/>
          <w:szCs w:val="20"/>
        </w:rPr>
        <w:t xml:space="preserve"> que el objeto de los</w:t>
      </w:r>
      <w:r w:rsidR="0033328B" w:rsidRPr="00C23A89">
        <w:rPr>
          <w:rFonts w:ascii="Verdana" w:hAnsi="Verdana"/>
          <w:sz w:val="20"/>
          <w:szCs w:val="20"/>
        </w:rPr>
        <w:t xml:space="preserve"> peritaje</w:t>
      </w:r>
      <w:r w:rsidR="0033328B">
        <w:rPr>
          <w:rFonts w:ascii="Verdana" w:hAnsi="Verdana"/>
          <w:sz w:val="20"/>
          <w:szCs w:val="20"/>
        </w:rPr>
        <w:t>s</w:t>
      </w:r>
      <w:r w:rsidR="0033328B" w:rsidRPr="00C23A89">
        <w:rPr>
          <w:rFonts w:ascii="Verdana" w:hAnsi="Verdana"/>
          <w:sz w:val="20"/>
          <w:szCs w:val="20"/>
        </w:rPr>
        <w:t xml:space="preserve"> se relaciona</w:t>
      </w:r>
      <w:r w:rsidR="0033328B">
        <w:rPr>
          <w:rFonts w:ascii="Verdana" w:hAnsi="Verdana"/>
          <w:sz w:val="20"/>
          <w:szCs w:val="20"/>
        </w:rPr>
        <w:t>n</w:t>
      </w:r>
      <w:r w:rsidR="0033328B" w:rsidRPr="00C23A89">
        <w:rPr>
          <w:rFonts w:ascii="Verdana" w:hAnsi="Verdana"/>
          <w:sz w:val="20"/>
          <w:szCs w:val="20"/>
        </w:rPr>
        <w:t xml:space="preserve"> con aspectos relevantes para la resolución del presente </w:t>
      </w:r>
      <w:r w:rsidR="0033328B" w:rsidRPr="00A64BAC">
        <w:rPr>
          <w:rFonts w:ascii="Verdana" w:hAnsi="Verdana"/>
          <w:sz w:val="20"/>
          <w:szCs w:val="20"/>
        </w:rPr>
        <w:t>caso. E</w:t>
      </w:r>
      <w:r w:rsidR="00CA2F39" w:rsidRPr="00A64BAC">
        <w:rPr>
          <w:rFonts w:ascii="Verdana" w:hAnsi="Verdana"/>
          <w:sz w:val="20"/>
          <w:szCs w:val="20"/>
        </w:rPr>
        <w:t>n lo que respecta al dictamen pericial</w:t>
      </w:r>
      <w:r w:rsidR="00D27641" w:rsidRPr="00A64BAC">
        <w:rPr>
          <w:rFonts w:ascii="Verdana" w:hAnsi="Verdana"/>
          <w:sz w:val="20"/>
          <w:szCs w:val="20"/>
        </w:rPr>
        <w:t xml:space="preserve"> del señor Luis Arroyo Zapatero</w:t>
      </w:r>
      <w:r w:rsidR="00CA2F39" w:rsidRPr="00A64BAC">
        <w:rPr>
          <w:rFonts w:ascii="Verdana" w:hAnsi="Verdana"/>
          <w:sz w:val="20"/>
          <w:szCs w:val="20"/>
        </w:rPr>
        <w:t>, el Presiden</w:t>
      </w:r>
      <w:r w:rsidR="00D27641" w:rsidRPr="00A64BAC">
        <w:rPr>
          <w:rFonts w:ascii="Verdana" w:hAnsi="Verdana"/>
          <w:sz w:val="20"/>
          <w:szCs w:val="20"/>
        </w:rPr>
        <w:t xml:space="preserve">te </w:t>
      </w:r>
      <w:r w:rsidR="004B0FBB" w:rsidRPr="00A64BAC">
        <w:rPr>
          <w:rFonts w:ascii="Verdana" w:hAnsi="Verdana"/>
          <w:sz w:val="20"/>
          <w:szCs w:val="20"/>
        </w:rPr>
        <w:t xml:space="preserve">nota </w:t>
      </w:r>
      <w:r w:rsidR="00D27641" w:rsidRPr="00A64BAC">
        <w:rPr>
          <w:rFonts w:ascii="Verdana" w:hAnsi="Verdana"/>
          <w:sz w:val="20"/>
          <w:szCs w:val="20"/>
        </w:rPr>
        <w:t xml:space="preserve">que el objeto de su peritaje </w:t>
      </w:r>
      <w:r w:rsidR="005467D5" w:rsidRPr="00A64BAC">
        <w:rPr>
          <w:rFonts w:ascii="Verdana" w:hAnsi="Verdana"/>
          <w:sz w:val="20"/>
          <w:szCs w:val="20"/>
        </w:rPr>
        <w:t>versa</w:t>
      </w:r>
      <w:r w:rsidR="00CA2F39" w:rsidRPr="00A64BAC">
        <w:rPr>
          <w:rFonts w:ascii="Verdana" w:hAnsi="Verdana"/>
          <w:sz w:val="20"/>
          <w:szCs w:val="20"/>
        </w:rPr>
        <w:t xml:space="preserve"> sobre la pena de muerte como trato cruel e inhumano, su realidad </w:t>
      </w:r>
      <w:r w:rsidR="00B9790E" w:rsidRPr="00A64BAC">
        <w:rPr>
          <w:rFonts w:ascii="Verdana" w:hAnsi="Verdana"/>
          <w:sz w:val="20"/>
          <w:szCs w:val="20"/>
        </w:rPr>
        <w:t>jurídic</w:t>
      </w:r>
      <w:r w:rsidR="00894C8C">
        <w:rPr>
          <w:rFonts w:ascii="Verdana" w:hAnsi="Verdana"/>
          <w:sz w:val="20"/>
          <w:szCs w:val="20"/>
        </w:rPr>
        <w:t>a</w:t>
      </w:r>
      <w:r w:rsidR="00B9790E" w:rsidRPr="00A64BAC">
        <w:rPr>
          <w:rFonts w:ascii="Verdana" w:hAnsi="Verdana"/>
          <w:sz w:val="20"/>
          <w:szCs w:val="20"/>
        </w:rPr>
        <w:t xml:space="preserve"> en</w:t>
      </w:r>
      <w:r w:rsidR="00CF7C36">
        <w:rPr>
          <w:rFonts w:ascii="Verdana" w:hAnsi="Verdana"/>
          <w:sz w:val="20"/>
          <w:szCs w:val="20"/>
        </w:rPr>
        <w:t xml:space="preserve"> Guatemala y có</w:t>
      </w:r>
      <w:r w:rsidR="00CA2F39" w:rsidRPr="00A64BAC">
        <w:rPr>
          <w:rFonts w:ascii="Verdana" w:hAnsi="Verdana"/>
          <w:sz w:val="20"/>
          <w:szCs w:val="20"/>
        </w:rPr>
        <w:t xml:space="preserve">mo </w:t>
      </w:r>
      <w:r w:rsidR="00B9790E" w:rsidRPr="00A64BAC">
        <w:rPr>
          <w:rFonts w:ascii="Verdana" w:hAnsi="Verdana"/>
          <w:sz w:val="20"/>
          <w:szCs w:val="20"/>
        </w:rPr>
        <w:t xml:space="preserve">su </w:t>
      </w:r>
      <w:r w:rsidR="00CA2F39" w:rsidRPr="00A64BAC">
        <w:rPr>
          <w:rFonts w:ascii="Verdana" w:hAnsi="Verdana"/>
          <w:sz w:val="20"/>
          <w:szCs w:val="20"/>
        </w:rPr>
        <w:t>aplicación puede significar una privación arbitraria a la vida</w:t>
      </w:r>
      <w:r w:rsidR="00620AE9" w:rsidRPr="00A64BAC">
        <w:rPr>
          <w:rFonts w:ascii="Verdana" w:hAnsi="Verdana"/>
          <w:sz w:val="20"/>
          <w:szCs w:val="20"/>
        </w:rPr>
        <w:t>.</w:t>
      </w:r>
      <w:r w:rsidR="00CA2F39" w:rsidRPr="00A64BAC">
        <w:rPr>
          <w:rFonts w:ascii="Verdana" w:hAnsi="Verdana"/>
          <w:b/>
          <w:sz w:val="16"/>
          <w:szCs w:val="16"/>
        </w:rPr>
        <w:t xml:space="preserve"> </w:t>
      </w:r>
      <w:r w:rsidR="00620AE9" w:rsidRPr="00A64BAC">
        <w:rPr>
          <w:rFonts w:ascii="Verdana" w:hAnsi="Verdana"/>
          <w:sz w:val="20"/>
          <w:szCs w:val="20"/>
        </w:rPr>
        <w:t xml:space="preserve">En lo que respecta al dictamen pericial del señor Enrique Oscar Stola, el Presidente nota que dicho profesional hará un análisis sobre el estado psicológico y/o psiquiátrico de las personas que son sometidas a la pena de muerte y sus efectos durante el proceso penal y mientras esperan su ejecución, así como las secuelas emocionales que podrían producir cuando dicha decisión es suspendida, entre otros. </w:t>
      </w:r>
      <w:r w:rsidRPr="00A64BAC">
        <w:rPr>
          <w:rFonts w:ascii="Verdana" w:hAnsi="Verdana"/>
          <w:sz w:val="20"/>
          <w:szCs w:val="20"/>
        </w:rPr>
        <w:t>En lo que respecta al dictamen pericial del señor Alejandro Rodríguez Barillas, el Presidente nota el experto conoce del contexto de Guatemala, el proceso judicial y normativa relacionada con la pena de muerte en Guatemala al momento de los hechos y la actualmente vigente.</w:t>
      </w:r>
      <w:r>
        <w:rPr>
          <w:rFonts w:ascii="Verdana" w:hAnsi="Verdana"/>
          <w:sz w:val="20"/>
          <w:szCs w:val="20"/>
        </w:rPr>
        <w:t xml:space="preserve"> </w:t>
      </w:r>
      <w:r w:rsidR="00DE7C1D">
        <w:rPr>
          <w:rFonts w:ascii="Verdana" w:hAnsi="Verdana"/>
          <w:sz w:val="20"/>
          <w:szCs w:val="20"/>
        </w:rPr>
        <w:t xml:space="preserve">Dichos dictámenes periciales </w:t>
      </w:r>
      <w:r w:rsidR="00B9790E" w:rsidRPr="00C23A89">
        <w:rPr>
          <w:rFonts w:ascii="Verdana" w:hAnsi="Verdana"/>
          <w:sz w:val="20"/>
          <w:szCs w:val="20"/>
        </w:rPr>
        <w:t>contribuye</w:t>
      </w:r>
      <w:r w:rsidR="00DE7C1D">
        <w:rPr>
          <w:rFonts w:ascii="Verdana" w:hAnsi="Verdana"/>
          <w:sz w:val="20"/>
          <w:szCs w:val="20"/>
        </w:rPr>
        <w:t>n</w:t>
      </w:r>
      <w:r w:rsidR="00B9790E" w:rsidRPr="00C23A89">
        <w:rPr>
          <w:rFonts w:ascii="Verdana" w:hAnsi="Verdana"/>
          <w:sz w:val="20"/>
          <w:szCs w:val="20"/>
        </w:rPr>
        <w:t xml:space="preserve"> a ilustrar a la Corte sobre la materia. </w:t>
      </w:r>
      <w:r w:rsidRPr="00620AE9">
        <w:rPr>
          <w:rFonts w:ascii="Verdana" w:hAnsi="Verdana"/>
          <w:sz w:val="20"/>
          <w:szCs w:val="20"/>
        </w:rPr>
        <w:t>En consecuencia, el Presidente admite</w:t>
      </w:r>
      <w:r>
        <w:rPr>
          <w:rFonts w:ascii="Verdana" w:hAnsi="Verdana"/>
          <w:sz w:val="20"/>
          <w:szCs w:val="20"/>
        </w:rPr>
        <w:t xml:space="preserve"> la presentación de los referidos dictá</w:t>
      </w:r>
      <w:r w:rsidRPr="00620AE9">
        <w:rPr>
          <w:rFonts w:ascii="Verdana" w:hAnsi="Verdana"/>
          <w:sz w:val="20"/>
          <w:szCs w:val="20"/>
        </w:rPr>
        <w:t>men</w:t>
      </w:r>
      <w:r>
        <w:rPr>
          <w:rFonts w:ascii="Verdana" w:hAnsi="Verdana"/>
          <w:sz w:val="20"/>
          <w:szCs w:val="20"/>
        </w:rPr>
        <w:t>es</w:t>
      </w:r>
      <w:r w:rsidRPr="00620AE9">
        <w:rPr>
          <w:rFonts w:ascii="Verdana" w:hAnsi="Verdana"/>
          <w:sz w:val="20"/>
          <w:szCs w:val="20"/>
        </w:rPr>
        <w:t xml:space="preserve"> pericial</w:t>
      </w:r>
      <w:r>
        <w:rPr>
          <w:rFonts w:ascii="Verdana" w:hAnsi="Verdana"/>
          <w:sz w:val="20"/>
          <w:szCs w:val="20"/>
        </w:rPr>
        <w:t>es</w:t>
      </w:r>
      <w:r w:rsidRPr="00620AE9">
        <w:rPr>
          <w:rFonts w:ascii="Verdana" w:hAnsi="Verdana"/>
          <w:sz w:val="20"/>
          <w:szCs w:val="20"/>
        </w:rPr>
        <w:t xml:space="preserve">. </w:t>
      </w:r>
    </w:p>
    <w:p w:rsidR="00CA2F39" w:rsidRDefault="00CA2F39" w:rsidP="00CA2F39">
      <w:pPr>
        <w:pStyle w:val="Normal1"/>
        <w:widowControl/>
        <w:autoSpaceDE w:val="0"/>
        <w:autoSpaceDN w:val="0"/>
        <w:adjustRightInd w:val="0"/>
        <w:contextualSpacing/>
        <w:jc w:val="both"/>
        <w:rPr>
          <w:rFonts w:ascii="Verdana" w:hAnsi="Verdana"/>
          <w:sz w:val="20"/>
          <w:szCs w:val="20"/>
        </w:rPr>
      </w:pPr>
    </w:p>
    <w:p w:rsidR="00CA2F39" w:rsidRDefault="00CA2F39" w:rsidP="00CA2F39">
      <w:pPr>
        <w:pStyle w:val="Normal1"/>
        <w:widowControl/>
        <w:numPr>
          <w:ilvl w:val="0"/>
          <w:numId w:val="4"/>
        </w:numPr>
        <w:autoSpaceDE w:val="0"/>
        <w:autoSpaceDN w:val="0"/>
        <w:adjustRightInd w:val="0"/>
        <w:ind w:left="0" w:firstLine="0"/>
        <w:contextualSpacing/>
        <w:jc w:val="both"/>
        <w:rPr>
          <w:rFonts w:ascii="Verdana" w:hAnsi="Verdana"/>
          <w:sz w:val="20"/>
          <w:szCs w:val="20"/>
        </w:rPr>
      </w:pPr>
      <w:r>
        <w:rPr>
          <w:rFonts w:ascii="Verdana" w:hAnsi="Verdana"/>
          <w:sz w:val="20"/>
          <w:szCs w:val="20"/>
        </w:rPr>
        <w:t>El objeto y la</w:t>
      </w:r>
      <w:r w:rsidR="005467D5">
        <w:rPr>
          <w:rFonts w:ascii="Verdana" w:hAnsi="Verdana"/>
          <w:sz w:val="20"/>
          <w:szCs w:val="20"/>
        </w:rPr>
        <w:t xml:space="preserve"> modalidad de los dictámenes periciales </w:t>
      </w:r>
      <w:r>
        <w:rPr>
          <w:rFonts w:ascii="Verdana" w:hAnsi="Verdana"/>
          <w:sz w:val="20"/>
          <w:szCs w:val="20"/>
        </w:rPr>
        <w:t>se determinará en la parte resolutiva de la presente Resolución (</w:t>
      </w:r>
      <w:r w:rsidRPr="00802982">
        <w:rPr>
          <w:rFonts w:ascii="Verdana" w:hAnsi="Verdana"/>
          <w:i/>
          <w:sz w:val="20"/>
          <w:szCs w:val="20"/>
        </w:rPr>
        <w:t>infra</w:t>
      </w:r>
      <w:r w:rsidR="00B265EC">
        <w:rPr>
          <w:rFonts w:ascii="Verdana" w:hAnsi="Verdana"/>
          <w:sz w:val="20"/>
          <w:szCs w:val="20"/>
        </w:rPr>
        <w:t xml:space="preserve"> punto</w:t>
      </w:r>
      <w:r w:rsidR="00894C8C">
        <w:rPr>
          <w:rFonts w:ascii="Verdana" w:hAnsi="Verdana"/>
          <w:sz w:val="20"/>
          <w:szCs w:val="20"/>
        </w:rPr>
        <w:t xml:space="preserve"> resolutivo 1</w:t>
      </w:r>
      <w:r>
        <w:rPr>
          <w:rFonts w:ascii="Verdana" w:hAnsi="Verdana"/>
          <w:sz w:val="20"/>
          <w:szCs w:val="20"/>
        </w:rPr>
        <w:t>).</w:t>
      </w:r>
    </w:p>
    <w:p w:rsidR="00CA2F39" w:rsidRDefault="00CA2F39" w:rsidP="00C94FC4">
      <w:pPr>
        <w:spacing w:line="240" w:lineRule="auto"/>
        <w:ind w:left="0" w:firstLine="0"/>
        <w:rPr>
          <w:b/>
          <w:i/>
          <w:szCs w:val="20"/>
          <w:lang w:val="es-CR"/>
        </w:rPr>
      </w:pPr>
    </w:p>
    <w:p w:rsidR="00CA2F39" w:rsidRPr="00F72BA1" w:rsidRDefault="00F851A9" w:rsidP="00CA2F39">
      <w:pPr>
        <w:pStyle w:val="ListParagraph"/>
        <w:spacing w:line="240" w:lineRule="auto"/>
        <w:rPr>
          <w:b/>
          <w:i/>
          <w:szCs w:val="20"/>
          <w:lang w:val="es-CR"/>
        </w:rPr>
      </w:pPr>
      <w:r>
        <w:rPr>
          <w:b/>
          <w:i/>
          <w:szCs w:val="20"/>
          <w:lang w:val="es-CR"/>
        </w:rPr>
        <w:t>C</w:t>
      </w:r>
      <w:r w:rsidR="00CA2F39">
        <w:rPr>
          <w:b/>
          <w:i/>
          <w:szCs w:val="20"/>
          <w:lang w:val="es-CR"/>
        </w:rPr>
        <w:t>. Admisibilidad de la prueba pericial ofrecida por la Comisión Interamericana</w:t>
      </w:r>
    </w:p>
    <w:p w:rsidR="00CA2F39" w:rsidRPr="009A2F45" w:rsidRDefault="00CA2F39" w:rsidP="00CA2F39">
      <w:pPr>
        <w:pStyle w:val="Normal1"/>
        <w:widowControl/>
        <w:contextualSpacing/>
        <w:jc w:val="both"/>
        <w:rPr>
          <w:rFonts w:ascii="Verdana" w:hAnsi="Verdana"/>
          <w:sz w:val="20"/>
          <w:szCs w:val="20"/>
          <w:highlight w:val="cyan"/>
        </w:rPr>
      </w:pPr>
    </w:p>
    <w:p w:rsidR="001E0EAE" w:rsidRPr="001E0EAE" w:rsidRDefault="00CA2F39" w:rsidP="001E0EAE">
      <w:pPr>
        <w:pStyle w:val="Normal1"/>
        <w:widowControl/>
        <w:numPr>
          <w:ilvl w:val="0"/>
          <w:numId w:val="4"/>
        </w:numPr>
        <w:ind w:left="0" w:firstLine="0"/>
        <w:contextualSpacing/>
        <w:jc w:val="both"/>
        <w:rPr>
          <w:rFonts w:ascii="Verdana" w:hAnsi="Verdana"/>
          <w:sz w:val="20"/>
          <w:szCs w:val="20"/>
        </w:rPr>
      </w:pPr>
      <w:r w:rsidRPr="00EC5623">
        <w:rPr>
          <w:rFonts w:ascii="Verdana" w:hAnsi="Verdana"/>
          <w:sz w:val="20"/>
          <w:szCs w:val="20"/>
        </w:rPr>
        <w:t xml:space="preserve">La </w:t>
      </w:r>
      <w:r w:rsidRPr="00EC5623">
        <w:rPr>
          <w:rFonts w:ascii="Verdana" w:hAnsi="Verdana"/>
          <w:b/>
          <w:i/>
          <w:sz w:val="20"/>
          <w:szCs w:val="20"/>
        </w:rPr>
        <w:t>Comisión</w:t>
      </w:r>
      <w:r w:rsidRPr="00EC5623">
        <w:rPr>
          <w:rFonts w:ascii="Verdana" w:hAnsi="Verdana"/>
          <w:sz w:val="20"/>
          <w:szCs w:val="20"/>
        </w:rPr>
        <w:t xml:space="preserve"> ofreció </w:t>
      </w:r>
      <w:r w:rsidR="002C3B93">
        <w:rPr>
          <w:rFonts w:ascii="Verdana" w:hAnsi="Verdana"/>
          <w:sz w:val="20"/>
          <w:szCs w:val="20"/>
        </w:rPr>
        <w:t xml:space="preserve">en </w:t>
      </w:r>
      <w:r w:rsidR="0032158C" w:rsidRPr="00D43DD4">
        <w:rPr>
          <w:rFonts w:ascii="Verdana" w:hAnsi="Verdana"/>
          <w:sz w:val="20"/>
          <w:szCs w:val="20"/>
        </w:rPr>
        <w:t xml:space="preserve">su escrito de sometimiento del caso y en su comunicación </w:t>
      </w:r>
      <w:r w:rsidR="0032158C">
        <w:rPr>
          <w:rFonts w:ascii="Verdana" w:hAnsi="Verdana"/>
          <w:sz w:val="20"/>
          <w:szCs w:val="20"/>
        </w:rPr>
        <w:t xml:space="preserve">de </w:t>
      </w:r>
      <w:r w:rsidR="00635556">
        <w:rPr>
          <w:rFonts w:ascii="Verdana" w:hAnsi="Verdana"/>
          <w:sz w:val="20"/>
          <w:szCs w:val="20"/>
        </w:rPr>
        <w:t>21 de diciembre de 2017</w:t>
      </w:r>
      <w:r w:rsidR="0032158C">
        <w:rPr>
          <w:rFonts w:ascii="Verdana" w:hAnsi="Verdana"/>
          <w:sz w:val="20"/>
          <w:szCs w:val="20"/>
        </w:rPr>
        <w:t xml:space="preserve"> </w:t>
      </w:r>
      <w:r w:rsidRPr="00EC5623">
        <w:rPr>
          <w:rFonts w:ascii="Verdana" w:hAnsi="Verdana"/>
          <w:sz w:val="20"/>
          <w:szCs w:val="20"/>
        </w:rPr>
        <w:t xml:space="preserve">como prueba pericial </w:t>
      </w:r>
      <w:r w:rsidR="0032158C">
        <w:rPr>
          <w:rFonts w:ascii="Verdana" w:hAnsi="Verdana"/>
          <w:sz w:val="20"/>
          <w:szCs w:val="20"/>
        </w:rPr>
        <w:t xml:space="preserve">el peritaje conjunto </w:t>
      </w:r>
      <w:r w:rsidRPr="00EC5623">
        <w:rPr>
          <w:rFonts w:ascii="Verdana" w:hAnsi="Verdana"/>
          <w:sz w:val="20"/>
          <w:szCs w:val="20"/>
        </w:rPr>
        <w:t>de Par</w:t>
      </w:r>
      <w:r w:rsidR="00B265EC">
        <w:rPr>
          <w:rFonts w:ascii="Verdana" w:hAnsi="Verdana"/>
          <w:sz w:val="20"/>
          <w:szCs w:val="20"/>
        </w:rPr>
        <w:t>vais Jabbar y Edward Fitzgerald</w:t>
      </w:r>
      <w:r w:rsidRPr="00A25C9B">
        <w:rPr>
          <w:rFonts w:ascii="Verdana" w:hAnsi="Verdana"/>
          <w:sz w:val="16"/>
          <w:szCs w:val="20"/>
        </w:rPr>
        <w:t xml:space="preserve">, </w:t>
      </w:r>
      <w:r w:rsidR="0032158C">
        <w:rPr>
          <w:rFonts w:ascii="Verdana" w:hAnsi="Verdana"/>
          <w:sz w:val="20"/>
          <w:szCs w:val="20"/>
        </w:rPr>
        <w:t xml:space="preserve">que versaría sobre </w:t>
      </w:r>
      <w:r w:rsidR="00630DCE">
        <w:rPr>
          <w:rFonts w:ascii="Verdana" w:hAnsi="Verdana"/>
          <w:sz w:val="20"/>
          <w:szCs w:val="20"/>
        </w:rPr>
        <w:t>“</w:t>
      </w:r>
      <w:r w:rsidRPr="00EC5623">
        <w:rPr>
          <w:rFonts w:ascii="Verdana" w:hAnsi="Verdana"/>
          <w:sz w:val="20"/>
          <w:szCs w:val="20"/>
        </w:rPr>
        <w:t>los estándares internacionales sobre la pena de muerte en los aspectos relevantes para el presente caso. Además, se referirán a las cuestiones de debido proceso penal que plantea el caso</w:t>
      </w:r>
      <w:r w:rsidR="00630DCE">
        <w:rPr>
          <w:rFonts w:ascii="Verdana" w:hAnsi="Verdana"/>
          <w:sz w:val="20"/>
          <w:szCs w:val="20"/>
        </w:rPr>
        <w:t>”, así</w:t>
      </w:r>
      <w:r w:rsidRPr="00EC5623">
        <w:rPr>
          <w:rFonts w:ascii="Verdana" w:hAnsi="Verdana"/>
          <w:sz w:val="20"/>
          <w:szCs w:val="20"/>
        </w:rPr>
        <w:t xml:space="preserve"> como</w:t>
      </w:r>
      <w:r w:rsidR="00D77DE7">
        <w:rPr>
          <w:rFonts w:ascii="Verdana" w:hAnsi="Verdana"/>
          <w:sz w:val="20"/>
          <w:szCs w:val="20"/>
        </w:rPr>
        <w:t xml:space="preserve"> a</w:t>
      </w:r>
      <w:r w:rsidRPr="00EC5623">
        <w:rPr>
          <w:rFonts w:ascii="Verdana" w:hAnsi="Verdana"/>
          <w:sz w:val="20"/>
          <w:szCs w:val="20"/>
        </w:rPr>
        <w:t xml:space="preserve"> </w:t>
      </w:r>
      <w:r w:rsidR="00630DCE">
        <w:rPr>
          <w:rFonts w:ascii="Verdana" w:hAnsi="Verdana"/>
          <w:sz w:val="20"/>
          <w:szCs w:val="20"/>
        </w:rPr>
        <w:t>“</w:t>
      </w:r>
      <w:r w:rsidR="00D77DE7" w:rsidRPr="00D77DE7">
        <w:rPr>
          <w:rFonts w:ascii="Verdana" w:hAnsi="Verdana"/>
          <w:sz w:val="20"/>
          <w:szCs w:val="20"/>
        </w:rPr>
        <w:t>la asistencia jurídica por parte de estudiantes de derecho a personas procesadas en delitos que contemplan la pena de muerte</w:t>
      </w:r>
      <w:r w:rsidR="00635556">
        <w:rPr>
          <w:rFonts w:ascii="Verdana" w:hAnsi="Verdana"/>
          <w:sz w:val="20"/>
          <w:szCs w:val="20"/>
        </w:rPr>
        <w:t>”</w:t>
      </w:r>
      <w:r w:rsidRPr="00EC5623">
        <w:rPr>
          <w:rFonts w:ascii="Verdana" w:hAnsi="Verdana"/>
          <w:sz w:val="20"/>
          <w:szCs w:val="20"/>
        </w:rPr>
        <w:t xml:space="preserve">, tomando </w:t>
      </w:r>
      <w:r w:rsidR="00635556">
        <w:rPr>
          <w:rFonts w:ascii="Verdana" w:hAnsi="Verdana"/>
          <w:sz w:val="20"/>
          <w:szCs w:val="20"/>
        </w:rPr>
        <w:t>“</w:t>
      </w:r>
      <w:r w:rsidRPr="00EC5623">
        <w:rPr>
          <w:rFonts w:ascii="Verdana" w:hAnsi="Verdana"/>
          <w:sz w:val="20"/>
          <w:szCs w:val="20"/>
        </w:rPr>
        <w:t>en cuenta los hechos del caso para desarrollar su peritaje</w:t>
      </w:r>
      <w:r w:rsidR="00630DCE">
        <w:rPr>
          <w:rFonts w:ascii="Verdana" w:hAnsi="Verdana"/>
          <w:sz w:val="20"/>
          <w:szCs w:val="20"/>
        </w:rPr>
        <w:t>”.</w:t>
      </w:r>
      <w:r w:rsidRPr="00EC5623">
        <w:rPr>
          <w:rFonts w:ascii="Verdana" w:hAnsi="Verdana"/>
          <w:sz w:val="20"/>
          <w:szCs w:val="20"/>
        </w:rPr>
        <w:t xml:space="preserve"> </w:t>
      </w:r>
      <w:r w:rsidR="002C3B93">
        <w:rPr>
          <w:rFonts w:ascii="Verdana" w:hAnsi="Verdana"/>
          <w:color w:val="212121"/>
          <w:sz w:val="20"/>
          <w:szCs w:val="16"/>
        </w:rPr>
        <w:t xml:space="preserve">El </w:t>
      </w:r>
      <w:r w:rsidR="00630DCE" w:rsidRPr="00182F51">
        <w:rPr>
          <w:rFonts w:ascii="Verdana" w:hAnsi="Verdana"/>
          <w:color w:val="212121"/>
          <w:sz w:val="20"/>
          <w:szCs w:val="16"/>
        </w:rPr>
        <w:t>o</w:t>
      </w:r>
      <w:r w:rsidR="00630DCE" w:rsidRPr="00D43DD4">
        <w:rPr>
          <w:rFonts w:ascii="Verdana" w:hAnsi="Verdana"/>
          <w:color w:val="212121"/>
          <w:sz w:val="20"/>
          <w:szCs w:val="16"/>
        </w:rPr>
        <w:t>frecimiento fue reiterado en la respectiva lista definitiva, sin embargo, la Comisión</w:t>
      </w:r>
      <w:r w:rsidR="00630DCE">
        <w:rPr>
          <w:rFonts w:ascii="Verdana" w:hAnsi="Verdana"/>
          <w:color w:val="212121"/>
          <w:sz w:val="20"/>
          <w:szCs w:val="16"/>
        </w:rPr>
        <w:t xml:space="preserve"> </w:t>
      </w:r>
      <w:r w:rsidR="002C3B93">
        <w:rPr>
          <w:rFonts w:ascii="Verdana" w:hAnsi="Verdana"/>
          <w:color w:val="212121"/>
          <w:sz w:val="20"/>
          <w:szCs w:val="16"/>
        </w:rPr>
        <w:t>en dicha ocasión indicó que según</w:t>
      </w:r>
      <w:r w:rsidR="00630DCE">
        <w:rPr>
          <w:rFonts w:ascii="Verdana" w:hAnsi="Verdana"/>
          <w:color w:val="212121"/>
          <w:sz w:val="20"/>
          <w:szCs w:val="16"/>
        </w:rPr>
        <w:t xml:space="preserve"> las notas de </w:t>
      </w:r>
      <w:r w:rsidR="00943930">
        <w:rPr>
          <w:rFonts w:ascii="Verdana" w:hAnsi="Verdana"/>
          <w:color w:val="212121"/>
          <w:sz w:val="20"/>
          <w:szCs w:val="16"/>
        </w:rPr>
        <w:t xml:space="preserve">sometimiento </w:t>
      </w:r>
      <w:r w:rsidR="00630DCE">
        <w:rPr>
          <w:rFonts w:ascii="Verdana" w:hAnsi="Verdana"/>
          <w:color w:val="212121"/>
          <w:sz w:val="20"/>
          <w:szCs w:val="16"/>
        </w:rPr>
        <w:t xml:space="preserve">de los casos guatemaltecos su dictamen versaría </w:t>
      </w:r>
      <w:r w:rsidR="00630DCE" w:rsidRPr="0088322C">
        <w:rPr>
          <w:rFonts w:ascii="Verdana" w:hAnsi="Verdana"/>
          <w:color w:val="212121"/>
          <w:sz w:val="20"/>
          <w:szCs w:val="16"/>
        </w:rPr>
        <w:t>sobre</w:t>
      </w:r>
      <w:r w:rsidR="00630DCE" w:rsidRPr="00FB61B5">
        <w:rPr>
          <w:rFonts w:ascii="Verdana" w:hAnsi="Verdana"/>
          <w:color w:val="212121"/>
          <w:sz w:val="20"/>
          <w:szCs w:val="16"/>
        </w:rPr>
        <w:t xml:space="preserve"> </w:t>
      </w:r>
      <w:r w:rsidR="00630DCE">
        <w:rPr>
          <w:rFonts w:ascii="Verdana" w:hAnsi="Verdana"/>
          <w:color w:val="212121"/>
          <w:sz w:val="20"/>
          <w:szCs w:val="16"/>
        </w:rPr>
        <w:t>“</w:t>
      </w:r>
      <w:r w:rsidR="00630DCE" w:rsidRPr="00182F51">
        <w:rPr>
          <w:rFonts w:ascii="Verdana" w:hAnsi="Verdana"/>
          <w:color w:val="212121"/>
          <w:sz w:val="20"/>
          <w:szCs w:val="16"/>
        </w:rPr>
        <w:t xml:space="preserve">cuestiones relacionadas con debido proceso tales como: </w:t>
      </w:r>
      <w:r w:rsidR="00630DCE">
        <w:rPr>
          <w:rFonts w:ascii="Verdana" w:hAnsi="Verdana"/>
          <w:color w:val="212121"/>
          <w:sz w:val="20"/>
          <w:szCs w:val="16"/>
        </w:rPr>
        <w:t>1</w:t>
      </w:r>
      <w:r w:rsidR="00630DCE" w:rsidRPr="00182F51">
        <w:rPr>
          <w:rFonts w:ascii="Verdana" w:hAnsi="Verdana"/>
          <w:color w:val="212121"/>
          <w:sz w:val="20"/>
          <w:szCs w:val="16"/>
        </w:rPr>
        <w:t xml:space="preserve">. </w:t>
      </w:r>
      <w:r w:rsidR="00D74396">
        <w:rPr>
          <w:rFonts w:ascii="Verdana" w:hAnsi="Verdana"/>
          <w:color w:val="212121"/>
          <w:sz w:val="20"/>
          <w:szCs w:val="16"/>
        </w:rPr>
        <w:t>[…]</w:t>
      </w:r>
      <w:r w:rsidR="00630DCE" w:rsidRPr="00182F51">
        <w:rPr>
          <w:rFonts w:ascii="Verdana" w:hAnsi="Verdana"/>
          <w:color w:val="212121"/>
          <w:sz w:val="20"/>
          <w:szCs w:val="16"/>
        </w:rPr>
        <w:t xml:space="preserve">; </w:t>
      </w:r>
      <w:r w:rsidR="00D74396">
        <w:rPr>
          <w:rFonts w:ascii="Verdana" w:hAnsi="Verdana"/>
          <w:color w:val="212121"/>
          <w:sz w:val="20"/>
          <w:szCs w:val="16"/>
        </w:rPr>
        <w:t>2.</w:t>
      </w:r>
      <w:r w:rsidR="00D74396">
        <w:rPr>
          <w:rFonts w:ascii="Verdana" w:hAnsi="Verdana"/>
          <w:sz w:val="20"/>
          <w:szCs w:val="20"/>
        </w:rPr>
        <w:t xml:space="preserve"> </w:t>
      </w:r>
      <w:r w:rsidR="00D74396">
        <w:rPr>
          <w:rFonts w:ascii="Verdana" w:hAnsi="Verdana"/>
          <w:color w:val="212121"/>
          <w:sz w:val="20"/>
          <w:szCs w:val="20"/>
        </w:rPr>
        <w:t>L</w:t>
      </w:r>
      <w:r w:rsidR="00D74396" w:rsidRPr="00D43DD4">
        <w:rPr>
          <w:rFonts w:ascii="Verdana" w:hAnsi="Verdana"/>
          <w:color w:val="212121"/>
          <w:sz w:val="20"/>
          <w:szCs w:val="20"/>
        </w:rPr>
        <w:t xml:space="preserve">a defensa común de coimputados en el marco de proceso penales que prevén la aplicación de </w:t>
      </w:r>
      <w:r w:rsidR="00D74396" w:rsidRPr="00D43DD4">
        <w:rPr>
          <w:rFonts w:ascii="Verdana" w:hAnsi="Verdana"/>
          <w:color w:val="0F0F0F"/>
          <w:sz w:val="20"/>
          <w:szCs w:val="20"/>
        </w:rPr>
        <w:t xml:space="preserve">la </w:t>
      </w:r>
      <w:r w:rsidR="00D74396" w:rsidRPr="00D43DD4">
        <w:rPr>
          <w:rFonts w:ascii="Verdana" w:hAnsi="Verdana"/>
          <w:color w:val="212121"/>
          <w:sz w:val="20"/>
          <w:szCs w:val="20"/>
        </w:rPr>
        <w:t>pena de muerte</w:t>
      </w:r>
      <w:r w:rsidR="00630DCE">
        <w:rPr>
          <w:rFonts w:ascii="Verdana" w:hAnsi="Verdana"/>
          <w:color w:val="212121"/>
          <w:sz w:val="20"/>
          <w:szCs w:val="16"/>
        </w:rPr>
        <w:t xml:space="preserve"> </w:t>
      </w:r>
      <w:r w:rsidR="00630DCE" w:rsidRPr="00182F51">
        <w:rPr>
          <w:rFonts w:ascii="Verdana" w:hAnsi="Verdana"/>
          <w:color w:val="212121"/>
          <w:sz w:val="20"/>
          <w:szCs w:val="16"/>
        </w:rPr>
        <w:t>3. La</w:t>
      </w:r>
      <w:r w:rsidR="00630DCE" w:rsidRPr="00D43DD4">
        <w:rPr>
          <w:rFonts w:ascii="Verdana" w:hAnsi="Verdana"/>
          <w:color w:val="212121"/>
          <w:sz w:val="20"/>
          <w:szCs w:val="16"/>
        </w:rPr>
        <w:t xml:space="preserve"> </w:t>
      </w:r>
      <w:r w:rsidR="00630DCE" w:rsidRPr="00182F51">
        <w:rPr>
          <w:rFonts w:ascii="Verdana" w:hAnsi="Verdana"/>
          <w:color w:val="212121"/>
          <w:sz w:val="20"/>
          <w:szCs w:val="16"/>
        </w:rPr>
        <w:t>prohibición de utilizar la noción de peligrosidad de una persona, como expresión del derecho penal de</w:t>
      </w:r>
      <w:r w:rsidR="00630DCE" w:rsidRPr="00D43DD4">
        <w:rPr>
          <w:rFonts w:ascii="Verdana" w:hAnsi="Verdana"/>
          <w:color w:val="212121"/>
          <w:sz w:val="20"/>
          <w:szCs w:val="16"/>
        </w:rPr>
        <w:t xml:space="preserve"> </w:t>
      </w:r>
      <w:r w:rsidR="00630DCE" w:rsidRPr="00182F51">
        <w:rPr>
          <w:rFonts w:ascii="Verdana" w:hAnsi="Verdana"/>
          <w:color w:val="212121"/>
          <w:sz w:val="20"/>
          <w:szCs w:val="16"/>
        </w:rPr>
        <w:t>autor, para imponer la pena de muerte; 4. El derecho de recurrir el fallo mediante una revisión integral en</w:t>
      </w:r>
      <w:r w:rsidR="00630DCE" w:rsidRPr="00D43DD4">
        <w:rPr>
          <w:rFonts w:ascii="Verdana" w:hAnsi="Verdana"/>
          <w:color w:val="212121"/>
          <w:sz w:val="20"/>
          <w:szCs w:val="16"/>
        </w:rPr>
        <w:t xml:space="preserve"> </w:t>
      </w:r>
      <w:r w:rsidR="00630DCE" w:rsidRPr="0088322C">
        <w:rPr>
          <w:rFonts w:ascii="Verdana" w:hAnsi="Verdana"/>
          <w:color w:val="212121"/>
          <w:sz w:val="20"/>
          <w:szCs w:val="16"/>
        </w:rPr>
        <w:t>casos de pena de muerte</w:t>
      </w:r>
      <w:r w:rsidR="00630DCE" w:rsidRPr="00182F51">
        <w:rPr>
          <w:rFonts w:ascii="Verdana" w:hAnsi="Verdana"/>
          <w:color w:val="212121"/>
          <w:sz w:val="20"/>
          <w:szCs w:val="16"/>
        </w:rPr>
        <w:t>; 5. La responsabilidad de control del juez de las actuaciones de la defensa en</w:t>
      </w:r>
      <w:r w:rsidR="00630DCE" w:rsidRPr="00D43DD4">
        <w:rPr>
          <w:rFonts w:ascii="Verdana" w:hAnsi="Verdana"/>
          <w:color w:val="212121"/>
          <w:sz w:val="20"/>
          <w:szCs w:val="16"/>
        </w:rPr>
        <w:t xml:space="preserve"> </w:t>
      </w:r>
      <w:r w:rsidR="00630DCE" w:rsidRPr="00182F51">
        <w:rPr>
          <w:rFonts w:ascii="Verdana" w:hAnsi="Verdana"/>
          <w:color w:val="212121"/>
          <w:sz w:val="20"/>
          <w:szCs w:val="16"/>
        </w:rPr>
        <w:t>casos con posibilidad de imponer la pena de muerte</w:t>
      </w:r>
      <w:r w:rsidR="00630DCE">
        <w:rPr>
          <w:rFonts w:ascii="Verdana" w:hAnsi="Verdana"/>
          <w:color w:val="212121"/>
          <w:sz w:val="20"/>
          <w:szCs w:val="16"/>
        </w:rPr>
        <w:t>”</w:t>
      </w:r>
      <w:r w:rsidR="00630DCE" w:rsidRPr="00182F51">
        <w:rPr>
          <w:rFonts w:ascii="Verdana" w:hAnsi="Verdana"/>
          <w:color w:val="212121"/>
          <w:sz w:val="20"/>
          <w:szCs w:val="16"/>
        </w:rPr>
        <w:t>.</w:t>
      </w:r>
      <w:r w:rsidR="00630DCE">
        <w:rPr>
          <w:rFonts w:ascii="Verdana" w:hAnsi="Verdana"/>
          <w:sz w:val="20"/>
          <w:szCs w:val="20"/>
        </w:rPr>
        <w:t xml:space="preserve"> </w:t>
      </w:r>
      <w:r w:rsidRPr="00F851A9">
        <w:rPr>
          <w:rFonts w:ascii="Verdana" w:hAnsi="Verdana"/>
          <w:sz w:val="20"/>
          <w:szCs w:val="20"/>
        </w:rPr>
        <w:t xml:space="preserve">Adicionalmente, la Comisión solicitó que dichos peritajes sean </w:t>
      </w:r>
      <w:r w:rsidR="00B265EC">
        <w:rPr>
          <w:rFonts w:ascii="Verdana" w:hAnsi="Verdana"/>
          <w:sz w:val="20"/>
          <w:szCs w:val="20"/>
        </w:rPr>
        <w:t>recibidos en audiencia pública.</w:t>
      </w:r>
      <w:r w:rsidR="00630DCE" w:rsidRPr="00F851A9">
        <w:rPr>
          <w:rFonts w:ascii="Verdana" w:hAnsi="Verdana"/>
          <w:sz w:val="20"/>
          <w:szCs w:val="20"/>
        </w:rPr>
        <w:t xml:space="preserve"> </w:t>
      </w:r>
      <w:r w:rsidRPr="00F851A9">
        <w:rPr>
          <w:rFonts w:ascii="Verdana" w:hAnsi="Verdana"/>
          <w:sz w:val="20"/>
          <w:szCs w:val="20"/>
        </w:rPr>
        <w:t xml:space="preserve">Respecto al presente ofrecimiento el </w:t>
      </w:r>
      <w:r w:rsidRPr="00E630CB">
        <w:rPr>
          <w:rFonts w:ascii="Verdana" w:hAnsi="Verdana"/>
          <w:b/>
          <w:i/>
          <w:sz w:val="20"/>
          <w:szCs w:val="20"/>
        </w:rPr>
        <w:t>Estado</w:t>
      </w:r>
      <w:r w:rsidRPr="00F851A9">
        <w:rPr>
          <w:rFonts w:ascii="Verdana" w:hAnsi="Verdana"/>
          <w:b/>
          <w:sz w:val="20"/>
          <w:szCs w:val="20"/>
        </w:rPr>
        <w:t xml:space="preserve"> </w:t>
      </w:r>
      <w:r w:rsidR="002C3B93">
        <w:rPr>
          <w:rFonts w:ascii="Verdana" w:hAnsi="Verdana"/>
          <w:sz w:val="20"/>
          <w:szCs w:val="20"/>
        </w:rPr>
        <w:t xml:space="preserve">no presentó objeción </w:t>
      </w:r>
      <w:r w:rsidR="001E0EAE">
        <w:rPr>
          <w:rFonts w:ascii="Verdana" w:hAnsi="Verdana"/>
          <w:sz w:val="20"/>
          <w:szCs w:val="20"/>
        </w:rPr>
        <w:t>alguna.</w:t>
      </w:r>
    </w:p>
    <w:p w:rsidR="00CA2F39" w:rsidRDefault="00CA2F39" w:rsidP="00CA2F39">
      <w:pPr>
        <w:pStyle w:val="Normal1"/>
        <w:widowControl/>
        <w:contextualSpacing/>
        <w:jc w:val="both"/>
        <w:rPr>
          <w:rFonts w:ascii="Verdana" w:hAnsi="Verdana"/>
          <w:sz w:val="20"/>
          <w:szCs w:val="20"/>
        </w:rPr>
      </w:pPr>
    </w:p>
    <w:p w:rsidR="001E0EAE" w:rsidRDefault="001E0EAE" w:rsidP="001E0EAE">
      <w:pPr>
        <w:pStyle w:val="Normal1"/>
        <w:widowControl/>
        <w:numPr>
          <w:ilvl w:val="0"/>
          <w:numId w:val="4"/>
        </w:numPr>
        <w:autoSpaceDE w:val="0"/>
        <w:autoSpaceDN w:val="0"/>
        <w:adjustRightInd w:val="0"/>
        <w:ind w:left="0" w:firstLine="0"/>
        <w:contextualSpacing/>
        <w:jc w:val="both"/>
        <w:rPr>
          <w:rFonts w:ascii="Verdana" w:hAnsi="Verdana"/>
          <w:sz w:val="20"/>
          <w:szCs w:val="20"/>
        </w:rPr>
      </w:pPr>
      <w:r w:rsidRPr="00943930">
        <w:rPr>
          <w:rFonts w:ascii="Verdana" w:hAnsi="Verdana"/>
          <w:sz w:val="20"/>
          <w:szCs w:val="20"/>
        </w:rPr>
        <w:t>El Presidente recuerda que el ofrecimiento del dictamen pericial por parte de la Comisión, se fundamenta en el artículo 35.1.f</w:t>
      </w:r>
      <w:r w:rsidR="00E630CB">
        <w:rPr>
          <w:rFonts w:ascii="Verdana" w:hAnsi="Verdana"/>
          <w:sz w:val="20"/>
          <w:szCs w:val="20"/>
        </w:rPr>
        <w:t>)</w:t>
      </w:r>
      <w:r w:rsidRPr="00943930">
        <w:rPr>
          <w:rStyle w:val="FootnoteReference"/>
          <w:rFonts w:ascii="Verdana" w:hAnsi="Verdana"/>
          <w:sz w:val="20"/>
          <w:szCs w:val="20"/>
        </w:rPr>
        <w:footnoteReference w:id="10"/>
      </w:r>
      <w:r w:rsidRPr="00943930">
        <w:rPr>
          <w:rFonts w:ascii="Verdana" w:hAnsi="Verdana"/>
          <w:sz w:val="20"/>
          <w:szCs w:val="20"/>
        </w:rPr>
        <w:t xml:space="preserve"> del Reglamento, en donde se supedita el eventual ofrecimiento de peritos cuando se afecte de manera relevante el orden público interamericano de los derechos humanos, lo cual corresponde a la </w:t>
      </w:r>
      <w:r w:rsidR="00A879E6">
        <w:rPr>
          <w:rFonts w:ascii="Verdana" w:hAnsi="Verdana"/>
          <w:sz w:val="20"/>
          <w:szCs w:val="20"/>
        </w:rPr>
        <w:t>Comisión sustentar</w:t>
      </w:r>
      <w:r w:rsidRPr="009F0E31">
        <w:rPr>
          <w:rFonts w:ascii="Verdana" w:hAnsi="Verdana"/>
          <w:sz w:val="20"/>
          <w:szCs w:val="20"/>
        </w:rPr>
        <w:t>. En este sentido,</w:t>
      </w:r>
      <w:r w:rsidR="00EE050C">
        <w:rPr>
          <w:rFonts w:ascii="Verdana" w:hAnsi="Verdana"/>
          <w:sz w:val="20"/>
          <w:szCs w:val="20"/>
        </w:rPr>
        <w:t xml:space="preserve"> esta Presidencia considera que</w:t>
      </w:r>
      <w:r w:rsidRPr="009F0E31">
        <w:rPr>
          <w:rFonts w:ascii="Verdana" w:hAnsi="Verdana"/>
          <w:sz w:val="20"/>
          <w:szCs w:val="20"/>
        </w:rPr>
        <w:t xml:space="preserve"> el objeto del peritaje conjunto ofrecido por la Comisión sí trasciende el interés de las partes en litigio y el objeto específico de este caso. El peritaje </w:t>
      </w:r>
      <w:r>
        <w:rPr>
          <w:rFonts w:ascii="Verdana" w:hAnsi="Verdana"/>
          <w:sz w:val="20"/>
          <w:szCs w:val="20"/>
        </w:rPr>
        <w:t xml:space="preserve">conjunto </w:t>
      </w:r>
      <w:r w:rsidRPr="009F0E31">
        <w:rPr>
          <w:rFonts w:ascii="Verdana" w:hAnsi="Verdana"/>
          <w:sz w:val="20"/>
          <w:szCs w:val="20"/>
        </w:rPr>
        <w:t xml:space="preserve">propuesto abarcaría las obligaciones estatales en materia de aplicación de la pena de muerte y </w:t>
      </w:r>
      <w:r w:rsidRPr="009F0E31">
        <w:rPr>
          <w:rFonts w:ascii="Verdana" w:hAnsi="Verdana"/>
          <w:color w:val="212121"/>
          <w:sz w:val="20"/>
          <w:szCs w:val="20"/>
        </w:rPr>
        <w:t xml:space="preserve">las cuestiones de debido proceso penal como la defensa común de coimputados en el marco de proceso penales que prevén la aplicación de </w:t>
      </w:r>
      <w:r w:rsidRPr="009F0E31">
        <w:rPr>
          <w:rFonts w:ascii="Verdana" w:hAnsi="Verdana"/>
          <w:color w:val="0F0F0F"/>
          <w:sz w:val="20"/>
          <w:szCs w:val="20"/>
        </w:rPr>
        <w:t xml:space="preserve">la </w:t>
      </w:r>
      <w:r w:rsidRPr="009F0E31">
        <w:rPr>
          <w:rFonts w:ascii="Verdana" w:hAnsi="Verdana"/>
          <w:color w:val="212121"/>
          <w:sz w:val="20"/>
          <w:szCs w:val="20"/>
        </w:rPr>
        <w:t>pena de muerte</w:t>
      </w:r>
      <w:r w:rsidRPr="006C499F">
        <w:rPr>
          <w:rFonts w:ascii="Verdana" w:hAnsi="Verdana"/>
          <w:sz w:val="20"/>
          <w:szCs w:val="20"/>
          <w:lang w:val="es-ES"/>
        </w:rPr>
        <w:t xml:space="preserve">. </w:t>
      </w:r>
      <w:r>
        <w:rPr>
          <w:rFonts w:ascii="Verdana" w:hAnsi="Verdana"/>
          <w:sz w:val="20"/>
          <w:szCs w:val="20"/>
          <w:lang w:val="es-ES"/>
        </w:rPr>
        <w:t>E</w:t>
      </w:r>
      <w:r w:rsidRPr="006C499F">
        <w:rPr>
          <w:rFonts w:ascii="Verdana" w:hAnsi="Verdana"/>
          <w:sz w:val="20"/>
          <w:szCs w:val="20"/>
          <w:lang w:val="es-ES_tradnl"/>
        </w:rPr>
        <w:t xml:space="preserve">l Presidente considera que </w:t>
      </w:r>
      <w:r>
        <w:rPr>
          <w:rFonts w:ascii="Verdana" w:hAnsi="Verdana"/>
          <w:sz w:val="20"/>
          <w:szCs w:val="20"/>
          <w:lang w:val="es-ES_tradnl"/>
        </w:rPr>
        <w:t>dicho</w:t>
      </w:r>
      <w:r w:rsidR="00A879E6">
        <w:rPr>
          <w:rFonts w:ascii="Verdana" w:hAnsi="Verdana"/>
          <w:sz w:val="20"/>
          <w:szCs w:val="20"/>
          <w:lang w:val="es-ES_tradnl"/>
        </w:rPr>
        <w:t xml:space="preserve"> peritaje podría</w:t>
      </w:r>
      <w:r w:rsidRPr="006C499F">
        <w:rPr>
          <w:rFonts w:ascii="Verdana" w:hAnsi="Verdana"/>
          <w:sz w:val="20"/>
          <w:szCs w:val="20"/>
          <w:lang w:val="es-ES_tradnl"/>
        </w:rPr>
        <w:t xml:space="preserve"> contribuir al fortalecimiento de las capacidades de protección del sistema interamericano de derechos humanos en relación a la a</w:t>
      </w:r>
      <w:r w:rsidR="00EE050C">
        <w:rPr>
          <w:rFonts w:ascii="Verdana" w:hAnsi="Verdana"/>
          <w:sz w:val="20"/>
          <w:szCs w:val="20"/>
          <w:lang w:val="es-ES_tradnl"/>
        </w:rPr>
        <w:t>plicación de la pena de muerte.</w:t>
      </w:r>
      <w:r w:rsidRPr="009F0E31">
        <w:rPr>
          <w:rFonts w:ascii="Verdana" w:hAnsi="Verdana"/>
          <w:sz w:val="20"/>
          <w:szCs w:val="20"/>
        </w:rPr>
        <w:t xml:space="preserve"> </w:t>
      </w:r>
      <w:r w:rsidR="008A136E">
        <w:rPr>
          <w:rFonts w:ascii="Verdana" w:hAnsi="Verdana"/>
          <w:sz w:val="20"/>
          <w:szCs w:val="20"/>
        </w:rPr>
        <w:t>Por lo tanto</w:t>
      </w:r>
      <w:r w:rsidRPr="00441C82">
        <w:rPr>
          <w:rFonts w:ascii="Verdana" w:hAnsi="Verdana"/>
          <w:sz w:val="20"/>
          <w:szCs w:val="20"/>
        </w:rPr>
        <w:t>, el Presidente considera que el peritaje conjunto propuesto por la Comisión resulta relevante para el orden público interamericano</w:t>
      </w:r>
      <w:r w:rsidR="00D17417">
        <w:rPr>
          <w:rFonts w:ascii="Verdana" w:hAnsi="Verdana"/>
          <w:sz w:val="20"/>
          <w:szCs w:val="20"/>
        </w:rPr>
        <w:t xml:space="preserve"> y </w:t>
      </w:r>
      <w:r w:rsidR="00D17417" w:rsidRPr="00BF31E7">
        <w:rPr>
          <w:rFonts w:ascii="Verdana" w:hAnsi="Verdana"/>
          <w:sz w:val="20"/>
          <w:szCs w:val="20"/>
        </w:rPr>
        <w:t>estima pertinente admitir</w:t>
      </w:r>
      <w:r w:rsidR="00D17417">
        <w:rPr>
          <w:rFonts w:ascii="Verdana" w:hAnsi="Verdana"/>
          <w:sz w:val="20"/>
          <w:szCs w:val="20"/>
        </w:rPr>
        <w:t>lo.</w:t>
      </w:r>
    </w:p>
    <w:p w:rsidR="00943930" w:rsidRPr="00636CAB" w:rsidRDefault="00943930" w:rsidP="00943930">
      <w:pPr>
        <w:pStyle w:val="Normal1"/>
        <w:widowControl/>
        <w:autoSpaceDE w:val="0"/>
        <w:autoSpaceDN w:val="0"/>
        <w:adjustRightInd w:val="0"/>
        <w:contextualSpacing/>
        <w:jc w:val="both"/>
        <w:rPr>
          <w:rFonts w:ascii="Verdana" w:hAnsi="Verdana"/>
          <w:sz w:val="20"/>
          <w:szCs w:val="20"/>
        </w:rPr>
      </w:pPr>
    </w:p>
    <w:p w:rsidR="0034435E" w:rsidRDefault="0034435E" w:rsidP="0034435E">
      <w:pPr>
        <w:pStyle w:val="Normal1"/>
        <w:widowControl/>
        <w:numPr>
          <w:ilvl w:val="0"/>
          <w:numId w:val="4"/>
        </w:numPr>
        <w:autoSpaceDE w:val="0"/>
        <w:autoSpaceDN w:val="0"/>
        <w:adjustRightInd w:val="0"/>
        <w:ind w:left="0" w:firstLine="0"/>
        <w:contextualSpacing/>
        <w:jc w:val="both"/>
        <w:rPr>
          <w:rFonts w:ascii="Verdana" w:hAnsi="Verdana"/>
          <w:sz w:val="20"/>
          <w:szCs w:val="20"/>
        </w:rPr>
      </w:pPr>
      <w:r>
        <w:rPr>
          <w:rFonts w:ascii="Verdana" w:hAnsi="Verdana"/>
          <w:sz w:val="20"/>
          <w:szCs w:val="20"/>
        </w:rPr>
        <w:t xml:space="preserve">Por último, el dictamen pericial fue ofrecido por la Comisión también en los </w:t>
      </w:r>
      <w:r w:rsidRPr="00E35CED">
        <w:rPr>
          <w:rFonts w:ascii="Verdana" w:hAnsi="Verdana"/>
          <w:sz w:val="20"/>
          <w:szCs w:val="20"/>
        </w:rPr>
        <w:t>casos</w:t>
      </w:r>
      <w:r w:rsidRPr="0034435E">
        <w:rPr>
          <w:rFonts w:ascii="Verdana" w:hAnsi="Verdana"/>
          <w:i/>
          <w:sz w:val="20"/>
          <w:szCs w:val="20"/>
        </w:rPr>
        <w:t xml:space="preserve"> </w:t>
      </w:r>
      <w:r w:rsidRPr="00F01A28">
        <w:rPr>
          <w:rFonts w:ascii="Verdana" w:hAnsi="Verdana"/>
          <w:i/>
          <w:sz w:val="20"/>
          <w:szCs w:val="20"/>
        </w:rPr>
        <w:t>Martínez Coronado</w:t>
      </w:r>
      <w:r>
        <w:rPr>
          <w:rFonts w:ascii="Verdana" w:hAnsi="Verdana"/>
          <w:i/>
          <w:sz w:val="20"/>
          <w:szCs w:val="20"/>
        </w:rPr>
        <w:t>, y Ruí</w:t>
      </w:r>
      <w:r w:rsidRPr="00E35CED">
        <w:rPr>
          <w:rFonts w:ascii="Verdana" w:hAnsi="Verdana"/>
          <w:i/>
          <w:sz w:val="20"/>
          <w:szCs w:val="20"/>
        </w:rPr>
        <w:t>z Fuentes</w:t>
      </w:r>
      <w:r>
        <w:rPr>
          <w:rFonts w:ascii="Verdana" w:hAnsi="Verdana"/>
          <w:sz w:val="20"/>
          <w:szCs w:val="20"/>
        </w:rPr>
        <w:t xml:space="preserve">, y además, se solicitó que fuera trasladado a los casos </w:t>
      </w:r>
      <w:r>
        <w:rPr>
          <w:rFonts w:ascii="Verdana" w:hAnsi="Verdana"/>
          <w:i/>
          <w:sz w:val="20"/>
          <w:szCs w:val="20"/>
        </w:rPr>
        <w:t>Rodríguez Revolorio y</w:t>
      </w:r>
      <w:r w:rsidRPr="00E35CED">
        <w:rPr>
          <w:rFonts w:ascii="Verdana" w:hAnsi="Verdana"/>
          <w:i/>
          <w:sz w:val="20"/>
          <w:szCs w:val="20"/>
        </w:rPr>
        <w:t xml:space="preserve"> </w:t>
      </w:r>
      <w:r>
        <w:rPr>
          <w:rFonts w:ascii="Verdana" w:hAnsi="Verdana"/>
          <w:i/>
          <w:sz w:val="20"/>
          <w:szCs w:val="20"/>
        </w:rPr>
        <w:t>Valenzuela Á</w:t>
      </w:r>
      <w:r w:rsidRPr="00E35CED">
        <w:rPr>
          <w:rFonts w:ascii="Verdana" w:hAnsi="Verdana"/>
          <w:i/>
          <w:sz w:val="20"/>
          <w:szCs w:val="20"/>
        </w:rPr>
        <w:t>vila</w:t>
      </w:r>
      <w:r>
        <w:rPr>
          <w:rFonts w:ascii="Verdana" w:hAnsi="Verdana"/>
          <w:sz w:val="20"/>
          <w:szCs w:val="20"/>
        </w:rPr>
        <w:t xml:space="preserve">, todos contra Guatemala. Dicho peritaje será rendido en audiencia pública en el caso </w:t>
      </w:r>
      <w:r w:rsidRPr="00307F81">
        <w:rPr>
          <w:rFonts w:ascii="Verdana" w:hAnsi="Verdana"/>
          <w:i/>
          <w:sz w:val="20"/>
          <w:szCs w:val="20"/>
        </w:rPr>
        <w:t>Ruíz Fuentes</w:t>
      </w:r>
      <w:r>
        <w:rPr>
          <w:rFonts w:ascii="Verdana" w:hAnsi="Verdana"/>
          <w:sz w:val="20"/>
          <w:szCs w:val="20"/>
        </w:rPr>
        <w:t xml:space="preserve">, para los restantes casos en observancia del principio de economía procesal, el Presidente estima que puede ser presentado un sólo peritaje conjunto según las especificidades de cada caso concreto y lo resuelto en su respectiva resolución.  </w:t>
      </w:r>
    </w:p>
    <w:p w:rsidR="00F01A28" w:rsidRPr="00FB23D7" w:rsidRDefault="00F01A28" w:rsidP="00F01A28">
      <w:pPr>
        <w:pStyle w:val="Normal1"/>
        <w:widowControl/>
        <w:autoSpaceDE w:val="0"/>
        <w:autoSpaceDN w:val="0"/>
        <w:adjustRightInd w:val="0"/>
        <w:contextualSpacing/>
        <w:jc w:val="both"/>
        <w:rPr>
          <w:rFonts w:ascii="Verdana" w:hAnsi="Verdana"/>
          <w:sz w:val="20"/>
          <w:szCs w:val="20"/>
        </w:rPr>
      </w:pPr>
    </w:p>
    <w:p w:rsidR="00582851" w:rsidRDefault="00F01A28" w:rsidP="00582851">
      <w:pPr>
        <w:pStyle w:val="Normal1"/>
        <w:widowControl/>
        <w:numPr>
          <w:ilvl w:val="0"/>
          <w:numId w:val="4"/>
        </w:numPr>
        <w:autoSpaceDE w:val="0"/>
        <w:autoSpaceDN w:val="0"/>
        <w:adjustRightInd w:val="0"/>
        <w:ind w:left="0" w:firstLine="0"/>
        <w:contextualSpacing/>
        <w:jc w:val="both"/>
        <w:rPr>
          <w:rFonts w:ascii="Verdana" w:hAnsi="Verdana"/>
          <w:sz w:val="20"/>
          <w:szCs w:val="20"/>
        </w:rPr>
      </w:pPr>
      <w:r>
        <w:rPr>
          <w:rFonts w:ascii="Verdana" w:hAnsi="Verdana"/>
          <w:sz w:val="20"/>
          <w:szCs w:val="20"/>
        </w:rPr>
        <w:t xml:space="preserve">Este peritaje se admite </w:t>
      </w:r>
      <w:r w:rsidRPr="00441C82">
        <w:rPr>
          <w:rFonts w:ascii="Verdana" w:hAnsi="Verdana"/>
          <w:sz w:val="20"/>
          <w:szCs w:val="20"/>
        </w:rPr>
        <w:t>según el objeto y modalidad determinados en la parte resolutiva de la presente Resolución</w:t>
      </w:r>
      <w:r>
        <w:t>.</w:t>
      </w:r>
    </w:p>
    <w:p w:rsidR="001E0EAE" w:rsidRPr="001E0EAE" w:rsidRDefault="001E0EAE" w:rsidP="001E0EAE">
      <w:pPr>
        <w:pStyle w:val="Normal1"/>
        <w:widowControl/>
        <w:autoSpaceDE w:val="0"/>
        <w:autoSpaceDN w:val="0"/>
        <w:adjustRightInd w:val="0"/>
        <w:contextualSpacing/>
        <w:jc w:val="both"/>
        <w:rPr>
          <w:rFonts w:ascii="Verdana" w:hAnsi="Verdana"/>
          <w:sz w:val="20"/>
          <w:szCs w:val="20"/>
        </w:rPr>
      </w:pPr>
    </w:p>
    <w:p w:rsidR="00BC38A8" w:rsidRPr="0057134A" w:rsidRDefault="00BC38A8" w:rsidP="00BC38A8">
      <w:pPr>
        <w:pStyle w:val="ListParagraph"/>
        <w:spacing w:after="0" w:line="240" w:lineRule="auto"/>
        <w:ind w:left="450" w:right="11" w:firstLine="0"/>
        <w:rPr>
          <w:b/>
          <w:i/>
          <w:szCs w:val="20"/>
          <w:lang w:val="es-CR"/>
        </w:rPr>
      </w:pPr>
      <w:r w:rsidRPr="00BC38A8">
        <w:rPr>
          <w:b/>
          <w:szCs w:val="20"/>
          <w:lang w:val="es-CR"/>
        </w:rPr>
        <w:t xml:space="preserve">D. </w:t>
      </w:r>
      <w:r w:rsidRPr="0057134A">
        <w:rPr>
          <w:b/>
          <w:i/>
          <w:szCs w:val="20"/>
          <w:lang w:val="es-CR"/>
        </w:rPr>
        <w:t>Solicitud de la Comisión para fo</w:t>
      </w:r>
      <w:r w:rsidR="008A136E" w:rsidRPr="0057134A">
        <w:rPr>
          <w:b/>
          <w:i/>
          <w:szCs w:val="20"/>
          <w:lang w:val="es-CR"/>
        </w:rPr>
        <w:t>rmular pr</w:t>
      </w:r>
      <w:r w:rsidR="00CD605A" w:rsidRPr="0057134A">
        <w:rPr>
          <w:b/>
          <w:i/>
          <w:szCs w:val="20"/>
          <w:lang w:val="es-CR"/>
        </w:rPr>
        <w:t>eguntas respecto a un dictamen</w:t>
      </w:r>
      <w:r w:rsidR="008A136E" w:rsidRPr="0057134A">
        <w:rPr>
          <w:b/>
          <w:i/>
          <w:szCs w:val="20"/>
          <w:lang w:val="es-CR"/>
        </w:rPr>
        <w:t xml:space="preserve"> </w:t>
      </w:r>
      <w:r w:rsidR="00A64BAC" w:rsidRPr="0057134A">
        <w:rPr>
          <w:b/>
          <w:i/>
          <w:szCs w:val="20"/>
          <w:lang w:val="es-CR"/>
        </w:rPr>
        <w:t>pericial ofrecido</w:t>
      </w:r>
      <w:r w:rsidR="00E630CB" w:rsidRPr="0057134A">
        <w:rPr>
          <w:b/>
          <w:i/>
          <w:szCs w:val="20"/>
          <w:lang w:val="es-CR"/>
        </w:rPr>
        <w:t xml:space="preserve"> por la</w:t>
      </w:r>
      <w:r w:rsidRPr="0057134A">
        <w:rPr>
          <w:b/>
          <w:i/>
          <w:szCs w:val="20"/>
          <w:lang w:val="es-CR"/>
        </w:rPr>
        <w:t xml:space="preserve">s representantes </w:t>
      </w:r>
    </w:p>
    <w:p w:rsidR="00BC38A8" w:rsidRDefault="00BC38A8" w:rsidP="00BC38A8">
      <w:pPr>
        <w:pStyle w:val="ListParagraph"/>
        <w:rPr>
          <w:szCs w:val="20"/>
        </w:rPr>
      </w:pPr>
    </w:p>
    <w:p w:rsidR="00FC4759" w:rsidRDefault="00BC38A8" w:rsidP="00FC4759">
      <w:pPr>
        <w:pStyle w:val="ListParagraph"/>
        <w:numPr>
          <w:ilvl w:val="0"/>
          <w:numId w:val="4"/>
        </w:numPr>
        <w:spacing w:line="240" w:lineRule="auto"/>
        <w:ind w:left="0" w:firstLine="0"/>
        <w:rPr>
          <w:b/>
          <w:i/>
          <w:szCs w:val="20"/>
          <w:lang w:val="es-CR"/>
        </w:rPr>
      </w:pPr>
      <w:r w:rsidRPr="000F2688">
        <w:t xml:space="preserve">La </w:t>
      </w:r>
      <w:r w:rsidRPr="00567DFC">
        <w:rPr>
          <w:b/>
          <w:i/>
        </w:rPr>
        <w:t>Comisión</w:t>
      </w:r>
      <w:r w:rsidRPr="000F2688">
        <w:t xml:space="preserve"> solicitó la oportunidad verbal o e</w:t>
      </w:r>
      <w:r>
        <w:t>scrita de formular preguntas al señor Luis Arroyo Zapatero</w:t>
      </w:r>
      <w:r w:rsidR="00720691">
        <w:t xml:space="preserve"> ofrecido por los representantes</w:t>
      </w:r>
      <w:r w:rsidRPr="000F2688">
        <w:t xml:space="preserve">, cuya declaración pericial, a entender de la Comisión, se relacionaría tanto con el orden público interamericanos como con la materia sobre la cual versa el peritaje ofrecido por la Comisión Interamericana. </w:t>
      </w:r>
      <w:r w:rsidRPr="00FC4759">
        <w:rPr>
          <w:szCs w:val="20"/>
          <w:lang w:val="es-CR"/>
        </w:rPr>
        <w:t xml:space="preserve">La solicitud se </w:t>
      </w:r>
      <w:r w:rsidR="009C42D3">
        <w:rPr>
          <w:szCs w:val="20"/>
          <w:lang w:val="es-CR"/>
        </w:rPr>
        <w:t xml:space="preserve">basa </w:t>
      </w:r>
      <w:r w:rsidR="00FC4759">
        <w:rPr>
          <w:szCs w:val="20"/>
          <w:lang w:val="es-CR"/>
        </w:rPr>
        <w:t>en la importancia de permitir que las declaraciones periciales que se relacionen entre sí ofrezcan una variedad de perspectivas – distintas o complementarias- sobre los temas que se pretenden desarrollar</w:t>
      </w:r>
      <w:r w:rsidR="00720691">
        <w:rPr>
          <w:szCs w:val="20"/>
          <w:lang w:val="es-CR"/>
        </w:rPr>
        <w:t>, a fin de enriquecer los elementos de información con los cuales contará el Tribunal al momento de decidir el presente caso</w:t>
      </w:r>
      <w:r w:rsidR="009C42D3">
        <w:rPr>
          <w:szCs w:val="20"/>
          <w:lang w:val="es-CR"/>
        </w:rPr>
        <w:t xml:space="preserve">. </w:t>
      </w:r>
    </w:p>
    <w:p w:rsidR="00FC4759" w:rsidRPr="00FC4759" w:rsidRDefault="00FC4759" w:rsidP="00FC4759">
      <w:pPr>
        <w:pStyle w:val="ListParagraph"/>
        <w:spacing w:line="240" w:lineRule="auto"/>
        <w:ind w:left="0" w:firstLine="0"/>
        <w:rPr>
          <w:b/>
          <w:i/>
          <w:szCs w:val="20"/>
          <w:lang w:val="es-CR"/>
        </w:rPr>
      </w:pPr>
    </w:p>
    <w:p w:rsidR="004949FA" w:rsidRPr="009C42D3" w:rsidRDefault="004949FA" w:rsidP="00BC38A8">
      <w:pPr>
        <w:pStyle w:val="ListParagraph"/>
        <w:numPr>
          <w:ilvl w:val="0"/>
          <w:numId w:val="4"/>
        </w:numPr>
        <w:spacing w:line="240" w:lineRule="auto"/>
        <w:ind w:left="0" w:firstLine="0"/>
        <w:rPr>
          <w:b/>
          <w:i/>
          <w:szCs w:val="20"/>
          <w:lang w:val="es-CR"/>
        </w:rPr>
      </w:pPr>
      <w:r w:rsidRPr="00BC38A8">
        <w:rPr>
          <w:lang w:val="es-CR"/>
        </w:rPr>
        <w:t>El Presidente recuerda que de conformidad con lo establecido en los artículos 50.5 y 52.3 del Reglamento, corresponde a la Comisión fundamentar en cada caso cuál es la vinculación tanto con el orden público interamericano como con la materia sobre la que verse un peritaje ofrecido por la misma, para que la Corte o su Presidencia pueda evaluar la solicitud oportunamente y, si corresponde, autorizar la posibilidad de que la Comisión haga su interrogatorio</w:t>
      </w:r>
      <w:r w:rsidRPr="00F04A9D">
        <w:rPr>
          <w:rStyle w:val="FootnoteReference"/>
          <w:lang w:val="es-CR"/>
        </w:rPr>
        <w:footnoteReference w:id="11"/>
      </w:r>
      <w:r w:rsidRPr="00BC38A8">
        <w:rPr>
          <w:lang w:val="es-CR"/>
        </w:rPr>
        <w:t>.</w:t>
      </w:r>
    </w:p>
    <w:p w:rsidR="009C42D3" w:rsidRPr="009C42D3" w:rsidRDefault="009C42D3" w:rsidP="009C42D3">
      <w:pPr>
        <w:pStyle w:val="ListParagraph"/>
        <w:rPr>
          <w:b/>
          <w:i/>
          <w:szCs w:val="20"/>
          <w:lang w:val="es-CR"/>
        </w:rPr>
      </w:pPr>
    </w:p>
    <w:p w:rsidR="004949FA" w:rsidRPr="009C42D3" w:rsidRDefault="004949FA" w:rsidP="009C42D3">
      <w:pPr>
        <w:pStyle w:val="ListParagraph"/>
        <w:numPr>
          <w:ilvl w:val="0"/>
          <w:numId w:val="4"/>
        </w:numPr>
        <w:spacing w:line="240" w:lineRule="auto"/>
        <w:ind w:left="0" w:firstLine="0"/>
        <w:rPr>
          <w:b/>
          <w:i/>
          <w:szCs w:val="20"/>
          <w:lang w:val="es-CR"/>
        </w:rPr>
      </w:pPr>
      <w:r w:rsidRPr="009C42D3">
        <w:rPr>
          <w:rFonts w:eastAsia="Times New Roman"/>
          <w:szCs w:val="20"/>
          <w:lang w:eastAsia="en-US"/>
        </w:rPr>
        <w:t xml:space="preserve">Esta Presidencia hace notar que el dictamen pericial del </w:t>
      </w:r>
      <w:r w:rsidRPr="006806B0">
        <w:t>señor</w:t>
      </w:r>
      <w:r w:rsidR="00A710EE">
        <w:t xml:space="preserve"> Luis Arroyo Zapatero</w:t>
      </w:r>
      <w:r w:rsidRPr="009C42D3">
        <w:rPr>
          <w:rFonts w:eastAsia="Times New Roman"/>
          <w:szCs w:val="20"/>
          <w:lang w:eastAsia="en-US"/>
        </w:rPr>
        <w:t>, hace referencia a</w:t>
      </w:r>
      <w:r w:rsidR="00A710EE" w:rsidRPr="009C42D3">
        <w:rPr>
          <w:rFonts w:eastAsia="Times New Roman"/>
          <w:szCs w:val="20"/>
          <w:lang w:eastAsia="en-US"/>
        </w:rPr>
        <w:t xml:space="preserve"> </w:t>
      </w:r>
      <w:r w:rsidR="009C42D3">
        <w:t>“</w:t>
      </w:r>
      <w:r w:rsidR="00A710EE" w:rsidRPr="00342276">
        <w:t>la pena de muerte como trato cruel, inhumano y degradante</w:t>
      </w:r>
      <w:r w:rsidR="00A710EE">
        <w:t>”, a las “</w:t>
      </w:r>
      <w:r w:rsidR="00A710EE" w:rsidRPr="00342276">
        <w:t>tendencias sobre la abolición universal de la pena de muerte</w:t>
      </w:r>
      <w:r w:rsidR="00A710EE">
        <w:t>”, y al “</w:t>
      </w:r>
      <w:r w:rsidR="00A710EE" w:rsidRPr="00342276">
        <w:t xml:space="preserve">estándar </w:t>
      </w:r>
      <w:r w:rsidR="00A710EE">
        <w:t xml:space="preserve">de la </w:t>
      </w:r>
      <w:r w:rsidR="00A710EE" w:rsidRPr="00342276">
        <w:t>violación al derecho a la vida por privación arbitraria de la misma, en relación con la imposición obligatoria de la pena de muerte</w:t>
      </w:r>
      <w:r w:rsidR="00A710EE">
        <w:t xml:space="preserve">”. </w:t>
      </w:r>
      <w:r w:rsidRPr="009C42D3">
        <w:rPr>
          <w:rFonts w:eastAsia="Times New Roman"/>
          <w:szCs w:val="20"/>
          <w:lang w:eastAsia="en-US"/>
        </w:rPr>
        <w:t xml:space="preserve">El Presidente </w:t>
      </w:r>
      <w:r w:rsidRPr="009C42D3">
        <w:rPr>
          <w:lang w:val="es-CR"/>
        </w:rPr>
        <w:t xml:space="preserve">estima que el dictamen pericial está relacionado con el orden público interamericano de los derechos humanos. En consecuencia, esta Presidencia considera procedente, conforme a los artículos 50.5 y 52.3 del Reglamento, conceder oportunidad a la Comisión para formular preguntas al perito, específicamente en lo que atañe a temas relacionados con el orden público interamericano. </w:t>
      </w:r>
    </w:p>
    <w:p w:rsidR="004949FA" w:rsidRDefault="004949FA" w:rsidP="00CA2F39">
      <w:pPr>
        <w:pStyle w:val="Normal1"/>
        <w:widowControl/>
        <w:autoSpaceDE w:val="0"/>
        <w:autoSpaceDN w:val="0"/>
        <w:adjustRightInd w:val="0"/>
        <w:contextualSpacing/>
        <w:jc w:val="both"/>
        <w:rPr>
          <w:rFonts w:ascii="Verdana" w:hAnsi="Verdana"/>
          <w:sz w:val="20"/>
          <w:szCs w:val="20"/>
          <w:lang w:val="es-CL"/>
        </w:rPr>
      </w:pPr>
    </w:p>
    <w:p w:rsidR="00FE338F" w:rsidRDefault="00FE338F" w:rsidP="00CA2F39">
      <w:pPr>
        <w:pStyle w:val="Normal1"/>
        <w:widowControl/>
        <w:autoSpaceDE w:val="0"/>
        <w:autoSpaceDN w:val="0"/>
        <w:adjustRightInd w:val="0"/>
        <w:contextualSpacing/>
        <w:jc w:val="both"/>
        <w:rPr>
          <w:rFonts w:ascii="Verdana" w:hAnsi="Verdana"/>
          <w:sz w:val="20"/>
          <w:szCs w:val="20"/>
          <w:lang w:val="es-CL"/>
        </w:rPr>
      </w:pPr>
    </w:p>
    <w:p w:rsidR="00FE338F" w:rsidRPr="004949FA" w:rsidRDefault="00FE338F" w:rsidP="00CA2F39">
      <w:pPr>
        <w:pStyle w:val="Normal1"/>
        <w:widowControl/>
        <w:autoSpaceDE w:val="0"/>
        <w:autoSpaceDN w:val="0"/>
        <w:adjustRightInd w:val="0"/>
        <w:contextualSpacing/>
        <w:jc w:val="both"/>
        <w:rPr>
          <w:rFonts w:ascii="Verdana" w:hAnsi="Verdana"/>
          <w:sz w:val="20"/>
          <w:szCs w:val="20"/>
          <w:lang w:val="es-CL"/>
        </w:rPr>
      </w:pPr>
    </w:p>
    <w:p w:rsidR="00CA2F39" w:rsidRPr="00F90674" w:rsidRDefault="004949FA" w:rsidP="00CA2F39">
      <w:pPr>
        <w:pStyle w:val="Normal1"/>
        <w:widowControl/>
        <w:autoSpaceDE w:val="0"/>
        <w:autoSpaceDN w:val="0"/>
        <w:adjustRightInd w:val="0"/>
        <w:contextualSpacing/>
        <w:jc w:val="center"/>
        <w:rPr>
          <w:rFonts w:ascii="Verdana" w:hAnsi="Verdana"/>
          <w:b/>
          <w:i/>
          <w:sz w:val="20"/>
          <w:szCs w:val="20"/>
        </w:rPr>
      </w:pPr>
      <w:r>
        <w:rPr>
          <w:rFonts w:ascii="Verdana" w:hAnsi="Verdana"/>
          <w:b/>
          <w:i/>
          <w:sz w:val="20"/>
          <w:szCs w:val="20"/>
        </w:rPr>
        <w:t>E</w:t>
      </w:r>
      <w:r w:rsidR="00CA2F39">
        <w:rPr>
          <w:rFonts w:ascii="Verdana" w:hAnsi="Verdana"/>
          <w:b/>
          <w:i/>
          <w:sz w:val="20"/>
          <w:szCs w:val="20"/>
        </w:rPr>
        <w:t>. Aplicación al Fondo de Asistencia Legal de Víctimas ante la Corte</w:t>
      </w:r>
    </w:p>
    <w:p w:rsidR="00CA2F39" w:rsidRDefault="00CA2F39" w:rsidP="00CA2F39">
      <w:pPr>
        <w:pStyle w:val="Normal1"/>
        <w:widowControl/>
        <w:autoSpaceDE w:val="0"/>
        <w:autoSpaceDN w:val="0"/>
        <w:adjustRightInd w:val="0"/>
        <w:contextualSpacing/>
        <w:jc w:val="both"/>
        <w:rPr>
          <w:rFonts w:ascii="Verdana" w:hAnsi="Verdana"/>
          <w:sz w:val="20"/>
          <w:szCs w:val="20"/>
        </w:rPr>
      </w:pPr>
    </w:p>
    <w:p w:rsidR="00CA2F39" w:rsidRPr="00BC38A8" w:rsidRDefault="00CA2F39" w:rsidP="00BC38A8">
      <w:pPr>
        <w:pStyle w:val="ListParagraph"/>
        <w:numPr>
          <w:ilvl w:val="0"/>
          <w:numId w:val="4"/>
        </w:numPr>
        <w:ind w:left="0" w:right="54" w:firstLine="0"/>
      </w:pPr>
      <w:r w:rsidRPr="00BC38A8">
        <w:rPr>
          <w:szCs w:val="20"/>
        </w:rPr>
        <w:t>En e</w:t>
      </w:r>
      <w:r w:rsidR="00636CAB" w:rsidRPr="00BC38A8">
        <w:rPr>
          <w:szCs w:val="20"/>
        </w:rPr>
        <w:t>l presente caso fueron designada</w:t>
      </w:r>
      <w:r w:rsidRPr="00BC38A8">
        <w:rPr>
          <w:szCs w:val="20"/>
        </w:rPr>
        <w:t xml:space="preserve">s </w:t>
      </w:r>
      <w:r w:rsidR="00F01A28" w:rsidRPr="00BC38A8">
        <w:rPr>
          <w:szCs w:val="20"/>
        </w:rPr>
        <w:t xml:space="preserve">dos </w:t>
      </w:r>
      <w:r w:rsidRPr="00BC38A8">
        <w:rPr>
          <w:szCs w:val="20"/>
        </w:rPr>
        <w:t>defensor</w:t>
      </w:r>
      <w:r w:rsidR="00F10BA6" w:rsidRPr="00BC38A8">
        <w:rPr>
          <w:szCs w:val="20"/>
        </w:rPr>
        <w:t>a</w:t>
      </w:r>
      <w:r w:rsidRPr="00BC38A8">
        <w:rPr>
          <w:szCs w:val="20"/>
        </w:rPr>
        <w:t>s públic</w:t>
      </w:r>
      <w:r w:rsidR="00F10BA6" w:rsidRPr="00BC38A8">
        <w:rPr>
          <w:szCs w:val="20"/>
        </w:rPr>
        <w:t>a</w:t>
      </w:r>
      <w:r w:rsidR="00943930" w:rsidRPr="00BC38A8">
        <w:rPr>
          <w:szCs w:val="20"/>
        </w:rPr>
        <w:t>s interamericana</w:t>
      </w:r>
      <w:r w:rsidRPr="00BC38A8">
        <w:rPr>
          <w:szCs w:val="20"/>
        </w:rPr>
        <w:t>s para asumir la representación de las presuntas víctimas</w:t>
      </w:r>
      <w:r w:rsidR="009901FC" w:rsidRPr="00BC38A8">
        <w:rPr>
          <w:szCs w:val="20"/>
        </w:rPr>
        <w:t xml:space="preserve">. En el escrito de solicitudes y </w:t>
      </w:r>
      <w:r w:rsidRPr="00BC38A8">
        <w:rPr>
          <w:szCs w:val="20"/>
        </w:rPr>
        <w:t>argument</w:t>
      </w:r>
      <w:r w:rsidR="009901FC" w:rsidRPr="00BC38A8">
        <w:rPr>
          <w:szCs w:val="20"/>
        </w:rPr>
        <w:t>os</w:t>
      </w:r>
      <w:r w:rsidR="00CC5521" w:rsidRPr="00BC38A8">
        <w:rPr>
          <w:szCs w:val="20"/>
        </w:rPr>
        <w:t>, l</w:t>
      </w:r>
      <w:r w:rsidR="00F10BA6" w:rsidRPr="00BC38A8">
        <w:rPr>
          <w:szCs w:val="20"/>
        </w:rPr>
        <w:t>a</w:t>
      </w:r>
      <w:r w:rsidR="00CC5521" w:rsidRPr="00BC38A8">
        <w:rPr>
          <w:szCs w:val="20"/>
        </w:rPr>
        <w:t>s defensor</w:t>
      </w:r>
      <w:r w:rsidR="00F10BA6" w:rsidRPr="00BC38A8">
        <w:rPr>
          <w:szCs w:val="20"/>
        </w:rPr>
        <w:t>a</w:t>
      </w:r>
      <w:r w:rsidR="00CC5521" w:rsidRPr="00BC38A8">
        <w:rPr>
          <w:szCs w:val="20"/>
        </w:rPr>
        <w:t>s</w:t>
      </w:r>
      <w:r w:rsidRPr="00BC38A8">
        <w:rPr>
          <w:szCs w:val="20"/>
        </w:rPr>
        <w:t xml:space="preserve"> indicaron que los representados carecen de recursos para solventar los costos del litigio ante la Corte dada su situación económica, por lo que solicitaron la aplicación del Fondo de Asistencia Legal de Víctimas</w:t>
      </w:r>
      <w:r w:rsidR="00F91549">
        <w:rPr>
          <w:szCs w:val="20"/>
        </w:rPr>
        <w:t>.</w:t>
      </w:r>
      <w:r w:rsidRPr="00BC38A8">
        <w:rPr>
          <w:sz w:val="16"/>
          <w:szCs w:val="20"/>
        </w:rPr>
        <w:t xml:space="preserve"> </w:t>
      </w:r>
      <w:r w:rsidR="00F91549">
        <w:rPr>
          <w:szCs w:val="20"/>
        </w:rPr>
        <w:t>P</w:t>
      </w:r>
      <w:r w:rsidRPr="00BC38A8">
        <w:rPr>
          <w:szCs w:val="20"/>
        </w:rPr>
        <w:t>articularmente</w:t>
      </w:r>
      <w:r w:rsidR="00C232A8">
        <w:rPr>
          <w:szCs w:val="20"/>
        </w:rPr>
        <w:t>, l</w:t>
      </w:r>
      <w:r w:rsidR="00F33BF3">
        <w:rPr>
          <w:szCs w:val="20"/>
        </w:rPr>
        <w:t>as defensoras solicitaron el reintegro de lo siguiente</w:t>
      </w:r>
      <w:r w:rsidR="00C232A8">
        <w:rPr>
          <w:szCs w:val="20"/>
        </w:rPr>
        <w:t>:</w:t>
      </w:r>
      <w:r w:rsidRPr="00BC38A8">
        <w:rPr>
          <w:szCs w:val="20"/>
        </w:rPr>
        <w:t xml:space="preserve"> </w:t>
      </w:r>
      <w:r w:rsidR="00C232A8">
        <w:rPr>
          <w:szCs w:val="20"/>
        </w:rPr>
        <w:t>i</w:t>
      </w:r>
      <w:r w:rsidR="00F91549">
        <w:rPr>
          <w:szCs w:val="20"/>
        </w:rPr>
        <w:t xml:space="preserve">) la cobertura económica para viaje, traslados, hospedaje y viáticos que irroguen sus estadías en San José de Costa Rica o en la que la Corte determine </w:t>
      </w:r>
      <w:r w:rsidRPr="00BC38A8">
        <w:rPr>
          <w:szCs w:val="20"/>
        </w:rPr>
        <w:t>para permitir la com</w:t>
      </w:r>
      <w:r w:rsidR="00F91549">
        <w:rPr>
          <w:szCs w:val="20"/>
        </w:rPr>
        <w:t>parecencia a la audiencia de la señora</w:t>
      </w:r>
      <w:r w:rsidRPr="00BC38A8">
        <w:rPr>
          <w:szCs w:val="20"/>
        </w:rPr>
        <w:t xml:space="preserve"> Dora Alicia Castillo Mendoza de Luna, </w:t>
      </w:r>
      <w:r w:rsidR="00F91549">
        <w:rPr>
          <w:szCs w:val="20"/>
        </w:rPr>
        <w:t xml:space="preserve">y </w:t>
      </w:r>
      <w:r w:rsidR="009C42D3">
        <w:rPr>
          <w:szCs w:val="20"/>
        </w:rPr>
        <w:t xml:space="preserve">del testigo </w:t>
      </w:r>
      <w:r w:rsidR="00F91549">
        <w:rPr>
          <w:szCs w:val="20"/>
        </w:rPr>
        <w:t>Edy Iván Bocanegra Conde</w:t>
      </w:r>
      <w:r w:rsidR="00C232A8">
        <w:rPr>
          <w:szCs w:val="20"/>
        </w:rPr>
        <w:t>; ii</w:t>
      </w:r>
      <w:r w:rsidR="00F91549">
        <w:rPr>
          <w:szCs w:val="20"/>
        </w:rPr>
        <w:t xml:space="preserve">) la cobertura económica de los gastos que eventualmente irrogue la recepción de la declaración por afidávit o por video conferencia de </w:t>
      </w:r>
      <w:r w:rsidR="00C232A8">
        <w:rPr>
          <w:szCs w:val="20"/>
        </w:rPr>
        <w:t>la señora Berta Lidia Mendoza; iii</w:t>
      </w:r>
      <w:r w:rsidR="00F91549">
        <w:rPr>
          <w:szCs w:val="20"/>
        </w:rPr>
        <w:t xml:space="preserve">) la cobertura económica para viaje, traslados, hospedaje y viáticos que irroguen sus estadías en San José de Costa Rica o en la que la Corte determine </w:t>
      </w:r>
      <w:r w:rsidR="00F91549" w:rsidRPr="00BC38A8">
        <w:rPr>
          <w:szCs w:val="20"/>
        </w:rPr>
        <w:t>para permitir la com</w:t>
      </w:r>
      <w:r w:rsidR="00F91549">
        <w:rPr>
          <w:szCs w:val="20"/>
        </w:rPr>
        <w:t>parecencia a la audiencia par</w:t>
      </w:r>
      <w:r w:rsidR="00C232A8">
        <w:rPr>
          <w:szCs w:val="20"/>
        </w:rPr>
        <w:t>a</w:t>
      </w:r>
      <w:r w:rsidR="009C42D3">
        <w:rPr>
          <w:szCs w:val="20"/>
        </w:rPr>
        <w:t xml:space="preserve"> los peritos</w:t>
      </w:r>
      <w:r w:rsidRPr="00BC38A8">
        <w:rPr>
          <w:szCs w:val="20"/>
        </w:rPr>
        <w:t xml:space="preserve"> Luis Arroyo Zapater</w:t>
      </w:r>
      <w:r w:rsidR="00F91549">
        <w:rPr>
          <w:szCs w:val="20"/>
        </w:rPr>
        <w:t>o, María Fernanda López Puleilo</w:t>
      </w:r>
      <w:r w:rsidR="00C232A8">
        <w:rPr>
          <w:szCs w:val="20"/>
        </w:rPr>
        <w:t>, y iv</w:t>
      </w:r>
      <w:r w:rsidR="00F91549">
        <w:rPr>
          <w:szCs w:val="20"/>
        </w:rPr>
        <w:t>)</w:t>
      </w:r>
      <w:r w:rsidRPr="00BC38A8">
        <w:rPr>
          <w:szCs w:val="20"/>
        </w:rPr>
        <w:t xml:space="preserve"> </w:t>
      </w:r>
      <w:r w:rsidR="00F91549">
        <w:rPr>
          <w:szCs w:val="20"/>
        </w:rPr>
        <w:t>la cobertura de los gastos que eventualmente irrogue la recepción de los informes periciales</w:t>
      </w:r>
      <w:r w:rsidR="00F91549" w:rsidRPr="00F91549">
        <w:rPr>
          <w:szCs w:val="20"/>
        </w:rPr>
        <w:t xml:space="preserve"> </w:t>
      </w:r>
      <w:r w:rsidR="00F91549">
        <w:rPr>
          <w:szCs w:val="20"/>
        </w:rPr>
        <w:t xml:space="preserve">de </w:t>
      </w:r>
      <w:r w:rsidR="00F91549" w:rsidRPr="00BC38A8">
        <w:rPr>
          <w:szCs w:val="20"/>
        </w:rPr>
        <w:t xml:space="preserve">Alejandro Rodríguez </w:t>
      </w:r>
      <w:r w:rsidR="00F91549">
        <w:rPr>
          <w:szCs w:val="20"/>
        </w:rPr>
        <w:t xml:space="preserve">Barillas </w:t>
      </w:r>
      <w:r w:rsidR="00F91549" w:rsidRPr="00BC38A8">
        <w:rPr>
          <w:szCs w:val="20"/>
        </w:rPr>
        <w:t xml:space="preserve">y Enrique </w:t>
      </w:r>
      <w:r w:rsidR="00B5474F">
        <w:rPr>
          <w:szCs w:val="20"/>
        </w:rPr>
        <w:t xml:space="preserve">Oscar </w:t>
      </w:r>
      <w:r w:rsidR="00F91549" w:rsidRPr="00BC38A8">
        <w:rPr>
          <w:szCs w:val="20"/>
        </w:rPr>
        <w:t>Stola</w:t>
      </w:r>
      <w:r w:rsidR="00F91549">
        <w:rPr>
          <w:szCs w:val="20"/>
        </w:rPr>
        <w:t xml:space="preserve">, así como la cancelación de </w:t>
      </w:r>
      <w:r w:rsidR="00F91549" w:rsidRPr="00BC38A8">
        <w:rPr>
          <w:szCs w:val="20"/>
        </w:rPr>
        <w:t>los honorarios</w:t>
      </w:r>
      <w:r w:rsidR="00F91549">
        <w:rPr>
          <w:szCs w:val="20"/>
        </w:rPr>
        <w:t xml:space="preserve"> de los peritos, previa presentación de la factura fiscal correspondiente</w:t>
      </w:r>
      <w:r w:rsidR="00C232A8">
        <w:rPr>
          <w:szCs w:val="20"/>
        </w:rPr>
        <w:t>. Finalmente, las defensoras solicitaron</w:t>
      </w:r>
      <w:r w:rsidR="00F33BF3">
        <w:rPr>
          <w:szCs w:val="20"/>
        </w:rPr>
        <w:t xml:space="preserve"> el reintegro: i)</w:t>
      </w:r>
      <w:r w:rsidR="00C232A8">
        <w:rPr>
          <w:szCs w:val="20"/>
        </w:rPr>
        <w:t xml:space="preserve"> de las erogaciones efectuadas hasta el momento de la presentación del escrito de solicitudes y argumentos, y ii) </w:t>
      </w:r>
      <w:r w:rsidRPr="00BC38A8">
        <w:rPr>
          <w:szCs w:val="20"/>
        </w:rPr>
        <w:t xml:space="preserve">de los gastos </w:t>
      </w:r>
      <w:r w:rsidR="00C232A8">
        <w:rPr>
          <w:szCs w:val="20"/>
        </w:rPr>
        <w:t xml:space="preserve">por su intervención en las audiencias, cubriendo los gastos de viaje traslados, hospedaje y viáticos durante su estadía en la ciudad de San José de Costa Rica, o en cualquier otro Estado, para asistir a las audiencias previstas en el presente caso, así como en relación a todos los gastos que demande cualquier actividad vinculada a ello. </w:t>
      </w:r>
    </w:p>
    <w:p w:rsidR="00BC38A8" w:rsidRPr="00BC38A8" w:rsidRDefault="00BC38A8" w:rsidP="00BC38A8">
      <w:pPr>
        <w:pStyle w:val="ListParagraph"/>
        <w:ind w:left="0" w:right="54" w:firstLine="0"/>
      </w:pPr>
    </w:p>
    <w:p w:rsidR="00F01A28" w:rsidRPr="00BC38A8" w:rsidRDefault="00F01A28" w:rsidP="00BC38A8">
      <w:pPr>
        <w:pStyle w:val="ListParagraph"/>
        <w:numPr>
          <w:ilvl w:val="0"/>
          <w:numId w:val="4"/>
        </w:numPr>
        <w:ind w:left="0" w:right="54" w:firstLine="0"/>
      </w:pPr>
      <w:r w:rsidRPr="00BC38A8">
        <w:rPr>
          <w:szCs w:val="20"/>
        </w:rPr>
        <w:t>El Presidente recuerda que, en casos en que la representación sea asumida gratuitamente por un defensor interamericano, en los términos del artículo 37 del Reglamento de la Corte Interamericana, se brindará ayuda a través del Fondo de Asistencia para sufragar, en la medida de lo posible, los gastos razonables y necesarios que origine tal representación. Es decir, la aplicación del Fondo en estas situaciones se rige por lo establecido en el artículo 4 del Acuerdo de Entendimiento entre la Corte Interamericana y la Asociación Interamericana de Defensoría Públicas, de modo que el defensor interamericano designado “deberá presentar ante la Corte todos los comprobantes necesarios que acrediten los gastos en que se ha incurrido con motivo de la tramitación del caso ante ésta”. Lo anterior fue expresamente señalado al notificar el sometimiento del presente caso.</w:t>
      </w:r>
    </w:p>
    <w:p w:rsidR="00CA2F39" w:rsidRDefault="00CA2F39" w:rsidP="00F01A28">
      <w:pPr>
        <w:spacing w:after="0" w:line="259" w:lineRule="auto"/>
        <w:ind w:left="0" w:right="0" w:firstLine="0"/>
      </w:pPr>
    </w:p>
    <w:p w:rsidR="00CA2F39" w:rsidRDefault="00EA3FE7" w:rsidP="00CA2F39">
      <w:pPr>
        <w:pStyle w:val="Normal1"/>
        <w:widowControl/>
        <w:numPr>
          <w:ilvl w:val="0"/>
          <w:numId w:val="4"/>
        </w:numPr>
        <w:ind w:left="0" w:firstLine="0"/>
        <w:contextualSpacing/>
        <w:jc w:val="both"/>
        <w:rPr>
          <w:rFonts w:ascii="Verdana" w:hAnsi="Verdana"/>
          <w:sz w:val="20"/>
          <w:szCs w:val="20"/>
        </w:rPr>
      </w:pPr>
      <w:r>
        <w:rPr>
          <w:rFonts w:ascii="Verdana" w:hAnsi="Verdana"/>
          <w:sz w:val="20"/>
          <w:szCs w:val="20"/>
        </w:rPr>
        <w:t>En razón</w:t>
      </w:r>
      <w:r w:rsidR="00F01A28" w:rsidRPr="00DE5AC7">
        <w:rPr>
          <w:rFonts w:ascii="Verdana" w:hAnsi="Verdana"/>
          <w:sz w:val="20"/>
          <w:szCs w:val="20"/>
        </w:rPr>
        <w:t xml:space="preserve"> de lo anterior, al haber resuelto sobre la procedencia de las declaraciones y </w:t>
      </w:r>
      <w:r w:rsidR="00F01A28">
        <w:rPr>
          <w:rFonts w:ascii="Verdana" w:hAnsi="Verdana"/>
          <w:sz w:val="20"/>
          <w:szCs w:val="20"/>
        </w:rPr>
        <w:t>peritajes</w:t>
      </w:r>
      <w:r w:rsidR="00C232A8">
        <w:rPr>
          <w:rFonts w:ascii="Verdana" w:hAnsi="Verdana"/>
          <w:sz w:val="20"/>
          <w:szCs w:val="20"/>
        </w:rPr>
        <w:t>,</w:t>
      </w:r>
      <w:r w:rsidR="00F01A28">
        <w:rPr>
          <w:rFonts w:ascii="Verdana" w:hAnsi="Verdana"/>
          <w:sz w:val="20"/>
          <w:szCs w:val="20"/>
        </w:rPr>
        <w:t xml:space="preserve"> </w:t>
      </w:r>
      <w:r w:rsidR="00F01A28" w:rsidRPr="00DE5AC7">
        <w:rPr>
          <w:rFonts w:ascii="Verdana" w:hAnsi="Verdana"/>
          <w:sz w:val="20"/>
          <w:szCs w:val="20"/>
        </w:rPr>
        <w:t>teniendo en cuenta que no se celebrará una audiencia pública en el presente caso,</w:t>
      </w:r>
      <w:r w:rsidR="00F01A28">
        <w:rPr>
          <w:rFonts w:ascii="Verdana" w:hAnsi="Verdana"/>
          <w:sz w:val="20"/>
          <w:szCs w:val="20"/>
        </w:rPr>
        <w:t xml:space="preserve"> y de acuerdo a la pertinencia de las declaraciones y por la disponibilidad de fondos,</w:t>
      </w:r>
      <w:r w:rsidR="00F01A28" w:rsidRPr="00DE5AC7">
        <w:rPr>
          <w:rFonts w:ascii="Verdana" w:hAnsi="Verdana"/>
          <w:sz w:val="20"/>
          <w:szCs w:val="20"/>
        </w:rPr>
        <w:t xml:space="preserve"> esta Presidencia dispone que la asistencia económica será asignada para cubrir los gastos d</w:t>
      </w:r>
      <w:r w:rsidR="00F01A28" w:rsidRPr="00F83729">
        <w:rPr>
          <w:rFonts w:ascii="Verdana" w:hAnsi="Verdana"/>
          <w:sz w:val="20"/>
          <w:szCs w:val="20"/>
        </w:rPr>
        <w:t xml:space="preserve">e: </w:t>
      </w:r>
      <w:r w:rsidR="001665B7">
        <w:rPr>
          <w:rFonts w:ascii="Verdana" w:hAnsi="Verdana"/>
          <w:sz w:val="20"/>
          <w:szCs w:val="20"/>
        </w:rPr>
        <w:t>i</w:t>
      </w:r>
      <w:r w:rsidR="00F01A28">
        <w:rPr>
          <w:rFonts w:ascii="Verdana" w:hAnsi="Verdana"/>
          <w:sz w:val="20"/>
          <w:szCs w:val="20"/>
        </w:rPr>
        <w:t xml:space="preserve">) </w:t>
      </w:r>
      <w:r w:rsidR="006E76FE">
        <w:rPr>
          <w:rFonts w:ascii="Verdana" w:hAnsi="Verdana"/>
          <w:sz w:val="20"/>
          <w:szCs w:val="20"/>
        </w:rPr>
        <w:t xml:space="preserve"> formalización y envío de</w:t>
      </w:r>
      <w:r w:rsidR="00B90841">
        <w:rPr>
          <w:rFonts w:ascii="Verdana" w:hAnsi="Verdana"/>
          <w:sz w:val="20"/>
          <w:szCs w:val="20"/>
        </w:rPr>
        <w:t xml:space="preserve"> las </w:t>
      </w:r>
      <w:r w:rsidR="00CA2F39" w:rsidRPr="00FE03B0">
        <w:rPr>
          <w:rFonts w:ascii="Verdana" w:hAnsi="Verdana"/>
          <w:sz w:val="20"/>
          <w:szCs w:val="20"/>
        </w:rPr>
        <w:t xml:space="preserve">declaraciones presentadas mediante </w:t>
      </w:r>
      <w:r w:rsidR="00CA2F39" w:rsidRPr="00FE03B0">
        <w:rPr>
          <w:rFonts w:ascii="Verdana" w:hAnsi="Verdana"/>
          <w:i/>
          <w:sz w:val="20"/>
          <w:szCs w:val="20"/>
        </w:rPr>
        <w:t>affidávit</w:t>
      </w:r>
      <w:r w:rsidR="00CA2F39" w:rsidRPr="00FE03B0">
        <w:rPr>
          <w:rFonts w:ascii="Verdana" w:hAnsi="Verdana"/>
          <w:sz w:val="20"/>
          <w:szCs w:val="20"/>
        </w:rPr>
        <w:t>,</w:t>
      </w:r>
      <w:r w:rsidR="00B90841">
        <w:rPr>
          <w:rFonts w:ascii="Verdana" w:hAnsi="Verdana"/>
          <w:sz w:val="20"/>
          <w:szCs w:val="20"/>
        </w:rPr>
        <w:t xml:space="preserve"> las cuales corresponden a las declaraciones de </w:t>
      </w:r>
      <w:r w:rsidR="00B90841" w:rsidRPr="00B90841">
        <w:rPr>
          <w:rFonts w:ascii="Verdana" w:hAnsi="Verdana"/>
          <w:sz w:val="20"/>
          <w:szCs w:val="20"/>
        </w:rPr>
        <w:t xml:space="preserve">Dora Alicia Castillo Mendoza de Luna y </w:t>
      </w:r>
      <w:r w:rsidR="00B90841">
        <w:rPr>
          <w:rFonts w:ascii="Verdana" w:hAnsi="Verdana"/>
          <w:sz w:val="20"/>
          <w:szCs w:val="20"/>
        </w:rPr>
        <w:t>Berta Lidia Me</w:t>
      </w:r>
      <w:r w:rsidR="00B90841" w:rsidRPr="00C51AF5">
        <w:rPr>
          <w:rFonts w:ascii="Verdana" w:hAnsi="Verdana"/>
          <w:sz w:val="20"/>
          <w:szCs w:val="20"/>
        </w:rPr>
        <w:t>ndoza</w:t>
      </w:r>
      <w:r w:rsidR="004828D4" w:rsidRPr="00C51AF5">
        <w:rPr>
          <w:rFonts w:ascii="Verdana" w:hAnsi="Verdana"/>
          <w:sz w:val="20"/>
          <w:szCs w:val="20"/>
        </w:rPr>
        <w:t>, así como la declaración</w:t>
      </w:r>
      <w:r w:rsidR="00C232A8" w:rsidRPr="00C51AF5">
        <w:rPr>
          <w:rFonts w:ascii="Verdana" w:hAnsi="Verdana"/>
          <w:sz w:val="20"/>
          <w:szCs w:val="20"/>
        </w:rPr>
        <w:t xml:space="preserve"> testimoni</w:t>
      </w:r>
      <w:r w:rsidR="0057095F" w:rsidRPr="00C51AF5">
        <w:rPr>
          <w:rFonts w:ascii="Verdana" w:hAnsi="Verdana"/>
          <w:sz w:val="20"/>
          <w:szCs w:val="20"/>
        </w:rPr>
        <w:t>al</w:t>
      </w:r>
      <w:r w:rsidR="00C232A8" w:rsidRPr="00C51AF5">
        <w:rPr>
          <w:rFonts w:ascii="Verdana" w:hAnsi="Verdana"/>
          <w:sz w:val="20"/>
          <w:szCs w:val="20"/>
        </w:rPr>
        <w:t xml:space="preserve"> </w:t>
      </w:r>
      <w:r w:rsidR="004828D4" w:rsidRPr="00C51AF5">
        <w:rPr>
          <w:rFonts w:ascii="Verdana" w:hAnsi="Verdana"/>
          <w:sz w:val="20"/>
          <w:szCs w:val="20"/>
        </w:rPr>
        <w:t>del señor Edy Iván Bocanegra Conde</w:t>
      </w:r>
      <w:r w:rsidR="001665B7">
        <w:rPr>
          <w:rFonts w:ascii="Verdana" w:hAnsi="Verdana"/>
          <w:sz w:val="20"/>
          <w:szCs w:val="20"/>
        </w:rPr>
        <w:t>; ii</w:t>
      </w:r>
      <w:r w:rsidR="006629BF">
        <w:rPr>
          <w:rFonts w:ascii="Verdana" w:hAnsi="Verdana"/>
          <w:sz w:val="20"/>
          <w:szCs w:val="20"/>
        </w:rPr>
        <w:t xml:space="preserve">) </w:t>
      </w:r>
      <w:r w:rsidR="00FA6AE9" w:rsidRPr="00FE03B0">
        <w:rPr>
          <w:rFonts w:ascii="Verdana" w:hAnsi="Verdana"/>
          <w:sz w:val="20"/>
          <w:szCs w:val="20"/>
        </w:rPr>
        <w:t>los gastos de realización,</w:t>
      </w:r>
      <w:r w:rsidR="004828D4">
        <w:rPr>
          <w:rFonts w:ascii="Verdana" w:hAnsi="Verdana"/>
          <w:sz w:val="20"/>
          <w:szCs w:val="20"/>
        </w:rPr>
        <w:t xml:space="preserve"> formalización y envío</w:t>
      </w:r>
      <w:r w:rsidR="00C232A8">
        <w:rPr>
          <w:rFonts w:ascii="Verdana" w:hAnsi="Verdana"/>
          <w:sz w:val="20"/>
          <w:szCs w:val="20"/>
        </w:rPr>
        <w:t xml:space="preserve"> de </w:t>
      </w:r>
      <w:r w:rsidR="00EF5C77">
        <w:rPr>
          <w:rFonts w:ascii="Verdana" w:hAnsi="Verdana"/>
          <w:sz w:val="20"/>
          <w:szCs w:val="20"/>
        </w:rPr>
        <w:t>cuatro</w:t>
      </w:r>
      <w:r w:rsidR="00C51AF5">
        <w:rPr>
          <w:rFonts w:ascii="Verdana" w:hAnsi="Verdana"/>
          <w:sz w:val="20"/>
          <w:szCs w:val="20"/>
        </w:rPr>
        <w:t xml:space="preserve"> </w:t>
      </w:r>
      <w:r w:rsidR="00FA6AE9" w:rsidRPr="00FE03B0">
        <w:rPr>
          <w:rFonts w:ascii="Verdana" w:hAnsi="Verdana"/>
          <w:sz w:val="20"/>
          <w:szCs w:val="20"/>
        </w:rPr>
        <w:t xml:space="preserve">dictámenes periciales que deben ser </w:t>
      </w:r>
      <w:r w:rsidR="00FA6AE9" w:rsidRPr="00A64BAC">
        <w:rPr>
          <w:rFonts w:ascii="Verdana" w:hAnsi="Verdana"/>
          <w:sz w:val="20"/>
          <w:szCs w:val="20"/>
        </w:rPr>
        <w:t xml:space="preserve">presentados mediante </w:t>
      </w:r>
      <w:r w:rsidR="00FA6AE9" w:rsidRPr="00A64BAC">
        <w:rPr>
          <w:rFonts w:ascii="Verdana" w:hAnsi="Verdana"/>
          <w:i/>
          <w:sz w:val="20"/>
          <w:szCs w:val="20"/>
        </w:rPr>
        <w:t>afidávit</w:t>
      </w:r>
      <w:r w:rsidR="00FA6AE9" w:rsidRPr="00A64BAC">
        <w:rPr>
          <w:rFonts w:ascii="Verdana" w:hAnsi="Verdana"/>
          <w:sz w:val="20"/>
          <w:szCs w:val="20"/>
        </w:rPr>
        <w:t xml:space="preserve">, </w:t>
      </w:r>
      <w:r w:rsidR="00B90841" w:rsidRPr="00A64BAC">
        <w:rPr>
          <w:rFonts w:ascii="Verdana" w:hAnsi="Verdana"/>
          <w:sz w:val="20"/>
          <w:szCs w:val="20"/>
        </w:rPr>
        <w:t xml:space="preserve">los cuales corresponden </w:t>
      </w:r>
      <w:r w:rsidR="004828D4" w:rsidRPr="00A64BAC">
        <w:rPr>
          <w:rFonts w:ascii="Verdana" w:hAnsi="Verdana"/>
          <w:sz w:val="20"/>
          <w:szCs w:val="20"/>
        </w:rPr>
        <w:t xml:space="preserve">a los </w:t>
      </w:r>
      <w:r w:rsidR="00B90841" w:rsidRPr="00A64BAC">
        <w:rPr>
          <w:rFonts w:ascii="Verdana" w:hAnsi="Verdana"/>
          <w:sz w:val="20"/>
          <w:szCs w:val="20"/>
        </w:rPr>
        <w:t>señor</w:t>
      </w:r>
      <w:r w:rsidR="004828D4" w:rsidRPr="00A64BAC">
        <w:rPr>
          <w:rFonts w:ascii="Verdana" w:hAnsi="Verdana"/>
          <w:sz w:val="20"/>
          <w:szCs w:val="20"/>
        </w:rPr>
        <w:t>es</w:t>
      </w:r>
      <w:r w:rsidR="00B90841" w:rsidRPr="00A64BAC">
        <w:rPr>
          <w:rFonts w:ascii="Verdana" w:hAnsi="Verdana"/>
          <w:sz w:val="20"/>
          <w:szCs w:val="20"/>
        </w:rPr>
        <w:t xml:space="preserve"> </w:t>
      </w:r>
      <w:r w:rsidR="004828D4" w:rsidRPr="00A64BAC">
        <w:rPr>
          <w:rFonts w:ascii="Verdana" w:hAnsi="Verdana"/>
          <w:sz w:val="20"/>
          <w:szCs w:val="20"/>
        </w:rPr>
        <w:t>Luis Arroyo Zapatero</w:t>
      </w:r>
      <w:r w:rsidR="00EF5C77">
        <w:rPr>
          <w:rFonts w:ascii="Verdana" w:hAnsi="Verdana"/>
          <w:sz w:val="20"/>
          <w:szCs w:val="20"/>
        </w:rPr>
        <w:t>, Enrique Oscar Stola</w:t>
      </w:r>
      <w:r w:rsidR="00C51AF5" w:rsidRPr="00A64BAC">
        <w:rPr>
          <w:rFonts w:ascii="Verdana" w:hAnsi="Verdana"/>
          <w:sz w:val="20"/>
          <w:szCs w:val="20"/>
        </w:rPr>
        <w:t xml:space="preserve"> </w:t>
      </w:r>
      <w:r w:rsidR="00A00249" w:rsidRPr="00A64BAC">
        <w:rPr>
          <w:rFonts w:ascii="Verdana" w:hAnsi="Verdana"/>
          <w:sz w:val="20"/>
          <w:szCs w:val="20"/>
        </w:rPr>
        <w:t>y Alejandro</w:t>
      </w:r>
      <w:r w:rsidR="00A00249" w:rsidRPr="004521D3">
        <w:rPr>
          <w:rFonts w:ascii="Verdana" w:hAnsi="Verdana"/>
          <w:sz w:val="20"/>
          <w:szCs w:val="20"/>
        </w:rPr>
        <w:t xml:space="preserve"> Rodríguez Barillas</w:t>
      </w:r>
      <w:r w:rsidR="004521D3" w:rsidRPr="004521D3">
        <w:rPr>
          <w:rFonts w:ascii="Verdana" w:hAnsi="Verdana"/>
          <w:sz w:val="20"/>
          <w:szCs w:val="20"/>
        </w:rPr>
        <w:t xml:space="preserve"> y a la señora María Fernanda López Puleilo</w:t>
      </w:r>
      <w:r w:rsidR="00C51AF5" w:rsidRPr="004521D3">
        <w:rPr>
          <w:rFonts w:ascii="Verdana" w:hAnsi="Verdana"/>
          <w:sz w:val="20"/>
          <w:szCs w:val="20"/>
        </w:rPr>
        <w:t>;</w:t>
      </w:r>
      <w:r w:rsidR="00FE03B0" w:rsidRPr="004521D3">
        <w:rPr>
          <w:rFonts w:ascii="Verdana" w:hAnsi="Verdana"/>
          <w:sz w:val="20"/>
          <w:szCs w:val="20"/>
        </w:rPr>
        <w:t xml:space="preserve"> </w:t>
      </w:r>
      <w:r w:rsidR="001665B7">
        <w:rPr>
          <w:rFonts w:ascii="Verdana" w:hAnsi="Verdana"/>
          <w:sz w:val="20"/>
          <w:szCs w:val="20"/>
        </w:rPr>
        <w:t>y iii</w:t>
      </w:r>
      <w:r w:rsidR="006629BF" w:rsidRPr="006629BF">
        <w:rPr>
          <w:rFonts w:ascii="Verdana" w:hAnsi="Verdana"/>
          <w:sz w:val="20"/>
          <w:szCs w:val="20"/>
        </w:rPr>
        <w:t>)</w:t>
      </w:r>
      <w:r w:rsidR="006629BF" w:rsidRPr="00DE5AC7">
        <w:rPr>
          <w:rFonts w:ascii="Verdana" w:hAnsi="Verdana"/>
          <w:sz w:val="20"/>
          <w:szCs w:val="20"/>
        </w:rPr>
        <w:t xml:space="preserve"> los demás gastos razonables y necesarios en que haya</w:t>
      </w:r>
      <w:r w:rsidR="001665B7">
        <w:rPr>
          <w:rFonts w:ascii="Verdana" w:hAnsi="Verdana"/>
          <w:sz w:val="20"/>
          <w:szCs w:val="20"/>
        </w:rPr>
        <w:t>n incurrido o puedan incurrir las defensoras</w:t>
      </w:r>
      <w:r w:rsidR="006629BF" w:rsidRPr="00DE5AC7">
        <w:rPr>
          <w:rFonts w:ascii="Verdana" w:hAnsi="Verdana"/>
          <w:sz w:val="20"/>
          <w:szCs w:val="20"/>
        </w:rPr>
        <w:t>, para lo cual deberán remitir al Tribunal tanto la justificación de ta</w:t>
      </w:r>
      <w:r w:rsidR="006629BF" w:rsidRPr="00614B5A">
        <w:rPr>
          <w:rFonts w:ascii="Verdana" w:hAnsi="Verdana"/>
          <w:sz w:val="20"/>
          <w:szCs w:val="20"/>
        </w:rPr>
        <w:t>les gastos como sus comprobantes,</w:t>
      </w:r>
      <w:r w:rsidR="009E4DE8" w:rsidRPr="00EF5C77">
        <w:rPr>
          <w:rFonts w:ascii="Verdana" w:hAnsi="Verdana"/>
          <w:sz w:val="20"/>
          <w:szCs w:val="20"/>
        </w:rPr>
        <w:t xml:space="preserve"> </w:t>
      </w:r>
      <w:r w:rsidR="00A27554" w:rsidRPr="00EF5C77">
        <w:rPr>
          <w:rFonts w:ascii="Verdana" w:hAnsi="Verdana"/>
          <w:sz w:val="20"/>
          <w:szCs w:val="20"/>
        </w:rPr>
        <w:t>en</w:t>
      </w:r>
      <w:r w:rsidR="00A27554">
        <w:rPr>
          <w:rFonts w:ascii="Verdana" w:hAnsi="Verdana"/>
          <w:sz w:val="20"/>
          <w:szCs w:val="20"/>
        </w:rPr>
        <w:t xml:space="preserve"> el caso que </w:t>
      </w:r>
      <w:r w:rsidR="00EF5C77">
        <w:rPr>
          <w:rFonts w:ascii="Verdana" w:hAnsi="Verdana"/>
          <w:sz w:val="20"/>
          <w:szCs w:val="20"/>
        </w:rPr>
        <w:t>las defensora</w:t>
      </w:r>
      <w:r w:rsidR="00A27554" w:rsidRPr="00A27554">
        <w:rPr>
          <w:rFonts w:ascii="Verdana" w:hAnsi="Verdana"/>
          <w:sz w:val="20"/>
          <w:szCs w:val="20"/>
        </w:rPr>
        <w:t xml:space="preserve">s </w:t>
      </w:r>
      <w:r w:rsidR="00A27554" w:rsidRPr="00A27554">
        <w:rPr>
          <w:rFonts w:ascii="Verdana" w:hAnsi="Verdana" w:cs="Verdana"/>
          <w:spacing w:val="-2"/>
          <w:sz w:val="20"/>
          <w:szCs w:val="20"/>
          <w:lang w:val="es-ES"/>
        </w:rPr>
        <w:t xml:space="preserve">requieran tomar contacto personal con los familiares de </w:t>
      </w:r>
      <w:r w:rsidR="00A27554" w:rsidRPr="00A27554">
        <w:rPr>
          <w:rFonts w:ascii="Verdana" w:hAnsi="Verdana"/>
          <w:sz w:val="20"/>
          <w:szCs w:val="20"/>
        </w:rPr>
        <w:t>Pedro Castillo Mendoza</w:t>
      </w:r>
      <w:r w:rsidR="00A27554" w:rsidRPr="00A27554">
        <w:rPr>
          <w:rFonts w:ascii="Verdana" w:hAnsi="Verdana" w:cs="Verdana"/>
          <w:spacing w:val="-2"/>
          <w:sz w:val="20"/>
          <w:szCs w:val="20"/>
          <w:lang w:val="es-ES"/>
        </w:rPr>
        <w:t>, se incluye</w:t>
      </w:r>
      <w:r w:rsidR="00A27554" w:rsidRPr="00A27554">
        <w:rPr>
          <w:rFonts w:ascii="Verdana" w:hAnsi="Verdana"/>
          <w:sz w:val="20"/>
          <w:szCs w:val="20"/>
        </w:rPr>
        <w:t xml:space="preserve"> los gastos de </w:t>
      </w:r>
      <w:r w:rsidR="00A27554" w:rsidRPr="00A27554">
        <w:rPr>
          <w:rFonts w:ascii="Verdana" w:hAnsi="Verdana" w:cs="Verdana"/>
          <w:spacing w:val="-2"/>
          <w:sz w:val="20"/>
          <w:szCs w:val="20"/>
          <w:lang w:val="es-ES"/>
        </w:rPr>
        <w:t>viaje, traslados, hospedaje y viáticos de un defensor interamericano</w:t>
      </w:r>
      <w:r w:rsidR="006629BF" w:rsidRPr="00A27554">
        <w:rPr>
          <w:rFonts w:ascii="Verdana" w:hAnsi="Verdana" w:cs="Verdana"/>
          <w:spacing w:val="-2"/>
          <w:sz w:val="20"/>
          <w:szCs w:val="20"/>
          <w:lang w:val="es-ES"/>
        </w:rPr>
        <w:t>,</w:t>
      </w:r>
      <w:r w:rsidR="006629BF" w:rsidRPr="00A27554">
        <w:rPr>
          <w:rFonts w:ascii="Verdana" w:hAnsi="Verdana"/>
          <w:sz w:val="20"/>
          <w:szCs w:val="20"/>
        </w:rPr>
        <w:t xml:space="preserve"> a más</w:t>
      </w:r>
      <w:r w:rsidR="006629BF" w:rsidRPr="00DE5AC7">
        <w:rPr>
          <w:rFonts w:ascii="Verdana" w:hAnsi="Verdana"/>
          <w:sz w:val="20"/>
          <w:szCs w:val="20"/>
        </w:rPr>
        <w:t xml:space="preserve"> tardar con la presentación de los alegatos finales escritos, siendo esa la última oportunidad procesal para hacerlo, salvo que esta Presidencia o la Corte otorguen alguna otra oportunidad procesal.</w:t>
      </w:r>
    </w:p>
    <w:p w:rsidR="00BC38A8" w:rsidRDefault="00BC38A8" w:rsidP="00BC38A8">
      <w:pPr>
        <w:pStyle w:val="Normal1"/>
        <w:widowControl/>
        <w:contextualSpacing/>
        <w:jc w:val="both"/>
        <w:rPr>
          <w:rFonts w:ascii="Verdana" w:hAnsi="Verdana"/>
          <w:sz w:val="20"/>
          <w:szCs w:val="20"/>
        </w:rPr>
      </w:pPr>
    </w:p>
    <w:p w:rsidR="00CA2F39" w:rsidRPr="00BC38A8" w:rsidRDefault="00CA2F39" w:rsidP="00BC38A8">
      <w:pPr>
        <w:pStyle w:val="Normal1"/>
        <w:widowControl/>
        <w:numPr>
          <w:ilvl w:val="0"/>
          <w:numId w:val="4"/>
        </w:numPr>
        <w:ind w:left="0" w:firstLine="0"/>
        <w:contextualSpacing/>
        <w:jc w:val="both"/>
        <w:rPr>
          <w:rFonts w:ascii="Verdana" w:hAnsi="Verdana"/>
          <w:sz w:val="20"/>
          <w:szCs w:val="20"/>
        </w:rPr>
      </w:pPr>
      <w:r w:rsidRPr="00BC38A8">
        <w:rPr>
          <w:rFonts w:ascii="Verdana" w:hAnsi="Verdana"/>
          <w:sz w:val="20"/>
          <w:szCs w:val="20"/>
        </w:rPr>
        <w:t>L</w:t>
      </w:r>
      <w:r w:rsidR="00EA3FE7" w:rsidRPr="00BC38A8">
        <w:rPr>
          <w:rFonts w:ascii="Verdana" w:hAnsi="Verdana"/>
          <w:sz w:val="20"/>
          <w:szCs w:val="20"/>
        </w:rPr>
        <w:t>a</w:t>
      </w:r>
      <w:r w:rsidRPr="00BC38A8">
        <w:rPr>
          <w:rFonts w:ascii="Verdana" w:hAnsi="Verdana"/>
          <w:sz w:val="20"/>
          <w:szCs w:val="20"/>
        </w:rPr>
        <w:t>s defensor</w:t>
      </w:r>
      <w:r w:rsidR="00BA0EAA" w:rsidRPr="00BC38A8">
        <w:rPr>
          <w:rFonts w:ascii="Verdana" w:hAnsi="Verdana"/>
          <w:sz w:val="20"/>
          <w:szCs w:val="20"/>
        </w:rPr>
        <w:t>a</w:t>
      </w:r>
      <w:r w:rsidRPr="00BC38A8">
        <w:rPr>
          <w:rFonts w:ascii="Verdana" w:hAnsi="Verdana"/>
          <w:sz w:val="20"/>
          <w:szCs w:val="20"/>
        </w:rPr>
        <w:t>s interamerican</w:t>
      </w:r>
      <w:r w:rsidR="000204E6" w:rsidRPr="00BC38A8">
        <w:rPr>
          <w:rFonts w:ascii="Verdana" w:hAnsi="Verdana"/>
          <w:sz w:val="20"/>
          <w:szCs w:val="20"/>
        </w:rPr>
        <w:t>a</w:t>
      </w:r>
      <w:r w:rsidRPr="00BC38A8">
        <w:rPr>
          <w:rFonts w:ascii="Verdana" w:hAnsi="Verdana"/>
          <w:sz w:val="20"/>
          <w:szCs w:val="20"/>
        </w:rPr>
        <w:t>s deberán remitir a la Corte una cotización en dólares de los Estados Unidos de América del costo de la</w:t>
      </w:r>
      <w:r w:rsidR="00DB7E3A" w:rsidRPr="00BC38A8">
        <w:rPr>
          <w:rFonts w:ascii="Verdana" w:hAnsi="Verdana"/>
          <w:sz w:val="20"/>
          <w:szCs w:val="20"/>
        </w:rPr>
        <w:t xml:space="preserve"> realización,</w:t>
      </w:r>
      <w:r w:rsidR="00605627" w:rsidRPr="00BC38A8">
        <w:rPr>
          <w:rFonts w:ascii="Verdana" w:hAnsi="Verdana"/>
          <w:sz w:val="20"/>
          <w:szCs w:val="20"/>
        </w:rPr>
        <w:t xml:space="preserve"> formalización </w:t>
      </w:r>
      <w:r w:rsidRPr="00BC38A8">
        <w:rPr>
          <w:rFonts w:ascii="Verdana" w:hAnsi="Verdana"/>
          <w:sz w:val="20"/>
          <w:szCs w:val="20"/>
        </w:rPr>
        <w:t>y envío,</w:t>
      </w:r>
      <w:r w:rsidR="00605627" w:rsidRPr="00BC38A8">
        <w:rPr>
          <w:rFonts w:ascii="Verdana" w:hAnsi="Verdana"/>
          <w:sz w:val="20"/>
          <w:szCs w:val="20"/>
        </w:rPr>
        <w:t xml:space="preserve"> tanto de las declaraciones como de los dictámenes periciales</w:t>
      </w:r>
      <w:r w:rsidR="009A7725" w:rsidRPr="00BC38A8">
        <w:rPr>
          <w:rFonts w:ascii="Verdana" w:hAnsi="Verdana"/>
          <w:sz w:val="20"/>
          <w:szCs w:val="20"/>
        </w:rPr>
        <w:t xml:space="preserve"> en el país de residencia de los declarantes</w:t>
      </w:r>
      <w:r w:rsidR="00605627" w:rsidRPr="00BC38A8">
        <w:rPr>
          <w:rFonts w:ascii="Verdana" w:hAnsi="Verdana"/>
          <w:sz w:val="20"/>
          <w:szCs w:val="20"/>
        </w:rPr>
        <w:t>, debiendo establecer el criterio de referencia utilizado para el establecimiento del valor</w:t>
      </w:r>
      <w:r w:rsidR="00D36764" w:rsidRPr="00BC38A8">
        <w:rPr>
          <w:rFonts w:ascii="Verdana" w:hAnsi="Verdana"/>
          <w:sz w:val="20"/>
          <w:szCs w:val="20"/>
        </w:rPr>
        <w:t xml:space="preserve"> de los pertinentes honorarios y gastos</w:t>
      </w:r>
      <w:r w:rsidR="00605627" w:rsidRPr="00BC38A8">
        <w:rPr>
          <w:rFonts w:ascii="Verdana" w:hAnsi="Verdana"/>
          <w:sz w:val="20"/>
          <w:szCs w:val="20"/>
        </w:rPr>
        <w:t>,</w:t>
      </w:r>
      <w:r w:rsidRPr="00BC38A8">
        <w:rPr>
          <w:rFonts w:ascii="Verdana" w:hAnsi="Verdana"/>
          <w:sz w:val="20"/>
          <w:szCs w:val="20"/>
        </w:rPr>
        <w:t xml:space="preserve"> en el plazo establecido en la parte resolutiva de la presente Resolución. </w:t>
      </w:r>
    </w:p>
    <w:p w:rsidR="00BC38A8" w:rsidRPr="00BC38A8" w:rsidRDefault="00BC38A8" w:rsidP="00BC38A8">
      <w:pPr>
        <w:pStyle w:val="Normal1"/>
        <w:widowControl/>
        <w:contextualSpacing/>
        <w:jc w:val="both"/>
        <w:rPr>
          <w:rFonts w:ascii="Verdana" w:hAnsi="Verdana"/>
          <w:sz w:val="20"/>
          <w:szCs w:val="20"/>
        </w:rPr>
      </w:pPr>
    </w:p>
    <w:p w:rsidR="00BC38A8" w:rsidRDefault="00BC38A8" w:rsidP="00BC38A8">
      <w:pPr>
        <w:pStyle w:val="ListParagraph"/>
        <w:numPr>
          <w:ilvl w:val="0"/>
          <w:numId w:val="4"/>
        </w:numPr>
        <w:ind w:left="0" w:right="54" w:firstLine="0"/>
      </w:pPr>
      <w:r>
        <w:t>Según lo requerido por el artículo 4 del Reglamento de la Corte sobre el Funcionamiento del Fondo de Asistencia (en adelante el “Reglamento del Fondo”), se dispone que la Secretaría abra un expediente de gastos a los fines de llevar la contabilidad y en el cual se documentará cada una de las erogaciones que se realice con el referido Fondo.</w:t>
      </w:r>
    </w:p>
    <w:p w:rsidR="00BC38A8" w:rsidRDefault="00BC38A8" w:rsidP="00BC38A8">
      <w:pPr>
        <w:pStyle w:val="ListParagraph"/>
        <w:ind w:left="0" w:right="54" w:firstLine="0"/>
      </w:pPr>
      <w:r>
        <w:t xml:space="preserve"> </w:t>
      </w:r>
    </w:p>
    <w:p w:rsidR="00CA2F39" w:rsidRDefault="00BC38A8" w:rsidP="00BC38A8">
      <w:pPr>
        <w:pStyle w:val="ListParagraph"/>
        <w:numPr>
          <w:ilvl w:val="0"/>
          <w:numId w:val="4"/>
        </w:numPr>
        <w:ind w:left="0" w:right="54" w:firstLine="0"/>
      </w:pPr>
      <w:r>
        <w:t>Finalmente, el Presidente recuerda que, según el artículo 5 del Reglamento del Fondo, se informará oportunamente al Estado demandado las erogaciones realizadas en aplicación del Fondo de Asistencia, para que presente sus observaciones, si así lo desea, dentro del plazo que se establezca al efecto.</w:t>
      </w:r>
    </w:p>
    <w:p w:rsidR="00CA2F39" w:rsidRPr="007C4FDD" w:rsidRDefault="00CA2F39" w:rsidP="00CA2F39">
      <w:pPr>
        <w:pStyle w:val="Normal1"/>
        <w:widowControl/>
        <w:autoSpaceDE w:val="0"/>
        <w:autoSpaceDN w:val="0"/>
        <w:adjustRightInd w:val="0"/>
        <w:contextualSpacing/>
        <w:jc w:val="both"/>
        <w:rPr>
          <w:rFonts w:ascii="Verdana" w:hAnsi="Verdana"/>
          <w:sz w:val="20"/>
          <w:szCs w:val="20"/>
          <w:lang w:val="es-CL"/>
        </w:rPr>
      </w:pPr>
    </w:p>
    <w:p w:rsidR="00CA2F39" w:rsidRDefault="00CA2F39" w:rsidP="00CA2F39">
      <w:pPr>
        <w:rPr>
          <w:b/>
          <w:szCs w:val="20"/>
          <w:lang w:val="es-CR"/>
        </w:rPr>
      </w:pPr>
      <w:r w:rsidRPr="00197CC2">
        <w:rPr>
          <w:b/>
          <w:szCs w:val="20"/>
          <w:lang w:val="es-CR"/>
        </w:rPr>
        <w:t>POR TANTO:</w:t>
      </w:r>
    </w:p>
    <w:p w:rsidR="00CA2F39" w:rsidRPr="00197CC2" w:rsidRDefault="00CA2F39" w:rsidP="00CA2F39">
      <w:pPr>
        <w:rPr>
          <w:b/>
          <w:szCs w:val="20"/>
          <w:lang w:val="es-CR"/>
        </w:rPr>
      </w:pPr>
    </w:p>
    <w:p w:rsidR="00CA2F39" w:rsidRDefault="00CA2F39" w:rsidP="0055238E">
      <w:pPr>
        <w:spacing w:line="240" w:lineRule="auto"/>
        <w:rPr>
          <w:b/>
          <w:szCs w:val="20"/>
          <w:lang w:val="es-CR"/>
        </w:rPr>
      </w:pPr>
      <w:r w:rsidRPr="00197CC2">
        <w:rPr>
          <w:b/>
          <w:szCs w:val="20"/>
          <w:lang w:val="es-CR"/>
        </w:rPr>
        <w:t>EL PRESIDENTE DE LA CORTE INTERAMERICANA DE DERECHOS HUMANOS,</w:t>
      </w:r>
    </w:p>
    <w:p w:rsidR="009E4DE8" w:rsidRPr="00197CC2" w:rsidRDefault="009E4DE8" w:rsidP="0055238E">
      <w:pPr>
        <w:spacing w:line="240" w:lineRule="auto"/>
        <w:rPr>
          <w:b/>
          <w:szCs w:val="20"/>
          <w:lang w:val="es-CR"/>
        </w:rPr>
      </w:pPr>
    </w:p>
    <w:p w:rsidR="00CA2F39" w:rsidRDefault="007D23F7" w:rsidP="00CA2F39">
      <w:pPr>
        <w:spacing w:line="240" w:lineRule="auto"/>
        <w:rPr>
          <w:szCs w:val="20"/>
          <w:lang w:val="es-CR"/>
        </w:rPr>
      </w:pPr>
      <w:r>
        <w:rPr>
          <w:szCs w:val="20"/>
          <w:lang w:val="es-CR"/>
        </w:rPr>
        <w:t>D</w:t>
      </w:r>
      <w:r w:rsidR="00CA2F39" w:rsidRPr="00197CC2">
        <w:rPr>
          <w:szCs w:val="20"/>
          <w:lang w:val="es-CR"/>
        </w:rPr>
        <w:t>e conformidad con el artículo 25.2 del Estatuto de la Cor</w:t>
      </w:r>
      <w:r w:rsidR="00CA2F39">
        <w:rPr>
          <w:szCs w:val="20"/>
          <w:lang w:val="es-CR"/>
        </w:rPr>
        <w:t xml:space="preserve">te y con los artículos </w:t>
      </w:r>
      <w:r w:rsidR="00CA2F39" w:rsidRPr="004B67CE">
        <w:rPr>
          <w:szCs w:val="20"/>
          <w:lang w:val="es-CR"/>
        </w:rPr>
        <w:t xml:space="preserve">4, 15.1, </w:t>
      </w:r>
      <w:r w:rsidR="00146F46" w:rsidRPr="004B67CE">
        <w:rPr>
          <w:szCs w:val="20"/>
          <w:lang w:val="es-CR"/>
        </w:rPr>
        <w:t xml:space="preserve">26.1, 31.2, 35.1, </w:t>
      </w:r>
      <w:r w:rsidR="003E6A05" w:rsidRPr="004B67CE">
        <w:rPr>
          <w:szCs w:val="20"/>
          <w:lang w:val="es-CR"/>
        </w:rPr>
        <w:t xml:space="preserve">37, </w:t>
      </w:r>
      <w:r w:rsidR="00146F46" w:rsidRPr="004B67CE">
        <w:rPr>
          <w:szCs w:val="20"/>
          <w:lang w:val="es-CR"/>
        </w:rPr>
        <w:t>40.2, 41.1</w:t>
      </w:r>
      <w:r w:rsidR="00867B3A" w:rsidRPr="004B67CE">
        <w:rPr>
          <w:szCs w:val="20"/>
          <w:lang w:val="es-CR"/>
        </w:rPr>
        <w:t>,</w:t>
      </w:r>
      <w:r w:rsidR="00CA2F39" w:rsidRPr="004B67CE">
        <w:rPr>
          <w:szCs w:val="20"/>
          <w:lang w:val="es-CR"/>
        </w:rPr>
        <w:t xml:space="preserve"> 46, 47, 50,</w:t>
      </w:r>
      <w:r w:rsidR="00216F4C" w:rsidRPr="004B67CE">
        <w:rPr>
          <w:szCs w:val="20"/>
          <w:lang w:val="es-CR"/>
        </w:rPr>
        <w:t xml:space="preserve"> 53</w:t>
      </w:r>
      <w:r w:rsidR="00B5474F">
        <w:rPr>
          <w:szCs w:val="20"/>
          <w:lang w:val="es-CR"/>
        </w:rPr>
        <w:t>,</w:t>
      </w:r>
      <w:r w:rsidR="00894C8C">
        <w:rPr>
          <w:szCs w:val="20"/>
          <w:lang w:val="es-CR"/>
        </w:rPr>
        <w:t xml:space="preserve"> </w:t>
      </w:r>
      <w:r w:rsidR="005B3358" w:rsidRPr="004B67CE">
        <w:rPr>
          <w:szCs w:val="20"/>
          <w:lang w:val="es-CR"/>
        </w:rPr>
        <w:t>54,</w:t>
      </w:r>
      <w:r w:rsidR="00CA2F39" w:rsidRPr="004B67CE">
        <w:rPr>
          <w:szCs w:val="20"/>
          <w:lang w:val="es-CR"/>
        </w:rPr>
        <w:t xml:space="preserve"> 56</w:t>
      </w:r>
      <w:r w:rsidR="004004F6">
        <w:rPr>
          <w:szCs w:val="20"/>
          <w:lang w:val="es-CR"/>
        </w:rPr>
        <w:t xml:space="preserve"> </w:t>
      </w:r>
      <w:r w:rsidR="00CA2F39" w:rsidRPr="004B67CE">
        <w:rPr>
          <w:szCs w:val="20"/>
          <w:lang w:val="es-CR"/>
        </w:rPr>
        <w:t>y 60</w:t>
      </w:r>
      <w:r w:rsidR="00CA2F39">
        <w:rPr>
          <w:szCs w:val="20"/>
          <w:lang w:val="es-CR"/>
        </w:rPr>
        <w:t xml:space="preserve"> del </w:t>
      </w:r>
      <w:r w:rsidR="00CA2F39" w:rsidRPr="00197CC2">
        <w:rPr>
          <w:szCs w:val="20"/>
          <w:lang w:val="es-CR"/>
        </w:rPr>
        <w:t>Reglamento</w:t>
      </w:r>
      <w:r w:rsidR="00CD605A">
        <w:rPr>
          <w:szCs w:val="20"/>
          <w:lang w:val="es-CR"/>
        </w:rPr>
        <w:t xml:space="preserve"> y </w:t>
      </w:r>
      <w:r w:rsidR="00CA2F39" w:rsidRPr="00A42284">
        <w:rPr>
          <w:szCs w:val="20"/>
          <w:lang w:val="es-CR"/>
        </w:rPr>
        <w:t>el Reglamento sobre el Fondo de Asistencia Legal,</w:t>
      </w:r>
    </w:p>
    <w:p w:rsidR="00CA2F39" w:rsidRPr="00197CC2" w:rsidRDefault="00CA2F39" w:rsidP="00CA2F39">
      <w:pPr>
        <w:spacing w:line="240" w:lineRule="auto"/>
        <w:rPr>
          <w:szCs w:val="20"/>
          <w:lang w:val="es-CR"/>
        </w:rPr>
      </w:pPr>
    </w:p>
    <w:p w:rsidR="00CA2F39" w:rsidRDefault="00CA2F39" w:rsidP="00CA2F39">
      <w:pPr>
        <w:spacing w:line="240" w:lineRule="auto"/>
        <w:rPr>
          <w:b/>
          <w:szCs w:val="20"/>
          <w:lang w:val="es-CR"/>
        </w:rPr>
      </w:pPr>
      <w:r w:rsidRPr="00197CC2">
        <w:rPr>
          <w:b/>
          <w:szCs w:val="20"/>
          <w:lang w:val="es-CR"/>
        </w:rPr>
        <w:t>RESUELVE:</w:t>
      </w:r>
    </w:p>
    <w:p w:rsidR="00CA2F39" w:rsidRPr="00197CC2" w:rsidRDefault="00CA2F39" w:rsidP="00CA2F39">
      <w:pPr>
        <w:spacing w:line="240" w:lineRule="auto"/>
        <w:rPr>
          <w:szCs w:val="20"/>
          <w:lang w:val="es-CR"/>
        </w:rPr>
      </w:pPr>
    </w:p>
    <w:p w:rsidR="008F1FF1" w:rsidRDefault="00CA2F39" w:rsidP="00B1477D">
      <w:pPr>
        <w:spacing w:line="240" w:lineRule="auto"/>
        <w:rPr>
          <w:szCs w:val="20"/>
          <w:lang w:val="es-CR"/>
        </w:rPr>
      </w:pPr>
      <w:r>
        <w:rPr>
          <w:szCs w:val="20"/>
          <w:lang w:val="es-CR"/>
        </w:rPr>
        <w:t>1.</w:t>
      </w:r>
      <w:r>
        <w:rPr>
          <w:szCs w:val="20"/>
          <w:lang w:val="es-CR"/>
        </w:rPr>
        <w:tab/>
      </w:r>
      <w:r w:rsidR="00D65D14">
        <w:rPr>
          <w:szCs w:val="20"/>
          <w:lang w:val="es-CR"/>
        </w:rPr>
        <w:t>Requerir, por las razones expuestas en la presente Resolución, de conformidad con el principio de economía procesal y en el ejercicio de la facultad que le otorga los artículos 50.1 y 50.3 del Reglamento, que las siguientes personas presenten sus declaraciones ante fedatario público.</w:t>
      </w:r>
    </w:p>
    <w:p w:rsidR="00CA2F39" w:rsidRPr="00B1477D" w:rsidRDefault="00E14519" w:rsidP="00B1477D">
      <w:pPr>
        <w:spacing w:line="240" w:lineRule="auto"/>
        <w:rPr>
          <w:szCs w:val="20"/>
          <w:lang w:val="es-CR"/>
        </w:rPr>
      </w:pPr>
      <w:r>
        <w:rPr>
          <w:szCs w:val="20"/>
          <w:lang w:val="es-CR"/>
        </w:rPr>
        <w:t xml:space="preserve"> </w:t>
      </w:r>
      <w:r w:rsidR="00CA2F39">
        <w:rPr>
          <w:szCs w:val="20"/>
          <w:lang w:val="es-CR"/>
        </w:rPr>
        <w:t xml:space="preserve"> </w:t>
      </w:r>
    </w:p>
    <w:p w:rsidR="00CA2F39" w:rsidRDefault="00CA2F39" w:rsidP="00CA2F39">
      <w:pPr>
        <w:pStyle w:val="ListParagraph"/>
        <w:numPr>
          <w:ilvl w:val="0"/>
          <w:numId w:val="11"/>
        </w:numPr>
        <w:spacing w:after="0" w:line="240" w:lineRule="auto"/>
        <w:ind w:right="0"/>
        <w:rPr>
          <w:i/>
          <w:szCs w:val="20"/>
          <w:lang w:val="es-CR"/>
        </w:rPr>
      </w:pPr>
      <w:r w:rsidRPr="00B73BE8">
        <w:rPr>
          <w:b/>
          <w:i/>
          <w:szCs w:val="20"/>
          <w:lang w:val="es-CR"/>
        </w:rPr>
        <w:t xml:space="preserve">Familiares </w:t>
      </w:r>
      <w:r w:rsidR="00D77DE7">
        <w:rPr>
          <w:i/>
          <w:szCs w:val="20"/>
          <w:lang w:val="es-CR"/>
        </w:rPr>
        <w:t>(propuesta</w:t>
      </w:r>
      <w:r>
        <w:rPr>
          <w:i/>
          <w:szCs w:val="20"/>
          <w:lang w:val="es-CR"/>
        </w:rPr>
        <w:t>s por l</w:t>
      </w:r>
      <w:r w:rsidR="000204E6">
        <w:rPr>
          <w:i/>
          <w:szCs w:val="20"/>
          <w:lang w:val="es-CR"/>
        </w:rPr>
        <w:t>a</w:t>
      </w:r>
      <w:r>
        <w:rPr>
          <w:i/>
          <w:szCs w:val="20"/>
          <w:lang w:val="es-CR"/>
        </w:rPr>
        <w:t>s</w:t>
      </w:r>
      <w:r w:rsidR="00D77DE7">
        <w:rPr>
          <w:i/>
          <w:szCs w:val="20"/>
          <w:lang w:val="es-CR"/>
        </w:rPr>
        <w:t xml:space="preserve"> representantes</w:t>
      </w:r>
      <w:r w:rsidRPr="00B73BE8">
        <w:rPr>
          <w:i/>
          <w:szCs w:val="20"/>
          <w:lang w:val="es-CR"/>
        </w:rPr>
        <w:t>)</w:t>
      </w:r>
    </w:p>
    <w:p w:rsidR="005467D5" w:rsidRPr="00296216" w:rsidRDefault="005467D5" w:rsidP="00296216">
      <w:pPr>
        <w:spacing w:after="0" w:line="240" w:lineRule="auto"/>
        <w:ind w:left="0" w:firstLine="0"/>
        <w:rPr>
          <w:szCs w:val="20"/>
        </w:rPr>
      </w:pPr>
    </w:p>
    <w:p w:rsidR="00614B5A" w:rsidRDefault="00567DFC" w:rsidP="00B1477D">
      <w:pPr>
        <w:pStyle w:val="ListParagraph"/>
        <w:numPr>
          <w:ilvl w:val="0"/>
          <w:numId w:val="30"/>
        </w:numPr>
        <w:spacing w:after="231" w:line="276" w:lineRule="auto"/>
        <w:ind w:left="709" w:right="54" w:firstLine="0"/>
        <w:rPr>
          <w:szCs w:val="20"/>
        </w:rPr>
      </w:pPr>
      <w:r w:rsidRPr="00567DFC">
        <w:rPr>
          <w:i/>
          <w:szCs w:val="20"/>
        </w:rPr>
        <w:t>Dora Alicia Castillo Mendoza de Luna</w:t>
      </w:r>
      <w:r w:rsidR="005467D5" w:rsidRPr="00BF57C7">
        <w:rPr>
          <w:i/>
          <w:szCs w:val="20"/>
        </w:rPr>
        <w:t xml:space="preserve">, </w:t>
      </w:r>
      <w:r w:rsidR="005467D5" w:rsidRPr="00BF57C7">
        <w:rPr>
          <w:szCs w:val="20"/>
        </w:rPr>
        <w:t xml:space="preserve">hermana de Pedro Castillo Mendoza, quien declarará sobre: </w:t>
      </w:r>
    </w:p>
    <w:p w:rsidR="00614B5A" w:rsidRDefault="005467D5" w:rsidP="00614B5A">
      <w:pPr>
        <w:pStyle w:val="ListParagraph"/>
        <w:numPr>
          <w:ilvl w:val="0"/>
          <w:numId w:val="28"/>
        </w:numPr>
        <w:spacing w:after="231" w:line="276" w:lineRule="auto"/>
        <w:ind w:left="720" w:right="54" w:firstLine="0"/>
        <w:rPr>
          <w:szCs w:val="20"/>
        </w:rPr>
      </w:pPr>
      <w:r w:rsidRPr="00BF57C7">
        <w:rPr>
          <w:szCs w:val="20"/>
        </w:rPr>
        <w:t>las presuntas circunstancias del hecho en relación al apresamiento de su hermano en la Granja Canadá, destacando las presuntas condiciones de prisión;</w:t>
      </w:r>
    </w:p>
    <w:p w:rsidR="00C67D77" w:rsidRDefault="005467D5" w:rsidP="00614B5A">
      <w:pPr>
        <w:pStyle w:val="ListParagraph"/>
        <w:numPr>
          <w:ilvl w:val="0"/>
          <w:numId w:val="28"/>
        </w:numPr>
        <w:spacing w:after="231" w:line="276" w:lineRule="auto"/>
        <w:ind w:left="720" w:right="54" w:firstLine="0"/>
        <w:rPr>
          <w:szCs w:val="20"/>
        </w:rPr>
      </w:pPr>
      <w:r w:rsidRPr="00BF57C7">
        <w:rPr>
          <w:szCs w:val="20"/>
        </w:rPr>
        <w:t xml:space="preserve">el </w:t>
      </w:r>
      <w:r w:rsidRPr="00296216">
        <w:rPr>
          <w:szCs w:val="20"/>
        </w:rPr>
        <w:t>presunto seguimiento realizado a Pedro Castillo Mendoza por parte de ella junto con sus hermanas Blanca Delia y Dora</w:t>
      </w:r>
      <w:r w:rsidR="0028695F">
        <w:rPr>
          <w:szCs w:val="20"/>
        </w:rPr>
        <w:t>;</w:t>
      </w:r>
      <w:r w:rsidR="00531DEF">
        <w:rPr>
          <w:szCs w:val="20"/>
        </w:rPr>
        <w:t xml:space="preserve"> </w:t>
      </w:r>
    </w:p>
    <w:p w:rsidR="00614B5A" w:rsidRDefault="005467D5" w:rsidP="00614B5A">
      <w:pPr>
        <w:pStyle w:val="ListParagraph"/>
        <w:numPr>
          <w:ilvl w:val="0"/>
          <w:numId w:val="28"/>
        </w:numPr>
        <w:spacing w:after="231" w:line="276" w:lineRule="auto"/>
        <w:ind w:left="720" w:right="54" w:firstLine="0"/>
        <w:rPr>
          <w:szCs w:val="20"/>
        </w:rPr>
      </w:pPr>
      <w:r w:rsidRPr="00BF57C7">
        <w:rPr>
          <w:szCs w:val="20"/>
        </w:rPr>
        <w:t xml:space="preserve">de los presuntos efectos personales, familiares, sociales, psicológicos y económicos, que generó a ella y su familia el sometimiento, juzgamiento y sanción de su hermano, que culminó con la ejecución pública de la pena de muerte en contra del mismo; </w:t>
      </w:r>
    </w:p>
    <w:p w:rsidR="00614B5A" w:rsidRDefault="005467D5" w:rsidP="00614B5A">
      <w:pPr>
        <w:pStyle w:val="ListParagraph"/>
        <w:numPr>
          <w:ilvl w:val="0"/>
          <w:numId w:val="28"/>
        </w:numPr>
        <w:spacing w:after="231" w:line="276" w:lineRule="auto"/>
        <w:ind w:left="720" w:right="54" w:firstLine="0"/>
        <w:rPr>
          <w:szCs w:val="20"/>
        </w:rPr>
      </w:pPr>
      <w:r w:rsidRPr="00BF57C7">
        <w:rPr>
          <w:szCs w:val="20"/>
        </w:rPr>
        <w:t xml:space="preserve">el eventual trato dispensado a ella, así como a su hermana Blanca Delia –hoy fallecida-, por parte de las autoridades, en cuanto al seguimiento dado al caso en los tribunales, especialmente si hubo o no comunicación de ella y </w:t>
      </w:r>
      <w:r w:rsidR="00B5474F">
        <w:rPr>
          <w:szCs w:val="20"/>
        </w:rPr>
        <w:t>sus hermanas Blanca Delia y Berta</w:t>
      </w:r>
      <w:r w:rsidRPr="00BF57C7">
        <w:rPr>
          <w:szCs w:val="20"/>
        </w:rPr>
        <w:t xml:space="preserve"> con el abogado de oficio asignado a su hermano, </w:t>
      </w:r>
      <w:r w:rsidR="00531DEF">
        <w:rPr>
          <w:szCs w:val="20"/>
        </w:rPr>
        <w:t xml:space="preserve">así como </w:t>
      </w:r>
      <w:r w:rsidRPr="00BF57C7">
        <w:rPr>
          <w:szCs w:val="20"/>
        </w:rPr>
        <w:t>la falta de</w:t>
      </w:r>
      <w:r w:rsidR="00614B5A">
        <w:rPr>
          <w:szCs w:val="20"/>
        </w:rPr>
        <w:t xml:space="preserve"> recursos para pagar un abogado,</w:t>
      </w:r>
      <w:r w:rsidR="00531DEF">
        <w:rPr>
          <w:szCs w:val="20"/>
        </w:rPr>
        <w:t xml:space="preserve"> y</w:t>
      </w:r>
    </w:p>
    <w:p w:rsidR="00CA2F39" w:rsidRDefault="005467D5" w:rsidP="00614B5A">
      <w:pPr>
        <w:pStyle w:val="ListParagraph"/>
        <w:numPr>
          <w:ilvl w:val="0"/>
          <w:numId w:val="28"/>
        </w:numPr>
        <w:spacing w:after="231" w:line="276" w:lineRule="auto"/>
        <w:ind w:left="720" w:right="54" w:firstLine="0"/>
        <w:rPr>
          <w:szCs w:val="20"/>
        </w:rPr>
      </w:pPr>
      <w:r w:rsidRPr="00BF57C7">
        <w:rPr>
          <w:szCs w:val="20"/>
        </w:rPr>
        <w:t>el eventual estigma de su familia por lo sucedido a su hermano, y al mismo, por la publicidad dada al caso.</w:t>
      </w:r>
    </w:p>
    <w:p w:rsidR="00296216" w:rsidRDefault="00296216" w:rsidP="00296216">
      <w:pPr>
        <w:pStyle w:val="ListParagraph"/>
        <w:spacing w:after="231" w:line="276" w:lineRule="auto"/>
        <w:ind w:right="54" w:firstLine="0"/>
        <w:rPr>
          <w:szCs w:val="20"/>
        </w:rPr>
      </w:pPr>
    </w:p>
    <w:p w:rsidR="00614B5A" w:rsidRPr="00614B5A" w:rsidRDefault="00B1477D" w:rsidP="00B1477D">
      <w:pPr>
        <w:pStyle w:val="ListParagraph"/>
        <w:spacing w:after="0" w:line="240" w:lineRule="auto"/>
        <w:ind w:firstLine="0"/>
        <w:rPr>
          <w:szCs w:val="20"/>
        </w:rPr>
      </w:pPr>
      <w:r>
        <w:rPr>
          <w:i/>
        </w:rPr>
        <w:t>2)</w:t>
      </w:r>
      <w:r>
        <w:rPr>
          <w:i/>
        </w:rPr>
        <w:tab/>
      </w:r>
      <w:r w:rsidR="00296216" w:rsidRPr="005467D5">
        <w:rPr>
          <w:i/>
        </w:rPr>
        <w:t>Berta Lidia Mendoza</w:t>
      </w:r>
      <w:r w:rsidR="00296216" w:rsidRPr="005467D5">
        <w:t xml:space="preserve">, hermana de Pedro Castillo Mendoza, quien declarará sobre: </w:t>
      </w:r>
    </w:p>
    <w:p w:rsidR="00614B5A" w:rsidRDefault="00296216" w:rsidP="00614B5A">
      <w:pPr>
        <w:pStyle w:val="ListParagraph"/>
        <w:spacing w:after="0" w:line="240" w:lineRule="auto"/>
        <w:ind w:firstLine="0"/>
        <w:rPr>
          <w:szCs w:val="20"/>
        </w:rPr>
      </w:pPr>
      <w:r w:rsidRPr="005467D5">
        <w:rPr>
          <w:szCs w:val="20"/>
        </w:rPr>
        <w:t xml:space="preserve">i) </w:t>
      </w:r>
      <w:r w:rsidR="00C67D77">
        <w:rPr>
          <w:szCs w:val="20"/>
        </w:rPr>
        <w:tab/>
      </w:r>
      <w:r w:rsidRPr="005467D5">
        <w:rPr>
          <w:szCs w:val="20"/>
        </w:rPr>
        <w:t xml:space="preserve">las presuntas circunstancias del hecho, en relación al apresamiento del mismo en la Granja Canadá, destacando las presuntas condiciones de </w:t>
      </w:r>
      <w:r w:rsidR="00614B5A">
        <w:rPr>
          <w:szCs w:val="20"/>
        </w:rPr>
        <w:t xml:space="preserve">prisión; </w:t>
      </w:r>
    </w:p>
    <w:p w:rsidR="00614B5A" w:rsidRDefault="00296216" w:rsidP="00614B5A">
      <w:pPr>
        <w:pStyle w:val="ListParagraph"/>
        <w:spacing w:after="0" w:line="240" w:lineRule="auto"/>
        <w:ind w:firstLine="0"/>
        <w:rPr>
          <w:szCs w:val="20"/>
        </w:rPr>
      </w:pPr>
      <w:r>
        <w:rPr>
          <w:szCs w:val="20"/>
        </w:rPr>
        <w:t>ii)</w:t>
      </w:r>
      <w:r w:rsidRPr="005467D5">
        <w:rPr>
          <w:szCs w:val="20"/>
        </w:rPr>
        <w:t xml:space="preserve"> </w:t>
      </w:r>
      <w:r w:rsidR="00C67D77">
        <w:rPr>
          <w:szCs w:val="20"/>
        </w:rPr>
        <w:tab/>
      </w:r>
      <w:r w:rsidRPr="005467D5">
        <w:rPr>
          <w:szCs w:val="20"/>
        </w:rPr>
        <w:t xml:space="preserve">el eventual </w:t>
      </w:r>
      <w:r w:rsidRPr="00EE0F27">
        <w:rPr>
          <w:szCs w:val="20"/>
        </w:rPr>
        <w:t>seguimiento en las presuntas</w:t>
      </w:r>
      <w:r>
        <w:rPr>
          <w:szCs w:val="20"/>
        </w:rPr>
        <w:t xml:space="preserve"> visitas que realizaba</w:t>
      </w:r>
      <w:r w:rsidRPr="00EE0F27">
        <w:rPr>
          <w:szCs w:val="20"/>
        </w:rPr>
        <w:t xml:space="preserve"> a </w:t>
      </w:r>
      <w:r w:rsidRPr="00EE0F27">
        <w:t>Pedro Castillo Mendoza</w:t>
      </w:r>
      <w:r>
        <w:t>,</w:t>
      </w:r>
      <w:r w:rsidRPr="00EE0F27">
        <w:rPr>
          <w:szCs w:val="20"/>
        </w:rPr>
        <w:t xml:space="preserve"> </w:t>
      </w:r>
      <w:r w:rsidR="00B5474F">
        <w:rPr>
          <w:szCs w:val="20"/>
        </w:rPr>
        <w:t xml:space="preserve">por partea de ella, </w:t>
      </w:r>
      <w:r>
        <w:rPr>
          <w:szCs w:val="20"/>
        </w:rPr>
        <w:t xml:space="preserve">junto con </w:t>
      </w:r>
      <w:r w:rsidRPr="00EE0F27">
        <w:rPr>
          <w:szCs w:val="20"/>
        </w:rPr>
        <w:t>sus hermanas Blanca</w:t>
      </w:r>
      <w:r w:rsidR="00614B5A">
        <w:rPr>
          <w:szCs w:val="20"/>
        </w:rPr>
        <w:t xml:space="preserve"> Delia y Dora;</w:t>
      </w:r>
    </w:p>
    <w:p w:rsidR="00614B5A" w:rsidRDefault="00296216" w:rsidP="00614B5A">
      <w:pPr>
        <w:pStyle w:val="ListParagraph"/>
        <w:spacing w:after="0" w:line="240" w:lineRule="auto"/>
        <w:ind w:firstLine="0"/>
        <w:rPr>
          <w:szCs w:val="20"/>
        </w:rPr>
      </w:pPr>
      <w:r>
        <w:rPr>
          <w:szCs w:val="20"/>
        </w:rPr>
        <w:t xml:space="preserve">iii) </w:t>
      </w:r>
      <w:r w:rsidR="00C67D77">
        <w:rPr>
          <w:szCs w:val="20"/>
        </w:rPr>
        <w:tab/>
      </w:r>
      <w:r w:rsidRPr="005467D5">
        <w:rPr>
          <w:szCs w:val="20"/>
        </w:rPr>
        <w:t>de los presuntos efectos personales, familiares, sociales, psicológicos y económicos, que generó a ella y su familia el sometimiento, juzgamiento y sanción d</w:t>
      </w:r>
      <w:r>
        <w:rPr>
          <w:szCs w:val="20"/>
        </w:rPr>
        <w:t>e su hermano, que culminó con su</w:t>
      </w:r>
      <w:r w:rsidRPr="005467D5">
        <w:rPr>
          <w:szCs w:val="20"/>
        </w:rPr>
        <w:t xml:space="preserve"> ejecución pública de la pena de muerte</w:t>
      </w:r>
      <w:r>
        <w:rPr>
          <w:szCs w:val="20"/>
        </w:rPr>
        <w:t>;</w:t>
      </w:r>
    </w:p>
    <w:p w:rsidR="00614B5A" w:rsidRDefault="00296216" w:rsidP="00614B5A">
      <w:pPr>
        <w:pStyle w:val="ListParagraph"/>
        <w:spacing w:after="0" w:line="240" w:lineRule="auto"/>
        <w:ind w:firstLine="0"/>
        <w:rPr>
          <w:szCs w:val="20"/>
        </w:rPr>
      </w:pPr>
      <w:r>
        <w:rPr>
          <w:szCs w:val="20"/>
        </w:rPr>
        <w:t>iv</w:t>
      </w:r>
      <w:r w:rsidRPr="005467D5">
        <w:rPr>
          <w:szCs w:val="20"/>
        </w:rPr>
        <w:t xml:space="preserve">) </w:t>
      </w:r>
      <w:r w:rsidR="00C67D77">
        <w:rPr>
          <w:szCs w:val="20"/>
        </w:rPr>
        <w:tab/>
      </w:r>
      <w:r w:rsidRPr="005467D5">
        <w:rPr>
          <w:szCs w:val="20"/>
        </w:rPr>
        <w:t xml:space="preserve">el eventual trato dispensado a ella, así como a su hermana Blanca Delia –hoy fallecida-, por parte de las autoridades, en cuanto al seguimiento dado al caso en los tribunales, especialmente si hubo o no comunicación de ella y sus hermanas Blanca Delia y Dora con el abogado de oficio asignado a su hermano, </w:t>
      </w:r>
      <w:r>
        <w:rPr>
          <w:szCs w:val="20"/>
        </w:rPr>
        <w:t xml:space="preserve">así como sobre </w:t>
      </w:r>
      <w:r w:rsidRPr="005467D5">
        <w:rPr>
          <w:szCs w:val="20"/>
        </w:rPr>
        <w:t>la falta de recursos para</w:t>
      </w:r>
      <w:r>
        <w:rPr>
          <w:szCs w:val="20"/>
        </w:rPr>
        <w:t xml:space="preserve"> pagar un abogado, y</w:t>
      </w:r>
    </w:p>
    <w:p w:rsidR="00296216" w:rsidRDefault="00296216" w:rsidP="00153313">
      <w:pPr>
        <w:pStyle w:val="ListParagraph"/>
        <w:spacing w:after="0" w:line="240" w:lineRule="auto"/>
        <w:ind w:firstLine="0"/>
        <w:rPr>
          <w:szCs w:val="20"/>
        </w:rPr>
      </w:pPr>
      <w:r w:rsidRPr="005467D5">
        <w:rPr>
          <w:szCs w:val="20"/>
        </w:rPr>
        <w:t>v) el presunto estigma que su familia por lo sucedido a su hermano, y al mismo, por la publicidad dada al caso.</w:t>
      </w:r>
    </w:p>
    <w:p w:rsidR="00BF57C7" w:rsidRPr="00BF57C7" w:rsidRDefault="00BF57C7" w:rsidP="00153313">
      <w:pPr>
        <w:pStyle w:val="ListParagraph"/>
        <w:spacing w:after="0" w:line="276" w:lineRule="auto"/>
        <w:ind w:left="0" w:right="54" w:firstLine="0"/>
        <w:rPr>
          <w:szCs w:val="20"/>
        </w:rPr>
      </w:pPr>
    </w:p>
    <w:p w:rsidR="00CA2F39" w:rsidRPr="008D4BF2" w:rsidRDefault="00764D28" w:rsidP="008D4BF2">
      <w:pPr>
        <w:pStyle w:val="ListParagraph"/>
        <w:numPr>
          <w:ilvl w:val="0"/>
          <w:numId w:val="11"/>
        </w:numPr>
        <w:spacing w:after="0" w:line="240" w:lineRule="auto"/>
        <w:rPr>
          <w:i/>
          <w:szCs w:val="20"/>
          <w:lang w:val="es-CR"/>
        </w:rPr>
      </w:pPr>
      <w:r w:rsidRPr="008D4BF2">
        <w:rPr>
          <w:b/>
          <w:i/>
          <w:szCs w:val="20"/>
          <w:lang w:val="es-CR"/>
        </w:rPr>
        <w:t>Testigo</w:t>
      </w:r>
      <w:r w:rsidR="00CA2F39" w:rsidRPr="008D4BF2">
        <w:rPr>
          <w:b/>
          <w:i/>
          <w:szCs w:val="20"/>
          <w:lang w:val="es-CR"/>
        </w:rPr>
        <w:t xml:space="preserve"> </w:t>
      </w:r>
      <w:r w:rsidR="00D77DE7" w:rsidRPr="008D4BF2">
        <w:rPr>
          <w:i/>
          <w:szCs w:val="20"/>
          <w:lang w:val="es-CR"/>
        </w:rPr>
        <w:t>(propuesto</w:t>
      </w:r>
      <w:r w:rsidR="004828D4" w:rsidRPr="008D4BF2">
        <w:rPr>
          <w:i/>
          <w:szCs w:val="20"/>
          <w:lang w:val="es-CR"/>
        </w:rPr>
        <w:t xml:space="preserve"> </w:t>
      </w:r>
      <w:r w:rsidR="00CA2F39" w:rsidRPr="008D4BF2">
        <w:rPr>
          <w:i/>
          <w:szCs w:val="20"/>
          <w:lang w:val="es-CR"/>
        </w:rPr>
        <w:t>por l</w:t>
      </w:r>
      <w:r w:rsidR="000204E6" w:rsidRPr="008D4BF2">
        <w:rPr>
          <w:i/>
          <w:szCs w:val="20"/>
          <w:lang w:val="es-CR"/>
        </w:rPr>
        <w:t>a</w:t>
      </w:r>
      <w:r w:rsidR="00CA2F39" w:rsidRPr="008D4BF2">
        <w:rPr>
          <w:i/>
          <w:szCs w:val="20"/>
          <w:lang w:val="es-CR"/>
        </w:rPr>
        <w:t>s</w:t>
      </w:r>
      <w:r w:rsidR="00D77DE7" w:rsidRPr="008D4BF2">
        <w:rPr>
          <w:i/>
          <w:szCs w:val="20"/>
          <w:lang w:val="es-CR"/>
        </w:rPr>
        <w:t xml:space="preserve"> representantes</w:t>
      </w:r>
      <w:r w:rsidR="00CA2F39" w:rsidRPr="008D4BF2">
        <w:rPr>
          <w:i/>
          <w:szCs w:val="20"/>
          <w:lang w:val="es-CR"/>
        </w:rPr>
        <w:t>)</w:t>
      </w:r>
    </w:p>
    <w:p w:rsidR="00CA2F39" w:rsidRPr="00410778" w:rsidRDefault="00CA2F39" w:rsidP="002B37F6">
      <w:pPr>
        <w:pStyle w:val="ListParagraph"/>
        <w:spacing w:line="240" w:lineRule="auto"/>
        <w:ind w:firstLine="0"/>
        <w:rPr>
          <w:b/>
          <w:i/>
          <w:szCs w:val="20"/>
          <w:lang w:val="es-CR"/>
        </w:rPr>
      </w:pPr>
    </w:p>
    <w:p w:rsidR="00CA2F39" w:rsidRPr="007552BD" w:rsidRDefault="00CA2F39" w:rsidP="00B1477D">
      <w:pPr>
        <w:ind w:left="709" w:right="54" w:firstLine="0"/>
      </w:pPr>
      <w:r w:rsidRPr="00B1477D">
        <w:rPr>
          <w:i/>
        </w:rPr>
        <w:t>Edy Iván Bocanegra Conde</w:t>
      </w:r>
      <w:r w:rsidR="00BF57C7">
        <w:t>,</w:t>
      </w:r>
      <w:r w:rsidR="00D65D14">
        <w:t xml:space="preserve"> abogado</w:t>
      </w:r>
      <w:r w:rsidR="002B37F6">
        <w:t>,</w:t>
      </w:r>
      <w:r w:rsidR="00BF57C7">
        <w:t xml:space="preserve"> quien declarará sobre</w:t>
      </w:r>
      <w:r w:rsidR="002B37F6">
        <w:t>: su</w:t>
      </w:r>
      <w:r w:rsidRPr="007552BD">
        <w:t xml:space="preserve"> asignación por parte del Estado de Guatemala como abogado de oficio, siendo estudiante de la carrera de Derecho de la Universidad de San Carlos, a través del Bufete Popular, así como sus actuaciones en torno al caso en los siguientes parámetros: </w:t>
      </w:r>
    </w:p>
    <w:p w:rsidR="00CA2F39" w:rsidRPr="007552BD" w:rsidRDefault="00296216" w:rsidP="002B37F6">
      <w:pPr>
        <w:pStyle w:val="ListParagraph"/>
        <w:numPr>
          <w:ilvl w:val="0"/>
          <w:numId w:val="5"/>
        </w:numPr>
        <w:spacing w:after="0" w:line="259" w:lineRule="auto"/>
        <w:ind w:left="720" w:right="0" w:firstLine="0"/>
      </w:pPr>
      <w:r>
        <w:t>si existían</w:t>
      </w:r>
      <w:r w:rsidR="005E3F28">
        <w:t xml:space="preserve"> eventualmente </w:t>
      </w:r>
      <w:r w:rsidR="00CA2F39">
        <w:t>r</w:t>
      </w:r>
      <w:r w:rsidR="00CA2F39" w:rsidRPr="007552BD">
        <w:t>equisitos para integrar el Bufete Popular de la Universidad de San Carlos como pasante, así como las exigencias de dicha función</w:t>
      </w:r>
      <w:r w:rsidR="00CA2F39">
        <w:t>;</w:t>
      </w:r>
      <w:r w:rsidR="00CA2F39" w:rsidRPr="007552BD">
        <w:t xml:space="preserve"> </w:t>
      </w:r>
    </w:p>
    <w:p w:rsidR="00CA2F39" w:rsidRPr="007552BD" w:rsidRDefault="005E3F28" w:rsidP="002B37F6">
      <w:pPr>
        <w:pStyle w:val="ListParagraph"/>
        <w:numPr>
          <w:ilvl w:val="0"/>
          <w:numId w:val="5"/>
        </w:numPr>
        <w:spacing w:after="0" w:line="259" w:lineRule="auto"/>
        <w:ind w:left="720" w:right="0" w:firstLine="0"/>
      </w:pPr>
      <w:r>
        <w:t>si tenía tiempo en el desempeño de</w:t>
      </w:r>
      <w:r w:rsidR="00CA2F39" w:rsidRPr="007552BD">
        <w:t xml:space="preserve"> la función de pasante del Bufete Popular de la Universidad de San Carlos</w:t>
      </w:r>
      <w:r w:rsidR="00CA2F39">
        <w:t>;</w:t>
      </w:r>
      <w:r w:rsidR="00CA2F39" w:rsidRPr="007552BD">
        <w:t xml:space="preserve">   </w:t>
      </w:r>
    </w:p>
    <w:p w:rsidR="00CA2F39" w:rsidRPr="007552BD" w:rsidRDefault="00CA2F39" w:rsidP="002B37F6">
      <w:pPr>
        <w:pStyle w:val="ListParagraph"/>
        <w:numPr>
          <w:ilvl w:val="0"/>
          <w:numId w:val="5"/>
        </w:numPr>
        <w:spacing w:after="0" w:line="259" w:lineRule="auto"/>
        <w:ind w:left="720" w:right="0" w:firstLine="0"/>
      </w:pPr>
      <w:r>
        <w:t>s</w:t>
      </w:r>
      <w:r w:rsidRPr="007552BD">
        <w:t xml:space="preserve">i </w:t>
      </w:r>
      <w:r w:rsidR="005E3F28">
        <w:t xml:space="preserve">eventualmente </w:t>
      </w:r>
      <w:r w:rsidRPr="007552BD">
        <w:t>había llevado algún caso anteriormente sobre pena de muerte y/o como defensa en violaciones calificadas</w:t>
      </w:r>
      <w:r>
        <w:t>;</w:t>
      </w:r>
    </w:p>
    <w:p w:rsidR="00CA2F39" w:rsidRPr="007552BD" w:rsidRDefault="005E3F28" w:rsidP="002B37F6">
      <w:pPr>
        <w:pStyle w:val="ListParagraph"/>
        <w:numPr>
          <w:ilvl w:val="0"/>
          <w:numId w:val="5"/>
        </w:numPr>
        <w:spacing w:after="0" w:line="259" w:lineRule="auto"/>
        <w:ind w:left="720" w:right="0" w:firstLine="0"/>
      </w:pPr>
      <w:r>
        <w:t>si conocía la</w:t>
      </w:r>
      <w:r w:rsidR="00CA2F39" w:rsidRPr="007552BD">
        <w:t xml:space="preserve"> fase procesal en la cual se encontraba el proceso penal ordinario al momento de asumirlo, en relación con si habían sido recogidos medios de investigación que se convirtieron posteriormente en pruebas valoradas en contra de su patrocinado;</w:t>
      </w:r>
    </w:p>
    <w:p w:rsidR="00CA2F39" w:rsidRPr="007552BD" w:rsidRDefault="005E3F28" w:rsidP="002B37F6">
      <w:pPr>
        <w:pStyle w:val="ListParagraph"/>
        <w:numPr>
          <w:ilvl w:val="0"/>
          <w:numId w:val="5"/>
        </w:numPr>
        <w:spacing w:after="0" w:line="259" w:lineRule="auto"/>
        <w:ind w:left="720" w:right="0" w:firstLine="0"/>
      </w:pPr>
      <w:r>
        <w:t>si conocía sobre las presuntas</w:t>
      </w:r>
      <w:r w:rsidR="00CA2F39" w:rsidRPr="007552BD">
        <w:t xml:space="preserve"> condiciones económicas de su patrocinado que imposibilitaban o no la contratación de un abogado privado;  </w:t>
      </w:r>
    </w:p>
    <w:p w:rsidR="00CA2F39" w:rsidRPr="007552BD" w:rsidRDefault="00CA2F39" w:rsidP="002B37F6">
      <w:pPr>
        <w:pStyle w:val="ListParagraph"/>
        <w:numPr>
          <w:ilvl w:val="0"/>
          <w:numId w:val="5"/>
        </w:numPr>
        <w:spacing w:after="0" w:line="259" w:lineRule="auto"/>
        <w:ind w:left="720" w:right="0" w:firstLine="0"/>
      </w:pPr>
      <w:r>
        <w:t>s</w:t>
      </w:r>
      <w:r w:rsidRPr="007552BD">
        <w:t xml:space="preserve">i realizó o no </w:t>
      </w:r>
      <w:r w:rsidR="005E3F28">
        <w:t xml:space="preserve">eventuales </w:t>
      </w:r>
      <w:r w:rsidRPr="007552BD">
        <w:t>visitas al señor Castillo dentro del recinto penitenciario en el cual estaba recluido, por igual, si en</w:t>
      </w:r>
      <w:r w:rsidR="005E3F28">
        <w:t xml:space="preserve"> presuntas</w:t>
      </w:r>
      <w:r w:rsidRPr="007552BD">
        <w:t xml:space="preserve"> conversaciones sostenidas con el mismo pudo constatar que era visit</w:t>
      </w:r>
      <w:r w:rsidR="005E3F28">
        <w:t xml:space="preserve">ado por sus familiares; </w:t>
      </w:r>
      <w:r w:rsidRPr="007552BD">
        <w:t xml:space="preserve"> si pudo observar las condiciones de privación en las que se encontraba; si pudo constatar si el señor Girón era visitado o no por sus familiares y su abogado;  </w:t>
      </w:r>
    </w:p>
    <w:p w:rsidR="00CA2F39" w:rsidRPr="007552BD" w:rsidRDefault="00CA2F39" w:rsidP="00BF57C7">
      <w:pPr>
        <w:pStyle w:val="ListParagraph"/>
        <w:numPr>
          <w:ilvl w:val="0"/>
          <w:numId w:val="5"/>
        </w:numPr>
        <w:spacing w:after="0" w:line="259" w:lineRule="auto"/>
        <w:ind w:left="720" w:right="0" w:firstLine="0"/>
      </w:pPr>
      <w:r>
        <w:t>s</w:t>
      </w:r>
      <w:r w:rsidRPr="007552BD">
        <w:t>i se le dio la oportunidad de interrogar a los testigos de la acusación u ofertar pruebas respecto a la</w:t>
      </w:r>
      <w:r w:rsidR="003E6A05">
        <w:t xml:space="preserve"> presunta</w:t>
      </w:r>
      <w:r w:rsidRPr="007552BD">
        <w:t xml:space="preserve"> </w:t>
      </w:r>
      <w:r w:rsidR="00B5474F">
        <w:t xml:space="preserve">dependencia alcohólica </w:t>
      </w:r>
      <w:r w:rsidRPr="007552BD">
        <w:t xml:space="preserve">de su patrocinado;  </w:t>
      </w:r>
    </w:p>
    <w:p w:rsidR="00CA2F39" w:rsidRPr="007552BD" w:rsidRDefault="00CA2F39" w:rsidP="00BF57C7">
      <w:pPr>
        <w:pStyle w:val="ListParagraph"/>
        <w:numPr>
          <w:ilvl w:val="0"/>
          <w:numId w:val="5"/>
        </w:numPr>
        <w:spacing w:after="0" w:line="259" w:lineRule="auto"/>
        <w:ind w:left="720" w:right="0" w:firstLine="0"/>
      </w:pPr>
      <w:r>
        <w:t>c</w:t>
      </w:r>
      <w:r w:rsidRPr="007552BD">
        <w:t>uáles fueron las</w:t>
      </w:r>
      <w:r w:rsidR="005E3F28">
        <w:t xml:space="preserve"> presuntas</w:t>
      </w:r>
      <w:r w:rsidRPr="007552BD">
        <w:t xml:space="preserve"> actuaciones procesales en las que tuvo la oportunidad de participar, tanto en la etapa inicial, preliminar, juicio, recursiva y de ejecución; </w:t>
      </w:r>
    </w:p>
    <w:p w:rsidR="00CA2F39" w:rsidRPr="00934F51" w:rsidRDefault="00CA2F39" w:rsidP="00BF57C7">
      <w:pPr>
        <w:pStyle w:val="ListParagraph"/>
        <w:numPr>
          <w:ilvl w:val="0"/>
          <w:numId w:val="5"/>
        </w:numPr>
        <w:spacing w:after="0" w:line="259" w:lineRule="auto"/>
        <w:ind w:left="720" w:right="0" w:firstLine="0"/>
        <w:rPr>
          <w:strike/>
        </w:rPr>
      </w:pPr>
      <w:r w:rsidRPr="007552BD">
        <w:t>Si estuvo presente o pudo ver en los medios de comunicación la ejecución pública del señor Castillo</w:t>
      </w:r>
      <w:r w:rsidR="00EE050C">
        <w:t>;</w:t>
      </w:r>
    </w:p>
    <w:p w:rsidR="00CA2F39" w:rsidRDefault="00CA2F39" w:rsidP="00BF57C7">
      <w:pPr>
        <w:pStyle w:val="ListParagraph"/>
        <w:numPr>
          <w:ilvl w:val="0"/>
          <w:numId w:val="5"/>
        </w:numPr>
        <w:spacing w:after="0" w:line="259" w:lineRule="auto"/>
        <w:ind w:left="720" w:right="0" w:firstLine="0"/>
      </w:pPr>
      <w:r>
        <w:t>s</w:t>
      </w:r>
      <w:r w:rsidRPr="007552BD">
        <w:t xml:space="preserve">i tuvo o no conocimiento de que el caso llegó a instancias internacionales para evitar la ejecución de la pena de muerte de su patrocinado;  </w:t>
      </w:r>
    </w:p>
    <w:p w:rsidR="006E76FE" w:rsidRDefault="006E76FE" w:rsidP="006E76FE">
      <w:pPr>
        <w:ind w:left="0" w:right="54" w:firstLine="0"/>
      </w:pPr>
    </w:p>
    <w:p w:rsidR="00764D28" w:rsidRPr="00764D28" w:rsidRDefault="00764D28" w:rsidP="008D4BF2">
      <w:pPr>
        <w:pStyle w:val="ListParagraph"/>
        <w:numPr>
          <w:ilvl w:val="0"/>
          <w:numId w:val="11"/>
        </w:numPr>
        <w:ind w:right="54"/>
      </w:pPr>
      <w:r w:rsidRPr="008D4BF2">
        <w:rPr>
          <w:b/>
        </w:rPr>
        <w:t xml:space="preserve">Peritos </w:t>
      </w:r>
      <w:r w:rsidRPr="00764D28">
        <w:t>(</w:t>
      </w:r>
      <w:r w:rsidRPr="008D4BF2">
        <w:rPr>
          <w:i/>
        </w:rPr>
        <w:t xml:space="preserve">propuestos </w:t>
      </w:r>
      <w:r w:rsidR="00FA760F" w:rsidRPr="008D4BF2">
        <w:rPr>
          <w:i/>
          <w:szCs w:val="20"/>
          <w:lang w:val="es-CR"/>
        </w:rPr>
        <w:t>por la Comisión</w:t>
      </w:r>
      <w:r w:rsidRPr="00764D28">
        <w:t>)</w:t>
      </w:r>
      <w:r w:rsidRPr="008D4BF2">
        <w:rPr>
          <w:b/>
        </w:rPr>
        <w:t xml:space="preserve"> </w:t>
      </w:r>
    </w:p>
    <w:p w:rsidR="00764D28" w:rsidRDefault="00764D28" w:rsidP="00764D28">
      <w:pPr>
        <w:pStyle w:val="ListParagraph"/>
        <w:ind w:right="54" w:firstLine="0"/>
      </w:pPr>
    </w:p>
    <w:p w:rsidR="00FA760F" w:rsidRPr="00D77DE7" w:rsidRDefault="00FA760F" w:rsidP="008D4BF2">
      <w:pPr>
        <w:pStyle w:val="ListParagraph"/>
        <w:spacing w:after="200" w:line="240" w:lineRule="auto"/>
        <w:ind w:right="0" w:firstLine="0"/>
        <w:rPr>
          <w:szCs w:val="20"/>
          <w:u w:val="single"/>
          <w:lang w:val="es-CR"/>
        </w:rPr>
      </w:pPr>
      <w:r w:rsidRPr="000644F6">
        <w:rPr>
          <w:i/>
          <w:szCs w:val="20"/>
          <w:lang w:val="es-CR"/>
        </w:rPr>
        <w:t>Parvais Jabbar y Edward Fitzgerald</w:t>
      </w:r>
      <w:r>
        <w:rPr>
          <w:i/>
          <w:szCs w:val="20"/>
          <w:lang w:val="es-CR"/>
        </w:rPr>
        <w:t>,</w:t>
      </w:r>
      <w:r w:rsidR="002B37F6" w:rsidRPr="002B37F6">
        <w:rPr>
          <w:szCs w:val="20"/>
          <w:lang w:val="es-CR"/>
        </w:rPr>
        <w:t xml:space="preserve"> </w:t>
      </w:r>
      <w:r w:rsidR="002B37F6" w:rsidRPr="00563197">
        <w:rPr>
          <w:szCs w:val="20"/>
          <w:lang w:val="es-CR"/>
        </w:rPr>
        <w:t>abogados especialistas en derecho penal</w:t>
      </w:r>
      <w:r w:rsidR="002B37F6">
        <w:rPr>
          <w:i/>
          <w:szCs w:val="20"/>
          <w:lang w:val="es-CR"/>
        </w:rPr>
        <w:t>,</w:t>
      </w:r>
      <w:r w:rsidR="002B37F6" w:rsidRPr="00563197">
        <w:rPr>
          <w:i/>
          <w:szCs w:val="20"/>
          <w:lang w:val="es-CR"/>
        </w:rPr>
        <w:t xml:space="preserve"> </w:t>
      </w:r>
      <w:r w:rsidR="002B37F6" w:rsidRPr="00563197">
        <w:rPr>
          <w:szCs w:val="20"/>
          <w:lang w:val="es-CR"/>
        </w:rPr>
        <w:t xml:space="preserve">quienes rendirán un peritaje en conjunto, tomando en cuenta los hechos </w:t>
      </w:r>
      <w:r w:rsidR="00153313">
        <w:rPr>
          <w:szCs w:val="20"/>
          <w:lang w:val="es-CR"/>
        </w:rPr>
        <w:t>del caso, sobre: i</w:t>
      </w:r>
      <w:r w:rsidR="002B37F6" w:rsidRPr="00563197">
        <w:rPr>
          <w:szCs w:val="20"/>
          <w:lang w:val="es-CR"/>
        </w:rPr>
        <w:t>) los estándares internacionales sobre la pena de muerte en los aspectos relevantes para el presente caso</w:t>
      </w:r>
      <w:r w:rsidR="002B37F6">
        <w:rPr>
          <w:szCs w:val="20"/>
          <w:lang w:val="es-CR"/>
        </w:rPr>
        <w:t>,</w:t>
      </w:r>
      <w:r w:rsidR="00153313">
        <w:rPr>
          <w:szCs w:val="20"/>
          <w:lang w:val="es-CR"/>
        </w:rPr>
        <w:t xml:space="preserve"> y ii</w:t>
      </w:r>
      <w:r w:rsidR="002B37F6" w:rsidRPr="00563197">
        <w:rPr>
          <w:szCs w:val="20"/>
          <w:lang w:val="es-CR"/>
        </w:rPr>
        <w:t xml:space="preserve">) </w:t>
      </w:r>
      <w:r w:rsidRPr="000644F6">
        <w:rPr>
          <w:szCs w:val="20"/>
          <w:lang w:val="es-CR"/>
        </w:rPr>
        <w:t xml:space="preserve">a las cuestiones de debido proceso penal que plantea </w:t>
      </w:r>
      <w:r w:rsidR="00D77DE7" w:rsidRPr="00EC5623">
        <w:rPr>
          <w:szCs w:val="20"/>
        </w:rPr>
        <w:t xml:space="preserve">la asistencia jurídica por parte de estudiantes de derecho </w:t>
      </w:r>
      <w:r w:rsidR="00D77DE7">
        <w:rPr>
          <w:szCs w:val="20"/>
        </w:rPr>
        <w:t xml:space="preserve">a </w:t>
      </w:r>
      <w:r w:rsidR="00D77DE7" w:rsidRPr="00EC5623">
        <w:rPr>
          <w:szCs w:val="20"/>
        </w:rPr>
        <w:t xml:space="preserve">personas procesadas en delitos que contemplan la pena de </w:t>
      </w:r>
      <w:r w:rsidR="00D77DE7" w:rsidRPr="00D77DE7">
        <w:rPr>
          <w:szCs w:val="20"/>
        </w:rPr>
        <w:t>muerte</w:t>
      </w:r>
      <w:r w:rsidRPr="00D77DE7">
        <w:rPr>
          <w:szCs w:val="20"/>
          <w:lang w:val="es-CR"/>
        </w:rPr>
        <w:t>.</w:t>
      </w:r>
      <w:r w:rsidRPr="00D77DE7">
        <w:rPr>
          <w:szCs w:val="20"/>
          <w:u w:val="single"/>
          <w:lang w:val="es-CR"/>
        </w:rPr>
        <w:t xml:space="preserve"> </w:t>
      </w:r>
    </w:p>
    <w:p w:rsidR="00FA760F" w:rsidRPr="00D77DE7" w:rsidRDefault="00FA760F" w:rsidP="00764D28">
      <w:pPr>
        <w:pStyle w:val="ListParagraph"/>
        <w:ind w:right="54" w:firstLine="0"/>
        <w:rPr>
          <w:u w:val="single"/>
          <w:lang w:val="es-CR"/>
        </w:rPr>
      </w:pPr>
    </w:p>
    <w:p w:rsidR="00FA760F" w:rsidRDefault="00FA760F" w:rsidP="00764D28">
      <w:pPr>
        <w:pStyle w:val="ListParagraph"/>
        <w:ind w:right="54" w:firstLine="0"/>
        <w:rPr>
          <w:i/>
          <w:lang w:val="es-CR"/>
        </w:rPr>
      </w:pPr>
      <w:r w:rsidRPr="004828D4">
        <w:rPr>
          <w:i/>
          <w:lang w:val="es-CR"/>
        </w:rPr>
        <w:t>Propuestos por l</w:t>
      </w:r>
      <w:r w:rsidR="000204E6">
        <w:rPr>
          <w:i/>
          <w:lang w:val="es-CR"/>
        </w:rPr>
        <w:t>a</w:t>
      </w:r>
      <w:r w:rsidRPr="004828D4">
        <w:rPr>
          <w:i/>
          <w:lang w:val="es-CR"/>
        </w:rPr>
        <w:t xml:space="preserve">s </w:t>
      </w:r>
      <w:r w:rsidR="00D77DE7">
        <w:rPr>
          <w:i/>
          <w:lang w:val="es-CR"/>
        </w:rPr>
        <w:t>representante</w:t>
      </w:r>
      <w:r w:rsidRPr="004828D4">
        <w:rPr>
          <w:i/>
          <w:lang w:val="es-CR"/>
        </w:rPr>
        <w:t>s</w:t>
      </w:r>
      <w:r w:rsidR="00AC0D2C">
        <w:rPr>
          <w:i/>
          <w:lang w:val="es-CR"/>
        </w:rPr>
        <w:t>.</w:t>
      </w:r>
    </w:p>
    <w:p w:rsidR="00D65D14" w:rsidRPr="002B37F6" w:rsidRDefault="00D65D14" w:rsidP="002B37F6">
      <w:pPr>
        <w:ind w:left="0" w:right="54" w:firstLine="0"/>
        <w:rPr>
          <w:i/>
          <w:lang w:val="es-CR"/>
        </w:rPr>
      </w:pPr>
    </w:p>
    <w:p w:rsidR="00D65D14" w:rsidRPr="00894C8C" w:rsidRDefault="00D65D14" w:rsidP="00B1477D">
      <w:pPr>
        <w:pStyle w:val="ListParagraph"/>
        <w:numPr>
          <w:ilvl w:val="0"/>
          <w:numId w:val="31"/>
        </w:numPr>
        <w:ind w:right="54"/>
      </w:pPr>
      <w:r w:rsidRPr="00894C8C">
        <w:rPr>
          <w:i/>
        </w:rPr>
        <w:t>Alejandro Rodríguez Barillas</w:t>
      </w:r>
      <w:r w:rsidR="00153313" w:rsidRPr="00894C8C">
        <w:t>,</w:t>
      </w:r>
      <w:r w:rsidR="000A1784" w:rsidRPr="00894C8C">
        <w:t xml:space="preserve"> abogado,</w:t>
      </w:r>
      <w:r w:rsidRPr="00894C8C">
        <w:rPr>
          <w:b/>
        </w:rPr>
        <w:t xml:space="preserve"> </w:t>
      </w:r>
      <w:r w:rsidRPr="00894C8C">
        <w:t xml:space="preserve">quien rendirá dictamen pericial sobre: </w:t>
      </w:r>
    </w:p>
    <w:p w:rsidR="00D65D14" w:rsidRPr="00894C8C" w:rsidRDefault="00D65D14" w:rsidP="00D65D14">
      <w:pPr>
        <w:pStyle w:val="ListParagraph"/>
        <w:numPr>
          <w:ilvl w:val="0"/>
          <w:numId w:val="6"/>
        </w:numPr>
        <w:ind w:left="720" w:right="54" w:firstLine="0"/>
      </w:pPr>
      <w:r w:rsidRPr="00894C8C">
        <w:t>si se ha desempeñado como parte integrante en organismos de Derechos Humanos en el Estado de Guatemala, y en su caso, si ha llevado a cabo la defensa de personas condenadas a pena de muerte a los fines de evitar su ejecución;</w:t>
      </w:r>
    </w:p>
    <w:p w:rsidR="00D65D14" w:rsidRPr="00894C8C" w:rsidRDefault="00D65D14" w:rsidP="0026160F">
      <w:pPr>
        <w:pStyle w:val="ListParagraph"/>
        <w:numPr>
          <w:ilvl w:val="0"/>
          <w:numId w:val="6"/>
        </w:numPr>
        <w:spacing w:after="0" w:line="250" w:lineRule="auto"/>
        <w:ind w:left="720" w:firstLine="0"/>
      </w:pPr>
      <w:r w:rsidRPr="00894C8C">
        <w:t>si tuvo alguna participación en la defensa de los señores Roberto Girón y Pedro Castillo Mendoza a los fines de solicitar a la Comisión Interamericana la suspensión de la ejecución de la pena de muerte por irregularidades en el proceso judicial seguido en su contra;</w:t>
      </w:r>
    </w:p>
    <w:p w:rsidR="00D65D14" w:rsidRPr="00934F51" w:rsidRDefault="00D65D14" w:rsidP="0026160F">
      <w:pPr>
        <w:pStyle w:val="ListParagraph"/>
        <w:numPr>
          <w:ilvl w:val="0"/>
          <w:numId w:val="6"/>
        </w:numPr>
        <w:spacing w:after="0" w:line="250" w:lineRule="auto"/>
        <w:ind w:left="720" w:firstLine="0"/>
      </w:pPr>
      <w:r w:rsidRPr="00934F51">
        <w:t>cuáles son los tipos penales que establecían pena de muerte, y cuales</w:t>
      </w:r>
      <w:r>
        <w:t xml:space="preserve"> presuntamente</w:t>
      </w:r>
      <w:r w:rsidRPr="00934F51">
        <w:t xml:space="preserve"> han sido reformados posteriormente. Y cuales siguen vigentes a la fecha con pena de muerte; </w:t>
      </w:r>
    </w:p>
    <w:p w:rsidR="00D65D14" w:rsidRPr="00934F51" w:rsidRDefault="00D65D14" w:rsidP="00D65D14">
      <w:pPr>
        <w:pStyle w:val="ListParagraph"/>
        <w:numPr>
          <w:ilvl w:val="0"/>
          <w:numId w:val="6"/>
        </w:numPr>
        <w:ind w:left="720" w:right="54" w:firstLine="0"/>
      </w:pPr>
      <w:r w:rsidRPr="00934F51">
        <w:t>si existió en la sentencia condenatoria a Roberto Girón y Pedro Castillo Mendoza la imputación personal clara, que determinara cual fue el hecho cometido por cada uno de los condenados;</w:t>
      </w:r>
    </w:p>
    <w:p w:rsidR="00D65D14" w:rsidRPr="007552BD" w:rsidRDefault="00D65D14" w:rsidP="00D65D14">
      <w:pPr>
        <w:pStyle w:val="ListParagraph"/>
        <w:numPr>
          <w:ilvl w:val="0"/>
          <w:numId w:val="6"/>
        </w:numPr>
        <w:ind w:left="720" w:right="54" w:firstLine="0"/>
      </w:pPr>
      <w:r w:rsidRPr="007552BD">
        <w:t xml:space="preserve"> </w:t>
      </w:r>
      <w:r>
        <w:t>a</w:t>
      </w:r>
      <w:r w:rsidRPr="007552BD">
        <w:t>nálisis cumplimiento o no garantías del debido proceso en el Código Procesal Penal derogado (Decreto 52-73)</w:t>
      </w:r>
      <w:r>
        <w:t>,</w:t>
      </w:r>
      <w:r w:rsidRPr="007552BD">
        <w:t xml:space="preserve"> en relación con el Nuevo Código Procesal Penal (Decreto 51-92)</w:t>
      </w:r>
      <w:r>
        <w:t>;</w:t>
      </w:r>
    </w:p>
    <w:p w:rsidR="00D65D14" w:rsidRPr="00934F51" w:rsidRDefault="00D65D14" w:rsidP="00D65D14">
      <w:pPr>
        <w:pStyle w:val="ListParagraph"/>
        <w:numPr>
          <w:ilvl w:val="0"/>
          <w:numId w:val="6"/>
        </w:numPr>
        <w:ind w:left="720" w:right="54" w:firstLine="0"/>
      </w:pPr>
      <w:r>
        <w:t>cuá</w:t>
      </w:r>
      <w:r w:rsidRPr="00934F51">
        <w:t>l fue la situación jurídica de las personas condenadas a pena de muerte luego de las Sentencias de la Corte Interamericana</w:t>
      </w:r>
      <w:r>
        <w:t xml:space="preserve"> </w:t>
      </w:r>
      <w:r w:rsidRPr="00934F51">
        <w:t>en 2005 de Fermín Ramírez y Raxcacó Reyes;</w:t>
      </w:r>
    </w:p>
    <w:p w:rsidR="00D65D14" w:rsidRPr="007552BD" w:rsidRDefault="00D65D14" w:rsidP="00D65D14">
      <w:pPr>
        <w:pStyle w:val="ListParagraph"/>
        <w:numPr>
          <w:ilvl w:val="0"/>
          <w:numId w:val="6"/>
        </w:numPr>
        <w:ind w:left="720" w:right="54" w:firstLine="0"/>
      </w:pPr>
      <w:r>
        <w:t>s</w:t>
      </w:r>
      <w:r w:rsidRPr="007552BD">
        <w:t>i existen personas en el corredor de la muerte actualmente en el Estado de Guatemala, y en caso de no existir motivos por el cual no hay personas condenadas a muertes</w:t>
      </w:r>
      <w:r>
        <w:t>;</w:t>
      </w:r>
    </w:p>
    <w:p w:rsidR="00D65D14" w:rsidRPr="007552BD" w:rsidRDefault="00D65D14" w:rsidP="00D65D14">
      <w:pPr>
        <w:pStyle w:val="ListParagraph"/>
        <w:numPr>
          <w:ilvl w:val="0"/>
          <w:numId w:val="6"/>
        </w:numPr>
        <w:ind w:left="720" w:right="54" w:firstLine="0"/>
      </w:pPr>
      <w:r>
        <w:t>s</w:t>
      </w:r>
      <w:r w:rsidRPr="007552BD">
        <w:t xml:space="preserve">i conoce las </w:t>
      </w:r>
      <w:r>
        <w:t>s</w:t>
      </w:r>
      <w:r w:rsidRPr="007552BD">
        <w:t>entencias de la Corte Constitucional</w:t>
      </w:r>
      <w:r>
        <w:t>,</w:t>
      </w:r>
      <w:r w:rsidRPr="007552BD">
        <w:t xml:space="preserve"> en relación con la pena de muerte, como se interpretan las mismas, y que efectos jurídicos han tenido en el Estado de Guatemala</w:t>
      </w:r>
      <w:r>
        <w:t>;</w:t>
      </w:r>
    </w:p>
    <w:p w:rsidR="00A52BAF" w:rsidRPr="00B1477D" w:rsidRDefault="00A52BAF" w:rsidP="00B1477D">
      <w:pPr>
        <w:ind w:left="0" w:right="54" w:firstLine="0"/>
        <w:rPr>
          <w:lang w:val="es-CR"/>
        </w:rPr>
      </w:pPr>
    </w:p>
    <w:p w:rsidR="00C51AF5" w:rsidRPr="00C51AF5" w:rsidRDefault="00B1477D" w:rsidP="00C51AF5">
      <w:pPr>
        <w:pStyle w:val="ListParagraph"/>
        <w:ind w:right="54" w:firstLine="0"/>
        <w:rPr>
          <w:i/>
        </w:rPr>
      </w:pPr>
      <w:r>
        <w:t>2)</w:t>
      </w:r>
      <w:r w:rsidR="002B37F6">
        <w:rPr>
          <w:i/>
        </w:rPr>
        <w:t xml:space="preserve"> </w:t>
      </w:r>
      <w:r w:rsidR="0028695F">
        <w:rPr>
          <w:i/>
        </w:rPr>
        <w:tab/>
      </w:r>
      <w:r w:rsidR="00C51AF5" w:rsidRPr="00C51AF5">
        <w:rPr>
          <w:i/>
        </w:rPr>
        <w:t>Luis Arroyo Zapatero</w:t>
      </w:r>
      <w:r w:rsidR="00C51AF5" w:rsidRPr="00614B5A">
        <w:t xml:space="preserve">, </w:t>
      </w:r>
      <w:r w:rsidR="000A1784">
        <w:t>abogado</w:t>
      </w:r>
      <w:r w:rsidR="00C51AF5" w:rsidRPr="00614B5A">
        <w:t xml:space="preserve">, quien rendirá dictamen pericial sobre: </w:t>
      </w:r>
    </w:p>
    <w:p w:rsidR="00C51AF5" w:rsidRPr="00614B5A" w:rsidRDefault="00C51AF5" w:rsidP="00C51AF5">
      <w:pPr>
        <w:pStyle w:val="ListParagraph"/>
        <w:numPr>
          <w:ilvl w:val="0"/>
          <w:numId w:val="27"/>
        </w:numPr>
        <w:ind w:left="720" w:right="54" w:firstLine="0"/>
      </w:pPr>
      <w:r w:rsidRPr="00614B5A">
        <w:t>la pena de muerte como trato cruel, inhumano y degradante;</w:t>
      </w:r>
    </w:p>
    <w:p w:rsidR="00C51AF5" w:rsidRPr="00614B5A" w:rsidRDefault="00C51AF5" w:rsidP="00C51AF5">
      <w:pPr>
        <w:pStyle w:val="ListParagraph"/>
        <w:numPr>
          <w:ilvl w:val="0"/>
          <w:numId w:val="27"/>
        </w:numPr>
        <w:ind w:left="720" w:right="54" w:firstLine="0"/>
      </w:pPr>
      <w:r w:rsidRPr="00614B5A">
        <w:t>tendencias sobre la abolición universal de la pena de muerte, con especial atención a la situación actual en la República de Guatemala, en relación a la existente en la década de los 90 y</w:t>
      </w:r>
    </w:p>
    <w:p w:rsidR="00C51AF5" w:rsidRDefault="00C51AF5" w:rsidP="00C51AF5">
      <w:pPr>
        <w:pStyle w:val="ListParagraph"/>
        <w:numPr>
          <w:ilvl w:val="0"/>
          <w:numId w:val="27"/>
        </w:numPr>
        <w:ind w:left="720" w:right="54" w:firstLine="0"/>
      </w:pPr>
      <w:r w:rsidRPr="00614B5A">
        <w:t>estándar violación al derecho a la vida por privación arbitraria de la misma, en relación con la imposición obligatoria de la pena de muerte; análisis de la privación arbitraria del derecho a la vida en la configuración de la sanción de pena de muerte en el tipo penal de violación calificada, conforme al artículo 175 del Código Penal Guatemalteco,</w:t>
      </w:r>
      <w:r>
        <w:t xml:space="preserve"> </w:t>
      </w:r>
      <w:r w:rsidR="00CF17AA">
        <w:t xml:space="preserve">y </w:t>
      </w:r>
      <w:r w:rsidRPr="00614B5A">
        <w:t xml:space="preserve">por el cual fueron condenados los señores Roberto Girón y Pedro Castillo Mendoza. </w:t>
      </w:r>
    </w:p>
    <w:p w:rsidR="00C51AF5" w:rsidRPr="00614B5A" w:rsidRDefault="00C51AF5" w:rsidP="00C51AF5">
      <w:pPr>
        <w:pStyle w:val="ListParagraph"/>
        <w:ind w:right="54" w:firstLine="0"/>
      </w:pPr>
    </w:p>
    <w:p w:rsidR="006E76FE" w:rsidRPr="002B37F6" w:rsidRDefault="00C51AF5" w:rsidP="002B37F6">
      <w:pPr>
        <w:pStyle w:val="ListParagraph"/>
        <w:ind w:right="54" w:firstLine="0"/>
        <w:rPr>
          <w:b/>
        </w:rPr>
      </w:pPr>
      <w:r>
        <w:rPr>
          <w:i/>
        </w:rPr>
        <w:t xml:space="preserve">3) </w:t>
      </w:r>
      <w:r w:rsidR="00CF17AA">
        <w:rPr>
          <w:i/>
        </w:rPr>
        <w:tab/>
      </w:r>
      <w:r w:rsidR="006E76FE" w:rsidRPr="006E76FE">
        <w:rPr>
          <w:i/>
        </w:rPr>
        <w:t>Enrique Oscar Stola</w:t>
      </w:r>
      <w:r w:rsidR="006E76FE" w:rsidRPr="00BF57C7">
        <w:t>,</w:t>
      </w:r>
      <w:r w:rsidR="00D65D14" w:rsidRPr="00D65D14">
        <w:t xml:space="preserve"> </w:t>
      </w:r>
      <w:r w:rsidR="00D65D14">
        <w:t>m</w:t>
      </w:r>
      <w:r w:rsidR="00D65D14" w:rsidRPr="00D65D14">
        <w:t xml:space="preserve">édico especializado en </w:t>
      </w:r>
      <w:r w:rsidR="00AC0D2C">
        <w:t>p</w:t>
      </w:r>
      <w:r w:rsidR="00D65D14" w:rsidRPr="00D65D14">
        <w:t xml:space="preserve">siquiatría y </w:t>
      </w:r>
      <w:r w:rsidR="00AC0D2C">
        <w:t>p</w:t>
      </w:r>
      <w:r w:rsidR="00D65D14" w:rsidRPr="00D65D14">
        <w:t xml:space="preserve">sicología </w:t>
      </w:r>
      <w:r w:rsidR="00AC0D2C">
        <w:t>m</w:t>
      </w:r>
      <w:r w:rsidR="00D65D14" w:rsidRPr="00D65D14">
        <w:t>édic</w:t>
      </w:r>
      <w:r w:rsidR="00AC0D2C">
        <w:t>a</w:t>
      </w:r>
      <w:r w:rsidR="006E76FE" w:rsidRPr="006E76FE">
        <w:rPr>
          <w:b/>
        </w:rPr>
        <w:t xml:space="preserve">, </w:t>
      </w:r>
      <w:r w:rsidR="006E76FE" w:rsidRPr="007552BD">
        <w:t>quien rendirá dictamen pericial sobre:</w:t>
      </w:r>
    </w:p>
    <w:p w:rsidR="006E76FE" w:rsidRPr="007552BD" w:rsidRDefault="006E76FE" w:rsidP="006E76FE">
      <w:pPr>
        <w:pStyle w:val="ListParagraph"/>
        <w:numPr>
          <w:ilvl w:val="0"/>
          <w:numId w:val="7"/>
        </w:numPr>
        <w:ind w:left="720" w:right="54" w:firstLine="0"/>
      </w:pPr>
      <w:r>
        <w:t>l</w:t>
      </w:r>
      <w:r w:rsidRPr="007552BD">
        <w:t>os</w:t>
      </w:r>
      <w:r>
        <w:t xml:space="preserve"> eventuales</w:t>
      </w:r>
      <w:r w:rsidRPr="007552BD">
        <w:t xml:space="preserve"> efectos psicológicos, e incluso psiquiátricos, que puede producir en las personas que son sometidas por tipos penales que conllevan como sanción la pena de muerte, previo y durante el conocimiento del proceso penal en su contra; </w:t>
      </w:r>
    </w:p>
    <w:p w:rsidR="006E76FE" w:rsidRPr="007552BD" w:rsidRDefault="006E76FE" w:rsidP="006E76FE">
      <w:pPr>
        <w:pStyle w:val="ListParagraph"/>
        <w:numPr>
          <w:ilvl w:val="0"/>
          <w:numId w:val="7"/>
        </w:numPr>
        <w:ind w:left="720" w:right="54" w:firstLine="0"/>
      </w:pPr>
      <w:r>
        <w:t>l</w:t>
      </w:r>
      <w:r w:rsidRPr="007552BD">
        <w:t>os</w:t>
      </w:r>
      <w:r>
        <w:t xml:space="preserve"> eventuales</w:t>
      </w:r>
      <w:r w:rsidRPr="007552BD">
        <w:t xml:space="preserve"> efectos psicológicos, e incluso psiquiátricos, que puede producir en las personas que son condenadas a la pena de muerte, mientras esperan su ejecución, sin obviar las</w:t>
      </w:r>
      <w:r>
        <w:t xml:space="preserve"> secuelas emocionales que podrían</w:t>
      </w:r>
      <w:r w:rsidRPr="007552BD">
        <w:t xml:space="preserve"> producir cuando dicha decisión es suspendida en varias ocasiones;</w:t>
      </w:r>
    </w:p>
    <w:p w:rsidR="006E76FE" w:rsidRPr="007552BD" w:rsidRDefault="006E76FE" w:rsidP="006E76FE">
      <w:pPr>
        <w:pStyle w:val="ListParagraph"/>
        <w:numPr>
          <w:ilvl w:val="0"/>
          <w:numId w:val="7"/>
        </w:numPr>
        <w:ind w:left="720" w:right="54" w:firstLine="0"/>
      </w:pPr>
      <w:r>
        <w:t>l</w:t>
      </w:r>
      <w:r w:rsidRPr="007552BD">
        <w:t xml:space="preserve">os </w:t>
      </w:r>
      <w:r>
        <w:t xml:space="preserve">eventuales </w:t>
      </w:r>
      <w:r w:rsidRPr="007552BD">
        <w:t xml:space="preserve">efectos psicológicos que </w:t>
      </w:r>
      <w:r>
        <w:t xml:space="preserve">podrían producir </w:t>
      </w:r>
      <w:r w:rsidRPr="007552BD">
        <w:t xml:space="preserve">a los familiares de las personas que son condenadas a pena de muerte, tanto durante el conocimiento del proceso, la condena y posterior ejecución;  </w:t>
      </w:r>
    </w:p>
    <w:p w:rsidR="006E76FE" w:rsidRPr="007552BD" w:rsidRDefault="006E76FE" w:rsidP="006E76FE">
      <w:pPr>
        <w:pStyle w:val="ListParagraph"/>
        <w:numPr>
          <w:ilvl w:val="0"/>
          <w:numId w:val="7"/>
        </w:numPr>
        <w:ind w:left="720" w:right="54" w:firstLine="0"/>
      </w:pPr>
      <w:r>
        <w:t>l</w:t>
      </w:r>
      <w:r w:rsidRPr="007552BD">
        <w:t xml:space="preserve">os </w:t>
      </w:r>
      <w:r>
        <w:t>eventuales efectos psicológicos que podrían producir</w:t>
      </w:r>
      <w:r w:rsidRPr="007552BD">
        <w:t xml:space="preserve"> en los condenados a pena de muerte, e incluso a sus familiares, de conocer que la ejecución de dicha pena se produciría de manera pública</w:t>
      </w:r>
      <w:r>
        <w:t>, y</w:t>
      </w:r>
      <w:r w:rsidRPr="007552BD">
        <w:t xml:space="preserve">  </w:t>
      </w:r>
    </w:p>
    <w:p w:rsidR="006E76FE" w:rsidRPr="007552BD" w:rsidRDefault="006E76FE" w:rsidP="006E76FE">
      <w:pPr>
        <w:pStyle w:val="ListParagraph"/>
        <w:numPr>
          <w:ilvl w:val="0"/>
          <w:numId w:val="7"/>
        </w:numPr>
        <w:ind w:left="720" w:right="54" w:firstLine="0"/>
      </w:pPr>
      <w:r>
        <w:t>e</w:t>
      </w:r>
      <w:r w:rsidRPr="007552BD">
        <w:t xml:space="preserve">n el caso concreto de los señores Roberto Girón y Pedro Castillo Mendoza, </w:t>
      </w:r>
      <w:r>
        <w:t xml:space="preserve">presuntamente, </w:t>
      </w:r>
      <w:r w:rsidRPr="007552BD">
        <w:t>que efectos psicológicos o psiquiátricos pudieron haber padecido los mismos por la condena de pena de muerte que les fue ejecutada, así como en sus familiares. Tomando también en consideración la</w:t>
      </w:r>
      <w:r>
        <w:t xml:space="preserve"> presunta</w:t>
      </w:r>
      <w:r w:rsidRPr="007552BD">
        <w:t xml:space="preserve"> publicidad dada al caso en los medios de comunicación de Guatemala.</w:t>
      </w:r>
    </w:p>
    <w:p w:rsidR="00153313" w:rsidRPr="006E76FE" w:rsidRDefault="00153313" w:rsidP="00764D28">
      <w:pPr>
        <w:ind w:left="0" w:right="54" w:firstLine="0"/>
        <w:rPr>
          <w:b/>
        </w:rPr>
      </w:pPr>
    </w:p>
    <w:p w:rsidR="00CA2F39" w:rsidRPr="00614B5A" w:rsidRDefault="00CA2F39" w:rsidP="00B1477D">
      <w:pPr>
        <w:pStyle w:val="ListParagraph"/>
        <w:numPr>
          <w:ilvl w:val="0"/>
          <w:numId w:val="32"/>
        </w:numPr>
        <w:ind w:right="54"/>
      </w:pPr>
      <w:r w:rsidRPr="00614B5A">
        <w:rPr>
          <w:i/>
        </w:rPr>
        <w:t>María Fernanda López Puleilo</w:t>
      </w:r>
      <w:r w:rsidRPr="00614B5A">
        <w:t xml:space="preserve">, </w:t>
      </w:r>
      <w:r w:rsidR="00D65D14" w:rsidRPr="00614B5A">
        <w:t>abogada y defensora pública</w:t>
      </w:r>
      <w:r w:rsidR="000A1784">
        <w:t>,</w:t>
      </w:r>
      <w:r w:rsidR="00BF57C7" w:rsidRPr="00614B5A">
        <w:t xml:space="preserve"> </w:t>
      </w:r>
      <w:r w:rsidR="00EE050C">
        <w:t xml:space="preserve">quien rendirá dictamen pericial </w:t>
      </w:r>
      <w:r w:rsidR="00BF57C7" w:rsidRPr="00614B5A">
        <w:t xml:space="preserve">sobre los </w:t>
      </w:r>
      <w:r w:rsidRPr="00614B5A">
        <w:t>siguientes puntos:</w:t>
      </w:r>
      <w:r w:rsidR="00D65D14" w:rsidRPr="00614B5A">
        <w:t xml:space="preserve"> </w:t>
      </w:r>
    </w:p>
    <w:p w:rsidR="00CA2F39" w:rsidRPr="00614B5A" w:rsidRDefault="00CA2F39" w:rsidP="00BF57C7">
      <w:pPr>
        <w:pStyle w:val="ListParagraph"/>
        <w:numPr>
          <w:ilvl w:val="0"/>
          <w:numId w:val="8"/>
        </w:numPr>
        <w:ind w:left="720" w:right="54" w:firstLine="0"/>
      </w:pPr>
      <w:r w:rsidRPr="00614B5A">
        <w:t>comparación entre el modelo procesal penal de Guatemala vigente durante la tramitación del procedimiento de sometimiento, juzgamiento y sanción de los condenados a pena de muerte, señores Roberto Girón y Pedro Castillo Mendoza (Decreto 52-73) y el modelo instaurado por el Código Procesal Penal que lo sustituyó (Decreto 51-92); en especial, relativas a la regulación de las garantías judiciales y protección judicial involucradas en ese procedimiento penal, y su grado de complementariedad o contrariedad con los artículos 8 y 25 de la Convención Americana de Derechos Humanos;</w:t>
      </w:r>
    </w:p>
    <w:p w:rsidR="00CA2F39" w:rsidRPr="00614B5A" w:rsidRDefault="00CA2F39" w:rsidP="00BF57C7">
      <w:pPr>
        <w:pStyle w:val="ListParagraph"/>
        <w:numPr>
          <w:ilvl w:val="0"/>
          <w:numId w:val="8"/>
        </w:numPr>
        <w:ind w:left="720" w:right="54" w:firstLine="0"/>
      </w:pPr>
      <w:r w:rsidRPr="00614B5A">
        <w:t>consideración específica sobre el grado de respeto y sujeción al derecho internacional de los derechos humanos y a los estándares de actuación de la Corte Interamericana de Derechos Humanos relativos al derecho a una defensa técnica efectiva y adecuada, respecto al procedimiento penal del cual resultó la imposición y ejecución de la pena de muerte de los señores Roberto Girón y Pedro Castillo Mendoza;</w:t>
      </w:r>
    </w:p>
    <w:p w:rsidR="00CA2F39" w:rsidRPr="00840C0F" w:rsidRDefault="00840C0F" w:rsidP="00BF57C7">
      <w:pPr>
        <w:pStyle w:val="ListParagraph"/>
        <w:numPr>
          <w:ilvl w:val="0"/>
          <w:numId w:val="8"/>
        </w:numPr>
        <w:ind w:left="720" w:right="54" w:firstLine="0"/>
        <w:rPr>
          <w:szCs w:val="20"/>
        </w:rPr>
      </w:pPr>
      <w:r w:rsidRPr="00840C0F">
        <w:rPr>
          <w:szCs w:val="20"/>
        </w:rPr>
        <w:t>Desempeño profesional como integrante de la Misión de Verificación de las Naciones Unidas en Guatemala (MINUGUA), durante 1995 y 1996, específicamente como Consultora Internacional en la Dirección del Servicio Público de Defensa Penal de ese país. A raíz de su desempeño, si le correspondió analizar el contexto y resultado de la defensa pública de los condenados a muerte, señores Roberto Girón y Pedro Castillo Mendoza, además si conoció y tomó contacto personal en 1996 con los señores Roberto Girón y Pedro Castillo Mendoza</w:t>
      </w:r>
      <w:r>
        <w:rPr>
          <w:szCs w:val="20"/>
        </w:rPr>
        <w:t>;</w:t>
      </w:r>
    </w:p>
    <w:p w:rsidR="00CA2F39" w:rsidRPr="00614B5A" w:rsidRDefault="00CA2F39" w:rsidP="00BF57C7">
      <w:pPr>
        <w:pStyle w:val="ListParagraph"/>
        <w:numPr>
          <w:ilvl w:val="0"/>
          <w:numId w:val="8"/>
        </w:numPr>
        <w:ind w:left="720" w:right="54" w:firstLine="0"/>
      </w:pPr>
      <w:r w:rsidRPr="00614B5A">
        <w:t>situación de la defensa pública en Guatemala previa y posterior a la sanción del nuevo Código Procesal Penal, establecido mediante el Decreto 51-92. Problemática de la organización y estructuración del servicio público y su relación con la realidad de Guatemala. Aspectos que desencadenaron la sanción de la primera Ley del Servicio Público de Defensa Penal de Guatemala y su relación con el caso Girón y Castillo;</w:t>
      </w:r>
    </w:p>
    <w:p w:rsidR="00CA2F39" w:rsidRPr="00614B5A" w:rsidRDefault="00CA2F39" w:rsidP="00BF57C7">
      <w:pPr>
        <w:pStyle w:val="ListParagraph"/>
        <w:numPr>
          <w:ilvl w:val="0"/>
          <w:numId w:val="8"/>
        </w:numPr>
        <w:ind w:left="720" w:right="54" w:firstLine="0"/>
      </w:pPr>
      <w:r w:rsidRPr="00614B5A">
        <w:t xml:space="preserve">en virtud de su desempeño profesional en MINUGUA e interacción con autoridades y otros integrantes de colectivos y población en general, qué opinión se formó sobre la consideración guatemalteca respecto a la prevalencia del Derecho Internacional establecido en el artículo 46 de su Constitución Política, específicamente al principio general de que, en materia de derechos humanos, los tratados y convenciones ratificados tienen preeminencia sobre el derecho interno. </w:t>
      </w:r>
    </w:p>
    <w:p w:rsidR="00EE050C" w:rsidRPr="00EE050C" w:rsidRDefault="00EE050C" w:rsidP="00EE050C">
      <w:pPr>
        <w:pStyle w:val="ListParagraph"/>
        <w:ind w:right="54" w:firstLine="0"/>
        <w:rPr>
          <w:strike/>
        </w:rPr>
      </w:pPr>
    </w:p>
    <w:p w:rsidR="002B37F6" w:rsidRPr="00E00628" w:rsidRDefault="002B37F6" w:rsidP="00B1477D">
      <w:pPr>
        <w:pStyle w:val="Normal1"/>
        <w:widowControl/>
        <w:numPr>
          <w:ilvl w:val="0"/>
          <w:numId w:val="33"/>
        </w:numPr>
        <w:autoSpaceDE w:val="0"/>
        <w:autoSpaceDN w:val="0"/>
        <w:adjustRightInd w:val="0"/>
        <w:ind w:left="0" w:firstLine="0"/>
        <w:contextualSpacing/>
        <w:jc w:val="both"/>
        <w:rPr>
          <w:rFonts w:ascii="Verdana" w:hAnsi="Verdana"/>
          <w:sz w:val="20"/>
          <w:szCs w:val="20"/>
        </w:rPr>
      </w:pPr>
      <w:bookmarkStart w:id="1" w:name="_Hlk536104123"/>
      <w:r w:rsidRPr="00E00628">
        <w:rPr>
          <w:rFonts w:ascii="Verdana" w:hAnsi="Verdana"/>
          <w:sz w:val="20"/>
          <w:szCs w:val="20"/>
        </w:rPr>
        <w:t>Requerir a la Comisión y a l</w:t>
      </w:r>
      <w:r w:rsidR="0028695F">
        <w:rPr>
          <w:rFonts w:ascii="Verdana" w:hAnsi="Verdana"/>
          <w:sz w:val="20"/>
          <w:szCs w:val="20"/>
        </w:rPr>
        <w:t>a</w:t>
      </w:r>
      <w:r w:rsidRPr="00E00628">
        <w:rPr>
          <w:rFonts w:ascii="Verdana" w:hAnsi="Verdana"/>
          <w:sz w:val="20"/>
          <w:szCs w:val="20"/>
        </w:rPr>
        <w:t xml:space="preserve">s </w:t>
      </w:r>
      <w:r w:rsidR="00B53AF0">
        <w:rPr>
          <w:rFonts w:ascii="Verdana" w:hAnsi="Verdana"/>
          <w:sz w:val="20"/>
          <w:szCs w:val="20"/>
        </w:rPr>
        <w:t>representantes</w:t>
      </w:r>
      <w:r w:rsidRPr="00E00628">
        <w:rPr>
          <w:rFonts w:ascii="Verdana" w:hAnsi="Verdana"/>
          <w:sz w:val="20"/>
          <w:szCs w:val="20"/>
        </w:rPr>
        <w:t xml:space="preserve"> que notifiquen la presente Resolución a las personas por ellos propuestas, respectivamente, que han sido convocados a rendir declaración</w:t>
      </w:r>
      <w:r w:rsidR="00CD605A">
        <w:rPr>
          <w:rFonts w:ascii="Verdana" w:hAnsi="Verdana"/>
          <w:sz w:val="20"/>
          <w:szCs w:val="20"/>
        </w:rPr>
        <w:t xml:space="preserve"> ante fedatario público</w:t>
      </w:r>
      <w:r w:rsidRPr="00E00628">
        <w:rPr>
          <w:rFonts w:ascii="Verdana" w:hAnsi="Verdana"/>
          <w:sz w:val="20"/>
          <w:szCs w:val="20"/>
        </w:rPr>
        <w:t>, de conformidad con lo dispuesto en los artículos 50.2 y 50.4 del Reglamento.</w:t>
      </w:r>
    </w:p>
    <w:p w:rsidR="002B37F6" w:rsidRDefault="002B37F6" w:rsidP="002B37F6">
      <w:pPr>
        <w:pStyle w:val="ListParagraph"/>
        <w:ind w:left="0" w:right="54" w:firstLine="0"/>
      </w:pPr>
    </w:p>
    <w:p w:rsidR="00CA2F39" w:rsidRDefault="00CA2F39" w:rsidP="00B1477D">
      <w:pPr>
        <w:pStyle w:val="ListParagraph"/>
        <w:numPr>
          <w:ilvl w:val="0"/>
          <w:numId w:val="33"/>
        </w:numPr>
        <w:ind w:left="0" w:right="54" w:firstLine="0"/>
      </w:pPr>
      <w:r>
        <w:t xml:space="preserve">Requerir </w:t>
      </w:r>
      <w:bookmarkStart w:id="2" w:name="_Hlk536104151"/>
      <w:r>
        <w:t xml:space="preserve">al Estado </w:t>
      </w:r>
      <w:r w:rsidR="002B37F6">
        <w:t xml:space="preserve">y a la </w:t>
      </w:r>
      <w:r w:rsidR="002B37F6" w:rsidRPr="004B67CE">
        <w:t>Comisión</w:t>
      </w:r>
      <w:r w:rsidR="002B37F6">
        <w:t xml:space="preserve"> </w:t>
      </w:r>
      <w:r>
        <w:t>que remita</w:t>
      </w:r>
      <w:r w:rsidR="00B53AF0">
        <w:t>n</w:t>
      </w:r>
      <w:r>
        <w:t xml:space="preserve">, </w:t>
      </w:r>
      <w:r w:rsidR="002B37F6" w:rsidRPr="00B1477D">
        <w:rPr>
          <w:szCs w:val="20"/>
        </w:rPr>
        <w:t>en los términos del artículo 50.5 del Reglamento y de considerarlo pertinente, en el plaz</w:t>
      </w:r>
      <w:r w:rsidR="00B265EC">
        <w:rPr>
          <w:szCs w:val="20"/>
        </w:rPr>
        <w:t xml:space="preserve">o improrrogable que vence el </w:t>
      </w:r>
      <w:r w:rsidR="00966521">
        <w:rPr>
          <w:szCs w:val="20"/>
        </w:rPr>
        <w:t>20</w:t>
      </w:r>
      <w:r w:rsidR="002B37F6" w:rsidRPr="00183CD7">
        <w:rPr>
          <w:szCs w:val="20"/>
        </w:rPr>
        <w:t xml:space="preserve"> de</w:t>
      </w:r>
      <w:r w:rsidR="00B265EC" w:rsidRPr="00183CD7">
        <w:rPr>
          <w:szCs w:val="20"/>
        </w:rPr>
        <w:t xml:space="preserve"> febrero</w:t>
      </w:r>
      <w:r w:rsidR="002B37F6" w:rsidRPr="00183CD7">
        <w:rPr>
          <w:szCs w:val="20"/>
        </w:rPr>
        <w:t xml:space="preserve"> 2019, las preguntas que estimen pertinente formular, a través</w:t>
      </w:r>
      <w:r w:rsidR="002B37F6" w:rsidRPr="00B1477D">
        <w:rPr>
          <w:szCs w:val="20"/>
        </w:rPr>
        <w:t xml:space="preserve"> de la Corte Interamericana, a los declarantes indicados en el punto resolutivo 1 de la presente Resolución, según corresponda. </w:t>
      </w:r>
    </w:p>
    <w:p w:rsidR="00CA2F39" w:rsidRDefault="00CA2F39" w:rsidP="003D40C1">
      <w:pPr>
        <w:spacing w:after="0" w:line="259" w:lineRule="auto"/>
        <w:ind w:left="0" w:right="0" w:firstLine="0"/>
      </w:pPr>
    </w:p>
    <w:p w:rsidR="002B37F6" w:rsidRPr="002B37F6" w:rsidRDefault="002B37F6" w:rsidP="00B1477D">
      <w:pPr>
        <w:pStyle w:val="Normal1"/>
        <w:widowControl/>
        <w:numPr>
          <w:ilvl w:val="0"/>
          <w:numId w:val="33"/>
        </w:numPr>
        <w:autoSpaceDE w:val="0"/>
        <w:autoSpaceDN w:val="0"/>
        <w:adjustRightInd w:val="0"/>
        <w:ind w:left="0" w:firstLine="0"/>
        <w:contextualSpacing/>
        <w:jc w:val="both"/>
        <w:rPr>
          <w:rFonts w:ascii="Verdana" w:hAnsi="Verdana"/>
          <w:sz w:val="20"/>
          <w:szCs w:val="20"/>
        </w:rPr>
      </w:pPr>
      <w:r w:rsidRPr="00183CD7">
        <w:rPr>
          <w:rFonts w:ascii="Verdana" w:hAnsi="Verdana"/>
          <w:sz w:val="20"/>
          <w:szCs w:val="20"/>
        </w:rPr>
        <w:t xml:space="preserve">Requerir a </w:t>
      </w:r>
      <w:r w:rsidR="00B53AF0" w:rsidRPr="00183CD7">
        <w:rPr>
          <w:rFonts w:ascii="Verdana" w:hAnsi="Verdana"/>
          <w:sz w:val="20"/>
          <w:szCs w:val="20"/>
        </w:rPr>
        <w:t>las representantes</w:t>
      </w:r>
      <w:r w:rsidRPr="00183CD7">
        <w:rPr>
          <w:rFonts w:ascii="Verdana" w:hAnsi="Verdana"/>
          <w:sz w:val="20"/>
          <w:szCs w:val="20"/>
        </w:rPr>
        <w:t xml:space="preserve"> que comuniquen y remitan a la Corte, a más tardar el </w:t>
      </w:r>
      <w:r w:rsidR="00966521">
        <w:rPr>
          <w:rFonts w:ascii="Verdana" w:hAnsi="Verdana"/>
          <w:sz w:val="20"/>
          <w:szCs w:val="20"/>
        </w:rPr>
        <w:t>20</w:t>
      </w:r>
      <w:r w:rsidR="00A52BAF" w:rsidRPr="00183CD7">
        <w:rPr>
          <w:rFonts w:ascii="Verdana" w:hAnsi="Verdana"/>
          <w:sz w:val="20"/>
          <w:szCs w:val="20"/>
        </w:rPr>
        <w:t xml:space="preserve"> de febrero</w:t>
      </w:r>
      <w:r w:rsidRPr="00183CD7">
        <w:rPr>
          <w:rFonts w:ascii="Verdana" w:hAnsi="Verdana"/>
          <w:sz w:val="20"/>
          <w:szCs w:val="20"/>
        </w:rPr>
        <w:t xml:space="preserve"> de 2019, una</w:t>
      </w:r>
      <w:r w:rsidRPr="00237065">
        <w:rPr>
          <w:rFonts w:ascii="Verdana" w:hAnsi="Verdana"/>
          <w:sz w:val="20"/>
          <w:szCs w:val="20"/>
        </w:rPr>
        <w:t xml:space="preserve"> cotización del costo de la formalización de las declaraciones </w:t>
      </w:r>
      <w:r w:rsidR="00B53AF0">
        <w:rPr>
          <w:rFonts w:ascii="Verdana" w:hAnsi="Verdana"/>
          <w:sz w:val="20"/>
          <w:szCs w:val="20"/>
        </w:rPr>
        <w:t xml:space="preserve">y peritajes </w:t>
      </w:r>
      <w:r w:rsidRPr="00237065">
        <w:rPr>
          <w:rFonts w:ascii="Verdana" w:hAnsi="Verdana"/>
          <w:sz w:val="20"/>
          <w:szCs w:val="20"/>
        </w:rPr>
        <w:t xml:space="preserve">ante fedatario público en el país de residencia de los declarantes y de sus respectivos envíos, a fin de que sean cubiertos por el Fondo de Asistencia, de conformidad con lo establecido en el Considerando </w:t>
      </w:r>
      <w:r w:rsidR="00A52BAF">
        <w:rPr>
          <w:rFonts w:ascii="Verdana" w:hAnsi="Verdana"/>
          <w:sz w:val="20"/>
          <w:szCs w:val="20"/>
        </w:rPr>
        <w:t>29</w:t>
      </w:r>
      <w:r w:rsidRPr="00237065">
        <w:rPr>
          <w:rFonts w:ascii="Verdana" w:hAnsi="Verdana"/>
          <w:sz w:val="20"/>
          <w:szCs w:val="20"/>
        </w:rPr>
        <w:t xml:space="preserve"> de la presente Resolución.</w:t>
      </w:r>
    </w:p>
    <w:p w:rsidR="002B37F6" w:rsidRDefault="002B37F6" w:rsidP="002B37F6">
      <w:pPr>
        <w:pStyle w:val="ListParagraph"/>
      </w:pPr>
    </w:p>
    <w:p w:rsidR="00DA4EE2" w:rsidRDefault="00E531F0" w:rsidP="00B1477D">
      <w:pPr>
        <w:numPr>
          <w:ilvl w:val="0"/>
          <w:numId w:val="33"/>
        </w:numPr>
        <w:ind w:left="0" w:right="54" w:firstLine="0"/>
      </w:pPr>
      <w:r>
        <w:t>Requerir a</w:t>
      </w:r>
      <w:r w:rsidR="00B53AF0">
        <w:t xml:space="preserve"> las representantes</w:t>
      </w:r>
      <w:r w:rsidR="00CA2F39">
        <w:t xml:space="preserve"> </w:t>
      </w:r>
      <w:r w:rsidR="002B37F6">
        <w:t xml:space="preserve">y a la </w:t>
      </w:r>
      <w:r w:rsidR="002B37F6" w:rsidRPr="004B67CE">
        <w:t>Comisión</w:t>
      </w:r>
      <w:r w:rsidR="002B37F6">
        <w:t xml:space="preserve"> </w:t>
      </w:r>
      <w:r w:rsidR="00CA2F39">
        <w:t>que coordinen y realicen las diligencias necesarias para que, una vez re</w:t>
      </w:r>
      <w:r w:rsidR="002B37F6">
        <w:t xml:space="preserve">cibidas las preguntas de </w:t>
      </w:r>
      <w:r w:rsidR="00EA3FE7">
        <w:t>la contrapa</w:t>
      </w:r>
      <w:r w:rsidR="002B37F6">
        <w:t>rte</w:t>
      </w:r>
      <w:r w:rsidR="00CA2F39">
        <w:t>, si las hub</w:t>
      </w:r>
      <w:r w:rsidR="0061318C">
        <w:t>iere, los declarantes</w:t>
      </w:r>
      <w:r w:rsidR="003C6B86">
        <w:t xml:space="preserve"> y peritos</w:t>
      </w:r>
      <w:r w:rsidR="0061318C">
        <w:t xml:space="preserve"> incluyan las respuestas</w:t>
      </w:r>
      <w:r w:rsidR="00CA2F39">
        <w:t xml:space="preserve"> en sus declaraciones rendidas ante fedatario público, </w:t>
      </w:r>
      <w:r w:rsidR="0061318C" w:rsidRPr="00237065">
        <w:rPr>
          <w:szCs w:val="20"/>
        </w:rPr>
        <w:t>salvo que el Presidente disponga lo contrario cuando la Secre</w:t>
      </w:r>
      <w:r w:rsidR="00B53AF0">
        <w:rPr>
          <w:szCs w:val="20"/>
        </w:rPr>
        <w:t>taría de la Corte las transmita</w:t>
      </w:r>
      <w:r w:rsidR="00CA2F39">
        <w:t>.</w:t>
      </w:r>
      <w:r w:rsidR="00DA4EE2">
        <w:t xml:space="preserve"> Las declaraciones req</w:t>
      </w:r>
      <w:r w:rsidR="00B53AF0">
        <w:t>ueridas en el punto resolutivo primero</w:t>
      </w:r>
      <w:r w:rsidR="00DA4EE2">
        <w:t xml:space="preserve"> de la presente Resolución deberán s</w:t>
      </w:r>
      <w:r w:rsidR="00B265EC">
        <w:t xml:space="preserve">er presentadas a más tardar el </w:t>
      </w:r>
      <w:r w:rsidR="00183CD7">
        <w:t>4</w:t>
      </w:r>
      <w:r w:rsidR="00B265EC" w:rsidRPr="00183CD7">
        <w:t xml:space="preserve"> </w:t>
      </w:r>
      <w:r w:rsidR="00A52BAF" w:rsidRPr="00183CD7">
        <w:t xml:space="preserve">de </w:t>
      </w:r>
      <w:r w:rsidR="00B265EC" w:rsidRPr="00183CD7">
        <w:t xml:space="preserve">marzo </w:t>
      </w:r>
      <w:r w:rsidR="00DA4EE2" w:rsidRPr="00183CD7">
        <w:t>de 2019.</w:t>
      </w:r>
    </w:p>
    <w:p w:rsidR="00CA2F39" w:rsidRDefault="00CA2F39" w:rsidP="003D40C1">
      <w:pPr>
        <w:spacing w:after="0" w:line="259" w:lineRule="auto"/>
        <w:ind w:left="0" w:right="0" w:firstLine="0"/>
      </w:pPr>
      <w:r>
        <w:t xml:space="preserve"> </w:t>
      </w:r>
    </w:p>
    <w:p w:rsidR="00CA2F39" w:rsidRDefault="0061318C" w:rsidP="00B1477D">
      <w:pPr>
        <w:numPr>
          <w:ilvl w:val="0"/>
          <w:numId w:val="33"/>
        </w:numPr>
        <w:ind w:left="0" w:right="54" w:firstLine="0"/>
      </w:pPr>
      <w:r>
        <w:t>Disponer</w:t>
      </w:r>
      <w:r w:rsidR="00CA2F39">
        <w:t>,</w:t>
      </w:r>
      <w:r>
        <w:t xml:space="preserve"> </w:t>
      </w:r>
      <w:r w:rsidRPr="00EF3B40">
        <w:rPr>
          <w:szCs w:val="20"/>
        </w:rPr>
        <w:t>conforme al artículo 50.6 del Reglamento que</w:t>
      </w:r>
      <w:r>
        <w:rPr>
          <w:szCs w:val="20"/>
        </w:rPr>
        <w:t>,</w:t>
      </w:r>
      <w:r w:rsidR="00CA2F39">
        <w:t xml:space="preserve"> una vez recibidas las declaraciones y peritajes requeridos en el punto resolutivo primero, la Secretaría de la Corte </w:t>
      </w:r>
      <w:r>
        <w:t xml:space="preserve">Interamericana </w:t>
      </w:r>
      <w:r w:rsidR="00CA2F39">
        <w:t xml:space="preserve">los transmita a las partes y a la Comisión para que, si lo estima necesario, el </w:t>
      </w:r>
      <w:r w:rsidR="00CA2F39" w:rsidRPr="00A64BAC">
        <w:t>Estado</w:t>
      </w:r>
      <w:r w:rsidR="00CA2F39">
        <w:t xml:space="preserve"> presente sus observaciones a dichas declaraciones y peritajes</w:t>
      </w:r>
      <w:r>
        <w:t xml:space="preserve">, </w:t>
      </w:r>
      <w:r>
        <w:rPr>
          <w:szCs w:val="20"/>
        </w:rPr>
        <w:t xml:space="preserve">a más tardar, </w:t>
      </w:r>
      <w:r w:rsidR="00CA2F39">
        <w:t xml:space="preserve">en sus alegatos finales. </w:t>
      </w:r>
      <w:bookmarkStart w:id="3" w:name="_Hlk536103997"/>
      <w:bookmarkEnd w:id="1"/>
      <w:bookmarkEnd w:id="2"/>
    </w:p>
    <w:p w:rsidR="00B1477D" w:rsidRDefault="00B1477D" w:rsidP="00B1477D">
      <w:pPr>
        <w:pStyle w:val="ListParagraph"/>
      </w:pPr>
    </w:p>
    <w:p w:rsidR="00B1477D" w:rsidRPr="00183CD7" w:rsidRDefault="00B1477D" w:rsidP="00EF5C77">
      <w:pPr>
        <w:numPr>
          <w:ilvl w:val="0"/>
          <w:numId w:val="33"/>
        </w:numPr>
        <w:ind w:left="0" w:right="54" w:firstLine="0"/>
      </w:pPr>
      <w:r w:rsidRPr="00B1477D">
        <w:rPr>
          <w:szCs w:val="20"/>
        </w:rPr>
        <w:t xml:space="preserve">Informar a las partes y a la Comisión que los gastos relativos a las declaraciones ofrecidas por las representantes en el presente caso serán cubiertos por el Fondo de Asistencia Legal de Víctimas, de conformidad a lo señalado en los Considerandos </w:t>
      </w:r>
      <w:r w:rsidR="0057134A">
        <w:rPr>
          <w:szCs w:val="20"/>
        </w:rPr>
        <w:t>27 y 28</w:t>
      </w:r>
      <w:r w:rsidRPr="00B1477D">
        <w:rPr>
          <w:szCs w:val="20"/>
        </w:rPr>
        <w:t xml:space="preserve"> de la presente Resolución.</w:t>
      </w:r>
    </w:p>
    <w:p w:rsidR="00183CD7" w:rsidRDefault="00183CD7" w:rsidP="00183CD7">
      <w:pPr>
        <w:ind w:left="0" w:right="54" w:firstLine="0"/>
      </w:pPr>
    </w:p>
    <w:p w:rsidR="00CF0605" w:rsidRDefault="00CF0605" w:rsidP="00CF0605">
      <w:pPr>
        <w:spacing w:after="0"/>
        <w:ind w:left="39" w:right="54" w:firstLine="0"/>
      </w:pPr>
      <w:r>
        <w:t xml:space="preserve">8.     </w:t>
      </w:r>
      <w:r w:rsidR="00E531F0">
        <w:t>Informar a l</w:t>
      </w:r>
      <w:r w:rsidR="000204E6">
        <w:t>a</w:t>
      </w:r>
      <w:r w:rsidR="00CA2F39">
        <w:t xml:space="preserve"> Comisión Interamericana que debe cubrir los gastos que ocasione la aportación o rendición de la prueba propuesta por ellos, de conformidad con lo dispuesto en el artículo 60 del Reglamento.</w:t>
      </w:r>
    </w:p>
    <w:p w:rsidR="00CF0605" w:rsidRDefault="00CF0605" w:rsidP="00CF0605">
      <w:pPr>
        <w:spacing w:after="0"/>
        <w:ind w:left="39" w:right="54" w:firstLine="0"/>
      </w:pPr>
      <w:r>
        <w:t>9.</w:t>
      </w:r>
      <w:r>
        <w:tab/>
      </w:r>
      <w:r w:rsidR="00E531F0">
        <w:t xml:space="preserve">Requerir a </w:t>
      </w:r>
      <w:r w:rsidR="009C3204">
        <w:t xml:space="preserve">las </w:t>
      </w:r>
      <w:r w:rsidR="00B53AF0">
        <w:t xml:space="preserve">declarantes </w:t>
      </w:r>
      <w:r w:rsidR="00CA2F39">
        <w:t xml:space="preserve">y </w:t>
      </w:r>
      <w:r w:rsidR="00EA3FE7">
        <w:t xml:space="preserve">a la Comisión </w:t>
      </w:r>
      <w:r w:rsidR="00CA2F39">
        <w:t xml:space="preserve">que informen a los declarantes convocados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declaración solemne, para los fines previstos en la legislación nacional correspondiente. </w:t>
      </w:r>
    </w:p>
    <w:p w:rsidR="00CF0605" w:rsidRDefault="00CF0605" w:rsidP="00CF0605">
      <w:pPr>
        <w:spacing w:after="0"/>
        <w:ind w:left="39" w:right="54" w:firstLine="0"/>
      </w:pPr>
    </w:p>
    <w:p w:rsidR="00CF0605" w:rsidRDefault="00CF0605" w:rsidP="00CF0605">
      <w:pPr>
        <w:spacing w:after="0"/>
        <w:ind w:left="39" w:right="54" w:firstLine="0"/>
      </w:pPr>
      <w:r>
        <w:t>10.</w:t>
      </w:r>
      <w:r>
        <w:tab/>
      </w:r>
      <w:r w:rsidR="00E531F0" w:rsidRPr="00DA4EE2">
        <w:t>Informar a l</w:t>
      </w:r>
      <w:r w:rsidR="000204E6" w:rsidRPr="00DA4EE2">
        <w:t>a</w:t>
      </w:r>
      <w:r w:rsidR="003C6B86">
        <w:t>s representantes</w:t>
      </w:r>
      <w:r w:rsidR="00CA2F39" w:rsidRPr="00DA4EE2">
        <w:t xml:space="preserve">, al Estado y a </w:t>
      </w:r>
      <w:r w:rsidR="00DA4EE2">
        <w:t xml:space="preserve">la Comisión Interamericana que cuentan con un plazo improrrogable hasta el </w:t>
      </w:r>
      <w:r w:rsidR="00183CD7" w:rsidRPr="00183CD7">
        <w:t>12 de abril</w:t>
      </w:r>
      <w:r w:rsidR="00DA4EE2" w:rsidRPr="00183CD7">
        <w:t xml:space="preserve"> 2019</w:t>
      </w:r>
      <w:r w:rsidR="00DA4EE2">
        <w:t xml:space="preserve"> para presentar los alegatos finales escritos y observaciones finales escritas, respectivamente</w:t>
      </w:r>
      <w:r w:rsidR="00CA2F39" w:rsidRPr="00DA4EE2">
        <w:t xml:space="preserve">, sobre la excepción preliminar y eventuales fondo, reparaciones y costas en este caso. </w:t>
      </w:r>
    </w:p>
    <w:p w:rsidR="00CF0605" w:rsidRDefault="00CF0605" w:rsidP="00CF0605">
      <w:pPr>
        <w:spacing w:after="0"/>
        <w:ind w:left="39" w:right="54" w:firstLine="0"/>
      </w:pPr>
    </w:p>
    <w:p w:rsidR="00CF0605" w:rsidRDefault="00CF0605" w:rsidP="00CF0605">
      <w:pPr>
        <w:spacing w:after="0"/>
        <w:ind w:left="39" w:right="54" w:firstLine="0"/>
      </w:pPr>
      <w:r>
        <w:t>11.</w:t>
      </w:r>
      <w:r>
        <w:tab/>
      </w:r>
      <w:r w:rsidR="00CA2F39" w:rsidRPr="00EF3B40">
        <w:rPr>
          <w:szCs w:val="20"/>
        </w:rPr>
        <w:t>Declarar procedente la aplicación del Fondo de Asistencia Legal de Víctimas en los términos dispuestos</w:t>
      </w:r>
      <w:r w:rsidR="00CA2F39">
        <w:rPr>
          <w:szCs w:val="20"/>
        </w:rPr>
        <w:t xml:space="preserve"> en los párrafos considerativos </w:t>
      </w:r>
      <w:r w:rsidR="0057134A">
        <w:rPr>
          <w:szCs w:val="20"/>
        </w:rPr>
        <w:t>25 a 30</w:t>
      </w:r>
      <w:r w:rsidR="00EA3FE7">
        <w:rPr>
          <w:szCs w:val="20"/>
        </w:rPr>
        <w:t xml:space="preserve"> </w:t>
      </w:r>
      <w:r w:rsidR="00CA2F39" w:rsidRPr="00EF3B40">
        <w:rPr>
          <w:szCs w:val="20"/>
        </w:rPr>
        <w:t>de esta Resolución.</w:t>
      </w:r>
    </w:p>
    <w:p w:rsidR="00CF0605" w:rsidRDefault="00CF0605" w:rsidP="00CF0605">
      <w:pPr>
        <w:spacing w:after="0"/>
        <w:ind w:left="39" w:right="54" w:firstLine="0"/>
      </w:pPr>
    </w:p>
    <w:p w:rsidR="00CF0605" w:rsidRDefault="00CF0605" w:rsidP="00CF0605">
      <w:pPr>
        <w:spacing w:after="0"/>
        <w:ind w:left="39" w:right="54" w:firstLine="0"/>
      </w:pPr>
      <w:r>
        <w:t>12.</w:t>
      </w:r>
      <w:r>
        <w:tab/>
      </w:r>
      <w:r w:rsidR="00CA2F39">
        <w:t xml:space="preserve">Disponer, de conformidad con el artículo 4 del Reglamento de la Corte sobre el Funcionamiento del Fondo de Asistencia Legal de Víctimas, que la Secretaría del Tribunal abra un expediente de gastos, donde se documentará cada una de las erogaciones que se realicen en relación con el Fondo de Asistencia Legal de Víctimas. </w:t>
      </w:r>
    </w:p>
    <w:p w:rsidR="00CF0605" w:rsidRDefault="00CF0605" w:rsidP="00CF0605">
      <w:pPr>
        <w:spacing w:after="0"/>
        <w:ind w:left="39" w:right="54" w:firstLine="0"/>
      </w:pPr>
    </w:p>
    <w:p w:rsidR="00CA2F39" w:rsidRDefault="00CF0605" w:rsidP="00CF0605">
      <w:pPr>
        <w:spacing w:after="0"/>
        <w:ind w:left="39" w:right="54" w:firstLine="0"/>
      </w:pPr>
      <w:r>
        <w:t>13.</w:t>
      </w:r>
      <w:r>
        <w:tab/>
      </w:r>
      <w:r w:rsidR="00CA2F39">
        <w:t xml:space="preserve">Disponer que la Secretaría de la Corte </w:t>
      </w:r>
      <w:r w:rsidR="00EA3FE7">
        <w:t xml:space="preserve">Interamericana </w:t>
      </w:r>
      <w:r w:rsidR="00CA2F39">
        <w:t>notifique la pr</w:t>
      </w:r>
      <w:r w:rsidR="004407EF">
        <w:t xml:space="preserve">esente Resolución </w:t>
      </w:r>
      <w:r w:rsidR="00EA3FE7">
        <w:t xml:space="preserve">a la Comisión Interamericana, </w:t>
      </w:r>
      <w:r w:rsidR="004407EF">
        <w:t>a l</w:t>
      </w:r>
      <w:r w:rsidR="000204E6">
        <w:t>a</w:t>
      </w:r>
      <w:r w:rsidR="00B265EC">
        <w:t>s representantes, al Estado</w:t>
      </w:r>
      <w:r w:rsidR="00EA3FE7">
        <w:t xml:space="preserve"> de Guatemala</w:t>
      </w:r>
      <w:r w:rsidR="00CA2F39">
        <w:t xml:space="preserve">. </w:t>
      </w:r>
    </w:p>
    <w:bookmarkEnd w:id="3"/>
    <w:p w:rsidR="008D4C24" w:rsidRDefault="008D4C24" w:rsidP="008D4C24">
      <w:pPr>
        <w:spacing w:after="0" w:line="256" w:lineRule="auto"/>
        <w:ind w:left="43" w:right="0" w:firstLine="0"/>
      </w:pPr>
    </w:p>
    <w:p w:rsidR="008D4C24" w:rsidRDefault="008D4C24" w:rsidP="008D4C24">
      <w:pPr>
        <w:spacing w:after="0" w:line="256" w:lineRule="auto"/>
        <w:ind w:left="43" w:right="0" w:firstLine="0"/>
      </w:pPr>
      <w:r>
        <w:t xml:space="preserve">Resolución del Presidente de la Corte Interamericana de Derechos Humanos. Caso Girón y Castillo Vs. Guatemala. </w:t>
      </w:r>
    </w:p>
    <w:p w:rsidR="008D4C24" w:rsidRDefault="008D4C24" w:rsidP="008D4C24">
      <w:pPr>
        <w:spacing w:after="0" w:line="256" w:lineRule="auto"/>
        <w:ind w:left="43" w:right="0" w:firstLine="0"/>
      </w:pPr>
    </w:p>
    <w:p w:rsidR="008D4C24" w:rsidRDefault="008D4C24" w:rsidP="008D4C24">
      <w:pPr>
        <w:spacing w:after="0" w:line="256" w:lineRule="auto"/>
        <w:ind w:left="43" w:right="0" w:firstLine="0"/>
      </w:pPr>
    </w:p>
    <w:p w:rsidR="008D4C24" w:rsidRDefault="008D4C24" w:rsidP="008D4C24">
      <w:pPr>
        <w:spacing w:after="0" w:line="256" w:lineRule="auto"/>
        <w:ind w:left="43" w:right="0" w:firstLine="0"/>
      </w:pPr>
    </w:p>
    <w:p w:rsidR="008D4C24" w:rsidRDefault="008D4C24" w:rsidP="008D4C24">
      <w:pPr>
        <w:spacing w:after="0" w:line="256" w:lineRule="auto"/>
        <w:ind w:left="43" w:right="0" w:firstLine="0"/>
      </w:pPr>
    </w:p>
    <w:p w:rsidR="008D4C24" w:rsidRDefault="008D4C24" w:rsidP="008D4C24">
      <w:pPr>
        <w:spacing w:after="0" w:line="256" w:lineRule="auto"/>
        <w:ind w:left="43" w:right="0" w:firstLine="0"/>
      </w:pPr>
    </w:p>
    <w:p w:rsidR="008D4C24" w:rsidRDefault="008D4C24" w:rsidP="008D4C24">
      <w:pPr>
        <w:spacing w:after="0" w:line="256" w:lineRule="auto"/>
        <w:ind w:left="43" w:right="0" w:firstLine="0"/>
      </w:pPr>
    </w:p>
    <w:p w:rsidR="008D4C24" w:rsidRDefault="008D4C24" w:rsidP="008D4C24">
      <w:pPr>
        <w:spacing w:after="0" w:line="256" w:lineRule="auto"/>
        <w:ind w:left="4999" w:right="0" w:firstLine="665"/>
      </w:pPr>
      <w:r>
        <w:t xml:space="preserve">  Eduardo Ferrer Mac-Gregor Poisot</w:t>
      </w:r>
    </w:p>
    <w:p w:rsidR="008D4C24" w:rsidRDefault="008D4C24" w:rsidP="008D4C24">
      <w:pPr>
        <w:spacing w:after="0" w:line="256" w:lineRule="auto"/>
        <w:ind w:left="6415" w:right="0" w:firstLine="665"/>
      </w:pPr>
      <w:r>
        <w:t>Presidente</w:t>
      </w:r>
    </w:p>
    <w:p w:rsidR="008D4C24" w:rsidRDefault="008D4C24" w:rsidP="008D4C24">
      <w:pPr>
        <w:spacing w:after="0" w:line="256" w:lineRule="auto"/>
        <w:ind w:left="43" w:right="0" w:firstLine="0"/>
      </w:pPr>
    </w:p>
    <w:p w:rsidR="008D4C24" w:rsidRDefault="008D4C24" w:rsidP="008D4C24">
      <w:pPr>
        <w:spacing w:after="0" w:line="256" w:lineRule="auto"/>
        <w:ind w:left="43" w:right="0" w:firstLine="0"/>
      </w:pPr>
    </w:p>
    <w:p w:rsidR="008D4C24" w:rsidRDefault="008D4C24" w:rsidP="008D4C24">
      <w:pPr>
        <w:spacing w:after="0" w:line="256" w:lineRule="auto"/>
        <w:ind w:left="43" w:right="0" w:firstLine="0"/>
      </w:pPr>
      <w:r>
        <w:t>Pablo Saavedra Alessandri</w:t>
      </w:r>
    </w:p>
    <w:p w:rsidR="008D4C24" w:rsidRDefault="008D4C24" w:rsidP="008D4C24">
      <w:pPr>
        <w:spacing w:after="0" w:line="256" w:lineRule="auto"/>
        <w:ind w:left="43" w:right="0" w:firstLine="0"/>
      </w:pPr>
      <w:r>
        <w:t xml:space="preserve">         Secretario</w:t>
      </w:r>
    </w:p>
    <w:p w:rsidR="008D4C24" w:rsidRDefault="008D4C24" w:rsidP="008D4C24">
      <w:pPr>
        <w:spacing w:after="0" w:line="256" w:lineRule="auto"/>
        <w:ind w:left="43" w:right="0" w:firstLine="0"/>
      </w:pPr>
    </w:p>
    <w:p w:rsidR="00CF0605" w:rsidRDefault="00CF0605" w:rsidP="00CF0605">
      <w:pPr>
        <w:spacing w:after="0" w:line="256" w:lineRule="auto"/>
        <w:ind w:left="43" w:right="0" w:firstLine="0"/>
      </w:pPr>
    </w:p>
    <w:p w:rsidR="008D4C24" w:rsidRDefault="008D4C24" w:rsidP="00CF0605">
      <w:pPr>
        <w:spacing w:after="0" w:line="256" w:lineRule="auto"/>
        <w:ind w:left="43" w:right="0" w:firstLine="0"/>
      </w:pPr>
      <w:r>
        <w:t>Comuníquese y ejecútese,</w:t>
      </w:r>
    </w:p>
    <w:p w:rsidR="008D4C24" w:rsidRDefault="008D4C24" w:rsidP="008D4C24">
      <w:pPr>
        <w:spacing w:after="0" w:line="256" w:lineRule="auto"/>
        <w:ind w:left="43" w:right="0" w:firstLine="0"/>
      </w:pPr>
    </w:p>
    <w:p w:rsidR="008D4C24" w:rsidRDefault="008D4C24" w:rsidP="008D4C24">
      <w:pPr>
        <w:spacing w:after="0" w:line="256" w:lineRule="auto"/>
        <w:ind w:left="43" w:right="0" w:firstLine="0"/>
      </w:pPr>
    </w:p>
    <w:p w:rsidR="008D4C24" w:rsidRDefault="008D4C24" w:rsidP="008D4C24">
      <w:pPr>
        <w:spacing w:after="0" w:line="256" w:lineRule="auto"/>
        <w:ind w:left="43" w:right="0" w:firstLine="0"/>
      </w:pPr>
    </w:p>
    <w:p w:rsidR="008D4C24" w:rsidRDefault="008D4C24" w:rsidP="008D4C24">
      <w:pPr>
        <w:spacing w:after="0" w:line="256" w:lineRule="auto"/>
        <w:ind w:left="4999" w:right="0" w:firstLine="665"/>
      </w:pPr>
      <w:r>
        <w:t xml:space="preserve">    Eduardo Ferrer Mac-Gregor Poisot</w:t>
      </w:r>
    </w:p>
    <w:p w:rsidR="008D4C24" w:rsidRDefault="008D4C24" w:rsidP="00CF0605">
      <w:pPr>
        <w:spacing w:after="0" w:line="256" w:lineRule="auto"/>
        <w:ind w:left="6415" w:right="0" w:firstLine="665"/>
      </w:pPr>
      <w:r>
        <w:t>Presidente</w:t>
      </w:r>
    </w:p>
    <w:p w:rsidR="008D4C24" w:rsidRDefault="008D4C24" w:rsidP="008D4C24">
      <w:pPr>
        <w:spacing w:after="0" w:line="256" w:lineRule="auto"/>
        <w:ind w:left="43" w:right="0" w:firstLine="0"/>
      </w:pPr>
    </w:p>
    <w:p w:rsidR="008D4C24" w:rsidRDefault="008D4C24" w:rsidP="008D4C24">
      <w:pPr>
        <w:spacing w:after="0" w:line="256" w:lineRule="auto"/>
        <w:ind w:left="43" w:right="0" w:firstLine="0"/>
      </w:pPr>
    </w:p>
    <w:p w:rsidR="008D4C24" w:rsidRDefault="008D4C24" w:rsidP="008D4C24">
      <w:pPr>
        <w:spacing w:after="0" w:line="256" w:lineRule="auto"/>
        <w:ind w:left="43" w:right="0" w:firstLine="0"/>
      </w:pPr>
    </w:p>
    <w:p w:rsidR="008D4C24" w:rsidRDefault="008D4C24" w:rsidP="008D4C24">
      <w:pPr>
        <w:spacing w:after="0" w:line="256" w:lineRule="auto"/>
        <w:ind w:left="43" w:right="0" w:firstLine="0"/>
      </w:pPr>
      <w:r>
        <w:t>Pablo Saavedra Alessandri</w:t>
      </w:r>
    </w:p>
    <w:p w:rsidR="00146F46" w:rsidRDefault="008D4C24" w:rsidP="008D4C24">
      <w:pPr>
        <w:spacing w:after="0" w:line="256" w:lineRule="auto"/>
        <w:ind w:left="43" w:right="0" w:firstLine="0"/>
      </w:pPr>
      <w:r>
        <w:t xml:space="preserve">         Secretario</w:t>
      </w:r>
    </w:p>
    <w:sectPr w:rsidR="00146F46">
      <w:headerReference w:type="even" r:id="rId9"/>
      <w:headerReference w:type="default" r:id="rId10"/>
      <w:headerReference w:type="first" r:id="rId11"/>
      <w:pgSz w:w="12240" w:h="15840"/>
      <w:pgMar w:top="1428" w:right="1380" w:bottom="1422" w:left="13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BE8" w:rsidRDefault="003A5BE8" w:rsidP="00CA2F39">
      <w:pPr>
        <w:spacing w:after="0" w:line="240" w:lineRule="auto"/>
      </w:pPr>
      <w:r>
        <w:separator/>
      </w:r>
    </w:p>
  </w:endnote>
  <w:endnote w:type="continuationSeparator" w:id="0">
    <w:p w:rsidR="003A5BE8" w:rsidRDefault="003A5BE8" w:rsidP="00CA2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BE8" w:rsidRDefault="003A5BE8" w:rsidP="00CA2F39">
      <w:pPr>
        <w:spacing w:after="0" w:line="240" w:lineRule="auto"/>
      </w:pPr>
      <w:r>
        <w:separator/>
      </w:r>
    </w:p>
  </w:footnote>
  <w:footnote w:type="continuationSeparator" w:id="0">
    <w:p w:rsidR="003A5BE8" w:rsidRDefault="003A5BE8" w:rsidP="00CA2F39">
      <w:pPr>
        <w:spacing w:after="0" w:line="240" w:lineRule="auto"/>
      </w:pPr>
      <w:r>
        <w:continuationSeparator/>
      </w:r>
    </w:p>
  </w:footnote>
  <w:footnote w:id="1">
    <w:p w:rsidR="00146F46" w:rsidRDefault="00146F46" w:rsidP="00CA2F39">
      <w:pPr>
        <w:ind w:left="39" w:right="54" w:firstLine="0"/>
      </w:pPr>
      <w:r w:rsidRPr="00B74D3B">
        <w:rPr>
          <w:rStyle w:val="FootnoteReference"/>
        </w:rPr>
        <w:footnoteRef/>
      </w:r>
      <w:r>
        <w:rPr>
          <w:sz w:val="16"/>
          <w:szCs w:val="16"/>
          <w:lang w:val="es-CR"/>
        </w:rPr>
        <w:t xml:space="preserve"> </w:t>
      </w:r>
      <w:r>
        <w:rPr>
          <w:sz w:val="16"/>
          <w:szCs w:val="16"/>
          <w:lang w:val="es-CR"/>
        </w:rPr>
        <w:tab/>
      </w:r>
      <w:r w:rsidR="00D74396" w:rsidRPr="00B74D3B">
        <w:rPr>
          <w:sz w:val="16"/>
          <w:szCs w:val="16"/>
          <w:lang w:val="es-CR"/>
        </w:rPr>
        <w:t>De conformidad con el artículo 37 del Reglamento de la Corte</w:t>
      </w:r>
      <w:r w:rsidR="00A937FA">
        <w:rPr>
          <w:sz w:val="16"/>
          <w:szCs w:val="16"/>
          <w:lang w:val="es-CR"/>
        </w:rPr>
        <w:t>, los señores</w:t>
      </w:r>
      <w:r w:rsidR="00D74396" w:rsidRPr="00197084">
        <w:rPr>
          <w:sz w:val="16"/>
          <w:szCs w:val="16"/>
          <w:lang w:val="es-CR"/>
        </w:rPr>
        <w:t xml:space="preserve"> </w:t>
      </w:r>
      <w:r w:rsidR="00A937FA">
        <w:rPr>
          <w:sz w:val="16"/>
          <w:szCs w:val="16"/>
          <w:lang w:val="es-CR"/>
        </w:rPr>
        <w:t xml:space="preserve">Roberto Girón y Pedro Castillo Mendoza </w:t>
      </w:r>
      <w:r w:rsidR="00D74396" w:rsidRPr="00197084">
        <w:rPr>
          <w:sz w:val="16"/>
          <w:szCs w:val="16"/>
          <w:lang w:val="es-CR"/>
        </w:rPr>
        <w:t>en</w:t>
      </w:r>
      <w:r w:rsidR="00D74396" w:rsidRPr="00B74D3B">
        <w:rPr>
          <w:sz w:val="16"/>
          <w:szCs w:val="16"/>
          <w:lang w:val="es-CR"/>
        </w:rPr>
        <w:t xml:space="preserve"> </w:t>
      </w:r>
      <w:r w:rsidR="00A937FA">
        <w:rPr>
          <w:sz w:val="16"/>
          <w:szCs w:val="16"/>
          <w:lang w:val="es-CR"/>
        </w:rPr>
        <w:t>este caso son</w:t>
      </w:r>
      <w:r w:rsidR="00D74396">
        <w:rPr>
          <w:sz w:val="16"/>
          <w:szCs w:val="16"/>
          <w:lang w:val="es-CR"/>
        </w:rPr>
        <w:t xml:space="preserve"> representad</w:t>
      </w:r>
      <w:r w:rsidR="00A937FA">
        <w:rPr>
          <w:sz w:val="16"/>
          <w:szCs w:val="16"/>
          <w:lang w:val="es-CR"/>
        </w:rPr>
        <w:t>os por las Defensora</w:t>
      </w:r>
      <w:r w:rsidR="00E3616E">
        <w:rPr>
          <w:sz w:val="16"/>
          <w:szCs w:val="16"/>
          <w:lang w:val="es-CR"/>
        </w:rPr>
        <w:t>s Pública</w:t>
      </w:r>
      <w:r w:rsidR="00D74396" w:rsidRPr="00B74D3B">
        <w:rPr>
          <w:sz w:val="16"/>
          <w:szCs w:val="16"/>
          <w:lang w:val="es-CR"/>
        </w:rPr>
        <w:t>s Interamerican</w:t>
      </w:r>
      <w:r w:rsidR="00E3616E">
        <w:rPr>
          <w:sz w:val="16"/>
          <w:szCs w:val="16"/>
          <w:lang w:val="es-CR"/>
        </w:rPr>
        <w:t>a</w:t>
      </w:r>
      <w:r w:rsidR="00D74396" w:rsidRPr="00B74D3B">
        <w:rPr>
          <w:sz w:val="16"/>
          <w:szCs w:val="16"/>
          <w:lang w:val="es-CR"/>
        </w:rPr>
        <w:t xml:space="preserve">s </w:t>
      </w:r>
      <w:r w:rsidR="00A937FA">
        <w:rPr>
          <w:sz w:val="16"/>
          <w:szCs w:val="16"/>
          <w:lang w:val="es-CR"/>
        </w:rPr>
        <w:t xml:space="preserve">Lorena Padován </w:t>
      </w:r>
      <w:r w:rsidR="00D74396">
        <w:rPr>
          <w:sz w:val="16"/>
          <w:szCs w:val="16"/>
          <w:lang w:val="es-CR"/>
        </w:rPr>
        <w:t>y</w:t>
      </w:r>
      <w:r w:rsidR="00A937FA">
        <w:rPr>
          <w:sz w:val="16"/>
          <w:szCs w:val="16"/>
          <w:lang w:val="es-CR"/>
        </w:rPr>
        <w:t xml:space="preserve"> Johanny Castillo Sabari</w:t>
      </w:r>
      <w:r w:rsidR="00D74396">
        <w:rPr>
          <w:sz w:val="16"/>
          <w:szCs w:val="16"/>
          <w:lang w:val="es-CR"/>
        </w:rPr>
        <w:t xml:space="preserve">, </w:t>
      </w:r>
      <w:r w:rsidR="00D74396" w:rsidRPr="00B74D3B">
        <w:rPr>
          <w:sz w:val="16"/>
          <w:szCs w:val="16"/>
          <w:lang w:val="es-CR"/>
        </w:rPr>
        <w:t>cuya designación para desempeñar esa función fue informada por la Asociación Interamericana de Defensorías Públicas (AIDEF) a la Secretaría de la Corte el 2</w:t>
      </w:r>
      <w:r w:rsidR="00D74396">
        <w:rPr>
          <w:sz w:val="16"/>
          <w:szCs w:val="16"/>
          <w:lang w:val="es-CR"/>
        </w:rPr>
        <w:t>7</w:t>
      </w:r>
      <w:r w:rsidR="00D74396" w:rsidRPr="00B74D3B">
        <w:rPr>
          <w:sz w:val="16"/>
          <w:szCs w:val="16"/>
          <w:lang w:val="es-CR"/>
        </w:rPr>
        <w:t xml:space="preserve"> de </w:t>
      </w:r>
      <w:r w:rsidR="00D74396">
        <w:rPr>
          <w:sz w:val="16"/>
          <w:szCs w:val="16"/>
          <w:lang w:val="es-CR"/>
        </w:rPr>
        <w:t>febrero de 2018</w:t>
      </w:r>
      <w:r w:rsidR="00D74396" w:rsidRPr="00B74D3B">
        <w:rPr>
          <w:sz w:val="16"/>
          <w:szCs w:val="16"/>
          <w:lang w:val="es-CR"/>
        </w:rPr>
        <w:t>.</w:t>
      </w:r>
      <w:r w:rsidR="00D74396">
        <w:rPr>
          <w:sz w:val="16"/>
          <w:szCs w:val="16"/>
          <w:lang w:val="es-CR"/>
        </w:rPr>
        <w:t xml:space="preserve"> </w:t>
      </w:r>
    </w:p>
    <w:p w:rsidR="00146F46" w:rsidRPr="00A25C9B" w:rsidRDefault="00146F46" w:rsidP="00CA2F39">
      <w:pPr>
        <w:pStyle w:val="FootnoteText"/>
        <w:rPr>
          <w:b/>
          <w:sz w:val="16"/>
          <w:szCs w:val="16"/>
        </w:rPr>
      </w:pPr>
    </w:p>
  </w:footnote>
  <w:footnote w:id="2">
    <w:p w:rsidR="00717F67" w:rsidRPr="00B3218C" w:rsidRDefault="00717F67" w:rsidP="00717F67">
      <w:pPr>
        <w:ind w:right="54"/>
        <w:rPr>
          <w:b/>
          <w:sz w:val="16"/>
          <w:szCs w:val="16"/>
        </w:rPr>
      </w:pPr>
      <w:r w:rsidRPr="00B3218C">
        <w:rPr>
          <w:rStyle w:val="FootnoteReference"/>
          <w:sz w:val="16"/>
          <w:szCs w:val="16"/>
        </w:rPr>
        <w:footnoteRef/>
      </w:r>
      <w:r w:rsidRPr="00B3218C">
        <w:rPr>
          <w:sz w:val="16"/>
          <w:szCs w:val="16"/>
        </w:rPr>
        <w:t xml:space="preserve"> </w:t>
      </w:r>
      <w:r>
        <w:rPr>
          <w:sz w:val="16"/>
          <w:szCs w:val="16"/>
        </w:rPr>
        <w:tab/>
      </w:r>
      <w:r w:rsidR="00EE4811">
        <w:rPr>
          <w:sz w:val="16"/>
          <w:szCs w:val="16"/>
        </w:rPr>
        <w:t>E</w:t>
      </w:r>
      <w:r>
        <w:rPr>
          <w:sz w:val="16"/>
          <w:szCs w:val="16"/>
        </w:rPr>
        <w:t xml:space="preserve">l dictamen pericial de </w:t>
      </w:r>
      <w:r w:rsidRPr="00B3218C">
        <w:rPr>
          <w:sz w:val="16"/>
          <w:szCs w:val="16"/>
        </w:rPr>
        <w:t xml:space="preserve">la señora María Fernanda López Puleilo, </w:t>
      </w:r>
      <w:r w:rsidR="00EE4811">
        <w:rPr>
          <w:sz w:val="16"/>
          <w:szCs w:val="16"/>
        </w:rPr>
        <w:t>versa</w:t>
      </w:r>
      <w:r w:rsidR="00AA5142">
        <w:rPr>
          <w:sz w:val="16"/>
          <w:szCs w:val="16"/>
        </w:rPr>
        <w:t>rá</w:t>
      </w:r>
      <w:r w:rsidR="00EE4811">
        <w:rPr>
          <w:sz w:val="16"/>
          <w:szCs w:val="16"/>
        </w:rPr>
        <w:t xml:space="preserve"> </w:t>
      </w:r>
      <w:r w:rsidRPr="00B3218C">
        <w:rPr>
          <w:sz w:val="16"/>
          <w:szCs w:val="16"/>
        </w:rPr>
        <w:t xml:space="preserve">sobre los siguientes temas: </w:t>
      </w:r>
      <w:r>
        <w:rPr>
          <w:sz w:val="16"/>
          <w:szCs w:val="16"/>
        </w:rPr>
        <w:t>“</w:t>
      </w:r>
      <w:r w:rsidRPr="00B3218C">
        <w:rPr>
          <w:sz w:val="16"/>
          <w:szCs w:val="16"/>
        </w:rPr>
        <w:t>a) Comparación entre el modelo procesal penal de Guatemala vigente durante la tramitación del procedimiento de sometimiento, juzgamiento y sanción de los condenados a pena de muerte, señores Roberto Girón y Pedro Castillo Mendoza (Decreto 52-73) y el modelo instaurado por el Código Procesal Penal que lo sustituyó (Decreto 51-92); en especial, relativas a la regulación de las garantías judiciales y protección judicial involucradas en ese procedimiento penal, y su grado de complementariedad o contrariedad con los artículos 8 y 25 de la Convención</w:t>
      </w:r>
      <w:r w:rsidR="00EE4811">
        <w:rPr>
          <w:sz w:val="16"/>
          <w:szCs w:val="16"/>
        </w:rPr>
        <w:t xml:space="preserve"> Americana de Derechos Humanos.</w:t>
      </w:r>
      <w:r w:rsidRPr="00B3218C">
        <w:rPr>
          <w:sz w:val="16"/>
          <w:szCs w:val="16"/>
        </w:rPr>
        <w:t xml:space="preserve"> b) Consideración específica sobre el grado de respeto y sujeción al derecho internacional de los derechos humanos y a los estándares de actuación de la Corte Interamericana de Derechos Humanos relativos al derecho a una defensa técnica efectiva y adecuada, respecto al procedimiento penal del cual resultó la imposición y ejecución de la pena de muerte de los señores Roberto </w:t>
      </w:r>
      <w:r w:rsidR="00EE4811">
        <w:rPr>
          <w:sz w:val="16"/>
          <w:szCs w:val="16"/>
        </w:rPr>
        <w:t>Girón y Pedro Castillo Mendoza.</w:t>
      </w:r>
      <w:r w:rsidRPr="00B3218C">
        <w:rPr>
          <w:sz w:val="16"/>
          <w:szCs w:val="16"/>
        </w:rPr>
        <w:t xml:space="preserve"> c) Desempeño profesional como integrante de la Misión de Verificación de las Naciones Unidas en Guatemala (MINUGUA), durante 1995 y 1996, específicamente como Consultora Internacional en la Dirección del Servicio Público de Defensa Penal de ese país. </w:t>
      </w:r>
      <w:r w:rsidR="00840C0F">
        <w:rPr>
          <w:sz w:val="16"/>
          <w:szCs w:val="16"/>
        </w:rPr>
        <w:t xml:space="preserve">Si correspondió alguna intervención judicial de </w:t>
      </w:r>
      <w:r w:rsidRPr="00B3218C">
        <w:rPr>
          <w:sz w:val="16"/>
          <w:szCs w:val="16"/>
        </w:rPr>
        <w:t xml:space="preserve">la defensa pública </w:t>
      </w:r>
      <w:r w:rsidR="00840C0F">
        <w:rPr>
          <w:sz w:val="16"/>
          <w:szCs w:val="16"/>
        </w:rPr>
        <w:t xml:space="preserve">para la defensa </w:t>
      </w:r>
      <w:r w:rsidRPr="00B3218C">
        <w:rPr>
          <w:sz w:val="16"/>
          <w:szCs w:val="16"/>
        </w:rPr>
        <w:t>de los condenados a muerte, señores Roberto Girón y Pedro</w:t>
      </w:r>
      <w:r w:rsidR="00840C0F">
        <w:rPr>
          <w:sz w:val="16"/>
          <w:szCs w:val="16"/>
        </w:rPr>
        <w:t xml:space="preserve"> Castillo Mendoza, en qué marco, y qué sucedió a resultas de ello</w:t>
      </w:r>
      <w:r w:rsidR="00EE4811">
        <w:rPr>
          <w:sz w:val="16"/>
          <w:szCs w:val="16"/>
        </w:rPr>
        <w:t xml:space="preserve">. </w:t>
      </w:r>
      <w:r w:rsidRPr="00B3218C">
        <w:rPr>
          <w:sz w:val="16"/>
          <w:szCs w:val="16"/>
        </w:rPr>
        <w:t>d) Si en virtud de sus funciones en Guatemala conoció y tomó contacto personal en 1996 con los señores Roberto Girón y Pedro Castill</w:t>
      </w:r>
      <w:r w:rsidR="00EE4811">
        <w:rPr>
          <w:sz w:val="16"/>
          <w:szCs w:val="16"/>
        </w:rPr>
        <w:t xml:space="preserve">o Mendoza, y en cuál contexto. </w:t>
      </w:r>
      <w:r w:rsidRPr="00B3218C">
        <w:rPr>
          <w:sz w:val="16"/>
          <w:szCs w:val="16"/>
        </w:rPr>
        <w:t>e) Situación de la defensa pública en Guatemala previa y posterior a la sanción del nuevo Código Procesal Penal, establecido mediante el Decreto 51-92. Problemática de la organización y estructuración del servicio público y su relación con la realidad de Guatemala. Aspectos que desencadenaron la sanción de la primera Ley del Servicio Público de Defensa Penal de Guatemala y su relació</w:t>
      </w:r>
      <w:r w:rsidR="00EE4811">
        <w:rPr>
          <w:sz w:val="16"/>
          <w:szCs w:val="16"/>
        </w:rPr>
        <w:t>n con el caso Girón y Castillo.</w:t>
      </w:r>
      <w:r w:rsidRPr="00B3218C">
        <w:rPr>
          <w:sz w:val="16"/>
          <w:szCs w:val="16"/>
        </w:rPr>
        <w:t xml:space="preserve"> f) En virtud de su desempeño profesional en MINUGUA e interacción con autoridades públicas y otros integrantes de colectivos y población en general, qué opinión se formó sobre la consideración guatemalteca respecto a la prevalencia del Derecho Internacional establecido en el artículo 46 de su Constitución Política, específicamente al principio general de que, en materia de derechos humanos, los tratados y convenciones ratificados tienen preeminencia sobre el derecho interno. g) Siendo que usted vivía en Ciudad Guatemala en la etapa previa a la ejecución de la pena de muerte, qué puede decirnos del tratamiento que los medios de comunicación y población en general daban a la ejecución en sí</w:t>
      </w:r>
      <w:r>
        <w:rPr>
          <w:sz w:val="16"/>
          <w:szCs w:val="16"/>
        </w:rPr>
        <w:t>”</w:t>
      </w:r>
      <w:r w:rsidRPr="00B3218C">
        <w:rPr>
          <w:sz w:val="16"/>
          <w:szCs w:val="16"/>
        </w:rPr>
        <w:t xml:space="preserve">. </w:t>
      </w:r>
      <w:r w:rsidR="00B265EC" w:rsidRPr="00B3218C">
        <w:rPr>
          <w:b/>
          <w:sz w:val="16"/>
          <w:szCs w:val="16"/>
        </w:rPr>
        <w:t xml:space="preserve"> </w:t>
      </w:r>
    </w:p>
  </w:footnote>
  <w:footnote w:id="3">
    <w:p w:rsidR="00146F46" w:rsidRDefault="00146F46" w:rsidP="00CA2F39">
      <w:pPr>
        <w:pStyle w:val="FootnoteText"/>
        <w:rPr>
          <w:b/>
          <w:sz w:val="16"/>
          <w:szCs w:val="16"/>
        </w:rPr>
      </w:pPr>
      <w:r w:rsidRPr="00160336">
        <w:rPr>
          <w:rStyle w:val="FootnoteReference"/>
          <w:sz w:val="16"/>
          <w:szCs w:val="16"/>
        </w:rPr>
        <w:footnoteRef/>
      </w:r>
      <w:r w:rsidRPr="00160336">
        <w:rPr>
          <w:sz w:val="16"/>
          <w:szCs w:val="16"/>
        </w:rPr>
        <w:t xml:space="preserve"> </w:t>
      </w:r>
      <w:r>
        <w:rPr>
          <w:sz w:val="16"/>
          <w:szCs w:val="16"/>
        </w:rPr>
        <w:tab/>
        <w:t>L</w:t>
      </w:r>
      <w:r w:rsidR="000204E6">
        <w:rPr>
          <w:sz w:val="16"/>
          <w:szCs w:val="16"/>
        </w:rPr>
        <w:t>a</w:t>
      </w:r>
      <w:r w:rsidR="00EE4811">
        <w:rPr>
          <w:sz w:val="16"/>
          <w:szCs w:val="16"/>
        </w:rPr>
        <w:t xml:space="preserve"> declaración de</w:t>
      </w:r>
      <w:r w:rsidRPr="00160336">
        <w:rPr>
          <w:sz w:val="16"/>
          <w:szCs w:val="16"/>
        </w:rPr>
        <w:t xml:space="preserve"> la señora Dora Alicia Castillo, hermana de la presunta víctima, </w:t>
      </w:r>
      <w:r w:rsidR="00EE4811">
        <w:rPr>
          <w:sz w:val="16"/>
          <w:szCs w:val="16"/>
        </w:rPr>
        <w:t>versa</w:t>
      </w:r>
      <w:r w:rsidR="00162737">
        <w:rPr>
          <w:sz w:val="16"/>
          <w:szCs w:val="16"/>
        </w:rPr>
        <w:t>rá</w:t>
      </w:r>
      <w:r w:rsidR="00EE4811">
        <w:rPr>
          <w:sz w:val="16"/>
          <w:szCs w:val="16"/>
        </w:rPr>
        <w:t xml:space="preserve"> </w:t>
      </w:r>
      <w:r w:rsidRPr="00160336">
        <w:rPr>
          <w:sz w:val="16"/>
          <w:szCs w:val="16"/>
        </w:rPr>
        <w:t>sobre</w:t>
      </w:r>
      <w:r w:rsidR="00810CDC">
        <w:rPr>
          <w:sz w:val="16"/>
          <w:szCs w:val="16"/>
        </w:rPr>
        <w:t>:</w:t>
      </w:r>
      <w:r w:rsidRPr="00160336">
        <w:rPr>
          <w:sz w:val="16"/>
          <w:szCs w:val="16"/>
        </w:rPr>
        <w:t xml:space="preserve"> </w:t>
      </w:r>
      <w:r>
        <w:rPr>
          <w:sz w:val="16"/>
          <w:szCs w:val="16"/>
        </w:rPr>
        <w:t>“</w:t>
      </w:r>
      <w:r w:rsidRPr="00160336">
        <w:rPr>
          <w:sz w:val="16"/>
          <w:szCs w:val="16"/>
        </w:rPr>
        <w:t>las circunstancia</w:t>
      </w:r>
      <w:r w:rsidR="00810CDC">
        <w:rPr>
          <w:sz w:val="16"/>
          <w:szCs w:val="16"/>
        </w:rPr>
        <w:t>s</w:t>
      </w:r>
      <w:r w:rsidRPr="00160336">
        <w:rPr>
          <w:sz w:val="16"/>
          <w:szCs w:val="16"/>
        </w:rPr>
        <w:t xml:space="preserve"> del hecho presentado por la Comisión</w:t>
      </w:r>
      <w:r w:rsidR="00810CDC">
        <w:rPr>
          <w:sz w:val="16"/>
          <w:szCs w:val="16"/>
        </w:rPr>
        <w:t xml:space="preserve"> […]</w:t>
      </w:r>
      <w:r w:rsidRPr="00160336">
        <w:rPr>
          <w:sz w:val="16"/>
          <w:szCs w:val="16"/>
        </w:rPr>
        <w:t>, en relación al apresamiento del mismo en la Granja Canadá, destacando las condiciones de prisión, así como el seguimiento reali</w:t>
      </w:r>
      <w:r w:rsidR="00810CDC">
        <w:rPr>
          <w:sz w:val="16"/>
          <w:szCs w:val="16"/>
        </w:rPr>
        <w:t>zado al mismo por parte de ella</w:t>
      </w:r>
      <w:r w:rsidRPr="00160336">
        <w:rPr>
          <w:sz w:val="16"/>
          <w:szCs w:val="16"/>
        </w:rPr>
        <w:t>,</w:t>
      </w:r>
      <w:r w:rsidR="00810CDC">
        <w:rPr>
          <w:sz w:val="16"/>
          <w:szCs w:val="16"/>
        </w:rPr>
        <w:t xml:space="preserve"> conjuntamente con sus hermanas</w:t>
      </w:r>
      <w:r w:rsidRPr="00160336">
        <w:rPr>
          <w:sz w:val="16"/>
          <w:szCs w:val="16"/>
        </w:rPr>
        <w:t xml:space="preserve"> </w:t>
      </w:r>
      <w:r w:rsidR="00810CDC">
        <w:rPr>
          <w:sz w:val="16"/>
          <w:szCs w:val="16"/>
        </w:rPr>
        <w:t xml:space="preserve">Blanca Delia y Berta, </w:t>
      </w:r>
      <w:r w:rsidRPr="00160336">
        <w:rPr>
          <w:sz w:val="16"/>
          <w:szCs w:val="16"/>
        </w:rPr>
        <w:t xml:space="preserve">en las visitas que le realizaban, y sobre todo, acerca de los efectos personales, familiares, sociales, psicológicos y económicos, que generó en ella y su familia el sometimiento, enjuiciamiento y sanción de su hermano, que culminó con la ejecución pública de la pena de muerte en contra del mismo. Por </w:t>
      </w:r>
      <w:r w:rsidR="00F91F6D">
        <w:rPr>
          <w:sz w:val="16"/>
          <w:szCs w:val="16"/>
        </w:rPr>
        <w:t>igual el trato dispensado a ella</w:t>
      </w:r>
      <w:r w:rsidRPr="00160336">
        <w:rPr>
          <w:sz w:val="16"/>
          <w:szCs w:val="16"/>
        </w:rPr>
        <w:t>, así como a su hermana Blanca Delia –hoy fallecida-, por parte de las autoridades</w:t>
      </w:r>
      <w:r w:rsidR="004D3790">
        <w:rPr>
          <w:sz w:val="16"/>
          <w:szCs w:val="16"/>
        </w:rPr>
        <w:t xml:space="preserve"> públicas</w:t>
      </w:r>
      <w:r w:rsidRPr="00160336">
        <w:rPr>
          <w:sz w:val="16"/>
          <w:szCs w:val="16"/>
        </w:rPr>
        <w:t>, en cuanto al seguimiento dado al caso en los tribunales, especialmente si</w:t>
      </w:r>
      <w:r w:rsidR="004D3790">
        <w:rPr>
          <w:sz w:val="16"/>
          <w:szCs w:val="16"/>
        </w:rPr>
        <w:t xml:space="preserve"> hubo o no comunicación de ella</w:t>
      </w:r>
      <w:r w:rsidRPr="00160336">
        <w:rPr>
          <w:sz w:val="16"/>
          <w:szCs w:val="16"/>
        </w:rPr>
        <w:t xml:space="preserve"> y su</w:t>
      </w:r>
      <w:r w:rsidR="004D3790">
        <w:rPr>
          <w:sz w:val="16"/>
          <w:szCs w:val="16"/>
        </w:rPr>
        <w:t>s</w:t>
      </w:r>
      <w:r w:rsidRPr="00160336">
        <w:rPr>
          <w:sz w:val="16"/>
          <w:szCs w:val="16"/>
        </w:rPr>
        <w:t xml:space="preserve"> hermana</w:t>
      </w:r>
      <w:r w:rsidR="004D3790">
        <w:rPr>
          <w:sz w:val="16"/>
          <w:szCs w:val="16"/>
        </w:rPr>
        <w:t>s</w:t>
      </w:r>
      <w:r w:rsidRPr="00160336">
        <w:rPr>
          <w:sz w:val="16"/>
          <w:szCs w:val="16"/>
        </w:rPr>
        <w:t xml:space="preserve"> Blanca Delia </w:t>
      </w:r>
      <w:r w:rsidR="004D3790">
        <w:rPr>
          <w:sz w:val="16"/>
          <w:szCs w:val="16"/>
        </w:rPr>
        <w:t xml:space="preserve">y Berta </w:t>
      </w:r>
      <w:r w:rsidRPr="00160336">
        <w:rPr>
          <w:sz w:val="16"/>
          <w:szCs w:val="16"/>
        </w:rPr>
        <w:t>con el abogado de oficio asignado a su hermano, además de la falta de recursos para pagar un defensor privado. Si sintió que su familia fue estigmatizada por lo sucedido y por la publicidad dada al caso</w:t>
      </w:r>
      <w:r>
        <w:rPr>
          <w:sz w:val="16"/>
          <w:szCs w:val="16"/>
        </w:rPr>
        <w:t>”</w:t>
      </w:r>
      <w:r w:rsidR="00B265EC">
        <w:rPr>
          <w:sz w:val="16"/>
          <w:szCs w:val="16"/>
        </w:rPr>
        <w:t>.</w:t>
      </w:r>
    </w:p>
    <w:p w:rsidR="005467D5" w:rsidRPr="00160336" w:rsidRDefault="005467D5" w:rsidP="00CA2F39">
      <w:pPr>
        <w:pStyle w:val="FootnoteText"/>
        <w:rPr>
          <w:sz w:val="16"/>
          <w:szCs w:val="16"/>
        </w:rPr>
      </w:pPr>
    </w:p>
  </w:footnote>
  <w:footnote w:id="4">
    <w:p w:rsidR="00146F46" w:rsidRDefault="00146F46" w:rsidP="00CA2F39">
      <w:pPr>
        <w:pStyle w:val="FootnoteText"/>
        <w:rPr>
          <w:b/>
          <w:sz w:val="16"/>
          <w:szCs w:val="16"/>
        </w:rPr>
      </w:pPr>
      <w:r w:rsidRPr="00160336">
        <w:rPr>
          <w:rStyle w:val="FootnoteReference"/>
          <w:sz w:val="16"/>
          <w:szCs w:val="16"/>
        </w:rPr>
        <w:footnoteRef/>
      </w:r>
      <w:r w:rsidRPr="00160336">
        <w:rPr>
          <w:sz w:val="16"/>
          <w:szCs w:val="16"/>
        </w:rPr>
        <w:t xml:space="preserve"> </w:t>
      </w:r>
      <w:r>
        <w:rPr>
          <w:sz w:val="16"/>
          <w:szCs w:val="16"/>
        </w:rPr>
        <w:tab/>
        <w:t>L</w:t>
      </w:r>
      <w:r w:rsidR="000204E6">
        <w:rPr>
          <w:sz w:val="16"/>
          <w:szCs w:val="16"/>
        </w:rPr>
        <w:t>a</w:t>
      </w:r>
      <w:r w:rsidR="00EE4811">
        <w:rPr>
          <w:sz w:val="16"/>
          <w:szCs w:val="16"/>
        </w:rPr>
        <w:t xml:space="preserve"> declaración de </w:t>
      </w:r>
      <w:r w:rsidRPr="00160336">
        <w:rPr>
          <w:sz w:val="16"/>
          <w:szCs w:val="16"/>
        </w:rPr>
        <w:t xml:space="preserve">la señora Berta Lidia Mendoza, hermana de la presunta víctima, </w:t>
      </w:r>
      <w:r w:rsidR="00EE4811">
        <w:rPr>
          <w:sz w:val="16"/>
          <w:szCs w:val="16"/>
        </w:rPr>
        <w:t>versa</w:t>
      </w:r>
      <w:r w:rsidR="00162737">
        <w:rPr>
          <w:sz w:val="16"/>
          <w:szCs w:val="16"/>
        </w:rPr>
        <w:t>rá</w:t>
      </w:r>
      <w:r w:rsidR="00EE4811">
        <w:rPr>
          <w:sz w:val="16"/>
          <w:szCs w:val="16"/>
        </w:rPr>
        <w:t xml:space="preserve"> </w:t>
      </w:r>
      <w:r w:rsidRPr="00160336">
        <w:rPr>
          <w:sz w:val="16"/>
          <w:szCs w:val="16"/>
        </w:rPr>
        <w:t xml:space="preserve">sobre </w:t>
      </w:r>
      <w:r>
        <w:rPr>
          <w:sz w:val="16"/>
          <w:szCs w:val="16"/>
        </w:rPr>
        <w:t>“</w:t>
      </w:r>
      <w:r w:rsidRPr="00160336">
        <w:rPr>
          <w:sz w:val="16"/>
          <w:szCs w:val="16"/>
        </w:rPr>
        <w:t>las circunstancia</w:t>
      </w:r>
      <w:r w:rsidR="00F91F6D">
        <w:rPr>
          <w:sz w:val="16"/>
          <w:szCs w:val="16"/>
        </w:rPr>
        <w:t>s</w:t>
      </w:r>
      <w:r w:rsidRPr="00160336">
        <w:rPr>
          <w:sz w:val="16"/>
          <w:szCs w:val="16"/>
        </w:rPr>
        <w:t xml:space="preserve"> del hecho presentado por la Comisión</w:t>
      </w:r>
      <w:r w:rsidR="00F91F6D">
        <w:rPr>
          <w:sz w:val="16"/>
          <w:szCs w:val="16"/>
        </w:rPr>
        <w:t xml:space="preserve"> […]</w:t>
      </w:r>
      <w:r w:rsidRPr="00160336">
        <w:rPr>
          <w:sz w:val="16"/>
          <w:szCs w:val="16"/>
        </w:rPr>
        <w:t xml:space="preserve">, en relación al apresamiento del mismo en la Granja Canadá, destacando las condiciones de prisión, así como el seguimiento realizado al mismo por parte de </w:t>
      </w:r>
      <w:r w:rsidR="00F91F6D">
        <w:rPr>
          <w:sz w:val="16"/>
          <w:szCs w:val="16"/>
        </w:rPr>
        <w:t>ella</w:t>
      </w:r>
      <w:r w:rsidR="00F91F6D" w:rsidRPr="00160336">
        <w:rPr>
          <w:sz w:val="16"/>
          <w:szCs w:val="16"/>
        </w:rPr>
        <w:t>,</w:t>
      </w:r>
      <w:r w:rsidR="00F91F6D">
        <w:rPr>
          <w:sz w:val="16"/>
          <w:szCs w:val="16"/>
        </w:rPr>
        <w:t xml:space="preserve"> conjuntamente con sus hermanas</w:t>
      </w:r>
      <w:r w:rsidR="00F91F6D" w:rsidRPr="00160336">
        <w:rPr>
          <w:sz w:val="16"/>
          <w:szCs w:val="16"/>
        </w:rPr>
        <w:t xml:space="preserve"> </w:t>
      </w:r>
      <w:r w:rsidR="00F91F6D">
        <w:rPr>
          <w:sz w:val="16"/>
          <w:szCs w:val="16"/>
        </w:rPr>
        <w:t>Blanca Delia y Dora</w:t>
      </w:r>
      <w:r w:rsidRPr="00160336">
        <w:rPr>
          <w:sz w:val="16"/>
          <w:szCs w:val="16"/>
        </w:rPr>
        <w:t xml:space="preserve">, en las visitas que le realizaban, y sobre todo, acerca de los efectos personales, familiares, sociales, psicológicos y económicos, que generó en ella y su familia el sometimiento, enjuiciamiento y sanción de su hermano, que culminó con la ejecución pública de la pena de muerte en contra del mismo. Por igual el trato dispensado </w:t>
      </w:r>
      <w:r w:rsidR="00F91F6D">
        <w:rPr>
          <w:sz w:val="16"/>
          <w:szCs w:val="16"/>
        </w:rPr>
        <w:t>a ella</w:t>
      </w:r>
      <w:r w:rsidRPr="00160336">
        <w:rPr>
          <w:sz w:val="16"/>
          <w:szCs w:val="16"/>
        </w:rPr>
        <w:t>, así como a su hermana Blanca Delia –hoy fallecida-, por parte de las autoridades, en cuanto al seguimiento dado al caso en los tribunales, especialmente si</w:t>
      </w:r>
      <w:r w:rsidR="00F91F6D">
        <w:rPr>
          <w:sz w:val="16"/>
          <w:szCs w:val="16"/>
        </w:rPr>
        <w:t xml:space="preserve"> hubo o no comunicación de ella</w:t>
      </w:r>
      <w:r w:rsidRPr="00160336">
        <w:rPr>
          <w:sz w:val="16"/>
          <w:szCs w:val="16"/>
        </w:rPr>
        <w:t xml:space="preserve"> y</w:t>
      </w:r>
      <w:r w:rsidR="00F91F6D">
        <w:rPr>
          <w:sz w:val="16"/>
          <w:szCs w:val="16"/>
        </w:rPr>
        <w:t xml:space="preserve"> a</w:t>
      </w:r>
      <w:r w:rsidRPr="00160336">
        <w:rPr>
          <w:sz w:val="16"/>
          <w:szCs w:val="16"/>
        </w:rPr>
        <w:t xml:space="preserve"> su</w:t>
      </w:r>
      <w:r w:rsidR="00F91F6D">
        <w:rPr>
          <w:sz w:val="16"/>
          <w:szCs w:val="16"/>
        </w:rPr>
        <w:t>s</w:t>
      </w:r>
      <w:r w:rsidRPr="00160336">
        <w:rPr>
          <w:sz w:val="16"/>
          <w:szCs w:val="16"/>
        </w:rPr>
        <w:t xml:space="preserve"> hermana Blanca Delia</w:t>
      </w:r>
      <w:r w:rsidR="00F91F6D">
        <w:rPr>
          <w:sz w:val="16"/>
          <w:szCs w:val="16"/>
        </w:rPr>
        <w:t xml:space="preserve"> y Dora</w:t>
      </w:r>
      <w:r w:rsidRPr="00160336">
        <w:rPr>
          <w:sz w:val="16"/>
          <w:szCs w:val="16"/>
        </w:rPr>
        <w:t xml:space="preserve"> con el abogado de oficio asignado a su hermano, además de la falta de recursos para pagar un defensor privado. Si sintió que su familia fue estigmatizada por lo sucedido y por la publicidad dada al caso</w:t>
      </w:r>
      <w:r>
        <w:rPr>
          <w:sz w:val="16"/>
          <w:szCs w:val="16"/>
        </w:rPr>
        <w:t>”</w:t>
      </w:r>
      <w:r w:rsidRPr="00160336">
        <w:rPr>
          <w:sz w:val="16"/>
          <w:szCs w:val="16"/>
        </w:rPr>
        <w:t xml:space="preserve">. </w:t>
      </w:r>
    </w:p>
    <w:p w:rsidR="005467D5" w:rsidRPr="00160336" w:rsidRDefault="005467D5" w:rsidP="00CA2F39">
      <w:pPr>
        <w:pStyle w:val="FootnoteText"/>
        <w:rPr>
          <w:sz w:val="16"/>
          <w:szCs w:val="16"/>
        </w:rPr>
      </w:pPr>
    </w:p>
  </w:footnote>
  <w:footnote w:id="5">
    <w:p w:rsidR="00146F46" w:rsidRDefault="00146F46" w:rsidP="00CA2F39">
      <w:pPr>
        <w:spacing w:after="0" w:line="259" w:lineRule="auto"/>
        <w:ind w:left="24"/>
        <w:rPr>
          <w:b/>
          <w:sz w:val="16"/>
        </w:rPr>
      </w:pPr>
      <w:r w:rsidRPr="00160336">
        <w:rPr>
          <w:rStyle w:val="FootnoteReference"/>
          <w:sz w:val="16"/>
          <w:szCs w:val="16"/>
        </w:rPr>
        <w:footnoteRef/>
      </w:r>
      <w:r w:rsidRPr="00160336">
        <w:rPr>
          <w:sz w:val="16"/>
          <w:szCs w:val="16"/>
        </w:rPr>
        <w:t xml:space="preserve"> </w:t>
      </w:r>
      <w:r>
        <w:rPr>
          <w:sz w:val="16"/>
          <w:szCs w:val="16"/>
        </w:rPr>
        <w:tab/>
      </w:r>
      <w:r w:rsidR="00EE4811">
        <w:rPr>
          <w:sz w:val="16"/>
          <w:szCs w:val="16"/>
        </w:rPr>
        <w:t>La declaración d</w:t>
      </w:r>
      <w:r w:rsidRPr="00160336">
        <w:rPr>
          <w:sz w:val="16"/>
          <w:szCs w:val="16"/>
        </w:rPr>
        <w:t>el señor Edy Iv</w:t>
      </w:r>
      <w:r>
        <w:rPr>
          <w:sz w:val="16"/>
          <w:szCs w:val="16"/>
        </w:rPr>
        <w:t>á</w:t>
      </w:r>
      <w:r w:rsidRPr="00160336">
        <w:rPr>
          <w:sz w:val="16"/>
          <w:szCs w:val="16"/>
        </w:rPr>
        <w:t xml:space="preserve">n Bocanegra Conde, en su calidad de abogado designado de oficio para el proceso llevado a cabo por el Estado de Guatemala en contra de las presuntas víctimas, </w:t>
      </w:r>
      <w:r w:rsidR="00EE4811">
        <w:rPr>
          <w:sz w:val="16"/>
          <w:szCs w:val="16"/>
        </w:rPr>
        <w:t>versa</w:t>
      </w:r>
      <w:r w:rsidR="004B0FBB">
        <w:rPr>
          <w:sz w:val="16"/>
          <w:szCs w:val="16"/>
        </w:rPr>
        <w:t>rá</w:t>
      </w:r>
      <w:r w:rsidR="00EE4811">
        <w:rPr>
          <w:sz w:val="16"/>
          <w:szCs w:val="16"/>
        </w:rPr>
        <w:t xml:space="preserve"> </w:t>
      </w:r>
      <w:r w:rsidRPr="00160336">
        <w:rPr>
          <w:sz w:val="16"/>
          <w:szCs w:val="16"/>
        </w:rPr>
        <w:t>sobre los siguientes puntos:</w:t>
      </w:r>
      <w:r w:rsidRPr="00160336">
        <w:t xml:space="preserve"> </w:t>
      </w:r>
      <w:r>
        <w:t>“</w:t>
      </w:r>
      <w:r w:rsidRPr="00160336">
        <w:rPr>
          <w:sz w:val="16"/>
        </w:rPr>
        <w:t xml:space="preserve">a) Requisitos para integrar el Bufete Popular de la Universidad de San Carlos como pasante, así como </w:t>
      </w:r>
      <w:r w:rsidR="00905380">
        <w:rPr>
          <w:sz w:val="16"/>
        </w:rPr>
        <w:t>las exigencias de dicha función.</w:t>
      </w:r>
      <w:r w:rsidRPr="00160336">
        <w:rPr>
          <w:sz w:val="16"/>
        </w:rPr>
        <w:t xml:space="preserve"> b) El tiempo que tenía desempeñando la función de pasante del Bufete Popular </w:t>
      </w:r>
      <w:r w:rsidR="00905380">
        <w:rPr>
          <w:sz w:val="16"/>
        </w:rPr>
        <w:t>de la Universidad de San Carlos.</w:t>
      </w:r>
      <w:r w:rsidRPr="00160336">
        <w:rPr>
          <w:sz w:val="16"/>
        </w:rPr>
        <w:t xml:space="preserve"> c) Si había llevado algún caso anteriormente sobre pena de muerte y/o como def</w:t>
      </w:r>
      <w:r w:rsidR="00905380">
        <w:rPr>
          <w:sz w:val="16"/>
        </w:rPr>
        <w:t>ensa en violaciones calificadas.</w:t>
      </w:r>
      <w:r w:rsidRPr="00160336">
        <w:rPr>
          <w:sz w:val="16"/>
        </w:rPr>
        <w:t xml:space="preserve"> d) La fase procesal en la cual se encontraba el proceso penal ordinario al momento de asumirlo, en relación con si habían sido recogidos medios de investigación que se convirtieron posteriormente en pruebas valoradas en contra de su patrocinado; e) Grado de colaboración de los abogados del Bufete Popular, que fungieron como tutores, que le fueron designados para elaborar los escritos que presentó ante los tribunales, en r</w:t>
      </w:r>
      <w:r w:rsidR="00905380">
        <w:rPr>
          <w:sz w:val="16"/>
        </w:rPr>
        <w:t>epresentación de su patrocinado.</w:t>
      </w:r>
      <w:r w:rsidRPr="00160336">
        <w:rPr>
          <w:sz w:val="16"/>
        </w:rPr>
        <w:t xml:space="preserve"> f) Las opiniones de las que tuvo conocimiento respecto a la negativa de asumir el proceso por estudiantes del Bufete Popular de la Universidad de San Carlos </w:t>
      </w:r>
      <w:r w:rsidR="00905380">
        <w:rPr>
          <w:sz w:val="16"/>
        </w:rPr>
        <w:t>o de cualquier otra institución.</w:t>
      </w:r>
      <w:r w:rsidRPr="00160336">
        <w:rPr>
          <w:sz w:val="16"/>
        </w:rPr>
        <w:t xml:space="preserve"> g) Las condiciones económicas de su patrocinado que imposibilitaban o no la con</w:t>
      </w:r>
      <w:r w:rsidR="00905380">
        <w:rPr>
          <w:sz w:val="16"/>
        </w:rPr>
        <w:t>tratación de un abogado privado.</w:t>
      </w:r>
      <w:r w:rsidRPr="00160336">
        <w:rPr>
          <w:sz w:val="16"/>
        </w:rPr>
        <w:t xml:space="preserve"> h) Si realizó o no visitas al señor Castillo dentro del recinto penitenciario en el cual estaba recluido, por igual, si en conversaciones sostenidas con el mismo pudo constatar que era visitado por sus familiares; así como si pudo observar las condiciones de privación en las que se encontraba; si pudo constatar si el señor Girón era visitado o no </w:t>
      </w:r>
      <w:r w:rsidR="00905380">
        <w:rPr>
          <w:sz w:val="16"/>
        </w:rPr>
        <w:t>por sus familiares y su abogado.</w:t>
      </w:r>
      <w:r w:rsidRPr="00160336">
        <w:rPr>
          <w:sz w:val="16"/>
        </w:rPr>
        <w:t xml:space="preserve"> i) Si recibió o no apoyo del Estado para garantizar el pago de los gastos en los que tuvo que incurrir para la presentación de los escritos por ante los tribunales a favor de su patrocinado, visitas al recinto penitenciario en donde es</w:t>
      </w:r>
      <w:r w:rsidR="00905380">
        <w:rPr>
          <w:sz w:val="16"/>
        </w:rPr>
        <w:t>taba este recluido, entre otros.</w:t>
      </w:r>
      <w:r w:rsidRPr="00160336">
        <w:rPr>
          <w:sz w:val="16"/>
        </w:rPr>
        <w:t xml:space="preserve"> j) Si se le dio la oportunidad de interrogar a los testigos de la acusación u ofertar pruebas respecto a la condición </w:t>
      </w:r>
      <w:r w:rsidR="00905380">
        <w:rPr>
          <w:sz w:val="16"/>
        </w:rPr>
        <w:t>de alcohólico de su patrocinado.</w:t>
      </w:r>
      <w:r w:rsidRPr="00160336">
        <w:rPr>
          <w:sz w:val="16"/>
        </w:rPr>
        <w:t xml:space="preserve"> k) Cuáles fueron las actuaciones procesales en las que tuvo la oportunidad de participar, tanto en la etapa inicial, preliminar, j</w:t>
      </w:r>
      <w:r w:rsidR="00905380">
        <w:rPr>
          <w:sz w:val="16"/>
        </w:rPr>
        <w:t>uicio, recursiva y de ejecución.</w:t>
      </w:r>
      <w:r w:rsidRPr="00160336">
        <w:rPr>
          <w:sz w:val="16"/>
        </w:rPr>
        <w:t xml:space="preserve"> l) Si recibió o no amenazas o coacción por parte de autoridades para que cesara de la presentación de acciones tendentes a evitar la ejecución de la p</w:t>
      </w:r>
      <w:r w:rsidR="00905380">
        <w:rPr>
          <w:sz w:val="16"/>
        </w:rPr>
        <w:t>ena de muerte de su patrocinado.</w:t>
      </w:r>
      <w:r w:rsidRPr="00160336">
        <w:rPr>
          <w:sz w:val="16"/>
        </w:rPr>
        <w:t xml:space="preserve"> </w:t>
      </w:r>
      <w:r>
        <w:rPr>
          <w:sz w:val="16"/>
        </w:rPr>
        <w:t xml:space="preserve">y </w:t>
      </w:r>
      <w:r w:rsidRPr="00160336">
        <w:rPr>
          <w:sz w:val="16"/>
        </w:rPr>
        <w:t>m) Si pudo constatar el comportamiento asumido por la sociedad gua</w:t>
      </w:r>
      <w:r w:rsidR="00B265EC">
        <w:rPr>
          <w:sz w:val="16"/>
        </w:rPr>
        <w:t>temalteca antes de la ejecución”.</w:t>
      </w:r>
    </w:p>
    <w:p w:rsidR="004B0FBB" w:rsidRPr="00B3218C" w:rsidRDefault="004B0FBB" w:rsidP="00CA2F39">
      <w:pPr>
        <w:spacing w:after="0" w:line="259" w:lineRule="auto"/>
        <w:ind w:left="24"/>
        <w:rPr>
          <w:b/>
          <w:sz w:val="16"/>
        </w:rPr>
      </w:pPr>
    </w:p>
  </w:footnote>
  <w:footnote w:id="6">
    <w:p w:rsidR="004B0FBB" w:rsidRDefault="004B0FBB" w:rsidP="004B0FBB">
      <w:pPr>
        <w:pStyle w:val="FootnoteText"/>
        <w:rPr>
          <w:sz w:val="16"/>
          <w:szCs w:val="16"/>
          <w:lang w:val="es-CR"/>
        </w:rPr>
      </w:pPr>
      <w:r>
        <w:rPr>
          <w:rStyle w:val="FootnoteReference"/>
        </w:rPr>
        <w:footnoteRef/>
      </w:r>
      <w:r>
        <w:t xml:space="preserve"> </w:t>
      </w:r>
      <w:r>
        <w:tab/>
      </w:r>
      <w:r w:rsidRPr="00A64BAC">
        <w:rPr>
          <w:i/>
          <w:sz w:val="16"/>
          <w:szCs w:val="16"/>
        </w:rPr>
        <w:t>Cfr.</w:t>
      </w:r>
      <w:r w:rsidRPr="00A64BAC">
        <w:rPr>
          <w:sz w:val="16"/>
          <w:szCs w:val="16"/>
        </w:rPr>
        <w:t xml:space="preserve"> </w:t>
      </w:r>
      <w:r w:rsidRPr="00B265EC">
        <w:rPr>
          <w:i/>
          <w:sz w:val="16"/>
          <w:szCs w:val="16"/>
        </w:rPr>
        <w:t>C</w:t>
      </w:r>
      <w:r w:rsidRPr="00B265EC">
        <w:rPr>
          <w:i/>
          <w:sz w:val="16"/>
          <w:szCs w:val="16"/>
          <w:lang w:val="es-CR"/>
        </w:rPr>
        <w:t>aso Yarce y otras Vs Colombia. Excepciones Preliminares, Fondo, Costas y Reparaciones</w:t>
      </w:r>
      <w:r w:rsidRPr="00A64BAC">
        <w:rPr>
          <w:sz w:val="16"/>
          <w:szCs w:val="16"/>
          <w:lang w:val="es-CR"/>
        </w:rPr>
        <w:t xml:space="preserve">. Sentencia de 22 de noviembre de 2016, párr. 72, y </w:t>
      </w:r>
      <w:r w:rsidRPr="00A64BAC">
        <w:rPr>
          <w:i/>
          <w:sz w:val="16"/>
          <w:szCs w:val="16"/>
        </w:rPr>
        <w:t>Caso Terrones Silva Vs Per</w:t>
      </w:r>
      <w:r w:rsidRPr="00A64BAC">
        <w:rPr>
          <w:i/>
          <w:sz w:val="16"/>
          <w:szCs w:val="16"/>
          <w:lang w:val="es-CR"/>
        </w:rPr>
        <w:t>ú. Excepciones Preliminares, Fondo, Costas y Reparaciones</w:t>
      </w:r>
      <w:r w:rsidRPr="00A64BAC">
        <w:rPr>
          <w:sz w:val="16"/>
          <w:szCs w:val="16"/>
          <w:lang w:val="es-CR"/>
        </w:rPr>
        <w:t>. Sentencia de 26 de septiembre de 2018, párr. 43.</w:t>
      </w:r>
    </w:p>
    <w:p w:rsidR="004B0FBB" w:rsidRPr="002314B3" w:rsidRDefault="004B0FBB" w:rsidP="004B0FBB">
      <w:pPr>
        <w:pStyle w:val="FootnoteText"/>
      </w:pPr>
      <w:r>
        <w:rPr>
          <w:i/>
          <w:sz w:val="16"/>
          <w:szCs w:val="16"/>
          <w:lang w:val="es-CR"/>
        </w:rPr>
        <w:t xml:space="preserve"> </w:t>
      </w:r>
    </w:p>
  </w:footnote>
  <w:footnote w:id="7">
    <w:p w:rsidR="00146F46" w:rsidRDefault="00146F46" w:rsidP="00CA2F39">
      <w:pPr>
        <w:pStyle w:val="ListParagraph"/>
        <w:spacing w:after="0" w:line="259" w:lineRule="auto"/>
        <w:ind w:left="39"/>
        <w:rPr>
          <w:b/>
          <w:sz w:val="16"/>
          <w:szCs w:val="16"/>
        </w:rPr>
      </w:pPr>
      <w:r w:rsidRPr="00B3218C">
        <w:rPr>
          <w:rStyle w:val="FootnoteReference"/>
          <w:sz w:val="16"/>
          <w:szCs w:val="16"/>
        </w:rPr>
        <w:footnoteRef/>
      </w:r>
      <w:r w:rsidRPr="00B3218C">
        <w:rPr>
          <w:sz w:val="16"/>
          <w:szCs w:val="16"/>
        </w:rPr>
        <w:t xml:space="preserve"> </w:t>
      </w:r>
      <w:r>
        <w:rPr>
          <w:sz w:val="16"/>
          <w:szCs w:val="16"/>
        </w:rPr>
        <w:tab/>
      </w:r>
      <w:r w:rsidR="00EE4811">
        <w:rPr>
          <w:sz w:val="16"/>
          <w:szCs w:val="16"/>
        </w:rPr>
        <w:t>E</w:t>
      </w:r>
      <w:r>
        <w:rPr>
          <w:sz w:val="16"/>
          <w:szCs w:val="16"/>
        </w:rPr>
        <w:t xml:space="preserve">l dictamen pericial del </w:t>
      </w:r>
      <w:r w:rsidRPr="00B3218C">
        <w:rPr>
          <w:sz w:val="16"/>
          <w:szCs w:val="16"/>
        </w:rPr>
        <w:t xml:space="preserve">señor Luis Arroyo Zapatero, </w:t>
      </w:r>
      <w:r w:rsidR="00EE4811">
        <w:rPr>
          <w:sz w:val="16"/>
          <w:szCs w:val="16"/>
        </w:rPr>
        <w:t>versa</w:t>
      </w:r>
      <w:r w:rsidR="004B0FBB">
        <w:rPr>
          <w:sz w:val="16"/>
          <w:szCs w:val="16"/>
        </w:rPr>
        <w:t>rá</w:t>
      </w:r>
      <w:r w:rsidR="00EE4811">
        <w:rPr>
          <w:sz w:val="16"/>
          <w:szCs w:val="16"/>
        </w:rPr>
        <w:t xml:space="preserve"> </w:t>
      </w:r>
      <w:r w:rsidRPr="00B3218C">
        <w:rPr>
          <w:sz w:val="16"/>
          <w:szCs w:val="16"/>
        </w:rPr>
        <w:t xml:space="preserve">sobre los siguientes temas: </w:t>
      </w:r>
      <w:r>
        <w:rPr>
          <w:sz w:val="16"/>
          <w:szCs w:val="16"/>
        </w:rPr>
        <w:t>“</w:t>
      </w:r>
      <w:r w:rsidRPr="00B3218C">
        <w:rPr>
          <w:sz w:val="16"/>
          <w:szCs w:val="16"/>
        </w:rPr>
        <w:t>a) La pena de muerte como trato cruel, inhumano y degradante, b) Tendencias sobre la abolición universal de la pena de muerte, con especial atención a la situación actual en la República de Guatemala, en relación a la existente en la década de los 90, c) estándar de la violación al derecho a la vida por privación arbitraria de la misma, en relación a la imposición obligatoria de la pena de muerte. Análisis de la privación arbitraria del derecho a la vida en la configuración de la sanción de pena de muerte en el tipo penal de violación calificada, conforme al artículo 175 del Código Penal Guatemalteco, por el cual fueron condenados los señores Roberto Girón y Pedro Castillo Mendoza</w:t>
      </w:r>
      <w:r>
        <w:rPr>
          <w:sz w:val="16"/>
          <w:szCs w:val="16"/>
        </w:rPr>
        <w:t>”</w:t>
      </w:r>
      <w:r w:rsidR="005467D5">
        <w:rPr>
          <w:sz w:val="16"/>
          <w:szCs w:val="16"/>
        </w:rPr>
        <w:t>.</w:t>
      </w:r>
      <w:r w:rsidRPr="00B3218C">
        <w:rPr>
          <w:sz w:val="16"/>
          <w:szCs w:val="16"/>
        </w:rPr>
        <w:t xml:space="preserve"> </w:t>
      </w:r>
    </w:p>
    <w:p w:rsidR="005467D5" w:rsidRPr="00B3218C" w:rsidRDefault="005467D5" w:rsidP="00CA2F39">
      <w:pPr>
        <w:pStyle w:val="ListParagraph"/>
        <w:spacing w:after="0" w:line="259" w:lineRule="auto"/>
        <w:ind w:left="39"/>
        <w:rPr>
          <w:sz w:val="16"/>
          <w:szCs w:val="16"/>
        </w:rPr>
      </w:pPr>
    </w:p>
  </w:footnote>
  <w:footnote w:id="8">
    <w:p w:rsidR="00146F46" w:rsidRDefault="00146F46" w:rsidP="00986A32">
      <w:pPr>
        <w:spacing w:after="0" w:line="259" w:lineRule="auto"/>
        <w:rPr>
          <w:b/>
          <w:sz w:val="16"/>
          <w:szCs w:val="16"/>
        </w:rPr>
      </w:pPr>
      <w:r w:rsidRPr="00207AE1">
        <w:rPr>
          <w:rStyle w:val="FootnoteReference"/>
          <w:sz w:val="16"/>
          <w:szCs w:val="16"/>
        </w:rPr>
        <w:footnoteRef/>
      </w:r>
      <w:r w:rsidRPr="00207AE1">
        <w:rPr>
          <w:sz w:val="16"/>
          <w:szCs w:val="16"/>
        </w:rPr>
        <w:t xml:space="preserve"> </w:t>
      </w:r>
      <w:r w:rsidR="00EE4811">
        <w:rPr>
          <w:sz w:val="16"/>
          <w:szCs w:val="16"/>
        </w:rPr>
        <w:tab/>
        <w:t>E</w:t>
      </w:r>
      <w:r>
        <w:rPr>
          <w:sz w:val="16"/>
          <w:szCs w:val="16"/>
        </w:rPr>
        <w:t xml:space="preserve">l dictamen pericial del </w:t>
      </w:r>
      <w:r w:rsidRPr="00207AE1">
        <w:rPr>
          <w:sz w:val="16"/>
          <w:szCs w:val="16"/>
        </w:rPr>
        <w:t xml:space="preserve">señor Enrique Oscar Stola, </w:t>
      </w:r>
      <w:r w:rsidR="00EE4811">
        <w:rPr>
          <w:sz w:val="16"/>
          <w:szCs w:val="16"/>
        </w:rPr>
        <w:t>versa</w:t>
      </w:r>
      <w:r w:rsidR="004B0FBB">
        <w:rPr>
          <w:sz w:val="16"/>
          <w:szCs w:val="16"/>
        </w:rPr>
        <w:t>rá</w:t>
      </w:r>
      <w:r w:rsidR="00EE4811">
        <w:rPr>
          <w:sz w:val="16"/>
          <w:szCs w:val="16"/>
        </w:rPr>
        <w:t xml:space="preserve"> </w:t>
      </w:r>
      <w:r w:rsidRPr="00207AE1">
        <w:rPr>
          <w:sz w:val="16"/>
          <w:szCs w:val="16"/>
        </w:rPr>
        <w:t xml:space="preserve">sobre los siguientes temas: </w:t>
      </w:r>
      <w:r>
        <w:rPr>
          <w:sz w:val="16"/>
          <w:szCs w:val="16"/>
        </w:rPr>
        <w:t>“</w:t>
      </w:r>
      <w:r w:rsidRPr="00207AE1">
        <w:rPr>
          <w:sz w:val="16"/>
          <w:szCs w:val="16"/>
        </w:rPr>
        <w:t>a) Los efectos psicológicos, e incluso psiquiátricos, que  puede producir en las personas que son sometidas por tipos penales que conllevan como sanción la pena de muerte, previo y durante el conocimiento d</w:t>
      </w:r>
      <w:r w:rsidR="005467D5">
        <w:rPr>
          <w:sz w:val="16"/>
          <w:szCs w:val="16"/>
        </w:rPr>
        <w:t xml:space="preserve">el proceso penal en su contra; </w:t>
      </w:r>
      <w:r w:rsidRPr="00207AE1">
        <w:rPr>
          <w:sz w:val="16"/>
          <w:szCs w:val="16"/>
        </w:rPr>
        <w:t>b) Los efectos psicológicos, e incluso psiquiátricos, que puede producir en las personas que son condenadas a la pena de muerte, mientras esperan su ejecución, sin obviar las secuelas emocionales que puede producir cuando dicha decisión es suspendida en varias ocasiones; c) Los efectos psicológicos que produce a los familiares de las personas que son condenadas a pena de muerte, tanto durante el conocimiento del proceso, la</w:t>
      </w:r>
      <w:r w:rsidR="005467D5">
        <w:rPr>
          <w:sz w:val="16"/>
          <w:szCs w:val="16"/>
        </w:rPr>
        <w:t xml:space="preserve"> condena y posterior ejecución;</w:t>
      </w:r>
      <w:r w:rsidRPr="00207AE1">
        <w:rPr>
          <w:sz w:val="16"/>
          <w:szCs w:val="16"/>
        </w:rPr>
        <w:t xml:space="preserve"> d) Los efectos psicológicos que produce en los condenados a pena de muerte, e incluso a sus familiares, de conocer que la ejecución de dicha pena se produciría de manera </w:t>
      </w:r>
      <w:r>
        <w:rPr>
          <w:sz w:val="16"/>
          <w:szCs w:val="16"/>
        </w:rPr>
        <w:t>pública;</w:t>
      </w:r>
      <w:r w:rsidRPr="00207AE1">
        <w:rPr>
          <w:sz w:val="16"/>
          <w:szCs w:val="16"/>
        </w:rPr>
        <w:t xml:space="preserve"> e) En el caso concreto de los señores Roberto Girón y Pedro Castillo Mendoza, que efectos psicológicos o psiquiátricos pudieron haber padecido los mismos por la condena de pena de muerte que les fue ejecutada, así como en sus familiares. Tomando también en consideración la publicidad dada al caso en los medios de comunicación de Guatemala</w:t>
      </w:r>
      <w:r>
        <w:rPr>
          <w:sz w:val="16"/>
          <w:szCs w:val="16"/>
        </w:rPr>
        <w:t>”</w:t>
      </w:r>
      <w:r w:rsidRPr="00207AE1">
        <w:rPr>
          <w:sz w:val="16"/>
          <w:szCs w:val="16"/>
        </w:rPr>
        <w:t xml:space="preserve">. </w:t>
      </w:r>
    </w:p>
    <w:p w:rsidR="005467D5" w:rsidRPr="00207AE1" w:rsidRDefault="005467D5" w:rsidP="005467D5">
      <w:pPr>
        <w:spacing w:after="0" w:line="259" w:lineRule="auto"/>
        <w:ind w:left="0" w:firstLine="0"/>
        <w:rPr>
          <w:b/>
          <w:sz w:val="16"/>
          <w:szCs w:val="16"/>
        </w:rPr>
      </w:pPr>
    </w:p>
  </w:footnote>
  <w:footnote w:id="9">
    <w:p w:rsidR="00146F46" w:rsidRPr="00207AE1" w:rsidRDefault="00146F46" w:rsidP="00CA2F39">
      <w:pPr>
        <w:pStyle w:val="FootnoteText"/>
      </w:pPr>
      <w:r>
        <w:rPr>
          <w:rStyle w:val="FootnoteReference"/>
        </w:rPr>
        <w:footnoteRef/>
      </w:r>
      <w:r w:rsidRPr="00207AE1">
        <w:t xml:space="preserve"> </w:t>
      </w:r>
      <w:r>
        <w:tab/>
      </w:r>
      <w:r w:rsidR="00EE4811">
        <w:rPr>
          <w:sz w:val="16"/>
          <w:szCs w:val="16"/>
        </w:rPr>
        <w:t xml:space="preserve">El </w:t>
      </w:r>
      <w:r w:rsidRPr="00B3218C">
        <w:rPr>
          <w:sz w:val="16"/>
          <w:szCs w:val="16"/>
        </w:rPr>
        <w:t>dictamen perici</w:t>
      </w:r>
      <w:r>
        <w:rPr>
          <w:sz w:val="16"/>
          <w:szCs w:val="16"/>
        </w:rPr>
        <w:t>al del señor Alejandro Rodríguez Barillas</w:t>
      </w:r>
      <w:r w:rsidRPr="00B3218C">
        <w:rPr>
          <w:sz w:val="16"/>
          <w:szCs w:val="16"/>
        </w:rPr>
        <w:t xml:space="preserve">, </w:t>
      </w:r>
      <w:r w:rsidR="00EE4811">
        <w:rPr>
          <w:sz w:val="16"/>
          <w:szCs w:val="16"/>
        </w:rPr>
        <w:t>versa</w:t>
      </w:r>
      <w:r w:rsidR="004B0FBB">
        <w:rPr>
          <w:sz w:val="16"/>
          <w:szCs w:val="16"/>
        </w:rPr>
        <w:t>rá</w:t>
      </w:r>
      <w:r w:rsidR="00EE4811">
        <w:rPr>
          <w:sz w:val="16"/>
          <w:szCs w:val="16"/>
        </w:rPr>
        <w:t xml:space="preserve"> </w:t>
      </w:r>
      <w:r w:rsidRPr="00B3218C">
        <w:rPr>
          <w:sz w:val="16"/>
          <w:szCs w:val="16"/>
        </w:rPr>
        <w:t xml:space="preserve">sobre los siguientes temas: </w:t>
      </w:r>
      <w:r>
        <w:rPr>
          <w:sz w:val="16"/>
          <w:szCs w:val="16"/>
        </w:rPr>
        <w:t>“</w:t>
      </w:r>
      <w:r w:rsidRPr="00B3218C">
        <w:rPr>
          <w:sz w:val="16"/>
          <w:szCs w:val="16"/>
        </w:rPr>
        <w:t>a) Si se ha desempeñado como parte integrante en organismos de Derechos Humanos en el Estado de Guatemala, y en su caso, si ha llevado a cabo la defensa de personas condenadas a pena de muerte a los fines de evitar su ejecución. b) Si tuvo alguna participación en la defensa de los Sres. Roberto Girón y Pedro Castillo Mendoza a los fines de solicitar a la Comisión IDH la suspensión de la ejecución de la pena de muerte por irregularidades en el proceso judicial seguido en su contra. c) Cuáles fueron los métodos de pena de muerte utilizados por el Estado de Guatemala. d) Cuáles son los tipos penales que establecían pena de muerte, y cuales han sido reformados posteriormente. Y cuales siguen vigente a la fecha con pena de muerte. e) Si existió en la sentencia condenatoria a Roberto Girón y Pedro Castillo Mendoza la imputación personal clara, que determinara cual fue el hecho cometido por cada uno de los condenados. f) Análisis cumplimiento o no garantías del debido proceso en el Código Procesal Penal derogado (Decreto 52-73) en relación con el Nuevo Código Procesal Penal (Decreto 51-92) g) Cual fue la situación jurídica de las personas condenadas a pena de muerte luego de las Sentencias de la CIDH en 2005 de Fermín Ramírez y Raxcacó Reyes. h) Si existen personas en el corredor de la muerte actualmente en el Estado de Guatemala, y en caso de no existir motivos por el cual no hay</w:t>
      </w:r>
      <w:r w:rsidR="005467D5">
        <w:rPr>
          <w:sz w:val="16"/>
          <w:szCs w:val="16"/>
        </w:rPr>
        <w:t xml:space="preserve"> personas condenadas a muertes.</w:t>
      </w:r>
      <w:r w:rsidRPr="00B3218C">
        <w:rPr>
          <w:sz w:val="16"/>
          <w:szCs w:val="16"/>
        </w:rPr>
        <w:t xml:space="preserve"> i) Si conoce las Sentencias de la Corte Constitucional en relación a la pena de muerte, como se interpretan las mismas, y que efectos jurídicos han tenido en el Estado de Guatemala j) Si existen proyectos de leyes de abolición de la pena de muerte o bien su restablecimiento y en su caso,</w:t>
      </w:r>
      <w:r w:rsidR="005467D5">
        <w:rPr>
          <w:sz w:val="16"/>
          <w:szCs w:val="16"/>
        </w:rPr>
        <w:t xml:space="preserve"> que tratamiento tienen.</w:t>
      </w:r>
      <w:r w:rsidRPr="00B3218C">
        <w:rPr>
          <w:sz w:val="16"/>
          <w:szCs w:val="16"/>
        </w:rPr>
        <w:t xml:space="preserve"> k) Si han existido manifestación de Poder Políticos o de la ciudadanía con relación a la </w:t>
      </w:r>
      <w:r w:rsidR="005467D5">
        <w:rPr>
          <w:sz w:val="16"/>
          <w:szCs w:val="16"/>
        </w:rPr>
        <w:t>aplicación de la pena de muerte</w:t>
      </w:r>
      <w:r>
        <w:rPr>
          <w:sz w:val="16"/>
          <w:szCs w:val="16"/>
        </w:rPr>
        <w:t>”</w:t>
      </w:r>
      <w:r w:rsidR="005467D5">
        <w:rPr>
          <w:sz w:val="16"/>
          <w:szCs w:val="16"/>
        </w:rPr>
        <w:t>.</w:t>
      </w:r>
      <w:r>
        <w:rPr>
          <w:sz w:val="16"/>
          <w:szCs w:val="16"/>
        </w:rPr>
        <w:t xml:space="preserve"> </w:t>
      </w:r>
    </w:p>
  </w:footnote>
  <w:footnote w:id="10">
    <w:p w:rsidR="001E0EAE" w:rsidRPr="009F0E31" w:rsidRDefault="001E0EAE" w:rsidP="001E0EAE">
      <w:pPr>
        <w:pStyle w:val="FootnoteText"/>
        <w:rPr>
          <w:sz w:val="16"/>
          <w:szCs w:val="16"/>
          <w:lang w:val="es-CR"/>
        </w:rPr>
      </w:pPr>
      <w:r w:rsidRPr="009F0E31">
        <w:rPr>
          <w:rStyle w:val="FootnoteReference"/>
          <w:sz w:val="16"/>
          <w:szCs w:val="16"/>
        </w:rPr>
        <w:footnoteRef/>
      </w:r>
      <w:r w:rsidR="00567DFC">
        <w:rPr>
          <w:sz w:val="16"/>
          <w:szCs w:val="16"/>
          <w:lang w:val="es-CR"/>
        </w:rPr>
        <w:t xml:space="preserve"> </w:t>
      </w:r>
      <w:r w:rsidR="00567DFC">
        <w:rPr>
          <w:sz w:val="16"/>
          <w:szCs w:val="16"/>
          <w:lang w:val="es-CR"/>
        </w:rPr>
        <w:tab/>
        <w:t xml:space="preserve">El artículo 35.1.f) </w:t>
      </w:r>
      <w:r w:rsidRPr="009F0E31">
        <w:rPr>
          <w:sz w:val="16"/>
          <w:szCs w:val="16"/>
          <w:lang w:val="es-CR"/>
        </w:rPr>
        <w:t>del Reglamento establece lo siguiente: “1. El caso será sometido a la Corte mediante la presentación del informe al que se refiere el artículo 50 de la Convención, que contenga todos los hechos supuestamente violatorios, inclusive la identificación de las presuntas víctimas. Para que el caso pueda ser examinado, la Corte deberá recibir la siguiente información:… f. cuando se afecte de manera relevante el orden público interamericano de los derechos humanos, la eventual designación de peritos, indicando el objeto de sus declaraciones y acompañando su hoja de vida”.</w:t>
      </w:r>
    </w:p>
  </w:footnote>
  <w:footnote w:id="11">
    <w:p w:rsidR="004949FA" w:rsidRPr="004926CA" w:rsidRDefault="004949FA" w:rsidP="004949FA">
      <w:pPr>
        <w:pStyle w:val="FootnoteText"/>
        <w:rPr>
          <w:sz w:val="16"/>
          <w:szCs w:val="16"/>
          <w:lang w:val="es-CR"/>
        </w:rPr>
      </w:pPr>
      <w:r w:rsidRPr="004926CA">
        <w:rPr>
          <w:rStyle w:val="FootnoteReference"/>
          <w:sz w:val="16"/>
          <w:szCs w:val="16"/>
        </w:rPr>
        <w:footnoteRef/>
      </w:r>
      <w:r w:rsidRPr="004926CA">
        <w:rPr>
          <w:sz w:val="16"/>
          <w:szCs w:val="16"/>
          <w:lang w:val="es-CR"/>
        </w:rPr>
        <w:t xml:space="preserve"> </w:t>
      </w:r>
      <w:r>
        <w:rPr>
          <w:sz w:val="16"/>
          <w:szCs w:val="16"/>
          <w:lang w:val="es-CR"/>
        </w:rPr>
        <w:tab/>
      </w:r>
      <w:r>
        <w:rPr>
          <w:i/>
          <w:sz w:val="16"/>
          <w:szCs w:val="16"/>
        </w:rPr>
        <w:t>Cfr.</w:t>
      </w:r>
      <w:r w:rsidRPr="004926CA">
        <w:rPr>
          <w:i/>
          <w:sz w:val="16"/>
          <w:szCs w:val="16"/>
        </w:rPr>
        <w:t xml:space="preserve"> </w:t>
      </w:r>
      <w:r w:rsidRPr="004926CA">
        <w:rPr>
          <w:i/>
          <w:sz w:val="16"/>
          <w:szCs w:val="16"/>
          <w:lang w:val="es-CR"/>
        </w:rPr>
        <w:t>Caso Contreras y otros Vs. El Salvador</w:t>
      </w:r>
      <w:r w:rsidRPr="004926CA">
        <w:rPr>
          <w:sz w:val="16"/>
          <w:szCs w:val="16"/>
          <w:lang w:val="es-CR"/>
        </w:rPr>
        <w:t xml:space="preserve">. Resolución del Presidente de la </w:t>
      </w:r>
      <w:r>
        <w:rPr>
          <w:sz w:val="16"/>
          <w:szCs w:val="16"/>
          <w:lang w:val="es-CR"/>
        </w:rPr>
        <w:t>Corte de 14 de abril de 2011.</w:t>
      </w:r>
      <w:r w:rsidRPr="004926CA">
        <w:rPr>
          <w:sz w:val="16"/>
          <w:szCs w:val="16"/>
          <w:lang w:val="es-CR"/>
        </w:rPr>
        <w:t xml:space="preserve"> Considerando 25, y</w:t>
      </w:r>
      <w:r w:rsidRPr="004926CA">
        <w:rPr>
          <w:b/>
          <w:sz w:val="16"/>
          <w:szCs w:val="16"/>
          <w:lang w:val="es-CR"/>
        </w:rPr>
        <w:t xml:space="preserve"> </w:t>
      </w:r>
      <w:r w:rsidRPr="00F91549">
        <w:rPr>
          <w:rStyle w:val="Strong"/>
          <w:b w:val="0"/>
          <w:i/>
          <w:sz w:val="16"/>
          <w:szCs w:val="16"/>
          <w:shd w:val="clear" w:color="auto" w:fill="FFFFFF"/>
          <w:lang w:val="es-CR"/>
        </w:rPr>
        <w:t>Caso Herzog y otros Vs. Brasil</w:t>
      </w:r>
      <w:r w:rsidRPr="00F91549">
        <w:rPr>
          <w:rStyle w:val="Strong"/>
          <w:b w:val="0"/>
          <w:sz w:val="16"/>
          <w:szCs w:val="16"/>
          <w:shd w:val="clear" w:color="auto" w:fill="FFFFFF"/>
          <w:lang w:val="es-CR"/>
        </w:rPr>
        <w:t>. Convocatoria de audiencia. Resolución del Presidente en ejercicio de la Corte de 7 de abril de 2017, Considerando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46" w:rsidRDefault="00146F46">
    <w:pPr>
      <w:spacing w:after="0" w:line="259" w:lineRule="auto"/>
      <w:ind w:left="0" w:right="17"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146F46" w:rsidRDefault="00146F46">
    <w:pPr>
      <w:spacing w:after="0" w:line="259" w:lineRule="auto"/>
      <w:ind w:left="43"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46" w:rsidRDefault="00146F46">
    <w:pPr>
      <w:spacing w:after="0" w:line="259" w:lineRule="auto"/>
      <w:ind w:left="0" w:right="17" w:firstLine="0"/>
      <w:jc w:val="center"/>
    </w:pPr>
    <w:r>
      <w:fldChar w:fldCharType="begin"/>
    </w:r>
    <w:r>
      <w:instrText xml:space="preserve"> PAGE   \* MERGEFORMAT </w:instrText>
    </w:r>
    <w:r>
      <w:fldChar w:fldCharType="separate"/>
    </w:r>
    <w:r w:rsidR="00C2739F" w:rsidRPr="00C2739F">
      <w:rPr>
        <w:rFonts w:ascii="Times New Roman" w:eastAsia="Times New Roman" w:hAnsi="Times New Roman" w:cs="Times New Roman"/>
        <w:noProof/>
        <w:sz w:val="24"/>
      </w:rPr>
      <w:t>15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146F46" w:rsidRDefault="00146F46">
    <w:pPr>
      <w:spacing w:after="0" w:line="259" w:lineRule="auto"/>
      <w:ind w:left="43" w:righ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46" w:rsidRDefault="00146F46">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C36"/>
    <w:multiLevelType w:val="hybridMultilevel"/>
    <w:tmpl w:val="300CA738"/>
    <w:lvl w:ilvl="0" w:tplc="8FB82ABC">
      <w:start w:val="1"/>
      <w:numFmt w:val="lowerRoman"/>
      <w:lvlText w:val="%1)"/>
      <w:lvlJc w:val="left"/>
      <w:pPr>
        <w:ind w:left="1636" w:hanging="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40A0019" w:tentative="1">
      <w:start w:val="1"/>
      <w:numFmt w:val="lowerLetter"/>
      <w:lvlText w:val="%2."/>
      <w:lvlJc w:val="left"/>
      <w:pPr>
        <w:ind w:left="2356" w:hanging="360"/>
      </w:pPr>
    </w:lvl>
    <w:lvl w:ilvl="2" w:tplc="340A001B" w:tentative="1">
      <w:start w:val="1"/>
      <w:numFmt w:val="lowerRoman"/>
      <w:lvlText w:val="%3."/>
      <w:lvlJc w:val="right"/>
      <w:pPr>
        <w:ind w:left="3076" w:hanging="180"/>
      </w:pPr>
    </w:lvl>
    <w:lvl w:ilvl="3" w:tplc="340A000F" w:tentative="1">
      <w:start w:val="1"/>
      <w:numFmt w:val="decimal"/>
      <w:lvlText w:val="%4."/>
      <w:lvlJc w:val="left"/>
      <w:pPr>
        <w:ind w:left="3796" w:hanging="360"/>
      </w:pPr>
    </w:lvl>
    <w:lvl w:ilvl="4" w:tplc="340A0019" w:tentative="1">
      <w:start w:val="1"/>
      <w:numFmt w:val="lowerLetter"/>
      <w:lvlText w:val="%5."/>
      <w:lvlJc w:val="left"/>
      <w:pPr>
        <w:ind w:left="4516" w:hanging="360"/>
      </w:pPr>
    </w:lvl>
    <w:lvl w:ilvl="5" w:tplc="340A001B" w:tentative="1">
      <w:start w:val="1"/>
      <w:numFmt w:val="lowerRoman"/>
      <w:lvlText w:val="%6."/>
      <w:lvlJc w:val="right"/>
      <w:pPr>
        <w:ind w:left="5236" w:hanging="180"/>
      </w:pPr>
    </w:lvl>
    <w:lvl w:ilvl="6" w:tplc="340A000F" w:tentative="1">
      <w:start w:val="1"/>
      <w:numFmt w:val="decimal"/>
      <w:lvlText w:val="%7."/>
      <w:lvlJc w:val="left"/>
      <w:pPr>
        <w:ind w:left="5956" w:hanging="360"/>
      </w:pPr>
    </w:lvl>
    <w:lvl w:ilvl="7" w:tplc="340A0019" w:tentative="1">
      <w:start w:val="1"/>
      <w:numFmt w:val="lowerLetter"/>
      <w:lvlText w:val="%8."/>
      <w:lvlJc w:val="left"/>
      <w:pPr>
        <w:ind w:left="6676" w:hanging="360"/>
      </w:pPr>
    </w:lvl>
    <w:lvl w:ilvl="8" w:tplc="340A001B" w:tentative="1">
      <w:start w:val="1"/>
      <w:numFmt w:val="lowerRoman"/>
      <w:lvlText w:val="%9."/>
      <w:lvlJc w:val="right"/>
      <w:pPr>
        <w:ind w:left="7396" w:hanging="180"/>
      </w:pPr>
    </w:lvl>
  </w:abstractNum>
  <w:abstractNum w:abstractNumId="1">
    <w:nsid w:val="03F5048C"/>
    <w:multiLevelType w:val="hybridMultilevel"/>
    <w:tmpl w:val="8D9ACAEE"/>
    <w:lvl w:ilvl="0" w:tplc="B112B0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027B5A"/>
    <w:multiLevelType w:val="multilevel"/>
    <w:tmpl w:val="4894D6D2"/>
    <w:lvl w:ilvl="0">
      <w:start w:val="2"/>
      <w:numFmt w:val="decimal"/>
      <w:lvlText w:val="%1."/>
      <w:lvlJc w:val="left"/>
      <w:pPr>
        <w:ind w:left="450" w:hanging="360"/>
      </w:pPr>
      <w:rPr>
        <w:rFonts w:ascii="Verdana" w:hAnsi="Verdana" w:hint="default"/>
        <w:b w:val="0"/>
        <w:i w:val="0"/>
        <w:sz w:val="20"/>
        <w:szCs w:val="2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51B0C68"/>
    <w:multiLevelType w:val="hybridMultilevel"/>
    <w:tmpl w:val="21F8691E"/>
    <w:lvl w:ilvl="0" w:tplc="F9640668">
      <w:start w:val="21"/>
      <w:numFmt w:val="decimal"/>
      <w:lvlText w:val="%1."/>
      <w:lvlJc w:val="left"/>
      <w:pPr>
        <w:ind w:left="39" w:firstLine="0"/>
      </w:pPr>
      <w:rPr>
        <w:rFonts w:ascii="Verdana" w:eastAsia="Verdana" w:hAnsi="Verdana" w:cs="Verdana" w:hint="default"/>
        <w:b w:val="0"/>
        <w:i w:val="0"/>
        <w:strike w:val="0"/>
        <w:dstrike w:val="0"/>
        <w:color w:val="000000"/>
        <w:sz w:val="20"/>
        <w:szCs w:val="20"/>
        <w:u w:val="none" w:color="000000"/>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6EB1601"/>
    <w:multiLevelType w:val="hybridMultilevel"/>
    <w:tmpl w:val="9B2A393E"/>
    <w:lvl w:ilvl="0" w:tplc="140A000F">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07656683"/>
    <w:multiLevelType w:val="hybridMultilevel"/>
    <w:tmpl w:val="0EF05B84"/>
    <w:lvl w:ilvl="0" w:tplc="461C245C">
      <w:start w:val="2"/>
      <w:numFmt w:val="decimal"/>
      <w:lvlText w:val="%1."/>
      <w:lvlJc w:val="left"/>
      <w:pPr>
        <w:ind w:left="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CC01D2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32076A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C60A53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F648FF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D44FDC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B423A8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632B64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5B2A1E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nsid w:val="0E9E6B18"/>
    <w:multiLevelType w:val="multilevel"/>
    <w:tmpl w:val="A268ED9E"/>
    <w:lvl w:ilvl="0">
      <w:start w:val="1"/>
      <w:numFmt w:val="decimal"/>
      <w:lvlText w:val="%1."/>
      <w:lvlJc w:val="left"/>
      <w:pPr>
        <w:ind w:left="720" w:hanging="360"/>
      </w:pPr>
      <w:rPr>
        <w:rFonts w:ascii="Verdana" w:hAnsi="Verdana" w:hint="default"/>
        <w:b w:val="0"/>
        <w:i w:val="0"/>
        <w:sz w:val="20"/>
        <w:szCs w:val="2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F3A659D"/>
    <w:multiLevelType w:val="hybridMultilevel"/>
    <w:tmpl w:val="7EB8FA5E"/>
    <w:lvl w:ilvl="0" w:tplc="197E5B60">
      <w:start w:val="1"/>
      <w:numFmt w:val="decimal"/>
      <w:lvlText w:val="%1)"/>
      <w:lvlJc w:val="left"/>
      <w:pPr>
        <w:ind w:left="1080" w:hanging="360"/>
      </w:pPr>
      <w:rPr>
        <w:rFonts w:hint="default"/>
        <w:i/>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93D86780">
      <w:start w:val="1"/>
      <w:numFmt w:val="decimal"/>
      <w:lvlText w:val="%4."/>
      <w:lvlJc w:val="left"/>
      <w:pPr>
        <w:ind w:left="3240" w:hanging="360"/>
      </w:pPr>
      <w:rPr>
        <w:lang w:val="es-CR"/>
      </w:r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8">
    <w:nsid w:val="22210F11"/>
    <w:multiLevelType w:val="hybridMultilevel"/>
    <w:tmpl w:val="56EE5482"/>
    <w:lvl w:ilvl="0" w:tplc="A06496B6">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23FB0663"/>
    <w:multiLevelType w:val="hybridMultilevel"/>
    <w:tmpl w:val="50844F16"/>
    <w:lvl w:ilvl="0" w:tplc="8FB82ABC">
      <w:start w:val="1"/>
      <w:numFmt w:val="lowerRoman"/>
      <w:lvlText w:val="%1)"/>
      <w:lvlJc w:val="left"/>
      <w:pPr>
        <w:ind w:left="1636" w:hanging="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40A0019" w:tentative="1">
      <w:start w:val="1"/>
      <w:numFmt w:val="lowerLetter"/>
      <w:lvlText w:val="%2."/>
      <w:lvlJc w:val="left"/>
      <w:pPr>
        <w:ind w:left="2573" w:hanging="360"/>
      </w:pPr>
    </w:lvl>
    <w:lvl w:ilvl="2" w:tplc="340A001B" w:tentative="1">
      <w:start w:val="1"/>
      <w:numFmt w:val="lowerRoman"/>
      <w:lvlText w:val="%3."/>
      <w:lvlJc w:val="right"/>
      <w:pPr>
        <w:ind w:left="3293" w:hanging="180"/>
      </w:pPr>
    </w:lvl>
    <w:lvl w:ilvl="3" w:tplc="340A000F" w:tentative="1">
      <w:start w:val="1"/>
      <w:numFmt w:val="decimal"/>
      <w:lvlText w:val="%4."/>
      <w:lvlJc w:val="left"/>
      <w:pPr>
        <w:ind w:left="4013" w:hanging="360"/>
      </w:pPr>
    </w:lvl>
    <w:lvl w:ilvl="4" w:tplc="340A0019" w:tentative="1">
      <w:start w:val="1"/>
      <w:numFmt w:val="lowerLetter"/>
      <w:lvlText w:val="%5."/>
      <w:lvlJc w:val="left"/>
      <w:pPr>
        <w:ind w:left="4733" w:hanging="360"/>
      </w:pPr>
    </w:lvl>
    <w:lvl w:ilvl="5" w:tplc="340A001B" w:tentative="1">
      <w:start w:val="1"/>
      <w:numFmt w:val="lowerRoman"/>
      <w:lvlText w:val="%6."/>
      <w:lvlJc w:val="right"/>
      <w:pPr>
        <w:ind w:left="5453" w:hanging="180"/>
      </w:pPr>
    </w:lvl>
    <w:lvl w:ilvl="6" w:tplc="340A000F" w:tentative="1">
      <w:start w:val="1"/>
      <w:numFmt w:val="decimal"/>
      <w:lvlText w:val="%7."/>
      <w:lvlJc w:val="left"/>
      <w:pPr>
        <w:ind w:left="6173" w:hanging="360"/>
      </w:pPr>
    </w:lvl>
    <w:lvl w:ilvl="7" w:tplc="340A0019" w:tentative="1">
      <w:start w:val="1"/>
      <w:numFmt w:val="lowerLetter"/>
      <w:lvlText w:val="%8."/>
      <w:lvlJc w:val="left"/>
      <w:pPr>
        <w:ind w:left="6893" w:hanging="360"/>
      </w:pPr>
    </w:lvl>
    <w:lvl w:ilvl="8" w:tplc="340A001B" w:tentative="1">
      <w:start w:val="1"/>
      <w:numFmt w:val="lowerRoman"/>
      <w:lvlText w:val="%9."/>
      <w:lvlJc w:val="right"/>
      <w:pPr>
        <w:ind w:left="7613" w:hanging="180"/>
      </w:pPr>
    </w:lvl>
  </w:abstractNum>
  <w:abstractNum w:abstractNumId="10">
    <w:nsid w:val="2A510D4F"/>
    <w:multiLevelType w:val="hybridMultilevel"/>
    <w:tmpl w:val="406602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B591F9C"/>
    <w:multiLevelType w:val="hybridMultilevel"/>
    <w:tmpl w:val="23DADB9E"/>
    <w:lvl w:ilvl="0" w:tplc="66CC23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0A7AE1"/>
    <w:multiLevelType w:val="multilevel"/>
    <w:tmpl w:val="17BAA38C"/>
    <w:lvl w:ilvl="0">
      <w:start w:val="1"/>
      <w:numFmt w:val="decimal"/>
      <w:lvlText w:val="%1."/>
      <w:lvlJc w:val="left"/>
      <w:pPr>
        <w:ind w:left="720" w:hanging="360"/>
      </w:pPr>
      <w:rPr>
        <w:b w:val="0"/>
        <w:i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6E65998"/>
    <w:multiLevelType w:val="hybridMultilevel"/>
    <w:tmpl w:val="26806568"/>
    <w:lvl w:ilvl="0" w:tplc="DC3CAB8A">
      <w:start w:val="1"/>
      <w:numFmt w:val="decimal"/>
      <w:lvlText w:val="%1."/>
      <w:lvlJc w:val="left"/>
      <w:pPr>
        <w:ind w:left="8190" w:hanging="360"/>
      </w:pPr>
      <w:rPr>
        <w:rFonts w:ascii="Verdana" w:hAnsi="Verdana" w:hint="default"/>
        <w:b w:val="0"/>
        <w:i w:val="0"/>
        <w:strike w:val="0"/>
        <w:sz w:val="20"/>
        <w:szCs w:val="20"/>
        <w:lang w:val="es-ES"/>
      </w:rPr>
    </w:lvl>
    <w:lvl w:ilvl="1" w:tplc="1D2CABE6">
      <w:start w:val="1"/>
      <w:numFmt w:val="lowerLetter"/>
      <w:lvlText w:val="%2)"/>
      <w:lvlJc w:val="left"/>
      <w:pPr>
        <w:ind w:left="1080" w:hanging="360"/>
      </w:pPr>
      <w:rPr>
        <w:rFonts w:ascii="Verdana" w:eastAsia="Calibri" w:hAnsi="Verdana" w:cs="Calibri"/>
        <w:i w:val="0"/>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nsid w:val="3A38404A"/>
    <w:multiLevelType w:val="hybridMultilevel"/>
    <w:tmpl w:val="1FE64136"/>
    <w:lvl w:ilvl="0" w:tplc="98F6B9EA">
      <w:start w:val="1"/>
      <w:numFmt w:val="decimal"/>
      <w:lvlText w:val="%1."/>
      <w:lvlJc w:val="left"/>
      <w:pPr>
        <w:tabs>
          <w:tab w:val="num" w:pos="1620"/>
        </w:tabs>
      </w:pPr>
      <w:rPr>
        <w:rFonts w:ascii="Verdana" w:hAnsi="Verdana" w:cs="Times New Roman" w:hint="default"/>
        <w:b w:val="0"/>
        <w:i w:val="0"/>
        <w:color w:val="auto"/>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nsid w:val="40525425"/>
    <w:multiLevelType w:val="hybridMultilevel"/>
    <w:tmpl w:val="39FAA9A8"/>
    <w:lvl w:ilvl="0" w:tplc="F57E76A0">
      <w:start w:val="4"/>
      <w:numFmt w:val="decimal"/>
      <w:lvlText w:val="%1)"/>
      <w:lvlJc w:val="left"/>
      <w:pPr>
        <w:ind w:left="1080" w:hanging="360"/>
      </w:pPr>
      <w:rPr>
        <w:rFonts w:hint="default"/>
        <w:i/>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nsid w:val="407B7AFC"/>
    <w:multiLevelType w:val="hybridMultilevel"/>
    <w:tmpl w:val="ED2AF0EE"/>
    <w:lvl w:ilvl="0" w:tplc="6DA25218">
      <w:start w:val="1"/>
      <w:numFmt w:val="upperLetter"/>
      <w:lvlText w:val="%1."/>
      <w:lvlJc w:val="left"/>
      <w:pPr>
        <w:ind w:left="384" w:hanging="360"/>
      </w:pPr>
      <w:rPr>
        <w:rFonts w:hint="default"/>
        <w:b/>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7">
    <w:nsid w:val="480B0D67"/>
    <w:multiLevelType w:val="hybridMultilevel"/>
    <w:tmpl w:val="BD922384"/>
    <w:lvl w:ilvl="0" w:tplc="F7901B7C">
      <w:start w:val="6"/>
      <w:numFmt w:val="decimal"/>
      <w:lvlText w:val="%1."/>
      <w:lvlJc w:val="left"/>
      <w:pPr>
        <w:ind w:left="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41480B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F324D7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2F4B63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27AC73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BA84FE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434C94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3B4299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AD00B4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nsid w:val="547846BE"/>
    <w:multiLevelType w:val="multilevel"/>
    <w:tmpl w:val="A268ED9E"/>
    <w:lvl w:ilvl="0">
      <w:start w:val="1"/>
      <w:numFmt w:val="decimal"/>
      <w:lvlText w:val="%1."/>
      <w:lvlJc w:val="left"/>
      <w:pPr>
        <w:ind w:left="450" w:hanging="360"/>
      </w:pPr>
      <w:rPr>
        <w:rFonts w:ascii="Verdana" w:hAnsi="Verdana" w:hint="default"/>
        <w:b w:val="0"/>
        <w:i w:val="0"/>
        <w:sz w:val="20"/>
        <w:szCs w:val="2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55FD1B1B"/>
    <w:multiLevelType w:val="hybridMultilevel"/>
    <w:tmpl w:val="2E944E22"/>
    <w:lvl w:ilvl="0" w:tplc="7214FE8E">
      <w:start w:val="24"/>
      <w:numFmt w:val="decimal"/>
      <w:lvlText w:val="%1"/>
      <w:lvlJc w:val="left"/>
      <w:pPr>
        <w:ind w:left="399" w:hanging="360"/>
      </w:pPr>
      <w:rPr>
        <w:rFonts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20">
    <w:nsid w:val="5D4023CB"/>
    <w:multiLevelType w:val="hybridMultilevel"/>
    <w:tmpl w:val="B9F68540"/>
    <w:lvl w:ilvl="0" w:tplc="A718E034">
      <w:start w:val="2"/>
      <w:numFmt w:val="upperLetter"/>
      <w:lvlText w:val="%1."/>
      <w:lvlJc w:val="left"/>
      <w:pPr>
        <w:ind w:left="107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DDB6DC6"/>
    <w:multiLevelType w:val="hybridMultilevel"/>
    <w:tmpl w:val="D62618CC"/>
    <w:lvl w:ilvl="0" w:tplc="CC0A21E4">
      <w:start w:val="1"/>
      <w:numFmt w:val="decimal"/>
      <w:lvlText w:val="%1."/>
      <w:lvlJc w:val="left"/>
      <w:pPr>
        <w:ind w:left="360" w:hanging="360"/>
      </w:pPr>
      <w:rPr>
        <w:rFonts w:ascii="Verdana" w:hAnsi="Verdana" w:hint="default"/>
        <w:b w:val="0"/>
        <w:i w:val="0"/>
        <w:color w:val="auto"/>
        <w:sz w:val="20"/>
        <w:szCs w:val="20"/>
        <w:lang w:val="es-CR"/>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2">
    <w:nsid w:val="63E064F4"/>
    <w:multiLevelType w:val="hybridMultilevel"/>
    <w:tmpl w:val="5C6AC32A"/>
    <w:lvl w:ilvl="0" w:tplc="058C2A90">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4876E0D"/>
    <w:multiLevelType w:val="hybridMultilevel"/>
    <w:tmpl w:val="B7EC70A0"/>
    <w:lvl w:ilvl="0" w:tplc="62B426D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186902"/>
    <w:multiLevelType w:val="hybridMultilevel"/>
    <w:tmpl w:val="75B669E8"/>
    <w:lvl w:ilvl="0" w:tplc="340A000F">
      <w:start w:val="1"/>
      <w:numFmt w:val="decimal"/>
      <w:lvlText w:val="%1."/>
      <w:lvlJc w:val="left"/>
      <w:pPr>
        <w:ind w:left="744" w:hanging="360"/>
      </w:pPr>
    </w:lvl>
    <w:lvl w:ilvl="1" w:tplc="340A0019" w:tentative="1">
      <w:start w:val="1"/>
      <w:numFmt w:val="lowerLetter"/>
      <w:lvlText w:val="%2."/>
      <w:lvlJc w:val="left"/>
      <w:pPr>
        <w:ind w:left="1464" w:hanging="360"/>
      </w:pPr>
    </w:lvl>
    <w:lvl w:ilvl="2" w:tplc="340A001B" w:tentative="1">
      <w:start w:val="1"/>
      <w:numFmt w:val="lowerRoman"/>
      <w:lvlText w:val="%3."/>
      <w:lvlJc w:val="right"/>
      <w:pPr>
        <w:ind w:left="2184" w:hanging="180"/>
      </w:pPr>
    </w:lvl>
    <w:lvl w:ilvl="3" w:tplc="340A000F" w:tentative="1">
      <w:start w:val="1"/>
      <w:numFmt w:val="decimal"/>
      <w:lvlText w:val="%4."/>
      <w:lvlJc w:val="left"/>
      <w:pPr>
        <w:ind w:left="2904" w:hanging="360"/>
      </w:pPr>
    </w:lvl>
    <w:lvl w:ilvl="4" w:tplc="340A0019" w:tentative="1">
      <w:start w:val="1"/>
      <w:numFmt w:val="lowerLetter"/>
      <w:lvlText w:val="%5."/>
      <w:lvlJc w:val="left"/>
      <w:pPr>
        <w:ind w:left="3624" w:hanging="360"/>
      </w:pPr>
    </w:lvl>
    <w:lvl w:ilvl="5" w:tplc="340A001B" w:tentative="1">
      <w:start w:val="1"/>
      <w:numFmt w:val="lowerRoman"/>
      <w:lvlText w:val="%6."/>
      <w:lvlJc w:val="right"/>
      <w:pPr>
        <w:ind w:left="4344" w:hanging="180"/>
      </w:pPr>
    </w:lvl>
    <w:lvl w:ilvl="6" w:tplc="340A000F" w:tentative="1">
      <w:start w:val="1"/>
      <w:numFmt w:val="decimal"/>
      <w:lvlText w:val="%7."/>
      <w:lvlJc w:val="left"/>
      <w:pPr>
        <w:ind w:left="5064" w:hanging="360"/>
      </w:pPr>
    </w:lvl>
    <w:lvl w:ilvl="7" w:tplc="340A0019" w:tentative="1">
      <w:start w:val="1"/>
      <w:numFmt w:val="lowerLetter"/>
      <w:lvlText w:val="%8."/>
      <w:lvlJc w:val="left"/>
      <w:pPr>
        <w:ind w:left="5784" w:hanging="360"/>
      </w:pPr>
    </w:lvl>
    <w:lvl w:ilvl="8" w:tplc="340A001B" w:tentative="1">
      <w:start w:val="1"/>
      <w:numFmt w:val="lowerRoman"/>
      <w:lvlText w:val="%9."/>
      <w:lvlJc w:val="right"/>
      <w:pPr>
        <w:ind w:left="6504" w:hanging="180"/>
      </w:pPr>
    </w:lvl>
  </w:abstractNum>
  <w:abstractNum w:abstractNumId="25">
    <w:nsid w:val="68013827"/>
    <w:multiLevelType w:val="hybridMultilevel"/>
    <w:tmpl w:val="DE70F7F4"/>
    <w:lvl w:ilvl="0" w:tplc="8FB82ABC">
      <w:start w:val="1"/>
      <w:numFmt w:val="lowerRoman"/>
      <w:lvlText w:val="%1)"/>
      <w:lvlJc w:val="left"/>
      <w:pPr>
        <w:ind w:left="1636" w:hanging="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40A0019" w:tentative="1">
      <w:start w:val="1"/>
      <w:numFmt w:val="lowerLetter"/>
      <w:lvlText w:val="%2."/>
      <w:lvlJc w:val="left"/>
      <w:pPr>
        <w:ind w:left="2356" w:hanging="360"/>
      </w:pPr>
    </w:lvl>
    <w:lvl w:ilvl="2" w:tplc="340A001B" w:tentative="1">
      <w:start w:val="1"/>
      <w:numFmt w:val="lowerRoman"/>
      <w:lvlText w:val="%3."/>
      <w:lvlJc w:val="right"/>
      <w:pPr>
        <w:ind w:left="3076" w:hanging="180"/>
      </w:pPr>
    </w:lvl>
    <w:lvl w:ilvl="3" w:tplc="340A000F" w:tentative="1">
      <w:start w:val="1"/>
      <w:numFmt w:val="decimal"/>
      <w:lvlText w:val="%4."/>
      <w:lvlJc w:val="left"/>
      <w:pPr>
        <w:ind w:left="3796" w:hanging="360"/>
      </w:pPr>
    </w:lvl>
    <w:lvl w:ilvl="4" w:tplc="340A0019" w:tentative="1">
      <w:start w:val="1"/>
      <w:numFmt w:val="lowerLetter"/>
      <w:lvlText w:val="%5."/>
      <w:lvlJc w:val="left"/>
      <w:pPr>
        <w:ind w:left="4516" w:hanging="360"/>
      </w:pPr>
    </w:lvl>
    <w:lvl w:ilvl="5" w:tplc="340A001B" w:tentative="1">
      <w:start w:val="1"/>
      <w:numFmt w:val="lowerRoman"/>
      <w:lvlText w:val="%6."/>
      <w:lvlJc w:val="right"/>
      <w:pPr>
        <w:ind w:left="5236" w:hanging="180"/>
      </w:pPr>
    </w:lvl>
    <w:lvl w:ilvl="6" w:tplc="340A000F" w:tentative="1">
      <w:start w:val="1"/>
      <w:numFmt w:val="decimal"/>
      <w:lvlText w:val="%7."/>
      <w:lvlJc w:val="left"/>
      <w:pPr>
        <w:ind w:left="5956" w:hanging="360"/>
      </w:pPr>
    </w:lvl>
    <w:lvl w:ilvl="7" w:tplc="340A0019" w:tentative="1">
      <w:start w:val="1"/>
      <w:numFmt w:val="lowerLetter"/>
      <w:lvlText w:val="%8."/>
      <w:lvlJc w:val="left"/>
      <w:pPr>
        <w:ind w:left="6676" w:hanging="360"/>
      </w:pPr>
    </w:lvl>
    <w:lvl w:ilvl="8" w:tplc="340A001B" w:tentative="1">
      <w:start w:val="1"/>
      <w:numFmt w:val="lowerRoman"/>
      <w:lvlText w:val="%9."/>
      <w:lvlJc w:val="right"/>
      <w:pPr>
        <w:ind w:left="7396" w:hanging="180"/>
      </w:pPr>
    </w:lvl>
  </w:abstractNum>
  <w:abstractNum w:abstractNumId="26">
    <w:nsid w:val="6D8F5F45"/>
    <w:multiLevelType w:val="hybridMultilevel"/>
    <w:tmpl w:val="2FF0917E"/>
    <w:lvl w:ilvl="0" w:tplc="8FB82ABC">
      <w:start w:val="1"/>
      <w:numFmt w:val="lowerRoman"/>
      <w:lvlText w:val="%1)"/>
      <w:lvlJc w:val="left"/>
      <w:pPr>
        <w:ind w:left="1536" w:hanging="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40A0019">
      <w:start w:val="1"/>
      <w:numFmt w:val="lowerLetter"/>
      <w:lvlText w:val="%2."/>
      <w:lvlJc w:val="left"/>
      <w:pPr>
        <w:ind w:left="2256" w:hanging="360"/>
      </w:pPr>
    </w:lvl>
    <w:lvl w:ilvl="2" w:tplc="340A001B" w:tentative="1">
      <w:start w:val="1"/>
      <w:numFmt w:val="lowerRoman"/>
      <w:lvlText w:val="%3."/>
      <w:lvlJc w:val="right"/>
      <w:pPr>
        <w:ind w:left="2976" w:hanging="180"/>
      </w:pPr>
    </w:lvl>
    <w:lvl w:ilvl="3" w:tplc="340A000F" w:tentative="1">
      <w:start w:val="1"/>
      <w:numFmt w:val="decimal"/>
      <w:lvlText w:val="%4."/>
      <w:lvlJc w:val="left"/>
      <w:pPr>
        <w:ind w:left="3696" w:hanging="360"/>
      </w:pPr>
    </w:lvl>
    <w:lvl w:ilvl="4" w:tplc="340A0019" w:tentative="1">
      <w:start w:val="1"/>
      <w:numFmt w:val="lowerLetter"/>
      <w:lvlText w:val="%5."/>
      <w:lvlJc w:val="left"/>
      <w:pPr>
        <w:ind w:left="4416" w:hanging="360"/>
      </w:pPr>
    </w:lvl>
    <w:lvl w:ilvl="5" w:tplc="340A001B" w:tentative="1">
      <w:start w:val="1"/>
      <w:numFmt w:val="lowerRoman"/>
      <w:lvlText w:val="%6."/>
      <w:lvlJc w:val="right"/>
      <w:pPr>
        <w:ind w:left="5136" w:hanging="180"/>
      </w:pPr>
    </w:lvl>
    <w:lvl w:ilvl="6" w:tplc="340A000F" w:tentative="1">
      <w:start w:val="1"/>
      <w:numFmt w:val="decimal"/>
      <w:lvlText w:val="%7."/>
      <w:lvlJc w:val="left"/>
      <w:pPr>
        <w:ind w:left="5856" w:hanging="360"/>
      </w:pPr>
    </w:lvl>
    <w:lvl w:ilvl="7" w:tplc="340A0019" w:tentative="1">
      <w:start w:val="1"/>
      <w:numFmt w:val="lowerLetter"/>
      <w:lvlText w:val="%8."/>
      <w:lvlJc w:val="left"/>
      <w:pPr>
        <w:ind w:left="6576" w:hanging="360"/>
      </w:pPr>
    </w:lvl>
    <w:lvl w:ilvl="8" w:tplc="340A001B" w:tentative="1">
      <w:start w:val="1"/>
      <w:numFmt w:val="lowerRoman"/>
      <w:lvlText w:val="%9."/>
      <w:lvlJc w:val="right"/>
      <w:pPr>
        <w:ind w:left="7296" w:hanging="180"/>
      </w:pPr>
    </w:lvl>
  </w:abstractNum>
  <w:abstractNum w:abstractNumId="27">
    <w:nsid w:val="6ECF3A24"/>
    <w:multiLevelType w:val="hybridMultilevel"/>
    <w:tmpl w:val="171E588E"/>
    <w:lvl w:ilvl="0" w:tplc="2A2E85D8">
      <w:start w:val="1"/>
      <w:numFmt w:val="decimal"/>
      <w:lvlText w:val="%1)"/>
      <w:lvlJc w:val="left"/>
      <w:pPr>
        <w:ind w:left="1104" w:hanging="360"/>
      </w:pPr>
      <w:rPr>
        <w:rFonts w:hint="default"/>
        <w:i/>
      </w:rPr>
    </w:lvl>
    <w:lvl w:ilvl="1" w:tplc="140A0019" w:tentative="1">
      <w:start w:val="1"/>
      <w:numFmt w:val="lowerLetter"/>
      <w:lvlText w:val="%2."/>
      <w:lvlJc w:val="left"/>
      <w:pPr>
        <w:ind w:left="1824" w:hanging="360"/>
      </w:pPr>
    </w:lvl>
    <w:lvl w:ilvl="2" w:tplc="140A001B" w:tentative="1">
      <w:start w:val="1"/>
      <w:numFmt w:val="lowerRoman"/>
      <w:lvlText w:val="%3."/>
      <w:lvlJc w:val="right"/>
      <w:pPr>
        <w:ind w:left="2544" w:hanging="180"/>
      </w:pPr>
    </w:lvl>
    <w:lvl w:ilvl="3" w:tplc="140A000F" w:tentative="1">
      <w:start w:val="1"/>
      <w:numFmt w:val="decimal"/>
      <w:lvlText w:val="%4."/>
      <w:lvlJc w:val="left"/>
      <w:pPr>
        <w:ind w:left="3264" w:hanging="360"/>
      </w:pPr>
    </w:lvl>
    <w:lvl w:ilvl="4" w:tplc="140A0019" w:tentative="1">
      <w:start w:val="1"/>
      <w:numFmt w:val="lowerLetter"/>
      <w:lvlText w:val="%5."/>
      <w:lvlJc w:val="left"/>
      <w:pPr>
        <w:ind w:left="3984" w:hanging="360"/>
      </w:pPr>
    </w:lvl>
    <w:lvl w:ilvl="5" w:tplc="140A001B" w:tentative="1">
      <w:start w:val="1"/>
      <w:numFmt w:val="lowerRoman"/>
      <w:lvlText w:val="%6."/>
      <w:lvlJc w:val="right"/>
      <w:pPr>
        <w:ind w:left="4704" w:hanging="180"/>
      </w:pPr>
    </w:lvl>
    <w:lvl w:ilvl="6" w:tplc="140A000F" w:tentative="1">
      <w:start w:val="1"/>
      <w:numFmt w:val="decimal"/>
      <w:lvlText w:val="%7."/>
      <w:lvlJc w:val="left"/>
      <w:pPr>
        <w:ind w:left="5424" w:hanging="360"/>
      </w:pPr>
    </w:lvl>
    <w:lvl w:ilvl="7" w:tplc="140A0019" w:tentative="1">
      <w:start w:val="1"/>
      <w:numFmt w:val="lowerLetter"/>
      <w:lvlText w:val="%8."/>
      <w:lvlJc w:val="left"/>
      <w:pPr>
        <w:ind w:left="6144" w:hanging="360"/>
      </w:pPr>
    </w:lvl>
    <w:lvl w:ilvl="8" w:tplc="140A001B" w:tentative="1">
      <w:start w:val="1"/>
      <w:numFmt w:val="lowerRoman"/>
      <w:lvlText w:val="%9."/>
      <w:lvlJc w:val="right"/>
      <w:pPr>
        <w:ind w:left="6864" w:hanging="180"/>
      </w:pPr>
    </w:lvl>
  </w:abstractNum>
  <w:abstractNum w:abstractNumId="28">
    <w:nsid w:val="73194E1E"/>
    <w:multiLevelType w:val="hybridMultilevel"/>
    <w:tmpl w:val="B2A04E36"/>
    <w:lvl w:ilvl="0" w:tplc="23C20BBE">
      <w:start w:val="1"/>
      <w:numFmt w:val="decimal"/>
      <w:lvlText w:val="%1)"/>
      <w:lvlJc w:val="left"/>
      <w:pPr>
        <w:ind w:left="1080" w:hanging="360"/>
      </w:pPr>
      <w:rPr>
        <w:rFonts w:hint="default"/>
        <w:i/>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nsid w:val="735A0735"/>
    <w:multiLevelType w:val="hybridMultilevel"/>
    <w:tmpl w:val="3A1CA03C"/>
    <w:lvl w:ilvl="0" w:tplc="CE287436">
      <w:start w:val="1"/>
      <w:numFmt w:val="decimal"/>
      <w:lvlText w:val="%1."/>
      <w:lvlJc w:val="left"/>
      <w:pPr>
        <w:ind w:left="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C2039F0">
      <w:start w:val="1"/>
      <w:numFmt w:val="lowerLetter"/>
      <w:lvlText w:val="%2"/>
      <w:lvlJc w:val="left"/>
      <w:pPr>
        <w:ind w:left="11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2E63D68">
      <w:start w:val="1"/>
      <w:numFmt w:val="lowerRoman"/>
      <w:lvlText w:val="%3"/>
      <w:lvlJc w:val="left"/>
      <w:pPr>
        <w:ind w:left="18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BA69C46">
      <w:start w:val="1"/>
      <w:numFmt w:val="decimal"/>
      <w:lvlText w:val="%4"/>
      <w:lvlJc w:val="left"/>
      <w:pPr>
        <w:ind w:left="25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1F0ACEE">
      <w:start w:val="1"/>
      <w:numFmt w:val="lowerLetter"/>
      <w:lvlText w:val="%5"/>
      <w:lvlJc w:val="left"/>
      <w:pPr>
        <w:ind w:left="32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69ED5B8">
      <w:start w:val="1"/>
      <w:numFmt w:val="lowerRoman"/>
      <w:lvlText w:val="%6"/>
      <w:lvlJc w:val="left"/>
      <w:pPr>
        <w:ind w:left="39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D3E452C">
      <w:start w:val="1"/>
      <w:numFmt w:val="decimal"/>
      <w:lvlText w:val="%7"/>
      <w:lvlJc w:val="left"/>
      <w:pPr>
        <w:ind w:left="47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E86ED6C">
      <w:start w:val="1"/>
      <w:numFmt w:val="lowerLetter"/>
      <w:lvlText w:val="%8"/>
      <w:lvlJc w:val="left"/>
      <w:pPr>
        <w:ind w:left="54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47C64F6">
      <w:start w:val="1"/>
      <w:numFmt w:val="lowerRoman"/>
      <w:lvlText w:val="%9"/>
      <w:lvlJc w:val="left"/>
      <w:pPr>
        <w:ind w:left="61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nsid w:val="73A677EF"/>
    <w:multiLevelType w:val="hybridMultilevel"/>
    <w:tmpl w:val="B17084E0"/>
    <w:lvl w:ilvl="0" w:tplc="EBB4E906">
      <w:start w:val="1"/>
      <w:numFmt w:val="decimal"/>
      <w:lvlText w:val="%1)"/>
      <w:lvlJc w:val="left"/>
      <w:pPr>
        <w:ind w:left="99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182258F8">
      <w:start w:val="1"/>
      <w:numFmt w:val="lowerRoman"/>
      <w:lvlText w:val="%2)"/>
      <w:lvlJc w:val="left"/>
      <w:pPr>
        <w:ind w:left="14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78695E2">
      <w:start w:val="1"/>
      <w:numFmt w:val="lowerRoman"/>
      <w:lvlText w:val="%3"/>
      <w:lvlJc w:val="left"/>
      <w:pPr>
        <w:ind w:left="22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F52FB68">
      <w:start w:val="1"/>
      <w:numFmt w:val="decimal"/>
      <w:lvlText w:val="%4"/>
      <w:lvlJc w:val="left"/>
      <w:pPr>
        <w:ind w:left="29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F86AF24">
      <w:start w:val="1"/>
      <w:numFmt w:val="lowerLetter"/>
      <w:lvlText w:val="%5"/>
      <w:lvlJc w:val="left"/>
      <w:pPr>
        <w:ind w:left="36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68CB6D4">
      <w:start w:val="1"/>
      <w:numFmt w:val="lowerRoman"/>
      <w:lvlText w:val="%6"/>
      <w:lvlJc w:val="left"/>
      <w:pPr>
        <w:ind w:left="43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B4C990E">
      <w:start w:val="1"/>
      <w:numFmt w:val="decimal"/>
      <w:lvlText w:val="%7"/>
      <w:lvlJc w:val="left"/>
      <w:pPr>
        <w:ind w:left="50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2180B36">
      <w:start w:val="1"/>
      <w:numFmt w:val="lowerLetter"/>
      <w:lvlText w:val="%8"/>
      <w:lvlJc w:val="left"/>
      <w:pPr>
        <w:ind w:left="58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BF8BDF6">
      <w:start w:val="1"/>
      <w:numFmt w:val="lowerRoman"/>
      <w:lvlText w:val="%9"/>
      <w:lvlJc w:val="left"/>
      <w:pPr>
        <w:ind w:left="65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nsid w:val="75FB7C72"/>
    <w:multiLevelType w:val="hybridMultilevel"/>
    <w:tmpl w:val="3DB8292C"/>
    <w:lvl w:ilvl="0" w:tplc="B5D893AC">
      <w:start w:val="1"/>
      <w:numFmt w:val="upperLetter"/>
      <w:lvlText w:val="%1."/>
      <w:lvlJc w:val="left"/>
      <w:pPr>
        <w:ind w:left="450" w:hanging="360"/>
      </w:pPr>
      <w:rPr>
        <w:rFonts w:ascii="Verdana" w:hAnsi="Verdana" w:hint="default"/>
        <w:b/>
        <w:sz w:val="20"/>
        <w:szCs w:val="20"/>
      </w:rPr>
    </w:lvl>
    <w:lvl w:ilvl="1" w:tplc="323EEAAC">
      <w:start w:val="1"/>
      <w:numFmt w:val="lowerLetter"/>
      <w:lvlText w:val="%2."/>
      <w:lvlJc w:val="left"/>
      <w:pPr>
        <w:ind w:left="1440" w:hanging="360"/>
      </w:pPr>
    </w:lvl>
    <w:lvl w:ilvl="2" w:tplc="B96C1A40"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0"/>
  </w:num>
  <w:num w:numId="2">
    <w:abstractNumId w:val="5"/>
  </w:num>
  <w:num w:numId="3">
    <w:abstractNumId w:val="17"/>
  </w:num>
  <w:num w:numId="4">
    <w:abstractNumId w:val="18"/>
  </w:num>
  <w:num w:numId="5">
    <w:abstractNumId w:val="26"/>
  </w:num>
  <w:num w:numId="6">
    <w:abstractNumId w:val="9"/>
  </w:num>
  <w:num w:numId="7">
    <w:abstractNumId w:val="25"/>
  </w:num>
  <w:num w:numId="8">
    <w:abstractNumId w:val="0"/>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
  </w:num>
  <w:num w:numId="13">
    <w:abstractNumId w:val="8"/>
  </w:num>
  <w:num w:numId="14">
    <w:abstractNumId w:val="16"/>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0"/>
  </w:num>
  <w:num w:numId="19">
    <w:abstractNumId w:val="28"/>
  </w:num>
  <w:num w:numId="20">
    <w:abstractNumId w:val="24"/>
  </w:num>
  <w:num w:numId="21">
    <w:abstractNumId w:val="29"/>
  </w:num>
  <w:num w:numId="22">
    <w:abstractNumId w:val="13"/>
  </w:num>
  <w:num w:numId="23">
    <w:abstractNumId w:val="21"/>
  </w:num>
  <w:num w:numId="24">
    <w:abstractNumId w:val="14"/>
  </w:num>
  <w:num w:numId="25">
    <w:abstractNumId w:val="31"/>
  </w:num>
  <w:num w:numId="26">
    <w:abstractNumId w:val="19"/>
  </w:num>
  <w:num w:numId="27">
    <w:abstractNumId w:val="22"/>
  </w:num>
  <w:num w:numId="28">
    <w:abstractNumId w:val="11"/>
  </w:num>
  <w:num w:numId="29">
    <w:abstractNumId w:val="1"/>
  </w:num>
  <w:num w:numId="30">
    <w:abstractNumId w:val="7"/>
  </w:num>
  <w:num w:numId="31">
    <w:abstractNumId w:val="27"/>
  </w:num>
  <w:num w:numId="32">
    <w:abstractNumId w:val="1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F39"/>
    <w:rsid w:val="00010971"/>
    <w:rsid w:val="000204E6"/>
    <w:rsid w:val="000413A1"/>
    <w:rsid w:val="00081EEB"/>
    <w:rsid w:val="00083DA6"/>
    <w:rsid w:val="00092720"/>
    <w:rsid w:val="00093696"/>
    <w:rsid w:val="000A1784"/>
    <w:rsid w:val="000E0138"/>
    <w:rsid w:val="00114790"/>
    <w:rsid w:val="001262FE"/>
    <w:rsid w:val="00130C2D"/>
    <w:rsid w:val="00146F46"/>
    <w:rsid w:val="00153313"/>
    <w:rsid w:val="00153D74"/>
    <w:rsid w:val="00156CCB"/>
    <w:rsid w:val="00162737"/>
    <w:rsid w:val="001665B7"/>
    <w:rsid w:val="0018211E"/>
    <w:rsid w:val="00183CD7"/>
    <w:rsid w:val="00184B2B"/>
    <w:rsid w:val="00194BCD"/>
    <w:rsid w:val="0019581A"/>
    <w:rsid w:val="001B0FC2"/>
    <w:rsid w:val="001C165B"/>
    <w:rsid w:val="001E0EAE"/>
    <w:rsid w:val="001E35DD"/>
    <w:rsid w:val="00207D50"/>
    <w:rsid w:val="002162F8"/>
    <w:rsid w:val="00216F4C"/>
    <w:rsid w:val="00227FCC"/>
    <w:rsid w:val="002314B3"/>
    <w:rsid w:val="00242BD8"/>
    <w:rsid w:val="00245535"/>
    <w:rsid w:val="0026160F"/>
    <w:rsid w:val="00267A67"/>
    <w:rsid w:val="00270712"/>
    <w:rsid w:val="00272CCA"/>
    <w:rsid w:val="002816B6"/>
    <w:rsid w:val="0028695F"/>
    <w:rsid w:val="002951EA"/>
    <w:rsid w:val="00296216"/>
    <w:rsid w:val="002A11A3"/>
    <w:rsid w:val="002A3F6B"/>
    <w:rsid w:val="002B37F6"/>
    <w:rsid w:val="002C3B93"/>
    <w:rsid w:val="002C606C"/>
    <w:rsid w:val="002C72DF"/>
    <w:rsid w:val="0030049B"/>
    <w:rsid w:val="0031004C"/>
    <w:rsid w:val="0032158C"/>
    <w:rsid w:val="00322472"/>
    <w:rsid w:val="00326592"/>
    <w:rsid w:val="00327600"/>
    <w:rsid w:val="0033328B"/>
    <w:rsid w:val="00337183"/>
    <w:rsid w:val="003435DE"/>
    <w:rsid w:val="0034435E"/>
    <w:rsid w:val="00350FD3"/>
    <w:rsid w:val="003617BF"/>
    <w:rsid w:val="00395C74"/>
    <w:rsid w:val="003A04A0"/>
    <w:rsid w:val="003A5BE8"/>
    <w:rsid w:val="003B6CC5"/>
    <w:rsid w:val="003C6B86"/>
    <w:rsid w:val="003D3906"/>
    <w:rsid w:val="003D40C1"/>
    <w:rsid w:val="003E6A05"/>
    <w:rsid w:val="004004F6"/>
    <w:rsid w:val="00436F08"/>
    <w:rsid w:val="004407EF"/>
    <w:rsid w:val="0044698C"/>
    <w:rsid w:val="004521D3"/>
    <w:rsid w:val="004828D4"/>
    <w:rsid w:val="004949FA"/>
    <w:rsid w:val="0049553D"/>
    <w:rsid w:val="00495E90"/>
    <w:rsid w:val="004A3B74"/>
    <w:rsid w:val="004B0FBB"/>
    <w:rsid w:val="004B67CE"/>
    <w:rsid w:val="004D3790"/>
    <w:rsid w:val="004D5666"/>
    <w:rsid w:val="004D6E53"/>
    <w:rsid w:val="00525D19"/>
    <w:rsid w:val="00531DEF"/>
    <w:rsid w:val="00532D7D"/>
    <w:rsid w:val="0053581B"/>
    <w:rsid w:val="00545B10"/>
    <w:rsid w:val="005467D5"/>
    <w:rsid w:val="0055238E"/>
    <w:rsid w:val="00561C56"/>
    <w:rsid w:val="00567DFC"/>
    <w:rsid w:val="0057095F"/>
    <w:rsid w:val="0057134A"/>
    <w:rsid w:val="00580E32"/>
    <w:rsid w:val="0058134A"/>
    <w:rsid w:val="00582851"/>
    <w:rsid w:val="005B3358"/>
    <w:rsid w:val="005D1530"/>
    <w:rsid w:val="005E3F28"/>
    <w:rsid w:val="00605627"/>
    <w:rsid w:val="0061211D"/>
    <w:rsid w:val="0061318C"/>
    <w:rsid w:val="00614B5A"/>
    <w:rsid w:val="00617DA2"/>
    <w:rsid w:val="00620AE9"/>
    <w:rsid w:val="00630DCE"/>
    <w:rsid w:val="00635556"/>
    <w:rsid w:val="00636CAB"/>
    <w:rsid w:val="00640855"/>
    <w:rsid w:val="0065494A"/>
    <w:rsid w:val="006629BF"/>
    <w:rsid w:val="006836D2"/>
    <w:rsid w:val="00685692"/>
    <w:rsid w:val="006B0A54"/>
    <w:rsid w:val="006B39CF"/>
    <w:rsid w:val="006D59A4"/>
    <w:rsid w:val="006E6112"/>
    <w:rsid w:val="006E76FE"/>
    <w:rsid w:val="0071405F"/>
    <w:rsid w:val="00717F67"/>
    <w:rsid w:val="00720691"/>
    <w:rsid w:val="00743C01"/>
    <w:rsid w:val="007457C5"/>
    <w:rsid w:val="007506F1"/>
    <w:rsid w:val="0075334F"/>
    <w:rsid w:val="00754F7A"/>
    <w:rsid w:val="00761607"/>
    <w:rsid w:val="00764D28"/>
    <w:rsid w:val="00771124"/>
    <w:rsid w:val="007925B1"/>
    <w:rsid w:val="00792BAE"/>
    <w:rsid w:val="007A014F"/>
    <w:rsid w:val="007C2770"/>
    <w:rsid w:val="007D23F7"/>
    <w:rsid w:val="007E5D4E"/>
    <w:rsid w:val="00810CDC"/>
    <w:rsid w:val="00814D7C"/>
    <w:rsid w:val="00840C0F"/>
    <w:rsid w:val="00860D8C"/>
    <w:rsid w:val="00867B3A"/>
    <w:rsid w:val="00872614"/>
    <w:rsid w:val="0088306E"/>
    <w:rsid w:val="00883EB3"/>
    <w:rsid w:val="00894C8C"/>
    <w:rsid w:val="008A136E"/>
    <w:rsid w:val="008D4BF2"/>
    <w:rsid w:val="008D4C24"/>
    <w:rsid w:val="008E4B20"/>
    <w:rsid w:val="008F1FF1"/>
    <w:rsid w:val="00905380"/>
    <w:rsid w:val="00905B6E"/>
    <w:rsid w:val="00914D65"/>
    <w:rsid w:val="00921CB4"/>
    <w:rsid w:val="009303D0"/>
    <w:rsid w:val="00934F51"/>
    <w:rsid w:val="00936F60"/>
    <w:rsid w:val="00937DD9"/>
    <w:rsid w:val="00943930"/>
    <w:rsid w:val="00955416"/>
    <w:rsid w:val="00966521"/>
    <w:rsid w:val="009666D5"/>
    <w:rsid w:val="00986A32"/>
    <w:rsid w:val="009901FC"/>
    <w:rsid w:val="009A7725"/>
    <w:rsid w:val="009C3204"/>
    <w:rsid w:val="009C42D3"/>
    <w:rsid w:val="009D7796"/>
    <w:rsid w:val="009E4DE8"/>
    <w:rsid w:val="00A00249"/>
    <w:rsid w:val="00A02FBA"/>
    <w:rsid w:val="00A22095"/>
    <w:rsid w:val="00A23ABA"/>
    <w:rsid w:val="00A27554"/>
    <w:rsid w:val="00A44EA3"/>
    <w:rsid w:val="00A52BAF"/>
    <w:rsid w:val="00A56F2D"/>
    <w:rsid w:val="00A64BAC"/>
    <w:rsid w:val="00A710EE"/>
    <w:rsid w:val="00A879E6"/>
    <w:rsid w:val="00A937FA"/>
    <w:rsid w:val="00AA15F8"/>
    <w:rsid w:val="00AA5142"/>
    <w:rsid w:val="00AC0D2C"/>
    <w:rsid w:val="00B1477D"/>
    <w:rsid w:val="00B208C4"/>
    <w:rsid w:val="00B265EC"/>
    <w:rsid w:val="00B53AF0"/>
    <w:rsid w:val="00B54073"/>
    <w:rsid w:val="00B5474F"/>
    <w:rsid w:val="00B83EF2"/>
    <w:rsid w:val="00B90841"/>
    <w:rsid w:val="00B9790E"/>
    <w:rsid w:val="00BA0EAA"/>
    <w:rsid w:val="00BC1799"/>
    <w:rsid w:val="00BC38A8"/>
    <w:rsid w:val="00BD4C4C"/>
    <w:rsid w:val="00BF57C7"/>
    <w:rsid w:val="00C02B62"/>
    <w:rsid w:val="00C205E2"/>
    <w:rsid w:val="00C232A8"/>
    <w:rsid w:val="00C23A89"/>
    <w:rsid w:val="00C24BFE"/>
    <w:rsid w:val="00C2739F"/>
    <w:rsid w:val="00C30CA1"/>
    <w:rsid w:val="00C37B4A"/>
    <w:rsid w:val="00C44E55"/>
    <w:rsid w:val="00C51AF5"/>
    <w:rsid w:val="00C524AC"/>
    <w:rsid w:val="00C61A8D"/>
    <w:rsid w:val="00C67D77"/>
    <w:rsid w:val="00C94FC4"/>
    <w:rsid w:val="00CA2B18"/>
    <w:rsid w:val="00CA2F39"/>
    <w:rsid w:val="00CC5521"/>
    <w:rsid w:val="00CD605A"/>
    <w:rsid w:val="00CE2625"/>
    <w:rsid w:val="00CF0605"/>
    <w:rsid w:val="00CF17AA"/>
    <w:rsid w:val="00CF7C36"/>
    <w:rsid w:val="00D17417"/>
    <w:rsid w:val="00D27641"/>
    <w:rsid w:val="00D36764"/>
    <w:rsid w:val="00D37714"/>
    <w:rsid w:val="00D427A0"/>
    <w:rsid w:val="00D52D8E"/>
    <w:rsid w:val="00D65D14"/>
    <w:rsid w:val="00D65E1C"/>
    <w:rsid w:val="00D74396"/>
    <w:rsid w:val="00D77DE7"/>
    <w:rsid w:val="00DA4EE2"/>
    <w:rsid w:val="00DB7E3A"/>
    <w:rsid w:val="00DC3053"/>
    <w:rsid w:val="00DD0086"/>
    <w:rsid w:val="00DE7C1D"/>
    <w:rsid w:val="00DF0DD5"/>
    <w:rsid w:val="00DF434C"/>
    <w:rsid w:val="00E00628"/>
    <w:rsid w:val="00E14519"/>
    <w:rsid w:val="00E14EE0"/>
    <w:rsid w:val="00E35D27"/>
    <w:rsid w:val="00E3616E"/>
    <w:rsid w:val="00E531F0"/>
    <w:rsid w:val="00E630CB"/>
    <w:rsid w:val="00E640A4"/>
    <w:rsid w:val="00EA3FE7"/>
    <w:rsid w:val="00EB38B2"/>
    <w:rsid w:val="00EE050C"/>
    <w:rsid w:val="00EE0F27"/>
    <w:rsid w:val="00EE4811"/>
    <w:rsid w:val="00EF44EB"/>
    <w:rsid w:val="00EF5C77"/>
    <w:rsid w:val="00F01A28"/>
    <w:rsid w:val="00F03CF5"/>
    <w:rsid w:val="00F10BA6"/>
    <w:rsid w:val="00F2361B"/>
    <w:rsid w:val="00F259E0"/>
    <w:rsid w:val="00F33BF3"/>
    <w:rsid w:val="00F65D53"/>
    <w:rsid w:val="00F851A9"/>
    <w:rsid w:val="00F91549"/>
    <w:rsid w:val="00F91F6D"/>
    <w:rsid w:val="00FA6AE9"/>
    <w:rsid w:val="00FA760F"/>
    <w:rsid w:val="00FB4D6A"/>
    <w:rsid w:val="00FC161B"/>
    <w:rsid w:val="00FC4759"/>
    <w:rsid w:val="00FC48C1"/>
    <w:rsid w:val="00FC5DDD"/>
    <w:rsid w:val="00FD2CA5"/>
    <w:rsid w:val="00FE03B0"/>
    <w:rsid w:val="00FE338F"/>
    <w:rsid w:val="00FE7594"/>
    <w:rsid w:val="00FF2AA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F39"/>
    <w:pPr>
      <w:spacing w:after="4" w:line="249" w:lineRule="auto"/>
      <w:ind w:left="34" w:right="58" w:hanging="10"/>
      <w:jc w:val="both"/>
    </w:pPr>
    <w:rPr>
      <w:rFonts w:ascii="Verdana" w:eastAsia="Verdana" w:hAnsi="Verdana" w:cs="Verdana"/>
      <w:color w:val="000000"/>
      <w:sz w:val="20"/>
      <w:lang w:val="es-CL"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Colorful List - Accent 11,List Paragraph2,List Paragraph1,Párrafo de lista1,Lista vistosa - Énfasis 11,Subtle Emphasis1,Footnote1"/>
    <w:basedOn w:val="Normal"/>
    <w:link w:val="ListParagraphChar"/>
    <w:uiPriority w:val="34"/>
    <w:qFormat/>
    <w:rsid w:val="00CA2F39"/>
    <w:pPr>
      <w:ind w:left="720"/>
      <w:contextualSpacing/>
    </w:pPr>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uiPriority w:val="99"/>
    <w:unhideWhenUsed/>
    <w:qFormat/>
    <w:rsid w:val="00CA2F39"/>
    <w:pPr>
      <w:spacing w:after="0" w:line="240" w:lineRule="auto"/>
    </w:pPr>
    <w:rPr>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uiPriority w:val="99"/>
    <w:rsid w:val="00CA2F39"/>
    <w:rPr>
      <w:rFonts w:ascii="Verdana" w:eastAsia="Verdana" w:hAnsi="Verdana" w:cs="Verdana"/>
      <w:color w:val="000000"/>
      <w:sz w:val="20"/>
      <w:szCs w:val="20"/>
      <w:lang w:val="es-CL" w:eastAsia="es-CL"/>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uiPriority w:val="99"/>
    <w:unhideWhenUsed/>
    <w:qFormat/>
    <w:rsid w:val="00CA2F39"/>
    <w:rPr>
      <w:vertAlign w:val="superscript"/>
    </w:rPr>
  </w:style>
  <w:style w:type="character" w:styleId="CommentReference">
    <w:name w:val="annotation reference"/>
    <w:basedOn w:val="DefaultParagraphFont"/>
    <w:uiPriority w:val="99"/>
    <w:semiHidden/>
    <w:unhideWhenUsed/>
    <w:rsid w:val="00CA2F39"/>
    <w:rPr>
      <w:sz w:val="16"/>
      <w:szCs w:val="16"/>
    </w:rPr>
  </w:style>
  <w:style w:type="paragraph" w:styleId="CommentText">
    <w:name w:val="annotation text"/>
    <w:basedOn w:val="Normal"/>
    <w:link w:val="CommentTextChar"/>
    <w:uiPriority w:val="99"/>
    <w:semiHidden/>
    <w:unhideWhenUsed/>
    <w:rsid w:val="00CA2F39"/>
    <w:pPr>
      <w:spacing w:line="240" w:lineRule="auto"/>
    </w:pPr>
    <w:rPr>
      <w:szCs w:val="20"/>
    </w:rPr>
  </w:style>
  <w:style w:type="character" w:customStyle="1" w:styleId="CommentTextChar">
    <w:name w:val="Comment Text Char"/>
    <w:basedOn w:val="DefaultParagraphFont"/>
    <w:link w:val="CommentText"/>
    <w:uiPriority w:val="99"/>
    <w:semiHidden/>
    <w:rsid w:val="00CA2F39"/>
    <w:rPr>
      <w:rFonts w:ascii="Verdana" w:eastAsia="Verdana" w:hAnsi="Verdana" w:cs="Verdana"/>
      <w:color w:val="000000"/>
      <w:sz w:val="20"/>
      <w:szCs w:val="20"/>
      <w:lang w:val="es-CL" w:eastAsia="es-CL"/>
    </w:rPr>
  </w:style>
  <w:style w:type="paragraph" w:customStyle="1" w:styleId="Normal1">
    <w:name w:val="Normal1"/>
    <w:rsid w:val="00CA2F39"/>
    <w:pPr>
      <w:widowControl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2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F39"/>
    <w:rPr>
      <w:rFonts w:ascii="Tahoma" w:eastAsia="Verdana" w:hAnsi="Tahoma" w:cs="Tahoma"/>
      <w:color w:val="000000"/>
      <w:sz w:val="16"/>
      <w:szCs w:val="16"/>
      <w:lang w:val="es-CL" w:eastAsia="es-CL"/>
    </w:rPr>
  </w:style>
  <w:style w:type="paragraph" w:styleId="Footer">
    <w:name w:val="footer"/>
    <w:basedOn w:val="Normal"/>
    <w:link w:val="FooterChar"/>
    <w:uiPriority w:val="99"/>
    <w:unhideWhenUsed/>
    <w:rsid w:val="00914D65"/>
    <w:pPr>
      <w:tabs>
        <w:tab w:val="center" w:pos="4419"/>
        <w:tab w:val="right" w:pos="8838"/>
      </w:tabs>
      <w:spacing w:after="0" w:line="240" w:lineRule="auto"/>
    </w:pPr>
  </w:style>
  <w:style w:type="character" w:customStyle="1" w:styleId="FooterChar">
    <w:name w:val="Footer Char"/>
    <w:basedOn w:val="DefaultParagraphFont"/>
    <w:link w:val="Footer"/>
    <w:uiPriority w:val="99"/>
    <w:rsid w:val="00914D65"/>
    <w:rPr>
      <w:rFonts w:ascii="Verdana" w:eastAsia="Verdana" w:hAnsi="Verdana" w:cs="Verdana"/>
      <w:color w:val="000000"/>
      <w:sz w:val="20"/>
      <w:lang w:val="es-CL" w:eastAsia="es-CL"/>
    </w:rPr>
  </w:style>
  <w:style w:type="paragraph" w:styleId="CommentSubject">
    <w:name w:val="annotation subject"/>
    <w:basedOn w:val="CommentText"/>
    <w:next w:val="CommentText"/>
    <w:link w:val="CommentSubjectChar"/>
    <w:uiPriority w:val="99"/>
    <w:semiHidden/>
    <w:unhideWhenUsed/>
    <w:rsid w:val="001E35DD"/>
    <w:rPr>
      <w:b/>
      <w:bCs/>
    </w:rPr>
  </w:style>
  <w:style w:type="character" w:customStyle="1" w:styleId="CommentSubjectChar">
    <w:name w:val="Comment Subject Char"/>
    <w:basedOn w:val="CommentTextChar"/>
    <w:link w:val="CommentSubject"/>
    <w:uiPriority w:val="99"/>
    <w:semiHidden/>
    <w:rsid w:val="001E35DD"/>
    <w:rPr>
      <w:rFonts w:ascii="Verdana" w:eastAsia="Verdana" w:hAnsi="Verdana" w:cs="Verdana"/>
      <w:b/>
      <w:bCs/>
      <w:color w:val="000000"/>
      <w:sz w:val="20"/>
      <w:szCs w:val="20"/>
      <w:lang w:val="es-CL" w:eastAsia="es-CL"/>
    </w:rPr>
  </w:style>
  <w:style w:type="character" w:customStyle="1" w:styleId="ListParagraphChar">
    <w:name w:val="List Paragraph Char"/>
    <w:aliases w:val="Footnote Char,Colorful List - Accent 11 Char,List Paragraph2 Char,List Paragraph1 Char,Párrafo de lista1 Char,Lista vistosa - Énfasis 11 Char,Subtle Emphasis1 Char,Footnote1 Char"/>
    <w:link w:val="ListParagraph"/>
    <w:uiPriority w:val="34"/>
    <w:rsid w:val="00327600"/>
    <w:rPr>
      <w:rFonts w:ascii="Verdana" w:eastAsia="Verdana" w:hAnsi="Verdana" w:cs="Verdana"/>
      <w:color w:val="000000"/>
      <w:sz w:val="20"/>
      <w:lang w:val="es-CL" w:eastAsia="es-CL"/>
    </w:rPr>
  </w:style>
  <w:style w:type="character" w:styleId="Strong">
    <w:name w:val="Strong"/>
    <w:basedOn w:val="DefaultParagraphFont"/>
    <w:uiPriority w:val="22"/>
    <w:qFormat/>
    <w:rsid w:val="004949FA"/>
    <w:rPr>
      <w:b/>
      <w:bCs/>
    </w:rPr>
  </w:style>
  <w:style w:type="paragraph" w:styleId="Revision">
    <w:name w:val="Revision"/>
    <w:hidden/>
    <w:uiPriority w:val="99"/>
    <w:semiHidden/>
    <w:rsid w:val="00582851"/>
    <w:pPr>
      <w:spacing w:after="0" w:line="240" w:lineRule="auto"/>
    </w:pPr>
    <w:rPr>
      <w:rFonts w:ascii="Verdana" w:eastAsia="Verdana" w:hAnsi="Verdana" w:cs="Verdana"/>
      <w:color w:val="000000"/>
      <w:sz w:val="20"/>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F39"/>
    <w:pPr>
      <w:spacing w:after="4" w:line="249" w:lineRule="auto"/>
      <w:ind w:left="34" w:right="58" w:hanging="10"/>
      <w:jc w:val="both"/>
    </w:pPr>
    <w:rPr>
      <w:rFonts w:ascii="Verdana" w:eastAsia="Verdana" w:hAnsi="Verdana" w:cs="Verdana"/>
      <w:color w:val="000000"/>
      <w:sz w:val="20"/>
      <w:lang w:val="es-CL"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Colorful List - Accent 11,List Paragraph2,List Paragraph1,Párrafo de lista1,Lista vistosa - Énfasis 11,Subtle Emphasis1,Footnote1"/>
    <w:basedOn w:val="Normal"/>
    <w:link w:val="ListParagraphChar"/>
    <w:uiPriority w:val="34"/>
    <w:qFormat/>
    <w:rsid w:val="00CA2F39"/>
    <w:pPr>
      <w:ind w:left="720"/>
      <w:contextualSpacing/>
    </w:pPr>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uiPriority w:val="99"/>
    <w:unhideWhenUsed/>
    <w:qFormat/>
    <w:rsid w:val="00CA2F39"/>
    <w:pPr>
      <w:spacing w:after="0" w:line="240" w:lineRule="auto"/>
    </w:pPr>
    <w:rPr>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uiPriority w:val="99"/>
    <w:rsid w:val="00CA2F39"/>
    <w:rPr>
      <w:rFonts w:ascii="Verdana" w:eastAsia="Verdana" w:hAnsi="Verdana" w:cs="Verdana"/>
      <w:color w:val="000000"/>
      <w:sz w:val="20"/>
      <w:szCs w:val="20"/>
      <w:lang w:val="es-CL" w:eastAsia="es-CL"/>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uiPriority w:val="99"/>
    <w:unhideWhenUsed/>
    <w:qFormat/>
    <w:rsid w:val="00CA2F39"/>
    <w:rPr>
      <w:vertAlign w:val="superscript"/>
    </w:rPr>
  </w:style>
  <w:style w:type="character" w:styleId="CommentReference">
    <w:name w:val="annotation reference"/>
    <w:basedOn w:val="DefaultParagraphFont"/>
    <w:uiPriority w:val="99"/>
    <w:semiHidden/>
    <w:unhideWhenUsed/>
    <w:rsid w:val="00CA2F39"/>
    <w:rPr>
      <w:sz w:val="16"/>
      <w:szCs w:val="16"/>
    </w:rPr>
  </w:style>
  <w:style w:type="paragraph" w:styleId="CommentText">
    <w:name w:val="annotation text"/>
    <w:basedOn w:val="Normal"/>
    <w:link w:val="CommentTextChar"/>
    <w:uiPriority w:val="99"/>
    <w:semiHidden/>
    <w:unhideWhenUsed/>
    <w:rsid w:val="00CA2F39"/>
    <w:pPr>
      <w:spacing w:line="240" w:lineRule="auto"/>
    </w:pPr>
    <w:rPr>
      <w:szCs w:val="20"/>
    </w:rPr>
  </w:style>
  <w:style w:type="character" w:customStyle="1" w:styleId="CommentTextChar">
    <w:name w:val="Comment Text Char"/>
    <w:basedOn w:val="DefaultParagraphFont"/>
    <w:link w:val="CommentText"/>
    <w:uiPriority w:val="99"/>
    <w:semiHidden/>
    <w:rsid w:val="00CA2F39"/>
    <w:rPr>
      <w:rFonts w:ascii="Verdana" w:eastAsia="Verdana" w:hAnsi="Verdana" w:cs="Verdana"/>
      <w:color w:val="000000"/>
      <w:sz w:val="20"/>
      <w:szCs w:val="20"/>
      <w:lang w:val="es-CL" w:eastAsia="es-CL"/>
    </w:rPr>
  </w:style>
  <w:style w:type="paragraph" w:customStyle="1" w:styleId="Normal1">
    <w:name w:val="Normal1"/>
    <w:rsid w:val="00CA2F39"/>
    <w:pPr>
      <w:widowControl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2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F39"/>
    <w:rPr>
      <w:rFonts w:ascii="Tahoma" w:eastAsia="Verdana" w:hAnsi="Tahoma" w:cs="Tahoma"/>
      <w:color w:val="000000"/>
      <w:sz w:val="16"/>
      <w:szCs w:val="16"/>
      <w:lang w:val="es-CL" w:eastAsia="es-CL"/>
    </w:rPr>
  </w:style>
  <w:style w:type="paragraph" w:styleId="Footer">
    <w:name w:val="footer"/>
    <w:basedOn w:val="Normal"/>
    <w:link w:val="FooterChar"/>
    <w:uiPriority w:val="99"/>
    <w:unhideWhenUsed/>
    <w:rsid w:val="00914D65"/>
    <w:pPr>
      <w:tabs>
        <w:tab w:val="center" w:pos="4419"/>
        <w:tab w:val="right" w:pos="8838"/>
      </w:tabs>
      <w:spacing w:after="0" w:line="240" w:lineRule="auto"/>
    </w:pPr>
  </w:style>
  <w:style w:type="character" w:customStyle="1" w:styleId="FooterChar">
    <w:name w:val="Footer Char"/>
    <w:basedOn w:val="DefaultParagraphFont"/>
    <w:link w:val="Footer"/>
    <w:uiPriority w:val="99"/>
    <w:rsid w:val="00914D65"/>
    <w:rPr>
      <w:rFonts w:ascii="Verdana" w:eastAsia="Verdana" w:hAnsi="Verdana" w:cs="Verdana"/>
      <w:color w:val="000000"/>
      <w:sz w:val="20"/>
      <w:lang w:val="es-CL" w:eastAsia="es-CL"/>
    </w:rPr>
  </w:style>
  <w:style w:type="paragraph" w:styleId="CommentSubject">
    <w:name w:val="annotation subject"/>
    <w:basedOn w:val="CommentText"/>
    <w:next w:val="CommentText"/>
    <w:link w:val="CommentSubjectChar"/>
    <w:uiPriority w:val="99"/>
    <w:semiHidden/>
    <w:unhideWhenUsed/>
    <w:rsid w:val="001E35DD"/>
    <w:rPr>
      <w:b/>
      <w:bCs/>
    </w:rPr>
  </w:style>
  <w:style w:type="character" w:customStyle="1" w:styleId="CommentSubjectChar">
    <w:name w:val="Comment Subject Char"/>
    <w:basedOn w:val="CommentTextChar"/>
    <w:link w:val="CommentSubject"/>
    <w:uiPriority w:val="99"/>
    <w:semiHidden/>
    <w:rsid w:val="001E35DD"/>
    <w:rPr>
      <w:rFonts w:ascii="Verdana" w:eastAsia="Verdana" w:hAnsi="Verdana" w:cs="Verdana"/>
      <w:b/>
      <w:bCs/>
      <w:color w:val="000000"/>
      <w:sz w:val="20"/>
      <w:szCs w:val="20"/>
      <w:lang w:val="es-CL" w:eastAsia="es-CL"/>
    </w:rPr>
  </w:style>
  <w:style w:type="character" w:customStyle="1" w:styleId="ListParagraphChar">
    <w:name w:val="List Paragraph Char"/>
    <w:aliases w:val="Footnote Char,Colorful List - Accent 11 Char,List Paragraph2 Char,List Paragraph1 Char,Párrafo de lista1 Char,Lista vistosa - Énfasis 11 Char,Subtle Emphasis1 Char,Footnote1 Char"/>
    <w:link w:val="ListParagraph"/>
    <w:uiPriority w:val="34"/>
    <w:rsid w:val="00327600"/>
    <w:rPr>
      <w:rFonts w:ascii="Verdana" w:eastAsia="Verdana" w:hAnsi="Verdana" w:cs="Verdana"/>
      <w:color w:val="000000"/>
      <w:sz w:val="20"/>
      <w:lang w:val="es-CL" w:eastAsia="es-CL"/>
    </w:rPr>
  </w:style>
  <w:style w:type="character" w:styleId="Strong">
    <w:name w:val="Strong"/>
    <w:basedOn w:val="DefaultParagraphFont"/>
    <w:uiPriority w:val="22"/>
    <w:qFormat/>
    <w:rsid w:val="004949FA"/>
    <w:rPr>
      <w:b/>
      <w:bCs/>
    </w:rPr>
  </w:style>
  <w:style w:type="paragraph" w:styleId="Revision">
    <w:name w:val="Revision"/>
    <w:hidden/>
    <w:uiPriority w:val="99"/>
    <w:semiHidden/>
    <w:rsid w:val="00582851"/>
    <w:pPr>
      <w:spacing w:after="0" w:line="240" w:lineRule="auto"/>
    </w:pPr>
    <w:rPr>
      <w:rFonts w:ascii="Verdana" w:eastAsia="Verdana" w:hAnsi="Verdana" w:cs="Verdana"/>
      <w:color w:val="000000"/>
      <w:sz w:val="20"/>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8647">
      <w:bodyDiv w:val="1"/>
      <w:marLeft w:val="0"/>
      <w:marRight w:val="0"/>
      <w:marTop w:val="0"/>
      <w:marBottom w:val="0"/>
      <w:divBdr>
        <w:top w:val="none" w:sz="0" w:space="0" w:color="auto"/>
        <w:left w:val="none" w:sz="0" w:space="0" w:color="auto"/>
        <w:bottom w:val="none" w:sz="0" w:space="0" w:color="auto"/>
        <w:right w:val="none" w:sz="0" w:space="0" w:color="auto"/>
      </w:divBdr>
    </w:div>
    <w:div w:id="363333684">
      <w:bodyDiv w:val="1"/>
      <w:marLeft w:val="0"/>
      <w:marRight w:val="0"/>
      <w:marTop w:val="0"/>
      <w:marBottom w:val="0"/>
      <w:divBdr>
        <w:top w:val="none" w:sz="0" w:space="0" w:color="auto"/>
        <w:left w:val="none" w:sz="0" w:space="0" w:color="auto"/>
        <w:bottom w:val="none" w:sz="0" w:space="0" w:color="auto"/>
        <w:right w:val="none" w:sz="0" w:space="0" w:color="auto"/>
      </w:divBdr>
    </w:div>
    <w:div w:id="125169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854CC-CA60-46A0-B933-34BB5D69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5980</Words>
  <Characters>32892</Characters>
  <Application>Microsoft Office Word</Application>
  <DocSecurity>0</DocSecurity>
  <Lines>274</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38795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2</cp:revision>
  <cp:lastPrinted>2019-02-15T15:44:00Z</cp:lastPrinted>
  <dcterms:created xsi:type="dcterms:W3CDTF">2019-02-15T16:03:00Z</dcterms:created>
  <dcterms:modified xsi:type="dcterms:W3CDTF">2019-02-15T16:03:00Z</dcterms:modified>
</cp:coreProperties>
</file>