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C3" w:rsidRPr="00041AE6" w:rsidRDefault="00D427B6" w:rsidP="002B39C3">
      <w:pPr>
        <w:spacing w:after="0" w:line="240" w:lineRule="auto"/>
        <w:rPr>
          <w:rFonts w:ascii="Verdana" w:hAnsi="Verdana"/>
          <w:sz w:val="20"/>
          <w:szCs w:val="20"/>
          <w:lang w:val="es-ES"/>
        </w:rPr>
      </w:pPr>
      <w:r>
        <w:rPr>
          <w:rFonts w:ascii="Verdana" w:hAnsi="Verdana"/>
          <w:sz w:val="20"/>
          <w:szCs w:val="20"/>
          <w:lang w:val="es-ES"/>
        </w:rPr>
        <w:t xml:space="preserve">   </w:t>
      </w:r>
      <w:bookmarkStart w:id="0" w:name="_GoBack"/>
      <w:bookmarkEnd w:id="0"/>
    </w:p>
    <w:p w:rsidR="002B39C3" w:rsidRPr="00041AE6" w:rsidRDefault="002B39C3" w:rsidP="002B39C3">
      <w:pPr>
        <w:spacing w:after="0" w:line="240" w:lineRule="auto"/>
        <w:rPr>
          <w:rFonts w:ascii="Verdana" w:hAnsi="Verdana"/>
          <w:sz w:val="20"/>
          <w:szCs w:val="20"/>
          <w:lang w:val="es-ES"/>
        </w:rPr>
      </w:pPr>
    </w:p>
    <w:p w:rsidR="002B39C3" w:rsidRPr="00041AE6" w:rsidRDefault="002B39C3" w:rsidP="002B39C3">
      <w:pPr>
        <w:spacing w:after="0" w:line="240" w:lineRule="auto"/>
        <w:rPr>
          <w:rFonts w:ascii="Verdana" w:hAnsi="Verdana"/>
          <w:sz w:val="20"/>
          <w:szCs w:val="20"/>
          <w:lang w:val="es-ES"/>
        </w:rPr>
      </w:pPr>
    </w:p>
    <w:p w:rsidR="002B39C3" w:rsidRPr="00041AE6" w:rsidRDefault="002B39C3" w:rsidP="002B39C3">
      <w:pPr>
        <w:spacing w:after="0" w:line="240" w:lineRule="auto"/>
        <w:jc w:val="center"/>
        <w:rPr>
          <w:rFonts w:ascii="Verdana" w:hAnsi="Verdana"/>
          <w:b/>
          <w:sz w:val="20"/>
          <w:szCs w:val="20"/>
          <w:lang w:val="es-ES"/>
        </w:rPr>
      </w:pPr>
      <w:r w:rsidRPr="00041AE6">
        <w:rPr>
          <w:rFonts w:ascii="Verdana" w:hAnsi="Verdana"/>
          <w:b/>
          <w:sz w:val="20"/>
          <w:szCs w:val="20"/>
          <w:lang w:val="es-ES"/>
        </w:rPr>
        <w:t>RESOLUCIÓN DEL PRESIDENTE DE LA</w:t>
      </w:r>
    </w:p>
    <w:p w:rsidR="002B39C3" w:rsidRPr="00041AE6" w:rsidRDefault="002B39C3" w:rsidP="002B39C3">
      <w:pPr>
        <w:spacing w:after="0" w:line="240" w:lineRule="auto"/>
        <w:jc w:val="center"/>
        <w:rPr>
          <w:rFonts w:ascii="Verdana" w:hAnsi="Verdana"/>
          <w:b/>
          <w:sz w:val="20"/>
          <w:szCs w:val="20"/>
          <w:lang w:val="es-ES"/>
        </w:rPr>
      </w:pPr>
    </w:p>
    <w:p w:rsidR="002B39C3" w:rsidRPr="00041AE6" w:rsidRDefault="002B39C3" w:rsidP="002B39C3">
      <w:pPr>
        <w:spacing w:after="0" w:line="240" w:lineRule="auto"/>
        <w:jc w:val="center"/>
        <w:rPr>
          <w:rFonts w:ascii="Verdana" w:hAnsi="Verdana"/>
          <w:b/>
          <w:sz w:val="20"/>
          <w:szCs w:val="20"/>
          <w:lang w:val="es-ES"/>
        </w:rPr>
      </w:pPr>
      <w:r w:rsidRPr="00041AE6">
        <w:rPr>
          <w:rFonts w:ascii="Verdana" w:hAnsi="Verdana"/>
          <w:b/>
          <w:sz w:val="20"/>
          <w:szCs w:val="20"/>
          <w:lang w:val="es-ES"/>
        </w:rPr>
        <w:t>CORTE INTERAMERICANA DE DERECHOS HUMANOS</w:t>
      </w:r>
    </w:p>
    <w:p w:rsidR="002B39C3" w:rsidRPr="00041AE6" w:rsidRDefault="002B39C3" w:rsidP="002B39C3">
      <w:pPr>
        <w:spacing w:after="0" w:line="240" w:lineRule="auto"/>
        <w:jc w:val="center"/>
        <w:rPr>
          <w:rFonts w:ascii="Verdana" w:hAnsi="Verdana"/>
          <w:b/>
          <w:sz w:val="20"/>
          <w:szCs w:val="20"/>
          <w:lang w:val="es-ES"/>
        </w:rPr>
      </w:pPr>
    </w:p>
    <w:p w:rsidR="002B39C3" w:rsidRPr="00041AE6" w:rsidRDefault="002B39C3" w:rsidP="002B39C3">
      <w:pPr>
        <w:spacing w:after="0" w:line="240" w:lineRule="auto"/>
        <w:jc w:val="center"/>
        <w:rPr>
          <w:rFonts w:ascii="Verdana" w:hAnsi="Verdana"/>
          <w:b/>
          <w:sz w:val="20"/>
          <w:szCs w:val="20"/>
          <w:lang w:val="es-ES"/>
        </w:rPr>
      </w:pPr>
      <w:r w:rsidRPr="00041AE6">
        <w:rPr>
          <w:rFonts w:ascii="Verdana" w:hAnsi="Verdana"/>
          <w:b/>
          <w:sz w:val="20"/>
          <w:szCs w:val="20"/>
          <w:lang w:val="es-ES"/>
        </w:rPr>
        <w:t xml:space="preserve">DE </w:t>
      </w:r>
      <w:r w:rsidR="00421C1A">
        <w:rPr>
          <w:rFonts w:ascii="Verdana" w:hAnsi="Verdana"/>
          <w:b/>
          <w:sz w:val="20"/>
          <w:szCs w:val="20"/>
          <w:lang w:val="es-ES"/>
        </w:rPr>
        <w:t>7</w:t>
      </w:r>
      <w:r w:rsidRPr="00041AE6">
        <w:rPr>
          <w:rFonts w:ascii="Verdana" w:hAnsi="Verdana"/>
          <w:b/>
          <w:sz w:val="20"/>
          <w:szCs w:val="20"/>
          <w:lang w:val="es-ES"/>
        </w:rPr>
        <w:t xml:space="preserve"> DE </w:t>
      </w:r>
      <w:r w:rsidR="00A44189">
        <w:rPr>
          <w:rFonts w:ascii="Verdana" w:hAnsi="Verdana"/>
          <w:b/>
          <w:sz w:val="20"/>
          <w:szCs w:val="20"/>
          <w:lang w:val="es-ES"/>
        </w:rPr>
        <w:t xml:space="preserve">AGOSTO </w:t>
      </w:r>
      <w:r w:rsidRPr="00041AE6">
        <w:rPr>
          <w:rFonts w:ascii="Verdana" w:hAnsi="Verdana"/>
          <w:b/>
          <w:sz w:val="20"/>
          <w:szCs w:val="20"/>
          <w:lang w:val="es-ES"/>
        </w:rPr>
        <w:t>DE 201</w:t>
      </w:r>
      <w:r>
        <w:rPr>
          <w:rFonts w:ascii="Verdana" w:hAnsi="Verdana"/>
          <w:b/>
          <w:sz w:val="20"/>
          <w:szCs w:val="20"/>
          <w:lang w:val="es-ES"/>
        </w:rPr>
        <w:t>8</w:t>
      </w:r>
    </w:p>
    <w:p w:rsidR="002B39C3" w:rsidRPr="00041AE6" w:rsidRDefault="002B39C3" w:rsidP="002B39C3">
      <w:pPr>
        <w:spacing w:after="0" w:line="240" w:lineRule="auto"/>
        <w:jc w:val="center"/>
        <w:rPr>
          <w:rFonts w:ascii="Verdana" w:hAnsi="Verdana"/>
          <w:b/>
          <w:sz w:val="20"/>
          <w:szCs w:val="20"/>
          <w:lang w:val="es-ES"/>
        </w:rPr>
      </w:pPr>
    </w:p>
    <w:p w:rsidR="002B39C3" w:rsidRPr="00041AE6" w:rsidRDefault="002B39C3" w:rsidP="002B39C3">
      <w:pPr>
        <w:spacing w:after="0" w:line="240" w:lineRule="auto"/>
        <w:jc w:val="center"/>
        <w:rPr>
          <w:rFonts w:ascii="Verdana" w:hAnsi="Verdana"/>
          <w:b/>
          <w:sz w:val="20"/>
          <w:szCs w:val="20"/>
          <w:lang w:val="es-ES"/>
        </w:rPr>
      </w:pPr>
    </w:p>
    <w:p w:rsidR="002B39C3" w:rsidRPr="00041AE6" w:rsidRDefault="002B39C3" w:rsidP="002B39C3">
      <w:pPr>
        <w:spacing w:after="120" w:line="240" w:lineRule="auto"/>
        <w:jc w:val="center"/>
        <w:rPr>
          <w:rFonts w:ascii="Verdana" w:hAnsi="Verdana"/>
          <w:b/>
          <w:sz w:val="20"/>
          <w:szCs w:val="20"/>
          <w:lang w:val="es-ES"/>
        </w:rPr>
      </w:pPr>
      <w:r w:rsidRPr="00041AE6">
        <w:rPr>
          <w:rFonts w:ascii="Verdana" w:hAnsi="Verdana"/>
          <w:b/>
          <w:sz w:val="20"/>
          <w:szCs w:val="20"/>
          <w:lang w:val="es-ES"/>
        </w:rPr>
        <w:t xml:space="preserve">CASO </w:t>
      </w:r>
      <w:r>
        <w:rPr>
          <w:rFonts w:ascii="Verdana" w:hAnsi="Verdana"/>
          <w:b/>
          <w:sz w:val="20"/>
          <w:szCs w:val="20"/>
          <w:lang w:val="es-ES"/>
        </w:rPr>
        <w:t>GÓMEZ VIRULA</w:t>
      </w:r>
      <w:r w:rsidRPr="00041AE6">
        <w:rPr>
          <w:rFonts w:ascii="Verdana" w:hAnsi="Verdana"/>
          <w:b/>
          <w:sz w:val="20"/>
          <w:szCs w:val="20"/>
          <w:lang w:val="es-ES"/>
        </w:rPr>
        <w:t xml:space="preserve"> Y OTROS VS. </w:t>
      </w:r>
      <w:r>
        <w:rPr>
          <w:rFonts w:ascii="Verdana" w:hAnsi="Verdana"/>
          <w:b/>
          <w:sz w:val="20"/>
          <w:szCs w:val="20"/>
          <w:lang w:val="es-ES"/>
        </w:rPr>
        <w:t>GUATEMALA</w:t>
      </w:r>
    </w:p>
    <w:p w:rsidR="002B39C3" w:rsidRPr="00041AE6" w:rsidRDefault="002B39C3" w:rsidP="002B39C3">
      <w:pPr>
        <w:spacing w:after="120" w:line="240" w:lineRule="auto"/>
        <w:jc w:val="center"/>
        <w:rPr>
          <w:rFonts w:ascii="Verdana" w:hAnsi="Verdana"/>
          <w:b/>
          <w:sz w:val="20"/>
          <w:szCs w:val="20"/>
          <w:lang w:val="es-ES"/>
        </w:rPr>
      </w:pPr>
      <w:r w:rsidRPr="00041AE6">
        <w:rPr>
          <w:rFonts w:ascii="Verdana" w:hAnsi="Verdana"/>
          <w:b/>
          <w:sz w:val="20"/>
          <w:szCs w:val="20"/>
          <w:lang w:val="es-ES"/>
        </w:rPr>
        <w:t>CONVOCATORIA A AUDIENCIA</w:t>
      </w:r>
    </w:p>
    <w:p w:rsidR="002B39C3" w:rsidRPr="00041AE6" w:rsidRDefault="002B39C3" w:rsidP="002B39C3">
      <w:pPr>
        <w:spacing w:after="0" w:line="240" w:lineRule="auto"/>
        <w:rPr>
          <w:rFonts w:ascii="Verdana" w:hAnsi="Verdana"/>
          <w:sz w:val="20"/>
          <w:szCs w:val="20"/>
          <w:lang w:val="es-ES"/>
        </w:rPr>
      </w:pPr>
    </w:p>
    <w:p w:rsidR="002B39C3" w:rsidRPr="00041AE6" w:rsidRDefault="002B39C3" w:rsidP="002B39C3">
      <w:pPr>
        <w:spacing w:after="0" w:line="240" w:lineRule="auto"/>
        <w:rPr>
          <w:rFonts w:ascii="Verdana" w:hAnsi="Verdana"/>
          <w:sz w:val="20"/>
          <w:szCs w:val="20"/>
          <w:lang w:val="es-ES"/>
        </w:rPr>
      </w:pPr>
    </w:p>
    <w:p w:rsidR="002B39C3" w:rsidRPr="00041AE6" w:rsidRDefault="002B39C3" w:rsidP="002B39C3">
      <w:pPr>
        <w:spacing w:after="0" w:line="240" w:lineRule="auto"/>
        <w:rPr>
          <w:rFonts w:ascii="Verdana" w:hAnsi="Verdana"/>
          <w:b/>
          <w:sz w:val="20"/>
          <w:szCs w:val="20"/>
          <w:lang w:val="es-ES"/>
        </w:rPr>
      </w:pPr>
      <w:r w:rsidRPr="00041AE6">
        <w:rPr>
          <w:rFonts w:ascii="Verdana" w:hAnsi="Verdana"/>
          <w:b/>
          <w:sz w:val="20"/>
          <w:szCs w:val="20"/>
          <w:lang w:val="es-ES"/>
        </w:rPr>
        <w:t>VISTO:</w:t>
      </w:r>
    </w:p>
    <w:p w:rsidR="002B39C3" w:rsidRPr="00041AE6" w:rsidRDefault="002B39C3" w:rsidP="002B39C3">
      <w:pPr>
        <w:spacing w:after="0" w:line="240" w:lineRule="auto"/>
        <w:rPr>
          <w:rFonts w:ascii="Verdana" w:hAnsi="Verdana"/>
          <w:b/>
          <w:sz w:val="20"/>
          <w:szCs w:val="20"/>
          <w:lang w:val="es-ES"/>
        </w:rPr>
      </w:pPr>
    </w:p>
    <w:p w:rsidR="002B39C3" w:rsidRPr="007801D7" w:rsidRDefault="002B39C3" w:rsidP="002B39C3">
      <w:pPr>
        <w:pStyle w:val="ListParagraph"/>
        <w:numPr>
          <w:ilvl w:val="0"/>
          <w:numId w:val="2"/>
        </w:numPr>
        <w:ind w:left="0" w:firstLine="0"/>
        <w:rPr>
          <w:lang w:val="es-ES"/>
        </w:rPr>
      </w:pPr>
      <w:bookmarkStart w:id="1" w:name="_Ref393297742"/>
      <w:bookmarkStart w:id="2" w:name="_Ref352676460"/>
      <w:r w:rsidRPr="00041AE6">
        <w:rPr>
          <w:lang w:val="es-ES"/>
        </w:rPr>
        <w:t xml:space="preserve">El </w:t>
      </w:r>
      <w:bookmarkStart w:id="3" w:name="_Ref393297780"/>
      <w:bookmarkStart w:id="4" w:name="_Ref393920719"/>
      <w:bookmarkEnd w:id="1"/>
      <w:bookmarkEnd w:id="2"/>
      <w:r w:rsidRPr="00B34950">
        <w:rPr>
          <w:rFonts w:cs="Times New Roman"/>
        </w:rPr>
        <w:t>escrito de sometimiento del caso y el Informe de Admisibilidad y Fondo de la Comisión Interamericana de Derechos Humanos (en adelante “la Comisión Interamericana” o “la Comisión”), el escrito de solicitudes, argumentos y pruebas (en adelante el “escrito de solicitudes y argumentos”) de los representantes de la presunta víctima (en a</w:t>
      </w:r>
      <w:r w:rsidR="00E00CEA">
        <w:rPr>
          <w:rFonts w:cs="Times New Roman"/>
        </w:rPr>
        <w:t>delante “los representantes”), y</w:t>
      </w:r>
      <w:r w:rsidRPr="00B34950">
        <w:rPr>
          <w:rFonts w:cs="Times New Roman"/>
        </w:rPr>
        <w:t xml:space="preserve"> el escrito de contestación al sometimiento del caso </w:t>
      </w:r>
      <w:r w:rsidRPr="00B34950">
        <w:rPr>
          <w:lang w:val="es-ES"/>
        </w:rPr>
        <w:t>y de observaci</w:t>
      </w:r>
      <w:r w:rsidR="00E00CEA">
        <w:rPr>
          <w:lang w:val="es-ES"/>
        </w:rPr>
        <w:t>ones al escrito de solicitudes y</w:t>
      </w:r>
      <w:r w:rsidRPr="00B34950">
        <w:rPr>
          <w:lang w:val="es-ES"/>
        </w:rPr>
        <w:t xml:space="preserve"> argumentos</w:t>
      </w:r>
      <w:r w:rsidR="00E00CEA">
        <w:rPr>
          <w:lang w:val="es-ES"/>
        </w:rPr>
        <w:t xml:space="preserve"> </w:t>
      </w:r>
      <w:r w:rsidRPr="00B34950">
        <w:rPr>
          <w:lang w:val="es-ES"/>
        </w:rPr>
        <w:t>(en adelante “escrito de contestación”)</w:t>
      </w:r>
      <w:r w:rsidRPr="00B34950">
        <w:rPr>
          <w:rFonts w:cs="Times New Roman"/>
        </w:rPr>
        <w:t xml:space="preserve"> de la República de Guatemala (en adelante “Guatemala” o “el Estado”), </w:t>
      </w:r>
      <w:r w:rsidRPr="007801D7">
        <w:rPr>
          <w:rFonts w:cs="Times"/>
          <w:lang w:eastAsia="es-ES"/>
        </w:rPr>
        <w:t xml:space="preserve">así como </w:t>
      </w:r>
      <w:r w:rsidR="007801D7">
        <w:rPr>
          <w:rFonts w:cs="Times"/>
          <w:lang w:eastAsia="es-ES"/>
        </w:rPr>
        <w:t xml:space="preserve">el escrito </w:t>
      </w:r>
      <w:r w:rsidRPr="007801D7">
        <w:rPr>
          <w:rFonts w:cs="Times"/>
          <w:lang w:eastAsia="es-ES"/>
        </w:rPr>
        <w:t>de observaciones a la excepción preliminar inte</w:t>
      </w:r>
      <w:r w:rsidR="007801D7">
        <w:rPr>
          <w:rFonts w:cs="Times"/>
          <w:lang w:eastAsia="es-ES"/>
        </w:rPr>
        <w:t>rpuesta por el Estado presentado</w:t>
      </w:r>
      <w:r w:rsidRPr="007801D7">
        <w:rPr>
          <w:rFonts w:cs="Times"/>
          <w:lang w:eastAsia="es-ES"/>
        </w:rPr>
        <w:t xml:space="preserve"> </w:t>
      </w:r>
      <w:r w:rsidR="007801D7">
        <w:rPr>
          <w:rFonts w:cs="Times"/>
          <w:lang w:eastAsia="es-ES"/>
        </w:rPr>
        <w:t>por los representantes.</w:t>
      </w:r>
      <w:r w:rsidR="00A44189">
        <w:rPr>
          <w:rFonts w:cs="Times"/>
          <w:lang w:eastAsia="es-ES"/>
        </w:rPr>
        <w:t xml:space="preserve"> </w:t>
      </w:r>
    </w:p>
    <w:p w:rsidR="002B39C3" w:rsidRPr="00B34950" w:rsidRDefault="002B39C3" w:rsidP="002B39C3">
      <w:pPr>
        <w:pStyle w:val="ListParagraph"/>
        <w:numPr>
          <w:ilvl w:val="0"/>
          <w:numId w:val="0"/>
        </w:numPr>
        <w:rPr>
          <w:lang w:val="es-ES"/>
        </w:rPr>
      </w:pPr>
    </w:p>
    <w:bookmarkEnd w:id="3"/>
    <w:bookmarkEnd w:id="4"/>
    <w:p w:rsidR="00D20E98" w:rsidRPr="00D20E98" w:rsidRDefault="007801D7" w:rsidP="002B39C3">
      <w:pPr>
        <w:pStyle w:val="ListParagraph"/>
        <w:numPr>
          <w:ilvl w:val="0"/>
          <w:numId w:val="2"/>
        </w:numPr>
        <w:ind w:left="0" w:firstLine="0"/>
        <w:rPr>
          <w:b/>
        </w:rPr>
      </w:pPr>
      <w:r>
        <w:t>La lista definitiva</w:t>
      </w:r>
      <w:r w:rsidR="002B39C3" w:rsidRPr="004D243A">
        <w:t xml:space="preserve"> de declarantes presen</w:t>
      </w:r>
      <w:r>
        <w:t>tada</w:t>
      </w:r>
      <w:r w:rsidR="002B39C3" w:rsidRPr="004D243A">
        <w:t xml:space="preserve"> por los representantes</w:t>
      </w:r>
      <w:r w:rsidR="00D20E98">
        <w:t xml:space="preserve"> y por la Comisión</w:t>
      </w:r>
      <w:r w:rsidR="002B39C3" w:rsidRPr="004D243A">
        <w:rPr>
          <w:lang w:val="es-ES"/>
        </w:rPr>
        <w:t>.</w:t>
      </w:r>
    </w:p>
    <w:p w:rsidR="00D20E98" w:rsidRDefault="00D20E98" w:rsidP="00D20E98">
      <w:pPr>
        <w:pStyle w:val="ListParagraph"/>
        <w:numPr>
          <w:ilvl w:val="0"/>
          <w:numId w:val="0"/>
        </w:numPr>
      </w:pPr>
    </w:p>
    <w:p w:rsidR="00D20E98" w:rsidRPr="00897A9F" w:rsidRDefault="00D20E98" w:rsidP="00D20E98">
      <w:pPr>
        <w:pStyle w:val="ListParagraph"/>
        <w:numPr>
          <w:ilvl w:val="0"/>
          <w:numId w:val="2"/>
        </w:numPr>
        <w:ind w:left="0" w:firstLine="0"/>
        <w:rPr>
          <w:b/>
        </w:rPr>
      </w:pPr>
      <w:r>
        <w:t>El escrito de 20 de julio de 2018</w:t>
      </w:r>
      <w:r w:rsidR="00A361AA">
        <w:t xml:space="preserve"> mediante el cual la Comisión</w:t>
      </w:r>
      <w:r>
        <w:t xml:space="preserve"> </w:t>
      </w:r>
      <w:r w:rsidRPr="004D243A">
        <w:t>desistió de la declaración pericial de Ma</w:t>
      </w:r>
      <w:r>
        <w:t xml:space="preserve">ina Kiai ofrecida oportunamente, y </w:t>
      </w:r>
      <w:r w:rsidRPr="004D243A">
        <w:t>señaló no tener observaciones a la lista definitiva presentada por los representa</w:t>
      </w:r>
      <w:r>
        <w:t>ntes. El Estado no present</w:t>
      </w:r>
      <w:r w:rsidR="00A361AA">
        <w:t xml:space="preserve">ó objeciones a las listas definitivas de declarantes. </w:t>
      </w:r>
    </w:p>
    <w:p w:rsidR="00897A9F" w:rsidRPr="00897A9F" w:rsidRDefault="00897A9F" w:rsidP="00897A9F">
      <w:pPr>
        <w:pStyle w:val="ListParagraph"/>
        <w:numPr>
          <w:ilvl w:val="0"/>
          <w:numId w:val="0"/>
        </w:numPr>
        <w:rPr>
          <w:b/>
        </w:rPr>
      </w:pPr>
    </w:p>
    <w:p w:rsidR="00897A9F" w:rsidRPr="00041AE6" w:rsidRDefault="00897A9F" w:rsidP="00897A9F">
      <w:pPr>
        <w:spacing w:after="0" w:line="240" w:lineRule="auto"/>
        <w:rPr>
          <w:rFonts w:ascii="Verdana" w:hAnsi="Verdana"/>
          <w:b/>
          <w:sz w:val="20"/>
          <w:szCs w:val="20"/>
          <w:lang w:val="es-ES"/>
        </w:rPr>
      </w:pPr>
      <w:r w:rsidRPr="00041AE6">
        <w:rPr>
          <w:rFonts w:ascii="Verdana" w:hAnsi="Verdana"/>
          <w:b/>
          <w:sz w:val="20"/>
          <w:szCs w:val="20"/>
          <w:lang w:val="es-ES"/>
        </w:rPr>
        <w:t>CONSIDERANDO QUE:</w:t>
      </w:r>
    </w:p>
    <w:p w:rsidR="00897A9F" w:rsidRPr="00897A9F" w:rsidRDefault="00897A9F" w:rsidP="00897A9F">
      <w:pPr>
        <w:pStyle w:val="ListParagraph"/>
        <w:numPr>
          <w:ilvl w:val="0"/>
          <w:numId w:val="0"/>
        </w:numPr>
        <w:rPr>
          <w:b/>
        </w:rPr>
      </w:pPr>
    </w:p>
    <w:p w:rsidR="00897A9F" w:rsidRPr="00897A9F" w:rsidRDefault="00897A9F" w:rsidP="00897A9F">
      <w:pPr>
        <w:pStyle w:val="ListParagraph"/>
        <w:numPr>
          <w:ilvl w:val="0"/>
          <w:numId w:val="0"/>
        </w:numPr>
        <w:rPr>
          <w:b/>
        </w:rPr>
      </w:pPr>
    </w:p>
    <w:p w:rsidR="002B39C3" w:rsidRPr="00897A9F" w:rsidRDefault="002B39C3" w:rsidP="00897A9F">
      <w:pPr>
        <w:pStyle w:val="ListParagraph"/>
        <w:numPr>
          <w:ilvl w:val="0"/>
          <w:numId w:val="2"/>
        </w:numPr>
        <w:ind w:left="0" w:firstLine="0"/>
        <w:rPr>
          <w:b/>
        </w:rPr>
      </w:pPr>
      <w:r w:rsidRPr="00897A9F">
        <w:rPr>
          <w:lang w:val="es-ES"/>
        </w:rPr>
        <w:t>El ofrecimiento y la admisión de la prueba, así como la citación de presuntas víctimas, testigos y peritos se encuentran regulados en los artículos 35.1.f, 40.2.c, 41.1.c, 46 a 50, 52.3, 57 y 58 del Reglamento de la Corte Interamericana de Derechos Humanos (en adelante “la Corte Interamericana”, “la Corte” o “el Tribunal”).</w:t>
      </w:r>
    </w:p>
    <w:p w:rsidR="002B39C3" w:rsidRPr="00B963B1" w:rsidRDefault="002B39C3" w:rsidP="002B39C3">
      <w:pPr>
        <w:pStyle w:val="ListParagraph"/>
        <w:numPr>
          <w:ilvl w:val="0"/>
          <w:numId w:val="0"/>
        </w:numPr>
        <w:tabs>
          <w:tab w:val="left" w:pos="720"/>
          <w:tab w:val="left" w:pos="810"/>
        </w:tabs>
      </w:pPr>
    </w:p>
    <w:p w:rsidR="002B39C3" w:rsidRPr="000B3EA0" w:rsidRDefault="002B39C3" w:rsidP="00897A9F">
      <w:pPr>
        <w:pStyle w:val="ListParagraph"/>
        <w:numPr>
          <w:ilvl w:val="0"/>
          <w:numId w:val="2"/>
        </w:numPr>
        <w:tabs>
          <w:tab w:val="left" w:pos="720"/>
          <w:tab w:val="left" w:pos="810"/>
        </w:tabs>
        <w:ind w:left="0" w:firstLine="0"/>
        <w:rPr>
          <w:lang w:val="es-ES"/>
        </w:rPr>
      </w:pPr>
      <w:r>
        <w:t>L</w:t>
      </w:r>
      <w:r w:rsidRPr="00041AE6">
        <w:rPr>
          <w:lang w:val="es-ES"/>
        </w:rPr>
        <w:t>os representantes ofrecieron</w:t>
      </w:r>
      <w:r>
        <w:rPr>
          <w:lang w:val="es-ES"/>
        </w:rPr>
        <w:t>,</w:t>
      </w:r>
      <w:r w:rsidRPr="00041AE6">
        <w:rPr>
          <w:lang w:val="es-ES"/>
        </w:rPr>
        <w:t xml:space="preserve"> en</w:t>
      </w:r>
      <w:r>
        <w:rPr>
          <w:lang w:val="es-ES"/>
        </w:rPr>
        <w:t xml:space="preserve"> la debida oportunidad procesal, dos</w:t>
      </w:r>
      <w:r w:rsidRPr="00041AE6">
        <w:rPr>
          <w:lang w:val="es-ES"/>
        </w:rPr>
        <w:t xml:space="preserve"> declara</w:t>
      </w:r>
      <w:r>
        <w:rPr>
          <w:lang w:val="es-ES"/>
        </w:rPr>
        <w:t>ciones: la del padre de la víctima, Antonio Gómez Areano, y la del señor Julio Francisco Coj Vázquez, solicitando que la primera sea rendida en audiencia pública, mientras que la otra lo sea ante fedatario público</w:t>
      </w:r>
      <w:r w:rsidRPr="000B3EA0">
        <w:rPr>
          <w:lang w:val="es-ES"/>
        </w:rPr>
        <w:t xml:space="preserve">. El Estado </w:t>
      </w:r>
      <w:r>
        <w:t>no ofreció declarantes y la Comisión desistió del peritaje ofrecido oportunamente</w:t>
      </w:r>
      <w:r w:rsidRPr="000B3EA0">
        <w:rPr>
          <w:lang w:val="es-ES"/>
        </w:rPr>
        <w:t xml:space="preserve"> (</w:t>
      </w:r>
      <w:r w:rsidRPr="000B3EA0">
        <w:rPr>
          <w:i/>
          <w:iCs/>
          <w:lang w:val="es-ES"/>
        </w:rPr>
        <w:t xml:space="preserve">supra </w:t>
      </w:r>
      <w:r w:rsidRPr="000B3EA0">
        <w:rPr>
          <w:lang w:val="es-ES"/>
        </w:rPr>
        <w:t>Visto</w:t>
      </w:r>
      <w:r>
        <w:rPr>
          <w:lang w:val="es-ES"/>
        </w:rPr>
        <w:t xml:space="preserve"> No.</w:t>
      </w:r>
      <w:r w:rsidR="00A361AA">
        <w:rPr>
          <w:lang w:val="es-ES"/>
        </w:rPr>
        <w:t xml:space="preserve"> 3</w:t>
      </w:r>
      <w:r w:rsidRPr="000B3EA0">
        <w:rPr>
          <w:lang w:val="es-ES"/>
        </w:rPr>
        <w:t>).</w:t>
      </w:r>
    </w:p>
    <w:p w:rsidR="002B39C3" w:rsidRPr="00C61267" w:rsidRDefault="002B39C3" w:rsidP="002B39C3">
      <w:pPr>
        <w:pStyle w:val="ListParagraph"/>
        <w:numPr>
          <w:ilvl w:val="0"/>
          <w:numId w:val="0"/>
        </w:numPr>
        <w:tabs>
          <w:tab w:val="left" w:pos="720"/>
          <w:tab w:val="left" w:pos="810"/>
        </w:tabs>
        <w:rPr>
          <w:lang w:val="es-ES"/>
        </w:rPr>
      </w:pPr>
    </w:p>
    <w:p w:rsidR="002B39C3" w:rsidRPr="00C61267" w:rsidRDefault="002B39C3" w:rsidP="00897A9F">
      <w:pPr>
        <w:pStyle w:val="ListParagraph"/>
        <w:numPr>
          <w:ilvl w:val="0"/>
          <w:numId w:val="2"/>
        </w:numPr>
        <w:tabs>
          <w:tab w:val="left" w:pos="720"/>
          <w:tab w:val="left" w:pos="810"/>
        </w:tabs>
        <w:ind w:left="0" w:firstLine="0"/>
        <w:rPr>
          <w:lang w:val="es-ES"/>
        </w:rPr>
      </w:pPr>
      <w:r w:rsidRPr="00C61267">
        <w:rPr>
          <w:lang w:val="es-ES"/>
        </w:rPr>
        <w:t xml:space="preserve">En cuanto a las declaraciones </w:t>
      </w:r>
      <w:r w:rsidR="00A361AA">
        <w:rPr>
          <w:lang w:val="es-ES"/>
        </w:rPr>
        <w:t>que no fueron objetadas</w:t>
      </w:r>
      <w:r w:rsidR="00261610">
        <w:rPr>
          <w:lang w:val="es-ES"/>
        </w:rPr>
        <w:t xml:space="preserve"> (</w:t>
      </w:r>
      <w:r w:rsidR="00261610" w:rsidRPr="00261610">
        <w:rPr>
          <w:i/>
          <w:lang w:val="es-ES"/>
        </w:rPr>
        <w:t>supra</w:t>
      </w:r>
      <w:r w:rsidR="00261610">
        <w:rPr>
          <w:lang w:val="es-ES"/>
        </w:rPr>
        <w:t xml:space="preserve"> Visto No.</w:t>
      </w:r>
      <w:r w:rsidR="00CE0602">
        <w:rPr>
          <w:lang w:val="es-ES"/>
        </w:rPr>
        <w:t xml:space="preserve"> 2 y </w:t>
      </w:r>
      <w:r w:rsidR="00261610">
        <w:rPr>
          <w:lang w:val="es-ES"/>
        </w:rPr>
        <w:t>3)</w:t>
      </w:r>
      <w:r w:rsidR="00A361AA">
        <w:rPr>
          <w:lang w:val="es-ES"/>
        </w:rPr>
        <w:t>,</w:t>
      </w:r>
      <w:r w:rsidRPr="00C61267">
        <w:rPr>
          <w:lang w:val="es-ES"/>
        </w:rPr>
        <w:t xml:space="preserve"> esta Presidenc</w:t>
      </w:r>
      <w:r w:rsidR="00773F9E">
        <w:rPr>
          <w:lang w:val="es-ES"/>
        </w:rPr>
        <w:t>ia considera conveniente recabarlas</w:t>
      </w:r>
      <w:r w:rsidRPr="00C61267">
        <w:rPr>
          <w:lang w:val="es-ES"/>
        </w:rPr>
        <w:t xml:space="preserve">, a efectos de que el Tribunal pueda apreciar su valor en la debida oportunidad procesal, dentro del contexto del acervo probatorio existente y según las reglas de la sana crítica. Por consiguiente, el </w:t>
      </w:r>
      <w:r w:rsidRPr="00C61267">
        <w:rPr>
          <w:lang w:val="es-ES"/>
        </w:rPr>
        <w:lastRenderedPageBreak/>
        <w:t xml:space="preserve">Presidente admite las declaraciones de </w:t>
      </w:r>
      <w:r w:rsidR="00773F9E">
        <w:rPr>
          <w:lang w:val="es-ES"/>
        </w:rPr>
        <w:t>Antonio Gómez Areano y</w:t>
      </w:r>
      <w:r>
        <w:rPr>
          <w:lang w:val="es-ES"/>
        </w:rPr>
        <w:t xml:space="preserve"> Julio Francisco Coj Vásquez. </w:t>
      </w:r>
      <w:r w:rsidRPr="00C61267">
        <w:rPr>
          <w:lang w:val="es-ES"/>
        </w:rPr>
        <w:t>El objeto de estas declaraciones y la forma en que serán recibidas se determinan en la parte resolutiva de la presente Resolución</w:t>
      </w:r>
      <w:r w:rsidRPr="00C61267">
        <w:t xml:space="preserve"> (</w:t>
      </w:r>
      <w:r w:rsidRPr="00C61267">
        <w:rPr>
          <w:i/>
        </w:rPr>
        <w:t xml:space="preserve">infra </w:t>
      </w:r>
      <w:r w:rsidR="00125688">
        <w:t>puntos resolutivos 1 y 3</w:t>
      </w:r>
      <w:r w:rsidRPr="00C61267">
        <w:t>).</w:t>
      </w:r>
    </w:p>
    <w:p w:rsidR="002B39C3" w:rsidRDefault="002B39C3" w:rsidP="002B39C3">
      <w:pPr>
        <w:pStyle w:val="ListParagraph"/>
        <w:numPr>
          <w:ilvl w:val="0"/>
          <w:numId w:val="0"/>
        </w:numPr>
        <w:rPr>
          <w:lang w:val="es-ES"/>
        </w:rPr>
      </w:pPr>
    </w:p>
    <w:p w:rsidR="002B39C3" w:rsidRPr="00D06610" w:rsidRDefault="002B39C3" w:rsidP="002B39C3">
      <w:pPr>
        <w:pStyle w:val="ListParagraph"/>
        <w:numPr>
          <w:ilvl w:val="0"/>
          <w:numId w:val="0"/>
        </w:numPr>
        <w:rPr>
          <w:lang w:val="es-ES" w:bidi="en-US"/>
        </w:rPr>
      </w:pPr>
    </w:p>
    <w:p w:rsidR="002B39C3" w:rsidRPr="00041AE6" w:rsidRDefault="002B39C3" w:rsidP="002B39C3">
      <w:pPr>
        <w:spacing w:after="0" w:line="240" w:lineRule="auto"/>
        <w:jc w:val="both"/>
        <w:rPr>
          <w:rFonts w:ascii="Verdana" w:hAnsi="Verdana" w:cs="Verdana"/>
          <w:b/>
          <w:bCs/>
          <w:sz w:val="20"/>
          <w:szCs w:val="20"/>
          <w:lang w:val="es-ES"/>
        </w:rPr>
      </w:pPr>
      <w:r w:rsidRPr="00041AE6">
        <w:rPr>
          <w:rFonts w:ascii="Verdana" w:hAnsi="Verdana" w:cs="Verdana"/>
          <w:b/>
          <w:bCs/>
          <w:sz w:val="20"/>
          <w:szCs w:val="20"/>
          <w:lang w:val="es-ES"/>
        </w:rPr>
        <w:t>POR TANTO:</w:t>
      </w:r>
    </w:p>
    <w:p w:rsidR="002B39C3" w:rsidRPr="00041AE6" w:rsidRDefault="002B39C3" w:rsidP="002B39C3">
      <w:pPr>
        <w:spacing w:after="0" w:line="240" w:lineRule="auto"/>
        <w:jc w:val="both"/>
        <w:rPr>
          <w:rFonts w:ascii="Verdana" w:hAnsi="Verdana" w:cs="Verdana"/>
          <w:b/>
          <w:bCs/>
          <w:sz w:val="20"/>
          <w:szCs w:val="20"/>
          <w:lang w:val="es-ES"/>
        </w:rPr>
      </w:pPr>
    </w:p>
    <w:p w:rsidR="002B39C3" w:rsidRPr="00041AE6" w:rsidRDefault="002B39C3" w:rsidP="002B39C3">
      <w:pPr>
        <w:spacing w:after="0" w:line="240" w:lineRule="auto"/>
        <w:jc w:val="both"/>
        <w:rPr>
          <w:rFonts w:ascii="Verdana" w:hAnsi="Verdana" w:cs="Verdana"/>
          <w:b/>
          <w:bCs/>
          <w:sz w:val="20"/>
          <w:szCs w:val="20"/>
          <w:lang w:val="es-ES"/>
        </w:rPr>
      </w:pPr>
      <w:r w:rsidRPr="00041AE6">
        <w:rPr>
          <w:rFonts w:ascii="Verdana" w:hAnsi="Verdana" w:cs="Verdana"/>
          <w:b/>
          <w:bCs/>
          <w:sz w:val="20"/>
          <w:szCs w:val="20"/>
          <w:lang w:val="es-ES"/>
        </w:rPr>
        <w:t xml:space="preserve">EL PRESIDENTE DE LA CORTE INTERAMERICANA DE DERECHOS HUMANOS, </w:t>
      </w:r>
    </w:p>
    <w:p w:rsidR="002B39C3" w:rsidRPr="00041AE6" w:rsidRDefault="002B39C3" w:rsidP="002B39C3">
      <w:pPr>
        <w:spacing w:after="0" w:line="240" w:lineRule="auto"/>
        <w:jc w:val="both"/>
        <w:rPr>
          <w:rFonts w:ascii="Verdana" w:hAnsi="Verdana" w:cs="Verdana"/>
          <w:b/>
          <w:bCs/>
          <w:sz w:val="20"/>
          <w:szCs w:val="20"/>
          <w:lang w:val="es-ES"/>
        </w:rPr>
      </w:pPr>
    </w:p>
    <w:p w:rsidR="002B39C3" w:rsidRPr="00041AE6" w:rsidRDefault="002B39C3" w:rsidP="002B39C3">
      <w:pPr>
        <w:spacing w:after="0" w:line="240" w:lineRule="auto"/>
        <w:jc w:val="both"/>
        <w:rPr>
          <w:rFonts w:ascii="Verdana" w:hAnsi="Verdana" w:cs="Verdana"/>
          <w:sz w:val="20"/>
          <w:szCs w:val="20"/>
          <w:lang w:val="es-ES"/>
        </w:rPr>
      </w:pPr>
      <w:r w:rsidRPr="00041AE6">
        <w:rPr>
          <w:rFonts w:ascii="Verdana" w:hAnsi="Verdana" w:cs="Verdana"/>
          <w:sz w:val="20"/>
          <w:szCs w:val="20"/>
          <w:lang w:val="es-ES"/>
        </w:rPr>
        <w:t>de conformidad con los artículos 24.1 y 25.2 del Estatuto de la Corte y con los artículos 4, 15.1, 26.1,</w:t>
      </w:r>
      <w:r>
        <w:rPr>
          <w:rFonts w:ascii="Verdana" w:hAnsi="Verdana" w:cs="Verdana"/>
          <w:sz w:val="20"/>
          <w:szCs w:val="20"/>
          <w:lang w:val="es-ES"/>
        </w:rPr>
        <w:t xml:space="preserve"> 31.2, 35.1, 40.2, 41.1, </w:t>
      </w:r>
      <w:r w:rsidRPr="000B3EA0">
        <w:rPr>
          <w:rFonts w:ascii="Verdana" w:hAnsi="Verdana" w:cs="Verdana"/>
          <w:sz w:val="20"/>
          <w:szCs w:val="20"/>
          <w:lang w:val="es-ES"/>
        </w:rPr>
        <w:t>45 a 48,</w:t>
      </w:r>
      <w:r>
        <w:rPr>
          <w:rFonts w:ascii="Verdana" w:hAnsi="Verdana" w:cs="Verdana"/>
          <w:sz w:val="20"/>
          <w:szCs w:val="20"/>
          <w:lang w:val="es-ES"/>
        </w:rPr>
        <w:t xml:space="preserve"> y 60</w:t>
      </w:r>
      <w:r w:rsidRPr="00041AE6">
        <w:rPr>
          <w:rFonts w:ascii="Verdana" w:hAnsi="Verdana" w:cs="Verdana"/>
          <w:sz w:val="20"/>
          <w:szCs w:val="20"/>
          <w:lang w:val="es-ES"/>
        </w:rPr>
        <w:t xml:space="preserve"> del Reglamento,</w:t>
      </w:r>
    </w:p>
    <w:p w:rsidR="002B39C3" w:rsidRPr="00041AE6" w:rsidRDefault="002B39C3" w:rsidP="002B39C3">
      <w:pPr>
        <w:spacing w:after="0" w:line="240" w:lineRule="auto"/>
        <w:jc w:val="both"/>
        <w:rPr>
          <w:rFonts w:ascii="Verdana" w:hAnsi="Verdana" w:cs="Verdana"/>
          <w:sz w:val="20"/>
          <w:szCs w:val="20"/>
          <w:lang w:val="es-ES"/>
        </w:rPr>
      </w:pPr>
    </w:p>
    <w:p w:rsidR="002B39C3" w:rsidRPr="00041AE6" w:rsidRDefault="002B39C3" w:rsidP="002B39C3">
      <w:pPr>
        <w:spacing w:after="0" w:line="240" w:lineRule="auto"/>
        <w:jc w:val="both"/>
        <w:rPr>
          <w:rFonts w:ascii="Verdana" w:hAnsi="Verdana" w:cs="Verdana"/>
          <w:sz w:val="20"/>
          <w:szCs w:val="20"/>
          <w:lang w:val="es-ES"/>
        </w:rPr>
      </w:pPr>
    </w:p>
    <w:p w:rsidR="002B39C3" w:rsidRPr="00041AE6" w:rsidRDefault="002B39C3" w:rsidP="002B39C3">
      <w:pPr>
        <w:spacing w:after="0" w:line="240" w:lineRule="auto"/>
        <w:jc w:val="both"/>
        <w:rPr>
          <w:rFonts w:ascii="Verdana" w:hAnsi="Verdana" w:cs="Verdana"/>
          <w:b/>
          <w:bCs/>
          <w:sz w:val="20"/>
          <w:szCs w:val="20"/>
          <w:lang w:val="es-ES"/>
        </w:rPr>
      </w:pPr>
      <w:r w:rsidRPr="00041AE6">
        <w:rPr>
          <w:rFonts w:ascii="Verdana" w:hAnsi="Verdana" w:cs="Verdana"/>
          <w:b/>
          <w:bCs/>
          <w:sz w:val="20"/>
          <w:szCs w:val="20"/>
          <w:lang w:val="es-ES"/>
        </w:rPr>
        <w:t>RESUELVE:</w:t>
      </w:r>
    </w:p>
    <w:p w:rsidR="002B39C3" w:rsidRPr="00041AE6" w:rsidRDefault="002B39C3" w:rsidP="002B39C3">
      <w:pPr>
        <w:spacing w:after="0" w:line="240" w:lineRule="auto"/>
        <w:jc w:val="both"/>
        <w:rPr>
          <w:rFonts w:ascii="Verdana" w:hAnsi="Verdana" w:cs="Verdana"/>
          <w:b/>
          <w:bCs/>
          <w:sz w:val="20"/>
          <w:szCs w:val="20"/>
          <w:lang w:val="es-ES"/>
        </w:rPr>
      </w:pPr>
    </w:p>
    <w:p w:rsidR="002B39C3" w:rsidRPr="009D7A99" w:rsidRDefault="002B39C3" w:rsidP="002B39C3">
      <w:pPr>
        <w:numPr>
          <w:ilvl w:val="3"/>
          <w:numId w:val="5"/>
        </w:numPr>
        <w:tabs>
          <w:tab w:val="left" w:pos="567"/>
        </w:tabs>
        <w:spacing w:after="0" w:line="240" w:lineRule="auto"/>
        <w:ind w:left="0" w:firstLine="0"/>
        <w:jc w:val="both"/>
        <w:rPr>
          <w:rFonts w:ascii="Verdana" w:eastAsia="MS Mincho" w:hAnsi="Verdana" w:cs="Times"/>
          <w:sz w:val="20"/>
          <w:szCs w:val="20"/>
          <w:lang w:val="es-ES"/>
        </w:rPr>
      </w:pPr>
      <w:bookmarkStart w:id="5" w:name="_Ref230577466"/>
      <w:r w:rsidRPr="009D7A99">
        <w:rPr>
          <w:rFonts w:ascii="Verdana" w:hAnsi="Verdana" w:cs="Verdana"/>
          <w:color w:val="000000"/>
          <w:sz w:val="20"/>
          <w:szCs w:val="20"/>
          <w:lang w:val="es-ES" w:eastAsia="es-ES"/>
        </w:rPr>
        <w:t>Convocar</w:t>
      </w:r>
      <w:r w:rsidRPr="009D7A99">
        <w:rPr>
          <w:rFonts w:ascii="Verdana" w:eastAsia="MS Mincho" w:hAnsi="Verdana" w:cs="Times"/>
          <w:sz w:val="20"/>
          <w:szCs w:val="20"/>
          <w:lang w:val="es-ES"/>
        </w:rPr>
        <w:t xml:space="preserve"> al Estado, a los representantes y a la Comisión Interamericana a una audiencia </w:t>
      </w:r>
      <w:r w:rsidRPr="009D7A99">
        <w:rPr>
          <w:rFonts w:ascii="Verdana" w:hAnsi="Verdana" w:cs="Verdana"/>
          <w:sz w:val="20"/>
          <w:szCs w:val="20"/>
          <w:lang w:val="es-ES"/>
        </w:rPr>
        <w:t xml:space="preserve">que se celebrará </w:t>
      </w:r>
      <w:r w:rsidR="00125688" w:rsidRPr="00C71ACE">
        <w:rPr>
          <w:rFonts w:ascii="Verdana" w:hAnsi="Verdana" w:cs="Verdana"/>
          <w:sz w:val="20"/>
          <w:szCs w:val="20"/>
          <w:lang w:val="es-ES"/>
        </w:rPr>
        <w:t>el día</w:t>
      </w:r>
      <w:r w:rsidRPr="00C71ACE">
        <w:rPr>
          <w:rFonts w:ascii="Verdana" w:hAnsi="Verdana" w:cs="Verdana"/>
          <w:sz w:val="20"/>
          <w:szCs w:val="20"/>
          <w:lang w:val="es-ES"/>
        </w:rPr>
        <w:t xml:space="preserve"> lunes 27 de agosto de 2018 a partir de las 15:00 horas</w:t>
      </w:r>
      <w:r w:rsidR="00125688" w:rsidRPr="00C71ACE">
        <w:rPr>
          <w:rFonts w:ascii="Verdana" w:hAnsi="Verdana" w:cs="Verdana"/>
          <w:sz w:val="20"/>
          <w:szCs w:val="20"/>
          <w:lang w:val="es-ES"/>
        </w:rPr>
        <w:t>,</w:t>
      </w:r>
      <w:r w:rsidRPr="00C71ACE">
        <w:rPr>
          <w:rFonts w:ascii="Verdana" w:hAnsi="Verdana" w:cs="Verdana"/>
          <w:sz w:val="20"/>
          <w:szCs w:val="20"/>
          <w:lang w:val="es-ES"/>
        </w:rPr>
        <w:t xml:space="preserve"> durante el 59° </w:t>
      </w:r>
      <w:r w:rsidRPr="00C71ACE">
        <w:rPr>
          <w:rFonts w:ascii="Verdana" w:hAnsi="Verdana"/>
          <w:sz w:val="20"/>
          <w:szCs w:val="20"/>
        </w:rPr>
        <w:t xml:space="preserve">Período Extraordinario de Sesiones, </w:t>
      </w:r>
      <w:r w:rsidRPr="009D7A99">
        <w:rPr>
          <w:rFonts w:ascii="Verdana" w:hAnsi="Verdana"/>
          <w:sz w:val="20"/>
          <w:szCs w:val="20"/>
        </w:rPr>
        <w:t>que se ll</w:t>
      </w:r>
      <w:r>
        <w:rPr>
          <w:rFonts w:ascii="Verdana" w:hAnsi="Verdana"/>
          <w:sz w:val="20"/>
          <w:szCs w:val="20"/>
        </w:rPr>
        <w:t>evará a cabo en la ciudad de San</w:t>
      </w:r>
      <w:r w:rsidRPr="009D7A99">
        <w:rPr>
          <w:rFonts w:ascii="Verdana" w:hAnsi="Verdana"/>
          <w:sz w:val="20"/>
          <w:szCs w:val="20"/>
        </w:rPr>
        <w:t xml:space="preserve"> Salvador, República de El Salvador</w:t>
      </w:r>
      <w:r w:rsidRPr="009D7A99">
        <w:rPr>
          <w:rFonts w:ascii="Verdana" w:hAnsi="Verdana"/>
          <w:sz w:val="20"/>
          <w:szCs w:val="20"/>
          <w:lang w:val="es-ES"/>
        </w:rPr>
        <w:t xml:space="preserve">, </w:t>
      </w:r>
      <w:r w:rsidR="00702DC7">
        <w:rPr>
          <w:rFonts w:ascii="Verdana" w:hAnsi="Verdana"/>
          <w:sz w:val="20"/>
          <w:szCs w:val="20"/>
          <w:lang w:val="es-ES"/>
        </w:rPr>
        <w:t xml:space="preserve">en la sede del Ministerio de Relaciones Exteriores, </w:t>
      </w:r>
      <w:r w:rsidR="00125688">
        <w:rPr>
          <w:rFonts w:ascii="Verdana" w:hAnsi="Verdana"/>
          <w:sz w:val="20"/>
          <w:szCs w:val="20"/>
        </w:rPr>
        <w:t>para recibir la declaración de la persona que a continuación se menciona</w:t>
      </w:r>
      <w:r w:rsidRPr="009D7A99">
        <w:rPr>
          <w:rFonts w:ascii="Verdana" w:hAnsi="Verdana"/>
          <w:sz w:val="20"/>
          <w:szCs w:val="20"/>
        </w:rPr>
        <w:t xml:space="preserve"> y para recibir los alegatos finales orales y observaciones finales oral</w:t>
      </w:r>
      <w:r>
        <w:rPr>
          <w:rFonts w:ascii="Verdana" w:hAnsi="Verdana"/>
          <w:sz w:val="20"/>
          <w:szCs w:val="20"/>
        </w:rPr>
        <w:t>es, respectivamente, sobre la excepción preliminar</w:t>
      </w:r>
      <w:r w:rsidRPr="009D7A99">
        <w:rPr>
          <w:rFonts w:ascii="Verdana" w:hAnsi="Verdana"/>
          <w:sz w:val="20"/>
          <w:szCs w:val="20"/>
        </w:rPr>
        <w:t xml:space="preserve"> y eventuales fondo, reparaciones</w:t>
      </w:r>
      <w:r>
        <w:rPr>
          <w:rFonts w:ascii="Verdana" w:hAnsi="Verdana"/>
          <w:sz w:val="20"/>
          <w:szCs w:val="20"/>
        </w:rPr>
        <w:t xml:space="preserve"> y costas</w:t>
      </w:r>
      <w:r w:rsidRPr="009D7A99">
        <w:rPr>
          <w:rFonts w:ascii="Verdana" w:hAnsi="Verdana"/>
          <w:sz w:val="20"/>
          <w:szCs w:val="20"/>
        </w:rPr>
        <w:t>:</w:t>
      </w:r>
      <w:bookmarkEnd w:id="5"/>
    </w:p>
    <w:p w:rsidR="002B39C3" w:rsidRDefault="002B39C3" w:rsidP="00897A9F">
      <w:pPr>
        <w:tabs>
          <w:tab w:val="left" w:pos="142"/>
          <w:tab w:val="left" w:pos="567"/>
        </w:tabs>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897A9F">
      <w:pPr>
        <w:numPr>
          <w:ilvl w:val="0"/>
          <w:numId w:val="6"/>
        </w:numPr>
        <w:tabs>
          <w:tab w:val="left" w:pos="142"/>
          <w:tab w:val="left" w:pos="993"/>
        </w:tabs>
        <w:spacing w:after="0" w:line="240" w:lineRule="auto"/>
        <w:ind w:left="0" w:hanging="426"/>
        <w:jc w:val="both"/>
        <w:rPr>
          <w:rFonts w:ascii="Verdana" w:hAnsi="Verdana" w:cs="Verdana"/>
          <w:b/>
          <w:bCs/>
          <w:i/>
          <w:iCs/>
          <w:sz w:val="20"/>
          <w:szCs w:val="20"/>
          <w:lang w:val="es-ES"/>
        </w:rPr>
      </w:pPr>
      <w:r>
        <w:rPr>
          <w:rFonts w:ascii="Verdana" w:hAnsi="Verdana" w:cs="Verdana"/>
          <w:b/>
          <w:bCs/>
          <w:i/>
          <w:iCs/>
          <w:sz w:val="20"/>
          <w:szCs w:val="20"/>
          <w:lang w:val="es-ES"/>
        </w:rPr>
        <w:t>Presunta víctima</w:t>
      </w:r>
    </w:p>
    <w:p w:rsidR="002B39C3" w:rsidRPr="00041AE6" w:rsidRDefault="002B39C3" w:rsidP="00897A9F">
      <w:pPr>
        <w:tabs>
          <w:tab w:val="left" w:pos="142"/>
          <w:tab w:val="left" w:pos="993"/>
        </w:tabs>
        <w:spacing w:after="0" w:line="240" w:lineRule="auto"/>
        <w:jc w:val="both"/>
        <w:rPr>
          <w:rFonts w:ascii="Verdana" w:hAnsi="Verdana" w:cs="Verdana"/>
          <w:bCs/>
          <w:i/>
          <w:iCs/>
          <w:sz w:val="20"/>
          <w:szCs w:val="20"/>
          <w:lang w:val="es-ES"/>
        </w:rPr>
      </w:pPr>
    </w:p>
    <w:p w:rsidR="002B39C3" w:rsidRPr="00041AE6" w:rsidRDefault="002B39C3" w:rsidP="00897A9F">
      <w:pPr>
        <w:tabs>
          <w:tab w:val="left" w:pos="142"/>
          <w:tab w:val="left" w:pos="993"/>
        </w:tabs>
        <w:spacing w:after="0" w:line="240" w:lineRule="auto"/>
        <w:jc w:val="both"/>
        <w:rPr>
          <w:rFonts w:ascii="Verdana" w:hAnsi="Verdana" w:cs="Verdana"/>
          <w:bCs/>
          <w:i/>
          <w:iCs/>
          <w:sz w:val="20"/>
          <w:szCs w:val="20"/>
          <w:lang w:val="es-ES"/>
        </w:rPr>
      </w:pPr>
      <w:r w:rsidRPr="00041AE6">
        <w:rPr>
          <w:rFonts w:ascii="Verdana" w:hAnsi="Verdana" w:cs="Verdana"/>
          <w:bCs/>
          <w:i/>
          <w:iCs/>
          <w:sz w:val="20"/>
          <w:szCs w:val="20"/>
          <w:lang w:val="es-ES"/>
        </w:rPr>
        <w:tab/>
        <w:t>Propuest</w:t>
      </w:r>
      <w:r>
        <w:rPr>
          <w:rFonts w:ascii="Verdana" w:hAnsi="Verdana" w:cs="Verdana"/>
          <w:bCs/>
          <w:i/>
          <w:iCs/>
          <w:sz w:val="20"/>
          <w:szCs w:val="20"/>
          <w:lang w:val="es-ES"/>
        </w:rPr>
        <w:t>o</w:t>
      </w:r>
      <w:r w:rsidRPr="00041AE6">
        <w:rPr>
          <w:rFonts w:ascii="Verdana" w:hAnsi="Verdana" w:cs="Verdana"/>
          <w:bCs/>
          <w:i/>
          <w:iCs/>
          <w:sz w:val="20"/>
          <w:szCs w:val="20"/>
          <w:lang w:val="es-ES"/>
        </w:rPr>
        <w:t xml:space="preserve"> por los representantes</w:t>
      </w:r>
    </w:p>
    <w:p w:rsidR="002B39C3" w:rsidRPr="00041AE6" w:rsidRDefault="002B39C3" w:rsidP="00897A9F">
      <w:pPr>
        <w:tabs>
          <w:tab w:val="left" w:pos="142"/>
          <w:tab w:val="left" w:pos="567"/>
        </w:tabs>
        <w:spacing w:after="0" w:line="240" w:lineRule="auto"/>
        <w:jc w:val="both"/>
        <w:rPr>
          <w:rFonts w:ascii="Verdana" w:hAnsi="Verdana" w:cs="Verdana"/>
          <w:i/>
          <w:iCs/>
          <w:sz w:val="20"/>
          <w:szCs w:val="20"/>
          <w:lang w:val="es-ES"/>
        </w:rPr>
      </w:pPr>
    </w:p>
    <w:p w:rsidR="002B39C3" w:rsidRPr="002F574C" w:rsidRDefault="002B39C3" w:rsidP="00146D3C">
      <w:pPr>
        <w:widowControl w:val="0"/>
        <w:tabs>
          <w:tab w:val="left" w:pos="142"/>
          <w:tab w:val="left" w:pos="993"/>
          <w:tab w:val="left" w:pos="1134"/>
        </w:tabs>
        <w:autoSpaceDE w:val="0"/>
        <w:autoSpaceDN w:val="0"/>
        <w:adjustRightInd w:val="0"/>
        <w:spacing w:after="0" w:line="240" w:lineRule="auto"/>
        <w:ind w:left="567" w:right="22"/>
        <w:jc w:val="both"/>
        <w:rPr>
          <w:rFonts w:ascii="Verdana" w:hAnsi="Verdana" w:cs="Verdana"/>
          <w:sz w:val="20"/>
          <w:szCs w:val="20"/>
          <w:lang w:val="es-ES"/>
        </w:rPr>
      </w:pPr>
      <w:r w:rsidRPr="00C5046A">
        <w:rPr>
          <w:rFonts w:ascii="Verdana" w:hAnsi="Verdana" w:cs="Verdana"/>
          <w:bCs/>
          <w:i/>
          <w:sz w:val="20"/>
          <w:szCs w:val="20"/>
          <w:lang w:val="es-ES"/>
        </w:rPr>
        <w:t>Antonio Gómez Areano</w:t>
      </w:r>
      <w:r w:rsidRPr="002F574C">
        <w:rPr>
          <w:rFonts w:ascii="Verdana" w:hAnsi="Verdana" w:cs="Verdana"/>
          <w:bCs/>
          <w:i/>
          <w:sz w:val="20"/>
          <w:szCs w:val="20"/>
          <w:lang w:val="es-ES"/>
        </w:rPr>
        <w:t xml:space="preserve"> (padre de </w:t>
      </w:r>
      <w:r>
        <w:rPr>
          <w:rFonts w:ascii="Verdana" w:hAnsi="Verdana" w:cs="Verdana"/>
          <w:bCs/>
          <w:i/>
          <w:sz w:val="20"/>
          <w:szCs w:val="20"/>
          <w:lang w:val="es-ES"/>
        </w:rPr>
        <w:t xml:space="preserve">Alejandro Yovany </w:t>
      </w:r>
      <w:r w:rsidRPr="002F574C">
        <w:rPr>
          <w:rFonts w:ascii="Verdana" w:hAnsi="Verdana" w:cs="Verdana"/>
          <w:bCs/>
          <w:i/>
          <w:sz w:val="20"/>
          <w:szCs w:val="20"/>
          <w:lang w:val="es-ES"/>
        </w:rPr>
        <w:t>Gómez Virula)</w:t>
      </w:r>
      <w:r w:rsidRPr="002F574C">
        <w:rPr>
          <w:rFonts w:ascii="Verdana" w:hAnsi="Verdana" w:cs="Verdana"/>
          <w:bCs/>
          <w:sz w:val="20"/>
          <w:szCs w:val="20"/>
          <w:lang w:val="es-ES"/>
        </w:rPr>
        <w:t xml:space="preserve">, </w:t>
      </w:r>
      <w:r w:rsidRPr="002F574C">
        <w:rPr>
          <w:rFonts w:ascii="Verdana" w:hAnsi="Verdana"/>
          <w:sz w:val="20"/>
          <w:szCs w:val="20"/>
          <w:lang w:val="es-ES"/>
        </w:rPr>
        <w:t xml:space="preserve">quien declarará sobre: i) la actividad sindical de su hijo; ii) la desaparición de su hijo y </w:t>
      </w:r>
      <w:r>
        <w:rPr>
          <w:rFonts w:ascii="Verdana" w:hAnsi="Verdana"/>
          <w:sz w:val="20"/>
          <w:szCs w:val="20"/>
          <w:lang w:val="es-ES"/>
        </w:rPr>
        <w:t>la manera a través de la cual</w:t>
      </w:r>
      <w:r w:rsidRPr="002F574C">
        <w:rPr>
          <w:rFonts w:ascii="Verdana" w:hAnsi="Verdana"/>
          <w:sz w:val="20"/>
          <w:szCs w:val="20"/>
          <w:lang w:val="es-ES"/>
        </w:rPr>
        <w:t xml:space="preserve"> se enteró de la misma; iii) las autoridades del Esta</w:t>
      </w:r>
      <w:r w:rsidR="00C71ACE">
        <w:rPr>
          <w:rFonts w:ascii="Verdana" w:hAnsi="Verdana"/>
          <w:sz w:val="20"/>
          <w:szCs w:val="20"/>
          <w:lang w:val="es-ES"/>
        </w:rPr>
        <w:t>do ante las cuales presentó</w:t>
      </w:r>
      <w:r w:rsidRPr="002F574C">
        <w:rPr>
          <w:rFonts w:ascii="Verdana" w:hAnsi="Verdana"/>
          <w:sz w:val="20"/>
          <w:szCs w:val="20"/>
          <w:lang w:val="es-ES"/>
        </w:rPr>
        <w:t xml:space="preserve"> la denuncia de desaparició</w:t>
      </w:r>
      <w:r>
        <w:rPr>
          <w:rFonts w:ascii="Verdana" w:hAnsi="Verdana"/>
          <w:sz w:val="20"/>
          <w:szCs w:val="20"/>
          <w:lang w:val="es-ES"/>
        </w:rPr>
        <w:t>n, las respuestas que obtuvo</w:t>
      </w:r>
      <w:r w:rsidRPr="002F574C">
        <w:rPr>
          <w:rFonts w:ascii="Verdana" w:hAnsi="Verdana"/>
          <w:sz w:val="20"/>
          <w:szCs w:val="20"/>
          <w:lang w:val="es-ES"/>
        </w:rPr>
        <w:t xml:space="preserve"> de las mismas, así como la investigación que aquellas llevaron a cabo en relación con la desaparición; iv) la forma mediante la cual </w:t>
      </w:r>
      <w:r>
        <w:rPr>
          <w:rFonts w:ascii="Verdana" w:hAnsi="Verdana"/>
          <w:sz w:val="20"/>
          <w:szCs w:val="20"/>
          <w:lang w:val="es-ES"/>
        </w:rPr>
        <w:t>tomó conocimiento</w:t>
      </w:r>
      <w:r w:rsidRPr="002F574C">
        <w:rPr>
          <w:rFonts w:ascii="Verdana" w:hAnsi="Verdana"/>
          <w:sz w:val="20"/>
          <w:szCs w:val="20"/>
          <w:lang w:val="es-ES"/>
        </w:rPr>
        <w:t xml:space="preserve"> </w:t>
      </w:r>
      <w:r>
        <w:rPr>
          <w:rFonts w:ascii="Verdana" w:hAnsi="Verdana"/>
          <w:sz w:val="20"/>
          <w:szCs w:val="20"/>
          <w:lang w:val="es-ES"/>
        </w:rPr>
        <w:t>d</w:t>
      </w:r>
      <w:r w:rsidRPr="002F574C">
        <w:rPr>
          <w:rFonts w:ascii="Verdana" w:hAnsi="Verdana"/>
          <w:sz w:val="20"/>
          <w:szCs w:val="20"/>
          <w:lang w:val="es-ES"/>
        </w:rPr>
        <w:t>el hallazgo del cadáver de su hijo, y</w:t>
      </w:r>
      <w:r>
        <w:rPr>
          <w:rFonts w:ascii="Verdana" w:hAnsi="Verdana"/>
          <w:sz w:val="20"/>
          <w:szCs w:val="20"/>
          <w:lang w:val="es-ES"/>
        </w:rPr>
        <w:t xml:space="preserve"> las condiciones en las que se habría encontrado el cuerpo cuando vio su cadáver; v)</w:t>
      </w:r>
      <w:r w:rsidRPr="002F574C">
        <w:rPr>
          <w:rFonts w:ascii="Verdana" w:hAnsi="Verdana"/>
          <w:sz w:val="20"/>
          <w:szCs w:val="20"/>
          <w:lang w:val="es-ES"/>
        </w:rPr>
        <w:t xml:space="preserve"> las pertenencias u objetos que habría tenido su hijo cu</w:t>
      </w:r>
      <w:r>
        <w:rPr>
          <w:rFonts w:ascii="Verdana" w:hAnsi="Verdana"/>
          <w:sz w:val="20"/>
          <w:szCs w:val="20"/>
          <w:lang w:val="es-ES"/>
        </w:rPr>
        <w:t>ando lo encontraron sin vida, y</w:t>
      </w:r>
      <w:r w:rsidRPr="002F574C">
        <w:rPr>
          <w:rFonts w:ascii="Verdana" w:hAnsi="Verdana"/>
          <w:sz w:val="20"/>
          <w:szCs w:val="20"/>
          <w:lang w:val="es-ES"/>
        </w:rPr>
        <w:t xml:space="preserve"> v</w:t>
      </w:r>
      <w:r>
        <w:rPr>
          <w:rFonts w:ascii="Verdana" w:hAnsi="Verdana"/>
          <w:sz w:val="20"/>
          <w:szCs w:val="20"/>
          <w:lang w:val="es-ES"/>
        </w:rPr>
        <w:t>i</w:t>
      </w:r>
      <w:r w:rsidRPr="002F574C">
        <w:rPr>
          <w:rFonts w:ascii="Verdana" w:hAnsi="Verdana"/>
          <w:sz w:val="20"/>
          <w:szCs w:val="20"/>
          <w:lang w:val="es-ES"/>
        </w:rPr>
        <w:t xml:space="preserve">) </w:t>
      </w:r>
      <w:r>
        <w:rPr>
          <w:rFonts w:ascii="Verdana" w:hAnsi="Verdana"/>
          <w:sz w:val="20"/>
          <w:szCs w:val="20"/>
          <w:lang w:val="es-ES"/>
        </w:rPr>
        <w:t>el daño físico, psíquico y moral que ha</w:t>
      </w:r>
      <w:r w:rsidR="00CE0602">
        <w:rPr>
          <w:rFonts w:ascii="Verdana" w:hAnsi="Verdana"/>
          <w:sz w:val="20"/>
          <w:szCs w:val="20"/>
          <w:lang w:val="es-ES"/>
        </w:rPr>
        <w:t>bría</w:t>
      </w:r>
      <w:r>
        <w:rPr>
          <w:rFonts w:ascii="Verdana" w:hAnsi="Verdana"/>
          <w:sz w:val="20"/>
          <w:szCs w:val="20"/>
          <w:lang w:val="es-ES"/>
        </w:rPr>
        <w:t xml:space="preserve"> sufrido por la desaparición y muerte de su hijo, así como por la alegada falta de justicia.</w:t>
      </w:r>
    </w:p>
    <w:p w:rsidR="002B39C3" w:rsidRPr="00041AE6" w:rsidRDefault="002B39C3" w:rsidP="002B39C3">
      <w:pPr>
        <w:tabs>
          <w:tab w:val="left" w:pos="567"/>
        </w:tabs>
        <w:spacing w:after="0" w:line="240" w:lineRule="auto"/>
        <w:jc w:val="both"/>
        <w:rPr>
          <w:rFonts w:ascii="Verdana" w:hAnsi="Verdana"/>
          <w:sz w:val="20"/>
          <w:szCs w:val="20"/>
          <w:lang w:val="es-ES"/>
        </w:rPr>
      </w:pPr>
    </w:p>
    <w:p w:rsidR="002B39C3" w:rsidRPr="00041AE6" w:rsidRDefault="002B39C3" w:rsidP="002B39C3">
      <w:pPr>
        <w:numPr>
          <w:ilvl w:val="0"/>
          <w:numId w:val="4"/>
        </w:numPr>
        <w:tabs>
          <w:tab w:val="clear" w:pos="1440"/>
          <w:tab w:val="left" w:pos="567"/>
          <w:tab w:val="num" w:pos="3600"/>
        </w:tabs>
        <w:spacing w:after="0" w:line="240" w:lineRule="auto"/>
        <w:jc w:val="both"/>
        <w:rPr>
          <w:rFonts w:ascii="Verdana" w:hAnsi="Verdana"/>
          <w:sz w:val="20"/>
          <w:lang w:val="es-ES"/>
        </w:rPr>
      </w:pPr>
      <w:r w:rsidRPr="00041AE6">
        <w:rPr>
          <w:rFonts w:ascii="Verdana" w:hAnsi="Verdana" w:cs="Verdana"/>
          <w:color w:val="000000"/>
          <w:sz w:val="20"/>
          <w:szCs w:val="20"/>
          <w:lang w:val="es-ES" w:eastAsia="es-ES"/>
        </w:rPr>
        <w:t xml:space="preserve">Requerir al Estado de </w:t>
      </w:r>
      <w:r>
        <w:rPr>
          <w:rFonts w:ascii="Verdana" w:hAnsi="Verdana" w:cs="Verdana"/>
          <w:color w:val="000000"/>
          <w:sz w:val="20"/>
          <w:szCs w:val="20"/>
          <w:lang w:val="es-ES" w:eastAsia="es-ES"/>
        </w:rPr>
        <w:t>Guatemala</w:t>
      </w:r>
      <w:r w:rsidRPr="00041AE6">
        <w:rPr>
          <w:rFonts w:ascii="Verdana" w:hAnsi="Verdana" w:cs="Verdana"/>
          <w:color w:val="000000"/>
          <w:sz w:val="20"/>
          <w:szCs w:val="20"/>
          <w:lang w:val="es-ES" w:eastAsia="es-ES"/>
        </w:rPr>
        <w:t xml:space="preserve"> que facilite la salida y entrada de su territorio de</w:t>
      </w:r>
      <w:r w:rsidR="00E82516">
        <w:rPr>
          <w:rFonts w:ascii="Verdana" w:hAnsi="Verdana" w:cs="Verdana"/>
          <w:color w:val="000000"/>
          <w:sz w:val="20"/>
          <w:szCs w:val="20"/>
          <w:lang w:val="es-ES" w:eastAsia="es-ES"/>
        </w:rPr>
        <w:t>l</w:t>
      </w:r>
      <w:r w:rsidRPr="00041AE6">
        <w:rPr>
          <w:rFonts w:ascii="Verdana" w:hAnsi="Verdana" w:cs="Verdana"/>
          <w:color w:val="000000"/>
          <w:sz w:val="20"/>
          <w:szCs w:val="20"/>
          <w:lang w:val="es-ES" w:eastAsia="es-ES"/>
        </w:rPr>
        <w:t xml:space="preserve"> </w:t>
      </w:r>
      <w:r>
        <w:rPr>
          <w:rFonts w:ascii="Verdana" w:hAnsi="Verdana" w:cs="Verdana"/>
          <w:color w:val="000000"/>
          <w:sz w:val="20"/>
          <w:szCs w:val="20"/>
          <w:lang w:val="es-ES" w:eastAsia="es-ES"/>
        </w:rPr>
        <w:t>declarante, si reside</w:t>
      </w:r>
      <w:r w:rsidRPr="00041AE6">
        <w:rPr>
          <w:rFonts w:ascii="Verdana" w:hAnsi="Verdana" w:cs="Verdana"/>
          <w:color w:val="000000"/>
          <w:sz w:val="20"/>
          <w:szCs w:val="20"/>
          <w:lang w:val="es-ES" w:eastAsia="es-ES"/>
        </w:rPr>
        <w:t xml:space="preserve"> o se encuentra</w:t>
      </w:r>
      <w:r>
        <w:rPr>
          <w:rFonts w:ascii="Verdana" w:hAnsi="Verdana" w:cs="Verdana"/>
          <w:color w:val="000000"/>
          <w:sz w:val="20"/>
          <w:szCs w:val="20"/>
          <w:lang w:val="es-ES" w:eastAsia="es-ES"/>
        </w:rPr>
        <w:t xml:space="preserve"> en él, quien ha sido citado</w:t>
      </w:r>
      <w:r w:rsidRPr="00041AE6">
        <w:rPr>
          <w:rFonts w:ascii="Verdana" w:hAnsi="Verdana" w:cs="Verdana"/>
          <w:color w:val="000000"/>
          <w:sz w:val="20"/>
          <w:szCs w:val="20"/>
          <w:lang w:val="es-ES" w:eastAsia="es-ES"/>
        </w:rPr>
        <w:t xml:space="preserve"> en la presente Resolución a rendir declaración en la referida audiencia pública, de conformidad con lo dispuesto en el artículo 26.1 del Reglamento de la Corte.</w:t>
      </w:r>
    </w:p>
    <w:p w:rsidR="002B39C3" w:rsidRPr="00041AE6" w:rsidRDefault="002B39C3" w:rsidP="002B39C3">
      <w:pPr>
        <w:tabs>
          <w:tab w:val="left" w:pos="567"/>
        </w:tabs>
        <w:spacing w:after="0" w:line="240" w:lineRule="auto"/>
        <w:jc w:val="both"/>
        <w:rPr>
          <w:rFonts w:ascii="Verdana" w:hAnsi="Verdana"/>
          <w:sz w:val="20"/>
          <w:lang w:val="es-ES"/>
        </w:rPr>
      </w:pPr>
    </w:p>
    <w:p w:rsidR="002B39C3" w:rsidRPr="00041AE6" w:rsidRDefault="002B39C3" w:rsidP="002B39C3">
      <w:pPr>
        <w:numPr>
          <w:ilvl w:val="0"/>
          <w:numId w:val="4"/>
        </w:numPr>
        <w:tabs>
          <w:tab w:val="clear" w:pos="1440"/>
          <w:tab w:val="left" w:pos="567"/>
          <w:tab w:val="num" w:pos="3600"/>
        </w:tabs>
        <w:spacing w:after="0" w:line="240" w:lineRule="auto"/>
        <w:jc w:val="both"/>
        <w:rPr>
          <w:rFonts w:ascii="Verdana" w:hAnsi="Verdana"/>
          <w:sz w:val="20"/>
          <w:szCs w:val="20"/>
          <w:lang w:val="es-ES"/>
        </w:rPr>
      </w:pPr>
      <w:r w:rsidRPr="00041AE6">
        <w:rPr>
          <w:rFonts w:ascii="Verdana" w:hAnsi="Verdana"/>
          <w:sz w:val="20"/>
          <w:lang w:val="es-ES"/>
        </w:rPr>
        <w:t>Requerir, por las razones expuestas en la presente Resolución, de conformidad con el principio de economía procesal y de la facultad que le otorga el artículo 50.1 del</w:t>
      </w:r>
      <w:r>
        <w:rPr>
          <w:rFonts w:ascii="Verdana" w:hAnsi="Verdana"/>
          <w:sz w:val="20"/>
          <w:lang w:val="es-ES"/>
        </w:rPr>
        <w:t xml:space="preserve"> Reglamento de la Corte, que la siguiente persona preste</w:t>
      </w:r>
      <w:r w:rsidRPr="00041AE6">
        <w:rPr>
          <w:rFonts w:ascii="Verdana" w:hAnsi="Verdana"/>
          <w:sz w:val="20"/>
          <w:lang w:val="es-ES"/>
        </w:rPr>
        <w:t xml:space="preserve"> su declaración ante fedatario público:</w:t>
      </w:r>
    </w:p>
    <w:p w:rsidR="002B39C3" w:rsidRPr="00041AE6" w:rsidRDefault="002B39C3" w:rsidP="002B39C3">
      <w:pPr>
        <w:widowControl w:val="0"/>
        <w:tabs>
          <w:tab w:val="left" w:pos="709"/>
          <w:tab w:val="left" w:pos="1134"/>
        </w:tabs>
        <w:autoSpaceDE w:val="0"/>
        <w:autoSpaceDN w:val="0"/>
        <w:adjustRightInd w:val="0"/>
        <w:spacing w:after="0" w:line="240" w:lineRule="auto"/>
        <w:ind w:right="22"/>
        <w:jc w:val="both"/>
        <w:rPr>
          <w:rFonts w:ascii="Verdana" w:hAnsi="Verdana"/>
          <w:sz w:val="20"/>
          <w:szCs w:val="20"/>
          <w:lang w:val="es-ES"/>
        </w:rPr>
      </w:pPr>
    </w:p>
    <w:p w:rsidR="002B39C3" w:rsidRPr="00041AE6" w:rsidRDefault="002B39C3" w:rsidP="00146D3C">
      <w:pPr>
        <w:numPr>
          <w:ilvl w:val="0"/>
          <w:numId w:val="8"/>
        </w:numPr>
        <w:tabs>
          <w:tab w:val="left" w:pos="993"/>
        </w:tabs>
        <w:spacing w:after="0" w:line="240" w:lineRule="auto"/>
        <w:ind w:hanging="2796"/>
        <w:jc w:val="both"/>
        <w:rPr>
          <w:rFonts w:ascii="Verdana" w:hAnsi="Verdana" w:cs="Verdana"/>
          <w:b/>
          <w:bCs/>
          <w:i/>
          <w:iCs/>
          <w:sz w:val="20"/>
          <w:szCs w:val="20"/>
          <w:lang w:val="es-ES"/>
        </w:rPr>
      </w:pPr>
      <w:r w:rsidRPr="00041AE6">
        <w:rPr>
          <w:rFonts w:ascii="Verdana" w:hAnsi="Verdana" w:cs="Verdana"/>
          <w:b/>
          <w:bCs/>
          <w:i/>
          <w:iCs/>
          <w:sz w:val="20"/>
          <w:szCs w:val="20"/>
          <w:lang w:val="es-ES"/>
        </w:rPr>
        <w:t>Testigo</w:t>
      </w:r>
    </w:p>
    <w:p w:rsidR="002B39C3" w:rsidRPr="00041AE6" w:rsidRDefault="002B39C3" w:rsidP="002B39C3">
      <w:pPr>
        <w:tabs>
          <w:tab w:val="left" w:pos="993"/>
        </w:tabs>
        <w:spacing w:after="0" w:line="240" w:lineRule="auto"/>
        <w:ind w:left="567"/>
        <w:jc w:val="both"/>
        <w:rPr>
          <w:rFonts w:ascii="Verdana" w:hAnsi="Verdana" w:cs="Verdana"/>
          <w:bCs/>
          <w:i/>
          <w:iCs/>
          <w:sz w:val="20"/>
          <w:szCs w:val="20"/>
          <w:lang w:val="es-ES"/>
        </w:rPr>
      </w:pPr>
    </w:p>
    <w:p w:rsidR="002B39C3" w:rsidRPr="00041AE6" w:rsidRDefault="002B39C3" w:rsidP="00146D3C">
      <w:pPr>
        <w:tabs>
          <w:tab w:val="left" w:pos="284"/>
        </w:tabs>
        <w:spacing w:after="0" w:line="240" w:lineRule="auto"/>
        <w:ind w:left="142"/>
        <w:jc w:val="both"/>
        <w:rPr>
          <w:rFonts w:ascii="Verdana" w:hAnsi="Verdana" w:cs="Verdana"/>
          <w:bCs/>
          <w:i/>
          <w:iCs/>
          <w:sz w:val="20"/>
          <w:szCs w:val="20"/>
          <w:lang w:val="es-ES"/>
        </w:rPr>
      </w:pPr>
      <w:r w:rsidRPr="00041AE6">
        <w:rPr>
          <w:rFonts w:ascii="Verdana" w:hAnsi="Verdana" w:cs="Verdana"/>
          <w:bCs/>
          <w:i/>
          <w:iCs/>
          <w:sz w:val="20"/>
          <w:szCs w:val="20"/>
          <w:lang w:val="es-ES"/>
        </w:rPr>
        <w:lastRenderedPageBreak/>
        <w:tab/>
        <w:t>Propuesto por los representantes</w:t>
      </w:r>
    </w:p>
    <w:p w:rsidR="002B39C3" w:rsidRPr="00041AE6" w:rsidRDefault="002B39C3" w:rsidP="002B39C3">
      <w:pPr>
        <w:widowControl w:val="0"/>
        <w:tabs>
          <w:tab w:val="left" w:pos="709"/>
          <w:tab w:val="left" w:pos="1134"/>
        </w:tabs>
        <w:autoSpaceDE w:val="0"/>
        <w:autoSpaceDN w:val="0"/>
        <w:adjustRightInd w:val="0"/>
        <w:spacing w:after="0" w:line="240" w:lineRule="auto"/>
        <w:ind w:right="22"/>
        <w:jc w:val="both"/>
        <w:rPr>
          <w:rFonts w:ascii="Verdana" w:hAnsi="Verdana"/>
          <w:sz w:val="20"/>
          <w:szCs w:val="20"/>
          <w:lang w:val="es-ES"/>
        </w:rPr>
      </w:pPr>
    </w:p>
    <w:p w:rsidR="002B39C3" w:rsidRPr="0011169D" w:rsidRDefault="002B39C3" w:rsidP="0014579A">
      <w:pPr>
        <w:widowControl w:val="0"/>
        <w:tabs>
          <w:tab w:val="left" w:pos="567"/>
          <w:tab w:val="left" w:pos="709"/>
        </w:tabs>
        <w:autoSpaceDE w:val="0"/>
        <w:autoSpaceDN w:val="0"/>
        <w:adjustRightInd w:val="0"/>
        <w:spacing w:after="0" w:line="240" w:lineRule="auto"/>
        <w:ind w:left="567" w:right="22"/>
        <w:jc w:val="both"/>
        <w:rPr>
          <w:rFonts w:ascii="Verdana" w:hAnsi="Verdana" w:cs="Verdana"/>
          <w:sz w:val="20"/>
          <w:szCs w:val="20"/>
          <w:lang w:val="es-ES"/>
        </w:rPr>
      </w:pPr>
      <w:r w:rsidRPr="0011169D">
        <w:rPr>
          <w:rFonts w:ascii="Verdana" w:hAnsi="Verdana"/>
          <w:i/>
          <w:sz w:val="20"/>
          <w:szCs w:val="20"/>
          <w:lang w:val="es-ES"/>
        </w:rPr>
        <w:t>Julio Francisco Coj Vásquez</w:t>
      </w:r>
      <w:r w:rsidRPr="0011169D">
        <w:rPr>
          <w:rFonts w:ascii="Verdana" w:hAnsi="Verdana" w:cs="Verdana"/>
          <w:i/>
          <w:sz w:val="20"/>
          <w:szCs w:val="20"/>
          <w:lang w:val="es-ES"/>
        </w:rPr>
        <w:t xml:space="preserve">, </w:t>
      </w:r>
      <w:r w:rsidRPr="0011169D">
        <w:rPr>
          <w:rFonts w:ascii="Verdana" w:hAnsi="Verdana"/>
          <w:sz w:val="20"/>
          <w:szCs w:val="20"/>
          <w:lang w:val="es-ES"/>
        </w:rPr>
        <w:t xml:space="preserve">quien declarará sobre: i) </w:t>
      </w:r>
      <w:r w:rsidRPr="0011169D">
        <w:rPr>
          <w:rFonts w:ascii="Verdana" w:hAnsi="Verdana"/>
          <w:sz w:val="20"/>
          <w:szCs w:val="20"/>
        </w:rPr>
        <w:t xml:space="preserve">la actividad sindical de Alexander Gómez Virula y el cargo que ocupaba en el sindicato de trabajadores de la empresa </w:t>
      </w:r>
      <w:r w:rsidR="00125688">
        <w:rPr>
          <w:rFonts w:ascii="Verdana" w:hAnsi="Verdana"/>
          <w:sz w:val="20"/>
          <w:szCs w:val="20"/>
        </w:rPr>
        <w:t xml:space="preserve">Maquiladora </w:t>
      </w:r>
      <w:r w:rsidRPr="00125688">
        <w:rPr>
          <w:rFonts w:ascii="Verdana" w:hAnsi="Verdana"/>
          <w:sz w:val="20"/>
          <w:szCs w:val="20"/>
        </w:rPr>
        <w:t>R</w:t>
      </w:r>
      <w:r w:rsidR="00125688">
        <w:rPr>
          <w:rFonts w:ascii="Verdana" w:hAnsi="Verdana"/>
          <w:sz w:val="20"/>
          <w:szCs w:val="20"/>
        </w:rPr>
        <w:t>.</w:t>
      </w:r>
      <w:r w:rsidRPr="00125688">
        <w:rPr>
          <w:rFonts w:ascii="Verdana" w:hAnsi="Verdana"/>
          <w:sz w:val="20"/>
          <w:szCs w:val="20"/>
        </w:rPr>
        <w:t>C</w:t>
      </w:r>
      <w:r w:rsidR="00125688">
        <w:rPr>
          <w:rFonts w:ascii="Verdana" w:hAnsi="Verdana"/>
          <w:sz w:val="20"/>
          <w:szCs w:val="20"/>
        </w:rPr>
        <w:t>.</w:t>
      </w:r>
      <w:r w:rsidRPr="00125688">
        <w:rPr>
          <w:rFonts w:ascii="Verdana" w:hAnsi="Verdana"/>
          <w:sz w:val="20"/>
          <w:szCs w:val="20"/>
        </w:rPr>
        <w:t>A</w:t>
      </w:r>
      <w:r w:rsidR="00125688">
        <w:rPr>
          <w:rFonts w:ascii="Verdana" w:hAnsi="Verdana"/>
          <w:sz w:val="20"/>
          <w:szCs w:val="20"/>
        </w:rPr>
        <w:t>.</w:t>
      </w:r>
      <w:r w:rsidRPr="00125688">
        <w:rPr>
          <w:rFonts w:ascii="Verdana" w:hAnsi="Verdana"/>
          <w:sz w:val="20"/>
          <w:szCs w:val="20"/>
        </w:rPr>
        <w:t>,</w:t>
      </w:r>
      <w:r w:rsidRPr="0011169D">
        <w:rPr>
          <w:rFonts w:ascii="Verdana" w:hAnsi="Verdana"/>
          <w:sz w:val="20"/>
          <w:szCs w:val="20"/>
        </w:rPr>
        <w:t xml:space="preserve"> así como sobre la afiliación de dicho sindicato a la Unidad Sindical de Trabajadores de Guatemala (UNSITRAGUA); ii)</w:t>
      </w:r>
      <w:r w:rsidRPr="0011169D">
        <w:rPr>
          <w:rFonts w:ascii="Verdana" w:hAnsi="Verdana"/>
          <w:sz w:val="20"/>
          <w:szCs w:val="20"/>
          <w:lang w:val="es-ES"/>
        </w:rPr>
        <w:t xml:space="preserve"> </w:t>
      </w:r>
      <w:r w:rsidRPr="0011169D">
        <w:rPr>
          <w:rFonts w:ascii="Verdana" w:hAnsi="Verdana"/>
          <w:sz w:val="20"/>
          <w:szCs w:val="20"/>
        </w:rPr>
        <w:t>el alegado conflicto laboral que surgió entre la empresa donde trabajaba la presunta víctima y sus trabajadores, y la participación que habría tenido la presunta víctima en dicho conflicto</w:t>
      </w:r>
      <w:r w:rsidRPr="0011169D">
        <w:rPr>
          <w:rFonts w:ascii="Verdana" w:hAnsi="Verdana"/>
          <w:sz w:val="20"/>
          <w:szCs w:val="20"/>
          <w:lang w:val="es-ES"/>
        </w:rPr>
        <w:t>; iii) la reunión que habría tenido lugar entre la presunta víctima y sus compañeros del sindicato en UNSITRAGUA</w:t>
      </w:r>
      <w:r>
        <w:rPr>
          <w:rFonts w:ascii="Verdana" w:hAnsi="Verdana"/>
          <w:sz w:val="20"/>
          <w:szCs w:val="20"/>
          <w:lang w:val="es-ES"/>
        </w:rPr>
        <w:t>,</w:t>
      </w:r>
      <w:r w:rsidRPr="0011169D">
        <w:rPr>
          <w:rFonts w:ascii="Verdana" w:hAnsi="Verdana"/>
          <w:sz w:val="20"/>
          <w:szCs w:val="20"/>
          <w:lang w:val="es-ES"/>
        </w:rPr>
        <w:t xml:space="preserve"> el día de su desaparición; iv) la manera a través de la cual tomó conocimiento de la desaparición de la presunta víctima, y v) </w:t>
      </w:r>
      <w:r w:rsidRPr="0011169D">
        <w:rPr>
          <w:rFonts w:ascii="Verdana" w:hAnsi="Verdana"/>
          <w:sz w:val="20"/>
          <w:szCs w:val="20"/>
        </w:rPr>
        <w:t>las diligencias o denuncias que realizó UNSITRAGUA ante las autoridades del Estado sobre la desaparición de la presunta víctima y las respuestas recibidas por parte de dichas autoridades.</w:t>
      </w:r>
    </w:p>
    <w:p w:rsidR="002B39C3" w:rsidRPr="0011169D" w:rsidRDefault="002B39C3" w:rsidP="002B39C3">
      <w:pPr>
        <w:tabs>
          <w:tab w:val="left" w:pos="993"/>
        </w:tabs>
        <w:spacing w:after="0" w:line="240" w:lineRule="auto"/>
        <w:jc w:val="both"/>
        <w:rPr>
          <w:rFonts w:ascii="Verdana" w:hAnsi="Verdana" w:cs="Verdana"/>
          <w:sz w:val="20"/>
          <w:szCs w:val="20"/>
        </w:rPr>
      </w:pPr>
    </w:p>
    <w:p w:rsidR="002B39C3" w:rsidRPr="00041AE6"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bookmarkStart w:id="6" w:name="_Ref393464381"/>
      <w:r w:rsidRPr="00041AE6">
        <w:rPr>
          <w:rFonts w:ascii="Verdana" w:hAnsi="Verdana" w:cs="Verdana"/>
          <w:color w:val="000000"/>
          <w:sz w:val="20"/>
          <w:szCs w:val="20"/>
          <w:lang w:val="es-ES" w:eastAsia="es-ES"/>
        </w:rPr>
        <w:t xml:space="preserve">Requerir a </w:t>
      </w:r>
      <w:r w:rsidRPr="00041AE6">
        <w:rPr>
          <w:rFonts w:ascii="Verdana" w:hAnsi="Verdana"/>
          <w:color w:val="000000"/>
          <w:sz w:val="20"/>
          <w:szCs w:val="20"/>
          <w:lang w:val="es-ES" w:eastAsia="es-ES"/>
        </w:rPr>
        <w:t>los representantes</w:t>
      </w:r>
      <w:r w:rsidRPr="00041AE6">
        <w:rPr>
          <w:rFonts w:ascii="Verdana" w:hAnsi="Verdana" w:cs="Verdana"/>
          <w:color w:val="000000"/>
          <w:sz w:val="20"/>
          <w:szCs w:val="20"/>
          <w:lang w:val="es-ES" w:eastAsia="es-ES"/>
        </w:rPr>
        <w:t xml:space="preserve"> que notifiquen la presente Resolución a las personas </w:t>
      </w:r>
      <w:r>
        <w:rPr>
          <w:rFonts w:ascii="Verdana" w:hAnsi="Verdana" w:cs="Verdana"/>
          <w:color w:val="000000"/>
          <w:sz w:val="20"/>
          <w:szCs w:val="20"/>
          <w:lang w:val="es-ES" w:eastAsia="es-ES"/>
        </w:rPr>
        <w:t xml:space="preserve">por ellos propuestas </w:t>
      </w:r>
      <w:r w:rsidRPr="00041AE6">
        <w:rPr>
          <w:rFonts w:ascii="Verdana" w:hAnsi="Verdana" w:cs="Verdana"/>
          <w:color w:val="000000"/>
          <w:sz w:val="20"/>
          <w:szCs w:val="20"/>
          <w:lang w:val="es-ES" w:eastAsia="es-ES"/>
        </w:rPr>
        <w:t>que han sido convocadas a rendir declaración, de conformidad con lo dispuesto en los artículos 50.2 y 50.4 del Reglamento.</w:t>
      </w:r>
    </w:p>
    <w:p w:rsidR="002B39C3" w:rsidRPr="00041AE6" w:rsidRDefault="002B39C3" w:rsidP="002B39C3">
      <w:pPr>
        <w:spacing w:after="0" w:line="240" w:lineRule="auto"/>
        <w:jc w:val="both"/>
        <w:rPr>
          <w:rFonts w:ascii="Verdana" w:eastAsia="MS Mincho" w:hAnsi="Verdana" w:cs="Times"/>
          <w:sz w:val="20"/>
          <w:szCs w:val="20"/>
          <w:lang w:val="es-ES"/>
        </w:rPr>
      </w:pPr>
    </w:p>
    <w:p w:rsidR="002B39C3" w:rsidRPr="0044796F"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sidRPr="0044796F">
        <w:rPr>
          <w:rFonts w:ascii="Verdana" w:eastAsia="MS Mincho" w:hAnsi="Verdana" w:cs="Times"/>
          <w:sz w:val="20"/>
          <w:szCs w:val="20"/>
          <w:lang w:val="es-ES"/>
        </w:rPr>
        <w:t xml:space="preserve">Requerir al Estado que, en lo que le corresponda y de considerarlo pertinente, remita </w:t>
      </w:r>
      <w:r w:rsidRPr="0044796F">
        <w:rPr>
          <w:rFonts w:ascii="Verdana" w:eastAsia="MS Mincho" w:hAnsi="Verdana" w:cs="Verdana"/>
          <w:sz w:val="20"/>
          <w:szCs w:val="20"/>
          <w:lang w:val="es-ES"/>
        </w:rPr>
        <w:t xml:space="preserve">las preguntas que estime formular a través de la Corte Interamericana al testigo </w:t>
      </w:r>
      <w:r w:rsidRPr="0044796F">
        <w:rPr>
          <w:rFonts w:ascii="Verdana" w:eastAsia="MS Mincho" w:hAnsi="Verdana" w:cs="Times"/>
          <w:sz w:val="20"/>
          <w:szCs w:val="20"/>
          <w:lang w:val="es-ES"/>
        </w:rPr>
        <w:t>indica</w:t>
      </w:r>
      <w:r w:rsidR="0072243F">
        <w:rPr>
          <w:rFonts w:ascii="Verdana" w:eastAsia="MS Mincho" w:hAnsi="Verdana" w:cs="Times"/>
          <w:sz w:val="20"/>
          <w:szCs w:val="20"/>
          <w:lang w:val="es-ES"/>
        </w:rPr>
        <w:t>do en el punto resolutivo tercero</w:t>
      </w:r>
      <w:r w:rsidRPr="0044796F">
        <w:rPr>
          <w:rFonts w:ascii="Verdana" w:eastAsia="MS Mincho" w:hAnsi="Verdana" w:cs="Times"/>
          <w:sz w:val="20"/>
          <w:szCs w:val="20"/>
          <w:lang w:val="es-ES"/>
        </w:rPr>
        <w:t xml:space="preserve"> de esta Resolución, </w:t>
      </w:r>
      <w:r w:rsidRPr="0044796F">
        <w:rPr>
          <w:rFonts w:ascii="Verdana" w:hAnsi="Verdana"/>
          <w:sz w:val="20"/>
          <w:lang w:val="es-ES"/>
        </w:rPr>
        <w:t>en los términos del artículo 50.5 del Reglamento y</w:t>
      </w:r>
      <w:r w:rsidRPr="0044796F">
        <w:rPr>
          <w:rFonts w:ascii="Verdana" w:eastAsia="MS Mincho" w:hAnsi="Verdana" w:cs="Times"/>
          <w:sz w:val="20"/>
          <w:szCs w:val="20"/>
          <w:lang w:val="es-ES"/>
        </w:rPr>
        <w:t>, en el plazo</w:t>
      </w:r>
      <w:r w:rsidRPr="0044796F">
        <w:rPr>
          <w:rFonts w:ascii="Verdana" w:eastAsia="MS Mincho" w:hAnsi="Verdana" w:cs="Verdana"/>
          <w:sz w:val="20"/>
          <w:szCs w:val="20"/>
          <w:lang w:val="es-ES"/>
        </w:rPr>
        <w:t xml:space="preserve"> improrrogable que vence el </w:t>
      </w:r>
      <w:r w:rsidR="00F83107">
        <w:rPr>
          <w:rFonts w:ascii="Verdana" w:eastAsia="MS Mincho" w:hAnsi="Verdana" w:cs="Verdana"/>
          <w:sz w:val="20"/>
          <w:szCs w:val="20"/>
          <w:lang w:val="es-ES"/>
        </w:rPr>
        <w:t>13</w:t>
      </w:r>
      <w:r w:rsidRPr="005C5573">
        <w:rPr>
          <w:rFonts w:ascii="Verdana" w:eastAsia="MS Mincho" w:hAnsi="Verdana" w:cs="Verdana"/>
          <w:sz w:val="20"/>
          <w:szCs w:val="20"/>
          <w:lang w:val="es-ES"/>
        </w:rPr>
        <w:t xml:space="preserve"> de agosto de 2018</w:t>
      </w:r>
      <w:bookmarkEnd w:id="6"/>
      <w:r w:rsidRPr="005C5573">
        <w:rPr>
          <w:rFonts w:ascii="Verdana" w:eastAsia="MS Mincho" w:hAnsi="Verdana" w:cs="Verdana"/>
          <w:sz w:val="20"/>
          <w:szCs w:val="20"/>
          <w:lang w:val="es-ES"/>
        </w:rPr>
        <w:t>.</w:t>
      </w:r>
    </w:p>
    <w:p w:rsidR="002B39C3" w:rsidRPr="00041AE6" w:rsidRDefault="002B39C3" w:rsidP="002B39C3">
      <w:pPr>
        <w:tabs>
          <w:tab w:val="left" w:pos="567"/>
        </w:tabs>
        <w:spacing w:after="0" w:line="240" w:lineRule="auto"/>
        <w:jc w:val="both"/>
        <w:rPr>
          <w:rFonts w:ascii="Verdana" w:eastAsia="MS Mincho" w:hAnsi="Verdana" w:cs="Times"/>
          <w:sz w:val="20"/>
          <w:szCs w:val="20"/>
          <w:lang w:val="es-ES"/>
        </w:rPr>
      </w:pPr>
    </w:p>
    <w:p w:rsidR="002B39C3" w:rsidRPr="00041AE6"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sz w:val="20"/>
          <w:lang w:val="es-ES"/>
        </w:rPr>
        <w:t>Requerir a los representantes</w:t>
      </w:r>
      <w:r>
        <w:rPr>
          <w:rFonts w:ascii="Verdana" w:hAnsi="Verdana"/>
          <w:sz w:val="20"/>
          <w:lang w:val="es-ES"/>
        </w:rPr>
        <w:t xml:space="preserve"> </w:t>
      </w:r>
      <w:r w:rsidRPr="00041AE6">
        <w:rPr>
          <w:rFonts w:ascii="Verdana" w:hAnsi="Verdana"/>
          <w:sz w:val="20"/>
          <w:lang w:val="es-ES"/>
        </w:rPr>
        <w:t xml:space="preserve">que coordinen y realicen las diligencias necesarias para que, una vez recibidas las preguntas </w:t>
      </w:r>
      <w:r w:rsidRPr="00CF686B">
        <w:rPr>
          <w:rFonts w:ascii="Verdana" w:hAnsi="Verdana"/>
          <w:sz w:val="20"/>
          <w:lang w:val="es-ES"/>
        </w:rPr>
        <w:t xml:space="preserve">del Estado, si las hubiere, </w:t>
      </w:r>
      <w:r>
        <w:rPr>
          <w:rFonts w:ascii="Verdana" w:eastAsia="MS Mincho" w:hAnsi="Verdana" w:cs="Verdana"/>
          <w:sz w:val="20"/>
          <w:szCs w:val="20"/>
          <w:lang w:val="es-ES"/>
        </w:rPr>
        <w:t xml:space="preserve">el </w:t>
      </w:r>
      <w:r w:rsidRPr="00041AE6">
        <w:rPr>
          <w:rFonts w:ascii="Verdana" w:eastAsia="MS Mincho" w:hAnsi="Verdana" w:cs="Verdana"/>
          <w:sz w:val="20"/>
          <w:szCs w:val="20"/>
          <w:lang w:val="es-ES"/>
        </w:rPr>
        <w:t xml:space="preserve">testigo </w:t>
      </w:r>
      <w:r>
        <w:rPr>
          <w:rFonts w:ascii="Verdana" w:eastAsia="MS Mincho" w:hAnsi="Verdana" w:cs="Times"/>
          <w:sz w:val="20"/>
          <w:szCs w:val="20"/>
          <w:lang w:val="es-ES"/>
        </w:rPr>
        <w:t>incluya las respuestas en la respectiva declaración que rendirá</w:t>
      </w:r>
      <w:r w:rsidRPr="00041AE6">
        <w:rPr>
          <w:rFonts w:ascii="Verdana" w:eastAsia="MS Mincho" w:hAnsi="Verdana" w:cs="Times"/>
          <w:sz w:val="20"/>
          <w:szCs w:val="20"/>
          <w:lang w:val="es-ES"/>
        </w:rPr>
        <w:t xml:space="preserve"> ante fedatario público, </w:t>
      </w:r>
      <w:r w:rsidRPr="00041AE6">
        <w:rPr>
          <w:rFonts w:ascii="Verdana" w:hAnsi="Verdana"/>
          <w:sz w:val="20"/>
          <w:lang w:val="es-ES"/>
        </w:rPr>
        <w:t>salvo que el Presidente disponga lo contrario cuando la Secretaría de la Corte las transmita</w:t>
      </w:r>
      <w:r>
        <w:rPr>
          <w:rFonts w:ascii="Verdana" w:eastAsia="MS Mincho" w:hAnsi="Verdana" w:cs="Times"/>
          <w:sz w:val="20"/>
          <w:szCs w:val="20"/>
          <w:lang w:val="es-ES"/>
        </w:rPr>
        <w:t>. La declaración</w:t>
      </w:r>
      <w:r w:rsidRPr="00041AE6">
        <w:rPr>
          <w:rFonts w:ascii="Verdana" w:eastAsia="MS Mincho" w:hAnsi="Verdana" w:cs="Times"/>
          <w:sz w:val="20"/>
          <w:szCs w:val="20"/>
          <w:lang w:val="es-ES"/>
        </w:rPr>
        <w:t xml:space="preserve"> requerid</w:t>
      </w:r>
      <w:r>
        <w:rPr>
          <w:rFonts w:ascii="Verdana" w:eastAsia="MS Mincho" w:hAnsi="Verdana" w:cs="Times"/>
          <w:sz w:val="20"/>
          <w:szCs w:val="20"/>
          <w:lang w:val="es-ES"/>
        </w:rPr>
        <w:t>a deberá</w:t>
      </w:r>
      <w:r w:rsidRPr="00041AE6">
        <w:rPr>
          <w:rFonts w:ascii="Verdana" w:eastAsia="MS Mincho" w:hAnsi="Verdana" w:cs="Times"/>
          <w:sz w:val="20"/>
          <w:szCs w:val="20"/>
          <w:lang w:val="es-ES"/>
        </w:rPr>
        <w:t xml:space="preserve"> ser pre</w:t>
      </w:r>
      <w:r>
        <w:rPr>
          <w:rFonts w:ascii="Verdana" w:eastAsia="MS Mincho" w:hAnsi="Verdana" w:cs="Times"/>
          <w:sz w:val="20"/>
          <w:szCs w:val="20"/>
          <w:lang w:val="es-ES"/>
        </w:rPr>
        <w:t>sentada</w:t>
      </w:r>
      <w:r w:rsidRPr="00041AE6">
        <w:rPr>
          <w:rFonts w:ascii="Verdana" w:eastAsia="MS Mincho" w:hAnsi="Verdana" w:cs="Times"/>
          <w:sz w:val="20"/>
          <w:szCs w:val="20"/>
          <w:lang w:val="es-ES"/>
        </w:rPr>
        <w:t xml:space="preserve"> al Tribunal a más tardar el </w:t>
      </w:r>
      <w:r w:rsidRPr="005C5573">
        <w:rPr>
          <w:rFonts w:ascii="Verdana" w:eastAsia="MS Mincho" w:hAnsi="Verdana" w:cs="Times"/>
          <w:sz w:val="20"/>
          <w:szCs w:val="20"/>
          <w:lang w:val="es-ES"/>
        </w:rPr>
        <w:t>17 de agosto de 2018.</w:t>
      </w:r>
    </w:p>
    <w:p w:rsidR="002B39C3" w:rsidRPr="00041AE6" w:rsidRDefault="002B39C3" w:rsidP="002B39C3">
      <w:pPr>
        <w:tabs>
          <w:tab w:val="left" w:pos="567"/>
        </w:tabs>
        <w:spacing w:after="0" w:line="240" w:lineRule="auto"/>
        <w:jc w:val="both"/>
        <w:rPr>
          <w:rFonts w:ascii="Verdana" w:eastAsia="MS Mincho" w:hAnsi="Verdana" w:cs="Times"/>
          <w:sz w:val="20"/>
          <w:lang w:val="es-ES"/>
        </w:rPr>
      </w:pPr>
    </w:p>
    <w:p w:rsidR="002B39C3" w:rsidRPr="00041AE6"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sz w:val="20"/>
          <w:lang w:val="es-ES"/>
        </w:rPr>
        <w:t>Disponer</w:t>
      </w:r>
      <w:r w:rsidRPr="00041AE6">
        <w:rPr>
          <w:rFonts w:ascii="Verdana" w:hAnsi="Verdana"/>
          <w:sz w:val="20"/>
          <w:szCs w:val="20"/>
          <w:lang w:val="es-ES"/>
        </w:rPr>
        <w:t xml:space="preserve"> </w:t>
      </w:r>
      <w:r w:rsidRPr="00041AE6">
        <w:rPr>
          <w:rFonts w:ascii="Verdana" w:hAnsi="Verdana"/>
          <w:sz w:val="20"/>
          <w:lang w:val="es-ES"/>
        </w:rPr>
        <w:t xml:space="preserve">conforme al artículo 50.6 del Reglamento </w:t>
      </w:r>
      <w:r>
        <w:rPr>
          <w:rFonts w:ascii="Verdana" w:hAnsi="Verdana"/>
          <w:sz w:val="20"/>
          <w:szCs w:val="20"/>
          <w:lang w:val="es-ES"/>
        </w:rPr>
        <w:t>que, una vez recibida la declaración del testigo</w:t>
      </w:r>
      <w:r w:rsidRPr="00041AE6">
        <w:rPr>
          <w:rFonts w:ascii="Verdana" w:hAnsi="Verdana"/>
          <w:sz w:val="20"/>
          <w:szCs w:val="20"/>
          <w:lang w:val="es-ES"/>
        </w:rPr>
        <w:t>, la Secretarí</w:t>
      </w:r>
      <w:r>
        <w:rPr>
          <w:rFonts w:ascii="Verdana" w:hAnsi="Verdana"/>
          <w:sz w:val="20"/>
          <w:szCs w:val="20"/>
          <w:lang w:val="es-ES"/>
        </w:rPr>
        <w:t>a de la Corte Interamericana la</w:t>
      </w:r>
      <w:r w:rsidRPr="00041AE6">
        <w:rPr>
          <w:rFonts w:ascii="Verdana" w:hAnsi="Verdana"/>
          <w:sz w:val="20"/>
          <w:szCs w:val="20"/>
          <w:lang w:val="es-ES"/>
        </w:rPr>
        <w:t xml:space="preserve"> transmita </w:t>
      </w:r>
      <w:r>
        <w:rPr>
          <w:rFonts w:ascii="Verdana" w:hAnsi="Verdana"/>
          <w:sz w:val="20"/>
          <w:szCs w:val="20"/>
          <w:lang w:val="es-ES"/>
        </w:rPr>
        <w:t xml:space="preserve">al Estado, </w:t>
      </w:r>
      <w:r w:rsidRPr="00CF686B">
        <w:rPr>
          <w:rFonts w:ascii="Verdana" w:hAnsi="Verdana"/>
          <w:sz w:val="20"/>
          <w:szCs w:val="20"/>
          <w:lang w:val="es-ES"/>
        </w:rPr>
        <w:t>y a la Comisión</w:t>
      </w:r>
      <w:r w:rsidRPr="00041AE6">
        <w:rPr>
          <w:rFonts w:ascii="Verdana" w:hAnsi="Verdana"/>
          <w:sz w:val="20"/>
          <w:szCs w:val="20"/>
          <w:lang w:val="es-ES"/>
        </w:rPr>
        <w:t xml:space="preserve"> para que</w:t>
      </w:r>
      <w:r>
        <w:rPr>
          <w:rFonts w:ascii="Verdana" w:hAnsi="Verdana"/>
          <w:sz w:val="20"/>
          <w:szCs w:val="20"/>
          <w:lang w:val="es-ES"/>
        </w:rPr>
        <w:t>, si lo estiman necesario y en lo que les corresponda,</w:t>
      </w:r>
      <w:r w:rsidRPr="00041AE6">
        <w:rPr>
          <w:rFonts w:ascii="Verdana" w:hAnsi="Verdana"/>
          <w:sz w:val="20"/>
          <w:szCs w:val="20"/>
          <w:lang w:val="es-ES"/>
        </w:rPr>
        <w:t xml:space="preserve"> presenten sus observaciones a más tardar con sus alegatos</w:t>
      </w:r>
      <w:r w:rsidR="005C5573">
        <w:rPr>
          <w:rFonts w:ascii="Verdana" w:hAnsi="Verdana"/>
          <w:sz w:val="20"/>
          <w:szCs w:val="20"/>
          <w:lang w:val="es-ES"/>
        </w:rPr>
        <w:t xml:space="preserve"> u observaciones finales escrita</w:t>
      </w:r>
      <w:r w:rsidRPr="00041AE6">
        <w:rPr>
          <w:rFonts w:ascii="Verdana" w:hAnsi="Verdana"/>
          <w:sz w:val="20"/>
          <w:szCs w:val="20"/>
          <w:lang w:val="es-ES"/>
        </w:rPr>
        <w:t>s, respectivamente.</w:t>
      </w:r>
    </w:p>
    <w:p w:rsidR="002B39C3" w:rsidRPr="00041AE6" w:rsidRDefault="002B39C3" w:rsidP="002B39C3">
      <w:pPr>
        <w:widowControl w:val="0"/>
        <w:autoSpaceDE w:val="0"/>
        <w:autoSpaceDN w:val="0"/>
        <w:adjustRightInd w:val="0"/>
        <w:spacing w:after="0" w:line="240" w:lineRule="auto"/>
        <w:ind w:right="22"/>
        <w:jc w:val="both"/>
        <w:rPr>
          <w:rFonts w:ascii="Verdana" w:eastAsia="MS Mincho" w:hAnsi="Verdana" w:cs="Times"/>
          <w:sz w:val="20"/>
          <w:szCs w:val="20"/>
          <w:lang w:val="es-ES"/>
        </w:rPr>
      </w:pPr>
    </w:p>
    <w:p w:rsidR="002B39C3" w:rsidRPr="00041AE6"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sz w:val="20"/>
          <w:lang w:val="es-ES"/>
        </w:rPr>
        <w:t xml:space="preserve">Informar a </w:t>
      </w:r>
      <w:r>
        <w:rPr>
          <w:rFonts w:ascii="Verdana" w:hAnsi="Verdana"/>
          <w:sz w:val="20"/>
          <w:lang w:val="es-ES"/>
        </w:rPr>
        <w:t xml:space="preserve">los representantes </w:t>
      </w:r>
      <w:r w:rsidRPr="00041AE6">
        <w:rPr>
          <w:rFonts w:ascii="Verdana" w:hAnsi="Verdana"/>
          <w:sz w:val="20"/>
          <w:lang w:val="es-ES"/>
        </w:rPr>
        <w:t>que deben cubrir los gastos que ocasione la aportación o rendición de la prueba propuesta por ellos, de conformidad con lo dispuesto en</w:t>
      </w:r>
      <w:r>
        <w:rPr>
          <w:rFonts w:ascii="Verdana" w:hAnsi="Verdana"/>
          <w:sz w:val="20"/>
          <w:lang w:val="es-ES"/>
        </w:rPr>
        <w:t xml:space="preserve"> el artículo 60 del Reglamento.</w:t>
      </w:r>
    </w:p>
    <w:p w:rsidR="002B39C3" w:rsidRPr="00041AE6" w:rsidRDefault="002B39C3" w:rsidP="002B39C3">
      <w:pPr>
        <w:widowControl w:val="0"/>
        <w:autoSpaceDE w:val="0"/>
        <w:autoSpaceDN w:val="0"/>
        <w:adjustRightInd w:val="0"/>
        <w:spacing w:after="0" w:line="240" w:lineRule="auto"/>
        <w:ind w:right="22"/>
        <w:jc w:val="both"/>
        <w:rPr>
          <w:rFonts w:ascii="Verdana" w:hAnsi="Verdana" w:cs="Verdana"/>
          <w:color w:val="000000"/>
          <w:sz w:val="20"/>
          <w:szCs w:val="20"/>
          <w:lang w:val="es-ES" w:eastAsia="es-ES"/>
        </w:rPr>
      </w:pPr>
    </w:p>
    <w:p w:rsidR="002B39C3" w:rsidRPr="00041AE6" w:rsidRDefault="00CF686B"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Pr>
          <w:rFonts w:ascii="Verdana" w:hAnsi="Verdana" w:cs="Verdana"/>
          <w:color w:val="000000"/>
          <w:sz w:val="20"/>
          <w:szCs w:val="20"/>
          <w:lang w:val="es-ES" w:eastAsia="es-ES"/>
        </w:rPr>
        <w:t>Requerir</w:t>
      </w:r>
      <w:r w:rsidR="002B39C3" w:rsidRPr="00041AE6">
        <w:rPr>
          <w:rFonts w:ascii="Verdana" w:hAnsi="Verdana" w:cs="Verdana"/>
          <w:color w:val="000000"/>
          <w:sz w:val="20"/>
          <w:szCs w:val="20"/>
          <w:lang w:val="es-ES" w:eastAsia="es-ES"/>
        </w:rPr>
        <w:t xml:space="preserve"> </w:t>
      </w:r>
      <w:r w:rsidR="002B39C3" w:rsidRPr="00CF686B">
        <w:rPr>
          <w:rFonts w:ascii="Verdana" w:hAnsi="Verdana" w:cs="Verdana"/>
          <w:color w:val="000000"/>
          <w:sz w:val="20"/>
          <w:szCs w:val="20"/>
          <w:lang w:val="es-ES" w:eastAsia="es-ES"/>
        </w:rPr>
        <w:t xml:space="preserve">a </w:t>
      </w:r>
      <w:r w:rsidR="002B39C3" w:rsidRPr="00CF686B">
        <w:rPr>
          <w:rFonts w:ascii="Verdana" w:hAnsi="Verdana"/>
          <w:color w:val="000000"/>
          <w:sz w:val="20"/>
          <w:szCs w:val="20"/>
          <w:lang w:val="es-ES" w:eastAsia="es-ES"/>
        </w:rPr>
        <w:t>los representantes</w:t>
      </w:r>
      <w:r w:rsidR="002B39C3">
        <w:rPr>
          <w:rFonts w:ascii="Verdana" w:hAnsi="Verdana" w:cs="Verdana"/>
          <w:color w:val="000000"/>
          <w:sz w:val="20"/>
          <w:szCs w:val="20"/>
          <w:lang w:val="es-ES" w:eastAsia="es-ES"/>
        </w:rPr>
        <w:t xml:space="preserve"> que informen a la persona convocada</w:t>
      </w:r>
      <w:r w:rsidR="002B39C3" w:rsidRPr="00041AE6">
        <w:rPr>
          <w:rFonts w:ascii="Verdana" w:hAnsi="Verdana" w:cs="Verdana"/>
          <w:color w:val="000000"/>
          <w:sz w:val="20"/>
          <w:szCs w:val="20"/>
          <w:lang w:val="es-ES" w:eastAsia="es-ES"/>
        </w:rPr>
        <w:t xml:space="preserve">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2B39C3" w:rsidRPr="00041AE6" w:rsidRDefault="002B39C3" w:rsidP="002B39C3">
      <w:pPr>
        <w:widowControl w:val="0"/>
        <w:autoSpaceDE w:val="0"/>
        <w:autoSpaceDN w:val="0"/>
        <w:adjustRightInd w:val="0"/>
        <w:spacing w:after="0" w:line="240" w:lineRule="auto"/>
        <w:ind w:right="22"/>
        <w:jc w:val="both"/>
        <w:rPr>
          <w:rFonts w:ascii="Verdana" w:hAnsi="Verdana" w:cs="Verdana"/>
          <w:color w:val="000000"/>
          <w:sz w:val="20"/>
          <w:szCs w:val="20"/>
          <w:lang w:val="es-ES" w:eastAsia="es-ES"/>
        </w:rPr>
      </w:pPr>
    </w:p>
    <w:p w:rsidR="002B39C3" w:rsidRPr="00041AE6"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cs="Verdana"/>
          <w:color w:val="000000"/>
          <w:sz w:val="20"/>
          <w:szCs w:val="20"/>
          <w:lang w:val="es-ES" w:eastAsia="es-ES"/>
        </w:rPr>
        <w:t xml:space="preserve">Informar a </w:t>
      </w:r>
      <w:r w:rsidRPr="00041AE6">
        <w:rPr>
          <w:rFonts w:ascii="Verdana" w:hAnsi="Verdana"/>
          <w:color w:val="000000"/>
          <w:sz w:val="20"/>
          <w:szCs w:val="20"/>
          <w:lang w:val="es-ES" w:eastAsia="es-ES"/>
        </w:rPr>
        <w:t xml:space="preserve">los representantes, </w:t>
      </w:r>
      <w:r w:rsidRPr="00041AE6">
        <w:rPr>
          <w:rFonts w:ascii="Verdana" w:hAnsi="Verdana" w:cs="Verdana"/>
          <w:color w:val="000000"/>
          <w:sz w:val="20"/>
          <w:szCs w:val="20"/>
          <w:lang w:val="es-ES" w:eastAsia="es-ES"/>
        </w:rPr>
        <w:t xml:space="preserve">al Estado y a la Comisión </w:t>
      </w:r>
      <w:r w:rsidR="00CF686B">
        <w:rPr>
          <w:rFonts w:ascii="Verdana" w:hAnsi="Verdana" w:cs="Verdana"/>
          <w:color w:val="000000"/>
          <w:sz w:val="20"/>
          <w:szCs w:val="20"/>
          <w:lang w:val="es-ES" w:eastAsia="es-ES"/>
        </w:rPr>
        <w:t>Interamericana que, luego de la</w:t>
      </w:r>
      <w:r w:rsidRPr="00041AE6">
        <w:rPr>
          <w:rFonts w:ascii="Verdana" w:hAnsi="Verdana" w:cs="Verdana"/>
          <w:color w:val="000000"/>
          <w:sz w:val="20"/>
          <w:szCs w:val="20"/>
          <w:lang w:val="es-ES" w:eastAsia="es-ES"/>
        </w:rPr>
        <w:t xml:space="preserve"> </w:t>
      </w:r>
      <w:r w:rsidR="00CF686B" w:rsidRPr="00041AE6">
        <w:rPr>
          <w:rFonts w:ascii="Verdana" w:hAnsi="Verdana" w:cs="Verdana"/>
          <w:color w:val="000000"/>
          <w:sz w:val="20"/>
          <w:szCs w:val="20"/>
          <w:lang w:val="es-ES" w:eastAsia="es-ES"/>
        </w:rPr>
        <w:t>d</w:t>
      </w:r>
      <w:r w:rsidR="00CF686B">
        <w:rPr>
          <w:rFonts w:ascii="Verdana" w:hAnsi="Verdana" w:cs="Verdana"/>
          <w:color w:val="000000"/>
          <w:sz w:val="20"/>
          <w:szCs w:val="20"/>
          <w:lang w:val="es-ES" w:eastAsia="es-ES"/>
        </w:rPr>
        <w:t>eclaración rendida</w:t>
      </w:r>
      <w:r w:rsidRPr="00041AE6">
        <w:rPr>
          <w:rFonts w:ascii="Verdana" w:hAnsi="Verdana" w:cs="Verdana"/>
          <w:color w:val="000000"/>
          <w:sz w:val="20"/>
          <w:szCs w:val="20"/>
          <w:lang w:val="es-ES" w:eastAsia="es-ES"/>
        </w:rPr>
        <w:t xml:space="preserve"> en la audiencia pública, podrán presentar ante el Tribunal sus alegatos finales orales y observaciones finales orales, respectivamente, sobre el fondo y las eventuales reparaciones y costas en el presente caso.</w:t>
      </w:r>
    </w:p>
    <w:p w:rsidR="002B39C3" w:rsidRPr="00041AE6" w:rsidRDefault="002B39C3" w:rsidP="002B39C3">
      <w:pPr>
        <w:widowControl w:val="0"/>
        <w:autoSpaceDE w:val="0"/>
        <w:autoSpaceDN w:val="0"/>
        <w:adjustRightInd w:val="0"/>
        <w:spacing w:after="0" w:line="240" w:lineRule="auto"/>
        <w:ind w:right="22"/>
        <w:jc w:val="both"/>
        <w:rPr>
          <w:rFonts w:ascii="Verdana" w:hAnsi="Verdana" w:cs="Verdana"/>
          <w:color w:val="000000"/>
          <w:sz w:val="20"/>
          <w:szCs w:val="20"/>
          <w:lang w:val="es-ES" w:eastAsia="es-ES"/>
        </w:rPr>
      </w:pPr>
    </w:p>
    <w:p w:rsidR="002B39C3"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cs="Verdana"/>
          <w:color w:val="000000"/>
          <w:sz w:val="20"/>
          <w:szCs w:val="20"/>
          <w:lang w:val="es-ES" w:eastAsia="es-ES"/>
        </w:rPr>
        <w:t>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referida audiencia.</w:t>
      </w:r>
    </w:p>
    <w:p w:rsidR="002B39C3" w:rsidRDefault="002B39C3" w:rsidP="002B39C3">
      <w:pPr>
        <w:pStyle w:val="ListParagraph"/>
        <w:numPr>
          <w:ilvl w:val="0"/>
          <w:numId w:val="0"/>
        </w:numPr>
        <w:rPr>
          <w:rFonts w:eastAsia="MS Mincho" w:cs="Times"/>
          <w:lang w:val="es-ES"/>
        </w:rPr>
      </w:pPr>
    </w:p>
    <w:p w:rsidR="002B39C3" w:rsidRPr="00795D56"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sidRPr="00795D56">
        <w:rPr>
          <w:rFonts w:ascii="Verdana" w:hAnsi="Verdana" w:cs="Verdana"/>
          <w:color w:val="000000"/>
          <w:sz w:val="20"/>
          <w:szCs w:val="20"/>
          <w:lang w:val="es-ES" w:eastAsia="es-ES"/>
        </w:rPr>
        <w:t xml:space="preserve">Informar a </w:t>
      </w:r>
      <w:r w:rsidRPr="00795D56">
        <w:rPr>
          <w:rFonts w:ascii="Verdana" w:hAnsi="Verdana"/>
          <w:color w:val="000000"/>
          <w:sz w:val="20"/>
          <w:szCs w:val="20"/>
          <w:lang w:val="es-ES" w:eastAsia="es-ES"/>
        </w:rPr>
        <w:t xml:space="preserve">los representantes, </w:t>
      </w:r>
      <w:r w:rsidRPr="00795D56">
        <w:rPr>
          <w:rFonts w:ascii="Verdana" w:hAnsi="Verdana" w:cs="Verdana"/>
          <w:color w:val="000000"/>
          <w:sz w:val="20"/>
          <w:szCs w:val="20"/>
          <w:lang w:val="es-ES" w:eastAsia="es-ES"/>
        </w:rPr>
        <w:t>al Estado y a la Comisión Interamericana que, en los términos d</w:t>
      </w:r>
      <w:r w:rsidRPr="00795D56">
        <w:rPr>
          <w:rFonts w:ascii="Verdana" w:hAnsi="Verdana"/>
          <w:color w:val="000000"/>
          <w:sz w:val="20"/>
          <w:lang w:val="es-ES" w:eastAsia="es-ES"/>
        </w:rPr>
        <w:t>el artículo 56 del Reglamento,</w:t>
      </w:r>
      <w:r w:rsidRPr="00795D56">
        <w:rPr>
          <w:rFonts w:ascii="Verdana" w:hAnsi="Verdana" w:cs="Verdana"/>
          <w:color w:val="000000"/>
          <w:sz w:val="20"/>
          <w:szCs w:val="20"/>
          <w:lang w:val="es-ES" w:eastAsia="es-ES"/>
        </w:rPr>
        <w:t xml:space="preserve"> cuentan con un plazo hasta </w:t>
      </w:r>
      <w:r w:rsidRPr="005C5573">
        <w:rPr>
          <w:rFonts w:ascii="Verdana" w:hAnsi="Verdana" w:cs="Verdana"/>
          <w:color w:val="000000"/>
          <w:sz w:val="20"/>
          <w:szCs w:val="20"/>
          <w:lang w:val="es-ES" w:eastAsia="es-ES"/>
        </w:rPr>
        <w:t>el 27 de septiembre de 2018</w:t>
      </w:r>
      <w:r w:rsidRPr="00795D56">
        <w:rPr>
          <w:rFonts w:ascii="Verdana" w:hAnsi="Verdana" w:cs="Verdana"/>
          <w:color w:val="000000"/>
          <w:sz w:val="20"/>
          <w:szCs w:val="20"/>
          <w:lang w:val="es-ES" w:eastAsia="es-ES"/>
        </w:rPr>
        <w:t xml:space="preserve"> para presentar sus alegatos finales escritos y observaciones finales escritas, respectivamente, en relación con </w:t>
      </w:r>
      <w:r w:rsidRPr="00795D56">
        <w:rPr>
          <w:rFonts w:ascii="Verdana" w:hAnsi="Verdana"/>
          <w:sz w:val="20"/>
          <w:szCs w:val="20"/>
        </w:rPr>
        <w:t>las excepciones preliminares y eventuales fondo, reparaciones y costas</w:t>
      </w:r>
      <w:r w:rsidRPr="00795D56">
        <w:rPr>
          <w:rFonts w:ascii="Verdana" w:hAnsi="Verdana" w:cs="Verdana"/>
          <w:color w:val="000000"/>
          <w:sz w:val="20"/>
          <w:szCs w:val="20"/>
          <w:lang w:val="es-ES" w:eastAsia="es-ES"/>
        </w:rPr>
        <w:t xml:space="preserve"> en el presente caso. Este plazo es improrrogable e independiente de la puesta a disposición de las partes de la grabación de la audiencia pública.</w:t>
      </w:r>
    </w:p>
    <w:p w:rsidR="002B39C3" w:rsidRDefault="002B39C3" w:rsidP="002B39C3">
      <w:pPr>
        <w:pStyle w:val="ListParagraph"/>
        <w:numPr>
          <w:ilvl w:val="0"/>
          <w:numId w:val="0"/>
        </w:numPr>
        <w:rPr>
          <w:rFonts w:eastAsia="MS Mincho" w:cs="Times"/>
          <w:lang w:val="es-ES"/>
        </w:rPr>
      </w:pPr>
    </w:p>
    <w:p w:rsidR="002B39C3" w:rsidRPr="00795D56"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sidRPr="00795D56">
        <w:rPr>
          <w:rFonts w:ascii="Verdana" w:hAnsi="Verdana"/>
          <w:sz w:val="20"/>
          <w:szCs w:val="20"/>
          <w:lang w:val="es-PE"/>
        </w:rPr>
        <w:t xml:space="preserve">Solicitar al Estado de El Salvador, de conformidad con lo dispuesto en el artículo 26 incisos 1 y 3 del Reglamento de la Corte, su cooperación para llevar a cabo la audiencia pública sobre excepciones preliminares y eventuales fondo, reparaciones y costas, por celebrarse en ese país, convocada mediante la presente Resolución, así como para facilitar la entrada </w:t>
      </w:r>
      <w:r>
        <w:rPr>
          <w:rFonts w:ascii="Verdana" w:hAnsi="Verdana"/>
          <w:sz w:val="20"/>
          <w:szCs w:val="20"/>
          <w:lang w:val="es-PE"/>
        </w:rPr>
        <w:t>y salida de su territorio de la persona que fue citada</w:t>
      </w:r>
      <w:r w:rsidRPr="00795D56">
        <w:rPr>
          <w:rFonts w:ascii="Verdana" w:hAnsi="Verdana"/>
          <w:sz w:val="20"/>
          <w:szCs w:val="20"/>
          <w:lang w:val="es-PE"/>
        </w:rPr>
        <w:t xml:space="preserve"> a rendir su declaración ante la Corte Interamericana de Derechos Humanos en la referida audiencia y de quienes representarán a la Comisión Interamericana d</w:t>
      </w:r>
      <w:r>
        <w:rPr>
          <w:rFonts w:ascii="Verdana" w:hAnsi="Verdana"/>
          <w:sz w:val="20"/>
          <w:szCs w:val="20"/>
          <w:lang w:val="es-PE"/>
        </w:rPr>
        <w:t xml:space="preserve">e Derechos Humanos, a Guatemala </w:t>
      </w:r>
      <w:r w:rsidRPr="00795D56">
        <w:rPr>
          <w:rFonts w:ascii="Verdana" w:hAnsi="Verdana"/>
          <w:sz w:val="20"/>
          <w:szCs w:val="20"/>
          <w:lang w:val="es-PE"/>
        </w:rPr>
        <w:t>y a los representantes de la</w:t>
      </w:r>
      <w:r>
        <w:rPr>
          <w:rFonts w:ascii="Verdana" w:hAnsi="Verdana"/>
          <w:sz w:val="20"/>
          <w:szCs w:val="20"/>
          <w:lang w:val="es-PE"/>
        </w:rPr>
        <w:t>s</w:t>
      </w:r>
      <w:r w:rsidRPr="00795D56">
        <w:rPr>
          <w:rFonts w:ascii="Verdana" w:hAnsi="Verdana"/>
          <w:sz w:val="20"/>
          <w:szCs w:val="20"/>
          <w:lang w:val="es-PE"/>
        </w:rPr>
        <w:t xml:space="preserve"> presunta</w:t>
      </w:r>
      <w:r>
        <w:rPr>
          <w:rFonts w:ascii="Verdana" w:hAnsi="Verdana"/>
          <w:sz w:val="20"/>
          <w:szCs w:val="20"/>
          <w:lang w:val="es-PE"/>
        </w:rPr>
        <w:t>s</w:t>
      </w:r>
      <w:r w:rsidRPr="00795D56">
        <w:rPr>
          <w:rFonts w:ascii="Verdana" w:hAnsi="Verdana"/>
          <w:sz w:val="20"/>
          <w:szCs w:val="20"/>
          <w:lang w:val="es-PE"/>
        </w:rPr>
        <w:t xml:space="preserve"> víctima</w:t>
      </w:r>
      <w:r>
        <w:rPr>
          <w:rFonts w:ascii="Verdana" w:hAnsi="Verdana"/>
          <w:sz w:val="20"/>
          <w:szCs w:val="20"/>
          <w:lang w:val="es-PE"/>
        </w:rPr>
        <w:t>s</w:t>
      </w:r>
      <w:r w:rsidRPr="00795D56">
        <w:rPr>
          <w:rFonts w:ascii="Verdana" w:hAnsi="Verdana"/>
          <w:sz w:val="20"/>
          <w:szCs w:val="20"/>
          <w:lang w:val="es-PE"/>
        </w:rPr>
        <w:t xml:space="preserve"> durante la misma. </w:t>
      </w:r>
      <w:r w:rsidRPr="00CF686B">
        <w:rPr>
          <w:rFonts w:ascii="Verdana" w:hAnsi="Verdana"/>
          <w:sz w:val="20"/>
          <w:szCs w:val="20"/>
          <w:lang w:val="es-PE"/>
        </w:rPr>
        <w:t>Para tal efecto se dispone que la Secretaría notifique la presente Resolución al Estado de El Salvador.</w:t>
      </w:r>
    </w:p>
    <w:p w:rsidR="002B39C3" w:rsidRPr="00041AE6" w:rsidRDefault="002B39C3" w:rsidP="002B39C3">
      <w:pPr>
        <w:widowControl w:val="0"/>
        <w:autoSpaceDE w:val="0"/>
        <w:autoSpaceDN w:val="0"/>
        <w:adjustRightInd w:val="0"/>
        <w:spacing w:after="0" w:line="240" w:lineRule="auto"/>
        <w:ind w:right="22"/>
        <w:jc w:val="both"/>
        <w:rPr>
          <w:rFonts w:ascii="Verdana" w:hAnsi="Verdana" w:cs="Verdana"/>
          <w:color w:val="000000"/>
          <w:sz w:val="20"/>
          <w:szCs w:val="20"/>
          <w:lang w:val="es-ES" w:eastAsia="es-ES"/>
        </w:rPr>
      </w:pPr>
    </w:p>
    <w:p w:rsidR="002B39C3" w:rsidRPr="00AF7372" w:rsidRDefault="002B39C3" w:rsidP="002B39C3">
      <w:pPr>
        <w:numPr>
          <w:ilvl w:val="0"/>
          <w:numId w:val="4"/>
        </w:numPr>
        <w:tabs>
          <w:tab w:val="clear" w:pos="1440"/>
          <w:tab w:val="left" w:pos="567"/>
          <w:tab w:val="num" w:pos="3600"/>
        </w:tabs>
        <w:spacing w:after="0" w:line="240" w:lineRule="auto"/>
        <w:jc w:val="both"/>
        <w:rPr>
          <w:rFonts w:ascii="Verdana" w:eastAsia="MS Mincho" w:hAnsi="Verdana" w:cs="Times"/>
          <w:sz w:val="20"/>
          <w:szCs w:val="20"/>
          <w:lang w:val="es-ES"/>
        </w:rPr>
      </w:pPr>
      <w:r w:rsidRPr="00041AE6">
        <w:rPr>
          <w:rFonts w:ascii="Verdana" w:hAnsi="Verdana" w:cs="Verdana"/>
          <w:color w:val="000000"/>
          <w:sz w:val="20"/>
          <w:szCs w:val="20"/>
          <w:lang w:val="es-ES" w:eastAsia="es-ES"/>
        </w:rPr>
        <w:t>Disponer que la Secretaría de la Corte Interamericana notifique la presente Resolución a la Comisión Interamericana, a los representantes</w:t>
      </w:r>
      <w:r w:rsidRPr="00041AE6">
        <w:rPr>
          <w:rFonts w:ascii="Verdana" w:eastAsia="MS Mincho" w:hAnsi="Verdana" w:cs="Times"/>
          <w:color w:val="000000"/>
          <w:sz w:val="20"/>
          <w:szCs w:val="20"/>
          <w:lang w:val="es-ES" w:eastAsia="es-ES"/>
        </w:rPr>
        <w:t xml:space="preserve"> </w:t>
      </w:r>
      <w:r w:rsidR="00CF686B">
        <w:rPr>
          <w:rFonts w:ascii="Verdana" w:hAnsi="Verdana" w:cs="Verdana"/>
          <w:color w:val="000000"/>
          <w:sz w:val="20"/>
          <w:szCs w:val="20"/>
          <w:lang w:val="es-ES" w:eastAsia="es-ES"/>
        </w:rPr>
        <w:t>y a Guatemala.</w:t>
      </w: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ind w:left="4320"/>
        <w:jc w:val="center"/>
        <w:rPr>
          <w:rFonts w:ascii="Verdana" w:hAnsi="Verdana" w:cs="Verdana"/>
          <w:sz w:val="20"/>
          <w:szCs w:val="20"/>
          <w:lang w:val="es-ES"/>
        </w:rPr>
      </w:pPr>
      <w:r w:rsidRPr="00041AE6">
        <w:rPr>
          <w:rFonts w:ascii="Verdana" w:hAnsi="Verdana" w:cs="Verdana"/>
          <w:sz w:val="20"/>
          <w:szCs w:val="20"/>
          <w:lang w:val="es-ES"/>
        </w:rPr>
        <w:t xml:space="preserve">        Eduardo Ferrer Mac-Gregor Poisot</w:t>
      </w:r>
    </w:p>
    <w:p w:rsidR="002B39C3" w:rsidRPr="00041AE6" w:rsidRDefault="002B39C3" w:rsidP="002B39C3">
      <w:pPr>
        <w:autoSpaceDE w:val="0"/>
        <w:autoSpaceDN w:val="0"/>
        <w:adjustRightInd w:val="0"/>
        <w:spacing w:after="0" w:line="240" w:lineRule="auto"/>
        <w:ind w:left="5760" w:firstLine="612"/>
        <w:rPr>
          <w:rFonts w:ascii="Verdana" w:hAnsi="Verdana" w:cs="Verdana"/>
          <w:sz w:val="20"/>
          <w:szCs w:val="20"/>
          <w:lang w:val="es-ES"/>
        </w:rPr>
      </w:pPr>
      <w:r w:rsidRPr="00041AE6">
        <w:rPr>
          <w:rFonts w:ascii="Verdana" w:hAnsi="Verdana" w:cs="Verdana"/>
          <w:sz w:val="20"/>
          <w:szCs w:val="20"/>
          <w:lang w:val="es-ES"/>
        </w:rPr>
        <w:t xml:space="preserve">Presidente </w:t>
      </w:r>
      <w:r w:rsidRPr="00041AE6">
        <w:rPr>
          <w:rFonts w:ascii="Verdana" w:hAnsi="Verdana" w:cs="Verdana"/>
          <w:sz w:val="20"/>
          <w:szCs w:val="20"/>
          <w:lang w:val="es-ES"/>
        </w:rPr>
        <w:cr/>
      </w: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Pablo Saavedra Alessandri</w:t>
      </w: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 xml:space="preserve">          Secretario </w:t>
      </w: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Comuníquese y ejecútese,</w:t>
      </w: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spacing w:after="0" w:line="240" w:lineRule="auto"/>
        <w:ind w:left="2880"/>
        <w:jc w:val="center"/>
        <w:rPr>
          <w:rFonts w:ascii="Verdana" w:hAnsi="Verdana" w:cs="Verdana"/>
          <w:sz w:val="20"/>
          <w:szCs w:val="20"/>
          <w:lang w:val="es-ES"/>
        </w:rPr>
      </w:pPr>
      <w:r w:rsidRPr="00041AE6">
        <w:rPr>
          <w:rFonts w:ascii="Verdana" w:hAnsi="Verdana" w:cs="Verdana"/>
          <w:sz w:val="20"/>
          <w:szCs w:val="20"/>
          <w:lang w:val="es-ES"/>
        </w:rPr>
        <w:t xml:space="preserve">                  Eduardo Ferrer Mac-Gregor Poisot</w:t>
      </w:r>
    </w:p>
    <w:p w:rsidR="002B39C3" w:rsidRPr="00041AE6" w:rsidRDefault="002B39C3" w:rsidP="002B39C3">
      <w:pPr>
        <w:autoSpaceDE w:val="0"/>
        <w:autoSpaceDN w:val="0"/>
        <w:adjustRightInd w:val="0"/>
        <w:spacing w:after="0" w:line="240" w:lineRule="auto"/>
        <w:ind w:left="4320" w:firstLine="720"/>
        <w:rPr>
          <w:rFonts w:ascii="Verdana" w:hAnsi="Verdana" w:cs="Verdana"/>
          <w:sz w:val="20"/>
          <w:szCs w:val="20"/>
          <w:lang w:val="es-ES"/>
        </w:rPr>
      </w:pPr>
      <w:r w:rsidRPr="00041AE6">
        <w:rPr>
          <w:rFonts w:ascii="Verdana" w:hAnsi="Verdana" w:cs="Verdana"/>
          <w:sz w:val="20"/>
          <w:szCs w:val="20"/>
          <w:lang w:val="es-ES"/>
        </w:rPr>
        <w:t xml:space="preserve">   </w:t>
      </w:r>
      <w:r>
        <w:rPr>
          <w:rFonts w:ascii="Verdana" w:hAnsi="Verdana" w:cs="Verdana"/>
          <w:sz w:val="20"/>
          <w:szCs w:val="20"/>
          <w:lang w:val="es-ES"/>
        </w:rPr>
        <w:tab/>
      </w:r>
      <w:r w:rsidRPr="00041AE6">
        <w:rPr>
          <w:rFonts w:ascii="Verdana" w:hAnsi="Verdana" w:cs="Verdana"/>
          <w:sz w:val="20"/>
          <w:szCs w:val="20"/>
          <w:lang w:val="es-ES"/>
        </w:rPr>
        <w:t xml:space="preserve"> Presidente </w:t>
      </w:r>
    </w:p>
    <w:p w:rsidR="002B39C3" w:rsidRPr="00041AE6" w:rsidRDefault="002B39C3" w:rsidP="002B39C3">
      <w:pPr>
        <w:autoSpaceDE w:val="0"/>
        <w:autoSpaceDN w:val="0"/>
        <w:adjustRightInd w:val="0"/>
        <w:spacing w:after="0" w:line="240" w:lineRule="auto"/>
        <w:jc w:val="right"/>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Pablo Saavedra Alessandri</w:t>
      </w: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r w:rsidRPr="00041AE6">
        <w:rPr>
          <w:rFonts w:ascii="Verdana" w:hAnsi="Verdana" w:cs="Verdana"/>
          <w:sz w:val="20"/>
          <w:szCs w:val="20"/>
          <w:lang w:val="es-ES"/>
        </w:rPr>
        <w:t xml:space="preserve">          Secretario </w:t>
      </w:r>
    </w:p>
    <w:p w:rsidR="002B39C3" w:rsidRPr="00041AE6" w:rsidRDefault="002B39C3" w:rsidP="002B39C3">
      <w:pPr>
        <w:autoSpaceDE w:val="0"/>
        <w:autoSpaceDN w:val="0"/>
        <w:adjustRightInd w:val="0"/>
        <w:spacing w:after="0" w:line="240" w:lineRule="auto"/>
        <w:jc w:val="both"/>
        <w:rPr>
          <w:rFonts w:ascii="Verdana" w:hAnsi="Verdana" w:cs="Verdana"/>
          <w:sz w:val="20"/>
          <w:szCs w:val="20"/>
          <w:lang w:val="es-ES"/>
        </w:rPr>
      </w:pPr>
    </w:p>
    <w:p w:rsidR="002B39C3" w:rsidRPr="00041AE6" w:rsidRDefault="002B39C3" w:rsidP="002B39C3">
      <w:pPr>
        <w:rPr>
          <w:lang w:val="es-ES"/>
        </w:rPr>
      </w:pPr>
    </w:p>
    <w:p w:rsidR="00D020C4" w:rsidRDefault="00D020C4"/>
    <w:sectPr w:rsidR="00D020C4" w:rsidSect="00B43BE4">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8CD" w:rsidRDefault="003038CD">
      <w:pPr>
        <w:spacing w:after="0" w:line="240" w:lineRule="auto"/>
      </w:pPr>
      <w:r>
        <w:separator/>
      </w:r>
    </w:p>
  </w:endnote>
  <w:endnote w:type="continuationSeparator" w:id="0">
    <w:p w:rsidR="003038CD" w:rsidRDefault="0030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68355"/>
      <w:docPartObj>
        <w:docPartGallery w:val="Page Numbers (Bottom of Page)"/>
        <w:docPartUnique/>
      </w:docPartObj>
    </w:sdtPr>
    <w:sdtEndPr/>
    <w:sdtContent>
      <w:p w:rsidR="00B43BE4" w:rsidRDefault="00B43BE4">
        <w:pPr>
          <w:pStyle w:val="Footer"/>
          <w:jc w:val="center"/>
        </w:pPr>
        <w:r>
          <w:fldChar w:fldCharType="begin"/>
        </w:r>
        <w:r>
          <w:instrText>PAGE   \* MERGEFORMAT</w:instrText>
        </w:r>
        <w:r>
          <w:fldChar w:fldCharType="separate"/>
        </w:r>
        <w:r w:rsidR="00D427B6" w:rsidRPr="00D427B6">
          <w:rPr>
            <w:noProof/>
            <w:lang w:val="es-ES"/>
          </w:rPr>
          <w:t>5</w:t>
        </w:r>
        <w:r>
          <w:fldChar w:fldCharType="end"/>
        </w:r>
      </w:p>
    </w:sdtContent>
  </w:sdt>
  <w:p w:rsidR="00366586" w:rsidRDefault="00303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8CD" w:rsidRDefault="003038CD">
      <w:pPr>
        <w:spacing w:after="0" w:line="240" w:lineRule="auto"/>
      </w:pPr>
      <w:r>
        <w:separator/>
      </w:r>
    </w:p>
  </w:footnote>
  <w:footnote w:type="continuationSeparator" w:id="0">
    <w:p w:rsidR="003038CD" w:rsidRDefault="00303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BFF"/>
    <w:multiLevelType w:val="hybridMultilevel"/>
    <w:tmpl w:val="1C80CF6E"/>
    <w:lvl w:ilvl="0" w:tplc="04090015">
      <w:start w:val="1"/>
      <w:numFmt w:val="upperLetter"/>
      <w:lvlText w:val="%1."/>
      <w:lvlJc w:val="left"/>
      <w:pPr>
        <w:ind w:left="720" w:hanging="360"/>
      </w:pPr>
      <w:rPr>
        <w:rFonts w:hint="default"/>
      </w:rPr>
    </w:lvl>
    <w:lvl w:ilvl="1" w:tplc="DF7AD676">
      <w:start w:val="1"/>
      <w:numFmt w:val="decimal"/>
      <w:lvlText w:val="%2)"/>
      <w:lvlJc w:val="left"/>
      <w:pPr>
        <w:ind w:left="1440" w:hanging="360"/>
      </w:pPr>
      <w:rPr>
        <w:b/>
        <w:bCs/>
        <w:i w:val="0"/>
        <w:iCs w:val="0"/>
      </w:rPr>
    </w:lvl>
    <w:lvl w:ilvl="2" w:tplc="0409001B">
      <w:start w:val="1"/>
      <w:numFmt w:val="lowerRoman"/>
      <w:lvlText w:val="%3."/>
      <w:lvlJc w:val="right"/>
      <w:pPr>
        <w:ind w:left="2160" w:hanging="180"/>
      </w:pPr>
    </w:lvl>
    <w:lvl w:ilvl="3" w:tplc="4AC25A3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7001FA"/>
    <w:multiLevelType w:val="hybridMultilevel"/>
    <w:tmpl w:val="DFCE712C"/>
    <w:lvl w:ilvl="0" w:tplc="0EFE794A">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2">
    <w:nsid w:val="1DF870C0"/>
    <w:multiLevelType w:val="hybridMultilevel"/>
    <w:tmpl w:val="53B00A54"/>
    <w:lvl w:ilvl="0" w:tplc="AD5296B0">
      <w:start w:val="1"/>
      <w:numFmt w:val="upperLetter"/>
      <w:lvlText w:val="%1."/>
      <w:lvlJc w:val="left"/>
      <w:pPr>
        <w:ind w:left="2370" w:hanging="360"/>
      </w:pPr>
      <w:rPr>
        <w:rFonts w:hint="default"/>
        <w:b/>
      </w:rPr>
    </w:lvl>
    <w:lvl w:ilvl="1" w:tplc="140A0019" w:tentative="1">
      <w:start w:val="1"/>
      <w:numFmt w:val="lowerLetter"/>
      <w:lvlText w:val="%2."/>
      <w:lvlJc w:val="left"/>
      <w:pPr>
        <w:ind w:left="3090" w:hanging="360"/>
      </w:pPr>
    </w:lvl>
    <w:lvl w:ilvl="2" w:tplc="140A001B" w:tentative="1">
      <w:start w:val="1"/>
      <w:numFmt w:val="lowerRoman"/>
      <w:lvlText w:val="%3."/>
      <w:lvlJc w:val="right"/>
      <w:pPr>
        <w:ind w:left="3810" w:hanging="180"/>
      </w:pPr>
    </w:lvl>
    <w:lvl w:ilvl="3" w:tplc="140A000F" w:tentative="1">
      <w:start w:val="1"/>
      <w:numFmt w:val="decimal"/>
      <w:lvlText w:val="%4."/>
      <w:lvlJc w:val="left"/>
      <w:pPr>
        <w:ind w:left="4530" w:hanging="360"/>
      </w:pPr>
    </w:lvl>
    <w:lvl w:ilvl="4" w:tplc="140A0019" w:tentative="1">
      <w:start w:val="1"/>
      <w:numFmt w:val="lowerLetter"/>
      <w:lvlText w:val="%5."/>
      <w:lvlJc w:val="left"/>
      <w:pPr>
        <w:ind w:left="5250" w:hanging="360"/>
      </w:pPr>
    </w:lvl>
    <w:lvl w:ilvl="5" w:tplc="140A001B" w:tentative="1">
      <w:start w:val="1"/>
      <w:numFmt w:val="lowerRoman"/>
      <w:lvlText w:val="%6."/>
      <w:lvlJc w:val="right"/>
      <w:pPr>
        <w:ind w:left="5970" w:hanging="180"/>
      </w:pPr>
    </w:lvl>
    <w:lvl w:ilvl="6" w:tplc="140A000F" w:tentative="1">
      <w:start w:val="1"/>
      <w:numFmt w:val="decimal"/>
      <w:lvlText w:val="%7."/>
      <w:lvlJc w:val="left"/>
      <w:pPr>
        <w:ind w:left="6690" w:hanging="360"/>
      </w:pPr>
    </w:lvl>
    <w:lvl w:ilvl="7" w:tplc="140A0019" w:tentative="1">
      <w:start w:val="1"/>
      <w:numFmt w:val="lowerLetter"/>
      <w:lvlText w:val="%8."/>
      <w:lvlJc w:val="left"/>
      <w:pPr>
        <w:ind w:left="7410" w:hanging="360"/>
      </w:pPr>
    </w:lvl>
    <w:lvl w:ilvl="8" w:tplc="140A001B" w:tentative="1">
      <w:start w:val="1"/>
      <w:numFmt w:val="lowerRoman"/>
      <w:lvlText w:val="%9."/>
      <w:lvlJc w:val="right"/>
      <w:pPr>
        <w:ind w:left="8130" w:hanging="180"/>
      </w:pPr>
    </w:lvl>
  </w:abstractNum>
  <w:abstractNum w:abstractNumId="3">
    <w:nsid w:val="21283FE2"/>
    <w:multiLevelType w:val="hybridMultilevel"/>
    <w:tmpl w:val="B26C5DB4"/>
    <w:lvl w:ilvl="0" w:tplc="30602768">
      <w:start w:val="1"/>
      <w:numFmt w:val="decimal"/>
      <w:lvlText w:val="%1."/>
      <w:lvlJc w:val="left"/>
      <w:pPr>
        <w:ind w:left="1713" w:hanging="360"/>
      </w:pPr>
      <w:rPr>
        <w:i w:val="0"/>
      </w:rPr>
    </w:lvl>
    <w:lvl w:ilvl="1" w:tplc="140A0019" w:tentative="1">
      <w:start w:val="1"/>
      <w:numFmt w:val="lowerLetter"/>
      <w:lvlText w:val="%2."/>
      <w:lvlJc w:val="left"/>
      <w:pPr>
        <w:ind w:left="2433" w:hanging="360"/>
      </w:pPr>
    </w:lvl>
    <w:lvl w:ilvl="2" w:tplc="140A001B" w:tentative="1">
      <w:start w:val="1"/>
      <w:numFmt w:val="lowerRoman"/>
      <w:lvlText w:val="%3."/>
      <w:lvlJc w:val="right"/>
      <w:pPr>
        <w:ind w:left="3153" w:hanging="180"/>
      </w:pPr>
    </w:lvl>
    <w:lvl w:ilvl="3" w:tplc="140A000F" w:tentative="1">
      <w:start w:val="1"/>
      <w:numFmt w:val="decimal"/>
      <w:lvlText w:val="%4."/>
      <w:lvlJc w:val="left"/>
      <w:pPr>
        <w:ind w:left="3873" w:hanging="360"/>
      </w:pPr>
    </w:lvl>
    <w:lvl w:ilvl="4" w:tplc="140A0019" w:tentative="1">
      <w:start w:val="1"/>
      <w:numFmt w:val="lowerLetter"/>
      <w:lvlText w:val="%5."/>
      <w:lvlJc w:val="left"/>
      <w:pPr>
        <w:ind w:left="4593" w:hanging="360"/>
      </w:pPr>
    </w:lvl>
    <w:lvl w:ilvl="5" w:tplc="140A001B" w:tentative="1">
      <w:start w:val="1"/>
      <w:numFmt w:val="lowerRoman"/>
      <w:lvlText w:val="%6."/>
      <w:lvlJc w:val="right"/>
      <w:pPr>
        <w:ind w:left="5313" w:hanging="180"/>
      </w:pPr>
    </w:lvl>
    <w:lvl w:ilvl="6" w:tplc="140A000F" w:tentative="1">
      <w:start w:val="1"/>
      <w:numFmt w:val="decimal"/>
      <w:lvlText w:val="%7."/>
      <w:lvlJc w:val="left"/>
      <w:pPr>
        <w:ind w:left="6033" w:hanging="360"/>
      </w:pPr>
    </w:lvl>
    <w:lvl w:ilvl="7" w:tplc="140A0019" w:tentative="1">
      <w:start w:val="1"/>
      <w:numFmt w:val="lowerLetter"/>
      <w:lvlText w:val="%8."/>
      <w:lvlJc w:val="left"/>
      <w:pPr>
        <w:ind w:left="6753" w:hanging="360"/>
      </w:pPr>
    </w:lvl>
    <w:lvl w:ilvl="8" w:tplc="140A001B" w:tentative="1">
      <w:start w:val="1"/>
      <w:numFmt w:val="lowerRoman"/>
      <w:lvlText w:val="%9."/>
      <w:lvlJc w:val="right"/>
      <w:pPr>
        <w:ind w:left="7473" w:hanging="180"/>
      </w:pPr>
    </w:lvl>
  </w:abstractNum>
  <w:abstractNum w:abstractNumId="4">
    <w:nsid w:val="2A780770"/>
    <w:multiLevelType w:val="hybridMultilevel"/>
    <w:tmpl w:val="3DC8A7FE"/>
    <w:lvl w:ilvl="0" w:tplc="67E07D4A">
      <w:start w:val="1"/>
      <w:numFmt w:val="decimal"/>
      <w:lvlText w:val="%1."/>
      <w:lvlJc w:val="left"/>
      <w:pPr>
        <w:ind w:left="1080" w:hanging="720"/>
      </w:pPr>
      <w:rPr>
        <w:rFonts w:hint="default"/>
        <w:b w:val="0"/>
        <w:i w:val="0"/>
        <w:color w:val="auto"/>
      </w:rPr>
    </w:lvl>
    <w:lvl w:ilvl="1" w:tplc="7C2C13CE">
      <w:start w:val="1"/>
      <w:numFmt w:val="lowerRoman"/>
      <w:lvlText w:val="%2."/>
      <w:lvlJc w:val="left"/>
      <w:pPr>
        <w:ind w:left="1800" w:hanging="720"/>
      </w:pPr>
      <w:rPr>
        <w:rFonts w:hint="default"/>
      </w:rPr>
    </w:lvl>
    <w:lvl w:ilvl="2" w:tplc="841219D4">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D6ECD"/>
    <w:multiLevelType w:val="hybridMultilevel"/>
    <w:tmpl w:val="F4BA3FDA"/>
    <w:lvl w:ilvl="0" w:tplc="ED0459E8">
      <w:start w:val="1"/>
      <w:numFmt w:val="lowerLetter"/>
      <w:lvlText w:val="%1)"/>
      <w:lvlJc w:val="left"/>
      <w:pPr>
        <w:ind w:left="1080" w:hanging="360"/>
      </w:pPr>
      <w:rPr>
        <w:rFonts w:ascii="Verdana" w:hAnsi="Verdana" w:cs="Verdana" w:hint="default"/>
        <w:sz w:val="20"/>
        <w:szCs w:val="20"/>
      </w:rPr>
    </w:lvl>
    <w:lvl w:ilvl="1" w:tplc="323EEAAC">
      <w:start w:val="1"/>
      <w:numFmt w:val="decimal"/>
      <w:pStyle w:val="ListParagraph"/>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6">
    <w:nsid w:val="62C97D24"/>
    <w:multiLevelType w:val="hybridMultilevel"/>
    <w:tmpl w:val="C0FAAC86"/>
    <w:lvl w:ilvl="0" w:tplc="3F2CF080">
      <w:start w:val="1"/>
      <w:numFmt w:val="decimal"/>
      <w:lvlText w:val="%1."/>
      <w:lvlJc w:val="left"/>
      <w:pPr>
        <w:ind w:left="1080" w:hanging="720"/>
      </w:pPr>
      <w:rPr>
        <w:rFonts w:hint="default"/>
        <w:b w:val="0"/>
      </w:rPr>
    </w:lvl>
    <w:lvl w:ilvl="1" w:tplc="B08C5A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D67737"/>
    <w:multiLevelType w:val="hybridMultilevel"/>
    <w:tmpl w:val="33F6CC2A"/>
    <w:lvl w:ilvl="0" w:tplc="DF64A45E">
      <w:start w:val="1"/>
      <w:numFmt w:val="upperLetter"/>
      <w:lvlText w:val="%1."/>
      <w:lvlJc w:val="left"/>
      <w:pPr>
        <w:ind w:left="2370" w:hanging="360"/>
      </w:pPr>
      <w:rPr>
        <w:rFonts w:hint="default"/>
        <w:b/>
      </w:rPr>
    </w:lvl>
    <w:lvl w:ilvl="1" w:tplc="140A0019" w:tentative="1">
      <w:start w:val="1"/>
      <w:numFmt w:val="lowerLetter"/>
      <w:lvlText w:val="%2."/>
      <w:lvlJc w:val="left"/>
      <w:pPr>
        <w:ind w:left="3090" w:hanging="360"/>
      </w:pPr>
    </w:lvl>
    <w:lvl w:ilvl="2" w:tplc="140A001B" w:tentative="1">
      <w:start w:val="1"/>
      <w:numFmt w:val="lowerRoman"/>
      <w:lvlText w:val="%3."/>
      <w:lvlJc w:val="right"/>
      <w:pPr>
        <w:ind w:left="3810" w:hanging="180"/>
      </w:pPr>
    </w:lvl>
    <w:lvl w:ilvl="3" w:tplc="140A000F" w:tentative="1">
      <w:start w:val="1"/>
      <w:numFmt w:val="decimal"/>
      <w:lvlText w:val="%4."/>
      <w:lvlJc w:val="left"/>
      <w:pPr>
        <w:ind w:left="4530" w:hanging="360"/>
      </w:pPr>
    </w:lvl>
    <w:lvl w:ilvl="4" w:tplc="140A0019" w:tentative="1">
      <w:start w:val="1"/>
      <w:numFmt w:val="lowerLetter"/>
      <w:lvlText w:val="%5."/>
      <w:lvlJc w:val="left"/>
      <w:pPr>
        <w:ind w:left="5250" w:hanging="360"/>
      </w:pPr>
    </w:lvl>
    <w:lvl w:ilvl="5" w:tplc="140A001B" w:tentative="1">
      <w:start w:val="1"/>
      <w:numFmt w:val="lowerRoman"/>
      <w:lvlText w:val="%6."/>
      <w:lvlJc w:val="right"/>
      <w:pPr>
        <w:ind w:left="5970" w:hanging="180"/>
      </w:pPr>
    </w:lvl>
    <w:lvl w:ilvl="6" w:tplc="140A000F" w:tentative="1">
      <w:start w:val="1"/>
      <w:numFmt w:val="decimal"/>
      <w:lvlText w:val="%7."/>
      <w:lvlJc w:val="left"/>
      <w:pPr>
        <w:ind w:left="6690" w:hanging="360"/>
      </w:pPr>
    </w:lvl>
    <w:lvl w:ilvl="7" w:tplc="140A0019" w:tentative="1">
      <w:start w:val="1"/>
      <w:numFmt w:val="lowerLetter"/>
      <w:lvlText w:val="%8."/>
      <w:lvlJc w:val="left"/>
      <w:pPr>
        <w:ind w:left="7410" w:hanging="360"/>
      </w:pPr>
    </w:lvl>
    <w:lvl w:ilvl="8" w:tplc="140A001B" w:tentative="1">
      <w:start w:val="1"/>
      <w:numFmt w:val="lowerRoman"/>
      <w:lvlText w:val="%9."/>
      <w:lvlJc w:val="right"/>
      <w:pPr>
        <w:ind w:left="8130" w:hanging="180"/>
      </w:pPr>
    </w:lvl>
  </w:abstractNum>
  <w:abstractNum w:abstractNumId="8">
    <w:nsid w:val="644167C5"/>
    <w:multiLevelType w:val="hybridMultilevel"/>
    <w:tmpl w:val="56E2A2AE"/>
    <w:lvl w:ilvl="0" w:tplc="0FD0E226">
      <w:start w:val="2"/>
      <w:numFmt w:val="decimal"/>
      <w:lvlText w:val="%1."/>
      <w:lvlJc w:val="left"/>
      <w:pPr>
        <w:tabs>
          <w:tab w:val="num" w:pos="1440"/>
        </w:tabs>
      </w:pPr>
      <w:rPr>
        <w:rFonts w:ascii="Verdana" w:hAnsi="Verdan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4"/>
  </w:num>
  <w:num w:numId="4">
    <w:abstractNumId w:val="8"/>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C3"/>
    <w:rsid w:val="00085065"/>
    <w:rsid w:val="00125688"/>
    <w:rsid w:val="0014579A"/>
    <w:rsid w:val="00146D3C"/>
    <w:rsid w:val="002208EF"/>
    <w:rsid w:val="00261610"/>
    <w:rsid w:val="002B39C3"/>
    <w:rsid w:val="003038CD"/>
    <w:rsid w:val="00370EA4"/>
    <w:rsid w:val="004071D4"/>
    <w:rsid w:val="00421C1A"/>
    <w:rsid w:val="00462C44"/>
    <w:rsid w:val="005C5573"/>
    <w:rsid w:val="006621C6"/>
    <w:rsid w:val="006C64A1"/>
    <w:rsid w:val="006F0213"/>
    <w:rsid w:val="006F03F8"/>
    <w:rsid w:val="00702DC7"/>
    <w:rsid w:val="0072243F"/>
    <w:rsid w:val="00773F9E"/>
    <w:rsid w:val="007801D7"/>
    <w:rsid w:val="007D30DC"/>
    <w:rsid w:val="007D7F13"/>
    <w:rsid w:val="00864775"/>
    <w:rsid w:val="00897A9F"/>
    <w:rsid w:val="00A361AA"/>
    <w:rsid w:val="00A44189"/>
    <w:rsid w:val="00A460DA"/>
    <w:rsid w:val="00A875BA"/>
    <w:rsid w:val="00B43BE4"/>
    <w:rsid w:val="00C059D8"/>
    <w:rsid w:val="00C71ACE"/>
    <w:rsid w:val="00CE0602"/>
    <w:rsid w:val="00CF686B"/>
    <w:rsid w:val="00D020C4"/>
    <w:rsid w:val="00D20E98"/>
    <w:rsid w:val="00D427B6"/>
    <w:rsid w:val="00E00CEA"/>
    <w:rsid w:val="00E82516"/>
    <w:rsid w:val="00EB1D7B"/>
    <w:rsid w:val="00F83107"/>
    <w:rsid w:val="00FB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C3"/>
    <w:rPr>
      <w:rFonts w:ascii="Calibri" w:eastAsia="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qFormat/>
    <w:rsid w:val="002B39C3"/>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paragraph" w:styleId="Footer">
    <w:name w:val="footer"/>
    <w:basedOn w:val="Normal"/>
    <w:link w:val="FooterChar"/>
    <w:uiPriority w:val="99"/>
    <w:unhideWhenUsed/>
    <w:rsid w:val="002B39C3"/>
    <w:pPr>
      <w:tabs>
        <w:tab w:val="center" w:pos="4419"/>
        <w:tab w:val="right" w:pos="8838"/>
      </w:tabs>
      <w:spacing w:after="0" w:line="240" w:lineRule="auto"/>
    </w:pPr>
  </w:style>
  <w:style w:type="character" w:customStyle="1" w:styleId="FooterChar">
    <w:name w:val="Footer Char"/>
    <w:basedOn w:val="DefaultParagraphFont"/>
    <w:link w:val="Footer"/>
    <w:uiPriority w:val="99"/>
    <w:rsid w:val="002B39C3"/>
    <w:rPr>
      <w:rFonts w:ascii="Calibri" w:eastAsia="Calibri" w:hAnsi="Calibri" w:cs="Calibri"/>
      <w:lang w:val="es-MX"/>
    </w:rPr>
  </w:style>
  <w:style w:type="character" w:customStyle="1" w:styleId="ListParagraphChar">
    <w:name w:val="List Paragraph Char"/>
    <w:aliases w:val="Footnote Char,List Paragraph2 Char,List Paragraph1 Char,Lista vistosa - Énfasis 11 Char"/>
    <w:link w:val="ListParagraph"/>
    <w:locked/>
    <w:rsid w:val="002B39C3"/>
    <w:rPr>
      <w:rFonts w:ascii="Verdana" w:eastAsia="Calibri" w:hAnsi="Verdana" w:cs="Verdana"/>
      <w:sz w:val="20"/>
      <w:szCs w:val="20"/>
      <w:lang w:val="es-MX"/>
    </w:rPr>
  </w:style>
  <w:style w:type="character" w:styleId="CommentReference">
    <w:name w:val="annotation reference"/>
    <w:basedOn w:val="DefaultParagraphFont"/>
    <w:uiPriority w:val="99"/>
    <w:semiHidden/>
    <w:unhideWhenUsed/>
    <w:rsid w:val="00897A9F"/>
    <w:rPr>
      <w:sz w:val="16"/>
      <w:szCs w:val="16"/>
    </w:rPr>
  </w:style>
  <w:style w:type="paragraph" w:styleId="CommentText">
    <w:name w:val="annotation text"/>
    <w:basedOn w:val="Normal"/>
    <w:link w:val="CommentTextChar"/>
    <w:uiPriority w:val="99"/>
    <w:semiHidden/>
    <w:unhideWhenUsed/>
    <w:rsid w:val="00897A9F"/>
    <w:pPr>
      <w:spacing w:line="240" w:lineRule="auto"/>
    </w:pPr>
    <w:rPr>
      <w:sz w:val="20"/>
      <w:szCs w:val="20"/>
    </w:rPr>
  </w:style>
  <w:style w:type="character" w:customStyle="1" w:styleId="CommentTextChar">
    <w:name w:val="Comment Text Char"/>
    <w:basedOn w:val="DefaultParagraphFont"/>
    <w:link w:val="CommentText"/>
    <w:uiPriority w:val="99"/>
    <w:semiHidden/>
    <w:rsid w:val="00897A9F"/>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897A9F"/>
    <w:rPr>
      <w:b/>
      <w:bCs/>
    </w:rPr>
  </w:style>
  <w:style w:type="character" w:customStyle="1" w:styleId="CommentSubjectChar">
    <w:name w:val="Comment Subject Char"/>
    <w:basedOn w:val="CommentTextChar"/>
    <w:link w:val="CommentSubject"/>
    <w:uiPriority w:val="99"/>
    <w:semiHidden/>
    <w:rsid w:val="00897A9F"/>
    <w:rPr>
      <w:rFonts w:ascii="Calibri" w:eastAsia="Calibri" w:hAnsi="Calibri" w:cs="Calibri"/>
      <w:b/>
      <w:bCs/>
      <w:sz w:val="20"/>
      <w:szCs w:val="20"/>
      <w:lang w:val="es-MX"/>
    </w:rPr>
  </w:style>
  <w:style w:type="paragraph" w:styleId="BalloonText">
    <w:name w:val="Balloon Text"/>
    <w:basedOn w:val="Normal"/>
    <w:link w:val="BalloonTextChar"/>
    <w:uiPriority w:val="99"/>
    <w:semiHidden/>
    <w:unhideWhenUsed/>
    <w:rsid w:val="0089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9F"/>
    <w:rPr>
      <w:rFonts w:ascii="Tahoma" w:eastAsia="Calibri" w:hAnsi="Tahoma" w:cs="Tahoma"/>
      <w:sz w:val="16"/>
      <w:szCs w:val="16"/>
      <w:lang w:val="es-MX"/>
    </w:rPr>
  </w:style>
  <w:style w:type="paragraph" w:styleId="Header">
    <w:name w:val="header"/>
    <w:basedOn w:val="Normal"/>
    <w:link w:val="HeaderChar"/>
    <w:uiPriority w:val="99"/>
    <w:unhideWhenUsed/>
    <w:rsid w:val="00B43BE4"/>
    <w:pPr>
      <w:tabs>
        <w:tab w:val="center" w:pos="4419"/>
        <w:tab w:val="right" w:pos="8838"/>
      </w:tabs>
      <w:spacing w:after="0" w:line="240" w:lineRule="auto"/>
    </w:pPr>
  </w:style>
  <w:style w:type="character" w:customStyle="1" w:styleId="HeaderChar">
    <w:name w:val="Header Char"/>
    <w:basedOn w:val="DefaultParagraphFont"/>
    <w:link w:val="Header"/>
    <w:uiPriority w:val="99"/>
    <w:rsid w:val="00B43BE4"/>
    <w:rPr>
      <w:rFonts w:ascii="Calibri" w:eastAsia="Calibri" w:hAnsi="Calibri" w:cs="Calibri"/>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C3"/>
    <w:rPr>
      <w:rFonts w:ascii="Calibri" w:eastAsia="Calibri" w:hAnsi="Calibri" w:cs="Calibri"/>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2,List Paragraph1,Lista vistosa - Énfasis 11"/>
    <w:basedOn w:val="Normal"/>
    <w:link w:val="ListParagraphChar"/>
    <w:qFormat/>
    <w:rsid w:val="002B39C3"/>
    <w:pPr>
      <w:widowControl w:val="0"/>
      <w:numPr>
        <w:ilvl w:val="1"/>
        <w:numId w:val="1"/>
      </w:numPr>
      <w:autoSpaceDE w:val="0"/>
      <w:autoSpaceDN w:val="0"/>
      <w:adjustRightInd w:val="0"/>
      <w:spacing w:after="0" w:line="240" w:lineRule="auto"/>
      <w:ind w:right="22"/>
      <w:jc w:val="both"/>
    </w:pPr>
    <w:rPr>
      <w:rFonts w:ascii="Verdana" w:hAnsi="Verdana" w:cs="Verdana"/>
      <w:sz w:val="20"/>
      <w:szCs w:val="20"/>
    </w:rPr>
  </w:style>
  <w:style w:type="paragraph" w:styleId="Footer">
    <w:name w:val="footer"/>
    <w:basedOn w:val="Normal"/>
    <w:link w:val="FooterChar"/>
    <w:uiPriority w:val="99"/>
    <w:unhideWhenUsed/>
    <w:rsid w:val="002B39C3"/>
    <w:pPr>
      <w:tabs>
        <w:tab w:val="center" w:pos="4419"/>
        <w:tab w:val="right" w:pos="8838"/>
      </w:tabs>
      <w:spacing w:after="0" w:line="240" w:lineRule="auto"/>
    </w:pPr>
  </w:style>
  <w:style w:type="character" w:customStyle="1" w:styleId="FooterChar">
    <w:name w:val="Footer Char"/>
    <w:basedOn w:val="DefaultParagraphFont"/>
    <w:link w:val="Footer"/>
    <w:uiPriority w:val="99"/>
    <w:rsid w:val="002B39C3"/>
    <w:rPr>
      <w:rFonts w:ascii="Calibri" w:eastAsia="Calibri" w:hAnsi="Calibri" w:cs="Calibri"/>
      <w:lang w:val="es-MX"/>
    </w:rPr>
  </w:style>
  <w:style w:type="character" w:customStyle="1" w:styleId="ListParagraphChar">
    <w:name w:val="List Paragraph Char"/>
    <w:aliases w:val="Footnote Char,List Paragraph2 Char,List Paragraph1 Char,Lista vistosa - Énfasis 11 Char"/>
    <w:link w:val="ListParagraph"/>
    <w:locked/>
    <w:rsid w:val="002B39C3"/>
    <w:rPr>
      <w:rFonts w:ascii="Verdana" w:eastAsia="Calibri" w:hAnsi="Verdana" w:cs="Verdana"/>
      <w:sz w:val="20"/>
      <w:szCs w:val="20"/>
      <w:lang w:val="es-MX"/>
    </w:rPr>
  </w:style>
  <w:style w:type="character" w:styleId="CommentReference">
    <w:name w:val="annotation reference"/>
    <w:basedOn w:val="DefaultParagraphFont"/>
    <w:uiPriority w:val="99"/>
    <w:semiHidden/>
    <w:unhideWhenUsed/>
    <w:rsid w:val="00897A9F"/>
    <w:rPr>
      <w:sz w:val="16"/>
      <w:szCs w:val="16"/>
    </w:rPr>
  </w:style>
  <w:style w:type="paragraph" w:styleId="CommentText">
    <w:name w:val="annotation text"/>
    <w:basedOn w:val="Normal"/>
    <w:link w:val="CommentTextChar"/>
    <w:uiPriority w:val="99"/>
    <w:semiHidden/>
    <w:unhideWhenUsed/>
    <w:rsid w:val="00897A9F"/>
    <w:pPr>
      <w:spacing w:line="240" w:lineRule="auto"/>
    </w:pPr>
    <w:rPr>
      <w:sz w:val="20"/>
      <w:szCs w:val="20"/>
    </w:rPr>
  </w:style>
  <w:style w:type="character" w:customStyle="1" w:styleId="CommentTextChar">
    <w:name w:val="Comment Text Char"/>
    <w:basedOn w:val="DefaultParagraphFont"/>
    <w:link w:val="CommentText"/>
    <w:uiPriority w:val="99"/>
    <w:semiHidden/>
    <w:rsid w:val="00897A9F"/>
    <w:rPr>
      <w:rFonts w:ascii="Calibri" w:eastAsia="Calibri" w:hAnsi="Calibri" w:cs="Calibri"/>
      <w:sz w:val="20"/>
      <w:szCs w:val="20"/>
      <w:lang w:val="es-MX"/>
    </w:rPr>
  </w:style>
  <w:style w:type="paragraph" w:styleId="CommentSubject">
    <w:name w:val="annotation subject"/>
    <w:basedOn w:val="CommentText"/>
    <w:next w:val="CommentText"/>
    <w:link w:val="CommentSubjectChar"/>
    <w:uiPriority w:val="99"/>
    <w:semiHidden/>
    <w:unhideWhenUsed/>
    <w:rsid w:val="00897A9F"/>
    <w:rPr>
      <w:b/>
      <w:bCs/>
    </w:rPr>
  </w:style>
  <w:style w:type="character" w:customStyle="1" w:styleId="CommentSubjectChar">
    <w:name w:val="Comment Subject Char"/>
    <w:basedOn w:val="CommentTextChar"/>
    <w:link w:val="CommentSubject"/>
    <w:uiPriority w:val="99"/>
    <w:semiHidden/>
    <w:rsid w:val="00897A9F"/>
    <w:rPr>
      <w:rFonts w:ascii="Calibri" w:eastAsia="Calibri" w:hAnsi="Calibri" w:cs="Calibri"/>
      <w:b/>
      <w:bCs/>
      <w:sz w:val="20"/>
      <w:szCs w:val="20"/>
      <w:lang w:val="es-MX"/>
    </w:rPr>
  </w:style>
  <w:style w:type="paragraph" w:styleId="BalloonText">
    <w:name w:val="Balloon Text"/>
    <w:basedOn w:val="Normal"/>
    <w:link w:val="BalloonTextChar"/>
    <w:uiPriority w:val="99"/>
    <w:semiHidden/>
    <w:unhideWhenUsed/>
    <w:rsid w:val="00897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9F"/>
    <w:rPr>
      <w:rFonts w:ascii="Tahoma" w:eastAsia="Calibri" w:hAnsi="Tahoma" w:cs="Tahoma"/>
      <w:sz w:val="16"/>
      <w:szCs w:val="16"/>
      <w:lang w:val="es-MX"/>
    </w:rPr>
  </w:style>
  <w:style w:type="paragraph" w:styleId="Header">
    <w:name w:val="header"/>
    <w:basedOn w:val="Normal"/>
    <w:link w:val="HeaderChar"/>
    <w:uiPriority w:val="99"/>
    <w:unhideWhenUsed/>
    <w:rsid w:val="00B43BE4"/>
    <w:pPr>
      <w:tabs>
        <w:tab w:val="center" w:pos="4419"/>
        <w:tab w:val="right" w:pos="8838"/>
      </w:tabs>
      <w:spacing w:after="0" w:line="240" w:lineRule="auto"/>
    </w:pPr>
  </w:style>
  <w:style w:type="character" w:customStyle="1" w:styleId="HeaderChar">
    <w:name w:val="Header Char"/>
    <w:basedOn w:val="DefaultParagraphFont"/>
    <w:link w:val="Header"/>
    <w:uiPriority w:val="99"/>
    <w:rsid w:val="00B43BE4"/>
    <w:rPr>
      <w:rFonts w:ascii="Calibri" w:eastAsia="Calibri" w:hAnsi="Calibri" w:cs="Calibri"/>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31C8-D98D-43F1-A86C-3CFEA5C7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8721</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dcterms:created xsi:type="dcterms:W3CDTF">2018-08-08T15:43:00Z</dcterms:created>
  <dcterms:modified xsi:type="dcterms:W3CDTF">2018-08-08T15:43:00Z</dcterms:modified>
</cp:coreProperties>
</file>