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58" w:rsidRPr="00DF5E58" w:rsidRDefault="00DF5E58" w:rsidP="00DF5E58">
      <w:pPr>
        <w:ind w:right="-317"/>
        <w:jc w:val="center"/>
        <w:rPr>
          <w:rFonts w:ascii="Verdana" w:hAnsi="Verdana" w:cs="Verdana Bold"/>
          <w:b/>
          <w:bCs/>
          <w:caps/>
        </w:rPr>
      </w:pPr>
      <w:bookmarkStart w:id="0" w:name="_GoBack"/>
      <w:bookmarkEnd w:id="0"/>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jc w:val="center"/>
        <w:rPr>
          <w:rFonts w:ascii="Verdana" w:hAnsi="Verdana" w:cs="Verdana Bold"/>
          <w:b/>
          <w:bCs/>
          <w:caps/>
        </w:rPr>
      </w:pPr>
    </w:p>
    <w:p w:rsidR="00DF5E58" w:rsidRPr="00DF5E58" w:rsidRDefault="00DF5E58" w:rsidP="00DF5E58">
      <w:pPr>
        <w:ind w:right="-317"/>
        <w:rPr>
          <w:rFonts w:ascii="Verdana" w:hAnsi="Verdana" w:cs="Verdana Bold"/>
          <w:b/>
          <w:bCs/>
          <w:caps/>
        </w:rPr>
      </w:pPr>
    </w:p>
    <w:p w:rsidR="00DF5E58" w:rsidRPr="00DF5E58" w:rsidRDefault="00DF5E58" w:rsidP="00DF5E58">
      <w:pPr>
        <w:ind w:right="-316"/>
        <w:jc w:val="center"/>
        <w:rPr>
          <w:rFonts w:ascii="Verdana" w:hAnsi="Verdana" w:cs="Verdana Bold"/>
          <w:b/>
          <w:bCs/>
          <w:caps/>
        </w:rPr>
      </w:pPr>
      <w:r w:rsidRPr="00DF5E58">
        <w:rPr>
          <w:rFonts w:ascii="Verdana" w:hAnsi="Verdana" w:cs="Verdana Bold"/>
          <w:b/>
          <w:bCs/>
          <w:caps/>
        </w:rPr>
        <w:t>Resolución del Presidente de la</w:t>
      </w:r>
    </w:p>
    <w:p w:rsidR="00DF5E58" w:rsidRPr="00DF5E58" w:rsidRDefault="00DF5E58" w:rsidP="00DF5E58">
      <w:pPr>
        <w:ind w:right="-316"/>
        <w:jc w:val="center"/>
        <w:rPr>
          <w:rFonts w:ascii="Verdana" w:hAnsi="Verdana" w:cs="Verdana Bold"/>
          <w:b/>
          <w:bCs/>
          <w:caps/>
        </w:rPr>
      </w:pPr>
      <w:r w:rsidRPr="00DF5E58">
        <w:rPr>
          <w:rFonts w:ascii="Verdana" w:hAnsi="Verdana" w:cs="Verdana Bold"/>
          <w:b/>
          <w:bCs/>
          <w:caps/>
        </w:rPr>
        <w:t>Corte Interamericana de Derechos Humanos</w:t>
      </w:r>
    </w:p>
    <w:p w:rsidR="00DF5E58" w:rsidRPr="00DF5E58" w:rsidRDefault="00DF5E58" w:rsidP="00DF5E58">
      <w:pPr>
        <w:ind w:right="-316"/>
        <w:rPr>
          <w:rFonts w:ascii="Verdana" w:hAnsi="Verdana" w:cs="Verdana Bold"/>
          <w:b/>
          <w:bCs/>
          <w:caps/>
        </w:rPr>
      </w:pPr>
    </w:p>
    <w:p w:rsidR="00DF5E58" w:rsidRPr="00DF5E58" w:rsidRDefault="00DF5E58" w:rsidP="00DF5E58">
      <w:pPr>
        <w:ind w:right="-316"/>
        <w:jc w:val="center"/>
        <w:rPr>
          <w:rFonts w:ascii="Verdana" w:hAnsi="Verdana" w:cs="Verdana Bold"/>
          <w:b/>
          <w:bCs/>
          <w:caps/>
        </w:rPr>
      </w:pPr>
      <w:r w:rsidRPr="00B35DAC">
        <w:rPr>
          <w:rFonts w:ascii="Verdana" w:hAnsi="Verdana" w:cs="Verdana Bold"/>
          <w:b/>
          <w:bCs/>
          <w:caps/>
        </w:rPr>
        <w:t xml:space="preserve">DE </w:t>
      </w:r>
      <w:r w:rsidR="00B35DAC" w:rsidRPr="00B35DAC">
        <w:rPr>
          <w:rFonts w:ascii="Verdana" w:hAnsi="Verdana" w:cs="Verdana Bold"/>
          <w:b/>
          <w:bCs/>
          <w:caps/>
        </w:rPr>
        <w:t>20</w:t>
      </w:r>
      <w:r w:rsidRPr="00B35DAC">
        <w:rPr>
          <w:rFonts w:ascii="Verdana" w:hAnsi="Verdana" w:cs="Verdana Bold"/>
          <w:b/>
          <w:bCs/>
          <w:caps/>
        </w:rPr>
        <w:t xml:space="preserve"> de </w:t>
      </w:r>
      <w:r w:rsidR="006F5CC5" w:rsidRPr="00B35DAC">
        <w:rPr>
          <w:rFonts w:ascii="Verdana" w:hAnsi="Verdana" w:cs="Verdana Bold"/>
          <w:b/>
          <w:bCs/>
          <w:caps/>
        </w:rPr>
        <w:t>MARZO</w:t>
      </w:r>
      <w:r w:rsidRPr="00B35DAC">
        <w:rPr>
          <w:rFonts w:ascii="Verdana" w:hAnsi="Verdana" w:cs="Verdana Bold"/>
          <w:b/>
          <w:bCs/>
          <w:caps/>
        </w:rPr>
        <w:t xml:space="preserve"> de 201</w:t>
      </w:r>
      <w:r w:rsidR="006F5CC5" w:rsidRPr="00B35DAC">
        <w:rPr>
          <w:rFonts w:ascii="Verdana" w:hAnsi="Verdana" w:cs="Verdana Bold"/>
          <w:b/>
          <w:bCs/>
          <w:caps/>
        </w:rPr>
        <w:t>9</w:t>
      </w:r>
    </w:p>
    <w:p w:rsidR="00DF5E58" w:rsidRPr="00DF5E58" w:rsidRDefault="00DF5E58" w:rsidP="00DF5E58">
      <w:pPr>
        <w:ind w:right="-316"/>
        <w:rPr>
          <w:rFonts w:ascii="Verdana" w:hAnsi="Verdana" w:cs="Verdana Bold"/>
          <w:b/>
          <w:bCs/>
          <w:caps/>
        </w:rPr>
      </w:pPr>
    </w:p>
    <w:p w:rsidR="00DF5E58" w:rsidRDefault="00DF5E58" w:rsidP="00DF5E58">
      <w:pPr>
        <w:ind w:right="-316"/>
        <w:jc w:val="center"/>
        <w:rPr>
          <w:rFonts w:ascii="Verdana" w:hAnsi="Verdana" w:cs="Verdana Bold"/>
          <w:b/>
          <w:bCs/>
          <w:caps/>
        </w:rPr>
      </w:pPr>
      <w:r w:rsidRPr="00DF5E58">
        <w:rPr>
          <w:rFonts w:ascii="Verdana" w:hAnsi="Verdana" w:cs="Verdana Bold"/>
          <w:b/>
          <w:bCs/>
        </w:rPr>
        <w:t xml:space="preserve">CASO </w:t>
      </w:r>
      <w:r w:rsidR="006F5CC5">
        <w:rPr>
          <w:rFonts w:ascii="Verdana" w:hAnsi="Verdana" w:cs="Arial"/>
          <w:b/>
        </w:rPr>
        <w:t>GORIGOITÍA</w:t>
      </w:r>
      <w:r w:rsidRPr="00DF5E58">
        <w:rPr>
          <w:rFonts w:ascii="Verdana" w:hAnsi="Verdana" w:cs="Arial"/>
          <w:b/>
        </w:rPr>
        <w:t xml:space="preserve"> </w:t>
      </w:r>
      <w:r w:rsidRPr="00DF5E58">
        <w:rPr>
          <w:rFonts w:ascii="Verdana" w:hAnsi="Verdana" w:cs="Verdana Bold"/>
          <w:b/>
          <w:bCs/>
          <w:caps/>
        </w:rPr>
        <w:t xml:space="preserve">VS. </w:t>
      </w:r>
      <w:r w:rsidR="006F5CC5">
        <w:rPr>
          <w:rFonts w:ascii="Verdana" w:hAnsi="Verdana" w:cs="Verdana Bold"/>
          <w:b/>
          <w:bCs/>
          <w:caps/>
        </w:rPr>
        <w:t>ARGENTINA</w:t>
      </w:r>
    </w:p>
    <w:p w:rsidR="00040740" w:rsidRPr="00DF5E58" w:rsidRDefault="00040740" w:rsidP="00DF5E58">
      <w:pPr>
        <w:ind w:right="-316"/>
        <w:jc w:val="center"/>
        <w:rPr>
          <w:rFonts w:ascii="Verdana" w:hAnsi="Verdana" w:cs="Verdana Bold"/>
          <w:b/>
          <w:bCs/>
          <w:caps/>
        </w:rPr>
      </w:pPr>
      <w:r>
        <w:rPr>
          <w:rFonts w:ascii="Verdana" w:hAnsi="Verdana" w:cs="Verdana Bold"/>
          <w:b/>
          <w:bCs/>
          <w:caps/>
        </w:rPr>
        <w:t>RESOLUCIÓN DE CONVOCATORIA</w:t>
      </w:r>
    </w:p>
    <w:p w:rsidR="00DF5E58" w:rsidRPr="00DF5E58" w:rsidRDefault="00DF5E58" w:rsidP="00DF5E58">
      <w:pPr>
        <w:rPr>
          <w:rFonts w:ascii="Verdana" w:hAnsi="Verdana" w:cs="Verdana"/>
          <w:b/>
          <w:bCs/>
          <w:caps/>
        </w:rPr>
      </w:pPr>
    </w:p>
    <w:p w:rsidR="00DF5E58" w:rsidRPr="00DF5E58" w:rsidRDefault="00DF5E58" w:rsidP="00DF5E58">
      <w:pPr>
        <w:rPr>
          <w:rFonts w:ascii="Verdana" w:hAnsi="Verdana" w:cs="Verdana"/>
          <w:b/>
          <w:bCs/>
          <w:caps/>
        </w:rPr>
      </w:pPr>
    </w:p>
    <w:p w:rsidR="00DF5E58" w:rsidRPr="00DF5E58" w:rsidRDefault="00DF5E58" w:rsidP="00DF5E58">
      <w:pPr>
        <w:rPr>
          <w:rFonts w:ascii="Verdana" w:hAnsi="Verdana" w:cs="Verdana"/>
          <w:b/>
          <w:bCs/>
          <w:caps/>
        </w:rPr>
      </w:pPr>
      <w:r w:rsidRPr="00DF5E58">
        <w:rPr>
          <w:rFonts w:ascii="Verdana" w:hAnsi="Verdana" w:cs="Verdana"/>
          <w:b/>
          <w:bCs/>
          <w:caps/>
        </w:rPr>
        <w:t>Visto:</w:t>
      </w:r>
    </w:p>
    <w:p w:rsidR="00DF5E58" w:rsidRPr="00DF5E58" w:rsidRDefault="00DF5E58" w:rsidP="00DF5E58">
      <w:pPr>
        <w:rPr>
          <w:rFonts w:ascii="Verdana" w:hAnsi="Verdana" w:cs="Verdana"/>
          <w:b/>
          <w:bCs/>
          <w:caps/>
        </w:rPr>
      </w:pPr>
    </w:p>
    <w:p w:rsidR="00DF5E58" w:rsidRPr="00DF5E58" w:rsidRDefault="00DF5E58" w:rsidP="00DF5E58">
      <w:pPr>
        <w:pStyle w:val="Prrafodelista"/>
        <w:widowControl w:val="0"/>
        <w:numPr>
          <w:ilvl w:val="0"/>
          <w:numId w:val="3"/>
        </w:numPr>
        <w:tabs>
          <w:tab w:val="left" w:pos="567"/>
          <w:tab w:val="left" w:pos="720"/>
        </w:tabs>
        <w:autoSpaceDE w:val="0"/>
        <w:autoSpaceDN w:val="0"/>
        <w:adjustRightInd w:val="0"/>
        <w:ind w:left="0" w:right="22" w:firstLine="0"/>
        <w:jc w:val="both"/>
        <w:rPr>
          <w:rFonts w:ascii="Verdana" w:hAnsi="Verdana"/>
          <w:sz w:val="20"/>
          <w:szCs w:val="20"/>
          <w:lang w:val="es-CR"/>
        </w:rPr>
      </w:pPr>
      <w:bookmarkStart w:id="1" w:name="_Ref393297742"/>
      <w:bookmarkStart w:id="2" w:name="_Ref352676460"/>
      <w:bookmarkStart w:id="3" w:name="_Ref393297780"/>
      <w:bookmarkStart w:id="4" w:name="_Ref393920719"/>
      <w:r w:rsidRPr="00DF5E58">
        <w:rPr>
          <w:rFonts w:ascii="Verdana" w:hAnsi="Verdana"/>
          <w:sz w:val="20"/>
          <w:szCs w:val="20"/>
          <w:lang w:val="es-CR"/>
        </w:rPr>
        <w:t>El escrito de sometimiento del caso y el Informe de Fondo de la Comisión Interamericana de Derechos Humanos (en adelante “la Comisión Interamericana” o “la Comisión”)</w:t>
      </w:r>
      <w:bookmarkEnd w:id="1"/>
      <w:r w:rsidRPr="00DF5E58">
        <w:rPr>
          <w:rFonts w:ascii="Verdana" w:hAnsi="Verdana"/>
          <w:sz w:val="20"/>
          <w:szCs w:val="20"/>
          <w:lang w:val="es-CR"/>
        </w:rPr>
        <w:t xml:space="preserve">; </w:t>
      </w:r>
      <w:bookmarkStart w:id="5" w:name="_Ref351983508"/>
      <w:bookmarkStart w:id="6" w:name="_Ref393297751"/>
      <w:bookmarkEnd w:id="2"/>
      <w:r w:rsidRPr="00DF5E58">
        <w:rPr>
          <w:rFonts w:ascii="Verdana" w:hAnsi="Verdana"/>
          <w:sz w:val="20"/>
          <w:szCs w:val="20"/>
          <w:lang w:val="es-CR"/>
        </w:rPr>
        <w:t xml:space="preserve">el escrito de solicitudes, argumentos y pruebas (en adelante el “escrito de solicitudes y argumentos”) </w:t>
      </w:r>
      <w:r w:rsidRPr="00DF5E58">
        <w:rPr>
          <w:rFonts w:ascii="Verdana" w:hAnsi="Verdana"/>
          <w:sz w:val="20"/>
          <w:szCs w:val="20"/>
          <w:lang w:val="es-CL" w:eastAsia="en-US"/>
        </w:rPr>
        <w:t>de los representantes</w:t>
      </w:r>
      <w:r w:rsidRPr="00DF5E58">
        <w:rPr>
          <w:rStyle w:val="Refdenotaalpie"/>
          <w:rFonts w:ascii="Verdana" w:hAnsi="Verdana"/>
          <w:sz w:val="20"/>
          <w:szCs w:val="20"/>
          <w:lang w:val="es-CL"/>
        </w:rPr>
        <w:t xml:space="preserve"> </w:t>
      </w:r>
      <w:r w:rsidR="00446EAC">
        <w:rPr>
          <w:rFonts w:ascii="Verdana" w:hAnsi="Verdana"/>
          <w:sz w:val="20"/>
          <w:szCs w:val="20"/>
          <w:lang w:val="es-CL" w:eastAsia="en-US"/>
        </w:rPr>
        <w:t>de la presunta</w:t>
      </w:r>
      <w:r w:rsidR="00817FA5">
        <w:rPr>
          <w:rFonts w:ascii="Verdana" w:hAnsi="Verdana"/>
          <w:sz w:val="20"/>
          <w:szCs w:val="20"/>
          <w:lang w:val="es-CL" w:eastAsia="en-US"/>
        </w:rPr>
        <w:t xml:space="preserve"> víctima</w:t>
      </w:r>
      <w:r w:rsidRPr="00DF5E58">
        <w:rPr>
          <w:rFonts w:ascii="Verdana" w:hAnsi="Verdana"/>
          <w:sz w:val="20"/>
          <w:szCs w:val="20"/>
          <w:lang w:val="es-CR"/>
        </w:rPr>
        <w:t xml:space="preserve"> (en adelante “los representantes”); </w:t>
      </w:r>
      <w:bookmarkStart w:id="7" w:name="_Ref352676532"/>
      <w:bookmarkEnd w:id="5"/>
      <w:bookmarkEnd w:id="6"/>
      <w:r w:rsidR="00A02581">
        <w:rPr>
          <w:rFonts w:ascii="Verdana" w:hAnsi="Verdana"/>
          <w:sz w:val="20"/>
          <w:szCs w:val="20"/>
          <w:lang w:val="es-CR"/>
        </w:rPr>
        <w:t>el escrito de excepción preliminar</w:t>
      </w:r>
      <w:r w:rsidRPr="00DF5E58">
        <w:rPr>
          <w:rFonts w:ascii="Verdana" w:hAnsi="Verdana"/>
          <w:sz w:val="20"/>
          <w:szCs w:val="20"/>
          <w:lang w:val="es-CR"/>
        </w:rPr>
        <w:t xml:space="preserve"> y contestación al sometimiento del caso y al escrito de solicitudes y argumentos (en adelante “escrito de contestación”) de la República de </w:t>
      </w:r>
      <w:r w:rsidR="001D6BE5">
        <w:rPr>
          <w:rFonts w:ascii="Verdana" w:hAnsi="Verdana"/>
          <w:sz w:val="20"/>
          <w:szCs w:val="20"/>
          <w:lang w:val="es-CR"/>
        </w:rPr>
        <w:t>Argentina</w:t>
      </w:r>
      <w:r w:rsidRPr="00DF5E58">
        <w:rPr>
          <w:rFonts w:ascii="Verdana" w:hAnsi="Verdana"/>
          <w:sz w:val="20"/>
          <w:szCs w:val="20"/>
          <w:lang w:val="es-CR"/>
        </w:rPr>
        <w:t xml:space="preserve"> (en adelante “</w:t>
      </w:r>
      <w:r w:rsidR="001D6BE5">
        <w:rPr>
          <w:rFonts w:ascii="Verdana" w:hAnsi="Verdana"/>
          <w:sz w:val="20"/>
          <w:szCs w:val="20"/>
          <w:lang w:val="es-CR"/>
        </w:rPr>
        <w:t>Argentina</w:t>
      </w:r>
      <w:r w:rsidRPr="00DF5E58">
        <w:rPr>
          <w:rFonts w:ascii="Verdana" w:hAnsi="Verdana"/>
          <w:sz w:val="20"/>
          <w:szCs w:val="20"/>
          <w:lang w:val="es-CR"/>
        </w:rPr>
        <w:t>” o “el Estado”)</w:t>
      </w:r>
      <w:bookmarkEnd w:id="7"/>
      <w:r w:rsidRPr="00DF5E58">
        <w:rPr>
          <w:rFonts w:ascii="Verdana" w:hAnsi="Verdana"/>
          <w:sz w:val="20"/>
          <w:szCs w:val="20"/>
          <w:lang w:val="es-CR"/>
        </w:rPr>
        <w:t>; así como los escritos de o</w:t>
      </w:r>
      <w:r w:rsidR="00A02581">
        <w:rPr>
          <w:rFonts w:ascii="Verdana" w:hAnsi="Verdana"/>
          <w:sz w:val="20"/>
          <w:szCs w:val="20"/>
          <w:lang w:val="es-CR"/>
        </w:rPr>
        <w:t>bservaciones a la excepción preliminar presentados</w:t>
      </w:r>
      <w:r w:rsidRPr="00DF5E58">
        <w:rPr>
          <w:rFonts w:ascii="Verdana" w:hAnsi="Verdana"/>
          <w:sz w:val="20"/>
          <w:szCs w:val="20"/>
          <w:lang w:val="es-CR"/>
        </w:rPr>
        <w:t xml:space="preserve"> por la Comisión y por los representantes.</w:t>
      </w:r>
    </w:p>
    <w:p w:rsidR="00DF5E58" w:rsidRPr="00DF5E58" w:rsidRDefault="00DF5E58" w:rsidP="00DF5E58">
      <w:pPr>
        <w:pStyle w:val="Prrafodelista"/>
        <w:tabs>
          <w:tab w:val="left" w:pos="567"/>
          <w:tab w:val="left" w:pos="720"/>
        </w:tabs>
        <w:ind w:left="0"/>
        <w:rPr>
          <w:rFonts w:ascii="Verdana" w:hAnsi="Verdana"/>
          <w:sz w:val="20"/>
          <w:szCs w:val="20"/>
          <w:lang w:val="es-CR"/>
        </w:rPr>
      </w:pPr>
    </w:p>
    <w:bookmarkEnd w:id="3"/>
    <w:p w:rsidR="00541A48" w:rsidRPr="00541A48" w:rsidRDefault="00DF5E58" w:rsidP="00541A48">
      <w:pPr>
        <w:pStyle w:val="Prrafodelista"/>
        <w:widowControl w:val="0"/>
        <w:numPr>
          <w:ilvl w:val="0"/>
          <w:numId w:val="3"/>
        </w:numPr>
        <w:tabs>
          <w:tab w:val="left" w:pos="567"/>
          <w:tab w:val="left" w:pos="720"/>
        </w:tabs>
        <w:autoSpaceDE w:val="0"/>
        <w:autoSpaceDN w:val="0"/>
        <w:adjustRightInd w:val="0"/>
        <w:ind w:left="0" w:right="22" w:firstLine="0"/>
        <w:jc w:val="both"/>
        <w:rPr>
          <w:rFonts w:ascii="Verdana" w:hAnsi="Verdana"/>
          <w:b/>
          <w:sz w:val="20"/>
          <w:szCs w:val="20"/>
          <w:lang w:val="es-CR"/>
        </w:rPr>
      </w:pPr>
      <w:r w:rsidRPr="00DF5E58">
        <w:rPr>
          <w:rFonts w:ascii="Verdana" w:hAnsi="Verdana"/>
          <w:sz w:val="20"/>
          <w:szCs w:val="20"/>
          <w:lang w:val="es-CR"/>
        </w:rPr>
        <w:t xml:space="preserve">Las listas definitivas de declarantes presentadas por los representantes, el Estado y la Comisión, y las correspondientes observaciones a dichas listas. </w:t>
      </w:r>
      <w:bookmarkEnd w:id="4"/>
    </w:p>
    <w:p w:rsidR="00541A48" w:rsidRPr="00541A48" w:rsidRDefault="00541A48" w:rsidP="00541A48">
      <w:pPr>
        <w:pStyle w:val="Prrafodelista"/>
        <w:rPr>
          <w:sz w:val="20"/>
          <w:szCs w:val="20"/>
          <w:lang w:val="es-CR"/>
        </w:rPr>
      </w:pPr>
    </w:p>
    <w:p w:rsidR="00DF5E58" w:rsidRPr="00541A48" w:rsidRDefault="00541A48" w:rsidP="00541A48">
      <w:pPr>
        <w:pStyle w:val="Prrafodelista"/>
        <w:widowControl w:val="0"/>
        <w:numPr>
          <w:ilvl w:val="0"/>
          <w:numId w:val="3"/>
        </w:numPr>
        <w:tabs>
          <w:tab w:val="left" w:pos="567"/>
          <w:tab w:val="left" w:pos="720"/>
        </w:tabs>
        <w:autoSpaceDE w:val="0"/>
        <w:autoSpaceDN w:val="0"/>
        <w:adjustRightInd w:val="0"/>
        <w:ind w:left="0" w:right="22" w:firstLine="0"/>
        <w:jc w:val="both"/>
        <w:rPr>
          <w:rFonts w:ascii="Verdana" w:hAnsi="Verdana"/>
          <w:b/>
          <w:sz w:val="20"/>
          <w:szCs w:val="20"/>
          <w:lang w:val="es-CR"/>
        </w:rPr>
      </w:pPr>
      <w:r w:rsidRPr="00541A48">
        <w:rPr>
          <w:rFonts w:ascii="Verdana" w:hAnsi="Verdana"/>
          <w:sz w:val="20"/>
          <w:szCs w:val="20"/>
          <w:lang w:val="es-CR"/>
        </w:rPr>
        <w:t xml:space="preserve">La nota de Secretaría de </w:t>
      </w:r>
      <w:r>
        <w:rPr>
          <w:rFonts w:ascii="Verdana" w:hAnsi="Verdana"/>
          <w:sz w:val="20"/>
          <w:szCs w:val="20"/>
          <w:lang w:val="es-CR"/>
        </w:rPr>
        <w:t>11</w:t>
      </w:r>
      <w:r w:rsidRPr="00541A48">
        <w:rPr>
          <w:rFonts w:ascii="Verdana" w:hAnsi="Verdana"/>
          <w:sz w:val="20"/>
          <w:szCs w:val="20"/>
          <w:lang w:val="es-CR"/>
        </w:rPr>
        <w:t xml:space="preserve"> de </w:t>
      </w:r>
      <w:r>
        <w:rPr>
          <w:rFonts w:ascii="Verdana" w:hAnsi="Verdana"/>
          <w:sz w:val="20"/>
          <w:szCs w:val="20"/>
          <w:lang w:val="es-CR"/>
        </w:rPr>
        <w:t>febrero de 2019</w:t>
      </w:r>
      <w:r w:rsidRPr="00541A48">
        <w:rPr>
          <w:rFonts w:ascii="Verdana" w:hAnsi="Verdana"/>
          <w:sz w:val="20"/>
          <w:szCs w:val="20"/>
          <w:lang w:val="es-CR"/>
        </w:rPr>
        <w:t xml:space="preserve"> relativa a la procedencia del Fondo de Asistencia Legal de Víctimas de la Corte Interamericana de Derechos Humanos (en adelante “Fondo de </w:t>
      </w:r>
      <w:r w:rsidR="00C30685">
        <w:rPr>
          <w:rFonts w:ascii="Verdana" w:hAnsi="Verdana"/>
          <w:sz w:val="20"/>
          <w:szCs w:val="20"/>
          <w:lang w:val="es-CR"/>
        </w:rPr>
        <w:t>Asistencia Legal de Víctimas”).</w:t>
      </w:r>
    </w:p>
    <w:p w:rsidR="00DF5E58" w:rsidRPr="00DF5E58" w:rsidRDefault="00DF5E58" w:rsidP="00DF5E58">
      <w:pPr>
        <w:pStyle w:val="Prrafodelista"/>
        <w:widowControl w:val="0"/>
        <w:tabs>
          <w:tab w:val="left" w:pos="567"/>
          <w:tab w:val="left" w:pos="720"/>
        </w:tabs>
        <w:autoSpaceDE w:val="0"/>
        <w:autoSpaceDN w:val="0"/>
        <w:adjustRightInd w:val="0"/>
        <w:ind w:left="0" w:right="22"/>
        <w:rPr>
          <w:rFonts w:ascii="Verdana" w:hAnsi="Verdana"/>
          <w:sz w:val="20"/>
          <w:szCs w:val="20"/>
          <w:lang w:val="es-CR"/>
        </w:rPr>
      </w:pPr>
    </w:p>
    <w:p w:rsidR="00DF5E58" w:rsidRPr="00DF5E58" w:rsidRDefault="00DF5E58" w:rsidP="00DF5E58">
      <w:pPr>
        <w:tabs>
          <w:tab w:val="left" w:pos="720"/>
        </w:tabs>
        <w:autoSpaceDE w:val="0"/>
        <w:autoSpaceDN w:val="0"/>
        <w:adjustRightInd w:val="0"/>
        <w:rPr>
          <w:rFonts w:ascii="Verdana" w:eastAsia="Times New Roman" w:hAnsi="Verdana" w:cs="Verdana"/>
          <w:b/>
          <w:bCs/>
          <w:lang w:val="es-CL" w:eastAsia="en-US"/>
        </w:rPr>
      </w:pPr>
      <w:r w:rsidRPr="00DF5E58">
        <w:rPr>
          <w:rFonts w:ascii="Verdana" w:eastAsia="Times New Roman" w:hAnsi="Verdana" w:cs="Verdana"/>
          <w:b/>
          <w:bCs/>
          <w:lang w:val="es-CL" w:eastAsia="en-US"/>
        </w:rPr>
        <w:t>CONSIDERANDO QUE:</w:t>
      </w:r>
    </w:p>
    <w:p w:rsidR="00DF5E58" w:rsidRPr="00DF5E58" w:rsidRDefault="00DF5E58" w:rsidP="00DF5E58">
      <w:pPr>
        <w:pStyle w:val="Prrafodelista"/>
        <w:autoSpaceDE w:val="0"/>
        <w:autoSpaceDN w:val="0"/>
        <w:adjustRightInd w:val="0"/>
        <w:ind w:left="180"/>
        <w:rPr>
          <w:rFonts w:ascii="Verdana" w:hAnsi="Verdana"/>
          <w:sz w:val="20"/>
          <w:szCs w:val="20"/>
          <w:lang w:val="es-ES"/>
        </w:rPr>
      </w:pPr>
    </w:p>
    <w:p w:rsidR="00DF5E58" w:rsidRPr="00DF5E58" w:rsidRDefault="00DF5E58" w:rsidP="00DF5E58">
      <w:pPr>
        <w:numPr>
          <w:ilvl w:val="0"/>
          <w:numId w:val="1"/>
        </w:numPr>
        <w:tabs>
          <w:tab w:val="num" w:pos="720"/>
        </w:tabs>
        <w:autoSpaceDE w:val="0"/>
        <w:autoSpaceDN w:val="0"/>
        <w:adjustRightInd w:val="0"/>
        <w:jc w:val="both"/>
        <w:rPr>
          <w:rFonts w:ascii="Verdana" w:eastAsia="Times New Roman" w:hAnsi="Verdana" w:cs="Verdana"/>
          <w:lang w:val="es-CL" w:eastAsia="en-US"/>
        </w:rPr>
      </w:pPr>
      <w:r w:rsidRPr="00DF5E58">
        <w:rPr>
          <w:rFonts w:ascii="Verdana" w:eastAsia="Times New Roman" w:hAnsi="Verdana" w:cs="Verdana"/>
          <w:lang w:val="es-CL" w:eastAsia="en-US"/>
        </w:rPr>
        <w:t xml:space="preserve">El ofrecimiento y la admisión de la prueba, así como la citación de presuntas víctimas, testigos y peritos, se encuentran regulados en los artículos 35.1.f, 40.2.c, 41.1.c, 46, 48, 50 y 57 del Reglamento del Tribunal. </w:t>
      </w:r>
    </w:p>
    <w:p w:rsidR="00DF5E58" w:rsidRPr="00DF5E58" w:rsidRDefault="00DF5E58" w:rsidP="00DF5E58">
      <w:pPr>
        <w:autoSpaceDE w:val="0"/>
        <w:autoSpaceDN w:val="0"/>
        <w:adjustRightInd w:val="0"/>
        <w:rPr>
          <w:rFonts w:ascii="Verdana" w:eastAsia="Times New Roman" w:hAnsi="Verdana" w:cs="Verdana"/>
          <w:lang w:val="es-CL" w:eastAsia="en-US"/>
        </w:rPr>
      </w:pPr>
    </w:p>
    <w:p w:rsidR="00DF5E58" w:rsidRPr="00DF5E58" w:rsidRDefault="00DF5E58" w:rsidP="00DF5E58">
      <w:pPr>
        <w:numPr>
          <w:ilvl w:val="0"/>
          <w:numId w:val="1"/>
        </w:numPr>
        <w:tabs>
          <w:tab w:val="num" w:pos="720"/>
        </w:tabs>
        <w:autoSpaceDE w:val="0"/>
        <w:autoSpaceDN w:val="0"/>
        <w:adjustRightInd w:val="0"/>
        <w:jc w:val="both"/>
        <w:rPr>
          <w:rFonts w:ascii="Verdana" w:eastAsia="Times New Roman" w:hAnsi="Verdana" w:cs="Verdana"/>
          <w:lang w:val="es-CL" w:eastAsia="en-US"/>
        </w:rPr>
      </w:pPr>
      <w:r w:rsidRPr="00DF5E58">
        <w:rPr>
          <w:rFonts w:ascii="Verdana" w:eastAsia="Times New Roman" w:hAnsi="Verdana" w:cs="Verdana"/>
          <w:lang w:val="es-CL" w:eastAsia="en-US"/>
        </w:rPr>
        <w:t xml:space="preserve">La Comisión </w:t>
      </w:r>
      <w:r w:rsidR="00437B83">
        <w:rPr>
          <w:rFonts w:ascii="Verdana" w:eastAsia="Times New Roman" w:hAnsi="Verdana" w:cs="Verdana"/>
          <w:lang w:val="es-CL" w:eastAsia="en-US"/>
        </w:rPr>
        <w:t xml:space="preserve">solicitó el traslado de dos peritajes realizados por Alberto Bovino en los casos </w:t>
      </w:r>
      <w:r w:rsidR="00437B83">
        <w:rPr>
          <w:rFonts w:ascii="Verdana" w:eastAsia="Times New Roman" w:hAnsi="Verdana" w:cs="Verdana"/>
          <w:i/>
          <w:lang w:val="es-CL" w:eastAsia="en-US"/>
        </w:rPr>
        <w:t xml:space="preserve">Mendoza y otros Vs. Argentina </w:t>
      </w:r>
      <w:r w:rsidR="00437B83">
        <w:rPr>
          <w:rFonts w:ascii="Verdana" w:eastAsia="Times New Roman" w:hAnsi="Verdana" w:cs="Verdana"/>
          <w:lang w:val="es-CL" w:eastAsia="en-US"/>
        </w:rPr>
        <w:t xml:space="preserve">y </w:t>
      </w:r>
      <w:proofErr w:type="spellStart"/>
      <w:r w:rsidR="00437B83">
        <w:rPr>
          <w:rFonts w:ascii="Verdana" w:eastAsia="Times New Roman" w:hAnsi="Verdana" w:cs="Verdana"/>
          <w:i/>
          <w:lang w:val="es-CL" w:eastAsia="en-US"/>
        </w:rPr>
        <w:t>Amhrein</w:t>
      </w:r>
      <w:proofErr w:type="spellEnd"/>
      <w:r w:rsidR="00437B83">
        <w:rPr>
          <w:rFonts w:ascii="Verdana" w:eastAsia="Times New Roman" w:hAnsi="Verdana" w:cs="Verdana"/>
          <w:i/>
          <w:lang w:val="es-CL" w:eastAsia="en-US"/>
        </w:rPr>
        <w:t xml:space="preserve"> y otros Vs. Costa Rica</w:t>
      </w:r>
      <w:r w:rsidRPr="00DF5E58">
        <w:rPr>
          <w:rFonts w:ascii="Verdana" w:eastAsia="Times New Roman" w:hAnsi="Verdana" w:cs="Verdana"/>
          <w:lang w:val="es-CL" w:eastAsia="en-US"/>
        </w:rPr>
        <w:t xml:space="preserve">; los representantes ofrecieron, en su escrito de solicitudes y argumentos, las declaraciones de </w:t>
      </w:r>
      <w:r w:rsidR="001D6BE5">
        <w:rPr>
          <w:rFonts w:ascii="Verdana" w:eastAsia="Times New Roman" w:hAnsi="Verdana" w:cs="Verdana"/>
          <w:lang w:val="es-CL" w:eastAsia="en-US"/>
        </w:rPr>
        <w:t>una</w:t>
      </w:r>
      <w:r w:rsidRPr="00DF5E58">
        <w:rPr>
          <w:rFonts w:ascii="Verdana" w:eastAsia="Times New Roman" w:hAnsi="Verdana" w:cs="Verdana"/>
          <w:lang w:val="es-CL" w:eastAsia="en-US"/>
        </w:rPr>
        <w:t xml:space="preserve"> </w:t>
      </w:r>
      <w:r w:rsidR="001D6BE5">
        <w:rPr>
          <w:rFonts w:ascii="Verdana" w:eastAsia="Times New Roman" w:hAnsi="Verdana" w:cs="Verdana"/>
          <w:lang w:val="es-CL" w:eastAsia="en-US"/>
        </w:rPr>
        <w:t xml:space="preserve">presunta víctima </w:t>
      </w:r>
      <w:r w:rsidRPr="00DF5E58">
        <w:rPr>
          <w:rFonts w:ascii="Verdana" w:eastAsia="Times New Roman" w:hAnsi="Verdana" w:cs="Verdana"/>
          <w:lang w:val="es-CL" w:eastAsia="en-US"/>
        </w:rPr>
        <w:t xml:space="preserve">y </w:t>
      </w:r>
      <w:r w:rsidR="001D6BE5">
        <w:rPr>
          <w:rFonts w:ascii="Verdana" w:eastAsia="Times New Roman" w:hAnsi="Verdana" w:cs="Verdana"/>
          <w:lang w:val="es-CL" w:eastAsia="en-US"/>
        </w:rPr>
        <w:t>tres</w:t>
      </w:r>
      <w:r w:rsidRPr="00DF5E58">
        <w:rPr>
          <w:rFonts w:ascii="Verdana" w:eastAsia="Times New Roman" w:hAnsi="Verdana" w:cs="Verdana"/>
          <w:lang w:val="es-CL" w:eastAsia="en-US"/>
        </w:rPr>
        <w:t xml:space="preserve"> dictámenes periciales; y el Estado </w:t>
      </w:r>
      <w:r w:rsidR="001D6BE5">
        <w:rPr>
          <w:rFonts w:ascii="Verdana" w:eastAsia="Times New Roman" w:hAnsi="Verdana" w:cs="Verdana"/>
          <w:lang w:val="es-CL" w:eastAsia="en-US"/>
        </w:rPr>
        <w:t xml:space="preserve">no </w:t>
      </w:r>
      <w:r w:rsidRPr="00DF5E58">
        <w:rPr>
          <w:rFonts w:ascii="Verdana" w:eastAsia="Times New Roman" w:hAnsi="Verdana" w:cs="Verdana"/>
          <w:lang w:val="es-CL" w:eastAsia="en-US"/>
        </w:rPr>
        <w:t>ofreció prueba declaratoria</w:t>
      </w:r>
      <w:r w:rsidR="00A02581">
        <w:rPr>
          <w:rFonts w:ascii="Verdana" w:eastAsia="Times New Roman" w:hAnsi="Verdana" w:cs="Verdana"/>
          <w:lang w:val="es-CL" w:eastAsia="en-US"/>
        </w:rPr>
        <w:t xml:space="preserve"> ni</w:t>
      </w:r>
      <w:r w:rsidR="001D6BE5">
        <w:rPr>
          <w:rFonts w:ascii="Verdana" w:eastAsia="Times New Roman" w:hAnsi="Verdana" w:cs="Verdana"/>
          <w:lang w:val="es-CL" w:eastAsia="en-US"/>
        </w:rPr>
        <w:t xml:space="preserve"> pericial alguna</w:t>
      </w:r>
      <w:r w:rsidRPr="00DF5E58">
        <w:rPr>
          <w:rFonts w:ascii="Verdana" w:eastAsia="Times New Roman" w:hAnsi="Verdana" w:cs="Verdana"/>
          <w:lang w:val="es-CL" w:eastAsia="en-US"/>
        </w:rPr>
        <w:t>.</w:t>
      </w:r>
    </w:p>
    <w:p w:rsidR="00DF5E58" w:rsidRPr="00DF5E58" w:rsidRDefault="00DF5E58" w:rsidP="00DF5E58">
      <w:pPr>
        <w:autoSpaceDE w:val="0"/>
        <w:autoSpaceDN w:val="0"/>
        <w:adjustRightInd w:val="0"/>
        <w:rPr>
          <w:rFonts w:ascii="Verdana" w:eastAsia="Times New Roman" w:hAnsi="Verdana" w:cs="Verdana"/>
          <w:lang w:val="es-CL" w:eastAsia="en-US"/>
        </w:rPr>
      </w:pPr>
    </w:p>
    <w:p w:rsidR="00E062D0" w:rsidRPr="00C30685" w:rsidRDefault="00E062D0" w:rsidP="00C30685">
      <w:pPr>
        <w:pStyle w:val="Prrafodelista"/>
        <w:widowControl w:val="0"/>
        <w:numPr>
          <w:ilvl w:val="0"/>
          <w:numId w:val="1"/>
        </w:numPr>
        <w:tabs>
          <w:tab w:val="num" w:pos="720"/>
        </w:tabs>
        <w:autoSpaceDE w:val="0"/>
        <w:autoSpaceDN w:val="0"/>
        <w:adjustRightInd w:val="0"/>
        <w:ind w:left="0" w:right="22"/>
        <w:jc w:val="both"/>
        <w:rPr>
          <w:rFonts w:ascii="Verdana" w:hAnsi="Verdana"/>
          <w:sz w:val="20"/>
          <w:szCs w:val="20"/>
          <w:lang w:val="es-CR"/>
        </w:rPr>
      </w:pPr>
      <w:r w:rsidRPr="009A4354">
        <w:rPr>
          <w:rFonts w:ascii="Verdana" w:eastAsia="Times New Roman" w:hAnsi="Verdana" w:cs="Verdana"/>
          <w:sz w:val="20"/>
          <w:szCs w:val="20"/>
          <w:lang w:val="es-CL" w:eastAsia="en-US"/>
        </w:rPr>
        <w:t xml:space="preserve">El Estado, en su escrito de contestación, solicitó a la Corte desestimar la declaración </w:t>
      </w:r>
      <w:r>
        <w:rPr>
          <w:rFonts w:ascii="Verdana" w:eastAsia="Times New Roman" w:hAnsi="Verdana" w:cs="Verdana"/>
          <w:sz w:val="20"/>
          <w:szCs w:val="20"/>
          <w:lang w:val="es-CL" w:eastAsia="en-US"/>
        </w:rPr>
        <w:t>de la presunta víctima</w:t>
      </w:r>
      <w:r w:rsidRPr="009A4354">
        <w:rPr>
          <w:rFonts w:ascii="Verdana" w:eastAsia="Times New Roman" w:hAnsi="Verdana" w:cs="Verdana"/>
          <w:sz w:val="20"/>
          <w:szCs w:val="20"/>
          <w:lang w:val="es-CL" w:eastAsia="en-US"/>
        </w:rPr>
        <w:t xml:space="preserve"> ofrecida por los representantes, toda vez que </w:t>
      </w:r>
      <w:r>
        <w:rPr>
          <w:rFonts w:ascii="Verdana" w:eastAsia="Times New Roman" w:hAnsi="Verdana" w:cs="Verdana"/>
          <w:sz w:val="20"/>
          <w:szCs w:val="20"/>
          <w:lang w:val="es-CL" w:eastAsia="en-US"/>
        </w:rPr>
        <w:t>no aportaría información relevante considerando el objeto del presente caso</w:t>
      </w:r>
      <w:r w:rsidRPr="009A4354">
        <w:rPr>
          <w:rFonts w:ascii="Verdana" w:eastAsia="Times New Roman" w:hAnsi="Verdana" w:cs="Verdana"/>
          <w:sz w:val="20"/>
          <w:szCs w:val="20"/>
          <w:lang w:val="es-CL" w:eastAsia="en-US"/>
        </w:rPr>
        <w:t>.</w:t>
      </w:r>
      <w:r>
        <w:rPr>
          <w:rFonts w:ascii="Verdana" w:eastAsia="Times New Roman" w:hAnsi="Verdana" w:cs="Verdana"/>
          <w:sz w:val="20"/>
          <w:szCs w:val="20"/>
          <w:lang w:val="es-CL" w:eastAsia="en-US"/>
        </w:rPr>
        <w:t xml:space="preserve"> Adicionalmente, solicitó a la </w:t>
      </w:r>
      <w:r>
        <w:rPr>
          <w:rFonts w:ascii="Verdana" w:eastAsia="Times New Roman" w:hAnsi="Verdana" w:cs="Verdana"/>
          <w:sz w:val="20"/>
          <w:szCs w:val="20"/>
          <w:lang w:val="es-CL" w:eastAsia="en-US"/>
        </w:rPr>
        <w:lastRenderedPageBreak/>
        <w:t>Corte desestimar la prueba pericial ofrecida</w:t>
      </w:r>
      <w:r w:rsidR="00CD558D">
        <w:rPr>
          <w:rFonts w:ascii="Verdana" w:eastAsia="Times New Roman" w:hAnsi="Verdana" w:cs="Verdana"/>
          <w:sz w:val="20"/>
          <w:szCs w:val="20"/>
          <w:lang w:val="es-CL" w:eastAsia="en-US"/>
        </w:rPr>
        <w:t xml:space="preserve"> por los representantes, </w:t>
      </w:r>
      <w:r>
        <w:rPr>
          <w:rFonts w:ascii="Verdana" w:eastAsia="Times New Roman" w:hAnsi="Verdana" w:cs="Verdana"/>
          <w:sz w:val="20"/>
          <w:szCs w:val="20"/>
          <w:lang w:val="es-CL" w:eastAsia="en-US"/>
        </w:rPr>
        <w:t>pue</w:t>
      </w:r>
      <w:r w:rsidR="00A02581">
        <w:rPr>
          <w:rFonts w:ascii="Verdana" w:eastAsia="Times New Roman" w:hAnsi="Verdana" w:cs="Verdana"/>
          <w:sz w:val="20"/>
          <w:szCs w:val="20"/>
          <w:lang w:val="es-CL" w:eastAsia="en-US"/>
        </w:rPr>
        <w:t>s é</w:t>
      </w:r>
      <w:r>
        <w:rPr>
          <w:rFonts w:ascii="Verdana" w:eastAsia="Times New Roman" w:hAnsi="Verdana" w:cs="Verdana"/>
          <w:sz w:val="20"/>
          <w:szCs w:val="20"/>
          <w:lang w:val="es-CL" w:eastAsia="en-US"/>
        </w:rPr>
        <w:t>sta introduciría cuestiones que escapan al objeto procesal del presente caso</w:t>
      </w:r>
      <w:r w:rsidR="00CD558D">
        <w:rPr>
          <w:rFonts w:ascii="Verdana" w:eastAsia="Times New Roman" w:hAnsi="Verdana" w:cs="Verdana"/>
          <w:sz w:val="20"/>
          <w:szCs w:val="20"/>
          <w:lang w:val="es-CL" w:eastAsia="en-US"/>
        </w:rPr>
        <w:t>, y por la Comisión, pues su propósito se orienta a obtener un dictamen jurídico sobre cuestiones que son de competencia exclusiva de los jueces</w:t>
      </w:r>
      <w:r>
        <w:rPr>
          <w:rFonts w:ascii="Verdana" w:eastAsia="Times New Roman" w:hAnsi="Verdana" w:cs="Verdana"/>
          <w:sz w:val="20"/>
          <w:szCs w:val="20"/>
          <w:lang w:val="es-CL" w:eastAsia="en-US"/>
        </w:rPr>
        <w:t>.</w:t>
      </w:r>
    </w:p>
    <w:p w:rsidR="00E062D0" w:rsidRPr="00E062D0" w:rsidRDefault="00E062D0" w:rsidP="00E062D0">
      <w:pPr>
        <w:pStyle w:val="Prrafodelista"/>
        <w:widowControl w:val="0"/>
        <w:autoSpaceDE w:val="0"/>
        <w:autoSpaceDN w:val="0"/>
        <w:adjustRightInd w:val="0"/>
        <w:ind w:left="0" w:right="22"/>
        <w:jc w:val="both"/>
        <w:rPr>
          <w:rFonts w:ascii="Verdana" w:hAnsi="Verdana"/>
          <w:sz w:val="20"/>
          <w:szCs w:val="20"/>
          <w:lang w:val="es-CR"/>
        </w:rPr>
      </w:pPr>
    </w:p>
    <w:p w:rsidR="00C30685" w:rsidRPr="00C30685" w:rsidRDefault="00E062D0" w:rsidP="00C30685">
      <w:pPr>
        <w:pStyle w:val="Prrafodelista"/>
        <w:widowControl w:val="0"/>
        <w:numPr>
          <w:ilvl w:val="0"/>
          <w:numId w:val="1"/>
        </w:numPr>
        <w:tabs>
          <w:tab w:val="num" w:pos="720"/>
        </w:tabs>
        <w:autoSpaceDE w:val="0"/>
        <w:autoSpaceDN w:val="0"/>
        <w:adjustRightInd w:val="0"/>
        <w:ind w:left="0" w:right="22"/>
        <w:jc w:val="both"/>
        <w:rPr>
          <w:rFonts w:ascii="Verdana" w:hAnsi="Verdana"/>
          <w:sz w:val="20"/>
          <w:szCs w:val="20"/>
          <w:lang w:val="es-CR"/>
        </w:rPr>
      </w:pPr>
      <w:r w:rsidRPr="009A4354">
        <w:rPr>
          <w:rFonts w:ascii="Verdana" w:hAnsi="Verdana"/>
          <w:sz w:val="20"/>
          <w:szCs w:val="20"/>
          <w:lang w:val="es-CR"/>
        </w:rPr>
        <w:t xml:space="preserve">La Comisión, en su lista definitiva, reiteró </w:t>
      </w:r>
      <w:r w:rsidR="005B14DA">
        <w:rPr>
          <w:rFonts w:ascii="Verdana" w:hAnsi="Verdana"/>
          <w:sz w:val="20"/>
          <w:szCs w:val="20"/>
          <w:lang w:val="es-CR"/>
        </w:rPr>
        <w:t>la solicitud de trasladar los peritajes rendidos por Alberto Bovino</w:t>
      </w:r>
      <w:r w:rsidR="00C30685">
        <w:rPr>
          <w:rFonts w:ascii="Verdana" w:hAnsi="Verdana"/>
          <w:sz w:val="20"/>
          <w:szCs w:val="20"/>
          <w:lang w:val="es-CR"/>
        </w:rPr>
        <w:t xml:space="preserve">, </w:t>
      </w:r>
      <w:r w:rsidR="00C30685" w:rsidRPr="00CD558D">
        <w:rPr>
          <w:rFonts w:ascii="Verdana" w:hAnsi="Verdana"/>
          <w:sz w:val="20"/>
          <w:szCs w:val="20"/>
          <w:lang w:val="es-CR"/>
        </w:rPr>
        <w:t>y solicitó la oportunidad verbal o escrita de formular preguntas a los peritos ofrecidos por los representantes</w:t>
      </w:r>
      <w:r w:rsidRPr="009A4354">
        <w:rPr>
          <w:rFonts w:ascii="Verdana" w:hAnsi="Verdana"/>
          <w:sz w:val="20"/>
          <w:szCs w:val="20"/>
          <w:lang w:val="es-CR"/>
        </w:rPr>
        <w:t xml:space="preserve">. </w:t>
      </w:r>
      <w:r w:rsidRPr="0044088A">
        <w:rPr>
          <w:rFonts w:ascii="Verdana" w:hAnsi="Verdana"/>
          <w:sz w:val="20"/>
          <w:szCs w:val="20"/>
          <w:lang w:val="es-CR"/>
        </w:rPr>
        <w:t>Los representantes, en su lista definitiva, señalaron que</w:t>
      </w:r>
      <w:r w:rsidR="001A3A53" w:rsidRPr="0044088A">
        <w:rPr>
          <w:rFonts w:ascii="Verdana" w:hAnsi="Verdana"/>
          <w:sz w:val="20"/>
          <w:szCs w:val="20"/>
          <w:lang w:val="es-CR"/>
        </w:rPr>
        <w:t xml:space="preserve"> </w:t>
      </w:r>
      <w:r w:rsidR="0044088A" w:rsidRPr="0044088A">
        <w:rPr>
          <w:rFonts w:ascii="Verdana" w:hAnsi="Verdana"/>
          <w:sz w:val="20"/>
          <w:szCs w:val="20"/>
          <w:lang w:val="es-CR"/>
        </w:rPr>
        <w:t xml:space="preserve">la declaración pericial de Fernando de la </w:t>
      </w:r>
      <w:proofErr w:type="spellStart"/>
      <w:r w:rsidR="0044088A" w:rsidRPr="0044088A">
        <w:rPr>
          <w:rFonts w:ascii="Verdana" w:hAnsi="Verdana"/>
          <w:sz w:val="20"/>
          <w:szCs w:val="20"/>
          <w:lang w:val="es-CR"/>
        </w:rPr>
        <w:t>Rua</w:t>
      </w:r>
      <w:proofErr w:type="spellEnd"/>
      <w:r w:rsidR="0044088A" w:rsidRPr="0044088A">
        <w:rPr>
          <w:rFonts w:ascii="Verdana" w:hAnsi="Verdana"/>
          <w:sz w:val="20"/>
          <w:szCs w:val="20"/>
          <w:lang w:val="es-CR"/>
        </w:rPr>
        <w:t>, ofrecida</w:t>
      </w:r>
      <w:r w:rsidRPr="0044088A">
        <w:rPr>
          <w:rFonts w:ascii="Verdana" w:hAnsi="Verdana"/>
          <w:sz w:val="20"/>
          <w:szCs w:val="20"/>
          <w:lang w:val="es-CR"/>
        </w:rPr>
        <w:t xml:space="preserve"> en su escrito de solicitudes y argumentos</w:t>
      </w:r>
      <w:r w:rsidR="0044088A" w:rsidRPr="0044088A">
        <w:rPr>
          <w:rFonts w:ascii="Verdana" w:hAnsi="Verdana"/>
          <w:sz w:val="20"/>
          <w:szCs w:val="20"/>
          <w:lang w:val="es-CR"/>
        </w:rPr>
        <w:t>,</w:t>
      </w:r>
      <w:r w:rsidRPr="0044088A">
        <w:rPr>
          <w:rFonts w:ascii="Verdana" w:hAnsi="Verdana"/>
          <w:sz w:val="20"/>
          <w:szCs w:val="20"/>
          <w:lang w:val="es-CR"/>
        </w:rPr>
        <w:t xml:space="preserve"> se podrían rendir mediante declaración jurada.</w:t>
      </w:r>
      <w:r w:rsidRPr="009A4354">
        <w:rPr>
          <w:rFonts w:ascii="Verdana" w:hAnsi="Verdana"/>
          <w:sz w:val="20"/>
          <w:szCs w:val="20"/>
          <w:lang w:val="es-CR"/>
        </w:rPr>
        <w:t xml:space="preserve"> El Estado</w:t>
      </w:r>
      <w:r>
        <w:rPr>
          <w:rFonts w:ascii="Verdana" w:hAnsi="Verdana"/>
          <w:sz w:val="20"/>
          <w:szCs w:val="20"/>
          <w:lang w:val="es-CR"/>
        </w:rPr>
        <w:t xml:space="preserve"> no presentó</w:t>
      </w:r>
      <w:r w:rsidR="001A3A53">
        <w:rPr>
          <w:rFonts w:ascii="Verdana" w:hAnsi="Verdana"/>
          <w:sz w:val="20"/>
          <w:szCs w:val="20"/>
          <w:lang w:val="es-CR"/>
        </w:rPr>
        <w:t xml:space="preserve"> listas definitivas de declarantes ni</w:t>
      </w:r>
      <w:r>
        <w:rPr>
          <w:rFonts w:ascii="Verdana" w:hAnsi="Verdana"/>
          <w:sz w:val="20"/>
          <w:szCs w:val="20"/>
          <w:lang w:val="es-CR"/>
        </w:rPr>
        <w:t xml:space="preserve"> observaciones a las listas definitivas</w:t>
      </w:r>
      <w:r w:rsidR="001A3A53">
        <w:rPr>
          <w:rFonts w:ascii="Verdana" w:hAnsi="Verdana"/>
          <w:sz w:val="20"/>
          <w:szCs w:val="20"/>
          <w:lang w:val="es-CR"/>
        </w:rPr>
        <w:t xml:space="preserve"> presentadas por los representantes y la Comisión</w:t>
      </w:r>
      <w:r>
        <w:rPr>
          <w:rFonts w:ascii="Verdana" w:hAnsi="Verdana"/>
          <w:sz w:val="20"/>
          <w:szCs w:val="20"/>
          <w:lang w:val="es-CR"/>
        </w:rPr>
        <w:t>.</w:t>
      </w:r>
    </w:p>
    <w:p w:rsidR="00DF5E58" w:rsidRPr="001A3A53" w:rsidRDefault="00DF5E58" w:rsidP="00DF5E58">
      <w:pPr>
        <w:pStyle w:val="Prrafodelista"/>
        <w:widowControl w:val="0"/>
        <w:autoSpaceDE w:val="0"/>
        <w:autoSpaceDN w:val="0"/>
        <w:adjustRightInd w:val="0"/>
        <w:ind w:left="0" w:right="22"/>
        <w:rPr>
          <w:rFonts w:ascii="Verdana" w:hAnsi="Verdana"/>
          <w:color w:val="auto"/>
          <w:sz w:val="20"/>
          <w:szCs w:val="20"/>
          <w:lang w:val="es-CR"/>
        </w:rPr>
      </w:pPr>
    </w:p>
    <w:p w:rsidR="001A3A53" w:rsidRPr="009A4354" w:rsidRDefault="001A3A53" w:rsidP="001A3A53">
      <w:pPr>
        <w:pStyle w:val="Prrafodelista"/>
        <w:widowControl w:val="0"/>
        <w:numPr>
          <w:ilvl w:val="0"/>
          <w:numId w:val="1"/>
        </w:numPr>
        <w:tabs>
          <w:tab w:val="num" w:pos="720"/>
        </w:tabs>
        <w:autoSpaceDE w:val="0"/>
        <w:autoSpaceDN w:val="0"/>
        <w:adjustRightInd w:val="0"/>
        <w:ind w:left="0" w:right="22"/>
        <w:jc w:val="both"/>
        <w:rPr>
          <w:rFonts w:ascii="Verdana" w:hAnsi="Verdana"/>
          <w:bCs/>
          <w:iCs/>
          <w:sz w:val="20"/>
          <w:szCs w:val="20"/>
          <w:lang w:val="es-CR"/>
        </w:rPr>
      </w:pPr>
      <w:r w:rsidRPr="009A4354">
        <w:rPr>
          <w:rFonts w:ascii="Verdana" w:eastAsia="Times New Roman" w:hAnsi="Verdana" w:cs="Verdana"/>
          <w:sz w:val="20"/>
          <w:szCs w:val="20"/>
          <w:lang w:val="es-CR" w:eastAsia="en-US"/>
        </w:rPr>
        <w:t xml:space="preserve">Tomando en consideración lo anterior, </w:t>
      </w:r>
      <w:r w:rsidRPr="009A4354">
        <w:rPr>
          <w:rFonts w:ascii="Verdana" w:eastAsia="Times New Roman" w:hAnsi="Verdana" w:cs="Verdana"/>
          <w:sz w:val="20"/>
          <w:szCs w:val="20"/>
          <w:lang w:val="es-CL" w:eastAsia="en-US"/>
        </w:rPr>
        <w:t>a</w:t>
      </w:r>
      <w:r w:rsidRPr="009A4354">
        <w:rPr>
          <w:rFonts w:ascii="Verdana" w:hAnsi="Verdana"/>
          <w:sz w:val="20"/>
          <w:szCs w:val="20"/>
          <w:lang w:val="es-CR"/>
        </w:rPr>
        <w:t xml:space="preserve"> continuación, el Presidente examinará en forma particular: a) </w:t>
      </w:r>
      <w:r w:rsidR="00437B83">
        <w:rPr>
          <w:rFonts w:ascii="Verdana" w:hAnsi="Verdana"/>
          <w:sz w:val="20"/>
          <w:szCs w:val="20"/>
          <w:lang w:val="es-CR"/>
        </w:rPr>
        <w:t xml:space="preserve">la solicitud de la Comisión de que se trasladen determinados peritajes rendidos en los casos </w:t>
      </w:r>
      <w:r w:rsidR="00437B83" w:rsidRPr="00437B83">
        <w:rPr>
          <w:rFonts w:ascii="Verdana" w:eastAsia="Times New Roman" w:hAnsi="Verdana" w:cs="Verdana"/>
          <w:i/>
          <w:sz w:val="20"/>
          <w:szCs w:val="20"/>
          <w:lang w:val="es-CL" w:eastAsia="en-US"/>
        </w:rPr>
        <w:t xml:space="preserve">Mendoza y otros Vs. Argentina </w:t>
      </w:r>
      <w:r w:rsidR="00437B83" w:rsidRPr="00437B83">
        <w:rPr>
          <w:rFonts w:ascii="Verdana" w:eastAsia="Times New Roman" w:hAnsi="Verdana" w:cs="Verdana"/>
          <w:sz w:val="20"/>
          <w:szCs w:val="20"/>
          <w:lang w:val="es-CL" w:eastAsia="en-US"/>
        </w:rPr>
        <w:t xml:space="preserve">y </w:t>
      </w:r>
      <w:proofErr w:type="spellStart"/>
      <w:r w:rsidR="00437B83" w:rsidRPr="00437B83">
        <w:rPr>
          <w:rFonts w:ascii="Verdana" w:eastAsia="Times New Roman" w:hAnsi="Verdana" w:cs="Verdana"/>
          <w:i/>
          <w:sz w:val="20"/>
          <w:szCs w:val="20"/>
          <w:lang w:val="es-CL" w:eastAsia="en-US"/>
        </w:rPr>
        <w:t>Amhrein</w:t>
      </w:r>
      <w:proofErr w:type="spellEnd"/>
      <w:r w:rsidR="00437B83" w:rsidRPr="00437B83">
        <w:rPr>
          <w:rFonts w:ascii="Verdana" w:eastAsia="Times New Roman" w:hAnsi="Verdana" w:cs="Verdana"/>
          <w:i/>
          <w:sz w:val="20"/>
          <w:szCs w:val="20"/>
          <w:lang w:val="es-CL" w:eastAsia="en-US"/>
        </w:rPr>
        <w:t xml:space="preserve"> y otros Vs. Costa Rica</w:t>
      </w:r>
      <w:r w:rsidR="00ED18E7">
        <w:rPr>
          <w:rFonts w:ascii="Verdana" w:eastAsia="Times New Roman" w:hAnsi="Verdana" w:cs="Verdana"/>
          <w:i/>
          <w:sz w:val="20"/>
          <w:szCs w:val="20"/>
          <w:lang w:val="es-CL" w:eastAsia="en-US"/>
        </w:rPr>
        <w:t xml:space="preserve">, </w:t>
      </w:r>
      <w:r w:rsidR="00ED18E7">
        <w:rPr>
          <w:rFonts w:ascii="Verdana" w:eastAsia="Times New Roman" w:hAnsi="Verdana" w:cs="Verdana"/>
          <w:sz w:val="20"/>
          <w:szCs w:val="20"/>
          <w:lang w:val="es-CL" w:eastAsia="en-US"/>
        </w:rPr>
        <w:t>b) la solicitud de la Comisión para formular preguntas a los peritos ofrecidos por los representantes,</w:t>
      </w:r>
      <w:r w:rsidR="00ED18E7">
        <w:rPr>
          <w:rFonts w:ascii="Verdana" w:hAnsi="Verdana"/>
          <w:sz w:val="20"/>
          <w:szCs w:val="20"/>
          <w:lang w:val="es-CR"/>
        </w:rPr>
        <w:t xml:space="preserve"> c</w:t>
      </w:r>
      <w:r>
        <w:rPr>
          <w:rFonts w:ascii="Verdana" w:hAnsi="Verdana"/>
          <w:sz w:val="20"/>
          <w:szCs w:val="20"/>
          <w:lang w:val="es-CR"/>
        </w:rPr>
        <w:t>) la admisibilidad de la declaración testimonial y las declaraciones periciales ofrecida</w:t>
      </w:r>
      <w:r w:rsidRPr="009A4354">
        <w:rPr>
          <w:rFonts w:ascii="Verdana" w:hAnsi="Verdana"/>
          <w:sz w:val="20"/>
          <w:szCs w:val="20"/>
          <w:lang w:val="es-CR"/>
        </w:rPr>
        <w:t>s por los representantes</w:t>
      </w:r>
      <w:r w:rsidR="00ED18E7">
        <w:rPr>
          <w:rFonts w:ascii="Verdana" w:hAnsi="Verdana"/>
          <w:sz w:val="20"/>
          <w:szCs w:val="20"/>
          <w:lang w:val="es-CR"/>
        </w:rPr>
        <w:t>, y d) la aplicación del Fondo de Asistencia Legal de Víctimas en el presente caso</w:t>
      </w:r>
      <w:r w:rsidRPr="009A4354">
        <w:rPr>
          <w:rFonts w:ascii="Verdana" w:hAnsi="Verdana"/>
          <w:bCs/>
          <w:iCs/>
          <w:sz w:val="20"/>
          <w:szCs w:val="20"/>
          <w:lang w:val="es-CR"/>
        </w:rPr>
        <w:t>.</w:t>
      </w:r>
    </w:p>
    <w:p w:rsidR="00DF5E58" w:rsidRPr="001A3A53" w:rsidRDefault="00DF5E58" w:rsidP="001A3A53">
      <w:pPr>
        <w:rPr>
          <w:rFonts w:ascii="Verdana" w:hAnsi="Verdana"/>
          <w:bCs/>
          <w:iCs/>
        </w:rPr>
      </w:pPr>
    </w:p>
    <w:p w:rsidR="00DF5E58" w:rsidRPr="00DF5E58" w:rsidRDefault="00437B83" w:rsidP="00DF5E58">
      <w:pPr>
        <w:pStyle w:val="ListParagraph1"/>
        <w:numPr>
          <w:ilvl w:val="0"/>
          <w:numId w:val="2"/>
        </w:numPr>
        <w:ind w:right="11"/>
        <w:jc w:val="both"/>
        <w:rPr>
          <w:rFonts w:ascii="Verdana" w:hAnsi="Verdana"/>
          <w:b/>
          <w:i/>
          <w:sz w:val="20"/>
          <w:szCs w:val="20"/>
          <w:lang w:val="es-CR"/>
        </w:rPr>
      </w:pPr>
      <w:r>
        <w:rPr>
          <w:rFonts w:ascii="Verdana" w:hAnsi="Verdana" w:cs="Verdana"/>
          <w:b/>
          <w:i/>
          <w:sz w:val="20"/>
          <w:szCs w:val="20"/>
        </w:rPr>
        <w:t xml:space="preserve">La solicitud realizada por la Comisión de que se trasladen determinados peritajes rendidos en los casos </w:t>
      </w:r>
      <w:r w:rsidRPr="00437B83">
        <w:rPr>
          <w:rFonts w:ascii="Verdana" w:eastAsia="Times New Roman" w:hAnsi="Verdana" w:cs="Verdana"/>
          <w:b/>
          <w:i/>
          <w:sz w:val="20"/>
          <w:szCs w:val="20"/>
          <w:lang w:val="es-CL" w:eastAsia="en-US"/>
        </w:rPr>
        <w:t xml:space="preserve">Mendoza y otros Vs. Argentina </w:t>
      </w:r>
      <w:r w:rsidRPr="00437B83">
        <w:rPr>
          <w:rFonts w:ascii="Verdana" w:eastAsia="Times New Roman" w:hAnsi="Verdana" w:cs="Verdana"/>
          <w:b/>
          <w:sz w:val="20"/>
          <w:szCs w:val="20"/>
          <w:lang w:val="es-CL" w:eastAsia="en-US"/>
        </w:rPr>
        <w:t xml:space="preserve">y </w:t>
      </w:r>
      <w:proofErr w:type="spellStart"/>
      <w:r w:rsidRPr="00437B83">
        <w:rPr>
          <w:rFonts w:ascii="Verdana" w:eastAsia="Times New Roman" w:hAnsi="Verdana" w:cs="Verdana"/>
          <w:b/>
          <w:i/>
          <w:sz w:val="20"/>
          <w:szCs w:val="20"/>
          <w:lang w:val="es-CL" w:eastAsia="en-US"/>
        </w:rPr>
        <w:t>Amhrein</w:t>
      </w:r>
      <w:proofErr w:type="spellEnd"/>
      <w:r w:rsidRPr="00437B83">
        <w:rPr>
          <w:rFonts w:ascii="Verdana" w:eastAsia="Times New Roman" w:hAnsi="Verdana" w:cs="Verdana"/>
          <w:b/>
          <w:i/>
          <w:sz w:val="20"/>
          <w:szCs w:val="20"/>
          <w:lang w:val="es-CL" w:eastAsia="en-US"/>
        </w:rPr>
        <w:t xml:space="preserve"> y otros Vs. Costa Rica</w:t>
      </w:r>
    </w:p>
    <w:p w:rsidR="00DF5E58" w:rsidRPr="001A3A53" w:rsidRDefault="00DF5E58" w:rsidP="001A3A53">
      <w:pPr>
        <w:pStyle w:val="ListParagraph1"/>
        <w:ind w:left="0" w:right="11"/>
        <w:jc w:val="both"/>
        <w:rPr>
          <w:rFonts w:ascii="Verdana" w:hAnsi="Verdana"/>
          <w:sz w:val="20"/>
          <w:szCs w:val="20"/>
          <w:lang w:val="es-CR"/>
        </w:rPr>
      </w:pPr>
    </w:p>
    <w:p w:rsidR="00E905A3" w:rsidRPr="00541A48" w:rsidRDefault="00541A48" w:rsidP="00541A48">
      <w:pPr>
        <w:pStyle w:val="Prrafodelista"/>
        <w:numPr>
          <w:ilvl w:val="0"/>
          <w:numId w:val="1"/>
        </w:numPr>
        <w:tabs>
          <w:tab w:val="clear" w:pos="3870"/>
          <w:tab w:val="num" w:pos="709"/>
        </w:tabs>
        <w:ind w:left="0"/>
        <w:jc w:val="both"/>
        <w:rPr>
          <w:rFonts w:ascii="Verdana" w:hAnsi="Verdana"/>
          <w:color w:val="auto"/>
          <w:sz w:val="20"/>
          <w:szCs w:val="20"/>
          <w:lang w:val="es-CR"/>
        </w:rPr>
      </w:pPr>
      <w:r w:rsidRPr="00541A48">
        <w:rPr>
          <w:rFonts w:ascii="Verdana" w:hAnsi="Verdana"/>
          <w:color w:val="auto"/>
          <w:sz w:val="20"/>
          <w:szCs w:val="20"/>
          <w:lang w:val="es-CR"/>
        </w:rPr>
        <w:t xml:space="preserve">En el escrito de sometimiento del caso, la </w:t>
      </w:r>
      <w:r w:rsidRPr="00541A48">
        <w:rPr>
          <w:rFonts w:ascii="Verdana" w:hAnsi="Verdana"/>
          <w:b/>
          <w:i/>
          <w:color w:val="auto"/>
          <w:sz w:val="20"/>
          <w:szCs w:val="20"/>
          <w:lang w:val="es-CR"/>
        </w:rPr>
        <w:t>Comisión</w:t>
      </w:r>
      <w:r w:rsidRPr="00541A48">
        <w:rPr>
          <w:rFonts w:ascii="Verdana" w:hAnsi="Verdana"/>
          <w:color w:val="auto"/>
          <w:sz w:val="20"/>
          <w:szCs w:val="20"/>
          <w:lang w:val="es-CR"/>
        </w:rPr>
        <w:t xml:space="preserve"> solicitó el traslado de dos peritajes </w:t>
      </w:r>
      <w:r>
        <w:rPr>
          <w:rFonts w:ascii="Verdana" w:hAnsi="Verdana"/>
          <w:color w:val="auto"/>
          <w:sz w:val="20"/>
          <w:szCs w:val="20"/>
          <w:lang w:val="es-CR"/>
        </w:rPr>
        <w:t>ofrecidos</w:t>
      </w:r>
      <w:r w:rsidRPr="00541A48">
        <w:rPr>
          <w:rFonts w:ascii="Verdana" w:hAnsi="Verdana"/>
          <w:color w:val="auto"/>
          <w:sz w:val="20"/>
          <w:szCs w:val="20"/>
          <w:lang w:val="es-CR"/>
        </w:rPr>
        <w:t xml:space="preserve"> en los casos </w:t>
      </w:r>
      <w:r w:rsidRPr="00541A48">
        <w:rPr>
          <w:rFonts w:ascii="Verdana" w:hAnsi="Verdana"/>
          <w:i/>
          <w:iCs/>
          <w:color w:val="auto"/>
          <w:sz w:val="20"/>
          <w:szCs w:val="20"/>
          <w:lang w:val="es-CR"/>
        </w:rPr>
        <w:t xml:space="preserve">Mendoza y otros Vs. </w:t>
      </w:r>
      <w:r w:rsidRPr="00C30685">
        <w:rPr>
          <w:rFonts w:ascii="Verdana" w:hAnsi="Verdana"/>
          <w:i/>
          <w:iCs/>
          <w:color w:val="auto"/>
          <w:sz w:val="20"/>
          <w:szCs w:val="20"/>
          <w:lang w:val="es-CR"/>
        </w:rPr>
        <w:t>Argentina</w:t>
      </w:r>
      <w:r w:rsidRPr="00C30685">
        <w:rPr>
          <w:rFonts w:ascii="Verdana" w:hAnsi="Verdana"/>
          <w:color w:val="auto"/>
          <w:sz w:val="20"/>
          <w:szCs w:val="20"/>
          <w:lang w:val="es-CR"/>
        </w:rPr>
        <w:t xml:space="preserve"> y </w:t>
      </w:r>
      <w:proofErr w:type="spellStart"/>
      <w:r w:rsidRPr="00C30685">
        <w:rPr>
          <w:rFonts w:ascii="Verdana" w:hAnsi="Verdana"/>
          <w:i/>
          <w:iCs/>
          <w:color w:val="auto"/>
          <w:sz w:val="20"/>
          <w:szCs w:val="20"/>
          <w:lang w:val="es-CR"/>
        </w:rPr>
        <w:t>Amhrein</w:t>
      </w:r>
      <w:proofErr w:type="spellEnd"/>
      <w:r w:rsidRPr="00C30685">
        <w:rPr>
          <w:rFonts w:ascii="Verdana" w:hAnsi="Verdana"/>
          <w:i/>
          <w:iCs/>
          <w:color w:val="auto"/>
          <w:sz w:val="20"/>
          <w:szCs w:val="20"/>
          <w:lang w:val="es-CR"/>
        </w:rPr>
        <w:t xml:space="preserve"> y otros Vs. </w:t>
      </w:r>
      <w:r w:rsidRPr="00541A48">
        <w:rPr>
          <w:rFonts w:ascii="Verdana" w:hAnsi="Verdana"/>
          <w:i/>
          <w:iCs/>
          <w:color w:val="auto"/>
          <w:sz w:val="20"/>
          <w:szCs w:val="20"/>
          <w:lang w:val="es-CR"/>
        </w:rPr>
        <w:t>Costa Rica</w:t>
      </w:r>
      <w:r w:rsidRPr="00541A48">
        <w:rPr>
          <w:rFonts w:ascii="Verdana" w:hAnsi="Verdana"/>
          <w:color w:val="auto"/>
          <w:sz w:val="20"/>
          <w:szCs w:val="20"/>
          <w:lang w:val="es-CR"/>
        </w:rPr>
        <w:t xml:space="preserve">, los cuales fueron rendidos por Alberto Bovino, Abogado Consultor del Centro de Estudios Legales y Sociales (CELS) en materia de derechos humanos en el ámbito nacional e internacional, sobre: i) el alcance del derecho consagrado en el artículo 8.2h) de la Convención, particularmente sobre la exclusión </w:t>
      </w:r>
      <w:r w:rsidRPr="00A02581">
        <w:rPr>
          <w:rFonts w:ascii="Verdana" w:hAnsi="Verdana"/>
          <w:i/>
          <w:color w:val="auto"/>
          <w:sz w:val="20"/>
          <w:szCs w:val="20"/>
          <w:lang w:val="es-CR"/>
        </w:rPr>
        <w:t>a</w:t>
      </w:r>
      <w:r w:rsidRPr="00541A48">
        <w:rPr>
          <w:rFonts w:ascii="Verdana" w:hAnsi="Verdana"/>
          <w:color w:val="auto"/>
          <w:sz w:val="20"/>
          <w:szCs w:val="20"/>
          <w:lang w:val="es-CR"/>
        </w:rPr>
        <w:t xml:space="preserve"> </w:t>
      </w:r>
      <w:r w:rsidRPr="00541A48">
        <w:rPr>
          <w:rFonts w:ascii="Verdana" w:hAnsi="Verdana"/>
          <w:i/>
          <w:iCs/>
          <w:color w:val="auto"/>
          <w:sz w:val="20"/>
          <w:szCs w:val="20"/>
          <w:lang w:val="es-CR"/>
        </w:rPr>
        <w:t>priori</w:t>
      </w:r>
      <w:r w:rsidRPr="00541A48">
        <w:rPr>
          <w:rFonts w:ascii="Verdana" w:hAnsi="Verdana"/>
          <w:color w:val="auto"/>
          <w:sz w:val="20"/>
          <w:szCs w:val="20"/>
          <w:lang w:val="es-CR"/>
        </w:rPr>
        <w:t xml:space="preserve"> de la posibilidad de</w:t>
      </w:r>
      <w:r w:rsidR="00A02581">
        <w:rPr>
          <w:rFonts w:ascii="Verdana" w:hAnsi="Verdana"/>
          <w:color w:val="auto"/>
          <w:sz w:val="20"/>
          <w:szCs w:val="20"/>
          <w:lang w:val="es-CR"/>
        </w:rPr>
        <w:t xml:space="preserve"> revisar</w:t>
      </w:r>
      <w:r w:rsidRPr="00541A48">
        <w:rPr>
          <w:rFonts w:ascii="Verdana" w:hAnsi="Verdana"/>
          <w:color w:val="auto"/>
          <w:sz w:val="20"/>
          <w:szCs w:val="20"/>
          <w:lang w:val="es-CR"/>
        </w:rPr>
        <w:t xml:space="preserve"> cuestiones de hecho o </w:t>
      </w:r>
      <w:r w:rsidR="00A02581">
        <w:rPr>
          <w:rFonts w:ascii="Verdana" w:hAnsi="Verdana"/>
          <w:color w:val="auto"/>
          <w:sz w:val="20"/>
          <w:szCs w:val="20"/>
          <w:lang w:val="es-CR"/>
        </w:rPr>
        <w:t>valoración probatoria</w:t>
      </w:r>
      <w:r w:rsidRPr="00541A48">
        <w:rPr>
          <w:rFonts w:ascii="Verdana" w:hAnsi="Verdana"/>
          <w:color w:val="auto"/>
          <w:sz w:val="20"/>
          <w:szCs w:val="20"/>
          <w:lang w:val="es-CR"/>
        </w:rPr>
        <w:t xml:space="preserve"> debido a la aparente tensión entre los principios de ciertos sistemas procesales penales y el derecho a recurrir el fallo (caso </w:t>
      </w:r>
      <w:r w:rsidRPr="00541A48">
        <w:rPr>
          <w:rFonts w:ascii="Verdana" w:hAnsi="Verdana"/>
          <w:i/>
          <w:iCs/>
          <w:color w:val="auto"/>
          <w:sz w:val="20"/>
          <w:szCs w:val="20"/>
          <w:lang w:val="es-CR"/>
        </w:rPr>
        <w:t>Mendoza y otros</w:t>
      </w:r>
      <w:r w:rsidRPr="00541A48">
        <w:rPr>
          <w:rFonts w:ascii="Verdana" w:hAnsi="Verdana"/>
          <w:color w:val="auto"/>
          <w:sz w:val="20"/>
          <w:szCs w:val="20"/>
          <w:lang w:val="es-CR"/>
        </w:rPr>
        <w:t xml:space="preserve">), y ii) el alcance del derecho a recurrir el fallo a la luz de los estándares internacionales sobre la materia (caso </w:t>
      </w:r>
      <w:proofErr w:type="spellStart"/>
      <w:r w:rsidRPr="00541A48">
        <w:rPr>
          <w:rFonts w:ascii="Verdana" w:hAnsi="Verdana"/>
          <w:i/>
          <w:iCs/>
          <w:color w:val="auto"/>
          <w:sz w:val="20"/>
          <w:szCs w:val="20"/>
          <w:lang w:val="es-CR"/>
        </w:rPr>
        <w:t>Amrhein</w:t>
      </w:r>
      <w:proofErr w:type="spellEnd"/>
      <w:r w:rsidRPr="00541A48">
        <w:rPr>
          <w:rFonts w:ascii="Verdana" w:hAnsi="Verdana"/>
          <w:i/>
          <w:iCs/>
          <w:color w:val="auto"/>
          <w:sz w:val="20"/>
          <w:szCs w:val="20"/>
          <w:lang w:val="es-CR"/>
        </w:rPr>
        <w:t xml:space="preserve"> y otros</w:t>
      </w:r>
      <w:r w:rsidRPr="00541A48">
        <w:rPr>
          <w:rFonts w:ascii="Verdana" w:hAnsi="Verdana"/>
          <w:color w:val="auto"/>
          <w:sz w:val="20"/>
          <w:szCs w:val="20"/>
          <w:lang w:val="es-CR"/>
        </w:rPr>
        <w:t>).</w:t>
      </w:r>
    </w:p>
    <w:p w:rsidR="00E905A3" w:rsidRPr="00541A48" w:rsidRDefault="00E905A3" w:rsidP="00E905A3">
      <w:pPr>
        <w:pStyle w:val="Prrafodelista"/>
        <w:tabs>
          <w:tab w:val="left" w:pos="567"/>
        </w:tabs>
        <w:autoSpaceDE w:val="0"/>
        <w:autoSpaceDN w:val="0"/>
        <w:adjustRightInd w:val="0"/>
        <w:ind w:left="0"/>
        <w:jc w:val="both"/>
        <w:rPr>
          <w:rFonts w:ascii="Verdana" w:hAnsi="Verdana" w:cs="Verdana"/>
          <w:sz w:val="20"/>
          <w:szCs w:val="20"/>
          <w:lang w:val="es-CR"/>
        </w:rPr>
      </w:pPr>
    </w:p>
    <w:p w:rsidR="00437B83" w:rsidRPr="00E905A3" w:rsidRDefault="00E905A3" w:rsidP="00437B83">
      <w:pPr>
        <w:pStyle w:val="Prrafodelista"/>
        <w:numPr>
          <w:ilvl w:val="0"/>
          <w:numId w:val="1"/>
        </w:numPr>
        <w:tabs>
          <w:tab w:val="left" w:pos="567"/>
        </w:tabs>
        <w:autoSpaceDE w:val="0"/>
        <w:autoSpaceDN w:val="0"/>
        <w:adjustRightInd w:val="0"/>
        <w:ind w:left="0"/>
        <w:jc w:val="both"/>
        <w:rPr>
          <w:rFonts w:ascii="Verdana" w:hAnsi="Verdana" w:cs="Verdana"/>
          <w:i/>
          <w:sz w:val="20"/>
          <w:szCs w:val="20"/>
          <w:lang w:val="es-CR"/>
        </w:rPr>
      </w:pPr>
      <w:r>
        <w:rPr>
          <w:rFonts w:ascii="Verdana" w:hAnsi="Verdana" w:cs="Verdana"/>
          <w:sz w:val="20"/>
          <w:szCs w:val="20"/>
          <w:lang w:val="es-CR"/>
        </w:rPr>
        <w:t>Según la Comisión</w:t>
      </w:r>
      <w:r w:rsidR="00A02581">
        <w:rPr>
          <w:rFonts w:ascii="Verdana" w:hAnsi="Verdana" w:cs="Verdana"/>
          <w:sz w:val="20"/>
          <w:szCs w:val="20"/>
          <w:lang w:val="es-CR"/>
        </w:rPr>
        <w:t>,</w:t>
      </w:r>
      <w:r>
        <w:rPr>
          <w:rFonts w:ascii="Verdana" w:hAnsi="Verdana" w:cs="Verdana"/>
          <w:sz w:val="20"/>
          <w:szCs w:val="20"/>
          <w:lang w:val="es-CR"/>
        </w:rPr>
        <w:t xml:space="preserve"> los peritajes ofrecidos se refieren a temas de orden público interamericano, pues el presente caso:</w:t>
      </w:r>
    </w:p>
    <w:p w:rsidR="00E905A3" w:rsidRPr="00E905A3" w:rsidRDefault="00E905A3" w:rsidP="00E905A3">
      <w:pPr>
        <w:tabs>
          <w:tab w:val="left" w:pos="567"/>
        </w:tabs>
        <w:autoSpaceDE w:val="0"/>
        <w:autoSpaceDN w:val="0"/>
        <w:adjustRightInd w:val="0"/>
        <w:jc w:val="both"/>
        <w:rPr>
          <w:rFonts w:ascii="Verdana" w:hAnsi="Verdana" w:cs="Verdana"/>
        </w:rPr>
      </w:pPr>
    </w:p>
    <w:p w:rsidR="00E905A3" w:rsidRPr="00E905A3" w:rsidRDefault="00E905A3" w:rsidP="00AB5E2A">
      <w:pPr>
        <w:tabs>
          <w:tab w:val="left" w:pos="567"/>
        </w:tabs>
        <w:autoSpaceDE w:val="0"/>
        <w:autoSpaceDN w:val="0"/>
        <w:adjustRightInd w:val="0"/>
        <w:ind w:left="567" w:right="899"/>
        <w:jc w:val="both"/>
        <w:rPr>
          <w:rFonts w:ascii="Verdana" w:hAnsi="Verdana" w:cs="Verdana"/>
        </w:rPr>
      </w:pPr>
      <w:r>
        <w:rPr>
          <w:rFonts w:ascii="Verdana" w:hAnsi="Verdana" w:cs="Verdana"/>
        </w:rPr>
        <w:t>[p]</w:t>
      </w:r>
      <w:proofErr w:type="spellStart"/>
      <w:r>
        <w:rPr>
          <w:rFonts w:ascii="Verdana" w:hAnsi="Verdana" w:cs="Verdana"/>
        </w:rPr>
        <w:t>ermitirá</w:t>
      </w:r>
      <w:proofErr w:type="spellEnd"/>
      <w:r>
        <w:rPr>
          <w:rFonts w:ascii="Verdana" w:hAnsi="Verdana" w:cs="Verdana"/>
        </w:rPr>
        <w:t xml:space="preserve"> a la Corte profundizar su jurisprudencia sobre debido proceso penal, particularmente, sobre el derecho a recurrir el fallo condenatorio. La legislación procesal penal en Argentina de varias provincias consagra como único recurso contra una sentencia condenatoria de primera instancia, al recurso de casación, cuyas causales se encuentran limitadas a errores de derecho, tanto en lo procesal como en lo sustantivo. En ese sentido, la CIDH ha requerido una adecuación normativa al Estado argentino, que continúa siendo incompatible con los estándares interamericanos sobre el artículo 8.2.h) de la Convención</w:t>
      </w:r>
      <w:r w:rsidR="00AB5E2A">
        <w:rPr>
          <w:rFonts w:ascii="Verdana" w:hAnsi="Verdana" w:cs="Verdana"/>
        </w:rPr>
        <w:t>, en presente caso trasciende a la víctima, siendo ese componente del caso una cuestión de orden público interamericano.</w:t>
      </w:r>
    </w:p>
    <w:p w:rsidR="00437B83" w:rsidRPr="00E905A3" w:rsidRDefault="00437B83" w:rsidP="00437B83">
      <w:pPr>
        <w:pStyle w:val="Prrafodelista"/>
        <w:tabs>
          <w:tab w:val="left" w:pos="567"/>
        </w:tabs>
        <w:autoSpaceDE w:val="0"/>
        <w:autoSpaceDN w:val="0"/>
        <w:adjustRightInd w:val="0"/>
        <w:ind w:left="0"/>
        <w:jc w:val="both"/>
        <w:rPr>
          <w:rFonts w:ascii="Verdana" w:hAnsi="Verdana" w:cs="Verdana"/>
          <w:sz w:val="20"/>
          <w:szCs w:val="20"/>
          <w:lang w:val="es-CR"/>
        </w:rPr>
      </w:pPr>
    </w:p>
    <w:p w:rsidR="00437B83" w:rsidRPr="00437B83" w:rsidRDefault="00AC2088" w:rsidP="00437B83">
      <w:pPr>
        <w:pStyle w:val="Prrafodelista"/>
        <w:numPr>
          <w:ilvl w:val="0"/>
          <w:numId w:val="1"/>
        </w:numPr>
        <w:tabs>
          <w:tab w:val="clear" w:pos="3870"/>
          <w:tab w:val="left" w:pos="567"/>
          <w:tab w:val="num" w:pos="720"/>
        </w:tabs>
        <w:autoSpaceDE w:val="0"/>
        <w:autoSpaceDN w:val="0"/>
        <w:adjustRightInd w:val="0"/>
        <w:ind w:left="0"/>
        <w:jc w:val="both"/>
        <w:rPr>
          <w:rFonts w:ascii="Verdana" w:hAnsi="Verdana" w:cs="Verdana"/>
          <w:i/>
          <w:sz w:val="20"/>
          <w:szCs w:val="20"/>
          <w:lang w:val="es-CR"/>
        </w:rPr>
      </w:pPr>
      <w:r>
        <w:rPr>
          <w:rFonts w:ascii="Verdana" w:hAnsi="Verdana" w:cs="Verdana"/>
          <w:sz w:val="20"/>
          <w:szCs w:val="20"/>
          <w:lang w:val="es-CR"/>
        </w:rPr>
        <w:t>E</w:t>
      </w:r>
      <w:r w:rsidR="00AB5E2A">
        <w:rPr>
          <w:rFonts w:ascii="Verdana" w:hAnsi="Verdana" w:cs="Verdana"/>
          <w:sz w:val="20"/>
          <w:szCs w:val="20"/>
          <w:lang w:val="es-CR"/>
        </w:rPr>
        <w:t xml:space="preserve">l </w:t>
      </w:r>
      <w:r w:rsidR="00AB5E2A">
        <w:rPr>
          <w:rFonts w:ascii="Verdana" w:hAnsi="Verdana" w:cs="Verdana"/>
          <w:b/>
          <w:i/>
          <w:sz w:val="20"/>
          <w:szCs w:val="20"/>
          <w:lang w:val="es-CR"/>
        </w:rPr>
        <w:t xml:space="preserve">Estado </w:t>
      </w:r>
      <w:r>
        <w:rPr>
          <w:rFonts w:ascii="Verdana" w:hAnsi="Verdana" w:cs="Verdana"/>
          <w:sz w:val="20"/>
          <w:szCs w:val="20"/>
          <w:lang w:val="es-CR"/>
        </w:rPr>
        <w:t xml:space="preserve">objetó la pericia ofrecida por la Comisión en tanto su propósito se orienta a obtener un dictamen jurídico sobre las cuestiones debatidas en estas actuaciones las cuales </w:t>
      </w:r>
      <w:r>
        <w:rPr>
          <w:rFonts w:ascii="Verdana" w:hAnsi="Verdana" w:cs="Verdana"/>
          <w:sz w:val="20"/>
          <w:szCs w:val="20"/>
          <w:lang w:val="es-CR"/>
        </w:rPr>
        <w:lastRenderedPageBreak/>
        <w:t>son competencia excl</w:t>
      </w:r>
      <w:r w:rsidR="00C74C34">
        <w:rPr>
          <w:rFonts w:ascii="Verdana" w:hAnsi="Verdana" w:cs="Verdana"/>
          <w:sz w:val="20"/>
          <w:szCs w:val="20"/>
          <w:lang w:val="es-CR"/>
        </w:rPr>
        <w:t>usiva de los jueces de la Corte</w:t>
      </w:r>
      <w:r>
        <w:rPr>
          <w:rFonts w:ascii="Verdana" w:hAnsi="Verdana" w:cs="Verdana"/>
          <w:sz w:val="20"/>
          <w:szCs w:val="20"/>
          <w:lang w:val="es-CR"/>
        </w:rPr>
        <w:t xml:space="preserve">. Los </w:t>
      </w:r>
      <w:r>
        <w:rPr>
          <w:rFonts w:ascii="Verdana" w:hAnsi="Verdana" w:cs="Verdana"/>
          <w:b/>
          <w:i/>
          <w:sz w:val="20"/>
          <w:szCs w:val="20"/>
          <w:lang w:val="es-CR"/>
        </w:rPr>
        <w:t xml:space="preserve">representantes </w:t>
      </w:r>
      <w:r>
        <w:rPr>
          <w:rFonts w:ascii="Verdana" w:hAnsi="Verdana" w:cs="Verdana"/>
          <w:sz w:val="20"/>
          <w:szCs w:val="20"/>
          <w:lang w:val="es-CR"/>
        </w:rPr>
        <w:t xml:space="preserve">no </w:t>
      </w:r>
      <w:r w:rsidR="005B14DA">
        <w:rPr>
          <w:rFonts w:ascii="Verdana" w:hAnsi="Verdana" w:cs="Verdana"/>
          <w:sz w:val="20"/>
          <w:szCs w:val="20"/>
          <w:lang w:val="es-CR"/>
        </w:rPr>
        <w:t>r</w:t>
      </w:r>
      <w:r w:rsidR="00AB5E2A">
        <w:rPr>
          <w:rFonts w:ascii="Verdana" w:hAnsi="Verdana" w:cs="Verdana"/>
          <w:sz w:val="20"/>
          <w:szCs w:val="20"/>
          <w:lang w:val="es-CR"/>
        </w:rPr>
        <w:t>ealizaron manifestación alguna respecto a la solicitud de la Comisión.</w:t>
      </w:r>
    </w:p>
    <w:p w:rsidR="00437B83" w:rsidRPr="00437B83" w:rsidRDefault="00437B83" w:rsidP="00437B83">
      <w:pPr>
        <w:pStyle w:val="Prrafodelista"/>
        <w:ind w:left="0"/>
        <w:rPr>
          <w:rFonts w:ascii="Verdana" w:hAnsi="Verdana" w:cs="Verdana"/>
          <w:i/>
          <w:sz w:val="20"/>
          <w:szCs w:val="20"/>
          <w:lang w:val="es-CR"/>
        </w:rPr>
      </w:pPr>
    </w:p>
    <w:p w:rsidR="00CD558D" w:rsidRPr="00CD558D" w:rsidRDefault="00437B83" w:rsidP="00AB5E2A">
      <w:pPr>
        <w:pStyle w:val="Prrafodelista"/>
        <w:numPr>
          <w:ilvl w:val="0"/>
          <w:numId w:val="1"/>
        </w:numPr>
        <w:tabs>
          <w:tab w:val="clear" w:pos="3870"/>
          <w:tab w:val="left" w:pos="567"/>
          <w:tab w:val="num" w:pos="720"/>
        </w:tabs>
        <w:autoSpaceDE w:val="0"/>
        <w:autoSpaceDN w:val="0"/>
        <w:adjustRightInd w:val="0"/>
        <w:ind w:left="0"/>
        <w:jc w:val="both"/>
        <w:rPr>
          <w:rFonts w:ascii="Verdana" w:hAnsi="Verdana" w:cs="Verdana"/>
          <w:i/>
          <w:sz w:val="20"/>
          <w:szCs w:val="20"/>
          <w:lang w:val="es-CR"/>
        </w:rPr>
      </w:pPr>
      <w:r w:rsidRPr="00437B83">
        <w:rPr>
          <w:rFonts w:ascii="Verdana" w:hAnsi="Verdana" w:cs="Verdana"/>
          <w:sz w:val="20"/>
          <w:szCs w:val="20"/>
          <w:lang w:val="es-CR"/>
        </w:rPr>
        <w:t xml:space="preserve">En primer lugar, el Presidente reitera que </w:t>
      </w:r>
      <w:r>
        <w:rPr>
          <w:rFonts w:ascii="Verdana" w:hAnsi="Verdana"/>
          <w:sz w:val="20"/>
          <w:szCs w:val="20"/>
          <w:lang w:val="es-CR"/>
        </w:rPr>
        <w:t>la incorporación de dictámenes periciales</w:t>
      </w:r>
      <w:r w:rsidR="00A02581">
        <w:rPr>
          <w:rFonts w:ascii="Verdana" w:hAnsi="Verdana"/>
          <w:sz w:val="20"/>
          <w:szCs w:val="20"/>
          <w:lang w:val="es-CR"/>
        </w:rPr>
        <w:t>,</w:t>
      </w:r>
      <w:r>
        <w:rPr>
          <w:rFonts w:ascii="Verdana" w:hAnsi="Verdana"/>
          <w:sz w:val="20"/>
          <w:szCs w:val="20"/>
          <w:lang w:val="es-CR"/>
        </w:rPr>
        <w:t xml:space="preserve"> rendidos en otros casos</w:t>
      </w:r>
      <w:r w:rsidR="00A02581">
        <w:rPr>
          <w:rFonts w:ascii="Verdana" w:hAnsi="Verdana"/>
          <w:sz w:val="20"/>
          <w:szCs w:val="20"/>
          <w:lang w:val="es-CR"/>
        </w:rPr>
        <w:t>,</w:t>
      </w:r>
      <w:r>
        <w:rPr>
          <w:rFonts w:ascii="Verdana" w:hAnsi="Verdana"/>
          <w:sz w:val="20"/>
          <w:szCs w:val="20"/>
          <w:lang w:val="es-CR"/>
        </w:rPr>
        <w:t xml:space="preserve"> al expedie</w:t>
      </w:r>
      <w:r w:rsidR="00AB5E2A">
        <w:rPr>
          <w:rFonts w:ascii="Verdana" w:hAnsi="Verdana"/>
          <w:sz w:val="20"/>
          <w:szCs w:val="20"/>
          <w:lang w:val="es-CR"/>
        </w:rPr>
        <w:t>nte de un caso en trámite</w:t>
      </w:r>
      <w:r w:rsidR="00A02581">
        <w:rPr>
          <w:rFonts w:ascii="Verdana" w:hAnsi="Verdana"/>
          <w:sz w:val="20"/>
          <w:szCs w:val="20"/>
          <w:lang w:val="es-CR"/>
        </w:rPr>
        <w:t>,</w:t>
      </w:r>
      <w:r>
        <w:rPr>
          <w:rFonts w:ascii="Verdana" w:hAnsi="Verdana"/>
          <w:sz w:val="20"/>
          <w:szCs w:val="20"/>
          <w:lang w:val="es-CR"/>
        </w:rPr>
        <w:t xml:space="preserve"> no significa que tales elementos tengan el valor o peso probatorio de un dictamen pericial evacuado bajo los principios de </w:t>
      </w:r>
      <w:r w:rsidR="00A02581">
        <w:rPr>
          <w:rFonts w:ascii="Verdana" w:hAnsi="Verdana"/>
          <w:sz w:val="20"/>
          <w:szCs w:val="20"/>
          <w:lang w:val="es-CR"/>
        </w:rPr>
        <w:t>contradicción</w:t>
      </w:r>
      <w:r>
        <w:rPr>
          <w:rFonts w:ascii="Verdana" w:hAnsi="Verdana"/>
          <w:sz w:val="20"/>
          <w:szCs w:val="20"/>
          <w:lang w:val="es-CR"/>
        </w:rPr>
        <w:t xml:space="preserve"> y derecho de defensa. De tal modo, en oportunidades anteriores la Presidencia de la Corte ha considerado pertinente el traslado de peritajes rendidos en otros casos, incluso contra Estados distintos, únicamente como elementos documentales y para que la Corte determine su admisibilidad y valor probatorio en el momento procesal oportuno, tomando en consideración las observaciones presentadas por las partes en ejercicio de su derecho de defensa</w:t>
      </w:r>
      <w:r>
        <w:rPr>
          <w:rFonts w:ascii="Verdana" w:hAnsi="Verdana"/>
          <w:sz w:val="20"/>
          <w:szCs w:val="20"/>
          <w:vertAlign w:val="superscript"/>
          <w:lang w:val="es-CR"/>
        </w:rPr>
        <w:footnoteReference w:id="1"/>
      </w:r>
      <w:r w:rsidRPr="00437B83">
        <w:rPr>
          <w:rFonts w:ascii="Verdana" w:hAnsi="Verdana" w:cs="Verdana"/>
          <w:sz w:val="20"/>
          <w:szCs w:val="20"/>
          <w:lang w:val="es-CR"/>
        </w:rPr>
        <w:t>.</w:t>
      </w:r>
    </w:p>
    <w:p w:rsidR="00CD558D" w:rsidRPr="00CD558D" w:rsidRDefault="00CD558D" w:rsidP="00CD558D">
      <w:pPr>
        <w:pStyle w:val="Prrafodelista"/>
        <w:rPr>
          <w:rFonts w:ascii="Verdana" w:hAnsi="Verdana"/>
          <w:lang w:val="es-CR"/>
        </w:rPr>
      </w:pPr>
    </w:p>
    <w:p w:rsidR="00437B83" w:rsidRPr="00CD558D" w:rsidRDefault="00437B83" w:rsidP="00AB5E2A">
      <w:pPr>
        <w:pStyle w:val="Prrafodelista"/>
        <w:numPr>
          <w:ilvl w:val="0"/>
          <w:numId w:val="1"/>
        </w:numPr>
        <w:tabs>
          <w:tab w:val="clear" w:pos="3870"/>
          <w:tab w:val="left" w:pos="567"/>
          <w:tab w:val="num" w:pos="720"/>
        </w:tabs>
        <w:autoSpaceDE w:val="0"/>
        <w:autoSpaceDN w:val="0"/>
        <w:adjustRightInd w:val="0"/>
        <w:ind w:left="0"/>
        <w:jc w:val="both"/>
        <w:rPr>
          <w:rFonts w:ascii="Verdana" w:hAnsi="Verdana" w:cs="Verdana"/>
          <w:i/>
          <w:sz w:val="20"/>
          <w:szCs w:val="20"/>
          <w:lang w:val="es-CR"/>
        </w:rPr>
      </w:pPr>
      <w:r w:rsidRPr="00CD558D">
        <w:rPr>
          <w:rFonts w:ascii="Verdana" w:hAnsi="Verdana"/>
          <w:sz w:val="20"/>
          <w:szCs w:val="20"/>
          <w:lang w:val="es-CR"/>
        </w:rPr>
        <w:t>De manera que, en atención a los principios de economía y celeridad procesales, esta Presidencia considera oportuno incorporar al acervo probatorio del presente caso, en lo que resulte</w:t>
      </w:r>
      <w:r w:rsidR="00A02581">
        <w:rPr>
          <w:rFonts w:ascii="Verdana" w:hAnsi="Verdana"/>
          <w:sz w:val="20"/>
          <w:szCs w:val="20"/>
          <w:lang w:val="es-CR"/>
        </w:rPr>
        <w:t>n</w:t>
      </w:r>
      <w:r w:rsidRPr="00CD558D">
        <w:rPr>
          <w:rFonts w:ascii="Verdana" w:hAnsi="Verdana"/>
          <w:sz w:val="20"/>
          <w:szCs w:val="20"/>
          <w:lang w:val="es-CR"/>
        </w:rPr>
        <w:t xml:space="preserve"> pertinente</w:t>
      </w:r>
      <w:r w:rsidR="00A02581">
        <w:rPr>
          <w:rFonts w:ascii="Verdana" w:hAnsi="Verdana"/>
          <w:sz w:val="20"/>
          <w:szCs w:val="20"/>
          <w:lang w:val="es-CR"/>
        </w:rPr>
        <w:t>s</w:t>
      </w:r>
      <w:r w:rsidRPr="00CD558D">
        <w:rPr>
          <w:rFonts w:ascii="Verdana" w:hAnsi="Verdana"/>
          <w:sz w:val="20"/>
          <w:szCs w:val="20"/>
          <w:lang w:val="es-CR"/>
        </w:rPr>
        <w:t xml:space="preserve">, los peritajes rendidos por </w:t>
      </w:r>
      <w:r w:rsidR="00CA3AD3" w:rsidRPr="00CD558D">
        <w:rPr>
          <w:rFonts w:ascii="Verdana" w:hAnsi="Verdana"/>
          <w:sz w:val="20"/>
          <w:szCs w:val="20"/>
          <w:lang w:val="es-CR"/>
        </w:rPr>
        <w:t xml:space="preserve">Alberto Bovino en los casos </w:t>
      </w:r>
      <w:r w:rsidR="00CA3AD3" w:rsidRPr="00CD558D">
        <w:rPr>
          <w:rFonts w:ascii="Verdana" w:hAnsi="Verdana"/>
          <w:i/>
          <w:iCs/>
          <w:sz w:val="20"/>
          <w:szCs w:val="20"/>
          <w:lang w:val="es-CR"/>
        </w:rPr>
        <w:t xml:space="preserve">Mendoza y otros Vs. </w:t>
      </w:r>
      <w:r w:rsidR="00CA3AD3" w:rsidRPr="00CF28F9">
        <w:rPr>
          <w:rFonts w:ascii="Verdana" w:hAnsi="Verdana"/>
          <w:i/>
          <w:iCs/>
          <w:sz w:val="20"/>
          <w:szCs w:val="20"/>
          <w:lang w:val="es-ES"/>
        </w:rPr>
        <w:t>Argentina</w:t>
      </w:r>
      <w:r w:rsidR="00CA3AD3" w:rsidRPr="00CF28F9">
        <w:rPr>
          <w:rFonts w:ascii="Verdana" w:hAnsi="Verdana"/>
          <w:sz w:val="20"/>
          <w:szCs w:val="20"/>
          <w:lang w:val="es-ES"/>
        </w:rPr>
        <w:t xml:space="preserve"> y </w:t>
      </w:r>
      <w:proofErr w:type="spellStart"/>
      <w:r w:rsidR="00CA3AD3" w:rsidRPr="00CF28F9">
        <w:rPr>
          <w:rFonts w:ascii="Verdana" w:hAnsi="Verdana"/>
          <w:i/>
          <w:iCs/>
          <w:sz w:val="20"/>
          <w:szCs w:val="20"/>
          <w:lang w:val="es-ES"/>
        </w:rPr>
        <w:t>Amhrein</w:t>
      </w:r>
      <w:proofErr w:type="spellEnd"/>
      <w:r w:rsidR="00CA3AD3" w:rsidRPr="00CF28F9">
        <w:rPr>
          <w:rFonts w:ascii="Verdana" w:hAnsi="Verdana"/>
          <w:i/>
          <w:iCs/>
          <w:sz w:val="20"/>
          <w:szCs w:val="20"/>
          <w:lang w:val="es-ES"/>
        </w:rPr>
        <w:t xml:space="preserve"> y otros Vs. Costa Rica</w:t>
      </w:r>
      <w:r w:rsidRPr="00CF28F9">
        <w:rPr>
          <w:rFonts w:ascii="Verdana" w:hAnsi="Verdana"/>
          <w:sz w:val="20"/>
          <w:szCs w:val="20"/>
          <w:lang w:val="es-ES"/>
        </w:rPr>
        <w:t xml:space="preserve">, ya que podrían resultar útiles para la resolución del presente caso. </w:t>
      </w:r>
      <w:r w:rsidR="00AB5E2A" w:rsidRPr="00CF28F9">
        <w:rPr>
          <w:rFonts w:ascii="Verdana" w:hAnsi="Verdana"/>
          <w:sz w:val="20"/>
          <w:szCs w:val="20"/>
          <w:lang w:val="es-ES"/>
        </w:rPr>
        <w:t>El Estado y los representantes</w:t>
      </w:r>
      <w:r w:rsidRPr="00CF28F9">
        <w:rPr>
          <w:rFonts w:ascii="Verdana" w:hAnsi="Verdana"/>
          <w:sz w:val="20"/>
          <w:szCs w:val="20"/>
          <w:lang w:val="es-ES"/>
        </w:rPr>
        <w:t xml:space="preserve"> podrán presentar las observaciones que estimen pertinentes a dichos peritajes </w:t>
      </w:r>
      <w:r w:rsidRPr="00CF28F9">
        <w:rPr>
          <w:rFonts w:ascii="Verdana" w:hAnsi="Verdana" w:cs="Verdana"/>
          <w:sz w:val="20"/>
          <w:szCs w:val="20"/>
          <w:lang w:val="es-ES"/>
        </w:rPr>
        <w:t>a más tardar con sus alegatos u observaciones finales escritos.</w:t>
      </w:r>
    </w:p>
    <w:p w:rsidR="00AB5E2A" w:rsidRDefault="00AB5E2A" w:rsidP="00AB5E2A">
      <w:pPr>
        <w:jc w:val="both"/>
        <w:rPr>
          <w:rFonts w:ascii="Times New Roman" w:hAnsi="Times New Roman"/>
          <w:sz w:val="24"/>
          <w:szCs w:val="24"/>
        </w:rPr>
      </w:pPr>
    </w:p>
    <w:p w:rsidR="00ED18E7" w:rsidRPr="00ED18E7" w:rsidRDefault="00ED18E7" w:rsidP="00ED18E7">
      <w:pPr>
        <w:pStyle w:val="Prrafodelista"/>
        <w:numPr>
          <w:ilvl w:val="0"/>
          <w:numId w:val="2"/>
        </w:numPr>
        <w:jc w:val="both"/>
        <w:rPr>
          <w:rFonts w:ascii="Verdana" w:hAnsi="Verdana"/>
          <w:b/>
          <w:i/>
          <w:sz w:val="20"/>
          <w:szCs w:val="20"/>
          <w:lang w:val="es-CR"/>
        </w:rPr>
      </w:pPr>
      <w:r w:rsidRPr="00ED18E7">
        <w:rPr>
          <w:rFonts w:ascii="Verdana" w:hAnsi="Verdana"/>
          <w:b/>
          <w:i/>
          <w:sz w:val="20"/>
          <w:szCs w:val="20"/>
          <w:lang w:val="es-CR"/>
        </w:rPr>
        <w:t>La solicitud de la Comisión para formular preguntas a los peritos ofrecidos por los representantes</w:t>
      </w:r>
    </w:p>
    <w:p w:rsidR="00ED18E7" w:rsidRDefault="00ED18E7" w:rsidP="00AB5E2A">
      <w:pPr>
        <w:jc w:val="both"/>
        <w:rPr>
          <w:rFonts w:ascii="Verdana" w:hAnsi="Verdana"/>
        </w:rPr>
      </w:pPr>
    </w:p>
    <w:p w:rsidR="00ED18E7" w:rsidRDefault="00ED18E7" w:rsidP="00ED18E7">
      <w:pPr>
        <w:pStyle w:val="Prrafodelista"/>
        <w:numPr>
          <w:ilvl w:val="0"/>
          <w:numId w:val="1"/>
        </w:numPr>
        <w:tabs>
          <w:tab w:val="clear" w:pos="3870"/>
          <w:tab w:val="num" w:pos="567"/>
        </w:tabs>
        <w:ind w:left="0"/>
        <w:jc w:val="both"/>
        <w:rPr>
          <w:rFonts w:ascii="Verdana" w:hAnsi="Verdana"/>
          <w:sz w:val="20"/>
          <w:szCs w:val="20"/>
          <w:lang w:val="es-CR"/>
        </w:rPr>
      </w:pPr>
      <w:r w:rsidRPr="00ED18E7">
        <w:rPr>
          <w:rFonts w:ascii="Verdana" w:hAnsi="Verdana"/>
          <w:sz w:val="20"/>
          <w:szCs w:val="20"/>
          <w:lang w:val="es-CR"/>
        </w:rPr>
        <w:t xml:space="preserve">La </w:t>
      </w:r>
      <w:r w:rsidRPr="00ED18E7">
        <w:rPr>
          <w:rFonts w:ascii="Verdana" w:hAnsi="Verdana"/>
          <w:b/>
          <w:i/>
          <w:sz w:val="20"/>
          <w:szCs w:val="20"/>
          <w:lang w:val="es-CR"/>
        </w:rPr>
        <w:t xml:space="preserve">Comisión </w:t>
      </w:r>
      <w:r w:rsidRPr="00ED18E7">
        <w:rPr>
          <w:rFonts w:ascii="Verdana" w:hAnsi="Verdana"/>
          <w:sz w:val="20"/>
          <w:szCs w:val="20"/>
          <w:lang w:val="es-CR"/>
        </w:rPr>
        <w:t>solicit</w:t>
      </w:r>
      <w:r>
        <w:rPr>
          <w:rFonts w:ascii="Verdana" w:hAnsi="Verdana"/>
          <w:sz w:val="20"/>
          <w:szCs w:val="20"/>
          <w:lang w:val="es-CR"/>
        </w:rPr>
        <w:t xml:space="preserve">ó qué, en virtud de lo establecido en el artículo 52.3 del Reglamento de la Corte, el cual debe leerse conjuntamente con lo señalado con el artículo 50.5 del mismo Reglamento, se otorgue la oportunidad verbal o escrita de formular preguntas, en la medida de </w:t>
      </w:r>
      <w:r w:rsidR="004069F5">
        <w:rPr>
          <w:rFonts w:ascii="Verdana" w:hAnsi="Verdana"/>
          <w:sz w:val="20"/>
          <w:szCs w:val="20"/>
          <w:lang w:val="es-CR"/>
        </w:rPr>
        <w:t>lo relevante y razonable, a los peritos ofrecidos por los representantes Fernando de la Rúa y Oscar Dimas Agüero. La Comisión argumentó que su petición se sustenta en que el objeto de dichos peritajes se relaciona tanto con el orden público como con la materia sobre la que versa el peritaje de Alberto Bovino ofrecido en calidad de traslado.</w:t>
      </w:r>
    </w:p>
    <w:p w:rsidR="00B519CE" w:rsidRDefault="00B519CE" w:rsidP="00B519CE">
      <w:pPr>
        <w:pStyle w:val="Prrafodelista"/>
        <w:ind w:left="0"/>
        <w:jc w:val="both"/>
        <w:rPr>
          <w:rFonts w:ascii="Verdana" w:hAnsi="Verdana"/>
          <w:sz w:val="20"/>
          <w:szCs w:val="20"/>
          <w:lang w:val="es-CR"/>
        </w:rPr>
      </w:pPr>
    </w:p>
    <w:p w:rsidR="00B519CE" w:rsidRDefault="00B519CE" w:rsidP="00ED18E7">
      <w:pPr>
        <w:pStyle w:val="Prrafodelista"/>
        <w:numPr>
          <w:ilvl w:val="0"/>
          <w:numId w:val="1"/>
        </w:numPr>
        <w:tabs>
          <w:tab w:val="clear" w:pos="3870"/>
          <w:tab w:val="num" w:pos="567"/>
        </w:tabs>
        <w:ind w:left="0"/>
        <w:jc w:val="both"/>
        <w:rPr>
          <w:rFonts w:ascii="Verdana" w:hAnsi="Verdana"/>
          <w:sz w:val="20"/>
          <w:szCs w:val="20"/>
          <w:lang w:val="es-CR"/>
        </w:rPr>
      </w:pPr>
      <w:r w:rsidRPr="005B4C09">
        <w:rPr>
          <w:rFonts w:ascii="Verdana" w:hAnsi="Verdana"/>
          <w:sz w:val="20"/>
          <w:szCs w:val="20"/>
          <w:lang w:val="es-CR"/>
        </w:rPr>
        <w:t>En relación con dicha solicitud, el Presidente recuerda las limitaciones establecidas en el Reglamento en cuanto a la recepción de declaraciones propuestas por la Comisión, así como en la facultad de la misma para interrogar a los declarantes ofrecidos por las demás partes</w:t>
      </w:r>
      <w:r w:rsidRPr="005B4C09">
        <w:rPr>
          <w:rStyle w:val="Refdenotaalpie"/>
          <w:rFonts w:ascii="Verdana" w:hAnsi="Verdana"/>
          <w:sz w:val="20"/>
          <w:szCs w:val="20"/>
          <w:lang w:val="es-CR"/>
        </w:rPr>
        <w:footnoteReference w:id="2"/>
      </w:r>
      <w:r w:rsidRPr="005B4C09">
        <w:rPr>
          <w:rFonts w:ascii="Verdana" w:hAnsi="Verdana"/>
          <w:sz w:val="20"/>
          <w:szCs w:val="20"/>
          <w:lang w:val="es-CR"/>
        </w:rPr>
        <w:t>.</w:t>
      </w:r>
      <w:r w:rsidR="005B4C09" w:rsidRPr="005B4C09">
        <w:rPr>
          <w:rFonts w:ascii="Verdana" w:hAnsi="Verdana"/>
          <w:sz w:val="20"/>
          <w:szCs w:val="20"/>
          <w:lang w:val="es-CR"/>
        </w:rPr>
        <w:t xml:space="preserve"> En particular, es pertinente recordar que el artículo 50.5 del Reglamento establece que “[l]as presuntas víctimas o sus representantes, el Estado demandado y, en su caso, el Estado demandante podrán formular preguntas por escrito a los declarantes ofrecidos por la contraparte y, en su caso, por la Comisión, que hayan sido llamados a prestar declaración ante fedatario público (affidávit)”. Este artículo debe ser leído en conjunto con el artículo 52.3 del Reglamento, que prevé la posibilidad de que la Comisión interrogue a los peritos declarantes presentados por las demás partes, “si la Corte lo autoriza a solicitud fundada de la Comisión, cuando se afecte de manera relevante el orden público interamericano de los </w:t>
      </w:r>
      <w:r w:rsidR="005B4C09" w:rsidRPr="005B4C09">
        <w:rPr>
          <w:rFonts w:ascii="Verdana" w:hAnsi="Verdana"/>
          <w:sz w:val="20"/>
          <w:szCs w:val="20"/>
          <w:lang w:val="es-CR"/>
        </w:rPr>
        <w:lastRenderedPageBreak/>
        <w:t>derechos humanos y su declaración verse sobre alguna materia contenida en un peritaje ofrecido por la Comisión”. De modo tal, que le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p>
    <w:p w:rsidR="005B4C09" w:rsidRDefault="005B4C09" w:rsidP="005B4C09">
      <w:pPr>
        <w:pStyle w:val="Prrafodelista"/>
        <w:ind w:left="0"/>
        <w:jc w:val="both"/>
        <w:rPr>
          <w:rFonts w:ascii="Verdana" w:hAnsi="Verdana"/>
          <w:sz w:val="20"/>
          <w:szCs w:val="20"/>
          <w:lang w:val="es-CR"/>
        </w:rPr>
      </w:pPr>
    </w:p>
    <w:p w:rsidR="005B4C09" w:rsidRPr="00752D91" w:rsidRDefault="005B4C09" w:rsidP="00ED18E7">
      <w:pPr>
        <w:pStyle w:val="Prrafodelista"/>
        <w:numPr>
          <w:ilvl w:val="0"/>
          <w:numId w:val="1"/>
        </w:numPr>
        <w:tabs>
          <w:tab w:val="clear" w:pos="3870"/>
          <w:tab w:val="num" w:pos="567"/>
        </w:tabs>
        <w:ind w:left="0"/>
        <w:jc w:val="both"/>
        <w:rPr>
          <w:rFonts w:ascii="Verdana" w:hAnsi="Verdana"/>
          <w:sz w:val="20"/>
          <w:szCs w:val="20"/>
          <w:lang w:val="es-CR"/>
        </w:rPr>
      </w:pPr>
      <w:r w:rsidRPr="00752D91">
        <w:rPr>
          <w:rFonts w:ascii="Verdana" w:hAnsi="Verdana"/>
          <w:sz w:val="20"/>
          <w:szCs w:val="20"/>
          <w:lang w:val="es-CR"/>
        </w:rPr>
        <w:t xml:space="preserve">En relación con lo anterior, el Presidente observa que </w:t>
      </w:r>
      <w:r w:rsidR="008C7954" w:rsidRPr="00752D91">
        <w:rPr>
          <w:rFonts w:ascii="Verdana" w:hAnsi="Verdana"/>
          <w:sz w:val="20"/>
          <w:szCs w:val="20"/>
          <w:lang w:val="es-CR"/>
        </w:rPr>
        <w:t>la Comisión basó su solicitud en “la importancia de permitir que las declaraciones periciales que se relacionan entre sí ofrezcan una variedad de perspectivas –distintas o complementarias- sobre los temas que pretenden desarrollar, a fin de enriquecer los elementos de información con los cuales contará el Tribunal al momento de decidir el presente caso</w:t>
      </w:r>
      <w:r w:rsidR="00815CA8">
        <w:rPr>
          <w:rFonts w:ascii="Verdana" w:hAnsi="Verdana"/>
          <w:sz w:val="20"/>
          <w:szCs w:val="20"/>
          <w:lang w:val="es-CR"/>
        </w:rPr>
        <w:t>”.</w:t>
      </w:r>
      <w:r w:rsidR="008C7954" w:rsidRPr="00752D91">
        <w:rPr>
          <w:rFonts w:ascii="Verdana" w:hAnsi="Verdana"/>
          <w:sz w:val="20"/>
          <w:szCs w:val="20"/>
          <w:lang w:val="es-CR"/>
        </w:rPr>
        <w:t xml:space="preserve"> </w:t>
      </w:r>
      <w:r w:rsidR="00752D91" w:rsidRPr="00752D91">
        <w:rPr>
          <w:rFonts w:ascii="Verdana" w:hAnsi="Verdana"/>
          <w:sz w:val="20"/>
          <w:szCs w:val="20"/>
          <w:lang w:val="es-CR"/>
        </w:rPr>
        <w:t>Al respecto</w:t>
      </w:r>
      <w:r w:rsidR="008C7954" w:rsidRPr="00752D91">
        <w:rPr>
          <w:rFonts w:ascii="Verdana" w:hAnsi="Verdana"/>
          <w:sz w:val="20"/>
          <w:szCs w:val="20"/>
          <w:lang w:val="es-CR"/>
        </w:rPr>
        <w:t xml:space="preserve">, </w:t>
      </w:r>
      <w:r w:rsidR="00752D91" w:rsidRPr="00752D91">
        <w:rPr>
          <w:rFonts w:ascii="Verdana" w:hAnsi="Verdana"/>
          <w:sz w:val="20"/>
          <w:szCs w:val="20"/>
          <w:lang w:val="es-CR"/>
        </w:rPr>
        <w:t>el Presidente previamente consideró oportuno incorporar</w:t>
      </w:r>
      <w:r w:rsidR="00752D91">
        <w:rPr>
          <w:rFonts w:ascii="Verdana" w:hAnsi="Verdana"/>
          <w:sz w:val="20"/>
          <w:szCs w:val="20"/>
          <w:lang w:val="es-CR"/>
        </w:rPr>
        <w:t xml:space="preserve"> al acervo probatorio</w:t>
      </w:r>
      <w:r w:rsidR="00752D91" w:rsidRPr="00752D91">
        <w:rPr>
          <w:rFonts w:ascii="Verdana" w:hAnsi="Verdana"/>
          <w:sz w:val="20"/>
          <w:szCs w:val="20"/>
          <w:lang w:val="es-CR"/>
        </w:rPr>
        <w:t xml:space="preserve">, en lo que resulte pertinente, los peritajes rendidos por Alberto Bovino en los casos </w:t>
      </w:r>
      <w:r w:rsidR="00752D91" w:rsidRPr="00752D91">
        <w:rPr>
          <w:rFonts w:ascii="Verdana" w:hAnsi="Verdana"/>
          <w:i/>
          <w:iCs/>
          <w:sz w:val="20"/>
          <w:szCs w:val="20"/>
          <w:lang w:val="es-CR"/>
        </w:rPr>
        <w:t>Mendoza y otros Vs. Argentina</w:t>
      </w:r>
      <w:r w:rsidR="00752D91" w:rsidRPr="00752D91">
        <w:rPr>
          <w:rFonts w:ascii="Verdana" w:hAnsi="Verdana"/>
          <w:sz w:val="20"/>
          <w:szCs w:val="20"/>
          <w:lang w:val="es-CR"/>
        </w:rPr>
        <w:t xml:space="preserve"> y </w:t>
      </w:r>
      <w:proofErr w:type="spellStart"/>
      <w:r w:rsidR="00752D91" w:rsidRPr="00752D91">
        <w:rPr>
          <w:rFonts w:ascii="Verdana" w:hAnsi="Verdana"/>
          <w:i/>
          <w:iCs/>
          <w:sz w:val="20"/>
          <w:szCs w:val="20"/>
          <w:lang w:val="es-CR"/>
        </w:rPr>
        <w:t>Amhrein</w:t>
      </w:r>
      <w:proofErr w:type="spellEnd"/>
      <w:r w:rsidR="00752D91" w:rsidRPr="00752D91">
        <w:rPr>
          <w:rFonts w:ascii="Verdana" w:hAnsi="Verdana"/>
          <w:i/>
          <w:iCs/>
          <w:sz w:val="20"/>
          <w:szCs w:val="20"/>
          <w:lang w:val="es-CR"/>
        </w:rPr>
        <w:t xml:space="preserve"> y otros Vs. Costa Rica</w:t>
      </w:r>
      <w:r w:rsidR="00752D91">
        <w:rPr>
          <w:rFonts w:ascii="Verdana" w:hAnsi="Verdana"/>
          <w:iCs/>
          <w:sz w:val="20"/>
          <w:szCs w:val="20"/>
          <w:lang w:val="es-CR"/>
        </w:rPr>
        <w:t xml:space="preserve"> (</w:t>
      </w:r>
      <w:r w:rsidR="00752D91" w:rsidRPr="0058246C">
        <w:rPr>
          <w:rFonts w:ascii="Verdana" w:hAnsi="Verdana"/>
          <w:i/>
          <w:iCs/>
          <w:color w:val="auto"/>
          <w:sz w:val="20"/>
          <w:szCs w:val="20"/>
          <w:lang w:val="es-CR"/>
        </w:rPr>
        <w:t>supra</w:t>
      </w:r>
      <w:r w:rsidR="0058246C">
        <w:rPr>
          <w:rFonts w:ascii="Verdana" w:hAnsi="Verdana"/>
          <w:iCs/>
          <w:color w:val="auto"/>
          <w:sz w:val="20"/>
          <w:szCs w:val="20"/>
          <w:lang w:val="es-CR"/>
        </w:rPr>
        <w:t>, c</w:t>
      </w:r>
      <w:r w:rsidR="00752D91" w:rsidRPr="0058246C">
        <w:rPr>
          <w:rFonts w:ascii="Verdana" w:hAnsi="Verdana"/>
          <w:iCs/>
          <w:color w:val="auto"/>
          <w:sz w:val="20"/>
          <w:szCs w:val="20"/>
          <w:lang w:val="es-CR"/>
        </w:rPr>
        <w:t xml:space="preserve">onsiderando </w:t>
      </w:r>
      <w:r w:rsidR="00D238F7" w:rsidRPr="0058246C">
        <w:rPr>
          <w:rFonts w:ascii="Verdana" w:hAnsi="Verdana"/>
          <w:iCs/>
          <w:color w:val="auto"/>
          <w:sz w:val="20"/>
          <w:szCs w:val="20"/>
          <w:lang w:val="es-CR"/>
        </w:rPr>
        <w:t>10</w:t>
      </w:r>
      <w:r w:rsidR="00752D91">
        <w:rPr>
          <w:rFonts w:ascii="Verdana" w:hAnsi="Verdana"/>
          <w:iCs/>
          <w:sz w:val="20"/>
          <w:szCs w:val="20"/>
          <w:lang w:val="es-CR"/>
        </w:rPr>
        <w:t xml:space="preserve">). </w:t>
      </w:r>
      <w:r w:rsidR="0092633C">
        <w:rPr>
          <w:rFonts w:ascii="Verdana" w:hAnsi="Verdana"/>
          <w:iCs/>
          <w:sz w:val="20"/>
          <w:szCs w:val="20"/>
          <w:lang w:val="es-CR"/>
        </w:rPr>
        <w:t>No obstante, estos peritajes fueron incorporados como prueba documental, razón por la cual no es aplicable lo previsto en los artículos 50.5 y 52.3 del Reglamento de la Corte</w:t>
      </w:r>
      <w:r w:rsidR="00DC19E6">
        <w:rPr>
          <w:rFonts w:ascii="Verdana" w:hAnsi="Verdana"/>
          <w:iCs/>
          <w:sz w:val="20"/>
          <w:szCs w:val="20"/>
          <w:lang w:val="es-CR"/>
        </w:rPr>
        <w:t>.</w:t>
      </w:r>
      <w:r w:rsidR="00E42A09">
        <w:rPr>
          <w:rFonts w:ascii="Verdana" w:hAnsi="Verdana"/>
          <w:sz w:val="20"/>
          <w:szCs w:val="20"/>
          <w:lang w:val="es-CR"/>
        </w:rPr>
        <w:t xml:space="preserve"> Por esta razón, el Presidente no autoriza la solicitud presentada por la Comisión para realizar preguntas a los peritos Fernando </w:t>
      </w:r>
      <w:r w:rsidR="00DC19E6">
        <w:rPr>
          <w:rFonts w:ascii="Verdana" w:hAnsi="Verdana"/>
          <w:sz w:val="20"/>
          <w:szCs w:val="20"/>
          <w:lang w:val="es-CR"/>
        </w:rPr>
        <w:t>de la Rúa y Oscar Dimas Agüero.</w:t>
      </w:r>
    </w:p>
    <w:p w:rsidR="00ED18E7" w:rsidRPr="00ED18E7" w:rsidRDefault="00ED18E7" w:rsidP="00AB5E2A">
      <w:pPr>
        <w:jc w:val="both"/>
        <w:rPr>
          <w:rFonts w:ascii="Verdana" w:hAnsi="Verdana"/>
        </w:rPr>
      </w:pPr>
    </w:p>
    <w:p w:rsidR="00DF5E58" w:rsidRPr="00DF5E58" w:rsidRDefault="00DF5E58" w:rsidP="00DF5E58">
      <w:pPr>
        <w:pStyle w:val="ListParagraph1"/>
        <w:numPr>
          <w:ilvl w:val="0"/>
          <w:numId w:val="2"/>
        </w:numPr>
        <w:ind w:right="11"/>
        <w:jc w:val="both"/>
        <w:rPr>
          <w:rFonts w:ascii="Verdana" w:hAnsi="Verdana"/>
          <w:b/>
          <w:i/>
          <w:sz w:val="20"/>
          <w:szCs w:val="20"/>
          <w:lang w:val="es-CR"/>
        </w:rPr>
      </w:pPr>
      <w:r w:rsidRPr="00DF5E58">
        <w:rPr>
          <w:rFonts w:ascii="Verdana" w:hAnsi="Verdana"/>
          <w:b/>
          <w:i/>
          <w:sz w:val="20"/>
          <w:szCs w:val="20"/>
          <w:lang w:val="es-CR"/>
        </w:rPr>
        <w:t xml:space="preserve">Admisibilidad </w:t>
      </w:r>
      <w:r w:rsidR="00AB5E2A">
        <w:rPr>
          <w:rFonts w:ascii="Verdana" w:hAnsi="Verdana"/>
          <w:b/>
          <w:i/>
          <w:sz w:val="20"/>
          <w:szCs w:val="20"/>
          <w:lang w:val="es-CR"/>
        </w:rPr>
        <w:t xml:space="preserve">de la declaración testimonial </w:t>
      </w:r>
      <w:r w:rsidRPr="00DF5E58">
        <w:rPr>
          <w:rFonts w:ascii="Verdana" w:hAnsi="Verdana"/>
          <w:b/>
          <w:i/>
          <w:sz w:val="20"/>
          <w:szCs w:val="20"/>
          <w:lang w:val="es-CR"/>
        </w:rPr>
        <w:t>y de los peritajes ofrecidos por los representantes</w:t>
      </w:r>
    </w:p>
    <w:p w:rsidR="00DF5E58" w:rsidRPr="00DF5E58" w:rsidRDefault="00DF5E58" w:rsidP="00DF5E58">
      <w:pPr>
        <w:pStyle w:val="Sangradetextonormal"/>
        <w:tabs>
          <w:tab w:val="left" w:pos="0"/>
        </w:tabs>
        <w:spacing w:after="0"/>
        <w:ind w:left="0"/>
        <w:rPr>
          <w:rFonts w:cs="Verdana"/>
          <w:szCs w:val="20"/>
          <w:lang w:bidi="en-US"/>
        </w:rPr>
      </w:pPr>
    </w:p>
    <w:p w:rsidR="00DF5E58" w:rsidRPr="00DF5E58" w:rsidRDefault="00ED18E7" w:rsidP="00DF5E58">
      <w:pPr>
        <w:pStyle w:val="Sangradetextonormal"/>
        <w:tabs>
          <w:tab w:val="left" w:pos="0"/>
        </w:tabs>
        <w:spacing w:after="0"/>
        <w:ind w:left="0"/>
        <w:rPr>
          <w:rFonts w:cs="Verdana"/>
          <w:i/>
          <w:szCs w:val="20"/>
          <w:lang w:bidi="en-US"/>
        </w:rPr>
      </w:pPr>
      <w:r>
        <w:rPr>
          <w:rFonts w:cs="Verdana"/>
          <w:i/>
          <w:szCs w:val="20"/>
          <w:lang w:bidi="en-US"/>
        </w:rPr>
        <w:t>C</w:t>
      </w:r>
      <w:r w:rsidR="00DF5E58" w:rsidRPr="00DF5E58">
        <w:rPr>
          <w:rFonts w:cs="Verdana"/>
          <w:i/>
          <w:szCs w:val="20"/>
          <w:lang w:bidi="en-US"/>
        </w:rPr>
        <w:t>.1) Objec</w:t>
      </w:r>
      <w:r w:rsidR="00AB5E2A">
        <w:rPr>
          <w:rFonts w:cs="Verdana"/>
          <w:i/>
          <w:szCs w:val="20"/>
          <w:lang w:bidi="en-US"/>
        </w:rPr>
        <w:t>iones del Estado respecto de la</w:t>
      </w:r>
      <w:r w:rsidR="00DF5E58" w:rsidRPr="00DF5E58">
        <w:rPr>
          <w:rFonts w:cs="Verdana"/>
          <w:i/>
          <w:szCs w:val="20"/>
          <w:lang w:bidi="en-US"/>
        </w:rPr>
        <w:t xml:space="preserve"> </w:t>
      </w:r>
      <w:r w:rsidR="00AB5E2A">
        <w:rPr>
          <w:rFonts w:cs="Verdana"/>
          <w:i/>
          <w:szCs w:val="20"/>
          <w:lang w:bidi="en-US"/>
        </w:rPr>
        <w:t>declaración testimonial ofrecida</w:t>
      </w:r>
      <w:r w:rsidR="00DF5E58" w:rsidRPr="00DF5E58">
        <w:rPr>
          <w:rFonts w:cs="Verdana"/>
          <w:i/>
          <w:szCs w:val="20"/>
          <w:lang w:bidi="en-US"/>
        </w:rPr>
        <w:t xml:space="preserve"> por los representantes</w:t>
      </w:r>
    </w:p>
    <w:p w:rsidR="00DF5E58" w:rsidRPr="00DF5E58" w:rsidRDefault="00DF5E58" w:rsidP="00DF5E58">
      <w:pPr>
        <w:pStyle w:val="Sangradetextonormal"/>
        <w:tabs>
          <w:tab w:val="left" w:pos="0"/>
        </w:tabs>
        <w:spacing w:after="0"/>
        <w:ind w:left="0"/>
        <w:rPr>
          <w:rFonts w:cs="Verdana"/>
          <w:b/>
          <w:szCs w:val="20"/>
          <w:lang w:bidi="en-US"/>
        </w:rPr>
      </w:pPr>
    </w:p>
    <w:p w:rsidR="006D44D0" w:rsidRPr="006D44D0" w:rsidRDefault="00DF5E58" w:rsidP="006D44D0">
      <w:pPr>
        <w:pStyle w:val="Sangradetextonormal"/>
        <w:numPr>
          <w:ilvl w:val="0"/>
          <w:numId w:val="1"/>
        </w:numPr>
        <w:tabs>
          <w:tab w:val="left" w:pos="0"/>
          <w:tab w:val="num" w:pos="720"/>
        </w:tabs>
        <w:spacing w:after="0"/>
        <w:ind w:left="0"/>
        <w:rPr>
          <w:rFonts w:cs="Verdana"/>
          <w:b/>
          <w:szCs w:val="20"/>
          <w:lang w:bidi="en-US"/>
        </w:rPr>
      </w:pPr>
      <w:r w:rsidRPr="00DF5E58">
        <w:rPr>
          <w:rFonts w:cs="Verdana"/>
          <w:szCs w:val="20"/>
          <w:lang w:bidi="en-US"/>
        </w:rPr>
        <w:t xml:space="preserve">Los </w:t>
      </w:r>
      <w:r w:rsidRPr="00DF5E58">
        <w:rPr>
          <w:rFonts w:cs="Verdana"/>
          <w:b/>
          <w:i/>
          <w:szCs w:val="20"/>
          <w:lang w:bidi="en-US"/>
        </w:rPr>
        <w:t>representantes</w:t>
      </w:r>
      <w:r w:rsidRPr="00DF5E58">
        <w:rPr>
          <w:rFonts w:cs="Verdana"/>
          <w:szCs w:val="20"/>
          <w:lang w:bidi="en-US"/>
        </w:rPr>
        <w:t>, en su escrito de solicitudes y argumentos, ofrecieron el testimonio de</w:t>
      </w:r>
      <w:r w:rsidR="003004B1">
        <w:rPr>
          <w:rFonts w:cs="Verdana"/>
          <w:szCs w:val="20"/>
          <w:lang w:bidi="en-US"/>
        </w:rPr>
        <w:t xml:space="preserve"> la presunta víctima, el señor Oscar Gorigoitía, quien declararía “a tenor de las preguntas que se le formularán en la audiencia por las partes”</w:t>
      </w:r>
      <w:r w:rsidRPr="00DF5E58">
        <w:rPr>
          <w:rFonts w:cs="Verdana"/>
          <w:szCs w:val="20"/>
          <w:lang w:bidi="en-US"/>
        </w:rPr>
        <w:t>.</w:t>
      </w:r>
      <w:r w:rsidR="003004B1">
        <w:rPr>
          <w:rFonts w:cs="Verdana"/>
          <w:szCs w:val="20"/>
          <w:lang w:bidi="en-US"/>
        </w:rPr>
        <w:t xml:space="preserve"> Al respecto, el </w:t>
      </w:r>
      <w:r w:rsidR="003004B1" w:rsidRPr="003004B1">
        <w:rPr>
          <w:rFonts w:cs="Verdana"/>
          <w:b/>
          <w:i/>
          <w:szCs w:val="20"/>
          <w:lang w:bidi="en-US"/>
        </w:rPr>
        <w:t>Estado</w:t>
      </w:r>
      <w:r w:rsidR="003004B1">
        <w:rPr>
          <w:rFonts w:cs="Verdana"/>
          <w:szCs w:val="20"/>
          <w:lang w:bidi="en-US"/>
        </w:rPr>
        <w:t xml:space="preserve"> </w:t>
      </w:r>
      <w:r w:rsidR="006D44D0">
        <w:rPr>
          <w:rFonts w:cs="Verdana"/>
          <w:szCs w:val="20"/>
          <w:lang w:bidi="en-US"/>
        </w:rPr>
        <w:t>objetó dicha declaración toda vez que “siendo el objeto del caso el proceso penal seguido en su contra y la normativa procesal penal provincial vigente durante el mismo, el testimonio del peticionario nada va a aportar sobre los mismos</w:t>
      </w:r>
      <w:r w:rsidR="007E7318">
        <w:rPr>
          <w:rFonts w:cs="Verdana"/>
          <w:szCs w:val="20"/>
          <w:lang w:bidi="en-US"/>
        </w:rPr>
        <w:t>”</w:t>
      </w:r>
      <w:r w:rsidR="006D44D0">
        <w:rPr>
          <w:rFonts w:cs="Verdana"/>
          <w:szCs w:val="20"/>
          <w:lang w:bidi="en-US"/>
        </w:rPr>
        <w:t xml:space="preserve">. La </w:t>
      </w:r>
      <w:r w:rsidR="006D44D0">
        <w:rPr>
          <w:rFonts w:cs="Verdana"/>
          <w:b/>
          <w:i/>
          <w:szCs w:val="20"/>
          <w:lang w:bidi="en-US"/>
        </w:rPr>
        <w:t xml:space="preserve">Comisión </w:t>
      </w:r>
      <w:r w:rsidR="006D44D0">
        <w:rPr>
          <w:rFonts w:cs="Verdana"/>
          <w:szCs w:val="20"/>
          <w:lang w:bidi="en-US"/>
        </w:rPr>
        <w:t>no formuló observaciones al respecto.</w:t>
      </w:r>
    </w:p>
    <w:p w:rsidR="006D44D0" w:rsidRPr="006D44D0" w:rsidRDefault="006D44D0" w:rsidP="006D44D0">
      <w:pPr>
        <w:pStyle w:val="Sangradetextonormal"/>
        <w:tabs>
          <w:tab w:val="left" w:pos="0"/>
        </w:tabs>
        <w:spacing w:after="0"/>
        <w:ind w:left="0"/>
        <w:rPr>
          <w:rFonts w:cs="Verdana"/>
          <w:b/>
          <w:szCs w:val="20"/>
          <w:lang w:bidi="en-US"/>
        </w:rPr>
      </w:pPr>
    </w:p>
    <w:p w:rsidR="006D44D0" w:rsidRPr="006D44D0" w:rsidRDefault="006D44D0" w:rsidP="006D44D0">
      <w:pPr>
        <w:pStyle w:val="Sangradetextonormal"/>
        <w:numPr>
          <w:ilvl w:val="0"/>
          <w:numId w:val="1"/>
        </w:numPr>
        <w:tabs>
          <w:tab w:val="left" w:pos="0"/>
          <w:tab w:val="num" w:pos="720"/>
        </w:tabs>
        <w:spacing w:after="0"/>
        <w:ind w:left="0"/>
        <w:rPr>
          <w:rFonts w:cs="Verdana"/>
          <w:b/>
          <w:szCs w:val="20"/>
          <w:lang w:bidi="en-US"/>
        </w:rPr>
      </w:pPr>
      <w:r>
        <w:rPr>
          <w:bCs/>
          <w:iCs/>
          <w:szCs w:val="20"/>
          <w:lang w:val="es-CR"/>
        </w:rPr>
        <w:t>E</w:t>
      </w:r>
      <w:r w:rsidRPr="006D44D0">
        <w:t>l Presidente</w:t>
      </w:r>
      <w:r w:rsidRPr="006D44D0">
        <w:rPr>
          <w:szCs w:val="20"/>
          <w:lang w:val="es-CR"/>
        </w:rPr>
        <w:t xml:space="preserve"> estima oportuno recordar que la Corte ha destacado la utilidad de las declaraciones de las presuntas víctimas </w:t>
      </w:r>
      <w:r w:rsidRPr="006D44D0">
        <w:rPr>
          <w:szCs w:val="20"/>
          <w:lang w:val="es-MX"/>
        </w:rPr>
        <w:t xml:space="preserve">y otras personas con un interés directo en el caso </w:t>
      </w:r>
      <w:r w:rsidRPr="006D44D0">
        <w:rPr>
          <w:szCs w:val="20"/>
          <w:lang w:val="es-CR"/>
        </w:rPr>
        <w:t>en la medida en que pueden proporcionar mayor información sobre las violaciones alegadas y sus consecuencias</w:t>
      </w:r>
      <w:r w:rsidRPr="006D44D0">
        <w:rPr>
          <w:szCs w:val="20"/>
          <w:vertAlign w:val="superscript"/>
          <w:lang w:val="es-CR"/>
        </w:rPr>
        <w:footnoteReference w:id="3"/>
      </w:r>
      <w:r w:rsidRPr="006D44D0">
        <w:rPr>
          <w:szCs w:val="20"/>
          <w:lang w:val="es-CR"/>
        </w:rPr>
        <w:t>. Además, el Tribunal ha resaltado que las presuntas víctimas pueden ilustrar a la Corte respecto de las medidas de reparación que eventualmente podría adoptar</w:t>
      </w:r>
      <w:r w:rsidRPr="006D44D0">
        <w:rPr>
          <w:szCs w:val="20"/>
          <w:vertAlign w:val="superscript"/>
          <w:lang w:val="es-CR"/>
        </w:rPr>
        <w:footnoteReference w:id="4"/>
      </w:r>
      <w:r w:rsidRPr="006D44D0">
        <w:rPr>
          <w:szCs w:val="20"/>
          <w:lang w:val="es-CR"/>
        </w:rPr>
        <w:t xml:space="preserve">. Por tanto, el Presidente estima pertinente admitir la declaración </w:t>
      </w:r>
      <w:r>
        <w:rPr>
          <w:szCs w:val="20"/>
          <w:lang w:val="es-CR"/>
        </w:rPr>
        <w:t>del señor Oscar Gorigoitía.</w:t>
      </w:r>
    </w:p>
    <w:p w:rsidR="006D44D0" w:rsidRPr="006D44D0" w:rsidRDefault="006D44D0" w:rsidP="006D44D0">
      <w:pPr>
        <w:tabs>
          <w:tab w:val="left" w:pos="0"/>
        </w:tabs>
        <w:jc w:val="both"/>
        <w:rPr>
          <w:rFonts w:ascii="Verdana" w:hAnsi="Verdana"/>
        </w:rPr>
      </w:pPr>
    </w:p>
    <w:p w:rsidR="00DF5E58" w:rsidRPr="00DF5E58" w:rsidRDefault="00B77C47" w:rsidP="006D44D0">
      <w:pPr>
        <w:numPr>
          <w:ilvl w:val="0"/>
          <w:numId w:val="1"/>
        </w:numPr>
        <w:tabs>
          <w:tab w:val="num" w:pos="720"/>
        </w:tabs>
        <w:autoSpaceDE w:val="0"/>
        <w:autoSpaceDN w:val="0"/>
        <w:adjustRightInd w:val="0"/>
        <w:jc w:val="both"/>
        <w:rPr>
          <w:rFonts w:ascii="Verdana" w:hAnsi="Verdana"/>
          <w:bCs/>
          <w:iCs/>
        </w:rPr>
      </w:pPr>
      <w:r>
        <w:rPr>
          <w:rFonts w:ascii="Verdana" w:hAnsi="Verdana"/>
        </w:rPr>
        <w:t>El objeto y la modalidad de la declaración</w:t>
      </w:r>
      <w:r w:rsidR="00DF5E58" w:rsidRPr="00DF5E58">
        <w:rPr>
          <w:rFonts w:ascii="Verdana" w:hAnsi="Verdana"/>
        </w:rPr>
        <w:t xml:space="preserve"> se determina en la parte resolutiva de la presente Resolución (</w:t>
      </w:r>
      <w:r w:rsidR="00DF5E58" w:rsidRPr="0058246C">
        <w:rPr>
          <w:rFonts w:ascii="Verdana" w:hAnsi="Verdana"/>
          <w:i/>
          <w:iCs/>
        </w:rPr>
        <w:t>infra</w:t>
      </w:r>
      <w:r w:rsidR="00DF5E58" w:rsidRPr="0058246C">
        <w:rPr>
          <w:rFonts w:ascii="Verdana" w:hAnsi="Verdana"/>
        </w:rPr>
        <w:t xml:space="preserve"> </w:t>
      </w:r>
      <w:r>
        <w:rPr>
          <w:rFonts w:ascii="Verdana" w:hAnsi="Verdana"/>
        </w:rPr>
        <w:t>punto resolutivo 1</w:t>
      </w:r>
      <w:r w:rsidR="00DF5E58" w:rsidRPr="00DF5E58">
        <w:rPr>
          <w:rFonts w:ascii="Verdana" w:hAnsi="Verdana"/>
        </w:rPr>
        <w:t>).</w:t>
      </w:r>
    </w:p>
    <w:p w:rsidR="00DF5E58" w:rsidRPr="00DF5E58" w:rsidRDefault="00DF5E58" w:rsidP="00DF5E58">
      <w:pPr>
        <w:pStyle w:val="Sangradetextonormal"/>
        <w:tabs>
          <w:tab w:val="left" w:pos="0"/>
          <w:tab w:val="left" w:pos="810"/>
        </w:tabs>
        <w:spacing w:after="0"/>
        <w:ind w:left="0"/>
        <w:rPr>
          <w:rFonts w:cs="Verdana"/>
          <w:szCs w:val="20"/>
          <w:lang w:val="es-CR" w:bidi="en-US"/>
        </w:rPr>
      </w:pPr>
    </w:p>
    <w:p w:rsidR="00DF5E58" w:rsidRPr="00DF5E58" w:rsidRDefault="00ED18E7" w:rsidP="00DF5E58">
      <w:pPr>
        <w:pStyle w:val="Sangradetextonormal"/>
        <w:tabs>
          <w:tab w:val="left" w:pos="0"/>
          <w:tab w:val="left" w:pos="810"/>
        </w:tabs>
        <w:spacing w:after="0"/>
        <w:ind w:left="0"/>
        <w:rPr>
          <w:rFonts w:cs="Verdana"/>
          <w:szCs w:val="20"/>
          <w:lang w:val="es-CR" w:bidi="en-US"/>
        </w:rPr>
      </w:pPr>
      <w:r>
        <w:rPr>
          <w:rFonts w:cs="Verdana"/>
          <w:i/>
          <w:szCs w:val="20"/>
          <w:lang w:val="es-CR" w:bidi="en-US"/>
        </w:rPr>
        <w:lastRenderedPageBreak/>
        <w:t>C</w:t>
      </w:r>
      <w:r w:rsidR="00DF5E58" w:rsidRPr="00DF5E58">
        <w:rPr>
          <w:rFonts w:cs="Verdana"/>
          <w:i/>
          <w:szCs w:val="20"/>
          <w:lang w:bidi="en-US"/>
        </w:rPr>
        <w:t xml:space="preserve">.2) Objeciones del Estado respecto de los dictámenes periciales </w:t>
      </w:r>
      <w:r w:rsidR="006D44D0">
        <w:rPr>
          <w:rFonts w:cs="Verdana"/>
          <w:i/>
          <w:szCs w:val="20"/>
          <w:lang w:bidi="en-US"/>
        </w:rPr>
        <w:t>ofrecido</w:t>
      </w:r>
      <w:r w:rsidR="00DF5E58" w:rsidRPr="00DF5E58">
        <w:rPr>
          <w:rFonts w:cs="Verdana"/>
          <w:i/>
          <w:szCs w:val="20"/>
          <w:lang w:bidi="en-US"/>
        </w:rPr>
        <w:t>s por los representantes</w:t>
      </w:r>
    </w:p>
    <w:p w:rsidR="00DF5E58" w:rsidRPr="00DF5E58" w:rsidRDefault="00DF5E58" w:rsidP="00DF5E58">
      <w:pPr>
        <w:pStyle w:val="Sangradetextonormal"/>
        <w:tabs>
          <w:tab w:val="left" w:pos="0"/>
          <w:tab w:val="left" w:pos="810"/>
        </w:tabs>
        <w:spacing w:after="0"/>
        <w:ind w:left="0"/>
        <w:rPr>
          <w:rFonts w:cs="Verdana"/>
          <w:szCs w:val="20"/>
          <w:lang w:val="es-CR" w:bidi="en-US"/>
        </w:rPr>
      </w:pPr>
    </w:p>
    <w:p w:rsidR="00DF5E58" w:rsidRPr="00DF5E58" w:rsidRDefault="00DF5E58" w:rsidP="00DF5E58">
      <w:pPr>
        <w:pStyle w:val="Sangradetextonormal"/>
        <w:numPr>
          <w:ilvl w:val="0"/>
          <w:numId w:val="1"/>
        </w:numPr>
        <w:tabs>
          <w:tab w:val="left" w:pos="0"/>
          <w:tab w:val="left" w:pos="810"/>
        </w:tabs>
        <w:autoSpaceDE w:val="0"/>
        <w:autoSpaceDN w:val="0"/>
        <w:adjustRightInd w:val="0"/>
        <w:spacing w:after="0"/>
        <w:ind w:left="0"/>
        <w:rPr>
          <w:bCs/>
          <w:iCs/>
          <w:szCs w:val="20"/>
          <w:lang w:val="es-CR"/>
        </w:rPr>
      </w:pPr>
      <w:r w:rsidRPr="00DF5E58">
        <w:rPr>
          <w:rFonts w:cs="Verdana"/>
          <w:szCs w:val="20"/>
          <w:lang w:val="es-CR" w:bidi="en-US"/>
        </w:rPr>
        <w:t xml:space="preserve">Los </w:t>
      </w:r>
      <w:r w:rsidRPr="00DF5E58">
        <w:rPr>
          <w:rFonts w:cs="Verdana"/>
          <w:b/>
          <w:i/>
          <w:szCs w:val="20"/>
          <w:lang w:val="es-CR" w:bidi="en-US"/>
        </w:rPr>
        <w:t>representantes</w:t>
      </w:r>
      <w:r w:rsidRPr="00DF5E58">
        <w:rPr>
          <w:rFonts w:cs="Verdana"/>
          <w:szCs w:val="20"/>
          <w:lang w:val="es-CR" w:bidi="en-US"/>
        </w:rPr>
        <w:t>, en su escrito de solicitudes y argumentos,</w:t>
      </w:r>
      <w:r w:rsidR="0042556A">
        <w:rPr>
          <w:rFonts w:cs="Verdana"/>
          <w:szCs w:val="20"/>
          <w:lang w:val="es-CR" w:bidi="en-US"/>
        </w:rPr>
        <w:t xml:space="preserve"> manifestaron que resulta fundamental que la Corte cuente con una visión integral del proceso de casaci</w:t>
      </w:r>
      <w:r w:rsidR="00B05373">
        <w:rPr>
          <w:rFonts w:cs="Verdana"/>
          <w:szCs w:val="20"/>
          <w:lang w:val="es-CR" w:bidi="en-US"/>
        </w:rPr>
        <w:t>ón en la Provincia de Mendoza, en las diferentes provincias y en la nación. Por esta razón</w:t>
      </w:r>
      <w:r w:rsidRPr="00DF5E58">
        <w:rPr>
          <w:rFonts w:cs="Verdana"/>
          <w:szCs w:val="20"/>
          <w:lang w:val="es-CR" w:bidi="en-US"/>
        </w:rPr>
        <w:t xml:space="preserve"> ofrecieron las declaraciones periciales</w:t>
      </w:r>
      <w:r w:rsidR="00A96B05">
        <w:rPr>
          <w:rFonts w:cs="Verdana"/>
          <w:szCs w:val="20"/>
          <w:lang w:val="es-CR" w:bidi="en-US"/>
        </w:rPr>
        <w:t xml:space="preserve"> en audiencia pública</w:t>
      </w:r>
      <w:r w:rsidRPr="00DF5E58">
        <w:rPr>
          <w:rFonts w:cs="Verdana"/>
          <w:szCs w:val="20"/>
          <w:lang w:val="es-CR" w:bidi="en-US"/>
        </w:rPr>
        <w:t xml:space="preserve"> de</w:t>
      </w:r>
      <w:r w:rsidR="0042556A">
        <w:rPr>
          <w:rFonts w:cs="Verdana"/>
          <w:szCs w:val="20"/>
          <w:lang w:val="es-CR" w:bidi="en-US"/>
        </w:rPr>
        <w:t xml:space="preserve"> los señores Fernando de la </w:t>
      </w:r>
      <w:proofErr w:type="spellStart"/>
      <w:r w:rsidR="0042556A">
        <w:rPr>
          <w:rFonts w:cs="Verdana"/>
          <w:szCs w:val="20"/>
          <w:lang w:val="es-CR" w:bidi="en-US"/>
        </w:rPr>
        <w:t>Rua</w:t>
      </w:r>
      <w:proofErr w:type="spellEnd"/>
      <w:r w:rsidR="00B05373">
        <w:rPr>
          <w:rStyle w:val="Refdenotaalpie"/>
          <w:rFonts w:cs="Verdana"/>
          <w:szCs w:val="20"/>
          <w:lang w:val="es-CR" w:bidi="en-US"/>
        </w:rPr>
        <w:footnoteReference w:id="5"/>
      </w:r>
      <w:r w:rsidR="0042556A">
        <w:rPr>
          <w:rFonts w:cs="Verdana"/>
          <w:szCs w:val="20"/>
          <w:lang w:val="es-CR" w:bidi="en-US"/>
        </w:rPr>
        <w:t>, Oscar Dimas Agüero</w:t>
      </w:r>
      <w:r w:rsidR="00B05373">
        <w:rPr>
          <w:rStyle w:val="Refdenotaalpie"/>
          <w:rFonts w:cs="Verdana"/>
          <w:szCs w:val="20"/>
          <w:lang w:val="es-CR" w:bidi="en-US"/>
        </w:rPr>
        <w:footnoteReference w:id="6"/>
      </w:r>
      <w:r w:rsidR="0042556A">
        <w:rPr>
          <w:rFonts w:cs="Verdana"/>
          <w:szCs w:val="20"/>
          <w:lang w:val="es-CR" w:bidi="en-US"/>
        </w:rPr>
        <w:t xml:space="preserve"> y </w:t>
      </w:r>
      <w:r w:rsidR="007E7318">
        <w:rPr>
          <w:rFonts w:cs="Verdana"/>
          <w:szCs w:val="20"/>
          <w:lang w:val="es-CR" w:bidi="en-US"/>
        </w:rPr>
        <w:t>Mario</w:t>
      </w:r>
      <w:r w:rsidR="0042556A">
        <w:rPr>
          <w:rFonts w:cs="Verdana"/>
          <w:szCs w:val="20"/>
          <w:lang w:val="es-CR" w:bidi="en-US"/>
        </w:rPr>
        <w:t xml:space="preserve"> Juliano</w:t>
      </w:r>
      <w:r w:rsidR="00B05373">
        <w:rPr>
          <w:rStyle w:val="Refdenotaalpie"/>
          <w:rFonts w:cs="Verdana"/>
          <w:szCs w:val="20"/>
          <w:lang w:val="es-CR" w:bidi="en-US"/>
        </w:rPr>
        <w:footnoteReference w:id="7"/>
      </w:r>
      <w:r w:rsidRPr="00DF5E58">
        <w:rPr>
          <w:bCs/>
          <w:iCs/>
          <w:szCs w:val="20"/>
          <w:lang w:val="es-CR"/>
        </w:rPr>
        <w:t>.</w:t>
      </w:r>
      <w:r w:rsidR="0042556A">
        <w:rPr>
          <w:bCs/>
          <w:iCs/>
          <w:szCs w:val="20"/>
          <w:lang w:val="es-CR"/>
        </w:rPr>
        <w:t xml:space="preserve"> </w:t>
      </w:r>
      <w:r w:rsidR="00DC19E6" w:rsidRPr="00A96B05">
        <w:rPr>
          <w:bCs/>
          <w:iCs/>
          <w:szCs w:val="20"/>
          <w:lang w:val="es-CR"/>
        </w:rPr>
        <w:t>Posteriormente, en su lista definitiva de declarantes, los representantes</w:t>
      </w:r>
      <w:r w:rsidR="00DC19E6">
        <w:rPr>
          <w:bCs/>
          <w:iCs/>
          <w:szCs w:val="20"/>
          <w:lang w:val="es-CR"/>
        </w:rPr>
        <w:t xml:space="preserve"> </w:t>
      </w:r>
      <w:r w:rsidR="00A96B05">
        <w:rPr>
          <w:bCs/>
          <w:iCs/>
          <w:szCs w:val="20"/>
          <w:lang w:val="es-CR"/>
        </w:rPr>
        <w:t xml:space="preserve">manifestaron que el perito Fernando de la </w:t>
      </w:r>
      <w:proofErr w:type="spellStart"/>
      <w:r w:rsidR="00A96B05">
        <w:rPr>
          <w:bCs/>
          <w:iCs/>
          <w:szCs w:val="20"/>
          <w:lang w:val="es-CR"/>
        </w:rPr>
        <w:t>Rua</w:t>
      </w:r>
      <w:proofErr w:type="spellEnd"/>
      <w:r w:rsidR="00A96B05">
        <w:rPr>
          <w:bCs/>
          <w:iCs/>
          <w:szCs w:val="20"/>
          <w:lang w:val="es-CR"/>
        </w:rPr>
        <w:t xml:space="preserve"> haría llegar su </w:t>
      </w:r>
      <w:r w:rsidR="00D33A5C">
        <w:rPr>
          <w:bCs/>
          <w:iCs/>
          <w:szCs w:val="20"/>
          <w:lang w:val="es-CR"/>
        </w:rPr>
        <w:t>peritaje con la debida antelaci</w:t>
      </w:r>
      <w:r w:rsidR="0044088A">
        <w:rPr>
          <w:bCs/>
          <w:iCs/>
          <w:szCs w:val="20"/>
          <w:lang w:val="es-CR"/>
        </w:rPr>
        <w:t>ón y mediante affidavit.</w:t>
      </w:r>
    </w:p>
    <w:p w:rsidR="00DF5E58" w:rsidRPr="00DF5E58" w:rsidRDefault="00DF5E58" w:rsidP="00DF5E58">
      <w:pPr>
        <w:autoSpaceDE w:val="0"/>
        <w:autoSpaceDN w:val="0"/>
        <w:adjustRightInd w:val="0"/>
        <w:rPr>
          <w:rFonts w:ascii="Verdana" w:hAnsi="Verdana"/>
          <w:bCs/>
          <w:iCs/>
        </w:rPr>
      </w:pPr>
    </w:p>
    <w:p w:rsidR="00DF5E58" w:rsidRPr="00B05373" w:rsidRDefault="00DF5E58" w:rsidP="00DF5E58">
      <w:pPr>
        <w:numPr>
          <w:ilvl w:val="0"/>
          <w:numId w:val="1"/>
        </w:numPr>
        <w:tabs>
          <w:tab w:val="left" w:pos="0"/>
          <w:tab w:val="num" w:pos="720"/>
          <w:tab w:val="left" w:pos="810"/>
        </w:tabs>
        <w:autoSpaceDE w:val="0"/>
        <w:autoSpaceDN w:val="0"/>
        <w:adjustRightInd w:val="0"/>
        <w:jc w:val="both"/>
        <w:rPr>
          <w:rFonts w:ascii="Verdana" w:hAnsi="Verdana"/>
          <w:lang w:val="es-AR"/>
        </w:rPr>
      </w:pPr>
      <w:r w:rsidRPr="00DF5E58">
        <w:rPr>
          <w:rFonts w:ascii="Verdana" w:hAnsi="Verdana"/>
          <w:lang w:val="es-AR"/>
        </w:rPr>
        <w:t xml:space="preserve">El </w:t>
      </w:r>
      <w:r w:rsidRPr="00DF5E58">
        <w:rPr>
          <w:rFonts w:ascii="Verdana" w:hAnsi="Verdana"/>
          <w:b/>
          <w:i/>
          <w:lang w:val="es-AR"/>
        </w:rPr>
        <w:t>Estado</w:t>
      </w:r>
      <w:r w:rsidRPr="00DF5E58">
        <w:rPr>
          <w:rFonts w:ascii="Verdana" w:hAnsi="Verdana"/>
          <w:lang w:val="es-AR"/>
        </w:rPr>
        <w:t xml:space="preserve"> </w:t>
      </w:r>
      <w:r w:rsidR="00B05373">
        <w:rPr>
          <w:rFonts w:ascii="Verdana" w:hAnsi="Verdana"/>
          <w:lang w:val="es-AR"/>
        </w:rPr>
        <w:t xml:space="preserve">objetó </w:t>
      </w:r>
      <w:r w:rsidR="00AC2088">
        <w:rPr>
          <w:rFonts w:ascii="Verdana" w:hAnsi="Verdana"/>
          <w:lang w:val="es-AR"/>
        </w:rPr>
        <w:t>en su totalidad la prueba pericial ofrecida por los representantes, al considerar que pretende</w:t>
      </w:r>
      <w:r w:rsidR="007E7318">
        <w:rPr>
          <w:rFonts w:ascii="Verdana" w:hAnsi="Verdana"/>
          <w:lang w:val="es-AR"/>
        </w:rPr>
        <w:t>n</w:t>
      </w:r>
      <w:r w:rsidR="00AC2088">
        <w:rPr>
          <w:rFonts w:ascii="Verdana" w:hAnsi="Verdana"/>
          <w:lang w:val="es-AR"/>
        </w:rPr>
        <w:t xml:space="preserve"> introducir cuestiones que escapan al objeto procesal del caso. Alegó que lo que se debate es si el proceso penal seguido al señor Gorigoitía respetó la garantía de la doble instancia prevista en el artículo 8.2.h), sumado al respeto al derecho a la protección judicial y si el ordenamiento jurídico provincial vigente en la época permitió el acceso a este tipo de recurso. En opinión del Estado, la controversia no guarda ninguna relación con la legislación vigente en las diferentes provincias del país.</w:t>
      </w:r>
      <w:r w:rsidR="00C74C34">
        <w:rPr>
          <w:rFonts w:ascii="Verdana" w:hAnsi="Verdana"/>
          <w:lang w:val="es-AR"/>
        </w:rPr>
        <w:t xml:space="preserve"> Adicionalmente, el Estado alegó que las respuestas que parecieran exigibles al perito son justamente aquellas que deben dar los jueces, por lo que los representantes parecen buscar suplir o replicar su argumentación vertida en el escrito de solicitudes y argumentos.</w:t>
      </w:r>
    </w:p>
    <w:p w:rsidR="00DF5E58" w:rsidRPr="00B05373" w:rsidRDefault="00DF5E58" w:rsidP="00DF5E58">
      <w:pPr>
        <w:tabs>
          <w:tab w:val="left" w:pos="0"/>
          <w:tab w:val="left" w:pos="810"/>
        </w:tabs>
        <w:autoSpaceDE w:val="0"/>
        <w:autoSpaceDN w:val="0"/>
        <w:adjustRightInd w:val="0"/>
        <w:rPr>
          <w:rFonts w:ascii="Verdana" w:hAnsi="Verdana"/>
          <w:lang w:val="es-AR"/>
        </w:rPr>
      </w:pPr>
    </w:p>
    <w:p w:rsidR="00DF5E58" w:rsidRPr="00DF5E58" w:rsidRDefault="00DF5E58" w:rsidP="00DF5E58">
      <w:pPr>
        <w:pStyle w:val="Sangradetextonormal"/>
        <w:numPr>
          <w:ilvl w:val="0"/>
          <w:numId w:val="1"/>
        </w:numPr>
        <w:tabs>
          <w:tab w:val="left" w:pos="0"/>
          <w:tab w:val="num" w:pos="720"/>
        </w:tabs>
        <w:spacing w:after="0"/>
        <w:ind w:left="0"/>
        <w:rPr>
          <w:rFonts w:cs="Verdana"/>
          <w:b/>
          <w:szCs w:val="20"/>
          <w:lang w:bidi="en-US"/>
        </w:rPr>
      </w:pPr>
      <w:r w:rsidRPr="00DF5E58">
        <w:rPr>
          <w:rFonts w:cs="Verdana"/>
          <w:szCs w:val="20"/>
          <w:lang w:bidi="en-US"/>
        </w:rPr>
        <w:t xml:space="preserve">La </w:t>
      </w:r>
      <w:r w:rsidRPr="00DF5E58">
        <w:rPr>
          <w:rFonts w:cs="Verdana"/>
          <w:b/>
          <w:i/>
          <w:szCs w:val="20"/>
          <w:lang w:bidi="en-US"/>
        </w:rPr>
        <w:t xml:space="preserve">Comisión </w:t>
      </w:r>
      <w:r w:rsidRPr="00DF5E58">
        <w:rPr>
          <w:rFonts w:cs="Verdana"/>
          <w:szCs w:val="20"/>
          <w:lang w:bidi="en-US"/>
        </w:rPr>
        <w:t xml:space="preserve">informó que no tiene observaciones a formular respecto a </w:t>
      </w:r>
      <w:r w:rsidR="007E7318">
        <w:rPr>
          <w:rFonts w:cs="Verdana"/>
          <w:szCs w:val="20"/>
          <w:lang w:bidi="en-US"/>
        </w:rPr>
        <w:t>la lista definitiva presentada</w:t>
      </w:r>
      <w:r w:rsidRPr="00DF5E58">
        <w:rPr>
          <w:rFonts w:cs="Verdana"/>
          <w:szCs w:val="20"/>
          <w:lang w:bidi="en-US"/>
        </w:rPr>
        <w:t xml:space="preserve"> por </w:t>
      </w:r>
      <w:r w:rsidR="007E7318">
        <w:rPr>
          <w:rFonts w:cs="Verdana"/>
          <w:szCs w:val="20"/>
          <w:lang w:bidi="en-US"/>
        </w:rPr>
        <w:t>los representantes</w:t>
      </w:r>
      <w:r w:rsidRPr="00DF5E58">
        <w:rPr>
          <w:rFonts w:cs="Verdana"/>
          <w:szCs w:val="20"/>
          <w:lang w:bidi="en-US"/>
        </w:rPr>
        <w:t>.</w:t>
      </w:r>
    </w:p>
    <w:p w:rsidR="00DF5E58" w:rsidRPr="00DF5E58" w:rsidRDefault="00DF5E58" w:rsidP="00DF5E58">
      <w:pPr>
        <w:pStyle w:val="Prrafodelista"/>
        <w:tabs>
          <w:tab w:val="left" w:pos="0"/>
          <w:tab w:val="left" w:pos="709"/>
        </w:tabs>
        <w:autoSpaceDE w:val="0"/>
        <w:autoSpaceDN w:val="0"/>
        <w:adjustRightInd w:val="0"/>
        <w:ind w:left="0"/>
        <w:rPr>
          <w:rFonts w:ascii="Verdana" w:eastAsia="Times New Roman" w:hAnsi="Verdana" w:cs="Verdana"/>
          <w:sz w:val="20"/>
          <w:szCs w:val="20"/>
          <w:lang w:val="es-AR" w:eastAsia="en-US"/>
        </w:rPr>
      </w:pPr>
    </w:p>
    <w:p w:rsidR="00DF5E58" w:rsidRPr="00DF5E58" w:rsidRDefault="009970DB" w:rsidP="00DF5E58">
      <w:pPr>
        <w:numPr>
          <w:ilvl w:val="0"/>
          <w:numId w:val="1"/>
        </w:numPr>
        <w:tabs>
          <w:tab w:val="num" w:pos="720"/>
        </w:tabs>
        <w:autoSpaceDE w:val="0"/>
        <w:autoSpaceDN w:val="0"/>
        <w:adjustRightInd w:val="0"/>
        <w:jc w:val="both"/>
        <w:rPr>
          <w:rFonts w:ascii="Verdana" w:hAnsi="Verdana"/>
          <w:bCs/>
          <w:iCs/>
        </w:rPr>
      </w:pPr>
      <w:r>
        <w:rPr>
          <w:rFonts w:ascii="Verdana" w:hAnsi="Verdana"/>
          <w:bCs/>
          <w:iCs/>
        </w:rPr>
        <w:t>E</w:t>
      </w:r>
      <w:r w:rsidR="00DF5E58" w:rsidRPr="00DF5E58">
        <w:rPr>
          <w:rFonts w:ascii="Verdana" w:hAnsi="Verdana"/>
          <w:bCs/>
          <w:iCs/>
        </w:rPr>
        <w:t>n lo que respecta a la admisibilidad de las declaraciones periciales, el Presidente advierte que el objeto de los peritajes de</w:t>
      </w:r>
      <w:r w:rsidR="00EA17D8">
        <w:rPr>
          <w:rFonts w:ascii="Verdana" w:hAnsi="Verdana"/>
          <w:bCs/>
          <w:iCs/>
        </w:rPr>
        <w:t xml:space="preserve"> </w:t>
      </w:r>
      <w:r w:rsidR="00DF5E58" w:rsidRPr="00DF5E58">
        <w:rPr>
          <w:rFonts w:ascii="Verdana" w:hAnsi="Verdana"/>
          <w:bCs/>
          <w:iCs/>
        </w:rPr>
        <w:t>l</w:t>
      </w:r>
      <w:r w:rsidR="00EA17D8">
        <w:rPr>
          <w:rFonts w:ascii="Verdana" w:hAnsi="Verdana"/>
          <w:bCs/>
          <w:iCs/>
        </w:rPr>
        <w:t>os</w:t>
      </w:r>
      <w:r w:rsidR="00DF5E58" w:rsidRPr="00DF5E58">
        <w:rPr>
          <w:rFonts w:ascii="Verdana" w:hAnsi="Verdana"/>
          <w:bCs/>
          <w:iCs/>
        </w:rPr>
        <w:t xml:space="preserve"> señor</w:t>
      </w:r>
      <w:r w:rsidR="00EA17D8">
        <w:rPr>
          <w:rFonts w:ascii="Verdana" w:hAnsi="Verdana"/>
          <w:bCs/>
          <w:iCs/>
        </w:rPr>
        <w:t>es</w:t>
      </w:r>
      <w:r w:rsidR="00DF5E58" w:rsidRPr="00DF5E58">
        <w:rPr>
          <w:rFonts w:ascii="Verdana" w:hAnsi="Verdana"/>
          <w:bCs/>
          <w:iCs/>
        </w:rPr>
        <w:t xml:space="preserve"> </w:t>
      </w:r>
      <w:r w:rsidR="00EA17D8">
        <w:rPr>
          <w:rFonts w:ascii="Verdana" w:hAnsi="Verdana" w:cs="Verdana"/>
          <w:lang w:bidi="en-US"/>
        </w:rPr>
        <w:t xml:space="preserve">de la </w:t>
      </w:r>
      <w:proofErr w:type="spellStart"/>
      <w:r w:rsidR="00EA17D8">
        <w:rPr>
          <w:rFonts w:ascii="Verdana" w:hAnsi="Verdana" w:cs="Verdana"/>
          <w:lang w:bidi="en-US"/>
        </w:rPr>
        <w:t>Rua</w:t>
      </w:r>
      <w:proofErr w:type="spellEnd"/>
      <w:r w:rsidR="00EA17D8">
        <w:rPr>
          <w:rFonts w:ascii="Verdana" w:hAnsi="Verdana" w:cs="Verdana"/>
          <w:lang w:bidi="en-US"/>
        </w:rPr>
        <w:t>, Dimas Agüero y Juliano</w:t>
      </w:r>
      <w:r w:rsidR="00DF5E58" w:rsidRPr="00DF5E58">
        <w:rPr>
          <w:rFonts w:ascii="Verdana" w:hAnsi="Verdana"/>
          <w:bCs/>
          <w:iCs/>
        </w:rPr>
        <w:t xml:space="preserve"> se relaciona con aspectos relevantes para la resolución del presente caso</w:t>
      </w:r>
      <w:r>
        <w:rPr>
          <w:rFonts w:ascii="Verdana" w:hAnsi="Verdana"/>
          <w:bCs/>
          <w:iCs/>
        </w:rPr>
        <w:t>. Los peritajes propuestos por los representantes</w:t>
      </w:r>
      <w:r w:rsidR="00DF5E58" w:rsidRPr="00DF5E58">
        <w:rPr>
          <w:rFonts w:ascii="Verdana" w:hAnsi="Verdana"/>
          <w:bCs/>
          <w:iCs/>
        </w:rPr>
        <w:t xml:space="preserve"> versa</w:t>
      </w:r>
      <w:r>
        <w:rPr>
          <w:rFonts w:ascii="Verdana" w:hAnsi="Verdana"/>
          <w:bCs/>
          <w:iCs/>
        </w:rPr>
        <w:t>n</w:t>
      </w:r>
      <w:r w:rsidR="00DF5E58" w:rsidRPr="00DF5E58">
        <w:rPr>
          <w:rFonts w:ascii="Verdana" w:hAnsi="Verdana"/>
          <w:bCs/>
          <w:iCs/>
        </w:rPr>
        <w:t xml:space="preserve"> sobre </w:t>
      </w:r>
      <w:r w:rsidR="00EA17D8">
        <w:rPr>
          <w:rFonts w:ascii="Verdana" w:hAnsi="Verdana"/>
          <w:bCs/>
          <w:iCs/>
        </w:rPr>
        <w:t>la práctica y normativa en materia de casación en Argentina,</w:t>
      </w:r>
      <w:r>
        <w:rPr>
          <w:rFonts w:ascii="Verdana" w:hAnsi="Verdana"/>
          <w:bCs/>
          <w:iCs/>
        </w:rPr>
        <w:t xml:space="preserve"> y en particular en la legislación procesal penal de la provincia de Mendoza. Esta información </w:t>
      </w:r>
      <w:r w:rsidR="00EA17D8">
        <w:rPr>
          <w:rFonts w:ascii="Verdana" w:hAnsi="Verdana"/>
          <w:bCs/>
          <w:iCs/>
        </w:rPr>
        <w:t xml:space="preserve">es </w:t>
      </w:r>
      <w:r>
        <w:rPr>
          <w:rFonts w:ascii="Verdana" w:hAnsi="Verdana"/>
          <w:bCs/>
          <w:iCs/>
        </w:rPr>
        <w:t>relevante</w:t>
      </w:r>
      <w:r w:rsidR="00EA17D8">
        <w:rPr>
          <w:rFonts w:ascii="Verdana" w:hAnsi="Verdana"/>
          <w:bCs/>
          <w:iCs/>
        </w:rPr>
        <w:t xml:space="preserve"> para calificar si el Estado ha cumplido con sus obligaciones en materia de adecuación del derecho interno</w:t>
      </w:r>
      <w:r>
        <w:rPr>
          <w:rFonts w:ascii="Verdana" w:hAnsi="Verdana"/>
          <w:bCs/>
          <w:iCs/>
        </w:rPr>
        <w:t xml:space="preserve"> en materia de protección a las garantías previstas en el artículo 8.2.h) de la Convención Americana</w:t>
      </w:r>
      <w:r w:rsidR="00EA17D8">
        <w:rPr>
          <w:rFonts w:ascii="Verdana" w:hAnsi="Verdana"/>
          <w:bCs/>
          <w:iCs/>
        </w:rPr>
        <w:t>,</w:t>
      </w:r>
      <w:r w:rsidR="00446EAC">
        <w:rPr>
          <w:rFonts w:ascii="Verdana" w:hAnsi="Verdana"/>
          <w:bCs/>
          <w:iCs/>
        </w:rPr>
        <w:t xml:space="preserve"> más aún después del “fallo Cas</w:t>
      </w:r>
      <w:r w:rsidR="00EA17D8">
        <w:rPr>
          <w:rFonts w:ascii="Verdana" w:hAnsi="Verdana"/>
          <w:bCs/>
          <w:iCs/>
        </w:rPr>
        <w:t>al”</w:t>
      </w:r>
      <w:r>
        <w:rPr>
          <w:rFonts w:ascii="Verdana" w:hAnsi="Verdana"/>
          <w:bCs/>
          <w:iCs/>
        </w:rPr>
        <w:t xml:space="preserve"> y de la Sentencia del caso </w:t>
      </w:r>
      <w:r>
        <w:rPr>
          <w:rFonts w:ascii="Verdana" w:hAnsi="Verdana"/>
          <w:bCs/>
          <w:i/>
          <w:iCs/>
        </w:rPr>
        <w:t>Mendoza Vs. Argentina</w:t>
      </w:r>
      <w:r w:rsidR="00EA17D8">
        <w:rPr>
          <w:rFonts w:ascii="Verdana" w:hAnsi="Verdana"/>
          <w:bCs/>
          <w:iCs/>
        </w:rPr>
        <w:t>,</w:t>
      </w:r>
      <w:r>
        <w:rPr>
          <w:rFonts w:ascii="Verdana" w:hAnsi="Verdana"/>
          <w:bCs/>
          <w:iCs/>
        </w:rPr>
        <w:t xml:space="preserve"> decidida por la Corte en el año 2013. Asimismo, dichos peritajes son relevantes</w:t>
      </w:r>
      <w:r w:rsidR="00EA17D8">
        <w:rPr>
          <w:rFonts w:ascii="Verdana" w:hAnsi="Verdana"/>
          <w:bCs/>
          <w:iCs/>
        </w:rPr>
        <w:t xml:space="preserve"> para determinar el tipo de reparaciones que deberán ser ordenadas en caso de que se determine la responsabilidad internacional del Estado. P</w:t>
      </w:r>
      <w:r w:rsidR="00DF5E58" w:rsidRPr="00DF5E58">
        <w:rPr>
          <w:rFonts w:ascii="Verdana" w:hAnsi="Verdana"/>
          <w:bCs/>
          <w:iCs/>
        </w:rPr>
        <w:t>or</w:t>
      </w:r>
      <w:r w:rsidR="00EA17D8">
        <w:rPr>
          <w:rFonts w:ascii="Verdana" w:hAnsi="Verdana"/>
          <w:bCs/>
          <w:iCs/>
        </w:rPr>
        <w:t xml:space="preserve"> esta razón</w:t>
      </w:r>
      <w:r>
        <w:rPr>
          <w:rFonts w:ascii="Verdana" w:hAnsi="Verdana"/>
          <w:bCs/>
          <w:iCs/>
        </w:rPr>
        <w:t>, el Presidente</w:t>
      </w:r>
      <w:r w:rsidR="00DF5E58" w:rsidRPr="00DF5E58">
        <w:rPr>
          <w:rFonts w:ascii="Verdana" w:hAnsi="Verdana"/>
          <w:bCs/>
          <w:iCs/>
        </w:rPr>
        <w:t xml:space="preserve"> decide admitir dicho</w:t>
      </w:r>
      <w:r w:rsidR="00EA17D8">
        <w:rPr>
          <w:rFonts w:ascii="Verdana" w:hAnsi="Verdana"/>
          <w:bCs/>
          <w:iCs/>
        </w:rPr>
        <w:t>s</w:t>
      </w:r>
      <w:r w:rsidR="00DF5E58" w:rsidRPr="00DF5E58">
        <w:rPr>
          <w:rFonts w:ascii="Verdana" w:hAnsi="Verdana"/>
          <w:bCs/>
          <w:iCs/>
        </w:rPr>
        <w:t xml:space="preserve"> peritaje</w:t>
      </w:r>
      <w:r w:rsidR="00EA17D8">
        <w:rPr>
          <w:rFonts w:ascii="Verdana" w:hAnsi="Verdana"/>
          <w:bCs/>
          <w:iCs/>
        </w:rPr>
        <w:t>s</w:t>
      </w:r>
      <w:r w:rsidR="00DF5E58" w:rsidRPr="00DF5E58">
        <w:rPr>
          <w:rFonts w:ascii="Verdana" w:hAnsi="Verdana"/>
          <w:bCs/>
          <w:iCs/>
        </w:rPr>
        <w:t>. Asimismo, el Presidente verifica la remisión de la</w:t>
      </w:r>
      <w:r w:rsidR="00EA17D8">
        <w:rPr>
          <w:rFonts w:ascii="Verdana" w:hAnsi="Verdana"/>
          <w:bCs/>
          <w:iCs/>
        </w:rPr>
        <w:t>s</w:t>
      </w:r>
      <w:r w:rsidR="00DF5E58" w:rsidRPr="00DF5E58">
        <w:rPr>
          <w:rFonts w:ascii="Verdana" w:hAnsi="Verdana"/>
          <w:bCs/>
          <w:iCs/>
        </w:rPr>
        <w:t xml:space="preserve"> hoja</w:t>
      </w:r>
      <w:r w:rsidR="00EA17D8">
        <w:rPr>
          <w:rFonts w:ascii="Verdana" w:hAnsi="Verdana"/>
          <w:bCs/>
          <w:iCs/>
        </w:rPr>
        <w:t>s</w:t>
      </w:r>
      <w:r w:rsidR="00DF5E58" w:rsidRPr="00DF5E58">
        <w:rPr>
          <w:rFonts w:ascii="Verdana" w:hAnsi="Verdana"/>
          <w:bCs/>
          <w:iCs/>
        </w:rPr>
        <w:t xml:space="preserve"> de vida </w:t>
      </w:r>
      <w:r w:rsidR="00EA17D8">
        <w:rPr>
          <w:rFonts w:ascii="Verdana" w:hAnsi="Verdana" w:cs="Verdana"/>
          <w:lang w:bidi="en-US"/>
        </w:rPr>
        <w:t xml:space="preserve">de la </w:t>
      </w:r>
      <w:proofErr w:type="spellStart"/>
      <w:r w:rsidR="00EA17D8">
        <w:rPr>
          <w:rFonts w:ascii="Verdana" w:hAnsi="Verdana" w:cs="Verdana"/>
          <w:lang w:bidi="en-US"/>
        </w:rPr>
        <w:t>Rua</w:t>
      </w:r>
      <w:proofErr w:type="spellEnd"/>
      <w:r w:rsidR="00EA17D8">
        <w:rPr>
          <w:rFonts w:ascii="Verdana" w:hAnsi="Verdana" w:cs="Verdana"/>
          <w:lang w:bidi="en-US"/>
        </w:rPr>
        <w:t>, Dimas Agüero y Juliano</w:t>
      </w:r>
      <w:r w:rsidR="00EA17D8">
        <w:rPr>
          <w:rFonts w:ascii="Verdana" w:hAnsi="Verdana"/>
          <w:bCs/>
          <w:iCs/>
        </w:rPr>
        <w:t>.</w:t>
      </w:r>
      <w:r w:rsidR="00DC19E6">
        <w:rPr>
          <w:rFonts w:ascii="Verdana" w:hAnsi="Verdana"/>
          <w:bCs/>
          <w:iCs/>
        </w:rPr>
        <w:t xml:space="preserve"> </w:t>
      </w:r>
      <w:r w:rsidR="00DC19E6" w:rsidRPr="0044088A">
        <w:rPr>
          <w:rFonts w:ascii="Verdana" w:hAnsi="Verdana"/>
          <w:bCs/>
          <w:iCs/>
        </w:rPr>
        <w:t>Adicionalmente, el Presidente admite el cambio de modalidad del peritaje solicitado</w:t>
      </w:r>
      <w:r w:rsidR="0044088A" w:rsidRPr="0044088A">
        <w:rPr>
          <w:rFonts w:ascii="Verdana" w:hAnsi="Verdana"/>
          <w:bCs/>
          <w:iCs/>
        </w:rPr>
        <w:t xml:space="preserve"> por los representantes</w:t>
      </w:r>
      <w:r w:rsidR="00DC19E6" w:rsidRPr="0044088A">
        <w:rPr>
          <w:rFonts w:ascii="Verdana" w:hAnsi="Verdana"/>
          <w:bCs/>
          <w:iCs/>
        </w:rPr>
        <w:t xml:space="preserve"> en su lista definitiva de declarantes.</w:t>
      </w:r>
    </w:p>
    <w:p w:rsidR="00DF5E58" w:rsidRPr="00DF5E58" w:rsidRDefault="00DF5E58" w:rsidP="00DF5E58">
      <w:pPr>
        <w:pStyle w:val="Prrafodelista"/>
        <w:rPr>
          <w:rFonts w:ascii="Verdana" w:hAnsi="Verdana"/>
          <w:bCs/>
          <w:iCs/>
          <w:sz w:val="20"/>
          <w:szCs w:val="20"/>
          <w:lang w:val="es-CR"/>
        </w:rPr>
      </w:pPr>
    </w:p>
    <w:p w:rsidR="00DF5E58" w:rsidRPr="00DF5E58" w:rsidRDefault="00DF5E58" w:rsidP="00DF5E58">
      <w:pPr>
        <w:numPr>
          <w:ilvl w:val="0"/>
          <w:numId w:val="1"/>
        </w:numPr>
        <w:tabs>
          <w:tab w:val="num" w:pos="720"/>
        </w:tabs>
        <w:autoSpaceDE w:val="0"/>
        <w:autoSpaceDN w:val="0"/>
        <w:adjustRightInd w:val="0"/>
        <w:jc w:val="both"/>
        <w:rPr>
          <w:rFonts w:ascii="Verdana" w:hAnsi="Verdana"/>
          <w:bCs/>
          <w:iCs/>
        </w:rPr>
      </w:pPr>
      <w:r w:rsidRPr="00DF5E58">
        <w:rPr>
          <w:rFonts w:ascii="Verdana" w:hAnsi="Verdana"/>
        </w:rPr>
        <w:lastRenderedPageBreak/>
        <w:t>El objeto y la modalidad de las declaraciones se determinará en la parte resolutiva de la presente Resolución (</w:t>
      </w:r>
      <w:r w:rsidRPr="0058246C">
        <w:rPr>
          <w:rFonts w:ascii="Verdana" w:hAnsi="Verdana"/>
          <w:i/>
          <w:iCs/>
        </w:rPr>
        <w:t>infra</w:t>
      </w:r>
      <w:r w:rsidR="00B77C47" w:rsidRPr="0058246C">
        <w:rPr>
          <w:rFonts w:ascii="Verdana" w:hAnsi="Verdana"/>
        </w:rPr>
        <w:t xml:space="preserve"> puntos resolutivos 2 y 4</w:t>
      </w:r>
      <w:r w:rsidRPr="00DF5E58">
        <w:rPr>
          <w:rFonts w:ascii="Verdana" w:hAnsi="Verdana"/>
        </w:rPr>
        <w:t>).</w:t>
      </w:r>
    </w:p>
    <w:p w:rsidR="00DF5E58" w:rsidRPr="00DF5E58" w:rsidRDefault="00DF5E58" w:rsidP="009970DB">
      <w:pPr>
        <w:pStyle w:val="Sangradetextonormal"/>
        <w:tabs>
          <w:tab w:val="left" w:pos="0"/>
        </w:tabs>
        <w:spacing w:after="0"/>
        <w:ind w:left="0"/>
        <w:rPr>
          <w:bCs/>
          <w:iCs/>
          <w:szCs w:val="20"/>
          <w:lang w:val="es-ES"/>
        </w:rPr>
      </w:pPr>
    </w:p>
    <w:p w:rsidR="00DF5E58" w:rsidRPr="00DF5E58" w:rsidRDefault="00DF5E58" w:rsidP="00DF5E58">
      <w:pPr>
        <w:pStyle w:val="ListParagraph1"/>
        <w:numPr>
          <w:ilvl w:val="0"/>
          <w:numId w:val="2"/>
        </w:numPr>
        <w:ind w:right="11"/>
        <w:jc w:val="both"/>
        <w:rPr>
          <w:rFonts w:ascii="Verdana" w:hAnsi="Verdana" w:cs="Verdana"/>
          <w:b/>
          <w:bCs/>
          <w:i/>
          <w:iCs/>
          <w:sz w:val="20"/>
          <w:szCs w:val="20"/>
        </w:rPr>
      </w:pPr>
      <w:r w:rsidRPr="00DF5E58">
        <w:rPr>
          <w:rFonts w:ascii="Verdana" w:hAnsi="Verdana" w:cs="Verdana"/>
          <w:b/>
          <w:bCs/>
          <w:i/>
          <w:iCs/>
          <w:sz w:val="20"/>
          <w:szCs w:val="20"/>
        </w:rPr>
        <w:t>Aplicación del Fondo de Asistencia Legal de Víctimas ante la Corte</w:t>
      </w:r>
    </w:p>
    <w:p w:rsidR="00CA3AD3" w:rsidRPr="00641F43" w:rsidRDefault="00CA3AD3" w:rsidP="00CA3AD3">
      <w:pPr>
        <w:pStyle w:val="Default"/>
        <w:rPr>
          <w:lang w:val="es-ES"/>
        </w:rPr>
      </w:pPr>
    </w:p>
    <w:p w:rsidR="00817FA5" w:rsidRDefault="00CA3AD3" w:rsidP="00CA3AD3">
      <w:pPr>
        <w:pStyle w:val="Default"/>
        <w:numPr>
          <w:ilvl w:val="0"/>
          <w:numId w:val="1"/>
        </w:numPr>
        <w:tabs>
          <w:tab w:val="clear" w:pos="3870"/>
          <w:tab w:val="num" w:pos="709"/>
        </w:tabs>
        <w:jc w:val="both"/>
        <w:rPr>
          <w:sz w:val="20"/>
          <w:szCs w:val="20"/>
        </w:rPr>
      </w:pPr>
      <w:r>
        <w:rPr>
          <w:sz w:val="20"/>
          <w:szCs w:val="20"/>
        </w:rPr>
        <w:t xml:space="preserve">Mediante nota de Secretaría de 11 de febrero de 2019, se resolvió declarar procedente la solicitud realizada para acogerse al Fondo de Asistencia Legal de Víctimas, de modo que se otorgará el apoyo económico necesario, con cargo al Fondo, para solventar los gastos que ocasionaría la presentación de un máximo de tres declaraciones, ya sea en audiencia o por afidávit. Corresponde seguidamente precisar el destino y objeto específicos de dicha asistencia. </w:t>
      </w:r>
    </w:p>
    <w:p w:rsidR="00817FA5" w:rsidRDefault="00817FA5" w:rsidP="00817FA5">
      <w:pPr>
        <w:pStyle w:val="Default"/>
        <w:jc w:val="both"/>
        <w:rPr>
          <w:sz w:val="20"/>
          <w:szCs w:val="20"/>
        </w:rPr>
      </w:pPr>
    </w:p>
    <w:p w:rsidR="00817FA5" w:rsidRDefault="00CA3AD3" w:rsidP="00CA3AD3">
      <w:pPr>
        <w:pStyle w:val="Default"/>
        <w:numPr>
          <w:ilvl w:val="0"/>
          <w:numId w:val="1"/>
        </w:numPr>
        <w:tabs>
          <w:tab w:val="clear" w:pos="3870"/>
          <w:tab w:val="num" w:pos="709"/>
        </w:tabs>
        <w:jc w:val="both"/>
        <w:rPr>
          <w:sz w:val="20"/>
          <w:szCs w:val="20"/>
        </w:rPr>
      </w:pPr>
      <w:r w:rsidRPr="00817FA5">
        <w:rPr>
          <w:sz w:val="20"/>
          <w:szCs w:val="20"/>
        </w:rPr>
        <w:t>El Presidente dispone que la asistencia económica estará asignada para cubrir los gastos de viaje y estadía necesarios para que el señor Oscar Gorigoitía comparezca</w:t>
      </w:r>
      <w:r w:rsidR="0058246C" w:rsidRPr="00817FA5">
        <w:rPr>
          <w:sz w:val="20"/>
          <w:szCs w:val="20"/>
        </w:rPr>
        <w:t xml:space="preserve"> ante el Tribunal a rendir su declaración</w:t>
      </w:r>
      <w:r w:rsidRPr="00817FA5">
        <w:rPr>
          <w:sz w:val="20"/>
          <w:szCs w:val="20"/>
        </w:rPr>
        <w:t xml:space="preserve"> en la audiencia pública por celebrarse en el presente caso. Adicionalmente, esta Presidencia determina que los gastos razonables de formalización y envío de los affidávits de </w:t>
      </w:r>
      <w:r w:rsidR="0058246C" w:rsidRPr="00817FA5">
        <w:rPr>
          <w:sz w:val="20"/>
          <w:szCs w:val="20"/>
        </w:rPr>
        <w:t>dos</w:t>
      </w:r>
      <w:r w:rsidR="00B35DAC" w:rsidRPr="00817FA5">
        <w:rPr>
          <w:sz w:val="20"/>
          <w:szCs w:val="20"/>
        </w:rPr>
        <w:t xml:space="preserve"> declaracio</w:t>
      </w:r>
      <w:r w:rsidRPr="00817FA5">
        <w:rPr>
          <w:sz w:val="20"/>
          <w:szCs w:val="20"/>
        </w:rPr>
        <w:t>n</w:t>
      </w:r>
      <w:r w:rsidR="00B35DAC" w:rsidRPr="00817FA5">
        <w:rPr>
          <w:sz w:val="20"/>
          <w:szCs w:val="20"/>
        </w:rPr>
        <w:t>es</w:t>
      </w:r>
      <w:r w:rsidRPr="00817FA5">
        <w:rPr>
          <w:sz w:val="20"/>
          <w:szCs w:val="20"/>
        </w:rPr>
        <w:t xml:space="preserve"> ofrecida por los representantes, según lo determinen éstos, podrá</w:t>
      </w:r>
      <w:r w:rsidR="00B35DAC" w:rsidRPr="00817FA5">
        <w:rPr>
          <w:sz w:val="20"/>
          <w:szCs w:val="20"/>
        </w:rPr>
        <w:t>n</w:t>
      </w:r>
      <w:r w:rsidRPr="00817FA5">
        <w:rPr>
          <w:sz w:val="20"/>
          <w:szCs w:val="20"/>
        </w:rPr>
        <w:t xml:space="preserve"> ser </w:t>
      </w:r>
      <w:r w:rsidR="00B35DAC" w:rsidRPr="00817FA5">
        <w:rPr>
          <w:sz w:val="20"/>
          <w:szCs w:val="20"/>
        </w:rPr>
        <w:t>cubiertos</w:t>
      </w:r>
      <w:r w:rsidRPr="00817FA5">
        <w:rPr>
          <w:sz w:val="20"/>
          <w:szCs w:val="20"/>
        </w:rPr>
        <w:t xml:space="preserve"> con recursos del Fondo de Asistencia Legal de Víctimas. El representante deberá comunicar a la Corte el nombre de</w:t>
      </w:r>
      <w:r w:rsidR="0058246C" w:rsidRPr="00817FA5">
        <w:rPr>
          <w:sz w:val="20"/>
          <w:szCs w:val="20"/>
        </w:rPr>
        <w:t xml:space="preserve"> </w:t>
      </w:r>
      <w:r w:rsidRPr="00817FA5">
        <w:rPr>
          <w:sz w:val="20"/>
          <w:szCs w:val="20"/>
        </w:rPr>
        <w:t>l</w:t>
      </w:r>
      <w:r w:rsidR="0058246C" w:rsidRPr="00817FA5">
        <w:rPr>
          <w:sz w:val="20"/>
          <w:szCs w:val="20"/>
        </w:rPr>
        <w:t>os</w:t>
      </w:r>
      <w:r w:rsidRPr="00817FA5">
        <w:rPr>
          <w:sz w:val="20"/>
          <w:szCs w:val="20"/>
        </w:rPr>
        <w:t xml:space="preserve"> declarante</w:t>
      </w:r>
      <w:r w:rsidR="0058246C" w:rsidRPr="00817FA5">
        <w:rPr>
          <w:sz w:val="20"/>
          <w:szCs w:val="20"/>
        </w:rPr>
        <w:t>s</w:t>
      </w:r>
      <w:r w:rsidRPr="00817FA5">
        <w:rPr>
          <w:sz w:val="20"/>
          <w:szCs w:val="20"/>
        </w:rPr>
        <w:t xml:space="preserve"> </w:t>
      </w:r>
      <w:proofErr w:type="gramStart"/>
      <w:r w:rsidRPr="00817FA5">
        <w:rPr>
          <w:sz w:val="20"/>
          <w:szCs w:val="20"/>
        </w:rPr>
        <w:t>cuyo</w:t>
      </w:r>
      <w:r w:rsidR="0058246C" w:rsidRPr="00817FA5">
        <w:rPr>
          <w:sz w:val="20"/>
          <w:szCs w:val="20"/>
        </w:rPr>
        <w:t>s</w:t>
      </w:r>
      <w:r w:rsidRPr="00817FA5">
        <w:rPr>
          <w:sz w:val="20"/>
          <w:szCs w:val="20"/>
        </w:rPr>
        <w:t xml:space="preserve"> afidávit</w:t>
      </w:r>
      <w:proofErr w:type="gramEnd"/>
      <w:r w:rsidRPr="00817FA5">
        <w:rPr>
          <w:sz w:val="20"/>
          <w:szCs w:val="20"/>
        </w:rPr>
        <w:t xml:space="preserve"> será</w:t>
      </w:r>
      <w:r w:rsidR="0058246C" w:rsidRPr="00817FA5">
        <w:rPr>
          <w:sz w:val="20"/>
          <w:szCs w:val="20"/>
        </w:rPr>
        <w:t>n</w:t>
      </w:r>
      <w:r w:rsidRPr="00817FA5">
        <w:rPr>
          <w:sz w:val="20"/>
          <w:szCs w:val="20"/>
        </w:rPr>
        <w:t xml:space="preserve"> cubierto</w:t>
      </w:r>
      <w:r w:rsidR="0058246C" w:rsidRPr="00817FA5">
        <w:rPr>
          <w:sz w:val="20"/>
          <w:szCs w:val="20"/>
        </w:rPr>
        <w:t>s</w:t>
      </w:r>
      <w:r w:rsidRPr="00817FA5">
        <w:rPr>
          <w:sz w:val="20"/>
          <w:szCs w:val="20"/>
        </w:rPr>
        <w:t xml:space="preserve"> por el Fondo de Asistencia y remitir la cotización del costo de la formalización de la</w:t>
      </w:r>
      <w:r w:rsidR="0058246C" w:rsidRPr="00817FA5">
        <w:rPr>
          <w:sz w:val="20"/>
          <w:szCs w:val="20"/>
        </w:rPr>
        <w:t>s declaraciones</w:t>
      </w:r>
      <w:r w:rsidRPr="00817FA5">
        <w:rPr>
          <w:sz w:val="20"/>
          <w:szCs w:val="20"/>
        </w:rPr>
        <w:t xml:space="preserve"> jurada</w:t>
      </w:r>
      <w:r w:rsidR="0058246C" w:rsidRPr="00817FA5">
        <w:rPr>
          <w:sz w:val="20"/>
          <w:szCs w:val="20"/>
        </w:rPr>
        <w:t>s</w:t>
      </w:r>
      <w:r w:rsidRPr="00817FA5">
        <w:rPr>
          <w:sz w:val="20"/>
          <w:szCs w:val="20"/>
        </w:rPr>
        <w:t xml:space="preserve"> en el país de residencia de</w:t>
      </w:r>
      <w:r w:rsidR="0058246C" w:rsidRPr="00817FA5">
        <w:rPr>
          <w:sz w:val="20"/>
          <w:szCs w:val="20"/>
        </w:rPr>
        <w:t xml:space="preserve"> </w:t>
      </w:r>
      <w:r w:rsidRPr="00817FA5">
        <w:rPr>
          <w:sz w:val="20"/>
          <w:szCs w:val="20"/>
        </w:rPr>
        <w:t>l</w:t>
      </w:r>
      <w:r w:rsidR="0058246C" w:rsidRPr="00817FA5">
        <w:rPr>
          <w:sz w:val="20"/>
          <w:szCs w:val="20"/>
        </w:rPr>
        <w:t>os</w:t>
      </w:r>
      <w:r w:rsidRPr="00817FA5">
        <w:rPr>
          <w:sz w:val="20"/>
          <w:szCs w:val="20"/>
        </w:rPr>
        <w:t xml:space="preserve"> declarante</w:t>
      </w:r>
      <w:r w:rsidR="0058246C" w:rsidRPr="00817FA5">
        <w:rPr>
          <w:sz w:val="20"/>
          <w:szCs w:val="20"/>
        </w:rPr>
        <w:t>s</w:t>
      </w:r>
      <w:r w:rsidRPr="00817FA5">
        <w:rPr>
          <w:sz w:val="20"/>
          <w:szCs w:val="20"/>
        </w:rPr>
        <w:t xml:space="preserve"> y de su envío, en el plazo establecido en la parte resolutiva de la presente Resolución. </w:t>
      </w:r>
    </w:p>
    <w:p w:rsidR="00817FA5" w:rsidRPr="00817FA5" w:rsidRDefault="00817FA5" w:rsidP="00817FA5"/>
    <w:p w:rsidR="00817FA5" w:rsidRDefault="00CA3AD3" w:rsidP="00817FA5">
      <w:pPr>
        <w:pStyle w:val="Default"/>
        <w:numPr>
          <w:ilvl w:val="0"/>
          <w:numId w:val="1"/>
        </w:numPr>
        <w:tabs>
          <w:tab w:val="clear" w:pos="3870"/>
          <w:tab w:val="num" w:pos="709"/>
        </w:tabs>
        <w:jc w:val="both"/>
        <w:rPr>
          <w:sz w:val="20"/>
          <w:szCs w:val="20"/>
        </w:rPr>
      </w:pPr>
      <w:r w:rsidRPr="00817FA5">
        <w:rPr>
          <w:sz w:val="20"/>
          <w:szCs w:val="20"/>
        </w:rPr>
        <w:t xml:space="preserve">La Corte realizará las gestiones pertinentes y necesarias para cubrir los costos de traslado, </w:t>
      </w:r>
      <w:r w:rsidR="0058246C" w:rsidRPr="00817FA5">
        <w:rPr>
          <w:sz w:val="20"/>
          <w:szCs w:val="20"/>
        </w:rPr>
        <w:t>alojamiento y manutención de la persona compareciente</w:t>
      </w:r>
      <w:r w:rsidRPr="00817FA5">
        <w:rPr>
          <w:sz w:val="20"/>
          <w:szCs w:val="20"/>
        </w:rPr>
        <w:t xml:space="preserve"> con recursos provenientes del Fondo de Asistencia</w:t>
      </w:r>
      <w:r w:rsidR="00446EAC" w:rsidRPr="00817FA5">
        <w:rPr>
          <w:sz w:val="20"/>
          <w:szCs w:val="20"/>
        </w:rPr>
        <w:t xml:space="preserve"> Legal de Víctimas</w:t>
      </w:r>
      <w:r w:rsidRPr="00817FA5">
        <w:rPr>
          <w:sz w:val="20"/>
          <w:szCs w:val="20"/>
        </w:rPr>
        <w:t xml:space="preserve">. </w:t>
      </w:r>
    </w:p>
    <w:p w:rsidR="00817FA5" w:rsidRPr="00817FA5" w:rsidRDefault="00817FA5" w:rsidP="00817FA5"/>
    <w:p w:rsidR="00817FA5" w:rsidRDefault="00CA3AD3" w:rsidP="00CA3AD3">
      <w:pPr>
        <w:pStyle w:val="Default"/>
        <w:numPr>
          <w:ilvl w:val="0"/>
          <w:numId w:val="1"/>
        </w:numPr>
        <w:tabs>
          <w:tab w:val="clear" w:pos="3870"/>
          <w:tab w:val="num" w:pos="709"/>
        </w:tabs>
        <w:jc w:val="both"/>
        <w:rPr>
          <w:sz w:val="20"/>
          <w:szCs w:val="20"/>
        </w:rPr>
      </w:pPr>
      <w:r w:rsidRPr="00817FA5">
        <w:rPr>
          <w:sz w:val="20"/>
          <w:szCs w:val="20"/>
        </w:rPr>
        <w:t>Según lo requerido por el artículo 4 del Reglamento de la Corte sobre el Funcionamiento del Fondo de Asistencia</w:t>
      </w:r>
      <w:r w:rsidR="00446EAC" w:rsidRPr="00817FA5">
        <w:rPr>
          <w:sz w:val="20"/>
          <w:szCs w:val="20"/>
        </w:rPr>
        <w:t xml:space="preserve"> Legal de Víctimas</w:t>
      </w:r>
      <w:r w:rsidRPr="00817FA5">
        <w:rPr>
          <w:sz w:val="20"/>
          <w:szCs w:val="20"/>
        </w:rPr>
        <w:t>, se dispone que la Secretaría abra un expediente de gastos con el fin de llevar la contabilidad y en el cual se documentará cada una de las erogaciones que se realicen en relación</w:t>
      </w:r>
      <w:r w:rsidR="00817FA5">
        <w:rPr>
          <w:sz w:val="20"/>
          <w:szCs w:val="20"/>
        </w:rPr>
        <w:t xml:space="preserve"> con el referido Fondo.</w:t>
      </w:r>
    </w:p>
    <w:p w:rsidR="00817FA5" w:rsidRPr="00817FA5" w:rsidRDefault="00817FA5" w:rsidP="00817FA5"/>
    <w:p w:rsidR="00CA3AD3" w:rsidRPr="00817FA5" w:rsidRDefault="00CA3AD3" w:rsidP="00CA3AD3">
      <w:pPr>
        <w:pStyle w:val="Default"/>
        <w:numPr>
          <w:ilvl w:val="0"/>
          <w:numId w:val="1"/>
        </w:numPr>
        <w:tabs>
          <w:tab w:val="clear" w:pos="3870"/>
          <w:tab w:val="num" w:pos="709"/>
        </w:tabs>
        <w:jc w:val="both"/>
        <w:rPr>
          <w:sz w:val="20"/>
          <w:szCs w:val="20"/>
        </w:rPr>
      </w:pPr>
      <w:r w:rsidRPr="00817FA5">
        <w:rPr>
          <w:sz w:val="20"/>
          <w:szCs w:val="20"/>
        </w:rPr>
        <w:t xml:space="preserve">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 </w:t>
      </w:r>
    </w:p>
    <w:p w:rsidR="00DF5E58" w:rsidRPr="00CA3AD3" w:rsidRDefault="00DF5E58" w:rsidP="00DF5E58">
      <w:pPr>
        <w:pStyle w:val="ListParagraph1"/>
        <w:ind w:left="0" w:right="11"/>
        <w:jc w:val="both"/>
        <w:rPr>
          <w:rFonts w:ascii="Verdana" w:hAnsi="Verdana" w:cs="Verdana"/>
          <w:bCs/>
          <w:iCs/>
          <w:sz w:val="20"/>
          <w:szCs w:val="20"/>
          <w:lang w:val="es-CR"/>
        </w:rPr>
      </w:pPr>
    </w:p>
    <w:p w:rsidR="00DF5E58" w:rsidRPr="00DF5E58" w:rsidRDefault="00DF5E58" w:rsidP="00DF5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lang w:bidi="en-US"/>
        </w:rPr>
      </w:pPr>
      <w:r w:rsidRPr="00DF5E58">
        <w:rPr>
          <w:rFonts w:ascii="Verdana" w:hAnsi="Verdana" w:cs="Verdana"/>
          <w:b/>
          <w:bCs/>
          <w:lang w:bidi="en-US"/>
        </w:rPr>
        <w:t>POR TANTO:</w:t>
      </w:r>
    </w:p>
    <w:p w:rsidR="00DF5E58" w:rsidRPr="00DF5E58" w:rsidRDefault="00DF5E58" w:rsidP="00DF5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lang w:bidi="en-US"/>
        </w:rPr>
      </w:pPr>
    </w:p>
    <w:p w:rsidR="00DF5E58" w:rsidRPr="00DF5E58" w:rsidRDefault="00DF5E58" w:rsidP="00DF5E58">
      <w:pPr>
        <w:rPr>
          <w:rFonts w:ascii="Verdana" w:eastAsia="Times New Roman" w:hAnsi="Verdana"/>
        </w:rPr>
      </w:pPr>
      <w:r w:rsidRPr="00DF5E58">
        <w:rPr>
          <w:rFonts w:ascii="Verdana" w:eastAsia="Times New Roman" w:hAnsi="Verdana"/>
          <w:b/>
          <w:bCs/>
          <w:color w:val="000000"/>
        </w:rPr>
        <w:t xml:space="preserve">EL PRESIDENTE DE LA CORTE INTERAMERICANA DE DERECHOS HUMANOS, </w:t>
      </w:r>
    </w:p>
    <w:p w:rsidR="00DF5E58" w:rsidRPr="00DF5E58" w:rsidRDefault="00DF5E58" w:rsidP="00DF5E58">
      <w:pPr>
        <w:ind w:left="360"/>
        <w:rPr>
          <w:rFonts w:ascii="Verdana" w:eastAsia="Times New Roman" w:hAnsi="Verdana"/>
        </w:rPr>
      </w:pPr>
    </w:p>
    <w:p w:rsidR="00DF5E58" w:rsidRPr="00DF5E58" w:rsidRDefault="00DF5E58" w:rsidP="00DF5E58">
      <w:pPr>
        <w:rPr>
          <w:rFonts w:ascii="Verdana" w:eastAsia="Times New Roman" w:hAnsi="Verdana"/>
        </w:rPr>
      </w:pPr>
      <w:r w:rsidRPr="00DF5E58">
        <w:rPr>
          <w:rFonts w:ascii="Verdana" w:eastAsia="Times New Roman" w:hAnsi="Verdana"/>
          <w:color w:val="000000"/>
        </w:rPr>
        <w:t xml:space="preserve">de conformidad con los artículos 24.1 y 25.2 del Estatuto de la Corte, y con los artículos 4, 15.1, 26.1, 31.2, 35.1, 40.2, 41.1, 45, 46, 50 a 56 y 60 del Reglamento, </w:t>
      </w:r>
    </w:p>
    <w:p w:rsidR="00DF5E58" w:rsidRPr="00DF5E58" w:rsidRDefault="00DF5E58" w:rsidP="00DF5E58">
      <w:pPr>
        <w:ind w:left="360"/>
        <w:rPr>
          <w:rFonts w:ascii="Verdana" w:eastAsia="Times New Roman" w:hAnsi="Verdana"/>
        </w:rPr>
      </w:pPr>
    </w:p>
    <w:p w:rsidR="00DF5E58" w:rsidRPr="00DF5E58" w:rsidRDefault="00DF5E58" w:rsidP="00DF5E58">
      <w:pPr>
        <w:rPr>
          <w:rFonts w:ascii="Verdana" w:eastAsia="Times New Roman" w:hAnsi="Verdana"/>
          <w:b/>
          <w:bCs/>
          <w:color w:val="000000"/>
        </w:rPr>
      </w:pPr>
      <w:r w:rsidRPr="00DF5E58">
        <w:rPr>
          <w:rFonts w:ascii="Verdana" w:eastAsia="Times New Roman" w:hAnsi="Verdana"/>
          <w:b/>
          <w:bCs/>
          <w:color w:val="000000"/>
        </w:rPr>
        <w:t>RESUELVE:</w:t>
      </w:r>
    </w:p>
    <w:p w:rsidR="00DF5E58" w:rsidRPr="00DF5E58" w:rsidRDefault="00DF5E58" w:rsidP="00DF5E58">
      <w:pPr>
        <w:rPr>
          <w:rFonts w:ascii="Verdana" w:eastAsia="Times New Roman" w:hAnsi="Verdana"/>
          <w:b/>
          <w:bCs/>
          <w:color w:val="000000"/>
        </w:rPr>
      </w:pPr>
    </w:p>
    <w:p w:rsidR="009970DB" w:rsidRPr="00D238F7" w:rsidRDefault="009970DB" w:rsidP="009970DB">
      <w:pPr>
        <w:numPr>
          <w:ilvl w:val="0"/>
          <w:numId w:val="6"/>
        </w:numPr>
        <w:ind w:left="0" w:firstLine="0"/>
        <w:contextualSpacing/>
        <w:jc w:val="both"/>
        <w:rPr>
          <w:rFonts w:ascii="Verdana" w:eastAsia="Times New Roman" w:hAnsi="Verdana"/>
          <w:b/>
          <w:bCs/>
          <w:color w:val="000000"/>
        </w:rPr>
      </w:pPr>
      <w:r w:rsidRPr="00D238F7">
        <w:rPr>
          <w:rFonts w:ascii="Verdana" w:eastAsia="Times New Roman" w:hAnsi="Verdana"/>
          <w:color w:val="000000"/>
        </w:rPr>
        <w:t xml:space="preserve">Convocar al Estado de Argentina, a los representantes y a la Comisión Interamericana de Derechos Humanos, a una audiencia pública sobre fondo, y eventuales reparaciones y costas que se celebrará el día </w:t>
      </w:r>
      <w:r w:rsidR="00F25D64" w:rsidRPr="00B35DAC">
        <w:rPr>
          <w:rFonts w:ascii="Verdana" w:eastAsia="Times New Roman" w:hAnsi="Verdana"/>
          <w:color w:val="000000"/>
        </w:rPr>
        <w:t>8</w:t>
      </w:r>
      <w:r w:rsidRPr="00B35DAC">
        <w:rPr>
          <w:rFonts w:ascii="Verdana" w:eastAsia="Times New Roman" w:hAnsi="Verdana"/>
          <w:color w:val="000000"/>
        </w:rPr>
        <w:t xml:space="preserve"> de mayo de 2019, de las </w:t>
      </w:r>
      <w:r w:rsidR="00870EF3" w:rsidRPr="00B35DAC">
        <w:rPr>
          <w:rFonts w:ascii="Verdana" w:eastAsia="Times New Roman" w:hAnsi="Verdana"/>
          <w:bCs/>
          <w:color w:val="000000"/>
        </w:rPr>
        <w:t>9:00 a las 13</w:t>
      </w:r>
      <w:r w:rsidRPr="00B35DAC">
        <w:rPr>
          <w:rFonts w:ascii="Verdana" w:eastAsia="Times New Roman" w:hAnsi="Verdana"/>
          <w:bCs/>
          <w:color w:val="000000"/>
        </w:rPr>
        <w:t xml:space="preserve">:00 </w:t>
      </w:r>
      <w:proofErr w:type="spellStart"/>
      <w:r w:rsidRPr="00B35DAC">
        <w:rPr>
          <w:rFonts w:ascii="Verdana" w:eastAsia="Times New Roman" w:hAnsi="Verdana"/>
          <w:bCs/>
          <w:color w:val="000000"/>
        </w:rPr>
        <w:t>hrs</w:t>
      </w:r>
      <w:proofErr w:type="spellEnd"/>
      <w:r w:rsidRPr="00B35DAC">
        <w:rPr>
          <w:rFonts w:ascii="Verdana" w:eastAsia="Times New Roman" w:hAnsi="Verdana"/>
          <w:bCs/>
          <w:color w:val="000000"/>
        </w:rPr>
        <w:t>.</w:t>
      </w:r>
      <w:r w:rsidRPr="00B35DAC">
        <w:rPr>
          <w:rFonts w:ascii="Verdana" w:eastAsia="Times New Roman" w:hAnsi="Verdana"/>
          <w:color w:val="000000"/>
        </w:rPr>
        <w:t xml:space="preserve">, durante el </w:t>
      </w:r>
      <w:r w:rsidRPr="00B35DAC">
        <w:rPr>
          <w:rFonts w:ascii="Verdana" w:eastAsia="Times New Roman" w:hAnsi="Verdana"/>
          <w:bCs/>
          <w:color w:val="000000"/>
        </w:rPr>
        <w:t>60</w:t>
      </w:r>
      <w:r w:rsidRPr="00B35DAC">
        <w:rPr>
          <w:rFonts w:ascii="Verdana" w:eastAsia="Times New Roman" w:hAnsi="Verdana"/>
          <w:b/>
          <w:bCs/>
          <w:color w:val="000000"/>
        </w:rPr>
        <w:t xml:space="preserve"> </w:t>
      </w:r>
      <w:r w:rsidRPr="00B35DAC">
        <w:rPr>
          <w:rFonts w:ascii="Verdana" w:eastAsia="Times New Roman" w:hAnsi="Verdana"/>
          <w:color w:val="000000"/>
        </w:rPr>
        <w:t xml:space="preserve">Período Extraordinario de Sesiones, que se llevará a cabo en Ciudad de Montevideo, </w:t>
      </w:r>
      <w:r w:rsidR="00D238F7" w:rsidRPr="00B35DAC">
        <w:rPr>
          <w:rFonts w:ascii="Verdana" w:eastAsia="Times New Roman" w:hAnsi="Verdana"/>
          <w:color w:val="000000"/>
        </w:rPr>
        <w:t>República Oriental del Uruguay</w:t>
      </w:r>
      <w:r w:rsidRPr="00B35DAC">
        <w:rPr>
          <w:rFonts w:ascii="Verdana" w:eastAsia="Times New Roman" w:hAnsi="Verdana"/>
          <w:color w:val="000000"/>
        </w:rPr>
        <w:t>,</w:t>
      </w:r>
      <w:r w:rsidRPr="00D238F7">
        <w:rPr>
          <w:rFonts w:ascii="Verdana" w:eastAsia="Times New Roman" w:hAnsi="Verdana"/>
          <w:color w:val="000000"/>
        </w:rPr>
        <w:t xml:space="preserve"> para recibir sus alegatos y observaciones finales orales, así como para recibir la</w:t>
      </w:r>
      <w:r w:rsidR="0058246C">
        <w:rPr>
          <w:rFonts w:ascii="Verdana" w:eastAsia="Times New Roman" w:hAnsi="Verdana"/>
          <w:color w:val="000000"/>
        </w:rPr>
        <w:t xml:space="preserve"> declaración de la siguiente persona</w:t>
      </w:r>
      <w:r w:rsidRPr="00D238F7">
        <w:rPr>
          <w:rFonts w:ascii="Verdana" w:eastAsia="Times New Roman" w:hAnsi="Verdana"/>
          <w:color w:val="000000"/>
        </w:rPr>
        <w:t>:</w:t>
      </w:r>
    </w:p>
    <w:p w:rsidR="00DF5E58" w:rsidRPr="00DF5E58" w:rsidRDefault="00DF5E58" w:rsidP="00DF5E58">
      <w:pPr>
        <w:rPr>
          <w:rFonts w:ascii="Verdana" w:eastAsia="Times New Roman" w:hAnsi="Verdana"/>
        </w:rPr>
      </w:pPr>
    </w:p>
    <w:p w:rsidR="00DF5E58" w:rsidRPr="00DF5E58" w:rsidRDefault="00F25D64" w:rsidP="00DF5E58">
      <w:pPr>
        <w:numPr>
          <w:ilvl w:val="0"/>
          <w:numId w:val="5"/>
        </w:numPr>
        <w:contextualSpacing/>
        <w:jc w:val="both"/>
        <w:rPr>
          <w:rFonts w:ascii="Verdana" w:eastAsia="Times New Roman" w:hAnsi="Verdana"/>
          <w:b/>
        </w:rPr>
      </w:pPr>
      <w:r>
        <w:rPr>
          <w:rFonts w:ascii="Verdana" w:eastAsia="Times New Roman" w:hAnsi="Verdana"/>
          <w:b/>
        </w:rPr>
        <w:lastRenderedPageBreak/>
        <w:t>Presunta víctima</w:t>
      </w:r>
    </w:p>
    <w:p w:rsidR="00DF5E58" w:rsidRPr="00DF5E58" w:rsidRDefault="00DF5E58" w:rsidP="00DF5E58">
      <w:pPr>
        <w:ind w:left="360"/>
        <w:rPr>
          <w:rFonts w:ascii="Verdana" w:eastAsia="Times New Roman" w:hAnsi="Verdana"/>
          <w:b/>
        </w:rPr>
      </w:pPr>
    </w:p>
    <w:p w:rsidR="00DF5E58" w:rsidRPr="00DF5E58" w:rsidRDefault="00F25D64" w:rsidP="00DF5E58">
      <w:pPr>
        <w:ind w:left="1440" w:firstLine="720"/>
        <w:rPr>
          <w:rFonts w:ascii="Verdana" w:eastAsia="Times New Roman" w:hAnsi="Verdana"/>
          <w:i/>
          <w:iCs/>
          <w:color w:val="000000"/>
        </w:rPr>
      </w:pPr>
      <w:r>
        <w:rPr>
          <w:rFonts w:ascii="Verdana" w:eastAsia="Times New Roman" w:hAnsi="Verdana"/>
          <w:i/>
          <w:iCs/>
          <w:color w:val="000000"/>
        </w:rPr>
        <w:t>Propuesto</w:t>
      </w:r>
      <w:r w:rsidR="00DF5E58" w:rsidRPr="00DF5E58">
        <w:rPr>
          <w:rFonts w:ascii="Verdana" w:eastAsia="Times New Roman" w:hAnsi="Verdana"/>
          <w:i/>
          <w:iCs/>
          <w:color w:val="000000"/>
        </w:rPr>
        <w:t xml:space="preserve"> por los representantes </w:t>
      </w:r>
    </w:p>
    <w:p w:rsidR="00DF5E58" w:rsidRPr="00DF5E58" w:rsidRDefault="00DF5E58" w:rsidP="00DF5E58">
      <w:pPr>
        <w:rPr>
          <w:rFonts w:ascii="Verdana" w:eastAsia="Times New Roman" w:hAnsi="Verdana"/>
        </w:rPr>
      </w:pPr>
    </w:p>
    <w:p w:rsidR="00F25D64" w:rsidRPr="00C30685" w:rsidRDefault="00F25D64" w:rsidP="00F25D64">
      <w:pPr>
        <w:pStyle w:val="Prrafodelista"/>
        <w:numPr>
          <w:ilvl w:val="1"/>
          <w:numId w:val="5"/>
        </w:numPr>
        <w:contextualSpacing/>
        <w:jc w:val="both"/>
        <w:rPr>
          <w:rFonts w:ascii="Verdana" w:hAnsi="Verdana"/>
          <w:sz w:val="20"/>
          <w:szCs w:val="20"/>
          <w:lang w:val="es-CR"/>
        </w:rPr>
      </w:pPr>
      <w:r w:rsidRPr="00F25D64">
        <w:rPr>
          <w:rFonts w:ascii="Verdana" w:hAnsi="Verdana"/>
          <w:i/>
          <w:sz w:val="20"/>
          <w:szCs w:val="20"/>
          <w:lang w:val="es-ES"/>
        </w:rPr>
        <w:t>Oscar Gorigoitía</w:t>
      </w:r>
      <w:r w:rsidRPr="00F25D64">
        <w:rPr>
          <w:rFonts w:ascii="Verdana" w:hAnsi="Verdana"/>
          <w:sz w:val="20"/>
          <w:szCs w:val="20"/>
          <w:lang w:val="es-ES"/>
        </w:rPr>
        <w:t xml:space="preserve">, </w:t>
      </w:r>
      <w:r w:rsidRPr="00F25D64">
        <w:rPr>
          <w:rFonts w:ascii="Verdana" w:hAnsi="Verdana"/>
          <w:sz w:val="20"/>
          <w:szCs w:val="20"/>
          <w:lang w:val="es-CR"/>
        </w:rPr>
        <w:t xml:space="preserve">quien declarará sobre las circunstancias en las que fue condenado y los efectos que esto tuvo en su vida personal y familiar. </w:t>
      </w:r>
      <w:r w:rsidRPr="001C57F4">
        <w:rPr>
          <w:rFonts w:ascii="Verdana" w:hAnsi="Verdana"/>
          <w:sz w:val="20"/>
          <w:szCs w:val="20"/>
          <w:lang w:val="es-CR"/>
        </w:rPr>
        <w:t xml:space="preserve">En particular, sobre las consecuencias económicas o de otra naturaleza que su condena tuvo para él y su familia durante el tiempo que estuvo en prisión. </w:t>
      </w:r>
      <w:r w:rsidRPr="00C30685">
        <w:rPr>
          <w:rFonts w:ascii="Verdana" w:hAnsi="Verdana"/>
          <w:sz w:val="20"/>
          <w:szCs w:val="20"/>
          <w:lang w:val="es-CR"/>
        </w:rPr>
        <w:t>Asimismo, se referirá a sus condiciones de vida actuales y las de sus familiares directos.</w:t>
      </w:r>
    </w:p>
    <w:p w:rsidR="00DF5E58" w:rsidRPr="00F25D64" w:rsidRDefault="00DF5E58" w:rsidP="00F25D64">
      <w:pPr>
        <w:contextualSpacing/>
        <w:jc w:val="both"/>
        <w:rPr>
          <w:rFonts w:ascii="Verdana" w:eastAsia="Times New Roman" w:hAnsi="Verdana"/>
        </w:rPr>
      </w:pPr>
    </w:p>
    <w:p w:rsidR="00DF5E58" w:rsidRPr="00DF5E58" w:rsidRDefault="00DF5E58" w:rsidP="00DF5E58">
      <w:pPr>
        <w:numPr>
          <w:ilvl w:val="0"/>
          <w:numId w:val="6"/>
        </w:numPr>
        <w:ind w:left="0" w:firstLine="0"/>
        <w:contextualSpacing/>
        <w:jc w:val="both"/>
        <w:rPr>
          <w:rFonts w:ascii="Verdana" w:eastAsia="Times New Roman" w:hAnsi="Verdana"/>
          <w:color w:val="000000"/>
        </w:rPr>
      </w:pPr>
      <w:r w:rsidRPr="00DF5E58">
        <w:rPr>
          <w:rFonts w:ascii="Verdana" w:eastAsia="Times New Roman" w:hAnsi="Verdana"/>
          <w:color w:val="000000"/>
        </w:rPr>
        <w:t xml:space="preserve">Requerir a </w:t>
      </w:r>
      <w:r w:rsidR="00F25D64">
        <w:rPr>
          <w:rFonts w:ascii="Verdana" w:eastAsia="Times New Roman" w:hAnsi="Verdana"/>
          <w:color w:val="000000"/>
        </w:rPr>
        <w:t>Argentina</w:t>
      </w:r>
      <w:r w:rsidRPr="00DF5E58">
        <w:rPr>
          <w:rFonts w:ascii="Verdana" w:eastAsia="Times New Roman" w:hAnsi="Verdana"/>
          <w:color w:val="000000"/>
        </w:rPr>
        <w:t xml:space="preserve"> que facilite la salida y entrada de su territorio de</w:t>
      </w:r>
      <w:r w:rsidR="0058246C">
        <w:rPr>
          <w:rFonts w:ascii="Verdana" w:eastAsia="Times New Roman" w:hAnsi="Verdana"/>
          <w:color w:val="000000"/>
        </w:rPr>
        <w:t>l</w:t>
      </w:r>
      <w:r w:rsidRPr="00DF5E58">
        <w:rPr>
          <w:rFonts w:ascii="Verdana" w:eastAsia="Times New Roman" w:hAnsi="Verdana"/>
          <w:color w:val="000000"/>
        </w:rPr>
        <w:t xml:space="preserve"> </w:t>
      </w:r>
      <w:r w:rsidR="0058246C">
        <w:rPr>
          <w:rFonts w:ascii="Verdana" w:eastAsia="Times New Roman" w:hAnsi="Verdana"/>
          <w:color w:val="000000"/>
        </w:rPr>
        <w:t>declarante, si reside o se encuentra en él, quien ha sido citado</w:t>
      </w:r>
      <w:r w:rsidRPr="00DF5E58">
        <w:rPr>
          <w:rFonts w:ascii="Verdana" w:eastAsia="Times New Roman" w:hAnsi="Verdana"/>
          <w:color w:val="000000"/>
        </w:rPr>
        <w:t xml:space="preserve"> en la presente Resolución a rendir declaración en la referida audiencia pública, de conformidad con lo dispuesto en el artículo 26.1 del Reglamento de la Corte. </w:t>
      </w:r>
    </w:p>
    <w:p w:rsidR="00DF5E58" w:rsidRPr="00DF5E58" w:rsidRDefault="00DF5E58" w:rsidP="00DF5E58">
      <w:pPr>
        <w:rPr>
          <w:rFonts w:ascii="Verdana" w:eastAsia="Times New Roman" w:hAnsi="Verdana"/>
          <w:color w:val="000000"/>
        </w:rPr>
      </w:pPr>
    </w:p>
    <w:p w:rsidR="00DF5E58" w:rsidRPr="00DF5E58" w:rsidRDefault="00DF5E58" w:rsidP="00DF5E58">
      <w:pPr>
        <w:numPr>
          <w:ilvl w:val="0"/>
          <w:numId w:val="6"/>
        </w:numPr>
        <w:ind w:left="0" w:firstLine="0"/>
        <w:contextualSpacing/>
        <w:jc w:val="both"/>
        <w:rPr>
          <w:rFonts w:ascii="Verdana" w:eastAsia="Times New Roman" w:hAnsi="Verdana"/>
          <w:color w:val="000000"/>
        </w:rPr>
      </w:pPr>
      <w:r w:rsidRPr="00DF5E58">
        <w:rPr>
          <w:rFonts w:ascii="Verdana" w:eastAsia="Times New Roman" w:hAnsi="Verdana"/>
          <w:color w:val="000000"/>
        </w:rPr>
        <w:t>Requerir, por las razones expuestas en la presente Resolución, de conformidad con el principio de economía procesal, y de la facultad que le otorga el artículo 50.1 del Reglamento de la Corte, que las siguientes personas presten su declaración ante fedatario público:</w:t>
      </w:r>
    </w:p>
    <w:p w:rsidR="00DF5E58" w:rsidRPr="00DF5E58" w:rsidRDefault="00DF5E58" w:rsidP="00DF5E58">
      <w:pPr>
        <w:rPr>
          <w:rFonts w:ascii="Verdana" w:eastAsia="Times New Roman" w:hAnsi="Verdana"/>
        </w:rPr>
      </w:pPr>
    </w:p>
    <w:p w:rsidR="00DF5E58" w:rsidRPr="00DF5E58" w:rsidRDefault="00DF5E58" w:rsidP="00F25D64">
      <w:pPr>
        <w:numPr>
          <w:ilvl w:val="0"/>
          <w:numId w:val="11"/>
        </w:numPr>
        <w:contextualSpacing/>
        <w:jc w:val="both"/>
        <w:rPr>
          <w:rFonts w:ascii="Verdana" w:eastAsia="Times New Roman" w:hAnsi="Verdana"/>
          <w:b/>
          <w:color w:val="000000"/>
        </w:rPr>
      </w:pPr>
      <w:r w:rsidRPr="00DF5E58">
        <w:rPr>
          <w:rFonts w:ascii="Verdana" w:eastAsia="Times New Roman" w:hAnsi="Verdana"/>
          <w:b/>
          <w:color w:val="000000"/>
        </w:rPr>
        <w:t>Peritos</w:t>
      </w:r>
    </w:p>
    <w:p w:rsidR="00DF5E58" w:rsidRPr="00DF5E58" w:rsidRDefault="00DF5E58" w:rsidP="00DF5E58">
      <w:pPr>
        <w:ind w:left="1440" w:firstLine="720"/>
        <w:rPr>
          <w:rFonts w:ascii="Verdana" w:hAnsi="Verdana"/>
          <w:i/>
        </w:rPr>
      </w:pPr>
      <w:r w:rsidRPr="00DF5E58">
        <w:rPr>
          <w:rFonts w:ascii="Verdana" w:hAnsi="Verdana"/>
          <w:i/>
        </w:rPr>
        <w:t>Propuestos por los representantes</w:t>
      </w:r>
    </w:p>
    <w:p w:rsidR="00DF5E58" w:rsidRPr="00DF5E58" w:rsidRDefault="00DF5E58" w:rsidP="00DF5E58">
      <w:pPr>
        <w:rPr>
          <w:rFonts w:ascii="Verdana" w:hAnsi="Verdana"/>
        </w:rPr>
      </w:pPr>
    </w:p>
    <w:p w:rsidR="0058246C" w:rsidRPr="00550F80" w:rsidRDefault="0058246C" w:rsidP="0058246C">
      <w:pPr>
        <w:pStyle w:val="Prrafodelista"/>
        <w:numPr>
          <w:ilvl w:val="1"/>
          <w:numId w:val="11"/>
        </w:numPr>
        <w:jc w:val="both"/>
        <w:rPr>
          <w:rFonts w:ascii="Verdana" w:hAnsi="Verdana"/>
          <w:sz w:val="20"/>
          <w:szCs w:val="20"/>
          <w:lang w:val="es-CR"/>
        </w:rPr>
      </w:pPr>
      <w:r w:rsidRPr="00FE2F82">
        <w:rPr>
          <w:rFonts w:ascii="Verdana" w:hAnsi="Verdana" w:cs="Arial"/>
          <w:i/>
          <w:sz w:val="20"/>
          <w:szCs w:val="20"/>
          <w:lang w:val="es-CR"/>
        </w:rPr>
        <w:t xml:space="preserve">Oscar Dimas </w:t>
      </w:r>
      <w:proofErr w:type="spellStart"/>
      <w:r w:rsidRPr="00FE2F82">
        <w:rPr>
          <w:rFonts w:ascii="Verdana" w:hAnsi="Verdana" w:cs="Arial"/>
          <w:i/>
          <w:sz w:val="20"/>
          <w:szCs w:val="20"/>
          <w:lang w:val="es-CR"/>
        </w:rPr>
        <w:t>Aguero</w:t>
      </w:r>
      <w:proofErr w:type="spellEnd"/>
      <w:r w:rsidRPr="00FE2F82">
        <w:rPr>
          <w:rFonts w:ascii="Verdana" w:hAnsi="Verdana"/>
          <w:sz w:val="20"/>
          <w:szCs w:val="20"/>
          <w:lang w:val="es-CR"/>
        </w:rPr>
        <w:t>, quien declarará sobre la naturaleza, alcance, desarrollo y modificaciones del Doble conforme en la provincia de Mendoza y el Recurso Extraordinario ante la Corte Suprema de Justicia de la Nación, sus efectos en la práctica y ajuste a la CADH y las diversas situaciones y problemas que se presentan con su aplicación en los procesos penales entre otros aspectos relativos al objeto y fin de la petición</w:t>
      </w:r>
      <w:r w:rsidRPr="00B77C47">
        <w:rPr>
          <w:rFonts w:ascii="Verdana" w:eastAsia="Arial" w:hAnsi="Verdana" w:cs="Arial"/>
          <w:sz w:val="20"/>
          <w:szCs w:val="20"/>
          <w:lang w:val="es-ES"/>
        </w:rPr>
        <w:t>.</w:t>
      </w:r>
    </w:p>
    <w:p w:rsidR="0058246C" w:rsidRPr="0058246C" w:rsidRDefault="0058246C" w:rsidP="0058246C">
      <w:pPr>
        <w:contextualSpacing/>
        <w:jc w:val="both"/>
        <w:rPr>
          <w:rFonts w:ascii="Verdana" w:hAnsi="Verdana"/>
        </w:rPr>
      </w:pPr>
    </w:p>
    <w:p w:rsidR="00F25D64" w:rsidRPr="00F25D64" w:rsidRDefault="00F25D64" w:rsidP="00F25D64">
      <w:pPr>
        <w:pStyle w:val="Prrafodelista"/>
        <w:numPr>
          <w:ilvl w:val="1"/>
          <w:numId w:val="11"/>
        </w:numPr>
        <w:contextualSpacing/>
        <w:jc w:val="both"/>
        <w:rPr>
          <w:rFonts w:ascii="Verdana" w:hAnsi="Verdana"/>
          <w:sz w:val="20"/>
          <w:szCs w:val="20"/>
          <w:lang w:val="es-CR"/>
        </w:rPr>
      </w:pPr>
      <w:r w:rsidRPr="00F25D64">
        <w:rPr>
          <w:rFonts w:ascii="Verdana" w:hAnsi="Verdana" w:cs="Arial"/>
          <w:i/>
          <w:sz w:val="20"/>
          <w:szCs w:val="20"/>
          <w:lang w:val="es-CR"/>
        </w:rPr>
        <w:t>Fernando De La Rúa</w:t>
      </w:r>
      <w:r w:rsidRPr="00F25D64">
        <w:rPr>
          <w:rFonts w:ascii="Verdana" w:hAnsi="Verdana" w:cs="Arial"/>
          <w:sz w:val="20"/>
          <w:szCs w:val="20"/>
          <w:lang w:val="es-CR"/>
        </w:rPr>
        <w:t>, quien declarará sobre la naturaleza, alcance, desarrollo y modificaciones de la legislación procesal penal de Mendoza, ley 6730 y sus modificaciones, sus efectos en la práctica, su ajuste a la Constitución Argentina y la CADH y las diversas situaciones y problemas que se presentan con su aplicación en los procesos penales entre otros aspectos relativos al objeto y fin de la petición</w:t>
      </w:r>
      <w:r w:rsidRPr="00040740">
        <w:rPr>
          <w:rFonts w:ascii="Verdana" w:eastAsia="Arial" w:hAnsi="Verdana" w:cs="Arial"/>
          <w:sz w:val="20"/>
          <w:szCs w:val="20"/>
          <w:lang w:val="es-ES"/>
        </w:rPr>
        <w:t>.</w:t>
      </w:r>
    </w:p>
    <w:p w:rsidR="00F25D64" w:rsidRPr="0001424E" w:rsidRDefault="00F25D64" w:rsidP="00F25D64">
      <w:pPr>
        <w:jc w:val="both"/>
        <w:rPr>
          <w:rFonts w:ascii="Verdana" w:hAnsi="Verdana"/>
        </w:rPr>
      </w:pPr>
    </w:p>
    <w:p w:rsidR="00DF5E58" w:rsidRPr="00DF5E58" w:rsidRDefault="00F25D64" w:rsidP="00F25D64">
      <w:pPr>
        <w:pStyle w:val="Prrafodelista"/>
        <w:numPr>
          <w:ilvl w:val="1"/>
          <w:numId w:val="11"/>
        </w:numPr>
        <w:autoSpaceDE w:val="0"/>
        <w:autoSpaceDN w:val="0"/>
        <w:adjustRightInd w:val="0"/>
        <w:jc w:val="both"/>
        <w:rPr>
          <w:rFonts w:ascii="Verdana" w:hAnsi="Verdana"/>
          <w:i/>
          <w:sz w:val="20"/>
          <w:szCs w:val="20"/>
          <w:lang w:val="es-CR"/>
        </w:rPr>
      </w:pPr>
      <w:r w:rsidRPr="00FE2F82">
        <w:rPr>
          <w:rFonts w:ascii="Verdana" w:hAnsi="Verdana" w:cs="Arial"/>
          <w:i/>
          <w:sz w:val="20"/>
          <w:szCs w:val="20"/>
          <w:lang w:val="es-CR"/>
        </w:rPr>
        <w:t>Mario Juliano</w:t>
      </w:r>
      <w:r w:rsidRPr="00FE2F82">
        <w:rPr>
          <w:rFonts w:ascii="Verdana" w:hAnsi="Verdana"/>
          <w:sz w:val="20"/>
          <w:szCs w:val="20"/>
          <w:lang w:val="es-CR"/>
        </w:rPr>
        <w:t>, quien declarará sobre la situación actual del Doble Conforme en las provincias respecto de su desarrollo, alcance y limitaciones en función del art. 28 de la CADH y su ajuste a la CADH</w:t>
      </w:r>
      <w:r w:rsidRPr="00040740">
        <w:rPr>
          <w:rFonts w:ascii="Verdana" w:eastAsia="Arial" w:hAnsi="Verdana" w:cs="Arial"/>
          <w:sz w:val="20"/>
          <w:szCs w:val="20"/>
          <w:lang w:val="es-ES"/>
        </w:rPr>
        <w:t>.</w:t>
      </w:r>
    </w:p>
    <w:p w:rsidR="00DF5E58" w:rsidRPr="00DF5E58" w:rsidRDefault="00DF5E58" w:rsidP="00DF5E58">
      <w:pPr>
        <w:rPr>
          <w:rFonts w:ascii="Verdana" w:hAnsi="Verdana"/>
          <w:highlight w:val="yellow"/>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 xml:space="preserve">Requerir a los representantes que notifiquen la presente Resolución a las personas por ellos propuestas, que han sido convocados a rendir declaración, de conformidad con lo dispuesto en los artículos 50.2 y 50.4 del Reglamento. </w:t>
      </w:r>
    </w:p>
    <w:p w:rsidR="00DF5E58" w:rsidRPr="00DF5E58" w:rsidRDefault="00DF5E58" w:rsidP="00DF5E58">
      <w:pPr>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 xml:space="preserve"> Requerir al Estado y a los representantes que remitan, en los términos del artículo 50.5 del Reglamento y de considerarlo pertinente, en el plazo improrrogable que vence el </w:t>
      </w:r>
      <w:r w:rsidR="00B35DAC" w:rsidRPr="00B35DAC">
        <w:rPr>
          <w:rFonts w:ascii="Verdana" w:hAnsi="Verdana"/>
        </w:rPr>
        <w:t>27</w:t>
      </w:r>
      <w:r w:rsidR="00F25D64" w:rsidRPr="00B35DAC">
        <w:rPr>
          <w:rFonts w:ascii="Verdana" w:hAnsi="Verdana"/>
        </w:rPr>
        <w:t xml:space="preserve"> de marzo de 2019</w:t>
      </w:r>
      <w:r w:rsidRPr="00DF5E58">
        <w:rPr>
          <w:rFonts w:ascii="Verdana" w:hAnsi="Verdana"/>
        </w:rPr>
        <w:t>, las preguntas que estimen pertinentes formular, a través de la Corte Interamericana, a los declarantes indicados en el punto resolutivo tercero de la presente Resolución.</w:t>
      </w:r>
    </w:p>
    <w:p w:rsidR="00DF5E58" w:rsidRPr="00DF5E58" w:rsidRDefault="00DF5E58" w:rsidP="00DF5E58">
      <w:pPr>
        <w:rPr>
          <w:rFonts w:ascii="Verdana" w:hAnsi="Verdana"/>
        </w:rPr>
      </w:pPr>
      <w:r w:rsidRPr="00DF5E58">
        <w:rPr>
          <w:rFonts w:ascii="Verdana" w:hAnsi="Verdana"/>
        </w:rPr>
        <w:t xml:space="preserve"> </w:t>
      </w:r>
    </w:p>
    <w:p w:rsidR="00DF5E58" w:rsidRPr="00DF5E58" w:rsidRDefault="00DF5E58" w:rsidP="00DF5E58">
      <w:pPr>
        <w:pStyle w:val="Prrafodelista"/>
        <w:numPr>
          <w:ilvl w:val="0"/>
          <w:numId w:val="6"/>
        </w:numPr>
        <w:ind w:left="0" w:firstLine="0"/>
        <w:contextualSpacing/>
        <w:jc w:val="both"/>
        <w:rPr>
          <w:rFonts w:ascii="Verdana" w:hAnsi="Verdana"/>
          <w:bCs/>
          <w:iCs/>
          <w:sz w:val="20"/>
          <w:szCs w:val="20"/>
          <w:lang w:val="es-CR"/>
        </w:rPr>
      </w:pPr>
      <w:r w:rsidRPr="00DF5E58">
        <w:rPr>
          <w:rFonts w:ascii="Verdana" w:hAnsi="Verdana"/>
          <w:bCs/>
          <w:iCs/>
          <w:sz w:val="20"/>
          <w:szCs w:val="20"/>
          <w:lang w:val="es-CR"/>
        </w:rPr>
        <w:lastRenderedPageBreak/>
        <w:t xml:space="preserve">Requerir a los representantes que remitan a la Corte, a más tardar el </w:t>
      </w:r>
      <w:r w:rsidR="00B35DAC" w:rsidRPr="00B35DAC">
        <w:rPr>
          <w:rFonts w:ascii="Verdana" w:hAnsi="Verdana"/>
          <w:bCs/>
          <w:iCs/>
          <w:sz w:val="20"/>
          <w:szCs w:val="20"/>
          <w:lang w:val="es-CR"/>
        </w:rPr>
        <w:t>27</w:t>
      </w:r>
      <w:r w:rsidRPr="00B35DAC">
        <w:rPr>
          <w:rFonts w:ascii="Verdana" w:hAnsi="Verdana"/>
          <w:bCs/>
          <w:iCs/>
          <w:sz w:val="20"/>
          <w:szCs w:val="20"/>
          <w:lang w:val="es-CR"/>
        </w:rPr>
        <w:t xml:space="preserve"> de </w:t>
      </w:r>
      <w:r w:rsidR="00F25D64" w:rsidRPr="00B35DAC">
        <w:rPr>
          <w:rFonts w:ascii="Verdana" w:hAnsi="Verdana"/>
          <w:bCs/>
          <w:iCs/>
          <w:sz w:val="20"/>
          <w:szCs w:val="20"/>
          <w:lang w:val="es-CR"/>
        </w:rPr>
        <w:t>marzo de 2019</w:t>
      </w:r>
      <w:r w:rsidRPr="00DF5E58">
        <w:rPr>
          <w:rFonts w:ascii="Verdana" w:hAnsi="Verdana"/>
          <w:bCs/>
          <w:iCs/>
          <w:sz w:val="20"/>
          <w:szCs w:val="20"/>
          <w:lang w:val="es-CR"/>
        </w:rPr>
        <w:t>, una cotización del costo de la formalización de las declaraciones juradas en el país de residencia de los declarantes y de su respectivo envío, que sería cubierto por el Fondo de Asistencia</w:t>
      </w:r>
      <w:r w:rsidR="00B77C47">
        <w:rPr>
          <w:rFonts w:ascii="Verdana" w:hAnsi="Verdana"/>
          <w:bCs/>
          <w:iCs/>
          <w:sz w:val="20"/>
          <w:szCs w:val="20"/>
          <w:lang w:val="es-CR"/>
        </w:rPr>
        <w:t xml:space="preserve"> de Víctimas</w:t>
      </w:r>
      <w:r w:rsidRPr="00DF5E58">
        <w:rPr>
          <w:rFonts w:ascii="Verdana" w:hAnsi="Verdana"/>
          <w:bCs/>
          <w:iCs/>
          <w:sz w:val="20"/>
          <w:szCs w:val="20"/>
          <w:lang w:val="es-CR"/>
        </w:rPr>
        <w:t xml:space="preserve">, de conformidad con lo establecido </w:t>
      </w:r>
      <w:r w:rsidRPr="00B35DAC">
        <w:rPr>
          <w:rFonts w:ascii="Verdana" w:hAnsi="Verdana"/>
          <w:bCs/>
          <w:iCs/>
          <w:sz w:val="20"/>
          <w:szCs w:val="20"/>
          <w:lang w:val="es-CR"/>
        </w:rPr>
        <w:t xml:space="preserve">en el párrafo considerativo </w:t>
      </w:r>
      <w:r w:rsidR="003908B4">
        <w:rPr>
          <w:rFonts w:ascii="Verdana" w:hAnsi="Verdana"/>
          <w:bCs/>
          <w:iCs/>
          <w:sz w:val="20"/>
          <w:szCs w:val="20"/>
          <w:lang w:val="es-CR"/>
        </w:rPr>
        <w:t>23</w:t>
      </w:r>
      <w:r w:rsidRPr="00DF5E58">
        <w:rPr>
          <w:rFonts w:ascii="Verdana" w:hAnsi="Verdana"/>
          <w:bCs/>
          <w:iCs/>
          <w:sz w:val="20"/>
          <w:szCs w:val="20"/>
          <w:lang w:val="es-CR"/>
        </w:rPr>
        <w:t xml:space="preserve"> de la presente Resolución. </w:t>
      </w:r>
    </w:p>
    <w:p w:rsidR="00DF5E58" w:rsidRPr="00DF5E58" w:rsidRDefault="00DF5E58" w:rsidP="00DF5E58">
      <w:pPr>
        <w:pStyle w:val="Prrafodelista"/>
        <w:rPr>
          <w:rFonts w:ascii="Verdana" w:hAnsi="Verdana"/>
          <w:sz w:val="20"/>
          <w:szCs w:val="20"/>
          <w:lang w:val="es-CR"/>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 xml:space="preserve">Requerir a los representantes y a la Comisión Interamericana que coordinen y realicen las diligencias necesarias para que, una vez recibidas las preguntas de la contraparte, el declarante incluya las respuestas en su respectiva declaración rendida ante fedatario público, salvo que el Presidente disponga lo contrario cuando la Secretaría de la Corte las transmita. Las declaraciones requeridas en el referido punto resolutivo tercero deberán ser presentadas a más tardar el </w:t>
      </w:r>
      <w:r w:rsidR="00B35DAC" w:rsidRPr="00B35DAC">
        <w:rPr>
          <w:rFonts w:ascii="Verdana" w:hAnsi="Verdana"/>
        </w:rPr>
        <w:t>17</w:t>
      </w:r>
      <w:r w:rsidR="00F25D64" w:rsidRPr="00B35DAC">
        <w:rPr>
          <w:rFonts w:ascii="Verdana" w:hAnsi="Verdana"/>
        </w:rPr>
        <w:t xml:space="preserve"> de abril de 2019</w:t>
      </w:r>
      <w:r w:rsidRPr="00B35DAC">
        <w:rPr>
          <w:rFonts w:ascii="Verdana" w:hAnsi="Verdana"/>
        </w:rPr>
        <w:t>.</w:t>
      </w:r>
    </w:p>
    <w:p w:rsidR="00DF5E58" w:rsidRPr="00DF5E58" w:rsidRDefault="00DF5E58" w:rsidP="00DF5E58">
      <w:pPr>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 xml:space="preserve">Disponer, conforme al artículo 50.6 del Reglamento que, una vez recibidas las declaraciones, la Secretaría de la Corte Interamericana las transmita a las partes y a la Comisión para que presenten, según sea el caso, sus observaciones a más tardar el </w:t>
      </w:r>
      <w:r w:rsidR="00BF1D50">
        <w:rPr>
          <w:rFonts w:ascii="Verdana" w:hAnsi="Verdana"/>
        </w:rPr>
        <w:t>6</w:t>
      </w:r>
      <w:r w:rsidR="00F25D64" w:rsidRPr="00BF1D50">
        <w:rPr>
          <w:rFonts w:ascii="Verdana" w:hAnsi="Verdana"/>
        </w:rPr>
        <w:t xml:space="preserve"> de junio de 2019</w:t>
      </w:r>
      <w:r w:rsidRPr="00DF5E58">
        <w:rPr>
          <w:rFonts w:ascii="Verdana" w:hAnsi="Verdana"/>
        </w:rPr>
        <w:t xml:space="preserve"> con sus alegatos u observaciones finales escritos.</w:t>
      </w:r>
    </w:p>
    <w:p w:rsidR="00DF5E58" w:rsidRPr="00DF5E58" w:rsidRDefault="00DF5E58" w:rsidP="00DF5E58">
      <w:pPr>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bCs/>
          <w:iCs/>
        </w:rPr>
        <w:t xml:space="preserve">Informar a la Comisión, a los representantes y al Estado que deben cubrir los gastos que ocasione la aportación o rendición de la prueba propuesta por ellos, de conformidad con lo dispuesto en el artículo 60 del Reglamento, </w:t>
      </w:r>
      <w:r w:rsidRPr="00DF5E58">
        <w:rPr>
          <w:rFonts w:ascii="Verdana" w:hAnsi="Verdana"/>
        </w:rPr>
        <w:t>sin perjuicio de lo que resulte pertinente en aplicación del Fondo de Asistencia Legal de Víctimas en el presente caso.</w:t>
      </w:r>
    </w:p>
    <w:p w:rsidR="00DF5E58" w:rsidRPr="00DF5E58" w:rsidRDefault="00DF5E58" w:rsidP="00DF5E58">
      <w:pPr>
        <w:contextualSpacing/>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 xml:space="preserve">Requerir a los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DF5E58" w:rsidRPr="00DF5E58" w:rsidRDefault="00DF5E58" w:rsidP="00DF5E58">
      <w:pPr>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Informar a los representantes, al Estado y a la Comisión Interamericana que, al término de las declaraciones rendidas en la audiencia pública, podrán presentar ante el Tribunal sus alegatos finales orales y observaciones finales orales, respectivamente, sobre fondo y eventuales reparaciones y costas en el presente caso.</w:t>
      </w:r>
    </w:p>
    <w:p w:rsidR="00DF5E58" w:rsidRPr="00DF5E58" w:rsidRDefault="00DF5E58" w:rsidP="00DF5E58">
      <w:pPr>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w:t>
      </w:r>
    </w:p>
    <w:p w:rsidR="00DF5E58" w:rsidRPr="00DF5E58" w:rsidRDefault="00DF5E58" w:rsidP="00DF5E58">
      <w:pPr>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 xml:space="preserve">Informar a los representantes, al Estado y a la Comisión Interamericana que cuentan con un plazo hasta el </w:t>
      </w:r>
      <w:r w:rsidR="00BF1D50" w:rsidRPr="00BF1D50">
        <w:rPr>
          <w:rFonts w:ascii="Verdana" w:hAnsi="Verdana"/>
        </w:rPr>
        <w:t>6</w:t>
      </w:r>
      <w:r w:rsidR="00AA7A86" w:rsidRPr="00BF1D50">
        <w:rPr>
          <w:rFonts w:ascii="Verdana" w:hAnsi="Verdana"/>
        </w:rPr>
        <w:t xml:space="preserve"> de junio de 2019</w:t>
      </w:r>
      <w:r w:rsidRPr="00DF5E58">
        <w:rPr>
          <w:rFonts w:ascii="Verdana" w:hAnsi="Verdana"/>
        </w:rPr>
        <w:t xml:space="preserve"> para presentar sus alegatos finales escritos y observaciones finales escritas, respectivamente, en relación con el fondo y eventuales reparaciones y costas en el presente caso. Este plazo es improrrogable e independiente de la puesta a disposición de las partes de la grabación de la audiencia pública.</w:t>
      </w:r>
    </w:p>
    <w:p w:rsidR="00DF5E58" w:rsidRPr="00DF5E58" w:rsidRDefault="00DF5E58" w:rsidP="00DF5E58">
      <w:pPr>
        <w:pStyle w:val="Prrafodelista"/>
        <w:rPr>
          <w:rFonts w:ascii="Verdana" w:hAnsi="Verdana"/>
          <w:sz w:val="20"/>
          <w:szCs w:val="20"/>
          <w:lang w:val="es-CR"/>
        </w:rPr>
      </w:pPr>
    </w:p>
    <w:p w:rsidR="00DF5E58" w:rsidRPr="00DF5E58" w:rsidRDefault="00DF5E58" w:rsidP="00DF5E58">
      <w:pPr>
        <w:pStyle w:val="Prrafodelista"/>
        <w:numPr>
          <w:ilvl w:val="0"/>
          <w:numId w:val="6"/>
        </w:numPr>
        <w:tabs>
          <w:tab w:val="left" w:pos="0"/>
        </w:tabs>
        <w:ind w:left="0" w:firstLine="0"/>
        <w:contextualSpacing/>
        <w:jc w:val="both"/>
        <w:rPr>
          <w:rFonts w:ascii="Verdana" w:hAnsi="Verdana"/>
          <w:bCs/>
          <w:iCs/>
          <w:sz w:val="20"/>
          <w:szCs w:val="20"/>
          <w:lang w:val="es-CR"/>
        </w:rPr>
      </w:pPr>
      <w:r w:rsidRPr="00DF5E58">
        <w:rPr>
          <w:rFonts w:ascii="Verdana" w:hAnsi="Verdana"/>
          <w:bCs/>
          <w:iCs/>
          <w:sz w:val="20"/>
          <w:szCs w:val="20"/>
          <w:lang w:val="es-CR"/>
        </w:rPr>
        <w:t xml:space="preserve">Declarar procedente la aplicación del Fondo de Asistencia Legal de Víctimas de la Corte Interamericana en los términos dispuestos en los </w:t>
      </w:r>
      <w:r w:rsidRPr="00BF1D50">
        <w:rPr>
          <w:rFonts w:ascii="Verdana" w:hAnsi="Verdana"/>
          <w:bCs/>
          <w:iCs/>
          <w:sz w:val="20"/>
          <w:szCs w:val="20"/>
          <w:lang w:val="es-CR"/>
        </w:rPr>
        <w:t xml:space="preserve">párrafos considerativos </w:t>
      </w:r>
      <w:r w:rsidR="00817FA5">
        <w:rPr>
          <w:rFonts w:ascii="Verdana" w:hAnsi="Verdana"/>
          <w:bCs/>
          <w:iCs/>
          <w:sz w:val="20"/>
          <w:szCs w:val="20"/>
          <w:lang w:val="es-CR"/>
        </w:rPr>
        <w:t>23 a 26</w:t>
      </w:r>
      <w:r w:rsidRPr="00DF5E58">
        <w:rPr>
          <w:rFonts w:ascii="Verdana" w:hAnsi="Verdana"/>
          <w:bCs/>
          <w:iCs/>
          <w:sz w:val="20"/>
          <w:szCs w:val="20"/>
          <w:lang w:val="es-CR"/>
        </w:rPr>
        <w:t xml:space="preserve"> de esta Resolución.</w:t>
      </w:r>
    </w:p>
    <w:p w:rsidR="00DF5E58" w:rsidRPr="00DF5E58" w:rsidRDefault="00DF5E58" w:rsidP="00DF5E58">
      <w:pPr>
        <w:pStyle w:val="Prrafodelista"/>
        <w:tabs>
          <w:tab w:val="left" w:pos="0"/>
        </w:tabs>
        <w:ind w:left="0"/>
        <w:rPr>
          <w:rFonts w:ascii="Verdana" w:hAnsi="Verdana"/>
          <w:bCs/>
          <w:iCs/>
          <w:sz w:val="20"/>
          <w:szCs w:val="20"/>
          <w:lang w:val="es-CR"/>
        </w:rPr>
      </w:pPr>
    </w:p>
    <w:p w:rsidR="00DF5E58" w:rsidRPr="00DF5E58" w:rsidRDefault="00DF5E58" w:rsidP="00DF5E58">
      <w:pPr>
        <w:pStyle w:val="Prrafodelista"/>
        <w:numPr>
          <w:ilvl w:val="0"/>
          <w:numId w:val="6"/>
        </w:numPr>
        <w:tabs>
          <w:tab w:val="left" w:pos="0"/>
        </w:tabs>
        <w:ind w:left="0" w:firstLine="0"/>
        <w:contextualSpacing/>
        <w:jc w:val="both"/>
        <w:rPr>
          <w:rFonts w:ascii="Verdana" w:hAnsi="Verdana"/>
          <w:bCs/>
          <w:iCs/>
          <w:sz w:val="20"/>
          <w:szCs w:val="20"/>
          <w:lang w:val="es-CR"/>
        </w:rPr>
      </w:pPr>
      <w:r w:rsidRPr="00DF5E58">
        <w:rPr>
          <w:rFonts w:ascii="Verdana" w:hAnsi="Verdana"/>
          <w:sz w:val="20"/>
          <w:szCs w:val="20"/>
          <w:lang w:val="es-CR"/>
        </w:rPr>
        <w:t xml:space="preserve">Disponer, de conformidad con el artículo 4 del Reglamento de la Corte sobre el Funcionamiento del Fondo de Asistencia Legal de Víctimas, que la Secretaría del Tribunal </w:t>
      </w:r>
      <w:r w:rsidRPr="00DF5E58">
        <w:rPr>
          <w:rFonts w:ascii="Verdana" w:hAnsi="Verdana"/>
          <w:sz w:val="20"/>
          <w:szCs w:val="20"/>
          <w:lang w:val="es-CR"/>
        </w:rPr>
        <w:lastRenderedPageBreak/>
        <w:t xml:space="preserve">abra un expediente de gastos, donde se documentará cada una de las erogaciones que se realicen con el Fondo de Asistencia Legal de Víctimas. </w:t>
      </w:r>
    </w:p>
    <w:p w:rsidR="00DF5E58" w:rsidRPr="00DF5E58" w:rsidRDefault="00DF5E58" w:rsidP="00DF5E58">
      <w:pPr>
        <w:rPr>
          <w:rFonts w:ascii="Verdana" w:hAnsi="Verdana"/>
        </w:rPr>
      </w:pPr>
    </w:p>
    <w:p w:rsidR="00DF5E58" w:rsidRPr="00DF5E58" w:rsidRDefault="00DF5E58" w:rsidP="00DF5E58">
      <w:pPr>
        <w:numPr>
          <w:ilvl w:val="0"/>
          <w:numId w:val="6"/>
        </w:numPr>
        <w:ind w:left="0" w:firstLine="0"/>
        <w:contextualSpacing/>
        <w:jc w:val="both"/>
        <w:rPr>
          <w:rFonts w:ascii="Verdana" w:hAnsi="Verdana"/>
        </w:rPr>
      </w:pPr>
      <w:r w:rsidRPr="00DF5E58">
        <w:rPr>
          <w:rFonts w:ascii="Verdana" w:hAnsi="Verdana"/>
        </w:rPr>
        <w:t xml:space="preserve"> Disponer que la Secretaría de la Corte Interamericana notifique la presente Resolución a la Comisión Interamericana de Derechos Humanos, a los representantes y a </w:t>
      </w:r>
      <w:r w:rsidR="00AA7A86">
        <w:rPr>
          <w:rFonts w:ascii="Verdana" w:hAnsi="Verdana"/>
        </w:rPr>
        <w:t>Argentina</w:t>
      </w:r>
      <w:r w:rsidRPr="00DF5E58">
        <w:rPr>
          <w:rFonts w:ascii="Verdana" w:hAnsi="Verdana"/>
        </w:rPr>
        <w:t>.</w:t>
      </w:r>
    </w:p>
    <w:p w:rsidR="00DF5E58" w:rsidRPr="00DF5E58" w:rsidRDefault="00DF5E58" w:rsidP="00DF5E58">
      <w:pPr>
        <w:rPr>
          <w:rFonts w:ascii="Verdana" w:hAnsi="Verdana"/>
        </w:rPr>
      </w:pPr>
    </w:p>
    <w:p w:rsidR="00DF5E58" w:rsidRDefault="00DF5E58" w:rsidP="00DF5E58">
      <w:pPr>
        <w:rPr>
          <w:rFonts w:ascii="Verdana" w:hAnsi="Verdana"/>
        </w:rPr>
      </w:pPr>
    </w:p>
    <w:p w:rsidR="00567AF8" w:rsidRDefault="00567AF8" w:rsidP="00DF5E58">
      <w:pPr>
        <w:rPr>
          <w:rFonts w:ascii="Verdana" w:hAnsi="Verdana"/>
        </w:rPr>
      </w:pPr>
    </w:p>
    <w:p w:rsidR="00567AF8" w:rsidRPr="00DF5E58" w:rsidRDefault="00567AF8" w:rsidP="00DF5E58">
      <w:pPr>
        <w:rPr>
          <w:rFonts w:ascii="Verdana" w:hAnsi="Verdana"/>
        </w:rPr>
      </w:pPr>
    </w:p>
    <w:p w:rsidR="00DF5E58" w:rsidRPr="00DF5E58" w:rsidRDefault="00DF5E58" w:rsidP="00DF5E58">
      <w:pPr>
        <w:rPr>
          <w:rFonts w:ascii="Verdana" w:hAnsi="Verdana"/>
        </w:rPr>
      </w:pPr>
    </w:p>
    <w:p w:rsidR="00DF5E58" w:rsidRPr="00DF5E58" w:rsidRDefault="00DF5E58" w:rsidP="00DF5E58">
      <w:pPr>
        <w:rPr>
          <w:rFonts w:ascii="Verdana" w:hAnsi="Verdana"/>
        </w:rPr>
      </w:pPr>
    </w:p>
    <w:p w:rsidR="00DF5E58" w:rsidRPr="00DF5E58" w:rsidRDefault="00DF5E58" w:rsidP="00DF5E58">
      <w:pPr>
        <w:ind w:left="360"/>
        <w:jc w:val="right"/>
        <w:rPr>
          <w:rFonts w:ascii="Verdana" w:hAnsi="Verdana"/>
        </w:rPr>
      </w:pPr>
      <w:r w:rsidRPr="00DF5E58">
        <w:rPr>
          <w:rFonts w:ascii="Verdana" w:hAnsi="Verdana"/>
        </w:rPr>
        <w:t xml:space="preserve">Eduardo Ferrer Mac-Gregor </w:t>
      </w:r>
      <w:proofErr w:type="spellStart"/>
      <w:r w:rsidRPr="00DF5E58">
        <w:rPr>
          <w:rFonts w:ascii="Verdana" w:hAnsi="Verdana"/>
        </w:rPr>
        <w:t>Poisot</w:t>
      </w:r>
      <w:proofErr w:type="spellEnd"/>
    </w:p>
    <w:p w:rsidR="00DF5E58" w:rsidRPr="00DF5E58" w:rsidRDefault="00DF5E58" w:rsidP="00DF5E58">
      <w:pPr>
        <w:ind w:left="360"/>
        <w:jc w:val="center"/>
        <w:rPr>
          <w:rFonts w:ascii="Verdana" w:hAnsi="Verdana"/>
        </w:rPr>
      </w:pPr>
      <w:r w:rsidRPr="00DF5E58">
        <w:rPr>
          <w:rFonts w:ascii="Verdana" w:hAnsi="Verdana"/>
        </w:rPr>
        <w:t xml:space="preserve">                                                                             Presidente</w:t>
      </w:r>
    </w:p>
    <w:p w:rsidR="00DF5E58" w:rsidRPr="00DF5E58" w:rsidRDefault="00DF5E58" w:rsidP="00DF5E58">
      <w:pPr>
        <w:ind w:left="360"/>
        <w:rPr>
          <w:rFonts w:ascii="Verdana" w:hAnsi="Verdana"/>
        </w:rPr>
      </w:pPr>
    </w:p>
    <w:p w:rsidR="00DF5E58" w:rsidRDefault="00DF5E58" w:rsidP="00DF5E58">
      <w:pPr>
        <w:ind w:left="360"/>
        <w:rPr>
          <w:rFonts w:ascii="Verdana" w:hAnsi="Verdana"/>
        </w:rPr>
      </w:pPr>
    </w:p>
    <w:p w:rsidR="00567AF8" w:rsidRDefault="00567AF8" w:rsidP="00DF5E58">
      <w:pPr>
        <w:ind w:left="360"/>
        <w:rPr>
          <w:rFonts w:ascii="Verdana" w:hAnsi="Verdana"/>
        </w:rPr>
      </w:pPr>
    </w:p>
    <w:p w:rsidR="00567AF8" w:rsidRDefault="00567AF8" w:rsidP="00DF5E58">
      <w:pPr>
        <w:ind w:left="360"/>
        <w:rPr>
          <w:rFonts w:ascii="Verdana" w:hAnsi="Verdana"/>
        </w:rPr>
      </w:pPr>
    </w:p>
    <w:p w:rsidR="00567AF8" w:rsidRPr="00DF5E58" w:rsidRDefault="00567AF8" w:rsidP="00DF5E58">
      <w:pPr>
        <w:ind w:left="360"/>
        <w:rPr>
          <w:rFonts w:ascii="Verdana" w:hAnsi="Verdana"/>
        </w:rPr>
      </w:pPr>
    </w:p>
    <w:p w:rsidR="00DF5E58" w:rsidRPr="00DF5E58" w:rsidRDefault="00DF5E58" w:rsidP="00DF5E58">
      <w:pPr>
        <w:ind w:left="360"/>
        <w:rPr>
          <w:rFonts w:ascii="Verdana" w:hAnsi="Verdana"/>
        </w:rPr>
      </w:pPr>
      <w:r w:rsidRPr="00DF5E58">
        <w:rPr>
          <w:rFonts w:ascii="Verdana" w:hAnsi="Verdana"/>
        </w:rPr>
        <w:t xml:space="preserve">Pablo Saavedra Alessandri </w:t>
      </w:r>
    </w:p>
    <w:p w:rsidR="00DF5E58" w:rsidRPr="00DF5E58" w:rsidRDefault="00DF5E58" w:rsidP="00DF5E58">
      <w:pPr>
        <w:ind w:left="360"/>
        <w:rPr>
          <w:rFonts w:ascii="Verdana" w:hAnsi="Verdana"/>
        </w:rPr>
      </w:pPr>
      <w:r w:rsidRPr="00DF5E58">
        <w:rPr>
          <w:rFonts w:ascii="Verdana" w:hAnsi="Verdana"/>
        </w:rPr>
        <w:t xml:space="preserve">         Secretario </w:t>
      </w:r>
    </w:p>
    <w:p w:rsidR="00DF5E58" w:rsidRPr="00DF5E58" w:rsidRDefault="00DF5E58" w:rsidP="00DF5E58">
      <w:pPr>
        <w:ind w:left="360"/>
        <w:rPr>
          <w:rFonts w:ascii="Verdana" w:hAnsi="Verdana"/>
        </w:rPr>
      </w:pPr>
    </w:p>
    <w:p w:rsidR="00DF5E58" w:rsidRDefault="00DF5E58" w:rsidP="00DF5E58">
      <w:pPr>
        <w:ind w:left="360"/>
        <w:rPr>
          <w:rFonts w:ascii="Verdana" w:hAnsi="Verdana"/>
        </w:rPr>
      </w:pPr>
    </w:p>
    <w:p w:rsidR="00567AF8" w:rsidRPr="00DF5E58" w:rsidRDefault="00567AF8" w:rsidP="00DF5E58">
      <w:pPr>
        <w:ind w:left="360"/>
        <w:rPr>
          <w:rFonts w:ascii="Verdana" w:hAnsi="Verdana"/>
        </w:rPr>
      </w:pPr>
    </w:p>
    <w:p w:rsidR="00DF5E58" w:rsidRPr="00DF5E58" w:rsidRDefault="00DF5E58" w:rsidP="00DF5E58">
      <w:pPr>
        <w:ind w:left="360"/>
        <w:rPr>
          <w:rFonts w:ascii="Verdana" w:hAnsi="Verdana"/>
        </w:rPr>
      </w:pPr>
    </w:p>
    <w:p w:rsidR="00DF5E58" w:rsidRPr="00DF5E58" w:rsidRDefault="00DF5E58" w:rsidP="00DF5E58">
      <w:pPr>
        <w:ind w:left="360"/>
        <w:rPr>
          <w:rFonts w:ascii="Verdana" w:hAnsi="Verdana"/>
        </w:rPr>
      </w:pPr>
      <w:r w:rsidRPr="00DF5E58">
        <w:rPr>
          <w:rFonts w:ascii="Verdana" w:hAnsi="Verdana"/>
        </w:rPr>
        <w:t xml:space="preserve">Comuníquese y ejecútese, </w:t>
      </w:r>
    </w:p>
    <w:p w:rsidR="00DF5E58" w:rsidRPr="00DF5E58" w:rsidRDefault="00DF5E58" w:rsidP="00DF5E58">
      <w:pPr>
        <w:ind w:left="360"/>
        <w:rPr>
          <w:rFonts w:ascii="Verdana" w:hAnsi="Verdana"/>
        </w:rPr>
      </w:pPr>
    </w:p>
    <w:p w:rsidR="00DF5E58" w:rsidRDefault="00DF5E58" w:rsidP="00DF5E58">
      <w:pPr>
        <w:ind w:left="360"/>
        <w:rPr>
          <w:rFonts w:ascii="Verdana" w:hAnsi="Verdana"/>
        </w:rPr>
      </w:pPr>
    </w:p>
    <w:p w:rsidR="00567AF8" w:rsidRDefault="00567AF8" w:rsidP="00DF5E58">
      <w:pPr>
        <w:ind w:left="360"/>
        <w:rPr>
          <w:rFonts w:ascii="Verdana" w:hAnsi="Verdana"/>
        </w:rPr>
      </w:pPr>
    </w:p>
    <w:p w:rsidR="00567AF8" w:rsidRPr="00DF5E58" w:rsidRDefault="00567AF8" w:rsidP="00DF5E58">
      <w:pPr>
        <w:ind w:left="360"/>
        <w:rPr>
          <w:rFonts w:ascii="Verdana" w:hAnsi="Verdana"/>
        </w:rPr>
      </w:pPr>
    </w:p>
    <w:p w:rsidR="00DF5E58" w:rsidRPr="00DF5E58" w:rsidRDefault="00DF5E58" w:rsidP="00DF5E58">
      <w:pPr>
        <w:ind w:left="360"/>
        <w:jc w:val="right"/>
        <w:rPr>
          <w:rFonts w:ascii="Verdana" w:hAnsi="Verdana"/>
        </w:rPr>
      </w:pPr>
      <w:r w:rsidRPr="00DF5E58">
        <w:rPr>
          <w:rFonts w:ascii="Verdana" w:hAnsi="Verdana"/>
        </w:rPr>
        <w:t xml:space="preserve">Eduardo Ferrer Mac-Gregor </w:t>
      </w:r>
      <w:proofErr w:type="spellStart"/>
      <w:r w:rsidRPr="00DF5E58">
        <w:rPr>
          <w:rFonts w:ascii="Verdana" w:hAnsi="Verdana"/>
        </w:rPr>
        <w:t>Poisot</w:t>
      </w:r>
      <w:proofErr w:type="spellEnd"/>
    </w:p>
    <w:p w:rsidR="00DF5E58" w:rsidRPr="00DF5E58" w:rsidRDefault="00DF5E58" w:rsidP="00DF5E58">
      <w:pPr>
        <w:ind w:left="360"/>
        <w:jc w:val="center"/>
        <w:rPr>
          <w:rFonts w:ascii="Verdana" w:hAnsi="Verdana"/>
        </w:rPr>
      </w:pPr>
      <w:r w:rsidRPr="00DF5E58">
        <w:rPr>
          <w:rFonts w:ascii="Verdana" w:hAnsi="Verdana"/>
        </w:rPr>
        <w:t xml:space="preserve">                                                                              Presidente</w:t>
      </w:r>
    </w:p>
    <w:p w:rsidR="00DF5E58" w:rsidRPr="00DF5E58" w:rsidRDefault="00DF5E58" w:rsidP="00DF5E58">
      <w:pPr>
        <w:ind w:left="360"/>
        <w:rPr>
          <w:rFonts w:ascii="Verdana" w:hAnsi="Verdana"/>
        </w:rPr>
      </w:pPr>
    </w:p>
    <w:p w:rsidR="00DF5E58" w:rsidRDefault="00DF5E58" w:rsidP="00DF5E58">
      <w:pPr>
        <w:ind w:left="360"/>
        <w:rPr>
          <w:rFonts w:ascii="Verdana" w:hAnsi="Verdana"/>
        </w:rPr>
      </w:pPr>
    </w:p>
    <w:p w:rsidR="00567AF8" w:rsidRDefault="00567AF8" w:rsidP="00DF5E58">
      <w:pPr>
        <w:ind w:left="360"/>
        <w:rPr>
          <w:rFonts w:ascii="Verdana" w:hAnsi="Verdana"/>
        </w:rPr>
      </w:pPr>
    </w:p>
    <w:p w:rsidR="00567AF8" w:rsidRPr="00DF5E58" w:rsidRDefault="00567AF8" w:rsidP="00DF5E58">
      <w:pPr>
        <w:ind w:left="360"/>
        <w:rPr>
          <w:rFonts w:ascii="Verdana" w:hAnsi="Verdana"/>
        </w:rPr>
      </w:pPr>
    </w:p>
    <w:p w:rsidR="00DF5E58" w:rsidRPr="00DF5E58" w:rsidRDefault="00DF5E58" w:rsidP="00DF5E58">
      <w:pPr>
        <w:ind w:left="360"/>
        <w:rPr>
          <w:rFonts w:ascii="Verdana" w:hAnsi="Verdana"/>
        </w:rPr>
      </w:pPr>
    </w:p>
    <w:p w:rsidR="00DF5E58" w:rsidRPr="00DF5E58" w:rsidRDefault="00DF5E58" w:rsidP="00DF5E58">
      <w:pPr>
        <w:ind w:left="360"/>
        <w:rPr>
          <w:rFonts w:ascii="Verdana" w:hAnsi="Verdana"/>
        </w:rPr>
      </w:pPr>
      <w:r w:rsidRPr="00DF5E58">
        <w:rPr>
          <w:rFonts w:ascii="Verdana" w:hAnsi="Verdana"/>
        </w:rPr>
        <w:t xml:space="preserve">Pablo Saavedra Alessandri </w:t>
      </w:r>
    </w:p>
    <w:p w:rsidR="00DF5E58" w:rsidRPr="00DF5E58" w:rsidRDefault="00DF5E58" w:rsidP="00DF5E58">
      <w:pPr>
        <w:ind w:left="360"/>
        <w:rPr>
          <w:rFonts w:ascii="Verdana" w:hAnsi="Verdana"/>
        </w:rPr>
      </w:pPr>
      <w:r w:rsidRPr="00DF5E58">
        <w:rPr>
          <w:rFonts w:ascii="Verdana" w:hAnsi="Verdana"/>
        </w:rPr>
        <w:t xml:space="preserve">          Secretario</w:t>
      </w:r>
    </w:p>
    <w:p w:rsidR="0042036F" w:rsidRPr="00DF5E58" w:rsidRDefault="008329FD">
      <w:pPr>
        <w:rPr>
          <w:rFonts w:ascii="Verdana" w:hAnsi="Verdana"/>
        </w:rPr>
      </w:pPr>
    </w:p>
    <w:sectPr w:rsidR="0042036F" w:rsidRPr="00DF5E58" w:rsidSect="0030281E">
      <w:foot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9D" w:rsidRDefault="0049109D" w:rsidP="00DF5E58">
      <w:r>
        <w:separator/>
      </w:r>
    </w:p>
  </w:endnote>
  <w:endnote w:type="continuationSeparator" w:id="0">
    <w:p w:rsidR="0049109D" w:rsidRDefault="0049109D" w:rsidP="00DF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auto"/>
    <w:pitch w:val="variable"/>
    <w:sig w:usb0="00000001"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98000"/>
      <w:docPartObj>
        <w:docPartGallery w:val="Page Numbers (Bottom of Page)"/>
        <w:docPartUnique/>
      </w:docPartObj>
    </w:sdtPr>
    <w:sdtEndPr>
      <w:rPr>
        <w:noProof/>
      </w:rPr>
    </w:sdtEndPr>
    <w:sdtContent>
      <w:p w:rsidR="006C14F3" w:rsidRDefault="00CA3AD3">
        <w:pPr>
          <w:pStyle w:val="Piedepgina"/>
          <w:jc w:val="center"/>
        </w:pPr>
        <w:r>
          <w:fldChar w:fldCharType="begin"/>
        </w:r>
        <w:r>
          <w:instrText xml:space="preserve"> PAGE   \* MERGEFORMAT </w:instrText>
        </w:r>
        <w:r>
          <w:fldChar w:fldCharType="separate"/>
        </w:r>
        <w:r w:rsidR="00296527">
          <w:rPr>
            <w:noProof/>
          </w:rPr>
          <w:t>9</w:t>
        </w:r>
        <w:r>
          <w:rPr>
            <w:noProof/>
          </w:rPr>
          <w:fldChar w:fldCharType="end"/>
        </w:r>
      </w:p>
    </w:sdtContent>
  </w:sdt>
  <w:p w:rsidR="006C14F3" w:rsidRDefault="00832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9D" w:rsidRDefault="0049109D" w:rsidP="00DF5E58">
      <w:r>
        <w:separator/>
      </w:r>
    </w:p>
  </w:footnote>
  <w:footnote w:type="continuationSeparator" w:id="0">
    <w:p w:rsidR="0049109D" w:rsidRDefault="0049109D" w:rsidP="00DF5E58">
      <w:r>
        <w:continuationSeparator/>
      </w:r>
    </w:p>
  </w:footnote>
  <w:footnote w:id="1">
    <w:p w:rsidR="00437B83" w:rsidRPr="00CA3AD3" w:rsidRDefault="00437B83" w:rsidP="00CB6D63">
      <w:pPr>
        <w:pStyle w:val="Textonotapie"/>
        <w:spacing w:before="120" w:after="120"/>
        <w:jc w:val="both"/>
        <w:rPr>
          <w:rFonts w:ascii="Verdana" w:hAnsi="Verdana"/>
          <w:sz w:val="16"/>
          <w:szCs w:val="16"/>
          <w:lang w:val="es-ES" w:eastAsia="es-ES"/>
        </w:rPr>
      </w:pPr>
      <w:r w:rsidRPr="00550F80">
        <w:rPr>
          <w:rStyle w:val="Refdenotaalpie"/>
          <w:rFonts w:ascii="Verdana" w:hAnsi="Verdana"/>
          <w:sz w:val="16"/>
          <w:szCs w:val="16"/>
        </w:rPr>
        <w:footnoteRef/>
      </w:r>
      <w:r w:rsidRPr="00550F80">
        <w:rPr>
          <w:rFonts w:ascii="Verdana" w:hAnsi="Verdana"/>
          <w:sz w:val="16"/>
          <w:szCs w:val="16"/>
        </w:rPr>
        <w:t xml:space="preserve"> </w:t>
      </w:r>
      <w:r w:rsidRPr="00550F80">
        <w:rPr>
          <w:rFonts w:ascii="Verdana" w:hAnsi="Verdana"/>
          <w:sz w:val="16"/>
          <w:szCs w:val="16"/>
        </w:rPr>
        <w:tab/>
      </w:r>
      <w:r w:rsidRPr="00550F80">
        <w:rPr>
          <w:rFonts w:ascii="Verdana" w:hAnsi="Verdana"/>
          <w:i/>
          <w:sz w:val="16"/>
          <w:szCs w:val="16"/>
        </w:rPr>
        <w:t xml:space="preserve">Cfr. Caso Pacheco Tineo Vs. Bolivia. </w:t>
      </w:r>
      <w:r w:rsidRPr="00550F80">
        <w:rPr>
          <w:rFonts w:ascii="Verdana" w:hAnsi="Verdana"/>
          <w:sz w:val="16"/>
          <w:szCs w:val="16"/>
        </w:rPr>
        <w:t>Resolución del Presidente de la Corte Interamericana de Derechos Humanos de 19 de febrero de 2013, Considerando 54, y</w:t>
      </w:r>
      <w:r w:rsidRPr="00550F80">
        <w:rPr>
          <w:rFonts w:ascii="Verdana" w:hAnsi="Verdana"/>
          <w:i/>
          <w:sz w:val="16"/>
          <w:szCs w:val="16"/>
        </w:rPr>
        <w:t xml:space="preserve"> </w:t>
      </w:r>
      <w:r w:rsidR="00EA77EF" w:rsidRPr="00EA77EF">
        <w:rPr>
          <w:rStyle w:val="Textoennegrita"/>
          <w:rFonts w:ascii="Verdana" w:hAnsi="Verdana"/>
          <w:b w:val="0"/>
          <w:i/>
          <w:color w:val="000000"/>
          <w:sz w:val="16"/>
          <w:szCs w:val="16"/>
          <w:shd w:val="clear" w:color="auto" w:fill="FFFFFF"/>
        </w:rPr>
        <w:t>Caso Rodríguez Revolorio y otros Vs. Guatemala. Convocatoria a audiencia.</w:t>
      </w:r>
      <w:r w:rsidR="00EA77EF" w:rsidRPr="00EA77EF">
        <w:rPr>
          <w:rStyle w:val="Textoennegrita"/>
          <w:rFonts w:ascii="Verdana" w:hAnsi="Verdana"/>
          <w:b w:val="0"/>
          <w:color w:val="000000"/>
          <w:sz w:val="16"/>
          <w:szCs w:val="16"/>
          <w:shd w:val="clear" w:color="auto" w:fill="FFFFFF"/>
        </w:rPr>
        <w:t xml:space="preserve"> Resolución del Presidente de la Corte Interamericana de Derechos Humanos de 15 de febrero de 2019, </w:t>
      </w:r>
      <w:r w:rsidR="00636A43">
        <w:rPr>
          <w:rStyle w:val="Textoennegrita"/>
          <w:rFonts w:ascii="Verdana" w:hAnsi="Verdana"/>
          <w:b w:val="0"/>
          <w:color w:val="000000"/>
          <w:sz w:val="16"/>
          <w:szCs w:val="16"/>
          <w:shd w:val="clear" w:color="auto" w:fill="FFFFFF"/>
        </w:rPr>
        <w:t>C</w:t>
      </w:r>
      <w:r w:rsidR="00EA77EF" w:rsidRPr="00EA77EF">
        <w:rPr>
          <w:rStyle w:val="Textoennegrita"/>
          <w:rFonts w:ascii="Verdana" w:hAnsi="Verdana"/>
          <w:b w:val="0"/>
          <w:color w:val="000000"/>
          <w:sz w:val="16"/>
          <w:szCs w:val="16"/>
          <w:shd w:val="clear" w:color="auto" w:fill="FFFFFF"/>
        </w:rPr>
        <w:t>onsiderando 25.</w:t>
      </w:r>
    </w:p>
  </w:footnote>
  <w:footnote w:id="2">
    <w:p w:rsidR="00B519CE" w:rsidRPr="00B519CE" w:rsidRDefault="00B519CE" w:rsidP="00CB6D63">
      <w:pPr>
        <w:pStyle w:val="Textonotapie"/>
        <w:spacing w:before="120" w:after="120"/>
        <w:jc w:val="both"/>
        <w:rPr>
          <w:rFonts w:ascii="Verdana" w:hAnsi="Verdana"/>
          <w:sz w:val="16"/>
          <w:szCs w:val="16"/>
        </w:rPr>
      </w:pPr>
      <w:r w:rsidRPr="00B519CE">
        <w:rPr>
          <w:rStyle w:val="Refdenotaalpie"/>
          <w:rFonts w:ascii="Verdana" w:hAnsi="Verdana"/>
          <w:sz w:val="16"/>
          <w:szCs w:val="16"/>
        </w:rPr>
        <w:footnoteRef/>
      </w:r>
      <w:r w:rsidRPr="00B519CE">
        <w:rPr>
          <w:rFonts w:ascii="Verdana" w:hAnsi="Verdana"/>
          <w:sz w:val="16"/>
          <w:szCs w:val="16"/>
        </w:rPr>
        <w:t xml:space="preserve"> </w:t>
      </w:r>
      <w:r w:rsidRPr="00B519CE">
        <w:rPr>
          <w:rFonts w:ascii="Verdana" w:hAnsi="Verdana"/>
          <w:sz w:val="16"/>
          <w:szCs w:val="16"/>
        </w:rPr>
        <w:tab/>
      </w:r>
      <w:r w:rsidRPr="00B519CE">
        <w:rPr>
          <w:rFonts w:ascii="Verdana" w:hAnsi="Verdana"/>
          <w:i/>
          <w:sz w:val="16"/>
          <w:szCs w:val="16"/>
        </w:rPr>
        <w:t>Cfr. Caso González Medina y Familiares vs. República Dominicana.</w:t>
      </w:r>
      <w:r w:rsidRPr="00B519CE">
        <w:rPr>
          <w:rFonts w:ascii="Verdana" w:hAnsi="Verdana"/>
          <w:sz w:val="16"/>
          <w:szCs w:val="16"/>
        </w:rPr>
        <w:t xml:space="preserve"> Resolución del Presidente de la Corte Interamericana de Derechos Humanos de 3 de junio de 2011, C</w:t>
      </w:r>
      <w:r>
        <w:rPr>
          <w:rFonts w:ascii="Verdana" w:hAnsi="Verdana"/>
          <w:sz w:val="16"/>
          <w:szCs w:val="16"/>
        </w:rPr>
        <w:t xml:space="preserve">onsiderando </w:t>
      </w:r>
      <w:r w:rsidR="00390380">
        <w:rPr>
          <w:rFonts w:ascii="Verdana" w:hAnsi="Verdana"/>
          <w:sz w:val="16"/>
          <w:szCs w:val="16"/>
        </w:rPr>
        <w:t>44</w:t>
      </w:r>
      <w:r>
        <w:rPr>
          <w:rFonts w:ascii="Verdana" w:hAnsi="Verdana"/>
          <w:sz w:val="16"/>
          <w:szCs w:val="16"/>
        </w:rPr>
        <w:t xml:space="preserve">, y </w:t>
      </w:r>
      <w:r w:rsidRPr="005B4C09">
        <w:rPr>
          <w:rStyle w:val="Textoennegrita"/>
          <w:rFonts w:ascii="Verdana" w:hAnsi="Verdana"/>
          <w:b w:val="0"/>
          <w:i/>
          <w:color w:val="000000"/>
          <w:sz w:val="16"/>
          <w:szCs w:val="16"/>
          <w:shd w:val="clear" w:color="auto" w:fill="FFFFFF"/>
        </w:rPr>
        <w:t xml:space="preserve">Caso </w:t>
      </w:r>
      <w:r w:rsidRPr="005B4C09">
        <w:rPr>
          <w:rStyle w:val="Textoennegrita"/>
          <w:rFonts w:ascii="Verdana" w:hAnsi="Verdana"/>
          <w:b w:val="0"/>
          <w:i/>
          <w:color w:val="000000"/>
          <w:sz w:val="16"/>
          <w:szCs w:val="16"/>
          <w:shd w:val="clear" w:color="auto" w:fill="FFFFFF"/>
        </w:rPr>
        <w:t>Atala Riffo e hijas Vs. Chile. Convocatoria a audiencia.</w:t>
      </w:r>
      <w:r w:rsidRPr="00B519CE">
        <w:rPr>
          <w:rStyle w:val="Textoennegrita"/>
          <w:rFonts w:ascii="Verdana" w:hAnsi="Verdana"/>
          <w:b w:val="0"/>
          <w:color w:val="000000"/>
          <w:sz w:val="16"/>
          <w:szCs w:val="16"/>
          <w:shd w:val="clear" w:color="auto" w:fill="FFFFFF"/>
        </w:rPr>
        <w:t xml:space="preserve"> Resolución del Presidente de la Corte Interamericana de Derecho</w:t>
      </w:r>
      <w:r w:rsidR="005B4C09">
        <w:rPr>
          <w:rStyle w:val="Textoennegrita"/>
          <w:rFonts w:ascii="Verdana" w:hAnsi="Verdana"/>
          <w:b w:val="0"/>
          <w:color w:val="000000"/>
          <w:sz w:val="16"/>
          <w:szCs w:val="16"/>
          <w:shd w:val="clear" w:color="auto" w:fill="FFFFFF"/>
        </w:rPr>
        <w:t>s Humanos de 7 de julio d</w:t>
      </w:r>
      <w:r w:rsidR="00E72F3A">
        <w:rPr>
          <w:rStyle w:val="Textoennegrita"/>
          <w:rFonts w:ascii="Verdana" w:hAnsi="Verdana"/>
          <w:b w:val="0"/>
          <w:color w:val="000000"/>
          <w:sz w:val="16"/>
          <w:szCs w:val="16"/>
          <w:shd w:val="clear" w:color="auto" w:fill="FFFFFF"/>
        </w:rPr>
        <w:t xml:space="preserve">e 2011, </w:t>
      </w:r>
      <w:r w:rsidR="00636A43">
        <w:rPr>
          <w:rStyle w:val="Textoennegrita"/>
          <w:rFonts w:ascii="Verdana" w:hAnsi="Verdana"/>
          <w:b w:val="0"/>
          <w:color w:val="000000"/>
          <w:sz w:val="16"/>
          <w:szCs w:val="16"/>
          <w:shd w:val="clear" w:color="auto" w:fill="FFFFFF"/>
        </w:rPr>
        <w:t>C</w:t>
      </w:r>
      <w:r w:rsidR="00E72F3A">
        <w:rPr>
          <w:rStyle w:val="Textoennegrita"/>
          <w:rFonts w:ascii="Verdana" w:hAnsi="Verdana"/>
          <w:b w:val="0"/>
          <w:color w:val="000000"/>
          <w:sz w:val="16"/>
          <w:szCs w:val="16"/>
          <w:shd w:val="clear" w:color="auto" w:fill="FFFFFF"/>
        </w:rPr>
        <w:t>onsiderando 25</w:t>
      </w:r>
      <w:r w:rsidR="005B4C09">
        <w:rPr>
          <w:rStyle w:val="Textoennegrita"/>
          <w:rFonts w:ascii="Verdana" w:hAnsi="Verdana"/>
          <w:b w:val="0"/>
          <w:color w:val="000000"/>
          <w:sz w:val="16"/>
          <w:szCs w:val="16"/>
          <w:shd w:val="clear" w:color="auto" w:fill="FFFFFF"/>
        </w:rPr>
        <w:t>.</w:t>
      </w:r>
    </w:p>
  </w:footnote>
  <w:footnote w:id="3">
    <w:p w:rsidR="006D44D0" w:rsidRPr="00CA3AD3" w:rsidRDefault="006D44D0" w:rsidP="00CB6D63">
      <w:pPr>
        <w:pStyle w:val="Textonotapie"/>
        <w:spacing w:before="120" w:after="120"/>
        <w:jc w:val="both"/>
        <w:rPr>
          <w:rFonts w:ascii="Verdana" w:hAnsi="Verdana"/>
          <w:sz w:val="16"/>
          <w:szCs w:val="16"/>
          <w:lang w:val="es-BO"/>
        </w:rPr>
      </w:pPr>
      <w:r w:rsidRPr="00CA3AD3">
        <w:rPr>
          <w:rStyle w:val="Refdenotaalpie"/>
          <w:rFonts w:ascii="Verdana" w:hAnsi="Verdana"/>
          <w:sz w:val="16"/>
          <w:szCs w:val="16"/>
        </w:rPr>
        <w:footnoteRef/>
      </w:r>
      <w:r w:rsidRPr="00CA3AD3">
        <w:rPr>
          <w:rFonts w:ascii="Verdana" w:hAnsi="Verdana"/>
          <w:sz w:val="16"/>
          <w:szCs w:val="16"/>
          <w:lang w:val="es-BO"/>
        </w:rPr>
        <w:t xml:space="preserve"> </w:t>
      </w:r>
      <w:r w:rsidRPr="00CA3AD3">
        <w:rPr>
          <w:rFonts w:ascii="Verdana" w:hAnsi="Verdana"/>
          <w:sz w:val="16"/>
          <w:szCs w:val="16"/>
          <w:lang w:val="es-BO"/>
        </w:rPr>
        <w:tab/>
      </w:r>
      <w:r w:rsidRPr="00CA3AD3">
        <w:rPr>
          <w:rFonts w:ascii="Verdana" w:hAnsi="Verdana"/>
          <w:i/>
          <w:sz w:val="16"/>
          <w:szCs w:val="16"/>
          <w:lang w:val="es-BO"/>
        </w:rPr>
        <w:t>Cfr. Caso de la “Masacre de Pueblo Bello” Vs. Colombia</w:t>
      </w:r>
      <w:r w:rsidRPr="00CA3AD3">
        <w:rPr>
          <w:rFonts w:ascii="Verdana" w:hAnsi="Verdana"/>
          <w:sz w:val="16"/>
          <w:szCs w:val="16"/>
          <w:lang w:val="es-BO"/>
        </w:rPr>
        <w:t xml:space="preserve">. Resolución del Presidente de la Corte Interamericana de Derechos Humanos de 29 de julio de 2005, Considerando 7, y </w:t>
      </w:r>
      <w:r w:rsidR="00EA77EF" w:rsidRPr="00EA77EF">
        <w:rPr>
          <w:rStyle w:val="Textoennegrita"/>
          <w:rFonts w:ascii="Verdana" w:hAnsi="Verdana"/>
          <w:b w:val="0"/>
          <w:i/>
          <w:color w:val="000000"/>
          <w:sz w:val="16"/>
          <w:szCs w:val="16"/>
          <w:shd w:val="clear" w:color="auto" w:fill="FFFFFF"/>
        </w:rPr>
        <w:t xml:space="preserve">Caso Rodríguez </w:t>
      </w:r>
      <w:r w:rsidR="00EA77EF" w:rsidRPr="00EA77EF">
        <w:rPr>
          <w:rStyle w:val="Textoennegrita"/>
          <w:rFonts w:ascii="Verdana" w:hAnsi="Verdana"/>
          <w:b w:val="0"/>
          <w:i/>
          <w:color w:val="000000"/>
          <w:sz w:val="16"/>
          <w:szCs w:val="16"/>
          <w:shd w:val="clear" w:color="auto" w:fill="FFFFFF"/>
        </w:rPr>
        <w:t>Revolorio y otros Vs. Guatemala. Convocatoria a audiencia.</w:t>
      </w:r>
      <w:r w:rsidR="00EA77EF" w:rsidRPr="00EA77EF">
        <w:rPr>
          <w:rStyle w:val="Textoennegrita"/>
          <w:rFonts w:ascii="Verdana" w:hAnsi="Verdana"/>
          <w:b w:val="0"/>
          <w:color w:val="000000"/>
          <w:sz w:val="16"/>
          <w:szCs w:val="16"/>
          <w:shd w:val="clear" w:color="auto" w:fill="FFFFFF"/>
        </w:rPr>
        <w:t xml:space="preserve"> Resolución del Presidente de la Corte Interamericana de Derechos Humanos de 15 de febrero de 2019</w:t>
      </w:r>
      <w:r w:rsidR="00636A43">
        <w:rPr>
          <w:rStyle w:val="Textoennegrita"/>
          <w:rFonts w:ascii="Verdana" w:hAnsi="Verdana"/>
          <w:b w:val="0"/>
          <w:color w:val="000000"/>
          <w:sz w:val="16"/>
          <w:szCs w:val="16"/>
          <w:shd w:val="clear" w:color="auto" w:fill="FFFFFF"/>
        </w:rPr>
        <w:t>, C</w:t>
      </w:r>
      <w:r w:rsidR="00EA77EF">
        <w:rPr>
          <w:rStyle w:val="Textoennegrita"/>
          <w:rFonts w:ascii="Verdana" w:hAnsi="Verdana"/>
          <w:b w:val="0"/>
          <w:color w:val="000000"/>
          <w:sz w:val="16"/>
          <w:szCs w:val="16"/>
          <w:shd w:val="clear" w:color="auto" w:fill="FFFFFF"/>
        </w:rPr>
        <w:t>onsiderando 8</w:t>
      </w:r>
      <w:r w:rsidRPr="00CA3AD3">
        <w:rPr>
          <w:rFonts w:ascii="Verdana" w:hAnsi="Verdana"/>
          <w:sz w:val="16"/>
          <w:szCs w:val="16"/>
          <w:lang w:val="es-BO"/>
        </w:rPr>
        <w:t>.</w:t>
      </w:r>
    </w:p>
  </w:footnote>
  <w:footnote w:id="4">
    <w:p w:rsidR="006D44D0" w:rsidRPr="00CA3AD3" w:rsidRDefault="006D44D0" w:rsidP="00CB6D63">
      <w:pPr>
        <w:pStyle w:val="Textonotapie"/>
        <w:spacing w:before="120" w:after="120"/>
        <w:jc w:val="both"/>
        <w:rPr>
          <w:rFonts w:ascii="Verdana" w:hAnsi="Verdana"/>
          <w:sz w:val="16"/>
          <w:szCs w:val="16"/>
          <w:lang w:val="es-BO"/>
        </w:rPr>
      </w:pPr>
      <w:r w:rsidRPr="00CA3AD3">
        <w:rPr>
          <w:rStyle w:val="Refdenotaalpie"/>
          <w:rFonts w:ascii="Verdana" w:hAnsi="Verdana"/>
          <w:sz w:val="16"/>
          <w:szCs w:val="16"/>
        </w:rPr>
        <w:footnoteRef/>
      </w:r>
      <w:r w:rsidRPr="00CA3AD3">
        <w:rPr>
          <w:rFonts w:ascii="Verdana" w:hAnsi="Verdana"/>
          <w:sz w:val="16"/>
          <w:szCs w:val="16"/>
          <w:lang w:val="es-BO"/>
        </w:rPr>
        <w:t xml:space="preserve"> </w:t>
      </w:r>
      <w:r w:rsidRPr="00CA3AD3">
        <w:rPr>
          <w:rFonts w:ascii="Verdana" w:hAnsi="Verdana"/>
          <w:sz w:val="16"/>
          <w:szCs w:val="16"/>
          <w:lang w:val="es-BO"/>
        </w:rPr>
        <w:tab/>
      </w:r>
      <w:r w:rsidRPr="00CA3AD3">
        <w:rPr>
          <w:rFonts w:ascii="Verdana" w:hAnsi="Verdana"/>
          <w:i/>
          <w:sz w:val="16"/>
          <w:szCs w:val="16"/>
          <w:lang w:val="es-BO"/>
        </w:rPr>
        <w:t>Cfr. Caso Suárez Peralta Vs. Ecuador</w:t>
      </w:r>
      <w:r w:rsidRPr="00CA3AD3">
        <w:rPr>
          <w:rFonts w:ascii="Verdana" w:hAnsi="Verdana"/>
          <w:sz w:val="16"/>
          <w:szCs w:val="16"/>
          <w:lang w:val="es-BO"/>
        </w:rPr>
        <w:t>. Resolución del Presidente de la Corte Interamericana de Derechos Humanos de 20 de diciembre de 2012, Considerando 22, y</w:t>
      </w:r>
      <w:r w:rsidRPr="00047654">
        <w:rPr>
          <w:rFonts w:ascii="Verdana" w:hAnsi="Verdana"/>
          <w:i/>
          <w:sz w:val="16"/>
          <w:szCs w:val="16"/>
          <w:lang w:val="es-BO"/>
        </w:rPr>
        <w:t xml:space="preserve"> </w:t>
      </w:r>
      <w:r w:rsidR="00047654" w:rsidRPr="00047654">
        <w:rPr>
          <w:rFonts w:ascii="Verdana" w:hAnsi="Verdana"/>
          <w:bCs/>
          <w:i/>
          <w:sz w:val="16"/>
          <w:szCs w:val="16"/>
          <w:lang w:val="es-BO"/>
        </w:rPr>
        <w:t xml:space="preserve">Rodríguez </w:t>
      </w:r>
      <w:r w:rsidR="00047654" w:rsidRPr="00047654">
        <w:rPr>
          <w:rFonts w:ascii="Verdana" w:hAnsi="Verdana"/>
          <w:bCs/>
          <w:i/>
          <w:sz w:val="16"/>
          <w:szCs w:val="16"/>
          <w:lang w:val="es-BO"/>
        </w:rPr>
        <w:t xml:space="preserve">Revolorio y otros Vs. Guatemala. Convocatoria a audiencia. </w:t>
      </w:r>
      <w:r w:rsidR="00047654" w:rsidRPr="00047654">
        <w:rPr>
          <w:rFonts w:ascii="Verdana" w:hAnsi="Verdana"/>
          <w:bCs/>
          <w:sz w:val="16"/>
          <w:szCs w:val="16"/>
          <w:lang w:val="es-BO"/>
        </w:rPr>
        <w:t>Resolución del Presidente de la Corte Interamericana de Derechos Humanos de 15 de febrero de 2019</w:t>
      </w:r>
      <w:r w:rsidR="00623921" w:rsidRPr="00047654">
        <w:rPr>
          <w:rFonts w:ascii="Verdana" w:hAnsi="Verdana"/>
          <w:sz w:val="16"/>
          <w:szCs w:val="16"/>
          <w:lang w:val="es-BO"/>
        </w:rPr>
        <w:t xml:space="preserve">, </w:t>
      </w:r>
      <w:r w:rsidR="00047654" w:rsidRPr="00047654">
        <w:rPr>
          <w:rFonts w:ascii="Verdana" w:hAnsi="Verdana"/>
          <w:sz w:val="16"/>
          <w:szCs w:val="16"/>
          <w:lang w:val="es-BO"/>
        </w:rPr>
        <w:t>Considerando 8</w:t>
      </w:r>
      <w:r w:rsidRPr="00047654">
        <w:rPr>
          <w:rFonts w:ascii="Verdana" w:hAnsi="Verdana"/>
          <w:sz w:val="16"/>
          <w:szCs w:val="16"/>
          <w:lang w:val="es-BO"/>
        </w:rPr>
        <w:t>.</w:t>
      </w:r>
    </w:p>
  </w:footnote>
  <w:footnote w:id="5">
    <w:p w:rsidR="00B05373" w:rsidRPr="00CA3AD3" w:rsidRDefault="00B05373" w:rsidP="00CB6D63">
      <w:pPr>
        <w:pStyle w:val="Textonotapie"/>
        <w:spacing w:before="120" w:after="120"/>
        <w:jc w:val="both"/>
        <w:rPr>
          <w:rFonts w:ascii="Verdana" w:hAnsi="Verdana"/>
          <w:sz w:val="16"/>
          <w:szCs w:val="16"/>
        </w:rPr>
      </w:pPr>
      <w:r w:rsidRPr="00CA3AD3">
        <w:rPr>
          <w:rStyle w:val="Refdenotaalpie"/>
          <w:rFonts w:ascii="Verdana" w:hAnsi="Verdana"/>
          <w:sz w:val="16"/>
          <w:szCs w:val="16"/>
        </w:rPr>
        <w:footnoteRef/>
      </w:r>
      <w:r w:rsidRPr="00CA3AD3">
        <w:rPr>
          <w:rFonts w:ascii="Verdana" w:hAnsi="Verdana"/>
          <w:sz w:val="16"/>
          <w:szCs w:val="16"/>
        </w:rPr>
        <w:t xml:space="preserve"> </w:t>
      </w:r>
      <w:r w:rsidRPr="00CA3AD3">
        <w:rPr>
          <w:rFonts w:ascii="Verdana" w:hAnsi="Verdana"/>
          <w:sz w:val="16"/>
          <w:szCs w:val="16"/>
        </w:rPr>
        <w:tab/>
        <w:t xml:space="preserve">Los representantes informaron que el señor de la </w:t>
      </w:r>
      <w:r w:rsidRPr="00CA3AD3">
        <w:rPr>
          <w:rFonts w:ascii="Verdana" w:hAnsi="Verdana"/>
          <w:sz w:val="16"/>
          <w:szCs w:val="16"/>
        </w:rPr>
        <w:t>Rua declararía sobre “la naturaleza, alcance, desarrollo y modificaciones de la legislación procesal penal de Mendoza, ley 6730 y sus modificaciones, sus efectos en la práctica, su ajuste a la Constitución de Argentina y CADH y las diversas situaciones y problemas que se presentan con su aplicación en los procesos penales entre otros aspectos relativos al obje</w:t>
      </w:r>
      <w:r w:rsidR="00406434">
        <w:rPr>
          <w:rFonts w:ascii="Verdana" w:hAnsi="Verdana"/>
          <w:sz w:val="16"/>
          <w:szCs w:val="16"/>
        </w:rPr>
        <w:t>to y fin de la presente demanda</w:t>
      </w:r>
      <w:r w:rsidRPr="00CA3AD3">
        <w:rPr>
          <w:rFonts w:ascii="Verdana" w:hAnsi="Verdana"/>
          <w:sz w:val="16"/>
          <w:szCs w:val="16"/>
        </w:rPr>
        <w:t>”</w:t>
      </w:r>
      <w:r w:rsidR="00406434">
        <w:rPr>
          <w:rFonts w:ascii="Verdana" w:hAnsi="Verdana"/>
          <w:sz w:val="16"/>
          <w:szCs w:val="16"/>
        </w:rPr>
        <w:t>.</w:t>
      </w:r>
    </w:p>
  </w:footnote>
  <w:footnote w:id="6">
    <w:p w:rsidR="00B05373" w:rsidRPr="00CA3AD3" w:rsidRDefault="00B05373" w:rsidP="00CB6D63">
      <w:pPr>
        <w:pStyle w:val="Textonotapie"/>
        <w:spacing w:before="120" w:after="120"/>
        <w:jc w:val="both"/>
        <w:rPr>
          <w:rFonts w:ascii="Verdana" w:hAnsi="Verdana"/>
          <w:sz w:val="16"/>
          <w:szCs w:val="16"/>
        </w:rPr>
      </w:pPr>
      <w:r w:rsidRPr="00CA3AD3">
        <w:rPr>
          <w:rStyle w:val="Refdenotaalpie"/>
          <w:rFonts w:ascii="Verdana" w:hAnsi="Verdana"/>
          <w:sz w:val="16"/>
          <w:szCs w:val="16"/>
        </w:rPr>
        <w:footnoteRef/>
      </w:r>
      <w:r w:rsidRPr="00CA3AD3">
        <w:rPr>
          <w:rFonts w:ascii="Verdana" w:hAnsi="Verdana"/>
          <w:sz w:val="16"/>
          <w:szCs w:val="16"/>
        </w:rPr>
        <w:t xml:space="preserve"> </w:t>
      </w:r>
      <w:r w:rsidRPr="00CA3AD3">
        <w:rPr>
          <w:rFonts w:ascii="Verdana" w:hAnsi="Verdana"/>
          <w:sz w:val="16"/>
          <w:szCs w:val="16"/>
        </w:rPr>
        <w:tab/>
        <w:t>Los representantes informaron que el señor Dimas Agüero declararía sobre “la naturaleza, alcance, desarrollo y modificaciones del Doble Conforme en la Provincia de Mendoza y el Recurso Extraordinario ante la CSJN, sus efectos en la práctica y ajuste a la CADH y las diversas situaciones y problemas que se presentan con su aplicación en los procesos penales entre otros aspectos relativos al obje</w:t>
      </w:r>
      <w:r w:rsidR="00406434">
        <w:rPr>
          <w:rFonts w:ascii="Verdana" w:hAnsi="Verdana"/>
          <w:sz w:val="16"/>
          <w:szCs w:val="16"/>
        </w:rPr>
        <w:t>to y fin de la presente demanda</w:t>
      </w:r>
      <w:r w:rsidRPr="00CA3AD3">
        <w:rPr>
          <w:rFonts w:ascii="Verdana" w:hAnsi="Verdana"/>
          <w:sz w:val="16"/>
          <w:szCs w:val="16"/>
        </w:rPr>
        <w:t>”</w:t>
      </w:r>
      <w:r w:rsidR="00406434">
        <w:rPr>
          <w:rFonts w:ascii="Verdana" w:hAnsi="Verdana"/>
          <w:sz w:val="16"/>
          <w:szCs w:val="16"/>
        </w:rPr>
        <w:t>.</w:t>
      </w:r>
    </w:p>
  </w:footnote>
  <w:footnote w:id="7">
    <w:p w:rsidR="00B05373" w:rsidRPr="00CA3AD3" w:rsidRDefault="00B05373" w:rsidP="00CB6D63">
      <w:pPr>
        <w:pStyle w:val="Textonotapie"/>
        <w:spacing w:before="120" w:after="120"/>
        <w:jc w:val="both"/>
        <w:rPr>
          <w:rFonts w:ascii="Verdana" w:hAnsi="Verdana"/>
          <w:sz w:val="16"/>
          <w:szCs w:val="16"/>
        </w:rPr>
      </w:pPr>
      <w:r w:rsidRPr="00CA3AD3">
        <w:rPr>
          <w:rStyle w:val="Refdenotaalpie"/>
          <w:rFonts w:ascii="Verdana" w:hAnsi="Verdana"/>
          <w:sz w:val="16"/>
          <w:szCs w:val="16"/>
        </w:rPr>
        <w:footnoteRef/>
      </w:r>
      <w:r w:rsidRPr="00CA3AD3">
        <w:rPr>
          <w:rFonts w:ascii="Verdana" w:hAnsi="Verdana"/>
          <w:sz w:val="16"/>
          <w:szCs w:val="16"/>
        </w:rPr>
        <w:t xml:space="preserve"> </w:t>
      </w:r>
      <w:r w:rsidRPr="00CA3AD3">
        <w:rPr>
          <w:rFonts w:ascii="Verdana" w:hAnsi="Verdana"/>
          <w:sz w:val="16"/>
          <w:szCs w:val="16"/>
        </w:rPr>
        <w:tab/>
        <w:t>Los representantes informaron que el señor Juliano declararía sobre “la situación actual del Doble Conforme en las Provincias respecto de su desarrollo, alcance y limitaciones en función del art. 28 de la CADH y su ajuste a la CADH”</w:t>
      </w:r>
      <w:r w:rsidR="00406434">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A0A"/>
    <w:multiLevelType w:val="hybridMultilevel"/>
    <w:tmpl w:val="3D24E59A"/>
    <w:lvl w:ilvl="0" w:tplc="D158D870">
      <w:start w:val="1"/>
      <w:numFmt w:val="decimal"/>
      <w:lvlText w:val="%1."/>
      <w:lvlJc w:val="left"/>
      <w:pPr>
        <w:ind w:left="720" w:hanging="360"/>
      </w:pPr>
      <w:rPr>
        <w:rFonts w:hint="default"/>
        <w:b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0867BD"/>
    <w:multiLevelType w:val="hybridMultilevel"/>
    <w:tmpl w:val="6A887508"/>
    <w:lvl w:ilvl="0" w:tplc="C76AEAF0">
      <w:start w:val="1"/>
      <w:numFmt w:val="decimal"/>
      <w:lvlText w:val="%1."/>
      <w:lvlJc w:val="left"/>
      <w:pPr>
        <w:ind w:left="360" w:hanging="360"/>
      </w:pPr>
      <w:rPr>
        <w:b w:val="0"/>
        <w:color w:val="000000"/>
      </w:rPr>
    </w:lvl>
    <w:lvl w:ilvl="1" w:tplc="3C308C40">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286C3432">
      <w:start w:val="1"/>
      <w:numFmt w:val="lowerLetter"/>
      <w:lvlText w:val="%7."/>
      <w:lvlJc w:val="left"/>
      <w:pPr>
        <w:ind w:left="4680" w:hanging="360"/>
      </w:pPr>
      <w:rPr>
        <w:rFonts w:ascii="Verdana" w:eastAsia="Calibri" w:hAnsi="Verdana" w:cs="Verdana"/>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A38404A"/>
    <w:multiLevelType w:val="hybridMultilevel"/>
    <w:tmpl w:val="DEA874EC"/>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15:restartNumberingAfterBreak="0">
    <w:nsid w:val="42004AD5"/>
    <w:multiLevelType w:val="hybridMultilevel"/>
    <w:tmpl w:val="01627CDC"/>
    <w:lvl w:ilvl="0" w:tplc="A3966368">
      <w:start w:val="1"/>
      <w:numFmt w:val="upperLetter"/>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2601E30"/>
    <w:multiLevelType w:val="hybridMultilevel"/>
    <w:tmpl w:val="4A003198"/>
    <w:lvl w:ilvl="0" w:tplc="A3661314">
      <w:start w:val="1"/>
      <w:numFmt w:val="decimal"/>
      <w:lvlText w:val="%1."/>
      <w:lvlJc w:val="left"/>
      <w:pPr>
        <w:ind w:left="720" w:hanging="360"/>
      </w:pPr>
      <w:rPr>
        <w:rFonts w:hint="default"/>
        <w:u w:val="no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C5A6277"/>
    <w:multiLevelType w:val="hybridMultilevel"/>
    <w:tmpl w:val="677A3D52"/>
    <w:lvl w:ilvl="0" w:tplc="3C308C40">
      <w:start w:val="1"/>
      <w:numFmt w:val="lowerLetter"/>
      <w:lvlText w:val="%1."/>
      <w:lvlJc w:val="left"/>
      <w:pPr>
        <w:ind w:left="1080" w:hanging="360"/>
      </w:pPr>
      <w:rPr>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EDF1884"/>
    <w:multiLevelType w:val="hybridMultilevel"/>
    <w:tmpl w:val="CC9CFA08"/>
    <w:lvl w:ilvl="0" w:tplc="A3661314">
      <w:start w:val="1"/>
      <w:numFmt w:val="decimal"/>
      <w:lvlText w:val="%1."/>
      <w:lvlJc w:val="left"/>
      <w:pPr>
        <w:ind w:left="720" w:hanging="360"/>
      </w:pPr>
      <w:rPr>
        <w:rFonts w:hint="default"/>
        <w:u w:val="none"/>
      </w:rPr>
    </w:lvl>
    <w:lvl w:ilvl="1" w:tplc="140A0019">
      <w:start w:val="1"/>
      <w:numFmt w:val="lowerLetter"/>
      <w:lvlText w:val="%2."/>
      <w:lvlJc w:val="left"/>
      <w:pPr>
        <w:ind w:left="927"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E076E23"/>
    <w:multiLevelType w:val="hybridMultilevel"/>
    <w:tmpl w:val="01627CDC"/>
    <w:lvl w:ilvl="0" w:tplc="A3966368">
      <w:start w:val="1"/>
      <w:numFmt w:val="upperLetter"/>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9" w15:restartNumberingAfterBreak="0">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0" w15:restartNumberingAfterBreak="0">
    <w:nsid w:val="75FB7C72"/>
    <w:multiLevelType w:val="hybridMultilevel"/>
    <w:tmpl w:val="E00CEF96"/>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58"/>
    <w:rsid w:val="00040740"/>
    <w:rsid w:val="00047654"/>
    <w:rsid w:val="0006722B"/>
    <w:rsid w:val="001A3A53"/>
    <w:rsid w:val="001C57F4"/>
    <w:rsid w:val="001D6BE5"/>
    <w:rsid w:val="001F0001"/>
    <w:rsid w:val="00296527"/>
    <w:rsid w:val="00297C21"/>
    <w:rsid w:val="002C5A03"/>
    <w:rsid w:val="003004B1"/>
    <w:rsid w:val="00390380"/>
    <w:rsid w:val="003908B4"/>
    <w:rsid w:val="00406434"/>
    <w:rsid w:val="004069F5"/>
    <w:rsid w:val="0041764D"/>
    <w:rsid w:val="0042556A"/>
    <w:rsid w:val="00437B83"/>
    <w:rsid w:val="0044088A"/>
    <w:rsid w:val="00446EAC"/>
    <w:rsid w:val="0049109D"/>
    <w:rsid w:val="00541A48"/>
    <w:rsid w:val="00550F80"/>
    <w:rsid w:val="00567AF8"/>
    <w:rsid w:val="0058246C"/>
    <w:rsid w:val="005B14DA"/>
    <w:rsid w:val="005B4C09"/>
    <w:rsid w:val="005D5CF9"/>
    <w:rsid w:val="005D7798"/>
    <w:rsid w:val="00623921"/>
    <w:rsid w:val="00636A43"/>
    <w:rsid w:val="00641F43"/>
    <w:rsid w:val="006D44D0"/>
    <w:rsid w:val="006F5CC5"/>
    <w:rsid w:val="00752D91"/>
    <w:rsid w:val="007E7318"/>
    <w:rsid w:val="00815CA8"/>
    <w:rsid w:val="00817FA5"/>
    <w:rsid w:val="008329FD"/>
    <w:rsid w:val="00870EF3"/>
    <w:rsid w:val="008B67F5"/>
    <w:rsid w:val="008C7954"/>
    <w:rsid w:val="008D7669"/>
    <w:rsid w:val="0092633C"/>
    <w:rsid w:val="00945ACE"/>
    <w:rsid w:val="009970DB"/>
    <w:rsid w:val="00A02581"/>
    <w:rsid w:val="00A96B05"/>
    <w:rsid w:val="00AA7A86"/>
    <w:rsid w:val="00AB5E2A"/>
    <w:rsid w:val="00AB6F99"/>
    <w:rsid w:val="00AC2088"/>
    <w:rsid w:val="00B05373"/>
    <w:rsid w:val="00B35DAC"/>
    <w:rsid w:val="00B519CE"/>
    <w:rsid w:val="00B77C47"/>
    <w:rsid w:val="00BB5B16"/>
    <w:rsid w:val="00BF1D50"/>
    <w:rsid w:val="00BF4BA7"/>
    <w:rsid w:val="00C14F9A"/>
    <w:rsid w:val="00C30685"/>
    <w:rsid w:val="00C74C34"/>
    <w:rsid w:val="00CA3AD3"/>
    <w:rsid w:val="00CB6D63"/>
    <w:rsid w:val="00CD558D"/>
    <w:rsid w:val="00CF28F9"/>
    <w:rsid w:val="00D2001F"/>
    <w:rsid w:val="00D238F7"/>
    <w:rsid w:val="00D33A5C"/>
    <w:rsid w:val="00DC19E6"/>
    <w:rsid w:val="00DF5E58"/>
    <w:rsid w:val="00E062D0"/>
    <w:rsid w:val="00E42A09"/>
    <w:rsid w:val="00E72F3A"/>
    <w:rsid w:val="00E905A3"/>
    <w:rsid w:val="00EA17D8"/>
    <w:rsid w:val="00EA77EF"/>
    <w:rsid w:val="00ED18E7"/>
    <w:rsid w:val="00F0452E"/>
    <w:rsid w:val="00F25D64"/>
    <w:rsid w:val="00F331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04442-48A9-4829-BEE8-31DC1C65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Ttulo2">
    <w:name w:val="heading 2"/>
    <w:basedOn w:val="Normal"/>
    <w:next w:val="Normal"/>
    <w:link w:val="Ttulo2C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Ttulo3">
    <w:name w:val="heading 3"/>
    <w:basedOn w:val="Normal"/>
    <w:next w:val="Normal"/>
    <w:link w:val="Ttulo3C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Ttulo5">
    <w:name w:val="heading 5"/>
    <w:basedOn w:val="Normal"/>
    <w:next w:val="Normal"/>
    <w:link w:val="Ttulo5Car"/>
    <w:qFormat/>
    <w:rsid w:val="005D5CF9"/>
    <w:pPr>
      <w:spacing w:before="240" w:after="60"/>
      <w:outlineLvl w:val="4"/>
    </w:pPr>
    <w:rPr>
      <w:rFonts w:ascii="Verdana" w:eastAsia="Times New Roman" w:hAnsi="Verdana"/>
      <w:b/>
      <w:i/>
      <w:szCs w:val="26"/>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val="es-ES_tradnl"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Ttulo1Car">
    <w:name w:val="Título 1 Car"/>
    <w:link w:val="Ttulo1"/>
    <w:uiPriority w:val="9"/>
    <w:rsid w:val="005D5CF9"/>
    <w:rPr>
      <w:rFonts w:ascii="Verdana Bold" w:eastAsia="Times New Roman" w:hAnsi="Verdana Bold"/>
      <w:b/>
      <w:bCs/>
      <w:caps/>
      <w:kern w:val="32"/>
      <w:szCs w:val="32"/>
    </w:rPr>
  </w:style>
  <w:style w:type="character" w:customStyle="1" w:styleId="Ttulo2Car">
    <w:name w:val="Título 2 Car"/>
    <w:link w:val="Ttulo2"/>
    <w:uiPriority w:val="9"/>
    <w:rsid w:val="005D5CF9"/>
    <w:rPr>
      <w:rFonts w:ascii="Verdana" w:eastAsia="Times New Roman" w:hAnsi="Verdana"/>
      <w:b/>
      <w:bCs/>
      <w:i/>
      <w:iCs/>
      <w:szCs w:val="28"/>
    </w:rPr>
  </w:style>
  <w:style w:type="character" w:customStyle="1" w:styleId="Ttulo3Car">
    <w:name w:val="Título 3 Car"/>
    <w:link w:val="Ttulo3"/>
    <w:uiPriority w:val="9"/>
    <w:semiHidden/>
    <w:rsid w:val="005D5CF9"/>
    <w:rPr>
      <w:rFonts w:ascii="Cambria" w:eastAsia="Times New Roman" w:hAnsi="Cambria"/>
      <w:b/>
      <w:bCs/>
      <w:sz w:val="26"/>
      <w:szCs w:val="26"/>
    </w:rPr>
  </w:style>
  <w:style w:type="character" w:customStyle="1" w:styleId="Ttulo5Car">
    <w:name w:val="Título 5 Car"/>
    <w:link w:val="Ttulo5"/>
    <w:rsid w:val="005D5CF9"/>
    <w:rPr>
      <w:rFonts w:ascii="Verdana" w:eastAsia="Times New Roman" w:hAnsi="Verdana"/>
      <w:b/>
      <w:i/>
      <w:szCs w:val="26"/>
      <w:lang w:eastAsia="x-none"/>
    </w:rPr>
  </w:style>
  <w:style w:type="paragraph" w:styleId="Textonotapie">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TextonotapieCar1"/>
    <w:qFormat/>
    <w:rsid w:val="005D5CF9"/>
    <w:rPr>
      <w:rFonts w:ascii="Times New Roman" w:eastAsia="Times New Roman" w:hAnsi="Times New Roman"/>
      <w:lang w:val="es-MX"/>
    </w:rPr>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link w:val="Textonotapie"/>
    <w:qFormat/>
    <w:rsid w:val="005D5CF9"/>
    <w:rPr>
      <w:rFonts w:ascii="Times New Roman" w:eastAsia="Times New Roman" w:hAnsi="Times New Roman"/>
      <w:lang w:val="es-MX"/>
    </w:rPr>
  </w:style>
  <w:style w:type="paragraph" w:styleId="Ttulo">
    <w:name w:val="Title"/>
    <w:basedOn w:val="Normal"/>
    <w:link w:val="TtuloCar"/>
    <w:uiPriority w:val="99"/>
    <w:qFormat/>
    <w:rsid w:val="005D5CF9"/>
    <w:pPr>
      <w:spacing w:before="60" w:after="60"/>
      <w:jc w:val="center"/>
    </w:pPr>
    <w:rPr>
      <w:rFonts w:ascii="Verdana" w:eastAsia="Times New Roman" w:hAnsi="Verdana"/>
      <w:b/>
      <w:lang w:val="es-ES_tradnl" w:eastAsia="en-US"/>
    </w:rPr>
  </w:style>
  <w:style w:type="character" w:customStyle="1" w:styleId="TtuloCar">
    <w:name w:val="Título Car"/>
    <w:link w:val="Ttulo"/>
    <w:uiPriority w:val="99"/>
    <w:rsid w:val="005D5CF9"/>
    <w:rPr>
      <w:rFonts w:ascii="Verdana" w:eastAsia="Times New Roman" w:hAnsi="Verdana"/>
      <w:b/>
      <w:lang w:val="es-ES_tradnl" w:eastAsia="en-US"/>
    </w:rPr>
  </w:style>
  <w:style w:type="paragraph" w:styleId="Subttulo">
    <w:name w:val="Subtitle"/>
    <w:basedOn w:val="Normal"/>
    <w:next w:val="Normal"/>
    <w:link w:val="SubttuloCar"/>
    <w:qFormat/>
    <w:rsid w:val="005D5CF9"/>
    <w:pPr>
      <w:numPr>
        <w:ilvl w:val="1"/>
      </w:numPr>
      <w:spacing w:before="60" w:after="60"/>
      <w:jc w:val="center"/>
    </w:pPr>
    <w:rPr>
      <w:rFonts w:ascii="Verdana" w:eastAsia="Times New Roman" w:hAnsi="Verdana"/>
      <w:b/>
      <w:i/>
      <w:iCs/>
      <w:spacing w:val="15"/>
      <w:szCs w:val="24"/>
      <w:lang w:val="es-ES_tradnl" w:eastAsia="en-US"/>
    </w:rPr>
  </w:style>
  <w:style w:type="character" w:customStyle="1" w:styleId="SubttuloCar">
    <w:name w:val="Subtítulo Car"/>
    <w:link w:val="Subttulo"/>
    <w:rsid w:val="005D5CF9"/>
    <w:rPr>
      <w:rFonts w:ascii="Verdana" w:eastAsia="Times New Roman" w:hAnsi="Verdana"/>
      <w:b/>
      <w:i/>
      <w:iCs/>
      <w:spacing w:val="15"/>
      <w:szCs w:val="24"/>
      <w:lang w:val="es-ES_tradnl" w:eastAsia="en-US"/>
    </w:rPr>
  </w:style>
  <w:style w:type="character" w:styleId="Textoennegrita">
    <w:name w:val="Strong"/>
    <w:uiPriority w:val="22"/>
    <w:qFormat/>
    <w:rsid w:val="005D5CF9"/>
    <w:rPr>
      <w:b/>
      <w:bCs/>
    </w:rPr>
  </w:style>
  <w:style w:type="paragraph" w:styleId="Sinespaciado">
    <w:name w:val="No Spacing"/>
    <w:uiPriority w:val="1"/>
    <w:qFormat/>
    <w:rsid w:val="005D5CF9"/>
    <w:rPr>
      <w:sz w:val="22"/>
      <w:szCs w:val="22"/>
      <w:lang w:val="en-US" w:eastAsia="en-US"/>
    </w:rPr>
  </w:style>
  <w:style w:type="paragraph" w:styleId="Prrafodelista">
    <w:name w:val="List Paragraph"/>
    <w:aliases w:val="Colorful List - Accent 11,Lista vistosa - Énfasis 11,Footnote,List Paragraph2,Párrafo de lista1"/>
    <w:uiPriority w:val="34"/>
    <w:qFormat/>
    <w:rsid w:val="005D5CF9"/>
    <w:pPr>
      <w:ind w:left="720"/>
    </w:pPr>
    <w:rPr>
      <w:rFonts w:ascii="Cambria" w:eastAsia="Cambria" w:hAnsi="Cambria" w:cs="Cambria"/>
      <w:color w:val="000000"/>
      <w:sz w:val="24"/>
      <w:szCs w:val="24"/>
      <w:u w:color="000000"/>
      <w:lang w:val="en-US" w:eastAsia="es-ES"/>
    </w:rPr>
  </w:style>
  <w:style w:type="paragraph" w:styleId="TtuloTDC">
    <w:name w:val="TOC Heading"/>
    <w:basedOn w:val="Ttulo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Listavistosa-nfasis1"/>
    <w:uiPriority w:val="34"/>
    <w:rsid w:val="005D5CF9"/>
    <w:rPr>
      <w:rFonts w:eastAsia="Times New Roman"/>
      <w:lang w:val="es-CR" w:eastAsia="es-CR"/>
    </w:rPr>
  </w:style>
  <w:style w:type="table" w:styleId="Listavistosa-nfasis1">
    <w:name w:val="Colorful List Accent 1"/>
    <w:basedOn w:val="Tabla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F5E58"/>
    <w:rPr>
      <w:vertAlign w:val="superscript"/>
    </w:rPr>
  </w:style>
  <w:style w:type="paragraph" w:customStyle="1" w:styleId="ListParagraph1">
    <w:name w:val="List Paragraph1"/>
    <w:basedOn w:val="Normal"/>
    <w:rsid w:val="00DF5E58"/>
    <w:pPr>
      <w:ind w:left="720"/>
    </w:pPr>
    <w:rPr>
      <w:rFonts w:ascii="Times New Roman" w:hAnsi="Times New Roman"/>
      <w:sz w:val="24"/>
      <w:szCs w:val="24"/>
      <w:lang w:val="es-ES" w:eastAsia="es-ES"/>
    </w:rPr>
  </w:style>
  <w:style w:type="paragraph" w:styleId="Piedepgina">
    <w:name w:val="footer"/>
    <w:basedOn w:val="Normal"/>
    <w:link w:val="PiedepginaCar"/>
    <w:uiPriority w:val="99"/>
    <w:unhideWhenUsed/>
    <w:rsid w:val="00DF5E58"/>
    <w:pPr>
      <w:tabs>
        <w:tab w:val="center" w:pos="4680"/>
        <w:tab w:val="right" w:pos="9360"/>
      </w:tabs>
      <w:jc w:val="both"/>
    </w:pPr>
    <w:rPr>
      <w:rFonts w:ascii="Verdana" w:hAnsi="Verdana"/>
      <w:szCs w:val="24"/>
      <w:lang w:val="es-ES_tradnl" w:eastAsia="es-ES"/>
    </w:rPr>
  </w:style>
  <w:style w:type="character" w:customStyle="1" w:styleId="PiedepginaCar">
    <w:name w:val="Pie de página Car"/>
    <w:basedOn w:val="Fuentedeprrafopredeter"/>
    <w:link w:val="Piedepgina"/>
    <w:uiPriority w:val="99"/>
    <w:rsid w:val="00DF5E58"/>
    <w:rPr>
      <w:rFonts w:ascii="Verdana" w:hAnsi="Verdana"/>
      <w:szCs w:val="24"/>
      <w:lang w:val="es-ES_tradnl" w:eastAsia="es-ES"/>
    </w:rPr>
  </w:style>
  <w:style w:type="paragraph" w:styleId="Sangradetextonormal">
    <w:name w:val="Body Text Indent"/>
    <w:basedOn w:val="Normal"/>
    <w:link w:val="SangradetextonormalCar"/>
    <w:uiPriority w:val="99"/>
    <w:unhideWhenUsed/>
    <w:rsid w:val="00DF5E58"/>
    <w:pPr>
      <w:spacing w:after="120"/>
      <w:ind w:left="283"/>
      <w:jc w:val="both"/>
    </w:pPr>
    <w:rPr>
      <w:rFonts w:ascii="Verdana" w:hAnsi="Verdana"/>
      <w:szCs w:val="24"/>
      <w:lang w:val="es-ES_tradnl" w:eastAsia="es-ES"/>
    </w:rPr>
  </w:style>
  <w:style w:type="character" w:customStyle="1" w:styleId="SangradetextonormalCar">
    <w:name w:val="Sangría de texto normal Car"/>
    <w:basedOn w:val="Fuentedeprrafopredeter"/>
    <w:link w:val="Sangradetextonormal"/>
    <w:uiPriority w:val="99"/>
    <w:rsid w:val="00DF5E58"/>
    <w:rPr>
      <w:rFonts w:ascii="Verdana" w:hAnsi="Verdana"/>
      <w:szCs w:val="24"/>
      <w:lang w:val="es-ES_tradnl" w:eastAsia="es-ES"/>
    </w:rPr>
  </w:style>
  <w:style w:type="paragraph" w:styleId="Textodeglobo">
    <w:name w:val="Balloon Text"/>
    <w:basedOn w:val="Normal"/>
    <w:link w:val="TextodegloboCar"/>
    <w:uiPriority w:val="99"/>
    <w:semiHidden/>
    <w:unhideWhenUsed/>
    <w:rsid w:val="006D44D0"/>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4D0"/>
    <w:rPr>
      <w:rFonts w:ascii="Tahoma" w:hAnsi="Tahoma" w:cs="Tahoma"/>
      <w:sz w:val="16"/>
      <w:szCs w:val="16"/>
    </w:rPr>
  </w:style>
  <w:style w:type="paragraph" w:styleId="Textocomentario">
    <w:name w:val="annotation text"/>
    <w:basedOn w:val="Normal"/>
    <w:link w:val="TextocomentarioCar"/>
    <w:uiPriority w:val="99"/>
    <w:semiHidden/>
    <w:unhideWhenUsed/>
    <w:rsid w:val="00F25D64"/>
  </w:style>
  <w:style w:type="character" w:customStyle="1" w:styleId="TextocomentarioCar">
    <w:name w:val="Texto comentario Car"/>
    <w:basedOn w:val="Fuentedeprrafopredeter"/>
    <w:link w:val="Textocomentario"/>
    <w:uiPriority w:val="99"/>
    <w:semiHidden/>
    <w:rsid w:val="00F25D64"/>
  </w:style>
  <w:style w:type="paragraph" w:styleId="Asuntodelcomentario">
    <w:name w:val="annotation subject"/>
    <w:basedOn w:val="Textocomentario"/>
    <w:next w:val="Textocomentario"/>
    <w:link w:val="AsuntodelcomentarioCar"/>
    <w:uiPriority w:val="99"/>
    <w:semiHidden/>
    <w:unhideWhenUsed/>
    <w:rsid w:val="00F25D64"/>
    <w:pPr>
      <w:spacing w:after="200"/>
    </w:pPr>
    <w:rPr>
      <w:rFonts w:asciiTheme="minorHAnsi" w:eastAsiaTheme="minorHAnsi" w:hAnsiTheme="minorHAnsi" w:cstheme="minorBidi"/>
      <w:b/>
      <w:bCs/>
      <w:lang w:val="es-EC" w:eastAsia="en-US"/>
    </w:rPr>
  </w:style>
  <w:style w:type="character" w:customStyle="1" w:styleId="AsuntodelcomentarioCar">
    <w:name w:val="Asunto del comentario Car"/>
    <w:basedOn w:val="TextocomentarioCar"/>
    <w:link w:val="Asuntodelcomentario"/>
    <w:uiPriority w:val="99"/>
    <w:semiHidden/>
    <w:rsid w:val="00F25D64"/>
    <w:rPr>
      <w:rFonts w:asciiTheme="minorHAnsi" w:eastAsiaTheme="minorHAnsi" w:hAnsiTheme="minorHAnsi" w:cstheme="minorBidi"/>
      <w:b/>
      <w:bCs/>
      <w:lang w:val="es-EC" w:eastAsia="en-US"/>
    </w:rPr>
  </w:style>
  <w:style w:type="paragraph" w:customStyle="1" w:styleId="Default">
    <w:name w:val="Default"/>
    <w:rsid w:val="00541A48"/>
    <w:pPr>
      <w:autoSpaceDE w:val="0"/>
      <w:autoSpaceDN w:val="0"/>
      <w:adjustRightInd w:val="0"/>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8B67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7409">
      <w:bodyDiv w:val="1"/>
      <w:marLeft w:val="0"/>
      <w:marRight w:val="0"/>
      <w:marTop w:val="0"/>
      <w:marBottom w:val="0"/>
      <w:divBdr>
        <w:top w:val="none" w:sz="0" w:space="0" w:color="auto"/>
        <w:left w:val="none" w:sz="0" w:space="0" w:color="auto"/>
        <w:bottom w:val="none" w:sz="0" w:space="0" w:color="auto"/>
        <w:right w:val="none" w:sz="0" w:space="0" w:color="auto"/>
      </w:divBdr>
    </w:div>
    <w:div w:id="1140927048">
      <w:bodyDiv w:val="1"/>
      <w:marLeft w:val="0"/>
      <w:marRight w:val="0"/>
      <w:marTop w:val="0"/>
      <w:marBottom w:val="0"/>
      <w:divBdr>
        <w:top w:val="none" w:sz="0" w:space="0" w:color="auto"/>
        <w:left w:val="none" w:sz="0" w:space="0" w:color="auto"/>
        <w:bottom w:val="none" w:sz="0" w:space="0" w:color="auto"/>
        <w:right w:val="none" w:sz="0" w:space="0" w:color="auto"/>
      </w:divBdr>
    </w:div>
    <w:div w:id="16006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4D7B-2016-4BD5-A750-981343EE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3806</Words>
  <Characters>20937</Characters>
  <Application>Microsoft Office Word</Application>
  <DocSecurity>4</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2019-03-20T21:08:00Z</cp:lastPrinted>
  <dcterms:created xsi:type="dcterms:W3CDTF">2019-03-20T21:10:00Z</dcterms:created>
  <dcterms:modified xsi:type="dcterms:W3CDTF">2019-03-20T21:10:00Z</dcterms:modified>
</cp:coreProperties>
</file>