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59BD" w14:textId="77777777" w:rsidR="006D3B70" w:rsidRDefault="006D3B70" w:rsidP="00B40323">
      <w:pPr>
        <w:tabs>
          <w:tab w:val="left" w:pos="567"/>
        </w:tabs>
        <w:spacing w:line="216" w:lineRule="auto"/>
        <w:jc w:val="center"/>
        <w:rPr>
          <w:rFonts w:eastAsiaTheme="minorHAnsi" w:cstheme="minorBidi"/>
          <w:b/>
          <w:szCs w:val="22"/>
          <w:lang w:val="es-MX"/>
        </w:rPr>
      </w:pPr>
      <w:bookmarkStart w:id="0" w:name="_GoBack"/>
      <w:bookmarkEnd w:id="0"/>
    </w:p>
    <w:p w14:paraId="63AD99C6" w14:textId="77777777" w:rsidR="00B45D2D" w:rsidRDefault="00B45D2D" w:rsidP="00B40323">
      <w:pPr>
        <w:tabs>
          <w:tab w:val="left" w:pos="567"/>
        </w:tabs>
        <w:spacing w:line="216" w:lineRule="auto"/>
        <w:jc w:val="center"/>
        <w:rPr>
          <w:rFonts w:eastAsiaTheme="minorHAnsi" w:cstheme="minorBidi"/>
          <w:b/>
          <w:szCs w:val="22"/>
          <w:lang w:val="es-MX"/>
        </w:rPr>
      </w:pPr>
    </w:p>
    <w:p w14:paraId="15F13346" w14:textId="77777777" w:rsidR="00B45D2D" w:rsidRDefault="00B45D2D" w:rsidP="00B40323">
      <w:pPr>
        <w:tabs>
          <w:tab w:val="left" w:pos="567"/>
        </w:tabs>
        <w:spacing w:line="216" w:lineRule="auto"/>
        <w:jc w:val="center"/>
        <w:rPr>
          <w:rFonts w:eastAsiaTheme="minorHAnsi" w:cstheme="minorBidi"/>
          <w:b/>
          <w:szCs w:val="22"/>
          <w:lang w:val="es-MX"/>
        </w:rPr>
      </w:pPr>
    </w:p>
    <w:p w14:paraId="6148BEF2" w14:textId="77777777" w:rsidR="00B45D2D" w:rsidRDefault="00B45D2D" w:rsidP="00B40323">
      <w:pPr>
        <w:tabs>
          <w:tab w:val="left" w:pos="567"/>
        </w:tabs>
        <w:spacing w:line="216" w:lineRule="auto"/>
        <w:jc w:val="center"/>
        <w:rPr>
          <w:rFonts w:eastAsiaTheme="minorHAnsi" w:cstheme="minorBidi"/>
          <w:b/>
          <w:szCs w:val="22"/>
          <w:lang w:val="es-MX"/>
        </w:rPr>
      </w:pPr>
    </w:p>
    <w:p w14:paraId="3ED244CC" w14:textId="77777777" w:rsidR="00B45D2D" w:rsidRDefault="00B45D2D" w:rsidP="00B40323">
      <w:pPr>
        <w:tabs>
          <w:tab w:val="left" w:pos="567"/>
        </w:tabs>
        <w:spacing w:line="216" w:lineRule="auto"/>
        <w:jc w:val="center"/>
        <w:rPr>
          <w:rFonts w:eastAsiaTheme="minorHAnsi" w:cstheme="minorBidi"/>
          <w:b/>
          <w:szCs w:val="22"/>
          <w:lang w:val="es-MX"/>
        </w:rPr>
      </w:pPr>
    </w:p>
    <w:p w14:paraId="23A61BC1" w14:textId="77777777" w:rsidR="00B45D2D" w:rsidRDefault="00B45D2D" w:rsidP="00B40323">
      <w:pPr>
        <w:tabs>
          <w:tab w:val="left" w:pos="567"/>
        </w:tabs>
        <w:spacing w:line="216" w:lineRule="auto"/>
        <w:jc w:val="center"/>
        <w:rPr>
          <w:rFonts w:eastAsiaTheme="minorHAnsi" w:cstheme="minorBidi"/>
          <w:b/>
          <w:szCs w:val="22"/>
          <w:lang w:val="es-MX"/>
        </w:rPr>
      </w:pPr>
    </w:p>
    <w:p w14:paraId="36838631" w14:textId="77777777" w:rsidR="00B45D2D" w:rsidRDefault="00B45D2D" w:rsidP="00B40323">
      <w:pPr>
        <w:tabs>
          <w:tab w:val="left" w:pos="567"/>
        </w:tabs>
        <w:spacing w:line="216" w:lineRule="auto"/>
        <w:jc w:val="center"/>
        <w:rPr>
          <w:rFonts w:eastAsiaTheme="minorHAnsi" w:cstheme="minorBidi"/>
          <w:b/>
          <w:szCs w:val="22"/>
          <w:lang w:val="es-MX"/>
        </w:rPr>
      </w:pPr>
    </w:p>
    <w:p w14:paraId="6EBFDFCA" w14:textId="77777777" w:rsidR="00B45D2D" w:rsidRPr="00B40323" w:rsidRDefault="00B45D2D" w:rsidP="00B40323">
      <w:pPr>
        <w:tabs>
          <w:tab w:val="left" w:pos="567"/>
        </w:tabs>
        <w:spacing w:line="216" w:lineRule="auto"/>
        <w:jc w:val="center"/>
        <w:rPr>
          <w:rFonts w:eastAsiaTheme="minorHAnsi" w:cstheme="minorBidi"/>
          <w:b/>
          <w:szCs w:val="22"/>
          <w:lang w:val="es-MX"/>
        </w:rPr>
      </w:pPr>
    </w:p>
    <w:p w14:paraId="51F927FE" w14:textId="77777777" w:rsidR="006D3B70" w:rsidRPr="00B40323" w:rsidRDefault="006D3B70" w:rsidP="00B40323">
      <w:pPr>
        <w:spacing w:line="216" w:lineRule="auto"/>
        <w:jc w:val="center"/>
        <w:rPr>
          <w:rFonts w:eastAsiaTheme="minorHAnsi" w:cstheme="minorBidi"/>
          <w:b/>
          <w:szCs w:val="22"/>
          <w:lang w:val="es-MX"/>
        </w:rPr>
      </w:pPr>
      <w:r w:rsidRPr="00B40323">
        <w:rPr>
          <w:rFonts w:eastAsiaTheme="minorHAnsi" w:cstheme="minorBidi"/>
          <w:b/>
          <w:szCs w:val="22"/>
          <w:lang w:val="es-MX"/>
        </w:rPr>
        <w:t>RESOLUCIÓN DE LA</w:t>
      </w:r>
    </w:p>
    <w:p w14:paraId="5E800C6B" w14:textId="77777777" w:rsidR="006D3B70" w:rsidRPr="00B40323" w:rsidRDefault="006D3B70" w:rsidP="00B40323">
      <w:pPr>
        <w:spacing w:line="216" w:lineRule="auto"/>
        <w:rPr>
          <w:rFonts w:eastAsiaTheme="minorHAnsi" w:cstheme="minorBidi"/>
          <w:b/>
          <w:szCs w:val="22"/>
          <w:lang w:val="es-MX"/>
        </w:rPr>
      </w:pPr>
    </w:p>
    <w:p w14:paraId="71695A35" w14:textId="77777777" w:rsidR="006D3B70" w:rsidRPr="00B40323" w:rsidRDefault="006D3B70" w:rsidP="00B40323">
      <w:pPr>
        <w:pStyle w:val="Ttulo"/>
        <w:tabs>
          <w:tab w:val="left" w:pos="567"/>
        </w:tabs>
        <w:spacing w:line="216" w:lineRule="auto"/>
        <w:rPr>
          <w:spacing w:val="-4"/>
          <w:lang w:val="es-CR"/>
        </w:rPr>
      </w:pPr>
      <w:r w:rsidRPr="00B40323">
        <w:rPr>
          <w:spacing w:val="-4"/>
          <w:lang w:val="es-CR"/>
        </w:rPr>
        <w:t>CORTE INTERAMERICANA DE DERECHOS HUMANOS</w:t>
      </w:r>
    </w:p>
    <w:p w14:paraId="71B68E53" w14:textId="77777777" w:rsidR="006D3B70" w:rsidRPr="00B40323" w:rsidRDefault="006D3B70" w:rsidP="00B40323">
      <w:pPr>
        <w:tabs>
          <w:tab w:val="left" w:pos="567"/>
        </w:tabs>
        <w:spacing w:line="216" w:lineRule="auto"/>
        <w:jc w:val="center"/>
        <w:rPr>
          <w:rFonts w:eastAsiaTheme="minorHAnsi" w:cstheme="minorBidi"/>
          <w:b/>
          <w:sz w:val="24"/>
          <w:szCs w:val="22"/>
          <w:lang w:val="es-ES_tradnl"/>
        </w:rPr>
      </w:pPr>
    </w:p>
    <w:p w14:paraId="037EF5B9" w14:textId="77777777" w:rsidR="006D3B70" w:rsidRPr="00B40323" w:rsidRDefault="006D3B70" w:rsidP="00B40323">
      <w:pPr>
        <w:tabs>
          <w:tab w:val="left" w:pos="567"/>
        </w:tabs>
        <w:spacing w:line="216" w:lineRule="auto"/>
        <w:jc w:val="center"/>
        <w:rPr>
          <w:rFonts w:eastAsiaTheme="minorHAnsi" w:cstheme="minorBidi"/>
          <w:b/>
          <w:szCs w:val="22"/>
          <w:lang w:val="es-MX"/>
        </w:rPr>
      </w:pPr>
      <w:r w:rsidRPr="00B40323">
        <w:rPr>
          <w:rFonts w:eastAsiaTheme="minorHAnsi" w:cstheme="minorBidi"/>
          <w:b/>
          <w:szCs w:val="22"/>
          <w:lang w:val="es-MX"/>
        </w:rPr>
        <w:t xml:space="preserve">DE </w:t>
      </w:r>
      <w:r w:rsidR="00420221">
        <w:rPr>
          <w:rFonts w:eastAsiaTheme="minorHAnsi" w:cstheme="minorBidi"/>
          <w:b/>
          <w:szCs w:val="22"/>
          <w:lang w:val="es-MX"/>
        </w:rPr>
        <w:t xml:space="preserve">27 </w:t>
      </w:r>
      <w:r w:rsidRPr="00B40323">
        <w:rPr>
          <w:b/>
          <w:lang w:val="es-CR"/>
        </w:rPr>
        <w:t xml:space="preserve">DE ENERO </w:t>
      </w:r>
      <w:r w:rsidRPr="00B40323">
        <w:rPr>
          <w:rFonts w:eastAsiaTheme="minorHAnsi" w:cstheme="minorBidi"/>
          <w:b/>
          <w:szCs w:val="22"/>
          <w:lang w:val="es-MX"/>
        </w:rPr>
        <w:t>DE 2020</w:t>
      </w:r>
    </w:p>
    <w:p w14:paraId="38A57F84" w14:textId="77777777" w:rsidR="006D3B70" w:rsidRPr="00B40323" w:rsidRDefault="006D3B70" w:rsidP="00B40323">
      <w:pPr>
        <w:tabs>
          <w:tab w:val="left" w:pos="567"/>
          <w:tab w:val="left" w:pos="3709"/>
        </w:tabs>
        <w:spacing w:line="216" w:lineRule="auto"/>
        <w:rPr>
          <w:rFonts w:eastAsiaTheme="minorHAnsi" w:cstheme="minorBidi"/>
          <w:b/>
          <w:szCs w:val="22"/>
          <w:lang w:val="es-CR"/>
        </w:rPr>
      </w:pPr>
    </w:p>
    <w:p w14:paraId="4019C578" w14:textId="77777777" w:rsidR="006D3B70" w:rsidRPr="00B40323" w:rsidRDefault="006D3B70" w:rsidP="00B40323">
      <w:pPr>
        <w:spacing w:line="216" w:lineRule="auto"/>
        <w:jc w:val="center"/>
        <w:rPr>
          <w:b/>
          <w:lang w:val="es-CR"/>
        </w:rPr>
      </w:pPr>
      <w:r w:rsidRPr="00B40323">
        <w:rPr>
          <w:b/>
          <w:lang w:val="es-CR"/>
        </w:rPr>
        <w:t xml:space="preserve">CASO GUZMÁN ALBARRACÍN Y </w:t>
      </w:r>
      <w:r w:rsidR="00010587">
        <w:rPr>
          <w:b/>
          <w:lang w:val="es-CR"/>
        </w:rPr>
        <w:t>OTROS</w:t>
      </w:r>
      <w:r w:rsidRPr="00B40323">
        <w:rPr>
          <w:b/>
          <w:lang w:val="es-CR"/>
        </w:rPr>
        <w:t xml:space="preserve"> VS. ECUADOR</w:t>
      </w:r>
      <w:r w:rsidR="00DB344E">
        <w:rPr>
          <w:b/>
          <w:lang w:val="es-CR"/>
        </w:rPr>
        <w:t>*</w:t>
      </w:r>
    </w:p>
    <w:p w14:paraId="37B95041" w14:textId="77777777" w:rsidR="006D3B70" w:rsidRPr="00B40323" w:rsidRDefault="006D3B70" w:rsidP="00B40323">
      <w:pPr>
        <w:tabs>
          <w:tab w:val="left" w:pos="567"/>
        </w:tabs>
        <w:spacing w:line="216" w:lineRule="auto"/>
        <w:jc w:val="both"/>
        <w:rPr>
          <w:rFonts w:eastAsiaTheme="minorHAnsi" w:cstheme="minorBidi"/>
          <w:sz w:val="22"/>
          <w:szCs w:val="22"/>
          <w:lang w:val="es-CR"/>
        </w:rPr>
      </w:pPr>
    </w:p>
    <w:p w14:paraId="5B48A846" w14:textId="77777777" w:rsidR="006D3B70" w:rsidRPr="00B40323" w:rsidRDefault="006D3B70" w:rsidP="00B40323">
      <w:pPr>
        <w:tabs>
          <w:tab w:val="left" w:pos="567"/>
        </w:tabs>
        <w:spacing w:line="216" w:lineRule="auto"/>
        <w:jc w:val="both"/>
        <w:rPr>
          <w:rFonts w:eastAsiaTheme="minorHAnsi" w:cstheme="minorBidi"/>
          <w:b/>
          <w:szCs w:val="22"/>
          <w:lang w:val="es-MX"/>
        </w:rPr>
      </w:pPr>
      <w:r w:rsidRPr="00B40323">
        <w:rPr>
          <w:rFonts w:eastAsiaTheme="minorHAnsi" w:cstheme="minorBidi"/>
          <w:b/>
          <w:szCs w:val="22"/>
          <w:lang w:val="es-MX"/>
        </w:rPr>
        <w:t>VISTO:</w:t>
      </w:r>
    </w:p>
    <w:p w14:paraId="0D6C7D65" w14:textId="77777777" w:rsidR="006D3B70" w:rsidRPr="00B40323" w:rsidRDefault="006D3B70" w:rsidP="00B40323">
      <w:pPr>
        <w:tabs>
          <w:tab w:val="left" w:pos="567"/>
        </w:tabs>
        <w:spacing w:line="216" w:lineRule="auto"/>
        <w:jc w:val="both"/>
        <w:rPr>
          <w:rFonts w:eastAsiaTheme="minorHAnsi" w:cstheme="minorBidi"/>
          <w:szCs w:val="22"/>
          <w:lang w:val="es-MX"/>
        </w:rPr>
      </w:pPr>
    </w:p>
    <w:p w14:paraId="161337C1" w14:textId="77777777" w:rsidR="006D3B70" w:rsidRPr="00B40323" w:rsidRDefault="006D3B70" w:rsidP="00B40323">
      <w:pPr>
        <w:pStyle w:val="Numberedparagraphs"/>
        <w:numPr>
          <w:ilvl w:val="0"/>
          <w:numId w:val="11"/>
        </w:numPr>
        <w:tabs>
          <w:tab w:val="left" w:pos="567"/>
        </w:tabs>
        <w:spacing w:line="216" w:lineRule="auto"/>
        <w:ind w:left="0" w:firstLine="0"/>
      </w:pPr>
      <w:r w:rsidRPr="00B40323">
        <w:t xml:space="preserve">La Resolución del </w:t>
      </w:r>
      <w:r w:rsidR="009B251E" w:rsidRPr="00B40323">
        <w:t xml:space="preserve">entonces </w:t>
      </w:r>
      <w:r w:rsidRPr="00B40323">
        <w:t>Presidente (en adelante “el Presidente”) de la Corte Interamericana de Derechos Humanos (en adelante “la Corte Interamericana”, “Corte” o “Tribunal”) de 10 de diciembre de 2019 (en adelante “la Resolución”), en la cual, entre otros, determinó “</w:t>
      </w:r>
      <w:r w:rsidRPr="00B40323">
        <w:rPr>
          <w:lang w:val="es-CR"/>
        </w:rPr>
        <w:t>no […]</w:t>
      </w:r>
      <w:r w:rsidR="00A41758" w:rsidRPr="00B40323">
        <w:rPr>
          <w:lang w:val="es-CR"/>
        </w:rPr>
        <w:t xml:space="preserve"> </w:t>
      </w:r>
      <w:r w:rsidRPr="00B40323">
        <w:rPr>
          <w:lang w:val="es-CR"/>
        </w:rPr>
        <w:t>admit[ir] la declaración pericial del señor [José Mario] Nájera [Ochoa] ofrecida para ser rendida ante esta Corte”</w:t>
      </w:r>
      <w:r w:rsidR="00A41758" w:rsidRPr="00B40323">
        <w:rPr>
          <w:rStyle w:val="Refdenotaalpie"/>
          <w:lang w:val="es-CR"/>
        </w:rPr>
        <w:footnoteReference w:id="1"/>
      </w:r>
      <w:r w:rsidRPr="00B40323">
        <w:rPr>
          <w:lang w:val="es-CR"/>
        </w:rPr>
        <w:t xml:space="preserve"> y </w:t>
      </w:r>
      <w:r w:rsidRPr="00B40323">
        <w:t xml:space="preserve">resolvió: </w:t>
      </w:r>
    </w:p>
    <w:p w14:paraId="7A4E9318" w14:textId="77777777" w:rsidR="006D3B70" w:rsidRPr="00B40323" w:rsidRDefault="006D3B70" w:rsidP="00B40323">
      <w:pPr>
        <w:autoSpaceDE w:val="0"/>
        <w:autoSpaceDN w:val="0"/>
        <w:adjustRightInd w:val="0"/>
        <w:spacing w:line="216" w:lineRule="auto"/>
        <w:jc w:val="both"/>
        <w:rPr>
          <w:lang w:val="es-CR"/>
        </w:rPr>
      </w:pPr>
    </w:p>
    <w:p w14:paraId="336DF176" w14:textId="77777777" w:rsidR="006D3B70" w:rsidRPr="00B40323" w:rsidRDefault="006D3B70" w:rsidP="00B40323">
      <w:pPr>
        <w:autoSpaceDE w:val="0"/>
        <w:autoSpaceDN w:val="0"/>
        <w:adjustRightInd w:val="0"/>
        <w:spacing w:line="216" w:lineRule="auto"/>
        <w:ind w:left="284" w:right="332"/>
        <w:jc w:val="both"/>
        <w:rPr>
          <w:sz w:val="16"/>
          <w:szCs w:val="16"/>
          <w:lang w:val="es-CR"/>
        </w:rPr>
      </w:pPr>
      <w:r w:rsidRPr="00B40323">
        <w:rPr>
          <w:sz w:val="16"/>
          <w:szCs w:val="16"/>
          <w:lang w:val="es-CR"/>
        </w:rPr>
        <w:t xml:space="preserve">1.        Convocar a la República de Ecuador, a las representantes de las presuntas víctimas y a la Comisión Interamericana de Derechos Humanos a una audiencia pública sobre la excepción preliminar y eventuales fondo, reparaciones y costas que se celebrará durante el 133° Período Ordinario de Sesiones, en la ciudad de San José, Costa Rica, el día 28 de enero de 2020, a partir de las 09:00 hs, para recibir sus alegatos y observaciones finales orales, así como las declaraciones de las siguientes personas. </w:t>
      </w:r>
    </w:p>
    <w:p w14:paraId="1BD50B85" w14:textId="77777777" w:rsidR="005947FE" w:rsidRPr="00B40323" w:rsidRDefault="005947FE" w:rsidP="00B40323">
      <w:pPr>
        <w:autoSpaceDE w:val="0"/>
        <w:autoSpaceDN w:val="0"/>
        <w:adjustRightInd w:val="0"/>
        <w:spacing w:line="216" w:lineRule="auto"/>
        <w:ind w:left="284" w:right="332"/>
        <w:jc w:val="both"/>
        <w:rPr>
          <w:b/>
          <w:sz w:val="16"/>
          <w:szCs w:val="16"/>
          <w:lang w:val="es-CR"/>
        </w:rPr>
      </w:pPr>
    </w:p>
    <w:p w14:paraId="5727A403" w14:textId="77777777" w:rsidR="005947FE" w:rsidRPr="00B40323" w:rsidRDefault="005947FE" w:rsidP="00B40323">
      <w:pPr>
        <w:autoSpaceDE w:val="0"/>
        <w:autoSpaceDN w:val="0"/>
        <w:adjustRightInd w:val="0"/>
        <w:spacing w:line="216" w:lineRule="auto"/>
        <w:ind w:left="426" w:right="332"/>
        <w:jc w:val="both"/>
        <w:rPr>
          <w:sz w:val="16"/>
          <w:szCs w:val="16"/>
          <w:lang w:val="es-CR"/>
        </w:rPr>
      </w:pPr>
      <w:r w:rsidRPr="00B40323">
        <w:rPr>
          <w:sz w:val="16"/>
          <w:szCs w:val="16"/>
          <w:lang w:val="es-CR"/>
        </w:rPr>
        <w:t>[…]</w:t>
      </w:r>
    </w:p>
    <w:p w14:paraId="26CBF7DC" w14:textId="77777777" w:rsidR="006D3B70" w:rsidRPr="00B40323" w:rsidRDefault="006D3B70" w:rsidP="00B40323">
      <w:pPr>
        <w:autoSpaceDE w:val="0"/>
        <w:autoSpaceDN w:val="0"/>
        <w:adjustRightInd w:val="0"/>
        <w:spacing w:line="216" w:lineRule="auto"/>
        <w:ind w:left="426" w:right="332"/>
        <w:jc w:val="both"/>
        <w:rPr>
          <w:b/>
          <w:sz w:val="16"/>
          <w:szCs w:val="16"/>
          <w:lang w:val="es-CR"/>
        </w:rPr>
      </w:pPr>
    </w:p>
    <w:p w14:paraId="79F0748E" w14:textId="77777777" w:rsidR="006D3B70" w:rsidRPr="00B40323" w:rsidRDefault="006D3B70" w:rsidP="00B40323">
      <w:pPr>
        <w:autoSpaceDE w:val="0"/>
        <w:autoSpaceDN w:val="0"/>
        <w:adjustRightInd w:val="0"/>
        <w:spacing w:line="216" w:lineRule="auto"/>
        <w:ind w:left="426" w:right="332"/>
        <w:jc w:val="both"/>
        <w:rPr>
          <w:sz w:val="16"/>
          <w:szCs w:val="16"/>
          <w:lang w:val="es-CR"/>
        </w:rPr>
      </w:pPr>
      <w:r w:rsidRPr="00B40323">
        <w:rPr>
          <w:b/>
          <w:i/>
          <w:sz w:val="16"/>
          <w:szCs w:val="16"/>
          <w:lang w:val="es-CR"/>
        </w:rPr>
        <w:t>B</w:t>
      </w:r>
      <w:r w:rsidR="005947FE" w:rsidRPr="00B40323">
        <w:rPr>
          <w:b/>
          <w:i/>
          <w:sz w:val="16"/>
          <w:szCs w:val="16"/>
          <w:lang w:val="es-CR"/>
        </w:rPr>
        <w:t>)</w:t>
      </w:r>
      <w:r w:rsidR="005947FE" w:rsidRPr="00B40323">
        <w:rPr>
          <w:b/>
          <w:sz w:val="16"/>
          <w:szCs w:val="16"/>
          <w:lang w:val="es-CR"/>
        </w:rPr>
        <w:t xml:space="preserve"> </w:t>
      </w:r>
      <w:r w:rsidRPr="00B40323">
        <w:rPr>
          <w:b/>
          <w:sz w:val="16"/>
          <w:szCs w:val="16"/>
          <w:lang w:val="es-CR"/>
        </w:rPr>
        <w:t xml:space="preserve">Perito </w:t>
      </w:r>
      <w:r w:rsidRPr="00B40323">
        <w:rPr>
          <w:sz w:val="16"/>
          <w:szCs w:val="16"/>
          <w:lang w:val="es-CR"/>
        </w:rPr>
        <w:t>(propuesto por el Estado)</w:t>
      </w:r>
      <w:r w:rsidRPr="00B40323">
        <w:rPr>
          <w:b/>
          <w:sz w:val="16"/>
          <w:szCs w:val="16"/>
          <w:lang w:val="es-CR"/>
        </w:rPr>
        <w:t xml:space="preserve"> </w:t>
      </w:r>
    </w:p>
    <w:p w14:paraId="18B47049" w14:textId="77777777" w:rsidR="006D3B70" w:rsidRPr="00B40323" w:rsidRDefault="006D3B70" w:rsidP="00B40323">
      <w:pPr>
        <w:pStyle w:val="Prrafodelista"/>
        <w:autoSpaceDE w:val="0"/>
        <w:autoSpaceDN w:val="0"/>
        <w:adjustRightInd w:val="0"/>
        <w:spacing w:after="0" w:line="216" w:lineRule="auto"/>
        <w:ind w:left="426" w:right="332"/>
        <w:jc w:val="both"/>
        <w:rPr>
          <w:rFonts w:ascii="Verdana" w:hAnsi="Verdana"/>
          <w:sz w:val="16"/>
          <w:szCs w:val="16"/>
        </w:rPr>
      </w:pPr>
    </w:p>
    <w:p w14:paraId="5D446E5E" w14:textId="77777777" w:rsidR="006D3B70" w:rsidRPr="00B40323" w:rsidRDefault="006D3B70" w:rsidP="00B40323">
      <w:pPr>
        <w:pStyle w:val="Prrafodelista"/>
        <w:autoSpaceDE w:val="0"/>
        <w:autoSpaceDN w:val="0"/>
        <w:adjustRightInd w:val="0"/>
        <w:spacing w:after="0" w:line="216" w:lineRule="auto"/>
        <w:ind w:left="426" w:right="332"/>
        <w:jc w:val="both"/>
        <w:rPr>
          <w:rFonts w:ascii="Verdana" w:hAnsi="Verdana"/>
          <w:sz w:val="16"/>
          <w:szCs w:val="16"/>
        </w:rPr>
      </w:pPr>
      <w:r w:rsidRPr="00B40323">
        <w:rPr>
          <w:rFonts w:ascii="Verdana" w:hAnsi="Verdana"/>
          <w:sz w:val="16"/>
          <w:szCs w:val="16"/>
        </w:rPr>
        <w:t xml:space="preserve">2.- </w:t>
      </w:r>
      <w:r w:rsidRPr="00B40323">
        <w:rPr>
          <w:rFonts w:ascii="Verdana" w:hAnsi="Verdana"/>
          <w:i/>
          <w:sz w:val="16"/>
          <w:szCs w:val="16"/>
        </w:rPr>
        <w:t>Guillermo Barragán Moya</w:t>
      </w:r>
      <w:r w:rsidRPr="00B40323">
        <w:rPr>
          <w:rFonts w:ascii="Verdana" w:hAnsi="Verdana"/>
          <w:sz w:val="16"/>
          <w:szCs w:val="16"/>
        </w:rPr>
        <w:t>, médico emergenciólogo, quien deberá exponer el dictamen pericial que en forma conjunta realice con el señor Marlon Alexis Oviedo Ramírez, sobre: 1) la intoxicación por fósforo blanco, grado, dosis y toxicidad letal, manifestaciones clínicas, tiempo de sintomatología tóxica, fases de evolución de la intoxicación, mortalidad, y 2) protocolos terapéuticos en relación a los tiempos de consulta en emergencia en un paciente con intoxicación por fósforo blanco por intento autolítico.</w:t>
      </w:r>
    </w:p>
    <w:p w14:paraId="254B01CA" w14:textId="77777777" w:rsidR="006D3B70" w:rsidRPr="00B40323" w:rsidRDefault="006D3B70" w:rsidP="00B40323">
      <w:pPr>
        <w:autoSpaceDE w:val="0"/>
        <w:autoSpaceDN w:val="0"/>
        <w:adjustRightInd w:val="0"/>
        <w:spacing w:line="216" w:lineRule="auto"/>
        <w:ind w:left="426" w:right="332"/>
        <w:jc w:val="both"/>
        <w:rPr>
          <w:sz w:val="16"/>
          <w:szCs w:val="16"/>
          <w:lang w:val="es-CR"/>
        </w:rPr>
      </w:pPr>
    </w:p>
    <w:p w14:paraId="49905C9A" w14:textId="77777777" w:rsidR="006D3B70" w:rsidRPr="00B40323" w:rsidRDefault="005947FE" w:rsidP="00B40323">
      <w:pPr>
        <w:pStyle w:val="Numberedparagraphs"/>
        <w:numPr>
          <w:ilvl w:val="0"/>
          <w:numId w:val="0"/>
        </w:numPr>
        <w:spacing w:line="216" w:lineRule="auto"/>
        <w:ind w:left="426" w:right="332"/>
        <w:rPr>
          <w:sz w:val="16"/>
          <w:szCs w:val="16"/>
          <w:lang w:val="es-CR"/>
        </w:rPr>
      </w:pPr>
      <w:r w:rsidRPr="00B40323">
        <w:rPr>
          <w:b/>
          <w:i/>
          <w:sz w:val="16"/>
          <w:szCs w:val="16"/>
          <w:lang w:val="es-CR"/>
        </w:rPr>
        <w:t xml:space="preserve">C) </w:t>
      </w:r>
      <w:r w:rsidR="006D3B70" w:rsidRPr="00B40323">
        <w:rPr>
          <w:b/>
          <w:i/>
          <w:sz w:val="16"/>
          <w:szCs w:val="16"/>
          <w:lang w:val="es-CR"/>
        </w:rPr>
        <w:t xml:space="preserve">Perita </w:t>
      </w:r>
      <w:r w:rsidR="006D3B70" w:rsidRPr="00B40323">
        <w:rPr>
          <w:i/>
          <w:sz w:val="16"/>
          <w:szCs w:val="16"/>
          <w:lang w:val="es-CR"/>
        </w:rPr>
        <w:t>(Propuesta por los representantes)</w:t>
      </w:r>
      <w:r w:rsidR="006D3B70" w:rsidRPr="00B40323">
        <w:rPr>
          <w:sz w:val="16"/>
          <w:szCs w:val="16"/>
          <w:lang w:val="es-CR"/>
        </w:rPr>
        <w:t xml:space="preserve"> </w:t>
      </w:r>
    </w:p>
    <w:p w14:paraId="423D5EF4" w14:textId="77777777" w:rsidR="006D3B70" w:rsidRPr="00B40323" w:rsidRDefault="006D3B70" w:rsidP="00B40323">
      <w:pPr>
        <w:pStyle w:val="Prrafodelista"/>
        <w:autoSpaceDE w:val="0"/>
        <w:autoSpaceDN w:val="0"/>
        <w:adjustRightInd w:val="0"/>
        <w:spacing w:after="0" w:line="216" w:lineRule="auto"/>
        <w:ind w:left="426" w:right="332"/>
        <w:jc w:val="both"/>
        <w:rPr>
          <w:rFonts w:ascii="Verdana" w:hAnsi="Verdana"/>
          <w:sz w:val="16"/>
          <w:szCs w:val="16"/>
        </w:rPr>
      </w:pPr>
    </w:p>
    <w:p w14:paraId="47709CC5" w14:textId="77777777" w:rsidR="006D3B70" w:rsidRPr="00B40323" w:rsidRDefault="006D3B70" w:rsidP="00B40323">
      <w:pPr>
        <w:spacing w:line="216" w:lineRule="auto"/>
        <w:ind w:left="426" w:right="332"/>
        <w:jc w:val="both"/>
        <w:rPr>
          <w:sz w:val="16"/>
          <w:szCs w:val="16"/>
          <w:lang w:val="es-CR"/>
        </w:rPr>
      </w:pPr>
      <w:r w:rsidRPr="00B40323">
        <w:rPr>
          <w:sz w:val="16"/>
          <w:szCs w:val="16"/>
          <w:lang w:val="es-CR"/>
        </w:rPr>
        <w:t>3.-</w:t>
      </w:r>
      <w:r w:rsidRPr="00B40323">
        <w:rPr>
          <w:i/>
          <w:sz w:val="16"/>
          <w:szCs w:val="16"/>
          <w:lang w:val="es-CR"/>
        </w:rPr>
        <w:t>Ximena Cortés Castillo</w:t>
      </w:r>
      <w:r w:rsidRPr="00B40323">
        <w:rPr>
          <w:sz w:val="16"/>
          <w:szCs w:val="16"/>
          <w:lang w:val="es-CR"/>
        </w:rPr>
        <w:t xml:space="preserve">, médica psiquiatra, quien deberá declarar 1) sobre el impacto y efectos de la violencia sexual en las adolescentes desde el abordaje de la salud mental y el consentimiento; 2) los hechos del caso concreto de Paola del Rosario Guzmán Albarracín a la luz de los contenidos de su peritaje enunciados en el punto anterior. </w:t>
      </w:r>
    </w:p>
    <w:p w14:paraId="463AFB25" w14:textId="77777777" w:rsidR="006D3B70" w:rsidRPr="00B40323" w:rsidRDefault="006D3B70" w:rsidP="00B40323">
      <w:pPr>
        <w:pStyle w:val="Numberedparagraphs"/>
        <w:numPr>
          <w:ilvl w:val="0"/>
          <w:numId w:val="0"/>
        </w:numPr>
        <w:tabs>
          <w:tab w:val="left" w:pos="567"/>
        </w:tabs>
        <w:spacing w:line="216" w:lineRule="auto"/>
      </w:pPr>
    </w:p>
    <w:p w14:paraId="5FC1A284" w14:textId="77777777" w:rsidR="0017003C" w:rsidRPr="00B40323" w:rsidRDefault="006D3B70" w:rsidP="00B40323">
      <w:pPr>
        <w:pStyle w:val="PrrafodeSentencia"/>
        <w:numPr>
          <w:ilvl w:val="0"/>
          <w:numId w:val="11"/>
        </w:numPr>
        <w:spacing w:line="216" w:lineRule="auto"/>
        <w:ind w:left="0" w:hanging="11"/>
        <w:rPr>
          <w:lang w:val="es-CR" w:eastAsia="es-ES"/>
        </w:rPr>
      </w:pPr>
      <w:r w:rsidRPr="00B40323">
        <w:t xml:space="preserve">El escrito de </w:t>
      </w:r>
      <w:r w:rsidR="00465AC0" w:rsidRPr="00B40323">
        <w:t>16 de diciembre de 2019</w:t>
      </w:r>
      <w:r w:rsidRPr="00B40323">
        <w:t xml:space="preserve">, mediante el cual </w:t>
      </w:r>
      <w:r w:rsidR="002E0033" w:rsidRPr="00B40323">
        <w:t>el Estado solicitó: a) “[q]ue el Pleno de la Corte Interamericana de Derechos Humanos revoque la Resolución del Presidente de 10 de diciembre de 2019 y acepte la impugnación estatal a los peritajes de l[a] señor[a] Ximena Cortés Castillo, y [del señor] José Mario Nájera Ochoa”, y b) “[q]ue con respecto al peritaje conjunto propuesto por el Estado, la Corte Interamericana convoque a audiencia a los dos peritos propuestos, Marlon Alexis Oviedo Ramirez y Guillermo Barragán Moya, y que en caso de que el Tribunal decida convocar a uno solo de ellos, sea convocado el doctor Marlon Alexis Oviedo Ramírez”</w:t>
      </w:r>
      <w:r w:rsidR="002E0033" w:rsidRPr="00B40323">
        <w:rPr>
          <w:rStyle w:val="Refdenotaalpie"/>
        </w:rPr>
        <w:footnoteReference w:id="2"/>
      </w:r>
      <w:r w:rsidR="002E0033" w:rsidRPr="00B40323">
        <w:t xml:space="preserve">. </w:t>
      </w:r>
    </w:p>
    <w:p w14:paraId="22848742" w14:textId="77777777" w:rsidR="0017003C" w:rsidRPr="00B40323" w:rsidRDefault="0017003C" w:rsidP="00B40323">
      <w:pPr>
        <w:pStyle w:val="PrrafodeSentencia"/>
        <w:numPr>
          <w:ilvl w:val="0"/>
          <w:numId w:val="0"/>
        </w:numPr>
        <w:spacing w:line="216" w:lineRule="auto"/>
        <w:rPr>
          <w:lang w:val="es-CR" w:eastAsia="es-ES"/>
        </w:rPr>
      </w:pPr>
    </w:p>
    <w:p w14:paraId="5145B8A1" w14:textId="77777777" w:rsidR="0017003C" w:rsidRPr="00B40323" w:rsidRDefault="006D3B70" w:rsidP="00B40323">
      <w:pPr>
        <w:pStyle w:val="PrrafodeSentencia"/>
        <w:numPr>
          <w:ilvl w:val="0"/>
          <w:numId w:val="11"/>
        </w:numPr>
        <w:spacing w:line="216" w:lineRule="auto"/>
        <w:ind w:left="0" w:hanging="11"/>
        <w:rPr>
          <w:lang w:val="es-CR" w:eastAsia="es-ES"/>
        </w:rPr>
      </w:pPr>
      <w:r w:rsidRPr="00B40323">
        <w:lastRenderedPageBreak/>
        <w:t xml:space="preserve">Las notas de la Secretaría del Tribunal de </w:t>
      </w:r>
      <w:r w:rsidR="00497702" w:rsidRPr="00B40323">
        <w:t>17 de diciembre de 2019</w:t>
      </w:r>
      <w:r w:rsidRPr="00B40323">
        <w:t>, mediante las cuales, siguiendo instrucciones del Presidente de la Co</w:t>
      </w:r>
      <w:r w:rsidR="0017003C" w:rsidRPr="00B40323">
        <w:t>rte, otorgó plazo a la Comisión</w:t>
      </w:r>
      <w:r w:rsidRPr="00B40323">
        <w:t xml:space="preserve"> y </w:t>
      </w:r>
      <w:r w:rsidR="0017003C" w:rsidRPr="00B40323">
        <w:t>a las representantes de las presuntas víctimas (en adelante, “las representantes”)</w:t>
      </w:r>
      <w:r w:rsidRPr="00B40323">
        <w:t xml:space="preserve"> hasta el </w:t>
      </w:r>
      <w:r w:rsidR="0017003C" w:rsidRPr="00B40323">
        <w:t>6</w:t>
      </w:r>
      <w:r w:rsidRPr="00B40323">
        <w:rPr>
          <w:lang w:val="es-CR"/>
        </w:rPr>
        <w:t xml:space="preserve"> de </w:t>
      </w:r>
      <w:r w:rsidR="0017003C" w:rsidRPr="00B40323">
        <w:rPr>
          <w:lang w:val="es-CR"/>
        </w:rPr>
        <w:t>ener</w:t>
      </w:r>
      <w:r w:rsidRPr="00B40323">
        <w:rPr>
          <w:lang w:val="es-CR"/>
        </w:rPr>
        <w:t>o de 20</w:t>
      </w:r>
      <w:r w:rsidR="0017003C" w:rsidRPr="00B40323">
        <w:rPr>
          <w:lang w:val="es-CR"/>
        </w:rPr>
        <w:t>20</w:t>
      </w:r>
      <w:r w:rsidRPr="00B40323">
        <w:rPr>
          <w:lang w:val="es-CR"/>
        </w:rPr>
        <w:t xml:space="preserve"> </w:t>
      </w:r>
      <w:r w:rsidRPr="00B40323">
        <w:t>para que presentaran las observaciones que estimaren pertinentes a la solicitud de reconsideración.</w:t>
      </w:r>
    </w:p>
    <w:p w14:paraId="7AC8E787" w14:textId="77777777" w:rsidR="0017003C" w:rsidRPr="00B40323" w:rsidRDefault="0017003C" w:rsidP="00B40323">
      <w:pPr>
        <w:pStyle w:val="Prrafodelista"/>
        <w:spacing w:after="0" w:line="216" w:lineRule="auto"/>
        <w:rPr>
          <w:rFonts w:ascii="Verdana" w:hAnsi="Verdana"/>
        </w:rPr>
      </w:pPr>
    </w:p>
    <w:p w14:paraId="08672D98" w14:textId="77777777" w:rsidR="006D3B70" w:rsidRPr="00B40323" w:rsidRDefault="006D3B70" w:rsidP="00B40323">
      <w:pPr>
        <w:pStyle w:val="PrrafodeSentencia"/>
        <w:numPr>
          <w:ilvl w:val="0"/>
          <w:numId w:val="11"/>
        </w:numPr>
        <w:spacing w:line="216" w:lineRule="auto"/>
        <w:ind w:left="0" w:hanging="11"/>
        <w:rPr>
          <w:lang w:val="es-CR" w:eastAsia="es-ES"/>
        </w:rPr>
      </w:pPr>
      <w:r w:rsidRPr="00B40323">
        <w:rPr>
          <w:lang w:val="es-CR"/>
        </w:rPr>
        <w:t>Los</w:t>
      </w:r>
      <w:r w:rsidRPr="00B40323">
        <w:t xml:space="preserve"> </w:t>
      </w:r>
      <w:r w:rsidR="00FF3BED" w:rsidRPr="00B40323">
        <w:t>escritos recibidos los días 5 y</w:t>
      </w:r>
      <w:r w:rsidRPr="00B40323">
        <w:t xml:space="preserve"> </w:t>
      </w:r>
      <w:r w:rsidR="0017003C" w:rsidRPr="00B40323">
        <w:t>6 de enero</w:t>
      </w:r>
      <w:r w:rsidRPr="00B40323">
        <w:t xml:space="preserve"> 20</w:t>
      </w:r>
      <w:r w:rsidR="0017003C" w:rsidRPr="00B40323">
        <w:t>20</w:t>
      </w:r>
      <w:r w:rsidRPr="00B40323">
        <w:t>, mediante los cuales</w:t>
      </w:r>
      <w:r w:rsidR="00FF3BED" w:rsidRPr="00B40323">
        <w:t xml:space="preserve"> las representantes y la Comisión, respectivamente</w:t>
      </w:r>
      <w:r w:rsidRPr="00B40323">
        <w:t xml:space="preserve">, presentaron sus observaciones </w:t>
      </w:r>
      <w:r w:rsidR="00FF3BED" w:rsidRPr="00B40323">
        <w:t>sobre las solicitudes del Estado.</w:t>
      </w:r>
    </w:p>
    <w:p w14:paraId="794CC3F5" w14:textId="77777777" w:rsidR="006D3B70" w:rsidRPr="00B40323" w:rsidRDefault="006D3B70" w:rsidP="00B40323">
      <w:pPr>
        <w:pStyle w:val="Numberedparagraphs"/>
        <w:numPr>
          <w:ilvl w:val="0"/>
          <w:numId w:val="0"/>
        </w:numPr>
        <w:tabs>
          <w:tab w:val="left" w:pos="567"/>
        </w:tabs>
        <w:spacing w:line="216" w:lineRule="auto"/>
        <w:rPr>
          <w:lang w:val="es-VE"/>
        </w:rPr>
      </w:pPr>
    </w:p>
    <w:p w14:paraId="1106807F" w14:textId="77777777" w:rsidR="006D3B70" w:rsidRPr="00B40323" w:rsidRDefault="006D3B70" w:rsidP="00B40323">
      <w:pPr>
        <w:pStyle w:val="Numberedparagraphs"/>
        <w:numPr>
          <w:ilvl w:val="0"/>
          <w:numId w:val="0"/>
        </w:numPr>
        <w:tabs>
          <w:tab w:val="left" w:pos="567"/>
        </w:tabs>
        <w:spacing w:line="216" w:lineRule="auto"/>
        <w:rPr>
          <w:b/>
        </w:rPr>
      </w:pPr>
      <w:r w:rsidRPr="00B40323">
        <w:rPr>
          <w:b/>
        </w:rPr>
        <w:t>CONSIDERANDO QUE:</w:t>
      </w:r>
    </w:p>
    <w:p w14:paraId="417C5098" w14:textId="77777777" w:rsidR="006D3B70" w:rsidRPr="00B40323" w:rsidRDefault="006D3B70" w:rsidP="00B40323">
      <w:pPr>
        <w:spacing w:line="216" w:lineRule="auto"/>
        <w:rPr>
          <w:lang w:val="es-PE"/>
        </w:rPr>
      </w:pPr>
    </w:p>
    <w:p w14:paraId="592CA37F" w14:textId="77777777" w:rsidR="006D3B70" w:rsidRPr="00B40323" w:rsidRDefault="006D3B70" w:rsidP="00B40323">
      <w:pPr>
        <w:pStyle w:val="Prrafodelista"/>
        <w:numPr>
          <w:ilvl w:val="0"/>
          <w:numId w:val="2"/>
        </w:numPr>
        <w:tabs>
          <w:tab w:val="left" w:pos="540"/>
        </w:tabs>
        <w:spacing w:after="0" w:line="216" w:lineRule="auto"/>
        <w:ind w:left="0" w:right="4" w:firstLine="0"/>
        <w:jc w:val="both"/>
        <w:rPr>
          <w:rFonts w:ascii="Verdana" w:eastAsia="Verdana" w:hAnsi="Verdana"/>
          <w:lang w:val="es-PE"/>
        </w:rPr>
      </w:pPr>
      <w:r w:rsidRPr="00B40323">
        <w:rPr>
          <w:rFonts w:ascii="Verdana" w:eastAsia="Verdana" w:hAnsi="Verdana"/>
          <w:sz w:val="20"/>
          <w:szCs w:val="20"/>
          <w:lang w:val="es-PE"/>
        </w:rPr>
        <w:t>Las decisiones del Presidente, que no sean de mero trámite, son recurribles ante la Corte Interamericana de Derechos Humanos (en adelante “la Corte” o “el Tribunal”, en los términos del artículo 31.2 del Reglamento de este tribunal (en adelante “el Reglamento”).</w:t>
      </w:r>
    </w:p>
    <w:p w14:paraId="20891588" w14:textId="77777777" w:rsidR="006D3B70" w:rsidRPr="00B40323" w:rsidRDefault="006D3B70" w:rsidP="00B40323">
      <w:pPr>
        <w:pStyle w:val="Prrafodelista"/>
        <w:tabs>
          <w:tab w:val="left" w:pos="540"/>
        </w:tabs>
        <w:spacing w:after="0" w:line="216" w:lineRule="auto"/>
        <w:ind w:left="0" w:right="4"/>
        <w:jc w:val="both"/>
        <w:rPr>
          <w:rFonts w:ascii="Verdana" w:eastAsia="Verdana" w:hAnsi="Verdana"/>
          <w:sz w:val="20"/>
          <w:szCs w:val="20"/>
          <w:lang w:val="es-PE"/>
        </w:rPr>
      </w:pPr>
    </w:p>
    <w:p w14:paraId="460BC671" w14:textId="77777777" w:rsidR="00DA5D1B" w:rsidRPr="00B40323" w:rsidRDefault="00DA5D1B"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hAnsi="Verdana"/>
          <w:sz w:val="20"/>
          <w:szCs w:val="20"/>
        </w:rPr>
        <w:t>El ofrecimiento y la admisión de la prueba, así como la citación de presuntas víctimas, testigos y peritos se encuentran regulados en los artículos 35.1.f, 40.2.c, 41.1.c, 46, 47</w:t>
      </w:r>
      <w:r w:rsidR="00035DF8" w:rsidRPr="00B40323">
        <w:rPr>
          <w:rFonts w:ascii="Verdana" w:hAnsi="Verdana"/>
          <w:sz w:val="20"/>
          <w:szCs w:val="20"/>
        </w:rPr>
        <w:t xml:space="preserve"> a</w:t>
      </w:r>
      <w:r w:rsidRPr="00B40323">
        <w:rPr>
          <w:rFonts w:ascii="Verdana" w:hAnsi="Verdana"/>
          <w:sz w:val="20"/>
          <w:szCs w:val="20"/>
        </w:rPr>
        <w:t xml:space="preserve"> 50, 52.3, 57 y 58 del Reglamento de la Corte Interamericana.</w:t>
      </w:r>
    </w:p>
    <w:p w14:paraId="4CC8B431" w14:textId="77777777" w:rsidR="00DA5D1B" w:rsidRPr="00B40323" w:rsidRDefault="00DA5D1B" w:rsidP="00B40323">
      <w:pPr>
        <w:pStyle w:val="Prrafodelista"/>
        <w:spacing w:line="216" w:lineRule="auto"/>
        <w:rPr>
          <w:rFonts w:ascii="Verdana" w:hAnsi="Verdana"/>
          <w:sz w:val="20"/>
          <w:szCs w:val="20"/>
        </w:rPr>
      </w:pPr>
    </w:p>
    <w:p w14:paraId="4AB59F28" w14:textId="77777777" w:rsidR="00DA5D1B" w:rsidRPr="00B40323" w:rsidRDefault="006D3B70" w:rsidP="00B40323">
      <w:pPr>
        <w:pStyle w:val="Prrafodelista"/>
        <w:numPr>
          <w:ilvl w:val="0"/>
          <w:numId w:val="2"/>
        </w:numPr>
        <w:tabs>
          <w:tab w:val="left" w:pos="540"/>
        </w:tabs>
        <w:spacing w:after="0" w:line="216" w:lineRule="auto"/>
        <w:ind w:left="0" w:right="4" w:firstLine="0"/>
        <w:jc w:val="both"/>
        <w:rPr>
          <w:rFonts w:ascii="Verdana" w:eastAsia="Verdana" w:hAnsi="Verdana"/>
          <w:sz w:val="16"/>
          <w:szCs w:val="16"/>
          <w:lang w:val="es-PE"/>
        </w:rPr>
      </w:pPr>
      <w:r w:rsidRPr="00B40323">
        <w:rPr>
          <w:rFonts w:ascii="Verdana" w:hAnsi="Verdana"/>
          <w:sz w:val="20"/>
          <w:szCs w:val="20"/>
        </w:rPr>
        <w:t>La Corte tiene amplias fac</w:t>
      </w:r>
      <w:r w:rsidR="00DA5D1B" w:rsidRPr="00B40323">
        <w:rPr>
          <w:rFonts w:ascii="Verdana" w:hAnsi="Verdana"/>
          <w:sz w:val="20"/>
          <w:szCs w:val="20"/>
        </w:rPr>
        <w:t xml:space="preserve">ultades en cuanto a la admisión y </w:t>
      </w:r>
      <w:r w:rsidRPr="00B40323">
        <w:rPr>
          <w:rFonts w:ascii="Verdana" w:hAnsi="Verdana"/>
          <w:sz w:val="20"/>
          <w:szCs w:val="20"/>
        </w:rPr>
        <w:t xml:space="preserve">modalidad de recepción de la prueba, de conformidad con los artículos </w:t>
      </w:r>
      <w:r w:rsidR="00DA5D1B" w:rsidRPr="00B40323">
        <w:rPr>
          <w:rFonts w:ascii="Verdana" w:hAnsi="Verdana"/>
          <w:sz w:val="20"/>
          <w:szCs w:val="20"/>
        </w:rPr>
        <w:t xml:space="preserve">46, 49, </w:t>
      </w:r>
      <w:r w:rsidRPr="00B40323">
        <w:rPr>
          <w:rFonts w:ascii="Verdana" w:hAnsi="Verdana"/>
          <w:sz w:val="20"/>
          <w:szCs w:val="20"/>
        </w:rPr>
        <w:t>50, 57 y 58 del Reglamento</w:t>
      </w:r>
      <w:r w:rsidR="00DA5D1B" w:rsidRPr="00B40323">
        <w:rPr>
          <w:rStyle w:val="Refdenotaalpie"/>
          <w:rFonts w:ascii="Verdana" w:hAnsi="Verdana"/>
          <w:sz w:val="20"/>
          <w:szCs w:val="20"/>
        </w:rPr>
        <w:footnoteReference w:id="3"/>
      </w:r>
      <w:r w:rsidRPr="00B40323">
        <w:rPr>
          <w:rFonts w:ascii="Verdana" w:hAnsi="Verdana"/>
          <w:sz w:val="20"/>
          <w:szCs w:val="20"/>
        </w:rPr>
        <w:t xml:space="preserve">. </w:t>
      </w:r>
    </w:p>
    <w:p w14:paraId="34A795D4" w14:textId="77777777" w:rsidR="006D3B70" w:rsidRPr="00B40323" w:rsidRDefault="006D3B70" w:rsidP="00B40323">
      <w:pPr>
        <w:pStyle w:val="Prrafodelista"/>
        <w:tabs>
          <w:tab w:val="left" w:pos="567"/>
        </w:tabs>
        <w:spacing w:after="0" w:line="216" w:lineRule="auto"/>
        <w:ind w:left="567" w:right="615"/>
        <w:jc w:val="both"/>
        <w:rPr>
          <w:rFonts w:ascii="Verdana" w:eastAsia="Verdana" w:hAnsi="Verdana"/>
          <w:sz w:val="16"/>
          <w:szCs w:val="16"/>
          <w:lang w:val="es-PE"/>
        </w:rPr>
      </w:pPr>
    </w:p>
    <w:p w14:paraId="1C2BA6C2" w14:textId="77777777" w:rsidR="000953E8" w:rsidRPr="00B40323" w:rsidRDefault="000953E8" w:rsidP="00B40323">
      <w:pPr>
        <w:pStyle w:val="Prrafodelista"/>
        <w:tabs>
          <w:tab w:val="left" w:pos="567"/>
        </w:tabs>
        <w:spacing w:after="0" w:line="216" w:lineRule="auto"/>
        <w:ind w:left="567" w:right="615"/>
        <w:jc w:val="both"/>
        <w:rPr>
          <w:rFonts w:ascii="Verdana" w:eastAsia="Verdana" w:hAnsi="Verdana"/>
          <w:sz w:val="16"/>
          <w:szCs w:val="16"/>
          <w:lang w:val="es-PE"/>
        </w:rPr>
      </w:pPr>
    </w:p>
    <w:p w14:paraId="51A9118E" w14:textId="77777777" w:rsidR="000953E8" w:rsidRPr="00B40323" w:rsidRDefault="000953E8" w:rsidP="00B40323">
      <w:pPr>
        <w:pStyle w:val="Prrafodelista"/>
        <w:numPr>
          <w:ilvl w:val="0"/>
          <w:numId w:val="12"/>
        </w:numPr>
        <w:tabs>
          <w:tab w:val="left" w:pos="567"/>
        </w:tabs>
        <w:spacing w:after="0" w:line="216" w:lineRule="auto"/>
        <w:ind w:right="615"/>
        <w:jc w:val="both"/>
        <w:rPr>
          <w:rFonts w:ascii="Verdana" w:eastAsia="Verdana" w:hAnsi="Verdana"/>
          <w:b/>
          <w:i/>
          <w:sz w:val="20"/>
          <w:szCs w:val="20"/>
          <w:lang w:val="es-PE"/>
        </w:rPr>
      </w:pPr>
      <w:r w:rsidRPr="00B40323">
        <w:rPr>
          <w:rFonts w:ascii="Verdana" w:eastAsia="Verdana" w:hAnsi="Verdana"/>
          <w:b/>
          <w:i/>
          <w:sz w:val="20"/>
          <w:szCs w:val="20"/>
          <w:lang w:val="es-PE"/>
        </w:rPr>
        <w:t xml:space="preserve">Sobre las </w:t>
      </w:r>
      <w:r w:rsidR="00C50573" w:rsidRPr="00B40323">
        <w:rPr>
          <w:rFonts w:ascii="Verdana" w:eastAsia="Verdana" w:hAnsi="Verdana"/>
          <w:b/>
          <w:i/>
          <w:sz w:val="20"/>
          <w:szCs w:val="20"/>
          <w:lang w:val="es-PE"/>
        </w:rPr>
        <w:t xml:space="preserve">propuestas </w:t>
      </w:r>
      <w:r w:rsidRPr="00B40323">
        <w:rPr>
          <w:rFonts w:ascii="Verdana" w:eastAsia="Verdana" w:hAnsi="Verdana"/>
          <w:b/>
          <w:i/>
          <w:sz w:val="20"/>
          <w:szCs w:val="20"/>
          <w:lang w:val="es-PE"/>
        </w:rPr>
        <w:t xml:space="preserve">declaraciones </w:t>
      </w:r>
      <w:r w:rsidR="00C50573" w:rsidRPr="00B40323">
        <w:rPr>
          <w:rFonts w:ascii="Verdana" w:eastAsia="Verdana" w:hAnsi="Verdana"/>
          <w:b/>
          <w:i/>
          <w:sz w:val="20"/>
          <w:szCs w:val="20"/>
          <w:lang w:val="es-PE"/>
        </w:rPr>
        <w:t xml:space="preserve">periciales </w:t>
      </w:r>
      <w:r w:rsidRPr="00B40323">
        <w:rPr>
          <w:rFonts w:ascii="Verdana" w:eastAsia="Verdana" w:hAnsi="Verdana"/>
          <w:b/>
          <w:i/>
          <w:sz w:val="20"/>
          <w:szCs w:val="20"/>
          <w:lang w:val="es-PE"/>
        </w:rPr>
        <w:t>de José Mario Nájera Ochoa y Ximena Cortés Castillo</w:t>
      </w:r>
    </w:p>
    <w:p w14:paraId="5E134D73" w14:textId="77777777" w:rsidR="006D3B70" w:rsidRPr="00B40323" w:rsidRDefault="006D3B70" w:rsidP="00B40323">
      <w:pPr>
        <w:pStyle w:val="Prrafodelista"/>
        <w:tabs>
          <w:tab w:val="left" w:pos="540"/>
        </w:tabs>
        <w:spacing w:after="0" w:line="216" w:lineRule="auto"/>
        <w:ind w:left="0" w:right="4"/>
        <w:jc w:val="both"/>
        <w:rPr>
          <w:rFonts w:ascii="Verdana" w:eastAsia="Verdana" w:hAnsi="Verdana"/>
          <w:sz w:val="20"/>
          <w:szCs w:val="20"/>
          <w:lang w:val="es-PE"/>
        </w:rPr>
      </w:pPr>
    </w:p>
    <w:p w14:paraId="258F1EF4" w14:textId="77777777" w:rsidR="00297A54" w:rsidRPr="00B40323" w:rsidRDefault="00297A54"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hAnsi="Verdana"/>
          <w:i/>
          <w:sz w:val="20"/>
          <w:szCs w:val="20"/>
        </w:rPr>
        <w:t xml:space="preserve">Sobre el señor Nájera Ochoa.- </w:t>
      </w:r>
      <w:r w:rsidR="000953E8" w:rsidRPr="00B40323">
        <w:rPr>
          <w:rFonts w:ascii="Verdana" w:hAnsi="Verdana"/>
          <w:sz w:val="20"/>
          <w:szCs w:val="20"/>
        </w:rPr>
        <w:t xml:space="preserve">En primer término, cabe advertir que la solicitud estatal de revocar la decisión del Presidente de la Corte sobre el señor Nájera Ochoa </w:t>
      </w:r>
      <w:r w:rsidR="007820CB">
        <w:rPr>
          <w:rFonts w:ascii="Verdana" w:hAnsi="Verdana"/>
          <w:sz w:val="20"/>
          <w:szCs w:val="20"/>
        </w:rPr>
        <w:t>carece de objeto</w:t>
      </w:r>
      <w:r w:rsidR="000953E8" w:rsidRPr="00B40323">
        <w:rPr>
          <w:rFonts w:ascii="Verdana" w:hAnsi="Verdana"/>
          <w:sz w:val="20"/>
          <w:szCs w:val="20"/>
        </w:rPr>
        <w:t xml:space="preserve">. El Estado ha solicitado que, contrariamente a lo decidido por el Presidente, se acepte la recusación presentada por Ecuador respecto a la persona indicada. Si bien la Resolución </w:t>
      </w:r>
      <w:r w:rsidR="00EE7B88" w:rsidRPr="00B40323">
        <w:rPr>
          <w:rFonts w:ascii="Verdana" w:hAnsi="Verdana"/>
          <w:sz w:val="20"/>
          <w:szCs w:val="20"/>
        </w:rPr>
        <w:t>del Presidente entendió</w:t>
      </w:r>
      <w:r w:rsidR="000953E8" w:rsidRPr="00B40323">
        <w:rPr>
          <w:rFonts w:ascii="Verdana" w:hAnsi="Verdana"/>
          <w:sz w:val="20"/>
          <w:szCs w:val="20"/>
        </w:rPr>
        <w:t xml:space="preserve"> improcedente la recusación formulada por el Estado respecto del señor Nájera Ochoa, de todas forma</w:t>
      </w:r>
      <w:r w:rsidR="00497702" w:rsidRPr="00B40323">
        <w:rPr>
          <w:rFonts w:ascii="Verdana" w:hAnsi="Verdana"/>
          <w:sz w:val="20"/>
          <w:szCs w:val="20"/>
        </w:rPr>
        <w:t>s</w:t>
      </w:r>
      <w:r w:rsidR="000953E8" w:rsidRPr="00B40323">
        <w:rPr>
          <w:rFonts w:ascii="Verdana" w:hAnsi="Verdana"/>
          <w:sz w:val="20"/>
          <w:szCs w:val="20"/>
        </w:rPr>
        <w:t xml:space="preserve"> determinó, por otros motivos, no admitir su declaración</w:t>
      </w:r>
      <w:r w:rsidR="000953E8" w:rsidRPr="00B40323">
        <w:rPr>
          <w:rStyle w:val="Refdenotaalpie"/>
          <w:rFonts w:ascii="Verdana" w:hAnsi="Verdana"/>
          <w:sz w:val="20"/>
          <w:szCs w:val="20"/>
        </w:rPr>
        <w:footnoteReference w:id="4"/>
      </w:r>
      <w:r w:rsidR="000953E8" w:rsidRPr="00B40323">
        <w:rPr>
          <w:rFonts w:ascii="Verdana" w:hAnsi="Verdana"/>
          <w:sz w:val="20"/>
          <w:szCs w:val="20"/>
        </w:rPr>
        <w:t xml:space="preserve">. Por tanto, </w:t>
      </w:r>
      <w:r w:rsidR="00EE7B88" w:rsidRPr="00B40323">
        <w:rPr>
          <w:rFonts w:ascii="Verdana" w:hAnsi="Verdana"/>
          <w:sz w:val="20"/>
          <w:szCs w:val="20"/>
        </w:rPr>
        <w:t xml:space="preserve">la solicitud de revocatoria presentada por el Estado </w:t>
      </w:r>
      <w:r w:rsidRPr="00B40323">
        <w:rPr>
          <w:rFonts w:ascii="Verdana" w:hAnsi="Verdana"/>
          <w:sz w:val="20"/>
          <w:szCs w:val="20"/>
        </w:rPr>
        <w:t>en relación con el señor N</w:t>
      </w:r>
      <w:r w:rsidR="00EE7B88" w:rsidRPr="00B40323">
        <w:rPr>
          <w:rFonts w:ascii="Verdana" w:hAnsi="Verdana"/>
          <w:sz w:val="20"/>
          <w:szCs w:val="20"/>
        </w:rPr>
        <w:t>ájera Ochoa</w:t>
      </w:r>
      <w:r w:rsidR="007820CB">
        <w:rPr>
          <w:rFonts w:ascii="Verdana" w:hAnsi="Verdana"/>
          <w:sz w:val="20"/>
          <w:szCs w:val="20"/>
        </w:rPr>
        <w:t xml:space="preserve"> </w:t>
      </w:r>
      <w:r w:rsidR="000953E8" w:rsidRPr="00B40323">
        <w:rPr>
          <w:rFonts w:ascii="Verdana" w:hAnsi="Verdana"/>
          <w:sz w:val="20"/>
          <w:szCs w:val="20"/>
        </w:rPr>
        <w:t xml:space="preserve">debe </w:t>
      </w:r>
      <w:r w:rsidR="00EE7B88" w:rsidRPr="00B40323">
        <w:rPr>
          <w:rFonts w:ascii="Verdana" w:hAnsi="Verdana"/>
          <w:sz w:val="20"/>
          <w:szCs w:val="20"/>
        </w:rPr>
        <w:t xml:space="preserve">ser </w:t>
      </w:r>
      <w:r w:rsidR="000953E8" w:rsidRPr="00B40323">
        <w:rPr>
          <w:rFonts w:ascii="Verdana" w:hAnsi="Verdana"/>
          <w:sz w:val="20"/>
          <w:szCs w:val="20"/>
        </w:rPr>
        <w:t>desestima</w:t>
      </w:r>
      <w:r w:rsidR="00EE7B88" w:rsidRPr="00B40323">
        <w:rPr>
          <w:rFonts w:ascii="Verdana" w:hAnsi="Verdana"/>
          <w:sz w:val="20"/>
          <w:szCs w:val="20"/>
        </w:rPr>
        <w:t>da</w:t>
      </w:r>
      <w:r w:rsidRPr="00B40323">
        <w:rPr>
          <w:rFonts w:ascii="Verdana" w:hAnsi="Verdana"/>
          <w:sz w:val="20"/>
          <w:szCs w:val="20"/>
        </w:rPr>
        <w:t xml:space="preserve">. </w:t>
      </w:r>
    </w:p>
    <w:p w14:paraId="7EA338E0" w14:textId="77777777" w:rsidR="00297A54" w:rsidRPr="00B40323" w:rsidRDefault="00297A54" w:rsidP="00B40323">
      <w:pPr>
        <w:pStyle w:val="Prrafodelista"/>
        <w:tabs>
          <w:tab w:val="left" w:pos="540"/>
        </w:tabs>
        <w:spacing w:after="0" w:line="216" w:lineRule="auto"/>
        <w:ind w:left="0" w:right="4"/>
        <w:jc w:val="both"/>
        <w:rPr>
          <w:rFonts w:ascii="Verdana" w:eastAsia="Verdana" w:hAnsi="Verdana"/>
          <w:sz w:val="20"/>
          <w:szCs w:val="20"/>
          <w:lang w:val="es-PE"/>
        </w:rPr>
      </w:pPr>
    </w:p>
    <w:p w14:paraId="56C9D918" w14:textId="77777777" w:rsidR="006D3B70" w:rsidRPr="00B40323" w:rsidRDefault="00297A54"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hAnsi="Verdana"/>
          <w:i/>
          <w:sz w:val="20"/>
          <w:szCs w:val="20"/>
        </w:rPr>
        <w:t>Sobre la señora Cortés Castillo</w:t>
      </w:r>
      <w:r w:rsidRPr="00B40323">
        <w:rPr>
          <w:rFonts w:ascii="Verdana" w:hAnsi="Verdana"/>
          <w:sz w:val="20"/>
          <w:szCs w:val="20"/>
        </w:rPr>
        <w:t xml:space="preserve">.- Cabe tratar, en segundo lugar, la solicitud de </w:t>
      </w:r>
      <w:r w:rsidR="00EE7B88" w:rsidRPr="00B40323">
        <w:rPr>
          <w:rFonts w:ascii="Verdana" w:hAnsi="Verdana"/>
          <w:sz w:val="20"/>
          <w:szCs w:val="20"/>
        </w:rPr>
        <w:t>revocatoria</w:t>
      </w:r>
      <w:r w:rsidRPr="00B40323">
        <w:rPr>
          <w:rFonts w:ascii="Verdana" w:hAnsi="Verdana"/>
          <w:sz w:val="20"/>
          <w:szCs w:val="20"/>
        </w:rPr>
        <w:t xml:space="preserve"> estatal respecto de la señora Cortés Castillo, quien fue propuesta como perita por las representantes y llamada a declarar en audiencia pública por medio de la Resolución recurrida. </w:t>
      </w:r>
    </w:p>
    <w:p w14:paraId="189A40F8" w14:textId="77777777" w:rsidR="00EE7B88" w:rsidRPr="00B40323" w:rsidRDefault="00EE7B88" w:rsidP="00B40323">
      <w:pPr>
        <w:pStyle w:val="Prrafodelista"/>
        <w:spacing w:line="216" w:lineRule="auto"/>
        <w:rPr>
          <w:rFonts w:ascii="Verdana" w:eastAsia="Verdana" w:hAnsi="Verdana"/>
          <w:sz w:val="20"/>
          <w:szCs w:val="20"/>
          <w:lang w:val="es-PE"/>
        </w:rPr>
      </w:pPr>
    </w:p>
    <w:p w14:paraId="70BB1600" w14:textId="77777777" w:rsidR="00EE7B88" w:rsidRPr="00B40323" w:rsidRDefault="00EE7B88"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Como surge de la Resolución, el</w:t>
      </w:r>
      <w:r w:rsidR="00835E09" w:rsidRPr="00B40323">
        <w:rPr>
          <w:rFonts w:ascii="Verdana" w:eastAsia="Verdana" w:hAnsi="Verdana"/>
          <w:sz w:val="20"/>
          <w:szCs w:val="20"/>
          <w:lang w:val="es-PE"/>
        </w:rPr>
        <w:t xml:space="preserve"> 12 de noviembre de 2019</w:t>
      </w:r>
      <w:r w:rsidRPr="00B40323">
        <w:rPr>
          <w:rFonts w:ascii="Verdana" w:eastAsia="Verdana" w:hAnsi="Verdana"/>
          <w:sz w:val="20"/>
          <w:szCs w:val="20"/>
          <w:lang w:val="es-PE"/>
        </w:rPr>
        <w:t xml:space="preserve"> </w:t>
      </w:r>
      <w:r w:rsidRPr="00B40323">
        <w:rPr>
          <w:rFonts w:ascii="Verdana" w:eastAsia="Verdana" w:hAnsi="Verdana"/>
          <w:b/>
          <w:i/>
          <w:sz w:val="20"/>
          <w:szCs w:val="20"/>
          <w:lang w:val="es-PE"/>
        </w:rPr>
        <w:t>Estado</w:t>
      </w:r>
      <w:r w:rsidRPr="00B40323">
        <w:rPr>
          <w:rFonts w:ascii="Verdana" w:eastAsia="Verdana" w:hAnsi="Verdana"/>
          <w:sz w:val="20"/>
          <w:szCs w:val="20"/>
          <w:lang w:val="es-PE"/>
        </w:rPr>
        <w:t xml:space="preserve"> recusó a la señora Cortés Castillo por entender que, al haber ella intervenido a título de experta ante la Comisión en este caso, se pondría en duda su objetividad, </w:t>
      </w:r>
      <w:r w:rsidRPr="00B40323">
        <w:rPr>
          <w:rFonts w:ascii="Verdana" w:hAnsi="Verdana"/>
          <w:sz w:val="20"/>
          <w:szCs w:val="20"/>
        </w:rPr>
        <w:t>encontrándose por ende su situación en las causales de recusación comprendidas en el artículo 48.1.f del Reglamento de este Tribunal</w:t>
      </w:r>
      <w:r w:rsidRPr="00B40323">
        <w:rPr>
          <w:rStyle w:val="Refdenotaalpie"/>
          <w:rFonts w:ascii="Verdana" w:hAnsi="Verdana"/>
        </w:rPr>
        <w:footnoteReference w:id="5"/>
      </w:r>
      <w:r w:rsidRPr="00B40323">
        <w:rPr>
          <w:rFonts w:ascii="Verdana" w:hAnsi="Verdana"/>
          <w:sz w:val="20"/>
          <w:szCs w:val="20"/>
        </w:rPr>
        <w:t xml:space="preserve">. </w:t>
      </w:r>
    </w:p>
    <w:p w14:paraId="5447E8C6" w14:textId="77777777" w:rsidR="00EE7B88" w:rsidRPr="00B40323" w:rsidRDefault="00EE7B88" w:rsidP="00B40323">
      <w:pPr>
        <w:pStyle w:val="Prrafodelista"/>
        <w:spacing w:line="216" w:lineRule="auto"/>
        <w:rPr>
          <w:rFonts w:ascii="Verdana" w:eastAsia="Verdana" w:hAnsi="Verdana"/>
          <w:sz w:val="20"/>
          <w:szCs w:val="20"/>
          <w:lang w:val="es-PE"/>
        </w:rPr>
      </w:pPr>
    </w:p>
    <w:p w14:paraId="65B9C79F" w14:textId="77777777" w:rsidR="00EE7B88" w:rsidRPr="00B40323" w:rsidRDefault="00EE7B88"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En la Resolución</w:t>
      </w:r>
      <w:r w:rsidR="00835E09" w:rsidRPr="00B40323">
        <w:rPr>
          <w:rFonts w:ascii="Verdana" w:eastAsia="Verdana" w:hAnsi="Verdana"/>
          <w:sz w:val="20"/>
          <w:szCs w:val="20"/>
          <w:lang w:val="es-PE"/>
        </w:rPr>
        <w:t xml:space="preserve"> de 10 de diciembre de 2019</w:t>
      </w:r>
      <w:r w:rsidRPr="00B40323">
        <w:rPr>
          <w:rFonts w:ascii="Verdana" w:eastAsia="Verdana" w:hAnsi="Verdana"/>
          <w:sz w:val="20"/>
          <w:szCs w:val="20"/>
          <w:lang w:val="es-PE"/>
        </w:rPr>
        <w:t xml:space="preserve">, el </w:t>
      </w:r>
      <w:r w:rsidRPr="00B40323">
        <w:rPr>
          <w:rFonts w:ascii="Verdana" w:eastAsia="Verdana" w:hAnsi="Verdana"/>
          <w:b/>
          <w:i/>
          <w:sz w:val="20"/>
          <w:szCs w:val="20"/>
          <w:lang w:val="es-PE"/>
        </w:rPr>
        <w:t>Presidente</w:t>
      </w:r>
      <w:r w:rsidRPr="00B40323">
        <w:rPr>
          <w:rFonts w:ascii="Verdana" w:eastAsia="Verdana" w:hAnsi="Verdana"/>
          <w:sz w:val="20"/>
          <w:szCs w:val="20"/>
          <w:lang w:val="es-PE"/>
        </w:rPr>
        <w:t xml:space="preserve"> consideró </w:t>
      </w:r>
      <w:r w:rsidR="00465AC0" w:rsidRPr="00B40323">
        <w:rPr>
          <w:rFonts w:ascii="Verdana" w:eastAsia="Verdana" w:hAnsi="Verdana"/>
          <w:sz w:val="20"/>
          <w:szCs w:val="20"/>
          <w:lang w:val="es-PE"/>
        </w:rPr>
        <w:t>improcedente</w:t>
      </w:r>
      <w:r w:rsidRPr="00B40323">
        <w:rPr>
          <w:rFonts w:ascii="Verdana" w:eastAsia="Verdana" w:hAnsi="Verdana"/>
          <w:sz w:val="20"/>
          <w:szCs w:val="20"/>
          <w:lang w:val="es-PE"/>
        </w:rPr>
        <w:t xml:space="preserve"> la recusación, recordando </w:t>
      </w:r>
      <w:r w:rsidR="00465AC0" w:rsidRPr="00B40323">
        <w:rPr>
          <w:rFonts w:ascii="Verdana" w:eastAsia="Verdana" w:hAnsi="Verdana"/>
          <w:sz w:val="20"/>
          <w:szCs w:val="20"/>
          <w:lang w:val="es-PE"/>
        </w:rPr>
        <w:t>como antecedente una decisión de la Corte sobre el</w:t>
      </w:r>
      <w:r w:rsidRPr="00B40323">
        <w:rPr>
          <w:rFonts w:ascii="Verdana" w:eastAsia="Verdana" w:hAnsi="Verdana"/>
          <w:sz w:val="20"/>
          <w:szCs w:val="20"/>
          <w:lang w:val="es-PE"/>
        </w:rPr>
        <w:t xml:space="preserve"> caso </w:t>
      </w:r>
      <w:r w:rsidRPr="00B40323">
        <w:rPr>
          <w:rFonts w:ascii="Verdana" w:eastAsia="Verdana" w:hAnsi="Verdana"/>
          <w:i/>
          <w:sz w:val="20"/>
          <w:szCs w:val="20"/>
          <w:lang w:val="es-PE"/>
        </w:rPr>
        <w:t>Cabre</w:t>
      </w:r>
      <w:r w:rsidR="00006F04">
        <w:rPr>
          <w:rFonts w:ascii="Verdana" w:eastAsia="Verdana" w:hAnsi="Verdana"/>
          <w:i/>
          <w:sz w:val="20"/>
          <w:szCs w:val="20"/>
          <w:lang w:val="es-PE"/>
        </w:rPr>
        <w:t>r</w:t>
      </w:r>
      <w:r w:rsidR="00465AC0" w:rsidRPr="00B40323">
        <w:rPr>
          <w:rFonts w:ascii="Verdana" w:eastAsia="Verdana" w:hAnsi="Verdana"/>
          <w:i/>
          <w:sz w:val="20"/>
          <w:szCs w:val="20"/>
          <w:lang w:val="es-PE"/>
        </w:rPr>
        <w:t>a</w:t>
      </w:r>
      <w:r w:rsidRPr="00B40323">
        <w:rPr>
          <w:rFonts w:ascii="Verdana" w:eastAsia="Verdana" w:hAnsi="Verdana"/>
          <w:i/>
          <w:sz w:val="20"/>
          <w:szCs w:val="20"/>
          <w:lang w:val="es-PE"/>
        </w:rPr>
        <w:t xml:space="preserve"> García y Montiel Flores vs. Mexico</w:t>
      </w:r>
      <w:r w:rsidR="00465AC0" w:rsidRPr="00B40323">
        <w:rPr>
          <w:rFonts w:ascii="Verdana" w:eastAsia="Verdana" w:hAnsi="Verdana"/>
          <w:i/>
          <w:sz w:val="20"/>
          <w:szCs w:val="20"/>
          <w:lang w:val="es-PE"/>
        </w:rPr>
        <w:t xml:space="preserve">, </w:t>
      </w:r>
      <w:r w:rsidR="00497702" w:rsidRPr="00B40323">
        <w:rPr>
          <w:rFonts w:ascii="Verdana" w:eastAsia="Verdana" w:hAnsi="Verdana"/>
          <w:sz w:val="20"/>
          <w:szCs w:val="20"/>
          <w:lang w:val="es-PE"/>
        </w:rPr>
        <w:t>en la que se señaló que “</w:t>
      </w:r>
      <w:r w:rsidRPr="00B40323">
        <w:rPr>
          <w:rFonts w:ascii="Verdana" w:hAnsi="Verdana"/>
          <w:sz w:val="20"/>
          <w:szCs w:val="20"/>
        </w:rPr>
        <w:t xml:space="preserve">la objetividad que se presume </w:t>
      </w:r>
      <w:r w:rsidRPr="00B40323">
        <w:rPr>
          <w:rFonts w:ascii="Verdana" w:hAnsi="Verdana"/>
          <w:sz w:val="20"/>
          <w:szCs w:val="20"/>
        </w:rPr>
        <w:lastRenderedPageBreak/>
        <w:t xml:space="preserve">debe poseer un perito […] no cesa por haber emitido su opinión experta en una anterior </w:t>
      </w:r>
      <w:r w:rsidR="00497702" w:rsidRPr="00B40323">
        <w:rPr>
          <w:rFonts w:ascii="Verdana" w:hAnsi="Verdana"/>
          <w:sz w:val="20"/>
          <w:szCs w:val="20"/>
        </w:rPr>
        <w:t>oportunidad”</w:t>
      </w:r>
      <w:r w:rsidRPr="00B40323">
        <w:rPr>
          <w:rStyle w:val="Refdenotaalpie"/>
          <w:rFonts w:ascii="Verdana" w:hAnsi="Verdana"/>
          <w:sz w:val="20"/>
          <w:szCs w:val="20"/>
        </w:rPr>
        <w:footnoteReference w:id="6"/>
      </w:r>
      <w:r w:rsidRPr="00B40323">
        <w:rPr>
          <w:rFonts w:ascii="Verdana" w:hAnsi="Verdana"/>
          <w:sz w:val="20"/>
          <w:szCs w:val="20"/>
        </w:rPr>
        <w:t>.</w:t>
      </w:r>
    </w:p>
    <w:p w14:paraId="232C1AD8" w14:textId="77777777" w:rsidR="00EE7B88" w:rsidRPr="00B40323" w:rsidRDefault="00EE7B88" w:rsidP="00B40323">
      <w:pPr>
        <w:pStyle w:val="Prrafodelista"/>
        <w:spacing w:line="216" w:lineRule="auto"/>
        <w:rPr>
          <w:rFonts w:ascii="Verdana" w:eastAsia="Verdana" w:hAnsi="Verdana"/>
          <w:sz w:val="20"/>
          <w:szCs w:val="20"/>
          <w:lang w:val="es-PE"/>
        </w:rPr>
      </w:pPr>
    </w:p>
    <w:p w14:paraId="6E0EA283" w14:textId="77777777" w:rsidR="00297A54" w:rsidRPr="00B40323" w:rsidRDefault="00465AC0"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En su esc</w:t>
      </w:r>
      <w:r w:rsidR="00835E09" w:rsidRPr="00B40323">
        <w:rPr>
          <w:rFonts w:ascii="Verdana" w:eastAsia="Verdana" w:hAnsi="Verdana"/>
          <w:sz w:val="20"/>
          <w:szCs w:val="20"/>
          <w:lang w:val="es-PE"/>
        </w:rPr>
        <w:t xml:space="preserve">rito de 16 de diciembre de 2019, el </w:t>
      </w:r>
      <w:r w:rsidR="00835E09" w:rsidRPr="00B40323">
        <w:rPr>
          <w:rFonts w:ascii="Verdana" w:eastAsia="Verdana" w:hAnsi="Verdana"/>
          <w:b/>
          <w:i/>
          <w:sz w:val="20"/>
          <w:szCs w:val="20"/>
          <w:lang w:val="es-PE"/>
        </w:rPr>
        <w:t>Estado</w:t>
      </w:r>
      <w:r w:rsidRPr="00B40323">
        <w:rPr>
          <w:rFonts w:ascii="Verdana" w:eastAsia="Verdana" w:hAnsi="Verdana"/>
          <w:sz w:val="20"/>
          <w:szCs w:val="20"/>
          <w:lang w:val="es-PE"/>
        </w:rPr>
        <w:t xml:space="preserve"> se refirió a la consideración anterior e insistió en que, pese a ella, debía proceder la recusación propuesta. Adujo </w:t>
      </w:r>
      <w:r w:rsidR="002F7F58" w:rsidRPr="00B40323">
        <w:rPr>
          <w:rFonts w:ascii="Verdana" w:eastAsia="Verdana" w:hAnsi="Verdana"/>
          <w:sz w:val="20"/>
          <w:szCs w:val="20"/>
          <w:lang w:val="es-PE"/>
        </w:rPr>
        <w:t>la Resolución de 10 de diciembre “no […] respond[ió] al argumento principal de la impugnación, pues la misma hace referencia a pronunciamientos de peritos respecto al caso más no a la participación de los mismos dentro de la causa, siendo dos cosas diferentes”. Explicó que</w:t>
      </w:r>
      <w:r w:rsidRPr="00B40323">
        <w:rPr>
          <w:rFonts w:ascii="Verdana" w:eastAsia="Verdana" w:hAnsi="Verdana"/>
          <w:sz w:val="20"/>
          <w:szCs w:val="20"/>
          <w:lang w:val="es-PE"/>
        </w:rPr>
        <w:t xml:space="preserve"> “no solo cuestiona un pronunciamiento de l[a] expert[a] respecto del caso, lo que se cuestiona es que dicho pronunciamiento se haya realizado en el marco de la causa</w:t>
      </w:r>
      <w:r w:rsidR="00077ABF" w:rsidRPr="00B40323">
        <w:rPr>
          <w:rFonts w:ascii="Verdana" w:eastAsia="Verdana" w:hAnsi="Verdana"/>
          <w:sz w:val="20"/>
          <w:szCs w:val="20"/>
          <w:lang w:val="es-PE"/>
        </w:rPr>
        <w:t>, pues sin lugar a dudas un experto podría realizar un trabajo académico y pronunciarse sobre un caso como parte de su investigación</w:t>
      </w:r>
      <w:r w:rsidRPr="00B40323">
        <w:rPr>
          <w:rFonts w:ascii="Verdana" w:eastAsia="Verdana" w:hAnsi="Verdana"/>
          <w:sz w:val="20"/>
          <w:szCs w:val="20"/>
          <w:lang w:val="es-PE"/>
        </w:rPr>
        <w:t xml:space="preserve">”. Entendió que lo que el artículo 48.1.f del Reglamento prohíbe es, en palabras de Ecuador, “una intervención previa, a cualquier título, y en cualquier instancia, </w:t>
      </w:r>
      <w:r w:rsidRPr="00B40323">
        <w:rPr>
          <w:rFonts w:ascii="Verdana" w:eastAsia="Verdana" w:hAnsi="Verdana"/>
          <w:b/>
          <w:sz w:val="20"/>
          <w:szCs w:val="20"/>
          <w:lang w:val="es-PE"/>
        </w:rPr>
        <w:t>en relación con la misma causa</w:t>
      </w:r>
      <w:r w:rsidRPr="00B40323">
        <w:rPr>
          <w:rFonts w:ascii="Verdana" w:eastAsia="Verdana" w:hAnsi="Verdana"/>
          <w:sz w:val="20"/>
          <w:szCs w:val="20"/>
          <w:lang w:val="es-PE"/>
        </w:rPr>
        <w:t>, lo que comprometería la objetividad de los peritos” (el resaltado corresponde al texto original).</w:t>
      </w:r>
      <w:r w:rsidRPr="00B40323">
        <w:rPr>
          <w:rFonts w:ascii="Verdana" w:eastAsia="Verdana" w:hAnsi="Verdana"/>
          <w:b/>
          <w:sz w:val="20"/>
          <w:szCs w:val="20"/>
          <w:lang w:val="es-PE"/>
        </w:rPr>
        <w:t xml:space="preserve"> </w:t>
      </w:r>
    </w:p>
    <w:p w14:paraId="427D77D2" w14:textId="77777777" w:rsidR="00835E09" w:rsidRPr="00B40323" w:rsidRDefault="00835E09" w:rsidP="00B40323">
      <w:pPr>
        <w:pStyle w:val="Prrafodelista"/>
        <w:tabs>
          <w:tab w:val="left" w:pos="540"/>
        </w:tabs>
        <w:spacing w:after="0" w:line="216" w:lineRule="auto"/>
        <w:ind w:left="0" w:right="4"/>
        <w:jc w:val="both"/>
        <w:rPr>
          <w:rFonts w:ascii="Verdana" w:eastAsia="Verdana" w:hAnsi="Verdana"/>
          <w:sz w:val="20"/>
          <w:szCs w:val="20"/>
          <w:lang w:val="es-PE"/>
        </w:rPr>
      </w:pPr>
    </w:p>
    <w:p w14:paraId="626A936C" w14:textId="77777777" w:rsidR="00835E09" w:rsidRPr="00B40323" w:rsidRDefault="00835E09"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El Estado, adem</w:t>
      </w:r>
      <w:r w:rsidR="00FC2834" w:rsidRPr="00B40323">
        <w:rPr>
          <w:rFonts w:ascii="Verdana" w:eastAsia="Verdana" w:hAnsi="Verdana"/>
          <w:sz w:val="20"/>
          <w:szCs w:val="20"/>
          <w:lang w:val="es-PE"/>
        </w:rPr>
        <w:t xml:space="preserve">ás, entendió que resultan pertinentes consideraciones de la Corte vertidas en su decisión de 19 de diciembre de 2013 respecto al caso </w:t>
      </w:r>
      <w:r w:rsidR="00FC2834" w:rsidRPr="00B40323">
        <w:rPr>
          <w:rFonts w:ascii="Verdana" w:eastAsia="Verdana" w:hAnsi="Verdana"/>
          <w:i/>
          <w:sz w:val="20"/>
          <w:szCs w:val="20"/>
          <w:lang w:val="es-PE"/>
        </w:rPr>
        <w:t xml:space="preserve">Cruz Sánchez y otros vs. Perú. </w:t>
      </w:r>
      <w:r w:rsidR="00FC2834" w:rsidRPr="00B40323">
        <w:rPr>
          <w:rFonts w:ascii="Verdana" w:eastAsia="Verdana" w:hAnsi="Verdana"/>
          <w:sz w:val="20"/>
          <w:szCs w:val="20"/>
          <w:lang w:val="es-PE"/>
        </w:rPr>
        <w:t xml:space="preserve">Recordó las mismas, entendiendo que de los Considerandos 34 y 35 de dicha decisión surge, en palabras de Ecuador, que la Corte “para desechar[, en esa oportunidad,] la recusación de los peritos propuestos se basó en los siguientes hechos”: a) “[l]os peritos propuestos para que declaren ante la Corte Interamericana no fueron designados oficialmente ni actuaron como peritos en la causa en sede interna”; b) “[l]os informes de los peritos propuestos no fueron tenidos como medios de prueba”, y c) “[d]ichas personas no fueron citadas en el debate oral”. </w:t>
      </w:r>
      <w:r w:rsidR="00442F34" w:rsidRPr="00B40323">
        <w:rPr>
          <w:rFonts w:ascii="Verdana" w:eastAsia="Verdana" w:hAnsi="Verdana"/>
          <w:sz w:val="20"/>
          <w:szCs w:val="20"/>
          <w:lang w:val="es-PE"/>
        </w:rPr>
        <w:t>Ecuador sostuvo que</w:t>
      </w:r>
      <w:r w:rsidR="00486356" w:rsidRPr="00B40323">
        <w:rPr>
          <w:rFonts w:ascii="Verdana" w:eastAsia="Verdana" w:hAnsi="Verdana"/>
          <w:sz w:val="20"/>
          <w:szCs w:val="20"/>
          <w:lang w:val="es-PE"/>
        </w:rPr>
        <w:t xml:space="preserve"> al contrario de lo expuesto, la señora Cortés Castillo: a) sí fue oficialmente designada como perita en la causa, por la Comisión; b) presentó su informe y el mismo consta como prueba, y c) intervino en una audiencia oral ante la Comisión. Por tanto, Ecuador consideró que, dado que la situación es inversa, si el planteamiento de recusación no procedió en el caso </w:t>
      </w:r>
      <w:r w:rsidR="00486356" w:rsidRPr="00B40323">
        <w:rPr>
          <w:rFonts w:ascii="Verdana" w:eastAsia="Verdana" w:hAnsi="Verdana"/>
          <w:i/>
          <w:sz w:val="20"/>
          <w:szCs w:val="20"/>
          <w:lang w:val="es-PE"/>
        </w:rPr>
        <w:t>Cruz Sánchez y otros vs. Perú</w:t>
      </w:r>
      <w:r w:rsidR="00486356" w:rsidRPr="00B40323">
        <w:rPr>
          <w:rFonts w:ascii="Verdana" w:eastAsia="Verdana" w:hAnsi="Verdana"/>
          <w:sz w:val="20"/>
          <w:szCs w:val="20"/>
          <w:lang w:val="es-PE"/>
        </w:rPr>
        <w:t xml:space="preserve">, sí debe proceder, respecto a la señora Cortés </w:t>
      </w:r>
      <w:r w:rsidR="008D6AC9" w:rsidRPr="00B40323">
        <w:rPr>
          <w:rFonts w:ascii="Verdana" w:eastAsia="Verdana" w:hAnsi="Verdana"/>
          <w:sz w:val="20"/>
          <w:szCs w:val="20"/>
          <w:lang w:val="es-PE"/>
        </w:rPr>
        <w:t>C</w:t>
      </w:r>
      <w:r w:rsidR="00486356" w:rsidRPr="00B40323">
        <w:rPr>
          <w:rFonts w:ascii="Verdana" w:eastAsia="Verdana" w:hAnsi="Verdana"/>
          <w:sz w:val="20"/>
          <w:szCs w:val="20"/>
          <w:lang w:val="es-PE"/>
        </w:rPr>
        <w:t xml:space="preserve">astillo, en el presente caso. El Estado concluyó que la señora Cortés   </w:t>
      </w:r>
    </w:p>
    <w:p w14:paraId="2DA671CC" w14:textId="77777777" w:rsidR="00835E09" w:rsidRPr="00B40323" w:rsidRDefault="00835E09" w:rsidP="00B40323">
      <w:pPr>
        <w:pStyle w:val="Prrafodelista"/>
        <w:tabs>
          <w:tab w:val="left" w:pos="540"/>
        </w:tabs>
        <w:spacing w:after="0" w:line="216" w:lineRule="auto"/>
        <w:ind w:left="0" w:right="4"/>
        <w:jc w:val="both"/>
        <w:rPr>
          <w:rFonts w:ascii="Verdana" w:eastAsia="Verdana" w:hAnsi="Verdana"/>
          <w:sz w:val="20"/>
          <w:szCs w:val="20"/>
          <w:lang w:val="es-PE"/>
        </w:rPr>
      </w:pPr>
    </w:p>
    <w:p w14:paraId="65687799" w14:textId="77777777" w:rsidR="00835E09" w:rsidRPr="00B40323" w:rsidRDefault="00835E09"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 xml:space="preserve">La </w:t>
      </w:r>
      <w:r w:rsidRPr="00B40323">
        <w:rPr>
          <w:rFonts w:ascii="Verdana" w:eastAsia="Verdana" w:hAnsi="Verdana"/>
          <w:b/>
          <w:i/>
          <w:sz w:val="20"/>
          <w:szCs w:val="20"/>
          <w:lang w:val="es-PE"/>
        </w:rPr>
        <w:t>Comisión</w:t>
      </w:r>
      <w:r w:rsidR="00FF3BED" w:rsidRPr="00B40323">
        <w:rPr>
          <w:rFonts w:ascii="Verdana" w:eastAsia="Verdana" w:hAnsi="Verdana"/>
          <w:sz w:val="20"/>
          <w:szCs w:val="20"/>
          <w:lang w:val="es-PE"/>
        </w:rPr>
        <w:t xml:space="preserve">, en su presentación de 6 de enero de 2020, se opuso a la solicitud estatal. Adujo que “la presentación de una pericia en el expediente ante la Comisión no es razón suficiente para declarar inadmisible la prueba, pues efectivamente el cargo de perita es a título individual en razón de su carácter de experta independiente”. Agregó que “[p]or otra parte, en el presente asunto el objeto propuesto para la declaración […] no es estrictamente coincidente con </w:t>
      </w:r>
      <w:r w:rsidR="003B0817" w:rsidRPr="00B40323">
        <w:rPr>
          <w:rFonts w:ascii="Verdana" w:eastAsia="Verdana" w:hAnsi="Verdana"/>
          <w:sz w:val="20"/>
          <w:szCs w:val="20"/>
          <w:lang w:val="es-PE"/>
        </w:rPr>
        <w:t xml:space="preserve">el anterior”. </w:t>
      </w:r>
      <w:r w:rsidRPr="00B40323">
        <w:rPr>
          <w:rFonts w:ascii="Verdana" w:eastAsia="Verdana" w:hAnsi="Verdana"/>
          <w:sz w:val="20"/>
          <w:szCs w:val="20"/>
          <w:lang w:val="es-PE"/>
        </w:rPr>
        <w:t xml:space="preserve"> </w:t>
      </w:r>
    </w:p>
    <w:p w14:paraId="73C11646" w14:textId="77777777" w:rsidR="00835E09" w:rsidRPr="00B40323" w:rsidRDefault="00835E09" w:rsidP="00B40323">
      <w:pPr>
        <w:pStyle w:val="Prrafodelista"/>
        <w:spacing w:line="216" w:lineRule="auto"/>
        <w:rPr>
          <w:rFonts w:ascii="Verdana" w:eastAsia="Verdana" w:hAnsi="Verdana"/>
          <w:sz w:val="20"/>
          <w:szCs w:val="20"/>
          <w:lang w:val="es-PE"/>
        </w:rPr>
      </w:pPr>
    </w:p>
    <w:p w14:paraId="518078A2" w14:textId="77777777" w:rsidR="003B0817" w:rsidRPr="00B40323" w:rsidRDefault="00835E09"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 xml:space="preserve">Las </w:t>
      </w:r>
      <w:r w:rsidRPr="00B40323">
        <w:rPr>
          <w:rFonts w:ascii="Verdana" w:eastAsia="Verdana" w:hAnsi="Verdana"/>
          <w:b/>
          <w:i/>
          <w:sz w:val="20"/>
          <w:szCs w:val="20"/>
          <w:lang w:val="es-PE"/>
        </w:rPr>
        <w:t>representantes</w:t>
      </w:r>
      <w:r w:rsidR="003B0817" w:rsidRPr="00B40323">
        <w:rPr>
          <w:rFonts w:ascii="Verdana" w:eastAsia="Verdana" w:hAnsi="Verdana"/>
          <w:sz w:val="20"/>
          <w:szCs w:val="20"/>
          <w:lang w:val="es-PE"/>
        </w:rPr>
        <w:t xml:space="preserve"> también se opusieron a la solicitud estatal. Así, el 5 de enero de 2020 sostuvieron que el artículo 48.1.f. del Reglamento de la Corte busca garantizar la imparcialidad de quienes brinden una capacidad pericial, y que la imparcialidad no se ve afectada por la emisión de un dictamen previo. Señalaron también que el peritaje que daría la señora Cortés Castillo ante la Corte no es el mismo que el que fue presentado ante la Comisión. </w:t>
      </w:r>
    </w:p>
    <w:p w14:paraId="48A0CCC5" w14:textId="77777777" w:rsidR="003B0817" w:rsidRPr="00B40323" w:rsidRDefault="003B0817" w:rsidP="00B40323">
      <w:pPr>
        <w:pStyle w:val="Prrafodelista"/>
        <w:spacing w:line="216" w:lineRule="auto"/>
        <w:rPr>
          <w:rFonts w:ascii="Verdana" w:eastAsia="Verdana" w:hAnsi="Verdana"/>
          <w:sz w:val="20"/>
          <w:szCs w:val="20"/>
          <w:lang w:val="es-PE"/>
        </w:rPr>
      </w:pPr>
    </w:p>
    <w:p w14:paraId="5BDC8D50" w14:textId="77777777" w:rsidR="002F6B79" w:rsidRPr="00B40323" w:rsidRDefault="00A80A7F"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 xml:space="preserve">La </w:t>
      </w:r>
      <w:r w:rsidRPr="00B40323">
        <w:rPr>
          <w:rFonts w:ascii="Verdana" w:eastAsia="Verdana" w:hAnsi="Verdana"/>
          <w:b/>
          <w:i/>
          <w:sz w:val="20"/>
          <w:szCs w:val="20"/>
          <w:lang w:val="es-PE"/>
        </w:rPr>
        <w:t>Corte</w:t>
      </w:r>
      <w:r w:rsidR="00F02120" w:rsidRPr="00B40323">
        <w:rPr>
          <w:rFonts w:ascii="Verdana" w:eastAsia="Verdana" w:hAnsi="Verdana"/>
          <w:sz w:val="20"/>
          <w:szCs w:val="20"/>
          <w:lang w:val="es-PE"/>
        </w:rPr>
        <w:t xml:space="preserve"> </w:t>
      </w:r>
      <w:r w:rsidRPr="00B40323">
        <w:rPr>
          <w:rFonts w:ascii="Verdana" w:eastAsia="Verdana" w:hAnsi="Verdana"/>
          <w:sz w:val="20"/>
          <w:szCs w:val="20"/>
          <w:lang w:val="es-PE"/>
        </w:rPr>
        <w:t>observa que es cierto</w:t>
      </w:r>
      <w:r w:rsidR="002F6B79" w:rsidRPr="00B40323">
        <w:rPr>
          <w:rFonts w:ascii="Verdana" w:eastAsia="Verdana" w:hAnsi="Verdana"/>
          <w:sz w:val="20"/>
          <w:szCs w:val="20"/>
          <w:lang w:val="es-PE"/>
        </w:rPr>
        <w:t>,</w:t>
      </w:r>
      <w:r w:rsidRPr="00B40323">
        <w:rPr>
          <w:rFonts w:ascii="Verdana" w:eastAsia="Verdana" w:hAnsi="Verdana"/>
          <w:sz w:val="20"/>
          <w:szCs w:val="20"/>
          <w:lang w:val="es-PE"/>
        </w:rPr>
        <w:t xml:space="preserve"> como ha señalado el Estado, que la señora Cortés Castillo ya intervino como perita en el trámite del caso ante la Comisión, presentando su informe e interviniendo en una audiencia oral.</w:t>
      </w:r>
      <w:r w:rsidR="00497702" w:rsidRPr="00B40323">
        <w:rPr>
          <w:rFonts w:ascii="Verdana" w:eastAsia="Verdana" w:hAnsi="Verdana"/>
          <w:sz w:val="20"/>
          <w:szCs w:val="20"/>
          <w:lang w:val="es-PE"/>
        </w:rPr>
        <w:t xml:space="preserve"> </w:t>
      </w:r>
      <w:r w:rsidRPr="00B40323">
        <w:rPr>
          <w:rFonts w:ascii="Verdana" w:eastAsia="Verdana" w:hAnsi="Verdana"/>
          <w:sz w:val="20"/>
          <w:szCs w:val="20"/>
          <w:lang w:val="es-PE"/>
        </w:rPr>
        <w:t xml:space="preserve">No obstante, la mera constatación anterior no hace, </w:t>
      </w:r>
      <w:r w:rsidRPr="00B40323">
        <w:rPr>
          <w:rFonts w:ascii="Verdana" w:eastAsia="Verdana" w:hAnsi="Verdana"/>
          <w:i/>
          <w:sz w:val="20"/>
          <w:szCs w:val="20"/>
          <w:lang w:val="es-PE"/>
        </w:rPr>
        <w:t>per se</w:t>
      </w:r>
      <w:r w:rsidRPr="00B40323">
        <w:rPr>
          <w:rFonts w:ascii="Verdana" w:eastAsia="Verdana" w:hAnsi="Verdana"/>
          <w:sz w:val="20"/>
          <w:szCs w:val="20"/>
          <w:lang w:val="es-PE"/>
        </w:rPr>
        <w:t xml:space="preserve">, que la recusación propuesta por Ecuador tenga que ser aceptada. </w:t>
      </w:r>
    </w:p>
    <w:p w14:paraId="3726178C" w14:textId="77777777" w:rsidR="002F6B79" w:rsidRPr="00B40323" w:rsidRDefault="002F6B79" w:rsidP="00B40323">
      <w:pPr>
        <w:pStyle w:val="Prrafodelista"/>
        <w:spacing w:line="216" w:lineRule="auto"/>
        <w:rPr>
          <w:rFonts w:ascii="Verdana" w:eastAsia="Verdana" w:hAnsi="Verdana"/>
          <w:sz w:val="20"/>
          <w:szCs w:val="20"/>
          <w:lang w:val="es-PE"/>
        </w:rPr>
      </w:pPr>
    </w:p>
    <w:p w14:paraId="4B621566" w14:textId="77777777" w:rsidR="00A80A7F" w:rsidRPr="00B40323" w:rsidRDefault="00A80A7F"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 xml:space="preserve">El propio Estado, en su escrito de 12 de noviembre de 2019, recordó que en una oportunidad anterior la Presidencia de la Corte explicó que “la </w:t>
      </w:r>
      <w:r w:rsidRPr="00B40323">
        <w:rPr>
          <w:rFonts w:ascii="Verdana" w:eastAsia="Verdana" w:hAnsi="Verdana"/>
          <w:i/>
          <w:sz w:val="20"/>
          <w:szCs w:val="20"/>
          <w:lang w:val="es-PE"/>
        </w:rPr>
        <w:t>ratio legis</w:t>
      </w:r>
      <w:r w:rsidRPr="00B40323">
        <w:rPr>
          <w:rFonts w:ascii="Verdana" w:eastAsia="Verdana" w:hAnsi="Verdana"/>
          <w:sz w:val="20"/>
          <w:szCs w:val="20"/>
          <w:lang w:val="es-PE"/>
        </w:rPr>
        <w:t xml:space="preserve"> de[l artículo 48.1.f del Reglamento] busca evitar que se desempeñen como peritos aquellas personas que hayan participado previamente en la misma causa </w:t>
      </w:r>
      <w:r w:rsidRPr="00B40323">
        <w:rPr>
          <w:rFonts w:ascii="Verdana" w:eastAsia="Verdana" w:hAnsi="Verdana"/>
          <w:i/>
          <w:sz w:val="20"/>
          <w:szCs w:val="20"/>
          <w:lang w:val="es-PE"/>
        </w:rPr>
        <w:t xml:space="preserve">en una capacidad jurídicamente relevante que </w:t>
      </w:r>
      <w:r w:rsidRPr="00B40323">
        <w:rPr>
          <w:rFonts w:ascii="Verdana" w:eastAsia="Verdana" w:hAnsi="Verdana"/>
          <w:i/>
          <w:sz w:val="20"/>
          <w:szCs w:val="20"/>
          <w:lang w:val="es-PE"/>
        </w:rPr>
        <w:lastRenderedPageBreak/>
        <w:t>pudiese despertar dudas acerca del deber de objetividad</w:t>
      </w:r>
      <w:r w:rsidRPr="00B40323">
        <w:rPr>
          <w:rFonts w:ascii="Verdana" w:eastAsia="Verdana" w:hAnsi="Verdana"/>
          <w:sz w:val="20"/>
          <w:szCs w:val="20"/>
          <w:lang w:val="es-PE"/>
        </w:rPr>
        <w:t xml:space="preserve"> de un perito ante este Tribunal”</w:t>
      </w:r>
      <w:r w:rsidRPr="00B40323">
        <w:rPr>
          <w:rStyle w:val="Refdenotaalpie"/>
          <w:rFonts w:ascii="Verdana" w:eastAsia="Verdana" w:hAnsi="Verdana"/>
          <w:sz w:val="20"/>
          <w:szCs w:val="20"/>
          <w:lang w:val="es-PE"/>
        </w:rPr>
        <w:footnoteReference w:id="7"/>
      </w:r>
      <w:r w:rsidR="00674F0E" w:rsidRPr="00B40323">
        <w:rPr>
          <w:rFonts w:ascii="Verdana" w:eastAsia="Verdana" w:hAnsi="Verdana"/>
          <w:sz w:val="20"/>
          <w:szCs w:val="20"/>
          <w:lang w:val="es-PE"/>
        </w:rPr>
        <w:t xml:space="preserve"> (la cursiva no es del texto original)</w:t>
      </w:r>
      <w:r w:rsidRPr="00B40323">
        <w:rPr>
          <w:rFonts w:ascii="Verdana" w:eastAsia="Verdana" w:hAnsi="Verdana"/>
          <w:sz w:val="20"/>
          <w:szCs w:val="20"/>
          <w:lang w:val="es-PE"/>
        </w:rPr>
        <w:t>. El 16 de diciembre de 2019 el Estado se manifestó en el mismo sentido, relacionando el artículo 48.1.f. reglamentario con el resguardo de la “objetividad de los peritos”. La Corte comparte el entendimiento expresado por el Estado y los señalamientos efectuados en el antecedente referido por Ecuador. De dicho antecedente, y otros</w:t>
      </w:r>
      <w:r w:rsidRPr="00B40323">
        <w:rPr>
          <w:rStyle w:val="Refdenotaalpie"/>
          <w:rFonts w:ascii="Verdana" w:eastAsia="Verdana" w:hAnsi="Verdana"/>
          <w:sz w:val="20"/>
          <w:szCs w:val="20"/>
          <w:lang w:val="es-PE"/>
        </w:rPr>
        <w:footnoteReference w:id="8"/>
      </w:r>
      <w:r w:rsidRPr="00B40323">
        <w:rPr>
          <w:rFonts w:ascii="Verdana" w:eastAsia="Verdana" w:hAnsi="Verdana"/>
          <w:sz w:val="20"/>
          <w:szCs w:val="20"/>
          <w:lang w:val="es-PE"/>
        </w:rPr>
        <w:t>, surge que la intelección efectuad</w:t>
      </w:r>
      <w:r w:rsidR="0069133E" w:rsidRPr="00B40323">
        <w:rPr>
          <w:rFonts w:ascii="Verdana" w:eastAsia="Verdana" w:hAnsi="Verdana"/>
          <w:sz w:val="20"/>
          <w:szCs w:val="20"/>
          <w:lang w:val="es-PE"/>
        </w:rPr>
        <w:t>a</w:t>
      </w:r>
      <w:r w:rsidRPr="00B40323">
        <w:rPr>
          <w:rFonts w:ascii="Verdana" w:eastAsia="Verdana" w:hAnsi="Verdana"/>
          <w:sz w:val="20"/>
          <w:szCs w:val="20"/>
          <w:lang w:val="es-PE"/>
        </w:rPr>
        <w:t xml:space="preserve"> por la Corte del artículo 48.1.f reglamentario se ha sustentado en su razón legal o fundamento. </w:t>
      </w:r>
    </w:p>
    <w:p w14:paraId="0CDBC519" w14:textId="77777777" w:rsidR="00613E44" w:rsidRPr="00B40323" w:rsidRDefault="00613E44" w:rsidP="00B40323">
      <w:pPr>
        <w:pStyle w:val="Prrafodelista"/>
        <w:tabs>
          <w:tab w:val="left" w:pos="540"/>
        </w:tabs>
        <w:spacing w:after="0" w:line="216" w:lineRule="auto"/>
        <w:ind w:left="0" w:right="4"/>
        <w:jc w:val="both"/>
        <w:rPr>
          <w:rFonts w:ascii="Verdana" w:eastAsia="Verdana" w:hAnsi="Verdana"/>
          <w:sz w:val="20"/>
          <w:szCs w:val="20"/>
          <w:lang w:val="es-PE"/>
        </w:rPr>
      </w:pPr>
    </w:p>
    <w:p w14:paraId="6624F7CB" w14:textId="77777777" w:rsidR="002F6B79" w:rsidRPr="00B40323" w:rsidRDefault="00613E44"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 xml:space="preserve">Por otra parte, es preciso atender al proceso en cuyo curso la señora Cortés Castillo emitió un dictamen. Ello se hizo en el trámite del caso ante la Comisión Interamericana, el que se encuentra ligado al trámite del caso ante la Corte, al punto de ser un antecedente necesario para el mismo. Por lo tanto, no puede afirmarse se haya tratado de una instancia internacional distinta o desvinculada del proceso. </w:t>
      </w:r>
      <w:r w:rsidR="00FF5DC2" w:rsidRPr="00B40323">
        <w:rPr>
          <w:rFonts w:ascii="Verdana" w:eastAsia="Verdana" w:hAnsi="Verdana"/>
          <w:sz w:val="20"/>
          <w:szCs w:val="20"/>
          <w:lang w:val="es-PE"/>
        </w:rPr>
        <w:t xml:space="preserve">Resultaría contradictorio que la Corte, a la vez que está facultada para considerar dictámenes periciales recibidos por la Comisión se viera impedida, por esa sola circunstancia, de recabar declaraciones de quienes emitieron tales dictámenes. </w:t>
      </w:r>
    </w:p>
    <w:p w14:paraId="33430AED" w14:textId="77777777" w:rsidR="002F6B79" w:rsidRPr="00B40323" w:rsidRDefault="002F6B79" w:rsidP="00B40323">
      <w:pPr>
        <w:pStyle w:val="Prrafodelista"/>
        <w:spacing w:line="216" w:lineRule="auto"/>
        <w:rPr>
          <w:rFonts w:ascii="Verdana" w:eastAsia="Verdana" w:hAnsi="Verdana"/>
          <w:sz w:val="20"/>
          <w:szCs w:val="20"/>
          <w:lang w:val="es-PE"/>
        </w:rPr>
      </w:pPr>
    </w:p>
    <w:p w14:paraId="2E06FA52" w14:textId="77777777" w:rsidR="00D928B1" w:rsidRPr="00B40323" w:rsidRDefault="00674F0E" w:rsidP="00B40323">
      <w:pPr>
        <w:pStyle w:val="Prrafodelista"/>
        <w:numPr>
          <w:ilvl w:val="0"/>
          <w:numId w:val="2"/>
        </w:numPr>
        <w:tabs>
          <w:tab w:val="left" w:pos="540"/>
        </w:tabs>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Considerando, conforme lo expuesto, la finalidad del artículo 48.1.f del Reglamento, así como su entendimiento de acuerdo a las características del proceso</w:t>
      </w:r>
      <w:r w:rsidR="00320B90" w:rsidRPr="00B40323">
        <w:rPr>
          <w:rFonts w:ascii="Verdana" w:eastAsia="Verdana" w:hAnsi="Verdana"/>
          <w:sz w:val="20"/>
          <w:szCs w:val="20"/>
          <w:lang w:val="es-PE"/>
        </w:rPr>
        <w:t>, la Corte considera relevante el señalamiento de la Resolución del Presidente en cuanto a que “</w:t>
      </w:r>
      <w:r w:rsidR="007C02F7" w:rsidRPr="00B40323">
        <w:rPr>
          <w:rFonts w:ascii="Verdana" w:hAnsi="Verdana"/>
          <w:sz w:val="20"/>
          <w:szCs w:val="20"/>
        </w:rPr>
        <w:t>la objetividad que se presume debe poseer un perito […] no cesa por haber emitido su opinión experta en una anterior oportunidad</w:t>
      </w:r>
      <w:r w:rsidR="00320B90" w:rsidRPr="00B40323">
        <w:rPr>
          <w:rFonts w:ascii="Verdana" w:hAnsi="Verdana"/>
          <w:sz w:val="20"/>
          <w:szCs w:val="20"/>
        </w:rPr>
        <w:t>”</w:t>
      </w:r>
      <w:r w:rsidR="007C02F7" w:rsidRPr="00B40323">
        <w:rPr>
          <w:rStyle w:val="Refdenotaalpie"/>
          <w:rFonts w:ascii="Verdana" w:hAnsi="Verdana"/>
          <w:sz w:val="20"/>
          <w:szCs w:val="20"/>
        </w:rPr>
        <w:footnoteReference w:id="9"/>
      </w:r>
      <w:r w:rsidR="007C02F7" w:rsidRPr="00B40323">
        <w:rPr>
          <w:rFonts w:ascii="Verdana" w:hAnsi="Verdana"/>
          <w:sz w:val="20"/>
          <w:szCs w:val="20"/>
        </w:rPr>
        <w:t>.</w:t>
      </w:r>
      <w:r w:rsidR="002F6B79" w:rsidRPr="00B40323">
        <w:rPr>
          <w:rFonts w:ascii="Verdana" w:hAnsi="Verdana"/>
          <w:sz w:val="20"/>
          <w:szCs w:val="20"/>
        </w:rPr>
        <w:t xml:space="preserve"> Además, más allá de la mención a su intervención en el trámite ante la Comisión, Ecuador no ha presentado motivos para presumir la falta de objetividad de la señora Cortés Castillo. </w:t>
      </w:r>
    </w:p>
    <w:p w14:paraId="5CBDD58F" w14:textId="77777777" w:rsidR="002F6B79" w:rsidRPr="00B40323" w:rsidRDefault="002F6B79" w:rsidP="00B40323">
      <w:pPr>
        <w:pStyle w:val="Prrafodelista"/>
        <w:tabs>
          <w:tab w:val="left" w:pos="540"/>
        </w:tabs>
        <w:autoSpaceDE w:val="0"/>
        <w:autoSpaceDN w:val="0"/>
        <w:adjustRightInd w:val="0"/>
        <w:spacing w:after="0" w:line="216" w:lineRule="auto"/>
        <w:ind w:left="284" w:right="288"/>
        <w:jc w:val="both"/>
        <w:rPr>
          <w:rFonts w:ascii="Verdana" w:eastAsia="Verdana" w:hAnsi="Verdana"/>
          <w:sz w:val="20"/>
          <w:szCs w:val="20"/>
          <w:lang w:val="es-PE"/>
        </w:rPr>
      </w:pPr>
    </w:p>
    <w:p w14:paraId="79B6AA82" w14:textId="77777777" w:rsidR="00035DF8" w:rsidRPr="00B40323" w:rsidRDefault="0075066C" w:rsidP="00B40323">
      <w:pPr>
        <w:pStyle w:val="Prrafodelista"/>
        <w:numPr>
          <w:ilvl w:val="0"/>
          <w:numId w:val="2"/>
        </w:numPr>
        <w:autoSpaceDE w:val="0"/>
        <w:autoSpaceDN w:val="0"/>
        <w:adjustRightInd w:val="0"/>
        <w:spacing w:after="0" w:line="216" w:lineRule="auto"/>
        <w:ind w:left="0" w:right="4" w:firstLine="0"/>
        <w:jc w:val="both"/>
        <w:rPr>
          <w:rFonts w:ascii="Verdana" w:eastAsia="Verdana" w:hAnsi="Verdana"/>
          <w:sz w:val="20"/>
          <w:szCs w:val="20"/>
          <w:lang w:val="es-PE"/>
        </w:rPr>
      </w:pPr>
      <w:r w:rsidRPr="00B40323">
        <w:rPr>
          <w:rFonts w:ascii="Verdana" w:hAnsi="Verdana"/>
          <w:sz w:val="20"/>
          <w:szCs w:val="20"/>
        </w:rPr>
        <w:t>Aunado a lo anterior, l</w:t>
      </w:r>
      <w:r w:rsidR="006D3B70" w:rsidRPr="00B40323">
        <w:rPr>
          <w:rFonts w:ascii="Verdana" w:hAnsi="Verdana"/>
          <w:sz w:val="20"/>
          <w:szCs w:val="20"/>
        </w:rPr>
        <w:t>a</w:t>
      </w:r>
      <w:r w:rsidR="006D3B70" w:rsidRPr="00B40323">
        <w:rPr>
          <w:rFonts w:ascii="Verdana" w:hAnsi="Verdana"/>
          <w:b/>
          <w:i/>
          <w:sz w:val="20"/>
          <w:szCs w:val="20"/>
        </w:rPr>
        <w:t xml:space="preserve"> </w:t>
      </w:r>
      <w:r w:rsidR="006D3B70" w:rsidRPr="00B40323">
        <w:rPr>
          <w:rFonts w:ascii="Verdana" w:hAnsi="Verdana"/>
          <w:sz w:val="20"/>
          <w:szCs w:val="20"/>
        </w:rPr>
        <w:t>Corte recuerda que en los casos sometidos a su conocimiento es necesario asegurar el conocimiento de la verdad y la más amplia presentación de hechos y argumentos por las partes, en todo lo que sea pertinente para la solución de las cuestiones controvertidas, garantizando a éstas el derecho a la defensa de sus respectivas posiciones</w:t>
      </w:r>
      <w:r w:rsidR="006D3B70" w:rsidRPr="00B40323">
        <w:rPr>
          <w:rStyle w:val="Refdenotaalpie"/>
          <w:rFonts w:ascii="Verdana" w:eastAsia="Verdana" w:hAnsi="Verdana"/>
          <w:sz w:val="20"/>
          <w:szCs w:val="20"/>
          <w:lang w:val="es-PE"/>
        </w:rPr>
        <w:footnoteReference w:id="10"/>
      </w:r>
      <w:r w:rsidR="006D3B70" w:rsidRPr="00B40323">
        <w:rPr>
          <w:rFonts w:ascii="Verdana" w:hAnsi="Verdana"/>
          <w:sz w:val="20"/>
          <w:szCs w:val="20"/>
        </w:rPr>
        <w:t xml:space="preserve">. </w:t>
      </w:r>
      <w:r w:rsidR="00D928B1" w:rsidRPr="00B40323">
        <w:rPr>
          <w:rFonts w:ascii="Verdana" w:hAnsi="Verdana"/>
          <w:sz w:val="20"/>
          <w:szCs w:val="20"/>
        </w:rPr>
        <w:t xml:space="preserve">En ese sentido, el grado </w:t>
      </w:r>
      <w:r w:rsidR="00C50573" w:rsidRPr="00B40323">
        <w:rPr>
          <w:rFonts w:ascii="Verdana" w:hAnsi="Verdana"/>
          <w:sz w:val="20"/>
          <w:szCs w:val="20"/>
        </w:rPr>
        <w:t xml:space="preserve">en que el peritaje de la señora Cortés Castillo sea el resultado de un conocimiento experto expresado con </w:t>
      </w:r>
      <w:r w:rsidR="00D928B1" w:rsidRPr="00B40323">
        <w:rPr>
          <w:rFonts w:ascii="Verdana" w:hAnsi="Verdana"/>
          <w:sz w:val="20"/>
          <w:szCs w:val="20"/>
        </w:rPr>
        <w:t xml:space="preserve">objetividad </w:t>
      </w:r>
      <w:r w:rsidR="00C50573" w:rsidRPr="00B40323">
        <w:rPr>
          <w:rFonts w:ascii="Verdana" w:hAnsi="Verdana"/>
          <w:sz w:val="20"/>
          <w:szCs w:val="20"/>
        </w:rPr>
        <w:t xml:space="preserve">podrá ser evaluado por la Corte, y el Estado tendrá oportunidad de interrogar a la perita </w:t>
      </w:r>
      <w:r w:rsidR="0069133E" w:rsidRPr="00B40323">
        <w:rPr>
          <w:rFonts w:ascii="Verdana" w:hAnsi="Verdana"/>
          <w:sz w:val="20"/>
          <w:szCs w:val="20"/>
        </w:rPr>
        <w:t>y</w:t>
      </w:r>
      <w:r w:rsidR="00C50573" w:rsidRPr="00B40323">
        <w:rPr>
          <w:rFonts w:ascii="Verdana" w:hAnsi="Verdana"/>
          <w:sz w:val="20"/>
          <w:szCs w:val="20"/>
        </w:rPr>
        <w:t xml:space="preserve"> también de presentar sus consideraciones sobre el dictamen que ella exponga. </w:t>
      </w:r>
    </w:p>
    <w:p w14:paraId="6FB83C14" w14:textId="77777777" w:rsidR="00035DF8" w:rsidRPr="00B40323" w:rsidRDefault="00035DF8" w:rsidP="00B40323">
      <w:pPr>
        <w:pStyle w:val="Prrafodelista"/>
        <w:spacing w:line="216" w:lineRule="auto"/>
        <w:rPr>
          <w:rFonts w:ascii="Verdana" w:hAnsi="Verdana"/>
          <w:sz w:val="20"/>
          <w:szCs w:val="20"/>
        </w:rPr>
      </w:pPr>
    </w:p>
    <w:p w14:paraId="09E5B90A" w14:textId="77777777" w:rsidR="00C50573" w:rsidRPr="00B40323" w:rsidRDefault="00035DF8" w:rsidP="00B40323">
      <w:pPr>
        <w:pStyle w:val="Prrafodelista"/>
        <w:numPr>
          <w:ilvl w:val="0"/>
          <w:numId w:val="2"/>
        </w:numPr>
        <w:autoSpaceDE w:val="0"/>
        <w:autoSpaceDN w:val="0"/>
        <w:adjustRightInd w:val="0"/>
        <w:spacing w:after="0" w:line="216" w:lineRule="auto"/>
        <w:ind w:left="0" w:right="4" w:firstLine="0"/>
        <w:jc w:val="both"/>
        <w:rPr>
          <w:rFonts w:ascii="Verdana" w:eastAsia="Verdana" w:hAnsi="Verdana"/>
          <w:sz w:val="20"/>
          <w:szCs w:val="20"/>
          <w:lang w:val="es-PE"/>
        </w:rPr>
      </w:pPr>
      <w:r w:rsidRPr="00B40323">
        <w:rPr>
          <w:rFonts w:ascii="Verdana" w:hAnsi="Verdana"/>
          <w:sz w:val="20"/>
          <w:szCs w:val="20"/>
        </w:rPr>
        <w:t>Por último, la Corte recuerda las amplias facultades que detenta en relación con la admisión y recepción de prueba (</w:t>
      </w:r>
      <w:r w:rsidRPr="00B40323">
        <w:rPr>
          <w:rFonts w:ascii="Verdana" w:hAnsi="Verdana"/>
          <w:i/>
          <w:sz w:val="20"/>
          <w:szCs w:val="20"/>
        </w:rPr>
        <w:t>supra</w:t>
      </w:r>
      <w:r w:rsidR="00420221">
        <w:rPr>
          <w:rFonts w:ascii="Verdana" w:hAnsi="Verdana"/>
          <w:sz w:val="20"/>
          <w:szCs w:val="20"/>
        </w:rPr>
        <w:t xml:space="preserve"> C</w:t>
      </w:r>
      <w:r w:rsidRPr="00B40323">
        <w:rPr>
          <w:rFonts w:ascii="Verdana" w:hAnsi="Verdana"/>
          <w:sz w:val="20"/>
          <w:szCs w:val="20"/>
        </w:rPr>
        <w:t xml:space="preserve">onsiderando </w:t>
      </w:r>
      <w:r w:rsidR="00420221">
        <w:rPr>
          <w:rFonts w:ascii="Verdana" w:hAnsi="Verdana"/>
          <w:sz w:val="20"/>
          <w:szCs w:val="20"/>
        </w:rPr>
        <w:t>3</w:t>
      </w:r>
      <w:r w:rsidRPr="00B40323">
        <w:rPr>
          <w:rFonts w:ascii="Verdana" w:hAnsi="Verdana"/>
          <w:sz w:val="20"/>
          <w:szCs w:val="20"/>
        </w:rPr>
        <w:t xml:space="preserve">), y considera útil para la declaración pericial de la señora Cortés Castillo para la decisión a en la presente causa </w:t>
      </w:r>
      <w:r w:rsidR="00C50573" w:rsidRPr="00B40323">
        <w:rPr>
          <w:rFonts w:ascii="Verdana" w:hAnsi="Verdana"/>
          <w:sz w:val="20"/>
          <w:szCs w:val="20"/>
        </w:rPr>
        <w:t xml:space="preserve"> </w:t>
      </w:r>
    </w:p>
    <w:p w14:paraId="4CF86C27" w14:textId="77777777" w:rsidR="00C50573" w:rsidRPr="00B40323" w:rsidRDefault="00C50573" w:rsidP="00B40323">
      <w:pPr>
        <w:pStyle w:val="Prrafodelista"/>
        <w:spacing w:line="216" w:lineRule="auto"/>
        <w:rPr>
          <w:rFonts w:ascii="Verdana" w:hAnsi="Verdana"/>
          <w:sz w:val="20"/>
          <w:szCs w:val="20"/>
        </w:rPr>
      </w:pPr>
    </w:p>
    <w:p w14:paraId="715A04DC" w14:textId="77777777" w:rsidR="009B251E" w:rsidRPr="00B40323" w:rsidRDefault="00035DF8" w:rsidP="00B40323">
      <w:pPr>
        <w:pStyle w:val="Prrafodelista"/>
        <w:numPr>
          <w:ilvl w:val="0"/>
          <w:numId w:val="2"/>
        </w:numPr>
        <w:autoSpaceDE w:val="0"/>
        <w:autoSpaceDN w:val="0"/>
        <w:adjustRightInd w:val="0"/>
        <w:spacing w:after="0" w:line="216" w:lineRule="auto"/>
        <w:ind w:left="0" w:right="4" w:firstLine="0"/>
        <w:jc w:val="both"/>
        <w:rPr>
          <w:rFonts w:ascii="Verdana" w:eastAsia="Verdana" w:hAnsi="Verdana"/>
          <w:sz w:val="20"/>
          <w:szCs w:val="20"/>
          <w:lang w:val="es-PE"/>
        </w:rPr>
      </w:pPr>
      <w:r w:rsidRPr="00B40323">
        <w:rPr>
          <w:rFonts w:ascii="Verdana" w:hAnsi="Verdana"/>
          <w:sz w:val="20"/>
          <w:szCs w:val="20"/>
        </w:rPr>
        <w:t>En razón de todo lo exp</w:t>
      </w:r>
      <w:r w:rsidR="00B40323">
        <w:rPr>
          <w:rFonts w:ascii="Verdana" w:hAnsi="Verdana"/>
          <w:sz w:val="20"/>
          <w:szCs w:val="20"/>
        </w:rPr>
        <w:t>resado</w:t>
      </w:r>
      <w:r w:rsidR="009B251E" w:rsidRPr="00B40323">
        <w:rPr>
          <w:rFonts w:ascii="Verdana" w:hAnsi="Verdana"/>
          <w:sz w:val="20"/>
          <w:szCs w:val="20"/>
        </w:rPr>
        <w:t xml:space="preserve">, la Corte considera improcedente el recurso del Estado y mantiene la decisión adoptada por el Presidente de desestimar la recusación y admitir el </w:t>
      </w:r>
      <w:r w:rsidR="009B251E" w:rsidRPr="00B40323">
        <w:rPr>
          <w:rFonts w:ascii="Verdana" w:hAnsi="Verdana"/>
          <w:sz w:val="20"/>
          <w:szCs w:val="20"/>
        </w:rPr>
        <w:lastRenderedPageBreak/>
        <w:t>peritaje de la señora Ximena Cortés Castillo según el objeto dispuesto en la Resolución del Presidente.</w:t>
      </w:r>
    </w:p>
    <w:p w14:paraId="25794CF5" w14:textId="77777777" w:rsidR="00C50573" w:rsidRPr="00B40323" w:rsidRDefault="00C50573" w:rsidP="00B40323">
      <w:pPr>
        <w:pStyle w:val="Prrafodelista"/>
        <w:spacing w:line="216" w:lineRule="auto"/>
        <w:rPr>
          <w:rFonts w:ascii="Verdana" w:eastAsia="Verdana" w:hAnsi="Verdana"/>
          <w:sz w:val="20"/>
          <w:szCs w:val="20"/>
          <w:lang w:val="es-PE"/>
        </w:rPr>
      </w:pPr>
    </w:p>
    <w:p w14:paraId="398A0F2C" w14:textId="77777777" w:rsidR="00C50573" w:rsidRPr="00B40323" w:rsidRDefault="00C50573" w:rsidP="00B40323">
      <w:pPr>
        <w:pStyle w:val="Prrafodelista"/>
        <w:numPr>
          <w:ilvl w:val="0"/>
          <w:numId w:val="12"/>
        </w:numPr>
        <w:spacing w:line="216" w:lineRule="auto"/>
        <w:rPr>
          <w:rFonts w:ascii="Verdana" w:eastAsia="Verdana" w:hAnsi="Verdana"/>
          <w:b/>
          <w:i/>
          <w:sz w:val="20"/>
          <w:szCs w:val="20"/>
          <w:lang w:val="es-PE"/>
        </w:rPr>
      </w:pPr>
      <w:r w:rsidRPr="00B40323">
        <w:rPr>
          <w:rFonts w:ascii="Verdana" w:hAnsi="Verdana"/>
          <w:b/>
          <w:i/>
          <w:sz w:val="20"/>
          <w:szCs w:val="20"/>
        </w:rPr>
        <w:t>Sobre el peritaje conjunto de Marlon Alexis Oviedo Ramirez y Guillermo Barragán Moya</w:t>
      </w:r>
    </w:p>
    <w:p w14:paraId="0074DF5C" w14:textId="77777777" w:rsidR="00C50573" w:rsidRPr="00B40323" w:rsidRDefault="00C50573" w:rsidP="00B40323">
      <w:pPr>
        <w:pStyle w:val="Prrafodelista"/>
        <w:spacing w:line="216" w:lineRule="auto"/>
        <w:rPr>
          <w:rFonts w:ascii="Verdana" w:eastAsia="Verdana" w:hAnsi="Verdana"/>
          <w:sz w:val="20"/>
          <w:szCs w:val="20"/>
          <w:lang w:val="es-PE"/>
        </w:rPr>
      </w:pPr>
    </w:p>
    <w:p w14:paraId="1EA96DC4" w14:textId="77777777" w:rsidR="00035DF8" w:rsidRPr="00B40323" w:rsidRDefault="00035DF8" w:rsidP="009905B5">
      <w:pPr>
        <w:pStyle w:val="Prrafodelista"/>
        <w:numPr>
          <w:ilvl w:val="0"/>
          <w:numId w:val="2"/>
        </w:numPr>
        <w:autoSpaceDE w:val="0"/>
        <w:autoSpaceDN w:val="0"/>
        <w:adjustRightInd w:val="0"/>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 xml:space="preserve">El 16 de diciembre de 2019 el </w:t>
      </w:r>
      <w:r w:rsidRPr="00B40323">
        <w:rPr>
          <w:rFonts w:ascii="Verdana" w:eastAsia="Verdana" w:hAnsi="Verdana"/>
          <w:b/>
          <w:i/>
          <w:sz w:val="20"/>
          <w:szCs w:val="20"/>
          <w:lang w:val="es-PE"/>
        </w:rPr>
        <w:t>Estado</w:t>
      </w:r>
      <w:r w:rsidRPr="00B40323">
        <w:rPr>
          <w:rFonts w:ascii="Verdana" w:eastAsia="Verdana" w:hAnsi="Verdana"/>
          <w:sz w:val="20"/>
          <w:szCs w:val="20"/>
          <w:lang w:val="es-PE"/>
        </w:rPr>
        <w:t xml:space="preserve"> solicitó que se </w:t>
      </w:r>
      <w:r w:rsidRPr="00B40323">
        <w:rPr>
          <w:rFonts w:ascii="Verdana" w:hAnsi="Verdana"/>
          <w:sz w:val="20"/>
          <w:szCs w:val="20"/>
        </w:rPr>
        <w:t>convoque a audiencia a los peritos Marlon Alexis Oviedo Ramirez y Guillermo Barragán Moya, quienes realizarán una pericia en forma conjunta, y no solo al señor Barragán Moya, como fue determinado en la Resolución de 10 de diciembre de 2019.</w:t>
      </w:r>
    </w:p>
    <w:p w14:paraId="64E4CB86" w14:textId="77777777" w:rsidR="00B40323" w:rsidRPr="00B40323" w:rsidRDefault="00B40323" w:rsidP="00B40323">
      <w:pPr>
        <w:pStyle w:val="Prrafodelista"/>
        <w:autoSpaceDE w:val="0"/>
        <w:autoSpaceDN w:val="0"/>
        <w:adjustRightInd w:val="0"/>
        <w:spacing w:after="0" w:line="216" w:lineRule="auto"/>
        <w:ind w:left="0" w:right="4"/>
        <w:jc w:val="both"/>
        <w:rPr>
          <w:rFonts w:ascii="Verdana" w:eastAsia="Verdana" w:hAnsi="Verdana"/>
          <w:sz w:val="20"/>
          <w:szCs w:val="20"/>
          <w:lang w:val="es-PE"/>
        </w:rPr>
      </w:pPr>
    </w:p>
    <w:p w14:paraId="3860B86C" w14:textId="77777777" w:rsidR="00035DF8" w:rsidRPr="00B40323" w:rsidRDefault="00035DF8" w:rsidP="00B40323">
      <w:pPr>
        <w:pStyle w:val="Prrafodelista"/>
        <w:numPr>
          <w:ilvl w:val="0"/>
          <w:numId w:val="2"/>
        </w:numPr>
        <w:autoSpaceDE w:val="0"/>
        <w:autoSpaceDN w:val="0"/>
        <w:adjustRightInd w:val="0"/>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 xml:space="preserve">Las </w:t>
      </w:r>
      <w:r w:rsidR="005E7A80" w:rsidRPr="00B40323">
        <w:rPr>
          <w:rFonts w:ascii="Verdana" w:eastAsia="Verdana" w:hAnsi="Verdana"/>
          <w:b/>
          <w:i/>
          <w:sz w:val="20"/>
          <w:szCs w:val="20"/>
          <w:lang w:val="es-PE"/>
        </w:rPr>
        <w:t>Comisión</w:t>
      </w:r>
      <w:r w:rsidR="00A34979" w:rsidRPr="00B40323">
        <w:rPr>
          <w:rFonts w:ascii="Verdana" w:eastAsia="Verdana" w:hAnsi="Verdana"/>
          <w:sz w:val="20"/>
          <w:szCs w:val="20"/>
          <w:lang w:val="es-PE"/>
        </w:rPr>
        <w:t xml:space="preserve"> manifestó, el 6 de enero de 2020, que “[t]eniendo en cuenta que el peritaje es conjunto […] y teniendo en cuenta el principio de economía procesal, sería suficiente con que una sola persona exponga los hallazgos del dictamen pericial”.  </w:t>
      </w:r>
    </w:p>
    <w:p w14:paraId="718FD635" w14:textId="77777777" w:rsidR="00035DF8" w:rsidRPr="00B40323" w:rsidRDefault="00035DF8" w:rsidP="00B40323">
      <w:pPr>
        <w:pStyle w:val="Prrafodelista"/>
        <w:autoSpaceDE w:val="0"/>
        <w:autoSpaceDN w:val="0"/>
        <w:adjustRightInd w:val="0"/>
        <w:spacing w:after="0" w:line="216" w:lineRule="auto"/>
        <w:ind w:left="0" w:right="4"/>
        <w:jc w:val="both"/>
        <w:rPr>
          <w:rFonts w:ascii="Verdana" w:eastAsia="Verdana" w:hAnsi="Verdana"/>
          <w:sz w:val="20"/>
          <w:szCs w:val="20"/>
          <w:lang w:val="es-PE"/>
        </w:rPr>
      </w:pPr>
    </w:p>
    <w:p w14:paraId="36199A54" w14:textId="77777777" w:rsidR="00A34979" w:rsidRPr="00B40323" w:rsidRDefault="00035DF8" w:rsidP="00B40323">
      <w:pPr>
        <w:pStyle w:val="Prrafodelista"/>
        <w:numPr>
          <w:ilvl w:val="0"/>
          <w:numId w:val="2"/>
        </w:numPr>
        <w:autoSpaceDE w:val="0"/>
        <w:autoSpaceDN w:val="0"/>
        <w:adjustRightInd w:val="0"/>
        <w:spacing w:after="0" w:line="216" w:lineRule="auto"/>
        <w:ind w:left="0" w:right="4" w:firstLine="0"/>
        <w:jc w:val="both"/>
        <w:rPr>
          <w:rFonts w:ascii="Verdana" w:hAnsi="Verdana"/>
          <w:sz w:val="20"/>
          <w:szCs w:val="20"/>
        </w:rPr>
      </w:pPr>
      <w:r w:rsidRPr="00B40323">
        <w:rPr>
          <w:rFonts w:ascii="Verdana" w:eastAsia="Verdana" w:hAnsi="Verdana"/>
          <w:sz w:val="20"/>
          <w:szCs w:val="20"/>
          <w:lang w:val="es-PE"/>
        </w:rPr>
        <w:t>La</w:t>
      </w:r>
      <w:r w:rsidR="005E7A80" w:rsidRPr="00B40323">
        <w:rPr>
          <w:rFonts w:ascii="Verdana" w:eastAsia="Verdana" w:hAnsi="Verdana"/>
          <w:sz w:val="20"/>
          <w:szCs w:val="20"/>
          <w:lang w:val="es-PE"/>
        </w:rPr>
        <w:t>s</w:t>
      </w:r>
      <w:r w:rsidRPr="00B40323">
        <w:rPr>
          <w:rFonts w:ascii="Verdana" w:eastAsia="Verdana" w:hAnsi="Verdana"/>
          <w:sz w:val="20"/>
          <w:szCs w:val="20"/>
          <w:lang w:val="es-PE"/>
        </w:rPr>
        <w:t xml:space="preserve"> </w:t>
      </w:r>
      <w:r w:rsidR="00A34979" w:rsidRPr="00B40323">
        <w:rPr>
          <w:rFonts w:ascii="Verdana" w:eastAsia="Verdana" w:hAnsi="Verdana"/>
          <w:b/>
          <w:i/>
          <w:sz w:val="20"/>
          <w:szCs w:val="20"/>
          <w:lang w:val="es-PE"/>
        </w:rPr>
        <w:t>representantes</w:t>
      </w:r>
      <w:r w:rsidR="00A34979" w:rsidRPr="00B40323">
        <w:rPr>
          <w:rFonts w:ascii="Verdana" w:eastAsia="Verdana" w:hAnsi="Verdana"/>
          <w:i/>
          <w:sz w:val="20"/>
          <w:szCs w:val="20"/>
          <w:lang w:val="es-PE"/>
        </w:rPr>
        <w:t xml:space="preserve">, </w:t>
      </w:r>
      <w:r w:rsidR="00A34979" w:rsidRPr="00B40323">
        <w:rPr>
          <w:rFonts w:ascii="Verdana" w:eastAsia="Verdana" w:hAnsi="Verdana"/>
          <w:sz w:val="20"/>
          <w:szCs w:val="20"/>
          <w:lang w:val="es-PE"/>
        </w:rPr>
        <w:t>en su presentación de 5 de enero de 2020, consideraron apropiado que “</w:t>
      </w:r>
      <w:r w:rsidR="00A34979" w:rsidRPr="00B40323">
        <w:rPr>
          <w:rFonts w:ascii="Verdana" w:hAnsi="Verdana"/>
          <w:sz w:val="20"/>
          <w:szCs w:val="20"/>
        </w:rPr>
        <w:t>se convoque a un sólo perito para que rinda declaración sobre el objeto mencionado, con base en un peritaje elaborado de manera conjunta, en aras de: i) [v]elar por la igualdad procesal de las partes; ii) [p]reservar la economía procesal y el tiempo en audiencia pública; y iii) [r]esguardar el objeto del peritaje propuesto y aceptado por la Corte, cuya especialidad más afín la tiene el médico emergenciólogo Guillermo Barragán Moya”.</w:t>
      </w:r>
    </w:p>
    <w:p w14:paraId="0F4251B9" w14:textId="77777777" w:rsidR="00A34979" w:rsidRPr="00B40323" w:rsidRDefault="00A34979" w:rsidP="00B40323">
      <w:pPr>
        <w:pStyle w:val="Prrafodelista"/>
        <w:spacing w:line="216" w:lineRule="auto"/>
        <w:rPr>
          <w:rFonts w:ascii="Verdana" w:eastAsia="Verdana" w:hAnsi="Verdana"/>
          <w:sz w:val="20"/>
          <w:szCs w:val="20"/>
          <w:lang w:val="es-PE"/>
        </w:rPr>
      </w:pPr>
    </w:p>
    <w:p w14:paraId="7E45EB70" w14:textId="77777777" w:rsidR="007469DC" w:rsidRPr="00B40323" w:rsidRDefault="002D533C" w:rsidP="00B40323">
      <w:pPr>
        <w:pStyle w:val="Prrafodelista"/>
        <w:numPr>
          <w:ilvl w:val="0"/>
          <w:numId w:val="2"/>
        </w:numPr>
        <w:autoSpaceDE w:val="0"/>
        <w:autoSpaceDN w:val="0"/>
        <w:adjustRightInd w:val="0"/>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C</w:t>
      </w:r>
      <w:r w:rsidR="00035DF8" w:rsidRPr="00B40323">
        <w:rPr>
          <w:rFonts w:ascii="Verdana" w:eastAsia="Verdana" w:hAnsi="Verdana"/>
          <w:sz w:val="20"/>
          <w:szCs w:val="20"/>
          <w:lang w:val="es-PE"/>
        </w:rPr>
        <w:t xml:space="preserve">onsta en el Considerando 6 de la Resolución del </w:t>
      </w:r>
      <w:r w:rsidR="00035DF8" w:rsidRPr="00B40323">
        <w:rPr>
          <w:rFonts w:ascii="Verdana" w:eastAsia="Verdana" w:hAnsi="Verdana"/>
          <w:b/>
          <w:i/>
          <w:sz w:val="20"/>
          <w:szCs w:val="20"/>
          <w:lang w:val="es-PE"/>
        </w:rPr>
        <w:t>Presidente</w:t>
      </w:r>
      <w:r w:rsidR="00035DF8" w:rsidRPr="00B40323">
        <w:rPr>
          <w:rFonts w:ascii="Verdana" w:eastAsia="Verdana" w:hAnsi="Verdana"/>
          <w:sz w:val="20"/>
          <w:szCs w:val="20"/>
          <w:lang w:val="es-PE"/>
        </w:rPr>
        <w:t xml:space="preserve"> de 10 de diciembre de 2019 que se admitió la declaración de “</w:t>
      </w:r>
      <w:r w:rsidR="00035DF8" w:rsidRPr="00B40323">
        <w:rPr>
          <w:rFonts w:ascii="Verdana" w:hAnsi="Verdana"/>
          <w:sz w:val="20"/>
          <w:szCs w:val="20"/>
        </w:rPr>
        <w:t xml:space="preserve">Marlon Alexis Oviedo Ramírez y Guillermo Barragán Moya (actuando en forma conjunta)”. De modo consecuente, en el punto resolutivo </w:t>
      </w:r>
      <w:r w:rsidR="007469DC" w:rsidRPr="00B40323">
        <w:rPr>
          <w:rFonts w:ascii="Verdana" w:hAnsi="Verdana"/>
          <w:sz w:val="20"/>
          <w:szCs w:val="20"/>
        </w:rPr>
        <w:t xml:space="preserve">1 de dicha Resolución se convocó al señor Barragán Moya a </w:t>
      </w:r>
      <w:r w:rsidR="0069133E" w:rsidRPr="00B40323">
        <w:rPr>
          <w:rFonts w:ascii="Verdana" w:hAnsi="Verdana"/>
          <w:sz w:val="20"/>
          <w:szCs w:val="20"/>
        </w:rPr>
        <w:t>audiencia</w:t>
      </w:r>
      <w:r w:rsidR="007469DC" w:rsidRPr="00B40323">
        <w:rPr>
          <w:rFonts w:ascii="Verdana" w:hAnsi="Verdana"/>
          <w:sz w:val="20"/>
          <w:szCs w:val="20"/>
        </w:rPr>
        <w:t xml:space="preserve"> para que “expon[ga] el dictamen pericial que en forma conjunta realice con el señor Marlon Alexis Oviedo Ramírez”. </w:t>
      </w:r>
    </w:p>
    <w:p w14:paraId="5B662198" w14:textId="77777777" w:rsidR="007469DC" w:rsidRPr="00B40323" w:rsidRDefault="007469DC" w:rsidP="00B40323">
      <w:pPr>
        <w:pStyle w:val="Prrafodelista"/>
        <w:spacing w:line="216" w:lineRule="auto"/>
        <w:rPr>
          <w:rFonts w:ascii="Verdana" w:hAnsi="Verdana"/>
          <w:sz w:val="20"/>
          <w:szCs w:val="20"/>
        </w:rPr>
      </w:pPr>
    </w:p>
    <w:p w14:paraId="7823B26F" w14:textId="77777777" w:rsidR="007469DC" w:rsidRPr="00B40323" w:rsidRDefault="007469DC" w:rsidP="00B40323">
      <w:pPr>
        <w:pStyle w:val="Prrafodelista"/>
        <w:numPr>
          <w:ilvl w:val="0"/>
          <w:numId w:val="2"/>
        </w:numPr>
        <w:autoSpaceDE w:val="0"/>
        <w:autoSpaceDN w:val="0"/>
        <w:adjustRightInd w:val="0"/>
        <w:spacing w:after="0" w:line="216" w:lineRule="auto"/>
        <w:ind w:left="0" w:right="4" w:firstLine="0"/>
        <w:jc w:val="both"/>
        <w:rPr>
          <w:rFonts w:ascii="Verdana" w:eastAsia="Verdana" w:hAnsi="Verdana"/>
          <w:sz w:val="20"/>
          <w:szCs w:val="20"/>
          <w:lang w:val="es-PE"/>
        </w:rPr>
      </w:pPr>
      <w:r w:rsidRPr="00B40323">
        <w:rPr>
          <w:rFonts w:ascii="Verdana" w:hAnsi="Verdana"/>
          <w:sz w:val="20"/>
          <w:szCs w:val="20"/>
        </w:rPr>
        <w:t>D</w:t>
      </w:r>
      <w:r w:rsidR="002D533C" w:rsidRPr="00B40323">
        <w:rPr>
          <w:rFonts w:ascii="Verdana" w:hAnsi="Verdana"/>
          <w:sz w:val="20"/>
          <w:szCs w:val="20"/>
        </w:rPr>
        <w:t>ado</w:t>
      </w:r>
      <w:r w:rsidRPr="00B40323">
        <w:rPr>
          <w:rFonts w:ascii="Verdana" w:hAnsi="Verdana"/>
          <w:sz w:val="20"/>
          <w:szCs w:val="20"/>
        </w:rPr>
        <w:t xml:space="preserve"> lo dicho</w:t>
      </w:r>
      <w:r w:rsidR="002D533C" w:rsidRPr="00B40323">
        <w:rPr>
          <w:rFonts w:ascii="Verdana" w:hAnsi="Verdana"/>
          <w:sz w:val="20"/>
          <w:szCs w:val="20"/>
        </w:rPr>
        <w:t xml:space="preserve">, la </w:t>
      </w:r>
      <w:r w:rsidR="002D533C" w:rsidRPr="00B40323">
        <w:rPr>
          <w:rFonts w:ascii="Verdana" w:hAnsi="Verdana"/>
          <w:b/>
          <w:i/>
          <w:sz w:val="20"/>
          <w:szCs w:val="20"/>
        </w:rPr>
        <w:t>Corte</w:t>
      </w:r>
      <w:r w:rsidR="002D533C" w:rsidRPr="00B40323">
        <w:rPr>
          <w:rFonts w:ascii="Verdana" w:hAnsi="Verdana"/>
          <w:sz w:val="20"/>
          <w:szCs w:val="20"/>
        </w:rPr>
        <w:t xml:space="preserve"> advierte que</w:t>
      </w:r>
      <w:r w:rsidRPr="00B40323">
        <w:rPr>
          <w:rFonts w:ascii="Verdana" w:hAnsi="Verdana"/>
          <w:sz w:val="20"/>
          <w:szCs w:val="20"/>
        </w:rPr>
        <w:t xml:space="preserve"> se ha determinado que la declaración pericial sea realizada en forma conjunta por los señores Oviedo Ramirez y Barragán Moya. Solo a efecto de la exposición oral de dicha pericia fue convocado el señor Barragán Moya. </w:t>
      </w:r>
    </w:p>
    <w:p w14:paraId="0C8153F3" w14:textId="77777777" w:rsidR="007469DC" w:rsidRPr="00B40323" w:rsidRDefault="007469DC" w:rsidP="00B40323">
      <w:pPr>
        <w:pStyle w:val="Prrafodelista"/>
        <w:spacing w:line="216" w:lineRule="auto"/>
        <w:rPr>
          <w:rFonts w:ascii="Verdana" w:hAnsi="Verdana"/>
          <w:sz w:val="20"/>
          <w:szCs w:val="20"/>
        </w:rPr>
      </w:pPr>
    </w:p>
    <w:p w14:paraId="587E3C0F" w14:textId="77777777" w:rsidR="007469DC" w:rsidRPr="00B40323" w:rsidRDefault="002D533C" w:rsidP="00B40323">
      <w:pPr>
        <w:pStyle w:val="Prrafodelista"/>
        <w:numPr>
          <w:ilvl w:val="0"/>
          <w:numId w:val="2"/>
        </w:numPr>
        <w:autoSpaceDE w:val="0"/>
        <w:autoSpaceDN w:val="0"/>
        <w:adjustRightInd w:val="0"/>
        <w:spacing w:after="0" w:line="216" w:lineRule="auto"/>
        <w:ind w:left="0" w:right="4" w:firstLine="0"/>
        <w:jc w:val="both"/>
        <w:rPr>
          <w:rFonts w:ascii="Verdana" w:eastAsia="Verdana" w:hAnsi="Verdana"/>
          <w:sz w:val="20"/>
          <w:szCs w:val="20"/>
          <w:lang w:val="es-PE"/>
        </w:rPr>
      </w:pPr>
      <w:r w:rsidRPr="00B40323">
        <w:rPr>
          <w:rFonts w:ascii="Verdana" w:eastAsia="Verdana" w:hAnsi="Verdana"/>
          <w:sz w:val="20"/>
          <w:szCs w:val="20"/>
          <w:lang w:val="es-PE"/>
        </w:rPr>
        <w:t>S</w:t>
      </w:r>
      <w:r w:rsidR="007469DC" w:rsidRPr="00B40323">
        <w:rPr>
          <w:rFonts w:ascii="Verdana" w:eastAsia="Verdana" w:hAnsi="Verdana"/>
          <w:sz w:val="20"/>
          <w:szCs w:val="20"/>
          <w:lang w:val="es-PE"/>
        </w:rPr>
        <w:t>iendo que se trata de un dictamen pericial que será realizado en forma conjunta por los señ</w:t>
      </w:r>
      <w:r w:rsidR="003771B4" w:rsidRPr="00B40323">
        <w:rPr>
          <w:rFonts w:ascii="Verdana" w:eastAsia="Verdana" w:hAnsi="Verdana"/>
          <w:sz w:val="20"/>
          <w:szCs w:val="20"/>
          <w:lang w:val="es-PE"/>
        </w:rPr>
        <w:t>ores Barragán Moya y Oviedo Ramí</w:t>
      </w:r>
      <w:r w:rsidR="007469DC" w:rsidRPr="00B40323">
        <w:rPr>
          <w:rFonts w:ascii="Verdana" w:eastAsia="Verdana" w:hAnsi="Verdana"/>
          <w:sz w:val="20"/>
          <w:szCs w:val="20"/>
          <w:lang w:val="es-PE"/>
        </w:rPr>
        <w:t xml:space="preserve">rez, esta Corte no encuentra inconvenientes en que ambos concurran a la audiencia y participen de la exposición oral de su declaración pericial. </w:t>
      </w:r>
      <w:r w:rsidR="003771B4" w:rsidRPr="00B40323">
        <w:rPr>
          <w:rFonts w:ascii="Verdana" w:eastAsia="Verdana" w:hAnsi="Verdana"/>
          <w:sz w:val="20"/>
          <w:szCs w:val="20"/>
          <w:lang w:val="es-PE"/>
        </w:rPr>
        <w:t xml:space="preserve">La Corte advierte las razones de economía procesal expuestas por la Comisión y las representantes, así como la prevención de las representantes respecto al cumplimiento de los tiempos fijados para la audiencia pública y el resguardo del objeto fijado para la pericia. Todo ello, no obstante, no se ve afectado. Al respecto, se deja expresamente sentado que la intervención oral conjunta de los señores Barragán Moya y Oviedo Ramírez </w:t>
      </w:r>
      <w:r w:rsidR="007469DC" w:rsidRPr="00B40323">
        <w:rPr>
          <w:rFonts w:ascii="Verdana" w:eastAsia="Verdana" w:hAnsi="Verdana"/>
          <w:sz w:val="20"/>
          <w:szCs w:val="20"/>
          <w:lang w:val="es-PE"/>
        </w:rPr>
        <w:t xml:space="preserve">deberá hacerse </w:t>
      </w:r>
      <w:r w:rsidR="003771B4" w:rsidRPr="00B40323">
        <w:rPr>
          <w:rFonts w:ascii="Verdana" w:eastAsia="Verdana" w:hAnsi="Verdana"/>
          <w:sz w:val="20"/>
          <w:szCs w:val="20"/>
          <w:lang w:val="es-PE"/>
        </w:rPr>
        <w:t xml:space="preserve">respectando el objeto fijado para la declaración pericial y sin alterar la modalidad de la presentación y los tiempos fijados para la misma; todo ello, de acuerdo a lo ya dispuesto por la Resolución de 10 de diciembre de 2019 y en </w:t>
      </w:r>
      <w:r w:rsidR="007469DC" w:rsidRPr="00B40323">
        <w:rPr>
          <w:rFonts w:ascii="Verdana" w:eastAsia="Verdana" w:hAnsi="Verdana"/>
          <w:sz w:val="20"/>
          <w:szCs w:val="20"/>
          <w:lang w:val="es-PE"/>
        </w:rPr>
        <w:t>las comunicaciones de la Secretaría de la Corte</w:t>
      </w:r>
      <w:r w:rsidR="003771B4" w:rsidRPr="00B40323">
        <w:rPr>
          <w:rFonts w:ascii="Verdana" w:eastAsia="Verdana" w:hAnsi="Verdana"/>
          <w:sz w:val="20"/>
          <w:szCs w:val="20"/>
          <w:lang w:val="es-PE"/>
        </w:rPr>
        <w:t xml:space="preserve"> de la misma fecha, que notificaron</w:t>
      </w:r>
      <w:r w:rsidR="007469DC" w:rsidRPr="00B40323">
        <w:rPr>
          <w:rFonts w:ascii="Verdana" w:eastAsia="Verdana" w:hAnsi="Verdana"/>
          <w:sz w:val="20"/>
          <w:szCs w:val="20"/>
          <w:lang w:val="es-PE"/>
        </w:rPr>
        <w:t xml:space="preserve"> dicha Resolución.  </w:t>
      </w:r>
    </w:p>
    <w:p w14:paraId="7DD300C9" w14:textId="77777777" w:rsidR="006D3B70" w:rsidRPr="00B40323" w:rsidRDefault="006D3B70" w:rsidP="00B40323">
      <w:pPr>
        <w:pStyle w:val="Numberedparagraphs"/>
        <w:numPr>
          <w:ilvl w:val="0"/>
          <w:numId w:val="0"/>
        </w:numPr>
        <w:tabs>
          <w:tab w:val="left" w:pos="567"/>
        </w:tabs>
        <w:spacing w:line="216" w:lineRule="auto"/>
        <w:rPr>
          <w:lang w:val="es-PE"/>
        </w:rPr>
      </w:pPr>
    </w:p>
    <w:p w14:paraId="22D20A18" w14:textId="77777777" w:rsidR="006D3B70" w:rsidRPr="00B40323" w:rsidRDefault="006D3B70" w:rsidP="00B40323">
      <w:pPr>
        <w:pStyle w:val="PrrafodeSentencia"/>
        <w:numPr>
          <w:ilvl w:val="0"/>
          <w:numId w:val="0"/>
        </w:numPr>
        <w:spacing w:line="216" w:lineRule="auto"/>
        <w:rPr>
          <w:b/>
        </w:rPr>
      </w:pPr>
      <w:r w:rsidRPr="00B40323">
        <w:rPr>
          <w:b/>
        </w:rPr>
        <w:t>POR TANTO:</w:t>
      </w:r>
    </w:p>
    <w:p w14:paraId="6EDA03EC" w14:textId="77777777" w:rsidR="006D3B70" w:rsidRPr="00B40323" w:rsidRDefault="006D3B70" w:rsidP="00B40323">
      <w:pPr>
        <w:tabs>
          <w:tab w:val="left" w:pos="567"/>
        </w:tabs>
        <w:spacing w:line="216" w:lineRule="auto"/>
        <w:jc w:val="both"/>
        <w:rPr>
          <w:b/>
          <w:lang w:val="es-MX"/>
        </w:rPr>
      </w:pPr>
    </w:p>
    <w:p w14:paraId="3CD56055" w14:textId="77777777" w:rsidR="006D3B70" w:rsidRPr="00B40323" w:rsidRDefault="006D3B70" w:rsidP="00B40323">
      <w:pPr>
        <w:tabs>
          <w:tab w:val="left" w:pos="567"/>
        </w:tabs>
        <w:spacing w:line="216" w:lineRule="auto"/>
        <w:jc w:val="both"/>
        <w:rPr>
          <w:b/>
          <w:lang w:val="es-MX"/>
        </w:rPr>
      </w:pPr>
      <w:r w:rsidRPr="00B40323">
        <w:rPr>
          <w:b/>
          <w:lang w:val="es-MX"/>
        </w:rPr>
        <w:t>LA CORTE INTERAMERICANA DE DERECHOS HUMANOS,</w:t>
      </w:r>
    </w:p>
    <w:p w14:paraId="60DD706C" w14:textId="77777777" w:rsidR="006D3B70" w:rsidRPr="00B40323" w:rsidRDefault="006D3B70" w:rsidP="00B40323">
      <w:pPr>
        <w:tabs>
          <w:tab w:val="left" w:pos="567"/>
        </w:tabs>
        <w:spacing w:line="216" w:lineRule="auto"/>
        <w:jc w:val="both"/>
        <w:rPr>
          <w:lang w:val="es-MX"/>
        </w:rPr>
      </w:pPr>
    </w:p>
    <w:p w14:paraId="2A2ECD61" w14:textId="77777777" w:rsidR="006D3B70" w:rsidRPr="00B40323" w:rsidRDefault="006D3B70" w:rsidP="00B40323">
      <w:pPr>
        <w:tabs>
          <w:tab w:val="left" w:pos="567"/>
        </w:tabs>
        <w:spacing w:line="216" w:lineRule="auto"/>
        <w:jc w:val="both"/>
        <w:rPr>
          <w:lang w:val="es-MX"/>
        </w:rPr>
      </w:pPr>
      <w:r w:rsidRPr="00B40323">
        <w:rPr>
          <w:lang w:val="es-MX"/>
        </w:rPr>
        <w:t>de conformidad con el artículo 25.2 del Estatuto de la Corte y con los artículos 31.2, 49 y 57 del Reglamento,</w:t>
      </w:r>
    </w:p>
    <w:p w14:paraId="6089DC86" w14:textId="77777777" w:rsidR="006D3B70" w:rsidRPr="00B40323" w:rsidRDefault="006D3B70" w:rsidP="00B40323">
      <w:pPr>
        <w:tabs>
          <w:tab w:val="left" w:pos="567"/>
        </w:tabs>
        <w:spacing w:line="216" w:lineRule="auto"/>
        <w:jc w:val="both"/>
        <w:rPr>
          <w:b/>
          <w:lang w:val="es-MX"/>
        </w:rPr>
      </w:pPr>
    </w:p>
    <w:p w14:paraId="23DDFC2A" w14:textId="77777777" w:rsidR="006D3B70" w:rsidRPr="00B40323" w:rsidRDefault="006D3B70" w:rsidP="00B40323">
      <w:pPr>
        <w:tabs>
          <w:tab w:val="left" w:pos="567"/>
        </w:tabs>
        <w:spacing w:line="216" w:lineRule="auto"/>
        <w:jc w:val="both"/>
        <w:rPr>
          <w:b/>
        </w:rPr>
      </w:pPr>
      <w:r w:rsidRPr="00B40323">
        <w:rPr>
          <w:b/>
          <w:lang w:val="es-MX"/>
        </w:rPr>
        <w:t>RESUELVE</w:t>
      </w:r>
      <w:r w:rsidRPr="00B40323">
        <w:rPr>
          <w:b/>
        </w:rPr>
        <w:t>:</w:t>
      </w:r>
    </w:p>
    <w:p w14:paraId="161F97EC" w14:textId="77777777" w:rsidR="006D3B70" w:rsidRPr="00B40323" w:rsidRDefault="006D3B70" w:rsidP="00B40323">
      <w:pPr>
        <w:tabs>
          <w:tab w:val="left" w:pos="567"/>
        </w:tabs>
        <w:spacing w:line="216" w:lineRule="auto"/>
        <w:jc w:val="both"/>
        <w:rPr>
          <w:b/>
        </w:rPr>
      </w:pPr>
    </w:p>
    <w:p w14:paraId="55140935" w14:textId="77777777" w:rsidR="00772DA2" w:rsidRPr="00B40323" w:rsidRDefault="00772DA2" w:rsidP="00B40323">
      <w:pPr>
        <w:pStyle w:val="Prrafodelista"/>
        <w:numPr>
          <w:ilvl w:val="0"/>
          <w:numId w:val="6"/>
        </w:numPr>
        <w:tabs>
          <w:tab w:val="left" w:pos="567"/>
        </w:tabs>
        <w:spacing w:after="0" w:line="216" w:lineRule="auto"/>
        <w:ind w:left="0" w:firstLine="0"/>
        <w:jc w:val="both"/>
        <w:rPr>
          <w:rFonts w:ascii="Verdana" w:hAnsi="Verdana"/>
          <w:sz w:val="20"/>
          <w:szCs w:val="20"/>
        </w:rPr>
      </w:pPr>
      <w:r w:rsidRPr="00B40323">
        <w:rPr>
          <w:rFonts w:ascii="Verdana" w:hAnsi="Verdana"/>
          <w:sz w:val="20"/>
          <w:szCs w:val="20"/>
        </w:rPr>
        <w:t xml:space="preserve">Desestimar el recurso </w:t>
      </w:r>
      <w:r w:rsidR="007469DC" w:rsidRPr="00B40323">
        <w:rPr>
          <w:rFonts w:ascii="Verdana" w:hAnsi="Verdana"/>
          <w:sz w:val="20"/>
          <w:szCs w:val="20"/>
        </w:rPr>
        <w:t xml:space="preserve">presentado por el Estado en relación con </w:t>
      </w:r>
      <w:r w:rsidRPr="00B40323">
        <w:rPr>
          <w:rFonts w:ascii="Verdana" w:hAnsi="Verdana"/>
          <w:sz w:val="20"/>
          <w:szCs w:val="20"/>
        </w:rPr>
        <w:t>el señor José Mario Nájera Ochoa y la perita Ximena Cortés Castillo.</w:t>
      </w:r>
    </w:p>
    <w:p w14:paraId="7CB2133D" w14:textId="77777777" w:rsidR="00772DA2" w:rsidRPr="00B40323" w:rsidRDefault="00772DA2" w:rsidP="00B40323">
      <w:pPr>
        <w:pStyle w:val="Prrafodelista"/>
        <w:tabs>
          <w:tab w:val="left" w:pos="567"/>
        </w:tabs>
        <w:spacing w:after="0" w:line="216" w:lineRule="auto"/>
        <w:ind w:left="0"/>
        <w:jc w:val="both"/>
        <w:rPr>
          <w:rFonts w:ascii="Verdana" w:hAnsi="Verdana"/>
          <w:sz w:val="20"/>
          <w:szCs w:val="20"/>
        </w:rPr>
      </w:pPr>
    </w:p>
    <w:p w14:paraId="5698F4F5" w14:textId="77777777" w:rsidR="00772DA2" w:rsidRPr="00B40323" w:rsidRDefault="00772DA2" w:rsidP="00B40323">
      <w:pPr>
        <w:pStyle w:val="Prrafodelista"/>
        <w:numPr>
          <w:ilvl w:val="0"/>
          <w:numId w:val="6"/>
        </w:numPr>
        <w:tabs>
          <w:tab w:val="left" w:pos="567"/>
        </w:tabs>
        <w:spacing w:after="0" w:line="216" w:lineRule="auto"/>
        <w:ind w:left="0" w:firstLine="0"/>
        <w:jc w:val="both"/>
        <w:rPr>
          <w:rFonts w:ascii="Verdana" w:hAnsi="Verdana"/>
          <w:sz w:val="20"/>
          <w:szCs w:val="20"/>
        </w:rPr>
      </w:pPr>
      <w:r w:rsidRPr="00B40323">
        <w:rPr>
          <w:rFonts w:ascii="Verdana" w:hAnsi="Verdana"/>
          <w:sz w:val="20"/>
          <w:szCs w:val="20"/>
        </w:rPr>
        <w:t>Modificar, en lo pertinente, el punto resolutivo 1, inciso B), de la Resolución del Presidente de 10 de dici</w:t>
      </w:r>
      <w:r w:rsidR="00420221">
        <w:rPr>
          <w:rFonts w:ascii="Verdana" w:hAnsi="Verdana"/>
          <w:sz w:val="20"/>
          <w:szCs w:val="20"/>
        </w:rPr>
        <w:t>embre de 20198, en atención al C</w:t>
      </w:r>
      <w:r w:rsidRPr="00B40323">
        <w:rPr>
          <w:rFonts w:ascii="Verdana" w:hAnsi="Verdana"/>
          <w:sz w:val="20"/>
          <w:szCs w:val="20"/>
        </w:rPr>
        <w:t xml:space="preserve">onsiderando </w:t>
      </w:r>
      <w:r w:rsidR="00420221">
        <w:rPr>
          <w:rFonts w:ascii="Verdana" w:hAnsi="Verdana"/>
          <w:sz w:val="20"/>
          <w:szCs w:val="20"/>
        </w:rPr>
        <w:t>24</w:t>
      </w:r>
      <w:r w:rsidRPr="00B40323">
        <w:rPr>
          <w:rFonts w:ascii="Verdana" w:hAnsi="Verdana"/>
          <w:sz w:val="20"/>
          <w:szCs w:val="20"/>
        </w:rPr>
        <w:t xml:space="preserve"> de la presente </w:t>
      </w:r>
      <w:r w:rsidRPr="00B40323">
        <w:rPr>
          <w:rFonts w:ascii="Verdana" w:hAnsi="Verdana"/>
          <w:sz w:val="20"/>
          <w:szCs w:val="20"/>
        </w:rPr>
        <w:lastRenderedPageBreak/>
        <w:t>Resolución, disponiéndose</w:t>
      </w:r>
      <w:r w:rsidR="00B40323">
        <w:rPr>
          <w:rFonts w:ascii="Verdana" w:hAnsi="Verdana"/>
          <w:sz w:val="20"/>
          <w:szCs w:val="20"/>
        </w:rPr>
        <w:t>,</w:t>
      </w:r>
      <w:r w:rsidRPr="00B40323">
        <w:rPr>
          <w:rFonts w:ascii="Verdana" w:hAnsi="Verdana"/>
          <w:sz w:val="20"/>
          <w:szCs w:val="20"/>
        </w:rPr>
        <w:t xml:space="preserve"> por tanto</w:t>
      </w:r>
      <w:r w:rsidR="00B40323">
        <w:rPr>
          <w:rFonts w:ascii="Verdana" w:hAnsi="Verdana"/>
          <w:sz w:val="20"/>
          <w:szCs w:val="20"/>
        </w:rPr>
        <w:t>,</w:t>
      </w:r>
      <w:r w:rsidRPr="00B40323">
        <w:rPr>
          <w:rFonts w:ascii="Verdana" w:hAnsi="Verdana"/>
          <w:sz w:val="20"/>
          <w:szCs w:val="20"/>
        </w:rPr>
        <w:t xml:space="preserve"> que los señores Guillermo Barragán Moya</w:t>
      </w:r>
      <w:r w:rsidRPr="00B40323">
        <w:rPr>
          <w:rFonts w:ascii="Verdana" w:hAnsi="Verdana"/>
          <w:i/>
          <w:sz w:val="20"/>
          <w:szCs w:val="20"/>
        </w:rPr>
        <w:t xml:space="preserve"> y </w:t>
      </w:r>
      <w:r w:rsidRPr="00B40323">
        <w:rPr>
          <w:rFonts w:ascii="Verdana" w:hAnsi="Verdana"/>
          <w:sz w:val="20"/>
          <w:szCs w:val="20"/>
        </w:rPr>
        <w:t xml:space="preserve">Marlon Alexis Oviedo Ramírez se presenten en la </w:t>
      </w:r>
      <w:r w:rsidR="0069133E" w:rsidRPr="00B40323">
        <w:rPr>
          <w:rFonts w:ascii="Verdana" w:hAnsi="Verdana"/>
          <w:sz w:val="20"/>
          <w:szCs w:val="20"/>
        </w:rPr>
        <w:t>audiencia</w:t>
      </w:r>
      <w:r w:rsidRPr="00B40323">
        <w:rPr>
          <w:rFonts w:ascii="Verdana" w:hAnsi="Verdana"/>
          <w:sz w:val="20"/>
          <w:szCs w:val="20"/>
        </w:rPr>
        <w:t xml:space="preserve"> pública que se realizará el 28 de enero de 2020 para declarar oralmente, en forma conjunta, sobre: 1) la intoxicación por fósforo blanco, grado, dosis y toxicidad letal, manifestaciones clínicas, tiempo de sintomatología tóxica, fases de evolución de la intoxicación, mortalidad, y 2) protocolos terapéuticos en relación a los tiempos de consulta en emergencia en un paciente con intoxicación por fósforo blanco por intento autolítico.</w:t>
      </w:r>
    </w:p>
    <w:p w14:paraId="44FA4720" w14:textId="77777777" w:rsidR="00772DA2" w:rsidRPr="00B40323" w:rsidRDefault="00772DA2" w:rsidP="00B40323">
      <w:pPr>
        <w:pStyle w:val="Prrafodelista"/>
        <w:spacing w:after="0" w:line="216" w:lineRule="auto"/>
        <w:ind w:left="0"/>
        <w:jc w:val="both"/>
        <w:rPr>
          <w:rFonts w:ascii="Verdana" w:hAnsi="Verdana"/>
          <w:sz w:val="20"/>
          <w:szCs w:val="20"/>
        </w:rPr>
      </w:pPr>
    </w:p>
    <w:p w14:paraId="50877496" w14:textId="77777777" w:rsidR="006D3B70" w:rsidRDefault="006D3B70" w:rsidP="00B40323">
      <w:pPr>
        <w:pStyle w:val="Prrafodelista"/>
        <w:numPr>
          <w:ilvl w:val="0"/>
          <w:numId w:val="6"/>
        </w:numPr>
        <w:tabs>
          <w:tab w:val="left" w:pos="567"/>
        </w:tabs>
        <w:spacing w:after="0" w:line="216" w:lineRule="auto"/>
        <w:ind w:left="0" w:firstLine="0"/>
        <w:jc w:val="both"/>
        <w:rPr>
          <w:rFonts w:ascii="Verdana" w:hAnsi="Verdana"/>
          <w:sz w:val="20"/>
          <w:szCs w:val="20"/>
        </w:rPr>
      </w:pPr>
      <w:r w:rsidRPr="00B40323">
        <w:rPr>
          <w:rFonts w:ascii="Verdana" w:hAnsi="Verdana"/>
          <w:sz w:val="20"/>
          <w:szCs w:val="20"/>
        </w:rPr>
        <w:t>Disponer que la Secretaría de la Corte notifique la presente Resolución a</w:t>
      </w:r>
      <w:r w:rsidR="00497702" w:rsidRPr="00B40323">
        <w:rPr>
          <w:rFonts w:ascii="Verdana" w:hAnsi="Verdana"/>
          <w:sz w:val="20"/>
          <w:szCs w:val="20"/>
        </w:rPr>
        <w:t xml:space="preserve">l Estado, a </w:t>
      </w:r>
      <w:r w:rsidRPr="00B40323">
        <w:rPr>
          <w:rFonts w:ascii="Verdana" w:hAnsi="Verdana"/>
          <w:sz w:val="20"/>
          <w:szCs w:val="20"/>
        </w:rPr>
        <w:t>las representantes de las presuntas víctimas y a la Comisión.</w:t>
      </w:r>
    </w:p>
    <w:p w14:paraId="77906FC9" w14:textId="77777777" w:rsidR="00287F6B" w:rsidRPr="00287F6B" w:rsidRDefault="00287F6B" w:rsidP="00287F6B">
      <w:pPr>
        <w:pStyle w:val="Prrafodelista"/>
        <w:rPr>
          <w:rFonts w:ascii="Verdana" w:hAnsi="Verdana"/>
          <w:sz w:val="20"/>
          <w:szCs w:val="20"/>
        </w:rPr>
      </w:pPr>
    </w:p>
    <w:p w14:paraId="7B1D754A" w14:textId="77777777" w:rsidR="00287F6B" w:rsidRPr="00343FAA" w:rsidRDefault="00287F6B" w:rsidP="00287F6B">
      <w:pPr>
        <w:tabs>
          <w:tab w:val="left" w:pos="567"/>
        </w:tabs>
        <w:spacing w:line="216" w:lineRule="auto"/>
        <w:jc w:val="both"/>
        <w:rPr>
          <w:lang w:val="es-ES"/>
        </w:rPr>
      </w:pPr>
    </w:p>
    <w:p w14:paraId="3429A114" w14:textId="77777777" w:rsidR="00287F6B" w:rsidRPr="00343FAA" w:rsidRDefault="00287F6B" w:rsidP="00287F6B">
      <w:pPr>
        <w:tabs>
          <w:tab w:val="left" w:pos="567"/>
        </w:tabs>
        <w:spacing w:line="216" w:lineRule="auto"/>
        <w:jc w:val="both"/>
        <w:rPr>
          <w:lang w:val="es-ES"/>
        </w:rPr>
      </w:pPr>
    </w:p>
    <w:p w14:paraId="3C154638" w14:textId="77777777" w:rsidR="00287F6B" w:rsidRPr="00343FAA" w:rsidRDefault="00287F6B" w:rsidP="00287F6B">
      <w:pPr>
        <w:tabs>
          <w:tab w:val="left" w:pos="567"/>
        </w:tabs>
        <w:spacing w:line="216" w:lineRule="auto"/>
        <w:jc w:val="both"/>
        <w:rPr>
          <w:lang w:val="es-ES"/>
        </w:rPr>
      </w:pPr>
    </w:p>
    <w:p w14:paraId="1733B6E6" w14:textId="77777777" w:rsidR="00287F6B" w:rsidRPr="00343FAA" w:rsidRDefault="00287F6B" w:rsidP="00287F6B">
      <w:pPr>
        <w:tabs>
          <w:tab w:val="left" w:pos="567"/>
        </w:tabs>
        <w:spacing w:line="216" w:lineRule="auto"/>
        <w:jc w:val="both"/>
        <w:rPr>
          <w:lang w:val="es-ES"/>
        </w:rPr>
      </w:pPr>
    </w:p>
    <w:p w14:paraId="35FC6641" w14:textId="77777777" w:rsidR="00287F6B" w:rsidRPr="00343FAA" w:rsidRDefault="00287F6B" w:rsidP="00287F6B">
      <w:pPr>
        <w:tabs>
          <w:tab w:val="left" w:pos="567"/>
        </w:tabs>
        <w:spacing w:line="216" w:lineRule="auto"/>
        <w:jc w:val="both"/>
        <w:rPr>
          <w:lang w:val="es-ES"/>
        </w:rPr>
      </w:pPr>
    </w:p>
    <w:p w14:paraId="2EEB9724" w14:textId="77777777" w:rsidR="00287F6B" w:rsidRPr="00343FAA" w:rsidRDefault="00287F6B" w:rsidP="00287F6B">
      <w:pPr>
        <w:tabs>
          <w:tab w:val="left" w:pos="567"/>
        </w:tabs>
        <w:spacing w:line="216" w:lineRule="auto"/>
        <w:jc w:val="both"/>
        <w:rPr>
          <w:lang w:val="es-ES"/>
        </w:rPr>
      </w:pPr>
    </w:p>
    <w:p w14:paraId="1F121D84" w14:textId="77777777" w:rsidR="00287F6B" w:rsidRPr="00343FAA" w:rsidRDefault="00287F6B" w:rsidP="00287F6B">
      <w:pPr>
        <w:tabs>
          <w:tab w:val="left" w:pos="567"/>
        </w:tabs>
        <w:spacing w:line="216" w:lineRule="auto"/>
        <w:jc w:val="both"/>
        <w:rPr>
          <w:lang w:val="es-ES"/>
        </w:rPr>
      </w:pPr>
    </w:p>
    <w:p w14:paraId="150317D7" w14:textId="77777777" w:rsidR="00287F6B" w:rsidRPr="00343FAA" w:rsidRDefault="00287F6B" w:rsidP="00287F6B">
      <w:pPr>
        <w:tabs>
          <w:tab w:val="left" w:pos="567"/>
        </w:tabs>
        <w:spacing w:line="216" w:lineRule="auto"/>
        <w:jc w:val="both"/>
        <w:rPr>
          <w:lang w:val="es-ES"/>
        </w:rPr>
      </w:pPr>
    </w:p>
    <w:p w14:paraId="32B64023" w14:textId="77777777" w:rsidR="00287F6B" w:rsidRPr="00343FAA" w:rsidRDefault="00287F6B" w:rsidP="00287F6B">
      <w:pPr>
        <w:tabs>
          <w:tab w:val="left" w:pos="567"/>
        </w:tabs>
        <w:spacing w:line="216" w:lineRule="auto"/>
        <w:jc w:val="both"/>
        <w:rPr>
          <w:lang w:val="es-ES"/>
        </w:rPr>
      </w:pPr>
    </w:p>
    <w:p w14:paraId="14C75EED" w14:textId="77777777" w:rsidR="00287F6B" w:rsidRPr="00343FAA" w:rsidRDefault="00287F6B" w:rsidP="00287F6B">
      <w:pPr>
        <w:tabs>
          <w:tab w:val="left" w:pos="567"/>
        </w:tabs>
        <w:spacing w:line="216" w:lineRule="auto"/>
        <w:jc w:val="both"/>
        <w:rPr>
          <w:lang w:val="es-ES"/>
        </w:rPr>
      </w:pPr>
    </w:p>
    <w:p w14:paraId="3F916644" w14:textId="77777777" w:rsidR="00287F6B" w:rsidRPr="00343FAA" w:rsidRDefault="00287F6B" w:rsidP="00287F6B">
      <w:pPr>
        <w:tabs>
          <w:tab w:val="left" w:pos="567"/>
        </w:tabs>
        <w:spacing w:line="216" w:lineRule="auto"/>
        <w:jc w:val="both"/>
        <w:rPr>
          <w:lang w:val="es-ES"/>
        </w:rPr>
      </w:pPr>
    </w:p>
    <w:p w14:paraId="480D1312" w14:textId="77777777" w:rsidR="00287F6B" w:rsidRPr="00343FAA" w:rsidRDefault="00287F6B" w:rsidP="00287F6B">
      <w:pPr>
        <w:tabs>
          <w:tab w:val="left" w:pos="567"/>
        </w:tabs>
        <w:spacing w:line="216" w:lineRule="auto"/>
        <w:jc w:val="both"/>
        <w:rPr>
          <w:lang w:val="es-ES"/>
        </w:rPr>
      </w:pPr>
    </w:p>
    <w:p w14:paraId="38A1879C" w14:textId="77777777" w:rsidR="00287F6B" w:rsidRPr="00343FAA" w:rsidRDefault="00287F6B" w:rsidP="00287F6B">
      <w:pPr>
        <w:tabs>
          <w:tab w:val="left" w:pos="567"/>
        </w:tabs>
        <w:spacing w:line="216" w:lineRule="auto"/>
        <w:jc w:val="both"/>
        <w:rPr>
          <w:lang w:val="es-ES"/>
        </w:rPr>
      </w:pPr>
    </w:p>
    <w:p w14:paraId="27DC3EFE" w14:textId="77777777" w:rsidR="00287F6B" w:rsidRPr="00343FAA" w:rsidRDefault="00287F6B" w:rsidP="00287F6B">
      <w:pPr>
        <w:tabs>
          <w:tab w:val="left" w:pos="567"/>
        </w:tabs>
        <w:spacing w:line="216" w:lineRule="auto"/>
        <w:jc w:val="both"/>
        <w:rPr>
          <w:lang w:val="es-ES"/>
        </w:rPr>
      </w:pPr>
    </w:p>
    <w:p w14:paraId="47696F83" w14:textId="77777777" w:rsidR="00287F6B" w:rsidRPr="00343FAA" w:rsidRDefault="00287F6B" w:rsidP="00287F6B">
      <w:pPr>
        <w:tabs>
          <w:tab w:val="left" w:pos="567"/>
        </w:tabs>
        <w:spacing w:line="216" w:lineRule="auto"/>
        <w:jc w:val="both"/>
        <w:rPr>
          <w:lang w:val="es-ES"/>
        </w:rPr>
      </w:pPr>
    </w:p>
    <w:p w14:paraId="32E7DB3E" w14:textId="77777777" w:rsidR="00287F6B" w:rsidRPr="00343FAA" w:rsidRDefault="00287F6B" w:rsidP="00287F6B">
      <w:pPr>
        <w:tabs>
          <w:tab w:val="left" w:pos="567"/>
        </w:tabs>
        <w:spacing w:line="216" w:lineRule="auto"/>
        <w:jc w:val="both"/>
        <w:rPr>
          <w:lang w:val="es-ES"/>
        </w:rPr>
      </w:pPr>
    </w:p>
    <w:p w14:paraId="03D2AD86" w14:textId="77777777" w:rsidR="00287F6B" w:rsidRPr="00343FAA" w:rsidRDefault="00287F6B" w:rsidP="00287F6B">
      <w:pPr>
        <w:tabs>
          <w:tab w:val="left" w:pos="567"/>
        </w:tabs>
        <w:spacing w:line="216" w:lineRule="auto"/>
        <w:jc w:val="both"/>
        <w:rPr>
          <w:lang w:val="es-ES"/>
        </w:rPr>
      </w:pPr>
    </w:p>
    <w:p w14:paraId="4457928B" w14:textId="77777777" w:rsidR="00287F6B" w:rsidRPr="00343FAA" w:rsidRDefault="00287F6B" w:rsidP="00287F6B">
      <w:pPr>
        <w:tabs>
          <w:tab w:val="left" w:pos="567"/>
        </w:tabs>
        <w:spacing w:line="216" w:lineRule="auto"/>
        <w:jc w:val="both"/>
        <w:rPr>
          <w:lang w:val="es-ES"/>
        </w:rPr>
      </w:pPr>
    </w:p>
    <w:p w14:paraId="6E9DC66B" w14:textId="77777777" w:rsidR="00287F6B" w:rsidRPr="00343FAA" w:rsidRDefault="00287F6B" w:rsidP="00287F6B">
      <w:pPr>
        <w:tabs>
          <w:tab w:val="left" w:pos="567"/>
        </w:tabs>
        <w:spacing w:line="216" w:lineRule="auto"/>
        <w:jc w:val="both"/>
        <w:rPr>
          <w:lang w:val="es-ES"/>
        </w:rPr>
      </w:pPr>
    </w:p>
    <w:p w14:paraId="35D1F49A" w14:textId="77777777" w:rsidR="00287F6B" w:rsidRPr="00343FAA" w:rsidRDefault="00287F6B" w:rsidP="00287F6B">
      <w:pPr>
        <w:tabs>
          <w:tab w:val="left" w:pos="567"/>
        </w:tabs>
        <w:spacing w:line="216" w:lineRule="auto"/>
        <w:jc w:val="both"/>
        <w:rPr>
          <w:lang w:val="es-ES"/>
        </w:rPr>
      </w:pPr>
    </w:p>
    <w:p w14:paraId="52A189FE" w14:textId="77777777" w:rsidR="00287F6B" w:rsidRPr="00343FAA" w:rsidRDefault="00287F6B" w:rsidP="00287F6B">
      <w:pPr>
        <w:tabs>
          <w:tab w:val="left" w:pos="567"/>
        </w:tabs>
        <w:spacing w:line="216" w:lineRule="auto"/>
        <w:jc w:val="both"/>
        <w:rPr>
          <w:lang w:val="es-ES"/>
        </w:rPr>
      </w:pPr>
    </w:p>
    <w:p w14:paraId="1A37AB25" w14:textId="77777777" w:rsidR="00287F6B" w:rsidRPr="00343FAA" w:rsidRDefault="00287F6B" w:rsidP="00287F6B">
      <w:pPr>
        <w:tabs>
          <w:tab w:val="left" w:pos="567"/>
        </w:tabs>
        <w:spacing w:line="216" w:lineRule="auto"/>
        <w:jc w:val="both"/>
        <w:rPr>
          <w:lang w:val="es-ES"/>
        </w:rPr>
      </w:pPr>
    </w:p>
    <w:p w14:paraId="64AD640F" w14:textId="77777777" w:rsidR="00287F6B" w:rsidRPr="00343FAA" w:rsidRDefault="00287F6B" w:rsidP="00287F6B">
      <w:pPr>
        <w:tabs>
          <w:tab w:val="left" w:pos="567"/>
        </w:tabs>
        <w:spacing w:line="216" w:lineRule="auto"/>
        <w:jc w:val="both"/>
        <w:rPr>
          <w:lang w:val="es-ES"/>
        </w:rPr>
      </w:pPr>
    </w:p>
    <w:p w14:paraId="6AE48770" w14:textId="77777777" w:rsidR="00287F6B" w:rsidRPr="00343FAA" w:rsidRDefault="00287F6B" w:rsidP="00287F6B">
      <w:pPr>
        <w:tabs>
          <w:tab w:val="left" w:pos="567"/>
        </w:tabs>
        <w:spacing w:line="216" w:lineRule="auto"/>
        <w:jc w:val="both"/>
        <w:rPr>
          <w:lang w:val="es-ES"/>
        </w:rPr>
      </w:pPr>
    </w:p>
    <w:p w14:paraId="5C2CB46B" w14:textId="77777777" w:rsidR="00287F6B" w:rsidRPr="00343FAA" w:rsidRDefault="00287F6B" w:rsidP="00287F6B">
      <w:pPr>
        <w:tabs>
          <w:tab w:val="left" w:pos="567"/>
        </w:tabs>
        <w:spacing w:line="216" w:lineRule="auto"/>
        <w:jc w:val="both"/>
        <w:rPr>
          <w:lang w:val="es-ES"/>
        </w:rPr>
      </w:pPr>
    </w:p>
    <w:p w14:paraId="3A1259E4" w14:textId="77777777" w:rsidR="00287F6B" w:rsidRPr="00343FAA" w:rsidRDefault="00287F6B" w:rsidP="00287F6B">
      <w:pPr>
        <w:tabs>
          <w:tab w:val="left" w:pos="567"/>
        </w:tabs>
        <w:spacing w:line="216" w:lineRule="auto"/>
        <w:jc w:val="both"/>
        <w:rPr>
          <w:lang w:val="es-ES"/>
        </w:rPr>
      </w:pPr>
    </w:p>
    <w:p w14:paraId="6D0F64AE" w14:textId="77777777" w:rsidR="00287F6B" w:rsidRPr="00343FAA" w:rsidRDefault="00287F6B" w:rsidP="00287F6B">
      <w:pPr>
        <w:tabs>
          <w:tab w:val="left" w:pos="567"/>
        </w:tabs>
        <w:spacing w:line="216" w:lineRule="auto"/>
        <w:jc w:val="both"/>
        <w:rPr>
          <w:lang w:val="es-ES"/>
        </w:rPr>
      </w:pPr>
    </w:p>
    <w:p w14:paraId="029653C9" w14:textId="77777777" w:rsidR="00287F6B" w:rsidRPr="00343FAA" w:rsidRDefault="00287F6B" w:rsidP="00287F6B">
      <w:pPr>
        <w:tabs>
          <w:tab w:val="left" w:pos="567"/>
        </w:tabs>
        <w:spacing w:line="216" w:lineRule="auto"/>
        <w:jc w:val="both"/>
        <w:rPr>
          <w:lang w:val="es-ES"/>
        </w:rPr>
      </w:pPr>
    </w:p>
    <w:p w14:paraId="5C190123" w14:textId="77777777" w:rsidR="00287F6B" w:rsidRPr="00343FAA" w:rsidRDefault="00287F6B" w:rsidP="00287F6B">
      <w:pPr>
        <w:tabs>
          <w:tab w:val="left" w:pos="567"/>
        </w:tabs>
        <w:spacing w:line="216" w:lineRule="auto"/>
        <w:jc w:val="both"/>
        <w:rPr>
          <w:lang w:val="es-ES"/>
        </w:rPr>
      </w:pPr>
    </w:p>
    <w:p w14:paraId="464D819F" w14:textId="77777777" w:rsidR="00287F6B" w:rsidRPr="00343FAA" w:rsidRDefault="00287F6B" w:rsidP="00287F6B">
      <w:pPr>
        <w:tabs>
          <w:tab w:val="left" w:pos="567"/>
        </w:tabs>
        <w:spacing w:line="216" w:lineRule="auto"/>
        <w:jc w:val="both"/>
        <w:rPr>
          <w:lang w:val="es-ES"/>
        </w:rPr>
      </w:pPr>
    </w:p>
    <w:p w14:paraId="26727C71" w14:textId="77777777" w:rsidR="00287F6B" w:rsidRPr="00343FAA" w:rsidRDefault="00287F6B" w:rsidP="00287F6B">
      <w:pPr>
        <w:tabs>
          <w:tab w:val="left" w:pos="567"/>
        </w:tabs>
        <w:spacing w:line="216" w:lineRule="auto"/>
        <w:jc w:val="both"/>
        <w:rPr>
          <w:lang w:val="es-ES"/>
        </w:rPr>
      </w:pPr>
    </w:p>
    <w:p w14:paraId="111CC010" w14:textId="77777777" w:rsidR="00287F6B" w:rsidRPr="00343FAA" w:rsidRDefault="00287F6B" w:rsidP="00287F6B">
      <w:pPr>
        <w:tabs>
          <w:tab w:val="left" w:pos="567"/>
        </w:tabs>
        <w:spacing w:line="216" w:lineRule="auto"/>
        <w:jc w:val="both"/>
        <w:rPr>
          <w:lang w:val="es-ES"/>
        </w:rPr>
      </w:pPr>
    </w:p>
    <w:p w14:paraId="1700E475" w14:textId="77777777" w:rsidR="00287F6B" w:rsidRPr="00343FAA" w:rsidRDefault="00287F6B" w:rsidP="00287F6B">
      <w:pPr>
        <w:tabs>
          <w:tab w:val="left" w:pos="567"/>
        </w:tabs>
        <w:spacing w:line="216" w:lineRule="auto"/>
        <w:jc w:val="both"/>
        <w:rPr>
          <w:lang w:val="es-ES"/>
        </w:rPr>
      </w:pPr>
    </w:p>
    <w:p w14:paraId="18490A4A" w14:textId="77777777" w:rsidR="00287F6B" w:rsidRPr="00343FAA" w:rsidRDefault="00287F6B" w:rsidP="00287F6B">
      <w:pPr>
        <w:tabs>
          <w:tab w:val="left" w:pos="567"/>
        </w:tabs>
        <w:spacing w:line="216" w:lineRule="auto"/>
        <w:jc w:val="both"/>
        <w:rPr>
          <w:lang w:val="es-ES"/>
        </w:rPr>
      </w:pPr>
    </w:p>
    <w:p w14:paraId="451C6BAF" w14:textId="77777777" w:rsidR="00287F6B" w:rsidRPr="00343FAA" w:rsidRDefault="00287F6B" w:rsidP="00287F6B">
      <w:pPr>
        <w:tabs>
          <w:tab w:val="left" w:pos="567"/>
        </w:tabs>
        <w:spacing w:line="216" w:lineRule="auto"/>
        <w:jc w:val="both"/>
        <w:rPr>
          <w:lang w:val="es-ES"/>
        </w:rPr>
      </w:pPr>
    </w:p>
    <w:p w14:paraId="6E5BF841" w14:textId="77777777" w:rsidR="00287F6B" w:rsidRPr="00343FAA" w:rsidRDefault="00287F6B" w:rsidP="00287F6B">
      <w:pPr>
        <w:tabs>
          <w:tab w:val="left" w:pos="567"/>
        </w:tabs>
        <w:spacing w:line="216" w:lineRule="auto"/>
        <w:jc w:val="both"/>
        <w:rPr>
          <w:lang w:val="es-ES"/>
        </w:rPr>
      </w:pPr>
    </w:p>
    <w:p w14:paraId="594FD417" w14:textId="77777777" w:rsidR="00287F6B" w:rsidRPr="00343FAA" w:rsidRDefault="00287F6B" w:rsidP="00287F6B">
      <w:pPr>
        <w:tabs>
          <w:tab w:val="left" w:pos="567"/>
        </w:tabs>
        <w:spacing w:line="216" w:lineRule="auto"/>
        <w:jc w:val="both"/>
        <w:rPr>
          <w:lang w:val="es-ES"/>
        </w:rPr>
      </w:pPr>
    </w:p>
    <w:p w14:paraId="66886792" w14:textId="77777777" w:rsidR="00287F6B" w:rsidRPr="00343FAA" w:rsidRDefault="00287F6B" w:rsidP="00287F6B">
      <w:pPr>
        <w:tabs>
          <w:tab w:val="left" w:pos="567"/>
        </w:tabs>
        <w:spacing w:line="216" w:lineRule="auto"/>
        <w:jc w:val="both"/>
        <w:rPr>
          <w:lang w:val="es-ES"/>
        </w:rPr>
      </w:pPr>
    </w:p>
    <w:p w14:paraId="19FA377D" w14:textId="77777777" w:rsidR="00287F6B" w:rsidRPr="00343FAA" w:rsidRDefault="00287F6B" w:rsidP="00287F6B">
      <w:pPr>
        <w:tabs>
          <w:tab w:val="left" w:pos="567"/>
        </w:tabs>
        <w:spacing w:line="216" w:lineRule="auto"/>
        <w:jc w:val="both"/>
        <w:rPr>
          <w:lang w:val="es-ES"/>
        </w:rPr>
      </w:pPr>
    </w:p>
    <w:p w14:paraId="2F2F7C05" w14:textId="77777777" w:rsidR="00287F6B" w:rsidRPr="00343FAA" w:rsidRDefault="00287F6B" w:rsidP="00287F6B">
      <w:pPr>
        <w:tabs>
          <w:tab w:val="left" w:pos="567"/>
        </w:tabs>
        <w:spacing w:line="216" w:lineRule="auto"/>
        <w:jc w:val="both"/>
        <w:rPr>
          <w:lang w:val="es-ES"/>
        </w:rPr>
      </w:pPr>
    </w:p>
    <w:p w14:paraId="4BB59BD7" w14:textId="77777777" w:rsidR="00287F6B" w:rsidRPr="00343FAA" w:rsidRDefault="00287F6B" w:rsidP="00287F6B">
      <w:pPr>
        <w:tabs>
          <w:tab w:val="left" w:pos="567"/>
        </w:tabs>
        <w:spacing w:line="216" w:lineRule="auto"/>
        <w:jc w:val="both"/>
        <w:rPr>
          <w:lang w:val="es-ES"/>
        </w:rPr>
      </w:pPr>
    </w:p>
    <w:p w14:paraId="112860A6" w14:textId="77777777" w:rsidR="00287F6B" w:rsidRPr="00343FAA" w:rsidRDefault="00287F6B" w:rsidP="00287F6B">
      <w:pPr>
        <w:tabs>
          <w:tab w:val="left" w:pos="567"/>
        </w:tabs>
        <w:spacing w:line="216" w:lineRule="auto"/>
        <w:jc w:val="both"/>
        <w:rPr>
          <w:lang w:val="es-ES"/>
        </w:rPr>
      </w:pPr>
    </w:p>
    <w:p w14:paraId="5510761A" w14:textId="77777777" w:rsidR="00287F6B" w:rsidRPr="00343FAA" w:rsidRDefault="00287F6B" w:rsidP="00287F6B">
      <w:pPr>
        <w:tabs>
          <w:tab w:val="left" w:pos="567"/>
        </w:tabs>
        <w:spacing w:line="216" w:lineRule="auto"/>
        <w:jc w:val="both"/>
        <w:rPr>
          <w:lang w:val="es-ES"/>
        </w:rPr>
      </w:pPr>
    </w:p>
    <w:p w14:paraId="738FAD51" w14:textId="77777777" w:rsidR="00287F6B" w:rsidRPr="00343FAA" w:rsidRDefault="00287F6B" w:rsidP="00287F6B">
      <w:pPr>
        <w:tabs>
          <w:tab w:val="left" w:pos="567"/>
        </w:tabs>
        <w:spacing w:line="216" w:lineRule="auto"/>
        <w:jc w:val="both"/>
        <w:rPr>
          <w:lang w:val="es-ES"/>
        </w:rPr>
      </w:pPr>
    </w:p>
    <w:p w14:paraId="69F8EF83" w14:textId="77777777" w:rsidR="00287F6B" w:rsidRPr="00343FAA" w:rsidRDefault="00287F6B" w:rsidP="00287F6B">
      <w:pPr>
        <w:tabs>
          <w:tab w:val="left" w:pos="567"/>
        </w:tabs>
        <w:spacing w:line="216" w:lineRule="auto"/>
        <w:jc w:val="both"/>
        <w:rPr>
          <w:lang w:val="es-ES"/>
        </w:rPr>
      </w:pPr>
    </w:p>
    <w:p w14:paraId="0E0974CC" w14:textId="77777777" w:rsidR="00287F6B" w:rsidRPr="00343FAA" w:rsidRDefault="00287F6B" w:rsidP="00287F6B">
      <w:pPr>
        <w:tabs>
          <w:tab w:val="left" w:pos="567"/>
        </w:tabs>
        <w:spacing w:line="216" w:lineRule="auto"/>
        <w:jc w:val="both"/>
        <w:rPr>
          <w:lang w:val="es-ES"/>
        </w:rPr>
      </w:pPr>
    </w:p>
    <w:p w14:paraId="1BD2616C" w14:textId="77777777" w:rsidR="00287F6B" w:rsidRPr="00343FAA" w:rsidRDefault="00287F6B" w:rsidP="00287F6B">
      <w:pPr>
        <w:tabs>
          <w:tab w:val="left" w:pos="567"/>
        </w:tabs>
        <w:spacing w:line="216" w:lineRule="auto"/>
        <w:jc w:val="both"/>
        <w:rPr>
          <w:lang w:val="es-ES"/>
        </w:rPr>
      </w:pPr>
    </w:p>
    <w:p w14:paraId="70F01F42" w14:textId="77777777" w:rsidR="00343FAA" w:rsidRDefault="00343FAA" w:rsidP="00343FAA">
      <w:pPr>
        <w:jc w:val="both"/>
        <w:rPr>
          <w:strike/>
          <w:lang w:val="es-ES"/>
        </w:rPr>
      </w:pPr>
    </w:p>
    <w:p w14:paraId="46EC1B91" w14:textId="77777777" w:rsidR="00343FAA" w:rsidRPr="002D12F9" w:rsidRDefault="00343FAA" w:rsidP="00343FAA">
      <w:pPr>
        <w:jc w:val="both"/>
        <w:rPr>
          <w:strike/>
          <w:lang w:val="es-ES"/>
        </w:rPr>
      </w:pPr>
    </w:p>
    <w:p w14:paraId="6AEA556D" w14:textId="77777777" w:rsidR="00343FAA" w:rsidRPr="002D12F9" w:rsidRDefault="00343FAA" w:rsidP="00343FAA">
      <w:pPr>
        <w:jc w:val="both"/>
        <w:rPr>
          <w:lang w:val="es-ES"/>
        </w:rPr>
      </w:pPr>
      <w:r w:rsidRPr="002D12F9">
        <w:rPr>
          <w:lang w:val="es-ES"/>
        </w:rPr>
        <w:t xml:space="preserve">Corte IDH. </w:t>
      </w:r>
      <w:r w:rsidRPr="000304D5">
        <w:rPr>
          <w:i/>
          <w:lang w:val="es-ES"/>
        </w:rPr>
        <w:t xml:space="preserve">Caso </w:t>
      </w:r>
      <w:r>
        <w:rPr>
          <w:i/>
          <w:iCs/>
          <w:lang w:val="es-CR"/>
        </w:rPr>
        <w:t>Guzmán Albarracín y otros</w:t>
      </w:r>
      <w:r w:rsidRPr="000304D5">
        <w:rPr>
          <w:i/>
          <w:iCs/>
          <w:lang w:val="es-CR"/>
        </w:rPr>
        <w:t xml:space="preserve"> </w:t>
      </w:r>
      <w:r>
        <w:rPr>
          <w:i/>
          <w:iCs/>
          <w:lang w:val="es-CR"/>
        </w:rPr>
        <w:t>V</w:t>
      </w:r>
      <w:r w:rsidRPr="000304D5">
        <w:rPr>
          <w:i/>
          <w:iCs/>
          <w:lang w:val="es-CR"/>
        </w:rPr>
        <w:t xml:space="preserve">s. </w:t>
      </w:r>
      <w:r>
        <w:rPr>
          <w:i/>
          <w:iCs/>
          <w:lang w:val="es-CR"/>
        </w:rPr>
        <w:t>Ecuador</w:t>
      </w:r>
      <w:r>
        <w:rPr>
          <w:iCs/>
          <w:lang w:val="es-CR"/>
        </w:rPr>
        <w:t>. Resolución</w:t>
      </w:r>
      <w:r w:rsidRPr="002D12F9">
        <w:rPr>
          <w:lang w:val="es-ES"/>
        </w:rPr>
        <w:t xml:space="preserve"> </w:t>
      </w:r>
      <w:r>
        <w:rPr>
          <w:lang w:val="es-ES"/>
        </w:rPr>
        <w:t xml:space="preserve">de la Corte Interamericana de Derechos Humanos </w:t>
      </w:r>
      <w:r w:rsidRPr="002D12F9">
        <w:rPr>
          <w:lang w:val="es-ES"/>
        </w:rPr>
        <w:t xml:space="preserve">de </w:t>
      </w:r>
      <w:r>
        <w:rPr>
          <w:lang w:val="es-ES"/>
        </w:rPr>
        <w:t>27</w:t>
      </w:r>
      <w:r w:rsidRPr="002D12F9">
        <w:rPr>
          <w:lang w:val="es-ES"/>
        </w:rPr>
        <w:t xml:space="preserve"> de </w:t>
      </w:r>
      <w:r>
        <w:rPr>
          <w:lang w:val="es-ES"/>
        </w:rPr>
        <w:t>enero</w:t>
      </w:r>
      <w:r w:rsidRPr="002D12F9">
        <w:rPr>
          <w:lang w:val="es-ES"/>
        </w:rPr>
        <w:t xml:space="preserve"> de 20</w:t>
      </w:r>
      <w:r>
        <w:rPr>
          <w:lang w:val="es-ES"/>
        </w:rPr>
        <w:t>20</w:t>
      </w:r>
      <w:r w:rsidRPr="002D12F9">
        <w:rPr>
          <w:lang w:val="es-ES"/>
        </w:rPr>
        <w:t>.</w:t>
      </w:r>
    </w:p>
    <w:p w14:paraId="3ADC28F0" w14:textId="77777777" w:rsidR="00343FAA" w:rsidRPr="002D12F9" w:rsidRDefault="00343FAA" w:rsidP="00343FAA">
      <w:pPr>
        <w:jc w:val="center"/>
        <w:rPr>
          <w:lang w:val="pt-BR"/>
        </w:rPr>
      </w:pPr>
    </w:p>
    <w:p w14:paraId="2B1B6039" w14:textId="77777777" w:rsidR="00343FAA" w:rsidRDefault="00343FAA" w:rsidP="00343FAA">
      <w:pPr>
        <w:jc w:val="center"/>
        <w:rPr>
          <w:lang w:val="pt-BR"/>
        </w:rPr>
      </w:pPr>
    </w:p>
    <w:p w14:paraId="544726CC" w14:textId="77777777" w:rsidR="00343FAA" w:rsidRDefault="00343FAA" w:rsidP="00343FAA">
      <w:pPr>
        <w:jc w:val="center"/>
        <w:rPr>
          <w:lang w:val="pt-BR"/>
        </w:rPr>
      </w:pPr>
    </w:p>
    <w:p w14:paraId="48A853E0" w14:textId="77777777" w:rsidR="00343FAA" w:rsidRDefault="00343FAA" w:rsidP="00343FAA">
      <w:pPr>
        <w:jc w:val="center"/>
        <w:rPr>
          <w:lang w:val="pt-BR"/>
        </w:rPr>
      </w:pPr>
    </w:p>
    <w:p w14:paraId="7CA68433" w14:textId="77777777" w:rsidR="00343FAA" w:rsidRDefault="00343FAA" w:rsidP="00343FAA">
      <w:pPr>
        <w:jc w:val="center"/>
        <w:rPr>
          <w:lang w:val="pt-BR"/>
        </w:rPr>
      </w:pPr>
    </w:p>
    <w:p w14:paraId="1B2A91D7" w14:textId="77777777" w:rsidR="00343FAA" w:rsidRDefault="00343FAA" w:rsidP="00343FAA">
      <w:pPr>
        <w:jc w:val="center"/>
        <w:rPr>
          <w:lang w:val="pt-BR"/>
        </w:rPr>
      </w:pPr>
      <w:r>
        <w:rPr>
          <w:lang w:val="pt-BR"/>
        </w:rPr>
        <w:t>Elizabeth Odio Benito</w:t>
      </w:r>
    </w:p>
    <w:p w14:paraId="4B299B94" w14:textId="77777777" w:rsidR="00343FAA" w:rsidRDefault="00343FAA" w:rsidP="00343FAA">
      <w:pPr>
        <w:jc w:val="center"/>
        <w:rPr>
          <w:lang w:val="pt-BR"/>
        </w:rPr>
      </w:pPr>
      <w:r>
        <w:rPr>
          <w:lang w:val="pt-BR"/>
        </w:rPr>
        <w:t>Presidenta</w:t>
      </w:r>
    </w:p>
    <w:p w14:paraId="164258A1" w14:textId="77777777" w:rsidR="00343FAA" w:rsidRDefault="00343FAA" w:rsidP="00343FAA">
      <w:pPr>
        <w:jc w:val="center"/>
        <w:rPr>
          <w:lang w:val="pt-BR"/>
        </w:rPr>
      </w:pPr>
    </w:p>
    <w:p w14:paraId="0A4EE67E" w14:textId="77777777" w:rsidR="00343FAA" w:rsidRDefault="00343FAA" w:rsidP="00343FAA">
      <w:pPr>
        <w:jc w:val="center"/>
        <w:rPr>
          <w:lang w:val="pt-BR"/>
        </w:rPr>
      </w:pPr>
    </w:p>
    <w:p w14:paraId="0FED26A0" w14:textId="77777777" w:rsidR="00343FAA" w:rsidRDefault="00343FAA" w:rsidP="00343FAA">
      <w:pPr>
        <w:rPr>
          <w:lang w:val="pt-BR"/>
        </w:rPr>
      </w:pPr>
    </w:p>
    <w:p w14:paraId="17EF7A1B" w14:textId="77777777" w:rsidR="00343FAA" w:rsidRDefault="00343FAA" w:rsidP="00343FAA">
      <w:pPr>
        <w:rPr>
          <w:lang w:val="pt-BR"/>
        </w:rPr>
      </w:pPr>
    </w:p>
    <w:p w14:paraId="592C1734" w14:textId="77777777" w:rsidR="00343FAA" w:rsidRDefault="00343FAA" w:rsidP="00343FAA">
      <w:pPr>
        <w:rPr>
          <w:lang w:val="pt-BR"/>
        </w:rPr>
      </w:pPr>
    </w:p>
    <w:p w14:paraId="0B8304FA" w14:textId="77777777" w:rsidR="00343FAA" w:rsidRDefault="00343FAA" w:rsidP="00343FAA">
      <w:pPr>
        <w:rPr>
          <w:lang w:val="pt-BR"/>
        </w:rPr>
      </w:pPr>
      <w:r>
        <w:rPr>
          <w:lang w:val="pt-BR"/>
        </w:rPr>
        <w:t>Eduardo Vio Grossi</w:t>
      </w:r>
      <w:r>
        <w:rPr>
          <w:lang w:val="pt-BR"/>
        </w:rPr>
        <w:tab/>
      </w:r>
      <w:r>
        <w:rPr>
          <w:lang w:val="pt-BR"/>
        </w:rPr>
        <w:tab/>
      </w:r>
      <w:r>
        <w:rPr>
          <w:lang w:val="pt-BR"/>
        </w:rPr>
        <w:tab/>
      </w:r>
      <w:r>
        <w:rPr>
          <w:lang w:val="pt-BR"/>
        </w:rPr>
        <w:tab/>
      </w:r>
      <w:r>
        <w:rPr>
          <w:lang w:val="pt-BR"/>
        </w:rPr>
        <w:tab/>
      </w:r>
      <w:r>
        <w:rPr>
          <w:lang w:val="pt-BR"/>
        </w:rPr>
        <w:tab/>
        <w:t xml:space="preserve">       Humberto Antonio Sierra Porto</w:t>
      </w:r>
    </w:p>
    <w:p w14:paraId="3C62B18E" w14:textId="77777777" w:rsidR="00343FAA" w:rsidRDefault="00343FAA" w:rsidP="00343FAA">
      <w:pPr>
        <w:rPr>
          <w:lang w:val="pt-BR"/>
        </w:rPr>
      </w:pPr>
    </w:p>
    <w:p w14:paraId="31425A0C" w14:textId="77777777" w:rsidR="00343FAA" w:rsidRDefault="00343FAA" w:rsidP="00343FAA">
      <w:pPr>
        <w:rPr>
          <w:lang w:val="pt-BR"/>
        </w:rPr>
      </w:pPr>
    </w:p>
    <w:p w14:paraId="59854072" w14:textId="77777777" w:rsidR="00343FAA" w:rsidRDefault="00343FAA" w:rsidP="00343FAA">
      <w:pPr>
        <w:rPr>
          <w:lang w:val="pt-BR"/>
        </w:rPr>
      </w:pPr>
    </w:p>
    <w:p w14:paraId="68063732" w14:textId="77777777" w:rsidR="00343FAA" w:rsidRDefault="00343FAA" w:rsidP="00343FAA">
      <w:pPr>
        <w:rPr>
          <w:lang w:val="pt-BR"/>
        </w:rPr>
      </w:pPr>
    </w:p>
    <w:p w14:paraId="51805493" w14:textId="77777777" w:rsidR="00343FAA" w:rsidRDefault="00343FAA" w:rsidP="00343FAA">
      <w:pPr>
        <w:rPr>
          <w:lang w:val="pt-BR"/>
        </w:rPr>
      </w:pPr>
    </w:p>
    <w:p w14:paraId="43397C52" w14:textId="77777777" w:rsidR="00343FAA" w:rsidRDefault="00343FAA" w:rsidP="00343FAA">
      <w:pPr>
        <w:rPr>
          <w:lang w:val="pt-BR"/>
        </w:rPr>
      </w:pPr>
      <w:r>
        <w:rPr>
          <w:lang w:val="pt-BR"/>
        </w:rPr>
        <w:t>Eduardo Ferrer Mac-Gregor Poisot</w:t>
      </w:r>
      <w:r>
        <w:rPr>
          <w:lang w:val="pt-BR"/>
        </w:rPr>
        <w:tab/>
      </w:r>
      <w:r>
        <w:rPr>
          <w:lang w:val="pt-BR"/>
        </w:rPr>
        <w:tab/>
      </w:r>
      <w:r>
        <w:rPr>
          <w:lang w:val="pt-BR"/>
        </w:rPr>
        <w:tab/>
      </w:r>
      <w:r>
        <w:rPr>
          <w:lang w:val="pt-BR"/>
        </w:rPr>
        <w:tab/>
        <w:t xml:space="preserve">                  Eugenio Raúl Zaffaroni</w:t>
      </w:r>
      <w:r>
        <w:rPr>
          <w:lang w:val="pt-BR"/>
        </w:rPr>
        <w:tab/>
      </w:r>
      <w:r w:rsidRPr="0019261A">
        <w:rPr>
          <w:lang w:val="pt-BR"/>
        </w:rPr>
        <w:tab/>
      </w:r>
      <w:r>
        <w:rPr>
          <w:lang w:val="pt-BR"/>
        </w:rPr>
        <w:t xml:space="preserve">                                                   </w:t>
      </w:r>
    </w:p>
    <w:p w14:paraId="0F63255E" w14:textId="77777777" w:rsidR="00343FAA" w:rsidRDefault="00343FAA" w:rsidP="00343FAA">
      <w:pPr>
        <w:rPr>
          <w:lang w:val="pt-BR"/>
        </w:rPr>
      </w:pPr>
    </w:p>
    <w:p w14:paraId="699D36E0" w14:textId="77777777" w:rsidR="00343FAA" w:rsidRDefault="00343FAA" w:rsidP="00343FAA">
      <w:pPr>
        <w:rPr>
          <w:lang w:val="pt-BR"/>
        </w:rPr>
      </w:pPr>
    </w:p>
    <w:p w14:paraId="4F4F2443" w14:textId="77777777" w:rsidR="00343FAA" w:rsidRDefault="00343FAA" w:rsidP="00343FAA">
      <w:pPr>
        <w:rPr>
          <w:lang w:val="pt-BR"/>
        </w:rPr>
      </w:pPr>
    </w:p>
    <w:p w14:paraId="2A2F05F8" w14:textId="77777777" w:rsidR="00343FAA" w:rsidRDefault="00343FAA" w:rsidP="00343FAA">
      <w:pPr>
        <w:rPr>
          <w:lang w:val="pt-BR"/>
        </w:rPr>
      </w:pPr>
    </w:p>
    <w:p w14:paraId="6904B696" w14:textId="77777777" w:rsidR="00343FAA" w:rsidRDefault="00343FAA" w:rsidP="00343FAA">
      <w:pPr>
        <w:rPr>
          <w:lang w:val="pt-BR"/>
        </w:rPr>
      </w:pPr>
    </w:p>
    <w:p w14:paraId="74DD7ADF" w14:textId="77777777" w:rsidR="00343FAA" w:rsidRPr="0019261A" w:rsidRDefault="00343FAA" w:rsidP="00343FAA">
      <w:pPr>
        <w:jc w:val="center"/>
        <w:rPr>
          <w:lang w:val="pt-BR"/>
        </w:rPr>
      </w:pPr>
      <w:r>
        <w:rPr>
          <w:lang w:val="pt-BR"/>
        </w:rPr>
        <w:t>Ricardo C. Pérez Manrique</w:t>
      </w:r>
    </w:p>
    <w:p w14:paraId="6FBFA9CE" w14:textId="77777777" w:rsidR="00343FAA" w:rsidRDefault="00343FAA" w:rsidP="00343FAA">
      <w:pPr>
        <w:jc w:val="both"/>
        <w:rPr>
          <w:lang w:val="pt-BR"/>
        </w:rPr>
      </w:pPr>
    </w:p>
    <w:p w14:paraId="26E23A26" w14:textId="77777777" w:rsidR="00343FAA" w:rsidRDefault="00343FAA" w:rsidP="00343FAA">
      <w:pPr>
        <w:jc w:val="both"/>
        <w:rPr>
          <w:lang w:val="pt-BR"/>
        </w:rPr>
      </w:pPr>
    </w:p>
    <w:p w14:paraId="4FDD9673" w14:textId="77777777" w:rsidR="00343FAA" w:rsidRDefault="00343FAA" w:rsidP="00343FAA">
      <w:pPr>
        <w:jc w:val="both"/>
        <w:rPr>
          <w:lang w:val="pt-BR"/>
        </w:rPr>
      </w:pPr>
    </w:p>
    <w:p w14:paraId="02E1A108" w14:textId="77777777" w:rsidR="00343FAA" w:rsidRDefault="00343FAA" w:rsidP="00343FAA">
      <w:pPr>
        <w:jc w:val="both"/>
        <w:rPr>
          <w:lang w:val="pt-BR"/>
        </w:rPr>
      </w:pPr>
    </w:p>
    <w:p w14:paraId="24EB6EEC" w14:textId="77777777" w:rsidR="00343FAA" w:rsidRPr="0019261A" w:rsidRDefault="00343FAA" w:rsidP="00343FAA">
      <w:pPr>
        <w:jc w:val="both"/>
        <w:rPr>
          <w:lang w:val="pt-BR"/>
        </w:rPr>
      </w:pPr>
    </w:p>
    <w:p w14:paraId="770B245B" w14:textId="77777777" w:rsidR="00343FAA" w:rsidRPr="0019261A" w:rsidRDefault="00343FAA" w:rsidP="00343FAA">
      <w:pPr>
        <w:jc w:val="both"/>
        <w:rPr>
          <w:lang w:val="pt-BR"/>
        </w:rPr>
      </w:pPr>
    </w:p>
    <w:p w14:paraId="017EB8FD" w14:textId="77777777" w:rsidR="00343FAA" w:rsidRPr="00FC4051" w:rsidRDefault="00343FAA" w:rsidP="00343FAA">
      <w:pPr>
        <w:jc w:val="center"/>
        <w:rPr>
          <w:lang w:val="pt-BR"/>
        </w:rPr>
      </w:pPr>
      <w:r w:rsidRPr="00FC4051">
        <w:rPr>
          <w:lang w:val="pt-BR"/>
        </w:rPr>
        <w:t>Pablo Saavedra Alessandri</w:t>
      </w:r>
    </w:p>
    <w:p w14:paraId="758B742F" w14:textId="77777777" w:rsidR="00343FAA" w:rsidRDefault="00343FAA" w:rsidP="00343FAA">
      <w:pPr>
        <w:jc w:val="center"/>
        <w:rPr>
          <w:lang w:val="pt-BR"/>
        </w:rPr>
      </w:pPr>
      <w:r w:rsidRPr="00FC4051">
        <w:rPr>
          <w:lang w:val="pt-BR"/>
        </w:rPr>
        <w:t>Secret</w:t>
      </w:r>
      <w:r>
        <w:rPr>
          <w:lang w:val="pt-BR"/>
        </w:rPr>
        <w:t>a</w:t>
      </w:r>
      <w:r w:rsidRPr="00FC4051">
        <w:rPr>
          <w:lang w:val="pt-BR"/>
        </w:rPr>
        <w:t>rio</w:t>
      </w:r>
    </w:p>
    <w:p w14:paraId="01F52AB6" w14:textId="77777777" w:rsidR="00343FAA" w:rsidRPr="00FC4051" w:rsidRDefault="00343FAA" w:rsidP="00343FAA">
      <w:pPr>
        <w:pStyle w:val="Textonotapie"/>
        <w:rPr>
          <w:lang w:val="pt-BR"/>
        </w:rPr>
      </w:pPr>
    </w:p>
    <w:p w14:paraId="35743BE5" w14:textId="77777777" w:rsidR="00343FAA" w:rsidRPr="00FC4051" w:rsidRDefault="00343FAA" w:rsidP="00343FAA">
      <w:pPr>
        <w:pStyle w:val="Textonotapie"/>
        <w:rPr>
          <w:lang w:val="pt-BR"/>
        </w:rPr>
      </w:pPr>
    </w:p>
    <w:p w14:paraId="472A8760" w14:textId="77777777" w:rsidR="00343FAA" w:rsidRPr="00FC4051" w:rsidRDefault="00343FAA" w:rsidP="00343FAA">
      <w:pPr>
        <w:jc w:val="both"/>
        <w:rPr>
          <w:lang w:val="pt-BR"/>
        </w:rPr>
      </w:pPr>
      <w:r>
        <w:rPr>
          <w:lang w:val="pt-BR"/>
        </w:rPr>
        <w:t>Comuníquese y ejecútese</w:t>
      </w:r>
      <w:r w:rsidRPr="00FC4051">
        <w:rPr>
          <w:lang w:val="pt-BR"/>
        </w:rPr>
        <w:t>,</w:t>
      </w:r>
    </w:p>
    <w:p w14:paraId="45984DC8" w14:textId="77777777" w:rsidR="00343FAA" w:rsidRPr="00FC4051" w:rsidRDefault="00343FAA" w:rsidP="00343FAA">
      <w:pPr>
        <w:rPr>
          <w:lang w:val="pt-BR"/>
        </w:rPr>
      </w:pPr>
    </w:p>
    <w:p w14:paraId="7EECDEAC" w14:textId="77777777" w:rsidR="00343FAA" w:rsidRDefault="00343FAA" w:rsidP="00343FAA">
      <w:pPr>
        <w:jc w:val="center"/>
        <w:rPr>
          <w:lang w:val="pt-BR"/>
        </w:rPr>
      </w:pPr>
    </w:p>
    <w:p w14:paraId="602777B3" w14:textId="77777777" w:rsidR="00343FAA" w:rsidRDefault="00343FAA" w:rsidP="00343FAA">
      <w:pPr>
        <w:jc w:val="center"/>
        <w:rPr>
          <w:lang w:val="pt-BR"/>
        </w:rPr>
      </w:pPr>
    </w:p>
    <w:p w14:paraId="6527FABF" w14:textId="77777777" w:rsidR="00343FAA" w:rsidRPr="00FC4051" w:rsidRDefault="00343FAA" w:rsidP="00343FAA">
      <w:pPr>
        <w:jc w:val="right"/>
        <w:rPr>
          <w:lang w:val="pt-BR"/>
        </w:rPr>
      </w:pPr>
    </w:p>
    <w:p w14:paraId="49CB60BB" w14:textId="77777777" w:rsidR="00343FAA" w:rsidRDefault="00343FAA" w:rsidP="00343FAA">
      <w:pPr>
        <w:jc w:val="center"/>
        <w:rPr>
          <w:lang w:val="pt-BR"/>
        </w:rPr>
      </w:pPr>
      <w:r>
        <w:rPr>
          <w:lang w:val="pt-BR"/>
        </w:rPr>
        <w:t xml:space="preserve">                                                                                                Elizabeth Odio Benito</w:t>
      </w:r>
    </w:p>
    <w:p w14:paraId="1A4ABCA1" w14:textId="77777777" w:rsidR="00343FAA" w:rsidRDefault="00343FAA" w:rsidP="00343FAA">
      <w:pPr>
        <w:ind w:left="6480" w:firstLine="720"/>
        <w:rPr>
          <w:lang w:val="pt-BR"/>
        </w:rPr>
      </w:pPr>
      <w:r>
        <w:rPr>
          <w:lang w:val="pt-BR"/>
        </w:rPr>
        <w:t xml:space="preserve">     Presidenta</w:t>
      </w:r>
    </w:p>
    <w:p w14:paraId="40332609" w14:textId="77777777" w:rsidR="00343FAA" w:rsidRPr="00FC4051" w:rsidRDefault="00343FAA" w:rsidP="00343FAA">
      <w:pPr>
        <w:jc w:val="both"/>
        <w:rPr>
          <w:lang w:val="pt-BR"/>
        </w:rPr>
      </w:pPr>
    </w:p>
    <w:p w14:paraId="0546EDEE" w14:textId="77777777" w:rsidR="00343FAA" w:rsidRDefault="00343FAA" w:rsidP="00343FAA">
      <w:pPr>
        <w:jc w:val="both"/>
        <w:rPr>
          <w:lang w:val="pt-BR"/>
        </w:rPr>
      </w:pPr>
    </w:p>
    <w:p w14:paraId="0D2281F4" w14:textId="77777777" w:rsidR="00343FAA" w:rsidRPr="00FC4051" w:rsidRDefault="00343FAA" w:rsidP="00343FAA">
      <w:pPr>
        <w:jc w:val="both"/>
        <w:rPr>
          <w:lang w:val="pt-BR"/>
        </w:rPr>
      </w:pPr>
    </w:p>
    <w:p w14:paraId="7FE033D8" w14:textId="77777777" w:rsidR="00343FAA" w:rsidRPr="00FC4051" w:rsidRDefault="00343FAA" w:rsidP="00343FAA">
      <w:pPr>
        <w:jc w:val="both"/>
        <w:rPr>
          <w:lang w:val="pt-BR"/>
        </w:rPr>
      </w:pPr>
      <w:r w:rsidRPr="00FC4051">
        <w:rPr>
          <w:lang w:val="pt-BR"/>
        </w:rPr>
        <w:t>Pablo Saavedra Alessandri</w:t>
      </w:r>
    </w:p>
    <w:p w14:paraId="5731ED3D" w14:textId="77777777" w:rsidR="00420221" w:rsidRPr="00B40323" w:rsidRDefault="00343FAA" w:rsidP="00343FAA">
      <w:pPr>
        <w:rPr>
          <w:lang w:val="es-ES"/>
        </w:rPr>
      </w:pPr>
      <w:r>
        <w:rPr>
          <w:lang w:val="pt-BR"/>
        </w:rPr>
        <w:t xml:space="preserve">          </w:t>
      </w:r>
      <w:r w:rsidRPr="0019261A">
        <w:rPr>
          <w:lang w:val="es-ES"/>
        </w:rPr>
        <w:t>Secret</w:t>
      </w:r>
      <w:r>
        <w:rPr>
          <w:lang w:val="es-ES"/>
        </w:rPr>
        <w:t>ario</w:t>
      </w:r>
    </w:p>
    <w:sectPr w:rsidR="00420221" w:rsidRPr="00B40323" w:rsidSect="00B45D2D">
      <w:headerReference w:type="default" r:id="rId8"/>
      <w:footerReference w:type="default" r:id="rId9"/>
      <w:pgSz w:w="12240" w:h="15840"/>
      <w:pgMar w:top="1418" w:right="1418" w:bottom="1418" w:left="1418"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0B0B" w14:textId="77777777" w:rsidR="000B539A" w:rsidRDefault="000B539A" w:rsidP="006D3B70">
      <w:r>
        <w:separator/>
      </w:r>
    </w:p>
  </w:endnote>
  <w:endnote w:type="continuationSeparator" w:id="0">
    <w:p w14:paraId="5A631214" w14:textId="77777777" w:rsidR="000B539A" w:rsidRDefault="000B539A" w:rsidP="006D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357077"/>
      <w:docPartObj>
        <w:docPartGallery w:val="Page Numbers (Bottom of Page)"/>
        <w:docPartUnique/>
      </w:docPartObj>
    </w:sdtPr>
    <w:sdtEndPr/>
    <w:sdtContent>
      <w:p w14:paraId="01867FAC" w14:textId="77777777" w:rsidR="00FA3D2B" w:rsidRPr="00773E45" w:rsidRDefault="00FA3D2B" w:rsidP="00FA3D2B">
        <w:pPr>
          <w:pStyle w:val="Piedepgina"/>
          <w:tabs>
            <w:tab w:val="clear" w:pos="4680"/>
            <w:tab w:val="center" w:pos="4111"/>
          </w:tabs>
          <w:jc w:val="center"/>
        </w:pPr>
        <w:r w:rsidRPr="00773E45">
          <w:fldChar w:fldCharType="begin"/>
        </w:r>
        <w:r w:rsidRPr="00773E45">
          <w:instrText>PAGE   \* MERGEFORMAT</w:instrText>
        </w:r>
        <w:r w:rsidRPr="00773E45">
          <w:fldChar w:fldCharType="separate"/>
        </w:r>
        <w:r w:rsidR="00343FAA" w:rsidRPr="00343FAA">
          <w:rPr>
            <w:noProof/>
            <w:lang w:val="es-ES"/>
          </w:rPr>
          <w:t>7</w:t>
        </w:r>
        <w:r w:rsidRPr="00773E45">
          <w:fldChar w:fldCharType="end"/>
        </w:r>
        <w:r>
          <w:t xml:space="preserve"> </w:t>
        </w:r>
      </w:p>
    </w:sdtContent>
  </w:sdt>
  <w:p w14:paraId="1FDC8C54" w14:textId="77777777" w:rsidR="00FA3D2B" w:rsidRDefault="00FA3D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FC6AF" w14:textId="77777777" w:rsidR="000B539A" w:rsidRDefault="000B539A" w:rsidP="006D3B70">
      <w:r>
        <w:separator/>
      </w:r>
    </w:p>
  </w:footnote>
  <w:footnote w:type="continuationSeparator" w:id="0">
    <w:p w14:paraId="2055E6F8" w14:textId="77777777" w:rsidR="000B539A" w:rsidRDefault="000B539A" w:rsidP="006D3B70">
      <w:r>
        <w:continuationSeparator/>
      </w:r>
    </w:p>
  </w:footnote>
  <w:footnote w:id="1">
    <w:p w14:paraId="5C6A2BA6" w14:textId="77777777" w:rsidR="00FA3D2B" w:rsidRPr="005E7A80" w:rsidRDefault="00FA3D2B" w:rsidP="002D533C">
      <w:pPr>
        <w:pStyle w:val="Textonotapie"/>
        <w:spacing w:line="216" w:lineRule="auto"/>
        <w:jc w:val="both"/>
        <w:rPr>
          <w:b/>
          <w:sz w:val="16"/>
          <w:szCs w:val="16"/>
          <w:lang w:val="es-CR"/>
        </w:rPr>
      </w:pPr>
      <w:r w:rsidRPr="000B62F7">
        <w:rPr>
          <w:rStyle w:val="Refdenotaalpie"/>
          <w:sz w:val="16"/>
          <w:szCs w:val="16"/>
        </w:rPr>
        <w:footnoteRef/>
      </w:r>
      <w:r w:rsidRPr="000B62F7">
        <w:rPr>
          <w:sz w:val="16"/>
          <w:szCs w:val="16"/>
          <w:lang w:val="es-CR"/>
        </w:rPr>
        <w:t xml:space="preserve"> </w:t>
      </w:r>
      <w:r w:rsidRPr="000B62F7">
        <w:rPr>
          <w:i/>
          <w:sz w:val="16"/>
          <w:szCs w:val="16"/>
          <w:lang w:val="es-CR"/>
        </w:rPr>
        <w:t>C</w:t>
      </w:r>
      <w:r w:rsidRPr="005E7A80">
        <w:rPr>
          <w:rStyle w:val="Textoennegrita"/>
          <w:b w:val="0"/>
          <w:i/>
          <w:color w:val="000000"/>
          <w:sz w:val="16"/>
          <w:szCs w:val="16"/>
          <w:shd w:val="clear" w:color="auto" w:fill="FFFFFF"/>
          <w:lang w:val="es-CR"/>
        </w:rPr>
        <w:t>aso Guzmán Albarracín y otros Vs. Ecuador. Convocatoria a audiencia</w:t>
      </w:r>
      <w:r w:rsidRPr="005E7A80">
        <w:rPr>
          <w:rStyle w:val="Textoennegrita"/>
          <w:b w:val="0"/>
          <w:color w:val="000000"/>
          <w:sz w:val="16"/>
          <w:szCs w:val="16"/>
          <w:shd w:val="clear" w:color="auto" w:fill="FFFFFF"/>
          <w:lang w:val="es-CR"/>
        </w:rPr>
        <w:t xml:space="preserve">. Resolución del Presidente de la Corte Interamericana de Derechos Humanos de 10 de diciembre de 2019, Considerando 27. </w:t>
      </w:r>
    </w:p>
  </w:footnote>
  <w:footnote w:id="2">
    <w:p w14:paraId="701977A4" w14:textId="77777777" w:rsidR="00FA3D2B" w:rsidRDefault="00FA3D2B" w:rsidP="002D533C">
      <w:pPr>
        <w:pStyle w:val="Textonotapie"/>
        <w:spacing w:line="216" w:lineRule="auto"/>
        <w:jc w:val="both"/>
        <w:rPr>
          <w:sz w:val="16"/>
          <w:szCs w:val="16"/>
          <w:lang w:val="es-CR"/>
        </w:rPr>
      </w:pPr>
      <w:r w:rsidRPr="005E7A80">
        <w:rPr>
          <w:rStyle w:val="Refdenotaalpie"/>
          <w:sz w:val="16"/>
          <w:szCs w:val="16"/>
        </w:rPr>
        <w:footnoteRef/>
      </w:r>
      <w:r w:rsidRPr="005E7A80">
        <w:rPr>
          <w:sz w:val="16"/>
          <w:szCs w:val="16"/>
          <w:lang w:val="es-CR"/>
        </w:rPr>
        <w:t xml:space="preserve"> El Estado en la misma oportunidad se refirió también al plazo de presentación de declaraciones escritas, cuestión que fue respondida mediante comunicación de la Secretaría de la Corte de </w:t>
      </w:r>
      <w:r w:rsidR="003771B4">
        <w:rPr>
          <w:sz w:val="16"/>
          <w:szCs w:val="16"/>
          <w:lang w:val="es-CR"/>
        </w:rPr>
        <w:t>17</w:t>
      </w:r>
      <w:r w:rsidRPr="005E7A80">
        <w:rPr>
          <w:sz w:val="16"/>
          <w:szCs w:val="16"/>
          <w:lang w:val="es-CR"/>
        </w:rPr>
        <w:t xml:space="preserve"> de diciembre de 2019. </w:t>
      </w:r>
    </w:p>
    <w:p w14:paraId="1C0FB47C" w14:textId="77777777" w:rsidR="000F0F48" w:rsidRPr="00203A17" w:rsidRDefault="000F0F48" w:rsidP="000F0F48">
      <w:pPr>
        <w:pStyle w:val="Textonotapie"/>
        <w:jc w:val="both"/>
        <w:rPr>
          <w:rFonts w:eastAsia="Batang"/>
          <w:sz w:val="16"/>
          <w:szCs w:val="16"/>
          <w:lang w:val="es-ES_tradnl"/>
        </w:rPr>
      </w:pPr>
      <w:r w:rsidRPr="00203A17">
        <w:rPr>
          <w:sz w:val="16"/>
          <w:szCs w:val="16"/>
          <w:lang w:val="es-CR"/>
        </w:rPr>
        <w:t>*</w:t>
      </w:r>
      <w:r w:rsidRPr="00203A17">
        <w:rPr>
          <w:rFonts w:cs="Arial"/>
          <w:spacing w:val="-4"/>
          <w:sz w:val="16"/>
          <w:szCs w:val="16"/>
          <w:lang w:val="es-ES"/>
        </w:rPr>
        <w:t xml:space="preserve"> El Juez</w:t>
      </w:r>
      <w:r w:rsidRPr="00203A17">
        <w:rPr>
          <w:spacing w:val="-4"/>
          <w:sz w:val="16"/>
          <w:szCs w:val="16"/>
          <w:lang w:val="es-ES"/>
        </w:rPr>
        <w:t xml:space="preserve"> L. Patricio Pazmiño</w:t>
      </w:r>
      <w:r w:rsidRPr="00203A17">
        <w:rPr>
          <w:rFonts w:cs="Arial"/>
          <w:spacing w:val="-4"/>
          <w:sz w:val="16"/>
          <w:szCs w:val="16"/>
          <w:lang w:val="es-ES"/>
        </w:rPr>
        <w:t>, de nacionalidad ecuatoriana, no participó en la deliberación de la presente Resolución, de conformidad con lo dispuesto en</w:t>
      </w:r>
      <w:r w:rsidR="008614AA">
        <w:rPr>
          <w:rFonts w:cs="Arial"/>
          <w:spacing w:val="-4"/>
          <w:sz w:val="16"/>
          <w:szCs w:val="16"/>
          <w:lang w:val="es-ES"/>
        </w:rPr>
        <w:t xml:space="preserve"> el artículo </w:t>
      </w:r>
      <w:r w:rsidRPr="00203A17">
        <w:rPr>
          <w:rFonts w:cs="Arial"/>
          <w:spacing w:val="-4"/>
          <w:sz w:val="16"/>
          <w:szCs w:val="16"/>
          <w:lang w:val="es-ES"/>
        </w:rPr>
        <w:t xml:space="preserve">19.1 del Reglamento de la Corte. </w:t>
      </w:r>
    </w:p>
    <w:p w14:paraId="218BADB9" w14:textId="77777777" w:rsidR="000F0F48" w:rsidRPr="000F0F48" w:rsidRDefault="000F0F48" w:rsidP="002D533C">
      <w:pPr>
        <w:pStyle w:val="Textonotapie"/>
        <w:spacing w:line="216" w:lineRule="auto"/>
        <w:jc w:val="both"/>
        <w:rPr>
          <w:sz w:val="16"/>
          <w:szCs w:val="16"/>
          <w:lang w:val="es-ES_tradnl"/>
        </w:rPr>
      </w:pPr>
    </w:p>
  </w:footnote>
  <w:footnote w:id="3">
    <w:p w14:paraId="06946049" w14:textId="77777777" w:rsidR="00FA3D2B" w:rsidRPr="005E7A80" w:rsidRDefault="00FA3D2B" w:rsidP="002D533C">
      <w:pPr>
        <w:pStyle w:val="Textonotapie"/>
        <w:spacing w:line="216" w:lineRule="auto"/>
        <w:jc w:val="both"/>
        <w:rPr>
          <w:sz w:val="16"/>
          <w:szCs w:val="16"/>
          <w:lang w:val="es-CR"/>
        </w:rPr>
      </w:pPr>
      <w:r w:rsidRPr="005E7A80">
        <w:rPr>
          <w:rStyle w:val="Refdenotaalpie"/>
          <w:sz w:val="16"/>
          <w:szCs w:val="16"/>
        </w:rPr>
        <w:footnoteRef/>
      </w:r>
      <w:r w:rsidRPr="005E7A80">
        <w:rPr>
          <w:sz w:val="16"/>
          <w:szCs w:val="16"/>
          <w:lang w:val="es-CR"/>
        </w:rPr>
        <w:t xml:space="preserve"> Cfr. en el mismo sentido, </w:t>
      </w:r>
      <w:r w:rsidRPr="005E7A80">
        <w:rPr>
          <w:i/>
          <w:sz w:val="16"/>
          <w:szCs w:val="16"/>
          <w:lang w:val="es-CR"/>
        </w:rPr>
        <w:t>C</w:t>
      </w:r>
      <w:r w:rsidRPr="005E7A80">
        <w:rPr>
          <w:rStyle w:val="Textoennegrita"/>
          <w:b w:val="0"/>
          <w:i/>
          <w:color w:val="000000"/>
          <w:sz w:val="16"/>
          <w:szCs w:val="16"/>
          <w:shd w:val="clear" w:color="auto" w:fill="FFFFFF"/>
          <w:lang w:val="es-CR"/>
        </w:rPr>
        <w:t xml:space="preserve">aso Rojas Marín y otra Vs. Perú. Reconsideración de convocatoria a audiencia. </w:t>
      </w:r>
      <w:r w:rsidRPr="005E7A80">
        <w:rPr>
          <w:rStyle w:val="Textoennegrita"/>
          <w:b w:val="0"/>
          <w:color w:val="000000"/>
          <w:sz w:val="16"/>
          <w:szCs w:val="16"/>
          <w:shd w:val="clear" w:color="auto" w:fill="FFFFFF"/>
          <w:lang w:val="es-CR"/>
        </w:rPr>
        <w:t xml:space="preserve">Resolución de la Corte Interamericana de Derechos Humanos de 26 de agosto de 2019, Considerando 2. </w:t>
      </w:r>
    </w:p>
  </w:footnote>
  <w:footnote w:id="4">
    <w:p w14:paraId="053E8E57" w14:textId="77777777" w:rsidR="00FA3D2B" w:rsidRPr="005E7A80" w:rsidRDefault="00FA3D2B" w:rsidP="002D533C">
      <w:pPr>
        <w:pStyle w:val="Textonotapie"/>
        <w:spacing w:line="216" w:lineRule="auto"/>
        <w:jc w:val="both"/>
        <w:rPr>
          <w:sz w:val="16"/>
          <w:szCs w:val="16"/>
          <w:lang w:val="es-CR"/>
        </w:rPr>
      </w:pPr>
      <w:r w:rsidRPr="005E7A80">
        <w:rPr>
          <w:rStyle w:val="Refdenotaalpie"/>
          <w:sz w:val="16"/>
          <w:szCs w:val="16"/>
        </w:rPr>
        <w:footnoteRef/>
      </w:r>
      <w:r w:rsidRPr="005E7A80">
        <w:rPr>
          <w:sz w:val="16"/>
          <w:szCs w:val="16"/>
          <w:lang w:val="es-CR"/>
        </w:rPr>
        <w:t xml:space="preserve"> Cfr. </w:t>
      </w:r>
      <w:r w:rsidRPr="005E7A80">
        <w:rPr>
          <w:i/>
          <w:sz w:val="16"/>
          <w:szCs w:val="16"/>
          <w:lang w:val="es-CR"/>
        </w:rPr>
        <w:t>C</w:t>
      </w:r>
      <w:r w:rsidRPr="005E7A80">
        <w:rPr>
          <w:rStyle w:val="Textoennegrita"/>
          <w:b w:val="0"/>
          <w:i/>
          <w:color w:val="000000"/>
          <w:sz w:val="16"/>
          <w:szCs w:val="16"/>
          <w:shd w:val="clear" w:color="auto" w:fill="FFFFFF"/>
          <w:lang w:val="es-CR"/>
        </w:rPr>
        <w:t>aso Guzmán Albarracín y otros Vs. Ecuador. Convocatoria a audiencia</w:t>
      </w:r>
      <w:r w:rsidRPr="005E7A80">
        <w:rPr>
          <w:rStyle w:val="Textoennegrita"/>
          <w:b w:val="0"/>
          <w:color w:val="000000"/>
          <w:sz w:val="16"/>
          <w:szCs w:val="16"/>
          <w:shd w:val="clear" w:color="auto" w:fill="FFFFFF"/>
          <w:lang w:val="es-CR"/>
        </w:rPr>
        <w:t>. Resolución del Presidente de la Corte Interamericana de Derechos Humanos de 10 de diciembre de 2019, Visto 4 y Considerandos 24 y 27.</w:t>
      </w:r>
    </w:p>
  </w:footnote>
  <w:footnote w:id="5">
    <w:p w14:paraId="4BE74D76" w14:textId="77777777" w:rsidR="00FA3D2B" w:rsidRPr="005E7A80" w:rsidRDefault="00FA3D2B" w:rsidP="002D533C">
      <w:pPr>
        <w:pStyle w:val="Textonotapie"/>
        <w:spacing w:line="216" w:lineRule="auto"/>
        <w:jc w:val="both"/>
        <w:rPr>
          <w:rFonts w:cstheme="minorBidi"/>
          <w:sz w:val="16"/>
          <w:szCs w:val="16"/>
          <w:lang w:val="es-CR"/>
        </w:rPr>
      </w:pPr>
      <w:r w:rsidRPr="005E7A80">
        <w:rPr>
          <w:rStyle w:val="Refdenotaalpie"/>
          <w:sz w:val="16"/>
          <w:szCs w:val="16"/>
        </w:rPr>
        <w:footnoteRef/>
      </w:r>
      <w:r w:rsidRPr="005E7A80">
        <w:rPr>
          <w:sz w:val="16"/>
          <w:szCs w:val="16"/>
          <w:lang w:val="es-CR"/>
        </w:rPr>
        <w:t xml:space="preserve"> El artículo 48 del Reglamento de la Corte se refiere a la recusación de los peritos. Concretamente, su inciso 1.f) señala lo siguiente: “Los peritos podrán ser recusados cuando incurran en alguna de las siguientes causales: f)  haber intervenido con anterioridad, a cualquier título, y en cualquier instancia, nacional o internacional, en relación con la misma causa”. </w:t>
      </w:r>
    </w:p>
  </w:footnote>
  <w:footnote w:id="6">
    <w:p w14:paraId="03938801" w14:textId="77777777" w:rsidR="00FA3D2B" w:rsidRPr="005E7A80" w:rsidRDefault="00FA3D2B" w:rsidP="002D533C">
      <w:pPr>
        <w:pStyle w:val="Textonotapie"/>
        <w:spacing w:line="216" w:lineRule="auto"/>
        <w:jc w:val="both"/>
        <w:rPr>
          <w:rFonts w:asciiTheme="minorHAnsi" w:hAnsiTheme="minorHAnsi"/>
          <w:sz w:val="16"/>
          <w:szCs w:val="16"/>
          <w:lang w:val="es-CR"/>
        </w:rPr>
      </w:pPr>
      <w:r w:rsidRPr="005E7A80">
        <w:rPr>
          <w:rStyle w:val="Refdenotaalpie"/>
          <w:b/>
          <w:sz w:val="16"/>
          <w:szCs w:val="16"/>
        </w:rPr>
        <w:footnoteRef/>
      </w:r>
      <w:r w:rsidRPr="005E7A80">
        <w:rPr>
          <w:b/>
          <w:sz w:val="16"/>
          <w:szCs w:val="16"/>
          <w:lang w:val="es-CR"/>
        </w:rPr>
        <w:t xml:space="preserve"> </w:t>
      </w:r>
      <w:r w:rsidRPr="005E7A80">
        <w:rPr>
          <w:rStyle w:val="Textoennegrita"/>
          <w:b w:val="0"/>
          <w:color w:val="000000"/>
          <w:sz w:val="16"/>
          <w:szCs w:val="16"/>
          <w:shd w:val="clear" w:color="auto" w:fill="FFFFFF"/>
          <w:lang w:val="es-CR"/>
        </w:rPr>
        <w:t xml:space="preserve">Caso </w:t>
      </w:r>
      <w:r w:rsidRPr="005E7A80">
        <w:rPr>
          <w:rStyle w:val="Textoennegrita"/>
          <w:b w:val="0"/>
          <w:i/>
          <w:color w:val="000000"/>
          <w:sz w:val="16"/>
          <w:szCs w:val="16"/>
          <w:shd w:val="clear" w:color="auto" w:fill="FFFFFF"/>
          <w:lang w:val="es-CR"/>
        </w:rPr>
        <w:t>Cabrera García y Montiel Flores Vs. México.</w:t>
      </w:r>
      <w:r w:rsidRPr="005E7A80">
        <w:rPr>
          <w:rStyle w:val="Textoennegrita"/>
          <w:b w:val="0"/>
          <w:color w:val="000000"/>
          <w:sz w:val="16"/>
          <w:szCs w:val="16"/>
          <w:shd w:val="clear" w:color="auto" w:fill="FFFFFF"/>
          <w:lang w:val="es-CR"/>
        </w:rPr>
        <w:t xml:space="preserve"> Resolución de la Corte de 23 de agosto de 2010. Considerando 23, y</w:t>
      </w:r>
      <w:r w:rsidRPr="005E7A80">
        <w:rPr>
          <w:rStyle w:val="Textoennegrita"/>
          <w:color w:val="000000"/>
          <w:sz w:val="16"/>
          <w:szCs w:val="16"/>
          <w:shd w:val="clear" w:color="auto" w:fill="FFFFFF"/>
          <w:lang w:val="es-CR"/>
        </w:rPr>
        <w:t xml:space="preserve"> </w:t>
      </w:r>
      <w:r w:rsidRPr="005E7A80">
        <w:rPr>
          <w:i/>
          <w:sz w:val="16"/>
          <w:szCs w:val="16"/>
          <w:lang w:val="es-CR"/>
        </w:rPr>
        <w:t>C</w:t>
      </w:r>
      <w:r w:rsidRPr="005E7A80">
        <w:rPr>
          <w:rStyle w:val="Textoennegrita"/>
          <w:b w:val="0"/>
          <w:i/>
          <w:color w:val="000000"/>
          <w:sz w:val="16"/>
          <w:szCs w:val="16"/>
          <w:shd w:val="clear" w:color="auto" w:fill="FFFFFF"/>
          <w:lang w:val="es-CR"/>
        </w:rPr>
        <w:t>aso Guzmán Albarracín y otros Vs. Ecuador. Convocatoria a audiencia</w:t>
      </w:r>
      <w:r w:rsidRPr="005E7A80">
        <w:rPr>
          <w:rStyle w:val="Textoennegrita"/>
          <w:b w:val="0"/>
          <w:color w:val="000000"/>
          <w:sz w:val="16"/>
          <w:szCs w:val="16"/>
          <w:shd w:val="clear" w:color="auto" w:fill="FFFFFF"/>
          <w:lang w:val="es-CR"/>
        </w:rPr>
        <w:t>. Resolución del Presidente de la Corte Interamericana de Derechos Humanos de 10 de diciembre de 2019, Considerando 23.</w:t>
      </w:r>
    </w:p>
  </w:footnote>
  <w:footnote w:id="7">
    <w:p w14:paraId="4DD54390" w14:textId="77777777" w:rsidR="00A80A7F" w:rsidRPr="005E7A80" w:rsidRDefault="00A80A7F" w:rsidP="002D533C">
      <w:pPr>
        <w:pStyle w:val="Textonotapie"/>
        <w:spacing w:line="216" w:lineRule="auto"/>
        <w:jc w:val="both"/>
        <w:rPr>
          <w:b/>
          <w:sz w:val="16"/>
          <w:szCs w:val="16"/>
          <w:lang w:val="es-CR"/>
        </w:rPr>
      </w:pPr>
      <w:r w:rsidRPr="005E7A80">
        <w:rPr>
          <w:rStyle w:val="Refdenotaalpie"/>
          <w:b/>
          <w:sz w:val="16"/>
          <w:szCs w:val="16"/>
        </w:rPr>
        <w:footnoteRef/>
      </w:r>
      <w:r w:rsidRPr="005E7A80">
        <w:rPr>
          <w:b/>
          <w:sz w:val="16"/>
          <w:szCs w:val="16"/>
          <w:lang w:val="es-CR"/>
        </w:rPr>
        <w:t xml:space="preserve"> </w:t>
      </w:r>
      <w:r w:rsidRPr="005E7A80">
        <w:rPr>
          <w:rStyle w:val="Textoennegrita"/>
          <w:b w:val="0"/>
          <w:i/>
          <w:color w:val="000000"/>
          <w:sz w:val="16"/>
          <w:szCs w:val="16"/>
          <w:shd w:val="clear" w:color="auto" w:fill="FFFFFF"/>
          <w:lang w:val="es-CR"/>
        </w:rPr>
        <w:t>Caso Cruz Sánchez y otros Vs. Perú. Convocatoria a audiencia.</w:t>
      </w:r>
      <w:r w:rsidRPr="005E7A80">
        <w:rPr>
          <w:rStyle w:val="Textoennegrita"/>
          <w:b w:val="0"/>
          <w:color w:val="000000"/>
          <w:sz w:val="16"/>
          <w:szCs w:val="16"/>
          <w:shd w:val="clear" w:color="auto" w:fill="FFFFFF"/>
          <w:lang w:val="es-CR"/>
        </w:rPr>
        <w:t xml:space="preserve"> Resolución del Presidente en ejercicio de la Corte Interamericana de Derechos Humanos de 19 de diciembre de 2013, Considerando 34. </w:t>
      </w:r>
      <w:r w:rsidRPr="005E7A80">
        <w:rPr>
          <w:b/>
          <w:sz w:val="16"/>
          <w:szCs w:val="16"/>
          <w:lang w:val="es-CR"/>
        </w:rPr>
        <w:t xml:space="preserve">. </w:t>
      </w:r>
    </w:p>
  </w:footnote>
  <w:footnote w:id="8">
    <w:p w14:paraId="098DC3CE" w14:textId="77777777" w:rsidR="00A80A7F" w:rsidRPr="005E7A80" w:rsidRDefault="00A80A7F" w:rsidP="002D533C">
      <w:pPr>
        <w:pStyle w:val="Textonotapie"/>
        <w:spacing w:line="216" w:lineRule="auto"/>
        <w:jc w:val="both"/>
        <w:rPr>
          <w:sz w:val="16"/>
          <w:szCs w:val="16"/>
          <w:lang w:val="es-CR"/>
        </w:rPr>
      </w:pPr>
      <w:r w:rsidRPr="005E7A80">
        <w:rPr>
          <w:rStyle w:val="Refdenotaalpie"/>
          <w:sz w:val="16"/>
          <w:szCs w:val="16"/>
        </w:rPr>
        <w:footnoteRef/>
      </w:r>
      <w:r w:rsidRPr="005E7A80">
        <w:rPr>
          <w:sz w:val="16"/>
          <w:szCs w:val="16"/>
          <w:lang w:val="es-CR"/>
        </w:rPr>
        <w:t xml:space="preserve"> Cfr. </w:t>
      </w:r>
      <w:r w:rsidRPr="005E7A80">
        <w:rPr>
          <w:rStyle w:val="Textoennegrita"/>
          <w:b w:val="0"/>
          <w:i/>
          <w:color w:val="000000"/>
          <w:sz w:val="16"/>
          <w:szCs w:val="16"/>
          <w:shd w:val="clear" w:color="auto" w:fill="FFFFFF"/>
          <w:lang w:val="es-CR"/>
        </w:rPr>
        <w:t>Caso Vásquez Durand y otros Vs. Ecuador.</w:t>
      </w:r>
      <w:r w:rsidRPr="005E7A80">
        <w:rPr>
          <w:rStyle w:val="Textoennegrita"/>
          <w:b w:val="0"/>
          <w:color w:val="000000"/>
          <w:sz w:val="16"/>
          <w:szCs w:val="16"/>
          <w:shd w:val="clear" w:color="auto" w:fill="FFFFFF"/>
          <w:lang w:val="es-CR"/>
        </w:rPr>
        <w:t xml:space="preserve"> Resolución de la Corte Interamericana de Derechos Humanos de 22 de agosto de 2016, Considerando 10.</w:t>
      </w:r>
      <w:r w:rsidRPr="005E7A80">
        <w:rPr>
          <w:rStyle w:val="Textoennegrita"/>
          <w:color w:val="000000"/>
          <w:sz w:val="16"/>
          <w:szCs w:val="16"/>
          <w:shd w:val="clear" w:color="auto" w:fill="FFFFFF"/>
          <w:lang w:val="es-CR"/>
        </w:rPr>
        <w:t xml:space="preserve"> </w:t>
      </w:r>
    </w:p>
  </w:footnote>
  <w:footnote w:id="9">
    <w:p w14:paraId="1E9D7D2C" w14:textId="77777777" w:rsidR="00FA3D2B" w:rsidRPr="002F6B79" w:rsidRDefault="00FA3D2B" w:rsidP="002F6B79">
      <w:pPr>
        <w:pStyle w:val="Prrafodelista"/>
        <w:tabs>
          <w:tab w:val="left" w:pos="540"/>
        </w:tabs>
        <w:spacing w:after="0" w:line="240" w:lineRule="auto"/>
        <w:ind w:left="0" w:right="4"/>
        <w:jc w:val="both"/>
        <w:rPr>
          <w:rFonts w:ascii="Verdana" w:eastAsia="Verdana" w:hAnsi="Verdana"/>
          <w:sz w:val="20"/>
          <w:szCs w:val="20"/>
        </w:rPr>
      </w:pPr>
      <w:r w:rsidRPr="002F6B79">
        <w:rPr>
          <w:rStyle w:val="Refdenotaalpie"/>
          <w:rFonts w:ascii="Verdana" w:hAnsi="Verdana"/>
          <w:b/>
          <w:sz w:val="16"/>
          <w:szCs w:val="16"/>
        </w:rPr>
        <w:footnoteRef/>
      </w:r>
      <w:r w:rsidRPr="002F6B79">
        <w:rPr>
          <w:rFonts w:ascii="Verdana" w:hAnsi="Verdana"/>
          <w:b/>
          <w:sz w:val="16"/>
          <w:szCs w:val="16"/>
        </w:rPr>
        <w:t xml:space="preserve"> </w:t>
      </w:r>
      <w:r w:rsidR="00C06DC8" w:rsidRPr="002F6B79">
        <w:rPr>
          <w:rStyle w:val="Textoennegrita"/>
          <w:rFonts w:ascii="Verdana" w:hAnsi="Verdana"/>
          <w:b w:val="0"/>
          <w:color w:val="000000"/>
          <w:sz w:val="16"/>
          <w:szCs w:val="16"/>
          <w:shd w:val="clear" w:color="auto" w:fill="FFFFFF"/>
        </w:rPr>
        <w:t>Dicha aseveración es una cita de una consideración vertida en una decisión sobre el c</w:t>
      </w:r>
      <w:r w:rsidRPr="002F6B79">
        <w:rPr>
          <w:rStyle w:val="Textoennegrita"/>
          <w:rFonts w:ascii="Verdana" w:hAnsi="Verdana"/>
          <w:b w:val="0"/>
          <w:color w:val="000000"/>
          <w:sz w:val="16"/>
          <w:szCs w:val="16"/>
          <w:shd w:val="clear" w:color="auto" w:fill="FFFFFF"/>
        </w:rPr>
        <w:t xml:space="preserve">aso </w:t>
      </w:r>
      <w:r w:rsidRPr="002F6B79">
        <w:rPr>
          <w:rStyle w:val="Textoennegrita"/>
          <w:rFonts w:ascii="Verdana" w:hAnsi="Verdana"/>
          <w:b w:val="0"/>
          <w:i/>
          <w:color w:val="000000"/>
          <w:sz w:val="16"/>
          <w:szCs w:val="16"/>
          <w:shd w:val="clear" w:color="auto" w:fill="FFFFFF"/>
        </w:rPr>
        <w:t>Cabrera Gar</w:t>
      </w:r>
      <w:r w:rsidR="00C06DC8" w:rsidRPr="002F6B79">
        <w:rPr>
          <w:rStyle w:val="Textoennegrita"/>
          <w:rFonts w:ascii="Verdana" w:hAnsi="Verdana"/>
          <w:b w:val="0"/>
          <w:i/>
          <w:color w:val="000000"/>
          <w:sz w:val="16"/>
          <w:szCs w:val="16"/>
          <w:shd w:val="clear" w:color="auto" w:fill="FFFFFF"/>
        </w:rPr>
        <w:t xml:space="preserve">cía y Montiel Flores Vs. México </w:t>
      </w:r>
      <w:r w:rsidR="00C06DC8" w:rsidRPr="002F6B79">
        <w:rPr>
          <w:rStyle w:val="Textoennegrita"/>
          <w:rFonts w:ascii="Verdana" w:hAnsi="Verdana"/>
          <w:b w:val="0"/>
          <w:color w:val="000000"/>
          <w:sz w:val="16"/>
          <w:szCs w:val="16"/>
          <w:shd w:val="clear" w:color="auto" w:fill="FFFFFF"/>
        </w:rPr>
        <w:t>(</w:t>
      </w:r>
      <w:r w:rsidRPr="002F6B79">
        <w:rPr>
          <w:rStyle w:val="Textoennegrita"/>
          <w:rFonts w:ascii="Verdana" w:hAnsi="Verdana"/>
          <w:b w:val="0"/>
          <w:color w:val="000000"/>
          <w:sz w:val="16"/>
          <w:szCs w:val="16"/>
          <w:shd w:val="clear" w:color="auto" w:fill="FFFFFF"/>
        </w:rPr>
        <w:t>Resolución de la Corte de 23 de agosto de 2010. Considerando 23</w:t>
      </w:r>
      <w:r w:rsidR="002F6B79" w:rsidRPr="002F6B79">
        <w:rPr>
          <w:rStyle w:val="Textoennegrita"/>
          <w:rFonts w:ascii="Verdana" w:hAnsi="Verdana"/>
          <w:b w:val="0"/>
          <w:color w:val="000000"/>
          <w:sz w:val="16"/>
          <w:szCs w:val="16"/>
          <w:shd w:val="clear" w:color="auto" w:fill="FFFFFF"/>
        </w:rPr>
        <w:t>)</w:t>
      </w:r>
      <w:r w:rsidRPr="002F6B79">
        <w:rPr>
          <w:rStyle w:val="Textoennegrita"/>
          <w:rFonts w:ascii="Verdana" w:hAnsi="Verdana"/>
          <w:b w:val="0"/>
          <w:color w:val="000000"/>
          <w:sz w:val="16"/>
          <w:szCs w:val="16"/>
          <w:shd w:val="clear" w:color="auto" w:fill="FFFFFF"/>
        </w:rPr>
        <w:t>.</w:t>
      </w:r>
      <w:r w:rsidR="00C06DC8" w:rsidRPr="002F6B79">
        <w:rPr>
          <w:rFonts w:ascii="Verdana" w:hAnsi="Verdana"/>
          <w:sz w:val="16"/>
          <w:szCs w:val="16"/>
        </w:rPr>
        <w:t xml:space="preserve"> Aunque en la Resolución de 10 de diciembre de 2020 no se refirieron expresamente las circunstancias fácticas de la decisión citada, surge de la Resolución adoptada el 2 de julio de 2010 por el Presidente de la Corte en el caso </w:t>
      </w:r>
      <w:r w:rsidR="00C06DC8" w:rsidRPr="002F6B79">
        <w:rPr>
          <w:rFonts w:ascii="Verdana" w:eastAsia="Verdana" w:hAnsi="Verdana"/>
          <w:i/>
          <w:sz w:val="16"/>
          <w:szCs w:val="16"/>
          <w:lang w:val="es-PE"/>
        </w:rPr>
        <w:t>Cabrera García y Montiel Flores vs. México</w:t>
      </w:r>
      <w:r w:rsidR="00C06DC8" w:rsidRPr="002F6B79">
        <w:rPr>
          <w:rFonts w:ascii="Verdana" w:hAnsi="Verdana"/>
          <w:i/>
          <w:sz w:val="16"/>
          <w:szCs w:val="16"/>
        </w:rPr>
        <w:t xml:space="preserve">, </w:t>
      </w:r>
      <w:r w:rsidR="00C06DC8" w:rsidRPr="002F6B79">
        <w:rPr>
          <w:rFonts w:ascii="Verdana" w:hAnsi="Verdana"/>
          <w:sz w:val="16"/>
          <w:szCs w:val="16"/>
        </w:rPr>
        <w:t xml:space="preserve">como también de la sentencia luego adoptada respecto del mismo, que la situación que motivó la consideración en cuestión se refería a una persona que había emitido un pronunciamiento que fue considerado por tribunales internos. Si bien la decisión en el caso señalado tuvo por base un texto reglamentario distinto al actual, la consideración resulta relevante respecto al presenta caso, en que se analiza la situación de una persona que emitió un pronunciamiento previo en el marco del trámite del caso ante la Comisión. Ello, </w:t>
      </w:r>
      <w:r w:rsidR="002F6B79" w:rsidRPr="002F6B79">
        <w:rPr>
          <w:rFonts w:ascii="Verdana" w:hAnsi="Verdana"/>
          <w:sz w:val="16"/>
          <w:szCs w:val="16"/>
        </w:rPr>
        <w:t>pues</w:t>
      </w:r>
      <w:r w:rsidR="00C06DC8" w:rsidRPr="002F6B79">
        <w:rPr>
          <w:rStyle w:val="Textoennegrita"/>
          <w:rFonts w:ascii="Verdana" w:hAnsi="Verdana"/>
          <w:b w:val="0"/>
          <w:color w:val="000000"/>
          <w:sz w:val="16"/>
          <w:szCs w:val="16"/>
          <w:shd w:val="clear" w:color="auto" w:fill="FFFFFF"/>
        </w:rPr>
        <w:t xml:space="preserve"> tanto la norma reglamentaria pertinente en aquél reglamento como el actual artículo 48.1.a tienen la misma </w:t>
      </w:r>
      <w:r w:rsidR="00C06DC8" w:rsidRPr="002F6B79">
        <w:rPr>
          <w:rStyle w:val="Textoennegrita"/>
          <w:rFonts w:ascii="Verdana" w:hAnsi="Verdana"/>
          <w:b w:val="0"/>
          <w:i/>
          <w:color w:val="000000"/>
          <w:sz w:val="16"/>
          <w:szCs w:val="16"/>
          <w:shd w:val="clear" w:color="auto" w:fill="FFFFFF"/>
        </w:rPr>
        <w:t>ratio legis</w:t>
      </w:r>
      <w:r w:rsidR="00C06DC8" w:rsidRPr="002F6B79">
        <w:rPr>
          <w:rStyle w:val="Textoennegrita"/>
          <w:rFonts w:ascii="Verdana" w:hAnsi="Verdana"/>
          <w:b w:val="0"/>
          <w:color w:val="000000"/>
          <w:sz w:val="16"/>
          <w:szCs w:val="16"/>
          <w:shd w:val="clear" w:color="auto" w:fill="FFFFFF"/>
        </w:rPr>
        <w:t>, que es, como se señaló (</w:t>
      </w:r>
      <w:r w:rsidR="00C06DC8" w:rsidRPr="002F6B79">
        <w:rPr>
          <w:rStyle w:val="Textoennegrita"/>
          <w:rFonts w:ascii="Verdana" w:hAnsi="Verdana"/>
          <w:b w:val="0"/>
          <w:i/>
          <w:color w:val="000000"/>
          <w:sz w:val="16"/>
          <w:szCs w:val="16"/>
          <w:shd w:val="clear" w:color="auto" w:fill="FFFFFF"/>
        </w:rPr>
        <w:t xml:space="preserve">supra </w:t>
      </w:r>
      <w:r w:rsidR="00C06DC8" w:rsidRPr="002F6B79">
        <w:rPr>
          <w:rStyle w:val="Textoennegrita"/>
          <w:rFonts w:ascii="Verdana" w:hAnsi="Verdana"/>
          <w:b w:val="0"/>
          <w:color w:val="000000"/>
          <w:sz w:val="16"/>
          <w:szCs w:val="16"/>
          <w:shd w:val="clear" w:color="auto" w:fill="FFFFFF"/>
        </w:rPr>
        <w:t xml:space="preserve">Considerando </w:t>
      </w:r>
      <w:r w:rsidR="00420221">
        <w:rPr>
          <w:rStyle w:val="Textoennegrita"/>
          <w:rFonts w:ascii="Verdana" w:hAnsi="Verdana"/>
          <w:b w:val="0"/>
          <w:color w:val="000000"/>
          <w:sz w:val="16"/>
          <w:szCs w:val="16"/>
          <w:shd w:val="clear" w:color="auto" w:fill="FFFFFF"/>
        </w:rPr>
        <w:t>13</w:t>
      </w:r>
      <w:r w:rsidR="00C06DC8" w:rsidRPr="002F6B79">
        <w:rPr>
          <w:rStyle w:val="Textoennegrita"/>
          <w:rFonts w:ascii="Verdana" w:hAnsi="Verdana"/>
          <w:b w:val="0"/>
          <w:color w:val="000000"/>
          <w:sz w:val="16"/>
          <w:szCs w:val="16"/>
          <w:shd w:val="clear" w:color="auto" w:fill="FFFFFF"/>
        </w:rPr>
        <w:t>) preservar la objetividad de la declaración pericial. (</w:t>
      </w:r>
      <w:r w:rsidR="00C06DC8" w:rsidRPr="002F6B79">
        <w:rPr>
          <w:rStyle w:val="Textoennegrita"/>
          <w:rFonts w:ascii="Verdana" w:hAnsi="Verdana"/>
          <w:b w:val="0"/>
          <w:i/>
          <w:color w:val="000000"/>
          <w:sz w:val="16"/>
          <w:szCs w:val="16"/>
          <w:shd w:val="clear" w:color="auto" w:fill="FFFFFF"/>
        </w:rPr>
        <w:t>Cfr. Caso Cabrera García y Montiel Flores Vs. México. Convocatoria a audiencia.</w:t>
      </w:r>
      <w:r w:rsidR="00C06DC8" w:rsidRPr="002F6B79">
        <w:rPr>
          <w:rStyle w:val="Textoennegrita"/>
          <w:rFonts w:ascii="Verdana" w:hAnsi="Verdana"/>
          <w:b w:val="0"/>
          <w:color w:val="000000"/>
          <w:sz w:val="16"/>
          <w:szCs w:val="16"/>
          <w:shd w:val="clear" w:color="auto" w:fill="FFFFFF"/>
        </w:rPr>
        <w:t xml:space="preserve"> Resolución del Presidente de la Corte Interamericana de Derechos Humanos de 2 de julio de 2010, Considerando 37 y </w:t>
      </w:r>
      <w:r w:rsidR="00C06DC8" w:rsidRPr="002F6B79">
        <w:rPr>
          <w:rStyle w:val="Textoennegrita"/>
          <w:rFonts w:ascii="Verdana" w:hAnsi="Verdana"/>
          <w:b w:val="0"/>
          <w:i/>
          <w:color w:val="000000"/>
          <w:sz w:val="16"/>
          <w:szCs w:val="16"/>
          <w:shd w:val="clear" w:color="auto" w:fill="FFFFFF"/>
        </w:rPr>
        <w:t>Caso Cabrera García y Montiel Flores Vs. México. Excepción Preliminar, Fondo, Reparaciones y Costas.</w:t>
      </w:r>
      <w:r w:rsidR="00C06DC8" w:rsidRPr="002F6B79">
        <w:rPr>
          <w:rStyle w:val="Textoennegrita"/>
          <w:rFonts w:ascii="Verdana" w:hAnsi="Verdana"/>
          <w:b w:val="0"/>
          <w:color w:val="000000"/>
          <w:sz w:val="16"/>
          <w:szCs w:val="16"/>
          <w:shd w:val="clear" w:color="auto" w:fill="FFFFFF"/>
        </w:rPr>
        <w:t xml:space="preserve"> Sentencia de 26 de noviembre de 2010. Serie C No. 220, párrafos 44, 71, 121 y 122.).</w:t>
      </w:r>
    </w:p>
  </w:footnote>
  <w:footnote w:id="10">
    <w:p w14:paraId="1AD7B177" w14:textId="77777777" w:rsidR="00FA3D2B" w:rsidRPr="00247AFD" w:rsidRDefault="00FA3D2B" w:rsidP="002D533C">
      <w:pPr>
        <w:pStyle w:val="Textonotapie"/>
        <w:tabs>
          <w:tab w:val="left" w:pos="567"/>
        </w:tabs>
        <w:spacing w:line="216" w:lineRule="auto"/>
        <w:jc w:val="both"/>
        <w:rPr>
          <w:sz w:val="16"/>
          <w:szCs w:val="16"/>
          <w:lang w:val="es-PE"/>
        </w:rPr>
      </w:pPr>
      <w:r w:rsidRPr="005E7A80">
        <w:rPr>
          <w:rStyle w:val="Refdenotaalpie"/>
          <w:sz w:val="16"/>
          <w:szCs w:val="16"/>
        </w:rPr>
        <w:footnoteRef/>
      </w:r>
      <w:r w:rsidRPr="005E7A80">
        <w:rPr>
          <w:sz w:val="16"/>
          <w:szCs w:val="16"/>
          <w:lang w:val="es-PE"/>
        </w:rPr>
        <w:t xml:space="preserve"> </w:t>
      </w:r>
      <w:r w:rsidRPr="005E7A80">
        <w:rPr>
          <w:i/>
          <w:sz w:val="16"/>
          <w:szCs w:val="16"/>
          <w:lang w:val="es-PE"/>
        </w:rPr>
        <w:t>Cfr.</w:t>
      </w:r>
      <w:r w:rsidRPr="005E7A80">
        <w:rPr>
          <w:sz w:val="16"/>
          <w:szCs w:val="16"/>
          <w:lang w:val="es-PE"/>
        </w:rPr>
        <w:t xml:space="preserve"> </w:t>
      </w:r>
      <w:r w:rsidRPr="005E7A80">
        <w:rPr>
          <w:i/>
          <w:sz w:val="16"/>
          <w:szCs w:val="16"/>
          <w:lang w:val="es-PE"/>
        </w:rPr>
        <w:t>Caso Blanco Romero y otros Vs. Venezuela</w:t>
      </w:r>
      <w:r w:rsidRPr="005E7A80">
        <w:rPr>
          <w:sz w:val="16"/>
          <w:szCs w:val="16"/>
          <w:lang w:val="es-PE"/>
        </w:rPr>
        <w:t xml:space="preserve">, Resolución del Presidente de la Corte Interamericana de Derechos Humanos de 25 de mayo de 2005, Considerandos 11 y 12, y </w:t>
      </w:r>
      <w:r w:rsidRPr="005E7A80">
        <w:rPr>
          <w:i/>
          <w:sz w:val="16"/>
          <w:szCs w:val="16"/>
          <w:lang w:val="es-PE"/>
        </w:rPr>
        <w:t>Caso Alvarado Espinoza y otros Vs. México</w:t>
      </w:r>
      <w:r w:rsidRPr="005E7A80">
        <w:rPr>
          <w:sz w:val="16"/>
          <w:szCs w:val="16"/>
          <w:lang w:val="es-PE"/>
        </w:rPr>
        <w:t>, Resolución de la Corte Interamericana de Derechos Humanos de 23 de abril de 2018, Considerando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45AD" w14:textId="77777777" w:rsidR="00FA3D2B" w:rsidRDefault="00FA3D2B" w:rsidP="00FA3D2B">
    <w:pPr>
      <w:pStyle w:val="Encabezado"/>
      <w:tabs>
        <w:tab w:val="clear" w:pos="4680"/>
        <w:tab w:val="center" w:pos="4536"/>
        <w:tab w:val="center" w:pos="4702"/>
        <w:tab w:val="left" w:pos="5610"/>
      </w:tabs>
    </w:pPr>
    <w:r>
      <w:tab/>
    </w:r>
  </w:p>
  <w:p w14:paraId="467EE001" w14:textId="77777777" w:rsidR="00FA3D2B" w:rsidRDefault="00FA3D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4F9"/>
    <w:multiLevelType w:val="hybridMultilevel"/>
    <w:tmpl w:val="52CCCFF2"/>
    <w:lvl w:ilvl="0" w:tplc="347CFBE4">
      <w:start w:val="1"/>
      <w:numFmt w:val="decimal"/>
      <w:lvlText w:val="%1."/>
      <w:lvlJc w:val="left"/>
      <w:pPr>
        <w:ind w:left="720" w:hanging="360"/>
      </w:pPr>
      <w:rPr>
        <w:rFonts w:hint="default"/>
        <w:lang w:val="es-P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B62B5E"/>
    <w:multiLevelType w:val="hybridMultilevel"/>
    <w:tmpl w:val="22D47EE2"/>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DF69B4"/>
    <w:multiLevelType w:val="hybridMultilevel"/>
    <w:tmpl w:val="C5DC11D0"/>
    <w:lvl w:ilvl="0" w:tplc="C8E2039C">
      <w:start w:val="1"/>
      <w:numFmt w:val="upperLetter"/>
      <w:lvlText w:val="%1)"/>
      <w:lvlJc w:val="left"/>
      <w:pPr>
        <w:ind w:left="81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FC1C63"/>
    <w:multiLevelType w:val="hybridMultilevel"/>
    <w:tmpl w:val="59C410AA"/>
    <w:lvl w:ilvl="0" w:tplc="3AC88DAA">
      <w:start w:val="1"/>
      <w:numFmt w:val="upp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 w15:restartNumberingAfterBreak="0">
    <w:nsid w:val="3E4E7652"/>
    <w:multiLevelType w:val="hybridMultilevel"/>
    <w:tmpl w:val="A5C4CCEC"/>
    <w:lvl w:ilvl="0" w:tplc="1A9E80C4">
      <w:start w:val="1"/>
      <w:numFmt w:val="decimal"/>
      <w:lvlText w:val="%1."/>
      <w:lvlJc w:val="left"/>
      <w:pPr>
        <w:ind w:left="786" w:hanging="360"/>
      </w:pPr>
      <w:rPr>
        <w:rFonts w:ascii="Verdana" w:hAnsi="Verdana" w:cs="Times New Roman" w:hint="default"/>
        <w:b w:val="0"/>
        <w:i w:val="0"/>
        <w:color w:val="auto"/>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EE4C21"/>
    <w:multiLevelType w:val="hybridMultilevel"/>
    <w:tmpl w:val="118C6A78"/>
    <w:lvl w:ilvl="0" w:tplc="1136B94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71950"/>
    <w:multiLevelType w:val="hybridMultilevel"/>
    <w:tmpl w:val="AF98020E"/>
    <w:lvl w:ilvl="0" w:tplc="228C9D14">
      <w:start w:val="2"/>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FE23EA0"/>
    <w:multiLevelType w:val="hybridMultilevel"/>
    <w:tmpl w:val="CB66C4D0"/>
    <w:lvl w:ilvl="0" w:tplc="170A1FDE">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4C8295A"/>
    <w:multiLevelType w:val="hybridMultilevel"/>
    <w:tmpl w:val="AB823120"/>
    <w:lvl w:ilvl="0" w:tplc="F3AA6FAC">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64109B4"/>
    <w:multiLevelType w:val="hybridMultilevel"/>
    <w:tmpl w:val="D326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A6F5C"/>
    <w:multiLevelType w:val="hybridMultilevel"/>
    <w:tmpl w:val="F7425406"/>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FA4A8440">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4"/>
  </w:num>
  <w:num w:numId="4">
    <w:abstractNumId w:val="8"/>
  </w:num>
  <w:num w:numId="5">
    <w:abstractNumId w:val="7"/>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lvlOverride w:ilvl="0">
      <w:startOverride w:val="2"/>
    </w:lvlOverride>
  </w:num>
  <w:num w:numId="10">
    <w:abstractNumId w:val="6"/>
  </w:num>
  <w:num w:numId="11">
    <w:abstractNumId w:val="0"/>
  </w:num>
  <w:num w:numId="12">
    <w:abstractNumId w:val="3"/>
  </w:num>
  <w:num w:numId="1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70"/>
    <w:rsid w:val="00006F04"/>
    <w:rsid w:val="00010587"/>
    <w:rsid w:val="00035DF8"/>
    <w:rsid w:val="00077ABF"/>
    <w:rsid w:val="000953E8"/>
    <w:rsid w:val="000B539A"/>
    <w:rsid w:val="000B62F7"/>
    <w:rsid w:val="000C4E88"/>
    <w:rsid w:val="000F0F48"/>
    <w:rsid w:val="001279E0"/>
    <w:rsid w:val="0017003C"/>
    <w:rsid w:val="00193E9D"/>
    <w:rsid w:val="001C2847"/>
    <w:rsid w:val="00203A17"/>
    <w:rsid w:val="002130DD"/>
    <w:rsid w:val="0027507D"/>
    <w:rsid w:val="00287F6B"/>
    <w:rsid w:val="00297A54"/>
    <w:rsid w:val="002D533C"/>
    <w:rsid w:val="002E0033"/>
    <w:rsid w:val="002F6B79"/>
    <w:rsid w:val="002F7F58"/>
    <w:rsid w:val="003149D1"/>
    <w:rsid w:val="00320B90"/>
    <w:rsid w:val="00343FAA"/>
    <w:rsid w:val="00346A86"/>
    <w:rsid w:val="003771B4"/>
    <w:rsid w:val="003B0817"/>
    <w:rsid w:val="003B781D"/>
    <w:rsid w:val="003E1069"/>
    <w:rsid w:val="00420221"/>
    <w:rsid w:val="00442F34"/>
    <w:rsid w:val="00465AC0"/>
    <w:rsid w:val="00484711"/>
    <w:rsid w:val="00486356"/>
    <w:rsid w:val="00497702"/>
    <w:rsid w:val="004E626A"/>
    <w:rsid w:val="00514699"/>
    <w:rsid w:val="00577996"/>
    <w:rsid w:val="005947FE"/>
    <w:rsid w:val="005E7A80"/>
    <w:rsid w:val="00613E44"/>
    <w:rsid w:val="00663210"/>
    <w:rsid w:val="00674F0E"/>
    <w:rsid w:val="0069133E"/>
    <w:rsid w:val="00694276"/>
    <w:rsid w:val="006D3B70"/>
    <w:rsid w:val="007469DC"/>
    <w:rsid w:val="0075066C"/>
    <w:rsid w:val="00772DA2"/>
    <w:rsid w:val="007820CB"/>
    <w:rsid w:val="007C02F7"/>
    <w:rsid w:val="00835E09"/>
    <w:rsid w:val="008614AA"/>
    <w:rsid w:val="00886268"/>
    <w:rsid w:val="008D6AC9"/>
    <w:rsid w:val="00995587"/>
    <w:rsid w:val="009B251E"/>
    <w:rsid w:val="009B4708"/>
    <w:rsid w:val="009C20DE"/>
    <w:rsid w:val="00A34979"/>
    <w:rsid w:val="00A41758"/>
    <w:rsid w:val="00A56328"/>
    <w:rsid w:val="00A80A7F"/>
    <w:rsid w:val="00AD3FA4"/>
    <w:rsid w:val="00B40323"/>
    <w:rsid w:val="00B45D2D"/>
    <w:rsid w:val="00B563DD"/>
    <w:rsid w:val="00C06DC8"/>
    <w:rsid w:val="00C50573"/>
    <w:rsid w:val="00CE6B6D"/>
    <w:rsid w:val="00D928B1"/>
    <w:rsid w:val="00DA5D1B"/>
    <w:rsid w:val="00DB344E"/>
    <w:rsid w:val="00E410BE"/>
    <w:rsid w:val="00EE7B88"/>
    <w:rsid w:val="00F02120"/>
    <w:rsid w:val="00FA3D2B"/>
    <w:rsid w:val="00FC2834"/>
    <w:rsid w:val="00FE0A19"/>
    <w:rsid w:val="00FE5155"/>
    <w:rsid w:val="00FF3BED"/>
    <w:rsid w:val="00FF5DC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69CC"/>
  <w15:chartTrackingRefBased/>
  <w15:docId w15:val="{EB75030E-034A-4BD2-8957-6871782E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B70"/>
    <w:pPr>
      <w:spacing w:after="0" w:line="240" w:lineRule="auto"/>
    </w:pPr>
    <w:rPr>
      <w:rFonts w:ascii="Verdana" w:eastAsia="Times New Roman" w:hAnsi="Verdana"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ft"/>
    <w:basedOn w:val="Normal"/>
    <w:link w:val="TextonotapieCar1"/>
    <w:qFormat/>
    <w:rsid w:val="006D3B70"/>
  </w:style>
  <w:style w:type="character" w:customStyle="1" w:styleId="TextonotapieCar">
    <w:name w:val="Texto nota pie Car"/>
    <w:basedOn w:val="Fuentedeprrafopredeter"/>
    <w:uiPriority w:val="99"/>
    <w:semiHidden/>
    <w:rsid w:val="006D3B70"/>
    <w:rPr>
      <w:rFonts w:ascii="Verdana" w:eastAsia="Times New Roman" w:hAnsi="Verdana" w:cs="Times New Roman"/>
      <w:sz w:val="20"/>
      <w:szCs w:val="20"/>
      <w:lang w:val="en-U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ink w:val="Textonotapie"/>
    <w:qFormat/>
    <w:rsid w:val="006D3B70"/>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6D3B70"/>
    <w:rPr>
      <w:vertAlign w:val="superscript"/>
    </w:rPr>
  </w:style>
  <w:style w:type="paragraph" w:customStyle="1" w:styleId="Numberedparagraphs">
    <w:name w:val="Numbered paragraphs"/>
    <w:basedOn w:val="Normal"/>
    <w:link w:val="NumberedparagraphsCar"/>
    <w:qFormat/>
    <w:rsid w:val="006D3B70"/>
    <w:pPr>
      <w:numPr>
        <w:numId w:val="1"/>
      </w:numPr>
      <w:jc w:val="both"/>
    </w:pPr>
    <w:rPr>
      <w:rFonts w:eastAsia="MS Mincho"/>
      <w:color w:val="000000"/>
      <w:lang w:val="es-ES_tradnl"/>
    </w:rPr>
  </w:style>
  <w:style w:type="paragraph" w:styleId="Prrafodelista">
    <w:name w:val="List Paragraph"/>
    <w:aliases w:val="Párrafo de lista1,List Paragraph2,Lista vistosa - Énfasis 11,List Paragraph11,List Paragraph1,Footnote"/>
    <w:basedOn w:val="Normal"/>
    <w:link w:val="PrrafodelistaCar"/>
    <w:uiPriority w:val="34"/>
    <w:qFormat/>
    <w:rsid w:val="006D3B70"/>
    <w:pPr>
      <w:spacing w:after="200" w:line="276" w:lineRule="auto"/>
      <w:ind w:left="720"/>
      <w:contextualSpacing/>
    </w:pPr>
    <w:rPr>
      <w:rFonts w:ascii="Calibri" w:eastAsia="Calibri" w:hAnsi="Calibri"/>
      <w:sz w:val="22"/>
      <w:szCs w:val="22"/>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D3B70"/>
    <w:pPr>
      <w:jc w:val="both"/>
    </w:pPr>
    <w:rPr>
      <w:rFonts w:asciiTheme="minorHAnsi" w:eastAsiaTheme="minorHAnsi" w:hAnsiTheme="minorHAnsi" w:cstheme="minorBidi"/>
      <w:sz w:val="22"/>
      <w:szCs w:val="22"/>
      <w:vertAlign w:val="superscript"/>
      <w:lang w:val="es-CR"/>
    </w:rPr>
  </w:style>
  <w:style w:type="paragraph" w:customStyle="1" w:styleId="PrrafodeSentencia">
    <w:name w:val="*. Párrafo de Sentencia"/>
    <w:basedOn w:val="Numberedparagraphs"/>
    <w:link w:val="PrrafodeSentenciaChar"/>
    <w:qFormat/>
    <w:rsid w:val="006D3B70"/>
    <w:pPr>
      <w:tabs>
        <w:tab w:val="clear" w:pos="720"/>
        <w:tab w:val="left" w:pos="567"/>
      </w:tabs>
    </w:pPr>
  </w:style>
  <w:style w:type="character" w:customStyle="1" w:styleId="PrrafodeSentenciaChar">
    <w:name w:val="*. Párrafo de Sentencia Char"/>
    <w:link w:val="PrrafodeSentencia"/>
    <w:rsid w:val="006D3B70"/>
    <w:rPr>
      <w:rFonts w:ascii="Verdana" w:eastAsia="MS Mincho" w:hAnsi="Verdana" w:cs="Times New Roman"/>
      <w:color w:val="000000"/>
      <w:sz w:val="20"/>
      <w:szCs w:val="20"/>
      <w:lang w:val="es-ES_tradnl"/>
    </w:rPr>
  </w:style>
  <w:style w:type="character" w:customStyle="1" w:styleId="NumberedparagraphsCar">
    <w:name w:val="Numbered paragraphs Car"/>
    <w:basedOn w:val="Fuentedeprrafopredeter"/>
    <w:link w:val="Numberedparagraphs"/>
    <w:rsid w:val="006D3B70"/>
    <w:rPr>
      <w:rFonts w:ascii="Verdana" w:eastAsia="MS Mincho" w:hAnsi="Verdana" w:cs="Times New Roman"/>
      <w:color w:val="000000"/>
      <w:sz w:val="20"/>
      <w:szCs w:val="20"/>
      <w:lang w:val="es-ES_tradnl"/>
    </w:rPr>
  </w:style>
  <w:style w:type="character" w:customStyle="1" w:styleId="PrrafodelistaCar">
    <w:name w:val="Párrafo de lista Car"/>
    <w:aliases w:val="Párrafo de lista1 Car,List Paragraph2 Car,Lista vistosa - Énfasis 11 Car,List Paragraph11 Car,List Paragraph1 Car,Footnote Car"/>
    <w:basedOn w:val="Fuentedeprrafopredeter"/>
    <w:link w:val="Prrafodelista"/>
    <w:uiPriority w:val="34"/>
    <w:locked/>
    <w:rsid w:val="006D3B70"/>
    <w:rPr>
      <w:rFonts w:ascii="Calibri" w:eastAsia="Calibri" w:hAnsi="Calibri" w:cs="Times New Roman"/>
    </w:rPr>
  </w:style>
  <w:style w:type="paragraph" w:styleId="Encabezado">
    <w:name w:val="header"/>
    <w:basedOn w:val="Normal"/>
    <w:link w:val="EncabezadoCar"/>
    <w:uiPriority w:val="99"/>
    <w:unhideWhenUsed/>
    <w:rsid w:val="006D3B70"/>
    <w:pPr>
      <w:tabs>
        <w:tab w:val="center" w:pos="4680"/>
        <w:tab w:val="right" w:pos="9360"/>
      </w:tabs>
    </w:pPr>
  </w:style>
  <w:style w:type="character" w:customStyle="1" w:styleId="EncabezadoCar">
    <w:name w:val="Encabezado Car"/>
    <w:basedOn w:val="Fuentedeprrafopredeter"/>
    <w:link w:val="Encabezado"/>
    <w:uiPriority w:val="99"/>
    <w:rsid w:val="006D3B70"/>
    <w:rPr>
      <w:rFonts w:ascii="Verdana" w:eastAsia="Times New Roman" w:hAnsi="Verdana" w:cs="Times New Roman"/>
      <w:sz w:val="20"/>
      <w:szCs w:val="20"/>
      <w:lang w:val="en-US"/>
    </w:rPr>
  </w:style>
  <w:style w:type="paragraph" w:styleId="Piedepgina">
    <w:name w:val="footer"/>
    <w:basedOn w:val="Normal"/>
    <w:link w:val="PiedepginaCar"/>
    <w:uiPriority w:val="99"/>
    <w:unhideWhenUsed/>
    <w:rsid w:val="006D3B70"/>
    <w:pPr>
      <w:tabs>
        <w:tab w:val="center" w:pos="4680"/>
        <w:tab w:val="right" w:pos="9360"/>
      </w:tabs>
    </w:pPr>
  </w:style>
  <w:style w:type="character" w:customStyle="1" w:styleId="PiedepginaCar">
    <w:name w:val="Pie de página Car"/>
    <w:basedOn w:val="Fuentedeprrafopredeter"/>
    <w:link w:val="Piedepgina"/>
    <w:uiPriority w:val="99"/>
    <w:rsid w:val="006D3B70"/>
    <w:rPr>
      <w:rFonts w:ascii="Verdana" w:eastAsia="Times New Roman" w:hAnsi="Verdana" w:cs="Times New Roman"/>
      <w:sz w:val="20"/>
      <w:szCs w:val="20"/>
      <w:lang w:val="en-US"/>
    </w:rPr>
  </w:style>
  <w:style w:type="paragraph" w:styleId="Ttulo">
    <w:name w:val="Title"/>
    <w:basedOn w:val="Normal"/>
    <w:next w:val="Normal"/>
    <w:link w:val="TtuloCar"/>
    <w:qFormat/>
    <w:rsid w:val="006D3B70"/>
    <w:pPr>
      <w:jc w:val="center"/>
    </w:pPr>
    <w:rPr>
      <w:rFonts w:eastAsiaTheme="minorHAnsi" w:cstheme="minorBidi"/>
      <w:b/>
      <w:szCs w:val="22"/>
    </w:rPr>
  </w:style>
  <w:style w:type="character" w:customStyle="1" w:styleId="TtuloCar">
    <w:name w:val="Título Car"/>
    <w:basedOn w:val="Fuentedeprrafopredeter"/>
    <w:link w:val="Ttulo"/>
    <w:rsid w:val="006D3B70"/>
    <w:rPr>
      <w:rFonts w:ascii="Verdana" w:hAnsi="Verdana"/>
      <w:b/>
      <w:sz w:val="20"/>
      <w:lang w:val="en-US"/>
    </w:rPr>
  </w:style>
  <w:style w:type="character" w:styleId="Textoennegrita">
    <w:name w:val="Strong"/>
    <w:basedOn w:val="Fuentedeprrafopredeter"/>
    <w:uiPriority w:val="22"/>
    <w:qFormat/>
    <w:rsid w:val="00A41758"/>
    <w:rPr>
      <w:b/>
      <w:bCs/>
    </w:rPr>
  </w:style>
  <w:style w:type="character" w:styleId="Nmerodelnea">
    <w:name w:val="line number"/>
    <w:basedOn w:val="Fuentedeprrafopredeter"/>
    <w:uiPriority w:val="99"/>
    <w:semiHidden/>
    <w:unhideWhenUsed/>
    <w:rsid w:val="00B40323"/>
  </w:style>
  <w:style w:type="paragraph" w:styleId="Textodeglobo">
    <w:name w:val="Balloon Text"/>
    <w:basedOn w:val="Normal"/>
    <w:link w:val="TextodegloboCar"/>
    <w:uiPriority w:val="99"/>
    <w:semiHidden/>
    <w:unhideWhenUsed/>
    <w:rsid w:val="00287F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F6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875">
      <w:bodyDiv w:val="1"/>
      <w:marLeft w:val="0"/>
      <w:marRight w:val="0"/>
      <w:marTop w:val="0"/>
      <w:marBottom w:val="0"/>
      <w:divBdr>
        <w:top w:val="none" w:sz="0" w:space="0" w:color="auto"/>
        <w:left w:val="none" w:sz="0" w:space="0" w:color="auto"/>
        <w:bottom w:val="none" w:sz="0" w:space="0" w:color="auto"/>
        <w:right w:val="none" w:sz="0" w:space="0" w:color="auto"/>
      </w:divBdr>
    </w:div>
    <w:div w:id="938178355">
      <w:bodyDiv w:val="1"/>
      <w:marLeft w:val="0"/>
      <w:marRight w:val="0"/>
      <w:marTop w:val="0"/>
      <w:marBottom w:val="0"/>
      <w:divBdr>
        <w:top w:val="none" w:sz="0" w:space="0" w:color="auto"/>
        <w:left w:val="none" w:sz="0" w:space="0" w:color="auto"/>
        <w:bottom w:val="none" w:sz="0" w:space="0" w:color="auto"/>
        <w:right w:val="none" w:sz="0" w:space="0" w:color="auto"/>
      </w:divBdr>
    </w:div>
    <w:div w:id="1041634257">
      <w:bodyDiv w:val="1"/>
      <w:marLeft w:val="0"/>
      <w:marRight w:val="0"/>
      <w:marTop w:val="0"/>
      <w:marBottom w:val="0"/>
      <w:divBdr>
        <w:top w:val="none" w:sz="0" w:space="0" w:color="auto"/>
        <w:left w:val="none" w:sz="0" w:space="0" w:color="auto"/>
        <w:bottom w:val="none" w:sz="0" w:space="0" w:color="auto"/>
        <w:right w:val="none" w:sz="0" w:space="0" w:color="auto"/>
      </w:divBdr>
    </w:div>
    <w:div w:id="1787456793">
      <w:bodyDiv w:val="1"/>
      <w:marLeft w:val="0"/>
      <w:marRight w:val="0"/>
      <w:marTop w:val="0"/>
      <w:marBottom w:val="0"/>
      <w:divBdr>
        <w:top w:val="none" w:sz="0" w:space="0" w:color="auto"/>
        <w:left w:val="none" w:sz="0" w:space="0" w:color="auto"/>
        <w:bottom w:val="none" w:sz="0" w:space="0" w:color="auto"/>
        <w:right w:val="none" w:sz="0" w:space="0" w:color="auto"/>
      </w:divBdr>
    </w:div>
    <w:div w:id="19569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698F-8718-4438-9A30-55E0490B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2695</Words>
  <Characters>14827</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cp:lastPrinted>2020-01-27T21:16:00Z</cp:lastPrinted>
  <dcterms:created xsi:type="dcterms:W3CDTF">2020-01-27T23:05:00Z</dcterms:created>
  <dcterms:modified xsi:type="dcterms:W3CDTF">2020-01-27T23:05:00Z</dcterms:modified>
</cp:coreProperties>
</file>