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923D7" w14:textId="77777777" w:rsidR="000919E2" w:rsidRDefault="000919E2" w:rsidP="00BF3A44">
      <w:pPr>
        <w:spacing w:after="0" w:line="216" w:lineRule="auto"/>
        <w:jc w:val="center"/>
        <w:rPr>
          <w:rFonts w:ascii="Verdana" w:hAnsi="Verdana"/>
          <w:b/>
          <w:sz w:val="20"/>
          <w:szCs w:val="20"/>
          <w:lang w:val="es-CR"/>
        </w:rPr>
      </w:pPr>
    </w:p>
    <w:p w14:paraId="7C60A93F" w14:textId="77777777" w:rsidR="000919E2" w:rsidRDefault="000919E2" w:rsidP="00BF3A44">
      <w:pPr>
        <w:spacing w:after="0" w:line="216" w:lineRule="auto"/>
        <w:jc w:val="center"/>
        <w:rPr>
          <w:rFonts w:ascii="Verdana" w:hAnsi="Verdana"/>
          <w:b/>
          <w:sz w:val="20"/>
          <w:szCs w:val="20"/>
          <w:lang w:val="es-CR"/>
        </w:rPr>
      </w:pPr>
    </w:p>
    <w:p w14:paraId="2349D44C" w14:textId="77777777" w:rsidR="000919E2" w:rsidRDefault="000919E2" w:rsidP="00BF3A44">
      <w:pPr>
        <w:spacing w:after="0" w:line="216" w:lineRule="auto"/>
        <w:jc w:val="center"/>
        <w:rPr>
          <w:rFonts w:ascii="Verdana" w:hAnsi="Verdana"/>
          <w:b/>
          <w:sz w:val="20"/>
          <w:szCs w:val="20"/>
          <w:lang w:val="es-CR"/>
        </w:rPr>
      </w:pPr>
    </w:p>
    <w:p w14:paraId="62621C22" w14:textId="77777777" w:rsidR="000919E2" w:rsidRDefault="000919E2" w:rsidP="00BF3A44">
      <w:pPr>
        <w:spacing w:after="0" w:line="216" w:lineRule="auto"/>
        <w:jc w:val="center"/>
        <w:rPr>
          <w:rFonts w:ascii="Verdana" w:hAnsi="Verdana"/>
          <w:b/>
          <w:sz w:val="20"/>
          <w:szCs w:val="20"/>
          <w:lang w:val="es-CR"/>
        </w:rPr>
      </w:pPr>
    </w:p>
    <w:p w14:paraId="68DE2ADA" w14:textId="77777777" w:rsidR="000919E2" w:rsidRDefault="000919E2" w:rsidP="00BF3A44">
      <w:pPr>
        <w:spacing w:after="0" w:line="216" w:lineRule="auto"/>
        <w:jc w:val="center"/>
        <w:rPr>
          <w:rFonts w:ascii="Verdana" w:hAnsi="Verdana"/>
          <w:b/>
          <w:sz w:val="20"/>
          <w:szCs w:val="20"/>
          <w:lang w:val="es-CR"/>
        </w:rPr>
      </w:pPr>
    </w:p>
    <w:p w14:paraId="2E1ED99E" w14:textId="77777777" w:rsidR="000919E2" w:rsidRDefault="000919E2" w:rsidP="00BF3A44">
      <w:pPr>
        <w:spacing w:after="0" w:line="216" w:lineRule="auto"/>
        <w:jc w:val="center"/>
        <w:rPr>
          <w:rFonts w:ascii="Verdana" w:hAnsi="Verdana"/>
          <w:b/>
          <w:sz w:val="20"/>
          <w:szCs w:val="20"/>
          <w:lang w:val="es-CR"/>
        </w:rPr>
      </w:pPr>
    </w:p>
    <w:p w14:paraId="708F55DE" w14:textId="77777777" w:rsidR="000919E2" w:rsidRDefault="000919E2" w:rsidP="00BF3A44">
      <w:pPr>
        <w:spacing w:after="0" w:line="216" w:lineRule="auto"/>
        <w:jc w:val="center"/>
        <w:rPr>
          <w:rFonts w:ascii="Verdana" w:hAnsi="Verdana"/>
          <w:b/>
          <w:sz w:val="20"/>
          <w:szCs w:val="20"/>
          <w:lang w:val="es-CR"/>
        </w:rPr>
      </w:pPr>
    </w:p>
    <w:p w14:paraId="7A636F74" w14:textId="77777777" w:rsidR="005223E7" w:rsidRPr="002910C6" w:rsidRDefault="005223E7" w:rsidP="00BF3A44">
      <w:pPr>
        <w:spacing w:after="0" w:line="216" w:lineRule="auto"/>
        <w:jc w:val="center"/>
        <w:rPr>
          <w:rFonts w:ascii="Verdana" w:hAnsi="Verdana"/>
          <w:b/>
          <w:sz w:val="20"/>
          <w:szCs w:val="20"/>
          <w:lang w:val="es-CR"/>
        </w:rPr>
      </w:pPr>
      <w:r w:rsidRPr="002910C6">
        <w:rPr>
          <w:rFonts w:ascii="Verdana" w:hAnsi="Verdana"/>
          <w:b/>
          <w:sz w:val="20"/>
          <w:szCs w:val="20"/>
          <w:lang w:val="es-CR"/>
        </w:rPr>
        <w:t>RESOLUCIÓN DEL PRESIDENTE DE LA</w:t>
      </w:r>
    </w:p>
    <w:p w14:paraId="53B7B38B" w14:textId="77777777" w:rsidR="00A85D83" w:rsidRPr="002910C6" w:rsidRDefault="005223E7" w:rsidP="00BF3A44">
      <w:pPr>
        <w:spacing w:after="0" w:line="216" w:lineRule="auto"/>
        <w:jc w:val="center"/>
        <w:rPr>
          <w:rFonts w:ascii="Verdana" w:hAnsi="Verdana"/>
          <w:b/>
          <w:sz w:val="20"/>
          <w:szCs w:val="20"/>
          <w:lang w:val="es-CR"/>
        </w:rPr>
      </w:pPr>
      <w:r w:rsidRPr="002910C6">
        <w:rPr>
          <w:rFonts w:ascii="Verdana" w:hAnsi="Verdana"/>
          <w:b/>
          <w:sz w:val="20"/>
          <w:szCs w:val="20"/>
          <w:lang w:val="es-CR"/>
        </w:rPr>
        <w:t>CORTE INTERAMERICANA DE DERECHOS HUMANOS</w:t>
      </w:r>
    </w:p>
    <w:p w14:paraId="496FC5D2" w14:textId="50F0A63E" w:rsidR="005223E7" w:rsidRDefault="00FD5909" w:rsidP="00BF3A44">
      <w:pPr>
        <w:spacing w:after="0" w:line="216" w:lineRule="auto"/>
        <w:jc w:val="center"/>
        <w:rPr>
          <w:rFonts w:ascii="Verdana" w:hAnsi="Verdana"/>
          <w:b/>
          <w:sz w:val="20"/>
          <w:szCs w:val="20"/>
          <w:lang w:val="es-CR"/>
        </w:rPr>
      </w:pPr>
      <w:r w:rsidRPr="002910C6">
        <w:rPr>
          <w:rFonts w:ascii="Verdana" w:hAnsi="Verdana"/>
          <w:b/>
          <w:sz w:val="20"/>
          <w:szCs w:val="20"/>
          <w:lang w:val="es-CR"/>
        </w:rPr>
        <w:t>DE</w:t>
      </w:r>
      <w:r w:rsidR="006D336B">
        <w:rPr>
          <w:rFonts w:ascii="Verdana" w:hAnsi="Verdana"/>
          <w:b/>
          <w:sz w:val="20"/>
          <w:szCs w:val="20"/>
          <w:lang w:val="es-CR"/>
        </w:rPr>
        <w:t xml:space="preserve"> </w:t>
      </w:r>
      <w:bookmarkStart w:id="0" w:name="_GoBack"/>
      <w:bookmarkEnd w:id="0"/>
      <w:r w:rsidR="0017717E">
        <w:rPr>
          <w:rFonts w:ascii="Verdana" w:hAnsi="Verdana"/>
          <w:b/>
          <w:sz w:val="20"/>
          <w:szCs w:val="20"/>
          <w:lang w:val="es-CR"/>
        </w:rPr>
        <w:t xml:space="preserve">10 </w:t>
      </w:r>
      <w:r w:rsidRPr="002910C6">
        <w:rPr>
          <w:rFonts w:ascii="Verdana" w:hAnsi="Verdana"/>
          <w:b/>
          <w:sz w:val="20"/>
          <w:szCs w:val="20"/>
          <w:lang w:val="es-CR"/>
        </w:rPr>
        <w:t xml:space="preserve">DE </w:t>
      </w:r>
      <w:r w:rsidR="0017717E">
        <w:rPr>
          <w:rFonts w:ascii="Verdana" w:hAnsi="Verdana"/>
          <w:b/>
          <w:sz w:val="20"/>
          <w:szCs w:val="20"/>
          <w:lang w:val="es-CR"/>
        </w:rPr>
        <w:t>DICIEMBRE</w:t>
      </w:r>
      <w:r w:rsidRPr="002910C6">
        <w:rPr>
          <w:rFonts w:ascii="Verdana" w:hAnsi="Verdana"/>
          <w:b/>
          <w:sz w:val="20"/>
          <w:szCs w:val="20"/>
          <w:lang w:val="es-CR"/>
        </w:rPr>
        <w:t xml:space="preserve"> DE 2019</w:t>
      </w:r>
    </w:p>
    <w:p w14:paraId="7900A146" w14:textId="77777777" w:rsidR="00BF3A44" w:rsidRPr="002910C6" w:rsidRDefault="00BF3A44" w:rsidP="00BF3A44">
      <w:pPr>
        <w:spacing w:after="0" w:line="216" w:lineRule="auto"/>
        <w:jc w:val="center"/>
        <w:rPr>
          <w:rFonts w:ascii="Verdana" w:hAnsi="Verdana"/>
          <w:b/>
          <w:sz w:val="20"/>
          <w:szCs w:val="20"/>
          <w:lang w:val="es-CR"/>
        </w:rPr>
      </w:pPr>
    </w:p>
    <w:p w14:paraId="6004D976" w14:textId="77777777" w:rsidR="005223E7" w:rsidRDefault="005223E7" w:rsidP="00BF3A44">
      <w:pPr>
        <w:spacing w:after="0" w:line="216" w:lineRule="auto"/>
        <w:jc w:val="center"/>
        <w:rPr>
          <w:rFonts w:ascii="Verdana" w:hAnsi="Verdana"/>
          <w:b/>
          <w:sz w:val="20"/>
          <w:szCs w:val="20"/>
          <w:lang w:val="es-CR"/>
        </w:rPr>
      </w:pPr>
      <w:r w:rsidRPr="002910C6">
        <w:rPr>
          <w:rFonts w:ascii="Verdana" w:hAnsi="Verdana"/>
          <w:b/>
          <w:sz w:val="20"/>
          <w:szCs w:val="20"/>
          <w:lang w:val="es-CR"/>
        </w:rPr>
        <w:t xml:space="preserve">CASO GUZMÁN ALBARRACÍN Y FAMILIARES </w:t>
      </w:r>
      <w:r w:rsidRPr="001D3CCE">
        <w:rPr>
          <w:rFonts w:ascii="Verdana" w:hAnsi="Verdana"/>
          <w:b/>
          <w:sz w:val="20"/>
          <w:szCs w:val="20"/>
          <w:lang w:val="es-CR"/>
        </w:rPr>
        <w:t>VS.</w:t>
      </w:r>
      <w:r w:rsidRPr="002910C6">
        <w:rPr>
          <w:rFonts w:ascii="Verdana" w:hAnsi="Verdana"/>
          <w:b/>
          <w:sz w:val="20"/>
          <w:szCs w:val="20"/>
          <w:lang w:val="es-CR"/>
        </w:rPr>
        <w:t xml:space="preserve"> ECUADOR</w:t>
      </w:r>
    </w:p>
    <w:p w14:paraId="176F8722" w14:textId="77777777" w:rsidR="00BF3A44" w:rsidRPr="002910C6" w:rsidRDefault="00BF3A44" w:rsidP="00BF3A44">
      <w:pPr>
        <w:spacing w:after="0" w:line="216" w:lineRule="auto"/>
        <w:jc w:val="center"/>
        <w:rPr>
          <w:rFonts w:ascii="Verdana" w:hAnsi="Verdana"/>
          <w:b/>
          <w:sz w:val="20"/>
          <w:szCs w:val="20"/>
          <w:lang w:val="es-CR"/>
        </w:rPr>
      </w:pPr>
    </w:p>
    <w:p w14:paraId="5E7DE2E3" w14:textId="4C335A93" w:rsidR="005223E7" w:rsidRDefault="005223E7" w:rsidP="00BF3A44">
      <w:pPr>
        <w:spacing w:after="0" w:line="216" w:lineRule="auto"/>
        <w:jc w:val="center"/>
        <w:rPr>
          <w:rFonts w:ascii="Verdana" w:hAnsi="Verdana"/>
          <w:b/>
          <w:sz w:val="20"/>
          <w:szCs w:val="20"/>
          <w:lang w:val="es-CR"/>
        </w:rPr>
      </w:pPr>
      <w:r w:rsidRPr="002910C6">
        <w:rPr>
          <w:rFonts w:ascii="Verdana" w:hAnsi="Verdana"/>
          <w:b/>
          <w:sz w:val="20"/>
          <w:szCs w:val="20"/>
          <w:lang w:val="es-CR"/>
        </w:rPr>
        <w:t>CONVOCATORIA A AUDIENCIA</w:t>
      </w:r>
    </w:p>
    <w:p w14:paraId="0456EEF0" w14:textId="77777777" w:rsidR="00BF3A44" w:rsidRPr="002910C6" w:rsidRDefault="00BF3A44" w:rsidP="00BF3A44">
      <w:pPr>
        <w:spacing w:after="0" w:line="216" w:lineRule="auto"/>
        <w:jc w:val="center"/>
        <w:rPr>
          <w:rFonts w:ascii="Verdana" w:hAnsi="Verdana"/>
          <w:b/>
          <w:sz w:val="20"/>
          <w:szCs w:val="20"/>
          <w:lang w:val="es-CR"/>
        </w:rPr>
      </w:pPr>
    </w:p>
    <w:p w14:paraId="2F60DECA" w14:textId="77777777" w:rsidR="00BF3A44" w:rsidRDefault="00BF3A44" w:rsidP="00BF3A44">
      <w:pPr>
        <w:spacing w:after="0" w:line="216" w:lineRule="auto"/>
        <w:jc w:val="both"/>
        <w:rPr>
          <w:rFonts w:ascii="Verdana" w:hAnsi="Verdana"/>
          <w:b/>
          <w:sz w:val="20"/>
          <w:szCs w:val="20"/>
          <w:lang w:val="es-CR"/>
        </w:rPr>
      </w:pPr>
    </w:p>
    <w:p w14:paraId="31477D0A" w14:textId="6541F66A" w:rsidR="0097736F" w:rsidRDefault="005223E7" w:rsidP="00BF3A44">
      <w:pPr>
        <w:spacing w:after="0" w:line="216" w:lineRule="auto"/>
        <w:jc w:val="both"/>
        <w:rPr>
          <w:rFonts w:ascii="Verdana" w:hAnsi="Verdana"/>
          <w:b/>
          <w:sz w:val="20"/>
          <w:szCs w:val="20"/>
          <w:lang w:val="es-CR"/>
        </w:rPr>
      </w:pPr>
      <w:r w:rsidRPr="002910C6">
        <w:rPr>
          <w:rFonts w:ascii="Verdana" w:hAnsi="Verdana"/>
          <w:b/>
          <w:sz w:val="20"/>
          <w:szCs w:val="20"/>
          <w:lang w:val="es-CR"/>
        </w:rPr>
        <w:t>VISTO:</w:t>
      </w:r>
    </w:p>
    <w:p w14:paraId="5AACD9F9" w14:textId="77777777" w:rsidR="00BF3A44" w:rsidRPr="002910C6" w:rsidRDefault="00BF3A44" w:rsidP="00BF3A44">
      <w:pPr>
        <w:spacing w:after="0" w:line="216" w:lineRule="auto"/>
        <w:jc w:val="both"/>
        <w:rPr>
          <w:rFonts w:ascii="Verdana" w:hAnsi="Verdana"/>
          <w:b/>
          <w:sz w:val="20"/>
          <w:szCs w:val="20"/>
          <w:lang w:val="es-CR"/>
        </w:rPr>
      </w:pPr>
    </w:p>
    <w:p w14:paraId="4B88328B" w14:textId="3F52717F" w:rsidR="0097736F" w:rsidRPr="002910C6" w:rsidRDefault="00742221" w:rsidP="00BF3A44">
      <w:pPr>
        <w:pStyle w:val="Prrafodelista"/>
        <w:numPr>
          <w:ilvl w:val="0"/>
          <w:numId w:val="9"/>
        </w:numPr>
        <w:spacing w:after="0" w:line="216" w:lineRule="auto"/>
        <w:ind w:left="0" w:firstLine="0"/>
        <w:jc w:val="both"/>
        <w:rPr>
          <w:rFonts w:ascii="Verdana" w:hAnsi="Verdana"/>
          <w:sz w:val="20"/>
          <w:szCs w:val="20"/>
          <w:lang w:val="es-CR"/>
        </w:rPr>
      </w:pPr>
      <w:r w:rsidRPr="00A75739">
        <w:rPr>
          <w:rFonts w:ascii="Verdana" w:hAnsi="Verdana"/>
          <w:sz w:val="20"/>
          <w:szCs w:val="20"/>
          <w:lang w:val="es-CR"/>
        </w:rPr>
        <w:t xml:space="preserve">El escrito de sometimiento del caso y el Informe de Fondo de la Comisión Interamericana de Derechos Humanos (en adelante “la Comisión Interamericana” o “la Comisión”); el escrito de solicitudes, argumentos y pruebas (en adelante el “escrito de solicitudes </w:t>
      </w:r>
      <w:r w:rsidR="00324474" w:rsidRPr="00A75739">
        <w:rPr>
          <w:rFonts w:ascii="Verdana" w:hAnsi="Verdana"/>
          <w:sz w:val="20"/>
          <w:szCs w:val="20"/>
          <w:lang w:val="es-CR"/>
        </w:rPr>
        <w:t>y argumentos”) de la</w:t>
      </w:r>
      <w:r w:rsidRPr="00A75739">
        <w:rPr>
          <w:rFonts w:ascii="Verdana" w:hAnsi="Verdana"/>
          <w:sz w:val="20"/>
          <w:szCs w:val="20"/>
          <w:lang w:val="es-CR"/>
        </w:rPr>
        <w:t>s representantes de las pre</w:t>
      </w:r>
      <w:r w:rsidR="00B37964">
        <w:rPr>
          <w:rFonts w:ascii="Verdana" w:hAnsi="Verdana"/>
          <w:sz w:val="20"/>
          <w:szCs w:val="20"/>
          <w:lang w:val="es-CR"/>
        </w:rPr>
        <w:t>suntas víctimas (en adelante “la</w:t>
      </w:r>
      <w:r w:rsidRPr="00A75739">
        <w:rPr>
          <w:rFonts w:ascii="Verdana" w:hAnsi="Verdana"/>
          <w:sz w:val="20"/>
          <w:szCs w:val="20"/>
          <w:lang w:val="es-CR"/>
        </w:rPr>
        <w:t xml:space="preserve">s representantes”), y el escrito de contestación al sometimiento del caso y al escrito de solicitudes y argumentos (en adelante “escrito de contestación”) del Estado de Ecuador (en adelante “Ecuador” o “el Estado”). </w:t>
      </w:r>
    </w:p>
    <w:p w14:paraId="5122B121" w14:textId="77777777" w:rsidR="002C6751" w:rsidRPr="00A75739" w:rsidRDefault="002C6751" w:rsidP="00A75739">
      <w:pPr>
        <w:pStyle w:val="Prrafodelista"/>
        <w:spacing w:line="216" w:lineRule="auto"/>
        <w:ind w:left="0"/>
        <w:jc w:val="both"/>
        <w:rPr>
          <w:rFonts w:ascii="Verdana" w:hAnsi="Verdana"/>
          <w:sz w:val="20"/>
          <w:szCs w:val="20"/>
          <w:lang w:val="es-CR"/>
        </w:rPr>
      </w:pPr>
    </w:p>
    <w:p w14:paraId="3A1BCA53" w14:textId="02517D4F" w:rsidR="00810E00" w:rsidRPr="002910C6" w:rsidRDefault="00742221" w:rsidP="00A75739">
      <w:pPr>
        <w:pStyle w:val="Prrafodelista"/>
        <w:numPr>
          <w:ilvl w:val="0"/>
          <w:numId w:val="9"/>
        </w:numPr>
        <w:spacing w:line="216" w:lineRule="auto"/>
        <w:ind w:left="0" w:firstLine="0"/>
        <w:jc w:val="both"/>
        <w:rPr>
          <w:rFonts w:ascii="Verdana" w:hAnsi="Verdana"/>
          <w:sz w:val="20"/>
          <w:szCs w:val="20"/>
          <w:lang w:val="es-CR"/>
        </w:rPr>
      </w:pPr>
      <w:r w:rsidRPr="00A75739">
        <w:rPr>
          <w:rFonts w:ascii="Verdana" w:hAnsi="Verdana"/>
          <w:sz w:val="20"/>
          <w:szCs w:val="20"/>
          <w:lang w:val="es-CR"/>
        </w:rPr>
        <w:t>Las listas definitivas d</w:t>
      </w:r>
      <w:r w:rsidR="00B37964">
        <w:rPr>
          <w:rFonts w:ascii="Verdana" w:hAnsi="Verdana"/>
          <w:sz w:val="20"/>
          <w:szCs w:val="20"/>
          <w:lang w:val="es-CR"/>
        </w:rPr>
        <w:t>e declarantes presentadas por la</w:t>
      </w:r>
      <w:r w:rsidRPr="00A75739">
        <w:rPr>
          <w:rFonts w:ascii="Verdana" w:hAnsi="Verdana"/>
          <w:sz w:val="20"/>
          <w:szCs w:val="20"/>
          <w:lang w:val="es-CR"/>
        </w:rPr>
        <w:t>s representantes, el Estado y la Comisión</w:t>
      </w:r>
      <w:r w:rsidR="00810E00" w:rsidRPr="002910C6">
        <w:rPr>
          <w:rFonts w:ascii="Verdana" w:hAnsi="Verdana"/>
          <w:sz w:val="20"/>
          <w:szCs w:val="20"/>
          <w:lang w:val="es-CR"/>
        </w:rPr>
        <w:t xml:space="preserve"> el 30 de octubre de 2019.</w:t>
      </w:r>
    </w:p>
    <w:p w14:paraId="0B23E3DE" w14:textId="77777777" w:rsidR="00810E00" w:rsidRPr="00A75739" w:rsidRDefault="00810E00" w:rsidP="00A75739">
      <w:pPr>
        <w:pStyle w:val="Prrafodelista"/>
        <w:spacing w:line="216" w:lineRule="auto"/>
        <w:rPr>
          <w:rFonts w:ascii="Verdana" w:hAnsi="Verdana"/>
          <w:sz w:val="20"/>
          <w:szCs w:val="20"/>
          <w:lang w:val="es-CR"/>
        </w:rPr>
      </w:pPr>
    </w:p>
    <w:p w14:paraId="4A3E75CB" w14:textId="203CCEBD" w:rsidR="00810E00" w:rsidRPr="00A75739" w:rsidRDefault="00810E00" w:rsidP="00A75739">
      <w:pPr>
        <w:pStyle w:val="Prrafodelista"/>
        <w:numPr>
          <w:ilvl w:val="0"/>
          <w:numId w:val="9"/>
        </w:numPr>
        <w:spacing w:line="216" w:lineRule="auto"/>
        <w:ind w:left="0" w:firstLine="0"/>
        <w:jc w:val="both"/>
        <w:rPr>
          <w:rFonts w:ascii="Verdana" w:hAnsi="Verdana"/>
          <w:sz w:val="20"/>
          <w:szCs w:val="20"/>
          <w:lang w:val="es-CR"/>
        </w:rPr>
      </w:pPr>
      <w:r w:rsidRPr="00A75739">
        <w:rPr>
          <w:rFonts w:ascii="Verdana" w:hAnsi="Verdana"/>
          <w:sz w:val="20"/>
          <w:szCs w:val="20"/>
          <w:lang w:val="es-CR"/>
        </w:rPr>
        <w:t xml:space="preserve">Las observaciones a las referidas listas definitivas de declarantes, presentadas </w:t>
      </w:r>
      <w:r w:rsidR="007B69BE" w:rsidRPr="00A75739">
        <w:rPr>
          <w:rFonts w:ascii="Verdana" w:hAnsi="Verdana"/>
          <w:sz w:val="20"/>
          <w:szCs w:val="20"/>
          <w:lang w:val="es-CR"/>
        </w:rPr>
        <w:t xml:space="preserve">el 12 de noviembre de 2019 </w:t>
      </w:r>
      <w:r w:rsidR="00B37964">
        <w:rPr>
          <w:rFonts w:ascii="Verdana" w:hAnsi="Verdana"/>
          <w:sz w:val="20"/>
          <w:szCs w:val="20"/>
          <w:lang w:val="es-CR"/>
        </w:rPr>
        <w:t>por la</w:t>
      </w:r>
      <w:r w:rsidRPr="00A75739">
        <w:rPr>
          <w:rFonts w:ascii="Verdana" w:hAnsi="Verdana"/>
          <w:sz w:val="20"/>
          <w:szCs w:val="20"/>
          <w:lang w:val="es-CR"/>
        </w:rPr>
        <w:t>s representantes</w:t>
      </w:r>
      <w:r w:rsidR="007B69BE" w:rsidRPr="00A75739">
        <w:rPr>
          <w:rFonts w:ascii="Verdana" w:hAnsi="Verdana"/>
          <w:sz w:val="20"/>
          <w:szCs w:val="20"/>
          <w:lang w:val="es-CR"/>
        </w:rPr>
        <w:t>, el Estado y la Comisión</w:t>
      </w:r>
      <w:r w:rsidRPr="00A75739">
        <w:rPr>
          <w:rFonts w:ascii="Verdana" w:hAnsi="Verdana"/>
          <w:sz w:val="20"/>
          <w:szCs w:val="20"/>
          <w:lang w:val="es-CR"/>
        </w:rPr>
        <w:t xml:space="preserve">. </w:t>
      </w:r>
    </w:p>
    <w:p w14:paraId="61B58798" w14:textId="77777777" w:rsidR="007B69BE" w:rsidRPr="00A75739" w:rsidRDefault="007B69BE" w:rsidP="00A75739">
      <w:pPr>
        <w:pStyle w:val="Prrafodelista"/>
        <w:spacing w:line="216" w:lineRule="auto"/>
        <w:rPr>
          <w:rFonts w:ascii="Verdana" w:hAnsi="Verdana"/>
          <w:sz w:val="20"/>
          <w:szCs w:val="20"/>
          <w:lang w:val="es-CR"/>
        </w:rPr>
      </w:pPr>
    </w:p>
    <w:p w14:paraId="2718232B" w14:textId="2FF9901B" w:rsidR="007B69BE" w:rsidRPr="00A75739" w:rsidRDefault="007B69BE" w:rsidP="00A75739">
      <w:pPr>
        <w:pStyle w:val="Prrafodelista"/>
        <w:numPr>
          <w:ilvl w:val="0"/>
          <w:numId w:val="9"/>
        </w:numPr>
        <w:spacing w:line="216" w:lineRule="auto"/>
        <w:ind w:left="0" w:firstLine="0"/>
        <w:jc w:val="both"/>
        <w:rPr>
          <w:rFonts w:ascii="Verdana" w:hAnsi="Verdana"/>
          <w:sz w:val="20"/>
          <w:szCs w:val="20"/>
          <w:lang w:val="es-CR"/>
        </w:rPr>
      </w:pPr>
      <w:r w:rsidRPr="00A75739">
        <w:rPr>
          <w:rFonts w:ascii="Verdana" w:hAnsi="Verdana"/>
          <w:sz w:val="20"/>
          <w:szCs w:val="20"/>
          <w:lang w:val="es-CR"/>
        </w:rPr>
        <w:t>Las recusaciones p</w:t>
      </w:r>
      <w:r w:rsidR="0084680C" w:rsidRPr="002910C6">
        <w:rPr>
          <w:rFonts w:ascii="Verdana" w:hAnsi="Verdana"/>
          <w:sz w:val="20"/>
          <w:szCs w:val="20"/>
          <w:lang w:val="es-CR"/>
        </w:rPr>
        <w:t>ropuestas</w:t>
      </w:r>
      <w:r w:rsidRPr="00A75739">
        <w:rPr>
          <w:rFonts w:ascii="Verdana" w:hAnsi="Verdana"/>
          <w:sz w:val="20"/>
          <w:szCs w:val="20"/>
          <w:lang w:val="es-CR"/>
        </w:rPr>
        <w:t xml:space="preserve"> el 12 de noviembre de 2019 por los representantes y el Estado contra la intervención de, respectivamente, los señores Freddy Herrera Almagro e Iván Patricio Jácome, </w:t>
      </w:r>
      <w:r w:rsidR="0084680C" w:rsidRPr="002910C6">
        <w:rPr>
          <w:rFonts w:ascii="Verdana" w:hAnsi="Verdana"/>
          <w:sz w:val="20"/>
          <w:szCs w:val="20"/>
          <w:lang w:val="es-CR"/>
        </w:rPr>
        <w:t>ofrecidos</w:t>
      </w:r>
      <w:r w:rsidRPr="00A75739">
        <w:rPr>
          <w:rFonts w:ascii="Verdana" w:hAnsi="Verdana"/>
          <w:sz w:val="20"/>
          <w:szCs w:val="20"/>
          <w:lang w:val="es-CR"/>
        </w:rPr>
        <w:t xml:space="preserve"> como peritos por el Estado y la señora Ximena Cortés y el señor José Mario Nájera Ochoa, cuya</w:t>
      </w:r>
      <w:r w:rsidR="0070741A" w:rsidRPr="00A75739">
        <w:rPr>
          <w:rFonts w:ascii="Verdana" w:hAnsi="Verdana"/>
          <w:sz w:val="20"/>
          <w:szCs w:val="20"/>
          <w:lang w:val="es-CR"/>
        </w:rPr>
        <w:t>s declaracio</w:t>
      </w:r>
      <w:r w:rsidRPr="00A75739">
        <w:rPr>
          <w:rFonts w:ascii="Verdana" w:hAnsi="Verdana"/>
          <w:sz w:val="20"/>
          <w:szCs w:val="20"/>
          <w:lang w:val="es-CR"/>
        </w:rPr>
        <w:t>n</w:t>
      </w:r>
      <w:r w:rsidR="0070741A" w:rsidRPr="00A75739">
        <w:rPr>
          <w:rFonts w:ascii="Verdana" w:hAnsi="Verdana"/>
          <w:sz w:val="20"/>
          <w:szCs w:val="20"/>
          <w:lang w:val="es-CR"/>
        </w:rPr>
        <w:t>es</w:t>
      </w:r>
      <w:r w:rsidRPr="00A75739">
        <w:rPr>
          <w:rFonts w:ascii="Verdana" w:hAnsi="Verdana"/>
          <w:sz w:val="20"/>
          <w:szCs w:val="20"/>
          <w:lang w:val="es-CR"/>
        </w:rPr>
        <w:t xml:space="preserve"> pericial</w:t>
      </w:r>
      <w:r w:rsidR="0070741A" w:rsidRPr="00A75739">
        <w:rPr>
          <w:rFonts w:ascii="Verdana" w:hAnsi="Verdana"/>
          <w:sz w:val="20"/>
          <w:szCs w:val="20"/>
          <w:lang w:val="es-CR"/>
        </w:rPr>
        <w:t>es</w:t>
      </w:r>
      <w:r w:rsidRPr="00A75739">
        <w:rPr>
          <w:rFonts w:ascii="Verdana" w:hAnsi="Verdana"/>
          <w:sz w:val="20"/>
          <w:szCs w:val="20"/>
          <w:lang w:val="es-CR"/>
        </w:rPr>
        <w:t xml:space="preserve"> fue</w:t>
      </w:r>
      <w:r w:rsidR="0070741A" w:rsidRPr="00A75739">
        <w:rPr>
          <w:rFonts w:ascii="Verdana" w:hAnsi="Verdana"/>
          <w:sz w:val="20"/>
          <w:szCs w:val="20"/>
          <w:lang w:val="es-CR"/>
        </w:rPr>
        <w:t>ron</w:t>
      </w:r>
      <w:r w:rsidRPr="00A75739">
        <w:rPr>
          <w:rFonts w:ascii="Verdana" w:hAnsi="Verdana"/>
          <w:sz w:val="20"/>
          <w:szCs w:val="20"/>
          <w:lang w:val="es-CR"/>
        </w:rPr>
        <w:t xml:space="preserve"> </w:t>
      </w:r>
      <w:r w:rsidR="0084680C" w:rsidRPr="002910C6">
        <w:rPr>
          <w:rFonts w:ascii="Verdana" w:hAnsi="Verdana"/>
          <w:sz w:val="20"/>
          <w:szCs w:val="20"/>
          <w:lang w:val="es-CR"/>
        </w:rPr>
        <w:t>ofrecidas</w:t>
      </w:r>
      <w:r w:rsidR="00B37964">
        <w:rPr>
          <w:rFonts w:ascii="Verdana" w:hAnsi="Verdana"/>
          <w:sz w:val="20"/>
          <w:szCs w:val="20"/>
          <w:lang w:val="es-CR"/>
        </w:rPr>
        <w:t xml:space="preserve"> por la</w:t>
      </w:r>
      <w:r w:rsidRPr="00A75739">
        <w:rPr>
          <w:rFonts w:ascii="Verdana" w:hAnsi="Verdana"/>
          <w:sz w:val="20"/>
          <w:szCs w:val="20"/>
          <w:lang w:val="es-CR"/>
        </w:rPr>
        <w:t>s representantes.</w:t>
      </w:r>
    </w:p>
    <w:p w14:paraId="6409F57F" w14:textId="77777777" w:rsidR="007B69BE" w:rsidRPr="00A75739" w:rsidRDefault="007B69BE" w:rsidP="00A75739">
      <w:pPr>
        <w:pStyle w:val="Prrafodelista"/>
        <w:spacing w:line="216" w:lineRule="auto"/>
        <w:ind w:left="0"/>
        <w:jc w:val="both"/>
        <w:rPr>
          <w:rFonts w:ascii="Verdana" w:hAnsi="Verdana"/>
          <w:sz w:val="20"/>
          <w:szCs w:val="20"/>
          <w:lang w:val="es-CR"/>
        </w:rPr>
      </w:pPr>
    </w:p>
    <w:p w14:paraId="4307DB08" w14:textId="3AA74165" w:rsidR="00742221" w:rsidRDefault="00810E00" w:rsidP="00E64CB2">
      <w:pPr>
        <w:pStyle w:val="Prrafodelista"/>
        <w:numPr>
          <w:ilvl w:val="0"/>
          <w:numId w:val="9"/>
        </w:numPr>
        <w:spacing w:after="0" w:line="216" w:lineRule="auto"/>
        <w:ind w:left="0" w:firstLine="0"/>
        <w:jc w:val="both"/>
        <w:rPr>
          <w:rFonts w:ascii="Verdana" w:hAnsi="Verdana"/>
          <w:sz w:val="20"/>
          <w:szCs w:val="20"/>
          <w:lang w:val="es-CR"/>
        </w:rPr>
      </w:pPr>
      <w:r w:rsidRPr="00A75739">
        <w:rPr>
          <w:rFonts w:ascii="Verdana" w:hAnsi="Verdana"/>
          <w:sz w:val="20"/>
          <w:szCs w:val="20"/>
          <w:lang w:val="es-CR"/>
        </w:rPr>
        <w:t xml:space="preserve">Las observaciones de </w:t>
      </w:r>
      <w:r w:rsidR="007B69BE" w:rsidRPr="00A75739">
        <w:rPr>
          <w:rFonts w:ascii="Verdana" w:hAnsi="Verdana"/>
          <w:sz w:val="20"/>
          <w:szCs w:val="20"/>
          <w:lang w:val="es-CR"/>
        </w:rPr>
        <w:t xml:space="preserve">José Mario Nájera </w:t>
      </w:r>
      <w:r w:rsidR="0070741A" w:rsidRPr="00A75739">
        <w:rPr>
          <w:rFonts w:ascii="Verdana" w:hAnsi="Verdana"/>
          <w:sz w:val="20"/>
          <w:szCs w:val="20"/>
          <w:lang w:val="es-CR"/>
        </w:rPr>
        <w:t>Ochoa, Freddy Herrera Almagro</w:t>
      </w:r>
      <w:r w:rsidR="009521C0">
        <w:rPr>
          <w:rFonts w:ascii="Verdana" w:hAnsi="Verdana"/>
          <w:sz w:val="20"/>
          <w:szCs w:val="20"/>
          <w:lang w:val="es-CR"/>
        </w:rPr>
        <w:t>, Iván Patricio Jácome</w:t>
      </w:r>
      <w:r w:rsidR="0070741A" w:rsidRPr="00A75739">
        <w:rPr>
          <w:rFonts w:ascii="Verdana" w:hAnsi="Verdana"/>
          <w:sz w:val="20"/>
          <w:szCs w:val="20"/>
          <w:lang w:val="es-CR"/>
        </w:rPr>
        <w:t xml:space="preserve"> y Ximena Cortes a las recusaciones presentadas en su contra, recibid</w:t>
      </w:r>
      <w:r w:rsidR="009521C0">
        <w:rPr>
          <w:rFonts w:ascii="Verdana" w:hAnsi="Verdana"/>
          <w:sz w:val="20"/>
          <w:szCs w:val="20"/>
          <w:lang w:val="es-CR"/>
        </w:rPr>
        <w:t xml:space="preserve">as </w:t>
      </w:r>
      <w:r w:rsidR="00851568">
        <w:rPr>
          <w:rFonts w:ascii="Verdana" w:hAnsi="Verdana"/>
          <w:sz w:val="20"/>
          <w:szCs w:val="20"/>
          <w:lang w:val="es-CR"/>
        </w:rPr>
        <w:t xml:space="preserve">la primera el 18 de </w:t>
      </w:r>
      <w:r w:rsidR="009521C0">
        <w:rPr>
          <w:rFonts w:ascii="Verdana" w:hAnsi="Verdana"/>
          <w:sz w:val="20"/>
          <w:szCs w:val="20"/>
          <w:lang w:val="es-CR"/>
        </w:rPr>
        <w:t xml:space="preserve">noviembre de 2019, la segunda y la tercera el </w:t>
      </w:r>
      <w:r w:rsidR="00851568">
        <w:rPr>
          <w:rFonts w:ascii="Verdana" w:hAnsi="Verdana"/>
          <w:sz w:val="20"/>
          <w:szCs w:val="20"/>
          <w:lang w:val="es-CR"/>
        </w:rPr>
        <w:t xml:space="preserve">día siguiente </w:t>
      </w:r>
      <w:r w:rsidR="009521C0">
        <w:rPr>
          <w:rFonts w:ascii="Verdana" w:hAnsi="Verdana"/>
          <w:sz w:val="20"/>
          <w:szCs w:val="20"/>
          <w:lang w:val="es-CR"/>
        </w:rPr>
        <w:t>y la cuarta el 20</w:t>
      </w:r>
      <w:r w:rsidR="00851568">
        <w:rPr>
          <w:rFonts w:ascii="Verdana" w:hAnsi="Verdana"/>
          <w:sz w:val="20"/>
          <w:szCs w:val="20"/>
          <w:lang w:val="es-CR"/>
        </w:rPr>
        <w:t xml:space="preserve"> del mismo mes</w:t>
      </w:r>
      <w:r w:rsidRPr="00A75739">
        <w:rPr>
          <w:rFonts w:ascii="Verdana" w:hAnsi="Verdana"/>
          <w:sz w:val="20"/>
          <w:szCs w:val="20"/>
          <w:lang w:val="es-CR"/>
        </w:rPr>
        <w:t>.</w:t>
      </w:r>
    </w:p>
    <w:p w14:paraId="6AE06935" w14:textId="77777777" w:rsidR="00E64CB2" w:rsidRPr="00E64CB2" w:rsidRDefault="00E64CB2" w:rsidP="00E64CB2">
      <w:pPr>
        <w:spacing w:after="0" w:line="216" w:lineRule="auto"/>
        <w:jc w:val="both"/>
        <w:rPr>
          <w:rFonts w:ascii="Verdana" w:hAnsi="Verdana"/>
          <w:sz w:val="20"/>
          <w:szCs w:val="20"/>
          <w:lang w:val="es-CR"/>
        </w:rPr>
      </w:pPr>
    </w:p>
    <w:p w14:paraId="13F4EC95" w14:textId="5452C22D" w:rsidR="005223E7" w:rsidRDefault="00742221" w:rsidP="00E64CB2">
      <w:pPr>
        <w:spacing w:after="0" w:line="216" w:lineRule="auto"/>
        <w:jc w:val="both"/>
        <w:rPr>
          <w:rFonts w:ascii="Verdana" w:hAnsi="Verdana"/>
          <w:b/>
          <w:sz w:val="20"/>
          <w:szCs w:val="20"/>
          <w:lang w:val="es-CR"/>
        </w:rPr>
      </w:pPr>
      <w:r w:rsidRPr="002910C6">
        <w:rPr>
          <w:rFonts w:ascii="Verdana" w:hAnsi="Verdana"/>
          <w:b/>
          <w:sz w:val="20"/>
          <w:szCs w:val="20"/>
          <w:lang w:val="es-CR"/>
        </w:rPr>
        <w:t>CONSIDERANDO QUE</w:t>
      </w:r>
    </w:p>
    <w:p w14:paraId="6BD5B81A" w14:textId="77777777" w:rsidR="00E64CB2" w:rsidRPr="002910C6" w:rsidRDefault="00E64CB2" w:rsidP="00E64CB2">
      <w:pPr>
        <w:spacing w:after="0" w:line="216" w:lineRule="auto"/>
        <w:jc w:val="both"/>
        <w:rPr>
          <w:rFonts w:ascii="Verdana" w:hAnsi="Verdana"/>
          <w:b/>
          <w:sz w:val="20"/>
          <w:szCs w:val="20"/>
          <w:lang w:val="es-CR"/>
        </w:rPr>
      </w:pPr>
    </w:p>
    <w:p w14:paraId="3D53CD41" w14:textId="4BAB348A" w:rsidR="0097736F" w:rsidRPr="00A75739" w:rsidRDefault="003C01B7" w:rsidP="00E64CB2">
      <w:pPr>
        <w:pStyle w:val="Prrafodelista"/>
        <w:numPr>
          <w:ilvl w:val="0"/>
          <w:numId w:val="22"/>
        </w:numPr>
        <w:spacing w:after="0" w:line="216" w:lineRule="auto"/>
        <w:ind w:left="0" w:hanging="11"/>
        <w:jc w:val="both"/>
        <w:rPr>
          <w:rFonts w:ascii="Verdana" w:hAnsi="Verdana"/>
          <w:lang w:val="es-CR"/>
        </w:rPr>
      </w:pPr>
      <w:r w:rsidRPr="00A75739">
        <w:rPr>
          <w:rFonts w:ascii="Verdana" w:hAnsi="Verdana"/>
          <w:sz w:val="20"/>
          <w:szCs w:val="20"/>
          <w:lang w:val="es-CR"/>
        </w:rPr>
        <w:t xml:space="preserve">El ofrecimiento y la admisión de la prueba, se encuentran regulados en los artículos 35.1, 40.2, 41.1, 46, </w:t>
      </w:r>
      <w:r w:rsidR="001D3CCE">
        <w:rPr>
          <w:rFonts w:ascii="Verdana" w:hAnsi="Verdana"/>
          <w:sz w:val="20"/>
          <w:szCs w:val="20"/>
          <w:lang w:val="es-CR"/>
        </w:rPr>
        <w:t xml:space="preserve">47, </w:t>
      </w:r>
      <w:r w:rsidRPr="00A75739">
        <w:rPr>
          <w:rFonts w:ascii="Verdana" w:hAnsi="Verdana"/>
          <w:sz w:val="20"/>
          <w:szCs w:val="20"/>
          <w:lang w:val="es-CR"/>
        </w:rPr>
        <w:t xml:space="preserve">48, 50, </w:t>
      </w:r>
      <w:r w:rsidR="001D3CCE">
        <w:rPr>
          <w:rFonts w:ascii="Verdana" w:hAnsi="Verdana"/>
          <w:sz w:val="20"/>
          <w:szCs w:val="20"/>
          <w:lang w:val="es-CR"/>
        </w:rPr>
        <w:t xml:space="preserve">51, </w:t>
      </w:r>
      <w:r w:rsidRPr="00A75739">
        <w:rPr>
          <w:rFonts w:ascii="Verdana" w:hAnsi="Verdana"/>
          <w:sz w:val="20"/>
          <w:szCs w:val="20"/>
          <w:lang w:val="es-CR"/>
        </w:rPr>
        <w:t xml:space="preserve">57 y 58 del Reglamento del Tribunal. </w:t>
      </w:r>
    </w:p>
    <w:p w14:paraId="7ACD3349" w14:textId="77777777" w:rsidR="00FD5909" w:rsidRPr="00A75739" w:rsidRDefault="00FD5909" w:rsidP="00E64CB2">
      <w:pPr>
        <w:pStyle w:val="Prrafodelista"/>
        <w:spacing w:after="0" w:line="216" w:lineRule="auto"/>
        <w:ind w:left="0"/>
        <w:jc w:val="both"/>
        <w:rPr>
          <w:rFonts w:ascii="Verdana" w:hAnsi="Verdana"/>
          <w:lang w:val="es-CR"/>
        </w:rPr>
      </w:pPr>
    </w:p>
    <w:p w14:paraId="52F60E34" w14:textId="485A9493" w:rsidR="0097736F" w:rsidRPr="002910C6" w:rsidRDefault="003C01B7" w:rsidP="00E64CB2">
      <w:pPr>
        <w:pStyle w:val="Prrafodelista"/>
        <w:numPr>
          <w:ilvl w:val="0"/>
          <w:numId w:val="22"/>
        </w:numPr>
        <w:spacing w:after="0" w:line="216" w:lineRule="auto"/>
        <w:ind w:left="0" w:firstLine="0"/>
        <w:jc w:val="both"/>
        <w:rPr>
          <w:rFonts w:ascii="Verdana" w:hAnsi="Verdana"/>
          <w:sz w:val="20"/>
          <w:szCs w:val="20"/>
          <w:lang w:val="es-CR"/>
        </w:rPr>
      </w:pPr>
      <w:r w:rsidRPr="00A75739">
        <w:rPr>
          <w:rFonts w:ascii="Verdana" w:hAnsi="Verdana"/>
          <w:sz w:val="20"/>
          <w:szCs w:val="20"/>
          <w:lang w:val="es-CR"/>
        </w:rPr>
        <w:t xml:space="preserve">La Comisión ofreció como prueba </w:t>
      </w:r>
      <w:r w:rsidR="00315159" w:rsidRPr="00A75739">
        <w:rPr>
          <w:rFonts w:ascii="Verdana" w:hAnsi="Verdana"/>
          <w:sz w:val="20"/>
          <w:szCs w:val="20"/>
          <w:lang w:val="es-CR"/>
        </w:rPr>
        <w:t>dos</w:t>
      </w:r>
      <w:r w:rsidRPr="00A75739">
        <w:rPr>
          <w:rFonts w:ascii="Verdana" w:hAnsi="Verdana"/>
          <w:sz w:val="20"/>
          <w:szCs w:val="20"/>
          <w:lang w:val="es-CR"/>
        </w:rPr>
        <w:t xml:space="preserve"> declaraci</w:t>
      </w:r>
      <w:r w:rsidR="00315159" w:rsidRPr="00A75739">
        <w:rPr>
          <w:rFonts w:ascii="Verdana" w:hAnsi="Verdana"/>
          <w:sz w:val="20"/>
          <w:szCs w:val="20"/>
          <w:lang w:val="es-CR"/>
        </w:rPr>
        <w:t>ones</w:t>
      </w:r>
      <w:r w:rsidRPr="00A75739">
        <w:rPr>
          <w:rFonts w:ascii="Verdana" w:hAnsi="Verdana"/>
          <w:sz w:val="20"/>
          <w:szCs w:val="20"/>
          <w:lang w:val="es-CR"/>
        </w:rPr>
        <w:t xml:space="preserve"> pericial</w:t>
      </w:r>
      <w:r w:rsidR="00315159" w:rsidRPr="00A75739">
        <w:rPr>
          <w:rFonts w:ascii="Verdana" w:hAnsi="Verdana"/>
          <w:sz w:val="20"/>
          <w:szCs w:val="20"/>
          <w:lang w:val="es-CR"/>
        </w:rPr>
        <w:t>es</w:t>
      </w:r>
      <w:r w:rsidR="00324474" w:rsidRPr="00A75739">
        <w:rPr>
          <w:rFonts w:ascii="Verdana" w:hAnsi="Verdana"/>
          <w:sz w:val="20"/>
          <w:szCs w:val="20"/>
          <w:lang w:val="es-CR"/>
        </w:rPr>
        <w:t>. La</w:t>
      </w:r>
      <w:r w:rsidRPr="00A75739">
        <w:rPr>
          <w:rFonts w:ascii="Verdana" w:hAnsi="Verdana"/>
          <w:sz w:val="20"/>
          <w:szCs w:val="20"/>
          <w:lang w:val="es-CR"/>
        </w:rPr>
        <w:t xml:space="preserve">s representantes ofrecieron las declaraciones de </w:t>
      </w:r>
      <w:r w:rsidR="00315159" w:rsidRPr="00A75739">
        <w:rPr>
          <w:rFonts w:ascii="Verdana" w:hAnsi="Verdana"/>
          <w:sz w:val="20"/>
          <w:szCs w:val="20"/>
          <w:lang w:val="es-CR"/>
        </w:rPr>
        <w:t xml:space="preserve">dos </w:t>
      </w:r>
      <w:r w:rsidR="008E7487" w:rsidRPr="00A75739">
        <w:rPr>
          <w:rFonts w:ascii="Verdana" w:hAnsi="Verdana"/>
          <w:sz w:val="20"/>
          <w:szCs w:val="20"/>
          <w:lang w:val="es-CR"/>
        </w:rPr>
        <w:t>presuntas víctimas</w:t>
      </w:r>
      <w:r w:rsidR="00315159" w:rsidRPr="00A75739">
        <w:rPr>
          <w:rFonts w:ascii="Verdana" w:hAnsi="Verdana"/>
          <w:sz w:val="20"/>
          <w:szCs w:val="20"/>
          <w:lang w:val="es-CR"/>
        </w:rPr>
        <w:t xml:space="preserve"> y cuatro </w:t>
      </w:r>
      <w:r w:rsidR="00C14F6B" w:rsidRPr="002910C6">
        <w:rPr>
          <w:rFonts w:ascii="Verdana" w:hAnsi="Verdana"/>
          <w:sz w:val="20"/>
          <w:szCs w:val="20"/>
          <w:lang w:val="es-CR"/>
        </w:rPr>
        <w:t xml:space="preserve">declaraciones </w:t>
      </w:r>
      <w:r w:rsidR="00315159" w:rsidRPr="00A75739">
        <w:rPr>
          <w:rFonts w:ascii="Verdana" w:hAnsi="Verdana"/>
          <w:sz w:val="20"/>
          <w:szCs w:val="20"/>
          <w:lang w:val="es-CR"/>
        </w:rPr>
        <w:t>periciales</w:t>
      </w:r>
      <w:r w:rsidRPr="00A75739">
        <w:rPr>
          <w:rFonts w:ascii="Verdana" w:hAnsi="Verdana"/>
          <w:sz w:val="20"/>
          <w:szCs w:val="20"/>
          <w:lang w:val="es-CR"/>
        </w:rPr>
        <w:t>. El Estado</w:t>
      </w:r>
      <w:r w:rsidR="0097736F" w:rsidRPr="00A75739">
        <w:rPr>
          <w:rFonts w:ascii="Verdana" w:hAnsi="Verdana"/>
          <w:sz w:val="20"/>
          <w:szCs w:val="20"/>
          <w:lang w:val="es-CR"/>
        </w:rPr>
        <w:t>, por su parte,</w:t>
      </w:r>
      <w:r w:rsidRPr="00A75739">
        <w:rPr>
          <w:rFonts w:ascii="Verdana" w:hAnsi="Verdana"/>
          <w:sz w:val="20"/>
          <w:szCs w:val="20"/>
          <w:lang w:val="es-CR"/>
        </w:rPr>
        <w:t xml:space="preserve"> propuso </w:t>
      </w:r>
      <w:r w:rsidR="00C11B08" w:rsidRPr="00A75739">
        <w:rPr>
          <w:rFonts w:ascii="Verdana" w:hAnsi="Verdana"/>
          <w:sz w:val="20"/>
          <w:szCs w:val="20"/>
          <w:lang w:val="es-CR"/>
        </w:rPr>
        <w:t>seis declaraciones periciales</w:t>
      </w:r>
      <w:r w:rsidRPr="00A75739">
        <w:rPr>
          <w:rFonts w:ascii="Verdana" w:hAnsi="Verdana"/>
          <w:sz w:val="20"/>
          <w:szCs w:val="20"/>
          <w:lang w:val="es-CR"/>
        </w:rPr>
        <w:t xml:space="preserve">. </w:t>
      </w:r>
    </w:p>
    <w:p w14:paraId="2D356238" w14:textId="77777777" w:rsidR="00FD5909" w:rsidRPr="00A75739" w:rsidRDefault="00FD5909" w:rsidP="00A75739">
      <w:pPr>
        <w:pStyle w:val="Prrafodelista"/>
        <w:spacing w:line="216" w:lineRule="auto"/>
        <w:ind w:left="0"/>
        <w:jc w:val="both"/>
        <w:rPr>
          <w:rFonts w:ascii="Verdana" w:hAnsi="Verdana"/>
          <w:sz w:val="20"/>
          <w:szCs w:val="20"/>
          <w:lang w:val="es-CR"/>
        </w:rPr>
      </w:pPr>
    </w:p>
    <w:p w14:paraId="5F4F8AB8" w14:textId="6C20BFFB" w:rsidR="00594E6B" w:rsidRPr="002910C6" w:rsidRDefault="00594E6B" w:rsidP="00A75739">
      <w:pPr>
        <w:pStyle w:val="Prrafodelista"/>
        <w:numPr>
          <w:ilvl w:val="0"/>
          <w:numId w:val="22"/>
        </w:numPr>
        <w:spacing w:line="216" w:lineRule="auto"/>
        <w:ind w:left="0" w:firstLine="0"/>
        <w:jc w:val="both"/>
        <w:rPr>
          <w:rFonts w:ascii="Verdana" w:hAnsi="Verdana"/>
          <w:sz w:val="20"/>
          <w:szCs w:val="20"/>
          <w:lang w:val="es-CR"/>
        </w:rPr>
      </w:pPr>
      <w:r w:rsidRPr="00A75739">
        <w:rPr>
          <w:rFonts w:ascii="Verdana" w:hAnsi="Verdana"/>
          <w:sz w:val="20"/>
          <w:szCs w:val="20"/>
          <w:lang w:val="es-CR"/>
        </w:rPr>
        <w:t xml:space="preserve">La Comisión indicó que no tenía observaciones que formular respecto a </w:t>
      </w:r>
      <w:r w:rsidR="00660FCD" w:rsidRPr="00A75739">
        <w:rPr>
          <w:rFonts w:ascii="Verdana" w:hAnsi="Verdana"/>
          <w:sz w:val="20"/>
          <w:szCs w:val="20"/>
          <w:lang w:val="es-CR"/>
        </w:rPr>
        <w:t xml:space="preserve">las listas definitivas de declarantes ofrecidas por el Estado y las </w:t>
      </w:r>
      <w:r w:rsidR="0070741A" w:rsidRPr="002910C6">
        <w:rPr>
          <w:rFonts w:ascii="Verdana" w:hAnsi="Verdana"/>
          <w:sz w:val="20"/>
          <w:szCs w:val="20"/>
          <w:lang w:val="es-CR"/>
        </w:rPr>
        <w:t>representantes</w:t>
      </w:r>
      <w:r w:rsidR="00660FCD" w:rsidRPr="00A75739">
        <w:rPr>
          <w:rFonts w:ascii="Verdana" w:hAnsi="Verdana"/>
          <w:sz w:val="20"/>
          <w:szCs w:val="20"/>
          <w:lang w:val="es-CR"/>
        </w:rPr>
        <w:t xml:space="preserve">. </w:t>
      </w:r>
      <w:r w:rsidR="00B56D82" w:rsidRPr="00A75739">
        <w:rPr>
          <w:rFonts w:ascii="Verdana" w:hAnsi="Verdana"/>
          <w:sz w:val="20"/>
          <w:szCs w:val="20"/>
          <w:lang w:val="es-CR"/>
        </w:rPr>
        <w:t xml:space="preserve">Sin perjuicio de ello, solicitó se le conceda la oportunidad de formular preguntas a la </w:t>
      </w:r>
      <w:r w:rsidR="0070741A" w:rsidRPr="002910C6">
        <w:rPr>
          <w:rFonts w:ascii="Verdana" w:hAnsi="Verdana"/>
          <w:sz w:val="20"/>
          <w:szCs w:val="20"/>
          <w:lang w:val="es-CR"/>
        </w:rPr>
        <w:t>señora</w:t>
      </w:r>
      <w:r w:rsidR="00B56D82" w:rsidRPr="00A75739">
        <w:rPr>
          <w:rFonts w:ascii="Verdana" w:hAnsi="Verdana"/>
          <w:sz w:val="20"/>
          <w:szCs w:val="20"/>
          <w:lang w:val="es-CR"/>
        </w:rPr>
        <w:t xml:space="preserve"> Lidia Casas, ofrecida por las</w:t>
      </w:r>
      <w:r w:rsidR="0070741A" w:rsidRPr="002910C6">
        <w:rPr>
          <w:rFonts w:ascii="Verdana" w:hAnsi="Verdana"/>
          <w:sz w:val="20"/>
          <w:szCs w:val="20"/>
          <w:lang w:val="es-CR"/>
        </w:rPr>
        <w:t xml:space="preserve"> representantes como perita</w:t>
      </w:r>
      <w:r w:rsidR="00B56D82" w:rsidRPr="00A75739">
        <w:rPr>
          <w:rFonts w:ascii="Verdana" w:hAnsi="Verdana"/>
          <w:sz w:val="20"/>
          <w:szCs w:val="20"/>
          <w:lang w:val="es-CR"/>
        </w:rPr>
        <w:t xml:space="preserve">. </w:t>
      </w:r>
    </w:p>
    <w:p w14:paraId="663239A6" w14:textId="77777777" w:rsidR="00FD5909" w:rsidRPr="00A75739" w:rsidRDefault="00FD5909" w:rsidP="00A75739">
      <w:pPr>
        <w:pStyle w:val="Prrafodelista"/>
        <w:spacing w:line="216" w:lineRule="auto"/>
        <w:ind w:left="0"/>
        <w:jc w:val="both"/>
        <w:rPr>
          <w:rFonts w:ascii="Verdana" w:hAnsi="Verdana"/>
          <w:sz w:val="20"/>
          <w:szCs w:val="20"/>
          <w:lang w:val="es-CR"/>
        </w:rPr>
      </w:pPr>
    </w:p>
    <w:p w14:paraId="6D986590" w14:textId="715F8171" w:rsidR="00FD5909" w:rsidRPr="00A75739" w:rsidRDefault="00B56D82" w:rsidP="00A75739">
      <w:pPr>
        <w:pStyle w:val="Prrafodelista"/>
        <w:numPr>
          <w:ilvl w:val="0"/>
          <w:numId w:val="22"/>
        </w:numPr>
        <w:spacing w:line="216" w:lineRule="auto"/>
        <w:ind w:left="0" w:firstLine="0"/>
        <w:jc w:val="both"/>
        <w:rPr>
          <w:rFonts w:ascii="Verdana" w:hAnsi="Verdana"/>
          <w:sz w:val="20"/>
          <w:szCs w:val="20"/>
          <w:lang w:val="es-CR"/>
        </w:rPr>
      </w:pPr>
      <w:r w:rsidRPr="00A75739">
        <w:rPr>
          <w:rFonts w:ascii="Verdana" w:hAnsi="Verdana"/>
          <w:sz w:val="20"/>
          <w:szCs w:val="20"/>
          <w:lang w:val="es-CR"/>
        </w:rPr>
        <w:lastRenderedPageBreak/>
        <w:t>El Estado, por su parte, presentó una objeción parcial a</w:t>
      </w:r>
      <w:r w:rsidR="0070741A" w:rsidRPr="002910C6">
        <w:rPr>
          <w:rFonts w:ascii="Verdana" w:hAnsi="Verdana"/>
          <w:sz w:val="20"/>
          <w:szCs w:val="20"/>
          <w:lang w:val="es-CR"/>
        </w:rPr>
        <w:t>l objeto propuesto</w:t>
      </w:r>
      <w:r w:rsidR="00C14F6B" w:rsidRPr="002910C6">
        <w:rPr>
          <w:rFonts w:ascii="Verdana" w:hAnsi="Verdana"/>
          <w:sz w:val="20"/>
          <w:szCs w:val="20"/>
          <w:lang w:val="es-CR"/>
        </w:rPr>
        <w:t xml:space="preserve"> por las representantes</w:t>
      </w:r>
      <w:r w:rsidR="0070741A" w:rsidRPr="002910C6">
        <w:rPr>
          <w:rFonts w:ascii="Verdana" w:hAnsi="Verdana"/>
          <w:sz w:val="20"/>
          <w:szCs w:val="20"/>
          <w:lang w:val="es-CR"/>
        </w:rPr>
        <w:t xml:space="preserve"> para</w:t>
      </w:r>
      <w:r w:rsidRPr="00A75739">
        <w:rPr>
          <w:rFonts w:ascii="Verdana" w:hAnsi="Verdana"/>
          <w:sz w:val="20"/>
          <w:szCs w:val="20"/>
          <w:lang w:val="es-CR"/>
        </w:rPr>
        <w:t xml:space="preserve"> las declaraciones de</w:t>
      </w:r>
      <w:r w:rsidR="00C14F6B" w:rsidRPr="002910C6">
        <w:rPr>
          <w:rFonts w:ascii="Verdana" w:hAnsi="Verdana"/>
          <w:sz w:val="20"/>
          <w:szCs w:val="20"/>
          <w:lang w:val="es-CR"/>
        </w:rPr>
        <w:t xml:space="preserve"> </w:t>
      </w:r>
      <w:r w:rsidR="0070741A" w:rsidRPr="002910C6">
        <w:rPr>
          <w:rFonts w:ascii="Verdana" w:hAnsi="Verdana"/>
          <w:sz w:val="20"/>
          <w:szCs w:val="20"/>
          <w:lang w:val="es-CR"/>
        </w:rPr>
        <w:t>dos</w:t>
      </w:r>
      <w:r w:rsidRPr="00A75739">
        <w:rPr>
          <w:rFonts w:ascii="Verdana" w:hAnsi="Verdana"/>
          <w:sz w:val="20"/>
          <w:szCs w:val="20"/>
          <w:lang w:val="es-CR"/>
        </w:rPr>
        <w:t xml:space="preserve"> presuntas víctimas y</w:t>
      </w:r>
      <w:r w:rsidR="00C14F6B" w:rsidRPr="002910C6">
        <w:rPr>
          <w:rFonts w:ascii="Verdana" w:hAnsi="Verdana"/>
          <w:sz w:val="20"/>
          <w:szCs w:val="20"/>
          <w:lang w:val="es-CR"/>
        </w:rPr>
        <w:t>, además, pr</w:t>
      </w:r>
      <w:r w:rsidR="0084680C" w:rsidRPr="002910C6">
        <w:rPr>
          <w:rFonts w:ascii="Verdana" w:hAnsi="Verdana"/>
          <w:sz w:val="20"/>
          <w:szCs w:val="20"/>
          <w:lang w:val="es-CR"/>
        </w:rPr>
        <w:t>opuso</w:t>
      </w:r>
      <w:r w:rsidR="00C14F6B" w:rsidRPr="002910C6">
        <w:rPr>
          <w:rFonts w:ascii="Verdana" w:hAnsi="Verdana"/>
          <w:sz w:val="20"/>
          <w:szCs w:val="20"/>
          <w:lang w:val="es-CR"/>
        </w:rPr>
        <w:t xml:space="preserve"> las</w:t>
      </w:r>
      <w:r w:rsidRPr="00A75739">
        <w:rPr>
          <w:rFonts w:ascii="Verdana" w:hAnsi="Verdana"/>
          <w:sz w:val="20"/>
          <w:szCs w:val="20"/>
          <w:lang w:val="es-CR"/>
        </w:rPr>
        <w:t xml:space="preserve"> recus</w:t>
      </w:r>
      <w:r w:rsidR="00C14F6B" w:rsidRPr="002910C6">
        <w:rPr>
          <w:rFonts w:ascii="Verdana" w:hAnsi="Verdana"/>
          <w:sz w:val="20"/>
          <w:szCs w:val="20"/>
          <w:lang w:val="es-CR"/>
        </w:rPr>
        <w:t>aciones indicadas (</w:t>
      </w:r>
      <w:r w:rsidR="00C14F6B" w:rsidRPr="00A75739">
        <w:rPr>
          <w:rFonts w:ascii="Verdana" w:hAnsi="Verdana"/>
          <w:i/>
          <w:sz w:val="20"/>
          <w:szCs w:val="20"/>
          <w:lang w:val="es-CR"/>
        </w:rPr>
        <w:t>supra</w:t>
      </w:r>
      <w:r w:rsidR="00C14F6B" w:rsidRPr="002910C6">
        <w:rPr>
          <w:rFonts w:ascii="Verdana" w:hAnsi="Verdana"/>
          <w:sz w:val="20"/>
          <w:szCs w:val="20"/>
          <w:lang w:val="es-CR"/>
        </w:rPr>
        <w:t xml:space="preserve"> Visto </w:t>
      </w:r>
      <w:r w:rsidR="001D3CCE">
        <w:rPr>
          <w:rFonts w:ascii="Verdana" w:hAnsi="Verdana"/>
          <w:sz w:val="20"/>
          <w:szCs w:val="20"/>
          <w:lang w:val="es-CR"/>
        </w:rPr>
        <w:t>4</w:t>
      </w:r>
      <w:r w:rsidR="00C14F6B" w:rsidRPr="002910C6">
        <w:rPr>
          <w:rFonts w:ascii="Verdana" w:hAnsi="Verdana"/>
          <w:sz w:val="20"/>
          <w:szCs w:val="20"/>
          <w:lang w:val="es-CR"/>
        </w:rPr>
        <w:t>)</w:t>
      </w:r>
      <w:r w:rsidRPr="00A75739">
        <w:rPr>
          <w:rFonts w:ascii="Verdana" w:hAnsi="Verdana"/>
          <w:sz w:val="20"/>
          <w:szCs w:val="20"/>
          <w:lang w:val="es-CR"/>
        </w:rPr>
        <w:t>.</w:t>
      </w:r>
    </w:p>
    <w:p w14:paraId="2FDA87CC" w14:textId="77777777" w:rsidR="00FD5909" w:rsidRPr="00A75739" w:rsidRDefault="00FD5909" w:rsidP="00A75739">
      <w:pPr>
        <w:pStyle w:val="Prrafodelista"/>
        <w:spacing w:line="216" w:lineRule="auto"/>
        <w:ind w:left="0"/>
        <w:jc w:val="both"/>
        <w:rPr>
          <w:rFonts w:ascii="Verdana" w:hAnsi="Verdana"/>
          <w:sz w:val="20"/>
          <w:szCs w:val="20"/>
          <w:lang w:val="es-CR"/>
        </w:rPr>
      </w:pPr>
    </w:p>
    <w:p w14:paraId="61DB15E8" w14:textId="7CA14F59" w:rsidR="00B56D82" w:rsidRPr="002910C6" w:rsidRDefault="00C14F6B" w:rsidP="00A75739">
      <w:pPr>
        <w:pStyle w:val="Prrafodelista"/>
        <w:numPr>
          <w:ilvl w:val="0"/>
          <w:numId w:val="22"/>
        </w:numPr>
        <w:spacing w:line="216" w:lineRule="auto"/>
        <w:ind w:left="0" w:firstLine="0"/>
        <w:jc w:val="both"/>
        <w:rPr>
          <w:rFonts w:ascii="Verdana" w:hAnsi="Verdana"/>
          <w:sz w:val="20"/>
          <w:szCs w:val="20"/>
          <w:lang w:val="es-CR"/>
        </w:rPr>
      </w:pPr>
      <w:r w:rsidRPr="002910C6">
        <w:rPr>
          <w:rFonts w:ascii="Verdana" w:hAnsi="Verdana"/>
          <w:sz w:val="20"/>
          <w:szCs w:val="20"/>
          <w:lang w:val="es-CR"/>
        </w:rPr>
        <w:t>Como quedó expuesto (</w:t>
      </w:r>
      <w:r w:rsidRPr="002910C6">
        <w:rPr>
          <w:rFonts w:ascii="Verdana" w:hAnsi="Verdana"/>
          <w:i/>
          <w:sz w:val="20"/>
          <w:szCs w:val="20"/>
          <w:lang w:val="es-CR"/>
        </w:rPr>
        <w:t xml:space="preserve">supra </w:t>
      </w:r>
      <w:r w:rsidRPr="002910C6">
        <w:rPr>
          <w:rFonts w:ascii="Verdana" w:hAnsi="Verdana"/>
          <w:sz w:val="20"/>
          <w:szCs w:val="20"/>
          <w:lang w:val="es-CR"/>
        </w:rPr>
        <w:t xml:space="preserve">Visto </w:t>
      </w:r>
      <w:r w:rsidR="001D3CCE">
        <w:rPr>
          <w:rFonts w:ascii="Verdana" w:hAnsi="Verdana"/>
          <w:sz w:val="20"/>
          <w:szCs w:val="20"/>
          <w:lang w:val="es-CR"/>
        </w:rPr>
        <w:t>4</w:t>
      </w:r>
      <w:r w:rsidRPr="002910C6">
        <w:rPr>
          <w:rFonts w:ascii="Verdana" w:hAnsi="Verdana"/>
          <w:sz w:val="20"/>
          <w:szCs w:val="20"/>
          <w:lang w:val="es-CR"/>
        </w:rPr>
        <w:t>), l</w:t>
      </w:r>
      <w:r w:rsidR="00B56D82" w:rsidRPr="00A75739">
        <w:rPr>
          <w:rFonts w:ascii="Verdana" w:hAnsi="Verdana"/>
          <w:sz w:val="20"/>
          <w:szCs w:val="20"/>
          <w:lang w:val="es-CR"/>
        </w:rPr>
        <w:t>as representantes</w:t>
      </w:r>
      <w:r w:rsidRPr="002910C6">
        <w:rPr>
          <w:rFonts w:ascii="Verdana" w:hAnsi="Verdana"/>
          <w:sz w:val="20"/>
          <w:szCs w:val="20"/>
          <w:lang w:val="es-CR"/>
        </w:rPr>
        <w:t xml:space="preserve"> también </w:t>
      </w:r>
      <w:r w:rsidR="0084680C" w:rsidRPr="002910C6">
        <w:rPr>
          <w:rFonts w:ascii="Verdana" w:hAnsi="Verdana"/>
          <w:sz w:val="20"/>
          <w:szCs w:val="20"/>
          <w:lang w:val="es-CR"/>
        </w:rPr>
        <w:t>propusieron</w:t>
      </w:r>
      <w:r w:rsidRPr="002910C6">
        <w:rPr>
          <w:rFonts w:ascii="Verdana" w:hAnsi="Verdana"/>
          <w:sz w:val="20"/>
          <w:szCs w:val="20"/>
          <w:lang w:val="es-CR"/>
        </w:rPr>
        <w:t xml:space="preserve"> dos recusaciones</w:t>
      </w:r>
      <w:r w:rsidR="00B56D82" w:rsidRPr="00A75739">
        <w:rPr>
          <w:rFonts w:ascii="Verdana" w:hAnsi="Verdana"/>
          <w:sz w:val="20"/>
          <w:szCs w:val="20"/>
          <w:lang w:val="es-CR"/>
        </w:rPr>
        <w:t xml:space="preserve">. </w:t>
      </w:r>
    </w:p>
    <w:p w14:paraId="27862E4B" w14:textId="77777777" w:rsidR="00FD5909" w:rsidRPr="00A75739" w:rsidRDefault="00FD5909" w:rsidP="00A75739">
      <w:pPr>
        <w:pStyle w:val="Prrafodelista"/>
        <w:spacing w:line="216" w:lineRule="auto"/>
        <w:ind w:left="0"/>
        <w:jc w:val="both"/>
        <w:rPr>
          <w:rFonts w:ascii="Verdana" w:hAnsi="Verdana"/>
          <w:sz w:val="20"/>
          <w:szCs w:val="20"/>
          <w:lang w:val="es-CR"/>
        </w:rPr>
      </w:pPr>
    </w:p>
    <w:p w14:paraId="7629E9F4" w14:textId="7B37C9BB" w:rsidR="00843E30" w:rsidRPr="002910C6" w:rsidRDefault="00843E30" w:rsidP="00A75739">
      <w:pPr>
        <w:pStyle w:val="Prrafodelista"/>
        <w:numPr>
          <w:ilvl w:val="0"/>
          <w:numId w:val="22"/>
        </w:numPr>
        <w:spacing w:line="216" w:lineRule="auto"/>
        <w:ind w:left="0" w:firstLine="0"/>
        <w:jc w:val="both"/>
        <w:rPr>
          <w:rFonts w:ascii="Verdana" w:hAnsi="Verdana"/>
          <w:sz w:val="20"/>
          <w:szCs w:val="20"/>
          <w:lang w:val="es-CR"/>
        </w:rPr>
      </w:pPr>
      <w:r w:rsidRPr="00A75739">
        <w:rPr>
          <w:rFonts w:ascii="Verdana" w:hAnsi="Verdana"/>
          <w:sz w:val="20"/>
          <w:szCs w:val="20"/>
          <w:lang w:val="es-CR"/>
        </w:rPr>
        <w:t xml:space="preserve">En cuanto a las declaraciones de las presuntas víctimas, </w:t>
      </w:r>
      <w:r w:rsidR="001B1D65" w:rsidRPr="002910C6">
        <w:rPr>
          <w:rFonts w:ascii="Verdana" w:hAnsi="Verdana"/>
          <w:sz w:val="20"/>
          <w:szCs w:val="20"/>
          <w:lang w:val="es-CR"/>
        </w:rPr>
        <w:t>y</w:t>
      </w:r>
      <w:r w:rsidRPr="00A75739">
        <w:rPr>
          <w:rFonts w:ascii="Verdana" w:hAnsi="Verdana"/>
          <w:sz w:val="20"/>
          <w:szCs w:val="20"/>
          <w:lang w:val="es-CR"/>
        </w:rPr>
        <w:t xml:space="preserve"> las declaraci</w:t>
      </w:r>
      <w:r w:rsidR="00B37964">
        <w:rPr>
          <w:rFonts w:ascii="Verdana" w:hAnsi="Verdana"/>
          <w:sz w:val="20"/>
          <w:szCs w:val="20"/>
          <w:lang w:val="es-CR"/>
        </w:rPr>
        <w:t>ones periciales ofrecidas por la</w:t>
      </w:r>
      <w:r w:rsidRPr="00A75739">
        <w:rPr>
          <w:rFonts w:ascii="Verdana" w:hAnsi="Verdana"/>
          <w:sz w:val="20"/>
          <w:szCs w:val="20"/>
          <w:lang w:val="es-CR"/>
        </w:rPr>
        <w:t xml:space="preserve">s representantes y el Estado </w:t>
      </w:r>
      <w:r w:rsidR="00E66C67">
        <w:rPr>
          <w:rFonts w:ascii="Verdana" w:hAnsi="Verdana"/>
          <w:sz w:val="20"/>
          <w:szCs w:val="20"/>
          <w:lang w:val="es-CR"/>
        </w:rPr>
        <w:t xml:space="preserve">cuya admisibilidad </w:t>
      </w:r>
      <w:r w:rsidRPr="00A75739">
        <w:rPr>
          <w:rFonts w:ascii="Verdana" w:hAnsi="Verdana"/>
          <w:sz w:val="20"/>
          <w:szCs w:val="20"/>
          <w:lang w:val="es-CR"/>
        </w:rPr>
        <w:t>no ha sido objetada y cumplen los requisitos reglamentarios, esta Presidencia considera conveniente recabarlas</w:t>
      </w:r>
      <w:r w:rsidR="001B1D65" w:rsidRPr="002910C6">
        <w:rPr>
          <w:rFonts w:ascii="Verdana" w:hAnsi="Verdana"/>
          <w:sz w:val="20"/>
          <w:szCs w:val="20"/>
          <w:lang w:val="es-CR"/>
        </w:rPr>
        <w:t>.</w:t>
      </w:r>
      <w:r w:rsidRPr="00A75739">
        <w:rPr>
          <w:rFonts w:ascii="Verdana" w:hAnsi="Verdana"/>
          <w:sz w:val="20"/>
          <w:szCs w:val="20"/>
          <w:lang w:val="es-CR"/>
        </w:rPr>
        <w:t xml:space="preserve"> </w:t>
      </w:r>
      <w:r w:rsidR="001B1D65" w:rsidRPr="002910C6">
        <w:rPr>
          <w:rFonts w:ascii="Verdana" w:hAnsi="Verdana"/>
          <w:sz w:val="20"/>
          <w:szCs w:val="20"/>
          <w:lang w:val="es-CR"/>
        </w:rPr>
        <w:t>Por ello, se admiten las</w:t>
      </w:r>
      <w:r w:rsidRPr="00A75739">
        <w:rPr>
          <w:rFonts w:ascii="Verdana" w:hAnsi="Verdana"/>
          <w:sz w:val="20"/>
          <w:szCs w:val="20"/>
          <w:lang w:val="es-CR"/>
        </w:rPr>
        <w:t xml:space="preserve"> declaraci</w:t>
      </w:r>
      <w:r w:rsidR="001B1D65" w:rsidRPr="002910C6">
        <w:rPr>
          <w:rFonts w:ascii="Verdana" w:hAnsi="Verdana"/>
          <w:sz w:val="20"/>
          <w:szCs w:val="20"/>
          <w:lang w:val="es-CR"/>
        </w:rPr>
        <w:t>ones</w:t>
      </w:r>
      <w:r w:rsidRPr="00A75739">
        <w:rPr>
          <w:rFonts w:ascii="Verdana" w:hAnsi="Verdana"/>
          <w:sz w:val="20"/>
          <w:szCs w:val="20"/>
          <w:lang w:val="es-CR"/>
        </w:rPr>
        <w:t xml:space="preserve"> de </w:t>
      </w:r>
      <w:proofErr w:type="spellStart"/>
      <w:r w:rsidRPr="00A75739">
        <w:rPr>
          <w:rFonts w:ascii="Verdana" w:hAnsi="Verdana"/>
          <w:sz w:val="20"/>
          <w:szCs w:val="20"/>
          <w:lang w:val="es-CR"/>
        </w:rPr>
        <w:t>Petita</w:t>
      </w:r>
      <w:proofErr w:type="spellEnd"/>
      <w:r w:rsidRPr="00A75739">
        <w:rPr>
          <w:rFonts w:ascii="Verdana" w:hAnsi="Verdana"/>
          <w:sz w:val="20"/>
          <w:szCs w:val="20"/>
          <w:lang w:val="es-CR"/>
        </w:rPr>
        <w:t xml:space="preserve"> Paulina Albarracín y Denisse Guzmán Albarracín</w:t>
      </w:r>
      <w:r w:rsidR="00B56D82" w:rsidRPr="00A75739">
        <w:rPr>
          <w:rFonts w:ascii="Verdana" w:hAnsi="Verdana"/>
          <w:sz w:val="20"/>
          <w:szCs w:val="20"/>
          <w:lang w:val="es-CR"/>
        </w:rPr>
        <w:t>, presuntas víctimas</w:t>
      </w:r>
      <w:r w:rsidR="001B1D65" w:rsidRPr="002910C6">
        <w:rPr>
          <w:rFonts w:ascii="Verdana" w:hAnsi="Verdana"/>
          <w:sz w:val="20"/>
          <w:szCs w:val="20"/>
          <w:lang w:val="es-CR"/>
        </w:rPr>
        <w:t>;</w:t>
      </w:r>
      <w:r w:rsidRPr="00A75739">
        <w:rPr>
          <w:rFonts w:ascii="Verdana" w:hAnsi="Verdana"/>
          <w:sz w:val="20"/>
          <w:szCs w:val="20"/>
          <w:lang w:val="es-CR"/>
        </w:rPr>
        <w:t xml:space="preserve"> y los dictámenes periciales de: </w:t>
      </w:r>
      <w:r w:rsidR="00581530" w:rsidRPr="00A75739">
        <w:rPr>
          <w:rFonts w:ascii="Verdana" w:hAnsi="Verdana"/>
          <w:sz w:val="20"/>
          <w:szCs w:val="20"/>
          <w:lang w:val="es-CR"/>
        </w:rPr>
        <w:t xml:space="preserve">1) </w:t>
      </w:r>
      <w:r w:rsidR="002F7A5E" w:rsidRPr="00A75739">
        <w:rPr>
          <w:rFonts w:ascii="Verdana" w:hAnsi="Verdana"/>
          <w:sz w:val="20"/>
          <w:szCs w:val="20"/>
          <w:lang w:val="es-CR"/>
        </w:rPr>
        <w:t xml:space="preserve">Marlon Alexis Oviedo Ramírez y </w:t>
      </w:r>
      <w:r w:rsidRPr="00A75739">
        <w:rPr>
          <w:rFonts w:ascii="Verdana" w:hAnsi="Verdana"/>
          <w:sz w:val="20"/>
          <w:szCs w:val="20"/>
          <w:lang w:val="es-CR"/>
        </w:rPr>
        <w:t>Guillermo Barragán Moya</w:t>
      </w:r>
      <w:r w:rsidR="000379EA" w:rsidRPr="002910C6">
        <w:rPr>
          <w:rFonts w:ascii="Verdana" w:hAnsi="Verdana"/>
          <w:sz w:val="20"/>
          <w:szCs w:val="20"/>
          <w:lang w:val="es-CR"/>
        </w:rPr>
        <w:t xml:space="preserve"> (actuando en forma conjunta)</w:t>
      </w:r>
      <w:r w:rsidRPr="00A75739">
        <w:rPr>
          <w:rFonts w:ascii="Verdana" w:hAnsi="Verdana"/>
          <w:sz w:val="20"/>
          <w:szCs w:val="20"/>
          <w:lang w:val="es-CR"/>
        </w:rPr>
        <w:t>;</w:t>
      </w:r>
      <w:r w:rsidR="0084680C" w:rsidRPr="002910C6">
        <w:rPr>
          <w:rFonts w:ascii="Verdana" w:hAnsi="Verdana"/>
          <w:sz w:val="20"/>
          <w:szCs w:val="20"/>
          <w:lang w:val="es-CR"/>
        </w:rPr>
        <w:t xml:space="preserve"> 2</w:t>
      </w:r>
      <w:r w:rsidR="00581530" w:rsidRPr="00A75739">
        <w:rPr>
          <w:rFonts w:ascii="Verdana" w:hAnsi="Verdana"/>
          <w:sz w:val="20"/>
          <w:szCs w:val="20"/>
          <w:lang w:val="es-CR"/>
        </w:rPr>
        <w:t>)</w:t>
      </w:r>
      <w:r w:rsidRPr="00A75739">
        <w:rPr>
          <w:rFonts w:ascii="Verdana" w:hAnsi="Verdana"/>
          <w:sz w:val="20"/>
          <w:szCs w:val="20"/>
          <w:lang w:val="es-CR"/>
        </w:rPr>
        <w:t xml:space="preserve"> Juan Genaro Ayala Yépez y Romel Vladimir Aguirre</w:t>
      </w:r>
      <w:r w:rsidR="000E0310">
        <w:rPr>
          <w:rFonts w:ascii="Verdana" w:hAnsi="Verdana"/>
          <w:sz w:val="20"/>
          <w:szCs w:val="20"/>
          <w:lang w:val="es-CR"/>
        </w:rPr>
        <w:t xml:space="preserve"> (actuando en forma conjunta)</w:t>
      </w:r>
      <w:r w:rsidR="00581530" w:rsidRPr="00A75739">
        <w:rPr>
          <w:rFonts w:ascii="Verdana" w:hAnsi="Verdana"/>
          <w:sz w:val="20"/>
          <w:szCs w:val="20"/>
          <w:lang w:val="es-CR"/>
        </w:rPr>
        <w:t>;</w:t>
      </w:r>
      <w:r w:rsidRPr="00A75739">
        <w:rPr>
          <w:rFonts w:ascii="Verdana" w:hAnsi="Verdana"/>
          <w:sz w:val="20"/>
          <w:szCs w:val="20"/>
          <w:lang w:val="es-CR"/>
        </w:rPr>
        <w:t xml:space="preserve"> </w:t>
      </w:r>
      <w:r w:rsidR="0084680C" w:rsidRPr="002910C6">
        <w:rPr>
          <w:rFonts w:ascii="Verdana" w:hAnsi="Verdana"/>
          <w:sz w:val="20"/>
          <w:szCs w:val="20"/>
          <w:lang w:val="es-CR"/>
        </w:rPr>
        <w:t>3</w:t>
      </w:r>
      <w:r w:rsidR="00581530" w:rsidRPr="00A75739">
        <w:rPr>
          <w:rFonts w:ascii="Verdana" w:hAnsi="Verdana"/>
          <w:sz w:val="20"/>
          <w:szCs w:val="20"/>
          <w:lang w:val="es-CR"/>
        </w:rPr>
        <w:t xml:space="preserve">) </w:t>
      </w:r>
      <w:r w:rsidRPr="00A75739">
        <w:rPr>
          <w:rFonts w:ascii="Verdana" w:hAnsi="Verdana"/>
          <w:sz w:val="20"/>
          <w:szCs w:val="20"/>
          <w:lang w:val="es-CR"/>
        </w:rPr>
        <w:t xml:space="preserve">Alex Iván Valle Franco; </w:t>
      </w:r>
      <w:r w:rsidR="0084680C" w:rsidRPr="002910C6">
        <w:rPr>
          <w:rFonts w:ascii="Verdana" w:hAnsi="Verdana"/>
          <w:sz w:val="20"/>
          <w:szCs w:val="20"/>
          <w:lang w:val="es-CR"/>
        </w:rPr>
        <w:t>4</w:t>
      </w:r>
      <w:r w:rsidR="00581530" w:rsidRPr="00A75739">
        <w:rPr>
          <w:rFonts w:ascii="Verdana" w:hAnsi="Verdana"/>
          <w:sz w:val="20"/>
          <w:szCs w:val="20"/>
          <w:lang w:val="es-CR"/>
        </w:rPr>
        <w:t xml:space="preserve">) </w:t>
      </w:r>
      <w:r w:rsidRPr="00A75739">
        <w:rPr>
          <w:rFonts w:ascii="Verdana" w:hAnsi="Verdana"/>
          <w:sz w:val="20"/>
          <w:szCs w:val="20"/>
          <w:lang w:val="es-CR"/>
        </w:rPr>
        <w:t>Juan Carlos Cobos Velazco y Johanna Patricia Bustamante Torres</w:t>
      </w:r>
      <w:r w:rsidR="000E0310">
        <w:rPr>
          <w:rFonts w:ascii="Verdana" w:hAnsi="Verdana"/>
          <w:sz w:val="20"/>
          <w:szCs w:val="20"/>
          <w:lang w:val="es-CR"/>
        </w:rPr>
        <w:t xml:space="preserve"> (actuando en forma conjunta)</w:t>
      </w:r>
      <w:r w:rsidR="0084680C" w:rsidRPr="002910C6">
        <w:rPr>
          <w:rFonts w:ascii="Verdana" w:hAnsi="Verdana"/>
          <w:sz w:val="20"/>
          <w:szCs w:val="20"/>
          <w:lang w:val="es-CR"/>
        </w:rPr>
        <w:t>, y</w:t>
      </w:r>
      <w:r w:rsidRPr="00A75739">
        <w:rPr>
          <w:rFonts w:ascii="Verdana" w:hAnsi="Verdana"/>
          <w:sz w:val="20"/>
          <w:szCs w:val="20"/>
          <w:lang w:val="es-CR"/>
        </w:rPr>
        <w:t xml:space="preserve"> </w:t>
      </w:r>
      <w:r w:rsidR="0084680C" w:rsidRPr="002910C6">
        <w:rPr>
          <w:rFonts w:ascii="Verdana" w:hAnsi="Verdana"/>
          <w:sz w:val="20"/>
          <w:szCs w:val="20"/>
          <w:lang w:val="es-CR"/>
        </w:rPr>
        <w:t>5</w:t>
      </w:r>
      <w:r w:rsidR="002F7A5E" w:rsidRPr="00A75739">
        <w:rPr>
          <w:rFonts w:ascii="Verdana" w:hAnsi="Verdana"/>
          <w:sz w:val="20"/>
          <w:szCs w:val="20"/>
          <w:lang w:val="es-CR"/>
        </w:rPr>
        <w:t xml:space="preserve">) </w:t>
      </w:r>
      <w:proofErr w:type="spellStart"/>
      <w:r w:rsidR="002F7A5E" w:rsidRPr="00A75739">
        <w:rPr>
          <w:rFonts w:ascii="Verdana" w:hAnsi="Verdana"/>
          <w:sz w:val="20"/>
          <w:szCs w:val="20"/>
          <w:lang w:val="es-CR"/>
        </w:rPr>
        <w:t>Vernor</w:t>
      </w:r>
      <w:proofErr w:type="spellEnd"/>
      <w:r w:rsidR="002F7A5E" w:rsidRPr="00A75739">
        <w:rPr>
          <w:rFonts w:ascii="Verdana" w:hAnsi="Verdana"/>
          <w:sz w:val="20"/>
          <w:szCs w:val="20"/>
          <w:lang w:val="es-CR"/>
        </w:rPr>
        <w:t xml:space="preserve"> Muñoz Villalobos</w:t>
      </w:r>
      <w:r w:rsidRPr="00A75739">
        <w:rPr>
          <w:rFonts w:ascii="Verdana" w:hAnsi="Verdana"/>
          <w:sz w:val="20"/>
          <w:szCs w:val="20"/>
          <w:lang w:val="es-CR"/>
        </w:rPr>
        <w:t>; según l</w:t>
      </w:r>
      <w:r w:rsidR="001B1D65" w:rsidRPr="002910C6">
        <w:rPr>
          <w:rFonts w:ascii="Verdana" w:hAnsi="Verdana"/>
          <w:sz w:val="20"/>
          <w:szCs w:val="20"/>
          <w:lang w:val="es-CR"/>
        </w:rPr>
        <w:t>os</w:t>
      </w:r>
      <w:r w:rsidRPr="00A75739">
        <w:rPr>
          <w:rFonts w:ascii="Verdana" w:hAnsi="Verdana"/>
          <w:sz w:val="20"/>
          <w:szCs w:val="20"/>
          <w:lang w:val="es-CR"/>
        </w:rPr>
        <w:t xml:space="preserve"> objeto</w:t>
      </w:r>
      <w:r w:rsidR="001B1D65" w:rsidRPr="002910C6">
        <w:rPr>
          <w:rFonts w:ascii="Verdana" w:hAnsi="Verdana"/>
          <w:sz w:val="20"/>
          <w:szCs w:val="20"/>
          <w:lang w:val="es-CR"/>
        </w:rPr>
        <w:t>s</w:t>
      </w:r>
      <w:r w:rsidRPr="00A75739">
        <w:rPr>
          <w:rFonts w:ascii="Verdana" w:hAnsi="Verdana"/>
          <w:sz w:val="20"/>
          <w:szCs w:val="20"/>
          <w:lang w:val="es-CR"/>
        </w:rPr>
        <w:t xml:space="preserve"> y modalidad</w:t>
      </w:r>
      <w:r w:rsidR="001B1D65" w:rsidRPr="002910C6">
        <w:rPr>
          <w:rFonts w:ascii="Verdana" w:hAnsi="Verdana"/>
          <w:sz w:val="20"/>
          <w:szCs w:val="20"/>
          <w:lang w:val="es-CR"/>
        </w:rPr>
        <w:t>es</w:t>
      </w:r>
      <w:r w:rsidRPr="00A75739">
        <w:rPr>
          <w:rFonts w:ascii="Verdana" w:hAnsi="Verdana"/>
          <w:sz w:val="20"/>
          <w:szCs w:val="20"/>
          <w:lang w:val="es-CR"/>
        </w:rPr>
        <w:t xml:space="preserve"> determinados en la parte resolutiva de esta decisión.</w:t>
      </w:r>
    </w:p>
    <w:p w14:paraId="1D522E20" w14:textId="77777777" w:rsidR="00FD5909" w:rsidRPr="00A75739" w:rsidRDefault="00FD5909" w:rsidP="00A75739">
      <w:pPr>
        <w:pStyle w:val="Prrafodelista"/>
        <w:spacing w:line="216" w:lineRule="auto"/>
        <w:ind w:left="0"/>
        <w:jc w:val="both"/>
        <w:rPr>
          <w:rFonts w:ascii="Verdana" w:hAnsi="Verdana"/>
          <w:sz w:val="20"/>
          <w:szCs w:val="20"/>
          <w:lang w:val="es-CR"/>
        </w:rPr>
      </w:pPr>
    </w:p>
    <w:p w14:paraId="4E80C7C8" w14:textId="24B056C7" w:rsidR="003C01B7" w:rsidRPr="00A75739" w:rsidRDefault="0084680C" w:rsidP="00A75739">
      <w:pPr>
        <w:pStyle w:val="Prrafodelista"/>
        <w:numPr>
          <w:ilvl w:val="0"/>
          <w:numId w:val="22"/>
        </w:numPr>
        <w:spacing w:line="216" w:lineRule="auto"/>
        <w:ind w:left="0" w:firstLine="0"/>
        <w:jc w:val="both"/>
        <w:rPr>
          <w:rFonts w:ascii="Verdana" w:hAnsi="Verdana"/>
          <w:sz w:val="20"/>
          <w:szCs w:val="20"/>
          <w:lang w:val="es-CR"/>
        </w:rPr>
      </w:pPr>
      <w:r w:rsidRPr="002910C6">
        <w:rPr>
          <w:rFonts w:ascii="Verdana" w:hAnsi="Verdana"/>
          <w:sz w:val="20"/>
          <w:szCs w:val="20"/>
          <w:lang w:val="es-CR"/>
        </w:rPr>
        <w:t>A</w:t>
      </w:r>
      <w:r w:rsidR="00977B2E" w:rsidRPr="002910C6">
        <w:rPr>
          <w:rFonts w:ascii="Verdana" w:hAnsi="Verdana"/>
          <w:sz w:val="20"/>
          <w:szCs w:val="20"/>
          <w:lang w:val="es-CR"/>
        </w:rPr>
        <w:t xml:space="preserve"> continuación, el </w:t>
      </w:r>
      <w:proofErr w:type="gramStart"/>
      <w:r w:rsidR="00977B2E" w:rsidRPr="002910C6">
        <w:rPr>
          <w:rFonts w:ascii="Verdana" w:hAnsi="Verdana"/>
          <w:sz w:val="20"/>
          <w:szCs w:val="20"/>
          <w:lang w:val="es-CR"/>
        </w:rPr>
        <w:t>Presidente</w:t>
      </w:r>
      <w:proofErr w:type="gramEnd"/>
      <w:r w:rsidR="00977B2E" w:rsidRPr="002910C6">
        <w:rPr>
          <w:rFonts w:ascii="Verdana" w:hAnsi="Verdana"/>
          <w:sz w:val="20"/>
          <w:szCs w:val="20"/>
          <w:lang w:val="es-CR"/>
        </w:rPr>
        <w:t xml:space="preserve"> examinará en forma particular</w:t>
      </w:r>
      <w:r w:rsidRPr="002910C6">
        <w:rPr>
          <w:rFonts w:ascii="Verdana" w:hAnsi="Verdana"/>
          <w:sz w:val="20"/>
          <w:szCs w:val="20"/>
          <w:lang w:val="es-CR"/>
        </w:rPr>
        <w:t>, la admisibilidad de las declaraciones periciales de</w:t>
      </w:r>
      <w:r w:rsidR="00977B2E" w:rsidRPr="002910C6">
        <w:rPr>
          <w:rFonts w:ascii="Verdana" w:hAnsi="Verdana"/>
          <w:sz w:val="20"/>
          <w:szCs w:val="20"/>
          <w:lang w:val="es-CR"/>
        </w:rPr>
        <w:t xml:space="preserve">: </w:t>
      </w:r>
      <w:r w:rsidR="003C01B7" w:rsidRPr="00A75739">
        <w:rPr>
          <w:rFonts w:ascii="Verdana" w:hAnsi="Verdana"/>
          <w:sz w:val="20"/>
          <w:szCs w:val="20"/>
          <w:lang w:val="es-CR"/>
        </w:rPr>
        <w:t xml:space="preserve">a) </w:t>
      </w:r>
      <w:r w:rsidR="00977B2E" w:rsidRPr="002910C6">
        <w:rPr>
          <w:rFonts w:ascii="Verdana" w:hAnsi="Verdana"/>
          <w:sz w:val="20"/>
          <w:szCs w:val="20"/>
          <w:lang w:val="es-CR"/>
        </w:rPr>
        <w:t xml:space="preserve">Ximena Andrea </w:t>
      </w:r>
      <w:proofErr w:type="spellStart"/>
      <w:r w:rsidR="00977B2E" w:rsidRPr="002910C6">
        <w:rPr>
          <w:rFonts w:ascii="Verdana" w:hAnsi="Verdana"/>
          <w:sz w:val="20"/>
          <w:szCs w:val="20"/>
          <w:lang w:val="es-CR"/>
        </w:rPr>
        <w:t>Gauché</w:t>
      </w:r>
      <w:proofErr w:type="spellEnd"/>
      <w:r w:rsidR="00977B2E" w:rsidRPr="002910C6">
        <w:rPr>
          <w:rFonts w:ascii="Verdana" w:hAnsi="Verdana"/>
          <w:sz w:val="20"/>
          <w:szCs w:val="20"/>
          <w:lang w:val="es-CR"/>
        </w:rPr>
        <w:t xml:space="preserve"> Marchetti y Patricia </w:t>
      </w:r>
      <w:proofErr w:type="spellStart"/>
      <w:r w:rsidR="00977B2E" w:rsidRPr="002910C6">
        <w:rPr>
          <w:rFonts w:ascii="Verdana" w:hAnsi="Verdana"/>
          <w:sz w:val="20"/>
          <w:szCs w:val="20"/>
          <w:lang w:val="es-CR"/>
        </w:rPr>
        <w:t>Viseur</w:t>
      </w:r>
      <w:proofErr w:type="spellEnd"/>
      <w:r w:rsidR="00977B2E" w:rsidRPr="002910C6">
        <w:rPr>
          <w:rFonts w:ascii="Verdana" w:hAnsi="Verdana"/>
          <w:sz w:val="20"/>
          <w:szCs w:val="20"/>
          <w:lang w:val="es-CR"/>
        </w:rPr>
        <w:t xml:space="preserve"> Sellers, ofrecidas por la Comisión</w:t>
      </w:r>
      <w:r w:rsidR="000379EA" w:rsidRPr="002910C6">
        <w:rPr>
          <w:rFonts w:ascii="Verdana" w:hAnsi="Verdana"/>
          <w:sz w:val="20"/>
          <w:szCs w:val="20"/>
          <w:lang w:val="es-CR"/>
        </w:rPr>
        <w:t>,</w:t>
      </w:r>
      <w:r w:rsidR="00324474" w:rsidRPr="00A75739">
        <w:rPr>
          <w:rFonts w:ascii="Verdana" w:hAnsi="Verdana"/>
          <w:sz w:val="20"/>
          <w:szCs w:val="20"/>
          <w:lang w:val="es-CR"/>
        </w:rPr>
        <w:t xml:space="preserve"> </w:t>
      </w:r>
      <w:r w:rsidRPr="002910C6">
        <w:rPr>
          <w:rFonts w:ascii="Verdana" w:hAnsi="Verdana"/>
          <w:sz w:val="20"/>
          <w:szCs w:val="20"/>
          <w:lang w:val="es-CR"/>
        </w:rPr>
        <w:t>y</w:t>
      </w:r>
      <w:r w:rsidR="00977B2E" w:rsidRPr="002910C6">
        <w:rPr>
          <w:rFonts w:ascii="Verdana" w:hAnsi="Verdana"/>
          <w:sz w:val="20"/>
          <w:szCs w:val="20"/>
          <w:lang w:val="es-CR"/>
        </w:rPr>
        <w:t xml:space="preserve"> </w:t>
      </w:r>
      <w:r w:rsidR="000379EA" w:rsidRPr="002910C6">
        <w:rPr>
          <w:rFonts w:ascii="Verdana" w:hAnsi="Verdana"/>
          <w:sz w:val="20"/>
          <w:szCs w:val="20"/>
          <w:lang w:val="es-CR"/>
        </w:rPr>
        <w:t>b</w:t>
      </w:r>
      <w:r w:rsidR="00324474" w:rsidRPr="00A75739">
        <w:rPr>
          <w:rFonts w:ascii="Verdana" w:hAnsi="Verdana"/>
          <w:sz w:val="20"/>
          <w:szCs w:val="20"/>
          <w:lang w:val="es-CR"/>
        </w:rPr>
        <w:t xml:space="preserve">) </w:t>
      </w:r>
      <w:r w:rsidR="00977B2E" w:rsidRPr="00A75739">
        <w:rPr>
          <w:rFonts w:ascii="Verdana" w:hAnsi="Verdana"/>
          <w:sz w:val="20"/>
          <w:szCs w:val="20"/>
          <w:lang w:val="es-CR"/>
        </w:rPr>
        <w:t>Freddy Herrera Almagro e Iván Patricio Jácome Artieda, ofrecidas por el Estado</w:t>
      </w:r>
      <w:r w:rsidRPr="002910C6">
        <w:rPr>
          <w:rFonts w:ascii="Verdana" w:hAnsi="Verdana"/>
          <w:sz w:val="20"/>
          <w:szCs w:val="20"/>
          <w:lang w:val="es-CR"/>
        </w:rPr>
        <w:t>. Además, expondrá las consideraciones pertinentes sobre:</w:t>
      </w:r>
      <w:r w:rsidR="00977B2E" w:rsidRPr="00A75739">
        <w:rPr>
          <w:rFonts w:ascii="Verdana" w:hAnsi="Verdana"/>
          <w:sz w:val="20"/>
          <w:szCs w:val="20"/>
          <w:lang w:val="es-CR"/>
        </w:rPr>
        <w:t xml:space="preserve"> d) </w:t>
      </w:r>
      <w:r w:rsidRPr="002910C6">
        <w:rPr>
          <w:rFonts w:ascii="Verdana" w:hAnsi="Verdana"/>
          <w:sz w:val="20"/>
          <w:szCs w:val="20"/>
          <w:lang w:val="es-CR"/>
        </w:rPr>
        <w:t xml:space="preserve">el objeto </w:t>
      </w:r>
      <w:r w:rsidR="00977B2E" w:rsidRPr="00A75739">
        <w:rPr>
          <w:rFonts w:ascii="Verdana" w:hAnsi="Verdana"/>
          <w:sz w:val="20"/>
          <w:szCs w:val="20"/>
          <w:lang w:val="es-CR"/>
        </w:rPr>
        <w:t xml:space="preserve">de las declaraciones de las presuntas víctimas </w:t>
      </w:r>
      <w:r w:rsidR="00977B2E" w:rsidRPr="002910C6">
        <w:rPr>
          <w:rFonts w:ascii="Verdana" w:hAnsi="Verdana"/>
          <w:sz w:val="20"/>
          <w:szCs w:val="20"/>
          <w:lang w:val="es-CR"/>
        </w:rPr>
        <w:t xml:space="preserve">y </w:t>
      </w:r>
      <w:r w:rsidR="00977B2E" w:rsidRPr="00A75739">
        <w:rPr>
          <w:rFonts w:ascii="Verdana" w:hAnsi="Verdana"/>
          <w:sz w:val="20"/>
          <w:szCs w:val="20"/>
          <w:lang w:val="es-CR"/>
        </w:rPr>
        <w:t xml:space="preserve">e) </w:t>
      </w:r>
      <w:r w:rsidR="00977B2E" w:rsidRPr="002910C6">
        <w:rPr>
          <w:rFonts w:ascii="Verdana" w:hAnsi="Verdana"/>
          <w:sz w:val="20"/>
          <w:szCs w:val="20"/>
          <w:lang w:val="es-CR"/>
        </w:rPr>
        <w:t>la s</w:t>
      </w:r>
      <w:r w:rsidR="00977B2E" w:rsidRPr="00A75739">
        <w:rPr>
          <w:rFonts w:ascii="Verdana" w:hAnsi="Verdana"/>
          <w:sz w:val="20"/>
          <w:szCs w:val="20"/>
          <w:lang w:val="es-CR"/>
        </w:rPr>
        <w:t>olicitud de la Comisión de interrogar a la Lidia Casas,</w:t>
      </w:r>
      <w:r w:rsidR="007A2143">
        <w:rPr>
          <w:rFonts w:ascii="Verdana" w:hAnsi="Verdana"/>
          <w:sz w:val="20"/>
          <w:szCs w:val="20"/>
          <w:lang w:val="es-CR"/>
        </w:rPr>
        <w:t xml:space="preserve"> </w:t>
      </w:r>
      <w:r w:rsidR="00977B2E" w:rsidRPr="00A75739">
        <w:rPr>
          <w:rFonts w:ascii="Verdana" w:hAnsi="Verdana"/>
          <w:sz w:val="20"/>
          <w:szCs w:val="20"/>
          <w:lang w:val="es-CR"/>
        </w:rPr>
        <w:t xml:space="preserve">propuesta </w:t>
      </w:r>
      <w:r w:rsidR="00872A77">
        <w:rPr>
          <w:rFonts w:ascii="Verdana" w:hAnsi="Verdana"/>
          <w:sz w:val="20"/>
          <w:szCs w:val="20"/>
          <w:lang w:val="es-CR"/>
        </w:rPr>
        <w:t xml:space="preserve">como perita </w:t>
      </w:r>
      <w:r w:rsidR="00977B2E" w:rsidRPr="00A75739">
        <w:rPr>
          <w:rFonts w:ascii="Verdana" w:hAnsi="Verdana"/>
          <w:sz w:val="20"/>
          <w:szCs w:val="20"/>
          <w:lang w:val="es-CR"/>
        </w:rPr>
        <w:t>por las representantes</w:t>
      </w:r>
      <w:r w:rsidR="00315159" w:rsidRPr="00A75739">
        <w:rPr>
          <w:rFonts w:ascii="Verdana" w:hAnsi="Verdana"/>
          <w:sz w:val="20"/>
          <w:szCs w:val="20"/>
          <w:lang w:val="es-CR"/>
        </w:rPr>
        <w:t>.</w:t>
      </w:r>
      <w:r w:rsidR="003C01B7" w:rsidRPr="00A75739">
        <w:rPr>
          <w:rFonts w:ascii="Verdana" w:hAnsi="Verdana"/>
          <w:sz w:val="20"/>
          <w:szCs w:val="20"/>
          <w:lang w:val="es-CR"/>
        </w:rPr>
        <w:t xml:space="preserve"> </w:t>
      </w:r>
    </w:p>
    <w:p w14:paraId="3D7D2C55" w14:textId="77777777" w:rsidR="0097736F" w:rsidRPr="002910C6" w:rsidRDefault="0097736F" w:rsidP="00A75739">
      <w:pPr>
        <w:pStyle w:val="Prrafodelista"/>
        <w:spacing w:line="216" w:lineRule="auto"/>
        <w:jc w:val="both"/>
        <w:rPr>
          <w:rFonts w:ascii="Verdana" w:hAnsi="Verdana"/>
          <w:sz w:val="20"/>
          <w:szCs w:val="20"/>
          <w:lang w:val="es-CR"/>
        </w:rPr>
      </w:pPr>
    </w:p>
    <w:p w14:paraId="061A8935" w14:textId="53DE6C7F" w:rsidR="003C01B7" w:rsidRPr="00A75739" w:rsidRDefault="003C01B7" w:rsidP="00A75739">
      <w:pPr>
        <w:pStyle w:val="Prrafodelista"/>
        <w:numPr>
          <w:ilvl w:val="0"/>
          <w:numId w:val="3"/>
        </w:numPr>
        <w:spacing w:line="216" w:lineRule="auto"/>
        <w:jc w:val="both"/>
        <w:rPr>
          <w:rFonts w:ascii="Verdana" w:hAnsi="Verdana"/>
          <w:b/>
          <w:i/>
          <w:sz w:val="20"/>
          <w:szCs w:val="20"/>
          <w:lang w:val="es-CR"/>
        </w:rPr>
      </w:pPr>
      <w:r w:rsidRPr="00A75739">
        <w:rPr>
          <w:rFonts w:ascii="Verdana" w:hAnsi="Verdana"/>
          <w:b/>
          <w:i/>
          <w:sz w:val="20"/>
          <w:szCs w:val="20"/>
          <w:lang w:val="es-CR"/>
        </w:rPr>
        <w:t>Admisibilidad de</w:t>
      </w:r>
      <w:r w:rsidR="00C11B08" w:rsidRPr="00A75739">
        <w:rPr>
          <w:rFonts w:ascii="Verdana" w:hAnsi="Verdana"/>
          <w:b/>
          <w:i/>
          <w:sz w:val="20"/>
          <w:szCs w:val="20"/>
          <w:lang w:val="es-CR"/>
        </w:rPr>
        <w:t xml:space="preserve"> </w:t>
      </w:r>
      <w:r w:rsidR="00E85BD9" w:rsidRPr="002910C6">
        <w:rPr>
          <w:rFonts w:ascii="Verdana" w:hAnsi="Verdana"/>
          <w:b/>
          <w:i/>
          <w:sz w:val="20"/>
          <w:szCs w:val="20"/>
          <w:lang w:val="es-CR"/>
        </w:rPr>
        <w:t>prueba pericial ofrecida por la Comisión</w:t>
      </w:r>
    </w:p>
    <w:p w14:paraId="430E5EF1" w14:textId="77777777" w:rsidR="009F6183" w:rsidRPr="002910C6" w:rsidRDefault="009F6183" w:rsidP="00A75739">
      <w:pPr>
        <w:pStyle w:val="Prrafodelista"/>
        <w:spacing w:line="216" w:lineRule="auto"/>
        <w:jc w:val="both"/>
        <w:rPr>
          <w:rFonts w:ascii="Verdana" w:hAnsi="Verdana"/>
          <w:b/>
          <w:sz w:val="20"/>
          <w:szCs w:val="20"/>
          <w:lang w:val="es-CR"/>
        </w:rPr>
      </w:pPr>
    </w:p>
    <w:p w14:paraId="0B4623F8" w14:textId="0804300F" w:rsidR="000707A2" w:rsidRPr="002910C6" w:rsidRDefault="00BB0025" w:rsidP="00A75739">
      <w:pPr>
        <w:pStyle w:val="Prrafodelista"/>
        <w:numPr>
          <w:ilvl w:val="0"/>
          <w:numId w:val="22"/>
        </w:numPr>
        <w:spacing w:line="216" w:lineRule="auto"/>
        <w:ind w:left="0" w:firstLine="0"/>
        <w:jc w:val="both"/>
        <w:rPr>
          <w:rFonts w:ascii="Verdana" w:hAnsi="Verdana"/>
          <w:sz w:val="20"/>
          <w:szCs w:val="20"/>
          <w:lang w:val="es-CR"/>
        </w:rPr>
      </w:pPr>
      <w:r w:rsidRPr="002910C6">
        <w:rPr>
          <w:rFonts w:ascii="Verdana" w:hAnsi="Verdana"/>
          <w:sz w:val="20"/>
          <w:szCs w:val="20"/>
          <w:lang w:val="es-CR"/>
        </w:rPr>
        <w:t xml:space="preserve">La </w:t>
      </w:r>
      <w:r w:rsidRPr="00A75739">
        <w:rPr>
          <w:rFonts w:ascii="Verdana" w:hAnsi="Verdana"/>
          <w:b/>
          <w:i/>
          <w:sz w:val="20"/>
          <w:szCs w:val="20"/>
          <w:lang w:val="es-CR"/>
        </w:rPr>
        <w:t>Comisión</w:t>
      </w:r>
      <w:r w:rsidRPr="002910C6">
        <w:rPr>
          <w:rFonts w:ascii="Verdana" w:hAnsi="Verdana"/>
          <w:sz w:val="20"/>
          <w:szCs w:val="20"/>
          <w:lang w:val="es-CR"/>
        </w:rPr>
        <w:t xml:space="preserve"> ofreció l</w:t>
      </w:r>
      <w:r w:rsidR="00F556FE" w:rsidRPr="002910C6">
        <w:rPr>
          <w:rFonts w:ascii="Verdana" w:hAnsi="Verdana"/>
          <w:sz w:val="20"/>
          <w:szCs w:val="20"/>
          <w:lang w:val="es-CR"/>
        </w:rPr>
        <w:t>os</w:t>
      </w:r>
      <w:r w:rsidRPr="002910C6">
        <w:rPr>
          <w:rFonts w:ascii="Verdana" w:hAnsi="Verdana"/>
          <w:sz w:val="20"/>
          <w:szCs w:val="20"/>
          <w:lang w:val="es-CR"/>
        </w:rPr>
        <w:t xml:space="preserve"> dict</w:t>
      </w:r>
      <w:r w:rsidR="00F556FE" w:rsidRPr="002910C6">
        <w:rPr>
          <w:rFonts w:ascii="Verdana" w:hAnsi="Verdana"/>
          <w:sz w:val="20"/>
          <w:szCs w:val="20"/>
          <w:lang w:val="es-CR"/>
        </w:rPr>
        <w:t>á</w:t>
      </w:r>
      <w:r w:rsidRPr="002910C6">
        <w:rPr>
          <w:rFonts w:ascii="Verdana" w:hAnsi="Verdana"/>
          <w:sz w:val="20"/>
          <w:szCs w:val="20"/>
          <w:lang w:val="es-CR"/>
        </w:rPr>
        <w:t>men</w:t>
      </w:r>
      <w:r w:rsidR="00F556FE" w:rsidRPr="002910C6">
        <w:rPr>
          <w:rFonts w:ascii="Verdana" w:hAnsi="Verdana"/>
          <w:sz w:val="20"/>
          <w:szCs w:val="20"/>
          <w:lang w:val="es-CR"/>
        </w:rPr>
        <w:t>es</w:t>
      </w:r>
      <w:r w:rsidRPr="002910C6">
        <w:rPr>
          <w:rFonts w:ascii="Verdana" w:hAnsi="Verdana"/>
          <w:sz w:val="20"/>
          <w:szCs w:val="20"/>
          <w:lang w:val="es-CR"/>
        </w:rPr>
        <w:t xml:space="preserve"> pericial</w:t>
      </w:r>
      <w:r w:rsidR="00F556FE" w:rsidRPr="002910C6">
        <w:rPr>
          <w:rFonts w:ascii="Verdana" w:hAnsi="Verdana"/>
          <w:sz w:val="20"/>
          <w:szCs w:val="20"/>
          <w:lang w:val="es-CR"/>
        </w:rPr>
        <w:t>es</w:t>
      </w:r>
      <w:r w:rsidRPr="002910C6">
        <w:rPr>
          <w:rFonts w:ascii="Verdana" w:hAnsi="Verdana"/>
          <w:sz w:val="20"/>
          <w:szCs w:val="20"/>
          <w:lang w:val="es-CR"/>
        </w:rPr>
        <w:t xml:space="preserve"> de </w:t>
      </w:r>
      <w:r w:rsidR="003B02AE" w:rsidRPr="002910C6">
        <w:rPr>
          <w:rFonts w:ascii="Verdana" w:hAnsi="Verdana"/>
          <w:sz w:val="20"/>
          <w:szCs w:val="20"/>
          <w:lang w:val="es-CR"/>
        </w:rPr>
        <w:t xml:space="preserve">Ximena Andrea </w:t>
      </w:r>
      <w:proofErr w:type="spellStart"/>
      <w:r w:rsidR="003B02AE" w:rsidRPr="002910C6">
        <w:rPr>
          <w:rFonts w:ascii="Verdana" w:hAnsi="Verdana"/>
          <w:sz w:val="20"/>
          <w:szCs w:val="20"/>
          <w:lang w:val="es-CR"/>
        </w:rPr>
        <w:t>Gauché</w:t>
      </w:r>
      <w:proofErr w:type="spellEnd"/>
      <w:r w:rsidR="003B02AE" w:rsidRPr="002910C6">
        <w:rPr>
          <w:rFonts w:ascii="Verdana" w:hAnsi="Verdana"/>
          <w:sz w:val="20"/>
          <w:szCs w:val="20"/>
          <w:lang w:val="es-CR"/>
        </w:rPr>
        <w:t xml:space="preserve"> Marchetti</w:t>
      </w:r>
      <w:r w:rsidR="008E7487" w:rsidRPr="002910C6">
        <w:rPr>
          <w:rFonts w:ascii="Verdana" w:hAnsi="Verdana"/>
          <w:sz w:val="20"/>
          <w:szCs w:val="20"/>
          <w:lang w:val="es-CR"/>
        </w:rPr>
        <w:t xml:space="preserve">, </w:t>
      </w:r>
      <w:r w:rsidR="00B37964">
        <w:rPr>
          <w:rFonts w:ascii="Verdana" w:hAnsi="Verdana"/>
          <w:sz w:val="20"/>
          <w:szCs w:val="20"/>
          <w:lang w:val="es-CR"/>
        </w:rPr>
        <w:t>doctora en derecho</w:t>
      </w:r>
      <w:r w:rsidR="003B02AE" w:rsidRPr="002910C6">
        <w:rPr>
          <w:rFonts w:ascii="Verdana" w:hAnsi="Verdana"/>
          <w:sz w:val="20"/>
          <w:szCs w:val="20"/>
          <w:lang w:val="es-CR"/>
        </w:rPr>
        <w:t xml:space="preserve"> y </w:t>
      </w:r>
      <w:r w:rsidR="00A50AF8" w:rsidRPr="002910C6">
        <w:rPr>
          <w:rFonts w:ascii="Verdana" w:hAnsi="Verdana"/>
          <w:sz w:val="20"/>
          <w:szCs w:val="20"/>
          <w:lang w:val="es-CR"/>
        </w:rPr>
        <w:t xml:space="preserve">Patricia </w:t>
      </w:r>
      <w:proofErr w:type="spellStart"/>
      <w:r w:rsidR="00A50AF8" w:rsidRPr="002910C6">
        <w:rPr>
          <w:rFonts w:ascii="Verdana" w:hAnsi="Verdana"/>
          <w:sz w:val="20"/>
          <w:szCs w:val="20"/>
          <w:lang w:val="es-CR"/>
        </w:rPr>
        <w:t>Viseur</w:t>
      </w:r>
      <w:proofErr w:type="spellEnd"/>
      <w:r w:rsidR="00A50AF8" w:rsidRPr="002910C6">
        <w:rPr>
          <w:rFonts w:ascii="Verdana" w:hAnsi="Verdana"/>
          <w:sz w:val="20"/>
          <w:szCs w:val="20"/>
          <w:lang w:val="es-CR"/>
        </w:rPr>
        <w:t xml:space="preserve"> Sellers</w:t>
      </w:r>
      <w:r w:rsidR="00590A43" w:rsidRPr="002910C6">
        <w:rPr>
          <w:rFonts w:ascii="Verdana" w:hAnsi="Verdana"/>
          <w:sz w:val="20"/>
          <w:szCs w:val="20"/>
          <w:lang w:val="es-CR"/>
        </w:rPr>
        <w:t xml:space="preserve">, </w:t>
      </w:r>
      <w:r w:rsidR="008E7487" w:rsidRPr="002910C6">
        <w:rPr>
          <w:rFonts w:ascii="Verdana" w:hAnsi="Verdana"/>
          <w:sz w:val="20"/>
          <w:szCs w:val="20"/>
          <w:lang w:val="es-CR"/>
        </w:rPr>
        <w:t>asesora principal para la fiscalía en asuntos de género en la Corte Penal Internacional</w:t>
      </w:r>
      <w:r w:rsidR="003B02AE" w:rsidRPr="002910C6">
        <w:rPr>
          <w:rFonts w:ascii="Verdana" w:hAnsi="Verdana"/>
          <w:sz w:val="20"/>
          <w:szCs w:val="20"/>
          <w:lang w:val="es-CR"/>
        </w:rPr>
        <w:t>. En relación a la primera de ellas</w:t>
      </w:r>
      <w:r w:rsidR="00714CEC" w:rsidRPr="002910C6">
        <w:rPr>
          <w:rFonts w:ascii="Verdana" w:hAnsi="Verdana"/>
          <w:sz w:val="20"/>
          <w:szCs w:val="20"/>
          <w:lang w:val="es-CR"/>
        </w:rPr>
        <w:t>,</w:t>
      </w:r>
      <w:r w:rsidR="003B02AE" w:rsidRPr="002910C6">
        <w:rPr>
          <w:rFonts w:ascii="Verdana" w:hAnsi="Verdana"/>
          <w:sz w:val="20"/>
          <w:szCs w:val="20"/>
          <w:lang w:val="es-CR"/>
        </w:rPr>
        <w:t xml:space="preserve"> manifestó que </w:t>
      </w:r>
      <w:r w:rsidR="00F556FE" w:rsidRPr="002910C6">
        <w:rPr>
          <w:rFonts w:ascii="Verdana" w:hAnsi="Verdana"/>
          <w:sz w:val="20"/>
          <w:szCs w:val="20"/>
          <w:lang w:val="es-CR"/>
        </w:rPr>
        <w:t xml:space="preserve">su </w:t>
      </w:r>
      <w:r w:rsidR="003B02AE" w:rsidRPr="002910C6">
        <w:rPr>
          <w:rFonts w:ascii="Verdana" w:hAnsi="Verdana"/>
          <w:sz w:val="20"/>
          <w:szCs w:val="20"/>
          <w:lang w:val="es-CR"/>
        </w:rPr>
        <w:t>declar</w:t>
      </w:r>
      <w:r w:rsidR="00F556FE" w:rsidRPr="002910C6">
        <w:rPr>
          <w:rFonts w:ascii="Verdana" w:hAnsi="Verdana"/>
          <w:sz w:val="20"/>
          <w:szCs w:val="20"/>
          <w:lang w:val="es-CR"/>
        </w:rPr>
        <w:t>ación versaría</w:t>
      </w:r>
      <w:r w:rsidR="003B02AE" w:rsidRPr="002910C6">
        <w:rPr>
          <w:rFonts w:ascii="Verdana" w:hAnsi="Verdana"/>
          <w:sz w:val="20"/>
          <w:szCs w:val="20"/>
          <w:lang w:val="es-CR"/>
        </w:rPr>
        <w:t xml:space="preserve"> “sobre los estándares de regulación y fiscalización de los planteles escolares por parte del Estado y los estándares para prevenir, sancionar y erradicar la violencia sexual, incluyendo el acoso sexual, en el </w:t>
      </w:r>
      <w:r w:rsidR="008E7487" w:rsidRPr="002910C6">
        <w:rPr>
          <w:rFonts w:ascii="Verdana" w:hAnsi="Verdana"/>
          <w:sz w:val="20"/>
          <w:szCs w:val="20"/>
          <w:lang w:val="es-CR"/>
        </w:rPr>
        <w:t>ámbito escolar”. Añadió</w:t>
      </w:r>
      <w:r w:rsidR="003B02AE" w:rsidRPr="002910C6">
        <w:rPr>
          <w:rFonts w:ascii="Verdana" w:hAnsi="Verdana"/>
          <w:sz w:val="20"/>
          <w:szCs w:val="20"/>
          <w:lang w:val="es-CR"/>
        </w:rPr>
        <w:t xml:space="preserve">, que la </w:t>
      </w:r>
      <w:r w:rsidR="00F556FE" w:rsidRPr="002910C6">
        <w:rPr>
          <w:rFonts w:ascii="Verdana" w:hAnsi="Verdana"/>
          <w:sz w:val="20"/>
          <w:szCs w:val="20"/>
          <w:lang w:val="es-CR"/>
        </w:rPr>
        <w:t xml:space="preserve">señora </w:t>
      </w:r>
      <w:proofErr w:type="spellStart"/>
      <w:r w:rsidR="003B02AE" w:rsidRPr="002910C6">
        <w:rPr>
          <w:rFonts w:ascii="Verdana" w:hAnsi="Verdana"/>
          <w:sz w:val="20"/>
          <w:szCs w:val="20"/>
          <w:lang w:val="es-CR"/>
        </w:rPr>
        <w:t>Gauché</w:t>
      </w:r>
      <w:proofErr w:type="spellEnd"/>
      <w:r w:rsidR="003B02AE" w:rsidRPr="002910C6">
        <w:rPr>
          <w:rFonts w:ascii="Verdana" w:hAnsi="Verdana"/>
          <w:sz w:val="20"/>
          <w:szCs w:val="20"/>
          <w:lang w:val="es-CR"/>
        </w:rPr>
        <w:t xml:space="preserve"> Marchetti </w:t>
      </w:r>
      <w:r w:rsidR="00C66FB8" w:rsidRPr="002910C6">
        <w:rPr>
          <w:rFonts w:ascii="Verdana" w:hAnsi="Verdana"/>
          <w:sz w:val="20"/>
          <w:szCs w:val="20"/>
          <w:lang w:val="es-CR"/>
        </w:rPr>
        <w:t>s</w:t>
      </w:r>
      <w:r w:rsidR="003B02AE" w:rsidRPr="002910C6">
        <w:rPr>
          <w:rFonts w:ascii="Verdana" w:hAnsi="Verdana"/>
          <w:sz w:val="20"/>
          <w:szCs w:val="20"/>
          <w:lang w:val="es-CR"/>
        </w:rPr>
        <w:t xml:space="preserve">e referirá </w:t>
      </w:r>
      <w:r w:rsidR="00C66FB8" w:rsidRPr="002910C6">
        <w:rPr>
          <w:rFonts w:ascii="Verdana" w:hAnsi="Verdana"/>
          <w:sz w:val="20"/>
          <w:szCs w:val="20"/>
          <w:lang w:val="es-CR"/>
        </w:rPr>
        <w:t>específicamente “</w:t>
      </w:r>
      <w:r w:rsidR="003B02AE" w:rsidRPr="002910C6">
        <w:rPr>
          <w:rFonts w:ascii="Verdana" w:hAnsi="Verdana"/>
          <w:sz w:val="20"/>
          <w:szCs w:val="20"/>
          <w:lang w:val="es-CR"/>
        </w:rPr>
        <w:t>a estos estándares tomando en cuenta los contenidos del derecho a la educación y los contenidos del derecho a la salud”, entre</w:t>
      </w:r>
      <w:r w:rsidR="00315159" w:rsidRPr="002910C6">
        <w:rPr>
          <w:rFonts w:ascii="Verdana" w:hAnsi="Verdana"/>
          <w:sz w:val="20"/>
          <w:szCs w:val="20"/>
          <w:lang w:val="es-CR"/>
        </w:rPr>
        <w:t xml:space="preserve"> otras disposiciones relevantes;</w:t>
      </w:r>
      <w:r w:rsidR="003B02AE" w:rsidRPr="002910C6">
        <w:rPr>
          <w:rFonts w:ascii="Verdana" w:hAnsi="Verdana"/>
          <w:sz w:val="20"/>
          <w:szCs w:val="20"/>
          <w:lang w:val="es-CR"/>
        </w:rPr>
        <w:t xml:space="preserve"> debiendo </w:t>
      </w:r>
      <w:proofErr w:type="gramStart"/>
      <w:r w:rsidR="003B02AE" w:rsidRPr="002910C6">
        <w:rPr>
          <w:rFonts w:ascii="Verdana" w:hAnsi="Verdana"/>
          <w:sz w:val="20"/>
          <w:szCs w:val="20"/>
          <w:lang w:val="es-CR"/>
        </w:rPr>
        <w:t>analizar</w:t>
      </w:r>
      <w:proofErr w:type="gramEnd"/>
      <w:r w:rsidR="003B02AE" w:rsidRPr="002910C6">
        <w:rPr>
          <w:rFonts w:ascii="Verdana" w:hAnsi="Verdana"/>
          <w:sz w:val="20"/>
          <w:szCs w:val="20"/>
          <w:lang w:val="es-CR"/>
        </w:rPr>
        <w:t xml:space="preserve"> además, de manera transversal “las obligaciones estatales de especial protección de la niñez y sus implicaciones en el deber de prevención referido”. </w:t>
      </w:r>
    </w:p>
    <w:p w14:paraId="38F5E9CD" w14:textId="77777777" w:rsidR="005C2455" w:rsidRPr="002910C6" w:rsidRDefault="005C2455" w:rsidP="00A75739">
      <w:pPr>
        <w:pStyle w:val="Prrafodelista"/>
        <w:spacing w:line="216" w:lineRule="auto"/>
        <w:ind w:left="0" w:firstLine="720"/>
        <w:jc w:val="both"/>
        <w:rPr>
          <w:rFonts w:ascii="Verdana" w:hAnsi="Verdana"/>
          <w:sz w:val="20"/>
          <w:szCs w:val="20"/>
          <w:lang w:val="es-CR"/>
        </w:rPr>
      </w:pPr>
    </w:p>
    <w:p w14:paraId="195D0F3B" w14:textId="7EEC335E" w:rsidR="00BB0025" w:rsidRPr="002910C6" w:rsidRDefault="003B02AE" w:rsidP="00A75739">
      <w:pPr>
        <w:pStyle w:val="Prrafodelista"/>
        <w:numPr>
          <w:ilvl w:val="0"/>
          <w:numId w:val="22"/>
        </w:numPr>
        <w:spacing w:line="216" w:lineRule="auto"/>
        <w:ind w:left="0" w:firstLine="0"/>
        <w:jc w:val="both"/>
        <w:rPr>
          <w:rFonts w:ascii="Verdana" w:hAnsi="Verdana"/>
          <w:sz w:val="20"/>
          <w:szCs w:val="20"/>
          <w:lang w:val="es-CR"/>
        </w:rPr>
      </w:pPr>
      <w:r w:rsidRPr="002910C6">
        <w:rPr>
          <w:rFonts w:ascii="Verdana" w:hAnsi="Verdana"/>
          <w:sz w:val="20"/>
          <w:szCs w:val="20"/>
          <w:lang w:val="es-CR"/>
        </w:rPr>
        <w:t xml:space="preserve">Con respecto a la </w:t>
      </w:r>
      <w:r w:rsidR="00F556FE" w:rsidRPr="002910C6">
        <w:rPr>
          <w:rFonts w:ascii="Verdana" w:hAnsi="Verdana"/>
          <w:sz w:val="20"/>
          <w:szCs w:val="20"/>
          <w:lang w:val="es-CR"/>
        </w:rPr>
        <w:t>seño</w:t>
      </w:r>
      <w:r w:rsidRPr="002910C6">
        <w:rPr>
          <w:rFonts w:ascii="Verdana" w:hAnsi="Verdana"/>
          <w:sz w:val="20"/>
          <w:szCs w:val="20"/>
          <w:lang w:val="es-CR"/>
        </w:rPr>
        <w:t xml:space="preserve">ra </w:t>
      </w:r>
      <w:proofErr w:type="spellStart"/>
      <w:r w:rsidRPr="002910C6">
        <w:rPr>
          <w:rFonts w:ascii="Verdana" w:hAnsi="Verdana"/>
          <w:sz w:val="20"/>
          <w:szCs w:val="20"/>
          <w:lang w:val="es-CR"/>
        </w:rPr>
        <w:t>Viseur</w:t>
      </w:r>
      <w:proofErr w:type="spellEnd"/>
      <w:r w:rsidRPr="002910C6">
        <w:rPr>
          <w:rFonts w:ascii="Verdana" w:hAnsi="Verdana"/>
          <w:sz w:val="20"/>
          <w:szCs w:val="20"/>
          <w:lang w:val="es-CR"/>
        </w:rPr>
        <w:t xml:space="preserve"> Sellers, la Comisión </w:t>
      </w:r>
      <w:r w:rsidR="00513B99" w:rsidRPr="002910C6">
        <w:rPr>
          <w:rFonts w:ascii="Verdana" w:hAnsi="Verdana"/>
          <w:sz w:val="20"/>
          <w:szCs w:val="20"/>
          <w:lang w:val="es-CR"/>
        </w:rPr>
        <w:t xml:space="preserve">señaló </w:t>
      </w:r>
      <w:r w:rsidRPr="002910C6">
        <w:rPr>
          <w:rFonts w:ascii="Verdana" w:hAnsi="Verdana"/>
          <w:sz w:val="20"/>
          <w:szCs w:val="20"/>
          <w:lang w:val="es-CR"/>
        </w:rPr>
        <w:t>que declarar</w:t>
      </w:r>
      <w:r w:rsidR="00F556FE" w:rsidRPr="002910C6">
        <w:rPr>
          <w:rFonts w:ascii="Verdana" w:hAnsi="Verdana"/>
          <w:sz w:val="20"/>
          <w:szCs w:val="20"/>
          <w:lang w:val="es-CR"/>
        </w:rPr>
        <w:t>ía</w:t>
      </w:r>
      <w:r w:rsidRPr="002910C6">
        <w:rPr>
          <w:rFonts w:ascii="Verdana" w:hAnsi="Verdana"/>
          <w:sz w:val="20"/>
          <w:szCs w:val="20"/>
          <w:lang w:val="es-CR"/>
        </w:rPr>
        <w:t xml:space="preserve"> “sobre el deber de investigar con la debida diligencia casos de violencia contra la mujer, incluyendo casos de violencia sexual, teniendo en cuenta la situación particular de las niñas”. Del mismo modo, “analizar</w:t>
      </w:r>
      <w:r w:rsidR="00F556FE" w:rsidRPr="002910C6">
        <w:rPr>
          <w:rFonts w:ascii="Verdana" w:hAnsi="Verdana"/>
          <w:sz w:val="20"/>
          <w:szCs w:val="20"/>
          <w:lang w:val="es-CR"/>
        </w:rPr>
        <w:t>[</w:t>
      </w:r>
      <w:proofErr w:type="spellStart"/>
      <w:r w:rsidR="00F556FE" w:rsidRPr="002910C6">
        <w:rPr>
          <w:rFonts w:ascii="Verdana" w:hAnsi="Verdana"/>
          <w:sz w:val="20"/>
          <w:szCs w:val="20"/>
          <w:lang w:val="es-CR"/>
        </w:rPr>
        <w:t>ía</w:t>
      </w:r>
      <w:proofErr w:type="spellEnd"/>
      <w:r w:rsidR="00F556FE" w:rsidRPr="002910C6">
        <w:rPr>
          <w:rFonts w:ascii="Verdana" w:hAnsi="Verdana"/>
          <w:sz w:val="20"/>
          <w:szCs w:val="20"/>
          <w:lang w:val="es-CR"/>
        </w:rPr>
        <w:t>]</w:t>
      </w:r>
      <w:r w:rsidRPr="002910C6">
        <w:rPr>
          <w:rFonts w:ascii="Verdana" w:hAnsi="Verdana"/>
          <w:sz w:val="20"/>
          <w:szCs w:val="20"/>
          <w:lang w:val="es-CR"/>
        </w:rPr>
        <w:t xml:space="preserve"> la manera en que la vigencia de prácticas discriminatorias y estereotipadas</w:t>
      </w:r>
      <w:r w:rsidR="00181243" w:rsidRPr="002910C6">
        <w:rPr>
          <w:rFonts w:ascii="Verdana" w:hAnsi="Verdana"/>
          <w:sz w:val="20"/>
          <w:szCs w:val="20"/>
          <w:lang w:val="es-CR"/>
        </w:rPr>
        <w:t>, pueden incidir en el deber de investigar con la debida diligencia”</w:t>
      </w:r>
      <w:r w:rsidR="001D3CCE">
        <w:rPr>
          <w:rFonts w:ascii="Verdana" w:hAnsi="Verdana"/>
          <w:sz w:val="20"/>
          <w:szCs w:val="20"/>
          <w:lang w:val="es-CR"/>
        </w:rPr>
        <w:t>,</w:t>
      </w:r>
      <w:r w:rsidR="00C66FB8" w:rsidRPr="002910C6">
        <w:rPr>
          <w:rFonts w:ascii="Verdana" w:hAnsi="Verdana"/>
          <w:sz w:val="20"/>
          <w:szCs w:val="20"/>
          <w:lang w:val="es-CR"/>
        </w:rPr>
        <w:t xml:space="preserve"> así como también</w:t>
      </w:r>
      <w:r w:rsidR="00181243" w:rsidRPr="002910C6">
        <w:rPr>
          <w:rFonts w:ascii="Verdana" w:hAnsi="Verdana"/>
          <w:sz w:val="20"/>
          <w:szCs w:val="20"/>
          <w:lang w:val="es-CR"/>
        </w:rPr>
        <w:t xml:space="preserve"> los procesos penales, civiles y administrativos iniciados en el caso a la luz de los estándares desarrollados en el peritaje.</w:t>
      </w:r>
      <w:r w:rsidR="00BB0025" w:rsidRPr="002910C6">
        <w:rPr>
          <w:rFonts w:ascii="Verdana" w:hAnsi="Verdana"/>
          <w:sz w:val="20"/>
          <w:szCs w:val="20"/>
          <w:lang w:val="es-CR"/>
        </w:rPr>
        <w:t xml:space="preserve"> </w:t>
      </w:r>
    </w:p>
    <w:p w14:paraId="221E0F72" w14:textId="77777777" w:rsidR="009F6183" w:rsidRPr="002910C6" w:rsidRDefault="009F6183" w:rsidP="00A75739">
      <w:pPr>
        <w:pStyle w:val="Prrafodelista"/>
        <w:spacing w:line="216" w:lineRule="auto"/>
        <w:ind w:left="0" w:firstLine="720"/>
        <w:jc w:val="both"/>
        <w:rPr>
          <w:rFonts w:ascii="Verdana" w:hAnsi="Verdana"/>
          <w:sz w:val="20"/>
          <w:szCs w:val="20"/>
          <w:lang w:val="es-CR"/>
        </w:rPr>
      </w:pPr>
    </w:p>
    <w:p w14:paraId="3B795260" w14:textId="4624E7F5" w:rsidR="00390022" w:rsidRPr="002910C6" w:rsidRDefault="00BB0025" w:rsidP="00A75739">
      <w:pPr>
        <w:pStyle w:val="Prrafodelista"/>
        <w:numPr>
          <w:ilvl w:val="0"/>
          <w:numId w:val="22"/>
        </w:numPr>
        <w:spacing w:line="216" w:lineRule="auto"/>
        <w:ind w:left="0" w:firstLine="0"/>
        <w:jc w:val="both"/>
        <w:rPr>
          <w:rFonts w:ascii="Verdana" w:hAnsi="Verdana"/>
          <w:sz w:val="20"/>
          <w:szCs w:val="20"/>
          <w:lang w:val="es-CR"/>
        </w:rPr>
      </w:pPr>
      <w:r w:rsidRPr="002910C6">
        <w:rPr>
          <w:rFonts w:ascii="Verdana" w:hAnsi="Verdana"/>
          <w:sz w:val="20"/>
          <w:szCs w:val="20"/>
          <w:lang w:val="es-CR"/>
        </w:rPr>
        <w:t>La Comisión fundamentó el ofrecimiento de la</w:t>
      </w:r>
      <w:r w:rsidR="00C66FB8" w:rsidRPr="002910C6">
        <w:rPr>
          <w:rFonts w:ascii="Verdana" w:hAnsi="Verdana"/>
          <w:sz w:val="20"/>
          <w:szCs w:val="20"/>
          <w:lang w:val="es-CR"/>
        </w:rPr>
        <w:t>s</w:t>
      </w:r>
      <w:r w:rsidRPr="002910C6">
        <w:rPr>
          <w:rFonts w:ascii="Verdana" w:hAnsi="Verdana"/>
          <w:sz w:val="20"/>
          <w:szCs w:val="20"/>
          <w:lang w:val="es-CR"/>
        </w:rPr>
        <w:t xml:space="preserve"> pericia</w:t>
      </w:r>
      <w:r w:rsidR="00C66FB8" w:rsidRPr="002910C6">
        <w:rPr>
          <w:rFonts w:ascii="Verdana" w:hAnsi="Verdana"/>
          <w:sz w:val="20"/>
          <w:szCs w:val="20"/>
          <w:lang w:val="es-CR"/>
        </w:rPr>
        <w:t>s aducidas</w:t>
      </w:r>
      <w:r w:rsidR="00513B99" w:rsidRPr="002910C6">
        <w:rPr>
          <w:rFonts w:ascii="Verdana" w:hAnsi="Verdana"/>
          <w:sz w:val="20"/>
          <w:szCs w:val="20"/>
          <w:lang w:val="es-CR"/>
        </w:rPr>
        <w:t>,</w:t>
      </w:r>
      <w:r w:rsidR="00C66FB8" w:rsidRPr="002910C6">
        <w:rPr>
          <w:rFonts w:ascii="Verdana" w:hAnsi="Verdana"/>
          <w:sz w:val="20"/>
          <w:szCs w:val="20"/>
          <w:lang w:val="es-CR"/>
        </w:rPr>
        <w:t xml:space="preserve"> considerando que se refieren a temas de orden público interamericano</w:t>
      </w:r>
      <w:r w:rsidR="00B12067" w:rsidRPr="002910C6">
        <w:rPr>
          <w:rFonts w:ascii="Verdana" w:hAnsi="Verdana"/>
          <w:sz w:val="20"/>
          <w:szCs w:val="20"/>
          <w:lang w:val="es-CR"/>
        </w:rPr>
        <w:t xml:space="preserve">. Concretamente, indicó que al ser el presente el primer caso que se somete a la Corte Interamericana de Derechos Humanos (en adelante, también “la Corte” o “el Tribunal”) sobre violencia sexual, incluyendo acoso sexual, en el ámbito educativo, </w:t>
      </w:r>
      <w:r w:rsidR="00F556FE" w:rsidRPr="002910C6">
        <w:rPr>
          <w:rFonts w:ascii="Verdana" w:hAnsi="Verdana"/>
          <w:sz w:val="20"/>
          <w:szCs w:val="20"/>
          <w:lang w:val="es-CR"/>
        </w:rPr>
        <w:t xml:space="preserve">el Tribunal </w:t>
      </w:r>
      <w:r w:rsidR="00B12067" w:rsidRPr="002910C6">
        <w:rPr>
          <w:rFonts w:ascii="Verdana" w:hAnsi="Verdana"/>
          <w:sz w:val="20"/>
          <w:szCs w:val="20"/>
          <w:lang w:val="es-CR"/>
        </w:rPr>
        <w:t xml:space="preserve">podrá </w:t>
      </w:r>
      <w:r w:rsidR="00DE7BCC" w:rsidRPr="002910C6">
        <w:rPr>
          <w:rFonts w:ascii="Verdana" w:hAnsi="Verdana"/>
          <w:sz w:val="20"/>
          <w:szCs w:val="20"/>
          <w:lang w:val="es-CR"/>
        </w:rPr>
        <w:t>pronunciarse sobre las implicaciones de sus deberes de respeto y garantía en esta temática. En particular,</w:t>
      </w:r>
      <w:r w:rsidR="00F556FE" w:rsidRPr="002910C6">
        <w:rPr>
          <w:rFonts w:ascii="Verdana" w:hAnsi="Verdana"/>
          <w:sz w:val="20"/>
          <w:szCs w:val="20"/>
          <w:lang w:val="es-CR"/>
        </w:rPr>
        <w:t xml:space="preserve"> adujo que</w:t>
      </w:r>
      <w:r w:rsidR="00DE7BCC" w:rsidRPr="002910C6">
        <w:rPr>
          <w:rFonts w:ascii="Verdana" w:hAnsi="Verdana"/>
          <w:sz w:val="20"/>
          <w:szCs w:val="20"/>
          <w:lang w:val="es-CR"/>
        </w:rPr>
        <w:t xml:space="preserve"> </w:t>
      </w:r>
      <w:r w:rsidR="00B12067" w:rsidRPr="002910C6">
        <w:rPr>
          <w:rFonts w:ascii="Verdana" w:hAnsi="Verdana"/>
          <w:sz w:val="20"/>
          <w:szCs w:val="20"/>
          <w:lang w:val="es-CR"/>
        </w:rPr>
        <w:t xml:space="preserve">el peritaje de la </w:t>
      </w:r>
      <w:r w:rsidR="00F556FE" w:rsidRPr="002910C6">
        <w:rPr>
          <w:rFonts w:ascii="Verdana" w:hAnsi="Verdana"/>
          <w:sz w:val="20"/>
          <w:szCs w:val="20"/>
          <w:lang w:val="es-CR"/>
        </w:rPr>
        <w:t>seño</w:t>
      </w:r>
      <w:r w:rsidR="00B12067" w:rsidRPr="002910C6">
        <w:rPr>
          <w:rFonts w:ascii="Verdana" w:hAnsi="Verdana"/>
          <w:sz w:val="20"/>
          <w:szCs w:val="20"/>
          <w:lang w:val="es-CR"/>
        </w:rPr>
        <w:t>r</w:t>
      </w:r>
      <w:r w:rsidR="00F556FE" w:rsidRPr="002910C6">
        <w:rPr>
          <w:rFonts w:ascii="Verdana" w:hAnsi="Verdana"/>
          <w:sz w:val="20"/>
          <w:szCs w:val="20"/>
          <w:lang w:val="es-CR"/>
        </w:rPr>
        <w:t>a</w:t>
      </w:r>
      <w:r w:rsidR="00B12067" w:rsidRPr="002910C6">
        <w:rPr>
          <w:rFonts w:ascii="Verdana" w:hAnsi="Verdana"/>
          <w:sz w:val="20"/>
          <w:szCs w:val="20"/>
          <w:lang w:val="es-CR"/>
        </w:rPr>
        <w:t xml:space="preserve"> Ximena Andrea </w:t>
      </w:r>
      <w:proofErr w:type="spellStart"/>
      <w:r w:rsidR="00B12067" w:rsidRPr="002910C6">
        <w:rPr>
          <w:rFonts w:ascii="Verdana" w:hAnsi="Verdana"/>
          <w:sz w:val="20"/>
          <w:szCs w:val="20"/>
          <w:lang w:val="es-CR"/>
        </w:rPr>
        <w:t>Gauché</w:t>
      </w:r>
      <w:proofErr w:type="spellEnd"/>
      <w:r w:rsidR="00B12067" w:rsidRPr="002910C6">
        <w:rPr>
          <w:rFonts w:ascii="Verdana" w:hAnsi="Verdana"/>
          <w:sz w:val="20"/>
          <w:szCs w:val="20"/>
          <w:lang w:val="es-CR"/>
        </w:rPr>
        <w:t xml:space="preserve"> Marchetti, “aportará elementos de información en cuanto al alcance y contenido del deber de prevención […] en lo relativo a la regulación y fiscalización en el ámbito educativo”</w:t>
      </w:r>
      <w:r w:rsidR="00C66FB8" w:rsidRPr="002910C6">
        <w:rPr>
          <w:rFonts w:ascii="Verdana" w:hAnsi="Verdana"/>
          <w:sz w:val="20"/>
          <w:szCs w:val="20"/>
          <w:lang w:val="es-CR"/>
        </w:rPr>
        <w:t>.</w:t>
      </w:r>
      <w:r w:rsidRPr="002910C6">
        <w:rPr>
          <w:rFonts w:ascii="Verdana" w:hAnsi="Verdana"/>
          <w:sz w:val="20"/>
          <w:szCs w:val="20"/>
          <w:lang w:val="es-CR"/>
        </w:rPr>
        <w:t xml:space="preserve"> </w:t>
      </w:r>
      <w:r w:rsidR="008E7487" w:rsidRPr="002910C6">
        <w:rPr>
          <w:rFonts w:ascii="Verdana" w:hAnsi="Verdana"/>
          <w:sz w:val="20"/>
          <w:szCs w:val="20"/>
          <w:lang w:val="es-CR"/>
        </w:rPr>
        <w:t>Agregó</w:t>
      </w:r>
      <w:r w:rsidR="00DE7BCC" w:rsidRPr="002910C6">
        <w:rPr>
          <w:rFonts w:ascii="Verdana" w:hAnsi="Verdana"/>
          <w:sz w:val="20"/>
          <w:szCs w:val="20"/>
          <w:lang w:val="es-CR"/>
        </w:rPr>
        <w:t xml:space="preserve"> que, el caso le permitirá a la Corte “ampliar su jurisprudencia respecto a los derechos a la educación y a la salud, en cuanto a los contenidos del artículo 26 de la Convención Americana, y 13 del Protocolo de San Salvador, todo a la luz del principio de igualdad y no discriminación y con un enfoque de género”. </w:t>
      </w:r>
    </w:p>
    <w:p w14:paraId="70C07A89" w14:textId="77777777" w:rsidR="00390022" w:rsidRPr="00A75739" w:rsidRDefault="00390022" w:rsidP="00A75739">
      <w:pPr>
        <w:pStyle w:val="Prrafodelista"/>
        <w:spacing w:line="216" w:lineRule="auto"/>
        <w:rPr>
          <w:rFonts w:ascii="Verdana" w:hAnsi="Verdana"/>
          <w:sz w:val="20"/>
          <w:szCs w:val="20"/>
          <w:lang w:val="es-CR"/>
        </w:rPr>
      </w:pPr>
    </w:p>
    <w:p w14:paraId="25959943" w14:textId="034E8E57" w:rsidR="005E259B" w:rsidRPr="002910C6" w:rsidRDefault="00DE7BCC" w:rsidP="00A75739">
      <w:pPr>
        <w:pStyle w:val="Prrafodelista"/>
        <w:numPr>
          <w:ilvl w:val="0"/>
          <w:numId w:val="22"/>
        </w:numPr>
        <w:spacing w:line="216" w:lineRule="auto"/>
        <w:ind w:left="0" w:firstLine="0"/>
        <w:jc w:val="both"/>
        <w:rPr>
          <w:rFonts w:ascii="Verdana" w:hAnsi="Verdana"/>
          <w:sz w:val="20"/>
          <w:szCs w:val="20"/>
          <w:lang w:val="es-CR"/>
        </w:rPr>
      </w:pPr>
      <w:r w:rsidRPr="002910C6">
        <w:rPr>
          <w:rFonts w:ascii="Verdana" w:hAnsi="Verdana"/>
          <w:sz w:val="20"/>
          <w:szCs w:val="20"/>
          <w:lang w:val="es-CR"/>
        </w:rPr>
        <w:t xml:space="preserve">En lo relativo al peritaje de la </w:t>
      </w:r>
      <w:r w:rsidR="00F556FE" w:rsidRPr="002910C6">
        <w:rPr>
          <w:rFonts w:ascii="Verdana" w:hAnsi="Verdana"/>
          <w:sz w:val="20"/>
          <w:szCs w:val="20"/>
          <w:lang w:val="es-CR"/>
        </w:rPr>
        <w:t>señora</w:t>
      </w:r>
      <w:r w:rsidRPr="002910C6">
        <w:rPr>
          <w:rFonts w:ascii="Verdana" w:hAnsi="Verdana"/>
          <w:sz w:val="20"/>
          <w:szCs w:val="20"/>
          <w:lang w:val="es-CR"/>
        </w:rPr>
        <w:t xml:space="preserve"> </w:t>
      </w:r>
      <w:proofErr w:type="spellStart"/>
      <w:r w:rsidRPr="002910C6">
        <w:rPr>
          <w:rFonts w:ascii="Verdana" w:hAnsi="Verdana"/>
          <w:sz w:val="20"/>
          <w:szCs w:val="20"/>
          <w:lang w:val="es-CR"/>
        </w:rPr>
        <w:t>Viseur</w:t>
      </w:r>
      <w:proofErr w:type="spellEnd"/>
      <w:r w:rsidRPr="002910C6">
        <w:rPr>
          <w:rFonts w:ascii="Verdana" w:hAnsi="Verdana"/>
          <w:sz w:val="20"/>
          <w:szCs w:val="20"/>
          <w:lang w:val="es-CR"/>
        </w:rPr>
        <w:t xml:space="preserve"> Sellers, </w:t>
      </w:r>
      <w:r w:rsidR="00F556FE" w:rsidRPr="002910C6">
        <w:rPr>
          <w:rFonts w:ascii="Verdana" w:hAnsi="Verdana"/>
          <w:sz w:val="20"/>
          <w:szCs w:val="20"/>
          <w:lang w:val="es-CR"/>
        </w:rPr>
        <w:t xml:space="preserve">la Comisión </w:t>
      </w:r>
      <w:r w:rsidR="008E7487" w:rsidRPr="002910C6">
        <w:rPr>
          <w:rFonts w:ascii="Verdana" w:hAnsi="Verdana"/>
          <w:sz w:val="20"/>
          <w:szCs w:val="20"/>
          <w:lang w:val="es-CR"/>
        </w:rPr>
        <w:t>manifestó que podr</w:t>
      </w:r>
      <w:r w:rsidR="00F556FE" w:rsidRPr="002910C6">
        <w:rPr>
          <w:rFonts w:ascii="Verdana" w:hAnsi="Verdana"/>
          <w:sz w:val="20"/>
          <w:szCs w:val="20"/>
          <w:lang w:val="es-CR"/>
        </w:rPr>
        <w:t>ía</w:t>
      </w:r>
      <w:r w:rsidR="008E7487" w:rsidRPr="002910C6">
        <w:rPr>
          <w:rFonts w:ascii="Verdana" w:hAnsi="Verdana"/>
          <w:sz w:val="20"/>
          <w:szCs w:val="20"/>
          <w:lang w:val="es-CR"/>
        </w:rPr>
        <w:t xml:space="preserve"> contribuir </w:t>
      </w:r>
      <w:r w:rsidRPr="002910C6">
        <w:rPr>
          <w:rFonts w:ascii="Verdana" w:hAnsi="Verdana"/>
          <w:sz w:val="20"/>
          <w:szCs w:val="20"/>
          <w:lang w:val="es-CR"/>
        </w:rPr>
        <w:t>en el “desarrollo de la jurisprudencia de [</w:t>
      </w:r>
      <w:r w:rsidR="001D3CCE">
        <w:rPr>
          <w:rFonts w:ascii="Verdana" w:hAnsi="Verdana"/>
          <w:sz w:val="20"/>
          <w:szCs w:val="20"/>
          <w:lang w:val="es-CR"/>
        </w:rPr>
        <w:t>l</w:t>
      </w:r>
      <w:r w:rsidRPr="002910C6">
        <w:rPr>
          <w:rFonts w:ascii="Verdana" w:hAnsi="Verdana"/>
          <w:sz w:val="20"/>
          <w:szCs w:val="20"/>
          <w:lang w:val="es-CR"/>
        </w:rPr>
        <w:t xml:space="preserve">a] Corte sobre el deber de investigar actos como los ocurridos en el presente caso, incluyendo violencia y acoso sexual en el ámbito </w:t>
      </w:r>
      <w:proofErr w:type="gramStart"/>
      <w:r w:rsidRPr="002910C6">
        <w:rPr>
          <w:rFonts w:ascii="Verdana" w:hAnsi="Verdana"/>
          <w:sz w:val="20"/>
          <w:szCs w:val="20"/>
          <w:lang w:val="es-CR"/>
        </w:rPr>
        <w:t>escolar[</w:t>
      </w:r>
      <w:proofErr w:type="gramEnd"/>
      <w:r w:rsidRPr="002910C6">
        <w:rPr>
          <w:rFonts w:ascii="Verdana" w:hAnsi="Verdana"/>
          <w:sz w:val="20"/>
          <w:szCs w:val="20"/>
          <w:lang w:val="es-CR"/>
        </w:rPr>
        <w:t>,] p[</w:t>
      </w:r>
      <w:proofErr w:type="spellStart"/>
      <w:r w:rsidRPr="002910C6">
        <w:rPr>
          <w:rFonts w:ascii="Verdana" w:hAnsi="Verdana"/>
          <w:sz w:val="20"/>
          <w:szCs w:val="20"/>
          <w:lang w:val="es-CR"/>
        </w:rPr>
        <w:t>udiendo</w:t>
      </w:r>
      <w:proofErr w:type="spellEnd"/>
      <w:r w:rsidRPr="002910C6">
        <w:rPr>
          <w:rFonts w:ascii="Verdana" w:hAnsi="Verdana"/>
          <w:sz w:val="20"/>
          <w:szCs w:val="20"/>
          <w:lang w:val="es-CR"/>
        </w:rPr>
        <w:t>] fo</w:t>
      </w:r>
      <w:r w:rsidR="0013536E" w:rsidRPr="002910C6">
        <w:rPr>
          <w:rFonts w:ascii="Verdana" w:hAnsi="Verdana"/>
          <w:sz w:val="20"/>
          <w:szCs w:val="20"/>
          <w:lang w:val="es-CR"/>
        </w:rPr>
        <w:t>rtalecer [la] jurisprudencia respecto a estereotipos de género y sus implicaciones en el ámbito judicial”</w:t>
      </w:r>
      <w:r w:rsidRPr="002910C6">
        <w:rPr>
          <w:rFonts w:ascii="Verdana" w:hAnsi="Verdana"/>
          <w:sz w:val="20"/>
          <w:szCs w:val="20"/>
          <w:lang w:val="es-CR"/>
        </w:rPr>
        <w:t xml:space="preserve">. </w:t>
      </w:r>
      <w:r w:rsidR="008E7487" w:rsidRPr="002910C6">
        <w:rPr>
          <w:rFonts w:ascii="Verdana" w:hAnsi="Verdana"/>
          <w:sz w:val="20"/>
          <w:szCs w:val="20"/>
          <w:lang w:val="es-CR"/>
        </w:rPr>
        <w:t>Por último, la Comisión solicitó</w:t>
      </w:r>
      <w:r w:rsidR="0013536E" w:rsidRPr="002910C6">
        <w:rPr>
          <w:rFonts w:ascii="Verdana" w:hAnsi="Verdana"/>
          <w:sz w:val="20"/>
          <w:szCs w:val="20"/>
          <w:lang w:val="es-CR"/>
        </w:rPr>
        <w:t xml:space="preserve"> que la</w:t>
      </w:r>
      <w:r w:rsidR="00F556FE" w:rsidRPr="002910C6">
        <w:rPr>
          <w:rFonts w:ascii="Verdana" w:hAnsi="Verdana"/>
          <w:sz w:val="20"/>
          <w:szCs w:val="20"/>
          <w:lang w:val="es-CR"/>
        </w:rPr>
        <w:t xml:space="preserve"> declaración</w:t>
      </w:r>
      <w:r w:rsidR="0013536E" w:rsidRPr="002910C6">
        <w:rPr>
          <w:rFonts w:ascii="Verdana" w:hAnsi="Verdana"/>
          <w:sz w:val="20"/>
          <w:szCs w:val="20"/>
          <w:lang w:val="es-CR"/>
        </w:rPr>
        <w:t xml:space="preserve"> pericial de la </w:t>
      </w:r>
      <w:r w:rsidR="00F556FE" w:rsidRPr="002910C6">
        <w:rPr>
          <w:rFonts w:ascii="Verdana" w:hAnsi="Verdana"/>
          <w:sz w:val="20"/>
          <w:szCs w:val="20"/>
          <w:lang w:val="es-CR"/>
        </w:rPr>
        <w:t>señora</w:t>
      </w:r>
      <w:r w:rsidR="0013536E" w:rsidRPr="002910C6">
        <w:rPr>
          <w:rFonts w:ascii="Verdana" w:hAnsi="Verdana"/>
          <w:sz w:val="20"/>
          <w:szCs w:val="20"/>
          <w:lang w:val="es-CR"/>
        </w:rPr>
        <w:t xml:space="preserve"> Ximena Andrea </w:t>
      </w:r>
      <w:proofErr w:type="spellStart"/>
      <w:r w:rsidR="0013536E" w:rsidRPr="002910C6">
        <w:rPr>
          <w:rFonts w:ascii="Verdana" w:hAnsi="Verdana"/>
          <w:sz w:val="20"/>
          <w:szCs w:val="20"/>
          <w:lang w:val="es-CR"/>
        </w:rPr>
        <w:t>Gauché</w:t>
      </w:r>
      <w:proofErr w:type="spellEnd"/>
      <w:r w:rsidR="0013536E" w:rsidRPr="002910C6">
        <w:rPr>
          <w:rFonts w:ascii="Verdana" w:hAnsi="Verdana"/>
          <w:sz w:val="20"/>
          <w:szCs w:val="20"/>
          <w:lang w:val="es-CR"/>
        </w:rPr>
        <w:t xml:space="preserve"> Marchetti sea recibida en audiencia pública, mientras que la correspondiente a la </w:t>
      </w:r>
      <w:r w:rsidR="00F556FE" w:rsidRPr="002910C6">
        <w:rPr>
          <w:rFonts w:ascii="Verdana" w:hAnsi="Verdana"/>
          <w:sz w:val="20"/>
          <w:szCs w:val="20"/>
          <w:lang w:val="es-CR"/>
        </w:rPr>
        <w:t>señora</w:t>
      </w:r>
      <w:r w:rsidR="0013536E" w:rsidRPr="002910C6">
        <w:rPr>
          <w:rFonts w:ascii="Verdana" w:hAnsi="Verdana"/>
          <w:sz w:val="20"/>
          <w:szCs w:val="20"/>
          <w:lang w:val="es-CR"/>
        </w:rPr>
        <w:t xml:space="preserve"> Patricia </w:t>
      </w:r>
      <w:proofErr w:type="spellStart"/>
      <w:r w:rsidR="0013536E" w:rsidRPr="002910C6">
        <w:rPr>
          <w:rFonts w:ascii="Verdana" w:hAnsi="Verdana"/>
          <w:sz w:val="20"/>
          <w:szCs w:val="20"/>
          <w:lang w:val="es-CR"/>
        </w:rPr>
        <w:t>Viseur</w:t>
      </w:r>
      <w:proofErr w:type="spellEnd"/>
      <w:r w:rsidR="0013536E" w:rsidRPr="002910C6">
        <w:rPr>
          <w:rFonts w:ascii="Verdana" w:hAnsi="Verdana"/>
          <w:sz w:val="20"/>
          <w:szCs w:val="20"/>
          <w:lang w:val="es-CR"/>
        </w:rPr>
        <w:t xml:space="preserve"> Sellers, lo sea por declaración ante fedatario público (affidávit). </w:t>
      </w:r>
    </w:p>
    <w:p w14:paraId="60023A40" w14:textId="77777777" w:rsidR="00390022" w:rsidRPr="002910C6" w:rsidRDefault="00390022" w:rsidP="00A75739">
      <w:pPr>
        <w:pStyle w:val="Prrafodelista"/>
        <w:spacing w:line="216" w:lineRule="auto"/>
        <w:ind w:left="0"/>
        <w:jc w:val="both"/>
        <w:rPr>
          <w:rFonts w:ascii="Verdana" w:hAnsi="Verdana"/>
          <w:sz w:val="20"/>
          <w:szCs w:val="20"/>
          <w:lang w:val="es-CR"/>
        </w:rPr>
      </w:pPr>
    </w:p>
    <w:p w14:paraId="52B4B3B5" w14:textId="608E9EF4" w:rsidR="007826B7" w:rsidRPr="002910C6" w:rsidRDefault="00775B4E" w:rsidP="00A75739">
      <w:pPr>
        <w:pStyle w:val="Prrafodelista"/>
        <w:numPr>
          <w:ilvl w:val="0"/>
          <w:numId w:val="22"/>
        </w:numPr>
        <w:spacing w:after="0" w:line="216" w:lineRule="auto"/>
        <w:ind w:left="0" w:firstLine="0"/>
        <w:jc w:val="both"/>
        <w:rPr>
          <w:rFonts w:ascii="Verdana" w:hAnsi="Verdana"/>
          <w:sz w:val="20"/>
          <w:szCs w:val="20"/>
          <w:lang w:val="es-CR"/>
        </w:rPr>
      </w:pPr>
      <w:r w:rsidRPr="002910C6">
        <w:rPr>
          <w:rFonts w:ascii="Verdana" w:hAnsi="Verdana"/>
          <w:sz w:val="20"/>
          <w:szCs w:val="20"/>
          <w:lang w:val="es-CR"/>
        </w:rPr>
        <w:t>E</w:t>
      </w:r>
      <w:r w:rsidR="00E66C67">
        <w:rPr>
          <w:rFonts w:ascii="Verdana" w:hAnsi="Verdana"/>
          <w:sz w:val="20"/>
          <w:szCs w:val="20"/>
          <w:lang w:val="es-CR"/>
        </w:rPr>
        <w:t>sta</w:t>
      </w:r>
      <w:r w:rsidRPr="002910C6">
        <w:rPr>
          <w:rFonts w:ascii="Verdana" w:hAnsi="Verdana"/>
          <w:sz w:val="20"/>
          <w:szCs w:val="20"/>
          <w:lang w:val="es-CR"/>
        </w:rPr>
        <w:t xml:space="preserve"> </w:t>
      </w:r>
      <w:r w:rsidRPr="00A75739">
        <w:rPr>
          <w:rFonts w:ascii="Verdana" w:hAnsi="Verdana"/>
          <w:b/>
          <w:i/>
          <w:sz w:val="20"/>
          <w:szCs w:val="20"/>
          <w:lang w:val="es-CR"/>
        </w:rPr>
        <w:t>Presiden</w:t>
      </w:r>
      <w:r w:rsidR="00E66C67">
        <w:rPr>
          <w:rFonts w:ascii="Verdana" w:hAnsi="Verdana"/>
          <w:b/>
          <w:i/>
          <w:sz w:val="20"/>
          <w:szCs w:val="20"/>
          <w:lang w:val="es-CR"/>
        </w:rPr>
        <w:t>cia</w:t>
      </w:r>
      <w:r w:rsidRPr="002910C6">
        <w:rPr>
          <w:rFonts w:ascii="Verdana" w:hAnsi="Verdana"/>
          <w:sz w:val="20"/>
          <w:szCs w:val="20"/>
          <w:lang w:val="es-CR"/>
        </w:rPr>
        <w:t xml:space="preserve"> considera que </w:t>
      </w:r>
      <w:proofErr w:type="gramStart"/>
      <w:r w:rsidRPr="002910C6">
        <w:rPr>
          <w:rFonts w:ascii="Verdana" w:hAnsi="Verdana"/>
          <w:sz w:val="20"/>
          <w:szCs w:val="20"/>
          <w:lang w:val="es-CR"/>
        </w:rPr>
        <w:t>el objeto de los peritajes propuestos trascienden</w:t>
      </w:r>
      <w:proofErr w:type="gramEnd"/>
      <w:r w:rsidRPr="002910C6">
        <w:rPr>
          <w:rFonts w:ascii="Verdana" w:hAnsi="Verdana"/>
          <w:sz w:val="20"/>
          <w:szCs w:val="20"/>
          <w:lang w:val="es-CR"/>
        </w:rPr>
        <w:t xml:space="preserve"> el interés y objeto del presente caso</w:t>
      </w:r>
      <w:r w:rsidR="002C6751" w:rsidRPr="002910C6">
        <w:rPr>
          <w:rFonts w:ascii="Verdana" w:hAnsi="Verdana"/>
          <w:sz w:val="20"/>
          <w:szCs w:val="20"/>
          <w:lang w:val="es-CR"/>
        </w:rPr>
        <w:t>. Esto por cuanto,</w:t>
      </w:r>
      <w:r w:rsidRPr="002910C6">
        <w:rPr>
          <w:rFonts w:ascii="Verdana" w:hAnsi="Verdana"/>
          <w:sz w:val="20"/>
          <w:szCs w:val="20"/>
          <w:lang w:val="es-CR"/>
        </w:rPr>
        <w:t xml:space="preserve"> se refiere </w:t>
      </w:r>
      <w:r w:rsidR="00390022" w:rsidRPr="002910C6">
        <w:rPr>
          <w:rFonts w:ascii="Verdana" w:hAnsi="Verdana"/>
          <w:sz w:val="20"/>
          <w:szCs w:val="20"/>
          <w:lang w:val="es-CR"/>
        </w:rPr>
        <w:t xml:space="preserve">a </w:t>
      </w:r>
      <w:r w:rsidRPr="002910C6">
        <w:rPr>
          <w:rFonts w:ascii="Verdana" w:hAnsi="Verdana"/>
          <w:sz w:val="20"/>
          <w:szCs w:val="20"/>
          <w:lang w:val="es-CR"/>
        </w:rPr>
        <w:t xml:space="preserve">las obligaciones internacionales de los Estados sobre violencia sexual, incluyendo acoso sexual, en el ámbito educativo, siendo </w:t>
      </w:r>
      <w:r w:rsidR="002C6751" w:rsidRPr="002910C6">
        <w:rPr>
          <w:rFonts w:ascii="Verdana" w:hAnsi="Verdana"/>
          <w:sz w:val="20"/>
          <w:szCs w:val="20"/>
          <w:lang w:val="es-CR"/>
        </w:rPr>
        <w:t xml:space="preserve">la presente </w:t>
      </w:r>
      <w:r w:rsidRPr="002910C6">
        <w:rPr>
          <w:rFonts w:ascii="Verdana" w:hAnsi="Verdana"/>
          <w:sz w:val="20"/>
          <w:szCs w:val="20"/>
          <w:lang w:val="es-CR"/>
        </w:rPr>
        <w:t>una oportunidad para</w:t>
      </w:r>
      <w:r w:rsidR="002C6751" w:rsidRPr="002910C6">
        <w:rPr>
          <w:rFonts w:ascii="Verdana" w:hAnsi="Verdana"/>
          <w:sz w:val="20"/>
          <w:szCs w:val="20"/>
          <w:lang w:val="es-CR"/>
        </w:rPr>
        <w:t xml:space="preserve"> que </w:t>
      </w:r>
      <w:r w:rsidR="001D3CCE">
        <w:rPr>
          <w:rFonts w:ascii="Verdana" w:hAnsi="Verdana"/>
          <w:sz w:val="20"/>
          <w:szCs w:val="20"/>
          <w:lang w:val="es-CR"/>
        </w:rPr>
        <w:t>la</w:t>
      </w:r>
      <w:r w:rsidR="002C6751" w:rsidRPr="002910C6">
        <w:rPr>
          <w:rFonts w:ascii="Verdana" w:hAnsi="Verdana"/>
          <w:sz w:val="20"/>
          <w:szCs w:val="20"/>
          <w:lang w:val="es-CR"/>
        </w:rPr>
        <w:t xml:space="preserve"> Corte</w:t>
      </w:r>
      <w:r w:rsidR="001D3CCE">
        <w:rPr>
          <w:rFonts w:ascii="Verdana" w:hAnsi="Verdana"/>
          <w:sz w:val="20"/>
          <w:szCs w:val="20"/>
          <w:lang w:val="es-CR"/>
        </w:rPr>
        <w:t>, en caso de decidir el fondo del caso,</w:t>
      </w:r>
      <w:r w:rsidR="002C6751" w:rsidRPr="002910C6">
        <w:rPr>
          <w:rFonts w:ascii="Verdana" w:hAnsi="Verdana"/>
          <w:sz w:val="20"/>
          <w:szCs w:val="20"/>
          <w:lang w:val="es-CR"/>
        </w:rPr>
        <w:t xml:space="preserve"> se pronuncie</w:t>
      </w:r>
      <w:r w:rsidR="00714CEC" w:rsidRPr="002910C6">
        <w:rPr>
          <w:rFonts w:ascii="Verdana" w:hAnsi="Verdana"/>
          <w:sz w:val="20"/>
          <w:szCs w:val="20"/>
          <w:lang w:val="es-CR"/>
        </w:rPr>
        <w:t xml:space="preserve"> sobre las</w:t>
      </w:r>
      <w:r w:rsidRPr="002910C6">
        <w:rPr>
          <w:rFonts w:ascii="Verdana" w:hAnsi="Verdana"/>
          <w:sz w:val="20"/>
          <w:szCs w:val="20"/>
          <w:lang w:val="es-CR"/>
        </w:rPr>
        <w:t xml:space="preserve"> implicaciones de sus deberes de respeto y garantía en </w:t>
      </w:r>
      <w:r w:rsidR="002C6751" w:rsidRPr="002910C6">
        <w:rPr>
          <w:rFonts w:ascii="Verdana" w:hAnsi="Verdana"/>
          <w:sz w:val="20"/>
          <w:szCs w:val="20"/>
          <w:lang w:val="es-CR"/>
        </w:rPr>
        <w:t xml:space="preserve">la </w:t>
      </w:r>
      <w:r w:rsidRPr="002910C6">
        <w:rPr>
          <w:rFonts w:ascii="Verdana" w:hAnsi="Verdana"/>
          <w:sz w:val="20"/>
          <w:szCs w:val="20"/>
          <w:lang w:val="es-CR"/>
        </w:rPr>
        <w:t>temática</w:t>
      </w:r>
      <w:r w:rsidR="002C6751" w:rsidRPr="002910C6">
        <w:rPr>
          <w:rFonts w:ascii="Verdana" w:hAnsi="Verdana"/>
          <w:sz w:val="20"/>
          <w:szCs w:val="20"/>
          <w:lang w:val="es-CR"/>
        </w:rPr>
        <w:t xml:space="preserve"> referida</w:t>
      </w:r>
      <w:r w:rsidRPr="002910C6">
        <w:rPr>
          <w:rFonts w:ascii="Verdana" w:hAnsi="Verdana"/>
          <w:sz w:val="20"/>
          <w:szCs w:val="20"/>
          <w:lang w:val="es-CR"/>
        </w:rPr>
        <w:t>.</w:t>
      </w:r>
      <w:r w:rsidR="00B05B67" w:rsidRPr="002910C6">
        <w:rPr>
          <w:rFonts w:ascii="Verdana" w:hAnsi="Verdana"/>
          <w:sz w:val="20"/>
          <w:szCs w:val="20"/>
          <w:lang w:val="es-CR"/>
        </w:rPr>
        <w:t xml:space="preserve"> Por consiguiente, </w:t>
      </w:r>
      <w:r w:rsidR="007826B7" w:rsidRPr="002910C6">
        <w:rPr>
          <w:rFonts w:ascii="Verdana" w:hAnsi="Verdana"/>
          <w:sz w:val="20"/>
          <w:szCs w:val="20"/>
          <w:lang w:val="es-CR"/>
        </w:rPr>
        <w:t xml:space="preserve">el </w:t>
      </w:r>
      <w:proofErr w:type="gramStart"/>
      <w:r w:rsidR="007826B7" w:rsidRPr="002910C6">
        <w:rPr>
          <w:rFonts w:ascii="Verdana" w:hAnsi="Verdana"/>
          <w:sz w:val="20"/>
          <w:szCs w:val="20"/>
          <w:lang w:val="es-CR"/>
        </w:rPr>
        <w:t>Presidente</w:t>
      </w:r>
      <w:proofErr w:type="gramEnd"/>
      <w:r w:rsidR="007826B7" w:rsidRPr="002910C6">
        <w:rPr>
          <w:rFonts w:ascii="Verdana" w:hAnsi="Verdana"/>
          <w:sz w:val="20"/>
          <w:szCs w:val="20"/>
          <w:lang w:val="es-CR"/>
        </w:rPr>
        <w:t xml:space="preserve"> admite las declaraciones de</w:t>
      </w:r>
      <w:r w:rsidR="00B05B67" w:rsidRPr="002910C6">
        <w:rPr>
          <w:rFonts w:ascii="Verdana" w:hAnsi="Verdana"/>
          <w:sz w:val="20"/>
          <w:szCs w:val="20"/>
          <w:lang w:val="es-CR"/>
        </w:rPr>
        <w:t xml:space="preserve"> </w:t>
      </w:r>
      <w:r w:rsidR="007826B7" w:rsidRPr="002910C6">
        <w:rPr>
          <w:rFonts w:ascii="Verdana" w:hAnsi="Verdana"/>
          <w:sz w:val="20"/>
          <w:szCs w:val="20"/>
          <w:lang w:val="es-CR"/>
        </w:rPr>
        <w:t>l</w:t>
      </w:r>
      <w:r w:rsidR="00B05B67" w:rsidRPr="002910C6">
        <w:rPr>
          <w:rFonts w:ascii="Verdana" w:hAnsi="Verdana"/>
          <w:sz w:val="20"/>
          <w:szCs w:val="20"/>
          <w:lang w:val="es-CR"/>
        </w:rPr>
        <w:t>a</w:t>
      </w:r>
      <w:r w:rsidR="007826B7" w:rsidRPr="002910C6">
        <w:rPr>
          <w:rFonts w:ascii="Verdana" w:hAnsi="Verdana"/>
          <w:sz w:val="20"/>
          <w:szCs w:val="20"/>
          <w:lang w:val="es-CR"/>
        </w:rPr>
        <w:t xml:space="preserve"> </w:t>
      </w:r>
      <w:r w:rsidR="00F556FE" w:rsidRPr="002910C6">
        <w:rPr>
          <w:rFonts w:ascii="Verdana" w:hAnsi="Verdana"/>
          <w:sz w:val="20"/>
          <w:szCs w:val="20"/>
          <w:lang w:val="es-CR"/>
        </w:rPr>
        <w:t>señora</w:t>
      </w:r>
      <w:r w:rsidR="00B05B67" w:rsidRPr="002910C6">
        <w:rPr>
          <w:rFonts w:ascii="Verdana" w:hAnsi="Verdana"/>
          <w:sz w:val="20"/>
          <w:szCs w:val="20"/>
          <w:lang w:val="es-CR"/>
        </w:rPr>
        <w:t xml:space="preserve">. Ximena Andrea </w:t>
      </w:r>
      <w:proofErr w:type="spellStart"/>
      <w:r w:rsidR="00B05B67" w:rsidRPr="002910C6">
        <w:rPr>
          <w:rFonts w:ascii="Verdana" w:hAnsi="Verdana"/>
          <w:sz w:val="20"/>
          <w:szCs w:val="20"/>
          <w:lang w:val="es-CR"/>
        </w:rPr>
        <w:t>Gauché</w:t>
      </w:r>
      <w:proofErr w:type="spellEnd"/>
      <w:r w:rsidR="00B05B67" w:rsidRPr="002910C6">
        <w:rPr>
          <w:rFonts w:ascii="Verdana" w:hAnsi="Verdana"/>
          <w:sz w:val="20"/>
          <w:szCs w:val="20"/>
          <w:lang w:val="es-CR"/>
        </w:rPr>
        <w:t xml:space="preserve"> Marchetti y </w:t>
      </w:r>
      <w:r w:rsidR="007A543C" w:rsidRPr="002910C6">
        <w:rPr>
          <w:rFonts w:ascii="Verdana" w:hAnsi="Verdana"/>
          <w:sz w:val="20"/>
          <w:szCs w:val="20"/>
          <w:lang w:val="es-CR"/>
        </w:rPr>
        <w:t>P</w:t>
      </w:r>
      <w:r w:rsidR="00B05B67" w:rsidRPr="002910C6">
        <w:rPr>
          <w:rFonts w:ascii="Verdana" w:hAnsi="Verdana"/>
          <w:sz w:val="20"/>
          <w:szCs w:val="20"/>
          <w:lang w:val="es-CR"/>
        </w:rPr>
        <w:t xml:space="preserve">atricia </w:t>
      </w:r>
      <w:proofErr w:type="spellStart"/>
      <w:r w:rsidR="00B05B67" w:rsidRPr="002910C6">
        <w:rPr>
          <w:rFonts w:ascii="Verdana" w:hAnsi="Verdana"/>
          <w:sz w:val="20"/>
          <w:szCs w:val="20"/>
          <w:lang w:val="es-CR"/>
        </w:rPr>
        <w:t>Viseur</w:t>
      </w:r>
      <w:proofErr w:type="spellEnd"/>
      <w:r w:rsidR="00B05B67" w:rsidRPr="002910C6">
        <w:rPr>
          <w:rFonts w:ascii="Verdana" w:hAnsi="Verdana"/>
          <w:sz w:val="20"/>
          <w:szCs w:val="20"/>
          <w:lang w:val="es-CR"/>
        </w:rPr>
        <w:t xml:space="preserve"> Sellers, </w:t>
      </w:r>
      <w:r w:rsidR="007826B7" w:rsidRPr="002910C6">
        <w:rPr>
          <w:rFonts w:ascii="Verdana" w:hAnsi="Verdana"/>
          <w:sz w:val="20"/>
          <w:szCs w:val="20"/>
          <w:lang w:val="es-CR"/>
        </w:rPr>
        <w:t>cuyo</w:t>
      </w:r>
      <w:r w:rsidR="00B05B67" w:rsidRPr="002910C6">
        <w:rPr>
          <w:rFonts w:ascii="Verdana" w:hAnsi="Verdana"/>
          <w:sz w:val="20"/>
          <w:szCs w:val="20"/>
          <w:lang w:val="es-CR"/>
        </w:rPr>
        <w:t>s</w:t>
      </w:r>
      <w:r w:rsidR="007826B7" w:rsidRPr="002910C6">
        <w:rPr>
          <w:rFonts w:ascii="Verdana" w:hAnsi="Verdana"/>
          <w:sz w:val="20"/>
          <w:szCs w:val="20"/>
          <w:lang w:val="es-CR"/>
        </w:rPr>
        <w:t xml:space="preserve"> objeto</w:t>
      </w:r>
      <w:r w:rsidR="00B05B67" w:rsidRPr="002910C6">
        <w:rPr>
          <w:rFonts w:ascii="Verdana" w:hAnsi="Verdana"/>
          <w:sz w:val="20"/>
          <w:szCs w:val="20"/>
          <w:lang w:val="es-CR"/>
        </w:rPr>
        <w:t>s</w:t>
      </w:r>
      <w:r w:rsidR="007826B7" w:rsidRPr="002910C6">
        <w:rPr>
          <w:rFonts w:ascii="Verdana" w:hAnsi="Verdana"/>
          <w:sz w:val="20"/>
          <w:szCs w:val="20"/>
          <w:lang w:val="es-CR"/>
        </w:rPr>
        <w:t xml:space="preserve"> y modalidad</w:t>
      </w:r>
      <w:r w:rsidR="00B05B67" w:rsidRPr="002910C6">
        <w:rPr>
          <w:rFonts w:ascii="Verdana" w:hAnsi="Verdana"/>
          <w:sz w:val="20"/>
          <w:szCs w:val="20"/>
          <w:lang w:val="es-CR"/>
        </w:rPr>
        <w:t>es</w:t>
      </w:r>
      <w:r w:rsidR="007826B7" w:rsidRPr="002910C6">
        <w:rPr>
          <w:rFonts w:ascii="Verdana" w:hAnsi="Verdana"/>
          <w:sz w:val="20"/>
          <w:szCs w:val="20"/>
          <w:lang w:val="es-CR"/>
        </w:rPr>
        <w:t xml:space="preserve"> se determinarán en la parte resolutiva de la presente Resolución (</w:t>
      </w:r>
      <w:r w:rsidR="007826B7" w:rsidRPr="00A75739">
        <w:rPr>
          <w:rFonts w:ascii="Verdana" w:hAnsi="Verdana"/>
          <w:i/>
          <w:sz w:val="20"/>
          <w:szCs w:val="20"/>
          <w:lang w:val="es-CR"/>
        </w:rPr>
        <w:t>infra</w:t>
      </w:r>
      <w:r w:rsidR="007826B7" w:rsidRPr="002910C6">
        <w:rPr>
          <w:rFonts w:ascii="Verdana" w:hAnsi="Verdana"/>
          <w:sz w:val="20"/>
          <w:szCs w:val="20"/>
          <w:lang w:val="es-CR"/>
        </w:rPr>
        <w:t xml:space="preserve"> punto resolutivo</w:t>
      </w:r>
      <w:r w:rsidR="004E2FAD" w:rsidRPr="001D3CCE">
        <w:rPr>
          <w:rFonts w:ascii="Verdana" w:hAnsi="Verdana"/>
          <w:sz w:val="20"/>
          <w:szCs w:val="20"/>
          <w:lang w:val="es-CR"/>
        </w:rPr>
        <w:t xml:space="preserve"> 2</w:t>
      </w:r>
      <w:r w:rsidR="007826B7" w:rsidRPr="001D3CCE">
        <w:rPr>
          <w:rFonts w:ascii="Verdana" w:hAnsi="Verdana"/>
          <w:sz w:val="20"/>
          <w:szCs w:val="20"/>
          <w:lang w:val="es-CR"/>
        </w:rPr>
        <w:t>)</w:t>
      </w:r>
      <w:r w:rsidR="007826B7" w:rsidRPr="002910C6">
        <w:rPr>
          <w:rFonts w:ascii="Verdana" w:hAnsi="Verdana"/>
          <w:sz w:val="20"/>
          <w:szCs w:val="20"/>
          <w:lang w:val="es-CR"/>
        </w:rPr>
        <w:t>.</w:t>
      </w:r>
    </w:p>
    <w:p w14:paraId="05830935" w14:textId="77777777" w:rsidR="00A85D83" w:rsidRPr="002910C6" w:rsidRDefault="00A85D83" w:rsidP="00A75739">
      <w:pPr>
        <w:pStyle w:val="Prrafodelista"/>
        <w:spacing w:after="0" w:line="216" w:lineRule="auto"/>
        <w:ind w:left="0"/>
        <w:jc w:val="both"/>
        <w:rPr>
          <w:rFonts w:ascii="Verdana" w:hAnsi="Verdana"/>
          <w:sz w:val="20"/>
          <w:szCs w:val="20"/>
          <w:lang w:val="es-CR"/>
        </w:rPr>
      </w:pPr>
    </w:p>
    <w:p w14:paraId="3976A58C" w14:textId="6B5190A8" w:rsidR="00E85BD9" w:rsidRPr="002910C6" w:rsidRDefault="00E85BD9" w:rsidP="00A75739">
      <w:pPr>
        <w:pStyle w:val="Prrafodelista"/>
        <w:numPr>
          <w:ilvl w:val="0"/>
          <w:numId w:val="3"/>
        </w:numPr>
        <w:spacing w:line="216" w:lineRule="auto"/>
        <w:jc w:val="both"/>
        <w:rPr>
          <w:rFonts w:ascii="Verdana" w:hAnsi="Verdana"/>
          <w:b/>
          <w:i/>
          <w:sz w:val="20"/>
          <w:szCs w:val="20"/>
          <w:lang w:val="es-CR"/>
        </w:rPr>
      </w:pPr>
      <w:r w:rsidRPr="002910C6">
        <w:rPr>
          <w:rFonts w:ascii="Verdana" w:hAnsi="Verdana"/>
          <w:b/>
          <w:i/>
          <w:sz w:val="20"/>
          <w:szCs w:val="20"/>
          <w:lang w:val="es-CR"/>
        </w:rPr>
        <w:t>Admisibilidad de prueba pericial ofrecida por el Estado</w:t>
      </w:r>
    </w:p>
    <w:p w14:paraId="4F27806D" w14:textId="77777777" w:rsidR="00E85BD9" w:rsidRPr="002910C6" w:rsidRDefault="00E85BD9" w:rsidP="00A75739">
      <w:pPr>
        <w:pStyle w:val="Prrafodelista"/>
        <w:spacing w:after="0" w:line="216" w:lineRule="auto"/>
        <w:ind w:left="0"/>
        <w:jc w:val="both"/>
        <w:rPr>
          <w:rFonts w:ascii="Verdana" w:hAnsi="Verdana"/>
          <w:sz w:val="20"/>
          <w:szCs w:val="20"/>
          <w:lang w:val="es-CR"/>
        </w:rPr>
      </w:pPr>
    </w:p>
    <w:p w14:paraId="00904923" w14:textId="43B1CE8B" w:rsidR="00A85D83" w:rsidRPr="002910C6" w:rsidRDefault="00A85D83" w:rsidP="00A75739">
      <w:pPr>
        <w:pStyle w:val="Prrafodelista"/>
        <w:numPr>
          <w:ilvl w:val="0"/>
          <w:numId w:val="22"/>
        </w:numPr>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El </w:t>
      </w:r>
      <w:r w:rsidRPr="00A75739">
        <w:rPr>
          <w:rFonts w:ascii="Verdana" w:hAnsi="Verdana"/>
          <w:b/>
          <w:i/>
          <w:sz w:val="20"/>
          <w:szCs w:val="20"/>
          <w:lang w:val="es-CR"/>
        </w:rPr>
        <w:t>Estado</w:t>
      </w:r>
      <w:r w:rsidRPr="002910C6">
        <w:rPr>
          <w:rFonts w:ascii="Verdana" w:hAnsi="Verdana"/>
          <w:sz w:val="20"/>
          <w:szCs w:val="20"/>
          <w:lang w:val="es-CR"/>
        </w:rPr>
        <w:t xml:space="preserve"> </w:t>
      </w:r>
      <w:r w:rsidRPr="00A75739">
        <w:rPr>
          <w:rFonts w:ascii="Verdana" w:hAnsi="Verdana"/>
          <w:sz w:val="20"/>
          <w:szCs w:val="20"/>
          <w:lang w:val="es-CR"/>
        </w:rPr>
        <w:t>ofreció las declaraciones periciales de los señores Freddy Herrera Almagro, médico legista, e Iván Patricio Jácome Artieda, médico ginecólogo. El primero de ellos, para expedirse sobre la normativa, protocolos y prácticas en la realización de autopsias en Ecuador en 2002 y su comparación con las normativas, protocolos y prácticas existentes en la actualidad. Por su parte, el señor Jácome Artieda fue ofrecido para pronunciarse sobre las pruebas médicas utilizadas para detectar el embarazo, secuelas físicas que deja un aborto instrumental o farmacológico en los órganos del aparato reproductor y la existencia o inexistencia de un medicamento parenteral para provocar un aborto en el 2002 en Ecuador. Asimismo, indicaría, de conformidad con las historias clínicas obrantes en la presente causa, si es posible determinar que la niña presunta víctima estaba embarazada al momento de su fallecimiento.</w:t>
      </w:r>
    </w:p>
    <w:p w14:paraId="186C8B32" w14:textId="77777777" w:rsidR="00DF29E7" w:rsidRPr="00A75739" w:rsidRDefault="00DF29E7" w:rsidP="00A75739">
      <w:pPr>
        <w:pStyle w:val="Prrafodelista"/>
        <w:spacing w:line="216" w:lineRule="auto"/>
        <w:rPr>
          <w:rFonts w:ascii="Verdana" w:hAnsi="Verdana"/>
          <w:sz w:val="20"/>
          <w:szCs w:val="20"/>
          <w:lang w:val="es-CR"/>
        </w:rPr>
      </w:pPr>
    </w:p>
    <w:p w14:paraId="03524C06" w14:textId="6B1E9A21" w:rsidR="00A85D83" w:rsidRPr="002910C6" w:rsidRDefault="00DF29E7" w:rsidP="00A75739">
      <w:pPr>
        <w:pStyle w:val="Prrafodelista"/>
        <w:numPr>
          <w:ilvl w:val="0"/>
          <w:numId w:val="22"/>
        </w:numPr>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Las </w:t>
      </w:r>
      <w:r w:rsidRPr="00A75739">
        <w:rPr>
          <w:rFonts w:ascii="Verdana" w:hAnsi="Verdana"/>
          <w:b/>
          <w:i/>
          <w:sz w:val="20"/>
          <w:szCs w:val="20"/>
          <w:lang w:val="es-CR"/>
        </w:rPr>
        <w:t>representantes</w:t>
      </w:r>
      <w:r w:rsidRPr="002910C6">
        <w:rPr>
          <w:rFonts w:ascii="Verdana" w:hAnsi="Verdana"/>
          <w:sz w:val="20"/>
          <w:szCs w:val="20"/>
          <w:lang w:val="es-CR"/>
        </w:rPr>
        <w:t xml:space="preserve"> </w:t>
      </w:r>
      <w:r w:rsidR="00224DF4" w:rsidRPr="00A75739">
        <w:rPr>
          <w:rFonts w:ascii="Verdana" w:hAnsi="Verdana"/>
          <w:sz w:val="20"/>
          <w:szCs w:val="20"/>
          <w:lang w:val="es-CR"/>
        </w:rPr>
        <w:t xml:space="preserve">recusaron a ambos médicos al considerar que los mismos tienen o </w:t>
      </w:r>
      <w:r w:rsidR="005F7FA5">
        <w:rPr>
          <w:rFonts w:ascii="Verdana" w:hAnsi="Verdana"/>
          <w:sz w:val="20"/>
          <w:szCs w:val="20"/>
          <w:lang w:val="es-CR"/>
        </w:rPr>
        <w:t>tuvieron</w:t>
      </w:r>
      <w:r w:rsidR="00224DF4" w:rsidRPr="00A75739">
        <w:rPr>
          <w:rFonts w:ascii="Verdana" w:hAnsi="Verdana"/>
          <w:sz w:val="20"/>
          <w:szCs w:val="20"/>
          <w:lang w:val="es-CR"/>
        </w:rPr>
        <w:t xml:space="preserve"> </w:t>
      </w:r>
      <w:r w:rsidR="00E20E60" w:rsidRPr="00A75739">
        <w:rPr>
          <w:rFonts w:ascii="Verdana" w:hAnsi="Verdana"/>
          <w:sz w:val="20"/>
          <w:szCs w:val="20"/>
          <w:lang w:val="es-CR"/>
        </w:rPr>
        <w:t xml:space="preserve">una </w:t>
      </w:r>
      <w:r w:rsidR="00224DF4" w:rsidRPr="00A75739">
        <w:rPr>
          <w:rFonts w:ascii="Verdana" w:hAnsi="Verdana"/>
          <w:sz w:val="20"/>
          <w:szCs w:val="20"/>
          <w:lang w:val="es-CR"/>
        </w:rPr>
        <w:t xml:space="preserve">relación de subordinación funcional con el Estado </w:t>
      </w:r>
      <w:r w:rsidR="00E44F53" w:rsidRPr="00A75739">
        <w:rPr>
          <w:rFonts w:ascii="Verdana" w:hAnsi="Verdana"/>
          <w:sz w:val="20"/>
          <w:szCs w:val="20"/>
          <w:lang w:val="es-CR"/>
        </w:rPr>
        <w:t>que</w:t>
      </w:r>
      <w:r w:rsidR="00224DF4" w:rsidRPr="00A75739">
        <w:rPr>
          <w:rFonts w:ascii="Verdana" w:hAnsi="Verdana"/>
          <w:sz w:val="20"/>
          <w:szCs w:val="20"/>
          <w:lang w:val="es-CR"/>
        </w:rPr>
        <w:t xml:space="preserve"> afecta su imparcialidad e independencia.</w:t>
      </w:r>
      <w:r w:rsidR="00A85D83" w:rsidRPr="00A75739">
        <w:rPr>
          <w:rFonts w:ascii="Verdana" w:hAnsi="Verdana"/>
          <w:sz w:val="20"/>
          <w:szCs w:val="20"/>
          <w:lang w:val="es-CR"/>
        </w:rPr>
        <w:t xml:space="preserve"> Explicaron que el señor</w:t>
      </w:r>
      <w:r w:rsidR="00A85D83" w:rsidRPr="002910C6">
        <w:rPr>
          <w:rFonts w:ascii="Verdana" w:hAnsi="Verdana"/>
          <w:sz w:val="20"/>
          <w:szCs w:val="20"/>
          <w:lang w:val="es-CR"/>
        </w:rPr>
        <w:t xml:space="preserve"> </w:t>
      </w:r>
      <w:r w:rsidR="00A85D83" w:rsidRPr="00A75739">
        <w:rPr>
          <w:rFonts w:ascii="Verdana" w:hAnsi="Verdana"/>
          <w:sz w:val="20"/>
          <w:szCs w:val="20"/>
          <w:lang w:val="es-CR"/>
        </w:rPr>
        <w:t>Freddy Herrera Almagro</w:t>
      </w:r>
      <w:r w:rsidR="00A85D83" w:rsidRPr="002910C6">
        <w:rPr>
          <w:rFonts w:ascii="Verdana" w:hAnsi="Verdana"/>
          <w:sz w:val="20"/>
          <w:szCs w:val="20"/>
          <w:lang w:val="es-CR"/>
        </w:rPr>
        <w:t xml:space="preserve"> se desempeña como “Coordinador Técnico de Servicios de</w:t>
      </w:r>
      <w:r w:rsidR="00A85D83" w:rsidRPr="00A75739">
        <w:rPr>
          <w:rFonts w:ascii="Verdana" w:hAnsi="Verdana"/>
          <w:sz w:val="20"/>
          <w:szCs w:val="20"/>
          <w:lang w:val="es-CR"/>
        </w:rPr>
        <w:t xml:space="preserve"> </w:t>
      </w:r>
      <w:r w:rsidR="00A85D83" w:rsidRPr="002910C6">
        <w:rPr>
          <w:rFonts w:ascii="Verdana" w:hAnsi="Verdana"/>
          <w:sz w:val="20"/>
          <w:szCs w:val="20"/>
          <w:lang w:val="es-CR"/>
        </w:rPr>
        <w:t>Medicina Legal” del Servicio Nacional de Medicina Legal y Ciencias Forenses, organismo que</w:t>
      </w:r>
      <w:r w:rsidRPr="00A75739">
        <w:rPr>
          <w:rFonts w:ascii="Verdana" w:hAnsi="Verdana"/>
          <w:sz w:val="20"/>
          <w:szCs w:val="20"/>
          <w:lang w:val="es-CR"/>
        </w:rPr>
        <w:t xml:space="preserve"> </w:t>
      </w:r>
      <w:r w:rsidR="00A85D83" w:rsidRPr="002910C6">
        <w:rPr>
          <w:rFonts w:ascii="Verdana" w:hAnsi="Verdana"/>
          <w:sz w:val="20"/>
          <w:szCs w:val="20"/>
          <w:lang w:val="es-CR"/>
        </w:rPr>
        <w:t>“ejecuta sus tareas bajo la dirección de la Fiscalía General del Estado y depende</w:t>
      </w:r>
      <w:r w:rsidRPr="00A75739">
        <w:rPr>
          <w:rFonts w:ascii="Verdana" w:hAnsi="Verdana"/>
          <w:sz w:val="20"/>
          <w:szCs w:val="20"/>
          <w:lang w:val="es-CR"/>
        </w:rPr>
        <w:t xml:space="preserve"> </w:t>
      </w:r>
      <w:r w:rsidR="00A85D83" w:rsidRPr="002910C6">
        <w:rPr>
          <w:rFonts w:ascii="Verdana" w:hAnsi="Verdana"/>
          <w:sz w:val="20"/>
          <w:szCs w:val="20"/>
          <w:lang w:val="es-CR"/>
        </w:rPr>
        <w:t>administrativamente del Ministerio del Interior”</w:t>
      </w:r>
      <w:r w:rsidRPr="002910C6">
        <w:rPr>
          <w:rFonts w:ascii="Verdana" w:hAnsi="Verdana"/>
          <w:sz w:val="20"/>
          <w:szCs w:val="20"/>
          <w:lang w:val="es-CR"/>
        </w:rPr>
        <w:t>. Señalaron que Iván Patricio Jácome</w:t>
      </w:r>
      <w:r w:rsidR="00A85D83" w:rsidRPr="002910C6">
        <w:rPr>
          <w:rFonts w:ascii="Verdana" w:hAnsi="Verdana"/>
          <w:sz w:val="20"/>
          <w:szCs w:val="20"/>
          <w:lang w:val="es-CR"/>
        </w:rPr>
        <w:t xml:space="preserve"> fue </w:t>
      </w:r>
      <w:proofErr w:type="gramStart"/>
      <w:r w:rsidR="00A85D83" w:rsidRPr="002910C6">
        <w:rPr>
          <w:rFonts w:ascii="Verdana" w:hAnsi="Verdana"/>
          <w:sz w:val="20"/>
          <w:szCs w:val="20"/>
          <w:lang w:val="es-CR"/>
        </w:rPr>
        <w:t>Jefe</w:t>
      </w:r>
      <w:proofErr w:type="gramEnd"/>
      <w:r w:rsidR="00A85D83" w:rsidRPr="002910C6">
        <w:rPr>
          <w:rFonts w:ascii="Verdana" w:hAnsi="Verdana"/>
          <w:sz w:val="20"/>
          <w:szCs w:val="20"/>
          <w:lang w:val="es-CR"/>
        </w:rPr>
        <w:t xml:space="preserve"> del departamento de Salud Sexual y Reproductiva del</w:t>
      </w:r>
      <w:r w:rsidRPr="002910C6">
        <w:rPr>
          <w:rFonts w:ascii="Verdana" w:hAnsi="Verdana"/>
          <w:sz w:val="20"/>
          <w:szCs w:val="20"/>
          <w:lang w:val="es-CR"/>
        </w:rPr>
        <w:t xml:space="preserve"> </w:t>
      </w:r>
      <w:r w:rsidR="00A85D83" w:rsidRPr="002910C6">
        <w:rPr>
          <w:rFonts w:ascii="Verdana" w:hAnsi="Verdana"/>
          <w:sz w:val="20"/>
          <w:szCs w:val="20"/>
          <w:lang w:val="es-CR"/>
        </w:rPr>
        <w:t>Ministerio de Salud Pública y, labora en el Hospital Público “Hospital Gineco</w:t>
      </w:r>
      <w:r w:rsidRPr="002910C6">
        <w:rPr>
          <w:rFonts w:ascii="Verdana" w:hAnsi="Verdana"/>
          <w:sz w:val="20"/>
          <w:szCs w:val="20"/>
          <w:lang w:val="es-CR"/>
        </w:rPr>
        <w:t xml:space="preserve"> </w:t>
      </w:r>
      <w:r w:rsidR="00A85D83" w:rsidRPr="002910C6">
        <w:rPr>
          <w:rFonts w:ascii="Verdana" w:hAnsi="Verdana"/>
          <w:sz w:val="20"/>
          <w:szCs w:val="20"/>
          <w:lang w:val="es-CR"/>
        </w:rPr>
        <w:t>Obstétrico Isidro Ayora de Quito”</w:t>
      </w:r>
      <w:r w:rsidRPr="002910C6">
        <w:rPr>
          <w:rFonts w:ascii="Verdana" w:hAnsi="Verdana"/>
          <w:sz w:val="20"/>
          <w:szCs w:val="20"/>
          <w:lang w:val="es-CR"/>
        </w:rPr>
        <w:t xml:space="preserve">. </w:t>
      </w:r>
    </w:p>
    <w:p w14:paraId="0B6EC7D0" w14:textId="77777777" w:rsidR="00A85D83" w:rsidRPr="002910C6" w:rsidRDefault="00A85D83" w:rsidP="00A75739">
      <w:pPr>
        <w:tabs>
          <w:tab w:val="left" w:pos="1928"/>
        </w:tabs>
        <w:autoSpaceDE w:val="0"/>
        <w:autoSpaceDN w:val="0"/>
        <w:adjustRightInd w:val="0"/>
        <w:spacing w:after="0" w:line="216" w:lineRule="auto"/>
        <w:jc w:val="both"/>
        <w:rPr>
          <w:rFonts w:ascii="Verdana" w:hAnsi="Verdana"/>
          <w:sz w:val="20"/>
          <w:szCs w:val="20"/>
          <w:lang w:val="es-CR"/>
        </w:rPr>
      </w:pPr>
    </w:p>
    <w:p w14:paraId="15F50634" w14:textId="6068E0F3" w:rsidR="00DF29E7" w:rsidRPr="002910C6" w:rsidRDefault="00E66C67" w:rsidP="00A75739">
      <w:pPr>
        <w:pStyle w:val="Prrafodelista"/>
        <w:numPr>
          <w:ilvl w:val="0"/>
          <w:numId w:val="22"/>
        </w:numPr>
        <w:spacing w:after="0" w:line="216" w:lineRule="auto"/>
        <w:ind w:left="0" w:firstLine="0"/>
        <w:jc w:val="both"/>
        <w:rPr>
          <w:rFonts w:ascii="Verdana" w:hAnsi="Verdana"/>
          <w:sz w:val="20"/>
          <w:szCs w:val="20"/>
          <w:lang w:val="es-CR"/>
        </w:rPr>
      </w:pPr>
      <w:r>
        <w:rPr>
          <w:rFonts w:ascii="Verdana" w:hAnsi="Verdana"/>
          <w:sz w:val="20"/>
          <w:szCs w:val="20"/>
          <w:lang w:val="es-CR"/>
        </w:rPr>
        <w:t xml:space="preserve">Esta </w:t>
      </w:r>
      <w:r w:rsidRPr="00A75739">
        <w:rPr>
          <w:rFonts w:ascii="Verdana" w:hAnsi="Verdana"/>
          <w:b/>
          <w:i/>
          <w:sz w:val="20"/>
          <w:szCs w:val="20"/>
          <w:lang w:val="es-CR"/>
        </w:rPr>
        <w:t>Presidencia</w:t>
      </w:r>
      <w:r w:rsidR="00DF29E7" w:rsidRPr="002910C6">
        <w:rPr>
          <w:rFonts w:ascii="Verdana" w:hAnsi="Verdana"/>
          <w:sz w:val="20"/>
          <w:szCs w:val="20"/>
          <w:lang w:val="es-CR"/>
        </w:rPr>
        <w:t xml:space="preserve"> recuerda que el artículo 48. c) del Reglamento establece que un perito puede ser recusado cuando tiene o tuvo “vínculos estrechos o relación de subordinación funcional con la parte que lo propone y que a juicio de la Corte pudiera afectar su imparcialidad”.</w:t>
      </w:r>
    </w:p>
    <w:p w14:paraId="6DD74544" w14:textId="77777777" w:rsidR="00DF29E7" w:rsidRPr="00A75739" w:rsidRDefault="00DF29E7" w:rsidP="00A75739">
      <w:pPr>
        <w:pStyle w:val="Prrafodelista"/>
        <w:spacing w:line="216" w:lineRule="auto"/>
        <w:rPr>
          <w:rFonts w:ascii="Verdana" w:hAnsi="Verdana"/>
          <w:sz w:val="20"/>
          <w:szCs w:val="20"/>
          <w:lang w:val="es-CR"/>
        </w:rPr>
      </w:pPr>
    </w:p>
    <w:p w14:paraId="046F5FE5" w14:textId="2E590309" w:rsidR="000B5371" w:rsidRPr="002910C6" w:rsidRDefault="000B5371" w:rsidP="00A75739">
      <w:pPr>
        <w:pStyle w:val="Prrafodelista"/>
        <w:numPr>
          <w:ilvl w:val="0"/>
          <w:numId w:val="22"/>
        </w:numPr>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En oportunidades previas se ha ya señalado que </w:t>
      </w:r>
      <w:r w:rsidRPr="00E66C67">
        <w:rPr>
          <w:rFonts w:ascii="Verdana" w:hAnsi="Verdana"/>
          <w:sz w:val="20"/>
          <w:szCs w:val="20"/>
          <w:lang w:val="es-CR"/>
        </w:rPr>
        <w:t>“</w:t>
      </w:r>
      <w:r w:rsidRPr="00A75739">
        <w:rPr>
          <w:rFonts w:ascii="Verdana" w:hAnsi="Verdana"/>
          <w:sz w:val="20"/>
          <w:szCs w:val="20"/>
          <w:lang w:val="es-CR"/>
        </w:rPr>
        <w:t>el ejercicio de una función pública no debe ser automáticamente entendido como una</w:t>
      </w:r>
      <w:r w:rsidRPr="00A75739">
        <w:rPr>
          <w:rFonts w:ascii="Verdana" w:hAnsi="Verdana"/>
          <w:lang w:val="es-CR"/>
        </w:rPr>
        <w:t xml:space="preserve"> </w:t>
      </w:r>
      <w:r w:rsidRPr="00A75739">
        <w:rPr>
          <w:rFonts w:ascii="Verdana" w:hAnsi="Verdana"/>
          <w:sz w:val="20"/>
          <w:szCs w:val="20"/>
          <w:lang w:val="es-CR"/>
        </w:rPr>
        <w:t xml:space="preserve">causal de impedimento para </w:t>
      </w:r>
      <w:r w:rsidR="00A473E8" w:rsidRPr="002910C6">
        <w:rPr>
          <w:rFonts w:ascii="Verdana" w:hAnsi="Verdana"/>
          <w:sz w:val="20"/>
          <w:szCs w:val="20"/>
          <w:lang w:val="es-CR"/>
        </w:rPr>
        <w:t>[brindar una declaración pericial]</w:t>
      </w:r>
      <w:r w:rsidRPr="00A75739">
        <w:rPr>
          <w:rFonts w:ascii="Verdana" w:hAnsi="Verdana"/>
          <w:sz w:val="20"/>
          <w:szCs w:val="20"/>
          <w:lang w:val="es-CR"/>
        </w:rPr>
        <w:t xml:space="preserve"> en un proceso internacional ante este</w:t>
      </w:r>
      <w:r w:rsidRPr="002910C6">
        <w:rPr>
          <w:rFonts w:ascii="Verdana" w:hAnsi="Verdana"/>
          <w:sz w:val="20"/>
          <w:szCs w:val="20"/>
          <w:lang w:val="es-CR"/>
        </w:rPr>
        <w:t xml:space="preserve"> </w:t>
      </w:r>
      <w:r w:rsidRPr="00A75739">
        <w:rPr>
          <w:rFonts w:ascii="Verdana" w:hAnsi="Verdana"/>
          <w:sz w:val="20"/>
          <w:szCs w:val="20"/>
          <w:lang w:val="es-CR"/>
        </w:rPr>
        <w:t xml:space="preserve">Tribunal, ya que es necesario valorar si los cargos ocupados por </w:t>
      </w:r>
      <w:r w:rsidR="00A473E8" w:rsidRPr="002910C6">
        <w:rPr>
          <w:rFonts w:ascii="Verdana" w:hAnsi="Verdana"/>
          <w:sz w:val="20"/>
          <w:szCs w:val="20"/>
          <w:lang w:val="es-CR"/>
        </w:rPr>
        <w:t>[la persona]</w:t>
      </w:r>
      <w:r w:rsidRPr="00A75739">
        <w:rPr>
          <w:rFonts w:ascii="Verdana" w:hAnsi="Verdana"/>
          <w:sz w:val="20"/>
          <w:szCs w:val="20"/>
          <w:lang w:val="es-CR"/>
        </w:rPr>
        <w:t xml:space="preserve"> </w:t>
      </w:r>
      <w:proofErr w:type="spellStart"/>
      <w:r w:rsidRPr="00A75739">
        <w:rPr>
          <w:rFonts w:ascii="Verdana" w:hAnsi="Verdana"/>
          <w:sz w:val="20"/>
          <w:szCs w:val="20"/>
          <w:lang w:val="es-CR"/>
        </w:rPr>
        <w:t>ofrecid</w:t>
      </w:r>
      <w:proofErr w:type="spellEnd"/>
      <w:r w:rsidR="00A473E8" w:rsidRPr="002910C6">
        <w:rPr>
          <w:rFonts w:ascii="Verdana" w:hAnsi="Verdana"/>
          <w:sz w:val="20"/>
          <w:szCs w:val="20"/>
          <w:lang w:val="es-CR"/>
        </w:rPr>
        <w:t>[a]</w:t>
      </w:r>
      <w:r w:rsidRPr="002910C6">
        <w:rPr>
          <w:rFonts w:ascii="Verdana" w:hAnsi="Verdana"/>
          <w:sz w:val="20"/>
          <w:szCs w:val="20"/>
          <w:lang w:val="es-CR"/>
        </w:rPr>
        <w:t xml:space="preserve"> </w:t>
      </w:r>
      <w:r w:rsidRPr="00A75739">
        <w:rPr>
          <w:rFonts w:ascii="Verdana" w:hAnsi="Verdana"/>
          <w:sz w:val="20"/>
          <w:szCs w:val="20"/>
          <w:lang w:val="es-CR"/>
        </w:rPr>
        <w:t>pudieran afectar su imparcialidad para rendir el dictamen pericial para el cual fue</w:t>
      </w:r>
      <w:r w:rsidRPr="002910C6">
        <w:rPr>
          <w:rFonts w:ascii="Verdana" w:hAnsi="Verdana"/>
          <w:sz w:val="20"/>
          <w:szCs w:val="20"/>
          <w:lang w:val="es-CR"/>
        </w:rPr>
        <w:t xml:space="preserve"> </w:t>
      </w:r>
      <w:proofErr w:type="spellStart"/>
      <w:r w:rsidRPr="002910C6">
        <w:rPr>
          <w:rFonts w:ascii="Verdana" w:hAnsi="Verdana"/>
          <w:sz w:val="20"/>
          <w:szCs w:val="20"/>
          <w:lang w:val="es-CR"/>
        </w:rPr>
        <w:t>propuest</w:t>
      </w:r>
      <w:proofErr w:type="spellEnd"/>
      <w:r w:rsidR="00A473E8" w:rsidRPr="002910C6">
        <w:rPr>
          <w:rFonts w:ascii="Verdana" w:hAnsi="Verdana"/>
          <w:sz w:val="20"/>
          <w:szCs w:val="20"/>
          <w:lang w:val="es-CR"/>
        </w:rPr>
        <w:t>[a]”</w:t>
      </w:r>
      <w:r w:rsidR="00A473E8" w:rsidRPr="002910C6">
        <w:rPr>
          <w:rStyle w:val="Refdenotaalpie"/>
          <w:rFonts w:ascii="Verdana" w:hAnsi="Verdana"/>
          <w:strike/>
          <w:sz w:val="20"/>
          <w:szCs w:val="20"/>
          <w:lang w:val="es-CR"/>
        </w:rPr>
        <w:t xml:space="preserve"> </w:t>
      </w:r>
      <w:r w:rsidR="00A473E8" w:rsidRPr="00A75739">
        <w:rPr>
          <w:rStyle w:val="Refdenotaalpie"/>
          <w:rFonts w:ascii="Verdana" w:hAnsi="Verdana"/>
          <w:sz w:val="20"/>
          <w:szCs w:val="20"/>
          <w:lang w:val="es-CR"/>
        </w:rPr>
        <w:footnoteReference w:id="1"/>
      </w:r>
      <w:r w:rsidR="00A473E8" w:rsidRPr="00A75739">
        <w:rPr>
          <w:rFonts w:ascii="Verdana" w:hAnsi="Verdana"/>
          <w:sz w:val="20"/>
          <w:szCs w:val="20"/>
          <w:lang w:val="es-CR"/>
        </w:rPr>
        <w:t>.</w:t>
      </w:r>
    </w:p>
    <w:p w14:paraId="0A4AE99A" w14:textId="77777777" w:rsidR="000B5371" w:rsidRPr="00A75739" w:rsidRDefault="000B5371" w:rsidP="00A75739">
      <w:pPr>
        <w:pStyle w:val="Prrafodelista"/>
        <w:spacing w:line="216" w:lineRule="auto"/>
        <w:rPr>
          <w:rFonts w:ascii="Verdana" w:hAnsi="Verdana"/>
          <w:sz w:val="20"/>
          <w:szCs w:val="20"/>
          <w:lang w:val="es-CR"/>
        </w:rPr>
      </w:pPr>
    </w:p>
    <w:p w14:paraId="5EE3019B" w14:textId="0CFDFC47" w:rsidR="007C0BD0" w:rsidRPr="00A75739" w:rsidRDefault="00816A22" w:rsidP="00A75739">
      <w:pPr>
        <w:pStyle w:val="Prrafodelista"/>
        <w:numPr>
          <w:ilvl w:val="0"/>
          <w:numId w:val="22"/>
        </w:numPr>
        <w:spacing w:after="0" w:line="216" w:lineRule="auto"/>
        <w:ind w:left="0" w:firstLine="0"/>
        <w:jc w:val="both"/>
        <w:rPr>
          <w:rFonts w:ascii="Verdana" w:hAnsi="Verdana"/>
          <w:strike/>
          <w:sz w:val="20"/>
          <w:szCs w:val="20"/>
          <w:lang w:val="es-CR"/>
        </w:rPr>
      </w:pPr>
      <w:r w:rsidRPr="00A75739">
        <w:rPr>
          <w:rFonts w:ascii="Verdana" w:hAnsi="Verdana"/>
          <w:sz w:val="20"/>
          <w:szCs w:val="20"/>
          <w:lang w:val="es-CR"/>
        </w:rPr>
        <w:lastRenderedPageBreak/>
        <w:t xml:space="preserve">Freddy Herrera Almagro </w:t>
      </w:r>
      <w:r w:rsidR="00A473E8" w:rsidRPr="002910C6">
        <w:rPr>
          <w:rFonts w:ascii="Verdana" w:hAnsi="Verdana"/>
          <w:sz w:val="20"/>
          <w:szCs w:val="20"/>
          <w:lang w:val="es-CR"/>
        </w:rPr>
        <w:t>a</w:t>
      </w:r>
      <w:r w:rsidR="00635F8B" w:rsidRPr="00A75739">
        <w:rPr>
          <w:rFonts w:ascii="Verdana" w:hAnsi="Verdana"/>
          <w:sz w:val="20"/>
          <w:szCs w:val="20"/>
          <w:lang w:val="es-CR"/>
        </w:rPr>
        <w:t>dujo que</w:t>
      </w:r>
      <w:r w:rsidR="008973F1" w:rsidRPr="00A75739">
        <w:rPr>
          <w:rFonts w:ascii="Verdana" w:hAnsi="Verdana"/>
          <w:sz w:val="20"/>
          <w:szCs w:val="20"/>
          <w:lang w:val="es-CR"/>
        </w:rPr>
        <w:t xml:space="preserve"> el hecho de que el Servicio Nacional de Medicina Legal y Ciencias Forenses, en el que se desempeña como Coordinador Técnico de Servicios de Medicina Legal, sea una institución pública no implica </w:t>
      </w:r>
      <w:r w:rsidR="008973F1" w:rsidRPr="00A75739">
        <w:rPr>
          <w:rFonts w:ascii="Verdana" w:hAnsi="Verdana"/>
          <w:i/>
          <w:sz w:val="20"/>
          <w:szCs w:val="20"/>
          <w:lang w:val="es-CR"/>
        </w:rPr>
        <w:t xml:space="preserve">per se </w:t>
      </w:r>
      <w:r w:rsidR="008973F1" w:rsidRPr="00A75739">
        <w:rPr>
          <w:rFonts w:ascii="Verdana" w:hAnsi="Verdana"/>
          <w:sz w:val="20"/>
          <w:szCs w:val="20"/>
          <w:lang w:val="es-CR"/>
        </w:rPr>
        <w:t xml:space="preserve">la existencia de un vínculo estrecho con otra institución del Estado, </w:t>
      </w:r>
      <w:r w:rsidR="00E20E60" w:rsidRPr="002910C6">
        <w:rPr>
          <w:rFonts w:ascii="Verdana" w:hAnsi="Verdana"/>
          <w:sz w:val="20"/>
          <w:szCs w:val="20"/>
          <w:lang w:val="es-CR"/>
        </w:rPr>
        <w:t xml:space="preserve">tal como </w:t>
      </w:r>
      <w:r w:rsidR="008973F1" w:rsidRPr="00A75739">
        <w:rPr>
          <w:rFonts w:ascii="Verdana" w:hAnsi="Verdana"/>
          <w:sz w:val="20"/>
          <w:szCs w:val="20"/>
          <w:lang w:val="es-CR"/>
        </w:rPr>
        <w:t>la Procuraduría General del Estado, que pueda afectar la imparcialidad de su peritaje.</w:t>
      </w:r>
      <w:r w:rsidR="000B5371" w:rsidRPr="002910C6">
        <w:rPr>
          <w:rFonts w:ascii="Verdana" w:hAnsi="Verdana"/>
          <w:sz w:val="20"/>
          <w:szCs w:val="20"/>
          <w:lang w:val="es-CR"/>
        </w:rPr>
        <w:t xml:space="preserve"> </w:t>
      </w:r>
      <w:r w:rsidR="00A473E8" w:rsidRPr="002910C6">
        <w:rPr>
          <w:rFonts w:ascii="Verdana" w:hAnsi="Verdana"/>
          <w:sz w:val="20"/>
          <w:szCs w:val="20"/>
          <w:lang w:val="es-CR"/>
        </w:rPr>
        <w:t xml:space="preserve">Del mismo modo, adujo que no tiene ni ha tenido vínculos estrechos ni relación de subordinación funcional con la parte que propone su peritaje, y </w:t>
      </w:r>
      <w:proofErr w:type="gramStart"/>
      <w:r w:rsidR="00A473E8" w:rsidRPr="002910C6">
        <w:rPr>
          <w:rFonts w:ascii="Verdana" w:hAnsi="Verdana"/>
          <w:sz w:val="20"/>
          <w:szCs w:val="20"/>
          <w:lang w:val="es-CR"/>
        </w:rPr>
        <w:t>que</w:t>
      </w:r>
      <w:proofErr w:type="gramEnd"/>
      <w:r w:rsidR="00A473E8" w:rsidRPr="002910C6">
        <w:rPr>
          <w:rFonts w:ascii="Verdana" w:hAnsi="Verdana"/>
          <w:sz w:val="20"/>
          <w:szCs w:val="20"/>
          <w:lang w:val="es-CR"/>
        </w:rPr>
        <w:t xml:space="preserve"> además, no ha participado en el presente caso ni posee interés alguno en el mismo que pueda afectar su objetividad al momento de realizar el peritaje. </w:t>
      </w:r>
      <w:r w:rsidR="00872A77">
        <w:rPr>
          <w:rFonts w:ascii="Verdana" w:hAnsi="Verdana"/>
          <w:sz w:val="20"/>
          <w:szCs w:val="20"/>
          <w:lang w:val="es-CR"/>
        </w:rPr>
        <w:t xml:space="preserve">El señor Jácome Artieda </w:t>
      </w:r>
      <w:r w:rsidR="00851568">
        <w:rPr>
          <w:rFonts w:ascii="Verdana" w:hAnsi="Verdana"/>
          <w:sz w:val="20"/>
          <w:szCs w:val="20"/>
          <w:lang w:val="es-CR"/>
        </w:rPr>
        <w:t>señaló que ni las actividades laborales que ha ejercido antes ni las que desempeña ahora representan estrechos vínculos con la defensa del Estado</w:t>
      </w:r>
      <w:r w:rsidR="00DF31AB">
        <w:rPr>
          <w:rFonts w:ascii="Verdana" w:hAnsi="Verdana"/>
          <w:sz w:val="20"/>
          <w:szCs w:val="20"/>
          <w:lang w:val="es-CR"/>
        </w:rPr>
        <w:t xml:space="preserve">. </w:t>
      </w:r>
      <w:proofErr w:type="gramStart"/>
      <w:r w:rsidR="00DF31AB">
        <w:rPr>
          <w:rFonts w:ascii="Verdana" w:hAnsi="Verdana"/>
          <w:sz w:val="20"/>
          <w:szCs w:val="20"/>
          <w:lang w:val="es-CR"/>
        </w:rPr>
        <w:t>Además</w:t>
      </w:r>
      <w:proofErr w:type="gramEnd"/>
      <w:r w:rsidR="00DF31AB">
        <w:rPr>
          <w:rFonts w:ascii="Verdana" w:hAnsi="Verdana"/>
          <w:sz w:val="20"/>
          <w:szCs w:val="20"/>
          <w:lang w:val="es-CR"/>
        </w:rPr>
        <w:t xml:space="preserve"> indicó que no tiene interés en la causa ni ha participado en actuaciones relacionadas con la misma. </w:t>
      </w:r>
    </w:p>
    <w:p w14:paraId="71F4FE07" w14:textId="77777777" w:rsidR="001B1D65" w:rsidRPr="002910C6" w:rsidRDefault="001B1D65" w:rsidP="00A75739">
      <w:pPr>
        <w:autoSpaceDE w:val="0"/>
        <w:autoSpaceDN w:val="0"/>
        <w:adjustRightInd w:val="0"/>
        <w:spacing w:after="0" w:line="216" w:lineRule="auto"/>
        <w:jc w:val="both"/>
        <w:rPr>
          <w:rFonts w:ascii="Verdana" w:hAnsi="Verdana"/>
          <w:sz w:val="20"/>
          <w:szCs w:val="20"/>
          <w:lang w:val="es-CR"/>
        </w:rPr>
      </w:pPr>
    </w:p>
    <w:p w14:paraId="5A9BD164" w14:textId="251D924A" w:rsidR="00A473E8" w:rsidRPr="002910C6" w:rsidRDefault="00A473E8"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Esta</w:t>
      </w:r>
      <w:r w:rsidR="004B4A49" w:rsidRPr="00A75739">
        <w:rPr>
          <w:rFonts w:ascii="Verdana" w:hAnsi="Verdana"/>
          <w:sz w:val="20"/>
          <w:szCs w:val="20"/>
          <w:lang w:val="es-CR"/>
        </w:rPr>
        <w:t xml:space="preserve"> Presiden</w:t>
      </w:r>
      <w:r w:rsidRPr="002910C6">
        <w:rPr>
          <w:rFonts w:ascii="Verdana" w:hAnsi="Verdana"/>
          <w:sz w:val="20"/>
          <w:szCs w:val="20"/>
          <w:lang w:val="es-CR"/>
        </w:rPr>
        <w:t xml:space="preserve">cia, considerando </w:t>
      </w:r>
      <w:r w:rsidR="007A2143">
        <w:rPr>
          <w:rFonts w:ascii="Verdana" w:hAnsi="Verdana"/>
          <w:sz w:val="20"/>
          <w:szCs w:val="20"/>
          <w:lang w:val="es-CR"/>
        </w:rPr>
        <w:t xml:space="preserve">las observaciones </w:t>
      </w:r>
      <w:r w:rsidRPr="002910C6">
        <w:rPr>
          <w:rFonts w:ascii="Verdana" w:hAnsi="Verdana"/>
          <w:sz w:val="20"/>
          <w:szCs w:val="20"/>
          <w:lang w:val="es-CR"/>
        </w:rPr>
        <w:t xml:space="preserve">del señor Almagro, entiende que el cargo que ocupa no </w:t>
      </w:r>
      <w:r w:rsidRPr="00A75739">
        <w:rPr>
          <w:rFonts w:ascii="Verdana" w:hAnsi="Verdana"/>
          <w:sz w:val="20"/>
          <w:szCs w:val="20"/>
          <w:lang w:val="es-CR"/>
        </w:rPr>
        <w:t>compromete la independencia e imparcialidad de su peritaje y no se ha demostrado su interés o participación en el presente caso. Además, esta Presidencia considera que la información de carácter técnico que puede brindar el perito es de utilidad para el presente caso. Por lo tanto, concluye que la causal de recusación del artículo 48.1.c. del Reglamento no aplica a la situación del perito en cuestión.</w:t>
      </w:r>
      <w:r w:rsidR="00872A77">
        <w:rPr>
          <w:rFonts w:ascii="Verdana" w:hAnsi="Verdana"/>
          <w:sz w:val="20"/>
          <w:szCs w:val="20"/>
          <w:lang w:val="es-CR"/>
        </w:rPr>
        <w:t xml:space="preserve"> En cuanto al señor Jácome</w:t>
      </w:r>
      <w:r w:rsidR="00DF31AB">
        <w:rPr>
          <w:rFonts w:ascii="Verdana" w:hAnsi="Verdana"/>
          <w:sz w:val="20"/>
          <w:szCs w:val="20"/>
          <w:lang w:val="es-CR"/>
        </w:rPr>
        <w:t>,</w:t>
      </w:r>
      <w:r w:rsidR="0093292F">
        <w:rPr>
          <w:rFonts w:ascii="Verdana" w:hAnsi="Verdana"/>
          <w:sz w:val="20"/>
          <w:szCs w:val="20"/>
          <w:lang w:val="es-CR"/>
        </w:rPr>
        <w:t xml:space="preserve"> esta Presidencia hace una evaluación concordante con la referida al señor Almagro. Así, </w:t>
      </w:r>
      <w:r w:rsidR="00DF31AB">
        <w:rPr>
          <w:rFonts w:ascii="Verdana" w:hAnsi="Verdana"/>
          <w:sz w:val="20"/>
          <w:szCs w:val="20"/>
          <w:lang w:val="es-CR"/>
        </w:rPr>
        <w:t>e</w:t>
      </w:r>
      <w:r w:rsidR="0093292F">
        <w:rPr>
          <w:rFonts w:ascii="Verdana" w:hAnsi="Verdana"/>
          <w:sz w:val="20"/>
          <w:szCs w:val="20"/>
          <w:lang w:val="es-CR"/>
        </w:rPr>
        <w:t xml:space="preserve">ntiende que los señalamientos de los representantes sobre que el señor Jácome labora en un Hospital Público y sus antecedentes en un Departamento del Ministerio de Salud no son suficientes para generar convicción sobre sus </w:t>
      </w:r>
      <w:proofErr w:type="gramStart"/>
      <w:r w:rsidR="0093292F">
        <w:rPr>
          <w:rFonts w:ascii="Verdana" w:hAnsi="Verdana"/>
          <w:sz w:val="20"/>
          <w:szCs w:val="20"/>
          <w:lang w:val="es-CR"/>
        </w:rPr>
        <w:t>alegadas falta</w:t>
      </w:r>
      <w:proofErr w:type="gramEnd"/>
      <w:r w:rsidR="0093292F">
        <w:rPr>
          <w:rFonts w:ascii="Verdana" w:hAnsi="Verdana"/>
          <w:sz w:val="20"/>
          <w:szCs w:val="20"/>
          <w:lang w:val="es-CR"/>
        </w:rPr>
        <w:t xml:space="preserve"> de imparcialidad e independencia. </w:t>
      </w:r>
    </w:p>
    <w:p w14:paraId="30CF5C48" w14:textId="77777777" w:rsidR="0093292F" w:rsidRPr="00A75739" w:rsidRDefault="0093292F" w:rsidP="00A75739">
      <w:pPr>
        <w:pStyle w:val="Prrafodelista"/>
        <w:spacing w:line="216" w:lineRule="auto"/>
        <w:rPr>
          <w:rFonts w:ascii="Verdana" w:hAnsi="Verdana"/>
          <w:sz w:val="20"/>
          <w:szCs w:val="20"/>
          <w:lang w:val="es-CR"/>
        </w:rPr>
      </w:pPr>
    </w:p>
    <w:p w14:paraId="7D67DBF0" w14:textId="17FFB1E7" w:rsidR="0057347F" w:rsidRPr="00A75739" w:rsidRDefault="004B4A49" w:rsidP="00A75739">
      <w:pPr>
        <w:pStyle w:val="Prrafodelista"/>
        <w:numPr>
          <w:ilvl w:val="0"/>
          <w:numId w:val="16"/>
        </w:numPr>
        <w:autoSpaceDE w:val="0"/>
        <w:autoSpaceDN w:val="0"/>
        <w:adjustRightInd w:val="0"/>
        <w:spacing w:after="0" w:line="216" w:lineRule="auto"/>
        <w:ind w:left="0" w:firstLine="0"/>
        <w:jc w:val="both"/>
        <w:rPr>
          <w:rFonts w:ascii="Verdana" w:hAnsi="Verdana" w:cs="Arial"/>
          <w:sz w:val="20"/>
          <w:szCs w:val="20"/>
          <w:lang w:val="es-CR"/>
        </w:rPr>
      </w:pPr>
      <w:r w:rsidRPr="00A75739">
        <w:rPr>
          <w:rFonts w:ascii="Verdana" w:hAnsi="Verdana"/>
          <w:sz w:val="20"/>
          <w:szCs w:val="20"/>
          <w:lang w:val="es-CR"/>
        </w:rPr>
        <w:t xml:space="preserve">En razón de lo anterior, </w:t>
      </w:r>
      <w:r w:rsidR="001B1D65" w:rsidRPr="00A75739">
        <w:rPr>
          <w:rFonts w:ascii="Verdana" w:hAnsi="Verdana"/>
          <w:sz w:val="20"/>
          <w:szCs w:val="20"/>
          <w:lang w:val="es-CR"/>
        </w:rPr>
        <w:t xml:space="preserve">esta Presidencia </w:t>
      </w:r>
      <w:r w:rsidR="00E85BD9" w:rsidRPr="002910C6">
        <w:rPr>
          <w:rFonts w:ascii="Verdana" w:hAnsi="Verdana"/>
          <w:sz w:val="20"/>
          <w:szCs w:val="20"/>
          <w:lang w:val="es-CR"/>
        </w:rPr>
        <w:t>admite las declaraciones periciales de los señores Almagro y Jácome, de conformidad al objeto que se establece en la parte resolutiv</w:t>
      </w:r>
      <w:r w:rsidR="005F7FA5">
        <w:rPr>
          <w:rFonts w:ascii="Verdana" w:hAnsi="Verdana"/>
          <w:sz w:val="20"/>
          <w:szCs w:val="20"/>
          <w:lang w:val="es-CR"/>
        </w:rPr>
        <w:t>a</w:t>
      </w:r>
      <w:r w:rsidR="00E85BD9" w:rsidRPr="002910C6">
        <w:rPr>
          <w:rFonts w:ascii="Verdana" w:hAnsi="Verdana"/>
          <w:sz w:val="20"/>
          <w:szCs w:val="20"/>
          <w:lang w:val="es-CR"/>
        </w:rPr>
        <w:t xml:space="preserve"> de esta Resolución.</w:t>
      </w:r>
    </w:p>
    <w:p w14:paraId="491718A8" w14:textId="77777777" w:rsidR="0057347F" w:rsidRPr="002910C6" w:rsidRDefault="0057347F" w:rsidP="00A75739">
      <w:pPr>
        <w:pStyle w:val="Prrafodelista"/>
        <w:autoSpaceDE w:val="0"/>
        <w:autoSpaceDN w:val="0"/>
        <w:adjustRightInd w:val="0"/>
        <w:spacing w:after="0" w:line="216" w:lineRule="auto"/>
        <w:ind w:left="0"/>
        <w:jc w:val="both"/>
        <w:rPr>
          <w:rFonts w:ascii="Verdana" w:hAnsi="Verdana"/>
          <w:sz w:val="20"/>
          <w:szCs w:val="20"/>
          <w:lang w:val="es-CR"/>
        </w:rPr>
      </w:pPr>
    </w:p>
    <w:p w14:paraId="21758CCC" w14:textId="77777777" w:rsidR="0057347F" w:rsidRPr="00A75739" w:rsidRDefault="0057347F" w:rsidP="00A75739">
      <w:pPr>
        <w:spacing w:after="0" w:line="216" w:lineRule="auto"/>
        <w:ind w:firstLine="720"/>
        <w:jc w:val="both"/>
        <w:rPr>
          <w:rFonts w:ascii="Verdana" w:hAnsi="Verdana"/>
          <w:b/>
          <w:i/>
          <w:sz w:val="16"/>
          <w:szCs w:val="16"/>
          <w:lang w:val="es-CR"/>
        </w:rPr>
      </w:pPr>
      <w:r w:rsidRPr="002910C6">
        <w:rPr>
          <w:rFonts w:ascii="Verdana" w:hAnsi="Verdana"/>
          <w:b/>
          <w:i/>
          <w:sz w:val="20"/>
          <w:szCs w:val="20"/>
          <w:lang w:val="es-CR"/>
        </w:rPr>
        <w:t>C) Admisibilidad de declaraciones periciales ofrecidas por los representantes</w:t>
      </w:r>
    </w:p>
    <w:p w14:paraId="270B73D8" w14:textId="77777777" w:rsidR="0057347F" w:rsidRPr="00A75739" w:rsidRDefault="0057347F" w:rsidP="00A75739">
      <w:pPr>
        <w:pStyle w:val="Prrafodelista"/>
        <w:autoSpaceDE w:val="0"/>
        <w:autoSpaceDN w:val="0"/>
        <w:adjustRightInd w:val="0"/>
        <w:spacing w:after="0" w:line="216" w:lineRule="auto"/>
        <w:ind w:left="0"/>
        <w:jc w:val="both"/>
        <w:rPr>
          <w:rFonts w:ascii="Verdana" w:hAnsi="Verdana" w:cs="Arial"/>
          <w:sz w:val="20"/>
          <w:szCs w:val="20"/>
          <w:lang w:val="es-CR"/>
        </w:rPr>
      </w:pPr>
    </w:p>
    <w:p w14:paraId="751B8BCC" w14:textId="7AA49ECA" w:rsidR="00885897" w:rsidRPr="002910C6" w:rsidRDefault="0057347F"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A75739">
        <w:rPr>
          <w:rFonts w:ascii="Verdana" w:hAnsi="Verdana"/>
          <w:sz w:val="20"/>
          <w:szCs w:val="20"/>
          <w:lang w:val="es-CR"/>
        </w:rPr>
        <w:t>L</w:t>
      </w:r>
      <w:r w:rsidR="00E85BD9" w:rsidRPr="00A75739">
        <w:rPr>
          <w:rFonts w:ascii="Verdana" w:hAnsi="Verdana"/>
          <w:sz w:val="20"/>
          <w:szCs w:val="20"/>
          <w:lang w:val="es-CR"/>
        </w:rPr>
        <w:t xml:space="preserve">as </w:t>
      </w:r>
      <w:r w:rsidR="00E85BD9" w:rsidRPr="00A75739">
        <w:rPr>
          <w:rFonts w:ascii="Verdana" w:hAnsi="Verdana"/>
          <w:b/>
          <w:i/>
          <w:sz w:val="20"/>
          <w:szCs w:val="20"/>
          <w:lang w:val="es-CR"/>
        </w:rPr>
        <w:t xml:space="preserve">representantes </w:t>
      </w:r>
      <w:r w:rsidR="00E85BD9" w:rsidRPr="00A75739">
        <w:rPr>
          <w:rFonts w:ascii="Verdana" w:hAnsi="Verdana"/>
          <w:sz w:val="20"/>
          <w:szCs w:val="20"/>
          <w:lang w:val="es-CR"/>
        </w:rPr>
        <w:t xml:space="preserve">ofrecieron las </w:t>
      </w:r>
      <w:r w:rsidRPr="00A75739">
        <w:rPr>
          <w:rFonts w:ascii="Verdana" w:hAnsi="Verdana"/>
          <w:sz w:val="20"/>
          <w:szCs w:val="20"/>
          <w:lang w:val="es-CR"/>
        </w:rPr>
        <w:t xml:space="preserve">declaraciones </w:t>
      </w:r>
      <w:r w:rsidR="00E85BD9" w:rsidRPr="00A75739">
        <w:rPr>
          <w:rFonts w:ascii="Verdana" w:hAnsi="Verdana"/>
          <w:sz w:val="20"/>
          <w:szCs w:val="20"/>
          <w:lang w:val="es-CR"/>
        </w:rPr>
        <w:t>periciales de Ximena Cort</w:t>
      </w:r>
      <w:r w:rsidR="00AE08AE" w:rsidRPr="002910C6">
        <w:rPr>
          <w:rFonts w:ascii="Verdana" w:hAnsi="Verdana"/>
          <w:sz w:val="20"/>
          <w:szCs w:val="20"/>
          <w:lang w:val="es-CR"/>
        </w:rPr>
        <w:t xml:space="preserve">és Castillo, médica psiquiatra y </w:t>
      </w:r>
      <w:r w:rsidR="00E85BD9" w:rsidRPr="00A75739">
        <w:rPr>
          <w:rFonts w:ascii="Verdana" w:hAnsi="Verdana"/>
          <w:sz w:val="20"/>
          <w:szCs w:val="20"/>
          <w:lang w:val="es-CR"/>
        </w:rPr>
        <w:t xml:space="preserve">José Mario Nájera Ochoa, médico forense. </w:t>
      </w:r>
      <w:r w:rsidR="00885897" w:rsidRPr="002910C6">
        <w:rPr>
          <w:rFonts w:ascii="Verdana" w:hAnsi="Verdana"/>
          <w:sz w:val="20"/>
          <w:szCs w:val="20"/>
          <w:lang w:val="es-CR"/>
        </w:rPr>
        <w:t>La primera, para que declare sobre los “</w:t>
      </w:r>
      <w:r w:rsidR="00885897" w:rsidRPr="00A75739">
        <w:rPr>
          <w:rFonts w:ascii="Verdana" w:hAnsi="Verdana" w:cs="Times New Roman"/>
          <w:sz w:val="20"/>
          <w:szCs w:val="20"/>
          <w:lang w:val="es-CR"/>
        </w:rPr>
        <w:t xml:space="preserve">resultados de un peritaje psiquiátrico </w:t>
      </w:r>
      <w:proofErr w:type="gramStart"/>
      <w:r w:rsidR="00885897" w:rsidRPr="00A75739">
        <w:rPr>
          <w:rFonts w:ascii="Verdana" w:hAnsi="Verdana" w:cs="Times New Roman"/>
          <w:sz w:val="20"/>
          <w:szCs w:val="20"/>
          <w:lang w:val="es-CR"/>
        </w:rPr>
        <w:t>forense[</w:t>
      </w:r>
      <w:proofErr w:type="gramEnd"/>
      <w:r w:rsidR="00885897" w:rsidRPr="00A75739">
        <w:rPr>
          <w:rFonts w:ascii="Verdana" w:hAnsi="Verdana" w:cs="Times New Roman"/>
          <w:sz w:val="20"/>
          <w:szCs w:val="20"/>
          <w:lang w:val="es-CR"/>
        </w:rPr>
        <w:t>,] impacto y efectos de la violencia sexual en las adolescentes desde el abordaje de la salud mental y el consentimiento. A su vez, analizará los hechos del caso concreto de Paola del Rosario Guzmán Albarracín a la luz de los contenidos de su peritaje”. Por otra parte, se propuso que el señor Nájera declare sobre “las irregularidades que hubo en la autopsia que realizó medicina legal a Paola del Rosario Guzmán Albarracín, sobre la base de su peritaje forense de fecha 11 de abril de 2011”.</w:t>
      </w:r>
    </w:p>
    <w:p w14:paraId="10F8BCC0" w14:textId="77777777" w:rsidR="00885897" w:rsidRPr="002910C6" w:rsidRDefault="00885897" w:rsidP="00A75739">
      <w:pPr>
        <w:pStyle w:val="Prrafodelista"/>
        <w:autoSpaceDE w:val="0"/>
        <w:autoSpaceDN w:val="0"/>
        <w:adjustRightInd w:val="0"/>
        <w:spacing w:after="0" w:line="216" w:lineRule="auto"/>
        <w:ind w:left="0"/>
        <w:jc w:val="both"/>
        <w:rPr>
          <w:rFonts w:ascii="Verdana" w:hAnsi="Verdana"/>
          <w:sz w:val="20"/>
          <w:szCs w:val="20"/>
          <w:lang w:val="es-CR"/>
        </w:rPr>
      </w:pPr>
    </w:p>
    <w:p w14:paraId="42C6BBA2" w14:textId="0DD9750F" w:rsidR="00885897" w:rsidRPr="002910C6" w:rsidRDefault="0057347F"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A75739">
        <w:rPr>
          <w:rFonts w:ascii="Verdana" w:hAnsi="Verdana"/>
          <w:sz w:val="20"/>
          <w:szCs w:val="20"/>
          <w:lang w:val="es-CR"/>
        </w:rPr>
        <w:t>E</w:t>
      </w:r>
      <w:r w:rsidR="00E85BD9" w:rsidRPr="00A75739">
        <w:rPr>
          <w:rFonts w:ascii="Verdana" w:hAnsi="Verdana"/>
          <w:sz w:val="20"/>
          <w:szCs w:val="20"/>
          <w:lang w:val="es-CR"/>
        </w:rPr>
        <w:t xml:space="preserve">l </w:t>
      </w:r>
      <w:r w:rsidR="00E85BD9" w:rsidRPr="00A75739">
        <w:rPr>
          <w:rFonts w:ascii="Verdana" w:hAnsi="Verdana"/>
          <w:b/>
          <w:i/>
          <w:sz w:val="20"/>
          <w:szCs w:val="20"/>
          <w:lang w:val="es-CR"/>
        </w:rPr>
        <w:t>Estado</w:t>
      </w:r>
      <w:r w:rsidR="00E85BD9" w:rsidRPr="00A75739">
        <w:rPr>
          <w:rFonts w:ascii="Verdana" w:hAnsi="Verdana"/>
          <w:sz w:val="20"/>
          <w:szCs w:val="20"/>
          <w:lang w:val="es-CR"/>
        </w:rPr>
        <w:t xml:space="preserve"> recusó </w:t>
      </w:r>
      <w:r w:rsidRPr="00A75739">
        <w:rPr>
          <w:rFonts w:ascii="Verdana" w:hAnsi="Verdana"/>
          <w:sz w:val="20"/>
          <w:szCs w:val="20"/>
          <w:lang w:val="es-CR"/>
        </w:rPr>
        <w:t xml:space="preserve">a dichas personas </w:t>
      </w:r>
      <w:r w:rsidR="00E85BD9" w:rsidRPr="00A75739">
        <w:rPr>
          <w:rFonts w:ascii="Verdana" w:hAnsi="Verdana"/>
          <w:sz w:val="20"/>
          <w:szCs w:val="20"/>
          <w:lang w:val="es-CR"/>
        </w:rPr>
        <w:t>por considerar que, al haber intervenido a título de expert</w:t>
      </w:r>
      <w:r w:rsidRPr="00A75739">
        <w:rPr>
          <w:rFonts w:ascii="Verdana" w:hAnsi="Verdana"/>
          <w:sz w:val="20"/>
          <w:szCs w:val="20"/>
          <w:lang w:val="es-CR"/>
        </w:rPr>
        <w:t>a</w:t>
      </w:r>
      <w:r w:rsidR="00E85BD9" w:rsidRPr="00A75739">
        <w:rPr>
          <w:rFonts w:ascii="Verdana" w:hAnsi="Verdana"/>
          <w:sz w:val="20"/>
          <w:szCs w:val="20"/>
          <w:lang w:val="es-CR"/>
        </w:rPr>
        <w:t>s ante la C</w:t>
      </w:r>
      <w:r w:rsidRPr="00A75739">
        <w:rPr>
          <w:rFonts w:ascii="Verdana" w:hAnsi="Verdana"/>
          <w:sz w:val="20"/>
          <w:szCs w:val="20"/>
          <w:lang w:val="es-CR"/>
        </w:rPr>
        <w:t>omisión</w:t>
      </w:r>
      <w:r w:rsidR="00E85BD9" w:rsidRPr="00A75739">
        <w:rPr>
          <w:rFonts w:ascii="Verdana" w:hAnsi="Verdana"/>
          <w:sz w:val="20"/>
          <w:szCs w:val="20"/>
          <w:lang w:val="es-CR"/>
        </w:rPr>
        <w:t xml:space="preserve"> en el presente caso, se pondría en duda su objetividad, encontrándose por ende su situación en las causales de recusación comprendidas en el artículo 48.1.f del Reglamento de este Tribunal</w:t>
      </w:r>
      <w:r w:rsidR="00E85BD9" w:rsidRPr="002910C6">
        <w:rPr>
          <w:rStyle w:val="Refdenotaalpie"/>
          <w:rFonts w:ascii="Verdana" w:hAnsi="Verdana"/>
          <w:sz w:val="20"/>
          <w:szCs w:val="20"/>
          <w:lang w:val="es-CR"/>
        </w:rPr>
        <w:footnoteReference w:id="2"/>
      </w:r>
      <w:r w:rsidR="00E85BD9" w:rsidRPr="00A75739">
        <w:rPr>
          <w:rFonts w:ascii="Verdana" w:hAnsi="Verdana"/>
          <w:sz w:val="20"/>
          <w:szCs w:val="20"/>
          <w:lang w:val="es-CR"/>
        </w:rPr>
        <w:t xml:space="preserve">. </w:t>
      </w:r>
      <w:r w:rsidRPr="00A75739">
        <w:rPr>
          <w:rFonts w:ascii="Verdana" w:hAnsi="Verdana"/>
          <w:sz w:val="20"/>
          <w:szCs w:val="20"/>
          <w:lang w:val="es-CR"/>
        </w:rPr>
        <w:t>En particular</w:t>
      </w:r>
      <w:r w:rsidR="00E85BD9" w:rsidRPr="002910C6">
        <w:rPr>
          <w:rFonts w:ascii="Verdana" w:hAnsi="Verdana"/>
          <w:sz w:val="20"/>
          <w:szCs w:val="20"/>
          <w:lang w:val="es-CR"/>
        </w:rPr>
        <w:t xml:space="preserve"> en relación al </w:t>
      </w:r>
      <w:r w:rsidRPr="002910C6">
        <w:rPr>
          <w:rFonts w:ascii="Verdana" w:hAnsi="Verdana"/>
          <w:sz w:val="20"/>
          <w:szCs w:val="20"/>
          <w:lang w:val="es-CR"/>
        </w:rPr>
        <w:t xml:space="preserve">señor </w:t>
      </w:r>
      <w:r w:rsidR="00E85BD9" w:rsidRPr="002910C6">
        <w:rPr>
          <w:rFonts w:ascii="Verdana" w:hAnsi="Verdana"/>
          <w:sz w:val="20"/>
          <w:szCs w:val="20"/>
          <w:lang w:val="es-CR"/>
        </w:rPr>
        <w:t xml:space="preserve">Nájera Ochoa, la recusación formulada por el Estado </w:t>
      </w:r>
      <w:r w:rsidRPr="002910C6">
        <w:rPr>
          <w:rFonts w:ascii="Verdana" w:hAnsi="Verdana"/>
          <w:sz w:val="20"/>
          <w:szCs w:val="20"/>
          <w:lang w:val="es-CR"/>
        </w:rPr>
        <w:t>agrega que</w:t>
      </w:r>
      <w:r w:rsidR="00E85BD9" w:rsidRPr="002910C6">
        <w:rPr>
          <w:rFonts w:ascii="Verdana" w:hAnsi="Verdana"/>
          <w:sz w:val="20"/>
          <w:szCs w:val="20"/>
          <w:lang w:val="es-CR"/>
        </w:rPr>
        <w:t xml:space="preserve"> el objeto de la </w:t>
      </w:r>
      <w:r w:rsidRPr="002910C6">
        <w:rPr>
          <w:rFonts w:ascii="Verdana" w:hAnsi="Verdana"/>
          <w:sz w:val="20"/>
          <w:szCs w:val="20"/>
          <w:lang w:val="es-CR"/>
        </w:rPr>
        <w:t xml:space="preserve">declaración </w:t>
      </w:r>
      <w:r w:rsidR="00E85BD9" w:rsidRPr="002910C6">
        <w:rPr>
          <w:rFonts w:ascii="Verdana" w:hAnsi="Verdana"/>
          <w:sz w:val="20"/>
          <w:szCs w:val="20"/>
          <w:lang w:val="es-CR"/>
        </w:rPr>
        <w:t>pericial ofrecida</w:t>
      </w:r>
      <w:r w:rsidRPr="002910C6">
        <w:rPr>
          <w:rFonts w:ascii="Verdana" w:hAnsi="Verdana"/>
          <w:sz w:val="20"/>
          <w:szCs w:val="20"/>
          <w:lang w:val="es-CR"/>
        </w:rPr>
        <w:t xml:space="preserve"> denota la falta de</w:t>
      </w:r>
      <w:r w:rsidR="00E85BD9" w:rsidRPr="002910C6">
        <w:rPr>
          <w:rFonts w:ascii="Verdana" w:hAnsi="Verdana"/>
          <w:sz w:val="20"/>
          <w:szCs w:val="20"/>
          <w:lang w:val="es-CR"/>
        </w:rPr>
        <w:t xml:space="preserve"> objetividad. Esto por cuanto se solicita al profesional de referencia que se expida sobre “</w:t>
      </w:r>
      <w:r w:rsidRPr="002910C6">
        <w:rPr>
          <w:rFonts w:ascii="Verdana" w:hAnsi="Verdana"/>
          <w:sz w:val="20"/>
          <w:szCs w:val="20"/>
          <w:lang w:val="es-CR"/>
        </w:rPr>
        <w:t>i</w:t>
      </w:r>
      <w:r w:rsidR="00E85BD9" w:rsidRPr="002910C6">
        <w:rPr>
          <w:rFonts w:ascii="Verdana" w:hAnsi="Verdana"/>
          <w:sz w:val="20"/>
          <w:szCs w:val="20"/>
          <w:lang w:val="es-CR"/>
        </w:rPr>
        <w:t xml:space="preserve">rregularidades” en el caso particular de la autopsia realizada a la presunta víctima, situación que, al decir del Estado, no se encuentra probada. </w:t>
      </w:r>
    </w:p>
    <w:p w14:paraId="272817B4" w14:textId="77777777" w:rsidR="00885897" w:rsidRPr="00A75739" w:rsidRDefault="00885897" w:rsidP="00A75739">
      <w:pPr>
        <w:pStyle w:val="Prrafodelista"/>
        <w:spacing w:line="216" w:lineRule="auto"/>
        <w:rPr>
          <w:rFonts w:ascii="Verdana" w:hAnsi="Verdana"/>
          <w:sz w:val="20"/>
          <w:szCs w:val="20"/>
          <w:lang w:val="es-CR"/>
        </w:rPr>
      </w:pPr>
    </w:p>
    <w:p w14:paraId="48D6DFBB" w14:textId="38366A10" w:rsidR="00885897" w:rsidRPr="002910C6" w:rsidRDefault="0057347F"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L</w:t>
      </w:r>
      <w:r w:rsidR="00E85BD9" w:rsidRPr="002910C6">
        <w:rPr>
          <w:rFonts w:ascii="Verdana" w:hAnsi="Verdana"/>
          <w:sz w:val="20"/>
          <w:szCs w:val="20"/>
          <w:lang w:val="es-CR"/>
        </w:rPr>
        <w:t xml:space="preserve">a </w:t>
      </w:r>
      <w:r w:rsidRPr="002910C6">
        <w:rPr>
          <w:rFonts w:ascii="Verdana" w:hAnsi="Verdana"/>
          <w:sz w:val="20"/>
          <w:szCs w:val="20"/>
          <w:lang w:val="es-CR"/>
        </w:rPr>
        <w:t>señora</w:t>
      </w:r>
      <w:r w:rsidR="00E85BD9" w:rsidRPr="002910C6">
        <w:rPr>
          <w:rFonts w:ascii="Verdana" w:hAnsi="Verdana"/>
          <w:sz w:val="20"/>
          <w:szCs w:val="20"/>
          <w:lang w:val="es-CR"/>
        </w:rPr>
        <w:t xml:space="preserve"> Cortés Castillo respondió a la recusación antedicha</w:t>
      </w:r>
      <w:r w:rsidRPr="002910C6">
        <w:rPr>
          <w:rFonts w:ascii="Verdana" w:hAnsi="Verdana"/>
          <w:sz w:val="20"/>
          <w:szCs w:val="20"/>
          <w:lang w:val="es-CR"/>
        </w:rPr>
        <w:t>,</w:t>
      </w:r>
      <w:r w:rsidR="00E85BD9" w:rsidRPr="002910C6">
        <w:rPr>
          <w:rFonts w:ascii="Verdana" w:hAnsi="Verdana"/>
          <w:sz w:val="20"/>
          <w:szCs w:val="20"/>
          <w:lang w:val="es-CR"/>
        </w:rPr>
        <w:t xml:space="preserve"> aduciendo que no corresponde que se cuestione su deber de imparcialidad, puesto que su profesionalismo se encuentra avalado por una amplia experiencia en psiquiatría forense, especialmente en abuso sexual infantil y violencia contra las mujeres. </w:t>
      </w:r>
      <w:r w:rsidRPr="002910C6">
        <w:rPr>
          <w:rFonts w:ascii="Verdana" w:hAnsi="Verdana"/>
          <w:sz w:val="20"/>
          <w:szCs w:val="20"/>
          <w:lang w:val="es-CR"/>
        </w:rPr>
        <w:t>Por su parte, el señor</w:t>
      </w:r>
      <w:r w:rsidR="00E85BD9" w:rsidRPr="002910C6">
        <w:rPr>
          <w:rFonts w:ascii="Verdana" w:hAnsi="Verdana"/>
          <w:sz w:val="20"/>
          <w:szCs w:val="20"/>
          <w:lang w:val="es-CR"/>
        </w:rPr>
        <w:t xml:space="preserve"> Nájera Ochoa manifest</w:t>
      </w:r>
      <w:r w:rsidRPr="002910C6">
        <w:rPr>
          <w:rFonts w:ascii="Verdana" w:hAnsi="Verdana"/>
          <w:sz w:val="20"/>
          <w:szCs w:val="20"/>
          <w:lang w:val="es-CR"/>
        </w:rPr>
        <w:t>ó</w:t>
      </w:r>
      <w:r w:rsidR="00E85BD9" w:rsidRPr="002910C6">
        <w:rPr>
          <w:rFonts w:ascii="Verdana" w:hAnsi="Verdana"/>
          <w:sz w:val="20"/>
          <w:szCs w:val="20"/>
          <w:lang w:val="es-CR"/>
        </w:rPr>
        <w:t xml:space="preserve"> que de su trayectoria y experiencia se desprende su imparcialidad, objetividad, rigurosidad y tecnicismo. En segundo lugar, señaló que el hecho de que el objeto del peritaje contenga la palabra “irregularidades” no alude a </w:t>
      </w:r>
      <w:r w:rsidR="00AE08AE" w:rsidRPr="002910C6">
        <w:rPr>
          <w:rFonts w:ascii="Verdana" w:hAnsi="Verdana"/>
          <w:sz w:val="20"/>
          <w:szCs w:val="20"/>
          <w:lang w:val="es-CR"/>
        </w:rPr>
        <w:t>falta de imparcialidad</w:t>
      </w:r>
      <w:r w:rsidR="00E85BD9" w:rsidRPr="002910C6">
        <w:rPr>
          <w:rFonts w:ascii="Verdana" w:hAnsi="Verdana"/>
          <w:sz w:val="20"/>
          <w:szCs w:val="20"/>
          <w:lang w:val="es-CR"/>
        </w:rPr>
        <w:t xml:space="preserve">; sino que se refiere a la explicación </w:t>
      </w:r>
      <w:r w:rsidR="00E85BD9" w:rsidRPr="002910C6">
        <w:rPr>
          <w:rFonts w:ascii="Verdana" w:hAnsi="Verdana"/>
          <w:sz w:val="20"/>
          <w:szCs w:val="20"/>
          <w:lang w:val="es-CR"/>
        </w:rPr>
        <w:lastRenderedPageBreak/>
        <w:t>profunda de un análisis técnico realizado en el 2011, a la necropsia oficial que fue realizada al cuerpo de la presunta v</w:t>
      </w:r>
      <w:r w:rsidR="00C113E5" w:rsidRPr="002910C6">
        <w:rPr>
          <w:rFonts w:ascii="Verdana" w:hAnsi="Verdana"/>
          <w:sz w:val="20"/>
          <w:szCs w:val="20"/>
          <w:lang w:val="es-CR"/>
        </w:rPr>
        <w:t>íctima. El señor</w:t>
      </w:r>
      <w:r w:rsidR="00E85BD9" w:rsidRPr="002910C6">
        <w:rPr>
          <w:rFonts w:ascii="Verdana" w:hAnsi="Verdana"/>
          <w:sz w:val="20"/>
          <w:szCs w:val="20"/>
          <w:lang w:val="es-CR"/>
        </w:rPr>
        <w:t xml:space="preserve"> Nájera Ochoa señaló que el objeto de su pericial no trata de replicar el análisis </w:t>
      </w:r>
      <w:proofErr w:type="gramStart"/>
      <w:r w:rsidR="00E85BD9" w:rsidRPr="002910C6">
        <w:rPr>
          <w:rFonts w:ascii="Verdana" w:hAnsi="Verdana"/>
          <w:sz w:val="20"/>
          <w:szCs w:val="20"/>
          <w:lang w:val="es-CR"/>
        </w:rPr>
        <w:t>referido</w:t>
      </w:r>
      <w:proofErr w:type="gramEnd"/>
      <w:r w:rsidR="00E85BD9" w:rsidRPr="002910C6">
        <w:rPr>
          <w:rFonts w:ascii="Verdana" w:hAnsi="Verdana"/>
          <w:sz w:val="20"/>
          <w:szCs w:val="20"/>
          <w:lang w:val="es-CR"/>
        </w:rPr>
        <w:t xml:space="preserve"> sino que busca transmitir a la Corte las irregularidades que existieron con la experticia específica que se requiere. </w:t>
      </w:r>
    </w:p>
    <w:p w14:paraId="1FEC24A9" w14:textId="77777777" w:rsidR="00885897" w:rsidRPr="00A75739" w:rsidRDefault="00885897" w:rsidP="00A75739">
      <w:pPr>
        <w:pStyle w:val="Prrafodelista"/>
        <w:spacing w:line="216" w:lineRule="auto"/>
        <w:rPr>
          <w:rFonts w:ascii="Verdana" w:hAnsi="Verdana"/>
          <w:sz w:val="20"/>
          <w:szCs w:val="20"/>
          <w:lang w:val="es-CR"/>
        </w:rPr>
      </w:pPr>
    </w:p>
    <w:p w14:paraId="6BC38D48" w14:textId="77777777" w:rsidR="00C113E5" w:rsidRPr="002910C6" w:rsidRDefault="00885897"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Esta </w:t>
      </w:r>
      <w:r w:rsidRPr="00A75739">
        <w:rPr>
          <w:rFonts w:ascii="Verdana" w:hAnsi="Verdana"/>
          <w:b/>
          <w:i/>
          <w:sz w:val="20"/>
          <w:szCs w:val="20"/>
          <w:lang w:val="es-CR"/>
        </w:rPr>
        <w:t xml:space="preserve">Presidencia </w:t>
      </w:r>
      <w:r w:rsidRPr="002910C6">
        <w:rPr>
          <w:rFonts w:ascii="Verdana" w:hAnsi="Verdana"/>
          <w:sz w:val="20"/>
          <w:szCs w:val="20"/>
          <w:lang w:val="es-CR"/>
        </w:rPr>
        <w:t xml:space="preserve">recuerda que ya antes se ha señalado que </w:t>
      </w:r>
    </w:p>
    <w:p w14:paraId="263316A4" w14:textId="77777777" w:rsidR="00C113E5" w:rsidRPr="00A75739" w:rsidRDefault="00C113E5" w:rsidP="00A75739">
      <w:pPr>
        <w:pStyle w:val="Prrafodelista"/>
        <w:spacing w:line="216" w:lineRule="auto"/>
        <w:rPr>
          <w:rFonts w:ascii="Verdana" w:hAnsi="Verdana"/>
          <w:sz w:val="20"/>
          <w:szCs w:val="20"/>
          <w:lang w:val="es-CR"/>
        </w:rPr>
      </w:pPr>
    </w:p>
    <w:p w14:paraId="6B1482EE" w14:textId="4ABBE83B" w:rsidR="0057347F" w:rsidRPr="00A75739" w:rsidRDefault="00885897" w:rsidP="00A75739">
      <w:pPr>
        <w:pStyle w:val="Prrafodelista"/>
        <w:autoSpaceDE w:val="0"/>
        <w:autoSpaceDN w:val="0"/>
        <w:adjustRightInd w:val="0"/>
        <w:spacing w:after="0" w:line="216" w:lineRule="auto"/>
        <w:ind w:left="284" w:right="288"/>
        <w:jc w:val="both"/>
        <w:rPr>
          <w:rFonts w:ascii="Verdana" w:hAnsi="Verdana"/>
          <w:sz w:val="16"/>
          <w:szCs w:val="16"/>
          <w:lang w:val="es-CR"/>
        </w:rPr>
      </w:pPr>
      <w:r w:rsidRPr="00A75739">
        <w:rPr>
          <w:rFonts w:ascii="Verdana" w:hAnsi="Verdana"/>
          <w:sz w:val="16"/>
          <w:szCs w:val="16"/>
          <w:lang w:val="es-CR"/>
        </w:rPr>
        <w:t xml:space="preserve">la objetividad que se presume debe poseer un perito […] no cesa por haber emitido su opinión experta en una anterior </w:t>
      </w:r>
      <w:proofErr w:type="gramStart"/>
      <w:r w:rsidRPr="00A75739">
        <w:rPr>
          <w:rFonts w:ascii="Verdana" w:hAnsi="Verdana"/>
          <w:sz w:val="16"/>
          <w:szCs w:val="16"/>
          <w:lang w:val="es-CR"/>
        </w:rPr>
        <w:t>oportunidad</w:t>
      </w:r>
      <w:r w:rsidR="00C113E5" w:rsidRPr="00A75739">
        <w:rPr>
          <w:rFonts w:ascii="Verdana" w:hAnsi="Verdana"/>
          <w:sz w:val="16"/>
          <w:szCs w:val="16"/>
          <w:lang w:val="es-CR"/>
        </w:rPr>
        <w:t>[</w:t>
      </w:r>
      <w:proofErr w:type="gramEnd"/>
      <w:r w:rsidR="00C113E5" w:rsidRPr="00A75739">
        <w:rPr>
          <w:rFonts w:ascii="Verdana" w:hAnsi="Verdana"/>
          <w:sz w:val="16"/>
          <w:szCs w:val="16"/>
          <w:lang w:val="es-CR"/>
        </w:rPr>
        <w:t>. …E]</w:t>
      </w:r>
      <w:r w:rsidRPr="00A75739">
        <w:rPr>
          <w:rFonts w:ascii="Verdana" w:hAnsi="Verdana"/>
          <w:sz w:val="16"/>
          <w:szCs w:val="16"/>
          <w:lang w:val="es-CR"/>
        </w:rPr>
        <w:t xml:space="preserve">l deber de objetividad exige que los peritos se aproximen a los hechos que le son presentados desde su conocimiento experto, careciendo de todo prejuicio, independientemente del momento en que efectúe dicha aproximación, lo cual puede verificarse al evaluar tanto la argumentación técnica como la argumentación sobre prueba que sustenten su opinión. </w:t>
      </w:r>
      <w:proofErr w:type="spellStart"/>
      <w:r w:rsidRPr="00A75739">
        <w:rPr>
          <w:rFonts w:ascii="Verdana" w:hAnsi="Verdana"/>
          <w:sz w:val="16"/>
          <w:szCs w:val="16"/>
          <w:lang w:val="es-CR"/>
        </w:rPr>
        <w:t>Aún</w:t>
      </w:r>
      <w:proofErr w:type="spellEnd"/>
      <w:r w:rsidRPr="00A75739">
        <w:rPr>
          <w:rFonts w:ascii="Verdana" w:hAnsi="Verdana"/>
          <w:sz w:val="16"/>
          <w:szCs w:val="16"/>
          <w:lang w:val="es-CR"/>
        </w:rPr>
        <w:t xml:space="preserve"> cuando dicha opinión experta se hubiera formado, comunicado y valorado </w:t>
      </w:r>
      <w:r w:rsidR="00C113E5" w:rsidRPr="00A75739">
        <w:rPr>
          <w:rFonts w:ascii="Verdana" w:hAnsi="Verdana"/>
          <w:sz w:val="16"/>
          <w:szCs w:val="16"/>
          <w:lang w:val="es-CR"/>
        </w:rPr>
        <w:t xml:space="preserve">[…] </w:t>
      </w:r>
      <w:r w:rsidRPr="00A75739">
        <w:rPr>
          <w:rFonts w:ascii="Verdana" w:hAnsi="Verdana"/>
          <w:sz w:val="16"/>
          <w:szCs w:val="16"/>
          <w:lang w:val="es-CR"/>
        </w:rPr>
        <w:t>con anterioridad al conocimiento del caso por parte del Tribunal, ello no implica que dicha opinión deje de ser experta u objetiva, ni de ninguna forma impide su valoración por parte de la Corte</w:t>
      </w:r>
      <w:r w:rsidR="00C113E5" w:rsidRPr="00A75739">
        <w:rPr>
          <w:rStyle w:val="Refdenotaalpie"/>
          <w:rFonts w:ascii="Verdana" w:hAnsi="Verdana"/>
          <w:sz w:val="16"/>
          <w:szCs w:val="16"/>
          <w:lang w:val="es-CR"/>
        </w:rPr>
        <w:footnoteReference w:id="3"/>
      </w:r>
      <w:r w:rsidRPr="00A75739">
        <w:rPr>
          <w:rFonts w:ascii="Verdana" w:hAnsi="Verdana"/>
          <w:sz w:val="16"/>
          <w:szCs w:val="16"/>
          <w:lang w:val="es-CR"/>
        </w:rPr>
        <w:t>.</w:t>
      </w:r>
    </w:p>
    <w:p w14:paraId="6B1F8F20" w14:textId="77777777" w:rsidR="00C113E5" w:rsidRPr="00A75739" w:rsidRDefault="00C113E5" w:rsidP="00A75739">
      <w:pPr>
        <w:pStyle w:val="Prrafodelista"/>
        <w:spacing w:line="216" w:lineRule="auto"/>
        <w:rPr>
          <w:rFonts w:ascii="Verdana" w:hAnsi="Verdana"/>
          <w:sz w:val="20"/>
          <w:szCs w:val="20"/>
          <w:lang w:val="es-CR"/>
        </w:rPr>
      </w:pPr>
    </w:p>
    <w:p w14:paraId="020DEBE6" w14:textId="606EDBD8" w:rsidR="00C113E5" w:rsidRPr="002910C6" w:rsidRDefault="00C113E5"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Por lo expuesto, esta Presidencia considera improcedentes las recusaciones formuladas por el Estado.</w:t>
      </w:r>
    </w:p>
    <w:p w14:paraId="17F4E595" w14:textId="77777777" w:rsidR="00C113E5" w:rsidRPr="002910C6" w:rsidRDefault="00C113E5" w:rsidP="00A75739">
      <w:pPr>
        <w:pStyle w:val="Prrafodelista"/>
        <w:autoSpaceDE w:val="0"/>
        <w:autoSpaceDN w:val="0"/>
        <w:adjustRightInd w:val="0"/>
        <w:spacing w:after="0" w:line="216" w:lineRule="auto"/>
        <w:ind w:left="0"/>
        <w:jc w:val="both"/>
        <w:rPr>
          <w:rFonts w:ascii="Verdana" w:hAnsi="Verdana"/>
          <w:sz w:val="20"/>
          <w:szCs w:val="20"/>
          <w:lang w:val="es-CR"/>
        </w:rPr>
      </w:pPr>
    </w:p>
    <w:p w14:paraId="0F7396DA" w14:textId="35508195" w:rsidR="00C113E5" w:rsidRPr="002910C6" w:rsidRDefault="00C113E5"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Sin perjuicio de lo anterior, se advierte que, en efecto, las pericias realizadas previamente por la señora </w:t>
      </w:r>
      <w:r w:rsidR="001356A7" w:rsidRPr="002910C6">
        <w:rPr>
          <w:rFonts w:ascii="Verdana" w:hAnsi="Verdana"/>
          <w:sz w:val="20"/>
          <w:szCs w:val="20"/>
          <w:lang w:val="es-CR"/>
        </w:rPr>
        <w:t>Cortés Castillo y por el señor Ná</w:t>
      </w:r>
      <w:r w:rsidR="005F7FA5">
        <w:rPr>
          <w:rFonts w:ascii="Verdana" w:hAnsi="Verdana"/>
          <w:sz w:val="20"/>
          <w:szCs w:val="20"/>
          <w:lang w:val="es-CR"/>
        </w:rPr>
        <w:t>jera Ochoa constan como prueba</w:t>
      </w:r>
      <w:r w:rsidR="001356A7" w:rsidRPr="002910C6">
        <w:rPr>
          <w:rFonts w:ascii="Verdana" w:hAnsi="Verdana"/>
          <w:sz w:val="20"/>
          <w:szCs w:val="20"/>
          <w:lang w:val="es-CR"/>
        </w:rPr>
        <w:t>, pues fueron indicadas como anexos 12 y 10, respectivamente, al Informe de Fondo. En el caso de la señora Cortés Castillo, su peritaje rendido ante la Comisión trató sobre una “valoración médico psiquiátrica de autopsia psicológica” para: 1. “[d]</w:t>
      </w:r>
      <w:proofErr w:type="spellStart"/>
      <w:r w:rsidR="001356A7" w:rsidRPr="002910C6">
        <w:rPr>
          <w:rFonts w:ascii="Verdana" w:hAnsi="Verdana"/>
          <w:sz w:val="20"/>
          <w:szCs w:val="20"/>
          <w:lang w:val="es-CR"/>
        </w:rPr>
        <w:t>eterminar</w:t>
      </w:r>
      <w:proofErr w:type="spellEnd"/>
      <w:r w:rsidR="001356A7" w:rsidRPr="002910C6">
        <w:rPr>
          <w:rFonts w:ascii="Verdana" w:hAnsi="Verdana"/>
          <w:sz w:val="20"/>
          <w:szCs w:val="20"/>
          <w:lang w:val="es-CR"/>
        </w:rPr>
        <w:t xml:space="preserve"> la manera de muerte de quien en vida fuera Paola del Rosario Guzmán Albarracín”. 2. “[c]</w:t>
      </w:r>
      <w:proofErr w:type="spellStart"/>
      <w:r w:rsidR="001356A7" w:rsidRPr="002910C6">
        <w:rPr>
          <w:rFonts w:ascii="Verdana" w:hAnsi="Verdana"/>
          <w:sz w:val="20"/>
          <w:szCs w:val="20"/>
          <w:lang w:val="es-CR"/>
        </w:rPr>
        <w:t>ualquier</w:t>
      </w:r>
      <w:proofErr w:type="spellEnd"/>
      <w:r w:rsidR="001356A7" w:rsidRPr="002910C6">
        <w:rPr>
          <w:rFonts w:ascii="Verdana" w:hAnsi="Verdana"/>
          <w:sz w:val="20"/>
          <w:szCs w:val="20"/>
          <w:lang w:val="es-CR"/>
        </w:rPr>
        <w:t xml:space="preserve"> patrón o práctica que puede haber causado la muerte. 3. [c]</w:t>
      </w:r>
      <w:proofErr w:type="spellStart"/>
      <w:r w:rsidR="001356A7" w:rsidRPr="002910C6">
        <w:rPr>
          <w:rFonts w:ascii="Verdana" w:hAnsi="Verdana"/>
          <w:sz w:val="20"/>
          <w:szCs w:val="20"/>
          <w:lang w:val="es-CR"/>
        </w:rPr>
        <w:t>ondiciones</w:t>
      </w:r>
      <w:proofErr w:type="spellEnd"/>
      <w:r w:rsidR="001356A7" w:rsidRPr="002910C6">
        <w:rPr>
          <w:rFonts w:ascii="Verdana" w:hAnsi="Verdana"/>
          <w:sz w:val="20"/>
          <w:szCs w:val="20"/>
          <w:lang w:val="es-CR"/>
        </w:rPr>
        <w:t xml:space="preserve"> particulares de vulnerabilidad en relación con la muerte. 4 [o]</w:t>
      </w:r>
      <w:proofErr w:type="spellStart"/>
      <w:r w:rsidR="001356A7" w:rsidRPr="002910C6">
        <w:rPr>
          <w:rFonts w:ascii="Verdana" w:hAnsi="Verdana"/>
          <w:sz w:val="20"/>
          <w:szCs w:val="20"/>
          <w:lang w:val="es-CR"/>
        </w:rPr>
        <w:t>tros</w:t>
      </w:r>
      <w:proofErr w:type="spellEnd"/>
      <w:r w:rsidR="001356A7" w:rsidRPr="002910C6">
        <w:rPr>
          <w:rFonts w:ascii="Verdana" w:hAnsi="Verdana"/>
          <w:sz w:val="20"/>
          <w:szCs w:val="20"/>
          <w:lang w:val="es-CR"/>
        </w:rPr>
        <w:t xml:space="preserve"> particulares que considere [la] </w:t>
      </w:r>
      <w:proofErr w:type="spellStart"/>
      <w:r w:rsidR="001356A7" w:rsidRPr="002910C6">
        <w:rPr>
          <w:rFonts w:ascii="Verdana" w:hAnsi="Verdana"/>
          <w:sz w:val="20"/>
          <w:szCs w:val="20"/>
          <w:lang w:val="es-CR"/>
        </w:rPr>
        <w:t>perit</w:t>
      </w:r>
      <w:proofErr w:type="spellEnd"/>
      <w:r w:rsidR="001356A7" w:rsidRPr="002910C6">
        <w:rPr>
          <w:rFonts w:ascii="Verdana" w:hAnsi="Verdana"/>
          <w:sz w:val="20"/>
          <w:szCs w:val="20"/>
          <w:lang w:val="es-CR"/>
        </w:rPr>
        <w:t>[a] deben ser abordados en relación con la muerte del caso”. El peritaje del señor Nájera rendido ante la Com</w:t>
      </w:r>
      <w:r w:rsidR="00AB7CE4" w:rsidRPr="002910C6">
        <w:rPr>
          <w:rFonts w:ascii="Verdana" w:hAnsi="Verdana"/>
          <w:sz w:val="20"/>
          <w:szCs w:val="20"/>
          <w:lang w:val="es-CR"/>
        </w:rPr>
        <w:t>i</w:t>
      </w:r>
      <w:r w:rsidR="001356A7" w:rsidRPr="002910C6">
        <w:rPr>
          <w:rFonts w:ascii="Verdana" w:hAnsi="Verdana"/>
          <w:sz w:val="20"/>
          <w:szCs w:val="20"/>
          <w:lang w:val="es-CR"/>
        </w:rPr>
        <w:t>sión</w:t>
      </w:r>
      <w:r w:rsidR="00AB7CE4" w:rsidRPr="002910C6">
        <w:rPr>
          <w:rFonts w:ascii="Verdana" w:hAnsi="Verdana"/>
          <w:sz w:val="20"/>
          <w:szCs w:val="20"/>
          <w:lang w:val="es-CR"/>
        </w:rPr>
        <w:t>, fechado el 11 de abril de 2011,</w:t>
      </w:r>
      <w:r w:rsidR="001356A7" w:rsidRPr="002910C6">
        <w:rPr>
          <w:rFonts w:ascii="Verdana" w:hAnsi="Verdana"/>
          <w:sz w:val="20"/>
          <w:szCs w:val="20"/>
          <w:lang w:val="es-CR"/>
        </w:rPr>
        <w:t xml:space="preserve"> trató sobre “[d]eficiencias técnicas de la necropsia y otros análisis que le fuero</w:t>
      </w:r>
      <w:r w:rsidR="00AB7CE4" w:rsidRPr="002910C6">
        <w:rPr>
          <w:rFonts w:ascii="Verdana" w:hAnsi="Verdana"/>
          <w:sz w:val="20"/>
          <w:szCs w:val="20"/>
          <w:lang w:val="es-CR"/>
        </w:rPr>
        <w:t>n</w:t>
      </w:r>
      <w:r w:rsidR="001356A7" w:rsidRPr="002910C6">
        <w:rPr>
          <w:rFonts w:ascii="Verdana" w:hAnsi="Verdana"/>
          <w:sz w:val="20"/>
          <w:szCs w:val="20"/>
          <w:lang w:val="es-CR"/>
        </w:rPr>
        <w:t xml:space="preserve"> practicados al cuerpo [de Paola del Rosario Guzmán Albarracín]”. </w:t>
      </w:r>
    </w:p>
    <w:p w14:paraId="6E3F1975" w14:textId="77777777" w:rsidR="00AB7CE4" w:rsidRPr="00A75739" w:rsidRDefault="00AB7CE4" w:rsidP="00A75739">
      <w:pPr>
        <w:pStyle w:val="Prrafodelista"/>
        <w:spacing w:line="216" w:lineRule="auto"/>
        <w:rPr>
          <w:rFonts w:ascii="Verdana" w:hAnsi="Verdana"/>
          <w:sz w:val="20"/>
          <w:szCs w:val="20"/>
          <w:lang w:val="es-CR"/>
        </w:rPr>
      </w:pPr>
    </w:p>
    <w:p w14:paraId="591DFB50" w14:textId="155447BE" w:rsidR="00AB7CE4" w:rsidRPr="002910C6" w:rsidRDefault="00AB7CE4"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La Presidencia recuerda que el artículo 59 del Reglamento expresa que “[l]as pruebas rendidas ante la Comisión serán incorporadas al expediente, siempre que hayan sido recibidas en procedimientos contradictorios, salvo que la Corte considere indispensable repetirlas”. </w:t>
      </w:r>
    </w:p>
    <w:p w14:paraId="05F19E26" w14:textId="77777777" w:rsidR="00AB7CE4" w:rsidRPr="00A75739" w:rsidRDefault="00AB7CE4" w:rsidP="00A75739">
      <w:pPr>
        <w:pStyle w:val="Prrafodelista"/>
        <w:spacing w:line="216" w:lineRule="auto"/>
        <w:rPr>
          <w:rFonts w:ascii="Verdana" w:hAnsi="Verdana"/>
          <w:sz w:val="20"/>
          <w:szCs w:val="20"/>
          <w:lang w:val="es-CR"/>
        </w:rPr>
      </w:pPr>
    </w:p>
    <w:p w14:paraId="5D50F5C6" w14:textId="3259C11D" w:rsidR="00AB7CE4" w:rsidRPr="002910C6" w:rsidRDefault="00AB7CE4"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En relación con el señor Nájera, </w:t>
      </w:r>
      <w:r w:rsidR="004743C7" w:rsidRPr="002910C6">
        <w:rPr>
          <w:rFonts w:ascii="Verdana" w:hAnsi="Verdana"/>
          <w:sz w:val="20"/>
          <w:szCs w:val="20"/>
          <w:lang w:val="es-CR"/>
        </w:rPr>
        <w:t xml:space="preserve">del objeto propuesto para su pericia ante </w:t>
      </w:r>
      <w:r w:rsidR="00E66C67">
        <w:rPr>
          <w:rFonts w:ascii="Verdana" w:hAnsi="Verdana"/>
          <w:sz w:val="20"/>
          <w:szCs w:val="20"/>
          <w:lang w:val="es-CR"/>
        </w:rPr>
        <w:t>la</w:t>
      </w:r>
      <w:r w:rsidR="004743C7" w:rsidRPr="002910C6">
        <w:rPr>
          <w:rFonts w:ascii="Verdana" w:hAnsi="Verdana"/>
          <w:sz w:val="20"/>
          <w:szCs w:val="20"/>
          <w:lang w:val="es-CR"/>
        </w:rPr>
        <w:t xml:space="preserve"> Corte, se desprende que coincide, sustancialmente, con el objeto de la pericia rendida ante la Comisión, que ya obra en el expediente. Es más, se ha propuesto que realice su pericia ante la Corte sobre la base de su peritaje ante la Comisión. Esta Presidencia advierte que se trata, esencialmente, de la reproducción del examen ya efectuado por el señor Nájera. No advierte, entonces, la necesidad de repetirlo. Por tanto, no se admite la declaración pericial del señor Nájera ofrecida para ser rendida ante esta Corte. Sin perjuicio de ello, se considerarán los señalamientos del señor Nájera en el documento que ya se encuentra incorporado al expediente como anexo al Informe de Fondo. </w:t>
      </w:r>
    </w:p>
    <w:p w14:paraId="51F42B16" w14:textId="77777777" w:rsidR="004743C7" w:rsidRPr="00A75739" w:rsidRDefault="004743C7" w:rsidP="00A75739">
      <w:pPr>
        <w:pStyle w:val="Prrafodelista"/>
        <w:spacing w:line="216" w:lineRule="auto"/>
        <w:rPr>
          <w:rFonts w:ascii="Verdana" w:hAnsi="Verdana"/>
          <w:sz w:val="20"/>
          <w:szCs w:val="20"/>
          <w:lang w:val="es-CR"/>
        </w:rPr>
      </w:pPr>
    </w:p>
    <w:p w14:paraId="740DD6BE" w14:textId="7A81F3AD" w:rsidR="004743C7" w:rsidRPr="002910C6" w:rsidRDefault="004743C7"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En el caso de la señora Cortés Castillo, se advierte que no ocurre lo mismo, pues el objeto propuesto para su declaración ante la Corte no es estrictamente coincidente con el peritaje rendido ante la Comisión. Por tanto, en el entendido de que la declaración pericial de la señora Castillo implicará un desarrollo nuevo y distinto al expresado en el documento que ya consta ante la Corte, se admite su declaración pericial, conforme el objeto que se define en la parte resolutiva de esta Resolución. </w:t>
      </w:r>
    </w:p>
    <w:p w14:paraId="454B8B9A" w14:textId="28752D43" w:rsidR="004743C7" w:rsidRPr="002910C6" w:rsidRDefault="004743C7" w:rsidP="00A75739">
      <w:pPr>
        <w:pStyle w:val="Prrafodelista"/>
        <w:spacing w:after="0" w:line="216" w:lineRule="auto"/>
        <w:rPr>
          <w:rFonts w:ascii="Verdana" w:hAnsi="Verdana"/>
          <w:sz w:val="20"/>
          <w:szCs w:val="20"/>
          <w:lang w:val="es-CR"/>
        </w:rPr>
      </w:pPr>
    </w:p>
    <w:p w14:paraId="5FCCC73F" w14:textId="77777777" w:rsidR="004743C7" w:rsidRPr="002910C6" w:rsidRDefault="004743C7" w:rsidP="00A75739">
      <w:pPr>
        <w:spacing w:after="0" w:line="216" w:lineRule="auto"/>
        <w:ind w:firstLine="720"/>
        <w:jc w:val="both"/>
        <w:rPr>
          <w:rFonts w:ascii="Verdana" w:hAnsi="Verdana"/>
          <w:b/>
          <w:i/>
          <w:sz w:val="20"/>
          <w:szCs w:val="20"/>
          <w:lang w:val="es-CR"/>
        </w:rPr>
      </w:pPr>
      <w:r w:rsidRPr="002910C6">
        <w:rPr>
          <w:rFonts w:ascii="Verdana" w:hAnsi="Verdana"/>
          <w:b/>
          <w:i/>
          <w:sz w:val="20"/>
          <w:szCs w:val="20"/>
          <w:lang w:val="es-CR"/>
        </w:rPr>
        <w:t xml:space="preserve">D) Objeciones sobre declaraciones testimoniales de presuntas víctimas  </w:t>
      </w:r>
    </w:p>
    <w:p w14:paraId="5ADC3572" w14:textId="77777777" w:rsidR="0028064E" w:rsidRPr="002910C6" w:rsidRDefault="0028064E" w:rsidP="00A75739">
      <w:pPr>
        <w:pStyle w:val="Prrafodelista"/>
        <w:spacing w:after="0" w:line="216" w:lineRule="auto"/>
        <w:rPr>
          <w:rFonts w:ascii="Verdana" w:hAnsi="Verdana"/>
          <w:sz w:val="20"/>
          <w:szCs w:val="20"/>
          <w:lang w:val="es-CR"/>
        </w:rPr>
      </w:pPr>
    </w:p>
    <w:p w14:paraId="4CFB3606" w14:textId="22CB41DE" w:rsidR="0028064E" w:rsidRPr="002910C6" w:rsidRDefault="0028064E"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Las </w:t>
      </w:r>
      <w:r w:rsidRPr="00A75739">
        <w:rPr>
          <w:rFonts w:ascii="Verdana" w:hAnsi="Verdana"/>
          <w:b/>
          <w:i/>
          <w:sz w:val="20"/>
          <w:szCs w:val="20"/>
          <w:lang w:val="es-CR"/>
        </w:rPr>
        <w:t>representantes</w:t>
      </w:r>
      <w:r w:rsidRPr="002910C6">
        <w:rPr>
          <w:rFonts w:ascii="Verdana" w:hAnsi="Verdana"/>
          <w:sz w:val="20"/>
          <w:szCs w:val="20"/>
          <w:lang w:val="es-CR"/>
        </w:rPr>
        <w:t xml:space="preserve"> ofrecieron las declaraciones testimoniales de </w:t>
      </w:r>
      <w:proofErr w:type="spellStart"/>
      <w:r w:rsidRPr="002910C6">
        <w:rPr>
          <w:rFonts w:ascii="Verdana" w:hAnsi="Verdana"/>
          <w:sz w:val="20"/>
          <w:szCs w:val="20"/>
          <w:lang w:val="es-CR"/>
        </w:rPr>
        <w:t>Petita</w:t>
      </w:r>
      <w:proofErr w:type="spellEnd"/>
      <w:r w:rsidRPr="002910C6">
        <w:rPr>
          <w:rFonts w:ascii="Verdana" w:hAnsi="Verdana"/>
          <w:sz w:val="20"/>
          <w:szCs w:val="20"/>
          <w:lang w:val="es-CR"/>
        </w:rPr>
        <w:t xml:space="preserve"> Paulina Albarracín y Denisse Guzmán Albarracín, madre y hermana de </w:t>
      </w:r>
      <w:r w:rsidR="00E86F82">
        <w:rPr>
          <w:rFonts w:ascii="Verdana" w:hAnsi="Verdana"/>
          <w:sz w:val="20"/>
          <w:szCs w:val="20"/>
          <w:lang w:val="es-CR"/>
        </w:rPr>
        <w:t>Paola</w:t>
      </w:r>
      <w:r w:rsidRPr="002910C6">
        <w:rPr>
          <w:rFonts w:ascii="Verdana" w:hAnsi="Verdana"/>
          <w:sz w:val="20"/>
          <w:szCs w:val="20"/>
          <w:lang w:val="es-CR"/>
        </w:rPr>
        <w:t>, respectivamente</w:t>
      </w:r>
      <w:r w:rsidR="005F7FA5">
        <w:rPr>
          <w:rFonts w:ascii="Verdana" w:hAnsi="Verdana"/>
          <w:sz w:val="20"/>
          <w:szCs w:val="20"/>
          <w:lang w:val="es-CR"/>
        </w:rPr>
        <w:t>,</w:t>
      </w:r>
      <w:r w:rsidRPr="002910C6">
        <w:rPr>
          <w:rFonts w:ascii="Verdana" w:hAnsi="Verdana"/>
          <w:sz w:val="20"/>
          <w:szCs w:val="20"/>
          <w:lang w:val="es-CR"/>
        </w:rPr>
        <w:t xml:space="preserve"> sobre los hechos que ellas y su familia </w:t>
      </w:r>
      <w:r w:rsidR="00E86F82">
        <w:rPr>
          <w:rFonts w:ascii="Verdana" w:hAnsi="Verdana"/>
          <w:sz w:val="20"/>
          <w:szCs w:val="20"/>
          <w:lang w:val="es-CR"/>
        </w:rPr>
        <w:t xml:space="preserve">habrían sufrido </w:t>
      </w:r>
      <w:r w:rsidRPr="002910C6">
        <w:rPr>
          <w:rFonts w:ascii="Verdana" w:hAnsi="Verdana"/>
          <w:sz w:val="20"/>
          <w:szCs w:val="20"/>
          <w:lang w:val="es-CR"/>
        </w:rPr>
        <w:t xml:space="preserve">como consecuencia del acoso y violencia </w:t>
      </w:r>
      <w:r w:rsidRPr="002910C6">
        <w:rPr>
          <w:rFonts w:ascii="Verdana" w:hAnsi="Verdana"/>
          <w:sz w:val="20"/>
          <w:szCs w:val="20"/>
          <w:lang w:val="es-CR"/>
        </w:rPr>
        <w:lastRenderedPageBreak/>
        <w:t xml:space="preserve">sexual </w:t>
      </w:r>
      <w:r w:rsidR="00E86F82">
        <w:rPr>
          <w:rFonts w:ascii="Verdana" w:hAnsi="Verdana"/>
          <w:sz w:val="20"/>
          <w:szCs w:val="20"/>
          <w:lang w:val="es-CR"/>
        </w:rPr>
        <w:t xml:space="preserve">que habrían sido </w:t>
      </w:r>
      <w:r w:rsidRPr="002910C6">
        <w:rPr>
          <w:rFonts w:ascii="Verdana" w:hAnsi="Verdana"/>
          <w:sz w:val="20"/>
          <w:szCs w:val="20"/>
          <w:lang w:val="es-CR"/>
        </w:rPr>
        <w:t xml:space="preserve">ejercidos contra </w:t>
      </w:r>
      <w:r w:rsidR="00E86F82">
        <w:rPr>
          <w:rFonts w:ascii="Verdana" w:hAnsi="Verdana"/>
          <w:sz w:val="20"/>
          <w:szCs w:val="20"/>
          <w:lang w:val="es-CR"/>
        </w:rPr>
        <w:t>la presunta víctima</w:t>
      </w:r>
      <w:r w:rsidRPr="002910C6">
        <w:rPr>
          <w:rFonts w:ascii="Verdana" w:hAnsi="Verdana"/>
          <w:sz w:val="20"/>
          <w:szCs w:val="20"/>
          <w:lang w:val="es-CR"/>
        </w:rPr>
        <w:t>. Del mismo modo, deberían declarar sobre el impacto que tuvo en sus vidas y las de su familia la posterior muerte de la niña y la impunidad en que se encuentran los hechos, “entre otros aspectos”.</w:t>
      </w:r>
    </w:p>
    <w:p w14:paraId="55BCABDA" w14:textId="77777777" w:rsidR="0028064E" w:rsidRPr="002910C6" w:rsidRDefault="0028064E" w:rsidP="00A75739">
      <w:pPr>
        <w:pStyle w:val="Prrafodelista"/>
        <w:autoSpaceDE w:val="0"/>
        <w:autoSpaceDN w:val="0"/>
        <w:adjustRightInd w:val="0"/>
        <w:spacing w:after="0" w:line="216" w:lineRule="auto"/>
        <w:ind w:left="0"/>
        <w:jc w:val="both"/>
        <w:rPr>
          <w:rFonts w:ascii="Verdana" w:hAnsi="Verdana"/>
          <w:sz w:val="20"/>
          <w:szCs w:val="20"/>
          <w:lang w:val="es-CR"/>
        </w:rPr>
      </w:pPr>
    </w:p>
    <w:p w14:paraId="06BBAFBA" w14:textId="729ED922" w:rsidR="0028064E" w:rsidRPr="002910C6" w:rsidRDefault="0028064E"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El </w:t>
      </w:r>
      <w:r w:rsidRPr="00A75739">
        <w:rPr>
          <w:rFonts w:ascii="Verdana" w:hAnsi="Verdana"/>
          <w:b/>
          <w:i/>
          <w:sz w:val="20"/>
          <w:szCs w:val="20"/>
          <w:lang w:val="es-CR"/>
        </w:rPr>
        <w:t>Estado</w:t>
      </w:r>
      <w:r w:rsidR="00E44F53" w:rsidRPr="002910C6">
        <w:rPr>
          <w:rFonts w:ascii="Verdana" w:hAnsi="Verdana"/>
          <w:sz w:val="20"/>
          <w:szCs w:val="20"/>
          <w:lang w:val="es-CR"/>
        </w:rPr>
        <w:t xml:space="preserve"> objetó parcialmente la frase “entre otros aspectos” al considerar que de la misma resulta una “indeterminación del contenido de la declaración, lo que vulnera el debido proceso</w:t>
      </w:r>
      <w:r w:rsidR="006B6B14" w:rsidRPr="002910C6">
        <w:rPr>
          <w:rFonts w:ascii="Verdana" w:hAnsi="Verdana"/>
          <w:sz w:val="20"/>
          <w:szCs w:val="20"/>
          <w:lang w:val="es-CR"/>
        </w:rPr>
        <w:t>”</w:t>
      </w:r>
      <w:r w:rsidR="00E44F53" w:rsidRPr="002910C6">
        <w:rPr>
          <w:rFonts w:ascii="Verdana" w:hAnsi="Verdana"/>
          <w:sz w:val="20"/>
          <w:szCs w:val="20"/>
          <w:lang w:val="es-CR"/>
        </w:rPr>
        <w:t>, imposibilitando la preparación de la defensa del Estado en dicho punto</w:t>
      </w:r>
      <w:r w:rsidR="000919E2">
        <w:rPr>
          <w:rFonts w:ascii="Verdana" w:hAnsi="Verdana"/>
          <w:sz w:val="20"/>
          <w:szCs w:val="20"/>
          <w:lang w:val="es-CR"/>
        </w:rPr>
        <w:t>.</w:t>
      </w:r>
    </w:p>
    <w:p w14:paraId="3BE2CC12" w14:textId="45DE0CD3" w:rsidR="0028064E" w:rsidRPr="002910C6" w:rsidRDefault="0028064E" w:rsidP="00A75739">
      <w:pPr>
        <w:pStyle w:val="Prrafodelista"/>
        <w:autoSpaceDE w:val="0"/>
        <w:autoSpaceDN w:val="0"/>
        <w:adjustRightInd w:val="0"/>
        <w:spacing w:after="0" w:line="216" w:lineRule="auto"/>
        <w:ind w:left="0"/>
        <w:jc w:val="both"/>
        <w:rPr>
          <w:rFonts w:ascii="Verdana" w:hAnsi="Verdana"/>
          <w:sz w:val="20"/>
          <w:szCs w:val="20"/>
          <w:lang w:val="es-CR"/>
        </w:rPr>
      </w:pPr>
    </w:p>
    <w:p w14:paraId="550093D5" w14:textId="33FD0AC4" w:rsidR="0028064E" w:rsidRPr="002910C6" w:rsidRDefault="0028064E"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Esta </w:t>
      </w:r>
      <w:r w:rsidR="006B6B14" w:rsidRPr="00A75739">
        <w:rPr>
          <w:rFonts w:ascii="Verdana" w:hAnsi="Verdana"/>
          <w:b/>
          <w:i/>
          <w:sz w:val="20"/>
          <w:szCs w:val="20"/>
          <w:lang w:val="es-CR"/>
        </w:rPr>
        <w:t>Presidencia</w:t>
      </w:r>
      <w:r w:rsidR="00061188" w:rsidRPr="00A75739">
        <w:rPr>
          <w:rFonts w:ascii="Verdana" w:hAnsi="Verdana"/>
          <w:sz w:val="20"/>
          <w:szCs w:val="20"/>
          <w:lang w:val="es-CR"/>
        </w:rPr>
        <w:t xml:space="preserve"> </w:t>
      </w:r>
      <w:r w:rsidRPr="002910C6">
        <w:rPr>
          <w:rFonts w:ascii="Verdana" w:hAnsi="Verdana"/>
          <w:sz w:val="20"/>
          <w:szCs w:val="20"/>
          <w:lang w:val="es-CR"/>
        </w:rPr>
        <w:t>toma nota de la observación estatal, y precisará el objeto de las declaraciones en la parte resolutiva de esta Resolución</w:t>
      </w:r>
      <w:r w:rsidR="00061188" w:rsidRPr="00A75739">
        <w:rPr>
          <w:rFonts w:ascii="Verdana" w:hAnsi="Verdana"/>
          <w:sz w:val="20"/>
          <w:szCs w:val="20"/>
          <w:lang w:val="es-CR"/>
        </w:rPr>
        <w:t>.</w:t>
      </w:r>
      <w:r w:rsidR="006B6B14" w:rsidRPr="00A75739">
        <w:rPr>
          <w:rFonts w:ascii="Verdana" w:hAnsi="Verdana"/>
          <w:sz w:val="20"/>
          <w:szCs w:val="20"/>
          <w:lang w:val="es-CR"/>
        </w:rPr>
        <w:t xml:space="preserve"> </w:t>
      </w:r>
    </w:p>
    <w:p w14:paraId="67F8DB44" w14:textId="77777777" w:rsidR="0028064E" w:rsidRPr="002910C6" w:rsidRDefault="0028064E" w:rsidP="00A75739">
      <w:pPr>
        <w:spacing w:after="0" w:line="216" w:lineRule="auto"/>
        <w:jc w:val="both"/>
        <w:rPr>
          <w:rFonts w:ascii="Verdana" w:hAnsi="Verdana"/>
          <w:b/>
          <w:i/>
          <w:sz w:val="20"/>
          <w:szCs w:val="20"/>
          <w:lang w:val="es-CR"/>
        </w:rPr>
      </w:pPr>
    </w:p>
    <w:p w14:paraId="5100B929" w14:textId="71069DCD" w:rsidR="0028064E" w:rsidRPr="002910C6" w:rsidRDefault="0028064E" w:rsidP="00A75739">
      <w:pPr>
        <w:spacing w:after="0" w:line="216" w:lineRule="auto"/>
        <w:ind w:firstLine="851"/>
        <w:jc w:val="both"/>
        <w:rPr>
          <w:rFonts w:ascii="Verdana" w:hAnsi="Verdana"/>
          <w:b/>
          <w:i/>
          <w:sz w:val="20"/>
          <w:szCs w:val="20"/>
          <w:lang w:val="es-CR"/>
        </w:rPr>
      </w:pPr>
      <w:r w:rsidRPr="002910C6">
        <w:rPr>
          <w:rFonts w:ascii="Verdana" w:hAnsi="Verdana"/>
          <w:b/>
          <w:i/>
          <w:sz w:val="20"/>
          <w:szCs w:val="20"/>
          <w:lang w:val="es-CR"/>
        </w:rPr>
        <w:t>E) Solicitud de la Comisión de formular preguntas a Lidia Casas</w:t>
      </w:r>
    </w:p>
    <w:p w14:paraId="62E43602" w14:textId="77777777" w:rsidR="0028064E" w:rsidRPr="002910C6" w:rsidRDefault="0028064E" w:rsidP="00A75739">
      <w:pPr>
        <w:pStyle w:val="Prrafodelista"/>
        <w:autoSpaceDE w:val="0"/>
        <w:autoSpaceDN w:val="0"/>
        <w:adjustRightInd w:val="0"/>
        <w:spacing w:after="0" w:line="216" w:lineRule="auto"/>
        <w:ind w:left="0"/>
        <w:jc w:val="both"/>
        <w:rPr>
          <w:rFonts w:ascii="Verdana" w:hAnsi="Verdana"/>
          <w:sz w:val="20"/>
          <w:szCs w:val="20"/>
          <w:lang w:val="es-CR"/>
        </w:rPr>
      </w:pPr>
    </w:p>
    <w:p w14:paraId="5AAB194A" w14:textId="08264DFB" w:rsidR="00FF01FC" w:rsidRPr="002910C6" w:rsidRDefault="0028064E" w:rsidP="00A75739">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La </w:t>
      </w:r>
      <w:r w:rsidRPr="00A75739">
        <w:rPr>
          <w:rFonts w:ascii="Verdana" w:hAnsi="Verdana"/>
          <w:b/>
          <w:i/>
          <w:sz w:val="20"/>
          <w:szCs w:val="20"/>
          <w:lang w:val="es-CR"/>
        </w:rPr>
        <w:t>Comisión</w:t>
      </w:r>
      <w:r w:rsidRPr="002910C6">
        <w:rPr>
          <w:rFonts w:ascii="Verdana" w:hAnsi="Verdana"/>
          <w:sz w:val="20"/>
          <w:szCs w:val="20"/>
          <w:lang w:val="es-CR"/>
        </w:rPr>
        <w:t xml:space="preserve"> </w:t>
      </w:r>
      <w:r w:rsidR="007C0BD0" w:rsidRPr="002910C6">
        <w:rPr>
          <w:rFonts w:ascii="Verdana" w:hAnsi="Verdana"/>
          <w:sz w:val="20"/>
          <w:szCs w:val="20"/>
          <w:lang w:val="es-CR"/>
        </w:rPr>
        <w:t>solicitó se le conceda la oportunidad de formular preguntas</w:t>
      </w:r>
      <w:r w:rsidRPr="002910C6">
        <w:rPr>
          <w:rFonts w:ascii="Verdana" w:hAnsi="Verdana"/>
          <w:sz w:val="20"/>
          <w:szCs w:val="20"/>
          <w:lang w:val="es-CR"/>
        </w:rPr>
        <w:t xml:space="preserve"> </w:t>
      </w:r>
      <w:r w:rsidR="007C0BD0" w:rsidRPr="002910C6">
        <w:rPr>
          <w:rFonts w:ascii="Verdana" w:hAnsi="Verdana"/>
          <w:sz w:val="20"/>
          <w:szCs w:val="20"/>
          <w:lang w:val="es-CR"/>
        </w:rPr>
        <w:t xml:space="preserve">a la </w:t>
      </w:r>
      <w:r w:rsidRPr="002910C6">
        <w:rPr>
          <w:rFonts w:ascii="Verdana" w:hAnsi="Verdana"/>
          <w:sz w:val="20"/>
          <w:szCs w:val="20"/>
          <w:lang w:val="es-CR"/>
        </w:rPr>
        <w:t>señora</w:t>
      </w:r>
      <w:r w:rsidR="007C0BD0" w:rsidRPr="002910C6">
        <w:rPr>
          <w:rFonts w:ascii="Verdana" w:hAnsi="Verdana"/>
          <w:sz w:val="20"/>
          <w:szCs w:val="20"/>
          <w:lang w:val="es-CR"/>
        </w:rPr>
        <w:t xml:space="preserve"> Lidia Casas,</w:t>
      </w:r>
      <w:r w:rsidR="00E30B08" w:rsidRPr="002910C6">
        <w:rPr>
          <w:rFonts w:ascii="Verdana" w:hAnsi="Verdana"/>
          <w:sz w:val="20"/>
          <w:szCs w:val="20"/>
          <w:lang w:val="es-CR"/>
        </w:rPr>
        <w:t xml:space="preserve"> propuesta por las representantes,</w:t>
      </w:r>
      <w:r w:rsidR="007C0BD0" w:rsidRPr="002910C6">
        <w:rPr>
          <w:rFonts w:ascii="Verdana" w:hAnsi="Verdana"/>
          <w:sz w:val="20"/>
          <w:szCs w:val="20"/>
          <w:lang w:val="es-CR"/>
        </w:rPr>
        <w:t xml:space="preserve"> por considerar que su declaración se relaciona tanto con el orden público </w:t>
      </w:r>
      <w:r w:rsidRPr="002910C6">
        <w:rPr>
          <w:rFonts w:ascii="Verdana" w:hAnsi="Verdana"/>
          <w:sz w:val="20"/>
          <w:szCs w:val="20"/>
          <w:lang w:val="es-CR"/>
        </w:rPr>
        <w:t>intera</w:t>
      </w:r>
      <w:r w:rsidR="007C0BD0" w:rsidRPr="002910C6">
        <w:rPr>
          <w:rFonts w:ascii="Verdana" w:hAnsi="Verdana"/>
          <w:sz w:val="20"/>
          <w:szCs w:val="20"/>
          <w:lang w:val="es-CR"/>
        </w:rPr>
        <w:t>mericano como con la materia sobre la cual versan los peritajes ofrecidos por la Comisión.</w:t>
      </w:r>
    </w:p>
    <w:p w14:paraId="04351BF1" w14:textId="77777777" w:rsidR="0028064E" w:rsidRPr="002910C6" w:rsidRDefault="0028064E" w:rsidP="00A75739">
      <w:pPr>
        <w:pStyle w:val="Prrafodelista"/>
        <w:autoSpaceDE w:val="0"/>
        <w:autoSpaceDN w:val="0"/>
        <w:adjustRightInd w:val="0"/>
        <w:spacing w:after="0" w:line="216" w:lineRule="auto"/>
        <w:ind w:left="0"/>
        <w:jc w:val="both"/>
        <w:rPr>
          <w:rFonts w:ascii="Verdana" w:hAnsi="Verdana"/>
          <w:sz w:val="20"/>
          <w:szCs w:val="20"/>
          <w:lang w:val="es-CR"/>
        </w:rPr>
      </w:pPr>
    </w:p>
    <w:p w14:paraId="5DAE2695" w14:textId="355199C0" w:rsidR="005C2455" w:rsidRPr="002910C6" w:rsidRDefault="0028064E" w:rsidP="00BF3A44">
      <w:pPr>
        <w:pStyle w:val="Prrafodelista"/>
        <w:numPr>
          <w:ilvl w:val="0"/>
          <w:numId w:val="16"/>
        </w:numPr>
        <w:autoSpaceDE w:val="0"/>
        <w:autoSpaceDN w:val="0"/>
        <w:adjustRightInd w:val="0"/>
        <w:spacing w:after="0" w:line="216" w:lineRule="auto"/>
        <w:ind w:left="0" w:firstLine="0"/>
        <w:jc w:val="both"/>
        <w:rPr>
          <w:rFonts w:ascii="Verdana" w:hAnsi="Verdana"/>
          <w:sz w:val="20"/>
          <w:szCs w:val="20"/>
          <w:lang w:val="es-CR"/>
        </w:rPr>
      </w:pPr>
      <w:r w:rsidRPr="002910C6">
        <w:rPr>
          <w:rFonts w:ascii="Verdana" w:hAnsi="Verdana"/>
          <w:sz w:val="20"/>
          <w:szCs w:val="20"/>
          <w:lang w:val="es-CR"/>
        </w:rPr>
        <w:t xml:space="preserve">Esta </w:t>
      </w:r>
      <w:r w:rsidRPr="00A75739">
        <w:rPr>
          <w:rFonts w:ascii="Verdana" w:hAnsi="Verdana"/>
          <w:b/>
          <w:i/>
          <w:sz w:val="20"/>
          <w:szCs w:val="20"/>
          <w:lang w:val="es-CR"/>
        </w:rPr>
        <w:t>Presidencia</w:t>
      </w:r>
      <w:r w:rsidR="00FF01FC" w:rsidRPr="002910C6">
        <w:rPr>
          <w:rFonts w:ascii="Verdana" w:hAnsi="Verdana"/>
          <w:sz w:val="20"/>
          <w:szCs w:val="20"/>
          <w:lang w:val="es-CR"/>
        </w:rPr>
        <w:t xml:space="preserve"> observ</w:t>
      </w:r>
      <w:r w:rsidRPr="002910C6">
        <w:rPr>
          <w:rFonts w:ascii="Verdana" w:hAnsi="Verdana"/>
          <w:sz w:val="20"/>
          <w:szCs w:val="20"/>
          <w:lang w:val="es-CR"/>
        </w:rPr>
        <w:t>a</w:t>
      </w:r>
      <w:r w:rsidR="00FF01FC" w:rsidRPr="002910C6">
        <w:rPr>
          <w:rFonts w:ascii="Verdana" w:hAnsi="Verdana"/>
          <w:sz w:val="20"/>
          <w:szCs w:val="20"/>
          <w:lang w:val="es-CR"/>
        </w:rPr>
        <w:t xml:space="preserve"> que el objeto </w:t>
      </w:r>
      <w:r w:rsidRPr="002910C6">
        <w:rPr>
          <w:rFonts w:ascii="Verdana" w:hAnsi="Verdana"/>
          <w:sz w:val="20"/>
          <w:szCs w:val="20"/>
          <w:lang w:val="es-CR"/>
        </w:rPr>
        <w:t xml:space="preserve">propuesto para </w:t>
      </w:r>
      <w:r w:rsidR="00FF01FC" w:rsidRPr="002910C6">
        <w:rPr>
          <w:rFonts w:ascii="Verdana" w:hAnsi="Verdana"/>
          <w:sz w:val="20"/>
          <w:szCs w:val="20"/>
          <w:lang w:val="es-CR"/>
        </w:rPr>
        <w:t xml:space="preserve">dicho peritaje </w:t>
      </w:r>
      <w:r w:rsidR="00E30B08" w:rsidRPr="002910C6">
        <w:rPr>
          <w:rFonts w:ascii="Verdana" w:hAnsi="Verdana"/>
          <w:sz w:val="20"/>
          <w:szCs w:val="20"/>
          <w:lang w:val="es-CR"/>
        </w:rPr>
        <w:t xml:space="preserve">se encuentra </w:t>
      </w:r>
      <w:r w:rsidR="00FF01FC" w:rsidRPr="002910C6">
        <w:rPr>
          <w:rFonts w:ascii="Verdana" w:hAnsi="Verdana"/>
          <w:sz w:val="20"/>
          <w:szCs w:val="20"/>
          <w:lang w:val="es-CR"/>
        </w:rPr>
        <w:t>referido del siguiente modo: “declaración experta sobre el abuso sexual como forma de violencia de género</w:t>
      </w:r>
      <w:r w:rsidR="00EF2D0C" w:rsidRPr="002910C6">
        <w:rPr>
          <w:rFonts w:ascii="Verdana" w:hAnsi="Verdana"/>
          <w:sz w:val="20"/>
          <w:szCs w:val="20"/>
          <w:lang w:val="es-CR"/>
        </w:rPr>
        <w:t xml:space="preserve"> y discriminación. Análisis del caso a la luz de los contenidos de su peritaje”. Dichos puntos se encuentran estrechamente vinculados a los peritajes de las </w:t>
      </w:r>
      <w:r w:rsidRPr="002910C6">
        <w:rPr>
          <w:rFonts w:ascii="Verdana" w:hAnsi="Verdana"/>
          <w:sz w:val="20"/>
          <w:szCs w:val="20"/>
          <w:lang w:val="es-CR"/>
        </w:rPr>
        <w:t>señoras</w:t>
      </w:r>
      <w:r w:rsidR="00EF2D0C" w:rsidRPr="002910C6">
        <w:rPr>
          <w:rFonts w:ascii="Verdana" w:hAnsi="Verdana"/>
          <w:sz w:val="20"/>
          <w:szCs w:val="20"/>
          <w:lang w:val="es-CR"/>
        </w:rPr>
        <w:t xml:space="preserve"> Ximena Andrea </w:t>
      </w:r>
      <w:proofErr w:type="spellStart"/>
      <w:r w:rsidR="00EF2D0C" w:rsidRPr="002910C6">
        <w:rPr>
          <w:rFonts w:ascii="Verdana" w:hAnsi="Verdana"/>
          <w:sz w:val="20"/>
          <w:szCs w:val="20"/>
          <w:lang w:val="es-CR"/>
        </w:rPr>
        <w:t>Gauché</w:t>
      </w:r>
      <w:proofErr w:type="spellEnd"/>
      <w:r w:rsidR="00EF2D0C" w:rsidRPr="002910C6">
        <w:rPr>
          <w:rFonts w:ascii="Verdana" w:hAnsi="Verdana"/>
          <w:sz w:val="20"/>
          <w:szCs w:val="20"/>
          <w:lang w:val="es-CR"/>
        </w:rPr>
        <w:t xml:space="preserve"> Marchetti y Patricia </w:t>
      </w:r>
      <w:proofErr w:type="spellStart"/>
      <w:r w:rsidR="00EF2D0C" w:rsidRPr="002910C6">
        <w:rPr>
          <w:rFonts w:ascii="Verdana" w:hAnsi="Verdana"/>
          <w:sz w:val="20"/>
          <w:szCs w:val="20"/>
          <w:lang w:val="es-CR"/>
        </w:rPr>
        <w:t>Viseur</w:t>
      </w:r>
      <w:proofErr w:type="spellEnd"/>
      <w:r w:rsidR="00EF2D0C" w:rsidRPr="002910C6">
        <w:rPr>
          <w:rFonts w:ascii="Verdana" w:hAnsi="Verdana"/>
          <w:sz w:val="20"/>
          <w:szCs w:val="20"/>
          <w:lang w:val="es-CR"/>
        </w:rPr>
        <w:t xml:space="preserve"> Sellers, y</w:t>
      </w:r>
      <w:r w:rsidRPr="002910C6">
        <w:rPr>
          <w:rFonts w:ascii="Verdana" w:hAnsi="Verdana"/>
          <w:sz w:val="20"/>
          <w:szCs w:val="20"/>
          <w:lang w:val="es-CR"/>
        </w:rPr>
        <w:t>a admitidos y</w:t>
      </w:r>
      <w:r w:rsidR="00EF2D0C" w:rsidRPr="002910C6">
        <w:rPr>
          <w:rFonts w:ascii="Verdana" w:hAnsi="Verdana"/>
          <w:sz w:val="20"/>
          <w:szCs w:val="20"/>
          <w:lang w:val="es-CR"/>
        </w:rPr>
        <w:t xml:space="preserve"> resultan relevantes para el orden público interamericano. Por lo tanto, el </w:t>
      </w:r>
      <w:proofErr w:type="gramStart"/>
      <w:r w:rsidR="00EF2D0C" w:rsidRPr="002910C6">
        <w:rPr>
          <w:rFonts w:ascii="Verdana" w:hAnsi="Verdana"/>
          <w:sz w:val="20"/>
          <w:szCs w:val="20"/>
          <w:lang w:val="es-CR"/>
        </w:rPr>
        <w:t>Presidente</w:t>
      </w:r>
      <w:proofErr w:type="gramEnd"/>
      <w:r w:rsidR="00EF2D0C" w:rsidRPr="002910C6">
        <w:rPr>
          <w:rFonts w:ascii="Verdana" w:hAnsi="Verdana"/>
          <w:sz w:val="20"/>
          <w:szCs w:val="20"/>
          <w:lang w:val="es-CR"/>
        </w:rPr>
        <w:t xml:space="preserve"> concede la solicitud de la Comisión de interrogar a </w:t>
      </w:r>
      <w:r w:rsidRPr="002910C6">
        <w:rPr>
          <w:rFonts w:ascii="Verdana" w:hAnsi="Verdana"/>
          <w:sz w:val="20"/>
          <w:szCs w:val="20"/>
          <w:lang w:val="es-CR"/>
        </w:rPr>
        <w:t>la señora Lidia Casas</w:t>
      </w:r>
      <w:r w:rsidR="00EF2D0C" w:rsidRPr="002910C6">
        <w:rPr>
          <w:rFonts w:ascii="Verdana" w:hAnsi="Verdana"/>
          <w:sz w:val="20"/>
          <w:szCs w:val="20"/>
          <w:lang w:val="es-CR"/>
        </w:rPr>
        <w:t xml:space="preserve">. </w:t>
      </w:r>
    </w:p>
    <w:p w14:paraId="77DB6C3C" w14:textId="77777777" w:rsidR="00E30B08" w:rsidRPr="002910C6" w:rsidRDefault="00E30B08" w:rsidP="00BF3A44">
      <w:pPr>
        <w:spacing w:after="0" w:line="216" w:lineRule="auto"/>
        <w:jc w:val="both"/>
        <w:rPr>
          <w:rFonts w:ascii="Verdana" w:hAnsi="Verdana"/>
          <w:b/>
          <w:sz w:val="20"/>
          <w:szCs w:val="20"/>
          <w:lang w:val="es-CR"/>
        </w:rPr>
      </w:pPr>
    </w:p>
    <w:p w14:paraId="76835454" w14:textId="77777777" w:rsidR="005977FA" w:rsidRDefault="00EC5350" w:rsidP="00BF3A44">
      <w:pPr>
        <w:spacing w:after="0" w:line="216" w:lineRule="auto"/>
        <w:jc w:val="both"/>
        <w:rPr>
          <w:rFonts w:ascii="Verdana" w:hAnsi="Verdana"/>
          <w:b/>
          <w:sz w:val="20"/>
          <w:szCs w:val="20"/>
          <w:lang w:val="es-CR"/>
        </w:rPr>
      </w:pPr>
      <w:r w:rsidRPr="002910C6">
        <w:rPr>
          <w:rFonts w:ascii="Verdana" w:hAnsi="Verdana"/>
          <w:b/>
          <w:sz w:val="20"/>
          <w:szCs w:val="20"/>
          <w:lang w:val="es-CR"/>
        </w:rPr>
        <w:t xml:space="preserve">POR TANTO: </w:t>
      </w:r>
    </w:p>
    <w:p w14:paraId="276A6A67" w14:textId="77777777" w:rsidR="00BF3A44" w:rsidRPr="002910C6" w:rsidRDefault="00BF3A44" w:rsidP="00BF3A44">
      <w:pPr>
        <w:spacing w:after="0" w:line="216" w:lineRule="auto"/>
        <w:jc w:val="both"/>
        <w:rPr>
          <w:rFonts w:ascii="Verdana" w:hAnsi="Verdana"/>
          <w:b/>
          <w:sz w:val="20"/>
          <w:szCs w:val="20"/>
          <w:lang w:val="es-CR"/>
        </w:rPr>
      </w:pPr>
    </w:p>
    <w:p w14:paraId="22DBB1C0" w14:textId="2747006C" w:rsidR="00FD1720" w:rsidRPr="002910C6" w:rsidRDefault="00EC5350" w:rsidP="00BF3A44">
      <w:pPr>
        <w:spacing w:after="0" w:line="216" w:lineRule="auto"/>
        <w:jc w:val="both"/>
        <w:rPr>
          <w:rFonts w:ascii="Verdana" w:hAnsi="Verdana"/>
          <w:sz w:val="20"/>
          <w:szCs w:val="20"/>
          <w:lang w:val="es-CR"/>
        </w:rPr>
      </w:pPr>
      <w:r w:rsidRPr="002910C6">
        <w:rPr>
          <w:rFonts w:ascii="Verdana" w:hAnsi="Verdana"/>
          <w:b/>
          <w:sz w:val="20"/>
          <w:szCs w:val="20"/>
          <w:lang w:val="es-CR"/>
        </w:rPr>
        <w:t>EL PRESIDENTE DE LA CORTE INTERAMERICANA DE DERECHOS HUMANOS</w:t>
      </w:r>
      <w:r w:rsidRPr="002910C6">
        <w:rPr>
          <w:rFonts w:ascii="Verdana" w:hAnsi="Verdana"/>
          <w:sz w:val="20"/>
          <w:szCs w:val="20"/>
          <w:lang w:val="es-CR"/>
        </w:rPr>
        <w:t xml:space="preserve">, de conformidad con los artículos 24.1 y 25.2 del Estatuto de la Corte y con los artículos 4, 15.1, 26.1, 31.2, 35.1, 40.2, 41.1, 45, 46 a 48, 50 a 58 y 60 del Reglamento, </w:t>
      </w:r>
    </w:p>
    <w:p w14:paraId="3A4BCAD7" w14:textId="77777777" w:rsidR="00BF3A44" w:rsidRDefault="00BF3A44" w:rsidP="00BF3A44">
      <w:pPr>
        <w:spacing w:after="0" w:line="216" w:lineRule="auto"/>
        <w:jc w:val="both"/>
        <w:rPr>
          <w:rFonts w:ascii="Verdana" w:hAnsi="Verdana"/>
          <w:b/>
          <w:sz w:val="20"/>
          <w:szCs w:val="20"/>
          <w:lang w:val="es-CR"/>
        </w:rPr>
      </w:pPr>
    </w:p>
    <w:p w14:paraId="613EE578" w14:textId="77777777" w:rsidR="00FD1720" w:rsidRPr="002910C6" w:rsidRDefault="00EC5350" w:rsidP="00BF3A44">
      <w:pPr>
        <w:spacing w:after="0" w:line="216" w:lineRule="auto"/>
        <w:jc w:val="both"/>
        <w:rPr>
          <w:rFonts w:ascii="Verdana" w:hAnsi="Verdana"/>
          <w:b/>
          <w:sz w:val="20"/>
          <w:szCs w:val="20"/>
          <w:lang w:val="es-CR"/>
        </w:rPr>
      </w:pPr>
      <w:r w:rsidRPr="002910C6">
        <w:rPr>
          <w:rFonts w:ascii="Verdana" w:hAnsi="Verdana"/>
          <w:b/>
          <w:sz w:val="20"/>
          <w:szCs w:val="20"/>
          <w:lang w:val="es-CR"/>
        </w:rPr>
        <w:t xml:space="preserve">RESUELVE: </w:t>
      </w:r>
    </w:p>
    <w:p w14:paraId="13DA8266" w14:textId="77777777" w:rsidR="00BF3A44" w:rsidRDefault="00BF3A44" w:rsidP="00BF3A44">
      <w:pPr>
        <w:autoSpaceDE w:val="0"/>
        <w:autoSpaceDN w:val="0"/>
        <w:adjustRightInd w:val="0"/>
        <w:spacing w:after="0" w:line="216" w:lineRule="auto"/>
        <w:jc w:val="both"/>
        <w:rPr>
          <w:rFonts w:ascii="Verdana" w:hAnsi="Verdana"/>
          <w:sz w:val="20"/>
          <w:szCs w:val="20"/>
          <w:lang w:val="es-CR"/>
        </w:rPr>
      </w:pPr>
    </w:p>
    <w:p w14:paraId="44F61AD0" w14:textId="1EC02856" w:rsidR="00590A43" w:rsidRPr="002910C6" w:rsidRDefault="00EC5350" w:rsidP="00BF3A44">
      <w:pPr>
        <w:autoSpaceDE w:val="0"/>
        <w:autoSpaceDN w:val="0"/>
        <w:adjustRightInd w:val="0"/>
        <w:spacing w:after="0" w:line="216" w:lineRule="auto"/>
        <w:jc w:val="both"/>
        <w:rPr>
          <w:rFonts w:ascii="Verdana" w:hAnsi="Verdana"/>
          <w:sz w:val="20"/>
          <w:szCs w:val="20"/>
          <w:lang w:val="es-CR"/>
        </w:rPr>
      </w:pPr>
      <w:r w:rsidRPr="002910C6">
        <w:rPr>
          <w:rFonts w:ascii="Verdana" w:hAnsi="Verdana"/>
          <w:sz w:val="20"/>
          <w:szCs w:val="20"/>
          <w:lang w:val="es-CR"/>
        </w:rPr>
        <w:t xml:space="preserve">1. </w:t>
      </w:r>
      <w:r w:rsidR="005977FA" w:rsidRPr="002910C6">
        <w:rPr>
          <w:rFonts w:ascii="Verdana" w:hAnsi="Verdana"/>
          <w:sz w:val="20"/>
          <w:szCs w:val="20"/>
          <w:lang w:val="es-CR"/>
        </w:rPr>
        <w:t xml:space="preserve">       </w:t>
      </w:r>
      <w:r w:rsidRPr="002910C6">
        <w:rPr>
          <w:rFonts w:ascii="Verdana" w:hAnsi="Verdana"/>
          <w:sz w:val="20"/>
          <w:szCs w:val="20"/>
          <w:lang w:val="es-CR"/>
        </w:rPr>
        <w:t xml:space="preserve">Convocar a la República de </w:t>
      </w:r>
      <w:r w:rsidR="00CB5A45" w:rsidRPr="002910C6">
        <w:rPr>
          <w:rFonts w:ascii="Verdana" w:hAnsi="Verdana"/>
          <w:sz w:val="20"/>
          <w:szCs w:val="20"/>
          <w:lang w:val="es-CR"/>
        </w:rPr>
        <w:t>Ecuador</w:t>
      </w:r>
      <w:r w:rsidR="004D3911" w:rsidRPr="002910C6">
        <w:rPr>
          <w:rFonts w:ascii="Verdana" w:hAnsi="Verdana"/>
          <w:sz w:val="20"/>
          <w:szCs w:val="20"/>
          <w:lang w:val="es-CR"/>
        </w:rPr>
        <w:t>, a la</w:t>
      </w:r>
      <w:r w:rsidRPr="002910C6">
        <w:rPr>
          <w:rFonts w:ascii="Verdana" w:hAnsi="Verdana"/>
          <w:sz w:val="20"/>
          <w:szCs w:val="20"/>
          <w:lang w:val="es-CR"/>
        </w:rPr>
        <w:t xml:space="preserve">s representantes de las presuntas víctimas y a la Comisión Interamericana de Derechos Humanos a una audiencia pública sobre </w:t>
      </w:r>
      <w:r w:rsidR="002604D3">
        <w:rPr>
          <w:rFonts w:ascii="Verdana" w:hAnsi="Verdana"/>
          <w:sz w:val="20"/>
          <w:szCs w:val="20"/>
          <w:lang w:val="es-CR"/>
        </w:rPr>
        <w:t xml:space="preserve">la </w:t>
      </w:r>
      <w:r w:rsidRPr="002910C6">
        <w:rPr>
          <w:rFonts w:ascii="Verdana" w:hAnsi="Verdana"/>
          <w:sz w:val="20"/>
          <w:szCs w:val="20"/>
          <w:lang w:val="es-CR"/>
        </w:rPr>
        <w:t>excepci</w:t>
      </w:r>
      <w:r w:rsidR="002604D3">
        <w:rPr>
          <w:rFonts w:ascii="Verdana" w:hAnsi="Verdana"/>
          <w:sz w:val="20"/>
          <w:szCs w:val="20"/>
          <w:lang w:val="es-CR"/>
        </w:rPr>
        <w:t xml:space="preserve">ón </w:t>
      </w:r>
      <w:r w:rsidRPr="002910C6">
        <w:rPr>
          <w:rFonts w:ascii="Verdana" w:hAnsi="Verdana"/>
          <w:sz w:val="20"/>
          <w:szCs w:val="20"/>
          <w:lang w:val="es-CR"/>
        </w:rPr>
        <w:t>preliminar</w:t>
      </w:r>
      <w:r w:rsidR="0028064E" w:rsidRPr="002910C6">
        <w:rPr>
          <w:rFonts w:ascii="Verdana" w:hAnsi="Verdana"/>
          <w:sz w:val="20"/>
          <w:szCs w:val="20"/>
          <w:lang w:val="es-CR"/>
        </w:rPr>
        <w:t xml:space="preserve"> y eventuales</w:t>
      </w:r>
      <w:r w:rsidRPr="002910C6">
        <w:rPr>
          <w:rFonts w:ascii="Verdana" w:hAnsi="Verdana"/>
          <w:sz w:val="20"/>
          <w:szCs w:val="20"/>
          <w:lang w:val="es-CR"/>
        </w:rPr>
        <w:t xml:space="preserve"> fondo, </w:t>
      </w:r>
      <w:r w:rsidR="0028064E" w:rsidRPr="002910C6">
        <w:rPr>
          <w:rFonts w:ascii="Verdana" w:hAnsi="Verdana"/>
          <w:sz w:val="20"/>
          <w:szCs w:val="20"/>
          <w:lang w:val="es-CR"/>
        </w:rPr>
        <w:t>r</w:t>
      </w:r>
      <w:r w:rsidRPr="002910C6">
        <w:rPr>
          <w:rFonts w:ascii="Verdana" w:hAnsi="Verdana"/>
          <w:sz w:val="20"/>
          <w:szCs w:val="20"/>
          <w:lang w:val="es-CR"/>
        </w:rPr>
        <w:t xml:space="preserve">eparaciones y costas que se celebrará durante el </w:t>
      </w:r>
      <w:r w:rsidR="00CB5A45" w:rsidRPr="002910C6">
        <w:rPr>
          <w:rFonts w:ascii="Verdana" w:hAnsi="Verdana"/>
          <w:sz w:val="20"/>
          <w:szCs w:val="20"/>
          <w:lang w:val="es-CR"/>
        </w:rPr>
        <w:t>13</w:t>
      </w:r>
      <w:r w:rsidR="0028064E" w:rsidRPr="002910C6">
        <w:rPr>
          <w:rFonts w:ascii="Verdana" w:hAnsi="Verdana"/>
          <w:sz w:val="20"/>
          <w:szCs w:val="20"/>
          <w:lang w:val="es-CR"/>
        </w:rPr>
        <w:t>3</w:t>
      </w:r>
      <w:r w:rsidRPr="002910C6">
        <w:rPr>
          <w:rFonts w:ascii="Verdana" w:hAnsi="Verdana"/>
          <w:sz w:val="20"/>
          <w:szCs w:val="20"/>
          <w:lang w:val="es-CR"/>
        </w:rPr>
        <w:t xml:space="preserve">° Período </w:t>
      </w:r>
      <w:r w:rsidR="00CB5A45" w:rsidRPr="002910C6">
        <w:rPr>
          <w:rFonts w:ascii="Verdana" w:hAnsi="Verdana"/>
          <w:sz w:val="20"/>
          <w:szCs w:val="20"/>
          <w:lang w:val="es-CR"/>
        </w:rPr>
        <w:t xml:space="preserve">Ordinario </w:t>
      </w:r>
      <w:r w:rsidRPr="002910C6">
        <w:rPr>
          <w:rFonts w:ascii="Verdana" w:hAnsi="Verdana"/>
          <w:sz w:val="20"/>
          <w:szCs w:val="20"/>
          <w:lang w:val="es-CR"/>
        </w:rPr>
        <w:t xml:space="preserve">de Sesiones, en la ciudad de </w:t>
      </w:r>
      <w:r w:rsidR="00CB5A45" w:rsidRPr="002910C6">
        <w:rPr>
          <w:rFonts w:ascii="Verdana" w:hAnsi="Verdana"/>
          <w:sz w:val="20"/>
          <w:szCs w:val="20"/>
          <w:lang w:val="es-CR"/>
        </w:rPr>
        <w:t>San José</w:t>
      </w:r>
      <w:r w:rsidRPr="002910C6">
        <w:rPr>
          <w:rFonts w:ascii="Verdana" w:hAnsi="Verdana"/>
          <w:sz w:val="20"/>
          <w:szCs w:val="20"/>
          <w:lang w:val="es-CR"/>
        </w:rPr>
        <w:t xml:space="preserve">, </w:t>
      </w:r>
      <w:r w:rsidR="00CB5A45" w:rsidRPr="002910C6">
        <w:rPr>
          <w:rFonts w:ascii="Verdana" w:hAnsi="Verdana"/>
          <w:sz w:val="20"/>
          <w:szCs w:val="20"/>
          <w:lang w:val="es-CR"/>
        </w:rPr>
        <w:t>Costa Rica</w:t>
      </w:r>
      <w:r w:rsidRPr="002910C6">
        <w:rPr>
          <w:rFonts w:ascii="Verdana" w:hAnsi="Verdana"/>
          <w:sz w:val="20"/>
          <w:szCs w:val="20"/>
          <w:lang w:val="es-CR"/>
        </w:rPr>
        <w:t xml:space="preserve">, el día </w:t>
      </w:r>
      <w:r w:rsidR="00E64CB2" w:rsidRPr="00E64CB2">
        <w:rPr>
          <w:rFonts w:ascii="Verdana" w:hAnsi="Verdana"/>
          <w:sz w:val="20"/>
          <w:szCs w:val="20"/>
          <w:lang w:val="es-CR"/>
        </w:rPr>
        <w:t>28</w:t>
      </w:r>
      <w:r w:rsidR="00CB5A45" w:rsidRPr="00E64CB2">
        <w:rPr>
          <w:rFonts w:ascii="Verdana" w:hAnsi="Verdana"/>
          <w:sz w:val="20"/>
          <w:szCs w:val="20"/>
          <w:lang w:val="es-CR"/>
        </w:rPr>
        <w:t xml:space="preserve"> </w:t>
      </w:r>
      <w:r w:rsidRPr="00E64CB2">
        <w:rPr>
          <w:rFonts w:ascii="Verdana" w:hAnsi="Verdana"/>
          <w:sz w:val="20"/>
          <w:szCs w:val="20"/>
          <w:lang w:val="es-CR"/>
        </w:rPr>
        <w:t xml:space="preserve">de </w:t>
      </w:r>
      <w:r w:rsidR="00E64CB2" w:rsidRPr="00E64CB2">
        <w:rPr>
          <w:rFonts w:ascii="Verdana" w:hAnsi="Verdana"/>
          <w:sz w:val="20"/>
          <w:szCs w:val="20"/>
          <w:lang w:val="es-CR"/>
        </w:rPr>
        <w:t>enero</w:t>
      </w:r>
      <w:r w:rsidR="00CB5A45" w:rsidRPr="00E64CB2">
        <w:rPr>
          <w:rFonts w:ascii="Verdana" w:hAnsi="Verdana"/>
          <w:sz w:val="20"/>
          <w:szCs w:val="20"/>
          <w:lang w:val="es-CR"/>
        </w:rPr>
        <w:t xml:space="preserve"> </w:t>
      </w:r>
      <w:r w:rsidRPr="00E64CB2">
        <w:rPr>
          <w:rFonts w:ascii="Verdana" w:hAnsi="Verdana"/>
          <w:sz w:val="20"/>
          <w:szCs w:val="20"/>
          <w:lang w:val="es-CR"/>
        </w:rPr>
        <w:t xml:space="preserve">de </w:t>
      </w:r>
      <w:r w:rsidR="00CB5A45" w:rsidRPr="00E64CB2">
        <w:rPr>
          <w:rFonts w:ascii="Verdana" w:hAnsi="Verdana"/>
          <w:sz w:val="20"/>
          <w:szCs w:val="20"/>
          <w:lang w:val="es-CR"/>
        </w:rPr>
        <w:t>2020</w:t>
      </w:r>
      <w:r w:rsidRPr="00E64CB2">
        <w:rPr>
          <w:rFonts w:ascii="Verdana" w:hAnsi="Verdana"/>
          <w:sz w:val="20"/>
          <w:szCs w:val="20"/>
          <w:lang w:val="es-CR"/>
        </w:rPr>
        <w:t>, a partir de las 09:00</w:t>
      </w:r>
      <w:r w:rsidR="0028064E" w:rsidRPr="00E64CB2">
        <w:rPr>
          <w:rFonts w:ascii="Verdana" w:hAnsi="Verdana"/>
          <w:sz w:val="20"/>
          <w:szCs w:val="20"/>
          <w:lang w:val="es-CR"/>
        </w:rPr>
        <w:t xml:space="preserve"> </w:t>
      </w:r>
      <w:proofErr w:type="spellStart"/>
      <w:r w:rsidR="0028064E" w:rsidRPr="00E64CB2">
        <w:rPr>
          <w:rFonts w:ascii="Verdana" w:hAnsi="Verdana"/>
          <w:sz w:val="20"/>
          <w:szCs w:val="20"/>
          <w:lang w:val="es-CR"/>
        </w:rPr>
        <w:t>hs</w:t>
      </w:r>
      <w:proofErr w:type="spellEnd"/>
      <w:r w:rsidRPr="00E64CB2">
        <w:rPr>
          <w:rFonts w:ascii="Verdana" w:hAnsi="Verdana"/>
          <w:sz w:val="20"/>
          <w:szCs w:val="20"/>
          <w:lang w:val="es-CR"/>
        </w:rPr>
        <w:t>,</w:t>
      </w:r>
      <w:r w:rsidRPr="002910C6">
        <w:rPr>
          <w:rFonts w:ascii="Verdana" w:hAnsi="Verdana"/>
          <w:sz w:val="20"/>
          <w:szCs w:val="20"/>
          <w:lang w:val="es-CR"/>
        </w:rPr>
        <w:t xml:space="preserve"> para recibir sus alegatos y observaciones finales orales, así como las declaraciones de las siguientes personas. </w:t>
      </w:r>
    </w:p>
    <w:p w14:paraId="50768BF1" w14:textId="77777777" w:rsidR="00993A5F" w:rsidRPr="002910C6" w:rsidRDefault="00993A5F" w:rsidP="00A75739">
      <w:pPr>
        <w:autoSpaceDE w:val="0"/>
        <w:autoSpaceDN w:val="0"/>
        <w:adjustRightInd w:val="0"/>
        <w:spacing w:after="0" w:line="216" w:lineRule="auto"/>
        <w:jc w:val="both"/>
        <w:rPr>
          <w:rFonts w:ascii="Verdana" w:hAnsi="Verdana"/>
          <w:sz w:val="20"/>
          <w:szCs w:val="20"/>
          <w:lang w:val="es-CR"/>
        </w:rPr>
      </w:pPr>
    </w:p>
    <w:p w14:paraId="0EA92394" w14:textId="4BB7358F" w:rsidR="005977FA" w:rsidRPr="00A75739" w:rsidRDefault="00B75803" w:rsidP="00A75739">
      <w:pPr>
        <w:pStyle w:val="Prrafodelista"/>
        <w:numPr>
          <w:ilvl w:val="0"/>
          <w:numId w:val="17"/>
        </w:numPr>
        <w:autoSpaceDE w:val="0"/>
        <w:autoSpaceDN w:val="0"/>
        <w:adjustRightInd w:val="0"/>
        <w:spacing w:after="0" w:line="216" w:lineRule="auto"/>
        <w:jc w:val="both"/>
        <w:rPr>
          <w:rFonts w:ascii="Verdana" w:hAnsi="Verdana"/>
          <w:sz w:val="20"/>
          <w:szCs w:val="20"/>
          <w:lang w:val="es-CR"/>
        </w:rPr>
      </w:pPr>
      <w:r w:rsidRPr="002910C6">
        <w:rPr>
          <w:rFonts w:ascii="Verdana" w:hAnsi="Verdana"/>
          <w:b/>
          <w:i/>
          <w:sz w:val="20"/>
          <w:szCs w:val="20"/>
          <w:lang w:val="es-CR"/>
        </w:rPr>
        <w:t>P</w:t>
      </w:r>
      <w:r w:rsidR="005977FA" w:rsidRPr="002910C6">
        <w:rPr>
          <w:rFonts w:ascii="Verdana" w:hAnsi="Verdana"/>
          <w:b/>
          <w:i/>
          <w:sz w:val="20"/>
          <w:szCs w:val="20"/>
          <w:lang w:val="es-CR"/>
        </w:rPr>
        <w:t>resunta</w:t>
      </w:r>
      <w:r w:rsidR="005977FA" w:rsidRPr="00A75739">
        <w:rPr>
          <w:rFonts w:ascii="Verdana" w:hAnsi="Verdana"/>
          <w:b/>
          <w:i/>
          <w:sz w:val="20"/>
          <w:szCs w:val="20"/>
          <w:lang w:val="es-CR"/>
        </w:rPr>
        <w:t xml:space="preserve"> v</w:t>
      </w:r>
      <w:r w:rsidR="005977FA" w:rsidRPr="002910C6">
        <w:rPr>
          <w:rFonts w:ascii="Verdana" w:hAnsi="Verdana"/>
          <w:b/>
          <w:i/>
          <w:sz w:val="20"/>
          <w:szCs w:val="20"/>
          <w:lang w:val="es-CR"/>
        </w:rPr>
        <w:t>íctima</w:t>
      </w:r>
      <w:r w:rsidR="005977FA" w:rsidRPr="00A75739">
        <w:rPr>
          <w:rFonts w:ascii="Verdana" w:hAnsi="Verdana"/>
          <w:b/>
          <w:i/>
          <w:sz w:val="20"/>
          <w:szCs w:val="20"/>
          <w:lang w:val="es-CR"/>
        </w:rPr>
        <w:t xml:space="preserve"> </w:t>
      </w:r>
      <w:r w:rsidR="00F24631" w:rsidRPr="002910C6">
        <w:rPr>
          <w:rFonts w:ascii="Verdana" w:hAnsi="Verdana"/>
          <w:i/>
          <w:sz w:val="20"/>
          <w:szCs w:val="20"/>
          <w:lang w:val="es-CR"/>
        </w:rPr>
        <w:t>(propuesta</w:t>
      </w:r>
      <w:r w:rsidR="005977FA" w:rsidRPr="00A75739">
        <w:rPr>
          <w:rFonts w:ascii="Verdana" w:hAnsi="Verdana"/>
          <w:i/>
          <w:sz w:val="20"/>
          <w:szCs w:val="20"/>
          <w:lang w:val="es-CR"/>
        </w:rPr>
        <w:t xml:space="preserve"> por las representantes)</w:t>
      </w:r>
      <w:r w:rsidR="005977FA" w:rsidRPr="00A75739">
        <w:rPr>
          <w:rFonts w:ascii="Verdana" w:hAnsi="Verdana"/>
          <w:sz w:val="20"/>
          <w:szCs w:val="20"/>
          <w:lang w:val="es-CR"/>
        </w:rPr>
        <w:t xml:space="preserve"> </w:t>
      </w:r>
    </w:p>
    <w:p w14:paraId="1809E301" w14:textId="77777777" w:rsidR="0028064E" w:rsidRPr="002910C6" w:rsidRDefault="0028064E" w:rsidP="00A75739">
      <w:pPr>
        <w:autoSpaceDE w:val="0"/>
        <w:autoSpaceDN w:val="0"/>
        <w:adjustRightInd w:val="0"/>
        <w:spacing w:after="0" w:line="216" w:lineRule="auto"/>
        <w:ind w:left="450"/>
        <w:jc w:val="both"/>
        <w:rPr>
          <w:rFonts w:ascii="Verdana" w:hAnsi="Verdana"/>
          <w:sz w:val="20"/>
          <w:szCs w:val="20"/>
          <w:lang w:val="es-CR"/>
        </w:rPr>
      </w:pPr>
    </w:p>
    <w:p w14:paraId="306F7ED2" w14:textId="6D655EED" w:rsidR="00590A43" w:rsidRPr="00A75739" w:rsidRDefault="000E0310" w:rsidP="00A75739">
      <w:pPr>
        <w:autoSpaceDE w:val="0"/>
        <w:autoSpaceDN w:val="0"/>
        <w:adjustRightInd w:val="0"/>
        <w:spacing w:after="0" w:line="216" w:lineRule="auto"/>
        <w:ind w:left="709"/>
        <w:jc w:val="both"/>
        <w:rPr>
          <w:rFonts w:ascii="Verdana" w:hAnsi="Verdana"/>
          <w:sz w:val="20"/>
          <w:szCs w:val="20"/>
          <w:lang w:val="es-CR"/>
        </w:rPr>
      </w:pPr>
      <w:r>
        <w:rPr>
          <w:rFonts w:ascii="Verdana" w:hAnsi="Verdana"/>
          <w:sz w:val="20"/>
          <w:szCs w:val="20"/>
          <w:lang w:val="es-CR"/>
        </w:rPr>
        <w:t xml:space="preserve">1.- </w:t>
      </w:r>
      <w:proofErr w:type="spellStart"/>
      <w:r w:rsidR="00F10944" w:rsidRPr="00A75739">
        <w:rPr>
          <w:rFonts w:ascii="Verdana" w:hAnsi="Verdana"/>
          <w:i/>
          <w:sz w:val="20"/>
          <w:szCs w:val="20"/>
          <w:lang w:val="es-CR"/>
        </w:rPr>
        <w:t>Petita</w:t>
      </w:r>
      <w:proofErr w:type="spellEnd"/>
      <w:r w:rsidR="00F10944" w:rsidRPr="00A75739">
        <w:rPr>
          <w:rFonts w:ascii="Verdana" w:hAnsi="Verdana"/>
          <w:i/>
          <w:sz w:val="20"/>
          <w:szCs w:val="20"/>
          <w:lang w:val="es-CR"/>
        </w:rPr>
        <w:t xml:space="preserve"> Albarracín</w:t>
      </w:r>
      <w:r w:rsidR="002872DB" w:rsidRPr="00A75739">
        <w:rPr>
          <w:rFonts w:ascii="Verdana" w:hAnsi="Verdana"/>
          <w:sz w:val="20"/>
          <w:szCs w:val="20"/>
          <w:lang w:val="es-CR"/>
        </w:rPr>
        <w:t>,</w:t>
      </w:r>
      <w:r w:rsidR="00F10944" w:rsidRPr="00A75739">
        <w:rPr>
          <w:rFonts w:ascii="Verdana" w:hAnsi="Verdana"/>
          <w:sz w:val="20"/>
          <w:szCs w:val="20"/>
          <w:lang w:val="es-CR"/>
        </w:rPr>
        <w:t xml:space="preserve"> </w:t>
      </w:r>
      <w:r w:rsidR="00EC5350" w:rsidRPr="00A75739">
        <w:rPr>
          <w:rFonts w:ascii="Verdana" w:hAnsi="Verdana"/>
          <w:sz w:val="20"/>
          <w:szCs w:val="20"/>
          <w:lang w:val="es-CR"/>
        </w:rPr>
        <w:t xml:space="preserve">madre de </w:t>
      </w:r>
      <w:r w:rsidR="00F10944" w:rsidRPr="00A75739">
        <w:rPr>
          <w:rFonts w:ascii="Verdana" w:hAnsi="Verdana"/>
          <w:sz w:val="20"/>
          <w:szCs w:val="20"/>
          <w:lang w:val="es-CR"/>
        </w:rPr>
        <w:t>Paola Guzmán</w:t>
      </w:r>
      <w:r w:rsidR="002872DB" w:rsidRPr="00A75739">
        <w:rPr>
          <w:rFonts w:ascii="Verdana" w:hAnsi="Verdana"/>
          <w:sz w:val="20"/>
          <w:szCs w:val="20"/>
          <w:lang w:val="es-CR"/>
        </w:rPr>
        <w:t xml:space="preserve">, </w:t>
      </w:r>
      <w:r w:rsidR="00F20CD5" w:rsidRPr="00A75739">
        <w:rPr>
          <w:rFonts w:ascii="Verdana" w:hAnsi="Verdana"/>
          <w:sz w:val="20"/>
          <w:szCs w:val="20"/>
          <w:lang w:val="es-CR"/>
        </w:rPr>
        <w:t xml:space="preserve">quien declarará sobre: 1) </w:t>
      </w:r>
      <w:r w:rsidR="00067E2D" w:rsidRPr="00A75739">
        <w:rPr>
          <w:rFonts w:ascii="Verdana" w:hAnsi="Verdana"/>
          <w:sz w:val="20"/>
          <w:szCs w:val="20"/>
          <w:lang w:val="es-CR"/>
        </w:rPr>
        <w:t xml:space="preserve">los hechos que ella y su familia </w:t>
      </w:r>
      <w:r w:rsidR="0028064E" w:rsidRPr="002910C6">
        <w:rPr>
          <w:rFonts w:ascii="Verdana" w:hAnsi="Verdana"/>
          <w:sz w:val="20"/>
          <w:szCs w:val="20"/>
          <w:lang w:val="es-CR"/>
        </w:rPr>
        <w:t xml:space="preserve">habrían </w:t>
      </w:r>
      <w:r w:rsidR="00067E2D" w:rsidRPr="00A75739">
        <w:rPr>
          <w:rFonts w:ascii="Verdana" w:hAnsi="Verdana"/>
          <w:sz w:val="20"/>
          <w:szCs w:val="20"/>
          <w:lang w:val="es-CR"/>
        </w:rPr>
        <w:t>sufri</w:t>
      </w:r>
      <w:r w:rsidR="0028064E" w:rsidRPr="002910C6">
        <w:rPr>
          <w:rFonts w:ascii="Verdana" w:hAnsi="Verdana"/>
          <w:sz w:val="20"/>
          <w:szCs w:val="20"/>
          <w:lang w:val="es-CR"/>
        </w:rPr>
        <w:t>do</w:t>
      </w:r>
      <w:r w:rsidR="00067E2D" w:rsidRPr="00A75739">
        <w:rPr>
          <w:rFonts w:ascii="Verdana" w:hAnsi="Verdana"/>
          <w:sz w:val="20"/>
          <w:szCs w:val="20"/>
          <w:lang w:val="es-CR"/>
        </w:rPr>
        <w:t xml:space="preserve"> como consecuencia del</w:t>
      </w:r>
      <w:r w:rsidR="0028064E" w:rsidRPr="002910C6">
        <w:rPr>
          <w:rFonts w:ascii="Verdana" w:hAnsi="Verdana"/>
          <w:sz w:val="20"/>
          <w:szCs w:val="20"/>
          <w:lang w:val="es-CR"/>
        </w:rPr>
        <w:t xml:space="preserve"> aducido</w:t>
      </w:r>
      <w:r w:rsidR="00067E2D" w:rsidRPr="00A75739">
        <w:rPr>
          <w:rFonts w:ascii="Verdana" w:hAnsi="Verdana"/>
          <w:sz w:val="20"/>
          <w:szCs w:val="20"/>
          <w:lang w:val="es-CR"/>
        </w:rPr>
        <w:t xml:space="preserve"> acoso y violenc</w:t>
      </w:r>
      <w:r w:rsidR="00F20CD5" w:rsidRPr="00A75739">
        <w:rPr>
          <w:rFonts w:ascii="Verdana" w:hAnsi="Verdana"/>
          <w:sz w:val="20"/>
          <w:szCs w:val="20"/>
          <w:lang w:val="es-CR"/>
        </w:rPr>
        <w:t>ia sexual ejercidos sobre Paola</w:t>
      </w:r>
      <w:r w:rsidR="007F5B3B" w:rsidRPr="002910C6">
        <w:rPr>
          <w:rFonts w:ascii="Verdana" w:hAnsi="Verdana"/>
          <w:sz w:val="20"/>
          <w:szCs w:val="20"/>
          <w:lang w:val="es-CR"/>
        </w:rPr>
        <w:t xml:space="preserve">; </w:t>
      </w:r>
      <w:r w:rsidR="00F20CD5" w:rsidRPr="00A75739">
        <w:rPr>
          <w:rFonts w:ascii="Verdana" w:hAnsi="Verdana"/>
          <w:sz w:val="20"/>
          <w:szCs w:val="20"/>
          <w:lang w:val="es-CR"/>
        </w:rPr>
        <w:t xml:space="preserve">2) </w:t>
      </w:r>
      <w:r w:rsidR="00067E2D" w:rsidRPr="00A75739">
        <w:rPr>
          <w:rFonts w:ascii="Verdana" w:hAnsi="Verdana"/>
          <w:sz w:val="20"/>
          <w:szCs w:val="20"/>
          <w:lang w:val="es-CR"/>
        </w:rPr>
        <w:t xml:space="preserve">el impacto que tuvo en su vida y la de su familia la posterior muerte </w:t>
      </w:r>
      <w:r w:rsidR="003D5B98" w:rsidRPr="00A75739">
        <w:rPr>
          <w:rFonts w:ascii="Verdana" w:hAnsi="Verdana"/>
          <w:sz w:val="20"/>
          <w:szCs w:val="20"/>
          <w:lang w:val="es-CR"/>
        </w:rPr>
        <w:t>de su hija</w:t>
      </w:r>
      <w:r w:rsidR="007F5B3B" w:rsidRPr="002910C6">
        <w:rPr>
          <w:rFonts w:ascii="Verdana" w:hAnsi="Verdana"/>
          <w:sz w:val="20"/>
          <w:szCs w:val="20"/>
          <w:lang w:val="es-CR"/>
        </w:rPr>
        <w:t xml:space="preserve">; </w:t>
      </w:r>
      <w:r w:rsidR="00F20CD5" w:rsidRPr="00A75739">
        <w:rPr>
          <w:rFonts w:ascii="Verdana" w:hAnsi="Verdana"/>
          <w:sz w:val="20"/>
          <w:szCs w:val="20"/>
          <w:lang w:val="es-CR"/>
        </w:rPr>
        <w:t>3)</w:t>
      </w:r>
      <w:r w:rsidR="003D5B98" w:rsidRPr="00A75739">
        <w:rPr>
          <w:rFonts w:ascii="Verdana" w:hAnsi="Verdana"/>
          <w:sz w:val="20"/>
          <w:szCs w:val="20"/>
          <w:lang w:val="es-CR"/>
        </w:rPr>
        <w:t xml:space="preserve"> la </w:t>
      </w:r>
      <w:r w:rsidR="0028064E" w:rsidRPr="002910C6">
        <w:rPr>
          <w:rFonts w:ascii="Verdana" w:hAnsi="Verdana"/>
          <w:sz w:val="20"/>
          <w:szCs w:val="20"/>
          <w:lang w:val="es-CR"/>
        </w:rPr>
        <w:t xml:space="preserve">aducida </w:t>
      </w:r>
      <w:r w:rsidR="003D5B98" w:rsidRPr="00A75739">
        <w:rPr>
          <w:rFonts w:ascii="Verdana" w:hAnsi="Verdana"/>
          <w:sz w:val="20"/>
          <w:szCs w:val="20"/>
          <w:lang w:val="es-CR"/>
        </w:rPr>
        <w:t>impunidad en que se encuentran los hechos</w:t>
      </w:r>
      <w:r w:rsidR="0028064E" w:rsidRPr="002910C6">
        <w:rPr>
          <w:rFonts w:ascii="Verdana" w:hAnsi="Verdana"/>
          <w:sz w:val="20"/>
          <w:szCs w:val="20"/>
          <w:lang w:val="es-CR"/>
        </w:rPr>
        <w:t xml:space="preserve"> aludidos</w:t>
      </w:r>
      <w:r w:rsidR="003D5B98" w:rsidRPr="00A75739">
        <w:rPr>
          <w:rFonts w:ascii="Verdana" w:hAnsi="Verdana"/>
          <w:sz w:val="20"/>
          <w:szCs w:val="20"/>
          <w:lang w:val="es-CR"/>
        </w:rPr>
        <w:t xml:space="preserve"> </w:t>
      </w:r>
      <w:r w:rsidR="007F5B3B" w:rsidRPr="002910C6">
        <w:rPr>
          <w:rFonts w:ascii="Verdana" w:hAnsi="Verdana"/>
          <w:sz w:val="20"/>
          <w:szCs w:val="20"/>
          <w:lang w:val="es-CR"/>
        </w:rPr>
        <w:t xml:space="preserve">y 4) las acciones que serían conducentes para reparar los daños que ella y su familia habrían sufrido. </w:t>
      </w:r>
    </w:p>
    <w:p w14:paraId="7E1AB37E" w14:textId="77777777" w:rsidR="00993A5F" w:rsidRPr="002910C6" w:rsidRDefault="00993A5F" w:rsidP="00A75739">
      <w:pPr>
        <w:autoSpaceDE w:val="0"/>
        <w:autoSpaceDN w:val="0"/>
        <w:adjustRightInd w:val="0"/>
        <w:spacing w:after="0" w:line="216" w:lineRule="auto"/>
        <w:jc w:val="both"/>
        <w:rPr>
          <w:rFonts w:ascii="Verdana" w:hAnsi="Verdana"/>
          <w:sz w:val="20"/>
          <w:szCs w:val="20"/>
          <w:lang w:val="es-CR"/>
        </w:rPr>
      </w:pPr>
    </w:p>
    <w:p w14:paraId="57187C2A" w14:textId="64F7A0A2" w:rsidR="005977FA" w:rsidRPr="00A75739" w:rsidRDefault="005977FA" w:rsidP="00A75739">
      <w:pPr>
        <w:pStyle w:val="Prrafodelista"/>
        <w:numPr>
          <w:ilvl w:val="0"/>
          <w:numId w:val="17"/>
        </w:numPr>
        <w:autoSpaceDE w:val="0"/>
        <w:autoSpaceDN w:val="0"/>
        <w:adjustRightInd w:val="0"/>
        <w:spacing w:after="0" w:line="216" w:lineRule="auto"/>
        <w:jc w:val="both"/>
        <w:rPr>
          <w:rFonts w:ascii="Verdana" w:hAnsi="Verdana"/>
          <w:b/>
          <w:sz w:val="20"/>
          <w:szCs w:val="20"/>
          <w:lang w:val="es-CR"/>
        </w:rPr>
      </w:pPr>
      <w:r w:rsidRPr="00A75739">
        <w:rPr>
          <w:rFonts w:ascii="Verdana" w:hAnsi="Verdana"/>
          <w:b/>
          <w:i/>
          <w:sz w:val="20"/>
          <w:szCs w:val="20"/>
          <w:lang w:val="es-CR"/>
        </w:rPr>
        <w:t xml:space="preserve">Perito </w:t>
      </w:r>
      <w:r w:rsidRPr="00A75739">
        <w:rPr>
          <w:rFonts w:ascii="Verdana" w:hAnsi="Verdana"/>
          <w:i/>
          <w:sz w:val="20"/>
          <w:szCs w:val="20"/>
          <w:lang w:val="es-CR"/>
        </w:rPr>
        <w:t>(propuesto por el Estado)</w:t>
      </w:r>
      <w:r w:rsidRPr="00A75739">
        <w:rPr>
          <w:rFonts w:ascii="Verdana" w:hAnsi="Verdana"/>
          <w:b/>
          <w:sz w:val="20"/>
          <w:szCs w:val="20"/>
          <w:lang w:val="es-CR"/>
        </w:rPr>
        <w:t xml:space="preserve"> </w:t>
      </w:r>
    </w:p>
    <w:p w14:paraId="03B148E0" w14:textId="0BB76C72" w:rsidR="007F5B3B" w:rsidRPr="002910C6" w:rsidRDefault="007F5B3B" w:rsidP="00A75739">
      <w:pPr>
        <w:pStyle w:val="Prrafodelista"/>
        <w:autoSpaceDE w:val="0"/>
        <w:autoSpaceDN w:val="0"/>
        <w:adjustRightInd w:val="0"/>
        <w:spacing w:after="0" w:line="216" w:lineRule="auto"/>
        <w:jc w:val="both"/>
        <w:rPr>
          <w:rFonts w:ascii="Verdana" w:hAnsi="Verdana"/>
          <w:sz w:val="20"/>
          <w:szCs w:val="20"/>
          <w:lang w:val="es-CR"/>
        </w:rPr>
      </w:pPr>
    </w:p>
    <w:p w14:paraId="090714C7" w14:textId="34F0ED03" w:rsidR="00767BE0" w:rsidRPr="00A75739" w:rsidRDefault="000E0310" w:rsidP="00A75739">
      <w:pPr>
        <w:pStyle w:val="Prrafodelista"/>
        <w:autoSpaceDE w:val="0"/>
        <w:autoSpaceDN w:val="0"/>
        <w:adjustRightInd w:val="0"/>
        <w:spacing w:after="0" w:line="216" w:lineRule="auto"/>
        <w:ind w:left="709"/>
        <w:jc w:val="both"/>
        <w:rPr>
          <w:rFonts w:ascii="Verdana" w:hAnsi="Verdana"/>
          <w:sz w:val="20"/>
          <w:szCs w:val="20"/>
          <w:lang w:val="es-CR"/>
        </w:rPr>
      </w:pPr>
      <w:r w:rsidRPr="00A75739">
        <w:rPr>
          <w:rFonts w:ascii="Verdana" w:hAnsi="Verdana"/>
          <w:sz w:val="20"/>
          <w:szCs w:val="20"/>
          <w:lang w:val="es-CR"/>
        </w:rPr>
        <w:t xml:space="preserve">2.- </w:t>
      </w:r>
      <w:r w:rsidR="0026638C" w:rsidRPr="00A75739">
        <w:rPr>
          <w:rFonts w:ascii="Verdana" w:hAnsi="Verdana"/>
          <w:i/>
          <w:sz w:val="20"/>
          <w:szCs w:val="20"/>
          <w:lang w:val="es-CR"/>
        </w:rPr>
        <w:t>Guillermo Barrag</w:t>
      </w:r>
      <w:r w:rsidR="002872DB" w:rsidRPr="00A75739">
        <w:rPr>
          <w:rFonts w:ascii="Verdana" w:hAnsi="Verdana"/>
          <w:i/>
          <w:sz w:val="20"/>
          <w:szCs w:val="20"/>
          <w:lang w:val="es-CR"/>
        </w:rPr>
        <w:t>án Moya</w:t>
      </w:r>
      <w:r w:rsidR="002872DB" w:rsidRPr="00A75739">
        <w:rPr>
          <w:rFonts w:ascii="Verdana" w:hAnsi="Verdana"/>
          <w:sz w:val="20"/>
          <w:szCs w:val="20"/>
          <w:lang w:val="es-CR"/>
        </w:rPr>
        <w:t xml:space="preserve">, médico </w:t>
      </w:r>
      <w:proofErr w:type="spellStart"/>
      <w:r w:rsidR="002872DB" w:rsidRPr="00A75739">
        <w:rPr>
          <w:rFonts w:ascii="Verdana" w:hAnsi="Verdana"/>
          <w:sz w:val="20"/>
          <w:szCs w:val="20"/>
          <w:lang w:val="es-CR"/>
        </w:rPr>
        <w:t>emergenciólogo</w:t>
      </w:r>
      <w:proofErr w:type="spellEnd"/>
      <w:r w:rsidR="002872DB" w:rsidRPr="00A75739">
        <w:rPr>
          <w:rFonts w:ascii="Verdana" w:hAnsi="Verdana"/>
          <w:sz w:val="20"/>
          <w:szCs w:val="20"/>
          <w:lang w:val="es-CR"/>
        </w:rPr>
        <w:t>,</w:t>
      </w:r>
      <w:r w:rsidR="0026638C" w:rsidRPr="00A75739">
        <w:rPr>
          <w:rFonts w:ascii="Verdana" w:hAnsi="Verdana"/>
          <w:sz w:val="20"/>
          <w:szCs w:val="20"/>
          <w:lang w:val="es-CR"/>
        </w:rPr>
        <w:t xml:space="preserve"> </w:t>
      </w:r>
      <w:r w:rsidR="00FD4F6E" w:rsidRPr="00A75739">
        <w:rPr>
          <w:rFonts w:ascii="Verdana" w:hAnsi="Verdana"/>
          <w:sz w:val="20"/>
          <w:szCs w:val="20"/>
          <w:lang w:val="es-CR"/>
        </w:rPr>
        <w:t>quien deberá</w:t>
      </w:r>
      <w:r w:rsidR="00B75803" w:rsidRPr="002910C6">
        <w:rPr>
          <w:rFonts w:ascii="Verdana" w:hAnsi="Verdana"/>
          <w:sz w:val="20"/>
          <w:szCs w:val="20"/>
          <w:lang w:val="es-CR"/>
        </w:rPr>
        <w:t xml:space="preserve"> exponer el dictamen pericial que en forma conjunta realice con el señor </w:t>
      </w:r>
      <w:r w:rsidR="00B75803" w:rsidRPr="00A75739">
        <w:rPr>
          <w:rFonts w:ascii="Verdana" w:hAnsi="Verdana"/>
          <w:sz w:val="20"/>
          <w:szCs w:val="20"/>
          <w:lang w:val="es-CR"/>
        </w:rPr>
        <w:t>Marlon Alexis Oviedo Ramírez</w:t>
      </w:r>
      <w:r w:rsidR="00B75803" w:rsidRPr="002910C6">
        <w:rPr>
          <w:rFonts w:ascii="Verdana" w:hAnsi="Verdana"/>
          <w:sz w:val="20"/>
          <w:szCs w:val="20"/>
          <w:lang w:val="es-CR"/>
        </w:rPr>
        <w:t xml:space="preserve">, </w:t>
      </w:r>
      <w:r w:rsidR="007C531E" w:rsidRPr="00A75739">
        <w:rPr>
          <w:rFonts w:ascii="Verdana" w:hAnsi="Verdana"/>
          <w:sz w:val="20"/>
          <w:szCs w:val="20"/>
          <w:lang w:val="es-CR"/>
        </w:rPr>
        <w:t>sobre</w:t>
      </w:r>
      <w:r w:rsidR="002872DB" w:rsidRPr="00A75739">
        <w:rPr>
          <w:rFonts w:ascii="Verdana" w:hAnsi="Verdana"/>
          <w:sz w:val="20"/>
          <w:szCs w:val="20"/>
          <w:lang w:val="es-CR"/>
        </w:rPr>
        <w:t>: 1)</w:t>
      </w:r>
      <w:r w:rsidR="007C531E" w:rsidRPr="00A75739">
        <w:rPr>
          <w:rFonts w:ascii="Verdana" w:hAnsi="Verdana"/>
          <w:sz w:val="20"/>
          <w:szCs w:val="20"/>
          <w:lang w:val="es-CR"/>
        </w:rPr>
        <w:t xml:space="preserve"> la intoxicación</w:t>
      </w:r>
      <w:r w:rsidR="00FD4F6E" w:rsidRPr="00A75739">
        <w:rPr>
          <w:rFonts w:ascii="Verdana" w:hAnsi="Verdana"/>
          <w:sz w:val="20"/>
          <w:szCs w:val="20"/>
          <w:lang w:val="es-CR"/>
        </w:rPr>
        <w:t xml:space="preserve"> por f</w:t>
      </w:r>
      <w:r w:rsidR="003D5B98" w:rsidRPr="00A75739">
        <w:rPr>
          <w:rFonts w:ascii="Verdana" w:hAnsi="Verdana"/>
          <w:sz w:val="20"/>
          <w:szCs w:val="20"/>
          <w:lang w:val="es-CR"/>
        </w:rPr>
        <w:t>ósforo blanco, g</w:t>
      </w:r>
      <w:r w:rsidR="00FD4F6E" w:rsidRPr="00A75739">
        <w:rPr>
          <w:rFonts w:ascii="Verdana" w:hAnsi="Verdana"/>
          <w:sz w:val="20"/>
          <w:szCs w:val="20"/>
          <w:lang w:val="es-CR"/>
        </w:rPr>
        <w:t>rado, dosis y toxicidad letal, manifes</w:t>
      </w:r>
      <w:r w:rsidR="005C34DA" w:rsidRPr="00A75739">
        <w:rPr>
          <w:rFonts w:ascii="Verdana" w:hAnsi="Verdana"/>
          <w:sz w:val="20"/>
          <w:szCs w:val="20"/>
          <w:lang w:val="es-CR"/>
        </w:rPr>
        <w:t>taciones clínicas, tiempo de sin</w:t>
      </w:r>
      <w:r w:rsidR="00FD4F6E" w:rsidRPr="00A75739">
        <w:rPr>
          <w:rFonts w:ascii="Verdana" w:hAnsi="Verdana"/>
          <w:sz w:val="20"/>
          <w:szCs w:val="20"/>
          <w:lang w:val="es-CR"/>
        </w:rPr>
        <w:t xml:space="preserve">tomatología tóxica, </w:t>
      </w:r>
      <w:r w:rsidR="005C34DA" w:rsidRPr="00A75739">
        <w:rPr>
          <w:rFonts w:ascii="Verdana" w:hAnsi="Verdana"/>
          <w:sz w:val="20"/>
          <w:szCs w:val="20"/>
          <w:lang w:val="es-CR"/>
        </w:rPr>
        <w:t>fases de evolución de la intoxicación, mortalidad</w:t>
      </w:r>
      <w:r w:rsidR="007F5B3B" w:rsidRPr="002910C6">
        <w:rPr>
          <w:rFonts w:ascii="Verdana" w:hAnsi="Verdana"/>
          <w:sz w:val="20"/>
          <w:szCs w:val="20"/>
          <w:lang w:val="es-CR"/>
        </w:rPr>
        <w:t>,</w:t>
      </w:r>
      <w:r w:rsidR="005C34DA" w:rsidRPr="00A75739">
        <w:rPr>
          <w:rFonts w:ascii="Verdana" w:hAnsi="Verdana"/>
          <w:sz w:val="20"/>
          <w:szCs w:val="20"/>
          <w:lang w:val="es-CR"/>
        </w:rPr>
        <w:t xml:space="preserve"> y </w:t>
      </w:r>
      <w:r w:rsidR="002872DB" w:rsidRPr="00A75739">
        <w:rPr>
          <w:rFonts w:ascii="Verdana" w:hAnsi="Verdana"/>
          <w:sz w:val="20"/>
          <w:szCs w:val="20"/>
          <w:lang w:val="es-CR"/>
        </w:rPr>
        <w:t xml:space="preserve">2) </w:t>
      </w:r>
      <w:r w:rsidR="005C34DA" w:rsidRPr="00A75739">
        <w:rPr>
          <w:rFonts w:ascii="Verdana" w:hAnsi="Verdana"/>
          <w:sz w:val="20"/>
          <w:szCs w:val="20"/>
          <w:lang w:val="es-CR"/>
        </w:rPr>
        <w:t>protocolos terapéuticos en relación a los tiempos de consulta en emergencia en un paciente con intoxicación por fósforo blanco por intento autolítico.</w:t>
      </w:r>
    </w:p>
    <w:p w14:paraId="3FF293F9" w14:textId="77777777" w:rsidR="00B97A0C" w:rsidRPr="002910C6" w:rsidRDefault="00B97A0C" w:rsidP="00A75739">
      <w:pPr>
        <w:autoSpaceDE w:val="0"/>
        <w:autoSpaceDN w:val="0"/>
        <w:adjustRightInd w:val="0"/>
        <w:spacing w:after="0" w:line="216" w:lineRule="auto"/>
        <w:jc w:val="both"/>
        <w:rPr>
          <w:rFonts w:ascii="Verdana" w:hAnsi="Verdana"/>
          <w:sz w:val="20"/>
          <w:szCs w:val="20"/>
          <w:lang w:val="es-CR"/>
        </w:rPr>
      </w:pPr>
    </w:p>
    <w:p w14:paraId="24839DA4" w14:textId="30271E15" w:rsidR="005977FA" w:rsidRPr="00A75739" w:rsidRDefault="005977FA" w:rsidP="00A75739">
      <w:pPr>
        <w:pStyle w:val="Prrafodelista"/>
        <w:numPr>
          <w:ilvl w:val="0"/>
          <w:numId w:val="17"/>
        </w:numPr>
        <w:autoSpaceDE w:val="0"/>
        <w:autoSpaceDN w:val="0"/>
        <w:adjustRightInd w:val="0"/>
        <w:spacing w:after="0" w:line="216" w:lineRule="auto"/>
        <w:jc w:val="both"/>
        <w:rPr>
          <w:rFonts w:ascii="Verdana" w:hAnsi="Verdana"/>
          <w:sz w:val="20"/>
          <w:szCs w:val="20"/>
          <w:lang w:val="es-CR"/>
        </w:rPr>
      </w:pPr>
      <w:r w:rsidRPr="00A75739">
        <w:rPr>
          <w:rFonts w:ascii="Verdana" w:hAnsi="Verdana"/>
          <w:b/>
          <w:i/>
          <w:sz w:val="20"/>
          <w:szCs w:val="20"/>
          <w:lang w:val="es-CR"/>
        </w:rPr>
        <w:t xml:space="preserve">Perita </w:t>
      </w:r>
      <w:r w:rsidR="00B37964">
        <w:rPr>
          <w:rFonts w:ascii="Verdana" w:hAnsi="Verdana"/>
          <w:i/>
          <w:sz w:val="20"/>
          <w:szCs w:val="20"/>
          <w:lang w:val="es-CR"/>
        </w:rPr>
        <w:t>(Propuesta por los representantes</w:t>
      </w:r>
      <w:r w:rsidRPr="00A75739">
        <w:rPr>
          <w:rFonts w:ascii="Verdana" w:hAnsi="Verdana"/>
          <w:i/>
          <w:sz w:val="20"/>
          <w:szCs w:val="20"/>
          <w:lang w:val="es-CR"/>
        </w:rPr>
        <w:t>)</w:t>
      </w:r>
      <w:r w:rsidRPr="00A75739">
        <w:rPr>
          <w:rFonts w:ascii="Verdana" w:hAnsi="Verdana"/>
          <w:sz w:val="20"/>
          <w:szCs w:val="20"/>
          <w:lang w:val="es-CR"/>
        </w:rPr>
        <w:t xml:space="preserve"> </w:t>
      </w:r>
    </w:p>
    <w:p w14:paraId="577FA845" w14:textId="77777777" w:rsidR="007F5B3B" w:rsidRDefault="007F5B3B" w:rsidP="00A75739">
      <w:pPr>
        <w:pStyle w:val="Prrafodelista"/>
        <w:autoSpaceDE w:val="0"/>
        <w:autoSpaceDN w:val="0"/>
        <w:adjustRightInd w:val="0"/>
        <w:spacing w:after="0" w:line="216" w:lineRule="auto"/>
        <w:jc w:val="both"/>
        <w:rPr>
          <w:rFonts w:ascii="Verdana" w:hAnsi="Verdana"/>
          <w:sz w:val="20"/>
          <w:szCs w:val="20"/>
          <w:lang w:val="es-CR"/>
        </w:rPr>
      </w:pPr>
    </w:p>
    <w:p w14:paraId="345FF3BF" w14:textId="4CD23169" w:rsidR="00B37964" w:rsidRPr="002910C6" w:rsidRDefault="00E41FCA" w:rsidP="00B37964">
      <w:pPr>
        <w:spacing w:after="0" w:line="216" w:lineRule="auto"/>
        <w:ind w:left="720"/>
        <w:jc w:val="both"/>
        <w:rPr>
          <w:rFonts w:ascii="Verdana" w:hAnsi="Verdana"/>
          <w:sz w:val="20"/>
          <w:szCs w:val="20"/>
          <w:lang w:val="es-CR"/>
        </w:rPr>
      </w:pPr>
      <w:r>
        <w:rPr>
          <w:rFonts w:ascii="Verdana" w:hAnsi="Verdana"/>
          <w:sz w:val="20"/>
          <w:szCs w:val="20"/>
          <w:lang w:val="es-CR"/>
        </w:rPr>
        <w:t>3</w:t>
      </w:r>
      <w:r w:rsidR="00B37964">
        <w:rPr>
          <w:rFonts w:ascii="Verdana" w:hAnsi="Verdana"/>
          <w:sz w:val="20"/>
          <w:szCs w:val="20"/>
          <w:lang w:val="es-CR"/>
        </w:rPr>
        <w:t>.</w:t>
      </w:r>
      <w:r w:rsidR="00B37964" w:rsidRPr="002910C6">
        <w:rPr>
          <w:rFonts w:ascii="Verdana" w:hAnsi="Verdana"/>
          <w:sz w:val="20"/>
          <w:szCs w:val="20"/>
          <w:lang w:val="es-CR"/>
        </w:rPr>
        <w:t>-</w:t>
      </w:r>
      <w:r w:rsidR="00B37964" w:rsidRPr="00A75739">
        <w:rPr>
          <w:rFonts w:ascii="Verdana" w:hAnsi="Verdana"/>
          <w:i/>
          <w:sz w:val="20"/>
          <w:szCs w:val="20"/>
          <w:lang w:val="es-CR"/>
        </w:rPr>
        <w:t>Ximena Cortés Castillo</w:t>
      </w:r>
      <w:r w:rsidR="00B37964" w:rsidRPr="002910C6">
        <w:rPr>
          <w:rFonts w:ascii="Verdana" w:hAnsi="Verdana"/>
          <w:sz w:val="20"/>
          <w:szCs w:val="20"/>
          <w:lang w:val="es-CR"/>
        </w:rPr>
        <w:t xml:space="preserve">, médica psiquiatra, quien deberá declarar 1) sobre el impacto y efectos de la violencia sexual en las adolescentes desde el abordaje de la salud mental y el consentimiento; 2) los hechos del caso concreto de Paola del Rosario Guzmán Albarracín a la luz de los contenidos de su peritaje enunciados en el punto anterior. </w:t>
      </w:r>
    </w:p>
    <w:p w14:paraId="4A72D7A7" w14:textId="77777777" w:rsidR="00B37964" w:rsidRPr="002910C6" w:rsidRDefault="00B37964" w:rsidP="00A75739">
      <w:pPr>
        <w:pStyle w:val="Prrafodelista"/>
        <w:autoSpaceDE w:val="0"/>
        <w:autoSpaceDN w:val="0"/>
        <w:adjustRightInd w:val="0"/>
        <w:spacing w:after="0" w:line="216" w:lineRule="auto"/>
        <w:jc w:val="both"/>
        <w:rPr>
          <w:rFonts w:ascii="Verdana" w:hAnsi="Verdana"/>
          <w:sz w:val="20"/>
          <w:szCs w:val="20"/>
          <w:lang w:val="es-CR"/>
        </w:rPr>
      </w:pPr>
    </w:p>
    <w:p w14:paraId="40610F49" w14:textId="361A4539" w:rsidR="00FD1720" w:rsidRPr="002910C6" w:rsidRDefault="00FD1720" w:rsidP="00A75739">
      <w:pPr>
        <w:autoSpaceDE w:val="0"/>
        <w:autoSpaceDN w:val="0"/>
        <w:adjustRightInd w:val="0"/>
        <w:spacing w:after="0" w:line="216" w:lineRule="auto"/>
        <w:jc w:val="both"/>
        <w:rPr>
          <w:rFonts w:ascii="Verdana" w:hAnsi="Verdana"/>
          <w:sz w:val="20"/>
          <w:szCs w:val="20"/>
          <w:lang w:val="es-CR"/>
        </w:rPr>
      </w:pPr>
    </w:p>
    <w:p w14:paraId="11736319" w14:textId="69BD9B43" w:rsidR="00767BE0" w:rsidRPr="002910C6" w:rsidRDefault="00EC5350" w:rsidP="00A75739">
      <w:pPr>
        <w:spacing w:line="216" w:lineRule="auto"/>
        <w:jc w:val="both"/>
        <w:rPr>
          <w:rFonts w:ascii="Verdana" w:hAnsi="Verdana"/>
          <w:sz w:val="20"/>
          <w:szCs w:val="20"/>
          <w:lang w:val="es-CR"/>
        </w:rPr>
      </w:pPr>
      <w:r w:rsidRPr="002910C6">
        <w:rPr>
          <w:rFonts w:ascii="Verdana" w:hAnsi="Verdana"/>
          <w:sz w:val="20"/>
          <w:szCs w:val="20"/>
          <w:lang w:val="es-CR"/>
        </w:rPr>
        <w:t xml:space="preserve">2. </w:t>
      </w:r>
      <w:r w:rsidR="00320EE6" w:rsidRPr="002910C6">
        <w:rPr>
          <w:rFonts w:ascii="Verdana" w:hAnsi="Verdana"/>
          <w:sz w:val="20"/>
          <w:szCs w:val="20"/>
          <w:lang w:val="es-CR"/>
        </w:rPr>
        <w:t xml:space="preserve">       </w:t>
      </w:r>
      <w:r w:rsidRPr="002910C6">
        <w:rPr>
          <w:rFonts w:ascii="Verdana" w:hAnsi="Verdana"/>
          <w:sz w:val="20"/>
          <w:szCs w:val="20"/>
          <w:lang w:val="es-CR"/>
        </w:rPr>
        <w:t>Requerir de conformidad con el principio de economía procesal y en ejercicio de la facultad que le otorga el artículo 50.1 del Reglamento de la Corte, que las siguientes personas presten sus declaraciones ante fedatario público (affid</w:t>
      </w:r>
      <w:r w:rsidR="004E2FAD" w:rsidRPr="002910C6">
        <w:rPr>
          <w:rFonts w:ascii="Verdana" w:hAnsi="Verdana"/>
          <w:sz w:val="20"/>
          <w:szCs w:val="20"/>
          <w:lang w:val="es-CR"/>
        </w:rPr>
        <w:t>á</w:t>
      </w:r>
      <w:r w:rsidRPr="002910C6">
        <w:rPr>
          <w:rFonts w:ascii="Verdana" w:hAnsi="Verdana"/>
          <w:sz w:val="20"/>
          <w:szCs w:val="20"/>
          <w:lang w:val="es-CR"/>
        </w:rPr>
        <w:t xml:space="preserve">vit): </w:t>
      </w:r>
    </w:p>
    <w:p w14:paraId="46760DB4" w14:textId="29FA4B62" w:rsidR="00874B20" w:rsidRPr="002910C6" w:rsidRDefault="00EC5350" w:rsidP="00A75739">
      <w:pPr>
        <w:tabs>
          <w:tab w:val="left" w:pos="720"/>
        </w:tabs>
        <w:spacing w:after="0" w:line="216" w:lineRule="auto"/>
        <w:ind w:firstLine="450"/>
        <w:jc w:val="both"/>
        <w:rPr>
          <w:rFonts w:ascii="Verdana" w:hAnsi="Verdana"/>
          <w:b/>
          <w:sz w:val="20"/>
          <w:szCs w:val="20"/>
          <w:lang w:val="es-CR"/>
        </w:rPr>
      </w:pPr>
      <w:r w:rsidRPr="00A75739">
        <w:rPr>
          <w:rFonts w:ascii="Verdana" w:hAnsi="Verdana"/>
          <w:b/>
          <w:i/>
          <w:sz w:val="20"/>
          <w:szCs w:val="20"/>
          <w:lang w:val="es-CR"/>
        </w:rPr>
        <w:t xml:space="preserve">A) </w:t>
      </w:r>
      <w:r w:rsidR="007F5B3B" w:rsidRPr="002910C6">
        <w:rPr>
          <w:rFonts w:ascii="Verdana" w:hAnsi="Verdana"/>
          <w:b/>
          <w:i/>
          <w:sz w:val="20"/>
          <w:szCs w:val="20"/>
          <w:lang w:val="es-CR"/>
        </w:rPr>
        <w:t>P</w:t>
      </w:r>
      <w:r w:rsidR="00AF4465" w:rsidRPr="00A75739">
        <w:rPr>
          <w:rFonts w:ascii="Verdana" w:hAnsi="Verdana"/>
          <w:b/>
          <w:i/>
          <w:sz w:val="20"/>
          <w:szCs w:val="20"/>
          <w:lang w:val="es-CR"/>
        </w:rPr>
        <w:t>resunta víctima</w:t>
      </w:r>
      <w:r w:rsidR="00AF4465" w:rsidRPr="002910C6">
        <w:rPr>
          <w:rFonts w:ascii="Verdana" w:hAnsi="Verdana"/>
          <w:b/>
          <w:sz w:val="20"/>
          <w:szCs w:val="20"/>
          <w:lang w:val="es-CR"/>
        </w:rPr>
        <w:t xml:space="preserve"> </w:t>
      </w:r>
      <w:r w:rsidR="00AF4465" w:rsidRPr="00A75739">
        <w:rPr>
          <w:rFonts w:ascii="Verdana" w:hAnsi="Verdana"/>
          <w:i/>
          <w:sz w:val="20"/>
          <w:szCs w:val="20"/>
          <w:lang w:val="es-CR"/>
        </w:rPr>
        <w:t>(propuesta por las representantes)</w:t>
      </w:r>
      <w:r w:rsidR="00AF4465" w:rsidRPr="002910C6">
        <w:rPr>
          <w:rFonts w:ascii="Verdana" w:hAnsi="Verdana"/>
          <w:b/>
          <w:sz w:val="20"/>
          <w:szCs w:val="20"/>
          <w:lang w:val="es-CR"/>
        </w:rPr>
        <w:t xml:space="preserve"> </w:t>
      </w:r>
    </w:p>
    <w:p w14:paraId="49F0BC7F" w14:textId="77777777" w:rsidR="00E66C67" w:rsidRDefault="00E66C67" w:rsidP="00A75739">
      <w:pPr>
        <w:spacing w:after="0" w:line="216" w:lineRule="auto"/>
        <w:ind w:left="720"/>
        <w:jc w:val="both"/>
        <w:rPr>
          <w:rFonts w:ascii="Verdana" w:hAnsi="Verdana"/>
          <w:sz w:val="20"/>
          <w:szCs w:val="20"/>
          <w:lang w:val="es-CR"/>
        </w:rPr>
      </w:pPr>
    </w:p>
    <w:p w14:paraId="2C591CAB" w14:textId="3B394CAD" w:rsidR="007F5B3B" w:rsidRPr="002910C6" w:rsidRDefault="000E0310" w:rsidP="00A75739">
      <w:pPr>
        <w:spacing w:after="0" w:line="216" w:lineRule="auto"/>
        <w:ind w:left="720"/>
        <w:jc w:val="both"/>
        <w:rPr>
          <w:rFonts w:ascii="Verdana" w:hAnsi="Verdana"/>
          <w:sz w:val="20"/>
          <w:szCs w:val="20"/>
          <w:lang w:val="es-CR"/>
        </w:rPr>
      </w:pPr>
      <w:r>
        <w:rPr>
          <w:rFonts w:ascii="Verdana" w:hAnsi="Verdana"/>
          <w:sz w:val="20"/>
          <w:szCs w:val="20"/>
          <w:lang w:val="es-CR"/>
        </w:rPr>
        <w:t xml:space="preserve">4.- </w:t>
      </w:r>
      <w:r w:rsidR="00935F32" w:rsidRPr="00A75739">
        <w:rPr>
          <w:rFonts w:ascii="Verdana" w:hAnsi="Verdana"/>
          <w:i/>
          <w:sz w:val="20"/>
          <w:szCs w:val="20"/>
          <w:lang w:val="es-CR"/>
        </w:rPr>
        <w:t>Denisse Guzmán Albarracín</w:t>
      </w:r>
      <w:r w:rsidR="002872DB" w:rsidRPr="002910C6">
        <w:rPr>
          <w:rFonts w:ascii="Verdana" w:hAnsi="Verdana"/>
          <w:sz w:val="20"/>
          <w:szCs w:val="20"/>
          <w:lang w:val="es-CR"/>
        </w:rPr>
        <w:t>,</w:t>
      </w:r>
      <w:r w:rsidR="00935F32" w:rsidRPr="002910C6">
        <w:rPr>
          <w:rFonts w:ascii="Verdana" w:hAnsi="Verdana"/>
          <w:sz w:val="20"/>
          <w:szCs w:val="20"/>
          <w:lang w:val="es-CR"/>
        </w:rPr>
        <w:t xml:space="preserve"> </w:t>
      </w:r>
      <w:r w:rsidR="00F20CD5" w:rsidRPr="002910C6">
        <w:rPr>
          <w:rFonts w:ascii="Verdana" w:hAnsi="Verdana"/>
          <w:sz w:val="20"/>
          <w:szCs w:val="20"/>
          <w:lang w:val="es-CR"/>
        </w:rPr>
        <w:t>hermana de Paola Guzmán</w:t>
      </w:r>
      <w:r w:rsidR="002872DB" w:rsidRPr="002910C6">
        <w:rPr>
          <w:rFonts w:ascii="Verdana" w:hAnsi="Verdana"/>
          <w:sz w:val="20"/>
          <w:szCs w:val="20"/>
          <w:lang w:val="es-CR"/>
        </w:rPr>
        <w:t>,</w:t>
      </w:r>
      <w:r w:rsidR="003D5B98" w:rsidRPr="002910C6">
        <w:rPr>
          <w:rFonts w:ascii="Verdana" w:hAnsi="Verdana"/>
          <w:sz w:val="20"/>
          <w:szCs w:val="20"/>
          <w:lang w:val="es-CR"/>
        </w:rPr>
        <w:t xml:space="preserve"> </w:t>
      </w:r>
      <w:r w:rsidR="00EC5350" w:rsidRPr="002910C6">
        <w:rPr>
          <w:rFonts w:ascii="Verdana" w:hAnsi="Verdana"/>
          <w:sz w:val="20"/>
          <w:szCs w:val="20"/>
          <w:lang w:val="es-CR"/>
        </w:rPr>
        <w:t>quién se referirá a</w:t>
      </w:r>
      <w:r w:rsidR="00F20CD5" w:rsidRPr="002910C6">
        <w:rPr>
          <w:rFonts w:ascii="Verdana" w:hAnsi="Verdana"/>
          <w:sz w:val="20"/>
          <w:szCs w:val="20"/>
          <w:lang w:val="es-CR"/>
        </w:rPr>
        <w:t xml:space="preserve">: </w:t>
      </w:r>
      <w:r w:rsidR="007F5B3B" w:rsidRPr="002910C6">
        <w:rPr>
          <w:rFonts w:ascii="Verdana" w:hAnsi="Verdana"/>
          <w:sz w:val="20"/>
          <w:szCs w:val="20"/>
          <w:lang w:val="es-CR"/>
        </w:rPr>
        <w:t xml:space="preserve">1) los hechos que ella y su familia habrían sufrido como consecuencia del aducido acoso y violencia sexual ejercidos sobre Paola; 2) el impacto que tuvo en su vida y la de su familia la posterior muerte de su hija; 3) la aducida impunidad en que se encuentran los hechos aludidos y 4) las acciones que serían conducentes para reparar los daños que ella y su familia habrían sufrido. </w:t>
      </w:r>
    </w:p>
    <w:p w14:paraId="1DADB72E" w14:textId="77777777" w:rsidR="007F5B3B" w:rsidRPr="002910C6" w:rsidRDefault="007F5B3B" w:rsidP="00A75739">
      <w:pPr>
        <w:spacing w:after="0" w:line="216" w:lineRule="auto"/>
        <w:ind w:left="720"/>
        <w:jc w:val="both"/>
        <w:rPr>
          <w:rFonts w:ascii="Verdana" w:hAnsi="Verdana"/>
          <w:sz w:val="20"/>
          <w:szCs w:val="20"/>
          <w:lang w:val="es-CR"/>
        </w:rPr>
      </w:pPr>
    </w:p>
    <w:p w14:paraId="60EF4A21" w14:textId="776ACBA9" w:rsidR="00874B20" w:rsidRPr="002910C6" w:rsidRDefault="00732F83" w:rsidP="00A75739">
      <w:pPr>
        <w:spacing w:after="0" w:line="216" w:lineRule="auto"/>
        <w:ind w:firstLine="450"/>
        <w:jc w:val="both"/>
        <w:rPr>
          <w:rFonts w:ascii="Verdana" w:hAnsi="Verdana"/>
          <w:sz w:val="20"/>
          <w:szCs w:val="20"/>
          <w:lang w:val="es-CR"/>
        </w:rPr>
      </w:pPr>
      <w:r w:rsidRPr="00A75739">
        <w:rPr>
          <w:rFonts w:ascii="Verdana" w:hAnsi="Verdana"/>
          <w:b/>
          <w:i/>
          <w:sz w:val="20"/>
          <w:szCs w:val="20"/>
          <w:lang w:val="es-CR"/>
        </w:rPr>
        <w:t>B)</w:t>
      </w:r>
      <w:r w:rsidRPr="00A75739">
        <w:rPr>
          <w:rFonts w:ascii="Verdana" w:hAnsi="Verdana"/>
          <w:i/>
          <w:sz w:val="20"/>
          <w:szCs w:val="20"/>
          <w:lang w:val="es-CR"/>
        </w:rPr>
        <w:t xml:space="preserve"> </w:t>
      </w:r>
      <w:r w:rsidR="00874B20" w:rsidRPr="00A75739">
        <w:rPr>
          <w:rFonts w:ascii="Verdana" w:hAnsi="Verdana"/>
          <w:b/>
          <w:i/>
          <w:sz w:val="20"/>
          <w:szCs w:val="20"/>
          <w:lang w:val="es-CR"/>
        </w:rPr>
        <w:t>Perit</w:t>
      </w:r>
      <w:r w:rsidR="00E66C67">
        <w:rPr>
          <w:rFonts w:ascii="Verdana" w:hAnsi="Verdana"/>
          <w:b/>
          <w:i/>
          <w:sz w:val="20"/>
          <w:szCs w:val="20"/>
          <w:lang w:val="es-CR"/>
        </w:rPr>
        <w:t>os</w:t>
      </w:r>
      <w:r w:rsidR="00874B20" w:rsidRPr="00A75739">
        <w:rPr>
          <w:rFonts w:ascii="Verdana" w:hAnsi="Verdana"/>
          <w:b/>
          <w:i/>
          <w:sz w:val="20"/>
          <w:szCs w:val="20"/>
          <w:lang w:val="es-CR"/>
        </w:rPr>
        <w:t xml:space="preserve"> </w:t>
      </w:r>
      <w:r w:rsidR="00874B20" w:rsidRPr="00A75739">
        <w:rPr>
          <w:rFonts w:ascii="Verdana" w:hAnsi="Verdana"/>
          <w:i/>
          <w:sz w:val="20"/>
          <w:szCs w:val="20"/>
          <w:lang w:val="es-CR"/>
        </w:rPr>
        <w:t>(propuest</w:t>
      </w:r>
      <w:r w:rsidR="007F5B3B" w:rsidRPr="002910C6">
        <w:rPr>
          <w:rFonts w:ascii="Verdana" w:hAnsi="Verdana"/>
          <w:i/>
          <w:sz w:val="20"/>
          <w:szCs w:val="20"/>
          <w:lang w:val="es-CR"/>
        </w:rPr>
        <w:t>os</w:t>
      </w:r>
      <w:r w:rsidR="00874B20" w:rsidRPr="00A75739">
        <w:rPr>
          <w:rFonts w:ascii="Verdana" w:hAnsi="Verdana"/>
          <w:i/>
          <w:sz w:val="20"/>
          <w:szCs w:val="20"/>
          <w:lang w:val="es-CR"/>
        </w:rPr>
        <w:t xml:space="preserve"> por las representantes)</w:t>
      </w:r>
      <w:r w:rsidRPr="002910C6">
        <w:rPr>
          <w:rFonts w:ascii="Verdana" w:hAnsi="Verdana"/>
          <w:sz w:val="20"/>
          <w:szCs w:val="20"/>
          <w:lang w:val="es-CR"/>
        </w:rPr>
        <w:t xml:space="preserve"> </w:t>
      </w:r>
    </w:p>
    <w:p w14:paraId="69F3C6DC" w14:textId="77777777" w:rsidR="00B37964" w:rsidRDefault="00B37964" w:rsidP="00A75739">
      <w:pPr>
        <w:spacing w:after="0" w:line="216" w:lineRule="auto"/>
        <w:ind w:left="720"/>
        <w:jc w:val="both"/>
        <w:rPr>
          <w:rFonts w:ascii="Verdana" w:hAnsi="Verdana"/>
          <w:sz w:val="20"/>
          <w:szCs w:val="20"/>
          <w:lang w:val="es-CR"/>
        </w:rPr>
      </w:pPr>
    </w:p>
    <w:p w14:paraId="071B911B" w14:textId="2DCB0B73" w:rsidR="00E66C67" w:rsidRDefault="00E41FCA" w:rsidP="00A75739">
      <w:pPr>
        <w:spacing w:after="0" w:line="216" w:lineRule="auto"/>
        <w:ind w:left="720"/>
        <w:jc w:val="both"/>
        <w:rPr>
          <w:rFonts w:ascii="Verdana" w:hAnsi="Verdana"/>
          <w:sz w:val="20"/>
          <w:szCs w:val="20"/>
          <w:lang w:val="es-CR"/>
        </w:rPr>
      </w:pPr>
      <w:r>
        <w:rPr>
          <w:rFonts w:ascii="Verdana" w:hAnsi="Verdana"/>
          <w:sz w:val="20"/>
          <w:szCs w:val="20"/>
          <w:lang w:val="es-CR"/>
        </w:rPr>
        <w:t>5</w:t>
      </w:r>
      <w:r w:rsidR="000E0310">
        <w:rPr>
          <w:rFonts w:ascii="Verdana" w:hAnsi="Verdana"/>
          <w:sz w:val="20"/>
          <w:szCs w:val="20"/>
          <w:lang w:val="es-CR"/>
        </w:rPr>
        <w:t>.-</w:t>
      </w:r>
      <w:r w:rsidR="007F5B3B" w:rsidRPr="002910C6">
        <w:rPr>
          <w:rFonts w:ascii="Verdana" w:hAnsi="Verdana"/>
          <w:sz w:val="20"/>
          <w:szCs w:val="20"/>
          <w:lang w:val="es-CR"/>
        </w:rPr>
        <w:t>-</w:t>
      </w:r>
      <w:r w:rsidR="00935F32" w:rsidRPr="00A75739">
        <w:rPr>
          <w:rFonts w:ascii="Verdana" w:hAnsi="Verdana"/>
          <w:i/>
          <w:sz w:val="20"/>
          <w:szCs w:val="20"/>
          <w:lang w:val="es-CR"/>
        </w:rPr>
        <w:t>Lidia Casas</w:t>
      </w:r>
      <w:r w:rsidR="005C2455" w:rsidRPr="00A75739">
        <w:rPr>
          <w:rFonts w:ascii="Verdana" w:hAnsi="Verdana"/>
          <w:sz w:val="20"/>
          <w:szCs w:val="20"/>
          <w:lang w:val="es-CR"/>
        </w:rPr>
        <w:t xml:space="preserve">, abogada, </w:t>
      </w:r>
      <w:r w:rsidR="00935F32" w:rsidRPr="00A75739">
        <w:rPr>
          <w:rFonts w:ascii="Verdana" w:hAnsi="Verdana"/>
          <w:sz w:val="20"/>
          <w:szCs w:val="20"/>
          <w:lang w:val="es-CR"/>
        </w:rPr>
        <w:t xml:space="preserve">quien </w:t>
      </w:r>
      <w:r w:rsidR="007F5B3B" w:rsidRPr="002910C6">
        <w:rPr>
          <w:rFonts w:ascii="Verdana" w:hAnsi="Verdana"/>
          <w:sz w:val="20"/>
          <w:szCs w:val="20"/>
          <w:lang w:val="es-CR"/>
        </w:rPr>
        <w:t>deberá</w:t>
      </w:r>
      <w:r w:rsidR="00874B20" w:rsidRPr="00A75739">
        <w:rPr>
          <w:rFonts w:ascii="Verdana" w:hAnsi="Verdana"/>
          <w:sz w:val="20"/>
          <w:szCs w:val="20"/>
          <w:lang w:val="es-CR"/>
        </w:rPr>
        <w:t xml:space="preserve"> expedir</w:t>
      </w:r>
      <w:r w:rsidR="007F5B3B" w:rsidRPr="002910C6">
        <w:rPr>
          <w:rFonts w:ascii="Verdana" w:hAnsi="Verdana"/>
          <w:sz w:val="20"/>
          <w:szCs w:val="20"/>
          <w:lang w:val="es-CR"/>
        </w:rPr>
        <w:t>se</w:t>
      </w:r>
      <w:r w:rsidR="00935F32" w:rsidRPr="00A75739">
        <w:rPr>
          <w:rFonts w:ascii="Verdana" w:hAnsi="Verdana"/>
          <w:sz w:val="20"/>
          <w:szCs w:val="20"/>
          <w:lang w:val="es-CR"/>
        </w:rPr>
        <w:t xml:space="preserve"> sobre</w:t>
      </w:r>
      <w:r w:rsidR="007F5B3B" w:rsidRPr="002910C6">
        <w:rPr>
          <w:rFonts w:ascii="Verdana" w:hAnsi="Verdana"/>
          <w:sz w:val="20"/>
          <w:szCs w:val="20"/>
          <w:lang w:val="es-CR"/>
        </w:rPr>
        <w:t>: 1)</w:t>
      </w:r>
      <w:r w:rsidR="00935F32" w:rsidRPr="00A75739">
        <w:rPr>
          <w:rFonts w:ascii="Verdana" w:hAnsi="Verdana"/>
          <w:sz w:val="20"/>
          <w:szCs w:val="20"/>
          <w:lang w:val="es-CR"/>
        </w:rPr>
        <w:t xml:space="preserve"> el acoso sexual como forma de violencia de género y discriminación, </w:t>
      </w:r>
      <w:r w:rsidR="007F5B3B" w:rsidRPr="002910C6">
        <w:rPr>
          <w:rFonts w:ascii="Verdana" w:hAnsi="Verdana"/>
          <w:sz w:val="20"/>
          <w:szCs w:val="20"/>
          <w:lang w:val="es-CR"/>
        </w:rPr>
        <w:t>y 2) los hechos del</w:t>
      </w:r>
      <w:r w:rsidR="00935F32" w:rsidRPr="00A75739">
        <w:rPr>
          <w:rFonts w:ascii="Verdana" w:hAnsi="Verdana"/>
          <w:sz w:val="20"/>
          <w:szCs w:val="20"/>
          <w:lang w:val="es-CR"/>
        </w:rPr>
        <w:t xml:space="preserve"> caso a la luz de los contenidos de su peritaje</w:t>
      </w:r>
      <w:r w:rsidR="00351BF9" w:rsidRPr="002910C6">
        <w:rPr>
          <w:rFonts w:ascii="Verdana" w:hAnsi="Verdana"/>
          <w:sz w:val="20"/>
          <w:szCs w:val="20"/>
          <w:lang w:val="es-CR"/>
        </w:rPr>
        <w:t xml:space="preserve"> enunciados en el punto anterior.</w:t>
      </w:r>
    </w:p>
    <w:p w14:paraId="653AF737" w14:textId="77777777" w:rsidR="00E66C67" w:rsidRPr="00000D8F" w:rsidRDefault="00E66C67" w:rsidP="00A75739">
      <w:pPr>
        <w:spacing w:after="0" w:line="216" w:lineRule="auto"/>
        <w:ind w:left="720"/>
        <w:jc w:val="both"/>
        <w:rPr>
          <w:rFonts w:ascii="Verdana" w:hAnsi="Verdana"/>
          <w:sz w:val="20"/>
          <w:szCs w:val="20"/>
          <w:lang w:val="es-CR"/>
        </w:rPr>
      </w:pPr>
    </w:p>
    <w:p w14:paraId="77E9A070" w14:textId="51B84E3C" w:rsidR="00E66C67" w:rsidRPr="00000D8F" w:rsidRDefault="00E41FCA" w:rsidP="00A75739">
      <w:pPr>
        <w:spacing w:after="0" w:line="216" w:lineRule="auto"/>
        <w:ind w:left="720"/>
        <w:jc w:val="both"/>
        <w:rPr>
          <w:rFonts w:ascii="Verdana" w:hAnsi="Verdana"/>
          <w:sz w:val="20"/>
          <w:szCs w:val="20"/>
          <w:lang w:val="es-CR"/>
        </w:rPr>
      </w:pPr>
      <w:r>
        <w:rPr>
          <w:rFonts w:ascii="Verdana" w:hAnsi="Verdana" w:cs="Arial"/>
          <w:sz w:val="20"/>
          <w:szCs w:val="20"/>
          <w:lang w:val="es-CR"/>
        </w:rPr>
        <w:t>6</w:t>
      </w:r>
      <w:r w:rsidR="00E66C67" w:rsidRPr="00A75739">
        <w:rPr>
          <w:rFonts w:ascii="Verdana" w:hAnsi="Verdana" w:cs="Arial"/>
          <w:sz w:val="20"/>
          <w:szCs w:val="20"/>
          <w:lang w:val="es-CR"/>
        </w:rPr>
        <w:t xml:space="preserve">.- </w:t>
      </w:r>
      <w:proofErr w:type="spellStart"/>
      <w:r w:rsidR="00E66C67" w:rsidRPr="00A75739">
        <w:rPr>
          <w:rFonts w:ascii="Verdana" w:hAnsi="Verdana" w:cs="Arial"/>
          <w:i/>
          <w:sz w:val="20"/>
          <w:szCs w:val="20"/>
          <w:lang w:val="es-CR"/>
        </w:rPr>
        <w:t>Vernor</w:t>
      </w:r>
      <w:proofErr w:type="spellEnd"/>
      <w:r w:rsidR="00E66C67" w:rsidRPr="00A75739">
        <w:rPr>
          <w:rFonts w:ascii="Verdana" w:hAnsi="Verdana" w:cs="Arial"/>
          <w:i/>
          <w:sz w:val="20"/>
          <w:szCs w:val="20"/>
          <w:lang w:val="es-CR"/>
        </w:rPr>
        <w:t xml:space="preserve"> Muñoz Villalobos</w:t>
      </w:r>
      <w:r w:rsidR="00E66C67" w:rsidRPr="00A75739">
        <w:rPr>
          <w:rFonts w:ascii="Verdana" w:hAnsi="Verdana" w:cs="Arial"/>
          <w:sz w:val="20"/>
          <w:szCs w:val="20"/>
          <w:lang w:val="es-CR"/>
        </w:rPr>
        <w:t>, abogado, especialista en derecho internacional de los</w:t>
      </w:r>
      <w:r w:rsidR="00E66C67" w:rsidRPr="00000D8F">
        <w:rPr>
          <w:rFonts w:ascii="Verdana" w:hAnsi="Verdana"/>
          <w:sz w:val="20"/>
          <w:szCs w:val="20"/>
          <w:lang w:val="es-CR"/>
        </w:rPr>
        <w:t xml:space="preserve"> </w:t>
      </w:r>
      <w:r w:rsidR="00E66C67" w:rsidRPr="00A75739">
        <w:rPr>
          <w:rFonts w:ascii="Verdana" w:hAnsi="Verdana" w:cs="Arial"/>
          <w:sz w:val="20"/>
          <w:szCs w:val="20"/>
          <w:lang w:val="es-CR"/>
        </w:rPr>
        <w:t>derechos humanos. Magíster en filosofía y Doctor en educación, Ex Relator Especial de Naciones Unidas sobre el Derecho a la Educación (2004-2010), quien deberá expedirse sobre: 1) los estándares internacionales relacionados con el consentimiento, autodeterminación y capacidad de niñas y adolescentes en materia de derechos sexuales y reproductivos, y 2) los hechos del caso a la luz de los estándares expuestos en su peritaje de conformidad a lo indicado en el punto anterior</w:t>
      </w:r>
      <w:r w:rsidR="00000D8F">
        <w:rPr>
          <w:rFonts w:ascii="Verdana" w:hAnsi="Verdana" w:cs="Arial"/>
          <w:sz w:val="20"/>
          <w:szCs w:val="20"/>
          <w:lang w:val="es-CR"/>
        </w:rPr>
        <w:t xml:space="preserve">. </w:t>
      </w:r>
    </w:p>
    <w:p w14:paraId="29EEED66" w14:textId="77777777" w:rsidR="00BF2681" w:rsidRPr="00A75739" w:rsidRDefault="00BF2681" w:rsidP="00A75739">
      <w:pPr>
        <w:spacing w:after="0"/>
        <w:rPr>
          <w:rFonts w:ascii="Verdana" w:hAnsi="Verdana"/>
          <w:sz w:val="20"/>
          <w:szCs w:val="20"/>
          <w:lang w:val="es-CR"/>
        </w:rPr>
      </w:pPr>
    </w:p>
    <w:p w14:paraId="239CFDFF" w14:textId="41D43A22" w:rsidR="00BF2681" w:rsidRPr="00A75739" w:rsidRDefault="00DF5B50" w:rsidP="00A75739">
      <w:pPr>
        <w:pStyle w:val="Prrafodelista"/>
        <w:numPr>
          <w:ilvl w:val="0"/>
          <w:numId w:val="17"/>
        </w:numPr>
        <w:spacing w:after="0" w:line="216" w:lineRule="auto"/>
        <w:jc w:val="both"/>
        <w:rPr>
          <w:rFonts w:ascii="Verdana" w:hAnsi="Verdana"/>
          <w:sz w:val="20"/>
          <w:szCs w:val="20"/>
          <w:lang w:val="es-CR"/>
        </w:rPr>
      </w:pPr>
      <w:r w:rsidRPr="00A75739">
        <w:rPr>
          <w:rFonts w:ascii="Verdana" w:hAnsi="Verdana"/>
          <w:b/>
          <w:i/>
          <w:sz w:val="20"/>
          <w:szCs w:val="20"/>
          <w:lang w:val="es-CR"/>
        </w:rPr>
        <w:t>Perito</w:t>
      </w:r>
      <w:r w:rsidR="00351BF9" w:rsidRPr="002910C6">
        <w:rPr>
          <w:rFonts w:ascii="Verdana" w:hAnsi="Verdana"/>
          <w:b/>
          <w:i/>
          <w:sz w:val="20"/>
          <w:szCs w:val="20"/>
          <w:lang w:val="es-CR"/>
        </w:rPr>
        <w:t>s</w:t>
      </w:r>
      <w:r w:rsidRPr="00A75739">
        <w:rPr>
          <w:rFonts w:ascii="Verdana" w:hAnsi="Verdana"/>
          <w:i/>
          <w:sz w:val="20"/>
          <w:szCs w:val="20"/>
          <w:lang w:val="es-CR"/>
        </w:rPr>
        <w:t xml:space="preserve"> (propuesto</w:t>
      </w:r>
      <w:r w:rsidR="00351BF9" w:rsidRPr="002910C6">
        <w:rPr>
          <w:rFonts w:ascii="Verdana" w:hAnsi="Verdana"/>
          <w:i/>
          <w:sz w:val="20"/>
          <w:szCs w:val="20"/>
          <w:lang w:val="es-CR"/>
        </w:rPr>
        <w:t>s</w:t>
      </w:r>
      <w:r w:rsidRPr="00A75739">
        <w:rPr>
          <w:rFonts w:ascii="Verdana" w:hAnsi="Verdana"/>
          <w:i/>
          <w:sz w:val="20"/>
          <w:szCs w:val="20"/>
          <w:lang w:val="es-CR"/>
        </w:rPr>
        <w:t xml:space="preserve"> por el Estado)</w:t>
      </w:r>
      <w:r w:rsidRPr="00A75739">
        <w:rPr>
          <w:rFonts w:ascii="Verdana" w:hAnsi="Verdana"/>
          <w:sz w:val="20"/>
          <w:szCs w:val="20"/>
          <w:lang w:val="es-CR"/>
        </w:rPr>
        <w:t xml:space="preserve"> </w:t>
      </w:r>
    </w:p>
    <w:p w14:paraId="3BE70D1D" w14:textId="77777777" w:rsidR="00BF2681" w:rsidRPr="002910C6" w:rsidRDefault="00BF2681" w:rsidP="00A75739">
      <w:pPr>
        <w:pStyle w:val="Prrafodelista"/>
        <w:spacing w:after="0" w:line="216" w:lineRule="auto"/>
        <w:ind w:left="810"/>
        <w:jc w:val="both"/>
        <w:rPr>
          <w:rFonts w:ascii="Verdana" w:hAnsi="Verdana"/>
          <w:sz w:val="20"/>
          <w:szCs w:val="20"/>
          <w:lang w:val="es-CR"/>
        </w:rPr>
      </w:pPr>
    </w:p>
    <w:p w14:paraId="5FF4CF59" w14:textId="133877ED" w:rsidR="00767BE0" w:rsidRPr="002910C6" w:rsidRDefault="00E41FCA" w:rsidP="00A75739">
      <w:pPr>
        <w:pStyle w:val="Prrafodelista"/>
        <w:spacing w:after="0" w:line="216" w:lineRule="auto"/>
        <w:ind w:left="810"/>
        <w:jc w:val="both"/>
        <w:rPr>
          <w:rFonts w:ascii="Verdana" w:hAnsi="Verdana"/>
          <w:sz w:val="20"/>
          <w:szCs w:val="20"/>
          <w:lang w:val="es-CR"/>
        </w:rPr>
      </w:pPr>
      <w:r>
        <w:rPr>
          <w:rFonts w:ascii="Verdana" w:hAnsi="Verdana"/>
          <w:sz w:val="20"/>
          <w:szCs w:val="20"/>
          <w:lang w:val="es-CR"/>
        </w:rPr>
        <w:t>7</w:t>
      </w:r>
      <w:r w:rsidR="000E0310">
        <w:rPr>
          <w:rFonts w:ascii="Verdana" w:hAnsi="Verdana"/>
          <w:sz w:val="20"/>
          <w:szCs w:val="20"/>
          <w:lang w:val="es-CR"/>
        </w:rPr>
        <w:t>.</w:t>
      </w:r>
      <w:r w:rsidR="00351BF9" w:rsidRPr="002910C6">
        <w:rPr>
          <w:rFonts w:ascii="Verdana" w:hAnsi="Verdana"/>
          <w:sz w:val="20"/>
          <w:szCs w:val="20"/>
          <w:lang w:val="es-CR"/>
        </w:rPr>
        <w:t>-</w:t>
      </w:r>
      <w:r w:rsidR="00B52EF9" w:rsidRPr="00A75739">
        <w:rPr>
          <w:rFonts w:ascii="Verdana" w:hAnsi="Verdana"/>
          <w:i/>
          <w:sz w:val="20"/>
          <w:szCs w:val="20"/>
          <w:lang w:val="es-CR"/>
        </w:rPr>
        <w:t>Iván Patricio Jácome Artieda</w:t>
      </w:r>
      <w:r w:rsidR="002872DB" w:rsidRPr="00A75739">
        <w:rPr>
          <w:rFonts w:ascii="Verdana" w:hAnsi="Verdana"/>
          <w:sz w:val="20"/>
          <w:szCs w:val="20"/>
          <w:lang w:val="es-CR"/>
        </w:rPr>
        <w:t>, médico ginecólogo,</w:t>
      </w:r>
      <w:r w:rsidR="00F20CD5" w:rsidRPr="00A75739">
        <w:rPr>
          <w:rFonts w:ascii="Verdana" w:hAnsi="Verdana"/>
          <w:sz w:val="20"/>
          <w:szCs w:val="20"/>
          <w:lang w:val="es-CR"/>
        </w:rPr>
        <w:t xml:space="preserve"> </w:t>
      </w:r>
      <w:r w:rsidR="00B52EF9" w:rsidRPr="00A75739">
        <w:rPr>
          <w:rFonts w:ascii="Verdana" w:hAnsi="Verdana"/>
          <w:sz w:val="20"/>
          <w:szCs w:val="20"/>
          <w:lang w:val="es-CR"/>
        </w:rPr>
        <w:t>para que declare sobre</w:t>
      </w:r>
      <w:r w:rsidR="00F20CD5" w:rsidRPr="00A75739">
        <w:rPr>
          <w:rFonts w:ascii="Verdana" w:hAnsi="Verdana"/>
          <w:sz w:val="20"/>
          <w:szCs w:val="20"/>
          <w:lang w:val="es-CR"/>
        </w:rPr>
        <w:t>: 1)</w:t>
      </w:r>
      <w:r w:rsidR="00B52EF9" w:rsidRPr="00A75739">
        <w:rPr>
          <w:rFonts w:ascii="Verdana" w:hAnsi="Verdana"/>
          <w:sz w:val="20"/>
          <w:szCs w:val="20"/>
          <w:lang w:val="es-CR"/>
        </w:rPr>
        <w:t xml:space="preserve"> las pruebas médicas utili</w:t>
      </w:r>
      <w:r w:rsidR="00F20CD5" w:rsidRPr="00A75739">
        <w:rPr>
          <w:rFonts w:ascii="Verdana" w:hAnsi="Verdana"/>
          <w:sz w:val="20"/>
          <w:szCs w:val="20"/>
          <w:lang w:val="es-CR"/>
        </w:rPr>
        <w:t>zadas para detectar el embarazo; 2)</w:t>
      </w:r>
      <w:r w:rsidR="00B52EF9" w:rsidRPr="00A75739">
        <w:rPr>
          <w:rFonts w:ascii="Verdana" w:hAnsi="Verdana"/>
          <w:sz w:val="20"/>
          <w:szCs w:val="20"/>
          <w:lang w:val="es-CR"/>
        </w:rPr>
        <w:t xml:space="preserve"> las secuelas físicas que deja un aborto instrumental o farmacológico </w:t>
      </w:r>
      <w:r w:rsidR="00800F23" w:rsidRPr="00A75739">
        <w:rPr>
          <w:rFonts w:ascii="Verdana" w:hAnsi="Verdana"/>
          <w:sz w:val="20"/>
          <w:szCs w:val="20"/>
          <w:lang w:val="es-CR"/>
        </w:rPr>
        <w:t>en los órganos</w:t>
      </w:r>
      <w:r w:rsidR="00F20CD5" w:rsidRPr="00A75739">
        <w:rPr>
          <w:rFonts w:ascii="Verdana" w:hAnsi="Verdana"/>
          <w:sz w:val="20"/>
          <w:szCs w:val="20"/>
          <w:lang w:val="es-CR"/>
        </w:rPr>
        <w:t xml:space="preserve"> del aparato reproductor; 3)</w:t>
      </w:r>
      <w:r w:rsidR="00800F23" w:rsidRPr="00A75739">
        <w:rPr>
          <w:rFonts w:ascii="Verdana" w:hAnsi="Verdana"/>
          <w:sz w:val="20"/>
          <w:szCs w:val="20"/>
          <w:lang w:val="es-CR"/>
        </w:rPr>
        <w:t xml:space="preserve"> la existencia o inexistencia de un medicamento parenteral para provocar un aborto en el año 2002 en Ecuador. </w:t>
      </w:r>
      <w:r w:rsidR="00F20CD5" w:rsidRPr="00A75739">
        <w:rPr>
          <w:rFonts w:ascii="Verdana" w:hAnsi="Verdana"/>
          <w:sz w:val="20"/>
          <w:szCs w:val="20"/>
          <w:lang w:val="es-CR"/>
        </w:rPr>
        <w:t xml:space="preserve">4) </w:t>
      </w:r>
      <w:r w:rsidR="00800F23" w:rsidRPr="00A75739">
        <w:rPr>
          <w:rFonts w:ascii="Verdana" w:hAnsi="Verdana"/>
          <w:sz w:val="20"/>
          <w:szCs w:val="20"/>
          <w:lang w:val="es-CR"/>
        </w:rPr>
        <w:t>De igual modo, de conformidad con las historias clínicas obrantes en autos, deberá indicar si es posible determinar que la niña estaba embarazada al momento de su fallecimiento.</w:t>
      </w:r>
      <w:r w:rsidR="007541ED" w:rsidRPr="00A75739">
        <w:rPr>
          <w:rFonts w:ascii="Verdana" w:hAnsi="Verdana"/>
          <w:sz w:val="20"/>
          <w:szCs w:val="20"/>
          <w:lang w:val="es-CR"/>
        </w:rPr>
        <w:t xml:space="preserve"> </w:t>
      </w:r>
    </w:p>
    <w:p w14:paraId="36902966" w14:textId="77777777" w:rsidR="00F24631" w:rsidRPr="00A75739" w:rsidRDefault="00F24631" w:rsidP="00A75739">
      <w:pPr>
        <w:pStyle w:val="Prrafodelista"/>
        <w:spacing w:line="216" w:lineRule="auto"/>
        <w:ind w:left="810"/>
        <w:jc w:val="both"/>
        <w:rPr>
          <w:rFonts w:ascii="Verdana" w:hAnsi="Verdana"/>
          <w:sz w:val="20"/>
          <w:szCs w:val="20"/>
          <w:lang w:val="es-CR"/>
        </w:rPr>
      </w:pPr>
    </w:p>
    <w:p w14:paraId="609A28C9" w14:textId="52E01FFE" w:rsidR="00767BE0" w:rsidRDefault="00E41FCA" w:rsidP="00E64CB2">
      <w:pPr>
        <w:pStyle w:val="Prrafodelista"/>
        <w:spacing w:after="0" w:line="216" w:lineRule="auto"/>
        <w:ind w:left="851"/>
        <w:jc w:val="both"/>
        <w:rPr>
          <w:rFonts w:ascii="Verdana" w:hAnsi="Verdana"/>
          <w:sz w:val="20"/>
          <w:szCs w:val="20"/>
          <w:lang w:val="es-CR"/>
        </w:rPr>
      </w:pPr>
      <w:r w:rsidRPr="00E41FCA">
        <w:rPr>
          <w:rFonts w:ascii="Verdana" w:hAnsi="Verdana"/>
          <w:sz w:val="20"/>
          <w:szCs w:val="20"/>
          <w:lang w:val="es-CR"/>
        </w:rPr>
        <w:t>8</w:t>
      </w:r>
      <w:r w:rsidR="00351BF9" w:rsidRPr="002910C6">
        <w:rPr>
          <w:rFonts w:ascii="Verdana" w:hAnsi="Verdana"/>
          <w:b/>
          <w:i/>
          <w:sz w:val="20"/>
          <w:szCs w:val="20"/>
          <w:lang w:val="es-CR"/>
        </w:rPr>
        <w:t>-</w:t>
      </w:r>
      <w:r w:rsidR="00F20CD5" w:rsidRPr="00A75739">
        <w:rPr>
          <w:rFonts w:ascii="Verdana" w:hAnsi="Verdana"/>
          <w:i/>
          <w:sz w:val="20"/>
          <w:szCs w:val="20"/>
          <w:lang w:val="es-CR"/>
        </w:rPr>
        <w:t>Juan Genaro Ayala Yépez</w:t>
      </w:r>
      <w:r w:rsidR="002872DB" w:rsidRPr="00A75739">
        <w:rPr>
          <w:rFonts w:ascii="Verdana" w:hAnsi="Verdana"/>
          <w:sz w:val="20"/>
          <w:szCs w:val="20"/>
          <w:lang w:val="es-CR"/>
        </w:rPr>
        <w:t>, médico psiquiatra,</w:t>
      </w:r>
      <w:r w:rsidR="007541ED" w:rsidRPr="00A75739">
        <w:rPr>
          <w:rFonts w:ascii="Verdana" w:hAnsi="Verdana"/>
          <w:sz w:val="20"/>
          <w:szCs w:val="20"/>
          <w:lang w:val="es-CR"/>
        </w:rPr>
        <w:t xml:space="preserve"> </w:t>
      </w:r>
      <w:r w:rsidR="00BF2681" w:rsidRPr="002910C6">
        <w:rPr>
          <w:rFonts w:ascii="Verdana" w:hAnsi="Verdana"/>
          <w:sz w:val="20"/>
          <w:szCs w:val="20"/>
          <w:lang w:val="es-CR"/>
        </w:rPr>
        <w:t>y</w:t>
      </w:r>
      <w:r w:rsidR="00351BF9" w:rsidRPr="00A75739">
        <w:rPr>
          <w:rFonts w:ascii="Verdana" w:hAnsi="Verdana"/>
          <w:i/>
          <w:sz w:val="20"/>
          <w:szCs w:val="20"/>
          <w:lang w:val="es-CR"/>
        </w:rPr>
        <w:t xml:space="preserve"> </w:t>
      </w:r>
      <w:r w:rsidR="00F20CD5" w:rsidRPr="00A75739">
        <w:rPr>
          <w:rFonts w:ascii="Verdana" w:hAnsi="Verdana"/>
          <w:i/>
          <w:sz w:val="20"/>
          <w:szCs w:val="20"/>
          <w:lang w:val="es-CR"/>
        </w:rPr>
        <w:t>Romel Vladimir Aguirre</w:t>
      </w:r>
      <w:r w:rsidR="005C2455" w:rsidRPr="00A75739">
        <w:rPr>
          <w:rFonts w:ascii="Verdana" w:hAnsi="Verdana"/>
          <w:sz w:val="20"/>
          <w:szCs w:val="20"/>
          <w:lang w:val="es-CR"/>
        </w:rPr>
        <w:t>, psicólogo</w:t>
      </w:r>
      <w:r w:rsidR="00BF2681" w:rsidRPr="00A75739">
        <w:rPr>
          <w:rFonts w:ascii="Verdana" w:hAnsi="Verdana"/>
          <w:sz w:val="20"/>
          <w:szCs w:val="20"/>
          <w:lang w:val="es-CR"/>
        </w:rPr>
        <w:t xml:space="preserve">, quienes declararán </w:t>
      </w:r>
      <w:r w:rsidR="00C27A9B" w:rsidRPr="00A75739">
        <w:rPr>
          <w:rFonts w:ascii="Verdana" w:hAnsi="Verdana"/>
          <w:sz w:val="20"/>
          <w:szCs w:val="20"/>
          <w:lang w:val="es-CR"/>
        </w:rPr>
        <w:t>en forma conjunta</w:t>
      </w:r>
      <w:r w:rsidR="007541ED" w:rsidRPr="00A75739">
        <w:rPr>
          <w:rFonts w:ascii="Verdana" w:hAnsi="Verdana"/>
          <w:sz w:val="20"/>
          <w:szCs w:val="20"/>
          <w:lang w:val="es-CR"/>
        </w:rPr>
        <w:t xml:space="preserve"> sobre</w:t>
      </w:r>
      <w:r w:rsidR="00F20CD5" w:rsidRPr="00A75739">
        <w:rPr>
          <w:rFonts w:ascii="Verdana" w:hAnsi="Verdana"/>
          <w:sz w:val="20"/>
          <w:szCs w:val="20"/>
          <w:lang w:val="es-CR"/>
        </w:rPr>
        <w:t>: 1)</w:t>
      </w:r>
      <w:r w:rsidR="007541ED" w:rsidRPr="00A75739">
        <w:rPr>
          <w:rFonts w:ascii="Verdana" w:hAnsi="Verdana"/>
          <w:sz w:val="20"/>
          <w:szCs w:val="20"/>
          <w:lang w:val="es-CR"/>
        </w:rPr>
        <w:t xml:space="preserve"> la utilidad de la autopsia psicológica forense como procedimiento científico en la investigación de u</w:t>
      </w:r>
      <w:r w:rsidR="00F20CD5" w:rsidRPr="00A75739">
        <w:rPr>
          <w:rFonts w:ascii="Verdana" w:hAnsi="Verdana"/>
          <w:sz w:val="20"/>
          <w:szCs w:val="20"/>
          <w:lang w:val="es-CR"/>
        </w:rPr>
        <w:t xml:space="preserve">n muerte violenta por suicidio; 2) </w:t>
      </w:r>
      <w:r w:rsidR="007541ED" w:rsidRPr="00A75739">
        <w:rPr>
          <w:rFonts w:ascii="Verdana" w:hAnsi="Verdana"/>
          <w:sz w:val="20"/>
          <w:szCs w:val="20"/>
          <w:lang w:val="es-CR"/>
        </w:rPr>
        <w:t xml:space="preserve">validez y confiabilidad de la práctica de una evaluación psicológica reconstructiva en el presente caso, considerando el tiempo en que fue realizada a partir del evento autolítico, así como los fines propuestos y las condiciones expuestas. </w:t>
      </w:r>
    </w:p>
    <w:p w14:paraId="53FA7748" w14:textId="77777777" w:rsidR="00E64CB2" w:rsidRPr="00E64CB2" w:rsidRDefault="00E64CB2" w:rsidP="00E64CB2">
      <w:pPr>
        <w:spacing w:after="0" w:line="216" w:lineRule="auto"/>
        <w:jc w:val="both"/>
        <w:rPr>
          <w:rFonts w:ascii="Verdana" w:hAnsi="Verdana"/>
          <w:sz w:val="20"/>
          <w:szCs w:val="20"/>
          <w:lang w:val="es-CR"/>
        </w:rPr>
      </w:pPr>
    </w:p>
    <w:p w14:paraId="5E83E30E" w14:textId="590D7C1B" w:rsidR="00767BE0" w:rsidRPr="002910C6" w:rsidRDefault="002407F8" w:rsidP="00E64CB2">
      <w:pPr>
        <w:spacing w:after="0" w:line="216" w:lineRule="auto"/>
        <w:ind w:left="851"/>
        <w:jc w:val="both"/>
        <w:rPr>
          <w:rFonts w:ascii="Verdana" w:hAnsi="Verdana"/>
          <w:sz w:val="20"/>
          <w:szCs w:val="20"/>
          <w:lang w:val="es-CR"/>
        </w:rPr>
      </w:pPr>
      <w:r>
        <w:rPr>
          <w:rFonts w:ascii="Verdana" w:hAnsi="Verdana"/>
          <w:sz w:val="20"/>
          <w:szCs w:val="20"/>
          <w:lang w:val="es-CR"/>
        </w:rPr>
        <w:t>9</w:t>
      </w:r>
      <w:r w:rsidR="000E0310" w:rsidRPr="00A75739">
        <w:rPr>
          <w:rFonts w:ascii="Verdana" w:hAnsi="Verdana"/>
          <w:sz w:val="20"/>
          <w:szCs w:val="20"/>
          <w:lang w:val="es-CR"/>
        </w:rPr>
        <w:t>.</w:t>
      </w:r>
      <w:r w:rsidR="00351BF9" w:rsidRPr="000E0310">
        <w:rPr>
          <w:rFonts w:ascii="Verdana" w:hAnsi="Verdana"/>
          <w:sz w:val="20"/>
          <w:szCs w:val="20"/>
          <w:lang w:val="es-CR"/>
        </w:rPr>
        <w:t>-</w:t>
      </w:r>
      <w:r w:rsidR="00351BF9" w:rsidRPr="00A75739">
        <w:rPr>
          <w:rFonts w:ascii="Verdana" w:hAnsi="Verdana"/>
          <w:i/>
          <w:sz w:val="20"/>
          <w:szCs w:val="20"/>
          <w:lang w:val="es-CR"/>
        </w:rPr>
        <w:t>F</w:t>
      </w:r>
      <w:r w:rsidR="007541ED" w:rsidRPr="00A75739">
        <w:rPr>
          <w:rFonts w:ascii="Verdana" w:hAnsi="Verdana"/>
          <w:i/>
          <w:sz w:val="20"/>
          <w:szCs w:val="20"/>
          <w:lang w:val="es-CR"/>
        </w:rPr>
        <w:t>reddy Herrera Almagro</w:t>
      </w:r>
      <w:r w:rsidR="007541ED" w:rsidRPr="002910C6">
        <w:rPr>
          <w:rFonts w:ascii="Verdana" w:hAnsi="Verdana"/>
          <w:sz w:val="20"/>
          <w:szCs w:val="20"/>
          <w:lang w:val="es-CR"/>
        </w:rPr>
        <w:t xml:space="preserve">, médico legista, para que </w:t>
      </w:r>
      <w:r w:rsidR="00C27A9B" w:rsidRPr="002910C6">
        <w:rPr>
          <w:rFonts w:ascii="Verdana" w:hAnsi="Verdana"/>
          <w:sz w:val="20"/>
          <w:szCs w:val="20"/>
          <w:lang w:val="es-CR"/>
        </w:rPr>
        <w:t>se expida sobre</w:t>
      </w:r>
      <w:r w:rsidR="00351BF9" w:rsidRPr="002910C6">
        <w:rPr>
          <w:rFonts w:ascii="Verdana" w:hAnsi="Verdana"/>
          <w:sz w:val="20"/>
          <w:szCs w:val="20"/>
          <w:lang w:val="es-CR"/>
        </w:rPr>
        <w:t>:</w:t>
      </w:r>
      <w:r w:rsidR="00C27A9B" w:rsidRPr="002910C6">
        <w:rPr>
          <w:rFonts w:ascii="Verdana" w:hAnsi="Verdana"/>
          <w:sz w:val="20"/>
          <w:szCs w:val="20"/>
          <w:lang w:val="es-CR"/>
        </w:rPr>
        <w:t xml:space="preserve"> las normativas, protocolos y prácticas en la realización de las autopsias en Ecuador en 2002, realizando una comparación con las normativas, protocolos y prácticas existentes en la actualidad. </w:t>
      </w:r>
    </w:p>
    <w:p w14:paraId="2F924416" w14:textId="77777777" w:rsidR="00E64CB2" w:rsidRDefault="00E64CB2" w:rsidP="00E64CB2">
      <w:pPr>
        <w:pStyle w:val="Prrafodelista"/>
        <w:spacing w:after="0" w:line="216" w:lineRule="auto"/>
        <w:ind w:left="810"/>
        <w:jc w:val="both"/>
        <w:rPr>
          <w:rFonts w:ascii="Verdana" w:hAnsi="Verdana"/>
          <w:sz w:val="20"/>
          <w:szCs w:val="20"/>
          <w:lang w:val="es-CR"/>
        </w:rPr>
      </w:pPr>
    </w:p>
    <w:p w14:paraId="383153CD" w14:textId="04066ECA" w:rsidR="00D66A33" w:rsidRPr="002910C6" w:rsidRDefault="002407F8" w:rsidP="00E64CB2">
      <w:pPr>
        <w:pStyle w:val="Prrafodelista"/>
        <w:spacing w:after="0" w:line="216" w:lineRule="auto"/>
        <w:ind w:left="810"/>
        <w:jc w:val="both"/>
        <w:rPr>
          <w:rFonts w:ascii="Verdana" w:hAnsi="Verdana"/>
          <w:sz w:val="20"/>
          <w:szCs w:val="20"/>
          <w:lang w:val="es-CR"/>
        </w:rPr>
      </w:pPr>
      <w:r>
        <w:rPr>
          <w:rFonts w:ascii="Verdana" w:hAnsi="Verdana"/>
          <w:sz w:val="20"/>
          <w:szCs w:val="20"/>
          <w:lang w:val="es-CR"/>
        </w:rPr>
        <w:lastRenderedPageBreak/>
        <w:t>10</w:t>
      </w:r>
      <w:r w:rsidR="000E0310">
        <w:rPr>
          <w:rFonts w:ascii="Verdana" w:hAnsi="Verdana"/>
          <w:sz w:val="20"/>
          <w:szCs w:val="20"/>
          <w:lang w:val="es-CR"/>
        </w:rPr>
        <w:t>.-</w:t>
      </w:r>
      <w:r w:rsidR="00351BF9" w:rsidRPr="002910C6">
        <w:rPr>
          <w:rFonts w:ascii="Verdana" w:hAnsi="Verdana"/>
          <w:b/>
          <w:i/>
          <w:sz w:val="20"/>
          <w:szCs w:val="20"/>
          <w:lang w:val="es-CR"/>
        </w:rPr>
        <w:t>-</w:t>
      </w:r>
      <w:r w:rsidR="00C27A9B" w:rsidRPr="00A75739">
        <w:rPr>
          <w:rFonts w:ascii="Verdana" w:hAnsi="Verdana"/>
          <w:sz w:val="20"/>
          <w:szCs w:val="20"/>
          <w:lang w:val="es-CR"/>
        </w:rPr>
        <w:t xml:space="preserve"> </w:t>
      </w:r>
      <w:r w:rsidR="00C27A9B" w:rsidRPr="00A75739">
        <w:rPr>
          <w:rFonts w:ascii="Verdana" w:hAnsi="Verdana"/>
          <w:i/>
          <w:sz w:val="20"/>
          <w:szCs w:val="20"/>
          <w:lang w:val="es-CR"/>
        </w:rPr>
        <w:t>Alex Iván Valle Franco</w:t>
      </w:r>
      <w:r w:rsidR="00520F63" w:rsidRPr="00A75739">
        <w:rPr>
          <w:rFonts w:ascii="Verdana" w:hAnsi="Verdana"/>
          <w:sz w:val="20"/>
          <w:szCs w:val="20"/>
          <w:lang w:val="es-CR"/>
        </w:rPr>
        <w:t>, Doctor en C</w:t>
      </w:r>
      <w:r w:rsidR="00351BF9" w:rsidRPr="002910C6">
        <w:rPr>
          <w:rFonts w:ascii="Verdana" w:hAnsi="Verdana"/>
          <w:sz w:val="20"/>
          <w:szCs w:val="20"/>
          <w:lang w:val="es-CR"/>
        </w:rPr>
        <w:t>iencias</w:t>
      </w:r>
      <w:r w:rsidR="00520F63" w:rsidRPr="00A75739">
        <w:rPr>
          <w:rFonts w:ascii="Verdana" w:hAnsi="Verdana"/>
          <w:sz w:val="20"/>
          <w:szCs w:val="20"/>
          <w:lang w:val="es-CR"/>
        </w:rPr>
        <w:t xml:space="preserve"> Jurídicas, </w:t>
      </w:r>
      <w:r w:rsidR="00C27A9B" w:rsidRPr="00A75739">
        <w:rPr>
          <w:rFonts w:ascii="Verdana" w:hAnsi="Verdana"/>
          <w:sz w:val="20"/>
          <w:szCs w:val="20"/>
          <w:lang w:val="es-CR"/>
        </w:rPr>
        <w:t xml:space="preserve">quien deberá pronunciarse sobre la </w:t>
      </w:r>
      <w:r w:rsidR="00351BF9" w:rsidRPr="002910C6">
        <w:rPr>
          <w:rFonts w:ascii="Verdana" w:hAnsi="Verdana"/>
          <w:sz w:val="20"/>
          <w:szCs w:val="20"/>
          <w:lang w:val="es-CR"/>
        </w:rPr>
        <w:t>p</w:t>
      </w:r>
      <w:r w:rsidR="00C27A9B" w:rsidRPr="00A75739">
        <w:rPr>
          <w:rFonts w:ascii="Verdana" w:hAnsi="Verdana"/>
          <w:sz w:val="20"/>
          <w:szCs w:val="20"/>
          <w:lang w:val="es-CR"/>
        </w:rPr>
        <w:t xml:space="preserve">rescripción de la acción penal como garantía de respeto a los derechos procesales y de restricción del ejercicio abusivo del poder punitivo estatal, señalando además los casos en que no se aplica dicha institución jurídica. </w:t>
      </w:r>
    </w:p>
    <w:p w14:paraId="5768A1B5" w14:textId="77777777" w:rsidR="00D66A33" w:rsidRPr="002910C6" w:rsidRDefault="00D66A33" w:rsidP="00A75739">
      <w:pPr>
        <w:pStyle w:val="Prrafodelista"/>
        <w:spacing w:line="216" w:lineRule="auto"/>
        <w:ind w:left="810"/>
        <w:jc w:val="both"/>
        <w:rPr>
          <w:rFonts w:ascii="Verdana" w:hAnsi="Verdana"/>
          <w:sz w:val="20"/>
          <w:szCs w:val="20"/>
          <w:lang w:val="es-CR"/>
        </w:rPr>
      </w:pPr>
    </w:p>
    <w:p w14:paraId="5305B2CC" w14:textId="013555A7" w:rsidR="00767BE0" w:rsidRPr="00A75739" w:rsidRDefault="000E0310" w:rsidP="00A75739">
      <w:pPr>
        <w:pStyle w:val="Prrafodelista"/>
        <w:spacing w:line="216" w:lineRule="auto"/>
        <w:ind w:left="810"/>
        <w:jc w:val="both"/>
        <w:rPr>
          <w:rFonts w:ascii="Verdana" w:hAnsi="Verdana"/>
          <w:sz w:val="20"/>
          <w:szCs w:val="20"/>
          <w:lang w:val="es-CR"/>
        </w:rPr>
      </w:pPr>
      <w:r>
        <w:rPr>
          <w:rFonts w:ascii="Verdana" w:hAnsi="Verdana"/>
          <w:sz w:val="20"/>
          <w:szCs w:val="20"/>
          <w:lang w:val="es-CR"/>
        </w:rPr>
        <w:t>1</w:t>
      </w:r>
      <w:r w:rsidR="002407F8">
        <w:rPr>
          <w:rFonts w:ascii="Verdana" w:hAnsi="Verdana"/>
          <w:sz w:val="20"/>
          <w:szCs w:val="20"/>
          <w:lang w:val="es-CR"/>
        </w:rPr>
        <w:t>1</w:t>
      </w:r>
      <w:r w:rsidRPr="000E0310">
        <w:rPr>
          <w:rFonts w:ascii="Verdana" w:hAnsi="Verdana"/>
          <w:sz w:val="20"/>
          <w:szCs w:val="20"/>
          <w:lang w:val="es-CR"/>
        </w:rPr>
        <w:t>.</w:t>
      </w:r>
      <w:r w:rsidR="00D66A33" w:rsidRPr="000E0310">
        <w:rPr>
          <w:rFonts w:ascii="Verdana" w:hAnsi="Verdana"/>
          <w:sz w:val="20"/>
          <w:szCs w:val="20"/>
          <w:lang w:val="es-CR"/>
        </w:rPr>
        <w:t>-</w:t>
      </w:r>
      <w:r w:rsidR="003F0A61" w:rsidRPr="00A75739">
        <w:rPr>
          <w:rFonts w:ascii="Verdana" w:hAnsi="Verdana"/>
          <w:i/>
          <w:sz w:val="20"/>
          <w:szCs w:val="20"/>
          <w:lang w:val="es-CR"/>
        </w:rPr>
        <w:t>Juan Carlos Cobos Velazco</w:t>
      </w:r>
      <w:r w:rsidR="00520F63" w:rsidRPr="00A75739">
        <w:rPr>
          <w:rFonts w:ascii="Verdana" w:hAnsi="Verdana"/>
          <w:sz w:val="20"/>
          <w:szCs w:val="20"/>
          <w:lang w:val="es-CR"/>
        </w:rPr>
        <w:t xml:space="preserve">, </w:t>
      </w:r>
      <w:r w:rsidR="00D66A33" w:rsidRPr="00A75739">
        <w:rPr>
          <w:rFonts w:ascii="Verdana" w:hAnsi="Verdana"/>
          <w:sz w:val="20"/>
          <w:szCs w:val="20"/>
          <w:lang w:val="es-CR"/>
        </w:rPr>
        <w:t xml:space="preserve">Magister en </w:t>
      </w:r>
      <w:r w:rsidR="00520F63" w:rsidRPr="00A75739">
        <w:rPr>
          <w:rFonts w:ascii="Verdana" w:hAnsi="Verdana"/>
          <w:sz w:val="20"/>
          <w:szCs w:val="20"/>
          <w:lang w:val="es-CR"/>
        </w:rPr>
        <w:t>Sis</w:t>
      </w:r>
      <w:r w:rsidR="00AB5035" w:rsidRPr="00A75739">
        <w:rPr>
          <w:rFonts w:ascii="Verdana" w:hAnsi="Verdana"/>
          <w:sz w:val="20"/>
          <w:szCs w:val="20"/>
          <w:lang w:val="es-CR"/>
        </w:rPr>
        <w:t xml:space="preserve">temas Informáticos Educativos </w:t>
      </w:r>
      <w:r w:rsidR="003F0A61" w:rsidRPr="00A75739">
        <w:rPr>
          <w:rFonts w:ascii="Verdana" w:hAnsi="Verdana"/>
          <w:sz w:val="20"/>
          <w:szCs w:val="20"/>
          <w:lang w:val="es-CR"/>
        </w:rPr>
        <w:t xml:space="preserve">y </w:t>
      </w:r>
      <w:r w:rsidR="003F0A61" w:rsidRPr="00A75739">
        <w:rPr>
          <w:rFonts w:ascii="Verdana" w:hAnsi="Verdana"/>
          <w:i/>
          <w:sz w:val="20"/>
          <w:szCs w:val="20"/>
          <w:lang w:val="es-CR"/>
        </w:rPr>
        <w:t>Johanna Patricia Bustamante Torres</w:t>
      </w:r>
      <w:r w:rsidR="00520F63" w:rsidRPr="00A75739">
        <w:rPr>
          <w:rFonts w:ascii="Verdana" w:hAnsi="Verdana"/>
          <w:sz w:val="20"/>
          <w:szCs w:val="20"/>
          <w:lang w:val="es-CR"/>
        </w:rPr>
        <w:t>, M</w:t>
      </w:r>
      <w:r w:rsidR="00D66A33" w:rsidRPr="00A75739">
        <w:rPr>
          <w:rFonts w:ascii="Verdana" w:hAnsi="Verdana"/>
          <w:sz w:val="20"/>
          <w:szCs w:val="20"/>
          <w:lang w:val="es-CR"/>
        </w:rPr>
        <w:t>agister</w:t>
      </w:r>
      <w:r w:rsidR="00520F63" w:rsidRPr="00A75739">
        <w:rPr>
          <w:rFonts w:ascii="Verdana" w:hAnsi="Verdana"/>
          <w:sz w:val="20"/>
          <w:szCs w:val="20"/>
          <w:lang w:val="es-CR"/>
        </w:rPr>
        <w:t xml:space="preserve"> </w:t>
      </w:r>
      <w:r w:rsidR="00D66A33" w:rsidRPr="00A75739">
        <w:rPr>
          <w:rFonts w:ascii="Verdana" w:hAnsi="Verdana"/>
          <w:sz w:val="20"/>
          <w:szCs w:val="20"/>
          <w:lang w:val="es-CR"/>
        </w:rPr>
        <w:t>e</w:t>
      </w:r>
      <w:r w:rsidR="00520F63" w:rsidRPr="00A75739">
        <w:rPr>
          <w:rFonts w:ascii="Verdana" w:hAnsi="Verdana"/>
          <w:sz w:val="20"/>
          <w:szCs w:val="20"/>
          <w:lang w:val="es-CR"/>
        </w:rPr>
        <w:t>n neuropsicología infantil</w:t>
      </w:r>
      <w:r w:rsidR="00BF2681" w:rsidRPr="00A75739">
        <w:rPr>
          <w:rFonts w:ascii="Verdana" w:hAnsi="Verdana"/>
          <w:sz w:val="20"/>
          <w:szCs w:val="20"/>
          <w:lang w:val="es-CR"/>
        </w:rPr>
        <w:t xml:space="preserve">, </w:t>
      </w:r>
      <w:r w:rsidR="003F0A61" w:rsidRPr="00A75739">
        <w:rPr>
          <w:rFonts w:ascii="Verdana" w:hAnsi="Verdana"/>
          <w:sz w:val="20"/>
          <w:szCs w:val="20"/>
          <w:lang w:val="es-CR"/>
        </w:rPr>
        <w:t>quienes</w:t>
      </w:r>
      <w:r w:rsidR="00D66A33" w:rsidRPr="00A75739">
        <w:rPr>
          <w:rFonts w:ascii="Verdana" w:hAnsi="Verdana"/>
          <w:sz w:val="20"/>
          <w:szCs w:val="20"/>
          <w:lang w:val="es-CR"/>
        </w:rPr>
        <w:t xml:space="preserve">, en forma conjunta, </w:t>
      </w:r>
      <w:r w:rsidR="003F0A61" w:rsidRPr="00A75739">
        <w:rPr>
          <w:rFonts w:ascii="Verdana" w:hAnsi="Verdana"/>
          <w:sz w:val="20"/>
          <w:szCs w:val="20"/>
          <w:lang w:val="es-CR"/>
        </w:rPr>
        <w:t>deberán declarar sobre</w:t>
      </w:r>
      <w:r w:rsidR="00D66A33" w:rsidRPr="00A75739">
        <w:rPr>
          <w:rFonts w:ascii="Verdana" w:hAnsi="Verdana"/>
          <w:sz w:val="20"/>
          <w:szCs w:val="20"/>
          <w:lang w:val="es-CR"/>
        </w:rPr>
        <w:t>:</w:t>
      </w:r>
      <w:r w:rsidR="003F0A61" w:rsidRPr="00A75739">
        <w:rPr>
          <w:rFonts w:ascii="Verdana" w:hAnsi="Verdana"/>
          <w:sz w:val="20"/>
          <w:szCs w:val="20"/>
          <w:lang w:val="es-CR"/>
        </w:rPr>
        <w:t xml:space="preserve"> los estándares y políticas de la prevención de la violencia sexual en el ámbito educativo en Ecuador (análisis desde 2000 a 2019)</w:t>
      </w:r>
      <w:r w:rsidR="00BD0C48" w:rsidRPr="00A75739">
        <w:rPr>
          <w:rFonts w:ascii="Verdana" w:hAnsi="Verdana"/>
          <w:sz w:val="20"/>
          <w:szCs w:val="20"/>
          <w:lang w:val="es-CR"/>
        </w:rPr>
        <w:t xml:space="preserve">. </w:t>
      </w:r>
    </w:p>
    <w:p w14:paraId="11AB5263" w14:textId="77777777" w:rsidR="00F24631" w:rsidRPr="00A75739" w:rsidRDefault="00F24631" w:rsidP="00A75739">
      <w:pPr>
        <w:pStyle w:val="Prrafodelista"/>
        <w:spacing w:line="216" w:lineRule="auto"/>
        <w:ind w:left="1170"/>
        <w:jc w:val="both"/>
        <w:rPr>
          <w:rFonts w:ascii="Verdana" w:hAnsi="Verdana"/>
          <w:sz w:val="20"/>
          <w:szCs w:val="20"/>
          <w:lang w:val="es-CR"/>
        </w:rPr>
      </w:pPr>
    </w:p>
    <w:p w14:paraId="7B629D6B" w14:textId="4424F2E4" w:rsidR="00D50ECE" w:rsidRPr="00A75739" w:rsidRDefault="007511F1" w:rsidP="00A75739">
      <w:pPr>
        <w:pStyle w:val="Prrafodelista"/>
        <w:numPr>
          <w:ilvl w:val="0"/>
          <w:numId w:val="17"/>
        </w:numPr>
        <w:spacing w:line="216" w:lineRule="auto"/>
        <w:jc w:val="both"/>
        <w:rPr>
          <w:rFonts w:ascii="Verdana" w:hAnsi="Verdana"/>
          <w:sz w:val="20"/>
          <w:szCs w:val="20"/>
          <w:lang w:val="es-CR"/>
        </w:rPr>
      </w:pPr>
      <w:r w:rsidRPr="00A75739">
        <w:rPr>
          <w:rFonts w:ascii="Verdana" w:hAnsi="Verdana"/>
          <w:b/>
          <w:i/>
          <w:sz w:val="20"/>
          <w:szCs w:val="20"/>
          <w:lang w:val="es-CR"/>
        </w:rPr>
        <w:t>Peri</w:t>
      </w:r>
      <w:r w:rsidR="00D50ECE" w:rsidRPr="00A75739">
        <w:rPr>
          <w:rFonts w:ascii="Verdana" w:hAnsi="Verdana"/>
          <w:b/>
          <w:i/>
          <w:sz w:val="20"/>
          <w:szCs w:val="20"/>
          <w:lang w:val="es-CR"/>
        </w:rPr>
        <w:t>ta</w:t>
      </w:r>
      <w:r w:rsidR="00B37964">
        <w:rPr>
          <w:rFonts w:ascii="Verdana" w:hAnsi="Verdana"/>
          <w:b/>
          <w:i/>
          <w:sz w:val="20"/>
          <w:szCs w:val="20"/>
          <w:lang w:val="es-CR"/>
        </w:rPr>
        <w:t>s</w:t>
      </w:r>
      <w:r w:rsidR="00D50ECE" w:rsidRPr="00A75739">
        <w:rPr>
          <w:rFonts w:ascii="Verdana" w:hAnsi="Verdana"/>
          <w:b/>
          <w:i/>
          <w:sz w:val="20"/>
          <w:szCs w:val="20"/>
          <w:lang w:val="es-CR"/>
        </w:rPr>
        <w:t xml:space="preserve"> </w:t>
      </w:r>
      <w:r w:rsidR="00B37964">
        <w:rPr>
          <w:rFonts w:ascii="Verdana" w:hAnsi="Verdana"/>
          <w:i/>
          <w:sz w:val="20"/>
          <w:szCs w:val="20"/>
          <w:lang w:val="es-CR"/>
        </w:rPr>
        <w:t>(ofrecida por la Comisión</w:t>
      </w:r>
      <w:r w:rsidR="00D50ECE" w:rsidRPr="00A75739">
        <w:rPr>
          <w:rFonts w:ascii="Verdana" w:hAnsi="Verdana"/>
          <w:i/>
          <w:sz w:val="20"/>
          <w:szCs w:val="20"/>
          <w:lang w:val="es-CR"/>
        </w:rPr>
        <w:t>)</w:t>
      </w:r>
      <w:r w:rsidRPr="00A75739">
        <w:rPr>
          <w:rFonts w:ascii="Verdana" w:hAnsi="Verdana"/>
          <w:sz w:val="20"/>
          <w:szCs w:val="20"/>
          <w:lang w:val="es-CR"/>
        </w:rPr>
        <w:t xml:space="preserve"> </w:t>
      </w:r>
    </w:p>
    <w:p w14:paraId="05DA0A44" w14:textId="77777777" w:rsidR="00D66A33" w:rsidRPr="002910C6" w:rsidRDefault="00D66A33" w:rsidP="00A75739">
      <w:pPr>
        <w:pStyle w:val="Prrafodelista"/>
        <w:spacing w:line="216" w:lineRule="auto"/>
        <w:ind w:left="810"/>
        <w:jc w:val="both"/>
        <w:rPr>
          <w:rFonts w:ascii="Verdana" w:hAnsi="Verdana"/>
          <w:sz w:val="20"/>
          <w:szCs w:val="20"/>
          <w:lang w:val="es-CR"/>
        </w:rPr>
      </w:pPr>
    </w:p>
    <w:p w14:paraId="5C928F2D" w14:textId="30F2F45F" w:rsidR="00E64CB2" w:rsidRPr="00E64CB2" w:rsidRDefault="002407F8" w:rsidP="00E64CB2">
      <w:pPr>
        <w:pStyle w:val="Prrafodelista"/>
        <w:spacing w:after="0" w:line="216" w:lineRule="auto"/>
        <w:ind w:left="810"/>
        <w:jc w:val="both"/>
        <w:rPr>
          <w:rFonts w:ascii="Verdana" w:hAnsi="Verdana"/>
          <w:sz w:val="20"/>
          <w:szCs w:val="20"/>
          <w:lang w:val="es-CR"/>
        </w:rPr>
      </w:pPr>
      <w:r>
        <w:rPr>
          <w:rFonts w:ascii="Verdana" w:hAnsi="Verdana"/>
          <w:sz w:val="20"/>
          <w:szCs w:val="20"/>
          <w:lang w:val="es-CR"/>
        </w:rPr>
        <w:t>12</w:t>
      </w:r>
      <w:r w:rsidR="000E0310">
        <w:rPr>
          <w:rFonts w:ascii="Verdana" w:hAnsi="Verdana"/>
          <w:sz w:val="20"/>
          <w:szCs w:val="20"/>
          <w:lang w:val="es-CR"/>
        </w:rPr>
        <w:t>.</w:t>
      </w:r>
      <w:r w:rsidR="00D66A33" w:rsidRPr="002910C6">
        <w:rPr>
          <w:rFonts w:ascii="Verdana" w:hAnsi="Verdana"/>
          <w:sz w:val="20"/>
          <w:szCs w:val="20"/>
          <w:lang w:val="es-CR"/>
        </w:rPr>
        <w:t>-</w:t>
      </w:r>
      <w:r w:rsidR="007511F1" w:rsidRPr="00A75739">
        <w:rPr>
          <w:rFonts w:ascii="Verdana" w:hAnsi="Verdana"/>
          <w:i/>
          <w:sz w:val="20"/>
          <w:szCs w:val="20"/>
          <w:lang w:val="es-CR"/>
        </w:rPr>
        <w:t xml:space="preserve">Patricia </w:t>
      </w:r>
      <w:proofErr w:type="spellStart"/>
      <w:r w:rsidR="007511F1" w:rsidRPr="00A75739">
        <w:rPr>
          <w:rFonts w:ascii="Verdana" w:hAnsi="Verdana"/>
          <w:i/>
          <w:sz w:val="20"/>
          <w:szCs w:val="20"/>
          <w:lang w:val="es-CR"/>
        </w:rPr>
        <w:t>Viseur</w:t>
      </w:r>
      <w:proofErr w:type="spellEnd"/>
      <w:r w:rsidR="007511F1" w:rsidRPr="00A75739">
        <w:rPr>
          <w:rFonts w:ascii="Verdana" w:hAnsi="Verdana"/>
          <w:i/>
          <w:sz w:val="20"/>
          <w:szCs w:val="20"/>
          <w:lang w:val="es-CR"/>
        </w:rPr>
        <w:t xml:space="preserve"> Sellers</w:t>
      </w:r>
      <w:r w:rsidR="00AB5035" w:rsidRPr="00A75739">
        <w:rPr>
          <w:rFonts w:ascii="Verdana" w:hAnsi="Verdana"/>
          <w:sz w:val="20"/>
          <w:szCs w:val="20"/>
          <w:lang w:val="es-CR"/>
        </w:rPr>
        <w:t>, Asesora principal de la fiscalía para asuntos de género en la Corte Penal Internacional</w:t>
      </w:r>
      <w:r w:rsidR="007511F1" w:rsidRPr="00A75739">
        <w:rPr>
          <w:rFonts w:ascii="Verdana" w:hAnsi="Verdana"/>
          <w:sz w:val="20"/>
          <w:szCs w:val="20"/>
          <w:lang w:val="es-CR"/>
        </w:rPr>
        <w:t>, quien deberá pronunciarse sobre</w:t>
      </w:r>
      <w:r w:rsidR="00AB6AAF" w:rsidRPr="00A75739">
        <w:rPr>
          <w:rFonts w:ascii="Verdana" w:hAnsi="Verdana"/>
          <w:sz w:val="20"/>
          <w:szCs w:val="20"/>
          <w:lang w:val="es-CR"/>
        </w:rPr>
        <w:t>: 1)</w:t>
      </w:r>
      <w:r w:rsidR="0068252D" w:rsidRPr="00A75739">
        <w:rPr>
          <w:rFonts w:ascii="Verdana" w:hAnsi="Verdana"/>
          <w:sz w:val="20"/>
          <w:szCs w:val="20"/>
          <w:lang w:val="es-CR"/>
        </w:rPr>
        <w:t xml:space="preserve"> el deber de investigar con debida diligencia casos de violencia contra la mujer, especialmente violencia sexual, particularmente en niñas</w:t>
      </w:r>
      <w:r w:rsidR="00D66A33" w:rsidRPr="002910C6">
        <w:rPr>
          <w:rFonts w:ascii="Verdana" w:hAnsi="Verdana"/>
          <w:sz w:val="20"/>
          <w:szCs w:val="20"/>
          <w:lang w:val="es-CR"/>
        </w:rPr>
        <w:t>, y 2</w:t>
      </w:r>
      <w:r w:rsidR="00AB6AAF" w:rsidRPr="00A75739">
        <w:rPr>
          <w:rFonts w:ascii="Verdana" w:hAnsi="Verdana"/>
          <w:sz w:val="20"/>
          <w:szCs w:val="20"/>
          <w:lang w:val="es-CR"/>
        </w:rPr>
        <w:t xml:space="preserve">) </w:t>
      </w:r>
      <w:r w:rsidR="0068252D" w:rsidRPr="00A75739">
        <w:rPr>
          <w:rFonts w:ascii="Verdana" w:hAnsi="Verdana"/>
          <w:sz w:val="20"/>
          <w:szCs w:val="20"/>
          <w:lang w:val="es-CR"/>
        </w:rPr>
        <w:t>la vigencia de prácticas discriminatorias y estereotipadas y su posible influencia sobre el cumplimiento del deber de investigar con debida diligencia</w:t>
      </w:r>
      <w:r w:rsidR="00E64CB2">
        <w:rPr>
          <w:rFonts w:ascii="Verdana" w:hAnsi="Verdana"/>
          <w:sz w:val="20"/>
          <w:szCs w:val="20"/>
          <w:lang w:val="es-CR"/>
        </w:rPr>
        <w:t xml:space="preserve">, 3) </w:t>
      </w:r>
      <w:r w:rsidR="00E64CB2" w:rsidRPr="00E64CB2">
        <w:rPr>
          <w:rFonts w:ascii="Verdana" w:hAnsi="Verdana"/>
          <w:sz w:val="20"/>
          <w:szCs w:val="20"/>
          <w:lang w:val="es-CR"/>
        </w:rPr>
        <w:t>los procesos penales, civiles y administrativos iniciados en el caso a la luz de los estándares desarrollados en el peritaje</w:t>
      </w:r>
      <w:r w:rsidR="00E64CB2">
        <w:rPr>
          <w:rFonts w:ascii="Verdana" w:hAnsi="Verdana"/>
          <w:sz w:val="20"/>
          <w:szCs w:val="20"/>
          <w:lang w:val="es-CR"/>
        </w:rPr>
        <w:t>.</w:t>
      </w:r>
    </w:p>
    <w:p w14:paraId="1138DBCF" w14:textId="77777777" w:rsidR="00E64CB2" w:rsidRDefault="00E64CB2" w:rsidP="00BF3A44">
      <w:pPr>
        <w:pStyle w:val="Prrafodelista"/>
        <w:spacing w:after="0" w:line="216" w:lineRule="auto"/>
        <w:ind w:left="810"/>
        <w:jc w:val="both"/>
        <w:rPr>
          <w:rFonts w:ascii="Verdana" w:hAnsi="Verdana"/>
          <w:sz w:val="20"/>
          <w:szCs w:val="20"/>
          <w:lang w:val="es-CR"/>
        </w:rPr>
      </w:pPr>
    </w:p>
    <w:p w14:paraId="33245421" w14:textId="688079FD" w:rsidR="00B37964" w:rsidRPr="00A75739" w:rsidRDefault="002407F8" w:rsidP="002407F8">
      <w:pPr>
        <w:pStyle w:val="Prrafodelista"/>
        <w:autoSpaceDE w:val="0"/>
        <w:autoSpaceDN w:val="0"/>
        <w:adjustRightInd w:val="0"/>
        <w:spacing w:after="0" w:line="216" w:lineRule="auto"/>
        <w:ind w:left="851"/>
        <w:jc w:val="both"/>
        <w:rPr>
          <w:rFonts w:ascii="Verdana" w:hAnsi="Verdana"/>
          <w:sz w:val="20"/>
          <w:szCs w:val="20"/>
          <w:lang w:val="es-CR"/>
        </w:rPr>
      </w:pPr>
      <w:r>
        <w:rPr>
          <w:rFonts w:ascii="Verdana" w:hAnsi="Verdana"/>
          <w:sz w:val="20"/>
          <w:szCs w:val="20"/>
          <w:lang w:val="es-CR"/>
        </w:rPr>
        <w:t>1</w:t>
      </w:r>
      <w:r w:rsidR="00B37964" w:rsidRPr="00A75739">
        <w:rPr>
          <w:rFonts w:ascii="Verdana" w:hAnsi="Verdana"/>
          <w:sz w:val="20"/>
          <w:szCs w:val="20"/>
          <w:lang w:val="es-CR"/>
        </w:rPr>
        <w:t xml:space="preserve">3.- </w:t>
      </w:r>
      <w:r w:rsidR="00B37964" w:rsidRPr="00A75739">
        <w:rPr>
          <w:rFonts w:ascii="Verdana" w:hAnsi="Verdana"/>
          <w:i/>
          <w:sz w:val="20"/>
          <w:szCs w:val="20"/>
          <w:lang w:val="es-CR"/>
        </w:rPr>
        <w:t xml:space="preserve">Ximena Andrea </w:t>
      </w:r>
      <w:proofErr w:type="spellStart"/>
      <w:r w:rsidR="00B37964" w:rsidRPr="00A75739">
        <w:rPr>
          <w:rFonts w:ascii="Verdana" w:hAnsi="Verdana"/>
          <w:i/>
          <w:sz w:val="20"/>
          <w:szCs w:val="20"/>
          <w:lang w:val="es-CR"/>
        </w:rPr>
        <w:t>Gauché</w:t>
      </w:r>
      <w:proofErr w:type="spellEnd"/>
      <w:r w:rsidR="00B37964" w:rsidRPr="00A75739">
        <w:rPr>
          <w:rFonts w:ascii="Verdana" w:hAnsi="Verdana"/>
          <w:i/>
          <w:sz w:val="20"/>
          <w:szCs w:val="20"/>
          <w:lang w:val="es-CR"/>
        </w:rPr>
        <w:t xml:space="preserve"> Marchetti</w:t>
      </w:r>
      <w:r w:rsidR="00B37964" w:rsidRPr="00A75739">
        <w:rPr>
          <w:rFonts w:ascii="Verdana" w:hAnsi="Verdana"/>
          <w:sz w:val="20"/>
          <w:szCs w:val="20"/>
          <w:lang w:val="es-CR"/>
        </w:rPr>
        <w:t xml:space="preserve">, </w:t>
      </w:r>
      <w:r w:rsidR="00B37964">
        <w:rPr>
          <w:rFonts w:ascii="Verdana" w:hAnsi="Verdana"/>
          <w:sz w:val="20"/>
          <w:szCs w:val="20"/>
          <w:lang w:val="es-CR"/>
        </w:rPr>
        <w:t>Doctora en derecho</w:t>
      </w:r>
      <w:r w:rsidR="00B37964" w:rsidRPr="00A75739">
        <w:rPr>
          <w:rFonts w:ascii="Verdana" w:hAnsi="Verdana"/>
          <w:sz w:val="20"/>
          <w:szCs w:val="20"/>
          <w:lang w:val="es-CR"/>
        </w:rPr>
        <w:t>, quien se referirá a: 1) los estándares de regulación y fiscalización de los planteles escolares por parte del Estado</w:t>
      </w:r>
      <w:r w:rsidR="00B37964">
        <w:rPr>
          <w:rFonts w:ascii="Verdana" w:hAnsi="Verdana"/>
          <w:sz w:val="20"/>
          <w:szCs w:val="20"/>
          <w:lang w:val="es-CR"/>
        </w:rPr>
        <w:t>;</w:t>
      </w:r>
      <w:r w:rsidR="00B37964" w:rsidRPr="00A75739">
        <w:rPr>
          <w:rFonts w:ascii="Verdana" w:hAnsi="Verdana"/>
          <w:sz w:val="20"/>
          <w:szCs w:val="20"/>
          <w:lang w:val="es-CR"/>
        </w:rPr>
        <w:t xml:space="preserve"> 2) los estándares para prevenir, erradicar y sancionar la violencia sexual, incluyendo el acoso sexual en el ámbito escolar</w:t>
      </w:r>
      <w:r w:rsidR="00B37964">
        <w:rPr>
          <w:rFonts w:ascii="Verdana" w:hAnsi="Verdana"/>
          <w:sz w:val="20"/>
          <w:szCs w:val="20"/>
          <w:lang w:val="es-CR"/>
        </w:rPr>
        <w:t>, y 3) los hechos del caso a partir de los estándares expuestos en su peritaje</w:t>
      </w:r>
      <w:r w:rsidR="00B37964" w:rsidRPr="00A75739">
        <w:rPr>
          <w:rFonts w:ascii="Verdana" w:hAnsi="Verdana"/>
          <w:sz w:val="20"/>
          <w:szCs w:val="20"/>
          <w:lang w:val="es-CR"/>
        </w:rPr>
        <w:t xml:space="preserve">. </w:t>
      </w:r>
    </w:p>
    <w:p w14:paraId="21CD46E7" w14:textId="77777777" w:rsidR="00BF3A44" w:rsidRPr="00A75739" w:rsidRDefault="00BF3A44" w:rsidP="00BF3A44">
      <w:pPr>
        <w:pStyle w:val="Prrafodelista"/>
        <w:spacing w:after="0" w:line="216" w:lineRule="auto"/>
        <w:ind w:left="810"/>
        <w:jc w:val="both"/>
        <w:rPr>
          <w:rFonts w:ascii="Verdana" w:hAnsi="Verdana"/>
          <w:sz w:val="20"/>
          <w:szCs w:val="20"/>
          <w:lang w:val="es-CR"/>
        </w:rPr>
      </w:pPr>
    </w:p>
    <w:p w14:paraId="0017691B" w14:textId="34C3DC1A" w:rsidR="00D66A33" w:rsidRPr="002910C6" w:rsidRDefault="00EC5350" w:rsidP="00BF3A44">
      <w:pPr>
        <w:spacing w:after="0" w:line="216" w:lineRule="auto"/>
        <w:jc w:val="both"/>
        <w:rPr>
          <w:rFonts w:ascii="Verdana" w:hAnsi="Verdana"/>
          <w:sz w:val="20"/>
          <w:szCs w:val="20"/>
          <w:lang w:val="es-CR"/>
        </w:rPr>
      </w:pPr>
      <w:r w:rsidRPr="002910C6">
        <w:rPr>
          <w:rFonts w:ascii="Verdana" w:hAnsi="Verdana"/>
          <w:sz w:val="20"/>
          <w:szCs w:val="20"/>
          <w:lang w:val="es-CR"/>
        </w:rPr>
        <w:t>3. Requerir al Estado</w:t>
      </w:r>
      <w:r w:rsidR="002407F8">
        <w:rPr>
          <w:rFonts w:ascii="Verdana" w:hAnsi="Verdana"/>
          <w:sz w:val="20"/>
          <w:szCs w:val="20"/>
          <w:lang w:val="es-CR"/>
        </w:rPr>
        <w:t>, a las representantes</w:t>
      </w:r>
      <w:r w:rsidRPr="002910C6">
        <w:rPr>
          <w:rFonts w:ascii="Verdana" w:hAnsi="Verdana"/>
          <w:sz w:val="20"/>
          <w:szCs w:val="20"/>
          <w:lang w:val="es-CR"/>
        </w:rPr>
        <w:t xml:space="preserve"> y a la Comisión que notifiquen la presente Resolución a las personas que han sido convocadas a rendir declaración, de conformidad con lo dispuesto en los artículos 50.2 y 50.4 del Reglamento. </w:t>
      </w:r>
      <w:r w:rsidR="00D66A33" w:rsidRPr="002910C6">
        <w:rPr>
          <w:rFonts w:ascii="Verdana" w:hAnsi="Verdana"/>
          <w:sz w:val="20"/>
          <w:szCs w:val="20"/>
          <w:lang w:val="es-CR"/>
        </w:rPr>
        <w:t xml:space="preserve">En el caso que la perita y el perito convocados a declarar durante la audiencia deseen presentar una versión escrita de sus peritajes, deberá presentarla a la Corte a más tardar el </w:t>
      </w:r>
      <w:r w:rsidR="00E64CB2">
        <w:rPr>
          <w:rFonts w:ascii="Verdana" w:hAnsi="Verdana"/>
          <w:sz w:val="20"/>
          <w:szCs w:val="20"/>
          <w:lang w:val="es-CR"/>
        </w:rPr>
        <w:t>10 de enero de 2020.</w:t>
      </w:r>
    </w:p>
    <w:p w14:paraId="58E39919" w14:textId="77777777" w:rsidR="00BF3A44" w:rsidRDefault="00BF3A44" w:rsidP="00BF3A44">
      <w:pPr>
        <w:spacing w:after="0" w:line="216" w:lineRule="auto"/>
        <w:jc w:val="both"/>
        <w:rPr>
          <w:rFonts w:ascii="Verdana" w:hAnsi="Verdana"/>
          <w:sz w:val="20"/>
          <w:szCs w:val="20"/>
          <w:lang w:val="es-CR"/>
        </w:rPr>
      </w:pPr>
    </w:p>
    <w:p w14:paraId="5CF28451" w14:textId="6B4EB5AE" w:rsidR="00FD1720" w:rsidRPr="002910C6" w:rsidRDefault="00EC5350" w:rsidP="00BF3A44">
      <w:pPr>
        <w:spacing w:after="0" w:line="216" w:lineRule="auto"/>
        <w:jc w:val="both"/>
        <w:rPr>
          <w:rFonts w:ascii="Verdana" w:hAnsi="Verdana"/>
          <w:sz w:val="20"/>
          <w:szCs w:val="20"/>
          <w:lang w:val="es-CR"/>
        </w:rPr>
      </w:pPr>
      <w:r w:rsidRPr="002910C6">
        <w:rPr>
          <w:rFonts w:ascii="Verdana" w:hAnsi="Verdana"/>
          <w:sz w:val="20"/>
          <w:szCs w:val="20"/>
          <w:lang w:val="es-CR"/>
        </w:rPr>
        <w:t>4. Requerir al Estado</w:t>
      </w:r>
      <w:r w:rsidR="00B37964">
        <w:rPr>
          <w:rFonts w:ascii="Verdana" w:hAnsi="Verdana"/>
          <w:sz w:val="20"/>
          <w:szCs w:val="20"/>
          <w:lang w:val="es-CR"/>
        </w:rPr>
        <w:t xml:space="preserve"> y </w:t>
      </w:r>
      <w:r w:rsidRPr="002910C6">
        <w:rPr>
          <w:rFonts w:ascii="Verdana" w:hAnsi="Verdana"/>
          <w:sz w:val="20"/>
          <w:szCs w:val="20"/>
          <w:lang w:val="es-CR"/>
        </w:rPr>
        <w:t>a l</w:t>
      </w:r>
      <w:r w:rsidR="00B37964">
        <w:rPr>
          <w:rFonts w:ascii="Verdana" w:hAnsi="Verdana"/>
          <w:sz w:val="20"/>
          <w:szCs w:val="20"/>
          <w:lang w:val="es-CR"/>
        </w:rPr>
        <w:t>a</w:t>
      </w:r>
      <w:r w:rsidRPr="002910C6">
        <w:rPr>
          <w:rFonts w:ascii="Verdana" w:hAnsi="Verdana"/>
          <w:sz w:val="20"/>
          <w:szCs w:val="20"/>
          <w:lang w:val="es-CR"/>
        </w:rPr>
        <w:t>s representantes</w:t>
      </w:r>
      <w:r w:rsidR="00B37964">
        <w:rPr>
          <w:rFonts w:ascii="Verdana" w:hAnsi="Verdana"/>
          <w:sz w:val="20"/>
          <w:szCs w:val="20"/>
          <w:lang w:val="es-CR"/>
        </w:rPr>
        <w:t xml:space="preserve"> </w:t>
      </w:r>
      <w:r w:rsidRPr="002910C6">
        <w:rPr>
          <w:rFonts w:ascii="Verdana" w:hAnsi="Verdana"/>
          <w:sz w:val="20"/>
          <w:szCs w:val="20"/>
          <w:lang w:val="es-CR"/>
        </w:rPr>
        <w:t xml:space="preserve">que, de considerarlo pertinente, en lo que les corresponda, en el plazo improrrogable que vence el </w:t>
      </w:r>
      <w:r w:rsidR="00E64CB2">
        <w:rPr>
          <w:rFonts w:ascii="Verdana" w:hAnsi="Verdana"/>
          <w:sz w:val="20"/>
          <w:szCs w:val="20"/>
          <w:lang w:val="es-CR"/>
        </w:rPr>
        <w:t xml:space="preserve">18 de diciembre de </w:t>
      </w:r>
      <w:proofErr w:type="gramStart"/>
      <w:r w:rsidR="00E64CB2">
        <w:rPr>
          <w:rFonts w:ascii="Verdana" w:hAnsi="Verdana"/>
          <w:sz w:val="20"/>
          <w:szCs w:val="20"/>
          <w:lang w:val="es-CR"/>
        </w:rPr>
        <w:t>2019</w:t>
      </w:r>
      <w:r w:rsidR="00351BF9" w:rsidRPr="002910C6">
        <w:rPr>
          <w:rFonts w:ascii="Verdana" w:hAnsi="Verdana"/>
          <w:sz w:val="20"/>
          <w:szCs w:val="20"/>
          <w:lang w:val="es-CR"/>
        </w:rPr>
        <w:t xml:space="preserve">, </w:t>
      </w:r>
      <w:r w:rsidRPr="002910C6">
        <w:rPr>
          <w:rFonts w:ascii="Verdana" w:hAnsi="Verdana"/>
          <w:sz w:val="20"/>
          <w:szCs w:val="20"/>
          <w:lang w:val="es-CR"/>
        </w:rPr>
        <w:t xml:space="preserve"> presenten</w:t>
      </w:r>
      <w:proofErr w:type="gramEnd"/>
      <w:r w:rsidRPr="002910C6">
        <w:rPr>
          <w:rFonts w:ascii="Verdana" w:hAnsi="Verdana"/>
          <w:sz w:val="20"/>
          <w:szCs w:val="20"/>
          <w:lang w:val="es-CR"/>
        </w:rPr>
        <w:t xml:space="preserve"> las preguntas que estimen</w:t>
      </w:r>
      <w:r w:rsidR="00D66A33" w:rsidRPr="002910C6">
        <w:rPr>
          <w:rFonts w:ascii="Verdana" w:hAnsi="Verdana"/>
          <w:sz w:val="20"/>
          <w:szCs w:val="20"/>
          <w:lang w:val="es-CR"/>
        </w:rPr>
        <w:t xml:space="preserve"> </w:t>
      </w:r>
      <w:r w:rsidRPr="002910C6">
        <w:rPr>
          <w:rFonts w:ascii="Verdana" w:hAnsi="Verdana"/>
          <w:sz w:val="20"/>
          <w:szCs w:val="20"/>
          <w:lang w:val="es-CR"/>
        </w:rPr>
        <w:t>formular a través de la Corte Interamericana a l</w:t>
      </w:r>
      <w:r w:rsidR="00D66A33" w:rsidRPr="002910C6">
        <w:rPr>
          <w:rFonts w:ascii="Verdana" w:hAnsi="Verdana"/>
          <w:sz w:val="20"/>
          <w:szCs w:val="20"/>
          <w:lang w:val="es-CR"/>
        </w:rPr>
        <w:t>as personas declarantes ofrecidas por la contraparte</w:t>
      </w:r>
      <w:r w:rsidRPr="002910C6">
        <w:rPr>
          <w:rFonts w:ascii="Verdana" w:hAnsi="Verdana"/>
          <w:sz w:val="20"/>
          <w:szCs w:val="20"/>
          <w:lang w:val="es-CR"/>
        </w:rPr>
        <w:t xml:space="preserve"> referid</w:t>
      </w:r>
      <w:r w:rsidR="00D66A33" w:rsidRPr="002910C6">
        <w:rPr>
          <w:rFonts w:ascii="Verdana" w:hAnsi="Verdana"/>
          <w:sz w:val="20"/>
          <w:szCs w:val="20"/>
          <w:lang w:val="es-CR"/>
        </w:rPr>
        <w:t>a</w:t>
      </w:r>
      <w:r w:rsidRPr="002910C6">
        <w:rPr>
          <w:rFonts w:ascii="Verdana" w:hAnsi="Verdana"/>
          <w:sz w:val="20"/>
          <w:szCs w:val="20"/>
          <w:lang w:val="es-CR"/>
        </w:rPr>
        <w:t xml:space="preserve">s en el punto </w:t>
      </w:r>
      <w:r w:rsidRPr="00E64CB2">
        <w:rPr>
          <w:rFonts w:ascii="Verdana" w:hAnsi="Verdana"/>
          <w:sz w:val="20"/>
          <w:szCs w:val="20"/>
          <w:lang w:val="es-CR"/>
        </w:rPr>
        <w:t>resolutivo 2.</w:t>
      </w:r>
      <w:r w:rsidRPr="002910C6">
        <w:rPr>
          <w:rFonts w:ascii="Verdana" w:hAnsi="Verdana"/>
          <w:sz w:val="20"/>
          <w:szCs w:val="20"/>
          <w:lang w:val="es-CR"/>
        </w:rPr>
        <w:t xml:space="preserve"> </w:t>
      </w:r>
      <w:r w:rsidR="00D66A33" w:rsidRPr="002910C6">
        <w:rPr>
          <w:rFonts w:ascii="Verdana" w:hAnsi="Verdana"/>
          <w:sz w:val="20"/>
          <w:szCs w:val="20"/>
          <w:lang w:val="es-CR"/>
        </w:rPr>
        <w:t xml:space="preserve">En el mismo plazo, la Comisión podrá presentar las preguntas que estime pertinentes respecto al peritaje de la señora Lidia Casas. </w:t>
      </w:r>
      <w:r w:rsidRPr="002910C6">
        <w:rPr>
          <w:rFonts w:ascii="Verdana" w:hAnsi="Verdana"/>
          <w:sz w:val="20"/>
          <w:szCs w:val="20"/>
          <w:lang w:val="es-CR"/>
        </w:rPr>
        <w:t>Las declaraciones requeridas en el punto resolutivo 2 deberán ser presentad</w:t>
      </w:r>
      <w:r w:rsidR="00D66A33" w:rsidRPr="002910C6">
        <w:rPr>
          <w:rFonts w:ascii="Verdana" w:hAnsi="Verdana"/>
          <w:sz w:val="20"/>
          <w:szCs w:val="20"/>
          <w:lang w:val="es-CR"/>
        </w:rPr>
        <w:t>a</w:t>
      </w:r>
      <w:r w:rsidRPr="002910C6">
        <w:rPr>
          <w:rFonts w:ascii="Verdana" w:hAnsi="Verdana"/>
          <w:sz w:val="20"/>
          <w:szCs w:val="20"/>
          <w:lang w:val="es-CR"/>
        </w:rPr>
        <w:t xml:space="preserve">s a más tardar el </w:t>
      </w:r>
      <w:r w:rsidR="00E64CB2">
        <w:rPr>
          <w:rFonts w:ascii="Verdana" w:hAnsi="Verdana"/>
          <w:sz w:val="20"/>
          <w:szCs w:val="20"/>
          <w:lang w:val="es-CR"/>
        </w:rPr>
        <w:t>10 de enero de 2020</w:t>
      </w:r>
      <w:r w:rsidRPr="002910C6">
        <w:rPr>
          <w:rFonts w:ascii="Verdana" w:hAnsi="Verdana"/>
          <w:sz w:val="20"/>
          <w:szCs w:val="20"/>
          <w:lang w:val="es-CR"/>
        </w:rPr>
        <w:t xml:space="preserve">. </w:t>
      </w:r>
    </w:p>
    <w:p w14:paraId="5CE812AE" w14:textId="77777777" w:rsidR="00BF3A44" w:rsidRDefault="00BF3A44" w:rsidP="00BF3A44">
      <w:pPr>
        <w:spacing w:after="0" w:line="216" w:lineRule="auto"/>
        <w:jc w:val="both"/>
        <w:rPr>
          <w:rFonts w:ascii="Verdana" w:hAnsi="Verdana"/>
          <w:sz w:val="20"/>
          <w:szCs w:val="20"/>
          <w:lang w:val="es-CR"/>
        </w:rPr>
      </w:pPr>
    </w:p>
    <w:p w14:paraId="5ECB0319" w14:textId="4CE6D949" w:rsidR="00FD1720" w:rsidRPr="002910C6" w:rsidRDefault="002407F8" w:rsidP="00BF3A44">
      <w:pPr>
        <w:spacing w:after="0" w:line="216" w:lineRule="auto"/>
        <w:jc w:val="both"/>
        <w:rPr>
          <w:rFonts w:ascii="Verdana" w:hAnsi="Verdana"/>
          <w:sz w:val="20"/>
          <w:szCs w:val="20"/>
          <w:lang w:val="es-CR"/>
        </w:rPr>
      </w:pPr>
      <w:r>
        <w:rPr>
          <w:rFonts w:ascii="Verdana" w:hAnsi="Verdana"/>
          <w:sz w:val="20"/>
          <w:szCs w:val="20"/>
          <w:lang w:val="es-CR"/>
        </w:rPr>
        <w:t>5. Requerir a la</w:t>
      </w:r>
      <w:r w:rsidR="00EC5350" w:rsidRPr="002910C6">
        <w:rPr>
          <w:rFonts w:ascii="Verdana" w:hAnsi="Verdana"/>
          <w:sz w:val="20"/>
          <w:szCs w:val="20"/>
          <w:lang w:val="es-CR"/>
        </w:rPr>
        <w:t>s representantes</w:t>
      </w:r>
      <w:r>
        <w:rPr>
          <w:rFonts w:ascii="Verdana" w:hAnsi="Verdana"/>
          <w:sz w:val="20"/>
          <w:szCs w:val="20"/>
          <w:lang w:val="es-CR"/>
        </w:rPr>
        <w:t>,</w:t>
      </w:r>
      <w:r w:rsidR="00EC5350" w:rsidRPr="002910C6">
        <w:rPr>
          <w:rFonts w:ascii="Verdana" w:hAnsi="Verdana"/>
          <w:sz w:val="20"/>
          <w:szCs w:val="20"/>
          <w:lang w:val="es-CR"/>
        </w:rPr>
        <w:t xml:space="preserve"> al Estado </w:t>
      </w:r>
      <w:r>
        <w:rPr>
          <w:rFonts w:ascii="Verdana" w:hAnsi="Verdana"/>
          <w:sz w:val="20"/>
          <w:szCs w:val="20"/>
          <w:lang w:val="es-CR"/>
        </w:rPr>
        <w:t xml:space="preserve">y a la Comisión </w:t>
      </w:r>
      <w:r w:rsidR="00EC5350" w:rsidRPr="002910C6">
        <w:rPr>
          <w:rFonts w:ascii="Verdana" w:hAnsi="Verdana"/>
          <w:sz w:val="20"/>
          <w:szCs w:val="20"/>
          <w:lang w:val="es-CR"/>
        </w:rPr>
        <w:t xml:space="preserve">que coordinen y realicen las diligencias necesarias para que, una vez recibidas las preguntas, si las hubiere, los declarantes propuestos incluyan las respuestas respectivas en sus declaraciones rendidas ante fedatario público, de conformidad con los puntos resolutivos </w:t>
      </w:r>
      <w:r w:rsidR="00EC5350" w:rsidRPr="00E64CB2">
        <w:rPr>
          <w:rFonts w:ascii="Verdana" w:hAnsi="Verdana"/>
          <w:sz w:val="20"/>
          <w:szCs w:val="20"/>
          <w:lang w:val="es-CR"/>
        </w:rPr>
        <w:t>2 y 4</w:t>
      </w:r>
      <w:r w:rsidR="00EC5350" w:rsidRPr="002910C6">
        <w:rPr>
          <w:rFonts w:ascii="Verdana" w:hAnsi="Verdana"/>
          <w:sz w:val="20"/>
          <w:szCs w:val="20"/>
          <w:lang w:val="es-CR"/>
        </w:rPr>
        <w:t xml:space="preserve"> de la presente Resolución. </w:t>
      </w:r>
    </w:p>
    <w:p w14:paraId="20BE1FEC" w14:textId="77777777" w:rsidR="00BF3A44" w:rsidRDefault="00BF3A44" w:rsidP="00BF3A44">
      <w:pPr>
        <w:spacing w:after="0" w:line="216" w:lineRule="auto"/>
        <w:jc w:val="both"/>
        <w:rPr>
          <w:rFonts w:ascii="Verdana" w:hAnsi="Verdana"/>
          <w:sz w:val="20"/>
          <w:szCs w:val="20"/>
          <w:lang w:val="es-CR"/>
        </w:rPr>
      </w:pPr>
    </w:p>
    <w:p w14:paraId="2D42B099" w14:textId="77777777" w:rsidR="00FD1720" w:rsidRPr="002910C6" w:rsidRDefault="00EC5350" w:rsidP="00BF3A44">
      <w:pPr>
        <w:spacing w:after="0" w:line="216" w:lineRule="auto"/>
        <w:jc w:val="both"/>
        <w:rPr>
          <w:rFonts w:ascii="Verdana" w:hAnsi="Verdana"/>
          <w:sz w:val="20"/>
          <w:szCs w:val="20"/>
          <w:lang w:val="es-CR"/>
        </w:rPr>
      </w:pPr>
      <w:r w:rsidRPr="002910C6">
        <w:rPr>
          <w:rFonts w:ascii="Verdana" w:hAnsi="Verdana"/>
          <w:sz w:val="20"/>
          <w:szCs w:val="20"/>
          <w:lang w:val="es-CR"/>
        </w:rPr>
        <w:t xml:space="preserve">6. Disponer que, una vez recibidas las declaraciones y peritajes requeridos en el punto resolutivo 2, la Secretaría de la Corte los transmita a los representantes, a la Comisión y al Estado para que, si lo estiman necesario y en los que les corresponda, presenten sus observaciones a dichas declaraciones y peritajes, a más tardar con sus alegatos u observaciones finales escritos. </w:t>
      </w:r>
    </w:p>
    <w:p w14:paraId="74BC8FAC" w14:textId="77777777" w:rsidR="00BF3A44" w:rsidRDefault="00BF3A44" w:rsidP="00BF3A44">
      <w:pPr>
        <w:spacing w:after="0" w:line="216" w:lineRule="auto"/>
        <w:jc w:val="both"/>
        <w:rPr>
          <w:rFonts w:ascii="Verdana" w:hAnsi="Verdana"/>
          <w:sz w:val="20"/>
          <w:szCs w:val="20"/>
          <w:lang w:val="es-CR"/>
        </w:rPr>
      </w:pPr>
    </w:p>
    <w:p w14:paraId="589FA22F" w14:textId="200BD515" w:rsidR="00FD1720" w:rsidRPr="002910C6" w:rsidRDefault="0032722F" w:rsidP="00BF3A44">
      <w:pPr>
        <w:spacing w:after="0" w:line="216" w:lineRule="auto"/>
        <w:jc w:val="both"/>
        <w:rPr>
          <w:rFonts w:ascii="Verdana" w:hAnsi="Verdana"/>
          <w:sz w:val="20"/>
          <w:szCs w:val="20"/>
          <w:lang w:val="es-CR"/>
        </w:rPr>
      </w:pPr>
      <w:r w:rsidRPr="002910C6">
        <w:rPr>
          <w:rFonts w:ascii="Verdana" w:hAnsi="Verdana"/>
          <w:sz w:val="20"/>
          <w:szCs w:val="20"/>
          <w:lang w:val="es-CR"/>
        </w:rPr>
        <w:t>7</w:t>
      </w:r>
      <w:r w:rsidR="00EC5350" w:rsidRPr="002910C6">
        <w:rPr>
          <w:rFonts w:ascii="Verdana" w:hAnsi="Verdana"/>
          <w:sz w:val="20"/>
          <w:szCs w:val="20"/>
          <w:lang w:val="es-CR"/>
        </w:rPr>
        <w:t xml:space="preserve">. Informar a las partes y a la Comisión que deben cubrir los gastos que ocasione la aportación o rendición de la prueba propuesta, de conformidad con lo dispuesto en el artículo 60 del Reglamento. </w:t>
      </w:r>
    </w:p>
    <w:p w14:paraId="154BBC74" w14:textId="77777777" w:rsidR="00BF3A44" w:rsidRDefault="00BF3A44" w:rsidP="00BF3A44">
      <w:pPr>
        <w:spacing w:after="0" w:line="216" w:lineRule="auto"/>
        <w:jc w:val="both"/>
        <w:rPr>
          <w:rFonts w:ascii="Verdana" w:hAnsi="Verdana"/>
          <w:sz w:val="20"/>
          <w:szCs w:val="20"/>
          <w:lang w:val="es-CR"/>
        </w:rPr>
      </w:pPr>
    </w:p>
    <w:p w14:paraId="7F1DDD2E" w14:textId="0925613E" w:rsidR="00FD1720" w:rsidRPr="002910C6" w:rsidRDefault="0032722F" w:rsidP="00BF3A44">
      <w:pPr>
        <w:spacing w:after="0" w:line="216" w:lineRule="auto"/>
        <w:jc w:val="both"/>
        <w:rPr>
          <w:rFonts w:ascii="Verdana" w:hAnsi="Verdana"/>
          <w:sz w:val="20"/>
          <w:szCs w:val="20"/>
          <w:lang w:val="es-CR"/>
        </w:rPr>
      </w:pPr>
      <w:r w:rsidRPr="002910C6">
        <w:rPr>
          <w:rFonts w:ascii="Verdana" w:hAnsi="Verdana"/>
          <w:sz w:val="20"/>
          <w:szCs w:val="20"/>
          <w:lang w:val="es-CR"/>
        </w:rPr>
        <w:t>8</w:t>
      </w:r>
      <w:r w:rsidR="002407F8">
        <w:rPr>
          <w:rFonts w:ascii="Verdana" w:hAnsi="Verdana"/>
          <w:sz w:val="20"/>
          <w:szCs w:val="20"/>
          <w:lang w:val="es-CR"/>
        </w:rPr>
        <w:t>. Requerir a la</w:t>
      </w:r>
      <w:r w:rsidR="00EC5350" w:rsidRPr="002910C6">
        <w:rPr>
          <w:rFonts w:ascii="Verdana" w:hAnsi="Verdana"/>
          <w:sz w:val="20"/>
          <w:szCs w:val="20"/>
          <w:lang w:val="es-CR"/>
        </w:rPr>
        <w:t xml:space="preserve">s representantes y a la Comisión que informen a las personas convocadas para declarar que, según lo dispuesto en el artículo 54 del Reglamento, el Tribunal pondrá en conocimiento del Estado los casos en que las personas requeridas para comparecer o declarar </w:t>
      </w:r>
      <w:r w:rsidR="00EC5350" w:rsidRPr="002910C6">
        <w:rPr>
          <w:rFonts w:ascii="Verdana" w:hAnsi="Verdana"/>
          <w:sz w:val="20"/>
          <w:szCs w:val="20"/>
          <w:lang w:val="es-CR"/>
        </w:rPr>
        <w:lastRenderedPageBreak/>
        <w:t xml:space="preserve">no comparecieren o rehusaren deponer sin motivo legítimo o que, en el parecer de la misma Corte, hayan violado el juramento o la declaración solemne, para los fines previstos en la legislación nacional correspondiente. </w:t>
      </w:r>
    </w:p>
    <w:p w14:paraId="0148484B" w14:textId="77777777" w:rsidR="00BF3A44" w:rsidRDefault="00BF3A44" w:rsidP="00BF3A44">
      <w:pPr>
        <w:spacing w:after="0" w:line="216" w:lineRule="auto"/>
        <w:jc w:val="both"/>
        <w:rPr>
          <w:rFonts w:ascii="Verdana" w:hAnsi="Verdana"/>
          <w:sz w:val="20"/>
          <w:szCs w:val="20"/>
          <w:lang w:val="es-CR"/>
        </w:rPr>
      </w:pPr>
    </w:p>
    <w:p w14:paraId="37BB346F" w14:textId="2473DB1E" w:rsidR="00FD1720" w:rsidRPr="002910C6" w:rsidRDefault="0032722F" w:rsidP="00BF3A44">
      <w:pPr>
        <w:spacing w:after="0" w:line="216" w:lineRule="auto"/>
        <w:jc w:val="both"/>
        <w:rPr>
          <w:rFonts w:ascii="Verdana" w:hAnsi="Verdana"/>
          <w:sz w:val="20"/>
          <w:szCs w:val="20"/>
          <w:lang w:val="es-CR"/>
        </w:rPr>
      </w:pPr>
      <w:r w:rsidRPr="002910C6">
        <w:rPr>
          <w:rFonts w:ascii="Verdana" w:hAnsi="Verdana"/>
          <w:sz w:val="20"/>
          <w:szCs w:val="20"/>
          <w:lang w:val="es-CR"/>
        </w:rPr>
        <w:t>9</w:t>
      </w:r>
      <w:r w:rsidR="002407F8">
        <w:rPr>
          <w:rFonts w:ascii="Verdana" w:hAnsi="Verdana"/>
          <w:sz w:val="20"/>
          <w:szCs w:val="20"/>
          <w:lang w:val="es-CR"/>
        </w:rPr>
        <w:t>. Informar a la</w:t>
      </w:r>
      <w:r w:rsidR="00EC5350" w:rsidRPr="002910C6">
        <w:rPr>
          <w:rFonts w:ascii="Verdana" w:hAnsi="Verdana"/>
          <w:sz w:val="20"/>
          <w:szCs w:val="20"/>
          <w:lang w:val="es-CR"/>
        </w:rPr>
        <w:t>s representantes, al Estado y a la Comisión Interamericana que, al término de las declaraciones rendidas en la audiencia pública, podrán presentar ante el Tribunal sus alegatos finales orales y observaciones finales orales, respectivamente, sobre la</w:t>
      </w:r>
      <w:r w:rsidR="002407F8">
        <w:rPr>
          <w:rFonts w:ascii="Verdana" w:hAnsi="Verdana"/>
          <w:sz w:val="20"/>
          <w:szCs w:val="20"/>
          <w:lang w:val="es-CR"/>
        </w:rPr>
        <w:t xml:space="preserve"> excepci</w:t>
      </w:r>
      <w:r w:rsidR="002604D3">
        <w:rPr>
          <w:rFonts w:ascii="Verdana" w:hAnsi="Verdana"/>
          <w:sz w:val="20"/>
          <w:szCs w:val="20"/>
          <w:lang w:val="es-CR"/>
        </w:rPr>
        <w:t>ón</w:t>
      </w:r>
      <w:r w:rsidR="00EC5350" w:rsidRPr="002910C6">
        <w:rPr>
          <w:rFonts w:ascii="Verdana" w:hAnsi="Verdana"/>
          <w:sz w:val="20"/>
          <w:szCs w:val="20"/>
          <w:lang w:val="es-CR"/>
        </w:rPr>
        <w:t xml:space="preserve"> preliminar</w:t>
      </w:r>
      <w:r w:rsidR="002407F8">
        <w:rPr>
          <w:rFonts w:ascii="Verdana" w:hAnsi="Verdana"/>
          <w:sz w:val="20"/>
          <w:szCs w:val="20"/>
          <w:lang w:val="es-CR"/>
        </w:rPr>
        <w:t xml:space="preserve"> y</w:t>
      </w:r>
      <w:r w:rsidR="00EC5350" w:rsidRPr="002910C6">
        <w:rPr>
          <w:rFonts w:ascii="Verdana" w:hAnsi="Verdana"/>
          <w:sz w:val="20"/>
          <w:szCs w:val="20"/>
          <w:lang w:val="es-CR"/>
        </w:rPr>
        <w:t xml:space="preserve"> eventuales fondo, reparaciones y costas en este caso. </w:t>
      </w:r>
    </w:p>
    <w:p w14:paraId="308A599D" w14:textId="77777777" w:rsidR="00BF3A44" w:rsidRDefault="00BF3A44" w:rsidP="00BF3A44">
      <w:pPr>
        <w:spacing w:after="0" w:line="216" w:lineRule="auto"/>
        <w:jc w:val="both"/>
        <w:rPr>
          <w:rFonts w:ascii="Verdana" w:hAnsi="Verdana"/>
          <w:sz w:val="20"/>
          <w:szCs w:val="20"/>
          <w:lang w:val="es-CR"/>
        </w:rPr>
      </w:pPr>
    </w:p>
    <w:p w14:paraId="23D75095" w14:textId="3F0FA0ED" w:rsidR="00FD1720" w:rsidRPr="002910C6" w:rsidRDefault="00EC5350" w:rsidP="00BF3A44">
      <w:pPr>
        <w:spacing w:after="0" w:line="216" w:lineRule="auto"/>
        <w:jc w:val="both"/>
        <w:rPr>
          <w:rFonts w:ascii="Verdana" w:hAnsi="Verdana"/>
          <w:sz w:val="20"/>
          <w:szCs w:val="20"/>
          <w:lang w:val="es-CR"/>
        </w:rPr>
      </w:pPr>
      <w:r w:rsidRPr="002910C6">
        <w:rPr>
          <w:rFonts w:ascii="Verdana" w:hAnsi="Verdana"/>
          <w:sz w:val="20"/>
          <w:szCs w:val="20"/>
          <w:lang w:val="es-CR"/>
        </w:rPr>
        <w:t>1</w:t>
      </w:r>
      <w:r w:rsidR="0032722F" w:rsidRPr="002910C6">
        <w:rPr>
          <w:rFonts w:ascii="Verdana" w:hAnsi="Verdana"/>
          <w:sz w:val="20"/>
          <w:szCs w:val="20"/>
          <w:lang w:val="es-CR"/>
        </w:rPr>
        <w:t>0</w:t>
      </w:r>
      <w:r w:rsidR="002407F8">
        <w:rPr>
          <w:rFonts w:ascii="Verdana" w:hAnsi="Verdana"/>
          <w:sz w:val="20"/>
          <w:szCs w:val="20"/>
          <w:lang w:val="es-CR"/>
        </w:rPr>
        <w:t>. Informar a la</w:t>
      </w:r>
      <w:r w:rsidRPr="002910C6">
        <w:rPr>
          <w:rFonts w:ascii="Verdana" w:hAnsi="Verdana"/>
          <w:sz w:val="20"/>
          <w:szCs w:val="20"/>
          <w:lang w:val="es-CR"/>
        </w:rPr>
        <w:t xml:space="preserve">s representantes, al Estado y a la Comisión Interamericana que cuentan con un plazo hasta el </w:t>
      </w:r>
      <w:r w:rsidR="00E64CB2">
        <w:rPr>
          <w:rFonts w:ascii="Verdana" w:hAnsi="Verdana"/>
          <w:sz w:val="20"/>
          <w:szCs w:val="20"/>
          <w:lang w:val="es-CR"/>
        </w:rPr>
        <w:t>28 de febrero de 2020</w:t>
      </w:r>
      <w:r w:rsidRPr="002910C6">
        <w:rPr>
          <w:rFonts w:ascii="Verdana" w:hAnsi="Verdana"/>
          <w:sz w:val="20"/>
          <w:szCs w:val="20"/>
          <w:lang w:val="es-CR"/>
        </w:rPr>
        <w:t xml:space="preserve"> para presentar sus alegatos finales escritos y observaciones finales escritas, respectivamente, en relación con la excepci</w:t>
      </w:r>
      <w:r w:rsidR="002604D3">
        <w:rPr>
          <w:rFonts w:ascii="Verdana" w:hAnsi="Verdana"/>
          <w:sz w:val="20"/>
          <w:szCs w:val="20"/>
          <w:lang w:val="es-CR"/>
        </w:rPr>
        <w:t>ón</w:t>
      </w:r>
      <w:r w:rsidRPr="002910C6">
        <w:rPr>
          <w:rFonts w:ascii="Verdana" w:hAnsi="Verdana"/>
          <w:sz w:val="20"/>
          <w:szCs w:val="20"/>
          <w:lang w:val="es-CR"/>
        </w:rPr>
        <w:t xml:space="preserve"> preliminar</w:t>
      </w:r>
      <w:r w:rsidR="00D66A33" w:rsidRPr="002910C6">
        <w:rPr>
          <w:rFonts w:ascii="Verdana" w:hAnsi="Verdana"/>
          <w:sz w:val="20"/>
          <w:szCs w:val="20"/>
          <w:lang w:val="es-CR"/>
        </w:rPr>
        <w:t xml:space="preserve"> y</w:t>
      </w:r>
      <w:r w:rsidRPr="002910C6">
        <w:rPr>
          <w:rFonts w:ascii="Verdana" w:hAnsi="Verdana"/>
          <w:sz w:val="20"/>
          <w:szCs w:val="20"/>
          <w:lang w:val="es-CR"/>
        </w:rPr>
        <w:t xml:space="preserve"> eventuales fondo</w:t>
      </w:r>
      <w:r w:rsidR="00D66A33" w:rsidRPr="002910C6">
        <w:rPr>
          <w:rFonts w:ascii="Verdana" w:hAnsi="Verdana"/>
          <w:sz w:val="20"/>
          <w:szCs w:val="20"/>
          <w:lang w:val="es-CR"/>
        </w:rPr>
        <w:t>,</w:t>
      </w:r>
      <w:r w:rsidRPr="002910C6">
        <w:rPr>
          <w:rFonts w:ascii="Verdana" w:hAnsi="Verdana"/>
          <w:sz w:val="20"/>
          <w:szCs w:val="20"/>
          <w:lang w:val="es-CR"/>
        </w:rPr>
        <w:t xml:space="preserve"> reparaciones y costas. Este plazo es improrrogable. </w:t>
      </w:r>
    </w:p>
    <w:p w14:paraId="6B6160D3" w14:textId="77777777" w:rsidR="00BF3A44" w:rsidRDefault="00BF3A44" w:rsidP="00BF3A44">
      <w:pPr>
        <w:spacing w:after="0" w:line="216" w:lineRule="auto"/>
        <w:jc w:val="both"/>
        <w:rPr>
          <w:rFonts w:ascii="Verdana" w:hAnsi="Verdana"/>
          <w:sz w:val="20"/>
          <w:szCs w:val="20"/>
          <w:lang w:val="es-CR"/>
        </w:rPr>
      </w:pPr>
    </w:p>
    <w:p w14:paraId="25CBB1BC" w14:textId="56E2AF67" w:rsidR="00F24631" w:rsidRDefault="00EC5350" w:rsidP="00BF3A44">
      <w:pPr>
        <w:spacing w:after="0" w:line="216" w:lineRule="auto"/>
        <w:jc w:val="both"/>
        <w:rPr>
          <w:rFonts w:ascii="Verdana" w:hAnsi="Verdana"/>
          <w:sz w:val="20"/>
          <w:szCs w:val="20"/>
          <w:lang w:val="es-CR"/>
        </w:rPr>
      </w:pPr>
      <w:r w:rsidRPr="002910C6">
        <w:rPr>
          <w:rFonts w:ascii="Verdana" w:hAnsi="Verdana"/>
          <w:sz w:val="20"/>
          <w:szCs w:val="20"/>
          <w:lang w:val="es-CR"/>
        </w:rPr>
        <w:t>1</w:t>
      </w:r>
      <w:r w:rsidR="0032722F" w:rsidRPr="002910C6">
        <w:rPr>
          <w:rFonts w:ascii="Verdana" w:hAnsi="Verdana"/>
          <w:sz w:val="20"/>
          <w:szCs w:val="20"/>
          <w:lang w:val="es-CR"/>
        </w:rPr>
        <w:t>1</w:t>
      </w:r>
      <w:r w:rsidRPr="002910C6">
        <w:rPr>
          <w:rFonts w:ascii="Verdana" w:hAnsi="Verdana"/>
          <w:sz w:val="20"/>
          <w:szCs w:val="20"/>
          <w:lang w:val="es-CR"/>
        </w:rPr>
        <w:t>. Disponer que la Secretaría de la Corte notif</w:t>
      </w:r>
      <w:r w:rsidR="002407F8">
        <w:rPr>
          <w:rFonts w:ascii="Verdana" w:hAnsi="Verdana"/>
          <w:sz w:val="20"/>
          <w:szCs w:val="20"/>
          <w:lang w:val="es-CR"/>
        </w:rPr>
        <w:t>ique la presente Resolución a la</w:t>
      </w:r>
      <w:r w:rsidRPr="002910C6">
        <w:rPr>
          <w:rFonts w:ascii="Verdana" w:hAnsi="Verdana"/>
          <w:sz w:val="20"/>
          <w:szCs w:val="20"/>
          <w:lang w:val="es-CR"/>
        </w:rPr>
        <w:t>s representantes</w:t>
      </w:r>
      <w:r w:rsidR="002407F8">
        <w:rPr>
          <w:rFonts w:ascii="Verdana" w:hAnsi="Verdana"/>
          <w:sz w:val="20"/>
          <w:szCs w:val="20"/>
          <w:lang w:val="es-CR"/>
        </w:rPr>
        <w:t xml:space="preserve"> de las presuntas víctimas</w:t>
      </w:r>
      <w:r w:rsidRPr="002910C6">
        <w:rPr>
          <w:rFonts w:ascii="Verdana" w:hAnsi="Verdana"/>
          <w:sz w:val="20"/>
          <w:szCs w:val="20"/>
          <w:lang w:val="es-CR"/>
        </w:rPr>
        <w:t>, a la República de</w:t>
      </w:r>
      <w:r w:rsidR="002725FB" w:rsidRPr="002910C6">
        <w:rPr>
          <w:rFonts w:ascii="Verdana" w:hAnsi="Verdana"/>
          <w:sz w:val="20"/>
          <w:szCs w:val="20"/>
          <w:lang w:val="es-CR"/>
        </w:rPr>
        <w:t xml:space="preserve"> Ecuador</w:t>
      </w:r>
      <w:r w:rsidRPr="002910C6">
        <w:rPr>
          <w:rFonts w:ascii="Verdana" w:hAnsi="Verdana"/>
          <w:sz w:val="20"/>
          <w:szCs w:val="20"/>
          <w:lang w:val="es-CR"/>
        </w:rPr>
        <w:t xml:space="preserve"> y a la Comisión Interamericana de Derechos Humanos.</w:t>
      </w:r>
    </w:p>
    <w:p w14:paraId="0AEA04C5" w14:textId="472B6951" w:rsidR="000919E2" w:rsidRDefault="000919E2" w:rsidP="00BF3A44">
      <w:pPr>
        <w:spacing w:after="0" w:line="216" w:lineRule="auto"/>
        <w:jc w:val="both"/>
        <w:rPr>
          <w:rFonts w:ascii="Verdana" w:hAnsi="Verdana"/>
          <w:sz w:val="20"/>
          <w:szCs w:val="20"/>
          <w:lang w:val="es-CR"/>
        </w:rPr>
      </w:pPr>
    </w:p>
    <w:p w14:paraId="4EC5A074" w14:textId="689EEFB7" w:rsidR="000919E2" w:rsidRDefault="000919E2" w:rsidP="00BF3A44">
      <w:pPr>
        <w:spacing w:after="0" w:line="216" w:lineRule="auto"/>
        <w:jc w:val="both"/>
        <w:rPr>
          <w:rFonts w:ascii="Verdana" w:hAnsi="Verdana"/>
          <w:sz w:val="20"/>
          <w:szCs w:val="20"/>
          <w:lang w:val="es-CR"/>
        </w:rPr>
      </w:pPr>
    </w:p>
    <w:p w14:paraId="5ACF53E8" w14:textId="67741C45" w:rsidR="000919E2" w:rsidRDefault="000919E2" w:rsidP="000919E2">
      <w:pPr>
        <w:spacing w:after="0"/>
        <w:jc w:val="right"/>
        <w:rPr>
          <w:rFonts w:ascii="Verdana" w:hAnsi="Verdana"/>
          <w:sz w:val="20"/>
          <w:lang w:val="pt-BR"/>
        </w:rPr>
      </w:pPr>
    </w:p>
    <w:p w14:paraId="3C654214" w14:textId="7F834204" w:rsidR="000919E2" w:rsidRDefault="000919E2" w:rsidP="000919E2">
      <w:pPr>
        <w:spacing w:after="0"/>
        <w:jc w:val="right"/>
        <w:rPr>
          <w:rFonts w:ascii="Verdana" w:hAnsi="Verdana"/>
          <w:sz w:val="20"/>
          <w:lang w:val="pt-BR"/>
        </w:rPr>
      </w:pPr>
    </w:p>
    <w:p w14:paraId="13A4DD13" w14:textId="459CBFA1" w:rsidR="000919E2" w:rsidRPr="00FC4051" w:rsidRDefault="000919E2" w:rsidP="000919E2">
      <w:pPr>
        <w:spacing w:after="0"/>
        <w:jc w:val="right"/>
        <w:rPr>
          <w:rFonts w:ascii="Verdana" w:hAnsi="Verdana"/>
          <w:sz w:val="20"/>
          <w:lang w:val="pt-BR"/>
        </w:rPr>
      </w:pPr>
    </w:p>
    <w:p w14:paraId="5ED2C45F" w14:textId="77777777" w:rsidR="000919E2" w:rsidRPr="00FC4051" w:rsidRDefault="000919E2" w:rsidP="000919E2">
      <w:pPr>
        <w:spacing w:after="0"/>
        <w:jc w:val="right"/>
        <w:rPr>
          <w:rFonts w:ascii="Verdana" w:hAnsi="Verdana"/>
          <w:sz w:val="20"/>
          <w:lang w:val="pt-BR"/>
        </w:rPr>
      </w:pPr>
    </w:p>
    <w:p w14:paraId="56C4493A" w14:textId="6804E248" w:rsidR="000919E2" w:rsidRPr="00FC4051" w:rsidRDefault="000919E2" w:rsidP="000919E2">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 xml:space="preserve">Eduardo Ferrer </w:t>
      </w:r>
      <w:proofErr w:type="spellStart"/>
      <w:r w:rsidRPr="0019261A">
        <w:rPr>
          <w:rFonts w:ascii="Verdana" w:hAnsi="Verdana"/>
          <w:sz w:val="20"/>
          <w:lang w:val="pt-BR"/>
        </w:rPr>
        <w:t>Mac-Gregor</w:t>
      </w:r>
      <w:proofErr w:type="spellEnd"/>
      <w:r w:rsidRPr="0019261A">
        <w:rPr>
          <w:rFonts w:ascii="Verdana" w:hAnsi="Verdana"/>
          <w:sz w:val="20"/>
          <w:lang w:val="pt-BR"/>
        </w:rPr>
        <w:t xml:space="preserve"> Poisot</w:t>
      </w:r>
    </w:p>
    <w:p w14:paraId="433A124F" w14:textId="3E5D2BAA" w:rsidR="000919E2" w:rsidRDefault="000919E2" w:rsidP="000919E2">
      <w:pPr>
        <w:spacing w:after="0"/>
        <w:ind w:left="6480"/>
        <w:rPr>
          <w:rFonts w:ascii="Verdana" w:hAnsi="Verdana"/>
          <w:sz w:val="20"/>
          <w:lang w:val="pt-BR"/>
        </w:rPr>
      </w:pPr>
      <w:r>
        <w:rPr>
          <w:rFonts w:ascii="Verdana" w:hAnsi="Verdana"/>
          <w:sz w:val="20"/>
          <w:lang w:val="pt-BR"/>
        </w:rPr>
        <w:t xml:space="preserve">         </w:t>
      </w:r>
      <w:r w:rsidRPr="0019261A">
        <w:rPr>
          <w:rFonts w:ascii="Verdana" w:hAnsi="Verdana"/>
          <w:sz w:val="20"/>
          <w:lang w:val="pt-BR"/>
        </w:rPr>
        <w:t xml:space="preserve">Presidente </w:t>
      </w:r>
    </w:p>
    <w:p w14:paraId="25DD2B2E" w14:textId="74A8067D" w:rsidR="000919E2" w:rsidRPr="00FC4051" w:rsidRDefault="000919E2" w:rsidP="000919E2">
      <w:pPr>
        <w:spacing w:after="0"/>
        <w:jc w:val="both"/>
        <w:rPr>
          <w:rFonts w:ascii="Verdana" w:hAnsi="Verdana"/>
          <w:sz w:val="20"/>
          <w:lang w:val="pt-BR"/>
        </w:rPr>
      </w:pPr>
    </w:p>
    <w:p w14:paraId="30CE4C51" w14:textId="651F1992" w:rsidR="000919E2" w:rsidRDefault="000919E2" w:rsidP="000919E2">
      <w:pPr>
        <w:spacing w:after="0"/>
        <w:jc w:val="both"/>
        <w:rPr>
          <w:rFonts w:ascii="Verdana" w:hAnsi="Verdana"/>
          <w:sz w:val="20"/>
          <w:lang w:val="pt-BR"/>
        </w:rPr>
      </w:pPr>
    </w:p>
    <w:p w14:paraId="36C1D348" w14:textId="3C659A14" w:rsidR="000919E2" w:rsidRDefault="000919E2" w:rsidP="000919E2">
      <w:pPr>
        <w:spacing w:after="0"/>
        <w:jc w:val="both"/>
        <w:rPr>
          <w:rFonts w:ascii="Verdana" w:hAnsi="Verdana"/>
          <w:sz w:val="20"/>
          <w:lang w:val="pt-BR"/>
        </w:rPr>
      </w:pPr>
    </w:p>
    <w:p w14:paraId="44D33F88" w14:textId="77777777" w:rsidR="000919E2" w:rsidRPr="00FC4051" w:rsidRDefault="000919E2" w:rsidP="000919E2">
      <w:pPr>
        <w:spacing w:after="0"/>
        <w:jc w:val="both"/>
        <w:rPr>
          <w:rFonts w:ascii="Verdana" w:hAnsi="Verdana"/>
          <w:sz w:val="20"/>
          <w:lang w:val="pt-BR"/>
        </w:rPr>
      </w:pPr>
    </w:p>
    <w:p w14:paraId="755299A3" w14:textId="3E4E1CD5" w:rsidR="000919E2" w:rsidRPr="00FC4051" w:rsidRDefault="000919E2" w:rsidP="000919E2">
      <w:pPr>
        <w:spacing w:after="0"/>
        <w:jc w:val="both"/>
        <w:rPr>
          <w:rFonts w:ascii="Verdana" w:hAnsi="Verdana"/>
          <w:sz w:val="20"/>
          <w:lang w:val="pt-BR"/>
        </w:rPr>
      </w:pPr>
      <w:r w:rsidRPr="00FC4051">
        <w:rPr>
          <w:rFonts w:ascii="Verdana" w:hAnsi="Verdana"/>
          <w:sz w:val="20"/>
          <w:lang w:val="pt-BR"/>
        </w:rPr>
        <w:t xml:space="preserve">Pablo Saavedra </w:t>
      </w:r>
      <w:proofErr w:type="spellStart"/>
      <w:r w:rsidRPr="00FC4051">
        <w:rPr>
          <w:rFonts w:ascii="Verdana" w:hAnsi="Verdana"/>
          <w:sz w:val="20"/>
          <w:lang w:val="pt-BR"/>
        </w:rPr>
        <w:t>Alessandri</w:t>
      </w:r>
      <w:proofErr w:type="spellEnd"/>
    </w:p>
    <w:p w14:paraId="7CDCF6BA" w14:textId="77C88B55" w:rsidR="000919E2" w:rsidRPr="007E10A8" w:rsidRDefault="000919E2" w:rsidP="000919E2">
      <w:pPr>
        <w:spacing w:after="0"/>
        <w:rPr>
          <w:lang w:val="es-ES"/>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p w14:paraId="13CA0BE2" w14:textId="38F77E5B" w:rsidR="000919E2" w:rsidRDefault="000919E2" w:rsidP="00BF3A44">
      <w:pPr>
        <w:spacing w:after="0" w:line="216" w:lineRule="auto"/>
        <w:jc w:val="both"/>
        <w:rPr>
          <w:rFonts w:ascii="Verdana" w:hAnsi="Verdana"/>
          <w:b/>
          <w:sz w:val="20"/>
          <w:szCs w:val="20"/>
          <w:lang w:val="es-CR"/>
        </w:rPr>
      </w:pPr>
    </w:p>
    <w:p w14:paraId="77391E18" w14:textId="04677695" w:rsidR="000919E2" w:rsidRDefault="000919E2" w:rsidP="00BF3A44">
      <w:pPr>
        <w:spacing w:after="0" w:line="216" w:lineRule="auto"/>
        <w:jc w:val="both"/>
        <w:rPr>
          <w:rFonts w:ascii="Verdana" w:hAnsi="Verdana"/>
          <w:b/>
          <w:sz w:val="20"/>
          <w:szCs w:val="20"/>
          <w:lang w:val="es-CR"/>
        </w:rPr>
      </w:pPr>
    </w:p>
    <w:p w14:paraId="654468D1" w14:textId="3F2E94EF" w:rsidR="000919E2" w:rsidRDefault="000919E2" w:rsidP="00BF3A44">
      <w:pPr>
        <w:spacing w:after="0" w:line="216" w:lineRule="auto"/>
        <w:jc w:val="both"/>
        <w:rPr>
          <w:rFonts w:ascii="Verdana" w:hAnsi="Verdana"/>
          <w:b/>
          <w:sz w:val="20"/>
          <w:szCs w:val="20"/>
          <w:lang w:val="es-CR"/>
        </w:rPr>
      </w:pPr>
    </w:p>
    <w:p w14:paraId="0C75FB90" w14:textId="48E7A6E2" w:rsidR="000919E2" w:rsidRDefault="000919E2" w:rsidP="00BF3A44">
      <w:pPr>
        <w:spacing w:after="0" w:line="216" w:lineRule="auto"/>
        <w:jc w:val="both"/>
        <w:rPr>
          <w:rFonts w:ascii="Verdana" w:hAnsi="Verdana"/>
          <w:b/>
          <w:sz w:val="20"/>
          <w:szCs w:val="20"/>
          <w:lang w:val="es-CR"/>
        </w:rPr>
      </w:pPr>
    </w:p>
    <w:p w14:paraId="43F228CB" w14:textId="657B27F8" w:rsidR="000919E2" w:rsidRDefault="000919E2" w:rsidP="00BF3A44">
      <w:pPr>
        <w:spacing w:after="0" w:line="216" w:lineRule="auto"/>
        <w:jc w:val="both"/>
        <w:rPr>
          <w:rFonts w:ascii="Verdana" w:hAnsi="Verdana"/>
          <w:b/>
          <w:sz w:val="20"/>
          <w:szCs w:val="20"/>
          <w:lang w:val="es-CR"/>
        </w:rPr>
      </w:pPr>
    </w:p>
    <w:p w14:paraId="28D1D635" w14:textId="7072C84A" w:rsidR="000919E2" w:rsidRDefault="000919E2" w:rsidP="00BF3A44">
      <w:pPr>
        <w:spacing w:after="0" w:line="216" w:lineRule="auto"/>
        <w:jc w:val="both"/>
        <w:rPr>
          <w:rFonts w:ascii="Verdana" w:hAnsi="Verdana"/>
          <w:b/>
          <w:sz w:val="20"/>
          <w:szCs w:val="20"/>
          <w:lang w:val="es-CR"/>
        </w:rPr>
      </w:pPr>
    </w:p>
    <w:p w14:paraId="15136D5F" w14:textId="2C11DCDB" w:rsidR="000919E2" w:rsidRDefault="000919E2" w:rsidP="00BF3A44">
      <w:pPr>
        <w:spacing w:after="0" w:line="216" w:lineRule="auto"/>
        <w:jc w:val="both"/>
        <w:rPr>
          <w:rFonts w:ascii="Verdana" w:hAnsi="Verdana"/>
          <w:b/>
          <w:sz w:val="20"/>
          <w:szCs w:val="20"/>
          <w:lang w:val="es-CR"/>
        </w:rPr>
      </w:pPr>
    </w:p>
    <w:p w14:paraId="25579F3E" w14:textId="74C72746" w:rsidR="000919E2" w:rsidRPr="000919E2" w:rsidRDefault="000919E2" w:rsidP="00BF3A44">
      <w:pPr>
        <w:spacing w:after="0" w:line="216" w:lineRule="auto"/>
        <w:jc w:val="both"/>
        <w:rPr>
          <w:rFonts w:ascii="Verdana" w:hAnsi="Verdana"/>
          <w:sz w:val="20"/>
          <w:szCs w:val="20"/>
          <w:lang w:val="es-CR"/>
        </w:rPr>
      </w:pPr>
      <w:r w:rsidRPr="000919E2">
        <w:rPr>
          <w:rFonts w:ascii="Verdana" w:hAnsi="Verdana"/>
          <w:sz w:val="20"/>
          <w:szCs w:val="20"/>
          <w:lang w:val="es-CR"/>
        </w:rPr>
        <w:t>Comu</w:t>
      </w:r>
      <w:r>
        <w:rPr>
          <w:rFonts w:ascii="Verdana" w:hAnsi="Verdana"/>
          <w:sz w:val="20"/>
          <w:szCs w:val="20"/>
          <w:lang w:val="es-CR"/>
        </w:rPr>
        <w:t>n</w:t>
      </w:r>
      <w:r w:rsidRPr="000919E2">
        <w:rPr>
          <w:rFonts w:ascii="Verdana" w:hAnsi="Verdana"/>
          <w:sz w:val="20"/>
          <w:szCs w:val="20"/>
          <w:lang w:val="es-CR"/>
        </w:rPr>
        <w:t>íquese y ejecútese;</w:t>
      </w:r>
    </w:p>
    <w:p w14:paraId="5BA2CCD7" w14:textId="3C0A9103" w:rsidR="000919E2" w:rsidRDefault="000919E2" w:rsidP="00BF3A44">
      <w:pPr>
        <w:spacing w:after="0" w:line="216" w:lineRule="auto"/>
        <w:jc w:val="both"/>
        <w:rPr>
          <w:rFonts w:ascii="Verdana" w:hAnsi="Verdana"/>
          <w:b/>
          <w:sz w:val="20"/>
          <w:szCs w:val="20"/>
          <w:lang w:val="es-CR"/>
        </w:rPr>
      </w:pPr>
    </w:p>
    <w:p w14:paraId="0330E6D5" w14:textId="7A6D7A30" w:rsidR="000919E2" w:rsidRDefault="000919E2" w:rsidP="00BF3A44">
      <w:pPr>
        <w:spacing w:after="0" w:line="216" w:lineRule="auto"/>
        <w:jc w:val="both"/>
        <w:rPr>
          <w:rFonts w:ascii="Verdana" w:hAnsi="Verdana"/>
          <w:b/>
          <w:sz w:val="20"/>
          <w:szCs w:val="20"/>
          <w:lang w:val="es-CR"/>
        </w:rPr>
      </w:pPr>
    </w:p>
    <w:p w14:paraId="117598BA" w14:textId="77777777" w:rsidR="000919E2" w:rsidRDefault="000919E2" w:rsidP="000919E2">
      <w:pPr>
        <w:spacing w:after="0"/>
        <w:jc w:val="right"/>
        <w:rPr>
          <w:rFonts w:ascii="Verdana" w:hAnsi="Verdana"/>
          <w:sz w:val="20"/>
          <w:lang w:val="pt-BR"/>
        </w:rPr>
      </w:pPr>
    </w:p>
    <w:p w14:paraId="25406A6D" w14:textId="77777777" w:rsidR="000919E2" w:rsidRDefault="000919E2" w:rsidP="000919E2">
      <w:pPr>
        <w:spacing w:after="0"/>
        <w:jc w:val="right"/>
        <w:rPr>
          <w:rFonts w:ascii="Verdana" w:hAnsi="Verdana"/>
          <w:sz w:val="20"/>
          <w:lang w:val="pt-BR"/>
        </w:rPr>
      </w:pPr>
    </w:p>
    <w:p w14:paraId="333FAA65" w14:textId="77777777" w:rsidR="000919E2" w:rsidRPr="00FC4051" w:rsidRDefault="000919E2" w:rsidP="000919E2">
      <w:pPr>
        <w:spacing w:after="0"/>
        <w:jc w:val="right"/>
        <w:rPr>
          <w:rFonts w:ascii="Verdana" w:hAnsi="Verdana"/>
          <w:sz w:val="20"/>
          <w:lang w:val="pt-BR"/>
        </w:rPr>
      </w:pPr>
    </w:p>
    <w:p w14:paraId="6770CB7E" w14:textId="77777777" w:rsidR="000919E2" w:rsidRPr="00FC4051" w:rsidRDefault="000919E2" w:rsidP="000919E2">
      <w:pPr>
        <w:spacing w:after="0"/>
        <w:jc w:val="right"/>
        <w:rPr>
          <w:rFonts w:ascii="Verdana" w:hAnsi="Verdana"/>
          <w:sz w:val="20"/>
          <w:lang w:val="pt-BR"/>
        </w:rPr>
      </w:pPr>
    </w:p>
    <w:p w14:paraId="6D3B9C41" w14:textId="77777777" w:rsidR="000919E2" w:rsidRPr="00FC4051" w:rsidRDefault="000919E2" w:rsidP="000919E2">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 xml:space="preserve">Eduardo Ferrer </w:t>
      </w:r>
      <w:proofErr w:type="spellStart"/>
      <w:r w:rsidRPr="0019261A">
        <w:rPr>
          <w:rFonts w:ascii="Verdana" w:hAnsi="Verdana"/>
          <w:sz w:val="20"/>
          <w:lang w:val="pt-BR"/>
        </w:rPr>
        <w:t>Mac-Gregor</w:t>
      </w:r>
      <w:proofErr w:type="spellEnd"/>
      <w:r w:rsidRPr="0019261A">
        <w:rPr>
          <w:rFonts w:ascii="Verdana" w:hAnsi="Verdana"/>
          <w:sz w:val="20"/>
          <w:lang w:val="pt-BR"/>
        </w:rPr>
        <w:t xml:space="preserve"> Poisot</w:t>
      </w:r>
    </w:p>
    <w:p w14:paraId="22E650A4" w14:textId="77777777" w:rsidR="000919E2" w:rsidRDefault="000919E2" w:rsidP="000919E2">
      <w:pPr>
        <w:spacing w:after="0"/>
        <w:ind w:left="6480"/>
        <w:rPr>
          <w:rFonts w:ascii="Verdana" w:hAnsi="Verdana"/>
          <w:sz w:val="20"/>
          <w:lang w:val="pt-BR"/>
        </w:rPr>
      </w:pPr>
      <w:r>
        <w:rPr>
          <w:rFonts w:ascii="Verdana" w:hAnsi="Verdana"/>
          <w:sz w:val="20"/>
          <w:lang w:val="pt-BR"/>
        </w:rPr>
        <w:t xml:space="preserve">         </w:t>
      </w:r>
      <w:r w:rsidRPr="0019261A">
        <w:rPr>
          <w:rFonts w:ascii="Verdana" w:hAnsi="Verdana"/>
          <w:sz w:val="20"/>
          <w:lang w:val="pt-BR"/>
        </w:rPr>
        <w:t xml:space="preserve">Presidente </w:t>
      </w:r>
    </w:p>
    <w:p w14:paraId="78B0741F" w14:textId="77777777" w:rsidR="000919E2" w:rsidRDefault="000919E2" w:rsidP="000919E2">
      <w:pPr>
        <w:spacing w:after="0"/>
        <w:jc w:val="both"/>
        <w:rPr>
          <w:rFonts w:ascii="Verdana" w:hAnsi="Verdana"/>
          <w:sz w:val="20"/>
          <w:lang w:val="pt-BR"/>
        </w:rPr>
      </w:pPr>
    </w:p>
    <w:p w14:paraId="2C78B384" w14:textId="77777777" w:rsidR="000919E2" w:rsidRDefault="000919E2" w:rsidP="000919E2">
      <w:pPr>
        <w:spacing w:after="0"/>
        <w:jc w:val="both"/>
        <w:rPr>
          <w:rFonts w:ascii="Verdana" w:hAnsi="Verdana"/>
          <w:sz w:val="20"/>
          <w:lang w:val="pt-BR"/>
        </w:rPr>
      </w:pPr>
    </w:p>
    <w:p w14:paraId="24B8BA98" w14:textId="77777777" w:rsidR="000919E2" w:rsidRPr="00FC4051" w:rsidRDefault="000919E2" w:rsidP="000919E2">
      <w:pPr>
        <w:spacing w:after="0"/>
        <w:jc w:val="both"/>
        <w:rPr>
          <w:rFonts w:ascii="Verdana" w:hAnsi="Verdana"/>
          <w:sz w:val="20"/>
          <w:lang w:val="pt-BR"/>
        </w:rPr>
      </w:pPr>
      <w:r w:rsidRPr="00FC4051">
        <w:rPr>
          <w:rFonts w:ascii="Verdana" w:hAnsi="Verdana"/>
          <w:sz w:val="20"/>
          <w:lang w:val="pt-BR"/>
        </w:rPr>
        <w:t xml:space="preserve">Pablo Saavedra </w:t>
      </w:r>
      <w:proofErr w:type="spellStart"/>
      <w:r w:rsidRPr="00FC4051">
        <w:rPr>
          <w:rFonts w:ascii="Verdana" w:hAnsi="Verdana"/>
          <w:sz w:val="20"/>
          <w:lang w:val="pt-BR"/>
        </w:rPr>
        <w:t>Alessandri</w:t>
      </w:r>
      <w:proofErr w:type="spellEnd"/>
    </w:p>
    <w:p w14:paraId="5DDB2D49" w14:textId="77777777" w:rsidR="000919E2" w:rsidRPr="007E10A8" w:rsidRDefault="000919E2" w:rsidP="000919E2">
      <w:pPr>
        <w:spacing w:after="0"/>
        <w:rPr>
          <w:lang w:val="es-ES"/>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p w14:paraId="06141B53" w14:textId="77777777" w:rsidR="000919E2" w:rsidRDefault="000919E2" w:rsidP="00BF3A44">
      <w:pPr>
        <w:spacing w:after="0" w:line="216" w:lineRule="auto"/>
        <w:jc w:val="both"/>
        <w:rPr>
          <w:rFonts w:ascii="Verdana" w:hAnsi="Verdana"/>
          <w:b/>
          <w:sz w:val="20"/>
          <w:szCs w:val="20"/>
          <w:lang w:val="es-CR"/>
        </w:rPr>
      </w:pPr>
    </w:p>
    <w:p w14:paraId="4C68FD7F" w14:textId="77777777" w:rsidR="000919E2" w:rsidRPr="002910C6" w:rsidRDefault="000919E2" w:rsidP="00BF3A44">
      <w:pPr>
        <w:spacing w:after="0" w:line="216" w:lineRule="auto"/>
        <w:jc w:val="both"/>
        <w:rPr>
          <w:rFonts w:ascii="Verdana" w:hAnsi="Verdana"/>
          <w:b/>
          <w:sz w:val="20"/>
          <w:szCs w:val="20"/>
          <w:lang w:val="es-CR"/>
        </w:rPr>
      </w:pPr>
    </w:p>
    <w:sectPr w:rsidR="000919E2" w:rsidRPr="002910C6" w:rsidSect="00730B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FF956" w14:textId="77777777" w:rsidR="008A0DCC" w:rsidRDefault="008A0DCC" w:rsidP="001A5152">
      <w:pPr>
        <w:spacing w:after="0" w:line="240" w:lineRule="auto"/>
      </w:pPr>
      <w:r>
        <w:separator/>
      </w:r>
    </w:p>
  </w:endnote>
  <w:endnote w:type="continuationSeparator" w:id="0">
    <w:p w14:paraId="215DAE4B" w14:textId="77777777" w:rsidR="008A0DCC" w:rsidRDefault="008A0DCC" w:rsidP="001A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769629"/>
      <w:docPartObj>
        <w:docPartGallery w:val="Page Numbers (Bottom of Page)"/>
        <w:docPartUnique/>
      </w:docPartObj>
    </w:sdtPr>
    <w:sdtEndPr/>
    <w:sdtContent>
      <w:p w14:paraId="6A7A6FD6" w14:textId="75C39C47" w:rsidR="00E66C67" w:rsidRDefault="00E66C67">
        <w:pPr>
          <w:pStyle w:val="Piedepgina"/>
          <w:jc w:val="center"/>
        </w:pPr>
        <w:r>
          <w:fldChar w:fldCharType="begin"/>
        </w:r>
        <w:r>
          <w:instrText>PAGE   \* MERGEFORMAT</w:instrText>
        </w:r>
        <w:r>
          <w:fldChar w:fldCharType="separate"/>
        </w:r>
        <w:r w:rsidR="001502C2" w:rsidRPr="001502C2">
          <w:rPr>
            <w:noProof/>
            <w:lang w:val="es-ES"/>
          </w:rPr>
          <w:t>9</w:t>
        </w:r>
        <w:r>
          <w:fldChar w:fldCharType="end"/>
        </w:r>
      </w:p>
    </w:sdtContent>
  </w:sdt>
  <w:p w14:paraId="21FA856C" w14:textId="77777777" w:rsidR="00E66C67" w:rsidRDefault="00E66C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B481" w14:textId="77777777" w:rsidR="008A0DCC" w:rsidRDefault="008A0DCC" w:rsidP="001A5152">
      <w:pPr>
        <w:spacing w:after="0" w:line="240" w:lineRule="auto"/>
      </w:pPr>
      <w:r>
        <w:separator/>
      </w:r>
    </w:p>
  </w:footnote>
  <w:footnote w:type="continuationSeparator" w:id="0">
    <w:p w14:paraId="7435FC51" w14:textId="77777777" w:rsidR="008A0DCC" w:rsidRDefault="008A0DCC" w:rsidP="001A5152">
      <w:pPr>
        <w:spacing w:after="0" w:line="240" w:lineRule="auto"/>
      </w:pPr>
      <w:r>
        <w:continuationSeparator/>
      </w:r>
    </w:p>
  </w:footnote>
  <w:footnote w:id="1">
    <w:p w14:paraId="09CAD7D7" w14:textId="77777777" w:rsidR="00E66C67" w:rsidRPr="008973F1" w:rsidRDefault="00E66C67" w:rsidP="00A473E8">
      <w:pPr>
        <w:pStyle w:val="Textonotapie"/>
        <w:jc w:val="both"/>
        <w:rPr>
          <w:b/>
          <w:sz w:val="16"/>
          <w:szCs w:val="16"/>
          <w:lang w:val="es-CR"/>
        </w:rPr>
      </w:pPr>
      <w:r>
        <w:rPr>
          <w:rStyle w:val="Refdenotaalpie"/>
        </w:rPr>
        <w:footnoteRef/>
      </w:r>
      <w:r w:rsidRPr="008973F1">
        <w:rPr>
          <w:rFonts w:ascii="Verdana" w:hAnsi="Verdana"/>
          <w:lang w:val="es-CR"/>
        </w:rPr>
        <w:t xml:space="preserve"> </w:t>
      </w:r>
      <w:r w:rsidRPr="00CA169C">
        <w:rPr>
          <w:rFonts w:ascii="Verdana" w:hAnsi="Verdana"/>
          <w:i/>
          <w:sz w:val="16"/>
          <w:szCs w:val="16"/>
          <w:lang w:val="es-CR"/>
        </w:rPr>
        <w:t>Caso Zulema Tarazona Arrieta y otros Vs. Perú.</w:t>
      </w:r>
      <w:r w:rsidRPr="00CA169C">
        <w:rPr>
          <w:rFonts w:ascii="Verdana" w:hAnsi="Verdana"/>
          <w:sz w:val="16"/>
          <w:szCs w:val="16"/>
          <w:lang w:val="es-CR"/>
        </w:rPr>
        <w:t xml:space="preserve"> Resolución del Presidente de la Corte de 26 de marzo de 2014, Considerando 32,</w:t>
      </w:r>
      <w:r w:rsidRPr="00CA169C">
        <w:rPr>
          <w:rStyle w:val="Textoennegrita"/>
          <w:rFonts w:ascii="Verdana" w:hAnsi="Verdana"/>
          <w:b w:val="0"/>
          <w:color w:val="000000"/>
          <w:sz w:val="16"/>
          <w:szCs w:val="16"/>
          <w:shd w:val="clear" w:color="auto" w:fill="FFFFFF"/>
          <w:lang w:val="es-CR"/>
        </w:rPr>
        <w:t xml:space="preserve"> Caso </w:t>
      </w:r>
      <w:r w:rsidRPr="00CA169C">
        <w:rPr>
          <w:rStyle w:val="Textoennegrita"/>
          <w:rFonts w:ascii="Verdana" w:hAnsi="Verdana"/>
          <w:b w:val="0"/>
          <w:i/>
          <w:color w:val="000000"/>
          <w:sz w:val="16"/>
          <w:szCs w:val="16"/>
          <w:shd w:val="clear" w:color="auto" w:fill="FFFFFF"/>
          <w:lang w:val="es-CR"/>
        </w:rPr>
        <w:t>Miembros de la Aldea Chichupac y comunidades vecinas del Municipio de Rabinal Vs. Guatemala.</w:t>
      </w:r>
      <w:r w:rsidRPr="00CA169C">
        <w:rPr>
          <w:rStyle w:val="Textoennegrita"/>
          <w:rFonts w:ascii="Verdana" w:hAnsi="Verdana"/>
          <w:b w:val="0"/>
          <w:color w:val="000000"/>
          <w:sz w:val="16"/>
          <w:szCs w:val="16"/>
          <w:shd w:val="clear" w:color="auto" w:fill="FFFFFF"/>
          <w:lang w:val="es-CR"/>
        </w:rPr>
        <w:t xml:space="preserve"> Convocatoria a audiencia. Resolución del Presidente de la Corte Interamericana de Derechos Humanos de 28 de marzo de 2016, Considerando 44</w:t>
      </w:r>
      <w:r>
        <w:rPr>
          <w:rStyle w:val="Textoennegrita"/>
          <w:rFonts w:ascii="Verdana" w:hAnsi="Verdana"/>
          <w:b w:val="0"/>
          <w:color w:val="000000"/>
          <w:sz w:val="16"/>
          <w:szCs w:val="16"/>
          <w:shd w:val="clear" w:color="auto" w:fill="FFFFFF"/>
          <w:lang w:val="es-CR"/>
        </w:rPr>
        <w:t xml:space="preserve">  </w:t>
      </w:r>
    </w:p>
  </w:footnote>
  <w:footnote w:id="2">
    <w:p w14:paraId="107A4613" w14:textId="77777777" w:rsidR="00E66C67" w:rsidRPr="001A5152" w:rsidRDefault="00E66C67" w:rsidP="00E85BD9">
      <w:pPr>
        <w:pStyle w:val="Textonotapie"/>
        <w:jc w:val="both"/>
        <w:rPr>
          <w:rFonts w:ascii="Verdana" w:hAnsi="Verdana"/>
          <w:sz w:val="16"/>
          <w:szCs w:val="16"/>
          <w:lang w:val="es-CR"/>
        </w:rPr>
      </w:pPr>
      <w:r w:rsidRPr="001A5152">
        <w:rPr>
          <w:rStyle w:val="Refdenotaalpie"/>
          <w:rFonts w:ascii="Verdana" w:hAnsi="Verdana"/>
          <w:sz w:val="16"/>
          <w:szCs w:val="16"/>
        </w:rPr>
        <w:footnoteRef/>
      </w:r>
      <w:r w:rsidRPr="001A5152">
        <w:rPr>
          <w:rFonts w:ascii="Verdana" w:hAnsi="Verdana"/>
          <w:sz w:val="16"/>
          <w:szCs w:val="16"/>
          <w:lang w:val="es-CR"/>
        </w:rPr>
        <w:t xml:space="preserve"> El artículo 48 del Reglamento de la Corte se refiere a la recusación de los peritos. Concretamente, su inciso 1.f) señala lo siguiente: “Los peritos podrán ser recusados cuando incurran en alguna de las siguientes causales: f)  haber intervenido con anterioridad, a cualquier título, y en cualquier instancia, nacional o internacional, en relación con la misma causa”. </w:t>
      </w:r>
    </w:p>
  </w:footnote>
  <w:footnote w:id="3">
    <w:p w14:paraId="25C8FEAB" w14:textId="73675A7E" w:rsidR="00E66C67" w:rsidRPr="00A75739" w:rsidRDefault="00E66C67">
      <w:pPr>
        <w:pStyle w:val="Textonotapie"/>
        <w:rPr>
          <w:lang w:val="es-CR"/>
        </w:rPr>
      </w:pPr>
      <w:r>
        <w:rPr>
          <w:rStyle w:val="Refdenotaalpie"/>
        </w:rPr>
        <w:footnoteRef/>
      </w:r>
      <w:r w:rsidRPr="00A75739">
        <w:rPr>
          <w:lang w:val="es-CR"/>
        </w:rPr>
        <w:t xml:space="preserve"> </w:t>
      </w:r>
      <w:r w:rsidRPr="006A2580">
        <w:rPr>
          <w:rStyle w:val="Textoennegrita"/>
          <w:rFonts w:ascii="Verdana" w:hAnsi="Verdana"/>
          <w:b w:val="0"/>
          <w:color w:val="000000"/>
          <w:sz w:val="16"/>
          <w:szCs w:val="16"/>
          <w:shd w:val="clear" w:color="auto" w:fill="FFFFFF"/>
          <w:lang w:val="es-CR"/>
        </w:rPr>
        <w:t xml:space="preserve">Caso </w:t>
      </w:r>
      <w:r w:rsidRPr="006A2580">
        <w:rPr>
          <w:rStyle w:val="Textoennegrita"/>
          <w:rFonts w:ascii="Verdana" w:hAnsi="Verdana"/>
          <w:b w:val="0"/>
          <w:i/>
          <w:color w:val="000000"/>
          <w:sz w:val="16"/>
          <w:szCs w:val="16"/>
          <w:shd w:val="clear" w:color="auto" w:fill="FFFFFF"/>
          <w:lang w:val="es-CR"/>
        </w:rPr>
        <w:t>Cabrera García y Montiel Flores Vs. México.</w:t>
      </w:r>
      <w:r>
        <w:rPr>
          <w:rStyle w:val="Textoennegrita"/>
          <w:rFonts w:ascii="Verdana" w:hAnsi="Verdana"/>
          <w:b w:val="0"/>
          <w:color w:val="000000"/>
          <w:sz w:val="16"/>
          <w:szCs w:val="16"/>
          <w:shd w:val="clear" w:color="auto" w:fill="FFFFFF"/>
          <w:lang w:val="es-CR"/>
        </w:rPr>
        <w:t xml:space="preserve"> Resolución de la Corte de 23 de agosto de 2010. Considerando 23</w:t>
      </w:r>
      <w:r w:rsidRPr="00CA169C">
        <w:rPr>
          <w:rStyle w:val="Textoennegrita"/>
          <w:rFonts w:ascii="Verdana" w:hAnsi="Verdana"/>
          <w:b w:val="0"/>
          <w:color w:val="000000"/>
          <w:sz w:val="16"/>
          <w:szCs w:val="16"/>
          <w:shd w:val="clear" w:color="auto" w:fill="FFFFFF"/>
          <w:lang w:val="es-C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984"/>
    <w:multiLevelType w:val="hybridMultilevel"/>
    <w:tmpl w:val="F13ACA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21B6"/>
    <w:multiLevelType w:val="hybridMultilevel"/>
    <w:tmpl w:val="CF1A96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53E2"/>
    <w:multiLevelType w:val="hybridMultilevel"/>
    <w:tmpl w:val="8D4C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5DE0"/>
    <w:multiLevelType w:val="hybridMultilevel"/>
    <w:tmpl w:val="1B36345E"/>
    <w:lvl w:ilvl="0" w:tplc="22E29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62B5E"/>
    <w:multiLevelType w:val="hybridMultilevel"/>
    <w:tmpl w:val="22D47EE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F69B4"/>
    <w:multiLevelType w:val="hybridMultilevel"/>
    <w:tmpl w:val="C5DC11D0"/>
    <w:lvl w:ilvl="0" w:tplc="C8E2039C">
      <w:start w:val="1"/>
      <w:numFmt w:val="upperLetter"/>
      <w:lvlText w:val="%1)"/>
      <w:lvlJc w:val="left"/>
      <w:pPr>
        <w:ind w:left="81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F0017"/>
    <w:multiLevelType w:val="hybridMultilevel"/>
    <w:tmpl w:val="7B5AAB82"/>
    <w:lvl w:ilvl="0" w:tplc="F00A7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94BCA"/>
    <w:multiLevelType w:val="hybridMultilevel"/>
    <w:tmpl w:val="8DFA54E4"/>
    <w:lvl w:ilvl="0" w:tplc="0874A2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8336A"/>
    <w:multiLevelType w:val="hybridMultilevel"/>
    <w:tmpl w:val="C0DC4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A2D"/>
    <w:multiLevelType w:val="hybridMultilevel"/>
    <w:tmpl w:val="B82E5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20294"/>
    <w:multiLevelType w:val="hybridMultilevel"/>
    <w:tmpl w:val="8FC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2289C"/>
    <w:multiLevelType w:val="hybridMultilevel"/>
    <w:tmpl w:val="C956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9577A"/>
    <w:multiLevelType w:val="hybridMultilevel"/>
    <w:tmpl w:val="C21AD130"/>
    <w:lvl w:ilvl="0" w:tplc="DBE4620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C3E7B"/>
    <w:multiLevelType w:val="hybridMultilevel"/>
    <w:tmpl w:val="65DE4EF2"/>
    <w:lvl w:ilvl="0" w:tplc="38C8C364">
      <w:start w:val="9"/>
      <w:numFmt w:val="upperLetter"/>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CB3929"/>
    <w:multiLevelType w:val="hybridMultilevel"/>
    <w:tmpl w:val="F68C044A"/>
    <w:lvl w:ilvl="0" w:tplc="3D9270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C286B6A"/>
    <w:multiLevelType w:val="hybridMultilevel"/>
    <w:tmpl w:val="452E7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F707D"/>
    <w:multiLevelType w:val="hybridMultilevel"/>
    <w:tmpl w:val="5C7C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86BEB"/>
    <w:multiLevelType w:val="hybridMultilevel"/>
    <w:tmpl w:val="D84A2196"/>
    <w:lvl w:ilvl="0" w:tplc="00EA8F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7712F"/>
    <w:multiLevelType w:val="hybridMultilevel"/>
    <w:tmpl w:val="616AA74A"/>
    <w:lvl w:ilvl="0" w:tplc="67CA41E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629563C"/>
    <w:multiLevelType w:val="hybridMultilevel"/>
    <w:tmpl w:val="B9A476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26955"/>
    <w:multiLevelType w:val="hybridMultilevel"/>
    <w:tmpl w:val="4AE6AAA8"/>
    <w:lvl w:ilvl="0" w:tplc="74EA9D3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53B00"/>
    <w:multiLevelType w:val="hybridMultilevel"/>
    <w:tmpl w:val="FEA2175A"/>
    <w:lvl w:ilvl="0" w:tplc="9F32BD9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8E2F61"/>
    <w:multiLevelType w:val="hybridMultilevel"/>
    <w:tmpl w:val="86423A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7"/>
  </w:num>
  <w:num w:numId="4">
    <w:abstractNumId w:val="19"/>
  </w:num>
  <w:num w:numId="5">
    <w:abstractNumId w:val="1"/>
  </w:num>
  <w:num w:numId="6">
    <w:abstractNumId w:val="0"/>
  </w:num>
  <w:num w:numId="7">
    <w:abstractNumId w:val="3"/>
  </w:num>
  <w:num w:numId="8">
    <w:abstractNumId w:val="21"/>
  </w:num>
  <w:num w:numId="9">
    <w:abstractNumId w:val="8"/>
  </w:num>
  <w:num w:numId="10">
    <w:abstractNumId w:val="2"/>
  </w:num>
  <w:num w:numId="11">
    <w:abstractNumId w:val="16"/>
  </w:num>
  <w:num w:numId="12">
    <w:abstractNumId w:val="9"/>
  </w:num>
  <w:num w:numId="13">
    <w:abstractNumId w:val="15"/>
  </w:num>
  <w:num w:numId="14">
    <w:abstractNumId w:val="12"/>
  </w:num>
  <w:num w:numId="15">
    <w:abstractNumId w:val="11"/>
  </w:num>
  <w:num w:numId="16">
    <w:abstractNumId w:val="4"/>
  </w:num>
  <w:num w:numId="17">
    <w:abstractNumId w:val="5"/>
  </w:num>
  <w:num w:numId="18">
    <w:abstractNumId w:val="6"/>
  </w:num>
  <w:num w:numId="19">
    <w:abstractNumId w:val="14"/>
  </w:num>
  <w:num w:numId="20">
    <w:abstractNumId w:val="18"/>
  </w:num>
  <w:num w:numId="21">
    <w:abstractNumId w:val="13"/>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E7"/>
    <w:rsid w:val="00000D8F"/>
    <w:rsid w:val="00024468"/>
    <w:rsid w:val="000379EA"/>
    <w:rsid w:val="00044498"/>
    <w:rsid w:val="00061188"/>
    <w:rsid w:val="00067BA7"/>
    <w:rsid w:val="00067E2D"/>
    <w:rsid w:val="000707A2"/>
    <w:rsid w:val="00070AD6"/>
    <w:rsid w:val="000919E2"/>
    <w:rsid w:val="000928D9"/>
    <w:rsid w:val="000A646F"/>
    <w:rsid w:val="000B5371"/>
    <w:rsid w:val="000C3C1E"/>
    <w:rsid w:val="000C461B"/>
    <w:rsid w:val="000E0310"/>
    <w:rsid w:val="000F7933"/>
    <w:rsid w:val="00106459"/>
    <w:rsid w:val="00114EC0"/>
    <w:rsid w:val="001229E0"/>
    <w:rsid w:val="0013536E"/>
    <w:rsid w:val="001356A7"/>
    <w:rsid w:val="001502C2"/>
    <w:rsid w:val="00154211"/>
    <w:rsid w:val="001600FF"/>
    <w:rsid w:val="0016407F"/>
    <w:rsid w:val="0017717E"/>
    <w:rsid w:val="00180056"/>
    <w:rsid w:val="00181243"/>
    <w:rsid w:val="001819F0"/>
    <w:rsid w:val="00190DD1"/>
    <w:rsid w:val="001A5152"/>
    <w:rsid w:val="001B1D65"/>
    <w:rsid w:val="001B75FF"/>
    <w:rsid w:val="001D3CCE"/>
    <w:rsid w:val="00224DF4"/>
    <w:rsid w:val="00231391"/>
    <w:rsid w:val="002407F8"/>
    <w:rsid w:val="002451BD"/>
    <w:rsid w:val="002604D3"/>
    <w:rsid w:val="0026638C"/>
    <w:rsid w:val="002725FB"/>
    <w:rsid w:val="0028064E"/>
    <w:rsid w:val="002872DB"/>
    <w:rsid w:val="002910C6"/>
    <w:rsid w:val="0029681F"/>
    <w:rsid w:val="0029739D"/>
    <w:rsid w:val="002B1230"/>
    <w:rsid w:val="002C6751"/>
    <w:rsid w:val="002D5DA0"/>
    <w:rsid w:val="002F7A5E"/>
    <w:rsid w:val="003015AD"/>
    <w:rsid w:val="00315159"/>
    <w:rsid w:val="00320EE6"/>
    <w:rsid w:val="00321E5C"/>
    <w:rsid w:val="00324474"/>
    <w:rsid w:val="0032722F"/>
    <w:rsid w:val="00351BF9"/>
    <w:rsid w:val="00355F3A"/>
    <w:rsid w:val="0036242E"/>
    <w:rsid w:val="00362CC9"/>
    <w:rsid w:val="00390022"/>
    <w:rsid w:val="003A6838"/>
    <w:rsid w:val="003B02AE"/>
    <w:rsid w:val="003C01B7"/>
    <w:rsid w:val="003D5B98"/>
    <w:rsid w:val="003F0A61"/>
    <w:rsid w:val="003F4AD3"/>
    <w:rsid w:val="00413B8E"/>
    <w:rsid w:val="00450D53"/>
    <w:rsid w:val="0046758D"/>
    <w:rsid w:val="004743C7"/>
    <w:rsid w:val="00484F28"/>
    <w:rsid w:val="00496B5B"/>
    <w:rsid w:val="004B4A49"/>
    <w:rsid w:val="004C2291"/>
    <w:rsid w:val="004C3274"/>
    <w:rsid w:val="004D3911"/>
    <w:rsid w:val="004E2FAD"/>
    <w:rsid w:val="004F5D7E"/>
    <w:rsid w:val="0050016B"/>
    <w:rsid w:val="00513552"/>
    <w:rsid w:val="00513B99"/>
    <w:rsid w:val="00520F63"/>
    <w:rsid w:val="005223E7"/>
    <w:rsid w:val="0052696B"/>
    <w:rsid w:val="0053233B"/>
    <w:rsid w:val="00545DF3"/>
    <w:rsid w:val="0057347F"/>
    <w:rsid w:val="00581530"/>
    <w:rsid w:val="00590A43"/>
    <w:rsid w:val="00594E6B"/>
    <w:rsid w:val="005977FA"/>
    <w:rsid w:val="005C2455"/>
    <w:rsid w:val="005C34DA"/>
    <w:rsid w:val="005E259B"/>
    <w:rsid w:val="005F75A1"/>
    <w:rsid w:val="005F7FA5"/>
    <w:rsid w:val="00600B60"/>
    <w:rsid w:val="006151A3"/>
    <w:rsid w:val="00622A86"/>
    <w:rsid w:val="00632043"/>
    <w:rsid w:val="00635F8B"/>
    <w:rsid w:val="00637366"/>
    <w:rsid w:val="006464C1"/>
    <w:rsid w:val="006465C0"/>
    <w:rsid w:val="00660FCD"/>
    <w:rsid w:val="0068252D"/>
    <w:rsid w:val="006826C7"/>
    <w:rsid w:val="006A2580"/>
    <w:rsid w:val="006B6B14"/>
    <w:rsid w:val="006C4F71"/>
    <w:rsid w:val="006D336B"/>
    <w:rsid w:val="006D687A"/>
    <w:rsid w:val="00700707"/>
    <w:rsid w:val="0070741A"/>
    <w:rsid w:val="00710051"/>
    <w:rsid w:val="00714CEC"/>
    <w:rsid w:val="00730B68"/>
    <w:rsid w:val="00732F83"/>
    <w:rsid w:val="00742221"/>
    <w:rsid w:val="007511F1"/>
    <w:rsid w:val="007541ED"/>
    <w:rsid w:val="007570CD"/>
    <w:rsid w:val="00767BE0"/>
    <w:rsid w:val="00774891"/>
    <w:rsid w:val="00775B4E"/>
    <w:rsid w:val="007826B7"/>
    <w:rsid w:val="0079083C"/>
    <w:rsid w:val="007A2143"/>
    <w:rsid w:val="007A543C"/>
    <w:rsid w:val="007B69BE"/>
    <w:rsid w:val="007C0BD0"/>
    <w:rsid w:val="007C531E"/>
    <w:rsid w:val="007D20A7"/>
    <w:rsid w:val="007D63D0"/>
    <w:rsid w:val="007E06F1"/>
    <w:rsid w:val="007E68A1"/>
    <w:rsid w:val="007F5B3B"/>
    <w:rsid w:val="00800F23"/>
    <w:rsid w:val="00810E00"/>
    <w:rsid w:val="00816A22"/>
    <w:rsid w:val="00843E30"/>
    <w:rsid w:val="0084680C"/>
    <w:rsid w:val="00851568"/>
    <w:rsid w:val="00871958"/>
    <w:rsid w:val="00872A77"/>
    <w:rsid w:val="00874B20"/>
    <w:rsid w:val="00874F37"/>
    <w:rsid w:val="00885897"/>
    <w:rsid w:val="00894266"/>
    <w:rsid w:val="008973F1"/>
    <w:rsid w:val="008A0DCC"/>
    <w:rsid w:val="008E7487"/>
    <w:rsid w:val="008F38B3"/>
    <w:rsid w:val="00904E3C"/>
    <w:rsid w:val="009168F5"/>
    <w:rsid w:val="0093292F"/>
    <w:rsid w:val="00935F32"/>
    <w:rsid w:val="009521C0"/>
    <w:rsid w:val="00970CC0"/>
    <w:rsid w:val="0097736F"/>
    <w:rsid w:val="00977B2E"/>
    <w:rsid w:val="00982923"/>
    <w:rsid w:val="00993A5F"/>
    <w:rsid w:val="009A5AFD"/>
    <w:rsid w:val="009C2F92"/>
    <w:rsid w:val="009C6050"/>
    <w:rsid w:val="009D2B6D"/>
    <w:rsid w:val="009F6183"/>
    <w:rsid w:val="00A1096B"/>
    <w:rsid w:val="00A14BC6"/>
    <w:rsid w:val="00A42E27"/>
    <w:rsid w:val="00A473E8"/>
    <w:rsid w:val="00A50AF8"/>
    <w:rsid w:val="00A75739"/>
    <w:rsid w:val="00A7742E"/>
    <w:rsid w:val="00A85D83"/>
    <w:rsid w:val="00AB5035"/>
    <w:rsid w:val="00AB622D"/>
    <w:rsid w:val="00AB6AAF"/>
    <w:rsid w:val="00AB7CE4"/>
    <w:rsid w:val="00AE08AE"/>
    <w:rsid w:val="00AE3FC2"/>
    <w:rsid w:val="00AF4465"/>
    <w:rsid w:val="00AF4DF2"/>
    <w:rsid w:val="00B05B67"/>
    <w:rsid w:val="00B12067"/>
    <w:rsid w:val="00B37964"/>
    <w:rsid w:val="00B446BD"/>
    <w:rsid w:val="00B52EF9"/>
    <w:rsid w:val="00B56D82"/>
    <w:rsid w:val="00B67D79"/>
    <w:rsid w:val="00B75803"/>
    <w:rsid w:val="00B75B60"/>
    <w:rsid w:val="00B8218F"/>
    <w:rsid w:val="00B97A0C"/>
    <w:rsid w:val="00BB0025"/>
    <w:rsid w:val="00BB3489"/>
    <w:rsid w:val="00BD0C48"/>
    <w:rsid w:val="00BF2681"/>
    <w:rsid w:val="00BF3A44"/>
    <w:rsid w:val="00C113E5"/>
    <w:rsid w:val="00C11B08"/>
    <w:rsid w:val="00C14F6B"/>
    <w:rsid w:val="00C17526"/>
    <w:rsid w:val="00C27A9B"/>
    <w:rsid w:val="00C44BFF"/>
    <w:rsid w:val="00C66FB8"/>
    <w:rsid w:val="00C919B0"/>
    <w:rsid w:val="00CA69F7"/>
    <w:rsid w:val="00CB40F5"/>
    <w:rsid w:val="00CB5057"/>
    <w:rsid w:val="00CB5A45"/>
    <w:rsid w:val="00CB5DF0"/>
    <w:rsid w:val="00CB6855"/>
    <w:rsid w:val="00D33FE3"/>
    <w:rsid w:val="00D50ECE"/>
    <w:rsid w:val="00D66A33"/>
    <w:rsid w:val="00DE7BCC"/>
    <w:rsid w:val="00DE7D42"/>
    <w:rsid w:val="00DF29E7"/>
    <w:rsid w:val="00DF31AB"/>
    <w:rsid w:val="00DF5B50"/>
    <w:rsid w:val="00E00544"/>
    <w:rsid w:val="00E20E60"/>
    <w:rsid w:val="00E30B08"/>
    <w:rsid w:val="00E334FB"/>
    <w:rsid w:val="00E41070"/>
    <w:rsid w:val="00E41FCA"/>
    <w:rsid w:val="00E44F53"/>
    <w:rsid w:val="00E46578"/>
    <w:rsid w:val="00E64CB2"/>
    <w:rsid w:val="00E66C67"/>
    <w:rsid w:val="00E74AE7"/>
    <w:rsid w:val="00E74DFD"/>
    <w:rsid w:val="00E85850"/>
    <w:rsid w:val="00E85BD9"/>
    <w:rsid w:val="00E86F82"/>
    <w:rsid w:val="00EB4474"/>
    <w:rsid w:val="00EC5350"/>
    <w:rsid w:val="00EE09E1"/>
    <w:rsid w:val="00EF2D0C"/>
    <w:rsid w:val="00EF7092"/>
    <w:rsid w:val="00F10944"/>
    <w:rsid w:val="00F20CD5"/>
    <w:rsid w:val="00F24631"/>
    <w:rsid w:val="00F26EBB"/>
    <w:rsid w:val="00F556FE"/>
    <w:rsid w:val="00F611E0"/>
    <w:rsid w:val="00F64FA0"/>
    <w:rsid w:val="00F81D7A"/>
    <w:rsid w:val="00F83BB1"/>
    <w:rsid w:val="00FD1720"/>
    <w:rsid w:val="00FD37EF"/>
    <w:rsid w:val="00FD4F6E"/>
    <w:rsid w:val="00FD518E"/>
    <w:rsid w:val="00FD5909"/>
    <w:rsid w:val="00FF01FC"/>
    <w:rsid w:val="00FF1241"/>
    <w:rsid w:val="00FF36F7"/>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CE72"/>
  <w15:docId w15:val="{3176DE6F-FD74-4349-9011-D355C492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01B7"/>
    <w:pPr>
      <w:ind w:left="720"/>
      <w:contextualSpacing/>
    </w:pPr>
  </w:style>
  <w:style w:type="paragraph" w:styleId="Textodeglobo">
    <w:name w:val="Balloon Text"/>
    <w:basedOn w:val="Normal"/>
    <w:link w:val="TextodegloboCar"/>
    <w:uiPriority w:val="99"/>
    <w:semiHidden/>
    <w:unhideWhenUsed/>
    <w:rsid w:val="00B821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18F"/>
    <w:rPr>
      <w:rFonts w:ascii="Tahoma" w:hAnsi="Tahoma" w:cs="Tahoma"/>
      <w:sz w:val="16"/>
      <w:szCs w:val="16"/>
    </w:rPr>
  </w:style>
  <w:style w:type="character" w:styleId="Refdecomentario">
    <w:name w:val="annotation reference"/>
    <w:basedOn w:val="Fuentedeprrafopredeter"/>
    <w:uiPriority w:val="99"/>
    <w:semiHidden/>
    <w:unhideWhenUsed/>
    <w:rsid w:val="0013536E"/>
    <w:rPr>
      <w:sz w:val="16"/>
      <w:szCs w:val="16"/>
    </w:rPr>
  </w:style>
  <w:style w:type="paragraph" w:styleId="Textocomentario">
    <w:name w:val="annotation text"/>
    <w:basedOn w:val="Normal"/>
    <w:link w:val="TextocomentarioCar"/>
    <w:uiPriority w:val="99"/>
    <w:semiHidden/>
    <w:unhideWhenUsed/>
    <w:rsid w:val="001353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536E"/>
    <w:rPr>
      <w:sz w:val="20"/>
      <w:szCs w:val="20"/>
    </w:rPr>
  </w:style>
  <w:style w:type="paragraph" w:styleId="Asuntodelcomentario">
    <w:name w:val="annotation subject"/>
    <w:basedOn w:val="Textocomentario"/>
    <w:next w:val="Textocomentario"/>
    <w:link w:val="AsuntodelcomentarioCar"/>
    <w:uiPriority w:val="99"/>
    <w:semiHidden/>
    <w:unhideWhenUsed/>
    <w:rsid w:val="0013536E"/>
    <w:rPr>
      <w:b/>
      <w:bCs/>
    </w:rPr>
  </w:style>
  <w:style w:type="character" w:customStyle="1" w:styleId="AsuntodelcomentarioCar">
    <w:name w:val="Asunto del comentario Car"/>
    <w:basedOn w:val="TextocomentarioCar"/>
    <w:link w:val="Asuntodelcomentario"/>
    <w:uiPriority w:val="99"/>
    <w:semiHidden/>
    <w:rsid w:val="0013536E"/>
    <w:rPr>
      <w:b/>
      <w:bCs/>
      <w:sz w:val="20"/>
      <w:szCs w:val="20"/>
    </w:rPr>
  </w:style>
  <w:style w:type="paragraph" w:styleId="Revisin">
    <w:name w:val="Revision"/>
    <w:hidden/>
    <w:uiPriority w:val="99"/>
    <w:semiHidden/>
    <w:rsid w:val="0097736F"/>
    <w:pPr>
      <w:spacing w:after="0" w:line="240" w:lineRule="auto"/>
    </w:pPr>
  </w:style>
  <w:style w:type="paragraph" w:styleId="Textonotapie">
    <w:name w:val="footnote text"/>
    <w:basedOn w:val="Normal"/>
    <w:link w:val="TextonotapieCar"/>
    <w:uiPriority w:val="99"/>
    <w:semiHidden/>
    <w:unhideWhenUsed/>
    <w:rsid w:val="001A51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5152"/>
    <w:rPr>
      <w:sz w:val="20"/>
      <w:szCs w:val="20"/>
    </w:rPr>
  </w:style>
  <w:style w:type="character" w:styleId="Refdenotaalpie">
    <w:name w:val="footnote reference"/>
    <w:basedOn w:val="Fuentedeprrafopredeter"/>
    <w:uiPriority w:val="99"/>
    <w:semiHidden/>
    <w:unhideWhenUsed/>
    <w:rsid w:val="001A5152"/>
    <w:rPr>
      <w:vertAlign w:val="superscript"/>
    </w:rPr>
  </w:style>
  <w:style w:type="character" w:styleId="Hipervnculo">
    <w:name w:val="Hyperlink"/>
    <w:basedOn w:val="Fuentedeprrafopredeter"/>
    <w:uiPriority w:val="99"/>
    <w:unhideWhenUsed/>
    <w:rsid w:val="007D20A7"/>
    <w:rPr>
      <w:color w:val="0000FF" w:themeColor="hyperlink"/>
      <w:u w:val="single"/>
    </w:rPr>
  </w:style>
  <w:style w:type="paragraph" w:styleId="Piedepgina">
    <w:name w:val="footer"/>
    <w:basedOn w:val="Normal"/>
    <w:link w:val="PiedepginaCar"/>
    <w:uiPriority w:val="99"/>
    <w:unhideWhenUsed/>
    <w:rsid w:val="0051355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13552"/>
  </w:style>
  <w:style w:type="character" w:styleId="Textoennegrita">
    <w:name w:val="Strong"/>
    <w:basedOn w:val="Fuentedeprrafopredeter"/>
    <w:uiPriority w:val="22"/>
    <w:qFormat/>
    <w:rsid w:val="008973F1"/>
    <w:rPr>
      <w:b/>
      <w:bCs/>
    </w:rPr>
  </w:style>
  <w:style w:type="paragraph" w:styleId="Encabezado">
    <w:name w:val="header"/>
    <w:basedOn w:val="Normal"/>
    <w:link w:val="EncabezadoCar"/>
    <w:uiPriority w:val="99"/>
    <w:unhideWhenUsed/>
    <w:rsid w:val="00F55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6FE"/>
  </w:style>
  <w:style w:type="character" w:styleId="Nmerodelnea">
    <w:name w:val="line number"/>
    <w:basedOn w:val="Fuentedeprrafopredeter"/>
    <w:uiPriority w:val="99"/>
    <w:semiHidden/>
    <w:unhideWhenUsed/>
    <w:rsid w:val="00BF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8E4B-4DD5-4F28-AB89-8BF52E1F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4775</Words>
  <Characters>26267</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Hannia Sanchez</cp:lastModifiedBy>
  <cp:revision>2</cp:revision>
  <cp:lastPrinted>2019-12-10T20:52:00Z</cp:lastPrinted>
  <dcterms:created xsi:type="dcterms:W3CDTF">2019-12-10T20:52:00Z</dcterms:created>
  <dcterms:modified xsi:type="dcterms:W3CDTF">2019-12-10T20:52:00Z</dcterms:modified>
</cp:coreProperties>
</file>