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7" w:rsidRPr="00155DB1" w:rsidRDefault="00431A17" w:rsidP="005735AE">
      <w:pPr>
        <w:spacing w:after="0"/>
        <w:ind w:right="-317"/>
        <w:jc w:val="center"/>
        <w:rPr>
          <w:rFonts w:ascii="Verdana Bold" w:hAnsi="Verdana Bold" w:cs="Verdana Bold"/>
          <w:b/>
          <w:bCs/>
          <w:caps/>
          <w:szCs w:val="20"/>
        </w:rPr>
      </w:pPr>
      <w:bookmarkStart w:id="0" w:name="_GoBack"/>
      <w:bookmarkEnd w:id="0"/>
    </w:p>
    <w:p w:rsidR="00431A17" w:rsidRPr="00155DB1" w:rsidRDefault="00431A17" w:rsidP="005735AE">
      <w:pPr>
        <w:spacing w:after="0"/>
        <w:ind w:right="-317"/>
        <w:jc w:val="center"/>
        <w:rPr>
          <w:rFonts w:ascii="Verdana Bold" w:hAnsi="Verdana Bold" w:cs="Verdana Bold"/>
          <w:b/>
          <w:bCs/>
          <w:caps/>
          <w:szCs w:val="20"/>
        </w:rPr>
      </w:pPr>
    </w:p>
    <w:p w:rsidR="00431A17" w:rsidRPr="00155DB1" w:rsidRDefault="00431A17" w:rsidP="005735AE">
      <w:pPr>
        <w:spacing w:after="0"/>
        <w:ind w:right="-317"/>
        <w:jc w:val="center"/>
        <w:rPr>
          <w:rFonts w:ascii="Verdana Bold" w:hAnsi="Verdana Bold" w:cs="Verdana Bold"/>
          <w:b/>
          <w:bCs/>
          <w:caps/>
          <w:szCs w:val="20"/>
        </w:rPr>
      </w:pPr>
    </w:p>
    <w:p w:rsidR="00431A17" w:rsidRPr="00155DB1" w:rsidRDefault="00431A17" w:rsidP="005735AE">
      <w:pPr>
        <w:spacing w:after="0"/>
        <w:ind w:right="-317"/>
        <w:jc w:val="center"/>
        <w:rPr>
          <w:rFonts w:ascii="Verdana Bold" w:hAnsi="Verdana Bold"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Pr="00155DB1" w:rsidRDefault="00431A17" w:rsidP="005735AE">
      <w:pPr>
        <w:spacing w:after="0"/>
        <w:ind w:right="-317"/>
        <w:rPr>
          <w:rFonts w:cs="Verdana Bold"/>
          <w:b/>
          <w:bCs/>
          <w:caps/>
          <w:szCs w:val="20"/>
        </w:rPr>
      </w:pPr>
    </w:p>
    <w:p w:rsidR="00431A17" w:rsidRPr="00994F3C" w:rsidRDefault="00431A17" w:rsidP="005735AE">
      <w:pPr>
        <w:spacing w:after="0"/>
        <w:ind w:right="-316"/>
        <w:jc w:val="center"/>
        <w:rPr>
          <w:rFonts w:cs="Verdana Bold"/>
          <w:b/>
          <w:bCs/>
          <w:caps/>
        </w:rPr>
      </w:pPr>
      <w:r w:rsidRPr="00994F3C">
        <w:rPr>
          <w:rFonts w:cs="Verdana Bold"/>
          <w:b/>
          <w:bCs/>
          <w:caps/>
        </w:rPr>
        <w:t xml:space="preserve">Resolución del Presidente </w:t>
      </w:r>
      <w:r w:rsidR="00AB0BFD">
        <w:rPr>
          <w:rFonts w:cs="Verdana Bold"/>
          <w:b/>
          <w:bCs/>
          <w:caps/>
        </w:rPr>
        <w:t xml:space="preserve">EN EJERCICIO </w:t>
      </w:r>
      <w:r w:rsidRPr="00994F3C">
        <w:rPr>
          <w:rFonts w:cs="Verdana Bold"/>
          <w:b/>
          <w:bCs/>
          <w:caps/>
        </w:rPr>
        <w:t>de la</w:t>
      </w:r>
    </w:p>
    <w:p w:rsidR="00431A17" w:rsidRPr="00BD22C0" w:rsidRDefault="00431A17" w:rsidP="005735AE">
      <w:pPr>
        <w:spacing w:after="0"/>
        <w:ind w:right="-316"/>
        <w:jc w:val="center"/>
        <w:rPr>
          <w:rFonts w:cs="Verdana Bold"/>
          <w:b/>
          <w:bCs/>
          <w:caps/>
        </w:rPr>
      </w:pPr>
      <w:r w:rsidRPr="00BD22C0">
        <w:rPr>
          <w:rFonts w:cs="Verdana Bold"/>
          <w:b/>
          <w:bCs/>
          <w:caps/>
        </w:rPr>
        <w:t>Corte Interamericana de Derechos Humanos</w:t>
      </w:r>
      <w:r w:rsidR="00ED4096">
        <w:rPr>
          <w:rStyle w:val="FootnoteReference"/>
          <w:rFonts w:cs="Verdana Bold"/>
          <w:b/>
          <w:bCs/>
          <w:caps/>
        </w:rPr>
        <w:footnoteReference w:customMarkFollows="1" w:id="1"/>
        <w:t>*</w:t>
      </w:r>
    </w:p>
    <w:p w:rsidR="00431A17" w:rsidRPr="00BD22C0" w:rsidRDefault="00431A17" w:rsidP="005735AE">
      <w:pPr>
        <w:spacing w:after="0"/>
        <w:ind w:right="-316"/>
        <w:rPr>
          <w:rFonts w:cs="Verdana Bold"/>
          <w:b/>
          <w:bCs/>
          <w:caps/>
          <w:szCs w:val="20"/>
        </w:rPr>
      </w:pPr>
    </w:p>
    <w:p w:rsidR="00431A17" w:rsidRPr="00BD22C0" w:rsidRDefault="00431A17" w:rsidP="005735AE">
      <w:pPr>
        <w:spacing w:after="0"/>
        <w:ind w:right="-316"/>
        <w:jc w:val="center"/>
        <w:rPr>
          <w:rFonts w:cs="Verdana Bold"/>
          <w:b/>
          <w:bCs/>
          <w:caps/>
          <w:szCs w:val="20"/>
        </w:rPr>
      </w:pPr>
      <w:r w:rsidRPr="00705738">
        <w:rPr>
          <w:rFonts w:cs="Verdana Bold"/>
          <w:b/>
          <w:bCs/>
          <w:caps/>
          <w:szCs w:val="20"/>
        </w:rPr>
        <w:t xml:space="preserve">DE </w:t>
      </w:r>
      <w:r w:rsidR="00783501">
        <w:rPr>
          <w:rFonts w:cs="Verdana Bold"/>
          <w:b/>
          <w:bCs/>
          <w:caps/>
          <w:szCs w:val="20"/>
        </w:rPr>
        <w:t>7</w:t>
      </w:r>
      <w:r w:rsidR="0025008A" w:rsidRPr="00705738">
        <w:rPr>
          <w:rFonts w:cs="Verdana Bold"/>
          <w:b/>
          <w:bCs/>
          <w:caps/>
          <w:szCs w:val="20"/>
        </w:rPr>
        <w:t xml:space="preserve"> de </w:t>
      </w:r>
      <w:r w:rsidR="006E1B0A">
        <w:rPr>
          <w:rFonts w:cs="Verdana Bold"/>
          <w:b/>
          <w:bCs/>
          <w:caps/>
          <w:szCs w:val="20"/>
        </w:rPr>
        <w:t>ABRIL</w:t>
      </w:r>
      <w:r w:rsidR="0025008A" w:rsidRPr="00705738">
        <w:rPr>
          <w:rFonts w:cs="Verdana Bold"/>
          <w:b/>
          <w:bCs/>
          <w:caps/>
          <w:szCs w:val="20"/>
        </w:rPr>
        <w:t xml:space="preserve"> de 201</w:t>
      </w:r>
      <w:r w:rsidR="00135E8F">
        <w:rPr>
          <w:rFonts w:cs="Verdana Bold"/>
          <w:b/>
          <w:bCs/>
          <w:caps/>
          <w:szCs w:val="20"/>
        </w:rPr>
        <w:t>7</w:t>
      </w:r>
    </w:p>
    <w:p w:rsidR="00431A17" w:rsidRPr="00BD22C0" w:rsidRDefault="00431A17" w:rsidP="005735AE">
      <w:pPr>
        <w:spacing w:after="0"/>
        <w:ind w:right="-316"/>
        <w:rPr>
          <w:rFonts w:cs="Verdana Bold"/>
          <w:b/>
          <w:bCs/>
          <w:caps/>
          <w:szCs w:val="20"/>
        </w:rPr>
      </w:pPr>
    </w:p>
    <w:p w:rsidR="00350E89" w:rsidRPr="0030019E" w:rsidRDefault="0025008A" w:rsidP="005735AE">
      <w:pPr>
        <w:spacing w:after="0"/>
        <w:ind w:right="-316"/>
        <w:jc w:val="center"/>
        <w:rPr>
          <w:rFonts w:cs="Verdana Bold"/>
          <w:b/>
          <w:bCs/>
          <w:caps/>
          <w:szCs w:val="20"/>
        </w:rPr>
      </w:pPr>
      <w:r w:rsidRPr="00135E8F">
        <w:rPr>
          <w:rFonts w:cs="Verdana Bold"/>
          <w:b/>
          <w:bCs/>
          <w:szCs w:val="20"/>
          <w:lang w:val="es-CR"/>
        </w:rPr>
        <w:t xml:space="preserve">CASO </w:t>
      </w:r>
      <w:r w:rsidR="00135E8F" w:rsidRPr="00135E8F">
        <w:rPr>
          <w:rFonts w:cs="Arial"/>
          <w:b/>
          <w:lang w:val="es-CR"/>
        </w:rPr>
        <w:t>VLAD</w:t>
      </w:r>
      <w:r w:rsidR="0082433D">
        <w:rPr>
          <w:rFonts w:cs="Arial"/>
          <w:b/>
          <w:lang w:val="es-CR"/>
        </w:rPr>
        <w:t>I</w:t>
      </w:r>
      <w:r w:rsidR="00135E8F" w:rsidRPr="00135E8F">
        <w:rPr>
          <w:rFonts w:cs="Arial"/>
          <w:b/>
          <w:lang w:val="es-CR"/>
        </w:rPr>
        <w:t xml:space="preserve">MIR HERZOG Y OTROS </w:t>
      </w:r>
      <w:r w:rsidR="00431A17" w:rsidRPr="00135E8F">
        <w:rPr>
          <w:rFonts w:cs="Verdana Bold"/>
          <w:b/>
          <w:bCs/>
          <w:caps/>
          <w:szCs w:val="20"/>
          <w:lang w:val="es-CR"/>
        </w:rPr>
        <w:t xml:space="preserve">VS. </w:t>
      </w:r>
      <w:r w:rsidR="00431A17" w:rsidRPr="0030019E">
        <w:rPr>
          <w:rFonts w:cs="Verdana Bold"/>
          <w:b/>
          <w:bCs/>
          <w:caps/>
          <w:szCs w:val="20"/>
        </w:rPr>
        <w:t>BRASIL</w:t>
      </w:r>
    </w:p>
    <w:p w:rsidR="00431A17" w:rsidRPr="00BD22C0" w:rsidRDefault="00350E89" w:rsidP="005735AE">
      <w:pPr>
        <w:spacing w:after="0"/>
        <w:ind w:right="-316"/>
        <w:jc w:val="center"/>
        <w:rPr>
          <w:rFonts w:cs="Verdana Bold"/>
          <w:b/>
          <w:bCs/>
          <w:caps/>
          <w:szCs w:val="20"/>
        </w:rPr>
      </w:pPr>
      <w:r>
        <w:rPr>
          <w:rFonts w:cs="Verdana Bold"/>
          <w:b/>
          <w:bCs/>
          <w:caps/>
          <w:szCs w:val="20"/>
        </w:rPr>
        <w:t>CONVOCATORIA A AUDIENCIA</w:t>
      </w:r>
      <w:r w:rsidR="00431A17" w:rsidRPr="00BD22C0">
        <w:rPr>
          <w:rFonts w:cs="Verdana Bold"/>
          <w:b/>
          <w:bCs/>
          <w:caps/>
          <w:szCs w:val="20"/>
        </w:rPr>
        <w:t xml:space="preserve"> </w:t>
      </w:r>
    </w:p>
    <w:p w:rsidR="00431A17" w:rsidRPr="00BD22C0" w:rsidRDefault="00431A17" w:rsidP="005735AE">
      <w:pPr>
        <w:spacing w:after="0"/>
        <w:rPr>
          <w:rFonts w:cs="Verdana"/>
          <w:b/>
          <w:bCs/>
          <w:caps/>
          <w:szCs w:val="20"/>
        </w:rPr>
      </w:pPr>
    </w:p>
    <w:p w:rsidR="00431A17" w:rsidRPr="00BD22C0" w:rsidRDefault="00431A17" w:rsidP="005735AE">
      <w:pPr>
        <w:spacing w:after="0"/>
        <w:rPr>
          <w:rFonts w:cs="Verdana"/>
          <w:b/>
          <w:bCs/>
          <w:caps/>
          <w:szCs w:val="20"/>
        </w:rPr>
      </w:pPr>
    </w:p>
    <w:p w:rsidR="00431A17" w:rsidRPr="00BD22C0" w:rsidRDefault="00431A17" w:rsidP="005735AE">
      <w:pPr>
        <w:spacing w:after="0"/>
        <w:rPr>
          <w:rFonts w:cs="Verdana"/>
          <w:b/>
          <w:bCs/>
          <w:caps/>
          <w:szCs w:val="20"/>
        </w:rPr>
      </w:pPr>
      <w:r w:rsidRPr="00BD22C0">
        <w:rPr>
          <w:rFonts w:cs="Verdana"/>
          <w:b/>
          <w:bCs/>
          <w:caps/>
          <w:szCs w:val="20"/>
        </w:rPr>
        <w:t>Visto:</w:t>
      </w:r>
    </w:p>
    <w:p w:rsidR="00431A17" w:rsidRPr="00BD22C0" w:rsidRDefault="00431A17" w:rsidP="005735AE">
      <w:pPr>
        <w:spacing w:after="0"/>
        <w:rPr>
          <w:rFonts w:cs="Verdana"/>
          <w:b/>
          <w:bCs/>
          <w:caps/>
          <w:szCs w:val="20"/>
        </w:rPr>
      </w:pPr>
    </w:p>
    <w:p w:rsidR="00431A17" w:rsidRPr="00E44575" w:rsidRDefault="00431A17" w:rsidP="005735AE">
      <w:pPr>
        <w:pStyle w:val="Listavistosa-nfasis11"/>
        <w:widowControl w:val="0"/>
        <w:numPr>
          <w:ilvl w:val="0"/>
          <w:numId w:val="7"/>
        </w:numPr>
        <w:tabs>
          <w:tab w:val="left" w:pos="567"/>
          <w:tab w:val="left" w:pos="720"/>
        </w:tabs>
        <w:autoSpaceDE w:val="0"/>
        <w:autoSpaceDN w:val="0"/>
        <w:adjustRightInd w:val="0"/>
        <w:spacing w:after="0"/>
        <w:ind w:left="0" w:right="22" w:firstLine="0"/>
        <w:contextualSpacing w:val="0"/>
        <w:rPr>
          <w:lang w:val="es-CR"/>
        </w:rPr>
      </w:pPr>
      <w:bookmarkStart w:id="1" w:name="_Ref393297742"/>
      <w:bookmarkStart w:id="2" w:name="_Ref352676460"/>
      <w:bookmarkStart w:id="3" w:name="_Ref393297780"/>
      <w:bookmarkStart w:id="4" w:name="_Ref393920719"/>
      <w:r w:rsidRPr="00E44575">
        <w:rPr>
          <w:lang w:val="es-CR"/>
        </w:rPr>
        <w:t>El escrito de sometimiento del caso y el Informe de Fondo de la Comisión Interamericana de Derechos Humanos (en adelante “la Comisión Interamericana” o “la Comisión”)</w:t>
      </w:r>
      <w:bookmarkEnd w:id="1"/>
      <w:r w:rsidRPr="00E44575">
        <w:rPr>
          <w:lang w:val="es-CR"/>
        </w:rPr>
        <w:t xml:space="preserve">; </w:t>
      </w:r>
      <w:bookmarkStart w:id="5" w:name="_Ref351983508"/>
      <w:bookmarkStart w:id="6" w:name="_Ref393297751"/>
      <w:bookmarkEnd w:id="2"/>
      <w:r w:rsidRPr="00E44575">
        <w:rPr>
          <w:lang w:val="es-CR"/>
        </w:rPr>
        <w:t xml:space="preserve">el escrito de solicitudes, argumentos y pruebas (en adelante el “escrito de solicitudes y argumentos”) </w:t>
      </w:r>
      <w:r w:rsidRPr="00E44575">
        <w:rPr>
          <w:szCs w:val="20"/>
          <w:lang w:val="es-CL" w:eastAsia="en-US"/>
        </w:rPr>
        <w:t>de los representantes</w:t>
      </w:r>
      <w:r w:rsidRPr="00E44575">
        <w:rPr>
          <w:rStyle w:val="FootnoteReference"/>
          <w:szCs w:val="20"/>
          <w:lang w:val="es-CL" w:eastAsia="en-US"/>
        </w:rPr>
        <w:t xml:space="preserve"> </w:t>
      </w:r>
      <w:r w:rsidRPr="00E44575">
        <w:rPr>
          <w:szCs w:val="20"/>
          <w:lang w:val="es-CL" w:eastAsia="en-US"/>
        </w:rPr>
        <w:t>de las presuntas víctimas</w:t>
      </w:r>
      <w:r w:rsidRPr="00E44575">
        <w:rPr>
          <w:lang w:val="es-CR"/>
        </w:rPr>
        <w:t xml:space="preserve"> (en adelante “los representantes”); </w:t>
      </w:r>
      <w:bookmarkStart w:id="7" w:name="_Ref352676532"/>
      <w:bookmarkEnd w:id="5"/>
      <w:bookmarkEnd w:id="6"/>
      <w:r w:rsidRPr="00E44575">
        <w:rPr>
          <w:lang w:val="es-CR"/>
        </w:rPr>
        <w:t>el escrito de excepciones preliminares y contestación al sometimiento del caso y al escrito de solicitudes y argumentos (en adelante “escrito de contestación”) de</w:t>
      </w:r>
      <w:r>
        <w:rPr>
          <w:lang w:val="es-CR"/>
        </w:rPr>
        <w:t xml:space="preserve"> </w:t>
      </w:r>
      <w:r w:rsidRPr="00E44575">
        <w:rPr>
          <w:lang w:val="es-CR"/>
        </w:rPr>
        <w:t>l</w:t>
      </w:r>
      <w:r>
        <w:rPr>
          <w:lang w:val="es-CR"/>
        </w:rPr>
        <w:t>a República Federativa de Brasil</w:t>
      </w:r>
      <w:r w:rsidRPr="00E44575">
        <w:rPr>
          <w:lang w:val="es-CR"/>
        </w:rPr>
        <w:t xml:space="preserve"> (en adelante “</w:t>
      </w:r>
      <w:r>
        <w:rPr>
          <w:lang w:val="es-CR"/>
        </w:rPr>
        <w:t>Brasil</w:t>
      </w:r>
      <w:r w:rsidRPr="00E44575">
        <w:rPr>
          <w:lang w:val="es-CR"/>
        </w:rPr>
        <w:t>” o “el Estado”)</w:t>
      </w:r>
      <w:bookmarkEnd w:id="7"/>
      <w:r>
        <w:rPr>
          <w:lang w:val="es-CR"/>
        </w:rPr>
        <w:t>,</w:t>
      </w:r>
      <w:r w:rsidRPr="00E44575">
        <w:rPr>
          <w:lang w:val="es-CR"/>
        </w:rPr>
        <w:t xml:space="preserve"> así como los escritos de observaciones a las excepciones preliminares presentados por la Comisión y los representantes.</w:t>
      </w:r>
    </w:p>
    <w:p w:rsidR="00431A17" w:rsidRPr="00E44575" w:rsidRDefault="00431A17" w:rsidP="005735AE">
      <w:pPr>
        <w:pStyle w:val="Listavistosa-nfasis11"/>
        <w:numPr>
          <w:ilvl w:val="0"/>
          <w:numId w:val="0"/>
        </w:numPr>
        <w:tabs>
          <w:tab w:val="left" w:pos="567"/>
          <w:tab w:val="left" w:pos="720"/>
        </w:tabs>
        <w:spacing w:after="0"/>
        <w:contextualSpacing w:val="0"/>
        <w:rPr>
          <w:lang w:val="es-CR"/>
        </w:rPr>
      </w:pPr>
    </w:p>
    <w:bookmarkEnd w:id="3"/>
    <w:p w:rsidR="00350E89" w:rsidRPr="00806E48" w:rsidRDefault="00431A17" w:rsidP="005735AE">
      <w:pPr>
        <w:pStyle w:val="Listavistosa-nfasis11"/>
        <w:widowControl w:val="0"/>
        <w:numPr>
          <w:ilvl w:val="0"/>
          <w:numId w:val="7"/>
        </w:numPr>
        <w:tabs>
          <w:tab w:val="left" w:pos="567"/>
          <w:tab w:val="left" w:pos="720"/>
        </w:tabs>
        <w:autoSpaceDE w:val="0"/>
        <w:autoSpaceDN w:val="0"/>
        <w:adjustRightInd w:val="0"/>
        <w:spacing w:after="0"/>
        <w:ind w:left="0" w:right="22" w:firstLine="0"/>
        <w:contextualSpacing w:val="0"/>
        <w:rPr>
          <w:b/>
          <w:lang w:val="es-CR"/>
        </w:rPr>
      </w:pPr>
      <w:r w:rsidRPr="00806E48">
        <w:rPr>
          <w:lang w:val="es-CR"/>
        </w:rPr>
        <w:t xml:space="preserve">Las listas definitivas de declarantes presentadas por </w:t>
      </w:r>
      <w:r w:rsidR="00AB0BFD" w:rsidRPr="00806E48">
        <w:rPr>
          <w:lang w:val="es-CR"/>
        </w:rPr>
        <w:t xml:space="preserve">los representantes, </w:t>
      </w:r>
      <w:r w:rsidRPr="00806E48">
        <w:rPr>
          <w:lang w:val="es-CR"/>
        </w:rPr>
        <w:t xml:space="preserve">el Estado y la Comisión y las correspondientes observaciones a dichas listas. </w:t>
      </w:r>
      <w:bookmarkEnd w:id="4"/>
    </w:p>
    <w:p w:rsidR="00806E48" w:rsidRPr="00806E48" w:rsidRDefault="00806E48" w:rsidP="005735AE">
      <w:pPr>
        <w:pStyle w:val="Listavistosa-nfasis11"/>
        <w:widowControl w:val="0"/>
        <w:numPr>
          <w:ilvl w:val="0"/>
          <w:numId w:val="0"/>
        </w:numPr>
        <w:tabs>
          <w:tab w:val="left" w:pos="567"/>
          <w:tab w:val="left" w:pos="720"/>
        </w:tabs>
        <w:autoSpaceDE w:val="0"/>
        <w:autoSpaceDN w:val="0"/>
        <w:adjustRightInd w:val="0"/>
        <w:spacing w:after="0"/>
        <w:ind w:right="22"/>
        <w:contextualSpacing w:val="0"/>
        <w:rPr>
          <w:b/>
          <w:lang w:val="es-CR"/>
        </w:rPr>
      </w:pPr>
    </w:p>
    <w:p w:rsidR="00350E89" w:rsidRPr="00854DE1" w:rsidRDefault="00350E89" w:rsidP="005735AE">
      <w:pPr>
        <w:pStyle w:val="Listavistosa-nfasis11"/>
        <w:widowControl w:val="0"/>
        <w:numPr>
          <w:ilvl w:val="0"/>
          <w:numId w:val="7"/>
        </w:numPr>
        <w:tabs>
          <w:tab w:val="left" w:pos="567"/>
          <w:tab w:val="left" w:pos="720"/>
        </w:tabs>
        <w:autoSpaceDE w:val="0"/>
        <w:autoSpaceDN w:val="0"/>
        <w:adjustRightInd w:val="0"/>
        <w:spacing w:after="0"/>
        <w:ind w:left="0" w:right="22" w:firstLine="0"/>
        <w:contextualSpacing w:val="0"/>
        <w:rPr>
          <w:b/>
          <w:lang w:val="es-CR"/>
        </w:rPr>
      </w:pPr>
      <w:r w:rsidRPr="00854DE1">
        <w:t xml:space="preserve">La Resolución del Presidente </w:t>
      </w:r>
      <w:r w:rsidR="007E2235">
        <w:t xml:space="preserve">en ejercicio </w:t>
      </w:r>
      <w:r w:rsidRPr="00854DE1">
        <w:t xml:space="preserve">de la Corte Interamericana de Derechos Humanos (en adelante “el Presidente”) de </w:t>
      </w:r>
      <w:r w:rsidR="00854DE1">
        <w:t>2</w:t>
      </w:r>
      <w:r w:rsidRPr="00854DE1">
        <w:t xml:space="preserve">3 de </w:t>
      </w:r>
      <w:r w:rsidR="00854DE1">
        <w:t>febrero</w:t>
      </w:r>
      <w:r w:rsidRPr="00854DE1">
        <w:t xml:space="preserve"> de 201</w:t>
      </w:r>
      <w:r w:rsidR="00854DE1">
        <w:t>7</w:t>
      </w:r>
      <w:r w:rsidRPr="00854DE1">
        <w:t xml:space="preserve"> sobre el Fondo de Asistencia Legal de Víctimas.</w:t>
      </w:r>
    </w:p>
    <w:p w:rsidR="00431A17" w:rsidRPr="00E44575" w:rsidRDefault="00431A17" w:rsidP="005735AE">
      <w:pPr>
        <w:spacing w:after="0"/>
        <w:rPr>
          <w:rFonts w:cs="Verdana"/>
          <w:b/>
          <w:bCs/>
          <w:caps/>
          <w:szCs w:val="20"/>
        </w:rPr>
      </w:pPr>
    </w:p>
    <w:p w:rsidR="00431A17" w:rsidRPr="00E44575" w:rsidRDefault="00431A17" w:rsidP="005735AE">
      <w:pPr>
        <w:tabs>
          <w:tab w:val="left" w:pos="720"/>
        </w:tabs>
        <w:autoSpaceDE w:val="0"/>
        <w:autoSpaceDN w:val="0"/>
        <w:adjustRightInd w:val="0"/>
        <w:spacing w:after="0"/>
        <w:jc w:val="left"/>
        <w:rPr>
          <w:rFonts w:eastAsia="Times New Roman" w:cs="Verdana"/>
          <w:b/>
          <w:bCs/>
          <w:szCs w:val="20"/>
          <w:lang w:val="es-CL" w:eastAsia="en-US"/>
        </w:rPr>
      </w:pPr>
      <w:r w:rsidRPr="00E44575">
        <w:rPr>
          <w:rFonts w:eastAsia="Times New Roman" w:cs="Verdana"/>
          <w:b/>
          <w:bCs/>
          <w:szCs w:val="20"/>
          <w:lang w:val="es-CL" w:eastAsia="en-US"/>
        </w:rPr>
        <w:t>CONSIDERANDO QUE:</w:t>
      </w:r>
    </w:p>
    <w:p w:rsidR="00431A17" w:rsidRPr="00FB1AD3" w:rsidRDefault="00431A17" w:rsidP="005735AE">
      <w:pPr>
        <w:pStyle w:val="Listavistosa-nfasis11"/>
        <w:numPr>
          <w:ilvl w:val="0"/>
          <w:numId w:val="0"/>
        </w:numPr>
        <w:autoSpaceDE w:val="0"/>
        <w:autoSpaceDN w:val="0"/>
        <w:adjustRightInd w:val="0"/>
        <w:spacing w:after="0"/>
        <w:ind w:left="180"/>
        <w:contextualSpacing w:val="0"/>
        <w:rPr>
          <w:lang w:val="es-ES"/>
        </w:rPr>
      </w:pPr>
    </w:p>
    <w:p w:rsidR="00431A17"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El ofrecimiento y la admisión de la prueba, así como la citación de </w:t>
      </w:r>
      <w:r>
        <w:rPr>
          <w:rFonts w:eastAsia="Times New Roman" w:cs="Verdana"/>
          <w:szCs w:val="20"/>
          <w:lang w:val="es-CL" w:eastAsia="en-US"/>
        </w:rPr>
        <w:t xml:space="preserve">presuntas víctimas, </w:t>
      </w:r>
      <w:r w:rsidRPr="00E44575">
        <w:rPr>
          <w:rFonts w:eastAsia="Times New Roman" w:cs="Verdana"/>
          <w:szCs w:val="20"/>
          <w:lang w:val="es-CL" w:eastAsia="en-US"/>
        </w:rPr>
        <w:t>testigos y peritos, se encuentran regulados en los artículos 35.1.f, 40.2.c, 41.1.c, 46, 48</w:t>
      </w:r>
      <w:r>
        <w:rPr>
          <w:rFonts w:eastAsia="Times New Roman" w:cs="Verdana"/>
          <w:szCs w:val="20"/>
          <w:lang w:val="es-CL" w:eastAsia="en-US"/>
        </w:rPr>
        <w:t xml:space="preserve"> a</w:t>
      </w:r>
      <w:r w:rsidRPr="00E44575">
        <w:rPr>
          <w:rFonts w:eastAsia="Times New Roman" w:cs="Verdana"/>
          <w:szCs w:val="20"/>
          <w:lang w:val="es-CL" w:eastAsia="en-US"/>
        </w:rPr>
        <w:t xml:space="preserve"> 50, y 57 del Reglamento del Tribunal. </w:t>
      </w:r>
    </w:p>
    <w:p w:rsidR="00431A17" w:rsidRPr="00E44575" w:rsidRDefault="00431A17" w:rsidP="005735AE">
      <w:pPr>
        <w:autoSpaceDE w:val="0"/>
        <w:autoSpaceDN w:val="0"/>
        <w:adjustRightInd w:val="0"/>
        <w:spacing w:after="0"/>
        <w:rPr>
          <w:rFonts w:eastAsia="Times New Roman" w:cs="Verdana"/>
          <w:szCs w:val="20"/>
          <w:lang w:val="es-CL" w:eastAsia="en-US"/>
        </w:rPr>
      </w:pPr>
    </w:p>
    <w:p w:rsidR="00431A17"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La Corte garantizó a las partes el derecho de defensa respecto de los ofrecimientos probatorios realizados en sus escritos de sometimiento del caso, solicitudes y argumentos, y </w:t>
      </w:r>
      <w:r w:rsidRPr="001204B1">
        <w:rPr>
          <w:rFonts w:eastAsia="Times New Roman" w:cs="Verdana"/>
          <w:szCs w:val="20"/>
          <w:lang w:val="es-CL" w:eastAsia="en-US"/>
        </w:rPr>
        <w:t>contestación, así como en las respectivas listas definitivas de declarantes.</w:t>
      </w:r>
    </w:p>
    <w:p w:rsidR="00431A17" w:rsidRPr="00CF6F46" w:rsidRDefault="00431A17" w:rsidP="005735AE">
      <w:pPr>
        <w:pStyle w:val="Listavistosa-nfasis11"/>
        <w:numPr>
          <w:ilvl w:val="0"/>
          <w:numId w:val="0"/>
        </w:numPr>
        <w:spacing w:after="0"/>
        <w:ind w:left="720"/>
        <w:contextualSpacing w:val="0"/>
        <w:rPr>
          <w:rFonts w:eastAsia="Times New Roman" w:cs="Verdana"/>
          <w:szCs w:val="20"/>
          <w:lang w:val="es-CL" w:eastAsia="en-US"/>
        </w:rPr>
      </w:pPr>
    </w:p>
    <w:p w:rsidR="00431A17"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D561D6">
        <w:rPr>
          <w:rFonts w:eastAsia="Times New Roman" w:cs="Verdana"/>
          <w:szCs w:val="20"/>
          <w:lang w:val="es-CL" w:eastAsia="en-US"/>
        </w:rPr>
        <w:lastRenderedPageBreak/>
        <w:t>Los representantes ofrecieron las declaraciones de</w:t>
      </w:r>
      <w:r>
        <w:rPr>
          <w:rFonts w:eastAsia="Times New Roman" w:cs="Verdana"/>
          <w:szCs w:val="20"/>
          <w:lang w:val="es-CL" w:eastAsia="en-US"/>
        </w:rPr>
        <w:t xml:space="preserve"> </w:t>
      </w:r>
      <w:r w:rsidR="00A308B4">
        <w:rPr>
          <w:rFonts w:eastAsia="Times New Roman" w:cs="Verdana"/>
          <w:szCs w:val="20"/>
          <w:lang w:val="es-CL" w:eastAsia="en-US"/>
        </w:rPr>
        <w:t>tres</w:t>
      </w:r>
      <w:r w:rsidR="005B7C90">
        <w:rPr>
          <w:rFonts w:eastAsia="Times New Roman" w:cs="Verdana"/>
          <w:szCs w:val="20"/>
          <w:lang w:val="es-CL" w:eastAsia="en-US"/>
        </w:rPr>
        <w:t xml:space="preserve"> presuntas víctimas, una declaración testimonial y </w:t>
      </w:r>
      <w:r w:rsidR="00A308B4">
        <w:rPr>
          <w:rFonts w:eastAsia="Times New Roman" w:cs="Verdana"/>
          <w:szCs w:val="20"/>
          <w:lang w:val="es-CL" w:eastAsia="en-US"/>
        </w:rPr>
        <w:t>seis</w:t>
      </w:r>
      <w:r w:rsidR="005B7C90">
        <w:rPr>
          <w:rFonts w:eastAsia="Times New Roman" w:cs="Verdana"/>
          <w:szCs w:val="20"/>
          <w:lang w:val="es-CL" w:eastAsia="en-US"/>
        </w:rPr>
        <w:t xml:space="preserve"> dictámenes periciales</w:t>
      </w:r>
      <w:r w:rsidR="00A308B4">
        <w:rPr>
          <w:rFonts w:eastAsia="Times New Roman" w:cs="Verdana"/>
          <w:szCs w:val="20"/>
          <w:lang w:val="es-CL" w:eastAsia="en-US"/>
        </w:rPr>
        <w:t>. El Estado ofreció tres dictá</w:t>
      </w:r>
      <w:r w:rsidR="00263A7A">
        <w:rPr>
          <w:rFonts w:eastAsia="Times New Roman" w:cs="Verdana"/>
          <w:szCs w:val="20"/>
          <w:lang w:val="es-CL" w:eastAsia="en-US"/>
        </w:rPr>
        <w:t>men</w:t>
      </w:r>
      <w:r w:rsidR="00A308B4">
        <w:rPr>
          <w:rFonts w:eastAsia="Times New Roman" w:cs="Verdana"/>
          <w:szCs w:val="20"/>
          <w:lang w:val="es-CL" w:eastAsia="en-US"/>
        </w:rPr>
        <w:t>es</w:t>
      </w:r>
      <w:r w:rsidR="00263A7A">
        <w:rPr>
          <w:rFonts w:eastAsia="Times New Roman" w:cs="Verdana"/>
          <w:szCs w:val="20"/>
          <w:lang w:val="es-CL" w:eastAsia="en-US"/>
        </w:rPr>
        <w:t xml:space="preserve"> </w:t>
      </w:r>
      <w:r w:rsidR="00263A7A" w:rsidRPr="00BE478D">
        <w:rPr>
          <w:rFonts w:eastAsia="Times New Roman" w:cs="Verdana"/>
          <w:szCs w:val="20"/>
          <w:lang w:val="es-CL" w:eastAsia="en-US"/>
        </w:rPr>
        <w:t>pericial</w:t>
      </w:r>
      <w:r w:rsidR="00A308B4">
        <w:rPr>
          <w:rFonts w:eastAsia="Times New Roman" w:cs="Verdana"/>
          <w:szCs w:val="20"/>
          <w:lang w:val="es-CL" w:eastAsia="en-US"/>
        </w:rPr>
        <w:t>es</w:t>
      </w:r>
      <w:r w:rsidR="00263A7A" w:rsidRPr="00BE478D">
        <w:rPr>
          <w:rFonts w:eastAsia="Times New Roman" w:cs="Verdana"/>
          <w:szCs w:val="20"/>
          <w:lang w:val="es-CL" w:eastAsia="en-US"/>
        </w:rPr>
        <w:t>. L</w:t>
      </w:r>
      <w:r w:rsidRPr="00BE478D">
        <w:rPr>
          <w:rFonts w:eastAsia="Times New Roman" w:cs="Verdana"/>
          <w:szCs w:val="20"/>
          <w:lang w:val="es-CL" w:eastAsia="en-US"/>
        </w:rPr>
        <w:t xml:space="preserve">a Comisión ofreció </w:t>
      </w:r>
      <w:r w:rsidR="00046380" w:rsidRPr="00BE478D">
        <w:rPr>
          <w:rFonts w:eastAsia="Times New Roman" w:cs="Verdana"/>
          <w:szCs w:val="20"/>
          <w:lang w:val="es-CL" w:eastAsia="en-US"/>
        </w:rPr>
        <w:t>dos</w:t>
      </w:r>
      <w:r w:rsidRPr="00D561D6">
        <w:rPr>
          <w:rFonts w:eastAsia="Times New Roman" w:cs="Verdana"/>
          <w:szCs w:val="20"/>
          <w:lang w:val="es-CL" w:eastAsia="en-US"/>
        </w:rPr>
        <w:t xml:space="preserve"> </w:t>
      </w:r>
      <w:r w:rsidR="00046380" w:rsidRPr="00D561D6">
        <w:rPr>
          <w:rFonts w:eastAsia="Times New Roman" w:cs="Verdana"/>
          <w:szCs w:val="20"/>
          <w:lang w:val="es-CL" w:eastAsia="en-US"/>
        </w:rPr>
        <w:t>dictámen</w:t>
      </w:r>
      <w:r w:rsidR="00046380">
        <w:rPr>
          <w:rFonts w:eastAsia="Times New Roman" w:cs="Verdana"/>
          <w:szCs w:val="20"/>
          <w:lang w:val="es-CL" w:eastAsia="en-US"/>
        </w:rPr>
        <w:t>es</w:t>
      </w:r>
      <w:r w:rsidRPr="00D561D6">
        <w:rPr>
          <w:rFonts w:eastAsia="Times New Roman" w:cs="Verdana"/>
          <w:szCs w:val="20"/>
          <w:lang w:val="es-CL" w:eastAsia="en-US"/>
        </w:rPr>
        <w:t xml:space="preserve"> pericial</w:t>
      </w:r>
      <w:r w:rsidR="00046380">
        <w:rPr>
          <w:rFonts w:eastAsia="Times New Roman" w:cs="Verdana"/>
          <w:szCs w:val="20"/>
          <w:lang w:val="es-CL" w:eastAsia="en-US"/>
        </w:rPr>
        <w:t>es</w:t>
      </w:r>
      <w:r w:rsidRPr="00D561D6">
        <w:rPr>
          <w:rFonts w:eastAsia="Times New Roman" w:cs="Verdana"/>
          <w:szCs w:val="20"/>
          <w:lang w:val="es-CL" w:eastAsia="en-US"/>
        </w:rPr>
        <w:t xml:space="preserve">. </w:t>
      </w:r>
    </w:p>
    <w:p w:rsidR="00431A17" w:rsidRDefault="00431A17" w:rsidP="005735AE">
      <w:pPr>
        <w:autoSpaceDE w:val="0"/>
        <w:autoSpaceDN w:val="0"/>
        <w:adjustRightInd w:val="0"/>
        <w:spacing w:after="0"/>
        <w:rPr>
          <w:rFonts w:eastAsia="Times New Roman" w:cs="Verdana"/>
          <w:szCs w:val="20"/>
          <w:lang w:val="es-CL" w:eastAsia="en-US"/>
        </w:rPr>
      </w:pPr>
    </w:p>
    <w:p w:rsidR="00431A17" w:rsidRPr="00F465D7" w:rsidRDefault="00431A17" w:rsidP="005735AE">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r w:rsidRPr="00F465D7">
        <w:rPr>
          <w:rFonts w:eastAsia="Times New Roman" w:cs="Verdana"/>
          <w:szCs w:val="20"/>
          <w:lang w:val="es-CL" w:eastAsia="en-US"/>
        </w:rPr>
        <w:t>El Es</w:t>
      </w:r>
      <w:r w:rsidR="00846A11" w:rsidRPr="00F465D7">
        <w:rPr>
          <w:rFonts w:eastAsia="Times New Roman" w:cs="Verdana"/>
          <w:szCs w:val="20"/>
          <w:lang w:val="es-CL" w:eastAsia="en-US"/>
        </w:rPr>
        <w:t xml:space="preserve">tado </w:t>
      </w:r>
      <w:r w:rsidR="00F465D7" w:rsidRPr="00F465D7">
        <w:rPr>
          <w:rFonts w:eastAsia="Times New Roman" w:cs="Verdana"/>
          <w:szCs w:val="20"/>
          <w:lang w:val="es-CL" w:eastAsia="en-US"/>
        </w:rPr>
        <w:t xml:space="preserve">impugnó </w:t>
      </w:r>
      <w:r w:rsidR="00B56BFD">
        <w:rPr>
          <w:rFonts w:eastAsia="Times New Roman" w:cs="Verdana"/>
          <w:szCs w:val="20"/>
          <w:lang w:val="es-CL" w:eastAsia="en-US"/>
        </w:rPr>
        <w:t xml:space="preserve">una </w:t>
      </w:r>
      <w:r w:rsidR="00A308B4">
        <w:rPr>
          <w:rFonts w:eastAsia="Times New Roman" w:cs="Verdana"/>
          <w:szCs w:val="20"/>
          <w:lang w:val="es-CL" w:eastAsia="en-US"/>
        </w:rPr>
        <w:t>parte de</w:t>
      </w:r>
      <w:r w:rsidR="00B1490A">
        <w:rPr>
          <w:rFonts w:eastAsia="Times New Roman" w:cs="Verdana"/>
          <w:szCs w:val="20"/>
          <w:lang w:val="es-CL" w:eastAsia="en-US"/>
        </w:rPr>
        <w:t>l objeto</w:t>
      </w:r>
      <w:r w:rsidR="00A308B4">
        <w:rPr>
          <w:rFonts w:eastAsia="Times New Roman" w:cs="Verdana"/>
          <w:szCs w:val="20"/>
          <w:lang w:val="es-CL" w:eastAsia="en-US"/>
        </w:rPr>
        <w:t xml:space="preserve"> </w:t>
      </w:r>
      <w:r w:rsidR="00B1490A">
        <w:rPr>
          <w:rFonts w:eastAsia="Times New Roman" w:cs="Verdana"/>
          <w:szCs w:val="20"/>
          <w:lang w:val="es-CL" w:eastAsia="en-US"/>
        </w:rPr>
        <w:t xml:space="preserve">de </w:t>
      </w:r>
      <w:r w:rsidR="00A308B4">
        <w:rPr>
          <w:rFonts w:eastAsia="Times New Roman" w:cs="Verdana"/>
          <w:szCs w:val="20"/>
          <w:lang w:val="es-CL" w:eastAsia="en-US"/>
        </w:rPr>
        <w:t xml:space="preserve">la declaración de las víctimas y </w:t>
      </w:r>
      <w:r w:rsidR="00B1490A">
        <w:rPr>
          <w:rFonts w:eastAsia="Times New Roman" w:cs="Verdana"/>
          <w:szCs w:val="20"/>
          <w:lang w:val="es-CL" w:eastAsia="en-US"/>
        </w:rPr>
        <w:t>parte d</w:t>
      </w:r>
      <w:r w:rsidR="00F465D7">
        <w:rPr>
          <w:rFonts w:eastAsia="Times New Roman" w:cs="Verdana"/>
          <w:szCs w:val="20"/>
          <w:lang w:val="es-CL" w:eastAsia="en-US"/>
        </w:rPr>
        <w:t xml:space="preserve">el objeto </w:t>
      </w:r>
      <w:r w:rsidR="00A308B4">
        <w:rPr>
          <w:rFonts w:eastAsia="Times New Roman" w:cs="Verdana"/>
          <w:szCs w:val="20"/>
          <w:lang w:val="es-CL" w:eastAsia="en-US"/>
        </w:rPr>
        <w:t>de</w:t>
      </w:r>
      <w:r w:rsidR="00F465D7">
        <w:rPr>
          <w:rFonts w:eastAsia="Times New Roman" w:cs="Verdana"/>
          <w:szCs w:val="20"/>
          <w:lang w:val="es-CL" w:eastAsia="en-US"/>
        </w:rPr>
        <w:t xml:space="preserve"> </w:t>
      </w:r>
      <w:r w:rsidR="00846A11" w:rsidRPr="00F465D7">
        <w:rPr>
          <w:rFonts w:eastAsia="Times New Roman" w:cs="Verdana"/>
          <w:szCs w:val="20"/>
          <w:lang w:val="es-CL" w:eastAsia="en-US"/>
        </w:rPr>
        <w:t xml:space="preserve">la declaración testimonial </w:t>
      </w:r>
      <w:r w:rsidR="00F465D7">
        <w:rPr>
          <w:rFonts w:eastAsia="Times New Roman" w:cs="Verdana"/>
          <w:szCs w:val="20"/>
          <w:lang w:val="es-CL" w:eastAsia="en-US"/>
        </w:rPr>
        <w:t>ofrecida por los representantes</w:t>
      </w:r>
      <w:r w:rsidR="000E78BF" w:rsidRPr="00F465D7">
        <w:rPr>
          <w:rFonts w:eastAsia="Times New Roman" w:cs="Verdana"/>
          <w:szCs w:val="20"/>
          <w:lang w:val="es-CL" w:eastAsia="en-US"/>
        </w:rPr>
        <w:t xml:space="preserve">. </w:t>
      </w:r>
      <w:r w:rsidR="00B56BFD">
        <w:rPr>
          <w:rFonts w:eastAsia="Times New Roman" w:cs="Verdana"/>
          <w:szCs w:val="20"/>
          <w:lang w:val="es-CR" w:eastAsia="en-US"/>
        </w:rPr>
        <w:t>Además</w:t>
      </w:r>
      <w:r w:rsidR="00C23ED6">
        <w:rPr>
          <w:rFonts w:eastAsia="Times New Roman" w:cs="Verdana"/>
          <w:szCs w:val="20"/>
          <w:lang w:val="es-CR" w:eastAsia="en-US"/>
        </w:rPr>
        <w:t xml:space="preserve">, </w:t>
      </w:r>
      <w:r w:rsidR="000E78BF" w:rsidRPr="00F465D7">
        <w:rPr>
          <w:rFonts w:eastAsia="Times New Roman" w:cs="Verdana"/>
          <w:szCs w:val="20"/>
          <w:lang w:val="es-CR" w:eastAsia="en-US"/>
        </w:rPr>
        <w:t>presentó objeciones relacionadas con</w:t>
      </w:r>
      <w:r w:rsidR="00B56BFD">
        <w:rPr>
          <w:rFonts w:eastAsia="Times New Roman" w:cs="Verdana"/>
          <w:szCs w:val="20"/>
          <w:lang w:val="es-CR" w:eastAsia="en-US"/>
        </w:rPr>
        <w:t xml:space="preserve"> tres de los seis</w:t>
      </w:r>
      <w:r w:rsidR="000E78BF" w:rsidRPr="00F465D7">
        <w:rPr>
          <w:rFonts w:eastAsia="Times New Roman" w:cs="Verdana"/>
          <w:szCs w:val="20"/>
          <w:lang w:val="es-CR" w:eastAsia="en-US"/>
        </w:rPr>
        <w:t xml:space="preserve"> dictámenes periciales ofrecidos por los representantes de las presuntas víctimas</w:t>
      </w:r>
      <w:r w:rsidR="000E78BF" w:rsidRPr="00BE478D">
        <w:rPr>
          <w:rFonts w:eastAsia="Times New Roman" w:cs="Verdana"/>
          <w:szCs w:val="20"/>
          <w:lang w:val="es-CR" w:eastAsia="en-US"/>
        </w:rPr>
        <w:t>.</w:t>
      </w:r>
      <w:r w:rsidR="00825BD9" w:rsidRPr="00F465D7">
        <w:rPr>
          <w:lang w:val="es-CR"/>
        </w:rPr>
        <w:t xml:space="preserve"> </w:t>
      </w:r>
      <w:r w:rsidR="00066C02">
        <w:rPr>
          <w:lang w:val="es-CR"/>
        </w:rPr>
        <w:t xml:space="preserve">Asimismo, el Estado objetó el ofrecimiento de los dos peritos de la Comisión. </w:t>
      </w:r>
      <w:r w:rsidR="00B50456" w:rsidRPr="00F465D7">
        <w:rPr>
          <w:rFonts w:eastAsia="Times New Roman" w:cs="Verdana"/>
          <w:szCs w:val="20"/>
          <w:lang w:val="es-CL" w:eastAsia="en-US"/>
        </w:rPr>
        <w:t>Los representantes y la Comisión no realizaron</w:t>
      </w:r>
      <w:r w:rsidRPr="00F465D7">
        <w:rPr>
          <w:rFonts w:eastAsia="Times New Roman" w:cs="Verdana"/>
          <w:szCs w:val="20"/>
          <w:lang w:val="es-CL" w:eastAsia="en-US"/>
        </w:rPr>
        <w:t xml:space="preserve"> observaciones a las listas definitiv</w:t>
      </w:r>
      <w:r w:rsidR="00B50456" w:rsidRPr="00F465D7">
        <w:rPr>
          <w:rFonts w:eastAsia="Times New Roman" w:cs="Verdana"/>
          <w:szCs w:val="20"/>
          <w:lang w:val="es-CL" w:eastAsia="en-US"/>
        </w:rPr>
        <w:t>as de declarantes de las partes</w:t>
      </w:r>
      <w:r w:rsidRPr="00F465D7">
        <w:rPr>
          <w:rFonts w:eastAsia="Times New Roman" w:cs="Verdana"/>
          <w:szCs w:val="20"/>
          <w:lang w:val="es-CL" w:eastAsia="en-US"/>
        </w:rPr>
        <w:t>.</w:t>
      </w:r>
    </w:p>
    <w:p w:rsidR="00431A17" w:rsidRDefault="00431A17" w:rsidP="005735AE">
      <w:pPr>
        <w:pStyle w:val="Listavistosa-nfasis11"/>
        <w:numPr>
          <w:ilvl w:val="0"/>
          <w:numId w:val="0"/>
        </w:numPr>
        <w:spacing w:after="0"/>
        <w:contextualSpacing w:val="0"/>
        <w:rPr>
          <w:rFonts w:eastAsia="Times New Roman" w:cs="Verdana"/>
          <w:szCs w:val="20"/>
          <w:lang w:val="es-CL" w:eastAsia="en-US"/>
        </w:rPr>
      </w:pPr>
    </w:p>
    <w:p w:rsidR="00431A17" w:rsidRDefault="00431A17" w:rsidP="00737BDA">
      <w:pPr>
        <w:pStyle w:val="Listavistosa-nfasis11"/>
        <w:widowControl w:val="0"/>
        <w:numPr>
          <w:ilvl w:val="0"/>
          <w:numId w:val="1"/>
        </w:numPr>
        <w:tabs>
          <w:tab w:val="clear" w:pos="3600"/>
          <w:tab w:val="num" w:pos="0"/>
        </w:tabs>
        <w:autoSpaceDE w:val="0"/>
        <w:autoSpaceDN w:val="0"/>
        <w:adjustRightInd w:val="0"/>
        <w:spacing w:after="0"/>
        <w:ind w:left="0" w:right="22" w:firstLine="0"/>
        <w:contextualSpacing w:val="0"/>
      </w:pPr>
      <w:bookmarkStart w:id="8" w:name="_Ref352070057"/>
      <w:r w:rsidRPr="002E72CD">
        <w:t>En cuant</w:t>
      </w:r>
      <w:r w:rsidR="00644344">
        <w:t>o a la prueba pericial ofrecida</w:t>
      </w:r>
      <w:r w:rsidRPr="002E72CD">
        <w:t xml:space="preserve"> por </w:t>
      </w:r>
      <w:r>
        <w:t xml:space="preserve">las partes </w:t>
      </w:r>
      <w:r w:rsidRPr="002E72CD">
        <w:t>que no ha sido objetada, esta Presidencia considera conveniente recabar</w:t>
      </w:r>
      <w:r w:rsidR="00982810">
        <w:t>la</w:t>
      </w:r>
      <w:r w:rsidRPr="002E72CD">
        <w:t xml:space="preserve">. </w:t>
      </w:r>
      <w:bookmarkEnd w:id="8"/>
      <w:r w:rsidR="00100FC4">
        <w:t xml:space="preserve">Por consiguiente el Presidente admite la declaración de los peritos: </w:t>
      </w:r>
      <w:r w:rsidR="00123F65">
        <w:t>Juan Mendez</w:t>
      </w:r>
      <w:r w:rsidR="00A12832">
        <w:t>,</w:t>
      </w:r>
      <w:r w:rsidR="00123F65">
        <w:t xml:space="preserve"> Fabio Simas</w:t>
      </w:r>
      <w:r w:rsidR="00C23ED6">
        <w:t xml:space="preserve"> y</w:t>
      </w:r>
      <w:r w:rsidR="00123F65">
        <w:t xml:space="preserve"> Renato </w:t>
      </w:r>
      <w:proofErr w:type="spellStart"/>
      <w:r w:rsidR="00123F65">
        <w:t>Sérgio</w:t>
      </w:r>
      <w:proofErr w:type="spellEnd"/>
      <w:r w:rsidR="00123F65">
        <w:t xml:space="preserve"> de Lima</w:t>
      </w:r>
      <w:r w:rsidR="00C23ED6">
        <w:t>,</w:t>
      </w:r>
      <w:r w:rsidR="00A12832">
        <w:t xml:space="preserve"> propuestos por los representantes</w:t>
      </w:r>
      <w:r w:rsidR="00214E0E">
        <w:t>;</w:t>
      </w:r>
      <w:r w:rsidR="00123F65">
        <w:t xml:space="preserve"> y Alberto </w:t>
      </w:r>
      <w:proofErr w:type="spellStart"/>
      <w:r w:rsidR="00123F65">
        <w:t>Zacharias</w:t>
      </w:r>
      <w:proofErr w:type="spellEnd"/>
      <w:r w:rsidR="00123F65">
        <w:t xml:space="preserve"> </w:t>
      </w:r>
      <w:proofErr w:type="spellStart"/>
      <w:r w:rsidR="00123F65">
        <w:t>Toron</w:t>
      </w:r>
      <w:proofErr w:type="spellEnd"/>
      <w:r w:rsidR="00123F65">
        <w:t xml:space="preserve">, </w:t>
      </w:r>
      <w:proofErr w:type="spellStart"/>
      <w:r w:rsidR="00123F65">
        <w:t>Dim</w:t>
      </w:r>
      <w:r w:rsidR="00C23ED6">
        <w:t>itrios</w:t>
      </w:r>
      <w:proofErr w:type="spellEnd"/>
      <w:r w:rsidR="00C23ED6">
        <w:t xml:space="preserve"> </w:t>
      </w:r>
      <w:proofErr w:type="spellStart"/>
      <w:r w:rsidR="00C23ED6">
        <w:t>Dimoulis</w:t>
      </w:r>
      <w:proofErr w:type="spellEnd"/>
      <w:r w:rsidR="00C23ED6">
        <w:t xml:space="preserve"> y</w:t>
      </w:r>
      <w:r w:rsidR="00123F65">
        <w:t xml:space="preserve"> Maria Auxiliadora </w:t>
      </w:r>
      <w:proofErr w:type="spellStart"/>
      <w:r w:rsidR="00123F65">
        <w:t>Minahim</w:t>
      </w:r>
      <w:proofErr w:type="spellEnd"/>
      <w:r w:rsidR="00A12832">
        <w:t>, propuesto</w:t>
      </w:r>
      <w:r w:rsidR="00123F65">
        <w:t>s</w:t>
      </w:r>
      <w:r w:rsidR="00A12832">
        <w:t xml:space="preserve"> por el Estado</w:t>
      </w:r>
      <w:r w:rsidR="00100FC4" w:rsidRPr="00100FC4">
        <w:t>.</w:t>
      </w:r>
      <w:r w:rsidR="00100FC4">
        <w:t xml:space="preserve"> </w:t>
      </w:r>
      <w:r w:rsidR="00100FC4" w:rsidRPr="002E72CD">
        <w:t>El objeto de est</w:t>
      </w:r>
      <w:r w:rsidR="00982810">
        <w:t>o</w:t>
      </w:r>
      <w:r w:rsidR="00100FC4">
        <w:t>s</w:t>
      </w:r>
      <w:r w:rsidR="00100FC4" w:rsidRPr="002E72CD">
        <w:t xml:space="preserve"> dict</w:t>
      </w:r>
      <w:r w:rsidR="00100FC4">
        <w:t>á</w:t>
      </w:r>
      <w:r w:rsidR="00100FC4" w:rsidRPr="002E72CD">
        <w:t>men</w:t>
      </w:r>
      <w:r w:rsidR="00100FC4">
        <w:t>es</w:t>
      </w:r>
      <w:r w:rsidR="00100FC4" w:rsidRPr="002E72CD">
        <w:t xml:space="preserve"> pericial</w:t>
      </w:r>
      <w:r w:rsidR="00100FC4">
        <w:t>es</w:t>
      </w:r>
      <w:r w:rsidR="00100FC4" w:rsidRPr="002E72CD">
        <w:t xml:space="preserve"> y la modalidad en que serán recibidos se </w:t>
      </w:r>
      <w:r w:rsidR="00100FC4">
        <w:t>determinarán</w:t>
      </w:r>
      <w:r w:rsidR="00100FC4" w:rsidRPr="002E72CD">
        <w:t xml:space="preserve"> en la parte resolutiva de esta decisión (</w:t>
      </w:r>
      <w:r w:rsidR="00100FC4" w:rsidRPr="00DB281D">
        <w:rPr>
          <w:i/>
        </w:rPr>
        <w:t xml:space="preserve">infra </w:t>
      </w:r>
      <w:r w:rsidR="00100FC4" w:rsidRPr="002E72CD">
        <w:t>punto</w:t>
      </w:r>
      <w:r w:rsidR="00100FC4">
        <w:t>s</w:t>
      </w:r>
      <w:r w:rsidR="00100FC4" w:rsidRPr="002E72CD">
        <w:t xml:space="preserve"> resolutivo</w:t>
      </w:r>
      <w:r w:rsidR="00100FC4">
        <w:t>s</w:t>
      </w:r>
      <w:r w:rsidR="00100FC4" w:rsidRPr="002E72CD">
        <w:t xml:space="preserve"> </w:t>
      </w:r>
      <w:r w:rsidR="00066C02">
        <w:t>1 y 4</w:t>
      </w:r>
      <w:r w:rsidR="00100FC4" w:rsidRPr="002E72CD">
        <w:t>).</w:t>
      </w:r>
    </w:p>
    <w:p w:rsidR="00431A17" w:rsidRDefault="00431A17" w:rsidP="005735AE">
      <w:pPr>
        <w:pStyle w:val="Listavistosa-nfasis11"/>
        <w:numPr>
          <w:ilvl w:val="0"/>
          <w:numId w:val="0"/>
        </w:numPr>
        <w:spacing w:after="0"/>
        <w:contextualSpacing w:val="0"/>
      </w:pPr>
    </w:p>
    <w:p w:rsidR="004A5424" w:rsidRPr="000C5B28" w:rsidRDefault="00431A17" w:rsidP="005735AE">
      <w:pPr>
        <w:pStyle w:val="Listavistosa-nfasis11"/>
        <w:widowControl w:val="0"/>
        <w:numPr>
          <w:ilvl w:val="0"/>
          <w:numId w:val="1"/>
        </w:numPr>
        <w:tabs>
          <w:tab w:val="num" w:pos="720"/>
        </w:tabs>
        <w:autoSpaceDE w:val="0"/>
        <w:autoSpaceDN w:val="0"/>
        <w:adjustRightInd w:val="0"/>
        <w:spacing w:after="0"/>
        <w:ind w:left="0" w:right="22" w:firstLine="0"/>
        <w:contextualSpacing w:val="0"/>
        <w:rPr>
          <w:bCs/>
          <w:iCs/>
          <w:color w:val="FF0000"/>
          <w:szCs w:val="20"/>
          <w:lang w:val="es-CR"/>
        </w:rPr>
      </w:pPr>
      <w:r w:rsidRPr="004A5424">
        <w:rPr>
          <w:rFonts w:eastAsia="Times New Roman" w:cs="Verdana"/>
          <w:szCs w:val="20"/>
          <w:lang w:val="es-CL" w:eastAsia="en-US"/>
        </w:rPr>
        <w:t>A</w:t>
      </w:r>
      <w:r w:rsidRPr="004A5424">
        <w:rPr>
          <w:szCs w:val="20"/>
        </w:rPr>
        <w:t xml:space="preserve"> continuación el Presidente examinará en forma particular: a</w:t>
      </w:r>
      <w:r w:rsidRPr="004A5424">
        <w:rPr>
          <w:lang w:val="es-CR"/>
        </w:rPr>
        <w:t xml:space="preserve">) la admisibilidad de la prueba pericial ofrecida por la Comisión; </w:t>
      </w:r>
      <w:r w:rsidR="002534B9">
        <w:rPr>
          <w:lang w:val="es-CR"/>
        </w:rPr>
        <w:t>b) la solicitud de la Comisión para formular preguntas a dos peritos ofrecidos por los representantes y tres peritos ofrecidos por el Estado; c</w:t>
      </w:r>
      <w:r w:rsidRPr="004A5424">
        <w:rPr>
          <w:lang w:val="es-CR"/>
        </w:rPr>
        <w:t xml:space="preserve">) las observaciones realizadas por el Estado a </w:t>
      </w:r>
      <w:r w:rsidR="009D6C4F" w:rsidRPr="004A5424">
        <w:rPr>
          <w:lang w:val="es-CR"/>
        </w:rPr>
        <w:t xml:space="preserve">las </w:t>
      </w:r>
      <w:r w:rsidR="005F577E">
        <w:rPr>
          <w:lang w:val="es-CR"/>
        </w:rPr>
        <w:t xml:space="preserve">declaraciones de las </w:t>
      </w:r>
      <w:r w:rsidR="009D6C4F" w:rsidRPr="004A5424">
        <w:rPr>
          <w:lang w:val="es-CR"/>
        </w:rPr>
        <w:t>presuntas víctimas ofrecida</w:t>
      </w:r>
      <w:r w:rsidRPr="004A5424">
        <w:rPr>
          <w:lang w:val="es-CR"/>
        </w:rPr>
        <w:t xml:space="preserve">s por los representantes; </w:t>
      </w:r>
      <w:r w:rsidR="002534B9">
        <w:rPr>
          <w:lang w:val="es-CR"/>
        </w:rPr>
        <w:t>d</w:t>
      </w:r>
      <w:r w:rsidR="009D6C4F" w:rsidRPr="004A5424">
        <w:rPr>
          <w:lang w:val="es-CR"/>
        </w:rPr>
        <w:t xml:space="preserve">) las observaciones realizadas por el Estado a la declaración testimonial ofrecida por los representantes; </w:t>
      </w:r>
      <w:r w:rsidR="002534B9">
        <w:rPr>
          <w:lang w:val="es-CR"/>
        </w:rPr>
        <w:t>e</w:t>
      </w:r>
      <w:r w:rsidRPr="004A5424">
        <w:rPr>
          <w:lang w:val="es-CR"/>
        </w:rPr>
        <w:t xml:space="preserve">) las </w:t>
      </w:r>
      <w:r w:rsidR="006B7A07" w:rsidRPr="004A5424">
        <w:rPr>
          <w:lang w:val="es-CR"/>
        </w:rPr>
        <w:t>observaciones</w:t>
      </w:r>
      <w:r w:rsidRPr="004A5424">
        <w:rPr>
          <w:lang w:val="es-CR"/>
        </w:rPr>
        <w:t xml:space="preserve"> efectuadas por el Estado </w:t>
      </w:r>
      <w:r w:rsidR="007F6A2A" w:rsidRPr="004A5424">
        <w:rPr>
          <w:lang w:val="es-CR"/>
        </w:rPr>
        <w:t xml:space="preserve">a algunos </w:t>
      </w:r>
      <w:r w:rsidRPr="00BE478D">
        <w:rPr>
          <w:lang w:val="es-CR"/>
        </w:rPr>
        <w:t xml:space="preserve">peritos ofrecidos por </w:t>
      </w:r>
      <w:r w:rsidR="009D6C4F" w:rsidRPr="00BE478D">
        <w:rPr>
          <w:lang w:val="es-CR"/>
        </w:rPr>
        <w:t>los representantes</w:t>
      </w:r>
      <w:r w:rsidR="004A5424" w:rsidRPr="00BE478D">
        <w:rPr>
          <w:lang w:val="es-CR"/>
        </w:rPr>
        <w:t xml:space="preserve">; </w:t>
      </w:r>
      <w:r w:rsidR="004A5424" w:rsidRPr="004A5424">
        <w:rPr>
          <w:bCs/>
          <w:iCs/>
          <w:szCs w:val="20"/>
        </w:rPr>
        <w:t xml:space="preserve">y </w:t>
      </w:r>
      <w:r w:rsidR="008A0F55">
        <w:rPr>
          <w:bCs/>
          <w:iCs/>
          <w:szCs w:val="20"/>
        </w:rPr>
        <w:t>f</w:t>
      </w:r>
      <w:r w:rsidR="004A5424" w:rsidRPr="00D107B2">
        <w:rPr>
          <w:bCs/>
          <w:iCs/>
          <w:szCs w:val="20"/>
        </w:rPr>
        <w:t xml:space="preserve">) la </w:t>
      </w:r>
      <w:r w:rsidR="004A5424" w:rsidRPr="00D107B2">
        <w:rPr>
          <w:bCs/>
          <w:iCs/>
          <w:szCs w:val="20"/>
          <w:lang w:val="es-CR"/>
        </w:rPr>
        <w:t xml:space="preserve">aplicación del Fondo de Asistencia Legal de Víctimas </w:t>
      </w:r>
      <w:r w:rsidR="00B1490A">
        <w:rPr>
          <w:bCs/>
          <w:iCs/>
          <w:szCs w:val="20"/>
          <w:lang w:val="es-CR"/>
        </w:rPr>
        <w:t>de</w:t>
      </w:r>
      <w:r w:rsidR="004A5424" w:rsidRPr="00D107B2">
        <w:rPr>
          <w:bCs/>
          <w:iCs/>
          <w:szCs w:val="20"/>
          <w:lang w:val="es-CR"/>
        </w:rPr>
        <w:t xml:space="preserve"> la Corte.</w:t>
      </w:r>
    </w:p>
    <w:p w:rsidR="00431A17" w:rsidRPr="00DB281D" w:rsidRDefault="00431A17" w:rsidP="005735AE">
      <w:pPr>
        <w:pStyle w:val="Listavistosa-nfasis11"/>
        <w:numPr>
          <w:ilvl w:val="0"/>
          <w:numId w:val="0"/>
        </w:numPr>
        <w:spacing w:after="0"/>
        <w:ind w:left="720"/>
        <w:contextualSpacing w:val="0"/>
        <w:rPr>
          <w:bCs/>
          <w:iCs/>
          <w:szCs w:val="20"/>
          <w:lang w:val="es-CR"/>
        </w:rPr>
      </w:pPr>
    </w:p>
    <w:p w:rsidR="00431A17" w:rsidRPr="00CC54CC" w:rsidRDefault="00431A17" w:rsidP="005735AE">
      <w:pPr>
        <w:pStyle w:val="ListParagraph1"/>
        <w:numPr>
          <w:ilvl w:val="0"/>
          <w:numId w:val="5"/>
        </w:numPr>
        <w:ind w:right="11"/>
        <w:jc w:val="both"/>
        <w:rPr>
          <w:rFonts w:ascii="Verdana" w:hAnsi="Verdana"/>
          <w:b/>
          <w:i/>
          <w:sz w:val="20"/>
          <w:szCs w:val="20"/>
          <w:lang w:val="es-CR"/>
        </w:rPr>
      </w:pPr>
      <w:r w:rsidRPr="00CC54CC">
        <w:rPr>
          <w:rFonts w:ascii="Verdana" w:hAnsi="Verdana"/>
          <w:b/>
          <w:i/>
          <w:sz w:val="20"/>
          <w:szCs w:val="20"/>
          <w:lang w:val="es-CR"/>
        </w:rPr>
        <w:t xml:space="preserve">Admisibilidad de la prueba pericial ofrecida por la Comisión Interamericana </w:t>
      </w:r>
    </w:p>
    <w:p w:rsidR="00431A17" w:rsidRPr="00DB281D" w:rsidRDefault="00431A17" w:rsidP="005735AE">
      <w:pPr>
        <w:pStyle w:val="ListParagraph1"/>
        <w:ind w:left="644" w:right="11"/>
        <w:jc w:val="both"/>
        <w:rPr>
          <w:rFonts w:ascii="Verdana" w:hAnsi="Verdana"/>
          <w:b/>
          <w:i/>
          <w:sz w:val="20"/>
          <w:szCs w:val="20"/>
          <w:lang w:val="es-CR"/>
        </w:rPr>
      </w:pPr>
    </w:p>
    <w:p w:rsidR="00431A17" w:rsidRPr="00CC54CC"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CC54CC">
        <w:rPr>
          <w:rFonts w:cs="Arial"/>
          <w:szCs w:val="20"/>
          <w:lang w:val="es-CR"/>
        </w:rPr>
        <w:t xml:space="preserve">La Comisión ofreció </w:t>
      </w:r>
      <w:r w:rsidR="00CC54CC" w:rsidRPr="00CC54CC">
        <w:rPr>
          <w:rFonts w:cs="Arial"/>
          <w:szCs w:val="20"/>
          <w:lang w:val="es-CR"/>
        </w:rPr>
        <w:t>dos dictámenes periciales, a</w:t>
      </w:r>
      <w:r w:rsidR="00CC54CC" w:rsidRPr="00CC54CC">
        <w:rPr>
          <w:szCs w:val="20"/>
          <w:lang w:val="es-CR"/>
        </w:rPr>
        <w:t xml:space="preserve"> saber: i) </w:t>
      </w:r>
      <w:r w:rsidR="000C5B28">
        <w:rPr>
          <w:rFonts w:cs="Times New Roman"/>
          <w:szCs w:val="20"/>
          <w:lang w:val="es-CR" w:eastAsia="es-CR"/>
        </w:rPr>
        <w:t xml:space="preserve">Naomi </w:t>
      </w:r>
      <w:proofErr w:type="spellStart"/>
      <w:r w:rsidR="000C5B28">
        <w:rPr>
          <w:rFonts w:cs="Times New Roman"/>
          <w:szCs w:val="20"/>
          <w:lang w:val="es-CR" w:eastAsia="es-CR"/>
        </w:rPr>
        <w:t>Roht</w:t>
      </w:r>
      <w:proofErr w:type="spellEnd"/>
      <w:r w:rsidR="000C5B28">
        <w:rPr>
          <w:rFonts w:cs="Times New Roman"/>
          <w:szCs w:val="20"/>
          <w:lang w:val="es-CR" w:eastAsia="es-CR"/>
        </w:rPr>
        <w:t xml:space="preserve">-Arriaza, </w:t>
      </w:r>
      <w:r w:rsidR="00B1490A">
        <w:rPr>
          <w:rFonts w:cs="Times New Roman"/>
          <w:szCs w:val="20"/>
          <w:lang w:val="es-CR" w:eastAsia="es-CR"/>
        </w:rPr>
        <w:t>para</w:t>
      </w:r>
      <w:r w:rsidR="000C5B28">
        <w:rPr>
          <w:rFonts w:cs="Times New Roman"/>
          <w:szCs w:val="20"/>
          <w:lang w:val="es-CR" w:eastAsia="es-CR"/>
        </w:rPr>
        <w:t xml:space="preserve"> declarar sobre los obstáculos de diversa índole que impiden la incorporación e implementación oportuna y efectiva de los estándares interamericanos relativos a la incompatibilidad de las leyes de amnistía y la aplicación de otras figuras legales como la prescripción y la cosa juzgada en casos de graves violaciones de derechos humanos. La perita tomar</w:t>
      </w:r>
      <w:r w:rsidR="00C37151">
        <w:rPr>
          <w:rFonts w:cs="Times New Roman"/>
          <w:szCs w:val="20"/>
          <w:lang w:val="es-CR" w:eastAsia="es-CR"/>
        </w:rPr>
        <w:t>á en cuenta el contexto brasileñ</w:t>
      </w:r>
      <w:r w:rsidR="000C5B28">
        <w:rPr>
          <w:rFonts w:cs="Times New Roman"/>
          <w:szCs w:val="20"/>
          <w:lang w:val="es-CR" w:eastAsia="es-CR"/>
        </w:rPr>
        <w:t>o y ofrecerá también una perspectiva comparada sobre los mecanismos para superar los mencionados obstáculos y dar efecto útil a las decisiones de los órganos del sistema interamericano en esta materia;</w:t>
      </w:r>
      <w:r w:rsidR="002529B4">
        <w:rPr>
          <w:rFonts w:cs="Times New Roman"/>
          <w:szCs w:val="20"/>
          <w:lang w:val="es-CR" w:eastAsia="es-CR"/>
        </w:rPr>
        <w:t xml:space="preserve"> y</w:t>
      </w:r>
      <w:r w:rsidR="000C5B28">
        <w:rPr>
          <w:rFonts w:cs="Times New Roman"/>
          <w:szCs w:val="20"/>
          <w:lang w:val="es-CR" w:eastAsia="es-CR"/>
        </w:rPr>
        <w:t xml:space="preserve"> </w:t>
      </w:r>
      <w:r w:rsidR="00CC54CC" w:rsidRPr="00CC54CC">
        <w:rPr>
          <w:szCs w:val="20"/>
          <w:lang w:val="es-CR" w:eastAsia="es-CR"/>
        </w:rPr>
        <w:t xml:space="preserve">ii) </w:t>
      </w:r>
      <w:r w:rsidR="000C5B28">
        <w:rPr>
          <w:szCs w:val="20"/>
          <w:lang w:val="es-CR" w:eastAsia="es-CR"/>
        </w:rPr>
        <w:t xml:space="preserve">John </w:t>
      </w:r>
      <w:proofErr w:type="spellStart"/>
      <w:r w:rsidR="000C5B28">
        <w:rPr>
          <w:szCs w:val="20"/>
          <w:lang w:val="es-CR" w:eastAsia="es-CR"/>
        </w:rPr>
        <w:t>Dinges</w:t>
      </w:r>
      <w:proofErr w:type="spellEnd"/>
      <w:r w:rsidR="0016280A">
        <w:rPr>
          <w:rFonts w:cs="Times New Roman"/>
          <w:szCs w:val="20"/>
          <w:lang w:val="es-CR" w:eastAsia="es-CR"/>
        </w:rPr>
        <w:t>,</w:t>
      </w:r>
      <w:r w:rsidR="000C5B28">
        <w:rPr>
          <w:rFonts w:cs="Times New Roman"/>
          <w:szCs w:val="20"/>
          <w:lang w:val="es-CR" w:eastAsia="es-CR"/>
        </w:rPr>
        <w:t xml:space="preserve"> </w:t>
      </w:r>
      <w:r w:rsidR="00B1490A">
        <w:rPr>
          <w:rFonts w:cs="Times New Roman"/>
          <w:szCs w:val="20"/>
          <w:lang w:val="es-CR" w:eastAsia="es-CR"/>
        </w:rPr>
        <w:t xml:space="preserve">para </w:t>
      </w:r>
      <w:r w:rsidR="000C5B28">
        <w:rPr>
          <w:rFonts w:cs="Times New Roman"/>
          <w:szCs w:val="20"/>
          <w:lang w:val="es-CR" w:eastAsia="es-CR"/>
        </w:rPr>
        <w:t>declarar sobre los efectos perjudiciales de la impunidad y la falta de reparación integral en casos de violencia contra periodistas en contextos de gobiernos de facto o autoritarios con graves restricciones a la libertad de expresión</w:t>
      </w:r>
      <w:r w:rsidRPr="00CC54CC">
        <w:rPr>
          <w:rFonts w:cs="Arial"/>
          <w:szCs w:val="20"/>
        </w:rPr>
        <w:t>.</w:t>
      </w:r>
      <w:r w:rsidR="000C5B28">
        <w:rPr>
          <w:rFonts w:cs="Arial"/>
          <w:szCs w:val="20"/>
        </w:rPr>
        <w:t xml:space="preserve"> En particular, el perito se referirá a dicho</w:t>
      </w:r>
      <w:r w:rsidR="00B1490A">
        <w:rPr>
          <w:rFonts w:cs="Arial"/>
          <w:szCs w:val="20"/>
        </w:rPr>
        <w:t>s impactos en el Estado brasileñ</w:t>
      </w:r>
      <w:r w:rsidR="000C5B28">
        <w:rPr>
          <w:rFonts w:cs="Arial"/>
          <w:szCs w:val="20"/>
        </w:rPr>
        <w:t xml:space="preserve">o con posterioridad a la dictadura militar y ofrecerá su perspectiva sobre los mecanismos más adecuados de reparación integral – y especialmente de no repetición – para revertir dichos efectos. </w:t>
      </w:r>
      <w:r w:rsidRPr="00CC54CC">
        <w:rPr>
          <w:rFonts w:cs="Arial"/>
          <w:szCs w:val="20"/>
        </w:rPr>
        <w:t xml:space="preserve"> </w:t>
      </w:r>
    </w:p>
    <w:p w:rsidR="00431A17" w:rsidRPr="0083424B" w:rsidRDefault="00431A17" w:rsidP="005735AE">
      <w:pPr>
        <w:tabs>
          <w:tab w:val="num" w:pos="720"/>
        </w:tabs>
        <w:autoSpaceDE w:val="0"/>
        <w:autoSpaceDN w:val="0"/>
        <w:adjustRightInd w:val="0"/>
        <w:spacing w:after="0"/>
        <w:rPr>
          <w:rFonts w:eastAsia="Times New Roman" w:cs="Verdana"/>
          <w:szCs w:val="20"/>
          <w:lang w:val="es-CL" w:eastAsia="en-US"/>
        </w:rPr>
      </w:pPr>
    </w:p>
    <w:p w:rsidR="00785B6E" w:rsidRPr="00785B6E" w:rsidRDefault="00431A17" w:rsidP="005735AE">
      <w:pPr>
        <w:numPr>
          <w:ilvl w:val="0"/>
          <w:numId w:val="1"/>
        </w:numPr>
        <w:tabs>
          <w:tab w:val="num" w:pos="720"/>
        </w:tabs>
        <w:autoSpaceDE w:val="0"/>
        <w:autoSpaceDN w:val="0"/>
        <w:adjustRightInd w:val="0"/>
        <w:spacing w:after="0"/>
        <w:rPr>
          <w:rFonts w:cs="Times New Roman"/>
          <w:szCs w:val="20"/>
          <w:lang w:val="es-CR" w:eastAsia="es-CR"/>
        </w:rPr>
      </w:pPr>
      <w:r w:rsidRPr="00785B6E">
        <w:rPr>
          <w:rFonts w:eastAsia="Times New Roman" w:cs="Verdana"/>
          <w:szCs w:val="20"/>
          <w:lang w:val="es-CL" w:eastAsia="en-US"/>
        </w:rPr>
        <w:t xml:space="preserve">La Comisión consideró que </w:t>
      </w:r>
      <w:r w:rsidR="00877384" w:rsidRPr="00785B6E">
        <w:rPr>
          <w:rFonts w:eastAsia="Times New Roman" w:cs="Verdana"/>
          <w:szCs w:val="20"/>
          <w:lang w:val="es-CL" w:eastAsia="en-US"/>
        </w:rPr>
        <w:t>los</w:t>
      </w:r>
      <w:r w:rsidRPr="00785B6E">
        <w:rPr>
          <w:rFonts w:eastAsia="Times New Roman" w:cs="Verdana"/>
          <w:szCs w:val="20"/>
          <w:lang w:val="es-CL" w:eastAsia="en-US"/>
        </w:rPr>
        <w:t xml:space="preserve"> peritaje</w:t>
      </w:r>
      <w:r w:rsidR="00877384" w:rsidRPr="00785B6E">
        <w:rPr>
          <w:rFonts w:eastAsia="Times New Roman" w:cs="Verdana"/>
          <w:szCs w:val="20"/>
          <w:lang w:val="es-CL" w:eastAsia="en-US"/>
        </w:rPr>
        <w:t>s</w:t>
      </w:r>
      <w:r w:rsidRPr="00785B6E">
        <w:rPr>
          <w:rFonts w:eastAsia="Times New Roman" w:cs="Verdana"/>
          <w:szCs w:val="20"/>
          <w:lang w:val="es-CL" w:eastAsia="en-US"/>
        </w:rPr>
        <w:t xml:space="preserve"> ofrecido</w:t>
      </w:r>
      <w:r w:rsidR="00877384" w:rsidRPr="00785B6E">
        <w:rPr>
          <w:rFonts w:eastAsia="Times New Roman" w:cs="Verdana"/>
          <w:szCs w:val="20"/>
          <w:lang w:val="es-CL" w:eastAsia="en-US"/>
        </w:rPr>
        <w:t>s</w:t>
      </w:r>
      <w:r w:rsidRPr="00785B6E">
        <w:rPr>
          <w:rFonts w:eastAsia="Times New Roman" w:cs="Verdana"/>
          <w:szCs w:val="20"/>
          <w:lang w:val="es-CL" w:eastAsia="en-US"/>
        </w:rPr>
        <w:t xml:space="preserve"> se refiere</w:t>
      </w:r>
      <w:r w:rsidR="00877384" w:rsidRPr="00785B6E">
        <w:rPr>
          <w:rFonts w:eastAsia="Times New Roman" w:cs="Verdana"/>
          <w:szCs w:val="20"/>
          <w:lang w:val="es-CL" w:eastAsia="en-US"/>
        </w:rPr>
        <w:t>n</w:t>
      </w:r>
      <w:r w:rsidRPr="00785B6E">
        <w:rPr>
          <w:rFonts w:eastAsia="Times New Roman" w:cs="Verdana"/>
          <w:szCs w:val="20"/>
          <w:lang w:val="es-CL" w:eastAsia="en-US"/>
        </w:rPr>
        <w:t xml:space="preserve"> a temas de orden público interamericano</w:t>
      </w:r>
      <w:r w:rsidR="00975CE0" w:rsidRPr="00785B6E">
        <w:rPr>
          <w:rFonts w:eastAsia="Times New Roman" w:cs="Verdana"/>
          <w:szCs w:val="20"/>
          <w:lang w:val="es-CL" w:eastAsia="en-US"/>
        </w:rPr>
        <w:t>,</w:t>
      </w:r>
      <w:r w:rsidRPr="00785B6E">
        <w:rPr>
          <w:rFonts w:eastAsia="Times New Roman" w:cs="Verdana"/>
          <w:szCs w:val="20"/>
          <w:lang w:val="es-CL" w:eastAsia="en-US"/>
        </w:rPr>
        <w:t xml:space="preserve"> de acuerdo con lo establecido en el artículo 31.5 f) del Reglamento de la Corte, </w:t>
      </w:r>
      <w:r w:rsidR="00081154" w:rsidRPr="00785B6E">
        <w:rPr>
          <w:rFonts w:eastAsia="Times New Roman" w:cs="Verdana"/>
          <w:szCs w:val="20"/>
          <w:lang w:val="es-CL" w:eastAsia="en-US"/>
        </w:rPr>
        <w:t>argumentando</w:t>
      </w:r>
      <w:r w:rsidRPr="00785B6E">
        <w:rPr>
          <w:rFonts w:eastAsia="Times New Roman" w:cs="Verdana"/>
          <w:szCs w:val="20"/>
          <w:lang w:val="es-CL" w:eastAsia="en-US"/>
        </w:rPr>
        <w:t xml:space="preserve"> que </w:t>
      </w:r>
      <w:r w:rsidR="00077269" w:rsidRPr="00785B6E">
        <w:rPr>
          <w:rFonts w:cs="Times New Roman"/>
          <w:szCs w:val="20"/>
          <w:lang w:val="es-CR" w:eastAsia="es-CR"/>
        </w:rPr>
        <w:t xml:space="preserve">incorporan componentes relacionados con el deber de investigar hechos como graves violaciones de derechos humanos ocurridas durante la dictadura militar; también respecto de figuras legales que impedirían la investigación, juzgamiento y </w:t>
      </w:r>
      <w:r w:rsidR="00347B14">
        <w:rPr>
          <w:rFonts w:cs="Times New Roman"/>
          <w:szCs w:val="20"/>
          <w:lang w:val="es-CR" w:eastAsia="es-CR"/>
        </w:rPr>
        <w:t xml:space="preserve">eventual </w:t>
      </w:r>
      <w:r w:rsidR="00077269" w:rsidRPr="00785B6E">
        <w:rPr>
          <w:rFonts w:cs="Times New Roman"/>
          <w:szCs w:val="20"/>
          <w:lang w:val="es-CR" w:eastAsia="es-CR"/>
        </w:rPr>
        <w:t>sanción de hechos como los del presente caso.</w:t>
      </w:r>
      <w:r w:rsidR="00785B6E" w:rsidRPr="00785B6E">
        <w:rPr>
          <w:rFonts w:cs="Times New Roman"/>
          <w:szCs w:val="20"/>
          <w:lang w:val="es-CR" w:eastAsia="es-CR"/>
        </w:rPr>
        <w:t xml:space="preserve"> Además, los peritajes ofrecidos se referirán a los efectos perjudiciales en el ejercicio del derecho a la libertad de </w:t>
      </w:r>
      <w:r w:rsidR="00785B6E" w:rsidRPr="00785B6E">
        <w:rPr>
          <w:rFonts w:cs="Times New Roman"/>
          <w:szCs w:val="20"/>
          <w:lang w:val="es-CR" w:eastAsia="es-CR"/>
        </w:rPr>
        <w:lastRenderedPageBreak/>
        <w:t xml:space="preserve">expresión en general como consecuencia de la impunidad y la falta de reparación integral en casos de violencia contra periodistas identificados con ciertos sectores </w:t>
      </w:r>
      <w:r w:rsidR="00785B6E">
        <w:rPr>
          <w:rFonts w:cs="Times New Roman"/>
          <w:szCs w:val="20"/>
          <w:lang w:val="es-CR" w:eastAsia="es-CR"/>
        </w:rPr>
        <w:t>políticos</w:t>
      </w:r>
      <w:r w:rsidR="00785B6E" w:rsidRPr="00785B6E">
        <w:rPr>
          <w:rFonts w:cs="Times New Roman"/>
          <w:szCs w:val="20"/>
          <w:lang w:val="es-CR" w:eastAsia="es-CR"/>
        </w:rPr>
        <w:t>.</w:t>
      </w:r>
      <w:r w:rsidR="00785B6E">
        <w:rPr>
          <w:rFonts w:cs="Times New Roman"/>
          <w:szCs w:val="20"/>
          <w:lang w:val="es-CR" w:eastAsia="es-CR"/>
        </w:rPr>
        <w:t xml:space="preserve"> </w:t>
      </w:r>
    </w:p>
    <w:p w:rsidR="002529B4" w:rsidRPr="002529B4" w:rsidRDefault="002529B4" w:rsidP="005735AE">
      <w:pPr>
        <w:autoSpaceDE w:val="0"/>
        <w:autoSpaceDN w:val="0"/>
        <w:adjustRightInd w:val="0"/>
        <w:spacing w:after="0"/>
        <w:rPr>
          <w:rFonts w:cs="Times New Roman"/>
          <w:szCs w:val="20"/>
          <w:lang w:val="es-CR" w:eastAsia="es-CR"/>
        </w:rPr>
      </w:pPr>
    </w:p>
    <w:p w:rsidR="00CC54CC" w:rsidRDefault="002529B4" w:rsidP="005735AE">
      <w:pPr>
        <w:numPr>
          <w:ilvl w:val="0"/>
          <w:numId w:val="1"/>
        </w:numPr>
        <w:tabs>
          <w:tab w:val="num" w:pos="720"/>
        </w:tabs>
        <w:autoSpaceDE w:val="0"/>
        <w:autoSpaceDN w:val="0"/>
        <w:adjustRightInd w:val="0"/>
        <w:spacing w:after="0"/>
        <w:rPr>
          <w:rFonts w:cs="Times New Roman"/>
          <w:szCs w:val="20"/>
          <w:lang w:val="es-CR" w:eastAsia="es-CR"/>
        </w:rPr>
      </w:pPr>
      <w:r>
        <w:t xml:space="preserve">El Estado presentó objeciones sobre la fecha de remisión de los peritajes, alegando que esa prueba no debería ser admitida por la Corte porque la Comisión habría presentado </w:t>
      </w:r>
      <w:r w:rsidR="00CB6DDD">
        <w:t>los</w:t>
      </w:r>
      <w:r>
        <w:t xml:space="preserve"> nombre</w:t>
      </w:r>
      <w:r w:rsidR="00CB6DDD">
        <w:t>s</w:t>
      </w:r>
      <w:r>
        <w:t xml:space="preserve"> y </w:t>
      </w:r>
      <w:r w:rsidR="00785B6E">
        <w:t>currículo</w:t>
      </w:r>
      <w:r w:rsidR="00066C02">
        <w:t>s</w:t>
      </w:r>
      <w:r>
        <w:t xml:space="preserve"> vitae de l</w:t>
      </w:r>
      <w:r w:rsidR="00CB6DDD">
        <w:t>os peritos</w:t>
      </w:r>
      <w:r>
        <w:t xml:space="preserve"> después del plazo previsto en el artículo 35 del Reglamento del Tribunal. El </w:t>
      </w:r>
      <w:r w:rsidR="00736694">
        <w:t>7 de febrero de 2017</w:t>
      </w:r>
      <w:r>
        <w:t xml:space="preserve">, la Secretaría de la Corte comunicó que </w:t>
      </w:r>
      <w:r w:rsidR="00736694">
        <w:t xml:space="preserve">cuando fue notificado el caso a las partes, fue enviado </w:t>
      </w:r>
      <w:r w:rsidR="00E86D92">
        <w:t xml:space="preserve">en anexo </w:t>
      </w:r>
      <w:r w:rsidR="00736694">
        <w:t xml:space="preserve">el escrito mediante el cual la Comisión identificó a los peritos y envió sus respectivos </w:t>
      </w:r>
      <w:r w:rsidR="00785B6E">
        <w:t>currículo</w:t>
      </w:r>
      <w:r w:rsidR="00AE6630">
        <w:t>s</w:t>
      </w:r>
      <w:r w:rsidR="00736694">
        <w:t xml:space="preserve"> vitae</w:t>
      </w:r>
      <w:r>
        <w:t>. Sin embargo, el Estado reiteró su objeción en la oportunidad de remitir observaciones sobre dicho ofrecimiento probatorio</w:t>
      </w:r>
      <w:r w:rsidR="00D36CA5">
        <w:t>.</w:t>
      </w:r>
    </w:p>
    <w:p w:rsidR="00CC54CC" w:rsidRPr="0083424B" w:rsidRDefault="00CC54CC" w:rsidP="005735AE">
      <w:pPr>
        <w:autoSpaceDE w:val="0"/>
        <w:autoSpaceDN w:val="0"/>
        <w:adjustRightInd w:val="0"/>
        <w:spacing w:after="0"/>
        <w:jc w:val="left"/>
        <w:rPr>
          <w:rFonts w:eastAsia="Times New Roman" w:cs="Verdana"/>
          <w:szCs w:val="20"/>
          <w:lang w:val="es-CL" w:eastAsia="en-US"/>
        </w:rPr>
      </w:pPr>
    </w:p>
    <w:p w:rsidR="00DB68AA" w:rsidRPr="00DB68AA" w:rsidRDefault="00431A17" w:rsidP="005735AE">
      <w:pPr>
        <w:pStyle w:val="BodyTextIndent"/>
        <w:numPr>
          <w:ilvl w:val="0"/>
          <w:numId w:val="1"/>
        </w:numPr>
        <w:tabs>
          <w:tab w:val="left" w:pos="0"/>
          <w:tab w:val="num" w:pos="720"/>
          <w:tab w:val="left" w:pos="810"/>
        </w:tabs>
        <w:spacing w:after="0"/>
        <w:ind w:left="0"/>
        <w:rPr>
          <w:rFonts w:cs="Verdana"/>
          <w:lang w:bidi="en-US"/>
        </w:rPr>
      </w:pPr>
      <w:r w:rsidRPr="00E44575">
        <w:rPr>
          <w:rFonts w:cs="Verdana"/>
          <w:szCs w:val="20"/>
          <w:lang w:val="es-ES"/>
        </w:rPr>
        <w:t xml:space="preserve">Esta Presidencia considera que </w:t>
      </w:r>
      <w:r>
        <w:rPr>
          <w:rFonts w:cs="Verdana"/>
          <w:szCs w:val="20"/>
          <w:lang w:val="es-ES"/>
        </w:rPr>
        <w:t>el</w:t>
      </w:r>
      <w:r w:rsidRPr="00E44575">
        <w:rPr>
          <w:rFonts w:cs="Verdana"/>
          <w:szCs w:val="20"/>
          <w:lang w:val="es-ES"/>
        </w:rPr>
        <w:t xml:space="preserve"> objeto </w:t>
      </w:r>
      <w:r w:rsidR="00CC54CC">
        <w:rPr>
          <w:rFonts w:cs="Verdana"/>
          <w:szCs w:val="20"/>
          <w:lang w:val="es-ES"/>
        </w:rPr>
        <w:t xml:space="preserve">de los peritajes ofrecidos por la Comisión resultan relevantes para el </w:t>
      </w:r>
      <w:r w:rsidRPr="00E44575">
        <w:rPr>
          <w:rFonts w:cs="Verdana"/>
          <w:szCs w:val="20"/>
          <w:lang w:val="es-ES"/>
        </w:rPr>
        <w:t>orden público inte</w:t>
      </w:r>
      <w:r>
        <w:rPr>
          <w:rFonts w:cs="Verdana"/>
          <w:szCs w:val="20"/>
          <w:lang w:val="es-ES"/>
        </w:rPr>
        <w:t>ramericano debido a que implica</w:t>
      </w:r>
      <w:r w:rsidR="00877384">
        <w:rPr>
          <w:rFonts w:cs="Verdana"/>
          <w:szCs w:val="20"/>
          <w:lang w:val="es-ES"/>
        </w:rPr>
        <w:t>n</w:t>
      </w:r>
      <w:r w:rsidRPr="00E44575">
        <w:rPr>
          <w:rFonts w:cs="Verdana"/>
          <w:szCs w:val="20"/>
          <w:lang w:val="es-ES"/>
        </w:rPr>
        <w:t xml:space="preserve"> un análisis de estándares internacionales </w:t>
      </w:r>
      <w:r w:rsidRPr="0083424B">
        <w:rPr>
          <w:szCs w:val="20"/>
          <w:lang w:val="es-AR" w:eastAsia="en-US"/>
        </w:rPr>
        <w:t xml:space="preserve">relativos </w:t>
      </w:r>
      <w:r w:rsidR="00AC7D21">
        <w:rPr>
          <w:szCs w:val="20"/>
          <w:lang w:val="es-AR" w:eastAsia="en-US"/>
        </w:rPr>
        <w:t>al deber de investigar</w:t>
      </w:r>
      <w:r w:rsidR="00CC54CC">
        <w:rPr>
          <w:szCs w:val="20"/>
          <w:lang w:val="es-AR" w:eastAsia="en-US"/>
        </w:rPr>
        <w:t xml:space="preserve"> </w:t>
      </w:r>
      <w:r w:rsidR="009D3F7C">
        <w:rPr>
          <w:szCs w:val="20"/>
          <w:lang w:val="es-AR" w:eastAsia="en-US"/>
        </w:rPr>
        <w:t>respecto de</w:t>
      </w:r>
      <w:r w:rsidR="00711324">
        <w:rPr>
          <w:szCs w:val="20"/>
          <w:lang w:val="es-AR" w:eastAsia="en-US"/>
        </w:rPr>
        <w:t xml:space="preserve"> casos de</w:t>
      </w:r>
      <w:r w:rsidR="00CC54CC">
        <w:rPr>
          <w:rFonts w:cs="Verdana"/>
          <w:lang w:bidi="en-US"/>
        </w:rPr>
        <w:t xml:space="preserve"> </w:t>
      </w:r>
      <w:r w:rsidR="00077269">
        <w:rPr>
          <w:rFonts w:cs="Verdana"/>
          <w:lang w:bidi="en-US"/>
        </w:rPr>
        <w:t>graves violaciones de derechos humanos ocurridas en</w:t>
      </w:r>
      <w:r w:rsidR="009D3F7C">
        <w:rPr>
          <w:rFonts w:cs="Verdana"/>
          <w:lang w:bidi="en-US"/>
        </w:rPr>
        <w:t xml:space="preserve"> contextos de</w:t>
      </w:r>
      <w:r w:rsidR="00077269">
        <w:rPr>
          <w:rFonts w:cs="Verdana"/>
          <w:lang w:bidi="en-US"/>
        </w:rPr>
        <w:t xml:space="preserve"> dictaduras</w:t>
      </w:r>
      <w:r w:rsidR="00785B6E">
        <w:rPr>
          <w:rFonts w:cs="Verdana"/>
          <w:lang w:bidi="en-US"/>
        </w:rPr>
        <w:t xml:space="preserve"> y de aplicación de obstáculos para la persecución penal de graves violaciones de derechos humanos, como por ejemplo las leyes de amnistía</w:t>
      </w:r>
      <w:r w:rsidR="00711324">
        <w:rPr>
          <w:szCs w:val="20"/>
          <w:lang w:val="es-CR" w:eastAsia="es-CR"/>
        </w:rPr>
        <w:t>.</w:t>
      </w:r>
      <w:r w:rsidR="00711324">
        <w:rPr>
          <w:rFonts w:cs="Verdana"/>
          <w:lang w:bidi="en-US"/>
        </w:rPr>
        <w:t xml:space="preserve"> </w:t>
      </w:r>
      <w:r w:rsidR="00DB68AA">
        <w:rPr>
          <w:rFonts w:cs="Verdana"/>
          <w:lang w:bidi="en-US"/>
        </w:rPr>
        <w:t>Asimismo</w:t>
      </w:r>
      <w:r w:rsidR="00AE6630">
        <w:rPr>
          <w:rFonts w:cs="Verdana"/>
          <w:lang w:bidi="en-US"/>
        </w:rPr>
        <w:t xml:space="preserve">, se considera relevante el peritaje sobre los efectos de la impunidad en la libertad de expresión, en particular cuando el contexto general de violaciones de derechos humanos afecta a periodistas. </w:t>
      </w:r>
      <w:r w:rsidRPr="00711324">
        <w:rPr>
          <w:rFonts w:cs="Verdana"/>
          <w:szCs w:val="20"/>
          <w:lang w:val="es-ES"/>
        </w:rPr>
        <w:t xml:space="preserve">En ese sentido, el objeto </w:t>
      </w:r>
      <w:r w:rsidR="00BC0FE9">
        <w:rPr>
          <w:rFonts w:cs="Verdana"/>
          <w:szCs w:val="20"/>
          <w:lang w:val="es-ES"/>
        </w:rPr>
        <w:t>de los</w:t>
      </w:r>
      <w:r w:rsidRPr="00711324">
        <w:rPr>
          <w:rFonts w:cs="Verdana"/>
          <w:szCs w:val="20"/>
          <w:lang w:val="es-ES"/>
        </w:rPr>
        <w:t xml:space="preserve"> peritaje</w:t>
      </w:r>
      <w:r w:rsidR="00BC0FE9">
        <w:rPr>
          <w:rFonts w:cs="Verdana"/>
          <w:szCs w:val="20"/>
          <w:lang w:val="es-ES"/>
        </w:rPr>
        <w:t>s</w:t>
      </w:r>
      <w:r w:rsidRPr="00711324">
        <w:rPr>
          <w:rFonts w:cs="Verdana"/>
          <w:szCs w:val="20"/>
          <w:lang w:val="es-ES"/>
        </w:rPr>
        <w:t xml:space="preserve"> trasciende</w:t>
      </w:r>
      <w:r w:rsidR="00BC0FE9">
        <w:rPr>
          <w:rFonts w:cs="Verdana"/>
          <w:szCs w:val="20"/>
          <w:lang w:val="es-ES"/>
        </w:rPr>
        <w:t>n</w:t>
      </w:r>
      <w:r w:rsidRPr="00711324">
        <w:rPr>
          <w:rFonts w:cs="Verdana"/>
          <w:szCs w:val="20"/>
          <w:lang w:val="es-ES"/>
        </w:rPr>
        <w:t xml:space="preserve"> la controversia </w:t>
      </w:r>
      <w:r w:rsidRPr="00711324">
        <w:rPr>
          <w:rFonts w:cs="Verdana"/>
          <w:szCs w:val="20"/>
        </w:rPr>
        <w:t>del</w:t>
      </w:r>
      <w:r w:rsidRPr="00711324">
        <w:rPr>
          <w:rFonts w:cs="Verdana"/>
          <w:szCs w:val="20"/>
          <w:lang w:val="es-ES"/>
        </w:rPr>
        <w:t xml:space="preserve"> presente caso y se refiere</w:t>
      </w:r>
      <w:r w:rsidR="00BC0FE9">
        <w:rPr>
          <w:rFonts w:cs="Verdana"/>
          <w:szCs w:val="20"/>
          <w:lang w:val="es-ES"/>
        </w:rPr>
        <w:t>n</w:t>
      </w:r>
      <w:r w:rsidRPr="00711324">
        <w:rPr>
          <w:rFonts w:cs="Verdana"/>
          <w:szCs w:val="20"/>
          <w:lang w:val="es-ES"/>
        </w:rPr>
        <w:t xml:space="preserve"> a conceptos relevantes para otros Estados Parte </w:t>
      </w:r>
      <w:r w:rsidR="00496D2C">
        <w:rPr>
          <w:rFonts w:cs="Verdana"/>
          <w:szCs w:val="20"/>
          <w:lang w:val="es-ES"/>
        </w:rPr>
        <w:t>de</w:t>
      </w:r>
      <w:r w:rsidRPr="00711324">
        <w:rPr>
          <w:rFonts w:cs="Verdana"/>
          <w:szCs w:val="20"/>
          <w:lang w:val="es-ES"/>
        </w:rPr>
        <w:t xml:space="preserve"> la Convención. </w:t>
      </w:r>
    </w:p>
    <w:p w:rsidR="00DB68AA" w:rsidRDefault="00DB68AA" w:rsidP="005735AE">
      <w:pPr>
        <w:pStyle w:val="ListParagraph"/>
        <w:spacing w:after="0"/>
      </w:pPr>
    </w:p>
    <w:p w:rsidR="005F45F5" w:rsidRPr="009E3008" w:rsidRDefault="00DB68AA" w:rsidP="005735AE">
      <w:pPr>
        <w:pStyle w:val="BodyTextIndent"/>
        <w:numPr>
          <w:ilvl w:val="0"/>
          <w:numId w:val="1"/>
        </w:numPr>
        <w:tabs>
          <w:tab w:val="left" w:pos="0"/>
          <w:tab w:val="num" w:pos="720"/>
          <w:tab w:val="left" w:pos="810"/>
        </w:tabs>
        <w:spacing w:after="0"/>
        <w:ind w:left="0"/>
        <w:rPr>
          <w:rFonts w:cs="Verdana"/>
          <w:lang w:bidi="en-US"/>
        </w:rPr>
      </w:pPr>
      <w:r>
        <w:t>Por otra parte</w:t>
      </w:r>
      <w:r w:rsidR="009D3F7C">
        <w:t>, la Presidencia considera que la objeción del Estado respecto a la alegada extemporaneidad del ofrecimiento de los referidos peritajes no tiene mérito, ya que, como f</w:t>
      </w:r>
      <w:r>
        <w:t xml:space="preserve">ue explicado por la Secretaría, siguiendo instrucciones de la Presidencia, </w:t>
      </w:r>
      <w:r w:rsidR="009D3F7C">
        <w:t>la Comisión p</w:t>
      </w:r>
      <w:r>
        <w:t xml:space="preserve">resentó </w:t>
      </w:r>
      <w:r w:rsidR="00B2399C">
        <w:t>los</w:t>
      </w:r>
      <w:r>
        <w:t xml:space="preserve"> nombre</w:t>
      </w:r>
      <w:r w:rsidR="00B2399C">
        <w:t>s</w:t>
      </w:r>
      <w:r>
        <w:t xml:space="preserve"> y currículo</w:t>
      </w:r>
      <w:r w:rsidR="00B2399C">
        <w:t>s</w:t>
      </w:r>
      <w:r>
        <w:t xml:space="preserve"> </w:t>
      </w:r>
      <w:r w:rsidR="009D3F7C">
        <w:t>vitae de los peritos dentro del plazo concedido para tal fin</w:t>
      </w:r>
      <w:r>
        <w:t xml:space="preserve">, es decir dentro del plazo de 21 días para la presentación de anexos establecido en el artículo 28 del Reglamento. Esta ha sido </w:t>
      </w:r>
      <w:r w:rsidR="009D3F7C">
        <w:t xml:space="preserve">la práctica constante del Sistema Interamericano de Derechos Humanos, y </w:t>
      </w:r>
      <w:r>
        <w:t xml:space="preserve">lo anterior </w:t>
      </w:r>
      <w:r w:rsidR="009D3F7C">
        <w:t>fue comunicado a las partes al momento de notificarles el presente caso</w:t>
      </w:r>
      <w:r>
        <w:rPr>
          <w:rStyle w:val="FootnoteReference"/>
        </w:rPr>
        <w:footnoteReference w:id="2"/>
      </w:r>
      <w:r w:rsidR="009D3F7C">
        <w:t xml:space="preserve">. Esta Presidencia no constata, por lo tanto, ninguna violación al derecho a la defensa del Estado. </w:t>
      </w:r>
      <w:r w:rsidR="00431A17" w:rsidRPr="00711324">
        <w:rPr>
          <w:rFonts w:cs="Verdana"/>
          <w:szCs w:val="20"/>
          <w:lang w:val="es-ES"/>
        </w:rPr>
        <w:t xml:space="preserve">En consecuencia, </w:t>
      </w:r>
      <w:r w:rsidR="00431A17" w:rsidRPr="00711324">
        <w:rPr>
          <w:rFonts w:cs="Verdana"/>
          <w:szCs w:val="20"/>
          <w:lang w:bidi="en-US"/>
        </w:rPr>
        <w:t xml:space="preserve">el Presidente estima </w:t>
      </w:r>
      <w:r w:rsidR="00AC7D21">
        <w:rPr>
          <w:rFonts w:cs="Verdana"/>
          <w:szCs w:val="20"/>
          <w:lang w:bidi="en-US"/>
        </w:rPr>
        <w:t>pertinente</w:t>
      </w:r>
      <w:r w:rsidR="00431A17" w:rsidRPr="00711324">
        <w:rPr>
          <w:rFonts w:cs="Verdana"/>
          <w:szCs w:val="20"/>
          <w:lang w:bidi="en-US"/>
        </w:rPr>
        <w:t xml:space="preserve"> </w:t>
      </w:r>
      <w:r w:rsidR="00431A17" w:rsidRPr="00711324">
        <w:rPr>
          <w:rFonts w:eastAsia="Times New Roman" w:cs="Verdana"/>
          <w:szCs w:val="20"/>
          <w:lang w:val="es-CL" w:eastAsia="en-US"/>
        </w:rPr>
        <w:t xml:space="preserve">admitir </w:t>
      </w:r>
      <w:r w:rsidR="00081154">
        <w:rPr>
          <w:rFonts w:eastAsia="Times New Roman" w:cs="Verdana"/>
          <w:szCs w:val="20"/>
          <w:lang w:val="es-CL" w:eastAsia="en-US"/>
        </w:rPr>
        <w:t>los dos</w:t>
      </w:r>
      <w:r w:rsidR="00431A17" w:rsidRPr="00711324">
        <w:rPr>
          <w:rFonts w:eastAsia="Times New Roman" w:cs="Verdana"/>
          <w:szCs w:val="20"/>
          <w:lang w:val="es-CL" w:eastAsia="en-US"/>
        </w:rPr>
        <w:t xml:space="preserve"> </w:t>
      </w:r>
      <w:r w:rsidR="00BC0FE9" w:rsidRPr="00711324">
        <w:rPr>
          <w:rFonts w:eastAsia="Times New Roman" w:cs="Verdana"/>
          <w:szCs w:val="20"/>
          <w:lang w:val="es-CL" w:eastAsia="en-US"/>
        </w:rPr>
        <w:t>dictámen</w:t>
      </w:r>
      <w:r w:rsidR="00BC0FE9">
        <w:rPr>
          <w:rFonts w:eastAsia="Times New Roman" w:cs="Verdana"/>
          <w:szCs w:val="20"/>
          <w:lang w:val="es-CL" w:eastAsia="en-US"/>
        </w:rPr>
        <w:t>es</w:t>
      </w:r>
      <w:r w:rsidR="00431A17" w:rsidRPr="00711324">
        <w:rPr>
          <w:rFonts w:eastAsia="Times New Roman" w:cs="Verdana"/>
          <w:szCs w:val="20"/>
          <w:lang w:val="es-CL" w:eastAsia="en-US"/>
        </w:rPr>
        <w:t xml:space="preserve"> pericial</w:t>
      </w:r>
      <w:r w:rsidR="00BC0FE9">
        <w:rPr>
          <w:rFonts w:eastAsia="Times New Roman" w:cs="Verdana"/>
          <w:szCs w:val="20"/>
          <w:lang w:val="es-CL" w:eastAsia="en-US"/>
        </w:rPr>
        <w:t>es</w:t>
      </w:r>
      <w:r w:rsidR="009A33FC">
        <w:rPr>
          <w:rFonts w:eastAsia="Times New Roman" w:cs="Verdana"/>
          <w:szCs w:val="20"/>
          <w:lang w:val="es-CL" w:eastAsia="en-US"/>
        </w:rPr>
        <w:t xml:space="preserve"> ofrecidos por la Comisión Interamericana</w:t>
      </w:r>
      <w:r w:rsidR="00431A17" w:rsidRPr="00711324">
        <w:rPr>
          <w:rFonts w:eastAsia="Times New Roman" w:cs="Verdana"/>
          <w:szCs w:val="20"/>
          <w:lang w:val="es-CL" w:eastAsia="en-US"/>
        </w:rPr>
        <w:t>.</w:t>
      </w:r>
      <w:r w:rsidR="00431A17" w:rsidRPr="00711324">
        <w:rPr>
          <w:rFonts w:cs="Verdana"/>
          <w:lang w:bidi="en-US"/>
        </w:rPr>
        <w:t xml:space="preserve"> </w:t>
      </w:r>
      <w:r w:rsidR="00214E0E">
        <w:rPr>
          <w:rFonts w:cs="Verdana"/>
          <w:lang w:val="es-CR" w:bidi="en-US"/>
        </w:rPr>
        <w:t>El</w:t>
      </w:r>
      <w:r w:rsidR="00214E0E" w:rsidRPr="00711324">
        <w:rPr>
          <w:rFonts w:cs="Verdana"/>
          <w:lang w:val="es-CR" w:bidi="en-US"/>
        </w:rPr>
        <w:t xml:space="preserve"> </w:t>
      </w:r>
      <w:r w:rsidR="00431A17" w:rsidRPr="00711324">
        <w:rPr>
          <w:rFonts w:cs="Verdana"/>
          <w:lang w:val="es-CR" w:bidi="en-US"/>
        </w:rPr>
        <w:t xml:space="preserve">objeto </w:t>
      </w:r>
      <w:r w:rsidR="00214E0E" w:rsidRPr="002E72CD">
        <w:t>de est</w:t>
      </w:r>
      <w:r w:rsidR="00214E0E">
        <w:t>os</w:t>
      </w:r>
      <w:r w:rsidR="00214E0E" w:rsidRPr="002E72CD">
        <w:t xml:space="preserve"> dict</w:t>
      </w:r>
      <w:r w:rsidR="00214E0E">
        <w:t>á</w:t>
      </w:r>
      <w:r w:rsidR="00214E0E" w:rsidRPr="002E72CD">
        <w:t>men</w:t>
      </w:r>
      <w:r w:rsidR="00214E0E">
        <w:t>es</w:t>
      </w:r>
      <w:r w:rsidR="00214E0E" w:rsidRPr="002E72CD">
        <w:t xml:space="preserve"> pericial</w:t>
      </w:r>
      <w:r w:rsidR="00214E0E">
        <w:t>es</w:t>
      </w:r>
      <w:r w:rsidR="00214E0E" w:rsidRPr="002E72CD">
        <w:t xml:space="preserve"> y la modalidad en que serán recibidos</w:t>
      </w:r>
      <w:r w:rsidR="00214E0E" w:rsidRPr="00711324">
        <w:rPr>
          <w:rFonts w:cs="Verdana"/>
          <w:lang w:val="es-CR" w:bidi="en-US"/>
        </w:rPr>
        <w:t xml:space="preserve"> </w:t>
      </w:r>
      <w:r w:rsidR="00397697">
        <w:rPr>
          <w:rFonts w:cs="Verdana"/>
          <w:lang w:val="es-CR" w:bidi="en-US"/>
        </w:rPr>
        <w:t>serán</w:t>
      </w:r>
      <w:r w:rsidR="008F2855">
        <w:rPr>
          <w:rFonts w:cs="Verdana"/>
          <w:lang w:val="es-CR" w:bidi="en-US"/>
        </w:rPr>
        <w:t xml:space="preserve"> determinado</w:t>
      </w:r>
      <w:r w:rsidR="00397697">
        <w:rPr>
          <w:rFonts w:cs="Verdana"/>
          <w:lang w:val="es-CR" w:bidi="en-US"/>
        </w:rPr>
        <w:t>s</w:t>
      </w:r>
      <w:r w:rsidR="00431A17" w:rsidRPr="00711324">
        <w:rPr>
          <w:rFonts w:cs="Verdana"/>
          <w:lang w:val="es-CR" w:bidi="en-US"/>
        </w:rPr>
        <w:t xml:space="preserve"> en la parte resolutiva de la presente Resolución (</w:t>
      </w:r>
      <w:r w:rsidR="00431A17" w:rsidRPr="00711324">
        <w:rPr>
          <w:rFonts w:cs="Verdana"/>
          <w:i/>
          <w:iCs/>
          <w:lang w:val="es-CR" w:bidi="en-US"/>
        </w:rPr>
        <w:t>infra</w:t>
      </w:r>
      <w:r w:rsidR="00E27ABB" w:rsidRPr="00711324">
        <w:rPr>
          <w:rFonts w:cs="Verdana"/>
          <w:lang w:val="es-CR" w:bidi="en-US"/>
        </w:rPr>
        <w:t xml:space="preserve"> punto resolutivo </w:t>
      </w:r>
      <w:r w:rsidR="00737BDA">
        <w:rPr>
          <w:rFonts w:cs="Verdana"/>
          <w:lang w:val="es-CR" w:bidi="en-US"/>
        </w:rPr>
        <w:t>4</w:t>
      </w:r>
      <w:r w:rsidR="00431A17" w:rsidRPr="00711324">
        <w:rPr>
          <w:rFonts w:cs="Verdana"/>
          <w:lang w:val="es-CR" w:bidi="en-US"/>
        </w:rPr>
        <w:t>).</w:t>
      </w:r>
    </w:p>
    <w:p w:rsidR="009E3008" w:rsidRDefault="009E3008" w:rsidP="005735AE">
      <w:pPr>
        <w:pStyle w:val="BodyTextIndent"/>
        <w:tabs>
          <w:tab w:val="left" w:pos="0"/>
          <w:tab w:val="left" w:pos="810"/>
        </w:tabs>
        <w:spacing w:after="0"/>
        <w:ind w:left="0"/>
        <w:rPr>
          <w:rFonts w:cs="Verdana"/>
          <w:lang w:bidi="en-US"/>
        </w:rPr>
      </w:pPr>
    </w:p>
    <w:p w:rsidR="002534B9" w:rsidRPr="009A6342" w:rsidRDefault="002534B9" w:rsidP="009A6342">
      <w:pPr>
        <w:pStyle w:val="BodyTextIndent"/>
        <w:numPr>
          <w:ilvl w:val="0"/>
          <w:numId w:val="5"/>
        </w:numPr>
        <w:tabs>
          <w:tab w:val="left" w:pos="0"/>
          <w:tab w:val="left" w:pos="810"/>
        </w:tabs>
        <w:spacing w:after="0"/>
        <w:rPr>
          <w:rFonts w:cs="Verdana"/>
          <w:b/>
          <w:i/>
          <w:lang w:bidi="en-US"/>
        </w:rPr>
      </w:pPr>
      <w:r w:rsidRPr="009A6342">
        <w:rPr>
          <w:rFonts w:cs="Verdana"/>
          <w:b/>
          <w:i/>
          <w:lang w:bidi="en-US"/>
        </w:rPr>
        <w:t>Solicitud de la Comisión de formular preguntas a dos peritos ofrecidos por los representantes y tres peritos ofrecidos por el Estado</w:t>
      </w:r>
    </w:p>
    <w:p w:rsidR="002534B9" w:rsidRPr="009E3008" w:rsidRDefault="002534B9" w:rsidP="005735AE">
      <w:pPr>
        <w:pStyle w:val="BodyTextIndent"/>
        <w:tabs>
          <w:tab w:val="left" w:pos="0"/>
          <w:tab w:val="left" w:pos="810"/>
        </w:tabs>
        <w:spacing w:after="0"/>
        <w:ind w:left="0"/>
        <w:rPr>
          <w:rFonts w:cs="Verdana"/>
          <w:lang w:bidi="en-US"/>
        </w:rPr>
      </w:pPr>
    </w:p>
    <w:p w:rsidR="005F45F5" w:rsidRPr="00123DA0" w:rsidRDefault="005F45F5" w:rsidP="005735AE">
      <w:pPr>
        <w:numPr>
          <w:ilvl w:val="0"/>
          <w:numId w:val="1"/>
        </w:numPr>
        <w:tabs>
          <w:tab w:val="num" w:pos="720"/>
        </w:tabs>
        <w:autoSpaceDE w:val="0"/>
        <w:autoSpaceDN w:val="0"/>
        <w:adjustRightInd w:val="0"/>
        <w:spacing w:after="0"/>
        <w:rPr>
          <w:rFonts w:cs="Times New Roman"/>
          <w:szCs w:val="20"/>
          <w:lang w:val="es-CR" w:eastAsia="es-CR"/>
        </w:rPr>
      </w:pPr>
      <w:r>
        <w:rPr>
          <w:rFonts w:cs="Times New Roman"/>
          <w:szCs w:val="20"/>
          <w:lang w:val="es-CR" w:eastAsia="es-CR"/>
        </w:rPr>
        <w:t>La Comisión solicitó la oportunidad verbal o escrita de formular preguntas a dos de los peritos ofrecidos por los representantes, así como tres peritos ofrecidos por el Estado, cuyas declaraciones se relacionan tanto con el orden público interamericano</w:t>
      </w:r>
      <w:r w:rsidR="009E3008">
        <w:rPr>
          <w:rFonts w:cs="Times New Roman"/>
          <w:szCs w:val="20"/>
          <w:lang w:val="es-CR" w:eastAsia="es-CR"/>
        </w:rPr>
        <w:t>,</w:t>
      </w:r>
      <w:r>
        <w:rPr>
          <w:rFonts w:cs="Times New Roman"/>
          <w:szCs w:val="20"/>
          <w:lang w:val="es-CR" w:eastAsia="es-CR"/>
        </w:rPr>
        <w:t xml:space="preserve"> como con la materia sobre la cual versa el peri</w:t>
      </w:r>
      <w:r w:rsidR="009E3008">
        <w:rPr>
          <w:rFonts w:cs="Times New Roman"/>
          <w:szCs w:val="20"/>
          <w:lang w:val="es-CR" w:eastAsia="es-CR"/>
        </w:rPr>
        <w:t>taje ofrecido por la Comisión. La Comisión r</w:t>
      </w:r>
      <w:r>
        <w:rPr>
          <w:rFonts w:cs="Times New Roman"/>
          <w:szCs w:val="20"/>
          <w:lang w:val="es-CR" w:eastAsia="es-CR"/>
        </w:rPr>
        <w:t xml:space="preserve">esaltó que la prueba pericial a cargo de Sergio Gardenghi Suiama y Juan Méndez, ofrecida por los representantes, incorpora componentes relacionados con el deber de investigar hechos como los del presente caso, </w:t>
      </w:r>
      <w:r w:rsidR="009E3008">
        <w:rPr>
          <w:rFonts w:cs="Times New Roman"/>
          <w:szCs w:val="20"/>
          <w:lang w:val="es-CR" w:eastAsia="es-CR"/>
        </w:rPr>
        <w:t>relacionados con</w:t>
      </w:r>
      <w:r>
        <w:rPr>
          <w:rFonts w:cs="Times New Roman"/>
          <w:szCs w:val="20"/>
          <w:lang w:val="es-CR" w:eastAsia="es-CR"/>
        </w:rPr>
        <w:t xml:space="preserve"> graves violaciones de derechos humanos ocurridas durante la dictadura militar. </w:t>
      </w:r>
      <w:r w:rsidR="00B830B3">
        <w:rPr>
          <w:rFonts w:cs="Times New Roman"/>
          <w:szCs w:val="20"/>
          <w:lang w:val="es-CR" w:eastAsia="es-CR"/>
        </w:rPr>
        <w:t>Asimismo,</w:t>
      </w:r>
      <w:r>
        <w:rPr>
          <w:rFonts w:cs="Times New Roman"/>
          <w:szCs w:val="20"/>
          <w:lang w:val="es-CR" w:eastAsia="es-CR"/>
        </w:rPr>
        <w:t xml:space="preserve"> los contenidos ofrecidos por el Estado respecto </w:t>
      </w:r>
      <w:r w:rsidR="00B830B3">
        <w:rPr>
          <w:rFonts w:cs="Times New Roman"/>
          <w:szCs w:val="20"/>
          <w:lang w:val="es-CR" w:eastAsia="es-CR"/>
        </w:rPr>
        <w:t xml:space="preserve">de </w:t>
      </w:r>
      <w:r>
        <w:rPr>
          <w:rFonts w:cs="Times New Roman"/>
          <w:szCs w:val="20"/>
          <w:lang w:val="es-CR" w:eastAsia="es-CR"/>
        </w:rPr>
        <w:t xml:space="preserve">los peritajes de Alberto </w:t>
      </w:r>
      <w:proofErr w:type="spellStart"/>
      <w:r>
        <w:rPr>
          <w:rFonts w:cs="Times New Roman"/>
          <w:szCs w:val="20"/>
          <w:lang w:val="es-CR" w:eastAsia="es-CR"/>
        </w:rPr>
        <w:t>Zacharías</w:t>
      </w:r>
      <w:proofErr w:type="spellEnd"/>
      <w:r w:rsidR="00066C02">
        <w:rPr>
          <w:rFonts w:cs="Times New Roman"/>
          <w:szCs w:val="20"/>
          <w:lang w:val="es-CR" w:eastAsia="es-CR"/>
        </w:rPr>
        <w:t xml:space="preserve"> </w:t>
      </w:r>
      <w:proofErr w:type="spellStart"/>
      <w:r w:rsidR="00066C02">
        <w:rPr>
          <w:rFonts w:cs="Times New Roman"/>
          <w:szCs w:val="20"/>
          <w:lang w:val="es-CR" w:eastAsia="es-CR"/>
        </w:rPr>
        <w:t>Toron</w:t>
      </w:r>
      <w:proofErr w:type="spellEnd"/>
      <w:r>
        <w:rPr>
          <w:rFonts w:cs="Times New Roman"/>
          <w:szCs w:val="20"/>
          <w:lang w:val="es-CR" w:eastAsia="es-CR"/>
        </w:rPr>
        <w:t xml:space="preserve">, María Auxiliadora </w:t>
      </w:r>
      <w:proofErr w:type="spellStart"/>
      <w:r>
        <w:rPr>
          <w:rFonts w:cs="Times New Roman"/>
          <w:szCs w:val="20"/>
          <w:lang w:val="es-CR" w:eastAsia="es-CR"/>
        </w:rPr>
        <w:t>Minahim</w:t>
      </w:r>
      <w:proofErr w:type="spellEnd"/>
      <w:r>
        <w:rPr>
          <w:rFonts w:cs="Times New Roman"/>
          <w:szCs w:val="20"/>
          <w:lang w:val="es-CR" w:eastAsia="es-CR"/>
        </w:rPr>
        <w:t xml:space="preserve"> y </w:t>
      </w:r>
      <w:proofErr w:type="spellStart"/>
      <w:r>
        <w:rPr>
          <w:rFonts w:cs="Times New Roman"/>
          <w:szCs w:val="20"/>
          <w:lang w:val="es-CR" w:eastAsia="es-CR"/>
        </w:rPr>
        <w:t>Dimitrios</w:t>
      </w:r>
      <w:proofErr w:type="spellEnd"/>
      <w:r>
        <w:rPr>
          <w:rFonts w:cs="Times New Roman"/>
          <w:szCs w:val="20"/>
          <w:lang w:val="es-CR" w:eastAsia="es-CR"/>
        </w:rPr>
        <w:t xml:space="preserve"> </w:t>
      </w:r>
      <w:proofErr w:type="spellStart"/>
      <w:r>
        <w:rPr>
          <w:rFonts w:cs="Times New Roman"/>
          <w:szCs w:val="20"/>
          <w:lang w:val="es-CR" w:eastAsia="es-CR"/>
        </w:rPr>
        <w:t>Dimoulis</w:t>
      </w:r>
      <w:proofErr w:type="spellEnd"/>
      <w:r>
        <w:rPr>
          <w:rFonts w:cs="Times New Roman"/>
          <w:szCs w:val="20"/>
          <w:lang w:val="es-CR" w:eastAsia="es-CR"/>
        </w:rPr>
        <w:t xml:space="preserve"> incluyen los referidos temas en materia de justicia y </w:t>
      </w:r>
      <w:r w:rsidR="00B830B3">
        <w:rPr>
          <w:rFonts w:cs="Times New Roman"/>
          <w:szCs w:val="20"/>
          <w:lang w:val="es-CR" w:eastAsia="es-CR"/>
        </w:rPr>
        <w:t>se refieren a</w:t>
      </w:r>
      <w:r>
        <w:rPr>
          <w:rFonts w:cs="Times New Roman"/>
          <w:szCs w:val="20"/>
          <w:lang w:val="es-CR" w:eastAsia="es-CR"/>
        </w:rPr>
        <w:t xml:space="preserve"> figuras legales que </w:t>
      </w:r>
      <w:r>
        <w:rPr>
          <w:rFonts w:cs="Times New Roman"/>
          <w:szCs w:val="20"/>
          <w:lang w:val="es-CR" w:eastAsia="es-CR"/>
        </w:rPr>
        <w:lastRenderedPageBreak/>
        <w:t xml:space="preserve">impedirían la investigación, juzgamiento y </w:t>
      </w:r>
      <w:r w:rsidR="006076E7">
        <w:rPr>
          <w:rFonts w:cs="Times New Roman"/>
          <w:szCs w:val="20"/>
          <w:lang w:val="es-CR" w:eastAsia="es-CR"/>
        </w:rPr>
        <w:t xml:space="preserve">eventual </w:t>
      </w:r>
      <w:r>
        <w:rPr>
          <w:rFonts w:cs="Times New Roman"/>
          <w:szCs w:val="20"/>
          <w:lang w:val="es-CR" w:eastAsia="es-CR"/>
        </w:rPr>
        <w:t xml:space="preserve">sanción de hechos como los del presente caso. </w:t>
      </w:r>
    </w:p>
    <w:p w:rsidR="005F45F5" w:rsidRPr="00D107B2" w:rsidRDefault="005F45F5" w:rsidP="005735AE">
      <w:pPr>
        <w:spacing w:after="0"/>
        <w:rPr>
          <w:szCs w:val="20"/>
        </w:rPr>
      </w:pPr>
    </w:p>
    <w:p w:rsidR="00123DA0" w:rsidRDefault="005F45F5" w:rsidP="005735AE">
      <w:pPr>
        <w:numPr>
          <w:ilvl w:val="0"/>
          <w:numId w:val="1"/>
        </w:numPr>
        <w:tabs>
          <w:tab w:val="left" w:pos="720"/>
        </w:tabs>
        <w:autoSpaceDE w:val="0"/>
        <w:autoSpaceDN w:val="0"/>
        <w:adjustRightInd w:val="0"/>
        <w:spacing w:after="0"/>
        <w:rPr>
          <w:rFonts w:cs="Verdana"/>
          <w:lang w:val="es-ES"/>
        </w:rPr>
      </w:pPr>
      <w:r w:rsidRPr="007F3068">
        <w:rPr>
          <w:szCs w:val="20"/>
        </w:rPr>
        <w:t xml:space="preserve">El Presidente recuerda </w:t>
      </w:r>
      <w:r w:rsidR="00376B2B">
        <w:rPr>
          <w:szCs w:val="20"/>
        </w:rPr>
        <w:t xml:space="preserve">que de conformidad con lo establecido en los artículos </w:t>
      </w:r>
      <w:r w:rsidRPr="007F3068">
        <w:rPr>
          <w:szCs w:val="20"/>
        </w:rPr>
        <w:t>50.5</w:t>
      </w:r>
      <w:r w:rsidR="00376B2B">
        <w:rPr>
          <w:szCs w:val="20"/>
        </w:rPr>
        <w:t xml:space="preserve"> y 52.3 </w:t>
      </w:r>
      <w:r w:rsidRPr="007F3068">
        <w:rPr>
          <w:szCs w:val="20"/>
        </w:rPr>
        <w:t>del Reglamento,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Pr="00E44575">
        <w:rPr>
          <w:rStyle w:val="FootnoteReference"/>
          <w:szCs w:val="20"/>
        </w:rPr>
        <w:footnoteReference w:id="3"/>
      </w:r>
      <w:r w:rsidRPr="007F3068">
        <w:rPr>
          <w:szCs w:val="20"/>
        </w:rPr>
        <w:t>.</w:t>
      </w:r>
      <w:r>
        <w:rPr>
          <w:rFonts w:cs="Verdana"/>
          <w:lang w:val="es-ES"/>
        </w:rPr>
        <w:t xml:space="preserve"> </w:t>
      </w:r>
    </w:p>
    <w:p w:rsidR="00123DA0" w:rsidRDefault="00123DA0" w:rsidP="005735AE">
      <w:pPr>
        <w:tabs>
          <w:tab w:val="left" w:pos="720"/>
        </w:tabs>
        <w:autoSpaceDE w:val="0"/>
        <w:autoSpaceDN w:val="0"/>
        <w:adjustRightInd w:val="0"/>
        <w:spacing w:after="0"/>
        <w:rPr>
          <w:rFonts w:cs="Verdana"/>
          <w:lang w:val="es-ES"/>
        </w:rPr>
      </w:pPr>
    </w:p>
    <w:p w:rsidR="005F45F5" w:rsidRPr="00001D9C" w:rsidRDefault="00123DA0" w:rsidP="005735AE">
      <w:pPr>
        <w:numPr>
          <w:ilvl w:val="0"/>
          <w:numId w:val="1"/>
        </w:numPr>
        <w:tabs>
          <w:tab w:val="left" w:pos="720"/>
        </w:tabs>
        <w:autoSpaceDE w:val="0"/>
        <w:autoSpaceDN w:val="0"/>
        <w:adjustRightInd w:val="0"/>
        <w:spacing w:after="0"/>
        <w:rPr>
          <w:rFonts w:cs="Verdana"/>
          <w:lang w:val="es-ES"/>
        </w:rPr>
      </w:pPr>
      <w:r>
        <w:rPr>
          <w:rFonts w:cs="Verdana"/>
          <w:lang w:val="es-ES"/>
        </w:rPr>
        <w:t xml:space="preserve">La Presidencia </w:t>
      </w:r>
      <w:r w:rsidRPr="00F25644">
        <w:rPr>
          <w:lang w:val="es-CR"/>
        </w:rPr>
        <w:t xml:space="preserve">considera que efectivamente los </w:t>
      </w:r>
      <w:r>
        <w:rPr>
          <w:lang w:val="es-CR"/>
        </w:rPr>
        <w:t>cinco</w:t>
      </w:r>
      <w:r w:rsidRPr="00F25644">
        <w:rPr>
          <w:lang w:val="es-CR"/>
        </w:rPr>
        <w:t xml:space="preserve"> dictámenes</w:t>
      </w:r>
      <w:r w:rsidR="00707290">
        <w:rPr>
          <w:lang w:val="es-CR"/>
        </w:rPr>
        <w:t xml:space="preserve"> periciales</w:t>
      </w:r>
      <w:r w:rsidRPr="00F25644">
        <w:rPr>
          <w:lang w:val="es-CR"/>
        </w:rPr>
        <w:t xml:space="preserve"> se encuentran </w:t>
      </w:r>
      <w:r w:rsidR="00707290">
        <w:rPr>
          <w:lang w:val="es-CR"/>
        </w:rPr>
        <w:t xml:space="preserve">relacionados con </w:t>
      </w:r>
      <w:r>
        <w:rPr>
          <w:lang w:val="es-CR"/>
        </w:rPr>
        <w:t>l</w:t>
      </w:r>
      <w:r w:rsidR="00707290">
        <w:rPr>
          <w:lang w:val="es-CR"/>
        </w:rPr>
        <w:t>os</w:t>
      </w:r>
      <w:r>
        <w:rPr>
          <w:lang w:val="es-CR"/>
        </w:rPr>
        <w:t xml:space="preserve"> peritaje</w:t>
      </w:r>
      <w:r w:rsidR="00707290">
        <w:rPr>
          <w:lang w:val="es-CR"/>
        </w:rPr>
        <w:t>s ofrecidos</w:t>
      </w:r>
      <w:r>
        <w:rPr>
          <w:lang w:val="es-CR"/>
        </w:rPr>
        <w:t xml:space="preserve"> por la Comisión y afectan de manera relevante el orden público interamericano de los derechos humanos,</w:t>
      </w:r>
      <w:r w:rsidRPr="00F25644">
        <w:rPr>
          <w:lang w:val="es-CR"/>
        </w:rPr>
        <w:t xml:space="preserve"> motivo por el cual considera procedente, </w:t>
      </w:r>
      <w:r w:rsidR="0053701E">
        <w:rPr>
          <w:lang w:val="es-CR"/>
        </w:rPr>
        <w:t xml:space="preserve">de conformidad con </w:t>
      </w:r>
      <w:r w:rsidRPr="00F25644">
        <w:rPr>
          <w:lang w:val="es-CR"/>
        </w:rPr>
        <w:t>los artículos 50.5 y 52.3 del Reglamento, conceder</w:t>
      </w:r>
      <w:r>
        <w:rPr>
          <w:lang w:val="es-CR"/>
        </w:rPr>
        <w:t xml:space="preserve"> la</w:t>
      </w:r>
      <w:r w:rsidRPr="00F25644">
        <w:rPr>
          <w:lang w:val="es-CR"/>
        </w:rPr>
        <w:t xml:space="preserve"> oportunidad a la Comisión para formular preguntas a los peritos </w:t>
      </w:r>
      <w:r>
        <w:rPr>
          <w:rFonts w:cs="Verdana"/>
          <w:lang w:val="es-ES"/>
        </w:rPr>
        <w:t>Sergio Gardenghi Suiama</w:t>
      </w:r>
      <w:r w:rsidRPr="00F25644">
        <w:rPr>
          <w:lang w:val="es-CR"/>
        </w:rPr>
        <w:t>,</w:t>
      </w:r>
      <w:r>
        <w:rPr>
          <w:lang w:val="es-CR"/>
        </w:rPr>
        <w:t xml:space="preserve"> Juan Méndez, Alberto </w:t>
      </w:r>
      <w:proofErr w:type="spellStart"/>
      <w:r>
        <w:rPr>
          <w:lang w:val="es-CR"/>
        </w:rPr>
        <w:t>Zacharías</w:t>
      </w:r>
      <w:proofErr w:type="spellEnd"/>
      <w:r>
        <w:rPr>
          <w:lang w:val="es-CR"/>
        </w:rPr>
        <w:t xml:space="preserve"> </w:t>
      </w:r>
      <w:proofErr w:type="spellStart"/>
      <w:r>
        <w:rPr>
          <w:lang w:val="es-CR"/>
        </w:rPr>
        <w:t>Toron</w:t>
      </w:r>
      <w:proofErr w:type="spellEnd"/>
      <w:r>
        <w:rPr>
          <w:lang w:val="es-CR"/>
        </w:rPr>
        <w:t xml:space="preserve">, María Auxiliadora </w:t>
      </w:r>
      <w:proofErr w:type="spellStart"/>
      <w:r>
        <w:rPr>
          <w:lang w:val="es-CR"/>
        </w:rPr>
        <w:t>Minahim</w:t>
      </w:r>
      <w:proofErr w:type="spellEnd"/>
      <w:r>
        <w:rPr>
          <w:lang w:val="es-CR"/>
        </w:rPr>
        <w:t xml:space="preserve"> y </w:t>
      </w:r>
      <w:proofErr w:type="spellStart"/>
      <w:r>
        <w:rPr>
          <w:lang w:val="es-CR"/>
        </w:rPr>
        <w:t>Dimitrios</w:t>
      </w:r>
      <w:proofErr w:type="spellEnd"/>
      <w:r>
        <w:rPr>
          <w:lang w:val="es-CR"/>
        </w:rPr>
        <w:t xml:space="preserve"> </w:t>
      </w:r>
      <w:proofErr w:type="spellStart"/>
      <w:r>
        <w:rPr>
          <w:lang w:val="es-CR"/>
        </w:rPr>
        <w:t>Dimoulis</w:t>
      </w:r>
      <w:proofErr w:type="spellEnd"/>
      <w:r w:rsidRPr="00E44575">
        <w:t xml:space="preserve"> respecto de los </w:t>
      </w:r>
      <w:r w:rsidRPr="004848AA">
        <w:t xml:space="preserve">referidos temas </w:t>
      </w:r>
      <w:r w:rsidRPr="004848AA">
        <w:rPr>
          <w:lang w:val="es-CR"/>
        </w:rPr>
        <w:t>relacionados con el orden público interamericano.</w:t>
      </w:r>
    </w:p>
    <w:p w:rsidR="00431A17" w:rsidRDefault="00431A17" w:rsidP="005735AE">
      <w:pPr>
        <w:pStyle w:val="Listavistosa-nfasis11"/>
        <w:numPr>
          <w:ilvl w:val="0"/>
          <w:numId w:val="0"/>
        </w:numPr>
        <w:spacing w:after="0"/>
        <w:ind w:left="720"/>
        <w:contextualSpacing w:val="0"/>
        <w:rPr>
          <w:rFonts w:cs="Verdana"/>
          <w:lang w:bidi="en-US"/>
        </w:rPr>
      </w:pPr>
    </w:p>
    <w:p w:rsidR="00431A17" w:rsidRPr="006B7A07" w:rsidRDefault="00431A17" w:rsidP="005735AE">
      <w:pPr>
        <w:pStyle w:val="ListParagraph1"/>
        <w:numPr>
          <w:ilvl w:val="0"/>
          <w:numId w:val="5"/>
        </w:numPr>
        <w:ind w:right="11"/>
        <w:jc w:val="both"/>
        <w:rPr>
          <w:rFonts w:ascii="Verdana" w:hAnsi="Verdana"/>
          <w:b/>
          <w:i/>
          <w:sz w:val="20"/>
          <w:szCs w:val="20"/>
          <w:lang w:val="es-CR"/>
        </w:rPr>
      </w:pPr>
      <w:r w:rsidRPr="006B7A07">
        <w:rPr>
          <w:rFonts w:ascii="Verdana" w:hAnsi="Verdana"/>
          <w:b/>
          <w:i/>
          <w:sz w:val="20"/>
          <w:szCs w:val="20"/>
          <w:lang w:val="es-CR"/>
        </w:rPr>
        <w:t xml:space="preserve">Observaciones realizadas por el Estado </w:t>
      </w:r>
      <w:r w:rsidR="006B7A07" w:rsidRPr="006B7A07">
        <w:rPr>
          <w:rFonts w:ascii="Verdana" w:hAnsi="Verdana"/>
          <w:b/>
          <w:i/>
          <w:sz w:val="20"/>
          <w:szCs w:val="20"/>
          <w:lang w:val="es-CR"/>
        </w:rPr>
        <w:t xml:space="preserve">a las </w:t>
      </w:r>
      <w:r w:rsidR="00397697">
        <w:rPr>
          <w:rFonts w:ascii="Verdana" w:hAnsi="Verdana"/>
          <w:b/>
          <w:i/>
          <w:sz w:val="20"/>
          <w:szCs w:val="20"/>
          <w:lang w:val="es-CR"/>
        </w:rPr>
        <w:t xml:space="preserve">declaraciones de las </w:t>
      </w:r>
      <w:r w:rsidR="006B7A07" w:rsidRPr="006B7A07">
        <w:rPr>
          <w:rFonts w:ascii="Verdana" w:hAnsi="Verdana"/>
          <w:b/>
          <w:i/>
          <w:sz w:val="20"/>
          <w:szCs w:val="20"/>
          <w:lang w:val="es-CR"/>
        </w:rPr>
        <w:t xml:space="preserve">presuntas víctimas ofrecidas por los representantes </w:t>
      </w:r>
    </w:p>
    <w:p w:rsidR="006B7A07" w:rsidRPr="006B7A07" w:rsidRDefault="006B7A07" w:rsidP="005735AE">
      <w:pPr>
        <w:pStyle w:val="BodyTextIndent"/>
        <w:tabs>
          <w:tab w:val="left" w:pos="0"/>
        </w:tabs>
        <w:spacing w:after="0"/>
        <w:ind w:left="720"/>
        <w:rPr>
          <w:rFonts w:cs="Verdana"/>
          <w:b/>
          <w:i/>
          <w:lang w:bidi="en-US"/>
        </w:rPr>
      </w:pPr>
    </w:p>
    <w:p w:rsidR="00BC0FE9" w:rsidRPr="00BC0FE9" w:rsidRDefault="00431A17" w:rsidP="005735AE">
      <w:pPr>
        <w:pStyle w:val="BodyTextIndent"/>
        <w:numPr>
          <w:ilvl w:val="0"/>
          <w:numId w:val="1"/>
        </w:numPr>
        <w:tabs>
          <w:tab w:val="left" w:pos="0"/>
          <w:tab w:val="num" w:pos="720"/>
        </w:tabs>
        <w:spacing w:after="0"/>
        <w:ind w:left="0"/>
        <w:rPr>
          <w:rFonts w:cs="Verdana"/>
          <w:b/>
          <w:lang w:bidi="en-US"/>
        </w:rPr>
      </w:pPr>
      <w:r>
        <w:rPr>
          <w:rFonts w:cs="Verdana"/>
          <w:lang w:bidi="en-US"/>
        </w:rPr>
        <w:t xml:space="preserve">En su escrito de solicitudes y argumentos los representantes ofrecieron </w:t>
      </w:r>
      <w:r w:rsidR="00BC0FE9">
        <w:rPr>
          <w:rFonts w:cs="Verdana"/>
          <w:lang w:bidi="en-US"/>
        </w:rPr>
        <w:t xml:space="preserve">las declaraciones de </w:t>
      </w:r>
      <w:r w:rsidR="00C30DBC">
        <w:rPr>
          <w:rFonts w:cs="Verdana"/>
          <w:lang w:bidi="en-US"/>
        </w:rPr>
        <w:t>tres</w:t>
      </w:r>
      <w:r w:rsidR="00BC0FE9">
        <w:rPr>
          <w:rFonts w:cs="Verdana"/>
          <w:lang w:bidi="en-US"/>
        </w:rPr>
        <w:t xml:space="preserve"> presuntas víctimas, las cuales fueron reiteradas en </w:t>
      </w:r>
      <w:r w:rsidR="00A619D8">
        <w:rPr>
          <w:rFonts w:cs="Verdana"/>
          <w:lang w:bidi="en-US"/>
        </w:rPr>
        <w:t xml:space="preserve">su </w:t>
      </w:r>
      <w:r w:rsidR="00BC0FE9">
        <w:rPr>
          <w:rFonts w:cs="Verdana"/>
          <w:lang w:bidi="en-US"/>
        </w:rPr>
        <w:t xml:space="preserve">lista definitiva de declarantes. </w:t>
      </w:r>
    </w:p>
    <w:p w:rsidR="00431A17" w:rsidRPr="00BC0FE9" w:rsidRDefault="00431A17" w:rsidP="005735AE">
      <w:pPr>
        <w:pStyle w:val="BodyTextIndent"/>
        <w:tabs>
          <w:tab w:val="left" w:pos="0"/>
          <w:tab w:val="num" w:pos="720"/>
        </w:tabs>
        <w:spacing w:after="0"/>
        <w:ind w:left="0"/>
        <w:rPr>
          <w:rFonts w:cs="Verdana"/>
          <w:b/>
          <w:lang w:val="es-CR" w:bidi="en-US"/>
        </w:rPr>
      </w:pPr>
    </w:p>
    <w:p w:rsidR="00BC0FE9" w:rsidRPr="00BC0FE9" w:rsidRDefault="00431A17" w:rsidP="005735AE">
      <w:pPr>
        <w:pStyle w:val="BodyTextIndent"/>
        <w:numPr>
          <w:ilvl w:val="0"/>
          <w:numId w:val="1"/>
        </w:numPr>
        <w:tabs>
          <w:tab w:val="left" w:pos="0"/>
          <w:tab w:val="num" w:pos="720"/>
        </w:tabs>
        <w:spacing w:after="0"/>
        <w:ind w:left="0"/>
        <w:rPr>
          <w:rFonts w:cs="Verdana"/>
          <w:lang w:bidi="en-US"/>
        </w:rPr>
      </w:pPr>
      <w:r>
        <w:rPr>
          <w:rFonts w:eastAsia="Times New Roman" w:cs="Verdana"/>
          <w:szCs w:val="20"/>
          <w:lang w:eastAsia="en-US"/>
        </w:rPr>
        <w:t xml:space="preserve">Al momento de realizar </w:t>
      </w:r>
      <w:r w:rsidR="00A619D8">
        <w:rPr>
          <w:rFonts w:eastAsia="Times New Roman" w:cs="Verdana"/>
          <w:szCs w:val="20"/>
          <w:lang w:eastAsia="en-US"/>
        </w:rPr>
        <w:t xml:space="preserve">observaciones </w:t>
      </w:r>
      <w:r>
        <w:rPr>
          <w:rFonts w:eastAsia="Times New Roman" w:cs="Verdana"/>
          <w:szCs w:val="20"/>
          <w:lang w:eastAsia="en-US"/>
        </w:rPr>
        <w:t>al listado definitivo de declarantes d</w:t>
      </w:r>
      <w:r w:rsidR="00C30DBC">
        <w:rPr>
          <w:rFonts w:eastAsia="Times New Roman" w:cs="Verdana"/>
          <w:szCs w:val="20"/>
          <w:lang w:eastAsia="en-US"/>
        </w:rPr>
        <w:t xml:space="preserve">e los representantes, el Estado </w:t>
      </w:r>
      <w:r w:rsidR="00BC0FE9" w:rsidRPr="00BC0FE9">
        <w:rPr>
          <w:rFonts w:eastAsia="Times New Roman" w:cs="Verdana"/>
          <w:szCs w:val="20"/>
          <w:lang w:val="es-CL" w:eastAsia="en-US"/>
        </w:rPr>
        <w:t xml:space="preserve">impugnó la parte del objeto de la declaración de las presuntas víctimas relacionada con </w:t>
      </w:r>
      <w:r w:rsidR="00313E2B">
        <w:rPr>
          <w:rFonts w:eastAsia="Times New Roman" w:cs="Verdana"/>
          <w:szCs w:val="20"/>
          <w:lang w:val="es-CL" w:eastAsia="en-US"/>
        </w:rPr>
        <w:t xml:space="preserve">las </w:t>
      </w:r>
      <w:r w:rsidR="00BC0FE9" w:rsidRPr="00BC0FE9">
        <w:rPr>
          <w:rFonts w:eastAsia="Times New Roman" w:cs="Verdana"/>
          <w:szCs w:val="20"/>
          <w:lang w:val="es-CL" w:eastAsia="en-US"/>
        </w:rPr>
        <w:t>“</w:t>
      </w:r>
      <w:r w:rsidR="00C30DBC" w:rsidRPr="00806BFA">
        <w:rPr>
          <w:rFonts w:eastAsia="Times New Roman" w:cs="Verdana"/>
          <w:i/>
          <w:szCs w:val="20"/>
          <w:lang w:val="es-CL" w:eastAsia="en-US"/>
        </w:rPr>
        <w:t xml:space="preserve">medidas que el Estado debería adoptar para </w:t>
      </w:r>
      <w:r w:rsidR="00D14325" w:rsidRPr="00806BFA">
        <w:rPr>
          <w:rFonts w:eastAsia="Times New Roman" w:cs="Verdana"/>
          <w:i/>
          <w:szCs w:val="20"/>
          <w:lang w:val="es-CL" w:eastAsia="en-US"/>
        </w:rPr>
        <w:t>alcanzar</w:t>
      </w:r>
      <w:r w:rsidR="00C30DBC" w:rsidRPr="00806BFA">
        <w:rPr>
          <w:rFonts w:eastAsia="Times New Roman" w:cs="Verdana"/>
          <w:i/>
          <w:szCs w:val="20"/>
          <w:lang w:val="es-CL" w:eastAsia="en-US"/>
        </w:rPr>
        <w:t xml:space="preserve"> justicia, verdad y memoria en el caso</w:t>
      </w:r>
      <w:r w:rsidR="00BC0FE9" w:rsidRPr="00BC0FE9">
        <w:rPr>
          <w:rFonts w:eastAsia="Times New Roman" w:cs="Verdana"/>
          <w:szCs w:val="20"/>
          <w:lang w:val="es-CL" w:eastAsia="en-US"/>
        </w:rPr>
        <w:t xml:space="preserve">”, en virtud de que </w:t>
      </w:r>
      <w:r w:rsidR="00C30DBC">
        <w:rPr>
          <w:rFonts w:eastAsia="Times New Roman" w:cs="Verdana"/>
          <w:szCs w:val="20"/>
          <w:lang w:val="es-CL" w:eastAsia="en-US"/>
        </w:rPr>
        <w:t xml:space="preserve">esas medidas </w:t>
      </w:r>
      <w:r w:rsidR="005B441D">
        <w:rPr>
          <w:rFonts w:eastAsia="Times New Roman" w:cs="Verdana"/>
          <w:szCs w:val="20"/>
          <w:lang w:val="es-CL" w:eastAsia="en-US"/>
        </w:rPr>
        <w:t>“</w:t>
      </w:r>
      <w:r w:rsidR="00C30DBC">
        <w:rPr>
          <w:rFonts w:eastAsia="Times New Roman" w:cs="Verdana"/>
          <w:szCs w:val="20"/>
          <w:lang w:val="es-CL" w:eastAsia="en-US"/>
        </w:rPr>
        <w:t>son</w:t>
      </w:r>
      <w:r w:rsidR="00D1178C">
        <w:rPr>
          <w:rFonts w:eastAsia="Times New Roman" w:cs="Verdana"/>
          <w:szCs w:val="20"/>
          <w:lang w:val="es-CL" w:eastAsia="en-US"/>
        </w:rPr>
        <w:t>, en verdad,</w:t>
      </w:r>
      <w:r w:rsidR="00C30DBC">
        <w:rPr>
          <w:rFonts w:eastAsia="Times New Roman" w:cs="Verdana"/>
          <w:szCs w:val="20"/>
          <w:lang w:val="es-CL" w:eastAsia="en-US"/>
        </w:rPr>
        <w:t xml:space="preserve"> sus pretensiones y</w:t>
      </w:r>
      <w:r w:rsidR="00313E2B">
        <w:rPr>
          <w:rFonts w:eastAsia="Times New Roman" w:cs="Verdana"/>
          <w:szCs w:val="20"/>
          <w:lang w:val="es-CL" w:eastAsia="en-US"/>
        </w:rPr>
        <w:t>, como tales,</w:t>
      </w:r>
      <w:r w:rsidR="00C30DBC">
        <w:rPr>
          <w:rFonts w:eastAsia="Times New Roman" w:cs="Verdana"/>
          <w:szCs w:val="20"/>
          <w:lang w:val="es-CL" w:eastAsia="en-US"/>
        </w:rPr>
        <w:t xml:space="preserve"> deben constar en </w:t>
      </w:r>
      <w:r w:rsidR="00313E2B">
        <w:rPr>
          <w:rFonts w:eastAsia="Times New Roman" w:cs="Verdana"/>
          <w:szCs w:val="20"/>
          <w:lang w:val="es-CL" w:eastAsia="en-US"/>
        </w:rPr>
        <w:t xml:space="preserve">el </w:t>
      </w:r>
      <w:r w:rsidR="00313E2B">
        <w:rPr>
          <w:rFonts w:cs="Verdana"/>
          <w:lang w:bidi="en-US"/>
        </w:rPr>
        <w:t>escrito de solicitudes y argumentos</w:t>
      </w:r>
      <w:r w:rsidR="005B441D">
        <w:rPr>
          <w:rFonts w:cs="Verdana"/>
          <w:lang w:bidi="en-US"/>
        </w:rPr>
        <w:t>”</w:t>
      </w:r>
      <w:r w:rsidR="003907DE">
        <w:rPr>
          <w:rFonts w:cs="Verdana"/>
          <w:lang w:bidi="en-US"/>
        </w:rPr>
        <w:t xml:space="preserve"> de acuerdo con el artículo 40.2 del Reglamento de la Corte</w:t>
      </w:r>
      <w:r w:rsidR="00313E2B">
        <w:rPr>
          <w:rFonts w:cs="Verdana"/>
          <w:lang w:bidi="en-US"/>
        </w:rPr>
        <w:t>, no siendo posible innovar al respecto mediante declaraciones</w:t>
      </w:r>
      <w:r w:rsidR="00C30DBC">
        <w:rPr>
          <w:rFonts w:eastAsia="Times New Roman" w:cs="Verdana"/>
          <w:szCs w:val="20"/>
          <w:lang w:val="es-CL" w:eastAsia="en-US"/>
        </w:rPr>
        <w:t xml:space="preserve">. </w:t>
      </w:r>
    </w:p>
    <w:p w:rsidR="00BC0FE9" w:rsidRPr="00AE2199" w:rsidRDefault="00BC0FE9" w:rsidP="005735AE">
      <w:pPr>
        <w:spacing w:after="0"/>
        <w:rPr>
          <w:bCs/>
          <w:iCs/>
          <w:szCs w:val="20"/>
          <w:lang w:val="es-CR"/>
        </w:rPr>
      </w:pPr>
    </w:p>
    <w:p w:rsidR="004F5A1D" w:rsidRPr="00A52FBC" w:rsidRDefault="00AE2199" w:rsidP="005735AE">
      <w:pPr>
        <w:numPr>
          <w:ilvl w:val="0"/>
          <w:numId w:val="1"/>
        </w:numPr>
        <w:tabs>
          <w:tab w:val="num" w:pos="720"/>
        </w:tabs>
        <w:autoSpaceDE w:val="0"/>
        <w:autoSpaceDN w:val="0"/>
        <w:adjustRightInd w:val="0"/>
        <w:spacing w:after="0"/>
        <w:rPr>
          <w:bCs/>
          <w:iCs/>
          <w:szCs w:val="20"/>
          <w:lang w:val="es-CR"/>
        </w:rPr>
      </w:pPr>
      <w:r>
        <w:rPr>
          <w:bCs/>
          <w:iCs/>
          <w:szCs w:val="20"/>
          <w:lang w:val="es-CR"/>
        </w:rPr>
        <w:t>R</w:t>
      </w:r>
      <w:r w:rsidR="00BC0FE9" w:rsidRPr="00A52FBC">
        <w:rPr>
          <w:bCs/>
          <w:iCs/>
          <w:szCs w:val="20"/>
          <w:lang w:val="es-CR"/>
        </w:rPr>
        <w:t xml:space="preserve">especto de la observación realizada sobre el enunciado </w:t>
      </w:r>
      <w:r w:rsidRPr="00BC0FE9">
        <w:rPr>
          <w:rFonts w:eastAsia="Times New Roman" w:cs="Verdana"/>
          <w:szCs w:val="20"/>
          <w:lang w:val="es-CL" w:eastAsia="en-US"/>
        </w:rPr>
        <w:t>“</w:t>
      </w:r>
      <w:r w:rsidRPr="006C15F5">
        <w:rPr>
          <w:rFonts w:eastAsia="Times New Roman" w:cs="Verdana"/>
          <w:i/>
          <w:szCs w:val="20"/>
          <w:lang w:val="es-CL" w:eastAsia="en-US"/>
        </w:rPr>
        <w:t xml:space="preserve">medidas que el Estado debería adoptar para </w:t>
      </w:r>
      <w:r w:rsidR="00A47F17">
        <w:rPr>
          <w:rFonts w:eastAsia="Times New Roman" w:cs="Verdana"/>
          <w:i/>
          <w:szCs w:val="20"/>
          <w:lang w:val="es-CL" w:eastAsia="en-US"/>
        </w:rPr>
        <w:t>alcanzar</w:t>
      </w:r>
      <w:r w:rsidRPr="006C15F5">
        <w:rPr>
          <w:rFonts w:eastAsia="Times New Roman" w:cs="Verdana"/>
          <w:i/>
          <w:szCs w:val="20"/>
          <w:lang w:val="es-CL" w:eastAsia="en-US"/>
        </w:rPr>
        <w:t xml:space="preserve"> justicia, verdad y memoria en el caso</w:t>
      </w:r>
      <w:r w:rsidRPr="00BC0FE9">
        <w:rPr>
          <w:rFonts w:eastAsia="Times New Roman" w:cs="Verdana"/>
          <w:szCs w:val="20"/>
          <w:lang w:val="es-CL" w:eastAsia="en-US"/>
        </w:rPr>
        <w:t>”</w:t>
      </w:r>
      <w:r w:rsidR="00BC0FE9" w:rsidRPr="00A52FBC">
        <w:rPr>
          <w:rFonts w:eastAsia="Times New Roman" w:cs="Verdana"/>
          <w:szCs w:val="20"/>
          <w:lang w:val="es-CL" w:eastAsia="en-US"/>
        </w:rPr>
        <w:t xml:space="preserve">, la Presidencia </w:t>
      </w:r>
      <w:r w:rsidR="00196114">
        <w:rPr>
          <w:rFonts w:eastAsia="Times New Roman" w:cs="Verdana"/>
          <w:szCs w:val="20"/>
          <w:lang w:val="es-CL" w:eastAsia="en-US"/>
        </w:rPr>
        <w:t>considera improcedente</w:t>
      </w:r>
      <w:r w:rsidR="00754231">
        <w:rPr>
          <w:rFonts w:eastAsia="Times New Roman" w:cs="Verdana"/>
          <w:szCs w:val="20"/>
          <w:lang w:val="es-CL" w:eastAsia="en-US"/>
        </w:rPr>
        <w:t xml:space="preserve"> el argumento del Estado, </w:t>
      </w:r>
      <w:r w:rsidR="00196114">
        <w:rPr>
          <w:rFonts w:eastAsia="Times New Roman" w:cs="Verdana"/>
          <w:szCs w:val="20"/>
          <w:lang w:val="es-CL" w:eastAsia="en-US"/>
        </w:rPr>
        <w:t xml:space="preserve">puesto que la declaración de las presuntas víctimas </w:t>
      </w:r>
      <w:r w:rsidR="00825C1F">
        <w:rPr>
          <w:rFonts w:eastAsia="Times New Roman" w:cs="Verdana"/>
          <w:szCs w:val="20"/>
          <w:lang w:val="es-CL" w:eastAsia="en-US"/>
        </w:rPr>
        <w:t>acerca</w:t>
      </w:r>
      <w:r w:rsidR="00196114">
        <w:rPr>
          <w:rFonts w:eastAsia="Times New Roman" w:cs="Verdana"/>
          <w:szCs w:val="20"/>
          <w:lang w:val="es-CL" w:eastAsia="en-US"/>
        </w:rPr>
        <w:t xml:space="preserve"> de las medidas que consideran que deberían ser adoptadas no constituye </w:t>
      </w:r>
      <w:r w:rsidR="002E449E">
        <w:rPr>
          <w:rFonts w:eastAsia="Times New Roman" w:cs="Verdana"/>
          <w:szCs w:val="20"/>
          <w:lang w:val="es-CL" w:eastAsia="en-US"/>
        </w:rPr>
        <w:t>una</w:t>
      </w:r>
      <w:r w:rsidR="005D14A0">
        <w:rPr>
          <w:rFonts w:eastAsia="Times New Roman" w:cs="Verdana"/>
          <w:szCs w:val="20"/>
          <w:lang w:val="es-CL" w:eastAsia="en-US"/>
        </w:rPr>
        <w:t xml:space="preserve"> violación al artículo 40 del Reglamento de la Corte</w:t>
      </w:r>
      <w:r w:rsidR="005652F5">
        <w:rPr>
          <w:rFonts w:eastAsia="Times New Roman" w:cs="Verdana"/>
          <w:szCs w:val="20"/>
          <w:lang w:val="es-CL" w:eastAsia="en-US"/>
        </w:rPr>
        <w:t>, ya que únicamente representa la opinión de las presuntas víctimas de lo que les podría traer reparación</w:t>
      </w:r>
      <w:r w:rsidR="00754231">
        <w:rPr>
          <w:rFonts w:eastAsia="Times New Roman" w:cs="Verdana"/>
          <w:szCs w:val="20"/>
          <w:lang w:val="es-CL" w:eastAsia="en-US"/>
        </w:rPr>
        <w:t xml:space="preserve">. </w:t>
      </w:r>
      <w:r w:rsidR="00CA7934">
        <w:rPr>
          <w:rFonts w:eastAsia="Times New Roman" w:cs="Verdana"/>
          <w:szCs w:val="20"/>
          <w:lang w:val="es-CL" w:eastAsia="en-US"/>
        </w:rPr>
        <w:t>E</w:t>
      </w:r>
      <w:r w:rsidR="00FC3E75">
        <w:rPr>
          <w:rFonts w:eastAsia="Times New Roman" w:cs="Verdana"/>
          <w:szCs w:val="20"/>
          <w:lang w:val="es-CL" w:eastAsia="en-US"/>
        </w:rPr>
        <w:t xml:space="preserve">n este sentido, </w:t>
      </w:r>
      <w:r w:rsidR="009A651C">
        <w:rPr>
          <w:rFonts w:eastAsia="Times New Roman" w:cs="Verdana"/>
          <w:szCs w:val="20"/>
          <w:lang w:val="es-CL" w:eastAsia="en-US"/>
        </w:rPr>
        <w:t>ha sido</w:t>
      </w:r>
      <w:r w:rsidR="00A04DAC">
        <w:rPr>
          <w:rFonts w:eastAsia="Times New Roman" w:cs="Verdana"/>
          <w:szCs w:val="20"/>
          <w:lang w:val="es-CL" w:eastAsia="en-US"/>
        </w:rPr>
        <w:t xml:space="preserve"> práctica constante</w:t>
      </w:r>
      <w:r w:rsidR="009A651C">
        <w:rPr>
          <w:rFonts w:eastAsia="Times New Roman" w:cs="Verdana"/>
          <w:szCs w:val="20"/>
          <w:lang w:val="es-CL" w:eastAsia="en-US"/>
        </w:rPr>
        <w:t xml:space="preserve"> de esta</w:t>
      </w:r>
      <w:r w:rsidR="00A04DAC">
        <w:rPr>
          <w:rFonts w:eastAsia="Times New Roman" w:cs="Verdana"/>
          <w:szCs w:val="20"/>
          <w:lang w:val="es-CL" w:eastAsia="en-US"/>
        </w:rPr>
        <w:t xml:space="preserve"> Corte </w:t>
      </w:r>
      <w:r w:rsidR="009A651C">
        <w:rPr>
          <w:rFonts w:eastAsia="Times New Roman" w:cs="Verdana"/>
          <w:szCs w:val="20"/>
          <w:lang w:val="es-CL" w:eastAsia="en-US"/>
        </w:rPr>
        <w:t>escuchar</w:t>
      </w:r>
      <w:r w:rsidR="00A04DAC">
        <w:rPr>
          <w:rFonts w:eastAsia="Times New Roman" w:cs="Verdana"/>
          <w:szCs w:val="20"/>
          <w:lang w:val="es-CL" w:eastAsia="en-US"/>
        </w:rPr>
        <w:t xml:space="preserve"> a las presuntas víctimas expresar</w:t>
      </w:r>
      <w:r w:rsidR="00781060">
        <w:rPr>
          <w:rFonts w:eastAsia="Times New Roman" w:cs="Verdana"/>
          <w:szCs w:val="20"/>
          <w:lang w:val="es-CL" w:eastAsia="en-US"/>
        </w:rPr>
        <w:t xml:space="preserve">, </w:t>
      </w:r>
      <w:r w:rsidR="0008461F">
        <w:rPr>
          <w:rFonts w:eastAsia="Times New Roman" w:cs="Verdana"/>
          <w:szCs w:val="20"/>
          <w:lang w:val="es-CL" w:eastAsia="en-US"/>
        </w:rPr>
        <w:t>en</w:t>
      </w:r>
      <w:r w:rsidR="00781060">
        <w:rPr>
          <w:rFonts w:eastAsia="Times New Roman" w:cs="Verdana"/>
          <w:szCs w:val="20"/>
          <w:lang w:val="es-CL" w:eastAsia="en-US"/>
        </w:rPr>
        <w:t xml:space="preserve"> sus declaraciones,</w:t>
      </w:r>
      <w:r w:rsidR="00A04DAC">
        <w:rPr>
          <w:rFonts w:eastAsia="Times New Roman" w:cs="Verdana"/>
          <w:szCs w:val="20"/>
          <w:lang w:val="es-CL" w:eastAsia="en-US"/>
        </w:rPr>
        <w:t xml:space="preserve"> las medidas que esperarían fueran tomadas por el Estado para reparar las violaciones alegadas.</w:t>
      </w:r>
    </w:p>
    <w:p w:rsidR="00BC0FE9" w:rsidRPr="004F5A1D" w:rsidRDefault="004F5A1D" w:rsidP="005735AE">
      <w:pPr>
        <w:shd w:val="clear" w:color="auto" w:fill="FFFFFF"/>
        <w:autoSpaceDE w:val="0"/>
        <w:autoSpaceDN w:val="0"/>
        <w:adjustRightInd w:val="0"/>
        <w:spacing w:after="0"/>
        <w:rPr>
          <w:rFonts w:ascii="Arial" w:hAnsi="Arial" w:cs="Arial"/>
          <w:sz w:val="22"/>
          <w:szCs w:val="22"/>
          <w:lang w:val="es-CR" w:eastAsia="es-CR"/>
        </w:rPr>
      </w:pPr>
      <w:r>
        <w:rPr>
          <w:rFonts w:ascii="Arial" w:hAnsi="Arial" w:cs="Arial"/>
          <w:sz w:val="22"/>
          <w:szCs w:val="22"/>
          <w:lang w:val="es-CR" w:eastAsia="es-CR"/>
        </w:rPr>
        <w:t xml:space="preserve"> </w:t>
      </w:r>
    </w:p>
    <w:p w:rsidR="00431A17" w:rsidRPr="00E64BB3" w:rsidRDefault="0029012B" w:rsidP="005735AE">
      <w:pPr>
        <w:numPr>
          <w:ilvl w:val="0"/>
          <w:numId w:val="1"/>
        </w:numPr>
        <w:tabs>
          <w:tab w:val="num" w:pos="720"/>
        </w:tabs>
        <w:autoSpaceDE w:val="0"/>
        <w:autoSpaceDN w:val="0"/>
        <w:adjustRightInd w:val="0"/>
        <w:spacing w:after="0"/>
        <w:rPr>
          <w:bCs/>
          <w:iCs/>
          <w:szCs w:val="20"/>
          <w:lang w:val="es-CR"/>
        </w:rPr>
      </w:pPr>
      <w:r w:rsidRPr="00E64BB3">
        <w:rPr>
          <w:bCs/>
          <w:lang w:val="es-AR"/>
        </w:rPr>
        <w:t xml:space="preserve">En consecuencia, esta Presidencia resuelve admitir las </w:t>
      </w:r>
      <w:r w:rsidR="00435CF0">
        <w:rPr>
          <w:bCs/>
          <w:lang w:val="es-AR"/>
        </w:rPr>
        <w:t xml:space="preserve">tres </w:t>
      </w:r>
      <w:r w:rsidRPr="00E64BB3">
        <w:rPr>
          <w:bCs/>
          <w:lang w:val="es-AR"/>
        </w:rPr>
        <w:t xml:space="preserve">declaraciones de </w:t>
      </w:r>
      <w:r w:rsidR="00A619D8">
        <w:rPr>
          <w:bCs/>
          <w:lang w:val="es-AR"/>
        </w:rPr>
        <w:t xml:space="preserve">las </w:t>
      </w:r>
      <w:r w:rsidRPr="00E64BB3">
        <w:rPr>
          <w:bCs/>
          <w:lang w:val="es-AR"/>
        </w:rPr>
        <w:t>presuntas víctimas ofrecidas por los representantes</w:t>
      </w:r>
      <w:r w:rsidR="00E64BB3" w:rsidRPr="00E64BB3">
        <w:rPr>
          <w:bCs/>
          <w:lang w:val="es-AR"/>
        </w:rPr>
        <w:t xml:space="preserve">. </w:t>
      </w:r>
      <w:r w:rsidR="00CE4922" w:rsidRPr="00624829">
        <w:rPr>
          <w:lang w:val="es-CR"/>
        </w:rPr>
        <w:t>El objeto y la modalidad de la</w:t>
      </w:r>
      <w:r w:rsidR="00CE4922">
        <w:rPr>
          <w:lang w:val="es-CR"/>
        </w:rPr>
        <w:t>s</w:t>
      </w:r>
      <w:r w:rsidR="00CE4922" w:rsidRPr="00624829">
        <w:rPr>
          <w:lang w:val="es-CR"/>
        </w:rPr>
        <w:t xml:space="preserve"> </w:t>
      </w:r>
      <w:r w:rsidR="00CE4922">
        <w:rPr>
          <w:lang w:val="es-CR"/>
        </w:rPr>
        <w:t xml:space="preserve">declaraciones </w:t>
      </w:r>
      <w:r w:rsidR="00CE4922" w:rsidRPr="00624829">
        <w:rPr>
          <w:lang w:val="es-CR"/>
        </w:rPr>
        <w:t>se determina en la parte resolutiva de la presente Resolución</w:t>
      </w:r>
      <w:r w:rsidR="00CE4922" w:rsidRPr="00A52FBC">
        <w:rPr>
          <w:lang w:val="es-CR"/>
        </w:rPr>
        <w:t xml:space="preserve"> (</w:t>
      </w:r>
      <w:r w:rsidR="00CE4922" w:rsidRPr="00A52FBC">
        <w:rPr>
          <w:i/>
          <w:iCs/>
          <w:lang w:val="es-CR"/>
        </w:rPr>
        <w:t>infra</w:t>
      </w:r>
      <w:r w:rsidR="00CE4922" w:rsidRPr="00A52FBC">
        <w:rPr>
          <w:lang w:val="es-CR"/>
        </w:rPr>
        <w:t xml:space="preserve"> puntos resolutivos </w:t>
      </w:r>
      <w:r w:rsidR="00737BDA">
        <w:rPr>
          <w:lang w:val="es-CR"/>
        </w:rPr>
        <w:t>1</w:t>
      </w:r>
      <w:r w:rsidR="00CE4922">
        <w:rPr>
          <w:lang w:val="es-CR"/>
        </w:rPr>
        <w:t xml:space="preserve"> y </w:t>
      </w:r>
      <w:r w:rsidR="00737BDA">
        <w:rPr>
          <w:lang w:val="es-CR"/>
        </w:rPr>
        <w:t>4</w:t>
      </w:r>
      <w:r w:rsidR="00CE4922" w:rsidRPr="00A52FBC">
        <w:rPr>
          <w:lang w:val="es-CR"/>
        </w:rPr>
        <w:t>).</w:t>
      </w:r>
    </w:p>
    <w:p w:rsidR="004F5A1D" w:rsidRPr="004F5A1D" w:rsidRDefault="004F5A1D" w:rsidP="005735AE">
      <w:pPr>
        <w:pStyle w:val="BodyTextIndent"/>
        <w:tabs>
          <w:tab w:val="left" w:pos="0"/>
          <w:tab w:val="left" w:pos="810"/>
        </w:tabs>
        <w:spacing w:after="0"/>
        <w:ind w:left="0"/>
        <w:rPr>
          <w:rFonts w:cs="Verdana"/>
          <w:lang w:val="es-CR" w:bidi="en-US"/>
        </w:rPr>
      </w:pPr>
    </w:p>
    <w:p w:rsidR="006B7A07" w:rsidRPr="006B7A07" w:rsidRDefault="004F5A1D" w:rsidP="005735AE">
      <w:pPr>
        <w:pStyle w:val="ListParagraph1"/>
        <w:numPr>
          <w:ilvl w:val="0"/>
          <w:numId w:val="5"/>
        </w:numPr>
        <w:ind w:right="11"/>
        <w:jc w:val="both"/>
        <w:rPr>
          <w:rFonts w:ascii="Verdana" w:hAnsi="Verdana"/>
          <w:b/>
          <w:i/>
          <w:sz w:val="20"/>
          <w:szCs w:val="20"/>
          <w:lang w:val="es-CR"/>
        </w:rPr>
      </w:pPr>
      <w:r>
        <w:rPr>
          <w:rFonts w:ascii="Verdana" w:hAnsi="Verdana"/>
          <w:b/>
          <w:i/>
          <w:sz w:val="20"/>
          <w:szCs w:val="20"/>
          <w:lang w:val="es-CR"/>
        </w:rPr>
        <w:lastRenderedPageBreak/>
        <w:t xml:space="preserve"> O</w:t>
      </w:r>
      <w:r w:rsidR="006B7A07" w:rsidRPr="006B7A07">
        <w:rPr>
          <w:rFonts w:ascii="Verdana" w:hAnsi="Verdana"/>
          <w:b/>
          <w:i/>
          <w:sz w:val="20"/>
          <w:szCs w:val="20"/>
          <w:lang w:val="es-CR"/>
        </w:rPr>
        <w:t>bservaciones realizadas por el Estado a la declaración testimonial ofrecida por los representantes</w:t>
      </w:r>
    </w:p>
    <w:p w:rsidR="00F465D7" w:rsidRDefault="00F465D7" w:rsidP="005735AE">
      <w:pPr>
        <w:pStyle w:val="Listavistosa-nfasis11"/>
        <w:numPr>
          <w:ilvl w:val="0"/>
          <w:numId w:val="0"/>
        </w:numPr>
        <w:tabs>
          <w:tab w:val="left" w:pos="720"/>
          <w:tab w:val="left" w:pos="810"/>
        </w:tabs>
        <w:spacing w:after="0"/>
        <w:contextualSpacing w:val="0"/>
        <w:rPr>
          <w:rFonts w:eastAsia="Times New Roman" w:cs="Verdana"/>
          <w:szCs w:val="20"/>
          <w:lang w:val="es-CL" w:eastAsia="en-US"/>
        </w:rPr>
      </w:pPr>
    </w:p>
    <w:p w:rsidR="004F5A1D" w:rsidRPr="004F5A1D" w:rsidRDefault="004F5A1D" w:rsidP="005735AE">
      <w:pPr>
        <w:pStyle w:val="BodyTextIndent"/>
        <w:numPr>
          <w:ilvl w:val="0"/>
          <w:numId w:val="1"/>
        </w:numPr>
        <w:tabs>
          <w:tab w:val="left" w:pos="0"/>
          <w:tab w:val="num" w:pos="720"/>
          <w:tab w:val="left" w:pos="810"/>
        </w:tabs>
        <w:spacing w:after="0"/>
        <w:ind w:left="0"/>
        <w:rPr>
          <w:rFonts w:eastAsia="Times New Roman" w:cs="Verdana"/>
          <w:szCs w:val="20"/>
          <w:lang w:eastAsia="en-US"/>
        </w:rPr>
      </w:pPr>
      <w:r w:rsidRPr="004F5A1D">
        <w:rPr>
          <w:rFonts w:eastAsia="Times New Roman" w:cs="Verdana"/>
          <w:szCs w:val="20"/>
          <w:lang w:eastAsia="en-US"/>
        </w:rPr>
        <w:t xml:space="preserve">En su escrito de solicitudes y argumentos los representantes ofrecieron una declaración testimonial, la cual fue reiterada en </w:t>
      </w:r>
      <w:r w:rsidR="008E2AC1">
        <w:rPr>
          <w:rFonts w:eastAsia="Times New Roman" w:cs="Verdana"/>
          <w:szCs w:val="20"/>
          <w:lang w:eastAsia="en-US"/>
        </w:rPr>
        <w:t>su</w:t>
      </w:r>
      <w:r w:rsidR="008E2AC1" w:rsidRPr="004F5A1D">
        <w:rPr>
          <w:rFonts w:eastAsia="Times New Roman" w:cs="Verdana"/>
          <w:szCs w:val="20"/>
          <w:lang w:eastAsia="en-US"/>
        </w:rPr>
        <w:t xml:space="preserve"> </w:t>
      </w:r>
      <w:r w:rsidRPr="004F5A1D">
        <w:rPr>
          <w:rFonts w:eastAsia="Times New Roman" w:cs="Verdana"/>
          <w:szCs w:val="20"/>
          <w:lang w:eastAsia="en-US"/>
        </w:rPr>
        <w:t>l</w:t>
      </w:r>
      <w:r>
        <w:rPr>
          <w:rFonts w:eastAsia="Times New Roman" w:cs="Verdana"/>
          <w:szCs w:val="20"/>
          <w:lang w:eastAsia="en-US"/>
        </w:rPr>
        <w:t>ista definitiva de declarantes. La declaración</w:t>
      </w:r>
      <w:r w:rsidR="00435CF0">
        <w:rPr>
          <w:rFonts w:eastAsia="Times New Roman" w:cs="Verdana"/>
          <w:szCs w:val="20"/>
          <w:lang w:eastAsia="en-US"/>
        </w:rPr>
        <w:t>,</w:t>
      </w:r>
      <w:r>
        <w:rPr>
          <w:rFonts w:eastAsia="Times New Roman" w:cs="Verdana"/>
          <w:szCs w:val="20"/>
          <w:lang w:eastAsia="en-US"/>
        </w:rPr>
        <w:t xml:space="preserve"> a ser rendida por el señor </w:t>
      </w:r>
      <w:r w:rsidR="00754231">
        <w:rPr>
          <w:rFonts w:eastAsia="Times New Roman" w:cs="Verdana"/>
          <w:szCs w:val="20"/>
          <w:lang w:eastAsia="en-US"/>
        </w:rPr>
        <w:t>Marlon Weichert, P</w:t>
      </w:r>
      <w:r>
        <w:rPr>
          <w:rFonts w:eastAsia="Times New Roman" w:cs="Verdana"/>
          <w:szCs w:val="20"/>
          <w:lang w:eastAsia="en-US"/>
        </w:rPr>
        <w:t>ro</w:t>
      </w:r>
      <w:r w:rsidR="00754231">
        <w:rPr>
          <w:rFonts w:eastAsia="Times New Roman" w:cs="Verdana"/>
          <w:szCs w:val="20"/>
          <w:lang w:eastAsia="en-US"/>
        </w:rPr>
        <w:t>curador de la República</w:t>
      </w:r>
      <w:r>
        <w:rPr>
          <w:rFonts w:eastAsia="Times New Roman" w:cs="Verdana"/>
          <w:szCs w:val="20"/>
          <w:lang w:eastAsia="en-US"/>
        </w:rPr>
        <w:t>, ten</w:t>
      </w:r>
      <w:r w:rsidR="0004765D">
        <w:rPr>
          <w:rFonts w:eastAsia="Times New Roman" w:cs="Verdana"/>
          <w:szCs w:val="20"/>
          <w:lang w:eastAsia="en-US"/>
        </w:rPr>
        <w:t>dr</w:t>
      </w:r>
      <w:r>
        <w:rPr>
          <w:rFonts w:eastAsia="Times New Roman" w:cs="Verdana"/>
          <w:szCs w:val="20"/>
          <w:lang w:eastAsia="en-US"/>
        </w:rPr>
        <w:t xml:space="preserve">ía por objeto </w:t>
      </w:r>
      <w:r w:rsidR="003D04E5">
        <w:rPr>
          <w:rFonts w:eastAsia="Times New Roman" w:cs="Verdana"/>
          <w:szCs w:val="20"/>
          <w:lang w:eastAsia="en-US"/>
        </w:rPr>
        <w:t>referirse</w:t>
      </w:r>
      <w:r w:rsidR="00B61431">
        <w:rPr>
          <w:rFonts w:eastAsia="Times New Roman" w:cs="Verdana"/>
          <w:szCs w:val="20"/>
          <w:lang w:eastAsia="en-US"/>
        </w:rPr>
        <w:t xml:space="preserve"> </w:t>
      </w:r>
      <w:r w:rsidR="00824EA9">
        <w:rPr>
          <w:rFonts w:eastAsia="Times New Roman" w:cs="Verdana"/>
          <w:szCs w:val="20"/>
          <w:lang w:eastAsia="en-US"/>
        </w:rPr>
        <w:t>a: i) e</w:t>
      </w:r>
      <w:r w:rsidR="00754231">
        <w:rPr>
          <w:rFonts w:eastAsia="Times New Roman" w:cs="Verdana"/>
          <w:szCs w:val="20"/>
          <w:lang w:eastAsia="en-US"/>
        </w:rPr>
        <w:t xml:space="preserve">l contexto de </w:t>
      </w:r>
      <w:r w:rsidR="000427FE">
        <w:rPr>
          <w:rFonts w:eastAsia="Times New Roman" w:cs="Verdana"/>
          <w:szCs w:val="20"/>
          <w:lang w:eastAsia="en-US"/>
        </w:rPr>
        <w:t>ocultamiento</w:t>
      </w:r>
      <w:r w:rsidR="00754231">
        <w:rPr>
          <w:rFonts w:eastAsia="Times New Roman" w:cs="Verdana"/>
          <w:szCs w:val="20"/>
          <w:lang w:eastAsia="en-US"/>
        </w:rPr>
        <w:t xml:space="preserve"> de la verdad sobre los hechos referentes a la dictadura militar; </w:t>
      </w:r>
      <w:r w:rsidR="00824EA9">
        <w:rPr>
          <w:rFonts w:eastAsia="Times New Roman" w:cs="Verdana"/>
          <w:szCs w:val="20"/>
          <w:lang w:eastAsia="en-US"/>
        </w:rPr>
        <w:t xml:space="preserve">ii) </w:t>
      </w:r>
      <w:r w:rsidR="00754231">
        <w:rPr>
          <w:rFonts w:eastAsia="Times New Roman" w:cs="Verdana"/>
          <w:szCs w:val="20"/>
          <w:lang w:eastAsia="en-US"/>
        </w:rPr>
        <w:t xml:space="preserve">el acceso a los archivos militares; </w:t>
      </w:r>
      <w:r w:rsidR="00824EA9">
        <w:rPr>
          <w:rFonts w:eastAsia="Times New Roman" w:cs="Verdana"/>
          <w:szCs w:val="20"/>
          <w:lang w:eastAsia="en-US"/>
        </w:rPr>
        <w:t>iii)</w:t>
      </w:r>
      <w:r w:rsidR="00754231">
        <w:rPr>
          <w:rFonts w:eastAsia="Times New Roman" w:cs="Verdana"/>
          <w:szCs w:val="20"/>
          <w:lang w:eastAsia="en-US"/>
        </w:rPr>
        <w:t xml:space="preserve"> la Acción Civil Pública de 2008 </w:t>
      </w:r>
      <w:r w:rsidR="00435CF0">
        <w:rPr>
          <w:rFonts w:eastAsia="Times New Roman" w:cs="Verdana"/>
          <w:szCs w:val="20"/>
          <w:lang w:eastAsia="en-US"/>
        </w:rPr>
        <w:t xml:space="preserve">presentada </w:t>
      </w:r>
      <w:r w:rsidR="00754231">
        <w:rPr>
          <w:rFonts w:eastAsia="Times New Roman" w:cs="Verdana"/>
          <w:szCs w:val="20"/>
          <w:lang w:eastAsia="en-US"/>
        </w:rPr>
        <w:t>por el Ministerio Público Federal</w:t>
      </w:r>
      <w:r w:rsidR="0087310F">
        <w:rPr>
          <w:rFonts w:eastAsia="Times New Roman" w:cs="Verdana"/>
          <w:szCs w:val="20"/>
          <w:lang w:eastAsia="en-US"/>
        </w:rPr>
        <w:t>,</w:t>
      </w:r>
      <w:r w:rsidR="00754231">
        <w:rPr>
          <w:rFonts w:eastAsia="Times New Roman" w:cs="Verdana"/>
          <w:szCs w:val="20"/>
          <w:lang w:eastAsia="en-US"/>
        </w:rPr>
        <w:t xml:space="preserve"> y sus resultados; </w:t>
      </w:r>
      <w:r w:rsidR="00824EA9">
        <w:rPr>
          <w:rFonts w:eastAsia="Times New Roman" w:cs="Verdana"/>
          <w:szCs w:val="20"/>
          <w:lang w:eastAsia="en-US"/>
        </w:rPr>
        <w:t>iv)</w:t>
      </w:r>
      <w:r w:rsidR="00754231">
        <w:rPr>
          <w:rFonts w:eastAsia="Times New Roman" w:cs="Verdana"/>
          <w:szCs w:val="20"/>
          <w:lang w:eastAsia="en-US"/>
        </w:rPr>
        <w:t xml:space="preserve"> las dificultades enfrentadas en la administración de justicia para </w:t>
      </w:r>
      <w:r w:rsidR="00824EA9">
        <w:rPr>
          <w:rFonts w:eastAsia="Times New Roman" w:cs="Verdana"/>
          <w:szCs w:val="20"/>
          <w:lang w:eastAsia="en-US"/>
        </w:rPr>
        <w:t xml:space="preserve">el </w:t>
      </w:r>
      <w:r w:rsidR="00754231">
        <w:rPr>
          <w:rFonts w:eastAsia="Times New Roman" w:cs="Verdana"/>
          <w:szCs w:val="20"/>
          <w:lang w:eastAsia="en-US"/>
        </w:rPr>
        <w:t>reconocimiento del derecho a la verdad y justicia en Brasil</w:t>
      </w:r>
      <w:r w:rsidR="00824EA9">
        <w:rPr>
          <w:rFonts w:eastAsia="Times New Roman" w:cs="Verdana"/>
          <w:szCs w:val="20"/>
          <w:lang w:eastAsia="en-US"/>
        </w:rPr>
        <w:t>,</w:t>
      </w:r>
      <w:r w:rsidR="00754231">
        <w:rPr>
          <w:rFonts w:eastAsia="Times New Roman" w:cs="Verdana"/>
          <w:szCs w:val="20"/>
          <w:lang w:eastAsia="en-US"/>
        </w:rPr>
        <w:t xml:space="preserve"> y </w:t>
      </w:r>
      <w:r w:rsidR="00824EA9">
        <w:rPr>
          <w:rFonts w:eastAsia="Times New Roman" w:cs="Verdana"/>
          <w:szCs w:val="20"/>
          <w:lang w:eastAsia="en-US"/>
        </w:rPr>
        <w:t>v) el pat</w:t>
      </w:r>
      <w:r w:rsidR="00754231">
        <w:rPr>
          <w:rFonts w:eastAsia="Times New Roman" w:cs="Verdana"/>
          <w:szCs w:val="20"/>
          <w:lang w:eastAsia="en-US"/>
        </w:rPr>
        <w:t>rón de violaciones de derechos humanos ocurridas en la dictadura.</w:t>
      </w:r>
      <w:r>
        <w:rPr>
          <w:rFonts w:eastAsia="Times New Roman" w:cs="Verdana"/>
          <w:szCs w:val="20"/>
          <w:lang w:eastAsia="en-US"/>
        </w:rPr>
        <w:t xml:space="preserve"> </w:t>
      </w:r>
    </w:p>
    <w:p w:rsidR="004F5A1D" w:rsidRPr="004F5A1D" w:rsidRDefault="004F5A1D" w:rsidP="005735AE">
      <w:pPr>
        <w:pStyle w:val="BodyTextIndent"/>
        <w:tabs>
          <w:tab w:val="left" w:pos="0"/>
        </w:tabs>
        <w:spacing w:after="0"/>
        <w:ind w:left="0"/>
        <w:rPr>
          <w:rFonts w:cs="Verdana"/>
          <w:b/>
          <w:lang w:bidi="en-US"/>
        </w:rPr>
      </w:pPr>
    </w:p>
    <w:p w:rsidR="006B7A07" w:rsidRDefault="002E7880" w:rsidP="005735AE">
      <w:pPr>
        <w:pStyle w:val="BodyTextIndent"/>
        <w:numPr>
          <w:ilvl w:val="0"/>
          <w:numId w:val="1"/>
        </w:numPr>
        <w:tabs>
          <w:tab w:val="left" w:pos="0"/>
          <w:tab w:val="num" w:pos="720"/>
          <w:tab w:val="left" w:pos="810"/>
        </w:tabs>
        <w:spacing w:after="0"/>
        <w:ind w:left="0"/>
        <w:rPr>
          <w:rFonts w:eastAsia="Times New Roman" w:cs="Verdana"/>
          <w:szCs w:val="20"/>
          <w:lang w:val="es-CL" w:eastAsia="en-US"/>
        </w:rPr>
      </w:pPr>
      <w:r>
        <w:rPr>
          <w:rFonts w:eastAsia="Times New Roman" w:cs="Verdana"/>
          <w:szCs w:val="20"/>
          <w:lang w:eastAsia="en-US"/>
        </w:rPr>
        <w:t>E</w:t>
      </w:r>
      <w:r w:rsidR="006B7A07" w:rsidRPr="004F5A1D">
        <w:rPr>
          <w:rFonts w:eastAsia="Times New Roman" w:cs="Verdana"/>
          <w:szCs w:val="20"/>
          <w:lang w:val="es-CL" w:eastAsia="en-US"/>
        </w:rPr>
        <w:t xml:space="preserve">l Estado impugnó la parte del objeto </w:t>
      </w:r>
      <w:r w:rsidR="0090565F">
        <w:rPr>
          <w:rFonts w:eastAsia="Times New Roman" w:cs="Verdana"/>
          <w:szCs w:val="20"/>
          <w:lang w:val="es-CL" w:eastAsia="en-US"/>
        </w:rPr>
        <w:t xml:space="preserve">de la declaración testimonial </w:t>
      </w:r>
      <w:r w:rsidR="006B7A07" w:rsidRPr="004F5A1D">
        <w:rPr>
          <w:rFonts w:eastAsia="Times New Roman" w:cs="Verdana"/>
          <w:szCs w:val="20"/>
          <w:lang w:val="es-CL" w:eastAsia="en-US"/>
        </w:rPr>
        <w:t>relacionado con</w:t>
      </w:r>
      <w:r w:rsidR="00FF3EC8">
        <w:rPr>
          <w:rFonts w:eastAsia="Times New Roman" w:cs="Verdana"/>
          <w:szCs w:val="20"/>
          <w:lang w:val="es-CL" w:eastAsia="en-US"/>
        </w:rPr>
        <w:t xml:space="preserve"> el </w:t>
      </w:r>
      <w:r w:rsidR="006B7A07" w:rsidRPr="004F5A1D">
        <w:rPr>
          <w:rFonts w:eastAsia="Times New Roman" w:cs="Verdana"/>
          <w:szCs w:val="20"/>
          <w:lang w:val="es-CL" w:eastAsia="en-US"/>
        </w:rPr>
        <w:t xml:space="preserve"> “</w:t>
      </w:r>
      <w:r w:rsidR="006B7A07" w:rsidRPr="00206F30">
        <w:rPr>
          <w:rFonts w:eastAsia="Times New Roman" w:cs="Verdana"/>
          <w:i/>
          <w:szCs w:val="20"/>
          <w:lang w:val="es-CL" w:eastAsia="en-US"/>
        </w:rPr>
        <w:t xml:space="preserve">contexto de </w:t>
      </w:r>
      <w:r w:rsidR="00563606" w:rsidRPr="00206F30">
        <w:rPr>
          <w:rFonts w:eastAsia="Times New Roman" w:cs="Verdana"/>
          <w:i/>
          <w:szCs w:val="20"/>
          <w:lang w:val="es-CL" w:eastAsia="en-US"/>
        </w:rPr>
        <w:t>ocultación de la verdad sobre hechos referentes a la dictadura militar</w:t>
      </w:r>
      <w:r w:rsidR="0090565F">
        <w:rPr>
          <w:rFonts w:eastAsia="Times New Roman" w:cs="Verdana"/>
          <w:szCs w:val="20"/>
          <w:lang w:val="es-CL" w:eastAsia="en-US"/>
        </w:rPr>
        <w:t xml:space="preserve"> [y]</w:t>
      </w:r>
      <w:r w:rsidR="00563606">
        <w:rPr>
          <w:rFonts w:eastAsia="Times New Roman" w:cs="Verdana"/>
          <w:szCs w:val="20"/>
          <w:lang w:val="es-CL" w:eastAsia="en-US"/>
        </w:rPr>
        <w:t xml:space="preserve"> </w:t>
      </w:r>
      <w:r w:rsidR="00563606" w:rsidRPr="00206F30">
        <w:rPr>
          <w:rFonts w:eastAsia="Times New Roman" w:cs="Verdana"/>
          <w:i/>
          <w:szCs w:val="20"/>
          <w:lang w:val="es-CL" w:eastAsia="en-US"/>
        </w:rPr>
        <w:t>el acceso a los archivos militares</w:t>
      </w:r>
      <w:r w:rsidR="006B7A07" w:rsidRPr="004F5A1D">
        <w:rPr>
          <w:rFonts w:eastAsia="Times New Roman" w:cs="Verdana"/>
          <w:szCs w:val="20"/>
          <w:lang w:val="es-CL" w:eastAsia="en-US"/>
        </w:rPr>
        <w:t>” porque no guarda</w:t>
      </w:r>
      <w:r w:rsidR="00081154">
        <w:rPr>
          <w:rFonts w:eastAsia="Times New Roman" w:cs="Verdana"/>
          <w:szCs w:val="20"/>
          <w:lang w:val="es-CL" w:eastAsia="en-US"/>
        </w:rPr>
        <w:t>ría</w:t>
      </w:r>
      <w:r w:rsidR="006B7A07" w:rsidRPr="004F5A1D">
        <w:rPr>
          <w:rFonts w:eastAsia="Times New Roman" w:cs="Verdana"/>
          <w:szCs w:val="20"/>
          <w:lang w:val="es-CL" w:eastAsia="en-US"/>
        </w:rPr>
        <w:t xml:space="preserve"> relación con lo</w:t>
      </w:r>
      <w:r w:rsidR="00563606">
        <w:rPr>
          <w:rFonts w:eastAsia="Times New Roman" w:cs="Verdana"/>
          <w:szCs w:val="20"/>
          <w:lang w:val="es-CL" w:eastAsia="en-US"/>
        </w:rPr>
        <w:t>s hechos de</w:t>
      </w:r>
      <w:r w:rsidR="00626E62">
        <w:rPr>
          <w:rFonts w:eastAsia="Times New Roman" w:cs="Verdana"/>
          <w:szCs w:val="20"/>
          <w:lang w:val="es-CL" w:eastAsia="en-US"/>
        </w:rPr>
        <w:t>l caso</w:t>
      </w:r>
      <w:r w:rsidR="006B7A07" w:rsidRPr="004F5A1D">
        <w:rPr>
          <w:rFonts w:eastAsia="Times New Roman" w:cs="Verdana"/>
          <w:szCs w:val="20"/>
          <w:lang w:val="es-CL" w:eastAsia="en-US"/>
        </w:rPr>
        <w:t>.</w:t>
      </w:r>
    </w:p>
    <w:p w:rsidR="004F5A1D" w:rsidRDefault="008F2855" w:rsidP="005735AE">
      <w:pPr>
        <w:pStyle w:val="BodyTextIndent"/>
        <w:tabs>
          <w:tab w:val="left" w:pos="0"/>
          <w:tab w:val="left" w:pos="810"/>
        </w:tabs>
        <w:spacing w:after="0"/>
        <w:ind w:left="0"/>
        <w:rPr>
          <w:rFonts w:eastAsia="Times New Roman" w:cs="Verdana"/>
          <w:szCs w:val="20"/>
          <w:lang w:val="es-CL" w:eastAsia="en-US"/>
        </w:rPr>
      </w:pPr>
      <w:r>
        <w:rPr>
          <w:rFonts w:eastAsia="Times New Roman" w:cs="Verdana"/>
          <w:szCs w:val="20"/>
          <w:lang w:val="es-CL" w:eastAsia="en-US"/>
        </w:rPr>
        <w:t xml:space="preserve"> </w:t>
      </w:r>
    </w:p>
    <w:p w:rsidR="00431A17" w:rsidRPr="008F2855" w:rsidRDefault="008F2855" w:rsidP="005735AE">
      <w:pPr>
        <w:pStyle w:val="BodyTextIndent"/>
        <w:numPr>
          <w:ilvl w:val="0"/>
          <w:numId w:val="1"/>
        </w:numPr>
        <w:tabs>
          <w:tab w:val="left" w:pos="0"/>
          <w:tab w:val="num" w:pos="720"/>
          <w:tab w:val="left" w:pos="810"/>
        </w:tabs>
        <w:autoSpaceDE w:val="0"/>
        <w:autoSpaceDN w:val="0"/>
        <w:adjustRightInd w:val="0"/>
        <w:spacing w:after="0"/>
        <w:ind w:left="0"/>
        <w:rPr>
          <w:bCs/>
          <w:iCs/>
          <w:szCs w:val="20"/>
          <w:lang w:val="es-CR"/>
        </w:rPr>
      </w:pPr>
      <w:r w:rsidRPr="008F2855">
        <w:rPr>
          <w:rFonts w:eastAsia="Times New Roman" w:cs="Verdana"/>
          <w:szCs w:val="20"/>
          <w:lang w:val="es-CL" w:eastAsia="en-US"/>
        </w:rPr>
        <w:t xml:space="preserve">Al respecto, esta Presidencia estima que </w:t>
      </w:r>
      <w:r w:rsidR="00563606">
        <w:rPr>
          <w:rFonts w:eastAsia="Times New Roman" w:cs="Verdana"/>
          <w:szCs w:val="20"/>
          <w:lang w:val="es-CL" w:eastAsia="en-US"/>
        </w:rPr>
        <w:t xml:space="preserve">el contexto de ocultación de la verdad y </w:t>
      </w:r>
      <w:r w:rsidR="00BF4FBD">
        <w:rPr>
          <w:rFonts w:eastAsia="Times New Roman" w:cs="Verdana"/>
          <w:szCs w:val="20"/>
          <w:lang w:val="es-CL" w:eastAsia="en-US"/>
        </w:rPr>
        <w:t>el</w:t>
      </w:r>
      <w:r w:rsidR="00563606">
        <w:rPr>
          <w:rFonts w:eastAsia="Times New Roman" w:cs="Verdana"/>
          <w:szCs w:val="20"/>
          <w:lang w:val="es-CL" w:eastAsia="en-US"/>
        </w:rPr>
        <w:t xml:space="preserve"> acceso a los archivos</w:t>
      </w:r>
      <w:r w:rsidR="00BF4FBD">
        <w:rPr>
          <w:rFonts w:eastAsia="Times New Roman" w:cs="Verdana"/>
          <w:szCs w:val="20"/>
          <w:lang w:val="es-CL" w:eastAsia="en-US"/>
        </w:rPr>
        <w:t xml:space="preserve"> militares</w:t>
      </w:r>
      <w:r w:rsidR="00563606">
        <w:rPr>
          <w:rFonts w:eastAsia="Times New Roman" w:cs="Verdana"/>
          <w:szCs w:val="20"/>
          <w:lang w:val="es-CL" w:eastAsia="en-US"/>
        </w:rPr>
        <w:t xml:space="preserve"> está relacionado con </w:t>
      </w:r>
      <w:r w:rsidR="006E2D01">
        <w:rPr>
          <w:rFonts w:eastAsia="Times New Roman" w:cs="Verdana"/>
          <w:szCs w:val="20"/>
          <w:lang w:val="es-CL" w:eastAsia="en-US"/>
        </w:rPr>
        <w:t>los hechos del caso en la medida en que dicho contexto ha sido señalado por la Comisión Interamericana</w:t>
      </w:r>
      <w:r w:rsidR="0087310F">
        <w:rPr>
          <w:rFonts w:eastAsia="Times New Roman" w:cs="Verdana"/>
          <w:szCs w:val="20"/>
          <w:lang w:val="es-CL" w:eastAsia="en-US"/>
        </w:rPr>
        <w:t xml:space="preserve"> y los representantes, y forma parte de sus alegatos respecto a las alegadas violaciones</w:t>
      </w:r>
      <w:r w:rsidR="00563606">
        <w:rPr>
          <w:rFonts w:eastAsia="Times New Roman" w:cs="Verdana"/>
          <w:szCs w:val="20"/>
          <w:lang w:val="es-CL" w:eastAsia="en-US"/>
        </w:rPr>
        <w:t xml:space="preserve">. Por lo tanto, </w:t>
      </w:r>
      <w:r w:rsidR="003F6FFF">
        <w:rPr>
          <w:rFonts w:eastAsia="Times New Roman" w:cs="Verdana"/>
          <w:szCs w:val="20"/>
          <w:lang w:val="es-CL" w:eastAsia="en-US"/>
        </w:rPr>
        <w:t xml:space="preserve">se </w:t>
      </w:r>
      <w:r w:rsidR="00563606">
        <w:rPr>
          <w:rFonts w:eastAsia="Times New Roman" w:cs="Verdana"/>
          <w:szCs w:val="20"/>
          <w:lang w:val="es-CL" w:eastAsia="en-US"/>
        </w:rPr>
        <w:t xml:space="preserve">rechaza la impugnación del Estado. </w:t>
      </w:r>
    </w:p>
    <w:p w:rsidR="008F2855" w:rsidRDefault="008F2855" w:rsidP="005735AE">
      <w:pPr>
        <w:pStyle w:val="ListParagraph"/>
        <w:spacing w:after="0"/>
        <w:rPr>
          <w:bCs/>
          <w:iCs/>
          <w:szCs w:val="20"/>
          <w:lang w:val="es-CR"/>
        </w:rPr>
      </w:pPr>
    </w:p>
    <w:p w:rsidR="008F2855" w:rsidRPr="00E64BB3" w:rsidRDefault="008F2855" w:rsidP="005735AE">
      <w:pPr>
        <w:numPr>
          <w:ilvl w:val="0"/>
          <w:numId w:val="1"/>
        </w:numPr>
        <w:tabs>
          <w:tab w:val="num" w:pos="720"/>
        </w:tabs>
        <w:autoSpaceDE w:val="0"/>
        <w:autoSpaceDN w:val="0"/>
        <w:adjustRightInd w:val="0"/>
        <w:spacing w:after="0"/>
        <w:rPr>
          <w:bCs/>
          <w:iCs/>
          <w:szCs w:val="20"/>
          <w:lang w:val="es-CR"/>
        </w:rPr>
      </w:pPr>
      <w:r w:rsidRPr="00E64BB3">
        <w:rPr>
          <w:bCs/>
          <w:lang w:val="es-AR"/>
        </w:rPr>
        <w:t xml:space="preserve">En consecuencia, esta Presidencia resuelve admitir </w:t>
      </w:r>
      <w:r>
        <w:rPr>
          <w:bCs/>
          <w:lang w:val="es-AR"/>
        </w:rPr>
        <w:t>la declaración testimonial ofrecida por los representantes.</w:t>
      </w:r>
      <w:r w:rsidR="00B11378">
        <w:rPr>
          <w:bCs/>
          <w:lang w:val="es-AR"/>
        </w:rPr>
        <w:t xml:space="preserve"> </w:t>
      </w:r>
      <w:r w:rsidRPr="00711324">
        <w:rPr>
          <w:rFonts w:cs="Verdana"/>
          <w:lang w:val="es-CR" w:bidi="en-US"/>
        </w:rPr>
        <w:t xml:space="preserve">El objeto y su modalidad </w:t>
      </w:r>
      <w:r>
        <w:rPr>
          <w:rFonts w:cs="Verdana"/>
          <w:lang w:val="es-CR" w:bidi="en-US"/>
        </w:rPr>
        <w:t>será determinado</w:t>
      </w:r>
      <w:r w:rsidRPr="00711324">
        <w:rPr>
          <w:rFonts w:cs="Verdana"/>
          <w:lang w:val="es-CR" w:bidi="en-US"/>
        </w:rPr>
        <w:t xml:space="preserve"> en la parte resolutiva de la presente Resolución (</w:t>
      </w:r>
      <w:r w:rsidRPr="00711324">
        <w:rPr>
          <w:rFonts w:cs="Verdana"/>
          <w:i/>
          <w:iCs/>
          <w:lang w:val="es-CR" w:bidi="en-US"/>
        </w:rPr>
        <w:t>infra</w:t>
      </w:r>
      <w:r w:rsidRPr="00711324">
        <w:rPr>
          <w:rFonts w:cs="Verdana"/>
          <w:lang w:val="es-CR" w:bidi="en-US"/>
        </w:rPr>
        <w:t xml:space="preserve"> punto resolutivo </w:t>
      </w:r>
      <w:r w:rsidR="00737BDA">
        <w:rPr>
          <w:rFonts w:cs="Verdana"/>
          <w:lang w:val="es-CR" w:bidi="en-US"/>
        </w:rPr>
        <w:t>1</w:t>
      </w:r>
      <w:r w:rsidRPr="00711324">
        <w:rPr>
          <w:rFonts w:cs="Verdana"/>
          <w:lang w:val="es-CR" w:bidi="en-US"/>
        </w:rPr>
        <w:t>).</w:t>
      </w:r>
    </w:p>
    <w:p w:rsidR="008F2855" w:rsidRDefault="008F2855" w:rsidP="005735AE">
      <w:pPr>
        <w:pStyle w:val="BodyTextIndent"/>
        <w:tabs>
          <w:tab w:val="left" w:pos="0"/>
          <w:tab w:val="left" w:pos="810"/>
        </w:tabs>
        <w:autoSpaceDE w:val="0"/>
        <w:autoSpaceDN w:val="0"/>
        <w:adjustRightInd w:val="0"/>
        <w:spacing w:after="0"/>
        <w:ind w:left="0"/>
        <w:rPr>
          <w:bCs/>
          <w:iCs/>
          <w:szCs w:val="20"/>
          <w:lang w:val="es-CR"/>
        </w:rPr>
      </w:pPr>
    </w:p>
    <w:p w:rsidR="008F2855" w:rsidRPr="008F2855" w:rsidRDefault="008F2855" w:rsidP="005735AE">
      <w:pPr>
        <w:pStyle w:val="ListParagraph1"/>
        <w:numPr>
          <w:ilvl w:val="0"/>
          <w:numId w:val="5"/>
        </w:numPr>
        <w:ind w:right="11"/>
        <w:jc w:val="both"/>
        <w:rPr>
          <w:rFonts w:ascii="Verdana" w:hAnsi="Verdana"/>
          <w:b/>
          <w:i/>
          <w:sz w:val="20"/>
          <w:szCs w:val="20"/>
          <w:lang w:val="es-CR"/>
        </w:rPr>
      </w:pPr>
      <w:r w:rsidRPr="008F2855">
        <w:rPr>
          <w:rFonts w:ascii="Verdana" w:hAnsi="Verdana"/>
          <w:b/>
          <w:i/>
          <w:sz w:val="20"/>
          <w:szCs w:val="20"/>
          <w:lang w:val="es-CR"/>
        </w:rPr>
        <w:t xml:space="preserve">Observaciones efectuadas por el Estado a algunos </w:t>
      </w:r>
      <w:r w:rsidR="008E2AC1">
        <w:rPr>
          <w:rFonts w:ascii="Verdana" w:hAnsi="Verdana"/>
          <w:b/>
          <w:i/>
          <w:sz w:val="20"/>
          <w:szCs w:val="20"/>
          <w:lang w:val="es-CR"/>
        </w:rPr>
        <w:t xml:space="preserve">dictámenes periciales  </w:t>
      </w:r>
      <w:r w:rsidRPr="008F2855">
        <w:rPr>
          <w:rFonts w:ascii="Verdana" w:hAnsi="Verdana"/>
          <w:b/>
          <w:i/>
          <w:sz w:val="20"/>
          <w:szCs w:val="20"/>
          <w:lang w:val="es-CR"/>
        </w:rPr>
        <w:t>ofrecidos por los representantes</w:t>
      </w:r>
    </w:p>
    <w:p w:rsidR="008F2855" w:rsidRDefault="008F2855" w:rsidP="005735AE">
      <w:pPr>
        <w:pStyle w:val="BodyTextIndent"/>
        <w:tabs>
          <w:tab w:val="left" w:pos="0"/>
          <w:tab w:val="left" w:pos="810"/>
        </w:tabs>
        <w:autoSpaceDE w:val="0"/>
        <w:autoSpaceDN w:val="0"/>
        <w:adjustRightInd w:val="0"/>
        <w:spacing w:after="0"/>
        <w:ind w:left="0"/>
        <w:rPr>
          <w:bCs/>
          <w:iCs/>
          <w:szCs w:val="20"/>
          <w:lang w:val="es-CR"/>
        </w:rPr>
      </w:pPr>
    </w:p>
    <w:p w:rsidR="008F2855" w:rsidRPr="00E32DCA" w:rsidRDefault="00DD57DD" w:rsidP="005735AE">
      <w:pPr>
        <w:numPr>
          <w:ilvl w:val="0"/>
          <w:numId w:val="1"/>
        </w:numPr>
        <w:tabs>
          <w:tab w:val="left" w:pos="0"/>
          <w:tab w:val="num" w:pos="720"/>
          <w:tab w:val="left" w:pos="810"/>
        </w:tabs>
        <w:autoSpaceDE w:val="0"/>
        <w:autoSpaceDN w:val="0"/>
        <w:adjustRightInd w:val="0"/>
        <w:spacing w:after="0"/>
        <w:rPr>
          <w:bCs/>
          <w:iCs/>
          <w:szCs w:val="20"/>
          <w:lang w:val="es-CR"/>
        </w:rPr>
      </w:pPr>
      <w:r w:rsidRPr="00E32DCA">
        <w:rPr>
          <w:bCs/>
          <w:lang w:val="es-AR"/>
        </w:rPr>
        <w:t xml:space="preserve">En su escrito de solicitudes y argumentos, los representantes ofrecieron </w:t>
      </w:r>
      <w:r w:rsidR="003B4675">
        <w:rPr>
          <w:bCs/>
          <w:lang w:val="es-AR"/>
        </w:rPr>
        <w:t>seis</w:t>
      </w:r>
      <w:r w:rsidRPr="00E32DCA">
        <w:rPr>
          <w:bCs/>
          <w:lang w:val="es-AR"/>
        </w:rPr>
        <w:t xml:space="preserve"> dictámenes periciales, los cuales fueron reiterados en </w:t>
      </w:r>
      <w:r w:rsidR="008E2AC1" w:rsidRPr="00E32DCA">
        <w:rPr>
          <w:bCs/>
          <w:lang w:val="es-AR"/>
        </w:rPr>
        <w:t xml:space="preserve">su </w:t>
      </w:r>
      <w:r w:rsidRPr="00E32DCA">
        <w:rPr>
          <w:bCs/>
          <w:lang w:val="es-AR"/>
        </w:rPr>
        <w:t xml:space="preserve">lista definitiva de declarantes. </w:t>
      </w:r>
      <w:r w:rsidR="003B4675">
        <w:rPr>
          <w:bCs/>
          <w:lang w:val="es-AR"/>
        </w:rPr>
        <w:t>E</w:t>
      </w:r>
      <w:r w:rsidR="00972814" w:rsidRPr="00E32DCA">
        <w:rPr>
          <w:bCs/>
          <w:lang w:val="es-AR"/>
        </w:rPr>
        <w:t xml:space="preserve">n la lista definitiva fue </w:t>
      </w:r>
      <w:r w:rsidR="003B4675">
        <w:rPr>
          <w:bCs/>
          <w:lang w:val="es-AR"/>
        </w:rPr>
        <w:t xml:space="preserve">indicado el nombre de uno de los peritos que no había sido </w:t>
      </w:r>
      <w:r w:rsidR="006B2214">
        <w:rPr>
          <w:bCs/>
          <w:lang w:val="es-AR"/>
        </w:rPr>
        <w:t>indicado</w:t>
      </w:r>
      <w:r w:rsidR="003B4675">
        <w:rPr>
          <w:bCs/>
          <w:lang w:val="es-AR"/>
        </w:rPr>
        <w:t xml:space="preserve"> en el escrito de solicitudes y argumentos</w:t>
      </w:r>
      <w:r w:rsidR="00972814" w:rsidRPr="00E32DCA">
        <w:rPr>
          <w:bCs/>
          <w:lang w:val="es-AR"/>
        </w:rPr>
        <w:t xml:space="preserve">. </w:t>
      </w:r>
      <w:r w:rsidRPr="00E32DCA">
        <w:rPr>
          <w:rFonts w:eastAsia="Times New Roman" w:cs="Verdana"/>
          <w:szCs w:val="20"/>
          <w:lang w:val="es-CR" w:eastAsia="en-US"/>
        </w:rPr>
        <w:t xml:space="preserve">Por su parte, el Estado presentó </w:t>
      </w:r>
      <w:r w:rsidR="008E2AC1" w:rsidRPr="00E32DCA">
        <w:rPr>
          <w:rFonts w:eastAsia="Times New Roman" w:cs="Verdana"/>
          <w:szCs w:val="20"/>
          <w:lang w:val="es-CR" w:eastAsia="en-US"/>
        </w:rPr>
        <w:t xml:space="preserve">observaciones </w:t>
      </w:r>
      <w:r w:rsidR="00972814" w:rsidRPr="00E32DCA">
        <w:rPr>
          <w:rFonts w:eastAsia="Times New Roman" w:cs="Verdana"/>
          <w:szCs w:val="20"/>
          <w:lang w:val="es-CR" w:eastAsia="en-US"/>
        </w:rPr>
        <w:t>relacionadas con tres</w:t>
      </w:r>
      <w:r w:rsidRPr="00E32DCA">
        <w:rPr>
          <w:rFonts w:eastAsia="Times New Roman" w:cs="Verdana"/>
          <w:szCs w:val="20"/>
          <w:lang w:val="es-CR" w:eastAsia="en-US"/>
        </w:rPr>
        <w:t xml:space="preserve"> de los </w:t>
      </w:r>
      <w:r w:rsidR="00972814" w:rsidRPr="00E32DCA">
        <w:rPr>
          <w:rFonts w:eastAsia="Times New Roman" w:cs="Verdana"/>
          <w:szCs w:val="20"/>
          <w:lang w:val="es-CR" w:eastAsia="en-US"/>
        </w:rPr>
        <w:t>se</w:t>
      </w:r>
      <w:r w:rsidR="00E32DCA" w:rsidRPr="00E32DCA">
        <w:rPr>
          <w:rFonts w:eastAsia="Times New Roman" w:cs="Verdana"/>
          <w:szCs w:val="20"/>
          <w:lang w:val="es-CR" w:eastAsia="en-US"/>
        </w:rPr>
        <w:t xml:space="preserve">is </w:t>
      </w:r>
      <w:r w:rsidRPr="00E32DCA">
        <w:rPr>
          <w:rFonts w:eastAsia="Times New Roman" w:cs="Verdana"/>
          <w:szCs w:val="20"/>
          <w:lang w:val="es-CR" w:eastAsia="en-US"/>
        </w:rPr>
        <w:t>dictámenes periciales ofrecidos.</w:t>
      </w:r>
      <w:r w:rsidR="00312E07" w:rsidRPr="00E32DCA">
        <w:rPr>
          <w:bCs/>
          <w:lang w:val="es-AR"/>
        </w:rPr>
        <w:t xml:space="preserve"> </w:t>
      </w:r>
      <w:r w:rsidRPr="00E32DCA">
        <w:rPr>
          <w:bCs/>
          <w:lang w:val="es-AR"/>
        </w:rPr>
        <w:t xml:space="preserve">A continuación, la Presidencia procederá a resolver de forma individual las </w:t>
      </w:r>
      <w:r w:rsidR="008E2AC1" w:rsidRPr="00E32DCA">
        <w:rPr>
          <w:bCs/>
          <w:lang w:val="es-AR"/>
        </w:rPr>
        <w:t xml:space="preserve">observaciones </w:t>
      </w:r>
      <w:r w:rsidRPr="00E32DCA">
        <w:rPr>
          <w:bCs/>
          <w:lang w:val="es-AR"/>
        </w:rPr>
        <w:t>presentadas por el Estado</w:t>
      </w:r>
      <w:r w:rsidR="00BE478D" w:rsidRPr="00E32DCA">
        <w:rPr>
          <w:bCs/>
          <w:lang w:val="es-AR"/>
        </w:rPr>
        <w:t xml:space="preserve"> respecto de </w:t>
      </w:r>
      <w:r w:rsidR="00D706C5">
        <w:rPr>
          <w:bCs/>
          <w:lang w:val="es-AR"/>
        </w:rPr>
        <w:t>tres</w:t>
      </w:r>
      <w:r w:rsidR="00BE478D" w:rsidRPr="00E32DCA">
        <w:rPr>
          <w:bCs/>
          <w:lang w:val="es-AR"/>
        </w:rPr>
        <w:t xml:space="preserve"> declaraciones periciales. </w:t>
      </w:r>
    </w:p>
    <w:p w:rsidR="00E32DCA" w:rsidRPr="00E32DCA" w:rsidRDefault="00E32DCA" w:rsidP="005735AE">
      <w:pPr>
        <w:tabs>
          <w:tab w:val="left" w:pos="0"/>
          <w:tab w:val="left" w:pos="810"/>
        </w:tabs>
        <w:autoSpaceDE w:val="0"/>
        <w:autoSpaceDN w:val="0"/>
        <w:adjustRightInd w:val="0"/>
        <w:spacing w:after="0"/>
        <w:rPr>
          <w:bCs/>
          <w:iCs/>
          <w:szCs w:val="20"/>
          <w:lang w:val="es-CR"/>
        </w:rPr>
      </w:pPr>
    </w:p>
    <w:p w:rsidR="00DD57DD" w:rsidRPr="002B670F" w:rsidRDefault="00737BDA" w:rsidP="005735AE">
      <w:pPr>
        <w:pStyle w:val="BodyTextIndent2"/>
        <w:rPr>
          <w:b w:val="0"/>
          <w:i/>
          <w:sz w:val="16"/>
          <w:szCs w:val="16"/>
          <w:lang w:eastAsia="es-CR"/>
        </w:rPr>
      </w:pPr>
      <w:r>
        <w:rPr>
          <w:b w:val="0"/>
          <w:i/>
        </w:rPr>
        <w:t>E</w:t>
      </w:r>
      <w:r w:rsidR="00431A17" w:rsidRPr="002B670F">
        <w:rPr>
          <w:b w:val="0"/>
          <w:i/>
        </w:rPr>
        <w:t xml:space="preserve">.1 </w:t>
      </w:r>
      <w:r w:rsidR="008E2AC1" w:rsidRPr="002B670F">
        <w:rPr>
          <w:b w:val="0"/>
          <w:i/>
        </w:rPr>
        <w:t xml:space="preserve">Observaciones </w:t>
      </w:r>
      <w:r w:rsidR="00DD57DD" w:rsidRPr="002B670F">
        <w:rPr>
          <w:b w:val="0"/>
          <w:i/>
        </w:rPr>
        <w:t xml:space="preserve">del Estado </w:t>
      </w:r>
      <w:r w:rsidR="00202144" w:rsidRPr="002B670F">
        <w:rPr>
          <w:b w:val="0"/>
          <w:i/>
        </w:rPr>
        <w:t>al</w:t>
      </w:r>
      <w:r w:rsidR="00DD57DD" w:rsidRPr="002B670F">
        <w:rPr>
          <w:b w:val="0"/>
          <w:i/>
        </w:rPr>
        <w:t xml:space="preserve"> dictamen pericial de </w:t>
      </w:r>
      <w:r w:rsidR="00594D7A">
        <w:rPr>
          <w:b w:val="0"/>
          <w:i/>
          <w:lang w:eastAsia="es-CR"/>
        </w:rPr>
        <w:t>Sergio Gardenghi Suiama</w:t>
      </w:r>
    </w:p>
    <w:p w:rsidR="00DD57DD" w:rsidRDefault="00DD57DD" w:rsidP="005735AE">
      <w:pPr>
        <w:pStyle w:val="BodyTextIndent2"/>
        <w:ind w:left="0"/>
        <w:rPr>
          <w:sz w:val="16"/>
          <w:szCs w:val="16"/>
          <w:lang w:eastAsia="es-CR"/>
        </w:rPr>
      </w:pPr>
    </w:p>
    <w:p w:rsidR="00DD57DD" w:rsidRPr="00DD57DD" w:rsidRDefault="00DD57DD" w:rsidP="005735AE">
      <w:pPr>
        <w:numPr>
          <w:ilvl w:val="0"/>
          <w:numId w:val="1"/>
        </w:numPr>
        <w:tabs>
          <w:tab w:val="num" w:pos="720"/>
        </w:tabs>
        <w:autoSpaceDE w:val="0"/>
        <w:autoSpaceDN w:val="0"/>
        <w:adjustRightInd w:val="0"/>
        <w:spacing w:after="0"/>
        <w:rPr>
          <w:sz w:val="16"/>
          <w:szCs w:val="16"/>
          <w:lang w:eastAsia="es-CR"/>
        </w:rPr>
      </w:pPr>
      <w:r w:rsidRPr="00DD57DD">
        <w:rPr>
          <w:lang w:val="es-AR"/>
        </w:rPr>
        <w:t xml:space="preserve">En su escrito de solicitudes y argumentos los representantes ofrecieron la declaración pericial del señor </w:t>
      </w:r>
      <w:r w:rsidR="00594D7A">
        <w:rPr>
          <w:lang w:val="es-AR"/>
        </w:rPr>
        <w:t>Sergio Gardenghi Suiama</w:t>
      </w:r>
      <w:r w:rsidRPr="00DD57DD">
        <w:rPr>
          <w:lang w:val="es-AR"/>
        </w:rPr>
        <w:t xml:space="preserve">, sobre </w:t>
      </w:r>
      <w:r w:rsidR="00594D7A">
        <w:rPr>
          <w:lang w:val="es-AR"/>
        </w:rPr>
        <w:t>la existencia de una práctica sistemática de detenciones arbitrarias, torturas, ejecuciones sumarias y desapariciones forzadas de personas e</w:t>
      </w:r>
      <w:r w:rsidR="005B2C76">
        <w:rPr>
          <w:lang w:val="es-AR"/>
        </w:rPr>
        <w:t>n Brasil en la época del caso. El señor Suiama declararía</w:t>
      </w:r>
      <w:r w:rsidR="00594D7A">
        <w:rPr>
          <w:lang w:val="es-AR"/>
        </w:rPr>
        <w:t xml:space="preserve"> también respecto</w:t>
      </w:r>
      <w:r w:rsidR="00D22F25">
        <w:rPr>
          <w:lang w:val="es-AR"/>
        </w:rPr>
        <w:t xml:space="preserve"> de</w:t>
      </w:r>
      <w:r w:rsidR="00594D7A">
        <w:rPr>
          <w:lang w:val="es-AR"/>
        </w:rPr>
        <w:t xml:space="preserve"> la ocultación de la verdad sobre los </w:t>
      </w:r>
      <w:r w:rsidR="00D22F25">
        <w:rPr>
          <w:lang w:val="es-AR"/>
        </w:rPr>
        <w:t>crímenes de la dictadura, incluyend</w:t>
      </w:r>
      <w:r w:rsidR="00594D7A">
        <w:rPr>
          <w:lang w:val="es-AR"/>
        </w:rPr>
        <w:t xml:space="preserve">o </w:t>
      </w:r>
      <w:r w:rsidR="005B2C76">
        <w:rPr>
          <w:lang w:val="es-AR"/>
        </w:rPr>
        <w:t>versiones de falsos suicidios. Finalmente, realizaría</w:t>
      </w:r>
      <w:r w:rsidR="00594D7A">
        <w:rPr>
          <w:lang w:val="es-AR"/>
        </w:rPr>
        <w:t xml:space="preserve"> un balance </w:t>
      </w:r>
      <w:r w:rsidR="005B2C76">
        <w:rPr>
          <w:lang w:val="es-AR"/>
        </w:rPr>
        <w:t>de las iniciativas del Estado para</w:t>
      </w:r>
      <w:r w:rsidR="00594D7A">
        <w:rPr>
          <w:lang w:val="es-AR"/>
        </w:rPr>
        <w:t xml:space="preserve"> investigar y </w:t>
      </w:r>
      <w:r w:rsidR="0064274C">
        <w:rPr>
          <w:lang w:val="es-AR"/>
        </w:rPr>
        <w:t>sancionar a</w:t>
      </w:r>
      <w:r w:rsidR="00594D7A">
        <w:rPr>
          <w:lang w:val="es-AR"/>
        </w:rPr>
        <w:t xml:space="preserve"> los responsables por tales violaciones de derechos humanos desde l</w:t>
      </w:r>
      <w:r w:rsidR="005B2C76">
        <w:rPr>
          <w:lang w:val="es-AR"/>
        </w:rPr>
        <w:t>a década de</w:t>
      </w:r>
      <w:r w:rsidR="00594D7A">
        <w:rPr>
          <w:lang w:val="es-AR"/>
        </w:rPr>
        <w:t xml:space="preserve"> 1970 hasta </w:t>
      </w:r>
      <w:r w:rsidR="00086AD6">
        <w:rPr>
          <w:lang w:val="es-AR"/>
        </w:rPr>
        <w:t>la actualidad</w:t>
      </w:r>
      <w:r w:rsidR="00594D7A">
        <w:rPr>
          <w:lang w:val="es-AR"/>
        </w:rPr>
        <w:t xml:space="preserve">, incluyendo los obstáculos, resultados y recomendaciones para la </w:t>
      </w:r>
      <w:r w:rsidR="00A532A9">
        <w:rPr>
          <w:lang w:val="es-AR"/>
        </w:rPr>
        <w:t>consumación</w:t>
      </w:r>
      <w:r w:rsidR="00594D7A">
        <w:rPr>
          <w:lang w:val="es-AR"/>
        </w:rPr>
        <w:t xml:space="preserve"> del derecho a justicia y verdad.</w:t>
      </w:r>
    </w:p>
    <w:p w:rsidR="00DD57DD" w:rsidRPr="00DD57DD" w:rsidRDefault="00DD57DD" w:rsidP="005735AE">
      <w:pPr>
        <w:autoSpaceDE w:val="0"/>
        <w:autoSpaceDN w:val="0"/>
        <w:adjustRightInd w:val="0"/>
        <w:spacing w:after="0"/>
        <w:rPr>
          <w:lang w:val="es-AR"/>
        </w:rPr>
      </w:pPr>
    </w:p>
    <w:p w:rsidR="00C84941" w:rsidRPr="0064274C" w:rsidRDefault="00DD57DD" w:rsidP="005735AE">
      <w:pPr>
        <w:numPr>
          <w:ilvl w:val="0"/>
          <w:numId w:val="1"/>
        </w:numPr>
        <w:tabs>
          <w:tab w:val="num" w:pos="720"/>
        </w:tabs>
        <w:autoSpaceDE w:val="0"/>
        <w:autoSpaceDN w:val="0"/>
        <w:adjustRightInd w:val="0"/>
        <w:spacing w:after="0"/>
        <w:rPr>
          <w:szCs w:val="20"/>
          <w:lang w:val="es-ES"/>
        </w:rPr>
      </w:pPr>
      <w:r w:rsidRPr="00C84941">
        <w:rPr>
          <w:szCs w:val="20"/>
          <w:lang w:val="es-AR"/>
        </w:rPr>
        <w:t xml:space="preserve">Al respecto, el Estado impugnó el ofrecimiento de </w:t>
      </w:r>
      <w:r w:rsidR="00077F9D">
        <w:rPr>
          <w:szCs w:val="20"/>
          <w:lang w:val="es-AR"/>
        </w:rPr>
        <w:t>la</w:t>
      </w:r>
      <w:r w:rsidRPr="00C84941">
        <w:rPr>
          <w:szCs w:val="20"/>
          <w:lang w:val="es-AR"/>
        </w:rPr>
        <w:t xml:space="preserve"> declaración </w:t>
      </w:r>
      <w:r w:rsidR="00077F9D" w:rsidRPr="00DD57DD">
        <w:rPr>
          <w:lang w:val="es-AR"/>
        </w:rPr>
        <w:t xml:space="preserve">del señor </w:t>
      </w:r>
      <w:r w:rsidR="00077F9D">
        <w:rPr>
          <w:lang w:val="es-AR"/>
        </w:rPr>
        <w:t>Sergio Gardenghi Suiama,</w:t>
      </w:r>
      <w:r w:rsidR="00077F9D" w:rsidRPr="00C84941">
        <w:rPr>
          <w:szCs w:val="20"/>
          <w:lang w:val="es-AR"/>
        </w:rPr>
        <w:t xml:space="preserve"> </w:t>
      </w:r>
      <w:r w:rsidRPr="00C84941">
        <w:rPr>
          <w:szCs w:val="20"/>
          <w:lang w:val="es-AR"/>
        </w:rPr>
        <w:t xml:space="preserve">pues consideró que </w:t>
      </w:r>
      <w:r w:rsidR="00C84941">
        <w:rPr>
          <w:szCs w:val="20"/>
          <w:lang w:val="es-AR"/>
        </w:rPr>
        <w:t xml:space="preserve">las atribuciones y el trabajo del perito en el Ministerio Público afectarían su declaración </w:t>
      </w:r>
      <w:r w:rsidR="00077F9D">
        <w:rPr>
          <w:szCs w:val="20"/>
          <w:lang w:val="es-AR"/>
        </w:rPr>
        <w:t>puesto</w:t>
      </w:r>
      <w:r w:rsidR="00C84941">
        <w:rPr>
          <w:szCs w:val="20"/>
          <w:lang w:val="es-AR"/>
        </w:rPr>
        <w:t xml:space="preserve"> que no sería imparcial</w:t>
      </w:r>
      <w:r w:rsidR="00077F9D">
        <w:rPr>
          <w:szCs w:val="20"/>
          <w:lang w:val="es-AR"/>
        </w:rPr>
        <w:t xml:space="preserve"> por estar </w:t>
      </w:r>
      <w:r w:rsidR="00077F9D">
        <w:rPr>
          <w:szCs w:val="20"/>
          <w:lang w:val="es-AR"/>
        </w:rPr>
        <w:lastRenderedPageBreak/>
        <w:t>relacionado con el caso en el ámbito interno</w:t>
      </w:r>
      <w:r w:rsidR="00C84941">
        <w:rPr>
          <w:szCs w:val="20"/>
          <w:lang w:val="es-AR"/>
        </w:rPr>
        <w:t xml:space="preserve">. De forma subsidiaria, el Estado impugnó </w:t>
      </w:r>
      <w:r w:rsidR="00071382">
        <w:rPr>
          <w:szCs w:val="20"/>
          <w:lang w:val="es-AR"/>
        </w:rPr>
        <w:t xml:space="preserve">algunas partes del objeto del peritaje del señor </w:t>
      </w:r>
      <w:proofErr w:type="spellStart"/>
      <w:r w:rsidR="00071382">
        <w:rPr>
          <w:szCs w:val="20"/>
          <w:lang w:val="es-AR"/>
        </w:rPr>
        <w:t>Suiama</w:t>
      </w:r>
      <w:proofErr w:type="spellEnd"/>
      <w:r w:rsidR="00066C02">
        <w:rPr>
          <w:szCs w:val="20"/>
          <w:lang w:val="es-AR"/>
        </w:rPr>
        <w:t xml:space="preserve"> </w:t>
      </w:r>
      <w:r w:rsidR="00071382">
        <w:rPr>
          <w:szCs w:val="20"/>
          <w:lang w:val="es-AR"/>
        </w:rPr>
        <w:t>respecto de</w:t>
      </w:r>
      <w:r w:rsidR="00C41BA5">
        <w:rPr>
          <w:szCs w:val="20"/>
          <w:lang w:val="es-AR"/>
        </w:rPr>
        <w:t xml:space="preserve"> la</w:t>
      </w:r>
      <w:r w:rsidR="00071382">
        <w:rPr>
          <w:szCs w:val="20"/>
          <w:lang w:val="es-AR"/>
        </w:rPr>
        <w:t xml:space="preserve"> </w:t>
      </w:r>
      <w:r w:rsidR="00C84941">
        <w:rPr>
          <w:szCs w:val="20"/>
          <w:lang w:val="es-AR"/>
        </w:rPr>
        <w:t>“</w:t>
      </w:r>
      <w:r w:rsidR="00C84941" w:rsidRPr="00793E0D">
        <w:rPr>
          <w:i/>
          <w:szCs w:val="20"/>
          <w:lang w:val="es-AR"/>
        </w:rPr>
        <w:t xml:space="preserve">existencia de una práctica sistemática de prisiones arbitrarias, torturas, ejecuciones sumarias y desapariciones forzadas de personas en Brasil en la época de los hechos del </w:t>
      </w:r>
      <w:r w:rsidR="00005825">
        <w:rPr>
          <w:i/>
          <w:szCs w:val="20"/>
          <w:lang w:val="es-AR"/>
        </w:rPr>
        <w:t xml:space="preserve">presente </w:t>
      </w:r>
      <w:r w:rsidR="00C84941" w:rsidRPr="00793E0D">
        <w:rPr>
          <w:i/>
          <w:szCs w:val="20"/>
          <w:lang w:val="es-AR"/>
        </w:rPr>
        <w:t>caso</w:t>
      </w:r>
      <w:r w:rsidR="00C84941">
        <w:rPr>
          <w:szCs w:val="20"/>
          <w:lang w:val="es-AR"/>
        </w:rPr>
        <w:t xml:space="preserve">”, </w:t>
      </w:r>
      <w:r w:rsidR="00F0324E">
        <w:rPr>
          <w:szCs w:val="20"/>
          <w:lang w:val="es-AR"/>
        </w:rPr>
        <w:t>alegando que</w:t>
      </w:r>
      <w:r w:rsidR="00C84941">
        <w:rPr>
          <w:szCs w:val="20"/>
          <w:lang w:val="es-AR"/>
        </w:rPr>
        <w:t xml:space="preserve"> </w:t>
      </w:r>
      <w:r w:rsidR="00F0324E">
        <w:rPr>
          <w:szCs w:val="20"/>
          <w:lang w:val="es-AR"/>
        </w:rPr>
        <w:t>dicha</w:t>
      </w:r>
      <w:r w:rsidR="00C84941">
        <w:rPr>
          <w:szCs w:val="20"/>
          <w:lang w:val="es-AR"/>
        </w:rPr>
        <w:t xml:space="preserve"> parte</w:t>
      </w:r>
      <w:r w:rsidR="00066C02">
        <w:rPr>
          <w:szCs w:val="20"/>
          <w:lang w:val="es-AR"/>
        </w:rPr>
        <w:t xml:space="preserve"> del peritaje estaría</w:t>
      </w:r>
      <w:r w:rsidR="00F0324E">
        <w:rPr>
          <w:szCs w:val="20"/>
          <w:lang w:val="es-AR"/>
        </w:rPr>
        <w:t xml:space="preserve"> fuera de</w:t>
      </w:r>
      <w:r w:rsidR="00C84941">
        <w:rPr>
          <w:szCs w:val="20"/>
          <w:lang w:val="es-AR"/>
        </w:rPr>
        <w:t xml:space="preserve"> la com</w:t>
      </w:r>
      <w:r w:rsidR="00071382">
        <w:rPr>
          <w:szCs w:val="20"/>
          <w:lang w:val="es-AR"/>
        </w:rPr>
        <w:t>petencia temporal de la Corte. Además, i</w:t>
      </w:r>
      <w:r w:rsidR="00C84941">
        <w:rPr>
          <w:szCs w:val="20"/>
          <w:lang w:val="es-AR"/>
        </w:rPr>
        <w:t xml:space="preserve">mpugnó la parte </w:t>
      </w:r>
      <w:r w:rsidR="00B92A9C">
        <w:rPr>
          <w:szCs w:val="20"/>
          <w:lang w:val="es-AR"/>
        </w:rPr>
        <w:t xml:space="preserve">relacionada con </w:t>
      </w:r>
      <w:r w:rsidR="00C84941">
        <w:rPr>
          <w:szCs w:val="20"/>
          <w:lang w:val="es-AR"/>
        </w:rPr>
        <w:t>“</w:t>
      </w:r>
      <w:r w:rsidR="00C84941" w:rsidRPr="00793E0D">
        <w:rPr>
          <w:i/>
          <w:szCs w:val="20"/>
          <w:lang w:val="es-AR"/>
        </w:rPr>
        <w:t xml:space="preserve">la ocultación de la verdad </w:t>
      </w:r>
      <w:r w:rsidR="00C41BA5">
        <w:rPr>
          <w:i/>
          <w:szCs w:val="20"/>
          <w:lang w:val="es-AR"/>
        </w:rPr>
        <w:t>sobre</w:t>
      </w:r>
      <w:r w:rsidR="00C84941" w:rsidRPr="00793E0D">
        <w:rPr>
          <w:i/>
          <w:szCs w:val="20"/>
          <w:lang w:val="es-AR"/>
        </w:rPr>
        <w:t xml:space="preserve"> los crímenes practicados en la dictadura militar</w:t>
      </w:r>
      <w:r w:rsidR="00C84941">
        <w:rPr>
          <w:szCs w:val="20"/>
          <w:lang w:val="es-AR"/>
        </w:rPr>
        <w:t xml:space="preserve">”, </w:t>
      </w:r>
      <w:r w:rsidR="00B92A9C">
        <w:rPr>
          <w:szCs w:val="20"/>
          <w:lang w:val="es-AR"/>
        </w:rPr>
        <w:t>debido a</w:t>
      </w:r>
      <w:r w:rsidR="00C84941">
        <w:rPr>
          <w:szCs w:val="20"/>
          <w:lang w:val="es-AR"/>
        </w:rPr>
        <w:t xml:space="preserve"> que no se relaciona</w:t>
      </w:r>
      <w:r w:rsidR="00066C02">
        <w:rPr>
          <w:szCs w:val="20"/>
          <w:lang w:val="es-AR"/>
        </w:rPr>
        <w:t>ría</w:t>
      </w:r>
      <w:r w:rsidR="00C84941">
        <w:rPr>
          <w:szCs w:val="20"/>
          <w:lang w:val="es-AR"/>
        </w:rPr>
        <w:t xml:space="preserve"> con el presente caso. </w:t>
      </w:r>
      <w:r w:rsidR="00B92A9C">
        <w:rPr>
          <w:szCs w:val="20"/>
          <w:lang w:val="es-AR"/>
        </w:rPr>
        <w:t>Finalmente</w:t>
      </w:r>
      <w:r w:rsidR="00C84941">
        <w:rPr>
          <w:szCs w:val="20"/>
          <w:lang w:val="es-AR"/>
        </w:rPr>
        <w:t xml:space="preserve">, impugnó la </w:t>
      </w:r>
      <w:r w:rsidR="00D86F1D">
        <w:rPr>
          <w:szCs w:val="20"/>
          <w:lang w:val="es-AR"/>
        </w:rPr>
        <w:t>expresión “</w:t>
      </w:r>
      <w:r w:rsidR="00D86F1D" w:rsidRPr="00793E0D">
        <w:rPr>
          <w:i/>
          <w:szCs w:val="20"/>
          <w:lang w:val="es-AR"/>
        </w:rPr>
        <w:t xml:space="preserve">así como las recomendaciones para la </w:t>
      </w:r>
      <w:proofErr w:type="spellStart"/>
      <w:r w:rsidR="002F4040" w:rsidRPr="00484F1C">
        <w:rPr>
          <w:i/>
          <w:szCs w:val="20"/>
          <w:lang w:val="es-AR"/>
        </w:rPr>
        <w:t>efectivización</w:t>
      </w:r>
      <w:proofErr w:type="spellEnd"/>
      <w:r w:rsidR="00D86F1D" w:rsidRPr="00484F1C">
        <w:rPr>
          <w:i/>
          <w:szCs w:val="20"/>
          <w:lang w:val="es-AR"/>
        </w:rPr>
        <w:t xml:space="preserve"> </w:t>
      </w:r>
      <w:r w:rsidR="00D86F1D" w:rsidRPr="00793E0D">
        <w:rPr>
          <w:i/>
          <w:szCs w:val="20"/>
          <w:lang w:val="es-AR"/>
        </w:rPr>
        <w:t>del derecho a la justicia y verdad</w:t>
      </w:r>
      <w:r w:rsidR="00D86F1D">
        <w:rPr>
          <w:szCs w:val="20"/>
          <w:lang w:val="es-AR"/>
        </w:rPr>
        <w:t xml:space="preserve">”, alegando que </w:t>
      </w:r>
      <w:r w:rsidR="00B92A9C">
        <w:rPr>
          <w:szCs w:val="20"/>
          <w:lang w:val="es-AR"/>
        </w:rPr>
        <w:t xml:space="preserve">los </w:t>
      </w:r>
      <w:r w:rsidR="00D86F1D">
        <w:rPr>
          <w:szCs w:val="20"/>
          <w:lang w:val="es-AR"/>
        </w:rPr>
        <w:t xml:space="preserve">peritos no pueden dar recomendaciones, </w:t>
      </w:r>
      <w:r w:rsidR="00B92A9C">
        <w:rPr>
          <w:szCs w:val="20"/>
          <w:lang w:val="es-AR"/>
        </w:rPr>
        <w:t xml:space="preserve">debido a que </w:t>
      </w:r>
      <w:r w:rsidR="00277860">
        <w:rPr>
          <w:szCs w:val="20"/>
          <w:lang w:val="es-AR"/>
        </w:rPr>
        <w:t>estas</w:t>
      </w:r>
      <w:r w:rsidR="00D86F1D">
        <w:rPr>
          <w:szCs w:val="20"/>
          <w:lang w:val="es-AR"/>
        </w:rPr>
        <w:t xml:space="preserve"> </w:t>
      </w:r>
      <w:r w:rsidR="00B92A9C">
        <w:rPr>
          <w:szCs w:val="20"/>
          <w:lang w:val="es-AR"/>
        </w:rPr>
        <w:t>forman</w:t>
      </w:r>
      <w:r w:rsidR="00D86F1D">
        <w:rPr>
          <w:szCs w:val="20"/>
          <w:lang w:val="es-AR"/>
        </w:rPr>
        <w:t xml:space="preserve"> parte de un pedido</w:t>
      </w:r>
      <w:r w:rsidR="00B92A9C">
        <w:rPr>
          <w:szCs w:val="20"/>
          <w:lang w:val="es-AR"/>
        </w:rPr>
        <w:t>, y los</w:t>
      </w:r>
      <w:r w:rsidR="00D86F1D">
        <w:rPr>
          <w:szCs w:val="20"/>
          <w:lang w:val="es-AR"/>
        </w:rPr>
        <w:t xml:space="preserve"> perito</w:t>
      </w:r>
      <w:r w:rsidR="00B92A9C">
        <w:rPr>
          <w:szCs w:val="20"/>
          <w:lang w:val="es-AR"/>
        </w:rPr>
        <w:t>s</w:t>
      </w:r>
      <w:r w:rsidR="00D86F1D">
        <w:rPr>
          <w:szCs w:val="20"/>
          <w:lang w:val="es-AR"/>
        </w:rPr>
        <w:t xml:space="preserve"> solo puede</w:t>
      </w:r>
      <w:r w:rsidR="00B92A9C">
        <w:rPr>
          <w:szCs w:val="20"/>
          <w:lang w:val="es-AR"/>
        </w:rPr>
        <w:t>n</w:t>
      </w:r>
      <w:r w:rsidR="00D86F1D">
        <w:rPr>
          <w:szCs w:val="20"/>
          <w:lang w:val="es-AR"/>
        </w:rPr>
        <w:t xml:space="preserve"> declarar respecto </w:t>
      </w:r>
      <w:r w:rsidR="00B92A9C">
        <w:rPr>
          <w:szCs w:val="20"/>
          <w:lang w:val="es-AR"/>
        </w:rPr>
        <w:t xml:space="preserve">de </w:t>
      </w:r>
      <w:r w:rsidR="00D86F1D">
        <w:rPr>
          <w:szCs w:val="20"/>
          <w:lang w:val="es-AR"/>
        </w:rPr>
        <w:t xml:space="preserve">elementos técnicos. </w:t>
      </w:r>
    </w:p>
    <w:p w:rsidR="00C84941" w:rsidRPr="00C84941" w:rsidRDefault="00C84941" w:rsidP="005735AE">
      <w:pPr>
        <w:autoSpaceDE w:val="0"/>
        <w:autoSpaceDN w:val="0"/>
        <w:adjustRightInd w:val="0"/>
        <w:spacing w:after="0"/>
        <w:rPr>
          <w:szCs w:val="20"/>
          <w:lang w:val="es-ES"/>
        </w:rPr>
      </w:pPr>
    </w:p>
    <w:p w:rsidR="00602A36" w:rsidRPr="00194FF8" w:rsidRDefault="00FC763D" w:rsidP="005735AE">
      <w:pPr>
        <w:numPr>
          <w:ilvl w:val="0"/>
          <w:numId w:val="1"/>
        </w:numPr>
        <w:tabs>
          <w:tab w:val="num" w:pos="720"/>
        </w:tabs>
        <w:autoSpaceDE w:val="0"/>
        <w:autoSpaceDN w:val="0"/>
        <w:adjustRightInd w:val="0"/>
        <w:spacing w:after="0"/>
        <w:rPr>
          <w:szCs w:val="20"/>
          <w:lang w:val="es-AR"/>
        </w:rPr>
      </w:pPr>
      <w:r w:rsidRPr="00194FF8">
        <w:rPr>
          <w:szCs w:val="20"/>
          <w:lang w:val="es-AR"/>
        </w:rPr>
        <w:t>La Corte considera que la impugnación del Estado a la participación del perito Suiama es, en realidad, una recusación. De manera que l</w:t>
      </w:r>
      <w:r w:rsidR="00602A36" w:rsidRPr="00194FF8">
        <w:rPr>
          <w:szCs w:val="20"/>
          <w:lang w:val="es-AR"/>
        </w:rPr>
        <w:t xml:space="preserve">as objeciones </w:t>
      </w:r>
      <w:r w:rsidRPr="00194FF8">
        <w:rPr>
          <w:szCs w:val="20"/>
          <w:lang w:val="es-AR"/>
        </w:rPr>
        <w:t>d</w:t>
      </w:r>
      <w:r w:rsidR="00602A36" w:rsidRPr="00194FF8">
        <w:rPr>
          <w:szCs w:val="20"/>
          <w:lang w:val="es-AR"/>
        </w:rPr>
        <w:t xml:space="preserve">el Estado fueron trasladadas al señor Sergio Gardenghi Suiama, quien envió sus consideraciones el 10 de marzo de 2017, indicando que </w:t>
      </w:r>
      <w:r w:rsidR="00ED4574" w:rsidRPr="00194FF8">
        <w:rPr>
          <w:szCs w:val="20"/>
          <w:lang w:val="es-AR"/>
        </w:rPr>
        <w:t>no tiene ninguna relación con el caso</w:t>
      </w:r>
      <w:r w:rsidR="00F44FD7" w:rsidRPr="00194FF8">
        <w:rPr>
          <w:szCs w:val="20"/>
          <w:lang w:val="es-AR"/>
        </w:rPr>
        <w:t xml:space="preserve"> que pudiera afectar la imparcialidad de su peritaje</w:t>
      </w:r>
      <w:r w:rsidR="00194FF8" w:rsidRPr="00194FF8">
        <w:rPr>
          <w:szCs w:val="20"/>
          <w:lang w:val="es-AR"/>
        </w:rPr>
        <w:t xml:space="preserve">, en virtud de que no ha participado </w:t>
      </w:r>
      <w:r w:rsidR="00194FF8">
        <w:rPr>
          <w:szCs w:val="20"/>
          <w:lang w:val="es-AR"/>
        </w:rPr>
        <w:t xml:space="preserve">ni </w:t>
      </w:r>
      <w:r w:rsidR="00194FF8" w:rsidRPr="00194FF8">
        <w:rPr>
          <w:szCs w:val="20"/>
          <w:lang w:val="es-AR"/>
        </w:rPr>
        <w:t xml:space="preserve">intervenido en ninguna instancia procesal respecto a los hechos del presente caso. </w:t>
      </w:r>
    </w:p>
    <w:p w:rsidR="00D86F1D" w:rsidRPr="00D86F1D" w:rsidRDefault="00D86F1D" w:rsidP="005735AE">
      <w:pPr>
        <w:autoSpaceDE w:val="0"/>
        <w:autoSpaceDN w:val="0"/>
        <w:adjustRightInd w:val="0"/>
        <w:spacing w:after="0"/>
        <w:rPr>
          <w:szCs w:val="20"/>
          <w:lang w:val="es-AR"/>
        </w:rPr>
      </w:pPr>
    </w:p>
    <w:p w:rsidR="00194FF8" w:rsidRPr="00194FF8" w:rsidRDefault="00157B89" w:rsidP="005735AE">
      <w:pPr>
        <w:numPr>
          <w:ilvl w:val="0"/>
          <w:numId w:val="1"/>
        </w:numPr>
        <w:tabs>
          <w:tab w:val="num" w:pos="720"/>
        </w:tabs>
        <w:autoSpaceDE w:val="0"/>
        <w:autoSpaceDN w:val="0"/>
        <w:adjustRightInd w:val="0"/>
        <w:spacing w:after="0"/>
        <w:rPr>
          <w:bCs/>
          <w:iCs/>
          <w:szCs w:val="20"/>
          <w:lang w:val="es-CR"/>
        </w:rPr>
      </w:pPr>
      <w:r>
        <w:rPr>
          <w:szCs w:val="20"/>
          <w:lang w:val="es-AR"/>
        </w:rPr>
        <w:t>E</w:t>
      </w:r>
      <w:r w:rsidR="00FD0943" w:rsidRPr="00705738">
        <w:rPr>
          <w:szCs w:val="20"/>
          <w:lang w:val="es-AR"/>
        </w:rPr>
        <w:t xml:space="preserve">sta Presidencia </w:t>
      </w:r>
      <w:r w:rsidR="004D76D0" w:rsidRPr="00705738">
        <w:rPr>
          <w:szCs w:val="20"/>
          <w:lang w:val="es-AR"/>
        </w:rPr>
        <w:t>verifica</w:t>
      </w:r>
      <w:r w:rsidR="00FD0943" w:rsidRPr="00705738">
        <w:rPr>
          <w:szCs w:val="20"/>
          <w:lang w:val="es-AR"/>
        </w:rPr>
        <w:t xml:space="preserve"> que </w:t>
      </w:r>
      <w:r w:rsidR="000D0F38" w:rsidRPr="00705738">
        <w:rPr>
          <w:szCs w:val="20"/>
          <w:lang w:val="es-AR"/>
        </w:rPr>
        <w:t xml:space="preserve">el objeto del peritaje del señor </w:t>
      </w:r>
      <w:r w:rsidR="00D95186">
        <w:rPr>
          <w:szCs w:val="20"/>
          <w:lang w:val="es-AR"/>
        </w:rPr>
        <w:t>Suiama</w:t>
      </w:r>
      <w:r w:rsidR="000D0F38" w:rsidRPr="00705738">
        <w:rPr>
          <w:szCs w:val="20"/>
          <w:lang w:val="es-AR"/>
        </w:rPr>
        <w:t xml:space="preserve"> hace referencia a la investigación y persecución penal en casos de graves violaciones a derechos humanos. </w:t>
      </w:r>
      <w:r w:rsidR="00D95186">
        <w:rPr>
          <w:szCs w:val="20"/>
          <w:lang w:val="es-AR"/>
        </w:rPr>
        <w:t xml:space="preserve">Asimismo, </w:t>
      </w:r>
      <w:r w:rsidR="00FF3AE9">
        <w:rPr>
          <w:szCs w:val="20"/>
          <w:lang w:val="es-AR"/>
        </w:rPr>
        <w:t>nota que el perito cuenta con las capacidades técnicas necesarias para rendir su peritaje</w:t>
      </w:r>
      <w:r w:rsidR="008213DD">
        <w:rPr>
          <w:szCs w:val="20"/>
          <w:lang w:val="es-AR"/>
        </w:rPr>
        <w:t xml:space="preserve"> y que no se evidencian situaciones que </w:t>
      </w:r>
      <w:r w:rsidR="00746C14">
        <w:rPr>
          <w:szCs w:val="20"/>
          <w:lang w:val="es-AR"/>
        </w:rPr>
        <w:t>permitan</w:t>
      </w:r>
      <w:r w:rsidR="008213DD">
        <w:rPr>
          <w:szCs w:val="20"/>
          <w:lang w:val="es-AR"/>
        </w:rPr>
        <w:t xml:space="preserve"> presumir </w:t>
      </w:r>
      <w:r w:rsidR="00746C14">
        <w:rPr>
          <w:szCs w:val="20"/>
          <w:lang w:val="es-AR"/>
        </w:rPr>
        <w:t xml:space="preserve">una </w:t>
      </w:r>
      <w:r w:rsidR="008213DD">
        <w:rPr>
          <w:szCs w:val="20"/>
          <w:lang w:val="es-AR"/>
        </w:rPr>
        <w:t>falta de imparcialidad de su parte</w:t>
      </w:r>
      <w:r w:rsidR="00FF3AE9">
        <w:rPr>
          <w:szCs w:val="20"/>
          <w:lang w:val="es-AR"/>
        </w:rPr>
        <w:t xml:space="preserve">. </w:t>
      </w:r>
      <w:r w:rsidR="00194FF8">
        <w:rPr>
          <w:szCs w:val="20"/>
          <w:lang w:val="es-AR"/>
        </w:rPr>
        <w:t xml:space="preserve">Asimismo, el perito </w:t>
      </w:r>
      <w:r w:rsidR="0030281E">
        <w:rPr>
          <w:szCs w:val="20"/>
          <w:lang w:val="es-AR"/>
        </w:rPr>
        <w:t>no participó en el presente caso anteriormente y no incurre en ninguna de las causales previstas en el artículo 48.1 del Reglamento del Tribunal</w:t>
      </w:r>
      <w:r w:rsidR="0030281E">
        <w:rPr>
          <w:rStyle w:val="FootnoteReference"/>
          <w:szCs w:val="20"/>
          <w:lang w:val="es-AR"/>
        </w:rPr>
        <w:footnoteReference w:id="4"/>
      </w:r>
      <w:r w:rsidR="0030281E">
        <w:rPr>
          <w:szCs w:val="20"/>
          <w:lang w:val="es-AR"/>
        </w:rPr>
        <w:t>.</w:t>
      </w:r>
    </w:p>
    <w:p w:rsidR="00194FF8" w:rsidRDefault="00194FF8" w:rsidP="005735AE">
      <w:pPr>
        <w:pStyle w:val="ListParagraph"/>
        <w:spacing w:after="0"/>
        <w:rPr>
          <w:rFonts w:cs="Times New Roman"/>
          <w:szCs w:val="20"/>
          <w:lang w:val="es-CR" w:eastAsia="es-CR"/>
        </w:rPr>
      </w:pPr>
    </w:p>
    <w:p w:rsidR="004F3C91" w:rsidRPr="004F3C91" w:rsidRDefault="006C53BE" w:rsidP="005735AE">
      <w:pPr>
        <w:numPr>
          <w:ilvl w:val="0"/>
          <w:numId w:val="1"/>
        </w:numPr>
        <w:tabs>
          <w:tab w:val="num" w:pos="720"/>
        </w:tabs>
        <w:autoSpaceDE w:val="0"/>
        <w:autoSpaceDN w:val="0"/>
        <w:adjustRightInd w:val="0"/>
        <w:spacing w:after="0"/>
        <w:rPr>
          <w:bCs/>
          <w:iCs/>
          <w:szCs w:val="20"/>
          <w:lang w:val="es-CR"/>
        </w:rPr>
      </w:pPr>
      <w:r w:rsidRPr="00705738">
        <w:rPr>
          <w:rFonts w:cs="Times New Roman"/>
          <w:szCs w:val="20"/>
          <w:lang w:val="es-CR" w:eastAsia="es-CR"/>
        </w:rPr>
        <w:t>En lo que respecta al objeto del peritaje</w:t>
      </w:r>
      <w:r w:rsidR="004D76D0" w:rsidRPr="00705738">
        <w:rPr>
          <w:rFonts w:cs="Times New Roman"/>
          <w:szCs w:val="20"/>
          <w:lang w:val="es-CR" w:eastAsia="es-CR"/>
        </w:rPr>
        <w:t xml:space="preserve"> </w:t>
      </w:r>
      <w:r w:rsidR="00302D33" w:rsidRPr="00705738">
        <w:rPr>
          <w:rFonts w:cs="Times New Roman"/>
          <w:szCs w:val="20"/>
          <w:lang w:val="es-CR" w:eastAsia="es-CR"/>
        </w:rPr>
        <w:t>que el Estado propone suprimir sobre</w:t>
      </w:r>
      <w:r w:rsidR="00711D53">
        <w:rPr>
          <w:rFonts w:cs="Times New Roman"/>
          <w:szCs w:val="20"/>
          <w:lang w:val="es-CR" w:eastAsia="es-CR"/>
        </w:rPr>
        <w:t xml:space="preserve"> la</w:t>
      </w:r>
      <w:r w:rsidR="00302D33" w:rsidRPr="00705738">
        <w:rPr>
          <w:rFonts w:cs="Times New Roman"/>
          <w:szCs w:val="20"/>
          <w:lang w:val="es-CR" w:eastAsia="es-CR"/>
        </w:rPr>
        <w:t xml:space="preserve"> </w:t>
      </w:r>
      <w:r w:rsidR="00D95186">
        <w:rPr>
          <w:szCs w:val="20"/>
          <w:lang w:val="es-AR"/>
        </w:rPr>
        <w:t>“</w:t>
      </w:r>
      <w:r w:rsidR="00D95186" w:rsidRPr="009B2E62">
        <w:rPr>
          <w:i/>
          <w:szCs w:val="20"/>
          <w:lang w:val="es-AR"/>
        </w:rPr>
        <w:t xml:space="preserve">existencia de una práctica sistemática de prisiones arbitrarias, torturas, ejecuciones sumarias y desapariciones forzadas de personas en Brasil en la época de los hechos del </w:t>
      </w:r>
      <w:r w:rsidR="00711D53">
        <w:rPr>
          <w:i/>
          <w:szCs w:val="20"/>
          <w:lang w:val="es-AR"/>
        </w:rPr>
        <w:t xml:space="preserve">presente </w:t>
      </w:r>
      <w:r w:rsidR="00D95186" w:rsidRPr="009B2E62">
        <w:rPr>
          <w:i/>
          <w:szCs w:val="20"/>
          <w:lang w:val="es-AR"/>
        </w:rPr>
        <w:t>caso</w:t>
      </w:r>
      <w:r w:rsidR="00D95186">
        <w:rPr>
          <w:szCs w:val="20"/>
          <w:lang w:val="es-AR"/>
        </w:rPr>
        <w:t>”</w:t>
      </w:r>
      <w:r w:rsidR="00054303" w:rsidRPr="00705738">
        <w:rPr>
          <w:rFonts w:cs="Times New Roman"/>
          <w:szCs w:val="20"/>
          <w:lang w:val="es-ES" w:eastAsia="es-CR"/>
        </w:rPr>
        <w:t xml:space="preserve">, la Presidencia </w:t>
      </w:r>
      <w:r w:rsidR="00302D33" w:rsidRPr="00705738">
        <w:rPr>
          <w:rFonts w:cs="Times New Roman"/>
          <w:szCs w:val="20"/>
          <w:lang w:val="es-ES" w:eastAsia="es-CR"/>
        </w:rPr>
        <w:t>constata que</w:t>
      </w:r>
      <w:r w:rsidR="00D95186">
        <w:rPr>
          <w:rFonts w:cs="Times New Roman"/>
          <w:szCs w:val="20"/>
          <w:lang w:val="es-ES" w:eastAsia="es-CR"/>
        </w:rPr>
        <w:t xml:space="preserve"> </w:t>
      </w:r>
      <w:r w:rsidR="000C1D8F">
        <w:rPr>
          <w:rFonts w:cs="Times New Roman"/>
          <w:szCs w:val="20"/>
          <w:lang w:val="es-ES" w:eastAsia="es-CR"/>
        </w:rPr>
        <w:t>el análisis de la alegada</w:t>
      </w:r>
      <w:r w:rsidR="00FF3AE9">
        <w:rPr>
          <w:rFonts w:cs="Times New Roman"/>
          <w:szCs w:val="20"/>
          <w:lang w:val="es-ES" w:eastAsia="es-CR"/>
        </w:rPr>
        <w:t xml:space="preserve"> práctica forma parte de</w:t>
      </w:r>
      <w:r w:rsidR="00C52613">
        <w:rPr>
          <w:rFonts w:cs="Times New Roman"/>
          <w:szCs w:val="20"/>
          <w:lang w:val="es-ES" w:eastAsia="es-CR"/>
        </w:rPr>
        <w:t>l contexto y de</w:t>
      </w:r>
      <w:r w:rsidR="00FF3AE9">
        <w:rPr>
          <w:rFonts w:cs="Times New Roman"/>
          <w:szCs w:val="20"/>
          <w:lang w:val="es-ES" w:eastAsia="es-CR"/>
        </w:rPr>
        <w:t xml:space="preserve"> los hechos señalados por la Comisión y los representantes, y resulta </w:t>
      </w:r>
      <w:r w:rsidR="00EE078A">
        <w:rPr>
          <w:rFonts w:cs="Times New Roman"/>
          <w:szCs w:val="20"/>
          <w:lang w:val="es-ES" w:eastAsia="es-CR"/>
        </w:rPr>
        <w:t>útil</w:t>
      </w:r>
      <w:r w:rsidR="00FF3AE9">
        <w:rPr>
          <w:rFonts w:cs="Times New Roman"/>
          <w:szCs w:val="20"/>
          <w:lang w:val="es-ES" w:eastAsia="es-CR"/>
        </w:rPr>
        <w:t xml:space="preserve"> para el conocimiento de la Corte</w:t>
      </w:r>
      <w:r w:rsidR="00C52613">
        <w:rPr>
          <w:rFonts w:cs="Times New Roman"/>
          <w:szCs w:val="20"/>
          <w:lang w:val="es-ES" w:eastAsia="es-CR"/>
        </w:rPr>
        <w:t>, sin perjuicio</w:t>
      </w:r>
      <w:r w:rsidR="00EE078A">
        <w:rPr>
          <w:rFonts w:cs="Times New Roman"/>
          <w:szCs w:val="20"/>
          <w:lang w:val="es-ES" w:eastAsia="es-CR"/>
        </w:rPr>
        <w:t xml:space="preserve"> de que determine posteriormente su relevancia</w:t>
      </w:r>
      <w:r w:rsidR="00FF3AE9">
        <w:rPr>
          <w:rFonts w:cs="Times New Roman"/>
          <w:szCs w:val="20"/>
          <w:lang w:val="es-ES" w:eastAsia="es-CR"/>
        </w:rPr>
        <w:t xml:space="preserve">. </w:t>
      </w:r>
    </w:p>
    <w:p w:rsidR="004F3C91" w:rsidRDefault="004F3C91" w:rsidP="005735AE">
      <w:pPr>
        <w:pStyle w:val="ListParagraph"/>
        <w:spacing w:after="0"/>
        <w:rPr>
          <w:rFonts w:cs="Times New Roman"/>
          <w:szCs w:val="20"/>
          <w:lang w:val="es-ES" w:eastAsia="es-CR"/>
        </w:rPr>
      </w:pPr>
    </w:p>
    <w:p w:rsidR="00D95186" w:rsidRDefault="00FF3AE9" w:rsidP="005735AE">
      <w:pPr>
        <w:numPr>
          <w:ilvl w:val="0"/>
          <w:numId w:val="1"/>
        </w:numPr>
        <w:tabs>
          <w:tab w:val="num" w:pos="720"/>
        </w:tabs>
        <w:autoSpaceDE w:val="0"/>
        <w:autoSpaceDN w:val="0"/>
        <w:adjustRightInd w:val="0"/>
        <w:spacing w:after="0"/>
        <w:rPr>
          <w:bCs/>
          <w:iCs/>
          <w:szCs w:val="20"/>
          <w:lang w:val="es-CR"/>
        </w:rPr>
      </w:pPr>
      <w:r>
        <w:rPr>
          <w:rFonts w:cs="Times New Roman"/>
          <w:szCs w:val="20"/>
          <w:lang w:val="es-ES" w:eastAsia="es-CR"/>
        </w:rPr>
        <w:t>En relación con</w:t>
      </w:r>
      <w:r w:rsidR="00D95186">
        <w:rPr>
          <w:rFonts w:cs="Times New Roman"/>
          <w:szCs w:val="20"/>
          <w:lang w:val="es-ES" w:eastAsia="es-CR"/>
        </w:rPr>
        <w:t xml:space="preserve"> la impugnación de la declaración </w:t>
      </w:r>
      <w:r w:rsidR="008024E5">
        <w:rPr>
          <w:rFonts w:cs="Times New Roman"/>
          <w:szCs w:val="20"/>
          <w:lang w:val="es-ES" w:eastAsia="es-CR"/>
        </w:rPr>
        <w:t xml:space="preserve">acerca de </w:t>
      </w:r>
      <w:r w:rsidR="00D95186">
        <w:rPr>
          <w:szCs w:val="20"/>
          <w:lang w:val="es-AR"/>
        </w:rPr>
        <w:t>“</w:t>
      </w:r>
      <w:r w:rsidR="00D95186" w:rsidRPr="007E6583">
        <w:rPr>
          <w:i/>
          <w:szCs w:val="20"/>
          <w:lang w:val="es-AR"/>
        </w:rPr>
        <w:t xml:space="preserve">la ocultación de la verdad </w:t>
      </w:r>
      <w:r w:rsidR="00711D53">
        <w:rPr>
          <w:i/>
          <w:szCs w:val="20"/>
          <w:lang w:val="es-AR"/>
        </w:rPr>
        <w:t>sobre</w:t>
      </w:r>
      <w:r w:rsidR="002D30EC" w:rsidRPr="007E6583">
        <w:rPr>
          <w:i/>
          <w:szCs w:val="20"/>
          <w:lang w:val="es-AR"/>
        </w:rPr>
        <w:t xml:space="preserve"> </w:t>
      </w:r>
      <w:r w:rsidR="00D95186" w:rsidRPr="007E6583">
        <w:rPr>
          <w:i/>
          <w:szCs w:val="20"/>
          <w:lang w:val="es-AR"/>
        </w:rPr>
        <w:t>los crímenes practicados en la dictadura militar</w:t>
      </w:r>
      <w:r w:rsidR="00D95186">
        <w:rPr>
          <w:szCs w:val="20"/>
          <w:lang w:val="es-AR"/>
        </w:rPr>
        <w:t xml:space="preserve">” la Presidencia comprende que </w:t>
      </w:r>
      <w:r w:rsidR="002D30EC">
        <w:rPr>
          <w:szCs w:val="20"/>
          <w:lang w:val="es-AR"/>
        </w:rPr>
        <w:t xml:space="preserve">esta situación </w:t>
      </w:r>
      <w:r w:rsidR="00D95186">
        <w:rPr>
          <w:szCs w:val="20"/>
          <w:lang w:val="es-AR"/>
        </w:rPr>
        <w:t xml:space="preserve">se relaciona con </w:t>
      </w:r>
      <w:r>
        <w:rPr>
          <w:szCs w:val="20"/>
          <w:lang w:val="es-AR"/>
        </w:rPr>
        <w:t xml:space="preserve">el </w:t>
      </w:r>
      <w:r w:rsidR="0080085B">
        <w:rPr>
          <w:szCs w:val="20"/>
          <w:lang w:val="es-AR"/>
        </w:rPr>
        <w:t xml:space="preserve">presente </w:t>
      </w:r>
      <w:r>
        <w:rPr>
          <w:szCs w:val="20"/>
          <w:lang w:val="es-AR"/>
        </w:rPr>
        <w:t xml:space="preserve">caso en la medida </w:t>
      </w:r>
      <w:r w:rsidR="002D30EC">
        <w:rPr>
          <w:szCs w:val="20"/>
          <w:lang w:val="es-AR"/>
        </w:rPr>
        <w:t xml:space="preserve">en </w:t>
      </w:r>
      <w:r>
        <w:rPr>
          <w:szCs w:val="20"/>
          <w:lang w:val="es-AR"/>
        </w:rPr>
        <w:t>que</w:t>
      </w:r>
      <w:r w:rsidR="002D30EC">
        <w:rPr>
          <w:szCs w:val="20"/>
          <w:lang w:val="es-AR"/>
        </w:rPr>
        <w:t>,</w:t>
      </w:r>
      <w:r>
        <w:rPr>
          <w:szCs w:val="20"/>
          <w:lang w:val="es-AR"/>
        </w:rPr>
        <w:t xml:space="preserve"> tanto</w:t>
      </w:r>
      <w:r w:rsidR="00D95186">
        <w:rPr>
          <w:szCs w:val="20"/>
          <w:lang w:val="es-AR"/>
        </w:rPr>
        <w:t xml:space="preserve"> la Comisión </w:t>
      </w:r>
      <w:r>
        <w:rPr>
          <w:szCs w:val="20"/>
          <w:lang w:val="es-AR"/>
        </w:rPr>
        <w:t>como los representantes</w:t>
      </w:r>
      <w:r w:rsidR="002D30EC">
        <w:rPr>
          <w:szCs w:val="20"/>
          <w:lang w:val="es-AR"/>
        </w:rPr>
        <w:t>,</w:t>
      </w:r>
      <w:r w:rsidR="00D95186">
        <w:rPr>
          <w:szCs w:val="20"/>
          <w:lang w:val="es-AR"/>
        </w:rPr>
        <w:t xml:space="preserve"> </w:t>
      </w:r>
      <w:r w:rsidR="00AD705E">
        <w:rPr>
          <w:szCs w:val="20"/>
          <w:lang w:val="es-AR"/>
        </w:rPr>
        <w:t>alegan</w:t>
      </w:r>
      <w:r w:rsidR="00D95186">
        <w:rPr>
          <w:szCs w:val="20"/>
          <w:lang w:val="es-AR"/>
        </w:rPr>
        <w:t xml:space="preserve"> que el Estado </w:t>
      </w:r>
      <w:r w:rsidR="002D30EC">
        <w:rPr>
          <w:szCs w:val="20"/>
          <w:lang w:val="es-AR"/>
        </w:rPr>
        <w:t xml:space="preserve">ha </w:t>
      </w:r>
      <w:r w:rsidR="00D95186">
        <w:rPr>
          <w:szCs w:val="20"/>
          <w:lang w:val="es-AR"/>
        </w:rPr>
        <w:t>oculta</w:t>
      </w:r>
      <w:r w:rsidR="002D30EC">
        <w:rPr>
          <w:szCs w:val="20"/>
          <w:lang w:val="es-AR"/>
        </w:rPr>
        <w:t>do</w:t>
      </w:r>
      <w:r w:rsidR="00D95186">
        <w:rPr>
          <w:szCs w:val="20"/>
          <w:lang w:val="es-AR"/>
        </w:rPr>
        <w:t xml:space="preserve"> informaciones de los archivos militares, lo que constitu</w:t>
      </w:r>
      <w:r>
        <w:rPr>
          <w:szCs w:val="20"/>
          <w:lang w:val="es-AR"/>
        </w:rPr>
        <w:t>iría</w:t>
      </w:r>
      <w:r w:rsidR="00D95186">
        <w:rPr>
          <w:szCs w:val="20"/>
          <w:lang w:val="es-AR"/>
        </w:rPr>
        <w:t xml:space="preserve"> un obstáculo a la investigación. </w:t>
      </w:r>
      <w:r w:rsidR="00D757FF">
        <w:rPr>
          <w:szCs w:val="20"/>
          <w:lang w:val="es-AR"/>
        </w:rPr>
        <w:t>Finalmente</w:t>
      </w:r>
      <w:r w:rsidR="00D95186">
        <w:rPr>
          <w:szCs w:val="20"/>
          <w:lang w:val="es-AR"/>
        </w:rPr>
        <w:t xml:space="preserve">, </w:t>
      </w:r>
      <w:r w:rsidR="00D757FF">
        <w:rPr>
          <w:szCs w:val="20"/>
          <w:lang w:val="es-AR"/>
        </w:rPr>
        <w:t>respecto</w:t>
      </w:r>
      <w:r w:rsidR="00D95186">
        <w:rPr>
          <w:szCs w:val="20"/>
          <w:lang w:val="es-AR"/>
        </w:rPr>
        <w:t xml:space="preserve"> a la impugnación de la parte</w:t>
      </w:r>
      <w:r w:rsidR="005978D6">
        <w:rPr>
          <w:szCs w:val="20"/>
          <w:lang w:val="es-AR"/>
        </w:rPr>
        <w:t xml:space="preserve"> del peritaje relativa a</w:t>
      </w:r>
      <w:r w:rsidR="00711D53">
        <w:rPr>
          <w:szCs w:val="20"/>
          <w:lang w:val="es-AR"/>
        </w:rPr>
        <w:t xml:space="preserve"> las</w:t>
      </w:r>
      <w:r w:rsidR="00D95186">
        <w:rPr>
          <w:szCs w:val="20"/>
          <w:lang w:val="es-AR"/>
        </w:rPr>
        <w:t xml:space="preserve"> “</w:t>
      </w:r>
      <w:r w:rsidR="00D95186" w:rsidRPr="00982C3A">
        <w:rPr>
          <w:i/>
          <w:szCs w:val="20"/>
          <w:lang w:val="es-AR"/>
        </w:rPr>
        <w:t xml:space="preserve">recomendaciones para la </w:t>
      </w:r>
      <w:proofErr w:type="spellStart"/>
      <w:r w:rsidR="00711D53" w:rsidRPr="00484F1C">
        <w:rPr>
          <w:i/>
          <w:szCs w:val="20"/>
          <w:lang w:val="es-AR"/>
        </w:rPr>
        <w:t>efectivización</w:t>
      </w:r>
      <w:proofErr w:type="spellEnd"/>
      <w:r w:rsidR="00711D53" w:rsidRPr="00484F1C">
        <w:rPr>
          <w:i/>
          <w:szCs w:val="20"/>
          <w:lang w:val="es-AR"/>
        </w:rPr>
        <w:t xml:space="preserve"> </w:t>
      </w:r>
      <w:r w:rsidR="00D95186" w:rsidRPr="00982C3A">
        <w:rPr>
          <w:i/>
          <w:szCs w:val="20"/>
          <w:lang w:val="es-AR"/>
        </w:rPr>
        <w:t>del derecho a la justicia y verdad</w:t>
      </w:r>
      <w:r w:rsidR="00D95186">
        <w:rPr>
          <w:szCs w:val="20"/>
          <w:lang w:val="es-AR"/>
        </w:rPr>
        <w:t xml:space="preserve">”, la Presidencia considera que las recomendaciones </w:t>
      </w:r>
      <w:r w:rsidR="003A1C1B">
        <w:rPr>
          <w:szCs w:val="20"/>
          <w:lang w:val="es-AR"/>
        </w:rPr>
        <w:t xml:space="preserve">que pueden emitirse </w:t>
      </w:r>
      <w:r w:rsidR="00D95186">
        <w:rPr>
          <w:szCs w:val="20"/>
          <w:lang w:val="es-AR"/>
        </w:rPr>
        <w:t>son de carácter técnico</w:t>
      </w:r>
      <w:r w:rsidR="00F87CDD">
        <w:rPr>
          <w:szCs w:val="20"/>
          <w:lang w:val="es-AR"/>
        </w:rPr>
        <w:t xml:space="preserve"> especializado</w:t>
      </w:r>
      <w:r w:rsidR="00D95186">
        <w:rPr>
          <w:szCs w:val="20"/>
          <w:lang w:val="es-AR"/>
        </w:rPr>
        <w:t xml:space="preserve"> </w:t>
      </w:r>
      <w:r>
        <w:rPr>
          <w:szCs w:val="20"/>
          <w:lang w:val="es-AR"/>
        </w:rPr>
        <w:t xml:space="preserve">y </w:t>
      </w:r>
      <w:r w:rsidR="001D18BD">
        <w:rPr>
          <w:szCs w:val="20"/>
          <w:lang w:val="es-AR"/>
        </w:rPr>
        <w:t xml:space="preserve">en ese sentido </w:t>
      </w:r>
      <w:r>
        <w:rPr>
          <w:szCs w:val="20"/>
          <w:lang w:val="es-AR"/>
        </w:rPr>
        <w:t xml:space="preserve">no exceden </w:t>
      </w:r>
      <w:r w:rsidR="001D18BD">
        <w:rPr>
          <w:szCs w:val="20"/>
          <w:lang w:val="es-AR"/>
        </w:rPr>
        <w:t>la naturaleza</w:t>
      </w:r>
      <w:r>
        <w:rPr>
          <w:szCs w:val="20"/>
          <w:lang w:val="es-AR"/>
        </w:rPr>
        <w:t xml:space="preserve"> de </w:t>
      </w:r>
      <w:r w:rsidR="001D18BD">
        <w:rPr>
          <w:szCs w:val="20"/>
          <w:lang w:val="es-AR"/>
        </w:rPr>
        <w:t>un</w:t>
      </w:r>
      <w:r>
        <w:rPr>
          <w:szCs w:val="20"/>
          <w:lang w:val="es-AR"/>
        </w:rPr>
        <w:t xml:space="preserve"> peritaje</w:t>
      </w:r>
      <w:r w:rsidR="00A15AB0">
        <w:rPr>
          <w:szCs w:val="20"/>
          <w:lang w:val="es-AR"/>
        </w:rPr>
        <w:t>.</w:t>
      </w:r>
    </w:p>
    <w:p w:rsidR="00000F6A" w:rsidRPr="00000F6A" w:rsidRDefault="00000F6A" w:rsidP="005735AE">
      <w:pPr>
        <w:autoSpaceDE w:val="0"/>
        <w:autoSpaceDN w:val="0"/>
        <w:adjustRightInd w:val="0"/>
        <w:spacing w:after="0"/>
        <w:rPr>
          <w:bCs/>
          <w:iCs/>
          <w:szCs w:val="20"/>
          <w:lang w:val="es-CR"/>
        </w:rPr>
      </w:pPr>
    </w:p>
    <w:p w:rsidR="00FD0943" w:rsidRPr="00E64BB3" w:rsidRDefault="00FD0943" w:rsidP="005735AE">
      <w:pPr>
        <w:numPr>
          <w:ilvl w:val="0"/>
          <w:numId w:val="1"/>
        </w:numPr>
        <w:tabs>
          <w:tab w:val="num" w:pos="720"/>
        </w:tabs>
        <w:autoSpaceDE w:val="0"/>
        <w:autoSpaceDN w:val="0"/>
        <w:adjustRightInd w:val="0"/>
        <w:spacing w:after="0"/>
        <w:rPr>
          <w:bCs/>
          <w:iCs/>
          <w:szCs w:val="20"/>
          <w:lang w:val="es-CR"/>
        </w:rPr>
      </w:pPr>
      <w:r>
        <w:rPr>
          <w:bCs/>
          <w:lang w:val="es-AR"/>
        </w:rPr>
        <w:lastRenderedPageBreak/>
        <w:t>Por lo tanto</w:t>
      </w:r>
      <w:r w:rsidRPr="00E64BB3">
        <w:rPr>
          <w:bCs/>
          <w:lang w:val="es-AR"/>
        </w:rPr>
        <w:t xml:space="preserve">, esta Presidencia resuelve admitir </w:t>
      </w:r>
      <w:r>
        <w:rPr>
          <w:bCs/>
          <w:lang w:val="es-AR"/>
        </w:rPr>
        <w:t>el dictamen pericial ofrecido por los representantes.</w:t>
      </w:r>
      <w:r w:rsidR="00B11378">
        <w:rPr>
          <w:bCs/>
          <w:lang w:val="es-AR"/>
        </w:rPr>
        <w:t xml:space="preserve"> </w:t>
      </w:r>
      <w:r w:rsidRPr="00711324">
        <w:rPr>
          <w:rFonts w:cs="Verdana"/>
          <w:lang w:val="es-CR" w:bidi="en-US"/>
        </w:rPr>
        <w:t xml:space="preserve">El objeto y su modalidad </w:t>
      </w:r>
      <w:r>
        <w:rPr>
          <w:rFonts w:cs="Verdana"/>
          <w:lang w:val="es-CR" w:bidi="en-US"/>
        </w:rPr>
        <w:t>será determinado</w:t>
      </w:r>
      <w:r w:rsidRPr="00711324">
        <w:rPr>
          <w:rFonts w:cs="Verdana"/>
          <w:lang w:val="es-CR" w:bidi="en-US"/>
        </w:rPr>
        <w:t xml:space="preserve"> en la parte resolutiva de la presente Resolución (</w:t>
      </w:r>
      <w:r w:rsidRPr="00711324">
        <w:rPr>
          <w:rFonts w:cs="Verdana"/>
          <w:i/>
          <w:iCs/>
          <w:lang w:val="es-CR" w:bidi="en-US"/>
        </w:rPr>
        <w:t>infra</w:t>
      </w:r>
      <w:r w:rsidRPr="00711324">
        <w:rPr>
          <w:rFonts w:cs="Verdana"/>
          <w:lang w:val="es-CR" w:bidi="en-US"/>
        </w:rPr>
        <w:t xml:space="preserve"> punto resolutivo </w:t>
      </w:r>
      <w:r w:rsidR="00737BDA">
        <w:rPr>
          <w:rFonts w:cs="Verdana"/>
          <w:lang w:val="es-CR" w:bidi="en-US"/>
        </w:rPr>
        <w:t>1</w:t>
      </w:r>
      <w:r w:rsidRPr="00711324">
        <w:rPr>
          <w:rFonts w:cs="Verdana"/>
          <w:lang w:val="es-CR" w:bidi="en-US"/>
        </w:rPr>
        <w:t>).</w:t>
      </w:r>
      <w:r w:rsidR="00732E82">
        <w:rPr>
          <w:rFonts w:cs="Verdana"/>
          <w:lang w:val="es-CR" w:bidi="en-US"/>
        </w:rPr>
        <w:t xml:space="preserve"> </w:t>
      </w:r>
    </w:p>
    <w:p w:rsidR="00FD0943" w:rsidRPr="00054303" w:rsidRDefault="00FD0943" w:rsidP="005735AE">
      <w:pPr>
        <w:tabs>
          <w:tab w:val="left" w:pos="720"/>
        </w:tabs>
        <w:autoSpaceDE w:val="0"/>
        <w:autoSpaceDN w:val="0"/>
        <w:adjustRightInd w:val="0"/>
        <w:spacing w:after="0"/>
        <w:rPr>
          <w:rFonts w:cs="Arial"/>
          <w:szCs w:val="20"/>
          <w:highlight w:val="yellow"/>
          <w:lang w:val="es-CR"/>
        </w:rPr>
      </w:pPr>
    </w:p>
    <w:p w:rsidR="00B11378" w:rsidRPr="002B670F" w:rsidRDefault="00737BDA" w:rsidP="005735AE">
      <w:pPr>
        <w:pStyle w:val="BodyTextIndent2"/>
        <w:rPr>
          <w:b w:val="0"/>
          <w:i/>
          <w:sz w:val="16"/>
          <w:szCs w:val="16"/>
          <w:lang w:eastAsia="es-CR"/>
        </w:rPr>
      </w:pPr>
      <w:r>
        <w:rPr>
          <w:b w:val="0"/>
          <w:i/>
        </w:rPr>
        <w:t>E</w:t>
      </w:r>
      <w:r w:rsidR="00B11378" w:rsidRPr="002B670F">
        <w:rPr>
          <w:b w:val="0"/>
          <w:i/>
        </w:rPr>
        <w:t xml:space="preserve">.2 </w:t>
      </w:r>
      <w:r w:rsidR="008E2AC1" w:rsidRPr="002B670F">
        <w:rPr>
          <w:b w:val="0"/>
          <w:i/>
        </w:rPr>
        <w:t xml:space="preserve">Observaciones </w:t>
      </w:r>
      <w:r w:rsidR="00B11378" w:rsidRPr="002B670F">
        <w:rPr>
          <w:b w:val="0"/>
          <w:i/>
        </w:rPr>
        <w:t xml:space="preserve">del Estado </w:t>
      </w:r>
      <w:r w:rsidR="00202144" w:rsidRPr="002B670F">
        <w:rPr>
          <w:b w:val="0"/>
          <w:i/>
        </w:rPr>
        <w:t>al</w:t>
      </w:r>
      <w:r w:rsidR="00B11378" w:rsidRPr="002B670F">
        <w:rPr>
          <w:b w:val="0"/>
          <w:i/>
        </w:rPr>
        <w:t xml:space="preserve"> dictamen pericial de </w:t>
      </w:r>
      <w:r w:rsidR="00A15AB0">
        <w:rPr>
          <w:b w:val="0"/>
          <w:i/>
        </w:rPr>
        <w:t xml:space="preserve">Ana C. </w:t>
      </w:r>
      <w:proofErr w:type="spellStart"/>
      <w:r w:rsidR="00A15AB0">
        <w:rPr>
          <w:b w:val="0"/>
          <w:i/>
        </w:rPr>
        <w:t>Deutsch</w:t>
      </w:r>
      <w:proofErr w:type="spellEnd"/>
    </w:p>
    <w:p w:rsidR="00B11378" w:rsidRDefault="00B11378" w:rsidP="005735AE">
      <w:pPr>
        <w:tabs>
          <w:tab w:val="left" w:pos="720"/>
        </w:tabs>
        <w:autoSpaceDE w:val="0"/>
        <w:autoSpaceDN w:val="0"/>
        <w:adjustRightInd w:val="0"/>
        <w:spacing w:after="0"/>
        <w:rPr>
          <w:rFonts w:cs="Arial"/>
          <w:szCs w:val="20"/>
          <w:highlight w:val="yellow"/>
          <w:lang w:val="es-CR"/>
        </w:rPr>
      </w:pPr>
    </w:p>
    <w:p w:rsidR="00B11378" w:rsidRPr="00A42BB3" w:rsidRDefault="00B11378" w:rsidP="005735AE">
      <w:pPr>
        <w:numPr>
          <w:ilvl w:val="0"/>
          <w:numId w:val="1"/>
        </w:numPr>
        <w:tabs>
          <w:tab w:val="num" w:pos="720"/>
        </w:tabs>
        <w:autoSpaceDE w:val="0"/>
        <w:autoSpaceDN w:val="0"/>
        <w:adjustRightInd w:val="0"/>
        <w:spacing w:after="0"/>
        <w:rPr>
          <w:szCs w:val="20"/>
          <w:lang w:val="es-AR"/>
        </w:rPr>
      </w:pPr>
      <w:r w:rsidRPr="00B11378">
        <w:rPr>
          <w:lang w:val="es-AR"/>
        </w:rPr>
        <w:t>En su escrito de solicitudes y argumentos los representantes ofrecieron la declaración pericial de</w:t>
      </w:r>
      <w:r w:rsidR="00A15AB0">
        <w:rPr>
          <w:lang w:val="es-AR"/>
        </w:rPr>
        <w:t xml:space="preserve"> </w:t>
      </w:r>
      <w:r w:rsidRPr="00B11378">
        <w:rPr>
          <w:lang w:val="es-AR"/>
        </w:rPr>
        <w:t>l</w:t>
      </w:r>
      <w:r w:rsidR="00A15AB0">
        <w:rPr>
          <w:lang w:val="es-AR"/>
        </w:rPr>
        <w:t>a</w:t>
      </w:r>
      <w:r w:rsidRPr="00B11378">
        <w:rPr>
          <w:lang w:val="es-AR"/>
        </w:rPr>
        <w:t xml:space="preserve"> señor</w:t>
      </w:r>
      <w:r w:rsidR="00A15AB0">
        <w:rPr>
          <w:lang w:val="es-AR"/>
        </w:rPr>
        <w:t>a</w:t>
      </w:r>
      <w:r w:rsidRPr="00B11378">
        <w:rPr>
          <w:lang w:val="es-AR"/>
        </w:rPr>
        <w:t xml:space="preserve"> </w:t>
      </w:r>
      <w:r w:rsidR="00A15AB0">
        <w:rPr>
          <w:lang w:val="es-AR"/>
        </w:rPr>
        <w:t xml:space="preserve">Ana C. </w:t>
      </w:r>
      <w:proofErr w:type="spellStart"/>
      <w:r w:rsidR="00A15AB0">
        <w:rPr>
          <w:lang w:val="es-AR"/>
        </w:rPr>
        <w:t>Deutsch</w:t>
      </w:r>
      <w:proofErr w:type="spellEnd"/>
      <w:r w:rsidRPr="00A42BB3">
        <w:rPr>
          <w:szCs w:val="20"/>
          <w:lang w:val="es-AR"/>
        </w:rPr>
        <w:t xml:space="preserve">, sobre </w:t>
      </w:r>
      <w:r w:rsidR="00A15AB0">
        <w:rPr>
          <w:szCs w:val="20"/>
          <w:lang w:val="es-AR"/>
        </w:rPr>
        <w:t xml:space="preserve">los efectos </w:t>
      </w:r>
      <w:r w:rsidR="008B1854">
        <w:rPr>
          <w:szCs w:val="20"/>
          <w:lang w:val="es-AR"/>
        </w:rPr>
        <w:t>que tuvo</w:t>
      </w:r>
      <w:r w:rsidR="00A15AB0">
        <w:rPr>
          <w:szCs w:val="20"/>
          <w:lang w:val="es-AR"/>
        </w:rPr>
        <w:t xml:space="preserve"> la detención, tortura y muerte de Vladimir </w:t>
      </w:r>
      <w:proofErr w:type="spellStart"/>
      <w:r w:rsidR="00A15AB0">
        <w:rPr>
          <w:szCs w:val="20"/>
          <w:lang w:val="es-AR"/>
        </w:rPr>
        <w:t>Herzog</w:t>
      </w:r>
      <w:proofErr w:type="spellEnd"/>
      <w:r w:rsidR="00A15AB0">
        <w:rPr>
          <w:szCs w:val="20"/>
          <w:lang w:val="es-AR"/>
        </w:rPr>
        <w:t xml:space="preserve"> en </w:t>
      </w:r>
      <w:r w:rsidR="008B1854">
        <w:rPr>
          <w:szCs w:val="20"/>
          <w:lang w:val="es-AR"/>
        </w:rPr>
        <w:t>sus</w:t>
      </w:r>
      <w:r w:rsidR="00A15AB0">
        <w:rPr>
          <w:szCs w:val="20"/>
          <w:lang w:val="es-AR"/>
        </w:rPr>
        <w:t xml:space="preserve"> familiares, así como la denegación de justicia y verdad, especialmente </w:t>
      </w:r>
      <w:r w:rsidR="00E40234">
        <w:rPr>
          <w:szCs w:val="20"/>
          <w:lang w:val="es-AR"/>
        </w:rPr>
        <w:t>respecto a la reiteración</w:t>
      </w:r>
      <w:r w:rsidR="00A15AB0">
        <w:rPr>
          <w:szCs w:val="20"/>
          <w:lang w:val="es-AR"/>
        </w:rPr>
        <w:t xml:space="preserve"> de </w:t>
      </w:r>
      <w:r w:rsidR="00A72358">
        <w:rPr>
          <w:szCs w:val="20"/>
          <w:lang w:val="es-AR"/>
        </w:rPr>
        <w:t>la versión del falso suicidio. La perita t</w:t>
      </w:r>
      <w:r w:rsidR="00A15AB0">
        <w:rPr>
          <w:szCs w:val="20"/>
          <w:lang w:val="es-AR"/>
        </w:rPr>
        <w:t xml:space="preserve">ambién </w:t>
      </w:r>
      <w:r w:rsidR="00A72358">
        <w:rPr>
          <w:szCs w:val="20"/>
          <w:lang w:val="es-AR"/>
        </w:rPr>
        <w:t xml:space="preserve">declararía </w:t>
      </w:r>
      <w:r w:rsidR="00A15AB0">
        <w:rPr>
          <w:szCs w:val="20"/>
          <w:lang w:val="es-AR"/>
        </w:rPr>
        <w:t xml:space="preserve">respecto </w:t>
      </w:r>
      <w:r w:rsidR="00A72358">
        <w:rPr>
          <w:szCs w:val="20"/>
          <w:lang w:val="es-AR"/>
        </w:rPr>
        <w:t xml:space="preserve">de </w:t>
      </w:r>
      <w:r w:rsidR="00A15AB0">
        <w:rPr>
          <w:szCs w:val="20"/>
          <w:lang w:val="es-AR"/>
        </w:rPr>
        <w:t>otras medidas que el Estado debe adoptar para reparar las violaciones</w:t>
      </w:r>
      <w:r w:rsidR="00A72358">
        <w:rPr>
          <w:szCs w:val="20"/>
          <w:lang w:val="es-AR"/>
        </w:rPr>
        <w:t>,</w:t>
      </w:r>
      <w:r w:rsidR="00A15AB0">
        <w:rPr>
          <w:szCs w:val="20"/>
          <w:lang w:val="es-AR"/>
        </w:rPr>
        <w:t xml:space="preserve"> y otros aspectos relacionados a este proceso. </w:t>
      </w:r>
    </w:p>
    <w:p w:rsidR="00B11378" w:rsidRPr="00A42BB3" w:rsidRDefault="00B11378" w:rsidP="005735AE">
      <w:pPr>
        <w:autoSpaceDE w:val="0"/>
        <w:autoSpaceDN w:val="0"/>
        <w:adjustRightInd w:val="0"/>
        <w:spacing w:after="0"/>
        <w:rPr>
          <w:szCs w:val="20"/>
          <w:lang w:val="es-AR"/>
        </w:rPr>
      </w:pPr>
    </w:p>
    <w:p w:rsidR="00B11378" w:rsidRPr="00A42BB3" w:rsidRDefault="00B11378" w:rsidP="005735AE">
      <w:pPr>
        <w:numPr>
          <w:ilvl w:val="0"/>
          <w:numId w:val="1"/>
        </w:numPr>
        <w:tabs>
          <w:tab w:val="num" w:pos="720"/>
        </w:tabs>
        <w:autoSpaceDE w:val="0"/>
        <w:autoSpaceDN w:val="0"/>
        <w:adjustRightInd w:val="0"/>
        <w:spacing w:after="0"/>
        <w:rPr>
          <w:szCs w:val="20"/>
          <w:lang w:val="es-AR"/>
        </w:rPr>
      </w:pPr>
      <w:r w:rsidRPr="00A42BB3">
        <w:rPr>
          <w:szCs w:val="20"/>
          <w:lang w:val="es-AR"/>
        </w:rPr>
        <w:t xml:space="preserve">Al respecto, el Estado impugnó </w:t>
      </w:r>
      <w:r w:rsidR="00A15AB0">
        <w:rPr>
          <w:szCs w:val="20"/>
          <w:lang w:val="es-AR"/>
        </w:rPr>
        <w:t>la parte final de la declaración, que consiste en “</w:t>
      </w:r>
      <w:r w:rsidR="00A15AB0" w:rsidRPr="00134E11">
        <w:rPr>
          <w:i/>
          <w:szCs w:val="20"/>
          <w:lang w:val="es-AR"/>
        </w:rPr>
        <w:t>otros aspectos relacionados con este proceso</w:t>
      </w:r>
      <w:r w:rsidR="00A15AB0">
        <w:rPr>
          <w:szCs w:val="20"/>
          <w:lang w:val="es-AR"/>
        </w:rPr>
        <w:t>” por considerar que la indefinición resulta una indeterminación del conten</w:t>
      </w:r>
      <w:r w:rsidR="009577A8">
        <w:rPr>
          <w:szCs w:val="20"/>
          <w:lang w:val="es-AR"/>
        </w:rPr>
        <w:t>ido del peritaje, lo que viola</w:t>
      </w:r>
      <w:r w:rsidR="0030281E">
        <w:rPr>
          <w:szCs w:val="20"/>
          <w:lang w:val="es-AR"/>
        </w:rPr>
        <w:t>ría</w:t>
      </w:r>
      <w:r w:rsidR="009577A8">
        <w:rPr>
          <w:szCs w:val="20"/>
          <w:lang w:val="es-AR"/>
        </w:rPr>
        <w:t xml:space="preserve"> e</w:t>
      </w:r>
      <w:r w:rsidR="00A15AB0">
        <w:rPr>
          <w:szCs w:val="20"/>
          <w:lang w:val="es-AR"/>
        </w:rPr>
        <w:t xml:space="preserve">l debido proceso, imposibilitando la preparación de la defensa del Estado respecto </w:t>
      </w:r>
      <w:r w:rsidR="009577A8">
        <w:rPr>
          <w:szCs w:val="20"/>
          <w:lang w:val="es-AR"/>
        </w:rPr>
        <w:t xml:space="preserve">de </w:t>
      </w:r>
      <w:r w:rsidR="00A15AB0">
        <w:rPr>
          <w:szCs w:val="20"/>
          <w:lang w:val="es-AR"/>
        </w:rPr>
        <w:t xml:space="preserve">ese punto. </w:t>
      </w:r>
      <w:r w:rsidR="00EB7F4C">
        <w:rPr>
          <w:szCs w:val="20"/>
          <w:lang w:val="es-AR"/>
        </w:rPr>
        <w:t>Además, el Estado impugnó la declaración “</w:t>
      </w:r>
      <w:r w:rsidR="00EB7F4C" w:rsidRPr="001063FE">
        <w:rPr>
          <w:i/>
          <w:szCs w:val="20"/>
          <w:lang w:val="es-AR"/>
        </w:rPr>
        <w:t>así como otras medidas que el Estado debe adoptar para reparar las violaciones</w:t>
      </w:r>
      <w:r w:rsidR="00290404">
        <w:rPr>
          <w:i/>
          <w:szCs w:val="20"/>
          <w:lang w:val="es-AR"/>
        </w:rPr>
        <w:t xml:space="preserve"> cometidas</w:t>
      </w:r>
      <w:r w:rsidR="00DB7A4F">
        <w:rPr>
          <w:szCs w:val="20"/>
          <w:lang w:val="es-AR"/>
        </w:rPr>
        <w:t>”, alegando que dich</w:t>
      </w:r>
      <w:r w:rsidR="00EB7F4C">
        <w:rPr>
          <w:szCs w:val="20"/>
          <w:lang w:val="es-AR"/>
        </w:rPr>
        <w:t>a recomendación ten</w:t>
      </w:r>
      <w:r w:rsidR="0041131E">
        <w:rPr>
          <w:szCs w:val="20"/>
          <w:lang w:val="es-AR"/>
        </w:rPr>
        <w:t>dr</w:t>
      </w:r>
      <w:r w:rsidR="00EB7F4C">
        <w:rPr>
          <w:szCs w:val="20"/>
          <w:lang w:val="es-AR"/>
        </w:rPr>
        <w:t xml:space="preserve">ía la naturaleza de </w:t>
      </w:r>
      <w:r w:rsidR="0041131E">
        <w:rPr>
          <w:szCs w:val="20"/>
          <w:lang w:val="es-AR"/>
        </w:rPr>
        <w:t xml:space="preserve">un </w:t>
      </w:r>
      <w:r w:rsidR="00EB7F4C">
        <w:rPr>
          <w:szCs w:val="20"/>
          <w:lang w:val="es-AR"/>
        </w:rPr>
        <w:t>pedido.</w:t>
      </w:r>
    </w:p>
    <w:p w:rsidR="00941D29" w:rsidRPr="00EB7F4C" w:rsidRDefault="00941D29" w:rsidP="005735AE">
      <w:pPr>
        <w:spacing w:after="0"/>
        <w:rPr>
          <w:szCs w:val="20"/>
          <w:lang w:val="es-AR"/>
        </w:rPr>
      </w:pPr>
    </w:p>
    <w:p w:rsidR="00BE56CA" w:rsidRDefault="00054303" w:rsidP="005735AE">
      <w:pPr>
        <w:numPr>
          <w:ilvl w:val="0"/>
          <w:numId w:val="1"/>
        </w:numPr>
        <w:tabs>
          <w:tab w:val="num" w:pos="720"/>
        </w:tabs>
        <w:autoSpaceDE w:val="0"/>
        <w:autoSpaceDN w:val="0"/>
        <w:adjustRightInd w:val="0"/>
        <w:spacing w:after="0"/>
        <w:rPr>
          <w:szCs w:val="20"/>
          <w:lang w:val="es-AR"/>
        </w:rPr>
      </w:pPr>
      <w:r>
        <w:rPr>
          <w:szCs w:val="20"/>
          <w:lang w:val="es-AR"/>
        </w:rPr>
        <w:t>L</w:t>
      </w:r>
      <w:r w:rsidR="00941D29" w:rsidRPr="00651D65">
        <w:rPr>
          <w:szCs w:val="20"/>
          <w:lang w:val="es-AR"/>
        </w:rPr>
        <w:t xml:space="preserve">a Presidencia </w:t>
      </w:r>
      <w:r w:rsidR="00BE56CA">
        <w:rPr>
          <w:szCs w:val="20"/>
          <w:lang w:val="es-AR"/>
        </w:rPr>
        <w:t>coincide con el Estado en el sentido de</w:t>
      </w:r>
      <w:r w:rsidR="00941D29" w:rsidRPr="00651D65">
        <w:rPr>
          <w:szCs w:val="20"/>
          <w:lang w:val="es-AR"/>
        </w:rPr>
        <w:t xml:space="preserve"> que </w:t>
      </w:r>
      <w:r w:rsidR="00EB7F4C">
        <w:rPr>
          <w:szCs w:val="20"/>
          <w:lang w:val="es-AR"/>
        </w:rPr>
        <w:t>la expresión “</w:t>
      </w:r>
      <w:r w:rsidR="00EB7F4C" w:rsidRPr="009D7A49">
        <w:rPr>
          <w:i/>
          <w:szCs w:val="20"/>
          <w:lang w:val="es-AR"/>
        </w:rPr>
        <w:t>otros aspectos relacionados con este proceso</w:t>
      </w:r>
      <w:r w:rsidR="009D7A49">
        <w:rPr>
          <w:szCs w:val="20"/>
          <w:lang w:val="es-AR"/>
        </w:rPr>
        <w:t xml:space="preserve">” </w:t>
      </w:r>
      <w:r w:rsidR="00BE56CA">
        <w:rPr>
          <w:szCs w:val="20"/>
          <w:lang w:val="es-AR"/>
        </w:rPr>
        <w:t xml:space="preserve">puede ocasionar una falta de determinación del contenido específico del peritaje. Por </w:t>
      </w:r>
      <w:r w:rsidR="009D7A49">
        <w:rPr>
          <w:szCs w:val="20"/>
          <w:lang w:val="es-AR"/>
        </w:rPr>
        <w:t xml:space="preserve">lo </w:t>
      </w:r>
      <w:r w:rsidR="00BE56CA">
        <w:rPr>
          <w:szCs w:val="20"/>
          <w:lang w:val="es-AR"/>
        </w:rPr>
        <w:t xml:space="preserve">tanto, esta observación del Estado será tomada en cuenta al momento de definir </w:t>
      </w:r>
      <w:r w:rsidR="00BE56CA">
        <w:rPr>
          <w:rFonts w:cs="Verdana"/>
          <w:lang w:val="es-CR" w:bidi="en-US"/>
        </w:rPr>
        <w:t>e</w:t>
      </w:r>
      <w:r w:rsidR="00BE56CA" w:rsidRPr="00711324">
        <w:rPr>
          <w:rFonts w:cs="Verdana"/>
          <w:lang w:val="es-CR" w:bidi="en-US"/>
        </w:rPr>
        <w:t xml:space="preserve">l objeto y </w:t>
      </w:r>
      <w:r w:rsidR="00BE56CA">
        <w:rPr>
          <w:rFonts w:cs="Verdana"/>
          <w:lang w:val="es-CR" w:bidi="en-US"/>
        </w:rPr>
        <w:t>la</w:t>
      </w:r>
      <w:r w:rsidR="00BE56CA" w:rsidRPr="00711324">
        <w:rPr>
          <w:rFonts w:cs="Verdana"/>
          <w:lang w:val="es-CR" w:bidi="en-US"/>
        </w:rPr>
        <w:t xml:space="preserve"> modalidad </w:t>
      </w:r>
      <w:r w:rsidR="00BE56CA">
        <w:rPr>
          <w:rFonts w:cs="Verdana"/>
          <w:lang w:val="es-CR" w:bidi="en-US"/>
        </w:rPr>
        <w:t>de la declaración</w:t>
      </w:r>
      <w:r w:rsidR="00BE56CA" w:rsidRPr="00711324">
        <w:rPr>
          <w:rFonts w:cs="Verdana"/>
          <w:lang w:val="es-CR" w:bidi="en-US"/>
        </w:rPr>
        <w:t xml:space="preserve"> (</w:t>
      </w:r>
      <w:r w:rsidR="00BE56CA" w:rsidRPr="00711324">
        <w:rPr>
          <w:rFonts w:cs="Verdana"/>
          <w:i/>
          <w:iCs/>
          <w:lang w:val="es-CR" w:bidi="en-US"/>
        </w:rPr>
        <w:t>infra</w:t>
      </w:r>
      <w:r w:rsidR="00BE56CA" w:rsidRPr="00711324">
        <w:rPr>
          <w:rFonts w:cs="Verdana"/>
          <w:lang w:val="es-CR" w:bidi="en-US"/>
        </w:rPr>
        <w:t xml:space="preserve"> punto resolutivo </w:t>
      </w:r>
      <w:r w:rsidR="00737BDA">
        <w:rPr>
          <w:rFonts w:cs="Verdana"/>
          <w:lang w:val="es-CR" w:bidi="en-US"/>
        </w:rPr>
        <w:t>4</w:t>
      </w:r>
      <w:r w:rsidR="00BE56CA" w:rsidRPr="00711324">
        <w:rPr>
          <w:rFonts w:cs="Verdana"/>
          <w:lang w:val="es-CR" w:bidi="en-US"/>
        </w:rPr>
        <w:t>)</w:t>
      </w:r>
      <w:r w:rsidR="00BE56CA">
        <w:rPr>
          <w:rFonts w:cs="Verdana"/>
          <w:lang w:val="es-CR" w:bidi="en-US"/>
        </w:rPr>
        <w:t>.</w:t>
      </w:r>
    </w:p>
    <w:p w:rsidR="009D7A49" w:rsidRPr="009D7A49" w:rsidRDefault="009D7A49" w:rsidP="005735AE">
      <w:pPr>
        <w:autoSpaceDE w:val="0"/>
        <w:autoSpaceDN w:val="0"/>
        <w:adjustRightInd w:val="0"/>
        <w:spacing w:after="0"/>
        <w:rPr>
          <w:szCs w:val="20"/>
          <w:lang w:val="es-AR"/>
        </w:rPr>
      </w:pPr>
    </w:p>
    <w:p w:rsidR="00941D29" w:rsidRDefault="00EB7F4C" w:rsidP="005735AE">
      <w:pPr>
        <w:numPr>
          <w:ilvl w:val="0"/>
          <w:numId w:val="1"/>
        </w:numPr>
        <w:tabs>
          <w:tab w:val="num" w:pos="720"/>
        </w:tabs>
        <w:autoSpaceDE w:val="0"/>
        <w:autoSpaceDN w:val="0"/>
        <w:adjustRightInd w:val="0"/>
        <w:spacing w:after="0"/>
        <w:rPr>
          <w:szCs w:val="20"/>
          <w:lang w:val="es-AR"/>
        </w:rPr>
      </w:pPr>
      <w:r>
        <w:rPr>
          <w:szCs w:val="20"/>
          <w:lang w:val="es-AR"/>
        </w:rPr>
        <w:t xml:space="preserve">Respecto </w:t>
      </w:r>
      <w:r w:rsidR="009D7A49">
        <w:rPr>
          <w:szCs w:val="20"/>
          <w:lang w:val="es-AR"/>
        </w:rPr>
        <w:t xml:space="preserve">de </w:t>
      </w:r>
      <w:r>
        <w:rPr>
          <w:szCs w:val="20"/>
          <w:lang w:val="es-AR"/>
        </w:rPr>
        <w:t xml:space="preserve">la impugnación </w:t>
      </w:r>
      <w:r w:rsidR="00E20F60">
        <w:rPr>
          <w:szCs w:val="20"/>
          <w:lang w:val="es-AR"/>
        </w:rPr>
        <w:t>relativa a “</w:t>
      </w:r>
      <w:r w:rsidR="00E20F60" w:rsidRPr="009D7A49">
        <w:rPr>
          <w:i/>
          <w:szCs w:val="20"/>
          <w:lang w:val="es-AR"/>
        </w:rPr>
        <w:t>otras medidas que el Estado debe adoptar para reparar las violaciones</w:t>
      </w:r>
      <w:r w:rsidR="00290404">
        <w:rPr>
          <w:i/>
          <w:szCs w:val="20"/>
          <w:lang w:val="es-AR"/>
        </w:rPr>
        <w:t xml:space="preserve"> cometidas</w:t>
      </w:r>
      <w:r w:rsidR="00E20F60">
        <w:rPr>
          <w:szCs w:val="20"/>
          <w:lang w:val="es-AR"/>
        </w:rPr>
        <w:t>”</w:t>
      </w:r>
      <w:r>
        <w:rPr>
          <w:szCs w:val="20"/>
          <w:lang w:val="es-AR"/>
        </w:rPr>
        <w:t xml:space="preserve">, la Presidencia considera </w:t>
      </w:r>
      <w:r w:rsidR="009D7A49">
        <w:rPr>
          <w:szCs w:val="20"/>
          <w:lang w:val="es-AR"/>
        </w:rPr>
        <w:t xml:space="preserve">que la opinión técnica sobre este punto puede resultar </w:t>
      </w:r>
      <w:r>
        <w:rPr>
          <w:szCs w:val="20"/>
          <w:lang w:val="es-AR"/>
        </w:rPr>
        <w:t>relevante y útil</w:t>
      </w:r>
      <w:r w:rsidR="00E20F60">
        <w:rPr>
          <w:szCs w:val="20"/>
          <w:lang w:val="es-AR"/>
        </w:rPr>
        <w:t xml:space="preserve">, y estima que la misma no </w:t>
      </w:r>
      <w:r w:rsidR="0067119C">
        <w:rPr>
          <w:szCs w:val="20"/>
          <w:lang w:val="es-AR"/>
        </w:rPr>
        <w:t>es excesiva</w:t>
      </w:r>
      <w:r>
        <w:rPr>
          <w:szCs w:val="20"/>
          <w:lang w:val="es-AR"/>
        </w:rPr>
        <w:t xml:space="preserve">. </w:t>
      </w:r>
    </w:p>
    <w:p w:rsidR="00941D29" w:rsidRPr="00E20F60" w:rsidRDefault="00941D29" w:rsidP="005735AE">
      <w:pPr>
        <w:spacing w:after="0"/>
        <w:rPr>
          <w:szCs w:val="20"/>
          <w:lang w:val="es-ES"/>
        </w:rPr>
      </w:pPr>
    </w:p>
    <w:p w:rsidR="00633E1E" w:rsidRPr="00651D65" w:rsidRDefault="00633E1E" w:rsidP="005735AE">
      <w:pPr>
        <w:numPr>
          <w:ilvl w:val="0"/>
          <w:numId w:val="1"/>
        </w:numPr>
        <w:tabs>
          <w:tab w:val="num" w:pos="720"/>
        </w:tabs>
        <w:autoSpaceDE w:val="0"/>
        <w:autoSpaceDN w:val="0"/>
        <w:adjustRightInd w:val="0"/>
        <w:spacing w:after="0"/>
        <w:rPr>
          <w:bCs/>
          <w:iCs/>
          <w:szCs w:val="20"/>
          <w:lang w:val="es-CR"/>
        </w:rPr>
      </w:pPr>
      <w:r w:rsidRPr="00651D65">
        <w:rPr>
          <w:bCs/>
          <w:lang w:val="es-AR"/>
        </w:rPr>
        <w:t>Por lo tanto, esta Presidencia resuelve admitir el dictamen pericial ofrecido por los representantes</w:t>
      </w:r>
      <w:r w:rsidR="000006FE">
        <w:rPr>
          <w:bCs/>
          <w:lang w:val="es-AR"/>
        </w:rPr>
        <w:t>, tomando en consideración la observación hecha por el Estado</w:t>
      </w:r>
      <w:r w:rsidRPr="00651D65">
        <w:rPr>
          <w:bCs/>
          <w:lang w:val="es-AR"/>
        </w:rPr>
        <w:t xml:space="preserve">. </w:t>
      </w:r>
      <w:r w:rsidRPr="00651D65">
        <w:rPr>
          <w:rFonts w:cs="Verdana"/>
          <w:lang w:val="es-CR" w:bidi="en-US"/>
        </w:rPr>
        <w:t>El objeto y su modalidad será determinado en la parte resolutiva de la presente Resolución (</w:t>
      </w:r>
      <w:r w:rsidRPr="00651D65">
        <w:rPr>
          <w:rFonts w:cs="Verdana"/>
          <w:i/>
          <w:iCs/>
          <w:lang w:val="es-CR" w:bidi="en-US"/>
        </w:rPr>
        <w:t>infra</w:t>
      </w:r>
      <w:r w:rsidRPr="00651D65">
        <w:rPr>
          <w:rFonts w:cs="Verdana"/>
          <w:lang w:val="es-CR" w:bidi="en-US"/>
        </w:rPr>
        <w:t xml:space="preserve"> punto resolutivo </w:t>
      </w:r>
      <w:r w:rsidR="00737BDA">
        <w:rPr>
          <w:rFonts w:cs="Verdana"/>
          <w:lang w:val="es-CR" w:bidi="en-US"/>
        </w:rPr>
        <w:t>4</w:t>
      </w:r>
      <w:r w:rsidRPr="00651D65">
        <w:rPr>
          <w:rFonts w:cs="Verdana"/>
          <w:lang w:val="es-CR" w:bidi="en-US"/>
        </w:rPr>
        <w:t>).</w:t>
      </w:r>
    </w:p>
    <w:p w:rsidR="00941D29" w:rsidRPr="00651D65" w:rsidRDefault="00941D29" w:rsidP="005735AE">
      <w:pPr>
        <w:tabs>
          <w:tab w:val="left" w:pos="720"/>
        </w:tabs>
        <w:autoSpaceDE w:val="0"/>
        <w:autoSpaceDN w:val="0"/>
        <w:adjustRightInd w:val="0"/>
        <w:spacing w:after="0"/>
        <w:rPr>
          <w:szCs w:val="20"/>
          <w:lang w:val="es-AR"/>
        </w:rPr>
      </w:pPr>
    </w:p>
    <w:p w:rsidR="00651D65" w:rsidRPr="002B670F" w:rsidRDefault="00737BDA" w:rsidP="005735AE">
      <w:pPr>
        <w:pStyle w:val="BodyTextIndent2"/>
        <w:rPr>
          <w:b w:val="0"/>
          <w:i/>
          <w:lang w:eastAsia="es-CR"/>
        </w:rPr>
      </w:pPr>
      <w:r>
        <w:rPr>
          <w:b w:val="0"/>
          <w:i/>
        </w:rPr>
        <w:t>E</w:t>
      </w:r>
      <w:r w:rsidR="00651D65" w:rsidRPr="002B670F">
        <w:rPr>
          <w:b w:val="0"/>
          <w:i/>
        </w:rPr>
        <w:t xml:space="preserve">.3 </w:t>
      </w:r>
      <w:r w:rsidR="008E2AC1" w:rsidRPr="002B670F">
        <w:rPr>
          <w:b w:val="0"/>
          <w:i/>
        </w:rPr>
        <w:t xml:space="preserve">Observaciones </w:t>
      </w:r>
      <w:r w:rsidR="00651D65" w:rsidRPr="002B670F">
        <w:rPr>
          <w:b w:val="0"/>
          <w:i/>
        </w:rPr>
        <w:t xml:space="preserve">del Estado </w:t>
      </w:r>
      <w:r w:rsidR="00202144" w:rsidRPr="002B670F">
        <w:rPr>
          <w:b w:val="0"/>
          <w:i/>
        </w:rPr>
        <w:t>al</w:t>
      </w:r>
      <w:r w:rsidR="00651D65" w:rsidRPr="002B670F">
        <w:rPr>
          <w:b w:val="0"/>
          <w:i/>
        </w:rPr>
        <w:t xml:space="preserve"> dictamen pericial de </w:t>
      </w:r>
      <w:r w:rsidR="00EB7F4C">
        <w:rPr>
          <w:b w:val="0"/>
          <w:i/>
          <w:lang w:eastAsia="es-CR"/>
        </w:rPr>
        <w:t>Francisco Cox Vial</w:t>
      </w:r>
    </w:p>
    <w:p w:rsidR="00651D65" w:rsidRDefault="00651D65" w:rsidP="005735AE">
      <w:pPr>
        <w:pStyle w:val="BodyTextIndent2"/>
        <w:rPr>
          <w:rFonts w:cs="Arial"/>
          <w:highlight w:val="yellow"/>
        </w:rPr>
      </w:pPr>
    </w:p>
    <w:p w:rsidR="00651D65" w:rsidRPr="00651D65" w:rsidRDefault="005D01A8" w:rsidP="005735AE">
      <w:pPr>
        <w:numPr>
          <w:ilvl w:val="0"/>
          <w:numId w:val="1"/>
        </w:numPr>
        <w:tabs>
          <w:tab w:val="num" w:pos="720"/>
        </w:tabs>
        <w:autoSpaceDE w:val="0"/>
        <w:autoSpaceDN w:val="0"/>
        <w:adjustRightInd w:val="0"/>
        <w:spacing w:after="0"/>
        <w:rPr>
          <w:szCs w:val="20"/>
          <w:lang w:val="es-AR"/>
        </w:rPr>
      </w:pPr>
      <w:r w:rsidRPr="00484F1C">
        <w:rPr>
          <w:lang w:val="es-CR"/>
        </w:rPr>
        <w:t xml:space="preserve">En su escrito de solicitudes y argumentos los representantes ofrecieron una declaración pericial acerca de </w:t>
      </w:r>
      <w:r w:rsidR="00626584" w:rsidRPr="00484F1C">
        <w:rPr>
          <w:bCs/>
          <w:iCs/>
          <w:szCs w:val="20"/>
          <w:lang w:val="es-CR"/>
        </w:rPr>
        <w:t>“</w:t>
      </w:r>
      <w:r w:rsidR="00484F1C" w:rsidRPr="00484F1C">
        <w:rPr>
          <w:bCs/>
          <w:iCs/>
          <w:szCs w:val="20"/>
          <w:lang w:val="es-CR"/>
        </w:rPr>
        <w:t>l</w:t>
      </w:r>
      <w:r w:rsidR="00626584" w:rsidRPr="00484F1C">
        <w:rPr>
          <w:bCs/>
          <w:iCs/>
          <w:szCs w:val="20"/>
          <w:lang w:val="es-CR"/>
        </w:rPr>
        <w:t xml:space="preserve">as </w:t>
      </w:r>
      <w:r w:rsidR="00626584" w:rsidRPr="00484F1C">
        <w:rPr>
          <w:rFonts w:eastAsiaTheme="minorHAnsi" w:cs="Arial"/>
          <w:szCs w:val="20"/>
          <w:lang w:val="es-CR" w:eastAsia="en-US"/>
        </w:rPr>
        <w:t>di</w:t>
      </w:r>
      <w:r w:rsidR="00484F1C" w:rsidRPr="00484F1C">
        <w:rPr>
          <w:rFonts w:eastAsiaTheme="minorHAnsi" w:cs="Arial"/>
          <w:szCs w:val="20"/>
          <w:lang w:val="es-CR" w:eastAsia="en-US"/>
        </w:rPr>
        <w:t>ficult</w:t>
      </w:r>
      <w:r w:rsidR="00626584" w:rsidRPr="00484F1C">
        <w:rPr>
          <w:rFonts w:eastAsiaTheme="minorHAnsi" w:cs="Arial"/>
          <w:szCs w:val="20"/>
          <w:lang w:val="es-CR" w:eastAsia="en-US"/>
        </w:rPr>
        <w:t xml:space="preserve">ades para </w:t>
      </w:r>
      <w:r w:rsidR="00484F1C" w:rsidRPr="00484F1C">
        <w:rPr>
          <w:rFonts w:eastAsiaTheme="minorHAnsi" w:cs="Arial"/>
          <w:szCs w:val="20"/>
          <w:lang w:val="es-CR" w:eastAsia="en-US"/>
        </w:rPr>
        <w:t>l</w:t>
      </w:r>
      <w:r w:rsidR="00626584" w:rsidRPr="00484F1C">
        <w:rPr>
          <w:rFonts w:eastAsiaTheme="minorHAnsi" w:cs="Arial"/>
          <w:szCs w:val="20"/>
          <w:lang w:val="es-CR" w:eastAsia="en-US"/>
        </w:rPr>
        <w:t>a</w:t>
      </w:r>
      <w:r w:rsidR="00484F1C" w:rsidRPr="00484F1C">
        <w:rPr>
          <w:rFonts w:eastAsiaTheme="minorHAnsi" w:cs="Arial"/>
          <w:szCs w:val="20"/>
          <w:lang w:val="es-CR" w:eastAsia="en-US"/>
        </w:rPr>
        <w:t xml:space="preserve"> realización del derecho a la verdad y la justicia en relaci</w:t>
      </w:r>
      <w:r w:rsidR="00484F1C">
        <w:rPr>
          <w:rFonts w:eastAsiaTheme="minorHAnsi" w:cs="Arial"/>
          <w:szCs w:val="20"/>
          <w:lang w:val="es-CR" w:eastAsia="en-US"/>
        </w:rPr>
        <w:t xml:space="preserve">ón con los crímenes cometidos en la dictadura militar brasileña, así como los efectos perjudiciales de </w:t>
      </w:r>
      <w:r w:rsidR="006E3530">
        <w:rPr>
          <w:rFonts w:eastAsiaTheme="minorHAnsi" w:cs="Arial"/>
          <w:szCs w:val="20"/>
          <w:lang w:val="es-CR" w:eastAsia="en-US"/>
        </w:rPr>
        <w:t xml:space="preserve">la </w:t>
      </w:r>
      <w:r w:rsidR="00484F1C">
        <w:rPr>
          <w:rFonts w:eastAsiaTheme="minorHAnsi" w:cs="Arial"/>
          <w:szCs w:val="20"/>
          <w:lang w:val="es-CR" w:eastAsia="en-US"/>
        </w:rPr>
        <w:t xml:space="preserve">impunidad en relación con crímenes contra la democracia y la libertad de expresión en Brasil. </w:t>
      </w:r>
      <w:r w:rsidR="00484F1C" w:rsidRPr="00484F1C">
        <w:rPr>
          <w:rFonts w:eastAsiaTheme="minorHAnsi" w:cs="Arial"/>
          <w:szCs w:val="20"/>
          <w:lang w:val="es-CR" w:eastAsia="en-US"/>
        </w:rPr>
        <w:t xml:space="preserve">Además, el impacto de estos efectos hasta la actualidad y los mecanismos adecuados de reparación integral, especialmente </w:t>
      </w:r>
      <w:r w:rsidR="00926694">
        <w:rPr>
          <w:rFonts w:eastAsiaTheme="minorHAnsi" w:cs="Arial"/>
          <w:szCs w:val="20"/>
          <w:lang w:val="es-CR" w:eastAsia="en-US"/>
        </w:rPr>
        <w:t xml:space="preserve">las </w:t>
      </w:r>
      <w:r w:rsidR="00484F1C" w:rsidRPr="00484F1C">
        <w:rPr>
          <w:rFonts w:eastAsiaTheme="minorHAnsi" w:cs="Arial"/>
          <w:szCs w:val="20"/>
          <w:lang w:val="es-CR" w:eastAsia="en-US"/>
        </w:rPr>
        <w:t>medidas de no repetición”; indicando que enviarían a la brevedad el nombre del perito que rendiría dicho peritaje</w:t>
      </w:r>
      <w:r>
        <w:rPr>
          <w:bCs/>
          <w:lang w:val="es-CR" w:eastAsia="es-CR"/>
        </w:rPr>
        <w:t>.</w:t>
      </w:r>
      <w:r w:rsidRPr="00B11378">
        <w:rPr>
          <w:lang w:val="es-AR"/>
        </w:rPr>
        <w:t xml:space="preserve"> </w:t>
      </w:r>
      <w:r w:rsidR="0030281E">
        <w:rPr>
          <w:lang w:val="es-AR"/>
        </w:rPr>
        <w:t xml:space="preserve">Esa información no fue presentada al Tribunal dentro de los 21 días establecidos para la remisión de anexos (artículo 28.1 del Reglamento). </w:t>
      </w:r>
      <w:r>
        <w:rPr>
          <w:lang w:val="es-AR"/>
        </w:rPr>
        <w:t>Posteriormente, e</w:t>
      </w:r>
      <w:r w:rsidR="00651D65" w:rsidRPr="00B11378">
        <w:rPr>
          <w:lang w:val="es-AR"/>
        </w:rPr>
        <w:t xml:space="preserve">n </w:t>
      </w:r>
      <w:r>
        <w:rPr>
          <w:lang w:val="es-AR"/>
        </w:rPr>
        <w:t>su</w:t>
      </w:r>
      <w:r w:rsidR="00530572">
        <w:rPr>
          <w:lang w:val="es-AR"/>
        </w:rPr>
        <w:t xml:space="preserve"> lista definitiva</w:t>
      </w:r>
      <w:r>
        <w:rPr>
          <w:lang w:val="es-AR"/>
        </w:rPr>
        <w:t xml:space="preserve"> de declarantes</w:t>
      </w:r>
      <w:r w:rsidR="00530572">
        <w:rPr>
          <w:lang w:val="es-AR"/>
        </w:rPr>
        <w:t>,</w:t>
      </w:r>
      <w:r w:rsidR="00651D65" w:rsidRPr="00B11378">
        <w:rPr>
          <w:lang w:val="es-AR"/>
        </w:rPr>
        <w:t xml:space="preserve"> los representantes </w:t>
      </w:r>
      <w:r>
        <w:rPr>
          <w:lang w:val="es-AR"/>
        </w:rPr>
        <w:t xml:space="preserve">indicaron </w:t>
      </w:r>
      <w:r w:rsidR="006E50F0">
        <w:rPr>
          <w:lang w:val="es-AR"/>
        </w:rPr>
        <w:t xml:space="preserve">por primera vez </w:t>
      </w:r>
      <w:r>
        <w:rPr>
          <w:lang w:val="es-AR"/>
        </w:rPr>
        <w:t>que el perito</w:t>
      </w:r>
      <w:r w:rsidR="00651D65" w:rsidRPr="00B11378">
        <w:rPr>
          <w:lang w:val="es-AR"/>
        </w:rPr>
        <w:t xml:space="preserve"> </w:t>
      </w:r>
      <w:r>
        <w:rPr>
          <w:lang w:val="es-AR"/>
        </w:rPr>
        <w:t xml:space="preserve">encargado </w:t>
      </w:r>
      <w:r w:rsidR="006E50F0">
        <w:rPr>
          <w:lang w:val="es-AR"/>
        </w:rPr>
        <w:t xml:space="preserve">de ese peritaje </w:t>
      </w:r>
      <w:r>
        <w:rPr>
          <w:lang w:val="es-AR"/>
        </w:rPr>
        <w:t>sería el señor</w:t>
      </w:r>
      <w:r w:rsidR="00651D65">
        <w:rPr>
          <w:lang w:val="es-AR"/>
        </w:rPr>
        <w:t xml:space="preserve"> </w:t>
      </w:r>
      <w:r w:rsidR="00530572">
        <w:rPr>
          <w:lang w:val="es-AR"/>
        </w:rPr>
        <w:t>Francisco Cox Vial</w:t>
      </w:r>
      <w:r w:rsidR="00651D65">
        <w:rPr>
          <w:bCs/>
          <w:lang w:val="es-CR" w:eastAsia="es-CR"/>
        </w:rPr>
        <w:t xml:space="preserve">, </w:t>
      </w:r>
      <w:r>
        <w:rPr>
          <w:bCs/>
          <w:lang w:val="es-CR" w:eastAsia="es-CR"/>
        </w:rPr>
        <w:t>y señalaron que el objeto del peritaje se mantenía como había sido ofrecido en el escrito de solicitudes y argumentos</w:t>
      </w:r>
      <w:r w:rsidR="006E50F0">
        <w:rPr>
          <w:bCs/>
          <w:lang w:val="es-CR" w:eastAsia="es-CR"/>
        </w:rPr>
        <w:t>.</w:t>
      </w:r>
      <w:r w:rsidR="007748C7">
        <w:rPr>
          <w:bCs/>
          <w:lang w:val="es-CR" w:eastAsia="es-CR"/>
        </w:rPr>
        <w:t xml:space="preserve"> </w:t>
      </w:r>
      <w:r w:rsidR="00A05548">
        <w:rPr>
          <w:bCs/>
          <w:lang w:val="es-CR" w:eastAsia="es-CR"/>
        </w:rPr>
        <w:t xml:space="preserve">Asimismo, los representantes enviaron en anexo el </w:t>
      </w:r>
      <w:r w:rsidR="006E50F0">
        <w:rPr>
          <w:bCs/>
          <w:lang w:val="es-CR" w:eastAsia="es-CR"/>
        </w:rPr>
        <w:t xml:space="preserve">currículo </w:t>
      </w:r>
      <w:r w:rsidR="00A05548">
        <w:rPr>
          <w:bCs/>
          <w:lang w:val="es-CR" w:eastAsia="es-CR"/>
        </w:rPr>
        <w:t xml:space="preserve">vitae del </w:t>
      </w:r>
      <w:r w:rsidR="007748C7">
        <w:rPr>
          <w:bCs/>
          <w:lang w:val="es-CR" w:eastAsia="es-CR"/>
        </w:rPr>
        <w:t>perito</w:t>
      </w:r>
      <w:r w:rsidR="00A05548">
        <w:rPr>
          <w:bCs/>
          <w:lang w:val="es-CR" w:eastAsia="es-CR"/>
        </w:rPr>
        <w:t xml:space="preserve"> Cox Vial</w:t>
      </w:r>
      <w:r w:rsidR="00090AA2">
        <w:rPr>
          <w:bCs/>
          <w:lang w:val="es-CR" w:eastAsia="es-CR"/>
        </w:rPr>
        <w:t xml:space="preserve"> </w:t>
      </w:r>
      <w:r w:rsidR="006E50F0">
        <w:rPr>
          <w:bCs/>
          <w:lang w:val="es-CR" w:eastAsia="es-CR"/>
        </w:rPr>
        <w:t>en esa oportunidad</w:t>
      </w:r>
      <w:r w:rsidR="00A05548">
        <w:rPr>
          <w:bCs/>
          <w:lang w:val="es-CR" w:eastAsia="es-CR"/>
        </w:rPr>
        <w:t>.</w:t>
      </w:r>
    </w:p>
    <w:p w:rsidR="00651D65" w:rsidRPr="00A52FBC" w:rsidRDefault="00651D65" w:rsidP="005735AE">
      <w:pPr>
        <w:autoSpaceDE w:val="0"/>
        <w:autoSpaceDN w:val="0"/>
        <w:adjustRightInd w:val="0"/>
        <w:spacing w:after="0"/>
        <w:rPr>
          <w:szCs w:val="20"/>
          <w:lang w:val="es-CR"/>
        </w:rPr>
      </w:pPr>
    </w:p>
    <w:p w:rsidR="00651D65" w:rsidRPr="00651D65" w:rsidRDefault="00651D65" w:rsidP="005735AE">
      <w:pPr>
        <w:numPr>
          <w:ilvl w:val="0"/>
          <w:numId w:val="1"/>
        </w:numPr>
        <w:tabs>
          <w:tab w:val="num" w:pos="720"/>
        </w:tabs>
        <w:autoSpaceDE w:val="0"/>
        <w:autoSpaceDN w:val="0"/>
        <w:adjustRightInd w:val="0"/>
        <w:spacing w:after="0"/>
        <w:rPr>
          <w:rFonts w:cs="Times New Roman"/>
          <w:b/>
          <w:bCs/>
          <w:szCs w:val="20"/>
          <w:lang w:val="es-CR" w:eastAsia="es-CR"/>
        </w:rPr>
      </w:pPr>
      <w:r w:rsidRPr="00651D65">
        <w:rPr>
          <w:szCs w:val="20"/>
          <w:lang w:val="es-AR"/>
        </w:rPr>
        <w:lastRenderedPageBreak/>
        <w:t xml:space="preserve">Al respecto, el Estado impugnó el ofrecimiento de su declaración </w:t>
      </w:r>
      <w:r w:rsidR="005F45F5">
        <w:rPr>
          <w:szCs w:val="20"/>
          <w:lang w:val="es-AR"/>
        </w:rPr>
        <w:t>porque el perito no fue presentado en el escrito de sol</w:t>
      </w:r>
      <w:r w:rsidR="00926694">
        <w:rPr>
          <w:szCs w:val="20"/>
          <w:lang w:val="es-AR"/>
        </w:rPr>
        <w:t>icitudes, argumentos y pruebas</w:t>
      </w:r>
      <w:r w:rsidR="000F62E6">
        <w:t>.</w:t>
      </w:r>
    </w:p>
    <w:p w:rsidR="00651D65" w:rsidRPr="008B1502" w:rsidRDefault="00651D65" w:rsidP="005735AE">
      <w:pPr>
        <w:spacing w:after="0"/>
        <w:rPr>
          <w:szCs w:val="20"/>
          <w:lang w:val="es-AR"/>
        </w:rPr>
      </w:pPr>
    </w:p>
    <w:p w:rsidR="00651D65" w:rsidRPr="000224AD" w:rsidRDefault="00651D65" w:rsidP="005735AE">
      <w:pPr>
        <w:numPr>
          <w:ilvl w:val="0"/>
          <w:numId w:val="1"/>
        </w:numPr>
        <w:tabs>
          <w:tab w:val="num" w:pos="720"/>
        </w:tabs>
        <w:autoSpaceDE w:val="0"/>
        <w:autoSpaceDN w:val="0"/>
        <w:adjustRightInd w:val="0"/>
        <w:spacing w:after="0"/>
        <w:rPr>
          <w:bCs/>
          <w:iCs/>
          <w:szCs w:val="20"/>
          <w:lang w:val="es-CR"/>
        </w:rPr>
      </w:pPr>
      <w:r w:rsidRPr="008B1502">
        <w:rPr>
          <w:szCs w:val="20"/>
          <w:lang w:val="es-AR"/>
        </w:rPr>
        <w:t xml:space="preserve"> </w:t>
      </w:r>
      <w:r w:rsidR="00987B5A">
        <w:t xml:space="preserve">La Presidencia considera que la objeción del Estado respecto a la alegada extemporaneidad del ofrecimiento del peritaje del señor Cox Vial es procedente, ya que, los representantes </w:t>
      </w:r>
      <w:r w:rsidR="006E50F0">
        <w:t xml:space="preserve">no </w:t>
      </w:r>
      <w:r w:rsidR="00987B5A">
        <w:t xml:space="preserve">indicaron su nombre y </w:t>
      </w:r>
      <w:r w:rsidR="006E50F0">
        <w:t xml:space="preserve">currículo </w:t>
      </w:r>
      <w:r w:rsidR="00987B5A">
        <w:t xml:space="preserve">vitae </w:t>
      </w:r>
      <w:r w:rsidR="006E50F0">
        <w:t>en su escrito de solicitudes y argumentos</w:t>
      </w:r>
      <w:r w:rsidR="00066C02">
        <w:t xml:space="preserve"> ni dentro del plazo de 21 días previsto para la recepción de los anexos</w:t>
      </w:r>
      <w:r w:rsidR="00987B5A">
        <w:t>, de acuerdo a</w:t>
      </w:r>
      <w:r w:rsidR="006E50F0">
        <w:t>l Reglamento del Tribunal y</w:t>
      </w:r>
      <w:r w:rsidR="00987B5A">
        <w:t xml:space="preserve"> la práctica constante del Sistema Interamericano de Derechos Humanos</w:t>
      </w:r>
      <w:r w:rsidR="006A3162">
        <w:t xml:space="preserve">. </w:t>
      </w:r>
    </w:p>
    <w:p w:rsidR="000224AD" w:rsidRDefault="000224AD" w:rsidP="005735AE">
      <w:pPr>
        <w:pStyle w:val="ListParagraph"/>
        <w:spacing w:after="0"/>
        <w:rPr>
          <w:bCs/>
          <w:iCs/>
          <w:szCs w:val="20"/>
          <w:lang w:val="es-CR"/>
        </w:rPr>
      </w:pPr>
    </w:p>
    <w:p w:rsidR="000224AD" w:rsidRPr="000224AD" w:rsidRDefault="000224AD" w:rsidP="005735AE">
      <w:pPr>
        <w:numPr>
          <w:ilvl w:val="0"/>
          <w:numId w:val="1"/>
        </w:numPr>
        <w:tabs>
          <w:tab w:val="num" w:pos="720"/>
        </w:tabs>
        <w:autoSpaceDE w:val="0"/>
        <w:autoSpaceDN w:val="0"/>
        <w:adjustRightInd w:val="0"/>
        <w:spacing w:after="0"/>
        <w:rPr>
          <w:bCs/>
          <w:iCs/>
          <w:szCs w:val="20"/>
          <w:lang w:val="es-CR"/>
        </w:rPr>
      </w:pPr>
      <w:r w:rsidRPr="00651D65">
        <w:rPr>
          <w:bCs/>
          <w:lang w:val="es-AR"/>
        </w:rPr>
        <w:t xml:space="preserve">Por lo tanto, esta Presidencia </w:t>
      </w:r>
      <w:r w:rsidR="006A0AFE">
        <w:rPr>
          <w:bCs/>
          <w:lang w:val="es-AR"/>
        </w:rPr>
        <w:t>no a</w:t>
      </w:r>
      <w:r w:rsidRPr="00651D65">
        <w:rPr>
          <w:bCs/>
          <w:lang w:val="es-AR"/>
        </w:rPr>
        <w:t>dmit</w:t>
      </w:r>
      <w:r w:rsidR="006A0AFE">
        <w:rPr>
          <w:bCs/>
          <w:lang w:val="es-AR"/>
        </w:rPr>
        <w:t>e</w:t>
      </w:r>
      <w:r w:rsidRPr="00651D65">
        <w:rPr>
          <w:bCs/>
          <w:lang w:val="es-AR"/>
        </w:rPr>
        <w:t xml:space="preserve"> el dictamen pericial </w:t>
      </w:r>
      <w:r w:rsidR="006A0AFE">
        <w:rPr>
          <w:bCs/>
          <w:lang w:val="es-AR"/>
        </w:rPr>
        <w:t xml:space="preserve">del señor Cox Vial </w:t>
      </w:r>
      <w:r w:rsidRPr="00651D65">
        <w:rPr>
          <w:bCs/>
          <w:lang w:val="es-AR"/>
        </w:rPr>
        <w:t>ofrecido por los representantes.</w:t>
      </w:r>
    </w:p>
    <w:p w:rsidR="00651D65" w:rsidRDefault="00651D65" w:rsidP="005735AE">
      <w:pPr>
        <w:tabs>
          <w:tab w:val="left" w:pos="720"/>
        </w:tabs>
        <w:autoSpaceDE w:val="0"/>
        <w:autoSpaceDN w:val="0"/>
        <w:adjustRightInd w:val="0"/>
        <w:spacing w:after="0"/>
        <w:rPr>
          <w:szCs w:val="20"/>
          <w:lang w:val="es-AR"/>
        </w:rPr>
      </w:pPr>
    </w:p>
    <w:p w:rsidR="000E7FDC" w:rsidRPr="00E917B0" w:rsidRDefault="000E7FDC" w:rsidP="005735AE">
      <w:pPr>
        <w:pStyle w:val="ListParagraph1"/>
        <w:numPr>
          <w:ilvl w:val="0"/>
          <w:numId w:val="5"/>
        </w:numPr>
        <w:ind w:right="11"/>
        <w:jc w:val="both"/>
        <w:rPr>
          <w:rFonts w:ascii="Verdana" w:hAnsi="Verdana" w:cs="Verdana"/>
          <w:b/>
          <w:bCs/>
          <w:i/>
          <w:iCs/>
          <w:sz w:val="20"/>
          <w:szCs w:val="20"/>
        </w:rPr>
      </w:pPr>
      <w:r w:rsidRPr="00E917B0">
        <w:rPr>
          <w:rFonts w:ascii="Verdana" w:hAnsi="Verdana" w:cs="Verdana"/>
          <w:b/>
          <w:bCs/>
          <w:i/>
          <w:iCs/>
          <w:sz w:val="20"/>
          <w:szCs w:val="20"/>
        </w:rPr>
        <w:t>Aplicación del Fondo de Asistencia Legal de Víctimas ante la Corte</w:t>
      </w:r>
    </w:p>
    <w:p w:rsidR="000E7FDC" w:rsidRPr="00E917B0" w:rsidRDefault="000E7FDC" w:rsidP="005735AE">
      <w:pPr>
        <w:pStyle w:val="ListParagraph1"/>
        <w:ind w:left="644" w:right="11"/>
        <w:jc w:val="both"/>
        <w:rPr>
          <w:rFonts w:ascii="Verdana" w:hAnsi="Verdana" w:cs="Verdana"/>
          <w:b/>
          <w:bCs/>
          <w:i/>
          <w:iCs/>
          <w:sz w:val="20"/>
          <w:szCs w:val="20"/>
        </w:rPr>
      </w:pPr>
    </w:p>
    <w:p w:rsidR="000E7FDC" w:rsidRPr="00E917B0" w:rsidRDefault="000E7FDC" w:rsidP="005735AE">
      <w:pPr>
        <w:numPr>
          <w:ilvl w:val="0"/>
          <w:numId w:val="1"/>
        </w:numPr>
        <w:tabs>
          <w:tab w:val="num" w:pos="709"/>
        </w:tabs>
        <w:autoSpaceDE w:val="0"/>
        <w:autoSpaceDN w:val="0"/>
        <w:adjustRightInd w:val="0"/>
        <w:spacing w:after="0"/>
        <w:rPr>
          <w:rFonts w:eastAsiaTheme="minorEastAsia" w:cs="Verdana"/>
          <w:szCs w:val="20"/>
        </w:rPr>
      </w:pPr>
      <w:r w:rsidRPr="00E917B0">
        <w:rPr>
          <w:szCs w:val="20"/>
        </w:rPr>
        <w:t xml:space="preserve">En Resolución adoptada por </w:t>
      </w:r>
      <w:r w:rsidR="001610CC" w:rsidRPr="00E917B0">
        <w:rPr>
          <w:szCs w:val="20"/>
        </w:rPr>
        <w:t xml:space="preserve">la </w:t>
      </w:r>
      <w:r w:rsidRPr="00E917B0">
        <w:rPr>
          <w:szCs w:val="20"/>
        </w:rPr>
        <w:t>Presidencia</w:t>
      </w:r>
      <w:r w:rsidR="00ED4096">
        <w:rPr>
          <w:szCs w:val="20"/>
        </w:rPr>
        <w:t xml:space="preserve"> en ejercicio</w:t>
      </w:r>
      <w:r w:rsidRPr="00E917B0">
        <w:rPr>
          <w:szCs w:val="20"/>
        </w:rPr>
        <w:t xml:space="preserve"> </w:t>
      </w:r>
      <w:r w:rsidR="001610CC" w:rsidRPr="00E917B0">
        <w:rPr>
          <w:szCs w:val="20"/>
        </w:rPr>
        <w:t xml:space="preserve">el </w:t>
      </w:r>
      <w:r w:rsidR="00BF3EB7">
        <w:rPr>
          <w:szCs w:val="20"/>
        </w:rPr>
        <w:t>23 de febrero de 2017</w:t>
      </w:r>
      <w:r w:rsidRPr="00E917B0">
        <w:rPr>
          <w:szCs w:val="20"/>
        </w:rPr>
        <w:t xml:space="preserve">, se resolvió </w:t>
      </w:r>
      <w:r w:rsidRPr="00E917B0">
        <w:rPr>
          <w:rFonts w:cs="Verdana"/>
          <w:szCs w:val="20"/>
        </w:rPr>
        <w:t>declarar</w:t>
      </w:r>
      <w:r w:rsidRPr="00E917B0">
        <w:rPr>
          <w:szCs w:val="20"/>
        </w:rPr>
        <w:t xml:space="preserve"> procedente la solicitud realizada por las presuntas víctimas, a través de s</w:t>
      </w:r>
      <w:r w:rsidRPr="00E917B0">
        <w:rPr>
          <w:rFonts w:cs="Verdana"/>
          <w:szCs w:val="20"/>
        </w:rPr>
        <w:t xml:space="preserve">us representantes, para acogerse al Fondo de Asistencia Legal de Víctimas de la Corte Interamericana, de modo que se otorgaría </w:t>
      </w:r>
      <w:r w:rsidRPr="00E917B0">
        <w:rPr>
          <w:rFonts w:eastAsia="Times New Roman" w:cs="Verdana"/>
          <w:szCs w:val="20"/>
        </w:rPr>
        <w:t xml:space="preserve">la asistencia económica necesaria para presentación de un máximo de </w:t>
      </w:r>
      <w:r w:rsidR="00944FB4">
        <w:rPr>
          <w:rFonts w:eastAsia="Times New Roman" w:cs="Verdana"/>
          <w:szCs w:val="20"/>
        </w:rPr>
        <w:t>cuatro</w:t>
      </w:r>
      <w:r w:rsidRPr="00E917B0">
        <w:rPr>
          <w:rFonts w:eastAsia="Times New Roman" w:cs="Verdana"/>
          <w:szCs w:val="20"/>
        </w:rPr>
        <w:t xml:space="preserve"> declaraciones, ya sea en audiencia o por </w:t>
      </w:r>
      <w:r w:rsidR="00533E2C">
        <w:rPr>
          <w:rFonts w:eastAsia="Times New Roman" w:cs="Verdana"/>
          <w:i/>
          <w:szCs w:val="20"/>
        </w:rPr>
        <w:t>afidá</w:t>
      </w:r>
      <w:r w:rsidRPr="00E917B0">
        <w:rPr>
          <w:rFonts w:eastAsia="Times New Roman" w:cs="Verdana"/>
          <w:i/>
          <w:szCs w:val="20"/>
        </w:rPr>
        <w:t>vit</w:t>
      </w:r>
      <w:r w:rsidRPr="00E917B0">
        <w:rPr>
          <w:rFonts w:eastAsia="Times New Roman" w:cs="Verdana"/>
          <w:szCs w:val="20"/>
        </w:rPr>
        <w:t>.</w:t>
      </w:r>
      <w:r w:rsidRPr="00E917B0">
        <w:rPr>
          <w:szCs w:val="20"/>
        </w:rPr>
        <w:t xml:space="preserve"> </w:t>
      </w:r>
    </w:p>
    <w:p w:rsidR="000E7FDC" w:rsidRPr="00E917B0" w:rsidRDefault="000E7FDC" w:rsidP="005735AE">
      <w:pPr>
        <w:autoSpaceDE w:val="0"/>
        <w:autoSpaceDN w:val="0"/>
        <w:adjustRightInd w:val="0"/>
        <w:spacing w:after="0"/>
        <w:rPr>
          <w:rFonts w:eastAsiaTheme="minorEastAsia" w:cs="Verdana"/>
          <w:szCs w:val="20"/>
        </w:rPr>
      </w:pPr>
    </w:p>
    <w:p w:rsidR="000E7FDC" w:rsidRPr="00E917B0" w:rsidRDefault="000E7FDC" w:rsidP="005735AE">
      <w:pPr>
        <w:numPr>
          <w:ilvl w:val="0"/>
          <w:numId w:val="1"/>
        </w:numPr>
        <w:tabs>
          <w:tab w:val="num" w:pos="720"/>
        </w:tabs>
        <w:autoSpaceDE w:val="0"/>
        <w:autoSpaceDN w:val="0"/>
        <w:adjustRightInd w:val="0"/>
        <w:spacing w:after="0"/>
        <w:rPr>
          <w:szCs w:val="20"/>
        </w:rPr>
      </w:pPr>
      <w:r w:rsidRPr="00E917B0">
        <w:rPr>
          <w:szCs w:val="20"/>
        </w:rPr>
        <w:t xml:space="preserve"> </w:t>
      </w:r>
      <w:r w:rsidR="00DD687E" w:rsidRPr="00E917B0">
        <w:rPr>
          <w:szCs w:val="20"/>
        </w:rPr>
        <w:t>C</w:t>
      </w:r>
      <w:r w:rsidRPr="00E917B0">
        <w:rPr>
          <w:szCs w:val="20"/>
        </w:rPr>
        <w:t xml:space="preserve">orresponde </w:t>
      </w:r>
      <w:r w:rsidR="00DD687E" w:rsidRPr="00E917B0">
        <w:rPr>
          <w:szCs w:val="20"/>
        </w:rPr>
        <w:t xml:space="preserve">seguidamente </w:t>
      </w:r>
      <w:r w:rsidRPr="00E917B0">
        <w:rPr>
          <w:szCs w:val="20"/>
        </w:rPr>
        <w:t xml:space="preserve">precisar el destino y objeto específicos de dicha asistencia. </w:t>
      </w:r>
    </w:p>
    <w:p w:rsidR="002B670F" w:rsidRPr="00E917B0" w:rsidRDefault="002B670F" w:rsidP="005735AE">
      <w:pPr>
        <w:autoSpaceDE w:val="0"/>
        <w:autoSpaceDN w:val="0"/>
        <w:adjustRightInd w:val="0"/>
        <w:spacing w:after="0"/>
        <w:rPr>
          <w:szCs w:val="20"/>
        </w:rPr>
      </w:pPr>
    </w:p>
    <w:p w:rsidR="000E7FDC" w:rsidRPr="00E917B0" w:rsidRDefault="000E7FDC" w:rsidP="005735AE">
      <w:pPr>
        <w:numPr>
          <w:ilvl w:val="0"/>
          <w:numId w:val="1"/>
        </w:numPr>
        <w:tabs>
          <w:tab w:val="num" w:pos="720"/>
        </w:tabs>
        <w:autoSpaceDE w:val="0"/>
        <w:autoSpaceDN w:val="0"/>
        <w:adjustRightInd w:val="0"/>
        <w:spacing w:after="0"/>
        <w:rPr>
          <w:szCs w:val="20"/>
        </w:rPr>
      </w:pPr>
      <w:r w:rsidRPr="00E917B0">
        <w:rPr>
          <w:szCs w:val="20"/>
        </w:rPr>
        <w:t xml:space="preserve">Al respecto, el Presidente dispone que la asistencia económica estará asignada para cubrir los </w:t>
      </w:r>
      <w:r w:rsidRPr="00E917B0">
        <w:rPr>
          <w:rFonts w:cs="Verdana"/>
          <w:szCs w:val="20"/>
        </w:rPr>
        <w:t>gastos</w:t>
      </w:r>
      <w:r w:rsidRPr="00E917B0">
        <w:rPr>
          <w:szCs w:val="20"/>
        </w:rPr>
        <w:t xml:space="preserve"> de viaje y estadía necesarios para que la presunta víctima </w:t>
      </w:r>
      <w:proofErr w:type="spellStart"/>
      <w:r w:rsidR="00235002">
        <w:rPr>
          <w:szCs w:val="20"/>
        </w:rPr>
        <w:t>Clarice</w:t>
      </w:r>
      <w:proofErr w:type="spellEnd"/>
      <w:r w:rsidR="00235002">
        <w:rPr>
          <w:szCs w:val="20"/>
        </w:rPr>
        <w:t xml:space="preserve"> </w:t>
      </w:r>
      <w:proofErr w:type="spellStart"/>
      <w:r w:rsidR="00235002">
        <w:rPr>
          <w:szCs w:val="20"/>
        </w:rPr>
        <w:t>Herzog</w:t>
      </w:r>
      <w:proofErr w:type="spellEnd"/>
      <w:r w:rsidR="001610CC" w:rsidRPr="00E917B0">
        <w:rPr>
          <w:rFonts w:cs="Arial"/>
          <w:bCs/>
          <w:szCs w:val="20"/>
          <w:lang w:val="es-CR" w:eastAsia="es-CR"/>
        </w:rPr>
        <w:t xml:space="preserve">, así como </w:t>
      </w:r>
      <w:r w:rsidR="00CE140B">
        <w:rPr>
          <w:rFonts w:cs="Arial"/>
          <w:bCs/>
          <w:szCs w:val="20"/>
          <w:lang w:val="es-CR" w:eastAsia="es-CR"/>
        </w:rPr>
        <w:t xml:space="preserve">el testigo </w:t>
      </w:r>
      <w:r w:rsidR="00CE140B" w:rsidRPr="001C71F3">
        <w:rPr>
          <w:rFonts w:cs="Arial"/>
          <w:bCs/>
          <w:szCs w:val="20"/>
          <w:lang w:val="es-CR" w:eastAsia="es-CR"/>
        </w:rPr>
        <w:t xml:space="preserve">Marlon Weichert y </w:t>
      </w:r>
      <w:r w:rsidR="00F12F7F">
        <w:rPr>
          <w:rFonts w:cs="Arial"/>
          <w:bCs/>
          <w:szCs w:val="20"/>
          <w:lang w:val="es-CR" w:eastAsia="es-CR"/>
        </w:rPr>
        <w:t>el</w:t>
      </w:r>
      <w:r w:rsidR="00CE140B" w:rsidRPr="001C71F3">
        <w:rPr>
          <w:rFonts w:cs="Arial"/>
          <w:bCs/>
          <w:szCs w:val="20"/>
          <w:lang w:val="es-CR" w:eastAsia="es-CR"/>
        </w:rPr>
        <w:t xml:space="preserve"> </w:t>
      </w:r>
      <w:r w:rsidR="001610CC" w:rsidRPr="001C71F3">
        <w:rPr>
          <w:rFonts w:cs="Arial"/>
          <w:bCs/>
          <w:szCs w:val="20"/>
          <w:lang w:val="es-CR" w:eastAsia="es-CR"/>
        </w:rPr>
        <w:t xml:space="preserve">perito </w:t>
      </w:r>
      <w:r w:rsidR="00235002" w:rsidRPr="001C71F3">
        <w:rPr>
          <w:rFonts w:cs="Arial"/>
          <w:bCs/>
          <w:szCs w:val="20"/>
          <w:lang w:val="es-CR" w:eastAsia="es-CR"/>
        </w:rPr>
        <w:t>Sergio Gardenghi Suiama</w:t>
      </w:r>
      <w:r w:rsidR="001610CC" w:rsidRPr="00E917B0">
        <w:rPr>
          <w:szCs w:val="20"/>
        </w:rPr>
        <w:t xml:space="preserve"> </w:t>
      </w:r>
      <w:r w:rsidRPr="00E917B0">
        <w:rPr>
          <w:szCs w:val="20"/>
        </w:rPr>
        <w:t xml:space="preserve">comparezcan ante el Tribunal a rendir sus respectivas declaraciones en la audiencia pública que se celebrará en el presente caso. </w:t>
      </w:r>
      <w:r w:rsidR="005735AE" w:rsidRPr="005735AE">
        <w:rPr>
          <w:szCs w:val="20"/>
        </w:rPr>
        <w:t xml:space="preserve">Adicionalmente, esta Presidencia determina que los gastos razonables </w:t>
      </w:r>
      <w:r w:rsidR="005735AE" w:rsidRPr="005735AE">
        <w:rPr>
          <w:szCs w:val="20"/>
          <w:lang w:val="es-CR"/>
        </w:rPr>
        <w:t xml:space="preserve">de formalización y envío de </w:t>
      </w:r>
      <w:r w:rsidR="000003DA">
        <w:rPr>
          <w:szCs w:val="20"/>
          <w:lang w:val="es-CR"/>
        </w:rPr>
        <w:t xml:space="preserve">un </w:t>
      </w:r>
      <w:r w:rsidR="005735AE" w:rsidRPr="005735AE">
        <w:rPr>
          <w:i/>
          <w:iCs/>
          <w:szCs w:val="20"/>
          <w:lang w:val="es-CR"/>
        </w:rPr>
        <w:t xml:space="preserve">afidávit </w:t>
      </w:r>
      <w:r w:rsidR="005735AE" w:rsidRPr="005735AE">
        <w:rPr>
          <w:szCs w:val="20"/>
        </w:rPr>
        <w:t>ofrecido por los representantes (</w:t>
      </w:r>
      <w:r w:rsidR="005735AE" w:rsidRPr="005735AE">
        <w:rPr>
          <w:i/>
          <w:szCs w:val="20"/>
        </w:rPr>
        <w:t xml:space="preserve">infra </w:t>
      </w:r>
      <w:r w:rsidR="005735AE" w:rsidRPr="005735AE">
        <w:rPr>
          <w:szCs w:val="20"/>
        </w:rPr>
        <w:t xml:space="preserve">punto resolutivo </w:t>
      </w:r>
      <w:r w:rsidR="00737BDA">
        <w:rPr>
          <w:szCs w:val="20"/>
        </w:rPr>
        <w:t>4</w:t>
      </w:r>
      <w:r w:rsidR="005735AE" w:rsidRPr="005735AE">
        <w:rPr>
          <w:szCs w:val="20"/>
        </w:rPr>
        <w:t xml:space="preserve">), </w:t>
      </w:r>
      <w:r w:rsidR="005735AE" w:rsidRPr="005735AE">
        <w:rPr>
          <w:szCs w:val="20"/>
          <w:lang w:val="es-CR"/>
        </w:rPr>
        <w:t xml:space="preserve">según lo determinen éstos, </w:t>
      </w:r>
      <w:r w:rsidR="005735AE" w:rsidRPr="005735AE">
        <w:rPr>
          <w:szCs w:val="20"/>
        </w:rPr>
        <w:t>podrá ser cubiert</w:t>
      </w:r>
      <w:r w:rsidR="000003DA">
        <w:rPr>
          <w:szCs w:val="20"/>
        </w:rPr>
        <w:t>o</w:t>
      </w:r>
      <w:r w:rsidR="005735AE" w:rsidRPr="005735AE">
        <w:rPr>
          <w:szCs w:val="20"/>
        </w:rPr>
        <w:t xml:space="preserve"> con recursos del Fondo de Asistencia Legal de Víctimas.</w:t>
      </w:r>
      <w:r w:rsidR="005735AE" w:rsidRPr="005735AE">
        <w:rPr>
          <w:szCs w:val="20"/>
          <w:lang w:val="es-CR"/>
        </w:rPr>
        <w:t xml:space="preserve"> Los representantes deberán comunicar a la Corte </w:t>
      </w:r>
      <w:r w:rsidR="000003DA">
        <w:rPr>
          <w:szCs w:val="20"/>
          <w:lang w:val="es-CR"/>
        </w:rPr>
        <w:t xml:space="preserve">el </w:t>
      </w:r>
      <w:r w:rsidR="005735AE" w:rsidRPr="005735AE">
        <w:rPr>
          <w:szCs w:val="20"/>
          <w:lang w:val="es-CR"/>
        </w:rPr>
        <w:t xml:space="preserve"> nombre de</w:t>
      </w:r>
      <w:r w:rsidR="000003DA">
        <w:rPr>
          <w:szCs w:val="20"/>
          <w:lang w:val="es-CR"/>
        </w:rPr>
        <w:t xml:space="preserve">l declarante </w:t>
      </w:r>
      <w:r w:rsidR="005735AE" w:rsidRPr="005735AE">
        <w:rPr>
          <w:szCs w:val="20"/>
          <w:lang w:val="es-CR"/>
        </w:rPr>
        <w:t xml:space="preserve">cuyo </w:t>
      </w:r>
      <w:r w:rsidR="005735AE" w:rsidRPr="005735AE">
        <w:rPr>
          <w:i/>
          <w:iCs/>
          <w:szCs w:val="20"/>
          <w:lang w:val="es-CR"/>
        </w:rPr>
        <w:t xml:space="preserve">afidávit </w:t>
      </w:r>
      <w:r w:rsidR="005735AE" w:rsidRPr="005735AE">
        <w:rPr>
          <w:iCs/>
          <w:szCs w:val="20"/>
          <w:lang w:val="es-CR"/>
        </w:rPr>
        <w:t xml:space="preserve">será cubierto por el Fondo de Asistencia y remitir la cotización del costo de la formalización de la </w:t>
      </w:r>
      <w:r w:rsidR="000003DA">
        <w:rPr>
          <w:iCs/>
          <w:szCs w:val="20"/>
          <w:lang w:val="es-CR"/>
        </w:rPr>
        <w:t xml:space="preserve">declaración </w:t>
      </w:r>
      <w:r w:rsidR="005735AE" w:rsidRPr="005735AE">
        <w:rPr>
          <w:iCs/>
          <w:szCs w:val="20"/>
          <w:lang w:val="es-CR"/>
        </w:rPr>
        <w:t>jurada en el país de residencia del declarante y de su envío, en el plazo establecido en la parte resolutiva de la presente Resolución (</w:t>
      </w:r>
      <w:r w:rsidR="005735AE" w:rsidRPr="005735AE">
        <w:rPr>
          <w:i/>
          <w:iCs/>
          <w:szCs w:val="20"/>
          <w:lang w:val="es-CR"/>
        </w:rPr>
        <w:t>infra</w:t>
      </w:r>
      <w:r w:rsidR="005735AE" w:rsidRPr="005735AE">
        <w:rPr>
          <w:iCs/>
          <w:szCs w:val="20"/>
          <w:lang w:val="es-CR"/>
        </w:rPr>
        <w:t xml:space="preserve"> punto resolutivo 9).</w:t>
      </w:r>
    </w:p>
    <w:p w:rsidR="000E7FDC" w:rsidRPr="00E917B0" w:rsidRDefault="000E7FDC" w:rsidP="005735AE">
      <w:pPr>
        <w:autoSpaceDE w:val="0"/>
        <w:autoSpaceDN w:val="0"/>
        <w:adjustRightInd w:val="0"/>
        <w:spacing w:after="0"/>
        <w:rPr>
          <w:szCs w:val="20"/>
        </w:rPr>
      </w:pPr>
    </w:p>
    <w:p w:rsidR="000E7FDC" w:rsidRPr="00E917B0" w:rsidRDefault="000E7FDC" w:rsidP="005735AE">
      <w:pPr>
        <w:numPr>
          <w:ilvl w:val="0"/>
          <w:numId w:val="1"/>
        </w:numPr>
        <w:tabs>
          <w:tab w:val="num" w:pos="720"/>
        </w:tabs>
        <w:autoSpaceDE w:val="0"/>
        <w:autoSpaceDN w:val="0"/>
        <w:adjustRightInd w:val="0"/>
        <w:spacing w:after="0"/>
        <w:rPr>
          <w:szCs w:val="20"/>
        </w:rPr>
      </w:pPr>
      <w:r w:rsidRPr="00E917B0">
        <w:rPr>
          <w:szCs w:val="20"/>
        </w:rPr>
        <w:t xml:space="preserve">La Corte realizará las gestiones pertinentes y necesarias para cubrir los costos de traslado, alojamiento y manutención de las personas comparecientes con recursos provenientes del Fondo de Asistencia. </w:t>
      </w:r>
    </w:p>
    <w:p w:rsidR="000E7FDC" w:rsidRPr="00E917B0" w:rsidRDefault="000E7FDC" w:rsidP="005735AE">
      <w:pPr>
        <w:autoSpaceDE w:val="0"/>
        <w:autoSpaceDN w:val="0"/>
        <w:adjustRightInd w:val="0"/>
        <w:spacing w:after="0"/>
        <w:rPr>
          <w:szCs w:val="20"/>
        </w:rPr>
      </w:pPr>
    </w:p>
    <w:p w:rsidR="000E7FDC" w:rsidRPr="00E917B0" w:rsidRDefault="000E7FDC" w:rsidP="005735AE">
      <w:pPr>
        <w:numPr>
          <w:ilvl w:val="0"/>
          <w:numId w:val="1"/>
        </w:numPr>
        <w:tabs>
          <w:tab w:val="num" w:pos="720"/>
        </w:tabs>
        <w:autoSpaceDE w:val="0"/>
        <w:autoSpaceDN w:val="0"/>
        <w:adjustRightInd w:val="0"/>
        <w:spacing w:after="0"/>
        <w:rPr>
          <w:szCs w:val="20"/>
        </w:rPr>
      </w:pPr>
      <w:r w:rsidRPr="00E917B0">
        <w:rPr>
          <w:szCs w:val="20"/>
        </w:rPr>
        <w:t xml:space="preserve">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 </w:t>
      </w:r>
    </w:p>
    <w:p w:rsidR="000E7FDC" w:rsidRPr="00E917B0" w:rsidRDefault="000E7FDC" w:rsidP="005735AE">
      <w:pPr>
        <w:autoSpaceDE w:val="0"/>
        <w:autoSpaceDN w:val="0"/>
        <w:adjustRightInd w:val="0"/>
        <w:spacing w:after="0"/>
        <w:rPr>
          <w:szCs w:val="20"/>
        </w:rPr>
      </w:pPr>
    </w:p>
    <w:p w:rsidR="000E7FDC" w:rsidRPr="00E917B0" w:rsidRDefault="000E7FDC" w:rsidP="005735AE">
      <w:pPr>
        <w:numPr>
          <w:ilvl w:val="0"/>
          <w:numId w:val="1"/>
        </w:numPr>
        <w:tabs>
          <w:tab w:val="num" w:pos="720"/>
        </w:tabs>
        <w:autoSpaceDE w:val="0"/>
        <w:autoSpaceDN w:val="0"/>
        <w:adjustRightInd w:val="0"/>
        <w:spacing w:after="0"/>
        <w:rPr>
          <w:szCs w:val="20"/>
        </w:rPr>
      </w:pPr>
      <w:r w:rsidRPr="00E917B0">
        <w:rPr>
          <w:szCs w:val="20"/>
        </w:rPr>
        <w:t>Finalmente, el Presidente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rsidR="00431A17" w:rsidRDefault="00431A17" w:rsidP="005735AE">
      <w:pPr>
        <w:spacing w:after="0"/>
        <w:rPr>
          <w:szCs w:val="20"/>
        </w:rPr>
      </w:pPr>
    </w:p>
    <w:p w:rsidR="00D725E3" w:rsidRDefault="00D725E3"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p>
    <w:p w:rsidR="00D725E3" w:rsidRDefault="00D725E3"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b/>
          <w:bCs/>
          <w:szCs w:val="20"/>
          <w:lang w:bidi="en-US"/>
        </w:rPr>
        <w:lastRenderedPageBreak/>
        <w:t xml:space="preserve">POR TANTO:  </w:t>
      </w: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b/>
          <w:bCs/>
          <w:szCs w:val="20"/>
          <w:lang w:bidi="en-US"/>
        </w:rPr>
        <w:t xml:space="preserve"> </w:t>
      </w: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r w:rsidRPr="002B670F">
        <w:rPr>
          <w:rFonts w:cs="Verdana"/>
          <w:b/>
          <w:bCs/>
          <w:szCs w:val="20"/>
          <w:lang w:bidi="en-US"/>
        </w:rPr>
        <w:t xml:space="preserve">EL PRESIDENTE </w:t>
      </w:r>
      <w:r w:rsidR="00C561AE" w:rsidRPr="002B670F">
        <w:rPr>
          <w:rFonts w:cs="Verdana"/>
          <w:b/>
          <w:bCs/>
          <w:szCs w:val="20"/>
          <w:lang w:bidi="en-US"/>
        </w:rPr>
        <w:t xml:space="preserve">EN EJERCICIO DE </w:t>
      </w:r>
      <w:r w:rsidRPr="002B670F">
        <w:rPr>
          <w:rFonts w:cs="Verdana"/>
          <w:b/>
          <w:bCs/>
          <w:szCs w:val="20"/>
          <w:lang w:bidi="en-US"/>
        </w:rPr>
        <w:t>LA CORTE INTERAMERICANA DE DERECHOS</w:t>
      </w:r>
      <w:r w:rsidRPr="00E44575">
        <w:rPr>
          <w:rFonts w:cs="Verdana"/>
          <w:b/>
          <w:bCs/>
          <w:szCs w:val="20"/>
          <w:lang w:bidi="en-US"/>
        </w:rPr>
        <w:t xml:space="preserve"> HUMANOS,  </w:t>
      </w: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CE140B"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sidRPr="00CE140B">
        <w:rPr>
          <w:rFonts w:cs="Verdana"/>
          <w:szCs w:val="20"/>
          <w:lang w:bidi="en-US"/>
        </w:rPr>
        <w:t xml:space="preserve">De conformidad con los artículos 24.1 y 25.2 del Estatuto de la Corte y con los artículos 4, 15.1, 26.1, 31.2, 35.1, 40.2, 41.1, </w:t>
      </w:r>
      <w:r w:rsidR="00CE140B" w:rsidRPr="00CE140B">
        <w:rPr>
          <w:rFonts w:cs="Verdana"/>
          <w:szCs w:val="20"/>
          <w:lang w:bidi="en-US"/>
        </w:rPr>
        <w:t>45 a 48</w:t>
      </w:r>
      <w:r w:rsidRPr="00CE140B">
        <w:rPr>
          <w:rFonts w:cs="Verdana"/>
          <w:szCs w:val="20"/>
          <w:lang w:bidi="en-US"/>
        </w:rPr>
        <w:t>, 50 a 56</w:t>
      </w:r>
      <w:r w:rsidR="008C7B8B" w:rsidRPr="00CE140B">
        <w:rPr>
          <w:rFonts w:cs="Verdana"/>
          <w:szCs w:val="20"/>
          <w:lang w:bidi="en-US"/>
        </w:rPr>
        <w:t xml:space="preserve"> </w:t>
      </w:r>
      <w:r w:rsidRPr="00CE140B">
        <w:rPr>
          <w:rFonts w:cs="Verdana"/>
          <w:szCs w:val="20"/>
          <w:lang w:bidi="en-US"/>
        </w:rPr>
        <w:t xml:space="preserve">y 60 del Reglamento del Tribunal,  </w:t>
      </w: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szCs w:val="20"/>
          <w:lang w:bidi="en-US"/>
        </w:rPr>
        <w:t xml:space="preserve"> </w:t>
      </w: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b/>
          <w:bCs/>
          <w:szCs w:val="20"/>
          <w:lang w:bidi="en-US"/>
        </w:rPr>
      </w:pPr>
      <w:r w:rsidRPr="00E44575">
        <w:rPr>
          <w:rFonts w:cs="Verdana"/>
          <w:b/>
          <w:bCs/>
          <w:szCs w:val="20"/>
          <w:lang w:bidi="en-US"/>
        </w:rPr>
        <w:t xml:space="preserve">RESUELVE: </w:t>
      </w:r>
    </w:p>
    <w:p w:rsidR="00431A17" w:rsidRPr="000003DA" w:rsidRDefault="00431A17" w:rsidP="005735AE">
      <w:pPr>
        <w:pStyle w:val="Listavistosa-nfasis11"/>
        <w:widowControl w:val="0"/>
        <w:numPr>
          <w:ilvl w:val="0"/>
          <w:numId w:val="0"/>
        </w:numPr>
        <w:autoSpaceDE w:val="0"/>
        <w:autoSpaceDN w:val="0"/>
        <w:adjustRightInd w:val="0"/>
        <w:spacing w:after="0"/>
        <w:contextualSpacing w:val="0"/>
        <w:rPr>
          <w:rFonts w:cs="Verdana"/>
          <w:szCs w:val="20"/>
          <w:lang w:bidi="en-US"/>
        </w:rPr>
      </w:pPr>
    </w:p>
    <w:p w:rsidR="000003DA" w:rsidRDefault="000003DA" w:rsidP="005735AE">
      <w:pPr>
        <w:pStyle w:val="Listavistosa-nfasis11"/>
        <w:widowControl w:val="0"/>
        <w:numPr>
          <w:ilvl w:val="3"/>
          <w:numId w:val="2"/>
        </w:numPr>
        <w:tabs>
          <w:tab w:val="clear" w:pos="450"/>
          <w:tab w:val="num" w:pos="720"/>
        </w:tabs>
        <w:autoSpaceDE w:val="0"/>
        <w:autoSpaceDN w:val="0"/>
        <w:adjustRightInd w:val="0"/>
        <w:spacing w:after="0"/>
        <w:ind w:left="0" w:firstLine="0"/>
        <w:contextualSpacing w:val="0"/>
        <w:rPr>
          <w:rFonts w:cs="Verdana"/>
          <w:iCs/>
          <w:szCs w:val="20"/>
          <w:lang w:bidi="en-US"/>
        </w:rPr>
      </w:pPr>
      <w:r w:rsidRPr="000003DA">
        <w:rPr>
          <w:rFonts w:cs="Verdana"/>
          <w:iCs/>
          <w:szCs w:val="20"/>
          <w:lang w:bidi="en-US"/>
        </w:rPr>
        <w:t xml:space="preserve">Convocar a la República </w:t>
      </w:r>
      <w:r>
        <w:rPr>
          <w:rFonts w:cs="Verdana"/>
          <w:iCs/>
          <w:szCs w:val="20"/>
          <w:lang w:bidi="en-US"/>
        </w:rPr>
        <w:t>Federativa de Brasil</w:t>
      </w:r>
      <w:r w:rsidRPr="000003DA">
        <w:rPr>
          <w:rFonts w:cs="Verdana"/>
          <w:iCs/>
          <w:szCs w:val="20"/>
          <w:lang w:bidi="en-US"/>
        </w:rPr>
        <w:t xml:space="preserve">, a los representantes de las presuntas víctimas y a la Comisión Interamericana de Derechos Humanos a la audiencia pública que se celebrará durante el </w:t>
      </w:r>
      <w:r>
        <w:rPr>
          <w:rFonts w:cs="Verdana"/>
          <w:iCs/>
          <w:szCs w:val="20"/>
          <w:lang w:bidi="en-US"/>
        </w:rPr>
        <w:t>118</w:t>
      </w:r>
      <w:r w:rsidRPr="000003DA">
        <w:rPr>
          <w:rFonts w:cs="Verdana"/>
          <w:iCs/>
          <w:szCs w:val="20"/>
          <w:lang w:bidi="en-US"/>
        </w:rPr>
        <w:t xml:space="preserve"> Período </w:t>
      </w:r>
      <w:r>
        <w:rPr>
          <w:rFonts w:cs="Verdana"/>
          <w:iCs/>
          <w:szCs w:val="20"/>
          <w:lang w:bidi="en-US"/>
        </w:rPr>
        <w:t>O</w:t>
      </w:r>
      <w:r w:rsidRPr="000003DA">
        <w:rPr>
          <w:rFonts w:cs="Verdana"/>
          <w:iCs/>
          <w:szCs w:val="20"/>
          <w:lang w:bidi="en-US"/>
        </w:rPr>
        <w:t xml:space="preserve">rdinario de Sesiones, en la </w:t>
      </w:r>
      <w:r>
        <w:rPr>
          <w:rFonts w:cs="Verdana"/>
          <w:iCs/>
          <w:szCs w:val="20"/>
          <w:lang w:bidi="en-US"/>
        </w:rPr>
        <w:t>sede del Tribunal</w:t>
      </w:r>
      <w:r w:rsidR="00066C02">
        <w:rPr>
          <w:rFonts w:cs="Verdana"/>
          <w:iCs/>
          <w:szCs w:val="20"/>
          <w:lang w:bidi="en-US"/>
        </w:rPr>
        <w:t xml:space="preserve"> en San José, Costa Rica</w:t>
      </w:r>
      <w:r w:rsidRPr="000003DA">
        <w:rPr>
          <w:rFonts w:cs="Verdana"/>
          <w:iCs/>
          <w:szCs w:val="20"/>
          <w:lang w:bidi="en-US"/>
        </w:rPr>
        <w:t xml:space="preserve">, el </w:t>
      </w:r>
      <w:r w:rsidRPr="00D725E3">
        <w:rPr>
          <w:rFonts w:cs="Verdana"/>
          <w:iCs/>
          <w:szCs w:val="20"/>
          <w:lang w:bidi="en-US"/>
        </w:rPr>
        <w:t>24 de mayo de 2017,</w:t>
      </w:r>
      <w:r w:rsidRPr="000003DA">
        <w:rPr>
          <w:rFonts w:cs="Verdana"/>
          <w:iCs/>
          <w:szCs w:val="20"/>
          <w:lang w:bidi="en-US"/>
        </w:rPr>
        <w:t xml:space="preserve"> a partir de las 9:00 horas, para recibir las declaraciones de las personas que a continuación se mencionan y para recibir los alegatos finales orales y observaciones finales orales, respectivamente, sobre el fondo y eventuales reparaciones y costas</w:t>
      </w:r>
      <w:r w:rsidR="006020F1">
        <w:rPr>
          <w:rFonts w:cs="Verdana"/>
          <w:iCs/>
          <w:szCs w:val="20"/>
          <w:lang w:bidi="en-US"/>
        </w:rPr>
        <w:t>:</w:t>
      </w:r>
    </w:p>
    <w:p w:rsidR="006020F1" w:rsidRDefault="006020F1" w:rsidP="006020F1">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6020F1" w:rsidRPr="00705738" w:rsidRDefault="006020F1" w:rsidP="006020F1">
      <w:pPr>
        <w:pStyle w:val="Listavistosa-nfasis11"/>
        <w:widowControl w:val="0"/>
        <w:numPr>
          <w:ilvl w:val="4"/>
          <w:numId w:val="2"/>
        </w:numPr>
        <w:tabs>
          <w:tab w:val="left" w:pos="560"/>
          <w:tab w:val="left" w:pos="720"/>
          <w:tab w:val="left" w:pos="1680"/>
          <w:tab w:val="left" w:pos="2240"/>
          <w:tab w:val="left" w:pos="2800"/>
          <w:tab w:val="left" w:pos="336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r w:rsidRPr="00705738">
        <w:rPr>
          <w:rFonts w:cs="Verdana"/>
          <w:i/>
          <w:iCs/>
          <w:szCs w:val="20"/>
          <w:u w:val="single"/>
          <w:lang w:bidi="en-US"/>
        </w:rPr>
        <w:t>Presunta víctima (propuesta por los representantes)</w:t>
      </w:r>
    </w:p>
    <w:p w:rsidR="006020F1" w:rsidRPr="00705738" w:rsidRDefault="006020F1" w:rsidP="006020F1">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p>
    <w:p w:rsidR="006020F1" w:rsidRPr="00705738" w:rsidRDefault="006020F1" w:rsidP="006020F1">
      <w:pPr>
        <w:pStyle w:val="Listavistosa-nfasis11"/>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lang w:bidi="en-US"/>
        </w:rPr>
      </w:pPr>
      <w:proofErr w:type="spellStart"/>
      <w:r>
        <w:rPr>
          <w:rFonts w:cs="Verdana"/>
          <w:iCs/>
          <w:szCs w:val="20"/>
          <w:lang w:bidi="en-US"/>
        </w:rPr>
        <w:t>Clarice</w:t>
      </w:r>
      <w:proofErr w:type="spellEnd"/>
      <w:r>
        <w:rPr>
          <w:rFonts w:cs="Verdana"/>
          <w:iCs/>
          <w:szCs w:val="20"/>
          <w:lang w:bidi="en-US"/>
        </w:rPr>
        <w:t xml:space="preserve"> </w:t>
      </w:r>
      <w:proofErr w:type="spellStart"/>
      <w:r>
        <w:rPr>
          <w:rFonts w:cs="Verdana"/>
          <w:iCs/>
          <w:szCs w:val="20"/>
          <w:lang w:bidi="en-US"/>
        </w:rPr>
        <w:t>Herzog</w:t>
      </w:r>
      <w:proofErr w:type="spellEnd"/>
      <w:r>
        <w:rPr>
          <w:rFonts w:cs="Verdana"/>
          <w:iCs/>
          <w:szCs w:val="20"/>
          <w:lang w:bidi="en-US"/>
        </w:rPr>
        <w:t xml:space="preserve">, esposa </w:t>
      </w:r>
      <w:r>
        <w:rPr>
          <w:rFonts w:cs="Arial"/>
          <w:szCs w:val="20"/>
          <w:lang w:val="es-CR" w:eastAsia="es-CR"/>
        </w:rPr>
        <w:t xml:space="preserve">de Vladimir </w:t>
      </w:r>
      <w:proofErr w:type="spellStart"/>
      <w:r>
        <w:rPr>
          <w:rFonts w:cs="Arial"/>
          <w:szCs w:val="20"/>
          <w:lang w:val="es-CR" w:eastAsia="es-CR"/>
        </w:rPr>
        <w:t>Herzog</w:t>
      </w:r>
      <w:proofErr w:type="spellEnd"/>
      <w:r w:rsidR="000C1D8F">
        <w:rPr>
          <w:rFonts w:cs="Verdana"/>
          <w:iCs/>
          <w:szCs w:val="20"/>
          <w:lang w:bidi="en-US"/>
        </w:rPr>
        <w:t>, quien declarará sobre: i) quié</w:t>
      </w:r>
      <w:r>
        <w:rPr>
          <w:rFonts w:cs="Verdana"/>
          <w:iCs/>
          <w:szCs w:val="20"/>
          <w:lang w:bidi="en-US"/>
        </w:rPr>
        <w:t xml:space="preserve">n era Vladimir </w:t>
      </w:r>
      <w:proofErr w:type="spellStart"/>
      <w:r>
        <w:rPr>
          <w:rFonts w:cs="Verdana"/>
          <w:iCs/>
          <w:szCs w:val="20"/>
          <w:lang w:bidi="en-US"/>
        </w:rPr>
        <w:t>Herzog</w:t>
      </w:r>
      <w:proofErr w:type="spellEnd"/>
      <w:r>
        <w:rPr>
          <w:rFonts w:cs="Verdana"/>
          <w:iCs/>
          <w:szCs w:val="20"/>
          <w:lang w:bidi="en-US"/>
        </w:rPr>
        <w:t>; ii) los hechos que presenció; iii) las diligencias en búsqueda de justicia y verdad y las respuestas obtenidas; iv) los daños y afectaciones sufridos en su vida privada y la de sus familiares; v) los obstáculos enfrentados y la respuesta obtenida, y vi) las medidas que el Estado debería adoptar para alcanzar justicia, verdad y memoria en el caso</w:t>
      </w:r>
      <w:r w:rsidRPr="00705738">
        <w:rPr>
          <w:rFonts w:cs="Verdana"/>
          <w:iCs/>
          <w:szCs w:val="20"/>
          <w:lang w:bidi="en-US"/>
        </w:rPr>
        <w:t xml:space="preserve">. </w:t>
      </w:r>
    </w:p>
    <w:p w:rsidR="006020F1" w:rsidRPr="00810E30" w:rsidRDefault="006020F1" w:rsidP="006020F1">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p>
    <w:p w:rsidR="006020F1" w:rsidRDefault="006020F1" w:rsidP="006020F1">
      <w:pPr>
        <w:pStyle w:val="Listavistosa-nfasis11"/>
        <w:widowControl w:val="0"/>
        <w:numPr>
          <w:ilvl w:val="4"/>
          <w:numId w:val="2"/>
        </w:numPr>
        <w:tabs>
          <w:tab w:val="left" w:pos="560"/>
          <w:tab w:val="left" w:pos="720"/>
          <w:tab w:val="left" w:pos="1680"/>
          <w:tab w:val="left" w:pos="2240"/>
          <w:tab w:val="left" w:pos="2700"/>
          <w:tab w:val="left" w:pos="2800"/>
          <w:tab w:val="left" w:pos="336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r>
        <w:rPr>
          <w:rFonts w:cs="Verdana"/>
          <w:i/>
          <w:iCs/>
          <w:szCs w:val="20"/>
          <w:u w:val="single"/>
          <w:lang w:bidi="en-US"/>
        </w:rPr>
        <w:t>Testigo (propuesto por los representantes)</w:t>
      </w:r>
    </w:p>
    <w:p w:rsidR="006020F1" w:rsidRDefault="006020F1" w:rsidP="006020F1">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u w:val="single"/>
          <w:lang w:bidi="en-US"/>
        </w:rPr>
      </w:pPr>
    </w:p>
    <w:p w:rsidR="006020F1" w:rsidRPr="00810E30" w:rsidRDefault="006020F1" w:rsidP="006020F1">
      <w:pPr>
        <w:pStyle w:val="Listavistosa-nfasis11"/>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Cs/>
          <w:szCs w:val="20"/>
          <w:u w:val="single"/>
          <w:lang w:bidi="en-US"/>
        </w:rPr>
      </w:pPr>
      <w:r>
        <w:rPr>
          <w:rFonts w:cs="Verdana"/>
          <w:iCs/>
          <w:szCs w:val="20"/>
          <w:lang w:bidi="en-US"/>
        </w:rPr>
        <w:t xml:space="preserve">Marlon Weichert, Procurador de la República del </w:t>
      </w:r>
      <w:r w:rsidR="000C1D8F">
        <w:rPr>
          <w:rFonts w:cs="Verdana"/>
          <w:iCs/>
          <w:szCs w:val="20"/>
          <w:lang w:bidi="en-US"/>
        </w:rPr>
        <w:t>Ministerio Público Federal, quie</w:t>
      </w:r>
      <w:r>
        <w:rPr>
          <w:rFonts w:cs="Verdana"/>
          <w:iCs/>
          <w:szCs w:val="20"/>
          <w:lang w:bidi="en-US"/>
        </w:rPr>
        <w:t xml:space="preserve">n declarará sobre: i) el contexto de ocultamiento de la verdad respecto de los hechos referentes a la dictadura militar; ii) el acceso a los archivos militares; iii) la Acción Civil Pública de 2008 presentada por el Ministerio Público Federal, y sus resultados; iv) las alegadas dificultades enfrentadas en la administración de justicia para el reconocimiento del derecho a la verdad y justicia en Brasil, v) el patrón de violaciones de derechos humanos ocurridas en la dictadura militar brasileña, y </w:t>
      </w:r>
      <w:r w:rsidRPr="006020F1">
        <w:rPr>
          <w:rFonts w:cs="Verdana"/>
          <w:iCs/>
          <w:szCs w:val="20"/>
          <w:lang w:bidi="en-US"/>
        </w:rPr>
        <w:t>vi) los efectos de la ley de amnistía y otros alegados obstáculos procesales en relación con las iniciativas judiciales iniciadas en el año 2008 por parte del Ministerio Público Federal.</w:t>
      </w:r>
      <w:r>
        <w:rPr>
          <w:rFonts w:cs="Verdana"/>
          <w:iCs/>
          <w:szCs w:val="20"/>
          <w:lang w:bidi="en-US"/>
        </w:rPr>
        <w:t xml:space="preserve"> </w:t>
      </w:r>
    </w:p>
    <w:p w:rsidR="006020F1" w:rsidRPr="00637A7E" w:rsidRDefault="006020F1" w:rsidP="006020F1">
      <w:pPr>
        <w:pStyle w:val="Listavistosa-nfasis11"/>
        <w:widowControl w:val="0"/>
        <w:numPr>
          <w:ilvl w:val="0"/>
          <w:numId w:val="0"/>
        </w:numPr>
        <w:tabs>
          <w:tab w:val="left" w:pos="1080"/>
        </w:tabs>
        <w:autoSpaceDE w:val="0"/>
        <w:autoSpaceDN w:val="0"/>
        <w:adjustRightInd w:val="0"/>
        <w:spacing w:after="0"/>
        <w:contextualSpacing w:val="0"/>
        <w:rPr>
          <w:rFonts w:cs="Verdana"/>
          <w:i/>
          <w:iCs/>
          <w:szCs w:val="20"/>
          <w:lang w:bidi="en-US"/>
        </w:rPr>
      </w:pPr>
    </w:p>
    <w:p w:rsidR="006020F1" w:rsidRPr="00810E30" w:rsidRDefault="006020F1" w:rsidP="006020F1">
      <w:pPr>
        <w:pStyle w:val="Listavistosa-nfasis11"/>
        <w:widowControl w:val="0"/>
        <w:numPr>
          <w:ilvl w:val="4"/>
          <w:numId w:val="2"/>
        </w:numPr>
        <w:tabs>
          <w:tab w:val="left" w:pos="720"/>
        </w:tabs>
        <w:autoSpaceDE w:val="0"/>
        <w:autoSpaceDN w:val="0"/>
        <w:adjustRightInd w:val="0"/>
        <w:spacing w:after="0"/>
        <w:ind w:left="720"/>
        <w:contextualSpacing w:val="0"/>
        <w:rPr>
          <w:rFonts w:cs="Verdana"/>
          <w:i/>
          <w:iCs/>
          <w:szCs w:val="20"/>
          <w:u w:val="single"/>
          <w:lang w:bidi="en-US"/>
        </w:rPr>
      </w:pPr>
      <w:r w:rsidRPr="00637A7E">
        <w:rPr>
          <w:rFonts w:cs="Times New Roman"/>
          <w:i/>
          <w:color w:val="000000"/>
          <w:szCs w:val="20"/>
          <w:u w:val="single"/>
          <w:lang w:val="es-CR" w:eastAsia="en-US"/>
        </w:rPr>
        <w:t>Perito</w:t>
      </w:r>
      <w:r>
        <w:rPr>
          <w:rFonts w:cs="Times New Roman"/>
          <w:i/>
          <w:color w:val="000000"/>
          <w:szCs w:val="20"/>
          <w:u w:val="single"/>
          <w:lang w:val="es-CR" w:eastAsia="en-US"/>
        </w:rPr>
        <w:t>s</w:t>
      </w:r>
      <w:r w:rsidRPr="00637A7E">
        <w:rPr>
          <w:rFonts w:cs="Times New Roman"/>
          <w:i/>
          <w:color w:val="000000"/>
          <w:szCs w:val="20"/>
          <w:u w:val="single"/>
          <w:lang w:val="es-CR" w:eastAsia="en-US"/>
        </w:rPr>
        <w:t xml:space="preserve"> (propuest</w:t>
      </w:r>
      <w:r>
        <w:rPr>
          <w:rFonts w:cs="Times New Roman"/>
          <w:i/>
          <w:color w:val="000000"/>
          <w:szCs w:val="20"/>
          <w:u w:val="single"/>
          <w:lang w:val="es-CR" w:eastAsia="en-US"/>
        </w:rPr>
        <w:t>o</w:t>
      </w:r>
      <w:r w:rsidRPr="00637A7E">
        <w:rPr>
          <w:rFonts w:cs="Times New Roman"/>
          <w:i/>
          <w:color w:val="000000"/>
          <w:szCs w:val="20"/>
          <w:u w:val="single"/>
          <w:lang w:val="es-CR" w:eastAsia="en-US"/>
        </w:rPr>
        <w:t xml:space="preserve"> por los representante</w:t>
      </w:r>
      <w:r>
        <w:rPr>
          <w:rFonts w:cs="Times New Roman"/>
          <w:i/>
          <w:color w:val="000000"/>
          <w:szCs w:val="20"/>
          <w:u w:val="single"/>
          <w:lang w:val="es-CR" w:eastAsia="en-US"/>
        </w:rPr>
        <w:t>s</w:t>
      </w:r>
      <w:r w:rsidRPr="00637A7E">
        <w:rPr>
          <w:rFonts w:cs="Times New Roman"/>
          <w:i/>
          <w:color w:val="000000"/>
          <w:szCs w:val="20"/>
          <w:u w:val="single"/>
          <w:lang w:val="es-CR" w:eastAsia="en-US"/>
        </w:rPr>
        <w:t>)</w:t>
      </w:r>
    </w:p>
    <w:p w:rsidR="006020F1" w:rsidRDefault="006020F1" w:rsidP="006020F1">
      <w:pPr>
        <w:pStyle w:val="Listavistosa-nfasis11"/>
        <w:widowControl w:val="0"/>
        <w:numPr>
          <w:ilvl w:val="0"/>
          <w:numId w:val="0"/>
        </w:numPr>
        <w:tabs>
          <w:tab w:val="left" w:pos="1080"/>
        </w:tabs>
        <w:autoSpaceDE w:val="0"/>
        <w:autoSpaceDN w:val="0"/>
        <w:adjustRightInd w:val="0"/>
        <w:spacing w:after="0"/>
        <w:ind w:left="720"/>
        <w:contextualSpacing w:val="0"/>
        <w:rPr>
          <w:rFonts w:cs="Times New Roman"/>
          <w:i/>
          <w:color w:val="000000"/>
          <w:szCs w:val="20"/>
          <w:u w:val="single"/>
          <w:lang w:val="es-CR" w:eastAsia="en-US"/>
        </w:rPr>
      </w:pPr>
    </w:p>
    <w:p w:rsidR="006020F1" w:rsidRPr="000D14FD" w:rsidRDefault="006020F1" w:rsidP="006020F1">
      <w:pPr>
        <w:pStyle w:val="Listavistosa-nfasis11"/>
        <w:widowControl w:val="0"/>
        <w:numPr>
          <w:ilvl w:val="0"/>
          <w:numId w:val="40"/>
        </w:numPr>
        <w:tabs>
          <w:tab w:val="left" w:pos="1080"/>
        </w:tabs>
        <w:autoSpaceDE w:val="0"/>
        <w:autoSpaceDN w:val="0"/>
        <w:adjustRightInd w:val="0"/>
        <w:spacing w:after="0"/>
        <w:contextualSpacing w:val="0"/>
        <w:rPr>
          <w:rFonts w:cs="Verdana"/>
          <w:iCs/>
          <w:szCs w:val="20"/>
          <w:u w:val="single"/>
          <w:lang w:bidi="en-US"/>
        </w:rPr>
      </w:pPr>
      <w:r>
        <w:rPr>
          <w:rFonts w:cs="Verdana"/>
          <w:iCs/>
          <w:szCs w:val="20"/>
          <w:lang w:bidi="en-US"/>
        </w:rPr>
        <w:t>Sergio Gardenghi Suiama, Procurador de la República del Ministerio Público Federal, quien declarará sobre: i) la existencia de una práctica sistemática de prisiones arbitrarias, torturas, ejecuciones sumarias y desapariciones forzadas de personas en Brasil en la época de los hechos del presente caso, y ii) la ocultación de la verdad sobre crímenes practicados en la dictadura militar, incluso con versiones de falsos suicidios. Realizará un balance de las iniciativas del Estado para investigar y sancionar a los responsables de estas violaciones de derechos humanos desde la década de 1970 hasta la actualidad, incluyendo sus resultados y obstáculos, así como recomendaciones para la efectuación del derecho a justicia y verdad.</w:t>
      </w:r>
    </w:p>
    <w:p w:rsidR="006020F1" w:rsidRPr="00810E30" w:rsidRDefault="006020F1" w:rsidP="006020F1">
      <w:pPr>
        <w:pStyle w:val="Listavistosa-nfasis11"/>
        <w:widowControl w:val="0"/>
        <w:numPr>
          <w:ilvl w:val="0"/>
          <w:numId w:val="0"/>
        </w:numPr>
        <w:tabs>
          <w:tab w:val="left" w:pos="1080"/>
        </w:tabs>
        <w:autoSpaceDE w:val="0"/>
        <w:autoSpaceDN w:val="0"/>
        <w:adjustRightInd w:val="0"/>
        <w:spacing w:after="0"/>
        <w:ind w:left="1080"/>
        <w:contextualSpacing w:val="0"/>
        <w:rPr>
          <w:rFonts w:cs="Verdana"/>
          <w:iCs/>
          <w:szCs w:val="20"/>
          <w:u w:val="single"/>
          <w:lang w:bidi="en-US"/>
        </w:rPr>
      </w:pPr>
    </w:p>
    <w:p w:rsidR="006020F1" w:rsidRPr="0090127D" w:rsidRDefault="00B53384" w:rsidP="006020F1">
      <w:pPr>
        <w:pStyle w:val="Listavistosa-nfasis11"/>
        <w:widowControl w:val="0"/>
        <w:numPr>
          <w:ilvl w:val="4"/>
          <w:numId w:val="2"/>
        </w:numPr>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spacing w:after="0"/>
        <w:ind w:left="720"/>
        <w:contextualSpacing w:val="0"/>
        <w:rPr>
          <w:rFonts w:cs="Helvetica"/>
          <w:i/>
          <w:szCs w:val="20"/>
          <w:u w:val="single"/>
          <w:lang w:bidi="en-US"/>
        </w:rPr>
      </w:pPr>
      <w:r>
        <w:rPr>
          <w:rFonts w:cs="Verdana"/>
          <w:i/>
          <w:szCs w:val="20"/>
          <w:u w:val="single"/>
          <w:lang w:bidi="en-US"/>
        </w:rPr>
        <w:lastRenderedPageBreak/>
        <w:t>Perit</w:t>
      </w:r>
      <w:r w:rsidR="001A7496">
        <w:rPr>
          <w:rFonts w:cs="Verdana"/>
          <w:i/>
          <w:szCs w:val="20"/>
          <w:u w:val="single"/>
          <w:lang w:bidi="en-US"/>
        </w:rPr>
        <w:t>o</w:t>
      </w:r>
      <w:r w:rsidR="006020F1" w:rsidRPr="0090127D">
        <w:rPr>
          <w:rFonts w:cs="Verdana"/>
          <w:i/>
          <w:szCs w:val="20"/>
          <w:u w:val="single"/>
          <w:lang w:bidi="en-US"/>
        </w:rPr>
        <w:t xml:space="preserve"> (propuesto</w:t>
      </w:r>
      <w:r w:rsidR="006020F1">
        <w:rPr>
          <w:rFonts w:cs="Verdana"/>
          <w:i/>
          <w:szCs w:val="20"/>
          <w:u w:val="single"/>
          <w:lang w:bidi="en-US"/>
        </w:rPr>
        <w:t>s</w:t>
      </w:r>
      <w:r w:rsidR="006020F1" w:rsidRPr="0090127D">
        <w:rPr>
          <w:rFonts w:cs="Verdana"/>
          <w:i/>
          <w:szCs w:val="20"/>
          <w:u w:val="single"/>
          <w:lang w:bidi="en-US"/>
        </w:rPr>
        <w:t xml:space="preserve"> por el Estado) </w:t>
      </w:r>
    </w:p>
    <w:p w:rsidR="006020F1" w:rsidRPr="00C641D0" w:rsidRDefault="006020F1" w:rsidP="006020F1">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i/>
          <w:szCs w:val="20"/>
          <w:highlight w:val="green"/>
          <w:lang w:val="es-ES" w:bidi="en-US"/>
        </w:rPr>
      </w:pPr>
    </w:p>
    <w:p w:rsidR="006020F1" w:rsidRPr="001A7496" w:rsidRDefault="006020F1" w:rsidP="001A7496">
      <w:pPr>
        <w:pStyle w:val="Listavistosa-nfasis11"/>
        <w:widowControl w:val="0"/>
        <w:numPr>
          <w:ilvl w:val="0"/>
          <w:numId w:val="0"/>
        </w:numPr>
        <w:tabs>
          <w:tab w:val="left" w:pos="56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360"/>
        <w:contextualSpacing w:val="0"/>
        <w:rPr>
          <w:bCs/>
          <w:lang w:val="es-CR" w:eastAsia="es-CR"/>
        </w:rPr>
      </w:pPr>
      <w:r w:rsidRPr="00AA4666">
        <w:rPr>
          <w:bCs/>
          <w:lang w:val="es-CR" w:eastAsia="es-CR"/>
        </w:rPr>
        <w:t>1)</w:t>
      </w:r>
      <w:r>
        <w:rPr>
          <w:bCs/>
          <w:lang w:val="es-CR" w:eastAsia="es-CR"/>
        </w:rPr>
        <w:t xml:space="preserve"> </w:t>
      </w:r>
      <w:r w:rsidR="001A7496" w:rsidRPr="009256D2">
        <w:rPr>
          <w:bCs/>
          <w:lang w:val="es-CR" w:eastAsia="es-CR"/>
        </w:rPr>
        <w:t xml:space="preserve">Alberto </w:t>
      </w:r>
      <w:proofErr w:type="spellStart"/>
      <w:r w:rsidR="001A7496" w:rsidRPr="009256D2">
        <w:rPr>
          <w:bCs/>
          <w:lang w:val="es-CR" w:eastAsia="es-CR"/>
        </w:rPr>
        <w:t>Zacharias</w:t>
      </w:r>
      <w:proofErr w:type="spellEnd"/>
      <w:r w:rsidR="001A7496" w:rsidRPr="009256D2">
        <w:rPr>
          <w:bCs/>
          <w:lang w:val="es-CR" w:eastAsia="es-CR"/>
        </w:rPr>
        <w:t xml:space="preserve"> </w:t>
      </w:r>
      <w:proofErr w:type="spellStart"/>
      <w:r w:rsidR="001A7496" w:rsidRPr="009256D2">
        <w:rPr>
          <w:bCs/>
          <w:lang w:val="es-CR" w:eastAsia="es-CR"/>
        </w:rPr>
        <w:t>Toron</w:t>
      </w:r>
      <w:proofErr w:type="spellEnd"/>
      <w:r w:rsidR="001A7496" w:rsidRPr="009256D2">
        <w:rPr>
          <w:bCs/>
          <w:lang w:val="es-CR" w:eastAsia="es-CR"/>
        </w:rPr>
        <w:t>, abogado criminalista, quien declarará sobre: i) las garantías de prescripción, cosa juzgada e irretroactividad de la ley penal más severa con límites a la actuación del Estado; ii) la compatibilidad de esas garantías con la Convención Americana sobre Derechos Humanos; iii) la imposibilidad de establecer la imprescriptibilidad de un crimen en el ámbito doméstico a partir del Estatuto de Roma o de la costumbre, y iv) la imposibilidad de establecer la imprescriptibilidad para un crimen pretérito</w:t>
      </w:r>
      <w:r w:rsidR="001A7496">
        <w:rPr>
          <w:bCs/>
          <w:lang w:val="es-CR" w:eastAsia="es-CR"/>
        </w:rPr>
        <w:t>.</w:t>
      </w:r>
    </w:p>
    <w:p w:rsidR="006020F1" w:rsidRDefault="006020F1" w:rsidP="006020F1">
      <w:pPr>
        <w:pStyle w:val="Listavistosa-nfasis11"/>
        <w:numPr>
          <w:ilvl w:val="0"/>
          <w:numId w:val="0"/>
        </w:numPr>
        <w:spacing w:after="0"/>
        <w:contextualSpacing w:val="0"/>
        <w:rPr>
          <w:rFonts w:cs="Verdana"/>
          <w:szCs w:val="20"/>
          <w:lang w:bidi="en-US"/>
        </w:rPr>
      </w:pPr>
    </w:p>
    <w:p w:rsidR="006020F1" w:rsidRDefault="006020F1" w:rsidP="006020F1">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Pr>
          <w:rFonts w:cs="Verdana"/>
          <w:iCs/>
          <w:szCs w:val="20"/>
          <w:lang w:bidi="en-US"/>
        </w:rPr>
        <w:t>Requerir a los peritos convocados a declarar en audiencia pública que, de considerarlo conveniente, aporten una versión escrita d</w:t>
      </w:r>
      <w:r w:rsidR="001E18AD">
        <w:rPr>
          <w:rFonts w:cs="Verdana"/>
          <w:iCs/>
          <w:szCs w:val="20"/>
          <w:lang w:bidi="en-US"/>
        </w:rPr>
        <w:t xml:space="preserve">e su peritaje a más tardar el </w:t>
      </w:r>
      <w:r w:rsidR="00D725E3">
        <w:rPr>
          <w:rFonts w:cs="Verdana"/>
          <w:iCs/>
          <w:szCs w:val="20"/>
          <w:lang w:bidi="en-US"/>
        </w:rPr>
        <w:t>16</w:t>
      </w:r>
      <w:r w:rsidRPr="00D725E3">
        <w:rPr>
          <w:rFonts w:cs="Verdana"/>
          <w:iCs/>
          <w:szCs w:val="20"/>
          <w:lang w:bidi="en-US"/>
        </w:rPr>
        <w:t xml:space="preserve"> de mayo de 2017</w:t>
      </w:r>
      <w:r>
        <w:rPr>
          <w:rFonts w:cs="Verdana"/>
          <w:iCs/>
          <w:szCs w:val="20"/>
          <w:lang w:bidi="en-US"/>
        </w:rPr>
        <w:t>.</w:t>
      </w:r>
    </w:p>
    <w:p w:rsidR="006020F1" w:rsidRPr="001C71F3" w:rsidRDefault="006020F1" w:rsidP="006020F1">
      <w:pPr>
        <w:pStyle w:val="Listavistosa-nfasis11"/>
        <w:widowControl w:val="0"/>
        <w:numPr>
          <w:ilvl w:val="0"/>
          <w:numId w:val="0"/>
        </w:numPr>
        <w:tabs>
          <w:tab w:val="left" w:pos="0"/>
        </w:tabs>
        <w:autoSpaceDE w:val="0"/>
        <w:autoSpaceDN w:val="0"/>
        <w:adjustRightInd w:val="0"/>
        <w:spacing w:after="0"/>
        <w:contextualSpacing w:val="0"/>
        <w:rPr>
          <w:rFonts w:cs="Verdana"/>
          <w:iCs/>
          <w:szCs w:val="20"/>
          <w:lang w:bidi="en-US"/>
        </w:rPr>
      </w:pPr>
    </w:p>
    <w:p w:rsidR="006020F1" w:rsidRPr="00E34DF8" w:rsidRDefault="006020F1" w:rsidP="006020F1">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Requerir al Estado de Brasil 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rsidR="009256D2" w:rsidRDefault="009256D2" w:rsidP="009256D2">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6020F1" w:rsidRDefault="009256D2" w:rsidP="005735AE">
      <w:pPr>
        <w:pStyle w:val="Listavistosa-nfasis11"/>
        <w:widowControl w:val="0"/>
        <w:numPr>
          <w:ilvl w:val="3"/>
          <w:numId w:val="2"/>
        </w:numPr>
        <w:tabs>
          <w:tab w:val="clear" w:pos="450"/>
          <w:tab w:val="num" w:pos="720"/>
        </w:tabs>
        <w:autoSpaceDE w:val="0"/>
        <w:autoSpaceDN w:val="0"/>
        <w:adjustRightInd w:val="0"/>
        <w:spacing w:after="0"/>
        <w:ind w:left="0" w:firstLine="0"/>
        <w:contextualSpacing w:val="0"/>
        <w:rPr>
          <w:rFonts w:cs="Verdana"/>
          <w:iCs/>
          <w:szCs w:val="20"/>
          <w:lang w:bidi="en-US"/>
        </w:rPr>
      </w:pPr>
      <w:r w:rsidRPr="009256D2">
        <w:rPr>
          <w:rFonts w:cs="Verdana"/>
          <w:iCs/>
          <w:szCs w:val="20"/>
          <w:lang w:bidi="en-US"/>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w:t>
      </w:r>
    </w:p>
    <w:p w:rsidR="000003DA" w:rsidRDefault="000003DA" w:rsidP="000003DA">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A52FBC" w:rsidRPr="00666289" w:rsidRDefault="00A52FBC" w:rsidP="005735AE">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i/>
          <w:szCs w:val="20"/>
          <w:u w:val="single"/>
          <w:lang w:bidi="en-US"/>
        </w:rPr>
      </w:pPr>
      <w:r w:rsidRPr="00666289">
        <w:rPr>
          <w:rFonts w:cs="Helvetica"/>
          <w:i/>
          <w:szCs w:val="20"/>
          <w:u w:val="single"/>
          <w:lang w:bidi="en-US"/>
        </w:rPr>
        <w:t>Presuntas víctimas (propuestas por los representantes)</w:t>
      </w:r>
    </w:p>
    <w:p w:rsidR="00440840" w:rsidRDefault="00440840"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u w:val="single"/>
          <w:lang w:bidi="en-US"/>
        </w:rPr>
      </w:pPr>
    </w:p>
    <w:p w:rsidR="00A12CCC" w:rsidRPr="00A12CCC" w:rsidRDefault="00A12CCC" w:rsidP="005735AE">
      <w:pPr>
        <w:pStyle w:val="Listavistosa-nfasis11"/>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u w:val="single"/>
          <w:lang w:val="es-CR" w:bidi="en-US"/>
        </w:rPr>
      </w:pPr>
      <w:r>
        <w:rPr>
          <w:rFonts w:cs="Arial"/>
          <w:szCs w:val="20"/>
          <w:lang w:val="es-CR" w:eastAsia="es-CR"/>
        </w:rPr>
        <w:t xml:space="preserve">André </w:t>
      </w:r>
      <w:proofErr w:type="spellStart"/>
      <w:r>
        <w:rPr>
          <w:rFonts w:cs="Arial"/>
          <w:szCs w:val="20"/>
          <w:lang w:val="es-CR" w:eastAsia="es-CR"/>
        </w:rPr>
        <w:t>Herzog</w:t>
      </w:r>
      <w:proofErr w:type="spellEnd"/>
      <w:r w:rsidR="00594A49">
        <w:rPr>
          <w:rFonts w:cs="Arial"/>
          <w:szCs w:val="20"/>
          <w:lang w:val="es-CR" w:eastAsia="es-CR"/>
        </w:rPr>
        <w:t xml:space="preserve">, hijo de Vladimir </w:t>
      </w:r>
      <w:proofErr w:type="spellStart"/>
      <w:r w:rsidR="00594A49">
        <w:rPr>
          <w:rFonts w:cs="Arial"/>
          <w:szCs w:val="20"/>
          <w:lang w:val="es-CR" w:eastAsia="es-CR"/>
        </w:rPr>
        <w:t>Herzog</w:t>
      </w:r>
      <w:proofErr w:type="spellEnd"/>
      <w:r w:rsidR="00594A49">
        <w:rPr>
          <w:rFonts w:cs="Arial"/>
          <w:szCs w:val="20"/>
          <w:lang w:val="es-CR" w:eastAsia="es-CR"/>
        </w:rPr>
        <w:t>.</w:t>
      </w:r>
    </w:p>
    <w:p w:rsidR="00A567DE" w:rsidRPr="006D01E7" w:rsidRDefault="00A12CCC" w:rsidP="005735AE">
      <w:pPr>
        <w:pStyle w:val="Listavistosa-nfasis11"/>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u w:val="single"/>
          <w:lang w:val="es-CR" w:bidi="en-US"/>
        </w:rPr>
      </w:pPr>
      <w:r w:rsidRPr="006D01E7">
        <w:rPr>
          <w:rFonts w:cs="Arial"/>
          <w:szCs w:val="20"/>
          <w:lang w:val="es-CR" w:eastAsia="es-CR"/>
        </w:rPr>
        <w:t xml:space="preserve">Ivo </w:t>
      </w:r>
      <w:proofErr w:type="spellStart"/>
      <w:r w:rsidRPr="006D01E7">
        <w:rPr>
          <w:rFonts w:cs="Arial"/>
          <w:szCs w:val="20"/>
          <w:lang w:val="es-CR" w:eastAsia="es-CR"/>
        </w:rPr>
        <w:t>Herzog</w:t>
      </w:r>
      <w:proofErr w:type="spellEnd"/>
      <w:r w:rsidR="00594A49" w:rsidRPr="006D01E7">
        <w:rPr>
          <w:rFonts w:cs="Arial"/>
          <w:szCs w:val="20"/>
          <w:lang w:val="es-CR" w:eastAsia="es-CR"/>
        </w:rPr>
        <w:t xml:space="preserve">, hijo de Vladimir </w:t>
      </w:r>
      <w:proofErr w:type="spellStart"/>
      <w:r w:rsidR="00594A49" w:rsidRPr="006D01E7">
        <w:rPr>
          <w:rFonts w:cs="Arial"/>
          <w:szCs w:val="20"/>
          <w:lang w:val="es-CR" w:eastAsia="es-CR"/>
        </w:rPr>
        <w:t>Herzog</w:t>
      </w:r>
      <w:proofErr w:type="spellEnd"/>
      <w:r w:rsidR="00594A49" w:rsidRPr="006D01E7">
        <w:rPr>
          <w:rFonts w:cs="Arial"/>
          <w:szCs w:val="20"/>
          <w:lang w:val="es-CR" w:eastAsia="es-CR"/>
        </w:rPr>
        <w:t>.</w:t>
      </w:r>
    </w:p>
    <w:p w:rsidR="00A567DE" w:rsidRPr="00A17CE7" w:rsidRDefault="00A567DE"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contextualSpacing w:val="0"/>
        <w:rPr>
          <w:rFonts w:cs="Helvetica"/>
          <w:szCs w:val="20"/>
          <w:u w:val="single"/>
          <w:lang w:val="es-CR" w:bidi="en-US"/>
        </w:rPr>
      </w:pPr>
    </w:p>
    <w:p w:rsidR="00431A17" w:rsidRPr="00A42367" w:rsidRDefault="00A52FBC"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contextualSpacing w:val="0"/>
        <w:rPr>
          <w:rFonts w:eastAsia="Times New Roman" w:cs="Verdana"/>
          <w:szCs w:val="20"/>
          <w:lang w:val="es-CL" w:eastAsia="en-US"/>
        </w:rPr>
      </w:pPr>
      <w:r w:rsidRPr="00440840">
        <w:rPr>
          <w:rFonts w:cs="Times New Roman"/>
          <w:color w:val="000000"/>
          <w:szCs w:val="20"/>
          <w:lang w:val="es-CR" w:eastAsia="en-US"/>
        </w:rPr>
        <w:t>Las presuntas víctimas señaladas declararán sobre</w:t>
      </w:r>
      <w:r w:rsidR="00A567DE">
        <w:rPr>
          <w:rFonts w:cs="Times New Roman"/>
          <w:color w:val="000000"/>
          <w:szCs w:val="20"/>
          <w:lang w:val="es-CR" w:eastAsia="en-US"/>
        </w:rPr>
        <w:t>: i)</w:t>
      </w:r>
      <w:r w:rsidR="00440840" w:rsidRPr="00440840">
        <w:rPr>
          <w:rFonts w:cs="Times New Roman"/>
          <w:color w:val="000000"/>
          <w:szCs w:val="20"/>
          <w:lang w:val="es-CR" w:eastAsia="en-US"/>
        </w:rPr>
        <w:t xml:space="preserve"> </w:t>
      </w:r>
      <w:r w:rsidR="00A12CCC">
        <w:rPr>
          <w:rFonts w:cs="Times New Roman"/>
          <w:color w:val="000000"/>
          <w:szCs w:val="20"/>
          <w:lang w:val="es-CR" w:eastAsia="en-US"/>
        </w:rPr>
        <w:t xml:space="preserve">los </w:t>
      </w:r>
      <w:r w:rsidR="00A17CE7">
        <w:rPr>
          <w:rFonts w:eastAsia="Times New Roman" w:cs="Verdana"/>
          <w:szCs w:val="20"/>
          <w:lang w:val="es-CL" w:eastAsia="en-US"/>
        </w:rPr>
        <w:t>hechos que presenciaron</w:t>
      </w:r>
      <w:r w:rsidR="00A567DE">
        <w:rPr>
          <w:rFonts w:eastAsia="Times New Roman" w:cs="Verdana"/>
          <w:szCs w:val="20"/>
          <w:lang w:val="es-CL" w:eastAsia="en-US"/>
        </w:rPr>
        <w:t>; ii)</w:t>
      </w:r>
      <w:r w:rsidRPr="00440840">
        <w:rPr>
          <w:rFonts w:eastAsia="Times New Roman" w:cs="Verdana"/>
          <w:szCs w:val="20"/>
          <w:lang w:val="es-CL" w:eastAsia="en-US"/>
        </w:rPr>
        <w:t xml:space="preserve"> </w:t>
      </w:r>
      <w:r w:rsidR="00A12CCC">
        <w:rPr>
          <w:rFonts w:eastAsia="Times New Roman" w:cs="Verdana"/>
          <w:szCs w:val="20"/>
          <w:lang w:val="es-CL" w:eastAsia="en-US"/>
        </w:rPr>
        <w:t>la</w:t>
      </w:r>
      <w:r w:rsidR="00A42367">
        <w:rPr>
          <w:rFonts w:eastAsia="Times New Roman" w:cs="Verdana"/>
          <w:szCs w:val="20"/>
          <w:lang w:val="es-CL" w:eastAsia="en-US"/>
        </w:rPr>
        <w:t>s diligencias realizadas en</w:t>
      </w:r>
      <w:r w:rsidR="00A12CCC">
        <w:rPr>
          <w:rFonts w:eastAsia="Times New Roman" w:cs="Verdana"/>
          <w:szCs w:val="20"/>
          <w:lang w:val="es-CL" w:eastAsia="en-US"/>
        </w:rPr>
        <w:t xml:space="preserve"> búsqueda </w:t>
      </w:r>
      <w:r w:rsidR="00A42367">
        <w:rPr>
          <w:rFonts w:eastAsia="Times New Roman" w:cs="Verdana"/>
          <w:szCs w:val="20"/>
          <w:lang w:val="es-CL" w:eastAsia="en-US"/>
        </w:rPr>
        <w:t>de</w:t>
      </w:r>
      <w:r w:rsidR="00A12CCC">
        <w:rPr>
          <w:rFonts w:eastAsia="Times New Roman" w:cs="Verdana"/>
          <w:szCs w:val="20"/>
          <w:lang w:val="es-CL" w:eastAsia="en-US"/>
        </w:rPr>
        <w:t xml:space="preserve"> verdad y</w:t>
      </w:r>
      <w:r w:rsidR="00A17CE7">
        <w:rPr>
          <w:rFonts w:eastAsia="Times New Roman" w:cs="Verdana"/>
          <w:szCs w:val="20"/>
          <w:lang w:val="es-CL" w:eastAsia="en-US"/>
        </w:rPr>
        <w:t xml:space="preserve"> justicia,</w:t>
      </w:r>
      <w:r w:rsidR="00A42367">
        <w:rPr>
          <w:rFonts w:eastAsia="Times New Roman" w:cs="Verdana"/>
          <w:szCs w:val="20"/>
          <w:lang w:val="es-CL" w:eastAsia="en-US"/>
        </w:rPr>
        <w:t xml:space="preserve"> y</w:t>
      </w:r>
      <w:r w:rsidR="00A17CE7">
        <w:rPr>
          <w:rFonts w:eastAsia="Times New Roman" w:cs="Verdana"/>
          <w:szCs w:val="20"/>
          <w:lang w:val="es-CL" w:eastAsia="en-US"/>
        </w:rPr>
        <w:t xml:space="preserve"> las respuestas obtenidas</w:t>
      </w:r>
      <w:r w:rsidR="00A567DE">
        <w:rPr>
          <w:rFonts w:eastAsia="Times New Roman" w:cs="Verdana"/>
          <w:szCs w:val="20"/>
          <w:lang w:val="es-CL" w:eastAsia="en-US"/>
        </w:rPr>
        <w:t>; iii)</w:t>
      </w:r>
      <w:r w:rsidRPr="00440840">
        <w:rPr>
          <w:rFonts w:eastAsia="Times New Roman" w:cs="Verdana"/>
          <w:szCs w:val="20"/>
          <w:lang w:val="es-CL" w:eastAsia="en-US"/>
        </w:rPr>
        <w:t xml:space="preserve"> </w:t>
      </w:r>
      <w:r w:rsidR="00A42367">
        <w:rPr>
          <w:rFonts w:eastAsia="Times New Roman" w:cs="Verdana"/>
          <w:szCs w:val="20"/>
          <w:lang w:val="es-CL" w:eastAsia="en-US"/>
        </w:rPr>
        <w:t>los daños y</w:t>
      </w:r>
      <w:r w:rsidR="00A12CCC">
        <w:rPr>
          <w:rFonts w:eastAsia="Times New Roman" w:cs="Verdana"/>
          <w:szCs w:val="20"/>
          <w:lang w:val="es-CL" w:eastAsia="en-US"/>
        </w:rPr>
        <w:t xml:space="preserve"> </w:t>
      </w:r>
      <w:r w:rsidR="00A17CE7">
        <w:rPr>
          <w:rFonts w:eastAsia="Times New Roman" w:cs="Verdana"/>
          <w:szCs w:val="20"/>
          <w:lang w:val="es-CL" w:eastAsia="en-US"/>
        </w:rPr>
        <w:t>afectaci</w:t>
      </w:r>
      <w:r w:rsidR="00A42367">
        <w:rPr>
          <w:rFonts w:eastAsia="Times New Roman" w:cs="Verdana"/>
          <w:szCs w:val="20"/>
          <w:lang w:val="es-CL" w:eastAsia="en-US"/>
        </w:rPr>
        <w:t>ones</w:t>
      </w:r>
      <w:r w:rsidR="00A17CE7">
        <w:rPr>
          <w:rFonts w:eastAsia="Times New Roman" w:cs="Verdana"/>
          <w:szCs w:val="20"/>
          <w:lang w:val="es-CL" w:eastAsia="en-US"/>
        </w:rPr>
        <w:t xml:space="preserve"> </w:t>
      </w:r>
      <w:r w:rsidR="00A42367">
        <w:rPr>
          <w:rFonts w:eastAsia="Times New Roman" w:cs="Verdana"/>
          <w:szCs w:val="20"/>
          <w:lang w:val="es-CL" w:eastAsia="en-US"/>
        </w:rPr>
        <w:t>en</w:t>
      </w:r>
      <w:r w:rsidR="00A17CE7">
        <w:rPr>
          <w:rFonts w:eastAsia="Times New Roman" w:cs="Verdana"/>
          <w:szCs w:val="20"/>
          <w:lang w:val="es-CL" w:eastAsia="en-US"/>
        </w:rPr>
        <w:t xml:space="preserve"> su</w:t>
      </w:r>
      <w:r w:rsidR="00A42367">
        <w:rPr>
          <w:rFonts w:eastAsia="Times New Roman" w:cs="Verdana"/>
          <w:szCs w:val="20"/>
          <w:lang w:val="es-CL" w:eastAsia="en-US"/>
        </w:rPr>
        <w:t xml:space="preserve"> vida privada y la de sus</w:t>
      </w:r>
      <w:r w:rsidR="00A17CE7">
        <w:rPr>
          <w:rFonts w:eastAsia="Times New Roman" w:cs="Verdana"/>
          <w:szCs w:val="20"/>
          <w:lang w:val="es-CL" w:eastAsia="en-US"/>
        </w:rPr>
        <w:t xml:space="preserve"> familiares</w:t>
      </w:r>
      <w:r w:rsidR="00A42367">
        <w:rPr>
          <w:rFonts w:eastAsia="Times New Roman" w:cs="Verdana"/>
          <w:szCs w:val="20"/>
          <w:lang w:val="es-CL" w:eastAsia="en-US"/>
        </w:rPr>
        <w:t>; iv) los obstáculos enfrentados</w:t>
      </w:r>
      <w:r w:rsidR="007D666C">
        <w:rPr>
          <w:rFonts w:eastAsia="Times New Roman" w:cs="Verdana"/>
          <w:szCs w:val="20"/>
          <w:lang w:val="es-CL" w:eastAsia="en-US"/>
        </w:rPr>
        <w:t xml:space="preserve"> </w:t>
      </w:r>
      <w:r w:rsidR="007D666C">
        <w:rPr>
          <w:rFonts w:cs="Verdana"/>
          <w:iCs/>
          <w:szCs w:val="20"/>
          <w:lang w:bidi="en-US"/>
        </w:rPr>
        <w:t>y la respuesta obtenida</w:t>
      </w:r>
      <w:r w:rsidR="00A42367">
        <w:rPr>
          <w:rFonts w:eastAsia="Times New Roman" w:cs="Verdana"/>
          <w:szCs w:val="20"/>
          <w:lang w:val="es-CL" w:eastAsia="en-US"/>
        </w:rPr>
        <w:t xml:space="preserve">, y </w:t>
      </w:r>
      <w:r w:rsidR="00A567DE">
        <w:rPr>
          <w:rFonts w:eastAsia="Times New Roman" w:cs="Verdana"/>
          <w:szCs w:val="20"/>
          <w:lang w:val="es-CL" w:eastAsia="en-US"/>
        </w:rPr>
        <w:t>v)</w:t>
      </w:r>
      <w:r w:rsidRPr="00440840">
        <w:rPr>
          <w:rFonts w:eastAsia="Times New Roman" w:cs="Verdana"/>
          <w:szCs w:val="20"/>
          <w:lang w:val="es-CL" w:eastAsia="en-US"/>
        </w:rPr>
        <w:t xml:space="preserve"> </w:t>
      </w:r>
      <w:r w:rsidR="00A12CCC">
        <w:rPr>
          <w:rFonts w:eastAsia="Times New Roman" w:cs="Verdana"/>
          <w:szCs w:val="20"/>
          <w:lang w:val="es-CL" w:eastAsia="en-US"/>
        </w:rPr>
        <w:t xml:space="preserve">las medidas que el Estado debería adoptar para </w:t>
      </w:r>
      <w:r w:rsidR="00E25D87">
        <w:rPr>
          <w:rFonts w:eastAsia="Times New Roman" w:cs="Verdana"/>
          <w:szCs w:val="20"/>
          <w:lang w:val="es-CL" w:eastAsia="en-US"/>
        </w:rPr>
        <w:t>alcanzar</w:t>
      </w:r>
      <w:r w:rsidR="00A12CCC">
        <w:rPr>
          <w:rFonts w:eastAsia="Times New Roman" w:cs="Verdana"/>
          <w:szCs w:val="20"/>
          <w:lang w:val="es-CL" w:eastAsia="en-US"/>
        </w:rPr>
        <w:t xml:space="preserve"> justicia, verdad y memoria en el caso</w:t>
      </w:r>
      <w:r w:rsidR="00A17CE7">
        <w:rPr>
          <w:rFonts w:eastAsia="Times New Roman" w:cs="Verdana"/>
          <w:szCs w:val="20"/>
          <w:lang w:val="es-CL" w:eastAsia="en-US"/>
        </w:rPr>
        <w:t>.</w:t>
      </w:r>
      <w:r w:rsidR="007D666C">
        <w:rPr>
          <w:rFonts w:eastAsia="Times New Roman" w:cs="Verdana"/>
          <w:szCs w:val="20"/>
          <w:lang w:val="es-CL" w:eastAsia="en-US"/>
        </w:rPr>
        <w:t xml:space="preserve"> </w:t>
      </w:r>
    </w:p>
    <w:p w:rsidR="005410AE" w:rsidRPr="005410AE" w:rsidRDefault="005410AE"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p>
    <w:p w:rsidR="00431A17" w:rsidRPr="00E34DF8" w:rsidRDefault="00431A17" w:rsidP="005735AE">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r w:rsidRPr="00E34DF8">
        <w:rPr>
          <w:rFonts w:cs="Helvetica"/>
          <w:i/>
          <w:szCs w:val="20"/>
          <w:u w:val="single"/>
          <w:lang w:bidi="en-US"/>
        </w:rPr>
        <w:t>Peritos</w:t>
      </w:r>
      <w:r w:rsidRPr="00E34DF8">
        <w:rPr>
          <w:rFonts w:cs="Verdana"/>
          <w:i/>
          <w:iCs/>
          <w:szCs w:val="20"/>
          <w:u w:val="single"/>
          <w:lang w:bidi="en-US"/>
        </w:rPr>
        <w:t xml:space="preserve"> (propuestos por los representantes)</w:t>
      </w:r>
    </w:p>
    <w:p w:rsidR="00431A17" w:rsidRPr="00E44575" w:rsidRDefault="00431A17"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15"/>
        <w:contextualSpacing w:val="0"/>
        <w:rPr>
          <w:rFonts w:cs="Verdana"/>
          <w:iCs/>
          <w:szCs w:val="20"/>
          <w:lang w:bidi="en-US"/>
        </w:rPr>
      </w:pPr>
    </w:p>
    <w:p w:rsidR="006020F1" w:rsidRPr="009256D2" w:rsidRDefault="006020F1" w:rsidP="006020F1">
      <w:pPr>
        <w:pStyle w:val="Listavistosa-nfasis11"/>
        <w:widowControl w:val="0"/>
        <w:numPr>
          <w:ilvl w:val="0"/>
          <w:numId w:val="27"/>
        </w:numPr>
        <w:tabs>
          <w:tab w:val="clear" w:pos="1100"/>
          <w:tab w:val="left" w:pos="1080"/>
        </w:tabs>
        <w:autoSpaceDE w:val="0"/>
        <w:autoSpaceDN w:val="0"/>
        <w:adjustRightInd w:val="0"/>
        <w:spacing w:after="0"/>
        <w:contextualSpacing w:val="0"/>
        <w:rPr>
          <w:rFonts w:cs="Verdana"/>
          <w:iCs/>
          <w:szCs w:val="20"/>
          <w:u w:val="single"/>
          <w:lang w:bidi="en-US"/>
        </w:rPr>
      </w:pPr>
      <w:r w:rsidRPr="009256D2">
        <w:rPr>
          <w:rFonts w:cs="Verdana"/>
          <w:iCs/>
          <w:szCs w:val="20"/>
          <w:lang w:bidi="en-US"/>
        </w:rPr>
        <w:t xml:space="preserve">Juan Méndez, profesor, ex Relator </w:t>
      </w:r>
      <w:r w:rsidRPr="009A6342">
        <w:rPr>
          <w:rFonts w:cs="Verdana"/>
          <w:iCs/>
          <w:szCs w:val="20"/>
          <w:lang w:bidi="en-US"/>
        </w:rPr>
        <w:t>Especial de Naciones para la Tortura y Otros Tratos Crueles, Inhumanos y Degradantes, qui</w:t>
      </w:r>
      <w:r w:rsidR="000C1D8F">
        <w:rPr>
          <w:rFonts w:cs="Verdana"/>
          <w:iCs/>
          <w:szCs w:val="20"/>
          <w:lang w:bidi="en-US"/>
        </w:rPr>
        <w:t>e</w:t>
      </w:r>
      <w:r w:rsidRPr="009A6342">
        <w:rPr>
          <w:rFonts w:cs="Verdana"/>
          <w:iCs/>
          <w:szCs w:val="20"/>
          <w:lang w:bidi="en-US"/>
        </w:rPr>
        <w:t>n declarará sobre la tortura en contextos de violación sistemática y generalizada de derechos humanos y su caracterización como crimen de lesa humanidad en las dictaduras del Cono Sur. Además, declarará sobre la prohibición absoluta de la tortura en el Derecho Internacional, los parámetros relativos a la obligación de investigar, juzgar y sancionar y la incompatibilidad de las leyes de amnistía, prescripción y otros estatutos que limiten la responsabilidad penal en este tipo de caso. Finalmente, declarará sobre los efectos que la impunidad en los casos de tortura produce y sobre las posibles medidas de reparación adecuadas para revertir esas situaciones, incluyendo a Brasil.</w:t>
      </w:r>
    </w:p>
    <w:p w:rsidR="006020F1" w:rsidRPr="009256D2" w:rsidRDefault="006020F1" w:rsidP="006020F1">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00"/>
        <w:contextualSpacing w:val="0"/>
        <w:rPr>
          <w:rFonts w:cs="Helvetica"/>
          <w:szCs w:val="20"/>
          <w:lang w:bidi="en-US"/>
        </w:rPr>
      </w:pPr>
    </w:p>
    <w:p w:rsidR="003C0912" w:rsidRPr="009256D2" w:rsidRDefault="00A17CE7" w:rsidP="005735AE">
      <w:pPr>
        <w:pStyle w:val="Listavistosa-nfasis11"/>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lang w:bidi="en-US"/>
        </w:rPr>
      </w:pPr>
      <w:r w:rsidRPr="009256D2">
        <w:rPr>
          <w:bCs/>
          <w:lang w:eastAsia="es-CR"/>
        </w:rPr>
        <w:t xml:space="preserve">Ana C. </w:t>
      </w:r>
      <w:proofErr w:type="spellStart"/>
      <w:r w:rsidRPr="009256D2">
        <w:rPr>
          <w:bCs/>
          <w:lang w:eastAsia="es-CR"/>
        </w:rPr>
        <w:t>Deutsch</w:t>
      </w:r>
      <w:proofErr w:type="spellEnd"/>
      <w:r w:rsidR="003C0912" w:rsidRPr="009256D2">
        <w:rPr>
          <w:bCs/>
          <w:lang w:eastAsia="es-CR"/>
        </w:rPr>
        <w:t xml:space="preserve">, </w:t>
      </w:r>
      <w:r w:rsidRPr="009256D2">
        <w:rPr>
          <w:bCs/>
          <w:lang w:eastAsia="es-CR"/>
        </w:rPr>
        <w:t>psicóloga</w:t>
      </w:r>
      <w:r w:rsidR="00130C68" w:rsidRPr="009256D2">
        <w:rPr>
          <w:bCs/>
          <w:lang w:eastAsia="es-CR"/>
        </w:rPr>
        <w:t>, cofundadora y directora del Programa para Víctimas</w:t>
      </w:r>
      <w:r w:rsidR="00130C68" w:rsidRPr="006D01E7">
        <w:rPr>
          <w:bCs/>
          <w:lang w:eastAsia="es-CR"/>
        </w:rPr>
        <w:t xml:space="preserve"> de Tortura de la Universidad Estatal de California</w:t>
      </w:r>
      <w:r w:rsidR="0079168F" w:rsidRPr="006D01E7">
        <w:rPr>
          <w:bCs/>
          <w:lang w:eastAsia="es-CR"/>
        </w:rPr>
        <w:t>,</w:t>
      </w:r>
      <w:r w:rsidRPr="006D01E7">
        <w:rPr>
          <w:bCs/>
          <w:lang w:eastAsia="es-CR"/>
        </w:rPr>
        <w:t xml:space="preserve"> </w:t>
      </w:r>
      <w:r w:rsidRPr="006D01E7">
        <w:rPr>
          <w:szCs w:val="20"/>
          <w:lang w:val="es-AR"/>
        </w:rPr>
        <w:t>quien declarará sobre</w:t>
      </w:r>
      <w:r w:rsidR="00714E41" w:rsidRPr="006D01E7">
        <w:rPr>
          <w:szCs w:val="20"/>
          <w:lang w:val="es-AR"/>
        </w:rPr>
        <w:t>: i)</w:t>
      </w:r>
      <w:r w:rsidRPr="006D01E7">
        <w:rPr>
          <w:szCs w:val="20"/>
          <w:lang w:val="es-AR"/>
        </w:rPr>
        <w:t xml:space="preserve"> los efectos de la detención, tortura y muerte de Vladimir </w:t>
      </w:r>
      <w:proofErr w:type="spellStart"/>
      <w:r w:rsidRPr="006D01E7">
        <w:rPr>
          <w:szCs w:val="20"/>
          <w:lang w:val="es-AR"/>
        </w:rPr>
        <w:t>Herzog</w:t>
      </w:r>
      <w:proofErr w:type="spellEnd"/>
      <w:r w:rsidRPr="006D01E7">
        <w:rPr>
          <w:szCs w:val="20"/>
          <w:lang w:val="es-AR"/>
        </w:rPr>
        <w:t xml:space="preserve"> en </w:t>
      </w:r>
      <w:r w:rsidR="0079168F" w:rsidRPr="00DB7ACB">
        <w:rPr>
          <w:szCs w:val="20"/>
          <w:lang w:val="es-AR"/>
        </w:rPr>
        <w:t>sus</w:t>
      </w:r>
      <w:r w:rsidR="00714E41" w:rsidRPr="00DB7ACB">
        <w:rPr>
          <w:szCs w:val="20"/>
          <w:lang w:val="es-AR"/>
        </w:rPr>
        <w:t xml:space="preserve"> familiares; ii)</w:t>
      </w:r>
      <w:r w:rsidRPr="00DB7ACB">
        <w:rPr>
          <w:szCs w:val="20"/>
          <w:lang w:val="es-AR"/>
        </w:rPr>
        <w:t xml:space="preserve"> </w:t>
      </w:r>
      <w:r w:rsidRPr="00DB7ACB">
        <w:rPr>
          <w:szCs w:val="20"/>
          <w:lang w:val="es-AR"/>
        </w:rPr>
        <w:lastRenderedPageBreak/>
        <w:t>la denegación de justicia y verdad</w:t>
      </w:r>
      <w:r w:rsidR="0079168F" w:rsidRPr="00DB7ACB">
        <w:rPr>
          <w:szCs w:val="20"/>
          <w:lang w:val="es-AR"/>
        </w:rPr>
        <w:t xml:space="preserve"> en el presente caso</w:t>
      </w:r>
      <w:r w:rsidRPr="00DB7ACB">
        <w:rPr>
          <w:szCs w:val="20"/>
          <w:lang w:val="es-AR"/>
        </w:rPr>
        <w:t xml:space="preserve">, especialmente la </w:t>
      </w:r>
      <w:r w:rsidR="0079168F" w:rsidRPr="00DB7ACB">
        <w:rPr>
          <w:szCs w:val="20"/>
          <w:lang w:val="es-AR"/>
        </w:rPr>
        <w:t>reiteración</w:t>
      </w:r>
      <w:r w:rsidRPr="00DB7ACB">
        <w:rPr>
          <w:szCs w:val="20"/>
          <w:lang w:val="es-AR"/>
        </w:rPr>
        <w:t xml:space="preserve"> de la versión del falso suicidio</w:t>
      </w:r>
      <w:r w:rsidR="00714E41" w:rsidRPr="00DB7ACB">
        <w:rPr>
          <w:szCs w:val="20"/>
          <w:lang w:val="es-AR"/>
        </w:rPr>
        <w:t>, y iii)</w:t>
      </w:r>
      <w:r w:rsidRPr="00DB7ACB">
        <w:rPr>
          <w:szCs w:val="20"/>
          <w:lang w:val="es-AR"/>
        </w:rPr>
        <w:t xml:space="preserve"> otras medidas que el Estado debe adoptar para reparar las </w:t>
      </w:r>
      <w:r w:rsidR="0079168F" w:rsidRPr="00DB7ACB">
        <w:rPr>
          <w:szCs w:val="20"/>
          <w:lang w:val="es-AR"/>
        </w:rPr>
        <w:t xml:space="preserve">alegadas </w:t>
      </w:r>
      <w:r w:rsidRPr="00DB7ACB">
        <w:rPr>
          <w:szCs w:val="20"/>
          <w:lang w:val="es-AR"/>
        </w:rPr>
        <w:t>violaciones.</w:t>
      </w:r>
    </w:p>
    <w:p w:rsidR="003C0912" w:rsidRPr="00AB0BFD" w:rsidRDefault="003C0912" w:rsidP="005735AE">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00"/>
        <w:contextualSpacing w:val="0"/>
        <w:rPr>
          <w:rFonts w:cs="Helvetica"/>
          <w:szCs w:val="20"/>
          <w:lang w:val="es-CR" w:bidi="en-US"/>
        </w:rPr>
      </w:pPr>
    </w:p>
    <w:p w:rsidR="003C0912" w:rsidRPr="009256D2" w:rsidRDefault="00A17CE7" w:rsidP="005735AE">
      <w:pPr>
        <w:pStyle w:val="Listavistosa-nfasis11"/>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lang w:bidi="en-US"/>
        </w:rPr>
      </w:pPr>
      <w:r w:rsidRPr="006D01E7">
        <w:rPr>
          <w:bCs/>
          <w:szCs w:val="20"/>
          <w:lang w:val="es-CR" w:eastAsia="es-CR"/>
        </w:rPr>
        <w:t>Fabio Simas</w:t>
      </w:r>
      <w:r w:rsidR="003C0912" w:rsidRPr="006D01E7">
        <w:rPr>
          <w:bCs/>
          <w:szCs w:val="20"/>
          <w:lang w:val="es-CR" w:eastAsia="es-CR"/>
        </w:rPr>
        <w:t xml:space="preserve">, </w:t>
      </w:r>
      <w:r w:rsidRPr="006D01E7">
        <w:rPr>
          <w:rFonts w:cs="Times New Roman"/>
          <w:iCs/>
          <w:szCs w:val="20"/>
          <w:lang w:val="es-CR" w:eastAsia="es-CR"/>
        </w:rPr>
        <w:t>ex miembro del Mecanismo de Prevención y Combate a la Tortura de</w:t>
      </w:r>
      <w:r w:rsidR="000C1D8F">
        <w:rPr>
          <w:rFonts w:cs="Times New Roman"/>
          <w:iCs/>
          <w:szCs w:val="20"/>
          <w:lang w:val="es-CR" w:eastAsia="es-CR"/>
        </w:rPr>
        <w:t>l Estado de Rio de Janeiro, quie</w:t>
      </w:r>
      <w:r w:rsidRPr="006D01E7">
        <w:rPr>
          <w:rFonts w:cs="Times New Roman"/>
          <w:iCs/>
          <w:szCs w:val="20"/>
          <w:lang w:val="es-CR" w:eastAsia="es-CR"/>
        </w:rPr>
        <w:t xml:space="preserve">n declarará sobre las medidas necesarias para </w:t>
      </w:r>
      <w:r w:rsidR="007A4371" w:rsidRPr="006D01E7">
        <w:rPr>
          <w:rFonts w:cs="Times New Roman"/>
          <w:iCs/>
          <w:szCs w:val="20"/>
          <w:lang w:val="es-CR" w:eastAsia="es-CR"/>
        </w:rPr>
        <w:t>superar</w:t>
      </w:r>
      <w:r w:rsidRPr="006D01E7">
        <w:rPr>
          <w:rFonts w:cs="Times New Roman"/>
          <w:iCs/>
          <w:szCs w:val="20"/>
          <w:lang w:val="es-CR" w:eastAsia="es-CR"/>
        </w:rPr>
        <w:t xml:space="preserve"> los obstáculos que contribuyen </w:t>
      </w:r>
      <w:r w:rsidR="007A4371" w:rsidRPr="006D01E7">
        <w:rPr>
          <w:rFonts w:cs="Times New Roman"/>
          <w:iCs/>
          <w:szCs w:val="20"/>
          <w:lang w:val="es-CR" w:eastAsia="es-CR"/>
        </w:rPr>
        <w:t>a</w:t>
      </w:r>
      <w:r w:rsidRPr="006D01E7">
        <w:rPr>
          <w:rFonts w:cs="Times New Roman"/>
          <w:iCs/>
          <w:szCs w:val="20"/>
          <w:lang w:val="es-CR" w:eastAsia="es-CR"/>
        </w:rPr>
        <w:t xml:space="preserve"> la impunidad de los crímenes de tortura en la actualid</w:t>
      </w:r>
      <w:r w:rsidRPr="00941A6D">
        <w:rPr>
          <w:rFonts w:cs="Times New Roman"/>
          <w:iCs/>
          <w:szCs w:val="20"/>
          <w:lang w:val="es-CR" w:eastAsia="es-CR"/>
        </w:rPr>
        <w:t>ad en</w:t>
      </w:r>
      <w:r w:rsidRPr="00DB7ACB">
        <w:rPr>
          <w:rFonts w:cs="Times New Roman"/>
          <w:iCs/>
          <w:szCs w:val="20"/>
          <w:lang w:val="es-CR" w:eastAsia="es-CR"/>
        </w:rPr>
        <w:t xml:space="preserve"> Brasil.</w:t>
      </w:r>
      <w:r w:rsidRPr="009256D2">
        <w:rPr>
          <w:rFonts w:cs="Times New Roman"/>
          <w:iCs/>
          <w:szCs w:val="20"/>
          <w:lang w:val="es-CR" w:eastAsia="es-CR"/>
        </w:rPr>
        <w:t xml:space="preserve"> </w:t>
      </w:r>
    </w:p>
    <w:p w:rsidR="003C0912" w:rsidRPr="003C0912" w:rsidRDefault="003C0912" w:rsidP="005735AE">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00"/>
        <w:contextualSpacing w:val="0"/>
        <w:rPr>
          <w:rFonts w:cs="Helvetica"/>
          <w:szCs w:val="20"/>
          <w:lang w:bidi="en-US"/>
        </w:rPr>
      </w:pPr>
    </w:p>
    <w:p w:rsidR="00F9564B" w:rsidRPr="00F63922" w:rsidRDefault="00236AE0" w:rsidP="005735AE">
      <w:pPr>
        <w:pStyle w:val="Listavistosa-nfasis11"/>
        <w:widowControl w:val="0"/>
        <w:numPr>
          <w:ilvl w:val="0"/>
          <w:numId w:val="2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lang w:bidi="en-US"/>
        </w:rPr>
      </w:pPr>
      <w:r>
        <w:rPr>
          <w:szCs w:val="20"/>
          <w:lang w:val="es-AR"/>
        </w:rPr>
        <w:t xml:space="preserve">Renato </w:t>
      </w:r>
      <w:proofErr w:type="spellStart"/>
      <w:r>
        <w:rPr>
          <w:szCs w:val="20"/>
          <w:lang w:val="es-AR"/>
        </w:rPr>
        <w:t>Sérgio</w:t>
      </w:r>
      <w:proofErr w:type="spellEnd"/>
      <w:r>
        <w:rPr>
          <w:szCs w:val="20"/>
          <w:lang w:val="es-AR"/>
        </w:rPr>
        <w:t xml:space="preserve"> de Lima</w:t>
      </w:r>
      <w:r w:rsidR="00F9564B" w:rsidRPr="003C0912">
        <w:rPr>
          <w:szCs w:val="20"/>
          <w:lang w:val="es-AR"/>
        </w:rPr>
        <w:t xml:space="preserve">, </w:t>
      </w:r>
      <w:r>
        <w:rPr>
          <w:szCs w:val="20"/>
          <w:lang w:val="es-AR"/>
        </w:rPr>
        <w:t>doctor en soc</w:t>
      </w:r>
      <w:r w:rsidR="00686DEC">
        <w:rPr>
          <w:szCs w:val="20"/>
          <w:lang w:val="es-AR"/>
        </w:rPr>
        <w:t>iología por la Universidad de Sa</w:t>
      </w:r>
      <w:r>
        <w:rPr>
          <w:szCs w:val="20"/>
          <w:lang w:val="es-AR"/>
        </w:rPr>
        <w:t>o Paulo y miembro del Fórum Brasileño de Seguridad Pública, quien declarará sobre</w:t>
      </w:r>
      <w:r w:rsidR="00ED0D35">
        <w:rPr>
          <w:szCs w:val="20"/>
          <w:lang w:val="es-AR"/>
        </w:rPr>
        <w:t>: i)</w:t>
      </w:r>
      <w:r>
        <w:rPr>
          <w:szCs w:val="20"/>
          <w:lang w:val="es-AR"/>
        </w:rPr>
        <w:t xml:space="preserve"> </w:t>
      </w:r>
      <w:r w:rsidR="00686DEC">
        <w:rPr>
          <w:szCs w:val="20"/>
          <w:lang w:val="es-AR"/>
        </w:rPr>
        <w:t xml:space="preserve">la </w:t>
      </w:r>
      <w:r w:rsidRPr="00686DEC">
        <w:rPr>
          <w:szCs w:val="20"/>
          <w:lang w:val="es-AR"/>
        </w:rPr>
        <w:t xml:space="preserve">tortura </w:t>
      </w:r>
      <w:r w:rsidR="00686DEC">
        <w:rPr>
          <w:szCs w:val="20"/>
          <w:lang w:val="es-AR"/>
        </w:rPr>
        <w:t>en</w:t>
      </w:r>
      <w:r w:rsidRPr="00686DEC">
        <w:rPr>
          <w:szCs w:val="20"/>
          <w:lang w:val="es-AR"/>
        </w:rPr>
        <w:t xml:space="preserve"> la época de los hechos</w:t>
      </w:r>
      <w:r w:rsidR="00681E44">
        <w:rPr>
          <w:szCs w:val="20"/>
          <w:lang w:val="es-AR"/>
        </w:rPr>
        <w:t xml:space="preserve"> del presente caso</w:t>
      </w:r>
      <w:r w:rsidRPr="00686DEC">
        <w:rPr>
          <w:szCs w:val="20"/>
          <w:lang w:val="es-AR"/>
        </w:rPr>
        <w:t xml:space="preserve">; </w:t>
      </w:r>
      <w:r w:rsidR="00ED0D35">
        <w:rPr>
          <w:szCs w:val="20"/>
          <w:lang w:val="es-AR"/>
        </w:rPr>
        <w:t xml:space="preserve">ii) </w:t>
      </w:r>
      <w:r w:rsidRPr="00686DEC">
        <w:rPr>
          <w:szCs w:val="20"/>
          <w:lang w:val="es-AR"/>
        </w:rPr>
        <w:t xml:space="preserve">el legado autoritario y sus efectos en la actualidad, en especial en el ámbito de la seguridad pública y </w:t>
      </w:r>
      <w:r w:rsidR="003632C9" w:rsidRPr="00686DEC">
        <w:rPr>
          <w:szCs w:val="20"/>
          <w:lang w:val="es-AR"/>
        </w:rPr>
        <w:t xml:space="preserve">la </w:t>
      </w:r>
      <w:r w:rsidR="00F5278D">
        <w:rPr>
          <w:szCs w:val="20"/>
          <w:lang w:val="es-AR"/>
        </w:rPr>
        <w:t>garantía</w:t>
      </w:r>
      <w:r w:rsidR="003632C9" w:rsidRPr="00686DEC">
        <w:rPr>
          <w:szCs w:val="20"/>
          <w:lang w:val="es-AR"/>
        </w:rPr>
        <w:t xml:space="preserve"> de </w:t>
      </w:r>
      <w:r w:rsidR="00686DEC">
        <w:rPr>
          <w:szCs w:val="20"/>
          <w:lang w:val="es-AR"/>
        </w:rPr>
        <w:t xml:space="preserve">los </w:t>
      </w:r>
      <w:r w:rsidR="003632C9" w:rsidRPr="00686DEC">
        <w:rPr>
          <w:szCs w:val="20"/>
          <w:lang w:val="es-AR"/>
        </w:rPr>
        <w:t xml:space="preserve">derechos humanos; </w:t>
      </w:r>
      <w:r w:rsidR="00ED0D35">
        <w:rPr>
          <w:szCs w:val="20"/>
          <w:lang w:val="es-AR"/>
        </w:rPr>
        <w:t xml:space="preserve">iii) </w:t>
      </w:r>
      <w:r w:rsidR="003632C9" w:rsidRPr="00686DEC">
        <w:rPr>
          <w:szCs w:val="20"/>
          <w:lang w:val="es-AR"/>
        </w:rPr>
        <w:t xml:space="preserve">los obstáculos prácticos y jurídicos para la </w:t>
      </w:r>
      <w:r w:rsidR="00686DEC">
        <w:rPr>
          <w:szCs w:val="20"/>
          <w:lang w:val="es-AR"/>
        </w:rPr>
        <w:t>efectividad</w:t>
      </w:r>
      <w:r w:rsidR="003632C9" w:rsidRPr="00686DEC">
        <w:rPr>
          <w:szCs w:val="20"/>
          <w:lang w:val="es-AR"/>
        </w:rPr>
        <w:t xml:space="preserve"> del derecho a la verdad y justicia en casos de tortura del pasado y </w:t>
      </w:r>
      <w:r w:rsidR="00686DEC">
        <w:rPr>
          <w:szCs w:val="20"/>
          <w:lang w:val="es-AR"/>
        </w:rPr>
        <w:t xml:space="preserve">de la actualidad, y </w:t>
      </w:r>
      <w:r w:rsidR="00ED0D35">
        <w:rPr>
          <w:szCs w:val="20"/>
          <w:lang w:val="es-AR"/>
        </w:rPr>
        <w:t xml:space="preserve">iv) </w:t>
      </w:r>
      <w:r w:rsidR="00686DEC">
        <w:rPr>
          <w:szCs w:val="20"/>
          <w:lang w:val="es-AR"/>
        </w:rPr>
        <w:t>la impunidad de eso</w:t>
      </w:r>
      <w:r w:rsidR="003632C9" w:rsidRPr="00686DEC">
        <w:rPr>
          <w:szCs w:val="20"/>
          <w:lang w:val="es-AR"/>
        </w:rPr>
        <w:t>s crímenes y sus consecuencias</w:t>
      </w:r>
      <w:r w:rsidR="00F9564B" w:rsidRPr="00686DEC">
        <w:rPr>
          <w:szCs w:val="20"/>
          <w:lang w:val="es-AR"/>
        </w:rPr>
        <w:t xml:space="preserve">. </w:t>
      </w:r>
    </w:p>
    <w:p w:rsidR="00F63922" w:rsidRDefault="00F63922" w:rsidP="005735AE">
      <w:pPr>
        <w:pStyle w:val="ListParagraph"/>
        <w:spacing w:after="0"/>
        <w:rPr>
          <w:rFonts w:cs="Helvetica"/>
          <w:szCs w:val="20"/>
          <w:lang w:bidi="en-US"/>
        </w:rPr>
      </w:pPr>
    </w:p>
    <w:p w:rsidR="007A4371" w:rsidRPr="00637A7E" w:rsidRDefault="007A4371" w:rsidP="005735AE">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u w:val="single"/>
          <w:lang w:bidi="en-US"/>
        </w:rPr>
      </w:pPr>
      <w:r>
        <w:rPr>
          <w:rFonts w:cs="ArialMT"/>
          <w:i/>
          <w:iCs/>
          <w:szCs w:val="20"/>
          <w:u w:val="single"/>
          <w:lang w:bidi="en-US"/>
        </w:rPr>
        <w:t>Peritos</w:t>
      </w:r>
      <w:r w:rsidRPr="00637A7E">
        <w:rPr>
          <w:rFonts w:cs="Verdana"/>
          <w:i/>
          <w:iCs/>
          <w:szCs w:val="20"/>
          <w:u w:val="single"/>
          <w:lang w:bidi="en-US"/>
        </w:rPr>
        <w:t xml:space="preserve"> (propuest</w:t>
      </w:r>
      <w:r w:rsidR="00EC6936">
        <w:rPr>
          <w:rFonts w:cs="Verdana"/>
          <w:i/>
          <w:iCs/>
          <w:szCs w:val="20"/>
          <w:u w:val="single"/>
          <w:lang w:bidi="en-US"/>
        </w:rPr>
        <w:t>os</w:t>
      </w:r>
      <w:r w:rsidRPr="00637A7E">
        <w:rPr>
          <w:rFonts w:cs="Verdana"/>
          <w:i/>
          <w:iCs/>
          <w:szCs w:val="20"/>
          <w:u w:val="single"/>
          <w:lang w:bidi="en-US"/>
        </w:rPr>
        <w:t xml:space="preserve"> por la Comisión) </w:t>
      </w:r>
    </w:p>
    <w:p w:rsidR="007A4371" w:rsidRPr="00637A7E" w:rsidRDefault="007A4371"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contextualSpacing w:val="0"/>
        <w:rPr>
          <w:rFonts w:cs="Verdana"/>
          <w:i/>
          <w:iCs/>
          <w:szCs w:val="20"/>
          <w:lang w:bidi="en-US"/>
        </w:rPr>
      </w:pPr>
    </w:p>
    <w:p w:rsidR="00B56721" w:rsidRPr="009256D2" w:rsidRDefault="000C1D8F" w:rsidP="005735AE">
      <w:pPr>
        <w:pStyle w:val="Listavistosa-nfasis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lang w:bidi="en-US"/>
        </w:rPr>
      </w:pPr>
      <w:r>
        <w:rPr>
          <w:bCs/>
          <w:iCs/>
          <w:szCs w:val="20"/>
        </w:rPr>
        <w:t xml:space="preserve">Naomi </w:t>
      </w:r>
      <w:proofErr w:type="spellStart"/>
      <w:r>
        <w:rPr>
          <w:bCs/>
          <w:iCs/>
          <w:szCs w:val="20"/>
        </w:rPr>
        <w:t>Roht</w:t>
      </w:r>
      <w:proofErr w:type="spellEnd"/>
      <w:r>
        <w:rPr>
          <w:bCs/>
          <w:iCs/>
          <w:szCs w:val="20"/>
        </w:rPr>
        <w:t>-Arriaza, quie</w:t>
      </w:r>
      <w:r w:rsidR="007A4371" w:rsidRPr="006D01E7">
        <w:rPr>
          <w:bCs/>
          <w:iCs/>
          <w:szCs w:val="20"/>
        </w:rPr>
        <w:t xml:space="preserve">n declarará sobre los obstáculos que impiden la incorporación </w:t>
      </w:r>
      <w:r w:rsidR="00B56721" w:rsidRPr="00DB7ACB">
        <w:rPr>
          <w:bCs/>
          <w:iCs/>
          <w:szCs w:val="20"/>
        </w:rPr>
        <w:t xml:space="preserve">e implementación oportuna </w:t>
      </w:r>
      <w:r w:rsidR="007A4371" w:rsidRPr="00DB7ACB">
        <w:rPr>
          <w:bCs/>
          <w:iCs/>
          <w:szCs w:val="20"/>
        </w:rPr>
        <w:t xml:space="preserve">de </w:t>
      </w:r>
      <w:r w:rsidR="00B56721" w:rsidRPr="00DB7ACB">
        <w:rPr>
          <w:bCs/>
          <w:iCs/>
          <w:szCs w:val="20"/>
        </w:rPr>
        <w:t xml:space="preserve">los </w:t>
      </w:r>
      <w:r w:rsidR="007A4371" w:rsidRPr="00DB7ACB">
        <w:rPr>
          <w:bCs/>
          <w:iCs/>
          <w:szCs w:val="20"/>
        </w:rPr>
        <w:t xml:space="preserve">estándares </w:t>
      </w:r>
      <w:r w:rsidR="00B56721" w:rsidRPr="00DB7ACB">
        <w:rPr>
          <w:bCs/>
          <w:iCs/>
          <w:szCs w:val="20"/>
        </w:rPr>
        <w:t>inter</w:t>
      </w:r>
      <w:r w:rsidR="007A4371" w:rsidRPr="00DB7ACB">
        <w:rPr>
          <w:bCs/>
          <w:iCs/>
          <w:szCs w:val="20"/>
        </w:rPr>
        <w:t xml:space="preserve">americanos relativos a la incompatibilidad de las leyes de amnistía y </w:t>
      </w:r>
      <w:r w:rsidR="00B56721" w:rsidRPr="00DB7ACB">
        <w:rPr>
          <w:bCs/>
          <w:iCs/>
          <w:szCs w:val="20"/>
        </w:rPr>
        <w:t xml:space="preserve">la aplicación de </w:t>
      </w:r>
      <w:r w:rsidR="007A4371" w:rsidRPr="00DB7ACB">
        <w:rPr>
          <w:bCs/>
          <w:iCs/>
          <w:szCs w:val="20"/>
        </w:rPr>
        <w:t>figuras legales similares como la prescripción y la cosa juzgada en casos de graves violaciones de derechos humanos. Tomar</w:t>
      </w:r>
      <w:r w:rsidR="00B56721" w:rsidRPr="00DB7ACB">
        <w:rPr>
          <w:bCs/>
          <w:iCs/>
          <w:szCs w:val="20"/>
        </w:rPr>
        <w:t>á en cuenta el contexto brasileñ</w:t>
      </w:r>
      <w:r w:rsidR="007A4371" w:rsidRPr="00DB7ACB">
        <w:rPr>
          <w:bCs/>
          <w:iCs/>
          <w:szCs w:val="20"/>
        </w:rPr>
        <w:t>o y ofrecerá también una perspectiva comparada sobre los mecanismos para superar los mencionados obstáculos y dar efecto útil a las decisiones de los órganos del sistema interamericano en esta materia.</w:t>
      </w:r>
    </w:p>
    <w:p w:rsidR="007A4371" w:rsidRPr="003632C9" w:rsidRDefault="007A4371"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contextualSpacing w:val="0"/>
        <w:rPr>
          <w:rFonts w:cs="Verdana"/>
          <w:i/>
          <w:iCs/>
          <w:szCs w:val="20"/>
          <w:lang w:bidi="en-US"/>
        </w:rPr>
      </w:pPr>
    </w:p>
    <w:p w:rsidR="007A4371" w:rsidRPr="00F66042" w:rsidRDefault="007A4371" w:rsidP="005735AE">
      <w:pPr>
        <w:pStyle w:val="Listavistosa-nfasis11"/>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
          <w:iCs/>
          <w:szCs w:val="20"/>
          <w:lang w:bidi="en-US"/>
        </w:rPr>
      </w:pPr>
      <w:r>
        <w:rPr>
          <w:rFonts w:cs="Verdana"/>
          <w:iCs/>
          <w:szCs w:val="20"/>
          <w:lang w:bidi="en-US"/>
        </w:rPr>
        <w:t xml:space="preserve">John </w:t>
      </w:r>
      <w:proofErr w:type="spellStart"/>
      <w:r>
        <w:rPr>
          <w:rFonts w:cs="Verdana"/>
          <w:iCs/>
          <w:szCs w:val="20"/>
          <w:lang w:bidi="en-US"/>
        </w:rPr>
        <w:t>Dinges</w:t>
      </w:r>
      <w:proofErr w:type="spellEnd"/>
      <w:r>
        <w:rPr>
          <w:rFonts w:cs="Verdana"/>
          <w:iCs/>
          <w:szCs w:val="20"/>
          <w:lang w:bidi="en-US"/>
        </w:rPr>
        <w:t>, quien declarará sobre los efectos perjudiciales de la impunidad y la falta de reparación integral en casos de violencia contra periodistas en contextos de gobiernos de facto o autoritarios con graves restricciones a la libertad de expresión. En particular, se referirá a dicho</w:t>
      </w:r>
      <w:r w:rsidR="00CC2EB0">
        <w:rPr>
          <w:rFonts w:cs="Verdana"/>
          <w:iCs/>
          <w:szCs w:val="20"/>
          <w:lang w:bidi="en-US"/>
        </w:rPr>
        <w:t>s impactos en el Estado brasileñ</w:t>
      </w:r>
      <w:r>
        <w:rPr>
          <w:rFonts w:cs="Verdana"/>
          <w:iCs/>
          <w:szCs w:val="20"/>
          <w:lang w:bidi="en-US"/>
        </w:rPr>
        <w:t>o con posterioridad a la dictadura militar y ofrecerá su perspectiva sobre los mecanismos más ade</w:t>
      </w:r>
      <w:r w:rsidR="00CC2EB0">
        <w:rPr>
          <w:rFonts w:cs="Verdana"/>
          <w:iCs/>
          <w:szCs w:val="20"/>
          <w:lang w:bidi="en-US"/>
        </w:rPr>
        <w:t xml:space="preserve">cuados de reparación integral, </w:t>
      </w:r>
      <w:r>
        <w:rPr>
          <w:rFonts w:cs="Verdana"/>
          <w:iCs/>
          <w:szCs w:val="20"/>
          <w:lang w:bidi="en-US"/>
        </w:rPr>
        <w:t xml:space="preserve">y </w:t>
      </w:r>
      <w:r w:rsidR="00CC2EB0">
        <w:rPr>
          <w:rFonts w:cs="Verdana"/>
          <w:iCs/>
          <w:szCs w:val="20"/>
          <w:lang w:bidi="en-US"/>
        </w:rPr>
        <w:t>especialmente de no repetición,</w:t>
      </w:r>
      <w:r>
        <w:rPr>
          <w:rFonts w:cs="Verdana"/>
          <w:iCs/>
          <w:szCs w:val="20"/>
          <w:lang w:bidi="en-US"/>
        </w:rPr>
        <w:t xml:space="preserve"> para revertir dichos efectos.</w:t>
      </w:r>
    </w:p>
    <w:p w:rsidR="00F66042" w:rsidRDefault="00F66042" w:rsidP="005735AE">
      <w:pPr>
        <w:pStyle w:val="ListParagraph"/>
        <w:spacing w:after="0"/>
        <w:rPr>
          <w:rFonts w:cs="Verdana"/>
          <w:i/>
          <w:iCs/>
          <w:szCs w:val="20"/>
          <w:lang w:bidi="en-US"/>
        </w:rPr>
      </w:pPr>
    </w:p>
    <w:p w:rsidR="00F66042" w:rsidRPr="0090127D" w:rsidRDefault="00F66042" w:rsidP="005735AE">
      <w:pPr>
        <w:pStyle w:val="Listavistosa-nfasis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i/>
          <w:szCs w:val="20"/>
          <w:u w:val="single"/>
          <w:lang w:bidi="en-US"/>
        </w:rPr>
      </w:pPr>
      <w:r w:rsidRPr="0090127D">
        <w:rPr>
          <w:rFonts w:cs="Verdana"/>
          <w:i/>
          <w:szCs w:val="20"/>
          <w:u w:val="single"/>
          <w:lang w:bidi="en-US"/>
        </w:rPr>
        <w:t>Perit</w:t>
      </w:r>
      <w:r w:rsidR="006020F1">
        <w:rPr>
          <w:rFonts w:cs="Verdana"/>
          <w:i/>
          <w:szCs w:val="20"/>
          <w:u w:val="single"/>
          <w:lang w:bidi="en-US"/>
        </w:rPr>
        <w:t>os</w:t>
      </w:r>
      <w:r w:rsidRPr="0090127D">
        <w:rPr>
          <w:rFonts w:cs="Verdana"/>
          <w:i/>
          <w:szCs w:val="20"/>
          <w:u w:val="single"/>
          <w:lang w:bidi="en-US"/>
        </w:rPr>
        <w:t xml:space="preserve"> (propuest</w:t>
      </w:r>
      <w:r w:rsidR="006020F1">
        <w:rPr>
          <w:rFonts w:cs="Verdana"/>
          <w:i/>
          <w:szCs w:val="20"/>
          <w:u w:val="single"/>
          <w:lang w:bidi="en-US"/>
        </w:rPr>
        <w:t>os</w:t>
      </w:r>
      <w:r w:rsidRPr="0090127D">
        <w:rPr>
          <w:rFonts w:cs="Verdana"/>
          <w:i/>
          <w:szCs w:val="20"/>
          <w:u w:val="single"/>
          <w:lang w:bidi="en-US"/>
        </w:rPr>
        <w:t xml:space="preserve"> por el Estado) </w:t>
      </w:r>
    </w:p>
    <w:p w:rsidR="00F66042" w:rsidRPr="006020F1" w:rsidRDefault="00F66042" w:rsidP="005735AE">
      <w:pPr>
        <w:pStyle w:val="Listavistosa-nfasis11"/>
        <w:widowControl w:val="0"/>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i/>
          <w:szCs w:val="20"/>
          <w:highlight w:val="green"/>
          <w:lang w:bidi="en-US"/>
        </w:rPr>
      </w:pPr>
    </w:p>
    <w:p w:rsidR="006020F1" w:rsidRPr="006020F1" w:rsidRDefault="001A7496" w:rsidP="005735AE">
      <w:pPr>
        <w:pStyle w:val="Listavistosa-nfasis11"/>
        <w:widowControl w:val="0"/>
        <w:numPr>
          <w:ilvl w:val="0"/>
          <w:numId w:val="34"/>
        </w:numPr>
        <w:tabs>
          <w:tab w:val="left" w:pos="56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lang w:bidi="en-US"/>
        </w:rPr>
      </w:pPr>
      <w:r w:rsidRPr="00F66042">
        <w:rPr>
          <w:rFonts w:cs="Helvetica"/>
          <w:szCs w:val="20"/>
          <w:lang w:bidi="en-US"/>
        </w:rPr>
        <w:t xml:space="preserve">Maria Auxiliadora </w:t>
      </w:r>
      <w:proofErr w:type="spellStart"/>
      <w:r w:rsidRPr="00F66042">
        <w:rPr>
          <w:rFonts w:cs="Helvetica"/>
          <w:szCs w:val="20"/>
          <w:lang w:bidi="en-US"/>
        </w:rPr>
        <w:t>Minahim</w:t>
      </w:r>
      <w:proofErr w:type="spellEnd"/>
      <w:r w:rsidRPr="00F66042">
        <w:rPr>
          <w:rFonts w:cs="Helvetica"/>
          <w:szCs w:val="20"/>
          <w:lang w:bidi="en-US"/>
        </w:rPr>
        <w:t>, profesora de derecho penal de la Universidad Federal de Bahía (UFBA), quien declarará sobre</w:t>
      </w:r>
      <w:r>
        <w:rPr>
          <w:rFonts w:cs="Helvetica"/>
          <w:szCs w:val="20"/>
          <w:lang w:bidi="en-US"/>
        </w:rPr>
        <w:t>: i)</w:t>
      </w:r>
      <w:r w:rsidRPr="00F66042">
        <w:rPr>
          <w:rFonts w:cs="Helvetica"/>
          <w:szCs w:val="20"/>
          <w:lang w:bidi="en-US"/>
        </w:rPr>
        <w:t xml:space="preserve"> las garantías de prescripción, cosa juzgada </w:t>
      </w:r>
      <w:r>
        <w:rPr>
          <w:rFonts w:cs="Helvetica"/>
          <w:szCs w:val="20"/>
          <w:lang w:bidi="en-US"/>
        </w:rPr>
        <w:t>e</w:t>
      </w:r>
      <w:r w:rsidRPr="00F66042">
        <w:rPr>
          <w:rFonts w:cs="Helvetica"/>
          <w:szCs w:val="20"/>
          <w:lang w:bidi="en-US"/>
        </w:rPr>
        <w:t xml:space="preserve"> irretroactividad de la ley penal más severa como límites a la actuación del Estado; </w:t>
      </w:r>
      <w:r>
        <w:rPr>
          <w:rFonts w:cs="Helvetica"/>
          <w:szCs w:val="20"/>
          <w:lang w:bidi="en-US"/>
        </w:rPr>
        <w:t xml:space="preserve">ii) </w:t>
      </w:r>
      <w:r w:rsidRPr="00F66042">
        <w:rPr>
          <w:rFonts w:cs="Helvetica"/>
          <w:szCs w:val="20"/>
          <w:lang w:bidi="en-US"/>
        </w:rPr>
        <w:t xml:space="preserve">la compatibilidad de esas garantías con la Convención Americana de Derechos Humanos; </w:t>
      </w:r>
      <w:r>
        <w:rPr>
          <w:rFonts w:cs="Helvetica"/>
          <w:szCs w:val="20"/>
          <w:lang w:bidi="en-US"/>
        </w:rPr>
        <w:t xml:space="preserve">iii) </w:t>
      </w:r>
      <w:r w:rsidRPr="00F66042">
        <w:rPr>
          <w:rFonts w:cs="Helvetica"/>
          <w:szCs w:val="20"/>
          <w:lang w:bidi="en-US"/>
        </w:rPr>
        <w:t>el principio de reserva legal en materia penal a la luz de la Convención</w:t>
      </w:r>
      <w:r>
        <w:rPr>
          <w:rFonts w:cs="Helvetica"/>
          <w:szCs w:val="20"/>
          <w:lang w:bidi="en-US"/>
        </w:rPr>
        <w:t xml:space="preserve"> Americana</w:t>
      </w:r>
      <w:r w:rsidRPr="00F66042">
        <w:rPr>
          <w:rFonts w:cs="Helvetica"/>
          <w:szCs w:val="20"/>
          <w:lang w:bidi="en-US"/>
        </w:rPr>
        <w:t xml:space="preserve">; </w:t>
      </w:r>
      <w:r>
        <w:rPr>
          <w:rFonts w:cs="Helvetica"/>
          <w:szCs w:val="20"/>
          <w:lang w:bidi="en-US"/>
        </w:rPr>
        <w:t xml:space="preserve">iv) </w:t>
      </w:r>
      <w:r w:rsidRPr="00F66042">
        <w:rPr>
          <w:rFonts w:cs="Helvetica"/>
          <w:szCs w:val="20"/>
          <w:lang w:bidi="en-US"/>
        </w:rPr>
        <w:t>la imposibilidad de retroac</w:t>
      </w:r>
      <w:r>
        <w:rPr>
          <w:rFonts w:cs="Helvetica"/>
          <w:szCs w:val="20"/>
          <w:lang w:bidi="en-US"/>
        </w:rPr>
        <w:t>tividad</w:t>
      </w:r>
      <w:r w:rsidRPr="00F66042">
        <w:rPr>
          <w:rFonts w:cs="Helvetica"/>
          <w:szCs w:val="20"/>
          <w:lang w:bidi="en-US"/>
        </w:rPr>
        <w:t xml:space="preserve"> de la ley penal más gravosa </w:t>
      </w:r>
      <w:r>
        <w:rPr>
          <w:rFonts w:cs="Helvetica"/>
          <w:szCs w:val="20"/>
          <w:lang w:bidi="en-US"/>
        </w:rPr>
        <w:t>incluyendo</w:t>
      </w:r>
      <w:r w:rsidRPr="00F66042">
        <w:rPr>
          <w:rFonts w:cs="Helvetica"/>
          <w:szCs w:val="20"/>
          <w:lang w:bidi="en-US"/>
        </w:rPr>
        <w:t xml:space="preserve"> </w:t>
      </w:r>
      <w:r>
        <w:rPr>
          <w:rFonts w:cs="Helvetica"/>
          <w:szCs w:val="20"/>
          <w:lang w:bidi="en-US"/>
        </w:rPr>
        <w:t>actos de tortura,</w:t>
      </w:r>
      <w:r w:rsidRPr="00F66042">
        <w:rPr>
          <w:rFonts w:cs="Helvetica"/>
          <w:szCs w:val="20"/>
          <w:lang w:bidi="en-US"/>
        </w:rPr>
        <w:t xml:space="preserve"> y </w:t>
      </w:r>
      <w:r>
        <w:rPr>
          <w:rFonts w:cs="Helvetica"/>
          <w:szCs w:val="20"/>
          <w:lang w:bidi="en-US"/>
        </w:rPr>
        <w:t xml:space="preserve">v) </w:t>
      </w:r>
      <w:r w:rsidRPr="00F66042">
        <w:rPr>
          <w:rFonts w:cs="Helvetica"/>
          <w:szCs w:val="20"/>
          <w:lang w:bidi="en-US"/>
        </w:rPr>
        <w:t>la prohibición de la aplicación retroactiva de la Ley 9.455/97.</w:t>
      </w:r>
    </w:p>
    <w:p w:rsidR="006020F1" w:rsidRPr="006020F1" w:rsidRDefault="006020F1" w:rsidP="006020F1">
      <w:pPr>
        <w:pStyle w:val="Listavistosa-nfasis11"/>
        <w:widowControl w:val="0"/>
        <w:numPr>
          <w:ilvl w:val="0"/>
          <w:numId w:val="0"/>
        </w:numPr>
        <w:tabs>
          <w:tab w:val="left" w:pos="56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contextualSpacing w:val="0"/>
        <w:rPr>
          <w:rFonts w:cs="Helvetica"/>
          <w:szCs w:val="20"/>
          <w:lang w:bidi="en-US"/>
        </w:rPr>
      </w:pPr>
    </w:p>
    <w:p w:rsidR="00F9564B" w:rsidRPr="00714E41" w:rsidRDefault="00CE140B" w:rsidP="005735AE">
      <w:pPr>
        <w:pStyle w:val="Listavistosa-nfasis11"/>
        <w:widowControl w:val="0"/>
        <w:numPr>
          <w:ilvl w:val="0"/>
          <w:numId w:val="34"/>
        </w:numPr>
        <w:tabs>
          <w:tab w:val="left" w:pos="560"/>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Helvetica"/>
          <w:szCs w:val="20"/>
          <w:lang w:bidi="en-US"/>
        </w:rPr>
      </w:pPr>
      <w:proofErr w:type="spellStart"/>
      <w:r>
        <w:rPr>
          <w:rFonts w:cs="Helvetica"/>
          <w:szCs w:val="20"/>
          <w:lang w:bidi="en-US"/>
        </w:rPr>
        <w:t>Dimitrios</w:t>
      </w:r>
      <w:proofErr w:type="spellEnd"/>
      <w:r>
        <w:rPr>
          <w:rFonts w:cs="Helvetica"/>
          <w:szCs w:val="20"/>
          <w:lang w:bidi="en-US"/>
        </w:rPr>
        <w:t xml:space="preserve"> </w:t>
      </w:r>
      <w:proofErr w:type="spellStart"/>
      <w:r>
        <w:rPr>
          <w:rFonts w:cs="Helvetica"/>
          <w:szCs w:val="20"/>
          <w:lang w:bidi="en-US"/>
        </w:rPr>
        <w:t>Dimoulis</w:t>
      </w:r>
      <w:proofErr w:type="spellEnd"/>
      <w:r>
        <w:rPr>
          <w:rFonts w:cs="Helvetica"/>
          <w:szCs w:val="20"/>
          <w:lang w:bidi="en-US"/>
        </w:rPr>
        <w:t xml:space="preserve">, profesor de la </w:t>
      </w:r>
      <w:r w:rsidR="00CE35F2">
        <w:rPr>
          <w:rFonts w:cs="Helvetica"/>
          <w:szCs w:val="20"/>
          <w:lang w:bidi="en-US"/>
        </w:rPr>
        <w:t>Facultad</w:t>
      </w:r>
      <w:r>
        <w:rPr>
          <w:rFonts w:cs="Helvetica"/>
          <w:szCs w:val="20"/>
          <w:lang w:bidi="en-US"/>
        </w:rPr>
        <w:t xml:space="preserve"> de Derecho de la Fundación </w:t>
      </w:r>
      <w:proofErr w:type="spellStart"/>
      <w:r>
        <w:rPr>
          <w:rFonts w:cs="Helvetica"/>
          <w:szCs w:val="20"/>
          <w:lang w:bidi="en-US"/>
        </w:rPr>
        <w:t>Getúlio</w:t>
      </w:r>
      <w:proofErr w:type="spellEnd"/>
      <w:r>
        <w:rPr>
          <w:rFonts w:cs="Helvetica"/>
          <w:szCs w:val="20"/>
          <w:lang w:bidi="en-US"/>
        </w:rPr>
        <w:t xml:space="preserve"> Vargas (FGV)</w:t>
      </w:r>
      <w:r w:rsidR="00CE35F2">
        <w:rPr>
          <w:rFonts w:cs="Helvetica"/>
          <w:szCs w:val="20"/>
          <w:lang w:bidi="en-US"/>
        </w:rPr>
        <w:t xml:space="preserve"> de Sao Paulo</w:t>
      </w:r>
      <w:r>
        <w:rPr>
          <w:rFonts w:cs="Helvetica"/>
          <w:szCs w:val="20"/>
          <w:lang w:bidi="en-US"/>
        </w:rPr>
        <w:t>, quien declarará sobre: i) las consecuencias de la mudanza del modelo de justicia transicional en Brasil; ii) los problemas de la incorporación de la responsabilización penal como elemento central del modelo de justicia de transición, y iii) el derecho a la verdad, su juridicidad y desafíos.</w:t>
      </w:r>
    </w:p>
    <w:p w:rsidR="00A52FBC" w:rsidRPr="00A52FBC" w:rsidRDefault="00A52FBC" w:rsidP="005735AE">
      <w:pPr>
        <w:pStyle w:val="Listavistosa-nfasis11"/>
        <w:widowControl w:val="0"/>
        <w:numPr>
          <w:ilvl w:val="0"/>
          <w:numId w:val="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val="0"/>
        <w:rPr>
          <w:rFonts w:cs="Verdana"/>
          <w:iCs/>
          <w:szCs w:val="20"/>
          <w:lang w:val="es-CL" w:bidi="en-US"/>
        </w:rPr>
      </w:pPr>
    </w:p>
    <w:p w:rsidR="009256D2" w:rsidRPr="00E34DF8" w:rsidRDefault="009256D2" w:rsidP="009256D2">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lastRenderedPageBreak/>
        <w:t xml:space="preserve">Solicitar a los representantes, al Estado y a la Comisión Interamericana que notifiquen la presente Resolución a las personas por ellos propuestas, que han sido convocadas a rendir declaración, de conformidad con lo dispuesto en el artículo 50.2 y 50.4 del Reglamento. </w:t>
      </w:r>
    </w:p>
    <w:p w:rsidR="009256D2" w:rsidRPr="009256D2" w:rsidRDefault="009256D2" w:rsidP="009256D2">
      <w:pPr>
        <w:autoSpaceDE w:val="0"/>
        <w:autoSpaceDN w:val="0"/>
        <w:adjustRightInd w:val="0"/>
        <w:spacing w:after="0"/>
        <w:rPr>
          <w:rFonts w:cs="Verdana"/>
          <w:szCs w:val="20"/>
          <w:lang w:bidi="en-US"/>
        </w:rPr>
      </w:pPr>
    </w:p>
    <w:p w:rsidR="00431A17" w:rsidRPr="001974C3" w:rsidRDefault="00431A17" w:rsidP="005735AE">
      <w:pPr>
        <w:numPr>
          <w:ilvl w:val="3"/>
          <w:numId w:val="2"/>
        </w:numPr>
        <w:tabs>
          <w:tab w:val="clear" w:pos="450"/>
          <w:tab w:val="num" w:pos="0"/>
        </w:tabs>
        <w:autoSpaceDE w:val="0"/>
        <w:autoSpaceDN w:val="0"/>
        <w:adjustRightInd w:val="0"/>
        <w:spacing w:after="0"/>
        <w:ind w:left="0" w:firstLine="0"/>
        <w:rPr>
          <w:rFonts w:cs="Verdana"/>
          <w:szCs w:val="20"/>
          <w:lang w:bidi="en-US"/>
        </w:rPr>
      </w:pPr>
      <w:r w:rsidRPr="00E44575">
        <w:rPr>
          <w:szCs w:val="20"/>
        </w:rPr>
        <w:t>Requerir</w:t>
      </w:r>
      <w:r w:rsidRPr="00E44575">
        <w:rPr>
          <w:rFonts w:cs="Verdana"/>
          <w:szCs w:val="20"/>
          <w:lang w:bidi="en-US"/>
        </w:rPr>
        <w:t xml:space="preserve"> al Estad</w:t>
      </w:r>
      <w:r w:rsidRPr="00F62EDE">
        <w:rPr>
          <w:rFonts w:cs="Verdana"/>
          <w:szCs w:val="20"/>
          <w:lang w:bidi="en-US"/>
        </w:rPr>
        <w:t>o</w:t>
      </w:r>
      <w:r w:rsidR="009256D2" w:rsidRPr="00F62EDE">
        <w:rPr>
          <w:rFonts w:cs="Verdana"/>
          <w:szCs w:val="20"/>
          <w:lang w:bidi="en-US"/>
        </w:rPr>
        <w:t>,</w:t>
      </w:r>
      <w:r w:rsidR="00C56B05" w:rsidRPr="00F62EDE">
        <w:rPr>
          <w:rFonts w:cs="Verdana"/>
          <w:szCs w:val="20"/>
          <w:lang w:bidi="en-US"/>
        </w:rPr>
        <w:t xml:space="preserve"> a</w:t>
      </w:r>
      <w:r w:rsidRPr="00F62EDE">
        <w:rPr>
          <w:rFonts w:cs="Verdana"/>
          <w:szCs w:val="20"/>
          <w:lang w:bidi="en-US"/>
        </w:rPr>
        <w:t xml:space="preserve"> los representantes </w:t>
      </w:r>
      <w:r w:rsidR="009256D2" w:rsidRPr="00F62EDE">
        <w:rPr>
          <w:rFonts w:cs="Verdana"/>
          <w:szCs w:val="20"/>
          <w:lang w:bidi="en-US"/>
        </w:rPr>
        <w:t xml:space="preserve">y a la Comisión </w:t>
      </w:r>
      <w:r w:rsidRPr="00F62EDE">
        <w:rPr>
          <w:rFonts w:cs="Verdana"/>
          <w:szCs w:val="20"/>
          <w:lang w:bidi="en-US"/>
        </w:rPr>
        <w:t xml:space="preserve">que, de considerarlo pertinente, en lo que les corresponda, en el plazo improrrogable que vence el </w:t>
      </w:r>
      <w:r w:rsidR="00577C14" w:rsidRPr="00F62EDE">
        <w:rPr>
          <w:rFonts w:cs="Verdana"/>
          <w:szCs w:val="20"/>
          <w:lang w:bidi="en-US"/>
        </w:rPr>
        <w:t>1</w:t>
      </w:r>
      <w:r w:rsidR="00F62EDE" w:rsidRPr="00F62EDE">
        <w:rPr>
          <w:rFonts w:cs="Verdana"/>
          <w:szCs w:val="20"/>
          <w:lang w:bidi="en-US"/>
        </w:rPr>
        <w:t>8</w:t>
      </w:r>
      <w:r w:rsidR="00577C14" w:rsidRPr="00F62EDE">
        <w:rPr>
          <w:rFonts w:cs="Verdana"/>
          <w:szCs w:val="20"/>
          <w:lang w:bidi="en-US"/>
        </w:rPr>
        <w:t xml:space="preserve"> de abril</w:t>
      </w:r>
      <w:r w:rsidR="003632C9" w:rsidRPr="00F62EDE">
        <w:rPr>
          <w:rFonts w:cs="Verdana"/>
          <w:szCs w:val="20"/>
          <w:lang w:bidi="en-US"/>
        </w:rPr>
        <w:t xml:space="preserve"> de 2017</w:t>
      </w:r>
      <w:r w:rsidR="00A27F83" w:rsidRPr="00F62EDE">
        <w:rPr>
          <w:rFonts w:cs="Verdana"/>
          <w:szCs w:val="20"/>
          <w:lang w:bidi="en-US"/>
        </w:rPr>
        <w:t xml:space="preserve">, </w:t>
      </w:r>
      <w:r w:rsidRPr="00F62EDE">
        <w:rPr>
          <w:rFonts w:cs="Verdana"/>
          <w:szCs w:val="20"/>
          <w:lang w:bidi="en-US"/>
        </w:rPr>
        <w:t xml:space="preserve">presenten las preguntas que estimen pertinente formular a través de la Corte Interamericana a </w:t>
      </w:r>
      <w:r w:rsidR="00673A02" w:rsidRPr="00F62EDE">
        <w:rPr>
          <w:rFonts w:cs="Verdana"/>
          <w:szCs w:val="20"/>
          <w:lang w:bidi="en-US"/>
        </w:rPr>
        <w:t>las presuntas víctimas</w:t>
      </w:r>
      <w:r w:rsidR="003831A2" w:rsidRPr="00F62EDE">
        <w:rPr>
          <w:rFonts w:cs="Verdana"/>
          <w:szCs w:val="20"/>
          <w:lang w:bidi="en-US"/>
        </w:rPr>
        <w:t>, al testigo</w:t>
      </w:r>
      <w:r w:rsidR="00673A02" w:rsidRPr="00F62EDE">
        <w:rPr>
          <w:rFonts w:cs="Verdana"/>
          <w:szCs w:val="20"/>
          <w:lang w:bidi="en-US"/>
        </w:rPr>
        <w:t xml:space="preserve"> </w:t>
      </w:r>
      <w:r w:rsidRPr="00F62EDE">
        <w:rPr>
          <w:rFonts w:cs="Verdana"/>
          <w:szCs w:val="20"/>
          <w:lang w:bidi="en-US"/>
        </w:rPr>
        <w:t xml:space="preserve">y </w:t>
      </w:r>
      <w:r w:rsidR="003831A2" w:rsidRPr="00F62EDE">
        <w:rPr>
          <w:rFonts w:cs="Verdana"/>
          <w:szCs w:val="20"/>
          <w:lang w:bidi="en-US"/>
        </w:rPr>
        <w:t xml:space="preserve">a los </w:t>
      </w:r>
      <w:r w:rsidRPr="00F62EDE">
        <w:rPr>
          <w:rFonts w:cs="Verdana"/>
          <w:szCs w:val="20"/>
          <w:lang w:bidi="en-US"/>
        </w:rPr>
        <w:t xml:space="preserve">peritos referidos en el punto resolutivo </w:t>
      </w:r>
      <w:r w:rsidR="0091098F" w:rsidRPr="00F62EDE">
        <w:rPr>
          <w:rFonts w:cs="Verdana"/>
          <w:szCs w:val="20"/>
          <w:lang w:bidi="en-US"/>
        </w:rPr>
        <w:t>4</w:t>
      </w:r>
      <w:r w:rsidRPr="00F62EDE">
        <w:rPr>
          <w:rFonts w:cs="Verdana"/>
          <w:szCs w:val="20"/>
          <w:lang w:bidi="en-US"/>
        </w:rPr>
        <w:t xml:space="preserve">. </w:t>
      </w:r>
      <w:r w:rsidR="00BA0A94" w:rsidRPr="00F62EDE">
        <w:rPr>
          <w:rFonts w:cs="Verdana"/>
          <w:szCs w:val="20"/>
          <w:lang w:bidi="en-US"/>
        </w:rPr>
        <w:t xml:space="preserve">Las </w:t>
      </w:r>
      <w:r w:rsidRPr="00F62EDE">
        <w:rPr>
          <w:rFonts w:cs="Verdana"/>
          <w:szCs w:val="20"/>
          <w:lang w:bidi="en-US"/>
        </w:rPr>
        <w:t xml:space="preserve">declaraciones y peritajes </w:t>
      </w:r>
      <w:r w:rsidR="00BA0A94" w:rsidRPr="00F62EDE">
        <w:rPr>
          <w:rFonts w:cs="Verdana"/>
          <w:szCs w:val="20"/>
          <w:lang w:bidi="en-US"/>
        </w:rPr>
        <w:t xml:space="preserve">requeridos en el punto resolutivo </w:t>
      </w:r>
      <w:r w:rsidR="0091098F" w:rsidRPr="00F62EDE">
        <w:rPr>
          <w:rFonts w:cs="Verdana"/>
          <w:szCs w:val="20"/>
          <w:lang w:bidi="en-US"/>
        </w:rPr>
        <w:t>4</w:t>
      </w:r>
      <w:r w:rsidR="00BA0A94" w:rsidRPr="00F62EDE">
        <w:rPr>
          <w:rFonts w:cs="Verdana"/>
          <w:szCs w:val="20"/>
          <w:lang w:bidi="en-US"/>
        </w:rPr>
        <w:t xml:space="preserve"> </w:t>
      </w:r>
      <w:r w:rsidRPr="00F62EDE">
        <w:rPr>
          <w:rFonts w:cs="Verdana"/>
          <w:szCs w:val="20"/>
          <w:lang w:bidi="en-US"/>
        </w:rPr>
        <w:t xml:space="preserve">deberán ser presentados a más tardar el </w:t>
      </w:r>
      <w:r w:rsidR="00470AA5" w:rsidRPr="00F62EDE">
        <w:rPr>
          <w:rFonts w:cs="Verdana"/>
          <w:szCs w:val="20"/>
          <w:lang w:bidi="en-US"/>
        </w:rPr>
        <w:t>16</w:t>
      </w:r>
      <w:r w:rsidR="00A6069B" w:rsidRPr="00F62EDE">
        <w:rPr>
          <w:rFonts w:cs="Verdana"/>
          <w:szCs w:val="20"/>
          <w:lang w:bidi="en-US"/>
        </w:rPr>
        <w:t xml:space="preserve"> de mayo</w:t>
      </w:r>
      <w:r w:rsidR="003632C9" w:rsidRPr="00F62EDE">
        <w:rPr>
          <w:rFonts w:cs="Verdana"/>
          <w:szCs w:val="20"/>
          <w:lang w:bidi="en-US"/>
        </w:rPr>
        <w:t xml:space="preserve"> de 2017</w:t>
      </w:r>
      <w:r w:rsidR="00A27F83" w:rsidRPr="00F62EDE">
        <w:rPr>
          <w:rFonts w:cs="Verdana"/>
          <w:szCs w:val="20"/>
          <w:lang w:bidi="en-US"/>
        </w:rPr>
        <w:t>.</w:t>
      </w:r>
    </w:p>
    <w:p w:rsidR="00431A17" w:rsidRPr="001974C3" w:rsidRDefault="00431A17" w:rsidP="005735AE">
      <w:pPr>
        <w:autoSpaceDE w:val="0"/>
        <w:autoSpaceDN w:val="0"/>
        <w:adjustRightInd w:val="0"/>
        <w:spacing w:after="0"/>
        <w:rPr>
          <w:rFonts w:cs="Verdana"/>
          <w:szCs w:val="20"/>
          <w:lang w:bidi="en-US"/>
        </w:rPr>
      </w:pPr>
    </w:p>
    <w:p w:rsidR="00431A17" w:rsidRPr="001974C3" w:rsidRDefault="00C56B05" w:rsidP="005735AE">
      <w:pPr>
        <w:numPr>
          <w:ilvl w:val="3"/>
          <w:numId w:val="2"/>
        </w:numPr>
        <w:tabs>
          <w:tab w:val="clear" w:pos="450"/>
          <w:tab w:val="num" w:pos="0"/>
        </w:tabs>
        <w:autoSpaceDE w:val="0"/>
        <w:autoSpaceDN w:val="0"/>
        <w:adjustRightInd w:val="0"/>
        <w:spacing w:after="0"/>
        <w:ind w:left="0" w:firstLine="0"/>
        <w:rPr>
          <w:rFonts w:cs="Verdana"/>
          <w:szCs w:val="20"/>
          <w:lang w:bidi="en-US"/>
        </w:rPr>
      </w:pPr>
      <w:r>
        <w:rPr>
          <w:rFonts w:cs="Verdana"/>
          <w:szCs w:val="20"/>
          <w:lang w:bidi="en-US"/>
        </w:rPr>
        <w:t>Requerir a los representantes</w:t>
      </w:r>
      <w:r w:rsidR="00CE35F2">
        <w:rPr>
          <w:rFonts w:cs="Verdana"/>
          <w:szCs w:val="20"/>
          <w:lang w:bidi="en-US"/>
        </w:rPr>
        <w:t>, al Estado</w:t>
      </w:r>
      <w:r>
        <w:rPr>
          <w:rFonts w:cs="Verdana"/>
          <w:szCs w:val="20"/>
          <w:lang w:bidi="en-US"/>
        </w:rPr>
        <w:t xml:space="preserve"> y a la Comisión</w:t>
      </w:r>
      <w:r w:rsidR="00431A17" w:rsidRPr="001974C3">
        <w:rPr>
          <w:rFonts w:cs="Verdana"/>
          <w:szCs w:val="20"/>
          <w:lang w:bidi="en-US"/>
        </w:rPr>
        <w:t xml:space="preserve"> que coordinen y realicen las diligencias </w:t>
      </w:r>
      <w:r w:rsidR="00431A17" w:rsidRPr="001974C3">
        <w:rPr>
          <w:szCs w:val="20"/>
        </w:rPr>
        <w:t>necesarias</w:t>
      </w:r>
      <w:r w:rsidR="00431A17" w:rsidRPr="001974C3">
        <w:rPr>
          <w:rFonts w:cs="Verdana"/>
          <w:szCs w:val="20"/>
          <w:lang w:bidi="en-US"/>
        </w:rPr>
        <w:t xml:space="preserve"> para que, una vez recibidas las preguntas, si las hubiere, los declarantes propuestos incluyan las respuestas respectivas en sus declaraciones rendidas ante fedatario público, de conformidad con el </w:t>
      </w:r>
      <w:r w:rsidR="0091098F">
        <w:rPr>
          <w:rFonts w:cs="Verdana"/>
          <w:szCs w:val="20"/>
          <w:lang w:bidi="en-US"/>
        </w:rPr>
        <w:t>punto resolutivo 4</w:t>
      </w:r>
      <w:r w:rsidR="00431A17" w:rsidRPr="001974C3">
        <w:rPr>
          <w:rFonts w:cs="Verdana"/>
          <w:szCs w:val="20"/>
          <w:lang w:bidi="en-US"/>
        </w:rPr>
        <w:t xml:space="preserve"> de la presente Resolución. </w:t>
      </w:r>
    </w:p>
    <w:p w:rsidR="00431A17" w:rsidRDefault="00431A17" w:rsidP="005735AE">
      <w:pPr>
        <w:pStyle w:val="Listavistosa-nfasis11"/>
        <w:numPr>
          <w:ilvl w:val="0"/>
          <w:numId w:val="0"/>
        </w:numPr>
        <w:spacing w:after="0"/>
        <w:contextualSpacing w:val="0"/>
        <w:rPr>
          <w:rFonts w:cs="Verdana"/>
          <w:szCs w:val="20"/>
          <w:lang w:bidi="en-US"/>
        </w:rPr>
      </w:pPr>
    </w:p>
    <w:p w:rsidR="00431A17" w:rsidRDefault="00431A17" w:rsidP="005735AE">
      <w:pPr>
        <w:numPr>
          <w:ilvl w:val="3"/>
          <w:numId w:val="2"/>
        </w:numPr>
        <w:tabs>
          <w:tab w:val="clear" w:pos="450"/>
          <w:tab w:val="num" w:pos="0"/>
        </w:tabs>
        <w:autoSpaceDE w:val="0"/>
        <w:autoSpaceDN w:val="0"/>
        <w:adjustRightInd w:val="0"/>
        <w:spacing w:after="0"/>
        <w:ind w:left="0" w:firstLine="0"/>
        <w:rPr>
          <w:rFonts w:cs="Verdana"/>
          <w:szCs w:val="20"/>
          <w:lang w:bidi="en-US"/>
        </w:rPr>
      </w:pPr>
      <w:r w:rsidRPr="00403E1A">
        <w:rPr>
          <w:rFonts w:cs="Verdana"/>
          <w:szCs w:val="20"/>
          <w:lang w:bidi="en-US"/>
        </w:rPr>
        <w:t xml:space="preserve">Disponer que, una vez recibidas las declaraciones y peritajes requeridos en el punto resolutivo </w:t>
      </w:r>
      <w:r w:rsidR="00202E0D">
        <w:rPr>
          <w:rFonts w:cs="Verdana"/>
          <w:szCs w:val="20"/>
          <w:lang w:bidi="en-US"/>
        </w:rPr>
        <w:t>4</w:t>
      </w:r>
      <w:r w:rsidR="005410AE">
        <w:rPr>
          <w:rFonts w:cs="Verdana"/>
          <w:szCs w:val="20"/>
          <w:lang w:bidi="en-US"/>
        </w:rPr>
        <w:t>,</w:t>
      </w:r>
      <w:r w:rsidRPr="00403E1A">
        <w:rPr>
          <w:rFonts w:cs="Verdana"/>
          <w:szCs w:val="20"/>
          <w:lang w:bidi="en-US"/>
        </w:rPr>
        <w:t xml:space="preserve"> la Secretaría de la Corte los transmita a los representantes, a la Comisión y al </w:t>
      </w:r>
      <w:r w:rsidRPr="00403E1A">
        <w:rPr>
          <w:szCs w:val="20"/>
        </w:rPr>
        <w:t>Estado</w:t>
      </w:r>
      <w:r w:rsidRPr="00403E1A">
        <w:rPr>
          <w:rFonts w:cs="Verdana"/>
          <w:szCs w:val="20"/>
          <w:lang w:bidi="en-US"/>
        </w:rPr>
        <w:t xml:space="preserve"> para que, si lo estiman necesario y en los que les corresponda, presenten sus observaciones a dichas declaraciones y peritajes, </w:t>
      </w:r>
      <w:r w:rsidRPr="00403E1A">
        <w:rPr>
          <w:rFonts w:cs="Verdana"/>
          <w:szCs w:val="20"/>
        </w:rPr>
        <w:t>a más tardar con sus alegatos u observaciones finales escritos.</w:t>
      </w:r>
    </w:p>
    <w:p w:rsidR="009A6342" w:rsidRPr="009A6342" w:rsidRDefault="009A6342" w:rsidP="009A6342">
      <w:pPr>
        <w:pStyle w:val="Listavistosa-nfasis11"/>
        <w:widowControl w:val="0"/>
        <w:numPr>
          <w:ilvl w:val="0"/>
          <w:numId w:val="0"/>
        </w:numPr>
        <w:tabs>
          <w:tab w:val="left" w:pos="0"/>
        </w:tabs>
        <w:autoSpaceDE w:val="0"/>
        <w:autoSpaceDN w:val="0"/>
        <w:adjustRightInd w:val="0"/>
        <w:spacing w:after="0"/>
        <w:contextualSpacing w:val="0"/>
        <w:rPr>
          <w:rFonts w:cs="Verdana"/>
          <w:iCs/>
          <w:szCs w:val="20"/>
          <w:lang w:bidi="en-US"/>
        </w:rPr>
      </w:pPr>
    </w:p>
    <w:p w:rsidR="009A6342" w:rsidRPr="000E7FDC" w:rsidRDefault="009A6342" w:rsidP="009A6342">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0E7FDC">
        <w:rPr>
          <w:color w:val="000000"/>
          <w:szCs w:val="20"/>
          <w:lang w:val="es-CR"/>
        </w:rPr>
        <w:t xml:space="preserve">Requerir a los representantes que </w:t>
      </w:r>
      <w:r w:rsidRPr="000E7FDC">
        <w:rPr>
          <w:szCs w:val="20"/>
          <w:lang w:val="es-CR"/>
        </w:rPr>
        <w:t>comuniquen a la Corte el nombre de</w:t>
      </w:r>
      <w:r>
        <w:rPr>
          <w:szCs w:val="20"/>
          <w:lang w:val="es-CR"/>
        </w:rPr>
        <w:t xml:space="preserve">l declarante cuyo </w:t>
      </w:r>
      <w:r>
        <w:rPr>
          <w:i/>
          <w:iCs/>
          <w:szCs w:val="20"/>
          <w:lang w:val="es-CR"/>
        </w:rPr>
        <w:t>afidávit</w:t>
      </w:r>
      <w:r w:rsidRPr="000E7FDC">
        <w:rPr>
          <w:i/>
          <w:iCs/>
          <w:szCs w:val="20"/>
          <w:lang w:val="es-CR"/>
        </w:rPr>
        <w:t xml:space="preserve"> </w:t>
      </w:r>
      <w:r w:rsidRPr="000E7FDC">
        <w:rPr>
          <w:szCs w:val="20"/>
          <w:lang w:val="es-CR"/>
        </w:rPr>
        <w:t>será</w:t>
      </w:r>
      <w:r>
        <w:rPr>
          <w:szCs w:val="20"/>
          <w:lang w:val="es-CR"/>
        </w:rPr>
        <w:t>n</w:t>
      </w:r>
      <w:r w:rsidRPr="000E7FDC">
        <w:rPr>
          <w:szCs w:val="20"/>
          <w:lang w:val="es-CR"/>
        </w:rPr>
        <w:t xml:space="preserve"> cubierto por el Fondo de </w:t>
      </w:r>
      <w:r w:rsidRPr="00392445">
        <w:rPr>
          <w:szCs w:val="20"/>
          <w:lang w:val="es-CR"/>
        </w:rPr>
        <w:t xml:space="preserve">Asistencia, y que remita una cotización del costo de la formalización </w:t>
      </w:r>
      <w:r w:rsidRPr="00392445">
        <w:rPr>
          <w:iCs/>
          <w:szCs w:val="20"/>
          <w:lang w:val="es-CR"/>
        </w:rPr>
        <w:t xml:space="preserve">de la </w:t>
      </w:r>
      <w:r>
        <w:rPr>
          <w:iCs/>
          <w:szCs w:val="20"/>
          <w:lang w:val="es-CR"/>
        </w:rPr>
        <w:t xml:space="preserve">declaración </w:t>
      </w:r>
      <w:r w:rsidRPr="00392445">
        <w:rPr>
          <w:iCs/>
          <w:szCs w:val="20"/>
          <w:lang w:val="es-CR"/>
        </w:rPr>
        <w:t>jurada en el país de residencia del declarante y de su respectivo envío</w:t>
      </w:r>
      <w:r w:rsidRPr="00392445">
        <w:rPr>
          <w:szCs w:val="20"/>
          <w:lang w:val="es-CR"/>
        </w:rPr>
        <w:t xml:space="preserve">, a más tardar el </w:t>
      </w:r>
      <w:r w:rsidRPr="00F62EDE">
        <w:rPr>
          <w:szCs w:val="20"/>
          <w:lang w:val="es-CR"/>
        </w:rPr>
        <w:t>1</w:t>
      </w:r>
      <w:r w:rsidR="00F62EDE" w:rsidRPr="00F62EDE">
        <w:rPr>
          <w:szCs w:val="20"/>
          <w:lang w:val="es-CR"/>
        </w:rPr>
        <w:t>8</w:t>
      </w:r>
      <w:r w:rsidRPr="00F62EDE">
        <w:rPr>
          <w:szCs w:val="20"/>
          <w:lang w:val="es-CR"/>
        </w:rPr>
        <w:t xml:space="preserve"> de abril de 2017,</w:t>
      </w:r>
      <w:r w:rsidRPr="00392445">
        <w:rPr>
          <w:szCs w:val="20"/>
          <w:lang w:val="es-CR"/>
        </w:rPr>
        <w:t xml:space="preserve"> de conformidad</w:t>
      </w:r>
      <w:r w:rsidRPr="000E7FDC">
        <w:rPr>
          <w:szCs w:val="20"/>
          <w:lang w:val="es-CR"/>
        </w:rPr>
        <w:t xml:space="preserve"> con lo establecido en el Considerando </w:t>
      </w:r>
      <w:r>
        <w:rPr>
          <w:szCs w:val="20"/>
          <w:lang w:val="es-CR"/>
        </w:rPr>
        <w:t>42</w:t>
      </w:r>
      <w:r w:rsidRPr="000E7FDC">
        <w:rPr>
          <w:szCs w:val="20"/>
          <w:lang w:val="es-CR"/>
        </w:rPr>
        <w:t xml:space="preserve"> de la presente Resolución.</w:t>
      </w:r>
      <w:r w:rsidRPr="000E7FDC">
        <w:rPr>
          <w:rFonts w:cs="Verdana"/>
          <w:szCs w:val="20"/>
          <w:lang w:bidi="en-US"/>
        </w:rPr>
        <w:t xml:space="preserve"> </w:t>
      </w:r>
      <w:r w:rsidRPr="000E7FDC">
        <w:rPr>
          <w:szCs w:val="20"/>
          <w:lang w:val="es-CR"/>
        </w:rPr>
        <w:t xml:space="preserve">  </w:t>
      </w:r>
    </w:p>
    <w:p w:rsidR="00431A17" w:rsidRDefault="00431A17" w:rsidP="005735AE">
      <w:pPr>
        <w:pStyle w:val="Listavistosa-nfasis11"/>
        <w:numPr>
          <w:ilvl w:val="0"/>
          <w:numId w:val="0"/>
        </w:numPr>
        <w:spacing w:after="0"/>
        <w:contextualSpacing w:val="0"/>
        <w:rPr>
          <w:rFonts w:cs="Verdana"/>
          <w:szCs w:val="20"/>
          <w:lang w:bidi="en-US"/>
        </w:rPr>
      </w:pPr>
    </w:p>
    <w:p w:rsidR="000E7FDC" w:rsidRPr="000E7FDC" w:rsidRDefault="00431A17" w:rsidP="005735AE">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FC2B4F">
        <w:rPr>
          <w:rFonts w:cs="Verdana"/>
          <w:szCs w:val="20"/>
          <w:lang w:bidi="en-US"/>
        </w:rPr>
        <w:t>Informar a los representantes, al Estado y a la Comisión Interamericana que deben cubrir los gastos que ocasione la aportación o rendición de la prueba propuesta por ellos, de conformidad con lo dispuesto en el artículo 60 del Reglamento.</w:t>
      </w:r>
      <w:r w:rsidR="005410AE">
        <w:rPr>
          <w:rFonts w:cs="Verdana"/>
          <w:szCs w:val="20"/>
          <w:lang w:bidi="en-US"/>
        </w:rPr>
        <w:t xml:space="preserve"> </w:t>
      </w:r>
    </w:p>
    <w:p w:rsidR="00431A17" w:rsidRDefault="00431A17" w:rsidP="005735AE">
      <w:pPr>
        <w:pStyle w:val="Listavistosa-nfasis11"/>
        <w:numPr>
          <w:ilvl w:val="0"/>
          <w:numId w:val="0"/>
        </w:numPr>
        <w:spacing w:after="0"/>
        <w:contextualSpacing w:val="0"/>
        <w:rPr>
          <w:rFonts w:cs="Verdana"/>
          <w:szCs w:val="20"/>
          <w:lang w:bidi="en-US"/>
        </w:rPr>
      </w:pPr>
    </w:p>
    <w:p w:rsidR="00431A17" w:rsidRPr="00E34DF8" w:rsidRDefault="00431A17" w:rsidP="005735AE">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Requerir a los representantes, al Estado y a la Comisión Interamericana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431A17" w:rsidRDefault="00431A17" w:rsidP="005735AE">
      <w:pPr>
        <w:pStyle w:val="Listavistosa-nfasis11"/>
        <w:numPr>
          <w:ilvl w:val="0"/>
          <w:numId w:val="0"/>
        </w:numPr>
        <w:spacing w:after="0"/>
        <w:contextualSpacing w:val="0"/>
        <w:rPr>
          <w:rFonts w:cs="Verdana"/>
          <w:szCs w:val="20"/>
          <w:lang w:bidi="en-US"/>
        </w:rPr>
      </w:pPr>
    </w:p>
    <w:p w:rsidR="00431A17" w:rsidRPr="00E34DF8" w:rsidRDefault="00431A17" w:rsidP="005735AE">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eventuales fondo y reparaciones y costas en este caso.</w:t>
      </w:r>
    </w:p>
    <w:p w:rsidR="00431A17" w:rsidRDefault="00431A17" w:rsidP="005735AE">
      <w:pPr>
        <w:pStyle w:val="Listavistosa-nfasis11"/>
        <w:numPr>
          <w:ilvl w:val="0"/>
          <w:numId w:val="0"/>
        </w:numPr>
        <w:spacing w:after="0"/>
        <w:contextualSpacing w:val="0"/>
        <w:rPr>
          <w:rFonts w:cs="Verdana"/>
          <w:szCs w:val="20"/>
          <w:lang w:bidi="en-US"/>
        </w:rPr>
      </w:pPr>
    </w:p>
    <w:p w:rsidR="00431A17" w:rsidRPr="00E34DF8" w:rsidRDefault="00431A17" w:rsidP="005735AE">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Informar </w:t>
      </w:r>
      <w:r>
        <w:rPr>
          <w:rFonts w:cs="Verdana"/>
          <w:szCs w:val="20"/>
          <w:lang w:bidi="en-US"/>
        </w:rPr>
        <w:t xml:space="preserve">a </w:t>
      </w:r>
      <w:r w:rsidRPr="00E34DF8">
        <w:rPr>
          <w:rFonts w:cs="Verdana"/>
          <w:szCs w:val="20"/>
          <w:lang w:bidi="en-US"/>
        </w:rPr>
        <w:t xml:space="preserve">los representantes, al Estado y a la Comisión Interamericana que cuentan </w:t>
      </w:r>
      <w:r w:rsidRPr="0091098F">
        <w:rPr>
          <w:rFonts w:cs="Verdana"/>
          <w:szCs w:val="20"/>
          <w:lang w:bidi="en-US"/>
        </w:rPr>
        <w:t xml:space="preserve">con un plazo hasta el </w:t>
      </w:r>
      <w:r w:rsidR="00BC4AAB" w:rsidRPr="00F62EDE">
        <w:rPr>
          <w:rFonts w:cs="Verdana"/>
          <w:szCs w:val="20"/>
          <w:lang w:bidi="en-US"/>
        </w:rPr>
        <w:t>26 de junio</w:t>
      </w:r>
      <w:r w:rsidR="00AB1FE2" w:rsidRPr="00F62EDE">
        <w:rPr>
          <w:rFonts w:cs="Verdana"/>
          <w:szCs w:val="20"/>
          <w:lang w:bidi="en-US"/>
        </w:rPr>
        <w:t xml:space="preserve"> de 2017</w:t>
      </w:r>
      <w:r w:rsidRPr="0091098F">
        <w:rPr>
          <w:rFonts w:cs="Verdana"/>
          <w:szCs w:val="20"/>
          <w:lang w:bidi="en-US"/>
        </w:rPr>
        <w:t xml:space="preserve"> para presentar sus alegatos finales escritos y</w:t>
      </w:r>
      <w:r w:rsidRPr="00E34DF8">
        <w:rPr>
          <w:rFonts w:cs="Verdana"/>
          <w:szCs w:val="20"/>
          <w:lang w:bidi="en-US"/>
        </w:rPr>
        <w:t xml:space="preserve"> observaciones finales escritas, respectivamente, en relación con las excepciones preliminares, eventuales fondo y reparaciones y costas. Este plazo es improrrogable. </w:t>
      </w:r>
      <w:r w:rsidRPr="00E34DF8">
        <w:rPr>
          <w:rFonts w:cs="ArialMT"/>
          <w:szCs w:val="20"/>
          <w:lang w:bidi="en-US"/>
        </w:rPr>
        <w:t xml:space="preserve"> </w:t>
      </w:r>
    </w:p>
    <w:p w:rsidR="00431A17" w:rsidRDefault="00431A17" w:rsidP="005735AE">
      <w:pPr>
        <w:pStyle w:val="Listavistosa-nfasis11"/>
        <w:numPr>
          <w:ilvl w:val="0"/>
          <w:numId w:val="0"/>
        </w:numPr>
        <w:spacing w:after="0"/>
        <w:contextualSpacing w:val="0"/>
        <w:rPr>
          <w:rFonts w:cs="Verdana"/>
          <w:szCs w:val="20"/>
          <w:lang w:bidi="en-US"/>
        </w:rPr>
      </w:pPr>
    </w:p>
    <w:p w:rsidR="00431A17" w:rsidRPr="00E34DF8" w:rsidRDefault="00431A17" w:rsidP="005735AE">
      <w:pPr>
        <w:pStyle w:val="Listavistosa-nfasis11"/>
        <w:widowControl w:val="0"/>
        <w:numPr>
          <w:ilvl w:val="3"/>
          <w:numId w:val="2"/>
        </w:numPr>
        <w:tabs>
          <w:tab w:val="clear" w:pos="450"/>
          <w:tab w:val="left" w:pos="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Disponer que la Secretaría de la Corte notifique la presente Resolución a los representantes</w:t>
      </w:r>
      <w:r>
        <w:rPr>
          <w:rFonts w:cs="Verdana"/>
          <w:szCs w:val="20"/>
          <w:lang w:bidi="en-US"/>
        </w:rPr>
        <w:t>, a la República Federativa de Brasil</w:t>
      </w:r>
      <w:r w:rsidRPr="00E34DF8">
        <w:rPr>
          <w:rFonts w:cs="Verdana"/>
          <w:szCs w:val="20"/>
          <w:lang w:bidi="en-US"/>
        </w:rPr>
        <w:t xml:space="preserve"> y a la Comisión Interamericana de Derechos Humanos. </w:t>
      </w: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D13CEC" w:rsidRDefault="00D13CEC"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D13CEC" w:rsidRDefault="00D13CEC"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D13CEC" w:rsidRDefault="00D13CEC"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F3422" w:rsidRDefault="004F3422" w:rsidP="005735AE">
      <w:pPr>
        <w:widowControl w:val="0"/>
        <w:autoSpaceDE w:val="0"/>
        <w:autoSpaceDN w:val="0"/>
        <w:adjustRightInd w:val="0"/>
        <w:spacing w:after="0"/>
        <w:ind w:left="5760" w:firstLine="720"/>
        <w:rPr>
          <w:szCs w:val="22"/>
        </w:rPr>
      </w:pP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sidR="00431A17">
        <w:rPr>
          <w:rFonts w:cs="Verdana"/>
          <w:szCs w:val="20"/>
          <w:lang w:bidi="en-US"/>
        </w:rPr>
        <w:t xml:space="preserve"> </w:t>
      </w:r>
      <w:r>
        <w:rPr>
          <w:szCs w:val="22"/>
        </w:rPr>
        <w:t>Eduardo Ferrer Mac-Gregor Poisot</w:t>
      </w:r>
    </w:p>
    <w:p w:rsidR="00431A17" w:rsidRPr="00E44575" w:rsidRDefault="00431A17" w:rsidP="005735AE">
      <w:pPr>
        <w:widowControl w:val="0"/>
        <w:autoSpaceDE w:val="0"/>
        <w:autoSpaceDN w:val="0"/>
        <w:adjustRightInd w:val="0"/>
        <w:spacing w:after="0"/>
        <w:ind w:left="5760" w:firstLine="720"/>
        <w:rPr>
          <w:szCs w:val="22"/>
        </w:rPr>
      </w:pPr>
      <w:r w:rsidRPr="00E44575">
        <w:rPr>
          <w:szCs w:val="22"/>
        </w:rPr>
        <w:t xml:space="preserve">Presidente </w:t>
      </w:r>
      <w:r w:rsidR="004F3422">
        <w:rPr>
          <w:szCs w:val="22"/>
        </w:rPr>
        <w:t>en ejercicio</w:t>
      </w: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E44575" w:rsidRDefault="00431A17" w:rsidP="005735AE">
      <w:pPr>
        <w:widowControl w:val="0"/>
        <w:autoSpaceDE w:val="0"/>
        <w:autoSpaceDN w:val="0"/>
        <w:adjustRightInd w:val="0"/>
        <w:spacing w:after="0"/>
        <w:rPr>
          <w:szCs w:val="22"/>
        </w:rPr>
      </w:pPr>
      <w:r w:rsidRPr="00E44575">
        <w:rPr>
          <w:szCs w:val="22"/>
        </w:rPr>
        <w:t>Pablo Saavedra Alessandri</w:t>
      </w:r>
    </w:p>
    <w:p w:rsidR="00431A17" w:rsidRPr="00E44575" w:rsidRDefault="00431A17" w:rsidP="005735AE">
      <w:pPr>
        <w:widowControl w:val="0"/>
        <w:autoSpaceDE w:val="0"/>
        <w:autoSpaceDN w:val="0"/>
        <w:adjustRightInd w:val="0"/>
        <w:spacing w:after="0"/>
        <w:rPr>
          <w:szCs w:val="22"/>
        </w:rPr>
      </w:pPr>
      <w:r w:rsidRPr="00E44575">
        <w:rPr>
          <w:szCs w:val="22"/>
        </w:rPr>
        <w:t xml:space="preserve">        Secretario </w:t>
      </w: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A431AA" w:rsidRDefault="00A431AA"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A431AA" w:rsidRDefault="00A431AA"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E44575">
        <w:rPr>
          <w:rFonts w:cs="Verdana"/>
          <w:szCs w:val="20"/>
          <w:lang w:bidi="en-US"/>
        </w:rPr>
        <w:t xml:space="preserve">Comuníquese y ejecútese, </w:t>
      </w:r>
    </w:p>
    <w:p w:rsidR="00431A17" w:rsidRPr="00040ECE"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F3422" w:rsidRDefault="004F3422" w:rsidP="005735AE">
      <w:pPr>
        <w:widowControl w:val="0"/>
        <w:autoSpaceDE w:val="0"/>
        <w:autoSpaceDN w:val="0"/>
        <w:adjustRightInd w:val="0"/>
        <w:spacing w:after="0"/>
        <w:ind w:left="5760"/>
        <w:rPr>
          <w:szCs w:val="22"/>
        </w:rPr>
      </w:pPr>
      <w:r>
        <w:rPr>
          <w:szCs w:val="22"/>
        </w:rPr>
        <w:t>Eduardo Ferrer Mac-Gregor Poisot</w:t>
      </w:r>
    </w:p>
    <w:p w:rsidR="004F3422" w:rsidRPr="00E44575" w:rsidRDefault="004F3422" w:rsidP="005735AE">
      <w:pPr>
        <w:widowControl w:val="0"/>
        <w:autoSpaceDE w:val="0"/>
        <w:autoSpaceDN w:val="0"/>
        <w:adjustRightInd w:val="0"/>
        <w:spacing w:after="0"/>
        <w:ind w:left="5760" w:firstLine="720"/>
        <w:rPr>
          <w:szCs w:val="22"/>
        </w:rPr>
      </w:pPr>
      <w:r w:rsidRPr="00E44575">
        <w:rPr>
          <w:szCs w:val="22"/>
        </w:rPr>
        <w:t xml:space="preserve">Presidente </w:t>
      </w:r>
      <w:r>
        <w:rPr>
          <w:szCs w:val="22"/>
        </w:rPr>
        <w:t>en ejercicio</w:t>
      </w:r>
    </w:p>
    <w:p w:rsidR="004F3422" w:rsidRPr="00E44575" w:rsidRDefault="004F3422"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F3422" w:rsidRPr="00E44575" w:rsidRDefault="00431A17" w:rsidP="005735AE">
      <w:pPr>
        <w:widowControl w:val="0"/>
        <w:autoSpaceDE w:val="0"/>
        <w:autoSpaceDN w:val="0"/>
        <w:adjustRightInd w:val="0"/>
        <w:spacing w:after="0"/>
        <w:ind w:left="5760" w:firstLine="720"/>
        <w:rPr>
          <w:szCs w:val="22"/>
        </w:rPr>
      </w:pPr>
      <w:r w:rsidRPr="00E44575">
        <w:rPr>
          <w:rFonts w:cs="Verdana"/>
          <w:szCs w:val="20"/>
          <w:lang w:bidi="en-US"/>
        </w:rPr>
        <w:tab/>
      </w:r>
    </w:p>
    <w:p w:rsidR="00431A17"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E44575"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431A17" w:rsidRPr="00E44575" w:rsidRDefault="00431A17" w:rsidP="005735AE">
      <w:pPr>
        <w:widowControl w:val="0"/>
        <w:autoSpaceDE w:val="0"/>
        <w:autoSpaceDN w:val="0"/>
        <w:adjustRightInd w:val="0"/>
        <w:spacing w:after="0"/>
        <w:rPr>
          <w:szCs w:val="22"/>
        </w:rPr>
      </w:pPr>
      <w:r w:rsidRPr="00E44575">
        <w:rPr>
          <w:szCs w:val="22"/>
        </w:rPr>
        <w:t>Pablo Saavedra Alessandri</w:t>
      </w:r>
    </w:p>
    <w:p w:rsidR="00431A17" w:rsidRPr="004867F5" w:rsidRDefault="00431A17" w:rsidP="005735AE">
      <w:pPr>
        <w:widowControl w:val="0"/>
        <w:autoSpaceDE w:val="0"/>
        <w:autoSpaceDN w:val="0"/>
        <w:adjustRightInd w:val="0"/>
        <w:spacing w:after="0"/>
        <w:rPr>
          <w:szCs w:val="22"/>
        </w:rPr>
      </w:pPr>
      <w:r>
        <w:rPr>
          <w:szCs w:val="22"/>
        </w:rPr>
        <w:t xml:space="preserve">       </w:t>
      </w:r>
      <w:r w:rsidRPr="00E44575">
        <w:rPr>
          <w:szCs w:val="22"/>
        </w:rPr>
        <w:t xml:space="preserve"> Secretario</w:t>
      </w:r>
      <w:r w:rsidRPr="004867F5">
        <w:rPr>
          <w:szCs w:val="22"/>
        </w:rPr>
        <w:t xml:space="preserve"> </w:t>
      </w:r>
    </w:p>
    <w:p w:rsidR="00431A17" w:rsidRPr="00155DB1"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sectPr w:rsidR="00431A17" w:rsidRPr="00155DB1" w:rsidSect="0030281E">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68" w:rsidRDefault="00774A68" w:rsidP="00431A17">
      <w:pPr>
        <w:spacing w:after="0"/>
      </w:pPr>
      <w:r>
        <w:separator/>
      </w:r>
    </w:p>
  </w:endnote>
  <w:endnote w:type="continuationSeparator" w:id="0">
    <w:p w:rsidR="00774A68" w:rsidRDefault="00774A68" w:rsidP="0043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Bold">
    <w:altName w:val="Times New Roman"/>
    <w:panose1 w:val="020B08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8000"/>
      <w:docPartObj>
        <w:docPartGallery w:val="Page Numbers (Bottom of Page)"/>
        <w:docPartUnique/>
      </w:docPartObj>
    </w:sdtPr>
    <w:sdtEndPr>
      <w:rPr>
        <w:noProof/>
      </w:rPr>
    </w:sdtEndPr>
    <w:sdtContent>
      <w:p w:rsidR="006B20A9" w:rsidRDefault="006B20A9">
        <w:pPr>
          <w:pStyle w:val="Footer"/>
          <w:jc w:val="center"/>
        </w:pPr>
        <w:r>
          <w:fldChar w:fldCharType="begin"/>
        </w:r>
        <w:r>
          <w:instrText xml:space="preserve"> PAGE   \* MERGEFORMAT </w:instrText>
        </w:r>
        <w:r>
          <w:fldChar w:fldCharType="separate"/>
        </w:r>
        <w:r w:rsidR="00506177">
          <w:rPr>
            <w:noProof/>
          </w:rPr>
          <w:t>2</w:t>
        </w:r>
        <w:r>
          <w:rPr>
            <w:noProof/>
          </w:rPr>
          <w:fldChar w:fldCharType="end"/>
        </w:r>
      </w:p>
    </w:sdtContent>
  </w:sdt>
  <w:p w:rsidR="006B20A9" w:rsidRDefault="006B2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68" w:rsidRDefault="00774A68" w:rsidP="00431A17">
      <w:pPr>
        <w:spacing w:after="0"/>
      </w:pPr>
      <w:r>
        <w:separator/>
      </w:r>
    </w:p>
  </w:footnote>
  <w:footnote w:type="continuationSeparator" w:id="0">
    <w:p w:rsidR="00774A68" w:rsidRDefault="00774A68" w:rsidP="00431A17">
      <w:pPr>
        <w:spacing w:after="0"/>
      </w:pPr>
      <w:r>
        <w:continuationSeparator/>
      </w:r>
    </w:p>
  </w:footnote>
  <w:footnote w:id="1">
    <w:p w:rsidR="00ED4096" w:rsidRPr="00ED4096" w:rsidRDefault="00ED4096">
      <w:pPr>
        <w:pStyle w:val="FootnoteText"/>
      </w:pPr>
      <w:r>
        <w:rPr>
          <w:rStyle w:val="FootnoteReference"/>
        </w:rPr>
        <w:t>*</w:t>
      </w:r>
      <w:r>
        <w:t xml:space="preserve"> El Presidente de la Corte, Juez Roberto F. Caldas, de naci</w:t>
      </w:r>
      <w:r w:rsidR="0030019E">
        <w:t>onalidad brasileña, no participa en el conocimiento de</w:t>
      </w:r>
      <w:r w:rsidR="00E55942">
        <w:t xml:space="preserve"> </w:t>
      </w:r>
      <w:r w:rsidR="0030019E">
        <w:t>l</w:t>
      </w:r>
      <w:r w:rsidR="00E55942">
        <w:t>a</w:t>
      </w:r>
      <w:r w:rsidR="0030019E">
        <w:t xml:space="preserve"> presente </w:t>
      </w:r>
      <w:r w:rsidR="00E55942">
        <w:t>resolución</w:t>
      </w:r>
      <w:r>
        <w:t>, de conformidad con lo dispuesto en el artículo 19.1 del Reglamento de la Corte. Por tal motivo, de acuerdo con los artículos 4.2 y 5 del Reglamento de este Tribunal, el Juez Eduardo Ferrer Mac-Gregor Poisot, Vicepresidente de la Corte, asum</w:t>
      </w:r>
      <w:r w:rsidR="0030019E">
        <w:t>e</w:t>
      </w:r>
      <w:r>
        <w:t xml:space="preserve"> la Presidencia en ejercicio respecto del presente caso.</w:t>
      </w:r>
    </w:p>
  </w:footnote>
  <w:footnote w:id="2">
    <w:p w:rsidR="00DB68AA" w:rsidRPr="00DB68AA" w:rsidRDefault="00DB68AA">
      <w:pPr>
        <w:pStyle w:val="FootnoteText"/>
      </w:pPr>
      <w:r>
        <w:rPr>
          <w:rStyle w:val="FootnoteReference"/>
        </w:rPr>
        <w:footnoteRef/>
      </w:r>
      <w:r>
        <w:t xml:space="preserve"> </w:t>
      </w:r>
      <w:r w:rsidR="00D1178C">
        <w:rPr>
          <w:i/>
        </w:rPr>
        <w:t xml:space="preserve">Caso Valencia Hinojosa y otra Vs. Ecuador. </w:t>
      </w:r>
      <w:r w:rsidR="00D1178C">
        <w:t>Resolución del Presidente de la Corte Interamericana de Derechos Humanos de 9 de marzo de 2016, Considerando 15.</w:t>
      </w:r>
    </w:p>
  </w:footnote>
  <w:footnote w:id="3">
    <w:p w:rsidR="005F45F5" w:rsidRPr="00391240" w:rsidRDefault="005F45F5" w:rsidP="005F45F5">
      <w:pPr>
        <w:widowControl w:val="0"/>
        <w:autoSpaceDE w:val="0"/>
        <w:autoSpaceDN w:val="0"/>
        <w:adjustRightInd w:val="0"/>
        <w:rPr>
          <w:rFonts w:cs="Verdana"/>
          <w:sz w:val="16"/>
          <w:szCs w:val="16"/>
        </w:rPr>
      </w:pPr>
      <w:r w:rsidRPr="007B66D4">
        <w:rPr>
          <w:rStyle w:val="FootnoteReference"/>
          <w:rFonts w:cs="Verdana"/>
          <w:sz w:val="16"/>
          <w:szCs w:val="16"/>
        </w:rPr>
        <w:footnoteRef/>
      </w:r>
      <w:r w:rsidRPr="007B66D4">
        <w:rPr>
          <w:rFonts w:cs="Verdana"/>
          <w:sz w:val="16"/>
          <w:szCs w:val="16"/>
        </w:rPr>
        <w:t xml:space="preserve"> </w:t>
      </w:r>
      <w:r w:rsidRPr="00E074AF">
        <w:rPr>
          <w:i/>
          <w:iCs/>
          <w:sz w:val="16"/>
          <w:szCs w:val="16"/>
        </w:rPr>
        <w:t>Cfr. Caso Contreras y otros Vs. El Salvador</w:t>
      </w:r>
      <w:r w:rsidRPr="00E074AF">
        <w:rPr>
          <w:sz w:val="16"/>
          <w:szCs w:val="16"/>
        </w:rPr>
        <w:t xml:space="preserve">. Resolución del Presidente de la Corte </w:t>
      </w:r>
      <w:r w:rsidRPr="0017643B">
        <w:rPr>
          <w:sz w:val="16"/>
          <w:szCs w:val="16"/>
        </w:rPr>
        <w:t xml:space="preserve">Interamericana de Derechos Humanos </w:t>
      </w:r>
      <w:r w:rsidRPr="00E074AF">
        <w:rPr>
          <w:sz w:val="16"/>
          <w:szCs w:val="16"/>
        </w:rPr>
        <w:t xml:space="preserve">de 14 de abril de 2011, Considerando 25, y </w:t>
      </w:r>
      <w:r w:rsidRPr="00A47F17">
        <w:rPr>
          <w:i/>
          <w:sz w:val="16"/>
          <w:szCs w:val="16"/>
        </w:rPr>
        <w:t>Caso García Ibarra y Familiares Vs. Ecuador</w:t>
      </w:r>
      <w:r w:rsidRPr="00A47F17">
        <w:rPr>
          <w:sz w:val="16"/>
          <w:szCs w:val="16"/>
        </w:rPr>
        <w:t>, Considerando 15</w:t>
      </w:r>
      <w:r w:rsidRPr="00A47F17">
        <w:rPr>
          <w:rFonts w:cs="Verdana"/>
          <w:sz w:val="16"/>
          <w:szCs w:val="16"/>
        </w:rPr>
        <w:t>.</w:t>
      </w:r>
    </w:p>
  </w:footnote>
  <w:footnote w:id="4">
    <w:p w:rsidR="0030281E" w:rsidRPr="0030281E" w:rsidRDefault="0030281E">
      <w:pPr>
        <w:pStyle w:val="FootnoteText"/>
        <w:rPr>
          <w:lang w:val="es-ES"/>
        </w:rPr>
      </w:pPr>
      <w:r>
        <w:rPr>
          <w:rStyle w:val="FootnoteReference"/>
        </w:rPr>
        <w:footnoteRef/>
      </w:r>
      <w:r>
        <w:t xml:space="preserve"> </w:t>
      </w:r>
      <w:r w:rsidRPr="0030281E">
        <w:t>Artículo 48. Recusación de peritos 1. Los peritos podrán ser recusados cuando incurran en alguna de las siguientes causales: a. ser pariente por consanguinidad, afinidad o adopción, dentro del cuarto grado, de una de las presuntas víctimas; b. ser o haber sido representante de alguna presunta víctima en el procedimiento a nivel interno o ante el sistema interamericano de promoción y protección de los derechos humanos por los hechos del caso en conocimiento de la Corte; c. tener o haber tenido vínculos estrechos o relación de subordinación funcional con la parte que lo propone y que a juicio de la Corte pudiera afectar su imparcialidad; d. ser o haber sido funcionario de la Comisión con conocimiento del caso en litigio en que se solicita su peritaje; e. ser o haber sido Agente del Estado demandado en el caso en litigio en que se solicita su peritaje; f. haber intervenido con anterioridad, a cualquier título, y en cualquier instancia, nacional o internacional, en relación con la misma causa.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8B9"/>
    <w:multiLevelType w:val="hybridMultilevel"/>
    <w:tmpl w:val="776C00EE"/>
    <w:lvl w:ilvl="0" w:tplc="EF32D9EC">
      <w:start w:val="1"/>
      <w:numFmt w:val="decimal"/>
      <w:lvlText w:val="%1)"/>
      <w:lvlJc w:val="left"/>
      <w:pPr>
        <w:tabs>
          <w:tab w:val="num" w:pos="1100"/>
        </w:tabs>
        <w:ind w:left="1100" w:hanging="380"/>
      </w:pPr>
      <w:rPr>
        <w:rFonts w:ascii="Verdana" w:eastAsia="Calibri" w:hAnsi="Verdana" w:cs="Times New Roman"/>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1534498"/>
    <w:multiLevelType w:val="hybridMultilevel"/>
    <w:tmpl w:val="226286B0"/>
    <w:lvl w:ilvl="0" w:tplc="7DA8FFC6">
      <w:start w:val="1"/>
      <w:numFmt w:val="decimal"/>
      <w:lvlText w:val="%1)"/>
      <w:lvlJc w:val="left"/>
      <w:pPr>
        <w:ind w:left="1080" w:hanging="360"/>
      </w:pPr>
      <w:rPr>
        <w:rFonts w:cs="Tahoma" w:hint="default"/>
        <w:i w:val="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73F78"/>
    <w:multiLevelType w:val="hybridMultilevel"/>
    <w:tmpl w:val="7A160A22"/>
    <w:lvl w:ilvl="0" w:tplc="140A0015">
      <w:start w:val="1"/>
      <w:numFmt w:val="upperLetter"/>
      <w:lvlText w:val="%1."/>
      <w:lvlJc w:val="left"/>
      <w:pPr>
        <w:ind w:left="644" w:hanging="360"/>
      </w:pPr>
      <w:rPr>
        <w:rFonts w:hint="default"/>
      </w:rPr>
    </w:lvl>
    <w:lvl w:ilvl="1" w:tplc="323EEAAC" w:tentative="1">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296847"/>
    <w:multiLevelType w:val="hybridMultilevel"/>
    <w:tmpl w:val="5BB6B398"/>
    <w:lvl w:ilvl="0" w:tplc="CCECF2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27DC7042"/>
    <w:multiLevelType w:val="hybridMultilevel"/>
    <w:tmpl w:val="4F2CBD70"/>
    <w:lvl w:ilvl="0" w:tplc="0C206A88">
      <w:start w:val="1"/>
      <w:numFmt w:val="decimal"/>
      <w:lvlText w:val="%1)"/>
      <w:lvlJc w:val="left"/>
      <w:pPr>
        <w:ind w:left="1080" w:hanging="360"/>
      </w:pPr>
      <w:rPr>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2A780770"/>
    <w:multiLevelType w:val="hybridMultilevel"/>
    <w:tmpl w:val="E55C83C6"/>
    <w:lvl w:ilvl="0" w:tplc="67E07D4A">
      <w:start w:val="1"/>
      <w:numFmt w:val="decimal"/>
      <w:lvlText w:val="%1."/>
      <w:lvlJc w:val="left"/>
      <w:pPr>
        <w:ind w:left="603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C30D2"/>
    <w:multiLevelType w:val="hybridMultilevel"/>
    <w:tmpl w:val="2B1423B2"/>
    <w:lvl w:ilvl="0" w:tplc="4FC83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0E6A55"/>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2B924257"/>
    <w:multiLevelType w:val="hybridMultilevel"/>
    <w:tmpl w:val="5EC29794"/>
    <w:lvl w:ilvl="0" w:tplc="FB80F59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C6819"/>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B4091"/>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F1036C3"/>
    <w:multiLevelType w:val="hybridMultilevel"/>
    <w:tmpl w:val="2ADC8108"/>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nsid w:val="3A38404A"/>
    <w:multiLevelType w:val="hybridMultilevel"/>
    <w:tmpl w:val="AE602AC0"/>
    <w:lvl w:ilvl="0" w:tplc="96607EE2">
      <w:start w:val="1"/>
      <w:numFmt w:val="decimal"/>
      <w:lvlText w:val="%1."/>
      <w:lvlJc w:val="left"/>
      <w:pPr>
        <w:tabs>
          <w:tab w:val="num" w:pos="360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EE80CC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3F9630DF"/>
    <w:multiLevelType w:val="hybridMultilevel"/>
    <w:tmpl w:val="21B0B80A"/>
    <w:lvl w:ilvl="0" w:tplc="F32699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062D1C"/>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46F435DD"/>
    <w:multiLevelType w:val="hybridMultilevel"/>
    <w:tmpl w:val="20023216"/>
    <w:lvl w:ilvl="0" w:tplc="54EAF6AE">
      <w:start w:val="1"/>
      <w:numFmt w:val="upperLetter"/>
      <w:lvlText w:val="%1)"/>
      <w:lvlJc w:val="left"/>
      <w:pPr>
        <w:ind w:left="915" w:hanging="360"/>
      </w:pPr>
      <w:rPr>
        <w:rFonts w:hint="default"/>
        <w:i/>
      </w:rPr>
    </w:lvl>
    <w:lvl w:ilvl="1" w:tplc="140A0019" w:tentative="1">
      <w:start w:val="1"/>
      <w:numFmt w:val="lowerLetter"/>
      <w:lvlText w:val="%2."/>
      <w:lvlJc w:val="left"/>
      <w:pPr>
        <w:ind w:left="1635" w:hanging="360"/>
      </w:pPr>
    </w:lvl>
    <w:lvl w:ilvl="2" w:tplc="140A001B" w:tentative="1">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17">
    <w:nsid w:val="4C2A2A7E"/>
    <w:multiLevelType w:val="hybridMultilevel"/>
    <w:tmpl w:val="0F8A998A"/>
    <w:lvl w:ilvl="0" w:tplc="FB04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2537A9"/>
    <w:multiLevelType w:val="hybridMultilevel"/>
    <w:tmpl w:val="664A7E32"/>
    <w:lvl w:ilvl="0" w:tplc="F726EDAE">
      <w:start w:val="1"/>
      <w:numFmt w:val="decimal"/>
      <w:lvlText w:val="%1."/>
      <w:lvlJc w:val="right"/>
      <w:pPr>
        <w:ind w:left="540" w:hanging="360"/>
      </w:pPr>
      <w:rPr>
        <w:rFonts w:ascii="Verdana" w:hAnsi="Verdana" w:cs="Tahom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5B8F5232"/>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5C2668C8"/>
    <w:multiLevelType w:val="hybridMultilevel"/>
    <w:tmpl w:val="5FF0EE58"/>
    <w:lvl w:ilvl="0" w:tplc="95A8C9F6">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CF74499"/>
    <w:multiLevelType w:val="hybridMultilevel"/>
    <w:tmpl w:val="741610C8"/>
    <w:lvl w:ilvl="0" w:tplc="0B201604">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60920337"/>
    <w:multiLevelType w:val="hybridMultilevel"/>
    <w:tmpl w:val="BC6E46A8"/>
    <w:lvl w:ilvl="0" w:tplc="C480EEC6">
      <w:start w:val="2"/>
      <w:numFmt w:val="decimal"/>
      <w:lvlText w:val="%1."/>
      <w:lvlJc w:val="left"/>
      <w:pPr>
        <w:tabs>
          <w:tab w:val="num" w:pos="720"/>
        </w:tabs>
        <w:ind w:left="0" w:firstLine="0"/>
      </w:pPr>
      <w:rPr>
        <w:rFonts w:ascii="Verdana" w:hAnsi="Verdana"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6">
    <w:nsid w:val="66982649"/>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6A367704"/>
    <w:multiLevelType w:val="hybridMultilevel"/>
    <w:tmpl w:val="6F6AA756"/>
    <w:lvl w:ilvl="0" w:tplc="39A8341A">
      <w:start w:val="1"/>
      <w:numFmt w:val="decimal"/>
      <w:lvlText w:val="%1)"/>
      <w:lvlJc w:val="left"/>
      <w:pPr>
        <w:ind w:left="1080" w:hanging="360"/>
      </w:pPr>
      <w:rPr>
        <w:rFonts w:cs="Times New Roman" w:hint="default"/>
        <w:i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5B6855"/>
    <w:multiLevelType w:val="hybridMultilevel"/>
    <w:tmpl w:val="6B40E254"/>
    <w:lvl w:ilvl="0" w:tplc="C3680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F41627"/>
    <w:multiLevelType w:val="hybridMultilevel"/>
    <w:tmpl w:val="3DE83F38"/>
    <w:lvl w:ilvl="0" w:tplc="5C3C0286">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31">
    <w:nsid w:val="6D953528"/>
    <w:multiLevelType w:val="hybridMultilevel"/>
    <w:tmpl w:val="6B6224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FB7C72"/>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88854F4"/>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30"/>
    <w:lvlOverride w:ilvl="0">
      <w:startOverride w:val="1"/>
    </w:lvlOverride>
  </w:num>
  <w:num w:numId="4">
    <w:abstractNumId w:val="20"/>
  </w:num>
  <w:num w:numId="5">
    <w:abstractNumId w:val="32"/>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21"/>
  </w:num>
  <w:num w:numId="11">
    <w:abstractNumId w:val="33"/>
  </w:num>
  <w:num w:numId="12">
    <w:abstractNumId w:val="14"/>
  </w:num>
  <w:num w:numId="13">
    <w:abstractNumId w:val="24"/>
  </w:num>
  <w:num w:numId="14">
    <w:abstractNumId w:val="18"/>
  </w:num>
  <w:num w:numId="15">
    <w:abstractNumId w:val="3"/>
  </w:num>
  <w:num w:numId="16">
    <w:abstractNumId w:val="6"/>
  </w:num>
  <w:num w:numId="17">
    <w:abstractNumId w:val="24"/>
  </w:num>
  <w:num w:numId="18">
    <w:abstractNumId w:val="29"/>
  </w:num>
  <w:num w:numId="19">
    <w:abstractNumId w:val="27"/>
  </w:num>
  <w:num w:numId="20">
    <w:abstractNumId w:val="28"/>
  </w:num>
  <w:num w:numId="21">
    <w:abstractNumId w:val="24"/>
  </w:num>
  <w:num w:numId="22">
    <w:abstractNumId w:val="15"/>
  </w:num>
  <w:num w:numId="23">
    <w:abstractNumId w:val="23"/>
  </w:num>
  <w:num w:numId="24">
    <w:abstractNumId w:val="24"/>
  </w:num>
  <w:num w:numId="25">
    <w:abstractNumId w:val="31"/>
  </w:num>
  <w:num w:numId="26">
    <w:abstractNumId w:val="7"/>
  </w:num>
  <w:num w:numId="27">
    <w:abstractNumId w:val="26"/>
  </w:num>
  <w:num w:numId="28">
    <w:abstractNumId w:val="2"/>
  </w:num>
  <w:num w:numId="29">
    <w:abstractNumId w:val="24"/>
  </w:num>
  <w:num w:numId="30">
    <w:abstractNumId w:val="11"/>
  </w:num>
  <w:num w:numId="31">
    <w:abstractNumId w:val="10"/>
  </w:num>
  <w:num w:numId="32">
    <w:abstractNumId w:val="19"/>
  </w:num>
  <w:num w:numId="33">
    <w:abstractNumId w:val="4"/>
  </w:num>
  <w:num w:numId="34">
    <w:abstractNumId w:val="1"/>
  </w:num>
  <w:num w:numId="35">
    <w:abstractNumId w:val="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num>
  <w:num w:numId="4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B"/>
    <w:rsid w:val="000003DA"/>
    <w:rsid w:val="000006FE"/>
    <w:rsid w:val="00000F6A"/>
    <w:rsid w:val="000010EC"/>
    <w:rsid w:val="00001D9C"/>
    <w:rsid w:val="00005825"/>
    <w:rsid w:val="000224AD"/>
    <w:rsid w:val="00023403"/>
    <w:rsid w:val="000264B7"/>
    <w:rsid w:val="000326C1"/>
    <w:rsid w:val="000427FE"/>
    <w:rsid w:val="00046380"/>
    <w:rsid w:val="0004765D"/>
    <w:rsid w:val="000524D6"/>
    <w:rsid w:val="00054303"/>
    <w:rsid w:val="000652E4"/>
    <w:rsid w:val="00066C02"/>
    <w:rsid w:val="00071382"/>
    <w:rsid w:val="00072F72"/>
    <w:rsid w:val="00077269"/>
    <w:rsid w:val="00077F9D"/>
    <w:rsid w:val="00081154"/>
    <w:rsid w:val="00084112"/>
    <w:rsid w:val="0008461F"/>
    <w:rsid w:val="000865C0"/>
    <w:rsid w:val="00086AD6"/>
    <w:rsid w:val="00090AA2"/>
    <w:rsid w:val="0009605F"/>
    <w:rsid w:val="00096B70"/>
    <w:rsid w:val="000A72F0"/>
    <w:rsid w:val="000B6781"/>
    <w:rsid w:val="000B749E"/>
    <w:rsid w:val="000C1D8F"/>
    <w:rsid w:val="000C3722"/>
    <w:rsid w:val="000C5B28"/>
    <w:rsid w:val="000D0F38"/>
    <w:rsid w:val="000D14FD"/>
    <w:rsid w:val="000E78BF"/>
    <w:rsid w:val="000E7FDC"/>
    <w:rsid w:val="000F38E5"/>
    <w:rsid w:val="000F62E6"/>
    <w:rsid w:val="00100FC4"/>
    <w:rsid w:val="001063FE"/>
    <w:rsid w:val="00116ED1"/>
    <w:rsid w:val="00123DA0"/>
    <w:rsid w:val="00123F65"/>
    <w:rsid w:val="00130C68"/>
    <w:rsid w:val="00134E11"/>
    <w:rsid w:val="00135E8F"/>
    <w:rsid w:val="00142EEB"/>
    <w:rsid w:val="00145331"/>
    <w:rsid w:val="00157B89"/>
    <w:rsid w:val="001610CC"/>
    <w:rsid w:val="0016280A"/>
    <w:rsid w:val="0018149C"/>
    <w:rsid w:val="001817F0"/>
    <w:rsid w:val="0019154E"/>
    <w:rsid w:val="00191F9D"/>
    <w:rsid w:val="0019302A"/>
    <w:rsid w:val="00193B62"/>
    <w:rsid w:val="00194FF8"/>
    <w:rsid w:val="00196114"/>
    <w:rsid w:val="001974C3"/>
    <w:rsid w:val="001A5E39"/>
    <w:rsid w:val="001A7496"/>
    <w:rsid w:val="001B3F0F"/>
    <w:rsid w:val="001C71F3"/>
    <w:rsid w:val="001D14D4"/>
    <w:rsid w:val="001D18BD"/>
    <w:rsid w:val="001D6459"/>
    <w:rsid w:val="001E18AD"/>
    <w:rsid w:val="001F2C37"/>
    <w:rsid w:val="001F7280"/>
    <w:rsid w:val="00201C03"/>
    <w:rsid w:val="00202144"/>
    <w:rsid w:val="00202E0D"/>
    <w:rsid w:val="00206F30"/>
    <w:rsid w:val="00212A67"/>
    <w:rsid w:val="00214E0E"/>
    <w:rsid w:val="00220EC2"/>
    <w:rsid w:val="00231C11"/>
    <w:rsid w:val="00235002"/>
    <w:rsid w:val="00236AE0"/>
    <w:rsid w:val="00237AF4"/>
    <w:rsid w:val="0024588D"/>
    <w:rsid w:val="0025008A"/>
    <w:rsid w:val="002529B4"/>
    <w:rsid w:val="002534B9"/>
    <w:rsid w:val="00253CE1"/>
    <w:rsid w:val="00255AEA"/>
    <w:rsid w:val="00263A7A"/>
    <w:rsid w:val="00273623"/>
    <w:rsid w:val="00277860"/>
    <w:rsid w:val="0028222F"/>
    <w:rsid w:val="0029012B"/>
    <w:rsid w:val="00290404"/>
    <w:rsid w:val="0029230B"/>
    <w:rsid w:val="002A0089"/>
    <w:rsid w:val="002A5276"/>
    <w:rsid w:val="002B670F"/>
    <w:rsid w:val="002C02FC"/>
    <w:rsid w:val="002C1798"/>
    <w:rsid w:val="002C26A9"/>
    <w:rsid w:val="002C5817"/>
    <w:rsid w:val="002D30EC"/>
    <w:rsid w:val="002D3373"/>
    <w:rsid w:val="002D4852"/>
    <w:rsid w:val="002D7E8D"/>
    <w:rsid w:val="002E22D4"/>
    <w:rsid w:val="002E2E5A"/>
    <w:rsid w:val="002E449E"/>
    <w:rsid w:val="002E530B"/>
    <w:rsid w:val="002E7880"/>
    <w:rsid w:val="002F4040"/>
    <w:rsid w:val="0030019E"/>
    <w:rsid w:val="0030281E"/>
    <w:rsid w:val="00302D33"/>
    <w:rsid w:val="00303C9E"/>
    <w:rsid w:val="003122F4"/>
    <w:rsid w:val="00312E07"/>
    <w:rsid w:val="00313E2B"/>
    <w:rsid w:val="00317E23"/>
    <w:rsid w:val="00333477"/>
    <w:rsid w:val="0033435E"/>
    <w:rsid w:val="00342CA5"/>
    <w:rsid w:val="00343498"/>
    <w:rsid w:val="00347B14"/>
    <w:rsid w:val="003503B4"/>
    <w:rsid w:val="00350E89"/>
    <w:rsid w:val="0035204A"/>
    <w:rsid w:val="0035445E"/>
    <w:rsid w:val="003632C9"/>
    <w:rsid w:val="003637A9"/>
    <w:rsid w:val="00376B2B"/>
    <w:rsid w:val="0037733C"/>
    <w:rsid w:val="00377ECF"/>
    <w:rsid w:val="00382914"/>
    <w:rsid w:val="003831A2"/>
    <w:rsid w:val="003907DE"/>
    <w:rsid w:val="00390C12"/>
    <w:rsid w:val="00392445"/>
    <w:rsid w:val="0039545F"/>
    <w:rsid w:val="003957BD"/>
    <w:rsid w:val="00397463"/>
    <w:rsid w:val="00397697"/>
    <w:rsid w:val="003A1C1B"/>
    <w:rsid w:val="003B4675"/>
    <w:rsid w:val="003C0912"/>
    <w:rsid w:val="003D04E5"/>
    <w:rsid w:val="003E2E7E"/>
    <w:rsid w:val="003E4445"/>
    <w:rsid w:val="003F6FFF"/>
    <w:rsid w:val="004005D5"/>
    <w:rsid w:val="00405B38"/>
    <w:rsid w:val="004069D9"/>
    <w:rsid w:val="00407E3B"/>
    <w:rsid w:val="00410F30"/>
    <w:rsid w:val="0041131E"/>
    <w:rsid w:val="00413FB0"/>
    <w:rsid w:val="0042561A"/>
    <w:rsid w:val="00431A17"/>
    <w:rsid w:val="00431BCB"/>
    <w:rsid w:val="00435CF0"/>
    <w:rsid w:val="00437D62"/>
    <w:rsid w:val="00440840"/>
    <w:rsid w:val="00445290"/>
    <w:rsid w:val="00445FFB"/>
    <w:rsid w:val="00464C86"/>
    <w:rsid w:val="00466EB8"/>
    <w:rsid w:val="00470AA5"/>
    <w:rsid w:val="0048398C"/>
    <w:rsid w:val="00484289"/>
    <w:rsid w:val="00484F1C"/>
    <w:rsid w:val="0048544D"/>
    <w:rsid w:val="0048615E"/>
    <w:rsid w:val="00496D2C"/>
    <w:rsid w:val="004A07D2"/>
    <w:rsid w:val="004A2893"/>
    <w:rsid w:val="004A3ECB"/>
    <w:rsid w:val="004A5424"/>
    <w:rsid w:val="004B4611"/>
    <w:rsid w:val="004C3129"/>
    <w:rsid w:val="004D25F4"/>
    <w:rsid w:val="004D76D0"/>
    <w:rsid w:val="004E67F2"/>
    <w:rsid w:val="004F3422"/>
    <w:rsid w:val="004F3C91"/>
    <w:rsid w:val="004F5A1D"/>
    <w:rsid w:val="00503C0A"/>
    <w:rsid w:val="00506177"/>
    <w:rsid w:val="005231E2"/>
    <w:rsid w:val="00530572"/>
    <w:rsid w:val="005306C0"/>
    <w:rsid w:val="00533E2C"/>
    <w:rsid w:val="0053701E"/>
    <w:rsid w:val="005410AE"/>
    <w:rsid w:val="00542752"/>
    <w:rsid w:val="00550764"/>
    <w:rsid w:val="00555A8C"/>
    <w:rsid w:val="00563606"/>
    <w:rsid w:val="00563C7F"/>
    <w:rsid w:val="005652F5"/>
    <w:rsid w:val="005735AE"/>
    <w:rsid w:val="005755F8"/>
    <w:rsid w:val="005779F4"/>
    <w:rsid w:val="00577C14"/>
    <w:rsid w:val="00584185"/>
    <w:rsid w:val="00594A49"/>
    <w:rsid w:val="00594D7A"/>
    <w:rsid w:val="005978D6"/>
    <w:rsid w:val="005B2C76"/>
    <w:rsid w:val="005B441D"/>
    <w:rsid w:val="005B7C90"/>
    <w:rsid w:val="005C671B"/>
    <w:rsid w:val="005C6E58"/>
    <w:rsid w:val="005D01A8"/>
    <w:rsid w:val="005D14A0"/>
    <w:rsid w:val="005D57F9"/>
    <w:rsid w:val="005D72A9"/>
    <w:rsid w:val="005E648A"/>
    <w:rsid w:val="005F0601"/>
    <w:rsid w:val="005F45F5"/>
    <w:rsid w:val="005F577E"/>
    <w:rsid w:val="00600CB3"/>
    <w:rsid w:val="006020F1"/>
    <w:rsid w:val="0060228F"/>
    <w:rsid w:val="00602A36"/>
    <w:rsid w:val="00606677"/>
    <w:rsid w:val="006076E7"/>
    <w:rsid w:val="00611F03"/>
    <w:rsid w:val="0061438D"/>
    <w:rsid w:val="006221A2"/>
    <w:rsid w:val="00623480"/>
    <w:rsid w:val="00626584"/>
    <w:rsid w:val="00626E62"/>
    <w:rsid w:val="00633E1E"/>
    <w:rsid w:val="0063543A"/>
    <w:rsid w:val="00637A7E"/>
    <w:rsid w:val="0064274C"/>
    <w:rsid w:val="00644344"/>
    <w:rsid w:val="00651D65"/>
    <w:rsid w:val="00655941"/>
    <w:rsid w:val="00657D87"/>
    <w:rsid w:val="00665986"/>
    <w:rsid w:val="00666289"/>
    <w:rsid w:val="0067033A"/>
    <w:rsid w:val="0067119C"/>
    <w:rsid w:val="00673A02"/>
    <w:rsid w:val="0067793D"/>
    <w:rsid w:val="00681E44"/>
    <w:rsid w:val="00686DEC"/>
    <w:rsid w:val="006A0AFE"/>
    <w:rsid w:val="006A3162"/>
    <w:rsid w:val="006B20A9"/>
    <w:rsid w:val="006B2214"/>
    <w:rsid w:val="006B7A07"/>
    <w:rsid w:val="006C15F5"/>
    <w:rsid w:val="006C2759"/>
    <w:rsid w:val="006C53BE"/>
    <w:rsid w:val="006C7BB1"/>
    <w:rsid w:val="006D01E7"/>
    <w:rsid w:val="006D186E"/>
    <w:rsid w:val="006D44AD"/>
    <w:rsid w:val="006D6805"/>
    <w:rsid w:val="006E1B0A"/>
    <w:rsid w:val="006E2D01"/>
    <w:rsid w:val="006E3530"/>
    <w:rsid w:val="006E50F0"/>
    <w:rsid w:val="006F05E4"/>
    <w:rsid w:val="006F61E5"/>
    <w:rsid w:val="007032C2"/>
    <w:rsid w:val="00705738"/>
    <w:rsid w:val="00707290"/>
    <w:rsid w:val="00711324"/>
    <w:rsid w:val="00711D53"/>
    <w:rsid w:val="00714E41"/>
    <w:rsid w:val="0072360F"/>
    <w:rsid w:val="00731581"/>
    <w:rsid w:val="00732E82"/>
    <w:rsid w:val="00736694"/>
    <w:rsid w:val="00737BDA"/>
    <w:rsid w:val="00746101"/>
    <w:rsid w:val="00746C14"/>
    <w:rsid w:val="007516E5"/>
    <w:rsid w:val="007523E6"/>
    <w:rsid w:val="00754231"/>
    <w:rsid w:val="007645A7"/>
    <w:rsid w:val="007648D2"/>
    <w:rsid w:val="007748C7"/>
    <w:rsid w:val="00774A68"/>
    <w:rsid w:val="00781060"/>
    <w:rsid w:val="00781F08"/>
    <w:rsid w:val="00783501"/>
    <w:rsid w:val="00785B6E"/>
    <w:rsid w:val="00787CD9"/>
    <w:rsid w:val="0079168F"/>
    <w:rsid w:val="00793E0D"/>
    <w:rsid w:val="007A084C"/>
    <w:rsid w:val="007A4371"/>
    <w:rsid w:val="007B0692"/>
    <w:rsid w:val="007B1E25"/>
    <w:rsid w:val="007B2229"/>
    <w:rsid w:val="007B4454"/>
    <w:rsid w:val="007C3A41"/>
    <w:rsid w:val="007C78F1"/>
    <w:rsid w:val="007D666C"/>
    <w:rsid w:val="007E2235"/>
    <w:rsid w:val="007E5A26"/>
    <w:rsid w:val="007E6583"/>
    <w:rsid w:val="007F140A"/>
    <w:rsid w:val="007F1ECC"/>
    <w:rsid w:val="007F2DB7"/>
    <w:rsid w:val="007F6A2A"/>
    <w:rsid w:val="0080085B"/>
    <w:rsid w:val="008024E5"/>
    <w:rsid w:val="00806BFA"/>
    <w:rsid w:val="00806E48"/>
    <w:rsid w:val="00810E30"/>
    <w:rsid w:val="00811039"/>
    <w:rsid w:val="008129D3"/>
    <w:rsid w:val="008132C9"/>
    <w:rsid w:val="008213DD"/>
    <w:rsid w:val="0082311D"/>
    <w:rsid w:val="0082433D"/>
    <w:rsid w:val="00824EA9"/>
    <w:rsid w:val="00825BD9"/>
    <w:rsid w:val="00825C1F"/>
    <w:rsid w:val="008465B2"/>
    <w:rsid w:val="00846A11"/>
    <w:rsid w:val="00846BB1"/>
    <w:rsid w:val="00854DE1"/>
    <w:rsid w:val="008669C0"/>
    <w:rsid w:val="0087310F"/>
    <w:rsid w:val="00877384"/>
    <w:rsid w:val="0088456E"/>
    <w:rsid w:val="0089529E"/>
    <w:rsid w:val="00895489"/>
    <w:rsid w:val="00895D82"/>
    <w:rsid w:val="00896EBA"/>
    <w:rsid w:val="0089703A"/>
    <w:rsid w:val="008A0F55"/>
    <w:rsid w:val="008B1502"/>
    <w:rsid w:val="008B1854"/>
    <w:rsid w:val="008B2F98"/>
    <w:rsid w:val="008C7B8B"/>
    <w:rsid w:val="008E2AC1"/>
    <w:rsid w:val="008E31EE"/>
    <w:rsid w:val="008F2855"/>
    <w:rsid w:val="00900FDD"/>
    <w:rsid w:val="0090127D"/>
    <w:rsid w:val="0090565F"/>
    <w:rsid w:val="0091098F"/>
    <w:rsid w:val="009256D2"/>
    <w:rsid w:val="009262E7"/>
    <w:rsid w:val="00926694"/>
    <w:rsid w:val="0093091F"/>
    <w:rsid w:val="00937948"/>
    <w:rsid w:val="00941A6D"/>
    <w:rsid w:val="00941D29"/>
    <w:rsid w:val="00944FB4"/>
    <w:rsid w:val="009577A8"/>
    <w:rsid w:val="00971011"/>
    <w:rsid w:val="00972814"/>
    <w:rsid w:val="00975CE0"/>
    <w:rsid w:val="00982810"/>
    <w:rsid w:val="00982C3A"/>
    <w:rsid w:val="00987B5A"/>
    <w:rsid w:val="00994909"/>
    <w:rsid w:val="009A10A2"/>
    <w:rsid w:val="009A33FC"/>
    <w:rsid w:val="009A40F7"/>
    <w:rsid w:val="009A6342"/>
    <w:rsid w:val="009A651C"/>
    <w:rsid w:val="009B04F3"/>
    <w:rsid w:val="009B2E62"/>
    <w:rsid w:val="009B5948"/>
    <w:rsid w:val="009D3F7C"/>
    <w:rsid w:val="009D6C4F"/>
    <w:rsid w:val="009D7A49"/>
    <w:rsid w:val="009E25DE"/>
    <w:rsid w:val="009E3008"/>
    <w:rsid w:val="009F258B"/>
    <w:rsid w:val="00A008B7"/>
    <w:rsid w:val="00A0306E"/>
    <w:rsid w:val="00A04DAC"/>
    <w:rsid w:val="00A04F40"/>
    <w:rsid w:val="00A05548"/>
    <w:rsid w:val="00A12832"/>
    <w:rsid w:val="00A12CCC"/>
    <w:rsid w:val="00A1364F"/>
    <w:rsid w:val="00A13F71"/>
    <w:rsid w:val="00A159C4"/>
    <w:rsid w:val="00A15AB0"/>
    <w:rsid w:val="00A17CE7"/>
    <w:rsid w:val="00A17E84"/>
    <w:rsid w:val="00A208F9"/>
    <w:rsid w:val="00A22E0E"/>
    <w:rsid w:val="00A23A5A"/>
    <w:rsid w:val="00A23B6F"/>
    <w:rsid w:val="00A27F83"/>
    <w:rsid w:val="00A308B4"/>
    <w:rsid w:val="00A41E8A"/>
    <w:rsid w:val="00A42367"/>
    <w:rsid w:val="00A42BB3"/>
    <w:rsid w:val="00A431AA"/>
    <w:rsid w:val="00A47F17"/>
    <w:rsid w:val="00A52FBC"/>
    <w:rsid w:val="00A532A9"/>
    <w:rsid w:val="00A567DE"/>
    <w:rsid w:val="00A6069B"/>
    <w:rsid w:val="00A619D8"/>
    <w:rsid w:val="00A7141C"/>
    <w:rsid w:val="00A72358"/>
    <w:rsid w:val="00A8659C"/>
    <w:rsid w:val="00A94946"/>
    <w:rsid w:val="00A94F74"/>
    <w:rsid w:val="00AA3694"/>
    <w:rsid w:val="00AA4666"/>
    <w:rsid w:val="00AB0A1F"/>
    <w:rsid w:val="00AB0BFD"/>
    <w:rsid w:val="00AB1FE2"/>
    <w:rsid w:val="00AC7D21"/>
    <w:rsid w:val="00AD705E"/>
    <w:rsid w:val="00AE2199"/>
    <w:rsid w:val="00AE31D4"/>
    <w:rsid w:val="00AE6630"/>
    <w:rsid w:val="00B00C5A"/>
    <w:rsid w:val="00B11378"/>
    <w:rsid w:val="00B13A95"/>
    <w:rsid w:val="00B1490A"/>
    <w:rsid w:val="00B17808"/>
    <w:rsid w:val="00B22E8E"/>
    <w:rsid w:val="00B2399C"/>
    <w:rsid w:val="00B2740C"/>
    <w:rsid w:val="00B310F4"/>
    <w:rsid w:val="00B40769"/>
    <w:rsid w:val="00B454DA"/>
    <w:rsid w:val="00B50456"/>
    <w:rsid w:val="00B53384"/>
    <w:rsid w:val="00B55A9D"/>
    <w:rsid w:val="00B56721"/>
    <w:rsid w:val="00B56BFD"/>
    <w:rsid w:val="00B60F5A"/>
    <w:rsid w:val="00B61431"/>
    <w:rsid w:val="00B718C9"/>
    <w:rsid w:val="00B82146"/>
    <w:rsid w:val="00B830B3"/>
    <w:rsid w:val="00B84811"/>
    <w:rsid w:val="00B86D21"/>
    <w:rsid w:val="00B8722A"/>
    <w:rsid w:val="00B917FA"/>
    <w:rsid w:val="00B92A9C"/>
    <w:rsid w:val="00BA0A94"/>
    <w:rsid w:val="00BA1115"/>
    <w:rsid w:val="00BA2E6D"/>
    <w:rsid w:val="00BC0FE9"/>
    <w:rsid w:val="00BC239C"/>
    <w:rsid w:val="00BC4AAB"/>
    <w:rsid w:val="00BD22C0"/>
    <w:rsid w:val="00BE0DFB"/>
    <w:rsid w:val="00BE478D"/>
    <w:rsid w:val="00BE56CA"/>
    <w:rsid w:val="00BF3EB7"/>
    <w:rsid w:val="00BF4FBD"/>
    <w:rsid w:val="00C00D7A"/>
    <w:rsid w:val="00C05770"/>
    <w:rsid w:val="00C150E8"/>
    <w:rsid w:val="00C15751"/>
    <w:rsid w:val="00C23ED6"/>
    <w:rsid w:val="00C30DBC"/>
    <w:rsid w:val="00C3409E"/>
    <w:rsid w:val="00C35327"/>
    <w:rsid w:val="00C37151"/>
    <w:rsid w:val="00C3774E"/>
    <w:rsid w:val="00C41BA5"/>
    <w:rsid w:val="00C47CCA"/>
    <w:rsid w:val="00C52613"/>
    <w:rsid w:val="00C561AE"/>
    <w:rsid w:val="00C56B05"/>
    <w:rsid w:val="00C572F8"/>
    <w:rsid w:val="00C641D0"/>
    <w:rsid w:val="00C84941"/>
    <w:rsid w:val="00C8715F"/>
    <w:rsid w:val="00C92471"/>
    <w:rsid w:val="00C96C66"/>
    <w:rsid w:val="00CA3653"/>
    <w:rsid w:val="00CA3EF3"/>
    <w:rsid w:val="00CA7934"/>
    <w:rsid w:val="00CB2560"/>
    <w:rsid w:val="00CB6DDD"/>
    <w:rsid w:val="00CC14AA"/>
    <w:rsid w:val="00CC2EB0"/>
    <w:rsid w:val="00CC34C7"/>
    <w:rsid w:val="00CC54CC"/>
    <w:rsid w:val="00CE05D9"/>
    <w:rsid w:val="00CE140B"/>
    <w:rsid w:val="00CE3144"/>
    <w:rsid w:val="00CE35F2"/>
    <w:rsid w:val="00CE4922"/>
    <w:rsid w:val="00D06366"/>
    <w:rsid w:val="00D107B2"/>
    <w:rsid w:val="00D1178C"/>
    <w:rsid w:val="00D13CEC"/>
    <w:rsid w:val="00D14325"/>
    <w:rsid w:val="00D15404"/>
    <w:rsid w:val="00D22F25"/>
    <w:rsid w:val="00D36CA5"/>
    <w:rsid w:val="00D40873"/>
    <w:rsid w:val="00D706C5"/>
    <w:rsid w:val="00D716B9"/>
    <w:rsid w:val="00D725E3"/>
    <w:rsid w:val="00D757FF"/>
    <w:rsid w:val="00D8550D"/>
    <w:rsid w:val="00D86F1D"/>
    <w:rsid w:val="00D9202D"/>
    <w:rsid w:val="00D92691"/>
    <w:rsid w:val="00D95186"/>
    <w:rsid w:val="00DA57F4"/>
    <w:rsid w:val="00DB1A1A"/>
    <w:rsid w:val="00DB5488"/>
    <w:rsid w:val="00DB68AA"/>
    <w:rsid w:val="00DB7A4F"/>
    <w:rsid w:val="00DB7ACB"/>
    <w:rsid w:val="00DC0D8D"/>
    <w:rsid w:val="00DD161B"/>
    <w:rsid w:val="00DD57DD"/>
    <w:rsid w:val="00DD628B"/>
    <w:rsid w:val="00DD687E"/>
    <w:rsid w:val="00DE2C14"/>
    <w:rsid w:val="00DE486A"/>
    <w:rsid w:val="00E20F60"/>
    <w:rsid w:val="00E21AB3"/>
    <w:rsid w:val="00E22DFD"/>
    <w:rsid w:val="00E25D87"/>
    <w:rsid w:val="00E27ABB"/>
    <w:rsid w:val="00E32DCA"/>
    <w:rsid w:val="00E33CC7"/>
    <w:rsid w:val="00E40234"/>
    <w:rsid w:val="00E40C34"/>
    <w:rsid w:val="00E4730E"/>
    <w:rsid w:val="00E47CDE"/>
    <w:rsid w:val="00E550DC"/>
    <w:rsid w:val="00E55942"/>
    <w:rsid w:val="00E64BB3"/>
    <w:rsid w:val="00E679FE"/>
    <w:rsid w:val="00E67F60"/>
    <w:rsid w:val="00E86D92"/>
    <w:rsid w:val="00E917B0"/>
    <w:rsid w:val="00E92A09"/>
    <w:rsid w:val="00EA2ED2"/>
    <w:rsid w:val="00EB2DC9"/>
    <w:rsid w:val="00EB4FF5"/>
    <w:rsid w:val="00EB7F4C"/>
    <w:rsid w:val="00EC417C"/>
    <w:rsid w:val="00EC6936"/>
    <w:rsid w:val="00ED0D35"/>
    <w:rsid w:val="00ED4096"/>
    <w:rsid w:val="00ED4574"/>
    <w:rsid w:val="00EE078A"/>
    <w:rsid w:val="00EF1437"/>
    <w:rsid w:val="00EF23A3"/>
    <w:rsid w:val="00EF4359"/>
    <w:rsid w:val="00EF53B0"/>
    <w:rsid w:val="00EF7891"/>
    <w:rsid w:val="00F0324E"/>
    <w:rsid w:val="00F07B1A"/>
    <w:rsid w:val="00F12F7F"/>
    <w:rsid w:val="00F348E2"/>
    <w:rsid w:val="00F42A22"/>
    <w:rsid w:val="00F44FD7"/>
    <w:rsid w:val="00F465D7"/>
    <w:rsid w:val="00F5278D"/>
    <w:rsid w:val="00F56666"/>
    <w:rsid w:val="00F62EDE"/>
    <w:rsid w:val="00F63922"/>
    <w:rsid w:val="00F66042"/>
    <w:rsid w:val="00F87CDD"/>
    <w:rsid w:val="00F9246A"/>
    <w:rsid w:val="00F9564B"/>
    <w:rsid w:val="00FB0206"/>
    <w:rsid w:val="00FB0A8A"/>
    <w:rsid w:val="00FB1AD3"/>
    <w:rsid w:val="00FB76FF"/>
    <w:rsid w:val="00FC0D1E"/>
    <w:rsid w:val="00FC2B4F"/>
    <w:rsid w:val="00FC3E75"/>
    <w:rsid w:val="00FC5A82"/>
    <w:rsid w:val="00FC763D"/>
    <w:rsid w:val="00FD0943"/>
    <w:rsid w:val="00FD61AE"/>
    <w:rsid w:val="00FF109F"/>
    <w:rsid w:val="00FF157A"/>
    <w:rsid w:val="00FF3AE9"/>
    <w:rsid w:val="00FF3EC8"/>
    <w:rsid w:val="00FF5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3637A9"/>
    <w:pPr>
      <w:spacing w:after="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3637A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bidi="en-US"/>
    </w:rPr>
  </w:style>
  <w:style w:type="paragraph" w:customStyle="1" w:styleId="Listavistosa-nfasis11">
    <w:name w:val="Lista vistosa - Énfasis 11"/>
    <w:basedOn w:val="Normal"/>
    <w:uiPriority w:val="99"/>
    <w:qFormat/>
    <w:rsid w:val="00172868"/>
    <w:pPr>
      <w:numPr>
        <w:ilvl w:val="1"/>
        <w:numId w:val="13"/>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 w:type="paragraph" w:styleId="EndnoteText">
    <w:name w:val="endnote text"/>
    <w:basedOn w:val="Normal"/>
    <w:link w:val="EndnoteTextChar"/>
    <w:uiPriority w:val="99"/>
    <w:semiHidden/>
    <w:unhideWhenUsed/>
    <w:rsid w:val="00ED4096"/>
    <w:pPr>
      <w:spacing w:after="0"/>
    </w:pPr>
    <w:rPr>
      <w:szCs w:val="20"/>
    </w:rPr>
  </w:style>
  <w:style w:type="character" w:customStyle="1" w:styleId="EndnoteTextChar">
    <w:name w:val="Endnote Text Char"/>
    <w:basedOn w:val="DefaultParagraphFont"/>
    <w:link w:val="EndnoteText"/>
    <w:uiPriority w:val="99"/>
    <w:semiHidden/>
    <w:rsid w:val="00ED4096"/>
    <w:rPr>
      <w:rFonts w:ascii="Verdana" w:hAnsi="Verdana" w:cs="Times"/>
      <w:lang w:val="es-ES_tradnl" w:eastAsia="es-ES"/>
    </w:rPr>
  </w:style>
  <w:style w:type="character" w:styleId="EndnoteReference">
    <w:name w:val="endnote reference"/>
    <w:basedOn w:val="DefaultParagraphFont"/>
    <w:uiPriority w:val="99"/>
    <w:semiHidden/>
    <w:unhideWhenUsed/>
    <w:rsid w:val="00ED4096"/>
    <w:rPr>
      <w:vertAlign w:val="superscript"/>
    </w:rPr>
  </w:style>
  <w:style w:type="paragraph" w:styleId="Revision">
    <w:name w:val="Revision"/>
    <w:hidden/>
    <w:uiPriority w:val="99"/>
    <w:semiHidden/>
    <w:rsid w:val="00DB7ACB"/>
    <w:rPr>
      <w:rFonts w:ascii="Verdana" w:hAnsi="Verdana" w:cs="Times"/>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3637A9"/>
    <w:pPr>
      <w:spacing w:after="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3637A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bidi="en-US"/>
    </w:rPr>
  </w:style>
  <w:style w:type="paragraph" w:customStyle="1" w:styleId="Listavistosa-nfasis11">
    <w:name w:val="Lista vistosa - Énfasis 11"/>
    <w:basedOn w:val="Normal"/>
    <w:uiPriority w:val="99"/>
    <w:qFormat/>
    <w:rsid w:val="00172868"/>
    <w:pPr>
      <w:numPr>
        <w:ilvl w:val="1"/>
        <w:numId w:val="13"/>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 w:type="paragraph" w:styleId="EndnoteText">
    <w:name w:val="endnote text"/>
    <w:basedOn w:val="Normal"/>
    <w:link w:val="EndnoteTextChar"/>
    <w:uiPriority w:val="99"/>
    <w:semiHidden/>
    <w:unhideWhenUsed/>
    <w:rsid w:val="00ED4096"/>
    <w:pPr>
      <w:spacing w:after="0"/>
    </w:pPr>
    <w:rPr>
      <w:szCs w:val="20"/>
    </w:rPr>
  </w:style>
  <w:style w:type="character" w:customStyle="1" w:styleId="EndnoteTextChar">
    <w:name w:val="Endnote Text Char"/>
    <w:basedOn w:val="DefaultParagraphFont"/>
    <w:link w:val="EndnoteText"/>
    <w:uiPriority w:val="99"/>
    <w:semiHidden/>
    <w:rsid w:val="00ED4096"/>
    <w:rPr>
      <w:rFonts w:ascii="Verdana" w:hAnsi="Verdana" w:cs="Times"/>
      <w:lang w:val="es-ES_tradnl" w:eastAsia="es-ES"/>
    </w:rPr>
  </w:style>
  <w:style w:type="character" w:styleId="EndnoteReference">
    <w:name w:val="endnote reference"/>
    <w:basedOn w:val="DefaultParagraphFont"/>
    <w:uiPriority w:val="99"/>
    <w:semiHidden/>
    <w:unhideWhenUsed/>
    <w:rsid w:val="00ED4096"/>
    <w:rPr>
      <w:vertAlign w:val="superscript"/>
    </w:rPr>
  </w:style>
  <w:style w:type="paragraph" w:styleId="Revision">
    <w:name w:val="Revision"/>
    <w:hidden/>
    <w:uiPriority w:val="99"/>
    <w:semiHidden/>
    <w:rsid w:val="00DB7ACB"/>
    <w:rPr>
      <w:rFonts w:ascii="Verdana" w:hAnsi="Verdana" w:cs="Times"/>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9">
      <w:bodyDiv w:val="1"/>
      <w:marLeft w:val="0"/>
      <w:marRight w:val="0"/>
      <w:marTop w:val="0"/>
      <w:marBottom w:val="0"/>
      <w:divBdr>
        <w:top w:val="none" w:sz="0" w:space="0" w:color="auto"/>
        <w:left w:val="none" w:sz="0" w:space="0" w:color="auto"/>
        <w:bottom w:val="none" w:sz="0" w:space="0" w:color="auto"/>
        <w:right w:val="none" w:sz="0" w:space="0" w:color="auto"/>
      </w:divBdr>
    </w:div>
    <w:div w:id="260914110">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36165216">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06774377">
      <w:bodyDiv w:val="1"/>
      <w:marLeft w:val="0"/>
      <w:marRight w:val="0"/>
      <w:marTop w:val="0"/>
      <w:marBottom w:val="0"/>
      <w:divBdr>
        <w:top w:val="none" w:sz="0" w:space="0" w:color="auto"/>
        <w:left w:val="none" w:sz="0" w:space="0" w:color="auto"/>
        <w:bottom w:val="none" w:sz="0" w:space="0" w:color="auto"/>
        <w:right w:val="none" w:sz="0" w:space="0" w:color="auto"/>
      </w:divBdr>
    </w:div>
    <w:div w:id="1850095169">
      <w:bodyDiv w:val="1"/>
      <w:marLeft w:val="0"/>
      <w:marRight w:val="0"/>
      <w:marTop w:val="0"/>
      <w:marBottom w:val="0"/>
      <w:divBdr>
        <w:top w:val="none" w:sz="0" w:space="0" w:color="auto"/>
        <w:left w:val="none" w:sz="0" w:space="0" w:color="auto"/>
        <w:bottom w:val="none" w:sz="0" w:space="0" w:color="auto"/>
        <w:right w:val="none" w:sz="0" w:space="0" w:color="auto"/>
      </w:divBdr>
    </w:div>
    <w:div w:id="1899509340">
      <w:bodyDiv w:val="1"/>
      <w:marLeft w:val="0"/>
      <w:marRight w:val="0"/>
      <w:marTop w:val="0"/>
      <w:marBottom w:val="0"/>
      <w:divBdr>
        <w:top w:val="none" w:sz="0" w:space="0" w:color="auto"/>
        <w:left w:val="none" w:sz="0" w:space="0" w:color="auto"/>
        <w:bottom w:val="none" w:sz="0" w:space="0" w:color="auto"/>
        <w:right w:val="none" w:sz="0" w:space="0" w:color="auto"/>
      </w:divBdr>
    </w:div>
    <w:div w:id="1944914671">
      <w:bodyDiv w:val="1"/>
      <w:marLeft w:val="0"/>
      <w:marRight w:val="0"/>
      <w:marTop w:val="0"/>
      <w:marBottom w:val="0"/>
      <w:divBdr>
        <w:top w:val="none" w:sz="0" w:space="0" w:color="auto"/>
        <w:left w:val="none" w:sz="0" w:space="0" w:color="auto"/>
        <w:bottom w:val="none" w:sz="0" w:space="0" w:color="auto"/>
        <w:right w:val="none" w:sz="0" w:space="0" w:color="auto"/>
      </w:divBdr>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FA83-F6A1-42B8-9FB7-CC638C1C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5768</Words>
  <Characters>32882</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Gabriela Guevara</cp:lastModifiedBy>
  <cp:revision>2</cp:revision>
  <cp:lastPrinted>2017-04-07T15:26:00Z</cp:lastPrinted>
  <dcterms:created xsi:type="dcterms:W3CDTF">2017-04-08T00:21:00Z</dcterms:created>
  <dcterms:modified xsi:type="dcterms:W3CDTF">2017-04-08T00:21:00Z</dcterms:modified>
</cp:coreProperties>
</file>