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D7" w:rsidRDefault="0094330B" w:rsidP="009A226B">
      <w:pPr>
        <w:tabs>
          <w:tab w:val="left" w:pos="567"/>
        </w:tabs>
        <w:spacing w:after="0" w:line="240" w:lineRule="auto"/>
        <w:rPr>
          <w:rFonts w:ascii="Verdana" w:hAnsi="Verdana"/>
          <w:b/>
          <w:sz w:val="20"/>
          <w:szCs w:val="24"/>
        </w:rPr>
      </w:pPr>
      <w:bookmarkStart w:id="0" w:name="_GoBack"/>
      <w:bookmarkEnd w:id="0"/>
      <w:r>
        <w:rPr>
          <w:rFonts w:ascii="Verdana" w:hAnsi="Verdana"/>
          <w:b/>
          <w:sz w:val="20"/>
          <w:szCs w:val="24"/>
        </w:rPr>
        <w:t xml:space="preserve">  </w:t>
      </w: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553094" w:rsidRDefault="00553094" w:rsidP="009A226B">
      <w:pPr>
        <w:tabs>
          <w:tab w:val="left" w:pos="567"/>
        </w:tabs>
        <w:spacing w:after="0" w:line="240" w:lineRule="auto"/>
        <w:rPr>
          <w:rFonts w:ascii="Verdana" w:hAnsi="Verdana"/>
          <w:b/>
          <w:sz w:val="20"/>
          <w:szCs w:val="24"/>
        </w:rPr>
      </w:pPr>
    </w:p>
    <w:p w:rsidR="007E7781"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RESOLUCIÓN </w:t>
      </w:r>
      <w:r w:rsidR="00FF6AD7" w:rsidRPr="00FF6AD7">
        <w:rPr>
          <w:rFonts w:ascii="Verdana" w:hAnsi="Verdana"/>
          <w:b/>
          <w:sz w:val="20"/>
          <w:szCs w:val="24"/>
        </w:rPr>
        <w:t>DEL PRESIDENTE</w:t>
      </w:r>
      <w:r w:rsidR="007E7781">
        <w:rPr>
          <w:rFonts w:ascii="Verdana" w:hAnsi="Verdana"/>
          <w:b/>
          <w:sz w:val="20"/>
          <w:szCs w:val="24"/>
        </w:rPr>
        <w:t xml:space="preserve"> </w:t>
      </w:r>
      <w:r w:rsidRPr="00016191">
        <w:rPr>
          <w:rFonts w:ascii="Verdana" w:hAnsi="Verdana"/>
          <w:b/>
          <w:sz w:val="20"/>
          <w:szCs w:val="24"/>
        </w:rPr>
        <w:t xml:space="preserve">DE LA </w:t>
      </w:r>
    </w:p>
    <w:p w:rsidR="00FF6AD7"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CORTE INTERAMERICANA DE DERECHOS HUMANOS</w:t>
      </w:r>
    </w:p>
    <w:p w:rsidR="007E7781" w:rsidRDefault="007E7781" w:rsidP="009A226B">
      <w:pPr>
        <w:tabs>
          <w:tab w:val="left" w:pos="567"/>
        </w:tabs>
        <w:spacing w:after="0" w:line="240" w:lineRule="auto"/>
        <w:jc w:val="center"/>
        <w:rPr>
          <w:rFonts w:ascii="Verdana" w:hAnsi="Verdana"/>
          <w:b/>
          <w:sz w:val="20"/>
          <w:szCs w:val="24"/>
        </w:rPr>
      </w:pPr>
    </w:p>
    <w:p w:rsidR="00817A82" w:rsidRPr="007E7781" w:rsidRDefault="00817A82" w:rsidP="009A226B">
      <w:pPr>
        <w:tabs>
          <w:tab w:val="left" w:pos="567"/>
        </w:tabs>
        <w:spacing w:after="0" w:line="240" w:lineRule="auto"/>
        <w:jc w:val="center"/>
        <w:rPr>
          <w:rFonts w:ascii="Verdana" w:hAnsi="Verdana"/>
          <w:b/>
          <w:sz w:val="20"/>
          <w:szCs w:val="24"/>
        </w:rPr>
      </w:pPr>
    </w:p>
    <w:p w:rsidR="007E7781"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DE </w:t>
      </w:r>
      <w:r w:rsidR="0007716A">
        <w:rPr>
          <w:rFonts w:ascii="Verdana" w:hAnsi="Verdana"/>
          <w:b/>
          <w:sz w:val="20"/>
          <w:szCs w:val="24"/>
        </w:rPr>
        <w:t>16 DE ENERO DE 2018</w:t>
      </w:r>
    </w:p>
    <w:p w:rsidR="007E7781" w:rsidRDefault="007E7781" w:rsidP="009A226B">
      <w:pPr>
        <w:tabs>
          <w:tab w:val="left" w:pos="567"/>
        </w:tabs>
        <w:spacing w:after="0" w:line="240" w:lineRule="auto"/>
        <w:jc w:val="center"/>
        <w:rPr>
          <w:rFonts w:ascii="Verdana" w:hAnsi="Verdana"/>
          <w:b/>
          <w:sz w:val="20"/>
          <w:szCs w:val="24"/>
        </w:rPr>
      </w:pPr>
    </w:p>
    <w:p w:rsidR="00817A82" w:rsidRPr="00016191" w:rsidRDefault="00817A82" w:rsidP="009A226B">
      <w:pPr>
        <w:tabs>
          <w:tab w:val="left" w:pos="567"/>
        </w:tabs>
        <w:spacing w:after="0" w:line="240" w:lineRule="auto"/>
        <w:jc w:val="center"/>
        <w:rPr>
          <w:rFonts w:ascii="Verdana" w:hAnsi="Verdana"/>
          <w:b/>
          <w:sz w:val="20"/>
          <w:szCs w:val="24"/>
        </w:rPr>
      </w:pPr>
    </w:p>
    <w:p w:rsidR="0046106D"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CASO </w:t>
      </w:r>
      <w:r w:rsidR="006153C1">
        <w:rPr>
          <w:rFonts w:ascii="Verdana" w:hAnsi="Verdana"/>
          <w:b/>
          <w:sz w:val="20"/>
          <w:szCs w:val="24"/>
        </w:rPr>
        <w:t>ISAZA URIBE Y OTRO</w:t>
      </w:r>
      <w:r w:rsidR="00F95EAC">
        <w:rPr>
          <w:rFonts w:ascii="Verdana" w:hAnsi="Verdana"/>
          <w:b/>
          <w:sz w:val="20"/>
          <w:szCs w:val="24"/>
        </w:rPr>
        <w:t>S</w:t>
      </w:r>
      <w:r w:rsidR="008F0658">
        <w:rPr>
          <w:rFonts w:ascii="Verdana" w:hAnsi="Verdana"/>
          <w:b/>
          <w:sz w:val="20"/>
          <w:szCs w:val="24"/>
        </w:rPr>
        <w:t xml:space="preserve"> </w:t>
      </w:r>
      <w:r w:rsidRPr="00016191">
        <w:rPr>
          <w:rFonts w:ascii="Verdana" w:hAnsi="Verdana"/>
          <w:b/>
          <w:sz w:val="20"/>
          <w:szCs w:val="24"/>
        </w:rPr>
        <w:t xml:space="preserve">VS. </w:t>
      </w:r>
      <w:r w:rsidR="006153C1">
        <w:rPr>
          <w:rFonts w:ascii="Verdana" w:hAnsi="Verdana"/>
          <w:b/>
          <w:sz w:val="20"/>
          <w:szCs w:val="24"/>
        </w:rPr>
        <w:t>COLOMBIA</w:t>
      </w:r>
    </w:p>
    <w:p w:rsidR="006709EC" w:rsidRDefault="006709EC" w:rsidP="009A226B">
      <w:pPr>
        <w:tabs>
          <w:tab w:val="left" w:pos="567"/>
        </w:tabs>
        <w:spacing w:after="0" w:line="240" w:lineRule="auto"/>
        <w:jc w:val="center"/>
        <w:rPr>
          <w:rFonts w:ascii="Verdana" w:hAnsi="Verdana"/>
          <w:b/>
          <w:sz w:val="20"/>
          <w:szCs w:val="24"/>
        </w:rPr>
      </w:pPr>
      <w:r>
        <w:rPr>
          <w:rFonts w:ascii="Verdana" w:hAnsi="Verdana"/>
          <w:b/>
          <w:sz w:val="20"/>
          <w:szCs w:val="24"/>
        </w:rPr>
        <w:t xml:space="preserve"> </w:t>
      </w:r>
    </w:p>
    <w:p w:rsidR="00817A82" w:rsidRDefault="00817A82" w:rsidP="009A226B">
      <w:pPr>
        <w:tabs>
          <w:tab w:val="left" w:pos="567"/>
        </w:tabs>
        <w:spacing w:after="0" w:line="240" w:lineRule="auto"/>
        <w:jc w:val="center"/>
        <w:rPr>
          <w:rFonts w:ascii="Verdana" w:hAnsi="Verdana"/>
          <w:b/>
          <w:sz w:val="20"/>
          <w:szCs w:val="24"/>
        </w:rPr>
      </w:pPr>
    </w:p>
    <w:p w:rsidR="00817A82" w:rsidRPr="00817A82" w:rsidRDefault="00817A82" w:rsidP="009A226B">
      <w:pPr>
        <w:tabs>
          <w:tab w:val="left" w:pos="0"/>
        </w:tabs>
        <w:spacing w:after="0" w:line="240" w:lineRule="auto"/>
        <w:jc w:val="center"/>
        <w:rPr>
          <w:rFonts w:ascii="Verdana" w:hAnsi="Verdana"/>
          <w:b/>
          <w:sz w:val="20"/>
          <w:szCs w:val="20"/>
        </w:rPr>
      </w:pPr>
    </w:p>
    <w:p w:rsidR="00D943EA" w:rsidRDefault="00D943EA" w:rsidP="00FC57DC">
      <w:pPr>
        <w:tabs>
          <w:tab w:val="left" w:pos="567"/>
        </w:tabs>
        <w:spacing w:after="0" w:line="240" w:lineRule="auto"/>
        <w:jc w:val="center"/>
        <w:rPr>
          <w:rFonts w:ascii="Verdana" w:hAnsi="Verdana"/>
          <w:b/>
          <w:sz w:val="20"/>
          <w:szCs w:val="24"/>
        </w:rPr>
      </w:pPr>
    </w:p>
    <w:p w:rsidR="00CC0733" w:rsidRPr="00FC57DC" w:rsidRDefault="00CC0733" w:rsidP="00FC57DC">
      <w:pPr>
        <w:tabs>
          <w:tab w:val="left" w:pos="567"/>
        </w:tabs>
        <w:spacing w:after="0" w:line="240" w:lineRule="auto"/>
        <w:jc w:val="center"/>
        <w:rPr>
          <w:rFonts w:ascii="Verdana" w:hAnsi="Verdana"/>
          <w:b/>
          <w:sz w:val="20"/>
          <w:szCs w:val="24"/>
        </w:rPr>
      </w:pPr>
    </w:p>
    <w:p w:rsidR="00FF6AD7" w:rsidRDefault="00FF6AD7" w:rsidP="009A226B">
      <w:pPr>
        <w:tabs>
          <w:tab w:val="left" w:pos="567"/>
        </w:tabs>
        <w:spacing w:after="0" w:line="240" w:lineRule="auto"/>
        <w:jc w:val="center"/>
        <w:rPr>
          <w:rFonts w:ascii="Verdana" w:hAnsi="Verdana"/>
          <w:b/>
          <w:sz w:val="20"/>
          <w:szCs w:val="24"/>
        </w:rPr>
      </w:pPr>
    </w:p>
    <w:p w:rsidR="00016191" w:rsidRDefault="00016191" w:rsidP="009A226B">
      <w:pPr>
        <w:tabs>
          <w:tab w:val="left" w:pos="567"/>
        </w:tabs>
        <w:spacing w:after="0" w:line="240" w:lineRule="auto"/>
        <w:jc w:val="both"/>
        <w:rPr>
          <w:rFonts w:ascii="Verdana" w:hAnsi="Verdana"/>
          <w:b/>
          <w:sz w:val="20"/>
          <w:szCs w:val="24"/>
        </w:rPr>
      </w:pPr>
      <w:r>
        <w:rPr>
          <w:rFonts w:ascii="Verdana" w:hAnsi="Verdana"/>
          <w:b/>
          <w:sz w:val="20"/>
          <w:szCs w:val="24"/>
        </w:rPr>
        <w:t>VISTO:</w:t>
      </w:r>
    </w:p>
    <w:p w:rsidR="00BF78B5" w:rsidRDefault="00BF78B5" w:rsidP="009A226B">
      <w:pPr>
        <w:tabs>
          <w:tab w:val="left" w:pos="567"/>
        </w:tabs>
        <w:spacing w:after="0" w:line="240" w:lineRule="auto"/>
        <w:jc w:val="both"/>
        <w:rPr>
          <w:rFonts w:ascii="Verdana" w:hAnsi="Verdana"/>
          <w:b/>
          <w:sz w:val="20"/>
          <w:szCs w:val="24"/>
        </w:rPr>
      </w:pPr>
    </w:p>
    <w:p w:rsidR="00FF5B5F" w:rsidRPr="0007716A" w:rsidRDefault="00FF5B5F" w:rsidP="009A226B">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bookmarkStart w:id="1" w:name="_Ref479170533"/>
      <w:r w:rsidRPr="005E698B">
        <w:rPr>
          <w:rFonts w:ascii="Verdana" w:hAnsi="Verdana"/>
          <w:sz w:val="20"/>
          <w:szCs w:val="24"/>
        </w:rPr>
        <w:t xml:space="preserve">La Resolución del Presidente de la Corte (en adelante “el Presidente”) de </w:t>
      </w:r>
      <w:r w:rsidR="0007716A">
        <w:rPr>
          <w:rFonts w:ascii="Verdana" w:hAnsi="Verdana"/>
          <w:sz w:val="20"/>
          <w:szCs w:val="24"/>
        </w:rPr>
        <w:t>13 de diciembre</w:t>
      </w:r>
      <w:r w:rsidR="005704D4">
        <w:rPr>
          <w:rFonts w:ascii="Verdana" w:hAnsi="Verdana"/>
          <w:sz w:val="20"/>
          <w:szCs w:val="24"/>
        </w:rPr>
        <w:t xml:space="preserve"> de 2017</w:t>
      </w:r>
      <w:r w:rsidR="0007716A">
        <w:rPr>
          <w:rFonts w:ascii="Verdana" w:hAnsi="Verdana"/>
          <w:sz w:val="20"/>
          <w:szCs w:val="24"/>
        </w:rPr>
        <w:t>, mediante la cual se requirió la declaración de presuntas víctimas, testigos y peritos y se convocó a audiencia pública</w:t>
      </w:r>
      <w:r w:rsidR="004A4187">
        <w:rPr>
          <w:rStyle w:val="FootnoteReference"/>
          <w:rFonts w:ascii="Verdana" w:hAnsi="Verdana"/>
          <w:sz w:val="20"/>
          <w:szCs w:val="24"/>
        </w:rPr>
        <w:footnoteReference w:id="1"/>
      </w:r>
      <w:r w:rsidR="00C20FE3">
        <w:rPr>
          <w:rFonts w:ascii="Verdana" w:hAnsi="Verdana"/>
          <w:sz w:val="20"/>
          <w:szCs w:val="24"/>
        </w:rPr>
        <w:t>.</w:t>
      </w:r>
      <w:r w:rsidR="00D9010B">
        <w:rPr>
          <w:rFonts w:ascii="Verdana" w:hAnsi="Verdana"/>
          <w:sz w:val="20"/>
          <w:szCs w:val="24"/>
        </w:rPr>
        <w:t xml:space="preserve"> </w:t>
      </w:r>
      <w:bookmarkEnd w:id="1"/>
    </w:p>
    <w:p w:rsidR="0007716A" w:rsidRPr="0007716A" w:rsidRDefault="0007716A" w:rsidP="0007716A">
      <w:pPr>
        <w:widowControl w:val="0"/>
        <w:tabs>
          <w:tab w:val="left" w:pos="567"/>
        </w:tabs>
        <w:autoSpaceDE w:val="0"/>
        <w:autoSpaceDN w:val="0"/>
        <w:adjustRightInd w:val="0"/>
        <w:spacing w:after="0" w:line="240" w:lineRule="auto"/>
        <w:ind w:right="22"/>
        <w:jc w:val="both"/>
        <w:rPr>
          <w:rFonts w:ascii="Verdana" w:hAnsi="Verdana"/>
          <w:sz w:val="20"/>
          <w:szCs w:val="24"/>
        </w:rPr>
      </w:pPr>
    </w:p>
    <w:p w:rsidR="0007716A" w:rsidRDefault="0007716A" w:rsidP="009A226B">
      <w:pPr>
        <w:widowControl w:val="0"/>
        <w:numPr>
          <w:ilvl w:val="0"/>
          <w:numId w:val="2"/>
        </w:numPr>
        <w:tabs>
          <w:tab w:val="left" w:pos="567"/>
        </w:tabs>
        <w:autoSpaceDE w:val="0"/>
        <w:autoSpaceDN w:val="0"/>
        <w:adjustRightInd w:val="0"/>
        <w:spacing w:after="0" w:line="240" w:lineRule="auto"/>
        <w:ind w:left="0" w:right="22" w:firstLine="0"/>
        <w:jc w:val="both"/>
        <w:rPr>
          <w:rFonts w:ascii="Verdana" w:hAnsi="Verdana"/>
          <w:sz w:val="20"/>
          <w:szCs w:val="24"/>
        </w:rPr>
      </w:pPr>
      <w:r>
        <w:rPr>
          <w:rFonts w:ascii="Verdana" w:hAnsi="Verdana"/>
          <w:sz w:val="20"/>
          <w:szCs w:val="24"/>
        </w:rPr>
        <w:t xml:space="preserve">El escrito de 22 de diciembre de 2017, mediante el cual el Estado de Colombia </w:t>
      </w:r>
      <w:r w:rsidRPr="00016191">
        <w:rPr>
          <w:rFonts w:ascii="Verdana" w:hAnsi="Verdana"/>
          <w:sz w:val="20"/>
          <w:szCs w:val="24"/>
        </w:rPr>
        <w:t>(en adelante “</w:t>
      </w:r>
      <w:r>
        <w:rPr>
          <w:rFonts w:ascii="Verdana" w:hAnsi="Verdana"/>
          <w:sz w:val="20"/>
          <w:szCs w:val="24"/>
        </w:rPr>
        <w:t xml:space="preserve">Colombia” o “el Estado”) </w:t>
      </w:r>
      <w:r w:rsidRPr="0007716A">
        <w:rPr>
          <w:rFonts w:ascii="Verdana" w:hAnsi="Verdana"/>
          <w:sz w:val="20"/>
          <w:szCs w:val="24"/>
        </w:rPr>
        <w:t xml:space="preserve">solicitó una reconsideración de la </w:t>
      </w:r>
      <w:r>
        <w:rPr>
          <w:rFonts w:ascii="Verdana" w:hAnsi="Verdana"/>
          <w:sz w:val="20"/>
          <w:szCs w:val="24"/>
        </w:rPr>
        <w:t>referida R</w:t>
      </w:r>
      <w:r w:rsidRPr="0007716A">
        <w:rPr>
          <w:rFonts w:ascii="Verdana" w:hAnsi="Verdana"/>
          <w:sz w:val="20"/>
          <w:szCs w:val="24"/>
        </w:rPr>
        <w:t>esolución</w:t>
      </w:r>
      <w:r>
        <w:rPr>
          <w:rFonts w:ascii="Verdana" w:hAnsi="Verdana"/>
          <w:sz w:val="20"/>
          <w:szCs w:val="24"/>
        </w:rPr>
        <w:t>, así como las comunicaciones de 10 de enero de 2018, me</w:t>
      </w:r>
      <w:r w:rsidR="007E21C6">
        <w:rPr>
          <w:rFonts w:ascii="Verdana" w:hAnsi="Verdana"/>
          <w:sz w:val="20"/>
          <w:szCs w:val="24"/>
        </w:rPr>
        <w:t xml:space="preserve">diante las cuales la Comisión </w:t>
      </w:r>
      <w:r w:rsidR="007E21C6" w:rsidRPr="00016191">
        <w:rPr>
          <w:rFonts w:ascii="Verdana" w:hAnsi="Verdana"/>
          <w:sz w:val="20"/>
          <w:szCs w:val="24"/>
        </w:rPr>
        <w:t>Interamericana de Derechos Humanos (en adelante “la Comisión I</w:t>
      </w:r>
      <w:r w:rsidR="007E21C6">
        <w:rPr>
          <w:rFonts w:ascii="Verdana" w:hAnsi="Verdana"/>
          <w:sz w:val="20"/>
          <w:szCs w:val="24"/>
        </w:rPr>
        <w:t>nteramericana” o “la Comisión”) y los representantes</w:t>
      </w:r>
      <w:r w:rsidR="007E21C6">
        <w:rPr>
          <w:rStyle w:val="FootnoteReference"/>
          <w:rFonts w:ascii="Verdana" w:hAnsi="Verdana"/>
          <w:sz w:val="20"/>
          <w:szCs w:val="24"/>
        </w:rPr>
        <w:footnoteReference w:id="2"/>
      </w:r>
      <w:r w:rsidR="007E21C6" w:rsidRPr="00016191">
        <w:rPr>
          <w:rFonts w:ascii="Verdana" w:hAnsi="Verdana"/>
          <w:sz w:val="20"/>
          <w:szCs w:val="24"/>
        </w:rPr>
        <w:t xml:space="preserve"> (en adelante “</w:t>
      </w:r>
      <w:r w:rsidR="007E21C6">
        <w:rPr>
          <w:rFonts w:ascii="Verdana" w:hAnsi="Verdana"/>
          <w:sz w:val="20"/>
          <w:szCs w:val="24"/>
        </w:rPr>
        <w:t>los representantes”) presentaron sus observaciones</w:t>
      </w:r>
      <w:r w:rsidRPr="0007716A">
        <w:rPr>
          <w:rFonts w:ascii="Verdana" w:hAnsi="Verdana"/>
          <w:sz w:val="20"/>
          <w:szCs w:val="24"/>
        </w:rPr>
        <w:t>.</w:t>
      </w:r>
    </w:p>
    <w:p w:rsidR="007E21C6" w:rsidRDefault="007E21C6" w:rsidP="007E21C6">
      <w:pPr>
        <w:widowControl w:val="0"/>
        <w:tabs>
          <w:tab w:val="left" w:pos="567"/>
        </w:tabs>
        <w:autoSpaceDE w:val="0"/>
        <w:autoSpaceDN w:val="0"/>
        <w:adjustRightInd w:val="0"/>
        <w:spacing w:after="0" w:line="240" w:lineRule="auto"/>
        <w:ind w:right="22"/>
        <w:jc w:val="both"/>
        <w:rPr>
          <w:rFonts w:ascii="Verdana" w:hAnsi="Verdana"/>
          <w:sz w:val="20"/>
          <w:szCs w:val="24"/>
        </w:rPr>
      </w:pPr>
    </w:p>
    <w:p w:rsidR="007E21C6" w:rsidRPr="0007716A" w:rsidRDefault="007E21C6" w:rsidP="009A226B">
      <w:pPr>
        <w:widowControl w:val="0"/>
        <w:numPr>
          <w:ilvl w:val="0"/>
          <w:numId w:val="2"/>
        </w:numPr>
        <w:tabs>
          <w:tab w:val="left" w:pos="567"/>
        </w:tabs>
        <w:autoSpaceDE w:val="0"/>
        <w:autoSpaceDN w:val="0"/>
        <w:adjustRightInd w:val="0"/>
        <w:spacing w:after="0" w:line="240" w:lineRule="auto"/>
        <w:ind w:left="0" w:right="22" w:firstLine="0"/>
        <w:jc w:val="both"/>
        <w:rPr>
          <w:rFonts w:ascii="Verdana" w:hAnsi="Verdana"/>
          <w:sz w:val="20"/>
          <w:szCs w:val="24"/>
        </w:rPr>
      </w:pPr>
      <w:r>
        <w:rPr>
          <w:rFonts w:ascii="Verdana" w:hAnsi="Verdana"/>
          <w:sz w:val="20"/>
          <w:szCs w:val="24"/>
        </w:rPr>
        <w:t>El escrito de 29 de diciembre de 2017, mediante el cual el Estado solicitó la sustitución de un perito, así como los escritos de</w:t>
      </w:r>
      <w:r w:rsidR="001E4DF0">
        <w:rPr>
          <w:rFonts w:ascii="Verdana" w:hAnsi="Verdana"/>
          <w:sz w:val="20"/>
          <w:szCs w:val="24"/>
        </w:rPr>
        <w:t xml:space="preserve"> 12 de enero de 2018 mediante lo</w:t>
      </w:r>
      <w:r>
        <w:rPr>
          <w:rFonts w:ascii="Verdana" w:hAnsi="Verdana"/>
          <w:sz w:val="20"/>
          <w:szCs w:val="24"/>
        </w:rPr>
        <w:t>s cuales la Comisión y los representantes presentaron sus observaciones.</w:t>
      </w:r>
    </w:p>
    <w:p w:rsidR="004C3A43" w:rsidRPr="0007716A" w:rsidRDefault="004C3A43" w:rsidP="0007716A">
      <w:pPr>
        <w:widowControl w:val="0"/>
        <w:tabs>
          <w:tab w:val="left" w:pos="567"/>
        </w:tabs>
        <w:autoSpaceDE w:val="0"/>
        <w:autoSpaceDN w:val="0"/>
        <w:adjustRightInd w:val="0"/>
        <w:spacing w:after="0" w:line="240" w:lineRule="auto"/>
        <w:ind w:right="22"/>
        <w:jc w:val="both"/>
        <w:rPr>
          <w:rFonts w:ascii="Verdana" w:hAnsi="Verdana"/>
          <w:sz w:val="20"/>
          <w:szCs w:val="24"/>
        </w:rPr>
      </w:pPr>
    </w:p>
    <w:p w:rsidR="0084402F" w:rsidRPr="005E698B" w:rsidRDefault="0084402F" w:rsidP="009A226B">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rsidR="006B5876" w:rsidRPr="005E698B" w:rsidRDefault="006B5876" w:rsidP="009A226B">
      <w:pPr>
        <w:pStyle w:val="ListParagraph"/>
        <w:tabs>
          <w:tab w:val="left" w:pos="567"/>
        </w:tabs>
        <w:spacing w:after="0" w:line="240" w:lineRule="auto"/>
        <w:ind w:left="0"/>
        <w:jc w:val="both"/>
        <w:rPr>
          <w:rFonts w:ascii="Verdana" w:hAnsi="Verdana"/>
          <w:b/>
          <w:sz w:val="20"/>
          <w:szCs w:val="24"/>
        </w:rPr>
      </w:pPr>
      <w:r w:rsidRPr="005E698B">
        <w:rPr>
          <w:rFonts w:ascii="Verdana" w:hAnsi="Verdana"/>
          <w:b/>
          <w:sz w:val="20"/>
          <w:szCs w:val="24"/>
        </w:rPr>
        <w:t xml:space="preserve">CONSIDERANDO QUE: </w:t>
      </w:r>
    </w:p>
    <w:p w:rsidR="006B5876" w:rsidRDefault="006B5876" w:rsidP="009A226B">
      <w:pPr>
        <w:pStyle w:val="ListParagraph"/>
        <w:tabs>
          <w:tab w:val="left" w:pos="567"/>
        </w:tabs>
        <w:spacing w:after="0" w:line="240" w:lineRule="auto"/>
        <w:ind w:left="0"/>
        <w:jc w:val="both"/>
        <w:rPr>
          <w:rFonts w:ascii="Verdana" w:hAnsi="Verdana"/>
          <w:sz w:val="20"/>
          <w:szCs w:val="24"/>
        </w:rPr>
      </w:pPr>
    </w:p>
    <w:p w:rsidR="00A7281E" w:rsidRDefault="006B5876" w:rsidP="00A7281E">
      <w:pPr>
        <w:pStyle w:val="ListParagraph"/>
        <w:numPr>
          <w:ilvl w:val="0"/>
          <w:numId w:val="3"/>
        </w:numPr>
        <w:tabs>
          <w:tab w:val="left" w:pos="567"/>
        </w:tabs>
        <w:spacing w:after="0" w:line="240" w:lineRule="auto"/>
        <w:ind w:left="0" w:firstLine="0"/>
        <w:jc w:val="both"/>
        <w:rPr>
          <w:rFonts w:ascii="Verdana" w:hAnsi="Verdana"/>
          <w:sz w:val="20"/>
          <w:szCs w:val="24"/>
        </w:rPr>
      </w:pPr>
      <w:r w:rsidRPr="006B5876">
        <w:rPr>
          <w:rFonts w:ascii="Verdana" w:hAnsi="Verdana"/>
          <w:sz w:val="20"/>
          <w:szCs w:val="24"/>
        </w:rPr>
        <w:t xml:space="preserve">El ofrecimiento y la admisión de la prueba, así como la citación </w:t>
      </w:r>
      <w:r w:rsidR="00CC0733">
        <w:rPr>
          <w:rFonts w:ascii="Verdana" w:hAnsi="Verdana"/>
          <w:sz w:val="20"/>
          <w:szCs w:val="24"/>
        </w:rPr>
        <w:t xml:space="preserve">y sustitución </w:t>
      </w:r>
      <w:r w:rsidRPr="006B5876">
        <w:rPr>
          <w:rFonts w:ascii="Verdana" w:hAnsi="Verdana"/>
          <w:sz w:val="20"/>
          <w:szCs w:val="24"/>
        </w:rPr>
        <w:t xml:space="preserve">de </w:t>
      </w:r>
      <w:r w:rsidR="009D6F17">
        <w:rPr>
          <w:rFonts w:ascii="Verdana" w:hAnsi="Verdana"/>
          <w:sz w:val="20"/>
          <w:szCs w:val="24"/>
        </w:rPr>
        <w:t xml:space="preserve">declarantes </w:t>
      </w:r>
      <w:r w:rsidRPr="006B5876">
        <w:rPr>
          <w:rFonts w:ascii="Verdana" w:hAnsi="Verdana"/>
          <w:sz w:val="20"/>
          <w:szCs w:val="24"/>
        </w:rPr>
        <w:t xml:space="preserve">se encuentran regulados en los artículos 35.1.f, 40.2.c, 41.1.c, 46, 47, 48, </w:t>
      </w:r>
      <w:r w:rsidR="00CC0733">
        <w:rPr>
          <w:rFonts w:ascii="Verdana" w:hAnsi="Verdana"/>
          <w:sz w:val="20"/>
          <w:szCs w:val="24"/>
        </w:rPr>
        <w:t xml:space="preserve">49, </w:t>
      </w:r>
      <w:r w:rsidRPr="006B5876">
        <w:rPr>
          <w:rFonts w:ascii="Verdana" w:hAnsi="Verdana"/>
          <w:sz w:val="20"/>
          <w:szCs w:val="24"/>
        </w:rPr>
        <w:t>50, 52.3, 57 y 58 del Reglamento de la Corte Interamericana de Derechos Humanos (en adelante “la Corte Interamericana”, “la Corte” o “e</w:t>
      </w:r>
      <w:r w:rsidR="005E698B">
        <w:rPr>
          <w:rFonts w:ascii="Verdana" w:hAnsi="Verdana"/>
          <w:sz w:val="20"/>
          <w:szCs w:val="24"/>
        </w:rPr>
        <w:t>l Tribunal”).</w:t>
      </w:r>
    </w:p>
    <w:p w:rsidR="00A7281E" w:rsidRDefault="00A7281E" w:rsidP="00A7281E">
      <w:pPr>
        <w:pStyle w:val="ListParagraph"/>
        <w:tabs>
          <w:tab w:val="left" w:pos="567"/>
        </w:tabs>
        <w:spacing w:after="0" w:line="240" w:lineRule="auto"/>
        <w:ind w:left="0"/>
        <w:jc w:val="both"/>
        <w:rPr>
          <w:rFonts w:ascii="Verdana" w:hAnsi="Verdana"/>
          <w:sz w:val="20"/>
          <w:szCs w:val="24"/>
        </w:rPr>
      </w:pPr>
    </w:p>
    <w:p w:rsidR="00CC0733" w:rsidRDefault="00CC0733" w:rsidP="00A7281E">
      <w:pPr>
        <w:pStyle w:val="ListParagraph"/>
        <w:tabs>
          <w:tab w:val="left" w:pos="567"/>
        </w:tabs>
        <w:spacing w:after="0" w:line="240" w:lineRule="auto"/>
        <w:ind w:left="0"/>
        <w:jc w:val="both"/>
        <w:rPr>
          <w:rFonts w:ascii="Verdana" w:hAnsi="Verdana"/>
          <w:sz w:val="20"/>
          <w:szCs w:val="24"/>
        </w:rPr>
      </w:pPr>
    </w:p>
    <w:p w:rsidR="0007716A" w:rsidRPr="00CC0733" w:rsidRDefault="00CC0733" w:rsidP="00CC0733">
      <w:pPr>
        <w:pStyle w:val="ListParagraph"/>
        <w:tabs>
          <w:tab w:val="left" w:pos="567"/>
        </w:tabs>
        <w:spacing w:after="0" w:line="240" w:lineRule="auto"/>
        <w:ind w:left="567"/>
        <w:jc w:val="both"/>
        <w:rPr>
          <w:rFonts w:ascii="Verdana" w:hAnsi="Verdana"/>
          <w:b/>
          <w:i/>
          <w:sz w:val="20"/>
          <w:szCs w:val="24"/>
        </w:rPr>
      </w:pPr>
      <w:r w:rsidRPr="00CC0733">
        <w:rPr>
          <w:rFonts w:ascii="Verdana" w:hAnsi="Verdana"/>
          <w:b/>
          <w:i/>
          <w:sz w:val="20"/>
          <w:szCs w:val="24"/>
        </w:rPr>
        <w:lastRenderedPageBreak/>
        <w:t xml:space="preserve">Solicitud de reconsideración </w:t>
      </w:r>
      <w:r w:rsidR="00522F10">
        <w:rPr>
          <w:rFonts w:ascii="Verdana" w:hAnsi="Verdana"/>
          <w:b/>
          <w:i/>
          <w:sz w:val="20"/>
          <w:szCs w:val="24"/>
        </w:rPr>
        <w:t xml:space="preserve">parcial </w:t>
      </w:r>
      <w:r w:rsidRPr="00CC0733">
        <w:rPr>
          <w:rFonts w:ascii="Verdana" w:hAnsi="Verdana"/>
          <w:b/>
          <w:i/>
          <w:sz w:val="20"/>
          <w:szCs w:val="24"/>
        </w:rPr>
        <w:t>de la Resolución de 13 de diciembre</w:t>
      </w:r>
      <w:r>
        <w:rPr>
          <w:rFonts w:ascii="Verdana" w:hAnsi="Verdana"/>
          <w:b/>
          <w:i/>
          <w:sz w:val="20"/>
          <w:szCs w:val="24"/>
        </w:rPr>
        <w:t xml:space="preserve"> de 2018</w:t>
      </w:r>
    </w:p>
    <w:p w:rsidR="0007716A" w:rsidRDefault="0007716A" w:rsidP="00A7281E">
      <w:pPr>
        <w:pStyle w:val="ListParagraph"/>
        <w:tabs>
          <w:tab w:val="left" w:pos="567"/>
        </w:tabs>
        <w:spacing w:after="0" w:line="240" w:lineRule="auto"/>
        <w:ind w:left="0"/>
        <w:jc w:val="both"/>
        <w:rPr>
          <w:rFonts w:ascii="Verdana" w:hAnsi="Verdana"/>
          <w:sz w:val="20"/>
          <w:szCs w:val="24"/>
        </w:rPr>
      </w:pPr>
    </w:p>
    <w:p w:rsidR="00C35310" w:rsidRPr="00917B79" w:rsidRDefault="00CC0733" w:rsidP="00356DEE">
      <w:pPr>
        <w:pStyle w:val="ListParagraph"/>
        <w:numPr>
          <w:ilvl w:val="0"/>
          <w:numId w:val="3"/>
        </w:numPr>
        <w:tabs>
          <w:tab w:val="left" w:pos="567"/>
        </w:tabs>
        <w:autoSpaceDE w:val="0"/>
        <w:autoSpaceDN w:val="0"/>
        <w:adjustRightInd w:val="0"/>
        <w:spacing w:after="0" w:line="240" w:lineRule="auto"/>
        <w:ind w:left="0" w:firstLine="0"/>
        <w:jc w:val="both"/>
        <w:rPr>
          <w:rFonts w:ascii="Verdana" w:hAnsi="Verdana"/>
          <w:bCs/>
          <w:iCs/>
          <w:sz w:val="20"/>
          <w:szCs w:val="20"/>
        </w:rPr>
      </w:pPr>
      <w:r w:rsidRPr="00917B79">
        <w:rPr>
          <w:rFonts w:ascii="Verdana" w:hAnsi="Verdana"/>
          <w:bCs/>
          <w:iCs/>
          <w:sz w:val="20"/>
          <w:szCs w:val="20"/>
        </w:rPr>
        <w:t xml:space="preserve">El Estado solicitó </w:t>
      </w:r>
      <w:r w:rsidR="00522F10">
        <w:rPr>
          <w:rFonts w:ascii="Verdana" w:hAnsi="Verdana"/>
          <w:bCs/>
          <w:iCs/>
          <w:sz w:val="20"/>
          <w:szCs w:val="20"/>
        </w:rPr>
        <w:t xml:space="preserve">una </w:t>
      </w:r>
      <w:r w:rsidRPr="00917B79">
        <w:rPr>
          <w:rFonts w:ascii="Verdana" w:hAnsi="Verdana"/>
          <w:bCs/>
          <w:iCs/>
          <w:sz w:val="20"/>
          <w:szCs w:val="20"/>
        </w:rPr>
        <w:t xml:space="preserve">reconsideración </w:t>
      </w:r>
      <w:r w:rsidR="00522F10">
        <w:rPr>
          <w:rFonts w:ascii="Verdana" w:hAnsi="Verdana"/>
          <w:bCs/>
          <w:iCs/>
          <w:sz w:val="20"/>
          <w:szCs w:val="20"/>
        </w:rPr>
        <w:t xml:space="preserve">parcial de </w:t>
      </w:r>
      <w:r w:rsidR="00522F10" w:rsidRPr="00917B79">
        <w:rPr>
          <w:rFonts w:ascii="Verdana" w:hAnsi="Verdana"/>
          <w:bCs/>
          <w:iCs/>
          <w:sz w:val="20"/>
          <w:szCs w:val="20"/>
        </w:rPr>
        <w:t>dicha Resolución</w:t>
      </w:r>
      <w:r w:rsidR="00522F10">
        <w:rPr>
          <w:rFonts w:ascii="Verdana" w:hAnsi="Verdana"/>
          <w:bCs/>
          <w:iCs/>
          <w:sz w:val="20"/>
          <w:szCs w:val="20"/>
        </w:rPr>
        <w:t>, específicamente r</w:t>
      </w:r>
      <w:r w:rsidRPr="00917B79">
        <w:rPr>
          <w:rFonts w:ascii="Verdana" w:hAnsi="Verdana"/>
          <w:bCs/>
          <w:iCs/>
          <w:sz w:val="20"/>
          <w:szCs w:val="20"/>
        </w:rPr>
        <w:t xml:space="preserve">especto de la decisión de haber convocado a </w:t>
      </w:r>
      <w:r w:rsidR="00BD3257" w:rsidRPr="00917B79">
        <w:rPr>
          <w:rFonts w:ascii="Verdana" w:hAnsi="Verdana"/>
          <w:bCs/>
          <w:iCs/>
          <w:sz w:val="20"/>
          <w:szCs w:val="20"/>
        </w:rPr>
        <w:t>la señora Luz María Ramírez García</w:t>
      </w:r>
      <w:r w:rsidRPr="00917B79">
        <w:rPr>
          <w:rFonts w:ascii="Verdana" w:hAnsi="Verdana"/>
          <w:bCs/>
          <w:iCs/>
          <w:sz w:val="20"/>
          <w:szCs w:val="20"/>
        </w:rPr>
        <w:t xml:space="preserve"> </w:t>
      </w:r>
      <w:r w:rsidR="00BD3257" w:rsidRPr="00917B79">
        <w:rPr>
          <w:rFonts w:ascii="Verdana" w:hAnsi="Verdana"/>
          <w:bCs/>
          <w:iCs/>
          <w:sz w:val="20"/>
          <w:szCs w:val="20"/>
        </w:rPr>
        <w:t>(</w:t>
      </w:r>
      <w:r w:rsidRPr="00917B79">
        <w:rPr>
          <w:rFonts w:ascii="Verdana" w:hAnsi="Verdana"/>
          <w:bCs/>
          <w:iCs/>
          <w:sz w:val="20"/>
          <w:szCs w:val="20"/>
        </w:rPr>
        <w:t>fiscal</w:t>
      </w:r>
      <w:r w:rsidR="00BD3257" w:rsidRPr="00917B79">
        <w:rPr>
          <w:rFonts w:ascii="Verdana" w:hAnsi="Verdana"/>
          <w:bCs/>
          <w:iCs/>
          <w:sz w:val="20"/>
          <w:szCs w:val="20"/>
        </w:rPr>
        <w:t xml:space="preserve"> a cargo de la investigación de hechos relacionados con el presente caso)</w:t>
      </w:r>
      <w:r w:rsidRPr="00917B79">
        <w:rPr>
          <w:rFonts w:ascii="Verdana" w:hAnsi="Verdana"/>
          <w:bCs/>
          <w:iCs/>
          <w:sz w:val="20"/>
          <w:szCs w:val="20"/>
        </w:rPr>
        <w:t xml:space="preserve"> para que declare como testigo en </w:t>
      </w:r>
      <w:r w:rsidR="00BD3257" w:rsidRPr="00917B79">
        <w:rPr>
          <w:rFonts w:ascii="Verdana" w:hAnsi="Verdana"/>
          <w:bCs/>
          <w:iCs/>
          <w:sz w:val="20"/>
          <w:szCs w:val="20"/>
        </w:rPr>
        <w:t xml:space="preserve">la </w:t>
      </w:r>
      <w:r w:rsidRPr="00917B79">
        <w:rPr>
          <w:rFonts w:ascii="Verdana" w:hAnsi="Verdana"/>
          <w:bCs/>
          <w:iCs/>
          <w:sz w:val="20"/>
          <w:szCs w:val="20"/>
        </w:rPr>
        <w:t>audiencia</w:t>
      </w:r>
      <w:r w:rsidR="00BD3257" w:rsidRPr="00917B79">
        <w:rPr>
          <w:rFonts w:ascii="Verdana" w:hAnsi="Verdana"/>
          <w:bCs/>
          <w:iCs/>
          <w:sz w:val="20"/>
          <w:szCs w:val="20"/>
        </w:rPr>
        <w:t xml:space="preserve"> pública </w:t>
      </w:r>
      <w:r w:rsidRPr="00917B79">
        <w:rPr>
          <w:rFonts w:ascii="Verdana" w:hAnsi="Verdana"/>
          <w:bCs/>
          <w:iCs/>
          <w:sz w:val="20"/>
          <w:szCs w:val="20"/>
        </w:rPr>
        <w:t>y</w:t>
      </w:r>
      <w:r w:rsidR="00586B97">
        <w:rPr>
          <w:rFonts w:ascii="Verdana" w:hAnsi="Verdana"/>
          <w:bCs/>
          <w:iCs/>
          <w:sz w:val="20"/>
          <w:szCs w:val="20"/>
        </w:rPr>
        <w:t xml:space="preserve"> cuyo</w:t>
      </w:r>
      <w:r w:rsidR="00BD3257" w:rsidRPr="00917B79">
        <w:rPr>
          <w:rFonts w:ascii="Verdana" w:hAnsi="Verdana"/>
          <w:bCs/>
          <w:iCs/>
          <w:sz w:val="20"/>
          <w:szCs w:val="20"/>
        </w:rPr>
        <w:t xml:space="preserve"> </w:t>
      </w:r>
      <w:r w:rsidR="00586B97">
        <w:rPr>
          <w:rFonts w:ascii="Verdana" w:hAnsi="Verdana"/>
          <w:bCs/>
          <w:iCs/>
          <w:sz w:val="20"/>
          <w:szCs w:val="20"/>
        </w:rPr>
        <w:t xml:space="preserve">testimonio </w:t>
      </w:r>
      <w:r w:rsidRPr="00917B79">
        <w:rPr>
          <w:rFonts w:ascii="Verdana" w:hAnsi="Verdana"/>
          <w:bCs/>
          <w:iCs/>
          <w:sz w:val="20"/>
          <w:szCs w:val="20"/>
        </w:rPr>
        <w:t xml:space="preserve">el Estado había propuesto </w:t>
      </w:r>
      <w:r w:rsidR="00586B97">
        <w:rPr>
          <w:rFonts w:ascii="Verdana" w:hAnsi="Verdana"/>
          <w:bCs/>
          <w:iCs/>
          <w:sz w:val="20"/>
          <w:szCs w:val="20"/>
        </w:rPr>
        <w:t>para ser rendido</w:t>
      </w:r>
      <w:r w:rsidR="00BD3257" w:rsidRPr="00917B79">
        <w:rPr>
          <w:rFonts w:ascii="Verdana" w:hAnsi="Verdana"/>
          <w:bCs/>
          <w:iCs/>
          <w:sz w:val="20"/>
          <w:szCs w:val="20"/>
        </w:rPr>
        <w:t xml:space="preserve"> </w:t>
      </w:r>
      <w:r w:rsidRPr="00917B79">
        <w:rPr>
          <w:rFonts w:ascii="Verdana" w:hAnsi="Verdana"/>
          <w:bCs/>
          <w:iCs/>
          <w:sz w:val="20"/>
          <w:szCs w:val="20"/>
        </w:rPr>
        <w:t>por afidávit.</w:t>
      </w:r>
      <w:r w:rsidR="00BD3257" w:rsidRPr="00917B79">
        <w:rPr>
          <w:rFonts w:ascii="Verdana" w:hAnsi="Verdana"/>
          <w:bCs/>
          <w:iCs/>
          <w:sz w:val="20"/>
          <w:szCs w:val="20"/>
        </w:rPr>
        <w:t xml:space="preserve"> Señ</w:t>
      </w:r>
      <w:r w:rsidR="007C5C1D">
        <w:rPr>
          <w:rFonts w:ascii="Verdana" w:hAnsi="Verdana"/>
          <w:bCs/>
          <w:iCs/>
          <w:sz w:val="20"/>
          <w:szCs w:val="20"/>
        </w:rPr>
        <w:t>aló que, una vez notificada la R</w:t>
      </w:r>
      <w:r w:rsidR="00BD3257" w:rsidRPr="00917B79">
        <w:rPr>
          <w:rFonts w:ascii="Verdana" w:hAnsi="Verdana"/>
          <w:bCs/>
          <w:iCs/>
          <w:sz w:val="20"/>
          <w:szCs w:val="20"/>
        </w:rPr>
        <w:t xml:space="preserve">esolución, el Estado consultó con la Fiscalía General de la Nación si sería posible la participación de la fiscal en audiencia y que, en su respuesta, la Dirección de Derechos Humanos </w:t>
      </w:r>
      <w:r w:rsidR="00356DEE" w:rsidRPr="00917B79">
        <w:rPr>
          <w:rFonts w:ascii="Verdana" w:hAnsi="Verdana"/>
          <w:bCs/>
          <w:iCs/>
          <w:sz w:val="20"/>
          <w:szCs w:val="20"/>
        </w:rPr>
        <w:t>de la Fiscalía refirió que “</w:t>
      </w:r>
      <w:r w:rsidR="00BD3257" w:rsidRPr="00917B79">
        <w:rPr>
          <w:rFonts w:ascii="Verdana" w:hAnsi="Verdana"/>
          <w:bCs/>
          <w:iCs/>
          <w:sz w:val="20"/>
          <w:szCs w:val="20"/>
        </w:rPr>
        <w:t>de acuerdo a la agenda fijada por la</w:t>
      </w:r>
      <w:r w:rsidR="00356DEE" w:rsidRPr="00917B79">
        <w:rPr>
          <w:rFonts w:ascii="Verdana" w:hAnsi="Verdana"/>
          <w:bCs/>
          <w:iCs/>
          <w:sz w:val="20"/>
          <w:szCs w:val="20"/>
        </w:rPr>
        <w:t xml:space="preserve"> </w:t>
      </w:r>
      <w:r w:rsidR="00BD3257" w:rsidRPr="00917B79">
        <w:rPr>
          <w:rFonts w:ascii="Verdana" w:hAnsi="Verdana"/>
          <w:bCs/>
          <w:iCs/>
          <w:sz w:val="20"/>
          <w:szCs w:val="20"/>
        </w:rPr>
        <w:t xml:space="preserve">Jefatura de la Dirección </w:t>
      </w:r>
      <w:r w:rsidR="00356DEE" w:rsidRPr="00917B79">
        <w:rPr>
          <w:rFonts w:ascii="Verdana" w:hAnsi="Verdana"/>
          <w:bCs/>
          <w:iCs/>
          <w:sz w:val="20"/>
          <w:szCs w:val="20"/>
        </w:rPr>
        <w:t xml:space="preserve">[…] </w:t>
      </w:r>
      <w:r w:rsidR="00BD3257" w:rsidRPr="00917B79">
        <w:rPr>
          <w:rFonts w:ascii="Verdana" w:hAnsi="Verdana"/>
          <w:bCs/>
          <w:iCs/>
          <w:sz w:val="20"/>
          <w:szCs w:val="20"/>
        </w:rPr>
        <w:t>para el primer trimestre del año 2018, se efectuarán</w:t>
      </w:r>
      <w:r w:rsidR="00356DEE" w:rsidRPr="00917B79">
        <w:rPr>
          <w:rFonts w:ascii="Verdana" w:hAnsi="Verdana"/>
          <w:bCs/>
          <w:iCs/>
          <w:sz w:val="20"/>
          <w:szCs w:val="20"/>
        </w:rPr>
        <w:t xml:space="preserve"> </w:t>
      </w:r>
      <w:r w:rsidR="00BD3257" w:rsidRPr="00917B79">
        <w:rPr>
          <w:rFonts w:ascii="Verdana" w:hAnsi="Verdana"/>
          <w:bCs/>
          <w:iCs/>
          <w:sz w:val="20"/>
          <w:szCs w:val="20"/>
        </w:rPr>
        <w:t>reuniones de seguimiento respecto a las tem</w:t>
      </w:r>
      <w:r w:rsidR="00356DEE" w:rsidRPr="00917B79">
        <w:rPr>
          <w:rFonts w:ascii="Verdana" w:hAnsi="Verdana"/>
          <w:bCs/>
          <w:iCs/>
          <w:sz w:val="20"/>
          <w:szCs w:val="20"/>
        </w:rPr>
        <w:t>áticas priorizadas por la misma [y] p</w:t>
      </w:r>
      <w:r w:rsidR="00BD3257" w:rsidRPr="00917B79">
        <w:rPr>
          <w:rFonts w:ascii="Verdana" w:hAnsi="Verdana"/>
          <w:bCs/>
          <w:iCs/>
          <w:sz w:val="20"/>
          <w:szCs w:val="20"/>
        </w:rPr>
        <w:t>ara el caso de la Fiscalía 121 Especializada de Medellín,</w:t>
      </w:r>
      <w:r w:rsidR="00356DEE" w:rsidRPr="00917B79">
        <w:rPr>
          <w:rFonts w:ascii="Verdana" w:hAnsi="Verdana"/>
          <w:bCs/>
          <w:iCs/>
          <w:sz w:val="20"/>
          <w:szCs w:val="20"/>
        </w:rPr>
        <w:t xml:space="preserve"> [en la cual trabaja la testigo,]</w:t>
      </w:r>
      <w:r w:rsidR="00BD3257" w:rsidRPr="00917B79">
        <w:rPr>
          <w:rFonts w:ascii="Verdana" w:hAnsi="Verdana"/>
          <w:bCs/>
          <w:iCs/>
          <w:sz w:val="20"/>
          <w:szCs w:val="20"/>
        </w:rPr>
        <w:t xml:space="preserve"> han sido programadas</w:t>
      </w:r>
      <w:r w:rsidR="00356DEE" w:rsidRPr="00917B79">
        <w:rPr>
          <w:rFonts w:ascii="Verdana" w:hAnsi="Verdana"/>
          <w:bCs/>
          <w:iCs/>
          <w:sz w:val="20"/>
          <w:szCs w:val="20"/>
        </w:rPr>
        <w:t xml:space="preserve"> </w:t>
      </w:r>
      <w:r w:rsidR="00BD3257" w:rsidRPr="00917B79">
        <w:rPr>
          <w:rFonts w:ascii="Verdana" w:hAnsi="Verdana"/>
          <w:bCs/>
          <w:iCs/>
          <w:sz w:val="20"/>
          <w:szCs w:val="20"/>
        </w:rPr>
        <w:t>dos reuniones de seguimiento de las investigaciones adelantadas con ocasión a</w:t>
      </w:r>
      <w:r w:rsidR="00356DEE" w:rsidRPr="00917B79">
        <w:rPr>
          <w:rFonts w:ascii="Verdana" w:hAnsi="Verdana"/>
          <w:bCs/>
          <w:iCs/>
          <w:sz w:val="20"/>
          <w:szCs w:val="20"/>
        </w:rPr>
        <w:t xml:space="preserve"> </w:t>
      </w:r>
      <w:r w:rsidR="00BD3257" w:rsidRPr="00917B79">
        <w:rPr>
          <w:rFonts w:ascii="Verdana" w:hAnsi="Verdana"/>
          <w:bCs/>
          <w:iCs/>
          <w:sz w:val="20"/>
          <w:szCs w:val="20"/>
        </w:rPr>
        <w:t>la victimización de miembros de la Unión Patriótica para los días 30 y 31 de</w:t>
      </w:r>
      <w:r w:rsidR="00356DEE" w:rsidRPr="00917B79">
        <w:rPr>
          <w:rFonts w:ascii="Verdana" w:hAnsi="Verdana"/>
          <w:bCs/>
          <w:iCs/>
          <w:sz w:val="20"/>
          <w:szCs w:val="20"/>
        </w:rPr>
        <w:t xml:space="preserve"> </w:t>
      </w:r>
      <w:r w:rsidR="00BD3257" w:rsidRPr="00917B79">
        <w:rPr>
          <w:rFonts w:ascii="Verdana" w:hAnsi="Verdana"/>
          <w:bCs/>
          <w:iCs/>
          <w:sz w:val="20"/>
          <w:szCs w:val="20"/>
        </w:rPr>
        <w:t>enero de 2018</w:t>
      </w:r>
      <w:r w:rsidR="00356DEE" w:rsidRPr="00917B79">
        <w:rPr>
          <w:rFonts w:ascii="Verdana" w:hAnsi="Verdana"/>
          <w:bCs/>
          <w:iCs/>
          <w:sz w:val="20"/>
          <w:szCs w:val="20"/>
        </w:rPr>
        <w:t>”. E</w:t>
      </w:r>
      <w:r w:rsidR="00356DEE" w:rsidRPr="00917B79">
        <w:rPr>
          <w:rFonts w:ascii="Verdana" w:hAnsi="Verdana" w:cs="Verdana"/>
          <w:sz w:val="20"/>
          <w:szCs w:val="20"/>
        </w:rPr>
        <w:t>l Estado manifestó que, por esa razón, “no podrá aportar es</w:t>
      </w:r>
      <w:r w:rsidR="00586B97">
        <w:rPr>
          <w:rFonts w:ascii="Verdana" w:hAnsi="Verdana" w:cs="Verdana"/>
          <w:sz w:val="20"/>
          <w:szCs w:val="20"/>
        </w:rPr>
        <w:t>ta prueba en audiencia pública” y, en consecuencia, solicitó</w:t>
      </w:r>
      <w:r w:rsidR="00356DEE" w:rsidRPr="00917B79">
        <w:rPr>
          <w:rFonts w:ascii="Verdana" w:hAnsi="Verdana" w:cs="Verdana"/>
          <w:sz w:val="20"/>
          <w:szCs w:val="20"/>
        </w:rPr>
        <w:t xml:space="preserve"> </w:t>
      </w:r>
      <w:r w:rsidR="007C5C1D">
        <w:rPr>
          <w:rFonts w:ascii="Verdana" w:hAnsi="Verdana" w:cs="Verdana"/>
          <w:sz w:val="20"/>
          <w:szCs w:val="20"/>
        </w:rPr>
        <w:t xml:space="preserve">que </w:t>
      </w:r>
      <w:r w:rsidR="00586B97">
        <w:rPr>
          <w:rFonts w:ascii="Verdana" w:hAnsi="Verdana" w:cs="Verdana"/>
          <w:sz w:val="20"/>
          <w:szCs w:val="20"/>
        </w:rPr>
        <w:t xml:space="preserve">se </w:t>
      </w:r>
      <w:r w:rsidR="007C5C1D">
        <w:rPr>
          <w:rFonts w:ascii="Verdana" w:hAnsi="Verdana" w:cs="Verdana"/>
          <w:sz w:val="20"/>
          <w:szCs w:val="20"/>
        </w:rPr>
        <w:t>ordene su práctica por af</w:t>
      </w:r>
      <w:r w:rsidR="00356DEE" w:rsidRPr="00917B79">
        <w:rPr>
          <w:rFonts w:ascii="Verdana" w:hAnsi="Verdana" w:cs="Verdana"/>
          <w:sz w:val="20"/>
          <w:szCs w:val="20"/>
        </w:rPr>
        <w:t xml:space="preserve">idávit. </w:t>
      </w:r>
      <w:r w:rsidR="00356DEE" w:rsidRPr="00917B79">
        <w:rPr>
          <w:rFonts w:ascii="Verdana" w:hAnsi="Verdana"/>
          <w:bCs/>
          <w:iCs/>
          <w:sz w:val="20"/>
          <w:szCs w:val="20"/>
        </w:rPr>
        <w:t>Además, el Estado manifestó que, “al no poder contar con la declaración de la fiscal en audiencia, el Estado se quedaría sin ninguna prueba durante esta etapa, [por lo cual,] en aras de garantizar la igualdad de armas entre las partes, el Estado solicita a la Corte que ordene la práctica de la prueba pericial del señor Carlos Arévalo, en audiencia pública”. Se hace notar que el perito Arévalo fue convocado a declarar mediante afidávit.</w:t>
      </w:r>
    </w:p>
    <w:p w:rsidR="00C35310" w:rsidRPr="00C35310" w:rsidRDefault="00C35310" w:rsidP="00356DEE">
      <w:pPr>
        <w:pStyle w:val="ListParagraph"/>
        <w:tabs>
          <w:tab w:val="left" w:pos="567"/>
        </w:tabs>
        <w:spacing w:after="0" w:line="240" w:lineRule="auto"/>
        <w:ind w:left="0"/>
        <w:jc w:val="both"/>
        <w:rPr>
          <w:rFonts w:ascii="Verdana" w:hAnsi="Verdana"/>
          <w:sz w:val="20"/>
          <w:szCs w:val="24"/>
        </w:rPr>
      </w:pPr>
    </w:p>
    <w:p w:rsidR="00A01EAC" w:rsidRDefault="00356DEE" w:rsidP="00356DEE">
      <w:pPr>
        <w:pStyle w:val="ListParagraph"/>
        <w:numPr>
          <w:ilvl w:val="0"/>
          <w:numId w:val="3"/>
        </w:numPr>
        <w:tabs>
          <w:tab w:val="left" w:pos="567"/>
        </w:tabs>
        <w:spacing w:after="0" w:line="240" w:lineRule="auto"/>
        <w:ind w:left="0" w:firstLine="0"/>
        <w:jc w:val="both"/>
        <w:rPr>
          <w:rFonts w:ascii="Verdana" w:hAnsi="Verdana"/>
          <w:sz w:val="20"/>
          <w:szCs w:val="24"/>
        </w:rPr>
      </w:pPr>
      <w:r w:rsidRPr="00356DEE">
        <w:rPr>
          <w:rFonts w:ascii="Verdana" w:hAnsi="Verdana"/>
          <w:sz w:val="20"/>
          <w:szCs w:val="24"/>
        </w:rPr>
        <w:t>La Comisión manifestó que no tiene observaciones que formular al respecto. Los representantes manifestaron que no se oponen a la solicitud y que, en caso de que se acepte, se otorgue a los representantes un plazo razonable para enviar a la testigo las preguntas que estime</w:t>
      </w:r>
      <w:r>
        <w:rPr>
          <w:rFonts w:ascii="Verdana" w:hAnsi="Verdana"/>
          <w:sz w:val="20"/>
          <w:szCs w:val="24"/>
        </w:rPr>
        <w:t>n</w:t>
      </w:r>
      <w:r w:rsidRPr="00356DEE">
        <w:rPr>
          <w:rFonts w:ascii="Verdana" w:hAnsi="Verdana"/>
          <w:sz w:val="20"/>
          <w:szCs w:val="24"/>
        </w:rPr>
        <w:t xml:space="preserve"> pertinentes </w:t>
      </w:r>
      <w:r>
        <w:rPr>
          <w:rFonts w:ascii="Verdana" w:hAnsi="Verdana"/>
          <w:sz w:val="20"/>
          <w:szCs w:val="24"/>
        </w:rPr>
        <w:t xml:space="preserve">para que sean respondidas en su eventual </w:t>
      </w:r>
      <w:r w:rsidRPr="00356DEE">
        <w:rPr>
          <w:rFonts w:ascii="Verdana" w:hAnsi="Verdana"/>
          <w:sz w:val="20"/>
          <w:szCs w:val="24"/>
        </w:rPr>
        <w:t>afidávit</w:t>
      </w:r>
      <w:r>
        <w:rPr>
          <w:rFonts w:ascii="Verdana" w:hAnsi="Verdana"/>
          <w:sz w:val="20"/>
          <w:szCs w:val="24"/>
        </w:rPr>
        <w:t>.</w:t>
      </w:r>
    </w:p>
    <w:p w:rsidR="00356DEE" w:rsidRDefault="00356DEE" w:rsidP="00356DEE">
      <w:pPr>
        <w:pStyle w:val="ListParagraph"/>
        <w:tabs>
          <w:tab w:val="left" w:pos="567"/>
        </w:tabs>
        <w:spacing w:after="0" w:line="240" w:lineRule="auto"/>
        <w:ind w:left="0"/>
        <w:jc w:val="both"/>
        <w:rPr>
          <w:rFonts w:ascii="Verdana" w:hAnsi="Verdana"/>
          <w:sz w:val="20"/>
          <w:szCs w:val="24"/>
        </w:rPr>
      </w:pPr>
    </w:p>
    <w:p w:rsidR="009B03ED" w:rsidRPr="009B03ED" w:rsidRDefault="00356DEE" w:rsidP="009B03ED">
      <w:pPr>
        <w:pStyle w:val="ListParagraph"/>
        <w:numPr>
          <w:ilvl w:val="0"/>
          <w:numId w:val="3"/>
        </w:numPr>
        <w:tabs>
          <w:tab w:val="left" w:pos="567"/>
        </w:tabs>
        <w:spacing w:after="0" w:line="240" w:lineRule="auto"/>
        <w:ind w:left="0" w:firstLine="0"/>
        <w:jc w:val="both"/>
        <w:rPr>
          <w:rFonts w:ascii="Times New Roman" w:hAnsi="Times New Roman" w:cs="Times New Roman"/>
          <w:sz w:val="20"/>
          <w:szCs w:val="20"/>
          <w:lang w:eastAsia="es-CR"/>
        </w:rPr>
      </w:pPr>
      <w:r w:rsidRPr="00192A4F">
        <w:rPr>
          <w:rFonts w:ascii="Verdana" w:hAnsi="Verdana"/>
          <w:sz w:val="20"/>
          <w:szCs w:val="20"/>
        </w:rPr>
        <w:t>E</w:t>
      </w:r>
      <w:r w:rsidR="00DF56FD">
        <w:rPr>
          <w:rFonts w:ascii="Verdana" w:hAnsi="Verdana"/>
          <w:sz w:val="20"/>
          <w:szCs w:val="20"/>
        </w:rPr>
        <w:t>n cuanto a la primera solicitud del Estado, a saber, que la testigo pueda declarar mediante afidávit, e</w:t>
      </w:r>
      <w:r w:rsidRPr="00192A4F">
        <w:rPr>
          <w:rFonts w:ascii="Verdana" w:hAnsi="Verdana"/>
          <w:sz w:val="20"/>
          <w:szCs w:val="20"/>
        </w:rPr>
        <w:t>sta Presidencia hace notar que</w:t>
      </w:r>
      <w:r w:rsidR="00192A4F">
        <w:rPr>
          <w:rFonts w:ascii="Verdana" w:hAnsi="Verdana"/>
          <w:sz w:val="20"/>
          <w:szCs w:val="20"/>
        </w:rPr>
        <w:t xml:space="preserve">, si bien en su </w:t>
      </w:r>
      <w:r w:rsidR="00192A4F" w:rsidRPr="00192A4F">
        <w:rPr>
          <w:rFonts w:ascii="Verdana" w:hAnsi="Verdana"/>
          <w:sz w:val="20"/>
          <w:szCs w:val="20"/>
        </w:rPr>
        <w:t>lista definitiva de declarantes</w:t>
      </w:r>
      <w:r w:rsidR="00192A4F">
        <w:rPr>
          <w:rFonts w:ascii="Verdana" w:hAnsi="Verdana"/>
          <w:sz w:val="20"/>
          <w:szCs w:val="20"/>
        </w:rPr>
        <w:t xml:space="preserve"> el Estado ofreció </w:t>
      </w:r>
      <w:r w:rsidR="00DF56FD">
        <w:rPr>
          <w:rFonts w:ascii="Verdana" w:hAnsi="Verdana"/>
          <w:sz w:val="20"/>
          <w:szCs w:val="20"/>
        </w:rPr>
        <w:t>dich</w:t>
      </w:r>
      <w:r w:rsidR="00586B97">
        <w:rPr>
          <w:rFonts w:ascii="Verdana" w:hAnsi="Verdana"/>
          <w:sz w:val="20"/>
          <w:szCs w:val="20"/>
        </w:rPr>
        <w:t>o</w:t>
      </w:r>
      <w:r w:rsidR="00192A4F">
        <w:rPr>
          <w:rFonts w:ascii="Verdana" w:hAnsi="Verdana"/>
          <w:sz w:val="20"/>
          <w:szCs w:val="20"/>
        </w:rPr>
        <w:t xml:space="preserve"> </w:t>
      </w:r>
      <w:r w:rsidR="00586B97">
        <w:rPr>
          <w:rFonts w:ascii="Verdana" w:hAnsi="Verdana"/>
          <w:sz w:val="20"/>
          <w:szCs w:val="20"/>
        </w:rPr>
        <w:t xml:space="preserve">testimonio </w:t>
      </w:r>
      <w:r w:rsidR="00192A4F">
        <w:rPr>
          <w:rFonts w:ascii="Verdana" w:hAnsi="Verdana"/>
          <w:sz w:val="20"/>
          <w:szCs w:val="20"/>
        </w:rPr>
        <w:t xml:space="preserve">para ser </w:t>
      </w:r>
      <w:r w:rsidR="00586B97">
        <w:rPr>
          <w:rFonts w:ascii="Verdana" w:hAnsi="Verdana"/>
          <w:sz w:val="20"/>
          <w:szCs w:val="20"/>
        </w:rPr>
        <w:t>rendido</w:t>
      </w:r>
      <w:r w:rsidR="00192A4F">
        <w:rPr>
          <w:rFonts w:ascii="Verdana" w:hAnsi="Verdana"/>
          <w:sz w:val="20"/>
          <w:szCs w:val="20"/>
        </w:rPr>
        <w:t xml:space="preserve"> por afidávit, </w:t>
      </w:r>
      <w:r w:rsidRPr="00192A4F">
        <w:rPr>
          <w:rFonts w:ascii="Verdana" w:hAnsi="Verdana"/>
          <w:sz w:val="20"/>
          <w:szCs w:val="20"/>
        </w:rPr>
        <w:t xml:space="preserve">no informó </w:t>
      </w:r>
      <w:r w:rsidR="00192A4F">
        <w:rPr>
          <w:rFonts w:ascii="Verdana" w:hAnsi="Verdana"/>
          <w:sz w:val="20"/>
          <w:szCs w:val="20"/>
        </w:rPr>
        <w:t xml:space="preserve">en ese </w:t>
      </w:r>
      <w:r w:rsidR="00192A4F" w:rsidRPr="00192A4F">
        <w:rPr>
          <w:rFonts w:ascii="Verdana" w:hAnsi="Verdana"/>
          <w:sz w:val="20"/>
          <w:szCs w:val="20"/>
        </w:rPr>
        <w:t xml:space="preserve">momento </w:t>
      </w:r>
      <w:r w:rsidRPr="00192A4F">
        <w:rPr>
          <w:rFonts w:ascii="Verdana" w:hAnsi="Verdana"/>
          <w:sz w:val="20"/>
          <w:szCs w:val="20"/>
        </w:rPr>
        <w:t xml:space="preserve">acerca de </w:t>
      </w:r>
      <w:r w:rsidR="00586B97">
        <w:rPr>
          <w:rFonts w:ascii="Verdana" w:hAnsi="Verdana"/>
          <w:sz w:val="20"/>
          <w:szCs w:val="20"/>
        </w:rPr>
        <w:t>alguna</w:t>
      </w:r>
      <w:r w:rsidRPr="00192A4F">
        <w:rPr>
          <w:rFonts w:ascii="Verdana" w:hAnsi="Verdana"/>
          <w:sz w:val="20"/>
          <w:szCs w:val="20"/>
        </w:rPr>
        <w:t xml:space="preserve"> </w:t>
      </w:r>
      <w:r w:rsidR="00586B97">
        <w:rPr>
          <w:rFonts w:ascii="Verdana" w:hAnsi="Verdana"/>
          <w:sz w:val="20"/>
          <w:szCs w:val="20"/>
        </w:rPr>
        <w:t>supuesta</w:t>
      </w:r>
      <w:r w:rsidRPr="00192A4F">
        <w:rPr>
          <w:rFonts w:ascii="Verdana" w:hAnsi="Verdana"/>
          <w:sz w:val="20"/>
          <w:szCs w:val="20"/>
        </w:rPr>
        <w:t xml:space="preserve"> imposibilidad para declarar en audiencia</w:t>
      </w:r>
      <w:r w:rsidR="00192A4F" w:rsidRPr="00192A4F">
        <w:rPr>
          <w:rFonts w:ascii="Verdana" w:hAnsi="Verdana"/>
          <w:sz w:val="20"/>
          <w:szCs w:val="20"/>
        </w:rPr>
        <w:t xml:space="preserve">. </w:t>
      </w:r>
      <w:r w:rsidR="00192A4F">
        <w:rPr>
          <w:rFonts w:ascii="Verdana" w:hAnsi="Verdana"/>
          <w:sz w:val="20"/>
          <w:szCs w:val="20"/>
        </w:rPr>
        <w:t>En este sentido</w:t>
      </w:r>
      <w:r w:rsidR="00192A4F" w:rsidRPr="00192A4F">
        <w:rPr>
          <w:rFonts w:ascii="Verdana" w:hAnsi="Verdana"/>
          <w:sz w:val="20"/>
          <w:szCs w:val="20"/>
        </w:rPr>
        <w:t xml:space="preserve">, se </w:t>
      </w:r>
      <w:r w:rsidR="00192A4F" w:rsidRPr="00192A4F">
        <w:rPr>
          <w:rFonts w:ascii="Verdana" w:hAnsi="Verdana"/>
          <w:sz w:val="20"/>
          <w:szCs w:val="20"/>
          <w:lang w:val="es-CO"/>
        </w:rPr>
        <w:t xml:space="preserve">recuerda que, en definitiva, </w:t>
      </w:r>
      <w:r w:rsidR="00192A4F" w:rsidRPr="00192A4F">
        <w:rPr>
          <w:rFonts w:ascii="Verdana" w:hAnsi="Verdana"/>
          <w:bCs/>
          <w:iCs/>
          <w:sz w:val="20"/>
          <w:szCs w:val="20"/>
        </w:rPr>
        <w:t>es facultad del Tribunal o su Presidente decidir si determinada declaración ofrecida es pertinente y relevante para un caso</w:t>
      </w:r>
      <w:r w:rsidR="00192A4F" w:rsidRPr="00192A4F">
        <w:rPr>
          <w:rStyle w:val="FootnoteReference"/>
          <w:rFonts w:ascii="Verdana" w:hAnsi="Verdana"/>
          <w:bCs/>
          <w:iCs/>
          <w:sz w:val="20"/>
          <w:szCs w:val="20"/>
        </w:rPr>
        <w:footnoteReference w:id="3"/>
      </w:r>
      <w:r w:rsidR="00192A4F" w:rsidRPr="00192A4F">
        <w:rPr>
          <w:rFonts w:ascii="Verdana" w:hAnsi="Verdana"/>
          <w:bCs/>
          <w:iCs/>
          <w:sz w:val="20"/>
          <w:szCs w:val="20"/>
        </w:rPr>
        <w:t xml:space="preserve">, por lo cual, si bien en todos los casos se toman en consideración los ofrecimientos probatorios de las partes, </w:t>
      </w:r>
      <w:r w:rsidR="00192A4F" w:rsidRPr="00192A4F">
        <w:rPr>
          <w:rFonts w:ascii="Verdana" w:hAnsi="Verdana"/>
          <w:sz w:val="20"/>
          <w:szCs w:val="20"/>
          <w:lang w:val="es-CO"/>
        </w:rPr>
        <w:t>la determinación final del objeto y modalidad de cada declaración en el momento procesal oportuno es también facultad del Tribunal o su Presidencia</w:t>
      </w:r>
      <w:r w:rsidR="00192A4F" w:rsidRPr="00192A4F">
        <w:rPr>
          <w:rStyle w:val="FootnoteReference"/>
          <w:rFonts w:ascii="Verdana" w:hAnsi="Verdana"/>
          <w:sz w:val="20"/>
          <w:szCs w:val="20"/>
          <w:lang w:val="es-CO"/>
        </w:rPr>
        <w:footnoteReference w:id="4"/>
      </w:r>
      <w:r w:rsidR="00192A4F" w:rsidRPr="00192A4F">
        <w:rPr>
          <w:rFonts w:ascii="Verdana" w:hAnsi="Verdana"/>
          <w:sz w:val="20"/>
          <w:szCs w:val="20"/>
          <w:lang w:val="es-CO"/>
        </w:rPr>
        <w:t xml:space="preserve">. </w:t>
      </w:r>
      <w:r w:rsidR="00192A4F">
        <w:rPr>
          <w:rFonts w:ascii="Verdana" w:hAnsi="Verdana"/>
          <w:sz w:val="20"/>
          <w:szCs w:val="20"/>
          <w:lang w:val="es-CO"/>
        </w:rPr>
        <w:t xml:space="preserve">De tal </w:t>
      </w:r>
      <w:r w:rsidR="00DF56FD">
        <w:rPr>
          <w:rFonts w:ascii="Verdana" w:hAnsi="Verdana"/>
          <w:sz w:val="20"/>
          <w:szCs w:val="20"/>
          <w:lang w:val="es-CO"/>
        </w:rPr>
        <w:t xml:space="preserve">manera, </w:t>
      </w:r>
      <w:r w:rsidR="00B91975">
        <w:rPr>
          <w:rFonts w:ascii="Verdana" w:hAnsi="Verdana"/>
          <w:sz w:val="20"/>
          <w:szCs w:val="20"/>
          <w:lang w:val="es-CO"/>
        </w:rPr>
        <w:t xml:space="preserve">la solicitud del Estado </w:t>
      </w:r>
      <w:r w:rsidR="00917B79">
        <w:rPr>
          <w:rFonts w:ascii="Verdana" w:hAnsi="Verdana"/>
          <w:sz w:val="20"/>
          <w:szCs w:val="20"/>
          <w:lang w:val="es-CO"/>
        </w:rPr>
        <w:t xml:space="preserve">puede ser analizada, por analogía, </w:t>
      </w:r>
      <w:r w:rsidR="00B91975">
        <w:rPr>
          <w:rFonts w:ascii="Verdana" w:hAnsi="Verdana"/>
          <w:sz w:val="20"/>
          <w:szCs w:val="20"/>
          <w:lang w:val="es-CO"/>
        </w:rPr>
        <w:t xml:space="preserve">según lo dispuesto en el artículo </w:t>
      </w:r>
      <w:r w:rsidR="00917B79">
        <w:rPr>
          <w:rFonts w:ascii="Verdana" w:hAnsi="Verdana"/>
          <w:sz w:val="20"/>
          <w:szCs w:val="20"/>
          <w:lang w:val="es-CO"/>
        </w:rPr>
        <w:t>57.2 del Reglamento</w:t>
      </w:r>
      <w:r w:rsidR="00917B79">
        <w:rPr>
          <w:rStyle w:val="FootnoteReference"/>
          <w:rFonts w:ascii="Verdana" w:hAnsi="Verdana"/>
          <w:sz w:val="20"/>
          <w:szCs w:val="20"/>
          <w:lang w:val="es-CO"/>
        </w:rPr>
        <w:footnoteReference w:id="5"/>
      </w:r>
      <w:r w:rsidR="00917B79">
        <w:rPr>
          <w:rFonts w:ascii="Verdana" w:hAnsi="Verdana"/>
          <w:sz w:val="20"/>
          <w:szCs w:val="20"/>
          <w:lang w:val="es-CO"/>
        </w:rPr>
        <w:t>.</w:t>
      </w:r>
      <w:r w:rsidR="00B91975">
        <w:rPr>
          <w:rFonts w:ascii="Verdana" w:hAnsi="Verdana"/>
          <w:sz w:val="20"/>
          <w:szCs w:val="20"/>
          <w:lang w:val="es-CO"/>
        </w:rPr>
        <w:t xml:space="preserve"> </w:t>
      </w:r>
      <w:r w:rsidR="00917B79">
        <w:rPr>
          <w:rFonts w:ascii="Verdana" w:hAnsi="Verdana"/>
          <w:sz w:val="20"/>
          <w:szCs w:val="20"/>
          <w:lang w:val="es-CO"/>
        </w:rPr>
        <w:t>En ese sentido, esta Presidencia considera que la razón invocada por el Estado, a saber, la programación de una reunión a lo i</w:t>
      </w:r>
      <w:r w:rsidR="009B03ED">
        <w:rPr>
          <w:rFonts w:ascii="Verdana" w:hAnsi="Verdana"/>
          <w:sz w:val="20"/>
          <w:szCs w:val="20"/>
          <w:lang w:val="es-CO"/>
        </w:rPr>
        <w:t>nterno de la Fiscalía precisa</w:t>
      </w:r>
      <w:r w:rsidR="00917B79">
        <w:rPr>
          <w:rFonts w:ascii="Verdana" w:hAnsi="Verdana"/>
          <w:sz w:val="20"/>
          <w:szCs w:val="20"/>
          <w:lang w:val="es-CO"/>
        </w:rPr>
        <w:t xml:space="preserve">mente para los días en que la Corte </w:t>
      </w:r>
      <w:r w:rsidR="005B66A7">
        <w:rPr>
          <w:rFonts w:ascii="Verdana" w:hAnsi="Verdana"/>
          <w:sz w:val="20"/>
          <w:szCs w:val="20"/>
          <w:lang w:val="es-CO"/>
        </w:rPr>
        <w:t>convocó a</w:t>
      </w:r>
      <w:r w:rsidR="00917B79">
        <w:rPr>
          <w:rFonts w:ascii="Verdana" w:hAnsi="Verdana"/>
          <w:sz w:val="20"/>
          <w:szCs w:val="20"/>
          <w:lang w:val="es-CO"/>
        </w:rPr>
        <w:t xml:space="preserve"> audiencia </w:t>
      </w:r>
      <w:r w:rsidR="005B66A7">
        <w:rPr>
          <w:rFonts w:ascii="Verdana" w:hAnsi="Verdana"/>
          <w:sz w:val="20"/>
          <w:szCs w:val="20"/>
          <w:lang w:val="es-CO"/>
        </w:rPr>
        <w:t xml:space="preserve">en </w:t>
      </w:r>
      <w:r w:rsidR="00917B79">
        <w:rPr>
          <w:rFonts w:ascii="Verdana" w:hAnsi="Verdana"/>
          <w:sz w:val="20"/>
          <w:szCs w:val="20"/>
          <w:lang w:val="es-CO"/>
        </w:rPr>
        <w:t xml:space="preserve">este caso, a la cual la testigo fue </w:t>
      </w:r>
      <w:r w:rsidR="005B66A7">
        <w:rPr>
          <w:rFonts w:ascii="Verdana" w:hAnsi="Verdana"/>
          <w:sz w:val="20"/>
          <w:szCs w:val="20"/>
          <w:lang w:val="es-CO"/>
        </w:rPr>
        <w:lastRenderedPageBreak/>
        <w:t>requerida para</w:t>
      </w:r>
      <w:r w:rsidR="00917B79">
        <w:rPr>
          <w:rFonts w:ascii="Verdana" w:hAnsi="Verdana"/>
          <w:sz w:val="20"/>
          <w:szCs w:val="20"/>
          <w:lang w:val="es-CO"/>
        </w:rPr>
        <w:t xml:space="preserve"> declarar, no constituye una razón de fuerza mayor que justifique </w:t>
      </w:r>
      <w:r w:rsidR="005B66A7">
        <w:rPr>
          <w:rFonts w:ascii="Verdana" w:hAnsi="Verdana"/>
          <w:sz w:val="20"/>
          <w:szCs w:val="20"/>
          <w:lang w:val="es-CO"/>
        </w:rPr>
        <w:t xml:space="preserve">su </w:t>
      </w:r>
      <w:r w:rsidR="00917B79">
        <w:rPr>
          <w:rFonts w:ascii="Verdana" w:hAnsi="Verdana"/>
          <w:sz w:val="20"/>
          <w:szCs w:val="20"/>
          <w:lang w:val="es-CO"/>
        </w:rPr>
        <w:t xml:space="preserve">falta de comparecencia. </w:t>
      </w:r>
    </w:p>
    <w:p w:rsidR="009B03ED" w:rsidRPr="009B03ED" w:rsidRDefault="009B03ED" w:rsidP="009B03ED">
      <w:pPr>
        <w:pStyle w:val="ListParagraph"/>
        <w:tabs>
          <w:tab w:val="left" w:pos="567"/>
        </w:tabs>
        <w:spacing w:after="0" w:line="240" w:lineRule="auto"/>
        <w:ind w:left="0"/>
        <w:jc w:val="both"/>
        <w:rPr>
          <w:rFonts w:ascii="Times New Roman" w:hAnsi="Times New Roman" w:cs="Times New Roman"/>
          <w:sz w:val="20"/>
          <w:szCs w:val="20"/>
          <w:lang w:eastAsia="es-CR"/>
        </w:rPr>
      </w:pPr>
    </w:p>
    <w:p w:rsidR="009B03ED" w:rsidRPr="009B03ED" w:rsidRDefault="00917B79" w:rsidP="009B03ED">
      <w:pPr>
        <w:pStyle w:val="ListParagraph"/>
        <w:numPr>
          <w:ilvl w:val="0"/>
          <w:numId w:val="3"/>
        </w:numPr>
        <w:tabs>
          <w:tab w:val="left" w:pos="567"/>
        </w:tabs>
        <w:spacing w:after="0" w:line="240" w:lineRule="auto"/>
        <w:ind w:left="0" w:firstLine="0"/>
        <w:jc w:val="both"/>
        <w:rPr>
          <w:rFonts w:ascii="Times New Roman" w:hAnsi="Times New Roman" w:cs="Times New Roman"/>
          <w:sz w:val="20"/>
          <w:szCs w:val="20"/>
          <w:lang w:eastAsia="es-CR"/>
        </w:rPr>
      </w:pPr>
      <w:r w:rsidRPr="009B03ED">
        <w:rPr>
          <w:rFonts w:ascii="Verdana" w:hAnsi="Verdana"/>
          <w:sz w:val="20"/>
          <w:szCs w:val="20"/>
          <w:lang w:val="es-CO"/>
        </w:rPr>
        <w:t>Sin perjuicio de lo anterior, y en atención a que la Comisión y los representantes no se han opuesto a lo solicitado, así como a la utilidad de la declaración de la testigo</w:t>
      </w:r>
      <w:r w:rsidR="00E75813" w:rsidRPr="009B03ED">
        <w:rPr>
          <w:rFonts w:ascii="Verdana" w:hAnsi="Verdana"/>
          <w:sz w:val="20"/>
          <w:szCs w:val="20"/>
          <w:lang w:val="es-CO"/>
        </w:rPr>
        <w:t xml:space="preserve"> </w:t>
      </w:r>
      <w:r w:rsidR="00E75813" w:rsidRPr="009B03ED">
        <w:rPr>
          <w:rFonts w:ascii="Verdana" w:hAnsi="Verdana"/>
          <w:bCs/>
          <w:iCs/>
          <w:sz w:val="20"/>
          <w:szCs w:val="20"/>
        </w:rPr>
        <w:t>Ramírez García</w:t>
      </w:r>
      <w:r w:rsidRPr="009B03ED">
        <w:rPr>
          <w:rFonts w:ascii="Verdana" w:hAnsi="Verdana"/>
          <w:sz w:val="20"/>
          <w:szCs w:val="20"/>
          <w:lang w:val="es-CO"/>
        </w:rPr>
        <w:t xml:space="preserve">, esta Presidencia </w:t>
      </w:r>
      <w:r w:rsidR="00D765FD" w:rsidRPr="009B03ED">
        <w:rPr>
          <w:rFonts w:ascii="Verdana" w:hAnsi="Verdana"/>
          <w:sz w:val="20"/>
          <w:szCs w:val="20"/>
          <w:lang w:val="es-CO"/>
        </w:rPr>
        <w:t xml:space="preserve">dispone que </w:t>
      </w:r>
      <w:r w:rsidR="00E75813" w:rsidRPr="009B03ED">
        <w:rPr>
          <w:rFonts w:ascii="Verdana" w:hAnsi="Verdana"/>
          <w:sz w:val="20"/>
          <w:szCs w:val="20"/>
          <w:lang w:val="es-CO"/>
        </w:rPr>
        <w:t>su</w:t>
      </w:r>
      <w:r w:rsidR="00D765FD" w:rsidRPr="009B03ED">
        <w:rPr>
          <w:rFonts w:ascii="Verdana" w:hAnsi="Verdana"/>
          <w:sz w:val="20"/>
          <w:szCs w:val="20"/>
          <w:lang w:val="es-CO"/>
        </w:rPr>
        <w:t xml:space="preserve"> declaración sea recibida mediante afidávit. En tal virtud, se hace necesario fijar nuevos plazos para que el Estado haga llegar a la Corte el afidávit correspondiente a la declaración de la señora </w:t>
      </w:r>
      <w:r w:rsidR="00D765FD" w:rsidRPr="009B03ED">
        <w:rPr>
          <w:rFonts w:ascii="Verdana" w:hAnsi="Verdana"/>
          <w:bCs/>
          <w:iCs/>
          <w:sz w:val="20"/>
          <w:szCs w:val="20"/>
        </w:rPr>
        <w:t>Ramírez García</w:t>
      </w:r>
      <w:r w:rsidR="00D765FD" w:rsidRPr="009B03ED">
        <w:rPr>
          <w:rFonts w:ascii="Verdana" w:hAnsi="Verdana"/>
          <w:sz w:val="20"/>
          <w:szCs w:val="20"/>
          <w:lang w:val="es-CO"/>
        </w:rPr>
        <w:t>, así como para que los representantes presenten las preguntas correspondientes, según se indica en la parte resolutiva de la presente decisión.</w:t>
      </w:r>
      <w:r w:rsidR="00DF56FD" w:rsidRPr="009B03ED">
        <w:rPr>
          <w:rFonts w:ascii="Verdana" w:hAnsi="Verdana"/>
          <w:sz w:val="20"/>
          <w:szCs w:val="20"/>
          <w:lang w:val="es-CO"/>
        </w:rPr>
        <w:t xml:space="preserve"> </w:t>
      </w:r>
    </w:p>
    <w:p w:rsidR="009B03ED" w:rsidRPr="009B03ED" w:rsidRDefault="009B03ED" w:rsidP="009B03ED">
      <w:pPr>
        <w:pStyle w:val="ListParagraph"/>
        <w:rPr>
          <w:rFonts w:ascii="Verdana" w:hAnsi="Verdana"/>
          <w:sz w:val="20"/>
          <w:szCs w:val="20"/>
          <w:lang w:val="es-CO"/>
        </w:rPr>
      </w:pPr>
    </w:p>
    <w:p w:rsidR="00D943EA" w:rsidRPr="009B03ED" w:rsidRDefault="00D765FD" w:rsidP="009B03ED">
      <w:pPr>
        <w:pStyle w:val="ListParagraph"/>
        <w:numPr>
          <w:ilvl w:val="0"/>
          <w:numId w:val="3"/>
        </w:numPr>
        <w:tabs>
          <w:tab w:val="left" w:pos="567"/>
        </w:tabs>
        <w:spacing w:after="0" w:line="240" w:lineRule="auto"/>
        <w:ind w:left="0" w:firstLine="0"/>
        <w:jc w:val="both"/>
        <w:rPr>
          <w:rFonts w:ascii="Times New Roman" w:hAnsi="Times New Roman" w:cs="Times New Roman"/>
          <w:sz w:val="20"/>
          <w:szCs w:val="20"/>
          <w:lang w:eastAsia="es-CR"/>
        </w:rPr>
      </w:pPr>
      <w:r w:rsidRPr="009B03ED">
        <w:rPr>
          <w:rFonts w:ascii="Verdana" w:hAnsi="Verdana"/>
          <w:sz w:val="20"/>
          <w:szCs w:val="20"/>
          <w:lang w:val="es-CO"/>
        </w:rPr>
        <w:t xml:space="preserve">En relación con lo anterior, y en atención al principio de igualdad de armas, esta Presidencia considera </w:t>
      </w:r>
      <w:r w:rsidR="009B03ED">
        <w:rPr>
          <w:rFonts w:ascii="Verdana" w:hAnsi="Verdana"/>
          <w:sz w:val="20"/>
          <w:szCs w:val="20"/>
          <w:lang w:val="es-CO"/>
        </w:rPr>
        <w:t>razonable</w:t>
      </w:r>
      <w:r w:rsidRPr="009B03ED">
        <w:rPr>
          <w:rFonts w:ascii="Verdana" w:hAnsi="Verdana"/>
          <w:sz w:val="20"/>
          <w:szCs w:val="20"/>
          <w:lang w:val="es-CO"/>
        </w:rPr>
        <w:t xml:space="preserve"> acceder a la segunda solicitud del Estado, en virtud de lo </w:t>
      </w:r>
      <w:r w:rsidR="009B03ED">
        <w:rPr>
          <w:rFonts w:ascii="Verdana" w:hAnsi="Verdana"/>
          <w:sz w:val="20"/>
          <w:szCs w:val="20"/>
          <w:lang w:val="es-CO"/>
        </w:rPr>
        <w:t xml:space="preserve">cual </w:t>
      </w:r>
      <w:r w:rsidRPr="009B03ED">
        <w:rPr>
          <w:rFonts w:ascii="Verdana" w:hAnsi="Verdana"/>
          <w:sz w:val="20"/>
          <w:szCs w:val="20"/>
          <w:lang w:val="es-CO"/>
        </w:rPr>
        <w:t xml:space="preserve">se convoca al perito </w:t>
      </w:r>
      <w:r w:rsidRPr="009B03ED">
        <w:rPr>
          <w:rFonts w:ascii="Verdana" w:hAnsi="Verdana"/>
          <w:bCs/>
          <w:iCs/>
          <w:sz w:val="20"/>
          <w:szCs w:val="20"/>
        </w:rPr>
        <w:t>Carlos Arévalo</w:t>
      </w:r>
      <w:r w:rsidRPr="009B03ED">
        <w:rPr>
          <w:rFonts w:ascii="Verdana" w:hAnsi="Verdana"/>
          <w:sz w:val="20"/>
          <w:szCs w:val="20"/>
          <w:lang w:val="es-CO"/>
        </w:rPr>
        <w:t xml:space="preserve"> a rendir su declaración en la audiencia pública. </w:t>
      </w:r>
    </w:p>
    <w:p w:rsidR="00917B79" w:rsidRPr="00D765FD" w:rsidRDefault="00917B79" w:rsidP="00D765FD">
      <w:pPr>
        <w:pStyle w:val="ListParagraph"/>
        <w:tabs>
          <w:tab w:val="left" w:pos="567"/>
        </w:tabs>
        <w:spacing w:after="0" w:line="240" w:lineRule="auto"/>
        <w:ind w:left="0"/>
        <w:jc w:val="both"/>
        <w:rPr>
          <w:rFonts w:ascii="Verdana" w:hAnsi="Verdana"/>
          <w:sz w:val="20"/>
          <w:szCs w:val="20"/>
          <w:lang w:val="es-CO"/>
        </w:rPr>
      </w:pPr>
    </w:p>
    <w:p w:rsidR="00356DEE" w:rsidRDefault="00356DEE"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356DEE" w:rsidRDefault="00917B79" w:rsidP="00917B79">
      <w:pPr>
        <w:widowControl w:val="0"/>
        <w:tabs>
          <w:tab w:val="left" w:pos="0"/>
          <w:tab w:val="left" w:pos="567"/>
        </w:tabs>
        <w:autoSpaceDE w:val="0"/>
        <w:autoSpaceDN w:val="0"/>
        <w:adjustRightInd w:val="0"/>
        <w:spacing w:after="0" w:line="240" w:lineRule="auto"/>
        <w:ind w:left="567" w:right="22"/>
        <w:jc w:val="both"/>
        <w:rPr>
          <w:rFonts w:ascii="Verdana" w:hAnsi="Verdana"/>
          <w:bCs/>
          <w:iCs/>
          <w:sz w:val="20"/>
          <w:szCs w:val="20"/>
        </w:rPr>
      </w:pPr>
      <w:r w:rsidRPr="00CC0733">
        <w:rPr>
          <w:rFonts w:ascii="Verdana" w:hAnsi="Verdana"/>
          <w:b/>
          <w:i/>
          <w:sz w:val="20"/>
          <w:szCs w:val="24"/>
        </w:rPr>
        <w:t xml:space="preserve">Solicitud de </w:t>
      </w:r>
      <w:r>
        <w:rPr>
          <w:rFonts w:ascii="Verdana" w:hAnsi="Verdana"/>
          <w:b/>
          <w:i/>
          <w:sz w:val="20"/>
          <w:szCs w:val="24"/>
        </w:rPr>
        <w:t xml:space="preserve">sustitución de perito </w:t>
      </w:r>
    </w:p>
    <w:p w:rsidR="00356DEE" w:rsidRDefault="00356DEE"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356DEE" w:rsidRDefault="00D765FD" w:rsidP="00D765FD">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AE659B">
        <w:rPr>
          <w:rFonts w:ascii="Verdana" w:hAnsi="Verdana"/>
          <w:sz w:val="20"/>
          <w:szCs w:val="20"/>
          <w:lang w:val="es-CO"/>
        </w:rPr>
        <w:t>Por</w:t>
      </w:r>
      <w:r w:rsidRPr="00AE659B">
        <w:rPr>
          <w:rFonts w:ascii="Verdana" w:hAnsi="Verdana"/>
          <w:bCs/>
          <w:iCs/>
          <w:sz w:val="20"/>
          <w:szCs w:val="20"/>
        </w:rPr>
        <w:t xml:space="preserve"> otro lado, el Estado </w:t>
      </w:r>
      <w:r w:rsidR="00AE659B" w:rsidRPr="00AE659B">
        <w:rPr>
          <w:rFonts w:ascii="Verdana" w:hAnsi="Verdana"/>
          <w:bCs/>
          <w:iCs/>
          <w:sz w:val="20"/>
          <w:szCs w:val="20"/>
        </w:rPr>
        <w:t xml:space="preserve">señaló que, mediante </w:t>
      </w:r>
      <w:r w:rsidRPr="00AE659B">
        <w:rPr>
          <w:rFonts w:ascii="Verdana" w:hAnsi="Verdana"/>
          <w:bCs/>
          <w:iCs/>
          <w:sz w:val="20"/>
          <w:szCs w:val="20"/>
        </w:rPr>
        <w:t xml:space="preserve">comunicación </w:t>
      </w:r>
      <w:r w:rsidR="007C5C1D">
        <w:rPr>
          <w:rFonts w:ascii="Verdana" w:hAnsi="Verdana"/>
          <w:bCs/>
          <w:iCs/>
          <w:sz w:val="20"/>
          <w:szCs w:val="20"/>
        </w:rPr>
        <w:t>de</w:t>
      </w:r>
      <w:r w:rsidR="00AE659B" w:rsidRPr="00AE659B">
        <w:rPr>
          <w:rFonts w:ascii="Verdana" w:hAnsi="Verdana"/>
          <w:bCs/>
          <w:iCs/>
          <w:sz w:val="20"/>
          <w:szCs w:val="20"/>
        </w:rPr>
        <w:t xml:space="preserve"> 27 de diciembre de 2017, el p</w:t>
      </w:r>
      <w:r w:rsidRPr="00AE659B">
        <w:rPr>
          <w:rFonts w:ascii="Verdana" w:hAnsi="Verdana"/>
          <w:bCs/>
          <w:iCs/>
          <w:sz w:val="20"/>
          <w:szCs w:val="20"/>
        </w:rPr>
        <w:t>erito</w:t>
      </w:r>
      <w:r w:rsidR="00AE659B" w:rsidRPr="00AE659B">
        <w:rPr>
          <w:rFonts w:ascii="Verdana" w:hAnsi="Verdana"/>
          <w:bCs/>
          <w:iCs/>
          <w:sz w:val="20"/>
          <w:szCs w:val="20"/>
        </w:rPr>
        <w:t xml:space="preserve"> Jorge Mauricio Cardona Angarita, convocado a declarar mediante afidávit, </w:t>
      </w:r>
      <w:r w:rsidRPr="00AE659B">
        <w:rPr>
          <w:rFonts w:ascii="Verdana" w:hAnsi="Verdana"/>
          <w:bCs/>
          <w:iCs/>
          <w:sz w:val="20"/>
          <w:szCs w:val="20"/>
        </w:rPr>
        <w:t xml:space="preserve">manifestó </w:t>
      </w:r>
      <w:r w:rsidR="00AE659B" w:rsidRPr="00AE659B">
        <w:rPr>
          <w:rFonts w:ascii="Verdana" w:hAnsi="Verdana"/>
          <w:bCs/>
          <w:iCs/>
          <w:sz w:val="20"/>
          <w:szCs w:val="20"/>
        </w:rPr>
        <w:t>“</w:t>
      </w:r>
      <w:r w:rsidRPr="00AE659B">
        <w:rPr>
          <w:rFonts w:ascii="Verdana" w:hAnsi="Verdana"/>
          <w:bCs/>
          <w:iCs/>
          <w:sz w:val="20"/>
          <w:szCs w:val="20"/>
        </w:rPr>
        <w:t>su incapacidad para brin</w:t>
      </w:r>
      <w:r w:rsidR="00AE659B" w:rsidRPr="00AE659B">
        <w:rPr>
          <w:rFonts w:ascii="Verdana" w:hAnsi="Verdana"/>
          <w:bCs/>
          <w:iCs/>
          <w:sz w:val="20"/>
          <w:szCs w:val="20"/>
        </w:rPr>
        <w:t>dar el dictamen solicitado […]</w:t>
      </w:r>
      <w:r w:rsidRPr="00AE659B">
        <w:rPr>
          <w:rFonts w:ascii="Verdana" w:hAnsi="Verdana"/>
          <w:bCs/>
          <w:iCs/>
          <w:sz w:val="20"/>
          <w:szCs w:val="20"/>
        </w:rPr>
        <w:t xml:space="preserve"> a causa de</w:t>
      </w:r>
      <w:r w:rsidR="00AE659B" w:rsidRPr="00AE659B">
        <w:rPr>
          <w:rFonts w:ascii="Verdana" w:hAnsi="Verdana"/>
          <w:bCs/>
          <w:iCs/>
          <w:sz w:val="20"/>
          <w:szCs w:val="20"/>
        </w:rPr>
        <w:t xml:space="preserve"> </w:t>
      </w:r>
      <w:r w:rsidRPr="00AE659B">
        <w:rPr>
          <w:rFonts w:ascii="Verdana" w:hAnsi="Verdana"/>
          <w:bCs/>
          <w:iCs/>
          <w:sz w:val="20"/>
          <w:szCs w:val="20"/>
        </w:rPr>
        <w:t>compromisos académicos con que debe cumplir de manera concomitante con el</w:t>
      </w:r>
      <w:r w:rsidR="00AE659B" w:rsidRPr="00AE659B">
        <w:rPr>
          <w:rFonts w:ascii="Verdana" w:hAnsi="Verdana"/>
          <w:bCs/>
          <w:iCs/>
          <w:sz w:val="20"/>
          <w:szCs w:val="20"/>
        </w:rPr>
        <w:t xml:space="preserve"> </w:t>
      </w:r>
      <w:r w:rsidRPr="00AE659B">
        <w:rPr>
          <w:rFonts w:ascii="Verdana" w:hAnsi="Verdana"/>
          <w:bCs/>
          <w:iCs/>
          <w:sz w:val="20"/>
          <w:szCs w:val="20"/>
        </w:rPr>
        <w:t>periodo durante el cual pre</w:t>
      </w:r>
      <w:r w:rsidR="00AE659B" w:rsidRPr="00AE659B">
        <w:rPr>
          <w:rFonts w:ascii="Verdana" w:hAnsi="Verdana"/>
          <w:bCs/>
          <w:iCs/>
          <w:sz w:val="20"/>
          <w:szCs w:val="20"/>
        </w:rPr>
        <w:t>pararía el peritaje solicitado[, por lo cual]</w:t>
      </w:r>
      <w:r w:rsidRPr="00AE659B">
        <w:rPr>
          <w:rFonts w:ascii="Verdana" w:hAnsi="Verdana"/>
          <w:bCs/>
          <w:iCs/>
          <w:sz w:val="20"/>
          <w:szCs w:val="20"/>
        </w:rPr>
        <w:t xml:space="preserve"> no le</w:t>
      </w:r>
      <w:r w:rsidR="00AE659B" w:rsidRPr="00AE659B">
        <w:rPr>
          <w:rFonts w:ascii="Verdana" w:hAnsi="Verdana"/>
          <w:bCs/>
          <w:iCs/>
          <w:sz w:val="20"/>
          <w:szCs w:val="20"/>
        </w:rPr>
        <w:t xml:space="preserve"> </w:t>
      </w:r>
      <w:r w:rsidRPr="00AE659B">
        <w:rPr>
          <w:rFonts w:ascii="Verdana" w:hAnsi="Verdana"/>
          <w:bCs/>
          <w:iCs/>
          <w:sz w:val="20"/>
          <w:szCs w:val="20"/>
        </w:rPr>
        <w:t>es posible elaborar dicho documento</w:t>
      </w:r>
      <w:r w:rsidR="00AE659B" w:rsidRPr="00AE659B">
        <w:rPr>
          <w:rFonts w:ascii="Verdana" w:hAnsi="Verdana"/>
          <w:bCs/>
          <w:iCs/>
          <w:sz w:val="20"/>
          <w:szCs w:val="20"/>
        </w:rPr>
        <w:t>”</w:t>
      </w:r>
      <w:r w:rsidRPr="00AE659B">
        <w:rPr>
          <w:rFonts w:ascii="Verdana" w:hAnsi="Verdana"/>
          <w:bCs/>
          <w:iCs/>
          <w:sz w:val="20"/>
          <w:szCs w:val="20"/>
        </w:rPr>
        <w:t xml:space="preserve">. </w:t>
      </w:r>
      <w:r w:rsidR="00AE659B" w:rsidRPr="00AE659B">
        <w:rPr>
          <w:rFonts w:ascii="Verdana" w:hAnsi="Verdana"/>
          <w:bCs/>
          <w:iCs/>
          <w:sz w:val="20"/>
          <w:szCs w:val="20"/>
        </w:rPr>
        <w:t xml:space="preserve">El Estado remitió la </w:t>
      </w:r>
      <w:r w:rsidRPr="00AE659B">
        <w:rPr>
          <w:rFonts w:ascii="Verdana" w:hAnsi="Verdana"/>
          <w:bCs/>
          <w:iCs/>
          <w:sz w:val="20"/>
          <w:szCs w:val="20"/>
        </w:rPr>
        <w:t>comunicación</w:t>
      </w:r>
      <w:r w:rsidR="00AE659B" w:rsidRPr="00AE659B">
        <w:rPr>
          <w:rFonts w:ascii="Verdana" w:hAnsi="Verdana"/>
          <w:bCs/>
          <w:iCs/>
          <w:sz w:val="20"/>
          <w:szCs w:val="20"/>
        </w:rPr>
        <w:t xml:space="preserve"> del señor Cardona, en la cual manifestó que, como estudiante de un doctorado, fue aceptado en un instituto de una universidad en Chile para realizar una investigación y, adicionalmente, que realizará una pasantía en un instituto militar de ese país como compromiso derivado de ser becario del Ejército colombiano. Por ello, </w:t>
      </w:r>
      <w:r w:rsidRPr="00AE659B">
        <w:rPr>
          <w:rFonts w:ascii="Verdana" w:hAnsi="Verdana"/>
          <w:bCs/>
          <w:iCs/>
          <w:sz w:val="20"/>
          <w:szCs w:val="20"/>
        </w:rPr>
        <w:t xml:space="preserve">el Estado </w:t>
      </w:r>
      <w:r w:rsidR="00AE659B" w:rsidRPr="00AE659B">
        <w:rPr>
          <w:rFonts w:ascii="Verdana" w:hAnsi="Verdana"/>
          <w:bCs/>
          <w:iCs/>
          <w:sz w:val="20"/>
          <w:szCs w:val="20"/>
        </w:rPr>
        <w:t xml:space="preserve">solicitó </w:t>
      </w:r>
      <w:r w:rsidRPr="00AE659B">
        <w:rPr>
          <w:rFonts w:ascii="Verdana" w:hAnsi="Verdana"/>
          <w:bCs/>
          <w:iCs/>
          <w:sz w:val="20"/>
          <w:szCs w:val="20"/>
        </w:rPr>
        <w:t>que</w:t>
      </w:r>
      <w:r w:rsidR="00AE659B" w:rsidRPr="00AE659B">
        <w:rPr>
          <w:rFonts w:ascii="Verdana" w:hAnsi="Verdana"/>
          <w:bCs/>
          <w:iCs/>
          <w:sz w:val="20"/>
          <w:szCs w:val="20"/>
        </w:rPr>
        <w:t>,</w:t>
      </w:r>
      <w:r w:rsidRPr="00AE659B">
        <w:rPr>
          <w:rFonts w:ascii="Verdana" w:hAnsi="Verdana"/>
          <w:bCs/>
          <w:iCs/>
          <w:sz w:val="20"/>
          <w:szCs w:val="20"/>
        </w:rPr>
        <w:t xml:space="preserve"> en atención a la necesidad de contar con una prueba que verse sobre </w:t>
      </w:r>
      <w:r w:rsidR="00AE659B" w:rsidRPr="00AE659B">
        <w:rPr>
          <w:rFonts w:ascii="Verdana" w:hAnsi="Verdana"/>
          <w:bCs/>
          <w:iCs/>
          <w:sz w:val="20"/>
          <w:szCs w:val="20"/>
        </w:rPr>
        <w:t>el</w:t>
      </w:r>
      <w:r w:rsidRPr="00AE659B">
        <w:rPr>
          <w:rFonts w:ascii="Verdana" w:hAnsi="Verdana"/>
          <w:bCs/>
          <w:iCs/>
          <w:sz w:val="20"/>
          <w:szCs w:val="20"/>
        </w:rPr>
        <w:t xml:space="preserve"> tema</w:t>
      </w:r>
      <w:r w:rsidR="00AE659B" w:rsidRPr="00AE659B">
        <w:rPr>
          <w:rFonts w:ascii="Verdana" w:hAnsi="Verdana"/>
          <w:bCs/>
          <w:iCs/>
          <w:sz w:val="20"/>
          <w:szCs w:val="20"/>
        </w:rPr>
        <w:t xml:space="preserve"> para el cual fue convocado a declarar</w:t>
      </w:r>
      <w:r w:rsidRPr="00AE659B">
        <w:rPr>
          <w:rFonts w:ascii="Verdana" w:hAnsi="Verdana"/>
          <w:bCs/>
          <w:iCs/>
          <w:sz w:val="20"/>
          <w:szCs w:val="20"/>
        </w:rPr>
        <w:t>,</w:t>
      </w:r>
      <w:r w:rsidR="00AE659B" w:rsidRPr="00AE659B">
        <w:rPr>
          <w:rFonts w:ascii="Verdana" w:hAnsi="Verdana"/>
          <w:bCs/>
          <w:iCs/>
          <w:sz w:val="20"/>
          <w:szCs w:val="20"/>
        </w:rPr>
        <w:t xml:space="preserve"> se </w:t>
      </w:r>
      <w:r w:rsidRPr="00AE659B">
        <w:rPr>
          <w:rFonts w:ascii="Verdana" w:hAnsi="Verdana"/>
          <w:bCs/>
          <w:iCs/>
          <w:sz w:val="20"/>
          <w:szCs w:val="20"/>
        </w:rPr>
        <w:t xml:space="preserve">permita la sustitución del </w:t>
      </w:r>
      <w:r w:rsidR="00AE659B" w:rsidRPr="00AE659B">
        <w:rPr>
          <w:rFonts w:ascii="Verdana" w:hAnsi="Verdana"/>
          <w:bCs/>
          <w:iCs/>
          <w:sz w:val="20"/>
          <w:szCs w:val="20"/>
        </w:rPr>
        <w:t>p</w:t>
      </w:r>
      <w:r w:rsidRPr="00AE659B">
        <w:rPr>
          <w:rFonts w:ascii="Verdana" w:hAnsi="Verdana"/>
          <w:bCs/>
          <w:iCs/>
          <w:sz w:val="20"/>
          <w:szCs w:val="20"/>
        </w:rPr>
        <w:t xml:space="preserve">erito por </w:t>
      </w:r>
      <w:r w:rsidR="00AE659B" w:rsidRPr="00AE659B">
        <w:rPr>
          <w:rFonts w:ascii="Verdana" w:hAnsi="Verdana"/>
          <w:bCs/>
          <w:iCs/>
          <w:sz w:val="20"/>
          <w:szCs w:val="20"/>
        </w:rPr>
        <w:t xml:space="preserve">una declaración </w:t>
      </w:r>
      <w:r w:rsidRPr="00AE659B">
        <w:rPr>
          <w:rFonts w:ascii="Verdana" w:hAnsi="Verdana"/>
          <w:bCs/>
          <w:iCs/>
          <w:sz w:val="20"/>
          <w:szCs w:val="20"/>
        </w:rPr>
        <w:t>del</w:t>
      </w:r>
      <w:r w:rsidR="00AE659B" w:rsidRPr="00AE659B">
        <w:rPr>
          <w:rFonts w:ascii="Verdana" w:hAnsi="Verdana"/>
          <w:bCs/>
          <w:iCs/>
          <w:sz w:val="20"/>
          <w:szCs w:val="20"/>
        </w:rPr>
        <w:t xml:space="preserve"> señor Diego Mauricio Cortés Villate, quien contaría </w:t>
      </w:r>
      <w:r w:rsidRPr="00AE659B">
        <w:rPr>
          <w:rFonts w:ascii="Verdana" w:hAnsi="Verdana"/>
          <w:bCs/>
          <w:iCs/>
          <w:sz w:val="20"/>
          <w:szCs w:val="20"/>
        </w:rPr>
        <w:t xml:space="preserve">con calidades académicas y personales similares que lo hacen apto para sustituirlo en </w:t>
      </w:r>
      <w:r w:rsidR="00AE659B" w:rsidRPr="00AE659B">
        <w:rPr>
          <w:rFonts w:ascii="Verdana" w:hAnsi="Verdana"/>
          <w:bCs/>
          <w:iCs/>
          <w:sz w:val="20"/>
          <w:szCs w:val="20"/>
        </w:rPr>
        <w:t>la rendición de</w:t>
      </w:r>
      <w:r w:rsidRPr="00AE659B">
        <w:rPr>
          <w:rFonts w:ascii="Verdana" w:hAnsi="Verdana"/>
          <w:bCs/>
          <w:iCs/>
          <w:sz w:val="20"/>
          <w:szCs w:val="20"/>
        </w:rPr>
        <w:t xml:space="preserve"> la pericia. </w:t>
      </w:r>
      <w:r w:rsidR="00AE659B" w:rsidRPr="00AE659B">
        <w:rPr>
          <w:rFonts w:ascii="Verdana" w:hAnsi="Verdana"/>
          <w:bCs/>
          <w:iCs/>
          <w:sz w:val="20"/>
          <w:szCs w:val="20"/>
        </w:rPr>
        <w:t>El Estado adjuntó</w:t>
      </w:r>
      <w:r w:rsidRPr="00AE659B">
        <w:rPr>
          <w:rFonts w:ascii="Verdana" w:hAnsi="Verdana"/>
          <w:bCs/>
          <w:iCs/>
          <w:sz w:val="20"/>
          <w:szCs w:val="20"/>
        </w:rPr>
        <w:t xml:space="preserve"> la</w:t>
      </w:r>
      <w:r w:rsidR="00AE659B" w:rsidRPr="00AE659B">
        <w:rPr>
          <w:rFonts w:ascii="Verdana" w:hAnsi="Verdana"/>
          <w:bCs/>
          <w:iCs/>
          <w:sz w:val="20"/>
          <w:szCs w:val="20"/>
        </w:rPr>
        <w:t xml:space="preserve"> </w:t>
      </w:r>
      <w:r w:rsidRPr="00AE659B">
        <w:rPr>
          <w:rFonts w:ascii="Verdana" w:hAnsi="Verdana"/>
          <w:bCs/>
          <w:iCs/>
          <w:sz w:val="20"/>
          <w:szCs w:val="20"/>
        </w:rPr>
        <w:t xml:space="preserve">hoja de vida del </w:t>
      </w:r>
      <w:r w:rsidR="00AE659B" w:rsidRPr="00AE659B">
        <w:rPr>
          <w:rFonts w:ascii="Verdana" w:hAnsi="Verdana"/>
          <w:bCs/>
          <w:iCs/>
          <w:sz w:val="20"/>
          <w:szCs w:val="20"/>
        </w:rPr>
        <w:t xml:space="preserve">señor Cortés </w:t>
      </w:r>
      <w:r w:rsidRPr="00AE659B">
        <w:rPr>
          <w:rFonts w:ascii="Verdana" w:hAnsi="Verdana"/>
          <w:bCs/>
          <w:iCs/>
          <w:sz w:val="20"/>
          <w:szCs w:val="20"/>
        </w:rPr>
        <w:t xml:space="preserve">para que la Corte </w:t>
      </w:r>
      <w:r w:rsidR="005B66A7">
        <w:rPr>
          <w:rFonts w:ascii="Verdana" w:hAnsi="Verdana"/>
          <w:bCs/>
          <w:iCs/>
          <w:sz w:val="20"/>
          <w:szCs w:val="20"/>
        </w:rPr>
        <w:t>evalúe</w:t>
      </w:r>
      <w:r w:rsidRPr="00AE659B">
        <w:rPr>
          <w:rFonts w:ascii="Verdana" w:hAnsi="Verdana"/>
          <w:bCs/>
          <w:iCs/>
          <w:sz w:val="20"/>
          <w:szCs w:val="20"/>
        </w:rPr>
        <w:t xml:space="preserve"> su idoneidad. </w:t>
      </w:r>
    </w:p>
    <w:p w:rsidR="007E5716" w:rsidRDefault="007E5716" w:rsidP="007E5716">
      <w:pPr>
        <w:pStyle w:val="ListParagraph"/>
        <w:tabs>
          <w:tab w:val="left" w:pos="567"/>
        </w:tabs>
        <w:spacing w:after="0" w:line="240" w:lineRule="auto"/>
        <w:ind w:left="0"/>
        <w:jc w:val="both"/>
        <w:rPr>
          <w:rFonts w:ascii="Verdana" w:hAnsi="Verdana"/>
          <w:bCs/>
          <w:iCs/>
          <w:sz w:val="20"/>
          <w:szCs w:val="20"/>
        </w:rPr>
      </w:pPr>
    </w:p>
    <w:p w:rsidR="009235CB" w:rsidRDefault="007E5716" w:rsidP="009235CB">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7E5716">
        <w:rPr>
          <w:rFonts w:ascii="Verdana" w:hAnsi="Verdana"/>
          <w:bCs/>
          <w:iCs/>
          <w:sz w:val="20"/>
          <w:szCs w:val="20"/>
        </w:rPr>
        <w:t xml:space="preserve">La Comisión manifestó que no tiene observaciones que formular al respecto. Por su parte, los representantes consideraron que la solicitud de sustitución es improcedente y debe ser rechazada. Manifestaron que la justificación esbozada por el perito y el Estado no es suficiente para admitir la sustitución, pues un viaje académico </w:t>
      </w:r>
      <w:r w:rsidR="00301135">
        <w:rPr>
          <w:rFonts w:ascii="Verdana" w:hAnsi="Verdana"/>
          <w:bCs/>
          <w:iCs/>
          <w:sz w:val="20"/>
          <w:szCs w:val="20"/>
        </w:rPr>
        <w:t xml:space="preserve">o </w:t>
      </w:r>
      <w:r w:rsidR="00301135" w:rsidRPr="007E5716">
        <w:rPr>
          <w:rFonts w:ascii="Verdana" w:hAnsi="Verdana"/>
          <w:bCs/>
          <w:iCs/>
          <w:sz w:val="20"/>
          <w:szCs w:val="20"/>
        </w:rPr>
        <w:t xml:space="preserve">un compromiso derivado de su empleador </w:t>
      </w:r>
      <w:r w:rsidR="005B66A7">
        <w:rPr>
          <w:rFonts w:ascii="Verdana" w:hAnsi="Verdana"/>
          <w:bCs/>
          <w:iCs/>
          <w:sz w:val="20"/>
          <w:szCs w:val="20"/>
        </w:rPr>
        <w:t>como</w:t>
      </w:r>
      <w:r w:rsidR="00301135" w:rsidRPr="007E5716">
        <w:rPr>
          <w:rFonts w:ascii="Verdana" w:hAnsi="Verdana"/>
          <w:bCs/>
          <w:iCs/>
          <w:sz w:val="20"/>
          <w:szCs w:val="20"/>
        </w:rPr>
        <w:t xml:space="preserve"> becario del Ejército </w:t>
      </w:r>
      <w:r w:rsidRPr="007E5716">
        <w:rPr>
          <w:rFonts w:ascii="Verdana" w:hAnsi="Verdana"/>
          <w:bCs/>
          <w:iCs/>
          <w:sz w:val="20"/>
          <w:szCs w:val="20"/>
        </w:rPr>
        <w:t>no configura</w:t>
      </w:r>
      <w:r w:rsidR="00301135">
        <w:rPr>
          <w:rFonts w:ascii="Verdana" w:hAnsi="Verdana"/>
          <w:bCs/>
          <w:iCs/>
          <w:sz w:val="20"/>
          <w:szCs w:val="20"/>
        </w:rPr>
        <w:t>n</w:t>
      </w:r>
      <w:r w:rsidRPr="007E5716">
        <w:rPr>
          <w:rFonts w:ascii="Verdana" w:hAnsi="Verdana"/>
          <w:bCs/>
          <w:iCs/>
          <w:sz w:val="20"/>
          <w:szCs w:val="20"/>
        </w:rPr>
        <w:t xml:space="preserve"> un hecho excepcional o imprevisible </w:t>
      </w:r>
      <w:r w:rsidR="005B66A7">
        <w:rPr>
          <w:rFonts w:ascii="Verdana" w:hAnsi="Verdana"/>
          <w:bCs/>
          <w:iCs/>
          <w:sz w:val="20"/>
          <w:szCs w:val="20"/>
        </w:rPr>
        <w:t xml:space="preserve">que soporte una sustitución </w:t>
      </w:r>
      <w:r w:rsidR="00200080">
        <w:rPr>
          <w:rFonts w:ascii="Verdana" w:hAnsi="Verdana"/>
          <w:bCs/>
          <w:iCs/>
          <w:sz w:val="20"/>
          <w:szCs w:val="20"/>
        </w:rPr>
        <w:t>de perito en los términos de</w:t>
      </w:r>
      <w:r w:rsidR="00301135">
        <w:rPr>
          <w:rFonts w:ascii="Verdana" w:hAnsi="Verdana"/>
          <w:bCs/>
          <w:iCs/>
          <w:sz w:val="20"/>
          <w:szCs w:val="20"/>
        </w:rPr>
        <w:t>l artículo 49 del Reglamento</w:t>
      </w:r>
      <w:r w:rsidR="005B66A7">
        <w:rPr>
          <w:rFonts w:ascii="Verdana" w:hAnsi="Verdana"/>
          <w:bCs/>
          <w:iCs/>
          <w:sz w:val="20"/>
          <w:szCs w:val="20"/>
        </w:rPr>
        <w:t xml:space="preserve">. Señalaron que esas no </w:t>
      </w:r>
      <w:r w:rsidR="00301135">
        <w:rPr>
          <w:rFonts w:ascii="Verdana" w:hAnsi="Verdana"/>
          <w:bCs/>
          <w:iCs/>
          <w:sz w:val="20"/>
          <w:szCs w:val="20"/>
        </w:rPr>
        <w:t xml:space="preserve">son </w:t>
      </w:r>
      <w:r w:rsidRPr="007E5716">
        <w:rPr>
          <w:rFonts w:ascii="Verdana" w:hAnsi="Verdana"/>
          <w:bCs/>
          <w:iCs/>
          <w:sz w:val="20"/>
          <w:szCs w:val="20"/>
        </w:rPr>
        <w:t>circun</w:t>
      </w:r>
      <w:r w:rsidR="009B03ED">
        <w:rPr>
          <w:rFonts w:ascii="Verdana" w:hAnsi="Verdana"/>
          <w:bCs/>
          <w:iCs/>
          <w:sz w:val="20"/>
          <w:szCs w:val="20"/>
        </w:rPr>
        <w:t xml:space="preserve">stancias sorpresivas, </w:t>
      </w:r>
      <w:r w:rsidRPr="007E5716">
        <w:rPr>
          <w:rFonts w:ascii="Verdana" w:hAnsi="Verdana"/>
          <w:bCs/>
          <w:iCs/>
          <w:sz w:val="20"/>
          <w:szCs w:val="20"/>
        </w:rPr>
        <w:t>por lo que no es aceptable que</w:t>
      </w:r>
      <w:r w:rsidR="00301135">
        <w:rPr>
          <w:rFonts w:ascii="Verdana" w:hAnsi="Verdana"/>
          <w:bCs/>
          <w:iCs/>
          <w:sz w:val="20"/>
          <w:szCs w:val="20"/>
        </w:rPr>
        <w:t>,</w:t>
      </w:r>
      <w:r w:rsidRPr="007E5716">
        <w:rPr>
          <w:rFonts w:ascii="Verdana" w:hAnsi="Verdana"/>
          <w:bCs/>
          <w:iCs/>
          <w:sz w:val="20"/>
          <w:szCs w:val="20"/>
        </w:rPr>
        <w:t xml:space="preserve"> en postrimerías del plazo concedido para la entrega del dictamen, se aludan estas situaciones completamente previsibles para manifestar la imposibilidad de cumplir con el mandato de la Corte. Además, los representantes consideraron que la simple mención del Estado</w:t>
      </w:r>
      <w:r w:rsidR="00301135">
        <w:rPr>
          <w:rFonts w:ascii="Verdana" w:hAnsi="Verdana"/>
          <w:bCs/>
          <w:iCs/>
          <w:sz w:val="20"/>
          <w:szCs w:val="20"/>
        </w:rPr>
        <w:t>,</w:t>
      </w:r>
      <w:r w:rsidRPr="007E5716">
        <w:rPr>
          <w:rFonts w:ascii="Verdana" w:hAnsi="Verdana"/>
          <w:bCs/>
          <w:iCs/>
          <w:sz w:val="20"/>
          <w:szCs w:val="20"/>
        </w:rPr>
        <w:t xml:space="preserve"> en cuanto a que el nuevo perito propuesto tiene las mismas calidades académicas y personales del perito aceptado</w:t>
      </w:r>
      <w:r w:rsidR="00301135">
        <w:rPr>
          <w:rFonts w:ascii="Verdana" w:hAnsi="Verdana"/>
          <w:bCs/>
          <w:iCs/>
          <w:sz w:val="20"/>
          <w:szCs w:val="20"/>
        </w:rPr>
        <w:t>,</w:t>
      </w:r>
      <w:r w:rsidRPr="007E5716">
        <w:rPr>
          <w:rFonts w:ascii="Verdana" w:hAnsi="Verdana"/>
          <w:bCs/>
          <w:iCs/>
          <w:sz w:val="20"/>
          <w:szCs w:val="20"/>
        </w:rPr>
        <w:t xml:space="preserve"> no es una razón fundada para la solicitud pues, por el contrario, se colige que la experiencia y recorrido como académico en historia y doctrina militar del señor Cardona no es idéntica ni similar a la del señor Cortés, es decir, </w:t>
      </w:r>
      <w:r w:rsidR="009B03ED">
        <w:rPr>
          <w:rFonts w:ascii="Verdana" w:hAnsi="Verdana"/>
          <w:bCs/>
          <w:iCs/>
          <w:sz w:val="20"/>
          <w:szCs w:val="20"/>
        </w:rPr>
        <w:t xml:space="preserve">éste </w:t>
      </w:r>
      <w:r w:rsidRPr="007E5716">
        <w:rPr>
          <w:rFonts w:ascii="Verdana" w:hAnsi="Verdana"/>
          <w:bCs/>
          <w:iCs/>
          <w:sz w:val="20"/>
          <w:szCs w:val="20"/>
        </w:rPr>
        <w:t xml:space="preserve">carece de la suficiente formación académica para rendir el dictamen, razón por la cual tampoco es procedente la sustitución. De manera subsidiaria, solicitaron que, en caso de aceptarse la solicitud, se conceda un plazo adicional para que </w:t>
      </w:r>
      <w:r w:rsidR="009235CB">
        <w:rPr>
          <w:rFonts w:ascii="Verdana" w:hAnsi="Verdana"/>
          <w:bCs/>
          <w:iCs/>
          <w:sz w:val="20"/>
          <w:szCs w:val="20"/>
        </w:rPr>
        <w:t xml:space="preserve">tanto </w:t>
      </w:r>
      <w:r w:rsidRPr="007E5716">
        <w:rPr>
          <w:rFonts w:ascii="Verdana" w:hAnsi="Verdana"/>
          <w:bCs/>
          <w:iCs/>
          <w:sz w:val="20"/>
          <w:szCs w:val="20"/>
        </w:rPr>
        <w:t xml:space="preserve">el nuevo perito </w:t>
      </w:r>
      <w:r w:rsidR="009235CB">
        <w:rPr>
          <w:rFonts w:ascii="Verdana" w:hAnsi="Verdana"/>
          <w:bCs/>
          <w:iCs/>
          <w:sz w:val="20"/>
          <w:szCs w:val="20"/>
        </w:rPr>
        <w:t xml:space="preserve">como </w:t>
      </w:r>
      <w:r w:rsidR="009235CB" w:rsidRPr="007E5716">
        <w:rPr>
          <w:rFonts w:ascii="Verdana" w:hAnsi="Verdana"/>
          <w:bCs/>
          <w:iCs/>
          <w:sz w:val="20"/>
          <w:szCs w:val="20"/>
        </w:rPr>
        <w:t xml:space="preserve">los </w:t>
      </w:r>
      <w:r w:rsidR="009235CB">
        <w:rPr>
          <w:rFonts w:ascii="Verdana" w:hAnsi="Verdana"/>
          <w:bCs/>
          <w:iCs/>
          <w:sz w:val="20"/>
          <w:szCs w:val="20"/>
        </w:rPr>
        <w:t xml:space="preserve">demás </w:t>
      </w:r>
      <w:r w:rsidR="009235CB" w:rsidRPr="007E5716">
        <w:rPr>
          <w:rFonts w:ascii="Verdana" w:hAnsi="Verdana"/>
          <w:bCs/>
          <w:iCs/>
          <w:sz w:val="20"/>
          <w:szCs w:val="20"/>
        </w:rPr>
        <w:t xml:space="preserve">testigos y peritos </w:t>
      </w:r>
      <w:r w:rsidR="009235CB">
        <w:rPr>
          <w:rFonts w:ascii="Verdana" w:hAnsi="Verdana"/>
          <w:bCs/>
          <w:iCs/>
          <w:sz w:val="20"/>
          <w:szCs w:val="20"/>
        </w:rPr>
        <w:t xml:space="preserve">convocados a declarar </w:t>
      </w:r>
      <w:r w:rsidR="009235CB" w:rsidRPr="007E5716">
        <w:rPr>
          <w:rFonts w:ascii="Verdana" w:hAnsi="Verdana"/>
          <w:bCs/>
          <w:iCs/>
          <w:sz w:val="20"/>
          <w:szCs w:val="20"/>
        </w:rPr>
        <w:t>bajo la misma modalidad</w:t>
      </w:r>
      <w:r w:rsidR="00301135">
        <w:rPr>
          <w:rFonts w:ascii="Verdana" w:hAnsi="Verdana"/>
          <w:bCs/>
          <w:iCs/>
          <w:sz w:val="20"/>
          <w:szCs w:val="20"/>
        </w:rPr>
        <w:t xml:space="preserve"> puedan presentar sus respectivas declaraciones</w:t>
      </w:r>
      <w:r w:rsidR="009235CB">
        <w:rPr>
          <w:rFonts w:ascii="Verdana" w:hAnsi="Verdana"/>
          <w:bCs/>
          <w:iCs/>
          <w:sz w:val="20"/>
          <w:szCs w:val="20"/>
        </w:rPr>
        <w:t>.</w:t>
      </w:r>
    </w:p>
    <w:p w:rsidR="009235CB" w:rsidRPr="007E5716" w:rsidRDefault="009235CB" w:rsidP="009235CB">
      <w:pPr>
        <w:pStyle w:val="ListParagraph"/>
        <w:tabs>
          <w:tab w:val="left" w:pos="567"/>
        </w:tabs>
        <w:spacing w:after="0" w:line="240" w:lineRule="auto"/>
        <w:ind w:left="0"/>
        <w:jc w:val="both"/>
        <w:rPr>
          <w:rFonts w:ascii="Verdana" w:hAnsi="Verdana"/>
          <w:bCs/>
          <w:iCs/>
          <w:sz w:val="20"/>
          <w:szCs w:val="20"/>
        </w:rPr>
      </w:pPr>
    </w:p>
    <w:p w:rsidR="009D2DFD" w:rsidRDefault="009D2DFD" w:rsidP="009D2DFD">
      <w:pPr>
        <w:pStyle w:val="ListParagraph"/>
        <w:numPr>
          <w:ilvl w:val="0"/>
          <w:numId w:val="3"/>
        </w:numPr>
        <w:tabs>
          <w:tab w:val="left" w:pos="567"/>
        </w:tabs>
        <w:spacing w:after="0" w:line="240" w:lineRule="auto"/>
        <w:ind w:left="0" w:firstLine="0"/>
        <w:jc w:val="both"/>
        <w:rPr>
          <w:rFonts w:ascii="Verdana" w:hAnsi="Verdana" w:cs="Times New Roman"/>
          <w:sz w:val="20"/>
          <w:szCs w:val="20"/>
          <w:lang w:eastAsia="es-CR"/>
        </w:rPr>
      </w:pPr>
      <w:r w:rsidRPr="009D2DFD">
        <w:rPr>
          <w:rFonts w:ascii="Verdana" w:hAnsi="Verdana"/>
          <w:sz w:val="20"/>
          <w:szCs w:val="20"/>
        </w:rPr>
        <w:t xml:space="preserve">La Presidencia considera que la solicitud del Estado debe ser analizada de acuerdo a lo estipulado en el artículo 49 del </w:t>
      </w:r>
      <w:r w:rsidRPr="009D2DFD">
        <w:rPr>
          <w:rFonts w:ascii="Verdana" w:hAnsi="Verdana"/>
          <w:bCs/>
          <w:iCs/>
          <w:sz w:val="20"/>
          <w:szCs w:val="20"/>
        </w:rPr>
        <w:t>Reglamento</w:t>
      </w:r>
      <w:r w:rsidRPr="009D2DFD">
        <w:rPr>
          <w:rStyle w:val="FootnoteReference"/>
          <w:rFonts w:ascii="Verdana" w:hAnsi="Verdana"/>
          <w:sz w:val="20"/>
          <w:szCs w:val="20"/>
        </w:rPr>
        <w:footnoteReference w:id="6"/>
      </w:r>
      <w:r w:rsidRPr="009D2DFD">
        <w:rPr>
          <w:rFonts w:ascii="Verdana" w:hAnsi="Verdana"/>
          <w:sz w:val="20"/>
          <w:szCs w:val="20"/>
        </w:rPr>
        <w:t>. Lo relevante para considerar una solicitud “fundada” es que se expliquen los motivos o razones por los cuales la persona ofrecida no podrá rendir la declaración</w:t>
      </w:r>
      <w:r w:rsidRPr="009D2DFD">
        <w:rPr>
          <w:rStyle w:val="FootnoteReference"/>
          <w:rFonts w:ascii="Verdana" w:hAnsi="Verdana"/>
          <w:sz w:val="20"/>
          <w:szCs w:val="20"/>
        </w:rPr>
        <w:footnoteReference w:id="7"/>
      </w:r>
      <w:r w:rsidR="0067506E">
        <w:rPr>
          <w:rFonts w:ascii="Verdana" w:hAnsi="Verdana"/>
          <w:sz w:val="20"/>
          <w:szCs w:val="20"/>
        </w:rPr>
        <w:t>, que excepcionalmente justifiquen una sustitución</w:t>
      </w:r>
      <w:r w:rsidRPr="009D2DFD">
        <w:rPr>
          <w:rFonts w:ascii="Verdana" w:hAnsi="Verdana"/>
          <w:sz w:val="20"/>
          <w:szCs w:val="20"/>
        </w:rPr>
        <w:t>. Asimismo, es particularmente importante que se respete el objeto de la declaración originalmente ofrecida</w:t>
      </w:r>
      <w:r w:rsidR="008C36C6">
        <w:rPr>
          <w:rStyle w:val="FootnoteReference"/>
          <w:rFonts w:ascii="Verdana" w:hAnsi="Verdana"/>
          <w:sz w:val="20"/>
          <w:szCs w:val="20"/>
        </w:rPr>
        <w:footnoteReference w:id="8"/>
      </w:r>
      <w:r w:rsidRPr="009D2DFD">
        <w:rPr>
          <w:rFonts w:ascii="Verdana" w:hAnsi="Verdana"/>
          <w:sz w:val="20"/>
          <w:szCs w:val="20"/>
        </w:rPr>
        <w:t>.</w:t>
      </w:r>
      <w:r w:rsidRPr="009D2DFD">
        <w:rPr>
          <w:rFonts w:ascii="Verdana" w:hAnsi="Verdana" w:cs="Times New Roman"/>
          <w:sz w:val="20"/>
          <w:szCs w:val="20"/>
          <w:lang w:eastAsia="es-CR"/>
        </w:rPr>
        <w:t xml:space="preserve"> </w:t>
      </w:r>
    </w:p>
    <w:p w:rsidR="00B972D8" w:rsidRDefault="00B972D8" w:rsidP="00B972D8">
      <w:pPr>
        <w:pStyle w:val="ListParagraph"/>
        <w:tabs>
          <w:tab w:val="left" w:pos="567"/>
        </w:tabs>
        <w:spacing w:after="0" w:line="240" w:lineRule="auto"/>
        <w:ind w:left="0"/>
        <w:jc w:val="both"/>
        <w:rPr>
          <w:rFonts w:ascii="Verdana" w:hAnsi="Verdana" w:cs="Times New Roman"/>
          <w:sz w:val="20"/>
          <w:szCs w:val="20"/>
          <w:lang w:eastAsia="es-CR"/>
        </w:rPr>
      </w:pPr>
    </w:p>
    <w:p w:rsidR="00B972D8" w:rsidRPr="009D2DFD" w:rsidRDefault="00B972D8" w:rsidP="009D2DFD">
      <w:pPr>
        <w:pStyle w:val="ListParagraph"/>
        <w:numPr>
          <w:ilvl w:val="0"/>
          <w:numId w:val="3"/>
        </w:numPr>
        <w:tabs>
          <w:tab w:val="left" w:pos="567"/>
        </w:tabs>
        <w:spacing w:after="0" w:line="240" w:lineRule="auto"/>
        <w:ind w:left="0" w:firstLine="0"/>
        <w:jc w:val="both"/>
        <w:rPr>
          <w:rFonts w:ascii="Verdana" w:hAnsi="Verdana" w:cs="Times New Roman"/>
          <w:sz w:val="20"/>
          <w:szCs w:val="20"/>
          <w:lang w:eastAsia="es-CR"/>
        </w:rPr>
      </w:pPr>
      <w:r>
        <w:rPr>
          <w:rFonts w:ascii="Verdana" w:hAnsi="Verdana" w:cs="Times New Roman"/>
          <w:sz w:val="20"/>
          <w:szCs w:val="20"/>
          <w:lang w:eastAsia="es-CR"/>
        </w:rPr>
        <w:t>Al respecto, esta Presidencia considera que las razones señaladas por el perito y el Estado, a saber, compromisos académicos, no son suficientes para ser considerados como una solicitud fundada</w:t>
      </w:r>
      <w:r w:rsidR="00522F10">
        <w:rPr>
          <w:rFonts w:ascii="Verdana" w:hAnsi="Verdana" w:cs="Times New Roman"/>
          <w:sz w:val="20"/>
          <w:szCs w:val="20"/>
          <w:lang w:eastAsia="es-CR"/>
        </w:rPr>
        <w:t>,</w:t>
      </w:r>
      <w:r>
        <w:rPr>
          <w:rFonts w:ascii="Verdana" w:hAnsi="Verdana" w:cs="Times New Roman"/>
          <w:sz w:val="20"/>
          <w:szCs w:val="20"/>
          <w:lang w:eastAsia="es-CR"/>
        </w:rPr>
        <w:t xml:space="preserve"> </w:t>
      </w:r>
      <w:r w:rsidR="00522F10">
        <w:rPr>
          <w:rFonts w:ascii="Verdana" w:hAnsi="Verdana" w:cs="Times New Roman"/>
          <w:sz w:val="20"/>
          <w:szCs w:val="20"/>
          <w:lang w:eastAsia="es-CR"/>
        </w:rPr>
        <w:t xml:space="preserve">en los términos de </w:t>
      </w:r>
      <w:r w:rsidR="00534293">
        <w:rPr>
          <w:rFonts w:ascii="Verdana" w:hAnsi="Verdana" w:cs="Times New Roman"/>
          <w:sz w:val="20"/>
          <w:szCs w:val="20"/>
          <w:lang w:eastAsia="es-CR"/>
        </w:rPr>
        <w:t xml:space="preserve">la </w:t>
      </w:r>
      <w:r w:rsidR="00522F10">
        <w:rPr>
          <w:rFonts w:ascii="Verdana" w:hAnsi="Verdana" w:cs="Times New Roman"/>
          <w:sz w:val="20"/>
          <w:szCs w:val="20"/>
          <w:lang w:eastAsia="es-CR"/>
        </w:rPr>
        <w:t>norma reglamentaria</w:t>
      </w:r>
      <w:r w:rsidR="00534293">
        <w:rPr>
          <w:rFonts w:ascii="Verdana" w:hAnsi="Verdana" w:cs="Times New Roman"/>
          <w:sz w:val="20"/>
          <w:szCs w:val="20"/>
          <w:lang w:eastAsia="es-CR"/>
        </w:rPr>
        <w:t xml:space="preserve"> referida</w:t>
      </w:r>
      <w:r w:rsidR="00522F10">
        <w:rPr>
          <w:rFonts w:ascii="Verdana" w:hAnsi="Verdana" w:cs="Times New Roman"/>
          <w:sz w:val="20"/>
          <w:szCs w:val="20"/>
          <w:lang w:eastAsia="es-CR"/>
        </w:rPr>
        <w:t xml:space="preserve">, </w:t>
      </w:r>
      <w:r>
        <w:rPr>
          <w:rFonts w:ascii="Verdana" w:hAnsi="Verdana" w:cs="Times New Roman"/>
          <w:sz w:val="20"/>
          <w:szCs w:val="20"/>
          <w:lang w:eastAsia="es-CR"/>
        </w:rPr>
        <w:t>para dejar de rendir el dictamen que fue ofrecido por el Estado y requerido en la referida Resolución. De tal manera, tales razones no justificaría</w:t>
      </w:r>
      <w:r w:rsidR="00522F10">
        <w:rPr>
          <w:rFonts w:ascii="Verdana" w:hAnsi="Verdana" w:cs="Times New Roman"/>
          <w:sz w:val="20"/>
          <w:szCs w:val="20"/>
          <w:lang w:eastAsia="es-CR"/>
        </w:rPr>
        <w:t>n</w:t>
      </w:r>
      <w:r>
        <w:rPr>
          <w:rFonts w:ascii="Verdana" w:hAnsi="Verdana" w:cs="Times New Roman"/>
          <w:sz w:val="20"/>
          <w:szCs w:val="20"/>
          <w:lang w:eastAsia="es-CR"/>
        </w:rPr>
        <w:t xml:space="preserve"> aceptar, de manera excepcional, la solicitud del Estado de sustitución del perito, la cual debe ser rechazada por improcedente. </w:t>
      </w:r>
      <w:r w:rsidR="00BE682B">
        <w:rPr>
          <w:rFonts w:ascii="Verdana" w:hAnsi="Verdana" w:cs="Times New Roman"/>
          <w:sz w:val="20"/>
          <w:szCs w:val="20"/>
          <w:lang w:eastAsia="es-CR"/>
        </w:rPr>
        <w:t xml:space="preserve">Ello no afecta la posibilidad que aún tiene </w:t>
      </w:r>
      <w:r>
        <w:rPr>
          <w:rFonts w:ascii="Verdana" w:hAnsi="Verdana" w:cs="Times New Roman"/>
          <w:sz w:val="20"/>
          <w:szCs w:val="20"/>
          <w:lang w:eastAsia="es-CR"/>
        </w:rPr>
        <w:t xml:space="preserve">el perito </w:t>
      </w:r>
      <w:r w:rsidR="00BE682B" w:rsidRPr="00AE659B">
        <w:rPr>
          <w:rFonts w:ascii="Verdana" w:hAnsi="Verdana"/>
          <w:bCs/>
          <w:iCs/>
          <w:sz w:val="20"/>
          <w:szCs w:val="20"/>
        </w:rPr>
        <w:t>Cardona Angarita</w:t>
      </w:r>
      <w:r w:rsidR="00BE682B">
        <w:rPr>
          <w:rFonts w:ascii="Verdana" w:hAnsi="Verdana" w:cs="Times New Roman"/>
          <w:sz w:val="20"/>
          <w:szCs w:val="20"/>
          <w:lang w:eastAsia="es-CR"/>
        </w:rPr>
        <w:t xml:space="preserve"> de presentar su dictamen</w:t>
      </w:r>
      <w:r w:rsidR="00522F10">
        <w:rPr>
          <w:rFonts w:ascii="Verdana" w:hAnsi="Verdana"/>
          <w:sz w:val="20"/>
          <w:szCs w:val="20"/>
          <w:lang w:val="es-CO"/>
        </w:rPr>
        <w:t xml:space="preserve">. </w:t>
      </w:r>
    </w:p>
    <w:p w:rsidR="00D765FD" w:rsidRDefault="00D765FD"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356DEE" w:rsidRPr="00865380" w:rsidRDefault="00356DEE"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POR TANTO:</w:t>
      </w: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 xml:space="preserve">EL PRESIDENTE DE LA CORTE INTERAMERICANA DE DERECHOS HUMANOS, </w:t>
      </w: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p>
    <w:p w:rsidR="00802BD5" w:rsidRPr="00802BD5" w:rsidRDefault="00802BD5" w:rsidP="009A226B">
      <w:pPr>
        <w:tabs>
          <w:tab w:val="left" w:pos="567"/>
        </w:tabs>
        <w:spacing w:after="0" w:line="240" w:lineRule="auto"/>
        <w:jc w:val="both"/>
        <w:rPr>
          <w:rFonts w:ascii="Verdana" w:eastAsia="Calibri" w:hAnsi="Verdana" w:cs="Verdana"/>
          <w:sz w:val="20"/>
          <w:szCs w:val="20"/>
        </w:rPr>
      </w:pPr>
      <w:r w:rsidRPr="00802BD5">
        <w:rPr>
          <w:rFonts w:ascii="Verdana" w:eastAsia="Calibri" w:hAnsi="Verdana" w:cs="Verdana"/>
          <w:sz w:val="20"/>
          <w:szCs w:val="20"/>
        </w:rPr>
        <w:t>de conformidad con los artículos 25.2 del Estatuto d</w:t>
      </w:r>
      <w:r w:rsidR="00C35310">
        <w:rPr>
          <w:rFonts w:ascii="Verdana" w:eastAsia="Calibri" w:hAnsi="Verdana" w:cs="Verdana"/>
          <w:sz w:val="20"/>
          <w:szCs w:val="20"/>
        </w:rPr>
        <w:t xml:space="preserve">e la Corte y con los artículos </w:t>
      </w:r>
      <w:r w:rsidRPr="00802BD5">
        <w:rPr>
          <w:rFonts w:ascii="Verdana" w:eastAsia="Calibri" w:hAnsi="Verdana" w:cs="Verdana"/>
          <w:sz w:val="20"/>
          <w:szCs w:val="20"/>
        </w:rPr>
        <w:t xml:space="preserve">31.2, </w:t>
      </w:r>
      <w:r w:rsidR="00492D04">
        <w:rPr>
          <w:rFonts w:ascii="Verdana" w:eastAsia="Calibri" w:hAnsi="Verdana" w:cs="Verdana"/>
          <w:sz w:val="20"/>
          <w:szCs w:val="20"/>
        </w:rPr>
        <w:t>49</w:t>
      </w:r>
      <w:r w:rsidR="00C35310">
        <w:rPr>
          <w:rFonts w:ascii="Verdana" w:eastAsia="Calibri" w:hAnsi="Verdana" w:cs="Verdana"/>
          <w:sz w:val="20"/>
          <w:szCs w:val="20"/>
        </w:rPr>
        <w:t xml:space="preserve"> y </w:t>
      </w:r>
      <w:r w:rsidR="00571704">
        <w:rPr>
          <w:rFonts w:ascii="Verdana" w:eastAsia="Calibri" w:hAnsi="Verdana" w:cs="Verdana"/>
          <w:sz w:val="20"/>
          <w:szCs w:val="20"/>
        </w:rPr>
        <w:t xml:space="preserve">50 </w:t>
      </w:r>
      <w:r w:rsidRPr="00802BD5">
        <w:rPr>
          <w:rFonts w:ascii="Verdana" w:eastAsia="Calibri" w:hAnsi="Verdana" w:cs="Verdana"/>
          <w:sz w:val="20"/>
          <w:szCs w:val="20"/>
        </w:rPr>
        <w:t xml:space="preserve">del Reglamento, </w:t>
      </w:r>
    </w:p>
    <w:p w:rsidR="00802BD5" w:rsidRPr="00802BD5" w:rsidRDefault="00802BD5" w:rsidP="009A226B">
      <w:pPr>
        <w:tabs>
          <w:tab w:val="left" w:pos="567"/>
        </w:tabs>
        <w:spacing w:after="0" w:line="240" w:lineRule="auto"/>
        <w:jc w:val="both"/>
        <w:rPr>
          <w:rFonts w:ascii="Verdana" w:eastAsia="Calibri" w:hAnsi="Verdana" w:cs="Verdana"/>
          <w:sz w:val="20"/>
          <w:szCs w:val="20"/>
        </w:rPr>
      </w:pPr>
    </w:p>
    <w:p w:rsid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RESUELVE:</w:t>
      </w:r>
    </w:p>
    <w:p w:rsidR="00CF1C87" w:rsidRPr="00802BD5" w:rsidRDefault="00CF1C87" w:rsidP="009A226B">
      <w:pPr>
        <w:tabs>
          <w:tab w:val="left" w:pos="567"/>
        </w:tabs>
        <w:spacing w:after="0" w:line="240" w:lineRule="auto"/>
        <w:jc w:val="both"/>
        <w:rPr>
          <w:rFonts w:ascii="Verdana" w:eastAsia="Calibri" w:hAnsi="Verdana" w:cs="Verdana"/>
          <w:b/>
          <w:bCs/>
          <w:sz w:val="20"/>
          <w:szCs w:val="20"/>
        </w:rPr>
      </w:pPr>
    </w:p>
    <w:p w:rsidR="009B03ED" w:rsidRDefault="00C35310" w:rsidP="009B03ED">
      <w:pPr>
        <w:pStyle w:val="ListParagraph"/>
        <w:tabs>
          <w:tab w:val="left" w:pos="567"/>
        </w:tabs>
        <w:spacing w:after="0" w:line="240" w:lineRule="auto"/>
        <w:ind w:left="0"/>
        <w:jc w:val="both"/>
        <w:rPr>
          <w:rFonts w:ascii="Verdana" w:hAnsi="Verdana"/>
          <w:bCs/>
          <w:iCs/>
          <w:sz w:val="20"/>
          <w:szCs w:val="20"/>
        </w:rPr>
      </w:pPr>
      <w:r>
        <w:rPr>
          <w:rFonts w:ascii="Verdana" w:hAnsi="Verdana"/>
          <w:bCs/>
          <w:iCs/>
          <w:sz w:val="20"/>
          <w:szCs w:val="20"/>
        </w:rPr>
        <w:t>1.</w:t>
      </w:r>
      <w:r>
        <w:rPr>
          <w:rFonts w:ascii="Verdana" w:hAnsi="Verdana"/>
          <w:bCs/>
          <w:iCs/>
          <w:sz w:val="20"/>
          <w:szCs w:val="20"/>
        </w:rPr>
        <w:tab/>
      </w:r>
      <w:r w:rsidRPr="00C35310">
        <w:rPr>
          <w:rFonts w:ascii="Verdana" w:hAnsi="Verdana"/>
          <w:bCs/>
          <w:iCs/>
          <w:sz w:val="20"/>
          <w:szCs w:val="20"/>
        </w:rPr>
        <w:t xml:space="preserve">Modificar, en lo pertinente, </w:t>
      </w:r>
      <w:r w:rsidR="00E75813">
        <w:rPr>
          <w:rFonts w:ascii="Verdana" w:hAnsi="Verdana"/>
          <w:bCs/>
          <w:iCs/>
          <w:sz w:val="20"/>
          <w:szCs w:val="20"/>
        </w:rPr>
        <w:t>los</w:t>
      </w:r>
      <w:r w:rsidRPr="00C35310">
        <w:rPr>
          <w:rFonts w:ascii="Verdana" w:hAnsi="Verdana"/>
          <w:bCs/>
          <w:iCs/>
          <w:sz w:val="20"/>
          <w:szCs w:val="20"/>
        </w:rPr>
        <w:t xml:space="preserve"> punto</w:t>
      </w:r>
      <w:r w:rsidR="00E75813">
        <w:rPr>
          <w:rFonts w:ascii="Verdana" w:hAnsi="Verdana"/>
          <w:bCs/>
          <w:iCs/>
          <w:sz w:val="20"/>
          <w:szCs w:val="20"/>
        </w:rPr>
        <w:t>s</w:t>
      </w:r>
      <w:r w:rsidRPr="00C35310">
        <w:rPr>
          <w:rFonts w:ascii="Verdana" w:hAnsi="Verdana"/>
          <w:bCs/>
          <w:iCs/>
          <w:sz w:val="20"/>
          <w:szCs w:val="20"/>
        </w:rPr>
        <w:t xml:space="preserve"> resolutivo</w:t>
      </w:r>
      <w:r w:rsidR="00E75813">
        <w:rPr>
          <w:rFonts w:ascii="Verdana" w:hAnsi="Verdana"/>
          <w:bCs/>
          <w:iCs/>
          <w:sz w:val="20"/>
          <w:szCs w:val="20"/>
        </w:rPr>
        <w:t>s</w:t>
      </w:r>
      <w:r w:rsidRPr="00C35310">
        <w:rPr>
          <w:rFonts w:ascii="Verdana" w:hAnsi="Verdana"/>
          <w:bCs/>
          <w:iCs/>
          <w:sz w:val="20"/>
          <w:szCs w:val="20"/>
        </w:rPr>
        <w:t xml:space="preserve"> primero y cuarto de la</w:t>
      </w:r>
      <w:r w:rsidR="00E75813">
        <w:rPr>
          <w:rFonts w:ascii="Verdana" w:hAnsi="Verdana"/>
          <w:bCs/>
          <w:iCs/>
          <w:sz w:val="20"/>
          <w:szCs w:val="20"/>
        </w:rPr>
        <w:t xml:space="preserve"> Resolución del Presidente de 13</w:t>
      </w:r>
      <w:r w:rsidRPr="00C35310">
        <w:rPr>
          <w:rFonts w:ascii="Verdana" w:hAnsi="Verdana"/>
          <w:bCs/>
          <w:iCs/>
          <w:sz w:val="20"/>
          <w:szCs w:val="20"/>
        </w:rPr>
        <w:t xml:space="preserve"> de </w:t>
      </w:r>
      <w:r w:rsidR="00E75813">
        <w:rPr>
          <w:rFonts w:ascii="Verdana" w:hAnsi="Verdana"/>
          <w:bCs/>
          <w:iCs/>
          <w:sz w:val="20"/>
          <w:szCs w:val="20"/>
        </w:rPr>
        <w:t>diciembre de 2017, de modo que se autoriza</w:t>
      </w:r>
      <w:r w:rsidR="00E75813" w:rsidRPr="00E75813">
        <w:rPr>
          <w:rFonts w:ascii="Verdana" w:hAnsi="Verdana"/>
          <w:sz w:val="20"/>
          <w:szCs w:val="20"/>
          <w:lang w:val="es-CO"/>
        </w:rPr>
        <w:t xml:space="preserve"> </w:t>
      </w:r>
      <w:r w:rsidR="00E75813">
        <w:rPr>
          <w:rFonts w:ascii="Verdana" w:hAnsi="Verdana"/>
          <w:sz w:val="20"/>
          <w:szCs w:val="20"/>
          <w:lang w:val="es-CO"/>
        </w:rPr>
        <w:t xml:space="preserve">a la testigo </w:t>
      </w:r>
      <w:r w:rsidR="00E75813" w:rsidRPr="00917B79">
        <w:rPr>
          <w:rFonts w:ascii="Verdana" w:hAnsi="Verdana"/>
          <w:bCs/>
          <w:iCs/>
          <w:sz w:val="20"/>
          <w:szCs w:val="20"/>
        </w:rPr>
        <w:t xml:space="preserve">Luz María Ramírez García </w:t>
      </w:r>
      <w:r w:rsidR="00E75813">
        <w:rPr>
          <w:rFonts w:ascii="Verdana" w:hAnsi="Verdana"/>
          <w:bCs/>
          <w:iCs/>
          <w:sz w:val="20"/>
          <w:szCs w:val="20"/>
        </w:rPr>
        <w:t>a</w:t>
      </w:r>
      <w:r w:rsidRPr="00C35310">
        <w:rPr>
          <w:rFonts w:ascii="Verdana" w:hAnsi="Verdana"/>
          <w:bCs/>
          <w:iCs/>
          <w:sz w:val="20"/>
          <w:szCs w:val="20"/>
        </w:rPr>
        <w:t xml:space="preserve"> rendir su </w:t>
      </w:r>
      <w:r w:rsidR="00E75813">
        <w:rPr>
          <w:rFonts w:ascii="Verdana" w:hAnsi="Verdana"/>
          <w:bCs/>
          <w:iCs/>
          <w:sz w:val="20"/>
          <w:szCs w:val="20"/>
        </w:rPr>
        <w:t>declaración</w:t>
      </w:r>
      <w:r w:rsidRPr="00C35310">
        <w:rPr>
          <w:rFonts w:ascii="Verdana" w:hAnsi="Verdana"/>
          <w:bCs/>
          <w:iCs/>
          <w:sz w:val="20"/>
          <w:szCs w:val="20"/>
        </w:rPr>
        <w:t xml:space="preserve"> mediante a</w:t>
      </w:r>
      <w:r w:rsidR="00E75813">
        <w:rPr>
          <w:rFonts w:ascii="Verdana" w:hAnsi="Verdana"/>
          <w:bCs/>
          <w:iCs/>
          <w:sz w:val="20"/>
          <w:szCs w:val="20"/>
        </w:rPr>
        <w:t xml:space="preserve">fidávit y </w:t>
      </w:r>
      <w:r w:rsidRPr="00C35310">
        <w:rPr>
          <w:rFonts w:ascii="Verdana" w:hAnsi="Verdana"/>
          <w:bCs/>
          <w:iCs/>
          <w:sz w:val="20"/>
          <w:szCs w:val="20"/>
        </w:rPr>
        <w:t>se convoca al</w:t>
      </w:r>
      <w:r w:rsidR="00E75813">
        <w:rPr>
          <w:rFonts w:ascii="Verdana" w:hAnsi="Verdana"/>
          <w:bCs/>
          <w:iCs/>
          <w:sz w:val="20"/>
          <w:szCs w:val="20"/>
        </w:rPr>
        <w:t xml:space="preserve"> perito</w:t>
      </w:r>
      <w:r w:rsidRPr="00C35310">
        <w:rPr>
          <w:rFonts w:ascii="Verdana" w:hAnsi="Verdana"/>
          <w:bCs/>
          <w:iCs/>
          <w:sz w:val="20"/>
          <w:szCs w:val="20"/>
        </w:rPr>
        <w:t xml:space="preserve"> </w:t>
      </w:r>
      <w:r w:rsidR="00E75813" w:rsidRPr="00917B79">
        <w:rPr>
          <w:rFonts w:ascii="Verdana" w:hAnsi="Verdana"/>
          <w:bCs/>
          <w:iCs/>
          <w:sz w:val="20"/>
          <w:szCs w:val="20"/>
        </w:rPr>
        <w:t>Carlos Arévalo</w:t>
      </w:r>
      <w:r w:rsidR="00E75813" w:rsidRPr="00D765FD">
        <w:rPr>
          <w:rFonts w:ascii="Verdana" w:hAnsi="Verdana"/>
          <w:sz w:val="20"/>
          <w:szCs w:val="20"/>
          <w:lang w:val="es-CO"/>
        </w:rPr>
        <w:t xml:space="preserve"> </w:t>
      </w:r>
      <w:r w:rsidR="0070694C">
        <w:rPr>
          <w:rFonts w:ascii="Verdana" w:hAnsi="Verdana"/>
          <w:sz w:val="20"/>
          <w:szCs w:val="20"/>
          <w:lang w:val="es-CO"/>
        </w:rPr>
        <w:t xml:space="preserve">Narváez </w:t>
      </w:r>
      <w:r w:rsidRPr="00C35310">
        <w:rPr>
          <w:rFonts w:ascii="Verdana" w:hAnsi="Verdana"/>
          <w:bCs/>
          <w:iCs/>
          <w:sz w:val="20"/>
          <w:szCs w:val="20"/>
        </w:rPr>
        <w:t xml:space="preserve">a </w:t>
      </w:r>
      <w:r w:rsidR="00E75813">
        <w:rPr>
          <w:rFonts w:ascii="Verdana" w:hAnsi="Verdana"/>
          <w:bCs/>
          <w:iCs/>
          <w:sz w:val="20"/>
          <w:szCs w:val="20"/>
        </w:rPr>
        <w:t xml:space="preserve">rendir </w:t>
      </w:r>
      <w:r w:rsidRPr="00C35310">
        <w:rPr>
          <w:rFonts w:ascii="Verdana" w:hAnsi="Verdana"/>
          <w:bCs/>
          <w:iCs/>
          <w:sz w:val="20"/>
          <w:szCs w:val="20"/>
        </w:rPr>
        <w:t xml:space="preserve">su </w:t>
      </w:r>
      <w:r w:rsidR="00E75813">
        <w:rPr>
          <w:rFonts w:ascii="Verdana" w:hAnsi="Verdana"/>
          <w:bCs/>
          <w:iCs/>
          <w:sz w:val="20"/>
          <w:szCs w:val="20"/>
        </w:rPr>
        <w:t xml:space="preserve">dictamen </w:t>
      </w:r>
      <w:r w:rsidRPr="00C35310">
        <w:rPr>
          <w:rFonts w:ascii="Verdana" w:hAnsi="Verdana"/>
          <w:bCs/>
          <w:iCs/>
          <w:sz w:val="20"/>
          <w:szCs w:val="20"/>
        </w:rPr>
        <w:t xml:space="preserve">en la audiencia pública </w:t>
      </w:r>
      <w:r w:rsidR="00E75813">
        <w:rPr>
          <w:rFonts w:ascii="Verdana" w:hAnsi="Verdana"/>
          <w:bCs/>
          <w:iCs/>
          <w:sz w:val="20"/>
          <w:szCs w:val="20"/>
        </w:rPr>
        <w:t>por realizarse en el presente caso</w:t>
      </w:r>
      <w:r w:rsidRPr="00C35310">
        <w:rPr>
          <w:rFonts w:ascii="Verdana" w:hAnsi="Verdana"/>
          <w:bCs/>
          <w:iCs/>
          <w:sz w:val="20"/>
          <w:szCs w:val="20"/>
        </w:rPr>
        <w:t>.</w:t>
      </w:r>
    </w:p>
    <w:p w:rsidR="009B03ED" w:rsidRDefault="009B03ED" w:rsidP="009B03ED">
      <w:pPr>
        <w:pStyle w:val="ListParagraph"/>
        <w:tabs>
          <w:tab w:val="left" w:pos="567"/>
        </w:tabs>
        <w:spacing w:after="0" w:line="240" w:lineRule="auto"/>
        <w:ind w:left="0"/>
        <w:jc w:val="both"/>
        <w:rPr>
          <w:rFonts w:ascii="Verdana" w:hAnsi="Verdana"/>
          <w:bCs/>
          <w:iCs/>
          <w:sz w:val="20"/>
          <w:szCs w:val="20"/>
        </w:rPr>
      </w:pPr>
    </w:p>
    <w:p w:rsidR="0070694C" w:rsidRPr="009B03ED" w:rsidRDefault="009B03ED" w:rsidP="009B03ED">
      <w:pPr>
        <w:pStyle w:val="ListParagraph"/>
        <w:tabs>
          <w:tab w:val="left" w:pos="567"/>
        </w:tabs>
        <w:spacing w:after="0" w:line="240" w:lineRule="auto"/>
        <w:ind w:left="0"/>
        <w:jc w:val="both"/>
        <w:rPr>
          <w:rFonts w:ascii="Verdana" w:hAnsi="Verdana"/>
          <w:bCs/>
          <w:iCs/>
          <w:sz w:val="20"/>
          <w:szCs w:val="20"/>
        </w:rPr>
      </w:pPr>
      <w:r>
        <w:rPr>
          <w:rFonts w:ascii="Verdana" w:hAnsi="Verdana"/>
          <w:bCs/>
          <w:iCs/>
          <w:sz w:val="20"/>
          <w:szCs w:val="20"/>
        </w:rPr>
        <w:t>2.</w:t>
      </w:r>
      <w:r>
        <w:rPr>
          <w:rFonts w:ascii="Verdana" w:hAnsi="Verdana"/>
          <w:bCs/>
          <w:iCs/>
          <w:sz w:val="20"/>
          <w:szCs w:val="20"/>
        </w:rPr>
        <w:tab/>
      </w:r>
      <w:r w:rsidR="00C35310" w:rsidRPr="009B03ED">
        <w:rPr>
          <w:rFonts w:ascii="Verdana" w:hAnsi="Verdana"/>
          <w:bCs/>
          <w:iCs/>
          <w:sz w:val="20"/>
          <w:szCs w:val="20"/>
        </w:rPr>
        <w:t xml:space="preserve">Modificar, en lo pertinente, </w:t>
      </w:r>
      <w:r w:rsidR="0070694C" w:rsidRPr="009B03ED">
        <w:rPr>
          <w:rFonts w:ascii="Verdana" w:hAnsi="Verdana"/>
          <w:bCs/>
          <w:iCs/>
          <w:sz w:val="20"/>
          <w:szCs w:val="20"/>
        </w:rPr>
        <w:t>los</w:t>
      </w:r>
      <w:r w:rsidR="00C35310" w:rsidRPr="009B03ED">
        <w:rPr>
          <w:rFonts w:ascii="Verdana" w:hAnsi="Verdana"/>
          <w:bCs/>
          <w:iCs/>
          <w:sz w:val="20"/>
          <w:szCs w:val="20"/>
        </w:rPr>
        <w:t xml:space="preserve"> punto</w:t>
      </w:r>
      <w:r w:rsidR="0070694C" w:rsidRPr="009B03ED">
        <w:rPr>
          <w:rFonts w:ascii="Verdana" w:hAnsi="Verdana"/>
          <w:bCs/>
          <w:iCs/>
          <w:sz w:val="20"/>
          <w:szCs w:val="20"/>
        </w:rPr>
        <w:t>s</w:t>
      </w:r>
      <w:r w:rsidR="00C35310" w:rsidRPr="009B03ED">
        <w:rPr>
          <w:rFonts w:ascii="Verdana" w:hAnsi="Verdana"/>
          <w:bCs/>
          <w:iCs/>
          <w:sz w:val="20"/>
          <w:szCs w:val="20"/>
        </w:rPr>
        <w:t xml:space="preserve"> resolutivo</w:t>
      </w:r>
      <w:r w:rsidR="0070694C" w:rsidRPr="009B03ED">
        <w:rPr>
          <w:rFonts w:ascii="Verdana" w:hAnsi="Verdana"/>
          <w:bCs/>
          <w:iCs/>
          <w:sz w:val="20"/>
          <w:szCs w:val="20"/>
        </w:rPr>
        <w:t>s</w:t>
      </w:r>
      <w:r w:rsidR="00C35310" w:rsidRPr="009B03ED">
        <w:rPr>
          <w:rFonts w:ascii="Verdana" w:hAnsi="Verdana"/>
          <w:bCs/>
          <w:iCs/>
          <w:sz w:val="20"/>
          <w:szCs w:val="20"/>
        </w:rPr>
        <w:t xml:space="preserve"> </w:t>
      </w:r>
      <w:r w:rsidR="00E75813" w:rsidRPr="009B03ED">
        <w:rPr>
          <w:rFonts w:ascii="Verdana" w:hAnsi="Verdana"/>
          <w:bCs/>
          <w:iCs/>
          <w:sz w:val="20"/>
          <w:szCs w:val="20"/>
        </w:rPr>
        <w:t>sexto</w:t>
      </w:r>
      <w:r w:rsidR="00C35310" w:rsidRPr="009B03ED">
        <w:rPr>
          <w:rFonts w:ascii="Verdana" w:hAnsi="Verdana"/>
          <w:bCs/>
          <w:iCs/>
          <w:sz w:val="20"/>
          <w:szCs w:val="20"/>
        </w:rPr>
        <w:t xml:space="preserve"> </w:t>
      </w:r>
      <w:r w:rsidR="0070694C" w:rsidRPr="009B03ED">
        <w:rPr>
          <w:rFonts w:ascii="Verdana" w:hAnsi="Verdana"/>
          <w:bCs/>
          <w:iCs/>
          <w:sz w:val="20"/>
          <w:szCs w:val="20"/>
        </w:rPr>
        <w:t xml:space="preserve">y octavo </w:t>
      </w:r>
      <w:r w:rsidR="00C35310" w:rsidRPr="009B03ED">
        <w:rPr>
          <w:rFonts w:ascii="Verdana" w:hAnsi="Verdana"/>
          <w:bCs/>
          <w:iCs/>
          <w:sz w:val="20"/>
          <w:szCs w:val="20"/>
        </w:rPr>
        <w:t xml:space="preserve">de la Resolución del Presidente de </w:t>
      </w:r>
      <w:r w:rsidR="00E75813" w:rsidRPr="009B03ED">
        <w:rPr>
          <w:rFonts w:ascii="Verdana" w:hAnsi="Verdana"/>
          <w:bCs/>
          <w:iCs/>
          <w:sz w:val="20"/>
          <w:szCs w:val="20"/>
        </w:rPr>
        <w:t xml:space="preserve">13 de diciembre de 2017 y requerir a los representantes </w:t>
      </w:r>
      <w:r w:rsidR="0070694C" w:rsidRPr="009B03ED">
        <w:rPr>
          <w:rFonts w:ascii="Verdana" w:hAnsi="Verdana"/>
          <w:bCs/>
          <w:iCs/>
          <w:sz w:val="20"/>
          <w:szCs w:val="20"/>
        </w:rPr>
        <w:t>que</w:t>
      </w:r>
      <w:r w:rsidR="00C35310" w:rsidRPr="009B03ED">
        <w:rPr>
          <w:rFonts w:ascii="Verdana" w:hAnsi="Verdana"/>
          <w:bCs/>
          <w:iCs/>
          <w:sz w:val="20"/>
          <w:szCs w:val="20"/>
        </w:rPr>
        <w:t xml:space="preserve"> remit</w:t>
      </w:r>
      <w:r w:rsidR="00301135" w:rsidRPr="009B03ED">
        <w:rPr>
          <w:rFonts w:ascii="Verdana" w:hAnsi="Verdana"/>
          <w:bCs/>
          <w:iCs/>
          <w:sz w:val="20"/>
          <w:szCs w:val="20"/>
        </w:rPr>
        <w:t xml:space="preserve">an, de considerarlo pertinente </w:t>
      </w:r>
      <w:r w:rsidR="00C35310" w:rsidRPr="009B03ED">
        <w:rPr>
          <w:rFonts w:ascii="Verdana" w:hAnsi="Verdana"/>
          <w:bCs/>
          <w:iCs/>
          <w:sz w:val="20"/>
          <w:szCs w:val="20"/>
        </w:rPr>
        <w:t xml:space="preserve">y en el plazo improrrogable que vence el </w:t>
      </w:r>
      <w:r>
        <w:rPr>
          <w:rFonts w:ascii="Verdana" w:hAnsi="Verdana"/>
          <w:bCs/>
          <w:iCs/>
          <w:sz w:val="20"/>
          <w:szCs w:val="20"/>
        </w:rPr>
        <w:t>18</w:t>
      </w:r>
      <w:r w:rsidR="0070694C" w:rsidRPr="009B03ED">
        <w:rPr>
          <w:rFonts w:ascii="Verdana" w:hAnsi="Verdana"/>
          <w:bCs/>
          <w:iCs/>
          <w:sz w:val="20"/>
          <w:szCs w:val="20"/>
        </w:rPr>
        <w:t xml:space="preserve"> de enero de 2018</w:t>
      </w:r>
      <w:r w:rsidR="00C35310" w:rsidRPr="009B03ED">
        <w:rPr>
          <w:rFonts w:ascii="Verdana" w:hAnsi="Verdana"/>
          <w:bCs/>
          <w:iCs/>
          <w:sz w:val="20"/>
          <w:szCs w:val="20"/>
        </w:rPr>
        <w:t xml:space="preserve">, las preguntas que estimen pertinentes formular a través de la Corte a la </w:t>
      </w:r>
      <w:r w:rsidR="0070694C" w:rsidRPr="009B03ED">
        <w:rPr>
          <w:rFonts w:ascii="Verdana" w:hAnsi="Verdana"/>
          <w:sz w:val="20"/>
          <w:szCs w:val="20"/>
          <w:lang w:val="es-CO"/>
        </w:rPr>
        <w:t xml:space="preserve">testigo </w:t>
      </w:r>
      <w:r w:rsidR="0070694C" w:rsidRPr="009B03ED">
        <w:rPr>
          <w:rFonts w:ascii="Verdana" w:hAnsi="Verdana"/>
          <w:bCs/>
          <w:iCs/>
          <w:sz w:val="20"/>
          <w:szCs w:val="20"/>
        </w:rPr>
        <w:t>Luz María Ramírez García. Asimismo, se r</w:t>
      </w:r>
      <w:r w:rsidR="0070694C" w:rsidRPr="009B03ED">
        <w:rPr>
          <w:rFonts w:ascii="Verdana" w:hAnsi="Verdana"/>
          <w:bCs/>
          <w:iCs/>
          <w:sz w:val="20"/>
          <w:szCs w:val="24"/>
        </w:rPr>
        <w:t xml:space="preserve">equiere al Estado que coordine y realice las diligencias necesarias para que, una vez recibidas las preguntas de la contraparte y/o de la Comisión, según corresponda, la testigo incluya las respuestas en su declaración ante fedatario público, salvo que el Presidente disponga lo contrario cuando la Secretaría de la Corte las transmita. </w:t>
      </w:r>
      <w:r w:rsidR="0070694C" w:rsidRPr="009B03ED">
        <w:rPr>
          <w:rFonts w:ascii="Verdana" w:hAnsi="Verdana"/>
          <w:bCs/>
          <w:iCs/>
          <w:sz w:val="20"/>
          <w:szCs w:val="20"/>
        </w:rPr>
        <w:t xml:space="preserve">Dicha declaración deberá ser presentada al Tribunal a más tardar el </w:t>
      </w:r>
      <w:r>
        <w:rPr>
          <w:rFonts w:ascii="Verdana" w:hAnsi="Verdana"/>
          <w:bCs/>
          <w:iCs/>
          <w:sz w:val="20"/>
          <w:szCs w:val="20"/>
        </w:rPr>
        <w:t>24</w:t>
      </w:r>
      <w:r w:rsidR="0070694C" w:rsidRPr="009B03ED">
        <w:rPr>
          <w:rFonts w:ascii="Verdana" w:hAnsi="Verdana"/>
          <w:bCs/>
          <w:iCs/>
          <w:sz w:val="20"/>
          <w:szCs w:val="20"/>
        </w:rPr>
        <w:t xml:space="preserve"> de enero de 2018.</w:t>
      </w:r>
    </w:p>
    <w:p w:rsidR="0070694C" w:rsidRDefault="0070694C" w:rsidP="00E75813">
      <w:pPr>
        <w:pStyle w:val="ListParagraph"/>
        <w:tabs>
          <w:tab w:val="left" w:pos="567"/>
        </w:tabs>
        <w:spacing w:after="0" w:line="240" w:lineRule="auto"/>
        <w:ind w:left="0"/>
        <w:jc w:val="both"/>
        <w:rPr>
          <w:rFonts w:ascii="Verdana" w:hAnsi="Verdana"/>
          <w:bCs/>
          <w:iCs/>
          <w:sz w:val="20"/>
          <w:szCs w:val="24"/>
        </w:rPr>
      </w:pPr>
    </w:p>
    <w:p w:rsidR="0070694C" w:rsidRDefault="009B03ED" w:rsidP="00E75813">
      <w:pPr>
        <w:pStyle w:val="ListParagraph"/>
        <w:tabs>
          <w:tab w:val="left" w:pos="567"/>
        </w:tabs>
        <w:spacing w:after="0" w:line="240" w:lineRule="auto"/>
        <w:ind w:left="0"/>
        <w:jc w:val="both"/>
        <w:rPr>
          <w:rFonts w:ascii="Verdana" w:hAnsi="Verdana"/>
          <w:bCs/>
          <w:iCs/>
          <w:sz w:val="20"/>
          <w:szCs w:val="24"/>
        </w:rPr>
      </w:pPr>
      <w:r>
        <w:rPr>
          <w:rFonts w:ascii="Verdana" w:hAnsi="Verdana"/>
          <w:bCs/>
          <w:iCs/>
          <w:sz w:val="20"/>
          <w:szCs w:val="24"/>
        </w:rPr>
        <w:lastRenderedPageBreak/>
        <w:t>3</w:t>
      </w:r>
      <w:r w:rsidR="0070694C">
        <w:rPr>
          <w:rFonts w:ascii="Verdana" w:hAnsi="Verdana"/>
          <w:bCs/>
          <w:iCs/>
          <w:sz w:val="20"/>
          <w:szCs w:val="24"/>
        </w:rPr>
        <w:t>.</w:t>
      </w:r>
      <w:r w:rsidR="0070694C">
        <w:rPr>
          <w:rFonts w:ascii="Verdana" w:hAnsi="Verdana"/>
          <w:bCs/>
          <w:iCs/>
          <w:sz w:val="20"/>
          <w:szCs w:val="24"/>
        </w:rPr>
        <w:tab/>
        <w:t>Declarar improcedente</w:t>
      </w:r>
      <w:r w:rsidR="00534293">
        <w:rPr>
          <w:rFonts w:ascii="Verdana" w:hAnsi="Verdana"/>
          <w:bCs/>
          <w:iCs/>
          <w:sz w:val="20"/>
          <w:szCs w:val="24"/>
        </w:rPr>
        <w:t xml:space="preserve"> la solicitud del Estado de sustitución del perito </w:t>
      </w:r>
      <w:r w:rsidR="00534293" w:rsidRPr="00AE659B">
        <w:rPr>
          <w:rFonts w:ascii="Verdana" w:hAnsi="Verdana"/>
          <w:bCs/>
          <w:iCs/>
          <w:sz w:val="20"/>
          <w:szCs w:val="20"/>
        </w:rPr>
        <w:t>Jorge Mauricio Cardona Angarita</w:t>
      </w:r>
      <w:r w:rsidR="00534293">
        <w:rPr>
          <w:rFonts w:ascii="Verdana" w:hAnsi="Verdana"/>
          <w:bCs/>
          <w:iCs/>
          <w:sz w:val="20"/>
          <w:szCs w:val="20"/>
        </w:rPr>
        <w:t>, en los términos del párrafo considerativo décimo de esta decisión</w:t>
      </w:r>
      <w:r w:rsidR="001E4DF0">
        <w:rPr>
          <w:rFonts w:ascii="Verdana" w:hAnsi="Verdana"/>
          <w:bCs/>
          <w:iCs/>
          <w:sz w:val="20"/>
          <w:szCs w:val="20"/>
        </w:rPr>
        <w:t>.</w:t>
      </w:r>
    </w:p>
    <w:p w:rsidR="0070694C" w:rsidRDefault="0070694C" w:rsidP="00E75813">
      <w:pPr>
        <w:pStyle w:val="ListParagraph"/>
        <w:tabs>
          <w:tab w:val="left" w:pos="567"/>
        </w:tabs>
        <w:spacing w:after="0" w:line="240" w:lineRule="auto"/>
        <w:ind w:left="0"/>
        <w:jc w:val="both"/>
        <w:rPr>
          <w:rFonts w:ascii="Verdana" w:hAnsi="Verdana"/>
          <w:bCs/>
          <w:iCs/>
          <w:sz w:val="20"/>
          <w:szCs w:val="24"/>
        </w:rPr>
      </w:pPr>
    </w:p>
    <w:p w:rsidR="00C35310" w:rsidRPr="00C35310" w:rsidRDefault="009B03ED" w:rsidP="00534293">
      <w:pPr>
        <w:pStyle w:val="ListParagraph"/>
        <w:tabs>
          <w:tab w:val="left" w:pos="567"/>
        </w:tabs>
        <w:spacing w:after="0" w:line="240" w:lineRule="auto"/>
        <w:ind w:left="0"/>
        <w:jc w:val="both"/>
        <w:rPr>
          <w:rFonts w:ascii="Verdana" w:hAnsi="Verdana"/>
          <w:bCs/>
          <w:iCs/>
          <w:sz w:val="20"/>
          <w:szCs w:val="20"/>
        </w:rPr>
      </w:pPr>
      <w:r>
        <w:rPr>
          <w:rFonts w:ascii="Verdana" w:hAnsi="Verdana"/>
          <w:bCs/>
          <w:iCs/>
          <w:sz w:val="20"/>
          <w:szCs w:val="20"/>
        </w:rPr>
        <w:t>4</w:t>
      </w:r>
      <w:r w:rsidR="00534293">
        <w:rPr>
          <w:rFonts w:ascii="Verdana" w:hAnsi="Verdana"/>
          <w:bCs/>
          <w:iCs/>
          <w:sz w:val="20"/>
          <w:szCs w:val="20"/>
        </w:rPr>
        <w:t>.</w:t>
      </w:r>
      <w:r w:rsidR="00534293">
        <w:rPr>
          <w:rFonts w:ascii="Verdana" w:hAnsi="Verdana"/>
          <w:bCs/>
          <w:iCs/>
          <w:sz w:val="20"/>
          <w:szCs w:val="20"/>
        </w:rPr>
        <w:tab/>
      </w:r>
      <w:r w:rsidR="00C35310" w:rsidRPr="00C35310">
        <w:rPr>
          <w:rFonts w:ascii="Verdana" w:hAnsi="Verdana"/>
          <w:bCs/>
          <w:iCs/>
          <w:sz w:val="20"/>
          <w:szCs w:val="20"/>
        </w:rPr>
        <w:t xml:space="preserve">Disponer que la Secretaría de la Corte Interamericana notifique la presente Resolución a la Comisión Interamericana, a los representantes y al Estado. </w:t>
      </w:r>
    </w:p>
    <w:p w:rsidR="00534293" w:rsidRDefault="00534293" w:rsidP="00713047">
      <w:pPr>
        <w:tabs>
          <w:tab w:val="left" w:pos="567"/>
        </w:tabs>
        <w:spacing w:after="0" w:line="240" w:lineRule="auto"/>
        <w:jc w:val="both"/>
        <w:rPr>
          <w:rFonts w:ascii="Verdana" w:hAnsi="Verdana"/>
          <w:bCs/>
          <w:iCs/>
          <w:sz w:val="20"/>
          <w:szCs w:val="24"/>
        </w:rPr>
      </w:pPr>
    </w:p>
    <w:p w:rsidR="00534293" w:rsidRDefault="00534293" w:rsidP="00713047">
      <w:pPr>
        <w:tabs>
          <w:tab w:val="left" w:pos="567"/>
        </w:tabs>
        <w:spacing w:after="0" w:line="240" w:lineRule="auto"/>
        <w:jc w:val="both"/>
        <w:rPr>
          <w:rFonts w:ascii="Verdana" w:hAnsi="Verdana"/>
          <w:bCs/>
          <w:iCs/>
          <w:sz w:val="20"/>
          <w:szCs w:val="24"/>
        </w:rPr>
      </w:pPr>
    </w:p>
    <w:p w:rsidR="00534293" w:rsidRDefault="00534293" w:rsidP="00713047">
      <w:pPr>
        <w:tabs>
          <w:tab w:val="left" w:pos="567"/>
        </w:tabs>
        <w:spacing w:after="0" w:line="240" w:lineRule="auto"/>
        <w:jc w:val="both"/>
        <w:rPr>
          <w:rFonts w:ascii="Verdana" w:hAnsi="Verdana"/>
          <w:bCs/>
          <w:iCs/>
          <w:sz w:val="20"/>
          <w:szCs w:val="24"/>
        </w:rPr>
      </w:pPr>
    </w:p>
    <w:p w:rsidR="00534293" w:rsidRDefault="00534293" w:rsidP="00713047">
      <w:pPr>
        <w:tabs>
          <w:tab w:val="left" w:pos="567"/>
        </w:tabs>
        <w:spacing w:after="0" w:line="240" w:lineRule="auto"/>
        <w:jc w:val="both"/>
        <w:rPr>
          <w:rFonts w:ascii="Verdana" w:hAnsi="Verdana"/>
          <w:bCs/>
          <w:iCs/>
          <w:sz w:val="20"/>
          <w:szCs w:val="24"/>
        </w:rPr>
      </w:pPr>
    </w:p>
    <w:p w:rsidR="003B0AEA" w:rsidRDefault="00232C2D" w:rsidP="00713047">
      <w:pPr>
        <w:tabs>
          <w:tab w:val="left" w:pos="567"/>
        </w:tabs>
        <w:spacing w:after="0" w:line="240" w:lineRule="auto"/>
        <w:jc w:val="both"/>
        <w:rPr>
          <w:rFonts w:ascii="Verdana" w:hAnsi="Verdana"/>
          <w:bCs/>
          <w:iCs/>
          <w:sz w:val="20"/>
          <w:szCs w:val="24"/>
        </w:rPr>
      </w:pPr>
      <w:r w:rsidRPr="00713047">
        <w:rPr>
          <w:rFonts w:ascii="Verdana" w:hAnsi="Verdana"/>
          <w:bCs/>
          <w:iCs/>
          <w:sz w:val="20"/>
          <w:szCs w:val="24"/>
        </w:rPr>
        <w:t xml:space="preserve">Resolución del Presidente de la Corte Interamericana de Derechos Humanos. </w:t>
      </w:r>
      <w:r w:rsidRPr="001E4DF0">
        <w:rPr>
          <w:rFonts w:ascii="Verdana" w:hAnsi="Verdana"/>
          <w:bCs/>
          <w:i/>
          <w:iCs/>
          <w:sz w:val="20"/>
          <w:szCs w:val="24"/>
        </w:rPr>
        <w:t>Caso Isaza Uribe y otros vs. Colombia</w:t>
      </w:r>
    </w:p>
    <w:p w:rsidR="008C72E1" w:rsidRDefault="008C72E1" w:rsidP="005605A7">
      <w:pPr>
        <w:tabs>
          <w:tab w:val="left" w:pos="567"/>
        </w:tabs>
        <w:spacing w:after="0" w:line="240" w:lineRule="auto"/>
        <w:rPr>
          <w:rFonts w:ascii="Verdana" w:hAnsi="Verdana"/>
          <w:bCs/>
          <w:iCs/>
          <w:sz w:val="20"/>
          <w:szCs w:val="24"/>
        </w:rPr>
      </w:pPr>
    </w:p>
    <w:p w:rsidR="008C72E1" w:rsidRDefault="008C72E1" w:rsidP="005605A7">
      <w:pPr>
        <w:tabs>
          <w:tab w:val="left" w:pos="567"/>
        </w:tabs>
        <w:spacing w:after="0" w:line="240" w:lineRule="auto"/>
        <w:rPr>
          <w:rFonts w:ascii="Verdana" w:hAnsi="Verdana"/>
          <w:bCs/>
          <w:iCs/>
          <w:sz w:val="20"/>
          <w:szCs w:val="24"/>
        </w:rPr>
      </w:pPr>
    </w:p>
    <w:p w:rsidR="008C72E1" w:rsidRDefault="008C72E1" w:rsidP="005605A7">
      <w:pPr>
        <w:tabs>
          <w:tab w:val="left" w:pos="567"/>
        </w:tabs>
        <w:spacing w:after="0" w:line="240" w:lineRule="auto"/>
        <w:rPr>
          <w:rFonts w:ascii="Verdana" w:hAnsi="Verdana"/>
          <w:bCs/>
          <w:iCs/>
          <w:sz w:val="20"/>
          <w:szCs w:val="24"/>
        </w:rPr>
      </w:pPr>
    </w:p>
    <w:p w:rsidR="008C72E1" w:rsidRDefault="008C72E1" w:rsidP="005605A7">
      <w:pPr>
        <w:tabs>
          <w:tab w:val="left" w:pos="567"/>
        </w:tabs>
        <w:spacing w:after="0" w:line="240" w:lineRule="auto"/>
        <w:rPr>
          <w:rFonts w:ascii="Verdana" w:hAnsi="Verdana"/>
          <w:bCs/>
          <w:iCs/>
          <w:sz w:val="20"/>
          <w:szCs w:val="24"/>
        </w:rPr>
      </w:pPr>
    </w:p>
    <w:p w:rsidR="00F40ADC" w:rsidRDefault="00F40ADC" w:rsidP="005605A7">
      <w:pPr>
        <w:tabs>
          <w:tab w:val="left" w:pos="567"/>
        </w:tabs>
        <w:spacing w:after="0" w:line="240" w:lineRule="auto"/>
        <w:rPr>
          <w:rFonts w:ascii="Verdana" w:hAnsi="Verdana"/>
          <w:bCs/>
          <w:iCs/>
          <w:sz w:val="20"/>
          <w:szCs w:val="24"/>
        </w:rPr>
      </w:pPr>
    </w:p>
    <w:p w:rsidR="00F40ADC" w:rsidRDefault="00F40ADC" w:rsidP="005605A7">
      <w:pPr>
        <w:tabs>
          <w:tab w:val="left" w:pos="567"/>
        </w:tabs>
        <w:spacing w:after="0" w:line="240" w:lineRule="auto"/>
        <w:rPr>
          <w:rFonts w:ascii="Verdana" w:hAnsi="Verdana"/>
          <w:bCs/>
          <w:iCs/>
          <w:sz w:val="20"/>
          <w:szCs w:val="24"/>
        </w:rPr>
      </w:pPr>
    </w:p>
    <w:p w:rsidR="00F40ADC" w:rsidRPr="005605A7" w:rsidRDefault="00F40ADC" w:rsidP="005605A7">
      <w:pPr>
        <w:tabs>
          <w:tab w:val="left" w:pos="567"/>
        </w:tabs>
        <w:spacing w:after="0" w:line="240" w:lineRule="auto"/>
        <w:rPr>
          <w:rFonts w:ascii="Verdana" w:hAnsi="Verdana"/>
          <w:bCs/>
          <w:iCs/>
          <w:sz w:val="20"/>
          <w:szCs w:val="24"/>
        </w:rPr>
      </w:pPr>
    </w:p>
    <w:p w:rsidR="006F7C96" w:rsidRPr="005605A7" w:rsidRDefault="006F7C96" w:rsidP="005605A7">
      <w:pPr>
        <w:tabs>
          <w:tab w:val="left" w:pos="567"/>
        </w:tabs>
        <w:spacing w:after="0" w:line="240" w:lineRule="auto"/>
        <w:rPr>
          <w:rFonts w:ascii="Verdana" w:hAnsi="Verdana"/>
          <w:bCs/>
          <w:iCs/>
          <w:sz w:val="20"/>
          <w:szCs w:val="24"/>
        </w:rPr>
      </w:pPr>
    </w:p>
    <w:p w:rsidR="00EC1883" w:rsidRPr="00EC1883" w:rsidRDefault="0007512B" w:rsidP="009A226B">
      <w:pPr>
        <w:tabs>
          <w:tab w:val="left" w:pos="567"/>
        </w:tabs>
        <w:spacing w:after="0" w:line="240" w:lineRule="auto"/>
        <w:ind w:left="4253"/>
        <w:jc w:val="center"/>
        <w:rPr>
          <w:rFonts w:ascii="Verdana" w:eastAsia="Calibri" w:hAnsi="Verdana" w:cs="Calibri"/>
          <w:sz w:val="20"/>
          <w:szCs w:val="20"/>
          <w:lang w:val="pt-BR"/>
        </w:rPr>
      </w:pPr>
      <w:r>
        <w:rPr>
          <w:rFonts w:ascii="Verdana" w:eastAsia="Calibri" w:hAnsi="Verdana" w:cs="Calibri"/>
          <w:color w:val="000000"/>
          <w:spacing w:val="-2"/>
          <w:sz w:val="20"/>
          <w:szCs w:val="20"/>
          <w:lang w:val="pt-BR" w:eastAsia="es-CR"/>
        </w:rPr>
        <w:t>Eduardo Ferrer Mac-Gregor Poisot</w:t>
      </w:r>
      <w:r w:rsidR="00EC1883" w:rsidRPr="00EC1883">
        <w:rPr>
          <w:rFonts w:ascii="Verdana" w:eastAsia="Calibri" w:hAnsi="Verdana" w:cs="Calibri"/>
          <w:sz w:val="20"/>
          <w:szCs w:val="20"/>
          <w:lang w:val="pt-BR"/>
        </w:rPr>
        <w:t xml:space="preserve"> </w:t>
      </w:r>
    </w:p>
    <w:p w:rsidR="00EC1883" w:rsidRPr="00EC1883" w:rsidRDefault="00EC1883" w:rsidP="009A226B">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sz w:val="20"/>
          <w:szCs w:val="20"/>
          <w:lang w:val="pt-BR"/>
        </w:rPr>
        <w:t>Presidente</w:t>
      </w:r>
      <w:r w:rsidR="0007512B">
        <w:rPr>
          <w:rFonts w:ascii="Verdana" w:eastAsia="Calibri" w:hAnsi="Verdana" w:cs="Calibri"/>
          <w:sz w:val="20"/>
          <w:szCs w:val="20"/>
          <w:lang w:val="pt-BR"/>
        </w:rPr>
        <w:t xml:space="preserve"> </w:t>
      </w:r>
    </w:p>
    <w:p w:rsid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rsidR="005605A7" w:rsidRDefault="005605A7" w:rsidP="009A226B">
      <w:pPr>
        <w:tabs>
          <w:tab w:val="left" w:pos="567"/>
          <w:tab w:val="left" w:pos="2835"/>
        </w:tabs>
        <w:spacing w:after="0" w:line="240" w:lineRule="auto"/>
        <w:ind w:right="6003"/>
        <w:rPr>
          <w:rFonts w:ascii="Verdana" w:eastAsia="Calibri" w:hAnsi="Verdana" w:cs="Calibri"/>
          <w:sz w:val="20"/>
          <w:szCs w:val="20"/>
          <w:lang w:val="pt-BR"/>
        </w:rPr>
      </w:pPr>
    </w:p>
    <w:p w:rsid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rsidR="00F40ADC" w:rsidRDefault="00F40ADC" w:rsidP="009A226B">
      <w:pPr>
        <w:tabs>
          <w:tab w:val="left" w:pos="567"/>
          <w:tab w:val="left" w:pos="2835"/>
        </w:tabs>
        <w:spacing w:after="0" w:line="240" w:lineRule="auto"/>
        <w:ind w:right="6003"/>
        <w:rPr>
          <w:rFonts w:ascii="Verdana" w:eastAsia="Calibri" w:hAnsi="Verdana" w:cs="Calibri"/>
          <w:sz w:val="20"/>
          <w:szCs w:val="20"/>
          <w:lang w:val="pt-BR"/>
        </w:rPr>
      </w:pPr>
    </w:p>
    <w:p w:rsidR="00F40ADC" w:rsidRDefault="00F40ADC" w:rsidP="009A226B">
      <w:pPr>
        <w:tabs>
          <w:tab w:val="left" w:pos="567"/>
          <w:tab w:val="left" w:pos="2835"/>
        </w:tabs>
        <w:spacing w:after="0" w:line="240" w:lineRule="auto"/>
        <w:ind w:right="6003"/>
        <w:rPr>
          <w:rFonts w:ascii="Verdana" w:eastAsia="Calibri" w:hAnsi="Verdana" w:cs="Calibri"/>
          <w:sz w:val="20"/>
          <w:szCs w:val="20"/>
          <w:lang w:val="pt-BR"/>
        </w:rPr>
      </w:pPr>
    </w:p>
    <w:p w:rsidR="00EC1883" w:rsidRP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rsidR="00EC1883" w:rsidRPr="00EC1883" w:rsidRDefault="00EC1883" w:rsidP="009A226B">
      <w:pPr>
        <w:tabs>
          <w:tab w:val="left" w:pos="567"/>
          <w:tab w:val="left" w:pos="2835"/>
        </w:tabs>
        <w:spacing w:after="0" w:line="240" w:lineRule="auto"/>
        <w:ind w:right="6003"/>
        <w:jc w:val="center"/>
        <w:rPr>
          <w:rFonts w:ascii="Verdana" w:eastAsia="Calibri" w:hAnsi="Verdana" w:cs="Calibri"/>
          <w:sz w:val="20"/>
          <w:szCs w:val="20"/>
          <w:lang w:val="pt-BR"/>
        </w:rPr>
      </w:pPr>
      <w:r w:rsidRPr="00EC1883">
        <w:rPr>
          <w:rFonts w:ascii="Verdana" w:eastAsia="Calibri" w:hAnsi="Verdana" w:cs="Calibri"/>
          <w:sz w:val="20"/>
          <w:szCs w:val="20"/>
          <w:lang w:val="pt-BR"/>
        </w:rPr>
        <w:t>Pablo Saavedra Alessandri</w:t>
      </w:r>
    </w:p>
    <w:p w:rsidR="00EC1883" w:rsidRPr="00EC1883" w:rsidRDefault="00EC1883" w:rsidP="009A226B">
      <w:pPr>
        <w:tabs>
          <w:tab w:val="left" w:pos="567"/>
          <w:tab w:val="left" w:pos="2835"/>
        </w:tabs>
        <w:spacing w:after="0" w:line="240" w:lineRule="auto"/>
        <w:ind w:right="6003"/>
        <w:jc w:val="center"/>
        <w:rPr>
          <w:rFonts w:ascii="Verdana" w:eastAsia="Calibri" w:hAnsi="Verdana" w:cs="Calibri"/>
          <w:sz w:val="20"/>
          <w:szCs w:val="20"/>
          <w:lang w:val="es-ES"/>
        </w:rPr>
      </w:pPr>
      <w:r w:rsidRPr="00EC1883">
        <w:rPr>
          <w:rFonts w:ascii="Verdana" w:eastAsia="Calibri" w:hAnsi="Verdana" w:cs="Calibri"/>
          <w:sz w:val="20"/>
          <w:szCs w:val="20"/>
          <w:lang w:val="es-ES"/>
        </w:rPr>
        <w:t>Secretario</w:t>
      </w: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Default="00EC1883" w:rsidP="009A226B">
      <w:pPr>
        <w:tabs>
          <w:tab w:val="left" w:pos="567"/>
        </w:tabs>
        <w:spacing w:after="0" w:line="240" w:lineRule="auto"/>
        <w:jc w:val="both"/>
        <w:rPr>
          <w:rFonts w:ascii="Verdana" w:eastAsia="Calibri" w:hAnsi="Verdana" w:cs="Calibri"/>
          <w:sz w:val="20"/>
          <w:szCs w:val="20"/>
          <w:lang w:val="es-MX"/>
        </w:rPr>
      </w:pPr>
    </w:p>
    <w:p w:rsidR="005605A7" w:rsidRPr="00EC1883" w:rsidRDefault="005605A7"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r w:rsidRPr="00EC1883">
        <w:rPr>
          <w:rFonts w:ascii="Verdana" w:eastAsia="Calibri" w:hAnsi="Verdana" w:cs="Calibri"/>
          <w:sz w:val="20"/>
          <w:szCs w:val="20"/>
          <w:lang w:val="es-MX"/>
        </w:rPr>
        <w:t>Comuníquese y ejecútese,</w:t>
      </w:r>
      <w:r w:rsidRPr="00EC1883">
        <w:rPr>
          <w:rFonts w:ascii="Verdana" w:eastAsia="Calibri" w:hAnsi="Verdana" w:cs="Calibri"/>
          <w:noProof/>
          <w:sz w:val="20"/>
          <w:szCs w:val="20"/>
          <w:lang w:eastAsia="es-CR"/>
        </w:rPr>
        <w:t xml:space="preserve"> </w:t>
      </w: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5605A7" w:rsidRDefault="005605A7" w:rsidP="009A226B">
      <w:pPr>
        <w:tabs>
          <w:tab w:val="left" w:pos="567"/>
        </w:tabs>
        <w:spacing w:after="0" w:line="240" w:lineRule="auto"/>
        <w:jc w:val="both"/>
        <w:rPr>
          <w:rFonts w:ascii="Verdana" w:eastAsia="Calibri" w:hAnsi="Verdana" w:cs="Calibri"/>
          <w:sz w:val="20"/>
          <w:szCs w:val="20"/>
          <w:lang w:val="es-MX"/>
        </w:rPr>
      </w:pPr>
    </w:p>
    <w:p w:rsidR="00F40ADC" w:rsidRPr="00EC1883" w:rsidRDefault="00F40ADC" w:rsidP="009A226B">
      <w:pPr>
        <w:tabs>
          <w:tab w:val="left" w:pos="567"/>
        </w:tabs>
        <w:spacing w:after="0" w:line="240" w:lineRule="auto"/>
        <w:jc w:val="both"/>
        <w:rPr>
          <w:rFonts w:ascii="Verdana" w:eastAsia="Calibri" w:hAnsi="Verdana" w:cs="Calibri"/>
          <w:sz w:val="20"/>
          <w:szCs w:val="20"/>
          <w:lang w:val="es-MX"/>
        </w:rPr>
      </w:pPr>
    </w:p>
    <w:p w:rsidR="0007512B" w:rsidRPr="005605A7" w:rsidRDefault="0007512B" w:rsidP="0007512B">
      <w:pPr>
        <w:tabs>
          <w:tab w:val="left" w:pos="567"/>
        </w:tabs>
        <w:spacing w:after="0" w:line="240" w:lineRule="auto"/>
        <w:rPr>
          <w:rFonts w:ascii="Verdana" w:hAnsi="Verdana"/>
          <w:bCs/>
          <w:iCs/>
          <w:sz w:val="20"/>
          <w:szCs w:val="24"/>
        </w:rPr>
      </w:pPr>
    </w:p>
    <w:p w:rsidR="0007512B" w:rsidRPr="00EC1883" w:rsidRDefault="0007512B" w:rsidP="0007512B">
      <w:pPr>
        <w:tabs>
          <w:tab w:val="left" w:pos="567"/>
        </w:tabs>
        <w:spacing w:after="0" w:line="240" w:lineRule="auto"/>
        <w:ind w:left="4253"/>
        <w:jc w:val="center"/>
        <w:rPr>
          <w:rFonts w:ascii="Verdana" w:eastAsia="Calibri" w:hAnsi="Verdana" w:cs="Calibri"/>
          <w:sz w:val="20"/>
          <w:szCs w:val="20"/>
          <w:lang w:val="pt-BR"/>
        </w:rPr>
      </w:pPr>
      <w:r>
        <w:rPr>
          <w:rFonts w:ascii="Verdana" w:eastAsia="Calibri" w:hAnsi="Verdana" w:cs="Calibri"/>
          <w:color w:val="000000"/>
          <w:spacing w:val="-2"/>
          <w:sz w:val="20"/>
          <w:szCs w:val="20"/>
          <w:lang w:val="pt-BR" w:eastAsia="es-CR"/>
        </w:rPr>
        <w:t>Eduardo Ferrer Mac-Gregor Poisot</w:t>
      </w:r>
      <w:r w:rsidRPr="00EC1883">
        <w:rPr>
          <w:rFonts w:ascii="Verdana" w:eastAsia="Calibri" w:hAnsi="Verdana" w:cs="Calibri"/>
          <w:sz w:val="20"/>
          <w:szCs w:val="20"/>
          <w:lang w:val="pt-BR"/>
        </w:rPr>
        <w:t xml:space="preserve"> </w:t>
      </w:r>
    </w:p>
    <w:p w:rsidR="0007512B" w:rsidRPr="00EC1883" w:rsidRDefault="0007512B" w:rsidP="0007512B">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sz w:val="20"/>
          <w:szCs w:val="20"/>
          <w:lang w:val="pt-BR"/>
        </w:rPr>
        <w:t>Presidente</w:t>
      </w:r>
      <w:r>
        <w:rPr>
          <w:rFonts w:ascii="Verdana" w:eastAsia="Calibri" w:hAnsi="Verdana" w:cs="Calibri"/>
          <w:sz w:val="20"/>
          <w:szCs w:val="20"/>
          <w:lang w:val="pt-BR"/>
        </w:rPr>
        <w:t xml:space="preserve"> </w:t>
      </w:r>
    </w:p>
    <w:p w:rsidR="0007512B" w:rsidRDefault="0007512B" w:rsidP="0007512B">
      <w:pPr>
        <w:tabs>
          <w:tab w:val="left" w:pos="567"/>
          <w:tab w:val="left" w:pos="2835"/>
        </w:tabs>
        <w:spacing w:after="0" w:line="240" w:lineRule="auto"/>
        <w:ind w:right="6003"/>
        <w:rPr>
          <w:rFonts w:ascii="Verdana" w:eastAsia="Calibri" w:hAnsi="Verdana" w:cs="Calibri"/>
          <w:sz w:val="20"/>
          <w:szCs w:val="20"/>
          <w:lang w:val="pt-BR"/>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Default="00EC1883" w:rsidP="009A226B">
      <w:pPr>
        <w:tabs>
          <w:tab w:val="left" w:pos="567"/>
        </w:tabs>
        <w:spacing w:after="0" w:line="240" w:lineRule="auto"/>
        <w:jc w:val="both"/>
        <w:rPr>
          <w:rFonts w:ascii="Verdana" w:eastAsia="Calibri" w:hAnsi="Verdana" w:cs="Calibri"/>
          <w:sz w:val="20"/>
          <w:szCs w:val="20"/>
          <w:lang w:val="es-MX"/>
        </w:rPr>
      </w:pPr>
    </w:p>
    <w:p w:rsidR="00F40ADC" w:rsidRPr="00EC1883" w:rsidRDefault="00F40ADC"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Pablo Saavedra Alessandri</w:t>
      </w:r>
    </w:p>
    <w:p w:rsidR="0077293A" w:rsidRPr="00073E13" w:rsidRDefault="00EC1883" w:rsidP="009A226B">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Secretario</w:t>
      </w:r>
    </w:p>
    <w:sectPr w:rsidR="0077293A" w:rsidRPr="00073E13" w:rsidSect="00F42AE7">
      <w:headerReference w:type="even" r:id="rId9"/>
      <w:headerReference w:type="default" r:id="rId10"/>
      <w:pgSz w:w="12240" w:h="15840"/>
      <w:pgMar w:top="1440" w:right="1418"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05" w:rsidRDefault="008A6C05" w:rsidP="006A0BE5">
      <w:pPr>
        <w:spacing w:after="0" w:line="240" w:lineRule="auto"/>
      </w:pPr>
      <w:r>
        <w:separator/>
      </w:r>
    </w:p>
  </w:endnote>
  <w:endnote w:type="continuationSeparator" w:id="0">
    <w:p w:rsidR="008A6C05" w:rsidRDefault="008A6C05" w:rsidP="006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05" w:rsidRDefault="008A6C05" w:rsidP="006A0BE5">
      <w:pPr>
        <w:spacing w:after="0" w:line="240" w:lineRule="auto"/>
      </w:pPr>
      <w:r>
        <w:separator/>
      </w:r>
    </w:p>
  </w:footnote>
  <w:footnote w:type="continuationSeparator" w:id="0">
    <w:p w:rsidR="008A6C05" w:rsidRDefault="008A6C05" w:rsidP="006A0BE5">
      <w:pPr>
        <w:spacing w:after="0" w:line="240" w:lineRule="auto"/>
      </w:pPr>
      <w:r>
        <w:continuationSeparator/>
      </w:r>
    </w:p>
  </w:footnote>
  <w:footnote w:id="1">
    <w:p w:rsidR="004A4187" w:rsidRPr="00FC57DC" w:rsidRDefault="004A4187" w:rsidP="008C36C6">
      <w:pPr>
        <w:pStyle w:val="FootnoteText"/>
        <w:spacing w:before="120" w:after="120"/>
        <w:rPr>
          <w:rFonts w:ascii="Verdana" w:hAnsi="Verdana"/>
          <w:sz w:val="16"/>
          <w:szCs w:val="16"/>
        </w:rPr>
      </w:pPr>
      <w:r w:rsidRPr="00FC57DC">
        <w:rPr>
          <w:rStyle w:val="FootnoteReference"/>
          <w:rFonts w:ascii="Verdana" w:hAnsi="Verdana"/>
          <w:sz w:val="16"/>
          <w:szCs w:val="16"/>
        </w:rPr>
        <w:footnoteRef/>
      </w:r>
      <w:r w:rsidRPr="00FC57DC">
        <w:rPr>
          <w:rFonts w:ascii="Verdana" w:hAnsi="Verdana"/>
          <w:sz w:val="16"/>
          <w:szCs w:val="16"/>
        </w:rPr>
        <w:t xml:space="preserve"> </w:t>
      </w:r>
      <w:r w:rsidRPr="00FC57DC">
        <w:rPr>
          <w:rFonts w:ascii="Verdana" w:hAnsi="Verdana"/>
          <w:sz w:val="16"/>
          <w:szCs w:val="16"/>
        </w:rPr>
        <w:tab/>
      </w:r>
      <w:r w:rsidRPr="00FC57DC">
        <w:rPr>
          <w:rFonts w:ascii="Verdana" w:hAnsi="Verdana"/>
          <w:i/>
          <w:sz w:val="16"/>
          <w:szCs w:val="16"/>
          <w:lang w:val="es-MX"/>
        </w:rPr>
        <w:t>Cfr</w:t>
      </w:r>
      <w:r w:rsidRPr="00FC57DC">
        <w:rPr>
          <w:rFonts w:ascii="Verdana" w:hAnsi="Verdana"/>
          <w:sz w:val="16"/>
          <w:szCs w:val="16"/>
          <w:lang w:val="es-MX"/>
        </w:rPr>
        <w:t xml:space="preserve">. Resolución del Presidente </w:t>
      </w:r>
      <w:r w:rsidR="0007716A">
        <w:rPr>
          <w:rFonts w:ascii="Verdana" w:hAnsi="Verdana"/>
          <w:sz w:val="16"/>
          <w:szCs w:val="16"/>
          <w:lang w:val="es-MX"/>
        </w:rPr>
        <w:t xml:space="preserve">en ejercicio </w:t>
      </w:r>
      <w:r w:rsidRPr="00FC57DC">
        <w:rPr>
          <w:rFonts w:ascii="Verdana" w:hAnsi="Verdana"/>
          <w:sz w:val="16"/>
          <w:szCs w:val="16"/>
          <w:lang w:val="es-MX"/>
        </w:rPr>
        <w:t xml:space="preserve">de la Corte de </w:t>
      </w:r>
      <w:r w:rsidR="0007716A">
        <w:rPr>
          <w:rFonts w:ascii="Verdana" w:hAnsi="Verdana"/>
          <w:sz w:val="16"/>
          <w:szCs w:val="16"/>
          <w:lang w:val="es-MX"/>
        </w:rPr>
        <w:t>13 diciembre</w:t>
      </w:r>
      <w:r w:rsidRPr="00FC57DC">
        <w:rPr>
          <w:rFonts w:ascii="Verdana" w:hAnsi="Verdana"/>
          <w:sz w:val="16"/>
          <w:szCs w:val="16"/>
          <w:lang w:val="es-MX"/>
        </w:rPr>
        <w:t xml:space="preserve"> de 2017, disponible en: </w:t>
      </w:r>
      <w:hyperlink r:id="rId1" w:history="1">
        <w:r w:rsidR="0007716A" w:rsidRPr="0007716A">
          <w:rPr>
            <w:rStyle w:val="Hyperlink"/>
            <w:rFonts w:ascii="Verdana" w:hAnsi="Verdana"/>
            <w:sz w:val="16"/>
            <w:szCs w:val="16"/>
          </w:rPr>
          <w:t>http://www.corteidh.or.cr/docs/asuntos/isaza_13_12_17.pdf</w:t>
        </w:r>
      </w:hyperlink>
      <w:r w:rsidR="0007716A">
        <w:t xml:space="preserve"> </w:t>
      </w:r>
      <w:r w:rsidRPr="00FC57DC">
        <w:rPr>
          <w:rFonts w:ascii="Verdana" w:hAnsi="Verdana"/>
          <w:sz w:val="16"/>
          <w:szCs w:val="16"/>
        </w:rPr>
        <w:t xml:space="preserve"> </w:t>
      </w:r>
    </w:p>
  </w:footnote>
  <w:footnote w:id="2">
    <w:p w:rsidR="007E21C6" w:rsidRPr="00D66EDB" w:rsidRDefault="007E21C6" w:rsidP="008C36C6">
      <w:pPr>
        <w:pStyle w:val="FootnoteText"/>
        <w:tabs>
          <w:tab w:val="left" w:pos="426"/>
        </w:tabs>
        <w:spacing w:before="120" w:after="120"/>
        <w:jc w:val="both"/>
        <w:rPr>
          <w:rFonts w:ascii="Verdana" w:hAnsi="Verdana"/>
          <w:sz w:val="16"/>
          <w:szCs w:val="16"/>
        </w:rPr>
      </w:pPr>
      <w:r w:rsidRPr="00D66EDB">
        <w:rPr>
          <w:rStyle w:val="FootnoteReference"/>
          <w:rFonts w:ascii="Verdana" w:hAnsi="Verdana"/>
          <w:sz w:val="16"/>
          <w:szCs w:val="16"/>
        </w:rPr>
        <w:footnoteRef/>
      </w:r>
      <w:r w:rsidRPr="00D66EDB">
        <w:rPr>
          <w:rFonts w:ascii="Verdana" w:hAnsi="Verdana"/>
          <w:sz w:val="16"/>
          <w:szCs w:val="16"/>
        </w:rPr>
        <w:t xml:space="preserve"> </w:t>
      </w:r>
      <w:r w:rsidRPr="00D66EDB">
        <w:rPr>
          <w:rFonts w:ascii="Verdana" w:hAnsi="Verdana"/>
          <w:sz w:val="16"/>
          <w:szCs w:val="16"/>
        </w:rPr>
        <w:tab/>
      </w:r>
      <w:r>
        <w:rPr>
          <w:rFonts w:ascii="Verdana" w:hAnsi="Verdana"/>
          <w:sz w:val="16"/>
          <w:szCs w:val="16"/>
          <w:lang w:val="es-MX"/>
        </w:rPr>
        <w:t>Las presuntas víctimas son representadas en este caso por la organización “Comisión Colombiana de Juristas (CCJ)”.</w:t>
      </w:r>
    </w:p>
  </w:footnote>
  <w:footnote w:id="3">
    <w:p w:rsidR="00192A4F" w:rsidRDefault="00192A4F" w:rsidP="008C36C6">
      <w:pPr>
        <w:pStyle w:val="FootnoteText"/>
        <w:spacing w:before="120" w:after="120"/>
        <w:jc w:val="both"/>
      </w:pPr>
      <w:r>
        <w:rPr>
          <w:rStyle w:val="FootnoteReference"/>
        </w:rPr>
        <w:footnoteRef/>
      </w:r>
      <w:r>
        <w:t xml:space="preserve"> </w:t>
      </w:r>
      <w:r>
        <w:tab/>
      </w:r>
      <w:r>
        <w:rPr>
          <w:rFonts w:ascii="Verdana" w:hAnsi="Verdana"/>
          <w:i/>
          <w:sz w:val="16"/>
          <w:szCs w:val="16"/>
          <w:lang w:val="es-ES_tradnl"/>
        </w:rPr>
        <w:t>Cfr. Caso Chinchilla Sandoval vs. Guatemala.</w:t>
      </w:r>
      <w:r>
        <w:rPr>
          <w:rFonts w:ascii="Verdana" w:hAnsi="Verdana"/>
          <w:sz w:val="16"/>
          <w:szCs w:val="16"/>
          <w:lang w:val="es-ES_tradnl"/>
        </w:rPr>
        <w:t xml:space="preserve"> Resolución del Presidente de la Corte de 12 de mayo de 2015, párrafo considerativo 30.</w:t>
      </w:r>
    </w:p>
  </w:footnote>
  <w:footnote w:id="4">
    <w:p w:rsidR="00192A4F" w:rsidRDefault="00192A4F" w:rsidP="008C36C6">
      <w:pPr>
        <w:pStyle w:val="FootnoteText"/>
        <w:spacing w:before="120" w:after="120"/>
        <w:jc w:val="both"/>
        <w:rPr>
          <w:sz w:val="16"/>
          <w:szCs w:val="16"/>
          <w:lang w:val="es-ES_tradnl"/>
        </w:rPr>
      </w:pPr>
      <w:r>
        <w:rPr>
          <w:rStyle w:val="FootnoteReference"/>
          <w:sz w:val="16"/>
          <w:szCs w:val="16"/>
        </w:rPr>
        <w:footnoteRef/>
      </w:r>
      <w:r>
        <w:rPr>
          <w:sz w:val="16"/>
          <w:szCs w:val="16"/>
          <w:lang w:val="es-ES_tradnl"/>
        </w:rPr>
        <w:t xml:space="preserve"> </w:t>
      </w:r>
      <w:r>
        <w:rPr>
          <w:sz w:val="16"/>
          <w:szCs w:val="16"/>
          <w:lang w:val="es-ES_tradnl"/>
        </w:rPr>
        <w:tab/>
      </w:r>
      <w:r>
        <w:rPr>
          <w:rFonts w:ascii="Verdana" w:hAnsi="Verdana"/>
          <w:i/>
          <w:sz w:val="16"/>
          <w:szCs w:val="16"/>
          <w:lang w:val="es-ES_tradnl"/>
        </w:rPr>
        <w:t>Cfr. Caso Ibsen Cárdenas e Ibsen Peña Vs. Bolivia.</w:t>
      </w:r>
      <w:r>
        <w:rPr>
          <w:rFonts w:ascii="Verdana" w:hAnsi="Verdana"/>
          <w:sz w:val="16"/>
          <w:szCs w:val="16"/>
          <w:lang w:val="es-ES_tradnl"/>
        </w:rPr>
        <w:t xml:space="preserve"> Resolución del Presidente de la Corte de 10 de marzo de 2010, párrafo considerativo 15; </w:t>
      </w:r>
      <w:r>
        <w:rPr>
          <w:rFonts w:ascii="Verdana" w:hAnsi="Verdana"/>
          <w:i/>
          <w:sz w:val="16"/>
          <w:szCs w:val="16"/>
          <w:lang w:val="es-ES_tradnl"/>
        </w:rPr>
        <w:t xml:space="preserve">Caso Tenorio Roca Vs. Perú. </w:t>
      </w:r>
      <w:r>
        <w:rPr>
          <w:rFonts w:ascii="Verdana" w:hAnsi="Verdana"/>
          <w:sz w:val="16"/>
          <w:szCs w:val="16"/>
          <w:lang w:val="es-ES_tradnl"/>
        </w:rPr>
        <w:t xml:space="preserve">Resolución del Presidente de la Corte de 105 de diciembre de marzo de 2015, párrafo considerativo 10; </w:t>
      </w:r>
      <w:r>
        <w:rPr>
          <w:rFonts w:ascii="Verdana" w:hAnsi="Verdana"/>
          <w:i/>
          <w:sz w:val="16"/>
          <w:szCs w:val="16"/>
          <w:lang w:val="es-ES_tradnl"/>
        </w:rPr>
        <w:t>Caso Osorio Rivera y familiares Vs. Perú.</w:t>
      </w:r>
      <w:r>
        <w:rPr>
          <w:rFonts w:ascii="Verdana" w:hAnsi="Verdana"/>
          <w:sz w:val="16"/>
          <w:szCs w:val="16"/>
          <w:lang w:val="es-ES_tradnl"/>
        </w:rPr>
        <w:t xml:space="preserve"> Resolución del Presidente de la Corte de 8 de julio de 2013, párrafo considerativo 25.</w:t>
      </w:r>
    </w:p>
  </w:footnote>
  <w:footnote w:id="5">
    <w:p w:rsidR="00917B79" w:rsidRPr="00917B79" w:rsidRDefault="00917B79" w:rsidP="008C36C6">
      <w:pPr>
        <w:pStyle w:val="FootnoteText"/>
        <w:spacing w:before="120" w:after="120"/>
        <w:jc w:val="both"/>
        <w:rPr>
          <w:rFonts w:ascii="Verdana" w:hAnsi="Verdana"/>
          <w:sz w:val="16"/>
          <w:szCs w:val="16"/>
        </w:rPr>
      </w:pPr>
      <w:r w:rsidRPr="00917B79">
        <w:rPr>
          <w:rStyle w:val="FootnoteReference"/>
          <w:rFonts w:ascii="Verdana" w:hAnsi="Verdana"/>
          <w:sz w:val="16"/>
          <w:szCs w:val="16"/>
        </w:rPr>
        <w:footnoteRef/>
      </w:r>
      <w:r w:rsidRPr="00917B79">
        <w:rPr>
          <w:rFonts w:ascii="Verdana" w:hAnsi="Verdana"/>
          <w:sz w:val="16"/>
          <w:szCs w:val="16"/>
        </w:rPr>
        <w:t xml:space="preserve"> </w:t>
      </w:r>
      <w:r w:rsidRPr="00917B79">
        <w:rPr>
          <w:rFonts w:ascii="Verdana" w:hAnsi="Verdana"/>
          <w:sz w:val="16"/>
          <w:szCs w:val="16"/>
        </w:rPr>
        <w:tab/>
        <w:t>“</w:t>
      </w:r>
      <w:r w:rsidRPr="00917B79">
        <w:rPr>
          <w:rFonts w:ascii="Verdana" w:hAnsi="Verdana"/>
          <w:sz w:val="16"/>
          <w:szCs w:val="16"/>
          <w:lang w:val="es-ES_tradnl"/>
        </w:rPr>
        <w:t>Excepcionalmente y oído el parecer de todos los intervinientes en el proceso, la Corte podrá admitir una prueba si el que la ofrece justificare adecuadamente que por fuerza mayor o impedimento grave no presentó u ofreció dicha prueba en los momentos procesales establecidos en los artículos 35.1, 36.1, 40.2 y 41.1 de este Reglamento. […]”</w:t>
      </w:r>
    </w:p>
  </w:footnote>
  <w:footnote w:id="6">
    <w:p w:rsidR="009D2DFD" w:rsidRPr="008C36C6" w:rsidRDefault="009D2DFD" w:rsidP="008C36C6">
      <w:pPr>
        <w:pStyle w:val="FootnoteText"/>
        <w:spacing w:before="120" w:after="120"/>
        <w:jc w:val="both"/>
        <w:rPr>
          <w:rFonts w:ascii="Verdana" w:eastAsia="Calibri" w:hAnsi="Verdana" w:cs="Times"/>
          <w:sz w:val="16"/>
          <w:szCs w:val="16"/>
          <w:lang w:val="es-ES_tradnl" w:eastAsia="es-ES"/>
        </w:rPr>
      </w:pPr>
      <w:r w:rsidRPr="008C36C6">
        <w:rPr>
          <w:rStyle w:val="FootnoteReference"/>
          <w:rFonts w:ascii="Verdana" w:hAnsi="Verdana"/>
          <w:sz w:val="16"/>
          <w:szCs w:val="16"/>
        </w:rPr>
        <w:footnoteRef/>
      </w:r>
      <w:r w:rsidRPr="008C36C6">
        <w:rPr>
          <w:rFonts w:ascii="Verdana" w:hAnsi="Verdana"/>
          <w:sz w:val="16"/>
          <w:szCs w:val="16"/>
        </w:rPr>
        <w:t xml:space="preserve"> </w:t>
      </w:r>
      <w:r w:rsidR="008C36C6">
        <w:rPr>
          <w:rFonts w:ascii="Verdana" w:hAnsi="Verdana"/>
          <w:sz w:val="16"/>
          <w:szCs w:val="16"/>
        </w:rPr>
        <w:tab/>
      </w:r>
      <w:r w:rsidRPr="008C36C6">
        <w:rPr>
          <w:rFonts w:ascii="Verdana" w:hAnsi="Verdana"/>
          <w:sz w:val="16"/>
          <w:szCs w:val="16"/>
        </w:rPr>
        <w:t>El artículo 29 del Reglamento de la Corte establece: “Excepcionalmente, frente a solicitud fundada y oído el parecer de la contraparte, la Corte podrá aceptar la sustitución de un declarante siempre que se individualice al sustituto y se respete el objeto de la declaración, testimonio o peritaje originalmente ofrecido.”</w:t>
      </w:r>
    </w:p>
  </w:footnote>
  <w:footnote w:id="7">
    <w:p w:rsidR="009D2DFD" w:rsidRDefault="009D2DFD" w:rsidP="008C36C6">
      <w:pPr>
        <w:pStyle w:val="FootnoteText"/>
        <w:spacing w:before="120" w:after="120"/>
        <w:jc w:val="both"/>
        <w:rPr>
          <w:sz w:val="16"/>
          <w:szCs w:val="16"/>
        </w:rPr>
      </w:pPr>
      <w:r w:rsidRPr="008C36C6">
        <w:rPr>
          <w:rStyle w:val="FootnoteReference"/>
          <w:rFonts w:ascii="Verdana" w:hAnsi="Verdana"/>
          <w:sz w:val="16"/>
          <w:szCs w:val="16"/>
        </w:rPr>
        <w:footnoteRef/>
      </w:r>
      <w:r w:rsidRPr="008C36C6">
        <w:rPr>
          <w:rFonts w:ascii="Verdana" w:hAnsi="Verdana"/>
          <w:sz w:val="16"/>
          <w:szCs w:val="16"/>
        </w:rPr>
        <w:t xml:space="preserve"> </w:t>
      </w:r>
      <w:r w:rsidR="008C36C6">
        <w:rPr>
          <w:rFonts w:ascii="Verdana" w:hAnsi="Verdana"/>
          <w:sz w:val="16"/>
          <w:szCs w:val="16"/>
        </w:rPr>
        <w:tab/>
      </w:r>
      <w:r w:rsidRPr="008C36C6">
        <w:rPr>
          <w:rFonts w:ascii="Verdana" w:hAnsi="Verdana"/>
          <w:i/>
          <w:sz w:val="16"/>
          <w:szCs w:val="16"/>
        </w:rPr>
        <w:t>Cfr. Caso Gelman Vs. Uruguay.</w:t>
      </w:r>
      <w:r w:rsidRPr="008C36C6">
        <w:rPr>
          <w:rFonts w:ascii="Verdana" w:hAnsi="Verdana"/>
          <w:sz w:val="16"/>
          <w:szCs w:val="16"/>
        </w:rPr>
        <w:t xml:space="preserve"> Resolución del Presidente de la Corte de 10 d</w:t>
      </w:r>
      <w:r w:rsidR="00586B97">
        <w:rPr>
          <w:rFonts w:ascii="Verdana" w:hAnsi="Verdana"/>
          <w:sz w:val="16"/>
          <w:szCs w:val="16"/>
        </w:rPr>
        <w:t>e septiembre de 2010, párrafos considerativos</w:t>
      </w:r>
      <w:r w:rsidRPr="008C36C6">
        <w:rPr>
          <w:rFonts w:ascii="Verdana" w:hAnsi="Verdana"/>
          <w:sz w:val="16"/>
          <w:szCs w:val="16"/>
        </w:rPr>
        <w:t xml:space="preserve"> 8 y 10, y </w:t>
      </w:r>
      <w:r w:rsidRPr="008C36C6">
        <w:rPr>
          <w:rStyle w:val="Strong"/>
          <w:rFonts w:ascii="Verdana" w:hAnsi="Verdana"/>
          <w:b w:val="0"/>
          <w:i/>
          <w:color w:val="000000"/>
          <w:sz w:val="16"/>
          <w:szCs w:val="16"/>
          <w:shd w:val="clear" w:color="auto" w:fill="FFFFFF"/>
        </w:rPr>
        <w:t>Caso Poblete Vilches y Otros Vs. Chile</w:t>
      </w:r>
      <w:r w:rsidRPr="008C36C6">
        <w:rPr>
          <w:rStyle w:val="Strong"/>
          <w:rFonts w:ascii="Verdana" w:hAnsi="Verdana"/>
          <w:b w:val="0"/>
          <w:color w:val="000000"/>
          <w:sz w:val="16"/>
          <w:szCs w:val="16"/>
          <w:shd w:val="clear" w:color="auto" w:fill="FFFFFF"/>
        </w:rPr>
        <w:t>. Resolución del Presidente de la Corte de 21 de septiembre de 2017</w:t>
      </w:r>
      <w:r w:rsidRPr="008C36C6">
        <w:rPr>
          <w:rStyle w:val="Strong"/>
          <w:rFonts w:ascii="Verdana" w:hAnsi="Verdana"/>
          <w:b w:val="0"/>
          <w:i/>
          <w:color w:val="000000"/>
          <w:sz w:val="16"/>
          <w:szCs w:val="16"/>
          <w:shd w:val="clear" w:color="auto" w:fill="FFFFFF"/>
        </w:rPr>
        <w:t xml:space="preserve">, </w:t>
      </w:r>
      <w:r w:rsidR="00586B97">
        <w:rPr>
          <w:rFonts w:ascii="Verdana" w:hAnsi="Verdana"/>
          <w:sz w:val="16"/>
          <w:szCs w:val="16"/>
        </w:rPr>
        <w:t xml:space="preserve">párrafo considerativo </w:t>
      </w:r>
      <w:r w:rsidRPr="008C36C6">
        <w:rPr>
          <w:rStyle w:val="Strong"/>
          <w:rFonts w:ascii="Verdana" w:hAnsi="Verdana"/>
          <w:b w:val="0"/>
          <w:color w:val="000000"/>
          <w:sz w:val="16"/>
          <w:szCs w:val="16"/>
          <w:shd w:val="clear" w:color="auto" w:fill="FFFFFF"/>
        </w:rPr>
        <w:t>13.</w:t>
      </w:r>
      <w:r>
        <w:rPr>
          <w:rStyle w:val="Strong"/>
          <w:color w:val="000000"/>
          <w:sz w:val="16"/>
          <w:szCs w:val="16"/>
          <w:shd w:val="clear" w:color="auto" w:fill="FFFFFF"/>
        </w:rPr>
        <w:t xml:space="preserve"> </w:t>
      </w:r>
    </w:p>
  </w:footnote>
  <w:footnote w:id="8">
    <w:p w:rsidR="008C36C6" w:rsidRDefault="008C36C6">
      <w:pPr>
        <w:pStyle w:val="FootnoteText"/>
      </w:pPr>
      <w:r>
        <w:rPr>
          <w:rStyle w:val="FootnoteReference"/>
        </w:rPr>
        <w:footnoteRef/>
      </w:r>
      <w:r>
        <w:t xml:space="preserve"> </w:t>
      </w:r>
      <w:r>
        <w:tab/>
      </w:r>
      <w:r w:rsidRPr="008C36C6">
        <w:rPr>
          <w:rFonts w:ascii="Verdana" w:hAnsi="Verdana"/>
          <w:i/>
          <w:sz w:val="16"/>
          <w:szCs w:val="16"/>
        </w:rPr>
        <w:t xml:space="preserve">Cfr. </w:t>
      </w:r>
      <w:r>
        <w:rPr>
          <w:rFonts w:ascii="Verdana" w:hAnsi="Verdana"/>
          <w:i/>
          <w:sz w:val="16"/>
          <w:szCs w:val="16"/>
        </w:rPr>
        <w:t>Viilamizar Durán y otros</w:t>
      </w:r>
      <w:r w:rsidRPr="008C36C6">
        <w:rPr>
          <w:rFonts w:ascii="Verdana" w:hAnsi="Verdana"/>
          <w:i/>
          <w:sz w:val="16"/>
          <w:szCs w:val="16"/>
        </w:rPr>
        <w:t xml:space="preserve"> Vs.</w:t>
      </w:r>
      <w:r>
        <w:rPr>
          <w:rFonts w:ascii="Verdana" w:hAnsi="Verdana"/>
          <w:i/>
          <w:sz w:val="16"/>
          <w:szCs w:val="16"/>
        </w:rPr>
        <w:t xml:space="preserve"> Colombia</w:t>
      </w:r>
      <w:r w:rsidRPr="008C36C6">
        <w:rPr>
          <w:rFonts w:ascii="Verdana" w:hAnsi="Verdana"/>
          <w:i/>
          <w:sz w:val="16"/>
          <w:szCs w:val="16"/>
        </w:rPr>
        <w:t>.</w:t>
      </w:r>
      <w:r w:rsidRPr="008C36C6">
        <w:rPr>
          <w:rFonts w:ascii="Verdana" w:hAnsi="Verdana"/>
          <w:sz w:val="16"/>
          <w:szCs w:val="16"/>
        </w:rPr>
        <w:t xml:space="preserve"> Resolución del Presidente de la Corte de </w:t>
      </w:r>
      <w:r>
        <w:rPr>
          <w:rFonts w:ascii="Verdana" w:hAnsi="Verdana"/>
          <w:sz w:val="16"/>
          <w:szCs w:val="16"/>
        </w:rPr>
        <w:t xml:space="preserve">5 de octubre de 2017, </w:t>
      </w:r>
      <w:r w:rsidR="00586B97">
        <w:rPr>
          <w:rFonts w:ascii="Verdana" w:hAnsi="Verdana"/>
          <w:sz w:val="16"/>
          <w:szCs w:val="16"/>
        </w:rPr>
        <w:t xml:space="preserve">párrafo considerativo </w:t>
      </w:r>
      <w:r>
        <w:rPr>
          <w:rFonts w:ascii="Verdana" w:hAnsi="Verdana"/>
          <w:sz w:val="16"/>
          <w:szCs w:val="16"/>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A5" w:rsidRDefault="000649A5" w:rsidP="00A827A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9A5" w:rsidRDefault="00064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A5" w:rsidRDefault="000649A5" w:rsidP="00205583">
    <w:pPr>
      <w:pStyle w:val="Header"/>
      <w:framePr w:wrap="none" w:vAnchor="text" w:hAnchor="margin" w:xAlign="center" w:y="1"/>
      <w:jc w:val="center"/>
      <w:rPr>
        <w:rStyle w:val="PageNumber"/>
      </w:rPr>
    </w:pPr>
    <w:r w:rsidRPr="00205583">
      <w:rPr>
        <w:rStyle w:val="PageNumber"/>
        <w:rFonts w:ascii="Verdana" w:hAnsi="Verdana"/>
        <w:sz w:val="20"/>
        <w:szCs w:val="20"/>
      </w:rPr>
      <w:t xml:space="preserve">- </w:t>
    </w:r>
    <w:r w:rsidRPr="00205583">
      <w:rPr>
        <w:rStyle w:val="PageNumber"/>
        <w:rFonts w:ascii="Verdana" w:hAnsi="Verdana"/>
        <w:sz w:val="20"/>
        <w:szCs w:val="20"/>
      </w:rPr>
      <w:fldChar w:fldCharType="begin"/>
    </w:r>
    <w:r w:rsidRPr="00205583">
      <w:rPr>
        <w:rStyle w:val="PageNumber"/>
        <w:rFonts w:ascii="Verdana" w:hAnsi="Verdana"/>
        <w:sz w:val="20"/>
        <w:szCs w:val="20"/>
      </w:rPr>
      <w:instrText xml:space="preserve">PAGE  </w:instrText>
    </w:r>
    <w:r w:rsidRPr="00205583">
      <w:rPr>
        <w:rStyle w:val="PageNumber"/>
        <w:rFonts w:ascii="Verdana" w:hAnsi="Verdana"/>
        <w:sz w:val="20"/>
        <w:szCs w:val="20"/>
      </w:rPr>
      <w:fldChar w:fldCharType="separate"/>
    </w:r>
    <w:r w:rsidR="00014A57">
      <w:rPr>
        <w:rStyle w:val="PageNumber"/>
        <w:rFonts w:ascii="Verdana" w:hAnsi="Verdana"/>
        <w:noProof/>
        <w:sz w:val="20"/>
        <w:szCs w:val="20"/>
      </w:rPr>
      <w:t>5</w:t>
    </w:r>
    <w:r w:rsidRPr="00205583">
      <w:rPr>
        <w:rStyle w:val="PageNumber"/>
        <w:rFonts w:ascii="Verdana" w:hAnsi="Verdana"/>
        <w:sz w:val="20"/>
        <w:szCs w:val="20"/>
      </w:rPr>
      <w:fldChar w:fldCharType="end"/>
    </w:r>
    <w:r>
      <w:rPr>
        <w:rStyle w:val="PageNumber"/>
      </w:rPr>
      <w:t xml:space="preserve"> -</w:t>
    </w:r>
  </w:p>
  <w:p w:rsidR="000649A5" w:rsidRDefault="0006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56C"/>
    <w:multiLevelType w:val="hybridMultilevel"/>
    <w:tmpl w:val="068A6072"/>
    <w:lvl w:ilvl="0" w:tplc="66309FE8">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F555492"/>
    <w:multiLevelType w:val="hybridMultilevel"/>
    <w:tmpl w:val="52D081C6"/>
    <w:lvl w:ilvl="0" w:tplc="115EB01E">
      <w:start w:val="1"/>
      <w:numFmt w:val="upperLetter"/>
      <w:pStyle w:val="Heading1"/>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1353"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1353"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71B77"/>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16F61ED8"/>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25513"/>
    <w:multiLevelType w:val="hybridMultilevel"/>
    <w:tmpl w:val="3C30622E"/>
    <w:lvl w:ilvl="0" w:tplc="D118455C">
      <w:start w:val="1"/>
      <w:numFmt w:val="decimal"/>
      <w:lvlText w:val="%1."/>
      <w:lvlJc w:val="left"/>
      <w:pPr>
        <w:ind w:left="1065" w:hanging="705"/>
      </w:pPr>
      <w:rPr>
        <w:rFonts w:cs="Verdana"/>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nsid w:val="1A2067A6"/>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1A9F0A54"/>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D1ABB"/>
    <w:multiLevelType w:val="hybridMultilevel"/>
    <w:tmpl w:val="8BDCE1AC"/>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604FD5"/>
    <w:multiLevelType w:val="hybridMultilevel"/>
    <w:tmpl w:val="214493EA"/>
    <w:lvl w:ilvl="0" w:tplc="870C5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780770"/>
    <w:multiLevelType w:val="hybridMultilevel"/>
    <w:tmpl w:val="3DC8A7FE"/>
    <w:lvl w:ilvl="0" w:tplc="67E07D4A">
      <w:start w:val="1"/>
      <w:numFmt w:val="decimal"/>
      <w:lvlText w:val="%1."/>
      <w:lvlJc w:val="left"/>
      <w:pPr>
        <w:ind w:left="657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C754BB"/>
    <w:multiLevelType w:val="hybridMultilevel"/>
    <w:tmpl w:val="D84C926E"/>
    <w:lvl w:ilvl="0" w:tplc="BD760412">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52A4568">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3E200611"/>
    <w:multiLevelType w:val="hybridMultilevel"/>
    <w:tmpl w:val="09B26202"/>
    <w:lvl w:ilvl="0" w:tplc="06E03C86">
      <w:start w:val="1"/>
      <w:numFmt w:val="decimal"/>
      <w:lvlText w:val="%1."/>
      <w:lvlJc w:val="left"/>
      <w:pPr>
        <w:ind w:left="720" w:hanging="360"/>
      </w:pPr>
      <w:rPr>
        <w:rFonts w:ascii="Verdana" w:hAnsi="Verdana" w:cs="Times New Roman" w:hint="default"/>
        <w:b w:val="0"/>
        <w:i w:val="0"/>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FB17FE"/>
    <w:multiLevelType w:val="hybridMultilevel"/>
    <w:tmpl w:val="52CA7976"/>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366BF"/>
    <w:multiLevelType w:val="hybridMultilevel"/>
    <w:tmpl w:val="CE24E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C0936BE"/>
    <w:multiLevelType w:val="hybridMultilevel"/>
    <w:tmpl w:val="74BA9062"/>
    <w:lvl w:ilvl="0" w:tplc="51DA7DA4">
      <w:start w:val="1"/>
      <w:numFmt w:val="decimal"/>
      <w:lvlText w:val="%1."/>
      <w:lvlJc w:val="left"/>
      <w:pPr>
        <w:ind w:left="45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nsid w:val="4DB9061A"/>
    <w:multiLevelType w:val="hybridMultilevel"/>
    <w:tmpl w:val="90B0129C"/>
    <w:lvl w:ilvl="0" w:tplc="093ECCA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507437FD"/>
    <w:multiLevelType w:val="hybridMultilevel"/>
    <w:tmpl w:val="74BA9062"/>
    <w:lvl w:ilvl="0" w:tplc="51DA7DA4">
      <w:start w:val="1"/>
      <w:numFmt w:val="decimal"/>
      <w:lvlText w:val="%1."/>
      <w:lvlJc w:val="left"/>
      <w:pPr>
        <w:ind w:left="188" w:hanging="360"/>
      </w:pPr>
      <w:rPr>
        <w:rFonts w:hint="default"/>
        <w:b w:val="0"/>
        <w:i w:val="0"/>
        <w:lang w:val="es-CR"/>
      </w:rPr>
    </w:lvl>
    <w:lvl w:ilvl="1" w:tplc="04090019" w:tentative="1">
      <w:start w:val="1"/>
      <w:numFmt w:val="lowerLetter"/>
      <w:lvlText w:val="%2."/>
      <w:lvlJc w:val="left"/>
      <w:pPr>
        <w:ind w:left="188" w:hanging="360"/>
      </w:pPr>
    </w:lvl>
    <w:lvl w:ilvl="2" w:tplc="0409001B" w:tentative="1">
      <w:start w:val="1"/>
      <w:numFmt w:val="lowerRoman"/>
      <w:lvlText w:val="%3."/>
      <w:lvlJc w:val="right"/>
      <w:pPr>
        <w:ind w:left="908" w:hanging="180"/>
      </w:pPr>
    </w:lvl>
    <w:lvl w:ilvl="3" w:tplc="0409000F">
      <w:start w:val="1"/>
      <w:numFmt w:val="decimal"/>
      <w:lvlText w:val="%4."/>
      <w:lvlJc w:val="left"/>
      <w:pPr>
        <w:ind w:left="1628" w:hanging="360"/>
      </w:pPr>
    </w:lvl>
    <w:lvl w:ilvl="4" w:tplc="04090019" w:tentative="1">
      <w:start w:val="1"/>
      <w:numFmt w:val="lowerLetter"/>
      <w:lvlText w:val="%5."/>
      <w:lvlJc w:val="left"/>
      <w:pPr>
        <w:ind w:left="2348" w:hanging="360"/>
      </w:pPr>
    </w:lvl>
    <w:lvl w:ilvl="5" w:tplc="0409001B" w:tentative="1">
      <w:start w:val="1"/>
      <w:numFmt w:val="lowerRoman"/>
      <w:lvlText w:val="%6."/>
      <w:lvlJc w:val="right"/>
      <w:pPr>
        <w:ind w:left="3068" w:hanging="180"/>
      </w:pPr>
    </w:lvl>
    <w:lvl w:ilvl="6" w:tplc="0409000F" w:tentative="1">
      <w:start w:val="1"/>
      <w:numFmt w:val="decimal"/>
      <w:lvlText w:val="%7."/>
      <w:lvlJc w:val="left"/>
      <w:pPr>
        <w:ind w:left="3788" w:hanging="360"/>
      </w:pPr>
    </w:lvl>
    <w:lvl w:ilvl="7" w:tplc="04090019" w:tentative="1">
      <w:start w:val="1"/>
      <w:numFmt w:val="lowerLetter"/>
      <w:lvlText w:val="%8."/>
      <w:lvlJc w:val="left"/>
      <w:pPr>
        <w:ind w:left="4508" w:hanging="360"/>
      </w:pPr>
    </w:lvl>
    <w:lvl w:ilvl="8" w:tplc="0409001B" w:tentative="1">
      <w:start w:val="1"/>
      <w:numFmt w:val="lowerRoman"/>
      <w:lvlText w:val="%9."/>
      <w:lvlJc w:val="right"/>
      <w:pPr>
        <w:ind w:left="5228" w:hanging="180"/>
      </w:pPr>
    </w:lvl>
  </w:abstractNum>
  <w:abstractNum w:abstractNumId="20">
    <w:nsid w:val="5303595F"/>
    <w:multiLevelType w:val="hybridMultilevel"/>
    <w:tmpl w:val="BDB67B06"/>
    <w:lvl w:ilvl="0" w:tplc="0409000F">
      <w:start w:val="1"/>
      <w:numFmt w:val="decimal"/>
      <w:lvlText w:val="%1."/>
      <w:lvlJc w:val="left"/>
      <w:pPr>
        <w:tabs>
          <w:tab w:val="num" w:pos="1353"/>
        </w:tabs>
        <w:ind w:left="1353"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DDB6DC6"/>
    <w:multiLevelType w:val="hybridMultilevel"/>
    <w:tmpl w:val="D62618CC"/>
    <w:lvl w:ilvl="0" w:tplc="CC0A21E4">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nsid w:val="5EFB0744"/>
    <w:multiLevelType w:val="hybridMultilevel"/>
    <w:tmpl w:val="FC22431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0D6405B"/>
    <w:multiLevelType w:val="hybridMultilevel"/>
    <w:tmpl w:val="DD76953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5D6ECD"/>
    <w:multiLevelType w:val="hybridMultilevel"/>
    <w:tmpl w:val="E612F4EC"/>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5">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1069"/>
        </w:tabs>
        <w:ind w:left="1069" w:hanging="360"/>
      </w:pPr>
    </w:lvl>
    <w:lvl w:ilvl="4" w:tplc="04090019">
      <w:start w:val="1"/>
      <w:numFmt w:val="decimal"/>
      <w:lvlText w:val="%5."/>
      <w:lvlJc w:val="left"/>
      <w:pPr>
        <w:tabs>
          <w:tab w:val="num" w:pos="1069"/>
        </w:tabs>
        <w:ind w:left="1069" w:hanging="360"/>
      </w:pPr>
    </w:lvl>
    <w:lvl w:ilvl="5" w:tplc="0409001B">
      <w:start w:val="1"/>
      <w:numFmt w:val="decimal"/>
      <w:lvlText w:val="%6."/>
      <w:lvlJc w:val="left"/>
      <w:pPr>
        <w:tabs>
          <w:tab w:val="num" w:pos="1211"/>
        </w:tabs>
        <w:ind w:left="1211" w:hanging="360"/>
      </w:pPr>
    </w:lvl>
    <w:lvl w:ilvl="6" w:tplc="0409000F">
      <w:start w:val="1"/>
      <w:numFmt w:val="decimal"/>
      <w:lvlText w:val="%7."/>
      <w:lvlJc w:val="left"/>
      <w:pPr>
        <w:tabs>
          <w:tab w:val="num" w:pos="1353"/>
        </w:tabs>
        <w:ind w:left="1353" w:hanging="360"/>
      </w:pPr>
    </w:lvl>
    <w:lvl w:ilvl="7" w:tplc="04090019">
      <w:start w:val="1"/>
      <w:numFmt w:val="decimal"/>
      <w:lvlText w:val="%8."/>
      <w:lvlJc w:val="left"/>
      <w:pPr>
        <w:tabs>
          <w:tab w:val="num" w:pos="1069"/>
        </w:tabs>
        <w:ind w:left="1069" w:hanging="360"/>
      </w:pPr>
    </w:lvl>
    <w:lvl w:ilvl="8" w:tplc="0409001B">
      <w:start w:val="1"/>
      <w:numFmt w:val="decimal"/>
      <w:lvlText w:val="%9."/>
      <w:lvlJc w:val="left"/>
      <w:pPr>
        <w:tabs>
          <w:tab w:val="num" w:pos="6480"/>
        </w:tabs>
        <w:ind w:left="6480" w:hanging="360"/>
      </w:pPr>
    </w:lvl>
  </w:abstractNum>
  <w:abstractNum w:abstractNumId="26">
    <w:nsid w:val="63FE5EB8"/>
    <w:multiLevelType w:val="hybridMultilevel"/>
    <w:tmpl w:val="27B48C4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4167C5"/>
    <w:multiLevelType w:val="hybridMultilevel"/>
    <w:tmpl w:val="56E2A2AE"/>
    <w:lvl w:ilvl="0" w:tplc="0FD0E226">
      <w:start w:val="2"/>
      <w:numFmt w:val="decimal"/>
      <w:lvlText w:val="%1."/>
      <w:lvlJc w:val="left"/>
      <w:pPr>
        <w:tabs>
          <w:tab w:val="num" w:pos="1440"/>
        </w:tabs>
        <w:ind w:left="0" w:firstLine="0"/>
      </w:pPr>
      <w:rPr>
        <w:rFonts w:ascii="Verdana" w:hAnsi="Verdana"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B237515"/>
    <w:multiLevelType w:val="hybridMultilevel"/>
    <w:tmpl w:val="D4C05B06"/>
    <w:lvl w:ilvl="0" w:tplc="21E0EE84">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D2D2884"/>
    <w:multiLevelType w:val="hybridMultilevel"/>
    <w:tmpl w:val="245E7FCC"/>
    <w:lvl w:ilvl="0" w:tplc="71BCA764">
      <w:start w:val="1"/>
      <w:numFmt w:val="decimal"/>
      <w:lvlText w:val="%1."/>
      <w:lvlJc w:val="left"/>
      <w:pPr>
        <w:ind w:left="288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E9944C3"/>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7351EF"/>
    <w:multiLevelType w:val="hybridMultilevel"/>
    <w:tmpl w:val="107819B8"/>
    <w:lvl w:ilvl="0" w:tplc="71BCA764">
      <w:start w:val="1"/>
      <w:numFmt w:val="decimal"/>
      <w:lvlText w:val="%1."/>
      <w:lvlJc w:val="left"/>
      <w:pPr>
        <w:ind w:left="2138" w:hanging="360"/>
      </w:pPr>
      <w:rPr>
        <w:i w:val="0"/>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32">
    <w:nsid w:val="75952F30"/>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BF0494"/>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195435"/>
    <w:multiLevelType w:val="hybridMultilevel"/>
    <w:tmpl w:val="55869064"/>
    <w:lvl w:ilvl="0" w:tplc="D52A4568">
      <w:start w:val="1"/>
      <w:numFmt w:val="decimal"/>
      <w:lvlText w:val="%1."/>
      <w:lvlJc w:val="left"/>
      <w:pPr>
        <w:ind w:left="504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5"/>
  </w:num>
  <w:num w:numId="10">
    <w:abstractNumId w:val="24"/>
  </w:num>
  <w:num w:numId="11">
    <w:abstractNumId w:val="16"/>
  </w:num>
  <w:num w:numId="12">
    <w:abstractNumId w:val="10"/>
  </w:num>
  <w:num w:numId="13">
    <w:abstractNumId w:val="17"/>
  </w:num>
  <w:num w:numId="14">
    <w:abstractNumId w:val="19"/>
  </w:num>
  <w:num w:numId="15">
    <w:abstractNumId w:val="12"/>
  </w:num>
  <w:num w:numId="16">
    <w:abstractNumId w:val="13"/>
  </w:num>
  <w:num w:numId="17">
    <w:abstractNumId w:val="26"/>
  </w:num>
  <w:num w:numId="18">
    <w:abstractNumId w:val="23"/>
  </w:num>
  <w:num w:numId="19">
    <w:abstractNumId w:val="32"/>
  </w:num>
  <w:num w:numId="20">
    <w:abstractNumId w:val="15"/>
  </w:num>
  <w:num w:numId="21">
    <w:abstractNumId w:val="14"/>
  </w:num>
  <w:num w:numId="22">
    <w:abstractNumId w:val="0"/>
  </w:num>
  <w:num w:numId="23">
    <w:abstractNumId w:val="1"/>
  </w:num>
  <w:num w:numId="24">
    <w:abstractNumId w:val="34"/>
  </w:num>
  <w:num w:numId="25">
    <w:abstractNumId w:val="30"/>
  </w:num>
  <w:num w:numId="26">
    <w:abstractNumId w:val="7"/>
  </w:num>
  <w:num w:numId="27">
    <w:abstractNumId w:val="6"/>
  </w:num>
  <w:num w:numId="28">
    <w:abstractNumId w:val="29"/>
  </w:num>
  <w:num w:numId="29">
    <w:abstractNumId w:val="33"/>
  </w:num>
  <w:num w:numId="30">
    <w:abstractNumId w:val="31"/>
  </w:num>
  <w:num w:numId="31">
    <w:abstractNumId w:val="22"/>
  </w:num>
  <w:num w:numId="32">
    <w:abstractNumId w:val="28"/>
  </w:num>
  <w:num w:numId="33">
    <w:abstractNumId w:val="18"/>
  </w:num>
  <w:num w:numId="34">
    <w:abstractNumId w:val="2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1"/>
    <w:rsid w:val="00005C3B"/>
    <w:rsid w:val="00010226"/>
    <w:rsid w:val="00010FB0"/>
    <w:rsid w:val="00014289"/>
    <w:rsid w:val="00014A57"/>
    <w:rsid w:val="00016191"/>
    <w:rsid w:val="00017AD6"/>
    <w:rsid w:val="000205AC"/>
    <w:rsid w:val="00024FBB"/>
    <w:rsid w:val="00035149"/>
    <w:rsid w:val="0004010B"/>
    <w:rsid w:val="00043F00"/>
    <w:rsid w:val="00045F17"/>
    <w:rsid w:val="00047269"/>
    <w:rsid w:val="00063E3C"/>
    <w:rsid w:val="000649A5"/>
    <w:rsid w:val="00065FFD"/>
    <w:rsid w:val="000719A4"/>
    <w:rsid w:val="00072B74"/>
    <w:rsid w:val="00073E13"/>
    <w:rsid w:val="0007512B"/>
    <w:rsid w:val="0007716A"/>
    <w:rsid w:val="0008188C"/>
    <w:rsid w:val="00090239"/>
    <w:rsid w:val="00094A32"/>
    <w:rsid w:val="000951A5"/>
    <w:rsid w:val="00096CC8"/>
    <w:rsid w:val="00096D19"/>
    <w:rsid w:val="000A0342"/>
    <w:rsid w:val="000B3065"/>
    <w:rsid w:val="000B316A"/>
    <w:rsid w:val="000B398F"/>
    <w:rsid w:val="000B61CF"/>
    <w:rsid w:val="000C2953"/>
    <w:rsid w:val="000D0F0E"/>
    <w:rsid w:val="000D3879"/>
    <w:rsid w:val="000D4C2C"/>
    <w:rsid w:val="000D7501"/>
    <w:rsid w:val="000F00E0"/>
    <w:rsid w:val="000F06F2"/>
    <w:rsid w:val="000F095D"/>
    <w:rsid w:val="000F1A7C"/>
    <w:rsid w:val="000F6CDB"/>
    <w:rsid w:val="0010097D"/>
    <w:rsid w:val="00101232"/>
    <w:rsid w:val="00102153"/>
    <w:rsid w:val="00104220"/>
    <w:rsid w:val="001063D1"/>
    <w:rsid w:val="00113F6D"/>
    <w:rsid w:val="0011434A"/>
    <w:rsid w:val="00122A75"/>
    <w:rsid w:val="00124979"/>
    <w:rsid w:val="00126567"/>
    <w:rsid w:val="00133CE7"/>
    <w:rsid w:val="001362D7"/>
    <w:rsid w:val="001369CA"/>
    <w:rsid w:val="00136A3D"/>
    <w:rsid w:val="00136EDC"/>
    <w:rsid w:val="00141F7E"/>
    <w:rsid w:val="00146C92"/>
    <w:rsid w:val="001517BD"/>
    <w:rsid w:val="00154AD6"/>
    <w:rsid w:val="00155990"/>
    <w:rsid w:val="00155D07"/>
    <w:rsid w:val="00155FB3"/>
    <w:rsid w:val="00157F1F"/>
    <w:rsid w:val="00160E30"/>
    <w:rsid w:val="00162BD2"/>
    <w:rsid w:val="00164C90"/>
    <w:rsid w:val="00165C80"/>
    <w:rsid w:val="00171AAD"/>
    <w:rsid w:val="001735A7"/>
    <w:rsid w:val="001859C1"/>
    <w:rsid w:val="00187EE7"/>
    <w:rsid w:val="00191BEF"/>
    <w:rsid w:val="001921B7"/>
    <w:rsid w:val="00192A4F"/>
    <w:rsid w:val="001A1E67"/>
    <w:rsid w:val="001A6A92"/>
    <w:rsid w:val="001B475B"/>
    <w:rsid w:val="001C26C3"/>
    <w:rsid w:val="001C510E"/>
    <w:rsid w:val="001C7BA5"/>
    <w:rsid w:val="001D221F"/>
    <w:rsid w:val="001E1793"/>
    <w:rsid w:val="001E1C89"/>
    <w:rsid w:val="001E35BA"/>
    <w:rsid w:val="001E4DF0"/>
    <w:rsid w:val="001E5BD0"/>
    <w:rsid w:val="001E6F75"/>
    <w:rsid w:val="001F06EF"/>
    <w:rsid w:val="001F1FFC"/>
    <w:rsid w:val="001F3986"/>
    <w:rsid w:val="001F7AD3"/>
    <w:rsid w:val="00200080"/>
    <w:rsid w:val="00201075"/>
    <w:rsid w:val="002045CB"/>
    <w:rsid w:val="002049B3"/>
    <w:rsid w:val="00205583"/>
    <w:rsid w:val="00213D56"/>
    <w:rsid w:val="00226D4A"/>
    <w:rsid w:val="00232C2D"/>
    <w:rsid w:val="00234424"/>
    <w:rsid w:val="00237232"/>
    <w:rsid w:val="00241D46"/>
    <w:rsid w:val="00247084"/>
    <w:rsid w:val="00247B1B"/>
    <w:rsid w:val="002509A8"/>
    <w:rsid w:val="00251F34"/>
    <w:rsid w:val="00256EA0"/>
    <w:rsid w:val="0026641E"/>
    <w:rsid w:val="00271CF5"/>
    <w:rsid w:val="002759D8"/>
    <w:rsid w:val="00277948"/>
    <w:rsid w:val="002859AD"/>
    <w:rsid w:val="00292673"/>
    <w:rsid w:val="0029421F"/>
    <w:rsid w:val="002A1F81"/>
    <w:rsid w:val="002A35EB"/>
    <w:rsid w:val="002C03B3"/>
    <w:rsid w:val="002D0D39"/>
    <w:rsid w:val="002D3C0C"/>
    <w:rsid w:val="002D5571"/>
    <w:rsid w:val="002D6B08"/>
    <w:rsid w:val="002E32C7"/>
    <w:rsid w:val="002F07BD"/>
    <w:rsid w:val="002F1E83"/>
    <w:rsid w:val="002F548B"/>
    <w:rsid w:val="00301135"/>
    <w:rsid w:val="003017AD"/>
    <w:rsid w:val="003028F2"/>
    <w:rsid w:val="00305A57"/>
    <w:rsid w:val="003071BB"/>
    <w:rsid w:val="00310C35"/>
    <w:rsid w:val="003113F3"/>
    <w:rsid w:val="00314476"/>
    <w:rsid w:val="00316B6E"/>
    <w:rsid w:val="00317041"/>
    <w:rsid w:val="00320AD0"/>
    <w:rsid w:val="00337CFC"/>
    <w:rsid w:val="00341753"/>
    <w:rsid w:val="00342A8B"/>
    <w:rsid w:val="00354CF0"/>
    <w:rsid w:val="003550AB"/>
    <w:rsid w:val="00356DEE"/>
    <w:rsid w:val="00357610"/>
    <w:rsid w:val="00357794"/>
    <w:rsid w:val="003645BF"/>
    <w:rsid w:val="00373EC0"/>
    <w:rsid w:val="00384AAA"/>
    <w:rsid w:val="00387D2B"/>
    <w:rsid w:val="00391C4F"/>
    <w:rsid w:val="003A018B"/>
    <w:rsid w:val="003A2389"/>
    <w:rsid w:val="003A2A1F"/>
    <w:rsid w:val="003B01EB"/>
    <w:rsid w:val="003B0AEA"/>
    <w:rsid w:val="003B787B"/>
    <w:rsid w:val="003C0856"/>
    <w:rsid w:val="003C2C2D"/>
    <w:rsid w:val="003C2E75"/>
    <w:rsid w:val="003C3755"/>
    <w:rsid w:val="003D25B3"/>
    <w:rsid w:val="003D3EA0"/>
    <w:rsid w:val="003E09BD"/>
    <w:rsid w:val="003E1E70"/>
    <w:rsid w:val="003E2807"/>
    <w:rsid w:val="003E77F1"/>
    <w:rsid w:val="003E7D11"/>
    <w:rsid w:val="003F60BD"/>
    <w:rsid w:val="00412A02"/>
    <w:rsid w:val="00421DD4"/>
    <w:rsid w:val="00426042"/>
    <w:rsid w:val="004522A7"/>
    <w:rsid w:val="00454412"/>
    <w:rsid w:val="00455B1E"/>
    <w:rsid w:val="00456A8A"/>
    <w:rsid w:val="00457D89"/>
    <w:rsid w:val="0046106D"/>
    <w:rsid w:val="00470241"/>
    <w:rsid w:val="004718FD"/>
    <w:rsid w:val="00473B2F"/>
    <w:rsid w:val="00477642"/>
    <w:rsid w:val="00480F74"/>
    <w:rsid w:val="004822C3"/>
    <w:rsid w:val="00482A2E"/>
    <w:rsid w:val="00485BA2"/>
    <w:rsid w:val="004863CD"/>
    <w:rsid w:val="0048750C"/>
    <w:rsid w:val="00487AE7"/>
    <w:rsid w:val="00487FF6"/>
    <w:rsid w:val="00492D04"/>
    <w:rsid w:val="00496EA3"/>
    <w:rsid w:val="00497516"/>
    <w:rsid w:val="00497C16"/>
    <w:rsid w:val="004A08DF"/>
    <w:rsid w:val="004A1B16"/>
    <w:rsid w:val="004A4187"/>
    <w:rsid w:val="004A48FE"/>
    <w:rsid w:val="004B2167"/>
    <w:rsid w:val="004B472E"/>
    <w:rsid w:val="004B7966"/>
    <w:rsid w:val="004C1066"/>
    <w:rsid w:val="004C3045"/>
    <w:rsid w:val="004C3A43"/>
    <w:rsid w:val="004E4058"/>
    <w:rsid w:val="004E68C3"/>
    <w:rsid w:val="004F0195"/>
    <w:rsid w:val="004F4306"/>
    <w:rsid w:val="004F5858"/>
    <w:rsid w:val="004F6DA0"/>
    <w:rsid w:val="004F708F"/>
    <w:rsid w:val="004F75CB"/>
    <w:rsid w:val="00501D23"/>
    <w:rsid w:val="005020C1"/>
    <w:rsid w:val="00512CB8"/>
    <w:rsid w:val="00514246"/>
    <w:rsid w:val="005145B8"/>
    <w:rsid w:val="00522F10"/>
    <w:rsid w:val="0052360A"/>
    <w:rsid w:val="00523AC8"/>
    <w:rsid w:val="00534293"/>
    <w:rsid w:val="005352E1"/>
    <w:rsid w:val="00537B8E"/>
    <w:rsid w:val="00543353"/>
    <w:rsid w:val="00546CE6"/>
    <w:rsid w:val="00553094"/>
    <w:rsid w:val="00553E2F"/>
    <w:rsid w:val="00554F6C"/>
    <w:rsid w:val="00556A78"/>
    <w:rsid w:val="005605A7"/>
    <w:rsid w:val="005620AF"/>
    <w:rsid w:val="00564E82"/>
    <w:rsid w:val="00564EC8"/>
    <w:rsid w:val="00567C99"/>
    <w:rsid w:val="005704D4"/>
    <w:rsid w:val="00571704"/>
    <w:rsid w:val="0057179E"/>
    <w:rsid w:val="0057425B"/>
    <w:rsid w:val="00575D79"/>
    <w:rsid w:val="0057712C"/>
    <w:rsid w:val="00584C59"/>
    <w:rsid w:val="005851D5"/>
    <w:rsid w:val="00585877"/>
    <w:rsid w:val="00586B97"/>
    <w:rsid w:val="0059335C"/>
    <w:rsid w:val="005A21F8"/>
    <w:rsid w:val="005A3157"/>
    <w:rsid w:val="005A7B4F"/>
    <w:rsid w:val="005B5B88"/>
    <w:rsid w:val="005B66A7"/>
    <w:rsid w:val="005B701F"/>
    <w:rsid w:val="005C5EF4"/>
    <w:rsid w:val="005C6C93"/>
    <w:rsid w:val="005C768E"/>
    <w:rsid w:val="005D25DF"/>
    <w:rsid w:val="005D5C00"/>
    <w:rsid w:val="005E1076"/>
    <w:rsid w:val="005E59AE"/>
    <w:rsid w:val="005E66F8"/>
    <w:rsid w:val="005E698B"/>
    <w:rsid w:val="005F152E"/>
    <w:rsid w:val="005F201B"/>
    <w:rsid w:val="005F4EF2"/>
    <w:rsid w:val="005F548F"/>
    <w:rsid w:val="005F632C"/>
    <w:rsid w:val="005F7B36"/>
    <w:rsid w:val="00601AE8"/>
    <w:rsid w:val="00605EAB"/>
    <w:rsid w:val="0060651A"/>
    <w:rsid w:val="00607755"/>
    <w:rsid w:val="00614D4B"/>
    <w:rsid w:val="006153C1"/>
    <w:rsid w:val="00615CCA"/>
    <w:rsid w:val="00624328"/>
    <w:rsid w:val="00631E58"/>
    <w:rsid w:val="00643A12"/>
    <w:rsid w:val="00645A5F"/>
    <w:rsid w:val="00647660"/>
    <w:rsid w:val="006520ED"/>
    <w:rsid w:val="00652E83"/>
    <w:rsid w:val="0065468B"/>
    <w:rsid w:val="00654FAD"/>
    <w:rsid w:val="00657EBA"/>
    <w:rsid w:val="00661B16"/>
    <w:rsid w:val="00662AE7"/>
    <w:rsid w:val="006637F7"/>
    <w:rsid w:val="0066415E"/>
    <w:rsid w:val="00666ABF"/>
    <w:rsid w:val="006701EE"/>
    <w:rsid w:val="006709EC"/>
    <w:rsid w:val="00674C86"/>
    <w:rsid w:val="0067506E"/>
    <w:rsid w:val="00677E19"/>
    <w:rsid w:val="00683F7E"/>
    <w:rsid w:val="0068561C"/>
    <w:rsid w:val="00687787"/>
    <w:rsid w:val="006929A3"/>
    <w:rsid w:val="00695A38"/>
    <w:rsid w:val="006A0BE5"/>
    <w:rsid w:val="006B279B"/>
    <w:rsid w:val="006B44F6"/>
    <w:rsid w:val="006B5876"/>
    <w:rsid w:val="006C7E81"/>
    <w:rsid w:val="006D28A5"/>
    <w:rsid w:val="006D565D"/>
    <w:rsid w:val="006E4645"/>
    <w:rsid w:val="006E576F"/>
    <w:rsid w:val="006F17A3"/>
    <w:rsid w:val="006F7C96"/>
    <w:rsid w:val="00702CEE"/>
    <w:rsid w:val="00704589"/>
    <w:rsid w:val="007051D8"/>
    <w:rsid w:val="0070694C"/>
    <w:rsid w:val="007118D1"/>
    <w:rsid w:val="0071192E"/>
    <w:rsid w:val="0071244C"/>
    <w:rsid w:val="00713047"/>
    <w:rsid w:val="00721B8C"/>
    <w:rsid w:val="00723D94"/>
    <w:rsid w:val="00730250"/>
    <w:rsid w:val="0073089C"/>
    <w:rsid w:val="007363FB"/>
    <w:rsid w:val="0074090B"/>
    <w:rsid w:val="00745F74"/>
    <w:rsid w:val="00755142"/>
    <w:rsid w:val="0077293A"/>
    <w:rsid w:val="007810D6"/>
    <w:rsid w:val="00784A6C"/>
    <w:rsid w:val="00787F35"/>
    <w:rsid w:val="00794D07"/>
    <w:rsid w:val="007A581C"/>
    <w:rsid w:val="007A7106"/>
    <w:rsid w:val="007B1D63"/>
    <w:rsid w:val="007B50AF"/>
    <w:rsid w:val="007B5BB0"/>
    <w:rsid w:val="007C1F48"/>
    <w:rsid w:val="007C5C1D"/>
    <w:rsid w:val="007D1558"/>
    <w:rsid w:val="007D2464"/>
    <w:rsid w:val="007E1372"/>
    <w:rsid w:val="007E21C6"/>
    <w:rsid w:val="007E2B3D"/>
    <w:rsid w:val="007E3522"/>
    <w:rsid w:val="007E503E"/>
    <w:rsid w:val="007E5130"/>
    <w:rsid w:val="007E5716"/>
    <w:rsid w:val="007E7781"/>
    <w:rsid w:val="00802BD5"/>
    <w:rsid w:val="008124A4"/>
    <w:rsid w:val="00817A82"/>
    <w:rsid w:val="008279F3"/>
    <w:rsid w:val="00831A60"/>
    <w:rsid w:val="00833277"/>
    <w:rsid w:val="0084402F"/>
    <w:rsid w:val="00844163"/>
    <w:rsid w:val="00864F68"/>
    <w:rsid w:val="00865380"/>
    <w:rsid w:val="00867D58"/>
    <w:rsid w:val="00870BE2"/>
    <w:rsid w:val="00871010"/>
    <w:rsid w:val="00880E65"/>
    <w:rsid w:val="0088228E"/>
    <w:rsid w:val="008A2D33"/>
    <w:rsid w:val="008A6C05"/>
    <w:rsid w:val="008B651A"/>
    <w:rsid w:val="008B69D6"/>
    <w:rsid w:val="008C0F48"/>
    <w:rsid w:val="008C1B7B"/>
    <w:rsid w:val="008C36C6"/>
    <w:rsid w:val="008C72E1"/>
    <w:rsid w:val="008D0467"/>
    <w:rsid w:val="008D44FA"/>
    <w:rsid w:val="008D7101"/>
    <w:rsid w:val="008F0658"/>
    <w:rsid w:val="008F7143"/>
    <w:rsid w:val="00901AE0"/>
    <w:rsid w:val="009042C4"/>
    <w:rsid w:val="0090445B"/>
    <w:rsid w:val="009050C9"/>
    <w:rsid w:val="00915580"/>
    <w:rsid w:val="00917B79"/>
    <w:rsid w:val="00921C02"/>
    <w:rsid w:val="009235CB"/>
    <w:rsid w:val="00932A7B"/>
    <w:rsid w:val="00936BB0"/>
    <w:rsid w:val="009378B1"/>
    <w:rsid w:val="00940AF7"/>
    <w:rsid w:val="009426A8"/>
    <w:rsid w:val="0094330B"/>
    <w:rsid w:val="00954532"/>
    <w:rsid w:val="00954D63"/>
    <w:rsid w:val="00955248"/>
    <w:rsid w:val="009557CE"/>
    <w:rsid w:val="00955EE9"/>
    <w:rsid w:val="009604A3"/>
    <w:rsid w:val="0098166B"/>
    <w:rsid w:val="00981EC7"/>
    <w:rsid w:val="00992076"/>
    <w:rsid w:val="00995865"/>
    <w:rsid w:val="00995CA4"/>
    <w:rsid w:val="00996F55"/>
    <w:rsid w:val="00997ED8"/>
    <w:rsid w:val="009A0C4C"/>
    <w:rsid w:val="009A226B"/>
    <w:rsid w:val="009B03ED"/>
    <w:rsid w:val="009B617B"/>
    <w:rsid w:val="009C0110"/>
    <w:rsid w:val="009D0142"/>
    <w:rsid w:val="009D2DFD"/>
    <w:rsid w:val="009D2EA3"/>
    <w:rsid w:val="009D6F17"/>
    <w:rsid w:val="009E645F"/>
    <w:rsid w:val="009F0251"/>
    <w:rsid w:val="009F2719"/>
    <w:rsid w:val="009F40AC"/>
    <w:rsid w:val="00A00E05"/>
    <w:rsid w:val="00A01EAC"/>
    <w:rsid w:val="00A0286B"/>
    <w:rsid w:val="00A0297E"/>
    <w:rsid w:val="00A029C1"/>
    <w:rsid w:val="00A041F7"/>
    <w:rsid w:val="00A20177"/>
    <w:rsid w:val="00A21F4D"/>
    <w:rsid w:val="00A22125"/>
    <w:rsid w:val="00A221A4"/>
    <w:rsid w:val="00A232BF"/>
    <w:rsid w:val="00A3486E"/>
    <w:rsid w:val="00A37A21"/>
    <w:rsid w:val="00A41C92"/>
    <w:rsid w:val="00A4549C"/>
    <w:rsid w:val="00A50558"/>
    <w:rsid w:val="00A534C7"/>
    <w:rsid w:val="00A5486B"/>
    <w:rsid w:val="00A5763C"/>
    <w:rsid w:val="00A609DE"/>
    <w:rsid w:val="00A60BFB"/>
    <w:rsid w:val="00A61086"/>
    <w:rsid w:val="00A62CB6"/>
    <w:rsid w:val="00A6426E"/>
    <w:rsid w:val="00A64DCF"/>
    <w:rsid w:val="00A675BA"/>
    <w:rsid w:val="00A67609"/>
    <w:rsid w:val="00A7281E"/>
    <w:rsid w:val="00A73EFD"/>
    <w:rsid w:val="00A74BC1"/>
    <w:rsid w:val="00A81839"/>
    <w:rsid w:val="00A81E8A"/>
    <w:rsid w:val="00A822D8"/>
    <w:rsid w:val="00A827A0"/>
    <w:rsid w:val="00A82E3B"/>
    <w:rsid w:val="00A83462"/>
    <w:rsid w:val="00A862C6"/>
    <w:rsid w:val="00A87E60"/>
    <w:rsid w:val="00A958F9"/>
    <w:rsid w:val="00A9698F"/>
    <w:rsid w:val="00A976B8"/>
    <w:rsid w:val="00AA337F"/>
    <w:rsid w:val="00AA55AA"/>
    <w:rsid w:val="00AB37F0"/>
    <w:rsid w:val="00AE2B46"/>
    <w:rsid w:val="00AE659B"/>
    <w:rsid w:val="00AE7EC4"/>
    <w:rsid w:val="00AF0E62"/>
    <w:rsid w:val="00AF1E16"/>
    <w:rsid w:val="00AF28DC"/>
    <w:rsid w:val="00B01CFF"/>
    <w:rsid w:val="00B0532B"/>
    <w:rsid w:val="00B05548"/>
    <w:rsid w:val="00B0564F"/>
    <w:rsid w:val="00B07D05"/>
    <w:rsid w:val="00B10C05"/>
    <w:rsid w:val="00B15143"/>
    <w:rsid w:val="00B157E6"/>
    <w:rsid w:val="00B15EC1"/>
    <w:rsid w:val="00B26D97"/>
    <w:rsid w:val="00B31CC4"/>
    <w:rsid w:val="00B33E13"/>
    <w:rsid w:val="00B35224"/>
    <w:rsid w:val="00B43C78"/>
    <w:rsid w:val="00B446F3"/>
    <w:rsid w:val="00B47C1E"/>
    <w:rsid w:val="00B51D9B"/>
    <w:rsid w:val="00B52FB5"/>
    <w:rsid w:val="00B53D50"/>
    <w:rsid w:val="00B57842"/>
    <w:rsid w:val="00B57E0B"/>
    <w:rsid w:val="00B61807"/>
    <w:rsid w:val="00B64B6F"/>
    <w:rsid w:val="00B64CCB"/>
    <w:rsid w:val="00B80F9E"/>
    <w:rsid w:val="00B838C0"/>
    <w:rsid w:val="00B91975"/>
    <w:rsid w:val="00B972D8"/>
    <w:rsid w:val="00BA00EE"/>
    <w:rsid w:val="00BA2335"/>
    <w:rsid w:val="00BA6210"/>
    <w:rsid w:val="00BB44AC"/>
    <w:rsid w:val="00BC0019"/>
    <w:rsid w:val="00BD3257"/>
    <w:rsid w:val="00BD485A"/>
    <w:rsid w:val="00BD4898"/>
    <w:rsid w:val="00BD530A"/>
    <w:rsid w:val="00BD6995"/>
    <w:rsid w:val="00BE0EEB"/>
    <w:rsid w:val="00BE1DFD"/>
    <w:rsid w:val="00BE682B"/>
    <w:rsid w:val="00BF1C44"/>
    <w:rsid w:val="00BF2B66"/>
    <w:rsid w:val="00BF6548"/>
    <w:rsid w:val="00BF78B5"/>
    <w:rsid w:val="00C07F13"/>
    <w:rsid w:val="00C10454"/>
    <w:rsid w:val="00C12030"/>
    <w:rsid w:val="00C12A5D"/>
    <w:rsid w:val="00C20FE3"/>
    <w:rsid w:val="00C21D58"/>
    <w:rsid w:val="00C35123"/>
    <w:rsid w:val="00C35310"/>
    <w:rsid w:val="00C3598D"/>
    <w:rsid w:val="00C360ED"/>
    <w:rsid w:val="00C41151"/>
    <w:rsid w:val="00C42693"/>
    <w:rsid w:val="00C61AC0"/>
    <w:rsid w:val="00C631E0"/>
    <w:rsid w:val="00C6769E"/>
    <w:rsid w:val="00C7035C"/>
    <w:rsid w:val="00C71E17"/>
    <w:rsid w:val="00C73FBA"/>
    <w:rsid w:val="00C74022"/>
    <w:rsid w:val="00C77B5B"/>
    <w:rsid w:val="00C80327"/>
    <w:rsid w:val="00C8141A"/>
    <w:rsid w:val="00C9221B"/>
    <w:rsid w:val="00C92895"/>
    <w:rsid w:val="00C94DEE"/>
    <w:rsid w:val="00CA2263"/>
    <w:rsid w:val="00CA372D"/>
    <w:rsid w:val="00CB1CFE"/>
    <w:rsid w:val="00CB74EB"/>
    <w:rsid w:val="00CC0733"/>
    <w:rsid w:val="00CC3B6D"/>
    <w:rsid w:val="00CC691A"/>
    <w:rsid w:val="00CC74FC"/>
    <w:rsid w:val="00CD1842"/>
    <w:rsid w:val="00CD33AA"/>
    <w:rsid w:val="00CD7F19"/>
    <w:rsid w:val="00CE1C2A"/>
    <w:rsid w:val="00CE4010"/>
    <w:rsid w:val="00CE794A"/>
    <w:rsid w:val="00CF1C87"/>
    <w:rsid w:val="00CF3CF0"/>
    <w:rsid w:val="00D06FC4"/>
    <w:rsid w:val="00D0766A"/>
    <w:rsid w:val="00D1644F"/>
    <w:rsid w:val="00D30652"/>
    <w:rsid w:val="00D33298"/>
    <w:rsid w:val="00D336D8"/>
    <w:rsid w:val="00D348BF"/>
    <w:rsid w:val="00D43BDF"/>
    <w:rsid w:val="00D44A68"/>
    <w:rsid w:val="00D44ACC"/>
    <w:rsid w:val="00D470B2"/>
    <w:rsid w:val="00D47459"/>
    <w:rsid w:val="00D50579"/>
    <w:rsid w:val="00D521F3"/>
    <w:rsid w:val="00D52CA9"/>
    <w:rsid w:val="00D60776"/>
    <w:rsid w:val="00D608F2"/>
    <w:rsid w:val="00D6345F"/>
    <w:rsid w:val="00D66EDB"/>
    <w:rsid w:val="00D703A9"/>
    <w:rsid w:val="00D73F7F"/>
    <w:rsid w:val="00D765FD"/>
    <w:rsid w:val="00D81E43"/>
    <w:rsid w:val="00D828ED"/>
    <w:rsid w:val="00D85B24"/>
    <w:rsid w:val="00D86B7F"/>
    <w:rsid w:val="00D9010B"/>
    <w:rsid w:val="00D90640"/>
    <w:rsid w:val="00D909CB"/>
    <w:rsid w:val="00D925BC"/>
    <w:rsid w:val="00D943EA"/>
    <w:rsid w:val="00DA087C"/>
    <w:rsid w:val="00DA13CC"/>
    <w:rsid w:val="00DA5B2D"/>
    <w:rsid w:val="00DA65ED"/>
    <w:rsid w:val="00DB38D3"/>
    <w:rsid w:val="00DB4289"/>
    <w:rsid w:val="00DB4395"/>
    <w:rsid w:val="00DC2403"/>
    <w:rsid w:val="00DC4872"/>
    <w:rsid w:val="00DC6638"/>
    <w:rsid w:val="00DD25BE"/>
    <w:rsid w:val="00DD5787"/>
    <w:rsid w:val="00DD647C"/>
    <w:rsid w:val="00DE4095"/>
    <w:rsid w:val="00DF0EC3"/>
    <w:rsid w:val="00DF56FD"/>
    <w:rsid w:val="00DF5B63"/>
    <w:rsid w:val="00DF5C67"/>
    <w:rsid w:val="00DF75C5"/>
    <w:rsid w:val="00E04AD8"/>
    <w:rsid w:val="00E05D5E"/>
    <w:rsid w:val="00E1130E"/>
    <w:rsid w:val="00E16756"/>
    <w:rsid w:val="00E22577"/>
    <w:rsid w:val="00E23D61"/>
    <w:rsid w:val="00E300F8"/>
    <w:rsid w:val="00E3064E"/>
    <w:rsid w:val="00E32A9C"/>
    <w:rsid w:val="00E33F1C"/>
    <w:rsid w:val="00E340C2"/>
    <w:rsid w:val="00E4080D"/>
    <w:rsid w:val="00E408F8"/>
    <w:rsid w:val="00E40E0A"/>
    <w:rsid w:val="00E51DC4"/>
    <w:rsid w:val="00E528F3"/>
    <w:rsid w:val="00E53AA4"/>
    <w:rsid w:val="00E62414"/>
    <w:rsid w:val="00E6434E"/>
    <w:rsid w:val="00E64D54"/>
    <w:rsid w:val="00E6602E"/>
    <w:rsid w:val="00E71CBE"/>
    <w:rsid w:val="00E743E2"/>
    <w:rsid w:val="00E75813"/>
    <w:rsid w:val="00E760B2"/>
    <w:rsid w:val="00E7619D"/>
    <w:rsid w:val="00E8671B"/>
    <w:rsid w:val="00E87E21"/>
    <w:rsid w:val="00E918AD"/>
    <w:rsid w:val="00E92832"/>
    <w:rsid w:val="00E97294"/>
    <w:rsid w:val="00EA71EC"/>
    <w:rsid w:val="00EB0412"/>
    <w:rsid w:val="00EC1883"/>
    <w:rsid w:val="00EC5585"/>
    <w:rsid w:val="00EC5B1C"/>
    <w:rsid w:val="00EC5EFF"/>
    <w:rsid w:val="00EC644B"/>
    <w:rsid w:val="00ED3795"/>
    <w:rsid w:val="00ED3B4E"/>
    <w:rsid w:val="00ED7BDD"/>
    <w:rsid w:val="00EE56A8"/>
    <w:rsid w:val="00EE6554"/>
    <w:rsid w:val="00EF0A2B"/>
    <w:rsid w:val="00EF2BDD"/>
    <w:rsid w:val="00EF51DC"/>
    <w:rsid w:val="00EF6C60"/>
    <w:rsid w:val="00F02548"/>
    <w:rsid w:val="00F06D4A"/>
    <w:rsid w:val="00F13FF4"/>
    <w:rsid w:val="00F206A7"/>
    <w:rsid w:val="00F21B69"/>
    <w:rsid w:val="00F2290E"/>
    <w:rsid w:val="00F254DF"/>
    <w:rsid w:val="00F32956"/>
    <w:rsid w:val="00F36125"/>
    <w:rsid w:val="00F36D1A"/>
    <w:rsid w:val="00F377DA"/>
    <w:rsid w:val="00F402CB"/>
    <w:rsid w:val="00F40ADC"/>
    <w:rsid w:val="00F42AE7"/>
    <w:rsid w:val="00F52407"/>
    <w:rsid w:val="00F66814"/>
    <w:rsid w:val="00F66B9C"/>
    <w:rsid w:val="00F81A80"/>
    <w:rsid w:val="00F83459"/>
    <w:rsid w:val="00F91CE5"/>
    <w:rsid w:val="00F923BC"/>
    <w:rsid w:val="00F95EAC"/>
    <w:rsid w:val="00FB0EE1"/>
    <w:rsid w:val="00FB6218"/>
    <w:rsid w:val="00FB7869"/>
    <w:rsid w:val="00FC4252"/>
    <w:rsid w:val="00FC55E6"/>
    <w:rsid w:val="00FC57DC"/>
    <w:rsid w:val="00FC705C"/>
    <w:rsid w:val="00FC72B9"/>
    <w:rsid w:val="00FC7AE8"/>
    <w:rsid w:val="00FD126D"/>
    <w:rsid w:val="00FD1695"/>
    <w:rsid w:val="00FD6873"/>
    <w:rsid w:val="00FE61C7"/>
    <w:rsid w:val="00FE630D"/>
    <w:rsid w:val="00FF082F"/>
    <w:rsid w:val="00FF08A6"/>
    <w:rsid w:val="00FF5B5F"/>
    <w:rsid w:val="00FF630C"/>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2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34"/>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qForma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99"/>
    <w:locked/>
    <w:rsid w:val="006F17A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256EA0"/>
    <w:pPr>
      <w:spacing w:after="0" w:line="240" w:lineRule="auto"/>
      <w:jc w:val="both"/>
    </w:pPr>
    <w:rPr>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2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34"/>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qForma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99"/>
    <w:locked/>
    <w:rsid w:val="006F17A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256EA0"/>
    <w:pPr>
      <w:spacing w:after="0" w:line="240" w:lineRule="auto"/>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1860198233">
          <w:marLeft w:val="0"/>
          <w:marRight w:val="0"/>
          <w:marTop w:val="0"/>
          <w:marBottom w:val="0"/>
          <w:divBdr>
            <w:top w:val="none" w:sz="0" w:space="0" w:color="auto"/>
            <w:left w:val="none" w:sz="0" w:space="0" w:color="auto"/>
            <w:bottom w:val="none" w:sz="0" w:space="0" w:color="auto"/>
            <w:right w:val="none" w:sz="0" w:space="0" w:color="auto"/>
          </w:divBdr>
        </w:div>
        <w:div w:id="2013101181">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1681466465">
              <w:marLeft w:val="0"/>
              <w:marRight w:val="0"/>
              <w:marTop w:val="0"/>
              <w:marBottom w:val="0"/>
              <w:divBdr>
                <w:top w:val="none" w:sz="0" w:space="0" w:color="auto"/>
                <w:left w:val="none" w:sz="0" w:space="0" w:color="auto"/>
                <w:bottom w:val="none" w:sz="0" w:space="0" w:color="auto"/>
                <w:right w:val="none" w:sz="0" w:space="0" w:color="auto"/>
              </w:divBdr>
            </w:div>
            <w:div w:id="404642281">
              <w:marLeft w:val="0"/>
              <w:marRight w:val="0"/>
              <w:marTop w:val="0"/>
              <w:marBottom w:val="0"/>
              <w:divBdr>
                <w:top w:val="none" w:sz="0" w:space="0" w:color="auto"/>
                <w:left w:val="none" w:sz="0" w:space="0" w:color="auto"/>
                <w:bottom w:val="none" w:sz="0" w:space="0" w:color="auto"/>
                <w:right w:val="none" w:sz="0" w:space="0" w:color="auto"/>
              </w:divBdr>
              <w:divsChild>
                <w:div w:id="1119184646">
                  <w:marLeft w:val="0"/>
                  <w:marRight w:val="0"/>
                  <w:marTop w:val="0"/>
                  <w:marBottom w:val="0"/>
                  <w:divBdr>
                    <w:top w:val="none" w:sz="0" w:space="0" w:color="auto"/>
                    <w:left w:val="none" w:sz="0" w:space="0" w:color="auto"/>
                    <w:bottom w:val="none" w:sz="0" w:space="0" w:color="auto"/>
                    <w:right w:val="none" w:sz="0" w:space="0" w:color="auto"/>
                  </w:divBdr>
                </w:div>
                <w:div w:id="1975981605">
                  <w:marLeft w:val="0"/>
                  <w:marRight w:val="0"/>
                  <w:marTop w:val="0"/>
                  <w:marBottom w:val="0"/>
                  <w:divBdr>
                    <w:top w:val="none" w:sz="0" w:space="0" w:color="auto"/>
                    <w:left w:val="none" w:sz="0" w:space="0" w:color="auto"/>
                    <w:bottom w:val="none" w:sz="0" w:space="0" w:color="auto"/>
                    <w:right w:val="none" w:sz="0" w:space="0" w:color="auto"/>
                  </w:divBdr>
                </w:div>
                <w:div w:id="20337079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70874060">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1258248776">
              <w:marLeft w:val="0"/>
              <w:marRight w:val="0"/>
              <w:marTop w:val="0"/>
              <w:marBottom w:val="0"/>
              <w:divBdr>
                <w:top w:val="none" w:sz="0" w:space="0" w:color="auto"/>
                <w:left w:val="none" w:sz="0" w:space="0" w:color="auto"/>
                <w:bottom w:val="none" w:sz="0" w:space="0" w:color="auto"/>
                <w:right w:val="none" w:sz="0" w:space="0" w:color="auto"/>
              </w:divBdr>
            </w:div>
            <w:div w:id="300110341">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53270560">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79432">
      <w:bodyDiv w:val="1"/>
      <w:marLeft w:val="0"/>
      <w:marRight w:val="0"/>
      <w:marTop w:val="0"/>
      <w:marBottom w:val="0"/>
      <w:divBdr>
        <w:top w:val="none" w:sz="0" w:space="0" w:color="auto"/>
        <w:left w:val="none" w:sz="0" w:space="0" w:color="auto"/>
        <w:bottom w:val="none" w:sz="0" w:space="0" w:color="auto"/>
        <w:right w:val="none" w:sz="0" w:space="0" w:color="auto"/>
      </w:divBdr>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9177">
      <w:bodyDiv w:val="1"/>
      <w:marLeft w:val="0"/>
      <w:marRight w:val="0"/>
      <w:marTop w:val="0"/>
      <w:marBottom w:val="0"/>
      <w:divBdr>
        <w:top w:val="none" w:sz="0" w:space="0" w:color="auto"/>
        <w:left w:val="none" w:sz="0" w:space="0" w:color="auto"/>
        <w:bottom w:val="none" w:sz="0" w:space="0" w:color="auto"/>
        <w:right w:val="none" w:sz="0" w:space="0" w:color="auto"/>
      </w:divBdr>
    </w:div>
    <w:div w:id="841698246">
      <w:bodyDiv w:val="1"/>
      <w:marLeft w:val="0"/>
      <w:marRight w:val="0"/>
      <w:marTop w:val="0"/>
      <w:marBottom w:val="0"/>
      <w:divBdr>
        <w:top w:val="none" w:sz="0" w:space="0" w:color="auto"/>
        <w:left w:val="none" w:sz="0" w:space="0" w:color="auto"/>
        <w:bottom w:val="none" w:sz="0" w:space="0" w:color="auto"/>
        <w:right w:val="none" w:sz="0" w:space="0" w:color="auto"/>
      </w:divBdr>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5657">
      <w:bodyDiv w:val="1"/>
      <w:marLeft w:val="0"/>
      <w:marRight w:val="0"/>
      <w:marTop w:val="0"/>
      <w:marBottom w:val="0"/>
      <w:divBdr>
        <w:top w:val="none" w:sz="0" w:space="0" w:color="auto"/>
        <w:left w:val="none" w:sz="0" w:space="0" w:color="auto"/>
        <w:bottom w:val="none" w:sz="0" w:space="0" w:color="auto"/>
        <w:right w:val="none" w:sz="0" w:space="0" w:color="auto"/>
      </w:divBdr>
    </w:div>
    <w:div w:id="1052004875">
      <w:bodyDiv w:val="1"/>
      <w:marLeft w:val="0"/>
      <w:marRight w:val="0"/>
      <w:marTop w:val="0"/>
      <w:marBottom w:val="0"/>
      <w:divBdr>
        <w:top w:val="none" w:sz="0" w:space="0" w:color="auto"/>
        <w:left w:val="none" w:sz="0" w:space="0" w:color="auto"/>
        <w:bottom w:val="none" w:sz="0" w:space="0" w:color="auto"/>
        <w:right w:val="none" w:sz="0" w:space="0" w:color="auto"/>
      </w:divBdr>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8719">
      <w:bodyDiv w:val="1"/>
      <w:marLeft w:val="0"/>
      <w:marRight w:val="0"/>
      <w:marTop w:val="0"/>
      <w:marBottom w:val="0"/>
      <w:divBdr>
        <w:top w:val="none" w:sz="0" w:space="0" w:color="auto"/>
        <w:left w:val="none" w:sz="0" w:space="0" w:color="auto"/>
        <w:bottom w:val="none" w:sz="0" w:space="0" w:color="auto"/>
        <w:right w:val="none" w:sz="0" w:space="0" w:color="auto"/>
      </w:divBdr>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2221">
      <w:bodyDiv w:val="1"/>
      <w:marLeft w:val="0"/>
      <w:marRight w:val="0"/>
      <w:marTop w:val="0"/>
      <w:marBottom w:val="0"/>
      <w:divBdr>
        <w:top w:val="none" w:sz="0" w:space="0" w:color="auto"/>
        <w:left w:val="none" w:sz="0" w:space="0" w:color="auto"/>
        <w:bottom w:val="none" w:sz="0" w:space="0" w:color="auto"/>
        <w:right w:val="none" w:sz="0" w:space="0" w:color="auto"/>
      </w:divBdr>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9716">
      <w:bodyDiv w:val="1"/>
      <w:marLeft w:val="0"/>
      <w:marRight w:val="0"/>
      <w:marTop w:val="0"/>
      <w:marBottom w:val="0"/>
      <w:divBdr>
        <w:top w:val="none" w:sz="0" w:space="0" w:color="auto"/>
        <w:left w:val="none" w:sz="0" w:space="0" w:color="auto"/>
        <w:bottom w:val="none" w:sz="0" w:space="0" w:color="auto"/>
        <w:right w:val="none" w:sz="0" w:space="0" w:color="auto"/>
      </w:divBdr>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1058">
      <w:bodyDiv w:val="1"/>
      <w:marLeft w:val="0"/>
      <w:marRight w:val="0"/>
      <w:marTop w:val="0"/>
      <w:marBottom w:val="0"/>
      <w:divBdr>
        <w:top w:val="none" w:sz="0" w:space="0" w:color="auto"/>
        <w:left w:val="none" w:sz="0" w:space="0" w:color="auto"/>
        <w:bottom w:val="none" w:sz="0" w:space="0" w:color="auto"/>
        <w:right w:val="none" w:sz="0" w:space="0" w:color="auto"/>
      </w:divBdr>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isaza_13_12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D33B-4625-4D3C-A224-A31F5CC4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9887</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3</cp:revision>
  <cp:lastPrinted>2018-01-16T23:53:00Z</cp:lastPrinted>
  <dcterms:created xsi:type="dcterms:W3CDTF">2018-01-17T15:35:00Z</dcterms:created>
  <dcterms:modified xsi:type="dcterms:W3CDTF">2018-01-17T15:35:00Z</dcterms:modified>
</cp:coreProperties>
</file>