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75" w:rsidRPr="006D6C07" w:rsidRDefault="00877E09" w:rsidP="00165930">
      <w:pPr>
        <w:spacing w:after="0"/>
        <w:ind w:right="-317"/>
        <w:jc w:val="center"/>
        <w:rPr>
          <w:rFonts w:cs="Verdana Bold"/>
          <w:b/>
          <w:bCs/>
          <w:caps/>
          <w:szCs w:val="20"/>
        </w:rPr>
      </w:pPr>
      <w:r w:rsidRPr="006D6C07">
        <w:rPr>
          <w:rFonts w:cs="Verdana Bold"/>
          <w:b/>
          <w:bCs/>
          <w:caps/>
          <w:szCs w:val="20"/>
        </w:rPr>
        <w:t xml:space="preserve">  </w:t>
      </w:r>
    </w:p>
    <w:p w:rsidR="00B10675" w:rsidRPr="006D6C07" w:rsidRDefault="00B10675" w:rsidP="00165930">
      <w:pPr>
        <w:spacing w:after="0"/>
        <w:ind w:right="-317"/>
        <w:jc w:val="center"/>
        <w:rPr>
          <w:rFonts w:cs="Verdana Bold"/>
          <w:b/>
          <w:bCs/>
          <w:caps/>
          <w:szCs w:val="20"/>
        </w:rPr>
      </w:pPr>
    </w:p>
    <w:p w:rsidR="00B10675" w:rsidRPr="006D6C07" w:rsidRDefault="00B10675" w:rsidP="00165930">
      <w:pPr>
        <w:spacing w:after="0"/>
        <w:ind w:right="-317"/>
        <w:jc w:val="center"/>
        <w:rPr>
          <w:rFonts w:cs="Verdana Bold"/>
          <w:b/>
          <w:bCs/>
          <w:caps/>
          <w:szCs w:val="20"/>
        </w:rPr>
      </w:pPr>
    </w:p>
    <w:p w:rsidR="00B10675" w:rsidRDefault="00B10675" w:rsidP="00165930">
      <w:pPr>
        <w:spacing w:after="0"/>
        <w:ind w:right="-317"/>
        <w:jc w:val="center"/>
        <w:rPr>
          <w:rFonts w:cs="Verdana Bold"/>
          <w:b/>
          <w:bCs/>
          <w:caps/>
          <w:szCs w:val="20"/>
        </w:rPr>
      </w:pPr>
    </w:p>
    <w:p w:rsidR="003C7545" w:rsidRDefault="003C7545" w:rsidP="00165930">
      <w:pPr>
        <w:spacing w:after="0"/>
        <w:ind w:right="-317"/>
        <w:jc w:val="center"/>
        <w:rPr>
          <w:rFonts w:cs="Verdana Bold"/>
          <w:b/>
          <w:bCs/>
          <w:caps/>
          <w:szCs w:val="20"/>
        </w:rPr>
      </w:pPr>
    </w:p>
    <w:p w:rsidR="003C7545" w:rsidRPr="006D6C07" w:rsidRDefault="003C7545" w:rsidP="00165930">
      <w:pPr>
        <w:spacing w:after="0"/>
        <w:ind w:right="-317"/>
        <w:jc w:val="center"/>
        <w:rPr>
          <w:rFonts w:cs="Verdana Bold"/>
          <w:b/>
          <w:bCs/>
          <w:caps/>
          <w:szCs w:val="20"/>
        </w:rPr>
      </w:pPr>
    </w:p>
    <w:p w:rsidR="00B10675" w:rsidRPr="00C75778" w:rsidRDefault="00B10675" w:rsidP="00165930">
      <w:pPr>
        <w:spacing w:after="0"/>
        <w:ind w:right="49"/>
        <w:jc w:val="center"/>
        <w:rPr>
          <w:rFonts w:cs="Verdana Bold"/>
          <w:b/>
          <w:bCs/>
          <w:caps/>
          <w:szCs w:val="20"/>
        </w:rPr>
      </w:pPr>
      <w:r w:rsidRPr="00C75778">
        <w:rPr>
          <w:rFonts w:cs="Verdana Bold"/>
          <w:b/>
          <w:bCs/>
          <w:caps/>
          <w:szCs w:val="20"/>
        </w:rPr>
        <w:t>Resolución del Presidente de la</w:t>
      </w:r>
      <w:bookmarkStart w:id="0" w:name="_GoBack"/>
      <w:bookmarkEnd w:id="0"/>
    </w:p>
    <w:p w:rsidR="008B40B5" w:rsidRPr="00C75778" w:rsidRDefault="008B40B5" w:rsidP="00165930">
      <w:pPr>
        <w:spacing w:after="0"/>
        <w:ind w:right="49"/>
        <w:jc w:val="center"/>
        <w:rPr>
          <w:rFonts w:cs="Verdana Bold"/>
          <w:b/>
          <w:bCs/>
          <w:caps/>
          <w:szCs w:val="20"/>
        </w:rPr>
      </w:pPr>
    </w:p>
    <w:p w:rsidR="00B10675" w:rsidRPr="00C75778" w:rsidRDefault="00B10675" w:rsidP="00165930">
      <w:pPr>
        <w:spacing w:after="0"/>
        <w:ind w:right="-316"/>
        <w:jc w:val="center"/>
        <w:rPr>
          <w:rFonts w:cs="Verdana Bold"/>
          <w:b/>
          <w:bCs/>
          <w:caps/>
          <w:szCs w:val="20"/>
        </w:rPr>
      </w:pPr>
      <w:r w:rsidRPr="00C75778">
        <w:rPr>
          <w:rFonts w:cs="Verdana Bold"/>
          <w:b/>
          <w:bCs/>
          <w:caps/>
          <w:szCs w:val="20"/>
        </w:rPr>
        <w:t>Corte Interamericana de Derechos Humanos</w:t>
      </w:r>
    </w:p>
    <w:p w:rsidR="008B40B5" w:rsidRPr="00C75778" w:rsidRDefault="008B40B5" w:rsidP="00165930">
      <w:pPr>
        <w:spacing w:after="0"/>
        <w:ind w:right="-316"/>
        <w:jc w:val="center"/>
        <w:rPr>
          <w:rFonts w:cs="Verdana Bold"/>
          <w:b/>
          <w:bCs/>
          <w:caps/>
          <w:szCs w:val="20"/>
        </w:rPr>
      </w:pPr>
    </w:p>
    <w:p w:rsidR="00B10675" w:rsidRPr="00C75778" w:rsidRDefault="00B10675" w:rsidP="00165930">
      <w:pPr>
        <w:spacing w:after="0"/>
        <w:ind w:right="49"/>
        <w:jc w:val="center"/>
        <w:rPr>
          <w:rFonts w:cs="Verdana Bold"/>
          <w:b/>
          <w:bCs/>
          <w:caps/>
          <w:szCs w:val="20"/>
        </w:rPr>
      </w:pPr>
      <w:r w:rsidRPr="00C75778">
        <w:rPr>
          <w:rFonts w:cs="Verdana Bold"/>
          <w:b/>
          <w:bCs/>
          <w:caps/>
          <w:szCs w:val="20"/>
        </w:rPr>
        <w:t xml:space="preserve">dE </w:t>
      </w:r>
      <w:r w:rsidR="00D77E68">
        <w:rPr>
          <w:rFonts w:cs="Verdana Bold"/>
          <w:b/>
          <w:bCs/>
          <w:caps/>
          <w:szCs w:val="20"/>
        </w:rPr>
        <w:t>19</w:t>
      </w:r>
      <w:r w:rsidR="002C4C8A" w:rsidRPr="00C75778">
        <w:rPr>
          <w:rFonts w:cs="Verdana Bold"/>
          <w:b/>
          <w:bCs/>
          <w:caps/>
          <w:szCs w:val="20"/>
        </w:rPr>
        <w:t xml:space="preserve"> DE diciembre</w:t>
      </w:r>
      <w:r w:rsidRPr="00C75778">
        <w:rPr>
          <w:rFonts w:cs="Verdana Bold"/>
          <w:b/>
          <w:bCs/>
          <w:caps/>
          <w:szCs w:val="20"/>
        </w:rPr>
        <w:t xml:space="preserve"> de 2018</w:t>
      </w:r>
    </w:p>
    <w:p w:rsidR="00B10675" w:rsidRPr="00C75778" w:rsidRDefault="00B10675" w:rsidP="00165930">
      <w:pPr>
        <w:spacing w:after="0"/>
        <w:ind w:right="-316"/>
        <w:rPr>
          <w:rFonts w:cs="Verdana Bold"/>
          <w:b/>
          <w:bCs/>
          <w:caps/>
          <w:szCs w:val="20"/>
        </w:rPr>
      </w:pPr>
    </w:p>
    <w:p w:rsidR="00B10675" w:rsidRPr="00C75778" w:rsidRDefault="002C4C8A" w:rsidP="00165930">
      <w:pPr>
        <w:spacing w:after="0"/>
        <w:ind w:right="49"/>
        <w:jc w:val="center"/>
        <w:rPr>
          <w:rFonts w:cs="Verdana Bold"/>
          <w:b/>
          <w:bCs/>
          <w:caps/>
          <w:szCs w:val="20"/>
        </w:rPr>
      </w:pPr>
      <w:r w:rsidRPr="00C75778">
        <w:rPr>
          <w:rFonts w:cs="Verdana Bold"/>
          <w:b/>
          <w:bCs/>
          <w:caps/>
          <w:szCs w:val="20"/>
        </w:rPr>
        <w:t>CASO Jenkins</w:t>
      </w:r>
      <w:r w:rsidR="00B10675" w:rsidRPr="00C75778">
        <w:rPr>
          <w:rFonts w:cs="Verdana Bold"/>
          <w:b/>
          <w:bCs/>
          <w:caps/>
          <w:szCs w:val="20"/>
        </w:rPr>
        <w:t xml:space="preserve"> vs. ARGENTINA</w:t>
      </w:r>
    </w:p>
    <w:p w:rsidR="00B10675" w:rsidRPr="00C75778" w:rsidRDefault="00B10675" w:rsidP="00165930">
      <w:pPr>
        <w:spacing w:after="0"/>
        <w:ind w:right="49"/>
        <w:jc w:val="center"/>
        <w:rPr>
          <w:b/>
          <w:caps/>
          <w:szCs w:val="20"/>
          <w:lang w:val="es-CR"/>
        </w:rPr>
      </w:pPr>
      <w:r w:rsidRPr="00C75778">
        <w:rPr>
          <w:b/>
          <w:caps/>
          <w:szCs w:val="20"/>
          <w:lang w:val="es-CR"/>
        </w:rPr>
        <w:t>CONVOCATORIA A AUDIENCIA</w:t>
      </w:r>
    </w:p>
    <w:p w:rsidR="00B10675" w:rsidRPr="00C75778" w:rsidRDefault="00B10675" w:rsidP="00165930">
      <w:pPr>
        <w:spacing w:after="0"/>
        <w:rPr>
          <w:rFonts w:cs="Verdana"/>
          <w:b/>
          <w:bCs/>
          <w:caps/>
          <w:szCs w:val="20"/>
        </w:rPr>
      </w:pPr>
    </w:p>
    <w:p w:rsidR="00B10675" w:rsidRPr="00C75778" w:rsidRDefault="00B10675" w:rsidP="00165930">
      <w:pPr>
        <w:spacing w:after="0"/>
        <w:rPr>
          <w:rFonts w:cs="Verdana"/>
          <w:b/>
          <w:bCs/>
          <w:caps/>
          <w:szCs w:val="20"/>
        </w:rPr>
      </w:pPr>
      <w:r w:rsidRPr="00C75778">
        <w:rPr>
          <w:rFonts w:cs="Verdana"/>
          <w:b/>
          <w:bCs/>
          <w:caps/>
          <w:szCs w:val="20"/>
        </w:rPr>
        <w:t>Visto:</w:t>
      </w:r>
    </w:p>
    <w:p w:rsidR="008B40B5" w:rsidRPr="00C75778" w:rsidRDefault="008B40B5" w:rsidP="00165930">
      <w:pPr>
        <w:spacing w:after="0"/>
        <w:rPr>
          <w:rFonts w:cs="Verdana"/>
          <w:b/>
          <w:bCs/>
          <w:caps/>
          <w:szCs w:val="20"/>
        </w:rPr>
      </w:pPr>
    </w:p>
    <w:p w:rsidR="00B10675" w:rsidRPr="00C75778" w:rsidRDefault="00B10675" w:rsidP="00D77E68">
      <w:pPr>
        <w:pStyle w:val="ListParagraph"/>
        <w:widowControl w:val="0"/>
        <w:numPr>
          <w:ilvl w:val="0"/>
          <w:numId w:val="1"/>
        </w:numPr>
        <w:tabs>
          <w:tab w:val="left" w:pos="567"/>
        </w:tabs>
        <w:autoSpaceDE w:val="0"/>
        <w:autoSpaceDN w:val="0"/>
        <w:adjustRightInd w:val="0"/>
        <w:spacing w:after="0"/>
        <w:ind w:left="0" w:right="23" w:firstLine="0"/>
        <w:contextualSpacing w:val="0"/>
        <w:rPr>
          <w:szCs w:val="20"/>
          <w:lang w:val="es-CR"/>
        </w:rPr>
      </w:pPr>
      <w:bookmarkStart w:id="1" w:name="_Ref393297742"/>
      <w:bookmarkStart w:id="2" w:name="_Ref352676460"/>
      <w:bookmarkStart w:id="3" w:name="_Ref393297780"/>
      <w:bookmarkStart w:id="4" w:name="_Ref393920719"/>
      <w:r w:rsidRPr="00C75778">
        <w:rPr>
          <w:szCs w:val="20"/>
          <w:lang w:val="es-CR"/>
        </w:rPr>
        <w:t>El escrito de sometimiento del caso y el Informe de Fondo de la Comisión Interamericana de Derechos Humanos (en adelante “la Comisión Interamericana” o “la Comisión”)</w:t>
      </w:r>
      <w:bookmarkEnd w:id="1"/>
      <w:r w:rsidRPr="00C75778">
        <w:rPr>
          <w:szCs w:val="20"/>
          <w:lang w:val="es-CR"/>
        </w:rPr>
        <w:t xml:space="preserve">; </w:t>
      </w:r>
      <w:bookmarkStart w:id="5" w:name="_Ref393297751"/>
      <w:bookmarkStart w:id="6" w:name="_Ref351983508"/>
      <w:bookmarkEnd w:id="2"/>
      <w:r w:rsidRPr="00C75778">
        <w:rPr>
          <w:szCs w:val="20"/>
          <w:lang w:val="es-CR"/>
        </w:rPr>
        <w:t xml:space="preserve">el escrito de solicitudes, argumentos y pruebas (en adelante el “escrito de solicitudes y argumentos”) </w:t>
      </w:r>
      <w:r w:rsidRPr="00C75778">
        <w:rPr>
          <w:szCs w:val="20"/>
          <w:lang w:val="es-CL" w:eastAsia="en-US"/>
        </w:rPr>
        <w:t>de los representantes</w:t>
      </w:r>
      <w:r w:rsidR="002C4C8A" w:rsidRPr="00C75778">
        <w:rPr>
          <w:rStyle w:val="FootnoteReference"/>
          <w:szCs w:val="20"/>
          <w:lang w:val="es-CL" w:eastAsia="en-US"/>
        </w:rPr>
        <w:footnoteReference w:id="1"/>
      </w:r>
      <w:r w:rsidRPr="00C75778">
        <w:rPr>
          <w:rStyle w:val="FootnoteReference"/>
          <w:szCs w:val="20"/>
          <w:lang w:val="es-CL" w:eastAsia="en-US"/>
        </w:rPr>
        <w:t xml:space="preserve"> </w:t>
      </w:r>
      <w:r w:rsidR="002C4C8A" w:rsidRPr="00C75778">
        <w:rPr>
          <w:szCs w:val="20"/>
          <w:lang w:val="es-CL" w:eastAsia="en-US"/>
        </w:rPr>
        <w:t>de la presunta víctima</w:t>
      </w:r>
      <w:r w:rsidRPr="00C75778">
        <w:rPr>
          <w:szCs w:val="20"/>
          <w:lang w:val="es-CR"/>
        </w:rPr>
        <w:t xml:space="preserve"> (en adelante “los representantes”), y </w:t>
      </w:r>
      <w:bookmarkStart w:id="7" w:name="_Ref352676532"/>
      <w:bookmarkEnd w:id="5"/>
      <w:bookmarkEnd w:id="6"/>
      <w:r w:rsidRPr="00C75778">
        <w:rPr>
          <w:szCs w:val="20"/>
          <w:lang w:val="es-CR"/>
        </w:rPr>
        <w:t xml:space="preserve">el escrito de contestación al sometimiento del caso y al escrito de solicitudes y argumentos (en adelante “escrito de contestación”) del Estado de </w:t>
      </w:r>
      <w:r w:rsidR="002F2625" w:rsidRPr="00C75778">
        <w:rPr>
          <w:szCs w:val="20"/>
          <w:lang w:val="es-CR"/>
        </w:rPr>
        <w:t>Argentina</w:t>
      </w:r>
      <w:r w:rsidRPr="00C75778">
        <w:rPr>
          <w:szCs w:val="20"/>
          <w:lang w:val="es-CR"/>
        </w:rPr>
        <w:t xml:space="preserve"> (en adelante “</w:t>
      </w:r>
      <w:r w:rsidR="002F2625" w:rsidRPr="00C75778">
        <w:rPr>
          <w:szCs w:val="20"/>
          <w:lang w:val="es-CR"/>
        </w:rPr>
        <w:t>Argentina</w:t>
      </w:r>
      <w:r w:rsidRPr="00C75778">
        <w:rPr>
          <w:szCs w:val="20"/>
          <w:lang w:val="es-CR"/>
        </w:rPr>
        <w:t>” o “el Estado”)</w:t>
      </w:r>
      <w:bookmarkEnd w:id="7"/>
      <w:r w:rsidRPr="00C75778">
        <w:rPr>
          <w:szCs w:val="20"/>
          <w:lang w:val="es-CR"/>
        </w:rPr>
        <w:t>.</w:t>
      </w:r>
    </w:p>
    <w:bookmarkEnd w:id="3"/>
    <w:bookmarkEnd w:id="4"/>
    <w:p w:rsidR="00B10675" w:rsidRPr="00C75778" w:rsidRDefault="00B10675" w:rsidP="00165930">
      <w:pPr>
        <w:pStyle w:val="ListParagraph"/>
        <w:widowControl w:val="0"/>
        <w:tabs>
          <w:tab w:val="left" w:pos="567"/>
        </w:tabs>
        <w:autoSpaceDE w:val="0"/>
        <w:autoSpaceDN w:val="0"/>
        <w:adjustRightInd w:val="0"/>
        <w:spacing w:after="0"/>
        <w:ind w:left="0" w:right="22"/>
        <w:rPr>
          <w:szCs w:val="20"/>
          <w:lang w:val="es-CR"/>
        </w:rPr>
      </w:pPr>
    </w:p>
    <w:p w:rsidR="008B40B5" w:rsidRPr="00C75778" w:rsidRDefault="008B40B5" w:rsidP="00165930">
      <w:pPr>
        <w:pStyle w:val="ListParagraph"/>
        <w:widowControl w:val="0"/>
        <w:numPr>
          <w:ilvl w:val="0"/>
          <w:numId w:val="1"/>
        </w:numPr>
        <w:tabs>
          <w:tab w:val="left" w:pos="567"/>
        </w:tabs>
        <w:autoSpaceDE w:val="0"/>
        <w:autoSpaceDN w:val="0"/>
        <w:adjustRightInd w:val="0"/>
        <w:spacing w:after="0"/>
        <w:ind w:left="0" w:right="22" w:firstLine="0"/>
        <w:contextualSpacing w:val="0"/>
        <w:rPr>
          <w:lang w:val="es-ES"/>
        </w:rPr>
      </w:pPr>
      <w:r w:rsidRPr="00C75778">
        <w:rPr>
          <w:lang w:val="es-ES"/>
        </w:rPr>
        <w:t xml:space="preserve">Las listas definitivas de declarantes presentadas por los representantes y la Comisión. El Estado </w:t>
      </w:r>
      <w:r w:rsidRPr="00C75778">
        <w:rPr>
          <w:rFonts w:eastAsia="Times" w:cs="Times New Roman"/>
          <w:lang w:val="es-ES"/>
        </w:rPr>
        <w:t>no ofreció declarantes ni peritos a tenor de lo previsto en el artículo 41.1.c del Reglamento del Tribunal.</w:t>
      </w:r>
      <w:r w:rsidRPr="00C75778">
        <w:rPr>
          <w:lang w:val="es-ES"/>
        </w:rPr>
        <w:t xml:space="preserve"> </w:t>
      </w:r>
    </w:p>
    <w:p w:rsidR="008B40B5" w:rsidRPr="00C75778" w:rsidRDefault="008B40B5" w:rsidP="00165930">
      <w:pPr>
        <w:pStyle w:val="ListParagraph"/>
        <w:spacing w:after="0"/>
        <w:rPr>
          <w:lang w:val="es-ES"/>
        </w:rPr>
      </w:pPr>
    </w:p>
    <w:p w:rsidR="00A2543A" w:rsidRPr="00C75778" w:rsidRDefault="008B40B5" w:rsidP="00165930">
      <w:pPr>
        <w:pStyle w:val="ListParagraph"/>
        <w:widowControl w:val="0"/>
        <w:numPr>
          <w:ilvl w:val="0"/>
          <w:numId w:val="1"/>
        </w:numPr>
        <w:tabs>
          <w:tab w:val="left" w:pos="567"/>
        </w:tabs>
        <w:autoSpaceDE w:val="0"/>
        <w:autoSpaceDN w:val="0"/>
        <w:adjustRightInd w:val="0"/>
        <w:spacing w:after="0"/>
        <w:ind w:left="0" w:right="22" w:firstLine="0"/>
        <w:contextualSpacing w:val="0"/>
        <w:rPr>
          <w:lang w:val="es-ES"/>
        </w:rPr>
      </w:pPr>
      <w:r w:rsidRPr="00C75778">
        <w:rPr>
          <w:lang w:val="es-ES"/>
        </w:rPr>
        <w:t xml:space="preserve">Las correspondientes observaciones a dichas listas presentadas por el Estado. La Comisión señaló que “no </w:t>
      </w:r>
      <w:proofErr w:type="gramStart"/>
      <w:r w:rsidRPr="00C75778">
        <w:rPr>
          <w:lang w:val="es-ES"/>
        </w:rPr>
        <w:t>t[</w:t>
      </w:r>
      <w:proofErr w:type="spellStart"/>
      <w:proofErr w:type="gramEnd"/>
      <w:r w:rsidRPr="00C75778">
        <w:rPr>
          <w:lang w:val="es-ES"/>
        </w:rPr>
        <w:t>enía</w:t>
      </w:r>
      <w:proofErr w:type="spellEnd"/>
      <w:r w:rsidRPr="00C75778">
        <w:rPr>
          <w:lang w:val="es-ES"/>
        </w:rPr>
        <w:t>] observaciones que formular [a la lista definitiva de declarantes presentada por los representantes]”.</w:t>
      </w:r>
      <w:r w:rsidRPr="00C75778">
        <w:rPr>
          <w:szCs w:val="20"/>
          <w:lang w:val="es-CR"/>
        </w:rPr>
        <w:t xml:space="preserve"> </w:t>
      </w:r>
    </w:p>
    <w:p w:rsidR="008B40B5" w:rsidRPr="00C75778" w:rsidRDefault="008B40B5" w:rsidP="00165930">
      <w:pPr>
        <w:pStyle w:val="ListParagraph"/>
        <w:widowControl w:val="0"/>
        <w:tabs>
          <w:tab w:val="left" w:pos="567"/>
        </w:tabs>
        <w:autoSpaceDE w:val="0"/>
        <w:autoSpaceDN w:val="0"/>
        <w:adjustRightInd w:val="0"/>
        <w:spacing w:after="0"/>
        <w:ind w:left="0" w:right="22"/>
        <w:contextualSpacing w:val="0"/>
        <w:rPr>
          <w:lang w:val="es-ES"/>
        </w:rPr>
      </w:pPr>
    </w:p>
    <w:p w:rsidR="00B10675" w:rsidRPr="00C75778" w:rsidRDefault="00B10675" w:rsidP="00165930">
      <w:pPr>
        <w:autoSpaceDE w:val="0"/>
        <w:autoSpaceDN w:val="0"/>
        <w:adjustRightInd w:val="0"/>
        <w:spacing w:after="0"/>
        <w:jc w:val="left"/>
        <w:rPr>
          <w:rFonts w:eastAsia="Times New Roman" w:cs="Verdana"/>
          <w:b/>
          <w:bCs/>
          <w:szCs w:val="20"/>
          <w:lang w:val="es-CL" w:eastAsia="en-US"/>
        </w:rPr>
      </w:pPr>
      <w:r w:rsidRPr="00C75778">
        <w:rPr>
          <w:rFonts w:eastAsia="Times New Roman" w:cs="Verdana"/>
          <w:b/>
          <w:bCs/>
          <w:szCs w:val="20"/>
          <w:lang w:val="es-CL" w:eastAsia="en-US"/>
        </w:rPr>
        <w:t>CONSIDERANDO QUE:</w:t>
      </w:r>
    </w:p>
    <w:p w:rsidR="00B10675" w:rsidRPr="00C75778" w:rsidRDefault="00B10675" w:rsidP="00165930">
      <w:pPr>
        <w:autoSpaceDE w:val="0"/>
        <w:autoSpaceDN w:val="0"/>
        <w:adjustRightInd w:val="0"/>
        <w:spacing w:after="0"/>
        <w:jc w:val="left"/>
        <w:rPr>
          <w:rFonts w:eastAsia="Times New Roman" w:cs="Verdana"/>
          <w:b/>
          <w:bCs/>
          <w:szCs w:val="20"/>
          <w:lang w:val="es-CL" w:eastAsia="en-US"/>
        </w:rPr>
      </w:pPr>
    </w:p>
    <w:p w:rsidR="008B40B5" w:rsidRPr="00C75778" w:rsidRDefault="008275B0" w:rsidP="005E1311">
      <w:pPr>
        <w:numPr>
          <w:ilvl w:val="0"/>
          <w:numId w:val="2"/>
        </w:numPr>
        <w:tabs>
          <w:tab w:val="left" w:pos="567"/>
        </w:tabs>
        <w:autoSpaceDE w:val="0"/>
        <w:autoSpaceDN w:val="0"/>
        <w:adjustRightInd w:val="0"/>
        <w:spacing w:after="0"/>
        <w:rPr>
          <w:rFonts w:eastAsia="Times New Roman" w:cs="Verdana"/>
          <w:szCs w:val="20"/>
          <w:lang w:val="es-CL" w:eastAsia="en-US"/>
        </w:rPr>
      </w:pPr>
      <w:r w:rsidRPr="00C75778">
        <w:rPr>
          <w:rFonts w:eastAsia="Times New Roman" w:cs="Verdana"/>
          <w:szCs w:val="20"/>
          <w:lang w:val="es-CL" w:eastAsia="en-US"/>
        </w:rPr>
        <w:t xml:space="preserve">El </w:t>
      </w:r>
      <w:r w:rsidR="008B40B5" w:rsidRPr="00C75778">
        <w:rPr>
          <w:lang w:val="es-ES"/>
        </w:rPr>
        <w:t>ofrecimiento y la admisión de la prueba, así como la citación de declarantes, testigos y peritos se encuentran regulados en los artículos 35.1.f, 40.2.c, 41.1.c, 46, 47, 48, 50, 52.3 y 57 del Reglamento de la Corte Interamericana de Derechos Humanos (en adelante “la Corte Interamericana”, “la Corte” o “el Tribunal”).</w:t>
      </w:r>
    </w:p>
    <w:p w:rsidR="008275B0" w:rsidRPr="00C75778" w:rsidRDefault="008275B0" w:rsidP="00165930">
      <w:pPr>
        <w:spacing w:after="0"/>
        <w:rPr>
          <w:rFonts w:eastAsia="Times New Roman" w:cs="Verdana"/>
          <w:szCs w:val="20"/>
          <w:lang w:val="es-CL" w:eastAsia="en-US"/>
        </w:rPr>
      </w:pPr>
    </w:p>
    <w:p w:rsidR="008275B0" w:rsidRPr="00C75778" w:rsidRDefault="008275B0" w:rsidP="00165930">
      <w:pPr>
        <w:pStyle w:val="ListParagraph"/>
        <w:widowControl w:val="0"/>
        <w:numPr>
          <w:ilvl w:val="0"/>
          <w:numId w:val="2"/>
        </w:numPr>
        <w:tabs>
          <w:tab w:val="left" w:pos="567"/>
          <w:tab w:val="left" w:pos="810"/>
        </w:tabs>
        <w:autoSpaceDE w:val="0"/>
        <w:autoSpaceDN w:val="0"/>
        <w:adjustRightInd w:val="0"/>
        <w:spacing w:after="0"/>
        <w:ind w:right="22"/>
        <w:contextualSpacing w:val="0"/>
        <w:rPr>
          <w:rFonts w:eastAsia="Times New Roman"/>
          <w:lang w:val="es-ES"/>
        </w:rPr>
      </w:pPr>
      <w:r w:rsidRPr="00C75778">
        <w:rPr>
          <w:lang w:val="es-ES"/>
        </w:rPr>
        <w:t xml:space="preserve">La Comisión ofreció como prueba un dictamen pericial. Los representantes ofrecieron tres declaraciones y dos peritajes. </w:t>
      </w:r>
      <w:r w:rsidRPr="00C75778">
        <w:rPr>
          <w:rFonts w:eastAsia="Times New Roman"/>
          <w:lang w:val="es-ES"/>
        </w:rPr>
        <w:t xml:space="preserve">La Corte garantizó a las partes el derecho de defensa respecto de los ofrecimientos probatorios oportunamente realizados. </w:t>
      </w:r>
    </w:p>
    <w:p w:rsidR="008275B0" w:rsidRPr="00C75778" w:rsidRDefault="008275B0" w:rsidP="00165930">
      <w:pPr>
        <w:pStyle w:val="ListParagraph"/>
        <w:tabs>
          <w:tab w:val="left" w:pos="708"/>
        </w:tabs>
        <w:spacing w:after="0"/>
        <w:ind w:left="0"/>
        <w:rPr>
          <w:rFonts w:eastAsia="Times New Roman"/>
          <w:lang w:val="es-ES"/>
        </w:rPr>
      </w:pPr>
    </w:p>
    <w:p w:rsidR="008275B0" w:rsidRPr="005E1311" w:rsidRDefault="008275B0" w:rsidP="00165930">
      <w:pPr>
        <w:pStyle w:val="ListParagraph"/>
        <w:widowControl w:val="0"/>
        <w:numPr>
          <w:ilvl w:val="0"/>
          <w:numId w:val="2"/>
        </w:numPr>
        <w:tabs>
          <w:tab w:val="left" w:pos="567"/>
          <w:tab w:val="left" w:pos="810"/>
        </w:tabs>
        <w:autoSpaceDE w:val="0"/>
        <w:autoSpaceDN w:val="0"/>
        <w:adjustRightInd w:val="0"/>
        <w:spacing w:after="0"/>
        <w:ind w:right="22"/>
        <w:contextualSpacing w:val="0"/>
        <w:rPr>
          <w:lang w:val="es-ES"/>
        </w:rPr>
      </w:pPr>
      <w:r w:rsidRPr="00C75778">
        <w:rPr>
          <w:bCs/>
          <w:iCs/>
          <w:lang w:val="es-ES"/>
        </w:rPr>
        <w:t xml:space="preserve">La Comisión señaló que no tenía observaciones a la lista definitiva presentada por los representantes. </w:t>
      </w:r>
      <w:r w:rsidRPr="00C75778">
        <w:rPr>
          <w:rFonts w:cs="Times New Roman"/>
          <w:lang w:val="es-ES"/>
        </w:rPr>
        <w:t xml:space="preserve">Por su parte, el Estado objetó </w:t>
      </w:r>
      <w:r w:rsidRPr="00C75778">
        <w:rPr>
          <w:rFonts w:eastAsia="Times New Roman" w:cs="Verdana"/>
          <w:szCs w:val="20"/>
          <w:lang w:val="es-CL" w:eastAsia="en-US"/>
        </w:rPr>
        <w:t>la admisión de las declaraciones de Kevin Gabriel Jenkins, ofrecido como testigo por los representantes, así como la de Tomás Las Peñas Vallejo, perito ofrecido por los representantes.</w:t>
      </w:r>
    </w:p>
    <w:p w:rsidR="00AD699A" w:rsidRPr="00C75778" w:rsidRDefault="00AD699A" w:rsidP="005E1311">
      <w:pPr>
        <w:pStyle w:val="ListParagraph"/>
        <w:widowControl w:val="0"/>
        <w:tabs>
          <w:tab w:val="left" w:pos="567"/>
          <w:tab w:val="left" w:pos="810"/>
        </w:tabs>
        <w:autoSpaceDE w:val="0"/>
        <w:autoSpaceDN w:val="0"/>
        <w:adjustRightInd w:val="0"/>
        <w:spacing w:after="0"/>
        <w:ind w:left="0" w:right="22"/>
        <w:contextualSpacing w:val="0"/>
        <w:rPr>
          <w:lang w:val="es-ES"/>
        </w:rPr>
      </w:pPr>
    </w:p>
    <w:p w:rsidR="008275B0" w:rsidRPr="00C75778" w:rsidRDefault="008275B0" w:rsidP="00165930">
      <w:pPr>
        <w:pStyle w:val="ListParagraph"/>
        <w:widowControl w:val="0"/>
        <w:numPr>
          <w:ilvl w:val="0"/>
          <w:numId w:val="2"/>
        </w:numPr>
        <w:tabs>
          <w:tab w:val="left" w:pos="567"/>
          <w:tab w:val="left" w:pos="810"/>
        </w:tabs>
        <w:autoSpaceDE w:val="0"/>
        <w:autoSpaceDN w:val="0"/>
        <w:adjustRightInd w:val="0"/>
        <w:spacing w:after="0"/>
        <w:ind w:right="22"/>
        <w:contextualSpacing w:val="0"/>
        <w:rPr>
          <w:lang w:val="es-ES"/>
        </w:rPr>
      </w:pPr>
      <w:r w:rsidRPr="00C75778">
        <w:rPr>
          <w:lang w:val="es-ES"/>
        </w:rPr>
        <w:t xml:space="preserve">En cuanto a las declaraciones ofrecidas oportunamente que no han sido objetadas, esta Presidencia considera conveniente recabarlas como prueba, </w:t>
      </w:r>
      <w:r w:rsidRPr="00C75778">
        <w:rPr>
          <w:rFonts w:eastAsiaTheme="minorHAnsi"/>
          <w:color w:val="000000"/>
          <w:lang w:val="es-ES"/>
        </w:rPr>
        <w:t xml:space="preserve">a efectos de que el Tribunal pueda apreciar su valor en la debida oportunidad procesal, dentro del contexto del acervo probatorio existente y según las reglas de la sana crítica. Por consiguiente, el Presidente admite las declaraciones </w:t>
      </w:r>
      <w:r w:rsidR="00A95ADF" w:rsidRPr="00C75778">
        <w:rPr>
          <w:rFonts w:eastAsiaTheme="minorHAnsi" w:cs="Verdana"/>
          <w:szCs w:val="20"/>
          <w:lang w:val="es-CR" w:eastAsia="en-US"/>
        </w:rPr>
        <w:t>d</w:t>
      </w:r>
      <w:r w:rsidRPr="00C75778">
        <w:rPr>
          <w:rFonts w:cs="Verdana"/>
          <w:szCs w:val="20"/>
          <w:lang w:val="es-ES"/>
        </w:rPr>
        <w:t xml:space="preserve">el señor Gabriel </w:t>
      </w:r>
      <w:r w:rsidR="00E11166">
        <w:rPr>
          <w:rFonts w:cs="Verdana"/>
          <w:szCs w:val="20"/>
          <w:lang w:val="es-ES"/>
        </w:rPr>
        <w:t>O</w:t>
      </w:r>
      <w:r w:rsidRPr="00C75778">
        <w:rPr>
          <w:rFonts w:cs="Verdana"/>
          <w:szCs w:val="20"/>
          <w:lang w:val="es-ES"/>
        </w:rPr>
        <w:t>scar Jenkins,</w:t>
      </w:r>
      <w:r w:rsidR="00A95ADF" w:rsidRPr="00C75778">
        <w:rPr>
          <w:rFonts w:cs="Verdana"/>
          <w:szCs w:val="20"/>
          <w:lang w:val="es-ES"/>
        </w:rPr>
        <w:t xml:space="preserve"> de la señora</w:t>
      </w:r>
      <w:r w:rsidRPr="00C75778">
        <w:rPr>
          <w:rFonts w:cs="Verdana"/>
          <w:szCs w:val="20"/>
          <w:lang w:val="es-ES"/>
        </w:rPr>
        <w:t xml:space="preserve"> Leticia </w:t>
      </w:r>
      <w:proofErr w:type="spellStart"/>
      <w:r w:rsidRPr="00C75778">
        <w:rPr>
          <w:rFonts w:cs="Verdana"/>
          <w:szCs w:val="20"/>
          <w:lang w:val="es-ES"/>
        </w:rPr>
        <w:t>Pirone</w:t>
      </w:r>
      <w:r w:rsidR="00AD699A">
        <w:rPr>
          <w:rFonts w:cs="Verdana"/>
          <w:szCs w:val="20"/>
          <w:lang w:val="es-ES"/>
        </w:rPr>
        <w:t>l</w:t>
      </w:r>
      <w:r w:rsidRPr="00C75778">
        <w:rPr>
          <w:rFonts w:cs="Verdana"/>
          <w:szCs w:val="20"/>
          <w:lang w:val="es-ES"/>
        </w:rPr>
        <w:t>li</w:t>
      </w:r>
      <w:proofErr w:type="spellEnd"/>
      <w:r w:rsidR="00A95ADF" w:rsidRPr="00C75778">
        <w:rPr>
          <w:rFonts w:cs="Verdana"/>
          <w:szCs w:val="20"/>
          <w:lang w:val="es-ES"/>
        </w:rPr>
        <w:t xml:space="preserve"> (esposa de Gabriel </w:t>
      </w:r>
      <w:r w:rsidR="00E11166">
        <w:rPr>
          <w:rFonts w:cs="Verdana"/>
          <w:szCs w:val="20"/>
          <w:lang w:val="es-ES"/>
        </w:rPr>
        <w:t>O</w:t>
      </w:r>
      <w:r w:rsidR="00A95ADF" w:rsidRPr="00C75778">
        <w:rPr>
          <w:rFonts w:cs="Verdana"/>
          <w:szCs w:val="20"/>
          <w:lang w:val="es-ES"/>
        </w:rPr>
        <w:t>scar Jenkins)</w:t>
      </w:r>
      <w:r w:rsidRPr="00C75778">
        <w:rPr>
          <w:rFonts w:cs="Verdana"/>
          <w:szCs w:val="20"/>
          <w:lang w:val="es-ES"/>
        </w:rPr>
        <w:t xml:space="preserve">, y el dictamen pericial de Mario Luis </w:t>
      </w:r>
      <w:proofErr w:type="spellStart"/>
      <w:r w:rsidRPr="00C75778">
        <w:rPr>
          <w:rFonts w:cs="Verdana"/>
          <w:szCs w:val="20"/>
          <w:lang w:val="es-ES"/>
        </w:rPr>
        <w:t>Coriolano</w:t>
      </w:r>
      <w:proofErr w:type="spellEnd"/>
      <w:r w:rsidRPr="00C75778">
        <w:rPr>
          <w:rFonts w:cs="Verdana"/>
          <w:szCs w:val="20"/>
          <w:lang w:val="es-ES"/>
        </w:rPr>
        <w:t>, todos ofrecidos por los representantes</w:t>
      </w:r>
      <w:r w:rsidR="00A95ADF" w:rsidRPr="00C75778">
        <w:rPr>
          <w:rFonts w:cs="Verdana"/>
          <w:szCs w:val="20"/>
          <w:lang w:val="es-ES"/>
        </w:rPr>
        <w:t xml:space="preserve"> (</w:t>
      </w:r>
      <w:r w:rsidR="00A95ADF" w:rsidRPr="00C75778">
        <w:rPr>
          <w:rFonts w:cs="Verdana"/>
          <w:i/>
          <w:szCs w:val="20"/>
          <w:lang w:val="es-ES"/>
        </w:rPr>
        <w:t>infra</w:t>
      </w:r>
      <w:r w:rsidR="00A95ADF" w:rsidRPr="00C75778">
        <w:rPr>
          <w:rFonts w:cs="Verdana"/>
          <w:szCs w:val="20"/>
          <w:lang w:val="es-ES"/>
        </w:rPr>
        <w:t xml:space="preserve"> considerando </w:t>
      </w:r>
      <w:r w:rsidR="00E11166">
        <w:rPr>
          <w:rFonts w:cs="Verdana"/>
          <w:szCs w:val="20"/>
          <w:lang w:val="es-ES"/>
        </w:rPr>
        <w:t>13</w:t>
      </w:r>
      <w:r w:rsidR="00A95ADF" w:rsidRPr="00C75778">
        <w:rPr>
          <w:rFonts w:cs="Verdana"/>
          <w:szCs w:val="20"/>
          <w:lang w:val="es-ES"/>
        </w:rPr>
        <w:t>)</w:t>
      </w:r>
      <w:r w:rsidRPr="00C75778">
        <w:rPr>
          <w:rFonts w:cs="Verdana"/>
          <w:szCs w:val="20"/>
          <w:lang w:val="es-ES"/>
        </w:rPr>
        <w:t xml:space="preserve">, </w:t>
      </w:r>
      <w:r w:rsidRPr="00C75778">
        <w:rPr>
          <w:lang w:val="es-ES"/>
        </w:rPr>
        <w:t xml:space="preserve">según el objeto y modalidad determinados en la parte resolutiva </w:t>
      </w:r>
      <w:r w:rsidRPr="00C75778">
        <w:rPr>
          <w:rFonts w:eastAsiaTheme="minorHAnsi"/>
          <w:color w:val="000000"/>
          <w:lang w:val="es-ES"/>
        </w:rPr>
        <w:t>de la presente Resolución (</w:t>
      </w:r>
      <w:r w:rsidRPr="00C75778">
        <w:rPr>
          <w:rFonts w:eastAsiaTheme="minorHAnsi"/>
          <w:i/>
          <w:color w:val="000000"/>
          <w:lang w:val="es-ES"/>
        </w:rPr>
        <w:t>infra</w:t>
      </w:r>
      <w:r w:rsidRPr="00C75778">
        <w:rPr>
          <w:rFonts w:eastAsiaTheme="minorHAnsi"/>
          <w:color w:val="000000"/>
          <w:lang w:val="es-ES"/>
        </w:rPr>
        <w:t xml:space="preserve"> puntos resolutivos </w:t>
      </w:r>
      <w:r w:rsidR="00D77E68">
        <w:rPr>
          <w:rFonts w:eastAsiaTheme="minorHAnsi"/>
          <w:color w:val="000000"/>
          <w:lang w:val="es-ES"/>
        </w:rPr>
        <w:t>1</w:t>
      </w:r>
      <w:r w:rsidRPr="00C75778">
        <w:rPr>
          <w:rFonts w:eastAsiaTheme="minorHAnsi"/>
          <w:color w:val="000000"/>
          <w:lang w:val="es-ES"/>
        </w:rPr>
        <w:t xml:space="preserve"> y </w:t>
      </w:r>
      <w:r w:rsidR="00D77E68">
        <w:rPr>
          <w:rFonts w:eastAsiaTheme="minorHAnsi"/>
          <w:color w:val="000000"/>
          <w:lang w:val="es-ES"/>
        </w:rPr>
        <w:t>4</w:t>
      </w:r>
      <w:r w:rsidRPr="00C75778">
        <w:rPr>
          <w:rFonts w:eastAsiaTheme="minorHAnsi"/>
          <w:color w:val="000000"/>
          <w:lang w:val="es-ES"/>
        </w:rPr>
        <w:t>).</w:t>
      </w:r>
    </w:p>
    <w:p w:rsidR="00A95ADF" w:rsidRPr="00C75778" w:rsidRDefault="00A95ADF" w:rsidP="00165930">
      <w:pPr>
        <w:pStyle w:val="ListParagraph"/>
        <w:tabs>
          <w:tab w:val="left" w:pos="0"/>
        </w:tabs>
        <w:autoSpaceDE w:val="0"/>
        <w:autoSpaceDN w:val="0"/>
        <w:adjustRightInd w:val="0"/>
        <w:spacing w:after="0"/>
        <w:ind w:left="0"/>
        <w:rPr>
          <w:szCs w:val="20"/>
        </w:rPr>
      </w:pPr>
    </w:p>
    <w:p w:rsidR="00A95ADF" w:rsidRPr="00C75778" w:rsidRDefault="00A95ADF" w:rsidP="005E1311">
      <w:pPr>
        <w:pStyle w:val="ListParagraph"/>
        <w:numPr>
          <w:ilvl w:val="0"/>
          <w:numId w:val="2"/>
        </w:numPr>
        <w:tabs>
          <w:tab w:val="left" w:pos="0"/>
          <w:tab w:val="left" w:pos="567"/>
        </w:tabs>
        <w:autoSpaceDE w:val="0"/>
        <w:autoSpaceDN w:val="0"/>
        <w:adjustRightInd w:val="0"/>
        <w:spacing w:after="0"/>
        <w:rPr>
          <w:lang w:val="es-ES"/>
        </w:rPr>
      </w:pPr>
      <w:r w:rsidRPr="00C75778">
        <w:rPr>
          <w:lang w:val="es-ES"/>
        </w:rPr>
        <w:t xml:space="preserve">A continuación, el Presidente examinará en forma particular: a) la admisibilidad de la prueba pericial ofrecida por la Comisión Interamericana; b) las observaciones y objeciones </w:t>
      </w:r>
      <w:r w:rsidR="00D77E68">
        <w:rPr>
          <w:lang w:val="es-ES"/>
        </w:rPr>
        <w:t>del</w:t>
      </w:r>
      <w:r w:rsidRPr="00C75778">
        <w:rPr>
          <w:lang w:val="es-ES"/>
        </w:rPr>
        <w:t xml:space="preserve"> Estado a </w:t>
      </w:r>
      <w:r w:rsidR="00D77E68">
        <w:rPr>
          <w:lang w:val="es-ES"/>
        </w:rPr>
        <w:t>la</w:t>
      </w:r>
      <w:r w:rsidRPr="00C75778">
        <w:rPr>
          <w:lang w:val="es-ES"/>
        </w:rPr>
        <w:t xml:space="preserve">s declaraciones ofrecidas por los representantes, y c) la aplicación del Fondo de Asistencia Legal de Víctimas ante la Corte (en adelante “el Fondo de Asistencia” o “el Fondo”). </w:t>
      </w:r>
    </w:p>
    <w:p w:rsidR="00A95ADF" w:rsidRPr="00C75778" w:rsidRDefault="00A95ADF" w:rsidP="00165930">
      <w:pPr>
        <w:tabs>
          <w:tab w:val="left" w:pos="0"/>
        </w:tabs>
        <w:autoSpaceDE w:val="0"/>
        <w:autoSpaceDN w:val="0"/>
        <w:adjustRightInd w:val="0"/>
        <w:spacing w:after="0"/>
        <w:rPr>
          <w:szCs w:val="20"/>
          <w:lang w:val="es-ES"/>
        </w:rPr>
      </w:pPr>
    </w:p>
    <w:p w:rsidR="003D0651" w:rsidRPr="00C75778" w:rsidRDefault="00AD199A" w:rsidP="00165930">
      <w:pPr>
        <w:pStyle w:val="ListParagraph"/>
        <w:numPr>
          <w:ilvl w:val="0"/>
          <w:numId w:val="14"/>
        </w:numPr>
        <w:tabs>
          <w:tab w:val="left" w:pos="0"/>
        </w:tabs>
        <w:autoSpaceDE w:val="0"/>
        <w:autoSpaceDN w:val="0"/>
        <w:adjustRightInd w:val="0"/>
        <w:spacing w:after="0"/>
        <w:rPr>
          <w:b/>
          <w:i/>
          <w:szCs w:val="20"/>
        </w:rPr>
      </w:pPr>
      <w:r w:rsidRPr="00C75778">
        <w:rPr>
          <w:b/>
          <w:i/>
          <w:szCs w:val="20"/>
        </w:rPr>
        <w:t>Admisibilidad de la prueba pericial ofrecida por la Comisión Interamericana</w:t>
      </w:r>
    </w:p>
    <w:p w:rsidR="003D0651" w:rsidRPr="00C75778" w:rsidRDefault="003D0651" w:rsidP="00165930">
      <w:pPr>
        <w:pStyle w:val="ListParagraph"/>
        <w:autoSpaceDE w:val="0"/>
        <w:autoSpaceDN w:val="0"/>
        <w:adjustRightInd w:val="0"/>
        <w:spacing w:after="0"/>
        <w:ind w:left="0"/>
        <w:rPr>
          <w:rFonts w:eastAsiaTheme="minorHAnsi" w:cs="Arial"/>
          <w:szCs w:val="20"/>
          <w:lang w:val="es-CR" w:eastAsia="en-US"/>
        </w:rPr>
      </w:pPr>
      <w:r w:rsidRPr="00C75778">
        <w:rPr>
          <w:rFonts w:eastAsiaTheme="minorHAnsi" w:cs="Arial"/>
          <w:szCs w:val="20"/>
          <w:lang w:val="es-CR" w:eastAsia="en-US"/>
        </w:rPr>
        <w:t xml:space="preserve"> </w:t>
      </w:r>
    </w:p>
    <w:p w:rsidR="006864EC" w:rsidRPr="00C75778" w:rsidRDefault="00E966E5" w:rsidP="005E1311">
      <w:pPr>
        <w:pStyle w:val="ListParagraph"/>
        <w:numPr>
          <w:ilvl w:val="0"/>
          <w:numId w:val="2"/>
        </w:numPr>
        <w:tabs>
          <w:tab w:val="left" w:pos="567"/>
        </w:tabs>
        <w:autoSpaceDE w:val="0"/>
        <w:autoSpaceDN w:val="0"/>
        <w:adjustRightInd w:val="0"/>
        <w:spacing w:after="0"/>
        <w:rPr>
          <w:rFonts w:eastAsiaTheme="minorHAnsi" w:cs="Arial"/>
          <w:szCs w:val="20"/>
          <w:lang w:val="es-CR" w:eastAsia="en-US"/>
        </w:rPr>
      </w:pPr>
      <w:r w:rsidRPr="00C75778">
        <w:rPr>
          <w:lang w:val="es-CR"/>
        </w:rPr>
        <w:t>En el escrito del sometimiento del caso la</w:t>
      </w:r>
      <w:r w:rsidR="006864EC" w:rsidRPr="00C75778">
        <w:rPr>
          <w:lang w:val="es-ES"/>
        </w:rPr>
        <w:t xml:space="preserve"> Comisión ofreció </w:t>
      </w:r>
      <w:r w:rsidRPr="00C75778">
        <w:rPr>
          <w:lang w:val="es-ES"/>
        </w:rPr>
        <w:t>un dictamen pericial que</w:t>
      </w:r>
      <w:r w:rsidR="009D643C" w:rsidRPr="00C75778">
        <w:rPr>
          <w:lang w:val="es-ES"/>
        </w:rPr>
        <w:t xml:space="preserve"> versaría </w:t>
      </w:r>
      <w:r w:rsidR="006864EC" w:rsidRPr="00C75778">
        <w:rPr>
          <w:lang w:val="es-ES"/>
        </w:rPr>
        <w:t xml:space="preserve">sobre </w:t>
      </w:r>
      <w:r w:rsidR="006864EC" w:rsidRPr="00C75778">
        <w:t>los estándares internacionales relevantes</w:t>
      </w:r>
      <w:r w:rsidR="009D643C" w:rsidRPr="00C75778">
        <w:t xml:space="preserve"> </w:t>
      </w:r>
      <w:r w:rsidR="006864EC" w:rsidRPr="00C75778">
        <w:rPr>
          <w:szCs w:val="20"/>
          <w:lang w:val="es-ES"/>
        </w:rPr>
        <w:t xml:space="preserve">sobre la excepcionalidad y fines que puede perseguir una detención preventiva, así como </w:t>
      </w:r>
      <w:r w:rsidR="006864EC" w:rsidRPr="00C75778">
        <w:t>la manera en que debe realizarse la revisión periódica de la misma</w:t>
      </w:r>
      <w:r w:rsidR="00AC20D7">
        <w:t>,</w:t>
      </w:r>
      <w:r w:rsidR="006864EC" w:rsidRPr="00C75778">
        <w:t xml:space="preserve"> a fin de que pueda considerarse efectiva</w:t>
      </w:r>
      <w:r w:rsidR="009D643C" w:rsidRPr="00C75778">
        <w:rPr>
          <w:szCs w:val="20"/>
          <w:lang w:val="es-ES"/>
        </w:rPr>
        <w:t>. Asimismo, el perito se referiría a</w:t>
      </w:r>
      <w:r w:rsidR="006864EC" w:rsidRPr="00C75778">
        <w:rPr>
          <w:szCs w:val="20"/>
          <w:lang w:val="es-ES"/>
        </w:rPr>
        <w:t xml:space="preserve"> la conformidad o no con dichos estándares de normas que, con base en la naturaleza del delito, excluyen de la posibilidad de excarcelación a las perso</w:t>
      </w:r>
      <w:r w:rsidR="009D643C" w:rsidRPr="00C75778">
        <w:rPr>
          <w:szCs w:val="20"/>
          <w:lang w:val="es-ES"/>
        </w:rPr>
        <w:t>nas procesadas por dicho delito. De igual manera, el dictamen pericial analizaría</w:t>
      </w:r>
      <w:r w:rsidR="006864EC" w:rsidRPr="00C75778">
        <w:rPr>
          <w:szCs w:val="20"/>
          <w:lang w:val="es-ES"/>
        </w:rPr>
        <w:t xml:space="preserve"> las presunciones sobre la existencia de fines procesales que explícita o implícitamente se relacionan con este tipo de normas y la manera en que las mismas impiden una evaluación individualizada de la si</w:t>
      </w:r>
      <w:r w:rsidR="009D643C" w:rsidRPr="00C75778">
        <w:rPr>
          <w:szCs w:val="20"/>
          <w:lang w:val="es-ES"/>
        </w:rPr>
        <w:t>tuación, así como</w:t>
      </w:r>
      <w:r w:rsidR="006864EC" w:rsidRPr="00C75778">
        <w:rPr>
          <w:szCs w:val="20"/>
          <w:lang w:val="es-ES"/>
        </w:rPr>
        <w:t xml:space="preserve"> las características que debe</w:t>
      </w:r>
      <w:r w:rsidR="009D643C" w:rsidRPr="00C75778">
        <w:rPr>
          <w:szCs w:val="20"/>
          <w:lang w:val="es-ES"/>
        </w:rPr>
        <w:t>ría</w:t>
      </w:r>
      <w:r w:rsidR="006864EC" w:rsidRPr="00C75778">
        <w:rPr>
          <w:szCs w:val="20"/>
          <w:lang w:val="es-ES"/>
        </w:rPr>
        <w:t xml:space="preserve"> tener un recurso para que sea considerado efectivo para la revisión judicial de la detención preventiva.</w:t>
      </w:r>
      <w:r w:rsidR="009D643C" w:rsidRPr="00C75778">
        <w:rPr>
          <w:szCs w:val="20"/>
          <w:lang w:val="es-ES"/>
        </w:rPr>
        <w:t xml:space="preserve"> </w:t>
      </w:r>
    </w:p>
    <w:p w:rsidR="00E966E5" w:rsidRPr="00C75778" w:rsidRDefault="00E966E5" w:rsidP="00165930">
      <w:pPr>
        <w:pStyle w:val="ListParagraph"/>
        <w:spacing w:after="0"/>
        <w:rPr>
          <w:rFonts w:eastAsiaTheme="minorHAnsi" w:cs="Arial"/>
          <w:szCs w:val="20"/>
          <w:lang w:val="es-CR" w:eastAsia="en-US"/>
        </w:rPr>
      </w:pPr>
    </w:p>
    <w:p w:rsidR="00E966E5" w:rsidRPr="00C75778" w:rsidRDefault="00E966E5" w:rsidP="005E1311">
      <w:pPr>
        <w:pStyle w:val="ListParagraph"/>
        <w:numPr>
          <w:ilvl w:val="0"/>
          <w:numId w:val="2"/>
        </w:numPr>
        <w:tabs>
          <w:tab w:val="left" w:pos="567"/>
        </w:tabs>
        <w:autoSpaceDE w:val="0"/>
        <w:autoSpaceDN w:val="0"/>
        <w:adjustRightInd w:val="0"/>
        <w:spacing w:after="0"/>
        <w:rPr>
          <w:rFonts w:eastAsiaTheme="minorHAnsi" w:cs="Arial"/>
          <w:szCs w:val="20"/>
          <w:lang w:val="es-CR" w:eastAsia="en-US"/>
        </w:rPr>
      </w:pPr>
      <w:r w:rsidRPr="00C75778">
        <w:rPr>
          <w:rFonts w:cs="Arial"/>
          <w:szCs w:val="20"/>
        </w:rPr>
        <w:t>Asimismo, la Co</w:t>
      </w:r>
      <w:r w:rsidR="006D4167" w:rsidRPr="00C75778">
        <w:rPr>
          <w:rFonts w:cs="Arial"/>
          <w:szCs w:val="20"/>
        </w:rPr>
        <w:t>misión indicó que informaría el nombre del referido perito a la brevedad, y que su</w:t>
      </w:r>
      <w:r w:rsidRPr="00C75778">
        <w:rPr>
          <w:rFonts w:cs="Arial"/>
          <w:szCs w:val="20"/>
        </w:rPr>
        <w:t xml:space="preserve"> </w:t>
      </w:r>
      <w:r w:rsidR="006D4167" w:rsidRPr="00C75778">
        <w:rPr>
          <w:rFonts w:cs="Arial"/>
          <w:szCs w:val="20"/>
        </w:rPr>
        <w:t>hoja de vida sería</w:t>
      </w:r>
      <w:r w:rsidRPr="00C75778">
        <w:rPr>
          <w:rFonts w:cs="Arial"/>
          <w:szCs w:val="20"/>
        </w:rPr>
        <w:t xml:space="preserve"> incluida en los </w:t>
      </w:r>
      <w:r w:rsidR="006D4167" w:rsidRPr="00C75778">
        <w:rPr>
          <w:rFonts w:cs="Arial"/>
          <w:szCs w:val="20"/>
        </w:rPr>
        <w:t>anexos al Informe de Fondo No. 53/16</w:t>
      </w:r>
      <w:r w:rsidRPr="00C75778">
        <w:rPr>
          <w:rFonts w:cs="Arial"/>
          <w:szCs w:val="20"/>
        </w:rPr>
        <w:t>.</w:t>
      </w:r>
      <w:r w:rsidR="006D4167" w:rsidRPr="00C75778">
        <w:rPr>
          <w:lang w:val="es-ES"/>
        </w:rPr>
        <w:t xml:space="preserve"> </w:t>
      </w:r>
    </w:p>
    <w:p w:rsidR="006D4167" w:rsidRPr="00C75778" w:rsidRDefault="006D4167" w:rsidP="00165930">
      <w:pPr>
        <w:pStyle w:val="ListParagraph"/>
        <w:spacing w:after="0"/>
        <w:rPr>
          <w:rFonts w:eastAsiaTheme="minorHAnsi" w:cs="Arial"/>
          <w:szCs w:val="20"/>
          <w:lang w:val="es-CR" w:eastAsia="en-US"/>
        </w:rPr>
      </w:pPr>
    </w:p>
    <w:p w:rsidR="006D4167" w:rsidRPr="00C75778" w:rsidRDefault="006D4167" w:rsidP="005E1311">
      <w:pPr>
        <w:pStyle w:val="ListParagraph"/>
        <w:numPr>
          <w:ilvl w:val="0"/>
          <w:numId w:val="2"/>
        </w:numPr>
        <w:tabs>
          <w:tab w:val="left" w:pos="567"/>
        </w:tabs>
        <w:autoSpaceDE w:val="0"/>
        <w:autoSpaceDN w:val="0"/>
        <w:adjustRightInd w:val="0"/>
        <w:spacing w:after="0"/>
        <w:rPr>
          <w:szCs w:val="20"/>
        </w:rPr>
      </w:pPr>
      <w:r w:rsidRPr="00C75778">
        <w:rPr>
          <w:szCs w:val="20"/>
        </w:rPr>
        <w:t xml:space="preserve">El </w:t>
      </w:r>
      <w:r w:rsidR="001C5013" w:rsidRPr="00C75778">
        <w:rPr>
          <w:szCs w:val="20"/>
        </w:rPr>
        <w:t>2 de octubre de 2017</w:t>
      </w:r>
      <w:r w:rsidRPr="00C75778">
        <w:rPr>
          <w:szCs w:val="20"/>
        </w:rPr>
        <w:t xml:space="preserve"> la Secretaría de la Corte señaló a la Comisión, entre otras cosas</w:t>
      </w:r>
      <w:r w:rsidR="001C5013" w:rsidRPr="00C75778">
        <w:rPr>
          <w:szCs w:val="20"/>
        </w:rPr>
        <w:t>, que el perito ofrecido no había sido identificado</w:t>
      </w:r>
      <w:r w:rsidRPr="00C75778">
        <w:rPr>
          <w:szCs w:val="20"/>
        </w:rPr>
        <w:t xml:space="preserve"> y que quedaría “a la espera de la información sobre la ide</w:t>
      </w:r>
      <w:r w:rsidR="001C5013" w:rsidRPr="00C75778">
        <w:rPr>
          <w:szCs w:val="20"/>
        </w:rPr>
        <w:t>ntidad del perito propuesto</w:t>
      </w:r>
      <w:r w:rsidRPr="00C75778">
        <w:rPr>
          <w:szCs w:val="20"/>
        </w:rPr>
        <w:t xml:space="preserve"> y de</w:t>
      </w:r>
      <w:r w:rsidR="001C5013" w:rsidRPr="00C75778">
        <w:rPr>
          <w:szCs w:val="20"/>
        </w:rPr>
        <w:t xml:space="preserve">l </w:t>
      </w:r>
      <w:proofErr w:type="spellStart"/>
      <w:r w:rsidR="001C5013" w:rsidRPr="00DD29CD">
        <w:rPr>
          <w:i/>
          <w:szCs w:val="20"/>
        </w:rPr>
        <w:t>curriculum</w:t>
      </w:r>
      <w:proofErr w:type="spellEnd"/>
      <w:r w:rsidR="001C5013" w:rsidRPr="00DD29CD">
        <w:rPr>
          <w:i/>
          <w:szCs w:val="20"/>
        </w:rPr>
        <w:t xml:space="preserve"> vi</w:t>
      </w:r>
      <w:r w:rsidR="00AC20D7" w:rsidRPr="00DD29CD">
        <w:rPr>
          <w:i/>
          <w:szCs w:val="20"/>
        </w:rPr>
        <w:t>ta</w:t>
      </w:r>
      <w:r w:rsidR="001C5013" w:rsidRPr="00DD29CD">
        <w:rPr>
          <w:i/>
          <w:szCs w:val="20"/>
        </w:rPr>
        <w:t>e</w:t>
      </w:r>
      <w:r w:rsidR="001C5013" w:rsidRPr="00C75778">
        <w:rPr>
          <w:szCs w:val="20"/>
        </w:rPr>
        <w:t xml:space="preserve"> del mismo”, dentro d</w:t>
      </w:r>
      <w:r w:rsidRPr="00C75778">
        <w:rPr>
          <w:szCs w:val="20"/>
        </w:rPr>
        <w:t>el plazo establecido en el artículo 28, numerales 1 y 2,</w:t>
      </w:r>
      <w:r w:rsidR="001C5013" w:rsidRPr="00C75778">
        <w:rPr>
          <w:szCs w:val="20"/>
        </w:rPr>
        <w:t xml:space="preserve"> del Reglamento de la Corte”. </w:t>
      </w:r>
    </w:p>
    <w:p w:rsidR="006D4167" w:rsidRPr="00C75778" w:rsidRDefault="006D4167" w:rsidP="00165930">
      <w:pPr>
        <w:pStyle w:val="ListParagraph"/>
        <w:spacing w:after="0"/>
        <w:jc w:val="left"/>
        <w:rPr>
          <w:szCs w:val="20"/>
        </w:rPr>
      </w:pPr>
    </w:p>
    <w:p w:rsidR="007E1470" w:rsidRPr="00C75778" w:rsidRDefault="007E1470" w:rsidP="005E1311">
      <w:pPr>
        <w:pStyle w:val="ListParagraph"/>
        <w:numPr>
          <w:ilvl w:val="0"/>
          <w:numId w:val="2"/>
        </w:numPr>
        <w:tabs>
          <w:tab w:val="left" w:pos="567"/>
        </w:tabs>
        <w:autoSpaceDE w:val="0"/>
        <w:autoSpaceDN w:val="0"/>
        <w:adjustRightInd w:val="0"/>
        <w:spacing w:after="0"/>
        <w:rPr>
          <w:szCs w:val="20"/>
        </w:rPr>
      </w:pPr>
      <w:r w:rsidRPr="00C75778">
        <w:rPr>
          <w:rFonts w:eastAsiaTheme="minorHAnsi" w:cs="Arial"/>
          <w:szCs w:val="20"/>
          <w:lang w:val="es-CR" w:eastAsia="en-US"/>
        </w:rPr>
        <w:t xml:space="preserve">El 18 de octubre de 2017 </w:t>
      </w:r>
      <w:r w:rsidR="00F40B91" w:rsidRPr="00C75778">
        <w:rPr>
          <w:rFonts w:eastAsiaTheme="minorHAnsi" w:cs="Arial"/>
          <w:szCs w:val="20"/>
          <w:lang w:val="es-CR" w:eastAsia="en-US"/>
        </w:rPr>
        <w:t xml:space="preserve">la Corte recibió una comunicación de fecha 13 de octubre de 2017 remitida por </w:t>
      </w:r>
      <w:r w:rsidRPr="00C75778">
        <w:rPr>
          <w:rFonts w:eastAsiaTheme="minorHAnsi" w:cs="Arial"/>
          <w:szCs w:val="20"/>
          <w:lang w:val="es-CR" w:eastAsia="en-US"/>
        </w:rPr>
        <w:t>la Comisión</w:t>
      </w:r>
      <w:r w:rsidR="00F40B91" w:rsidRPr="00C75778">
        <w:rPr>
          <w:rFonts w:eastAsiaTheme="minorHAnsi" w:cs="Arial"/>
          <w:szCs w:val="20"/>
          <w:lang w:val="es-CR" w:eastAsia="en-US"/>
        </w:rPr>
        <w:t>,</w:t>
      </w:r>
      <w:r w:rsidRPr="00C75778">
        <w:rPr>
          <w:rFonts w:eastAsiaTheme="minorHAnsi" w:cs="Arial"/>
          <w:szCs w:val="20"/>
          <w:lang w:val="es-CR" w:eastAsia="en-US"/>
        </w:rPr>
        <w:t xml:space="preserve"> mediante </w:t>
      </w:r>
      <w:r w:rsidR="00F40B91" w:rsidRPr="00C75778">
        <w:rPr>
          <w:rFonts w:eastAsiaTheme="minorHAnsi" w:cs="Arial"/>
          <w:szCs w:val="20"/>
          <w:lang w:val="es-CR" w:eastAsia="en-US"/>
        </w:rPr>
        <w:t xml:space="preserve">la cual </w:t>
      </w:r>
      <w:r w:rsidR="00F40B91" w:rsidRPr="00C75778">
        <w:rPr>
          <w:szCs w:val="20"/>
        </w:rPr>
        <w:t xml:space="preserve">identificó al perito ofrecido como </w:t>
      </w:r>
      <w:r w:rsidR="00F40B91" w:rsidRPr="00C75778">
        <w:rPr>
          <w:rFonts w:eastAsiaTheme="minorHAnsi" w:cs="Arial"/>
          <w:szCs w:val="20"/>
          <w:lang w:val="es-CR" w:eastAsia="en-US"/>
        </w:rPr>
        <w:t xml:space="preserve">Mario Luis </w:t>
      </w:r>
      <w:proofErr w:type="spellStart"/>
      <w:r w:rsidR="00F40B91" w:rsidRPr="00C75778">
        <w:rPr>
          <w:rFonts w:eastAsiaTheme="minorHAnsi" w:cs="Arial"/>
          <w:szCs w:val="20"/>
          <w:lang w:val="es-CR" w:eastAsia="en-US"/>
        </w:rPr>
        <w:t>Coriolano</w:t>
      </w:r>
      <w:proofErr w:type="spellEnd"/>
      <w:r w:rsidR="00F40B91" w:rsidRPr="00C75778">
        <w:rPr>
          <w:lang w:val="es-ES"/>
        </w:rPr>
        <w:t xml:space="preserve"> y</w:t>
      </w:r>
      <w:r w:rsidR="00F40B91" w:rsidRPr="00C75778">
        <w:rPr>
          <w:szCs w:val="20"/>
        </w:rPr>
        <w:t xml:space="preserve"> remitió su hoja de vida. </w:t>
      </w:r>
      <w:r w:rsidR="00F40B91" w:rsidRPr="00C75778">
        <w:rPr>
          <w:szCs w:val="20"/>
          <w:lang w:val="es-ES"/>
        </w:rPr>
        <w:t xml:space="preserve">Dicho </w:t>
      </w:r>
      <w:r w:rsidR="00AC20D7">
        <w:rPr>
          <w:szCs w:val="20"/>
          <w:lang w:val="es-ES"/>
        </w:rPr>
        <w:t>ofrec</w:t>
      </w:r>
      <w:r w:rsidR="00DD29CD">
        <w:rPr>
          <w:szCs w:val="20"/>
          <w:lang w:val="es-ES"/>
        </w:rPr>
        <w:t>imiento</w:t>
      </w:r>
      <w:r w:rsidR="00AC20D7">
        <w:rPr>
          <w:szCs w:val="20"/>
          <w:lang w:val="es-ES"/>
        </w:rPr>
        <w:t xml:space="preserve"> </w:t>
      </w:r>
      <w:r w:rsidR="00F40B91" w:rsidRPr="00C75778">
        <w:rPr>
          <w:szCs w:val="20"/>
          <w:lang w:val="es-ES"/>
        </w:rPr>
        <w:t>pericial fue ratificado en la lista definitiva presentada por la Comisión.</w:t>
      </w:r>
      <w:r w:rsidR="00F40B91" w:rsidRPr="00C75778">
        <w:rPr>
          <w:b/>
          <w:szCs w:val="20"/>
          <w:lang w:val="es-ES"/>
        </w:rPr>
        <w:t xml:space="preserve"> </w:t>
      </w:r>
    </w:p>
    <w:p w:rsidR="00706BB5" w:rsidRPr="00C75778" w:rsidRDefault="00706BB5" w:rsidP="00165930">
      <w:pPr>
        <w:pStyle w:val="ListParagraph"/>
        <w:tabs>
          <w:tab w:val="left" w:pos="0"/>
        </w:tabs>
        <w:spacing w:after="0"/>
        <w:ind w:left="0"/>
        <w:rPr>
          <w:szCs w:val="20"/>
        </w:rPr>
      </w:pPr>
    </w:p>
    <w:p w:rsidR="00706BB5" w:rsidRPr="00C75778" w:rsidRDefault="00706BB5" w:rsidP="005E1311">
      <w:pPr>
        <w:pStyle w:val="ListParagraph"/>
        <w:numPr>
          <w:ilvl w:val="0"/>
          <w:numId w:val="2"/>
        </w:numPr>
        <w:tabs>
          <w:tab w:val="left" w:pos="567"/>
        </w:tabs>
        <w:autoSpaceDE w:val="0"/>
        <w:autoSpaceDN w:val="0"/>
        <w:adjustRightInd w:val="0"/>
        <w:spacing w:after="0"/>
        <w:rPr>
          <w:rFonts w:eastAsiaTheme="minorHAnsi" w:cs="Arial"/>
          <w:szCs w:val="20"/>
          <w:lang w:val="es-CR" w:eastAsia="en-US"/>
        </w:rPr>
      </w:pPr>
      <w:r w:rsidRPr="00C75778">
        <w:rPr>
          <w:rFonts w:eastAsiaTheme="minorHAnsi" w:cs="Arial"/>
          <w:szCs w:val="20"/>
          <w:lang w:val="es-CR" w:eastAsia="en-US"/>
        </w:rPr>
        <w:t>Mediante nota de Secretaría de 24 de octubre de 2017 se acusó recibo del referido escrito de la Comisión</w:t>
      </w:r>
      <w:r w:rsidR="00E35145" w:rsidRPr="00C75778">
        <w:rPr>
          <w:rFonts w:eastAsiaTheme="minorHAnsi" w:cs="Arial"/>
          <w:szCs w:val="20"/>
          <w:lang w:val="es-CR" w:eastAsia="en-US"/>
        </w:rPr>
        <w:t xml:space="preserve"> y su anexo, y se dejó constancia de su recibo el 18 de octubre de 2017.</w:t>
      </w:r>
      <w:r w:rsidRPr="00C75778">
        <w:rPr>
          <w:rFonts w:eastAsiaTheme="minorHAnsi" w:cs="Arial"/>
          <w:szCs w:val="20"/>
          <w:lang w:val="es-CR" w:eastAsia="en-US"/>
        </w:rPr>
        <w:t xml:space="preserve"> El 7 de noviembre de 2017 la Comisión aclaró que la “nota mediante la cual remitió el nombre y hoja de vida del perito propuesto […] fue remitida el 13 de octubre del [2017], </w:t>
      </w:r>
      <w:r w:rsidRPr="00C75778">
        <w:rPr>
          <w:rFonts w:eastAsiaTheme="minorHAnsi" w:cs="Arial"/>
          <w:bCs/>
          <w:szCs w:val="20"/>
          <w:lang w:val="es-CR" w:eastAsia="en-US"/>
        </w:rPr>
        <w:t xml:space="preserve">tal </w:t>
      </w:r>
      <w:r w:rsidRPr="00C75778">
        <w:rPr>
          <w:rFonts w:eastAsiaTheme="minorHAnsi" w:cs="Arial"/>
          <w:szCs w:val="20"/>
          <w:lang w:val="es-CR" w:eastAsia="en-US"/>
        </w:rPr>
        <w:t xml:space="preserve">como se puede evidenciar del reporte adjunto”. Mediante nota </w:t>
      </w:r>
      <w:r w:rsidRPr="00C75778">
        <w:rPr>
          <w:rFonts w:eastAsiaTheme="minorHAnsi" w:cs="Arial"/>
          <w:szCs w:val="20"/>
          <w:lang w:val="es-CR" w:eastAsia="en-US"/>
        </w:rPr>
        <w:lastRenderedPageBreak/>
        <w:t xml:space="preserve">de 8 de noviembre de 2017 la Secretaría </w:t>
      </w:r>
      <w:r w:rsidR="00E35145" w:rsidRPr="00C75778">
        <w:rPr>
          <w:rFonts w:eastAsiaTheme="minorHAnsi" w:cs="Arial"/>
          <w:szCs w:val="20"/>
          <w:lang w:val="es-CR" w:eastAsia="en-US"/>
        </w:rPr>
        <w:t xml:space="preserve">informó a la Comisión </w:t>
      </w:r>
      <w:r w:rsidR="00170DDA" w:rsidRPr="00C75778">
        <w:rPr>
          <w:rFonts w:eastAsiaTheme="minorHAnsi" w:cs="Arial"/>
          <w:szCs w:val="20"/>
          <w:lang w:val="es-CR" w:eastAsia="en-US"/>
        </w:rPr>
        <w:t xml:space="preserve">que, luego de las revisiones y consultas pertinentes con el </w:t>
      </w:r>
      <w:r w:rsidR="00170DDA" w:rsidRPr="00C75778">
        <w:rPr>
          <w:rFonts w:eastAsiaTheme="minorHAnsi" w:cs="Verdana"/>
          <w:szCs w:val="20"/>
          <w:lang w:val="es-CR" w:eastAsia="en-US"/>
        </w:rPr>
        <w:t>departamento de informática de la Corte, se verificó que</w:t>
      </w:r>
      <w:r w:rsidR="00170DDA" w:rsidRPr="00C75778">
        <w:rPr>
          <w:rFonts w:eastAsiaTheme="minorHAnsi" w:cs="Arial"/>
          <w:szCs w:val="20"/>
          <w:lang w:val="es-CR" w:eastAsia="en-US"/>
        </w:rPr>
        <w:t xml:space="preserve"> dicho escrito fue recibido por primera vez el 18 de octubre de 2017. Conforme al comprobante que se puso en conocimiento de la Comisión, se pudo constatar que </w:t>
      </w:r>
      <w:r w:rsidRPr="00C75778">
        <w:rPr>
          <w:rFonts w:eastAsiaTheme="minorHAnsi" w:cs="Arial"/>
          <w:szCs w:val="20"/>
          <w:lang w:val="es-CR" w:eastAsia="en-US"/>
        </w:rPr>
        <w:t>“</w:t>
      </w:r>
      <w:r w:rsidRPr="00C75778">
        <w:rPr>
          <w:rFonts w:eastAsiaTheme="minorHAnsi" w:cs="Verdana"/>
          <w:szCs w:val="20"/>
          <w:lang w:val="es-CR" w:eastAsia="en-US"/>
        </w:rPr>
        <w:t xml:space="preserve">el correo indicado no </w:t>
      </w:r>
      <w:proofErr w:type="gramStart"/>
      <w:r w:rsidRPr="00C75778">
        <w:rPr>
          <w:rFonts w:eastAsiaTheme="minorHAnsi" w:cs="Verdana"/>
          <w:szCs w:val="20"/>
          <w:lang w:val="es-CR" w:eastAsia="en-US"/>
        </w:rPr>
        <w:t>figura</w:t>
      </w:r>
      <w:r w:rsidR="00170DDA" w:rsidRPr="00C75778">
        <w:rPr>
          <w:rFonts w:eastAsiaTheme="minorHAnsi" w:cs="Verdana"/>
          <w:szCs w:val="20"/>
          <w:lang w:val="es-CR" w:eastAsia="en-US"/>
        </w:rPr>
        <w:t>[</w:t>
      </w:r>
      <w:proofErr w:type="spellStart"/>
      <w:proofErr w:type="gramEnd"/>
      <w:r w:rsidR="00170DDA" w:rsidRPr="00C75778">
        <w:rPr>
          <w:rFonts w:eastAsiaTheme="minorHAnsi" w:cs="Verdana"/>
          <w:szCs w:val="20"/>
          <w:lang w:val="es-CR" w:eastAsia="en-US"/>
        </w:rPr>
        <w:t>ba</w:t>
      </w:r>
      <w:proofErr w:type="spellEnd"/>
      <w:r w:rsidR="00170DDA" w:rsidRPr="00C75778">
        <w:rPr>
          <w:rFonts w:eastAsiaTheme="minorHAnsi" w:cs="Verdana"/>
          <w:szCs w:val="20"/>
          <w:lang w:val="es-CR" w:eastAsia="en-US"/>
        </w:rPr>
        <w:t>]</w:t>
      </w:r>
      <w:r w:rsidRPr="00C75778">
        <w:rPr>
          <w:rFonts w:eastAsiaTheme="minorHAnsi" w:cs="Verdana"/>
          <w:szCs w:val="20"/>
          <w:lang w:val="es-CR" w:eastAsia="en-US"/>
        </w:rPr>
        <w:t xml:space="preserve"> como ingresado ni como rechazado</w:t>
      </w:r>
      <w:r w:rsidR="00170DDA" w:rsidRPr="00C75778">
        <w:rPr>
          <w:rFonts w:eastAsiaTheme="minorHAnsi" w:cs="Verdana"/>
          <w:szCs w:val="20"/>
          <w:lang w:val="es-CR" w:eastAsia="en-US"/>
        </w:rPr>
        <w:t xml:space="preserve"> el día 13 de octubre de 2017, […] [y lo] que se recibió </w:t>
      </w:r>
      <w:r w:rsidR="00170DDA" w:rsidRPr="00C75778">
        <w:rPr>
          <w:rFonts w:eastAsia="Times"/>
          <w:szCs w:val="20"/>
          <w:lang w:val="es-CR"/>
        </w:rPr>
        <w:t>fue un correo en el cual se indicaba el número de este caso en el “</w:t>
      </w:r>
      <w:proofErr w:type="spellStart"/>
      <w:r w:rsidR="00170DDA" w:rsidRPr="00C75778">
        <w:rPr>
          <w:rFonts w:eastAsia="Times"/>
          <w:szCs w:val="20"/>
          <w:lang w:val="es-CR"/>
        </w:rPr>
        <w:t>Subject</w:t>
      </w:r>
      <w:proofErr w:type="spellEnd"/>
      <w:r w:rsidR="00170DDA" w:rsidRPr="00C75778">
        <w:rPr>
          <w:rFonts w:eastAsia="Times"/>
          <w:szCs w:val="20"/>
          <w:lang w:val="es-CR"/>
        </w:rPr>
        <w:t xml:space="preserve">”, esto es “Caso N° 12.056”, pero que contenía documentos relativos al caso Jorge </w:t>
      </w:r>
      <w:proofErr w:type="spellStart"/>
      <w:r w:rsidR="00170DDA" w:rsidRPr="00C75778">
        <w:rPr>
          <w:rFonts w:eastAsia="Times"/>
          <w:szCs w:val="20"/>
          <w:lang w:val="es-CR"/>
        </w:rPr>
        <w:t>Rosadio</w:t>
      </w:r>
      <w:proofErr w:type="spellEnd"/>
      <w:r w:rsidR="00170DDA" w:rsidRPr="00C75778">
        <w:rPr>
          <w:rFonts w:eastAsia="Times"/>
          <w:szCs w:val="20"/>
          <w:lang w:val="es-CR"/>
        </w:rPr>
        <w:t xml:space="preserve"> Villavicencio contra el Estado del Perú”. </w:t>
      </w:r>
    </w:p>
    <w:p w:rsidR="00170DDA" w:rsidRPr="00C75778" w:rsidRDefault="00170DDA" w:rsidP="00165930">
      <w:pPr>
        <w:pStyle w:val="ListParagraph"/>
        <w:autoSpaceDE w:val="0"/>
        <w:autoSpaceDN w:val="0"/>
        <w:adjustRightInd w:val="0"/>
        <w:spacing w:after="0"/>
        <w:ind w:left="0"/>
        <w:rPr>
          <w:rFonts w:eastAsiaTheme="minorHAnsi" w:cs="Arial"/>
          <w:szCs w:val="20"/>
          <w:lang w:val="es-CR" w:eastAsia="en-US"/>
        </w:rPr>
      </w:pPr>
    </w:p>
    <w:p w:rsidR="00706BB5" w:rsidRPr="00C75778" w:rsidRDefault="00650DA4" w:rsidP="005E1311">
      <w:pPr>
        <w:pStyle w:val="ListParagraph"/>
        <w:numPr>
          <w:ilvl w:val="0"/>
          <w:numId w:val="2"/>
        </w:numPr>
        <w:tabs>
          <w:tab w:val="left" w:pos="567"/>
        </w:tabs>
        <w:autoSpaceDE w:val="0"/>
        <w:autoSpaceDN w:val="0"/>
        <w:adjustRightInd w:val="0"/>
        <w:spacing w:after="0"/>
        <w:rPr>
          <w:rFonts w:eastAsiaTheme="minorHAnsi" w:cs="Arial"/>
          <w:szCs w:val="20"/>
          <w:lang w:val="es-CR" w:eastAsia="en-US"/>
        </w:rPr>
      </w:pPr>
      <w:r w:rsidRPr="00C75778">
        <w:rPr>
          <w:szCs w:val="20"/>
        </w:rPr>
        <w:t xml:space="preserve">El Reglamento de la Corte Interamericana dispone, entre los requisitos del sometimiento de un caso ante el Tribunal que, </w:t>
      </w:r>
      <w:r w:rsidRPr="00C75778">
        <w:t xml:space="preserve">cuando se afecte de manera relevante el orden público interamericano de los derechos humanos, la eventual designación de peritos </w:t>
      </w:r>
      <w:r w:rsidR="00583435" w:rsidRPr="00C75778">
        <w:t xml:space="preserve">por parte de la Comisión </w:t>
      </w:r>
      <w:r w:rsidRPr="00C75778">
        <w:t>debe incluir el objeto de sus declaraciones y su hoja de vida.</w:t>
      </w:r>
      <w:r w:rsidR="00583435" w:rsidRPr="00C75778">
        <w:t xml:space="preserve"> Estos documentos deben ser enviados </w:t>
      </w:r>
      <w:r w:rsidRPr="00C75778">
        <w:t>dentro del plazo de 21 días para la presentación de anexos, establecido en el artículo 28.2 del Reglamento</w:t>
      </w:r>
      <w:r w:rsidR="00B41A22" w:rsidRPr="00C75778">
        <w:t>. P</w:t>
      </w:r>
      <w:r w:rsidR="00583435" w:rsidRPr="00C75778">
        <w:t>uesto que el caso fue sometido a la Corte el 22 de septiembre de 2017</w:t>
      </w:r>
      <w:r w:rsidR="00AC20D7">
        <w:t>,</w:t>
      </w:r>
      <w:r w:rsidR="00583435" w:rsidRPr="00C75778">
        <w:rPr>
          <w:rFonts w:eastAsiaTheme="minorHAnsi" w:cs="Arial"/>
          <w:szCs w:val="20"/>
          <w:lang w:val="es-CR" w:eastAsia="en-US"/>
        </w:rPr>
        <w:t xml:space="preserve"> d</w:t>
      </w:r>
      <w:r w:rsidR="00170DDA" w:rsidRPr="00C75778">
        <w:rPr>
          <w:rFonts w:eastAsiaTheme="minorHAnsi" w:cs="Arial"/>
          <w:szCs w:val="20"/>
          <w:lang w:val="es-CR" w:eastAsia="en-US"/>
        </w:rPr>
        <w:t>icho plazo vencía el lunes 16 de octubre de 2017.</w:t>
      </w:r>
      <w:r w:rsidRPr="00C75778">
        <w:t xml:space="preserve"> </w:t>
      </w:r>
    </w:p>
    <w:p w:rsidR="00170DDA" w:rsidRPr="00C75778" w:rsidRDefault="00170DDA" w:rsidP="00165930">
      <w:pPr>
        <w:pStyle w:val="ListParagraph"/>
        <w:autoSpaceDE w:val="0"/>
        <w:autoSpaceDN w:val="0"/>
        <w:adjustRightInd w:val="0"/>
        <w:spacing w:after="0"/>
        <w:ind w:left="0"/>
        <w:rPr>
          <w:rFonts w:eastAsiaTheme="minorHAnsi" w:cs="Arial"/>
          <w:szCs w:val="20"/>
          <w:lang w:val="es-CR" w:eastAsia="en-US"/>
        </w:rPr>
      </w:pPr>
    </w:p>
    <w:p w:rsidR="00650DA4" w:rsidRPr="00C75778" w:rsidRDefault="006B41CD" w:rsidP="005E1311">
      <w:pPr>
        <w:pStyle w:val="ListParagraph"/>
        <w:numPr>
          <w:ilvl w:val="0"/>
          <w:numId w:val="2"/>
        </w:numPr>
        <w:tabs>
          <w:tab w:val="left" w:pos="567"/>
        </w:tabs>
        <w:autoSpaceDE w:val="0"/>
        <w:autoSpaceDN w:val="0"/>
        <w:adjustRightInd w:val="0"/>
        <w:spacing w:after="0"/>
        <w:rPr>
          <w:szCs w:val="20"/>
          <w:lang w:val="es-CR"/>
        </w:rPr>
      </w:pPr>
      <w:r w:rsidRPr="00C75778">
        <w:rPr>
          <w:lang w:val="es-CR"/>
        </w:rPr>
        <w:t>Con base en lo señalado</w:t>
      </w:r>
      <w:r w:rsidR="00650DA4" w:rsidRPr="00C75778">
        <w:t>, la Comisión identificó a</w:t>
      </w:r>
      <w:r w:rsidRPr="00C75778">
        <w:t xml:space="preserve">l perito y remitió su hoja de vida </w:t>
      </w:r>
      <w:r w:rsidRPr="00C75778">
        <w:rPr>
          <w:rFonts w:eastAsiaTheme="minorHAnsi" w:cs="Verdana"/>
          <w:szCs w:val="20"/>
          <w:lang w:val="es-CR" w:eastAsia="en-US"/>
        </w:rPr>
        <w:t xml:space="preserve">fuera </w:t>
      </w:r>
      <w:r w:rsidRPr="00C75778">
        <w:t>del plazo reglamentario.</w:t>
      </w:r>
      <w:r w:rsidR="00B41A22" w:rsidRPr="00C75778">
        <w:rPr>
          <w:szCs w:val="20"/>
        </w:rPr>
        <w:t xml:space="preserve"> </w:t>
      </w:r>
      <w:r w:rsidR="00650DA4" w:rsidRPr="00C75778">
        <w:rPr>
          <w:szCs w:val="20"/>
        </w:rPr>
        <w:t xml:space="preserve">En ese sentido, no procede admitir </w:t>
      </w:r>
      <w:r w:rsidR="00AC20D7">
        <w:rPr>
          <w:szCs w:val="20"/>
        </w:rPr>
        <w:t>dicho</w:t>
      </w:r>
      <w:r w:rsidR="00AC20D7" w:rsidRPr="00C75778">
        <w:rPr>
          <w:szCs w:val="20"/>
        </w:rPr>
        <w:t xml:space="preserve"> </w:t>
      </w:r>
      <w:r w:rsidRPr="00C75778">
        <w:rPr>
          <w:szCs w:val="20"/>
        </w:rPr>
        <w:t>peritaje, ya que fue presentado</w:t>
      </w:r>
      <w:r w:rsidR="00650DA4" w:rsidRPr="00C75778">
        <w:rPr>
          <w:szCs w:val="20"/>
        </w:rPr>
        <w:t xml:space="preserve"> extemporáneamente. </w:t>
      </w:r>
    </w:p>
    <w:p w:rsidR="006B41CD" w:rsidRPr="00C75778" w:rsidRDefault="006B41CD" w:rsidP="00165930">
      <w:pPr>
        <w:pStyle w:val="ListParagraph"/>
        <w:autoSpaceDE w:val="0"/>
        <w:autoSpaceDN w:val="0"/>
        <w:adjustRightInd w:val="0"/>
        <w:spacing w:after="0"/>
        <w:ind w:left="0"/>
        <w:rPr>
          <w:szCs w:val="20"/>
          <w:lang w:val="es-CR"/>
        </w:rPr>
      </w:pPr>
    </w:p>
    <w:p w:rsidR="003D0651" w:rsidRPr="00C75778" w:rsidRDefault="006B41CD" w:rsidP="005E1311">
      <w:pPr>
        <w:pStyle w:val="ListParagraph"/>
        <w:numPr>
          <w:ilvl w:val="0"/>
          <w:numId w:val="2"/>
        </w:numPr>
        <w:tabs>
          <w:tab w:val="left" w:pos="567"/>
        </w:tabs>
        <w:autoSpaceDE w:val="0"/>
        <w:autoSpaceDN w:val="0"/>
        <w:adjustRightInd w:val="0"/>
        <w:spacing w:after="0"/>
        <w:rPr>
          <w:rFonts w:eastAsiaTheme="minorHAnsi" w:cs="Arial"/>
          <w:szCs w:val="20"/>
          <w:lang w:val="es-CR" w:eastAsia="en-US"/>
        </w:rPr>
      </w:pPr>
      <w:r w:rsidRPr="00C75778">
        <w:rPr>
          <w:rFonts w:eastAsiaTheme="minorHAnsi" w:cs="Arial"/>
          <w:szCs w:val="20"/>
          <w:lang w:val="es-CR" w:eastAsia="en-US"/>
        </w:rPr>
        <w:t>Sin perjuicio de lo anterior, esta Presidencia nota que</w:t>
      </w:r>
      <w:r w:rsidR="003D0651" w:rsidRPr="00C75778">
        <w:rPr>
          <w:rFonts w:eastAsiaTheme="minorHAnsi" w:cs="Arial"/>
          <w:szCs w:val="20"/>
          <w:lang w:val="es-CR" w:eastAsia="en-US"/>
        </w:rPr>
        <w:t xml:space="preserve"> los representantes de la presunta víctima </w:t>
      </w:r>
      <w:r w:rsidRPr="00C75778">
        <w:rPr>
          <w:rFonts w:eastAsiaTheme="minorHAnsi" w:cs="Arial"/>
          <w:szCs w:val="20"/>
          <w:lang w:val="es-CR" w:eastAsia="en-US"/>
        </w:rPr>
        <w:t xml:space="preserve">también </w:t>
      </w:r>
      <w:r w:rsidR="003D0651" w:rsidRPr="00C75778">
        <w:rPr>
          <w:rFonts w:eastAsiaTheme="minorHAnsi" w:cs="Arial"/>
          <w:szCs w:val="20"/>
          <w:lang w:val="es-CR" w:eastAsia="en-US"/>
        </w:rPr>
        <w:t>ofrecieron el dictamen pericial</w:t>
      </w:r>
      <w:r w:rsidR="006D6C07" w:rsidRPr="00C75778">
        <w:rPr>
          <w:rFonts w:eastAsiaTheme="minorHAnsi" w:cs="Arial"/>
          <w:szCs w:val="20"/>
          <w:lang w:val="es-CR" w:eastAsia="en-US"/>
        </w:rPr>
        <w:t xml:space="preserve"> del señor</w:t>
      </w:r>
      <w:r w:rsidR="003D0651" w:rsidRPr="00C75778">
        <w:rPr>
          <w:rFonts w:eastAsiaTheme="minorHAnsi" w:cs="Arial"/>
          <w:szCs w:val="20"/>
          <w:lang w:val="es-CR" w:eastAsia="en-US"/>
        </w:rPr>
        <w:t xml:space="preserve"> Mario Luis </w:t>
      </w:r>
      <w:proofErr w:type="spellStart"/>
      <w:r w:rsidR="003D0651" w:rsidRPr="00C75778">
        <w:rPr>
          <w:rFonts w:eastAsiaTheme="minorHAnsi" w:cs="Arial"/>
          <w:szCs w:val="20"/>
          <w:lang w:val="es-CR" w:eastAsia="en-US"/>
        </w:rPr>
        <w:t>Coriolano</w:t>
      </w:r>
      <w:proofErr w:type="spellEnd"/>
      <w:r w:rsidR="003D0651" w:rsidRPr="00C75778">
        <w:rPr>
          <w:rFonts w:eastAsiaTheme="minorHAnsi" w:cs="Arial"/>
          <w:szCs w:val="20"/>
          <w:lang w:val="es-CR" w:eastAsia="en-US"/>
        </w:rPr>
        <w:t xml:space="preserve"> en los mismos términos que la Comisión</w:t>
      </w:r>
      <w:r w:rsidR="006D6C07" w:rsidRPr="00C75778">
        <w:rPr>
          <w:rFonts w:eastAsiaTheme="minorHAnsi" w:cs="Arial"/>
          <w:szCs w:val="20"/>
          <w:lang w:val="es-CR" w:eastAsia="en-US"/>
        </w:rPr>
        <w:t xml:space="preserve"> Interamericana</w:t>
      </w:r>
      <w:r w:rsidRPr="00C75778">
        <w:rPr>
          <w:rFonts w:eastAsiaTheme="minorHAnsi" w:cs="Arial"/>
          <w:szCs w:val="20"/>
          <w:lang w:val="es-CR" w:eastAsia="en-US"/>
        </w:rPr>
        <w:t>. Asimismo, debido a que dicho dictamen pericial no fue objetado por el Estado de Argentina, la Presidencia, como fue señalado con anterioridad (</w:t>
      </w:r>
      <w:r w:rsidRPr="00C75778">
        <w:rPr>
          <w:rFonts w:eastAsiaTheme="minorHAnsi" w:cs="Arial"/>
          <w:i/>
          <w:szCs w:val="20"/>
          <w:lang w:val="es-CR" w:eastAsia="en-US"/>
        </w:rPr>
        <w:t>supra</w:t>
      </w:r>
      <w:r w:rsidRPr="00C75778">
        <w:rPr>
          <w:rFonts w:eastAsiaTheme="minorHAnsi" w:cs="Arial"/>
          <w:szCs w:val="20"/>
          <w:lang w:val="es-CR" w:eastAsia="en-US"/>
        </w:rPr>
        <w:t xml:space="preserve"> considerando </w:t>
      </w:r>
      <w:r w:rsidR="00E11166">
        <w:rPr>
          <w:rFonts w:eastAsiaTheme="minorHAnsi" w:cs="Arial"/>
          <w:szCs w:val="20"/>
          <w:lang w:val="es-CR" w:eastAsia="en-US"/>
        </w:rPr>
        <w:t>4</w:t>
      </w:r>
      <w:r w:rsidRPr="00C75778">
        <w:rPr>
          <w:rFonts w:eastAsiaTheme="minorHAnsi" w:cs="Arial"/>
          <w:szCs w:val="20"/>
          <w:lang w:val="es-CR" w:eastAsia="en-US"/>
        </w:rPr>
        <w:t xml:space="preserve">), decidió admitir el mismo, en virtud del ofrecimiento de los representantes. Cabe destacar que </w:t>
      </w:r>
      <w:r w:rsidRPr="00C75778">
        <w:rPr>
          <w:szCs w:val="20"/>
        </w:rPr>
        <w:t>la Comisión no podrá formular preguntas en relación con la declaración pericial ofrecida por los representantes.</w:t>
      </w:r>
    </w:p>
    <w:p w:rsidR="00432425" w:rsidRPr="00C75778" w:rsidRDefault="00432425" w:rsidP="00165930">
      <w:pPr>
        <w:pStyle w:val="ListParagraph"/>
        <w:autoSpaceDE w:val="0"/>
        <w:autoSpaceDN w:val="0"/>
        <w:adjustRightInd w:val="0"/>
        <w:spacing w:after="0"/>
        <w:ind w:left="0"/>
        <w:rPr>
          <w:rFonts w:eastAsiaTheme="minorHAnsi" w:cs="Arial"/>
          <w:szCs w:val="20"/>
          <w:lang w:val="es-CR" w:eastAsia="en-US"/>
        </w:rPr>
      </w:pPr>
    </w:p>
    <w:p w:rsidR="001C0723" w:rsidRPr="00C75778" w:rsidRDefault="001C0723" w:rsidP="00165930">
      <w:pPr>
        <w:pStyle w:val="ListParagraph"/>
        <w:numPr>
          <w:ilvl w:val="0"/>
          <w:numId w:val="14"/>
        </w:numPr>
        <w:tabs>
          <w:tab w:val="left" w:pos="0"/>
        </w:tabs>
        <w:autoSpaceDE w:val="0"/>
        <w:autoSpaceDN w:val="0"/>
        <w:adjustRightInd w:val="0"/>
        <w:spacing w:after="0"/>
        <w:ind w:left="714" w:hanging="357"/>
        <w:contextualSpacing w:val="0"/>
        <w:outlineLvl w:val="1"/>
        <w:rPr>
          <w:rFonts w:cs="Times New Roman"/>
          <w:b/>
          <w:i/>
          <w:szCs w:val="20"/>
          <w:lang w:val="es-CR" w:eastAsia="en-US"/>
        </w:rPr>
      </w:pPr>
      <w:r w:rsidRPr="00C75778">
        <w:rPr>
          <w:rFonts w:cs="Times New Roman"/>
          <w:b/>
          <w:i/>
          <w:szCs w:val="20"/>
          <w:lang w:val="es-CR" w:eastAsia="en-US"/>
        </w:rPr>
        <w:t xml:space="preserve">Observaciones y objeciones del Estado a </w:t>
      </w:r>
      <w:r w:rsidR="00A77B0D" w:rsidRPr="00C75778">
        <w:rPr>
          <w:rFonts w:cs="Times New Roman"/>
          <w:b/>
          <w:i/>
          <w:szCs w:val="20"/>
          <w:lang w:val="es-CR" w:eastAsia="en-US"/>
        </w:rPr>
        <w:t xml:space="preserve">las declaraciones </w:t>
      </w:r>
      <w:r w:rsidRPr="00C75778">
        <w:rPr>
          <w:rFonts w:cs="Times New Roman"/>
          <w:b/>
          <w:i/>
          <w:szCs w:val="20"/>
          <w:lang w:val="es-CR" w:eastAsia="en-US"/>
        </w:rPr>
        <w:t>ofrecid</w:t>
      </w:r>
      <w:r w:rsidR="00A77B0D" w:rsidRPr="00C75778">
        <w:rPr>
          <w:rFonts w:cs="Times New Roman"/>
          <w:b/>
          <w:i/>
          <w:szCs w:val="20"/>
          <w:lang w:val="es-CR" w:eastAsia="en-US"/>
        </w:rPr>
        <w:t>a</w:t>
      </w:r>
      <w:r w:rsidRPr="00C75778">
        <w:rPr>
          <w:rFonts w:cs="Times New Roman"/>
          <w:b/>
          <w:i/>
          <w:szCs w:val="20"/>
          <w:lang w:val="es-CR" w:eastAsia="en-US"/>
        </w:rPr>
        <w:t>s por los representantes</w:t>
      </w:r>
    </w:p>
    <w:p w:rsidR="00E966E5" w:rsidRPr="00C75778" w:rsidRDefault="00E966E5" w:rsidP="00165930">
      <w:pPr>
        <w:pStyle w:val="ListParagraph"/>
        <w:tabs>
          <w:tab w:val="left" w:pos="0"/>
        </w:tabs>
        <w:autoSpaceDE w:val="0"/>
        <w:autoSpaceDN w:val="0"/>
        <w:adjustRightInd w:val="0"/>
        <w:spacing w:after="0"/>
        <w:ind w:left="714"/>
        <w:contextualSpacing w:val="0"/>
        <w:outlineLvl w:val="1"/>
        <w:rPr>
          <w:rFonts w:cs="Times New Roman"/>
          <w:b/>
          <w:i/>
          <w:szCs w:val="20"/>
          <w:lang w:val="es-CR" w:eastAsia="en-US"/>
        </w:rPr>
      </w:pPr>
    </w:p>
    <w:p w:rsidR="003D0651" w:rsidRPr="00C75778" w:rsidRDefault="00E966E5" w:rsidP="00165930">
      <w:pPr>
        <w:autoSpaceDE w:val="0"/>
        <w:autoSpaceDN w:val="0"/>
        <w:adjustRightInd w:val="0"/>
        <w:spacing w:after="0"/>
        <w:ind w:firstLine="357"/>
        <w:rPr>
          <w:b/>
          <w:szCs w:val="20"/>
          <w:lang w:val="es-CR"/>
        </w:rPr>
      </w:pPr>
      <w:r w:rsidRPr="00C75778">
        <w:rPr>
          <w:b/>
          <w:i/>
          <w:szCs w:val="20"/>
          <w:lang w:val="es-CR"/>
        </w:rPr>
        <w:t>B.1</w:t>
      </w:r>
      <w:r w:rsidR="00A25927" w:rsidRPr="00C75778">
        <w:rPr>
          <w:b/>
          <w:i/>
          <w:szCs w:val="20"/>
          <w:lang w:val="es-CR"/>
        </w:rPr>
        <w:t xml:space="preserve">. Sobre </w:t>
      </w:r>
      <w:r w:rsidR="003D0651" w:rsidRPr="00C75778">
        <w:rPr>
          <w:b/>
          <w:i/>
          <w:szCs w:val="20"/>
          <w:lang w:val="es-CR"/>
        </w:rPr>
        <w:t>la declaración testimonial</w:t>
      </w:r>
      <w:r w:rsidR="00A25927" w:rsidRPr="00C75778">
        <w:rPr>
          <w:b/>
          <w:i/>
          <w:szCs w:val="20"/>
          <w:lang w:val="es-CR"/>
        </w:rPr>
        <w:t xml:space="preserve"> de </w:t>
      </w:r>
      <w:r w:rsidR="003D0651" w:rsidRPr="00C75778">
        <w:rPr>
          <w:b/>
          <w:bCs/>
          <w:i/>
          <w:szCs w:val="20"/>
          <w:lang w:val="pt-BR"/>
        </w:rPr>
        <w:t>Kevin Gabriel Jenkins</w:t>
      </w:r>
      <w:r w:rsidR="003D0651" w:rsidRPr="00C75778">
        <w:rPr>
          <w:b/>
          <w:szCs w:val="20"/>
          <w:lang w:val="es-CR"/>
        </w:rPr>
        <w:t xml:space="preserve"> </w:t>
      </w:r>
    </w:p>
    <w:p w:rsidR="00E966E5" w:rsidRPr="00C75778" w:rsidRDefault="00E966E5" w:rsidP="00165930">
      <w:pPr>
        <w:autoSpaceDE w:val="0"/>
        <w:autoSpaceDN w:val="0"/>
        <w:adjustRightInd w:val="0"/>
        <w:spacing w:after="0"/>
        <w:ind w:firstLine="357"/>
        <w:rPr>
          <w:szCs w:val="20"/>
          <w:lang w:val="es-CR"/>
        </w:rPr>
      </w:pPr>
    </w:p>
    <w:p w:rsidR="00AD699A" w:rsidRDefault="00992B9C" w:rsidP="005E1311">
      <w:pPr>
        <w:pStyle w:val="ListParagraph"/>
        <w:numPr>
          <w:ilvl w:val="0"/>
          <w:numId w:val="2"/>
        </w:numPr>
        <w:tabs>
          <w:tab w:val="left" w:pos="567"/>
        </w:tabs>
        <w:autoSpaceDE w:val="0"/>
        <w:autoSpaceDN w:val="0"/>
        <w:adjustRightInd w:val="0"/>
        <w:spacing w:after="0"/>
        <w:rPr>
          <w:lang w:val="es-ES"/>
        </w:rPr>
      </w:pPr>
      <w:r w:rsidRPr="00AD699A">
        <w:rPr>
          <w:lang w:val="es-ES"/>
        </w:rPr>
        <w:t>L</w:t>
      </w:r>
      <w:r w:rsidR="00CA1A59" w:rsidRPr="00AD699A">
        <w:rPr>
          <w:lang w:val="es-ES"/>
        </w:rPr>
        <w:t>o</w:t>
      </w:r>
      <w:r w:rsidRPr="00AD699A">
        <w:rPr>
          <w:lang w:val="es-ES"/>
        </w:rPr>
        <w:t xml:space="preserve">s representantes ofrecieron la declaración de </w:t>
      </w:r>
      <w:r w:rsidRPr="00AD699A">
        <w:rPr>
          <w:bCs/>
          <w:szCs w:val="20"/>
          <w:lang w:val="pt-BR"/>
        </w:rPr>
        <w:t>Kevin Gabriel Jenkins</w:t>
      </w:r>
      <w:r w:rsidRPr="00AD699A">
        <w:rPr>
          <w:szCs w:val="20"/>
          <w:lang w:val="es-CR"/>
        </w:rPr>
        <w:t>, hijo de la presunta víctima</w:t>
      </w:r>
      <w:r w:rsidRPr="00AD699A">
        <w:rPr>
          <w:rFonts w:cs="Verdana"/>
          <w:szCs w:val="20"/>
          <w:lang w:val="es-ES"/>
        </w:rPr>
        <w:t>,</w:t>
      </w:r>
      <w:r w:rsidRPr="00AD699A">
        <w:rPr>
          <w:szCs w:val="20"/>
          <w:lang w:val="es-CR"/>
        </w:rPr>
        <w:t xml:space="preserve"> </w:t>
      </w:r>
      <w:r w:rsidRPr="00AD699A">
        <w:rPr>
          <w:lang w:val="es-ES"/>
        </w:rPr>
        <w:t>de forma oportuna. L</w:t>
      </w:r>
      <w:r w:rsidR="00AD699A">
        <w:rPr>
          <w:lang w:val="es-ES"/>
        </w:rPr>
        <w:t>o</w:t>
      </w:r>
      <w:r w:rsidRPr="00AD699A">
        <w:rPr>
          <w:lang w:val="es-ES"/>
        </w:rPr>
        <w:t xml:space="preserve">s representantes señalaron que aquel fue testigo directo de los hechos que tuvieron por protagonista a su padre, por lo que podría ofrecer valiosa información </w:t>
      </w:r>
      <w:r w:rsidR="00AC20D7" w:rsidRPr="00F87128">
        <w:rPr>
          <w:lang w:val="es-ES"/>
        </w:rPr>
        <w:t xml:space="preserve">con </w:t>
      </w:r>
      <w:r w:rsidRPr="00F87128">
        <w:rPr>
          <w:lang w:val="es-ES"/>
        </w:rPr>
        <w:t>relación al “modo en que estos hechos afectaron la vida personal, famili</w:t>
      </w:r>
      <w:r w:rsidRPr="00E14291">
        <w:rPr>
          <w:lang w:val="es-ES"/>
        </w:rPr>
        <w:t xml:space="preserve">ar, de relación y el proyecto de vida de la presunta víctima, así como aportar datos relevantes al momento de decidir las reparaciones del caso”. </w:t>
      </w:r>
    </w:p>
    <w:p w:rsidR="00992B9C" w:rsidRPr="00AD699A" w:rsidRDefault="00992B9C" w:rsidP="005E1311">
      <w:pPr>
        <w:pStyle w:val="ListParagraph"/>
        <w:widowControl w:val="0"/>
        <w:tabs>
          <w:tab w:val="left" w:pos="567"/>
          <w:tab w:val="left" w:pos="810"/>
        </w:tabs>
        <w:autoSpaceDE w:val="0"/>
        <w:autoSpaceDN w:val="0"/>
        <w:adjustRightInd w:val="0"/>
        <w:spacing w:after="0"/>
        <w:ind w:left="0" w:right="22"/>
        <w:contextualSpacing w:val="0"/>
        <w:rPr>
          <w:szCs w:val="20"/>
        </w:rPr>
      </w:pPr>
    </w:p>
    <w:p w:rsidR="00AD699A" w:rsidRDefault="00992B9C" w:rsidP="005E1311">
      <w:pPr>
        <w:pStyle w:val="ListParagraph"/>
        <w:numPr>
          <w:ilvl w:val="0"/>
          <w:numId w:val="2"/>
        </w:numPr>
        <w:tabs>
          <w:tab w:val="left" w:pos="567"/>
        </w:tabs>
        <w:autoSpaceDE w:val="0"/>
        <w:autoSpaceDN w:val="0"/>
        <w:adjustRightInd w:val="0"/>
        <w:spacing w:after="0"/>
        <w:rPr>
          <w:szCs w:val="20"/>
        </w:rPr>
      </w:pPr>
      <w:r w:rsidRPr="00AD699A">
        <w:rPr>
          <w:szCs w:val="20"/>
        </w:rPr>
        <w:t>El</w:t>
      </w:r>
      <w:r w:rsidR="006D6C07" w:rsidRPr="00AD699A">
        <w:rPr>
          <w:szCs w:val="20"/>
        </w:rPr>
        <w:t xml:space="preserve"> Estado objetó</w:t>
      </w:r>
      <w:r w:rsidR="003D0651" w:rsidRPr="00AD699A">
        <w:rPr>
          <w:szCs w:val="20"/>
        </w:rPr>
        <w:t xml:space="preserve"> la omisión de su identificación concreta y personalizada</w:t>
      </w:r>
      <w:r w:rsidR="00AC20D7" w:rsidRPr="00AD699A">
        <w:rPr>
          <w:szCs w:val="20"/>
        </w:rPr>
        <w:t>,</w:t>
      </w:r>
      <w:r w:rsidR="003D0651" w:rsidRPr="00AD699A">
        <w:rPr>
          <w:szCs w:val="20"/>
        </w:rPr>
        <w:t xml:space="preserve"> advirtiendo que en </w:t>
      </w:r>
      <w:r w:rsidR="00CA1A59" w:rsidRPr="00F87128">
        <w:rPr>
          <w:szCs w:val="20"/>
        </w:rPr>
        <w:t xml:space="preserve">el </w:t>
      </w:r>
      <w:r w:rsidR="003D0651" w:rsidRPr="00F87128">
        <w:rPr>
          <w:szCs w:val="20"/>
        </w:rPr>
        <w:t>escrito de so</w:t>
      </w:r>
      <w:r w:rsidR="00CA1A59" w:rsidRPr="00F87128">
        <w:rPr>
          <w:szCs w:val="20"/>
        </w:rPr>
        <w:t>licitudes y argumentos los representantes alegaron desconocer su documento de identidad</w:t>
      </w:r>
      <w:r w:rsidR="003D0651" w:rsidRPr="00E14291">
        <w:rPr>
          <w:szCs w:val="20"/>
        </w:rPr>
        <w:t xml:space="preserve"> </w:t>
      </w:r>
      <w:r w:rsidR="00CA1A59" w:rsidRPr="00E14291">
        <w:rPr>
          <w:szCs w:val="20"/>
        </w:rPr>
        <w:t>(</w:t>
      </w:r>
      <w:r w:rsidR="003D0651" w:rsidRPr="00E14291">
        <w:rPr>
          <w:szCs w:val="20"/>
        </w:rPr>
        <w:t>DNI</w:t>
      </w:r>
      <w:r w:rsidR="00CA1A59" w:rsidRPr="00E14291">
        <w:rPr>
          <w:szCs w:val="20"/>
        </w:rPr>
        <w:t>)</w:t>
      </w:r>
      <w:r w:rsidR="003D0651" w:rsidRPr="00E14291">
        <w:rPr>
          <w:szCs w:val="20"/>
        </w:rPr>
        <w:t>. Por otro lado, consideró que no fue testigo directo de los hechos, porque no fue víctima de las violaciones alegadas en el I</w:t>
      </w:r>
      <w:r w:rsidR="006D6C07" w:rsidRPr="00E14291">
        <w:rPr>
          <w:szCs w:val="20"/>
        </w:rPr>
        <w:t xml:space="preserve">nforme de </w:t>
      </w:r>
      <w:r w:rsidR="003D0651" w:rsidRPr="00E14291">
        <w:rPr>
          <w:szCs w:val="20"/>
        </w:rPr>
        <w:t>F</w:t>
      </w:r>
      <w:r w:rsidR="006D6C07" w:rsidRPr="00E14291">
        <w:rPr>
          <w:szCs w:val="20"/>
        </w:rPr>
        <w:t>ondo</w:t>
      </w:r>
      <w:r w:rsidR="003D0651" w:rsidRPr="00E14291">
        <w:rPr>
          <w:szCs w:val="20"/>
        </w:rPr>
        <w:t xml:space="preserve"> y que</w:t>
      </w:r>
      <w:r w:rsidR="00AC20D7" w:rsidRPr="00E14291">
        <w:rPr>
          <w:szCs w:val="20"/>
        </w:rPr>
        <w:t>,</w:t>
      </w:r>
      <w:r w:rsidR="003D0651" w:rsidRPr="00E14291">
        <w:rPr>
          <w:szCs w:val="20"/>
        </w:rPr>
        <w:t xml:space="preserve"> al momento de los hechos</w:t>
      </w:r>
      <w:r w:rsidR="006D6C07" w:rsidRPr="00E14291">
        <w:rPr>
          <w:szCs w:val="20"/>
        </w:rPr>
        <w:t>,</w:t>
      </w:r>
      <w:r w:rsidR="003D0651" w:rsidRPr="00E14291">
        <w:rPr>
          <w:szCs w:val="20"/>
        </w:rPr>
        <w:t xml:space="preserve"> el testigo tenía esc</w:t>
      </w:r>
      <w:r w:rsidR="00CA1A59" w:rsidRPr="00E14291">
        <w:rPr>
          <w:szCs w:val="20"/>
        </w:rPr>
        <w:t xml:space="preserve">asa edad, por lo cual “mal </w:t>
      </w:r>
      <w:proofErr w:type="gramStart"/>
      <w:r w:rsidR="00CA1A59" w:rsidRPr="00E14291">
        <w:rPr>
          <w:szCs w:val="20"/>
        </w:rPr>
        <w:t>p[</w:t>
      </w:r>
      <w:proofErr w:type="spellStart"/>
      <w:proofErr w:type="gramEnd"/>
      <w:r w:rsidR="00CA1A59" w:rsidRPr="00E14291">
        <w:rPr>
          <w:szCs w:val="20"/>
        </w:rPr>
        <w:t>odía</w:t>
      </w:r>
      <w:proofErr w:type="spellEnd"/>
      <w:r w:rsidR="00CA1A59" w:rsidRPr="00E14291">
        <w:rPr>
          <w:szCs w:val="20"/>
        </w:rPr>
        <w:t>]</w:t>
      </w:r>
      <w:r w:rsidR="003D0651" w:rsidRPr="00E14291">
        <w:rPr>
          <w:szCs w:val="20"/>
        </w:rPr>
        <w:t xml:space="preserve"> recordar eventos que sucedieron durante ese lapso temporal”.</w:t>
      </w:r>
      <w:r w:rsidR="006D6C07" w:rsidRPr="00E14291">
        <w:rPr>
          <w:szCs w:val="20"/>
        </w:rPr>
        <w:t xml:space="preserve"> </w:t>
      </w:r>
      <w:r w:rsidR="003D0651" w:rsidRPr="00E14291">
        <w:rPr>
          <w:szCs w:val="20"/>
        </w:rPr>
        <w:t xml:space="preserve">En consecuencia, el Estado consideró improcedente la prueba por su escaso valor probatorio. </w:t>
      </w:r>
    </w:p>
    <w:p w:rsidR="00AD699A" w:rsidRDefault="00AD699A" w:rsidP="00AD699A">
      <w:pPr>
        <w:pStyle w:val="ListParagraph"/>
        <w:autoSpaceDE w:val="0"/>
        <w:autoSpaceDN w:val="0"/>
        <w:adjustRightInd w:val="0"/>
        <w:spacing w:after="0"/>
        <w:ind w:left="0"/>
        <w:rPr>
          <w:szCs w:val="20"/>
        </w:rPr>
      </w:pPr>
    </w:p>
    <w:p w:rsidR="00E75884" w:rsidRPr="00C75778" w:rsidRDefault="003D0651" w:rsidP="005E1311">
      <w:pPr>
        <w:pStyle w:val="ListParagraph"/>
        <w:numPr>
          <w:ilvl w:val="0"/>
          <w:numId w:val="2"/>
        </w:numPr>
        <w:tabs>
          <w:tab w:val="left" w:pos="567"/>
        </w:tabs>
        <w:autoSpaceDE w:val="0"/>
        <w:autoSpaceDN w:val="0"/>
        <w:adjustRightInd w:val="0"/>
        <w:spacing w:after="0"/>
        <w:rPr>
          <w:szCs w:val="20"/>
        </w:rPr>
      </w:pPr>
      <w:r w:rsidRPr="00C75778">
        <w:rPr>
          <w:szCs w:val="20"/>
        </w:rPr>
        <w:lastRenderedPageBreak/>
        <w:t>Al respecto, en cuanto al documento de identificación del testigo</w:t>
      </w:r>
      <w:r w:rsidR="00CA1A59" w:rsidRPr="00C75778">
        <w:rPr>
          <w:szCs w:val="20"/>
        </w:rPr>
        <w:t xml:space="preserve"> propuesto</w:t>
      </w:r>
      <w:r w:rsidRPr="00C75778">
        <w:rPr>
          <w:szCs w:val="20"/>
        </w:rPr>
        <w:t xml:space="preserve">, </w:t>
      </w:r>
      <w:r w:rsidR="001F2450" w:rsidRPr="00C75778">
        <w:rPr>
          <w:szCs w:val="20"/>
        </w:rPr>
        <w:t xml:space="preserve">de conformidad al artículo 40.2.c) del Reglamento, </w:t>
      </w:r>
      <w:r w:rsidRPr="00C75778">
        <w:rPr>
          <w:szCs w:val="20"/>
        </w:rPr>
        <w:t xml:space="preserve">la Presidencia </w:t>
      </w:r>
      <w:r w:rsidR="00CA1A59" w:rsidRPr="00C75778">
        <w:rPr>
          <w:szCs w:val="20"/>
        </w:rPr>
        <w:t xml:space="preserve">considera suficiente </w:t>
      </w:r>
      <w:r w:rsidRPr="00C75778">
        <w:rPr>
          <w:szCs w:val="20"/>
        </w:rPr>
        <w:t>la individualización de Kevin Gabriel Jenkins como declarante</w:t>
      </w:r>
      <w:r w:rsidR="00CA1A59" w:rsidRPr="00C75778">
        <w:rPr>
          <w:szCs w:val="20"/>
        </w:rPr>
        <w:t xml:space="preserve"> y la delimitación </w:t>
      </w:r>
      <w:r w:rsidRPr="00C75778">
        <w:rPr>
          <w:szCs w:val="20"/>
        </w:rPr>
        <w:t xml:space="preserve">del objeto de su testimonio. </w:t>
      </w:r>
    </w:p>
    <w:p w:rsidR="00E75884" w:rsidRPr="00C75778" w:rsidRDefault="00E75884" w:rsidP="00165930">
      <w:pPr>
        <w:pStyle w:val="ListParagraph"/>
        <w:spacing w:after="0"/>
        <w:rPr>
          <w:szCs w:val="20"/>
        </w:rPr>
      </w:pPr>
    </w:p>
    <w:p w:rsidR="002A5EBD" w:rsidRPr="00C75778" w:rsidRDefault="00E75884" w:rsidP="005E1311">
      <w:pPr>
        <w:pStyle w:val="ListParagraph"/>
        <w:numPr>
          <w:ilvl w:val="0"/>
          <w:numId w:val="2"/>
        </w:numPr>
        <w:tabs>
          <w:tab w:val="left" w:pos="567"/>
        </w:tabs>
        <w:autoSpaceDE w:val="0"/>
        <w:autoSpaceDN w:val="0"/>
        <w:adjustRightInd w:val="0"/>
        <w:spacing w:after="0"/>
        <w:rPr>
          <w:szCs w:val="20"/>
          <w:lang w:val="es-ES"/>
        </w:rPr>
      </w:pPr>
      <w:r w:rsidRPr="00C75778">
        <w:rPr>
          <w:szCs w:val="20"/>
        </w:rPr>
        <w:t xml:space="preserve">En cuanto a la “improcedencia de la prueba testimonial”, </w:t>
      </w:r>
      <w:r w:rsidRPr="00C75778">
        <w:rPr>
          <w:lang w:val="es-ES"/>
        </w:rPr>
        <w:t xml:space="preserve">la Presidencia </w:t>
      </w:r>
      <w:r w:rsidR="002A5EBD" w:rsidRPr="00C75778">
        <w:rPr>
          <w:lang w:val="es-ES"/>
        </w:rPr>
        <w:t>ha considerado reiteradamente que las declaraciones de las presuntas víctimas y otras personas con un interés directo en el caso</w:t>
      </w:r>
      <w:r w:rsidR="002A5EBD" w:rsidRPr="00C75778">
        <w:rPr>
          <w:b/>
          <w:lang w:val="es-ES"/>
        </w:rPr>
        <w:t xml:space="preserve"> </w:t>
      </w:r>
      <w:r w:rsidR="002A5EBD" w:rsidRPr="00C75778">
        <w:rPr>
          <w:lang w:val="es-ES"/>
        </w:rPr>
        <w:t>son útiles en la medida en que pueden proporcionar mayor información sobre las alegadas violaciones y sus consecuencias</w:t>
      </w:r>
      <w:r w:rsidR="002A5EBD" w:rsidRPr="00C75778">
        <w:rPr>
          <w:rStyle w:val="FootnoteReference"/>
          <w:lang w:val="es-ES"/>
        </w:rPr>
        <w:footnoteReference w:id="2"/>
      </w:r>
      <w:r w:rsidR="002A5EBD" w:rsidRPr="00C75778">
        <w:rPr>
          <w:lang w:val="es-ES"/>
        </w:rPr>
        <w:t xml:space="preserve">. </w:t>
      </w:r>
      <w:r w:rsidR="002A5EBD" w:rsidRPr="00C75778">
        <w:t xml:space="preserve">Adicionalmente, el Presidente considera </w:t>
      </w:r>
      <w:r w:rsidR="002A5EBD" w:rsidRPr="00C75778">
        <w:rPr>
          <w:szCs w:val="18"/>
        </w:rPr>
        <w:t xml:space="preserve">que </w:t>
      </w:r>
      <w:r w:rsidR="002A5EBD" w:rsidRPr="00C75778">
        <w:rPr>
          <w:lang w:val="es-ES"/>
        </w:rPr>
        <w:t xml:space="preserve">resulta pertinente recibir la declaración de </w:t>
      </w:r>
      <w:r w:rsidR="002A5EBD" w:rsidRPr="00C75778">
        <w:rPr>
          <w:bCs/>
          <w:szCs w:val="20"/>
          <w:lang w:val="pt-BR"/>
        </w:rPr>
        <w:t>Kevin Gabriel Jenkins</w:t>
      </w:r>
      <w:r w:rsidR="002A5EBD" w:rsidRPr="00C75778">
        <w:rPr>
          <w:lang w:val="es-ES"/>
        </w:rPr>
        <w:t xml:space="preserve">, en tanto será aportada desde el punto de vista de quien la brinde, lo que podría </w:t>
      </w:r>
      <w:r w:rsidR="002A5EBD" w:rsidRPr="00C75778">
        <w:rPr>
          <w:szCs w:val="18"/>
        </w:rPr>
        <w:t>contribuir a esclarecer los hechos del presente caso</w:t>
      </w:r>
      <w:r w:rsidR="002A5EBD" w:rsidRPr="00C75778">
        <w:t>,</w:t>
      </w:r>
      <w:r w:rsidR="002A5EBD" w:rsidRPr="00C75778">
        <w:rPr>
          <w:szCs w:val="18"/>
        </w:rPr>
        <w:t xml:space="preserve"> razón por la cual</w:t>
      </w:r>
      <w:r w:rsidR="00E11166">
        <w:rPr>
          <w:szCs w:val="18"/>
        </w:rPr>
        <w:t>,</w:t>
      </w:r>
      <w:r w:rsidR="002A5EBD" w:rsidRPr="00C75778">
        <w:rPr>
          <w:szCs w:val="18"/>
        </w:rPr>
        <w:t xml:space="preserve"> corresponde que</w:t>
      </w:r>
      <w:r w:rsidR="002A5EBD" w:rsidRPr="00C75778">
        <w:t xml:space="preserve"> el testigo sea escuchado por la Corte</w:t>
      </w:r>
      <w:r w:rsidR="002A5EBD" w:rsidRPr="00C75778">
        <w:rPr>
          <w:rStyle w:val="FootnoteReference"/>
          <w:lang w:val="es-ES"/>
        </w:rPr>
        <w:footnoteReference w:id="3"/>
      </w:r>
      <w:r w:rsidR="002A5EBD" w:rsidRPr="00C75778">
        <w:t>.</w:t>
      </w:r>
    </w:p>
    <w:p w:rsidR="002A5EBD" w:rsidRPr="00DD29CD" w:rsidRDefault="002A5EBD" w:rsidP="00165930">
      <w:pPr>
        <w:pStyle w:val="ListParagraph"/>
        <w:spacing w:after="0"/>
        <w:rPr>
          <w:lang w:val="es-ES"/>
        </w:rPr>
      </w:pPr>
    </w:p>
    <w:p w:rsidR="00E75884" w:rsidRPr="00C75778" w:rsidRDefault="00E75884" w:rsidP="005E1311">
      <w:pPr>
        <w:pStyle w:val="ListParagraph"/>
        <w:numPr>
          <w:ilvl w:val="0"/>
          <w:numId w:val="2"/>
        </w:numPr>
        <w:tabs>
          <w:tab w:val="left" w:pos="567"/>
        </w:tabs>
        <w:autoSpaceDE w:val="0"/>
        <w:autoSpaceDN w:val="0"/>
        <w:adjustRightInd w:val="0"/>
        <w:spacing w:after="0"/>
        <w:rPr>
          <w:szCs w:val="20"/>
          <w:lang w:val="es-ES"/>
        </w:rPr>
      </w:pPr>
      <w:r w:rsidRPr="00C75778">
        <w:rPr>
          <w:lang w:val="es-ES"/>
        </w:rPr>
        <w:t xml:space="preserve">Asimismo, </w:t>
      </w:r>
      <w:r w:rsidRPr="00C75778">
        <w:rPr>
          <w:lang w:val="es-CR"/>
        </w:rPr>
        <w:t>e</w:t>
      </w:r>
      <w:r w:rsidRPr="00C75778">
        <w:rPr>
          <w:bCs/>
          <w:iCs/>
          <w:lang w:val="es-CR"/>
        </w:rPr>
        <w:t>l Presidente estima que lo planteado por el Estado se relaciona con el valor o peso probatorio del testimonio propuesto</w:t>
      </w:r>
      <w:r w:rsidRPr="00C75778">
        <w:t>,</w:t>
      </w:r>
      <w:r w:rsidRPr="00C75778">
        <w:rPr>
          <w:bCs/>
          <w:iCs/>
          <w:lang w:val="es-CR"/>
        </w:rPr>
        <w:t xml:space="preserve"> pero no afecta su admisibilidad y eventual valoración por parte de la Corte. </w:t>
      </w:r>
      <w:r w:rsidRPr="00C75778">
        <w:t>Una</w:t>
      </w:r>
      <w:r w:rsidRPr="00C75778">
        <w:rPr>
          <w:szCs w:val="18"/>
        </w:rPr>
        <w:t xml:space="preserve"> vez que esta prueba sea evacuada, el Estado tendrá la oportunidad de presentar las observaciones que estime pertinentes</w:t>
      </w:r>
      <w:r w:rsidRPr="00C75778">
        <w:t xml:space="preserve">. Por ende, se admite el testimonio del señor </w:t>
      </w:r>
      <w:r w:rsidRPr="00C75778">
        <w:rPr>
          <w:bCs/>
          <w:szCs w:val="20"/>
          <w:lang w:val="pt-BR"/>
        </w:rPr>
        <w:t>Kevin Gabriel Jenkins</w:t>
      </w:r>
      <w:r w:rsidRPr="00C75778">
        <w:rPr>
          <w:lang w:val="es-ES"/>
        </w:rPr>
        <w:t xml:space="preserve">, </w:t>
      </w:r>
      <w:r w:rsidRPr="00C75778">
        <w:rPr>
          <w:bCs/>
          <w:iCs/>
          <w:lang w:val="es-ES"/>
        </w:rPr>
        <w:t>según el objeto y modalidad determinados en la parte resolutiva de la presente Resolución (</w:t>
      </w:r>
      <w:r w:rsidRPr="00C75778">
        <w:rPr>
          <w:bCs/>
          <w:i/>
          <w:iCs/>
          <w:lang w:val="es-ES"/>
        </w:rPr>
        <w:t>infra</w:t>
      </w:r>
      <w:r w:rsidRPr="00C75778">
        <w:rPr>
          <w:bCs/>
          <w:iCs/>
          <w:lang w:val="es-ES"/>
        </w:rPr>
        <w:t xml:space="preserve"> punto resolutivo </w:t>
      </w:r>
      <w:r w:rsidR="00E11166">
        <w:rPr>
          <w:bCs/>
          <w:iCs/>
          <w:lang w:val="es-ES"/>
        </w:rPr>
        <w:t>4</w:t>
      </w:r>
      <w:r w:rsidRPr="00C75778">
        <w:rPr>
          <w:bCs/>
          <w:iCs/>
          <w:lang w:val="es-ES"/>
        </w:rPr>
        <w:t>).</w:t>
      </w:r>
    </w:p>
    <w:p w:rsidR="00847419" w:rsidRPr="00C75778" w:rsidRDefault="00847419" w:rsidP="00165930">
      <w:pPr>
        <w:pStyle w:val="ListParagraph"/>
        <w:spacing w:after="0"/>
        <w:rPr>
          <w:szCs w:val="20"/>
          <w:lang w:val="es-ES"/>
        </w:rPr>
      </w:pPr>
    </w:p>
    <w:p w:rsidR="003D0651" w:rsidRPr="00C75778" w:rsidRDefault="00E966E5" w:rsidP="00165930">
      <w:pPr>
        <w:pStyle w:val="BodyText"/>
        <w:spacing w:after="0"/>
        <w:ind w:firstLine="357"/>
        <w:rPr>
          <w:b/>
          <w:szCs w:val="20"/>
          <w:lang w:val="es-CR"/>
        </w:rPr>
      </w:pPr>
      <w:r w:rsidRPr="00C75778">
        <w:rPr>
          <w:b/>
          <w:i/>
          <w:szCs w:val="20"/>
          <w:lang w:val="es-CR"/>
        </w:rPr>
        <w:t>B.2</w:t>
      </w:r>
      <w:r w:rsidR="00A25927" w:rsidRPr="00C75778">
        <w:rPr>
          <w:b/>
          <w:i/>
          <w:szCs w:val="20"/>
          <w:lang w:val="es-CR"/>
        </w:rPr>
        <w:t xml:space="preserve">. Sobre la declaración </w:t>
      </w:r>
      <w:r w:rsidR="003D0651" w:rsidRPr="00C75778">
        <w:rPr>
          <w:b/>
          <w:i/>
          <w:szCs w:val="20"/>
          <w:lang w:val="es-CR"/>
        </w:rPr>
        <w:t xml:space="preserve">pericial de </w:t>
      </w:r>
      <w:r w:rsidR="000E6675" w:rsidRPr="00C75778">
        <w:rPr>
          <w:b/>
          <w:i/>
          <w:szCs w:val="20"/>
          <w:lang w:val="pt-BR"/>
        </w:rPr>
        <w:t>Tomás Las Peñas Vallejo</w:t>
      </w:r>
    </w:p>
    <w:p w:rsidR="00A25927" w:rsidRPr="00C75778" w:rsidRDefault="003D0651" w:rsidP="00165930">
      <w:pPr>
        <w:autoSpaceDE w:val="0"/>
        <w:autoSpaceDN w:val="0"/>
        <w:adjustRightInd w:val="0"/>
        <w:spacing w:after="0"/>
        <w:ind w:left="357"/>
        <w:rPr>
          <w:rFonts w:eastAsia="Times New Roman" w:cs="Times New Roman"/>
          <w:i/>
          <w:szCs w:val="20"/>
          <w:lang w:val="es-CR" w:eastAsia="en-US"/>
        </w:rPr>
      </w:pPr>
      <w:r w:rsidRPr="00C75778">
        <w:rPr>
          <w:szCs w:val="20"/>
          <w:lang w:val="es-CR"/>
        </w:rPr>
        <w:t xml:space="preserve"> </w:t>
      </w:r>
    </w:p>
    <w:p w:rsidR="00402E1C" w:rsidRPr="00C75778" w:rsidRDefault="00402E1C" w:rsidP="005E1311">
      <w:pPr>
        <w:pStyle w:val="ListParagraph"/>
        <w:numPr>
          <w:ilvl w:val="0"/>
          <w:numId w:val="2"/>
        </w:numPr>
        <w:tabs>
          <w:tab w:val="left" w:pos="567"/>
        </w:tabs>
        <w:autoSpaceDE w:val="0"/>
        <w:autoSpaceDN w:val="0"/>
        <w:adjustRightInd w:val="0"/>
        <w:spacing w:after="0"/>
        <w:rPr>
          <w:lang w:val="es-ES"/>
        </w:rPr>
      </w:pPr>
      <w:r w:rsidRPr="00C75778">
        <w:rPr>
          <w:lang w:val="es-CR"/>
        </w:rPr>
        <w:t>Los representantes propusieron al psicólogo Tomás Las Peñas Valle</w:t>
      </w:r>
      <w:r w:rsidR="000E6675" w:rsidRPr="00C75778">
        <w:rPr>
          <w:lang w:val="es-CR"/>
        </w:rPr>
        <w:t>jo como perito</w:t>
      </w:r>
      <w:r w:rsidRPr="00C75778">
        <w:rPr>
          <w:lang w:val="es-CR"/>
        </w:rPr>
        <w:t xml:space="preserve">, quien actuó como consultor técnico de parte en el proceso interno incoado por el señor Gabriel </w:t>
      </w:r>
      <w:r w:rsidR="00E11166">
        <w:rPr>
          <w:lang w:val="es-CR"/>
        </w:rPr>
        <w:t>O</w:t>
      </w:r>
      <w:r w:rsidR="000E6675" w:rsidRPr="00C75778">
        <w:rPr>
          <w:lang w:val="es-CR"/>
        </w:rPr>
        <w:t xml:space="preserve">scar </w:t>
      </w:r>
      <w:r w:rsidRPr="00C75778">
        <w:rPr>
          <w:lang w:val="es-CR"/>
        </w:rPr>
        <w:t xml:space="preserve">Jenkins sobre daños y perjuicios derivados de la alegada </w:t>
      </w:r>
      <w:r w:rsidR="000E6675" w:rsidRPr="00C75778">
        <w:rPr>
          <w:lang w:val="es-CR"/>
        </w:rPr>
        <w:t>privación arbitraria de su libertad. El señor Tomás Las Peñas Valle</w:t>
      </w:r>
      <w:r w:rsidR="00884A5D" w:rsidRPr="00C75778">
        <w:rPr>
          <w:lang w:val="es-CR"/>
        </w:rPr>
        <w:t>jo presentó un informe</w:t>
      </w:r>
      <w:r w:rsidR="000E6675" w:rsidRPr="00C75778">
        <w:rPr>
          <w:lang w:val="es-CR"/>
        </w:rPr>
        <w:t xml:space="preserve"> en relación con el daño psicológico que habría sufrido la presunta víctima, debido a la detenci</w:t>
      </w:r>
      <w:r w:rsidR="00884A5D" w:rsidRPr="00C75778">
        <w:rPr>
          <w:lang w:val="es-CR"/>
        </w:rPr>
        <w:t xml:space="preserve">ón sufrida, en el marco del proceso citado. </w:t>
      </w:r>
    </w:p>
    <w:p w:rsidR="00740D02" w:rsidRPr="00C75778" w:rsidRDefault="00740D02" w:rsidP="00165930">
      <w:pPr>
        <w:pStyle w:val="ListParagraph"/>
        <w:widowControl w:val="0"/>
        <w:tabs>
          <w:tab w:val="left" w:pos="567"/>
          <w:tab w:val="left" w:pos="810"/>
        </w:tabs>
        <w:autoSpaceDE w:val="0"/>
        <w:autoSpaceDN w:val="0"/>
        <w:adjustRightInd w:val="0"/>
        <w:spacing w:after="0"/>
        <w:ind w:left="0" w:right="22"/>
        <w:contextualSpacing w:val="0"/>
        <w:rPr>
          <w:lang w:val="es-ES"/>
        </w:rPr>
      </w:pPr>
    </w:p>
    <w:p w:rsidR="00937ABF" w:rsidRPr="00C75778" w:rsidRDefault="00884A5D" w:rsidP="005E1311">
      <w:pPr>
        <w:pStyle w:val="ListParagraph"/>
        <w:numPr>
          <w:ilvl w:val="0"/>
          <w:numId w:val="2"/>
        </w:numPr>
        <w:tabs>
          <w:tab w:val="left" w:pos="567"/>
        </w:tabs>
        <w:autoSpaceDE w:val="0"/>
        <w:autoSpaceDN w:val="0"/>
        <w:adjustRightInd w:val="0"/>
        <w:spacing w:after="0"/>
        <w:rPr>
          <w:lang w:val="es-ES"/>
        </w:rPr>
      </w:pPr>
      <w:r w:rsidRPr="00C75778">
        <w:t xml:space="preserve">En virtud de ello, los representantes </w:t>
      </w:r>
      <w:r w:rsidR="00740D02" w:rsidRPr="00C75778">
        <w:t>señalaron que el objeto de su peritaje tendría como fin el exponer, “</w:t>
      </w:r>
      <w:r w:rsidR="000E6675" w:rsidRPr="00C75778">
        <w:t>al tenor de las conclu</w:t>
      </w:r>
      <w:r w:rsidR="00740D02" w:rsidRPr="00C75778">
        <w:t>siones observadas en la víctima,</w:t>
      </w:r>
      <w:r w:rsidR="000E6675" w:rsidRPr="00C75778">
        <w:t xml:space="preserve"> de las pruebas y metodologías aplicadas, </w:t>
      </w:r>
      <w:r w:rsidR="00740D02" w:rsidRPr="00C75778">
        <w:t xml:space="preserve">[así como] </w:t>
      </w:r>
      <w:r w:rsidR="000E6675" w:rsidRPr="00C75778">
        <w:t>del</w:t>
      </w:r>
      <w:r w:rsidR="00740D02" w:rsidRPr="00C75778">
        <w:t xml:space="preserve"> diagnóstico observado en el [señor]</w:t>
      </w:r>
      <w:r w:rsidR="000E6675" w:rsidRPr="00C75778">
        <w:t xml:space="preserve"> Jenkins, el daño causado y su origen</w:t>
      </w:r>
      <w:r w:rsidR="00740D02" w:rsidRPr="00C75778">
        <w:t>”</w:t>
      </w:r>
      <w:r w:rsidR="000E6675" w:rsidRPr="00C75778">
        <w:t>.</w:t>
      </w:r>
      <w:r w:rsidR="00740D02" w:rsidRPr="00C75778">
        <w:rPr>
          <w:b/>
          <w:lang w:val="es-ES"/>
        </w:rPr>
        <w:t xml:space="preserve"> </w:t>
      </w:r>
    </w:p>
    <w:p w:rsidR="00937ABF" w:rsidRPr="00C75778" w:rsidRDefault="00937ABF" w:rsidP="00165930">
      <w:pPr>
        <w:pStyle w:val="ListParagraph"/>
        <w:spacing w:after="0"/>
        <w:rPr>
          <w:szCs w:val="20"/>
        </w:rPr>
      </w:pPr>
    </w:p>
    <w:p w:rsidR="0092372F" w:rsidRPr="00C75778" w:rsidRDefault="00740D02" w:rsidP="005E1311">
      <w:pPr>
        <w:pStyle w:val="ListParagraph"/>
        <w:numPr>
          <w:ilvl w:val="0"/>
          <w:numId w:val="2"/>
        </w:numPr>
        <w:tabs>
          <w:tab w:val="left" w:pos="567"/>
        </w:tabs>
        <w:autoSpaceDE w:val="0"/>
        <w:autoSpaceDN w:val="0"/>
        <w:adjustRightInd w:val="0"/>
        <w:spacing w:after="0"/>
        <w:rPr>
          <w:szCs w:val="20"/>
        </w:rPr>
      </w:pPr>
      <w:r w:rsidRPr="00C75778">
        <w:rPr>
          <w:szCs w:val="20"/>
        </w:rPr>
        <w:t>E</w:t>
      </w:r>
      <w:r w:rsidR="003D0651" w:rsidRPr="00C75778">
        <w:rPr>
          <w:szCs w:val="20"/>
          <w:lang w:val="pt-BR"/>
        </w:rPr>
        <w:t xml:space="preserve">l Estado objetó </w:t>
      </w:r>
      <w:r w:rsidR="00937ABF" w:rsidRPr="00C75778">
        <w:rPr>
          <w:szCs w:val="20"/>
          <w:lang w:val="pt-BR"/>
        </w:rPr>
        <w:t>la procedencia del</w:t>
      </w:r>
      <w:r w:rsidRPr="00C75778">
        <w:rPr>
          <w:szCs w:val="20"/>
          <w:lang w:val="pt-BR"/>
        </w:rPr>
        <w:t xml:space="preserve"> peritaje propuesto por los representantes, </w:t>
      </w:r>
      <w:r w:rsidR="00937ABF" w:rsidRPr="00C75778">
        <w:rPr>
          <w:szCs w:val="20"/>
          <w:lang w:val="pt-BR"/>
        </w:rPr>
        <w:t>en primer lugar, debido a que</w:t>
      </w:r>
      <w:r w:rsidRPr="00C75778">
        <w:rPr>
          <w:szCs w:val="20"/>
          <w:lang w:val="pt-BR"/>
        </w:rPr>
        <w:t xml:space="preserve"> </w:t>
      </w:r>
      <w:r w:rsidR="00937ABF" w:rsidRPr="00C75778">
        <w:rPr>
          <w:szCs w:val="20"/>
          <w:lang w:val="es-ES"/>
        </w:rPr>
        <w:t>no se tenía claridad sobre qué versaría su pericia de</w:t>
      </w:r>
      <w:r w:rsidR="003D0651" w:rsidRPr="00C75778">
        <w:rPr>
          <w:szCs w:val="20"/>
          <w:lang w:val="es-ES"/>
        </w:rPr>
        <w:t xml:space="preserve"> lo señalado en el escrito</w:t>
      </w:r>
      <w:r w:rsidR="006D6C07" w:rsidRPr="00C75778">
        <w:rPr>
          <w:szCs w:val="20"/>
          <w:lang w:val="es-ES"/>
        </w:rPr>
        <w:t xml:space="preserve"> de solicitudes y argumentos</w:t>
      </w:r>
      <w:r w:rsidR="003D0651" w:rsidRPr="00C75778">
        <w:rPr>
          <w:szCs w:val="20"/>
          <w:lang w:val="es-ES"/>
        </w:rPr>
        <w:t xml:space="preserve">. </w:t>
      </w:r>
      <w:r w:rsidR="00937ABF" w:rsidRPr="00C75778">
        <w:rPr>
          <w:szCs w:val="20"/>
          <w:lang w:val="es-ES"/>
        </w:rPr>
        <w:t>En segundo lugar, objetó que dicho dictamen pericial</w:t>
      </w:r>
      <w:r w:rsidR="008C5A73" w:rsidRPr="00C75778">
        <w:rPr>
          <w:szCs w:val="20"/>
          <w:lang w:val="es-ES"/>
        </w:rPr>
        <w:t xml:space="preserve"> se referiría sobre la pericia psicológica</w:t>
      </w:r>
      <w:r w:rsidR="003D0651" w:rsidRPr="00C75778">
        <w:rPr>
          <w:szCs w:val="20"/>
          <w:lang w:val="es-ES"/>
        </w:rPr>
        <w:t xml:space="preserve"> que </w:t>
      </w:r>
      <w:r w:rsidR="008C5A73" w:rsidRPr="00C75778">
        <w:rPr>
          <w:szCs w:val="20"/>
          <w:lang w:val="es-ES"/>
        </w:rPr>
        <w:t>el perito llevó a cabo</w:t>
      </w:r>
      <w:r w:rsidR="003D0651" w:rsidRPr="00C75778">
        <w:rPr>
          <w:szCs w:val="20"/>
          <w:lang w:val="es-ES"/>
        </w:rPr>
        <w:t xml:space="preserve"> en la causa civil “JENKINS GABRIEL OSCAR s/Daños y Perjuicios Vs. Estado Argentino” N° 46523/99, cuya validez</w:t>
      </w:r>
      <w:r w:rsidR="006D6C07" w:rsidRPr="00C75778">
        <w:rPr>
          <w:szCs w:val="20"/>
          <w:lang w:val="es-ES"/>
        </w:rPr>
        <w:t xml:space="preserve"> fue cuestionada </w:t>
      </w:r>
      <w:r w:rsidR="008C5A73" w:rsidRPr="00C75778">
        <w:rPr>
          <w:szCs w:val="20"/>
          <w:lang w:val="es-ES"/>
        </w:rPr>
        <w:t xml:space="preserve">oportunamente </w:t>
      </w:r>
      <w:r w:rsidR="006D6C07" w:rsidRPr="00C75778">
        <w:rPr>
          <w:szCs w:val="20"/>
          <w:lang w:val="es-ES"/>
        </w:rPr>
        <w:t xml:space="preserve">por el Estado </w:t>
      </w:r>
      <w:r w:rsidR="008C5A73" w:rsidRPr="00C75778">
        <w:rPr>
          <w:szCs w:val="20"/>
          <w:lang w:val="es-ES"/>
        </w:rPr>
        <w:t>al interponer</w:t>
      </w:r>
      <w:r w:rsidR="006D6C07" w:rsidRPr="00C75778">
        <w:rPr>
          <w:szCs w:val="20"/>
          <w:lang w:val="es-ES"/>
        </w:rPr>
        <w:t xml:space="preserve"> las excepciones preliminares</w:t>
      </w:r>
      <w:r w:rsidR="008C5A73" w:rsidRPr="00C75778">
        <w:rPr>
          <w:szCs w:val="20"/>
          <w:lang w:val="es-ES"/>
        </w:rPr>
        <w:t xml:space="preserve"> en el presente caso</w:t>
      </w:r>
      <w:r w:rsidR="003D0651" w:rsidRPr="00C75778">
        <w:rPr>
          <w:szCs w:val="20"/>
          <w:lang w:val="es-ES"/>
        </w:rPr>
        <w:t xml:space="preserve">. Por consiguiente, destacó que “no se </w:t>
      </w:r>
      <w:proofErr w:type="gramStart"/>
      <w:r w:rsidR="003D0651" w:rsidRPr="00C75778">
        <w:rPr>
          <w:szCs w:val="20"/>
          <w:lang w:val="es-ES"/>
        </w:rPr>
        <w:t>logra</w:t>
      </w:r>
      <w:r w:rsidR="008C5A73" w:rsidRPr="00C75778">
        <w:rPr>
          <w:szCs w:val="20"/>
          <w:lang w:val="es-ES"/>
        </w:rPr>
        <w:t>[</w:t>
      </w:r>
      <w:proofErr w:type="spellStart"/>
      <w:proofErr w:type="gramEnd"/>
      <w:r w:rsidR="008C5A73" w:rsidRPr="00C75778">
        <w:rPr>
          <w:szCs w:val="20"/>
          <w:lang w:val="es-ES"/>
        </w:rPr>
        <w:t>ba</w:t>
      </w:r>
      <w:proofErr w:type="spellEnd"/>
      <w:r w:rsidR="008C5A73" w:rsidRPr="00C75778">
        <w:rPr>
          <w:szCs w:val="20"/>
          <w:lang w:val="es-ES"/>
        </w:rPr>
        <w:t>] comprender</w:t>
      </w:r>
      <w:r w:rsidR="003D0651" w:rsidRPr="00C75778">
        <w:rPr>
          <w:szCs w:val="20"/>
          <w:lang w:val="es-ES"/>
        </w:rPr>
        <w:t xml:space="preserve"> la pertinencia de la declaración respecto de una pericia de un expediente judicial que no se vincula</w:t>
      </w:r>
      <w:r w:rsidR="008C5A73" w:rsidRPr="00C75778">
        <w:rPr>
          <w:szCs w:val="20"/>
          <w:lang w:val="es-ES"/>
        </w:rPr>
        <w:t>[</w:t>
      </w:r>
      <w:proofErr w:type="spellStart"/>
      <w:r w:rsidR="008C5A73" w:rsidRPr="00C75778">
        <w:rPr>
          <w:szCs w:val="20"/>
          <w:lang w:val="es-ES"/>
        </w:rPr>
        <w:t>ba</w:t>
      </w:r>
      <w:proofErr w:type="spellEnd"/>
      <w:r w:rsidR="008C5A73" w:rsidRPr="00C75778">
        <w:rPr>
          <w:szCs w:val="20"/>
          <w:lang w:val="es-ES"/>
        </w:rPr>
        <w:t>]</w:t>
      </w:r>
      <w:r w:rsidR="003D0651" w:rsidRPr="00C75778">
        <w:rPr>
          <w:szCs w:val="20"/>
          <w:lang w:val="es-ES"/>
        </w:rPr>
        <w:t xml:space="preserve"> con los hechos y resulta</w:t>
      </w:r>
      <w:r w:rsidR="008C5A73" w:rsidRPr="00C75778">
        <w:rPr>
          <w:szCs w:val="20"/>
          <w:lang w:val="es-ES"/>
        </w:rPr>
        <w:t>[</w:t>
      </w:r>
      <w:proofErr w:type="spellStart"/>
      <w:r w:rsidR="008C5A73" w:rsidRPr="00C75778">
        <w:rPr>
          <w:szCs w:val="20"/>
          <w:lang w:val="es-ES"/>
        </w:rPr>
        <w:t>ba</w:t>
      </w:r>
      <w:proofErr w:type="spellEnd"/>
      <w:r w:rsidR="008C5A73" w:rsidRPr="00C75778">
        <w:rPr>
          <w:szCs w:val="20"/>
          <w:lang w:val="es-ES"/>
        </w:rPr>
        <w:t>]</w:t>
      </w:r>
      <w:r w:rsidR="003D0651" w:rsidRPr="00C75778">
        <w:rPr>
          <w:szCs w:val="20"/>
          <w:lang w:val="es-ES"/>
        </w:rPr>
        <w:t xml:space="preserve"> ajena al objeto </w:t>
      </w:r>
      <w:r w:rsidR="003D0651" w:rsidRPr="00C75778">
        <w:rPr>
          <w:szCs w:val="20"/>
          <w:lang w:val="es-ES"/>
        </w:rPr>
        <w:lastRenderedPageBreak/>
        <w:t>del caso</w:t>
      </w:r>
      <w:r w:rsidR="008C5A73" w:rsidRPr="00C75778">
        <w:rPr>
          <w:szCs w:val="20"/>
          <w:lang w:val="es-ES"/>
        </w:rPr>
        <w:t>”</w:t>
      </w:r>
      <w:r w:rsidR="003D0651" w:rsidRPr="00C75778">
        <w:rPr>
          <w:szCs w:val="20"/>
          <w:lang w:val="es-ES"/>
        </w:rPr>
        <w:t>. Finalmente</w:t>
      </w:r>
      <w:r w:rsidR="008C5A73" w:rsidRPr="00C75778">
        <w:rPr>
          <w:szCs w:val="20"/>
          <w:lang w:val="es-ES"/>
        </w:rPr>
        <w:t>, el Estado</w:t>
      </w:r>
      <w:r w:rsidR="003D0651" w:rsidRPr="00C75778">
        <w:rPr>
          <w:szCs w:val="20"/>
          <w:lang w:val="es-ES"/>
        </w:rPr>
        <w:t xml:space="preserve"> advirtió que “si los representantes deseaban su participación como perito psic</w:t>
      </w:r>
      <w:r w:rsidR="00F87128">
        <w:rPr>
          <w:szCs w:val="20"/>
          <w:lang w:val="es-ES"/>
        </w:rPr>
        <w:t>ólogo</w:t>
      </w:r>
      <w:r w:rsidR="003D0651" w:rsidRPr="00C75778">
        <w:rPr>
          <w:szCs w:val="20"/>
          <w:lang w:val="es-ES"/>
        </w:rPr>
        <w:t xml:space="preserve"> debieron ofrecerlo en el escrito de solicitudes, argumentos y pruebas en tal carácter y no ahora como testigo, siendo improcedente su citación</w:t>
      </w:r>
      <w:r w:rsidR="008C5A73" w:rsidRPr="00C75778">
        <w:rPr>
          <w:szCs w:val="20"/>
          <w:lang w:val="es-ES"/>
        </w:rPr>
        <w:t xml:space="preserve"> con la que se pretende sustituir una prueba no ofrecida en su oportunidad</w:t>
      </w:r>
      <w:r w:rsidR="00937ABF" w:rsidRPr="00C75778">
        <w:rPr>
          <w:szCs w:val="20"/>
          <w:lang w:val="es-ES"/>
        </w:rPr>
        <w:t>”</w:t>
      </w:r>
      <w:r w:rsidR="003D0651" w:rsidRPr="00C75778">
        <w:rPr>
          <w:szCs w:val="20"/>
          <w:lang w:val="es-ES"/>
        </w:rPr>
        <w:t xml:space="preserve">.  </w:t>
      </w:r>
      <w:r w:rsidR="00937ABF" w:rsidRPr="00C75778">
        <w:rPr>
          <w:b/>
          <w:szCs w:val="20"/>
          <w:lang w:val="es-ES"/>
        </w:rPr>
        <w:t>[F.</w:t>
      </w:r>
      <w:r w:rsidR="00937ABF" w:rsidRPr="00C75778">
        <w:rPr>
          <w:szCs w:val="20"/>
          <w:lang w:val="es-ES"/>
        </w:rPr>
        <w:t xml:space="preserve"> </w:t>
      </w:r>
      <w:r w:rsidR="00937ABF" w:rsidRPr="00C75778">
        <w:rPr>
          <w:b/>
          <w:lang w:val="es-ES"/>
        </w:rPr>
        <w:t>547]</w:t>
      </w:r>
      <w:r w:rsidR="003D0651" w:rsidRPr="00C75778">
        <w:rPr>
          <w:szCs w:val="20"/>
          <w:lang w:val="es-ES"/>
        </w:rPr>
        <w:t xml:space="preserve">  </w:t>
      </w:r>
      <w:r w:rsidR="003D0651" w:rsidRPr="00C75778">
        <w:rPr>
          <w:i/>
          <w:szCs w:val="20"/>
          <w:lang w:val="pt-BR"/>
        </w:rPr>
        <w:t xml:space="preserve">  </w:t>
      </w:r>
      <w:r w:rsidR="00977507" w:rsidRPr="00C75778">
        <w:rPr>
          <w:szCs w:val="20"/>
        </w:rPr>
        <w:t xml:space="preserve"> </w:t>
      </w:r>
    </w:p>
    <w:p w:rsidR="00E966E5" w:rsidRPr="00C75778" w:rsidRDefault="00E966E5" w:rsidP="00165930">
      <w:pPr>
        <w:autoSpaceDE w:val="0"/>
        <w:autoSpaceDN w:val="0"/>
        <w:adjustRightInd w:val="0"/>
        <w:spacing w:after="0"/>
        <w:rPr>
          <w:szCs w:val="20"/>
        </w:rPr>
      </w:pPr>
    </w:p>
    <w:p w:rsidR="00136AD1" w:rsidRPr="00C75778" w:rsidRDefault="002A45DF" w:rsidP="005E1311">
      <w:pPr>
        <w:pStyle w:val="ListParagraph"/>
        <w:numPr>
          <w:ilvl w:val="0"/>
          <w:numId w:val="2"/>
        </w:numPr>
        <w:tabs>
          <w:tab w:val="left" w:pos="567"/>
        </w:tabs>
        <w:autoSpaceDE w:val="0"/>
        <w:autoSpaceDN w:val="0"/>
        <w:adjustRightInd w:val="0"/>
        <w:spacing w:after="0"/>
        <w:rPr>
          <w:szCs w:val="20"/>
        </w:rPr>
      </w:pPr>
      <w:r w:rsidRPr="00C75778">
        <w:rPr>
          <w:szCs w:val="20"/>
        </w:rPr>
        <w:t xml:space="preserve">La Presidencia nota que los representantes ofrecieron el dictamen pericial del señor </w:t>
      </w:r>
      <w:r w:rsidRPr="00C75778">
        <w:rPr>
          <w:lang w:val="es-CR"/>
        </w:rPr>
        <w:t>Tomás Las Peñas Vallejo de manera oportuna, es decir</w:t>
      </w:r>
      <w:r w:rsidR="00AC20D7">
        <w:rPr>
          <w:lang w:val="es-CR"/>
        </w:rPr>
        <w:t>,</w:t>
      </w:r>
      <w:r w:rsidRPr="00C75778">
        <w:rPr>
          <w:lang w:val="es-CR"/>
        </w:rPr>
        <w:t xml:space="preserve"> en su escrito de solicitudes y argumentos. Asimismo, los representantes indicaron en su lista de</w:t>
      </w:r>
      <w:r w:rsidR="008A17ED" w:rsidRPr="00C75778">
        <w:rPr>
          <w:lang w:val="es-CR"/>
        </w:rPr>
        <w:t>finitiva las</w:t>
      </w:r>
      <w:r w:rsidRPr="00C75778">
        <w:rPr>
          <w:lang w:val="es-CR"/>
        </w:rPr>
        <w:t xml:space="preserve"> declaraciones </w:t>
      </w:r>
      <w:r w:rsidR="008A17ED" w:rsidRPr="00C75778">
        <w:rPr>
          <w:lang w:val="es-CR"/>
        </w:rPr>
        <w:t xml:space="preserve">que </w:t>
      </w:r>
      <w:r w:rsidRPr="00C75778">
        <w:rPr>
          <w:lang w:val="es-CR"/>
        </w:rPr>
        <w:t xml:space="preserve">podrían ser recibidas mediante </w:t>
      </w:r>
      <w:r w:rsidRPr="00C75778">
        <w:rPr>
          <w:i/>
          <w:lang w:val="es-CR"/>
        </w:rPr>
        <w:t>affidávit</w:t>
      </w:r>
      <w:r w:rsidRPr="00C75778">
        <w:rPr>
          <w:lang w:val="es-CR"/>
        </w:rPr>
        <w:t>, para lo cual hicieron referencia a “[l]a restante prueba testimonial y pericial ofrecida oportunamente en e</w:t>
      </w:r>
      <w:r w:rsidR="00FE0872" w:rsidRPr="00C75778">
        <w:rPr>
          <w:lang w:val="es-CR"/>
        </w:rPr>
        <w:t>scrito ESAP […]</w:t>
      </w:r>
      <w:r w:rsidRPr="00C75778">
        <w:rPr>
          <w:lang w:val="es-CR"/>
        </w:rPr>
        <w:t>”</w:t>
      </w:r>
      <w:r w:rsidR="00FE0872" w:rsidRPr="00C75778">
        <w:rPr>
          <w:lang w:val="es-CR"/>
        </w:rPr>
        <w:t>, subtítulo bajo el cual listaron al señor Tomás Las Peñas Vallejo</w:t>
      </w:r>
      <w:r w:rsidR="00314FF6" w:rsidRPr="00C75778">
        <w:rPr>
          <w:lang w:val="es-CR"/>
        </w:rPr>
        <w:t>, por lo tanto la prueba fue ofrecida oportunamente</w:t>
      </w:r>
      <w:r w:rsidRPr="00C75778">
        <w:rPr>
          <w:lang w:val="es-CR"/>
        </w:rPr>
        <w:t xml:space="preserve">. </w:t>
      </w:r>
    </w:p>
    <w:p w:rsidR="00136AD1" w:rsidRPr="00C75778" w:rsidRDefault="00136AD1" w:rsidP="00165930">
      <w:pPr>
        <w:autoSpaceDE w:val="0"/>
        <w:autoSpaceDN w:val="0"/>
        <w:adjustRightInd w:val="0"/>
        <w:spacing w:after="0"/>
        <w:rPr>
          <w:szCs w:val="20"/>
        </w:rPr>
      </w:pPr>
    </w:p>
    <w:p w:rsidR="00DA5B7F" w:rsidRPr="00C75778" w:rsidRDefault="00136AD1" w:rsidP="005E1311">
      <w:pPr>
        <w:pStyle w:val="ListParagraph"/>
        <w:numPr>
          <w:ilvl w:val="0"/>
          <w:numId w:val="2"/>
        </w:numPr>
        <w:tabs>
          <w:tab w:val="left" w:pos="567"/>
        </w:tabs>
        <w:autoSpaceDE w:val="0"/>
        <w:autoSpaceDN w:val="0"/>
        <w:adjustRightInd w:val="0"/>
        <w:spacing w:after="0"/>
        <w:rPr>
          <w:szCs w:val="20"/>
        </w:rPr>
      </w:pPr>
      <w:r w:rsidRPr="00C75778">
        <w:rPr>
          <w:szCs w:val="20"/>
        </w:rPr>
        <w:t>Asimismo, las excepciones preliminares interpuestas por el Estado no impide</w:t>
      </w:r>
      <w:r w:rsidR="00314FF6" w:rsidRPr="00C75778">
        <w:rPr>
          <w:szCs w:val="20"/>
        </w:rPr>
        <w:t>n</w:t>
      </w:r>
      <w:r w:rsidRPr="00C75778">
        <w:rPr>
          <w:szCs w:val="20"/>
        </w:rPr>
        <w:t xml:space="preserve"> a </w:t>
      </w:r>
      <w:r w:rsidR="00DA5B7F" w:rsidRPr="00C75778">
        <w:rPr>
          <w:szCs w:val="20"/>
        </w:rPr>
        <w:t>esta Presidencia</w:t>
      </w:r>
      <w:r w:rsidRPr="00C75778">
        <w:rPr>
          <w:szCs w:val="20"/>
        </w:rPr>
        <w:t xml:space="preserve"> recabar la prueba que considere necesa</w:t>
      </w:r>
      <w:r w:rsidR="00DA5B7F" w:rsidRPr="00C75778">
        <w:rPr>
          <w:szCs w:val="20"/>
        </w:rPr>
        <w:t xml:space="preserve">ria para la resolución del caso, cuya pertinencia y valor probatorio serán determinados en el momento procesal oportuno, </w:t>
      </w:r>
      <w:r w:rsidR="00DA5B7F" w:rsidRPr="00C75778">
        <w:rPr>
          <w:lang w:val="es-ES"/>
        </w:rPr>
        <w:t>de acuerdo a las carac</w:t>
      </w:r>
      <w:r w:rsidR="00847CE0" w:rsidRPr="00C75778">
        <w:rPr>
          <w:lang w:val="es-ES"/>
        </w:rPr>
        <w:t>terísticas particulares del mismo</w:t>
      </w:r>
      <w:r w:rsidR="00DA5B7F" w:rsidRPr="00C75778">
        <w:rPr>
          <w:lang w:val="es-ES"/>
        </w:rPr>
        <w:t xml:space="preserve"> y al objeto de la controversia entre las partes.</w:t>
      </w:r>
    </w:p>
    <w:p w:rsidR="00DA5B7F" w:rsidRPr="00C75778" w:rsidRDefault="00DA5B7F" w:rsidP="00165930">
      <w:pPr>
        <w:autoSpaceDE w:val="0"/>
        <w:autoSpaceDN w:val="0"/>
        <w:adjustRightInd w:val="0"/>
        <w:spacing w:after="0"/>
        <w:rPr>
          <w:szCs w:val="20"/>
        </w:rPr>
      </w:pPr>
    </w:p>
    <w:p w:rsidR="00472BDF" w:rsidRPr="00C75778" w:rsidRDefault="00DA5B7F" w:rsidP="005E1311">
      <w:pPr>
        <w:pStyle w:val="ListParagraph"/>
        <w:numPr>
          <w:ilvl w:val="0"/>
          <w:numId w:val="2"/>
        </w:numPr>
        <w:tabs>
          <w:tab w:val="left" w:pos="567"/>
        </w:tabs>
        <w:autoSpaceDE w:val="0"/>
        <w:autoSpaceDN w:val="0"/>
        <w:adjustRightInd w:val="0"/>
        <w:spacing w:after="0"/>
        <w:rPr>
          <w:szCs w:val="20"/>
        </w:rPr>
      </w:pPr>
      <w:r w:rsidRPr="00C75778">
        <w:rPr>
          <w:szCs w:val="20"/>
        </w:rPr>
        <w:t>De igual manera</w:t>
      </w:r>
      <w:r w:rsidR="003D0651" w:rsidRPr="00C75778">
        <w:rPr>
          <w:szCs w:val="20"/>
        </w:rPr>
        <w:t xml:space="preserve">, </w:t>
      </w:r>
      <w:r w:rsidRPr="00C75778">
        <w:rPr>
          <w:szCs w:val="20"/>
        </w:rPr>
        <w:t>y en relación con el párrafo precedente, l</w:t>
      </w:r>
      <w:r w:rsidR="003D0651" w:rsidRPr="00C75778">
        <w:rPr>
          <w:szCs w:val="20"/>
        </w:rPr>
        <w:t>a Presi</w:t>
      </w:r>
      <w:r w:rsidR="006D6C07" w:rsidRPr="00C75778">
        <w:rPr>
          <w:szCs w:val="20"/>
        </w:rPr>
        <w:t xml:space="preserve">dencia </w:t>
      </w:r>
      <w:r w:rsidRPr="00C75778">
        <w:rPr>
          <w:szCs w:val="20"/>
        </w:rPr>
        <w:t>considera que</w:t>
      </w:r>
      <w:r w:rsidR="00455BBF" w:rsidRPr="00C75778">
        <w:rPr>
          <w:szCs w:val="20"/>
        </w:rPr>
        <w:t xml:space="preserve"> </w:t>
      </w:r>
      <w:r w:rsidR="003D0651" w:rsidRPr="00C75778">
        <w:rPr>
          <w:szCs w:val="20"/>
        </w:rPr>
        <w:t xml:space="preserve">la declaración del señor </w:t>
      </w:r>
      <w:r w:rsidR="003D0651" w:rsidRPr="00C75778">
        <w:rPr>
          <w:rFonts w:eastAsiaTheme="minorHAnsi" w:cs="CenturyGothic"/>
          <w:szCs w:val="20"/>
          <w:lang w:val="es-CR" w:eastAsia="en-US"/>
        </w:rPr>
        <w:t xml:space="preserve">Tomás Las Peñas Vallejo </w:t>
      </w:r>
      <w:r w:rsidR="003D0651" w:rsidRPr="00C75778">
        <w:rPr>
          <w:rFonts w:eastAsiaTheme="minorHAnsi" w:cs="Arial"/>
          <w:szCs w:val="20"/>
          <w:lang w:val="es-CR" w:eastAsia="en-US"/>
        </w:rPr>
        <w:t xml:space="preserve">se relaciona con </w:t>
      </w:r>
      <w:r w:rsidRPr="00C75778">
        <w:rPr>
          <w:rFonts w:eastAsiaTheme="minorHAnsi" w:cs="Arial"/>
          <w:szCs w:val="20"/>
          <w:lang w:val="es-CR" w:eastAsia="en-US"/>
        </w:rPr>
        <w:t>l</w:t>
      </w:r>
      <w:r w:rsidR="00BB2215" w:rsidRPr="00C75778">
        <w:rPr>
          <w:rFonts w:eastAsiaTheme="minorHAnsi" w:cs="Arial"/>
          <w:szCs w:val="20"/>
          <w:lang w:val="es-CR" w:eastAsia="en-US"/>
        </w:rPr>
        <w:t>os hechos y el objeto del caso</w:t>
      </w:r>
      <w:r w:rsidR="00AC20D7">
        <w:rPr>
          <w:rFonts w:eastAsiaTheme="minorHAnsi" w:cs="Arial"/>
          <w:szCs w:val="20"/>
          <w:lang w:val="es-CR" w:eastAsia="en-US"/>
        </w:rPr>
        <w:t>,</w:t>
      </w:r>
      <w:r w:rsidR="00BB2215" w:rsidRPr="00C75778">
        <w:rPr>
          <w:rFonts w:eastAsiaTheme="minorHAnsi" w:cs="Arial"/>
          <w:szCs w:val="20"/>
          <w:lang w:val="es-CR" w:eastAsia="en-US"/>
        </w:rPr>
        <w:t xml:space="preserve"> de conformidad con lo establecido en e</w:t>
      </w:r>
      <w:r w:rsidRPr="00C75778">
        <w:rPr>
          <w:rFonts w:eastAsiaTheme="minorHAnsi" w:cs="Arial"/>
          <w:szCs w:val="20"/>
          <w:lang w:val="es-CR" w:eastAsia="en-US"/>
        </w:rPr>
        <w:t>l Informe de Fondo presentado por la Comisi</w:t>
      </w:r>
      <w:r w:rsidR="00455BBF" w:rsidRPr="00C75778">
        <w:rPr>
          <w:rFonts w:eastAsiaTheme="minorHAnsi" w:cs="Arial"/>
          <w:szCs w:val="20"/>
          <w:lang w:val="es-CR" w:eastAsia="en-US"/>
        </w:rPr>
        <w:t>ón Interamericana.</w:t>
      </w:r>
      <w:r w:rsidR="006D6C07" w:rsidRPr="00C75778">
        <w:rPr>
          <w:rFonts w:eastAsiaTheme="minorHAnsi" w:cs="Arial"/>
          <w:szCs w:val="20"/>
          <w:lang w:val="es-CR" w:eastAsia="en-US"/>
        </w:rPr>
        <w:t xml:space="preserve"> </w:t>
      </w:r>
      <w:r w:rsidRPr="00C75778">
        <w:rPr>
          <w:rFonts w:eastAsiaTheme="minorHAnsi" w:cs="Arial"/>
          <w:szCs w:val="20"/>
          <w:lang w:val="es-CR" w:eastAsia="en-US"/>
        </w:rPr>
        <w:t xml:space="preserve">Ello, debido a que el objeto del dictamen pericial propuesto es exponer </w:t>
      </w:r>
      <w:r w:rsidRPr="00C75778">
        <w:t xml:space="preserve">el </w:t>
      </w:r>
      <w:r w:rsidR="00455BBF" w:rsidRPr="00C75778">
        <w:t xml:space="preserve">alegado </w:t>
      </w:r>
      <w:r w:rsidRPr="00C75778">
        <w:t xml:space="preserve">daño causado al señor Jenkins, así como su origen, conforme al diagnóstico psicológico observado </w:t>
      </w:r>
      <w:r w:rsidR="00455BBF" w:rsidRPr="00C75778">
        <w:t xml:space="preserve">en el </w:t>
      </w:r>
      <w:r w:rsidR="00455BBF" w:rsidRPr="00C75778">
        <w:rPr>
          <w:rFonts w:eastAsiaTheme="minorHAnsi" w:cs="Arial"/>
          <w:szCs w:val="20"/>
          <w:lang w:val="es-CR" w:eastAsia="en-US"/>
        </w:rPr>
        <w:t xml:space="preserve">informe técnico presentado </w:t>
      </w:r>
      <w:r w:rsidR="00455BBF" w:rsidRPr="00C75778">
        <w:rPr>
          <w:rFonts w:eastAsiaTheme="minorHAnsi" w:cs="CenturyGothic"/>
          <w:szCs w:val="20"/>
          <w:lang w:val="es-CR" w:eastAsia="en-US"/>
        </w:rPr>
        <w:t xml:space="preserve">en el marco del proceso por daños y perjuicios derivados de la alegada privación de la libertad. </w:t>
      </w:r>
    </w:p>
    <w:p w:rsidR="00472BDF" w:rsidRPr="00C75778" w:rsidRDefault="00472BDF" w:rsidP="00165930">
      <w:pPr>
        <w:autoSpaceDE w:val="0"/>
        <w:autoSpaceDN w:val="0"/>
        <w:adjustRightInd w:val="0"/>
        <w:spacing w:after="0"/>
        <w:rPr>
          <w:szCs w:val="20"/>
        </w:rPr>
      </w:pPr>
    </w:p>
    <w:p w:rsidR="00847419" w:rsidRPr="00C75778" w:rsidRDefault="003D0651" w:rsidP="005E1311">
      <w:pPr>
        <w:pStyle w:val="ListParagraph"/>
        <w:numPr>
          <w:ilvl w:val="0"/>
          <w:numId w:val="2"/>
        </w:numPr>
        <w:tabs>
          <w:tab w:val="left" w:pos="567"/>
        </w:tabs>
        <w:autoSpaceDE w:val="0"/>
        <w:autoSpaceDN w:val="0"/>
        <w:adjustRightInd w:val="0"/>
        <w:spacing w:after="0"/>
        <w:rPr>
          <w:szCs w:val="20"/>
          <w:lang w:val="es-ES"/>
        </w:rPr>
      </w:pPr>
      <w:r w:rsidRPr="00C75778">
        <w:rPr>
          <w:rFonts w:eastAsiaTheme="minorHAnsi" w:cs="CenturyGothic"/>
          <w:szCs w:val="20"/>
          <w:lang w:val="es-CR" w:eastAsia="en-US"/>
        </w:rPr>
        <w:t>No obstante lo anterior</w:t>
      </w:r>
      <w:r w:rsidR="00BB2215" w:rsidRPr="00C75778">
        <w:rPr>
          <w:rFonts w:eastAsiaTheme="minorHAnsi" w:cs="CenturyGothic"/>
          <w:szCs w:val="20"/>
          <w:lang w:val="es-CR" w:eastAsia="en-US"/>
        </w:rPr>
        <w:t>, y a pesar de que el Estado no presentó alegatos específicos al respecto,</w:t>
      </w:r>
      <w:r w:rsidRPr="00C75778">
        <w:rPr>
          <w:rFonts w:eastAsiaTheme="minorHAnsi" w:cs="CenturyGothic"/>
          <w:szCs w:val="20"/>
          <w:lang w:val="es-CR" w:eastAsia="en-US"/>
        </w:rPr>
        <w:t xml:space="preserve"> esta Presidencia </w:t>
      </w:r>
      <w:r w:rsidR="00BB2215" w:rsidRPr="00C75778">
        <w:rPr>
          <w:rFonts w:eastAsiaTheme="minorHAnsi" w:cs="CenturyGothic"/>
          <w:szCs w:val="20"/>
          <w:lang w:val="es-CR" w:eastAsia="en-US"/>
        </w:rPr>
        <w:t>nota que el artículo 48.1.f) del Reglamento</w:t>
      </w:r>
      <w:r w:rsidR="006B0FAB" w:rsidRPr="00C75778">
        <w:rPr>
          <w:rFonts w:eastAsiaTheme="minorHAnsi" w:cs="CenturyGothic"/>
          <w:szCs w:val="20"/>
          <w:lang w:val="es-CR" w:eastAsia="en-US"/>
        </w:rPr>
        <w:t xml:space="preserve"> establece que</w:t>
      </w:r>
      <w:r w:rsidR="00BB2215" w:rsidRPr="00C75778">
        <w:rPr>
          <w:rFonts w:eastAsiaTheme="minorHAnsi" w:cs="CenturyGothic"/>
          <w:szCs w:val="20"/>
          <w:lang w:val="es-CR" w:eastAsia="en-US"/>
        </w:rPr>
        <w:t xml:space="preserve"> los peritos podrán se</w:t>
      </w:r>
      <w:r w:rsidR="006B0FAB" w:rsidRPr="00C75778">
        <w:rPr>
          <w:rFonts w:eastAsiaTheme="minorHAnsi" w:cs="CenturyGothic"/>
          <w:szCs w:val="20"/>
          <w:lang w:val="es-CR" w:eastAsia="en-US"/>
        </w:rPr>
        <w:t>r recusados si hubieren “intervenido con anterioridad, a cualquier título, y en cualquier instancia, nacional o internacional, en relación con la misma causa”. En este sentido, la Presidencia considera que en aplicación de dicho</w:t>
      </w:r>
      <w:r w:rsidR="00BB2215" w:rsidRPr="00C75778">
        <w:rPr>
          <w:rFonts w:eastAsiaTheme="minorHAnsi" w:cs="CenturyGothic"/>
          <w:szCs w:val="20"/>
          <w:lang w:val="es-CR" w:eastAsia="en-US"/>
        </w:rPr>
        <w:t xml:space="preserve"> </w:t>
      </w:r>
      <w:r w:rsidRPr="00C75778">
        <w:rPr>
          <w:rFonts w:eastAsiaTheme="minorHAnsi" w:cs="CenturyGothic"/>
          <w:szCs w:val="20"/>
          <w:lang w:val="es-CR" w:eastAsia="en-US"/>
        </w:rPr>
        <w:t xml:space="preserve">artículo, </w:t>
      </w:r>
      <w:r w:rsidR="006B0FAB" w:rsidRPr="00C75778">
        <w:rPr>
          <w:rFonts w:eastAsiaTheme="minorHAnsi" w:cs="CenturyGothic"/>
          <w:szCs w:val="20"/>
          <w:lang w:val="es-CR" w:eastAsia="en-US"/>
        </w:rPr>
        <w:t>y al haberse desempeñado el propuesto perito como consultor técnico de parte en el proceso de daños y perjuicios a nivel interno, corresponde variar</w:t>
      </w:r>
      <w:r w:rsidRPr="00C75778">
        <w:rPr>
          <w:rFonts w:eastAsiaTheme="minorHAnsi" w:cs="CenturyGothic"/>
          <w:szCs w:val="20"/>
          <w:lang w:val="es-CR" w:eastAsia="en-US"/>
        </w:rPr>
        <w:t xml:space="preserve"> </w:t>
      </w:r>
      <w:r w:rsidR="006B0FAB" w:rsidRPr="00C75778">
        <w:rPr>
          <w:rFonts w:eastAsiaTheme="minorHAnsi" w:cs="CenturyGothic"/>
          <w:szCs w:val="20"/>
          <w:lang w:val="es-CR" w:eastAsia="en-US"/>
        </w:rPr>
        <w:t>la calidad de la declaración</w:t>
      </w:r>
      <w:r w:rsidR="006B0FAB" w:rsidRPr="00C75778">
        <w:rPr>
          <w:szCs w:val="20"/>
        </w:rPr>
        <w:t xml:space="preserve">, por lo que </w:t>
      </w:r>
      <w:r w:rsidR="00D012D6" w:rsidRPr="00C75778">
        <w:rPr>
          <w:szCs w:val="20"/>
        </w:rPr>
        <w:t>ordena recabar</w:t>
      </w:r>
      <w:r w:rsidR="006B0FAB" w:rsidRPr="00C75778">
        <w:rPr>
          <w:szCs w:val="20"/>
        </w:rPr>
        <w:t>la con carácter de testimonio.</w:t>
      </w:r>
      <w:r w:rsidR="006B0FAB" w:rsidRPr="00C75778">
        <w:rPr>
          <w:rFonts w:eastAsiaTheme="minorHAnsi" w:cs="CenturyGothic"/>
          <w:szCs w:val="20"/>
          <w:lang w:val="es-CR" w:eastAsia="en-US"/>
        </w:rPr>
        <w:t xml:space="preserve"> </w:t>
      </w:r>
      <w:r w:rsidR="00D012D6" w:rsidRPr="00C75778">
        <w:rPr>
          <w:rFonts w:eastAsiaTheme="minorHAnsi" w:cs="CenturyGothic"/>
          <w:szCs w:val="20"/>
          <w:lang w:val="es-CR" w:eastAsia="en-US"/>
        </w:rPr>
        <w:t xml:space="preserve">Para ello, a pesar de que la Presidencia considera que el objeto de la declaración fue propuesto de forma clara, el mismo se delimitará </w:t>
      </w:r>
      <w:r w:rsidR="00D012D6" w:rsidRPr="00C75778">
        <w:rPr>
          <w:rFonts w:eastAsiaTheme="minorHAnsi" w:cs="CenturyGothic"/>
          <w:i/>
          <w:szCs w:val="20"/>
          <w:lang w:val="es-CR" w:eastAsia="en-US"/>
        </w:rPr>
        <w:t>infra</w:t>
      </w:r>
      <w:r w:rsidR="00D012D6" w:rsidRPr="00C75778">
        <w:rPr>
          <w:rFonts w:eastAsiaTheme="minorHAnsi" w:cs="CenturyGothic"/>
          <w:szCs w:val="20"/>
          <w:lang w:val="es-CR" w:eastAsia="en-US"/>
        </w:rPr>
        <w:t xml:space="preserve">. Asimismo, es preciso recordar que </w:t>
      </w:r>
      <w:r w:rsidR="00D012D6" w:rsidRPr="00C75778">
        <w:rPr>
          <w:lang w:val="es-ES"/>
        </w:rPr>
        <w:t>cuando una persona es llamada a declarar como testigo ante la Corte puede referirse a los hechos y circunstancias que le consten en relación con el objeto de su declaración, evitando dar opiniones personales</w:t>
      </w:r>
      <w:r w:rsidR="00D012D6" w:rsidRPr="00C75778">
        <w:rPr>
          <w:vertAlign w:val="superscript"/>
          <w:lang w:val="es-ES"/>
        </w:rPr>
        <w:footnoteReference w:id="4"/>
      </w:r>
      <w:r w:rsidR="00D012D6" w:rsidRPr="00C75778">
        <w:rPr>
          <w:lang w:val="es-ES"/>
        </w:rPr>
        <w:t xml:space="preserve">. </w:t>
      </w:r>
      <w:r w:rsidR="00847419" w:rsidRPr="00C75778">
        <w:t>Una</w:t>
      </w:r>
      <w:r w:rsidR="00847419" w:rsidRPr="00C75778">
        <w:rPr>
          <w:szCs w:val="18"/>
        </w:rPr>
        <w:t xml:space="preserve"> vez que esta prueba sea evacuada, el Estado tendrá la oportunidad de presentar las observaciones que estime pertinentes</w:t>
      </w:r>
      <w:r w:rsidR="00847419" w:rsidRPr="00C75778">
        <w:t xml:space="preserve">. </w:t>
      </w:r>
    </w:p>
    <w:p w:rsidR="00847419" w:rsidRPr="00C75778" w:rsidRDefault="00847419" w:rsidP="00165930">
      <w:pPr>
        <w:pStyle w:val="ListParagraph"/>
        <w:spacing w:after="0"/>
        <w:rPr>
          <w:lang w:val="es-ES"/>
        </w:rPr>
      </w:pPr>
    </w:p>
    <w:p w:rsidR="00455BBF" w:rsidRPr="00C75778" w:rsidRDefault="006B0FAB" w:rsidP="005E1311">
      <w:pPr>
        <w:pStyle w:val="ListParagraph"/>
        <w:numPr>
          <w:ilvl w:val="0"/>
          <w:numId w:val="2"/>
        </w:numPr>
        <w:tabs>
          <w:tab w:val="left" w:pos="567"/>
        </w:tabs>
        <w:autoSpaceDE w:val="0"/>
        <w:autoSpaceDN w:val="0"/>
        <w:adjustRightInd w:val="0"/>
        <w:spacing w:after="0"/>
        <w:rPr>
          <w:szCs w:val="20"/>
          <w:lang w:val="es-ES"/>
        </w:rPr>
      </w:pPr>
      <w:r w:rsidRPr="00C75778">
        <w:rPr>
          <w:lang w:val="es-ES"/>
        </w:rPr>
        <w:t xml:space="preserve">Con base en lo anteriormente expuesto, el Presidente estima pertinente admitir </w:t>
      </w:r>
      <w:r w:rsidR="00847419" w:rsidRPr="00C75778">
        <w:rPr>
          <w:lang w:val="es-ES"/>
        </w:rPr>
        <w:t xml:space="preserve">la </w:t>
      </w:r>
      <w:r w:rsidRPr="00C75778">
        <w:rPr>
          <w:lang w:val="es-ES"/>
        </w:rPr>
        <w:t xml:space="preserve">declaración testimonial </w:t>
      </w:r>
      <w:r w:rsidR="00847419" w:rsidRPr="00C75778">
        <w:rPr>
          <w:lang w:val="es-ES"/>
        </w:rPr>
        <w:t>del señor</w:t>
      </w:r>
      <w:r w:rsidR="00847419" w:rsidRPr="00C75778">
        <w:rPr>
          <w:rFonts w:eastAsiaTheme="minorHAnsi" w:cs="CenturyGothic"/>
          <w:szCs w:val="20"/>
          <w:lang w:val="es-CR" w:eastAsia="en-US"/>
        </w:rPr>
        <w:t xml:space="preserve"> Tomás Las Peñas Vallejo</w:t>
      </w:r>
      <w:r w:rsidR="00AC20D7">
        <w:rPr>
          <w:rFonts w:eastAsiaTheme="minorHAnsi" w:cs="CenturyGothic"/>
          <w:szCs w:val="20"/>
          <w:lang w:val="es-CR" w:eastAsia="en-US"/>
        </w:rPr>
        <w:t>,</w:t>
      </w:r>
      <w:r w:rsidR="00847419" w:rsidRPr="00C75778">
        <w:rPr>
          <w:lang w:val="es-ES"/>
        </w:rPr>
        <w:t xml:space="preserve"> </w:t>
      </w:r>
      <w:r w:rsidRPr="00C75778">
        <w:rPr>
          <w:lang w:val="es-ES"/>
        </w:rPr>
        <w:t>según el objeto y modalidad determinados en la parte resolutiva de la presente decisión</w:t>
      </w:r>
      <w:r w:rsidR="00847419" w:rsidRPr="00C75778">
        <w:rPr>
          <w:lang w:val="es-ES"/>
        </w:rPr>
        <w:t xml:space="preserve"> </w:t>
      </w:r>
      <w:r w:rsidR="00847419" w:rsidRPr="00C75778">
        <w:rPr>
          <w:bCs/>
          <w:iCs/>
          <w:lang w:val="es-ES"/>
        </w:rPr>
        <w:t>(</w:t>
      </w:r>
      <w:r w:rsidR="00847419" w:rsidRPr="00C75778">
        <w:rPr>
          <w:bCs/>
          <w:i/>
          <w:iCs/>
          <w:lang w:val="es-ES"/>
        </w:rPr>
        <w:t>infra</w:t>
      </w:r>
      <w:r w:rsidR="00847419" w:rsidRPr="00C75778">
        <w:rPr>
          <w:bCs/>
          <w:iCs/>
          <w:lang w:val="es-ES"/>
        </w:rPr>
        <w:t xml:space="preserve"> punto resolutivo </w:t>
      </w:r>
      <w:r w:rsidR="00E11166">
        <w:rPr>
          <w:bCs/>
          <w:iCs/>
          <w:lang w:val="es-ES"/>
        </w:rPr>
        <w:t>4</w:t>
      </w:r>
      <w:r w:rsidR="00847419" w:rsidRPr="00C75778">
        <w:rPr>
          <w:bCs/>
          <w:iCs/>
          <w:lang w:val="es-ES"/>
        </w:rPr>
        <w:t>).</w:t>
      </w:r>
    </w:p>
    <w:p w:rsidR="003D0651" w:rsidRPr="00C75778" w:rsidRDefault="003D0651" w:rsidP="00165930">
      <w:pPr>
        <w:pStyle w:val="ListParagraph"/>
        <w:numPr>
          <w:ilvl w:val="0"/>
          <w:numId w:val="14"/>
        </w:numPr>
        <w:tabs>
          <w:tab w:val="left" w:pos="567"/>
        </w:tabs>
        <w:spacing w:after="0"/>
        <w:rPr>
          <w:b/>
          <w:szCs w:val="20"/>
        </w:rPr>
      </w:pPr>
      <w:r w:rsidRPr="00C75778">
        <w:rPr>
          <w:b/>
          <w:bCs/>
          <w:i/>
          <w:iCs/>
          <w:szCs w:val="20"/>
        </w:rPr>
        <w:lastRenderedPageBreak/>
        <w:t>Aplicación del Fondo de Asistencia Legal de Víctimas ante la Corte</w:t>
      </w:r>
    </w:p>
    <w:p w:rsidR="003D0651" w:rsidRPr="00C75778" w:rsidRDefault="003D0651" w:rsidP="00165930">
      <w:pPr>
        <w:pStyle w:val="ListParagraph"/>
        <w:widowControl w:val="0"/>
        <w:tabs>
          <w:tab w:val="left" w:pos="0"/>
          <w:tab w:val="left" w:pos="567"/>
        </w:tabs>
        <w:autoSpaceDE w:val="0"/>
        <w:autoSpaceDN w:val="0"/>
        <w:adjustRightInd w:val="0"/>
        <w:spacing w:after="0"/>
        <w:ind w:left="0" w:right="22"/>
        <w:rPr>
          <w:bCs/>
          <w:iCs/>
          <w:szCs w:val="20"/>
        </w:rPr>
      </w:pPr>
    </w:p>
    <w:p w:rsidR="00E8698D" w:rsidRPr="00C75778" w:rsidRDefault="006D6C07" w:rsidP="00E14291">
      <w:pPr>
        <w:pStyle w:val="ListParagraph"/>
        <w:numPr>
          <w:ilvl w:val="0"/>
          <w:numId w:val="2"/>
        </w:numPr>
        <w:tabs>
          <w:tab w:val="left" w:pos="567"/>
        </w:tabs>
        <w:autoSpaceDE w:val="0"/>
        <w:autoSpaceDN w:val="0"/>
        <w:adjustRightInd w:val="0"/>
        <w:spacing w:after="0"/>
        <w:contextualSpacing w:val="0"/>
        <w:rPr>
          <w:rFonts w:cs="Verdana"/>
          <w:spacing w:val="-2"/>
          <w:szCs w:val="20"/>
          <w:lang w:val="es-ES"/>
        </w:rPr>
      </w:pPr>
      <w:r w:rsidRPr="00C75778">
        <w:rPr>
          <w:rFonts w:cs="Century Gothic"/>
          <w:szCs w:val="20"/>
          <w:lang w:val="es-ES"/>
        </w:rPr>
        <w:t xml:space="preserve">En el presente caso </w:t>
      </w:r>
      <w:r w:rsidR="00847CE0" w:rsidRPr="00C75778">
        <w:rPr>
          <w:rFonts w:cs="Century Gothic"/>
          <w:lang w:val="es-ES"/>
        </w:rPr>
        <w:t>fueron designados dos defensores interamericanos para ejercer la representación del señor Jenkins</w:t>
      </w:r>
      <w:r w:rsidRPr="00C75778">
        <w:rPr>
          <w:rFonts w:cs="Century Gothic"/>
          <w:szCs w:val="20"/>
          <w:lang w:val="es-ES"/>
        </w:rPr>
        <w:t xml:space="preserve">. </w:t>
      </w:r>
      <w:r w:rsidR="00847CE0" w:rsidRPr="00C75778">
        <w:rPr>
          <w:szCs w:val="20"/>
        </w:rPr>
        <w:t>En el escrito de solicitudes</w:t>
      </w:r>
      <w:r w:rsidR="009D6D8A">
        <w:rPr>
          <w:szCs w:val="20"/>
        </w:rPr>
        <w:t xml:space="preserve"> y</w:t>
      </w:r>
      <w:r w:rsidR="00847CE0" w:rsidRPr="00C75778">
        <w:rPr>
          <w:szCs w:val="20"/>
        </w:rPr>
        <w:t xml:space="preserve"> argumentos los representantes indicaron </w:t>
      </w:r>
      <w:r w:rsidR="00847CE0" w:rsidRPr="00C75778">
        <w:rPr>
          <w:szCs w:val="20"/>
          <w:lang w:val="es-CR"/>
        </w:rPr>
        <w:t>que el señor Gabriel Jenkin</w:t>
      </w:r>
      <w:r w:rsidRPr="00C75778">
        <w:rPr>
          <w:szCs w:val="20"/>
          <w:lang w:val="es-CR"/>
        </w:rPr>
        <w:t xml:space="preserve">s </w:t>
      </w:r>
      <w:r w:rsidR="00847CE0" w:rsidRPr="00C75778">
        <w:rPr>
          <w:rFonts w:eastAsiaTheme="minorHAnsi" w:cs="Arial"/>
          <w:szCs w:val="20"/>
          <w:lang w:val="es-CR" w:eastAsia="en-US"/>
        </w:rPr>
        <w:t>carecía</w:t>
      </w:r>
      <w:r w:rsidRPr="00C75778">
        <w:rPr>
          <w:rFonts w:eastAsiaTheme="minorHAnsi" w:cs="Arial"/>
          <w:szCs w:val="20"/>
          <w:lang w:val="es-CR" w:eastAsia="en-US"/>
        </w:rPr>
        <w:t xml:space="preserve"> de recursos </w:t>
      </w:r>
      <w:r w:rsidR="00847CE0" w:rsidRPr="00C75778">
        <w:rPr>
          <w:rFonts w:eastAsiaTheme="minorHAnsi" w:cs="Arial"/>
          <w:szCs w:val="20"/>
          <w:lang w:val="es-CR" w:eastAsia="en-US"/>
        </w:rPr>
        <w:t xml:space="preserve">económicos </w:t>
      </w:r>
      <w:r w:rsidRPr="00C75778">
        <w:rPr>
          <w:rFonts w:eastAsiaTheme="minorHAnsi" w:cs="Arial"/>
          <w:szCs w:val="20"/>
          <w:lang w:val="es-CR" w:eastAsia="en-US"/>
        </w:rPr>
        <w:t>para solventar los costos del litigio ante la Corte Interamericana y</w:t>
      </w:r>
      <w:r w:rsidR="00AC20D7">
        <w:rPr>
          <w:rFonts w:eastAsiaTheme="minorHAnsi" w:cs="Arial"/>
          <w:szCs w:val="20"/>
          <w:lang w:val="es-CR" w:eastAsia="en-US"/>
        </w:rPr>
        <w:t>,</w:t>
      </w:r>
      <w:r w:rsidRPr="00C75778">
        <w:rPr>
          <w:rFonts w:eastAsiaTheme="minorHAnsi" w:cs="Arial"/>
          <w:szCs w:val="20"/>
          <w:lang w:val="es-CR" w:eastAsia="en-US"/>
        </w:rPr>
        <w:t xml:space="preserve"> en este sentido, remitieron su declaración jurada</w:t>
      </w:r>
      <w:r w:rsidRPr="00C75778">
        <w:rPr>
          <w:rStyle w:val="FootnoteReference"/>
          <w:rFonts w:eastAsiaTheme="minorHAnsi" w:cs="Arial"/>
          <w:szCs w:val="20"/>
          <w:lang w:val="es-CR" w:eastAsia="en-US"/>
        </w:rPr>
        <w:footnoteReference w:id="5"/>
      </w:r>
      <w:r w:rsidRPr="00C75778">
        <w:rPr>
          <w:rFonts w:eastAsiaTheme="minorHAnsi" w:cs="Arial"/>
          <w:szCs w:val="20"/>
          <w:lang w:val="es-CR" w:eastAsia="en-US"/>
        </w:rPr>
        <w:t xml:space="preserve">. </w:t>
      </w:r>
      <w:r w:rsidR="00F834C6" w:rsidRPr="00C75778">
        <w:rPr>
          <w:szCs w:val="20"/>
          <w:lang w:val="es-CR"/>
        </w:rPr>
        <w:t xml:space="preserve">Asimismo, en dicho escrito </w:t>
      </w:r>
      <w:r w:rsidR="00847CE0" w:rsidRPr="00C75778">
        <w:rPr>
          <w:lang w:val="es-ES"/>
        </w:rPr>
        <w:t xml:space="preserve">solicitaron la aplicación del Fondo de Asistencia Legal </w:t>
      </w:r>
      <w:r w:rsidR="00EC791C" w:rsidRPr="00C75778">
        <w:rPr>
          <w:lang w:val="es-ES"/>
        </w:rPr>
        <w:t>para solventar o reintegrar lo siguiente</w:t>
      </w:r>
      <w:r w:rsidR="00E8698D" w:rsidRPr="00C75778">
        <w:rPr>
          <w:lang w:val="es-ES"/>
        </w:rPr>
        <w:t xml:space="preserve">: </w:t>
      </w:r>
      <w:r w:rsidR="00F834C6" w:rsidRPr="00C75778">
        <w:rPr>
          <w:lang w:val="es-ES"/>
        </w:rPr>
        <w:t>i)</w:t>
      </w:r>
      <w:r w:rsidR="00EC791C" w:rsidRPr="00C75778">
        <w:rPr>
          <w:lang w:val="es-ES"/>
        </w:rPr>
        <w:t xml:space="preserve"> los gastos relacionados con</w:t>
      </w:r>
      <w:r w:rsidR="00E8698D" w:rsidRPr="00C75778">
        <w:rPr>
          <w:lang w:val="es-ES"/>
        </w:rPr>
        <w:t xml:space="preserve"> la asistencia a la audiencia de la presunta víctima Gabriel </w:t>
      </w:r>
      <w:r w:rsidR="00E11166">
        <w:rPr>
          <w:lang w:val="es-ES"/>
        </w:rPr>
        <w:t>O</w:t>
      </w:r>
      <w:r w:rsidR="00E8698D" w:rsidRPr="00C75778">
        <w:rPr>
          <w:lang w:val="es-ES"/>
        </w:rPr>
        <w:t xml:space="preserve">scar Jenkins, del perito Mario Luis </w:t>
      </w:r>
      <w:proofErr w:type="spellStart"/>
      <w:r w:rsidR="00E8698D" w:rsidRPr="00C75778">
        <w:rPr>
          <w:lang w:val="es-ES"/>
        </w:rPr>
        <w:t>Coriolano</w:t>
      </w:r>
      <w:proofErr w:type="spellEnd"/>
      <w:r w:rsidR="00E8698D" w:rsidRPr="00C75778">
        <w:rPr>
          <w:lang w:val="es-ES"/>
        </w:rPr>
        <w:t xml:space="preserve">, y de la testigo Leticia </w:t>
      </w:r>
      <w:proofErr w:type="spellStart"/>
      <w:r w:rsidR="00E8698D" w:rsidRPr="00C75778">
        <w:rPr>
          <w:lang w:val="es-ES"/>
        </w:rPr>
        <w:t>Pironelli</w:t>
      </w:r>
      <w:proofErr w:type="spellEnd"/>
      <w:r w:rsidR="00E8698D" w:rsidRPr="00C75778">
        <w:rPr>
          <w:lang w:val="es-ES"/>
        </w:rPr>
        <w:t xml:space="preserve">, </w:t>
      </w:r>
      <w:r w:rsidR="00EC791C" w:rsidRPr="00C75778">
        <w:rPr>
          <w:lang w:val="es-ES"/>
        </w:rPr>
        <w:t>(</w:t>
      </w:r>
      <w:r w:rsidR="00E8698D" w:rsidRPr="00C75778">
        <w:rPr>
          <w:lang w:val="es-ES"/>
        </w:rPr>
        <w:t>viaje</w:t>
      </w:r>
      <w:r w:rsidR="00EC791C" w:rsidRPr="00C75778">
        <w:rPr>
          <w:lang w:val="es-ES"/>
        </w:rPr>
        <w:t>s</w:t>
      </w:r>
      <w:r w:rsidR="00E8698D" w:rsidRPr="00C75778">
        <w:rPr>
          <w:lang w:val="es-ES"/>
        </w:rPr>
        <w:t>, traslado</w:t>
      </w:r>
      <w:r w:rsidR="00EC791C" w:rsidRPr="00C75778">
        <w:rPr>
          <w:lang w:val="es-ES"/>
        </w:rPr>
        <w:t>s</w:t>
      </w:r>
      <w:r w:rsidR="00E8698D" w:rsidRPr="00C75778">
        <w:rPr>
          <w:lang w:val="es-ES"/>
        </w:rPr>
        <w:t>, hospedaje y viáticos</w:t>
      </w:r>
      <w:r w:rsidR="00EC791C" w:rsidRPr="00C75778">
        <w:rPr>
          <w:lang w:val="es-ES"/>
        </w:rPr>
        <w:t>)</w:t>
      </w:r>
      <w:r w:rsidR="00E8698D" w:rsidRPr="00C75778">
        <w:rPr>
          <w:lang w:val="es-ES"/>
        </w:rPr>
        <w:t xml:space="preserve">, o eventualmente, el pago que irrogue la recepción de sus declaraciones por la vía que la Corte considere apropiada; ii) </w:t>
      </w:r>
      <w:r w:rsidR="00EC791C" w:rsidRPr="00C75778">
        <w:rPr>
          <w:lang w:val="es-ES"/>
        </w:rPr>
        <w:t xml:space="preserve">los gastos relacionados con </w:t>
      </w:r>
      <w:r w:rsidR="00E8698D" w:rsidRPr="00C75778">
        <w:rPr>
          <w:lang w:val="es-ES"/>
        </w:rPr>
        <w:t xml:space="preserve">la asistencia a la audiencia de los dos defensores públicos interamericanos (viajes, traslados, hospedaje y viáticos); iii) </w:t>
      </w:r>
      <w:r w:rsidR="00EC791C" w:rsidRPr="00C75778">
        <w:rPr>
          <w:szCs w:val="20"/>
        </w:rPr>
        <w:t>los gastos de viaje (</w:t>
      </w:r>
      <w:r w:rsidR="00EC791C" w:rsidRPr="00C75778">
        <w:rPr>
          <w:rFonts w:cs="Arial"/>
          <w:szCs w:val="20"/>
        </w:rPr>
        <w:t>pasajes aéreos), traslados, hospedajes, alimentación y viáticos que requiera la realización de un viaje a la Ciudad de Buenos Aires, Argentina</w:t>
      </w:r>
      <w:r w:rsidR="001B6BCF" w:rsidRPr="00C75778">
        <w:rPr>
          <w:rFonts w:cs="Arial"/>
          <w:szCs w:val="20"/>
        </w:rPr>
        <w:t>,</w:t>
      </w:r>
      <w:r w:rsidR="00EC791C" w:rsidRPr="00C75778">
        <w:rPr>
          <w:rFonts w:cs="Arial"/>
          <w:szCs w:val="20"/>
        </w:rPr>
        <w:t xml:space="preserve"> de los dos defensores interamericanos, para reunirse con la presunta víctima, poder asesorarla de forma suficiente y establecer una estrategia técnica</w:t>
      </w:r>
      <w:r w:rsidR="001B6BCF" w:rsidRPr="00C75778">
        <w:rPr>
          <w:rFonts w:cs="Arial"/>
          <w:szCs w:val="20"/>
        </w:rPr>
        <w:t xml:space="preserve"> eficaz</w:t>
      </w:r>
      <w:r w:rsidR="00B75CE2" w:rsidRPr="00C75778">
        <w:rPr>
          <w:rFonts w:cs="Arial"/>
          <w:szCs w:val="20"/>
        </w:rPr>
        <w:t xml:space="preserve">; iv) los gastos incurridos en el envío vía </w:t>
      </w:r>
      <w:proofErr w:type="spellStart"/>
      <w:r w:rsidR="00B75CE2" w:rsidRPr="00C75778">
        <w:rPr>
          <w:rFonts w:cs="Arial"/>
          <w:i/>
          <w:szCs w:val="20"/>
        </w:rPr>
        <w:t>courier</w:t>
      </w:r>
      <w:proofErr w:type="spellEnd"/>
      <w:r w:rsidR="00B75CE2" w:rsidRPr="00C75778">
        <w:rPr>
          <w:rFonts w:cs="Arial"/>
          <w:szCs w:val="20"/>
        </w:rPr>
        <w:t xml:space="preserve"> del escrito de solicitudes y argumentos</w:t>
      </w:r>
      <w:r w:rsidR="00F87128">
        <w:rPr>
          <w:rFonts w:cs="Arial"/>
          <w:szCs w:val="20"/>
        </w:rPr>
        <w:t xml:space="preserve"> y sus anexos</w:t>
      </w:r>
      <w:r w:rsidR="00B75CE2" w:rsidRPr="00C75778">
        <w:rPr>
          <w:rFonts w:cs="Arial"/>
          <w:szCs w:val="20"/>
        </w:rPr>
        <w:t>, así como los gastos que implique el envío de los alegatos finales escritos por esa misma vía, y v) otros gastos futuros.</w:t>
      </w:r>
    </w:p>
    <w:p w:rsidR="006D6C07" w:rsidRPr="00C75778" w:rsidRDefault="006D6C07" w:rsidP="00165930">
      <w:pPr>
        <w:pStyle w:val="ListParagraph"/>
        <w:spacing w:after="0"/>
        <w:ind w:left="0"/>
        <w:rPr>
          <w:szCs w:val="20"/>
        </w:rPr>
      </w:pPr>
    </w:p>
    <w:p w:rsidR="0070448C" w:rsidRPr="00C75778" w:rsidRDefault="006D6C07" w:rsidP="005E1311">
      <w:pPr>
        <w:pStyle w:val="ListParagraph"/>
        <w:numPr>
          <w:ilvl w:val="0"/>
          <w:numId w:val="2"/>
        </w:numPr>
        <w:tabs>
          <w:tab w:val="left" w:pos="567"/>
        </w:tabs>
        <w:autoSpaceDE w:val="0"/>
        <w:autoSpaceDN w:val="0"/>
        <w:adjustRightInd w:val="0"/>
        <w:spacing w:after="0"/>
        <w:contextualSpacing w:val="0"/>
        <w:rPr>
          <w:szCs w:val="20"/>
        </w:rPr>
      </w:pPr>
      <w:r w:rsidRPr="00C75778">
        <w:rPr>
          <w:szCs w:val="20"/>
          <w:lang w:val="es-ES"/>
        </w:rPr>
        <w:t>El Presidente recuerda que, en casos en que la representación sea asumida gratuitamente por un defensor interamericano</w:t>
      </w:r>
      <w:r w:rsidR="00AC20D7">
        <w:rPr>
          <w:szCs w:val="20"/>
          <w:lang w:val="es-ES"/>
        </w:rPr>
        <w:t>,</w:t>
      </w:r>
      <w:r w:rsidRPr="00C75778">
        <w:rPr>
          <w:szCs w:val="20"/>
          <w:lang w:val="es-ES"/>
        </w:rPr>
        <w:t xml:space="preserve"> en los términos del artículo 37 del </w:t>
      </w:r>
      <w:r w:rsidRPr="00C75778">
        <w:rPr>
          <w:rFonts w:cs="Century Gothic"/>
          <w:szCs w:val="20"/>
          <w:lang w:val="es-ES"/>
        </w:rPr>
        <w:t>Reglamento</w:t>
      </w:r>
      <w:r w:rsidRPr="00C75778">
        <w:rPr>
          <w:szCs w:val="20"/>
          <w:lang w:val="es-ES"/>
        </w:rPr>
        <w:t xml:space="preserve"> de la Corte Interamericana</w:t>
      </w:r>
      <w:r w:rsidRPr="00C75778">
        <w:rPr>
          <w:rStyle w:val="FootnoteReference"/>
          <w:szCs w:val="20"/>
          <w:lang w:val="es-ES"/>
        </w:rPr>
        <w:footnoteReference w:id="6"/>
      </w:r>
      <w:r w:rsidRPr="00C75778">
        <w:rPr>
          <w:szCs w:val="20"/>
          <w:lang w:val="es-ES"/>
        </w:rPr>
        <w:t>, se brindará ayuda a través del Fondo de Asistencia para sufragar, en la medida de lo posible, los gastos razonables y necesarios que origine tal representación</w:t>
      </w:r>
      <w:r w:rsidRPr="00C75778">
        <w:rPr>
          <w:rStyle w:val="FootnoteReference"/>
          <w:szCs w:val="20"/>
          <w:lang w:val="es-ES"/>
        </w:rPr>
        <w:footnoteReference w:id="7"/>
      </w:r>
      <w:r w:rsidRPr="00C75778">
        <w:rPr>
          <w:szCs w:val="20"/>
          <w:lang w:val="es-ES"/>
        </w:rPr>
        <w:t>. Es decir, la aplicación del Fondo en estas situaciones se rige por lo establecido en el artículo 4 del Acuerdo de Entendimiento entre la Corte Interamericana y la Asociación Interamericana de Defensoría</w:t>
      </w:r>
      <w:r w:rsidR="00D77E68">
        <w:rPr>
          <w:szCs w:val="20"/>
          <w:lang w:val="es-ES"/>
        </w:rPr>
        <w:t>s</w:t>
      </w:r>
      <w:r w:rsidRPr="00C75778">
        <w:rPr>
          <w:szCs w:val="20"/>
          <w:lang w:val="es-ES"/>
        </w:rPr>
        <w:t xml:space="preserve"> Públicas, de modo que el defensor interamericano designado “deberá presentar ante la Corte todos los comprobantes necesarios que acrediten los gastos en que se ha incurrido con motivo de la tramitación del caso ante ésta”. Lo anterior fue expresamente señalado al notificar el sometimiento del presente caso. </w:t>
      </w:r>
    </w:p>
    <w:p w:rsidR="006D6C07" w:rsidRPr="00C75778" w:rsidRDefault="006D6C07" w:rsidP="00165930">
      <w:pPr>
        <w:pStyle w:val="ListParagraph"/>
        <w:spacing w:after="0"/>
        <w:rPr>
          <w:rFonts w:cs="Verdana"/>
          <w:spacing w:val="-2"/>
          <w:szCs w:val="20"/>
        </w:rPr>
      </w:pPr>
    </w:p>
    <w:p w:rsidR="006D6C07" w:rsidRPr="00C75778" w:rsidRDefault="006D6C07" w:rsidP="005E1311">
      <w:pPr>
        <w:pStyle w:val="ListParagraph"/>
        <w:numPr>
          <w:ilvl w:val="0"/>
          <w:numId w:val="2"/>
        </w:numPr>
        <w:tabs>
          <w:tab w:val="left" w:pos="567"/>
        </w:tabs>
        <w:autoSpaceDE w:val="0"/>
        <w:autoSpaceDN w:val="0"/>
        <w:adjustRightInd w:val="0"/>
        <w:spacing w:after="0"/>
        <w:contextualSpacing w:val="0"/>
        <w:rPr>
          <w:szCs w:val="20"/>
        </w:rPr>
      </w:pPr>
      <w:r w:rsidRPr="00C75778">
        <w:rPr>
          <w:szCs w:val="20"/>
          <w:lang w:val="es-ES"/>
        </w:rPr>
        <w:t>De acuerdo a lo expresado, al haber determinado la apertura del procedimiento oral y resuelto sobre la pr</w:t>
      </w:r>
      <w:r w:rsidR="0070448C" w:rsidRPr="00C75778">
        <w:rPr>
          <w:szCs w:val="20"/>
          <w:lang w:val="es-ES"/>
        </w:rPr>
        <w:t>ocedencia de las declaraciones</w:t>
      </w:r>
      <w:r w:rsidRPr="00C75778">
        <w:rPr>
          <w:szCs w:val="20"/>
          <w:lang w:val="es-ES"/>
        </w:rPr>
        <w:t xml:space="preserve">, el Presidente dispone que la asistencia económica será asignada para cubrir los gastos de: i) viaje, traslados y estadía necesarios para que los representantes asistan a la audiencia pública; ii) viaje, traslados y estadía necesarios para que la presunta víctima </w:t>
      </w:r>
      <w:r w:rsidR="000E70BD" w:rsidRPr="00C75778">
        <w:rPr>
          <w:szCs w:val="20"/>
          <w:lang w:val="es-CR"/>
        </w:rPr>
        <w:t>Gabriel Oscar Jenkins y</w:t>
      </w:r>
      <w:r w:rsidRPr="00C75778">
        <w:rPr>
          <w:szCs w:val="20"/>
          <w:lang w:val="es-CR"/>
        </w:rPr>
        <w:t xml:space="preserve"> el perito </w:t>
      </w:r>
      <w:r w:rsidRPr="00C75778">
        <w:rPr>
          <w:rFonts w:eastAsiaTheme="minorHAnsi" w:cs="Arial"/>
          <w:szCs w:val="20"/>
          <w:lang w:val="es-CR" w:eastAsia="en-US"/>
        </w:rPr>
        <w:t xml:space="preserve">Mario Luis </w:t>
      </w:r>
      <w:proofErr w:type="spellStart"/>
      <w:r w:rsidRPr="00C75778">
        <w:rPr>
          <w:rFonts w:eastAsiaTheme="minorHAnsi" w:cs="Arial"/>
          <w:szCs w:val="20"/>
          <w:lang w:val="es-CR" w:eastAsia="en-US"/>
        </w:rPr>
        <w:t>Coriolano</w:t>
      </w:r>
      <w:proofErr w:type="spellEnd"/>
      <w:r w:rsidR="000E70BD" w:rsidRPr="00C75778">
        <w:rPr>
          <w:rFonts w:eastAsiaTheme="minorHAnsi" w:cs="Arial"/>
          <w:szCs w:val="20"/>
          <w:lang w:val="es-CR" w:eastAsia="en-US"/>
        </w:rPr>
        <w:t xml:space="preserve"> </w:t>
      </w:r>
      <w:r w:rsidRPr="00C75778">
        <w:rPr>
          <w:szCs w:val="20"/>
          <w:lang w:val="es-ES"/>
        </w:rPr>
        <w:t xml:space="preserve">comparezcan a dicha audiencia a rendir su declaración; y iii) </w:t>
      </w:r>
      <w:r w:rsidR="000E70BD" w:rsidRPr="00C75778">
        <w:rPr>
          <w:szCs w:val="20"/>
          <w:lang w:val="es-ES"/>
        </w:rPr>
        <w:t xml:space="preserve">viaje, traslados y estadía necesarios para la reunión que se sostendrá en la Ciudad de Buenos Aires </w:t>
      </w:r>
      <w:r w:rsidR="00A2543A" w:rsidRPr="00C75778">
        <w:rPr>
          <w:szCs w:val="20"/>
          <w:lang w:val="es-ES"/>
        </w:rPr>
        <w:t>entre los defensores interamericanos y</w:t>
      </w:r>
      <w:r w:rsidR="000E70BD" w:rsidRPr="00C75778">
        <w:rPr>
          <w:szCs w:val="20"/>
          <w:lang w:val="es-ES"/>
        </w:rPr>
        <w:t xml:space="preserve"> la presunta víctima, antes de </w:t>
      </w:r>
      <w:r w:rsidR="000E70BD" w:rsidRPr="00C75778">
        <w:rPr>
          <w:szCs w:val="20"/>
          <w:lang w:val="es-ES"/>
        </w:rPr>
        <w:lastRenderedPageBreak/>
        <w:t xml:space="preserve">la celebración de la audiencia; iv) </w:t>
      </w:r>
      <w:r w:rsidR="000E70BD" w:rsidRPr="00C75778">
        <w:rPr>
          <w:lang w:val="es-ES"/>
        </w:rPr>
        <w:t xml:space="preserve">los costos que irrogue la declaración por </w:t>
      </w:r>
      <w:r w:rsidR="000E70BD" w:rsidRPr="005E1311">
        <w:rPr>
          <w:i/>
          <w:lang w:val="es-ES"/>
        </w:rPr>
        <w:t>affidávit</w:t>
      </w:r>
      <w:r w:rsidR="000E70BD" w:rsidRPr="00C75778">
        <w:rPr>
          <w:lang w:val="es-ES"/>
        </w:rPr>
        <w:t xml:space="preserve"> de las demás personas propuestas por los representantes, según se especifica en la parte resolutiva de esta decisión</w:t>
      </w:r>
      <w:r w:rsidR="00886DD3" w:rsidRPr="00C75778">
        <w:rPr>
          <w:rStyle w:val="FootnoteReference"/>
          <w:lang w:val="es-ES"/>
        </w:rPr>
        <w:footnoteReference w:id="8"/>
      </w:r>
      <w:r w:rsidR="000E70BD" w:rsidRPr="00C75778">
        <w:rPr>
          <w:lang w:val="es-ES"/>
        </w:rPr>
        <w:t>, y v)</w:t>
      </w:r>
      <w:r w:rsidR="000E70BD" w:rsidRPr="00C75778">
        <w:rPr>
          <w:szCs w:val="20"/>
        </w:rPr>
        <w:t xml:space="preserve"> </w:t>
      </w:r>
      <w:r w:rsidRPr="00C75778">
        <w:rPr>
          <w:szCs w:val="20"/>
          <w:lang w:val="es-ES"/>
        </w:rPr>
        <w:t>los demás gastos razonables y necesarios en que hayan incurrido o puedan incurrir los representantes, para lo cual deberán remitir al Tribunal tanto la justificación de tales gastos como sus comprobantes</w:t>
      </w:r>
      <w:r w:rsidR="000E70BD" w:rsidRPr="00C75778">
        <w:rPr>
          <w:szCs w:val="20"/>
          <w:lang w:val="es-ES"/>
        </w:rPr>
        <w:t xml:space="preserve"> originales</w:t>
      </w:r>
      <w:r w:rsidRPr="00C75778">
        <w:rPr>
          <w:szCs w:val="20"/>
          <w:lang w:val="es-ES"/>
        </w:rPr>
        <w:t>, a más tardar con la presentación de los alegatos finales escritos, siendo esa la última oportunidad procesal para hacerlo, salvo que esta Presidencia o la Corte otorguen alguna otra oportunidad procesal.</w:t>
      </w:r>
    </w:p>
    <w:p w:rsidR="00886DD3" w:rsidRPr="00C75778" w:rsidRDefault="00886DD3" w:rsidP="00165930">
      <w:pPr>
        <w:spacing w:after="0"/>
        <w:rPr>
          <w:szCs w:val="20"/>
          <w:lang w:val="es-CR"/>
        </w:rPr>
      </w:pPr>
    </w:p>
    <w:p w:rsidR="00886DD3" w:rsidRPr="00C75778" w:rsidRDefault="00886DD3" w:rsidP="005E1311">
      <w:pPr>
        <w:pStyle w:val="ListParagraph"/>
        <w:numPr>
          <w:ilvl w:val="0"/>
          <w:numId w:val="2"/>
        </w:numPr>
        <w:tabs>
          <w:tab w:val="left" w:pos="567"/>
        </w:tabs>
        <w:autoSpaceDE w:val="0"/>
        <w:autoSpaceDN w:val="0"/>
        <w:adjustRightInd w:val="0"/>
        <w:spacing w:after="0"/>
        <w:contextualSpacing w:val="0"/>
        <w:rPr>
          <w:lang w:val="es-ES"/>
        </w:rPr>
      </w:pPr>
      <w:r w:rsidRPr="00C75778">
        <w:rPr>
          <w:lang w:val="es-ES"/>
        </w:rPr>
        <w:t xml:space="preserve">Los defensores deberán remitir a la Corte una cotización en dólares de los Estados Unidos de América del costo de la formalización de las declaraciones ante fedatario público y de su envío, en el plazo establecido en la parte resolutiva de la presente decisión. </w:t>
      </w:r>
    </w:p>
    <w:p w:rsidR="00886DD3" w:rsidRPr="00C75778" w:rsidRDefault="00886DD3" w:rsidP="00165930">
      <w:pPr>
        <w:pStyle w:val="ListParagraph"/>
        <w:tabs>
          <w:tab w:val="left" w:pos="567"/>
          <w:tab w:val="left" w:pos="720"/>
          <w:tab w:val="left" w:pos="810"/>
        </w:tabs>
        <w:spacing w:after="0"/>
        <w:ind w:left="0"/>
        <w:rPr>
          <w:lang w:val="es-ES"/>
        </w:rPr>
      </w:pPr>
    </w:p>
    <w:p w:rsidR="00886DD3" w:rsidRPr="00C75778" w:rsidRDefault="00886DD3" w:rsidP="005E1311">
      <w:pPr>
        <w:pStyle w:val="ListParagraph"/>
        <w:numPr>
          <w:ilvl w:val="0"/>
          <w:numId w:val="2"/>
        </w:numPr>
        <w:tabs>
          <w:tab w:val="left" w:pos="567"/>
        </w:tabs>
        <w:autoSpaceDE w:val="0"/>
        <w:autoSpaceDN w:val="0"/>
        <w:adjustRightInd w:val="0"/>
        <w:spacing w:after="0"/>
        <w:contextualSpacing w:val="0"/>
        <w:rPr>
          <w:lang w:val="es-ES"/>
        </w:rPr>
      </w:pPr>
      <w:r w:rsidRPr="00C75778">
        <w:rPr>
          <w:lang w:val="es-ES"/>
        </w:rPr>
        <w:t xml:space="preserve">En cuanto a la comparecencia a la audiencia pública de los defensores interamericanos, de la presunta víctima y del perito, el Tribunal realizará las gestiones pertinentes y necesarias para cubrir los costos de traslado, alojamiento y manutención de dichos comparecientes con recursos provenientes del Fondo de Asistencia. </w:t>
      </w:r>
    </w:p>
    <w:p w:rsidR="00886DD3" w:rsidRPr="00C75778" w:rsidRDefault="00886DD3" w:rsidP="00165930">
      <w:pPr>
        <w:pStyle w:val="ListParagraph"/>
        <w:tabs>
          <w:tab w:val="left" w:pos="3180"/>
        </w:tabs>
        <w:spacing w:after="0"/>
        <w:ind w:left="0"/>
        <w:rPr>
          <w:lang w:val="es-ES"/>
        </w:rPr>
      </w:pPr>
      <w:r w:rsidRPr="00C75778">
        <w:rPr>
          <w:lang w:val="es-ES"/>
        </w:rPr>
        <w:tab/>
      </w:r>
    </w:p>
    <w:p w:rsidR="00886DD3" w:rsidRPr="00C75778" w:rsidRDefault="00886DD3" w:rsidP="00165930">
      <w:pPr>
        <w:pStyle w:val="ListParagraph"/>
        <w:widowControl w:val="0"/>
        <w:numPr>
          <w:ilvl w:val="0"/>
          <w:numId w:val="2"/>
        </w:numPr>
        <w:tabs>
          <w:tab w:val="left" w:pos="567"/>
          <w:tab w:val="left" w:pos="810"/>
        </w:tabs>
        <w:autoSpaceDE w:val="0"/>
        <w:autoSpaceDN w:val="0"/>
        <w:adjustRightInd w:val="0"/>
        <w:spacing w:after="0"/>
        <w:ind w:right="22"/>
        <w:contextualSpacing w:val="0"/>
        <w:rPr>
          <w:lang w:val="es-ES"/>
        </w:rPr>
      </w:pPr>
      <w:r w:rsidRPr="00C75778">
        <w:rPr>
          <w:lang w:val="es-ES"/>
        </w:rPr>
        <w:t xml:space="preserve">Finalmente, el Presidente recuerda que, según el artículo 5 del Reglamento del Fondo, se informará </w:t>
      </w:r>
      <w:r w:rsidR="009D6D8A" w:rsidRPr="00C75778">
        <w:rPr>
          <w:lang w:val="es-ES"/>
        </w:rPr>
        <w:t xml:space="preserve">oportunamente </w:t>
      </w:r>
      <w:r w:rsidRPr="00C75778">
        <w:rPr>
          <w:lang w:val="es-ES"/>
        </w:rPr>
        <w:t xml:space="preserve">al Estado acerca de las erogaciones realizadas en aplicación del Fondo de Asistencia Legal, para que presente sus observaciones, si así lo desea, dentro del plazo que se establezca al efecto. </w:t>
      </w:r>
    </w:p>
    <w:p w:rsidR="003D0651" w:rsidRPr="00C75778" w:rsidRDefault="003D0651" w:rsidP="00165930">
      <w:pPr>
        <w:pStyle w:val="ListParagraph"/>
        <w:spacing w:after="0"/>
        <w:ind w:left="0"/>
        <w:rPr>
          <w:szCs w:val="20"/>
          <w:lang w:val="es-CR"/>
        </w:rPr>
      </w:pPr>
    </w:p>
    <w:p w:rsidR="003D0651" w:rsidRPr="00C75778" w:rsidRDefault="003D0651" w:rsidP="00165930">
      <w:pPr>
        <w:tabs>
          <w:tab w:val="left" w:pos="567"/>
        </w:tabs>
        <w:spacing w:after="0"/>
        <w:rPr>
          <w:rFonts w:cs="Verdana"/>
          <w:b/>
          <w:bCs/>
          <w:szCs w:val="20"/>
        </w:rPr>
      </w:pPr>
      <w:r w:rsidRPr="00C75778">
        <w:rPr>
          <w:rFonts w:cs="Verdana"/>
          <w:b/>
          <w:bCs/>
          <w:szCs w:val="20"/>
        </w:rPr>
        <w:t>POR TANTO:</w:t>
      </w:r>
    </w:p>
    <w:p w:rsidR="00B10675" w:rsidRPr="00C75778" w:rsidRDefault="00B10675" w:rsidP="00165930">
      <w:pPr>
        <w:spacing w:after="0"/>
        <w:rPr>
          <w:rFonts w:cs="Verdana"/>
          <w:b/>
          <w:bCs/>
          <w:szCs w:val="20"/>
          <w:lang w:val="es-CR"/>
        </w:rPr>
      </w:pPr>
    </w:p>
    <w:p w:rsidR="00B10675" w:rsidRPr="00C75778" w:rsidRDefault="00B10675" w:rsidP="00165930">
      <w:pPr>
        <w:spacing w:after="0"/>
        <w:rPr>
          <w:rFonts w:cs="Verdana"/>
          <w:b/>
          <w:bCs/>
          <w:szCs w:val="20"/>
          <w:lang w:val="es-CR"/>
        </w:rPr>
      </w:pPr>
      <w:r w:rsidRPr="00C75778">
        <w:rPr>
          <w:rFonts w:cs="Verdana"/>
          <w:b/>
          <w:bCs/>
          <w:szCs w:val="20"/>
          <w:lang w:val="es-CR"/>
        </w:rPr>
        <w:t xml:space="preserve">EL PRESIDENTE DE LA CORTE INTERAMERICANA DE DERECHOS HUMANOS, </w:t>
      </w:r>
    </w:p>
    <w:p w:rsidR="00FD4D84" w:rsidRPr="00C75778" w:rsidRDefault="00FD4D84" w:rsidP="00165930">
      <w:pPr>
        <w:spacing w:after="0"/>
        <w:rPr>
          <w:rFonts w:cs="Verdana"/>
          <w:b/>
          <w:bCs/>
          <w:szCs w:val="20"/>
          <w:lang w:val="es-CR"/>
        </w:rPr>
      </w:pPr>
    </w:p>
    <w:p w:rsidR="00B10675" w:rsidRPr="00C75778" w:rsidRDefault="00B10675" w:rsidP="00165930">
      <w:pPr>
        <w:spacing w:after="0"/>
        <w:rPr>
          <w:rFonts w:cs="Verdana"/>
          <w:szCs w:val="20"/>
          <w:lang w:val="es-CR"/>
        </w:rPr>
      </w:pPr>
      <w:r w:rsidRPr="00C75778">
        <w:rPr>
          <w:rFonts w:cs="Verdana"/>
          <w:szCs w:val="20"/>
          <w:lang w:val="es-CR"/>
        </w:rPr>
        <w:t xml:space="preserve">de conformidad con los artículos 24.1 y 25.2 del Estatuto de la Corte y con los artículos 4, 15.1, 26.1, 31.2, 35.1, 40.2, 41.1, 45, 46 a 48, 50 a 56 y 60 del Reglamento, </w:t>
      </w:r>
    </w:p>
    <w:p w:rsidR="00472BDF" w:rsidRPr="00C75778" w:rsidRDefault="00472BDF" w:rsidP="00165930">
      <w:pPr>
        <w:spacing w:after="0"/>
        <w:rPr>
          <w:rFonts w:cs="Verdana"/>
          <w:szCs w:val="20"/>
          <w:lang w:val="es-CR"/>
        </w:rPr>
      </w:pPr>
    </w:p>
    <w:p w:rsidR="00B10675" w:rsidRPr="00C75778" w:rsidRDefault="00B10675" w:rsidP="00165930">
      <w:pPr>
        <w:spacing w:after="0"/>
        <w:rPr>
          <w:rFonts w:cs="Verdana"/>
          <w:b/>
          <w:bCs/>
          <w:szCs w:val="20"/>
          <w:lang w:val="es-CR"/>
        </w:rPr>
      </w:pPr>
      <w:r w:rsidRPr="00C75778">
        <w:rPr>
          <w:rFonts w:cs="Verdana"/>
          <w:b/>
          <w:bCs/>
          <w:szCs w:val="20"/>
          <w:lang w:val="es-CR"/>
        </w:rPr>
        <w:t>RESUELVE:</w:t>
      </w:r>
    </w:p>
    <w:p w:rsidR="00472BDF" w:rsidRPr="00C75778" w:rsidRDefault="00472BDF" w:rsidP="00165930">
      <w:pPr>
        <w:spacing w:after="0"/>
        <w:rPr>
          <w:rFonts w:cs="Verdana"/>
          <w:b/>
          <w:bCs/>
          <w:szCs w:val="20"/>
          <w:lang w:val="es-CR"/>
        </w:rPr>
      </w:pPr>
    </w:p>
    <w:p w:rsidR="00FD4D84" w:rsidRPr="00C75778" w:rsidRDefault="00B10675"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szCs w:val="20"/>
          <w:lang w:val="es-CR"/>
        </w:rPr>
      </w:pPr>
      <w:bookmarkStart w:id="8" w:name="_Ref230577466"/>
      <w:r w:rsidRPr="00C75778">
        <w:rPr>
          <w:szCs w:val="20"/>
          <w:lang w:val="es-CR"/>
        </w:rPr>
        <w:t xml:space="preserve">Convocar a la República de </w:t>
      </w:r>
      <w:r w:rsidR="00A95362" w:rsidRPr="00C75778">
        <w:rPr>
          <w:szCs w:val="20"/>
          <w:lang w:val="es-CR"/>
        </w:rPr>
        <w:t>Argentina</w:t>
      </w:r>
      <w:r w:rsidR="00FD4D84" w:rsidRPr="00C75778">
        <w:rPr>
          <w:szCs w:val="20"/>
          <w:lang w:val="es-CR"/>
        </w:rPr>
        <w:t xml:space="preserve">, a los representantes </w:t>
      </w:r>
      <w:r w:rsidRPr="00C75778">
        <w:rPr>
          <w:szCs w:val="20"/>
          <w:lang w:val="es-CR"/>
        </w:rPr>
        <w:t xml:space="preserve">y a la Comisión Interamericana de Derechos Humanos a una audiencia pública </w:t>
      </w:r>
      <w:r w:rsidR="00FD4D84" w:rsidRPr="00C75778">
        <w:rPr>
          <w:szCs w:val="20"/>
        </w:rPr>
        <w:t>que se celebrará el día 1 de febrero de 2019, a partir de las 09:00 horas, durante el 129</w:t>
      </w:r>
      <w:r w:rsidR="00FD4D84" w:rsidRPr="00C75778">
        <w:rPr>
          <w:rFonts w:cs="Verdana"/>
          <w:szCs w:val="20"/>
          <w:lang w:val="es-ES"/>
        </w:rPr>
        <w:t xml:space="preserve">° </w:t>
      </w:r>
      <w:r w:rsidR="006D6C07" w:rsidRPr="00C75778">
        <w:rPr>
          <w:szCs w:val="20"/>
        </w:rPr>
        <w:t>Período Ordinario de Sesiones, que se llevará a cabo en la sede de la Corte</w:t>
      </w:r>
      <w:r w:rsidR="009D6D8A">
        <w:rPr>
          <w:szCs w:val="20"/>
        </w:rPr>
        <w:t>,</w:t>
      </w:r>
      <w:r w:rsidR="006D6C07" w:rsidRPr="00C75778">
        <w:rPr>
          <w:szCs w:val="20"/>
        </w:rPr>
        <w:t xml:space="preserve"> en </w:t>
      </w:r>
      <w:r w:rsidR="009D6D8A">
        <w:rPr>
          <w:szCs w:val="20"/>
        </w:rPr>
        <w:t xml:space="preserve">la ciudad de </w:t>
      </w:r>
      <w:r w:rsidR="006D6C07" w:rsidRPr="00C75778">
        <w:rPr>
          <w:szCs w:val="20"/>
        </w:rPr>
        <w:t xml:space="preserve">San José, Costa Rica </w:t>
      </w:r>
      <w:bookmarkEnd w:id="8"/>
      <w:r w:rsidR="00FD4D84" w:rsidRPr="00C75778">
        <w:rPr>
          <w:rFonts w:eastAsia="MS Mincho"/>
          <w:szCs w:val="20"/>
          <w:lang w:val="es-ES"/>
        </w:rPr>
        <w:t xml:space="preserve">para </w:t>
      </w:r>
      <w:r w:rsidR="00FD4D84" w:rsidRPr="00C75778">
        <w:rPr>
          <w:rFonts w:cs="Verdana"/>
          <w:color w:val="000000" w:themeColor="text1"/>
          <w:szCs w:val="20"/>
          <w:lang w:val="es-ES"/>
        </w:rPr>
        <w:t xml:space="preserve">recibir las declaraciones de las personas que a continuación se mencionan y para recibir los alegatos finales orales y observaciones finales orales, respectivamente, </w:t>
      </w:r>
      <w:r w:rsidR="00FD4D84" w:rsidRPr="00C75778">
        <w:rPr>
          <w:rFonts w:eastAsia="MS Mincho"/>
          <w:szCs w:val="20"/>
          <w:lang w:val="es-ES"/>
        </w:rPr>
        <w:t>sobre las excepciones preliminares y eventuales fondo, reparaciones y costas:</w:t>
      </w:r>
    </w:p>
    <w:p w:rsidR="00472BDF" w:rsidRPr="00C75778" w:rsidRDefault="00472BDF" w:rsidP="00165930">
      <w:pPr>
        <w:pStyle w:val="ListParagraph"/>
        <w:widowControl w:val="0"/>
        <w:tabs>
          <w:tab w:val="left" w:pos="708"/>
        </w:tabs>
        <w:autoSpaceDE w:val="0"/>
        <w:autoSpaceDN w:val="0"/>
        <w:adjustRightInd w:val="0"/>
        <w:spacing w:after="0"/>
        <w:ind w:left="0"/>
        <w:contextualSpacing w:val="0"/>
        <w:rPr>
          <w:szCs w:val="20"/>
          <w:lang w:val="es-CR"/>
        </w:rPr>
      </w:pPr>
    </w:p>
    <w:p w:rsidR="00B10675" w:rsidRPr="00C75778" w:rsidRDefault="00B10675" w:rsidP="00165930">
      <w:pPr>
        <w:pStyle w:val="ListParagraph"/>
        <w:numPr>
          <w:ilvl w:val="0"/>
          <w:numId w:val="7"/>
        </w:numPr>
        <w:tabs>
          <w:tab w:val="left" w:pos="708"/>
        </w:tabs>
        <w:autoSpaceDN w:val="0"/>
        <w:spacing w:after="0"/>
        <w:rPr>
          <w:bCs/>
          <w:i/>
          <w:iCs/>
          <w:szCs w:val="20"/>
          <w:lang w:val="es-CR"/>
        </w:rPr>
      </w:pPr>
      <w:r w:rsidRPr="00C75778">
        <w:rPr>
          <w:bCs/>
          <w:i/>
          <w:iCs/>
          <w:szCs w:val="20"/>
          <w:lang w:val="es-CR"/>
        </w:rPr>
        <w:t>Pres</w:t>
      </w:r>
      <w:r w:rsidR="00176627" w:rsidRPr="00C75778">
        <w:rPr>
          <w:bCs/>
          <w:i/>
          <w:iCs/>
          <w:szCs w:val="20"/>
          <w:lang w:val="es-CR"/>
        </w:rPr>
        <w:t>unta víctima (p</w:t>
      </w:r>
      <w:r w:rsidRPr="00C75778">
        <w:rPr>
          <w:bCs/>
          <w:i/>
          <w:iCs/>
          <w:szCs w:val="20"/>
          <w:lang w:val="es-CR"/>
        </w:rPr>
        <w:t>ropuesta por los representantes)</w:t>
      </w:r>
    </w:p>
    <w:p w:rsidR="00176627" w:rsidRPr="00C75778" w:rsidRDefault="00176627" w:rsidP="00165930">
      <w:pPr>
        <w:tabs>
          <w:tab w:val="left" w:pos="567"/>
        </w:tabs>
        <w:spacing w:after="0"/>
        <w:rPr>
          <w:rFonts w:cs="Verdana"/>
          <w:i/>
          <w:iCs/>
          <w:szCs w:val="20"/>
          <w:lang w:val="es-ES"/>
        </w:rPr>
      </w:pPr>
    </w:p>
    <w:p w:rsidR="00176627" w:rsidRPr="00C75778" w:rsidRDefault="00176627" w:rsidP="00165930">
      <w:pPr>
        <w:widowControl w:val="0"/>
        <w:numPr>
          <w:ilvl w:val="0"/>
          <w:numId w:val="28"/>
        </w:numPr>
        <w:tabs>
          <w:tab w:val="left" w:pos="567"/>
          <w:tab w:val="left" w:pos="1134"/>
        </w:tabs>
        <w:autoSpaceDE w:val="0"/>
        <w:autoSpaceDN w:val="0"/>
        <w:adjustRightInd w:val="0"/>
        <w:spacing w:after="0"/>
        <w:ind w:left="709" w:right="22" w:firstLine="0"/>
        <w:rPr>
          <w:rFonts w:cs="Verdana"/>
          <w:szCs w:val="20"/>
          <w:lang w:val="es-ES"/>
        </w:rPr>
      </w:pPr>
      <w:r w:rsidRPr="00C75778">
        <w:rPr>
          <w:i/>
          <w:szCs w:val="20"/>
          <w:lang w:val="es-CR"/>
        </w:rPr>
        <w:t>Gabriel Oscar Jenkins</w:t>
      </w:r>
      <w:r w:rsidRPr="00C75778">
        <w:rPr>
          <w:szCs w:val="20"/>
          <w:lang w:val="es-CR"/>
        </w:rPr>
        <w:t xml:space="preserve">, quien declarará sobre: i) </w:t>
      </w:r>
      <w:r w:rsidRPr="00C75778">
        <w:rPr>
          <w:rFonts w:eastAsiaTheme="minorHAnsi" w:cs="CenturyGothic"/>
          <w:szCs w:val="20"/>
          <w:lang w:val="es-CR" w:eastAsia="en-US"/>
        </w:rPr>
        <w:t xml:space="preserve">las circunstancias de modo, tiempo y lugar relacionadas con los hechos ocurridos en el presente caso; ii) el impacto que habrían tenido en su vida personal, profesional y de relación, así como el daño que el presente caso le habría ocasionado, y iii) las reparaciones </w:t>
      </w:r>
      <w:r w:rsidRPr="00C75778">
        <w:rPr>
          <w:rFonts w:eastAsiaTheme="minorHAnsi" w:cs="CenturyGothic"/>
          <w:szCs w:val="20"/>
          <w:lang w:val="es-CR" w:eastAsia="en-US"/>
        </w:rPr>
        <w:lastRenderedPageBreak/>
        <w:t xml:space="preserve">invocadas. </w:t>
      </w:r>
    </w:p>
    <w:p w:rsidR="00916741" w:rsidRPr="00C75778" w:rsidRDefault="00916741" w:rsidP="00165930">
      <w:pPr>
        <w:autoSpaceDE w:val="0"/>
        <w:autoSpaceDN w:val="0"/>
        <w:adjustRightInd w:val="0"/>
        <w:spacing w:after="0"/>
        <w:rPr>
          <w:szCs w:val="20"/>
          <w:lang w:val="es-CR"/>
        </w:rPr>
      </w:pPr>
    </w:p>
    <w:p w:rsidR="006D6C07" w:rsidRPr="00C75778" w:rsidRDefault="000B7A26" w:rsidP="00165930">
      <w:pPr>
        <w:pStyle w:val="ListParagraph"/>
        <w:numPr>
          <w:ilvl w:val="0"/>
          <w:numId w:val="7"/>
        </w:numPr>
        <w:tabs>
          <w:tab w:val="left" w:pos="708"/>
        </w:tabs>
        <w:autoSpaceDN w:val="0"/>
        <w:spacing w:after="0"/>
        <w:rPr>
          <w:rFonts w:cs="Verdana"/>
          <w:bCs/>
          <w:i/>
          <w:iCs/>
          <w:szCs w:val="20"/>
          <w:lang w:val="es-CR"/>
        </w:rPr>
      </w:pPr>
      <w:r w:rsidRPr="00C75778">
        <w:rPr>
          <w:bCs/>
          <w:i/>
          <w:iCs/>
          <w:szCs w:val="20"/>
          <w:lang w:val="es-CR"/>
        </w:rPr>
        <w:t>Perito (p</w:t>
      </w:r>
      <w:r w:rsidR="006D6C07" w:rsidRPr="00C75778">
        <w:rPr>
          <w:bCs/>
          <w:i/>
          <w:iCs/>
          <w:szCs w:val="20"/>
          <w:lang w:val="es-CR"/>
        </w:rPr>
        <w:t>ropuesto por los representantes)</w:t>
      </w:r>
    </w:p>
    <w:p w:rsidR="000B7A26" w:rsidRPr="00C75778" w:rsidRDefault="000B7A26" w:rsidP="00165930">
      <w:pPr>
        <w:tabs>
          <w:tab w:val="left" w:pos="1090"/>
        </w:tabs>
        <w:spacing w:after="0"/>
        <w:rPr>
          <w:i/>
          <w:szCs w:val="20"/>
          <w:lang w:val="es-ES"/>
        </w:rPr>
      </w:pPr>
      <w:r w:rsidRPr="00C75778">
        <w:rPr>
          <w:i/>
          <w:szCs w:val="20"/>
          <w:lang w:val="es-ES"/>
        </w:rPr>
        <w:tab/>
      </w:r>
    </w:p>
    <w:p w:rsidR="006D6C07" w:rsidRPr="00C75778" w:rsidRDefault="006D6C07" w:rsidP="00165930">
      <w:pPr>
        <w:widowControl w:val="0"/>
        <w:numPr>
          <w:ilvl w:val="0"/>
          <w:numId w:val="29"/>
        </w:numPr>
        <w:tabs>
          <w:tab w:val="left" w:pos="567"/>
          <w:tab w:val="left" w:pos="1134"/>
        </w:tabs>
        <w:autoSpaceDE w:val="0"/>
        <w:autoSpaceDN w:val="0"/>
        <w:adjustRightInd w:val="0"/>
        <w:spacing w:after="0"/>
        <w:ind w:left="709" w:right="22" w:firstLine="0"/>
        <w:rPr>
          <w:rFonts w:cs="Verdana"/>
          <w:szCs w:val="20"/>
          <w:lang w:val="es-ES"/>
        </w:rPr>
      </w:pPr>
      <w:r w:rsidRPr="00C75778">
        <w:rPr>
          <w:rFonts w:eastAsiaTheme="minorHAnsi" w:cs="Tahoma"/>
          <w:i/>
          <w:szCs w:val="20"/>
          <w:lang w:val="es-CR" w:eastAsia="en-US"/>
        </w:rPr>
        <w:t xml:space="preserve">Mario Luis </w:t>
      </w:r>
      <w:proofErr w:type="spellStart"/>
      <w:r w:rsidRPr="00C75778">
        <w:rPr>
          <w:rFonts w:eastAsiaTheme="minorHAnsi" w:cs="Tahoma"/>
          <w:i/>
          <w:szCs w:val="20"/>
          <w:lang w:val="es-CR" w:eastAsia="en-US"/>
        </w:rPr>
        <w:t>Coriolano</w:t>
      </w:r>
      <w:proofErr w:type="spellEnd"/>
      <w:r w:rsidRPr="00C75778">
        <w:rPr>
          <w:rFonts w:eastAsiaTheme="minorHAnsi" w:cs="Tahoma"/>
          <w:i/>
          <w:szCs w:val="20"/>
          <w:lang w:val="es-CR" w:eastAsia="en-US"/>
        </w:rPr>
        <w:t xml:space="preserve">, </w:t>
      </w:r>
      <w:r w:rsidR="0048322D" w:rsidRPr="00C75778">
        <w:rPr>
          <w:rFonts w:eastAsiaTheme="minorHAnsi" w:cs="Tahoma"/>
          <w:szCs w:val="20"/>
          <w:lang w:val="es-CR" w:eastAsia="en-US"/>
        </w:rPr>
        <w:t>abogado y especialista en derecho penal y criminología,</w:t>
      </w:r>
      <w:r w:rsidR="0048322D" w:rsidRPr="00C75778">
        <w:rPr>
          <w:rFonts w:eastAsiaTheme="minorHAnsi" w:cs="Tahoma"/>
          <w:i/>
          <w:szCs w:val="20"/>
          <w:lang w:val="es-CR" w:eastAsia="en-US"/>
        </w:rPr>
        <w:t xml:space="preserve"> </w:t>
      </w:r>
      <w:r w:rsidRPr="00C75778">
        <w:rPr>
          <w:rFonts w:eastAsiaTheme="minorHAnsi" w:cs="Tahoma"/>
          <w:szCs w:val="20"/>
          <w:lang w:val="es-CR" w:eastAsia="en-US"/>
        </w:rPr>
        <w:t>quien declarará sobre</w:t>
      </w:r>
      <w:r w:rsidR="000B7A26" w:rsidRPr="00C75778">
        <w:rPr>
          <w:rFonts w:eastAsiaTheme="minorHAnsi" w:cs="Tahoma"/>
          <w:szCs w:val="20"/>
          <w:lang w:val="es-CR" w:eastAsia="en-US"/>
        </w:rPr>
        <w:t xml:space="preserve">: i) </w:t>
      </w:r>
      <w:r w:rsidRPr="00C75778">
        <w:rPr>
          <w:rFonts w:eastAsiaTheme="minorHAnsi" w:cs="CenturyGothic"/>
          <w:szCs w:val="20"/>
          <w:lang w:val="es-CR" w:eastAsia="en-US"/>
        </w:rPr>
        <w:t>los estándares internacionales relevantes sobre la excepcionalidad y fines que puede perseguir una detención preventiva, así como sobre la manera en que debe realizarse la revisión periódica de la misma, a fin de que pueda</w:t>
      </w:r>
      <w:r w:rsidR="000B7A26" w:rsidRPr="00C75778">
        <w:rPr>
          <w:rFonts w:eastAsiaTheme="minorHAnsi" w:cs="CenturyGothic"/>
          <w:szCs w:val="20"/>
          <w:lang w:val="es-CR" w:eastAsia="en-US"/>
        </w:rPr>
        <w:t xml:space="preserve"> considerarse efectiva; ii) </w:t>
      </w:r>
      <w:r w:rsidRPr="00C75778">
        <w:rPr>
          <w:rFonts w:eastAsiaTheme="minorHAnsi" w:cs="CenturyGothic"/>
          <w:szCs w:val="20"/>
          <w:lang w:val="es-CR" w:eastAsia="en-US"/>
        </w:rPr>
        <w:t>la conformidad o no con dichos estándares de normas que, con base en la naturaleza del delito, excluyen la posibilidad de excarcelación a las personas procesadas por dic</w:t>
      </w:r>
      <w:r w:rsidR="000B7A26" w:rsidRPr="00C75778">
        <w:rPr>
          <w:rFonts w:eastAsiaTheme="minorHAnsi" w:cs="CenturyGothic"/>
          <w:szCs w:val="20"/>
          <w:lang w:val="es-CR" w:eastAsia="en-US"/>
        </w:rPr>
        <w:t xml:space="preserve">ho delito; iii) </w:t>
      </w:r>
      <w:r w:rsidRPr="00C75778">
        <w:rPr>
          <w:rFonts w:eastAsiaTheme="minorHAnsi" w:cs="CenturyGothic"/>
          <w:szCs w:val="20"/>
          <w:lang w:val="es-CR" w:eastAsia="en-US"/>
        </w:rPr>
        <w:t>la</w:t>
      </w:r>
      <w:r w:rsidR="000B7A26" w:rsidRPr="00C75778">
        <w:rPr>
          <w:rFonts w:eastAsiaTheme="minorHAnsi" w:cs="CenturyGothic"/>
          <w:szCs w:val="20"/>
          <w:lang w:val="es-CR" w:eastAsia="en-US"/>
        </w:rPr>
        <w:t>s presunciones sobre la</w:t>
      </w:r>
      <w:r w:rsidRPr="00C75778">
        <w:rPr>
          <w:rFonts w:eastAsiaTheme="minorHAnsi" w:cs="CenturyGothic"/>
          <w:szCs w:val="20"/>
          <w:lang w:val="es-CR" w:eastAsia="en-US"/>
        </w:rPr>
        <w:t xml:space="preserve"> existencia de fines procesales que explícita o implícitamente se relacionan con este tipo de normas y la manera en que las mismas impiden una evaluación individualizada de la situa</w:t>
      </w:r>
      <w:r w:rsidR="000B7A26" w:rsidRPr="00C75778">
        <w:rPr>
          <w:rFonts w:eastAsiaTheme="minorHAnsi" w:cs="CenturyGothic"/>
          <w:szCs w:val="20"/>
          <w:lang w:val="es-CR" w:eastAsia="en-US"/>
        </w:rPr>
        <w:t xml:space="preserve">ción, y iv) </w:t>
      </w:r>
      <w:r w:rsidRPr="00C75778">
        <w:rPr>
          <w:rFonts w:eastAsiaTheme="minorHAnsi" w:cs="CenturyGothic"/>
          <w:szCs w:val="20"/>
          <w:lang w:val="es-CR" w:eastAsia="en-US"/>
        </w:rPr>
        <w:t>las características que debe tener un recurso para que sea considerado efectivo para la revisión judi</w:t>
      </w:r>
      <w:r w:rsidR="000B7A26" w:rsidRPr="00C75778">
        <w:rPr>
          <w:rFonts w:eastAsiaTheme="minorHAnsi" w:cs="CenturyGothic"/>
          <w:szCs w:val="20"/>
          <w:lang w:val="es-CR" w:eastAsia="en-US"/>
        </w:rPr>
        <w:t>cial de la detención preventiva</w:t>
      </w:r>
      <w:r w:rsidRPr="00C75778">
        <w:rPr>
          <w:rFonts w:eastAsiaTheme="minorHAnsi" w:cs="Tahoma"/>
          <w:szCs w:val="20"/>
          <w:lang w:val="es-CR" w:eastAsia="en-US"/>
        </w:rPr>
        <w:t>.</w:t>
      </w:r>
    </w:p>
    <w:p w:rsidR="006D6C07" w:rsidRPr="00C75778" w:rsidRDefault="006D6C07" w:rsidP="00165930">
      <w:pPr>
        <w:autoSpaceDE w:val="0"/>
        <w:autoSpaceDN w:val="0"/>
        <w:adjustRightInd w:val="0"/>
        <w:spacing w:after="0"/>
        <w:jc w:val="left"/>
        <w:rPr>
          <w:rFonts w:eastAsiaTheme="minorHAnsi" w:cs="CenturyGothic"/>
          <w:szCs w:val="20"/>
          <w:lang w:val="es-CR" w:eastAsia="en-US"/>
        </w:rPr>
      </w:pPr>
    </w:p>
    <w:p w:rsidR="00B10675" w:rsidRPr="00C75778" w:rsidRDefault="00B10675"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rFonts w:eastAsiaTheme="minorHAnsi" w:cs="Verdana"/>
          <w:color w:val="000000"/>
          <w:szCs w:val="20"/>
          <w:lang w:val="es-CR" w:eastAsia="en-US"/>
        </w:rPr>
      </w:pPr>
      <w:r w:rsidRPr="00C75778">
        <w:rPr>
          <w:rFonts w:eastAsiaTheme="minorHAnsi" w:cs="Verdana"/>
          <w:color w:val="000000"/>
          <w:szCs w:val="20"/>
          <w:lang w:val="es-CR" w:eastAsia="en-US"/>
        </w:rPr>
        <w:t>Requerir a</w:t>
      </w:r>
      <w:r w:rsidR="00A83B21" w:rsidRPr="00C75778">
        <w:rPr>
          <w:rFonts w:eastAsiaTheme="minorHAnsi" w:cs="Verdana"/>
          <w:color w:val="000000"/>
          <w:szCs w:val="20"/>
          <w:lang w:val="es-CR" w:eastAsia="en-US"/>
        </w:rPr>
        <w:t>l</w:t>
      </w:r>
      <w:r w:rsidRPr="00C75778">
        <w:rPr>
          <w:rFonts w:eastAsiaTheme="minorHAnsi" w:cs="Verdana"/>
          <w:color w:val="000000"/>
          <w:szCs w:val="20"/>
          <w:lang w:val="es-CR" w:eastAsia="en-US"/>
        </w:rPr>
        <w:t xml:space="preserve"> perito convocado a declarar en audiencia que, de considerarlo conveniente, aporte una versión escrita de su peritaje</w:t>
      </w:r>
      <w:r w:rsidR="004455FA" w:rsidRPr="00C75778">
        <w:rPr>
          <w:rFonts w:eastAsiaTheme="minorHAnsi" w:cs="Verdana"/>
          <w:color w:val="000000"/>
          <w:szCs w:val="20"/>
          <w:lang w:val="es-CR" w:eastAsia="en-US"/>
        </w:rPr>
        <w:t>,</w:t>
      </w:r>
      <w:r w:rsidRPr="00C75778">
        <w:rPr>
          <w:rFonts w:eastAsiaTheme="minorHAnsi" w:cs="Verdana"/>
          <w:color w:val="000000"/>
          <w:szCs w:val="20"/>
          <w:lang w:val="es-CR" w:eastAsia="en-US"/>
        </w:rPr>
        <w:t xml:space="preserve"> a más tardar el </w:t>
      </w:r>
      <w:r w:rsidR="0082407D" w:rsidRPr="00C75778">
        <w:rPr>
          <w:rFonts w:eastAsiaTheme="minorHAnsi" w:cs="Verdana"/>
          <w:color w:val="000000"/>
          <w:szCs w:val="20"/>
          <w:lang w:val="es-CR" w:eastAsia="en-US"/>
        </w:rPr>
        <w:t>25</w:t>
      </w:r>
      <w:r w:rsidR="006D6C07" w:rsidRPr="00C75778">
        <w:rPr>
          <w:rFonts w:eastAsiaTheme="minorHAnsi" w:cs="Verdana"/>
          <w:color w:val="000000"/>
          <w:szCs w:val="20"/>
          <w:lang w:val="es-CR" w:eastAsia="en-US"/>
        </w:rPr>
        <w:t xml:space="preserve"> de enero</w:t>
      </w:r>
      <w:r w:rsidRPr="00C75778">
        <w:rPr>
          <w:rFonts w:eastAsiaTheme="minorHAnsi" w:cs="Verdana"/>
          <w:color w:val="000000"/>
          <w:szCs w:val="20"/>
          <w:lang w:val="es-CR" w:eastAsia="en-US"/>
        </w:rPr>
        <w:t xml:space="preserve"> de </w:t>
      </w:r>
      <w:r w:rsidR="006D6C07" w:rsidRPr="00C75778">
        <w:rPr>
          <w:color w:val="000000"/>
          <w:szCs w:val="20"/>
          <w:lang w:val="es-CR"/>
        </w:rPr>
        <w:t>2019</w:t>
      </w:r>
      <w:r w:rsidRPr="00C75778">
        <w:rPr>
          <w:rFonts w:eastAsiaTheme="minorHAnsi" w:cs="Verdana"/>
          <w:color w:val="000000"/>
          <w:szCs w:val="20"/>
          <w:lang w:val="es-CR" w:eastAsia="en-US"/>
        </w:rPr>
        <w:t xml:space="preserve">. </w:t>
      </w:r>
    </w:p>
    <w:p w:rsidR="00472BDF" w:rsidRPr="00C75778" w:rsidRDefault="00472BDF" w:rsidP="00165930">
      <w:pPr>
        <w:pStyle w:val="ListParagraph"/>
        <w:widowControl w:val="0"/>
        <w:tabs>
          <w:tab w:val="left" w:pos="708"/>
        </w:tabs>
        <w:autoSpaceDE w:val="0"/>
        <w:autoSpaceDN w:val="0"/>
        <w:adjustRightInd w:val="0"/>
        <w:spacing w:after="0"/>
        <w:ind w:left="0"/>
        <w:contextualSpacing w:val="0"/>
        <w:rPr>
          <w:rFonts w:eastAsiaTheme="minorHAnsi" w:cs="Verdana"/>
          <w:color w:val="000000"/>
          <w:szCs w:val="20"/>
          <w:lang w:val="es-CR" w:eastAsia="en-US"/>
        </w:rPr>
      </w:pPr>
    </w:p>
    <w:p w:rsidR="00B10675" w:rsidRPr="00C75778" w:rsidRDefault="00B10675"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szCs w:val="20"/>
          <w:lang w:val="es-CR"/>
        </w:rPr>
      </w:pPr>
      <w:r w:rsidRPr="00C75778">
        <w:rPr>
          <w:color w:val="000000"/>
          <w:szCs w:val="20"/>
          <w:lang w:val="es-CR"/>
        </w:rPr>
        <w:t>Requerir a</w:t>
      </w:r>
      <w:r w:rsidR="004455FA" w:rsidRPr="00C75778">
        <w:rPr>
          <w:color w:val="000000"/>
          <w:szCs w:val="20"/>
          <w:lang w:val="es-CR"/>
        </w:rPr>
        <w:t>l Estado</w:t>
      </w:r>
      <w:r w:rsidR="0082407D" w:rsidRPr="00C75778">
        <w:rPr>
          <w:color w:val="000000"/>
          <w:szCs w:val="20"/>
          <w:lang w:val="es-CR"/>
        </w:rPr>
        <w:t xml:space="preserve"> de Argentina</w:t>
      </w:r>
      <w:r w:rsidRPr="00C75778">
        <w:rPr>
          <w:color w:val="000000"/>
          <w:szCs w:val="20"/>
          <w:lang w:val="es-CR"/>
        </w:rPr>
        <w:t xml:space="preserve"> que facilite la salida y entrada de su territorio de</w:t>
      </w:r>
      <w:r w:rsidR="0082407D" w:rsidRPr="00C75778">
        <w:rPr>
          <w:color w:val="000000"/>
          <w:szCs w:val="20"/>
          <w:lang w:val="es-CR"/>
        </w:rPr>
        <w:t xml:space="preserve"> los </w:t>
      </w:r>
      <w:r w:rsidRPr="00C75778">
        <w:rPr>
          <w:color w:val="000000"/>
          <w:szCs w:val="20"/>
          <w:lang w:val="es-CR"/>
        </w:rPr>
        <w:t>declarante</w:t>
      </w:r>
      <w:r w:rsidR="0082407D" w:rsidRPr="00C75778">
        <w:rPr>
          <w:color w:val="000000"/>
          <w:szCs w:val="20"/>
          <w:lang w:val="es-CR"/>
        </w:rPr>
        <w:t>s</w:t>
      </w:r>
      <w:r w:rsidRPr="00C75778">
        <w:rPr>
          <w:color w:val="000000"/>
          <w:szCs w:val="20"/>
          <w:lang w:val="es-CR"/>
        </w:rPr>
        <w:t>, si reside</w:t>
      </w:r>
      <w:r w:rsidR="0082407D" w:rsidRPr="00C75778">
        <w:rPr>
          <w:color w:val="000000"/>
          <w:szCs w:val="20"/>
          <w:lang w:val="es-CR"/>
        </w:rPr>
        <w:t>n</w:t>
      </w:r>
      <w:r w:rsidRPr="00C75778">
        <w:rPr>
          <w:color w:val="000000"/>
          <w:szCs w:val="20"/>
          <w:lang w:val="es-CR"/>
        </w:rPr>
        <w:t xml:space="preserve"> o se encuentra</w:t>
      </w:r>
      <w:r w:rsidR="0082407D" w:rsidRPr="00C75778">
        <w:rPr>
          <w:color w:val="000000"/>
          <w:szCs w:val="20"/>
          <w:lang w:val="es-CR"/>
        </w:rPr>
        <w:t>n</w:t>
      </w:r>
      <w:r w:rsidRPr="00C75778">
        <w:rPr>
          <w:color w:val="000000"/>
          <w:szCs w:val="20"/>
          <w:lang w:val="es-CR"/>
        </w:rPr>
        <w:t xml:space="preserve"> en él, </w:t>
      </w:r>
      <w:r w:rsidR="0082407D" w:rsidRPr="00C75778">
        <w:rPr>
          <w:color w:val="000000"/>
          <w:szCs w:val="20"/>
          <w:lang w:val="es-CR"/>
        </w:rPr>
        <w:t>quienes</w:t>
      </w:r>
      <w:r w:rsidRPr="00C75778">
        <w:rPr>
          <w:color w:val="000000"/>
          <w:szCs w:val="20"/>
          <w:lang w:val="es-CR"/>
        </w:rPr>
        <w:t xml:space="preserve"> ha</w:t>
      </w:r>
      <w:r w:rsidR="0082407D" w:rsidRPr="00C75778">
        <w:rPr>
          <w:color w:val="000000"/>
          <w:szCs w:val="20"/>
          <w:lang w:val="es-CR"/>
        </w:rPr>
        <w:t>n</w:t>
      </w:r>
      <w:r w:rsidRPr="00C75778">
        <w:rPr>
          <w:color w:val="000000"/>
          <w:szCs w:val="20"/>
          <w:lang w:val="es-CR"/>
        </w:rPr>
        <w:t xml:space="preserve"> sido citado</w:t>
      </w:r>
      <w:r w:rsidR="0082407D" w:rsidRPr="00C75778">
        <w:rPr>
          <w:color w:val="000000"/>
          <w:szCs w:val="20"/>
          <w:lang w:val="es-CR"/>
        </w:rPr>
        <w:t>s</w:t>
      </w:r>
      <w:r w:rsidRPr="00C75778">
        <w:rPr>
          <w:color w:val="000000"/>
          <w:szCs w:val="20"/>
          <w:lang w:val="es-CR"/>
        </w:rPr>
        <w:t xml:space="preserve"> en la presente Resolución a rendir declaración </w:t>
      </w:r>
      <w:r w:rsidR="00CC7F80" w:rsidRPr="00C75778">
        <w:rPr>
          <w:color w:val="000000"/>
          <w:szCs w:val="20"/>
          <w:lang w:val="es-CR"/>
        </w:rPr>
        <w:t>durante</w:t>
      </w:r>
      <w:r w:rsidRPr="00C75778">
        <w:rPr>
          <w:color w:val="000000"/>
          <w:szCs w:val="20"/>
          <w:lang w:val="es-CR"/>
        </w:rPr>
        <w:t xml:space="preserve"> la referida audiencia pública, de conformidad con lo dispuesto en el artículo 26.1 del Reglamento de la Corte.</w:t>
      </w:r>
    </w:p>
    <w:p w:rsidR="00472BDF" w:rsidRPr="00C75778" w:rsidRDefault="00472BDF" w:rsidP="00165930">
      <w:pPr>
        <w:pStyle w:val="ListParagraph"/>
        <w:widowControl w:val="0"/>
        <w:tabs>
          <w:tab w:val="left" w:pos="708"/>
        </w:tabs>
        <w:autoSpaceDE w:val="0"/>
        <w:autoSpaceDN w:val="0"/>
        <w:adjustRightInd w:val="0"/>
        <w:spacing w:after="0"/>
        <w:ind w:left="0"/>
        <w:contextualSpacing w:val="0"/>
        <w:rPr>
          <w:szCs w:val="20"/>
          <w:lang w:val="es-CR"/>
        </w:rPr>
      </w:pPr>
    </w:p>
    <w:p w:rsidR="00B10675" w:rsidRPr="00C75778" w:rsidRDefault="00B10675"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rFonts w:cs="Verdana"/>
          <w:szCs w:val="20"/>
          <w:lang w:val="es-CR"/>
        </w:rPr>
      </w:pPr>
      <w:r w:rsidRPr="00C75778">
        <w:rPr>
          <w:szCs w:val="20"/>
          <w:lang w:val="es-CR"/>
        </w:rPr>
        <w:t xml:space="preserve">Requerir, por las razones expuestas en la presente Resolución, de conformidad con el </w:t>
      </w:r>
      <w:r w:rsidRPr="00C75778">
        <w:rPr>
          <w:rFonts w:eastAsiaTheme="minorHAnsi" w:cs="Verdana"/>
          <w:color w:val="000000"/>
          <w:szCs w:val="20"/>
          <w:lang w:val="es-CR" w:eastAsia="en-US"/>
        </w:rPr>
        <w:t>principio</w:t>
      </w:r>
      <w:r w:rsidRPr="00C75778">
        <w:rPr>
          <w:szCs w:val="20"/>
          <w:lang w:val="es-CR"/>
        </w:rPr>
        <w:t xml:space="preserve"> de economía procesal y de la facultad que le otorga el artículo 50.1 del Reglamento de la Corte, que las siguientes personas presten sus declar</w:t>
      </w:r>
      <w:r w:rsidR="0082407D" w:rsidRPr="00C75778">
        <w:rPr>
          <w:szCs w:val="20"/>
          <w:lang w:val="es-CR"/>
        </w:rPr>
        <w:t>aciones ante fedatario público</w:t>
      </w:r>
      <w:r w:rsidRPr="00C75778">
        <w:rPr>
          <w:szCs w:val="20"/>
          <w:lang w:val="es-CR"/>
        </w:rPr>
        <w:t>:</w:t>
      </w:r>
    </w:p>
    <w:p w:rsidR="00472BDF" w:rsidRPr="00C75778" w:rsidRDefault="00472BDF" w:rsidP="00165930">
      <w:pPr>
        <w:pStyle w:val="ListParagraph"/>
        <w:spacing w:after="0"/>
        <w:rPr>
          <w:rFonts w:cs="Verdana"/>
          <w:szCs w:val="20"/>
          <w:lang w:val="es-CR"/>
        </w:rPr>
      </w:pPr>
    </w:p>
    <w:p w:rsidR="00B10675" w:rsidRPr="00C75778" w:rsidRDefault="00B10675" w:rsidP="00165930">
      <w:pPr>
        <w:pStyle w:val="ListParagraph"/>
        <w:widowControl w:val="0"/>
        <w:numPr>
          <w:ilvl w:val="0"/>
          <w:numId w:val="9"/>
        </w:numPr>
        <w:tabs>
          <w:tab w:val="left" w:pos="708"/>
        </w:tabs>
        <w:autoSpaceDE w:val="0"/>
        <w:autoSpaceDN w:val="0"/>
        <w:adjustRightInd w:val="0"/>
        <w:spacing w:after="0"/>
        <w:rPr>
          <w:bCs/>
          <w:i/>
          <w:iCs/>
          <w:szCs w:val="20"/>
          <w:lang w:val="es-CR"/>
        </w:rPr>
      </w:pPr>
      <w:r w:rsidRPr="00C75778">
        <w:rPr>
          <w:bCs/>
          <w:i/>
          <w:iCs/>
          <w:szCs w:val="20"/>
          <w:lang w:val="es-CR"/>
        </w:rPr>
        <w:t>Testigo</w:t>
      </w:r>
      <w:r w:rsidR="00916741" w:rsidRPr="00C75778">
        <w:rPr>
          <w:bCs/>
          <w:i/>
          <w:iCs/>
          <w:szCs w:val="20"/>
          <w:lang w:val="es-CR"/>
        </w:rPr>
        <w:t>s (p</w:t>
      </w:r>
      <w:r w:rsidRPr="00C75778">
        <w:rPr>
          <w:bCs/>
          <w:i/>
          <w:iCs/>
          <w:szCs w:val="20"/>
          <w:lang w:val="es-CR"/>
        </w:rPr>
        <w:t>ropuesto</w:t>
      </w:r>
      <w:r w:rsidR="00916741" w:rsidRPr="00C75778">
        <w:rPr>
          <w:bCs/>
          <w:i/>
          <w:iCs/>
          <w:szCs w:val="20"/>
          <w:lang w:val="es-CR"/>
        </w:rPr>
        <w:t>s</w:t>
      </w:r>
      <w:r w:rsidRPr="00C75778">
        <w:rPr>
          <w:bCs/>
          <w:i/>
          <w:iCs/>
          <w:szCs w:val="20"/>
          <w:lang w:val="es-CR"/>
        </w:rPr>
        <w:t xml:space="preserve"> por </w:t>
      </w:r>
      <w:r w:rsidR="004F4757" w:rsidRPr="00C75778">
        <w:rPr>
          <w:bCs/>
          <w:i/>
          <w:iCs/>
          <w:szCs w:val="20"/>
          <w:lang w:val="es-CR"/>
        </w:rPr>
        <w:t>los representantes</w:t>
      </w:r>
      <w:r w:rsidRPr="00C75778">
        <w:rPr>
          <w:bCs/>
          <w:i/>
          <w:iCs/>
          <w:szCs w:val="20"/>
          <w:lang w:val="es-CR"/>
        </w:rPr>
        <w:t>)</w:t>
      </w:r>
    </w:p>
    <w:p w:rsidR="0082407D" w:rsidRPr="00C75778" w:rsidRDefault="0082407D" w:rsidP="00165930">
      <w:pPr>
        <w:widowControl w:val="0"/>
        <w:tabs>
          <w:tab w:val="left" w:pos="567"/>
          <w:tab w:val="left" w:pos="1134"/>
        </w:tabs>
        <w:autoSpaceDE w:val="0"/>
        <w:autoSpaceDN w:val="0"/>
        <w:adjustRightInd w:val="0"/>
        <w:spacing w:after="0"/>
        <w:ind w:right="22"/>
        <w:rPr>
          <w:szCs w:val="20"/>
          <w:lang w:val="es-ES"/>
        </w:rPr>
      </w:pPr>
    </w:p>
    <w:p w:rsidR="0082407D" w:rsidRPr="00C75778" w:rsidRDefault="006D6C07" w:rsidP="00165930">
      <w:pPr>
        <w:widowControl w:val="0"/>
        <w:numPr>
          <w:ilvl w:val="0"/>
          <w:numId w:val="30"/>
        </w:numPr>
        <w:tabs>
          <w:tab w:val="left" w:pos="567"/>
          <w:tab w:val="left" w:pos="1134"/>
        </w:tabs>
        <w:autoSpaceDE w:val="0"/>
        <w:autoSpaceDN w:val="0"/>
        <w:adjustRightInd w:val="0"/>
        <w:spacing w:after="0"/>
        <w:ind w:left="709" w:right="22" w:firstLine="0"/>
        <w:rPr>
          <w:szCs w:val="20"/>
          <w:lang w:val="es-ES"/>
        </w:rPr>
      </w:pPr>
      <w:r w:rsidRPr="00C75778">
        <w:rPr>
          <w:rFonts w:eastAsiaTheme="minorHAnsi" w:cs="Tahoma"/>
          <w:i/>
          <w:szCs w:val="20"/>
          <w:lang w:val="es-CR" w:eastAsia="en-US"/>
        </w:rPr>
        <w:t>Kevin Gabriel Jenkins</w:t>
      </w:r>
      <w:r w:rsidR="00B10675" w:rsidRPr="00C75778">
        <w:rPr>
          <w:rFonts w:eastAsiaTheme="minorHAnsi" w:cs="Tahoma"/>
          <w:szCs w:val="20"/>
          <w:lang w:val="es-CR" w:eastAsia="en-US"/>
        </w:rPr>
        <w:t>,</w:t>
      </w:r>
      <w:r w:rsidR="0082407D" w:rsidRPr="00C75778">
        <w:rPr>
          <w:rFonts w:eastAsiaTheme="minorHAnsi" w:cs="Tahoma"/>
          <w:szCs w:val="20"/>
          <w:lang w:val="es-CR" w:eastAsia="en-US"/>
        </w:rPr>
        <w:t xml:space="preserve"> hijo de la presunta víctima,</w:t>
      </w:r>
      <w:r w:rsidR="00B10675" w:rsidRPr="00C75778">
        <w:rPr>
          <w:rFonts w:eastAsiaTheme="minorHAnsi" w:cs="Tahoma"/>
          <w:szCs w:val="20"/>
          <w:lang w:val="es-CR" w:eastAsia="en-US"/>
        </w:rPr>
        <w:t xml:space="preserve"> quien declarará sobre</w:t>
      </w:r>
      <w:r w:rsidR="0082407D" w:rsidRPr="00C75778">
        <w:rPr>
          <w:rFonts w:eastAsiaTheme="minorHAnsi" w:cs="Tahoma"/>
          <w:szCs w:val="20"/>
          <w:lang w:val="es-CR" w:eastAsia="en-US"/>
        </w:rPr>
        <w:t xml:space="preserve">: i) </w:t>
      </w:r>
      <w:r w:rsidR="0082407D" w:rsidRPr="00C75778">
        <w:rPr>
          <w:rFonts w:eastAsiaTheme="minorHAnsi" w:cs="CenturyGothic"/>
          <w:szCs w:val="20"/>
          <w:lang w:val="es-CR" w:eastAsia="en-US"/>
        </w:rPr>
        <w:t>el modo en que los</w:t>
      </w:r>
      <w:r w:rsidRPr="00C75778">
        <w:rPr>
          <w:rFonts w:eastAsiaTheme="minorHAnsi" w:cs="CenturyGothic"/>
          <w:szCs w:val="20"/>
          <w:lang w:val="es-CR" w:eastAsia="en-US"/>
        </w:rPr>
        <w:t xml:space="preserve"> hechos</w:t>
      </w:r>
      <w:r w:rsidR="0082407D" w:rsidRPr="00C75778">
        <w:rPr>
          <w:rFonts w:eastAsiaTheme="minorHAnsi" w:cs="CenturyGothic"/>
          <w:szCs w:val="20"/>
          <w:lang w:val="es-CR" w:eastAsia="en-US"/>
        </w:rPr>
        <w:t xml:space="preserve"> del caso</w:t>
      </w:r>
      <w:r w:rsidRPr="00C75778">
        <w:rPr>
          <w:rFonts w:eastAsiaTheme="minorHAnsi" w:cs="CenturyGothic"/>
          <w:szCs w:val="20"/>
          <w:lang w:val="es-CR" w:eastAsia="en-US"/>
        </w:rPr>
        <w:t xml:space="preserve"> </w:t>
      </w:r>
      <w:r w:rsidR="0082407D" w:rsidRPr="00C75778">
        <w:rPr>
          <w:rFonts w:eastAsiaTheme="minorHAnsi" w:cs="CenturyGothic"/>
          <w:szCs w:val="20"/>
          <w:lang w:val="es-CR" w:eastAsia="en-US"/>
        </w:rPr>
        <w:t>habrían afectado</w:t>
      </w:r>
      <w:r w:rsidRPr="00C75778">
        <w:rPr>
          <w:rFonts w:eastAsiaTheme="minorHAnsi" w:cs="CenturyGothic"/>
          <w:szCs w:val="20"/>
          <w:lang w:val="es-CR" w:eastAsia="en-US"/>
        </w:rPr>
        <w:t xml:space="preserve"> la vida personal, familiar, de relación y el proyecto de vida de la presunta víctima,</w:t>
      </w:r>
      <w:r w:rsidR="0082407D" w:rsidRPr="00C75778">
        <w:rPr>
          <w:rFonts w:eastAsiaTheme="minorHAnsi" w:cs="CenturyGothic"/>
          <w:szCs w:val="20"/>
          <w:lang w:val="es-CR" w:eastAsia="en-US"/>
        </w:rPr>
        <w:t xml:space="preserve"> y ii) datos relevantes a considerar al momento de adoptar </w:t>
      </w:r>
      <w:r w:rsidRPr="00C75778">
        <w:rPr>
          <w:rFonts w:eastAsiaTheme="minorHAnsi" w:cs="CenturyGothic"/>
          <w:szCs w:val="20"/>
          <w:lang w:val="es-CR" w:eastAsia="en-US"/>
        </w:rPr>
        <w:t>las reparaciones del caso.</w:t>
      </w:r>
    </w:p>
    <w:p w:rsidR="004570D5" w:rsidRPr="00C75778" w:rsidRDefault="004570D5" w:rsidP="00165930">
      <w:pPr>
        <w:widowControl w:val="0"/>
        <w:tabs>
          <w:tab w:val="left" w:pos="567"/>
          <w:tab w:val="left" w:pos="1134"/>
        </w:tabs>
        <w:autoSpaceDE w:val="0"/>
        <w:autoSpaceDN w:val="0"/>
        <w:adjustRightInd w:val="0"/>
        <w:spacing w:after="0"/>
        <w:ind w:left="709" w:right="22"/>
        <w:rPr>
          <w:szCs w:val="20"/>
          <w:lang w:val="es-ES"/>
        </w:rPr>
      </w:pPr>
    </w:p>
    <w:p w:rsidR="0082407D" w:rsidRPr="00C75778" w:rsidRDefault="00916741" w:rsidP="00165930">
      <w:pPr>
        <w:widowControl w:val="0"/>
        <w:numPr>
          <w:ilvl w:val="0"/>
          <w:numId w:val="30"/>
        </w:numPr>
        <w:tabs>
          <w:tab w:val="left" w:pos="567"/>
          <w:tab w:val="left" w:pos="1134"/>
        </w:tabs>
        <w:autoSpaceDE w:val="0"/>
        <w:autoSpaceDN w:val="0"/>
        <w:adjustRightInd w:val="0"/>
        <w:spacing w:after="0"/>
        <w:ind w:left="709" w:right="22" w:firstLine="0"/>
        <w:rPr>
          <w:szCs w:val="20"/>
          <w:lang w:val="es-ES"/>
        </w:rPr>
      </w:pPr>
      <w:r w:rsidRPr="00C75778">
        <w:rPr>
          <w:rFonts w:eastAsiaTheme="minorHAnsi" w:cs="Tahoma"/>
          <w:i/>
          <w:szCs w:val="20"/>
          <w:lang w:val="es-CR" w:eastAsia="en-US"/>
        </w:rPr>
        <w:t xml:space="preserve">Leticia </w:t>
      </w:r>
      <w:proofErr w:type="spellStart"/>
      <w:r w:rsidRPr="00C75778">
        <w:rPr>
          <w:rFonts w:eastAsiaTheme="minorHAnsi" w:cs="Tahoma"/>
          <w:i/>
          <w:szCs w:val="20"/>
          <w:lang w:val="es-CR" w:eastAsia="en-US"/>
        </w:rPr>
        <w:t>Pironelli</w:t>
      </w:r>
      <w:proofErr w:type="spellEnd"/>
      <w:r w:rsidRPr="00C75778">
        <w:rPr>
          <w:rFonts w:eastAsiaTheme="minorHAnsi" w:cs="Tahoma"/>
          <w:i/>
          <w:szCs w:val="20"/>
          <w:lang w:val="es-CR" w:eastAsia="en-US"/>
        </w:rPr>
        <w:t xml:space="preserve">, </w:t>
      </w:r>
      <w:r w:rsidR="0082407D" w:rsidRPr="00C75778">
        <w:rPr>
          <w:rFonts w:eastAsiaTheme="minorHAnsi" w:cs="Tahoma"/>
          <w:szCs w:val="20"/>
          <w:lang w:val="es-CR" w:eastAsia="en-US"/>
        </w:rPr>
        <w:t>esposa de la presunta víctima,</w:t>
      </w:r>
      <w:r w:rsidR="0082407D" w:rsidRPr="00C75778">
        <w:rPr>
          <w:rFonts w:eastAsiaTheme="minorHAnsi" w:cs="Tahoma"/>
          <w:i/>
          <w:szCs w:val="20"/>
          <w:lang w:val="es-CR" w:eastAsia="en-US"/>
        </w:rPr>
        <w:t xml:space="preserve"> </w:t>
      </w:r>
      <w:r w:rsidRPr="00C75778">
        <w:rPr>
          <w:rFonts w:eastAsiaTheme="minorHAnsi" w:cs="Tahoma"/>
          <w:szCs w:val="20"/>
          <w:lang w:val="es-CR" w:eastAsia="en-US"/>
        </w:rPr>
        <w:t>quien declarará sobre</w:t>
      </w:r>
      <w:r w:rsidR="0082407D" w:rsidRPr="00C75778">
        <w:rPr>
          <w:rFonts w:eastAsiaTheme="minorHAnsi" w:cs="Tahoma"/>
          <w:szCs w:val="20"/>
          <w:lang w:val="es-CR" w:eastAsia="en-US"/>
        </w:rPr>
        <w:t xml:space="preserve">: i) </w:t>
      </w:r>
      <w:r w:rsidR="0082407D" w:rsidRPr="00C75778">
        <w:rPr>
          <w:rFonts w:eastAsiaTheme="minorHAnsi" w:cs="CenturyGothic"/>
          <w:szCs w:val="20"/>
          <w:lang w:val="es-CR" w:eastAsia="en-US"/>
        </w:rPr>
        <w:t>el modo en que los hechos del caso habrían afectado la vida personal, familiar, de relación y el proyecto de vida de la presunta víctima, y ii) datos relevantes a considerar al momento de adoptar las reparaciones del caso.</w:t>
      </w:r>
    </w:p>
    <w:p w:rsidR="0082407D" w:rsidRPr="00C75778" w:rsidRDefault="0082407D" w:rsidP="00165930">
      <w:pPr>
        <w:widowControl w:val="0"/>
        <w:tabs>
          <w:tab w:val="left" w:pos="567"/>
          <w:tab w:val="left" w:pos="1134"/>
        </w:tabs>
        <w:autoSpaceDE w:val="0"/>
        <w:autoSpaceDN w:val="0"/>
        <w:adjustRightInd w:val="0"/>
        <w:spacing w:after="0"/>
        <w:ind w:right="22"/>
        <w:rPr>
          <w:szCs w:val="20"/>
          <w:lang w:val="es-ES"/>
        </w:rPr>
      </w:pPr>
    </w:p>
    <w:p w:rsidR="00472BDF" w:rsidRPr="00C75778" w:rsidRDefault="00B213F8" w:rsidP="00165930">
      <w:pPr>
        <w:widowControl w:val="0"/>
        <w:numPr>
          <w:ilvl w:val="0"/>
          <w:numId w:val="30"/>
        </w:numPr>
        <w:tabs>
          <w:tab w:val="left" w:pos="567"/>
          <w:tab w:val="left" w:pos="1134"/>
        </w:tabs>
        <w:autoSpaceDE w:val="0"/>
        <w:autoSpaceDN w:val="0"/>
        <w:adjustRightInd w:val="0"/>
        <w:spacing w:after="0"/>
        <w:ind w:left="709" w:right="22" w:firstLine="0"/>
        <w:rPr>
          <w:rFonts w:eastAsiaTheme="minorHAnsi" w:cs="Tahoma"/>
          <w:szCs w:val="20"/>
          <w:lang w:val="es-CR" w:eastAsia="en-US"/>
        </w:rPr>
      </w:pPr>
      <w:r w:rsidRPr="00C75778">
        <w:rPr>
          <w:rFonts w:eastAsiaTheme="minorHAnsi" w:cs="CenturyGothic"/>
          <w:i/>
          <w:szCs w:val="20"/>
          <w:lang w:val="es-CR" w:eastAsia="en-US"/>
        </w:rPr>
        <w:t>Tomás Las Peñas Vallejo</w:t>
      </w:r>
      <w:r w:rsidR="00B10675" w:rsidRPr="00C75778">
        <w:rPr>
          <w:szCs w:val="20"/>
          <w:lang w:val="es-CR"/>
        </w:rPr>
        <w:t xml:space="preserve">, </w:t>
      </w:r>
      <w:r w:rsidR="0082407D" w:rsidRPr="00C75778">
        <w:rPr>
          <w:szCs w:val="20"/>
          <w:lang w:val="es-CR"/>
        </w:rPr>
        <w:t xml:space="preserve">psicólogo, </w:t>
      </w:r>
      <w:r w:rsidR="00B10675" w:rsidRPr="00C75778">
        <w:rPr>
          <w:szCs w:val="20"/>
          <w:lang w:val="es-CR"/>
        </w:rPr>
        <w:t>quien declarará</w:t>
      </w:r>
      <w:r w:rsidR="006D6C07" w:rsidRPr="00C75778">
        <w:rPr>
          <w:szCs w:val="20"/>
          <w:lang w:val="es-CR"/>
        </w:rPr>
        <w:t xml:space="preserve"> sobre</w:t>
      </w:r>
      <w:r w:rsidRPr="00C75778">
        <w:rPr>
          <w:szCs w:val="20"/>
          <w:lang w:val="es-CR"/>
        </w:rPr>
        <w:t xml:space="preserve">: i) </w:t>
      </w:r>
      <w:r w:rsidRPr="00C75778">
        <w:rPr>
          <w:rFonts w:eastAsiaTheme="minorHAnsi" w:cs="CenturyGothic"/>
          <w:szCs w:val="20"/>
          <w:lang w:val="es-CR" w:eastAsia="en-US"/>
        </w:rPr>
        <w:t xml:space="preserve">el daño que los hechos del caso habrían causado en la persona del señor Gabriel </w:t>
      </w:r>
      <w:r w:rsidR="00E11166">
        <w:rPr>
          <w:rFonts w:eastAsiaTheme="minorHAnsi" w:cs="CenturyGothic"/>
          <w:szCs w:val="20"/>
          <w:lang w:val="es-CR" w:eastAsia="en-US"/>
        </w:rPr>
        <w:t>O</w:t>
      </w:r>
      <w:r w:rsidRPr="00C75778">
        <w:rPr>
          <w:rFonts w:eastAsiaTheme="minorHAnsi" w:cs="CenturyGothic"/>
          <w:szCs w:val="20"/>
          <w:lang w:val="es-CR" w:eastAsia="en-US"/>
        </w:rPr>
        <w:t>scar Jenkins, así como su posible origen</w:t>
      </w:r>
      <w:r w:rsidR="004570D5" w:rsidRPr="00C75778">
        <w:rPr>
          <w:rFonts w:eastAsiaTheme="minorHAnsi" w:cs="CenturyGothic"/>
          <w:szCs w:val="20"/>
          <w:lang w:val="es-CR" w:eastAsia="en-US"/>
        </w:rPr>
        <w:t>, y ii)</w:t>
      </w:r>
      <w:r w:rsidRPr="00C75778">
        <w:rPr>
          <w:szCs w:val="20"/>
          <w:lang w:val="es-CR"/>
        </w:rPr>
        <w:t xml:space="preserve"> </w:t>
      </w:r>
      <w:r w:rsidR="004570D5" w:rsidRPr="00C75778">
        <w:rPr>
          <w:rFonts w:eastAsiaTheme="minorHAnsi" w:cs="CenturyGothic"/>
          <w:szCs w:val="20"/>
          <w:lang w:val="es-CR" w:eastAsia="en-US"/>
        </w:rPr>
        <w:t>las pruebas y metodologías aplicadas en el dictamen técnico psicológico adoptado en el marco del proceso por daños y perjuicios, así como el diagnóstico observado en el señor Jenkins.</w:t>
      </w:r>
    </w:p>
    <w:p w:rsidR="004570D5" w:rsidRPr="00C75778" w:rsidRDefault="004570D5" w:rsidP="00165930">
      <w:pPr>
        <w:widowControl w:val="0"/>
        <w:tabs>
          <w:tab w:val="left" w:pos="567"/>
          <w:tab w:val="left" w:pos="1134"/>
        </w:tabs>
        <w:autoSpaceDE w:val="0"/>
        <w:autoSpaceDN w:val="0"/>
        <w:adjustRightInd w:val="0"/>
        <w:spacing w:after="0"/>
        <w:ind w:right="22"/>
        <w:rPr>
          <w:rFonts w:eastAsiaTheme="minorHAnsi" w:cs="Tahoma"/>
          <w:szCs w:val="20"/>
          <w:lang w:val="es-CR" w:eastAsia="en-US"/>
        </w:rPr>
      </w:pPr>
    </w:p>
    <w:p w:rsidR="00B266F4" w:rsidRPr="00C75778" w:rsidRDefault="00B266F4"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bookmarkStart w:id="9" w:name="_Ref393464381"/>
      <w:r w:rsidRPr="00C75778">
        <w:rPr>
          <w:color w:val="000000"/>
          <w:szCs w:val="20"/>
          <w:lang w:val="es-CR"/>
        </w:rPr>
        <w:t>Requerir a los representantes que notifiquen la presente Resolución a las personas por ellos propuestas, que han sido convocadas a rendir declaración, de conformidad con lo dispuesto en los artículos 50.2 y 50.4 del Reglamento.</w:t>
      </w:r>
    </w:p>
    <w:p w:rsidR="00AB4A53" w:rsidRPr="00C75778" w:rsidRDefault="00AB4A53" w:rsidP="00165930">
      <w:pPr>
        <w:pStyle w:val="ListParagraph"/>
        <w:widowControl w:val="0"/>
        <w:tabs>
          <w:tab w:val="left" w:pos="708"/>
        </w:tabs>
        <w:autoSpaceDE w:val="0"/>
        <w:autoSpaceDN w:val="0"/>
        <w:adjustRightInd w:val="0"/>
        <w:spacing w:after="0"/>
        <w:ind w:left="0"/>
        <w:contextualSpacing w:val="0"/>
        <w:rPr>
          <w:color w:val="000000"/>
          <w:szCs w:val="20"/>
          <w:lang w:val="es-CR"/>
        </w:rPr>
      </w:pPr>
    </w:p>
    <w:bookmarkEnd w:id="9"/>
    <w:p w:rsidR="00B266F4" w:rsidRPr="00C75778" w:rsidRDefault="00B266F4"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rFonts w:eastAsia="MS Mincho"/>
          <w:szCs w:val="20"/>
          <w:lang w:val="es-ES"/>
        </w:rPr>
        <w:lastRenderedPageBreak/>
        <w:t xml:space="preserve">Requerir al Estado que remita, </w:t>
      </w:r>
      <w:r w:rsidRPr="00C75778">
        <w:rPr>
          <w:lang w:val="es-ES"/>
        </w:rPr>
        <w:t>en los términos del artículo 50.5 del Reglamento y</w:t>
      </w:r>
      <w:r w:rsidRPr="00C75778">
        <w:rPr>
          <w:rFonts w:eastAsia="MS Mincho"/>
          <w:szCs w:val="20"/>
          <w:lang w:val="es-ES"/>
        </w:rPr>
        <w:t xml:space="preserve"> de considerarlo pertinente, en el plazo</w:t>
      </w:r>
      <w:r w:rsidRPr="00C75778">
        <w:rPr>
          <w:rFonts w:eastAsia="MS Mincho" w:cs="Verdana"/>
          <w:szCs w:val="20"/>
          <w:lang w:val="es-ES"/>
        </w:rPr>
        <w:t xml:space="preserve"> improrrogable que vence el </w:t>
      </w:r>
      <w:r w:rsidR="00AB4A53" w:rsidRPr="00C75778">
        <w:rPr>
          <w:rFonts w:eastAsia="MS Mincho" w:cs="Verdana"/>
          <w:szCs w:val="20"/>
          <w:lang w:val="es-ES"/>
        </w:rPr>
        <w:t>11 de enero de 2019</w:t>
      </w:r>
      <w:r w:rsidRPr="00C75778">
        <w:rPr>
          <w:rFonts w:eastAsia="MS Mincho" w:cs="Verdana"/>
          <w:szCs w:val="20"/>
          <w:lang w:val="es-ES"/>
        </w:rPr>
        <w:t xml:space="preserve">, las preguntas que estimen pertinentes formular a través de la Corte Interamericana a los declarantes </w:t>
      </w:r>
      <w:r w:rsidRPr="00C75778">
        <w:rPr>
          <w:rFonts w:eastAsia="MS Mincho"/>
          <w:szCs w:val="20"/>
          <w:lang w:val="es-ES"/>
        </w:rPr>
        <w:t>indicados en el punto resolutivo 4 de esta Resolución.</w:t>
      </w:r>
      <w:r w:rsidRPr="00C75778">
        <w:rPr>
          <w:lang w:val="es-ES"/>
        </w:rPr>
        <w:t xml:space="preserve"> </w:t>
      </w:r>
    </w:p>
    <w:p w:rsidR="00AB4A53" w:rsidRPr="00C75778" w:rsidRDefault="00AB4A53" w:rsidP="00165930">
      <w:pPr>
        <w:pStyle w:val="ListParagraph"/>
        <w:spacing w:after="0"/>
        <w:rPr>
          <w:color w:val="000000"/>
          <w:szCs w:val="20"/>
          <w:lang w:val="es-CR"/>
        </w:rPr>
      </w:pPr>
    </w:p>
    <w:p w:rsidR="00AB4A53" w:rsidRPr="00C75778" w:rsidRDefault="00AB4A53"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rFonts w:cs="Verdana"/>
          <w:color w:val="000000"/>
          <w:szCs w:val="20"/>
          <w:lang w:val="es-ES"/>
        </w:rPr>
        <w:t xml:space="preserve">Requerir a los representantes que comuniquen y </w:t>
      </w:r>
      <w:r w:rsidRPr="00C75778">
        <w:rPr>
          <w:szCs w:val="20"/>
          <w:lang w:val="es-ES"/>
        </w:rPr>
        <w:t xml:space="preserve">remitan </w:t>
      </w:r>
      <w:r w:rsidRPr="00C75778">
        <w:rPr>
          <w:rFonts w:cs="Verdana"/>
          <w:color w:val="000000"/>
          <w:szCs w:val="20"/>
          <w:lang w:val="es-ES"/>
        </w:rPr>
        <w:t xml:space="preserve">a la Corte, a más tardar el </w:t>
      </w:r>
      <w:r w:rsidRPr="00C75778">
        <w:rPr>
          <w:rFonts w:eastAsia="MS Mincho" w:cs="Verdana"/>
          <w:szCs w:val="20"/>
          <w:lang w:val="es-ES"/>
        </w:rPr>
        <w:t xml:space="preserve">11 de enero de 2019, </w:t>
      </w:r>
      <w:r w:rsidRPr="00C75778">
        <w:rPr>
          <w:szCs w:val="20"/>
          <w:lang w:val="es-ES"/>
        </w:rPr>
        <w:t xml:space="preserve">una cotización del costo de la formalización de las declaraciones ante fedatario público en el país de residencia del declarante y de su respectivo envío, </w:t>
      </w:r>
      <w:r w:rsidRPr="00C75778">
        <w:rPr>
          <w:lang w:val="es-ES"/>
        </w:rPr>
        <w:t>a fin de que sea cubierta por el Fondo de Asistencia,</w:t>
      </w:r>
      <w:r w:rsidRPr="00C75778">
        <w:rPr>
          <w:szCs w:val="20"/>
          <w:lang w:val="es-ES"/>
        </w:rPr>
        <w:t xml:space="preserve"> de conformidad con lo establecido en el párrafo considerativo 30 de la presente Resolución. </w:t>
      </w:r>
    </w:p>
    <w:p w:rsidR="00AB4A53" w:rsidRPr="00C75778" w:rsidRDefault="00AB4A53" w:rsidP="00165930">
      <w:pPr>
        <w:pStyle w:val="ListParagraph"/>
        <w:spacing w:after="0"/>
        <w:rPr>
          <w:color w:val="000000"/>
          <w:szCs w:val="20"/>
          <w:lang w:val="es-CR"/>
        </w:rPr>
      </w:pPr>
    </w:p>
    <w:p w:rsidR="00AB4A53" w:rsidRPr="00C75778" w:rsidRDefault="00AB4A53"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lang w:val="es-ES"/>
        </w:rPr>
        <w:t xml:space="preserve">Requerir a los representantes que coordinen y realicen las diligencias necesarias para que, una vez recibidas las preguntas del Estado, </w:t>
      </w:r>
      <w:r w:rsidRPr="00C75778">
        <w:rPr>
          <w:rFonts w:eastAsia="MS Mincho" w:cs="Verdana"/>
          <w:szCs w:val="20"/>
          <w:lang w:val="es-ES"/>
        </w:rPr>
        <w:t xml:space="preserve">los declarantes </w:t>
      </w:r>
      <w:r w:rsidRPr="00C75778">
        <w:rPr>
          <w:rFonts w:eastAsia="MS Mincho"/>
          <w:szCs w:val="20"/>
          <w:lang w:val="es-ES"/>
        </w:rPr>
        <w:t xml:space="preserve">incluyan las respuestas en las respectivas declaraciones que rendirán ante fedatario público, </w:t>
      </w:r>
      <w:r w:rsidRPr="00C75778">
        <w:rPr>
          <w:lang w:val="es-ES"/>
        </w:rPr>
        <w:t>salvo que el Presidente disponga lo contrario cuando la Secretaría de la Corte las transmita</w:t>
      </w:r>
      <w:r w:rsidRPr="00C75778">
        <w:rPr>
          <w:rFonts w:eastAsia="MS Mincho"/>
          <w:szCs w:val="20"/>
          <w:lang w:val="es-ES"/>
        </w:rPr>
        <w:t>. Las declaraciones requeridas deberán ser presentadas al Tribunal a más tardar el 25 de enero de 2019.</w:t>
      </w:r>
    </w:p>
    <w:p w:rsidR="00AB4A53" w:rsidRPr="00C75778" w:rsidRDefault="00AB4A53" w:rsidP="00165930">
      <w:pPr>
        <w:pStyle w:val="ListParagraph"/>
        <w:spacing w:after="0"/>
        <w:rPr>
          <w:color w:val="000000"/>
          <w:szCs w:val="20"/>
          <w:lang w:val="es-CR"/>
        </w:rPr>
      </w:pPr>
    </w:p>
    <w:p w:rsidR="00AB4A53" w:rsidRPr="00C75778" w:rsidRDefault="00AB4A53"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lang w:val="es-ES"/>
        </w:rPr>
        <w:t>Disponer</w:t>
      </w:r>
      <w:r w:rsidR="00AC20D7">
        <w:rPr>
          <w:lang w:val="es-ES"/>
        </w:rPr>
        <w:t>,</w:t>
      </w:r>
      <w:r w:rsidRPr="00C75778">
        <w:rPr>
          <w:szCs w:val="20"/>
          <w:lang w:val="es-ES"/>
        </w:rPr>
        <w:t xml:space="preserve"> </w:t>
      </w:r>
      <w:r w:rsidRPr="00C75778">
        <w:rPr>
          <w:lang w:val="es-ES"/>
        </w:rPr>
        <w:t xml:space="preserve">conforme al artículo 50.6 del Reglamento </w:t>
      </w:r>
      <w:r w:rsidRPr="00C75778">
        <w:rPr>
          <w:szCs w:val="20"/>
          <w:lang w:val="es-ES"/>
        </w:rPr>
        <w:t>que, una vez recibidas las declaraciones, la Secretaría de la Corte Interamericana l</w:t>
      </w:r>
      <w:r w:rsidR="00AC20D7">
        <w:rPr>
          <w:szCs w:val="20"/>
          <w:lang w:val="es-ES"/>
        </w:rPr>
        <w:t>a</w:t>
      </w:r>
      <w:r w:rsidRPr="00C75778">
        <w:rPr>
          <w:szCs w:val="20"/>
          <w:lang w:val="es-ES"/>
        </w:rPr>
        <w:t xml:space="preserve">s transmita al Estado y a la Comisión, para que aquél, </w:t>
      </w:r>
      <w:r w:rsidRPr="00C75778">
        <w:rPr>
          <w:rFonts w:eastAsia="MS Mincho"/>
          <w:szCs w:val="20"/>
          <w:lang w:val="es-ES"/>
        </w:rPr>
        <w:t>si lo estima pertinente, presente sus observaciones a más tardar con sus alegatos finales escritos</w:t>
      </w:r>
    </w:p>
    <w:p w:rsidR="00472BDF" w:rsidRPr="00C75778" w:rsidRDefault="00472BDF" w:rsidP="00165930">
      <w:pPr>
        <w:pStyle w:val="ListParagraph"/>
        <w:widowControl w:val="0"/>
        <w:tabs>
          <w:tab w:val="left" w:pos="708"/>
        </w:tabs>
        <w:autoSpaceDE w:val="0"/>
        <w:autoSpaceDN w:val="0"/>
        <w:adjustRightInd w:val="0"/>
        <w:spacing w:after="0"/>
        <w:ind w:left="0"/>
        <w:contextualSpacing w:val="0"/>
        <w:rPr>
          <w:color w:val="000000"/>
          <w:szCs w:val="20"/>
          <w:lang w:val="es-CR"/>
        </w:rPr>
      </w:pPr>
    </w:p>
    <w:p w:rsidR="00B10675" w:rsidRPr="00C75778" w:rsidRDefault="006D6C07"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color w:val="000000"/>
          <w:szCs w:val="20"/>
          <w:lang w:val="es-CR"/>
        </w:rPr>
        <w:t xml:space="preserve">Requerir a </w:t>
      </w:r>
      <w:r w:rsidR="00B10675" w:rsidRPr="00C75778">
        <w:rPr>
          <w:color w:val="000000"/>
          <w:szCs w:val="20"/>
          <w:lang w:val="es-CR"/>
        </w:rPr>
        <w:t xml:space="preserve">los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472BDF" w:rsidRPr="00C75778" w:rsidRDefault="00472BDF" w:rsidP="00165930">
      <w:pPr>
        <w:pStyle w:val="ListParagraph"/>
        <w:widowControl w:val="0"/>
        <w:tabs>
          <w:tab w:val="left" w:pos="708"/>
        </w:tabs>
        <w:autoSpaceDE w:val="0"/>
        <w:autoSpaceDN w:val="0"/>
        <w:adjustRightInd w:val="0"/>
        <w:spacing w:after="0"/>
        <w:ind w:left="0"/>
        <w:contextualSpacing w:val="0"/>
        <w:rPr>
          <w:color w:val="000000"/>
          <w:szCs w:val="20"/>
          <w:lang w:val="es-CR"/>
        </w:rPr>
      </w:pPr>
    </w:p>
    <w:p w:rsidR="00B10675" w:rsidRPr="00C75778" w:rsidRDefault="00B10675"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color w:val="000000"/>
          <w:szCs w:val="20"/>
          <w:lang w:val="es-CR"/>
        </w:rPr>
        <w:t xml:space="preserve">Informar a los representantes, al Estado y a la Comisión Interamericana que, al término de las declaraciones rendidas en la audiencia pública, podrán presentar ante el Tribunal sus alegatos finales orales y observaciones finales orales, respectivamente, sobre </w:t>
      </w:r>
      <w:r w:rsidR="00AB4A53" w:rsidRPr="00C75778">
        <w:rPr>
          <w:color w:val="000000"/>
          <w:szCs w:val="20"/>
          <w:lang w:val="es-CR"/>
        </w:rPr>
        <w:t xml:space="preserve">las excepciones preliminares y </w:t>
      </w:r>
      <w:r w:rsidRPr="00C75778">
        <w:rPr>
          <w:color w:val="000000"/>
          <w:szCs w:val="20"/>
          <w:lang w:val="es-CR"/>
        </w:rPr>
        <w:t xml:space="preserve">eventuales fondo, reparaciones y costas en el presente caso. </w:t>
      </w:r>
    </w:p>
    <w:p w:rsidR="00472BDF" w:rsidRPr="00C75778" w:rsidRDefault="00472BDF" w:rsidP="00165930">
      <w:pPr>
        <w:pStyle w:val="ListParagraph"/>
        <w:widowControl w:val="0"/>
        <w:tabs>
          <w:tab w:val="left" w:pos="708"/>
        </w:tabs>
        <w:autoSpaceDE w:val="0"/>
        <w:autoSpaceDN w:val="0"/>
        <w:adjustRightInd w:val="0"/>
        <w:spacing w:after="0"/>
        <w:ind w:left="0"/>
        <w:contextualSpacing w:val="0"/>
        <w:rPr>
          <w:color w:val="000000"/>
          <w:szCs w:val="20"/>
          <w:lang w:val="es-CR"/>
        </w:rPr>
      </w:pPr>
    </w:p>
    <w:p w:rsidR="008F2DFA" w:rsidRPr="00C75778" w:rsidRDefault="00B10675"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color w:val="000000"/>
          <w:szCs w:val="20"/>
          <w:lang w:val="es-CR"/>
        </w:rPr>
        <w:t>Disponer que la Secretaría de la Corte, de conformidad con lo dispuesto en el artículo 55.3 del Reglamento, indique a la Comisión Interamericana, a los representantes y al Estado el enlace donde se encontrará disponible la grabación de la aud</w:t>
      </w:r>
      <w:r w:rsidR="00AB4A53" w:rsidRPr="00C75778">
        <w:rPr>
          <w:color w:val="000000"/>
          <w:szCs w:val="20"/>
          <w:lang w:val="es-CR"/>
        </w:rPr>
        <w:t>iencia pública</w:t>
      </w:r>
      <w:r w:rsidRPr="00C75778">
        <w:rPr>
          <w:color w:val="000000"/>
          <w:szCs w:val="20"/>
          <w:lang w:val="es-CR"/>
        </w:rPr>
        <w:t>, a la brevedad posible luego de la cele</w:t>
      </w:r>
      <w:r w:rsidR="00AB4A53" w:rsidRPr="00C75778">
        <w:rPr>
          <w:color w:val="000000"/>
          <w:szCs w:val="20"/>
          <w:lang w:val="es-CR"/>
        </w:rPr>
        <w:t>bración de la misma</w:t>
      </w:r>
      <w:r w:rsidRPr="00C75778">
        <w:rPr>
          <w:color w:val="000000"/>
          <w:szCs w:val="20"/>
          <w:lang w:val="es-CR"/>
        </w:rPr>
        <w:t>.</w:t>
      </w:r>
    </w:p>
    <w:p w:rsidR="008F2DFA" w:rsidRPr="00C75778" w:rsidRDefault="008F2DFA" w:rsidP="00165930">
      <w:pPr>
        <w:pStyle w:val="ListParagraph"/>
        <w:spacing w:after="0"/>
        <w:rPr>
          <w:color w:val="000000"/>
          <w:szCs w:val="20"/>
          <w:lang w:val="es-CR"/>
        </w:rPr>
      </w:pPr>
    </w:p>
    <w:p w:rsidR="008F2DFA" w:rsidRPr="00C75778" w:rsidRDefault="008F2DFA"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rFonts w:cs="Verdana"/>
          <w:color w:val="000000"/>
          <w:szCs w:val="20"/>
          <w:lang w:val="es-ES"/>
        </w:rPr>
        <w:t xml:space="preserve">Informar a </w:t>
      </w:r>
      <w:r w:rsidRPr="00C75778">
        <w:rPr>
          <w:color w:val="000000"/>
          <w:szCs w:val="20"/>
          <w:lang w:val="es-ES"/>
        </w:rPr>
        <w:t xml:space="preserve">los </w:t>
      </w:r>
      <w:r w:rsidRPr="00C75778">
        <w:rPr>
          <w:rFonts w:eastAsia="MS Mincho"/>
          <w:color w:val="000000"/>
          <w:szCs w:val="20"/>
          <w:lang w:val="es-ES"/>
        </w:rPr>
        <w:t>representantes</w:t>
      </w:r>
      <w:r w:rsidRPr="00C75778">
        <w:rPr>
          <w:color w:val="000000"/>
          <w:szCs w:val="20"/>
          <w:lang w:val="es-ES"/>
        </w:rPr>
        <w:t xml:space="preserve">, </w:t>
      </w:r>
      <w:r w:rsidRPr="00C75778">
        <w:rPr>
          <w:rFonts w:cs="Verdana"/>
          <w:color w:val="000000"/>
          <w:szCs w:val="20"/>
          <w:lang w:val="es-ES"/>
        </w:rPr>
        <w:t>al Estado y a la Comisión Interamericana que, en los términos d</w:t>
      </w:r>
      <w:r w:rsidRPr="00C75778">
        <w:rPr>
          <w:color w:val="000000"/>
          <w:lang w:val="es-ES"/>
        </w:rPr>
        <w:t>el artículo 56 del Reglamento,</w:t>
      </w:r>
      <w:r w:rsidRPr="00C75778">
        <w:rPr>
          <w:rFonts w:cs="Verdana"/>
          <w:color w:val="000000"/>
          <w:szCs w:val="20"/>
          <w:lang w:val="es-ES"/>
        </w:rPr>
        <w:t xml:space="preserve"> cuentan con un plazo hasta el 1 de marzo de 2019 para presentar sus alegatos finales escritos y observaciones finales escritas, respectivamente, en relación con las excepciones preliminares y eventuales fondo, reparaciones y costas en el presente caso. Este plazo es improrrogable e independiente de la puesta a disposición de las partes de la grabación de la audiencia pública.</w:t>
      </w:r>
    </w:p>
    <w:p w:rsidR="008F2DFA" w:rsidRPr="00C75778" w:rsidRDefault="008F2DFA" w:rsidP="00165930">
      <w:pPr>
        <w:pStyle w:val="ListParagraph"/>
        <w:spacing w:after="0"/>
        <w:rPr>
          <w:color w:val="000000"/>
          <w:szCs w:val="20"/>
          <w:lang w:val="es-CR"/>
        </w:rPr>
      </w:pPr>
    </w:p>
    <w:p w:rsidR="008F2DFA" w:rsidRPr="00C75778" w:rsidRDefault="008F2DFA"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lang w:val="es-ES"/>
        </w:rPr>
        <w:t>Declarar procedente la aplicación del Fondo de Asistencia Legal de Víctimas de la Corte Interamericana en los términos dispuestos en los párrafos considerativos 28 a 3</w:t>
      </w:r>
      <w:r w:rsidR="00D641F3">
        <w:rPr>
          <w:lang w:val="es-ES"/>
        </w:rPr>
        <w:t>2</w:t>
      </w:r>
      <w:r w:rsidRPr="00C75778">
        <w:rPr>
          <w:lang w:val="es-ES"/>
        </w:rPr>
        <w:t xml:space="preserve">  de esta Resolución.</w:t>
      </w:r>
    </w:p>
    <w:p w:rsidR="008F2DFA" w:rsidRPr="00C75778" w:rsidRDefault="008F2DFA" w:rsidP="00165930">
      <w:pPr>
        <w:pStyle w:val="ListParagraph"/>
        <w:spacing w:after="0"/>
        <w:rPr>
          <w:color w:val="000000"/>
          <w:szCs w:val="20"/>
          <w:lang w:val="es-CR"/>
        </w:rPr>
      </w:pPr>
    </w:p>
    <w:p w:rsidR="008F2DFA" w:rsidRPr="00C75778" w:rsidRDefault="008F2DFA"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color w:val="000000"/>
          <w:szCs w:val="20"/>
          <w:lang w:val="es-CR"/>
        </w:rPr>
      </w:pPr>
      <w:r w:rsidRPr="00C75778">
        <w:rPr>
          <w:lang w:val="es-ES"/>
        </w:rPr>
        <w:lastRenderedPageBreak/>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472BDF" w:rsidRPr="00C75778" w:rsidRDefault="00472BDF" w:rsidP="00165930">
      <w:pPr>
        <w:pStyle w:val="ListParagraph"/>
        <w:widowControl w:val="0"/>
        <w:tabs>
          <w:tab w:val="left" w:pos="708"/>
        </w:tabs>
        <w:autoSpaceDE w:val="0"/>
        <w:autoSpaceDN w:val="0"/>
        <w:adjustRightInd w:val="0"/>
        <w:spacing w:after="0"/>
        <w:ind w:left="0"/>
        <w:contextualSpacing w:val="0"/>
        <w:rPr>
          <w:color w:val="000000"/>
          <w:szCs w:val="20"/>
          <w:lang w:val="es-CR"/>
        </w:rPr>
      </w:pPr>
    </w:p>
    <w:p w:rsidR="00B10675" w:rsidRPr="00C75778" w:rsidRDefault="00B10675" w:rsidP="005E1311">
      <w:pPr>
        <w:pStyle w:val="ListParagraph"/>
        <w:widowControl w:val="0"/>
        <w:numPr>
          <w:ilvl w:val="0"/>
          <w:numId w:val="32"/>
        </w:numPr>
        <w:tabs>
          <w:tab w:val="left" w:pos="567"/>
          <w:tab w:val="left" w:pos="810"/>
        </w:tabs>
        <w:autoSpaceDE w:val="0"/>
        <w:autoSpaceDN w:val="0"/>
        <w:adjustRightInd w:val="0"/>
        <w:spacing w:after="0"/>
        <w:ind w:right="22"/>
        <w:contextualSpacing w:val="0"/>
        <w:rPr>
          <w:szCs w:val="20"/>
          <w:lang w:val="es-MX" w:eastAsia="en-US"/>
        </w:rPr>
      </w:pPr>
      <w:r w:rsidRPr="00C75778">
        <w:rPr>
          <w:color w:val="000000"/>
          <w:szCs w:val="20"/>
          <w:lang w:val="es-CR"/>
        </w:rPr>
        <w:t xml:space="preserve">Disponer que la Secretaría de la Corte Interamericana notifique la presente Resolución a la Comisión Interamericana de Derechos Humanos, a los representantes de la presunta víctima y a la República </w:t>
      </w:r>
      <w:r w:rsidRPr="00C75778">
        <w:rPr>
          <w:szCs w:val="20"/>
          <w:lang w:val="es-CR"/>
        </w:rPr>
        <w:t xml:space="preserve">de </w:t>
      </w:r>
      <w:r w:rsidR="00FC771F" w:rsidRPr="00C75778">
        <w:rPr>
          <w:szCs w:val="20"/>
          <w:lang w:val="es-CR"/>
        </w:rPr>
        <w:t>Argentina</w:t>
      </w:r>
      <w:r w:rsidRPr="00C75778">
        <w:rPr>
          <w:color w:val="000000"/>
          <w:szCs w:val="20"/>
          <w:lang w:val="es-CR"/>
        </w:rPr>
        <w:t>.</w:t>
      </w:r>
    </w:p>
    <w:p w:rsidR="00B10675" w:rsidRPr="00C75778" w:rsidRDefault="00B10675" w:rsidP="00165930">
      <w:pPr>
        <w:spacing w:after="0"/>
        <w:ind w:left="4253"/>
        <w:jc w:val="center"/>
        <w:rPr>
          <w:color w:val="000000"/>
          <w:spacing w:val="-2"/>
          <w:szCs w:val="20"/>
          <w:lang w:val="es-MX" w:eastAsia="es-CR"/>
        </w:rPr>
      </w:pPr>
    </w:p>
    <w:p w:rsidR="00490486" w:rsidRPr="00F255C0" w:rsidRDefault="00490486" w:rsidP="00165930">
      <w:pPr>
        <w:spacing w:after="0"/>
        <w:ind w:left="4253"/>
        <w:jc w:val="center"/>
        <w:rPr>
          <w:color w:val="000000"/>
          <w:spacing w:val="-2"/>
          <w:szCs w:val="20"/>
          <w:lang w:val="es-MX" w:eastAsia="es-CR"/>
        </w:rPr>
      </w:pPr>
    </w:p>
    <w:p w:rsidR="00490486" w:rsidRPr="00C75778" w:rsidRDefault="00490486" w:rsidP="00165930">
      <w:pPr>
        <w:spacing w:after="0"/>
        <w:ind w:left="4253"/>
        <w:jc w:val="center"/>
        <w:rPr>
          <w:color w:val="000000"/>
          <w:spacing w:val="-2"/>
          <w:szCs w:val="20"/>
          <w:lang w:val="es-ES" w:eastAsia="es-CR"/>
        </w:rPr>
      </w:pPr>
    </w:p>
    <w:p w:rsidR="00490486" w:rsidRPr="00C75778" w:rsidRDefault="00490486" w:rsidP="00165930">
      <w:pPr>
        <w:spacing w:after="0"/>
        <w:ind w:left="4253"/>
        <w:jc w:val="center"/>
        <w:rPr>
          <w:color w:val="000000"/>
          <w:spacing w:val="-2"/>
          <w:szCs w:val="20"/>
          <w:lang w:val="es-ES" w:eastAsia="es-CR"/>
        </w:rPr>
      </w:pPr>
    </w:p>
    <w:p w:rsidR="008F2DFA" w:rsidRPr="00C75778" w:rsidRDefault="008F2DFA" w:rsidP="00165930">
      <w:pPr>
        <w:spacing w:after="0"/>
        <w:ind w:left="4253"/>
        <w:jc w:val="center"/>
        <w:rPr>
          <w:color w:val="000000"/>
          <w:spacing w:val="-2"/>
          <w:szCs w:val="20"/>
          <w:lang w:val="es-ES" w:eastAsia="es-CR"/>
        </w:rPr>
      </w:pPr>
    </w:p>
    <w:p w:rsidR="00B10675" w:rsidRPr="00C75778" w:rsidRDefault="00B10675" w:rsidP="00165930">
      <w:pPr>
        <w:spacing w:after="0"/>
        <w:ind w:left="4253"/>
        <w:jc w:val="center"/>
        <w:rPr>
          <w:color w:val="000000"/>
          <w:spacing w:val="-2"/>
          <w:szCs w:val="20"/>
          <w:lang w:val="es-ES" w:eastAsia="es-CR"/>
        </w:rPr>
      </w:pPr>
    </w:p>
    <w:p w:rsidR="00B10675" w:rsidRPr="00C75778" w:rsidRDefault="00D103B5" w:rsidP="00165930">
      <w:pPr>
        <w:spacing w:after="0"/>
        <w:ind w:left="4253"/>
        <w:jc w:val="center"/>
        <w:rPr>
          <w:szCs w:val="20"/>
          <w:lang w:val="pt-BR"/>
        </w:rPr>
      </w:pPr>
      <w:r w:rsidRPr="00C75778">
        <w:rPr>
          <w:color w:val="000000"/>
          <w:spacing w:val="-2"/>
          <w:szCs w:val="20"/>
          <w:lang w:val="pt-BR" w:eastAsia="es-CR"/>
        </w:rPr>
        <w:t>Eduardo Ferrer Mac-Gregor Poisot</w:t>
      </w:r>
      <w:r w:rsidR="00B10675" w:rsidRPr="00C75778">
        <w:rPr>
          <w:szCs w:val="20"/>
          <w:lang w:val="pt-BR"/>
        </w:rPr>
        <w:t xml:space="preserve"> </w:t>
      </w:r>
    </w:p>
    <w:p w:rsidR="00B10675" w:rsidRPr="00C75778" w:rsidRDefault="00B10675" w:rsidP="00165930">
      <w:pPr>
        <w:spacing w:after="0"/>
        <w:ind w:left="4253"/>
        <w:jc w:val="center"/>
        <w:rPr>
          <w:szCs w:val="20"/>
          <w:lang w:val="pt-BR"/>
        </w:rPr>
      </w:pPr>
      <w:r w:rsidRPr="00C75778">
        <w:rPr>
          <w:szCs w:val="20"/>
          <w:lang w:val="pt-BR"/>
        </w:rPr>
        <w:t>Presidente</w:t>
      </w:r>
    </w:p>
    <w:p w:rsidR="00B10675" w:rsidRPr="00C75778" w:rsidRDefault="00B10675" w:rsidP="00165930">
      <w:pPr>
        <w:tabs>
          <w:tab w:val="left" w:pos="2835"/>
        </w:tabs>
        <w:spacing w:after="0"/>
        <w:ind w:right="6003"/>
        <w:jc w:val="center"/>
        <w:rPr>
          <w:szCs w:val="20"/>
          <w:lang w:val="pt-BR"/>
        </w:rPr>
      </w:pPr>
    </w:p>
    <w:p w:rsidR="00490486" w:rsidRPr="00C75778" w:rsidRDefault="00490486" w:rsidP="00165930">
      <w:pPr>
        <w:tabs>
          <w:tab w:val="left" w:pos="2835"/>
        </w:tabs>
        <w:spacing w:after="0"/>
        <w:ind w:right="6003"/>
        <w:jc w:val="center"/>
        <w:rPr>
          <w:szCs w:val="20"/>
          <w:lang w:val="pt-BR"/>
        </w:rPr>
      </w:pPr>
    </w:p>
    <w:p w:rsidR="00490486" w:rsidRPr="00C75778" w:rsidRDefault="00490486" w:rsidP="00165930">
      <w:pPr>
        <w:tabs>
          <w:tab w:val="left" w:pos="2835"/>
        </w:tabs>
        <w:spacing w:after="0"/>
        <w:ind w:right="6003"/>
        <w:jc w:val="center"/>
        <w:rPr>
          <w:szCs w:val="20"/>
          <w:lang w:val="pt-BR"/>
        </w:rPr>
      </w:pPr>
    </w:p>
    <w:p w:rsidR="00490486" w:rsidRPr="00C75778" w:rsidRDefault="00490486" w:rsidP="00165930">
      <w:pPr>
        <w:tabs>
          <w:tab w:val="left" w:pos="2835"/>
        </w:tabs>
        <w:spacing w:after="0"/>
        <w:ind w:right="6003"/>
        <w:jc w:val="center"/>
        <w:rPr>
          <w:szCs w:val="20"/>
          <w:lang w:val="pt-BR"/>
        </w:rPr>
      </w:pPr>
    </w:p>
    <w:p w:rsidR="00B10675" w:rsidRPr="00C75778" w:rsidRDefault="00B10675" w:rsidP="00165930">
      <w:pPr>
        <w:tabs>
          <w:tab w:val="left" w:pos="2835"/>
        </w:tabs>
        <w:spacing w:after="0"/>
        <w:ind w:right="6003"/>
        <w:jc w:val="center"/>
        <w:rPr>
          <w:szCs w:val="20"/>
          <w:lang w:val="pt-BR"/>
        </w:rPr>
      </w:pPr>
    </w:p>
    <w:p w:rsidR="00B10675" w:rsidRPr="00C75778" w:rsidRDefault="00B10675" w:rsidP="00165930">
      <w:pPr>
        <w:tabs>
          <w:tab w:val="left" w:pos="2835"/>
        </w:tabs>
        <w:spacing w:after="0"/>
        <w:ind w:right="6003"/>
        <w:jc w:val="center"/>
        <w:rPr>
          <w:szCs w:val="20"/>
          <w:lang w:val="pt-BR"/>
        </w:rPr>
      </w:pPr>
      <w:r w:rsidRPr="00C75778">
        <w:rPr>
          <w:szCs w:val="20"/>
          <w:lang w:val="pt-BR"/>
        </w:rPr>
        <w:t>Pablo Saavedra Alessandri</w:t>
      </w:r>
    </w:p>
    <w:p w:rsidR="00B10675" w:rsidRPr="00C75778" w:rsidRDefault="00B10675" w:rsidP="00165930">
      <w:pPr>
        <w:tabs>
          <w:tab w:val="left" w:pos="2835"/>
        </w:tabs>
        <w:spacing w:after="0"/>
        <w:ind w:right="6003"/>
        <w:jc w:val="center"/>
        <w:rPr>
          <w:szCs w:val="20"/>
          <w:lang w:val="es-ES"/>
        </w:rPr>
      </w:pPr>
      <w:r w:rsidRPr="00C75778">
        <w:rPr>
          <w:szCs w:val="20"/>
          <w:lang w:val="es-ES"/>
        </w:rPr>
        <w:t>Secretario</w:t>
      </w:r>
    </w:p>
    <w:p w:rsidR="00B10675" w:rsidRPr="00C75778" w:rsidRDefault="00B10675" w:rsidP="00165930">
      <w:pPr>
        <w:spacing w:after="0"/>
        <w:rPr>
          <w:szCs w:val="20"/>
        </w:rPr>
      </w:pPr>
    </w:p>
    <w:p w:rsidR="00490486" w:rsidRPr="00C75778" w:rsidRDefault="00490486" w:rsidP="00165930">
      <w:pPr>
        <w:spacing w:after="0"/>
        <w:rPr>
          <w:szCs w:val="20"/>
        </w:rPr>
      </w:pPr>
    </w:p>
    <w:p w:rsidR="00490486" w:rsidRPr="00C75778" w:rsidRDefault="00490486" w:rsidP="00165930">
      <w:pPr>
        <w:spacing w:after="0"/>
        <w:rPr>
          <w:szCs w:val="20"/>
        </w:rPr>
      </w:pPr>
    </w:p>
    <w:p w:rsidR="00490486" w:rsidRPr="00C75778" w:rsidRDefault="00490486" w:rsidP="00165930">
      <w:pPr>
        <w:spacing w:after="0"/>
        <w:rPr>
          <w:szCs w:val="20"/>
        </w:rPr>
      </w:pPr>
    </w:p>
    <w:p w:rsidR="00B10675" w:rsidRPr="00C75778" w:rsidRDefault="00B10675" w:rsidP="00165930">
      <w:pPr>
        <w:spacing w:after="0"/>
        <w:rPr>
          <w:szCs w:val="20"/>
        </w:rPr>
      </w:pPr>
    </w:p>
    <w:p w:rsidR="00B10675" w:rsidRPr="00C75778" w:rsidRDefault="00B10675" w:rsidP="00165930">
      <w:pPr>
        <w:spacing w:after="0"/>
        <w:rPr>
          <w:szCs w:val="20"/>
        </w:rPr>
      </w:pPr>
      <w:r w:rsidRPr="00C75778">
        <w:rPr>
          <w:szCs w:val="20"/>
        </w:rPr>
        <w:t>Comuníquese y ejecútese,</w:t>
      </w:r>
      <w:r w:rsidRPr="00C75778">
        <w:rPr>
          <w:noProof/>
          <w:szCs w:val="20"/>
          <w:lang w:val="es-CR" w:eastAsia="es-CR"/>
        </w:rPr>
        <w:t xml:space="preserve"> </w:t>
      </w:r>
    </w:p>
    <w:p w:rsidR="00B10675" w:rsidRPr="00C75778" w:rsidRDefault="00B10675" w:rsidP="00165930">
      <w:pPr>
        <w:spacing w:after="0"/>
        <w:rPr>
          <w:szCs w:val="20"/>
        </w:rPr>
      </w:pPr>
    </w:p>
    <w:p w:rsidR="00490486" w:rsidRPr="00C75778" w:rsidRDefault="00490486" w:rsidP="00165930">
      <w:pPr>
        <w:spacing w:after="0"/>
        <w:rPr>
          <w:szCs w:val="20"/>
        </w:rPr>
      </w:pPr>
    </w:p>
    <w:p w:rsidR="00490486" w:rsidRPr="00C75778" w:rsidRDefault="00490486" w:rsidP="00165930">
      <w:pPr>
        <w:spacing w:after="0"/>
        <w:rPr>
          <w:szCs w:val="20"/>
        </w:rPr>
      </w:pPr>
    </w:p>
    <w:p w:rsidR="00490486" w:rsidRPr="00C75778" w:rsidRDefault="00490486" w:rsidP="00165930">
      <w:pPr>
        <w:spacing w:after="0"/>
        <w:rPr>
          <w:szCs w:val="20"/>
        </w:rPr>
      </w:pPr>
    </w:p>
    <w:p w:rsidR="00B10675" w:rsidRPr="00C75778" w:rsidRDefault="00B10675" w:rsidP="00165930">
      <w:pPr>
        <w:spacing w:after="0"/>
        <w:rPr>
          <w:szCs w:val="20"/>
        </w:rPr>
      </w:pPr>
    </w:p>
    <w:p w:rsidR="00B10675" w:rsidRPr="00C75778" w:rsidRDefault="00D103B5" w:rsidP="00165930">
      <w:pPr>
        <w:spacing w:after="0"/>
        <w:ind w:left="4536"/>
        <w:jc w:val="center"/>
        <w:rPr>
          <w:szCs w:val="20"/>
          <w:lang w:val="pt-BR"/>
        </w:rPr>
      </w:pPr>
      <w:r w:rsidRPr="00C75778">
        <w:rPr>
          <w:color w:val="000000"/>
          <w:spacing w:val="-2"/>
          <w:szCs w:val="20"/>
          <w:lang w:eastAsia="es-CR"/>
        </w:rPr>
        <w:t>Eduardo Ferrer Mac-</w:t>
      </w:r>
      <w:proofErr w:type="spellStart"/>
      <w:r w:rsidRPr="00C75778">
        <w:rPr>
          <w:color w:val="000000"/>
          <w:spacing w:val="-2"/>
          <w:szCs w:val="20"/>
          <w:lang w:eastAsia="es-CR"/>
        </w:rPr>
        <w:t>Gregor</w:t>
      </w:r>
      <w:proofErr w:type="spellEnd"/>
      <w:r w:rsidRPr="00C75778">
        <w:rPr>
          <w:color w:val="000000"/>
          <w:spacing w:val="-2"/>
          <w:szCs w:val="20"/>
          <w:lang w:eastAsia="es-CR"/>
        </w:rPr>
        <w:t xml:space="preserve"> </w:t>
      </w:r>
      <w:proofErr w:type="spellStart"/>
      <w:r w:rsidRPr="00C75778">
        <w:rPr>
          <w:color w:val="000000"/>
          <w:spacing w:val="-2"/>
          <w:szCs w:val="20"/>
          <w:lang w:eastAsia="es-CR"/>
        </w:rPr>
        <w:t>Poisot</w:t>
      </w:r>
      <w:proofErr w:type="spellEnd"/>
      <w:r w:rsidR="00B10675" w:rsidRPr="00C75778">
        <w:rPr>
          <w:szCs w:val="20"/>
          <w:lang w:val="pt-BR"/>
        </w:rPr>
        <w:t xml:space="preserve"> </w:t>
      </w:r>
    </w:p>
    <w:p w:rsidR="00B10675" w:rsidRDefault="00B10675" w:rsidP="00165930">
      <w:pPr>
        <w:spacing w:after="0"/>
        <w:ind w:left="4536"/>
        <w:jc w:val="center"/>
        <w:rPr>
          <w:szCs w:val="20"/>
          <w:lang w:val="pt-BR"/>
        </w:rPr>
      </w:pPr>
      <w:r w:rsidRPr="00C75778">
        <w:rPr>
          <w:szCs w:val="20"/>
          <w:lang w:val="pt-BR"/>
        </w:rPr>
        <w:t>Presidente</w:t>
      </w:r>
    </w:p>
    <w:p w:rsidR="003C7545" w:rsidRDefault="003C7545" w:rsidP="00165930">
      <w:pPr>
        <w:spacing w:after="0"/>
        <w:ind w:left="4536"/>
        <w:jc w:val="center"/>
        <w:rPr>
          <w:szCs w:val="20"/>
          <w:lang w:val="pt-BR"/>
        </w:rPr>
      </w:pPr>
    </w:p>
    <w:p w:rsidR="003C7545" w:rsidRDefault="003C7545" w:rsidP="00165930">
      <w:pPr>
        <w:spacing w:after="0"/>
        <w:ind w:left="4536"/>
        <w:jc w:val="center"/>
        <w:rPr>
          <w:szCs w:val="20"/>
          <w:lang w:val="pt-BR"/>
        </w:rPr>
      </w:pPr>
    </w:p>
    <w:p w:rsidR="003C7545" w:rsidRPr="00C75778" w:rsidRDefault="003C7545" w:rsidP="00165930">
      <w:pPr>
        <w:spacing w:after="0"/>
        <w:ind w:left="4536"/>
        <w:jc w:val="center"/>
        <w:rPr>
          <w:szCs w:val="20"/>
          <w:lang w:val="es-MX"/>
        </w:rPr>
      </w:pPr>
    </w:p>
    <w:p w:rsidR="00B10675" w:rsidRPr="00C75778" w:rsidRDefault="00B10675" w:rsidP="00165930">
      <w:pPr>
        <w:spacing w:after="0"/>
        <w:rPr>
          <w:szCs w:val="20"/>
        </w:rPr>
      </w:pPr>
    </w:p>
    <w:p w:rsidR="00490486" w:rsidRPr="00C75778" w:rsidRDefault="00490486" w:rsidP="00165930">
      <w:pPr>
        <w:spacing w:after="0"/>
        <w:rPr>
          <w:szCs w:val="20"/>
        </w:rPr>
      </w:pPr>
    </w:p>
    <w:p w:rsidR="00490486" w:rsidRPr="00C75778" w:rsidRDefault="00490486" w:rsidP="00165930">
      <w:pPr>
        <w:spacing w:after="0"/>
        <w:rPr>
          <w:szCs w:val="20"/>
        </w:rPr>
      </w:pPr>
    </w:p>
    <w:p w:rsidR="00490486" w:rsidRPr="00C75778" w:rsidRDefault="00490486" w:rsidP="00165930">
      <w:pPr>
        <w:spacing w:after="0"/>
        <w:rPr>
          <w:szCs w:val="20"/>
        </w:rPr>
      </w:pPr>
    </w:p>
    <w:p w:rsidR="00B10675" w:rsidRPr="00C75778" w:rsidRDefault="00B10675" w:rsidP="00165930">
      <w:pPr>
        <w:spacing w:after="0"/>
        <w:rPr>
          <w:szCs w:val="20"/>
        </w:rPr>
      </w:pPr>
    </w:p>
    <w:p w:rsidR="00B10675" w:rsidRPr="00C75778" w:rsidRDefault="00B10675" w:rsidP="00165930">
      <w:pPr>
        <w:spacing w:after="0"/>
        <w:ind w:right="6003"/>
        <w:jc w:val="center"/>
        <w:rPr>
          <w:szCs w:val="20"/>
        </w:rPr>
      </w:pPr>
      <w:r w:rsidRPr="00C75778">
        <w:rPr>
          <w:szCs w:val="20"/>
        </w:rPr>
        <w:t>Pablo Saavedra Alessandri</w:t>
      </w:r>
    </w:p>
    <w:p w:rsidR="00B10675" w:rsidRPr="006D6C07" w:rsidRDefault="00B10675" w:rsidP="00165930">
      <w:pPr>
        <w:spacing w:after="0"/>
        <w:ind w:right="6003"/>
        <w:jc w:val="center"/>
        <w:rPr>
          <w:szCs w:val="20"/>
        </w:rPr>
      </w:pPr>
      <w:r w:rsidRPr="00C75778">
        <w:rPr>
          <w:szCs w:val="20"/>
        </w:rPr>
        <w:t>Secretario</w:t>
      </w:r>
    </w:p>
    <w:p w:rsidR="00076BA7" w:rsidRPr="006D6C07" w:rsidRDefault="00076BA7" w:rsidP="00165930">
      <w:pPr>
        <w:spacing w:after="0"/>
        <w:rPr>
          <w:szCs w:val="20"/>
        </w:rPr>
      </w:pPr>
    </w:p>
    <w:sectPr w:rsidR="00076BA7" w:rsidRPr="006D6C07" w:rsidSect="00605CDC">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80" w:rsidRDefault="00203C80" w:rsidP="00B10675">
      <w:pPr>
        <w:spacing w:after="0"/>
      </w:pPr>
      <w:r>
        <w:separator/>
      </w:r>
    </w:p>
  </w:endnote>
  <w:endnote w:type="continuationSeparator" w:id="0">
    <w:p w:rsidR="00203C80" w:rsidRDefault="00203C80" w:rsidP="00B10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Arial"/>
    <w:panose1 w:val="020B0804030504040204"/>
    <w:charset w:val="00"/>
    <w:family w:val="swiss"/>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80" w:rsidRDefault="00203C80" w:rsidP="00B10675">
      <w:pPr>
        <w:spacing w:after="0"/>
      </w:pPr>
      <w:r>
        <w:separator/>
      </w:r>
    </w:p>
  </w:footnote>
  <w:footnote w:type="continuationSeparator" w:id="0">
    <w:p w:rsidR="00203C80" w:rsidRDefault="00203C80" w:rsidP="00B10675">
      <w:pPr>
        <w:spacing w:after="0"/>
      </w:pPr>
      <w:r>
        <w:continuationSeparator/>
      </w:r>
    </w:p>
  </w:footnote>
  <w:footnote w:id="1">
    <w:p w:rsidR="00136AD1" w:rsidRPr="00165930" w:rsidRDefault="00136AD1" w:rsidP="00165930">
      <w:pPr>
        <w:pStyle w:val="FootnoteText"/>
        <w:spacing w:after="0"/>
        <w:rPr>
          <w:szCs w:val="16"/>
          <w:lang w:val="es-CR"/>
        </w:rPr>
      </w:pPr>
      <w:r w:rsidRPr="00165930">
        <w:rPr>
          <w:rStyle w:val="FootnoteReference"/>
          <w:szCs w:val="16"/>
        </w:rPr>
        <w:footnoteRef/>
      </w:r>
      <w:r w:rsidRPr="00165930">
        <w:rPr>
          <w:szCs w:val="16"/>
        </w:rPr>
        <w:t xml:space="preserve"> </w:t>
      </w:r>
      <w:r w:rsidRPr="00165930">
        <w:rPr>
          <w:szCs w:val="16"/>
        </w:rPr>
        <w:tab/>
        <w:t xml:space="preserve">De conformidad con el artículo 37 del Reglamento de la Corte, la presunta víctima en este caso es representada por los Defensores Públicos Interamericanos Octavio Tito </w:t>
      </w:r>
      <w:proofErr w:type="spellStart"/>
      <w:r w:rsidRPr="00165930">
        <w:rPr>
          <w:szCs w:val="16"/>
        </w:rPr>
        <w:t>Sufán</w:t>
      </w:r>
      <w:proofErr w:type="spellEnd"/>
      <w:r w:rsidRPr="00165930">
        <w:rPr>
          <w:szCs w:val="16"/>
        </w:rPr>
        <w:t xml:space="preserve"> Farías y Nilda López </w:t>
      </w:r>
      <w:proofErr w:type="spellStart"/>
      <w:r w:rsidRPr="00165930">
        <w:rPr>
          <w:szCs w:val="16"/>
        </w:rPr>
        <w:t>Britez</w:t>
      </w:r>
      <w:proofErr w:type="spellEnd"/>
      <w:r w:rsidRPr="00165930">
        <w:rPr>
          <w:szCs w:val="16"/>
        </w:rPr>
        <w:t xml:space="preserve">, cuya designación para desempeñar esa función fue informada por la Asociación Interamericana de Defensorías Públicas (AIDEF) a la Secretaría de la Corte el 14 de noviembre y ratificada el 3 de diciembre 2017. </w:t>
      </w:r>
    </w:p>
  </w:footnote>
  <w:footnote w:id="2">
    <w:p w:rsidR="00136AD1" w:rsidRPr="00165930" w:rsidRDefault="00136AD1" w:rsidP="00165930">
      <w:pPr>
        <w:pStyle w:val="FootnoteText"/>
        <w:spacing w:after="0"/>
        <w:rPr>
          <w:szCs w:val="16"/>
          <w:lang w:val="es-CR"/>
        </w:rPr>
      </w:pPr>
      <w:r w:rsidRPr="00165930">
        <w:rPr>
          <w:rStyle w:val="FootnoteReference"/>
          <w:szCs w:val="16"/>
        </w:rPr>
        <w:footnoteRef/>
      </w:r>
      <w:r w:rsidRPr="00165930">
        <w:rPr>
          <w:szCs w:val="16"/>
        </w:rPr>
        <w:t xml:space="preserve"> </w:t>
      </w:r>
      <w:r w:rsidRPr="00165930">
        <w:rPr>
          <w:szCs w:val="16"/>
        </w:rPr>
        <w:tab/>
      </w:r>
      <w:r w:rsidRPr="00165930">
        <w:rPr>
          <w:i/>
          <w:szCs w:val="16"/>
        </w:rPr>
        <w:t>Cfr. Caso de la “Masacre de Pueblo Bello” Vs. Colombia</w:t>
      </w:r>
      <w:r w:rsidRPr="00165930">
        <w:rPr>
          <w:szCs w:val="16"/>
        </w:rPr>
        <w:t xml:space="preserve">. </w:t>
      </w:r>
      <w:r w:rsidR="00AD7DB4">
        <w:rPr>
          <w:szCs w:val="16"/>
        </w:rPr>
        <w:t xml:space="preserve">Convocatoria a audiencia. </w:t>
      </w:r>
      <w:r w:rsidRPr="00165930">
        <w:rPr>
          <w:szCs w:val="16"/>
        </w:rPr>
        <w:t xml:space="preserve">Resolución del Presidente de la Corte Interamericana de Derechos Humanos de 29 de julio de 2005, considerando 7, y </w:t>
      </w:r>
      <w:r w:rsidRPr="00165930">
        <w:rPr>
          <w:i/>
          <w:szCs w:val="16"/>
        </w:rPr>
        <w:t xml:space="preserve">Caso </w:t>
      </w:r>
      <w:proofErr w:type="spellStart"/>
      <w:r w:rsidR="00AD7DB4">
        <w:rPr>
          <w:i/>
          <w:szCs w:val="16"/>
        </w:rPr>
        <w:t>Arrom</w:t>
      </w:r>
      <w:proofErr w:type="spellEnd"/>
      <w:r w:rsidR="00AD7DB4">
        <w:rPr>
          <w:i/>
          <w:szCs w:val="16"/>
        </w:rPr>
        <w:t xml:space="preserve"> </w:t>
      </w:r>
      <w:proofErr w:type="spellStart"/>
      <w:r w:rsidR="00AD7DB4">
        <w:rPr>
          <w:i/>
          <w:szCs w:val="16"/>
        </w:rPr>
        <w:t>Suhurt</w:t>
      </w:r>
      <w:proofErr w:type="spellEnd"/>
      <w:r w:rsidR="00AD7DB4">
        <w:rPr>
          <w:i/>
          <w:szCs w:val="16"/>
        </w:rPr>
        <w:t xml:space="preserve"> y otros </w:t>
      </w:r>
      <w:r w:rsidRPr="00165930">
        <w:rPr>
          <w:i/>
          <w:szCs w:val="16"/>
        </w:rPr>
        <w:t xml:space="preserve"> Vs. </w:t>
      </w:r>
      <w:r w:rsidR="00AD7DB4">
        <w:rPr>
          <w:i/>
          <w:szCs w:val="16"/>
        </w:rPr>
        <w:t>Paraguay</w:t>
      </w:r>
      <w:r w:rsidRPr="00165930">
        <w:rPr>
          <w:i/>
          <w:szCs w:val="16"/>
        </w:rPr>
        <w:t>.</w:t>
      </w:r>
      <w:r w:rsidRPr="00165930">
        <w:rPr>
          <w:szCs w:val="16"/>
        </w:rPr>
        <w:t xml:space="preserve"> </w:t>
      </w:r>
      <w:r w:rsidR="00AD7DB4">
        <w:rPr>
          <w:szCs w:val="16"/>
        </w:rPr>
        <w:t xml:space="preserve">Convocatoria a audiencia. </w:t>
      </w:r>
      <w:r w:rsidRPr="00165930">
        <w:rPr>
          <w:szCs w:val="16"/>
        </w:rPr>
        <w:t>Resolución del Presidente de la Corte Interamericana de Derechos Humanos de 1</w:t>
      </w:r>
      <w:r w:rsidR="00AD7DB4">
        <w:rPr>
          <w:szCs w:val="16"/>
        </w:rPr>
        <w:t>7</w:t>
      </w:r>
      <w:r w:rsidRPr="00165930">
        <w:rPr>
          <w:szCs w:val="16"/>
        </w:rPr>
        <w:t xml:space="preserve"> de diciembre de 201</w:t>
      </w:r>
      <w:r w:rsidR="00AD7DB4">
        <w:rPr>
          <w:szCs w:val="16"/>
        </w:rPr>
        <w:t>8</w:t>
      </w:r>
      <w:r w:rsidRPr="00165930">
        <w:rPr>
          <w:szCs w:val="16"/>
        </w:rPr>
        <w:t xml:space="preserve">, considerando </w:t>
      </w:r>
      <w:r w:rsidR="00AD7DB4">
        <w:rPr>
          <w:szCs w:val="16"/>
        </w:rPr>
        <w:t>2</w:t>
      </w:r>
      <w:r w:rsidRPr="00165930">
        <w:rPr>
          <w:szCs w:val="16"/>
        </w:rPr>
        <w:t>8.</w:t>
      </w:r>
    </w:p>
  </w:footnote>
  <w:footnote w:id="3">
    <w:p w:rsidR="00136AD1" w:rsidRPr="00165930" w:rsidRDefault="00136AD1" w:rsidP="00165930">
      <w:pPr>
        <w:pStyle w:val="FootnoteText"/>
        <w:spacing w:after="0"/>
        <w:rPr>
          <w:szCs w:val="16"/>
          <w:lang w:val="es-CR"/>
        </w:rPr>
      </w:pPr>
      <w:r w:rsidRPr="00165930">
        <w:rPr>
          <w:rStyle w:val="FootnoteReference"/>
          <w:szCs w:val="16"/>
        </w:rPr>
        <w:footnoteRef/>
      </w:r>
      <w:r w:rsidRPr="00165930">
        <w:rPr>
          <w:szCs w:val="16"/>
        </w:rPr>
        <w:t xml:space="preserve"> </w:t>
      </w:r>
      <w:r w:rsidRPr="00165930">
        <w:rPr>
          <w:szCs w:val="16"/>
        </w:rPr>
        <w:tab/>
      </w:r>
      <w:r w:rsidRPr="00165930">
        <w:rPr>
          <w:i/>
          <w:szCs w:val="16"/>
        </w:rPr>
        <w:t>Cfr. Caso de la “Masacre de Pueblo Bello” Vs. Colombia</w:t>
      </w:r>
      <w:r w:rsidRPr="00165930">
        <w:rPr>
          <w:szCs w:val="16"/>
        </w:rPr>
        <w:t xml:space="preserve">. Resolución del Presidente de la Corte Interamericana de Derechos Humanos de 29 de julio de 2005, considerando 7, y </w:t>
      </w:r>
      <w:r w:rsidRPr="00165930">
        <w:rPr>
          <w:i/>
          <w:szCs w:val="16"/>
        </w:rPr>
        <w:t>Caso V.R.P. y V.P.C. Vs. Nicaragua.</w:t>
      </w:r>
      <w:r w:rsidRPr="00165930">
        <w:rPr>
          <w:szCs w:val="16"/>
        </w:rPr>
        <w:t xml:space="preserve"> Resolución del Presidente de la Corte Interamericana de Derechos Humanos de 21 de septiembre de 2017, considerando 12.</w:t>
      </w:r>
    </w:p>
    <w:p w:rsidR="00136AD1" w:rsidRPr="00165930" w:rsidRDefault="00136AD1" w:rsidP="00165930">
      <w:pPr>
        <w:tabs>
          <w:tab w:val="left" w:pos="567"/>
        </w:tabs>
        <w:spacing w:after="0"/>
        <w:rPr>
          <w:sz w:val="16"/>
          <w:szCs w:val="16"/>
          <w:u w:val="single"/>
          <w:lang w:val="es-CR"/>
        </w:rPr>
      </w:pPr>
    </w:p>
  </w:footnote>
  <w:footnote w:id="4">
    <w:p w:rsidR="00D012D6" w:rsidRPr="00165930" w:rsidRDefault="00D012D6" w:rsidP="00165930">
      <w:pPr>
        <w:tabs>
          <w:tab w:val="left" w:pos="567"/>
        </w:tabs>
        <w:spacing w:after="0"/>
        <w:rPr>
          <w:b/>
          <w:sz w:val="16"/>
          <w:szCs w:val="16"/>
        </w:rPr>
      </w:pPr>
      <w:r w:rsidRPr="00165930">
        <w:rPr>
          <w:rStyle w:val="FootnoteReference"/>
          <w:sz w:val="16"/>
          <w:szCs w:val="16"/>
        </w:rPr>
        <w:footnoteRef/>
      </w:r>
      <w:r w:rsidRPr="00165930">
        <w:rPr>
          <w:sz w:val="16"/>
          <w:szCs w:val="16"/>
        </w:rPr>
        <w:t xml:space="preserve"> </w:t>
      </w:r>
      <w:r w:rsidRPr="00165930">
        <w:rPr>
          <w:sz w:val="16"/>
          <w:szCs w:val="16"/>
        </w:rPr>
        <w:tab/>
      </w:r>
      <w:r w:rsidRPr="00D641F3">
        <w:rPr>
          <w:i/>
          <w:sz w:val="16"/>
          <w:szCs w:val="16"/>
        </w:rPr>
        <w:t>Cfr. Caso Cabrera García y Montiel Flores Vs. México.</w:t>
      </w:r>
      <w:r w:rsidR="00D641F3" w:rsidRPr="00D641F3">
        <w:rPr>
          <w:i/>
          <w:sz w:val="16"/>
          <w:szCs w:val="16"/>
        </w:rPr>
        <w:t xml:space="preserve"> </w:t>
      </w:r>
      <w:r w:rsidR="00D641F3" w:rsidRPr="00D641F3">
        <w:rPr>
          <w:rStyle w:val="Strong"/>
          <w:b w:val="0"/>
          <w:color w:val="000000"/>
          <w:sz w:val="16"/>
          <w:szCs w:val="16"/>
          <w:shd w:val="clear" w:color="auto" w:fill="FFFFFF"/>
        </w:rPr>
        <w:t xml:space="preserve">Convocatoria a audiencia. </w:t>
      </w:r>
      <w:r w:rsidRPr="00D641F3">
        <w:rPr>
          <w:sz w:val="16"/>
          <w:szCs w:val="16"/>
        </w:rPr>
        <w:t xml:space="preserve">Resolución del Presidente de la Corte Interamericana de Derechos Humanos de 2 de julio de 2010, considerando 21, y </w:t>
      </w:r>
      <w:r w:rsidR="00D641F3" w:rsidRPr="005E1311">
        <w:rPr>
          <w:i/>
          <w:sz w:val="16"/>
          <w:szCs w:val="16"/>
        </w:rPr>
        <w:t xml:space="preserve">Caso </w:t>
      </w:r>
      <w:proofErr w:type="spellStart"/>
      <w:r w:rsidR="00D641F3">
        <w:rPr>
          <w:i/>
          <w:sz w:val="16"/>
          <w:szCs w:val="16"/>
        </w:rPr>
        <w:t>Rosadio</w:t>
      </w:r>
      <w:proofErr w:type="spellEnd"/>
      <w:r w:rsidR="00D641F3">
        <w:rPr>
          <w:i/>
          <w:sz w:val="16"/>
          <w:szCs w:val="16"/>
        </w:rPr>
        <w:t xml:space="preserve"> Villavicencio</w:t>
      </w:r>
      <w:r w:rsidR="00D641F3" w:rsidRPr="005E1311">
        <w:rPr>
          <w:i/>
          <w:sz w:val="16"/>
          <w:szCs w:val="16"/>
        </w:rPr>
        <w:t xml:space="preserve"> Vs.</w:t>
      </w:r>
      <w:r w:rsidR="00207036">
        <w:rPr>
          <w:i/>
          <w:sz w:val="16"/>
          <w:szCs w:val="16"/>
        </w:rPr>
        <w:t xml:space="preserve"> Perú. Convocatoria a audiencia. </w:t>
      </w:r>
      <w:r w:rsidR="00D641F3" w:rsidRPr="005E1311">
        <w:rPr>
          <w:sz w:val="16"/>
          <w:szCs w:val="16"/>
        </w:rPr>
        <w:t xml:space="preserve">Resolución del Presidente de la Corte Interamericana de Derechos </w:t>
      </w:r>
      <w:r w:rsidR="00D641F3" w:rsidRPr="00D641F3">
        <w:rPr>
          <w:sz w:val="16"/>
          <w:szCs w:val="16"/>
        </w:rPr>
        <w:t xml:space="preserve">Humanos de </w:t>
      </w:r>
      <w:r w:rsidR="00D641F3">
        <w:rPr>
          <w:sz w:val="16"/>
          <w:szCs w:val="16"/>
        </w:rPr>
        <w:t>6 de diciembre</w:t>
      </w:r>
      <w:r w:rsidR="00D641F3" w:rsidRPr="00D641F3">
        <w:rPr>
          <w:sz w:val="16"/>
          <w:szCs w:val="16"/>
        </w:rPr>
        <w:t xml:space="preserve"> de 2018, considerando </w:t>
      </w:r>
      <w:r w:rsidR="00D641F3">
        <w:rPr>
          <w:sz w:val="16"/>
          <w:szCs w:val="16"/>
        </w:rPr>
        <w:t>25.</w:t>
      </w:r>
    </w:p>
  </w:footnote>
  <w:footnote w:id="5">
    <w:p w:rsidR="00136AD1" w:rsidRPr="00165930" w:rsidRDefault="00136AD1" w:rsidP="00165930">
      <w:pPr>
        <w:pStyle w:val="FootnoteText"/>
        <w:spacing w:after="0"/>
        <w:rPr>
          <w:szCs w:val="16"/>
          <w:lang w:val="es-CR"/>
        </w:rPr>
      </w:pPr>
      <w:r w:rsidRPr="00165930">
        <w:rPr>
          <w:rStyle w:val="FootnoteReference"/>
          <w:szCs w:val="16"/>
        </w:rPr>
        <w:footnoteRef/>
      </w:r>
      <w:r w:rsidRPr="00165930">
        <w:rPr>
          <w:szCs w:val="16"/>
        </w:rPr>
        <w:t xml:space="preserve"> </w:t>
      </w:r>
      <w:r w:rsidRPr="00165930">
        <w:rPr>
          <w:szCs w:val="16"/>
        </w:rPr>
        <w:tab/>
        <w:t>En su declaración jurada sostiene que actualmente se encuentra en estado de quiebra declarado por el Juzgado de Comercio N° 19 de la Ciudad Autónoma de Buenos Aires y que en consecuencia</w:t>
      </w:r>
      <w:r w:rsidR="007B65EA">
        <w:rPr>
          <w:szCs w:val="16"/>
        </w:rPr>
        <w:t>,</w:t>
      </w:r>
      <w:r w:rsidRPr="00165930">
        <w:rPr>
          <w:szCs w:val="16"/>
        </w:rPr>
        <w:t xml:space="preserve"> carece de recursos económicos para solventar los costos y gastos de </w:t>
      </w:r>
      <w:r w:rsidR="00F834C6" w:rsidRPr="00165930">
        <w:rPr>
          <w:szCs w:val="16"/>
        </w:rPr>
        <w:t xml:space="preserve">traslado, hospedaje, </w:t>
      </w:r>
      <w:r w:rsidR="006F105C">
        <w:rPr>
          <w:szCs w:val="16"/>
        </w:rPr>
        <w:t xml:space="preserve">y </w:t>
      </w:r>
      <w:r w:rsidR="00F834C6" w:rsidRPr="00165930">
        <w:rPr>
          <w:szCs w:val="16"/>
        </w:rPr>
        <w:t xml:space="preserve">viáticos para </w:t>
      </w:r>
      <w:r w:rsidR="006F105C">
        <w:rPr>
          <w:szCs w:val="16"/>
        </w:rPr>
        <w:t xml:space="preserve">su </w:t>
      </w:r>
      <w:r w:rsidR="00F834C6" w:rsidRPr="00165930">
        <w:rPr>
          <w:szCs w:val="16"/>
        </w:rPr>
        <w:t>participa</w:t>
      </w:r>
      <w:r w:rsidR="006F105C">
        <w:rPr>
          <w:szCs w:val="16"/>
        </w:rPr>
        <w:t>ción</w:t>
      </w:r>
      <w:r w:rsidR="00F834C6" w:rsidRPr="00165930">
        <w:rPr>
          <w:szCs w:val="16"/>
        </w:rPr>
        <w:t xml:space="preserve"> en </w:t>
      </w:r>
      <w:r w:rsidRPr="00165930">
        <w:rPr>
          <w:szCs w:val="16"/>
        </w:rPr>
        <w:t>la audiencia pública ante este Tribuna</w:t>
      </w:r>
      <w:r w:rsidR="00F834C6" w:rsidRPr="00165930">
        <w:rPr>
          <w:szCs w:val="16"/>
        </w:rPr>
        <w:t>l</w:t>
      </w:r>
      <w:r w:rsidR="006F105C">
        <w:rPr>
          <w:szCs w:val="16"/>
        </w:rPr>
        <w:t>, así como los gastos que se podrían generar por la propuesta de testigos y peritos.</w:t>
      </w:r>
      <w:r w:rsidRPr="00165930">
        <w:rPr>
          <w:szCs w:val="16"/>
        </w:rPr>
        <w:t xml:space="preserve"> </w:t>
      </w:r>
      <w:r w:rsidRPr="00165930">
        <w:rPr>
          <w:i/>
          <w:szCs w:val="16"/>
          <w:lang w:val="es-CR"/>
        </w:rPr>
        <w:t>Cfr.</w:t>
      </w:r>
      <w:r w:rsidRPr="00165930">
        <w:rPr>
          <w:szCs w:val="16"/>
          <w:lang w:val="es-CR"/>
        </w:rPr>
        <w:t xml:space="preserve"> Declaración jurada </w:t>
      </w:r>
      <w:r w:rsidR="00847CE0" w:rsidRPr="00165930">
        <w:rPr>
          <w:szCs w:val="16"/>
          <w:lang w:val="es-CR"/>
        </w:rPr>
        <w:t xml:space="preserve">del señor Gabriel Oscar Jenkins de </w:t>
      </w:r>
      <w:r w:rsidR="004A6FF4">
        <w:rPr>
          <w:szCs w:val="16"/>
          <w:lang w:val="es-CR"/>
        </w:rPr>
        <w:t>21 de febrero de 2018</w:t>
      </w:r>
      <w:r w:rsidRPr="00165930">
        <w:rPr>
          <w:szCs w:val="16"/>
          <w:lang w:val="es-CR"/>
        </w:rPr>
        <w:t xml:space="preserve"> (</w:t>
      </w:r>
      <w:r w:rsidR="00847CE0" w:rsidRPr="00165930">
        <w:rPr>
          <w:szCs w:val="16"/>
          <w:lang w:val="es-CR"/>
        </w:rPr>
        <w:t>expediente de prueba</w:t>
      </w:r>
      <w:r w:rsidRPr="00165930">
        <w:rPr>
          <w:szCs w:val="16"/>
          <w:lang w:val="es-CR"/>
        </w:rPr>
        <w:t xml:space="preserve">, </w:t>
      </w:r>
      <w:r w:rsidR="00847CE0" w:rsidRPr="00165930">
        <w:rPr>
          <w:szCs w:val="16"/>
          <w:lang w:val="es-CR"/>
        </w:rPr>
        <w:t>tomo XIII</w:t>
      </w:r>
      <w:r w:rsidR="00F834C6" w:rsidRPr="00165930">
        <w:rPr>
          <w:szCs w:val="16"/>
          <w:lang w:val="es-CR"/>
        </w:rPr>
        <w:t xml:space="preserve">, anexos al escrito de solicitudes y argumentos, </w:t>
      </w:r>
      <w:r w:rsidRPr="00165930">
        <w:rPr>
          <w:szCs w:val="16"/>
          <w:lang w:val="es-CR"/>
        </w:rPr>
        <w:t>folio 4723)</w:t>
      </w:r>
      <w:r w:rsidR="00F834C6" w:rsidRPr="00165930">
        <w:rPr>
          <w:szCs w:val="16"/>
          <w:lang w:val="es-CR"/>
        </w:rPr>
        <w:t>.</w:t>
      </w:r>
    </w:p>
  </w:footnote>
  <w:footnote w:id="6">
    <w:p w:rsidR="00136AD1" w:rsidRPr="00165930" w:rsidRDefault="00136AD1" w:rsidP="00165930">
      <w:pPr>
        <w:pStyle w:val="FootnoteText"/>
        <w:spacing w:after="0"/>
        <w:rPr>
          <w:szCs w:val="16"/>
        </w:rPr>
      </w:pPr>
      <w:r w:rsidRPr="00165930">
        <w:rPr>
          <w:rStyle w:val="FootnoteReference"/>
          <w:szCs w:val="16"/>
        </w:rPr>
        <w:footnoteRef/>
      </w:r>
      <w:r w:rsidRPr="00165930">
        <w:rPr>
          <w:szCs w:val="16"/>
        </w:rPr>
        <w:t xml:space="preserve"> </w:t>
      </w:r>
      <w:r w:rsidR="00A2543A" w:rsidRPr="00165930">
        <w:rPr>
          <w:szCs w:val="16"/>
        </w:rPr>
        <w:tab/>
      </w:r>
      <w:r w:rsidRPr="00165930">
        <w:rPr>
          <w:szCs w:val="16"/>
        </w:rPr>
        <w:t>Dicha norma prevé que “[e]n casos de presuntas víctimas sin representación legal debidamente acreditada, el Tribunal podrá designar un Defensor Interamericano de oficio que las represente durante la tramitación de[l] caso”.</w:t>
      </w:r>
    </w:p>
  </w:footnote>
  <w:footnote w:id="7">
    <w:p w:rsidR="00136AD1" w:rsidRPr="00165930" w:rsidRDefault="00136AD1" w:rsidP="00165930">
      <w:pPr>
        <w:pStyle w:val="FootnoteText"/>
        <w:spacing w:after="0"/>
        <w:rPr>
          <w:szCs w:val="16"/>
          <w:lang w:val="es-CR"/>
        </w:rPr>
      </w:pPr>
      <w:r w:rsidRPr="00165930">
        <w:rPr>
          <w:rStyle w:val="FootnoteReference"/>
          <w:szCs w:val="16"/>
        </w:rPr>
        <w:footnoteRef/>
      </w:r>
      <w:r w:rsidRPr="00165930">
        <w:rPr>
          <w:szCs w:val="16"/>
        </w:rPr>
        <w:t xml:space="preserve"> </w:t>
      </w:r>
      <w:r w:rsidR="00A2543A" w:rsidRPr="00165930">
        <w:rPr>
          <w:szCs w:val="16"/>
        </w:rPr>
        <w:tab/>
      </w:r>
      <w:r w:rsidRPr="00165930">
        <w:rPr>
          <w:i/>
          <w:szCs w:val="16"/>
        </w:rPr>
        <w:t xml:space="preserve">Cfr. Caso Familia Pacheco Tineo Vs. Bolivia. </w:t>
      </w:r>
      <w:r w:rsidRPr="00165930">
        <w:rPr>
          <w:szCs w:val="16"/>
        </w:rPr>
        <w:t xml:space="preserve">Resolución del Presidente de la Corte Interamericana de Derechos Humanos de 19 de febrero de 2013, considerando 11, y </w:t>
      </w:r>
      <w:r w:rsidRPr="00165930">
        <w:rPr>
          <w:i/>
          <w:szCs w:val="16"/>
        </w:rPr>
        <w:t>Caso V</w:t>
      </w:r>
      <w:r w:rsidR="007B65EA">
        <w:rPr>
          <w:i/>
          <w:szCs w:val="16"/>
        </w:rPr>
        <w:t xml:space="preserve">illaseñor y otros </w:t>
      </w:r>
      <w:r w:rsidRPr="00165930">
        <w:rPr>
          <w:i/>
          <w:szCs w:val="16"/>
        </w:rPr>
        <w:t xml:space="preserve">Vs. </w:t>
      </w:r>
      <w:r w:rsidR="007B65EA">
        <w:rPr>
          <w:i/>
          <w:szCs w:val="16"/>
        </w:rPr>
        <w:t>Guatemala</w:t>
      </w:r>
      <w:r w:rsidRPr="00165930">
        <w:rPr>
          <w:i/>
          <w:szCs w:val="16"/>
        </w:rPr>
        <w:t>.</w:t>
      </w:r>
      <w:r w:rsidRPr="00165930">
        <w:rPr>
          <w:szCs w:val="16"/>
        </w:rPr>
        <w:t xml:space="preserve"> Convocatoria de audiencia. Resolución del Presidente de la Corte Interamericana de Derechos Humanos de 2</w:t>
      </w:r>
      <w:r w:rsidR="007B65EA">
        <w:rPr>
          <w:szCs w:val="16"/>
        </w:rPr>
        <w:t>4</w:t>
      </w:r>
      <w:r w:rsidRPr="00165930">
        <w:rPr>
          <w:szCs w:val="16"/>
        </w:rPr>
        <w:t xml:space="preserve"> de</w:t>
      </w:r>
      <w:r w:rsidR="007B65EA">
        <w:rPr>
          <w:szCs w:val="16"/>
        </w:rPr>
        <w:t xml:space="preserve"> abril de 2018</w:t>
      </w:r>
      <w:r w:rsidRPr="00165930">
        <w:rPr>
          <w:szCs w:val="16"/>
        </w:rPr>
        <w:t xml:space="preserve">, considerando </w:t>
      </w:r>
      <w:r w:rsidR="007B65EA">
        <w:rPr>
          <w:szCs w:val="16"/>
        </w:rPr>
        <w:t>17</w:t>
      </w:r>
      <w:r w:rsidRPr="00165930">
        <w:rPr>
          <w:szCs w:val="16"/>
        </w:rPr>
        <w:t>.</w:t>
      </w:r>
    </w:p>
  </w:footnote>
  <w:footnote w:id="8">
    <w:p w:rsidR="00886DD3" w:rsidRPr="00165930" w:rsidRDefault="00886DD3" w:rsidP="00165930">
      <w:pPr>
        <w:pStyle w:val="ListParagraph"/>
        <w:tabs>
          <w:tab w:val="left" w:pos="567"/>
        </w:tabs>
        <w:autoSpaceDE w:val="0"/>
        <w:autoSpaceDN w:val="0"/>
        <w:adjustRightInd w:val="0"/>
        <w:spacing w:after="0"/>
        <w:ind w:left="0"/>
        <w:contextualSpacing w:val="0"/>
        <w:rPr>
          <w:rFonts w:cs="Verdana"/>
          <w:spacing w:val="-2"/>
          <w:sz w:val="16"/>
          <w:szCs w:val="16"/>
          <w:lang w:val="es-ES"/>
        </w:rPr>
      </w:pPr>
      <w:r w:rsidRPr="00165930">
        <w:rPr>
          <w:rStyle w:val="FootnoteReference"/>
          <w:sz w:val="16"/>
          <w:szCs w:val="16"/>
        </w:rPr>
        <w:footnoteRef/>
      </w:r>
      <w:r w:rsidRPr="00165930">
        <w:rPr>
          <w:sz w:val="16"/>
          <w:szCs w:val="16"/>
        </w:rPr>
        <w:t xml:space="preserve"> </w:t>
      </w:r>
      <w:r w:rsidR="00A2543A" w:rsidRPr="00165930">
        <w:rPr>
          <w:sz w:val="16"/>
          <w:szCs w:val="16"/>
        </w:rPr>
        <w:tab/>
      </w:r>
      <w:r w:rsidRPr="00165930">
        <w:rPr>
          <w:sz w:val="16"/>
          <w:szCs w:val="16"/>
        </w:rPr>
        <w:t xml:space="preserve">Si bien los representantes no solicitaron específicamente la cobertura de </w:t>
      </w:r>
      <w:r w:rsidRPr="00165930">
        <w:rPr>
          <w:sz w:val="16"/>
          <w:szCs w:val="16"/>
          <w:lang w:val="es-ES"/>
        </w:rPr>
        <w:t xml:space="preserve">los gastos que eventualmente pudiera ocasionar la recepción de una declaración testimonial y un dictamen pericial por </w:t>
      </w:r>
      <w:r w:rsidRPr="00165930">
        <w:rPr>
          <w:i/>
          <w:sz w:val="16"/>
          <w:szCs w:val="16"/>
          <w:lang w:val="es-ES"/>
        </w:rPr>
        <w:t>affidávit</w:t>
      </w:r>
      <w:r w:rsidRPr="00165930">
        <w:rPr>
          <w:sz w:val="16"/>
          <w:szCs w:val="16"/>
          <w:lang w:val="es-ES"/>
        </w:rPr>
        <w:t>, conforme al artículo 4 del Acuerdo de Entendimiento entre la Corte Interamericana y la Asociación Interamericana de Defensoría</w:t>
      </w:r>
      <w:r w:rsidR="00D77E68">
        <w:rPr>
          <w:sz w:val="16"/>
          <w:szCs w:val="16"/>
          <w:lang w:val="es-ES"/>
        </w:rPr>
        <w:t>s</w:t>
      </w:r>
      <w:r w:rsidRPr="00165930">
        <w:rPr>
          <w:sz w:val="16"/>
          <w:szCs w:val="16"/>
          <w:lang w:val="es-ES"/>
        </w:rPr>
        <w:t xml:space="preserve"> Públicas, se entiende que estos gastos serán cubiertos por dicho fondo.</w:t>
      </w:r>
    </w:p>
    <w:p w:rsidR="00886DD3" w:rsidRPr="00165930" w:rsidRDefault="00886DD3" w:rsidP="00165930">
      <w:pPr>
        <w:pStyle w:val="FootnoteText"/>
        <w:spacing w:after="0"/>
        <w:rPr>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D1" w:rsidRDefault="00136AD1">
    <w:pPr>
      <w:pStyle w:val="Header"/>
      <w:jc w:val="center"/>
    </w:pPr>
    <w:r>
      <w:t>-</w:t>
    </w:r>
    <w:sdt>
      <w:sdtPr>
        <w:id w:val="-1718731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548B">
          <w:rPr>
            <w:noProof/>
          </w:rPr>
          <w:t>10</w:t>
        </w:r>
        <w:r>
          <w:rPr>
            <w:noProof/>
          </w:rPr>
          <w:fldChar w:fldCharType="end"/>
        </w:r>
        <w:r>
          <w:rPr>
            <w:noProof/>
          </w:rPr>
          <w:t>-</w:t>
        </w:r>
      </w:sdtContent>
    </w:sdt>
  </w:p>
  <w:p w:rsidR="00136AD1" w:rsidRDefault="00136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554BC6"/>
    <w:multiLevelType w:val="hybridMultilevel"/>
    <w:tmpl w:val="4F3E5260"/>
    <w:lvl w:ilvl="0" w:tplc="9B6603F0">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CC0FE4"/>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3">
    <w:nsid w:val="091A5425"/>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227FBA"/>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E541AD"/>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19C83564"/>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1A9F0A54"/>
    <w:multiLevelType w:val="hybridMultilevel"/>
    <w:tmpl w:val="ECCE2D92"/>
    <w:lvl w:ilvl="0" w:tplc="47ECB2A4">
      <w:start w:val="1"/>
      <w:numFmt w:val="upperLetter"/>
      <w:lvlText w:val="%1."/>
      <w:lvlJc w:val="left"/>
      <w:pPr>
        <w:ind w:left="502"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AF2DCD"/>
    <w:multiLevelType w:val="hybridMultilevel"/>
    <w:tmpl w:val="93A4791E"/>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83FE2"/>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1">
    <w:nsid w:val="29293BF9"/>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2A780770"/>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A26AB"/>
    <w:multiLevelType w:val="hybridMultilevel"/>
    <w:tmpl w:val="249CD09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nsid w:val="3E9B7ACA"/>
    <w:multiLevelType w:val="hybridMultilevel"/>
    <w:tmpl w:val="C53E571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76BF6"/>
    <w:multiLevelType w:val="hybridMultilevel"/>
    <w:tmpl w:val="43243FE4"/>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7">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0600B2"/>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nsid w:val="5A2C2230"/>
    <w:multiLevelType w:val="hybridMultilevel"/>
    <w:tmpl w:val="9912C85A"/>
    <w:lvl w:ilvl="0" w:tplc="A852EBAA">
      <w:start w:val="1"/>
      <w:numFmt w:val="decimal"/>
      <w:lvlText w:val="%1."/>
      <w:lvlJc w:val="left"/>
      <w:pPr>
        <w:ind w:left="720" w:hanging="360"/>
      </w:pPr>
      <w:rPr>
        <w:strike w:val="0"/>
        <w:dstrike w:val="0"/>
        <w:u w:val="none"/>
        <w:effect w:val="none"/>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nsid w:val="5A6C2C1F"/>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22">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3">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4167C5"/>
    <w:multiLevelType w:val="hybridMultilevel"/>
    <w:tmpl w:val="56E2A2AE"/>
    <w:lvl w:ilvl="0" w:tplc="0FD0E226">
      <w:start w:val="2"/>
      <w:numFmt w:val="decimal"/>
      <w:lvlText w:val="%1."/>
      <w:lvlJc w:val="left"/>
      <w:pPr>
        <w:tabs>
          <w:tab w:val="num" w:pos="3600"/>
        </w:tabs>
      </w:pPr>
      <w:rPr>
        <w:rFonts w:ascii="Verdana" w:hAnsi="Verdana" w:cs="Times New Roman" w:hint="default"/>
        <w:b w:val="0"/>
        <w:i w:val="0"/>
        <w:sz w:val="20"/>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5">
    <w:nsid w:val="73F727DD"/>
    <w:multiLevelType w:val="hybridMultilevel"/>
    <w:tmpl w:val="EE66510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6">
    <w:nsid w:val="74A64D9D"/>
    <w:multiLevelType w:val="hybridMultilevel"/>
    <w:tmpl w:val="D47AF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B7C72"/>
    <w:multiLevelType w:val="hybridMultilevel"/>
    <w:tmpl w:val="E1225B1E"/>
    <w:lvl w:ilvl="0" w:tplc="D1901EA4">
      <w:start w:val="1"/>
      <w:numFmt w:val="upperLetter"/>
      <w:lvlText w:val="%1)"/>
      <w:lvlJc w:val="left"/>
      <w:pPr>
        <w:ind w:left="644"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6"/>
  </w:num>
  <w:num w:numId="13">
    <w:abstractNumId w:val="15"/>
  </w:num>
  <w:num w:numId="14">
    <w:abstractNumId w:val="1"/>
  </w:num>
  <w:num w:numId="15">
    <w:abstractNumId w:val="5"/>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 w:numId="28">
    <w:abstractNumId w:val="10"/>
  </w:num>
  <w:num w:numId="29">
    <w:abstractNumId w:val="2"/>
  </w:num>
  <w:num w:numId="30">
    <w:abstractNumId w:val="25"/>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75"/>
    <w:rsid w:val="00000ABF"/>
    <w:rsid w:val="00003D67"/>
    <w:rsid w:val="00003D73"/>
    <w:rsid w:val="00004042"/>
    <w:rsid w:val="0002496A"/>
    <w:rsid w:val="0004675C"/>
    <w:rsid w:val="00071380"/>
    <w:rsid w:val="00076BA7"/>
    <w:rsid w:val="000843E2"/>
    <w:rsid w:val="000A61F1"/>
    <w:rsid w:val="000B7A26"/>
    <w:rsid w:val="000E3678"/>
    <w:rsid w:val="000E6675"/>
    <w:rsid w:val="000E70BD"/>
    <w:rsid w:val="00107395"/>
    <w:rsid w:val="00136AD1"/>
    <w:rsid w:val="00163834"/>
    <w:rsid w:val="00165930"/>
    <w:rsid w:val="00170DDA"/>
    <w:rsid w:val="00176627"/>
    <w:rsid w:val="0018390D"/>
    <w:rsid w:val="001A795B"/>
    <w:rsid w:val="001B02B3"/>
    <w:rsid w:val="001B5BD0"/>
    <w:rsid w:val="001B6BCF"/>
    <w:rsid w:val="001C0723"/>
    <w:rsid w:val="001C5013"/>
    <w:rsid w:val="001D3BF2"/>
    <w:rsid w:val="001F2450"/>
    <w:rsid w:val="002035E9"/>
    <w:rsid w:val="00203C80"/>
    <w:rsid w:val="00204BFF"/>
    <w:rsid w:val="00207036"/>
    <w:rsid w:val="00217992"/>
    <w:rsid w:val="00282066"/>
    <w:rsid w:val="002A45DF"/>
    <w:rsid w:val="002A4FC7"/>
    <w:rsid w:val="002A5EBD"/>
    <w:rsid w:val="002C4C8A"/>
    <w:rsid w:val="002E7E6A"/>
    <w:rsid w:val="002F2625"/>
    <w:rsid w:val="00304462"/>
    <w:rsid w:val="00314FF6"/>
    <w:rsid w:val="00320167"/>
    <w:rsid w:val="00327355"/>
    <w:rsid w:val="003439BA"/>
    <w:rsid w:val="00363FDD"/>
    <w:rsid w:val="003876FC"/>
    <w:rsid w:val="003A6617"/>
    <w:rsid w:val="003C7545"/>
    <w:rsid w:val="003D0651"/>
    <w:rsid w:val="003D1F07"/>
    <w:rsid w:val="003D548A"/>
    <w:rsid w:val="00400470"/>
    <w:rsid w:val="00402E1C"/>
    <w:rsid w:val="00432425"/>
    <w:rsid w:val="0043416D"/>
    <w:rsid w:val="004455FA"/>
    <w:rsid w:val="0044589F"/>
    <w:rsid w:val="00455BBF"/>
    <w:rsid w:val="004570D5"/>
    <w:rsid w:val="00466B2B"/>
    <w:rsid w:val="00467AA1"/>
    <w:rsid w:val="00472BDF"/>
    <w:rsid w:val="0048322D"/>
    <w:rsid w:val="00490486"/>
    <w:rsid w:val="004A6FF4"/>
    <w:rsid w:val="004F4757"/>
    <w:rsid w:val="004F50C1"/>
    <w:rsid w:val="00515ABF"/>
    <w:rsid w:val="00523FEF"/>
    <w:rsid w:val="005257FE"/>
    <w:rsid w:val="00547704"/>
    <w:rsid w:val="005755A8"/>
    <w:rsid w:val="00583435"/>
    <w:rsid w:val="00596B42"/>
    <w:rsid w:val="005E1311"/>
    <w:rsid w:val="005E2970"/>
    <w:rsid w:val="005E3C1A"/>
    <w:rsid w:val="0060102B"/>
    <w:rsid w:val="00604A32"/>
    <w:rsid w:val="00605CDC"/>
    <w:rsid w:val="00607314"/>
    <w:rsid w:val="006449B0"/>
    <w:rsid w:val="00650DA4"/>
    <w:rsid w:val="006864EC"/>
    <w:rsid w:val="006907BF"/>
    <w:rsid w:val="00690984"/>
    <w:rsid w:val="006B0FAB"/>
    <w:rsid w:val="006B41CD"/>
    <w:rsid w:val="006C327E"/>
    <w:rsid w:val="006C51D5"/>
    <w:rsid w:val="006D4167"/>
    <w:rsid w:val="006D6C07"/>
    <w:rsid w:val="006D762E"/>
    <w:rsid w:val="006F105C"/>
    <w:rsid w:val="0070448C"/>
    <w:rsid w:val="00706BB5"/>
    <w:rsid w:val="00740D02"/>
    <w:rsid w:val="00744F7B"/>
    <w:rsid w:val="007743ED"/>
    <w:rsid w:val="007B65EA"/>
    <w:rsid w:val="007E1470"/>
    <w:rsid w:val="00821852"/>
    <w:rsid w:val="0082407D"/>
    <w:rsid w:val="008275B0"/>
    <w:rsid w:val="00847419"/>
    <w:rsid w:val="00847CE0"/>
    <w:rsid w:val="00853EEB"/>
    <w:rsid w:val="00855D9A"/>
    <w:rsid w:val="00864C6E"/>
    <w:rsid w:val="00877E09"/>
    <w:rsid w:val="00884A5D"/>
    <w:rsid w:val="00886DD3"/>
    <w:rsid w:val="008A17ED"/>
    <w:rsid w:val="008B40B5"/>
    <w:rsid w:val="008C1688"/>
    <w:rsid w:val="008C5A73"/>
    <w:rsid w:val="008D69EC"/>
    <w:rsid w:val="008E05C2"/>
    <w:rsid w:val="008F2DFA"/>
    <w:rsid w:val="00906BF7"/>
    <w:rsid w:val="00916741"/>
    <w:rsid w:val="0092372F"/>
    <w:rsid w:val="00937ABF"/>
    <w:rsid w:val="00950199"/>
    <w:rsid w:val="00966A9B"/>
    <w:rsid w:val="00977507"/>
    <w:rsid w:val="00983C45"/>
    <w:rsid w:val="0098626F"/>
    <w:rsid w:val="00992B9C"/>
    <w:rsid w:val="009B10C0"/>
    <w:rsid w:val="009B523D"/>
    <w:rsid w:val="009D643C"/>
    <w:rsid w:val="009D6D8A"/>
    <w:rsid w:val="009E6C87"/>
    <w:rsid w:val="00A10521"/>
    <w:rsid w:val="00A10CD3"/>
    <w:rsid w:val="00A242C2"/>
    <w:rsid w:val="00A2543A"/>
    <w:rsid w:val="00A25927"/>
    <w:rsid w:val="00A52F55"/>
    <w:rsid w:val="00A55F28"/>
    <w:rsid w:val="00A6479F"/>
    <w:rsid w:val="00A77B0D"/>
    <w:rsid w:val="00A83B21"/>
    <w:rsid w:val="00A95362"/>
    <w:rsid w:val="00A95ADF"/>
    <w:rsid w:val="00AB4A53"/>
    <w:rsid w:val="00AC20D7"/>
    <w:rsid w:val="00AD199A"/>
    <w:rsid w:val="00AD699A"/>
    <w:rsid w:val="00AD7DB4"/>
    <w:rsid w:val="00B10675"/>
    <w:rsid w:val="00B10F4D"/>
    <w:rsid w:val="00B121C6"/>
    <w:rsid w:val="00B213F8"/>
    <w:rsid w:val="00B266F4"/>
    <w:rsid w:val="00B3560B"/>
    <w:rsid w:val="00B41A22"/>
    <w:rsid w:val="00B75CE2"/>
    <w:rsid w:val="00BA106A"/>
    <w:rsid w:val="00BB2215"/>
    <w:rsid w:val="00BB3B49"/>
    <w:rsid w:val="00BF4B82"/>
    <w:rsid w:val="00C02B1B"/>
    <w:rsid w:val="00C421AF"/>
    <w:rsid w:val="00C577E3"/>
    <w:rsid w:val="00C75778"/>
    <w:rsid w:val="00C80B0F"/>
    <w:rsid w:val="00C92557"/>
    <w:rsid w:val="00CA1A59"/>
    <w:rsid w:val="00CB5DAE"/>
    <w:rsid w:val="00CB7520"/>
    <w:rsid w:val="00CC7F80"/>
    <w:rsid w:val="00CD3944"/>
    <w:rsid w:val="00D012D6"/>
    <w:rsid w:val="00D02735"/>
    <w:rsid w:val="00D061FB"/>
    <w:rsid w:val="00D103B5"/>
    <w:rsid w:val="00D52287"/>
    <w:rsid w:val="00D641F3"/>
    <w:rsid w:val="00D77E68"/>
    <w:rsid w:val="00D9059A"/>
    <w:rsid w:val="00DA5B7F"/>
    <w:rsid w:val="00DD29CD"/>
    <w:rsid w:val="00E11166"/>
    <w:rsid w:val="00E14291"/>
    <w:rsid w:val="00E22E1F"/>
    <w:rsid w:val="00E23E2A"/>
    <w:rsid w:val="00E35145"/>
    <w:rsid w:val="00E75884"/>
    <w:rsid w:val="00E8548B"/>
    <w:rsid w:val="00E8698D"/>
    <w:rsid w:val="00E933BA"/>
    <w:rsid w:val="00E966E5"/>
    <w:rsid w:val="00EA100C"/>
    <w:rsid w:val="00EA345D"/>
    <w:rsid w:val="00EA41C2"/>
    <w:rsid w:val="00EC429C"/>
    <w:rsid w:val="00EC791C"/>
    <w:rsid w:val="00ED7F0C"/>
    <w:rsid w:val="00EE35CF"/>
    <w:rsid w:val="00EF0AB0"/>
    <w:rsid w:val="00F1531E"/>
    <w:rsid w:val="00F255C0"/>
    <w:rsid w:val="00F36470"/>
    <w:rsid w:val="00F40B91"/>
    <w:rsid w:val="00F4202C"/>
    <w:rsid w:val="00F5382C"/>
    <w:rsid w:val="00F834C6"/>
    <w:rsid w:val="00F84263"/>
    <w:rsid w:val="00F87128"/>
    <w:rsid w:val="00F93E27"/>
    <w:rsid w:val="00FA1A53"/>
    <w:rsid w:val="00FB77E5"/>
    <w:rsid w:val="00FC771F"/>
    <w:rsid w:val="00FD4D84"/>
    <w:rsid w:val="00FE0872"/>
    <w:rsid w:val="00FE0B2F"/>
    <w:rsid w:val="00FE69DA"/>
    <w:rsid w:val="00FE6C79"/>
    <w:rsid w:val="00FF52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locked/>
    <w:rsid w:val="00A2543A"/>
    <w:rPr>
      <w:rFonts w:ascii="Verdana" w:eastAsia="Calibri" w:hAnsi="Verdana" w:cs="Times"/>
      <w:sz w:val="16"/>
      <w:szCs w:val="20"/>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unhideWhenUsed/>
    <w:qFormat/>
    <w:rsid w:val="00A2543A"/>
    <w:pPr>
      <w:tabs>
        <w:tab w:val="left" w:pos="567"/>
      </w:tabs>
    </w:pPr>
    <w:rPr>
      <w:sz w:val="16"/>
      <w:szCs w:val="20"/>
    </w:rPr>
  </w:style>
  <w:style w:type="character" w:customStyle="1" w:styleId="FootnoteTextChar1">
    <w:name w:val="Footnote Text Char1"/>
    <w:basedOn w:val="DefaultParagraphFont"/>
    <w:uiPriority w:val="99"/>
    <w:semiHidden/>
    <w:rsid w:val="00B10675"/>
    <w:rPr>
      <w:rFonts w:ascii="Verdana" w:eastAsia="Calibri" w:hAnsi="Verdana" w:cs="Times"/>
      <w:sz w:val="20"/>
      <w:szCs w:val="20"/>
      <w:lang w:val="es-ES_tradnl" w:eastAsia="es-ES"/>
    </w:rPr>
  </w:style>
  <w:style w:type="paragraph" w:styleId="BodyTextIndent">
    <w:name w:val="Body Text Indent"/>
    <w:basedOn w:val="Normal"/>
    <w:link w:val="BodyTextIndentChar"/>
    <w:uiPriority w:val="99"/>
    <w:semiHidden/>
    <w:unhideWhenUsed/>
    <w:rsid w:val="00B10675"/>
    <w:pPr>
      <w:ind w:left="283"/>
    </w:pPr>
  </w:style>
  <w:style w:type="character" w:customStyle="1" w:styleId="BodyTextIndentChar">
    <w:name w:val="Body Text Indent Char"/>
    <w:basedOn w:val="DefaultParagraphFont"/>
    <w:link w:val="BodyTextIndent"/>
    <w:uiPriority w:val="99"/>
    <w:semiHidden/>
    <w:rsid w:val="00B10675"/>
    <w:rPr>
      <w:rFonts w:ascii="Verdana" w:eastAsia="Calibri" w:hAnsi="Verdana" w:cs="Times"/>
      <w:sz w:val="20"/>
      <w:szCs w:val="24"/>
      <w:lang w:val="es-ES_tradnl" w:eastAsia="es-ES"/>
    </w:rPr>
  </w:style>
  <w:style w:type="paragraph" w:styleId="ListParagraph">
    <w:name w:val="List Paragraph"/>
    <w:aliases w:val="Footnote,List Paragraph2,Lista vistosa - Énfasis 11,Párrafo de lista1"/>
    <w:basedOn w:val="Normal"/>
    <w:link w:val="ListParagraphChar"/>
    <w:uiPriority w:val="99"/>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nhideWhenUsed/>
    <w:qFormat/>
    <w:rsid w:val="00B10675"/>
    <w:rPr>
      <w:vertAlign w:val="superscript"/>
    </w:rPr>
  </w:style>
  <w:style w:type="paragraph" w:styleId="BalloonText">
    <w:name w:val="Balloon Text"/>
    <w:basedOn w:val="Normal"/>
    <w:link w:val="BalloonTextChar"/>
    <w:uiPriority w:val="99"/>
    <w:semiHidden/>
    <w:unhideWhenUsed/>
    <w:rsid w:val="00E23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2A"/>
    <w:rPr>
      <w:rFonts w:ascii="Tahoma" w:eastAsia="Calibri" w:hAnsi="Tahoma" w:cs="Tahoma"/>
      <w:sz w:val="16"/>
      <w:szCs w:val="16"/>
      <w:lang w:val="es-ES_tradnl" w:eastAsia="es-ES"/>
    </w:rPr>
  </w:style>
  <w:style w:type="character" w:customStyle="1" w:styleId="ListParagraphChar">
    <w:name w:val="List Paragraph Char"/>
    <w:aliases w:val="Footnote Char,List Paragraph2 Char,Lista vistosa - Énfasis 11 Char,Párrafo de lista1 Char"/>
    <w:link w:val="ListParagraph"/>
    <w:uiPriority w:val="99"/>
    <w:locked/>
    <w:rsid w:val="001C0723"/>
    <w:rPr>
      <w:rFonts w:ascii="Verdana" w:eastAsia="Calibri" w:hAnsi="Verdana" w:cs="Times"/>
      <w:sz w:val="20"/>
      <w:szCs w:val="24"/>
      <w:lang w:val="es-ES_tradnl" w:eastAsia="es-ES"/>
    </w:rPr>
  </w:style>
  <w:style w:type="character" w:styleId="CommentReference">
    <w:name w:val="annotation reference"/>
    <w:basedOn w:val="DefaultParagraphFont"/>
    <w:uiPriority w:val="99"/>
    <w:semiHidden/>
    <w:unhideWhenUsed/>
    <w:rsid w:val="00A77B0D"/>
    <w:rPr>
      <w:sz w:val="16"/>
      <w:szCs w:val="16"/>
    </w:rPr>
  </w:style>
  <w:style w:type="paragraph" w:styleId="CommentText">
    <w:name w:val="annotation text"/>
    <w:basedOn w:val="Normal"/>
    <w:link w:val="CommentTextChar"/>
    <w:uiPriority w:val="99"/>
    <w:semiHidden/>
    <w:unhideWhenUsed/>
    <w:rsid w:val="00A77B0D"/>
    <w:rPr>
      <w:szCs w:val="20"/>
    </w:rPr>
  </w:style>
  <w:style w:type="character" w:customStyle="1" w:styleId="CommentTextChar">
    <w:name w:val="Comment Text Char"/>
    <w:basedOn w:val="DefaultParagraphFont"/>
    <w:link w:val="CommentText"/>
    <w:uiPriority w:val="99"/>
    <w:semiHidden/>
    <w:rsid w:val="00A77B0D"/>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A77B0D"/>
    <w:rPr>
      <w:b/>
      <w:bCs/>
    </w:rPr>
  </w:style>
  <w:style w:type="character" w:customStyle="1" w:styleId="CommentSubjectChar">
    <w:name w:val="Comment Subject Char"/>
    <w:basedOn w:val="CommentTextChar"/>
    <w:link w:val="CommentSubject"/>
    <w:uiPriority w:val="99"/>
    <w:semiHidden/>
    <w:rsid w:val="00A77B0D"/>
    <w:rPr>
      <w:rFonts w:ascii="Verdana" w:eastAsia="Calibri" w:hAnsi="Verdana" w:cs="Times"/>
      <w:b/>
      <w:bCs/>
      <w:sz w:val="20"/>
      <w:szCs w:val="20"/>
      <w:lang w:val="es-ES_tradnl" w:eastAsia="es-ES"/>
    </w:rPr>
  </w:style>
  <w:style w:type="paragraph" w:styleId="Header">
    <w:name w:val="header"/>
    <w:basedOn w:val="Normal"/>
    <w:link w:val="HeaderChar"/>
    <w:uiPriority w:val="99"/>
    <w:unhideWhenUsed/>
    <w:rsid w:val="00547704"/>
    <w:pPr>
      <w:tabs>
        <w:tab w:val="center" w:pos="4419"/>
        <w:tab w:val="right" w:pos="8838"/>
      </w:tabs>
      <w:spacing w:after="0"/>
    </w:pPr>
  </w:style>
  <w:style w:type="character" w:customStyle="1" w:styleId="HeaderChar">
    <w:name w:val="Header Char"/>
    <w:basedOn w:val="DefaultParagraphFont"/>
    <w:link w:val="Header"/>
    <w:uiPriority w:val="99"/>
    <w:rsid w:val="00547704"/>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547704"/>
    <w:pPr>
      <w:tabs>
        <w:tab w:val="center" w:pos="4419"/>
        <w:tab w:val="right" w:pos="8838"/>
      </w:tabs>
      <w:spacing w:after="0"/>
    </w:pPr>
  </w:style>
  <w:style w:type="character" w:customStyle="1" w:styleId="FooterChar">
    <w:name w:val="Footer Char"/>
    <w:basedOn w:val="DefaultParagraphFont"/>
    <w:link w:val="Footer"/>
    <w:uiPriority w:val="99"/>
    <w:rsid w:val="00547704"/>
    <w:rPr>
      <w:rFonts w:ascii="Verdana" w:eastAsia="Calibri" w:hAnsi="Verdana" w:cs="Times"/>
      <w:sz w:val="20"/>
      <w:szCs w:val="24"/>
      <w:lang w:val="es-ES_tradnl" w:eastAsia="es-ES"/>
    </w:rPr>
  </w:style>
  <w:style w:type="paragraph" w:styleId="BodyText">
    <w:name w:val="Body Text"/>
    <w:basedOn w:val="Normal"/>
    <w:link w:val="BodyTextChar"/>
    <w:uiPriority w:val="99"/>
    <w:unhideWhenUsed/>
    <w:rsid w:val="002C4C8A"/>
  </w:style>
  <w:style w:type="character" w:customStyle="1" w:styleId="BodyTextChar">
    <w:name w:val="Body Text Char"/>
    <w:basedOn w:val="DefaultParagraphFont"/>
    <w:link w:val="BodyText"/>
    <w:uiPriority w:val="99"/>
    <w:rsid w:val="002C4C8A"/>
    <w:rPr>
      <w:rFonts w:ascii="Verdana" w:eastAsia="Calibri" w:hAnsi="Verdana" w:cs="Times"/>
      <w:sz w:val="20"/>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D0651"/>
    <w:pPr>
      <w:spacing w:after="0"/>
    </w:pPr>
    <w:rPr>
      <w:rFonts w:asciiTheme="minorHAnsi" w:eastAsiaTheme="minorHAnsi" w:hAnsiTheme="minorHAnsi" w:cstheme="minorBidi"/>
      <w:sz w:val="22"/>
      <w:szCs w:val="22"/>
      <w:vertAlign w:val="superscript"/>
      <w:lang w:val="es-CR" w:eastAsia="en-US"/>
    </w:rPr>
  </w:style>
  <w:style w:type="character" w:styleId="Strong">
    <w:name w:val="Strong"/>
    <w:uiPriority w:val="22"/>
    <w:qFormat/>
    <w:rsid w:val="002A5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uiPriority w:val="99"/>
    <w:qFormat/>
    <w:locked/>
    <w:rsid w:val="00A2543A"/>
    <w:rPr>
      <w:rFonts w:ascii="Verdana" w:eastAsia="Calibri" w:hAnsi="Verdana" w:cs="Times"/>
      <w:sz w:val="16"/>
      <w:szCs w:val="20"/>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unhideWhenUsed/>
    <w:qFormat/>
    <w:rsid w:val="00A2543A"/>
    <w:pPr>
      <w:tabs>
        <w:tab w:val="left" w:pos="567"/>
      </w:tabs>
    </w:pPr>
    <w:rPr>
      <w:sz w:val="16"/>
      <w:szCs w:val="20"/>
    </w:rPr>
  </w:style>
  <w:style w:type="character" w:customStyle="1" w:styleId="FootnoteTextChar1">
    <w:name w:val="Footnote Text Char1"/>
    <w:basedOn w:val="DefaultParagraphFont"/>
    <w:uiPriority w:val="99"/>
    <w:semiHidden/>
    <w:rsid w:val="00B10675"/>
    <w:rPr>
      <w:rFonts w:ascii="Verdana" w:eastAsia="Calibri" w:hAnsi="Verdana" w:cs="Times"/>
      <w:sz w:val="20"/>
      <w:szCs w:val="20"/>
      <w:lang w:val="es-ES_tradnl" w:eastAsia="es-ES"/>
    </w:rPr>
  </w:style>
  <w:style w:type="paragraph" w:styleId="BodyTextIndent">
    <w:name w:val="Body Text Indent"/>
    <w:basedOn w:val="Normal"/>
    <w:link w:val="BodyTextIndentChar"/>
    <w:uiPriority w:val="99"/>
    <w:semiHidden/>
    <w:unhideWhenUsed/>
    <w:rsid w:val="00B10675"/>
    <w:pPr>
      <w:ind w:left="283"/>
    </w:pPr>
  </w:style>
  <w:style w:type="character" w:customStyle="1" w:styleId="BodyTextIndentChar">
    <w:name w:val="Body Text Indent Char"/>
    <w:basedOn w:val="DefaultParagraphFont"/>
    <w:link w:val="BodyTextIndent"/>
    <w:uiPriority w:val="99"/>
    <w:semiHidden/>
    <w:rsid w:val="00B10675"/>
    <w:rPr>
      <w:rFonts w:ascii="Verdana" w:eastAsia="Calibri" w:hAnsi="Verdana" w:cs="Times"/>
      <w:sz w:val="20"/>
      <w:szCs w:val="24"/>
      <w:lang w:val="es-ES_tradnl" w:eastAsia="es-ES"/>
    </w:rPr>
  </w:style>
  <w:style w:type="paragraph" w:styleId="ListParagraph">
    <w:name w:val="List Paragraph"/>
    <w:aliases w:val="Footnote,List Paragraph2,Lista vistosa - Énfasis 11,Párrafo de lista1"/>
    <w:basedOn w:val="Normal"/>
    <w:link w:val="ListParagraphChar"/>
    <w:uiPriority w:val="99"/>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nhideWhenUsed/>
    <w:qFormat/>
    <w:rsid w:val="00B10675"/>
    <w:rPr>
      <w:vertAlign w:val="superscript"/>
    </w:rPr>
  </w:style>
  <w:style w:type="paragraph" w:styleId="BalloonText">
    <w:name w:val="Balloon Text"/>
    <w:basedOn w:val="Normal"/>
    <w:link w:val="BalloonTextChar"/>
    <w:uiPriority w:val="99"/>
    <w:semiHidden/>
    <w:unhideWhenUsed/>
    <w:rsid w:val="00E23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2A"/>
    <w:rPr>
      <w:rFonts w:ascii="Tahoma" w:eastAsia="Calibri" w:hAnsi="Tahoma" w:cs="Tahoma"/>
      <w:sz w:val="16"/>
      <w:szCs w:val="16"/>
      <w:lang w:val="es-ES_tradnl" w:eastAsia="es-ES"/>
    </w:rPr>
  </w:style>
  <w:style w:type="character" w:customStyle="1" w:styleId="ListParagraphChar">
    <w:name w:val="List Paragraph Char"/>
    <w:aliases w:val="Footnote Char,List Paragraph2 Char,Lista vistosa - Énfasis 11 Char,Párrafo de lista1 Char"/>
    <w:link w:val="ListParagraph"/>
    <w:uiPriority w:val="99"/>
    <w:locked/>
    <w:rsid w:val="001C0723"/>
    <w:rPr>
      <w:rFonts w:ascii="Verdana" w:eastAsia="Calibri" w:hAnsi="Verdana" w:cs="Times"/>
      <w:sz w:val="20"/>
      <w:szCs w:val="24"/>
      <w:lang w:val="es-ES_tradnl" w:eastAsia="es-ES"/>
    </w:rPr>
  </w:style>
  <w:style w:type="character" w:styleId="CommentReference">
    <w:name w:val="annotation reference"/>
    <w:basedOn w:val="DefaultParagraphFont"/>
    <w:uiPriority w:val="99"/>
    <w:semiHidden/>
    <w:unhideWhenUsed/>
    <w:rsid w:val="00A77B0D"/>
    <w:rPr>
      <w:sz w:val="16"/>
      <w:szCs w:val="16"/>
    </w:rPr>
  </w:style>
  <w:style w:type="paragraph" w:styleId="CommentText">
    <w:name w:val="annotation text"/>
    <w:basedOn w:val="Normal"/>
    <w:link w:val="CommentTextChar"/>
    <w:uiPriority w:val="99"/>
    <w:semiHidden/>
    <w:unhideWhenUsed/>
    <w:rsid w:val="00A77B0D"/>
    <w:rPr>
      <w:szCs w:val="20"/>
    </w:rPr>
  </w:style>
  <w:style w:type="character" w:customStyle="1" w:styleId="CommentTextChar">
    <w:name w:val="Comment Text Char"/>
    <w:basedOn w:val="DefaultParagraphFont"/>
    <w:link w:val="CommentText"/>
    <w:uiPriority w:val="99"/>
    <w:semiHidden/>
    <w:rsid w:val="00A77B0D"/>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A77B0D"/>
    <w:rPr>
      <w:b/>
      <w:bCs/>
    </w:rPr>
  </w:style>
  <w:style w:type="character" w:customStyle="1" w:styleId="CommentSubjectChar">
    <w:name w:val="Comment Subject Char"/>
    <w:basedOn w:val="CommentTextChar"/>
    <w:link w:val="CommentSubject"/>
    <w:uiPriority w:val="99"/>
    <w:semiHidden/>
    <w:rsid w:val="00A77B0D"/>
    <w:rPr>
      <w:rFonts w:ascii="Verdana" w:eastAsia="Calibri" w:hAnsi="Verdana" w:cs="Times"/>
      <w:b/>
      <w:bCs/>
      <w:sz w:val="20"/>
      <w:szCs w:val="20"/>
      <w:lang w:val="es-ES_tradnl" w:eastAsia="es-ES"/>
    </w:rPr>
  </w:style>
  <w:style w:type="paragraph" w:styleId="Header">
    <w:name w:val="header"/>
    <w:basedOn w:val="Normal"/>
    <w:link w:val="HeaderChar"/>
    <w:uiPriority w:val="99"/>
    <w:unhideWhenUsed/>
    <w:rsid w:val="00547704"/>
    <w:pPr>
      <w:tabs>
        <w:tab w:val="center" w:pos="4419"/>
        <w:tab w:val="right" w:pos="8838"/>
      </w:tabs>
      <w:spacing w:after="0"/>
    </w:pPr>
  </w:style>
  <w:style w:type="character" w:customStyle="1" w:styleId="HeaderChar">
    <w:name w:val="Header Char"/>
    <w:basedOn w:val="DefaultParagraphFont"/>
    <w:link w:val="Header"/>
    <w:uiPriority w:val="99"/>
    <w:rsid w:val="00547704"/>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547704"/>
    <w:pPr>
      <w:tabs>
        <w:tab w:val="center" w:pos="4419"/>
        <w:tab w:val="right" w:pos="8838"/>
      </w:tabs>
      <w:spacing w:after="0"/>
    </w:pPr>
  </w:style>
  <w:style w:type="character" w:customStyle="1" w:styleId="FooterChar">
    <w:name w:val="Footer Char"/>
    <w:basedOn w:val="DefaultParagraphFont"/>
    <w:link w:val="Footer"/>
    <w:uiPriority w:val="99"/>
    <w:rsid w:val="00547704"/>
    <w:rPr>
      <w:rFonts w:ascii="Verdana" w:eastAsia="Calibri" w:hAnsi="Verdana" w:cs="Times"/>
      <w:sz w:val="20"/>
      <w:szCs w:val="24"/>
      <w:lang w:val="es-ES_tradnl" w:eastAsia="es-ES"/>
    </w:rPr>
  </w:style>
  <w:style w:type="paragraph" w:styleId="BodyText">
    <w:name w:val="Body Text"/>
    <w:basedOn w:val="Normal"/>
    <w:link w:val="BodyTextChar"/>
    <w:uiPriority w:val="99"/>
    <w:unhideWhenUsed/>
    <w:rsid w:val="002C4C8A"/>
  </w:style>
  <w:style w:type="character" w:customStyle="1" w:styleId="BodyTextChar">
    <w:name w:val="Body Text Char"/>
    <w:basedOn w:val="DefaultParagraphFont"/>
    <w:link w:val="BodyText"/>
    <w:uiPriority w:val="99"/>
    <w:rsid w:val="002C4C8A"/>
    <w:rPr>
      <w:rFonts w:ascii="Verdana" w:eastAsia="Calibri" w:hAnsi="Verdana" w:cs="Times"/>
      <w:sz w:val="20"/>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D0651"/>
    <w:pPr>
      <w:spacing w:after="0"/>
    </w:pPr>
    <w:rPr>
      <w:rFonts w:asciiTheme="minorHAnsi" w:eastAsiaTheme="minorHAnsi" w:hAnsiTheme="minorHAnsi" w:cstheme="minorBidi"/>
      <w:sz w:val="22"/>
      <w:szCs w:val="22"/>
      <w:vertAlign w:val="superscript"/>
      <w:lang w:val="es-CR" w:eastAsia="en-US"/>
    </w:rPr>
  </w:style>
  <w:style w:type="character" w:styleId="Strong">
    <w:name w:val="Strong"/>
    <w:uiPriority w:val="22"/>
    <w:qFormat/>
    <w:rsid w:val="002A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76689">
      <w:bodyDiv w:val="1"/>
      <w:marLeft w:val="0"/>
      <w:marRight w:val="0"/>
      <w:marTop w:val="0"/>
      <w:marBottom w:val="0"/>
      <w:divBdr>
        <w:top w:val="none" w:sz="0" w:space="0" w:color="auto"/>
        <w:left w:val="none" w:sz="0" w:space="0" w:color="auto"/>
        <w:bottom w:val="none" w:sz="0" w:space="0" w:color="auto"/>
        <w:right w:val="none" w:sz="0" w:space="0" w:color="auto"/>
      </w:divBdr>
    </w:div>
    <w:div w:id="993752720">
      <w:bodyDiv w:val="1"/>
      <w:marLeft w:val="0"/>
      <w:marRight w:val="0"/>
      <w:marTop w:val="0"/>
      <w:marBottom w:val="0"/>
      <w:divBdr>
        <w:top w:val="none" w:sz="0" w:space="0" w:color="auto"/>
        <w:left w:val="none" w:sz="0" w:space="0" w:color="auto"/>
        <w:bottom w:val="none" w:sz="0" w:space="0" w:color="auto"/>
        <w:right w:val="none" w:sz="0" w:space="0" w:color="auto"/>
      </w:divBdr>
    </w:div>
    <w:div w:id="1214731522">
      <w:bodyDiv w:val="1"/>
      <w:marLeft w:val="0"/>
      <w:marRight w:val="0"/>
      <w:marTop w:val="0"/>
      <w:marBottom w:val="0"/>
      <w:divBdr>
        <w:top w:val="none" w:sz="0" w:space="0" w:color="auto"/>
        <w:left w:val="none" w:sz="0" w:space="0" w:color="auto"/>
        <w:bottom w:val="none" w:sz="0" w:space="0" w:color="auto"/>
        <w:right w:val="none" w:sz="0" w:space="0" w:color="auto"/>
      </w:divBdr>
    </w:div>
    <w:div w:id="1347294862">
      <w:bodyDiv w:val="1"/>
      <w:marLeft w:val="0"/>
      <w:marRight w:val="0"/>
      <w:marTop w:val="0"/>
      <w:marBottom w:val="0"/>
      <w:divBdr>
        <w:top w:val="none" w:sz="0" w:space="0" w:color="auto"/>
        <w:left w:val="none" w:sz="0" w:space="0" w:color="auto"/>
        <w:bottom w:val="none" w:sz="0" w:space="0" w:color="auto"/>
        <w:right w:val="none" w:sz="0" w:space="0" w:color="auto"/>
      </w:divBdr>
    </w:div>
    <w:div w:id="1592472797">
      <w:bodyDiv w:val="1"/>
      <w:marLeft w:val="0"/>
      <w:marRight w:val="0"/>
      <w:marTop w:val="0"/>
      <w:marBottom w:val="0"/>
      <w:divBdr>
        <w:top w:val="none" w:sz="0" w:space="0" w:color="auto"/>
        <w:left w:val="none" w:sz="0" w:space="0" w:color="auto"/>
        <w:bottom w:val="none" w:sz="0" w:space="0" w:color="auto"/>
        <w:right w:val="none" w:sz="0" w:space="0" w:color="auto"/>
      </w:divBdr>
    </w:div>
    <w:div w:id="16106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20B7-DEA1-4559-836A-59513E9C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4189</Words>
  <Characters>23882</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2018-12-20T19:14:00Z</cp:lastPrinted>
  <dcterms:created xsi:type="dcterms:W3CDTF">2018-12-20T19:15:00Z</dcterms:created>
  <dcterms:modified xsi:type="dcterms:W3CDTF">2018-12-20T19:15:00Z</dcterms:modified>
</cp:coreProperties>
</file>